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theme/theme1.xml" ContentType="application/vnd.openxmlformats-officedocument.theme+xml"/>
  <Override PartName="/word/theme/themeOverride1.xml" ContentType="application/vnd.openxmlformats-officedocument.themeOverrid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A1D79D" w14:textId="77777777" w:rsidR="00302BFE" w:rsidRDefault="00302BFE" w:rsidP="006407FA">
      <w:pPr>
        <w:spacing w:after="0"/>
        <w:ind w:left="2977" w:firstLine="1559"/>
        <w:jc w:val="left"/>
        <w:rPr>
          <w:szCs w:val="20"/>
        </w:rPr>
      </w:pPr>
      <w:bookmarkStart w:id="0" w:name="Annex1"/>
      <w:r>
        <w:rPr>
          <w:noProof/>
        </w:rPr>
        <w:drawing>
          <wp:anchor distT="0" distB="0" distL="114300" distR="114300" simplePos="0" relativeHeight="251660288" behindDoc="1" locked="0" layoutInCell="1" allowOverlap="1" wp14:anchorId="0C3582F8" wp14:editId="7BEE208F">
            <wp:simplePos x="0" y="0"/>
            <wp:positionH relativeFrom="margin">
              <wp:posOffset>5541010</wp:posOffset>
            </wp:positionH>
            <wp:positionV relativeFrom="paragraph">
              <wp:posOffset>0</wp:posOffset>
            </wp:positionV>
            <wp:extent cx="927100" cy="1068705"/>
            <wp:effectExtent l="0" t="0" r="6350" b="0"/>
            <wp:wrapTight wrapText="bothSides">
              <wp:wrapPolygon edited="0">
                <wp:start x="0" y="0"/>
                <wp:lineTo x="0" y="21176"/>
                <wp:lineTo x="21304" y="21176"/>
                <wp:lineTo x="21304" y="0"/>
                <wp:lineTo x="0" y="0"/>
              </wp:wrapPolygon>
            </wp:wrapTight>
            <wp:docPr id="289" name="Image 289"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7100" cy="1068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B0080"/>
          <w:sz w:val="19"/>
          <w:szCs w:val="19"/>
          <w:vertAlign w:val="superscript"/>
        </w:rPr>
        <w:fldChar w:fldCharType="begin"/>
      </w:r>
      <w:r>
        <w:rPr>
          <w:rFonts w:ascii="Arial" w:hAnsi="Arial" w:cs="Arial"/>
          <w:color w:val="0B0080"/>
          <w:sz w:val="19"/>
          <w:szCs w:val="19"/>
          <w:vertAlign w:val="superscript"/>
        </w:rPr>
        <w:instrText xml:space="preserve"> INCLUDEPICTURE  "https://upload.wikimedia.org/wikipedia/commons/thumb/9/96/Coat_of_arms_of_Burkina_Faso.svg/88px-Coat_of_arms_of_Burkina_Faso.svg.png" \* MERGEFORMATINET </w:instrText>
      </w:r>
      <w:r>
        <w:rPr>
          <w:rFonts w:ascii="Arial" w:hAnsi="Arial" w:cs="Arial"/>
          <w:color w:val="0B0080"/>
          <w:sz w:val="19"/>
          <w:szCs w:val="19"/>
          <w:vertAlign w:val="superscript"/>
        </w:rPr>
        <w:fldChar w:fldCharType="separate"/>
      </w:r>
      <w:r w:rsidR="00D27B19">
        <w:rPr>
          <w:rFonts w:ascii="Arial" w:hAnsi="Arial" w:cs="Arial"/>
          <w:color w:val="0B0080"/>
          <w:sz w:val="19"/>
          <w:szCs w:val="19"/>
          <w:vertAlign w:val="superscript"/>
        </w:rPr>
        <w:fldChar w:fldCharType="begin"/>
      </w:r>
      <w:r w:rsidR="00D27B19">
        <w:rPr>
          <w:rFonts w:ascii="Arial" w:hAnsi="Arial" w:cs="Arial"/>
          <w:color w:val="0B0080"/>
          <w:sz w:val="19"/>
          <w:szCs w:val="19"/>
          <w:vertAlign w:val="superscript"/>
        </w:rPr>
        <w:instrText xml:space="preserve"> INCLUDEPICTURE  "https://upload.wikimedia.org/wikipedia/commons/thumb/9/96/Coat_of_arms_of_Burkina_Faso.svg/88px-Coat_of_arms_of_Burkina_Faso.svg.png" \* MERGEFORMATINET </w:instrText>
      </w:r>
      <w:r w:rsidR="00D27B19">
        <w:rPr>
          <w:rFonts w:ascii="Arial" w:hAnsi="Arial" w:cs="Arial"/>
          <w:color w:val="0B0080"/>
          <w:sz w:val="19"/>
          <w:szCs w:val="19"/>
          <w:vertAlign w:val="superscript"/>
        </w:rPr>
        <w:fldChar w:fldCharType="separate"/>
      </w:r>
      <w:r w:rsidR="003D33C0">
        <w:rPr>
          <w:rFonts w:ascii="Arial" w:hAnsi="Arial" w:cs="Arial"/>
          <w:color w:val="0B0080"/>
          <w:sz w:val="19"/>
          <w:szCs w:val="19"/>
          <w:vertAlign w:val="superscript"/>
        </w:rPr>
        <w:fldChar w:fldCharType="begin"/>
      </w:r>
      <w:r w:rsidR="003D33C0">
        <w:rPr>
          <w:rFonts w:ascii="Arial" w:hAnsi="Arial" w:cs="Arial"/>
          <w:color w:val="0B0080"/>
          <w:sz w:val="19"/>
          <w:szCs w:val="19"/>
          <w:vertAlign w:val="superscript"/>
        </w:rPr>
        <w:instrText xml:space="preserve"> INCLUDEPICTURE  "https://upload.wikimedia.org/wikipedia/commons/thumb/9/96/Coat_of_arms_of_Burkina_Faso.svg/88px-Coat_of_arms_of_Burkina_Faso.svg.png" \* MERGEFORMATINET </w:instrText>
      </w:r>
      <w:r w:rsidR="003D33C0">
        <w:rPr>
          <w:rFonts w:ascii="Arial" w:hAnsi="Arial" w:cs="Arial"/>
          <w:color w:val="0B0080"/>
          <w:sz w:val="19"/>
          <w:szCs w:val="19"/>
          <w:vertAlign w:val="superscript"/>
        </w:rPr>
        <w:fldChar w:fldCharType="separate"/>
      </w:r>
      <w:r w:rsidR="00FF5454">
        <w:rPr>
          <w:rFonts w:ascii="Arial" w:hAnsi="Arial" w:cs="Arial"/>
          <w:color w:val="0B0080"/>
          <w:sz w:val="19"/>
          <w:szCs w:val="19"/>
          <w:vertAlign w:val="superscript"/>
        </w:rPr>
        <w:fldChar w:fldCharType="begin"/>
      </w:r>
      <w:r w:rsidR="00FF5454">
        <w:rPr>
          <w:rFonts w:ascii="Arial" w:hAnsi="Arial" w:cs="Arial"/>
          <w:color w:val="0B0080"/>
          <w:sz w:val="19"/>
          <w:szCs w:val="19"/>
          <w:vertAlign w:val="superscript"/>
        </w:rPr>
        <w:instrText xml:space="preserve"> INCLUDEPICTURE  "https://upload.wikimedia.org/wikipedia/commons/thumb/9/96/Coat_of_arms_of_Burkina_Faso.svg/88px-Coat_of_arms_of_Burkina_Faso.svg.png" \* MERGEFORMATINET </w:instrText>
      </w:r>
      <w:r w:rsidR="00FF5454">
        <w:rPr>
          <w:rFonts w:ascii="Arial" w:hAnsi="Arial" w:cs="Arial"/>
          <w:color w:val="0B0080"/>
          <w:sz w:val="19"/>
          <w:szCs w:val="19"/>
          <w:vertAlign w:val="superscript"/>
        </w:rPr>
        <w:fldChar w:fldCharType="separate"/>
      </w:r>
      <w:r w:rsidR="004A7029">
        <w:rPr>
          <w:rFonts w:ascii="Arial" w:hAnsi="Arial" w:cs="Arial"/>
          <w:color w:val="0B0080"/>
          <w:sz w:val="19"/>
          <w:szCs w:val="19"/>
          <w:vertAlign w:val="superscript"/>
        </w:rPr>
        <w:fldChar w:fldCharType="begin"/>
      </w:r>
      <w:r w:rsidR="004A7029">
        <w:rPr>
          <w:rFonts w:ascii="Arial" w:hAnsi="Arial" w:cs="Arial"/>
          <w:color w:val="0B0080"/>
          <w:sz w:val="19"/>
          <w:szCs w:val="19"/>
          <w:vertAlign w:val="superscript"/>
        </w:rPr>
        <w:instrText xml:space="preserve"> INCLUDEPICTURE  "https://upload.wikimedia.org/wikipedia/commons/thumb/9/96/Coat_of_arms_of_Burkina_Faso.svg/88px-Coat_of_arms_of_Burkina_Faso.svg.png" \* MERGEFORMATINET </w:instrText>
      </w:r>
      <w:r w:rsidR="004A7029">
        <w:rPr>
          <w:rFonts w:ascii="Arial" w:hAnsi="Arial" w:cs="Arial"/>
          <w:color w:val="0B0080"/>
          <w:sz w:val="19"/>
          <w:szCs w:val="19"/>
          <w:vertAlign w:val="superscript"/>
        </w:rPr>
        <w:fldChar w:fldCharType="separate"/>
      </w:r>
      <w:r w:rsidR="00D80570">
        <w:rPr>
          <w:rFonts w:ascii="Arial" w:hAnsi="Arial" w:cs="Arial"/>
          <w:color w:val="0B0080"/>
          <w:sz w:val="19"/>
          <w:szCs w:val="19"/>
          <w:vertAlign w:val="superscript"/>
        </w:rPr>
        <w:fldChar w:fldCharType="begin"/>
      </w:r>
      <w:r w:rsidR="00D80570">
        <w:rPr>
          <w:rFonts w:ascii="Arial" w:hAnsi="Arial" w:cs="Arial"/>
          <w:color w:val="0B0080"/>
          <w:sz w:val="19"/>
          <w:szCs w:val="19"/>
          <w:vertAlign w:val="superscript"/>
        </w:rPr>
        <w:instrText xml:space="preserve"> INCLUDEPICTURE  "https://upload.wikimedia.org/wikipedia/commons/thumb/9/96/Coat_of_arms_of_Burkina_Faso.svg/88px-Coat_of_arms_of_Burkina_Faso.svg.png" \* MERGEFORMATINET </w:instrText>
      </w:r>
      <w:r w:rsidR="00D80570">
        <w:rPr>
          <w:rFonts w:ascii="Arial" w:hAnsi="Arial" w:cs="Arial"/>
          <w:color w:val="0B0080"/>
          <w:sz w:val="19"/>
          <w:szCs w:val="19"/>
          <w:vertAlign w:val="superscript"/>
        </w:rPr>
        <w:fldChar w:fldCharType="separate"/>
      </w:r>
      <w:r w:rsidR="00A75D44">
        <w:rPr>
          <w:rFonts w:ascii="Arial" w:hAnsi="Arial" w:cs="Arial"/>
          <w:color w:val="0B0080"/>
          <w:sz w:val="19"/>
          <w:szCs w:val="19"/>
          <w:vertAlign w:val="superscript"/>
        </w:rPr>
        <w:fldChar w:fldCharType="begin"/>
      </w:r>
      <w:r w:rsidR="00A75D44">
        <w:rPr>
          <w:rFonts w:ascii="Arial" w:hAnsi="Arial" w:cs="Arial"/>
          <w:color w:val="0B0080"/>
          <w:sz w:val="19"/>
          <w:szCs w:val="19"/>
          <w:vertAlign w:val="superscript"/>
        </w:rPr>
        <w:instrText xml:space="preserve"> INCLUDEPICTURE  "https://upload.wikimedia.org/wikipedia/commons/thumb/9/96/Coat_of_arms_of_Burkina_Faso.svg/88px-Coat_of_arms_of_Burkina_Faso.svg.png" \* MERGEFORMATINET </w:instrText>
      </w:r>
      <w:r w:rsidR="00A75D44">
        <w:rPr>
          <w:rFonts w:ascii="Arial" w:hAnsi="Arial" w:cs="Arial"/>
          <w:color w:val="0B0080"/>
          <w:sz w:val="19"/>
          <w:szCs w:val="19"/>
          <w:vertAlign w:val="superscript"/>
        </w:rPr>
        <w:fldChar w:fldCharType="separate"/>
      </w:r>
      <w:r w:rsidR="00703FF6">
        <w:rPr>
          <w:rFonts w:ascii="Arial" w:hAnsi="Arial" w:cs="Arial"/>
          <w:color w:val="0B0080"/>
          <w:sz w:val="19"/>
          <w:szCs w:val="19"/>
          <w:vertAlign w:val="superscript"/>
        </w:rPr>
        <w:fldChar w:fldCharType="begin"/>
      </w:r>
      <w:r w:rsidR="00703FF6">
        <w:rPr>
          <w:rFonts w:ascii="Arial" w:hAnsi="Arial" w:cs="Arial"/>
          <w:color w:val="0B0080"/>
          <w:sz w:val="19"/>
          <w:szCs w:val="19"/>
          <w:vertAlign w:val="superscript"/>
        </w:rPr>
        <w:instrText xml:space="preserve"> INCLUDEPICTURE  "https://upload.wikimedia.org/wikipedia/commons/thumb/9/96/Coat_of_arms_of_Burkina_Faso.svg/88px-Coat_of_arms_of_Burkina_Faso.svg.png" \* MERGEFORMATINET </w:instrText>
      </w:r>
      <w:r w:rsidR="00703FF6">
        <w:rPr>
          <w:rFonts w:ascii="Arial" w:hAnsi="Arial" w:cs="Arial"/>
          <w:color w:val="0B0080"/>
          <w:sz w:val="19"/>
          <w:szCs w:val="19"/>
          <w:vertAlign w:val="superscript"/>
        </w:rPr>
        <w:fldChar w:fldCharType="separate"/>
      </w:r>
      <w:r w:rsidR="009C3337">
        <w:rPr>
          <w:rFonts w:ascii="Arial" w:hAnsi="Arial" w:cs="Arial"/>
          <w:color w:val="0B0080"/>
          <w:sz w:val="19"/>
          <w:szCs w:val="19"/>
          <w:vertAlign w:val="superscript"/>
        </w:rPr>
        <w:fldChar w:fldCharType="begin"/>
      </w:r>
      <w:r w:rsidR="009C3337">
        <w:rPr>
          <w:rFonts w:ascii="Arial" w:hAnsi="Arial" w:cs="Arial"/>
          <w:color w:val="0B0080"/>
          <w:sz w:val="19"/>
          <w:szCs w:val="19"/>
          <w:vertAlign w:val="superscript"/>
        </w:rPr>
        <w:instrText xml:space="preserve"> INCLUDEPICTURE  "https://upload.wikimedia.org/wikipedia/commons/thumb/9/96/Coat_of_arms_of_Burkina_Faso.svg/88px-Coat_of_arms_of_Burkina_Faso.svg.png" \* MERGEFORMATINET </w:instrText>
      </w:r>
      <w:r w:rsidR="009C3337">
        <w:rPr>
          <w:rFonts w:ascii="Arial" w:hAnsi="Arial" w:cs="Arial"/>
          <w:color w:val="0B0080"/>
          <w:sz w:val="19"/>
          <w:szCs w:val="19"/>
          <w:vertAlign w:val="superscript"/>
        </w:rPr>
        <w:fldChar w:fldCharType="separate"/>
      </w:r>
      <w:r w:rsidR="00A642FE">
        <w:rPr>
          <w:rFonts w:ascii="Arial" w:hAnsi="Arial" w:cs="Arial"/>
          <w:color w:val="0B0080"/>
          <w:sz w:val="19"/>
          <w:szCs w:val="19"/>
          <w:vertAlign w:val="superscript"/>
        </w:rPr>
        <w:fldChar w:fldCharType="begin"/>
      </w:r>
      <w:r w:rsidR="00A642FE">
        <w:rPr>
          <w:rFonts w:ascii="Arial" w:hAnsi="Arial" w:cs="Arial"/>
          <w:color w:val="0B0080"/>
          <w:sz w:val="19"/>
          <w:szCs w:val="19"/>
          <w:vertAlign w:val="superscript"/>
        </w:rPr>
        <w:instrText xml:space="preserve"> INCLUDEPICTURE  "https://upload.wikimedia.org/wikipedia/commons/thumb/9/96/Coat_of_arms_of_Burkina_Faso.svg/88px-Coat_of_arms_of_Burkina_Faso.svg.png" \* MERGEFORMATINET </w:instrText>
      </w:r>
      <w:r w:rsidR="00A642FE">
        <w:rPr>
          <w:rFonts w:ascii="Arial" w:hAnsi="Arial" w:cs="Arial"/>
          <w:color w:val="0B0080"/>
          <w:sz w:val="19"/>
          <w:szCs w:val="19"/>
          <w:vertAlign w:val="superscript"/>
        </w:rPr>
        <w:fldChar w:fldCharType="separate"/>
      </w:r>
      <w:r w:rsidR="00DC4DA3">
        <w:rPr>
          <w:rFonts w:ascii="Arial" w:hAnsi="Arial" w:cs="Arial"/>
          <w:color w:val="0B0080"/>
          <w:sz w:val="19"/>
          <w:szCs w:val="19"/>
          <w:vertAlign w:val="superscript"/>
        </w:rPr>
        <w:fldChar w:fldCharType="begin"/>
      </w:r>
      <w:r w:rsidR="00DC4DA3">
        <w:rPr>
          <w:rFonts w:ascii="Arial" w:hAnsi="Arial" w:cs="Arial"/>
          <w:color w:val="0B0080"/>
          <w:sz w:val="19"/>
          <w:szCs w:val="19"/>
          <w:vertAlign w:val="superscript"/>
        </w:rPr>
        <w:instrText xml:space="preserve"> INCLUDEPICTURE  "https://upload.wikimedia.org/wikipedia/commons/thumb/9/96/Coat_of_arms_of_Burkina_Faso.svg/88px-Coat_of_arms_of_Burkina_Faso.svg.png" \* MERGEFORMATINET </w:instrText>
      </w:r>
      <w:r w:rsidR="00DC4DA3">
        <w:rPr>
          <w:rFonts w:ascii="Arial" w:hAnsi="Arial" w:cs="Arial"/>
          <w:color w:val="0B0080"/>
          <w:sz w:val="19"/>
          <w:szCs w:val="19"/>
          <w:vertAlign w:val="superscript"/>
        </w:rPr>
        <w:fldChar w:fldCharType="separate"/>
      </w:r>
      <w:r w:rsidR="00913F63">
        <w:rPr>
          <w:rFonts w:ascii="Arial" w:hAnsi="Arial" w:cs="Arial"/>
          <w:color w:val="0B0080"/>
          <w:sz w:val="19"/>
          <w:szCs w:val="19"/>
          <w:vertAlign w:val="superscript"/>
        </w:rPr>
        <w:fldChar w:fldCharType="begin"/>
      </w:r>
      <w:r w:rsidR="00913F63">
        <w:rPr>
          <w:rFonts w:ascii="Arial" w:hAnsi="Arial" w:cs="Arial"/>
          <w:color w:val="0B0080"/>
          <w:sz w:val="19"/>
          <w:szCs w:val="19"/>
          <w:vertAlign w:val="superscript"/>
        </w:rPr>
        <w:instrText xml:space="preserve"> INCLUDEPICTURE  "https://upload.wikimedia.org/wikipedia/commons/thumb/9/96/Coat_of_arms_of_Burkina_Faso.svg/88px-Coat_of_arms_of_Burkina_Faso.svg.png" \* MERGEFORMATINET </w:instrText>
      </w:r>
      <w:r w:rsidR="00913F63">
        <w:rPr>
          <w:rFonts w:ascii="Arial" w:hAnsi="Arial" w:cs="Arial"/>
          <w:color w:val="0B0080"/>
          <w:sz w:val="19"/>
          <w:szCs w:val="19"/>
          <w:vertAlign w:val="superscript"/>
        </w:rPr>
        <w:fldChar w:fldCharType="separate"/>
      </w:r>
      <w:r w:rsidR="00C51E5B">
        <w:rPr>
          <w:rFonts w:ascii="Arial" w:hAnsi="Arial" w:cs="Arial"/>
          <w:color w:val="0B0080"/>
          <w:sz w:val="19"/>
          <w:szCs w:val="19"/>
          <w:vertAlign w:val="superscript"/>
        </w:rPr>
        <w:fldChar w:fldCharType="begin"/>
      </w:r>
      <w:r w:rsidR="00C51E5B">
        <w:rPr>
          <w:rFonts w:ascii="Arial" w:hAnsi="Arial" w:cs="Arial"/>
          <w:color w:val="0B0080"/>
          <w:sz w:val="19"/>
          <w:szCs w:val="19"/>
          <w:vertAlign w:val="superscript"/>
        </w:rPr>
        <w:instrText xml:space="preserve"> INCLUDEPICTURE  "https://upload.wikimedia.org/wikipedia/commons/thumb/9/96/Coat_of_arms_of_Burkina_Faso.svg/88px-Coat_of_arms_of_Burkina_Faso.svg.png" \* MERGEFORMATINET </w:instrText>
      </w:r>
      <w:r w:rsidR="00C51E5B">
        <w:rPr>
          <w:rFonts w:ascii="Arial" w:hAnsi="Arial" w:cs="Arial"/>
          <w:color w:val="0B0080"/>
          <w:sz w:val="19"/>
          <w:szCs w:val="19"/>
          <w:vertAlign w:val="superscript"/>
        </w:rPr>
        <w:fldChar w:fldCharType="separate"/>
      </w:r>
      <w:r w:rsidR="005B1DAA">
        <w:rPr>
          <w:rFonts w:ascii="Arial" w:hAnsi="Arial" w:cs="Arial"/>
          <w:color w:val="0B0080"/>
          <w:sz w:val="19"/>
          <w:szCs w:val="19"/>
          <w:vertAlign w:val="superscript"/>
        </w:rPr>
        <w:fldChar w:fldCharType="begin"/>
      </w:r>
      <w:r w:rsidR="005B1DAA">
        <w:rPr>
          <w:rFonts w:ascii="Arial" w:hAnsi="Arial" w:cs="Arial"/>
          <w:color w:val="0B0080"/>
          <w:sz w:val="19"/>
          <w:szCs w:val="19"/>
          <w:vertAlign w:val="superscript"/>
        </w:rPr>
        <w:instrText xml:space="preserve"> INCLUDEPICTURE  "https://upload.wikimedia.org/wikipedia/commons/thumb/9/96/Coat_of_arms_of_Burkina_Faso.svg/88px-Coat_of_arms_of_Burkina_Faso.svg.png" \* MERGEFORMATINET </w:instrText>
      </w:r>
      <w:r w:rsidR="005B1DAA">
        <w:rPr>
          <w:rFonts w:ascii="Arial" w:hAnsi="Arial" w:cs="Arial"/>
          <w:color w:val="0B0080"/>
          <w:sz w:val="19"/>
          <w:szCs w:val="19"/>
          <w:vertAlign w:val="superscript"/>
        </w:rPr>
        <w:fldChar w:fldCharType="separate"/>
      </w:r>
      <w:r w:rsidR="00374EF3">
        <w:rPr>
          <w:rFonts w:ascii="Arial" w:hAnsi="Arial" w:cs="Arial"/>
          <w:color w:val="0B0080"/>
          <w:sz w:val="19"/>
          <w:szCs w:val="19"/>
          <w:vertAlign w:val="superscript"/>
        </w:rPr>
        <w:fldChar w:fldCharType="begin"/>
      </w:r>
      <w:r w:rsidR="00374EF3">
        <w:rPr>
          <w:rFonts w:ascii="Arial" w:hAnsi="Arial" w:cs="Arial"/>
          <w:color w:val="0B0080"/>
          <w:sz w:val="19"/>
          <w:szCs w:val="19"/>
          <w:vertAlign w:val="superscript"/>
        </w:rPr>
        <w:instrText xml:space="preserve"> INCLUDEPICTURE  "https://upload.wikimedia.org/wikipedia/commons/thumb/9/96/Coat_of_arms_of_Burkina_Faso.svg/88px-Coat_of_arms_of_Burkina_Faso.svg.png" \* MERGEFORMATINET </w:instrText>
      </w:r>
      <w:r w:rsidR="00374EF3">
        <w:rPr>
          <w:rFonts w:ascii="Arial" w:hAnsi="Arial" w:cs="Arial"/>
          <w:color w:val="0B0080"/>
          <w:sz w:val="19"/>
          <w:szCs w:val="19"/>
          <w:vertAlign w:val="superscript"/>
        </w:rPr>
        <w:fldChar w:fldCharType="separate"/>
      </w:r>
      <w:r w:rsidR="007B486C">
        <w:rPr>
          <w:rFonts w:ascii="Arial" w:hAnsi="Arial" w:cs="Arial"/>
          <w:color w:val="0B0080"/>
          <w:sz w:val="19"/>
          <w:szCs w:val="19"/>
          <w:vertAlign w:val="superscript"/>
        </w:rPr>
        <w:fldChar w:fldCharType="begin"/>
      </w:r>
      <w:r w:rsidR="007B486C">
        <w:rPr>
          <w:rFonts w:ascii="Arial" w:hAnsi="Arial" w:cs="Arial"/>
          <w:color w:val="0B0080"/>
          <w:sz w:val="19"/>
          <w:szCs w:val="19"/>
          <w:vertAlign w:val="superscript"/>
        </w:rPr>
        <w:instrText xml:space="preserve"> INCLUDEPICTURE  "https://upload.wikimedia.org/wikipedia/commons/thumb/9/96/Coat_of_arms_of_Burkina_Faso.svg/88px-Coat_of_arms_of_Burkina_Faso.svg.png" \* MERGEFORMATINET </w:instrText>
      </w:r>
      <w:r w:rsidR="007B486C">
        <w:rPr>
          <w:rFonts w:ascii="Arial" w:hAnsi="Arial" w:cs="Arial"/>
          <w:color w:val="0B0080"/>
          <w:sz w:val="19"/>
          <w:szCs w:val="19"/>
          <w:vertAlign w:val="superscript"/>
        </w:rPr>
        <w:fldChar w:fldCharType="separate"/>
      </w:r>
      <w:r w:rsidR="00664EBF">
        <w:rPr>
          <w:rFonts w:ascii="Arial" w:hAnsi="Arial" w:cs="Arial"/>
          <w:color w:val="0B0080"/>
          <w:sz w:val="19"/>
          <w:szCs w:val="19"/>
          <w:vertAlign w:val="superscript"/>
        </w:rPr>
        <w:fldChar w:fldCharType="begin"/>
      </w:r>
      <w:r w:rsidR="00664EBF">
        <w:rPr>
          <w:rFonts w:ascii="Arial" w:hAnsi="Arial" w:cs="Arial"/>
          <w:color w:val="0B0080"/>
          <w:sz w:val="19"/>
          <w:szCs w:val="19"/>
          <w:vertAlign w:val="superscript"/>
        </w:rPr>
        <w:instrText xml:space="preserve"> INCLUDEPICTURE  "https://upload.wikimedia.org/wikipedia/commons/thumb/9/96/Coat_of_arms_of_Burkina_Faso.svg/88px-Coat_of_arms_of_Burkina_Faso.svg.png" \* MERGEFORMATINET </w:instrText>
      </w:r>
      <w:r w:rsidR="00664EBF">
        <w:rPr>
          <w:rFonts w:ascii="Arial" w:hAnsi="Arial" w:cs="Arial"/>
          <w:color w:val="0B0080"/>
          <w:sz w:val="19"/>
          <w:szCs w:val="19"/>
          <w:vertAlign w:val="superscript"/>
        </w:rPr>
        <w:fldChar w:fldCharType="separate"/>
      </w:r>
      <w:r w:rsidR="0099310D">
        <w:rPr>
          <w:rFonts w:ascii="Arial" w:hAnsi="Arial" w:cs="Arial"/>
          <w:color w:val="0B0080"/>
          <w:sz w:val="19"/>
          <w:szCs w:val="19"/>
          <w:vertAlign w:val="superscript"/>
        </w:rPr>
        <w:fldChar w:fldCharType="begin"/>
      </w:r>
      <w:r w:rsidR="0099310D">
        <w:rPr>
          <w:rFonts w:ascii="Arial" w:hAnsi="Arial" w:cs="Arial"/>
          <w:color w:val="0B0080"/>
          <w:sz w:val="19"/>
          <w:szCs w:val="19"/>
          <w:vertAlign w:val="superscript"/>
        </w:rPr>
        <w:instrText xml:space="preserve"> INCLUDEPICTURE  "https://upload.wikimedia.org/wikipedia/commons/thumb/9/96/Coat_of_arms_of_Burkina_Faso.svg/88px-Coat_of_arms_of_Burkina_Faso.svg.png" \* MERGEFORMATINET </w:instrText>
      </w:r>
      <w:r w:rsidR="0099310D">
        <w:rPr>
          <w:rFonts w:ascii="Arial" w:hAnsi="Arial" w:cs="Arial"/>
          <w:color w:val="0B0080"/>
          <w:sz w:val="19"/>
          <w:szCs w:val="19"/>
          <w:vertAlign w:val="superscript"/>
        </w:rPr>
        <w:fldChar w:fldCharType="separate"/>
      </w:r>
      <w:r w:rsidR="00482906">
        <w:rPr>
          <w:rFonts w:ascii="Arial" w:hAnsi="Arial" w:cs="Arial"/>
          <w:color w:val="0B0080"/>
          <w:sz w:val="19"/>
          <w:szCs w:val="19"/>
          <w:vertAlign w:val="superscript"/>
        </w:rPr>
        <w:fldChar w:fldCharType="begin"/>
      </w:r>
      <w:r w:rsidR="00482906">
        <w:rPr>
          <w:rFonts w:ascii="Arial" w:hAnsi="Arial" w:cs="Arial"/>
          <w:color w:val="0B0080"/>
          <w:sz w:val="19"/>
          <w:szCs w:val="19"/>
          <w:vertAlign w:val="superscript"/>
        </w:rPr>
        <w:instrText xml:space="preserve"> INCLUDEPICTURE  "https://upload.wikimedia.org/wikipedia/commons/thumb/9/96/Coat_of_arms_of_Burkina_Faso.svg/88px-Coat_of_arms_of_Burkina_Faso.svg.png" \* MERGEFORMATINET </w:instrText>
      </w:r>
      <w:r w:rsidR="00482906">
        <w:rPr>
          <w:rFonts w:ascii="Arial" w:hAnsi="Arial" w:cs="Arial"/>
          <w:color w:val="0B0080"/>
          <w:sz w:val="19"/>
          <w:szCs w:val="19"/>
          <w:vertAlign w:val="superscript"/>
        </w:rPr>
        <w:fldChar w:fldCharType="separate"/>
      </w:r>
      <w:r w:rsidR="004F7A7F">
        <w:rPr>
          <w:rFonts w:ascii="Arial" w:hAnsi="Arial" w:cs="Arial"/>
          <w:color w:val="0B0080"/>
          <w:sz w:val="19"/>
          <w:szCs w:val="19"/>
          <w:vertAlign w:val="superscript"/>
        </w:rPr>
        <w:fldChar w:fldCharType="begin"/>
      </w:r>
      <w:r w:rsidR="004F7A7F">
        <w:rPr>
          <w:rFonts w:ascii="Arial" w:hAnsi="Arial" w:cs="Arial"/>
          <w:color w:val="0B0080"/>
          <w:sz w:val="19"/>
          <w:szCs w:val="19"/>
          <w:vertAlign w:val="superscript"/>
        </w:rPr>
        <w:instrText xml:space="preserve"> INCLUDEPICTURE  "https://upload.wikimedia.org/wikipedia/commons/thumb/9/96/Coat_of_arms_of_Burkina_Faso.svg/88px-Coat_of_arms_of_Burkina_Faso.svg.png" \* MERGEFORMATINET </w:instrText>
      </w:r>
      <w:r w:rsidR="004F7A7F">
        <w:rPr>
          <w:rFonts w:ascii="Arial" w:hAnsi="Arial" w:cs="Arial"/>
          <w:color w:val="0B0080"/>
          <w:sz w:val="19"/>
          <w:szCs w:val="19"/>
          <w:vertAlign w:val="superscript"/>
        </w:rPr>
        <w:fldChar w:fldCharType="separate"/>
      </w:r>
      <w:r w:rsidR="00DF4BFF">
        <w:rPr>
          <w:rFonts w:ascii="Arial" w:hAnsi="Arial" w:cs="Arial"/>
          <w:color w:val="0B0080"/>
          <w:sz w:val="19"/>
          <w:szCs w:val="19"/>
          <w:vertAlign w:val="superscript"/>
        </w:rPr>
        <w:fldChar w:fldCharType="begin"/>
      </w:r>
      <w:r w:rsidR="00DF4BFF">
        <w:rPr>
          <w:rFonts w:ascii="Arial" w:hAnsi="Arial" w:cs="Arial"/>
          <w:color w:val="0B0080"/>
          <w:sz w:val="19"/>
          <w:szCs w:val="19"/>
          <w:vertAlign w:val="superscript"/>
        </w:rPr>
        <w:instrText xml:space="preserve"> INCLUDEPICTURE  "https://upload.wikimedia.org/wikipedia/commons/thumb/9/96/Coat_of_arms_of_Burkina_Faso.svg/88px-Coat_of_arms_of_Burkina_Faso.svg.png" \* MERGEFORMATINET </w:instrText>
      </w:r>
      <w:r w:rsidR="00DF4BFF">
        <w:rPr>
          <w:rFonts w:ascii="Arial" w:hAnsi="Arial" w:cs="Arial"/>
          <w:color w:val="0B0080"/>
          <w:sz w:val="19"/>
          <w:szCs w:val="19"/>
          <w:vertAlign w:val="superscript"/>
        </w:rPr>
        <w:fldChar w:fldCharType="separate"/>
      </w:r>
      <w:r w:rsidR="00417D39">
        <w:rPr>
          <w:rFonts w:ascii="Arial" w:hAnsi="Arial" w:cs="Arial"/>
          <w:color w:val="0B0080"/>
          <w:sz w:val="19"/>
          <w:szCs w:val="19"/>
          <w:vertAlign w:val="superscript"/>
        </w:rPr>
        <w:fldChar w:fldCharType="begin"/>
      </w:r>
      <w:r w:rsidR="00417D39">
        <w:rPr>
          <w:rFonts w:ascii="Arial" w:hAnsi="Arial" w:cs="Arial"/>
          <w:color w:val="0B0080"/>
          <w:sz w:val="19"/>
          <w:szCs w:val="19"/>
          <w:vertAlign w:val="superscript"/>
        </w:rPr>
        <w:instrText xml:space="preserve"> INCLUDEPICTURE  "https://upload.wikimedia.org/wikipedia/commons/thumb/9/96/Coat_of_arms_of_Burkina_Faso.svg/88px-Coat_of_arms_of_Burkina_Faso.svg.png" \* MERGEFORMATINET </w:instrText>
      </w:r>
      <w:r w:rsidR="00417D39">
        <w:rPr>
          <w:rFonts w:ascii="Arial" w:hAnsi="Arial" w:cs="Arial"/>
          <w:color w:val="0B0080"/>
          <w:sz w:val="19"/>
          <w:szCs w:val="19"/>
          <w:vertAlign w:val="superscript"/>
        </w:rPr>
        <w:fldChar w:fldCharType="separate"/>
      </w:r>
      <w:r w:rsidR="00BD2AC4">
        <w:rPr>
          <w:rFonts w:ascii="Arial" w:hAnsi="Arial" w:cs="Arial"/>
          <w:color w:val="0B0080"/>
          <w:sz w:val="19"/>
          <w:szCs w:val="19"/>
          <w:vertAlign w:val="superscript"/>
        </w:rPr>
        <w:fldChar w:fldCharType="begin"/>
      </w:r>
      <w:r w:rsidR="00BD2AC4">
        <w:rPr>
          <w:rFonts w:ascii="Arial" w:hAnsi="Arial" w:cs="Arial"/>
          <w:color w:val="0B0080"/>
          <w:sz w:val="19"/>
          <w:szCs w:val="19"/>
          <w:vertAlign w:val="superscript"/>
        </w:rPr>
        <w:instrText xml:space="preserve"> INCLUDEPICTURE  "https://upload.wikimedia.org/wikipedia/commons/thumb/9/96/Coat_of_arms_of_Burkina_Faso.svg/88px-Coat_of_arms_of_Burkina_Faso.svg.png" \* MERGEFORMATINET </w:instrText>
      </w:r>
      <w:r w:rsidR="00BD2AC4">
        <w:rPr>
          <w:rFonts w:ascii="Arial" w:hAnsi="Arial" w:cs="Arial"/>
          <w:color w:val="0B0080"/>
          <w:sz w:val="19"/>
          <w:szCs w:val="19"/>
          <w:vertAlign w:val="superscript"/>
        </w:rPr>
        <w:fldChar w:fldCharType="separate"/>
      </w:r>
      <w:r w:rsidR="00C756F3">
        <w:rPr>
          <w:rFonts w:ascii="Arial" w:hAnsi="Arial" w:cs="Arial"/>
          <w:color w:val="0B0080"/>
          <w:sz w:val="19"/>
          <w:szCs w:val="19"/>
          <w:vertAlign w:val="superscript"/>
        </w:rPr>
        <w:fldChar w:fldCharType="begin"/>
      </w:r>
      <w:r w:rsidR="00C756F3">
        <w:rPr>
          <w:rFonts w:ascii="Arial" w:hAnsi="Arial" w:cs="Arial"/>
          <w:color w:val="0B0080"/>
          <w:sz w:val="19"/>
          <w:szCs w:val="19"/>
          <w:vertAlign w:val="superscript"/>
        </w:rPr>
        <w:instrText xml:space="preserve"> INCLUDEPICTURE  "https://upload.wikimedia.org/wikipedia/commons/thumb/9/96/Coat_of_arms_of_Burkina_Faso.svg/88px-Coat_of_arms_of_Burkina_Faso.svg.png" \* MERGEFORMATINET </w:instrText>
      </w:r>
      <w:r w:rsidR="00C756F3">
        <w:rPr>
          <w:rFonts w:ascii="Arial" w:hAnsi="Arial" w:cs="Arial"/>
          <w:color w:val="0B0080"/>
          <w:sz w:val="19"/>
          <w:szCs w:val="19"/>
          <w:vertAlign w:val="superscript"/>
        </w:rPr>
        <w:fldChar w:fldCharType="separate"/>
      </w:r>
      <w:r w:rsidR="00ED1ADA">
        <w:rPr>
          <w:rFonts w:ascii="Arial" w:hAnsi="Arial" w:cs="Arial"/>
          <w:color w:val="0B0080"/>
          <w:sz w:val="19"/>
          <w:szCs w:val="19"/>
          <w:vertAlign w:val="superscript"/>
        </w:rPr>
        <w:fldChar w:fldCharType="begin"/>
      </w:r>
      <w:r w:rsidR="00ED1ADA">
        <w:rPr>
          <w:rFonts w:ascii="Arial" w:hAnsi="Arial" w:cs="Arial"/>
          <w:color w:val="0B0080"/>
          <w:sz w:val="19"/>
          <w:szCs w:val="19"/>
          <w:vertAlign w:val="superscript"/>
        </w:rPr>
        <w:instrText xml:space="preserve"> INCLUDEPICTURE  "https://upload.wikimedia.org/wikipedia/commons/thumb/9/96/Coat_of_arms_of_Burkina_Faso.svg/88px-Coat_of_arms_of_Burkina_Faso.svg.png" \* MERGEFORMATINET </w:instrText>
      </w:r>
      <w:r w:rsidR="00ED1ADA">
        <w:rPr>
          <w:rFonts w:ascii="Arial" w:hAnsi="Arial" w:cs="Arial"/>
          <w:color w:val="0B0080"/>
          <w:sz w:val="19"/>
          <w:szCs w:val="19"/>
          <w:vertAlign w:val="superscript"/>
        </w:rPr>
        <w:fldChar w:fldCharType="separate"/>
      </w:r>
      <w:r w:rsidR="00212259">
        <w:rPr>
          <w:rFonts w:ascii="Arial" w:hAnsi="Arial" w:cs="Arial"/>
          <w:color w:val="0B0080"/>
          <w:sz w:val="19"/>
          <w:szCs w:val="19"/>
          <w:vertAlign w:val="superscript"/>
        </w:rPr>
        <w:fldChar w:fldCharType="begin"/>
      </w:r>
      <w:r w:rsidR="00212259">
        <w:rPr>
          <w:rFonts w:ascii="Arial" w:hAnsi="Arial" w:cs="Arial"/>
          <w:color w:val="0B0080"/>
          <w:sz w:val="19"/>
          <w:szCs w:val="19"/>
          <w:vertAlign w:val="superscript"/>
        </w:rPr>
        <w:instrText xml:space="preserve"> INCLUDEPICTURE  "https://upload.wikimedia.org/wikipedia/commons/thumb/9/96/Coat_of_arms_of_Burkina_Faso.svg/88px-Coat_of_arms_of_Burkina_Faso.svg.png" \* MERGEFORMATINET </w:instrText>
      </w:r>
      <w:r w:rsidR="00212259">
        <w:rPr>
          <w:rFonts w:ascii="Arial" w:hAnsi="Arial" w:cs="Arial"/>
          <w:color w:val="0B0080"/>
          <w:sz w:val="19"/>
          <w:szCs w:val="19"/>
          <w:vertAlign w:val="superscript"/>
        </w:rPr>
        <w:fldChar w:fldCharType="separate"/>
      </w:r>
      <w:r w:rsidR="00271A74">
        <w:rPr>
          <w:rFonts w:ascii="Arial" w:hAnsi="Arial" w:cs="Arial"/>
          <w:color w:val="0B0080"/>
          <w:sz w:val="19"/>
          <w:szCs w:val="19"/>
          <w:vertAlign w:val="superscript"/>
        </w:rPr>
        <w:fldChar w:fldCharType="begin"/>
      </w:r>
      <w:r w:rsidR="00271A74">
        <w:rPr>
          <w:rFonts w:ascii="Arial" w:hAnsi="Arial" w:cs="Arial"/>
          <w:color w:val="0B0080"/>
          <w:sz w:val="19"/>
          <w:szCs w:val="19"/>
          <w:vertAlign w:val="superscript"/>
        </w:rPr>
        <w:instrText xml:space="preserve"> INCLUDEPICTURE  "https://upload.wikimedia.org/wikipedia/commons/thumb/9/96/Coat_of_arms_of_Burkina_Faso.svg/88px-Coat_of_arms_of_Burkina_Faso.svg.png" \* MERGEFORMATINET </w:instrText>
      </w:r>
      <w:r w:rsidR="00271A74">
        <w:rPr>
          <w:rFonts w:ascii="Arial" w:hAnsi="Arial" w:cs="Arial"/>
          <w:color w:val="0B0080"/>
          <w:sz w:val="19"/>
          <w:szCs w:val="19"/>
          <w:vertAlign w:val="superscript"/>
        </w:rPr>
        <w:fldChar w:fldCharType="separate"/>
      </w:r>
      <w:r w:rsidR="00E56F19">
        <w:rPr>
          <w:rFonts w:ascii="Arial" w:hAnsi="Arial" w:cs="Arial"/>
          <w:color w:val="0B0080"/>
          <w:sz w:val="19"/>
          <w:szCs w:val="19"/>
          <w:vertAlign w:val="superscript"/>
        </w:rPr>
        <w:fldChar w:fldCharType="begin"/>
      </w:r>
      <w:r w:rsidR="00E56F19">
        <w:rPr>
          <w:rFonts w:ascii="Arial" w:hAnsi="Arial" w:cs="Arial"/>
          <w:color w:val="0B0080"/>
          <w:sz w:val="19"/>
          <w:szCs w:val="19"/>
          <w:vertAlign w:val="superscript"/>
        </w:rPr>
        <w:instrText xml:space="preserve"> INCLUDEPICTURE  "https://upload.wikimedia.org/wikipedia/commons/thumb/9/96/Coat_of_arms_of_Burkina_Faso.svg/88px-Coat_of_arms_of_Burkina_Faso.svg.png" \* MERGEFORMATINET </w:instrText>
      </w:r>
      <w:r w:rsidR="00E56F19">
        <w:rPr>
          <w:rFonts w:ascii="Arial" w:hAnsi="Arial" w:cs="Arial"/>
          <w:color w:val="0B0080"/>
          <w:sz w:val="19"/>
          <w:szCs w:val="19"/>
          <w:vertAlign w:val="superscript"/>
        </w:rPr>
        <w:fldChar w:fldCharType="separate"/>
      </w:r>
      <w:r w:rsidR="005B5F4B">
        <w:rPr>
          <w:rFonts w:ascii="Arial" w:hAnsi="Arial" w:cs="Arial"/>
          <w:color w:val="0B0080"/>
          <w:sz w:val="19"/>
          <w:szCs w:val="19"/>
          <w:vertAlign w:val="superscript"/>
        </w:rPr>
        <w:fldChar w:fldCharType="begin"/>
      </w:r>
      <w:r w:rsidR="005B5F4B">
        <w:rPr>
          <w:rFonts w:ascii="Arial" w:hAnsi="Arial" w:cs="Arial"/>
          <w:color w:val="0B0080"/>
          <w:sz w:val="19"/>
          <w:szCs w:val="19"/>
          <w:vertAlign w:val="superscript"/>
        </w:rPr>
        <w:instrText xml:space="preserve"> INCLUDEPICTURE  "https://upload.wikimedia.org/wikipedia/commons/thumb/9/96/Coat_of_arms_of_Burkina_Faso.svg/88px-Coat_of_arms_of_Burkina_Faso.svg.png" \* MERGEFORMATINET </w:instrText>
      </w:r>
      <w:r w:rsidR="005B5F4B">
        <w:rPr>
          <w:rFonts w:ascii="Arial" w:hAnsi="Arial" w:cs="Arial"/>
          <w:color w:val="0B0080"/>
          <w:sz w:val="19"/>
          <w:szCs w:val="19"/>
          <w:vertAlign w:val="superscript"/>
        </w:rPr>
        <w:fldChar w:fldCharType="separate"/>
      </w:r>
      <w:r w:rsidR="00EF6D8E">
        <w:rPr>
          <w:rFonts w:ascii="Arial" w:hAnsi="Arial" w:cs="Arial"/>
          <w:color w:val="0B0080"/>
          <w:sz w:val="19"/>
          <w:szCs w:val="19"/>
          <w:vertAlign w:val="superscript"/>
        </w:rPr>
        <w:fldChar w:fldCharType="begin"/>
      </w:r>
      <w:r w:rsidR="00EF6D8E">
        <w:rPr>
          <w:rFonts w:ascii="Arial" w:hAnsi="Arial" w:cs="Arial"/>
          <w:color w:val="0B0080"/>
          <w:sz w:val="19"/>
          <w:szCs w:val="19"/>
          <w:vertAlign w:val="superscript"/>
        </w:rPr>
        <w:instrText xml:space="preserve"> INCLUDEPICTURE  "https://upload.wikimedia.org/wikipedia/commons/thumb/9/96/Coat_of_arms_of_Burkina_Faso.svg/88px-Coat_of_arms_of_Burkina_Faso.svg.png" \* MERGEFORMATINET </w:instrText>
      </w:r>
      <w:r w:rsidR="00EF6D8E">
        <w:rPr>
          <w:rFonts w:ascii="Arial" w:hAnsi="Arial" w:cs="Arial"/>
          <w:color w:val="0B0080"/>
          <w:sz w:val="19"/>
          <w:szCs w:val="19"/>
          <w:vertAlign w:val="superscript"/>
        </w:rPr>
        <w:fldChar w:fldCharType="separate"/>
      </w:r>
      <w:r w:rsidR="00157582">
        <w:rPr>
          <w:rFonts w:ascii="Arial" w:hAnsi="Arial" w:cs="Arial"/>
          <w:color w:val="0B0080"/>
          <w:sz w:val="19"/>
          <w:szCs w:val="19"/>
          <w:vertAlign w:val="superscript"/>
        </w:rPr>
        <w:fldChar w:fldCharType="begin"/>
      </w:r>
      <w:r w:rsidR="00157582">
        <w:rPr>
          <w:rFonts w:ascii="Arial" w:hAnsi="Arial" w:cs="Arial"/>
          <w:color w:val="0B0080"/>
          <w:sz w:val="19"/>
          <w:szCs w:val="19"/>
          <w:vertAlign w:val="superscript"/>
        </w:rPr>
        <w:instrText xml:space="preserve"> INCLUDEPICTURE  "https://upload.wikimedia.org/wikipedia/commons/thumb/9/96/Coat_of_arms_of_Burkina_Faso.svg/88px-Coat_of_arms_of_Burkina_Faso.svg.png" \* MERGEFORMATINET </w:instrText>
      </w:r>
      <w:r w:rsidR="00157582">
        <w:rPr>
          <w:rFonts w:ascii="Arial" w:hAnsi="Arial" w:cs="Arial"/>
          <w:color w:val="0B0080"/>
          <w:sz w:val="19"/>
          <w:szCs w:val="19"/>
          <w:vertAlign w:val="superscript"/>
        </w:rPr>
        <w:fldChar w:fldCharType="separate"/>
      </w:r>
      <w:r w:rsidR="00D57400">
        <w:rPr>
          <w:rFonts w:ascii="Arial" w:hAnsi="Arial" w:cs="Arial"/>
          <w:color w:val="0B0080"/>
          <w:sz w:val="19"/>
          <w:szCs w:val="19"/>
          <w:vertAlign w:val="superscript"/>
        </w:rPr>
        <w:fldChar w:fldCharType="begin"/>
      </w:r>
      <w:r w:rsidR="00D57400">
        <w:rPr>
          <w:rFonts w:ascii="Arial" w:hAnsi="Arial" w:cs="Arial"/>
          <w:color w:val="0B0080"/>
          <w:sz w:val="19"/>
          <w:szCs w:val="19"/>
          <w:vertAlign w:val="superscript"/>
        </w:rPr>
        <w:instrText xml:space="preserve"> INCLUDEPICTURE  "https://upload.wikimedia.org/wikipedia/commons/thumb/9/96/Coat_of_arms_of_Burkina_Faso.svg/88px-Coat_of_arms_of_Burkina_Faso.svg.png" \* MERGEFORMATINET </w:instrText>
      </w:r>
      <w:r w:rsidR="00D57400">
        <w:rPr>
          <w:rFonts w:ascii="Arial" w:hAnsi="Arial" w:cs="Arial"/>
          <w:color w:val="0B0080"/>
          <w:sz w:val="19"/>
          <w:szCs w:val="19"/>
          <w:vertAlign w:val="superscript"/>
        </w:rPr>
        <w:fldChar w:fldCharType="separate"/>
      </w:r>
      <w:r w:rsidR="006835AE">
        <w:rPr>
          <w:rFonts w:ascii="Arial" w:hAnsi="Arial" w:cs="Arial"/>
          <w:color w:val="0B0080"/>
          <w:sz w:val="19"/>
          <w:szCs w:val="19"/>
          <w:vertAlign w:val="superscript"/>
        </w:rPr>
        <w:fldChar w:fldCharType="begin"/>
      </w:r>
      <w:r w:rsidR="006835AE">
        <w:rPr>
          <w:rFonts w:ascii="Arial" w:hAnsi="Arial" w:cs="Arial"/>
          <w:color w:val="0B0080"/>
          <w:sz w:val="19"/>
          <w:szCs w:val="19"/>
          <w:vertAlign w:val="superscript"/>
        </w:rPr>
        <w:instrText xml:space="preserve"> INCLUDEPICTURE  "https://upload.wikimedia.org/wikipedia/commons/thumb/9/96/Coat_of_arms_of_Burkina_Faso.svg/88px-Coat_of_arms_of_Burkina_Faso.svg.png" \* MERGEFORMATINET </w:instrText>
      </w:r>
      <w:r w:rsidR="006835AE">
        <w:rPr>
          <w:rFonts w:ascii="Arial" w:hAnsi="Arial" w:cs="Arial"/>
          <w:color w:val="0B0080"/>
          <w:sz w:val="19"/>
          <w:szCs w:val="19"/>
          <w:vertAlign w:val="superscript"/>
        </w:rPr>
        <w:fldChar w:fldCharType="separate"/>
      </w:r>
      <w:r w:rsidR="001F1665">
        <w:rPr>
          <w:rFonts w:ascii="Arial" w:hAnsi="Arial" w:cs="Arial"/>
          <w:color w:val="0B0080"/>
          <w:sz w:val="19"/>
          <w:szCs w:val="19"/>
          <w:vertAlign w:val="superscript"/>
        </w:rPr>
        <w:fldChar w:fldCharType="begin"/>
      </w:r>
      <w:r w:rsidR="001F1665">
        <w:rPr>
          <w:rFonts w:ascii="Arial" w:hAnsi="Arial" w:cs="Arial"/>
          <w:color w:val="0B0080"/>
          <w:sz w:val="19"/>
          <w:szCs w:val="19"/>
          <w:vertAlign w:val="superscript"/>
        </w:rPr>
        <w:instrText xml:space="preserve"> INCLUDEPICTURE  "https://upload.wikimedia.org/wikipedia/commons/thumb/9/96/Coat_of_arms_of_Burkina_Faso.svg/88px-Coat_of_arms_of_Burkina_Faso.svg.png" \* MERGEFORMATINET </w:instrText>
      </w:r>
      <w:r w:rsidR="001F1665">
        <w:rPr>
          <w:rFonts w:ascii="Arial" w:hAnsi="Arial" w:cs="Arial"/>
          <w:color w:val="0B0080"/>
          <w:sz w:val="19"/>
          <w:szCs w:val="19"/>
          <w:vertAlign w:val="superscript"/>
        </w:rPr>
        <w:fldChar w:fldCharType="separate"/>
      </w:r>
      <w:r w:rsidR="00BA1863">
        <w:rPr>
          <w:rFonts w:ascii="Arial" w:hAnsi="Arial" w:cs="Arial"/>
          <w:color w:val="0B0080"/>
          <w:sz w:val="19"/>
          <w:szCs w:val="19"/>
          <w:vertAlign w:val="superscript"/>
        </w:rPr>
        <w:fldChar w:fldCharType="begin"/>
      </w:r>
      <w:r w:rsidR="00BA1863">
        <w:rPr>
          <w:rFonts w:ascii="Arial" w:hAnsi="Arial" w:cs="Arial"/>
          <w:color w:val="0B0080"/>
          <w:sz w:val="19"/>
          <w:szCs w:val="19"/>
          <w:vertAlign w:val="superscript"/>
        </w:rPr>
        <w:instrText xml:space="preserve"> INCLUDEPICTURE  "https://upload.wikimedia.org/wikipedia/commons/thumb/9/96/Coat_of_arms_of_Burkina_Faso.svg/88px-Coat_of_arms_of_Burkina_Faso.svg.png" \* MERGEFORMATINET </w:instrText>
      </w:r>
      <w:r w:rsidR="00BA1863">
        <w:rPr>
          <w:rFonts w:ascii="Arial" w:hAnsi="Arial" w:cs="Arial"/>
          <w:color w:val="0B0080"/>
          <w:sz w:val="19"/>
          <w:szCs w:val="19"/>
          <w:vertAlign w:val="superscript"/>
        </w:rPr>
        <w:fldChar w:fldCharType="separate"/>
      </w:r>
      <w:r w:rsidR="00173284">
        <w:rPr>
          <w:rFonts w:ascii="Arial" w:hAnsi="Arial" w:cs="Arial"/>
          <w:color w:val="0B0080"/>
          <w:sz w:val="19"/>
          <w:szCs w:val="19"/>
          <w:vertAlign w:val="superscript"/>
        </w:rPr>
        <w:fldChar w:fldCharType="begin"/>
      </w:r>
      <w:r w:rsidR="00173284">
        <w:rPr>
          <w:rFonts w:ascii="Arial" w:hAnsi="Arial" w:cs="Arial"/>
          <w:color w:val="0B0080"/>
          <w:sz w:val="19"/>
          <w:szCs w:val="19"/>
          <w:vertAlign w:val="superscript"/>
        </w:rPr>
        <w:instrText xml:space="preserve"> INCLUDEPICTURE  "https://upload.wikimedia.org/wikipedia/commons/thumb/9/96/Coat_of_arms_of_Burkina_Faso.svg/88px-Coat_of_arms_of_Burkina_Faso.svg.png" \* MERGEFORMATINET </w:instrText>
      </w:r>
      <w:r w:rsidR="00173284">
        <w:rPr>
          <w:rFonts w:ascii="Arial" w:hAnsi="Arial" w:cs="Arial"/>
          <w:color w:val="0B0080"/>
          <w:sz w:val="19"/>
          <w:szCs w:val="19"/>
          <w:vertAlign w:val="superscript"/>
        </w:rPr>
        <w:fldChar w:fldCharType="separate"/>
      </w:r>
      <w:r w:rsidR="006D6AC4">
        <w:rPr>
          <w:rFonts w:ascii="Arial" w:hAnsi="Arial" w:cs="Arial"/>
          <w:color w:val="0B0080"/>
          <w:sz w:val="19"/>
          <w:szCs w:val="19"/>
          <w:vertAlign w:val="superscript"/>
        </w:rPr>
        <w:fldChar w:fldCharType="begin"/>
      </w:r>
      <w:r w:rsidR="006D6AC4">
        <w:rPr>
          <w:rFonts w:ascii="Arial" w:hAnsi="Arial" w:cs="Arial"/>
          <w:color w:val="0B0080"/>
          <w:sz w:val="19"/>
          <w:szCs w:val="19"/>
          <w:vertAlign w:val="superscript"/>
        </w:rPr>
        <w:instrText xml:space="preserve"> INCLUDEPICTURE  "https://upload.wikimedia.org/wikipedia/commons/thumb/9/96/Coat_of_arms_of_Burkina_Faso.svg/88px-Coat_of_arms_of_Burkina_Faso.svg.png" \* MERGEFORMATINET </w:instrText>
      </w:r>
      <w:r w:rsidR="006D6AC4">
        <w:rPr>
          <w:rFonts w:ascii="Arial" w:hAnsi="Arial" w:cs="Arial"/>
          <w:color w:val="0B0080"/>
          <w:sz w:val="19"/>
          <w:szCs w:val="19"/>
          <w:vertAlign w:val="superscript"/>
        </w:rPr>
        <w:fldChar w:fldCharType="separate"/>
      </w:r>
      <w:r w:rsidR="00902601">
        <w:rPr>
          <w:rFonts w:ascii="Arial" w:hAnsi="Arial" w:cs="Arial"/>
          <w:color w:val="0B0080"/>
          <w:sz w:val="19"/>
          <w:szCs w:val="19"/>
          <w:vertAlign w:val="superscript"/>
        </w:rPr>
        <w:fldChar w:fldCharType="begin"/>
      </w:r>
      <w:r w:rsidR="00902601">
        <w:rPr>
          <w:rFonts w:ascii="Arial" w:hAnsi="Arial" w:cs="Arial"/>
          <w:color w:val="0B0080"/>
          <w:sz w:val="19"/>
          <w:szCs w:val="19"/>
          <w:vertAlign w:val="superscript"/>
        </w:rPr>
        <w:instrText xml:space="preserve"> INCLUDEPICTURE  "https://upload.wikimedia.org/wikipedia/commons/thumb/9/96/Coat_of_arms_of_Burkina_Faso.svg/88px-Coat_of_arms_of_Burkina_Faso.svg.png" \* MERGEFORMATINET </w:instrText>
      </w:r>
      <w:r w:rsidR="00902601">
        <w:rPr>
          <w:rFonts w:ascii="Arial" w:hAnsi="Arial" w:cs="Arial"/>
          <w:color w:val="0B0080"/>
          <w:sz w:val="19"/>
          <w:szCs w:val="19"/>
          <w:vertAlign w:val="superscript"/>
        </w:rPr>
        <w:fldChar w:fldCharType="separate"/>
      </w:r>
      <w:r w:rsidR="00EC409B">
        <w:rPr>
          <w:rFonts w:ascii="Arial" w:hAnsi="Arial" w:cs="Arial"/>
          <w:color w:val="0B0080"/>
          <w:sz w:val="19"/>
          <w:szCs w:val="19"/>
          <w:vertAlign w:val="superscript"/>
        </w:rPr>
        <w:fldChar w:fldCharType="begin"/>
      </w:r>
      <w:r w:rsidR="00EC409B">
        <w:rPr>
          <w:rFonts w:ascii="Arial" w:hAnsi="Arial" w:cs="Arial"/>
          <w:color w:val="0B0080"/>
          <w:sz w:val="19"/>
          <w:szCs w:val="19"/>
          <w:vertAlign w:val="superscript"/>
        </w:rPr>
        <w:instrText xml:space="preserve"> INCLUDEPICTURE  "https://upload.wikimedia.org/wikipedia/commons/thumb/9/96/Coat_of_arms_of_Burkina_Faso.svg/88px-Coat_of_arms_of_Burkina_Faso.svg.png" \* MERGEFORMATINET </w:instrText>
      </w:r>
      <w:r w:rsidR="00EC409B">
        <w:rPr>
          <w:rFonts w:ascii="Arial" w:hAnsi="Arial" w:cs="Arial"/>
          <w:color w:val="0B0080"/>
          <w:sz w:val="19"/>
          <w:szCs w:val="19"/>
          <w:vertAlign w:val="superscript"/>
        </w:rPr>
        <w:fldChar w:fldCharType="separate"/>
      </w:r>
      <w:r w:rsidR="004B06DD">
        <w:rPr>
          <w:rFonts w:ascii="Arial" w:hAnsi="Arial" w:cs="Arial"/>
          <w:color w:val="0B0080"/>
          <w:sz w:val="19"/>
          <w:szCs w:val="19"/>
          <w:vertAlign w:val="superscript"/>
        </w:rPr>
        <w:fldChar w:fldCharType="begin"/>
      </w:r>
      <w:r w:rsidR="004B06DD">
        <w:rPr>
          <w:rFonts w:ascii="Arial" w:hAnsi="Arial" w:cs="Arial"/>
          <w:color w:val="0B0080"/>
          <w:sz w:val="19"/>
          <w:szCs w:val="19"/>
          <w:vertAlign w:val="superscript"/>
        </w:rPr>
        <w:instrText xml:space="preserve"> INCLUDEPICTURE  "https://upload.wikimedia.org/wikipedia/commons/thumb/9/96/Coat_of_arms_of_Burkina_Faso.svg/88px-Coat_of_arms_of_Burkina_Faso.svg.png" \* MERGEFORMATINET </w:instrText>
      </w:r>
      <w:r w:rsidR="004B06DD">
        <w:rPr>
          <w:rFonts w:ascii="Arial" w:hAnsi="Arial" w:cs="Arial"/>
          <w:color w:val="0B0080"/>
          <w:sz w:val="19"/>
          <w:szCs w:val="19"/>
          <w:vertAlign w:val="superscript"/>
        </w:rPr>
        <w:fldChar w:fldCharType="separate"/>
      </w:r>
      <w:r w:rsidR="00E21AE5">
        <w:rPr>
          <w:rFonts w:ascii="Arial" w:hAnsi="Arial" w:cs="Arial"/>
          <w:color w:val="0B0080"/>
          <w:sz w:val="19"/>
          <w:szCs w:val="19"/>
          <w:vertAlign w:val="superscript"/>
        </w:rPr>
        <w:fldChar w:fldCharType="begin"/>
      </w:r>
      <w:r w:rsidR="00E21AE5">
        <w:rPr>
          <w:rFonts w:ascii="Arial" w:hAnsi="Arial" w:cs="Arial"/>
          <w:color w:val="0B0080"/>
          <w:sz w:val="19"/>
          <w:szCs w:val="19"/>
          <w:vertAlign w:val="superscript"/>
        </w:rPr>
        <w:instrText xml:space="preserve"> INCLUDEPICTURE  "https://upload.wikimedia.org/wikipedia/commons/thumb/9/96/Coat_of_arms_of_Burkina_Faso.svg/88px-Coat_of_arms_of_Burkina_Faso.svg.png" \* MERGEFORMATINET </w:instrText>
      </w:r>
      <w:r w:rsidR="00E21AE5">
        <w:rPr>
          <w:rFonts w:ascii="Arial" w:hAnsi="Arial" w:cs="Arial"/>
          <w:color w:val="0B0080"/>
          <w:sz w:val="19"/>
          <w:szCs w:val="19"/>
          <w:vertAlign w:val="superscript"/>
        </w:rPr>
        <w:fldChar w:fldCharType="separate"/>
      </w:r>
      <w:r w:rsidR="00A50C2D">
        <w:rPr>
          <w:rFonts w:ascii="Arial" w:hAnsi="Arial" w:cs="Arial"/>
          <w:color w:val="0B0080"/>
          <w:sz w:val="19"/>
          <w:szCs w:val="19"/>
          <w:vertAlign w:val="superscript"/>
        </w:rPr>
        <w:fldChar w:fldCharType="begin"/>
      </w:r>
      <w:r w:rsidR="00A50C2D">
        <w:rPr>
          <w:rFonts w:ascii="Arial" w:hAnsi="Arial" w:cs="Arial"/>
          <w:color w:val="0B0080"/>
          <w:sz w:val="19"/>
          <w:szCs w:val="19"/>
          <w:vertAlign w:val="superscript"/>
        </w:rPr>
        <w:instrText xml:space="preserve"> INCLUDEPICTURE  "https://upload.wikimedia.org/wikipedia/commons/thumb/9/96/Coat_of_arms_of_Burkina_Faso.svg/88px-Coat_of_arms_of_Burkina_Faso.svg.png" \* MERGEFORMATINET </w:instrText>
      </w:r>
      <w:r w:rsidR="00A50C2D">
        <w:rPr>
          <w:rFonts w:ascii="Arial" w:hAnsi="Arial" w:cs="Arial"/>
          <w:color w:val="0B0080"/>
          <w:sz w:val="19"/>
          <w:szCs w:val="19"/>
          <w:vertAlign w:val="superscript"/>
        </w:rPr>
        <w:fldChar w:fldCharType="separate"/>
      </w:r>
      <w:r w:rsidR="00361702">
        <w:rPr>
          <w:rFonts w:ascii="Arial" w:hAnsi="Arial" w:cs="Arial"/>
          <w:color w:val="0B0080"/>
          <w:sz w:val="19"/>
          <w:szCs w:val="19"/>
          <w:vertAlign w:val="superscript"/>
        </w:rPr>
        <w:fldChar w:fldCharType="begin"/>
      </w:r>
      <w:r w:rsidR="00361702">
        <w:rPr>
          <w:rFonts w:ascii="Arial" w:hAnsi="Arial" w:cs="Arial"/>
          <w:color w:val="0B0080"/>
          <w:sz w:val="19"/>
          <w:szCs w:val="19"/>
          <w:vertAlign w:val="superscript"/>
        </w:rPr>
        <w:instrText xml:space="preserve"> INCLUDEPICTURE  "https://upload.wikimedia.org/wikipedia/commons/thumb/9/96/Coat_of_arms_of_Burkina_Faso.svg/88px-Coat_of_arms_of_Burkina_Faso.svg.png" \* MERGEFORMATINET </w:instrText>
      </w:r>
      <w:r w:rsidR="00361702">
        <w:rPr>
          <w:rFonts w:ascii="Arial" w:hAnsi="Arial" w:cs="Arial"/>
          <w:color w:val="0B0080"/>
          <w:sz w:val="19"/>
          <w:szCs w:val="19"/>
          <w:vertAlign w:val="superscript"/>
        </w:rPr>
        <w:fldChar w:fldCharType="separate"/>
      </w:r>
      <w:r w:rsidR="004205FD">
        <w:rPr>
          <w:rFonts w:ascii="Arial" w:hAnsi="Arial" w:cs="Arial"/>
          <w:color w:val="0B0080"/>
          <w:sz w:val="19"/>
          <w:szCs w:val="19"/>
          <w:vertAlign w:val="superscript"/>
        </w:rPr>
        <w:fldChar w:fldCharType="begin"/>
      </w:r>
      <w:r w:rsidR="004205FD">
        <w:rPr>
          <w:rFonts w:ascii="Arial" w:hAnsi="Arial" w:cs="Arial"/>
          <w:color w:val="0B0080"/>
          <w:sz w:val="19"/>
          <w:szCs w:val="19"/>
          <w:vertAlign w:val="superscript"/>
        </w:rPr>
        <w:instrText xml:space="preserve"> INCLUDEPICTURE  "https://upload.wikimedia.org/wikipedia/commons/thumb/9/96/Coat_of_arms_of_Burkina_Faso.svg/88px-Coat_of_arms_of_Burkina_Faso.svg.png" \* MERGEFORMATINET </w:instrText>
      </w:r>
      <w:r w:rsidR="004205FD">
        <w:rPr>
          <w:rFonts w:ascii="Arial" w:hAnsi="Arial" w:cs="Arial"/>
          <w:color w:val="0B0080"/>
          <w:sz w:val="19"/>
          <w:szCs w:val="19"/>
          <w:vertAlign w:val="superscript"/>
        </w:rPr>
        <w:fldChar w:fldCharType="separate"/>
      </w:r>
      <w:r w:rsidR="001F1386">
        <w:rPr>
          <w:rFonts w:ascii="Arial" w:hAnsi="Arial" w:cs="Arial"/>
          <w:color w:val="0B0080"/>
          <w:sz w:val="19"/>
          <w:szCs w:val="19"/>
          <w:vertAlign w:val="superscript"/>
        </w:rPr>
        <w:fldChar w:fldCharType="begin"/>
      </w:r>
      <w:r w:rsidR="001F1386">
        <w:rPr>
          <w:rFonts w:ascii="Arial" w:hAnsi="Arial" w:cs="Arial"/>
          <w:color w:val="0B0080"/>
          <w:sz w:val="19"/>
          <w:szCs w:val="19"/>
          <w:vertAlign w:val="superscript"/>
        </w:rPr>
        <w:instrText xml:space="preserve"> INCLUDEPICTURE  "https://upload.wikimedia.org/wikipedia/commons/thumb/9/96/Coat_of_arms_of_Burkina_Faso.svg/88px-Coat_of_arms_of_Burkina_Faso.svg.png" \* MERGEFORMATINET </w:instrText>
      </w:r>
      <w:r w:rsidR="001F1386">
        <w:rPr>
          <w:rFonts w:ascii="Arial" w:hAnsi="Arial" w:cs="Arial"/>
          <w:color w:val="0B0080"/>
          <w:sz w:val="19"/>
          <w:szCs w:val="19"/>
          <w:vertAlign w:val="superscript"/>
        </w:rPr>
        <w:fldChar w:fldCharType="separate"/>
      </w:r>
      <w:r w:rsidR="0053008A">
        <w:rPr>
          <w:rFonts w:ascii="Arial" w:hAnsi="Arial" w:cs="Arial"/>
          <w:color w:val="0B0080"/>
          <w:sz w:val="19"/>
          <w:szCs w:val="19"/>
          <w:vertAlign w:val="superscript"/>
        </w:rPr>
        <w:fldChar w:fldCharType="begin"/>
      </w:r>
      <w:r w:rsidR="0053008A">
        <w:rPr>
          <w:rFonts w:ascii="Arial" w:hAnsi="Arial" w:cs="Arial"/>
          <w:color w:val="0B0080"/>
          <w:sz w:val="19"/>
          <w:szCs w:val="19"/>
          <w:vertAlign w:val="superscript"/>
        </w:rPr>
        <w:instrText xml:space="preserve"> </w:instrText>
      </w:r>
      <w:r w:rsidR="0053008A">
        <w:rPr>
          <w:rFonts w:ascii="Arial" w:hAnsi="Arial" w:cs="Arial"/>
          <w:color w:val="0B0080"/>
          <w:sz w:val="19"/>
          <w:szCs w:val="19"/>
          <w:vertAlign w:val="superscript"/>
        </w:rPr>
        <w:instrText>INCLUDEPICTURE  "https://upload.wikimedia.org/wikipedia/commons/thumb/9/96/Coat_of_arms_of_Burkina_Fa</w:instrText>
      </w:r>
      <w:r w:rsidR="0053008A">
        <w:rPr>
          <w:rFonts w:ascii="Arial" w:hAnsi="Arial" w:cs="Arial"/>
          <w:color w:val="0B0080"/>
          <w:sz w:val="19"/>
          <w:szCs w:val="19"/>
          <w:vertAlign w:val="superscript"/>
        </w:rPr>
        <w:instrText>so.svg/88px-Coat_of_arms_of_Burkina_Faso.svg.png" \* MERGEFORMATINET</w:instrText>
      </w:r>
      <w:r w:rsidR="0053008A">
        <w:rPr>
          <w:rFonts w:ascii="Arial" w:hAnsi="Arial" w:cs="Arial"/>
          <w:color w:val="0B0080"/>
          <w:sz w:val="19"/>
          <w:szCs w:val="19"/>
          <w:vertAlign w:val="superscript"/>
        </w:rPr>
        <w:instrText xml:space="preserve"> </w:instrText>
      </w:r>
      <w:r w:rsidR="0053008A">
        <w:rPr>
          <w:rFonts w:ascii="Arial" w:hAnsi="Arial" w:cs="Arial"/>
          <w:color w:val="0B0080"/>
          <w:sz w:val="19"/>
          <w:szCs w:val="19"/>
          <w:vertAlign w:val="superscript"/>
        </w:rPr>
        <w:fldChar w:fldCharType="separate"/>
      </w:r>
      <w:r w:rsidR="0053008A">
        <w:rPr>
          <w:rFonts w:ascii="Arial" w:hAnsi="Arial" w:cs="Arial"/>
          <w:color w:val="0B0080"/>
          <w:sz w:val="19"/>
          <w:szCs w:val="19"/>
          <w:vertAlign w:val="superscript"/>
        </w:rPr>
        <w:pict w14:anchorId="7963FE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lason" title="&quot;Blason&quot;" style="width:78pt;height:88.8pt" o:button="t">
            <v:imagedata r:id="rId9" r:href="rId10"/>
          </v:shape>
        </w:pict>
      </w:r>
      <w:r w:rsidR="0053008A">
        <w:rPr>
          <w:rFonts w:ascii="Arial" w:hAnsi="Arial" w:cs="Arial"/>
          <w:color w:val="0B0080"/>
          <w:sz w:val="19"/>
          <w:szCs w:val="19"/>
          <w:vertAlign w:val="superscript"/>
        </w:rPr>
        <w:fldChar w:fldCharType="end"/>
      </w:r>
      <w:r w:rsidR="001F1386">
        <w:rPr>
          <w:rFonts w:ascii="Arial" w:hAnsi="Arial" w:cs="Arial"/>
          <w:color w:val="0B0080"/>
          <w:sz w:val="19"/>
          <w:szCs w:val="19"/>
          <w:vertAlign w:val="superscript"/>
        </w:rPr>
        <w:fldChar w:fldCharType="end"/>
      </w:r>
      <w:r w:rsidR="004205FD">
        <w:rPr>
          <w:rFonts w:ascii="Arial" w:hAnsi="Arial" w:cs="Arial"/>
          <w:color w:val="0B0080"/>
          <w:sz w:val="19"/>
          <w:szCs w:val="19"/>
          <w:vertAlign w:val="superscript"/>
        </w:rPr>
        <w:fldChar w:fldCharType="end"/>
      </w:r>
      <w:r w:rsidR="00361702">
        <w:rPr>
          <w:rFonts w:ascii="Arial" w:hAnsi="Arial" w:cs="Arial"/>
          <w:color w:val="0B0080"/>
          <w:sz w:val="19"/>
          <w:szCs w:val="19"/>
          <w:vertAlign w:val="superscript"/>
        </w:rPr>
        <w:fldChar w:fldCharType="end"/>
      </w:r>
      <w:r w:rsidR="00A50C2D">
        <w:rPr>
          <w:rFonts w:ascii="Arial" w:hAnsi="Arial" w:cs="Arial"/>
          <w:color w:val="0B0080"/>
          <w:sz w:val="19"/>
          <w:szCs w:val="19"/>
          <w:vertAlign w:val="superscript"/>
        </w:rPr>
        <w:fldChar w:fldCharType="end"/>
      </w:r>
      <w:r w:rsidR="00E21AE5">
        <w:rPr>
          <w:rFonts w:ascii="Arial" w:hAnsi="Arial" w:cs="Arial"/>
          <w:color w:val="0B0080"/>
          <w:sz w:val="19"/>
          <w:szCs w:val="19"/>
          <w:vertAlign w:val="superscript"/>
        </w:rPr>
        <w:fldChar w:fldCharType="end"/>
      </w:r>
      <w:r w:rsidR="004B06DD">
        <w:rPr>
          <w:rFonts w:ascii="Arial" w:hAnsi="Arial" w:cs="Arial"/>
          <w:color w:val="0B0080"/>
          <w:sz w:val="19"/>
          <w:szCs w:val="19"/>
          <w:vertAlign w:val="superscript"/>
        </w:rPr>
        <w:fldChar w:fldCharType="end"/>
      </w:r>
      <w:r w:rsidR="00EC409B">
        <w:rPr>
          <w:rFonts w:ascii="Arial" w:hAnsi="Arial" w:cs="Arial"/>
          <w:color w:val="0B0080"/>
          <w:sz w:val="19"/>
          <w:szCs w:val="19"/>
          <w:vertAlign w:val="superscript"/>
        </w:rPr>
        <w:fldChar w:fldCharType="end"/>
      </w:r>
      <w:r w:rsidR="00902601">
        <w:rPr>
          <w:rFonts w:ascii="Arial" w:hAnsi="Arial" w:cs="Arial"/>
          <w:color w:val="0B0080"/>
          <w:sz w:val="19"/>
          <w:szCs w:val="19"/>
          <w:vertAlign w:val="superscript"/>
        </w:rPr>
        <w:fldChar w:fldCharType="end"/>
      </w:r>
      <w:r w:rsidR="006D6AC4">
        <w:rPr>
          <w:rFonts w:ascii="Arial" w:hAnsi="Arial" w:cs="Arial"/>
          <w:color w:val="0B0080"/>
          <w:sz w:val="19"/>
          <w:szCs w:val="19"/>
          <w:vertAlign w:val="superscript"/>
        </w:rPr>
        <w:fldChar w:fldCharType="end"/>
      </w:r>
      <w:r w:rsidR="00173284">
        <w:rPr>
          <w:rFonts w:ascii="Arial" w:hAnsi="Arial" w:cs="Arial"/>
          <w:color w:val="0B0080"/>
          <w:sz w:val="19"/>
          <w:szCs w:val="19"/>
          <w:vertAlign w:val="superscript"/>
        </w:rPr>
        <w:fldChar w:fldCharType="end"/>
      </w:r>
      <w:r w:rsidR="00BA1863">
        <w:rPr>
          <w:rFonts w:ascii="Arial" w:hAnsi="Arial" w:cs="Arial"/>
          <w:color w:val="0B0080"/>
          <w:sz w:val="19"/>
          <w:szCs w:val="19"/>
          <w:vertAlign w:val="superscript"/>
        </w:rPr>
        <w:fldChar w:fldCharType="end"/>
      </w:r>
      <w:r w:rsidR="001F1665">
        <w:rPr>
          <w:rFonts w:ascii="Arial" w:hAnsi="Arial" w:cs="Arial"/>
          <w:color w:val="0B0080"/>
          <w:sz w:val="19"/>
          <w:szCs w:val="19"/>
          <w:vertAlign w:val="superscript"/>
        </w:rPr>
        <w:fldChar w:fldCharType="end"/>
      </w:r>
      <w:r w:rsidR="006835AE">
        <w:rPr>
          <w:rFonts w:ascii="Arial" w:hAnsi="Arial" w:cs="Arial"/>
          <w:color w:val="0B0080"/>
          <w:sz w:val="19"/>
          <w:szCs w:val="19"/>
          <w:vertAlign w:val="superscript"/>
        </w:rPr>
        <w:fldChar w:fldCharType="end"/>
      </w:r>
      <w:r w:rsidR="00D57400">
        <w:rPr>
          <w:rFonts w:ascii="Arial" w:hAnsi="Arial" w:cs="Arial"/>
          <w:color w:val="0B0080"/>
          <w:sz w:val="19"/>
          <w:szCs w:val="19"/>
          <w:vertAlign w:val="superscript"/>
        </w:rPr>
        <w:fldChar w:fldCharType="end"/>
      </w:r>
      <w:r w:rsidR="00157582">
        <w:rPr>
          <w:rFonts w:ascii="Arial" w:hAnsi="Arial" w:cs="Arial"/>
          <w:color w:val="0B0080"/>
          <w:sz w:val="19"/>
          <w:szCs w:val="19"/>
          <w:vertAlign w:val="superscript"/>
        </w:rPr>
        <w:fldChar w:fldCharType="end"/>
      </w:r>
      <w:r w:rsidR="00EF6D8E">
        <w:rPr>
          <w:rFonts w:ascii="Arial" w:hAnsi="Arial" w:cs="Arial"/>
          <w:color w:val="0B0080"/>
          <w:sz w:val="19"/>
          <w:szCs w:val="19"/>
          <w:vertAlign w:val="superscript"/>
        </w:rPr>
        <w:fldChar w:fldCharType="end"/>
      </w:r>
      <w:r w:rsidR="005B5F4B">
        <w:rPr>
          <w:rFonts w:ascii="Arial" w:hAnsi="Arial" w:cs="Arial"/>
          <w:color w:val="0B0080"/>
          <w:sz w:val="19"/>
          <w:szCs w:val="19"/>
          <w:vertAlign w:val="superscript"/>
        </w:rPr>
        <w:fldChar w:fldCharType="end"/>
      </w:r>
      <w:r w:rsidR="00E56F19">
        <w:rPr>
          <w:rFonts w:ascii="Arial" w:hAnsi="Arial" w:cs="Arial"/>
          <w:color w:val="0B0080"/>
          <w:sz w:val="19"/>
          <w:szCs w:val="19"/>
          <w:vertAlign w:val="superscript"/>
        </w:rPr>
        <w:fldChar w:fldCharType="end"/>
      </w:r>
      <w:r w:rsidR="00271A74">
        <w:rPr>
          <w:rFonts w:ascii="Arial" w:hAnsi="Arial" w:cs="Arial"/>
          <w:color w:val="0B0080"/>
          <w:sz w:val="19"/>
          <w:szCs w:val="19"/>
          <w:vertAlign w:val="superscript"/>
        </w:rPr>
        <w:fldChar w:fldCharType="end"/>
      </w:r>
      <w:r w:rsidR="00212259">
        <w:rPr>
          <w:rFonts w:ascii="Arial" w:hAnsi="Arial" w:cs="Arial"/>
          <w:color w:val="0B0080"/>
          <w:sz w:val="19"/>
          <w:szCs w:val="19"/>
          <w:vertAlign w:val="superscript"/>
        </w:rPr>
        <w:fldChar w:fldCharType="end"/>
      </w:r>
      <w:r w:rsidR="00ED1ADA">
        <w:rPr>
          <w:rFonts w:ascii="Arial" w:hAnsi="Arial" w:cs="Arial"/>
          <w:color w:val="0B0080"/>
          <w:sz w:val="19"/>
          <w:szCs w:val="19"/>
          <w:vertAlign w:val="superscript"/>
        </w:rPr>
        <w:fldChar w:fldCharType="end"/>
      </w:r>
      <w:r w:rsidR="00C756F3">
        <w:rPr>
          <w:rFonts w:ascii="Arial" w:hAnsi="Arial" w:cs="Arial"/>
          <w:color w:val="0B0080"/>
          <w:sz w:val="19"/>
          <w:szCs w:val="19"/>
          <w:vertAlign w:val="superscript"/>
        </w:rPr>
        <w:fldChar w:fldCharType="end"/>
      </w:r>
      <w:r w:rsidR="00BD2AC4">
        <w:rPr>
          <w:rFonts w:ascii="Arial" w:hAnsi="Arial" w:cs="Arial"/>
          <w:color w:val="0B0080"/>
          <w:sz w:val="19"/>
          <w:szCs w:val="19"/>
          <w:vertAlign w:val="superscript"/>
        </w:rPr>
        <w:fldChar w:fldCharType="end"/>
      </w:r>
      <w:r w:rsidR="00417D39">
        <w:rPr>
          <w:rFonts w:ascii="Arial" w:hAnsi="Arial" w:cs="Arial"/>
          <w:color w:val="0B0080"/>
          <w:sz w:val="19"/>
          <w:szCs w:val="19"/>
          <w:vertAlign w:val="superscript"/>
        </w:rPr>
        <w:fldChar w:fldCharType="end"/>
      </w:r>
      <w:r w:rsidR="00DF4BFF">
        <w:rPr>
          <w:rFonts w:ascii="Arial" w:hAnsi="Arial" w:cs="Arial"/>
          <w:color w:val="0B0080"/>
          <w:sz w:val="19"/>
          <w:szCs w:val="19"/>
          <w:vertAlign w:val="superscript"/>
        </w:rPr>
        <w:fldChar w:fldCharType="end"/>
      </w:r>
      <w:r w:rsidR="004F7A7F">
        <w:rPr>
          <w:rFonts w:ascii="Arial" w:hAnsi="Arial" w:cs="Arial"/>
          <w:color w:val="0B0080"/>
          <w:sz w:val="19"/>
          <w:szCs w:val="19"/>
          <w:vertAlign w:val="superscript"/>
        </w:rPr>
        <w:fldChar w:fldCharType="end"/>
      </w:r>
      <w:r w:rsidR="00482906">
        <w:rPr>
          <w:rFonts w:ascii="Arial" w:hAnsi="Arial" w:cs="Arial"/>
          <w:color w:val="0B0080"/>
          <w:sz w:val="19"/>
          <w:szCs w:val="19"/>
          <w:vertAlign w:val="superscript"/>
        </w:rPr>
        <w:fldChar w:fldCharType="end"/>
      </w:r>
      <w:r w:rsidR="0099310D">
        <w:rPr>
          <w:rFonts w:ascii="Arial" w:hAnsi="Arial" w:cs="Arial"/>
          <w:color w:val="0B0080"/>
          <w:sz w:val="19"/>
          <w:szCs w:val="19"/>
          <w:vertAlign w:val="superscript"/>
        </w:rPr>
        <w:fldChar w:fldCharType="end"/>
      </w:r>
      <w:r w:rsidR="00664EBF">
        <w:rPr>
          <w:rFonts w:ascii="Arial" w:hAnsi="Arial" w:cs="Arial"/>
          <w:color w:val="0B0080"/>
          <w:sz w:val="19"/>
          <w:szCs w:val="19"/>
          <w:vertAlign w:val="superscript"/>
        </w:rPr>
        <w:fldChar w:fldCharType="end"/>
      </w:r>
      <w:r w:rsidR="007B486C">
        <w:rPr>
          <w:rFonts w:ascii="Arial" w:hAnsi="Arial" w:cs="Arial"/>
          <w:color w:val="0B0080"/>
          <w:sz w:val="19"/>
          <w:szCs w:val="19"/>
          <w:vertAlign w:val="superscript"/>
        </w:rPr>
        <w:fldChar w:fldCharType="end"/>
      </w:r>
      <w:r w:rsidR="00374EF3">
        <w:rPr>
          <w:rFonts w:ascii="Arial" w:hAnsi="Arial" w:cs="Arial"/>
          <w:color w:val="0B0080"/>
          <w:sz w:val="19"/>
          <w:szCs w:val="19"/>
          <w:vertAlign w:val="superscript"/>
        </w:rPr>
        <w:fldChar w:fldCharType="end"/>
      </w:r>
      <w:r w:rsidR="005B1DAA">
        <w:rPr>
          <w:rFonts w:ascii="Arial" w:hAnsi="Arial" w:cs="Arial"/>
          <w:color w:val="0B0080"/>
          <w:sz w:val="19"/>
          <w:szCs w:val="19"/>
          <w:vertAlign w:val="superscript"/>
        </w:rPr>
        <w:fldChar w:fldCharType="end"/>
      </w:r>
      <w:r w:rsidR="00C51E5B">
        <w:rPr>
          <w:rFonts w:ascii="Arial" w:hAnsi="Arial" w:cs="Arial"/>
          <w:color w:val="0B0080"/>
          <w:sz w:val="19"/>
          <w:szCs w:val="19"/>
          <w:vertAlign w:val="superscript"/>
        </w:rPr>
        <w:fldChar w:fldCharType="end"/>
      </w:r>
      <w:r w:rsidR="00913F63">
        <w:rPr>
          <w:rFonts w:ascii="Arial" w:hAnsi="Arial" w:cs="Arial"/>
          <w:color w:val="0B0080"/>
          <w:sz w:val="19"/>
          <w:szCs w:val="19"/>
          <w:vertAlign w:val="superscript"/>
        </w:rPr>
        <w:fldChar w:fldCharType="end"/>
      </w:r>
      <w:r w:rsidR="00DC4DA3">
        <w:rPr>
          <w:rFonts w:ascii="Arial" w:hAnsi="Arial" w:cs="Arial"/>
          <w:color w:val="0B0080"/>
          <w:sz w:val="19"/>
          <w:szCs w:val="19"/>
          <w:vertAlign w:val="superscript"/>
        </w:rPr>
        <w:fldChar w:fldCharType="end"/>
      </w:r>
      <w:r w:rsidR="00A642FE">
        <w:rPr>
          <w:rFonts w:ascii="Arial" w:hAnsi="Arial" w:cs="Arial"/>
          <w:color w:val="0B0080"/>
          <w:sz w:val="19"/>
          <w:szCs w:val="19"/>
          <w:vertAlign w:val="superscript"/>
        </w:rPr>
        <w:fldChar w:fldCharType="end"/>
      </w:r>
      <w:r w:rsidR="009C3337">
        <w:rPr>
          <w:rFonts w:ascii="Arial" w:hAnsi="Arial" w:cs="Arial"/>
          <w:color w:val="0B0080"/>
          <w:sz w:val="19"/>
          <w:szCs w:val="19"/>
          <w:vertAlign w:val="superscript"/>
        </w:rPr>
        <w:fldChar w:fldCharType="end"/>
      </w:r>
      <w:r w:rsidR="00703FF6">
        <w:rPr>
          <w:rFonts w:ascii="Arial" w:hAnsi="Arial" w:cs="Arial"/>
          <w:color w:val="0B0080"/>
          <w:sz w:val="19"/>
          <w:szCs w:val="19"/>
          <w:vertAlign w:val="superscript"/>
        </w:rPr>
        <w:fldChar w:fldCharType="end"/>
      </w:r>
      <w:r w:rsidR="00A75D44">
        <w:rPr>
          <w:rFonts w:ascii="Arial" w:hAnsi="Arial" w:cs="Arial"/>
          <w:color w:val="0B0080"/>
          <w:sz w:val="19"/>
          <w:szCs w:val="19"/>
          <w:vertAlign w:val="superscript"/>
        </w:rPr>
        <w:fldChar w:fldCharType="end"/>
      </w:r>
      <w:r w:rsidR="00D80570">
        <w:rPr>
          <w:rFonts w:ascii="Arial" w:hAnsi="Arial" w:cs="Arial"/>
          <w:color w:val="0B0080"/>
          <w:sz w:val="19"/>
          <w:szCs w:val="19"/>
          <w:vertAlign w:val="superscript"/>
        </w:rPr>
        <w:fldChar w:fldCharType="end"/>
      </w:r>
      <w:r w:rsidR="004A7029">
        <w:rPr>
          <w:rFonts w:ascii="Arial" w:hAnsi="Arial" w:cs="Arial"/>
          <w:color w:val="0B0080"/>
          <w:sz w:val="19"/>
          <w:szCs w:val="19"/>
          <w:vertAlign w:val="superscript"/>
        </w:rPr>
        <w:fldChar w:fldCharType="end"/>
      </w:r>
      <w:r w:rsidR="00FF5454">
        <w:rPr>
          <w:rFonts w:ascii="Arial" w:hAnsi="Arial" w:cs="Arial"/>
          <w:color w:val="0B0080"/>
          <w:sz w:val="19"/>
          <w:szCs w:val="19"/>
          <w:vertAlign w:val="superscript"/>
        </w:rPr>
        <w:fldChar w:fldCharType="end"/>
      </w:r>
      <w:r w:rsidR="003D33C0">
        <w:rPr>
          <w:rFonts w:ascii="Arial" w:hAnsi="Arial" w:cs="Arial"/>
          <w:color w:val="0B0080"/>
          <w:sz w:val="19"/>
          <w:szCs w:val="19"/>
          <w:vertAlign w:val="superscript"/>
        </w:rPr>
        <w:fldChar w:fldCharType="end"/>
      </w:r>
      <w:r w:rsidR="00D27B19">
        <w:rPr>
          <w:rFonts w:ascii="Arial" w:hAnsi="Arial" w:cs="Arial"/>
          <w:color w:val="0B0080"/>
          <w:sz w:val="19"/>
          <w:szCs w:val="19"/>
          <w:vertAlign w:val="superscript"/>
        </w:rPr>
        <w:fldChar w:fldCharType="end"/>
      </w:r>
      <w:r>
        <w:rPr>
          <w:rFonts w:ascii="Arial" w:hAnsi="Arial" w:cs="Arial"/>
          <w:color w:val="0B0080"/>
          <w:sz w:val="19"/>
          <w:szCs w:val="19"/>
          <w:vertAlign w:val="superscript"/>
        </w:rPr>
        <w:fldChar w:fldCharType="end"/>
      </w:r>
      <w:r>
        <w:rPr>
          <w:noProof/>
        </w:rPr>
        <w:drawing>
          <wp:anchor distT="0" distB="0" distL="114300" distR="114300" simplePos="0" relativeHeight="251659264" behindDoc="0" locked="0" layoutInCell="1" allowOverlap="1" wp14:anchorId="0C1B7B8A" wp14:editId="155F199A">
            <wp:simplePos x="0" y="0"/>
            <wp:positionH relativeFrom="margin">
              <wp:posOffset>0</wp:posOffset>
            </wp:positionH>
            <wp:positionV relativeFrom="paragraph">
              <wp:posOffset>-1905</wp:posOffset>
            </wp:positionV>
            <wp:extent cx="647065" cy="1380490"/>
            <wp:effectExtent l="0" t="0" r="635" b="0"/>
            <wp:wrapNone/>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065" cy="1380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D99E58" w14:textId="77777777" w:rsidR="00302BFE" w:rsidRDefault="00302BFE" w:rsidP="00302BFE">
      <w:pPr>
        <w:spacing w:after="120"/>
        <w:ind w:left="2160" w:firstLine="720"/>
        <w:rPr>
          <w:szCs w:val="20"/>
        </w:rPr>
      </w:pPr>
    </w:p>
    <w:bookmarkEnd w:id="0"/>
    <w:p w14:paraId="369C56A2" w14:textId="77777777" w:rsidR="00302BFE" w:rsidRDefault="00302BFE" w:rsidP="00302BFE">
      <w:pPr>
        <w:spacing w:after="120"/>
        <w:ind w:left="2160" w:firstLine="720"/>
        <w:rPr>
          <w:rFonts w:cs="Arial"/>
          <w:b/>
          <w:i/>
          <w:szCs w:val="22"/>
        </w:rPr>
      </w:pPr>
    </w:p>
    <w:p w14:paraId="26B45554" w14:textId="77777777" w:rsidR="00302BFE" w:rsidRPr="0003763F" w:rsidRDefault="00302BFE" w:rsidP="00302BFE">
      <w:pPr>
        <w:spacing w:after="240"/>
        <w:jc w:val="center"/>
        <w:rPr>
          <w:rFonts w:cs="Arial"/>
          <w:b/>
          <w:szCs w:val="22"/>
        </w:rPr>
      </w:pPr>
      <w:r w:rsidRPr="0003763F">
        <w:rPr>
          <w:rFonts w:cs="Arial"/>
          <w:b/>
          <w:szCs w:val="22"/>
        </w:rPr>
        <w:t>United Nations Development Programme</w:t>
      </w:r>
    </w:p>
    <w:p w14:paraId="6F3A2E23" w14:textId="77777777" w:rsidR="00302BFE" w:rsidRPr="0003763F" w:rsidRDefault="00302BFE" w:rsidP="00302BFE">
      <w:pPr>
        <w:spacing w:after="0"/>
        <w:jc w:val="center"/>
        <w:rPr>
          <w:rFonts w:cs="Arial"/>
          <w:b/>
          <w:szCs w:val="22"/>
        </w:rPr>
      </w:pPr>
      <w:r w:rsidRPr="0003763F">
        <w:rPr>
          <w:rFonts w:cs="Arial"/>
          <w:b/>
          <w:szCs w:val="22"/>
        </w:rPr>
        <w:t>Annotated Project Document template for nationally implemented projects</w:t>
      </w:r>
    </w:p>
    <w:p w14:paraId="2608DE84" w14:textId="77777777" w:rsidR="00302BFE" w:rsidRPr="0003763F" w:rsidRDefault="00302BFE" w:rsidP="00302BFE">
      <w:pPr>
        <w:spacing w:after="0"/>
        <w:jc w:val="center"/>
        <w:rPr>
          <w:rFonts w:cs="Arial"/>
          <w:b/>
          <w:szCs w:val="22"/>
        </w:rPr>
      </w:pPr>
      <w:r w:rsidRPr="0003763F">
        <w:rPr>
          <w:rFonts w:cs="Arial"/>
          <w:b/>
          <w:szCs w:val="22"/>
        </w:rPr>
        <w:t>financed by the GEF</w:t>
      </w:r>
      <w:r>
        <w:rPr>
          <w:rFonts w:cs="Arial"/>
          <w:b/>
          <w:szCs w:val="22"/>
        </w:rPr>
        <w:t>/</w:t>
      </w:r>
      <w:r w:rsidRPr="0003763F">
        <w:rPr>
          <w:rFonts w:cs="Arial"/>
          <w:b/>
          <w:szCs w:val="22"/>
        </w:rPr>
        <w:t>LDCF</w:t>
      </w:r>
      <w:r>
        <w:rPr>
          <w:rFonts w:cs="Arial"/>
          <w:b/>
          <w:szCs w:val="22"/>
        </w:rPr>
        <w:t>/</w:t>
      </w:r>
      <w:r w:rsidRPr="0003763F">
        <w:rPr>
          <w:rFonts w:cs="Arial"/>
          <w:b/>
          <w:szCs w:val="22"/>
        </w:rPr>
        <w:t>SCCF Trust Funds</w:t>
      </w:r>
    </w:p>
    <w:p w14:paraId="3D4D33B6" w14:textId="77777777" w:rsidR="00302BFE" w:rsidRPr="0003763F" w:rsidRDefault="00302BFE" w:rsidP="00302BFE">
      <w:pPr>
        <w:spacing w:after="0"/>
        <w:jc w:val="left"/>
        <w:rPr>
          <w:rFonts w:cs="Arial"/>
          <w:b/>
          <w:i/>
          <w:szCs w:val="20"/>
        </w:rPr>
      </w:pP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5"/>
        <w:gridCol w:w="1060"/>
        <w:gridCol w:w="499"/>
        <w:gridCol w:w="929"/>
        <w:gridCol w:w="462"/>
        <w:gridCol w:w="877"/>
        <w:gridCol w:w="3787"/>
        <w:gridCol w:w="16"/>
      </w:tblGrid>
      <w:tr w:rsidR="00302BFE" w:rsidRPr="006E490C" w14:paraId="1B40EF91" w14:textId="77777777" w:rsidTr="005E6DCD">
        <w:trPr>
          <w:gridAfter w:val="1"/>
          <w:wAfter w:w="16" w:type="dxa"/>
          <w:trHeight w:val="548"/>
          <w:jc w:val="center"/>
        </w:trPr>
        <w:tc>
          <w:tcPr>
            <w:tcW w:w="9249" w:type="dxa"/>
            <w:gridSpan w:val="7"/>
            <w:shd w:val="clear" w:color="auto" w:fill="auto"/>
          </w:tcPr>
          <w:p w14:paraId="55C5AB14" w14:textId="77777777" w:rsidR="00302BFE" w:rsidRPr="006E490C" w:rsidRDefault="00302BFE" w:rsidP="00243B15">
            <w:pPr>
              <w:spacing w:before="60"/>
              <w:jc w:val="left"/>
              <w:rPr>
                <w:rFonts w:cs="Arial"/>
                <w:b/>
                <w:szCs w:val="20"/>
              </w:rPr>
            </w:pPr>
            <w:r w:rsidRPr="006E490C">
              <w:rPr>
                <w:rFonts w:cs="Arial"/>
                <w:b/>
                <w:szCs w:val="20"/>
              </w:rPr>
              <w:t>Project title: Integrated and Sustainable Management of PONASI Protected Area Landscape</w:t>
            </w:r>
          </w:p>
        </w:tc>
      </w:tr>
      <w:tr w:rsidR="00302BFE" w:rsidRPr="006E490C" w14:paraId="2971D1AD" w14:textId="77777777" w:rsidTr="005E6DCD">
        <w:trPr>
          <w:gridAfter w:val="1"/>
          <w:wAfter w:w="16" w:type="dxa"/>
          <w:jc w:val="center"/>
        </w:trPr>
        <w:tc>
          <w:tcPr>
            <w:tcW w:w="1635" w:type="dxa"/>
            <w:shd w:val="clear" w:color="auto" w:fill="auto"/>
          </w:tcPr>
          <w:p w14:paraId="2533443A" w14:textId="77777777" w:rsidR="00302BFE" w:rsidRPr="006E490C" w:rsidRDefault="00302BFE" w:rsidP="00243B15">
            <w:pPr>
              <w:spacing w:before="60"/>
              <w:jc w:val="left"/>
              <w:rPr>
                <w:rFonts w:cs="Arial"/>
                <w:b/>
                <w:szCs w:val="20"/>
              </w:rPr>
            </w:pPr>
            <w:r w:rsidRPr="006E490C">
              <w:rPr>
                <w:rFonts w:cs="Arial"/>
                <w:b/>
                <w:szCs w:val="20"/>
              </w:rPr>
              <w:t xml:space="preserve">Country:  </w:t>
            </w:r>
            <w:r w:rsidRPr="006E490C">
              <w:rPr>
                <w:rFonts w:cs="Arial"/>
                <w:szCs w:val="20"/>
              </w:rPr>
              <w:t>Burkina Faso</w:t>
            </w:r>
          </w:p>
        </w:tc>
        <w:tc>
          <w:tcPr>
            <w:tcW w:w="3827" w:type="dxa"/>
            <w:gridSpan w:val="5"/>
            <w:shd w:val="clear" w:color="auto" w:fill="auto"/>
          </w:tcPr>
          <w:p w14:paraId="3ACD218A" w14:textId="76E4D345" w:rsidR="00302BFE" w:rsidRPr="006E490C" w:rsidRDefault="00302BFE" w:rsidP="00243B15">
            <w:pPr>
              <w:spacing w:before="60"/>
              <w:jc w:val="left"/>
              <w:rPr>
                <w:rFonts w:cs="Arial"/>
                <w:b/>
                <w:szCs w:val="20"/>
              </w:rPr>
            </w:pPr>
            <w:r w:rsidRPr="006E490C">
              <w:rPr>
                <w:rFonts w:cs="Arial"/>
                <w:b/>
                <w:szCs w:val="20"/>
              </w:rPr>
              <w:t>Implementing Partner</w:t>
            </w:r>
            <w:r w:rsidRPr="00DF7BF1">
              <w:rPr>
                <w:rFonts w:cs="Arial"/>
                <w:b/>
                <w:szCs w:val="20"/>
                <w:highlight w:val="green"/>
              </w:rPr>
              <w:t xml:space="preserve">: </w:t>
            </w:r>
            <w:bookmarkStart w:id="1" w:name="_Hlk119328119"/>
            <w:r w:rsidR="00CF65C6" w:rsidRPr="00DF7BF1">
              <w:rPr>
                <w:rFonts w:cs="Arial"/>
                <w:szCs w:val="20"/>
                <w:highlight w:val="green"/>
              </w:rPr>
              <w:t>SP Conseil Nation Devel Durabl under the Ministry in charge of the Environment</w:t>
            </w:r>
            <w:bookmarkEnd w:id="1"/>
          </w:p>
        </w:tc>
        <w:tc>
          <w:tcPr>
            <w:tcW w:w="3787" w:type="dxa"/>
            <w:shd w:val="clear" w:color="auto" w:fill="auto"/>
          </w:tcPr>
          <w:p w14:paraId="6A8C7503" w14:textId="46240862" w:rsidR="00302BFE" w:rsidRPr="006E490C" w:rsidRDefault="00302BFE" w:rsidP="00243B15">
            <w:pPr>
              <w:spacing w:before="60"/>
              <w:jc w:val="left"/>
              <w:rPr>
                <w:rFonts w:cs="Arial"/>
                <w:i/>
                <w:szCs w:val="20"/>
                <w:lang w:val="fr-FR"/>
              </w:rPr>
            </w:pPr>
            <w:r w:rsidRPr="006E490C">
              <w:rPr>
                <w:rFonts w:cs="Arial"/>
                <w:b/>
                <w:szCs w:val="20"/>
                <w:lang w:val="fr-FR"/>
              </w:rPr>
              <w:t>Management Arrangements</w:t>
            </w:r>
            <w:r w:rsidRPr="00DF7BF1">
              <w:rPr>
                <w:rFonts w:cs="Arial"/>
                <w:bCs/>
                <w:szCs w:val="20"/>
                <w:lang w:val="fr-FR"/>
              </w:rPr>
              <w:t xml:space="preserve">: </w:t>
            </w:r>
            <w:r w:rsidR="00DF7BF1" w:rsidRPr="00DF7BF1">
              <w:rPr>
                <w:rFonts w:cs="Arial"/>
                <w:bCs/>
                <w:szCs w:val="20"/>
                <w:highlight w:val="green"/>
                <w:lang w:val="fr-FR"/>
              </w:rPr>
              <w:t>Full</w:t>
            </w:r>
            <w:r w:rsidR="00DF7BF1" w:rsidRPr="00DF7BF1">
              <w:rPr>
                <w:rFonts w:cs="Arial"/>
                <w:b/>
                <w:szCs w:val="20"/>
                <w:highlight w:val="green"/>
                <w:lang w:val="fr-FR"/>
              </w:rPr>
              <w:t xml:space="preserve"> </w:t>
            </w:r>
            <w:r w:rsidRPr="00DF7BF1">
              <w:rPr>
                <w:rFonts w:cs="Arial"/>
                <w:szCs w:val="20"/>
                <w:highlight w:val="green"/>
                <w:lang w:val="fr-FR"/>
              </w:rPr>
              <w:t>National Implementation Modality (NIM)</w:t>
            </w:r>
            <w:r w:rsidRPr="006E490C">
              <w:rPr>
                <w:rFonts w:cs="Arial"/>
                <w:i/>
                <w:szCs w:val="20"/>
                <w:lang w:val="fr-FR"/>
              </w:rPr>
              <w:t xml:space="preserve"> </w:t>
            </w:r>
          </w:p>
        </w:tc>
      </w:tr>
      <w:tr w:rsidR="00302BFE" w:rsidRPr="006E490C" w14:paraId="398AA146" w14:textId="77777777" w:rsidTr="005E6DCD">
        <w:trPr>
          <w:gridAfter w:val="1"/>
          <w:wAfter w:w="16" w:type="dxa"/>
          <w:jc w:val="center"/>
        </w:trPr>
        <w:tc>
          <w:tcPr>
            <w:tcW w:w="9249" w:type="dxa"/>
            <w:gridSpan w:val="7"/>
            <w:shd w:val="clear" w:color="auto" w:fill="auto"/>
          </w:tcPr>
          <w:p w14:paraId="0E85AEAB" w14:textId="77777777" w:rsidR="00302BFE" w:rsidRPr="006E490C" w:rsidRDefault="00302BFE" w:rsidP="00243B15">
            <w:pPr>
              <w:spacing w:before="60"/>
              <w:jc w:val="left"/>
              <w:rPr>
                <w:rFonts w:cs="Arial"/>
                <w:b/>
                <w:szCs w:val="20"/>
              </w:rPr>
            </w:pPr>
            <w:r w:rsidRPr="006E490C">
              <w:rPr>
                <w:rFonts w:cs="Arial"/>
                <w:b/>
                <w:szCs w:val="20"/>
              </w:rPr>
              <w:t>UNDAF/Country Programme Outcome</w:t>
            </w:r>
            <w:r w:rsidRPr="006E490C">
              <w:rPr>
                <w:rFonts w:cs="Arial"/>
                <w:i/>
                <w:szCs w:val="20"/>
              </w:rPr>
              <w:t xml:space="preserve">: </w:t>
            </w:r>
            <w:r w:rsidRPr="006E490C">
              <w:rPr>
                <w:rFonts w:cs="Arial"/>
                <w:szCs w:val="20"/>
              </w:rPr>
              <w:t>Outcome 3.2 - By the end of 2020, ensure that populations, especially young people and women in intervention areas (urban / rural), increase their incomes, adopt sustainable modes of production and consumption and improve their food security</w:t>
            </w:r>
          </w:p>
        </w:tc>
      </w:tr>
      <w:tr w:rsidR="00302BFE" w:rsidRPr="006E490C" w14:paraId="10424075" w14:textId="77777777" w:rsidTr="005E6DCD">
        <w:trPr>
          <w:gridAfter w:val="1"/>
          <w:wAfter w:w="16" w:type="dxa"/>
          <w:jc w:val="center"/>
        </w:trPr>
        <w:tc>
          <w:tcPr>
            <w:tcW w:w="9249" w:type="dxa"/>
            <w:gridSpan w:val="7"/>
            <w:shd w:val="clear" w:color="auto" w:fill="auto"/>
          </w:tcPr>
          <w:p w14:paraId="1659DB64" w14:textId="77777777" w:rsidR="00302BFE" w:rsidRPr="006E490C" w:rsidRDefault="00302BFE" w:rsidP="00243B15">
            <w:pPr>
              <w:spacing w:before="60"/>
              <w:jc w:val="left"/>
              <w:rPr>
                <w:rFonts w:cs="Arial"/>
                <w:b/>
                <w:szCs w:val="20"/>
                <w:lang w:val="en-CA"/>
              </w:rPr>
            </w:pPr>
            <w:r w:rsidRPr="006E490C">
              <w:rPr>
                <w:rFonts w:cs="Arial"/>
                <w:b/>
                <w:szCs w:val="20"/>
              </w:rPr>
              <w:t xml:space="preserve">UNDP Strategic Plan Output: </w:t>
            </w:r>
            <w:r w:rsidRPr="006E490C">
              <w:rPr>
                <w:color w:val="000000"/>
                <w:szCs w:val="20"/>
                <w:lang w:val="en-CA"/>
              </w:rPr>
              <w:t>1.4.1 Solutions scaled up for sustainable management of natural resources, including sustainable commodities and green and inclusive value chains</w:t>
            </w:r>
          </w:p>
        </w:tc>
      </w:tr>
      <w:tr w:rsidR="00302BFE" w:rsidRPr="006E490C" w14:paraId="1CE24A16" w14:textId="77777777" w:rsidTr="005E6DCD">
        <w:trPr>
          <w:gridAfter w:val="1"/>
          <w:wAfter w:w="16" w:type="dxa"/>
          <w:trHeight w:val="459"/>
          <w:jc w:val="center"/>
        </w:trPr>
        <w:tc>
          <w:tcPr>
            <w:tcW w:w="3194" w:type="dxa"/>
            <w:gridSpan w:val="3"/>
            <w:shd w:val="clear" w:color="auto" w:fill="auto"/>
          </w:tcPr>
          <w:p w14:paraId="58AF73A9" w14:textId="5BEE8F26" w:rsidR="00302BFE" w:rsidRPr="006E490C" w:rsidRDefault="00302BFE" w:rsidP="00243B15">
            <w:pPr>
              <w:spacing w:before="60"/>
              <w:jc w:val="left"/>
              <w:rPr>
                <w:rFonts w:cs="Arial"/>
                <w:i/>
                <w:szCs w:val="20"/>
              </w:rPr>
            </w:pPr>
            <w:r w:rsidRPr="006E490C">
              <w:rPr>
                <w:rFonts w:cs="Arial"/>
                <w:b/>
                <w:szCs w:val="20"/>
              </w:rPr>
              <w:t xml:space="preserve">UNDP Social and Environmental Screening Category: </w:t>
            </w:r>
            <w:r w:rsidR="004B06DD" w:rsidRPr="004B06DD">
              <w:rPr>
                <w:rFonts w:cs="Arial"/>
                <w:bCs/>
                <w:szCs w:val="20"/>
              </w:rPr>
              <w:t>Substantial</w:t>
            </w:r>
          </w:p>
        </w:tc>
        <w:tc>
          <w:tcPr>
            <w:tcW w:w="6055" w:type="dxa"/>
            <w:gridSpan w:val="4"/>
            <w:shd w:val="clear" w:color="auto" w:fill="auto"/>
          </w:tcPr>
          <w:p w14:paraId="5DF50C36" w14:textId="77777777" w:rsidR="00302BFE" w:rsidRPr="006E490C" w:rsidRDefault="00302BFE" w:rsidP="00243B15">
            <w:pPr>
              <w:spacing w:before="60"/>
              <w:jc w:val="left"/>
              <w:rPr>
                <w:i/>
              </w:rPr>
            </w:pPr>
            <w:r w:rsidRPr="006E490C">
              <w:rPr>
                <w:rFonts w:cs="Arial"/>
                <w:b/>
                <w:szCs w:val="20"/>
              </w:rPr>
              <w:t xml:space="preserve">UNDP Gender Marker: </w:t>
            </w:r>
            <w:r w:rsidRPr="006E490C">
              <w:rPr>
                <w:rFonts w:cs="Arial"/>
                <w:szCs w:val="20"/>
              </w:rPr>
              <w:t>2</w:t>
            </w:r>
          </w:p>
        </w:tc>
      </w:tr>
      <w:tr w:rsidR="00302BFE" w:rsidRPr="006E490C" w14:paraId="72210DC2" w14:textId="77777777" w:rsidTr="005E6DCD">
        <w:trPr>
          <w:gridAfter w:val="1"/>
          <w:wAfter w:w="16" w:type="dxa"/>
          <w:jc w:val="center"/>
        </w:trPr>
        <w:tc>
          <w:tcPr>
            <w:tcW w:w="3194" w:type="dxa"/>
            <w:gridSpan w:val="3"/>
            <w:shd w:val="clear" w:color="auto" w:fill="auto"/>
          </w:tcPr>
          <w:p w14:paraId="3040F8FF" w14:textId="77777777" w:rsidR="00302BFE" w:rsidRPr="006E490C" w:rsidRDefault="00302BFE" w:rsidP="00243B15">
            <w:pPr>
              <w:spacing w:before="60"/>
              <w:jc w:val="left"/>
              <w:rPr>
                <w:rFonts w:cs="Arial"/>
                <w:szCs w:val="20"/>
                <w:lang w:eastAsia="zh-CN"/>
              </w:rPr>
            </w:pPr>
            <w:r w:rsidRPr="006E490C">
              <w:rPr>
                <w:rFonts w:cs="Arial"/>
                <w:b/>
                <w:szCs w:val="20"/>
              </w:rPr>
              <w:t xml:space="preserve">Atlas </w:t>
            </w:r>
            <w:r w:rsidRPr="006E490C">
              <w:rPr>
                <w:rFonts w:cs="Arial"/>
                <w:b/>
                <w:szCs w:val="20"/>
                <w:lang w:eastAsia="zh-CN"/>
              </w:rPr>
              <w:t>Project ID</w:t>
            </w:r>
            <w:r w:rsidRPr="006E490C">
              <w:rPr>
                <w:rFonts w:cs="Arial"/>
                <w:b/>
                <w:szCs w:val="20"/>
              </w:rPr>
              <w:t>: 00090370</w:t>
            </w:r>
          </w:p>
        </w:tc>
        <w:tc>
          <w:tcPr>
            <w:tcW w:w="6055" w:type="dxa"/>
            <w:gridSpan w:val="4"/>
            <w:shd w:val="clear" w:color="auto" w:fill="auto"/>
          </w:tcPr>
          <w:p w14:paraId="479D21A8" w14:textId="77777777" w:rsidR="00302BFE" w:rsidRPr="006E490C" w:rsidRDefault="00302BFE" w:rsidP="00243B15">
            <w:pPr>
              <w:spacing w:before="60"/>
              <w:jc w:val="left"/>
              <w:rPr>
                <w:rFonts w:cs="Arial"/>
                <w:b/>
                <w:szCs w:val="20"/>
              </w:rPr>
            </w:pPr>
            <w:r w:rsidRPr="006E490C">
              <w:rPr>
                <w:rFonts w:cs="Arial"/>
                <w:b/>
                <w:szCs w:val="20"/>
              </w:rPr>
              <w:t>Atlas O</w:t>
            </w:r>
            <w:r w:rsidRPr="006E490C">
              <w:rPr>
                <w:rFonts w:cs="Arial"/>
                <w:b/>
                <w:szCs w:val="20"/>
                <w:lang w:eastAsia="zh-CN"/>
              </w:rPr>
              <w:t>utput ID</w:t>
            </w:r>
            <w:r w:rsidRPr="006E490C">
              <w:rPr>
                <w:rFonts w:cs="Arial"/>
                <w:b/>
                <w:szCs w:val="20"/>
              </w:rPr>
              <w:t>: 00096170</w:t>
            </w:r>
          </w:p>
        </w:tc>
      </w:tr>
      <w:tr w:rsidR="00302BFE" w:rsidRPr="006E490C" w14:paraId="3404A18A" w14:textId="77777777" w:rsidTr="005E6DCD">
        <w:trPr>
          <w:gridAfter w:val="1"/>
          <w:wAfter w:w="16" w:type="dxa"/>
          <w:jc w:val="center"/>
        </w:trPr>
        <w:tc>
          <w:tcPr>
            <w:tcW w:w="3194" w:type="dxa"/>
            <w:gridSpan w:val="3"/>
            <w:shd w:val="clear" w:color="auto" w:fill="auto"/>
          </w:tcPr>
          <w:p w14:paraId="7919C29C" w14:textId="77777777" w:rsidR="00302BFE" w:rsidRPr="00D61C93" w:rsidRDefault="00302BFE" w:rsidP="00243B15">
            <w:pPr>
              <w:spacing w:before="60"/>
              <w:jc w:val="left"/>
              <w:rPr>
                <w:rFonts w:cs="Arial"/>
                <w:b/>
                <w:szCs w:val="20"/>
              </w:rPr>
            </w:pPr>
            <w:r w:rsidRPr="00D61C93">
              <w:rPr>
                <w:rFonts w:cs="Arial"/>
                <w:b/>
                <w:szCs w:val="20"/>
              </w:rPr>
              <w:t xml:space="preserve">UNDP-GEF PIMS ID number: 5938 </w:t>
            </w:r>
          </w:p>
        </w:tc>
        <w:tc>
          <w:tcPr>
            <w:tcW w:w="6055" w:type="dxa"/>
            <w:gridSpan w:val="4"/>
            <w:shd w:val="clear" w:color="auto" w:fill="auto"/>
          </w:tcPr>
          <w:p w14:paraId="6C4BD3AE" w14:textId="77777777" w:rsidR="00302BFE" w:rsidRPr="006E490C" w:rsidRDefault="00302BFE" w:rsidP="00243B15">
            <w:pPr>
              <w:spacing w:before="60"/>
              <w:jc w:val="left"/>
              <w:rPr>
                <w:rFonts w:cs="Arial"/>
                <w:b/>
                <w:szCs w:val="20"/>
              </w:rPr>
            </w:pPr>
            <w:r w:rsidRPr="006E490C">
              <w:rPr>
                <w:rFonts w:cs="Arial"/>
                <w:b/>
                <w:szCs w:val="20"/>
              </w:rPr>
              <w:t>GEF ID number: 9764</w:t>
            </w:r>
          </w:p>
        </w:tc>
      </w:tr>
      <w:tr w:rsidR="00302BFE" w:rsidRPr="006E490C" w14:paraId="5094163E" w14:textId="77777777" w:rsidTr="005E6DCD">
        <w:trPr>
          <w:gridAfter w:val="1"/>
          <w:wAfter w:w="16" w:type="dxa"/>
          <w:trHeight w:val="413"/>
          <w:jc w:val="center"/>
        </w:trPr>
        <w:tc>
          <w:tcPr>
            <w:tcW w:w="3194" w:type="dxa"/>
            <w:gridSpan w:val="3"/>
            <w:shd w:val="clear" w:color="auto" w:fill="auto"/>
          </w:tcPr>
          <w:p w14:paraId="30B5F131" w14:textId="7577BE12" w:rsidR="00302BFE" w:rsidRPr="00D61C93" w:rsidRDefault="00302BFE" w:rsidP="00243B15">
            <w:pPr>
              <w:spacing w:before="60"/>
              <w:jc w:val="left"/>
              <w:rPr>
                <w:rFonts w:cs="Arial"/>
                <w:b/>
                <w:szCs w:val="20"/>
              </w:rPr>
            </w:pPr>
            <w:r w:rsidRPr="00D61C93">
              <w:rPr>
                <w:rFonts w:cs="Arial"/>
                <w:b/>
                <w:szCs w:val="20"/>
              </w:rPr>
              <w:t>Planned start date</w:t>
            </w:r>
            <w:r w:rsidRPr="005E6DCD">
              <w:rPr>
                <w:rFonts w:cs="Arial"/>
                <w:b/>
                <w:szCs w:val="20"/>
                <w:highlight w:val="green"/>
              </w:rPr>
              <w:t xml:space="preserve">: </w:t>
            </w:r>
            <w:r w:rsidR="005E6DCD" w:rsidRPr="005E6DCD">
              <w:rPr>
                <w:rFonts w:cs="Arial"/>
                <w:szCs w:val="20"/>
                <w:highlight w:val="green"/>
              </w:rPr>
              <w:t>20</w:t>
            </w:r>
            <w:r w:rsidRPr="005E6DCD">
              <w:rPr>
                <w:rFonts w:cs="Arial"/>
                <w:szCs w:val="20"/>
                <w:highlight w:val="green"/>
              </w:rPr>
              <w:t xml:space="preserve"> </w:t>
            </w:r>
            <w:r w:rsidR="008477AD" w:rsidRPr="005E6DCD">
              <w:rPr>
                <w:rFonts w:cs="Arial"/>
                <w:szCs w:val="20"/>
                <w:highlight w:val="green"/>
              </w:rPr>
              <w:t>January</w:t>
            </w:r>
            <w:r w:rsidRPr="005E6DCD">
              <w:rPr>
                <w:rFonts w:cs="Arial"/>
                <w:szCs w:val="20"/>
                <w:highlight w:val="green"/>
              </w:rPr>
              <w:t xml:space="preserve"> 20</w:t>
            </w:r>
            <w:r w:rsidR="008477AD" w:rsidRPr="005E6DCD">
              <w:rPr>
                <w:rFonts w:cs="Arial"/>
                <w:szCs w:val="20"/>
                <w:highlight w:val="green"/>
              </w:rPr>
              <w:t>2</w:t>
            </w:r>
            <w:r w:rsidR="005E6DCD" w:rsidRPr="005E6DCD">
              <w:rPr>
                <w:rFonts w:cs="Arial"/>
                <w:szCs w:val="20"/>
                <w:highlight w:val="green"/>
              </w:rPr>
              <w:t>3</w:t>
            </w:r>
            <w:r w:rsidRPr="00D61C93">
              <w:rPr>
                <w:rFonts w:cs="Arial"/>
                <w:szCs w:val="20"/>
              </w:rPr>
              <w:t xml:space="preserve"> </w:t>
            </w:r>
          </w:p>
        </w:tc>
        <w:tc>
          <w:tcPr>
            <w:tcW w:w="6055" w:type="dxa"/>
            <w:gridSpan w:val="4"/>
            <w:shd w:val="clear" w:color="auto" w:fill="auto"/>
          </w:tcPr>
          <w:p w14:paraId="4EF2B845" w14:textId="7DDFF72D" w:rsidR="00302BFE" w:rsidRPr="00D61C93" w:rsidRDefault="00302BFE" w:rsidP="00243B15">
            <w:pPr>
              <w:spacing w:before="60"/>
              <w:jc w:val="left"/>
              <w:rPr>
                <w:rFonts w:cs="Arial"/>
                <w:i/>
                <w:szCs w:val="20"/>
              </w:rPr>
            </w:pPr>
            <w:r w:rsidRPr="00D61C93">
              <w:rPr>
                <w:rFonts w:cs="Arial"/>
                <w:b/>
                <w:szCs w:val="20"/>
              </w:rPr>
              <w:t xml:space="preserve">Planned end date:  </w:t>
            </w:r>
            <w:r w:rsidR="005E6DCD" w:rsidRPr="005E6DCD">
              <w:rPr>
                <w:rFonts w:cs="Arial"/>
                <w:szCs w:val="20"/>
                <w:highlight w:val="green"/>
              </w:rPr>
              <w:t>1</w:t>
            </w:r>
            <w:r w:rsidR="00AF66F2">
              <w:rPr>
                <w:rFonts w:cs="Arial"/>
                <w:szCs w:val="20"/>
                <w:highlight w:val="green"/>
              </w:rPr>
              <w:t>9</w:t>
            </w:r>
            <w:r w:rsidR="005E6DCD" w:rsidRPr="005E6DCD">
              <w:rPr>
                <w:rFonts w:cs="Arial"/>
                <w:szCs w:val="20"/>
                <w:highlight w:val="green"/>
              </w:rPr>
              <w:t xml:space="preserve"> </w:t>
            </w:r>
            <w:r w:rsidR="00AF66F2">
              <w:rPr>
                <w:rFonts w:cs="Arial"/>
                <w:szCs w:val="20"/>
                <w:highlight w:val="green"/>
              </w:rPr>
              <w:t>Jan</w:t>
            </w:r>
            <w:r w:rsidR="005E6DCD" w:rsidRPr="005E6DCD">
              <w:rPr>
                <w:rFonts w:cs="Arial"/>
                <w:szCs w:val="20"/>
                <w:highlight w:val="green"/>
              </w:rPr>
              <w:t>uary</w:t>
            </w:r>
            <w:r w:rsidRPr="005E6DCD">
              <w:rPr>
                <w:rFonts w:cs="Arial"/>
                <w:szCs w:val="20"/>
                <w:highlight w:val="green"/>
              </w:rPr>
              <w:t xml:space="preserve"> 202</w:t>
            </w:r>
            <w:r w:rsidR="005E6DCD" w:rsidRPr="005E6DCD">
              <w:rPr>
                <w:rFonts w:cs="Arial"/>
                <w:szCs w:val="20"/>
                <w:highlight w:val="green"/>
              </w:rPr>
              <w:t>9</w:t>
            </w:r>
          </w:p>
        </w:tc>
      </w:tr>
      <w:tr w:rsidR="00302BFE" w:rsidRPr="006E490C" w14:paraId="3EB07392" w14:textId="77777777" w:rsidTr="005E6DCD">
        <w:trPr>
          <w:gridAfter w:val="1"/>
          <w:wAfter w:w="16" w:type="dxa"/>
          <w:jc w:val="center"/>
        </w:trPr>
        <w:tc>
          <w:tcPr>
            <w:tcW w:w="9249" w:type="dxa"/>
            <w:gridSpan w:val="7"/>
            <w:shd w:val="clear" w:color="auto" w:fill="auto"/>
          </w:tcPr>
          <w:p w14:paraId="5C2626EF" w14:textId="3A0E8E8F" w:rsidR="00302BFE" w:rsidRPr="00D61C93" w:rsidRDefault="004628A2" w:rsidP="00243B15">
            <w:pPr>
              <w:spacing w:after="120"/>
              <w:jc w:val="left"/>
              <w:rPr>
                <w:rFonts w:cs="Segoe UI"/>
                <w:color w:val="0000FF"/>
                <w:szCs w:val="20"/>
                <w:u w:val="single"/>
              </w:rPr>
            </w:pPr>
            <w:r>
              <w:rPr>
                <w:rFonts w:cs="Arial"/>
                <w:b/>
                <w:szCs w:val="20"/>
              </w:rPr>
              <w:t>L</w:t>
            </w:r>
            <w:r w:rsidR="00302BFE" w:rsidRPr="00D61C93">
              <w:rPr>
                <w:rFonts w:cs="Arial"/>
                <w:b/>
                <w:szCs w:val="20"/>
              </w:rPr>
              <w:t xml:space="preserve">PAC meeting date:  </w:t>
            </w:r>
            <w:r w:rsidR="00694734" w:rsidRPr="004E0C60">
              <w:rPr>
                <w:rFonts w:cs="Arial"/>
                <w:bCs/>
                <w:szCs w:val="20"/>
                <w:highlight w:val="yellow"/>
                <w:lang w:val="fr-FR"/>
              </w:rPr>
              <w:t xml:space="preserve">29 </w:t>
            </w:r>
            <w:r w:rsidR="001D3D46" w:rsidRPr="004E0C60">
              <w:rPr>
                <w:rFonts w:cs="Arial"/>
                <w:bCs/>
                <w:szCs w:val="20"/>
                <w:highlight w:val="yellow"/>
                <w:lang w:val="fr-FR"/>
              </w:rPr>
              <w:t xml:space="preserve">June </w:t>
            </w:r>
            <w:r w:rsidR="00694734" w:rsidRPr="004E0C60">
              <w:rPr>
                <w:rFonts w:cs="Arial"/>
                <w:bCs/>
                <w:szCs w:val="20"/>
                <w:highlight w:val="yellow"/>
                <w:lang w:val="fr-FR"/>
              </w:rPr>
              <w:t>2021</w:t>
            </w:r>
          </w:p>
        </w:tc>
      </w:tr>
      <w:tr w:rsidR="004628A2" w:rsidRPr="006E490C" w14:paraId="01B3D3A6" w14:textId="77777777" w:rsidTr="005E6DCD">
        <w:trPr>
          <w:gridAfter w:val="1"/>
          <w:wAfter w:w="16" w:type="dxa"/>
          <w:jc w:val="center"/>
        </w:trPr>
        <w:tc>
          <w:tcPr>
            <w:tcW w:w="9249" w:type="dxa"/>
            <w:gridSpan w:val="7"/>
            <w:shd w:val="clear" w:color="auto" w:fill="auto"/>
          </w:tcPr>
          <w:p w14:paraId="531903CE" w14:textId="1E1FD460" w:rsidR="004628A2" w:rsidRDefault="004628A2" w:rsidP="00243B15">
            <w:pPr>
              <w:spacing w:after="120"/>
              <w:jc w:val="left"/>
              <w:rPr>
                <w:rFonts w:cs="Arial"/>
                <w:b/>
                <w:szCs w:val="20"/>
              </w:rPr>
            </w:pPr>
            <w:r w:rsidRPr="00966EF0">
              <w:rPr>
                <w:rFonts w:cs="Arial"/>
                <w:b/>
                <w:szCs w:val="20"/>
              </w:rPr>
              <w:t>Project duration in months:</w:t>
            </w:r>
            <w:r>
              <w:rPr>
                <w:rFonts w:cs="Arial"/>
                <w:b/>
                <w:szCs w:val="20"/>
              </w:rPr>
              <w:t xml:space="preserve"> </w:t>
            </w:r>
            <w:r w:rsidRPr="005E6DCD">
              <w:rPr>
                <w:rFonts w:cs="Arial"/>
                <w:bCs/>
                <w:szCs w:val="20"/>
                <w:highlight w:val="green"/>
              </w:rPr>
              <w:t>72 months</w:t>
            </w:r>
          </w:p>
        </w:tc>
      </w:tr>
      <w:tr w:rsidR="005E6DCD" w:rsidRPr="00966EF0" w14:paraId="42FFB887" w14:textId="77777777" w:rsidTr="005E6DCD">
        <w:tblPrEx>
          <w:jc w:val="left"/>
        </w:tblPrEx>
        <w:tc>
          <w:tcPr>
            <w:tcW w:w="4585" w:type="dxa"/>
            <w:gridSpan w:val="5"/>
            <w:shd w:val="clear" w:color="auto" w:fill="auto"/>
          </w:tcPr>
          <w:p w14:paraId="45E205C6" w14:textId="51918340" w:rsidR="005E6DCD" w:rsidRPr="00966EF0" w:rsidRDefault="005E6DCD" w:rsidP="005B47BB">
            <w:pPr>
              <w:spacing w:after="240"/>
              <w:rPr>
                <w:rFonts w:cs="Arial"/>
                <w:i/>
                <w:szCs w:val="20"/>
              </w:rPr>
            </w:pPr>
            <w:r w:rsidRPr="00966EF0">
              <w:rPr>
                <w:rFonts w:cs="Arial"/>
                <w:b/>
                <w:szCs w:val="20"/>
              </w:rPr>
              <w:t>Expected date of Mid-Term Review:</w:t>
            </w:r>
            <w:r>
              <w:rPr>
                <w:rFonts w:cs="Arial"/>
                <w:b/>
                <w:szCs w:val="20"/>
              </w:rPr>
              <w:t xml:space="preserve"> </w:t>
            </w:r>
            <w:r w:rsidRPr="005E6DCD">
              <w:rPr>
                <w:rFonts w:cs="Arial"/>
                <w:szCs w:val="20"/>
                <w:highlight w:val="green"/>
              </w:rPr>
              <w:t>1</w:t>
            </w:r>
            <w:r w:rsidR="00AF66F2">
              <w:rPr>
                <w:rFonts w:cs="Arial"/>
                <w:szCs w:val="20"/>
                <w:highlight w:val="green"/>
              </w:rPr>
              <w:t>9</w:t>
            </w:r>
            <w:r w:rsidRPr="005E6DCD">
              <w:rPr>
                <w:rFonts w:cs="Arial"/>
                <w:szCs w:val="20"/>
                <w:highlight w:val="green"/>
              </w:rPr>
              <w:t xml:space="preserve"> </w:t>
            </w:r>
            <w:r w:rsidR="00AF66F2">
              <w:rPr>
                <w:rFonts w:cs="Arial"/>
                <w:szCs w:val="20"/>
                <w:highlight w:val="green"/>
              </w:rPr>
              <w:t>Jan</w:t>
            </w:r>
            <w:r w:rsidRPr="005E6DCD">
              <w:rPr>
                <w:rFonts w:cs="Arial"/>
                <w:szCs w:val="20"/>
                <w:highlight w:val="green"/>
              </w:rPr>
              <w:t>uary 2026</w:t>
            </w:r>
          </w:p>
        </w:tc>
        <w:tc>
          <w:tcPr>
            <w:tcW w:w="4680" w:type="dxa"/>
            <w:gridSpan w:val="3"/>
            <w:shd w:val="clear" w:color="auto" w:fill="auto"/>
          </w:tcPr>
          <w:p w14:paraId="0B046768" w14:textId="202149BE" w:rsidR="005E6DCD" w:rsidRPr="00966EF0" w:rsidRDefault="005E6DCD" w:rsidP="005B47BB">
            <w:pPr>
              <w:spacing w:after="240"/>
              <w:rPr>
                <w:rFonts w:cs="Arial"/>
                <w:b/>
                <w:szCs w:val="20"/>
              </w:rPr>
            </w:pPr>
            <w:r w:rsidRPr="00966EF0">
              <w:rPr>
                <w:rFonts w:cs="Arial"/>
                <w:b/>
                <w:szCs w:val="20"/>
              </w:rPr>
              <w:t>Expected date of Terminal evaluation</w:t>
            </w:r>
            <w:r w:rsidRPr="005E6DCD">
              <w:rPr>
                <w:rFonts w:cs="Arial"/>
                <w:bCs/>
                <w:szCs w:val="20"/>
              </w:rPr>
              <w:t xml:space="preserve">: </w:t>
            </w:r>
            <w:r w:rsidR="00AF66F2" w:rsidRPr="00AF66F2">
              <w:rPr>
                <w:rFonts w:cs="Arial"/>
                <w:bCs/>
                <w:szCs w:val="20"/>
                <w:highlight w:val="green"/>
              </w:rPr>
              <w:t>20</w:t>
            </w:r>
            <w:r>
              <w:rPr>
                <w:rFonts w:cs="Arial"/>
                <w:bCs/>
                <w:szCs w:val="20"/>
                <w:highlight w:val="green"/>
              </w:rPr>
              <w:t xml:space="preserve"> </w:t>
            </w:r>
            <w:r w:rsidR="00AF66F2">
              <w:rPr>
                <w:rFonts w:cs="Arial"/>
                <w:bCs/>
                <w:szCs w:val="20"/>
                <w:highlight w:val="green"/>
              </w:rPr>
              <w:t>October</w:t>
            </w:r>
            <w:r w:rsidRPr="005E6DCD">
              <w:rPr>
                <w:rFonts w:cs="Arial"/>
                <w:bCs/>
                <w:szCs w:val="20"/>
                <w:highlight w:val="green"/>
              </w:rPr>
              <w:t xml:space="preserve"> 2028</w:t>
            </w:r>
          </w:p>
        </w:tc>
      </w:tr>
      <w:tr w:rsidR="00302BFE" w:rsidRPr="006E490C" w14:paraId="79BD1921" w14:textId="77777777" w:rsidTr="005E6DCD">
        <w:trPr>
          <w:gridAfter w:val="1"/>
          <w:wAfter w:w="16" w:type="dxa"/>
          <w:jc w:val="center"/>
        </w:trPr>
        <w:tc>
          <w:tcPr>
            <w:tcW w:w="9249" w:type="dxa"/>
            <w:gridSpan w:val="7"/>
            <w:shd w:val="clear" w:color="auto" w:fill="auto"/>
          </w:tcPr>
          <w:p w14:paraId="124E6C3A" w14:textId="77777777" w:rsidR="00302BFE" w:rsidRPr="00D61C93" w:rsidRDefault="00302BFE" w:rsidP="00243B15">
            <w:pPr>
              <w:spacing w:before="60" w:after="120"/>
              <w:jc w:val="left"/>
              <w:rPr>
                <w:rFonts w:cs="Arial"/>
                <w:i/>
                <w:szCs w:val="20"/>
              </w:rPr>
            </w:pPr>
            <w:r w:rsidRPr="00D61C93">
              <w:rPr>
                <w:rFonts w:cs="Arial"/>
                <w:b/>
                <w:szCs w:val="20"/>
              </w:rPr>
              <w:t>Brief project description:</w:t>
            </w:r>
          </w:p>
          <w:p w14:paraId="659AABC9" w14:textId="6CAA9496" w:rsidR="00302BFE" w:rsidRPr="00D61C93" w:rsidRDefault="00302BFE" w:rsidP="00F82F5B">
            <w:pPr>
              <w:spacing w:before="120" w:after="120"/>
              <w:rPr>
                <w:rFonts w:cs="Calibri"/>
                <w:lang w:val="en-CA"/>
              </w:rPr>
            </w:pPr>
            <w:r w:rsidRPr="00D61C93">
              <w:rPr>
                <w:rFonts w:cs="Calibri"/>
                <w:lang w:val="en-CA"/>
              </w:rPr>
              <w:t xml:space="preserve">The UNDP/GEF project (PIMS 5938), </w:t>
            </w:r>
            <w:r w:rsidRPr="00D61C93">
              <w:rPr>
                <w:rFonts w:ascii="Calibri-Italic" w:hAnsi="Calibri-Italic" w:cs="Calibri-Italic"/>
                <w:i/>
                <w:iCs/>
                <w:lang w:val="en-CA"/>
              </w:rPr>
              <w:t>Integrated and Sustainable Management of PONASI Protected Area Landscape</w:t>
            </w:r>
            <w:r w:rsidRPr="00D61C93">
              <w:rPr>
                <w:rFonts w:cs="Calibri"/>
                <w:lang w:val="en-CA"/>
              </w:rPr>
              <w:t xml:space="preserve">, aims at safeguarding critical wildlife habitat, biodiversity and ecosystem services in the PONASI Protected Area Complex of Burkina Faso through integrated landscape management. Component 1 will work at the greater PONASI landscape level supporting establishment of institutional capacity and provision of tools for integrated landscape management, while component 2 will focus on strengthening management effectiveness of the protected area network within the PONASI landscape to secure core conservation areas. Component 3 focuses on sustainable land management and livelihood diversification with a view to enhance community livelihoods and reduce threats to ecosystem integrity and biodiversity such as over exploitation, habitat conversion and land degradation. The project introduces for the first time in Burkina Faso a landscape approach to biodiversity conservation and productive land management which includes bio-carbon </w:t>
            </w:r>
            <w:r w:rsidRPr="00D44FEF">
              <w:rPr>
                <w:rFonts w:cs="Calibri"/>
                <w:lang w:val="en-CA"/>
              </w:rPr>
              <w:t>conservation</w:t>
            </w:r>
            <w:r w:rsidR="005B1DAA" w:rsidRPr="00D44FEF">
              <w:rPr>
                <w:rFonts w:cs="Calibri"/>
                <w:lang w:val="en-CA"/>
              </w:rPr>
              <w:t xml:space="preserve">, </w:t>
            </w:r>
            <w:r w:rsidR="00DC6744" w:rsidRPr="00D44FEF">
              <w:rPr>
                <w:rFonts w:cs="Calibri"/>
                <w:lang w:val="en-CA"/>
              </w:rPr>
              <w:t xml:space="preserve">which is in line with an approach to </w:t>
            </w:r>
            <w:r w:rsidR="005B1DAA" w:rsidRPr="00D44FEF">
              <w:rPr>
                <w:rFonts w:cs="Calibri"/>
                <w:lang w:val="en-CA"/>
              </w:rPr>
              <w:t xml:space="preserve">“build back better” </w:t>
            </w:r>
            <w:r w:rsidR="00DC6744" w:rsidRPr="00D44FEF">
              <w:rPr>
                <w:rFonts w:cs="Calibri"/>
                <w:lang w:val="en-CA"/>
              </w:rPr>
              <w:t xml:space="preserve">with increased environmental sustainability </w:t>
            </w:r>
            <w:r w:rsidR="005B1DAA" w:rsidRPr="00D44FEF">
              <w:rPr>
                <w:rFonts w:cs="Calibri"/>
                <w:lang w:val="en-CA"/>
              </w:rPr>
              <w:t>in response to the COVID crisis</w:t>
            </w:r>
            <w:r w:rsidRPr="00D44FEF">
              <w:rPr>
                <w:rFonts w:cs="Calibri"/>
                <w:lang w:val="en-CA"/>
              </w:rPr>
              <w:t>. This project will move from a site-focused conservation model towards an effective and integrated land and resource-use governance model at the landscape level. Furthermore, with the generation of revenue for local communities through eco-tourism, better soil productivity and viable diversification of income sources, the project should result in the reduction of pressures on biodiversity, including poaching</w:t>
            </w:r>
            <w:r w:rsidR="005B1DAA" w:rsidRPr="00D44FEF">
              <w:rPr>
                <w:rFonts w:cs="Calibri"/>
                <w:lang w:val="en-CA"/>
              </w:rPr>
              <w:t xml:space="preserve">, while reducing the </w:t>
            </w:r>
            <w:r w:rsidR="005B1DAA" w:rsidRPr="00D44FEF">
              <w:rPr>
                <w:rFonts w:cs="Calibri"/>
                <w:lang w:val="en-CA"/>
              </w:rPr>
              <w:lastRenderedPageBreak/>
              <w:t xml:space="preserve">risk of exposure of local populations to zoonotic diseases from </w:t>
            </w:r>
            <w:r w:rsidR="00DC6744" w:rsidRPr="00D44FEF">
              <w:rPr>
                <w:rFonts w:cs="Calibri"/>
                <w:lang w:val="en-CA"/>
              </w:rPr>
              <w:t xml:space="preserve">uncontrolled </w:t>
            </w:r>
            <w:r w:rsidR="005B1DAA" w:rsidRPr="00D44FEF">
              <w:rPr>
                <w:rFonts w:cs="Calibri"/>
                <w:lang w:val="en-CA"/>
              </w:rPr>
              <w:t>bushmeat consumption</w:t>
            </w:r>
            <w:r w:rsidRPr="00D44FEF">
              <w:rPr>
                <w:rFonts w:cs="Calibri"/>
                <w:lang w:val="en-CA"/>
              </w:rPr>
              <w:t>. Global Environmental</w:t>
            </w:r>
            <w:r w:rsidRPr="00D61C93">
              <w:rPr>
                <w:rFonts w:cs="Calibri"/>
                <w:lang w:val="en-CA"/>
              </w:rPr>
              <w:t xml:space="preserve"> Benefits will include the improved management of 952,000 ha of land, including 354,781 ha of protected areas, corridors and community-managed hunting zones and forest management worksites, 129,478 ha under sustainable land management, and to avoid </w:t>
            </w:r>
            <w:r w:rsidR="00CD025C" w:rsidRPr="00D61C93">
              <w:rPr>
                <w:rFonts w:cs="Calibri"/>
                <w:lang w:val="en-CA"/>
              </w:rPr>
              <w:t>5</w:t>
            </w:r>
            <w:r w:rsidRPr="00D61C93">
              <w:rPr>
                <w:rFonts w:cs="Calibri"/>
                <w:lang w:val="en-CA"/>
              </w:rPr>
              <w:t>,</w:t>
            </w:r>
            <w:r w:rsidR="00CD025C" w:rsidRPr="00D61C93">
              <w:rPr>
                <w:rFonts w:cs="Calibri"/>
                <w:lang w:val="en-CA"/>
              </w:rPr>
              <w:t>4</w:t>
            </w:r>
            <w:r w:rsidRPr="00D61C93">
              <w:rPr>
                <w:rFonts w:cs="Calibri"/>
                <w:lang w:val="en-CA"/>
              </w:rPr>
              <w:t xml:space="preserve"> million tCO</w:t>
            </w:r>
            <w:r w:rsidRPr="00D61C93">
              <w:rPr>
                <w:rFonts w:cs="Calibri"/>
                <w:sz w:val="14"/>
                <w:szCs w:val="14"/>
                <w:lang w:val="en-CA"/>
              </w:rPr>
              <w:t>2e</w:t>
            </w:r>
            <w:r w:rsidR="001274DA" w:rsidRPr="00D61C93">
              <w:rPr>
                <w:rFonts w:cs="Calibri"/>
                <w:sz w:val="14"/>
                <w:szCs w:val="14"/>
                <w:lang w:val="en-CA"/>
              </w:rPr>
              <w:t>q</w:t>
            </w:r>
            <w:r w:rsidRPr="00D61C93">
              <w:rPr>
                <w:rFonts w:cs="Calibri"/>
                <w:lang w:val="en-CA"/>
              </w:rPr>
              <w:t xml:space="preserve"> emissions avoided.</w:t>
            </w:r>
          </w:p>
        </w:tc>
      </w:tr>
      <w:tr w:rsidR="00302BFE" w:rsidRPr="006E490C" w14:paraId="71BABCD2" w14:textId="77777777" w:rsidTr="005E6DCD">
        <w:trPr>
          <w:gridAfter w:val="1"/>
          <w:wAfter w:w="16" w:type="dxa"/>
          <w:trHeight w:val="377"/>
          <w:jc w:val="center"/>
        </w:trPr>
        <w:tc>
          <w:tcPr>
            <w:tcW w:w="9249" w:type="dxa"/>
            <w:gridSpan w:val="7"/>
            <w:shd w:val="clear" w:color="auto" w:fill="D9D9D9"/>
          </w:tcPr>
          <w:p w14:paraId="667A0265" w14:textId="77777777" w:rsidR="00302BFE" w:rsidRPr="006E490C" w:rsidRDefault="00302BFE" w:rsidP="00243B15">
            <w:pPr>
              <w:spacing w:after="120"/>
              <w:jc w:val="left"/>
              <w:rPr>
                <w:rFonts w:cs="Arial"/>
                <w:b/>
                <w:smallCaps/>
                <w:szCs w:val="20"/>
              </w:rPr>
            </w:pPr>
            <w:r w:rsidRPr="006E490C">
              <w:rPr>
                <w:rFonts w:cs="Arial"/>
                <w:b/>
                <w:smallCaps/>
                <w:szCs w:val="20"/>
              </w:rPr>
              <w:lastRenderedPageBreak/>
              <w:t>Financing Plan</w:t>
            </w:r>
          </w:p>
        </w:tc>
      </w:tr>
      <w:tr w:rsidR="00302BFE" w:rsidRPr="006E490C" w14:paraId="54951D07" w14:textId="77777777" w:rsidTr="005E6DCD">
        <w:trPr>
          <w:gridAfter w:val="1"/>
          <w:wAfter w:w="16" w:type="dxa"/>
          <w:jc w:val="center"/>
        </w:trPr>
        <w:tc>
          <w:tcPr>
            <w:tcW w:w="3194" w:type="dxa"/>
            <w:gridSpan w:val="3"/>
            <w:shd w:val="clear" w:color="auto" w:fill="auto"/>
          </w:tcPr>
          <w:p w14:paraId="23EAC637" w14:textId="77777777" w:rsidR="00302BFE" w:rsidRPr="006E490C" w:rsidRDefault="00302BFE" w:rsidP="00243B15">
            <w:pPr>
              <w:spacing w:after="120"/>
              <w:jc w:val="left"/>
              <w:rPr>
                <w:rFonts w:cs="Arial"/>
                <w:szCs w:val="20"/>
              </w:rPr>
            </w:pPr>
            <w:r w:rsidRPr="006E490C">
              <w:rPr>
                <w:rFonts w:cs="Arial"/>
                <w:szCs w:val="20"/>
              </w:rPr>
              <w:t>GEF Trust Fund</w:t>
            </w:r>
          </w:p>
        </w:tc>
        <w:tc>
          <w:tcPr>
            <w:tcW w:w="6055" w:type="dxa"/>
            <w:gridSpan w:val="4"/>
            <w:shd w:val="clear" w:color="auto" w:fill="auto"/>
          </w:tcPr>
          <w:p w14:paraId="00C304A0" w14:textId="77777777" w:rsidR="00302BFE" w:rsidRPr="006E490C" w:rsidRDefault="00302BFE" w:rsidP="00243B15">
            <w:pPr>
              <w:spacing w:after="120"/>
              <w:jc w:val="left"/>
              <w:rPr>
                <w:rFonts w:cs="Arial"/>
                <w:szCs w:val="20"/>
              </w:rPr>
            </w:pPr>
            <w:r w:rsidRPr="006E490C">
              <w:rPr>
                <w:rFonts w:cs="Arial"/>
                <w:szCs w:val="20"/>
              </w:rPr>
              <w:t>USD 5,279,452</w:t>
            </w:r>
          </w:p>
        </w:tc>
      </w:tr>
      <w:tr w:rsidR="00302BFE" w:rsidRPr="006E490C" w14:paraId="21CDE388" w14:textId="77777777" w:rsidTr="005E6DCD">
        <w:trPr>
          <w:gridAfter w:val="1"/>
          <w:wAfter w:w="16" w:type="dxa"/>
          <w:jc w:val="center"/>
        </w:trPr>
        <w:tc>
          <w:tcPr>
            <w:tcW w:w="3194" w:type="dxa"/>
            <w:gridSpan w:val="3"/>
            <w:shd w:val="clear" w:color="auto" w:fill="auto"/>
          </w:tcPr>
          <w:p w14:paraId="77878A81" w14:textId="77777777" w:rsidR="00302BFE" w:rsidRPr="006E490C" w:rsidRDefault="00302BFE" w:rsidP="00243B15">
            <w:pPr>
              <w:spacing w:after="120"/>
              <w:jc w:val="left"/>
              <w:rPr>
                <w:rFonts w:cs="Arial"/>
                <w:szCs w:val="20"/>
              </w:rPr>
            </w:pPr>
            <w:r w:rsidRPr="006E490C">
              <w:rPr>
                <w:rFonts w:cs="Arial"/>
                <w:szCs w:val="20"/>
              </w:rPr>
              <w:t>UNDP TRAC resources</w:t>
            </w:r>
          </w:p>
        </w:tc>
        <w:tc>
          <w:tcPr>
            <w:tcW w:w="6055" w:type="dxa"/>
            <w:gridSpan w:val="4"/>
            <w:shd w:val="clear" w:color="auto" w:fill="auto"/>
          </w:tcPr>
          <w:p w14:paraId="25D970EC" w14:textId="77777777" w:rsidR="00302BFE" w:rsidRPr="006E490C" w:rsidRDefault="00302BFE" w:rsidP="00243B15">
            <w:pPr>
              <w:spacing w:after="120"/>
              <w:jc w:val="left"/>
              <w:rPr>
                <w:rFonts w:cs="Arial"/>
                <w:szCs w:val="20"/>
              </w:rPr>
            </w:pPr>
            <w:r w:rsidRPr="006E490C">
              <w:rPr>
                <w:rFonts w:cs="Arial"/>
                <w:szCs w:val="20"/>
              </w:rPr>
              <w:t>USD 270,000</w:t>
            </w:r>
          </w:p>
        </w:tc>
      </w:tr>
      <w:tr w:rsidR="00302BFE" w:rsidRPr="006E490C" w14:paraId="6C2DAE98" w14:textId="77777777" w:rsidTr="005E6DCD">
        <w:trPr>
          <w:gridAfter w:val="1"/>
          <w:wAfter w:w="16" w:type="dxa"/>
          <w:jc w:val="center"/>
        </w:trPr>
        <w:tc>
          <w:tcPr>
            <w:tcW w:w="3194" w:type="dxa"/>
            <w:gridSpan w:val="3"/>
            <w:shd w:val="clear" w:color="auto" w:fill="auto"/>
          </w:tcPr>
          <w:p w14:paraId="729E8B0E" w14:textId="77777777" w:rsidR="00302BFE" w:rsidRPr="006E490C" w:rsidRDefault="00302BFE" w:rsidP="00243B15">
            <w:pPr>
              <w:pStyle w:val="Paragraphedeliste"/>
              <w:numPr>
                <w:ilvl w:val="0"/>
                <w:numId w:val="5"/>
              </w:numPr>
              <w:spacing w:after="120"/>
              <w:jc w:val="right"/>
              <w:rPr>
                <w:rFonts w:ascii="Calibri" w:hAnsi="Calibri" w:cs="Arial"/>
                <w:b/>
                <w:sz w:val="20"/>
                <w:szCs w:val="20"/>
              </w:rPr>
            </w:pPr>
            <w:r w:rsidRPr="006E490C">
              <w:rPr>
                <w:rFonts w:ascii="Calibri" w:hAnsi="Calibri" w:cs="Arial"/>
                <w:b/>
                <w:sz w:val="20"/>
                <w:szCs w:val="20"/>
                <w:lang w:eastAsia="zh-CN"/>
              </w:rPr>
              <w:t xml:space="preserve">Total </w:t>
            </w:r>
            <w:r w:rsidRPr="006E490C">
              <w:rPr>
                <w:rFonts w:ascii="Calibri" w:hAnsi="Calibri" w:cs="Arial"/>
                <w:b/>
                <w:sz w:val="20"/>
                <w:szCs w:val="20"/>
              </w:rPr>
              <w:t xml:space="preserve">Budget administered by UNDP </w:t>
            </w:r>
          </w:p>
        </w:tc>
        <w:tc>
          <w:tcPr>
            <w:tcW w:w="6055" w:type="dxa"/>
            <w:gridSpan w:val="4"/>
            <w:shd w:val="clear" w:color="auto" w:fill="auto"/>
          </w:tcPr>
          <w:p w14:paraId="47499032" w14:textId="77777777" w:rsidR="00302BFE" w:rsidRPr="006E490C" w:rsidRDefault="00302BFE" w:rsidP="00243B15">
            <w:pPr>
              <w:spacing w:after="120"/>
              <w:jc w:val="left"/>
              <w:rPr>
                <w:rFonts w:cs="Arial"/>
                <w:b/>
                <w:szCs w:val="20"/>
              </w:rPr>
            </w:pPr>
            <w:r w:rsidRPr="006E490C">
              <w:rPr>
                <w:rFonts w:cs="Arial"/>
                <w:b/>
                <w:szCs w:val="20"/>
              </w:rPr>
              <w:t>USD 5,549,452</w:t>
            </w:r>
          </w:p>
        </w:tc>
      </w:tr>
      <w:tr w:rsidR="00302BFE" w:rsidRPr="006E490C" w14:paraId="40A99930" w14:textId="77777777" w:rsidTr="005E6DCD">
        <w:trPr>
          <w:gridAfter w:val="1"/>
          <w:wAfter w:w="16" w:type="dxa"/>
          <w:jc w:val="center"/>
        </w:trPr>
        <w:tc>
          <w:tcPr>
            <w:tcW w:w="9249" w:type="dxa"/>
            <w:gridSpan w:val="7"/>
            <w:shd w:val="clear" w:color="auto" w:fill="D9D9D9"/>
          </w:tcPr>
          <w:p w14:paraId="2F8FF4A8" w14:textId="77777777" w:rsidR="00302BFE" w:rsidRPr="006E490C" w:rsidRDefault="0057587F" w:rsidP="00243B15">
            <w:pPr>
              <w:spacing w:after="120"/>
              <w:jc w:val="left"/>
              <w:rPr>
                <w:rFonts w:cs="Arial"/>
                <w:b/>
                <w:szCs w:val="20"/>
              </w:rPr>
            </w:pPr>
            <w:r w:rsidRPr="00D61C93">
              <w:rPr>
                <w:rFonts w:cs="Arial"/>
                <w:b/>
                <w:smallCaps/>
                <w:szCs w:val="20"/>
              </w:rPr>
              <w:t>Baseline</w:t>
            </w:r>
            <w:r w:rsidR="00302BFE" w:rsidRPr="00D61C93">
              <w:rPr>
                <w:rFonts w:cs="Arial"/>
                <w:b/>
                <w:smallCaps/>
                <w:szCs w:val="20"/>
              </w:rPr>
              <w:t xml:space="preserve"> co-financing</w:t>
            </w:r>
          </w:p>
        </w:tc>
      </w:tr>
      <w:tr w:rsidR="00302BFE" w:rsidRPr="006E490C" w14:paraId="666EDA1A" w14:textId="77777777" w:rsidTr="005E6DCD">
        <w:trPr>
          <w:gridAfter w:val="1"/>
          <w:wAfter w:w="16" w:type="dxa"/>
          <w:trHeight w:val="296"/>
          <w:jc w:val="center"/>
        </w:trPr>
        <w:tc>
          <w:tcPr>
            <w:tcW w:w="3194" w:type="dxa"/>
            <w:gridSpan w:val="3"/>
            <w:shd w:val="clear" w:color="auto" w:fill="auto"/>
          </w:tcPr>
          <w:p w14:paraId="45669D34" w14:textId="44BB72E5" w:rsidR="00302BFE" w:rsidRPr="006E490C" w:rsidRDefault="002F6A2B" w:rsidP="00243B15">
            <w:pPr>
              <w:spacing w:after="120"/>
              <w:jc w:val="right"/>
              <w:rPr>
                <w:rFonts w:cs="Arial"/>
                <w:szCs w:val="20"/>
              </w:rPr>
            </w:pPr>
            <w:r w:rsidRPr="006E490C">
              <w:rPr>
                <w:rFonts w:cs="Arial"/>
                <w:szCs w:val="20"/>
              </w:rPr>
              <w:t>Ministry of Environment, Green Economy, and Climate Change</w:t>
            </w:r>
          </w:p>
        </w:tc>
        <w:tc>
          <w:tcPr>
            <w:tcW w:w="6055" w:type="dxa"/>
            <w:gridSpan w:val="4"/>
            <w:shd w:val="clear" w:color="auto" w:fill="auto"/>
          </w:tcPr>
          <w:p w14:paraId="0CA9BAC5" w14:textId="77777777" w:rsidR="00302BFE" w:rsidRPr="006E490C" w:rsidRDefault="00302BFE" w:rsidP="00243B15">
            <w:pPr>
              <w:spacing w:after="120"/>
              <w:jc w:val="left"/>
              <w:rPr>
                <w:rFonts w:cs="Arial"/>
                <w:szCs w:val="20"/>
              </w:rPr>
            </w:pPr>
            <w:r w:rsidRPr="006E490C">
              <w:rPr>
                <w:rFonts w:cs="Arial"/>
                <w:szCs w:val="20"/>
              </w:rPr>
              <w:t>10,318,111 USD</w:t>
            </w:r>
          </w:p>
        </w:tc>
      </w:tr>
      <w:tr w:rsidR="00302BFE" w:rsidRPr="006E490C" w14:paraId="59F3C392" w14:textId="77777777" w:rsidTr="005E6DCD">
        <w:trPr>
          <w:gridAfter w:val="1"/>
          <w:wAfter w:w="16" w:type="dxa"/>
          <w:trHeight w:val="296"/>
          <w:jc w:val="center"/>
        </w:trPr>
        <w:tc>
          <w:tcPr>
            <w:tcW w:w="3194" w:type="dxa"/>
            <w:gridSpan w:val="3"/>
            <w:shd w:val="clear" w:color="auto" w:fill="auto"/>
          </w:tcPr>
          <w:p w14:paraId="45B1FCAC" w14:textId="1A0AA9A7" w:rsidR="00302BFE" w:rsidRPr="00E028FF" w:rsidRDefault="00302BFE" w:rsidP="00243B15">
            <w:pPr>
              <w:spacing w:after="120"/>
              <w:jc w:val="right"/>
              <w:rPr>
                <w:rFonts w:cs="Arial"/>
                <w:szCs w:val="20"/>
              </w:rPr>
            </w:pPr>
            <w:r w:rsidRPr="00E028FF">
              <w:rPr>
                <w:szCs w:val="20"/>
                <w:lang w:val="en-CA"/>
              </w:rPr>
              <w:t>Ministry of Agriculture and Hydro-agricultural Infrastructure</w:t>
            </w:r>
            <w:r w:rsidR="00FE60C6" w:rsidRPr="00E028FF">
              <w:rPr>
                <w:szCs w:val="20"/>
                <w:lang w:val="en-CA"/>
              </w:rPr>
              <w:t xml:space="preserve"> and me</w:t>
            </w:r>
            <w:r w:rsidR="008557D8" w:rsidRPr="00E028FF">
              <w:rPr>
                <w:szCs w:val="20"/>
                <w:lang w:val="en-CA"/>
              </w:rPr>
              <w:t>canization</w:t>
            </w:r>
          </w:p>
        </w:tc>
        <w:tc>
          <w:tcPr>
            <w:tcW w:w="6055" w:type="dxa"/>
            <w:gridSpan w:val="4"/>
            <w:shd w:val="clear" w:color="auto" w:fill="auto"/>
          </w:tcPr>
          <w:p w14:paraId="58373B88" w14:textId="77777777" w:rsidR="00302BFE" w:rsidRPr="006E490C" w:rsidRDefault="00302BFE" w:rsidP="00243B15">
            <w:pPr>
              <w:spacing w:after="120"/>
              <w:jc w:val="left"/>
              <w:rPr>
                <w:rFonts w:cs="Arial"/>
                <w:szCs w:val="20"/>
              </w:rPr>
            </w:pPr>
            <w:r w:rsidRPr="006E490C">
              <w:rPr>
                <w:rFonts w:cs="Arial"/>
                <w:szCs w:val="20"/>
              </w:rPr>
              <w:t>6,780,945 USD</w:t>
            </w:r>
          </w:p>
        </w:tc>
      </w:tr>
      <w:tr w:rsidR="00302BFE" w:rsidRPr="006E490C" w14:paraId="159FAB72" w14:textId="77777777" w:rsidTr="005E6DCD">
        <w:trPr>
          <w:gridAfter w:val="1"/>
          <w:wAfter w:w="16" w:type="dxa"/>
          <w:trHeight w:val="296"/>
          <w:jc w:val="center"/>
        </w:trPr>
        <w:tc>
          <w:tcPr>
            <w:tcW w:w="3194" w:type="dxa"/>
            <w:gridSpan w:val="3"/>
            <w:shd w:val="clear" w:color="auto" w:fill="auto"/>
          </w:tcPr>
          <w:p w14:paraId="77A298D8" w14:textId="77777777" w:rsidR="00302BFE" w:rsidRPr="006E490C" w:rsidRDefault="00302BFE" w:rsidP="00243B15">
            <w:pPr>
              <w:spacing w:after="120"/>
              <w:jc w:val="right"/>
              <w:rPr>
                <w:rFonts w:cs="Arial"/>
                <w:szCs w:val="20"/>
              </w:rPr>
            </w:pPr>
            <w:r w:rsidRPr="006E490C">
              <w:rPr>
                <w:rFonts w:cs="Arial"/>
                <w:szCs w:val="20"/>
              </w:rPr>
              <w:t>Ministry of Animal and Fisheries Resources</w:t>
            </w:r>
          </w:p>
        </w:tc>
        <w:tc>
          <w:tcPr>
            <w:tcW w:w="6055" w:type="dxa"/>
            <w:gridSpan w:val="4"/>
            <w:shd w:val="clear" w:color="auto" w:fill="auto"/>
          </w:tcPr>
          <w:p w14:paraId="33CE8A62" w14:textId="77777777" w:rsidR="00302BFE" w:rsidRPr="006E490C" w:rsidRDefault="00302BFE" w:rsidP="00243B15">
            <w:pPr>
              <w:spacing w:after="120"/>
              <w:jc w:val="left"/>
              <w:rPr>
                <w:rFonts w:cs="Arial"/>
                <w:szCs w:val="20"/>
              </w:rPr>
            </w:pPr>
            <w:r w:rsidRPr="006E490C">
              <w:rPr>
                <w:rFonts w:cs="Arial"/>
                <w:szCs w:val="20"/>
              </w:rPr>
              <w:t>1,500,000 USD</w:t>
            </w:r>
          </w:p>
        </w:tc>
      </w:tr>
      <w:tr w:rsidR="00302BFE" w:rsidRPr="006E490C" w14:paraId="1A5EDCCF" w14:textId="77777777" w:rsidTr="005E6DCD">
        <w:trPr>
          <w:gridAfter w:val="1"/>
          <w:wAfter w:w="16" w:type="dxa"/>
          <w:trHeight w:val="296"/>
          <w:jc w:val="center"/>
        </w:trPr>
        <w:tc>
          <w:tcPr>
            <w:tcW w:w="3194" w:type="dxa"/>
            <w:gridSpan w:val="3"/>
            <w:shd w:val="clear" w:color="auto" w:fill="auto"/>
          </w:tcPr>
          <w:p w14:paraId="2980DFB9" w14:textId="77777777" w:rsidR="00302BFE" w:rsidRPr="006E490C" w:rsidRDefault="00302BFE" w:rsidP="00243B15">
            <w:pPr>
              <w:spacing w:after="120"/>
              <w:jc w:val="right"/>
              <w:rPr>
                <w:rFonts w:cs="Arial"/>
                <w:szCs w:val="20"/>
              </w:rPr>
            </w:pPr>
            <w:r w:rsidRPr="006E490C">
              <w:rPr>
                <w:rFonts w:cs="Arial"/>
                <w:szCs w:val="20"/>
              </w:rPr>
              <w:t>Tree Aid</w:t>
            </w:r>
          </w:p>
        </w:tc>
        <w:tc>
          <w:tcPr>
            <w:tcW w:w="6055" w:type="dxa"/>
            <w:gridSpan w:val="4"/>
            <w:shd w:val="clear" w:color="auto" w:fill="auto"/>
          </w:tcPr>
          <w:p w14:paraId="50139599" w14:textId="77777777" w:rsidR="00302BFE" w:rsidRPr="006E490C" w:rsidRDefault="00302BFE" w:rsidP="00243B15">
            <w:pPr>
              <w:spacing w:after="120"/>
              <w:jc w:val="left"/>
              <w:rPr>
                <w:rFonts w:cs="Arial"/>
                <w:szCs w:val="20"/>
              </w:rPr>
            </w:pPr>
            <w:r w:rsidRPr="006E490C">
              <w:rPr>
                <w:rFonts w:cs="Arial"/>
                <w:szCs w:val="20"/>
              </w:rPr>
              <w:t>1,198,840 USD</w:t>
            </w:r>
          </w:p>
        </w:tc>
      </w:tr>
      <w:tr w:rsidR="00302BFE" w:rsidRPr="006E490C" w14:paraId="216B9648" w14:textId="77777777" w:rsidTr="005E6DCD">
        <w:trPr>
          <w:gridAfter w:val="1"/>
          <w:wAfter w:w="16" w:type="dxa"/>
          <w:trHeight w:val="296"/>
          <w:jc w:val="center"/>
        </w:trPr>
        <w:tc>
          <w:tcPr>
            <w:tcW w:w="3194" w:type="dxa"/>
            <w:gridSpan w:val="3"/>
            <w:shd w:val="clear" w:color="auto" w:fill="auto"/>
          </w:tcPr>
          <w:p w14:paraId="4449BCF4" w14:textId="77777777" w:rsidR="00302BFE" w:rsidRPr="006E490C" w:rsidRDefault="00302BFE" w:rsidP="00243B15">
            <w:pPr>
              <w:spacing w:after="120"/>
              <w:jc w:val="right"/>
              <w:rPr>
                <w:rFonts w:cs="Arial"/>
                <w:szCs w:val="20"/>
              </w:rPr>
            </w:pPr>
            <w:r w:rsidRPr="006E490C">
              <w:rPr>
                <w:rFonts w:cs="Arial"/>
                <w:szCs w:val="20"/>
              </w:rPr>
              <w:t>IUCN Burkina Faso</w:t>
            </w:r>
          </w:p>
        </w:tc>
        <w:tc>
          <w:tcPr>
            <w:tcW w:w="6055" w:type="dxa"/>
            <w:gridSpan w:val="4"/>
            <w:shd w:val="clear" w:color="auto" w:fill="auto"/>
          </w:tcPr>
          <w:p w14:paraId="5BE2A89E" w14:textId="77777777" w:rsidR="00302BFE" w:rsidRPr="006E490C" w:rsidRDefault="00302BFE" w:rsidP="00243B15">
            <w:pPr>
              <w:spacing w:after="120"/>
              <w:jc w:val="left"/>
              <w:rPr>
                <w:rFonts w:cs="Arial"/>
                <w:szCs w:val="20"/>
              </w:rPr>
            </w:pPr>
            <w:r w:rsidRPr="006E490C">
              <w:rPr>
                <w:rFonts w:cs="Arial"/>
                <w:szCs w:val="20"/>
              </w:rPr>
              <w:t>720,000 USD</w:t>
            </w:r>
          </w:p>
        </w:tc>
      </w:tr>
      <w:tr w:rsidR="00302BFE" w:rsidRPr="006E490C" w14:paraId="267B22DA" w14:textId="77777777" w:rsidTr="005E6DCD">
        <w:trPr>
          <w:gridAfter w:val="1"/>
          <w:wAfter w:w="16" w:type="dxa"/>
          <w:trHeight w:val="323"/>
          <w:jc w:val="center"/>
        </w:trPr>
        <w:tc>
          <w:tcPr>
            <w:tcW w:w="3194" w:type="dxa"/>
            <w:gridSpan w:val="3"/>
            <w:shd w:val="clear" w:color="auto" w:fill="auto"/>
          </w:tcPr>
          <w:p w14:paraId="37711CAD" w14:textId="77777777" w:rsidR="00302BFE" w:rsidRPr="006E490C" w:rsidRDefault="00302BFE" w:rsidP="00243B15">
            <w:pPr>
              <w:spacing w:after="120"/>
              <w:jc w:val="right"/>
              <w:rPr>
                <w:rFonts w:cs="Arial"/>
                <w:szCs w:val="20"/>
                <w:lang w:val="fr-CA"/>
              </w:rPr>
            </w:pPr>
            <w:r w:rsidRPr="006E490C">
              <w:rPr>
                <w:rFonts w:cs="Arial"/>
                <w:szCs w:val="20"/>
                <w:lang w:val="fr-CA"/>
              </w:rPr>
              <w:t>Agence Pour la Promotion de la Petite et Moyenne Entreprise/Agriculture et Artisanat</w:t>
            </w:r>
          </w:p>
        </w:tc>
        <w:tc>
          <w:tcPr>
            <w:tcW w:w="6055" w:type="dxa"/>
            <w:gridSpan w:val="4"/>
            <w:shd w:val="clear" w:color="auto" w:fill="auto"/>
          </w:tcPr>
          <w:p w14:paraId="0965EE7F" w14:textId="77777777" w:rsidR="00302BFE" w:rsidRPr="006E490C" w:rsidRDefault="00302BFE" w:rsidP="00243B15">
            <w:pPr>
              <w:spacing w:after="120"/>
              <w:jc w:val="left"/>
              <w:rPr>
                <w:rFonts w:cs="Arial"/>
                <w:szCs w:val="20"/>
              </w:rPr>
            </w:pPr>
            <w:r w:rsidRPr="006E490C">
              <w:rPr>
                <w:rFonts w:cs="Arial"/>
                <w:szCs w:val="20"/>
              </w:rPr>
              <w:t xml:space="preserve">719,505 USD </w:t>
            </w:r>
          </w:p>
        </w:tc>
      </w:tr>
      <w:tr w:rsidR="00302BFE" w:rsidRPr="006E490C" w14:paraId="0C0523BA" w14:textId="77777777" w:rsidTr="005E6DCD">
        <w:trPr>
          <w:gridAfter w:val="1"/>
          <w:wAfter w:w="16" w:type="dxa"/>
          <w:trHeight w:val="323"/>
          <w:jc w:val="center"/>
        </w:trPr>
        <w:tc>
          <w:tcPr>
            <w:tcW w:w="3194" w:type="dxa"/>
            <w:gridSpan w:val="3"/>
            <w:shd w:val="clear" w:color="auto" w:fill="auto"/>
          </w:tcPr>
          <w:p w14:paraId="5CF4DF2F" w14:textId="77777777" w:rsidR="00302BFE" w:rsidRPr="006E490C" w:rsidRDefault="00302BFE" w:rsidP="00243B15">
            <w:pPr>
              <w:spacing w:after="120"/>
              <w:jc w:val="right"/>
              <w:rPr>
                <w:rFonts w:cs="Arial"/>
                <w:szCs w:val="20"/>
              </w:rPr>
            </w:pPr>
            <w:r w:rsidRPr="006E490C">
              <w:rPr>
                <w:rFonts w:cs="Arial"/>
                <w:szCs w:val="20"/>
              </w:rPr>
              <w:t>Nahouri Safari</w:t>
            </w:r>
          </w:p>
        </w:tc>
        <w:tc>
          <w:tcPr>
            <w:tcW w:w="6055" w:type="dxa"/>
            <w:gridSpan w:val="4"/>
            <w:shd w:val="clear" w:color="auto" w:fill="auto"/>
          </w:tcPr>
          <w:p w14:paraId="3922EDAF" w14:textId="77777777" w:rsidR="00302BFE" w:rsidRPr="006E490C" w:rsidRDefault="00302BFE" w:rsidP="00243B15">
            <w:pPr>
              <w:spacing w:after="120"/>
              <w:jc w:val="left"/>
              <w:rPr>
                <w:rFonts w:cs="Arial"/>
                <w:szCs w:val="20"/>
              </w:rPr>
            </w:pPr>
            <w:r w:rsidRPr="006E490C">
              <w:rPr>
                <w:rFonts w:cs="Arial"/>
                <w:szCs w:val="20"/>
              </w:rPr>
              <w:t>429,649 USD</w:t>
            </w:r>
          </w:p>
        </w:tc>
      </w:tr>
      <w:tr w:rsidR="00302BFE" w:rsidRPr="006E490C" w14:paraId="31C39227" w14:textId="77777777" w:rsidTr="005E6DCD">
        <w:trPr>
          <w:gridAfter w:val="1"/>
          <w:wAfter w:w="16" w:type="dxa"/>
          <w:jc w:val="center"/>
        </w:trPr>
        <w:tc>
          <w:tcPr>
            <w:tcW w:w="3194" w:type="dxa"/>
            <w:gridSpan w:val="3"/>
            <w:shd w:val="clear" w:color="auto" w:fill="auto"/>
          </w:tcPr>
          <w:p w14:paraId="3C383F2F" w14:textId="77777777" w:rsidR="00302BFE" w:rsidRPr="006E490C" w:rsidRDefault="00302BFE" w:rsidP="00243B15">
            <w:pPr>
              <w:spacing w:after="120"/>
              <w:jc w:val="right"/>
              <w:rPr>
                <w:rFonts w:cs="Arial"/>
                <w:szCs w:val="20"/>
              </w:rPr>
            </w:pPr>
            <w:r w:rsidRPr="006E490C">
              <w:rPr>
                <w:rFonts w:cs="Arial"/>
                <w:szCs w:val="20"/>
              </w:rPr>
              <w:t>NATURAMA Foundation</w:t>
            </w:r>
          </w:p>
        </w:tc>
        <w:tc>
          <w:tcPr>
            <w:tcW w:w="6055" w:type="dxa"/>
            <w:gridSpan w:val="4"/>
            <w:shd w:val="clear" w:color="auto" w:fill="auto"/>
          </w:tcPr>
          <w:p w14:paraId="54DCB2C8" w14:textId="77777777" w:rsidR="00302BFE" w:rsidRPr="006E490C" w:rsidRDefault="00302BFE" w:rsidP="00243B15">
            <w:pPr>
              <w:spacing w:after="120"/>
              <w:jc w:val="left"/>
              <w:rPr>
                <w:rFonts w:cs="Arial"/>
                <w:i/>
                <w:szCs w:val="20"/>
              </w:rPr>
            </w:pPr>
            <w:r w:rsidRPr="006E490C">
              <w:rPr>
                <w:rFonts w:cs="Arial"/>
                <w:szCs w:val="20"/>
              </w:rPr>
              <w:t>164,036 USD</w:t>
            </w:r>
          </w:p>
        </w:tc>
      </w:tr>
      <w:tr w:rsidR="00302BFE" w:rsidRPr="006E490C" w14:paraId="52156CAE" w14:textId="77777777" w:rsidTr="005E6DCD">
        <w:trPr>
          <w:gridAfter w:val="1"/>
          <w:wAfter w:w="16" w:type="dxa"/>
          <w:jc w:val="center"/>
        </w:trPr>
        <w:tc>
          <w:tcPr>
            <w:tcW w:w="3194" w:type="dxa"/>
            <w:gridSpan w:val="3"/>
            <w:shd w:val="clear" w:color="auto" w:fill="auto"/>
          </w:tcPr>
          <w:p w14:paraId="36CAA06F" w14:textId="77777777" w:rsidR="00302BFE" w:rsidRPr="006E490C" w:rsidRDefault="00302BFE" w:rsidP="00243B15">
            <w:pPr>
              <w:spacing w:after="120"/>
              <w:jc w:val="right"/>
              <w:rPr>
                <w:rFonts w:cs="Arial"/>
                <w:szCs w:val="20"/>
              </w:rPr>
            </w:pPr>
            <w:r w:rsidRPr="006E490C">
              <w:rPr>
                <w:rFonts w:cs="Arial"/>
                <w:szCs w:val="20"/>
              </w:rPr>
              <w:t>GA Mo Wiya Association</w:t>
            </w:r>
          </w:p>
        </w:tc>
        <w:tc>
          <w:tcPr>
            <w:tcW w:w="6055" w:type="dxa"/>
            <w:gridSpan w:val="4"/>
            <w:shd w:val="clear" w:color="auto" w:fill="auto"/>
          </w:tcPr>
          <w:p w14:paraId="167999FE" w14:textId="77777777" w:rsidR="00302BFE" w:rsidRPr="006E490C" w:rsidRDefault="00302BFE" w:rsidP="00243B15">
            <w:pPr>
              <w:spacing w:after="120"/>
              <w:jc w:val="left"/>
              <w:rPr>
                <w:rFonts w:cs="Arial"/>
                <w:szCs w:val="20"/>
              </w:rPr>
            </w:pPr>
            <w:r w:rsidRPr="006E490C">
              <w:rPr>
                <w:rFonts w:cs="Arial"/>
                <w:szCs w:val="20"/>
              </w:rPr>
              <w:t>136,026 USD</w:t>
            </w:r>
          </w:p>
        </w:tc>
      </w:tr>
      <w:tr w:rsidR="00302BFE" w:rsidRPr="006E490C" w14:paraId="31794D4A" w14:textId="77777777" w:rsidTr="005E6DCD">
        <w:trPr>
          <w:gridAfter w:val="1"/>
          <w:wAfter w:w="16" w:type="dxa"/>
          <w:jc w:val="center"/>
        </w:trPr>
        <w:tc>
          <w:tcPr>
            <w:tcW w:w="3194" w:type="dxa"/>
            <w:gridSpan w:val="3"/>
            <w:shd w:val="clear" w:color="auto" w:fill="auto"/>
          </w:tcPr>
          <w:p w14:paraId="1AF72D06" w14:textId="77777777" w:rsidR="00302BFE" w:rsidRPr="006E490C" w:rsidRDefault="00302BFE" w:rsidP="00243B15">
            <w:pPr>
              <w:spacing w:after="120"/>
              <w:jc w:val="right"/>
              <w:rPr>
                <w:rFonts w:cs="Arial"/>
                <w:szCs w:val="20"/>
                <w:lang w:val="en-CA"/>
              </w:rPr>
            </w:pPr>
            <w:r w:rsidRPr="006E490C">
              <w:rPr>
                <w:rFonts w:cs="Arial"/>
                <w:szCs w:val="20"/>
                <w:lang w:val="en-CA"/>
              </w:rPr>
              <w:t>Ministry of Mines and Quarries</w:t>
            </w:r>
          </w:p>
        </w:tc>
        <w:tc>
          <w:tcPr>
            <w:tcW w:w="6055" w:type="dxa"/>
            <w:gridSpan w:val="4"/>
            <w:shd w:val="clear" w:color="auto" w:fill="auto"/>
          </w:tcPr>
          <w:p w14:paraId="1787028B" w14:textId="77777777" w:rsidR="00302BFE" w:rsidRPr="006E490C" w:rsidRDefault="00302BFE" w:rsidP="00243B15">
            <w:pPr>
              <w:spacing w:after="120"/>
              <w:jc w:val="left"/>
              <w:rPr>
                <w:rFonts w:cs="Arial"/>
                <w:szCs w:val="20"/>
                <w:lang w:val="en-CA"/>
              </w:rPr>
            </w:pPr>
            <w:r w:rsidRPr="006E490C">
              <w:rPr>
                <w:rFonts w:cs="Arial"/>
                <w:szCs w:val="20"/>
                <w:lang w:val="en-CA"/>
              </w:rPr>
              <w:t>102,739</w:t>
            </w:r>
          </w:p>
        </w:tc>
      </w:tr>
      <w:tr w:rsidR="00302BFE" w:rsidRPr="006E490C" w14:paraId="07545C16" w14:textId="77777777" w:rsidTr="005E6DCD">
        <w:trPr>
          <w:gridAfter w:val="1"/>
          <w:wAfter w:w="16" w:type="dxa"/>
          <w:jc w:val="center"/>
        </w:trPr>
        <w:tc>
          <w:tcPr>
            <w:tcW w:w="3194" w:type="dxa"/>
            <w:gridSpan w:val="3"/>
            <w:shd w:val="clear" w:color="auto" w:fill="auto"/>
          </w:tcPr>
          <w:p w14:paraId="1596CB9B" w14:textId="77777777" w:rsidR="00302BFE" w:rsidRPr="006E490C" w:rsidRDefault="00302BFE" w:rsidP="00243B15">
            <w:pPr>
              <w:pStyle w:val="Paragraphedeliste"/>
              <w:numPr>
                <w:ilvl w:val="0"/>
                <w:numId w:val="5"/>
              </w:numPr>
              <w:spacing w:after="120"/>
              <w:jc w:val="right"/>
              <w:rPr>
                <w:rFonts w:ascii="Calibri" w:hAnsi="Calibri" w:cs="Arial"/>
                <w:b/>
                <w:sz w:val="20"/>
                <w:szCs w:val="20"/>
              </w:rPr>
            </w:pPr>
            <w:r w:rsidRPr="006E490C">
              <w:rPr>
                <w:rFonts w:ascii="Calibri" w:hAnsi="Calibri" w:cs="Arial"/>
                <w:b/>
                <w:sz w:val="20"/>
                <w:szCs w:val="20"/>
              </w:rPr>
              <w:t>Total co-financing</w:t>
            </w:r>
          </w:p>
        </w:tc>
        <w:tc>
          <w:tcPr>
            <w:tcW w:w="6055" w:type="dxa"/>
            <w:gridSpan w:val="4"/>
            <w:shd w:val="clear" w:color="auto" w:fill="auto"/>
          </w:tcPr>
          <w:p w14:paraId="550DA3DE" w14:textId="77777777" w:rsidR="00302BFE" w:rsidRPr="006E490C" w:rsidRDefault="00302BFE" w:rsidP="00243B15">
            <w:pPr>
              <w:spacing w:after="120"/>
              <w:jc w:val="left"/>
              <w:rPr>
                <w:rFonts w:cs="Arial"/>
                <w:b/>
                <w:szCs w:val="20"/>
              </w:rPr>
            </w:pPr>
            <w:r w:rsidRPr="006E490C">
              <w:rPr>
                <w:rFonts w:cs="Arial"/>
                <w:b/>
                <w:szCs w:val="20"/>
              </w:rPr>
              <w:t>22,069,851 USD</w:t>
            </w:r>
          </w:p>
        </w:tc>
      </w:tr>
      <w:tr w:rsidR="00302BFE" w:rsidRPr="006E490C" w14:paraId="51DF20E2" w14:textId="77777777" w:rsidTr="005E6DCD">
        <w:trPr>
          <w:gridAfter w:val="1"/>
          <w:wAfter w:w="16" w:type="dxa"/>
          <w:jc w:val="center"/>
        </w:trPr>
        <w:tc>
          <w:tcPr>
            <w:tcW w:w="3194" w:type="dxa"/>
            <w:gridSpan w:val="3"/>
            <w:shd w:val="clear" w:color="auto" w:fill="auto"/>
          </w:tcPr>
          <w:p w14:paraId="4A5D62B3" w14:textId="77777777" w:rsidR="00302BFE" w:rsidRPr="006E490C" w:rsidRDefault="00302BFE" w:rsidP="00243B15">
            <w:pPr>
              <w:pStyle w:val="Paragraphedeliste"/>
              <w:numPr>
                <w:ilvl w:val="0"/>
                <w:numId w:val="5"/>
              </w:numPr>
              <w:spacing w:after="120"/>
              <w:jc w:val="right"/>
              <w:rPr>
                <w:rFonts w:ascii="Calibri" w:hAnsi="Calibri" w:cs="Arial"/>
                <w:b/>
                <w:sz w:val="20"/>
                <w:szCs w:val="20"/>
              </w:rPr>
            </w:pPr>
            <w:r w:rsidRPr="006E490C">
              <w:rPr>
                <w:rFonts w:ascii="Calibri" w:hAnsi="Calibri" w:cs="Arial"/>
                <w:b/>
                <w:sz w:val="20"/>
                <w:szCs w:val="20"/>
                <w:lang w:eastAsia="zh-CN"/>
              </w:rPr>
              <w:t>Grand-</w:t>
            </w:r>
            <w:r w:rsidRPr="006E490C">
              <w:rPr>
                <w:rFonts w:ascii="Calibri" w:hAnsi="Calibri" w:cs="Arial"/>
                <w:b/>
                <w:sz w:val="20"/>
                <w:szCs w:val="20"/>
              </w:rPr>
              <w:t xml:space="preserve">Total Project </w:t>
            </w:r>
            <w:r w:rsidRPr="006E490C">
              <w:rPr>
                <w:rFonts w:ascii="Calibri" w:hAnsi="Calibri" w:cs="Arial"/>
                <w:b/>
                <w:sz w:val="20"/>
                <w:szCs w:val="20"/>
                <w:lang w:eastAsia="zh-CN"/>
              </w:rPr>
              <w:t>Financing (1)+(2)</w:t>
            </w:r>
          </w:p>
        </w:tc>
        <w:tc>
          <w:tcPr>
            <w:tcW w:w="6055" w:type="dxa"/>
            <w:gridSpan w:val="4"/>
            <w:shd w:val="clear" w:color="auto" w:fill="auto"/>
          </w:tcPr>
          <w:p w14:paraId="7BA05B65" w14:textId="77777777" w:rsidR="00302BFE" w:rsidRPr="006E490C" w:rsidRDefault="00302BFE" w:rsidP="00243B15">
            <w:pPr>
              <w:spacing w:after="120"/>
              <w:jc w:val="left"/>
              <w:rPr>
                <w:rFonts w:cs="Arial"/>
                <w:b/>
                <w:szCs w:val="20"/>
              </w:rPr>
            </w:pPr>
            <w:r w:rsidRPr="006E490C">
              <w:rPr>
                <w:b/>
                <w:szCs w:val="20"/>
              </w:rPr>
              <w:t>27,619,303</w:t>
            </w:r>
            <w:r w:rsidRPr="006E490C">
              <w:rPr>
                <w:b/>
                <w:sz w:val="18"/>
                <w:szCs w:val="18"/>
              </w:rPr>
              <w:t xml:space="preserve"> </w:t>
            </w:r>
            <w:r w:rsidRPr="006E490C">
              <w:rPr>
                <w:rFonts w:cs="Arial"/>
                <w:b/>
                <w:szCs w:val="20"/>
              </w:rPr>
              <w:t>USD</w:t>
            </w:r>
          </w:p>
        </w:tc>
      </w:tr>
      <w:tr w:rsidR="00302BFE" w:rsidRPr="006E490C" w14:paraId="5053E57E" w14:textId="77777777" w:rsidTr="005E6DCD">
        <w:trPr>
          <w:gridAfter w:val="1"/>
          <w:wAfter w:w="16" w:type="dxa"/>
          <w:jc w:val="center"/>
        </w:trPr>
        <w:tc>
          <w:tcPr>
            <w:tcW w:w="9249" w:type="dxa"/>
            <w:gridSpan w:val="7"/>
            <w:shd w:val="clear" w:color="auto" w:fill="BFBFBF"/>
          </w:tcPr>
          <w:p w14:paraId="77FD6D38" w14:textId="77777777" w:rsidR="00302BFE" w:rsidRPr="006E490C" w:rsidRDefault="00302BFE" w:rsidP="00243B15">
            <w:pPr>
              <w:spacing w:after="120"/>
              <w:jc w:val="left"/>
              <w:rPr>
                <w:rFonts w:cs="Arial"/>
                <w:b/>
                <w:smallCaps/>
                <w:szCs w:val="20"/>
              </w:rPr>
            </w:pPr>
            <w:r w:rsidRPr="006E490C">
              <w:rPr>
                <w:rFonts w:cs="Arial"/>
                <w:b/>
                <w:smallCaps/>
                <w:szCs w:val="20"/>
              </w:rPr>
              <w:t>Signatures</w:t>
            </w:r>
          </w:p>
        </w:tc>
      </w:tr>
      <w:tr w:rsidR="00302BFE" w:rsidRPr="006E490C" w14:paraId="478C1F26" w14:textId="77777777" w:rsidTr="006504D7">
        <w:trPr>
          <w:gridAfter w:val="1"/>
          <w:wAfter w:w="16" w:type="dxa"/>
          <w:trHeight w:val="1196"/>
          <w:jc w:val="center"/>
        </w:trPr>
        <w:tc>
          <w:tcPr>
            <w:tcW w:w="2695" w:type="dxa"/>
            <w:gridSpan w:val="2"/>
            <w:shd w:val="clear" w:color="auto" w:fill="auto"/>
          </w:tcPr>
          <w:p w14:paraId="0B25F4A3" w14:textId="1B549B69" w:rsidR="006504D7" w:rsidRPr="00E028FF" w:rsidRDefault="00302BFE" w:rsidP="006504D7">
            <w:pPr>
              <w:spacing w:after="240"/>
              <w:jc w:val="left"/>
              <w:rPr>
                <w:rFonts w:cs="Arial"/>
                <w:b/>
                <w:szCs w:val="20"/>
                <w:lang w:val="pt-PT"/>
              </w:rPr>
            </w:pPr>
            <w:r w:rsidRPr="0020399E">
              <w:rPr>
                <w:rFonts w:cs="Arial"/>
                <w:b/>
                <w:szCs w:val="20"/>
                <w:lang w:val="fr-FR"/>
              </w:rPr>
              <w:t>Signature</w:t>
            </w:r>
            <w:r w:rsidRPr="0020399E">
              <w:rPr>
                <w:rFonts w:cs="Arial"/>
                <w:b/>
                <w:sz w:val="22"/>
                <w:szCs w:val="22"/>
                <w:lang w:val="fr-FR"/>
              </w:rPr>
              <w:t xml:space="preserve">:  </w:t>
            </w:r>
            <w:r w:rsidR="006504D7" w:rsidRPr="006504D7">
              <w:rPr>
                <w:rFonts w:eastAsia="Times New Roman"/>
                <w:b/>
                <w:bCs/>
                <w:lang w:val="fr-FR"/>
              </w:rPr>
              <w:t>Mr Aboubacar NACANABO</w:t>
            </w:r>
            <w:r w:rsidR="006504D7">
              <w:rPr>
                <w:rFonts w:cs="Arial"/>
                <w:b/>
                <w:bCs/>
                <w:sz w:val="22"/>
                <w:szCs w:val="22"/>
                <w:lang w:val="fr-FR"/>
              </w:rPr>
              <w:t xml:space="preserve">                  </w:t>
            </w:r>
            <w:r w:rsidR="006504D7" w:rsidRPr="006504D7">
              <w:rPr>
                <w:rFonts w:eastAsia="Times New Roman"/>
                <w:lang w:val="fr-FR"/>
              </w:rPr>
              <w:t xml:space="preserve"> </w:t>
            </w:r>
            <w:r w:rsidR="006504D7" w:rsidRPr="006504D7">
              <w:rPr>
                <w:rFonts w:eastAsia="Times New Roman"/>
                <w:sz w:val="18"/>
                <w:szCs w:val="22"/>
                <w:lang w:val="fr-FR"/>
              </w:rPr>
              <w:t>Ministre de l’Economie, des Finances et de la Prospective</w:t>
            </w:r>
          </w:p>
        </w:tc>
        <w:tc>
          <w:tcPr>
            <w:tcW w:w="1428" w:type="dxa"/>
            <w:gridSpan w:val="2"/>
            <w:shd w:val="clear" w:color="auto" w:fill="auto"/>
          </w:tcPr>
          <w:p w14:paraId="4A26D207" w14:textId="77777777" w:rsidR="00302BFE" w:rsidRPr="006E490C" w:rsidRDefault="00302BFE" w:rsidP="00243B15">
            <w:pPr>
              <w:spacing w:after="240"/>
              <w:jc w:val="left"/>
              <w:rPr>
                <w:rFonts w:cs="Arial"/>
                <w:b/>
                <w:szCs w:val="20"/>
              </w:rPr>
            </w:pPr>
            <w:r w:rsidRPr="006E490C">
              <w:rPr>
                <w:rFonts w:cs="Arial"/>
                <w:b/>
                <w:szCs w:val="20"/>
              </w:rPr>
              <w:t>Agreed by Government</w:t>
            </w:r>
          </w:p>
        </w:tc>
        <w:tc>
          <w:tcPr>
            <w:tcW w:w="5126" w:type="dxa"/>
            <w:gridSpan w:val="3"/>
            <w:shd w:val="clear" w:color="auto" w:fill="auto"/>
          </w:tcPr>
          <w:p w14:paraId="1802E854" w14:textId="77777777" w:rsidR="00DF7BF1" w:rsidRPr="00966EF0" w:rsidRDefault="00302BFE" w:rsidP="00DF7BF1">
            <w:pPr>
              <w:spacing w:after="240"/>
              <w:rPr>
                <w:rFonts w:cs="Arial"/>
                <w:b/>
                <w:i/>
                <w:szCs w:val="20"/>
              </w:rPr>
            </w:pPr>
            <w:r w:rsidRPr="006E490C">
              <w:rPr>
                <w:rFonts w:cs="Arial"/>
                <w:b/>
                <w:szCs w:val="20"/>
              </w:rPr>
              <w:t>Date/Month/Year:</w:t>
            </w:r>
            <w:r w:rsidR="00DF7BF1">
              <w:rPr>
                <w:rFonts w:cs="Arial"/>
                <w:b/>
                <w:szCs w:val="20"/>
              </w:rPr>
              <w:t xml:space="preserve"> </w:t>
            </w:r>
            <w:r w:rsidR="00DF7BF1" w:rsidRPr="00966EF0">
              <w:rPr>
                <w:rFonts w:cs="Arial"/>
                <w:i/>
                <w:szCs w:val="20"/>
              </w:rPr>
              <w:t>within 6 months of GEF CEO endorsement</w:t>
            </w:r>
          </w:p>
          <w:p w14:paraId="0F804963" w14:textId="77777777" w:rsidR="00302BFE" w:rsidRPr="006E490C" w:rsidRDefault="00302BFE" w:rsidP="00243B15">
            <w:pPr>
              <w:spacing w:after="240"/>
              <w:jc w:val="left"/>
              <w:rPr>
                <w:rFonts w:cs="Arial"/>
                <w:szCs w:val="20"/>
              </w:rPr>
            </w:pPr>
          </w:p>
        </w:tc>
      </w:tr>
      <w:tr w:rsidR="00302BFE" w:rsidRPr="006E490C" w14:paraId="264B0D9E" w14:textId="77777777" w:rsidTr="00C715E1">
        <w:trPr>
          <w:gridAfter w:val="1"/>
          <w:wAfter w:w="16" w:type="dxa"/>
          <w:trHeight w:val="1313"/>
          <w:jc w:val="center"/>
        </w:trPr>
        <w:tc>
          <w:tcPr>
            <w:tcW w:w="2695" w:type="dxa"/>
            <w:gridSpan w:val="2"/>
            <w:shd w:val="clear" w:color="auto" w:fill="auto"/>
          </w:tcPr>
          <w:p w14:paraId="741A8E36" w14:textId="1DD1B19D" w:rsidR="00302BFE" w:rsidRPr="0020399E" w:rsidRDefault="00302BFE" w:rsidP="006504D7">
            <w:pPr>
              <w:spacing w:after="240"/>
              <w:jc w:val="left"/>
              <w:rPr>
                <w:rFonts w:cs="Arial"/>
                <w:b/>
                <w:szCs w:val="20"/>
                <w:lang w:val="fr-FR"/>
              </w:rPr>
            </w:pPr>
            <w:r w:rsidRPr="0020399E">
              <w:rPr>
                <w:rFonts w:cs="Arial"/>
                <w:b/>
                <w:szCs w:val="20"/>
                <w:lang w:val="fr-FR"/>
              </w:rPr>
              <w:t xml:space="preserve">Signature: </w:t>
            </w:r>
            <w:r w:rsidR="006504D7">
              <w:rPr>
                <w:rFonts w:eastAsia="Times New Roman"/>
                <w:b/>
                <w:bCs/>
                <w:lang w:val="fr-FR"/>
              </w:rPr>
              <w:t xml:space="preserve">Mr Somanegré NANA                          </w:t>
            </w:r>
            <w:r w:rsidR="006504D7" w:rsidRPr="006504D7">
              <w:rPr>
                <w:rFonts w:eastAsia="Times New Roman"/>
                <w:sz w:val="18"/>
                <w:szCs w:val="22"/>
                <w:lang w:val="fr-FR"/>
              </w:rPr>
              <w:t>Secrétariat Permanent du Conseil National pour le Développement Durable (SP/CNDD)</w:t>
            </w:r>
          </w:p>
        </w:tc>
        <w:tc>
          <w:tcPr>
            <w:tcW w:w="1428" w:type="dxa"/>
            <w:gridSpan w:val="2"/>
            <w:shd w:val="clear" w:color="auto" w:fill="auto"/>
          </w:tcPr>
          <w:p w14:paraId="39CEA906" w14:textId="77777777" w:rsidR="00302BFE" w:rsidRPr="006E490C" w:rsidRDefault="00302BFE" w:rsidP="00243B15">
            <w:pPr>
              <w:spacing w:after="240"/>
              <w:jc w:val="left"/>
              <w:rPr>
                <w:rFonts w:cs="Arial"/>
                <w:b/>
                <w:szCs w:val="20"/>
              </w:rPr>
            </w:pPr>
            <w:r w:rsidRPr="006E490C">
              <w:rPr>
                <w:rFonts w:cs="Arial"/>
                <w:b/>
                <w:szCs w:val="20"/>
              </w:rPr>
              <w:t>Agreed by Implementing Partner</w:t>
            </w:r>
          </w:p>
        </w:tc>
        <w:tc>
          <w:tcPr>
            <w:tcW w:w="5126" w:type="dxa"/>
            <w:gridSpan w:val="3"/>
            <w:shd w:val="clear" w:color="auto" w:fill="auto"/>
          </w:tcPr>
          <w:p w14:paraId="48372B50" w14:textId="573DD3F6" w:rsidR="00302BFE" w:rsidRPr="006E490C" w:rsidRDefault="00302BFE" w:rsidP="004628A2">
            <w:pPr>
              <w:spacing w:after="240"/>
              <w:rPr>
                <w:rFonts w:cs="Arial"/>
                <w:b/>
                <w:szCs w:val="20"/>
              </w:rPr>
            </w:pPr>
            <w:r w:rsidRPr="006E490C">
              <w:rPr>
                <w:rFonts w:cs="Arial"/>
                <w:b/>
                <w:szCs w:val="20"/>
              </w:rPr>
              <w:t>Date/Month/Year:</w:t>
            </w:r>
            <w:r w:rsidR="00DF7BF1">
              <w:rPr>
                <w:rFonts w:cs="Arial"/>
                <w:b/>
                <w:szCs w:val="20"/>
              </w:rPr>
              <w:t xml:space="preserve"> </w:t>
            </w:r>
            <w:r w:rsidR="00DF7BF1" w:rsidRPr="00966EF0">
              <w:rPr>
                <w:rFonts w:cs="Arial"/>
                <w:i/>
                <w:szCs w:val="20"/>
              </w:rPr>
              <w:t>within 6 months of GEF CEO endorsement</w:t>
            </w:r>
          </w:p>
          <w:p w14:paraId="078577A1" w14:textId="77777777" w:rsidR="00302BFE" w:rsidRPr="006E490C" w:rsidRDefault="00302BFE" w:rsidP="00243B15">
            <w:pPr>
              <w:spacing w:after="240"/>
              <w:jc w:val="left"/>
              <w:rPr>
                <w:rFonts w:cs="Arial"/>
                <w:b/>
                <w:szCs w:val="20"/>
              </w:rPr>
            </w:pPr>
          </w:p>
        </w:tc>
      </w:tr>
      <w:tr w:rsidR="00302BFE" w:rsidRPr="0003763F" w14:paraId="3B877F5B" w14:textId="77777777" w:rsidTr="00C715E1">
        <w:trPr>
          <w:gridAfter w:val="1"/>
          <w:wAfter w:w="16" w:type="dxa"/>
          <w:trHeight w:val="1061"/>
          <w:jc w:val="center"/>
        </w:trPr>
        <w:tc>
          <w:tcPr>
            <w:tcW w:w="2695" w:type="dxa"/>
            <w:gridSpan w:val="2"/>
            <w:shd w:val="clear" w:color="auto" w:fill="auto"/>
          </w:tcPr>
          <w:p w14:paraId="0D45D70F" w14:textId="77777777" w:rsidR="006504D7" w:rsidRPr="0020399E" w:rsidRDefault="00302BFE" w:rsidP="006504D7">
            <w:pPr>
              <w:rPr>
                <w:b/>
                <w:bCs/>
                <w:szCs w:val="20"/>
                <w:lang w:val="fr-FR"/>
              </w:rPr>
            </w:pPr>
            <w:r w:rsidRPr="0020399E">
              <w:rPr>
                <w:rFonts w:cs="Arial"/>
                <w:b/>
                <w:szCs w:val="20"/>
                <w:lang w:val="fr-FR"/>
              </w:rPr>
              <w:t>Signature:</w:t>
            </w:r>
            <w:r w:rsidR="00C715E1" w:rsidRPr="0020399E">
              <w:rPr>
                <w:rFonts w:cs="Arial"/>
                <w:b/>
                <w:szCs w:val="20"/>
                <w:lang w:val="fr-FR"/>
              </w:rPr>
              <w:t xml:space="preserve"> </w:t>
            </w:r>
            <w:r w:rsidR="00C715E1" w:rsidRPr="0020399E">
              <w:rPr>
                <w:szCs w:val="20"/>
                <w:lang w:val="fr-FR"/>
              </w:rPr>
              <w:t xml:space="preserve">Ms Elsie </w:t>
            </w:r>
            <w:r w:rsidR="00C715E1" w:rsidRPr="0020399E">
              <w:rPr>
                <w:b/>
                <w:bCs/>
                <w:szCs w:val="20"/>
                <w:lang w:val="fr-FR"/>
              </w:rPr>
              <w:t>Laurence-Chonoune</w:t>
            </w:r>
            <w:r w:rsidR="006504D7" w:rsidRPr="0020399E">
              <w:rPr>
                <w:b/>
                <w:bCs/>
                <w:szCs w:val="20"/>
                <w:lang w:val="fr-FR"/>
              </w:rPr>
              <w:t xml:space="preserve">     </w:t>
            </w:r>
          </w:p>
          <w:p w14:paraId="0D2535C7" w14:textId="55ED5795" w:rsidR="00302BFE" w:rsidRPr="0020399E" w:rsidRDefault="00F94F38" w:rsidP="006504D7">
            <w:pPr>
              <w:rPr>
                <w:rFonts w:cs="Arial"/>
                <w:b/>
                <w:szCs w:val="20"/>
                <w:lang w:val="fr-FR"/>
              </w:rPr>
            </w:pPr>
            <w:r w:rsidRPr="004628A2">
              <w:rPr>
                <w:rFonts w:eastAsia="Times New Roman"/>
                <w:szCs w:val="20"/>
                <w:lang w:val="fr-FR"/>
              </w:rPr>
              <w:t>Représentant Résident</w:t>
            </w:r>
            <w:r w:rsidRPr="0020399E" w:rsidDel="00F94F38">
              <w:rPr>
                <w:rFonts w:cs="Arial"/>
                <w:sz w:val="18"/>
                <w:szCs w:val="18"/>
                <w:lang w:val="fr-FR"/>
              </w:rPr>
              <w:t xml:space="preserve"> </w:t>
            </w:r>
          </w:p>
        </w:tc>
        <w:tc>
          <w:tcPr>
            <w:tcW w:w="1428" w:type="dxa"/>
            <w:gridSpan w:val="2"/>
            <w:shd w:val="clear" w:color="auto" w:fill="auto"/>
          </w:tcPr>
          <w:p w14:paraId="678CDAC6" w14:textId="77777777" w:rsidR="00302BFE" w:rsidRPr="006E490C" w:rsidRDefault="00302BFE" w:rsidP="00243B15">
            <w:pPr>
              <w:spacing w:after="240"/>
              <w:jc w:val="left"/>
              <w:rPr>
                <w:rFonts w:cs="Arial"/>
                <w:b/>
                <w:szCs w:val="20"/>
              </w:rPr>
            </w:pPr>
            <w:r w:rsidRPr="006E490C">
              <w:rPr>
                <w:rFonts w:cs="Arial"/>
                <w:b/>
                <w:szCs w:val="20"/>
              </w:rPr>
              <w:t>Agreed by UNDP</w:t>
            </w:r>
          </w:p>
        </w:tc>
        <w:tc>
          <w:tcPr>
            <w:tcW w:w="5126" w:type="dxa"/>
            <w:gridSpan w:val="3"/>
            <w:shd w:val="clear" w:color="auto" w:fill="auto"/>
          </w:tcPr>
          <w:p w14:paraId="28995FE6" w14:textId="77777777" w:rsidR="00DF7BF1" w:rsidRPr="00966EF0" w:rsidRDefault="00302BFE" w:rsidP="00DF7BF1">
            <w:pPr>
              <w:spacing w:after="240"/>
              <w:rPr>
                <w:rFonts w:cs="Arial"/>
                <w:b/>
                <w:i/>
                <w:szCs w:val="20"/>
              </w:rPr>
            </w:pPr>
            <w:r w:rsidRPr="006E490C">
              <w:rPr>
                <w:rFonts w:cs="Arial"/>
                <w:b/>
                <w:szCs w:val="20"/>
              </w:rPr>
              <w:t>Date/Month/Year:</w:t>
            </w:r>
            <w:r w:rsidR="00DF7BF1">
              <w:rPr>
                <w:rFonts w:cs="Arial"/>
                <w:b/>
                <w:szCs w:val="20"/>
              </w:rPr>
              <w:t xml:space="preserve"> </w:t>
            </w:r>
            <w:r w:rsidR="00DF7BF1" w:rsidRPr="00966EF0">
              <w:rPr>
                <w:rFonts w:cs="Arial"/>
                <w:i/>
                <w:szCs w:val="20"/>
              </w:rPr>
              <w:t>within 6 months of GEF CEO endorsement</w:t>
            </w:r>
          </w:p>
          <w:p w14:paraId="21B1C2B6" w14:textId="1F00BE38" w:rsidR="00302BFE" w:rsidRPr="0003763F" w:rsidRDefault="00302BFE" w:rsidP="00243B15">
            <w:pPr>
              <w:spacing w:after="240"/>
              <w:jc w:val="left"/>
              <w:rPr>
                <w:rFonts w:cs="Arial"/>
                <w:b/>
                <w:szCs w:val="20"/>
              </w:rPr>
            </w:pPr>
          </w:p>
        </w:tc>
      </w:tr>
    </w:tbl>
    <w:p w14:paraId="582DAB96" w14:textId="77777777" w:rsidR="00302BFE" w:rsidRPr="0003763F" w:rsidRDefault="00302BFE" w:rsidP="00302BFE">
      <w:pPr>
        <w:spacing w:after="240"/>
        <w:jc w:val="left"/>
        <w:rPr>
          <w:rFonts w:cs="Arial"/>
          <w:b/>
          <w:szCs w:val="20"/>
        </w:rPr>
      </w:pPr>
    </w:p>
    <w:p w14:paraId="6B1C780D" w14:textId="77777777" w:rsidR="00302BFE" w:rsidRPr="0003763F" w:rsidRDefault="00302BFE" w:rsidP="00302BFE">
      <w:pPr>
        <w:pStyle w:val="En-ttedetabledesmatires"/>
        <w:spacing w:before="0" w:after="240" w:line="240" w:lineRule="auto"/>
        <w:rPr>
          <w:rFonts w:ascii="Calibri" w:eastAsia="Times New Roman" w:hAnsi="Calibri"/>
          <w:b w:val="0"/>
          <w:bCs w:val="0"/>
          <w:color w:val="auto"/>
          <w:sz w:val="22"/>
          <w:szCs w:val="22"/>
          <w:lang w:val="en-GB"/>
        </w:rPr>
      </w:pPr>
    </w:p>
    <w:p w14:paraId="490FEACC" w14:textId="77777777" w:rsidR="00302BFE" w:rsidRPr="00AD6A9D" w:rsidRDefault="00302BFE" w:rsidP="00302BFE">
      <w:pPr>
        <w:pStyle w:val="Titre1"/>
        <w:rPr>
          <w:rFonts w:ascii="Calibri" w:hAnsi="Calibri"/>
        </w:rPr>
      </w:pPr>
      <w:bookmarkStart w:id="2" w:name="_Toc9961788"/>
      <w:r w:rsidRPr="00AD6A9D">
        <w:rPr>
          <w:rFonts w:ascii="Calibri" w:hAnsi="Calibri"/>
        </w:rPr>
        <w:t>Table of Contents</w:t>
      </w:r>
      <w:bookmarkEnd w:id="2"/>
    </w:p>
    <w:p w14:paraId="02AF80E9" w14:textId="1E3D5D8E" w:rsidR="00302BFE" w:rsidRPr="00603CA6" w:rsidRDefault="00302BFE" w:rsidP="00302BFE">
      <w:pPr>
        <w:pStyle w:val="TM1"/>
        <w:rPr>
          <w:rFonts w:eastAsia="Times New Roman"/>
          <w:noProof/>
          <w:sz w:val="22"/>
          <w:szCs w:val="22"/>
          <w:lang w:val="fr-CA" w:eastAsia="fr-CA"/>
        </w:rPr>
      </w:pPr>
      <w:r w:rsidRPr="0003763F">
        <w:rPr>
          <w:szCs w:val="20"/>
        </w:rPr>
        <w:fldChar w:fldCharType="begin"/>
      </w:r>
      <w:r w:rsidRPr="0003763F">
        <w:rPr>
          <w:szCs w:val="20"/>
        </w:rPr>
        <w:instrText xml:space="preserve"> TOC \o "1-3" \h \z \u </w:instrText>
      </w:r>
      <w:r w:rsidRPr="0003763F">
        <w:rPr>
          <w:szCs w:val="20"/>
        </w:rPr>
        <w:fldChar w:fldCharType="separate"/>
      </w:r>
      <w:hyperlink w:anchor="_Toc9961788" w:history="1">
        <w:r w:rsidRPr="000C0195">
          <w:rPr>
            <w:rStyle w:val="Lienhypertexte"/>
            <w:noProof/>
          </w:rPr>
          <w:t>I.</w:t>
        </w:r>
        <w:r w:rsidRPr="00603CA6">
          <w:rPr>
            <w:rFonts w:eastAsia="Times New Roman"/>
            <w:noProof/>
            <w:sz w:val="22"/>
            <w:szCs w:val="22"/>
            <w:lang w:val="fr-CA" w:eastAsia="fr-CA"/>
          </w:rPr>
          <w:tab/>
        </w:r>
        <w:r w:rsidRPr="000C0195">
          <w:rPr>
            <w:rStyle w:val="Lienhypertexte"/>
            <w:noProof/>
          </w:rPr>
          <w:t>Table of Contents</w:t>
        </w:r>
        <w:r>
          <w:rPr>
            <w:noProof/>
            <w:webHidden/>
          </w:rPr>
          <w:tab/>
        </w:r>
        <w:r>
          <w:rPr>
            <w:noProof/>
            <w:webHidden/>
          </w:rPr>
          <w:fldChar w:fldCharType="begin"/>
        </w:r>
        <w:r>
          <w:rPr>
            <w:noProof/>
            <w:webHidden/>
          </w:rPr>
          <w:instrText xml:space="preserve"> PAGEREF _Toc9961788 \h </w:instrText>
        </w:r>
        <w:r>
          <w:rPr>
            <w:noProof/>
            <w:webHidden/>
          </w:rPr>
        </w:r>
        <w:r>
          <w:rPr>
            <w:noProof/>
            <w:webHidden/>
          </w:rPr>
          <w:fldChar w:fldCharType="separate"/>
        </w:r>
        <w:r w:rsidR="00EB5F3C">
          <w:rPr>
            <w:noProof/>
            <w:webHidden/>
          </w:rPr>
          <w:t>3</w:t>
        </w:r>
        <w:r>
          <w:rPr>
            <w:noProof/>
            <w:webHidden/>
          </w:rPr>
          <w:fldChar w:fldCharType="end"/>
        </w:r>
      </w:hyperlink>
    </w:p>
    <w:p w14:paraId="21F1143B" w14:textId="0557DB24" w:rsidR="00302BFE" w:rsidRPr="00603CA6" w:rsidRDefault="0053008A" w:rsidP="00302BFE">
      <w:pPr>
        <w:pStyle w:val="TM1"/>
        <w:rPr>
          <w:rFonts w:eastAsia="Times New Roman"/>
          <w:noProof/>
          <w:sz w:val="22"/>
          <w:szCs w:val="22"/>
          <w:lang w:val="fr-CA" w:eastAsia="fr-CA"/>
        </w:rPr>
      </w:pPr>
      <w:hyperlink w:anchor="_Toc9961789" w:history="1">
        <w:r w:rsidR="00302BFE" w:rsidRPr="000C0195">
          <w:rPr>
            <w:rStyle w:val="Lienhypertexte"/>
            <w:noProof/>
          </w:rPr>
          <w:t>II.</w:t>
        </w:r>
        <w:r w:rsidR="00302BFE" w:rsidRPr="00603CA6">
          <w:rPr>
            <w:rFonts w:eastAsia="Times New Roman"/>
            <w:noProof/>
            <w:sz w:val="22"/>
            <w:szCs w:val="22"/>
            <w:lang w:val="fr-CA" w:eastAsia="fr-CA"/>
          </w:rPr>
          <w:tab/>
        </w:r>
        <w:r w:rsidR="00302BFE" w:rsidRPr="000C0195">
          <w:rPr>
            <w:rStyle w:val="Lienhypertexte"/>
            <w:noProof/>
          </w:rPr>
          <w:t>Development Challenge</w:t>
        </w:r>
        <w:r w:rsidR="00302BFE">
          <w:rPr>
            <w:noProof/>
            <w:webHidden/>
          </w:rPr>
          <w:tab/>
        </w:r>
        <w:r w:rsidR="00302BFE">
          <w:rPr>
            <w:noProof/>
            <w:webHidden/>
          </w:rPr>
          <w:fldChar w:fldCharType="begin"/>
        </w:r>
        <w:r w:rsidR="00302BFE">
          <w:rPr>
            <w:noProof/>
            <w:webHidden/>
          </w:rPr>
          <w:instrText xml:space="preserve"> PAGEREF _Toc9961789 \h </w:instrText>
        </w:r>
        <w:r w:rsidR="00302BFE">
          <w:rPr>
            <w:noProof/>
            <w:webHidden/>
          </w:rPr>
        </w:r>
        <w:r w:rsidR="00302BFE">
          <w:rPr>
            <w:noProof/>
            <w:webHidden/>
          </w:rPr>
          <w:fldChar w:fldCharType="separate"/>
        </w:r>
        <w:r w:rsidR="00EB5F3C">
          <w:rPr>
            <w:noProof/>
            <w:webHidden/>
          </w:rPr>
          <w:t>6</w:t>
        </w:r>
        <w:r w:rsidR="00302BFE">
          <w:rPr>
            <w:noProof/>
            <w:webHidden/>
          </w:rPr>
          <w:fldChar w:fldCharType="end"/>
        </w:r>
      </w:hyperlink>
    </w:p>
    <w:p w14:paraId="38A1EE02" w14:textId="144AC01F" w:rsidR="00302BFE" w:rsidRPr="00603CA6" w:rsidRDefault="0053008A" w:rsidP="00302BFE">
      <w:pPr>
        <w:pStyle w:val="TM1"/>
        <w:rPr>
          <w:rFonts w:eastAsia="Times New Roman"/>
          <w:noProof/>
          <w:sz w:val="22"/>
          <w:szCs w:val="22"/>
          <w:lang w:val="fr-CA" w:eastAsia="fr-CA"/>
        </w:rPr>
      </w:pPr>
      <w:hyperlink w:anchor="_Toc9961790" w:history="1">
        <w:r w:rsidR="00302BFE" w:rsidRPr="000C0195">
          <w:rPr>
            <w:rStyle w:val="Lienhypertexte"/>
            <w:noProof/>
          </w:rPr>
          <w:t>III.</w:t>
        </w:r>
        <w:r w:rsidR="00302BFE" w:rsidRPr="00603CA6">
          <w:rPr>
            <w:rFonts w:eastAsia="Times New Roman"/>
            <w:noProof/>
            <w:sz w:val="22"/>
            <w:szCs w:val="22"/>
            <w:lang w:val="fr-CA" w:eastAsia="fr-CA"/>
          </w:rPr>
          <w:tab/>
        </w:r>
        <w:r w:rsidR="00302BFE" w:rsidRPr="000C0195">
          <w:rPr>
            <w:rStyle w:val="Lienhypertexte"/>
            <w:noProof/>
          </w:rPr>
          <w:t>Strategy</w:t>
        </w:r>
        <w:r w:rsidR="00302BFE">
          <w:rPr>
            <w:noProof/>
            <w:webHidden/>
          </w:rPr>
          <w:tab/>
        </w:r>
        <w:r w:rsidR="00302BFE">
          <w:rPr>
            <w:noProof/>
            <w:webHidden/>
          </w:rPr>
          <w:fldChar w:fldCharType="begin"/>
        </w:r>
        <w:r w:rsidR="00302BFE">
          <w:rPr>
            <w:noProof/>
            <w:webHidden/>
          </w:rPr>
          <w:instrText xml:space="preserve"> PAGEREF _Toc9961790 \h </w:instrText>
        </w:r>
        <w:r w:rsidR="00302BFE">
          <w:rPr>
            <w:noProof/>
            <w:webHidden/>
          </w:rPr>
        </w:r>
        <w:r w:rsidR="00302BFE">
          <w:rPr>
            <w:noProof/>
            <w:webHidden/>
          </w:rPr>
          <w:fldChar w:fldCharType="separate"/>
        </w:r>
        <w:r w:rsidR="00EB5F3C">
          <w:rPr>
            <w:noProof/>
            <w:webHidden/>
          </w:rPr>
          <w:t>20</w:t>
        </w:r>
        <w:r w:rsidR="00302BFE">
          <w:rPr>
            <w:noProof/>
            <w:webHidden/>
          </w:rPr>
          <w:fldChar w:fldCharType="end"/>
        </w:r>
      </w:hyperlink>
    </w:p>
    <w:p w14:paraId="373493A6" w14:textId="652177DC" w:rsidR="00302BFE" w:rsidRPr="00603CA6" w:rsidRDefault="0053008A" w:rsidP="00302BFE">
      <w:pPr>
        <w:pStyle w:val="TM1"/>
        <w:rPr>
          <w:rFonts w:eastAsia="Times New Roman"/>
          <w:noProof/>
          <w:sz w:val="22"/>
          <w:szCs w:val="22"/>
          <w:lang w:val="fr-CA" w:eastAsia="fr-CA"/>
        </w:rPr>
      </w:pPr>
      <w:hyperlink w:anchor="_Toc9961791" w:history="1">
        <w:r w:rsidR="00302BFE" w:rsidRPr="000C0195">
          <w:rPr>
            <w:rStyle w:val="Lienhypertexte"/>
            <w:noProof/>
          </w:rPr>
          <w:t>IV.</w:t>
        </w:r>
        <w:r w:rsidR="00302BFE" w:rsidRPr="00603CA6">
          <w:rPr>
            <w:rFonts w:eastAsia="Times New Roman"/>
            <w:noProof/>
            <w:sz w:val="22"/>
            <w:szCs w:val="22"/>
            <w:lang w:val="fr-CA" w:eastAsia="fr-CA"/>
          </w:rPr>
          <w:tab/>
        </w:r>
        <w:r w:rsidR="00302BFE" w:rsidRPr="000C0195">
          <w:rPr>
            <w:rStyle w:val="Lienhypertexte"/>
            <w:noProof/>
          </w:rPr>
          <w:t>Results and Partnerships</w:t>
        </w:r>
        <w:r w:rsidR="00302BFE">
          <w:rPr>
            <w:noProof/>
            <w:webHidden/>
          </w:rPr>
          <w:tab/>
        </w:r>
        <w:r w:rsidR="00302BFE">
          <w:rPr>
            <w:noProof/>
            <w:webHidden/>
          </w:rPr>
          <w:fldChar w:fldCharType="begin"/>
        </w:r>
        <w:r w:rsidR="00302BFE">
          <w:rPr>
            <w:noProof/>
            <w:webHidden/>
          </w:rPr>
          <w:instrText xml:space="preserve"> PAGEREF _Toc9961791 \h </w:instrText>
        </w:r>
        <w:r w:rsidR="00302BFE">
          <w:rPr>
            <w:noProof/>
            <w:webHidden/>
          </w:rPr>
        </w:r>
        <w:r w:rsidR="00302BFE">
          <w:rPr>
            <w:noProof/>
            <w:webHidden/>
          </w:rPr>
          <w:fldChar w:fldCharType="separate"/>
        </w:r>
        <w:r w:rsidR="00EB5F3C">
          <w:rPr>
            <w:noProof/>
            <w:webHidden/>
          </w:rPr>
          <w:t>26</w:t>
        </w:r>
        <w:r w:rsidR="00302BFE">
          <w:rPr>
            <w:noProof/>
            <w:webHidden/>
          </w:rPr>
          <w:fldChar w:fldCharType="end"/>
        </w:r>
      </w:hyperlink>
    </w:p>
    <w:p w14:paraId="771127BC" w14:textId="30F5B879" w:rsidR="00302BFE" w:rsidRPr="00603CA6" w:rsidRDefault="0053008A" w:rsidP="00302BFE">
      <w:pPr>
        <w:pStyle w:val="TM1"/>
        <w:rPr>
          <w:rFonts w:eastAsia="Times New Roman"/>
          <w:noProof/>
          <w:sz w:val="22"/>
          <w:szCs w:val="22"/>
          <w:lang w:val="fr-CA" w:eastAsia="fr-CA"/>
        </w:rPr>
      </w:pPr>
      <w:hyperlink w:anchor="_Toc9961792" w:history="1">
        <w:r w:rsidR="00302BFE" w:rsidRPr="000C0195">
          <w:rPr>
            <w:rStyle w:val="Lienhypertexte"/>
            <w:noProof/>
          </w:rPr>
          <w:t>V.</w:t>
        </w:r>
        <w:r w:rsidR="00302BFE" w:rsidRPr="00603CA6">
          <w:rPr>
            <w:rFonts w:eastAsia="Times New Roman"/>
            <w:noProof/>
            <w:sz w:val="22"/>
            <w:szCs w:val="22"/>
            <w:lang w:val="fr-CA" w:eastAsia="fr-CA"/>
          </w:rPr>
          <w:tab/>
        </w:r>
        <w:r w:rsidR="00302BFE" w:rsidRPr="000C0195">
          <w:rPr>
            <w:rStyle w:val="Lienhypertexte"/>
            <w:noProof/>
          </w:rPr>
          <w:t>Project Management</w:t>
        </w:r>
        <w:r w:rsidR="00302BFE">
          <w:rPr>
            <w:noProof/>
            <w:webHidden/>
          </w:rPr>
          <w:tab/>
        </w:r>
        <w:r w:rsidR="00302BFE">
          <w:rPr>
            <w:noProof/>
            <w:webHidden/>
          </w:rPr>
          <w:fldChar w:fldCharType="begin"/>
        </w:r>
        <w:r w:rsidR="00302BFE">
          <w:rPr>
            <w:noProof/>
            <w:webHidden/>
          </w:rPr>
          <w:instrText xml:space="preserve"> PAGEREF _Toc9961792 \h </w:instrText>
        </w:r>
        <w:r w:rsidR="00302BFE">
          <w:rPr>
            <w:noProof/>
            <w:webHidden/>
          </w:rPr>
        </w:r>
        <w:r w:rsidR="00302BFE">
          <w:rPr>
            <w:noProof/>
            <w:webHidden/>
          </w:rPr>
          <w:fldChar w:fldCharType="separate"/>
        </w:r>
        <w:r w:rsidR="00EB5F3C">
          <w:rPr>
            <w:noProof/>
            <w:webHidden/>
          </w:rPr>
          <w:t>75</w:t>
        </w:r>
        <w:r w:rsidR="00302BFE">
          <w:rPr>
            <w:noProof/>
            <w:webHidden/>
          </w:rPr>
          <w:fldChar w:fldCharType="end"/>
        </w:r>
      </w:hyperlink>
    </w:p>
    <w:p w14:paraId="682E4EBB" w14:textId="2EFE5B98" w:rsidR="00302BFE" w:rsidRPr="00603CA6" w:rsidRDefault="0053008A" w:rsidP="00302BFE">
      <w:pPr>
        <w:pStyle w:val="TM1"/>
        <w:rPr>
          <w:rFonts w:eastAsia="Times New Roman"/>
          <w:noProof/>
          <w:sz w:val="22"/>
          <w:szCs w:val="22"/>
          <w:lang w:val="fr-CA" w:eastAsia="fr-CA"/>
        </w:rPr>
      </w:pPr>
      <w:hyperlink w:anchor="_Toc9961793" w:history="1">
        <w:r w:rsidR="00302BFE" w:rsidRPr="000C0195">
          <w:rPr>
            <w:rStyle w:val="Lienhypertexte"/>
            <w:noProof/>
          </w:rPr>
          <w:t>VI.</w:t>
        </w:r>
        <w:r w:rsidR="00302BFE" w:rsidRPr="00603CA6">
          <w:rPr>
            <w:rFonts w:eastAsia="Times New Roman"/>
            <w:noProof/>
            <w:sz w:val="22"/>
            <w:szCs w:val="22"/>
            <w:lang w:val="fr-CA" w:eastAsia="fr-CA"/>
          </w:rPr>
          <w:tab/>
        </w:r>
        <w:r w:rsidR="00302BFE" w:rsidRPr="000C0195">
          <w:rPr>
            <w:rStyle w:val="Lienhypertexte"/>
            <w:noProof/>
          </w:rPr>
          <w:t>Project Results Framework</w:t>
        </w:r>
        <w:r w:rsidR="00302BFE">
          <w:rPr>
            <w:noProof/>
            <w:webHidden/>
          </w:rPr>
          <w:tab/>
        </w:r>
        <w:r w:rsidR="00302BFE">
          <w:rPr>
            <w:noProof/>
            <w:webHidden/>
          </w:rPr>
          <w:fldChar w:fldCharType="begin"/>
        </w:r>
        <w:r w:rsidR="00302BFE">
          <w:rPr>
            <w:noProof/>
            <w:webHidden/>
          </w:rPr>
          <w:instrText xml:space="preserve"> PAGEREF _Toc9961793 \h </w:instrText>
        </w:r>
        <w:r w:rsidR="00302BFE">
          <w:rPr>
            <w:noProof/>
            <w:webHidden/>
          </w:rPr>
        </w:r>
        <w:r w:rsidR="00302BFE">
          <w:rPr>
            <w:noProof/>
            <w:webHidden/>
          </w:rPr>
          <w:fldChar w:fldCharType="separate"/>
        </w:r>
        <w:r w:rsidR="00EB5F3C">
          <w:rPr>
            <w:noProof/>
            <w:webHidden/>
          </w:rPr>
          <w:t>78</w:t>
        </w:r>
        <w:r w:rsidR="00302BFE">
          <w:rPr>
            <w:noProof/>
            <w:webHidden/>
          </w:rPr>
          <w:fldChar w:fldCharType="end"/>
        </w:r>
      </w:hyperlink>
    </w:p>
    <w:p w14:paraId="538F4A74" w14:textId="54860439" w:rsidR="00302BFE" w:rsidRPr="00603CA6" w:rsidRDefault="0053008A" w:rsidP="00302BFE">
      <w:pPr>
        <w:pStyle w:val="TM1"/>
        <w:rPr>
          <w:rFonts w:eastAsia="Times New Roman"/>
          <w:noProof/>
          <w:sz w:val="22"/>
          <w:szCs w:val="22"/>
          <w:lang w:val="fr-CA" w:eastAsia="fr-CA"/>
        </w:rPr>
      </w:pPr>
      <w:hyperlink w:anchor="_Toc9961794" w:history="1">
        <w:r w:rsidR="00302BFE" w:rsidRPr="000C0195">
          <w:rPr>
            <w:rStyle w:val="Lienhypertexte"/>
            <w:noProof/>
          </w:rPr>
          <w:t>VII.</w:t>
        </w:r>
        <w:r w:rsidR="00302BFE" w:rsidRPr="00603CA6">
          <w:rPr>
            <w:rFonts w:eastAsia="Times New Roman"/>
            <w:noProof/>
            <w:sz w:val="22"/>
            <w:szCs w:val="22"/>
            <w:lang w:val="fr-CA" w:eastAsia="fr-CA"/>
          </w:rPr>
          <w:tab/>
        </w:r>
        <w:r w:rsidR="00302BFE" w:rsidRPr="000C0195">
          <w:rPr>
            <w:rStyle w:val="Lienhypertexte"/>
            <w:noProof/>
          </w:rPr>
          <w:t>Monitoring and Evaluation (M&amp;E) Plan</w:t>
        </w:r>
        <w:r w:rsidR="00302BFE">
          <w:rPr>
            <w:noProof/>
            <w:webHidden/>
          </w:rPr>
          <w:tab/>
        </w:r>
        <w:r w:rsidR="00302BFE">
          <w:rPr>
            <w:noProof/>
            <w:webHidden/>
          </w:rPr>
          <w:fldChar w:fldCharType="begin"/>
        </w:r>
        <w:r w:rsidR="00302BFE">
          <w:rPr>
            <w:noProof/>
            <w:webHidden/>
          </w:rPr>
          <w:instrText xml:space="preserve"> PAGEREF _Toc9961794 \h </w:instrText>
        </w:r>
        <w:r w:rsidR="00302BFE">
          <w:rPr>
            <w:noProof/>
            <w:webHidden/>
          </w:rPr>
        </w:r>
        <w:r w:rsidR="00302BFE">
          <w:rPr>
            <w:noProof/>
            <w:webHidden/>
          </w:rPr>
          <w:fldChar w:fldCharType="separate"/>
        </w:r>
        <w:r w:rsidR="00EB5F3C">
          <w:rPr>
            <w:noProof/>
            <w:webHidden/>
          </w:rPr>
          <w:t>85</w:t>
        </w:r>
        <w:r w:rsidR="00302BFE">
          <w:rPr>
            <w:noProof/>
            <w:webHidden/>
          </w:rPr>
          <w:fldChar w:fldCharType="end"/>
        </w:r>
      </w:hyperlink>
    </w:p>
    <w:p w14:paraId="3B281AE9" w14:textId="6C339EC4" w:rsidR="00302BFE" w:rsidRPr="00603CA6" w:rsidRDefault="0053008A" w:rsidP="00302BFE">
      <w:pPr>
        <w:pStyle w:val="TM1"/>
        <w:rPr>
          <w:rFonts w:eastAsia="Times New Roman"/>
          <w:noProof/>
          <w:sz w:val="22"/>
          <w:szCs w:val="22"/>
          <w:lang w:val="fr-CA" w:eastAsia="fr-CA"/>
        </w:rPr>
      </w:pPr>
      <w:hyperlink w:anchor="_Toc9961795" w:history="1">
        <w:r w:rsidR="00302BFE" w:rsidRPr="000C0195">
          <w:rPr>
            <w:rStyle w:val="Lienhypertexte"/>
            <w:noProof/>
          </w:rPr>
          <w:t>VIII.</w:t>
        </w:r>
        <w:r w:rsidR="00302BFE" w:rsidRPr="00603CA6">
          <w:rPr>
            <w:rFonts w:eastAsia="Times New Roman"/>
            <w:noProof/>
            <w:sz w:val="22"/>
            <w:szCs w:val="22"/>
            <w:lang w:val="fr-CA" w:eastAsia="fr-CA"/>
          </w:rPr>
          <w:tab/>
        </w:r>
        <w:r w:rsidR="00302BFE" w:rsidRPr="000C0195">
          <w:rPr>
            <w:rStyle w:val="Lienhypertexte"/>
            <w:noProof/>
          </w:rPr>
          <w:t>Governance and Management Arrangements</w:t>
        </w:r>
        <w:r w:rsidR="00302BFE">
          <w:rPr>
            <w:noProof/>
            <w:webHidden/>
          </w:rPr>
          <w:tab/>
        </w:r>
        <w:r w:rsidR="00302BFE">
          <w:rPr>
            <w:noProof/>
            <w:webHidden/>
          </w:rPr>
          <w:fldChar w:fldCharType="begin"/>
        </w:r>
        <w:r w:rsidR="00302BFE">
          <w:rPr>
            <w:noProof/>
            <w:webHidden/>
          </w:rPr>
          <w:instrText xml:space="preserve"> PAGEREF _Toc9961795 \h </w:instrText>
        </w:r>
        <w:r w:rsidR="00302BFE">
          <w:rPr>
            <w:noProof/>
            <w:webHidden/>
          </w:rPr>
        </w:r>
        <w:r w:rsidR="00302BFE">
          <w:rPr>
            <w:noProof/>
            <w:webHidden/>
          </w:rPr>
          <w:fldChar w:fldCharType="separate"/>
        </w:r>
        <w:r w:rsidR="00EB5F3C">
          <w:rPr>
            <w:noProof/>
            <w:webHidden/>
          </w:rPr>
          <w:t>89</w:t>
        </w:r>
        <w:r w:rsidR="00302BFE">
          <w:rPr>
            <w:noProof/>
            <w:webHidden/>
          </w:rPr>
          <w:fldChar w:fldCharType="end"/>
        </w:r>
      </w:hyperlink>
    </w:p>
    <w:p w14:paraId="0C9D1D29" w14:textId="339A519E" w:rsidR="00302BFE" w:rsidRPr="00603CA6" w:rsidRDefault="0053008A" w:rsidP="00302BFE">
      <w:pPr>
        <w:pStyle w:val="TM1"/>
        <w:rPr>
          <w:rFonts w:eastAsia="Times New Roman"/>
          <w:noProof/>
          <w:sz w:val="22"/>
          <w:szCs w:val="22"/>
          <w:lang w:val="fr-CA" w:eastAsia="fr-CA"/>
        </w:rPr>
      </w:pPr>
      <w:hyperlink w:anchor="_Toc9961796" w:history="1">
        <w:r w:rsidR="00302BFE" w:rsidRPr="000C0195">
          <w:rPr>
            <w:rStyle w:val="Lienhypertexte"/>
            <w:noProof/>
          </w:rPr>
          <w:t>IX.</w:t>
        </w:r>
        <w:r w:rsidR="00302BFE" w:rsidRPr="00603CA6">
          <w:rPr>
            <w:rFonts w:eastAsia="Times New Roman"/>
            <w:noProof/>
            <w:sz w:val="22"/>
            <w:szCs w:val="22"/>
            <w:lang w:val="fr-CA" w:eastAsia="fr-CA"/>
          </w:rPr>
          <w:tab/>
        </w:r>
        <w:r w:rsidR="00302BFE" w:rsidRPr="000C0195">
          <w:rPr>
            <w:rStyle w:val="Lienhypertexte"/>
            <w:noProof/>
          </w:rPr>
          <w:t>Financial Planning and Management</w:t>
        </w:r>
        <w:r w:rsidR="00302BFE">
          <w:rPr>
            <w:noProof/>
            <w:webHidden/>
          </w:rPr>
          <w:tab/>
        </w:r>
        <w:r w:rsidR="00302BFE">
          <w:rPr>
            <w:noProof/>
            <w:webHidden/>
          </w:rPr>
          <w:fldChar w:fldCharType="begin"/>
        </w:r>
        <w:r w:rsidR="00302BFE">
          <w:rPr>
            <w:noProof/>
            <w:webHidden/>
          </w:rPr>
          <w:instrText xml:space="preserve"> PAGEREF _Toc9961796 \h </w:instrText>
        </w:r>
        <w:r w:rsidR="00302BFE">
          <w:rPr>
            <w:noProof/>
            <w:webHidden/>
          </w:rPr>
        </w:r>
        <w:r w:rsidR="00302BFE">
          <w:rPr>
            <w:noProof/>
            <w:webHidden/>
          </w:rPr>
          <w:fldChar w:fldCharType="separate"/>
        </w:r>
        <w:r w:rsidR="00EB5F3C">
          <w:rPr>
            <w:noProof/>
            <w:webHidden/>
          </w:rPr>
          <w:t>96</w:t>
        </w:r>
        <w:r w:rsidR="00302BFE">
          <w:rPr>
            <w:noProof/>
            <w:webHidden/>
          </w:rPr>
          <w:fldChar w:fldCharType="end"/>
        </w:r>
      </w:hyperlink>
    </w:p>
    <w:p w14:paraId="0274706F" w14:textId="4469F92F" w:rsidR="00302BFE" w:rsidRPr="00603CA6" w:rsidRDefault="0053008A" w:rsidP="00302BFE">
      <w:pPr>
        <w:pStyle w:val="TM1"/>
        <w:rPr>
          <w:rFonts w:eastAsia="Times New Roman"/>
          <w:noProof/>
          <w:sz w:val="22"/>
          <w:szCs w:val="22"/>
          <w:lang w:val="fr-CA" w:eastAsia="fr-CA"/>
        </w:rPr>
      </w:pPr>
      <w:hyperlink w:anchor="_Toc9961797" w:history="1">
        <w:r w:rsidR="00302BFE" w:rsidRPr="000C0195">
          <w:rPr>
            <w:rStyle w:val="Lienhypertexte"/>
            <w:noProof/>
          </w:rPr>
          <w:t>X.</w:t>
        </w:r>
        <w:r w:rsidR="00302BFE" w:rsidRPr="00603CA6">
          <w:rPr>
            <w:rFonts w:eastAsia="Times New Roman"/>
            <w:noProof/>
            <w:sz w:val="22"/>
            <w:szCs w:val="22"/>
            <w:lang w:val="fr-CA" w:eastAsia="fr-CA"/>
          </w:rPr>
          <w:tab/>
        </w:r>
        <w:r w:rsidR="00302BFE" w:rsidRPr="000C0195">
          <w:rPr>
            <w:rStyle w:val="Lienhypertexte"/>
            <w:noProof/>
          </w:rPr>
          <w:t>Total Budget and Work Plan</w:t>
        </w:r>
        <w:r w:rsidR="00302BFE">
          <w:rPr>
            <w:noProof/>
            <w:webHidden/>
          </w:rPr>
          <w:tab/>
        </w:r>
        <w:r w:rsidR="00302BFE">
          <w:rPr>
            <w:noProof/>
            <w:webHidden/>
          </w:rPr>
          <w:fldChar w:fldCharType="begin"/>
        </w:r>
        <w:r w:rsidR="00302BFE">
          <w:rPr>
            <w:noProof/>
            <w:webHidden/>
          </w:rPr>
          <w:instrText xml:space="preserve"> PAGEREF _Toc9961797 \h </w:instrText>
        </w:r>
        <w:r w:rsidR="00302BFE">
          <w:rPr>
            <w:noProof/>
            <w:webHidden/>
          </w:rPr>
        </w:r>
        <w:r w:rsidR="00302BFE">
          <w:rPr>
            <w:noProof/>
            <w:webHidden/>
          </w:rPr>
          <w:fldChar w:fldCharType="separate"/>
        </w:r>
        <w:r w:rsidR="00EB5F3C">
          <w:rPr>
            <w:noProof/>
            <w:webHidden/>
          </w:rPr>
          <w:t>99</w:t>
        </w:r>
        <w:r w:rsidR="00302BFE">
          <w:rPr>
            <w:noProof/>
            <w:webHidden/>
          </w:rPr>
          <w:fldChar w:fldCharType="end"/>
        </w:r>
      </w:hyperlink>
    </w:p>
    <w:p w14:paraId="480A1130" w14:textId="22E339CF" w:rsidR="00302BFE" w:rsidRPr="00603CA6" w:rsidRDefault="0053008A" w:rsidP="00302BFE">
      <w:pPr>
        <w:pStyle w:val="TM1"/>
        <w:rPr>
          <w:rFonts w:eastAsia="Times New Roman"/>
          <w:noProof/>
          <w:sz w:val="22"/>
          <w:szCs w:val="22"/>
          <w:lang w:val="fr-CA" w:eastAsia="fr-CA"/>
        </w:rPr>
      </w:pPr>
      <w:hyperlink w:anchor="_Toc9961798" w:history="1">
        <w:r w:rsidR="00302BFE" w:rsidRPr="000C0195">
          <w:rPr>
            <w:rStyle w:val="Lienhypertexte"/>
            <w:noProof/>
          </w:rPr>
          <w:t>XI.</w:t>
        </w:r>
        <w:r w:rsidR="00302BFE" w:rsidRPr="00603CA6">
          <w:rPr>
            <w:rFonts w:eastAsia="Times New Roman"/>
            <w:noProof/>
            <w:sz w:val="22"/>
            <w:szCs w:val="22"/>
            <w:lang w:val="fr-CA" w:eastAsia="fr-CA"/>
          </w:rPr>
          <w:tab/>
        </w:r>
        <w:r w:rsidR="00302BFE" w:rsidRPr="000C0195">
          <w:rPr>
            <w:rStyle w:val="Lienhypertexte"/>
            <w:noProof/>
          </w:rPr>
          <w:t>Legal Context</w:t>
        </w:r>
        <w:r w:rsidR="00302BFE">
          <w:rPr>
            <w:noProof/>
            <w:webHidden/>
          </w:rPr>
          <w:tab/>
        </w:r>
        <w:r w:rsidR="00302BFE">
          <w:rPr>
            <w:noProof/>
            <w:webHidden/>
          </w:rPr>
          <w:fldChar w:fldCharType="begin"/>
        </w:r>
        <w:r w:rsidR="00302BFE">
          <w:rPr>
            <w:noProof/>
            <w:webHidden/>
          </w:rPr>
          <w:instrText xml:space="preserve"> PAGEREF _Toc9961798 \h </w:instrText>
        </w:r>
        <w:r w:rsidR="00302BFE">
          <w:rPr>
            <w:noProof/>
            <w:webHidden/>
          </w:rPr>
        </w:r>
        <w:r w:rsidR="00302BFE">
          <w:rPr>
            <w:noProof/>
            <w:webHidden/>
          </w:rPr>
          <w:fldChar w:fldCharType="separate"/>
        </w:r>
        <w:r w:rsidR="00EB5F3C">
          <w:rPr>
            <w:noProof/>
            <w:webHidden/>
          </w:rPr>
          <w:t>115</w:t>
        </w:r>
        <w:r w:rsidR="00302BFE">
          <w:rPr>
            <w:noProof/>
            <w:webHidden/>
          </w:rPr>
          <w:fldChar w:fldCharType="end"/>
        </w:r>
      </w:hyperlink>
    </w:p>
    <w:p w14:paraId="4542477D" w14:textId="24D52C03" w:rsidR="00302BFE" w:rsidRPr="00603CA6" w:rsidRDefault="0053008A" w:rsidP="00302BFE">
      <w:pPr>
        <w:pStyle w:val="TM1"/>
        <w:rPr>
          <w:rFonts w:eastAsia="Times New Roman"/>
          <w:noProof/>
          <w:sz w:val="22"/>
          <w:szCs w:val="22"/>
          <w:lang w:val="fr-CA" w:eastAsia="fr-CA"/>
        </w:rPr>
      </w:pPr>
      <w:hyperlink w:anchor="_Toc9961799" w:history="1">
        <w:r w:rsidR="00302BFE" w:rsidRPr="000C0195">
          <w:rPr>
            <w:rStyle w:val="Lienhypertexte"/>
            <w:noProof/>
          </w:rPr>
          <w:t>XII.</w:t>
        </w:r>
        <w:r w:rsidR="00302BFE" w:rsidRPr="00603CA6">
          <w:rPr>
            <w:rFonts w:eastAsia="Times New Roman"/>
            <w:noProof/>
            <w:sz w:val="22"/>
            <w:szCs w:val="22"/>
            <w:lang w:val="fr-CA" w:eastAsia="fr-CA"/>
          </w:rPr>
          <w:tab/>
        </w:r>
        <w:r w:rsidR="00302BFE" w:rsidRPr="000C0195">
          <w:rPr>
            <w:rStyle w:val="Lienhypertexte"/>
            <w:noProof/>
          </w:rPr>
          <w:t>Risk Management</w:t>
        </w:r>
        <w:r w:rsidR="00302BFE">
          <w:rPr>
            <w:noProof/>
            <w:webHidden/>
          </w:rPr>
          <w:tab/>
        </w:r>
        <w:r w:rsidR="00302BFE">
          <w:rPr>
            <w:noProof/>
            <w:webHidden/>
          </w:rPr>
          <w:fldChar w:fldCharType="begin"/>
        </w:r>
        <w:r w:rsidR="00302BFE">
          <w:rPr>
            <w:noProof/>
            <w:webHidden/>
          </w:rPr>
          <w:instrText xml:space="preserve"> PAGEREF _Toc9961799 \h </w:instrText>
        </w:r>
        <w:r w:rsidR="00302BFE">
          <w:rPr>
            <w:noProof/>
            <w:webHidden/>
          </w:rPr>
        </w:r>
        <w:r w:rsidR="00302BFE">
          <w:rPr>
            <w:noProof/>
            <w:webHidden/>
          </w:rPr>
          <w:fldChar w:fldCharType="separate"/>
        </w:r>
        <w:r w:rsidR="00EB5F3C">
          <w:rPr>
            <w:noProof/>
            <w:webHidden/>
          </w:rPr>
          <w:t>115</w:t>
        </w:r>
        <w:r w:rsidR="00302BFE">
          <w:rPr>
            <w:noProof/>
            <w:webHidden/>
          </w:rPr>
          <w:fldChar w:fldCharType="end"/>
        </w:r>
      </w:hyperlink>
    </w:p>
    <w:p w14:paraId="1ABD6A38" w14:textId="05DE8108" w:rsidR="00302BFE" w:rsidRPr="00603CA6" w:rsidRDefault="0053008A" w:rsidP="00302BFE">
      <w:pPr>
        <w:pStyle w:val="TM1"/>
        <w:rPr>
          <w:rFonts w:eastAsia="Times New Roman"/>
          <w:noProof/>
          <w:sz w:val="22"/>
          <w:szCs w:val="22"/>
          <w:lang w:val="fr-CA" w:eastAsia="fr-CA"/>
        </w:rPr>
      </w:pPr>
      <w:hyperlink w:anchor="_Toc9961800" w:history="1">
        <w:r w:rsidR="00302BFE" w:rsidRPr="000C0195">
          <w:rPr>
            <w:rStyle w:val="Lienhypertexte"/>
            <w:noProof/>
          </w:rPr>
          <w:t>XIII.</w:t>
        </w:r>
        <w:r w:rsidR="00302BFE" w:rsidRPr="00603CA6">
          <w:rPr>
            <w:rFonts w:eastAsia="Times New Roman"/>
            <w:noProof/>
            <w:sz w:val="22"/>
            <w:szCs w:val="22"/>
            <w:lang w:val="fr-CA" w:eastAsia="fr-CA"/>
          </w:rPr>
          <w:tab/>
        </w:r>
        <w:r w:rsidR="00302BFE" w:rsidRPr="000C0195">
          <w:rPr>
            <w:rStyle w:val="Lienhypertexte"/>
            <w:noProof/>
          </w:rPr>
          <w:t>Mandatory Annexes</w:t>
        </w:r>
        <w:r w:rsidR="00302BFE">
          <w:rPr>
            <w:noProof/>
            <w:webHidden/>
          </w:rPr>
          <w:tab/>
        </w:r>
        <w:r w:rsidR="00302BFE">
          <w:rPr>
            <w:noProof/>
            <w:webHidden/>
          </w:rPr>
          <w:fldChar w:fldCharType="begin"/>
        </w:r>
        <w:r w:rsidR="00302BFE">
          <w:rPr>
            <w:noProof/>
            <w:webHidden/>
          </w:rPr>
          <w:instrText xml:space="preserve"> PAGEREF _Toc9961800 \h </w:instrText>
        </w:r>
        <w:r w:rsidR="00302BFE">
          <w:rPr>
            <w:noProof/>
            <w:webHidden/>
          </w:rPr>
        </w:r>
        <w:r w:rsidR="00302BFE">
          <w:rPr>
            <w:noProof/>
            <w:webHidden/>
          </w:rPr>
          <w:fldChar w:fldCharType="separate"/>
        </w:r>
        <w:r w:rsidR="00EB5F3C">
          <w:rPr>
            <w:noProof/>
            <w:webHidden/>
          </w:rPr>
          <w:t>117</w:t>
        </w:r>
        <w:r w:rsidR="00302BFE">
          <w:rPr>
            <w:noProof/>
            <w:webHidden/>
          </w:rPr>
          <w:fldChar w:fldCharType="end"/>
        </w:r>
      </w:hyperlink>
    </w:p>
    <w:p w14:paraId="6FA097B8" w14:textId="2089C946" w:rsidR="00302BFE" w:rsidRPr="00603CA6" w:rsidRDefault="0053008A" w:rsidP="00302BFE">
      <w:pPr>
        <w:pStyle w:val="TM2"/>
        <w:tabs>
          <w:tab w:val="right" w:leader="dot" w:pos="10790"/>
        </w:tabs>
        <w:rPr>
          <w:rFonts w:eastAsia="Times New Roman"/>
          <w:noProof/>
          <w:sz w:val="22"/>
          <w:szCs w:val="22"/>
          <w:lang w:val="fr-CA" w:eastAsia="fr-CA"/>
        </w:rPr>
      </w:pPr>
      <w:hyperlink w:anchor="_Toc9961801" w:history="1">
        <w:r w:rsidR="00302BFE" w:rsidRPr="000C0195">
          <w:rPr>
            <w:rStyle w:val="Lienhypertexte"/>
            <w:noProof/>
          </w:rPr>
          <w:t>Annex A:  Multi Year Work Plan</w:t>
        </w:r>
        <w:r w:rsidR="00302BFE">
          <w:rPr>
            <w:noProof/>
            <w:webHidden/>
          </w:rPr>
          <w:tab/>
        </w:r>
        <w:r w:rsidR="00302BFE">
          <w:rPr>
            <w:noProof/>
            <w:webHidden/>
          </w:rPr>
          <w:fldChar w:fldCharType="begin"/>
        </w:r>
        <w:r w:rsidR="00302BFE">
          <w:rPr>
            <w:noProof/>
            <w:webHidden/>
          </w:rPr>
          <w:instrText xml:space="preserve"> PAGEREF _Toc9961801 \h </w:instrText>
        </w:r>
        <w:r w:rsidR="00302BFE">
          <w:rPr>
            <w:noProof/>
            <w:webHidden/>
          </w:rPr>
        </w:r>
        <w:r w:rsidR="00302BFE">
          <w:rPr>
            <w:noProof/>
            <w:webHidden/>
          </w:rPr>
          <w:fldChar w:fldCharType="separate"/>
        </w:r>
        <w:r w:rsidR="00EB5F3C">
          <w:rPr>
            <w:noProof/>
            <w:webHidden/>
          </w:rPr>
          <w:t>118</w:t>
        </w:r>
        <w:r w:rsidR="00302BFE">
          <w:rPr>
            <w:noProof/>
            <w:webHidden/>
          </w:rPr>
          <w:fldChar w:fldCharType="end"/>
        </w:r>
      </w:hyperlink>
    </w:p>
    <w:p w14:paraId="7EE96294" w14:textId="2357F40A" w:rsidR="00302BFE" w:rsidRPr="00603CA6" w:rsidRDefault="0053008A" w:rsidP="00302BFE">
      <w:pPr>
        <w:pStyle w:val="TM2"/>
        <w:tabs>
          <w:tab w:val="right" w:leader="dot" w:pos="10790"/>
        </w:tabs>
        <w:rPr>
          <w:rFonts w:eastAsia="Times New Roman"/>
          <w:noProof/>
          <w:sz w:val="22"/>
          <w:szCs w:val="22"/>
          <w:lang w:val="fr-CA" w:eastAsia="fr-CA"/>
        </w:rPr>
      </w:pPr>
      <w:hyperlink w:anchor="_Toc9961802" w:history="1">
        <w:r w:rsidR="00302BFE" w:rsidRPr="000C0195">
          <w:rPr>
            <w:rStyle w:val="Lienhypertexte"/>
            <w:noProof/>
          </w:rPr>
          <w:t>Annex B:  GEF-7 Core Indicators</w:t>
        </w:r>
        <w:r w:rsidR="00302BFE">
          <w:rPr>
            <w:noProof/>
            <w:webHidden/>
          </w:rPr>
          <w:tab/>
        </w:r>
        <w:r w:rsidR="00302BFE">
          <w:rPr>
            <w:noProof/>
            <w:webHidden/>
          </w:rPr>
          <w:fldChar w:fldCharType="begin"/>
        </w:r>
        <w:r w:rsidR="00302BFE">
          <w:rPr>
            <w:noProof/>
            <w:webHidden/>
          </w:rPr>
          <w:instrText xml:space="preserve"> PAGEREF _Toc9961802 \h </w:instrText>
        </w:r>
        <w:r w:rsidR="00302BFE">
          <w:rPr>
            <w:noProof/>
            <w:webHidden/>
          </w:rPr>
        </w:r>
        <w:r w:rsidR="00302BFE">
          <w:rPr>
            <w:noProof/>
            <w:webHidden/>
          </w:rPr>
          <w:fldChar w:fldCharType="separate"/>
        </w:r>
        <w:r w:rsidR="00EB5F3C">
          <w:rPr>
            <w:noProof/>
            <w:webHidden/>
          </w:rPr>
          <w:t>121</w:t>
        </w:r>
        <w:r w:rsidR="00302BFE">
          <w:rPr>
            <w:noProof/>
            <w:webHidden/>
          </w:rPr>
          <w:fldChar w:fldCharType="end"/>
        </w:r>
      </w:hyperlink>
    </w:p>
    <w:p w14:paraId="5A77C7F7" w14:textId="45E71FE1" w:rsidR="00302BFE" w:rsidRPr="00603CA6" w:rsidRDefault="0053008A" w:rsidP="00302BFE">
      <w:pPr>
        <w:pStyle w:val="TM2"/>
        <w:tabs>
          <w:tab w:val="right" w:leader="dot" w:pos="10790"/>
        </w:tabs>
        <w:rPr>
          <w:rFonts w:eastAsia="Times New Roman"/>
          <w:noProof/>
          <w:sz w:val="22"/>
          <w:szCs w:val="22"/>
          <w:lang w:val="fr-CA" w:eastAsia="fr-CA"/>
        </w:rPr>
      </w:pPr>
      <w:hyperlink w:anchor="_Toc9961803" w:history="1">
        <w:r w:rsidR="00302BFE" w:rsidRPr="000C0195">
          <w:rPr>
            <w:rStyle w:val="Lienhypertexte"/>
            <w:noProof/>
          </w:rPr>
          <w:t>Annex C: Terms of Reference</w:t>
        </w:r>
        <w:r w:rsidR="00302BFE">
          <w:rPr>
            <w:noProof/>
            <w:webHidden/>
          </w:rPr>
          <w:tab/>
        </w:r>
        <w:r w:rsidR="00302BFE">
          <w:rPr>
            <w:noProof/>
            <w:webHidden/>
          </w:rPr>
          <w:fldChar w:fldCharType="begin"/>
        </w:r>
        <w:r w:rsidR="00302BFE">
          <w:rPr>
            <w:noProof/>
            <w:webHidden/>
          </w:rPr>
          <w:instrText xml:space="preserve"> PAGEREF _Toc9961803 \h </w:instrText>
        </w:r>
        <w:r w:rsidR="00302BFE">
          <w:rPr>
            <w:noProof/>
            <w:webHidden/>
          </w:rPr>
        </w:r>
        <w:r w:rsidR="00302BFE">
          <w:rPr>
            <w:noProof/>
            <w:webHidden/>
          </w:rPr>
          <w:fldChar w:fldCharType="separate"/>
        </w:r>
        <w:r w:rsidR="00EB5F3C">
          <w:rPr>
            <w:noProof/>
            <w:webHidden/>
          </w:rPr>
          <w:t>126</w:t>
        </w:r>
        <w:r w:rsidR="00302BFE">
          <w:rPr>
            <w:noProof/>
            <w:webHidden/>
          </w:rPr>
          <w:fldChar w:fldCharType="end"/>
        </w:r>
      </w:hyperlink>
    </w:p>
    <w:p w14:paraId="403F46D7" w14:textId="090DDBEA" w:rsidR="00302BFE" w:rsidRPr="00603CA6" w:rsidRDefault="0053008A" w:rsidP="00302BFE">
      <w:pPr>
        <w:pStyle w:val="TM2"/>
        <w:tabs>
          <w:tab w:val="right" w:leader="dot" w:pos="10790"/>
        </w:tabs>
        <w:rPr>
          <w:rFonts w:eastAsia="Times New Roman"/>
          <w:noProof/>
          <w:sz w:val="22"/>
          <w:szCs w:val="22"/>
          <w:lang w:val="fr-CA" w:eastAsia="fr-CA"/>
        </w:rPr>
      </w:pPr>
      <w:hyperlink w:anchor="_Toc9961804" w:history="1">
        <w:r w:rsidR="00302BFE" w:rsidRPr="000C0195">
          <w:rPr>
            <w:rStyle w:val="Lienhypertexte"/>
            <w:noProof/>
          </w:rPr>
          <w:t>Annex D:  UNDP Social and Environmental Screening Procedure (annexed as separate file)</w:t>
        </w:r>
        <w:r w:rsidR="00302BFE">
          <w:rPr>
            <w:noProof/>
            <w:webHidden/>
          </w:rPr>
          <w:tab/>
        </w:r>
        <w:r w:rsidR="00302BFE">
          <w:rPr>
            <w:noProof/>
            <w:webHidden/>
          </w:rPr>
          <w:fldChar w:fldCharType="begin"/>
        </w:r>
        <w:r w:rsidR="00302BFE">
          <w:rPr>
            <w:noProof/>
            <w:webHidden/>
          </w:rPr>
          <w:instrText xml:space="preserve"> PAGEREF _Toc9961804 \h </w:instrText>
        </w:r>
        <w:r w:rsidR="00302BFE">
          <w:rPr>
            <w:noProof/>
            <w:webHidden/>
          </w:rPr>
        </w:r>
        <w:r w:rsidR="00302BFE">
          <w:rPr>
            <w:noProof/>
            <w:webHidden/>
          </w:rPr>
          <w:fldChar w:fldCharType="separate"/>
        </w:r>
        <w:r w:rsidR="00EB5F3C">
          <w:rPr>
            <w:noProof/>
            <w:webHidden/>
          </w:rPr>
          <w:t>135</w:t>
        </w:r>
        <w:r w:rsidR="00302BFE">
          <w:rPr>
            <w:noProof/>
            <w:webHidden/>
          </w:rPr>
          <w:fldChar w:fldCharType="end"/>
        </w:r>
      </w:hyperlink>
    </w:p>
    <w:p w14:paraId="568D8676" w14:textId="4F85FDAF" w:rsidR="00302BFE" w:rsidRPr="00603CA6" w:rsidRDefault="0053008A" w:rsidP="00302BFE">
      <w:pPr>
        <w:pStyle w:val="TM2"/>
        <w:tabs>
          <w:tab w:val="right" w:leader="dot" w:pos="10790"/>
        </w:tabs>
        <w:rPr>
          <w:rFonts w:eastAsia="Times New Roman"/>
          <w:noProof/>
          <w:sz w:val="22"/>
          <w:szCs w:val="22"/>
          <w:lang w:val="fr-CA" w:eastAsia="fr-CA"/>
        </w:rPr>
      </w:pPr>
      <w:hyperlink w:anchor="_Toc9961805" w:history="1">
        <w:r w:rsidR="00302BFE" w:rsidRPr="000C0195">
          <w:rPr>
            <w:rStyle w:val="Lienhypertexte"/>
            <w:noProof/>
          </w:rPr>
          <w:t>Annex E:  Stakeholder Engagement Plan</w:t>
        </w:r>
        <w:r w:rsidR="00302BFE">
          <w:rPr>
            <w:noProof/>
            <w:webHidden/>
          </w:rPr>
          <w:tab/>
        </w:r>
        <w:r w:rsidR="00302BFE">
          <w:rPr>
            <w:noProof/>
            <w:webHidden/>
          </w:rPr>
          <w:fldChar w:fldCharType="begin"/>
        </w:r>
        <w:r w:rsidR="00302BFE">
          <w:rPr>
            <w:noProof/>
            <w:webHidden/>
          </w:rPr>
          <w:instrText xml:space="preserve"> PAGEREF _Toc9961805 \h </w:instrText>
        </w:r>
        <w:r w:rsidR="00302BFE">
          <w:rPr>
            <w:noProof/>
            <w:webHidden/>
          </w:rPr>
        </w:r>
        <w:r w:rsidR="00302BFE">
          <w:rPr>
            <w:noProof/>
            <w:webHidden/>
          </w:rPr>
          <w:fldChar w:fldCharType="separate"/>
        </w:r>
        <w:r w:rsidR="00EB5F3C">
          <w:rPr>
            <w:noProof/>
            <w:webHidden/>
          </w:rPr>
          <w:t>136</w:t>
        </w:r>
        <w:r w:rsidR="00302BFE">
          <w:rPr>
            <w:noProof/>
            <w:webHidden/>
          </w:rPr>
          <w:fldChar w:fldCharType="end"/>
        </w:r>
      </w:hyperlink>
    </w:p>
    <w:p w14:paraId="0E6C4D57" w14:textId="623A55E8" w:rsidR="00302BFE" w:rsidRPr="00603CA6" w:rsidRDefault="0053008A" w:rsidP="00302BFE">
      <w:pPr>
        <w:pStyle w:val="TM2"/>
        <w:tabs>
          <w:tab w:val="right" w:leader="dot" w:pos="10790"/>
        </w:tabs>
        <w:rPr>
          <w:rFonts w:eastAsia="Times New Roman"/>
          <w:noProof/>
          <w:sz w:val="22"/>
          <w:szCs w:val="22"/>
          <w:lang w:val="fr-CA" w:eastAsia="fr-CA"/>
        </w:rPr>
      </w:pPr>
      <w:hyperlink w:anchor="_Toc9961806" w:history="1">
        <w:r w:rsidR="00302BFE" w:rsidRPr="000C0195">
          <w:rPr>
            <w:rStyle w:val="Lienhypertexte"/>
            <w:noProof/>
          </w:rPr>
          <w:t>Annex F: Gender Analysis and Action Plan</w:t>
        </w:r>
        <w:r w:rsidR="00302BFE">
          <w:rPr>
            <w:noProof/>
            <w:webHidden/>
          </w:rPr>
          <w:tab/>
        </w:r>
        <w:r w:rsidR="00302BFE">
          <w:rPr>
            <w:noProof/>
            <w:webHidden/>
          </w:rPr>
          <w:fldChar w:fldCharType="begin"/>
        </w:r>
        <w:r w:rsidR="00302BFE">
          <w:rPr>
            <w:noProof/>
            <w:webHidden/>
          </w:rPr>
          <w:instrText xml:space="preserve"> PAGEREF _Toc9961806 \h </w:instrText>
        </w:r>
        <w:r w:rsidR="00302BFE">
          <w:rPr>
            <w:noProof/>
            <w:webHidden/>
          </w:rPr>
        </w:r>
        <w:r w:rsidR="00302BFE">
          <w:rPr>
            <w:noProof/>
            <w:webHidden/>
          </w:rPr>
          <w:fldChar w:fldCharType="separate"/>
        </w:r>
        <w:r w:rsidR="00EB5F3C">
          <w:rPr>
            <w:noProof/>
            <w:webHidden/>
          </w:rPr>
          <w:t>143</w:t>
        </w:r>
        <w:r w:rsidR="00302BFE">
          <w:rPr>
            <w:noProof/>
            <w:webHidden/>
          </w:rPr>
          <w:fldChar w:fldCharType="end"/>
        </w:r>
      </w:hyperlink>
    </w:p>
    <w:p w14:paraId="6BDFA85E" w14:textId="2893579C" w:rsidR="00302BFE" w:rsidRPr="00603CA6" w:rsidRDefault="0053008A" w:rsidP="00302BFE">
      <w:pPr>
        <w:pStyle w:val="TM2"/>
        <w:tabs>
          <w:tab w:val="right" w:leader="dot" w:pos="10790"/>
        </w:tabs>
        <w:rPr>
          <w:rFonts w:eastAsia="Times New Roman"/>
          <w:noProof/>
          <w:sz w:val="22"/>
          <w:szCs w:val="22"/>
          <w:lang w:val="fr-CA" w:eastAsia="fr-CA"/>
        </w:rPr>
      </w:pPr>
      <w:hyperlink w:anchor="_Toc9961807" w:history="1">
        <w:r w:rsidR="00302BFE" w:rsidRPr="000C0195">
          <w:rPr>
            <w:rStyle w:val="Lienhypertexte"/>
            <w:noProof/>
          </w:rPr>
          <w:t>Annex G:  UNDP Risk Log</w:t>
        </w:r>
        <w:r w:rsidR="00302BFE">
          <w:rPr>
            <w:noProof/>
            <w:webHidden/>
          </w:rPr>
          <w:tab/>
        </w:r>
        <w:r w:rsidR="00302BFE">
          <w:rPr>
            <w:noProof/>
            <w:webHidden/>
          </w:rPr>
          <w:fldChar w:fldCharType="begin"/>
        </w:r>
        <w:r w:rsidR="00302BFE">
          <w:rPr>
            <w:noProof/>
            <w:webHidden/>
          </w:rPr>
          <w:instrText xml:space="preserve"> PAGEREF _Toc9961807 \h </w:instrText>
        </w:r>
        <w:r w:rsidR="00302BFE">
          <w:rPr>
            <w:noProof/>
            <w:webHidden/>
          </w:rPr>
        </w:r>
        <w:r w:rsidR="00302BFE">
          <w:rPr>
            <w:noProof/>
            <w:webHidden/>
          </w:rPr>
          <w:fldChar w:fldCharType="separate"/>
        </w:r>
        <w:r w:rsidR="00EB5F3C">
          <w:rPr>
            <w:noProof/>
            <w:webHidden/>
          </w:rPr>
          <w:t>159</w:t>
        </w:r>
        <w:r w:rsidR="00302BFE">
          <w:rPr>
            <w:noProof/>
            <w:webHidden/>
          </w:rPr>
          <w:fldChar w:fldCharType="end"/>
        </w:r>
      </w:hyperlink>
    </w:p>
    <w:p w14:paraId="7E4B0CF7" w14:textId="5E6092DB" w:rsidR="00302BFE" w:rsidRPr="00603CA6" w:rsidRDefault="0053008A" w:rsidP="00302BFE">
      <w:pPr>
        <w:pStyle w:val="TM2"/>
        <w:tabs>
          <w:tab w:val="right" w:leader="dot" w:pos="10790"/>
        </w:tabs>
        <w:rPr>
          <w:rFonts w:eastAsia="Times New Roman"/>
          <w:noProof/>
          <w:sz w:val="22"/>
          <w:szCs w:val="22"/>
          <w:lang w:val="fr-CA" w:eastAsia="fr-CA"/>
        </w:rPr>
      </w:pPr>
      <w:hyperlink w:anchor="_Toc9961808" w:history="1">
        <w:r w:rsidR="00302BFE" w:rsidRPr="000C0195">
          <w:rPr>
            <w:rStyle w:val="Lienhypertexte"/>
            <w:noProof/>
          </w:rPr>
          <w:t>Annex H: Additional agreements: GEF OFP letter; LOA between UNDP and the Government of Burkina Faso for the provision of support services; Endorsement Letter for provision of project support services under national execution</w:t>
        </w:r>
        <w:r w:rsidR="00302BFE">
          <w:rPr>
            <w:noProof/>
            <w:webHidden/>
          </w:rPr>
          <w:tab/>
        </w:r>
        <w:r w:rsidR="00302BFE">
          <w:rPr>
            <w:noProof/>
            <w:webHidden/>
          </w:rPr>
          <w:fldChar w:fldCharType="begin"/>
        </w:r>
        <w:r w:rsidR="00302BFE">
          <w:rPr>
            <w:noProof/>
            <w:webHidden/>
          </w:rPr>
          <w:instrText xml:space="preserve"> PAGEREF _Toc9961808 \h </w:instrText>
        </w:r>
        <w:r w:rsidR="00302BFE">
          <w:rPr>
            <w:noProof/>
            <w:webHidden/>
          </w:rPr>
        </w:r>
        <w:r w:rsidR="00302BFE">
          <w:rPr>
            <w:noProof/>
            <w:webHidden/>
          </w:rPr>
          <w:fldChar w:fldCharType="separate"/>
        </w:r>
        <w:r w:rsidR="00EB5F3C">
          <w:rPr>
            <w:noProof/>
            <w:webHidden/>
          </w:rPr>
          <w:t>165</w:t>
        </w:r>
        <w:r w:rsidR="00302BFE">
          <w:rPr>
            <w:noProof/>
            <w:webHidden/>
          </w:rPr>
          <w:fldChar w:fldCharType="end"/>
        </w:r>
      </w:hyperlink>
    </w:p>
    <w:p w14:paraId="203D5273" w14:textId="15951D06" w:rsidR="00302BFE" w:rsidRPr="00603CA6" w:rsidRDefault="0053008A" w:rsidP="00302BFE">
      <w:pPr>
        <w:pStyle w:val="TM2"/>
        <w:tabs>
          <w:tab w:val="right" w:leader="dot" w:pos="10790"/>
        </w:tabs>
        <w:rPr>
          <w:rFonts w:eastAsia="Times New Roman"/>
          <w:noProof/>
          <w:sz w:val="22"/>
          <w:szCs w:val="22"/>
          <w:lang w:val="fr-CA" w:eastAsia="fr-CA"/>
        </w:rPr>
      </w:pPr>
      <w:hyperlink w:anchor="_Toc9961809" w:history="1">
        <w:r w:rsidR="00302BFE" w:rsidRPr="000C0195">
          <w:rPr>
            <w:rStyle w:val="Lienhypertexte"/>
            <w:noProof/>
          </w:rPr>
          <w:t>Annex I. Target landscape profile</w:t>
        </w:r>
        <w:r w:rsidR="00302BFE">
          <w:rPr>
            <w:noProof/>
            <w:webHidden/>
          </w:rPr>
          <w:tab/>
        </w:r>
        <w:r w:rsidR="00302BFE">
          <w:rPr>
            <w:noProof/>
            <w:webHidden/>
          </w:rPr>
          <w:fldChar w:fldCharType="begin"/>
        </w:r>
        <w:r w:rsidR="00302BFE">
          <w:rPr>
            <w:noProof/>
            <w:webHidden/>
          </w:rPr>
          <w:instrText xml:space="preserve"> PAGEREF _Toc9961809 \h </w:instrText>
        </w:r>
        <w:r w:rsidR="00302BFE">
          <w:rPr>
            <w:noProof/>
            <w:webHidden/>
          </w:rPr>
        </w:r>
        <w:r w:rsidR="00302BFE">
          <w:rPr>
            <w:noProof/>
            <w:webHidden/>
          </w:rPr>
          <w:fldChar w:fldCharType="separate"/>
        </w:r>
        <w:r w:rsidR="00EB5F3C">
          <w:rPr>
            <w:noProof/>
            <w:webHidden/>
          </w:rPr>
          <w:t>166</w:t>
        </w:r>
        <w:r w:rsidR="00302BFE">
          <w:rPr>
            <w:noProof/>
            <w:webHidden/>
          </w:rPr>
          <w:fldChar w:fldCharType="end"/>
        </w:r>
      </w:hyperlink>
    </w:p>
    <w:p w14:paraId="6B90BCD9" w14:textId="1FA55491" w:rsidR="00302BFE" w:rsidRPr="00603CA6" w:rsidRDefault="0053008A" w:rsidP="00302BFE">
      <w:pPr>
        <w:pStyle w:val="TM2"/>
        <w:tabs>
          <w:tab w:val="right" w:leader="dot" w:pos="10790"/>
        </w:tabs>
        <w:rPr>
          <w:rFonts w:eastAsia="Times New Roman"/>
          <w:noProof/>
          <w:sz w:val="22"/>
          <w:szCs w:val="22"/>
          <w:lang w:val="fr-CA" w:eastAsia="fr-CA"/>
        </w:rPr>
      </w:pPr>
      <w:hyperlink w:anchor="_Toc9961810" w:history="1">
        <w:r w:rsidR="00302BFE" w:rsidRPr="000C0195">
          <w:rPr>
            <w:rStyle w:val="Lienhypertexte"/>
            <w:noProof/>
          </w:rPr>
          <w:t>Annex J. Overview of the Protected Area system in Burkina Faso</w:t>
        </w:r>
        <w:r w:rsidR="00302BFE">
          <w:rPr>
            <w:noProof/>
            <w:webHidden/>
          </w:rPr>
          <w:tab/>
        </w:r>
        <w:r w:rsidR="00302BFE">
          <w:rPr>
            <w:noProof/>
            <w:webHidden/>
          </w:rPr>
          <w:fldChar w:fldCharType="begin"/>
        </w:r>
        <w:r w:rsidR="00302BFE">
          <w:rPr>
            <w:noProof/>
            <w:webHidden/>
          </w:rPr>
          <w:instrText xml:space="preserve"> PAGEREF _Toc9961810 \h </w:instrText>
        </w:r>
        <w:r w:rsidR="00302BFE">
          <w:rPr>
            <w:noProof/>
            <w:webHidden/>
          </w:rPr>
        </w:r>
        <w:r w:rsidR="00302BFE">
          <w:rPr>
            <w:noProof/>
            <w:webHidden/>
          </w:rPr>
          <w:fldChar w:fldCharType="separate"/>
        </w:r>
        <w:r w:rsidR="00EB5F3C">
          <w:rPr>
            <w:noProof/>
            <w:webHidden/>
          </w:rPr>
          <w:t>182</w:t>
        </w:r>
        <w:r w:rsidR="00302BFE">
          <w:rPr>
            <w:noProof/>
            <w:webHidden/>
          </w:rPr>
          <w:fldChar w:fldCharType="end"/>
        </w:r>
      </w:hyperlink>
    </w:p>
    <w:p w14:paraId="2AA9BE14" w14:textId="29E62F5F" w:rsidR="00302BFE" w:rsidRPr="00603CA6" w:rsidRDefault="0053008A" w:rsidP="00302BFE">
      <w:pPr>
        <w:pStyle w:val="TM2"/>
        <w:tabs>
          <w:tab w:val="right" w:leader="dot" w:pos="10790"/>
        </w:tabs>
        <w:rPr>
          <w:rFonts w:eastAsia="Times New Roman"/>
          <w:noProof/>
          <w:sz w:val="22"/>
          <w:szCs w:val="22"/>
          <w:lang w:val="fr-CA" w:eastAsia="fr-CA"/>
        </w:rPr>
      </w:pPr>
      <w:hyperlink w:anchor="_Toc9961811" w:history="1">
        <w:r w:rsidR="00302BFE" w:rsidRPr="000C0195">
          <w:rPr>
            <w:rStyle w:val="Lienhypertexte"/>
            <w:noProof/>
          </w:rPr>
          <w:t>Annex K. State and community protected areas (Table a) and Community management zones for natural resources (Table b) in the PONASI landscape</w:t>
        </w:r>
        <w:r w:rsidR="00302BFE">
          <w:rPr>
            <w:noProof/>
            <w:webHidden/>
          </w:rPr>
          <w:tab/>
        </w:r>
        <w:r w:rsidR="00302BFE">
          <w:rPr>
            <w:noProof/>
            <w:webHidden/>
          </w:rPr>
          <w:fldChar w:fldCharType="begin"/>
        </w:r>
        <w:r w:rsidR="00302BFE">
          <w:rPr>
            <w:noProof/>
            <w:webHidden/>
          </w:rPr>
          <w:instrText xml:space="preserve"> PAGEREF _Toc9961811 \h </w:instrText>
        </w:r>
        <w:r w:rsidR="00302BFE">
          <w:rPr>
            <w:noProof/>
            <w:webHidden/>
          </w:rPr>
        </w:r>
        <w:r w:rsidR="00302BFE">
          <w:rPr>
            <w:noProof/>
            <w:webHidden/>
          </w:rPr>
          <w:fldChar w:fldCharType="separate"/>
        </w:r>
        <w:r w:rsidR="00EB5F3C">
          <w:rPr>
            <w:noProof/>
            <w:webHidden/>
          </w:rPr>
          <w:t>184</w:t>
        </w:r>
        <w:r w:rsidR="00302BFE">
          <w:rPr>
            <w:noProof/>
            <w:webHidden/>
          </w:rPr>
          <w:fldChar w:fldCharType="end"/>
        </w:r>
      </w:hyperlink>
    </w:p>
    <w:p w14:paraId="4CEDD8CF" w14:textId="5EE2C78A" w:rsidR="00302BFE" w:rsidRPr="00603CA6" w:rsidRDefault="0053008A" w:rsidP="00302BFE">
      <w:pPr>
        <w:pStyle w:val="TM2"/>
        <w:tabs>
          <w:tab w:val="right" w:leader="dot" w:pos="10790"/>
        </w:tabs>
        <w:rPr>
          <w:rFonts w:eastAsia="Times New Roman"/>
          <w:noProof/>
          <w:sz w:val="22"/>
          <w:szCs w:val="22"/>
          <w:lang w:val="fr-CA" w:eastAsia="fr-CA"/>
        </w:rPr>
      </w:pPr>
      <w:hyperlink w:anchor="_Toc9961812" w:history="1">
        <w:r w:rsidR="00302BFE" w:rsidRPr="000C0195">
          <w:rPr>
            <w:rStyle w:val="Lienhypertexte"/>
            <w:noProof/>
          </w:rPr>
          <w:t>Annex L. Human-Wildlife Conflicts in the PONASI landscape and the SAFE Systems approach.</w:t>
        </w:r>
        <w:r w:rsidR="00302BFE">
          <w:rPr>
            <w:noProof/>
            <w:webHidden/>
          </w:rPr>
          <w:tab/>
        </w:r>
        <w:r w:rsidR="00302BFE">
          <w:rPr>
            <w:noProof/>
            <w:webHidden/>
          </w:rPr>
          <w:fldChar w:fldCharType="begin"/>
        </w:r>
        <w:r w:rsidR="00302BFE">
          <w:rPr>
            <w:noProof/>
            <w:webHidden/>
          </w:rPr>
          <w:instrText xml:space="preserve"> PAGEREF _Toc9961812 \h </w:instrText>
        </w:r>
        <w:r w:rsidR="00302BFE">
          <w:rPr>
            <w:noProof/>
            <w:webHidden/>
          </w:rPr>
        </w:r>
        <w:r w:rsidR="00302BFE">
          <w:rPr>
            <w:noProof/>
            <w:webHidden/>
          </w:rPr>
          <w:fldChar w:fldCharType="separate"/>
        </w:r>
        <w:r w:rsidR="00EB5F3C">
          <w:rPr>
            <w:noProof/>
            <w:webHidden/>
          </w:rPr>
          <w:t>186</w:t>
        </w:r>
        <w:r w:rsidR="00302BFE">
          <w:rPr>
            <w:noProof/>
            <w:webHidden/>
          </w:rPr>
          <w:fldChar w:fldCharType="end"/>
        </w:r>
      </w:hyperlink>
    </w:p>
    <w:p w14:paraId="5BA36B58" w14:textId="5AB33A77" w:rsidR="00302BFE" w:rsidRPr="00603CA6" w:rsidRDefault="0053008A" w:rsidP="00302BFE">
      <w:pPr>
        <w:pStyle w:val="TM2"/>
        <w:tabs>
          <w:tab w:val="right" w:leader="dot" w:pos="10790"/>
        </w:tabs>
        <w:rPr>
          <w:rFonts w:eastAsia="Times New Roman"/>
          <w:noProof/>
          <w:sz w:val="22"/>
          <w:szCs w:val="22"/>
          <w:lang w:val="fr-CA" w:eastAsia="fr-CA"/>
        </w:rPr>
      </w:pPr>
      <w:hyperlink w:anchor="_Toc9961813" w:history="1">
        <w:r w:rsidR="00302BFE" w:rsidRPr="000C0195">
          <w:rPr>
            <w:rStyle w:val="Lienhypertexte"/>
            <w:noProof/>
            <w:lang w:val="en-CA"/>
          </w:rPr>
          <w:t>Annex M. People consulted during project development</w:t>
        </w:r>
        <w:r w:rsidR="00302BFE">
          <w:rPr>
            <w:noProof/>
            <w:webHidden/>
          </w:rPr>
          <w:tab/>
        </w:r>
        <w:r w:rsidR="00302BFE">
          <w:rPr>
            <w:noProof/>
            <w:webHidden/>
          </w:rPr>
          <w:fldChar w:fldCharType="begin"/>
        </w:r>
        <w:r w:rsidR="00302BFE">
          <w:rPr>
            <w:noProof/>
            <w:webHidden/>
          </w:rPr>
          <w:instrText xml:space="preserve"> PAGEREF _Toc9961813 \h </w:instrText>
        </w:r>
        <w:r w:rsidR="00302BFE">
          <w:rPr>
            <w:noProof/>
            <w:webHidden/>
          </w:rPr>
        </w:r>
        <w:r w:rsidR="00302BFE">
          <w:rPr>
            <w:noProof/>
            <w:webHidden/>
          </w:rPr>
          <w:fldChar w:fldCharType="separate"/>
        </w:r>
        <w:r w:rsidR="00EB5F3C">
          <w:rPr>
            <w:noProof/>
            <w:webHidden/>
          </w:rPr>
          <w:t>189</w:t>
        </w:r>
        <w:r w:rsidR="00302BFE">
          <w:rPr>
            <w:noProof/>
            <w:webHidden/>
          </w:rPr>
          <w:fldChar w:fldCharType="end"/>
        </w:r>
      </w:hyperlink>
    </w:p>
    <w:p w14:paraId="2759E942" w14:textId="55F83053" w:rsidR="00302BFE" w:rsidRPr="00603CA6" w:rsidRDefault="0053008A" w:rsidP="00302BFE">
      <w:pPr>
        <w:pStyle w:val="TM2"/>
        <w:tabs>
          <w:tab w:val="right" w:leader="dot" w:pos="10790"/>
        </w:tabs>
        <w:rPr>
          <w:rFonts w:eastAsia="Times New Roman"/>
          <w:noProof/>
          <w:sz w:val="22"/>
          <w:szCs w:val="22"/>
          <w:lang w:val="fr-CA" w:eastAsia="fr-CA"/>
        </w:rPr>
      </w:pPr>
      <w:hyperlink w:anchor="_Toc9961814" w:history="1">
        <w:r w:rsidR="00302BFE" w:rsidRPr="000C0195">
          <w:rPr>
            <w:rStyle w:val="Lienhypertexte"/>
            <w:noProof/>
            <w:lang w:val="fr-CA"/>
          </w:rPr>
          <w:t>Annex N. Provisional Procurement Plan</w:t>
        </w:r>
        <w:r w:rsidR="00302BFE">
          <w:rPr>
            <w:noProof/>
            <w:webHidden/>
          </w:rPr>
          <w:tab/>
        </w:r>
        <w:r w:rsidR="00302BFE">
          <w:rPr>
            <w:noProof/>
            <w:webHidden/>
          </w:rPr>
          <w:fldChar w:fldCharType="begin"/>
        </w:r>
        <w:r w:rsidR="00302BFE">
          <w:rPr>
            <w:noProof/>
            <w:webHidden/>
          </w:rPr>
          <w:instrText xml:space="preserve"> PAGEREF _Toc9961814 \h </w:instrText>
        </w:r>
        <w:r w:rsidR="00302BFE">
          <w:rPr>
            <w:noProof/>
            <w:webHidden/>
          </w:rPr>
        </w:r>
        <w:r w:rsidR="00302BFE">
          <w:rPr>
            <w:noProof/>
            <w:webHidden/>
          </w:rPr>
          <w:fldChar w:fldCharType="separate"/>
        </w:r>
        <w:r w:rsidR="00EB5F3C">
          <w:rPr>
            <w:noProof/>
            <w:webHidden/>
          </w:rPr>
          <w:t>200</w:t>
        </w:r>
        <w:r w:rsidR="00302BFE">
          <w:rPr>
            <w:noProof/>
            <w:webHidden/>
          </w:rPr>
          <w:fldChar w:fldCharType="end"/>
        </w:r>
      </w:hyperlink>
    </w:p>
    <w:p w14:paraId="3F565E18" w14:textId="41B97D99" w:rsidR="00302BFE" w:rsidRPr="00603CA6" w:rsidRDefault="0053008A" w:rsidP="00302BFE">
      <w:pPr>
        <w:pStyle w:val="TM2"/>
        <w:tabs>
          <w:tab w:val="right" w:leader="dot" w:pos="10790"/>
        </w:tabs>
        <w:rPr>
          <w:rFonts w:eastAsia="Times New Roman"/>
          <w:noProof/>
          <w:sz w:val="22"/>
          <w:szCs w:val="22"/>
          <w:lang w:val="fr-CA" w:eastAsia="fr-CA"/>
        </w:rPr>
      </w:pPr>
      <w:hyperlink w:anchor="_Toc9961815" w:history="1">
        <w:r w:rsidR="00302BFE" w:rsidRPr="000C0195">
          <w:rPr>
            <w:rStyle w:val="Lienhypertexte"/>
            <w:noProof/>
            <w:lang w:val="en-CA"/>
          </w:rPr>
          <w:t>Annex O. Calculations of Greenhouse Gas Emissions Mitigated</w:t>
        </w:r>
        <w:r w:rsidR="00302BFE">
          <w:rPr>
            <w:noProof/>
            <w:webHidden/>
          </w:rPr>
          <w:tab/>
        </w:r>
        <w:r w:rsidR="00302BFE">
          <w:rPr>
            <w:noProof/>
            <w:webHidden/>
          </w:rPr>
          <w:fldChar w:fldCharType="begin"/>
        </w:r>
        <w:r w:rsidR="00302BFE">
          <w:rPr>
            <w:noProof/>
            <w:webHidden/>
          </w:rPr>
          <w:instrText xml:space="preserve"> PAGEREF _Toc9961815 \h </w:instrText>
        </w:r>
        <w:r w:rsidR="00302BFE">
          <w:rPr>
            <w:noProof/>
            <w:webHidden/>
          </w:rPr>
        </w:r>
        <w:r w:rsidR="00302BFE">
          <w:rPr>
            <w:noProof/>
            <w:webHidden/>
          </w:rPr>
          <w:fldChar w:fldCharType="separate"/>
        </w:r>
        <w:r w:rsidR="00EB5F3C">
          <w:rPr>
            <w:noProof/>
            <w:webHidden/>
          </w:rPr>
          <w:t>202</w:t>
        </w:r>
        <w:r w:rsidR="00302BFE">
          <w:rPr>
            <w:noProof/>
            <w:webHidden/>
          </w:rPr>
          <w:fldChar w:fldCharType="end"/>
        </w:r>
      </w:hyperlink>
    </w:p>
    <w:p w14:paraId="6F64A5BE" w14:textId="1530B54E" w:rsidR="00302BFE" w:rsidRPr="00603CA6" w:rsidRDefault="0053008A" w:rsidP="00302BFE">
      <w:pPr>
        <w:pStyle w:val="TM2"/>
        <w:tabs>
          <w:tab w:val="right" w:leader="dot" w:pos="10790"/>
        </w:tabs>
        <w:rPr>
          <w:rFonts w:eastAsia="Times New Roman"/>
          <w:noProof/>
          <w:sz w:val="22"/>
          <w:szCs w:val="22"/>
          <w:lang w:val="fr-CA" w:eastAsia="fr-CA"/>
        </w:rPr>
      </w:pPr>
      <w:hyperlink w:anchor="_Toc9961816" w:history="1">
        <w:r w:rsidR="00302BFE" w:rsidRPr="000C0195">
          <w:rPr>
            <w:rStyle w:val="Lienhypertexte"/>
            <w:noProof/>
            <w:lang w:val="en-CA"/>
          </w:rPr>
          <w:t>Annex P. Co-financing Letters</w:t>
        </w:r>
        <w:r w:rsidR="00302BFE">
          <w:rPr>
            <w:noProof/>
            <w:webHidden/>
          </w:rPr>
          <w:tab/>
        </w:r>
        <w:r w:rsidR="00302BFE">
          <w:rPr>
            <w:noProof/>
            <w:webHidden/>
          </w:rPr>
          <w:fldChar w:fldCharType="begin"/>
        </w:r>
        <w:r w:rsidR="00302BFE">
          <w:rPr>
            <w:noProof/>
            <w:webHidden/>
          </w:rPr>
          <w:instrText xml:space="preserve"> PAGEREF _Toc9961816 \h </w:instrText>
        </w:r>
        <w:r w:rsidR="00302BFE">
          <w:rPr>
            <w:noProof/>
            <w:webHidden/>
          </w:rPr>
        </w:r>
        <w:r w:rsidR="00302BFE">
          <w:rPr>
            <w:noProof/>
            <w:webHidden/>
          </w:rPr>
          <w:fldChar w:fldCharType="separate"/>
        </w:r>
        <w:r w:rsidR="00EB5F3C">
          <w:rPr>
            <w:noProof/>
            <w:webHidden/>
          </w:rPr>
          <w:t>203</w:t>
        </w:r>
        <w:r w:rsidR="00302BFE">
          <w:rPr>
            <w:noProof/>
            <w:webHidden/>
          </w:rPr>
          <w:fldChar w:fldCharType="end"/>
        </w:r>
      </w:hyperlink>
    </w:p>
    <w:p w14:paraId="033760DD" w14:textId="3947E6D1" w:rsidR="00302BFE" w:rsidRPr="00603CA6" w:rsidRDefault="0053008A" w:rsidP="00302BFE">
      <w:pPr>
        <w:pStyle w:val="TM2"/>
        <w:tabs>
          <w:tab w:val="right" w:leader="dot" w:pos="10790"/>
        </w:tabs>
        <w:rPr>
          <w:rFonts w:eastAsia="Times New Roman"/>
          <w:noProof/>
          <w:sz w:val="22"/>
          <w:szCs w:val="22"/>
          <w:lang w:val="fr-CA" w:eastAsia="fr-CA"/>
        </w:rPr>
      </w:pPr>
      <w:hyperlink w:anchor="_Toc9961817" w:history="1">
        <w:r w:rsidR="00302BFE" w:rsidRPr="000C0195">
          <w:rPr>
            <w:rStyle w:val="Lienhypertexte"/>
            <w:noProof/>
            <w:lang w:val="en-CA"/>
          </w:rPr>
          <w:t>Annex Q: Capacity Development Scorecard</w:t>
        </w:r>
        <w:r w:rsidR="00302BFE">
          <w:rPr>
            <w:noProof/>
            <w:webHidden/>
          </w:rPr>
          <w:tab/>
        </w:r>
        <w:r w:rsidR="00302BFE">
          <w:rPr>
            <w:noProof/>
            <w:webHidden/>
          </w:rPr>
          <w:fldChar w:fldCharType="begin"/>
        </w:r>
        <w:r w:rsidR="00302BFE">
          <w:rPr>
            <w:noProof/>
            <w:webHidden/>
          </w:rPr>
          <w:instrText xml:space="preserve"> PAGEREF _Toc9961817 \h </w:instrText>
        </w:r>
        <w:r w:rsidR="00302BFE">
          <w:rPr>
            <w:noProof/>
            <w:webHidden/>
          </w:rPr>
        </w:r>
        <w:r w:rsidR="00302BFE">
          <w:rPr>
            <w:noProof/>
            <w:webHidden/>
          </w:rPr>
          <w:fldChar w:fldCharType="separate"/>
        </w:r>
        <w:r w:rsidR="00EB5F3C">
          <w:rPr>
            <w:noProof/>
            <w:webHidden/>
          </w:rPr>
          <w:t>204</w:t>
        </w:r>
        <w:r w:rsidR="00302BFE">
          <w:rPr>
            <w:noProof/>
            <w:webHidden/>
          </w:rPr>
          <w:fldChar w:fldCharType="end"/>
        </w:r>
      </w:hyperlink>
    </w:p>
    <w:p w14:paraId="4496161C" w14:textId="186D3648" w:rsidR="007854F2" w:rsidRDefault="00302BFE" w:rsidP="00302BFE">
      <w:pPr>
        <w:tabs>
          <w:tab w:val="left" w:pos="1185"/>
        </w:tabs>
        <w:spacing w:before="240" w:after="120"/>
        <w:jc w:val="left"/>
        <w:rPr>
          <w:rFonts w:cs="Arial"/>
          <w:b/>
          <w:sz w:val="22"/>
          <w:szCs w:val="22"/>
        </w:rPr>
      </w:pPr>
      <w:r w:rsidRPr="0003763F">
        <w:rPr>
          <w:b/>
          <w:bCs/>
          <w:noProof/>
          <w:szCs w:val="20"/>
        </w:rPr>
        <w:fldChar w:fldCharType="end"/>
      </w:r>
    </w:p>
    <w:p w14:paraId="0827BD45" w14:textId="77777777" w:rsidR="007854F2" w:rsidRDefault="007854F2" w:rsidP="00302BFE">
      <w:pPr>
        <w:tabs>
          <w:tab w:val="left" w:pos="1185"/>
        </w:tabs>
        <w:spacing w:before="240" w:after="120"/>
        <w:jc w:val="left"/>
        <w:rPr>
          <w:rFonts w:cs="Arial"/>
          <w:b/>
          <w:sz w:val="22"/>
          <w:szCs w:val="22"/>
        </w:rPr>
      </w:pPr>
    </w:p>
    <w:p w14:paraId="1CE14261" w14:textId="77777777" w:rsidR="007854F2" w:rsidRDefault="007854F2" w:rsidP="00302BFE">
      <w:pPr>
        <w:tabs>
          <w:tab w:val="left" w:pos="1185"/>
        </w:tabs>
        <w:spacing w:before="240" w:after="120"/>
        <w:jc w:val="left"/>
        <w:rPr>
          <w:rFonts w:cs="Arial"/>
          <w:b/>
          <w:sz w:val="22"/>
          <w:szCs w:val="22"/>
        </w:rPr>
      </w:pPr>
    </w:p>
    <w:p w14:paraId="3B0CB3CE" w14:textId="77777777" w:rsidR="007854F2" w:rsidRDefault="007854F2" w:rsidP="00302BFE">
      <w:pPr>
        <w:tabs>
          <w:tab w:val="left" w:pos="1185"/>
        </w:tabs>
        <w:spacing w:before="240" w:after="120"/>
        <w:jc w:val="left"/>
        <w:rPr>
          <w:rFonts w:cs="Arial"/>
          <w:b/>
          <w:sz w:val="22"/>
          <w:szCs w:val="22"/>
        </w:rPr>
      </w:pPr>
    </w:p>
    <w:p w14:paraId="3E700470" w14:textId="77777777" w:rsidR="007854F2" w:rsidRDefault="007854F2" w:rsidP="00302BFE">
      <w:pPr>
        <w:tabs>
          <w:tab w:val="left" w:pos="1185"/>
        </w:tabs>
        <w:spacing w:before="240" w:after="120"/>
        <w:jc w:val="left"/>
        <w:rPr>
          <w:rFonts w:cs="Arial"/>
          <w:b/>
          <w:sz w:val="22"/>
          <w:szCs w:val="22"/>
        </w:rPr>
      </w:pPr>
    </w:p>
    <w:p w14:paraId="0FCC8B3C" w14:textId="77777777" w:rsidR="007854F2" w:rsidRDefault="007854F2" w:rsidP="00302BFE">
      <w:pPr>
        <w:tabs>
          <w:tab w:val="left" w:pos="1185"/>
        </w:tabs>
        <w:spacing w:before="240" w:after="120"/>
        <w:jc w:val="left"/>
        <w:rPr>
          <w:rFonts w:cs="Arial"/>
          <w:b/>
          <w:sz w:val="22"/>
          <w:szCs w:val="22"/>
        </w:rPr>
      </w:pPr>
    </w:p>
    <w:p w14:paraId="50ADD1D3" w14:textId="6A671639" w:rsidR="00302BFE" w:rsidRPr="00661BE7" w:rsidRDefault="00302BFE" w:rsidP="00302BFE">
      <w:pPr>
        <w:tabs>
          <w:tab w:val="left" w:pos="1185"/>
        </w:tabs>
        <w:spacing w:before="240" w:after="120"/>
        <w:jc w:val="left"/>
        <w:rPr>
          <w:rFonts w:cs="Arial"/>
          <w:b/>
          <w:sz w:val="22"/>
          <w:szCs w:val="22"/>
        </w:rPr>
      </w:pPr>
      <w:r>
        <w:rPr>
          <w:rFonts w:cs="Arial"/>
          <w:b/>
          <w:sz w:val="22"/>
          <w:szCs w:val="22"/>
        </w:rPr>
        <w:lastRenderedPageBreak/>
        <w:t>L</w:t>
      </w:r>
      <w:r w:rsidRPr="00661BE7">
        <w:rPr>
          <w:rFonts w:cs="Arial"/>
          <w:b/>
          <w:sz w:val="22"/>
          <w:szCs w:val="22"/>
        </w:rPr>
        <w:t>ist of tables and figures</w:t>
      </w:r>
      <w:r>
        <w:rPr>
          <w:rFonts w:cs="Arial"/>
          <w:b/>
          <w:sz w:val="22"/>
          <w:szCs w:val="22"/>
        </w:rPr>
        <w:t xml:space="preserve"> </w:t>
      </w:r>
      <w:r w:rsidRPr="00D2401A">
        <w:rPr>
          <w:rFonts w:cs="Arial"/>
          <w:sz w:val="22"/>
          <w:szCs w:val="22"/>
        </w:rPr>
        <w:t>(excluding annexes)</w:t>
      </w:r>
    </w:p>
    <w:p w14:paraId="3757603F" w14:textId="77777777" w:rsidR="00302BFE" w:rsidRDefault="00302BFE" w:rsidP="00302BFE">
      <w:pPr>
        <w:tabs>
          <w:tab w:val="left" w:pos="1185"/>
        </w:tabs>
        <w:spacing w:before="120" w:after="120"/>
        <w:jc w:val="left"/>
        <w:rPr>
          <w:b/>
          <w:noProof/>
          <w:szCs w:val="20"/>
        </w:rPr>
      </w:pPr>
      <w:r w:rsidRPr="00CB2536">
        <w:rPr>
          <w:b/>
          <w:noProof/>
          <w:szCs w:val="20"/>
        </w:rPr>
        <w:t xml:space="preserve">Table 1. </w:t>
      </w:r>
      <w:r w:rsidRPr="00CB2536">
        <w:rPr>
          <w:b/>
          <w:lang w:val="en-CA"/>
        </w:rPr>
        <w:t>State and community protected areas in the PONASI landscape</w:t>
      </w:r>
    </w:p>
    <w:p w14:paraId="2E142D80" w14:textId="77777777" w:rsidR="00302BFE" w:rsidRDefault="00302BFE" w:rsidP="00302BFE">
      <w:pPr>
        <w:tabs>
          <w:tab w:val="left" w:pos="1185"/>
        </w:tabs>
        <w:spacing w:before="120" w:after="120"/>
        <w:jc w:val="left"/>
        <w:rPr>
          <w:b/>
          <w:noProof/>
          <w:szCs w:val="20"/>
        </w:rPr>
      </w:pPr>
      <w:r>
        <w:rPr>
          <w:b/>
          <w:noProof/>
          <w:szCs w:val="20"/>
        </w:rPr>
        <w:t>Table 2. Characteristics of legal instruments for tourism operations in protected areas</w:t>
      </w:r>
    </w:p>
    <w:p w14:paraId="57224E75" w14:textId="77777777" w:rsidR="00302BFE" w:rsidRDefault="00302BFE" w:rsidP="00302BFE">
      <w:pPr>
        <w:tabs>
          <w:tab w:val="left" w:pos="1185"/>
        </w:tabs>
        <w:spacing w:before="120" w:after="120"/>
        <w:jc w:val="left"/>
        <w:rPr>
          <w:b/>
          <w:szCs w:val="20"/>
          <w:lang w:val="en-GB"/>
        </w:rPr>
      </w:pPr>
      <w:r>
        <w:rPr>
          <w:b/>
          <w:szCs w:val="20"/>
          <w:lang w:val="en-GB"/>
        </w:rPr>
        <w:t>Figure 1. Protected Areas of the PONASI Complex</w:t>
      </w:r>
    </w:p>
    <w:p w14:paraId="5A28B8DE" w14:textId="77777777" w:rsidR="00302BFE" w:rsidRDefault="00302BFE" w:rsidP="00302BFE">
      <w:pPr>
        <w:tabs>
          <w:tab w:val="left" w:pos="1185"/>
        </w:tabs>
        <w:spacing w:before="120" w:after="120"/>
        <w:jc w:val="left"/>
        <w:rPr>
          <w:b/>
          <w:noProof/>
          <w:szCs w:val="20"/>
        </w:rPr>
      </w:pPr>
      <w:r>
        <w:rPr>
          <w:b/>
          <w:szCs w:val="20"/>
        </w:rPr>
        <w:t xml:space="preserve">Figure 2. Flow diagram for deciding the type of legal instrument to use </w:t>
      </w:r>
      <w:r>
        <w:rPr>
          <w:b/>
          <w:noProof/>
          <w:szCs w:val="20"/>
        </w:rPr>
        <w:t>for tourism operations in protected areas</w:t>
      </w:r>
    </w:p>
    <w:p w14:paraId="6748F8BC" w14:textId="77777777" w:rsidR="00302BFE" w:rsidRDefault="00302BFE" w:rsidP="00302BFE">
      <w:pPr>
        <w:tabs>
          <w:tab w:val="left" w:pos="1185"/>
        </w:tabs>
        <w:spacing w:before="120" w:after="120"/>
        <w:jc w:val="left"/>
        <w:rPr>
          <w:b/>
          <w:szCs w:val="20"/>
          <w:lang w:val="en-CA"/>
        </w:rPr>
      </w:pPr>
      <w:r w:rsidRPr="00D2401A">
        <w:rPr>
          <w:b/>
          <w:szCs w:val="20"/>
          <w:lang w:val="en-CA"/>
        </w:rPr>
        <w:t xml:space="preserve">Figure 3. </w:t>
      </w:r>
      <w:r>
        <w:rPr>
          <w:b/>
          <w:szCs w:val="20"/>
          <w:lang w:val="en-CA"/>
        </w:rPr>
        <w:t>Security situation in Burkina Faso in February 2019</w:t>
      </w:r>
    </w:p>
    <w:p w14:paraId="087FE85D" w14:textId="77777777" w:rsidR="007854F2" w:rsidRDefault="00302BFE" w:rsidP="007854F2">
      <w:pPr>
        <w:tabs>
          <w:tab w:val="left" w:pos="1185"/>
        </w:tabs>
        <w:spacing w:before="120" w:after="120"/>
        <w:jc w:val="left"/>
        <w:rPr>
          <w:b/>
          <w:szCs w:val="20"/>
          <w:lang w:val="en-CA"/>
        </w:rPr>
      </w:pPr>
      <w:r w:rsidRPr="00D2401A">
        <w:rPr>
          <w:b/>
          <w:szCs w:val="20"/>
        </w:rPr>
        <w:t xml:space="preserve">Figure 4. </w:t>
      </w:r>
      <w:r w:rsidRPr="00D2401A">
        <w:rPr>
          <w:b/>
          <w:szCs w:val="20"/>
          <w:lang w:val="en-CA"/>
        </w:rPr>
        <w:t>Provisional map of planned developments at PNKT</w:t>
      </w:r>
    </w:p>
    <w:p w14:paraId="1A99FBCA" w14:textId="77777777" w:rsidR="007854F2" w:rsidRDefault="007854F2" w:rsidP="007854F2">
      <w:pPr>
        <w:tabs>
          <w:tab w:val="left" w:pos="1185"/>
        </w:tabs>
        <w:spacing w:before="120" w:after="120"/>
        <w:jc w:val="left"/>
        <w:rPr>
          <w:b/>
          <w:szCs w:val="20"/>
          <w:lang w:val="en-CA"/>
        </w:rPr>
      </w:pPr>
    </w:p>
    <w:p w14:paraId="109BC6BE" w14:textId="2E01EAD0" w:rsidR="00302BFE" w:rsidRPr="00661BE7" w:rsidRDefault="00302BFE" w:rsidP="007854F2">
      <w:pPr>
        <w:tabs>
          <w:tab w:val="left" w:pos="1185"/>
        </w:tabs>
        <w:spacing w:before="120" w:after="120"/>
        <w:jc w:val="left"/>
        <w:rPr>
          <w:rFonts w:cs="Arial"/>
          <w:b/>
          <w:sz w:val="22"/>
          <w:szCs w:val="22"/>
        </w:rPr>
      </w:pPr>
      <w:r w:rsidRPr="00633F0E">
        <w:rPr>
          <w:rFonts w:cs="Arial"/>
          <w:b/>
          <w:sz w:val="22"/>
          <w:szCs w:val="22"/>
        </w:rPr>
        <w:t>List of acronyms and abbreviations</w:t>
      </w:r>
    </w:p>
    <w:tbl>
      <w:tblPr>
        <w:tblW w:w="10598" w:type="dxa"/>
        <w:jc w:val="center"/>
        <w:tblBorders>
          <w:bottom w:val="single" w:sz="4" w:space="0" w:color="auto"/>
        </w:tblBorders>
        <w:tblLook w:val="04A0" w:firstRow="1" w:lastRow="0" w:firstColumn="1" w:lastColumn="0" w:noHBand="0" w:noVBand="1"/>
      </w:tblPr>
      <w:tblGrid>
        <w:gridCol w:w="1203"/>
        <w:gridCol w:w="9395"/>
      </w:tblGrid>
      <w:tr w:rsidR="00302BFE" w:rsidRPr="00FA2ACE" w14:paraId="412433D0" w14:textId="77777777" w:rsidTr="00243B15">
        <w:trPr>
          <w:trHeight w:val="20"/>
          <w:jc w:val="center"/>
        </w:trPr>
        <w:tc>
          <w:tcPr>
            <w:tcW w:w="1203" w:type="dxa"/>
            <w:tcBorders>
              <w:bottom w:val="nil"/>
              <w:right w:val="nil"/>
            </w:tcBorders>
            <w:shd w:val="clear" w:color="auto" w:fill="auto"/>
          </w:tcPr>
          <w:p w14:paraId="43241A33"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sz w:val="20"/>
                <w:szCs w:val="20"/>
                <w:lang w:val="en-CA"/>
              </w:rPr>
              <w:t>AfDB</w:t>
            </w:r>
          </w:p>
        </w:tc>
        <w:tc>
          <w:tcPr>
            <w:tcW w:w="9395" w:type="dxa"/>
            <w:tcBorders>
              <w:left w:val="nil"/>
              <w:bottom w:val="nil"/>
            </w:tcBorders>
            <w:shd w:val="clear" w:color="auto" w:fill="auto"/>
          </w:tcPr>
          <w:p w14:paraId="5B0DF2B0"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African Development Bank</w:t>
            </w:r>
          </w:p>
        </w:tc>
      </w:tr>
      <w:tr w:rsidR="00302BFE" w:rsidRPr="00FA2ACE" w14:paraId="6AA571E0" w14:textId="77777777" w:rsidTr="00243B15">
        <w:trPr>
          <w:trHeight w:val="20"/>
          <w:jc w:val="center"/>
        </w:trPr>
        <w:tc>
          <w:tcPr>
            <w:tcW w:w="1203" w:type="dxa"/>
            <w:tcBorders>
              <w:bottom w:val="nil"/>
              <w:right w:val="nil"/>
            </w:tcBorders>
            <w:shd w:val="clear" w:color="auto" w:fill="auto"/>
          </w:tcPr>
          <w:p w14:paraId="24E47F4B" w14:textId="77777777" w:rsidR="00302BFE" w:rsidRPr="00FA2ACE" w:rsidRDefault="00302BFE" w:rsidP="00243B15">
            <w:pPr>
              <w:pStyle w:val="Sansinterligne"/>
              <w:rPr>
                <w:rFonts w:asciiTheme="minorHAnsi" w:hAnsiTheme="minorHAnsi"/>
                <w:sz w:val="20"/>
                <w:szCs w:val="20"/>
                <w:lang w:val="en-CA"/>
              </w:rPr>
            </w:pPr>
            <w:r w:rsidRPr="00FA2ACE">
              <w:rPr>
                <w:rFonts w:asciiTheme="minorHAnsi" w:hAnsiTheme="minorHAnsi"/>
                <w:sz w:val="20"/>
                <w:szCs w:val="20"/>
                <w:lang w:val="en-CA"/>
              </w:rPr>
              <w:t>ANR</w:t>
            </w:r>
          </w:p>
        </w:tc>
        <w:tc>
          <w:tcPr>
            <w:tcW w:w="9395" w:type="dxa"/>
            <w:tcBorders>
              <w:left w:val="nil"/>
              <w:bottom w:val="nil"/>
            </w:tcBorders>
            <w:shd w:val="clear" w:color="auto" w:fill="auto"/>
          </w:tcPr>
          <w:p w14:paraId="6CF413B8"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Assisted Natural Regeneration</w:t>
            </w:r>
          </w:p>
        </w:tc>
      </w:tr>
      <w:tr w:rsidR="00302BFE" w:rsidRPr="00FA2ACE" w14:paraId="4FB4AB83" w14:textId="77777777" w:rsidTr="00243B15">
        <w:trPr>
          <w:trHeight w:val="20"/>
          <w:jc w:val="center"/>
        </w:trPr>
        <w:tc>
          <w:tcPr>
            <w:tcW w:w="1203" w:type="dxa"/>
            <w:tcBorders>
              <w:bottom w:val="nil"/>
              <w:right w:val="nil"/>
            </w:tcBorders>
            <w:shd w:val="clear" w:color="auto" w:fill="auto"/>
          </w:tcPr>
          <w:p w14:paraId="680E9E47" w14:textId="77777777" w:rsidR="00302BFE" w:rsidRPr="00FA2ACE" w:rsidRDefault="00302BFE" w:rsidP="00243B15">
            <w:pPr>
              <w:pStyle w:val="Sansinterligne"/>
              <w:rPr>
                <w:rFonts w:asciiTheme="minorHAnsi" w:hAnsiTheme="minorHAnsi"/>
                <w:sz w:val="20"/>
                <w:szCs w:val="20"/>
                <w:lang w:val="en-CA"/>
              </w:rPr>
            </w:pPr>
            <w:r w:rsidRPr="00FA2ACE">
              <w:rPr>
                <w:rFonts w:asciiTheme="minorHAnsi" w:hAnsiTheme="minorHAnsi" w:cs="Calibri"/>
                <w:sz w:val="20"/>
                <w:szCs w:val="20"/>
              </w:rPr>
              <w:t>AWHDA</w:t>
            </w:r>
          </w:p>
        </w:tc>
        <w:tc>
          <w:tcPr>
            <w:tcW w:w="9395" w:type="dxa"/>
            <w:tcBorders>
              <w:left w:val="nil"/>
              <w:bottom w:val="nil"/>
            </w:tcBorders>
            <w:shd w:val="clear" w:color="auto" w:fill="auto"/>
          </w:tcPr>
          <w:p w14:paraId="13DAE5F5" w14:textId="77777777" w:rsidR="00302BFE" w:rsidRPr="00FA2ACE" w:rsidRDefault="00302BFE" w:rsidP="00243B15">
            <w:pPr>
              <w:pStyle w:val="Sansinterligne"/>
              <w:rPr>
                <w:rFonts w:asciiTheme="minorHAnsi" w:hAnsiTheme="minorHAnsi" w:cs="Calibri"/>
                <w:sz w:val="20"/>
                <w:szCs w:val="20"/>
                <w:lang w:val="en-CA"/>
              </w:rPr>
            </w:pPr>
            <w:r w:rsidRPr="00FA2ACE">
              <w:rPr>
                <w:rFonts w:asciiTheme="minorHAnsi" w:hAnsiTheme="minorHAnsi" w:cs="Calibri"/>
                <w:sz w:val="20"/>
                <w:szCs w:val="20"/>
              </w:rPr>
              <w:t>African Wildlife Husbandry Development Association</w:t>
            </w:r>
          </w:p>
        </w:tc>
      </w:tr>
      <w:tr w:rsidR="00302BFE" w:rsidRPr="0020399E" w14:paraId="2A586865" w14:textId="77777777" w:rsidTr="00243B15">
        <w:trPr>
          <w:trHeight w:val="20"/>
          <w:jc w:val="center"/>
        </w:trPr>
        <w:tc>
          <w:tcPr>
            <w:tcW w:w="1203" w:type="dxa"/>
            <w:tcBorders>
              <w:bottom w:val="nil"/>
              <w:right w:val="nil"/>
            </w:tcBorders>
            <w:shd w:val="clear" w:color="auto" w:fill="auto"/>
          </w:tcPr>
          <w:p w14:paraId="6124B3AE"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CAF</w:t>
            </w:r>
          </w:p>
        </w:tc>
        <w:tc>
          <w:tcPr>
            <w:tcW w:w="9395" w:type="dxa"/>
            <w:tcBorders>
              <w:left w:val="nil"/>
              <w:bottom w:val="nil"/>
            </w:tcBorders>
            <w:shd w:val="clear" w:color="auto" w:fill="auto"/>
          </w:tcPr>
          <w:p w14:paraId="580DF40C" w14:textId="77777777" w:rsidR="00302BFE" w:rsidRPr="00FA2ACE" w:rsidRDefault="00302BFE" w:rsidP="00243B15">
            <w:pPr>
              <w:pStyle w:val="Sansinterligne"/>
              <w:rPr>
                <w:rFonts w:asciiTheme="minorHAnsi" w:hAnsiTheme="minorHAnsi" w:cs="Calibri"/>
                <w:sz w:val="20"/>
                <w:szCs w:val="20"/>
                <w:lang w:val="fr-CA"/>
              </w:rPr>
            </w:pPr>
            <w:r w:rsidRPr="00FA2ACE">
              <w:rPr>
                <w:rFonts w:asciiTheme="minorHAnsi" w:hAnsiTheme="minorHAnsi" w:cs="Calibri"/>
                <w:sz w:val="20"/>
                <w:szCs w:val="20"/>
                <w:lang w:val="fr-CA"/>
              </w:rPr>
              <w:t>Forest Management Site (</w:t>
            </w:r>
            <w:r w:rsidRPr="00FA2ACE">
              <w:rPr>
                <w:rFonts w:asciiTheme="minorHAnsi" w:hAnsiTheme="minorHAnsi" w:cs="Calibri"/>
                <w:i/>
                <w:sz w:val="20"/>
                <w:szCs w:val="20"/>
                <w:lang w:val="fr-CA"/>
              </w:rPr>
              <w:t>Chantier d’Aménagement Forestier</w:t>
            </w:r>
            <w:r w:rsidRPr="00FA2ACE">
              <w:rPr>
                <w:rFonts w:asciiTheme="minorHAnsi" w:hAnsiTheme="minorHAnsi" w:cs="Calibri"/>
                <w:sz w:val="20"/>
                <w:szCs w:val="20"/>
                <w:lang w:val="fr-CA"/>
              </w:rPr>
              <w:t>)</w:t>
            </w:r>
          </w:p>
        </w:tc>
      </w:tr>
      <w:tr w:rsidR="00302BFE" w:rsidRPr="00FA2ACE" w14:paraId="6109C84F" w14:textId="77777777" w:rsidTr="00243B15">
        <w:trPr>
          <w:trHeight w:val="20"/>
          <w:jc w:val="center"/>
        </w:trPr>
        <w:tc>
          <w:tcPr>
            <w:tcW w:w="1203" w:type="dxa"/>
            <w:tcBorders>
              <w:bottom w:val="nil"/>
              <w:right w:val="nil"/>
            </w:tcBorders>
            <w:shd w:val="clear" w:color="auto" w:fill="auto"/>
          </w:tcPr>
          <w:p w14:paraId="1CA9C415"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CBD</w:t>
            </w:r>
          </w:p>
        </w:tc>
        <w:tc>
          <w:tcPr>
            <w:tcW w:w="9395" w:type="dxa"/>
            <w:tcBorders>
              <w:left w:val="nil"/>
              <w:bottom w:val="nil"/>
            </w:tcBorders>
            <w:shd w:val="clear" w:color="auto" w:fill="auto"/>
          </w:tcPr>
          <w:p w14:paraId="37D427DB" w14:textId="77777777" w:rsidR="00302BFE" w:rsidRPr="00FA2ACE" w:rsidRDefault="00302BFE" w:rsidP="00243B15">
            <w:pPr>
              <w:pStyle w:val="Sansinterligne"/>
              <w:rPr>
                <w:rFonts w:asciiTheme="minorHAnsi" w:hAnsiTheme="minorHAnsi" w:cs="Calibri"/>
                <w:sz w:val="20"/>
                <w:szCs w:val="20"/>
                <w:lang w:val="fr-CA"/>
              </w:rPr>
            </w:pPr>
            <w:r w:rsidRPr="00FA2ACE">
              <w:rPr>
                <w:rFonts w:asciiTheme="minorHAnsi" w:hAnsiTheme="minorHAnsi" w:cs="Calibri"/>
                <w:sz w:val="20"/>
                <w:szCs w:val="20"/>
                <w:lang w:val="fr-CA"/>
              </w:rPr>
              <w:t xml:space="preserve">Convention for Biological Diversity </w:t>
            </w:r>
          </w:p>
        </w:tc>
      </w:tr>
      <w:tr w:rsidR="00302BFE" w:rsidRPr="0020399E" w14:paraId="7CE53578" w14:textId="77777777" w:rsidTr="00243B15">
        <w:trPr>
          <w:trHeight w:val="20"/>
          <w:jc w:val="center"/>
        </w:trPr>
        <w:tc>
          <w:tcPr>
            <w:tcW w:w="1203" w:type="dxa"/>
            <w:tcBorders>
              <w:bottom w:val="nil"/>
              <w:right w:val="nil"/>
            </w:tcBorders>
            <w:shd w:val="clear" w:color="auto" w:fill="auto"/>
          </w:tcPr>
          <w:p w14:paraId="4F56710A"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CECI</w:t>
            </w:r>
          </w:p>
        </w:tc>
        <w:tc>
          <w:tcPr>
            <w:tcW w:w="9395" w:type="dxa"/>
            <w:tcBorders>
              <w:left w:val="nil"/>
              <w:bottom w:val="nil"/>
            </w:tcBorders>
            <w:shd w:val="clear" w:color="auto" w:fill="auto"/>
          </w:tcPr>
          <w:p w14:paraId="423B6D84" w14:textId="77777777" w:rsidR="00302BFE" w:rsidRPr="00FA2ACE" w:rsidRDefault="00302BFE" w:rsidP="00243B15">
            <w:pPr>
              <w:pStyle w:val="Sansinterligne"/>
              <w:rPr>
                <w:rFonts w:asciiTheme="minorHAnsi" w:hAnsiTheme="minorHAnsi" w:cs="Calibri"/>
                <w:sz w:val="20"/>
                <w:szCs w:val="20"/>
                <w:lang w:val="fr-CA"/>
              </w:rPr>
            </w:pPr>
            <w:r w:rsidRPr="00FA2ACE">
              <w:rPr>
                <w:rFonts w:asciiTheme="minorHAnsi" w:hAnsiTheme="minorHAnsi" w:cs="Calibri"/>
                <w:sz w:val="20"/>
                <w:szCs w:val="20"/>
                <w:lang w:val="fr-CA"/>
              </w:rPr>
              <w:t>Center for Studies and International Cooperation (</w:t>
            </w:r>
            <w:r w:rsidRPr="00FA2ACE">
              <w:rPr>
                <w:rFonts w:asciiTheme="minorHAnsi" w:hAnsiTheme="minorHAnsi" w:cs="Calibri"/>
                <w:i/>
                <w:sz w:val="20"/>
                <w:szCs w:val="20"/>
                <w:lang w:val="fr-CA"/>
              </w:rPr>
              <w:t>Centre d'étude et de Coopération Internationale</w:t>
            </w:r>
            <w:r w:rsidRPr="00FA2ACE">
              <w:rPr>
                <w:rFonts w:asciiTheme="minorHAnsi" w:hAnsiTheme="minorHAnsi" w:cs="Calibri"/>
                <w:sz w:val="20"/>
                <w:szCs w:val="20"/>
                <w:lang w:val="fr-CA"/>
              </w:rPr>
              <w:t>)</w:t>
            </w:r>
          </w:p>
        </w:tc>
      </w:tr>
      <w:tr w:rsidR="00302BFE" w:rsidRPr="00FA2ACE" w14:paraId="6BBF9B0A" w14:textId="77777777" w:rsidTr="00243B15">
        <w:trPr>
          <w:trHeight w:val="20"/>
          <w:jc w:val="center"/>
        </w:trPr>
        <w:tc>
          <w:tcPr>
            <w:tcW w:w="1203" w:type="dxa"/>
            <w:tcBorders>
              <w:bottom w:val="nil"/>
              <w:right w:val="nil"/>
            </w:tcBorders>
            <w:shd w:val="clear" w:color="auto" w:fill="auto"/>
          </w:tcPr>
          <w:p w14:paraId="0041389B"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CF</w:t>
            </w:r>
          </w:p>
        </w:tc>
        <w:tc>
          <w:tcPr>
            <w:tcW w:w="9395" w:type="dxa"/>
            <w:tcBorders>
              <w:left w:val="nil"/>
              <w:bottom w:val="nil"/>
            </w:tcBorders>
            <w:shd w:val="clear" w:color="auto" w:fill="auto"/>
          </w:tcPr>
          <w:p w14:paraId="61253719"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Classified Forest</w:t>
            </w:r>
          </w:p>
        </w:tc>
      </w:tr>
      <w:tr w:rsidR="00302BFE" w:rsidRPr="00FA2ACE" w14:paraId="06238D5B" w14:textId="77777777" w:rsidTr="00243B15">
        <w:trPr>
          <w:trHeight w:val="20"/>
          <w:jc w:val="center"/>
        </w:trPr>
        <w:tc>
          <w:tcPr>
            <w:tcW w:w="1203" w:type="dxa"/>
            <w:tcBorders>
              <w:bottom w:val="nil"/>
              <w:right w:val="nil"/>
            </w:tcBorders>
            <w:shd w:val="clear" w:color="auto" w:fill="auto"/>
          </w:tcPr>
          <w:p w14:paraId="30ABB882"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CITES</w:t>
            </w:r>
          </w:p>
        </w:tc>
        <w:tc>
          <w:tcPr>
            <w:tcW w:w="9395" w:type="dxa"/>
            <w:tcBorders>
              <w:left w:val="nil"/>
              <w:bottom w:val="nil"/>
            </w:tcBorders>
            <w:shd w:val="clear" w:color="auto" w:fill="auto"/>
          </w:tcPr>
          <w:p w14:paraId="46D22007" w14:textId="77777777" w:rsidR="00302BFE" w:rsidRPr="00FA2ACE" w:rsidRDefault="00302BFE" w:rsidP="00243B15">
            <w:pPr>
              <w:pStyle w:val="Sansinterligne"/>
              <w:rPr>
                <w:rFonts w:asciiTheme="minorHAnsi" w:hAnsiTheme="minorHAnsi" w:cs="Calibri"/>
                <w:sz w:val="20"/>
                <w:szCs w:val="20"/>
                <w:lang w:val="en-CA"/>
              </w:rPr>
            </w:pPr>
            <w:r w:rsidRPr="00FA2ACE">
              <w:rPr>
                <w:rFonts w:asciiTheme="minorHAnsi" w:hAnsiTheme="minorHAnsi" w:cs="Calibri"/>
                <w:sz w:val="20"/>
                <w:szCs w:val="20"/>
                <w:lang w:val="en-CA"/>
              </w:rPr>
              <w:t>Convention on International Trade in Endangered Species of Wild Fauna and Flora</w:t>
            </w:r>
          </w:p>
        </w:tc>
      </w:tr>
      <w:tr w:rsidR="00302BFE" w:rsidRPr="0020399E" w14:paraId="435A8E5F" w14:textId="77777777" w:rsidTr="00243B15">
        <w:trPr>
          <w:trHeight w:val="20"/>
          <w:jc w:val="center"/>
        </w:trPr>
        <w:tc>
          <w:tcPr>
            <w:tcW w:w="1203" w:type="dxa"/>
            <w:tcBorders>
              <w:bottom w:val="nil"/>
              <w:right w:val="nil"/>
            </w:tcBorders>
            <w:shd w:val="clear" w:color="auto" w:fill="auto"/>
          </w:tcPr>
          <w:p w14:paraId="1CF28340"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sz w:val="20"/>
                <w:szCs w:val="20"/>
                <w:lang w:val="en-GB"/>
              </w:rPr>
              <w:t>COPAGEN</w:t>
            </w:r>
          </w:p>
        </w:tc>
        <w:tc>
          <w:tcPr>
            <w:tcW w:w="9395" w:type="dxa"/>
            <w:tcBorders>
              <w:left w:val="nil"/>
              <w:bottom w:val="nil"/>
            </w:tcBorders>
            <w:shd w:val="clear" w:color="auto" w:fill="auto"/>
          </w:tcPr>
          <w:p w14:paraId="1EA1E1A7" w14:textId="77777777" w:rsidR="00302BFE" w:rsidRPr="00FA2ACE" w:rsidRDefault="00302BFE" w:rsidP="00243B15">
            <w:pPr>
              <w:pStyle w:val="Sansinterligne"/>
              <w:rPr>
                <w:rFonts w:asciiTheme="minorHAnsi" w:hAnsiTheme="minorHAnsi" w:cs="Calibri"/>
                <w:sz w:val="20"/>
                <w:szCs w:val="20"/>
                <w:lang w:val="fr-CA"/>
              </w:rPr>
            </w:pPr>
            <w:r w:rsidRPr="00FA2ACE">
              <w:rPr>
                <w:rFonts w:asciiTheme="minorHAnsi" w:hAnsiTheme="minorHAnsi" w:cs="Calibri"/>
                <w:sz w:val="20"/>
                <w:szCs w:val="20"/>
                <w:lang w:val="fr-CA"/>
              </w:rPr>
              <w:t>Coalition for Safeguarding African Genetic Heritage (</w:t>
            </w:r>
            <w:r w:rsidRPr="00FA2ACE">
              <w:rPr>
                <w:rFonts w:asciiTheme="minorHAnsi" w:hAnsiTheme="minorHAnsi" w:cs="Calibri"/>
                <w:i/>
                <w:sz w:val="20"/>
                <w:szCs w:val="20"/>
                <w:lang w:val="fr-CA"/>
              </w:rPr>
              <w:t>Coalition pour la sauvegarde du patrimoine génétique</w:t>
            </w:r>
            <w:r w:rsidRPr="00FA2ACE">
              <w:rPr>
                <w:rFonts w:asciiTheme="minorHAnsi" w:hAnsiTheme="minorHAnsi" w:cs="Calibri"/>
                <w:sz w:val="20"/>
                <w:szCs w:val="20"/>
                <w:lang w:val="fr-CA"/>
              </w:rPr>
              <w:t xml:space="preserve"> </w:t>
            </w:r>
            <w:r w:rsidRPr="00FA2ACE">
              <w:rPr>
                <w:rFonts w:asciiTheme="minorHAnsi" w:hAnsiTheme="minorHAnsi" w:cs="Calibri"/>
                <w:i/>
                <w:sz w:val="20"/>
                <w:szCs w:val="20"/>
                <w:lang w:val="fr-CA"/>
              </w:rPr>
              <w:t>africain</w:t>
            </w:r>
            <w:r w:rsidRPr="00FA2ACE">
              <w:rPr>
                <w:rFonts w:asciiTheme="minorHAnsi" w:hAnsiTheme="minorHAnsi" w:cs="Calibri"/>
                <w:sz w:val="20"/>
                <w:szCs w:val="20"/>
                <w:lang w:val="fr-CA"/>
              </w:rPr>
              <w:t>)</w:t>
            </w:r>
          </w:p>
        </w:tc>
      </w:tr>
      <w:tr w:rsidR="00302BFE" w:rsidRPr="00FA2ACE" w14:paraId="41EE962E" w14:textId="77777777" w:rsidTr="00243B15">
        <w:trPr>
          <w:trHeight w:val="20"/>
          <w:jc w:val="center"/>
        </w:trPr>
        <w:tc>
          <w:tcPr>
            <w:tcW w:w="1203" w:type="dxa"/>
            <w:tcBorders>
              <w:bottom w:val="nil"/>
              <w:right w:val="nil"/>
            </w:tcBorders>
            <w:shd w:val="clear" w:color="auto" w:fill="auto"/>
          </w:tcPr>
          <w:p w14:paraId="0414B007"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CPP</w:t>
            </w:r>
          </w:p>
        </w:tc>
        <w:tc>
          <w:tcPr>
            <w:tcW w:w="9395" w:type="dxa"/>
            <w:tcBorders>
              <w:left w:val="nil"/>
              <w:bottom w:val="nil"/>
            </w:tcBorders>
            <w:shd w:val="clear" w:color="auto" w:fill="auto"/>
          </w:tcPr>
          <w:p w14:paraId="28B1A408" w14:textId="77777777" w:rsidR="00302BFE" w:rsidRPr="00FA2ACE" w:rsidRDefault="00302BFE" w:rsidP="00243B15">
            <w:pPr>
              <w:pStyle w:val="Sansinterligne"/>
              <w:rPr>
                <w:rFonts w:asciiTheme="minorHAnsi" w:hAnsiTheme="minorHAnsi" w:cs="Calibri"/>
                <w:sz w:val="20"/>
                <w:szCs w:val="20"/>
                <w:lang w:val="en-CA"/>
              </w:rPr>
            </w:pPr>
            <w:r w:rsidRPr="00FA2ACE">
              <w:rPr>
                <w:rFonts w:asciiTheme="minorHAnsi" w:hAnsiTheme="minorHAnsi" w:cs="Calibri"/>
                <w:sz w:val="20"/>
                <w:szCs w:val="20"/>
                <w:lang w:val="en-CA"/>
              </w:rPr>
              <w:t xml:space="preserve">Country </w:t>
            </w:r>
            <w:r w:rsidR="00D27B19" w:rsidRPr="00FA2ACE">
              <w:rPr>
                <w:rFonts w:asciiTheme="minorHAnsi" w:hAnsiTheme="minorHAnsi" w:cs="Calibri"/>
                <w:sz w:val="20"/>
                <w:szCs w:val="20"/>
                <w:lang w:val="en-CA"/>
              </w:rPr>
              <w:t xml:space="preserve">Pilot </w:t>
            </w:r>
            <w:r w:rsidRPr="00FA2ACE">
              <w:rPr>
                <w:rFonts w:asciiTheme="minorHAnsi" w:hAnsiTheme="minorHAnsi" w:cs="Calibri"/>
                <w:sz w:val="20"/>
                <w:szCs w:val="20"/>
                <w:lang w:val="en-CA"/>
              </w:rPr>
              <w:t>Partnership for Sustainable Land Management</w:t>
            </w:r>
          </w:p>
        </w:tc>
      </w:tr>
      <w:tr w:rsidR="00302BFE" w:rsidRPr="00FA2ACE" w14:paraId="2DD06ABE" w14:textId="77777777" w:rsidTr="00243B15">
        <w:trPr>
          <w:trHeight w:val="20"/>
          <w:jc w:val="center"/>
        </w:trPr>
        <w:tc>
          <w:tcPr>
            <w:tcW w:w="1203" w:type="dxa"/>
            <w:tcBorders>
              <w:bottom w:val="nil"/>
              <w:right w:val="nil"/>
            </w:tcBorders>
            <w:shd w:val="clear" w:color="auto" w:fill="auto"/>
          </w:tcPr>
          <w:p w14:paraId="7904434A" w14:textId="77777777" w:rsidR="00302BFE" w:rsidRPr="00FA2ACE" w:rsidRDefault="00302BFE" w:rsidP="00243B15">
            <w:pPr>
              <w:pStyle w:val="Sansinterligne"/>
              <w:rPr>
                <w:rFonts w:asciiTheme="minorHAnsi" w:hAnsiTheme="minorHAnsi" w:cs="Calibri"/>
                <w:sz w:val="20"/>
                <w:szCs w:val="20"/>
                <w:lang w:val="fr-CA"/>
              </w:rPr>
            </w:pPr>
            <w:r w:rsidRPr="00FA2ACE">
              <w:rPr>
                <w:rFonts w:asciiTheme="minorHAnsi" w:hAnsiTheme="minorHAnsi" w:cs="Calibri"/>
                <w:sz w:val="20"/>
                <w:szCs w:val="20"/>
                <w:lang w:val="en-CA"/>
              </w:rPr>
              <w:t>CREMA</w:t>
            </w:r>
          </w:p>
        </w:tc>
        <w:tc>
          <w:tcPr>
            <w:tcW w:w="9395" w:type="dxa"/>
            <w:tcBorders>
              <w:left w:val="nil"/>
              <w:bottom w:val="nil"/>
            </w:tcBorders>
            <w:shd w:val="clear" w:color="auto" w:fill="auto"/>
          </w:tcPr>
          <w:p w14:paraId="33967342" w14:textId="77777777" w:rsidR="00302BFE" w:rsidRPr="00FA2ACE" w:rsidRDefault="00302BFE" w:rsidP="00243B15">
            <w:pPr>
              <w:pStyle w:val="Sansinterligne"/>
              <w:rPr>
                <w:rFonts w:asciiTheme="minorHAnsi" w:hAnsiTheme="minorHAnsi" w:cs="Calibri"/>
                <w:sz w:val="20"/>
                <w:szCs w:val="20"/>
                <w:lang w:val="en-CA"/>
              </w:rPr>
            </w:pPr>
            <w:r w:rsidRPr="00FA2ACE">
              <w:rPr>
                <w:rFonts w:asciiTheme="minorHAnsi" w:hAnsiTheme="minorHAnsi" w:cs="Calibri"/>
                <w:sz w:val="20"/>
                <w:szCs w:val="20"/>
                <w:lang w:val="en-CA"/>
              </w:rPr>
              <w:t>Community resource management areas (Ghana)</w:t>
            </w:r>
          </w:p>
        </w:tc>
      </w:tr>
      <w:tr w:rsidR="00302BFE" w:rsidRPr="00FA2ACE" w14:paraId="6B89151E" w14:textId="77777777" w:rsidTr="00243B15">
        <w:trPr>
          <w:trHeight w:val="20"/>
          <w:jc w:val="center"/>
        </w:trPr>
        <w:tc>
          <w:tcPr>
            <w:tcW w:w="1203" w:type="dxa"/>
            <w:tcBorders>
              <w:bottom w:val="nil"/>
              <w:right w:val="nil"/>
            </w:tcBorders>
            <w:shd w:val="clear" w:color="auto" w:fill="auto"/>
          </w:tcPr>
          <w:p w14:paraId="2F9BC49B"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CSA</w:t>
            </w:r>
          </w:p>
        </w:tc>
        <w:tc>
          <w:tcPr>
            <w:tcW w:w="9395" w:type="dxa"/>
            <w:tcBorders>
              <w:left w:val="nil"/>
              <w:bottom w:val="nil"/>
            </w:tcBorders>
            <w:shd w:val="clear" w:color="auto" w:fill="auto"/>
          </w:tcPr>
          <w:p w14:paraId="05D23006" w14:textId="77777777" w:rsidR="00302BFE" w:rsidRPr="00FA2ACE" w:rsidRDefault="00302BFE" w:rsidP="00243B15">
            <w:pPr>
              <w:pStyle w:val="Sansinterligne"/>
              <w:rPr>
                <w:rFonts w:asciiTheme="minorHAnsi" w:hAnsiTheme="minorHAnsi" w:cs="Calibri"/>
                <w:sz w:val="20"/>
                <w:szCs w:val="20"/>
                <w:lang w:val="en-CA"/>
              </w:rPr>
            </w:pPr>
            <w:r w:rsidRPr="00FA2ACE">
              <w:rPr>
                <w:rFonts w:asciiTheme="minorHAnsi" w:hAnsiTheme="minorHAnsi" w:cs="Calibri"/>
                <w:sz w:val="20"/>
                <w:szCs w:val="20"/>
                <w:lang w:val="en-CA"/>
              </w:rPr>
              <w:t>Climate-Smart Agriculture</w:t>
            </w:r>
          </w:p>
        </w:tc>
      </w:tr>
      <w:tr w:rsidR="00302BFE" w:rsidRPr="00FA2ACE" w14:paraId="4D7C7AC6" w14:textId="77777777" w:rsidTr="00243B15">
        <w:trPr>
          <w:trHeight w:val="20"/>
          <w:jc w:val="center"/>
        </w:trPr>
        <w:tc>
          <w:tcPr>
            <w:tcW w:w="1203" w:type="dxa"/>
            <w:tcBorders>
              <w:bottom w:val="nil"/>
              <w:right w:val="nil"/>
            </w:tcBorders>
            <w:shd w:val="clear" w:color="auto" w:fill="auto"/>
          </w:tcPr>
          <w:p w14:paraId="36B104DF" w14:textId="77777777" w:rsidR="00175FC8" w:rsidRDefault="00175FC8" w:rsidP="00243B15">
            <w:pPr>
              <w:pStyle w:val="Sansinterligne"/>
              <w:rPr>
                <w:rFonts w:asciiTheme="minorHAnsi" w:hAnsiTheme="minorHAnsi" w:cs="Calibri"/>
                <w:sz w:val="20"/>
                <w:szCs w:val="20"/>
              </w:rPr>
            </w:pPr>
            <w:r>
              <w:rPr>
                <w:rFonts w:asciiTheme="minorHAnsi" w:hAnsiTheme="minorHAnsi" w:cs="Calibri"/>
                <w:sz w:val="20"/>
                <w:szCs w:val="20"/>
              </w:rPr>
              <w:t>CSEP</w:t>
            </w:r>
          </w:p>
          <w:p w14:paraId="04FC0FEC" w14:textId="661E6261"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CSO</w:t>
            </w:r>
          </w:p>
        </w:tc>
        <w:tc>
          <w:tcPr>
            <w:tcW w:w="9395" w:type="dxa"/>
            <w:tcBorders>
              <w:left w:val="nil"/>
              <w:bottom w:val="nil"/>
            </w:tcBorders>
            <w:shd w:val="clear" w:color="auto" w:fill="auto"/>
          </w:tcPr>
          <w:p w14:paraId="742A0A34" w14:textId="12A3BB26" w:rsidR="00175FC8" w:rsidRDefault="00175FC8" w:rsidP="00243B15">
            <w:pPr>
              <w:pStyle w:val="Sansinterligne"/>
              <w:rPr>
                <w:rFonts w:asciiTheme="minorHAnsi" w:hAnsiTheme="minorHAnsi" w:cs="Calibri"/>
                <w:sz w:val="20"/>
                <w:szCs w:val="20"/>
                <w:lang w:val="en-CA"/>
              </w:rPr>
            </w:pPr>
            <w:r>
              <w:rPr>
                <w:rFonts w:asciiTheme="minorHAnsi" w:hAnsiTheme="minorHAnsi" w:cs="Calibri"/>
                <w:sz w:val="20"/>
                <w:szCs w:val="20"/>
                <w:lang w:val="en-CA"/>
              </w:rPr>
              <w:t>Comprehensive Stakeholder Engagement Plan</w:t>
            </w:r>
          </w:p>
          <w:p w14:paraId="54FB7320" w14:textId="4014AC7D" w:rsidR="00302BFE" w:rsidRPr="00FA2ACE" w:rsidRDefault="00302BFE" w:rsidP="00243B15">
            <w:pPr>
              <w:pStyle w:val="Sansinterligne"/>
              <w:rPr>
                <w:rFonts w:asciiTheme="minorHAnsi" w:hAnsiTheme="minorHAnsi" w:cs="Calibri"/>
                <w:sz w:val="20"/>
                <w:szCs w:val="20"/>
                <w:lang w:val="en-CA"/>
              </w:rPr>
            </w:pPr>
            <w:r w:rsidRPr="00FA2ACE">
              <w:rPr>
                <w:rFonts w:asciiTheme="minorHAnsi" w:hAnsiTheme="minorHAnsi" w:cs="Calibri"/>
                <w:sz w:val="20"/>
                <w:szCs w:val="20"/>
                <w:lang w:val="en-CA"/>
              </w:rPr>
              <w:t>Civil Society Organization</w:t>
            </w:r>
          </w:p>
        </w:tc>
      </w:tr>
      <w:tr w:rsidR="00302BFE" w:rsidRPr="0020399E" w14:paraId="7E5D28A6" w14:textId="77777777" w:rsidTr="00243B15">
        <w:trPr>
          <w:trHeight w:val="20"/>
          <w:jc w:val="center"/>
        </w:trPr>
        <w:tc>
          <w:tcPr>
            <w:tcW w:w="1203" w:type="dxa"/>
            <w:tcBorders>
              <w:bottom w:val="nil"/>
              <w:right w:val="nil"/>
            </w:tcBorders>
            <w:shd w:val="clear" w:color="auto" w:fill="auto"/>
          </w:tcPr>
          <w:p w14:paraId="3B7EEA34"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CVD</w:t>
            </w:r>
          </w:p>
        </w:tc>
        <w:tc>
          <w:tcPr>
            <w:tcW w:w="9395" w:type="dxa"/>
            <w:tcBorders>
              <w:left w:val="nil"/>
              <w:bottom w:val="nil"/>
            </w:tcBorders>
            <w:shd w:val="clear" w:color="auto" w:fill="auto"/>
          </w:tcPr>
          <w:p w14:paraId="0EEB926D" w14:textId="77777777" w:rsidR="00302BFE" w:rsidRPr="00FA2ACE" w:rsidRDefault="00302BFE" w:rsidP="00243B15">
            <w:pPr>
              <w:pStyle w:val="Sansinterligne"/>
              <w:rPr>
                <w:rFonts w:asciiTheme="minorHAnsi" w:hAnsiTheme="minorHAnsi" w:cs="Calibri"/>
                <w:sz w:val="20"/>
                <w:szCs w:val="20"/>
                <w:lang w:val="fr-CA"/>
              </w:rPr>
            </w:pPr>
            <w:r w:rsidRPr="00FA2ACE">
              <w:rPr>
                <w:rFonts w:asciiTheme="minorHAnsi" w:hAnsiTheme="minorHAnsi" w:cs="Calibri"/>
                <w:sz w:val="20"/>
                <w:szCs w:val="20"/>
                <w:lang w:val="fr-CA"/>
              </w:rPr>
              <w:t>Village Development Committee (</w:t>
            </w:r>
            <w:r w:rsidRPr="00FA2ACE">
              <w:rPr>
                <w:rFonts w:asciiTheme="minorHAnsi" w:hAnsiTheme="minorHAnsi" w:cs="Calibri"/>
                <w:i/>
                <w:sz w:val="20"/>
                <w:szCs w:val="20"/>
                <w:lang w:val="fr-CA"/>
              </w:rPr>
              <w:t>Comité Villageois de Développement</w:t>
            </w:r>
            <w:r w:rsidRPr="00FA2ACE">
              <w:rPr>
                <w:rFonts w:asciiTheme="minorHAnsi" w:hAnsiTheme="minorHAnsi" w:cs="Calibri"/>
                <w:sz w:val="20"/>
                <w:szCs w:val="20"/>
                <w:lang w:val="fr-CA"/>
              </w:rPr>
              <w:t>)</w:t>
            </w:r>
          </w:p>
        </w:tc>
      </w:tr>
      <w:tr w:rsidR="00302BFE" w:rsidRPr="0020399E" w14:paraId="576E6D1C" w14:textId="77777777" w:rsidTr="00243B15">
        <w:trPr>
          <w:trHeight w:val="20"/>
          <w:jc w:val="center"/>
        </w:trPr>
        <w:tc>
          <w:tcPr>
            <w:tcW w:w="1203" w:type="dxa"/>
            <w:tcBorders>
              <w:bottom w:val="nil"/>
              <w:right w:val="nil"/>
            </w:tcBorders>
            <w:shd w:val="clear" w:color="auto" w:fill="auto"/>
          </w:tcPr>
          <w:p w14:paraId="56ED6C54"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CVGF</w:t>
            </w:r>
          </w:p>
        </w:tc>
        <w:tc>
          <w:tcPr>
            <w:tcW w:w="9395" w:type="dxa"/>
            <w:tcBorders>
              <w:left w:val="nil"/>
              <w:bottom w:val="nil"/>
            </w:tcBorders>
            <w:shd w:val="clear" w:color="auto" w:fill="auto"/>
          </w:tcPr>
          <w:p w14:paraId="6D61AE73" w14:textId="77777777" w:rsidR="00302BFE" w:rsidRPr="00FA2ACE" w:rsidRDefault="00302BFE" w:rsidP="00243B15">
            <w:pPr>
              <w:pStyle w:val="Sansinterligne"/>
              <w:rPr>
                <w:rFonts w:asciiTheme="minorHAnsi" w:hAnsiTheme="minorHAnsi" w:cs="Calibri"/>
                <w:i/>
                <w:sz w:val="20"/>
                <w:szCs w:val="20"/>
                <w:lang w:val="fr-CA"/>
              </w:rPr>
            </w:pPr>
            <w:r w:rsidRPr="00FA2ACE">
              <w:rPr>
                <w:rFonts w:asciiTheme="minorHAnsi" w:hAnsiTheme="minorHAnsi" w:cs="Calibri"/>
                <w:sz w:val="20"/>
                <w:szCs w:val="20"/>
                <w:lang w:val="fr-CA"/>
              </w:rPr>
              <w:t>Village Management Committee for Wildlife (</w:t>
            </w:r>
            <w:r w:rsidRPr="00FA2ACE">
              <w:rPr>
                <w:rFonts w:asciiTheme="minorHAnsi" w:hAnsiTheme="minorHAnsi" w:cs="Calibri"/>
                <w:i/>
                <w:sz w:val="20"/>
                <w:szCs w:val="20"/>
                <w:lang w:val="fr-CA"/>
              </w:rPr>
              <w:t>Comité Villageois de Gestion de la Faune</w:t>
            </w:r>
            <w:r w:rsidRPr="00FA2ACE">
              <w:rPr>
                <w:rFonts w:asciiTheme="minorHAnsi" w:hAnsiTheme="minorHAnsi" w:cs="Calibri"/>
                <w:sz w:val="20"/>
                <w:szCs w:val="20"/>
                <w:lang w:val="fr-CA"/>
              </w:rPr>
              <w:t>)</w:t>
            </w:r>
          </w:p>
        </w:tc>
      </w:tr>
      <w:tr w:rsidR="00302BFE" w:rsidRPr="0020399E" w14:paraId="106F041B" w14:textId="77777777" w:rsidTr="00243B15">
        <w:trPr>
          <w:trHeight w:val="63"/>
          <w:jc w:val="center"/>
        </w:trPr>
        <w:tc>
          <w:tcPr>
            <w:tcW w:w="1203" w:type="dxa"/>
            <w:tcBorders>
              <w:bottom w:val="nil"/>
              <w:right w:val="nil"/>
            </w:tcBorders>
            <w:shd w:val="clear" w:color="auto" w:fill="auto"/>
          </w:tcPr>
          <w:p w14:paraId="425CA469"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DFRC</w:t>
            </w:r>
          </w:p>
        </w:tc>
        <w:tc>
          <w:tcPr>
            <w:tcW w:w="9395" w:type="dxa"/>
            <w:tcBorders>
              <w:left w:val="nil"/>
              <w:bottom w:val="nil"/>
            </w:tcBorders>
            <w:shd w:val="clear" w:color="auto" w:fill="auto"/>
          </w:tcPr>
          <w:p w14:paraId="771C36CB" w14:textId="77777777" w:rsidR="00302BFE" w:rsidRPr="00FA2ACE" w:rsidRDefault="00302BFE" w:rsidP="00243B15">
            <w:pPr>
              <w:pStyle w:val="Sansinterligne"/>
              <w:rPr>
                <w:rFonts w:asciiTheme="minorHAnsi" w:hAnsiTheme="minorHAnsi" w:cs="Calibri"/>
                <w:sz w:val="20"/>
                <w:szCs w:val="20"/>
                <w:lang w:val="fr-CA"/>
              </w:rPr>
            </w:pPr>
            <w:r w:rsidRPr="00FA2ACE">
              <w:rPr>
                <w:rFonts w:asciiTheme="minorHAnsi" w:hAnsiTheme="minorHAnsi" w:cs="Calibri"/>
                <w:sz w:val="20"/>
                <w:szCs w:val="20"/>
                <w:lang w:val="fr-CA"/>
              </w:rPr>
              <w:t>Direction of Wildlife and Hunting (</w:t>
            </w:r>
            <w:r w:rsidRPr="00FA2ACE">
              <w:rPr>
                <w:rFonts w:asciiTheme="minorHAnsi" w:hAnsiTheme="minorHAnsi" w:cs="Calibri"/>
                <w:i/>
                <w:sz w:val="20"/>
                <w:szCs w:val="20"/>
                <w:lang w:val="fr-CA"/>
              </w:rPr>
              <w:t>Direction de la Faune et des Ressources Cynégétiques</w:t>
            </w:r>
            <w:r w:rsidRPr="00FA2ACE">
              <w:rPr>
                <w:rFonts w:asciiTheme="minorHAnsi" w:hAnsiTheme="minorHAnsi" w:cs="Calibri"/>
                <w:sz w:val="20"/>
                <w:szCs w:val="20"/>
                <w:lang w:val="fr-CA"/>
              </w:rPr>
              <w:t>)</w:t>
            </w:r>
          </w:p>
        </w:tc>
      </w:tr>
      <w:tr w:rsidR="00302BFE" w:rsidRPr="00FA2ACE" w14:paraId="6C6D3F6B" w14:textId="77777777" w:rsidTr="00243B15">
        <w:trPr>
          <w:trHeight w:val="20"/>
          <w:jc w:val="center"/>
        </w:trPr>
        <w:tc>
          <w:tcPr>
            <w:tcW w:w="1203" w:type="dxa"/>
            <w:tcBorders>
              <w:bottom w:val="nil"/>
              <w:right w:val="nil"/>
            </w:tcBorders>
            <w:shd w:val="clear" w:color="auto" w:fill="auto"/>
          </w:tcPr>
          <w:p w14:paraId="0DFD4B1D"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DiFor</w:t>
            </w:r>
          </w:p>
        </w:tc>
        <w:tc>
          <w:tcPr>
            <w:tcW w:w="9395" w:type="dxa"/>
            <w:tcBorders>
              <w:left w:val="nil"/>
              <w:bottom w:val="nil"/>
            </w:tcBorders>
            <w:shd w:val="clear" w:color="auto" w:fill="auto"/>
          </w:tcPr>
          <w:p w14:paraId="49376011"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Directorate of Forests</w:t>
            </w:r>
          </w:p>
        </w:tc>
      </w:tr>
      <w:tr w:rsidR="00302BFE" w:rsidRPr="00FA2ACE" w14:paraId="1618E794" w14:textId="77777777" w:rsidTr="00243B15">
        <w:trPr>
          <w:trHeight w:val="20"/>
          <w:jc w:val="center"/>
        </w:trPr>
        <w:tc>
          <w:tcPr>
            <w:tcW w:w="1203" w:type="dxa"/>
            <w:tcBorders>
              <w:bottom w:val="nil"/>
              <w:right w:val="nil"/>
            </w:tcBorders>
            <w:shd w:val="clear" w:color="auto" w:fill="auto"/>
          </w:tcPr>
          <w:p w14:paraId="3626E482"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DGEF</w:t>
            </w:r>
          </w:p>
        </w:tc>
        <w:tc>
          <w:tcPr>
            <w:tcW w:w="9395" w:type="dxa"/>
            <w:tcBorders>
              <w:left w:val="nil"/>
              <w:bottom w:val="nil"/>
            </w:tcBorders>
            <w:shd w:val="clear" w:color="auto" w:fill="auto"/>
          </w:tcPr>
          <w:p w14:paraId="0D1913CA" w14:textId="77777777" w:rsidR="00302BFE" w:rsidRPr="00FA2ACE" w:rsidRDefault="00302BFE" w:rsidP="00243B15">
            <w:pPr>
              <w:pStyle w:val="Sansinterligne"/>
              <w:rPr>
                <w:rFonts w:asciiTheme="minorHAnsi" w:hAnsiTheme="minorHAnsi" w:cs="Calibri"/>
                <w:sz w:val="20"/>
                <w:szCs w:val="20"/>
                <w:lang w:val="fr-CA"/>
              </w:rPr>
            </w:pPr>
            <w:r w:rsidRPr="00FA2ACE">
              <w:rPr>
                <w:rFonts w:asciiTheme="minorHAnsi" w:hAnsiTheme="minorHAnsi" w:cs="Calibri"/>
                <w:sz w:val="20"/>
                <w:szCs w:val="20"/>
                <w:lang w:val="fr-CA"/>
              </w:rPr>
              <w:t>Directorate General of Water and Forests (</w:t>
            </w:r>
            <w:r w:rsidRPr="00FA2ACE">
              <w:rPr>
                <w:rFonts w:asciiTheme="minorHAnsi" w:hAnsiTheme="minorHAnsi" w:cs="Calibri"/>
                <w:i/>
                <w:sz w:val="20"/>
                <w:szCs w:val="20"/>
                <w:lang w:val="fr-CA"/>
              </w:rPr>
              <w:t>Direction Générale des Eaux et Forêts</w:t>
            </w:r>
            <w:r w:rsidRPr="00FA2ACE">
              <w:rPr>
                <w:rFonts w:asciiTheme="minorHAnsi" w:hAnsiTheme="minorHAnsi" w:cs="Calibri"/>
                <w:sz w:val="20"/>
                <w:szCs w:val="20"/>
                <w:lang w:val="fr-CA"/>
              </w:rPr>
              <w:t>)</w:t>
            </w:r>
          </w:p>
        </w:tc>
      </w:tr>
      <w:tr w:rsidR="00FA2ACE" w:rsidRPr="00FA2ACE" w14:paraId="17659B86" w14:textId="77777777" w:rsidTr="00243B15">
        <w:trPr>
          <w:trHeight w:val="20"/>
          <w:jc w:val="center"/>
        </w:trPr>
        <w:tc>
          <w:tcPr>
            <w:tcW w:w="1203" w:type="dxa"/>
            <w:tcBorders>
              <w:bottom w:val="nil"/>
              <w:right w:val="nil"/>
            </w:tcBorders>
            <w:shd w:val="clear" w:color="auto" w:fill="auto"/>
          </w:tcPr>
          <w:p w14:paraId="250996E7" w14:textId="3020DF23" w:rsidR="00FA2ACE" w:rsidRPr="00FA2ACE" w:rsidRDefault="00FA2ACE" w:rsidP="00243B15">
            <w:pPr>
              <w:pStyle w:val="Sansinterligne"/>
              <w:rPr>
                <w:rFonts w:asciiTheme="minorHAnsi" w:hAnsiTheme="minorHAnsi" w:cs="Calibri"/>
                <w:sz w:val="20"/>
                <w:szCs w:val="20"/>
              </w:rPr>
            </w:pPr>
            <w:r w:rsidRPr="00FA2ACE">
              <w:rPr>
                <w:rFonts w:asciiTheme="minorHAnsi" w:hAnsiTheme="minorHAnsi" w:cs="Calibri"/>
                <w:sz w:val="20"/>
                <w:szCs w:val="20"/>
              </w:rPr>
              <w:t>DMP</w:t>
            </w:r>
          </w:p>
        </w:tc>
        <w:tc>
          <w:tcPr>
            <w:tcW w:w="9395" w:type="dxa"/>
            <w:tcBorders>
              <w:left w:val="nil"/>
              <w:bottom w:val="nil"/>
            </w:tcBorders>
            <w:shd w:val="clear" w:color="auto" w:fill="auto"/>
          </w:tcPr>
          <w:p w14:paraId="7BEEE8CB" w14:textId="461E0D1B" w:rsidR="00FA2ACE" w:rsidRPr="00FA2ACE" w:rsidRDefault="00FA2ACE" w:rsidP="00243B15">
            <w:pPr>
              <w:pStyle w:val="Sansinterligne"/>
              <w:rPr>
                <w:rFonts w:asciiTheme="minorHAnsi" w:hAnsiTheme="minorHAnsi" w:cs="Calibri"/>
                <w:sz w:val="20"/>
                <w:szCs w:val="20"/>
                <w:lang w:val="en-CA"/>
              </w:rPr>
            </w:pPr>
            <w:r w:rsidRPr="00FA2ACE">
              <w:rPr>
                <w:rFonts w:asciiTheme="minorHAnsi" w:hAnsiTheme="minorHAnsi"/>
                <w:sz w:val="20"/>
                <w:szCs w:val="20"/>
                <w:lang w:val="en-GB"/>
              </w:rPr>
              <w:t>Development and Management Plan</w:t>
            </w:r>
          </w:p>
        </w:tc>
      </w:tr>
      <w:tr w:rsidR="00302BFE" w:rsidRPr="0020399E" w14:paraId="5995BFC8" w14:textId="77777777" w:rsidTr="00243B15">
        <w:trPr>
          <w:trHeight w:val="20"/>
          <w:jc w:val="center"/>
        </w:trPr>
        <w:tc>
          <w:tcPr>
            <w:tcW w:w="1203" w:type="dxa"/>
            <w:tcBorders>
              <w:bottom w:val="nil"/>
              <w:right w:val="nil"/>
            </w:tcBorders>
            <w:shd w:val="clear" w:color="auto" w:fill="auto"/>
          </w:tcPr>
          <w:p w14:paraId="5478DF46"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DREEVCC</w:t>
            </w:r>
          </w:p>
        </w:tc>
        <w:tc>
          <w:tcPr>
            <w:tcW w:w="9395" w:type="dxa"/>
            <w:tcBorders>
              <w:left w:val="nil"/>
              <w:bottom w:val="nil"/>
            </w:tcBorders>
            <w:shd w:val="clear" w:color="auto" w:fill="auto"/>
          </w:tcPr>
          <w:p w14:paraId="3C1A5759" w14:textId="77777777" w:rsidR="00302BFE" w:rsidRPr="00FA2ACE" w:rsidRDefault="00302BFE" w:rsidP="00243B15">
            <w:pPr>
              <w:pStyle w:val="Sansinterligne"/>
              <w:rPr>
                <w:rFonts w:asciiTheme="minorHAnsi" w:hAnsiTheme="minorHAnsi" w:cs="Calibri"/>
                <w:sz w:val="20"/>
                <w:szCs w:val="20"/>
                <w:lang w:val="fr-CA"/>
              </w:rPr>
            </w:pPr>
            <w:r w:rsidRPr="00FA2ACE">
              <w:rPr>
                <w:rFonts w:asciiTheme="minorHAnsi" w:hAnsiTheme="minorHAnsi" w:cs="Calibri"/>
                <w:sz w:val="20"/>
                <w:szCs w:val="20"/>
                <w:lang w:val="fr-CA"/>
              </w:rPr>
              <w:t>Regional Directorate Environment, Green Economy, and Climate Change (</w:t>
            </w:r>
            <w:r w:rsidRPr="00FA2ACE">
              <w:rPr>
                <w:rFonts w:asciiTheme="minorHAnsi" w:hAnsiTheme="minorHAnsi" w:cs="Calibri"/>
                <w:i/>
                <w:sz w:val="20"/>
                <w:szCs w:val="20"/>
                <w:lang w:val="fr-CA"/>
              </w:rPr>
              <w:t>Direction Régionale Environnement, Économie verte, et Changement Climatique</w:t>
            </w:r>
            <w:r w:rsidRPr="00FA2ACE">
              <w:rPr>
                <w:rFonts w:asciiTheme="minorHAnsi" w:hAnsiTheme="minorHAnsi" w:cs="Calibri"/>
                <w:sz w:val="20"/>
                <w:szCs w:val="20"/>
                <w:lang w:val="fr-CA"/>
              </w:rPr>
              <w:t>)</w:t>
            </w:r>
          </w:p>
        </w:tc>
      </w:tr>
      <w:tr w:rsidR="00302BFE" w:rsidRPr="0020399E" w14:paraId="2CC8F4A4" w14:textId="77777777" w:rsidTr="00243B15">
        <w:trPr>
          <w:trHeight w:val="20"/>
          <w:jc w:val="center"/>
        </w:trPr>
        <w:tc>
          <w:tcPr>
            <w:tcW w:w="1203" w:type="dxa"/>
            <w:tcBorders>
              <w:bottom w:val="nil"/>
              <w:right w:val="nil"/>
            </w:tcBorders>
            <w:shd w:val="clear" w:color="auto" w:fill="auto"/>
          </w:tcPr>
          <w:p w14:paraId="60EB3C50"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DREP</w:t>
            </w:r>
          </w:p>
        </w:tc>
        <w:tc>
          <w:tcPr>
            <w:tcW w:w="9395" w:type="dxa"/>
            <w:tcBorders>
              <w:left w:val="nil"/>
              <w:bottom w:val="nil"/>
            </w:tcBorders>
            <w:shd w:val="clear" w:color="auto" w:fill="auto"/>
          </w:tcPr>
          <w:p w14:paraId="3B75AF0A" w14:textId="77777777" w:rsidR="00302BFE" w:rsidRPr="00FA2ACE" w:rsidRDefault="00302BFE" w:rsidP="00243B15">
            <w:pPr>
              <w:pStyle w:val="Sansinterligne"/>
              <w:rPr>
                <w:rFonts w:asciiTheme="minorHAnsi" w:hAnsiTheme="minorHAnsi" w:cs="Calibri"/>
                <w:sz w:val="20"/>
                <w:szCs w:val="20"/>
                <w:lang w:val="fr-CA"/>
              </w:rPr>
            </w:pPr>
            <w:r w:rsidRPr="00FA2ACE">
              <w:rPr>
                <w:rFonts w:asciiTheme="minorHAnsi" w:hAnsiTheme="minorHAnsi" w:cs="Calibri"/>
                <w:sz w:val="20"/>
                <w:szCs w:val="20"/>
                <w:lang w:val="fr-CA"/>
              </w:rPr>
              <w:t>Directorate of Economy and Planning (</w:t>
            </w:r>
            <w:r w:rsidRPr="00FA2ACE">
              <w:rPr>
                <w:rFonts w:asciiTheme="minorHAnsi" w:hAnsiTheme="minorHAnsi" w:cs="Calibri"/>
                <w:i/>
                <w:sz w:val="20"/>
                <w:szCs w:val="20"/>
                <w:lang w:val="fr-CA"/>
              </w:rPr>
              <w:t>Direction générale de l'économie et de la planification</w:t>
            </w:r>
            <w:r w:rsidRPr="00FA2ACE">
              <w:rPr>
                <w:rFonts w:asciiTheme="minorHAnsi" w:hAnsiTheme="minorHAnsi" w:cs="Calibri"/>
                <w:sz w:val="20"/>
                <w:szCs w:val="20"/>
                <w:lang w:val="fr-CA"/>
              </w:rPr>
              <w:t>)</w:t>
            </w:r>
          </w:p>
        </w:tc>
      </w:tr>
      <w:tr w:rsidR="00363257" w:rsidRPr="00FA2ACE" w14:paraId="2A118811" w14:textId="77777777" w:rsidTr="00243B15">
        <w:trPr>
          <w:trHeight w:val="20"/>
          <w:jc w:val="center"/>
        </w:trPr>
        <w:tc>
          <w:tcPr>
            <w:tcW w:w="1203" w:type="dxa"/>
            <w:tcBorders>
              <w:bottom w:val="nil"/>
              <w:right w:val="nil"/>
            </w:tcBorders>
            <w:shd w:val="clear" w:color="auto" w:fill="auto"/>
          </w:tcPr>
          <w:p w14:paraId="345E0189" w14:textId="77777777" w:rsidR="00363257" w:rsidRPr="00FA2ACE" w:rsidRDefault="00363257" w:rsidP="00243B15">
            <w:pPr>
              <w:pStyle w:val="Sansinterligne"/>
              <w:rPr>
                <w:rFonts w:asciiTheme="minorHAnsi" w:hAnsiTheme="minorHAnsi" w:cs="Calibri"/>
                <w:sz w:val="20"/>
                <w:szCs w:val="20"/>
              </w:rPr>
            </w:pPr>
            <w:r w:rsidRPr="00FA2ACE">
              <w:rPr>
                <w:rFonts w:asciiTheme="minorHAnsi" w:hAnsiTheme="minorHAnsi" w:cs="Calibri"/>
                <w:sz w:val="20"/>
                <w:szCs w:val="20"/>
              </w:rPr>
              <w:t>ERC</w:t>
            </w:r>
          </w:p>
        </w:tc>
        <w:tc>
          <w:tcPr>
            <w:tcW w:w="9395" w:type="dxa"/>
            <w:tcBorders>
              <w:left w:val="nil"/>
              <w:bottom w:val="nil"/>
            </w:tcBorders>
            <w:shd w:val="clear" w:color="auto" w:fill="auto"/>
          </w:tcPr>
          <w:p w14:paraId="156DA2F7" w14:textId="77777777" w:rsidR="00363257" w:rsidRPr="00FA2ACE" w:rsidRDefault="0053008A" w:rsidP="00243B15">
            <w:pPr>
              <w:pStyle w:val="Sansinterligne"/>
              <w:rPr>
                <w:rFonts w:asciiTheme="minorHAnsi" w:hAnsiTheme="minorHAnsi" w:cs="Calibri"/>
                <w:sz w:val="20"/>
                <w:szCs w:val="20"/>
                <w:lang w:val="fr-CA"/>
              </w:rPr>
            </w:pPr>
            <w:hyperlink r:id="rId12" w:anchor="gef" w:history="1">
              <w:r w:rsidR="00363257" w:rsidRPr="00FA2ACE">
                <w:rPr>
                  <w:rFonts w:asciiTheme="minorHAnsi" w:hAnsiTheme="minorHAnsi"/>
                  <w:sz w:val="20"/>
                  <w:szCs w:val="20"/>
                  <w:lang w:val="fr-CA"/>
                </w:rPr>
                <w:t>UNDP Evaluation Resource Center</w:t>
              </w:r>
            </w:hyperlink>
          </w:p>
        </w:tc>
      </w:tr>
      <w:tr w:rsidR="00302BFE" w:rsidRPr="00FA2ACE" w14:paraId="7A4740F8" w14:textId="77777777" w:rsidTr="00243B15">
        <w:trPr>
          <w:trHeight w:val="20"/>
          <w:jc w:val="center"/>
        </w:trPr>
        <w:tc>
          <w:tcPr>
            <w:tcW w:w="1203" w:type="dxa"/>
            <w:tcBorders>
              <w:bottom w:val="nil"/>
              <w:right w:val="nil"/>
            </w:tcBorders>
            <w:shd w:val="clear" w:color="auto" w:fill="auto"/>
          </w:tcPr>
          <w:p w14:paraId="23B05041" w14:textId="77777777" w:rsidR="00302BF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ES</w:t>
            </w:r>
          </w:p>
          <w:p w14:paraId="3F2128D9" w14:textId="0BF80705" w:rsidR="00491E20" w:rsidRDefault="00491E20" w:rsidP="00243B15">
            <w:pPr>
              <w:pStyle w:val="Sansinterligne"/>
              <w:rPr>
                <w:rFonts w:asciiTheme="minorHAnsi" w:hAnsiTheme="minorHAnsi" w:cs="Calibri"/>
                <w:sz w:val="20"/>
                <w:szCs w:val="20"/>
              </w:rPr>
            </w:pPr>
            <w:r>
              <w:rPr>
                <w:rFonts w:asciiTheme="minorHAnsi" w:hAnsiTheme="minorHAnsi" w:cs="Calibri"/>
                <w:sz w:val="20"/>
                <w:szCs w:val="20"/>
              </w:rPr>
              <w:t>ESIA</w:t>
            </w:r>
          </w:p>
          <w:p w14:paraId="7D9DBFB3" w14:textId="7806FCE7" w:rsidR="00621D71" w:rsidRPr="00FA2ACE" w:rsidRDefault="00621D71" w:rsidP="00243B15">
            <w:pPr>
              <w:pStyle w:val="Sansinterligne"/>
              <w:rPr>
                <w:rFonts w:asciiTheme="minorHAnsi" w:hAnsiTheme="minorHAnsi" w:cs="Calibri"/>
                <w:sz w:val="20"/>
                <w:szCs w:val="20"/>
              </w:rPr>
            </w:pPr>
            <w:r>
              <w:rPr>
                <w:rFonts w:asciiTheme="minorHAnsi" w:hAnsiTheme="minorHAnsi" w:cs="Calibri"/>
                <w:sz w:val="20"/>
                <w:szCs w:val="20"/>
              </w:rPr>
              <w:t>E</w:t>
            </w:r>
            <w:r w:rsidR="00491E20">
              <w:rPr>
                <w:rFonts w:asciiTheme="minorHAnsi" w:hAnsiTheme="minorHAnsi" w:cs="Calibri"/>
                <w:sz w:val="20"/>
                <w:szCs w:val="20"/>
              </w:rPr>
              <w:t>SM</w:t>
            </w:r>
            <w:r>
              <w:rPr>
                <w:rFonts w:asciiTheme="minorHAnsi" w:hAnsiTheme="minorHAnsi" w:cs="Calibri"/>
                <w:sz w:val="20"/>
                <w:szCs w:val="20"/>
              </w:rPr>
              <w:t>F</w:t>
            </w:r>
          </w:p>
        </w:tc>
        <w:tc>
          <w:tcPr>
            <w:tcW w:w="9395" w:type="dxa"/>
            <w:tcBorders>
              <w:left w:val="nil"/>
              <w:bottom w:val="nil"/>
            </w:tcBorders>
            <w:shd w:val="clear" w:color="auto" w:fill="auto"/>
          </w:tcPr>
          <w:p w14:paraId="09C92C66" w14:textId="2F7490C6" w:rsidR="00302BF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Ecosystem Services</w:t>
            </w:r>
          </w:p>
          <w:p w14:paraId="25E2C151" w14:textId="63ACD227" w:rsidR="00491E20" w:rsidRDefault="00491E20" w:rsidP="00243B15">
            <w:pPr>
              <w:pStyle w:val="Sansinterligne"/>
              <w:rPr>
                <w:rFonts w:asciiTheme="minorHAnsi" w:hAnsiTheme="minorHAnsi" w:cs="Calibri"/>
                <w:sz w:val="20"/>
                <w:szCs w:val="20"/>
              </w:rPr>
            </w:pPr>
            <w:r>
              <w:rPr>
                <w:rFonts w:asciiTheme="minorHAnsi" w:hAnsiTheme="minorHAnsi" w:cs="Calibri"/>
                <w:sz w:val="20"/>
                <w:szCs w:val="20"/>
              </w:rPr>
              <w:t>Environmental and Social Impact Assessment</w:t>
            </w:r>
          </w:p>
          <w:p w14:paraId="27D039D4" w14:textId="1A9C7FFE" w:rsidR="00621D71" w:rsidRPr="00FA2ACE" w:rsidRDefault="00621D71" w:rsidP="00243B15">
            <w:pPr>
              <w:pStyle w:val="Sansinterligne"/>
              <w:rPr>
                <w:rFonts w:asciiTheme="minorHAnsi" w:hAnsiTheme="minorHAnsi" w:cs="Calibri"/>
                <w:sz w:val="20"/>
                <w:szCs w:val="20"/>
              </w:rPr>
            </w:pPr>
            <w:r>
              <w:rPr>
                <w:rFonts w:asciiTheme="minorHAnsi" w:hAnsiTheme="minorHAnsi" w:cs="Calibri"/>
                <w:sz w:val="20"/>
                <w:szCs w:val="20"/>
              </w:rPr>
              <w:t>Environmental and Social Management Framework</w:t>
            </w:r>
          </w:p>
        </w:tc>
      </w:tr>
      <w:tr w:rsidR="00FA2ACE" w:rsidRPr="00FA2ACE" w14:paraId="1D875CF0" w14:textId="77777777" w:rsidTr="00243B15">
        <w:trPr>
          <w:trHeight w:val="20"/>
          <w:jc w:val="center"/>
        </w:trPr>
        <w:tc>
          <w:tcPr>
            <w:tcW w:w="1203" w:type="dxa"/>
            <w:tcBorders>
              <w:bottom w:val="nil"/>
              <w:right w:val="nil"/>
            </w:tcBorders>
            <w:shd w:val="clear" w:color="auto" w:fill="auto"/>
          </w:tcPr>
          <w:p w14:paraId="65813FB8" w14:textId="6D153EA0" w:rsidR="00FA2ACE" w:rsidRPr="00FA2ACE" w:rsidRDefault="00FA2ACE" w:rsidP="00243B15">
            <w:pPr>
              <w:pStyle w:val="Sansinterligne"/>
              <w:rPr>
                <w:rFonts w:asciiTheme="minorHAnsi" w:hAnsiTheme="minorHAnsi" w:cs="Calibri"/>
                <w:sz w:val="20"/>
                <w:szCs w:val="20"/>
              </w:rPr>
            </w:pPr>
            <w:r w:rsidRPr="00FA2ACE">
              <w:rPr>
                <w:rFonts w:asciiTheme="minorHAnsi" w:hAnsiTheme="minorHAnsi" w:cs="Calibri"/>
                <w:sz w:val="20"/>
                <w:szCs w:val="20"/>
              </w:rPr>
              <w:t>ESMP</w:t>
            </w:r>
          </w:p>
        </w:tc>
        <w:tc>
          <w:tcPr>
            <w:tcW w:w="9395" w:type="dxa"/>
            <w:tcBorders>
              <w:left w:val="nil"/>
              <w:bottom w:val="nil"/>
            </w:tcBorders>
            <w:shd w:val="clear" w:color="auto" w:fill="auto"/>
          </w:tcPr>
          <w:p w14:paraId="2A767586" w14:textId="43EA0D92" w:rsidR="00FA2ACE" w:rsidRPr="00FA2ACE" w:rsidRDefault="00FA2ACE" w:rsidP="00243B15">
            <w:pPr>
              <w:pStyle w:val="Sansinterligne"/>
              <w:rPr>
                <w:rFonts w:asciiTheme="minorHAnsi" w:hAnsiTheme="minorHAnsi" w:cs="Calibri"/>
                <w:sz w:val="20"/>
                <w:szCs w:val="20"/>
              </w:rPr>
            </w:pPr>
            <w:r w:rsidRPr="00FA2ACE">
              <w:rPr>
                <w:rFonts w:asciiTheme="minorHAnsi" w:hAnsiTheme="minorHAnsi"/>
                <w:sz w:val="20"/>
                <w:szCs w:val="20"/>
              </w:rPr>
              <w:t>Environmental and Social Management Plan</w:t>
            </w:r>
          </w:p>
        </w:tc>
      </w:tr>
      <w:tr w:rsidR="00302BFE" w:rsidRPr="00FA2ACE" w14:paraId="157CC386" w14:textId="77777777" w:rsidTr="00243B15">
        <w:trPr>
          <w:trHeight w:val="20"/>
          <w:jc w:val="center"/>
        </w:trPr>
        <w:tc>
          <w:tcPr>
            <w:tcW w:w="1203" w:type="dxa"/>
            <w:tcBorders>
              <w:bottom w:val="nil"/>
              <w:right w:val="nil"/>
            </w:tcBorders>
            <w:shd w:val="clear" w:color="auto" w:fill="auto"/>
          </w:tcPr>
          <w:p w14:paraId="1A946AD3"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EU</w:t>
            </w:r>
          </w:p>
        </w:tc>
        <w:tc>
          <w:tcPr>
            <w:tcW w:w="9395" w:type="dxa"/>
            <w:tcBorders>
              <w:left w:val="nil"/>
              <w:bottom w:val="nil"/>
            </w:tcBorders>
            <w:shd w:val="clear" w:color="auto" w:fill="auto"/>
          </w:tcPr>
          <w:p w14:paraId="4AD2D687"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European Union</w:t>
            </w:r>
          </w:p>
        </w:tc>
      </w:tr>
      <w:tr w:rsidR="00FA2ACE" w:rsidRPr="00FA2ACE" w14:paraId="54910C4C" w14:textId="77777777" w:rsidTr="00243B15">
        <w:trPr>
          <w:trHeight w:val="20"/>
          <w:jc w:val="center"/>
        </w:trPr>
        <w:tc>
          <w:tcPr>
            <w:tcW w:w="1203" w:type="dxa"/>
            <w:tcBorders>
              <w:bottom w:val="nil"/>
              <w:right w:val="nil"/>
            </w:tcBorders>
            <w:shd w:val="clear" w:color="auto" w:fill="auto"/>
          </w:tcPr>
          <w:p w14:paraId="7717014D" w14:textId="06F68548" w:rsidR="00FA2ACE" w:rsidRPr="00FA2ACE" w:rsidRDefault="00FA2ACE" w:rsidP="00243B15">
            <w:pPr>
              <w:pStyle w:val="Sansinterligne"/>
              <w:rPr>
                <w:rFonts w:asciiTheme="minorHAnsi" w:hAnsiTheme="minorHAnsi" w:cs="Calibri"/>
                <w:sz w:val="20"/>
                <w:szCs w:val="20"/>
              </w:rPr>
            </w:pPr>
            <w:r w:rsidRPr="00FA2ACE">
              <w:rPr>
                <w:rFonts w:asciiTheme="minorHAnsi" w:hAnsiTheme="minorHAnsi" w:cs="Calibri"/>
                <w:sz w:val="20"/>
                <w:szCs w:val="20"/>
              </w:rPr>
              <w:t>FAF</w:t>
            </w:r>
          </w:p>
        </w:tc>
        <w:tc>
          <w:tcPr>
            <w:tcW w:w="9395" w:type="dxa"/>
            <w:tcBorders>
              <w:left w:val="nil"/>
              <w:bottom w:val="nil"/>
            </w:tcBorders>
            <w:shd w:val="clear" w:color="auto" w:fill="auto"/>
          </w:tcPr>
          <w:p w14:paraId="4899EFCB" w14:textId="52AB48E5" w:rsidR="00FA2ACE" w:rsidRPr="00FA2ACE" w:rsidRDefault="00FA2ACE" w:rsidP="00243B15">
            <w:pPr>
              <w:pStyle w:val="Sansinterligne"/>
              <w:rPr>
                <w:rFonts w:asciiTheme="minorHAnsi" w:hAnsiTheme="minorHAnsi" w:cs="Calibri"/>
                <w:sz w:val="20"/>
                <w:szCs w:val="20"/>
              </w:rPr>
            </w:pPr>
            <w:r w:rsidRPr="00FA2ACE">
              <w:rPr>
                <w:rFonts w:asciiTheme="minorHAnsi" w:hAnsiTheme="minorHAnsi"/>
                <w:sz w:val="20"/>
                <w:szCs w:val="20"/>
                <w:lang w:val="en-GB"/>
              </w:rPr>
              <w:t>Forest Management Fund</w:t>
            </w:r>
          </w:p>
        </w:tc>
      </w:tr>
      <w:tr w:rsidR="00302BFE" w:rsidRPr="00FA2ACE" w14:paraId="0A87B073" w14:textId="77777777" w:rsidTr="00243B15">
        <w:trPr>
          <w:trHeight w:val="20"/>
          <w:jc w:val="center"/>
        </w:trPr>
        <w:tc>
          <w:tcPr>
            <w:tcW w:w="1203" w:type="dxa"/>
            <w:tcBorders>
              <w:bottom w:val="nil"/>
              <w:right w:val="nil"/>
            </w:tcBorders>
            <w:shd w:val="clear" w:color="auto" w:fill="auto"/>
          </w:tcPr>
          <w:p w14:paraId="6E65B448"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sz w:val="20"/>
                <w:szCs w:val="20"/>
                <w:lang w:val="en-CA"/>
              </w:rPr>
              <w:t>FIP</w:t>
            </w:r>
          </w:p>
        </w:tc>
        <w:tc>
          <w:tcPr>
            <w:tcW w:w="9395" w:type="dxa"/>
            <w:tcBorders>
              <w:left w:val="nil"/>
              <w:bottom w:val="nil"/>
            </w:tcBorders>
            <w:shd w:val="clear" w:color="auto" w:fill="auto"/>
          </w:tcPr>
          <w:p w14:paraId="4EC22EBC"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sz w:val="20"/>
                <w:szCs w:val="20"/>
                <w:lang w:val="en-CA"/>
              </w:rPr>
              <w:t>Forest Investment Program</w:t>
            </w:r>
          </w:p>
        </w:tc>
      </w:tr>
      <w:tr w:rsidR="00302BFE" w:rsidRPr="00FA2ACE" w14:paraId="482760A7" w14:textId="77777777" w:rsidTr="00243B15">
        <w:trPr>
          <w:trHeight w:val="20"/>
          <w:jc w:val="center"/>
        </w:trPr>
        <w:tc>
          <w:tcPr>
            <w:tcW w:w="1203" w:type="dxa"/>
            <w:tcBorders>
              <w:bottom w:val="nil"/>
              <w:right w:val="nil"/>
            </w:tcBorders>
            <w:shd w:val="clear" w:color="auto" w:fill="auto"/>
          </w:tcPr>
          <w:p w14:paraId="688493EE" w14:textId="165FB7DE" w:rsidR="00F84490" w:rsidRDefault="00F84490" w:rsidP="00243B15">
            <w:pPr>
              <w:pStyle w:val="Sansinterligne"/>
              <w:rPr>
                <w:rFonts w:asciiTheme="minorHAnsi" w:hAnsiTheme="minorHAnsi"/>
                <w:sz w:val="20"/>
                <w:szCs w:val="20"/>
                <w:lang w:val="en-CA"/>
              </w:rPr>
            </w:pPr>
            <w:r>
              <w:rPr>
                <w:rFonts w:asciiTheme="minorHAnsi" w:hAnsiTheme="minorHAnsi"/>
                <w:sz w:val="20"/>
                <w:szCs w:val="20"/>
                <w:lang w:val="en-CA"/>
              </w:rPr>
              <w:t>FPIC</w:t>
            </w:r>
          </w:p>
          <w:p w14:paraId="1288F091" w14:textId="021486D0" w:rsidR="00302BFE" w:rsidRPr="00FA2ACE" w:rsidRDefault="00302BFE" w:rsidP="00243B15">
            <w:pPr>
              <w:pStyle w:val="Sansinterligne"/>
              <w:rPr>
                <w:rFonts w:asciiTheme="minorHAnsi" w:hAnsiTheme="minorHAnsi"/>
                <w:sz w:val="20"/>
                <w:szCs w:val="20"/>
                <w:lang w:val="en-CA"/>
              </w:rPr>
            </w:pPr>
            <w:r w:rsidRPr="00FA2ACE">
              <w:rPr>
                <w:rFonts w:asciiTheme="minorHAnsi" w:hAnsiTheme="minorHAnsi"/>
                <w:sz w:val="20"/>
                <w:szCs w:val="20"/>
                <w:lang w:val="en-CA"/>
              </w:rPr>
              <w:t>ES</w:t>
            </w:r>
          </w:p>
        </w:tc>
        <w:tc>
          <w:tcPr>
            <w:tcW w:w="9395" w:type="dxa"/>
            <w:tcBorders>
              <w:left w:val="nil"/>
              <w:bottom w:val="nil"/>
            </w:tcBorders>
            <w:shd w:val="clear" w:color="auto" w:fill="auto"/>
          </w:tcPr>
          <w:p w14:paraId="4FCBD0AB" w14:textId="3423A9A7" w:rsidR="00F84490" w:rsidRDefault="00F84490" w:rsidP="00243B15">
            <w:pPr>
              <w:pStyle w:val="Sansinterligne"/>
              <w:rPr>
                <w:rFonts w:asciiTheme="minorHAnsi" w:hAnsiTheme="minorHAnsi"/>
                <w:sz w:val="20"/>
                <w:szCs w:val="20"/>
                <w:lang w:val="en-GB"/>
              </w:rPr>
            </w:pPr>
            <w:r>
              <w:rPr>
                <w:rFonts w:asciiTheme="minorHAnsi" w:hAnsiTheme="minorHAnsi"/>
                <w:sz w:val="20"/>
                <w:szCs w:val="20"/>
                <w:lang w:val="en-GB"/>
              </w:rPr>
              <w:t>Free, Prior and Informed Consent</w:t>
            </w:r>
          </w:p>
          <w:p w14:paraId="2A81946A" w14:textId="412BFE69" w:rsidR="00302BFE" w:rsidRPr="00FA2ACE" w:rsidRDefault="00302BFE" w:rsidP="00243B15">
            <w:pPr>
              <w:pStyle w:val="Sansinterligne"/>
              <w:rPr>
                <w:rFonts w:asciiTheme="minorHAnsi" w:hAnsiTheme="minorHAnsi"/>
                <w:sz w:val="20"/>
                <w:szCs w:val="20"/>
                <w:lang w:val="en-CA"/>
              </w:rPr>
            </w:pPr>
            <w:r w:rsidRPr="00FA2ACE">
              <w:rPr>
                <w:rFonts w:asciiTheme="minorHAnsi" w:hAnsiTheme="minorHAnsi"/>
                <w:sz w:val="20"/>
                <w:szCs w:val="20"/>
                <w:lang w:val="en-GB"/>
              </w:rPr>
              <w:t>Ecosystem goods and services</w:t>
            </w:r>
          </w:p>
        </w:tc>
      </w:tr>
      <w:tr w:rsidR="00302BFE" w:rsidRPr="00FA2ACE" w14:paraId="1D7ABF92" w14:textId="77777777" w:rsidTr="00243B15">
        <w:trPr>
          <w:trHeight w:val="20"/>
          <w:jc w:val="center"/>
        </w:trPr>
        <w:tc>
          <w:tcPr>
            <w:tcW w:w="1203" w:type="dxa"/>
            <w:tcBorders>
              <w:bottom w:val="nil"/>
              <w:right w:val="nil"/>
            </w:tcBorders>
            <w:shd w:val="clear" w:color="auto" w:fill="auto"/>
          </w:tcPr>
          <w:p w14:paraId="29B3BEB6" w14:textId="77777777" w:rsidR="00302BFE" w:rsidRPr="00FA2ACE" w:rsidRDefault="00302BFE" w:rsidP="00243B15">
            <w:pPr>
              <w:pStyle w:val="Sansinterligne"/>
              <w:rPr>
                <w:rFonts w:asciiTheme="minorHAnsi" w:hAnsiTheme="minorHAnsi"/>
                <w:sz w:val="20"/>
                <w:szCs w:val="20"/>
                <w:lang w:val="en-CA"/>
              </w:rPr>
            </w:pPr>
            <w:r w:rsidRPr="00FA2ACE">
              <w:rPr>
                <w:rFonts w:asciiTheme="minorHAnsi" w:hAnsiTheme="minorHAnsi"/>
                <w:sz w:val="20"/>
                <w:szCs w:val="20"/>
                <w:lang w:val="en-CA"/>
              </w:rPr>
              <w:t>EU</w:t>
            </w:r>
          </w:p>
        </w:tc>
        <w:tc>
          <w:tcPr>
            <w:tcW w:w="9395" w:type="dxa"/>
            <w:tcBorders>
              <w:left w:val="nil"/>
              <w:bottom w:val="nil"/>
            </w:tcBorders>
            <w:shd w:val="clear" w:color="auto" w:fill="auto"/>
          </w:tcPr>
          <w:p w14:paraId="6FA81000" w14:textId="77777777" w:rsidR="00302BFE" w:rsidRPr="00FA2ACE" w:rsidRDefault="00302BFE" w:rsidP="00243B15">
            <w:pPr>
              <w:pStyle w:val="Sansinterligne"/>
              <w:rPr>
                <w:rFonts w:asciiTheme="minorHAnsi" w:hAnsiTheme="minorHAnsi"/>
                <w:sz w:val="20"/>
                <w:szCs w:val="20"/>
                <w:lang w:val="en-CA"/>
              </w:rPr>
            </w:pPr>
            <w:r w:rsidRPr="00FA2ACE">
              <w:rPr>
                <w:rFonts w:asciiTheme="minorHAnsi" w:hAnsiTheme="minorHAnsi"/>
                <w:sz w:val="20"/>
                <w:szCs w:val="20"/>
                <w:lang w:val="en-CA"/>
              </w:rPr>
              <w:t>European Union</w:t>
            </w:r>
          </w:p>
        </w:tc>
      </w:tr>
      <w:tr w:rsidR="00302BFE" w:rsidRPr="00FA2ACE" w14:paraId="7930C97D" w14:textId="77777777" w:rsidTr="00243B15">
        <w:trPr>
          <w:trHeight w:val="20"/>
          <w:jc w:val="center"/>
        </w:trPr>
        <w:tc>
          <w:tcPr>
            <w:tcW w:w="1203" w:type="dxa"/>
            <w:tcBorders>
              <w:bottom w:val="nil"/>
              <w:right w:val="nil"/>
            </w:tcBorders>
            <w:shd w:val="clear" w:color="auto" w:fill="auto"/>
          </w:tcPr>
          <w:p w14:paraId="0914095A" w14:textId="77777777" w:rsidR="00302BFE" w:rsidRPr="00FA2ACE" w:rsidRDefault="00302BFE" w:rsidP="00243B15">
            <w:pPr>
              <w:pStyle w:val="Sansinterligne"/>
              <w:rPr>
                <w:rFonts w:asciiTheme="minorHAnsi" w:hAnsiTheme="minorHAnsi"/>
                <w:sz w:val="20"/>
                <w:szCs w:val="20"/>
                <w:lang w:val="en-CA"/>
              </w:rPr>
            </w:pPr>
            <w:r w:rsidRPr="00FA2ACE">
              <w:rPr>
                <w:rFonts w:asciiTheme="minorHAnsi" w:hAnsiTheme="minorHAnsi"/>
                <w:sz w:val="20"/>
                <w:szCs w:val="20"/>
                <w:lang w:val="en-CA"/>
              </w:rPr>
              <w:t>FAF</w:t>
            </w:r>
          </w:p>
        </w:tc>
        <w:tc>
          <w:tcPr>
            <w:tcW w:w="9395" w:type="dxa"/>
            <w:tcBorders>
              <w:left w:val="nil"/>
              <w:bottom w:val="nil"/>
            </w:tcBorders>
            <w:shd w:val="clear" w:color="auto" w:fill="auto"/>
          </w:tcPr>
          <w:p w14:paraId="60B775D8" w14:textId="77777777" w:rsidR="00302BFE" w:rsidRPr="00FA2ACE" w:rsidRDefault="00302BFE" w:rsidP="00243B15">
            <w:pPr>
              <w:pStyle w:val="Sansinterligne"/>
              <w:rPr>
                <w:rFonts w:asciiTheme="minorHAnsi" w:hAnsiTheme="minorHAnsi"/>
                <w:sz w:val="20"/>
                <w:szCs w:val="20"/>
                <w:lang w:val="en-CA"/>
              </w:rPr>
            </w:pPr>
            <w:r w:rsidRPr="00FA2ACE">
              <w:rPr>
                <w:rFonts w:asciiTheme="minorHAnsi" w:hAnsiTheme="minorHAnsi"/>
                <w:sz w:val="20"/>
                <w:szCs w:val="20"/>
                <w:lang w:val="en-CA"/>
              </w:rPr>
              <w:t>Forest Management Fund (</w:t>
            </w:r>
            <w:r w:rsidRPr="00FA2ACE">
              <w:rPr>
                <w:rFonts w:asciiTheme="minorHAnsi" w:hAnsiTheme="minorHAnsi"/>
                <w:i/>
                <w:sz w:val="20"/>
                <w:szCs w:val="20"/>
                <w:lang w:val="en-CA"/>
              </w:rPr>
              <w:t>Fonds d’Aménagement Forestier</w:t>
            </w:r>
            <w:r w:rsidRPr="00FA2ACE">
              <w:rPr>
                <w:rFonts w:asciiTheme="minorHAnsi" w:hAnsiTheme="minorHAnsi"/>
                <w:sz w:val="20"/>
                <w:szCs w:val="20"/>
                <w:lang w:val="en-CA"/>
              </w:rPr>
              <w:t>)</w:t>
            </w:r>
          </w:p>
        </w:tc>
      </w:tr>
      <w:tr w:rsidR="00302BFE" w:rsidRPr="00FA2ACE" w14:paraId="7D6CFDAE" w14:textId="77777777" w:rsidTr="00243B15">
        <w:trPr>
          <w:trHeight w:val="20"/>
          <w:jc w:val="center"/>
        </w:trPr>
        <w:tc>
          <w:tcPr>
            <w:tcW w:w="1203" w:type="dxa"/>
            <w:tcBorders>
              <w:bottom w:val="nil"/>
              <w:right w:val="nil"/>
            </w:tcBorders>
            <w:shd w:val="clear" w:color="auto" w:fill="auto"/>
          </w:tcPr>
          <w:p w14:paraId="5FAEC16F"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GBIF</w:t>
            </w:r>
          </w:p>
        </w:tc>
        <w:tc>
          <w:tcPr>
            <w:tcW w:w="9395" w:type="dxa"/>
            <w:tcBorders>
              <w:left w:val="nil"/>
              <w:bottom w:val="nil"/>
            </w:tcBorders>
            <w:shd w:val="clear" w:color="auto" w:fill="auto"/>
          </w:tcPr>
          <w:p w14:paraId="4E3FB76F"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Global Biodiversity Information Facility</w:t>
            </w:r>
          </w:p>
        </w:tc>
      </w:tr>
      <w:tr w:rsidR="00302BFE" w:rsidRPr="00FA2ACE" w14:paraId="38F700EF" w14:textId="77777777" w:rsidTr="00243B15">
        <w:trPr>
          <w:trHeight w:val="20"/>
          <w:jc w:val="center"/>
        </w:trPr>
        <w:tc>
          <w:tcPr>
            <w:tcW w:w="1203" w:type="dxa"/>
            <w:tcBorders>
              <w:bottom w:val="nil"/>
              <w:right w:val="nil"/>
            </w:tcBorders>
            <w:shd w:val="clear" w:color="auto" w:fill="auto"/>
          </w:tcPr>
          <w:p w14:paraId="594CECAD"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GDP</w:t>
            </w:r>
          </w:p>
        </w:tc>
        <w:tc>
          <w:tcPr>
            <w:tcW w:w="9395" w:type="dxa"/>
            <w:tcBorders>
              <w:left w:val="nil"/>
              <w:bottom w:val="nil"/>
            </w:tcBorders>
            <w:shd w:val="clear" w:color="auto" w:fill="auto"/>
          </w:tcPr>
          <w:p w14:paraId="77209B69"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Gross Domestic Produc</w:t>
            </w:r>
          </w:p>
        </w:tc>
      </w:tr>
      <w:tr w:rsidR="00302BFE" w:rsidRPr="00FA2ACE" w14:paraId="2FC9704E" w14:textId="77777777" w:rsidTr="00243B15">
        <w:trPr>
          <w:trHeight w:val="20"/>
          <w:jc w:val="center"/>
        </w:trPr>
        <w:tc>
          <w:tcPr>
            <w:tcW w:w="1203" w:type="dxa"/>
            <w:tcBorders>
              <w:bottom w:val="nil"/>
              <w:right w:val="nil"/>
            </w:tcBorders>
            <w:shd w:val="clear" w:color="auto" w:fill="auto"/>
          </w:tcPr>
          <w:p w14:paraId="76EB98FA"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GEF</w:t>
            </w:r>
          </w:p>
        </w:tc>
        <w:tc>
          <w:tcPr>
            <w:tcW w:w="9395" w:type="dxa"/>
            <w:tcBorders>
              <w:left w:val="nil"/>
              <w:bottom w:val="nil"/>
            </w:tcBorders>
            <w:shd w:val="clear" w:color="auto" w:fill="auto"/>
          </w:tcPr>
          <w:p w14:paraId="4758ABF3"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lang w:val="fr-CA"/>
              </w:rPr>
              <w:t>Global Environment Facility</w:t>
            </w:r>
          </w:p>
        </w:tc>
      </w:tr>
      <w:tr w:rsidR="00302BFE" w:rsidRPr="00FA2ACE" w14:paraId="78BCBEDF" w14:textId="77777777" w:rsidTr="00243B15">
        <w:trPr>
          <w:trHeight w:val="20"/>
          <w:jc w:val="center"/>
        </w:trPr>
        <w:tc>
          <w:tcPr>
            <w:tcW w:w="1203" w:type="dxa"/>
            <w:tcBorders>
              <w:bottom w:val="nil"/>
              <w:right w:val="nil"/>
            </w:tcBorders>
            <w:shd w:val="clear" w:color="auto" w:fill="auto"/>
          </w:tcPr>
          <w:p w14:paraId="5DE630CF"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GEFSEC</w:t>
            </w:r>
          </w:p>
        </w:tc>
        <w:tc>
          <w:tcPr>
            <w:tcW w:w="9395" w:type="dxa"/>
            <w:tcBorders>
              <w:left w:val="nil"/>
              <w:bottom w:val="nil"/>
            </w:tcBorders>
            <w:shd w:val="clear" w:color="auto" w:fill="auto"/>
          </w:tcPr>
          <w:p w14:paraId="62EB522F" w14:textId="77777777" w:rsidR="00302BFE" w:rsidRPr="00FA2ACE" w:rsidRDefault="00302BFE" w:rsidP="00243B15">
            <w:pPr>
              <w:pStyle w:val="Sansinterligne"/>
              <w:rPr>
                <w:rFonts w:asciiTheme="minorHAnsi" w:hAnsiTheme="minorHAnsi" w:cs="Calibri"/>
                <w:sz w:val="20"/>
                <w:szCs w:val="20"/>
                <w:lang w:val="fr-CA"/>
              </w:rPr>
            </w:pPr>
            <w:r w:rsidRPr="00FA2ACE">
              <w:rPr>
                <w:rFonts w:asciiTheme="minorHAnsi" w:hAnsiTheme="minorHAnsi" w:cs="Calibri"/>
                <w:sz w:val="20"/>
                <w:szCs w:val="20"/>
                <w:lang w:val="fr-CA"/>
              </w:rPr>
              <w:t>Global Environment Facility Secretariat</w:t>
            </w:r>
          </w:p>
        </w:tc>
      </w:tr>
      <w:tr w:rsidR="00302BFE" w:rsidRPr="00FA2ACE" w14:paraId="7BE3114D" w14:textId="77777777" w:rsidTr="00243B15">
        <w:trPr>
          <w:trHeight w:val="20"/>
          <w:jc w:val="center"/>
        </w:trPr>
        <w:tc>
          <w:tcPr>
            <w:tcW w:w="1203" w:type="dxa"/>
            <w:tcBorders>
              <w:bottom w:val="nil"/>
              <w:right w:val="nil"/>
            </w:tcBorders>
            <w:shd w:val="clear" w:color="auto" w:fill="auto"/>
          </w:tcPr>
          <w:p w14:paraId="7BF35D21"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GHG</w:t>
            </w:r>
          </w:p>
        </w:tc>
        <w:tc>
          <w:tcPr>
            <w:tcW w:w="9395" w:type="dxa"/>
            <w:tcBorders>
              <w:left w:val="nil"/>
              <w:bottom w:val="nil"/>
            </w:tcBorders>
            <w:shd w:val="clear" w:color="auto" w:fill="auto"/>
          </w:tcPr>
          <w:p w14:paraId="4248BF63" w14:textId="77777777" w:rsidR="00302BFE" w:rsidRPr="00FA2ACE" w:rsidRDefault="00302BFE" w:rsidP="00243B15">
            <w:pPr>
              <w:pStyle w:val="Sansinterligne"/>
              <w:rPr>
                <w:rFonts w:asciiTheme="minorHAnsi" w:hAnsiTheme="minorHAnsi" w:cs="Calibri"/>
                <w:sz w:val="20"/>
                <w:szCs w:val="20"/>
                <w:lang w:val="fr-CA"/>
              </w:rPr>
            </w:pPr>
            <w:r w:rsidRPr="00FA2ACE">
              <w:rPr>
                <w:rFonts w:asciiTheme="minorHAnsi" w:hAnsiTheme="minorHAnsi" w:cs="Calibri"/>
                <w:sz w:val="20"/>
                <w:szCs w:val="20"/>
                <w:lang w:val="fr-CA"/>
              </w:rPr>
              <w:t>Greenhouse gas</w:t>
            </w:r>
          </w:p>
        </w:tc>
      </w:tr>
      <w:tr w:rsidR="00302BFE" w:rsidRPr="0020399E" w14:paraId="0E270550" w14:textId="77777777" w:rsidTr="00243B15">
        <w:trPr>
          <w:trHeight w:val="20"/>
          <w:jc w:val="center"/>
        </w:trPr>
        <w:tc>
          <w:tcPr>
            <w:tcW w:w="1203" w:type="dxa"/>
            <w:tcBorders>
              <w:bottom w:val="nil"/>
              <w:right w:val="nil"/>
            </w:tcBorders>
            <w:shd w:val="clear" w:color="auto" w:fill="auto"/>
          </w:tcPr>
          <w:p w14:paraId="511BBD18"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GGF</w:t>
            </w:r>
          </w:p>
        </w:tc>
        <w:tc>
          <w:tcPr>
            <w:tcW w:w="9395" w:type="dxa"/>
            <w:tcBorders>
              <w:left w:val="nil"/>
              <w:bottom w:val="nil"/>
            </w:tcBorders>
            <w:shd w:val="clear" w:color="auto" w:fill="auto"/>
          </w:tcPr>
          <w:p w14:paraId="303220F4" w14:textId="77777777" w:rsidR="00302BFE" w:rsidRPr="00FA2ACE" w:rsidRDefault="00302BFE" w:rsidP="00243B15">
            <w:pPr>
              <w:pStyle w:val="Sansinterligne"/>
              <w:rPr>
                <w:rFonts w:asciiTheme="minorHAnsi" w:hAnsiTheme="minorHAnsi" w:cs="Calibri"/>
                <w:sz w:val="20"/>
                <w:szCs w:val="20"/>
                <w:lang w:val="fr-CA"/>
              </w:rPr>
            </w:pPr>
            <w:r w:rsidRPr="00FA2ACE">
              <w:rPr>
                <w:rFonts w:asciiTheme="minorHAnsi" w:hAnsiTheme="minorHAnsi" w:cs="Calibri"/>
                <w:sz w:val="20"/>
                <w:szCs w:val="20"/>
                <w:lang w:val="fr-CA"/>
              </w:rPr>
              <w:t>Forest Management Groups (</w:t>
            </w:r>
            <w:r w:rsidRPr="00FA2ACE">
              <w:rPr>
                <w:rFonts w:asciiTheme="minorHAnsi" w:hAnsiTheme="minorHAnsi" w:cs="Calibri"/>
                <w:i/>
                <w:sz w:val="20"/>
                <w:szCs w:val="20"/>
                <w:lang w:val="fr-CA"/>
              </w:rPr>
              <w:t>Groupements de gestion forestière</w:t>
            </w:r>
            <w:r w:rsidRPr="00FA2ACE">
              <w:rPr>
                <w:rFonts w:asciiTheme="minorHAnsi" w:hAnsiTheme="minorHAnsi" w:cs="Calibri"/>
                <w:sz w:val="20"/>
                <w:szCs w:val="20"/>
                <w:lang w:val="fr-CA"/>
              </w:rPr>
              <w:t>)</w:t>
            </w:r>
          </w:p>
        </w:tc>
      </w:tr>
      <w:tr w:rsidR="00302BFE" w:rsidRPr="00FA2ACE" w14:paraId="20EFEA04" w14:textId="77777777" w:rsidTr="00243B15">
        <w:trPr>
          <w:trHeight w:val="20"/>
          <w:jc w:val="center"/>
        </w:trPr>
        <w:tc>
          <w:tcPr>
            <w:tcW w:w="1203" w:type="dxa"/>
            <w:tcBorders>
              <w:bottom w:val="nil"/>
              <w:right w:val="nil"/>
            </w:tcBorders>
            <w:shd w:val="clear" w:color="auto" w:fill="auto"/>
          </w:tcPr>
          <w:p w14:paraId="0A038B48"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GIS</w:t>
            </w:r>
          </w:p>
        </w:tc>
        <w:tc>
          <w:tcPr>
            <w:tcW w:w="9395" w:type="dxa"/>
            <w:tcBorders>
              <w:left w:val="nil"/>
              <w:bottom w:val="nil"/>
            </w:tcBorders>
            <w:shd w:val="clear" w:color="auto" w:fill="auto"/>
          </w:tcPr>
          <w:p w14:paraId="45030BFE"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Geographic information system</w:t>
            </w:r>
          </w:p>
        </w:tc>
      </w:tr>
      <w:tr w:rsidR="00302BFE" w:rsidRPr="00FA2ACE" w14:paraId="0F76339A" w14:textId="77777777" w:rsidTr="00243B15">
        <w:trPr>
          <w:trHeight w:val="20"/>
          <w:jc w:val="center"/>
        </w:trPr>
        <w:tc>
          <w:tcPr>
            <w:tcW w:w="1203" w:type="dxa"/>
            <w:tcBorders>
              <w:bottom w:val="nil"/>
              <w:right w:val="nil"/>
            </w:tcBorders>
            <w:shd w:val="clear" w:color="auto" w:fill="auto"/>
          </w:tcPr>
          <w:p w14:paraId="2EF14DA8"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lastRenderedPageBreak/>
              <w:t>GPS</w:t>
            </w:r>
          </w:p>
        </w:tc>
        <w:tc>
          <w:tcPr>
            <w:tcW w:w="9395" w:type="dxa"/>
            <w:tcBorders>
              <w:left w:val="nil"/>
              <w:bottom w:val="nil"/>
            </w:tcBorders>
            <w:shd w:val="clear" w:color="auto" w:fill="auto"/>
          </w:tcPr>
          <w:p w14:paraId="7A3CF454"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Global Positioning System</w:t>
            </w:r>
          </w:p>
        </w:tc>
      </w:tr>
      <w:tr w:rsidR="00690F56" w:rsidRPr="00FA2ACE" w14:paraId="22B03510" w14:textId="77777777" w:rsidTr="00243B15">
        <w:trPr>
          <w:trHeight w:val="20"/>
          <w:jc w:val="center"/>
        </w:trPr>
        <w:tc>
          <w:tcPr>
            <w:tcW w:w="1203" w:type="dxa"/>
            <w:tcBorders>
              <w:bottom w:val="nil"/>
              <w:right w:val="nil"/>
            </w:tcBorders>
            <w:shd w:val="clear" w:color="auto" w:fill="auto"/>
          </w:tcPr>
          <w:p w14:paraId="56DAF3A2" w14:textId="4E9CD532" w:rsidR="00690F56" w:rsidRPr="00FA2ACE" w:rsidRDefault="00690F56" w:rsidP="00243B15">
            <w:pPr>
              <w:pStyle w:val="Sansinterligne"/>
              <w:rPr>
                <w:rFonts w:asciiTheme="minorHAnsi" w:hAnsiTheme="minorHAnsi" w:cs="Calibri"/>
                <w:sz w:val="20"/>
                <w:szCs w:val="20"/>
              </w:rPr>
            </w:pPr>
            <w:r w:rsidRPr="00FA2ACE">
              <w:rPr>
                <w:rFonts w:asciiTheme="minorHAnsi" w:hAnsiTheme="minorHAnsi" w:cs="Calibri"/>
                <w:sz w:val="20"/>
                <w:szCs w:val="20"/>
              </w:rPr>
              <w:t>GRM</w:t>
            </w:r>
          </w:p>
        </w:tc>
        <w:tc>
          <w:tcPr>
            <w:tcW w:w="9395" w:type="dxa"/>
            <w:tcBorders>
              <w:left w:val="nil"/>
              <w:bottom w:val="nil"/>
            </w:tcBorders>
            <w:shd w:val="clear" w:color="auto" w:fill="auto"/>
          </w:tcPr>
          <w:p w14:paraId="28C1824B" w14:textId="2347B3D1" w:rsidR="00690F56" w:rsidRPr="00FA2ACE" w:rsidRDefault="00FA2ACE" w:rsidP="00243B15">
            <w:pPr>
              <w:pStyle w:val="Sansinterligne"/>
              <w:rPr>
                <w:rFonts w:asciiTheme="minorHAnsi" w:hAnsiTheme="minorHAnsi" w:cs="Calibri"/>
                <w:sz w:val="20"/>
                <w:szCs w:val="20"/>
              </w:rPr>
            </w:pPr>
            <w:r w:rsidRPr="00FA2ACE">
              <w:rPr>
                <w:rFonts w:asciiTheme="minorHAnsi" w:hAnsiTheme="minorHAnsi" w:cs="Calibri"/>
                <w:sz w:val="20"/>
                <w:szCs w:val="20"/>
              </w:rPr>
              <w:t>Grievance Redress Mechanism</w:t>
            </w:r>
          </w:p>
        </w:tc>
      </w:tr>
      <w:tr w:rsidR="00302BFE" w:rsidRPr="00FA2ACE" w14:paraId="4DB25DEE" w14:textId="77777777" w:rsidTr="00243B15">
        <w:trPr>
          <w:trHeight w:val="20"/>
          <w:jc w:val="center"/>
        </w:trPr>
        <w:tc>
          <w:tcPr>
            <w:tcW w:w="1203" w:type="dxa"/>
            <w:tcBorders>
              <w:bottom w:val="nil"/>
              <w:right w:val="nil"/>
            </w:tcBorders>
            <w:shd w:val="clear" w:color="auto" w:fill="auto"/>
          </w:tcPr>
          <w:p w14:paraId="44A662CD"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HDI</w:t>
            </w:r>
          </w:p>
        </w:tc>
        <w:tc>
          <w:tcPr>
            <w:tcW w:w="9395" w:type="dxa"/>
            <w:tcBorders>
              <w:left w:val="nil"/>
              <w:bottom w:val="nil"/>
            </w:tcBorders>
            <w:shd w:val="clear" w:color="auto" w:fill="auto"/>
          </w:tcPr>
          <w:p w14:paraId="3E2933BB"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Human Development Index</w:t>
            </w:r>
          </w:p>
        </w:tc>
      </w:tr>
      <w:tr w:rsidR="00302BFE" w:rsidRPr="00FA2ACE" w14:paraId="32F8F58B" w14:textId="77777777" w:rsidTr="00243B15">
        <w:trPr>
          <w:trHeight w:val="20"/>
          <w:jc w:val="center"/>
        </w:trPr>
        <w:tc>
          <w:tcPr>
            <w:tcW w:w="1203" w:type="dxa"/>
            <w:tcBorders>
              <w:bottom w:val="nil"/>
              <w:right w:val="nil"/>
            </w:tcBorders>
            <w:shd w:val="clear" w:color="auto" w:fill="auto"/>
          </w:tcPr>
          <w:p w14:paraId="4ECA5ADD" w14:textId="77777777" w:rsidR="00302BFE" w:rsidRPr="00FA2ACE" w:rsidRDefault="00302BFE" w:rsidP="00243B15">
            <w:pPr>
              <w:pStyle w:val="Sansinterligne"/>
              <w:rPr>
                <w:rFonts w:asciiTheme="minorHAnsi" w:hAnsiTheme="minorHAnsi" w:cs="Calibri"/>
                <w:sz w:val="20"/>
                <w:szCs w:val="20"/>
              </w:rPr>
            </w:pPr>
            <w:r w:rsidRPr="00FA2ACE">
              <w:rPr>
                <w:rFonts w:asciiTheme="minorHAnsi" w:eastAsia="Times New Roman" w:hAnsiTheme="minorHAnsi"/>
                <w:sz w:val="20"/>
                <w:szCs w:val="20"/>
                <w:lang w:val="en-GB"/>
              </w:rPr>
              <w:t>HWC</w:t>
            </w:r>
          </w:p>
        </w:tc>
        <w:tc>
          <w:tcPr>
            <w:tcW w:w="9395" w:type="dxa"/>
            <w:tcBorders>
              <w:left w:val="nil"/>
              <w:bottom w:val="nil"/>
            </w:tcBorders>
            <w:shd w:val="clear" w:color="auto" w:fill="auto"/>
          </w:tcPr>
          <w:p w14:paraId="440C9D3D"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Human Wildlife Conflict</w:t>
            </w:r>
          </w:p>
        </w:tc>
      </w:tr>
      <w:tr w:rsidR="00302BFE" w:rsidRPr="00FA2ACE" w14:paraId="270D5F5B" w14:textId="77777777" w:rsidTr="00243B15">
        <w:trPr>
          <w:trHeight w:val="20"/>
          <w:jc w:val="center"/>
        </w:trPr>
        <w:tc>
          <w:tcPr>
            <w:tcW w:w="1203" w:type="dxa"/>
            <w:tcBorders>
              <w:bottom w:val="nil"/>
              <w:right w:val="nil"/>
            </w:tcBorders>
            <w:shd w:val="clear" w:color="auto" w:fill="auto"/>
          </w:tcPr>
          <w:p w14:paraId="13F09ACF"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sz w:val="20"/>
                <w:szCs w:val="20"/>
                <w:lang w:val="en-GB"/>
              </w:rPr>
              <w:t>IBA</w:t>
            </w:r>
          </w:p>
        </w:tc>
        <w:tc>
          <w:tcPr>
            <w:tcW w:w="9395" w:type="dxa"/>
            <w:tcBorders>
              <w:left w:val="nil"/>
              <w:bottom w:val="nil"/>
            </w:tcBorders>
            <w:shd w:val="clear" w:color="auto" w:fill="auto"/>
          </w:tcPr>
          <w:p w14:paraId="106FAB5A"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sz w:val="20"/>
                <w:szCs w:val="20"/>
                <w:lang w:val="en-GB"/>
              </w:rPr>
              <w:t>Important Bird Area</w:t>
            </w:r>
          </w:p>
        </w:tc>
      </w:tr>
      <w:tr w:rsidR="00302BFE" w:rsidRPr="00FA2ACE" w14:paraId="18F1D343" w14:textId="77777777" w:rsidTr="00243B15">
        <w:trPr>
          <w:trHeight w:val="20"/>
          <w:jc w:val="center"/>
        </w:trPr>
        <w:tc>
          <w:tcPr>
            <w:tcW w:w="1203" w:type="dxa"/>
            <w:tcBorders>
              <w:bottom w:val="nil"/>
              <w:right w:val="nil"/>
            </w:tcBorders>
            <w:shd w:val="clear" w:color="auto" w:fill="auto"/>
          </w:tcPr>
          <w:p w14:paraId="471000B9"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IFN2</w:t>
            </w:r>
          </w:p>
        </w:tc>
        <w:tc>
          <w:tcPr>
            <w:tcW w:w="9395" w:type="dxa"/>
            <w:tcBorders>
              <w:left w:val="nil"/>
              <w:bottom w:val="nil"/>
            </w:tcBorders>
            <w:shd w:val="clear" w:color="auto" w:fill="auto"/>
          </w:tcPr>
          <w:p w14:paraId="4BF88ACE"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Second national forest inventory</w:t>
            </w:r>
          </w:p>
        </w:tc>
      </w:tr>
      <w:tr w:rsidR="00302BFE" w:rsidRPr="00FA2ACE" w14:paraId="57D1A4E7" w14:textId="77777777" w:rsidTr="00243B15">
        <w:trPr>
          <w:trHeight w:val="20"/>
          <w:jc w:val="center"/>
        </w:trPr>
        <w:tc>
          <w:tcPr>
            <w:tcW w:w="1203" w:type="dxa"/>
            <w:tcBorders>
              <w:bottom w:val="nil"/>
              <w:right w:val="nil"/>
            </w:tcBorders>
            <w:shd w:val="clear" w:color="auto" w:fill="auto"/>
          </w:tcPr>
          <w:p w14:paraId="2D392ABE" w14:textId="528A190F" w:rsidR="00175FC8" w:rsidRDefault="00175FC8" w:rsidP="00243B15">
            <w:pPr>
              <w:pStyle w:val="Sansinterligne"/>
              <w:rPr>
                <w:rFonts w:asciiTheme="minorHAnsi" w:hAnsiTheme="minorHAnsi" w:cs="Calibri"/>
                <w:sz w:val="20"/>
                <w:szCs w:val="20"/>
              </w:rPr>
            </w:pPr>
            <w:r>
              <w:rPr>
                <w:rFonts w:asciiTheme="minorHAnsi" w:hAnsiTheme="minorHAnsi" w:cs="Calibri"/>
                <w:sz w:val="20"/>
                <w:szCs w:val="20"/>
              </w:rPr>
              <w:t>IPPF</w:t>
            </w:r>
          </w:p>
          <w:p w14:paraId="16F04359" w14:textId="2AC9FC06" w:rsidR="00175FC8" w:rsidRDefault="00175FC8" w:rsidP="00243B15">
            <w:pPr>
              <w:pStyle w:val="Sansinterligne"/>
              <w:rPr>
                <w:rFonts w:asciiTheme="minorHAnsi" w:hAnsiTheme="minorHAnsi" w:cs="Calibri"/>
                <w:sz w:val="20"/>
                <w:szCs w:val="20"/>
              </w:rPr>
            </w:pPr>
            <w:r>
              <w:rPr>
                <w:rFonts w:asciiTheme="minorHAnsi" w:hAnsiTheme="minorHAnsi" w:cs="Calibri"/>
                <w:sz w:val="20"/>
                <w:szCs w:val="20"/>
              </w:rPr>
              <w:t>IPP</w:t>
            </w:r>
          </w:p>
          <w:p w14:paraId="10425D53" w14:textId="3A42BC28"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IUCN</w:t>
            </w:r>
          </w:p>
        </w:tc>
        <w:tc>
          <w:tcPr>
            <w:tcW w:w="9395" w:type="dxa"/>
            <w:tcBorders>
              <w:left w:val="nil"/>
              <w:bottom w:val="nil"/>
            </w:tcBorders>
            <w:shd w:val="clear" w:color="auto" w:fill="auto"/>
          </w:tcPr>
          <w:p w14:paraId="22CE672C" w14:textId="6F2007E0" w:rsidR="00175FC8" w:rsidRDefault="00175FC8" w:rsidP="00243B15">
            <w:pPr>
              <w:pStyle w:val="Sansinterligne"/>
              <w:rPr>
                <w:rFonts w:asciiTheme="minorHAnsi" w:hAnsiTheme="minorHAnsi" w:cs="Calibri"/>
                <w:sz w:val="20"/>
                <w:szCs w:val="20"/>
                <w:lang w:val="en-CA"/>
              </w:rPr>
            </w:pPr>
            <w:r>
              <w:rPr>
                <w:rFonts w:asciiTheme="minorHAnsi" w:hAnsiTheme="minorHAnsi" w:cs="Calibri"/>
                <w:sz w:val="20"/>
                <w:szCs w:val="20"/>
                <w:lang w:val="en-CA"/>
              </w:rPr>
              <w:t>Indigenous Peoples Planning Framework</w:t>
            </w:r>
          </w:p>
          <w:p w14:paraId="34409839" w14:textId="2CD04C0A" w:rsidR="00175FC8" w:rsidRDefault="00175FC8" w:rsidP="00243B15">
            <w:pPr>
              <w:pStyle w:val="Sansinterligne"/>
              <w:rPr>
                <w:rFonts w:asciiTheme="minorHAnsi" w:hAnsiTheme="minorHAnsi" w:cs="Calibri"/>
                <w:sz w:val="20"/>
                <w:szCs w:val="20"/>
                <w:lang w:val="en-CA"/>
              </w:rPr>
            </w:pPr>
            <w:r>
              <w:rPr>
                <w:rFonts w:asciiTheme="minorHAnsi" w:hAnsiTheme="minorHAnsi" w:cs="Calibri"/>
                <w:sz w:val="20"/>
                <w:szCs w:val="20"/>
                <w:lang w:val="en-CA"/>
              </w:rPr>
              <w:t>Indigenous Peoples Plan</w:t>
            </w:r>
          </w:p>
          <w:p w14:paraId="5D030487" w14:textId="6358CAB0" w:rsidR="00175FC8" w:rsidRPr="00FA2ACE" w:rsidRDefault="00302BFE" w:rsidP="00243B15">
            <w:pPr>
              <w:pStyle w:val="Sansinterligne"/>
              <w:rPr>
                <w:rFonts w:asciiTheme="minorHAnsi" w:hAnsiTheme="minorHAnsi" w:cs="Calibri"/>
                <w:sz w:val="20"/>
                <w:szCs w:val="20"/>
                <w:lang w:val="en-CA"/>
              </w:rPr>
            </w:pPr>
            <w:r w:rsidRPr="00FA2ACE">
              <w:rPr>
                <w:rFonts w:asciiTheme="minorHAnsi" w:hAnsiTheme="minorHAnsi" w:cs="Calibri"/>
                <w:sz w:val="20"/>
                <w:szCs w:val="20"/>
                <w:lang w:val="en-CA"/>
              </w:rPr>
              <w:t>International Union for the Conservation of Nature</w:t>
            </w:r>
          </w:p>
        </w:tc>
      </w:tr>
      <w:tr w:rsidR="00302BFE" w:rsidRPr="0020399E" w14:paraId="7BF8A3D8" w14:textId="77777777" w:rsidTr="00243B15">
        <w:trPr>
          <w:trHeight w:val="20"/>
          <w:jc w:val="center"/>
        </w:trPr>
        <w:tc>
          <w:tcPr>
            <w:tcW w:w="1203" w:type="dxa"/>
            <w:tcBorders>
              <w:bottom w:val="nil"/>
              <w:right w:val="nil"/>
            </w:tcBorders>
            <w:shd w:val="clear" w:color="auto" w:fill="auto"/>
          </w:tcPr>
          <w:p w14:paraId="20B02768"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LAB</w:t>
            </w:r>
          </w:p>
        </w:tc>
        <w:tc>
          <w:tcPr>
            <w:tcW w:w="9395" w:type="dxa"/>
            <w:tcBorders>
              <w:left w:val="nil"/>
              <w:bottom w:val="nil"/>
            </w:tcBorders>
            <w:shd w:val="clear" w:color="auto" w:fill="auto"/>
          </w:tcPr>
          <w:p w14:paraId="20E4936E" w14:textId="77777777" w:rsidR="00302BFE" w:rsidRPr="00FA2ACE" w:rsidRDefault="00302BFE" w:rsidP="00243B15">
            <w:pPr>
              <w:pStyle w:val="Sansinterligne"/>
              <w:rPr>
                <w:rFonts w:asciiTheme="minorHAnsi" w:hAnsiTheme="minorHAnsi" w:cs="Calibri"/>
                <w:i/>
                <w:sz w:val="20"/>
                <w:szCs w:val="20"/>
                <w:lang w:val="fr-CA"/>
              </w:rPr>
            </w:pPr>
            <w:r w:rsidRPr="00FA2ACE">
              <w:rPr>
                <w:rFonts w:asciiTheme="minorHAnsi" w:hAnsiTheme="minorHAnsi" w:cs="Calibri"/>
                <w:sz w:val="20"/>
                <w:szCs w:val="20"/>
                <w:lang w:val="fr-CA"/>
              </w:rPr>
              <w:t>Anti-poaching</w:t>
            </w:r>
            <w:r w:rsidRPr="00FA2ACE">
              <w:rPr>
                <w:rFonts w:asciiTheme="minorHAnsi" w:hAnsiTheme="minorHAnsi" w:cs="Calibri"/>
                <w:i/>
                <w:sz w:val="20"/>
                <w:szCs w:val="20"/>
                <w:lang w:val="fr-CA"/>
              </w:rPr>
              <w:t xml:space="preserve"> (Lutte Anti-Braconnage)</w:t>
            </w:r>
          </w:p>
        </w:tc>
      </w:tr>
      <w:tr w:rsidR="00302BFE" w:rsidRPr="00FA2ACE" w14:paraId="043E9FF5" w14:textId="77777777" w:rsidTr="00243B15">
        <w:trPr>
          <w:trHeight w:val="20"/>
          <w:jc w:val="center"/>
        </w:trPr>
        <w:tc>
          <w:tcPr>
            <w:tcW w:w="1203" w:type="dxa"/>
            <w:tcBorders>
              <w:bottom w:val="nil"/>
              <w:right w:val="nil"/>
            </w:tcBorders>
            <w:shd w:val="clear" w:color="auto" w:fill="auto"/>
          </w:tcPr>
          <w:p w14:paraId="0CB2A137"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LPAC</w:t>
            </w:r>
          </w:p>
        </w:tc>
        <w:tc>
          <w:tcPr>
            <w:tcW w:w="9395" w:type="dxa"/>
            <w:tcBorders>
              <w:left w:val="nil"/>
              <w:bottom w:val="nil"/>
            </w:tcBorders>
            <w:shd w:val="clear" w:color="auto" w:fill="auto"/>
          </w:tcPr>
          <w:p w14:paraId="3BDF6551"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Local Project Appraisal Committee</w:t>
            </w:r>
          </w:p>
        </w:tc>
      </w:tr>
      <w:tr w:rsidR="00FA2ACE" w:rsidRPr="00FA2ACE" w14:paraId="09C55ED0" w14:textId="77777777" w:rsidTr="00243B15">
        <w:trPr>
          <w:trHeight w:val="20"/>
          <w:jc w:val="center"/>
        </w:trPr>
        <w:tc>
          <w:tcPr>
            <w:tcW w:w="1203" w:type="dxa"/>
            <w:tcBorders>
              <w:bottom w:val="nil"/>
              <w:right w:val="nil"/>
            </w:tcBorders>
            <w:shd w:val="clear" w:color="auto" w:fill="auto"/>
          </w:tcPr>
          <w:p w14:paraId="0AAFF3B8" w14:textId="56D55F1F" w:rsidR="00FA2ACE" w:rsidRPr="00FA2ACE" w:rsidRDefault="00FA2ACE" w:rsidP="00243B15">
            <w:pPr>
              <w:pStyle w:val="Sansinterligne"/>
              <w:rPr>
                <w:rFonts w:asciiTheme="minorHAnsi" w:hAnsiTheme="minorHAnsi" w:cs="Calibri"/>
                <w:sz w:val="20"/>
                <w:szCs w:val="20"/>
              </w:rPr>
            </w:pPr>
            <w:r w:rsidRPr="00FA2ACE">
              <w:rPr>
                <w:rFonts w:asciiTheme="minorHAnsi" w:hAnsiTheme="minorHAnsi" w:cs="Calibri"/>
                <w:sz w:val="20"/>
                <w:szCs w:val="20"/>
              </w:rPr>
              <w:t>MAB</w:t>
            </w:r>
          </w:p>
        </w:tc>
        <w:tc>
          <w:tcPr>
            <w:tcW w:w="9395" w:type="dxa"/>
            <w:tcBorders>
              <w:left w:val="nil"/>
              <w:bottom w:val="nil"/>
            </w:tcBorders>
            <w:shd w:val="clear" w:color="auto" w:fill="auto"/>
          </w:tcPr>
          <w:p w14:paraId="1B258754" w14:textId="194C7200" w:rsidR="00FA2ACE" w:rsidRPr="00FA2ACE" w:rsidRDefault="00FA2ACE" w:rsidP="00243B15">
            <w:pPr>
              <w:pStyle w:val="Sansinterligne"/>
              <w:rPr>
                <w:rFonts w:asciiTheme="minorHAnsi" w:hAnsiTheme="minorHAnsi" w:cs="Calibri"/>
                <w:sz w:val="20"/>
                <w:szCs w:val="20"/>
              </w:rPr>
            </w:pPr>
            <w:r w:rsidRPr="00FA2ACE">
              <w:rPr>
                <w:rFonts w:asciiTheme="minorHAnsi" w:hAnsiTheme="minorHAnsi"/>
                <w:sz w:val="20"/>
                <w:szCs w:val="20"/>
                <w:lang w:val="en-GB"/>
              </w:rPr>
              <w:t>UNESCO Man And Biosphere program</w:t>
            </w:r>
          </w:p>
        </w:tc>
      </w:tr>
      <w:tr w:rsidR="00302BFE" w:rsidRPr="00FA2ACE" w14:paraId="3FA7EC5A" w14:textId="77777777" w:rsidTr="00243B15">
        <w:trPr>
          <w:trHeight w:val="20"/>
          <w:jc w:val="center"/>
        </w:trPr>
        <w:tc>
          <w:tcPr>
            <w:tcW w:w="1203" w:type="dxa"/>
            <w:tcBorders>
              <w:bottom w:val="nil"/>
              <w:right w:val="nil"/>
            </w:tcBorders>
            <w:shd w:val="clear" w:color="auto" w:fill="auto"/>
          </w:tcPr>
          <w:p w14:paraId="718B3113"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MARP</w:t>
            </w:r>
          </w:p>
        </w:tc>
        <w:tc>
          <w:tcPr>
            <w:tcW w:w="9395" w:type="dxa"/>
            <w:tcBorders>
              <w:left w:val="nil"/>
              <w:bottom w:val="nil"/>
            </w:tcBorders>
            <w:shd w:val="clear" w:color="auto" w:fill="auto"/>
          </w:tcPr>
          <w:p w14:paraId="03E69327"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Active method of participatory research (</w:t>
            </w:r>
            <w:r w:rsidRPr="00FA2ACE">
              <w:rPr>
                <w:rFonts w:asciiTheme="minorHAnsi" w:hAnsiTheme="minorHAnsi" w:cs="Calibri"/>
                <w:i/>
                <w:sz w:val="20"/>
                <w:szCs w:val="20"/>
              </w:rPr>
              <w:t>Méthode active de recherche participative</w:t>
            </w:r>
            <w:r w:rsidRPr="00FA2ACE">
              <w:rPr>
                <w:rFonts w:asciiTheme="minorHAnsi" w:hAnsiTheme="minorHAnsi" w:cs="Calibri"/>
                <w:sz w:val="20"/>
                <w:szCs w:val="20"/>
              </w:rPr>
              <w:t>)</w:t>
            </w:r>
          </w:p>
        </w:tc>
      </w:tr>
      <w:tr w:rsidR="00302BFE" w:rsidRPr="00FA2ACE" w14:paraId="6EFA8FCA" w14:textId="77777777" w:rsidTr="00243B15">
        <w:trPr>
          <w:trHeight w:val="20"/>
          <w:jc w:val="center"/>
        </w:trPr>
        <w:tc>
          <w:tcPr>
            <w:tcW w:w="1203" w:type="dxa"/>
            <w:tcBorders>
              <w:bottom w:val="nil"/>
              <w:right w:val="nil"/>
            </w:tcBorders>
            <w:shd w:val="clear" w:color="auto" w:fill="auto"/>
          </w:tcPr>
          <w:p w14:paraId="2823007A"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sz w:val="20"/>
                <w:szCs w:val="20"/>
                <w:lang w:val="en-CA"/>
              </w:rPr>
              <w:t>MEGECC</w:t>
            </w:r>
          </w:p>
        </w:tc>
        <w:tc>
          <w:tcPr>
            <w:tcW w:w="9395" w:type="dxa"/>
            <w:tcBorders>
              <w:left w:val="nil"/>
              <w:bottom w:val="nil"/>
            </w:tcBorders>
            <w:shd w:val="clear" w:color="auto" w:fill="auto"/>
          </w:tcPr>
          <w:p w14:paraId="61D6229B"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Ministry of Environment, Green Economy and Climate Change</w:t>
            </w:r>
          </w:p>
        </w:tc>
      </w:tr>
      <w:tr w:rsidR="006B576A" w:rsidRPr="0020399E" w14:paraId="0918A19A" w14:textId="77777777" w:rsidTr="00243B15">
        <w:trPr>
          <w:trHeight w:val="20"/>
          <w:jc w:val="center"/>
        </w:trPr>
        <w:tc>
          <w:tcPr>
            <w:tcW w:w="1203" w:type="dxa"/>
            <w:tcBorders>
              <w:bottom w:val="nil"/>
              <w:right w:val="nil"/>
            </w:tcBorders>
            <w:shd w:val="clear" w:color="auto" w:fill="auto"/>
          </w:tcPr>
          <w:p w14:paraId="49CB27FD" w14:textId="02A0A328" w:rsidR="006B576A" w:rsidRPr="00FA2ACE" w:rsidRDefault="006B576A" w:rsidP="00243B15">
            <w:pPr>
              <w:pStyle w:val="Sansinterligne"/>
              <w:rPr>
                <w:rFonts w:asciiTheme="minorHAnsi" w:hAnsiTheme="minorHAnsi"/>
                <w:sz w:val="20"/>
                <w:szCs w:val="20"/>
                <w:lang w:val="en-CA"/>
              </w:rPr>
            </w:pPr>
            <w:r w:rsidRPr="00FA2ACE">
              <w:rPr>
                <w:rFonts w:asciiTheme="minorHAnsi" w:hAnsiTheme="minorHAnsi"/>
                <w:sz w:val="20"/>
                <w:szCs w:val="20"/>
                <w:lang w:val="en-CA"/>
              </w:rPr>
              <w:t>MEEVCC</w:t>
            </w:r>
          </w:p>
        </w:tc>
        <w:tc>
          <w:tcPr>
            <w:tcW w:w="9395" w:type="dxa"/>
            <w:tcBorders>
              <w:left w:val="nil"/>
              <w:bottom w:val="nil"/>
            </w:tcBorders>
            <w:shd w:val="clear" w:color="auto" w:fill="auto"/>
          </w:tcPr>
          <w:p w14:paraId="11C9E310" w14:textId="2D0AFF90" w:rsidR="006B576A" w:rsidRPr="00FA2ACE" w:rsidRDefault="006B576A" w:rsidP="00243B15">
            <w:pPr>
              <w:pStyle w:val="Sansinterligne"/>
              <w:rPr>
                <w:rFonts w:asciiTheme="minorHAnsi" w:hAnsiTheme="minorHAnsi" w:cs="Calibri"/>
                <w:sz w:val="20"/>
                <w:szCs w:val="20"/>
                <w:lang w:val="fr-CA"/>
              </w:rPr>
            </w:pPr>
            <w:r w:rsidRPr="00FA2ACE">
              <w:rPr>
                <w:rFonts w:asciiTheme="minorHAnsi" w:hAnsiTheme="minorHAnsi" w:cs="Calibri"/>
                <w:sz w:val="20"/>
                <w:szCs w:val="20"/>
                <w:lang w:val="fr-CA"/>
              </w:rPr>
              <w:t>Ministère de l’Environnement, de l’Économie verte et du Changement Climatique</w:t>
            </w:r>
          </w:p>
        </w:tc>
      </w:tr>
      <w:tr w:rsidR="000D4277" w:rsidRPr="00FA2ACE" w14:paraId="014C9D42" w14:textId="77777777" w:rsidTr="00243B15">
        <w:trPr>
          <w:trHeight w:val="20"/>
          <w:jc w:val="center"/>
        </w:trPr>
        <w:tc>
          <w:tcPr>
            <w:tcW w:w="1203" w:type="dxa"/>
            <w:tcBorders>
              <w:bottom w:val="nil"/>
              <w:right w:val="nil"/>
            </w:tcBorders>
            <w:shd w:val="clear" w:color="auto" w:fill="auto"/>
          </w:tcPr>
          <w:p w14:paraId="1D6B1F69" w14:textId="77777777" w:rsidR="000D4277" w:rsidRPr="00FA2ACE" w:rsidRDefault="000D4277" w:rsidP="00243B15">
            <w:pPr>
              <w:pStyle w:val="Sansinterligne"/>
              <w:rPr>
                <w:rFonts w:asciiTheme="minorHAnsi" w:hAnsiTheme="minorHAnsi"/>
                <w:sz w:val="20"/>
                <w:szCs w:val="20"/>
                <w:lang w:val="en-CA"/>
              </w:rPr>
            </w:pPr>
            <w:r w:rsidRPr="00FA2ACE">
              <w:rPr>
                <w:rFonts w:asciiTheme="minorHAnsi" w:hAnsiTheme="minorHAnsi"/>
                <w:sz w:val="20"/>
                <w:szCs w:val="20"/>
                <w:lang w:val="en-CA"/>
              </w:rPr>
              <w:t>MTAD</w:t>
            </w:r>
          </w:p>
        </w:tc>
        <w:tc>
          <w:tcPr>
            <w:tcW w:w="9395" w:type="dxa"/>
            <w:tcBorders>
              <w:left w:val="nil"/>
              <w:bottom w:val="nil"/>
            </w:tcBorders>
            <w:shd w:val="clear" w:color="auto" w:fill="auto"/>
          </w:tcPr>
          <w:p w14:paraId="31A0CFB2" w14:textId="77777777" w:rsidR="000D4277" w:rsidRPr="00FA2ACE" w:rsidRDefault="000D4277" w:rsidP="00243B15">
            <w:pPr>
              <w:pStyle w:val="Sansinterligne"/>
              <w:rPr>
                <w:rFonts w:asciiTheme="minorHAnsi" w:hAnsiTheme="minorHAnsi" w:cs="Calibri"/>
                <w:sz w:val="20"/>
                <w:szCs w:val="20"/>
              </w:rPr>
            </w:pPr>
            <w:r w:rsidRPr="00FA2ACE">
              <w:rPr>
                <w:rFonts w:asciiTheme="minorHAnsi" w:hAnsiTheme="minorHAnsi" w:cs="Calibri"/>
                <w:sz w:val="20"/>
                <w:szCs w:val="20"/>
              </w:rPr>
              <w:t>Ministry of Territorial Administration and Decentralization</w:t>
            </w:r>
          </w:p>
        </w:tc>
      </w:tr>
      <w:tr w:rsidR="00302BFE" w:rsidRPr="00FA2ACE" w14:paraId="638A9237" w14:textId="77777777" w:rsidTr="00243B15">
        <w:trPr>
          <w:trHeight w:val="20"/>
          <w:jc w:val="center"/>
        </w:trPr>
        <w:tc>
          <w:tcPr>
            <w:tcW w:w="1203" w:type="dxa"/>
            <w:tcBorders>
              <w:bottom w:val="nil"/>
              <w:right w:val="nil"/>
            </w:tcBorders>
            <w:shd w:val="clear" w:color="auto" w:fill="auto"/>
          </w:tcPr>
          <w:p w14:paraId="7339AC4A"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MRV</w:t>
            </w:r>
          </w:p>
        </w:tc>
        <w:tc>
          <w:tcPr>
            <w:tcW w:w="9395" w:type="dxa"/>
            <w:tcBorders>
              <w:left w:val="nil"/>
              <w:bottom w:val="nil"/>
            </w:tcBorders>
            <w:shd w:val="clear" w:color="auto" w:fill="auto"/>
          </w:tcPr>
          <w:p w14:paraId="06937F62"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Measure, reporting, verification</w:t>
            </w:r>
          </w:p>
        </w:tc>
      </w:tr>
      <w:tr w:rsidR="00302BFE" w:rsidRPr="00FA2ACE" w14:paraId="09683AD8" w14:textId="77777777" w:rsidTr="00243B15">
        <w:trPr>
          <w:trHeight w:val="20"/>
          <w:jc w:val="center"/>
        </w:trPr>
        <w:tc>
          <w:tcPr>
            <w:tcW w:w="1203" w:type="dxa"/>
            <w:tcBorders>
              <w:bottom w:val="nil"/>
              <w:right w:val="nil"/>
            </w:tcBorders>
            <w:shd w:val="clear" w:color="auto" w:fill="auto"/>
          </w:tcPr>
          <w:p w14:paraId="561829FC"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NBSAP</w:t>
            </w:r>
          </w:p>
        </w:tc>
        <w:tc>
          <w:tcPr>
            <w:tcW w:w="9395" w:type="dxa"/>
            <w:tcBorders>
              <w:left w:val="nil"/>
              <w:bottom w:val="nil"/>
            </w:tcBorders>
            <w:shd w:val="clear" w:color="auto" w:fill="auto"/>
          </w:tcPr>
          <w:p w14:paraId="780F98DC"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National Biodiversity Strategy and Action Plan</w:t>
            </w:r>
          </w:p>
        </w:tc>
      </w:tr>
      <w:tr w:rsidR="00302BFE" w:rsidRPr="00FA2ACE" w14:paraId="495CCD27" w14:textId="77777777" w:rsidTr="00243B15">
        <w:trPr>
          <w:trHeight w:val="20"/>
          <w:jc w:val="center"/>
        </w:trPr>
        <w:tc>
          <w:tcPr>
            <w:tcW w:w="1203" w:type="dxa"/>
            <w:tcBorders>
              <w:bottom w:val="nil"/>
              <w:right w:val="nil"/>
            </w:tcBorders>
            <w:shd w:val="clear" w:color="auto" w:fill="auto"/>
          </w:tcPr>
          <w:p w14:paraId="7EA61AF3"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NGO</w:t>
            </w:r>
          </w:p>
        </w:tc>
        <w:tc>
          <w:tcPr>
            <w:tcW w:w="9395" w:type="dxa"/>
            <w:tcBorders>
              <w:left w:val="nil"/>
              <w:bottom w:val="nil"/>
            </w:tcBorders>
            <w:shd w:val="clear" w:color="auto" w:fill="auto"/>
          </w:tcPr>
          <w:p w14:paraId="4564DC1B"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Non-Governmental Organisation</w:t>
            </w:r>
          </w:p>
        </w:tc>
      </w:tr>
      <w:tr w:rsidR="00302BFE" w:rsidRPr="00FA2ACE" w14:paraId="16B637AE" w14:textId="77777777" w:rsidTr="00243B15">
        <w:trPr>
          <w:trHeight w:val="20"/>
          <w:jc w:val="center"/>
        </w:trPr>
        <w:tc>
          <w:tcPr>
            <w:tcW w:w="1203" w:type="dxa"/>
            <w:tcBorders>
              <w:bottom w:val="nil"/>
              <w:right w:val="nil"/>
            </w:tcBorders>
            <w:shd w:val="clear" w:color="auto" w:fill="auto"/>
          </w:tcPr>
          <w:p w14:paraId="083726BD"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sz w:val="20"/>
                <w:szCs w:val="20"/>
                <w:lang w:val="en-GB"/>
              </w:rPr>
              <w:t>NP</w:t>
            </w:r>
          </w:p>
        </w:tc>
        <w:tc>
          <w:tcPr>
            <w:tcW w:w="9395" w:type="dxa"/>
            <w:tcBorders>
              <w:left w:val="nil"/>
              <w:bottom w:val="nil"/>
            </w:tcBorders>
            <w:shd w:val="clear" w:color="auto" w:fill="auto"/>
          </w:tcPr>
          <w:p w14:paraId="46D5E4C5"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National Park</w:t>
            </w:r>
          </w:p>
        </w:tc>
      </w:tr>
      <w:tr w:rsidR="00302BFE" w:rsidRPr="00FA2ACE" w14:paraId="1A9B5831" w14:textId="77777777" w:rsidTr="00243B15">
        <w:trPr>
          <w:trHeight w:val="20"/>
          <w:jc w:val="center"/>
        </w:trPr>
        <w:tc>
          <w:tcPr>
            <w:tcW w:w="1203" w:type="dxa"/>
            <w:tcBorders>
              <w:bottom w:val="nil"/>
              <w:right w:val="nil"/>
            </w:tcBorders>
            <w:shd w:val="clear" w:color="auto" w:fill="auto"/>
          </w:tcPr>
          <w:p w14:paraId="6782C714"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NT</w:t>
            </w:r>
          </w:p>
        </w:tc>
        <w:tc>
          <w:tcPr>
            <w:tcW w:w="9395" w:type="dxa"/>
            <w:tcBorders>
              <w:left w:val="nil"/>
              <w:bottom w:val="nil"/>
            </w:tcBorders>
            <w:shd w:val="clear" w:color="auto" w:fill="auto"/>
          </w:tcPr>
          <w:p w14:paraId="1F1C454D" w14:textId="77777777" w:rsidR="00302BFE" w:rsidRPr="00FA2ACE" w:rsidRDefault="00302BFE" w:rsidP="00243B15">
            <w:pPr>
              <w:pStyle w:val="Sansinterligne"/>
              <w:rPr>
                <w:rFonts w:asciiTheme="minorHAnsi" w:hAnsiTheme="minorHAnsi" w:cs="Calibri"/>
                <w:sz w:val="20"/>
                <w:szCs w:val="20"/>
                <w:lang w:val="en-CA"/>
              </w:rPr>
            </w:pPr>
            <w:r w:rsidRPr="00FA2ACE">
              <w:rPr>
                <w:rFonts w:asciiTheme="minorHAnsi" w:hAnsiTheme="minorHAnsi" w:cs="Calibri"/>
                <w:sz w:val="20"/>
                <w:szCs w:val="20"/>
                <w:lang w:val="en-CA"/>
              </w:rPr>
              <w:t>Near Threatened (Status on IUCN Red List)</w:t>
            </w:r>
          </w:p>
        </w:tc>
      </w:tr>
      <w:tr w:rsidR="00302BFE" w:rsidRPr="00FA2ACE" w14:paraId="6A095634" w14:textId="77777777" w:rsidTr="00243B15">
        <w:trPr>
          <w:trHeight w:val="20"/>
          <w:jc w:val="center"/>
        </w:trPr>
        <w:tc>
          <w:tcPr>
            <w:tcW w:w="1203" w:type="dxa"/>
            <w:tcBorders>
              <w:bottom w:val="nil"/>
              <w:right w:val="nil"/>
            </w:tcBorders>
            <w:shd w:val="clear" w:color="auto" w:fill="auto"/>
          </w:tcPr>
          <w:p w14:paraId="549312A3"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sz w:val="20"/>
                <w:szCs w:val="20"/>
                <w:lang w:val="en-GB"/>
              </w:rPr>
              <w:t>NTFP</w:t>
            </w:r>
          </w:p>
        </w:tc>
        <w:tc>
          <w:tcPr>
            <w:tcW w:w="9395" w:type="dxa"/>
            <w:tcBorders>
              <w:left w:val="nil"/>
              <w:bottom w:val="nil"/>
            </w:tcBorders>
            <w:shd w:val="clear" w:color="auto" w:fill="auto"/>
          </w:tcPr>
          <w:p w14:paraId="293ED1F4" w14:textId="77777777" w:rsidR="00302BFE" w:rsidRPr="00FA2ACE" w:rsidRDefault="00302BFE" w:rsidP="00243B15">
            <w:pPr>
              <w:pStyle w:val="Sansinterligne"/>
              <w:rPr>
                <w:rFonts w:asciiTheme="minorHAnsi" w:hAnsiTheme="minorHAnsi" w:cs="Calibri"/>
                <w:sz w:val="20"/>
                <w:szCs w:val="20"/>
                <w:lang w:val="en-CA"/>
              </w:rPr>
            </w:pPr>
            <w:r w:rsidRPr="00FA2ACE">
              <w:rPr>
                <w:rFonts w:asciiTheme="minorHAnsi" w:hAnsiTheme="minorHAnsi"/>
                <w:sz w:val="20"/>
                <w:szCs w:val="20"/>
                <w:lang w:val="en-GB"/>
              </w:rPr>
              <w:t>Non-Timber Forest Products</w:t>
            </w:r>
          </w:p>
        </w:tc>
      </w:tr>
      <w:tr w:rsidR="00302BFE" w:rsidRPr="00FA2ACE" w14:paraId="5B03B58E" w14:textId="77777777" w:rsidTr="00243B15">
        <w:trPr>
          <w:trHeight w:val="20"/>
          <w:jc w:val="center"/>
        </w:trPr>
        <w:tc>
          <w:tcPr>
            <w:tcW w:w="1203" w:type="dxa"/>
            <w:tcBorders>
              <w:bottom w:val="nil"/>
              <w:right w:val="nil"/>
            </w:tcBorders>
            <w:shd w:val="clear" w:color="auto" w:fill="auto"/>
          </w:tcPr>
          <w:p w14:paraId="033CFD8F"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OFINAP</w:t>
            </w:r>
          </w:p>
        </w:tc>
        <w:tc>
          <w:tcPr>
            <w:tcW w:w="9395" w:type="dxa"/>
            <w:tcBorders>
              <w:left w:val="nil"/>
              <w:bottom w:val="nil"/>
            </w:tcBorders>
            <w:shd w:val="clear" w:color="auto" w:fill="auto"/>
          </w:tcPr>
          <w:p w14:paraId="55D8034E" w14:textId="77777777" w:rsidR="00302BFE" w:rsidRPr="00FA2ACE" w:rsidRDefault="00302BFE" w:rsidP="00243B15">
            <w:pPr>
              <w:pStyle w:val="Sansinterligne"/>
              <w:rPr>
                <w:rFonts w:asciiTheme="minorHAnsi" w:hAnsiTheme="minorHAnsi" w:cs="Calibri"/>
                <w:sz w:val="20"/>
                <w:szCs w:val="20"/>
                <w:lang w:val="fr-CA"/>
              </w:rPr>
            </w:pPr>
            <w:r w:rsidRPr="00FA2ACE">
              <w:rPr>
                <w:rFonts w:asciiTheme="minorHAnsi" w:hAnsiTheme="minorHAnsi" w:cs="Calibri"/>
                <w:sz w:val="20"/>
                <w:szCs w:val="20"/>
                <w:lang w:val="fr-CA"/>
              </w:rPr>
              <w:t>National Office of Protected Areas (</w:t>
            </w:r>
            <w:r w:rsidRPr="00FA2ACE">
              <w:rPr>
                <w:rFonts w:asciiTheme="minorHAnsi" w:hAnsiTheme="minorHAnsi" w:cs="Calibri"/>
                <w:i/>
                <w:sz w:val="20"/>
                <w:szCs w:val="20"/>
                <w:lang w:val="fr-CA"/>
              </w:rPr>
              <w:t>Office National des Aires Protégées</w:t>
            </w:r>
            <w:r w:rsidRPr="00FA2ACE">
              <w:rPr>
                <w:rFonts w:asciiTheme="minorHAnsi" w:hAnsiTheme="minorHAnsi" w:cs="Calibri"/>
                <w:sz w:val="20"/>
                <w:szCs w:val="20"/>
                <w:lang w:val="fr-CA"/>
              </w:rPr>
              <w:t>)</w:t>
            </w:r>
          </w:p>
        </w:tc>
      </w:tr>
      <w:tr w:rsidR="00302BFE" w:rsidRPr="0020399E" w14:paraId="26C7BD11" w14:textId="77777777" w:rsidTr="00243B15">
        <w:trPr>
          <w:trHeight w:val="20"/>
          <w:jc w:val="center"/>
        </w:trPr>
        <w:tc>
          <w:tcPr>
            <w:tcW w:w="1203" w:type="dxa"/>
            <w:tcBorders>
              <w:bottom w:val="nil"/>
              <w:right w:val="nil"/>
            </w:tcBorders>
            <w:shd w:val="clear" w:color="auto" w:fill="auto"/>
          </w:tcPr>
          <w:p w14:paraId="385900D9"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ONEDD</w:t>
            </w:r>
          </w:p>
        </w:tc>
        <w:tc>
          <w:tcPr>
            <w:tcW w:w="9395" w:type="dxa"/>
            <w:tcBorders>
              <w:left w:val="nil"/>
              <w:bottom w:val="nil"/>
            </w:tcBorders>
            <w:shd w:val="clear" w:color="auto" w:fill="auto"/>
          </w:tcPr>
          <w:p w14:paraId="49824CC3" w14:textId="77777777" w:rsidR="00302BFE" w:rsidRPr="00FA2ACE" w:rsidRDefault="00302BFE" w:rsidP="00243B15">
            <w:pPr>
              <w:pStyle w:val="Sansinterligne"/>
              <w:rPr>
                <w:rFonts w:asciiTheme="minorHAnsi" w:hAnsiTheme="minorHAnsi" w:cs="Calibri"/>
                <w:sz w:val="20"/>
                <w:szCs w:val="20"/>
                <w:lang w:val="fr-CA"/>
              </w:rPr>
            </w:pPr>
            <w:r w:rsidRPr="00FA2ACE">
              <w:rPr>
                <w:rFonts w:asciiTheme="minorHAnsi" w:hAnsiTheme="minorHAnsi" w:cs="Calibri"/>
                <w:sz w:val="20"/>
                <w:szCs w:val="20"/>
                <w:lang w:val="fr-CA"/>
              </w:rPr>
              <w:t>National Observatory of the Environment and Sustainable Development (</w:t>
            </w:r>
            <w:r w:rsidRPr="00FA2ACE">
              <w:rPr>
                <w:rFonts w:asciiTheme="minorHAnsi" w:hAnsiTheme="minorHAnsi" w:cs="Calibri"/>
                <w:i/>
                <w:sz w:val="20"/>
                <w:szCs w:val="20"/>
                <w:lang w:val="fr-CA"/>
              </w:rPr>
              <w:t>Observatoire National de l’Environnement et du Développement Durable</w:t>
            </w:r>
            <w:r w:rsidRPr="00FA2ACE">
              <w:rPr>
                <w:rFonts w:asciiTheme="minorHAnsi" w:hAnsiTheme="minorHAnsi" w:cs="Calibri"/>
                <w:sz w:val="20"/>
                <w:szCs w:val="20"/>
                <w:lang w:val="fr-CA"/>
              </w:rPr>
              <w:t>)</w:t>
            </w:r>
          </w:p>
        </w:tc>
      </w:tr>
      <w:tr w:rsidR="00302BFE" w:rsidRPr="00FA2ACE" w14:paraId="3331BBEE" w14:textId="77777777" w:rsidTr="00243B15">
        <w:trPr>
          <w:trHeight w:val="20"/>
          <w:jc w:val="center"/>
        </w:trPr>
        <w:tc>
          <w:tcPr>
            <w:tcW w:w="1203" w:type="dxa"/>
            <w:tcBorders>
              <w:bottom w:val="nil"/>
              <w:right w:val="nil"/>
            </w:tcBorders>
            <w:shd w:val="clear" w:color="auto" w:fill="auto"/>
          </w:tcPr>
          <w:p w14:paraId="57AD020D" w14:textId="77777777" w:rsidR="00302BFE" w:rsidRPr="00FA2ACE" w:rsidRDefault="00302BFE" w:rsidP="00243B15">
            <w:pPr>
              <w:pStyle w:val="Sansinterligne"/>
              <w:rPr>
                <w:rFonts w:asciiTheme="minorHAnsi" w:hAnsiTheme="minorHAnsi" w:cs="Calibri"/>
                <w:sz w:val="20"/>
                <w:szCs w:val="20"/>
                <w:lang w:val="fr-CA"/>
              </w:rPr>
            </w:pPr>
            <w:r w:rsidRPr="00FA2ACE">
              <w:rPr>
                <w:rFonts w:asciiTheme="minorHAnsi" w:hAnsiTheme="minorHAnsi" w:cs="Calibri"/>
                <w:sz w:val="20"/>
                <w:szCs w:val="20"/>
                <w:lang w:val="fr-CA"/>
              </w:rPr>
              <w:t>ORGIIS</w:t>
            </w:r>
          </w:p>
        </w:tc>
        <w:tc>
          <w:tcPr>
            <w:tcW w:w="9395" w:type="dxa"/>
            <w:tcBorders>
              <w:left w:val="nil"/>
              <w:bottom w:val="nil"/>
            </w:tcBorders>
            <w:shd w:val="clear" w:color="auto" w:fill="auto"/>
          </w:tcPr>
          <w:p w14:paraId="23349480" w14:textId="77777777" w:rsidR="00302BFE" w:rsidRPr="00FA2ACE" w:rsidRDefault="00302BFE" w:rsidP="00243B15">
            <w:pPr>
              <w:pStyle w:val="Sansinterligne"/>
              <w:rPr>
                <w:rFonts w:asciiTheme="minorHAnsi" w:hAnsiTheme="minorHAnsi" w:cs="Calibri"/>
                <w:sz w:val="20"/>
                <w:szCs w:val="20"/>
                <w:lang w:val="en-CA"/>
              </w:rPr>
            </w:pPr>
            <w:r w:rsidRPr="00FA2ACE">
              <w:rPr>
                <w:rFonts w:asciiTheme="minorHAnsi" w:hAnsiTheme="minorHAnsi" w:cs="Calibri"/>
                <w:sz w:val="20"/>
                <w:szCs w:val="20"/>
                <w:lang w:val="en-CA"/>
              </w:rPr>
              <w:t>Organization for Indigenous Initiatives and Sustainability</w:t>
            </w:r>
          </w:p>
        </w:tc>
      </w:tr>
      <w:tr w:rsidR="00302BFE" w:rsidRPr="00FA2ACE" w14:paraId="6B3694E4" w14:textId="77777777" w:rsidTr="00243B15">
        <w:trPr>
          <w:trHeight w:val="20"/>
          <w:jc w:val="center"/>
        </w:trPr>
        <w:tc>
          <w:tcPr>
            <w:tcW w:w="1203" w:type="dxa"/>
            <w:tcBorders>
              <w:bottom w:val="nil"/>
              <w:right w:val="nil"/>
            </w:tcBorders>
            <w:shd w:val="clear" w:color="auto" w:fill="auto"/>
          </w:tcPr>
          <w:p w14:paraId="1603739A"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sz w:val="20"/>
                <w:szCs w:val="20"/>
                <w:lang w:val="en-GB"/>
              </w:rPr>
              <w:t>PA</w:t>
            </w:r>
          </w:p>
        </w:tc>
        <w:tc>
          <w:tcPr>
            <w:tcW w:w="9395" w:type="dxa"/>
            <w:tcBorders>
              <w:left w:val="nil"/>
              <w:bottom w:val="nil"/>
            </w:tcBorders>
            <w:shd w:val="clear" w:color="auto" w:fill="auto"/>
          </w:tcPr>
          <w:p w14:paraId="1D76A221" w14:textId="77777777" w:rsidR="00302BFE" w:rsidRPr="00FA2ACE" w:rsidRDefault="00302BFE" w:rsidP="00243B15">
            <w:pPr>
              <w:pStyle w:val="Sansinterligne"/>
              <w:rPr>
                <w:rFonts w:asciiTheme="minorHAnsi" w:hAnsiTheme="minorHAnsi" w:cs="Calibri"/>
                <w:sz w:val="20"/>
                <w:szCs w:val="20"/>
                <w:lang w:val="fr-CA"/>
              </w:rPr>
            </w:pPr>
            <w:r w:rsidRPr="00FA2ACE">
              <w:rPr>
                <w:rFonts w:asciiTheme="minorHAnsi" w:hAnsiTheme="minorHAnsi"/>
                <w:sz w:val="20"/>
                <w:szCs w:val="20"/>
                <w:lang w:val="en-GB"/>
              </w:rPr>
              <w:t>Protected area</w:t>
            </w:r>
          </w:p>
        </w:tc>
      </w:tr>
      <w:tr w:rsidR="00302BFE" w:rsidRPr="00FA2ACE" w14:paraId="54294AEA" w14:textId="77777777" w:rsidTr="00243B15">
        <w:trPr>
          <w:trHeight w:val="20"/>
          <w:jc w:val="center"/>
        </w:trPr>
        <w:tc>
          <w:tcPr>
            <w:tcW w:w="1203" w:type="dxa"/>
            <w:tcBorders>
              <w:bottom w:val="nil"/>
              <w:right w:val="nil"/>
            </w:tcBorders>
            <w:shd w:val="clear" w:color="auto" w:fill="auto"/>
          </w:tcPr>
          <w:p w14:paraId="27FAE4EB" w14:textId="77777777" w:rsidR="00302BFE" w:rsidRPr="00FA2ACE" w:rsidRDefault="00302BFE" w:rsidP="00243B15">
            <w:pPr>
              <w:pStyle w:val="Sansinterligne"/>
              <w:rPr>
                <w:rFonts w:asciiTheme="minorHAnsi" w:hAnsiTheme="minorHAnsi"/>
                <w:sz w:val="20"/>
                <w:szCs w:val="20"/>
                <w:lang w:val="en-GB"/>
              </w:rPr>
            </w:pPr>
            <w:r w:rsidRPr="00FA2ACE">
              <w:rPr>
                <w:rFonts w:asciiTheme="minorHAnsi" w:hAnsiTheme="minorHAnsi" w:cs="Calibri"/>
                <w:sz w:val="20"/>
                <w:szCs w:val="20"/>
                <w:lang w:val="fr-CA"/>
              </w:rPr>
              <w:t>PCU</w:t>
            </w:r>
          </w:p>
        </w:tc>
        <w:tc>
          <w:tcPr>
            <w:tcW w:w="9395" w:type="dxa"/>
            <w:tcBorders>
              <w:left w:val="nil"/>
              <w:bottom w:val="nil"/>
            </w:tcBorders>
            <w:shd w:val="clear" w:color="auto" w:fill="auto"/>
          </w:tcPr>
          <w:p w14:paraId="5F2CC909" w14:textId="77777777" w:rsidR="00302BFE" w:rsidRPr="00FA2ACE" w:rsidRDefault="00302BFE" w:rsidP="00243B15">
            <w:pPr>
              <w:pStyle w:val="Sansinterligne"/>
              <w:rPr>
                <w:rFonts w:asciiTheme="minorHAnsi" w:hAnsiTheme="minorHAnsi"/>
                <w:sz w:val="20"/>
                <w:szCs w:val="20"/>
                <w:lang w:val="en-GB"/>
              </w:rPr>
            </w:pPr>
            <w:r w:rsidRPr="00FA2ACE">
              <w:rPr>
                <w:rFonts w:asciiTheme="minorHAnsi" w:hAnsiTheme="minorHAnsi" w:cs="Calibri"/>
                <w:sz w:val="20"/>
                <w:szCs w:val="20"/>
                <w:lang w:val="fr-CA"/>
              </w:rPr>
              <w:t>Project Coordination Unit</w:t>
            </w:r>
          </w:p>
        </w:tc>
      </w:tr>
      <w:tr w:rsidR="00302BFE" w:rsidRPr="0020399E" w14:paraId="79B7D70A" w14:textId="77777777" w:rsidTr="00243B15">
        <w:trPr>
          <w:trHeight w:val="20"/>
          <w:jc w:val="center"/>
        </w:trPr>
        <w:tc>
          <w:tcPr>
            <w:tcW w:w="1203" w:type="dxa"/>
            <w:tcBorders>
              <w:bottom w:val="nil"/>
              <w:right w:val="nil"/>
            </w:tcBorders>
            <w:shd w:val="clear" w:color="auto" w:fill="auto"/>
          </w:tcPr>
          <w:p w14:paraId="4F2BDB62"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NAP</w:t>
            </w:r>
          </w:p>
        </w:tc>
        <w:tc>
          <w:tcPr>
            <w:tcW w:w="9395" w:type="dxa"/>
            <w:tcBorders>
              <w:left w:val="nil"/>
              <w:bottom w:val="nil"/>
            </w:tcBorders>
            <w:shd w:val="clear" w:color="auto" w:fill="auto"/>
          </w:tcPr>
          <w:p w14:paraId="608C196A" w14:textId="77777777" w:rsidR="00302BFE" w:rsidRPr="00FA2ACE" w:rsidRDefault="00302BFE" w:rsidP="00243B15">
            <w:pPr>
              <w:pStyle w:val="Sansinterligne"/>
              <w:rPr>
                <w:rFonts w:asciiTheme="minorHAnsi" w:hAnsiTheme="minorHAnsi" w:cs="Calibri"/>
                <w:sz w:val="20"/>
                <w:szCs w:val="20"/>
                <w:lang w:val="fr-CA"/>
              </w:rPr>
            </w:pPr>
            <w:r w:rsidRPr="00FA2ACE">
              <w:rPr>
                <w:rFonts w:asciiTheme="minorHAnsi" w:hAnsiTheme="minorHAnsi" w:cs="Calibri"/>
                <w:sz w:val="20"/>
                <w:szCs w:val="20"/>
                <w:lang w:val="fr-CA"/>
              </w:rPr>
              <w:t>National Action Plan to Combat Desertification (</w:t>
            </w:r>
            <w:r w:rsidRPr="00FA2ACE">
              <w:rPr>
                <w:rFonts w:asciiTheme="minorHAnsi" w:hAnsiTheme="minorHAnsi" w:cs="Calibri"/>
                <w:i/>
                <w:sz w:val="20"/>
                <w:szCs w:val="20"/>
                <w:lang w:val="fr-CA"/>
              </w:rPr>
              <w:t>Plan d’Action National de Lutte Contre la Désertification</w:t>
            </w:r>
            <w:r w:rsidRPr="00FA2ACE">
              <w:rPr>
                <w:rFonts w:asciiTheme="minorHAnsi" w:hAnsiTheme="minorHAnsi" w:cs="Calibri"/>
                <w:sz w:val="20"/>
                <w:szCs w:val="20"/>
                <w:lang w:val="fr-CA"/>
              </w:rPr>
              <w:t>)</w:t>
            </w:r>
          </w:p>
        </w:tc>
      </w:tr>
      <w:tr w:rsidR="00690F56" w:rsidRPr="00FA2ACE" w14:paraId="135B7FE9" w14:textId="77777777" w:rsidTr="00243B15">
        <w:trPr>
          <w:trHeight w:val="20"/>
          <w:jc w:val="center"/>
        </w:trPr>
        <w:tc>
          <w:tcPr>
            <w:tcW w:w="1203" w:type="dxa"/>
            <w:tcBorders>
              <w:bottom w:val="nil"/>
              <w:right w:val="nil"/>
            </w:tcBorders>
            <w:shd w:val="clear" w:color="auto" w:fill="auto"/>
          </w:tcPr>
          <w:p w14:paraId="71158DC0" w14:textId="390DF81D" w:rsidR="00690F56" w:rsidRPr="00FA2ACE" w:rsidRDefault="00690F56" w:rsidP="00243B15">
            <w:pPr>
              <w:pStyle w:val="Sansinterligne"/>
              <w:rPr>
                <w:rFonts w:asciiTheme="minorHAnsi" w:hAnsiTheme="minorHAnsi" w:cs="Calibri"/>
                <w:sz w:val="20"/>
                <w:szCs w:val="20"/>
              </w:rPr>
            </w:pPr>
            <w:r w:rsidRPr="00FA2ACE">
              <w:rPr>
                <w:rFonts w:asciiTheme="minorHAnsi" w:hAnsiTheme="minorHAnsi" w:cs="Calibri"/>
                <w:sz w:val="20"/>
                <w:szCs w:val="20"/>
              </w:rPr>
              <w:t>NBSAP</w:t>
            </w:r>
          </w:p>
        </w:tc>
        <w:tc>
          <w:tcPr>
            <w:tcW w:w="9395" w:type="dxa"/>
            <w:tcBorders>
              <w:left w:val="nil"/>
              <w:bottom w:val="nil"/>
            </w:tcBorders>
            <w:shd w:val="clear" w:color="auto" w:fill="auto"/>
          </w:tcPr>
          <w:p w14:paraId="62EC03D2" w14:textId="42223E9F" w:rsidR="00690F56" w:rsidRPr="00FA2ACE" w:rsidRDefault="00690F56" w:rsidP="00243B15">
            <w:pPr>
              <w:pStyle w:val="Sansinterligne"/>
              <w:rPr>
                <w:rFonts w:asciiTheme="minorHAnsi" w:hAnsiTheme="minorHAnsi" w:cs="Calibri"/>
                <w:sz w:val="20"/>
                <w:szCs w:val="20"/>
                <w:lang w:val="en-CA"/>
              </w:rPr>
            </w:pPr>
            <w:r w:rsidRPr="00FA2ACE">
              <w:rPr>
                <w:rFonts w:asciiTheme="minorHAnsi" w:hAnsiTheme="minorHAnsi" w:cs="Calibri"/>
                <w:sz w:val="20"/>
                <w:szCs w:val="20"/>
                <w:lang w:val="en-CA"/>
              </w:rPr>
              <w:t>National Biodiversity Strategy and Action Plan</w:t>
            </w:r>
          </w:p>
        </w:tc>
      </w:tr>
      <w:tr w:rsidR="00302BFE" w:rsidRPr="00FA2ACE" w14:paraId="055A697E" w14:textId="77777777" w:rsidTr="00243B15">
        <w:trPr>
          <w:trHeight w:val="20"/>
          <w:jc w:val="center"/>
        </w:trPr>
        <w:tc>
          <w:tcPr>
            <w:tcW w:w="1203" w:type="dxa"/>
            <w:tcBorders>
              <w:bottom w:val="nil"/>
              <w:right w:val="nil"/>
            </w:tcBorders>
            <w:shd w:val="clear" w:color="auto" w:fill="auto"/>
          </w:tcPr>
          <w:p w14:paraId="1CC18B2D" w14:textId="77777777" w:rsidR="00302BFE" w:rsidRPr="00FA2ACE" w:rsidRDefault="00302BFE" w:rsidP="00243B15">
            <w:pPr>
              <w:spacing w:after="0"/>
              <w:rPr>
                <w:rFonts w:asciiTheme="minorHAnsi" w:hAnsiTheme="minorHAnsi"/>
                <w:szCs w:val="20"/>
              </w:rPr>
            </w:pPr>
            <w:r w:rsidRPr="00FA2ACE">
              <w:rPr>
                <w:rFonts w:asciiTheme="minorHAnsi" w:hAnsiTheme="minorHAnsi"/>
                <w:szCs w:val="20"/>
              </w:rPr>
              <w:t>PIF</w:t>
            </w:r>
          </w:p>
        </w:tc>
        <w:tc>
          <w:tcPr>
            <w:tcW w:w="9395" w:type="dxa"/>
            <w:tcBorders>
              <w:left w:val="nil"/>
              <w:bottom w:val="nil"/>
            </w:tcBorders>
            <w:shd w:val="clear" w:color="auto" w:fill="auto"/>
          </w:tcPr>
          <w:p w14:paraId="48051098" w14:textId="77777777" w:rsidR="00302BFE" w:rsidRPr="00FA2ACE" w:rsidRDefault="00302BFE" w:rsidP="00243B15">
            <w:pPr>
              <w:spacing w:after="0"/>
              <w:rPr>
                <w:rFonts w:asciiTheme="minorHAnsi" w:hAnsiTheme="minorHAnsi"/>
                <w:szCs w:val="20"/>
              </w:rPr>
            </w:pPr>
            <w:r w:rsidRPr="00FA2ACE">
              <w:rPr>
                <w:rFonts w:asciiTheme="minorHAnsi" w:hAnsiTheme="minorHAnsi"/>
                <w:szCs w:val="20"/>
              </w:rPr>
              <w:t>Project Identification Form</w:t>
            </w:r>
          </w:p>
        </w:tc>
      </w:tr>
      <w:tr w:rsidR="00302BFE" w:rsidRPr="00FA2ACE" w14:paraId="2F86846A" w14:textId="77777777" w:rsidTr="00243B15">
        <w:trPr>
          <w:trHeight w:val="20"/>
          <w:jc w:val="center"/>
        </w:trPr>
        <w:tc>
          <w:tcPr>
            <w:tcW w:w="1203" w:type="dxa"/>
            <w:tcBorders>
              <w:bottom w:val="nil"/>
              <w:right w:val="nil"/>
            </w:tcBorders>
            <w:shd w:val="clear" w:color="auto" w:fill="auto"/>
          </w:tcPr>
          <w:p w14:paraId="788DCB2E"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PIMS</w:t>
            </w:r>
          </w:p>
        </w:tc>
        <w:tc>
          <w:tcPr>
            <w:tcW w:w="9395" w:type="dxa"/>
            <w:tcBorders>
              <w:left w:val="nil"/>
              <w:bottom w:val="nil"/>
            </w:tcBorders>
            <w:shd w:val="clear" w:color="auto" w:fill="auto"/>
          </w:tcPr>
          <w:p w14:paraId="72B89DB1"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Project Information Management System</w:t>
            </w:r>
          </w:p>
        </w:tc>
      </w:tr>
      <w:tr w:rsidR="00302BFE" w:rsidRPr="00FA2ACE" w14:paraId="3D65DD00" w14:textId="77777777" w:rsidTr="00243B15">
        <w:trPr>
          <w:trHeight w:val="20"/>
          <w:jc w:val="center"/>
        </w:trPr>
        <w:tc>
          <w:tcPr>
            <w:tcW w:w="1203" w:type="dxa"/>
            <w:tcBorders>
              <w:bottom w:val="nil"/>
              <w:right w:val="nil"/>
            </w:tcBorders>
            <w:shd w:val="clear" w:color="auto" w:fill="auto"/>
          </w:tcPr>
          <w:p w14:paraId="5692ACC0"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PIR</w:t>
            </w:r>
          </w:p>
        </w:tc>
        <w:tc>
          <w:tcPr>
            <w:tcW w:w="9395" w:type="dxa"/>
            <w:tcBorders>
              <w:left w:val="nil"/>
              <w:bottom w:val="nil"/>
            </w:tcBorders>
            <w:shd w:val="clear" w:color="auto" w:fill="auto"/>
          </w:tcPr>
          <w:p w14:paraId="53FA1E36" w14:textId="77777777" w:rsidR="00302BFE" w:rsidRPr="00FA2ACE" w:rsidRDefault="00302BFE" w:rsidP="00243B15">
            <w:pPr>
              <w:pStyle w:val="Sansinterligne"/>
              <w:rPr>
                <w:rFonts w:asciiTheme="minorHAnsi" w:hAnsiTheme="minorHAnsi" w:cs="Calibri"/>
                <w:sz w:val="20"/>
                <w:szCs w:val="20"/>
                <w:lang w:val="fr-CA"/>
              </w:rPr>
            </w:pPr>
            <w:r w:rsidRPr="00FA2ACE">
              <w:rPr>
                <w:rFonts w:asciiTheme="minorHAnsi" w:hAnsiTheme="minorHAnsi" w:cs="Calibri"/>
                <w:sz w:val="20"/>
                <w:szCs w:val="20"/>
                <w:lang w:val="fr-CA"/>
              </w:rPr>
              <w:t>Project Implementation Report</w:t>
            </w:r>
          </w:p>
        </w:tc>
      </w:tr>
      <w:tr w:rsidR="00302BFE" w:rsidRPr="0020399E" w14:paraId="1EFC07E4" w14:textId="77777777" w:rsidTr="00243B15">
        <w:trPr>
          <w:trHeight w:val="20"/>
          <w:jc w:val="center"/>
        </w:trPr>
        <w:tc>
          <w:tcPr>
            <w:tcW w:w="1203" w:type="dxa"/>
            <w:tcBorders>
              <w:bottom w:val="nil"/>
              <w:right w:val="nil"/>
            </w:tcBorders>
            <w:shd w:val="clear" w:color="auto" w:fill="auto"/>
          </w:tcPr>
          <w:p w14:paraId="07DC2B9C"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PNGT</w:t>
            </w:r>
          </w:p>
        </w:tc>
        <w:tc>
          <w:tcPr>
            <w:tcW w:w="9395" w:type="dxa"/>
            <w:tcBorders>
              <w:left w:val="nil"/>
              <w:bottom w:val="nil"/>
            </w:tcBorders>
            <w:shd w:val="clear" w:color="auto" w:fill="auto"/>
          </w:tcPr>
          <w:p w14:paraId="2481B4A6" w14:textId="77777777" w:rsidR="00302BFE" w:rsidRPr="00FA2ACE" w:rsidRDefault="00302BFE" w:rsidP="00243B15">
            <w:pPr>
              <w:pStyle w:val="Sansinterligne"/>
              <w:rPr>
                <w:rFonts w:asciiTheme="minorHAnsi" w:hAnsiTheme="minorHAnsi" w:cs="Calibri"/>
                <w:sz w:val="20"/>
                <w:szCs w:val="20"/>
                <w:lang w:val="fr-CA"/>
              </w:rPr>
            </w:pPr>
            <w:r w:rsidRPr="00FA2ACE">
              <w:rPr>
                <w:rFonts w:asciiTheme="minorHAnsi" w:hAnsiTheme="minorHAnsi" w:cs="Calibri"/>
                <w:sz w:val="20"/>
                <w:szCs w:val="20"/>
                <w:lang w:val="fr-CA"/>
              </w:rPr>
              <w:t>National Program of Terroir Management (</w:t>
            </w:r>
            <w:r w:rsidRPr="00FA2ACE">
              <w:rPr>
                <w:rFonts w:asciiTheme="minorHAnsi" w:hAnsiTheme="minorHAnsi" w:cs="Calibri"/>
                <w:i/>
                <w:sz w:val="20"/>
                <w:szCs w:val="20"/>
                <w:lang w:val="fr-CA"/>
              </w:rPr>
              <w:t>Programme National de Gestion des Terroirs</w:t>
            </w:r>
            <w:r w:rsidRPr="00FA2ACE">
              <w:rPr>
                <w:rFonts w:asciiTheme="minorHAnsi" w:hAnsiTheme="minorHAnsi" w:cs="Calibri"/>
                <w:sz w:val="20"/>
                <w:szCs w:val="20"/>
                <w:lang w:val="fr-CA"/>
              </w:rPr>
              <w:t>)</w:t>
            </w:r>
          </w:p>
        </w:tc>
      </w:tr>
      <w:tr w:rsidR="00302BFE" w:rsidRPr="00FA2ACE" w14:paraId="299CAE1A" w14:textId="77777777" w:rsidTr="00243B15">
        <w:trPr>
          <w:trHeight w:val="20"/>
          <w:jc w:val="center"/>
        </w:trPr>
        <w:tc>
          <w:tcPr>
            <w:tcW w:w="1203" w:type="dxa"/>
            <w:tcBorders>
              <w:bottom w:val="nil"/>
              <w:right w:val="nil"/>
            </w:tcBorders>
            <w:shd w:val="clear" w:color="auto" w:fill="auto"/>
          </w:tcPr>
          <w:p w14:paraId="45C78986" w14:textId="77777777" w:rsidR="00302BFE" w:rsidRPr="00FA2ACE" w:rsidRDefault="00302BFE" w:rsidP="00243B15">
            <w:pPr>
              <w:pStyle w:val="Sansinterligne"/>
              <w:rPr>
                <w:rFonts w:asciiTheme="minorHAnsi" w:hAnsiTheme="minorHAnsi" w:cs="Calibri"/>
                <w:sz w:val="20"/>
                <w:szCs w:val="20"/>
                <w:lang w:val="fr-CA"/>
              </w:rPr>
            </w:pPr>
            <w:r w:rsidRPr="00FA2ACE">
              <w:rPr>
                <w:rFonts w:asciiTheme="minorHAnsi" w:hAnsiTheme="minorHAnsi"/>
                <w:sz w:val="20"/>
                <w:szCs w:val="20"/>
                <w:lang w:val="en-CA"/>
              </w:rPr>
              <w:t>PNKT</w:t>
            </w:r>
          </w:p>
        </w:tc>
        <w:tc>
          <w:tcPr>
            <w:tcW w:w="9395" w:type="dxa"/>
            <w:tcBorders>
              <w:left w:val="nil"/>
              <w:bottom w:val="nil"/>
            </w:tcBorders>
            <w:shd w:val="clear" w:color="auto" w:fill="auto"/>
          </w:tcPr>
          <w:p w14:paraId="12F3AF67" w14:textId="77777777" w:rsidR="00302BFE" w:rsidRPr="00FA2ACE" w:rsidRDefault="00302BFE" w:rsidP="00243B15">
            <w:pPr>
              <w:pStyle w:val="Sansinterligne"/>
              <w:rPr>
                <w:rFonts w:asciiTheme="minorHAnsi" w:hAnsiTheme="minorHAnsi" w:cs="Calibri"/>
                <w:sz w:val="20"/>
                <w:szCs w:val="20"/>
                <w:lang w:val="fr-CA"/>
              </w:rPr>
            </w:pPr>
            <w:r w:rsidRPr="00FA2ACE">
              <w:rPr>
                <w:rFonts w:asciiTheme="minorHAnsi" w:hAnsiTheme="minorHAnsi" w:cs="Calibri"/>
                <w:sz w:val="20"/>
                <w:szCs w:val="20"/>
                <w:lang w:val="en-CA"/>
              </w:rPr>
              <w:t>Kaboré-Tambi National Park</w:t>
            </w:r>
          </w:p>
        </w:tc>
      </w:tr>
      <w:tr w:rsidR="00302BFE" w:rsidRPr="00FA2ACE" w14:paraId="65161C0F" w14:textId="77777777" w:rsidTr="00243B15">
        <w:trPr>
          <w:trHeight w:val="20"/>
          <w:jc w:val="center"/>
        </w:trPr>
        <w:tc>
          <w:tcPr>
            <w:tcW w:w="1203" w:type="dxa"/>
            <w:tcBorders>
              <w:bottom w:val="nil"/>
              <w:right w:val="nil"/>
            </w:tcBorders>
            <w:shd w:val="clear" w:color="auto" w:fill="auto"/>
          </w:tcPr>
          <w:p w14:paraId="7ACFF14F"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POPP</w:t>
            </w:r>
          </w:p>
        </w:tc>
        <w:tc>
          <w:tcPr>
            <w:tcW w:w="9395" w:type="dxa"/>
            <w:tcBorders>
              <w:left w:val="nil"/>
              <w:bottom w:val="nil"/>
            </w:tcBorders>
            <w:shd w:val="clear" w:color="auto" w:fill="auto"/>
          </w:tcPr>
          <w:p w14:paraId="16696A0C"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Programme and Operations Policies and Procedures</w:t>
            </w:r>
          </w:p>
        </w:tc>
      </w:tr>
      <w:tr w:rsidR="00302BFE" w:rsidRPr="00FA2ACE" w14:paraId="0EC21BC0" w14:textId="77777777" w:rsidTr="00243B15">
        <w:trPr>
          <w:trHeight w:val="20"/>
          <w:jc w:val="center"/>
        </w:trPr>
        <w:tc>
          <w:tcPr>
            <w:tcW w:w="1203" w:type="dxa"/>
            <w:tcBorders>
              <w:bottom w:val="nil"/>
              <w:right w:val="nil"/>
            </w:tcBorders>
            <w:shd w:val="clear" w:color="auto" w:fill="auto"/>
          </w:tcPr>
          <w:p w14:paraId="1C3F5327"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PPG</w:t>
            </w:r>
          </w:p>
        </w:tc>
        <w:tc>
          <w:tcPr>
            <w:tcW w:w="9395" w:type="dxa"/>
            <w:tcBorders>
              <w:left w:val="nil"/>
              <w:bottom w:val="nil"/>
            </w:tcBorders>
            <w:shd w:val="clear" w:color="auto" w:fill="auto"/>
          </w:tcPr>
          <w:p w14:paraId="4465C1A1" w14:textId="77777777" w:rsidR="00302BFE" w:rsidRPr="00FA2ACE" w:rsidRDefault="00302BFE" w:rsidP="00243B15">
            <w:pPr>
              <w:pStyle w:val="Sansinterligne"/>
              <w:rPr>
                <w:rFonts w:asciiTheme="minorHAnsi" w:hAnsiTheme="minorHAnsi" w:cs="Calibri"/>
                <w:sz w:val="20"/>
                <w:szCs w:val="20"/>
                <w:lang w:val="fr-CA"/>
              </w:rPr>
            </w:pPr>
            <w:r w:rsidRPr="00FA2ACE">
              <w:rPr>
                <w:rFonts w:asciiTheme="minorHAnsi" w:hAnsiTheme="minorHAnsi" w:cs="Calibri"/>
                <w:sz w:val="20"/>
                <w:szCs w:val="20"/>
                <w:lang w:val="fr-CA"/>
              </w:rPr>
              <w:t>Project Preparation Grant</w:t>
            </w:r>
          </w:p>
        </w:tc>
      </w:tr>
      <w:tr w:rsidR="00302BFE" w:rsidRPr="00FA2ACE" w14:paraId="2F03CC35" w14:textId="77777777" w:rsidTr="00243B15">
        <w:trPr>
          <w:trHeight w:val="20"/>
          <w:jc w:val="center"/>
        </w:trPr>
        <w:tc>
          <w:tcPr>
            <w:tcW w:w="1203" w:type="dxa"/>
            <w:tcBorders>
              <w:bottom w:val="nil"/>
              <w:right w:val="nil"/>
            </w:tcBorders>
            <w:shd w:val="clear" w:color="auto" w:fill="auto"/>
          </w:tcPr>
          <w:p w14:paraId="47AF5B8F" w14:textId="77777777" w:rsidR="00302BFE" w:rsidRPr="00FA2ACE" w:rsidRDefault="00302BFE" w:rsidP="00243B15">
            <w:pPr>
              <w:pStyle w:val="Sansinterligne"/>
              <w:rPr>
                <w:rStyle w:val="A4"/>
                <w:rFonts w:asciiTheme="minorHAnsi" w:hAnsiTheme="minorHAnsi" w:cs="Calibri"/>
                <w:color w:val="auto"/>
              </w:rPr>
            </w:pPr>
            <w:r w:rsidRPr="00FA2ACE">
              <w:rPr>
                <w:rStyle w:val="A4"/>
                <w:rFonts w:asciiTheme="minorHAnsi" w:hAnsiTheme="minorHAnsi" w:cs="Calibri"/>
                <w:color w:val="auto"/>
              </w:rPr>
              <w:t>REDD</w:t>
            </w:r>
          </w:p>
        </w:tc>
        <w:tc>
          <w:tcPr>
            <w:tcW w:w="9395" w:type="dxa"/>
            <w:tcBorders>
              <w:left w:val="nil"/>
              <w:bottom w:val="nil"/>
            </w:tcBorders>
            <w:shd w:val="clear" w:color="auto" w:fill="auto"/>
          </w:tcPr>
          <w:p w14:paraId="2D584961" w14:textId="77777777" w:rsidR="00302BFE" w:rsidRPr="00FA2ACE" w:rsidRDefault="00302BFE" w:rsidP="00243B15">
            <w:pPr>
              <w:pStyle w:val="Sansinterligne"/>
              <w:rPr>
                <w:rFonts w:asciiTheme="minorHAnsi" w:hAnsiTheme="minorHAnsi" w:cs="Calibri"/>
                <w:sz w:val="20"/>
                <w:szCs w:val="20"/>
                <w:lang w:val="en-CA"/>
              </w:rPr>
            </w:pPr>
            <w:r w:rsidRPr="00FA2ACE">
              <w:rPr>
                <w:rStyle w:val="A4"/>
                <w:rFonts w:asciiTheme="minorHAnsi" w:hAnsiTheme="minorHAnsi" w:cs="Calibri"/>
                <w:color w:val="auto"/>
              </w:rPr>
              <w:t>Reducing Emissions from Deforestation and forest Degradation</w:t>
            </w:r>
          </w:p>
        </w:tc>
      </w:tr>
      <w:tr w:rsidR="00302BFE" w:rsidRPr="00FA2ACE" w14:paraId="3C27D890" w14:textId="77777777" w:rsidTr="00243B15">
        <w:trPr>
          <w:trHeight w:val="20"/>
          <w:jc w:val="center"/>
        </w:trPr>
        <w:tc>
          <w:tcPr>
            <w:tcW w:w="1203" w:type="dxa"/>
            <w:tcBorders>
              <w:bottom w:val="nil"/>
              <w:right w:val="nil"/>
            </w:tcBorders>
            <w:shd w:val="clear" w:color="auto" w:fill="auto"/>
          </w:tcPr>
          <w:p w14:paraId="3FBDC90C" w14:textId="77777777" w:rsidR="00302BFE" w:rsidRPr="00FA2ACE" w:rsidRDefault="00302BFE" w:rsidP="00243B15">
            <w:pPr>
              <w:pStyle w:val="Sansinterligne"/>
              <w:rPr>
                <w:rFonts w:asciiTheme="minorHAnsi" w:hAnsiTheme="minorHAnsi" w:cs="Calibri"/>
                <w:sz w:val="20"/>
                <w:szCs w:val="20"/>
              </w:rPr>
            </w:pPr>
            <w:r w:rsidRPr="00FA2ACE">
              <w:rPr>
                <w:rStyle w:val="A4"/>
                <w:rFonts w:asciiTheme="minorHAnsi" w:hAnsiTheme="minorHAnsi" w:cs="Calibri"/>
                <w:color w:val="auto"/>
              </w:rPr>
              <w:t>REP</w:t>
            </w:r>
          </w:p>
        </w:tc>
        <w:tc>
          <w:tcPr>
            <w:tcW w:w="9395" w:type="dxa"/>
            <w:tcBorders>
              <w:left w:val="nil"/>
              <w:bottom w:val="nil"/>
            </w:tcBorders>
            <w:shd w:val="clear" w:color="auto" w:fill="auto"/>
          </w:tcPr>
          <w:p w14:paraId="6ED6A93F" w14:textId="77777777" w:rsidR="00302BFE" w:rsidRPr="00FA2ACE" w:rsidRDefault="00302BFE" w:rsidP="00243B15">
            <w:pPr>
              <w:pStyle w:val="Sansinterligne"/>
              <w:rPr>
                <w:rFonts w:asciiTheme="minorHAnsi" w:hAnsiTheme="minorHAnsi" w:cs="Calibri"/>
                <w:sz w:val="20"/>
                <w:szCs w:val="20"/>
              </w:rPr>
            </w:pPr>
            <w:r w:rsidRPr="00FA2ACE">
              <w:rPr>
                <w:rStyle w:val="A4"/>
                <w:rFonts w:asciiTheme="minorHAnsi" w:hAnsiTheme="minorHAnsi" w:cs="Calibri"/>
                <w:color w:val="auto"/>
              </w:rPr>
              <w:t>Ruvuma Elephant Project</w:t>
            </w:r>
          </w:p>
        </w:tc>
      </w:tr>
      <w:tr w:rsidR="00F03A01" w:rsidRPr="00FA2ACE" w14:paraId="5922E8E0" w14:textId="77777777" w:rsidTr="00243B15">
        <w:trPr>
          <w:trHeight w:val="20"/>
          <w:jc w:val="center"/>
        </w:trPr>
        <w:tc>
          <w:tcPr>
            <w:tcW w:w="1203" w:type="dxa"/>
            <w:tcBorders>
              <w:bottom w:val="nil"/>
              <w:right w:val="nil"/>
            </w:tcBorders>
            <w:shd w:val="clear" w:color="auto" w:fill="auto"/>
          </w:tcPr>
          <w:p w14:paraId="0D205956" w14:textId="3A9815EE" w:rsidR="00F03A01" w:rsidRPr="00FA2ACE" w:rsidRDefault="00F03A01" w:rsidP="00243B15">
            <w:pPr>
              <w:pStyle w:val="Sansinterligne"/>
              <w:rPr>
                <w:rStyle w:val="A4"/>
                <w:rFonts w:asciiTheme="minorHAnsi" w:hAnsiTheme="minorHAnsi" w:cs="Calibri"/>
                <w:color w:val="auto"/>
              </w:rPr>
            </w:pPr>
            <w:r w:rsidRPr="00FA2ACE">
              <w:rPr>
                <w:rStyle w:val="A4"/>
                <w:rFonts w:asciiTheme="minorHAnsi" w:hAnsiTheme="minorHAnsi" w:cs="Calibri"/>
                <w:color w:val="auto"/>
              </w:rPr>
              <w:t>R</w:t>
            </w:r>
            <w:r w:rsidRPr="00FA2ACE">
              <w:rPr>
                <w:rStyle w:val="A4"/>
                <w:rFonts w:asciiTheme="minorHAnsi" w:hAnsiTheme="minorHAnsi" w:cs="Calibri"/>
              </w:rPr>
              <w:t>GN</w:t>
            </w:r>
          </w:p>
        </w:tc>
        <w:tc>
          <w:tcPr>
            <w:tcW w:w="9395" w:type="dxa"/>
            <w:tcBorders>
              <w:left w:val="nil"/>
              <w:bottom w:val="nil"/>
            </w:tcBorders>
            <w:shd w:val="clear" w:color="auto" w:fill="auto"/>
          </w:tcPr>
          <w:p w14:paraId="2D0FFB28" w14:textId="778E2512" w:rsidR="00F03A01" w:rsidRPr="00FA2ACE" w:rsidRDefault="00F03A01" w:rsidP="00243B15">
            <w:pPr>
              <w:pStyle w:val="Sansinterligne"/>
              <w:rPr>
                <w:rStyle w:val="A4"/>
                <w:rFonts w:asciiTheme="minorHAnsi" w:hAnsiTheme="minorHAnsi" w:cs="Calibri"/>
                <w:color w:val="auto"/>
              </w:rPr>
            </w:pPr>
            <w:r w:rsidRPr="00FA2ACE">
              <w:rPr>
                <w:rFonts w:asciiTheme="minorHAnsi" w:hAnsiTheme="minorHAnsi" w:cs="Calibri"/>
                <w:sz w:val="20"/>
                <w:szCs w:val="20"/>
              </w:rPr>
              <w:t>Nazinga Game Ranch</w:t>
            </w:r>
          </w:p>
        </w:tc>
      </w:tr>
      <w:tr w:rsidR="00FA2ACE" w:rsidRPr="00FA2ACE" w14:paraId="06844841" w14:textId="77777777" w:rsidTr="00243B15">
        <w:trPr>
          <w:trHeight w:val="20"/>
          <w:jc w:val="center"/>
        </w:trPr>
        <w:tc>
          <w:tcPr>
            <w:tcW w:w="1203" w:type="dxa"/>
            <w:tcBorders>
              <w:bottom w:val="nil"/>
              <w:right w:val="nil"/>
            </w:tcBorders>
            <w:shd w:val="clear" w:color="auto" w:fill="auto"/>
          </w:tcPr>
          <w:p w14:paraId="760B9CD2" w14:textId="41C7339F" w:rsidR="00C97C6D" w:rsidRDefault="00C97C6D" w:rsidP="00243B15">
            <w:pPr>
              <w:pStyle w:val="Sansinterligne"/>
              <w:rPr>
                <w:rFonts w:asciiTheme="minorHAnsi" w:hAnsiTheme="minorHAnsi"/>
                <w:sz w:val="20"/>
                <w:szCs w:val="20"/>
                <w:lang w:val="en-GB"/>
              </w:rPr>
            </w:pPr>
            <w:r>
              <w:rPr>
                <w:rFonts w:asciiTheme="minorHAnsi" w:hAnsiTheme="minorHAnsi"/>
                <w:sz w:val="20"/>
                <w:szCs w:val="20"/>
                <w:lang w:val="en-GB"/>
              </w:rPr>
              <w:t>SESA</w:t>
            </w:r>
          </w:p>
          <w:p w14:paraId="0CF4BCBD" w14:textId="71A8DBF8" w:rsidR="00B77270" w:rsidRDefault="0074142F" w:rsidP="00243B15">
            <w:pPr>
              <w:pStyle w:val="Sansinterligne"/>
              <w:rPr>
                <w:rFonts w:asciiTheme="minorHAnsi" w:hAnsiTheme="minorHAnsi"/>
                <w:sz w:val="20"/>
                <w:szCs w:val="20"/>
                <w:lang w:val="en-GB"/>
              </w:rPr>
            </w:pPr>
            <w:r>
              <w:rPr>
                <w:rFonts w:asciiTheme="minorHAnsi" w:hAnsiTheme="minorHAnsi"/>
                <w:sz w:val="20"/>
                <w:szCs w:val="20"/>
                <w:lang w:val="en-GB"/>
              </w:rPr>
              <w:t>SEP</w:t>
            </w:r>
          </w:p>
          <w:p w14:paraId="34992DA6" w14:textId="1B1197AE" w:rsidR="00FA2ACE" w:rsidRPr="00FA2ACE" w:rsidRDefault="00FA2ACE" w:rsidP="00243B15">
            <w:pPr>
              <w:pStyle w:val="Sansinterligne"/>
              <w:rPr>
                <w:rStyle w:val="A4"/>
                <w:rFonts w:asciiTheme="minorHAnsi" w:hAnsiTheme="minorHAnsi" w:cs="Calibri"/>
                <w:color w:val="auto"/>
              </w:rPr>
            </w:pPr>
            <w:r w:rsidRPr="00FA2ACE">
              <w:rPr>
                <w:rFonts w:asciiTheme="minorHAnsi" w:hAnsiTheme="minorHAnsi"/>
                <w:sz w:val="20"/>
                <w:szCs w:val="20"/>
                <w:lang w:val="en-GB"/>
              </w:rPr>
              <w:t>SES</w:t>
            </w:r>
          </w:p>
        </w:tc>
        <w:tc>
          <w:tcPr>
            <w:tcW w:w="9395" w:type="dxa"/>
            <w:tcBorders>
              <w:left w:val="nil"/>
              <w:bottom w:val="nil"/>
            </w:tcBorders>
            <w:shd w:val="clear" w:color="auto" w:fill="auto"/>
          </w:tcPr>
          <w:p w14:paraId="2A3BC040" w14:textId="03EC010A" w:rsidR="00C97C6D" w:rsidRDefault="00C97C6D" w:rsidP="00243B15">
            <w:pPr>
              <w:pStyle w:val="Sansinterligne"/>
              <w:rPr>
                <w:rFonts w:asciiTheme="minorHAnsi" w:hAnsiTheme="minorHAnsi"/>
                <w:sz w:val="20"/>
                <w:szCs w:val="20"/>
              </w:rPr>
            </w:pPr>
            <w:r w:rsidRPr="00C97C6D">
              <w:rPr>
                <w:rFonts w:asciiTheme="minorHAnsi" w:hAnsiTheme="minorHAnsi"/>
                <w:sz w:val="20"/>
                <w:szCs w:val="20"/>
              </w:rPr>
              <w:t>Strategic Social and Environmental Assessment</w:t>
            </w:r>
          </w:p>
          <w:p w14:paraId="30E1C298" w14:textId="1214277E" w:rsidR="00B77270" w:rsidRDefault="00B77270" w:rsidP="00243B15">
            <w:pPr>
              <w:pStyle w:val="Sansinterligne"/>
              <w:rPr>
                <w:rFonts w:asciiTheme="minorHAnsi" w:hAnsiTheme="minorHAnsi"/>
                <w:sz w:val="20"/>
                <w:szCs w:val="20"/>
              </w:rPr>
            </w:pPr>
            <w:r>
              <w:rPr>
                <w:rFonts w:asciiTheme="minorHAnsi" w:hAnsiTheme="minorHAnsi"/>
                <w:sz w:val="20"/>
                <w:szCs w:val="20"/>
              </w:rPr>
              <w:t>Stakeholder Engagement Plan</w:t>
            </w:r>
          </w:p>
          <w:p w14:paraId="737910BE" w14:textId="23F95FED" w:rsidR="00FA2ACE" w:rsidRPr="00FA2ACE" w:rsidRDefault="00FA2ACE" w:rsidP="00243B15">
            <w:pPr>
              <w:pStyle w:val="Sansinterligne"/>
              <w:rPr>
                <w:rFonts w:asciiTheme="minorHAnsi" w:hAnsiTheme="minorHAnsi" w:cs="Calibri"/>
                <w:sz w:val="20"/>
                <w:szCs w:val="20"/>
              </w:rPr>
            </w:pPr>
            <w:r w:rsidRPr="00FA2ACE">
              <w:rPr>
                <w:rFonts w:asciiTheme="minorHAnsi" w:hAnsiTheme="minorHAnsi"/>
                <w:sz w:val="20"/>
                <w:szCs w:val="20"/>
              </w:rPr>
              <w:t>UNDP’s Social and Environmental Standards</w:t>
            </w:r>
          </w:p>
        </w:tc>
      </w:tr>
      <w:tr w:rsidR="00302BFE" w:rsidRPr="00FA2ACE" w14:paraId="1801B8BE" w14:textId="77777777" w:rsidTr="00243B15">
        <w:trPr>
          <w:trHeight w:val="20"/>
          <w:jc w:val="center"/>
        </w:trPr>
        <w:tc>
          <w:tcPr>
            <w:tcW w:w="1203" w:type="dxa"/>
            <w:tcBorders>
              <w:bottom w:val="nil"/>
              <w:right w:val="nil"/>
            </w:tcBorders>
            <w:shd w:val="clear" w:color="auto" w:fill="auto"/>
          </w:tcPr>
          <w:p w14:paraId="257975B7" w14:textId="77777777" w:rsidR="00B77270" w:rsidRDefault="00B77270" w:rsidP="00243B15">
            <w:pPr>
              <w:pStyle w:val="Sansinterligne"/>
              <w:rPr>
                <w:rFonts w:asciiTheme="minorHAnsi" w:hAnsiTheme="minorHAnsi"/>
                <w:sz w:val="20"/>
                <w:szCs w:val="20"/>
                <w:lang w:val="en-GB"/>
              </w:rPr>
            </w:pPr>
            <w:r>
              <w:rPr>
                <w:rFonts w:asciiTheme="minorHAnsi" w:hAnsiTheme="minorHAnsi"/>
                <w:sz w:val="20"/>
                <w:szCs w:val="20"/>
                <w:lang w:val="en-GB"/>
              </w:rPr>
              <w:t>SESP</w:t>
            </w:r>
          </w:p>
          <w:p w14:paraId="5FABDDC2" w14:textId="6A7BABC4"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sz w:val="20"/>
                <w:szCs w:val="20"/>
                <w:lang w:val="en-GB"/>
              </w:rPr>
              <w:t>SLM</w:t>
            </w:r>
          </w:p>
        </w:tc>
        <w:tc>
          <w:tcPr>
            <w:tcW w:w="9395" w:type="dxa"/>
            <w:tcBorders>
              <w:left w:val="nil"/>
              <w:bottom w:val="nil"/>
            </w:tcBorders>
            <w:shd w:val="clear" w:color="auto" w:fill="auto"/>
          </w:tcPr>
          <w:p w14:paraId="543B9936" w14:textId="6681C28D" w:rsidR="00B77270" w:rsidRDefault="00B77270" w:rsidP="00243B15">
            <w:pPr>
              <w:pStyle w:val="Sansinterligne"/>
              <w:rPr>
                <w:rFonts w:asciiTheme="minorHAnsi" w:hAnsiTheme="minorHAnsi" w:cs="Calibri"/>
                <w:sz w:val="20"/>
                <w:szCs w:val="20"/>
              </w:rPr>
            </w:pPr>
            <w:r>
              <w:rPr>
                <w:rFonts w:asciiTheme="minorHAnsi" w:hAnsiTheme="minorHAnsi" w:cs="Calibri"/>
                <w:sz w:val="20"/>
                <w:szCs w:val="20"/>
              </w:rPr>
              <w:t>Social and Environmental Screening Procedure</w:t>
            </w:r>
          </w:p>
          <w:p w14:paraId="5F674653" w14:textId="3FA5BC75"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Sustainable Land Management</w:t>
            </w:r>
          </w:p>
        </w:tc>
      </w:tr>
      <w:tr w:rsidR="00FA2ACE" w:rsidRPr="00FA2ACE" w14:paraId="608EFF42" w14:textId="77777777" w:rsidTr="00243B15">
        <w:trPr>
          <w:trHeight w:val="20"/>
          <w:jc w:val="center"/>
        </w:trPr>
        <w:tc>
          <w:tcPr>
            <w:tcW w:w="1203" w:type="dxa"/>
            <w:tcBorders>
              <w:bottom w:val="nil"/>
              <w:right w:val="nil"/>
            </w:tcBorders>
            <w:shd w:val="clear" w:color="auto" w:fill="auto"/>
          </w:tcPr>
          <w:p w14:paraId="425AAE34" w14:textId="137740BD" w:rsidR="00FA2ACE" w:rsidRPr="00FA2ACE" w:rsidRDefault="00FA2ACE" w:rsidP="00243B15">
            <w:pPr>
              <w:pStyle w:val="Sansinterligne"/>
              <w:rPr>
                <w:rFonts w:asciiTheme="minorHAnsi" w:hAnsiTheme="minorHAnsi"/>
                <w:sz w:val="20"/>
                <w:szCs w:val="20"/>
                <w:lang w:val="en-GB"/>
              </w:rPr>
            </w:pPr>
            <w:r w:rsidRPr="00FA2ACE">
              <w:rPr>
                <w:rFonts w:asciiTheme="minorHAnsi" w:hAnsiTheme="minorHAnsi"/>
                <w:sz w:val="20"/>
                <w:szCs w:val="20"/>
                <w:lang w:val="en-GB"/>
              </w:rPr>
              <w:t>SMART</w:t>
            </w:r>
          </w:p>
        </w:tc>
        <w:tc>
          <w:tcPr>
            <w:tcW w:w="9395" w:type="dxa"/>
            <w:tcBorders>
              <w:left w:val="nil"/>
              <w:bottom w:val="nil"/>
            </w:tcBorders>
            <w:shd w:val="clear" w:color="auto" w:fill="auto"/>
          </w:tcPr>
          <w:p w14:paraId="2BD9E0BA" w14:textId="17DCFDEE" w:rsidR="00FA2ACE" w:rsidRPr="00FA2ACE" w:rsidRDefault="00FA2ACE" w:rsidP="00243B15">
            <w:pPr>
              <w:pStyle w:val="Sansinterligne"/>
              <w:rPr>
                <w:rFonts w:asciiTheme="minorHAnsi" w:hAnsiTheme="minorHAnsi" w:cs="Calibri"/>
                <w:sz w:val="20"/>
                <w:szCs w:val="20"/>
              </w:rPr>
            </w:pPr>
            <w:r w:rsidRPr="00FA2ACE">
              <w:rPr>
                <w:rFonts w:asciiTheme="minorHAnsi" w:hAnsiTheme="minorHAnsi"/>
                <w:sz w:val="20"/>
                <w:szCs w:val="20"/>
                <w:lang w:val="en-CA"/>
              </w:rPr>
              <w:t>Spatial Monitoring and Reporting Tool</w:t>
            </w:r>
          </w:p>
        </w:tc>
      </w:tr>
      <w:tr w:rsidR="00FA2ACE" w:rsidRPr="00FA2ACE" w14:paraId="37D8B5E4" w14:textId="77777777" w:rsidTr="00243B15">
        <w:trPr>
          <w:trHeight w:val="20"/>
          <w:jc w:val="center"/>
        </w:trPr>
        <w:tc>
          <w:tcPr>
            <w:tcW w:w="1203" w:type="dxa"/>
            <w:tcBorders>
              <w:bottom w:val="nil"/>
              <w:right w:val="nil"/>
            </w:tcBorders>
            <w:shd w:val="clear" w:color="auto" w:fill="auto"/>
          </w:tcPr>
          <w:p w14:paraId="7D21D215" w14:textId="3339F70D" w:rsidR="00FA2ACE" w:rsidRPr="00FA2ACE" w:rsidRDefault="00FA2ACE" w:rsidP="00243B15">
            <w:pPr>
              <w:pStyle w:val="Sansinterligne"/>
              <w:rPr>
                <w:rFonts w:asciiTheme="minorHAnsi" w:hAnsiTheme="minorHAnsi"/>
                <w:sz w:val="20"/>
                <w:szCs w:val="20"/>
                <w:lang w:val="en-GB"/>
              </w:rPr>
            </w:pPr>
            <w:r w:rsidRPr="00FA2ACE">
              <w:rPr>
                <w:rFonts w:asciiTheme="minorHAnsi" w:hAnsiTheme="minorHAnsi"/>
                <w:sz w:val="20"/>
                <w:szCs w:val="20"/>
                <w:lang w:val="en-GB"/>
              </w:rPr>
              <w:t>SRM</w:t>
            </w:r>
          </w:p>
        </w:tc>
        <w:tc>
          <w:tcPr>
            <w:tcW w:w="9395" w:type="dxa"/>
            <w:tcBorders>
              <w:left w:val="nil"/>
              <w:bottom w:val="nil"/>
            </w:tcBorders>
            <w:shd w:val="clear" w:color="auto" w:fill="auto"/>
          </w:tcPr>
          <w:p w14:paraId="158559F4" w14:textId="19CB60E2" w:rsidR="00FA2ACE" w:rsidRPr="00FA2ACE" w:rsidRDefault="00FA2ACE" w:rsidP="00243B15">
            <w:pPr>
              <w:pStyle w:val="Sansinterligne"/>
              <w:rPr>
                <w:rFonts w:asciiTheme="minorHAnsi" w:hAnsiTheme="minorHAnsi" w:cs="Calibri"/>
                <w:sz w:val="20"/>
                <w:szCs w:val="20"/>
              </w:rPr>
            </w:pPr>
            <w:r w:rsidRPr="00FA2ACE">
              <w:rPr>
                <w:rFonts w:asciiTheme="minorHAnsi" w:hAnsiTheme="minorHAnsi"/>
                <w:sz w:val="20"/>
                <w:szCs w:val="20"/>
                <w:lang w:val="en-GB"/>
              </w:rPr>
              <w:t>Stakeholder Response Mechanism</w:t>
            </w:r>
          </w:p>
        </w:tc>
      </w:tr>
      <w:tr w:rsidR="00302BFE" w:rsidRPr="00FA2ACE" w14:paraId="55496596" w14:textId="77777777" w:rsidTr="00243B15">
        <w:trPr>
          <w:trHeight w:val="20"/>
          <w:jc w:val="center"/>
        </w:trPr>
        <w:tc>
          <w:tcPr>
            <w:tcW w:w="1203" w:type="dxa"/>
            <w:tcBorders>
              <w:bottom w:val="nil"/>
              <w:right w:val="nil"/>
            </w:tcBorders>
            <w:shd w:val="clear" w:color="auto" w:fill="auto"/>
          </w:tcPr>
          <w:p w14:paraId="15191BA8" w14:textId="77777777" w:rsidR="00302BFE" w:rsidRPr="00FA2ACE" w:rsidRDefault="00302BFE" w:rsidP="00243B15">
            <w:pPr>
              <w:spacing w:after="0"/>
              <w:rPr>
                <w:rFonts w:asciiTheme="minorHAnsi" w:hAnsiTheme="minorHAnsi"/>
                <w:szCs w:val="20"/>
              </w:rPr>
            </w:pPr>
            <w:r w:rsidRPr="00FA2ACE">
              <w:rPr>
                <w:rFonts w:asciiTheme="minorHAnsi" w:hAnsiTheme="minorHAnsi"/>
                <w:szCs w:val="20"/>
              </w:rPr>
              <w:t>STAP</w:t>
            </w:r>
          </w:p>
        </w:tc>
        <w:tc>
          <w:tcPr>
            <w:tcW w:w="9395" w:type="dxa"/>
            <w:tcBorders>
              <w:left w:val="nil"/>
              <w:bottom w:val="nil"/>
            </w:tcBorders>
            <w:shd w:val="clear" w:color="auto" w:fill="auto"/>
          </w:tcPr>
          <w:p w14:paraId="7F46AC35" w14:textId="77777777" w:rsidR="00302BFE" w:rsidRPr="00FA2ACE" w:rsidRDefault="00302BFE" w:rsidP="00243B15">
            <w:pPr>
              <w:spacing w:after="0"/>
              <w:rPr>
                <w:rFonts w:asciiTheme="minorHAnsi" w:hAnsiTheme="minorHAnsi"/>
                <w:szCs w:val="20"/>
              </w:rPr>
            </w:pPr>
            <w:r w:rsidRPr="00FA2ACE">
              <w:rPr>
                <w:rFonts w:asciiTheme="minorHAnsi" w:hAnsiTheme="minorHAnsi"/>
                <w:szCs w:val="20"/>
              </w:rPr>
              <w:t>GEF Scientific Technical Advisory Panel</w:t>
            </w:r>
          </w:p>
        </w:tc>
      </w:tr>
      <w:tr w:rsidR="00302BFE" w:rsidRPr="00FA2ACE" w14:paraId="13CEB587" w14:textId="77777777" w:rsidTr="00243B15">
        <w:trPr>
          <w:trHeight w:val="20"/>
          <w:jc w:val="center"/>
        </w:trPr>
        <w:tc>
          <w:tcPr>
            <w:tcW w:w="1203" w:type="dxa"/>
            <w:tcBorders>
              <w:bottom w:val="nil"/>
              <w:right w:val="nil"/>
            </w:tcBorders>
            <w:shd w:val="clear" w:color="auto" w:fill="auto"/>
          </w:tcPr>
          <w:p w14:paraId="7BCB20E7"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TRAC</w:t>
            </w:r>
          </w:p>
        </w:tc>
        <w:tc>
          <w:tcPr>
            <w:tcW w:w="9395" w:type="dxa"/>
            <w:tcBorders>
              <w:left w:val="nil"/>
              <w:bottom w:val="nil"/>
            </w:tcBorders>
            <w:shd w:val="clear" w:color="auto" w:fill="auto"/>
          </w:tcPr>
          <w:p w14:paraId="3ABA2FF6"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Transparent Resource Assignment from the Core (UNDP)</w:t>
            </w:r>
          </w:p>
        </w:tc>
      </w:tr>
      <w:tr w:rsidR="00302BFE" w:rsidRPr="0020399E" w14:paraId="5E991EBF" w14:textId="77777777" w:rsidTr="00243B15">
        <w:trPr>
          <w:trHeight w:val="20"/>
          <w:jc w:val="center"/>
        </w:trPr>
        <w:tc>
          <w:tcPr>
            <w:tcW w:w="1203" w:type="dxa"/>
            <w:tcBorders>
              <w:bottom w:val="nil"/>
              <w:right w:val="nil"/>
            </w:tcBorders>
            <w:shd w:val="clear" w:color="auto" w:fill="auto"/>
          </w:tcPr>
          <w:p w14:paraId="7C16C89E"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UCF</w:t>
            </w:r>
          </w:p>
        </w:tc>
        <w:tc>
          <w:tcPr>
            <w:tcW w:w="9395" w:type="dxa"/>
            <w:tcBorders>
              <w:left w:val="nil"/>
              <w:bottom w:val="nil"/>
            </w:tcBorders>
            <w:shd w:val="clear" w:color="auto" w:fill="auto"/>
          </w:tcPr>
          <w:p w14:paraId="111B47AB" w14:textId="77777777" w:rsidR="00302BFE" w:rsidRPr="00FA2ACE" w:rsidRDefault="00302BFE" w:rsidP="00243B15">
            <w:pPr>
              <w:pStyle w:val="Sansinterligne"/>
              <w:rPr>
                <w:rFonts w:asciiTheme="minorHAnsi" w:hAnsiTheme="minorHAnsi" w:cs="Calibri"/>
                <w:sz w:val="20"/>
                <w:szCs w:val="20"/>
                <w:lang w:val="fr-CA"/>
              </w:rPr>
            </w:pPr>
            <w:r w:rsidRPr="00FA2ACE">
              <w:rPr>
                <w:rFonts w:asciiTheme="minorHAnsi" w:hAnsiTheme="minorHAnsi" w:cs="Calibri"/>
                <w:sz w:val="20"/>
                <w:szCs w:val="20"/>
                <w:lang w:val="fr-CA"/>
              </w:rPr>
              <w:t>Wildlife Conservation Units (</w:t>
            </w:r>
            <w:r w:rsidRPr="00FA2ACE">
              <w:rPr>
                <w:rFonts w:asciiTheme="minorHAnsi" w:hAnsiTheme="minorHAnsi" w:cs="Calibri"/>
                <w:i/>
                <w:sz w:val="20"/>
                <w:szCs w:val="20"/>
                <w:lang w:val="fr-CA"/>
              </w:rPr>
              <w:t>Unités de Conservation de la Faune</w:t>
            </w:r>
            <w:r w:rsidRPr="00FA2ACE">
              <w:rPr>
                <w:rFonts w:asciiTheme="minorHAnsi" w:hAnsiTheme="minorHAnsi" w:cs="Calibri"/>
                <w:sz w:val="20"/>
                <w:szCs w:val="20"/>
                <w:lang w:val="fr-CA"/>
              </w:rPr>
              <w:t>)</w:t>
            </w:r>
          </w:p>
        </w:tc>
      </w:tr>
      <w:tr w:rsidR="00302BFE" w:rsidRPr="00FA2ACE" w14:paraId="39C5FCFF" w14:textId="77777777" w:rsidTr="00243B15">
        <w:trPr>
          <w:trHeight w:val="20"/>
          <w:jc w:val="center"/>
        </w:trPr>
        <w:tc>
          <w:tcPr>
            <w:tcW w:w="1203" w:type="dxa"/>
            <w:tcBorders>
              <w:bottom w:val="nil"/>
              <w:right w:val="nil"/>
            </w:tcBorders>
            <w:shd w:val="clear" w:color="auto" w:fill="auto"/>
          </w:tcPr>
          <w:p w14:paraId="333D64FF" w14:textId="77777777" w:rsidR="00302BFE" w:rsidRPr="00FA2ACE" w:rsidRDefault="00302BFE" w:rsidP="00243B15">
            <w:pPr>
              <w:pStyle w:val="Sansinterligne"/>
              <w:rPr>
                <w:rFonts w:asciiTheme="minorHAnsi" w:hAnsiTheme="minorHAnsi" w:cs="Calibri"/>
                <w:sz w:val="20"/>
                <w:szCs w:val="20"/>
                <w:lang w:val="fr-CA"/>
              </w:rPr>
            </w:pPr>
            <w:r w:rsidRPr="00FA2ACE">
              <w:rPr>
                <w:rFonts w:asciiTheme="minorHAnsi" w:hAnsiTheme="minorHAnsi" w:cs="Calibri"/>
                <w:sz w:val="20"/>
                <w:szCs w:val="20"/>
                <w:lang w:val="fr-CA"/>
              </w:rPr>
              <w:t>UGGF</w:t>
            </w:r>
          </w:p>
        </w:tc>
        <w:tc>
          <w:tcPr>
            <w:tcW w:w="9395" w:type="dxa"/>
            <w:tcBorders>
              <w:left w:val="nil"/>
              <w:bottom w:val="nil"/>
            </w:tcBorders>
            <w:shd w:val="clear" w:color="auto" w:fill="auto"/>
          </w:tcPr>
          <w:p w14:paraId="55585BC8" w14:textId="77777777" w:rsidR="00302BFE" w:rsidRPr="00FA2ACE" w:rsidRDefault="00302BFE" w:rsidP="00243B15">
            <w:pPr>
              <w:pStyle w:val="Sansinterligne"/>
              <w:rPr>
                <w:rFonts w:asciiTheme="minorHAnsi" w:hAnsiTheme="minorHAnsi" w:cs="Calibri"/>
                <w:sz w:val="20"/>
                <w:szCs w:val="20"/>
                <w:lang w:val="fr-CA"/>
              </w:rPr>
            </w:pPr>
            <w:r w:rsidRPr="00FA2ACE">
              <w:rPr>
                <w:rFonts w:asciiTheme="minorHAnsi" w:hAnsiTheme="minorHAnsi" w:cs="Calibri"/>
                <w:sz w:val="20"/>
                <w:szCs w:val="20"/>
                <w:lang w:val="fr-CA"/>
              </w:rPr>
              <w:t>Union of Forest Management Groups (</w:t>
            </w:r>
            <w:r w:rsidRPr="00FA2ACE">
              <w:rPr>
                <w:rFonts w:asciiTheme="minorHAnsi" w:hAnsiTheme="minorHAnsi" w:cs="Calibri"/>
                <w:i/>
                <w:sz w:val="20"/>
                <w:szCs w:val="20"/>
                <w:lang w:val="fr-CA"/>
              </w:rPr>
              <w:t>Union des Groupements de gestion forestière</w:t>
            </w:r>
            <w:r w:rsidRPr="00FA2ACE">
              <w:rPr>
                <w:rFonts w:asciiTheme="minorHAnsi" w:hAnsiTheme="minorHAnsi" w:cs="Calibri"/>
                <w:sz w:val="20"/>
                <w:szCs w:val="20"/>
                <w:lang w:val="fr-CA"/>
              </w:rPr>
              <w:t>)</w:t>
            </w:r>
          </w:p>
        </w:tc>
      </w:tr>
      <w:tr w:rsidR="00302BFE" w:rsidRPr="00FA2ACE" w14:paraId="1949D580" w14:textId="77777777" w:rsidTr="00243B15">
        <w:trPr>
          <w:trHeight w:val="20"/>
          <w:jc w:val="center"/>
        </w:trPr>
        <w:tc>
          <w:tcPr>
            <w:tcW w:w="1203" w:type="dxa"/>
            <w:tcBorders>
              <w:bottom w:val="nil"/>
              <w:right w:val="nil"/>
            </w:tcBorders>
            <w:shd w:val="clear" w:color="auto" w:fill="auto"/>
          </w:tcPr>
          <w:p w14:paraId="7B878758"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UNDP</w:t>
            </w:r>
          </w:p>
        </w:tc>
        <w:tc>
          <w:tcPr>
            <w:tcW w:w="9395" w:type="dxa"/>
            <w:tcBorders>
              <w:left w:val="nil"/>
              <w:bottom w:val="nil"/>
            </w:tcBorders>
            <w:shd w:val="clear" w:color="auto" w:fill="auto"/>
          </w:tcPr>
          <w:p w14:paraId="19602A77" w14:textId="77777777" w:rsidR="00302BFE" w:rsidRPr="00FA2ACE" w:rsidRDefault="00302BFE" w:rsidP="00243B15">
            <w:pPr>
              <w:pStyle w:val="Sansinterligne"/>
              <w:rPr>
                <w:rFonts w:asciiTheme="minorHAnsi" w:hAnsiTheme="minorHAnsi" w:cs="Calibri"/>
                <w:sz w:val="20"/>
                <w:szCs w:val="20"/>
                <w:lang w:val="fr-CA"/>
              </w:rPr>
            </w:pPr>
            <w:r w:rsidRPr="00FA2ACE">
              <w:rPr>
                <w:rFonts w:asciiTheme="minorHAnsi" w:hAnsiTheme="minorHAnsi" w:cs="Calibri"/>
                <w:sz w:val="20"/>
                <w:szCs w:val="20"/>
                <w:lang w:val="fr-CA"/>
              </w:rPr>
              <w:t>United Nations Development Program</w:t>
            </w:r>
          </w:p>
        </w:tc>
      </w:tr>
      <w:tr w:rsidR="00302BFE" w:rsidRPr="00FA2ACE" w14:paraId="6517B655" w14:textId="77777777" w:rsidTr="00243B15">
        <w:trPr>
          <w:trHeight w:val="20"/>
          <w:jc w:val="center"/>
        </w:trPr>
        <w:tc>
          <w:tcPr>
            <w:tcW w:w="1203" w:type="dxa"/>
            <w:tcBorders>
              <w:bottom w:val="nil"/>
              <w:right w:val="nil"/>
            </w:tcBorders>
            <w:shd w:val="clear" w:color="auto" w:fill="auto"/>
          </w:tcPr>
          <w:p w14:paraId="409040CE"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UNDP-GEF</w:t>
            </w:r>
          </w:p>
        </w:tc>
        <w:tc>
          <w:tcPr>
            <w:tcW w:w="9395" w:type="dxa"/>
            <w:tcBorders>
              <w:left w:val="nil"/>
              <w:bottom w:val="nil"/>
            </w:tcBorders>
            <w:shd w:val="clear" w:color="auto" w:fill="auto"/>
          </w:tcPr>
          <w:p w14:paraId="7912E63D"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UNDP Global Environmental Finance Unit</w:t>
            </w:r>
          </w:p>
        </w:tc>
      </w:tr>
      <w:tr w:rsidR="00302BFE" w:rsidRPr="00FA2ACE" w14:paraId="606FFA29" w14:textId="77777777" w:rsidTr="00243B15">
        <w:trPr>
          <w:trHeight w:val="20"/>
          <w:jc w:val="center"/>
        </w:trPr>
        <w:tc>
          <w:tcPr>
            <w:tcW w:w="1203" w:type="dxa"/>
            <w:tcBorders>
              <w:bottom w:val="nil"/>
              <w:right w:val="nil"/>
            </w:tcBorders>
            <w:shd w:val="clear" w:color="auto" w:fill="auto"/>
          </w:tcPr>
          <w:p w14:paraId="59BAC49A"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VU</w:t>
            </w:r>
          </w:p>
        </w:tc>
        <w:tc>
          <w:tcPr>
            <w:tcW w:w="9395" w:type="dxa"/>
            <w:tcBorders>
              <w:left w:val="nil"/>
              <w:bottom w:val="nil"/>
            </w:tcBorders>
            <w:shd w:val="clear" w:color="auto" w:fill="auto"/>
          </w:tcPr>
          <w:p w14:paraId="6D152D19" w14:textId="77777777" w:rsidR="00302BFE" w:rsidRPr="00FA2ACE" w:rsidRDefault="00302BFE" w:rsidP="00243B15">
            <w:pPr>
              <w:pStyle w:val="Sansinterligne"/>
              <w:rPr>
                <w:rFonts w:asciiTheme="minorHAnsi" w:hAnsiTheme="minorHAnsi" w:cs="Calibri"/>
                <w:sz w:val="20"/>
                <w:szCs w:val="20"/>
                <w:lang w:val="en-CA"/>
              </w:rPr>
            </w:pPr>
            <w:r w:rsidRPr="00FA2ACE">
              <w:rPr>
                <w:rFonts w:asciiTheme="minorHAnsi" w:hAnsiTheme="minorHAnsi" w:cs="Calibri"/>
                <w:sz w:val="20"/>
                <w:szCs w:val="20"/>
                <w:lang w:val="en-CA"/>
              </w:rPr>
              <w:t>Vulnerable (Status in IUCN Red List)</w:t>
            </w:r>
          </w:p>
        </w:tc>
      </w:tr>
      <w:tr w:rsidR="00302BFE" w:rsidRPr="00FA2ACE" w14:paraId="7BF23567" w14:textId="77777777" w:rsidTr="00243B15">
        <w:trPr>
          <w:trHeight w:val="20"/>
          <w:jc w:val="center"/>
        </w:trPr>
        <w:tc>
          <w:tcPr>
            <w:tcW w:w="1203" w:type="dxa"/>
            <w:tcBorders>
              <w:bottom w:val="nil"/>
              <w:right w:val="nil"/>
            </w:tcBorders>
            <w:shd w:val="clear" w:color="auto" w:fill="auto"/>
          </w:tcPr>
          <w:p w14:paraId="42DCEE41"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sz w:val="20"/>
                <w:szCs w:val="20"/>
                <w:lang w:val="en-CA"/>
              </w:rPr>
              <w:t>WB</w:t>
            </w:r>
          </w:p>
        </w:tc>
        <w:tc>
          <w:tcPr>
            <w:tcW w:w="9395" w:type="dxa"/>
            <w:tcBorders>
              <w:left w:val="nil"/>
              <w:bottom w:val="nil"/>
            </w:tcBorders>
            <w:shd w:val="clear" w:color="auto" w:fill="auto"/>
          </w:tcPr>
          <w:p w14:paraId="30AD1B04" w14:textId="77777777" w:rsidR="00302BFE" w:rsidRPr="00FA2ACE" w:rsidRDefault="00302BFE" w:rsidP="00243B15">
            <w:pPr>
              <w:pStyle w:val="Sansinterligne"/>
              <w:rPr>
                <w:rFonts w:asciiTheme="minorHAnsi" w:hAnsiTheme="minorHAnsi" w:cs="Calibri"/>
                <w:sz w:val="20"/>
                <w:szCs w:val="20"/>
                <w:lang w:val="en-CA"/>
              </w:rPr>
            </w:pPr>
            <w:r w:rsidRPr="00FA2ACE">
              <w:rPr>
                <w:rFonts w:asciiTheme="minorHAnsi" w:hAnsiTheme="minorHAnsi" w:cs="Calibri"/>
                <w:sz w:val="20"/>
                <w:szCs w:val="20"/>
                <w:lang w:val="en-CA"/>
              </w:rPr>
              <w:t>World Bank</w:t>
            </w:r>
          </w:p>
        </w:tc>
      </w:tr>
      <w:tr w:rsidR="00FA2ACE" w:rsidRPr="00FA2ACE" w14:paraId="6C17F02D" w14:textId="77777777" w:rsidTr="00243B15">
        <w:trPr>
          <w:trHeight w:val="20"/>
          <w:jc w:val="center"/>
        </w:trPr>
        <w:tc>
          <w:tcPr>
            <w:tcW w:w="1203" w:type="dxa"/>
            <w:tcBorders>
              <w:bottom w:val="nil"/>
              <w:right w:val="nil"/>
            </w:tcBorders>
            <w:shd w:val="clear" w:color="auto" w:fill="auto"/>
          </w:tcPr>
          <w:p w14:paraId="2D5FC271" w14:textId="51E35036" w:rsidR="00FA2ACE" w:rsidRPr="00FA2ACE" w:rsidRDefault="00FA2ACE" w:rsidP="00243B15">
            <w:pPr>
              <w:pStyle w:val="Sansinterligne"/>
              <w:rPr>
                <w:rFonts w:asciiTheme="minorHAnsi" w:hAnsiTheme="minorHAnsi"/>
                <w:sz w:val="20"/>
                <w:szCs w:val="20"/>
                <w:lang w:val="en-CA"/>
              </w:rPr>
            </w:pPr>
            <w:r w:rsidRPr="00FA2ACE">
              <w:rPr>
                <w:rFonts w:asciiTheme="minorHAnsi" w:hAnsiTheme="minorHAnsi"/>
                <w:sz w:val="20"/>
                <w:szCs w:val="20"/>
                <w:lang w:val="en-CA"/>
              </w:rPr>
              <w:t>WCS</w:t>
            </w:r>
          </w:p>
        </w:tc>
        <w:tc>
          <w:tcPr>
            <w:tcW w:w="9395" w:type="dxa"/>
            <w:tcBorders>
              <w:left w:val="nil"/>
              <w:bottom w:val="nil"/>
            </w:tcBorders>
            <w:shd w:val="clear" w:color="auto" w:fill="auto"/>
          </w:tcPr>
          <w:p w14:paraId="4DB32179" w14:textId="433251AD" w:rsidR="00FA2ACE" w:rsidRPr="00FA2ACE" w:rsidRDefault="00FA2ACE" w:rsidP="00243B15">
            <w:pPr>
              <w:pStyle w:val="Sansinterligne"/>
              <w:rPr>
                <w:rFonts w:asciiTheme="minorHAnsi" w:hAnsiTheme="minorHAnsi" w:cs="Calibri"/>
                <w:sz w:val="20"/>
                <w:szCs w:val="20"/>
                <w:lang w:val="en-CA"/>
              </w:rPr>
            </w:pPr>
            <w:r w:rsidRPr="00FA2ACE">
              <w:rPr>
                <w:rFonts w:asciiTheme="minorHAnsi" w:hAnsiTheme="minorHAnsi" w:cs="Calibri"/>
                <w:sz w:val="20"/>
                <w:szCs w:val="20"/>
                <w:lang w:val="en-CA"/>
              </w:rPr>
              <w:t>Wildlife Conservation Society</w:t>
            </w:r>
          </w:p>
        </w:tc>
      </w:tr>
      <w:tr w:rsidR="00302BFE" w:rsidRPr="00FA2ACE" w14:paraId="7643FBED" w14:textId="77777777" w:rsidTr="00243B15">
        <w:trPr>
          <w:trHeight w:val="20"/>
          <w:jc w:val="center"/>
        </w:trPr>
        <w:tc>
          <w:tcPr>
            <w:tcW w:w="1203" w:type="dxa"/>
            <w:tcBorders>
              <w:bottom w:val="nil"/>
              <w:right w:val="nil"/>
            </w:tcBorders>
            <w:shd w:val="clear" w:color="auto" w:fill="auto"/>
          </w:tcPr>
          <w:p w14:paraId="15F79F2A" w14:textId="77777777" w:rsidR="00302BFE" w:rsidRPr="00FA2ACE" w:rsidRDefault="00302BFE" w:rsidP="00243B15">
            <w:pPr>
              <w:pStyle w:val="Sansinterligne"/>
              <w:rPr>
                <w:rFonts w:asciiTheme="minorHAnsi" w:hAnsiTheme="minorHAnsi"/>
                <w:sz w:val="20"/>
                <w:szCs w:val="20"/>
                <w:lang w:val="en-CA"/>
              </w:rPr>
            </w:pPr>
            <w:r w:rsidRPr="00FA2ACE">
              <w:rPr>
                <w:rFonts w:asciiTheme="minorHAnsi" w:hAnsiTheme="minorHAnsi"/>
                <w:sz w:val="20"/>
                <w:szCs w:val="20"/>
                <w:lang w:val="en-GB"/>
              </w:rPr>
              <w:t>WCU</w:t>
            </w:r>
          </w:p>
        </w:tc>
        <w:tc>
          <w:tcPr>
            <w:tcW w:w="9395" w:type="dxa"/>
            <w:tcBorders>
              <w:left w:val="nil"/>
              <w:bottom w:val="nil"/>
            </w:tcBorders>
            <w:shd w:val="clear" w:color="auto" w:fill="auto"/>
          </w:tcPr>
          <w:p w14:paraId="57A1D3B7" w14:textId="77777777" w:rsidR="00302BFE" w:rsidRPr="00FA2ACE" w:rsidRDefault="00302BFE" w:rsidP="00243B15">
            <w:pPr>
              <w:pStyle w:val="Sansinterligne"/>
              <w:rPr>
                <w:rFonts w:asciiTheme="minorHAnsi" w:hAnsiTheme="minorHAnsi" w:cs="Calibri"/>
                <w:sz w:val="20"/>
                <w:szCs w:val="20"/>
                <w:lang w:val="en-CA"/>
              </w:rPr>
            </w:pPr>
            <w:r w:rsidRPr="00FA2ACE">
              <w:rPr>
                <w:rFonts w:asciiTheme="minorHAnsi" w:hAnsiTheme="minorHAnsi"/>
                <w:sz w:val="20"/>
                <w:szCs w:val="20"/>
                <w:lang w:val="en-GB"/>
              </w:rPr>
              <w:t>Wildlife Conservation Units</w:t>
            </w:r>
          </w:p>
        </w:tc>
      </w:tr>
      <w:tr w:rsidR="00302BFE" w:rsidRPr="00FA2ACE" w14:paraId="2CA2E59D" w14:textId="77777777" w:rsidTr="00243B15">
        <w:trPr>
          <w:trHeight w:val="20"/>
          <w:jc w:val="center"/>
        </w:trPr>
        <w:tc>
          <w:tcPr>
            <w:tcW w:w="1203" w:type="dxa"/>
            <w:tcBorders>
              <w:bottom w:val="nil"/>
              <w:right w:val="nil"/>
            </w:tcBorders>
            <w:shd w:val="clear" w:color="auto" w:fill="auto"/>
          </w:tcPr>
          <w:p w14:paraId="2924BB3E"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lastRenderedPageBreak/>
              <w:t>WWF</w:t>
            </w:r>
          </w:p>
        </w:tc>
        <w:tc>
          <w:tcPr>
            <w:tcW w:w="9395" w:type="dxa"/>
            <w:tcBorders>
              <w:left w:val="nil"/>
              <w:bottom w:val="nil"/>
            </w:tcBorders>
            <w:shd w:val="clear" w:color="auto" w:fill="auto"/>
          </w:tcPr>
          <w:p w14:paraId="01301504"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World Wildlife Fund</w:t>
            </w:r>
          </w:p>
        </w:tc>
      </w:tr>
      <w:tr w:rsidR="00302BFE" w:rsidRPr="0020399E" w14:paraId="560A46E4" w14:textId="77777777" w:rsidTr="00243B15">
        <w:trPr>
          <w:trHeight w:val="20"/>
          <w:jc w:val="center"/>
        </w:trPr>
        <w:tc>
          <w:tcPr>
            <w:tcW w:w="1203" w:type="dxa"/>
            <w:tcBorders>
              <w:bottom w:val="nil"/>
              <w:right w:val="nil"/>
            </w:tcBorders>
            <w:shd w:val="clear" w:color="auto" w:fill="auto"/>
          </w:tcPr>
          <w:p w14:paraId="004F837E" w14:textId="77777777" w:rsidR="00302BFE" w:rsidRPr="00FA2ACE" w:rsidRDefault="00302BFE" w:rsidP="00243B15">
            <w:pPr>
              <w:pStyle w:val="Sansinterligne"/>
              <w:rPr>
                <w:rFonts w:asciiTheme="minorHAnsi" w:hAnsiTheme="minorHAnsi" w:cs="Calibri"/>
                <w:sz w:val="20"/>
                <w:szCs w:val="20"/>
              </w:rPr>
            </w:pPr>
            <w:r w:rsidRPr="00FA2ACE">
              <w:rPr>
                <w:rFonts w:asciiTheme="minorHAnsi" w:hAnsiTheme="minorHAnsi" w:cs="Calibri"/>
                <w:sz w:val="20"/>
                <w:szCs w:val="20"/>
              </w:rPr>
              <w:t>ZOVIC</w:t>
            </w:r>
          </w:p>
        </w:tc>
        <w:tc>
          <w:tcPr>
            <w:tcW w:w="9395" w:type="dxa"/>
            <w:tcBorders>
              <w:left w:val="nil"/>
              <w:bottom w:val="nil"/>
            </w:tcBorders>
            <w:shd w:val="clear" w:color="auto" w:fill="auto"/>
          </w:tcPr>
          <w:p w14:paraId="05743462" w14:textId="77777777" w:rsidR="00302BFE" w:rsidRPr="00FA2ACE" w:rsidRDefault="00302BFE" w:rsidP="00243B15">
            <w:pPr>
              <w:pStyle w:val="Sansinterligne"/>
              <w:rPr>
                <w:rFonts w:asciiTheme="minorHAnsi" w:hAnsiTheme="minorHAnsi" w:cs="Calibri"/>
                <w:sz w:val="20"/>
                <w:szCs w:val="20"/>
                <w:lang w:val="fr-CA"/>
              </w:rPr>
            </w:pPr>
            <w:r w:rsidRPr="00FA2ACE">
              <w:rPr>
                <w:rFonts w:asciiTheme="minorHAnsi" w:hAnsiTheme="minorHAnsi"/>
                <w:sz w:val="20"/>
                <w:szCs w:val="20"/>
                <w:lang w:val="fr-CA"/>
              </w:rPr>
              <w:t>Village hunting areas (</w:t>
            </w:r>
            <w:r w:rsidRPr="00FA2ACE">
              <w:rPr>
                <w:rFonts w:asciiTheme="minorHAnsi" w:hAnsiTheme="minorHAnsi" w:cs="Calibri"/>
                <w:i/>
                <w:sz w:val="20"/>
                <w:szCs w:val="20"/>
                <w:lang w:val="fr-CA"/>
              </w:rPr>
              <w:t>Zones Villageoises d’Intérêt Cynégétique</w:t>
            </w:r>
            <w:r w:rsidRPr="00FA2ACE">
              <w:rPr>
                <w:rFonts w:asciiTheme="minorHAnsi" w:hAnsiTheme="minorHAnsi" w:cs="Calibri"/>
                <w:sz w:val="20"/>
                <w:szCs w:val="20"/>
                <w:lang w:val="fr-CA"/>
              </w:rPr>
              <w:t>)</w:t>
            </w:r>
          </w:p>
        </w:tc>
      </w:tr>
    </w:tbl>
    <w:p w14:paraId="634E7AA2" w14:textId="77777777" w:rsidR="00302BFE" w:rsidRPr="00275118" w:rsidRDefault="00302BFE" w:rsidP="00302BFE">
      <w:pPr>
        <w:spacing w:after="0"/>
        <w:jc w:val="left"/>
        <w:rPr>
          <w:rFonts w:cs="Arial"/>
          <w:b/>
          <w:szCs w:val="22"/>
          <w:lang w:val="fr-CA"/>
        </w:rPr>
      </w:pPr>
    </w:p>
    <w:p w14:paraId="54C3740A" w14:textId="77777777" w:rsidR="00302BFE" w:rsidRPr="00275118" w:rsidRDefault="00302BFE" w:rsidP="00302BFE">
      <w:pPr>
        <w:rPr>
          <w:lang w:val="fr-CA"/>
        </w:rPr>
      </w:pPr>
      <w:r w:rsidRPr="00275118">
        <w:rPr>
          <w:lang w:val="fr-CA"/>
        </w:rPr>
        <w:br w:type="page"/>
      </w:r>
    </w:p>
    <w:p w14:paraId="69477FA4" w14:textId="77777777" w:rsidR="00302BFE" w:rsidRPr="00D218B7" w:rsidRDefault="00302BFE" w:rsidP="00302BFE">
      <w:pPr>
        <w:pStyle w:val="Titre1"/>
        <w:spacing w:before="0" w:after="0" w:line="271" w:lineRule="auto"/>
        <w:jc w:val="left"/>
        <w:rPr>
          <w:rFonts w:ascii="Calibri" w:hAnsi="Calibri"/>
        </w:rPr>
      </w:pPr>
      <w:bookmarkStart w:id="3" w:name="_Toc407785517"/>
      <w:bookmarkStart w:id="4" w:name="_Toc9961789"/>
      <w:r w:rsidRPr="0003763F">
        <w:rPr>
          <w:rFonts w:ascii="Calibri" w:hAnsi="Calibri"/>
        </w:rPr>
        <w:lastRenderedPageBreak/>
        <w:t>Development Challenge</w:t>
      </w:r>
      <w:bookmarkEnd w:id="3"/>
      <w:bookmarkEnd w:id="4"/>
    </w:p>
    <w:p w14:paraId="76F8B8E0" w14:textId="77777777" w:rsidR="00302BFE" w:rsidRPr="00FD2241"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GB"/>
        </w:rPr>
      </w:pPr>
      <w:r w:rsidRPr="00FD2241">
        <w:rPr>
          <w:rFonts w:ascii="Calibri" w:hAnsi="Calibri"/>
          <w:sz w:val="20"/>
          <w:szCs w:val="20"/>
          <w:lang w:val="en-GB"/>
        </w:rPr>
        <w:t xml:space="preserve">A landlocked country located in West Africa, Burkina Faso is a mainly arid and lowland country with some hills, covering an area of 27.4 million hectares. The hydrographic network is </w:t>
      </w:r>
      <w:r>
        <w:rPr>
          <w:rFonts w:ascii="Calibri" w:hAnsi="Calibri"/>
          <w:sz w:val="20"/>
          <w:szCs w:val="20"/>
          <w:lang w:val="en-GB"/>
        </w:rPr>
        <w:t>made up</w:t>
      </w:r>
      <w:r w:rsidRPr="00FD2241">
        <w:rPr>
          <w:rFonts w:ascii="Calibri" w:hAnsi="Calibri"/>
          <w:sz w:val="20"/>
          <w:szCs w:val="20"/>
          <w:lang w:val="en-GB"/>
        </w:rPr>
        <w:t xml:space="preserve"> of three important basins, those of </w:t>
      </w:r>
      <w:r>
        <w:rPr>
          <w:rFonts w:ascii="Calibri" w:hAnsi="Calibri"/>
          <w:sz w:val="20"/>
          <w:szCs w:val="20"/>
          <w:lang w:val="en-GB"/>
        </w:rPr>
        <w:t xml:space="preserve">the </w:t>
      </w:r>
      <w:r w:rsidRPr="00FD2241">
        <w:rPr>
          <w:rFonts w:ascii="Calibri" w:hAnsi="Calibri"/>
          <w:sz w:val="20"/>
          <w:szCs w:val="20"/>
          <w:lang w:val="en-GB"/>
        </w:rPr>
        <w:t xml:space="preserve">Volta, Comoé and Niger. The climate is </w:t>
      </w:r>
      <w:r>
        <w:rPr>
          <w:rFonts w:ascii="Calibri" w:hAnsi="Calibri"/>
          <w:sz w:val="20"/>
          <w:szCs w:val="20"/>
          <w:lang w:val="en-GB"/>
        </w:rPr>
        <w:t xml:space="preserve">a </w:t>
      </w:r>
      <w:r w:rsidRPr="00FD2241">
        <w:rPr>
          <w:rFonts w:ascii="Calibri" w:hAnsi="Calibri"/>
          <w:sz w:val="20"/>
          <w:szCs w:val="20"/>
          <w:lang w:val="en-GB"/>
        </w:rPr>
        <w:t xml:space="preserve">tropical Sudano-Sahelian type with a dry season and a season of heavy rains. Three major climatic zones - Sahelian, Sudano-Sahelian and Sudano-Guinean from north to south - follow an increase in the average annual rainfall </w:t>
      </w:r>
      <w:r>
        <w:rPr>
          <w:rFonts w:ascii="Calibri" w:hAnsi="Calibri"/>
          <w:sz w:val="20"/>
          <w:szCs w:val="20"/>
          <w:lang w:val="en-GB"/>
        </w:rPr>
        <w:t>from</w:t>
      </w:r>
      <w:r w:rsidRPr="00FD2241">
        <w:rPr>
          <w:rFonts w:ascii="Calibri" w:hAnsi="Calibri"/>
          <w:sz w:val="20"/>
          <w:szCs w:val="20"/>
          <w:lang w:val="en-GB"/>
        </w:rPr>
        <w:t xml:space="preserve"> the North (350 mm) </w:t>
      </w:r>
      <w:r>
        <w:rPr>
          <w:rFonts w:ascii="Calibri" w:hAnsi="Calibri"/>
          <w:sz w:val="20"/>
          <w:szCs w:val="20"/>
          <w:lang w:val="en-GB"/>
        </w:rPr>
        <w:t>to</w:t>
      </w:r>
      <w:r w:rsidRPr="00FD2241">
        <w:rPr>
          <w:rFonts w:ascii="Calibri" w:hAnsi="Calibri"/>
          <w:sz w:val="20"/>
          <w:szCs w:val="20"/>
          <w:lang w:val="en-GB"/>
        </w:rPr>
        <w:t xml:space="preserve"> the South-West (more than 1000 mm), generating various ecogeographic zones with a rich diversity of forest</w:t>
      </w:r>
      <w:r>
        <w:rPr>
          <w:rFonts w:ascii="Calibri" w:hAnsi="Calibri"/>
          <w:sz w:val="20"/>
          <w:szCs w:val="20"/>
          <w:lang w:val="en-GB"/>
        </w:rPr>
        <w:t>s</w:t>
      </w:r>
      <w:r w:rsidRPr="00FD2241">
        <w:rPr>
          <w:rFonts w:ascii="Calibri" w:hAnsi="Calibri"/>
          <w:sz w:val="20"/>
          <w:szCs w:val="20"/>
          <w:lang w:val="en-GB"/>
        </w:rPr>
        <w:t xml:space="preserve">, agricultural and fluvial ecosystems which shelter a significant biodiversity. </w:t>
      </w:r>
    </w:p>
    <w:p w14:paraId="3ED964B5" w14:textId="205D4023" w:rsidR="00302BFE" w:rsidRPr="00FD2241"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GB"/>
        </w:rPr>
      </w:pPr>
      <w:r w:rsidRPr="00FD2241">
        <w:rPr>
          <w:rFonts w:ascii="Calibri" w:hAnsi="Calibri"/>
          <w:sz w:val="20"/>
          <w:szCs w:val="20"/>
          <w:lang w:val="en-GB"/>
        </w:rPr>
        <w:t>The vegetation consists mainly of steppes and thorn bushes, as well as different types of savanna. The Sudanese savannas are classified as WWF ecoregions. This type of vegetation is characterized by the coexistence of trees and grasses. The dominant tree families include Combretaceae and Caesalpinioideae, while most grasses belong to the family Andropogoneae. Some acacias are also important nitrogen fixing trees. Other useful trees include shea, baobab and carob</w:t>
      </w:r>
      <w:r>
        <w:rPr>
          <w:rFonts w:ascii="Calibri" w:hAnsi="Calibri"/>
          <w:sz w:val="20"/>
          <w:szCs w:val="20"/>
          <w:lang w:val="en-GB"/>
        </w:rPr>
        <w:t xml:space="preserve"> trees</w:t>
      </w:r>
      <w:r w:rsidRPr="00FD2241">
        <w:rPr>
          <w:rFonts w:ascii="Calibri" w:hAnsi="Calibri"/>
          <w:sz w:val="20"/>
          <w:szCs w:val="20"/>
          <w:lang w:val="en-GB"/>
        </w:rPr>
        <w:t xml:space="preserve">, traditionally spared from </w:t>
      </w:r>
      <w:r>
        <w:rPr>
          <w:rFonts w:ascii="Calibri" w:hAnsi="Calibri"/>
          <w:sz w:val="20"/>
          <w:szCs w:val="20"/>
          <w:lang w:val="en-GB"/>
        </w:rPr>
        <w:t>felling</w:t>
      </w:r>
      <w:r w:rsidRPr="00FD2241">
        <w:rPr>
          <w:rFonts w:ascii="Calibri" w:hAnsi="Calibri"/>
          <w:sz w:val="20"/>
          <w:szCs w:val="20"/>
          <w:lang w:val="en-GB"/>
        </w:rPr>
        <w:t xml:space="preserve">. Sorghum, maize, millet and other crops are grown </w:t>
      </w:r>
      <w:r w:rsidR="00696676" w:rsidRPr="007854F2">
        <w:rPr>
          <w:rFonts w:ascii="Calibri" w:hAnsi="Calibri"/>
          <w:sz w:val="20"/>
          <w:szCs w:val="20"/>
          <w:highlight w:val="yellow"/>
          <w:lang w:val="en-GB"/>
        </w:rPr>
        <w:t>between</w:t>
      </w:r>
      <w:r w:rsidR="00696676" w:rsidRPr="00FD2241">
        <w:rPr>
          <w:rFonts w:ascii="Calibri" w:hAnsi="Calibri"/>
          <w:sz w:val="20"/>
          <w:szCs w:val="20"/>
          <w:lang w:val="en-GB"/>
        </w:rPr>
        <w:t xml:space="preserve"> </w:t>
      </w:r>
      <w:r w:rsidRPr="00FD2241">
        <w:rPr>
          <w:rFonts w:ascii="Calibri" w:hAnsi="Calibri"/>
          <w:sz w:val="20"/>
          <w:szCs w:val="20"/>
          <w:lang w:val="en-GB"/>
        </w:rPr>
        <w:t>trees.</w:t>
      </w:r>
    </w:p>
    <w:p w14:paraId="0A7CAB1F" w14:textId="71F54F5E" w:rsidR="007F2E8A" w:rsidRPr="007854F2"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highlight w:val="yellow"/>
          <w:lang w:val="en-GB"/>
        </w:rPr>
      </w:pPr>
      <w:r w:rsidRPr="00FD2241">
        <w:rPr>
          <w:rFonts w:ascii="Calibri" w:hAnsi="Calibri"/>
          <w:sz w:val="20"/>
          <w:szCs w:val="20"/>
          <w:lang w:val="en-GB"/>
        </w:rPr>
        <w:t>In Burkina Faso, 1,407 plant species have been identified, of which 8 are vulnerable or globally threatened. There are 2,394 species of wildlife, of which 19 species of mammals, 28 species of birds, 3 species of reptiles and 9 species of fish are vulnerable or threatened globally. The country is still home to viable populations of many large species of African wildlife that have virtually disappeared from the rest of West Africa, including the largest population of elephants in West Africa Sahel, with an estimated population of about 4,000 individuals. This rich biodiversity provides essential ecosystem services to the people of Burkina Faso, especially to poor communities in rural areas, including providing food through agriculture, fishing, pastoralism and the collection of natural products, medicinal plants, fodder, firewood and timber and tourist assets.</w:t>
      </w:r>
      <w:r w:rsidR="007F2E8A" w:rsidRPr="007854F2">
        <w:rPr>
          <w:rFonts w:ascii="Calibri" w:hAnsi="Calibri"/>
          <w:sz w:val="20"/>
          <w:szCs w:val="20"/>
          <w:highlight w:val="yellow"/>
          <w:lang w:val="en-GB"/>
        </w:rPr>
        <w:t xml:space="preserve">The population of Burkina Faso is estimated at 20,487,979 in 2019, with an annual growth rate of 2.93%, of which 29.3% live in urban areas. Burkina Faso's population is characterized by its youth. More than 77.9% of the population is under 35 years old. Poverty is widespread in the country and the vulnerability of the population has been further increased by the COVID crisis, despite a relatively low number of infected people. Thus, despite the observed decrease in the incidence of poverty from 40.1% in 2014 to 36.2% in 2018, 7 million 300 thousand people out of the 20 million inhabitants of Burkina Faso still live below the poverty line. The Human Development Index (HDI) value of 0.423 in 2017 (0.393 for women and 0.452 for men) is below the average of 0.537 for sub-Saharan African countries and ranks the country 183rd out of 189 countries. An analysis of the structure of communal poverty by region, based on 2006 data, showed a poverty incidence of 51%, 51.5%, and 53.4% respectively for the Centre-South, Centre-East, and Centre-West regions, above the national average of 47.3%. The gender development index, which measures inequalities in health, education, and access to economic resources between men and women, is 0.870 for 2017. </w:t>
      </w:r>
    </w:p>
    <w:p w14:paraId="66106217" w14:textId="503982C5" w:rsidR="00302BFE" w:rsidRPr="00FD2241" w:rsidRDefault="002E12BA" w:rsidP="00C46720">
      <w:pPr>
        <w:pStyle w:val="Paragraphedeliste"/>
        <w:numPr>
          <w:ilvl w:val="0"/>
          <w:numId w:val="32"/>
        </w:numPr>
        <w:tabs>
          <w:tab w:val="left" w:pos="284"/>
        </w:tabs>
        <w:spacing w:before="120" w:after="120"/>
        <w:ind w:left="0" w:firstLine="0"/>
        <w:jc w:val="both"/>
        <w:rPr>
          <w:rFonts w:ascii="Calibri" w:hAnsi="Calibri"/>
          <w:sz w:val="20"/>
          <w:szCs w:val="20"/>
          <w:lang w:val="en-GB"/>
        </w:rPr>
      </w:pPr>
      <w:r w:rsidRPr="007854F2">
        <w:rPr>
          <w:sz w:val="20"/>
          <w:szCs w:val="20"/>
          <w:highlight w:val="yellow"/>
          <w:lang w:val="en-GB"/>
        </w:rPr>
        <w:t xml:space="preserve">Gross Domestic Product (GDP) growth averaged 6.2% between 2016 and 2019, before declining to 2.5% in 2020, a year in which nearly all economies experienced deep recessions. These recent increases in real GDP, compared to previous years </w:t>
      </w:r>
      <w:r w:rsidR="00302BFE" w:rsidRPr="007854F2">
        <w:rPr>
          <w:rFonts w:ascii="Calibri" w:hAnsi="Calibri"/>
          <w:sz w:val="20"/>
          <w:szCs w:val="20"/>
          <w:lang w:val="en-GB"/>
        </w:rPr>
        <w:t>(4% and</w:t>
      </w:r>
      <w:r w:rsidR="00302BFE" w:rsidRPr="00FD2241">
        <w:rPr>
          <w:rFonts w:ascii="Calibri" w:hAnsi="Calibri"/>
          <w:sz w:val="20"/>
          <w:szCs w:val="20"/>
          <w:lang w:val="en-GB"/>
        </w:rPr>
        <w:t xml:space="preserve"> 5.9% in 2015 and 2016) is attributable to mining activities, construction and trade, as well as the development of the agricultural sector. Livestock and agriculture are the main activities of the rural population. Agriculture accounted for 31% of the country's GDP in 2017, but employs 80% of the country's labour force, underscoring its importance to Burkina Faso's economy. Livestock contributes between 5% and 10% of GDP and pastoral systems provide more than 50% of milk production and meat. In this essentially extensive production system, woody fodder forms the basis of goat feeding and is an important part of the diet of sheep and cattle, depending on the season of the year.</w:t>
      </w:r>
      <w:r w:rsidR="00302BFE" w:rsidRPr="00FD2241">
        <w:rPr>
          <w:rStyle w:val="Appelnotedebasdep"/>
          <w:rFonts w:ascii="Calibri" w:hAnsi="Calibri" w:cs="Calibri"/>
          <w:color w:val="000000"/>
          <w:sz w:val="20"/>
          <w:szCs w:val="20"/>
        </w:rPr>
        <w:footnoteReference w:id="1"/>
      </w:r>
      <w:r w:rsidR="00302BFE" w:rsidRPr="00FD2241">
        <w:rPr>
          <w:rFonts w:ascii="Calibri" w:hAnsi="Calibri" w:cs="Calibri"/>
          <w:color w:val="000000"/>
          <w:sz w:val="20"/>
          <w:szCs w:val="20"/>
          <w:lang w:val="en-GB"/>
        </w:rPr>
        <w:t xml:space="preserve"> </w:t>
      </w:r>
      <w:r w:rsidR="00302BFE" w:rsidRPr="00FD2241">
        <w:rPr>
          <w:rFonts w:ascii="Calibri" w:hAnsi="Calibri"/>
          <w:sz w:val="20"/>
          <w:szCs w:val="20"/>
          <w:lang w:val="en-GB"/>
        </w:rPr>
        <w:t xml:space="preserve">The majority (86.5%) of the </w:t>
      </w:r>
      <w:r w:rsidR="00302BFE">
        <w:rPr>
          <w:rFonts w:ascii="Calibri" w:hAnsi="Calibri"/>
          <w:sz w:val="20"/>
          <w:szCs w:val="20"/>
          <w:lang w:val="en-GB"/>
        </w:rPr>
        <w:t xml:space="preserve">cattle </w:t>
      </w:r>
      <w:r w:rsidR="00302BFE" w:rsidRPr="00FD2241">
        <w:rPr>
          <w:rFonts w:ascii="Calibri" w:hAnsi="Calibri"/>
          <w:sz w:val="20"/>
          <w:szCs w:val="20"/>
          <w:lang w:val="en-GB"/>
        </w:rPr>
        <w:t xml:space="preserve">breeders practice a mobile breeding including the large transhumance (12%) and the extensive sedentary breeding (74.5%). </w:t>
      </w:r>
    </w:p>
    <w:p w14:paraId="1D8FFDF3" w14:textId="12F4FB65" w:rsidR="00302BFE" w:rsidRPr="00056241"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GB"/>
        </w:rPr>
      </w:pPr>
      <w:r w:rsidRPr="00FD2241">
        <w:rPr>
          <w:rFonts w:ascii="Calibri" w:hAnsi="Calibri"/>
          <w:sz w:val="20"/>
          <w:szCs w:val="20"/>
          <w:lang w:val="en-GB"/>
        </w:rPr>
        <w:t>Emerging from a turbulent period, the socio-political climate, relatively calm following the presidential and legislative elections in 2015 and municipal elections in 2016, was disrupted by terrorist attacks in 2016, 2017 and 2018</w:t>
      </w:r>
      <w:r>
        <w:rPr>
          <w:rFonts w:ascii="Calibri" w:hAnsi="Calibri"/>
          <w:sz w:val="20"/>
          <w:szCs w:val="20"/>
          <w:lang w:val="en-GB"/>
        </w:rPr>
        <w:t xml:space="preserve">. </w:t>
      </w:r>
      <w:r w:rsidRPr="00FD2241">
        <w:rPr>
          <w:rFonts w:ascii="Calibri" w:hAnsi="Calibri"/>
          <w:sz w:val="20"/>
          <w:szCs w:val="20"/>
          <w:lang w:val="en-GB"/>
        </w:rPr>
        <w:t>Although the Government continues to mobilize resources to respond effectively to the issue of security, this challenge will continue to weigh on the country's socio-economic prospects. As a result, the country faces many challenges in generating growth and distributing social goods to a population with inadequate incomes and low levels of human development</w:t>
      </w:r>
      <w:r w:rsidRPr="00056241">
        <w:rPr>
          <w:rFonts w:ascii="Calibri" w:hAnsi="Calibri"/>
          <w:sz w:val="20"/>
          <w:szCs w:val="20"/>
          <w:lang w:val="en-GB"/>
        </w:rPr>
        <w:t>.</w:t>
      </w:r>
      <w:r w:rsidR="005B1DAA" w:rsidRPr="00056241">
        <w:rPr>
          <w:rFonts w:ascii="Calibri" w:hAnsi="Calibri"/>
          <w:sz w:val="20"/>
          <w:szCs w:val="20"/>
          <w:lang w:val="en-GB"/>
        </w:rPr>
        <w:t xml:space="preserve"> </w:t>
      </w:r>
      <w:r w:rsidR="00A87936" w:rsidRPr="007854F2">
        <w:rPr>
          <w:rFonts w:ascii="Calibri" w:hAnsi="Calibri"/>
          <w:sz w:val="20"/>
          <w:szCs w:val="20"/>
          <w:lang w:val="en-GB"/>
        </w:rPr>
        <w:t xml:space="preserve">Despite relatively few confirmed COVID cases in the country itself, </w:t>
      </w:r>
      <w:r w:rsidR="009E5E39" w:rsidRPr="007854F2">
        <w:rPr>
          <w:rFonts w:ascii="Calibri" w:hAnsi="Calibri"/>
          <w:sz w:val="20"/>
          <w:szCs w:val="20"/>
          <w:lang w:val="en-GB"/>
        </w:rPr>
        <w:t xml:space="preserve">and the project area being among the least affected in the country, </w:t>
      </w:r>
      <w:r w:rsidR="00A87936" w:rsidRPr="007854F2">
        <w:rPr>
          <w:rFonts w:ascii="Calibri" w:hAnsi="Calibri"/>
          <w:sz w:val="20"/>
          <w:szCs w:val="20"/>
          <w:lang w:val="en-GB"/>
        </w:rPr>
        <w:t>Burkina Faso</w:t>
      </w:r>
      <w:r w:rsidR="005B1DAA" w:rsidRPr="007854F2">
        <w:rPr>
          <w:rFonts w:ascii="Calibri" w:hAnsi="Calibri"/>
          <w:sz w:val="20"/>
          <w:szCs w:val="20"/>
          <w:lang w:val="en-GB"/>
        </w:rPr>
        <w:t xml:space="preserve"> </w:t>
      </w:r>
      <w:r w:rsidR="009E5E39" w:rsidRPr="007854F2">
        <w:rPr>
          <w:rFonts w:ascii="Calibri" w:hAnsi="Calibri"/>
          <w:sz w:val="20"/>
          <w:szCs w:val="20"/>
          <w:lang w:val="en-GB"/>
        </w:rPr>
        <w:t>as</w:t>
      </w:r>
      <w:r w:rsidR="00DC6744" w:rsidRPr="007854F2">
        <w:rPr>
          <w:rFonts w:ascii="Calibri" w:hAnsi="Calibri"/>
          <w:sz w:val="20"/>
          <w:szCs w:val="20"/>
          <w:lang w:val="en-GB"/>
        </w:rPr>
        <w:t xml:space="preserve"> a land locked country is vulnerable to being affected by restrictions on </w:t>
      </w:r>
      <w:r w:rsidR="005B1DAA" w:rsidRPr="007854F2">
        <w:rPr>
          <w:rFonts w:ascii="Calibri" w:hAnsi="Calibri"/>
          <w:sz w:val="20"/>
          <w:szCs w:val="20"/>
          <w:lang w:val="en-GB"/>
        </w:rPr>
        <w:t>internal and cross-border trade.</w:t>
      </w:r>
      <w:r w:rsidR="005B1DAA" w:rsidRPr="00056241">
        <w:rPr>
          <w:rFonts w:ascii="Calibri" w:hAnsi="Calibri"/>
          <w:sz w:val="20"/>
          <w:szCs w:val="20"/>
          <w:lang w:val="en-GB"/>
        </w:rPr>
        <w:t xml:space="preserve"> </w:t>
      </w:r>
    </w:p>
    <w:p w14:paraId="380E14D7" w14:textId="77777777" w:rsidR="00302BFE" w:rsidRPr="00FD2241" w:rsidRDefault="00302BFE" w:rsidP="00302BFE">
      <w:pPr>
        <w:spacing w:before="120" w:after="120"/>
        <w:rPr>
          <w:b/>
          <w:szCs w:val="20"/>
          <w:lang w:val="en-GB"/>
        </w:rPr>
      </w:pPr>
      <w:r w:rsidRPr="00FD2241">
        <w:rPr>
          <w:b/>
          <w:szCs w:val="20"/>
          <w:lang w:val="en-GB"/>
        </w:rPr>
        <w:t xml:space="preserve">The national system of protected areas of Burkina Faso </w:t>
      </w:r>
    </w:p>
    <w:p w14:paraId="0F42537A" w14:textId="77777777" w:rsidR="00302BFE" w:rsidRPr="0099310D"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GB"/>
        </w:rPr>
      </w:pPr>
      <w:r w:rsidRPr="00FD2241">
        <w:rPr>
          <w:rFonts w:ascii="Calibri" w:hAnsi="Calibri"/>
          <w:sz w:val="20"/>
          <w:szCs w:val="20"/>
          <w:lang w:val="en-GB"/>
        </w:rPr>
        <w:t xml:space="preserve">Protected areas (PAs) are the main means of protecting Burkina Faso's biodiversity while preserving the ecosystem services on which the livelihood of </w:t>
      </w:r>
      <w:r>
        <w:rPr>
          <w:rFonts w:ascii="Calibri" w:hAnsi="Calibri"/>
          <w:sz w:val="20"/>
          <w:szCs w:val="20"/>
          <w:lang w:val="en-GB"/>
        </w:rPr>
        <w:t xml:space="preserve">the </w:t>
      </w:r>
      <w:r w:rsidRPr="00FD2241">
        <w:rPr>
          <w:rFonts w:ascii="Calibri" w:hAnsi="Calibri"/>
          <w:sz w:val="20"/>
          <w:szCs w:val="20"/>
          <w:lang w:val="en-GB"/>
        </w:rPr>
        <w:t xml:space="preserve">local communities is based. Burkina Faso's National Protected Area System covers an area of at least 4.4 million hectares, or about 16% of the country's surface area. In addition to national designations, many sites have been designated according to international conventions including Ramsar sites, Biosphere Reserves </w:t>
      </w:r>
      <w:r w:rsidRPr="00A40D7F">
        <w:rPr>
          <w:rFonts w:ascii="Calibri" w:hAnsi="Calibri"/>
          <w:sz w:val="20"/>
          <w:szCs w:val="20"/>
          <w:lang w:val="en-GB"/>
        </w:rPr>
        <w:t>and Important Bird Areas</w:t>
      </w:r>
      <w:r w:rsidRPr="00FD2241">
        <w:rPr>
          <w:rFonts w:ascii="Calibri" w:hAnsi="Calibri"/>
          <w:sz w:val="20"/>
          <w:szCs w:val="20"/>
          <w:lang w:val="en-GB"/>
        </w:rPr>
        <w:t xml:space="preserve">. An overview of the national PA system in Burkina Faso is presented in Annex </w:t>
      </w:r>
      <w:r w:rsidR="00E2341B" w:rsidRPr="00A66078">
        <w:rPr>
          <w:rFonts w:ascii="Calibri" w:hAnsi="Calibri"/>
          <w:sz w:val="20"/>
          <w:szCs w:val="20"/>
          <w:lang w:val="en-GB"/>
        </w:rPr>
        <w:t>J</w:t>
      </w:r>
      <w:r w:rsidRPr="00FD2241">
        <w:rPr>
          <w:rFonts w:ascii="Calibri" w:hAnsi="Calibri"/>
          <w:sz w:val="20"/>
          <w:szCs w:val="20"/>
          <w:lang w:val="en-GB"/>
        </w:rPr>
        <w:t xml:space="preserve">, </w:t>
      </w:r>
      <w:r>
        <w:rPr>
          <w:rFonts w:ascii="Calibri" w:hAnsi="Calibri"/>
          <w:sz w:val="20"/>
          <w:szCs w:val="20"/>
          <w:lang w:val="en-GB"/>
        </w:rPr>
        <w:t>and indicates</w:t>
      </w:r>
      <w:r w:rsidRPr="00FD2241">
        <w:rPr>
          <w:rFonts w:ascii="Calibri" w:hAnsi="Calibri"/>
          <w:sz w:val="20"/>
          <w:szCs w:val="20"/>
          <w:lang w:val="en-GB"/>
        </w:rPr>
        <w:t xml:space="preserve"> category, name of PA, date of </w:t>
      </w:r>
      <w:r>
        <w:rPr>
          <w:rFonts w:ascii="Calibri" w:hAnsi="Calibri"/>
          <w:sz w:val="20"/>
          <w:szCs w:val="20"/>
          <w:lang w:val="en-GB"/>
        </w:rPr>
        <w:t>creation</w:t>
      </w:r>
      <w:r w:rsidRPr="00FD2241">
        <w:rPr>
          <w:rFonts w:ascii="Calibri" w:hAnsi="Calibri"/>
          <w:sz w:val="20"/>
          <w:szCs w:val="20"/>
          <w:lang w:val="en-GB"/>
        </w:rPr>
        <w:t xml:space="preserve">, area, IUCN category </w:t>
      </w:r>
      <w:r w:rsidRPr="0099310D">
        <w:rPr>
          <w:rFonts w:ascii="Calibri" w:hAnsi="Calibri"/>
          <w:sz w:val="20"/>
          <w:szCs w:val="20"/>
          <w:lang w:val="en-GB"/>
        </w:rPr>
        <w:t>and managing authority. The table also shows protected areas that fall under international designations.</w:t>
      </w:r>
    </w:p>
    <w:p w14:paraId="7E891ADA" w14:textId="28DE9B81" w:rsidR="00302BFE" w:rsidRPr="0099310D"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GB"/>
        </w:rPr>
      </w:pPr>
      <w:r w:rsidRPr="0099310D">
        <w:rPr>
          <w:rFonts w:ascii="Calibri" w:hAnsi="Calibri"/>
          <w:b/>
          <w:iCs/>
          <w:sz w:val="20"/>
          <w:szCs w:val="20"/>
          <w:lang w:val="en-GB"/>
        </w:rPr>
        <w:lastRenderedPageBreak/>
        <w:t xml:space="preserve">Protected area management. </w:t>
      </w:r>
      <w:r w:rsidRPr="0099310D">
        <w:rPr>
          <w:rFonts w:ascii="Calibri" w:hAnsi="Calibri"/>
          <w:sz w:val="20"/>
          <w:szCs w:val="20"/>
          <w:lang w:val="en-GB"/>
        </w:rPr>
        <w:t xml:space="preserve">At the national level, the management and monitoring of protected areas and hunting areas is shared between </w:t>
      </w:r>
      <w:r w:rsidR="006C324E" w:rsidRPr="00EF6D8E">
        <w:rPr>
          <w:rFonts w:ascii="Calibri" w:hAnsi="Calibri"/>
          <w:sz w:val="20"/>
          <w:szCs w:val="20"/>
          <w:highlight w:val="yellow"/>
          <w:lang w:val="en-GB"/>
        </w:rPr>
        <w:t>l’Office National des Aires</w:t>
      </w:r>
      <w:r w:rsidR="003B72ED" w:rsidRPr="0020399E">
        <w:rPr>
          <w:rFonts w:asciiTheme="minorHAnsi" w:hAnsiTheme="minorHAnsi"/>
          <w:sz w:val="20"/>
          <w:szCs w:val="20"/>
          <w:highlight w:val="yellow"/>
        </w:rPr>
        <w:t xml:space="preserve"> </w:t>
      </w:r>
      <w:r w:rsidR="003B72ED" w:rsidRPr="0020399E">
        <w:rPr>
          <w:rFonts w:ascii="Calibri" w:hAnsi="Calibri"/>
          <w:sz w:val="20"/>
          <w:szCs w:val="20"/>
          <w:highlight w:val="yellow"/>
        </w:rPr>
        <w:t>Protégées</w:t>
      </w:r>
      <w:r w:rsidR="006C324E">
        <w:rPr>
          <w:rFonts w:ascii="Calibri" w:hAnsi="Calibri"/>
          <w:sz w:val="20"/>
          <w:szCs w:val="20"/>
          <w:lang w:val="en-GB"/>
        </w:rPr>
        <w:t xml:space="preserve"> </w:t>
      </w:r>
      <w:r w:rsidR="00AD7C96">
        <w:rPr>
          <w:rFonts w:ascii="Calibri" w:hAnsi="Calibri"/>
          <w:sz w:val="20"/>
          <w:szCs w:val="20"/>
          <w:lang w:val="en-GB"/>
        </w:rPr>
        <w:t>(</w:t>
      </w:r>
      <w:r w:rsidRPr="0099310D">
        <w:rPr>
          <w:rFonts w:ascii="Calibri" w:hAnsi="Calibri"/>
          <w:sz w:val="20"/>
          <w:szCs w:val="20"/>
          <w:lang w:val="en-GB"/>
        </w:rPr>
        <w:t>OFINAP</w:t>
      </w:r>
      <w:r w:rsidR="00AD7C96">
        <w:rPr>
          <w:rFonts w:ascii="Calibri" w:hAnsi="Calibri"/>
          <w:sz w:val="20"/>
          <w:szCs w:val="20"/>
          <w:lang w:val="en-GB"/>
        </w:rPr>
        <w:t>)</w:t>
      </w:r>
      <w:r w:rsidRPr="0099310D">
        <w:rPr>
          <w:rFonts w:ascii="Calibri" w:hAnsi="Calibri"/>
          <w:sz w:val="20"/>
          <w:szCs w:val="20"/>
          <w:lang w:val="en-GB"/>
        </w:rPr>
        <w:t xml:space="preserve"> and the Wildlife and </w:t>
      </w:r>
      <w:r w:rsidR="005451A6" w:rsidRPr="007854F2">
        <w:rPr>
          <w:rFonts w:ascii="Calibri" w:hAnsi="Calibri"/>
          <w:sz w:val="20"/>
          <w:szCs w:val="20"/>
          <w:highlight w:val="yellow"/>
          <w:lang w:val="en-GB"/>
        </w:rPr>
        <w:t>Forest Resource</w:t>
      </w:r>
      <w:r w:rsidR="005451A6">
        <w:rPr>
          <w:rFonts w:ascii="Calibri" w:hAnsi="Calibri"/>
          <w:sz w:val="20"/>
          <w:szCs w:val="20"/>
          <w:lang w:val="en-GB"/>
        </w:rPr>
        <w:t>s</w:t>
      </w:r>
      <w:r w:rsidRPr="0099310D">
        <w:rPr>
          <w:rFonts w:ascii="Calibri" w:hAnsi="Calibri"/>
          <w:sz w:val="20"/>
          <w:szCs w:val="20"/>
          <w:lang w:val="en-GB"/>
        </w:rPr>
        <w:t xml:space="preserve"> Directorate (DFRC) of the </w:t>
      </w:r>
      <w:r w:rsidR="00726871" w:rsidRPr="00A63E29">
        <w:rPr>
          <w:rFonts w:ascii="Calibri" w:hAnsi="Calibri"/>
          <w:sz w:val="20"/>
          <w:szCs w:val="20"/>
          <w:highlight w:val="yellow"/>
          <w:lang w:val="en-GB"/>
        </w:rPr>
        <w:t xml:space="preserve">General Directorate of </w:t>
      </w:r>
      <w:r w:rsidR="00815ABF" w:rsidRPr="00A63E29">
        <w:rPr>
          <w:rFonts w:ascii="Calibri" w:hAnsi="Calibri"/>
          <w:sz w:val="20"/>
          <w:szCs w:val="20"/>
          <w:highlight w:val="yellow"/>
          <w:lang w:val="en-GB"/>
        </w:rPr>
        <w:t>Water and Forests</w:t>
      </w:r>
      <w:r w:rsidR="00815ABF">
        <w:rPr>
          <w:rFonts w:ascii="Calibri" w:hAnsi="Calibri"/>
          <w:sz w:val="20"/>
          <w:szCs w:val="20"/>
          <w:lang w:val="en-GB"/>
        </w:rPr>
        <w:t xml:space="preserve"> </w:t>
      </w:r>
      <w:r w:rsidR="00726871">
        <w:rPr>
          <w:rFonts w:ascii="Calibri" w:hAnsi="Calibri"/>
          <w:sz w:val="20"/>
          <w:szCs w:val="20"/>
          <w:lang w:val="en-GB"/>
        </w:rPr>
        <w:t>(</w:t>
      </w:r>
      <w:r w:rsidRPr="0099310D">
        <w:rPr>
          <w:rFonts w:ascii="Calibri" w:hAnsi="Calibri"/>
          <w:sz w:val="20"/>
          <w:szCs w:val="20"/>
          <w:lang w:val="en-GB"/>
        </w:rPr>
        <w:t>DGEF</w:t>
      </w:r>
      <w:r w:rsidR="00726871">
        <w:rPr>
          <w:rFonts w:ascii="Calibri" w:hAnsi="Calibri"/>
          <w:sz w:val="20"/>
          <w:szCs w:val="20"/>
          <w:lang w:val="en-GB"/>
        </w:rPr>
        <w:t>)</w:t>
      </w:r>
      <w:r w:rsidRPr="0099310D">
        <w:rPr>
          <w:rFonts w:ascii="Calibri" w:hAnsi="Calibri"/>
          <w:sz w:val="20"/>
          <w:szCs w:val="20"/>
          <w:lang w:val="en-GB"/>
        </w:rPr>
        <w:t xml:space="preserve">, while forests classified for forestry or ecosystem protection purposes are under the supervision of the Directorate of Forests </w:t>
      </w:r>
      <w:r w:rsidR="00111CA9" w:rsidRPr="00A63E29">
        <w:rPr>
          <w:rFonts w:ascii="Calibri" w:hAnsi="Calibri"/>
          <w:sz w:val="20"/>
          <w:szCs w:val="20"/>
          <w:highlight w:val="yellow"/>
          <w:lang w:val="en-GB"/>
        </w:rPr>
        <w:t xml:space="preserve">and </w:t>
      </w:r>
      <w:r w:rsidR="00DB1A80">
        <w:rPr>
          <w:rFonts w:ascii="Calibri" w:hAnsi="Calibri"/>
          <w:sz w:val="20"/>
          <w:szCs w:val="20"/>
          <w:highlight w:val="yellow"/>
          <w:lang w:val="en-GB"/>
        </w:rPr>
        <w:t xml:space="preserve">the </w:t>
      </w:r>
      <w:r w:rsidR="00111CA9" w:rsidRPr="00A63E29">
        <w:rPr>
          <w:rFonts w:ascii="Calibri" w:hAnsi="Calibri"/>
          <w:sz w:val="20"/>
          <w:szCs w:val="20"/>
          <w:highlight w:val="yellow"/>
          <w:lang w:val="en-GB"/>
        </w:rPr>
        <w:t>Reforestation</w:t>
      </w:r>
      <w:r w:rsidR="00111CA9">
        <w:rPr>
          <w:rFonts w:ascii="Calibri" w:hAnsi="Calibri"/>
          <w:sz w:val="20"/>
          <w:szCs w:val="20"/>
          <w:lang w:val="en-GB"/>
        </w:rPr>
        <w:t xml:space="preserve"> </w:t>
      </w:r>
      <w:r w:rsidRPr="0099310D">
        <w:rPr>
          <w:rFonts w:ascii="Calibri" w:hAnsi="Calibri"/>
          <w:sz w:val="20"/>
          <w:szCs w:val="20"/>
          <w:lang w:val="en-GB"/>
        </w:rPr>
        <w:t>(DiFor) of the DGEF.</w:t>
      </w:r>
    </w:p>
    <w:p w14:paraId="24A21CC8" w14:textId="6B5D6FA4" w:rsidR="00DE3E2F" w:rsidRPr="0099310D" w:rsidRDefault="00CE07B1" w:rsidP="00C46720">
      <w:pPr>
        <w:pStyle w:val="Paragraphedeliste"/>
        <w:numPr>
          <w:ilvl w:val="0"/>
          <w:numId w:val="32"/>
        </w:numPr>
        <w:tabs>
          <w:tab w:val="left" w:pos="284"/>
        </w:tabs>
        <w:spacing w:before="120" w:after="120"/>
        <w:ind w:left="0" w:firstLine="0"/>
        <w:jc w:val="both"/>
        <w:rPr>
          <w:rFonts w:asciiTheme="minorHAnsi" w:hAnsiTheme="minorHAnsi"/>
          <w:sz w:val="20"/>
          <w:szCs w:val="20"/>
          <w:lang w:val="en-CA"/>
        </w:rPr>
      </w:pPr>
      <w:r w:rsidRPr="0099310D">
        <w:rPr>
          <w:rFonts w:ascii="Calibri" w:hAnsi="Calibri"/>
          <w:sz w:val="20"/>
          <w:szCs w:val="20"/>
          <w:u w:val="single"/>
          <w:lang w:val="en-GB"/>
        </w:rPr>
        <w:t>PA management concessions</w:t>
      </w:r>
      <w:r w:rsidRPr="0099310D">
        <w:rPr>
          <w:rFonts w:ascii="Calibri" w:hAnsi="Calibri"/>
          <w:sz w:val="20"/>
          <w:szCs w:val="20"/>
          <w:lang w:val="en-GB"/>
        </w:rPr>
        <w:t xml:space="preserve">. </w:t>
      </w:r>
      <w:r w:rsidR="00302BFE" w:rsidRPr="0099310D">
        <w:rPr>
          <w:rFonts w:ascii="Calibri" w:hAnsi="Calibri"/>
          <w:sz w:val="20"/>
          <w:szCs w:val="20"/>
          <w:lang w:val="en-GB"/>
        </w:rPr>
        <w:t>In the face of limited financial resources to ensure adequate management of the State's protected areas, and in accordance with the principle</w:t>
      </w:r>
      <w:r w:rsidR="00EF1F9B" w:rsidRPr="0099310D">
        <w:rPr>
          <w:rFonts w:ascii="Calibri" w:hAnsi="Calibri"/>
          <w:sz w:val="20"/>
          <w:szCs w:val="20"/>
          <w:lang w:val="en-GB"/>
        </w:rPr>
        <w:t>s</w:t>
      </w:r>
      <w:r w:rsidR="00302BFE" w:rsidRPr="0099310D">
        <w:rPr>
          <w:rFonts w:ascii="Calibri" w:hAnsi="Calibri"/>
          <w:sz w:val="20"/>
          <w:szCs w:val="20"/>
          <w:lang w:val="en-GB"/>
        </w:rPr>
        <w:t xml:space="preserve"> of the effective participation of all </w:t>
      </w:r>
      <w:r w:rsidR="00EF1F9B" w:rsidRPr="0099310D">
        <w:rPr>
          <w:rFonts w:ascii="Calibri" w:hAnsi="Calibri"/>
          <w:sz w:val="20"/>
          <w:szCs w:val="20"/>
          <w:lang w:val="en-GB"/>
        </w:rPr>
        <w:t xml:space="preserve">concerned </w:t>
      </w:r>
      <w:r w:rsidR="00302BFE" w:rsidRPr="0099310D">
        <w:rPr>
          <w:rFonts w:ascii="Calibri" w:hAnsi="Calibri"/>
          <w:sz w:val="20"/>
          <w:szCs w:val="20"/>
          <w:lang w:val="en-GB"/>
        </w:rPr>
        <w:t>actors and of fair sharing of responsibilities and benefits, a policy and legislative reform was initiated to involve the private sector and village communities in the management of protected areas. As part of the reform of natural resources management, Burkina Faso innovated with the concept of Wildlife Conservation Units (WCU). The purpose was that hunting areas and national parks leased to the private sector should contribute to local development, partly meet their own management needs to relieve public finances and sustainably conserve biodiversity by promoting it through different modes of tourism: vision, big game and small game hunting. The 1997 Forest Code provided the legal basis for private sector participation in PA management and set the conditions for granting concessions. Each WCU included one or more contiguous protected areas coordinated by a government-appointed conservator</w:t>
      </w:r>
      <w:r w:rsidR="0083479F" w:rsidRPr="0099310D">
        <w:rPr>
          <w:rFonts w:ascii="Calibri" w:hAnsi="Calibri"/>
          <w:sz w:val="20"/>
          <w:szCs w:val="20"/>
          <w:lang w:val="en-GB"/>
        </w:rPr>
        <w:t xml:space="preserve"> and the PONASI PA complex was one of them</w:t>
      </w:r>
      <w:r w:rsidR="00302BFE" w:rsidRPr="0099310D">
        <w:rPr>
          <w:rFonts w:ascii="Calibri" w:hAnsi="Calibri"/>
          <w:sz w:val="20"/>
          <w:szCs w:val="20"/>
          <w:lang w:val="en-GB"/>
        </w:rPr>
        <w:t>. The effective management and commercial operation of individual protected areas was delegated to private concessionaires who paid rent and operating costs to the government and neighbouring communities.</w:t>
      </w:r>
      <w:r w:rsidR="0083479F" w:rsidRPr="0099310D">
        <w:rPr>
          <w:rFonts w:ascii="Calibri" w:hAnsi="Calibri"/>
          <w:sz w:val="20"/>
          <w:szCs w:val="20"/>
          <w:lang w:val="en-GB"/>
        </w:rPr>
        <w:t xml:space="preserve"> </w:t>
      </w:r>
      <w:r w:rsidR="00EA03B4" w:rsidRPr="0099310D">
        <w:rPr>
          <w:rFonts w:asciiTheme="minorHAnsi" w:hAnsiTheme="minorHAnsi" w:cs="Swiss721BT-Roman"/>
          <w:sz w:val="20"/>
          <w:szCs w:val="20"/>
          <w:lang w:val="en-GB"/>
        </w:rPr>
        <w:t xml:space="preserve">Currently, </w:t>
      </w:r>
      <w:r w:rsidR="00EA03B4" w:rsidRPr="0099310D">
        <w:rPr>
          <w:rFonts w:asciiTheme="minorHAnsi" w:hAnsiTheme="minorHAnsi" w:cs="Swiss721BT-Roman"/>
          <w:sz w:val="20"/>
          <w:szCs w:val="20"/>
          <w:lang w:val="en-CA"/>
        </w:rPr>
        <w:t>the State has conceded its wildlife management rights for a few wildlife protection areas to persons under private law, for the organization of lucrative hunting or tourism vision. In the PONASI area, the Nazinga Game Ranch and the Sissili Classified Forest are each subject to a management concession to a private concessionaire holding an exclusive license to operate it in exchange for payment of an annual fee and the strict observation of the specifications for the management of the concession, defined by order of the Ministry</w:t>
      </w:r>
      <w:r w:rsidR="002C2D85">
        <w:rPr>
          <w:rFonts w:asciiTheme="minorHAnsi" w:hAnsiTheme="minorHAnsi" w:cs="Swiss721BT-Roman"/>
          <w:sz w:val="20"/>
          <w:szCs w:val="20"/>
          <w:lang w:val="en-CA"/>
        </w:rPr>
        <w:t xml:space="preserve"> of </w:t>
      </w:r>
      <w:r w:rsidR="002C2D85" w:rsidRPr="00A63E29">
        <w:rPr>
          <w:rFonts w:asciiTheme="minorHAnsi" w:hAnsiTheme="minorHAnsi" w:cs="Swiss721BT-Roman"/>
          <w:sz w:val="20"/>
          <w:szCs w:val="20"/>
          <w:highlight w:val="yellow"/>
          <w:lang w:val="en-CA"/>
        </w:rPr>
        <w:t>Environment, Green Economie and Climate Change</w:t>
      </w:r>
      <w:r w:rsidR="00EA03B4" w:rsidRPr="0099310D">
        <w:rPr>
          <w:rFonts w:asciiTheme="minorHAnsi" w:hAnsiTheme="minorHAnsi" w:cs="Swiss721BT-Roman"/>
          <w:sz w:val="20"/>
          <w:szCs w:val="20"/>
          <w:lang w:val="en-CA"/>
        </w:rPr>
        <w:t xml:space="preserve"> (MEGECC). The private concessionaire in the Nazinga GR is Nahouri Safari, managed by Mr Benjamin Bassono. </w:t>
      </w:r>
      <w:r w:rsidR="00DE3E2F" w:rsidRPr="0099310D">
        <w:rPr>
          <w:rFonts w:asciiTheme="minorHAnsi" w:hAnsiTheme="minorHAnsi"/>
          <w:sz w:val="20"/>
          <w:szCs w:val="20"/>
          <w:lang w:val="en-CA"/>
        </w:rPr>
        <w:t>The management of the Sissili CF was granted to the late Mr Norbert Zongo in 1996 and taken over by his family in December 1998, after his death, though unsatisfactorily. More recently, others have expressed an interest in taking over the concession and revive the Sissili Safari but this will require new legal arrangements.</w:t>
      </w:r>
    </w:p>
    <w:p w14:paraId="373DA2A3" w14:textId="7A90CD14" w:rsidR="00302BFE" w:rsidRPr="0099310D" w:rsidRDefault="00EA03B4" w:rsidP="00C46720">
      <w:pPr>
        <w:pStyle w:val="Paragraphedeliste"/>
        <w:numPr>
          <w:ilvl w:val="0"/>
          <w:numId w:val="32"/>
        </w:numPr>
        <w:tabs>
          <w:tab w:val="left" w:pos="284"/>
        </w:tabs>
        <w:spacing w:before="120" w:after="120"/>
        <w:ind w:left="0" w:firstLine="0"/>
        <w:jc w:val="both"/>
        <w:rPr>
          <w:rFonts w:ascii="Calibri" w:hAnsi="Calibri"/>
          <w:sz w:val="20"/>
          <w:szCs w:val="20"/>
          <w:lang w:val="en-GB"/>
        </w:rPr>
      </w:pPr>
      <w:r w:rsidRPr="0099310D">
        <w:rPr>
          <w:rFonts w:ascii="Calibri" w:hAnsi="Calibri"/>
          <w:sz w:val="20"/>
          <w:szCs w:val="20"/>
          <w:u w:val="single"/>
          <w:lang w:val="en-GB"/>
        </w:rPr>
        <w:t>ZOVICs</w:t>
      </w:r>
      <w:r w:rsidRPr="0099310D">
        <w:rPr>
          <w:rFonts w:ascii="Calibri" w:hAnsi="Calibri"/>
          <w:sz w:val="20"/>
          <w:szCs w:val="20"/>
          <w:lang w:val="en-GB"/>
        </w:rPr>
        <w:t xml:space="preserve">. </w:t>
      </w:r>
      <w:r w:rsidR="00F23DF6" w:rsidRPr="0099310D">
        <w:rPr>
          <w:rFonts w:ascii="Calibri" w:hAnsi="Calibri"/>
          <w:sz w:val="20"/>
          <w:szCs w:val="20"/>
          <w:lang w:val="en-GB"/>
        </w:rPr>
        <w:t>Besides</w:t>
      </w:r>
      <w:r w:rsidR="007569D5" w:rsidRPr="0099310D">
        <w:rPr>
          <w:rFonts w:ascii="Calibri" w:hAnsi="Calibri"/>
          <w:sz w:val="20"/>
          <w:szCs w:val="20"/>
          <w:lang w:val="en-GB"/>
        </w:rPr>
        <w:t>, t</w:t>
      </w:r>
      <w:r w:rsidR="00302BFE" w:rsidRPr="0099310D">
        <w:rPr>
          <w:rFonts w:ascii="Calibri" w:hAnsi="Calibri"/>
          <w:sz w:val="20"/>
          <w:szCs w:val="20"/>
          <w:lang w:val="en-GB"/>
        </w:rPr>
        <w:t xml:space="preserve">he decentralization process defined by the General Code of Territorial Communities (Law 055 on Local Government 2004) has allowed the devolution </w:t>
      </w:r>
      <w:r w:rsidR="00F93BF7" w:rsidRPr="0099310D">
        <w:rPr>
          <w:rFonts w:ascii="Calibri" w:hAnsi="Calibri"/>
          <w:sz w:val="20"/>
          <w:szCs w:val="20"/>
          <w:lang w:val="en-GB"/>
        </w:rPr>
        <w:t xml:space="preserve">of </w:t>
      </w:r>
      <w:r w:rsidR="00302BFE" w:rsidRPr="0099310D">
        <w:rPr>
          <w:rFonts w:ascii="Calibri" w:hAnsi="Calibri"/>
          <w:sz w:val="20"/>
          <w:szCs w:val="20"/>
          <w:lang w:val="en-GB"/>
        </w:rPr>
        <w:t xml:space="preserve">the management of the resources located in the immediate vicinity of their lands </w:t>
      </w:r>
      <w:r w:rsidR="00F93BF7" w:rsidRPr="0099310D">
        <w:rPr>
          <w:rFonts w:ascii="Calibri" w:hAnsi="Calibri"/>
          <w:sz w:val="20"/>
          <w:szCs w:val="20"/>
          <w:lang w:val="en-GB"/>
        </w:rPr>
        <w:t xml:space="preserve">to communities </w:t>
      </w:r>
      <w:r w:rsidR="00302BFE" w:rsidRPr="0099310D">
        <w:rPr>
          <w:rFonts w:ascii="Calibri" w:hAnsi="Calibri"/>
          <w:sz w:val="20"/>
          <w:szCs w:val="20"/>
          <w:lang w:val="en-GB"/>
        </w:rPr>
        <w:t xml:space="preserve">and the integration of the management of protected areas in rural development policies through the National Wildlife Management and Protected Areas Program 2006-2015. The creation of </w:t>
      </w:r>
      <w:r w:rsidR="0093108D" w:rsidRPr="00A63E29">
        <w:rPr>
          <w:rFonts w:ascii="Calibri" w:hAnsi="Calibri"/>
          <w:sz w:val="20"/>
          <w:szCs w:val="20"/>
          <w:highlight w:val="yellow"/>
          <w:lang w:val="en-GB"/>
        </w:rPr>
        <w:t>Village areas of hunting interest</w:t>
      </w:r>
      <w:r w:rsidR="0093108D" w:rsidRPr="0093108D" w:rsidDel="0093108D">
        <w:rPr>
          <w:rFonts w:ascii="Calibri" w:hAnsi="Calibri"/>
          <w:sz w:val="20"/>
          <w:szCs w:val="20"/>
          <w:lang w:val="en-GB"/>
        </w:rPr>
        <w:t xml:space="preserve"> </w:t>
      </w:r>
      <w:r w:rsidR="00302BFE" w:rsidRPr="0099310D">
        <w:rPr>
          <w:rFonts w:ascii="Calibri" w:hAnsi="Calibri"/>
          <w:sz w:val="20"/>
          <w:szCs w:val="20"/>
          <w:lang w:val="en-GB"/>
        </w:rPr>
        <w:t>(ZOVIC) is part of the process of communalisation promoted by Act No. 055 / AN of 2004, o</w:t>
      </w:r>
      <w:r w:rsidR="00916DD5" w:rsidRPr="0099310D">
        <w:rPr>
          <w:rFonts w:ascii="Calibri" w:hAnsi="Calibri"/>
          <w:sz w:val="20"/>
          <w:szCs w:val="20"/>
          <w:lang w:val="en-GB"/>
        </w:rPr>
        <w:t>f the</w:t>
      </w:r>
      <w:r w:rsidR="00302BFE" w:rsidRPr="0099310D">
        <w:rPr>
          <w:rFonts w:ascii="Calibri" w:hAnsi="Calibri"/>
          <w:sz w:val="20"/>
          <w:szCs w:val="20"/>
          <w:lang w:val="en-GB"/>
        </w:rPr>
        <w:t xml:space="preserve"> General Code of the Territorial Communities in Burkina Faso. In addition to the transfer of authority and resources to the Communities, this law divides the territories of the rural communes into three (3) areas including a living area, a production area and a conservation area that takes into account the flora and fauna protection areas of the villages. ZOVICs are Wildlife Protection Areas under Article 79 of the2011 Forest Code and correspond to portions of village lands delineated </w:t>
      </w:r>
      <w:r w:rsidR="00D82480" w:rsidRPr="0099310D">
        <w:rPr>
          <w:rFonts w:ascii="Calibri" w:hAnsi="Calibri"/>
          <w:sz w:val="20"/>
          <w:szCs w:val="20"/>
          <w:lang w:val="en-GB"/>
        </w:rPr>
        <w:t xml:space="preserve">by local communities </w:t>
      </w:r>
      <w:r w:rsidR="00302BFE" w:rsidRPr="0099310D">
        <w:rPr>
          <w:rFonts w:ascii="Calibri" w:hAnsi="Calibri"/>
          <w:sz w:val="20"/>
          <w:szCs w:val="20"/>
          <w:lang w:val="en-GB"/>
        </w:rPr>
        <w:t>on the periphery of national protected areas. The periphery is considered as part of the protected domain (as compared to a protected area which is under the State regime of classified areas). Local uses of ZOVICs are subject to rules for the rational management of resources determined by the village communities to which they belong. Because of this management and their location on the immediate outskirts of the national protected area, the ZOVICs serve as a buffer zone.</w:t>
      </w:r>
    </w:p>
    <w:p w14:paraId="086D2119" w14:textId="54AAF8E8" w:rsidR="00D85DCC" w:rsidRPr="0099310D" w:rsidRDefault="00D85DCC" w:rsidP="00C46720">
      <w:pPr>
        <w:pStyle w:val="Paragraphedeliste"/>
        <w:numPr>
          <w:ilvl w:val="0"/>
          <w:numId w:val="32"/>
        </w:numPr>
        <w:tabs>
          <w:tab w:val="left" w:pos="284"/>
        </w:tabs>
        <w:spacing w:before="120" w:after="120"/>
        <w:ind w:left="0" w:firstLine="0"/>
        <w:jc w:val="both"/>
        <w:rPr>
          <w:rFonts w:asciiTheme="minorHAnsi" w:hAnsiTheme="minorHAnsi"/>
          <w:sz w:val="20"/>
          <w:szCs w:val="20"/>
          <w:lang w:val="en-GB"/>
        </w:rPr>
      </w:pPr>
      <w:r w:rsidRPr="0099310D">
        <w:rPr>
          <w:rFonts w:asciiTheme="minorHAnsi" w:hAnsiTheme="minorHAnsi"/>
          <w:bCs/>
          <w:sz w:val="20"/>
          <w:szCs w:val="20"/>
          <w:u w:val="single"/>
          <w:lang w:val="en-GB"/>
        </w:rPr>
        <w:t>Hunting management in PAs and in ZOVICs</w:t>
      </w:r>
      <w:r w:rsidRPr="0099310D">
        <w:rPr>
          <w:rFonts w:asciiTheme="minorHAnsi" w:hAnsiTheme="minorHAnsi"/>
          <w:bCs/>
          <w:sz w:val="20"/>
          <w:szCs w:val="20"/>
          <w:lang w:val="en-GB"/>
        </w:rPr>
        <w:t xml:space="preserve">. Big and small game hunting in PAs and in ZOVICs are regulated and require the purchase of hunting permits by outside and local hunters and local communities. </w:t>
      </w:r>
      <w:bookmarkStart w:id="5" w:name="_Hlk43713812"/>
      <w:r w:rsidRPr="0099310D">
        <w:rPr>
          <w:rFonts w:asciiTheme="minorHAnsi" w:hAnsiTheme="minorHAnsi"/>
          <w:sz w:val="20"/>
          <w:szCs w:val="20"/>
          <w:lang w:val="en-CA"/>
        </w:rPr>
        <w:t xml:space="preserve">Government </w:t>
      </w:r>
      <w:r w:rsidRPr="0099310D">
        <w:rPr>
          <w:rFonts w:asciiTheme="minorHAnsi" w:hAnsiTheme="minorHAnsi" w:cs="Swiss721BT-Roman"/>
          <w:sz w:val="20"/>
          <w:szCs w:val="20"/>
          <w:lang w:val="en-CA"/>
        </w:rPr>
        <w:t xml:space="preserve">holds control of the areas and ensures its sovereign functions, namely </w:t>
      </w:r>
      <w:r w:rsidRPr="0099310D">
        <w:rPr>
          <w:rFonts w:asciiTheme="minorHAnsi" w:hAnsiTheme="minorHAnsi"/>
          <w:sz w:val="20"/>
          <w:szCs w:val="20"/>
          <w:lang w:val="en-CA"/>
        </w:rPr>
        <w:t xml:space="preserve">i) allocates areas for concessions, defining specifications for the management of concessions by concessionaires and monitoring their observation, and assessing concessions, ii) determines hunting regulations and quotas, </w:t>
      </w:r>
      <w:r w:rsidRPr="0099310D">
        <w:rPr>
          <w:rFonts w:asciiTheme="minorHAnsi" w:hAnsiTheme="minorHAnsi" w:cs="Swiss721BT-Roman"/>
          <w:sz w:val="20"/>
          <w:szCs w:val="20"/>
          <w:lang w:val="en-CA"/>
        </w:rPr>
        <w:t>iii) de</w:t>
      </w:r>
      <w:r w:rsidRPr="0099310D">
        <w:rPr>
          <w:rFonts w:asciiTheme="minorHAnsi" w:hAnsiTheme="minorHAnsi"/>
          <w:sz w:val="20"/>
          <w:szCs w:val="20"/>
          <w:lang w:val="en-CA"/>
        </w:rPr>
        <w:t xml:space="preserve">livers permits and licences for sport and traditional hunting and </w:t>
      </w:r>
      <w:r w:rsidRPr="0099310D">
        <w:rPr>
          <w:rFonts w:asciiTheme="minorHAnsi" w:hAnsiTheme="minorHAnsi" w:cs="Swiss721BT-Roman"/>
          <w:sz w:val="20"/>
          <w:szCs w:val="20"/>
          <w:lang w:val="en-CA"/>
        </w:rPr>
        <w:t xml:space="preserve">collects slaughter and concession fees, </w:t>
      </w:r>
      <w:r w:rsidRPr="0099310D">
        <w:rPr>
          <w:rFonts w:asciiTheme="minorHAnsi" w:hAnsiTheme="minorHAnsi"/>
          <w:sz w:val="20"/>
          <w:szCs w:val="20"/>
          <w:lang w:val="en-CA"/>
        </w:rPr>
        <w:t xml:space="preserve">and iv) undertakes surveillance and wildlife monitoring. </w:t>
      </w:r>
      <w:bookmarkEnd w:id="5"/>
      <w:r w:rsidRPr="0099310D">
        <w:rPr>
          <w:rFonts w:asciiTheme="minorHAnsi" w:hAnsiTheme="minorHAnsi"/>
          <w:sz w:val="20"/>
          <w:szCs w:val="20"/>
          <w:lang w:val="en-CA"/>
        </w:rPr>
        <w:t>The central and decentralized services of the Ministry in charge of wildlife, organize and supervise the conduct of the hunting and tourism season. Concessionaires are responsible for managing the exploitation of wildlife for a fixed period following specifications agreed with the Government. Royalties and taxes collected for the valuation of wildlife reserves are shared between the State and the local authorities.</w:t>
      </w:r>
      <w:r w:rsidRPr="0099310D">
        <w:rPr>
          <w:rStyle w:val="Appelnotedebasdep"/>
          <w:rFonts w:asciiTheme="minorHAnsi" w:hAnsiTheme="minorHAnsi"/>
          <w:sz w:val="20"/>
          <w:szCs w:val="20"/>
          <w:lang w:val="en-CA"/>
        </w:rPr>
        <w:footnoteReference w:id="2"/>
      </w:r>
      <w:r w:rsidRPr="0099310D">
        <w:rPr>
          <w:rFonts w:asciiTheme="minorHAnsi" w:hAnsiTheme="minorHAnsi"/>
          <w:sz w:val="20"/>
          <w:szCs w:val="20"/>
          <w:lang w:val="en-CA"/>
        </w:rPr>
        <w:t xml:space="preserve"> Tourism/sport hunting </w:t>
      </w:r>
      <w:r w:rsidRPr="0099310D">
        <w:rPr>
          <w:rFonts w:asciiTheme="minorHAnsi" w:hAnsiTheme="minorHAnsi"/>
          <w:noProof/>
          <w:sz w:val="20"/>
          <w:szCs w:val="20"/>
          <w:lang w:val="en-GB"/>
        </w:rPr>
        <w:t>in core PAs is expected to generate benefits for local communities through providing jobs as hunting guides and trackers and the sharing of revenues and meat of killed animals.</w:t>
      </w:r>
    </w:p>
    <w:p w14:paraId="5295142A" w14:textId="26A112A2" w:rsidR="00302BFE"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GB"/>
        </w:rPr>
      </w:pPr>
      <w:r w:rsidRPr="00987DAD">
        <w:rPr>
          <w:rFonts w:ascii="Calibri" w:hAnsi="Calibri"/>
          <w:b/>
          <w:sz w:val="20"/>
          <w:szCs w:val="20"/>
          <w:lang w:val="en-GB"/>
        </w:rPr>
        <w:t>PONASI PA Complex.</w:t>
      </w:r>
      <w:r w:rsidRPr="00987DAD">
        <w:rPr>
          <w:rFonts w:ascii="Calibri" w:hAnsi="Calibri"/>
          <w:sz w:val="20"/>
          <w:szCs w:val="20"/>
          <w:lang w:val="en-GB"/>
        </w:rPr>
        <w:t xml:space="preserve"> The Pô-Nazinga-Sissili (PONASI) Protected Area Complex was defined as a W</w:t>
      </w:r>
      <w:r>
        <w:rPr>
          <w:rFonts w:ascii="Calibri" w:hAnsi="Calibri"/>
          <w:sz w:val="20"/>
          <w:szCs w:val="20"/>
          <w:lang w:val="en-GB"/>
        </w:rPr>
        <w:t xml:space="preserve">ildlife </w:t>
      </w:r>
      <w:r w:rsidRPr="00987DAD">
        <w:rPr>
          <w:rFonts w:ascii="Calibri" w:hAnsi="Calibri"/>
          <w:sz w:val="20"/>
          <w:szCs w:val="20"/>
          <w:lang w:val="en-GB"/>
        </w:rPr>
        <w:t>C</w:t>
      </w:r>
      <w:r>
        <w:rPr>
          <w:rFonts w:ascii="Calibri" w:hAnsi="Calibri"/>
          <w:sz w:val="20"/>
          <w:szCs w:val="20"/>
          <w:lang w:val="en-GB"/>
        </w:rPr>
        <w:t xml:space="preserve">onservation </w:t>
      </w:r>
      <w:r w:rsidRPr="00987DAD">
        <w:rPr>
          <w:rFonts w:ascii="Calibri" w:hAnsi="Calibri"/>
          <w:sz w:val="20"/>
          <w:szCs w:val="20"/>
          <w:lang w:val="en-GB"/>
        </w:rPr>
        <w:t>U</w:t>
      </w:r>
      <w:r>
        <w:rPr>
          <w:rFonts w:ascii="Calibri" w:hAnsi="Calibri"/>
          <w:sz w:val="20"/>
          <w:szCs w:val="20"/>
          <w:lang w:val="en-GB"/>
        </w:rPr>
        <w:t>nit</w:t>
      </w:r>
      <w:r w:rsidRPr="00987DAD">
        <w:rPr>
          <w:rFonts w:ascii="Calibri" w:hAnsi="Calibri"/>
          <w:sz w:val="20"/>
          <w:szCs w:val="20"/>
          <w:lang w:val="en-GB"/>
        </w:rPr>
        <w:t xml:space="preserve"> along with 11 other such units in 1996 and included </w:t>
      </w:r>
      <w:r>
        <w:rPr>
          <w:rFonts w:ascii="Calibri" w:hAnsi="Calibri"/>
          <w:sz w:val="20"/>
          <w:szCs w:val="20"/>
          <w:lang w:val="en-GB"/>
        </w:rPr>
        <w:t xml:space="preserve">three (3) State </w:t>
      </w:r>
      <w:r w:rsidRPr="00987DAD">
        <w:rPr>
          <w:rFonts w:ascii="Calibri" w:hAnsi="Calibri"/>
          <w:sz w:val="20"/>
          <w:szCs w:val="20"/>
          <w:lang w:val="en-GB"/>
        </w:rPr>
        <w:t>protected areas</w:t>
      </w:r>
      <w:r>
        <w:rPr>
          <w:rFonts w:ascii="Calibri" w:hAnsi="Calibri"/>
          <w:sz w:val="20"/>
          <w:szCs w:val="20"/>
          <w:lang w:val="en-GB"/>
        </w:rPr>
        <w:t xml:space="preserve">: </w:t>
      </w:r>
      <w:r w:rsidRPr="00987DAD">
        <w:rPr>
          <w:rFonts w:ascii="Calibri" w:hAnsi="Calibri"/>
          <w:sz w:val="20"/>
          <w:szCs w:val="20"/>
          <w:lang w:val="en-GB"/>
        </w:rPr>
        <w:t xml:space="preserve">the Pô / Kaboré-Tambi </w:t>
      </w:r>
      <w:r w:rsidR="00A57463" w:rsidRPr="00A63E29">
        <w:rPr>
          <w:rFonts w:ascii="Calibri" w:hAnsi="Calibri"/>
          <w:sz w:val="20"/>
          <w:szCs w:val="20"/>
          <w:highlight w:val="yellow"/>
          <w:lang w:val="en-GB"/>
        </w:rPr>
        <w:t>(</w:t>
      </w:r>
      <w:r w:rsidR="00335135" w:rsidRPr="00A63E29">
        <w:rPr>
          <w:rFonts w:ascii="Calibri" w:hAnsi="Calibri"/>
          <w:sz w:val="20"/>
          <w:szCs w:val="20"/>
          <w:highlight w:val="yellow"/>
          <w:lang w:val="en-GB"/>
        </w:rPr>
        <w:t>PNKT</w:t>
      </w:r>
      <w:r w:rsidR="00A57463" w:rsidRPr="00A63E29">
        <w:rPr>
          <w:rFonts w:ascii="Calibri" w:hAnsi="Calibri"/>
          <w:sz w:val="20"/>
          <w:szCs w:val="20"/>
          <w:highlight w:val="yellow"/>
          <w:lang w:val="en-GB"/>
        </w:rPr>
        <w:t>)</w:t>
      </w:r>
      <w:r w:rsidR="00335135">
        <w:rPr>
          <w:rFonts w:ascii="Calibri" w:hAnsi="Calibri"/>
          <w:sz w:val="20"/>
          <w:szCs w:val="20"/>
          <w:lang w:val="en-GB"/>
        </w:rPr>
        <w:t xml:space="preserve"> </w:t>
      </w:r>
      <w:r w:rsidRPr="00987DAD">
        <w:rPr>
          <w:rFonts w:ascii="Calibri" w:hAnsi="Calibri"/>
          <w:sz w:val="20"/>
          <w:szCs w:val="20"/>
          <w:lang w:val="en-GB"/>
        </w:rPr>
        <w:t xml:space="preserve">National Park, the Nazinga Classified Forest and Game Ranch, </w:t>
      </w:r>
      <w:r>
        <w:rPr>
          <w:rFonts w:ascii="Calibri" w:hAnsi="Calibri"/>
          <w:sz w:val="20"/>
          <w:szCs w:val="20"/>
          <w:lang w:val="en-GB"/>
        </w:rPr>
        <w:t xml:space="preserve">and </w:t>
      </w:r>
      <w:r w:rsidRPr="00987DAD">
        <w:rPr>
          <w:rFonts w:ascii="Calibri" w:hAnsi="Calibri"/>
          <w:sz w:val="20"/>
          <w:szCs w:val="20"/>
          <w:lang w:val="en-GB"/>
        </w:rPr>
        <w:t>the Sissili Classified Forest and Hunting Area</w:t>
      </w:r>
      <w:r>
        <w:rPr>
          <w:rFonts w:ascii="Calibri" w:hAnsi="Calibri"/>
          <w:sz w:val="20"/>
          <w:szCs w:val="20"/>
          <w:lang w:val="en-GB"/>
        </w:rPr>
        <w:t xml:space="preserve">, and eleven (11) village hunting areas </w:t>
      </w:r>
      <w:r w:rsidR="00F93BF7" w:rsidRPr="00931AF3">
        <w:rPr>
          <w:rFonts w:ascii="Calibri" w:hAnsi="Calibri"/>
          <w:sz w:val="20"/>
          <w:szCs w:val="20"/>
          <w:lang w:val="en-GB"/>
        </w:rPr>
        <w:t xml:space="preserve">(ZOVIC) </w:t>
      </w:r>
      <w:r w:rsidR="00F93BF7">
        <w:rPr>
          <w:rFonts w:ascii="Calibri" w:hAnsi="Calibri"/>
          <w:sz w:val="20"/>
          <w:szCs w:val="20"/>
          <w:lang w:val="en-GB"/>
        </w:rPr>
        <w:t>as</w:t>
      </w:r>
      <w:r>
        <w:rPr>
          <w:rFonts w:ascii="Calibri" w:hAnsi="Calibri"/>
          <w:sz w:val="20"/>
          <w:szCs w:val="20"/>
          <w:lang w:val="en-GB"/>
        </w:rPr>
        <w:t xml:space="preserve"> community manage</w:t>
      </w:r>
      <w:r w:rsidR="00F93BF7">
        <w:rPr>
          <w:rFonts w:ascii="Calibri" w:hAnsi="Calibri"/>
          <w:sz w:val="20"/>
          <w:szCs w:val="20"/>
          <w:lang w:val="en-GB"/>
        </w:rPr>
        <w:t xml:space="preserve">d </w:t>
      </w:r>
      <w:r w:rsidRPr="00931AF3">
        <w:rPr>
          <w:rFonts w:ascii="Calibri" w:hAnsi="Calibri"/>
          <w:sz w:val="20"/>
          <w:szCs w:val="20"/>
          <w:lang w:val="en-GB"/>
        </w:rPr>
        <w:t>protected areas contiguous to the State domain.</w:t>
      </w:r>
      <w:r>
        <w:rPr>
          <w:rFonts w:ascii="Calibri" w:hAnsi="Calibri"/>
          <w:sz w:val="20"/>
          <w:szCs w:val="20"/>
          <w:lang w:val="en-GB"/>
        </w:rPr>
        <w:t xml:space="preserve"> The project intervention site also includes </w:t>
      </w:r>
      <w:r w:rsidRPr="00987DAD">
        <w:rPr>
          <w:rFonts w:ascii="Calibri" w:hAnsi="Calibri"/>
          <w:sz w:val="20"/>
          <w:szCs w:val="20"/>
          <w:lang w:val="en-GB"/>
        </w:rPr>
        <w:t xml:space="preserve">two wildlife corridors along the Ghana border. </w:t>
      </w:r>
      <w:r w:rsidRPr="00D13F0C">
        <w:rPr>
          <w:rFonts w:ascii="Calibri" w:hAnsi="Calibri"/>
          <w:sz w:val="20"/>
          <w:szCs w:val="20"/>
          <w:lang w:val="en-GB"/>
        </w:rPr>
        <w:t xml:space="preserve">These protected areas </w:t>
      </w:r>
      <w:r w:rsidRPr="00CB2536">
        <w:rPr>
          <w:rFonts w:ascii="Calibri" w:hAnsi="Calibri"/>
          <w:sz w:val="20"/>
          <w:szCs w:val="20"/>
          <w:lang w:val="en-GB"/>
        </w:rPr>
        <w:t>are presented in Table 1</w:t>
      </w:r>
      <w:r>
        <w:rPr>
          <w:rFonts w:ascii="Calibri" w:hAnsi="Calibri"/>
          <w:sz w:val="20"/>
          <w:szCs w:val="20"/>
          <w:lang w:val="en-GB"/>
        </w:rPr>
        <w:t xml:space="preserve"> and illustrated in Figure 1</w:t>
      </w:r>
      <w:r w:rsidRPr="00D13F0C">
        <w:rPr>
          <w:rFonts w:ascii="Calibri" w:hAnsi="Calibri"/>
          <w:sz w:val="20"/>
          <w:szCs w:val="20"/>
          <w:lang w:val="en-GB"/>
        </w:rPr>
        <w:t>.</w:t>
      </w:r>
      <w:r>
        <w:rPr>
          <w:rFonts w:ascii="Calibri" w:hAnsi="Calibri"/>
          <w:sz w:val="20"/>
          <w:szCs w:val="20"/>
          <w:lang w:val="en-GB"/>
        </w:rPr>
        <w:t xml:space="preserve"> The PONASI complex of PAs</w:t>
      </w:r>
      <w:r w:rsidRPr="00987DAD">
        <w:rPr>
          <w:rFonts w:ascii="Calibri" w:hAnsi="Calibri"/>
          <w:sz w:val="20"/>
          <w:szCs w:val="20"/>
          <w:lang w:val="en-GB"/>
        </w:rPr>
        <w:t xml:space="preserve"> covers an area of approximately </w:t>
      </w:r>
      <w:r w:rsidRPr="0029631F">
        <w:rPr>
          <w:rFonts w:ascii="Calibri" w:hAnsi="Calibri"/>
          <w:sz w:val="20"/>
          <w:szCs w:val="20"/>
          <w:lang w:val="en-GB"/>
        </w:rPr>
        <w:t>354,781</w:t>
      </w:r>
      <w:r w:rsidRPr="00987DAD">
        <w:rPr>
          <w:rFonts w:ascii="Calibri" w:hAnsi="Calibri"/>
          <w:sz w:val="20"/>
          <w:szCs w:val="20"/>
          <w:lang w:val="en-GB"/>
        </w:rPr>
        <w:t xml:space="preserve"> ha </w:t>
      </w:r>
      <w:r w:rsidRPr="00C91527">
        <w:rPr>
          <w:rFonts w:ascii="Calibri" w:hAnsi="Calibri"/>
          <w:sz w:val="20"/>
          <w:szCs w:val="20"/>
          <w:lang w:val="en-GB"/>
        </w:rPr>
        <w:t>and is the only ecological ensemble and continuum for the conservation of globally significant biodiversity in the Center-East, Center-South and Center-West regions of Burkina Faso. It is also contiguous to protected areas in northern Ghana.</w:t>
      </w:r>
    </w:p>
    <w:p w14:paraId="3C337E01" w14:textId="77777777" w:rsidR="00302BFE" w:rsidRDefault="00302BFE" w:rsidP="00302BFE">
      <w:pPr>
        <w:spacing w:before="240"/>
        <w:ind w:left="2487"/>
        <w:rPr>
          <w:b/>
          <w:sz w:val="22"/>
          <w:szCs w:val="22"/>
          <w:lang w:val="en-CA"/>
        </w:rPr>
      </w:pPr>
      <w:r w:rsidRPr="00CB2536">
        <w:rPr>
          <w:b/>
          <w:lang w:val="en-CA"/>
        </w:rPr>
        <w:lastRenderedPageBreak/>
        <w:t>Table 1. State and community protected areas in the PONASI landscape</w:t>
      </w:r>
      <w:r>
        <w:rPr>
          <w:b/>
          <w:lang w:val="en-CA"/>
        </w:rPr>
        <w:t xml:space="preserve"> </w:t>
      </w:r>
    </w:p>
    <w:tbl>
      <w:tblPr>
        <w:tblW w:w="11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8"/>
        <w:gridCol w:w="2007"/>
        <w:gridCol w:w="1080"/>
        <w:gridCol w:w="1440"/>
        <w:gridCol w:w="810"/>
        <w:gridCol w:w="1440"/>
        <w:gridCol w:w="1400"/>
        <w:gridCol w:w="887"/>
        <w:gridCol w:w="1223"/>
      </w:tblGrid>
      <w:tr w:rsidR="007E5AC8" w14:paraId="16013666" w14:textId="77777777" w:rsidTr="00A63E29">
        <w:trPr>
          <w:tblHeader/>
          <w:jc w:val="center"/>
        </w:trPr>
        <w:tc>
          <w:tcPr>
            <w:tcW w:w="1228" w:type="dxa"/>
            <w:tcBorders>
              <w:top w:val="single" w:sz="4" w:space="0" w:color="auto"/>
              <w:left w:val="single" w:sz="4" w:space="0" w:color="auto"/>
              <w:bottom w:val="single" w:sz="4" w:space="0" w:color="auto"/>
              <w:right w:val="single" w:sz="4" w:space="0" w:color="auto"/>
            </w:tcBorders>
            <w:shd w:val="clear" w:color="auto" w:fill="FFF2CC"/>
            <w:hideMark/>
          </w:tcPr>
          <w:p w14:paraId="1E75B1AD" w14:textId="77777777" w:rsidR="00335135" w:rsidRDefault="00335135" w:rsidP="00243B15">
            <w:pPr>
              <w:spacing w:after="0"/>
              <w:rPr>
                <w:b/>
                <w:sz w:val="18"/>
                <w:szCs w:val="18"/>
              </w:rPr>
            </w:pPr>
            <w:r>
              <w:rPr>
                <w:b/>
                <w:sz w:val="18"/>
                <w:szCs w:val="18"/>
              </w:rPr>
              <w:t>Name</w:t>
            </w:r>
          </w:p>
        </w:tc>
        <w:tc>
          <w:tcPr>
            <w:tcW w:w="2007" w:type="dxa"/>
            <w:tcBorders>
              <w:top w:val="single" w:sz="4" w:space="0" w:color="auto"/>
              <w:left w:val="single" w:sz="4" w:space="0" w:color="auto"/>
              <w:bottom w:val="single" w:sz="4" w:space="0" w:color="auto"/>
              <w:right w:val="single" w:sz="4" w:space="0" w:color="auto"/>
            </w:tcBorders>
            <w:shd w:val="clear" w:color="auto" w:fill="FFF2CC"/>
          </w:tcPr>
          <w:p w14:paraId="5A2181CB" w14:textId="33A96797" w:rsidR="00335135" w:rsidRDefault="00973839" w:rsidP="00243B15">
            <w:pPr>
              <w:spacing w:after="0"/>
              <w:rPr>
                <w:b/>
                <w:sz w:val="18"/>
                <w:szCs w:val="18"/>
              </w:rPr>
            </w:pPr>
            <w:r w:rsidRPr="00EF6D8E">
              <w:rPr>
                <w:b/>
                <w:sz w:val="18"/>
                <w:szCs w:val="18"/>
                <w:highlight w:val="yellow"/>
                <w:lang w:val="fr-FR"/>
              </w:rPr>
              <w:t>Provinces</w:t>
            </w:r>
          </w:p>
        </w:tc>
        <w:tc>
          <w:tcPr>
            <w:tcW w:w="1080" w:type="dxa"/>
            <w:tcBorders>
              <w:top w:val="single" w:sz="4" w:space="0" w:color="auto"/>
              <w:left w:val="single" w:sz="4" w:space="0" w:color="auto"/>
              <w:bottom w:val="single" w:sz="4" w:space="0" w:color="auto"/>
              <w:right w:val="single" w:sz="4" w:space="0" w:color="auto"/>
            </w:tcBorders>
            <w:shd w:val="clear" w:color="auto" w:fill="FFF2CC"/>
            <w:hideMark/>
          </w:tcPr>
          <w:p w14:paraId="242DEE00" w14:textId="5D928C69" w:rsidR="00335135" w:rsidRDefault="00335135" w:rsidP="00243B15">
            <w:pPr>
              <w:spacing w:after="0"/>
              <w:rPr>
                <w:b/>
                <w:sz w:val="18"/>
                <w:szCs w:val="18"/>
              </w:rPr>
            </w:pPr>
            <w:r>
              <w:rPr>
                <w:b/>
                <w:sz w:val="18"/>
                <w:szCs w:val="18"/>
              </w:rPr>
              <w:t>Area (ha)</w:t>
            </w:r>
          </w:p>
        </w:tc>
        <w:tc>
          <w:tcPr>
            <w:tcW w:w="1440" w:type="dxa"/>
            <w:tcBorders>
              <w:top w:val="single" w:sz="4" w:space="0" w:color="auto"/>
              <w:left w:val="single" w:sz="4" w:space="0" w:color="auto"/>
              <w:bottom w:val="single" w:sz="4" w:space="0" w:color="auto"/>
              <w:right w:val="single" w:sz="4" w:space="0" w:color="auto"/>
            </w:tcBorders>
            <w:shd w:val="clear" w:color="auto" w:fill="FFF2CC"/>
            <w:hideMark/>
          </w:tcPr>
          <w:p w14:paraId="111039AA" w14:textId="77777777" w:rsidR="00335135" w:rsidRDefault="00335135" w:rsidP="00243B15">
            <w:pPr>
              <w:spacing w:after="0"/>
              <w:rPr>
                <w:b/>
                <w:sz w:val="18"/>
                <w:szCs w:val="18"/>
              </w:rPr>
            </w:pPr>
            <w:r>
              <w:rPr>
                <w:b/>
                <w:sz w:val="18"/>
                <w:szCs w:val="18"/>
              </w:rPr>
              <w:t xml:space="preserve">National classification </w:t>
            </w:r>
          </w:p>
        </w:tc>
        <w:tc>
          <w:tcPr>
            <w:tcW w:w="810" w:type="dxa"/>
            <w:tcBorders>
              <w:top w:val="single" w:sz="4" w:space="0" w:color="auto"/>
              <w:left w:val="single" w:sz="4" w:space="0" w:color="auto"/>
              <w:bottom w:val="single" w:sz="4" w:space="0" w:color="auto"/>
              <w:right w:val="single" w:sz="4" w:space="0" w:color="auto"/>
            </w:tcBorders>
            <w:shd w:val="clear" w:color="auto" w:fill="FFF2CC"/>
            <w:hideMark/>
          </w:tcPr>
          <w:p w14:paraId="4263FFB7" w14:textId="77777777" w:rsidR="00A72842" w:rsidRDefault="00335135" w:rsidP="00243B15">
            <w:pPr>
              <w:spacing w:after="0"/>
              <w:rPr>
                <w:b/>
                <w:sz w:val="18"/>
                <w:szCs w:val="18"/>
              </w:rPr>
            </w:pPr>
            <w:r>
              <w:rPr>
                <w:b/>
                <w:sz w:val="18"/>
                <w:szCs w:val="18"/>
              </w:rPr>
              <w:t>Cat.</w:t>
            </w:r>
          </w:p>
          <w:p w14:paraId="3680E30F" w14:textId="099F614A" w:rsidR="00335135" w:rsidRDefault="00335135" w:rsidP="00243B15">
            <w:pPr>
              <w:spacing w:after="0"/>
              <w:rPr>
                <w:b/>
                <w:sz w:val="18"/>
                <w:szCs w:val="18"/>
              </w:rPr>
            </w:pPr>
            <w:r>
              <w:rPr>
                <w:b/>
                <w:sz w:val="18"/>
                <w:szCs w:val="18"/>
              </w:rPr>
              <w:t xml:space="preserve"> IUCN</w:t>
            </w:r>
          </w:p>
        </w:tc>
        <w:tc>
          <w:tcPr>
            <w:tcW w:w="1440" w:type="dxa"/>
            <w:tcBorders>
              <w:top w:val="single" w:sz="4" w:space="0" w:color="auto"/>
              <w:left w:val="single" w:sz="4" w:space="0" w:color="auto"/>
              <w:bottom w:val="single" w:sz="4" w:space="0" w:color="auto"/>
              <w:right w:val="single" w:sz="4" w:space="0" w:color="auto"/>
            </w:tcBorders>
            <w:shd w:val="clear" w:color="auto" w:fill="FFF2CC"/>
            <w:hideMark/>
          </w:tcPr>
          <w:p w14:paraId="0993880D" w14:textId="77777777" w:rsidR="00335135" w:rsidRDefault="00335135" w:rsidP="00243B15">
            <w:pPr>
              <w:spacing w:after="0"/>
              <w:rPr>
                <w:b/>
                <w:sz w:val="18"/>
                <w:szCs w:val="18"/>
              </w:rPr>
            </w:pPr>
            <w:r>
              <w:rPr>
                <w:b/>
                <w:sz w:val="18"/>
                <w:szCs w:val="18"/>
              </w:rPr>
              <w:t>Management Unit</w:t>
            </w:r>
          </w:p>
        </w:tc>
        <w:tc>
          <w:tcPr>
            <w:tcW w:w="1400" w:type="dxa"/>
            <w:tcBorders>
              <w:top w:val="single" w:sz="4" w:space="0" w:color="auto"/>
              <w:left w:val="single" w:sz="4" w:space="0" w:color="auto"/>
              <w:bottom w:val="single" w:sz="4" w:space="0" w:color="auto"/>
              <w:right w:val="single" w:sz="4" w:space="0" w:color="auto"/>
            </w:tcBorders>
            <w:shd w:val="clear" w:color="auto" w:fill="FFF2CC"/>
            <w:hideMark/>
          </w:tcPr>
          <w:p w14:paraId="7BD706C7" w14:textId="77777777" w:rsidR="00335135" w:rsidRDefault="00335135" w:rsidP="00243B15">
            <w:pPr>
              <w:spacing w:after="0"/>
              <w:rPr>
                <w:b/>
                <w:sz w:val="18"/>
                <w:szCs w:val="18"/>
              </w:rPr>
            </w:pPr>
            <w:r>
              <w:rPr>
                <w:b/>
                <w:sz w:val="18"/>
                <w:szCs w:val="18"/>
              </w:rPr>
              <w:t>Management plan</w:t>
            </w:r>
          </w:p>
        </w:tc>
        <w:tc>
          <w:tcPr>
            <w:tcW w:w="887" w:type="dxa"/>
            <w:tcBorders>
              <w:top w:val="single" w:sz="4" w:space="0" w:color="auto"/>
              <w:left w:val="single" w:sz="4" w:space="0" w:color="auto"/>
              <w:bottom w:val="single" w:sz="4" w:space="0" w:color="auto"/>
              <w:right w:val="single" w:sz="4" w:space="0" w:color="auto"/>
            </w:tcBorders>
            <w:shd w:val="clear" w:color="auto" w:fill="FFF2CC"/>
            <w:hideMark/>
          </w:tcPr>
          <w:p w14:paraId="032BF902" w14:textId="77777777" w:rsidR="00335135" w:rsidRDefault="00335135" w:rsidP="00243B15">
            <w:pPr>
              <w:spacing w:after="0"/>
              <w:rPr>
                <w:b/>
                <w:sz w:val="18"/>
                <w:szCs w:val="18"/>
              </w:rPr>
            </w:pPr>
            <w:r>
              <w:rPr>
                <w:b/>
                <w:sz w:val="18"/>
                <w:szCs w:val="18"/>
              </w:rPr>
              <w:t>Status</w:t>
            </w:r>
          </w:p>
        </w:tc>
        <w:tc>
          <w:tcPr>
            <w:tcW w:w="1223" w:type="dxa"/>
            <w:tcBorders>
              <w:top w:val="single" w:sz="4" w:space="0" w:color="auto"/>
              <w:left w:val="single" w:sz="4" w:space="0" w:color="auto"/>
              <w:bottom w:val="single" w:sz="4" w:space="0" w:color="auto"/>
              <w:right w:val="single" w:sz="4" w:space="0" w:color="auto"/>
            </w:tcBorders>
            <w:shd w:val="clear" w:color="auto" w:fill="FFF2CC"/>
            <w:hideMark/>
          </w:tcPr>
          <w:p w14:paraId="48FC66D1" w14:textId="77777777" w:rsidR="00335135" w:rsidRDefault="00335135" w:rsidP="00243B15">
            <w:pPr>
              <w:spacing w:after="0"/>
              <w:rPr>
                <w:b/>
                <w:sz w:val="18"/>
                <w:szCs w:val="18"/>
              </w:rPr>
            </w:pPr>
            <w:r>
              <w:rPr>
                <w:b/>
                <w:sz w:val="18"/>
                <w:szCs w:val="18"/>
              </w:rPr>
              <w:t>Management Authority</w:t>
            </w:r>
          </w:p>
        </w:tc>
      </w:tr>
      <w:tr w:rsidR="00056241" w14:paraId="0BD91037" w14:textId="77777777" w:rsidTr="00A63E29">
        <w:trPr>
          <w:tblHeader/>
          <w:jc w:val="center"/>
        </w:trPr>
        <w:tc>
          <w:tcPr>
            <w:tcW w:w="11515" w:type="dxa"/>
            <w:gridSpan w:val="9"/>
            <w:tcBorders>
              <w:top w:val="single" w:sz="4" w:space="0" w:color="auto"/>
              <w:left w:val="single" w:sz="4" w:space="0" w:color="auto"/>
              <w:bottom w:val="single" w:sz="4" w:space="0" w:color="auto"/>
              <w:right w:val="single" w:sz="4" w:space="0" w:color="auto"/>
            </w:tcBorders>
            <w:shd w:val="clear" w:color="auto" w:fill="auto"/>
          </w:tcPr>
          <w:p w14:paraId="70FBEDA7" w14:textId="6A905FA0" w:rsidR="00056241" w:rsidRPr="00A63E29" w:rsidRDefault="008317E5" w:rsidP="00A63E29">
            <w:pPr>
              <w:tabs>
                <w:tab w:val="left" w:pos="4560"/>
              </w:tabs>
              <w:spacing w:after="0"/>
              <w:rPr>
                <w:bCs/>
                <w:sz w:val="18"/>
                <w:szCs w:val="18"/>
              </w:rPr>
            </w:pPr>
            <w:r>
              <w:rPr>
                <w:b/>
                <w:sz w:val="18"/>
                <w:szCs w:val="18"/>
              </w:rPr>
              <w:tab/>
            </w:r>
            <w:r w:rsidRPr="00A63E29">
              <w:rPr>
                <w:bCs/>
                <w:sz w:val="18"/>
                <w:szCs w:val="18"/>
                <w:highlight w:val="yellow"/>
              </w:rPr>
              <w:t>State protected areas</w:t>
            </w:r>
          </w:p>
        </w:tc>
      </w:tr>
      <w:tr w:rsidR="007E5AC8" w14:paraId="03348BEC" w14:textId="77777777" w:rsidTr="00A63E29">
        <w:trPr>
          <w:jc w:val="center"/>
        </w:trPr>
        <w:tc>
          <w:tcPr>
            <w:tcW w:w="1228" w:type="dxa"/>
            <w:tcBorders>
              <w:top w:val="single" w:sz="4" w:space="0" w:color="auto"/>
              <w:left w:val="single" w:sz="4" w:space="0" w:color="auto"/>
              <w:bottom w:val="single" w:sz="4" w:space="0" w:color="auto"/>
              <w:right w:val="single" w:sz="4" w:space="0" w:color="auto"/>
            </w:tcBorders>
            <w:hideMark/>
          </w:tcPr>
          <w:p w14:paraId="4790A2B3" w14:textId="77777777" w:rsidR="007E5AC8" w:rsidRDefault="007E5AC8" w:rsidP="007E5AC8">
            <w:pPr>
              <w:spacing w:after="0"/>
              <w:rPr>
                <w:sz w:val="18"/>
                <w:szCs w:val="18"/>
              </w:rPr>
            </w:pPr>
            <w:r>
              <w:rPr>
                <w:sz w:val="18"/>
                <w:szCs w:val="18"/>
              </w:rPr>
              <w:t>Kaboré-Tambi</w:t>
            </w:r>
          </w:p>
        </w:tc>
        <w:tc>
          <w:tcPr>
            <w:tcW w:w="2007" w:type="dxa"/>
            <w:tcBorders>
              <w:top w:val="single" w:sz="4" w:space="0" w:color="auto"/>
              <w:left w:val="single" w:sz="4" w:space="0" w:color="auto"/>
              <w:bottom w:val="single" w:sz="4" w:space="0" w:color="auto"/>
              <w:right w:val="single" w:sz="4" w:space="0" w:color="auto"/>
            </w:tcBorders>
          </w:tcPr>
          <w:p w14:paraId="7E904449" w14:textId="28F31348" w:rsidR="007E5AC8" w:rsidRPr="00157582" w:rsidRDefault="0053008A" w:rsidP="007E5AC8">
            <w:pPr>
              <w:spacing w:after="0"/>
              <w:rPr>
                <w:sz w:val="18"/>
                <w:szCs w:val="18"/>
                <w:highlight w:val="yellow"/>
                <w:lang w:val="fr-FR"/>
              </w:rPr>
            </w:pPr>
            <w:hyperlink r:id="rId13" w:tooltip="Bazèga" w:history="1">
              <w:r w:rsidR="007E5AC8" w:rsidRPr="00A63E29">
                <w:rPr>
                  <w:rStyle w:val="Lienhypertexte"/>
                  <w:color w:val="000000" w:themeColor="text1"/>
                  <w:sz w:val="18"/>
                  <w:szCs w:val="18"/>
                  <w:highlight w:val="yellow"/>
                  <w:u w:val="none"/>
                  <w:lang w:val="fr-FR"/>
                </w:rPr>
                <w:t>Bazèga</w:t>
              </w:r>
            </w:hyperlink>
            <w:r w:rsidR="007E5AC8" w:rsidRPr="00A63E29">
              <w:rPr>
                <w:color w:val="000000" w:themeColor="text1"/>
                <w:sz w:val="18"/>
                <w:szCs w:val="18"/>
                <w:highlight w:val="yellow"/>
                <w:lang w:val="fr-FR"/>
              </w:rPr>
              <w:t>, </w:t>
            </w:r>
            <w:hyperlink r:id="rId14" w:tooltip="Nahouri (province)" w:history="1">
              <w:r w:rsidR="007E5AC8" w:rsidRPr="00A63E29">
                <w:rPr>
                  <w:rStyle w:val="Lienhypertexte"/>
                  <w:color w:val="000000" w:themeColor="text1"/>
                  <w:sz w:val="18"/>
                  <w:szCs w:val="18"/>
                  <w:highlight w:val="yellow"/>
                  <w:u w:val="none"/>
                  <w:lang w:val="fr-FR"/>
                </w:rPr>
                <w:t>Nahouri</w:t>
              </w:r>
            </w:hyperlink>
            <w:r w:rsidR="007E5AC8" w:rsidRPr="00A63E29">
              <w:rPr>
                <w:color w:val="000000" w:themeColor="text1"/>
                <w:sz w:val="18"/>
                <w:szCs w:val="18"/>
                <w:highlight w:val="yellow"/>
                <w:lang w:val="fr-FR"/>
              </w:rPr>
              <w:t>, </w:t>
            </w:r>
            <w:hyperlink r:id="rId15" w:tooltip="Ziro" w:history="1">
              <w:r w:rsidR="007E5AC8" w:rsidRPr="00A63E29">
                <w:rPr>
                  <w:rStyle w:val="Lienhypertexte"/>
                  <w:color w:val="000000" w:themeColor="text1"/>
                  <w:sz w:val="18"/>
                  <w:szCs w:val="18"/>
                  <w:highlight w:val="yellow"/>
                  <w:u w:val="none"/>
                  <w:lang w:val="fr-FR"/>
                </w:rPr>
                <w:t>Ziro</w:t>
              </w:r>
            </w:hyperlink>
            <w:r w:rsidR="007E5AC8" w:rsidRPr="00A63E29">
              <w:rPr>
                <w:color w:val="000000" w:themeColor="text1"/>
                <w:sz w:val="18"/>
                <w:szCs w:val="18"/>
                <w:highlight w:val="yellow"/>
                <w:lang w:val="fr-FR"/>
              </w:rPr>
              <w:t> et </w:t>
            </w:r>
            <w:hyperlink r:id="rId16" w:tooltip="Zoundwéogo" w:history="1">
              <w:r w:rsidR="007E5AC8" w:rsidRPr="00A63E29">
                <w:rPr>
                  <w:rStyle w:val="Lienhypertexte"/>
                  <w:color w:val="000000" w:themeColor="text1"/>
                  <w:sz w:val="18"/>
                  <w:szCs w:val="18"/>
                  <w:highlight w:val="yellow"/>
                  <w:u w:val="none"/>
                  <w:lang w:val="fr-FR"/>
                </w:rPr>
                <w:t>Zoundwéogo</w:t>
              </w:r>
            </w:hyperlink>
          </w:p>
        </w:tc>
        <w:tc>
          <w:tcPr>
            <w:tcW w:w="1080" w:type="dxa"/>
            <w:tcBorders>
              <w:top w:val="single" w:sz="4" w:space="0" w:color="auto"/>
              <w:left w:val="single" w:sz="4" w:space="0" w:color="auto"/>
              <w:bottom w:val="single" w:sz="4" w:space="0" w:color="auto"/>
              <w:right w:val="single" w:sz="4" w:space="0" w:color="auto"/>
            </w:tcBorders>
            <w:hideMark/>
          </w:tcPr>
          <w:p w14:paraId="12BE76FC" w14:textId="347B704F" w:rsidR="007E5AC8" w:rsidRDefault="007E5AC8" w:rsidP="007E5AC8">
            <w:pPr>
              <w:spacing w:after="0"/>
              <w:rPr>
                <w:sz w:val="18"/>
                <w:szCs w:val="18"/>
              </w:rPr>
            </w:pPr>
            <w:r>
              <w:rPr>
                <w:sz w:val="18"/>
                <w:szCs w:val="18"/>
              </w:rPr>
              <w:t>169,000</w:t>
            </w:r>
          </w:p>
        </w:tc>
        <w:tc>
          <w:tcPr>
            <w:tcW w:w="1440" w:type="dxa"/>
            <w:tcBorders>
              <w:top w:val="single" w:sz="4" w:space="0" w:color="auto"/>
              <w:left w:val="single" w:sz="4" w:space="0" w:color="auto"/>
              <w:bottom w:val="single" w:sz="4" w:space="0" w:color="auto"/>
              <w:right w:val="single" w:sz="4" w:space="0" w:color="auto"/>
            </w:tcBorders>
            <w:hideMark/>
          </w:tcPr>
          <w:p w14:paraId="2FE75FBD" w14:textId="77777777" w:rsidR="007E5AC8" w:rsidRDefault="007E5AC8" w:rsidP="007E5AC8">
            <w:pPr>
              <w:spacing w:after="0"/>
              <w:rPr>
                <w:sz w:val="18"/>
                <w:szCs w:val="18"/>
              </w:rPr>
            </w:pPr>
            <w:r>
              <w:rPr>
                <w:sz w:val="18"/>
                <w:szCs w:val="18"/>
              </w:rPr>
              <w:t>National Park</w:t>
            </w:r>
          </w:p>
        </w:tc>
        <w:tc>
          <w:tcPr>
            <w:tcW w:w="810" w:type="dxa"/>
            <w:tcBorders>
              <w:top w:val="single" w:sz="4" w:space="0" w:color="auto"/>
              <w:left w:val="single" w:sz="4" w:space="0" w:color="auto"/>
              <w:bottom w:val="single" w:sz="4" w:space="0" w:color="auto"/>
              <w:right w:val="single" w:sz="4" w:space="0" w:color="auto"/>
            </w:tcBorders>
            <w:hideMark/>
          </w:tcPr>
          <w:p w14:paraId="5A50A65B" w14:textId="77777777" w:rsidR="007E5AC8" w:rsidRDefault="007E5AC8" w:rsidP="007E5AC8">
            <w:pPr>
              <w:spacing w:after="0"/>
              <w:rPr>
                <w:sz w:val="18"/>
                <w:szCs w:val="18"/>
              </w:rPr>
            </w:pPr>
            <w:r>
              <w:rPr>
                <w:sz w:val="18"/>
                <w:szCs w:val="18"/>
              </w:rPr>
              <w:t>II</w:t>
            </w:r>
          </w:p>
        </w:tc>
        <w:tc>
          <w:tcPr>
            <w:tcW w:w="1440" w:type="dxa"/>
            <w:tcBorders>
              <w:top w:val="single" w:sz="4" w:space="0" w:color="auto"/>
              <w:left w:val="single" w:sz="4" w:space="0" w:color="auto"/>
              <w:bottom w:val="single" w:sz="4" w:space="0" w:color="auto"/>
              <w:right w:val="single" w:sz="4" w:space="0" w:color="auto"/>
            </w:tcBorders>
            <w:hideMark/>
          </w:tcPr>
          <w:p w14:paraId="630AE2F3" w14:textId="77777777" w:rsidR="007E5AC8" w:rsidRDefault="007E5AC8" w:rsidP="007E5AC8">
            <w:pPr>
              <w:spacing w:after="0"/>
              <w:rPr>
                <w:sz w:val="16"/>
                <w:szCs w:val="16"/>
              </w:rPr>
            </w:pPr>
            <w:r>
              <w:rPr>
                <w:sz w:val="16"/>
                <w:szCs w:val="16"/>
              </w:rPr>
              <w:t>No</w:t>
            </w:r>
          </w:p>
        </w:tc>
        <w:tc>
          <w:tcPr>
            <w:tcW w:w="1400" w:type="dxa"/>
            <w:tcBorders>
              <w:top w:val="single" w:sz="4" w:space="0" w:color="auto"/>
              <w:left w:val="single" w:sz="4" w:space="0" w:color="auto"/>
              <w:bottom w:val="single" w:sz="4" w:space="0" w:color="auto"/>
              <w:right w:val="single" w:sz="4" w:space="0" w:color="auto"/>
            </w:tcBorders>
            <w:hideMark/>
          </w:tcPr>
          <w:p w14:paraId="33B161B7" w14:textId="77777777" w:rsidR="007E5AC8" w:rsidRDefault="007E5AC8" w:rsidP="007E5AC8">
            <w:pPr>
              <w:spacing w:after="0"/>
              <w:rPr>
                <w:sz w:val="16"/>
                <w:szCs w:val="16"/>
              </w:rPr>
            </w:pPr>
            <w:r>
              <w:rPr>
                <w:sz w:val="16"/>
                <w:szCs w:val="16"/>
              </w:rPr>
              <w:t>2003 -2007 and 2010 -2020</w:t>
            </w:r>
          </w:p>
        </w:tc>
        <w:tc>
          <w:tcPr>
            <w:tcW w:w="887" w:type="dxa"/>
            <w:tcBorders>
              <w:top w:val="single" w:sz="4" w:space="0" w:color="auto"/>
              <w:left w:val="single" w:sz="4" w:space="0" w:color="auto"/>
              <w:bottom w:val="single" w:sz="4" w:space="0" w:color="auto"/>
              <w:right w:val="single" w:sz="4" w:space="0" w:color="auto"/>
            </w:tcBorders>
            <w:hideMark/>
          </w:tcPr>
          <w:p w14:paraId="36FE705D" w14:textId="77777777" w:rsidR="007E5AC8" w:rsidRDefault="007E5AC8" w:rsidP="007E5AC8">
            <w:pPr>
              <w:spacing w:after="0"/>
              <w:rPr>
                <w:sz w:val="16"/>
                <w:szCs w:val="16"/>
              </w:rPr>
            </w:pPr>
            <w:r>
              <w:rPr>
                <w:sz w:val="16"/>
                <w:szCs w:val="16"/>
              </w:rPr>
              <w:t>Created 1976</w:t>
            </w:r>
          </w:p>
        </w:tc>
        <w:tc>
          <w:tcPr>
            <w:tcW w:w="1223"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A29732E" w14:textId="77777777" w:rsidR="007E5AC8" w:rsidRDefault="007E5AC8" w:rsidP="007E5AC8">
            <w:pPr>
              <w:spacing w:after="0"/>
              <w:rPr>
                <w:sz w:val="16"/>
                <w:szCs w:val="16"/>
              </w:rPr>
            </w:pPr>
            <w:r>
              <w:rPr>
                <w:sz w:val="16"/>
                <w:szCs w:val="16"/>
              </w:rPr>
              <w:t>MEGECC/ DGEF, OFINAP</w:t>
            </w:r>
          </w:p>
        </w:tc>
      </w:tr>
      <w:tr w:rsidR="007E5AC8" w14:paraId="3BBB965A" w14:textId="77777777" w:rsidTr="00A63E29">
        <w:trPr>
          <w:jc w:val="center"/>
        </w:trPr>
        <w:tc>
          <w:tcPr>
            <w:tcW w:w="1228" w:type="dxa"/>
            <w:tcBorders>
              <w:top w:val="single" w:sz="4" w:space="0" w:color="auto"/>
              <w:left w:val="single" w:sz="4" w:space="0" w:color="auto"/>
              <w:bottom w:val="single" w:sz="4" w:space="0" w:color="auto"/>
              <w:right w:val="single" w:sz="4" w:space="0" w:color="auto"/>
            </w:tcBorders>
            <w:hideMark/>
          </w:tcPr>
          <w:p w14:paraId="11E898E8" w14:textId="77777777" w:rsidR="007E5AC8" w:rsidRDefault="007E5AC8" w:rsidP="007E5AC8">
            <w:pPr>
              <w:spacing w:after="0"/>
              <w:rPr>
                <w:sz w:val="18"/>
                <w:szCs w:val="18"/>
              </w:rPr>
            </w:pPr>
            <w:r>
              <w:rPr>
                <w:sz w:val="18"/>
                <w:szCs w:val="18"/>
              </w:rPr>
              <w:t>Nazinga</w:t>
            </w:r>
          </w:p>
        </w:tc>
        <w:tc>
          <w:tcPr>
            <w:tcW w:w="2007" w:type="dxa"/>
            <w:tcBorders>
              <w:top w:val="single" w:sz="4" w:space="0" w:color="auto"/>
              <w:left w:val="single" w:sz="4" w:space="0" w:color="auto"/>
              <w:bottom w:val="single" w:sz="4" w:space="0" w:color="auto"/>
              <w:right w:val="single" w:sz="4" w:space="0" w:color="auto"/>
            </w:tcBorders>
          </w:tcPr>
          <w:p w14:paraId="7CB6C502" w14:textId="103778F1" w:rsidR="007E5AC8" w:rsidRPr="00A63E29" w:rsidRDefault="007E5AC8" w:rsidP="007E5AC8">
            <w:pPr>
              <w:spacing w:after="0"/>
              <w:rPr>
                <w:sz w:val="18"/>
                <w:szCs w:val="18"/>
                <w:highlight w:val="yellow"/>
              </w:rPr>
            </w:pPr>
            <w:r w:rsidRPr="00A63E29">
              <w:rPr>
                <w:sz w:val="18"/>
                <w:szCs w:val="18"/>
                <w:highlight w:val="yellow"/>
                <w:lang w:val="fr-FR"/>
              </w:rPr>
              <w:t>Nahouri</w:t>
            </w:r>
          </w:p>
        </w:tc>
        <w:tc>
          <w:tcPr>
            <w:tcW w:w="1080" w:type="dxa"/>
            <w:tcBorders>
              <w:top w:val="single" w:sz="4" w:space="0" w:color="auto"/>
              <w:left w:val="single" w:sz="4" w:space="0" w:color="auto"/>
              <w:bottom w:val="single" w:sz="4" w:space="0" w:color="auto"/>
              <w:right w:val="single" w:sz="4" w:space="0" w:color="auto"/>
            </w:tcBorders>
            <w:hideMark/>
          </w:tcPr>
          <w:p w14:paraId="233EAA4B" w14:textId="48C9B1CC" w:rsidR="007E5AC8" w:rsidRDefault="007E5AC8" w:rsidP="007E5AC8">
            <w:pPr>
              <w:spacing w:after="0"/>
              <w:rPr>
                <w:sz w:val="18"/>
                <w:szCs w:val="18"/>
              </w:rPr>
            </w:pPr>
            <w:r>
              <w:rPr>
                <w:sz w:val="18"/>
                <w:szCs w:val="18"/>
              </w:rPr>
              <w:t>91,300</w:t>
            </w:r>
          </w:p>
        </w:tc>
        <w:tc>
          <w:tcPr>
            <w:tcW w:w="1440" w:type="dxa"/>
            <w:tcBorders>
              <w:top w:val="single" w:sz="4" w:space="0" w:color="auto"/>
              <w:left w:val="single" w:sz="4" w:space="0" w:color="auto"/>
              <w:bottom w:val="single" w:sz="4" w:space="0" w:color="auto"/>
              <w:right w:val="single" w:sz="4" w:space="0" w:color="auto"/>
            </w:tcBorders>
            <w:hideMark/>
          </w:tcPr>
          <w:p w14:paraId="3617B798" w14:textId="77777777" w:rsidR="007E5AC8" w:rsidRDefault="007E5AC8" w:rsidP="007E5AC8">
            <w:pPr>
              <w:spacing w:after="0"/>
              <w:rPr>
                <w:sz w:val="18"/>
                <w:szCs w:val="18"/>
                <w:lang w:val="fr-CA"/>
              </w:rPr>
            </w:pPr>
            <w:r>
              <w:rPr>
                <w:sz w:val="18"/>
                <w:szCs w:val="18"/>
                <w:lang w:val="fr-CA"/>
              </w:rPr>
              <w:t>Game Ranch/ Classified Forest</w:t>
            </w:r>
          </w:p>
        </w:tc>
        <w:tc>
          <w:tcPr>
            <w:tcW w:w="810" w:type="dxa"/>
            <w:tcBorders>
              <w:top w:val="single" w:sz="4" w:space="0" w:color="auto"/>
              <w:left w:val="single" w:sz="4" w:space="0" w:color="auto"/>
              <w:bottom w:val="single" w:sz="4" w:space="0" w:color="auto"/>
              <w:right w:val="single" w:sz="4" w:space="0" w:color="auto"/>
            </w:tcBorders>
            <w:hideMark/>
          </w:tcPr>
          <w:p w14:paraId="46EB0C79" w14:textId="77777777" w:rsidR="007E5AC8" w:rsidRDefault="007E5AC8" w:rsidP="007E5AC8">
            <w:pPr>
              <w:spacing w:after="0"/>
              <w:rPr>
                <w:sz w:val="18"/>
                <w:szCs w:val="18"/>
              </w:rPr>
            </w:pPr>
            <w:r>
              <w:rPr>
                <w:sz w:val="18"/>
                <w:szCs w:val="18"/>
              </w:rPr>
              <w:t>IV</w:t>
            </w:r>
          </w:p>
        </w:tc>
        <w:tc>
          <w:tcPr>
            <w:tcW w:w="1440" w:type="dxa"/>
            <w:tcBorders>
              <w:top w:val="single" w:sz="4" w:space="0" w:color="auto"/>
              <w:left w:val="single" w:sz="4" w:space="0" w:color="auto"/>
              <w:bottom w:val="single" w:sz="4" w:space="0" w:color="auto"/>
              <w:right w:val="single" w:sz="4" w:space="0" w:color="auto"/>
            </w:tcBorders>
            <w:hideMark/>
          </w:tcPr>
          <w:p w14:paraId="424A5805" w14:textId="77777777" w:rsidR="007E5AC8" w:rsidRDefault="007E5AC8" w:rsidP="007E5AC8">
            <w:pPr>
              <w:spacing w:after="0"/>
              <w:rPr>
                <w:sz w:val="16"/>
                <w:szCs w:val="16"/>
              </w:rPr>
            </w:pPr>
            <w:r>
              <w:rPr>
                <w:sz w:val="16"/>
                <w:szCs w:val="16"/>
              </w:rPr>
              <w:t xml:space="preserve">OFINAP and private concession </w:t>
            </w:r>
          </w:p>
        </w:tc>
        <w:tc>
          <w:tcPr>
            <w:tcW w:w="1400" w:type="dxa"/>
            <w:tcBorders>
              <w:top w:val="single" w:sz="4" w:space="0" w:color="auto"/>
              <w:left w:val="single" w:sz="4" w:space="0" w:color="auto"/>
              <w:bottom w:val="single" w:sz="4" w:space="0" w:color="auto"/>
              <w:right w:val="single" w:sz="4" w:space="0" w:color="auto"/>
            </w:tcBorders>
            <w:hideMark/>
          </w:tcPr>
          <w:p w14:paraId="391F9E65" w14:textId="77777777" w:rsidR="007E5AC8" w:rsidRDefault="007E5AC8" w:rsidP="007E5AC8">
            <w:pPr>
              <w:spacing w:after="0"/>
              <w:rPr>
                <w:sz w:val="16"/>
                <w:szCs w:val="16"/>
              </w:rPr>
            </w:pPr>
            <w:r>
              <w:rPr>
                <w:sz w:val="16"/>
                <w:szCs w:val="16"/>
              </w:rPr>
              <w:t>2014-2018</w:t>
            </w:r>
          </w:p>
        </w:tc>
        <w:tc>
          <w:tcPr>
            <w:tcW w:w="887" w:type="dxa"/>
            <w:tcBorders>
              <w:top w:val="single" w:sz="4" w:space="0" w:color="auto"/>
              <w:left w:val="single" w:sz="4" w:space="0" w:color="auto"/>
              <w:bottom w:val="single" w:sz="4" w:space="0" w:color="auto"/>
              <w:right w:val="single" w:sz="4" w:space="0" w:color="auto"/>
            </w:tcBorders>
            <w:hideMark/>
          </w:tcPr>
          <w:p w14:paraId="0D0C55B9" w14:textId="77777777" w:rsidR="007E5AC8" w:rsidRDefault="007E5AC8" w:rsidP="007E5AC8">
            <w:pPr>
              <w:spacing w:after="0"/>
              <w:rPr>
                <w:sz w:val="16"/>
                <w:szCs w:val="16"/>
              </w:rPr>
            </w:pPr>
            <w:r>
              <w:rPr>
                <w:sz w:val="16"/>
                <w:szCs w:val="16"/>
              </w:rPr>
              <w:t>Created 2000</w:t>
            </w: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2D414332" w14:textId="77777777" w:rsidR="007E5AC8" w:rsidRDefault="007E5AC8" w:rsidP="007E5AC8">
            <w:pPr>
              <w:spacing w:after="0"/>
              <w:jc w:val="left"/>
              <w:rPr>
                <w:sz w:val="16"/>
                <w:szCs w:val="16"/>
              </w:rPr>
            </w:pPr>
          </w:p>
        </w:tc>
      </w:tr>
      <w:tr w:rsidR="007E5AC8" w14:paraId="31FC97C1" w14:textId="77777777" w:rsidTr="00A63E29">
        <w:trPr>
          <w:jc w:val="center"/>
        </w:trPr>
        <w:tc>
          <w:tcPr>
            <w:tcW w:w="1228" w:type="dxa"/>
            <w:tcBorders>
              <w:top w:val="single" w:sz="4" w:space="0" w:color="auto"/>
              <w:left w:val="single" w:sz="4" w:space="0" w:color="auto"/>
              <w:bottom w:val="single" w:sz="4" w:space="0" w:color="auto"/>
              <w:right w:val="single" w:sz="4" w:space="0" w:color="auto"/>
            </w:tcBorders>
            <w:hideMark/>
          </w:tcPr>
          <w:p w14:paraId="2683D596" w14:textId="77777777" w:rsidR="007E5AC8" w:rsidRDefault="007E5AC8" w:rsidP="007E5AC8">
            <w:pPr>
              <w:spacing w:after="0"/>
              <w:rPr>
                <w:sz w:val="18"/>
                <w:szCs w:val="18"/>
              </w:rPr>
            </w:pPr>
            <w:r>
              <w:rPr>
                <w:sz w:val="18"/>
                <w:szCs w:val="18"/>
              </w:rPr>
              <w:t>Sissili</w:t>
            </w:r>
          </w:p>
        </w:tc>
        <w:tc>
          <w:tcPr>
            <w:tcW w:w="2007" w:type="dxa"/>
            <w:tcBorders>
              <w:top w:val="single" w:sz="4" w:space="0" w:color="auto"/>
              <w:left w:val="single" w:sz="4" w:space="0" w:color="auto"/>
              <w:bottom w:val="single" w:sz="4" w:space="0" w:color="auto"/>
              <w:right w:val="single" w:sz="4" w:space="0" w:color="auto"/>
            </w:tcBorders>
          </w:tcPr>
          <w:p w14:paraId="6F38EE62" w14:textId="3B27697A" w:rsidR="007E5AC8" w:rsidRPr="00A63E29" w:rsidRDefault="007E5AC8" w:rsidP="007E5AC8">
            <w:pPr>
              <w:spacing w:after="0"/>
              <w:rPr>
                <w:sz w:val="18"/>
                <w:szCs w:val="18"/>
                <w:highlight w:val="yellow"/>
              </w:rPr>
            </w:pPr>
            <w:r w:rsidRPr="00A63E29">
              <w:rPr>
                <w:sz w:val="18"/>
                <w:szCs w:val="18"/>
                <w:highlight w:val="yellow"/>
                <w:lang w:val="fr-FR"/>
              </w:rPr>
              <w:t>Sissili</w:t>
            </w:r>
          </w:p>
        </w:tc>
        <w:tc>
          <w:tcPr>
            <w:tcW w:w="1080" w:type="dxa"/>
            <w:tcBorders>
              <w:top w:val="single" w:sz="4" w:space="0" w:color="auto"/>
              <w:left w:val="single" w:sz="4" w:space="0" w:color="auto"/>
              <w:bottom w:val="single" w:sz="4" w:space="0" w:color="auto"/>
              <w:right w:val="single" w:sz="4" w:space="0" w:color="auto"/>
            </w:tcBorders>
            <w:hideMark/>
          </w:tcPr>
          <w:p w14:paraId="2AA59BA2" w14:textId="6D8700DC" w:rsidR="007E5AC8" w:rsidRDefault="007E5AC8" w:rsidP="007E5AC8">
            <w:pPr>
              <w:spacing w:after="0"/>
              <w:rPr>
                <w:sz w:val="18"/>
                <w:szCs w:val="18"/>
              </w:rPr>
            </w:pPr>
            <w:r>
              <w:rPr>
                <w:sz w:val="18"/>
                <w:szCs w:val="18"/>
              </w:rPr>
              <w:t>32,700</w:t>
            </w:r>
          </w:p>
        </w:tc>
        <w:tc>
          <w:tcPr>
            <w:tcW w:w="1440" w:type="dxa"/>
            <w:tcBorders>
              <w:top w:val="single" w:sz="4" w:space="0" w:color="auto"/>
              <w:left w:val="single" w:sz="4" w:space="0" w:color="auto"/>
              <w:bottom w:val="single" w:sz="4" w:space="0" w:color="auto"/>
              <w:right w:val="single" w:sz="4" w:space="0" w:color="auto"/>
            </w:tcBorders>
            <w:hideMark/>
          </w:tcPr>
          <w:p w14:paraId="2E505BE9" w14:textId="77777777" w:rsidR="007E5AC8" w:rsidRDefault="007E5AC8" w:rsidP="007E5AC8">
            <w:pPr>
              <w:spacing w:after="0"/>
              <w:rPr>
                <w:sz w:val="18"/>
                <w:szCs w:val="18"/>
                <w:lang w:val="fr-CA"/>
              </w:rPr>
            </w:pPr>
            <w:r>
              <w:rPr>
                <w:sz w:val="18"/>
                <w:szCs w:val="18"/>
                <w:lang w:val="fr-CA"/>
              </w:rPr>
              <w:t>Hunting zone/ Classified Forest</w:t>
            </w:r>
          </w:p>
        </w:tc>
        <w:tc>
          <w:tcPr>
            <w:tcW w:w="810" w:type="dxa"/>
            <w:tcBorders>
              <w:top w:val="single" w:sz="4" w:space="0" w:color="auto"/>
              <w:left w:val="single" w:sz="4" w:space="0" w:color="auto"/>
              <w:bottom w:val="single" w:sz="4" w:space="0" w:color="auto"/>
              <w:right w:val="single" w:sz="4" w:space="0" w:color="auto"/>
            </w:tcBorders>
            <w:hideMark/>
          </w:tcPr>
          <w:p w14:paraId="5BE2CD1D" w14:textId="77777777" w:rsidR="007E5AC8" w:rsidRDefault="007E5AC8" w:rsidP="007E5AC8">
            <w:pPr>
              <w:spacing w:after="0"/>
              <w:rPr>
                <w:sz w:val="18"/>
                <w:szCs w:val="18"/>
              </w:rPr>
            </w:pPr>
            <w:r>
              <w:rPr>
                <w:sz w:val="18"/>
                <w:szCs w:val="18"/>
              </w:rPr>
              <w:t>IV</w:t>
            </w:r>
          </w:p>
        </w:tc>
        <w:tc>
          <w:tcPr>
            <w:tcW w:w="1440" w:type="dxa"/>
            <w:tcBorders>
              <w:top w:val="single" w:sz="4" w:space="0" w:color="auto"/>
              <w:left w:val="single" w:sz="4" w:space="0" w:color="auto"/>
              <w:bottom w:val="single" w:sz="4" w:space="0" w:color="auto"/>
              <w:right w:val="single" w:sz="4" w:space="0" w:color="auto"/>
            </w:tcBorders>
            <w:hideMark/>
          </w:tcPr>
          <w:p w14:paraId="26E3B8B7" w14:textId="77777777" w:rsidR="007E5AC8" w:rsidRDefault="007E5AC8" w:rsidP="007E5AC8">
            <w:pPr>
              <w:spacing w:after="0"/>
              <w:rPr>
                <w:sz w:val="16"/>
                <w:szCs w:val="16"/>
              </w:rPr>
            </w:pPr>
            <w:r>
              <w:rPr>
                <w:sz w:val="16"/>
                <w:szCs w:val="16"/>
              </w:rPr>
              <w:t>Private concession</w:t>
            </w:r>
          </w:p>
        </w:tc>
        <w:tc>
          <w:tcPr>
            <w:tcW w:w="1400" w:type="dxa"/>
            <w:tcBorders>
              <w:top w:val="single" w:sz="4" w:space="0" w:color="auto"/>
              <w:left w:val="single" w:sz="4" w:space="0" w:color="auto"/>
              <w:bottom w:val="single" w:sz="4" w:space="0" w:color="auto"/>
              <w:right w:val="single" w:sz="4" w:space="0" w:color="auto"/>
            </w:tcBorders>
            <w:hideMark/>
          </w:tcPr>
          <w:p w14:paraId="0931FC88" w14:textId="77777777" w:rsidR="007E5AC8" w:rsidRDefault="007E5AC8" w:rsidP="007E5AC8">
            <w:pPr>
              <w:spacing w:after="0"/>
              <w:rPr>
                <w:sz w:val="18"/>
                <w:szCs w:val="18"/>
              </w:rPr>
            </w:pPr>
            <w:r>
              <w:rPr>
                <w:sz w:val="18"/>
                <w:szCs w:val="18"/>
              </w:rPr>
              <w:t>-</w:t>
            </w:r>
          </w:p>
        </w:tc>
        <w:tc>
          <w:tcPr>
            <w:tcW w:w="887" w:type="dxa"/>
            <w:tcBorders>
              <w:top w:val="single" w:sz="4" w:space="0" w:color="auto"/>
              <w:left w:val="single" w:sz="4" w:space="0" w:color="auto"/>
              <w:bottom w:val="single" w:sz="4" w:space="0" w:color="auto"/>
              <w:right w:val="single" w:sz="4" w:space="0" w:color="auto"/>
            </w:tcBorders>
            <w:hideMark/>
          </w:tcPr>
          <w:p w14:paraId="5DB19BC9" w14:textId="77777777" w:rsidR="007E5AC8" w:rsidRDefault="007E5AC8" w:rsidP="007E5AC8">
            <w:pPr>
              <w:spacing w:after="0"/>
              <w:rPr>
                <w:sz w:val="16"/>
                <w:szCs w:val="16"/>
              </w:rPr>
            </w:pPr>
            <w:r>
              <w:rPr>
                <w:sz w:val="16"/>
                <w:szCs w:val="16"/>
              </w:rPr>
              <w:t>Created 1954</w:t>
            </w: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01B25892" w14:textId="77777777" w:rsidR="007E5AC8" w:rsidRDefault="007E5AC8" w:rsidP="007E5AC8">
            <w:pPr>
              <w:spacing w:after="0"/>
              <w:jc w:val="left"/>
              <w:rPr>
                <w:sz w:val="16"/>
                <w:szCs w:val="16"/>
              </w:rPr>
            </w:pPr>
          </w:p>
        </w:tc>
      </w:tr>
      <w:tr w:rsidR="007E5AC8" w14:paraId="62D8A4FA" w14:textId="77777777" w:rsidTr="00A63E29">
        <w:trPr>
          <w:jc w:val="center"/>
        </w:trPr>
        <w:tc>
          <w:tcPr>
            <w:tcW w:w="1228" w:type="dxa"/>
            <w:tcBorders>
              <w:top w:val="single" w:sz="4" w:space="0" w:color="auto"/>
              <w:left w:val="single" w:sz="4" w:space="0" w:color="auto"/>
              <w:bottom w:val="single" w:sz="4" w:space="0" w:color="auto"/>
              <w:right w:val="single" w:sz="4" w:space="0" w:color="auto"/>
            </w:tcBorders>
            <w:hideMark/>
          </w:tcPr>
          <w:p w14:paraId="4256A23B" w14:textId="77777777" w:rsidR="007E5AC8" w:rsidRDefault="007E5AC8" w:rsidP="007E5AC8">
            <w:pPr>
              <w:spacing w:after="0"/>
              <w:rPr>
                <w:sz w:val="18"/>
                <w:szCs w:val="18"/>
              </w:rPr>
            </w:pPr>
            <w:r>
              <w:rPr>
                <w:sz w:val="18"/>
                <w:szCs w:val="18"/>
              </w:rPr>
              <w:t>Corridor #1</w:t>
            </w:r>
          </w:p>
        </w:tc>
        <w:tc>
          <w:tcPr>
            <w:tcW w:w="2007" w:type="dxa"/>
            <w:tcBorders>
              <w:top w:val="single" w:sz="4" w:space="0" w:color="auto"/>
              <w:left w:val="single" w:sz="4" w:space="0" w:color="auto"/>
              <w:bottom w:val="single" w:sz="4" w:space="0" w:color="auto"/>
              <w:right w:val="single" w:sz="4" w:space="0" w:color="auto"/>
            </w:tcBorders>
          </w:tcPr>
          <w:p w14:paraId="0193FCE6" w14:textId="72064270" w:rsidR="007E5AC8" w:rsidRPr="00A63E29" w:rsidRDefault="007E5AC8" w:rsidP="007E5AC8">
            <w:pPr>
              <w:spacing w:after="0"/>
              <w:rPr>
                <w:sz w:val="18"/>
                <w:szCs w:val="18"/>
                <w:highlight w:val="yellow"/>
              </w:rPr>
            </w:pPr>
            <w:r w:rsidRPr="00A63E29">
              <w:rPr>
                <w:sz w:val="18"/>
                <w:szCs w:val="18"/>
                <w:highlight w:val="yellow"/>
                <w:lang w:val="fr-FR"/>
              </w:rPr>
              <w:t xml:space="preserve">Nahouri </w:t>
            </w:r>
          </w:p>
        </w:tc>
        <w:tc>
          <w:tcPr>
            <w:tcW w:w="1080" w:type="dxa"/>
            <w:tcBorders>
              <w:top w:val="single" w:sz="4" w:space="0" w:color="auto"/>
              <w:left w:val="single" w:sz="4" w:space="0" w:color="auto"/>
              <w:bottom w:val="single" w:sz="4" w:space="0" w:color="auto"/>
              <w:right w:val="single" w:sz="4" w:space="0" w:color="auto"/>
            </w:tcBorders>
            <w:hideMark/>
          </w:tcPr>
          <w:p w14:paraId="109A771F" w14:textId="480BA3B4" w:rsidR="007E5AC8" w:rsidRDefault="007E5AC8" w:rsidP="007E5AC8">
            <w:pPr>
              <w:spacing w:after="0"/>
              <w:rPr>
                <w:sz w:val="18"/>
                <w:szCs w:val="18"/>
              </w:rPr>
            </w:pPr>
            <w:r>
              <w:rPr>
                <w:sz w:val="18"/>
                <w:szCs w:val="18"/>
              </w:rPr>
              <w:t>4,500</w:t>
            </w:r>
          </w:p>
        </w:tc>
        <w:tc>
          <w:tcPr>
            <w:tcW w:w="1440" w:type="dxa"/>
            <w:tcBorders>
              <w:top w:val="single" w:sz="4" w:space="0" w:color="auto"/>
              <w:left w:val="single" w:sz="4" w:space="0" w:color="auto"/>
              <w:bottom w:val="single" w:sz="4" w:space="0" w:color="auto"/>
              <w:right w:val="single" w:sz="4" w:space="0" w:color="auto"/>
            </w:tcBorders>
            <w:hideMark/>
          </w:tcPr>
          <w:p w14:paraId="10D890E5" w14:textId="77777777" w:rsidR="007E5AC8" w:rsidRDefault="007E5AC8" w:rsidP="007E5AC8">
            <w:pPr>
              <w:spacing w:after="0"/>
              <w:rPr>
                <w:sz w:val="18"/>
                <w:szCs w:val="18"/>
              </w:rPr>
            </w:pPr>
            <w:r>
              <w:rPr>
                <w:sz w:val="18"/>
                <w:szCs w:val="18"/>
              </w:rPr>
              <w:t>Corridor</w:t>
            </w:r>
          </w:p>
        </w:tc>
        <w:tc>
          <w:tcPr>
            <w:tcW w:w="810" w:type="dxa"/>
            <w:tcBorders>
              <w:top w:val="single" w:sz="4" w:space="0" w:color="auto"/>
              <w:left w:val="single" w:sz="4" w:space="0" w:color="auto"/>
              <w:bottom w:val="single" w:sz="4" w:space="0" w:color="auto"/>
              <w:right w:val="single" w:sz="4" w:space="0" w:color="auto"/>
            </w:tcBorders>
            <w:hideMark/>
          </w:tcPr>
          <w:p w14:paraId="5F3B503F" w14:textId="77777777" w:rsidR="007E5AC8" w:rsidRDefault="007E5AC8" w:rsidP="007E5AC8">
            <w:pPr>
              <w:spacing w:after="0"/>
              <w:rPr>
                <w:sz w:val="18"/>
                <w:szCs w:val="18"/>
              </w:rPr>
            </w:pPr>
            <w:r>
              <w:rPr>
                <w:sz w:val="18"/>
                <w:szCs w:val="18"/>
              </w:rPr>
              <w:t>II</w:t>
            </w:r>
          </w:p>
        </w:tc>
        <w:tc>
          <w:tcPr>
            <w:tcW w:w="1440" w:type="dxa"/>
            <w:tcBorders>
              <w:top w:val="single" w:sz="4" w:space="0" w:color="auto"/>
              <w:left w:val="single" w:sz="4" w:space="0" w:color="auto"/>
              <w:bottom w:val="single" w:sz="4" w:space="0" w:color="auto"/>
              <w:right w:val="single" w:sz="4" w:space="0" w:color="auto"/>
            </w:tcBorders>
            <w:hideMark/>
          </w:tcPr>
          <w:p w14:paraId="01825D6D" w14:textId="77777777" w:rsidR="007E5AC8" w:rsidRDefault="007E5AC8" w:rsidP="007E5AC8">
            <w:pPr>
              <w:spacing w:after="0"/>
              <w:rPr>
                <w:sz w:val="16"/>
                <w:szCs w:val="16"/>
              </w:rPr>
            </w:pPr>
            <w:r>
              <w:rPr>
                <w:sz w:val="16"/>
                <w:szCs w:val="16"/>
              </w:rPr>
              <w:t>No</w:t>
            </w:r>
          </w:p>
        </w:tc>
        <w:tc>
          <w:tcPr>
            <w:tcW w:w="1400" w:type="dxa"/>
            <w:tcBorders>
              <w:top w:val="single" w:sz="4" w:space="0" w:color="auto"/>
              <w:left w:val="single" w:sz="4" w:space="0" w:color="auto"/>
              <w:bottom w:val="single" w:sz="4" w:space="0" w:color="auto"/>
              <w:right w:val="single" w:sz="4" w:space="0" w:color="auto"/>
            </w:tcBorders>
            <w:hideMark/>
          </w:tcPr>
          <w:p w14:paraId="0146DE97" w14:textId="77777777" w:rsidR="007E5AC8" w:rsidRDefault="007E5AC8" w:rsidP="007E5AC8">
            <w:pPr>
              <w:spacing w:after="0"/>
              <w:rPr>
                <w:sz w:val="18"/>
                <w:szCs w:val="18"/>
              </w:rPr>
            </w:pPr>
            <w:r>
              <w:rPr>
                <w:sz w:val="18"/>
                <w:szCs w:val="18"/>
              </w:rPr>
              <w:t>-</w:t>
            </w:r>
          </w:p>
        </w:tc>
        <w:tc>
          <w:tcPr>
            <w:tcW w:w="887" w:type="dxa"/>
            <w:tcBorders>
              <w:top w:val="single" w:sz="4" w:space="0" w:color="auto"/>
              <w:left w:val="single" w:sz="4" w:space="0" w:color="auto"/>
              <w:bottom w:val="single" w:sz="4" w:space="0" w:color="auto"/>
              <w:right w:val="single" w:sz="4" w:space="0" w:color="auto"/>
            </w:tcBorders>
            <w:hideMark/>
          </w:tcPr>
          <w:p w14:paraId="16D5FEFB" w14:textId="77777777" w:rsidR="007E5AC8" w:rsidRDefault="007E5AC8" w:rsidP="007E5AC8">
            <w:pPr>
              <w:spacing w:after="0"/>
              <w:jc w:val="left"/>
              <w:rPr>
                <w:sz w:val="16"/>
                <w:szCs w:val="16"/>
              </w:rPr>
            </w:pPr>
            <w:r>
              <w:rPr>
                <w:sz w:val="16"/>
                <w:szCs w:val="16"/>
              </w:rPr>
              <w:t>Not gazetted</w:t>
            </w:r>
            <w:r>
              <w:rPr>
                <w:rStyle w:val="Appelnotedebasdep"/>
                <w:sz w:val="16"/>
                <w:szCs w:val="16"/>
              </w:rPr>
              <w:t xml:space="preserve"> </w:t>
            </w:r>
            <w:r>
              <w:rPr>
                <w:rStyle w:val="Appelnotedebasdep"/>
                <w:sz w:val="16"/>
                <w:szCs w:val="16"/>
              </w:rPr>
              <w:footnoteReference w:id="3"/>
            </w: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2AA3A409" w14:textId="77777777" w:rsidR="007E5AC8" w:rsidRDefault="007E5AC8" w:rsidP="007E5AC8">
            <w:pPr>
              <w:spacing w:after="0"/>
              <w:jc w:val="left"/>
              <w:rPr>
                <w:sz w:val="16"/>
                <w:szCs w:val="16"/>
              </w:rPr>
            </w:pPr>
          </w:p>
        </w:tc>
      </w:tr>
      <w:tr w:rsidR="007E5AC8" w14:paraId="7BE2850A" w14:textId="77777777" w:rsidTr="00A63E29">
        <w:trPr>
          <w:jc w:val="center"/>
        </w:trPr>
        <w:tc>
          <w:tcPr>
            <w:tcW w:w="1228" w:type="dxa"/>
            <w:tcBorders>
              <w:top w:val="single" w:sz="4" w:space="0" w:color="auto"/>
              <w:left w:val="single" w:sz="4" w:space="0" w:color="auto"/>
              <w:bottom w:val="single" w:sz="4" w:space="0" w:color="auto"/>
              <w:right w:val="single" w:sz="4" w:space="0" w:color="auto"/>
            </w:tcBorders>
            <w:hideMark/>
          </w:tcPr>
          <w:p w14:paraId="2C3DF9C1" w14:textId="77777777" w:rsidR="007E5AC8" w:rsidRDefault="007E5AC8" w:rsidP="007E5AC8">
            <w:pPr>
              <w:spacing w:after="0"/>
              <w:rPr>
                <w:sz w:val="18"/>
                <w:szCs w:val="18"/>
              </w:rPr>
            </w:pPr>
            <w:r>
              <w:rPr>
                <w:sz w:val="18"/>
                <w:szCs w:val="18"/>
              </w:rPr>
              <w:t>Corridor #2</w:t>
            </w:r>
          </w:p>
        </w:tc>
        <w:tc>
          <w:tcPr>
            <w:tcW w:w="2007" w:type="dxa"/>
            <w:tcBorders>
              <w:top w:val="single" w:sz="4" w:space="0" w:color="auto"/>
              <w:left w:val="single" w:sz="4" w:space="0" w:color="auto"/>
              <w:bottom w:val="single" w:sz="4" w:space="0" w:color="auto"/>
              <w:right w:val="single" w:sz="4" w:space="0" w:color="auto"/>
            </w:tcBorders>
          </w:tcPr>
          <w:p w14:paraId="4D11E25F" w14:textId="752FA9B6" w:rsidR="007E5AC8" w:rsidRPr="00A63E29" w:rsidRDefault="007E5AC8" w:rsidP="007E5AC8">
            <w:pPr>
              <w:spacing w:after="0"/>
              <w:rPr>
                <w:sz w:val="18"/>
                <w:szCs w:val="18"/>
                <w:highlight w:val="yellow"/>
              </w:rPr>
            </w:pPr>
            <w:r w:rsidRPr="00A63E29">
              <w:rPr>
                <w:sz w:val="18"/>
                <w:szCs w:val="18"/>
                <w:highlight w:val="yellow"/>
                <w:lang w:val="fr-FR"/>
              </w:rPr>
              <w:t>Nahouri, Boulgou et Zoundwéogo</w:t>
            </w:r>
          </w:p>
        </w:tc>
        <w:tc>
          <w:tcPr>
            <w:tcW w:w="1080" w:type="dxa"/>
            <w:tcBorders>
              <w:top w:val="single" w:sz="4" w:space="0" w:color="auto"/>
              <w:left w:val="single" w:sz="4" w:space="0" w:color="auto"/>
              <w:bottom w:val="single" w:sz="4" w:space="0" w:color="auto"/>
              <w:right w:val="single" w:sz="4" w:space="0" w:color="auto"/>
            </w:tcBorders>
            <w:hideMark/>
          </w:tcPr>
          <w:p w14:paraId="60A324B2" w14:textId="6DA0CE29" w:rsidR="007E5AC8" w:rsidRDefault="007E5AC8" w:rsidP="007E5AC8">
            <w:pPr>
              <w:spacing w:after="0"/>
              <w:rPr>
                <w:sz w:val="18"/>
                <w:szCs w:val="18"/>
              </w:rPr>
            </w:pPr>
            <w:r>
              <w:rPr>
                <w:sz w:val="18"/>
                <w:szCs w:val="18"/>
              </w:rPr>
              <w:t>33,000</w:t>
            </w:r>
          </w:p>
        </w:tc>
        <w:tc>
          <w:tcPr>
            <w:tcW w:w="1440" w:type="dxa"/>
            <w:tcBorders>
              <w:top w:val="single" w:sz="4" w:space="0" w:color="auto"/>
              <w:left w:val="single" w:sz="4" w:space="0" w:color="auto"/>
              <w:bottom w:val="single" w:sz="4" w:space="0" w:color="auto"/>
              <w:right w:val="single" w:sz="4" w:space="0" w:color="auto"/>
            </w:tcBorders>
            <w:hideMark/>
          </w:tcPr>
          <w:p w14:paraId="6DC3BAB8" w14:textId="77777777" w:rsidR="007E5AC8" w:rsidRDefault="007E5AC8" w:rsidP="007E5AC8">
            <w:pPr>
              <w:spacing w:after="0"/>
              <w:rPr>
                <w:sz w:val="18"/>
                <w:szCs w:val="18"/>
              </w:rPr>
            </w:pPr>
            <w:r>
              <w:rPr>
                <w:sz w:val="18"/>
                <w:szCs w:val="18"/>
              </w:rPr>
              <w:t>Corridor</w:t>
            </w:r>
          </w:p>
        </w:tc>
        <w:tc>
          <w:tcPr>
            <w:tcW w:w="810" w:type="dxa"/>
            <w:tcBorders>
              <w:top w:val="single" w:sz="4" w:space="0" w:color="auto"/>
              <w:left w:val="single" w:sz="4" w:space="0" w:color="auto"/>
              <w:bottom w:val="single" w:sz="4" w:space="0" w:color="auto"/>
              <w:right w:val="single" w:sz="4" w:space="0" w:color="auto"/>
            </w:tcBorders>
            <w:hideMark/>
          </w:tcPr>
          <w:p w14:paraId="08DF20EE" w14:textId="77777777" w:rsidR="007E5AC8" w:rsidRDefault="007E5AC8" w:rsidP="007E5AC8">
            <w:pPr>
              <w:spacing w:after="0"/>
              <w:rPr>
                <w:sz w:val="18"/>
                <w:szCs w:val="18"/>
              </w:rPr>
            </w:pPr>
            <w:r>
              <w:rPr>
                <w:sz w:val="18"/>
                <w:szCs w:val="18"/>
              </w:rPr>
              <w:t>II</w:t>
            </w:r>
          </w:p>
        </w:tc>
        <w:tc>
          <w:tcPr>
            <w:tcW w:w="1440" w:type="dxa"/>
            <w:tcBorders>
              <w:top w:val="single" w:sz="4" w:space="0" w:color="auto"/>
              <w:left w:val="single" w:sz="4" w:space="0" w:color="auto"/>
              <w:bottom w:val="single" w:sz="4" w:space="0" w:color="auto"/>
              <w:right w:val="single" w:sz="4" w:space="0" w:color="auto"/>
            </w:tcBorders>
            <w:hideMark/>
          </w:tcPr>
          <w:p w14:paraId="72FEF624" w14:textId="77777777" w:rsidR="007E5AC8" w:rsidRDefault="007E5AC8" w:rsidP="007E5AC8">
            <w:pPr>
              <w:spacing w:after="0"/>
              <w:rPr>
                <w:sz w:val="16"/>
                <w:szCs w:val="16"/>
              </w:rPr>
            </w:pPr>
            <w:r>
              <w:rPr>
                <w:sz w:val="16"/>
                <w:szCs w:val="16"/>
              </w:rPr>
              <w:t>No</w:t>
            </w:r>
          </w:p>
        </w:tc>
        <w:tc>
          <w:tcPr>
            <w:tcW w:w="1400" w:type="dxa"/>
            <w:tcBorders>
              <w:top w:val="single" w:sz="4" w:space="0" w:color="auto"/>
              <w:left w:val="single" w:sz="4" w:space="0" w:color="auto"/>
              <w:bottom w:val="single" w:sz="4" w:space="0" w:color="auto"/>
              <w:right w:val="single" w:sz="4" w:space="0" w:color="auto"/>
            </w:tcBorders>
            <w:hideMark/>
          </w:tcPr>
          <w:p w14:paraId="3A35BF4F" w14:textId="77777777" w:rsidR="007E5AC8" w:rsidRDefault="007E5AC8" w:rsidP="007E5AC8">
            <w:pPr>
              <w:spacing w:after="0"/>
              <w:rPr>
                <w:sz w:val="18"/>
                <w:szCs w:val="18"/>
              </w:rPr>
            </w:pPr>
            <w:r>
              <w:rPr>
                <w:sz w:val="18"/>
                <w:szCs w:val="18"/>
              </w:rPr>
              <w:t>-</w:t>
            </w:r>
          </w:p>
        </w:tc>
        <w:tc>
          <w:tcPr>
            <w:tcW w:w="887" w:type="dxa"/>
            <w:tcBorders>
              <w:top w:val="single" w:sz="4" w:space="0" w:color="auto"/>
              <w:left w:val="single" w:sz="4" w:space="0" w:color="auto"/>
              <w:bottom w:val="single" w:sz="4" w:space="0" w:color="auto"/>
              <w:right w:val="single" w:sz="4" w:space="0" w:color="auto"/>
            </w:tcBorders>
            <w:hideMark/>
          </w:tcPr>
          <w:p w14:paraId="3AF919D5" w14:textId="77777777" w:rsidR="007E5AC8" w:rsidRDefault="007E5AC8" w:rsidP="007E5AC8">
            <w:pPr>
              <w:spacing w:after="0"/>
              <w:rPr>
                <w:sz w:val="16"/>
                <w:szCs w:val="16"/>
              </w:rPr>
            </w:pPr>
            <w:r>
              <w:rPr>
                <w:sz w:val="16"/>
                <w:szCs w:val="16"/>
              </w:rPr>
              <w:t>Not gazetted</w:t>
            </w: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0160DBF2" w14:textId="77777777" w:rsidR="007E5AC8" w:rsidRDefault="007E5AC8" w:rsidP="007E5AC8">
            <w:pPr>
              <w:spacing w:after="0"/>
              <w:jc w:val="left"/>
              <w:rPr>
                <w:sz w:val="16"/>
                <w:szCs w:val="16"/>
              </w:rPr>
            </w:pPr>
          </w:p>
        </w:tc>
      </w:tr>
      <w:tr w:rsidR="007E5AC8" w14:paraId="756103FC" w14:textId="77777777" w:rsidTr="00A63E29">
        <w:trPr>
          <w:jc w:val="center"/>
        </w:trPr>
        <w:tc>
          <w:tcPr>
            <w:tcW w:w="10292" w:type="dxa"/>
            <w:gridSpan w:val="8"/>
            <w:tcBorders>
              <w:top w:val="single" w:sz="4" w:space="0" w:color="auto"/>
              <w:left w:val="single" w:sz="4" w:space="0" w:color="auto"/>
              <w:bottom w:val="single" w:sz="4" w:space="0" w:color="auto"/>
              <w:right w:val="single" w:sz="4" w:space="0" w:color="auto"/>
            </w:tcBorders>
          </w:tcPr>
          <w:p w14:paraId="3C16BE54" w14:textId="4127FE29" w:rsidR="007E5AC8" w:rsidRPr="0020399E" w:rsidRDefault="007E5AC8" w:rsidP="00A63E29">
            <w:pPr>
              <w:spacing w:after="0"/>
              <w:jc w:val="center"/>
              <w:rPr>
                <w:b/>
                <w:sz w:val="18"/>
                <w:szCs w:val="18"/>
              </w:rPr>
            </w:pPr>
            <w:r w:rsidRPr="00025336">
              <w:rPr>
                <w:szCs w:val="20"/>
                <w:highlight w:val="yellow"/>
                <w:lang w:val="en-GB"/>
              </w:rPr>
              <w:t>Village areas of hunting interest</w:t>
            </w:r>
            <w:r w:rsidRPr="0093108D" w:rsidDel="0093108D">
              <w:rPr>
                <w:szCs w:val="20"/>
                <w:lang w:val="en-GB"/>
              </w:rPr>
              <w:t xml:space="preserve"> </w:t>
            </w:r>
            <w:r w:rsidRPr="0020399E">
              <w:rPr>
                <w:b/>
                <w:sz w:val="18"/>
                <w:szCs w:val="18"/>
              </w:rPr>
              <w:t>(ZOVIC)</w:t>
            </w:r>
          </w:p>
        </w:tc>
        <w:tc>
          <w:tcPr>
            <w:tcW w:w="1223" w:type="dxa"/>
            <w:tcBorders>
              <w:top w:val="single" w:sz="4" w:space="0" w:color="auto"/>
              <w:left w:val="single" w:sz="4" w:space="0" w:color="auto"/>
              <w:bottom w:val="single" w:sz="4" w:space="0" w:color="auto"/>
              <w:right w:val="single" w:sz="4" w:space="0" w:color="auto"/>
            </w:tcBorders>
          </w:tcPr>
          <w:p w14:paraId="4F907EE5" w14:textId="77777777" w:rsidR="007E5AC8" w:rsidRPr="0020399E" w:rsidRDefault="007E5AC8" w:rsidP="007E5AC8">
            <w:pPr>
              <w:spacing w:after="0"/>
              <w:rPr>
                <w:sz w:val="18"/>
                <w:szCs w:val="18"/>
              </w:rPr>
            </w:pPr>
          </w:p>
        </w:tc>
      </w:tr>
      <w:tr w:rsidR="006B3AD8" w:rsidRPr="0082290C" w14:paraId="323186C9" w14:textId="77777777" w:rsidTr="00A63E29">
        <w:trPr>
          <w:jc w:val="center"/>
        </w:trPr>
        <w:tc>
          <w:tcPr>
            <w:tcW w:w="1228" w:type="dxa"/>
            <w:tcBorders>
              <w:top w:val="single" w:sz="4" w:space="0" w:color="auto"/>
              <w:left w:val="single" w:sz="4" w:space="0" w:color="auto"/>
              <w:bottom w:val="single" w:sz="4" w:space="0" w:color="auto"/>
              <w:right w:val="single" w:sz="4" w:space="0" w:color="auto"/>
            </w:tcBorders>
            <w:hideMark/>
          </w:tcPr>
          <w:p w14:paraId="25E2D0DC" w14:textId="77777777" w:rsidR="006B3AD8" w:rsidRDefault="006B3AD8" w:rsidP="006B3AD8">
            <w:pPr>
              <w:spacing w:after="0"/>
              <w:rPr>
                <w:sz w:val="18"/>
                <w:szCs w:val="18"/>
              </w:rPr>
            </w:pPr>
            <w:r>
              <w:rPr>
                <w:sz w:val="18"/>
                <w:szCs w:val="18"/>
              </w:rPr>
              <w:t>Boala</w:t>
            </w:r>
          </w:p>
        </w:tc>
        <w:tc>
          <w:tcPr>
            <w:tcW w:w="2007" w:type="dxa"/>
            <w:tcBorders>
              <w:top w:val="single" w:sz="4" w:space="0" w:color="auto"/>
              <w:left w:val="single" w:sz="4" w:space="0" w:color="auto"/>
              <w:bottom w:val="single" w:sz="4" w:space="0" w:color="auto"/>
              <w:right w:val="single" w:sz="4" w:space="0" w:color="auto"/>
            </w:tcBorders>
          </w:tcPr>
          <w:p w14:paraId="48373AC9" w14:textId="52904B05" w:rsidR="006B3AD8" w:rsidRPr="00A63E29" w:rsidRDefault="006B3AD8" w:rsidP="006B3AD8">
            <w:pPr>
              <w:spacing w:after="0"/>
              <w:rPr>
                <w:sz w:val="18"/>
                <w:szCs w:val="18"/>
                <w:highlight w:val="yellow"/>
              </w:rPr>
            </w:pPr>
            <w:r w:rsidRPr="00A63E29">
              <w:rPr>
                <w:sz w:val="18"/>
                <w:szCs w:val="18"/>
                <w:highlight w:val="yellow"/>
                <w:lang w:val="fr-FR"/>
              </w:rPr>
              <w:t>Sissili</w:t>
            </w:r>
          </w:p>
        </w:tc>
        <w:tc>
          <w:tcPr>
            <w:tcW w:w="1080" w:type="dxa"/>
            <w:tcBorders>
              <w:top w:val="single" w:sz="4" w:space="0" w:color="auto"/>
              <w:left w:val="single" w:sz="4" w:space="0" w:color="auto"/>
              <w:bottom w:val="single" w:sz="4" w:space="0" w:color="auto"/>
              <w:right w:val="single" w:sz="4" w:space="0" w:color="auto"/>
            </w:tcBorders>
            <w:hideMark/>
          </w:tcPr>
          <w:p w14:paraId="09735A92" w14:textId="7F4654FC" w:rsidR="006B3AD8" w:rsidRDefault="006B3AD8" w:rsidP="006B3AD8">
            <w:pPr>
              <w:spacing w:after="0"/>
              <w:rPr>
                <w:sz w:val="18"/>
                <w:szCs w:val="18"/>
              </w:rPr>
            </w:pPr>
            <w:r>
              <w:rPr>
                <w:sz w:val="18"/>
                <w:szCs w:val="18"/>
              </w:rPr>
              <w:t>1,007</w:t>
            </w:r>
          </w:p>
        </w:tc>
        <w:tc>
          <w:tcPr>
            <w:tcW w:w="1440" w:type="dxa"/>
            <w:tcBorders>
              <w:top w:val="single" w:sz="4" w:space="0" w:color="auto"/>
              <w:left w:val="single" w:sz="4" w:space="0" w:color="auto"/>
              <w:bottom w:val="single" w:sz="4" w:space="0" w:color="auto"/>
              <w:right w:val="single" w:sz="4" w:space="0" w:color="auto"/>
            </w:tcBorders>
            <w:hideMark/>
          </w:tcPr>
          <w:p w14:paraId="296653EE" w14:textId="77777777" w:rsidR="006B3AD8" w:rsidRDefault="006B3AD8" w:rsidP="006B3AD8">
            <w:pPr>
              <w:spacing w:after="0"/>
              <w:rPr>
                <w:sz w:val="18"/>
                <w:szCs w:val="18"/>
              </w:rPr>
            </w:pPr>
            <w:r>
              <w:rPr>
                <w:sz w:val="18"/>
                <w:szCs w:val="18"/>
              </w:rPr>
              <w:t>ZOVIC</w:t>
            </w:r>
          </w:p>
        </w:tc>
        <w:tc>
          <w:tcPr>
            <w:tcW w:w="810" w:type="dxa"/>
            <w:tcBorders>
              <w:top w:val="single" w:sz="4" w:space="0" w:color="auto"/>
              <w:left w:val="single" w:sz="4" w:space="0" w:color="auto"/>
              <w:bottom w:val="single" w:sz="4" w:space="0" w:color="auto"/>
              <w:right w:val="single" w:sz="4" w:space="0" w:color="auto"/>
            </w:tcBorders>
            <w:hideMark/>
          </w:tcPr>
          <w:p w14:paraId="55AE907A" w14:textId="77777777" w:rsidR="006B3AD8" w:rsidRDefault="006B3AD8" w:rsidP="006B3AD8">
            <w:pPr>
              <w:spacing w:after="0"/>
              <w:rPr>
                <w:sz w:val="18"/>
                <w:szCs w:val="18"/>
              </w:rPr>
            </w:pPr>
            <w:r>
              <w:rPr>
                <w:sz w:val="18"/>
                <w:szCs w:val="18"/>
              </w:rPr>
              <w:t>VI</w:t>
            </w:r>
          </w:p>
        </w:tc>
        <w:tc>
          <w:tcPr>
            <w:tcW w:w="1440" w:type="dxa"/>
            <w:tcBorders>
              <w:top w:val="single" w:sz="4" w:space="0" w:color="auto"/>
              <w:left w:val="single" w:sz="4" w:space="0" w:color="auto"/>
              <w:bottom w:val="single" w:sz="4" w:space="0" w:color="auto"/>
              <w:right w:val="single" w:sz="4" w:space="0" w:color="auto"/>
            </w:tcBorders>
            <w:hideMark/>
          </w:tcPr>
          <w:p w14:paraId="24E968F2" w14:textId="77777777" w:rsidR="006B3AD8" w:rsidRDefault="006B3AD8" w:rsidP="006B3AD8">
            <w:pPr>
              <w:spacing w:after="0"/>
              <w:rPr>
                <w:sz w:val="16"/>
                <w:szCs w:val="16"/>
              </w:rPr>
            </w:pPr>
            <w:r>
              <w:rPr>
                <w:sz w:val="16"/>
                <w:szCs w:val="16"/>
              </w:rPr>
              <w:t>CVGF</w:t>
            </w:r>
            <w:r>
              <w:rPr>
                <w:rStyle w:val="Appelnotedebasdep"/>
                <w:sz w:val="16"/>
                <w:szCs w:val="16"/>
              </w:rPr>
              <w:footnoteReference w:id="4"/>
            </w:r>
          </w:p>
        </w:tc>
        <w:tc>
          <w:tcPr>
            <w:tcW w:w="1400" w:type="dxa"/>
            <w:vMerge w:val="restart"/>
            <w:tcBorders>
              <w:top w:val="single" w:sz="4" w:space="0" w:color="auto"/>
              <w:left w:val="single" w:sz="4" w:space="0" w:color="auto"/>
              <w:bottom w:val="single" w:sz="4" w:space="0" w:color="auto"/>
              <w:right w:val="single" w:sz="4" w:space="0" w:color="auto"/>
            </w:tcBorders>
            <w:vAlign w:val="center"/>
            <w:hideMark/>
          </w:tcPr>
          <w:p w14:paraId="296BD07A" w14:textId="77777777" w:rsidR="006B3AD8" w:rsidRDefault="006B3AD8" w:rsidP="006B3AD8">
            <w:pPr>
              <w:spacing w:after="0"/>
              <w:rPr>
                <w:sz w:val="18"/>
                <w:szCs w:val="18"/>
                <w:lang w:val="en-CA"/>
              </w:rPr>
            </w:pPr>
            <w:r>
              <w:rPr>
                <w:sz w:val="16"/>
                <w:szCs w:val="16"/>
                <w:lang w:val="en-CA"/>
              </w:rPr>
              <w:t>Management plans and specifications outdated</w:t>
            </w:r>
          </w:p>
        </w:tc>
        <w:tc>
          <w:tcPr>
            <w:tcW w:w="887" w:type="dxa"/>
            <w:tcBorders>
              <w:top w:val="single" w:sz="4" w:space="0" w:color="auto"/>
              <w:left w:val="single" w:sz="4" w:space="0" w:color="auto"/>
              <w:bottom w:val="single" w:sz="4" w:space="0" w:color="auto"/>
              <w:right w:val="single" w:sz="4" w:space="0" w:color="auto"/>
            </w:tcBorders>
            <w:hideMark/>
          </w:tcPr>
          <w:p w14:paraId="28299384" w14:textId="77777777" w:rsidR="006B3AD8" w:rsidRDefault="006B3AD8" w:rsidP="006B3AD8">
            <w:pPr>
              <w:spacing w:after="0"/>
              <w:rPr>
                <w:sz w:val="16"/>
                <w:szCs w:val="16"/>
              </w:rPr>
            </w:pPr>
            <w:r>
              <w:rPr>
                <w:sz w:val="16"/>
                <w:szCs w:val="16"/>
              </w:rPr>
              <w:t>Created 1989</w:t>
            </w:r>
          </w:p>
        </w:tc>
        <w:tc>
          <w:tcPr>
            <w:tcW w:w="1223"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E0CF576" w14:textId="77777777" w:rsidR="006B3AD8" w:rsidRDefault="006B3AD8" w:rsidP="006B3AD8">
            <w:pPr>
              <w:spacing w:after="0"/>
              <w:rPr>
                <w:sz w:val="16"/>
                <w:szCs w:val="16"/>
                <w:lang w:val="en-CA"/>
              </w:rPr>
            </w:pPr>
            <w:r>
              <w:rPr>
                <w:sz w:val="16"/>
                <w:szCs w:val="16"/>
                <w:lang w:val="en-CA"/>
              </w:rPr>
              <w:t>Local authorities and communities under various arrangements</w:t>
            </w:r>
          </w:p>
        </w:tc>
      </w:tr>
      <w:tr w:rsidR="006B3AD8" w14:paraId="171790DF" w14:textId="77777777" w:rsidTr="00A63E29">
        <w:trPr>
          <w:jc w:val="center"/>
        </w:trPr>
        <w:tc>
          <w:tcPr>
            <w:tcW w:w="1228" w:type="dxa"/>
            <w:tcBorders>
              <w:top w:val="single" w:sz="4" w:space="0" w:color="auto"/>
              <w:left w:val="single" w:sz="4" w:space="0" w:color="auto"/>
              <w:bottom w:val="single" w:sz="4" w:space="0" w:color="auto"/>
              <w:right w:val="single" w:sz="4" w:space="0" w:color="auto"/>
            </w:tcBorders>
            <w:hideMark/>
          </w:tcPr>
          <w:p w14:paraId="310C9B78" w14:textId="77777777" w:rsidR="006B3AD8" w:rsidRDefault="006B3AD8" w:rsidP="006B3AD8">
            <w:pPr>
              <w:spacing w:after="0"/>
              <w:rPr>
                <w:sz w:val="18"/>
                <w:szCs w:val="18"/>
              </w:rPr>
            </w:pPr>
            <w:r>
              <w:rPr>
                <w:sz w:val="18"/>
                <w:szCs w:val="18"/>
              </w:rPr>
              <w:t>Kounou</w:t>
            </w:r>
          </w:p>
        </w:tc>
        <w:tc>
          <w:tcPr>
            <w:tcW w:w="2007" w:type="dxa"/>
            <w:tcBorders>
              <w:top w:val="single" w:sz="4" w:space="0" w:color="auto"/>
              <w:left w:val="single" w:sz="4" w:space="0" w:color="auto"/>
              <w:bottom w:val="single" w:sz="4" w:space="0" w:color="auto"/>
              <w:right w:val="single" w:sz="4" w:space="0" w:color="auto"/>
            </w:tcBorders>
          </w:tcPr>
          <w:p w14:paraId="373B3805" w14:textId="049AEEEA" w:rsidR="006B3AD8" w:rsidRPr="00A63E29" w:rsidRDefault="006B3AD8" w:rsidP="006B3AD8">
            <w:pPr>
              <w:spacing w:after="0"/>
              <w:rPr>
                <w:sz w:val="18"/>
                <w:szCs w:val="18"/>
                <w:highlight w:val="yellow"/>
              </w:rPr>
            </w:pPr>
            <w:r w:rsidRPr="00A63E29">
              <w:rPr>
                <w:sz w:val="18"/>
                <w:szCs w:val="18"/>
                <w:highlight w:val="yellow"/>
                <w:lang w:val="fr-FR"/>
              </w:rPr>
              <w:t>Sissili</w:t>
            </w:r>
          </w:p>
        </w:tc>
        <w:tc>
          <w:tcPr>
            <w:tcW w:w="1080" w:type="dxa"/>
            <w:tcBorders>
              <w:top w:val="single" w:sz="4" w:space="0" w:color="auto"/>
              <w:left w:val="single" w:sz="4" w:space="0" w:color="auto"/>
              <w:bottom w:val="single" w:sz="4" w:space="0" w:color="auto"/>
              <w:right w:val="single" w:sz="4" w:space="0" w:color="auto"/>
            </w:tcBorders>
            <w:hideMark/>
          </w:tcPr>
          <w:p w14:paraId="4BB52B40" w14:textId="348A430E" w:rsidR="006B3AD8" w:rsidRDefault="006B3AD8" w:rsidP="006B3AD8">
            <w:pPr>
              <w:spacing w:after="0"/>
              <w:rPr>
                <w:sz w:val="18"/>
                <w:szCs w:val="18"/>
              </w:rPr>
            </w:pPr>
            <w:r>
              <w:rPr>
                <w:sz w:val="18"/>
                <w:szCs w:val="18"/>
              </w:rPr>
              <w:t>2,650</w:t>
            </w:r>
          </w:p>
        </w:tc>
        <w:tc>
          <w:tcPr>
            <w:tcW w:w="1440" w:type="dxa"/>
            <w:tcBorders>
              <w:top w:val="single" w:sz="4" w:space="0" w:color="auto"/>
              <w:left w:val="single" w:sz="4" w:space="0" w:color="auto"/>
              <w:bottom w:val="single" w:sz="4" w:space="0" w:color="auto"/>
              <w:right w:val="single" w:sz="4" w:space="0" w:color="auto"/>
            </w:tcBorders>
            <w:hideMark/>
          </w:tcPr>
          <w:p w14:paraId="00491C3B" w14:textId="77777777" w:rsidR="006B3AD8" w:rsidRDefault="006B3AD8" w:rsidP="006B3AD8">
            <w:pPr>
              <w:spacing w:after="0"/>
              <w:rPr>
                <w:sz w:val="18"/>
                <w:szCs w:val="18"/>
              </w:rPr>
            </w:pPr>
            <w:r>
              <w:rPr>
                <w:sz w:val="18"/>
                <w:szCs w:val="18"/>
              </w:rPr>
              <w:t>ZOVIC</w:t>
            </w:r>
          </w:p>
        </w:tc>
        <w:tc>
          <w:tcPr>
            <w:tcW w:w="810" w:type="dxa"/>
            <w:tcBorders>
              <w:top w:val="single" w:sz="4" w:space="0" w:color="auto"/>
              <w:left w:val="single" w:sz="4" w:space="0" w:color="auto"/>
              <w:bottom w:val="single" w:sz="4" w:space="0" w:color="auto"/>
              <w:right w:val="single" w:sz="4" w:space="0" w:color="auto"/>
            </w:tcBorders>
            <w:hideMark/>
          </w:tcPr>
          <w:p w14:paraId="0FCCBF14" w14:textId="77777777" w:rsidR="006B3AD8" w:rsidRDefault="006B3AD8" w:rsidP="006B3AD8">
            <w:pPr>
              <w:spacing w:after="0"/>
              <w:rPr>
                <w:sz w:val="18"/>
                <w:szCs w:val="18"/>
              </w:rPr>
            </w:pPr>
            <w:r>
              <w:rPr>
                <w:sz w:val="18"/>
                <w:szCs w:val="18"/>
              </w:rPr>
              <w:t>VI</w:t>
            </w:r>
          </w:p>
        </w:tc>
        <w:tc>
          <w:tcPr>
            <w:tcW w:w="1440" w:type="dxa"/>
            <w:tcBorders>
              <w:top w:val="single" w:sz="4" w:space="0" w:color="auto"/>
              <w:left w:val="single" w:sz="4" w:space="0" w:color="auto"/>
              <w:bottom w:val="single" w:sz="4" w:space="0" w:color="auto"/>
              <w:right w:val="single" w:sz="4" w:space="0" w:color="auto"/>
            </w:tcBorders>
            <w:hideMark/>
          </w:tcPr>
          <w:p w14:paraId="3CCB2C39" w14:textId="77777777" w:rsidR="006B3AD8" w:rsidRDefault="006B3AD8" w:rsidP="006B3AD8">
            <w:pPr>
              <w:spacing w:after="0"/>
              <w:rPr>
                <w:sz w:val="16"/>
                <w:szCs w:val="16"/>
              </w:rPr>
            </w:pPr>
            <w:r>
              <w:rPr>
                <w:sz w:val="16"/>
                <w:szCs w:val="16"/>
              </w:rPr>
              <w:t>CVGF</w:t>
            </w:r>
          </w:p>
        </w:tc>
        <w:tc>
          <w:tcPr>
            <w:tcW w:w="1400" w:type="dxa"/>
            <w:vMerge/>
            <w:tcBorders>
              <w:top w:val="single" w:sz="4" w:space="0" w:color="auto"/>
              <w:left w:val="single" w:sz="4" w:space="0" w:color="auto"/>
              <w:bottom w:val="single" w:sz="4" w:space="0" w:color="auto"/>
              <w:right w:val="single" w:sz="4" w:space="0" w:color="auto"/>
            </w:tcBorders>
            <w:vAlign w:val="center"/>
            <w:hideMark/>
          </w:tcPr>
          <w:p w14:paraId="596C5344" w14:textId="77777777" w:rsidR="006B3AD8" w:rsidRDefault="006B3AD8" w:rsidP="006B3AD8">
            <w:pPr>
              <w:spacing w:after="0"/>
              <w:jc w:val="left"/>
              <w:rPr>
                <w:sz w:val="18"/>
                <w:szCs w:val="18"/>
                <w:lang w:val="en-CA"/>
              </w:rPr>
            </w:pPr>
          </w:p>
        </w:tc>
        <w:tc>
          <w:tcPr>
            <w:tcW w:w="887" w:type="dxa"/>
            <w:tcBorders>
              <w:top w:val="single" w:sz="4" w:space="0" w:color="auto"/>
              <w:left w:val="single" w:sz="4" w:space="0" w:color="auto"/>
              <w:bottom w:val="single" w:sz="4" w:space="0" w:color="auto"/>
              <w:right w:val="single" w:sz="4" w:space="0" w:color="auto"/>
            </w:tcBorders>
            <w:hideMark/>
          </w:tcPr>
          <w:p w14:paraId="2BC32B79" w14:textId="77777777" w:rsidR="006B3AD8" w:rsidRDefault="006B3AD8" w:rsidP="006B3AD8">
            <w:pPr>
              <w:spacing w:after="0"/>
              <w:rPr>
                <w:sz w:val="16"/>
                <w:szCs w:val="16"/>
              </w:rPr>
            </w:pPr>
            <w:r>
              <w:rPr>
                <w:sz w:val="16"/>
                <w:szCs w:val="16"/>
              </w:rPr>
              <w:t>Created 1989</w:t>
            </w: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79679DA4" w14:textId="77777777" w:rsidR="006B3AD8" w:rsidRDefault="006B3AD8" w:rsidP="006B3AD8">
            <w:pPr>
              <w:spacing w:after="0"/>
              <w:jc w:val="left"/>
              <w:rPr>
                <w:sz w:val="16"/>
                <w:szCs w:val="16"/>
                <w:lang w:val="en-CA"/>
              </w:rPr>
            </w:pPr>
          </w:p>
        </w:tc>
      </w:tr>
      <w:tr w:rsidR="006B3AD8" w14:paraId="04FA230E" w14:textId="77777777" w:rsidTr="00A63E29">
        <w:trPr>
          <w:jc w:val="center"/>
        </w:trPr>
        <w:tc>
          <w:tcPr>
            <w:tcW w:w="1228" w:type="dxa"/>
            <w:tcBorders>
              <w:top w:val="single" w:sz="4" w:space="0" w:color="auto"/>
              <w:left w:val="single" w:sz="4" w:space="0" w:color="auto"/>
              <w:bottom w:val="single" w:sz="4" w:space="0" w:color="auto"/>
              <w:right w:val="single" w:sz="4" w:space="0" w:color="auto"/>
            </w:tcBorders>
            <w:hideMark/>
          </w:tcPr>
          <w:p w14:paraId="7E1D6AE3" w14:textId="77777777" w:rsidR="006B3AD8" w:rsidRDefault="006B3AD8" w:rsidP="006B3AD8">
            <w:pPr>
              <w:spacing w:after="0"/>
              <w:rPr>
                <w:sz w:val="18"/>
                <w:szCs w:val="18"/>
              </w:rPr>
            </w:pPr>
            <w:r>
              <w:rPr>
                <w:sz w:val="18"/>
                <w:szCs w:val="18"/>
              </w:rPr>
              <w:t>Tassian</w:t>
            </w:r>
          </w:p>
        </w:tc>
        <w:tc>
          <w:tcPr>
            <w:tcW w:w="2007" w:type="dxa"/>
            <w:tcBorders>
              <w:top w:val="single" w:sz="4" w:space="0" w:color="auto"/>
              <w:left w:val="single" w:sz="4" w:space="0" w:color="auto"/>
              <w:bottom w:val="single" w:sz="4" w:space="0" w:color="auto"/>
              <w:right w:val="single" w:sz="4" w:space="0" w:color="auto"/>
            </w:tcBorders>
          </w:tcPr>
          <w:p w14:paraId="4E76B2BD" w14:textId="46CC304B" w:rsidR="006B3AD8" w:rsidRPr="00A63E29" w:rsidRDefault="006B3AD8" w:rsidP="006B3AD8">
            <w:pPr>
              <w:spacing w:after="0"/>
              <w:rPr>
                <w:sz w:val="18"/>
                <w:szCs w:val="18"/>
                <w:highlight w:val="yellow"/>
              </w:rPr>
            </w:pPr>
            <w:r w:rsidRPr="00A63E29">
              <w:rPr>
                <w:sz w:val="18"/>
                <w:szCs w:val="18"/>
                <w:highlight w:val="yellow"/>
                <w:lang w:val="fr-FR"/>
              </w:rPr>
              <w:t xml:space="preserve">Sissili </w:t>
            </w:r>
          </w:p>
        </w:tc>
        <w:tc>
          <w:tcPr>
            <w:tcW w:w="1080" w:type="dxa"/>
            <w:tcBorders>
              <w:top w:val="single" w:sz="4" w:space="0" w:color="auto"/>
              <w:left w:val="single" w:sz="4" w:space="0" w:color="auto"/>
              <w:bottom w:val="single" w:sz="4" w:space="0" w:color="auto"/>
              <w:right w:val="single" w:sz="4" w:space="0" w:color="auto"/>
            </w:tcBorders>
            <w:hideMark/>
          </w:tcPr>
          <w:p w14:paraId="499A894A" w14:textId="322EF4EB" w:rsidR="006B3AD8" w:rsidRDefault="006B3AD8" w:rsidP="006B3AD8">
            <w:pPr>
              <w:spacing w:after="0"/>
              <w:rPr>
                <w:sz w:val="18"/>
                <w:szCs w:val="18"/>
              </w:rPr>
            </w:pPr>
            <w:r>
              <w:rPr>
                <w:sz w:val="18"/>
                <w:szCs w:val="18"/>
              </w:rPr>
              <w:t>3,345</w:t>
            </w:r>
          </w:p>
        </w:tc>
        <w:tc>
          <w:tcPr>
            <w:tcW w:w="1440" w:type="dxa"/>
            <w:tcBorders>
              <w:top w:val="single" w:sz="4" w:space="0" w:color="auto"/>
              <w:left w:val="single" w:sz="4" w:space="0" w:color="auto"/>
              <w:bottom w:val="single" w:sz="4" w:space="0" w:color="auto"/>
              <w:right w:val="single" w:sz="4" w:space="0" w:color="auto"/>
            </w:tcBorders>
            <w:hideMark/>
          </w:tcPr>
          <w:p w14:paraId="4891BB6B" w14:textId="77777777" w:rsidR="006B3AD8" w:rsidRDefault="006B3AD8" w:rsidP="006B3AD8">
            <w:pPr>
              <w:spacing w:after="0"/>
              <w:rPr>
                <w:sz w:val="18"/>
                <w:szCs w:val="18"/>
              </w:rPr>
            </w:pPr>
            <w:r>
              <w:rPr>
                <w:sz w:val="18"/>
                <w:szCs w:val="18"/>
              </w:rPr>
              <w:t>ZOVIC</w:t>
            </w:r>
          </w:p>
        </w:tc>
        <w:tc>
          <w:tcPr>
            <w:tcW w:w="810" w:type="dxa"/>
            <w:tcBorders>
              <w:top w:val="single" w:sz="4" w:space="0" w:color="auto"/>
              <w:left w:val="single" w:sz="4" w:space="0" w:color="auto"/>
              <w:bottom w:val="single" w:sz="4" w:space="0" w:color="auto"/>
              <w:right w:val="single" w:sz="4" w:space="0" w:color="auto"/>
            </w:tcBorders>
            <w:hideMark/>
          </w:tcPr>
          <w:p w14:paraId="19CFC20E" w14:textId="77777777" w:rsidR="006B3AD8" w:rsidRDefault="006B3AD8" w:rsidP="006B3AD8">
            <w:pPr>
              <w:spacing w:after="0"/>
              <w:rPr>
                <w:sz w:val="18"/>
                <w:szCs w:val="18"/>
              </w:rPr>
            </w:pPr>
            <w:r>
              <w:rPr>
                <w:sz w:val="18"/>
                <w:szCs w:val="18"/>
              </w:rPr>
              <w:t>VI</w:t>
            </w:r>
          </w:p>
        </w:tc>
        <w:tc>
          <w:tcPr>
            <w:tcW w:w="1440" w:type="dxa"/>
            <w:tcBorders>
              <w:top w:val="single" w:sz="4" w:space="0" w:color="auto"/>
              <w:left w:val="single" w:sz="4" w:space="0" w:color="auto"/>
              <w:bottom w:val="single" w:sz="4" w:space="0" w:color="auto"/>
              <w:right w:val="single" w:sz="4" w:space="0" w:color="auto"/>
            </w:tcBorders>
            <w:hideMark/>
          </w:tcPr>
          <w:p w14:paraId="52543FD1" w14:textId="77777777" w:rsidR="006B3AD8" w:rsidRDefault="006B3AD8" w:rsidP="006B3AD8">
            <w:pPr>
              <w:spacing w:after="0"/>
              <w:rPr>
                <w:sz w:val="16"/>
                <w:szCs w:val="16"/>
              </w:rPr>
            </w:pPr>
            <w:r>
              <w:rPr>
                <w:sz w:val="16"/>
                <w:szCs w:val="16"/>
              </w:rPr>
              <w:t>CVGF</w:t>
            </w:r>
          </w:p>
        </w:tc>
        <w:tc>
          <w:tcPr>
            <w:tcW w:w="1400" w:type="dxa"/>
            <w:vMerge/>
            <w:tcBorders>
              <w:top w:val="single" w:sz="4" w:space="0" w:color="auto"/>
              <w:left w:val="single" w:sz="4" w:space="0" w:color="auto"/>
              <w:bottom w:val="single" w:sz="4" w:space="0" w:color="auto"/>
              <w:right w:val="single" w:sz="4" w:space="0" w:color="auto"/>
            </w:tcBorders>
            <w:vAlign w:val="center"/>
            <w:hideMark/>
          </w:tcPr>
          <w:p w14:paraId="05211FA1" w14:textId="77777777" w:rsidR="006B3AD8" w:rsidRDefault="006B3AD8" w:rsidP="006B3AD8">
            <w:pPr>
              <w:spacing w:after="0"/>
              <w:jc w:val="left"/>
              <w:rPr>
                <w:sz w:val="18"/>
                <w:szCs w:val="18"/>
                <w:lang w:val="en-CA"/>
              </w:rPr>
            </w:pPr>
          </w:p>
        </w:tc>
        <w:tc>
          <w:tcPr>
            <w:tcW w:w="887" w:type="dxa"/>
            <w:tcBorders>
              <w:top w:val="single" w:sz="4" w:space="0" w:color="auto"/>
              <w:left w:val="single" w:sz="4" w:space="0" w:color="auto"/>
              <w:bottom w:val="single" w:sz="4" w:space="0" w:color="auto"/>
              <w:right w:val="single" w:sz="4" w:space="0" w:color="auto"/>
            </w:tcBorders>
            <w:hideMark/>
          </w:tcPr>
          <w:p w14:paraId="62C709C6" w14:textId="77777777" w:rsidR="006B3AD8" w:rsidRDefault="006B3AD8" w:rsidP="006B3AD8">
            <w:pPr>
              <w:spacing w:after="0"/>
              <w:rPr>
                <w:sz w:val="16"/>
                <w:szCs w:val="16"/>
              </w:rPr>
            </w:pPr>
            <w:r>
              <w:rPr>
                <w:sz w:val="16"/>
                <w:szCs w:val="16"/>
              </w:rPr>
              <w:t>Created 1989</w:t>
            </w: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08CEEA2B" w14:textId="77777777" w:rsidR="006B3AD8" w:rsidRDefault="006B3AD8" w:rsidP="006B3AD8">
            <w:pPr>
              <w:spacing w:after="0"/>
              <w:jc w:val="left"/>
              <w:rPr>
                <w:sz w:val="16"/>
                <w:szCs w:val="16"/>
                <w:lang w:val="en-CA"/>
              </w:rPr>
            </w:pPr>
          </w:p>
        </w:tc>
      </w:tr>
      <w:tr w:rsidR="006B3AD8" w14:paraId="24F02236" w14:textId="77777777" w:rsidTr="00A63E29">
        <w:trPr>
          <w:jc w:val="center"/>
        </w:trPr>
        <w:tc>
          <w:tcPr>
            <w:tcW w:w="1228" w:type="dxa"/>
            <w:tcBorders>
              <w:top w:val="single" w:sz="4" w:space="0" w:color="auto"/>
              <w:left w:val="single" w:sz="4" w:space="0" w:color="auto"/>
              <w:bottom w:val="single" w:sz="4" w:space="0" w:color="auto"/>
              <w:right w:val="single" w:sz="4" w:space="0" w:color="auto"/>
            </w:tcBorders>
            <w:hideMark/>
          </w:tcPr>
          <w:p w14:paraId="0B1F82BE" w14:textId="77777777" w:rsidR="006B3AD8" w:rsidRDefault="006B3AD8" w:rsidP="006B3AD8">
            <w:pPr>
              <w:spacing w:after="0"/>
              <w:rPr>
                <w:sz w:val="18"/>
                <w:szCs w:val="18"/>
              </w:rPr>
            </w:pPr>
            <w:r>
              <w:rPr>
                <w:sz w:val="18"/>
                <w:szCs w:val="18"/>
              </w:rPr>
              <w:t>Neboun-Bori</w:t>
            </w:r>
          </w:p>
        </w:tc>
        <w:tc>
          <w:tcPr>
            <w:tcW w:w="2007" w:type="dxa"/>
            <w:tcBorders>
              <w:top w:val="single" w:sz="4" w:space="0" w:color="auto"/>
              <w:left w:val="single" w:sz="4" w:space="0" w:color="auto"/>
              <w:bottom w:val="single" w:sz="4" w:space="0" w:color="auto"/>
              <w:right w:val="single" w:sz="4" w:space="0" w:color="auto"/>
            </w:tcBorders>
          </w:tcPr>
          <w:p w14:paraId="692B369B" w14:textId="22658A4F" w:rsidR="006B3AD8" w:rsidRPr="00A63E29" w:rsidRDefault="006B3AD8" w:rsidP="006B3AD8">
            <w:pPr>
              <w:spacing w:after="0"/>
              <w:rPr>
                <w:sz w:val="18"/>
                <w:szCs w:val="18"/>
                <w:highlight w:val="yellow"/>
              </w:rPr>
            </w:pPr>
            <w:r w:rsidRPr="00A63E29">
              <w:rPr>
                <w:sz w:val="18"/>
                <w:szCs w:val="18"/>
                <w:highlight w:val="yellow"/>
                <w:lang w:val="fr-FR"/>
              </w:rPr>
              <w:t>Nahouri</w:t>
            </w:r>
          </w:p>
        </w:tc>
        <w:tc>
          <w:tcPr>
            <w:tcW w:w="1080" w:type="dxa"/>
            <w:tcBorders>
              <w:top w:val="single" w:sz="4" w:space="0" w:color="auto"/>
              <w:left w:val="single" w:sz="4" w:space="0" w:color="auto"/>
              <w:bottom w:val="single" w:sz="4" w:space="0" w:color="auto"/>
              <w:right w:val="single" w:sz="4" w:space="0" w:color="auto"/>
            </w:tcBorders>
            <w:hideMark/>
          </w:tcPr>
          <w:p w14:paraId="52E75E68" w14:textId="12BC9EF7" w:rsidR="006B3AD8" w:rsidRDefault="006B3AD8" w:rsidP="006B3AD8">
            <w:pPr>
              <w:spacing w:after="0"/>
              <w:rPr>
                <w:sz w:val="18"/>
                <w:szCs w:val="18"/>
              </w:rPr>
            </w:pPr>
            <w:r>
              <w:rPr>
                <w:sz w:val="18"/>
                <w:szCs w:val="18"/>
              </w:rPr>
              <w:t>3,000</w:t>
            </w:r>
          </w:p>
        </w:tc>
        <w:tc>
          <w:tcPr>
            <w:tcW w:w="1440" w:type="dxa"/>
            <w:tcBorders>
              <w:top w:val="single" w:sz="4" w:space="0" w:color="auto"/>
              <w:left w:val="single" w:sz="4" w:space="0" w:color="auto"/>
              <w:bottom w:val="single" w:sz="4" w:space="0" w:color="auto"/>
              <w:right w:val="single" w:sz="4" w:space="0" w:color="auto"/>
            </w:tcBorders>
            <w:hideMark/>
          </w:tcPr>
          <w:p w14:paraId="111D9C24" w14:textId="77777777" w:rsidR="006B3AD8" w:rsidRDefault="006B3AD8" w:rsidP="006B3AD8">
            <w:pPr>
              <w:spacing w:after="0"/>
              <w:rPr>
                <w:sz w:val="18"/>
                <w:szCs w:val="18"/>
              </w:rPr>
            </w:pPr>
            <w:r>
              <w:rPr>
                <w:sz w:val="18"/>
                <w:szCs w:val="18"/>
              </w:rPr>
              <w:t>ZOVIC</w:t>
            </w:r>
          </w:p>
        </w:tc>
        <w:tc>
          <w:tcPr>
            <w:tcW w:w="810" w:type="dxa"/>
            <w:tcBorders>
              <w:top w:val="single" w:sz="4" w:space="0" w:color="auto"/>
              <w:left w:val="single" w:sz="4" w:space="0" w:color="auto"/>
              <w:bottom w:val="single" w:sz="4" w:space="0" w:color="auto"/>
              <w:right w:val="single" w:sz="4" w:space="0" w:color="auto"/>
            </w:tcBorders>
            <w:hideMark/>
          </w:tcPr>
          <w:p w14:paraId="37FBDB2F" w14:textId="77777777" w:rsidR="006B3AD8" w:rsidRDefault="006B3AD8" w:rsidP="006B3AD8">
            <w:pPr>
              <w:spacing w:after="0"/>
              <w:rPr>
                <w:sz w:val="18"/>
                <w:szCs w:val="18"/>
              </w:rPr>
            </w:pPr>
            <w:r>
              <w:rPr>
                <w:sz w:val="18"/>
                <w:szCs w:val="18"/>
              </w:rPr>
              <w:t>VI</w:t>
            </w:r>
          </w:p>
        </w:tc>
        <w:tc>
          <w:tcPr>
            <w:tcW w:w="1440" w:type="dxa"/>
            <w:tcBorders>
              <w:top w:val="single" w:sz="4" w:space="0" w:color="auto"/>
              <w:left w:val="single" w:sz="4" w:space="0" w:color="auto"/>
              <w:bottom w:val="single" w:sz="4" w:space="0" w:color="auto"/>
              <w:right w:val="single" w:sz="4" w:space="0" w:color="auto"/>
            </w:tcBorders>
            <w:hideMark/>
          </w:tcPr>
          <w:p w14:paraId="54146633" w14:textId="77777777" w:rsidR="006B3AD8" w:rsidRDefault="006B3AD8" w:rsidP="006B3AD8">
            <w:pPr>
              <w:spacing w:after="0"/>
              <w:rPr>
                <w:sz w:val="16"/>
                <w:szCs w:val="16"/>
              </w:rPr>
            </w:pPr>
            <w:r>
              <w:rPr>
                <w:sz w:val="16"/>
                <w:szCs w:val="16"/>
              </w:rPr>
              <w:t>CVGF</w:t>
            </w:r>
          </w:p>
        </w:tc>
        <w:tc>
          <w:tcPr>
            <w:tcW w:w="1400" w:type="dxa"/>
            <w:vMerge/>
            <w:tcBorders>
              <w:top w:val="single" w:sz="4" w:space="0" w:color="auto"/>
              <w:left w:val="single" w:sz="4" w:space="0" w:color="auto"/>
              <w:bottom w:val="single" w:sz="4" w:space="0" w:color="auto"/>
              <w:right w:val="single" w:sz="4" w:space="0" w:color="auto"/>
            </w:tcBorders>
            <w:vAlign w:val="center"/>
            <w:hideMark/>
          </w:tcPr>
          <w:p w14:paraId="2DA1A159" w14:textId="77777777" w:rsidR="006B3AD8" w:rsidRDefault="006B3AD8" w:rsidP="006B3AD8">
            <w:pPr>
              <w:spacing w:after="0"/>
              <w:jc w:val="left"/>
              <w:rPr>
                <w:sz w:val="18"/>
                <w:szCs w:val="18"/>
                <w:lang w:val="en-CA"/>
              </w:rPr>
            </w:pPr>
          </w:p>
        </w:tc>
        <w:tc>
          <w:tcPr>
            <w:tcW w:w="887" w:type="dxa"/>
            <w:tcBorders>
              <w:top w:val="single" w:sz="4" w:space="0" w:color="auto"/>
              <w:left w:val="single" w:sz="4" w:space="0" w:color="auto"/>
              <w:bottom w:val="single" w:sz="4" w:space="0" w:color="auto"/>
              <w:right w:val="single" w:sz="4" w:space="0" w:color="auto"/>
            </w:tcBorders>
            <w:hideMark/>
          </w:tcPr>
          <w:p w14:paraId="2CB79F9C" w14:textId="77777777" w:rsidR="006B3AD8" w:rsidRDefault="006B3AD8" w:rsidP="006B3AD8">
            <w:pPr>
              <w:spacing w:after="0"/>
              <w:rPr>
                <w:sz w:val="16"/>
                <w:szCs w:val="16"/>
              </w:rPr>
            </w:pPr>
            <w:r>
              <w:rPr>
                <w:sz w:val="16"/>
                <w:szCs w:val="16"/>
              </w:rPr>
              <w:t>Created 1989</w:t>
            </w: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1B72FA11" w14:textId="77777777" w:rsidR="006B3AD8" w:rsidRDefault="006B3AD8" w:rsidP="006B3AD8">
            <w:pPr>
              <w:spacing w:after="0"/>
              <w:jc w:val="left"/>
              <w:rPr>
                <w:sz w:val="16"/>
                <w:szCs w:val="16"/>
                <w:lang w:val="en-CA"/>
              </w:rPr>
            </w:pPr>
          </w:p>
        </w:tc>
      </w:tr>
      <w:tr w:rsidR="006B3AD8" w14:paraId="64FEA048" w14:textId="77777777" w:rsidTr="00A63E29">
        <w:trPr>
          <w:jc w:val="center"/>
        </w:trPr>
        <w:tc>
          <w:tcPr>
            <w:tcW w:w="1228" w:type="dxa"/>
            <w:tcBorders>
              <w:top w:val="single" w:sz="4" w:space="0" w:color="auto"/>
              <w:left w:val="single" w:sz="4" w:space="0" w:color="auto"/>
              <w:bottom w:val="single" w:sz="4" w:space="0" w:color="auto"/>
              <w:right w:val="single" w:sz="4" w:space="0" w:color="auto"/>
            </w:tcBorders>
            <w:hideMark/>
          </w:tcPr>
          <w:p w14:paraId="2B5D48C3" w14:textId="77777777" w:rsidR="006B3AD8" w:rsidRDefault="006B3AD8" w:rsidP="006B3AD8">
            <w:pPr>
              <w:spacing w:after="0"/>
              <w:rPr>
                <w:sz w:val="18"/>
                <w:szCs w:val="18"/>
              </w:rPr>
            </w:pPr>
            <w:r>
              <w:rPr>
                <w:sz w:val="18"/>
                <w:szCs w:val="18"/>
              </w:rPr>
              <w:t>Boassan</w:t>
            </w:r>
          </w:p>
        </w:tc>
        <w:tc>
          <w:tcPr>
            <w:tcW w:w="2007" w:type="dxa"/>
            <w:tcBorders>
              <w:top w:val="single" w:sz="4" w:space="0" w:color="auto"/>
              <w:left w:val="single" w:sz="4" w:space="0" w:color="auto"/>
              <w:bottom w:val="single" w:sz="4" w:space="0" w:color="auto"/>
              <w:right w:val="single" w:sz="4" w:space="0" w:color="auto"/>
            </w:tcBorders>
          </w:tcPr>
          <w:p w14:paraId="5564AC0E" w14:textId="2C77C31B" w:rsidR="006B3AD8" w:rsidRPr="00A63E29" w:rsidRDefault="006B3AD8" w:rsidP="006B3AD8">
            <w:pPr>
              <w:spacing w:after="0"/>
              <w:rPr>
                <w:sz w:val="18"/>
                <w:szCs w:val="18"/>
                <w:highlight w:val="yellow"/>
              </w:rPr>
            </w:pPr>
            <w:r w:rsidRPr="00A63E29">
              <w:rPr>
                <w:sz w:val="18"/>
                <w:szCs w:val="18"/>
                <w:highlight w:val="yellow"/>
                <w:lang w:val="fr-FR"/>
              </w:rPr>
              <w:t>Nahouri</w:t>
            </w:r>
          </w:p>
        </w:tc>
        <w:tc>
          <w:tcPr>
            <w:tcW w:w="1080" w:type="dxa"/>
            <w:tcBorders>
              <w:top w:val="single" w:sz="4" w:space="0" w:color="auto"/>
              <w:left w:val="single" w:sz="4" w:space="0" w:color="auto"/>
              <w:bottom w:val="single" w:sz="4" w:space="0" w:color="auto"/>
              <w:right w:val="single" w:sz="4" w:space="0" w:color="auto"/>
            </w:tcBorders>
            <w:hideMark/>
          </w:tcPr>
          <w:p w14:paraId="34BD1DD5" w14:textId="7F936A5F" w:rsidR="006B3AD8" w:rsidRDefault="006B3AD8" w:rsidP="006B3AD8">
            <w:pPr>
              <w:spacing w:after="0"/>
              <w:rPr>
                <w:sz w:val="18"/>
                <w:szCs w:val="18"/>
              </w:rPr>
            </w:pPr>
            <w:r>
              <w:rPr>
                <w:sz w:val="18"/>
                <w:szCs w:val="18"/>
              </w:rPr>
              <w:t>345</w:t>
            </w:r>
          </w:p>
        </w:tc>
        <w:tc>
          <w:tcPr>
            <w:tcW w:w="1440" w:type="dxa"/>
            <w:tcBorders>
              <w:top w:val="single" w:sz="4" w:space="0" w:color="auto"/>
              <w:left w:val="single" w:sz="4" w:space="0" w:color="auto"/>
              <w:bottom w:val="single" w:sz="4" w:space="0" w:color="auto"/>
              <w:right w:val="single" w:sz="4" w:space="0" w:color="auto"/>
            </w:tcBorders>
            <w:hideMark/>
          </w:tcPr>
          <w:p w14:paraId="562E48AC" w14:textId="77777777" w:rsidR="006B3AD8" w:rsidRDefault="006B3AD8" w:rsidP="006B3AD8">
            <w:pPr>
              <w:spacing w:after="0"/>
              <w:rPr>
                <w:sz w:val="18"/>
                <w:szCs w:val="18"/>
              </w:rPr>
            </w:pPr>
            <w:r>
              <w:rPr>
                <w:sz w:val="18"/>
                <w:szCs w:val="18"/>
              </w:rPr>
              <w:t>ZOVIC</w:t>
            </w:r>
          </w:p>
        </w:tc>
        <w:tc>
          <w:tcPr>
            <w:tcW w:w="810" w:type="dxa"/>
            <w:tcBorders>
              <w:top w:val="single" w:sz="4" w:space="0" w:color="auto"/>
              <w:left w:val="single" w:sz="4" w:space="0" w:color="auto"/>
              <w:bottom w:val="single" w:sz="4" w:space="0" w:color="auto"/>
              <w:right w:val="single" w:sz="4" w:space="0" w:color="auto"/>
            </w:tcBorders>
            <w:hideMark/>
          </w:tcPr>
          <w:p w14:paraId="48A6D596" w14:textId="77777777" w:rsidR="006B3AD8" w:rsidRDefault="006B3AD8" w:rsidP="006B3AD8">
            <w:pPr>
              <w:spacing w:after="0"/>
              <w:rPr>
                <w:sz w:val="18"/>
                <w:szCs w:val="18"/>
              </w:rPr>
            </w:pPr>
            <w:r>
              <w:rPr>
                <w:sz w:val="18"/>
                <w:szCs w:val="18"/>
              </w:rPr>
              <w:t>VI</w:t>
            </w:r>
          </w:p>
        </w:tc>
        <w:tc>
          <w:tcPr>
            <w:tcW w:w="1440" w:type="dxa"/>
            <w:tcBorders>
              <w:top w:val="single" w:sz="4" w:space="0" w:color="auto"/>
              <w:left w:val="single" w:sz="4" w:space="0" w:color="auto"/>
              <w:bottom w:val="single" w:sz="4" w:space="0" w:color="auto"/>
              <w:right w:val="single" w:sz="4" w:space="0" w:color="auto"/>
            </w:tcBorders>
            <w:hideMark/>
          </w:tcPr>
          <w:p w14:paraId="435CB2EF" w14:textId="77777777" w:rsidR="006B3AD8" w:rsidRDefault="006B3AD8" w:rsidP="006B3AD8">
            <w:pPr>
              <w:spacing w:after="0"/>
              <w:rPr>
                <w:sz w:val="16"/>
                <w:szCs w:val="16"/>
              </w:rPr>
            </w:pPr>
            <w:r>
              <w:rPr>
                <w:sz w:val="16"/>
                <w:szCs w:val="16"/>
              </w:rPr>
              <w:t>CVGF</w:t>
            </w:r>
          </w:p>
        </w:tc>
        <w:tc>
          <w:tcPr>
            <w:tcW w:w="1400" w:type="dxa"/>
            <w:vMerge/>
            <w:tcBorders>
              <w:top w:val="single" w:sz="4" w:space="0" w:color="auto"/>
              <w:left w:val="single" w:sz="4" w:space="0" w:color="auto"/>
              <w:bottom w:val="single" w:sz="4" w:space="0" w:color="auto"/>
              <w:right w:val="single" w:sz="4" w:space="0" w:color="auto"/>
            </w:tcBorders>
            <w:vAlign w:val="center"/>
            <w:hideMark/>
          </w:tcPr>
          <w:p w14:paraId="564953B0" w14:textId="77777777" w:rsidR="006B3AD8" w:rsidRDefault="006B3AD8" w:rsidP="006B3AD8">
            <w:pPr>
              <w:spacing w:after="0"/>
              <w:jc w:val="left"/>
              <w:rPr>
                <w:sz w:val="18"/>
                <w:szCs w:val="18"/>
                <w:lang w:val="en-CA"/>
              </w:rPr>
            </w:pPr>
          </w:p>
        </w:tc>
        <w:tc>
          <w:tcPr>
            <w:tcW w:w="887" w:type="dxa"/>
            <w:tcBorders>
              <w:top w:val="single" w:sz="4" w:space="0" w:color="auto"/>
              <w:left w:val="single" w:sz="4" w:space="0" w:color="auto"/>
              <w:bottom w:val="single" w:sz="4" w:space="0" w:color="auto"/>
              <w:right w:val="single" w:sz="4" w:space="0" w:color="auto"/>
            </w:tcBorders>
            <w:hideMark/>
          </w:tcPr>
          <w:p w14:paraId="561C711C" w14:textId="77777777" w:rsidR="006B3AD8" w:rsidRDefault="006B3AD8" w:rsidP="006B3AD8">
            <w:pPr>
              <w:spacing w:after="0"/>
              <w:rPr>
                <w:sz w:val="16"/>
                <w:szCs w:val="16"/>
              </w:rPr>
            </w:pPr>
            <w:r>
              <w:rPr>
                <w:sz w:val="16"/>
                <w:szCs w:val="16"/>
              </w:rPr>
              <w:t>Created 1989</w:t>
            </w: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1C2C27C6" w14:textId="77777777" w:rsidR="006B3AD8" w:rsidRDefault="006B3AD8" w:rsidP="006B3AD8">
            <w:pPr>
              <w:spacing w:after="0"/>
              <w:jc w:val="left"/>
              <w:rPr>
                <w:sz w:val="16"/>
                <w:szCs w:val="16"/>
                <w:lang w:val="en-CA"/>
              </w:rPr>
            </w:pPr>
          </w:p>
        </w:tc>
      </w:tr>
      <w:tr w:rsidR="006B3AD8" w14:paraId="6FC2E446" w14:textId="77777777" w:rsidTr="00A63E29">
        <w:trPr>
          <w:jc w:val="center"/>
        </w:trPr>
        <w:tc>
          <w:tcPr>
            <w:tcW w:w="1228" w:type="dxa"/>
            <w:tcBorders>
              <w:top w:val="single" w:sz="4" w:space="0" w:color="auto"/>
              <w:left w:val="single" w:sz="4" w:space="0" w:color="auto"/>
              <w:bottom w:val="single" w:sz="4" w:space="0" w:color="auto"/>
              <w:right w:val="single" w:sz="4" w:space="0" w:color="auto"/>
            </w:tcBorders>
            <w:hideMark/>
          </w:tcPr>
          <w:p w14:paraId="1757E3B1" w14:textId="77777777" w:rsidR="006B3AD8" w:rsidRDefault="006B3AD8" w:rsidP="006B3AD8">
            <w:pPr>
              <w:spacing w:after="0"/>
              <w:rPr>
                <w:sz w:val="18"/>
                <w:szCs w:val="18"/>
              </w:rPr>
            </w:pPr>
            <w:r>
              <w:rPr>
                <w:sz w:val="18"/>
                <w:szCs w:val="18"/>
              </w:rPr>
              <w:t>Koumbili</w:t>
            </w:r>
          </w:p>
        </w:tc>
        <w:tc>
          <w:tcPr>
            <w:tcW w:w="2007" w:type="dxa"/>
            <w:tcBorders>
              <w:top w:val="single" w:sz="4" w:space="0" w:color="auto"/>
              <w:left w:val="single" w:sz="4" w:space="0" w:color="auto"/>
              <w:bottom w:val="single" w:sz="4" w:space="0" w:color="auto"/>
              <w:right w:val="single" w:sz="4" w:space="0" w:color="auto"/>
            </w:tcBorders>
          </w:tcPr>
          <w:p w14:paraId="4ED6C8A0" w14:textId="0984A473" w:rsidR="006B3AD8" w:rsidRPr="00A63E29" w:rsidRDefault="006B3AD8" w:rsidP="006B3AD8">
            <w:pPr>
              <w:spacing w:after="0"/>
              <w:rPr>
                <w:sz w:val="18"/>
                <w:szCs w:val="18"/>
                <w:highlight w:val="yellow"/>
              </w:rPr>
            </w:pPr>
            <w:r w:rsidRPr="00A63E29">
              <w:rPr>
                <w:sz w:val="18"/>
                <w:szCs w:val="18"/>
                <w:highlight w:val="yellow"/>
                <w:lang w:val="fr-FR"/>
              </w:rPr>
              <w:t>Nahouri</w:t>
            </w:r>
          </w:p>
        </w:tc>
        <w:tc>
          <w:tcPr>
            <w:tcW w:w="1080" w:type="dxa"/>
            <w:tcBorders>
              <w:top w:val="single" w:sz="4" w:space="0" w:color="auto"/>
              <w:left w:val="single" w:sz="4" w:space="0" w:color="auto"/>
              <w:bottom w:val="single" w:sz="4" w:space="0" w:color="auto"/>
              <w:right w:val="single" w:sz="4" w:space="0" w:color="auto"/>
            </w:tcBorders>
            <w:hideMark/>
          </w:tcPr>
          <w:p w14:paraId="21C6C89B" w14:textId="224BBE78" w:rsidR="006B3AD8" w:rsidRDefault="006B3AD8" w:rsidP="006B3AD8">
            <w:pPr>
              <w:spacing w:after="0"/>
              <w:rPr>
                <w:sz w:val="18"/>
                <w:szCs w:val="18"/>
              </w:rPr>
            </w:pPr>
            <w:r>
              <w:rPr>
                <w:sz w:val="18"/>
                <w:szCs w:val="18"/>
              </w:rPr>
              <w:t>5,820</w:t>
            </w:r>
          </w:p>
        </w:tc>
        <w:tc>
          <w:tcPr>
            <w:tcW w:w="1440" w:type="dxa"/>
            <w:tcBorders>
              <w:top w:val="single" w:sz="4" w:space="0" w:color="auto"/>
              <w:left w:val="single" w:sz="4" w:space="0" w:color="auto"/>
              <w:bottom w:val="single" w:sz="4" w:space="0" w:color="auto"/>
              <w:right w:val="single" w:sz="4" w:space="0" w:color="auto"/>
            </w:tcBorders>
            <w:hideMark/>
          </w:tcPr>
          <w:p w14:paraId="620AAAD6" w14:textId="77777777" w:rsidR="006B3AD8" w:rsidRDefault="006B3AD8" w:rsidP="006B3AD8">
            <w:pPr>
              <w:spacing w:after="0"/>
              <w:rPr>
                <w:sz w:val="18"/>
                <w:szCs w:val="18"/>
              </w:rPr>
            </w:pPr>
            <w:r>
              <w:rPr>
                <w:sz w:val="18"/>
                <w:szCs w:val="18"/>
              </w:rPr>
              <w:t>ZOVIC</w:t>
            </w:r>
          </w:p>
        </w:tc>
        <w:tc>
          <w:tcPr>
            <w:tcW w:w="810" w:type="dxa"/>
            <w:tcBorders>
              <w:top w:val="single" w:sz="4" w:space="0" w:color="auto"/>
              <w:left w:val="single" w:sz="4" w:space="0" w:color="auto"/>
              <w:bottom w:val="single" w:sz="4" w:space="0" w:color="auto"/>
              <w:right w:val="single" w:sz="4" w:space="0" w:color="auto"/>
            </w:tcBorders>
            <w:hideMark/>
          </w:tcPr>
          <w:p w14:paraId="4E48CD5A" w14:textId="77777777" w:rsidR="006B3AD8" w:rsidRDefault="006B3AD8" w:rsidP="006B3AD8">
            <w:pPr>
              <w:spacing w:after="0"/>
              <w:rPr>
                <w:sz w:val="18"/>
                <w:szCs w:val="18"/>
              </w:rPr>
            </w:pPr>
            <w:r>
              <w:rPr>
                <w:sz w:val="18"/>
                <w:szCs w:val="18"/>
              </w:rPr>
              <w:t>VI</w:t>
            </w:r>
          </w:p>
        </w:tc>
        <w:tc>
          <w:tcPr>
            <w:tcW w:w="1440" w:type="dxa"/>
            <w:tcBorders>
              <w:top w:val="single" w:sz="4" w:space="0" w:color="auto"/>
              <w:left w:val="single" w:sz="4" w:space="0" w:color="auto"/>
              <w:bottom w:val="single" w:sz="4" w:space="0" w:color="auto"/>
              <w:right w:val="single" w:sz="4" w:space="0" w:color="auto"/>
            </w:tcBorders>
            <w:hideMark/>
          </w:tcPr>
          <w:p w14:paraId="59FAC7F7" w14:textId="77777777" w:rsidR="006B3AD8" w:rsidRDefault="006B3AD8" w:rsidP="006B3AD8">
            <w:pPr>
              <w:spacing w:after="0"/>
              <w:rPr>
                <w:sz w:val="16"/>
                <w:szCs w:val="16"/>
              </w:rPr>
            </w:pPr>
            <w:r>
              <w:rPr>
                <w:sz w:val="16"/>
                <w:szCs w:val="16"/>
              </w:rPr>
              <w:t>CVGF</w:t>
            </w:r>
          </w:p>
        </w:tc>
        <w:tc>
          <w:tcPr>
            <w:tcW w:w="1400" w:type="dxa"/>
            <w:vMerge/>
            <w:tcBorders>
              <w:top w:val="single" w:sz="4" w:space="0" w:color="auto"/>
              <w:left w:val="single" w:sz="4" w:space="0" w:color="auto"/>
              <w:bottom w:val="single" w:sz="4" w:space="0" w:color="auto"/>
              <w:right w:val="single" w:sz="4" w:space="0" w:color="auto"/>
            </w:tcBorders>
            <w:vAlign w:val="center"/>
            <w:hideMark/>
          </w:tcPr>
          <w:p w14:paraId="04D63982" w14:textId="77777777" w:rsidR="006B3AD8" w:rsidRDefault="006B3AD8" w:rsidP="006B3AD8">
            <w:pPr>
              <w:spacing w:after="0"/>
              <w:jc w:val="left"/>
              <w:rPr>
                <w:sz w:val="18"/>
                <w:szCs w:val="18"/>
                <w:lang w:val="en-CA"/>
              </w:rPr>
            </w:pPr>
          </w:p>
        </w:tc>
        <w:tc>
          <w:tcPr>
            <w:tcW w:w="887" w:type="dxa"/>
            <w:tcBorders>
              <w:top w:val="single" w:sz="4" w:space="0" w:color="auto"/>
              <w:left w:val="single" w:sz="4" w:space="0" w:color="auto"/>
              <w:bottom w:val="single" w:sz="4" w:space="0" w:color="auto"/>
              <w:right w:val="single" w:sz="4" w:space="0" w:color="auto"/>
            </w:tcBorders>
            <w:hideMark/>
          </w:tcPr>
          <w:p w14:paraId="2968DD7C" w14:textId="77777777" w:rsidR="006B3AD8" w:rsidRDefault="006B3AD8" w:rsidP="006B3AD8">
            <w:pPr>
              <w:spacing w:after="0"/>
              <w:rPr>
                <w:sz w:val="16"/>
                <w:szCs w:val="16"/>
              </w:rPr>
            </w:pPr>
            <w:r>
              <w:rPr>
                <w:sz w:val="16"/>
                <w:szCs w:val="16"/>
              </w:rPr>
              <w:t>Created 1989</w:t>
            </w: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3705ACCC" w14:textId="77777777" w:rsidR="006B3AD8" w:rsidRDefault="006B3AD8" w:rsidP="006B3AD8">
            <w:pPr>
              <w:spacing w:after="0"/>
              <w:jc w:val="left"/>
              <w:rPr>
                <w:sz w:val="16"/>
                <w:szCs w:val="16"/>
                <w:lang w:val="en-CA"/>
              </w:rPr>
            </w:pPr>
          </w:p>
        </w:tc>
      </w:tr>
      <w:tr w:rsidR="006B3AD8" w14:paraId="5EF6D1D8" w14:textId="77777777" w:rsidTr="00A63E29">
        <w:trPr>
          <w:jc w:val="center"/>
        </w:trPr>
        <w:tc>
          <w:tcPr>
            <w:tcW w:w="1228" w:type="dxa"/>
            <w:tcBorders>
              <w:top w:val="single" w:sz="4" w:space="0" w:color="auto"/>
              <w:left w:val="single" w:sz="4" w:space="0" w:color="auto"/>
              <w:bottom w:val="single" w:sz="4" w:space="0" w:color="auto"/>
              <w:right w:val="single" w:sz="4" w:space="0" w:color="auto"/>
            </w:tcBorders>
            <w:hideMark/>
          </w:tcPr>
          <w:p w14:paraId="22BC4D4A" w14:textId="77777777" w:rsidR="006B3AD8" w:rsidRDefault="006B3AD8" w:rsidP="006B3AD8">
            <w:pPr>
              <w:spacing w:after="0"/>
              <w:rPr>
                <w:sz w:val="18"/>
                <w:szCs w:val="18"/>
              </w:rPr>
            </w:pPr>
            <w:r>
              <w:rPr>
                <w:sz w:val="18"/>
                <w:szCs w:val="18"/>
              </w:rPr>
              <w:t>Kountioro</w:t>
            </w:r>
          </w:p>
        </w:tc>
        <w:tc>
          <w:tcPr>
            <w:tcW w:w="2007" w:type="dxa"/>
            <w:tcBorders>
              <w:top w:val="single" w:sz="4" w:space="0" w:color="auto"/>
              <w:left w:val="single" w:sz="4" w:space="0" w:color="auto"/>
              <w:bottom w:val="single" w:sz="4" w:space="0" w:color="auto"/>
              <w:right w:val="single" w:sz="4" w:space="0" w:color="auto"/>
            </w:tcBorders>
          </w:tcPr>
          <w:p w14:paraId="7DB3F3B3" w14:textId="40A587C0" w:rsidR="006B3AD8" w:rsidRPr="00A63E29" w:rsidRDefault="006B3AD8" w:rsidP="006B3AD8">
            <w:pPr>
              <w:spacing w:after="0"/>
              <w:rPr>
                <w:sz w:val="18"/>
                <w:szCs w:val="18"/>
                <w:highlight w:val="yellow"/>
              </w:rPr>
            </w:pPr>
            <w:r w:rsidRPr="00A63E29">
              <w:rPr>
                <w:sz w:val="18"/>
                <w:szCs w:val="18"/>
                <w:highlight w:val="yellow"/>
                <w:lang w:val="fr-FR"/>
              </w:rPr>
              <w:t>Nahouri</w:t>
            </w:r>
          </w:p>
        </w:tc>
        <w:tc>
          <w:tcPr>
            <w:tcW w:w="1080" w:type="dxa"/>
            <w:tcBorders>
              <w:top w:val="single" w:sz="4" w:space="0" w:color="auto"/>
              <w:left w:val="single" w:sz="4" w:space="0" w:color="auto"/>
              <w:bottom w:val="single" w:sz="4" w:space="0" w:color="auto"/>
              <w:right w:val="single" w:sz="4" w:space="0" w:color="auto"/>
            </w:tcBorders>
            <w:hideMark/>
          </w:tcPr>
          <w:p w14:paraId="2CEDCD1A" w14:textId="107899E1" w:rsidR="006B3AD8" w:rsidRDefault="006B3AD8" w:rsidP="006B3AD8">
            <w:pPr>
              <w:spacing w:after="0"/>
              <w:rPr>
                <w:sz w:val="18"/>
                <w:szCs w:val="18"/>
              </w:rPr>
            </w:pPr>
            <w:r>
              <w:rPr>
                <w:sz w:val="18"/>
                <w:szCs w:val="18"/>
              </w:rPr>
              <w:t>2,257</w:t>
            </w:r>
          </w:p>
        </w:tc>
        <w:tc>
          <w:tcPr>
            <w:tcW w:w="1440" w:type="dxa"/>
            <w:tcBorders>
              <w:top w:val="single" w:sz="4" w:space="0" w:color="auto"/>
              <w:left w:val="single" w:sz="4" w:space="0" w:color="auto"/>
              <w:bottom w:val="single" w:sz="4" w:space="0" w:color="auto"/>
              <w:right w:val="single" w:sz="4" w:space="0" w:color="auto"/>
            </w:tcBorders>
            <w:hideMark/>
          </w:tcPr>
          <w:p w14:paraId="39E22148" w14:textId="77777777" w:rsidR="006B3AD8" w:rsidRDefault="006B3AD8" w:rsidP="006B3AD8">
            <w:pPr>
              <w:spacing w:after="0"/>
              <w:rPr>
                <w:sz w:val="18"/>
                <w:szCs w:val="18"/>
              </w:rPr>
            </w:pPr>
            <w:r>
              <w:rPr>
                <w:sz w:val="18"/>
                <w:szCs w:val="18"/>
              </w:rPr>
              <w:t>ZOVIC</w:t>
            </w:r>
          </w:p>
        </w:tc>
        <w:tc>
          <w:tcPr>
            <w:tcW w:w="810" w:type="dxa"/>
            <w:tcBorders>
              <w:top w:val="single" w:sz="4" w:space="0" w:color="auto"/>
              <w:left w:val="single" w:sz="4" w:space="0" w:color="auto"/>
              <w:bottom w:val="single" w:sz="4" w:space="0" w:color="auto"/>
              <w:right w:val="single" w:sz="4" w:space="0" w:color="auto"/>
            </w:tcBorders>
            <w:hideMark/>
          </w:tcPr>
          <w:p w14:paraId="3323A1E5" w14:textId="77777777" w:rsidR="006B3AD8" w:rsidRDefault="006B3AD8" w:rsidP="006B3AD8">
            <w:pPr>
              <w:spacing w:after="0"/>
              <w:rPr>
                <w:sz w:val="18"/>
                <w:szCs w:val="18"/>
              </w:rPr>
            </w:pPr>
            <w:r>
              <w:rPr>
                <w:sz w:val="18"/>
                <w:szCs w:val="18"/>
              </w:rPr>
              <w:t>VI</w:t>
            </w:r>
          </w:p>
        </w:tc>
        <w:tc>
          <w:tcPr>
            <w:tcW w:w="1440" w:type="dxa"/>
            <w:tcBorders>
              <w:top w:val="single" w:sz="4" w:space="0" w:color="auto"/>
              <w:left w:val="single" w:sz="4" w:space="0" w:color="auto"/>
              <w:bottom w:val="single" w:sz="4" w:space="0" w:color="auto"/>
              <w:right w:val="single" w:sz="4" w:space="0" w:color="auto"/>
            </w:tcBorders>
            <w:hideMark/>
          </w:tcPr>
          <w:p w14:paraId="7906A6C1" w14:textId="77777777" w:rsidR="006B3AD8" w:rsidRDefault="006B3AD8" w:rsidP="006B3AD8">
            <w:pPr>
              <w:spacing w:after="0"/>
              <w:rPr>
                <w:sz w:val="16"/>
                <w:szCs w:val="16"/>
              </w:rPr>
            </w:pPr>
            <w:r>
              <w:rPr>
                <w:sz w:val="16"/>
                <w:szCs w:val="16"/>
              </w:rPr>
              <w:t>CVGF</w:t>
            </w:r>
          </w:p>
        </w:tc>
        <w:tc>
          <w:tcPr>
            <w:tcW w:w="1400" w:type="dxa"/>
            <w:vMerge/>
            <w:tcBorders>
              <w:top w:val="single" w:sz="4" w:space="0" w:color="auto"/>
              <w:left w:val="single" w:sz="4" w:space="0" w:color="auto"/>
              <w:bottom w:val="single" w:sz="4" w:space="0" w:color="auto"/>
              <w:right w:val="single" w:sz="4" w:space="0" w:color="auto"/>
            </w:tcBorders>
            <w:vAlign w:val="center"/>
            <w:hideMark/>
          </w:tcPr>
          <w:p w14:paraId="0F382EC8" w14:textId="77777777" w:rsidR="006B3AD8" w:rsidRDefault="006B3AD8" w:rsidP="006B3AD8">
            <w:pPr>
              <w:spacing w:after="0"/>
              <w:jc w:val="left"/>
              <w:rPr>
                <w:sz w:val="18"/>
                <w:szCs w:val="18"/>
                <w:lang w:val="en-CA"/>
              </w:rPr>
            </w:pPr>
          </w:p>
        </w:tc>
        <w:tc>
          <w:tcPr>
            <w:tcW w:w="887" w:type="dxa"/>
            <w:tcBorders>
              <w:top w:val="single" w:sz="4" w:space="0" w:color="auto"/>
              <w:left w:val="single" w:sz="4" w:space="0" w:color="auto"/>
              <w:bottom w:val="single" w:sz="4" w:space="0" w:color="auto"/>
              <w:right w:val="single" w:sz="4" w:space="0" w:color="auto"/>
            </w:tcBorders>
            <w:hideMark/>
          </w:tcPr>
          <w:p w14:paraId="79675B16" w14:textId="77777777" w:rsidR="006B3AD8" w:rsidRDefault="006B3AD8" w:rsidP="006B3AD8">
            <w:pPr>
              <w:spacing w:after="0"/>
              <w:rPr>
                <w:sz w:val="16"/>
                <w:szCs w:val="16"/>
              </w:rPr>
            </w:pPr>
            <w:r>
              <w:rPr>
                <w:sz w:val="16"/>
                <w:szCs w:val="16"/>
              </w:rPr>
              <w:t>Created 1989</w:t>
            </w: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0D1E502F" w14:textId="77777777" w:rsidR="006B3AD8" w:rsidRDefault="006B3AD8" w:rsidP="006B3AD8">
            <w:pPr>
              <w:spacing w:after="0"/>
              <w:jc w:val="left"/>
              <w:rPr>
                <w:sz w:val="16"/>
                <w:szCs w:val="16"/>
                <w:lang w:val="en-CA"/>
              </w:rPr>
            </w:pPr>
          </w:p>
        </w:tc>
      </w:tr>
      <w:tr w:rsidR="006B3AD8" w14:paraId="767BE3CF" w14:textId="77777777" w:rsidTr="00A63E29">
        <w:trPr>
          <w:jc w:val="center"/>
        </w:trPr>
        <w:tc>
          <w:tcPr>
            <w:tcW w:w="1228" w:type="dxa"/>
            <w:tcBorders>
              <w:top w:val="single" w:sz="4" w:space="0" w:color="auto"/>
              <w:left w:val="single" w:sz="4" w:space="0" w:color="auto"/>
              <w:bottom w:val="single" w:sz="4" w:space="0" w:color="auto"/>
              <w:right w:val="single" w:sz="4" w:space="0" w:color="auto"/>
            </w:tcBorders>
            <w:hideMark/>
          </w:tcPr>
          <w:p w14:paraId="3DDD4334" w14:textId="77777777" w:rsidR="006B3AD8" w:rsidRDefault="006B3AD8" w:rsidP="006B3AD8">
            <w:pPr>
              <w:spacing w:after="0"/>
              <w:rPr>
                <w:sz w:val="18"/>
                <w:szCs w:val="18"/>
              </w:rPr>
            </w:pPr>
            <w:r>
              <w:rPr>
                <w:sz w:val="18"/>
                <w:szCs w:val="18"/>
              </w:rPr>
              <w:t>Natiédougou</w:t>
            </w:r>
          </w:p>
        </w:tc>
        <w:tc>
          <w:tcPr>
            <w:tcW w:w="2007" w:type="dxa"/>
            <w:tcBorders>
              <w:top w:val="single" w:sz="4" w:space="0" w:color="auto"/>
              <w:left w:val="single" w:sz="4" w:space="0" w:color="auto"/>
              <w:bottom w:val="single" w:sz="4" w:space="0" w:color="auto"/>
              <w:right w:val="single" w:sz="4" w:space="0" w:color="auto"/>
            </w:tcBorders>
          </w:tcPr>
          <w:p w14:paraId="121B67BE" w14:textId="29559E87" w:rsidR="006B3AD8" w:rsidRPr="00A63E29" w:rsidRDefault="006B3AD8" w:rsidP="006B3AD8">
            <w:pPr>
              <w:spacing w:after="0"/>
              <w:rPr>
                <w:sz w:val="18"/>
                <w:szCs w:val="18"/>
                <w:highlight w:val="yellow"/>
              </w:rPr>
            </w:pPr>
            <w:r w:rsidRPr="00A63E29">
              <w:rPr>
                <w:sz w:val="18"/>
                <w:szCs w:val="18"/>
                <w:highlight w:val="yellow"/>
                <w:lang w:val="fr-FR"/>
              </w:rPr>
              <w:t>Nahouri</w:t>
            </w:r>
          </w:p>
        </w:tc>
        <w:tc>
          <w:tcPr>
            <w:tcW w:w="1080" w:type="dxa"/>
            <w:tcBorders>
              <w:top w:val="single" w:sz="4" w:space="0" w:color="auto"/>
              <w:left w:val="single" w:sz="4" w:space="0" w:color="auto"/>
              <w:bottom w:val="single" w:sz="4" w:space="0" w:color="auto"/>
              <w:right w:val="single" w:sz="4" w:space="0" w:color="auto"/>
            </w:tcBorders>
            <w:hideMark/>
          </w:tcPr>
          <w:p w14:paraId="6C6805C5" w14:textId="056BC2C3" w:rsidR="006B3AD8" w:rsidRDefault="006B3AD8" w:rsidP="006B3AD8">
            <w:pPr>
              <w:spacing w:after="0"/>
              <w:rPr>
                <w:sz w:val="18"/>
                <w:szCs w:val="18"/>
              </w:rPr>
            </w:pPr>
            <w:r>
              <w:rPr>
                <w:sz w:val="18"/>
                <w:szCs w:val="18"/>
              </w:rPr>
              <w:t>544</w:t>
            </w:r>
          </w:p>
        </w:tc>
        <w:tc>
          <w:tcPr>
            <w:tcW w:w="1440" w:type="dxa"/>
            <w:tcBorders>
              <w:top w:val="single" w:sz="4" w:space="0" w:color="auto"/>
              <w:left w:val="single" w:sz="4" w:space="0" w:color="auto"/>
              <w:bottom w:val="single" w:sz="4" w:space="0" w:color="auto"/>
              <w:right w:val="single" w:sz="4" w:space="0" w:color="auto"/>
            </w:tcBorders>
            <w:hideMark/>
          </w:tcPr>
          <w:p w14:paraId="6DB23546" w14:textId="77777777" w:rsidR="006B3AD8" w:rsidRDefault="006B3AD8" w:rsidP="006B3AD8">
            <w:pPr>
              <w:spacing w:after="0"/>
              <w:rPr>
                <w:sz w:val="18"/>
                <w:szCs w:val="18"/>
              </w:rPr>
            </w:pPr>
            <w:r>
              <w:rPr>
                <w:sz w:val="18"/>
                <w:szCs w:val="18"/>
              </w:rPr>
              <w:t>ZOVIC</w:t>
            </w:r>
          </w:p>
        </w:tc>
        <w:tc>
          <w:tcPr>
            <w:tcW w:w="810" w:type="dxa"/>
            <w:tcBorders>
              <w:top w:val="single" w:sz="4" w:space="0" w:color="auto"/>
              <w:left w:val="single" w:sz="4" w:space="0" w:color="auto"/>
              <w:bottom w:val="single" w:sz="4" w:space="0" w:color="auto"/>
              <w:right w:val="single" w:sz="4" w:space="0" w:color="auto"/>
            </w:tcBorders>
            <w:hideMark/>
          </w:tcPr>
          <w:p w14:paraId="68B2AF0B" w14:textId="77777777" w:rsidR="006B3AD8" w:rsidRDefault="006B3AD8" w:rsidP="006B3AD8">
            <w:pPr>
              <w:spacing w:after="0"/>
              <w:rPr>
                <w:sz w:val="18"/>
                <w:szCs w:val="18"/>
              </w:rPr>
            </w:pPr>
            <w:r>
              <w:rPr>
                <w:sz w:val="18"/>
                <w:szCs w:val="18"/>
              </w:rPr>
              <w:t>VI</w:t>
            </w:r>
          </w:p>
        </w:tc>
        <w:tc>
          <w:tcPr>
            <w:tcW w:w="1440" w:type="dxa"/>
            <w:tcBorders>
              <w:top w:val="single" w:sz="4" w:space="0" w:color="auto"/>
              <w:left w:val="single" w:sz="4" w:space="0" w:color="auto"/>
              <w:bottom w:val="single" w:sz="4" w:space="0" w:color="auto"/>
              <w:right w:val="single" w:sz="4" w:space="0" w:color="auto"/>
            </w:tcBorders>
            <w:hideMark/>
          </w:tcPr>
          <w:p w14:paraId="29F23980" w14:textId="77777777" w:rsidR="006B3AD8" w:rsidRDefault="006B3AD8" w:rsidP="006B3AD8">
            <w:pPr>
              <w:spacing w:after="0"/>
              <w:rPr>
                <w:sz w:val="16"/>
                <w:szCs w:val="16"/>
              </w:rPr>
            </w:pPr>
            <w:r>
              <w:rPr>
                <w:sz w:val="16"/>
                <w:szCs w:val="16"/>
              </w:rPr>
              <w:t>CVGF</w:t>
            </w:r>
          </w:p>
        </w:tc>
        <w:tc>
          <w:tcPr>
            <w:tcW w:w="1400" w:type="dxa"/>
            <w:vMerge/>
            <w:tcBorders>
              <w:top w:val="single" w:sz="4" w:space="0" w:color="auto"/>
              <w:left w:val="single" w:sz="4" w:space="0" w:color="auto"/>
              <w:bottom w:val="single" w:sz="4" w:space="0" w:color="auto"/>
              <w:right w:val="single" w:sz="4" w:space="0" w:color="auto"/>
            </w:tcBorders>
            <w:vAlign w:val="center"/>
            <w:hideMark/>
          </w:tcPr>
          <w:p w14:paraId="4C94AAAE" w14:textId="77777777" w:rsidR="006B3AD8" w:rsidRDefault="006B3AD8" w:rsidP="006B3AD8">
            <w:pPr>
              <w:spacing w:after="0"/>
              <w:jc w:val="left"/>
              <w:rPr>
                <w:sz w:val="18"/>
                <w:szCs w:val="18"/>
                <w:lang w:val="en-CA"/>
              </w:rPr>
            </w:pPr>
          </w:p>
        </w:tc>
        <w:tc>
          <w:tcPr>
            <w:tcW w:w="887" w:type="dxa"/>
            <w:tcBorders>
              <w:top w:val="single" w:sz="4" w:space="0" w:color="auto"/>
              <w:left w:val="single" w:sz="4" w:space="0" w:color="auto"/>
              <w:bottom w:val="single" w:sz="4" w:space="0" w:color="auto"/>
              <w:right w:val="single" w:sz="4" w:space="0" w:color="auto"/>
            </w:tcBorders>
            <w:hideMark/>
          </w:tcPr>
          <w:p w14:paraId="7E64C47A" w14:textId="77777777" w:rsidR="006B3AD8" w:rsidRDefault="006B3AD8" w:rsidP="006B3AD8">
            <w:pPr>
              <w:spacing w:after="0"/>
              <w:rPr>
                <w:sz w:val="16"/>
                <w:szCs w:val="16"/>
              </w:rPr>
            </w:pPr>
            <w:r>
              <w:rPr>
                <w:sz w:val="16"/>
                <w:szCs w:val="16"/>
              </w:rPr>
              <w:t>Created 1989</w:t>
            </w: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7AD27267" w14:textId="77777777" w:rsidR="006B3AD8" w:rsidRDefault="006B3AD8" w:rsidP="006B3AD8">
            <w:pPr>
              <w:spacing w:after="0"/>
              <w:jc w:val="left"/>
              <w:rPr>
                <w:sz w:val="16"/>
                <w:szCs w:val="16"/>
                <w:lang w:val="en-CA"/>
              </w:rPr>
            </w:pPr>
          </w:p>
        </w:tc>
      </w:tr>
      <w:tr w:rsidR="006B3AD8" w14:paraId="7A1432B0" w14:textId="77777777" w:rsidTr="00A63E29">
        <w:trPr>
          <w:jc w:val="center"/>
        </w:trPr>
        <w:tc>
          <w:tcPr>
            <w:tcW w:w="1228" w:type="dxa"/>
            <w:tcBorders>
              <w:top w:val="single" w:sz="4" w:space="0" w:color="auto"/>
              <w:left w:val="single" w:sz="4" w:space="0" w:color="auto"/>
              <w:bottom w:val="single" w:sz="4" w:space="0" w:color="auto"/>
              <w:right w:val="single" w:sz="4" w:space="0" w:color="auto"/>
            </w:tcBorders>
            <w:hideMark/>
          </w:tcPr>
          <w:p w14:paraId="09DF68EC" w14:textId="77777777" w:rsidR="006B3AD8" w:rsidRDefault="006B3AD8" w:rsidP="006B3AD8">
            <w:pPr>
              <w:spacing w:after="0"/>
              <w:rPr>
                <w:sz w:val="18"/>
                <w:szCs w:val="18"/>
              </w:rPr>
            </w:pPr>
            <w:r>
              <w:rPr>
                <w:sz w:val="18"/>
                <w:szCs w:val="18"/>
              </w:rPr>
              <w:t>Walem-Tiakané</w:t>
            </w:r>
          </w:p>
        </w:tc>
        <w:tc>
          <w:tcPr>
            <w:tcW w:w="2007" w:type="dxa"/>
            <w:tcBorders>
              <w:top w:val="single" w:sz="4" w:space="0" w:color="auto"/>
              <w:left w:val="single" w:sz="4" w:space="0" w:color="auto"/>
              <w:bottom w:val="single" w:sz="4" w:space="0" w:color="auto"/>
              <w:right w:val="single" w:sz="4" w:space="0" w:color="auto"/>
            </w:tcBorders>
          </w:tcPr>
          <w:p w14:paraId="776D69D6" w14:textId="54AF6959" w:rsidR="006B3AD8" w:rsidRPr="00A63E29" w:rsidRDefault="006B3AD8" w:rsidP="006B3AD8">
            <w:pPr>
              <w:spacing w:after="0"/>
              <w:rPr>
                <w:sz w:val="18"/>
                <w:szCs w:val="18"/>
                <w:highlight w:val="yellow"/>
              </w:rPr>
            </w:pPr>
            <w:r w:rsidRPr="00A63E29">
              <w:rPr>
                <w:sz w:val="18"/>
                <w:szCs w:val="18"/>
                <w:highlight w:val="yellow"/>
                <w:lang w:val="fr-FR"/>
              </w:rPr>
              <w:t>Nahouri</w:t>
            </w:r>
          </w:p>
        </w:tc>
        <w:tc>
          <w:tcPr>
            <w:tcW w:w="1080" w:type="dxa"/>
            <w:tcBorders>
              <w:top w:val="single" w:sz="4" w:space="0" w:color="auto"/>
              <w:left w:val="single" w:sz="4" w:space="0" w:color="auto"/>
              <w:bottom w:val="single" w:sz="4" w:space="0" w:color="auto"/>
              <w:right w:val="single" w:sz="4" w:space="0" w:color="auto"/>
            </w:tcBorders>
            <w:hideMark/>
          </w:tcPr>
          <w:p w14:paraId="5AC8EECA" w14:textId="78127708" w:rsidR="006B3AD8" w:rsidRDefault="006B3AD8" w:rsidP="006B3AD8">
            <w:pPr>
              <w:spacing w:after="0"/>
              <w:rPr>
                <w:sz w:val="18"/>
                <w:szCs w:val="18"/>
              </w:rPr>
            </w:pPr>
            <w:r>
              <w:rPr>
                <w:sz w:val="18"/>
                <w:szCs w:val="18"/>
              </w:rPr>
              <w:t>3195</w:t>
            </w:r>
          </w:p>
        </w:tc>
        <w:tc>
          <w:tcPr>
            <w:tcW w:w="1440" w:type="dxa"/>
            <w:tcBorders>
              <w:top w:val="single" w:sz="4" w:space="0" w:color="auto"/>
              <w:left w:val="single" w:sz="4" w:space="0" w:color="auto"/>
              <w:bottom w:val="single" w:sz="4" w:space="0" w:color="auto"/>
              <w:right w:val="single" w:sz="4" w:space="0" w:color="auto"/>
            </w:tcBorders>
            <w:hideMark/>
          </w:tcPr>
          <w:p w14:paraId="697D990A" w14:textId="77777777" w:rsidR="006B3AD8" w:rsidRDefault="006B3AD8" w:rsidP="006B3AD8">
            <w:pPr>
              <w:spacing w:after="0"/>
              <w:rPr>
                <w:sz w:val="18"/>
                <w:szCs w:val="18"/>
              </w:rPr>
            </w:pPr>
            <w:r>
              <w:rPr>
                <w:sz w:val="18"/>
                <w:szCs w:val="18"/>
              </w:rPr>
              <w:t>ZOVIC</w:t>
            </w:r>
          </w:p>
        </w:tc>
        <w:tc>
          <w:tcPr>
            <w:tcW w:w="810" w:type="dxa"/>
            <w:tcBorders>
              <w:top w:val="single" w:sz="4" w:space="0" w:color="auto"/>
              <w:left w:val="single" w:sz="4" w:space="0" w:color="auto"/>
              <w:bottom w:val="single" w:sz="4" w:space="0" w:color="auto"/>
              <w:right w:val="single" w:sz="4" w:space="0" w:color="auto"/>
            </w:tcBorders>
            <w:hideMark/>
          </w:tcPr>
          <w:p w14:paraId="126516C9" w14:textId="77777777" w:rsidR="006B3AD8" w:rsidRDefault="006B3AD8" w:rsidP="006B3AD8">
            <w:pPr>
              <w:spacing w:after="0"/>
              <w:rPr>
                <w:sz w:val="18"/>
                <w:szCs w:val="18"/>
              </w:rPr>
            </w:pPr>
            <w:r>
              <w:rPr>
                <w:sz w:val="18"/>
                <w:szCs w:val="18"/>
              </w:rPr>
              <w:t>VI</w:t>
            </w:r>
          </w:p>
        </w:tc>
        <w:tc>
          <w:tcPr>
            <w:tcW w:w="1440" w:type="dxa"/>
            <w:tcBorders>
              <w:top w:val="single" w:sz="4" w:space="0" w:color="auto"/>
              <w:left w:val="single" w:sz="4" w:space="0" w:color="auto"/>
              <w:bottom w:val="single" w:sz="4" w:space="0" w:color="auto"/>
              <w:right w:val="single" w:sz="4" w:space="0" w:color="auto"/>
            </w:tcBorders>
            <w:hideMark/>
          </w:tcPr>
          <w:p w14:paraId="4B27E40D" w14:textId="77777777" w:rsidR="006B3AD8" w:rsidRDefault="006B3AD8" w:rsidP="006B3AD8">
            <w:pPr>
              <w:spacing w:after="0"/>
              <w:rPr>
                <w:sz w:val="16"/>
                <w:szCs w:val="16"/>
              </w:rPr>
            </w:pPr>
            <w:r>
              <w:rPr>
                <w:sz w:val="16"/>
                <w:szCs w:val="16"/>
              </w:rPr>
              <w:t>CVGF</w:t>
            </w:r>
          </w:p>
        </w:tc>
        <w:tc>
          <w:tcPr>
            <w:tcW w:w="1400" w:type="dxa"/>
            <w:vMerge/>
            <w:tcBorders>
              <w:top w:val="single" w:sz="4" w:space="0" w:color="auto"/>
              <w:left w:val="single" w:sz="4" w:space="0" w:color="auto"/>
              <w:bottom w:val="single" w:sz="4" w:space="0" w:color="auto"/>
              <w:right w:val="single" w:sz="4" w:space="0" w:color="auto"/>
            </w:tcBorders>
            <w:vAlign w:val="center"/>
            <w:hideMark/>
          </w:tcPr>
          <w:p w14:paraId="5464A80E" w14:textId="77777777" w:rsidR="006B3AD8" w:rsidRDefault="006B3AD8" w:rsidP="006B3AD8">
            <w:pPr>
              <w:spacing w:after="0"/>
              <w:jc w:val="left"/>
              <w:rPr>
                <w:sz w:val="18"/>
                <w:szCs w:val="18"/>
                <w:lang w:val="en-CA"/>
              </w:rPr>
            </w:pPr>
          </w:p>
        </w:tc>
        <w:tc>
          <w:tcPr>
            <w:tcW w:w="887" w:type="dxa"/>
            <w:tcBorders>
              <w:top w:val="single" w:sz="4" w:space="0" w:color="auto"/>
              <w:left w:val="single" w:sz="4" w:space="0" w:color="auto"/>
              <w:bottom w:val="single" w:sz="4" w:space="0" w:color="auto"/>
              <w:right w:val="single" w:sz="4" w:space="0" w:color="auto"/>
            </w:tcBorders>
            <w:hideMark/>
          </w:tcPr>
          <w:p w14:paraId="348FF90E" w14:textId="77777777" w:rsidR="006B3AD8" w:rsidRDefault="006B3AD8" w:rsidP="006B3AD8">
            <w:pPr>
              <w:spacing w:after="0"/>
              <w:rPr>
                <w:sz w:val="16"/>
                <w:szCs w:val="16"/>
              </w:rPr>
            </w:pPr>
            <w:r>
              <w:rPr>
                <w:sz w:val="16"/>
                <w:szCs w:val="16"/>
              </w:rPr>
              <w:t>Created 1989</w:t>
            </w: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12524B01" w14:textId="77777777" w:rsidR="006B3AD8" w:rsidRDefault="006B3AD8" w:rsidP="006B3AD8">
            <w:pPr>
              <w:spacing w:after="0"/>
              <w:jc w:val="left"/>
              <w:rPr>
                <w:sz w:val="16"/>
                <w:szCs w:val="16"/>
                <w:lang w:val="en-CA"/>
              </w:rPr>
            </w:pPr>
          </w:p>
        </w:tc>
      </w:tr>
      <w:tr w:rsidR="006B3AD8" w14:paraId="741419B0" w14:textId="77777777" w:rsidTr="00A63E29">
        <w:trPr>
          <w:jc w:val="center"/>
        </w:trPr>
        <w:tc>
          <w:tcPr>
            <w:tcW w:w="1228" w:type="dxa"/>
            <w:tcBorders>
              <w:top w:val="single" w:sz="4" w:space="0" w:color="auto"/>
              <w:left w:val="single" w:sz="4" w:space="0" w:color="auto"/>
              <w:bottom w:val="single" w:sz="4" w:space="0" w:color="auto"/>
              <w:right w:val="single" w:sz="4" w:space="0" w:color="auto"/>
            </w:tcBorders>
            <w:hideMark/>
          </w:tcPr>
          <w:p w14:paraId="73E97528" w14:textId="77777777" w:rsidR="006B3AD8" w:rsidRDefault="006B3AD8" w:rsidP="006B3AD8">
            <w:pPr>
              <w:spacing w:after="0"/>
              <w:rPr>
                <w:sz w:val="18"/>
                <w:szCs w:val="18"/>
              </w:rPr>
            </w:pPr>
            <w:r>
              <w:rPr>
                <w:sz w:val="18"/>
                <w:szCs w:val="18"/>
              </w:rPr>
              <w:t>Saro</w:t>
            </w:r>
          </w:p>
        </w:tc>
        <w:tc>
          <w:tcPr>
            <w:tcW w:w="2007" w:type="dxa"/>
            <w:tcBorders>
              <w:top w:val="single" w:sz="4" w:space="0" w:color="auto"/>
              <w:left w:val="single" w:sz="4" w:space="0" w:color="auto"/>
              <w:bottom w:val="single" w:sz="4" w:space="0" w:color="auto"/>
              <w:right w:val="single" w:sz="4" w:space="0" w:color="auto"/>
            </w:tcBorders>
          </w:tcPr>
          <w:p w14:paraId="14878DD3" w14:textId="68696009" w:rsidR="006B3AD8" w:rsidRPr="00A63E29" w:rsidRDefault="006B3AD8" w:rsidP="006B3AD8">
            <w:pPr>
              <w:spacing w:after="0"/>
              <w:rPr>
                <w:sz w:val="18"/>
                <w:szCs w:val="18"/>
                <w:highlight w:val="yellow"/>
              </w:rPr>
            </w:pPr>
            <w:r w:rsidRPr="00A63E29">
              <w:rPr>
                <w:sz w:val="18"/>
                <w:szCs w:val="18"/>
                <w:highlight w:val="yellow"/>
                <w:lang w:val="fr-FR"/>
              </w:rPr>
              <w:t>Nahouri</w:t>
            </w:r>
          </w:p>
        </w:tc>
        <w:tc>
          <w:tcPr>
            <w:tcW w:w="1080" w:type="dxa"/>
            <w:tcBorders>
              <w:top w:val="single" w:sz="4" w:space="0" w:color="auto"/>
              <w:left w:val="single" w:sz="4" w:space="0" w:color="auto"/>
              <w:bottom w:val="single" w:sz="4" w:space="0" w:color="auto"/>
              <w:right w:val="single" w:sz="4" w:space="0" w:color="auto"/>
            </w:tcBorders>
            <w:hideMark/>
          </w:tcPr>
          <w:p w14:paraId="5E407D09" w14:textId="5AFC1A3D" w:rsidR="006B3AD8" w:rsidRDefault="006B3AD8" w:rsidP="006B3AD8">
            <w:pPr>
              <w:spacing w:after="0"/>
              <w:rPr>
                <w:sz w:val="18"/>
                <w:szCs w:val="18"/>
              </w:rPr>
            </w:pPr>
            <w:r>
              <w:rPr>
                <w:sz w:val="18"/>
                <w:szCs w:val="18"/>
              </w:rPr>
              <w:t>853</w:t>
            </w:r>
          </w:p>
        </w:tc>
        <w:tc>
          <w:tcPr>
            <w:tcW w:w="1440" w:type="dxa"/>
            <w:tcBorders>
              <w:top w:val="single" w:sz="4" w:space="0" w:color="auto"/>
              <w:left w:val="single" w:sz="4" w:space="0" w:color="auto"/>
              <w:bottom w:val="single" w:sz="4" w:space="0" w:color="auto"/>
              <w:right w:val="single" w:sz="4" w:space="0" w:color="auto"/>
            </w:tcBorders>
            <w:hideMark/>
          </w:tcPr>
          <w:p w14:paraId="6B09A5B2" w14:textId="77777777" w:rsidR="006B3AD8" w:rsidRDefault="006B3AD8" w:rsidP="006B3AD8">
            <w:pPr>
              <w:spacing w:after="0"/>
              <w:rPr>
                <w:sz w:val="18"/>
                <w:szCs w:val="18"/>
              </w:rPr>
            </w:pPr>
            <w:r>
              <w:rPr>
                <w:sz w:val="18"/>
                <w:szCs w:val="18"/>
              </w:rPr>
              <w:t>ZOVIC</w:t>
            </w:r>
          </w:p>
        </w:tc>
        <w:tc>
          <w:tcPr>
            <w:tcW w:w="810" w:type="dxa"/>
            <w:tcBorders>
              <w:top w:val="single" w:sz="4" w:space="0" w:color="auto"/>
              <w:left w:val="single" w:sz="4" w:space="0" w:color="auto"/>
              <w:bottom w:val="single" w:sz="4" w:space="0" w:color="auto"/>
              <w:right w:val="single" w:sz="4" w:space="0" w:color="auto"/>
            </w:tcBorders>
            <w:hideMark/>
          </w:tcPr>
          <w:p w14:paraId="6C269F4A" w14:textId="77777777" w:rsidR="006B3AD8" w:rsidRDefault="006B3AD8" w:rsidP="006B3AD8">
            <w:pPr>
              <w:spacing w:after="0"/>
              <w:rPr>
                <w:sz w:val="18"/>
                <w:szCs w:val="18"/>
              </w:rPr>
            </w:pPr>
            <w:r>
              <w:rPr>
                <w:sz w:val="18"/>
                <w:szCs w:val="18"/>
              </w:rPr>
              <w:t>VI</w:t>
            </w:r>
          </w:p>
        </w:tc>
        <w:tc>
          <w:tcPr>
            <w:tcW w:w="1440" w:type="dxa"/>
            <w:tcBorders>
              <w:top w:val="single" w:sz="4" w:space="0" w:color="auto"/>
              <w:left w:val="single" w:sz="4" w:space="0" w:color="auto"/>
              <w:bottom w:val="single" w:sz="4" w:space="0" w:color="auto"/>
              <w:right w:val="single" w:sz="4" w:space="0" w:color="auto"/>
            </w:tcBorders>
            <w:hideMark/>
          </w:tcPr>
          <w:p w14:paraId="20B9BD04" w14:textId="77777777" w:rsidR="006B3AD8" w:rsidRDefault="006B3AD8" w:rsidP="006B3AD8">
            <w:pPr>
              <w:spacing w:after="0"/>
              <w:rPr>
                <w:sz w:val="16"/>
                <w:szCs w:val="16"/>
              </w:rPr>
            </w:pPr>
            <w:r>
              <w:rPr>
                <w:sz w:val="16"/>
                <w:szCs w:val="16"/>
              </w:rPr>
              <w:t>CVGF</w:t>
            </w:r>
          </w:p>
        </w:tc>
        <w:tc>
          <w:tcPr>
            <w:tcW w:w="1400" w:type="dxa"/>
            <w:vMerge/>
            <w:tcBorders>
              <w:top w:val="single" w:sz="4" w:space="0" w:color="auto"/>
              <w:left w:val="single" w:sz="4" w:space="0" w:color="auto"/>
              <w:bottom w:val="single" w:sz="4" w:space="0" w:color="auto"/>
              <w:right w:val="single" w:sz="4" w:space="0" w:color="auto"/>
            </w:tcBorders>
            <w:vAlign w:val="center"/>
            <w:hideMark/>
          </w:tcPr>
          <w:p w14:paraId="109501EC" w14:textId="77777777" w:rsidR="006B3AD8" w:rsidRDefault="006B3AD8" w:rsidP="006B3AD8">
            <w:pPr>
              <w:spacing w:after="0"/>
              <w:jc w:val="left"/>
              <w:rPr>
                <w:sz w:val="18"/>
                <w:szCs w:val="18"/>
                <w:lang w:val="en-CA"/>
              </w:rPr>
            </w:pPr>
          </w:p>
        </w:tc>
        <w:tc>
          <w:tcPr>
            <w:tcW w:w="887" w:type="dxa"/>
            <w:tcBorders>
              <w:top w:val="single" w:sz="4" w:space="0" w:color="auto"/>
              <w:left w:val="single" w:sz="4" w:space="0" w:color="auto"/>
              <w:bottom w:val="single" w:sz="4" w:space="0" w:color="auto"/>
              <w:right w:val="single" w:sz="4" w:space="0" w:color="auto"/>
            </w:tcBorders>
            <w:hideMark/>
          </w:tcPr>
          <w:p w14:paraId="3F776871" w14:textId="77777777" w:rsidR="006B3AD8" w:rsidRDefault="006B3AD8" w:rsidP="006B3AD8">
            <w:pPr>
              <w:spacing w:after="0"/>
              <w:rPr>
                <w:sz w:val="16"/>
                <w:szCs w:val="16"/>
              </w:rPr>
            </w:pPr>
            <w:r>
              <w:rPr>
                <w:sz w:val="16"/>
                <w:szCs w:val="16"/>
              </w:rPr>
              <w:t>Created 1989</w:t>
            </w: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62EE893F" w14:textId="77777777" w:rsidR="006B3AD8" w:rsidRDefault="006B3AD8" w:rsidP="006B3AD8">
            <w:pPr>
              <w:spacing w:after="0"/>
              <w:jc w:val="left"/>
              <w:rPr>
                <w:sz w:val="16"/>
                <w:szCs w:val="16"/>
                <w:lang w:val="en-CA"/>
              </w:rPr>
            </w:pPr>
          </w:p>
        </w:tc>
      </w:tr>
      <w:tr w:rsidR="006B3AD8" w14:paraId="24CBE077" w14:textId="77777777" w:rsidTr="00A63E29">
        <w:trPr>
          <w:jc w:val="center"/>
        </w:trPr>
        <w:tc>
          <w:tcPr>
            <w:tcW w:w="1228" w:type="dxa"/>
            <w:tcBorders>
              <w:top w:val="single" w:sz="4" w:space="0" w:color="auto"/>
              <w:left w:val="single" w:sz="4" w:space="0" w:color="auto"/>
              <w:bottom w:val="single" w:sz="4" w:space="0" w:color="auto"/>
              <w:right w:val="single" w:sz="4" w:space="0" w:color="auto"/>
            </w:tcBorders>
            <w:hideMark/>
          </w:tcPr>
          <w:p w14:paraId="422A730B" w14:textId="77777777" w:rsidR="006B3AD8" w:rsidRDefault="006B3AD8" w:rsidP="006B3AD8">
            <w:pPr>
              <w:spacing w:after="0"/>
              <w:rPr>
                <w:sz w:val="18"/>
                <w:szCs w:val="18"/>
              </w:rPr>
            </w:pPr>
            <w:r>
              <w:rPr>
                <w:sz w:val="18"/>
                <w:szCs w:val="18"/>
              </w:rPr>
              <w:t>Sya</w:t>
            </w:r>
          </w:p>
        </w:tc>
        <w:tc>
          <w:tcPr>
            <w:tcW w:w="2007" w:type="dxa"/>
            <w:tcBorders>
              <w:top w:val="single" w:sz="4" w:space="0" w:color="auto"/>
              <w:left w:val="single" w:sz="4" w:space="0" w:color="auto"/>
              <w:bottom w:val="single" w:sz="4" w:space="0" w:color="auto"/>
              <w:right w:val="single" w:sz="4" w:space="0" w:color="auto"/>
            </w:tcBorders>
          </w:tcPr>
          <w:p w14:paraId="2F0593B6" w14:textId="2D9617E8" w:rsidR="006B3AD8" w:rsidRPr="00A63E29" w:rsidRDefault="006B3AD8" w:rsidP="006B3AD8">
            <w:pPr>
              <w:spacing w:after="0"/>
              <w:rPr>
                <w:sz w:val="18"/>
                <w:szCs w:val="18"/>
                <w:highlight w:val="yellow"/>
              </w:rPr>
            </w:pPr>
            <w:r w:rsidRPr="00A63E29">
              <w:rPr>
                <w:sz w:val="18"/>
                <w:szCs w:val="18"/>
                <w:highlight w:val="yellow"/>
                <w:lang w:val="fr-FR"/>
              </w:rPr>
              <w:t>Nahouri</w:t>
            </w:r>
          </w:p>
        </w:tc>
        <w:tc>
          <w:tcPr>
            <w:tcW w:w="1080" w:type="dxa"/>
            <w:tcBorders>
              <w:top w:val="single" w:sz="4" w:space="0" w:color="auto"/>
              <w:left w:val="single" w:sz="4" w:space="0" w:color="auto"/>
              <w:bottom w:val="single" w:sz="4" w:space="0" w:color="auto"/>
              <w:right w:val="single" w:sz="4" w:space="0" w:color="auto"/>
            </w:tcBorders>
            <w:hideMark/>
          </w:tcPr>
          <w:p w14:paraId="718C3B71" w14:textId="7CF71C4C" w:rsidR="006B3AD8" w:rsidRDefault="006B3AD8" w:rsidP="006B3AD8">
            <w:pPr>
              <w:spacing w:after="0"/>
              <w:rPr>
                <w:sz w:val="18"/>
                <w:szCs w:val="18"/>
              </w:rPr>
            </w:pPr>
            <w:r>
              <w:rPr>
                <w:sz w:val="18"/>
                <w:szCs w:val="18"/>
              </w:rPr>
              <w:t>1,265</w:t>
            </w:r>
          </w:p>
        </w:tc>
        <w:tc>
          <w:tcPr>
            <w:tcW w:w="1440" w:type="dxa"/>
            <w:tcBorders>
              <w:top w:val="single" w:sz="4" w:space="0" w:color="auto"/>
              <w:left w:val="single" w:sz="4" w:space="0" w:color="auto"/>
              <w:bottom w:val="single" w:sz="4" w:space="0" w:color="auto"/>
              <w:right w:val="single" w:sz="4" w:space="0" w:color="auto"/>
            </w:tcBorders>
            <w:hideMark/>
          </w:tcPr>
          <w:p w14:paraId="2BD16513" w14:textId="77777777" w:rsidR="006B3AD8" w:rsidRDefault="006B3AD8" w:rsidP="006B3AD8">
            <w:pPr>
              <w:spacing w:after="0"/>
              <w:rPr>
                <w:sz w:val="18"/>
                <w:szCs w:val="18"/>
              </w:rPr>
            </w:pPr>
            <w:r>
              <w:rPr>
                <w:sz w:val="18"/>
                <w:szCs w:val="18"/>
              </w:rPr>
              <w:t>ZOVIC</w:t>
            </w:r>
          </w:p>
        </w:tc>
        <w:tc>
          <w:tcPr>
            <w:tcW w:w="810" w:type="dxa"/>
            <w:tcBorders>
              <w:top w:val="single" w:sz="4" w:space="0" w:color="auto"/>
              <w:left w:val="single" w:sz="4" w:space="0" w:color="auto"/>
              <w:bottom w:val="single" w:sz="4" w:space="0" w:color="auto"/>
              <w:right w:val="single" w:sz="4" w:space="0" w:color="auto"/>
            </w:tcBorders>
            <w:hideMark/>
          </w:tcPr>
          <w:p w14:paraId="1B1F49AB" w14:textId="77777777" w:rsidR="006B3AD8" w:rsidRDefault="006B3AD8" w:rsidP="006B3AD8">
            <w:pPr>
              <w:spacing w:after="0"/>
              <w:rPr>
                <w:sz w:val="18"/>
                <w:szCs w:val="18"/>
              </w:rPr>
            </w:pPr>
            <w:r>
              <w:rPr>
                <w:sz w:val="18"/>
                <w:szCs w:val="18"/>
              </w:rPr>
              <w:t>VI</w:t>
            </w:r>
          </w:p>
        </w:tc>
        <w:tc>
          <w:tcPr>
            <w:tcW w:w="1440" w:type="dxa"/>
            <w:tcBorders>
              <w:top w:val="single" w:sz="4" w:space="0" w:color="auto"/>
              <w:left w:val="single" w:sz="4" w:space="0" w:color="auto"/>
              <w:bottom w:val="single" w:sz="4" w:space="0" w:color="auto"/>
              <w:right w:val="single" w:sz="4" w:space="0" w:color="auto"/>
            </w:tcBorders>
            <w:hideMark/>
          </w:tcPr>
          <w:p w14:paraId="1A59EEB4" w14:textId="77777777" w:rsidR="006B3AD8" w:rsidRDefault="006B3AD8" w:rsidP="006B3AD8">
            <w:pPr>
              <w:spacing w:after="0"/>
              <w:rPr>
                <w:sz w:val="16"/>
                <w:szCs w:val="16"/>
              </w:rPr>
            </w:pPr>
            <w:r>
              <w:rPr>
                <w:sz w:val="16"/>
                <w:szCs w:val="16"/>
              </w:rPr>
              <w:t>CVGF</w:t>
            </w:r>
          </w:p>
        </w:tc>
        <w:tc>
          <w:tcPr>
            <w:tcW w:w="1400" w:type="dxa"/>
            <w:vMerge/>
            <w:tcBorders>
              <w:top w:val="single" w:sz="4" w:space="0" w:color="auto"/>
              <w:left w:val="single" w:sz="4" w:space="0" w:color="auto"/>
              <w:bottom w:val="single" w:sz="4" w:space="0" w:color="auto"/>
              <w:right w:val="single" w:sz="4" w:space="0" w:color="auto"/>
            </w:tcBorders>
            <w:vAlign w:val="center"/>
            <w:hideMark/>
          </w:tcPr>
          <w:p w14:paraId="0727311B" w14:textId="77777777" w:rsidR="006B3AD8" w:rsidRDefault="006B3AD8" w:rsidP="006B3AD8">
            <w:pPr>
              <w:spacing w:after="0"/>
              <w:jc w:val="left"/>
              <w:rPr>
                <w:sz w:val="18"/>
                <w:szCs w:val="18"/>
                <w:lang w:val="en-CA"/>
              </w:rPr>
            </w:pPr>
          </w:p>
        </w:tc>
        <w:tc>
          <w:tcPr>
            <w:tcW w:w="887" w:type="dxa"/>
            <w:tcBorders>
              <w:top w:val="single" w:sz="4" w:space="0" w:color="auto"/>
              <w:left w:val="single" w:sz="4" w:space="0" w:color="auto"/>
              <w:bottom w:val="single" w:sz="4" w:space="0" w:color="auto"/>
              <w:right w:val="single" w:sz="4" w:space="0" w:color="auto"/>
            </w:tcBorders>
            <w:hideMark/>
          </w:tcPr>
          <w:p w14:paraId="059397C1" w14:textId="77777777" w:rsidR="006B3AD8" w:rsidRDefault="006B3AD8" w:rsidP="006B3AD8">
            <w:pPr>
              <w:spacing w:after="0"/>
              <w:rPr>
                <w:sz w:val="16"/>
                <w:szCs w:val="16"/>
              </w:rPr>
            </w:pPr>
            <w:r>
              <w:rPr>
                <w:sz w:val="16"/>
                <w:szCs w:val="16"/>
              </w:rPr>
              <w:t>Created 1989</w:t>
            </w: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0A316A68" w14:textId="77777777" w:rsidR="006B3AD8" w:rsidRDefault="006B3AD8" w:rsidP="006B3AD8">
            <w:pPr>
              <w:spacing w:after="0"/>
              <w:jc w:val="left"/>
              <w:rPr>
                <w:sz w:val="16"/>
                <w:szCs w:val="16"/>
                <w:lang w:val="en-CA"/>
              </w:rPr>
            </w:pPr>
          </w:p>
        </w:tc>
      </w:tr>
      <w:tr w:rsidR="006B3AD8" w14:paraId="368AE302" w14:textId="77777777" w:rsidTr="00A63E29">
        <w:trPr>
          <w:jc w:val="center"/>
        </w:trPr>
        <w:tc>
          <w:tcPr>
            <w:tcW w:w="1228" w:type="dxa"/>
            <w:tcBorders>
              <w:top w:val="single" w:sz="4" w:space="0" w:color="auto"/>
              <w:left w:val="single" w:sz="4" w:space="0" w:color="auto"/>
              <w:bottom w:val="single" w:sz="4" w:space="0" w:color="auto"/>
              <w:right w:val="single" w:sz="4" w:space="0" w:color="auto"/>
            </w:tcBorders>
            <w:shd w:val="clear" w:color="auto" w:fill="D0CECE"/>
            <w:hideMark/>
          </w:tcPr>
          <w:p w14:paraId="3C6EF00D" w14:textId="77777777" w:rsidR="006B3AD8" w:rsidRDefault="006B3AD8" w:rsidP="006B3AD8">
            <w:pPr>
              <w:spacing w:after="0"/>
              <w:rPr>
                <w:b/>
                <w:sz w:val="17"/>
                <w:szCs w:val="17"/>
              </w:rPr>
            </w:pPr>
            <w:r>
              <w:rPr>
                <w:b/>
                <w:sz w:val="17"/>
                <w:szCs w:val="17"/>
              </w:rPr>
              <w:t>Total area ZOVICs</w:t>
            </w:r>
          </w:p>
        </w:tc>
        <w:tc>
          <w:tcPr>
            <w:tcW w:w="2007" w:type="dxa"/>
            <w:tcBorders>
              <w:top w:val="single" w:sz="4" w:space="0" w:color="auto"/>
              <w:left w:val="single" w:sz="4" w:space="0" w:color="auto"/>
              <w:bottom w:val="single" w:sz="4" w:space="0" w:color="auto"/>
              <w:right w:val="single" w:sz="4" w:space="0" w:color="auto"/>
            </w:tcBorders>
            <w:shd w:val="clear" w:color="auto" w:fill="D0CECE"/>
          </w:tcPr>
          <w:p w14:paraId="7EB376E6" w14:textId="77777777" w:rsidR="006B3AD8" w:rsidRDefault="006B3AD8" w:rsidP="006B3AD8">
            <w:pPr>
              <w:spacing w:after="0"/>
              <w:rPr>
                <w:b/>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D0CECE"/>
            <w:hideMark/>
          </w:tcPr>
          <w:p w14:paraId="06FBECC1" w14:textId="7BDA3F18" w:rsidR="006B3AD8" w:rsidRDefault="006B3AD8" w:rsidP="006B3AD8">
            <w:pPr>
              <w:spacing w:after="0"/>
              <w:rPr>
                <w:b/>
                <w:sz w:val="18"/>
                <w:szCs w:val="18"/>
              </w:rPr>
            </w:pPr>
            <w:r>
              <w:rPr>
                <w:b/>
                <w:sz w:val="18"/>
                <w:szCs w:val="18"/>
              </w:rPr>
              <w:t>24,281</w:t>
            </w:r>
          </w:p>
        </w:tc>
        <w:tc>
          <w:tcPr>
            <w:tcW w:w="7200" w:type="dxa"/>
            <w:gridSpan w:val="6"/>
            <w:tcBorders>
              <w:top w:val="single" w:sz="4" w:space="0" w:color="auto"/>
              <w:left w:val="single" w:sz="4" w:space="0" w:color="auto"/>
              <w:bottom w:val="single" w:sz="4" w:space="0" w:color="auto"/>
              <w:right w:val="single" w:sz="4" w:space="0" w:color="auto"/>
            </w:tcBorders>
          </w:tcPr>
          <w:p w14:paraId="09B66D47" w14:textId="77777777" w:rsidR="006B3AD8" w:rsidRDefault="006B3AD8" w:rsidP="006B3AD8">
            <w:pPr>
              <w:spacing w:after="0"/>
              <w:rPr>
                <w:sz w:val="18"/>
                <w:szCs w:val="18"/>
              </w:rPr>
            </w:pPr>
          </w:p>
        </w:tc>
      </w:tr>
      <w:tr w:rsidR="006B3AD8" w14:paraId="749EECF4" w14:textId="77777777" w:rsidTr="00A63E29">
        <w:trPr>
          <w:jc w:val="center"/>
        </w:trPr>
        <w:tc>
          <w:tcPr>
            <w:tcW w:w="1228" w:type="dxa"/>
            <w:tcBorders>
              <w:top w:val="single" w:sz="4" w:space="0" w:color="auto"/>
              <w:left w:val="single" w:sz="4" w:space="0" w:color="auto"/>
              <w:bottom w:val="single" w:sz="4" w:space="0" w:color="auto"/>
              <w:right w:val="single" w:sz="4" w:space="0" w:color="auto"/>
            </w:tcBorders>
            <w:shd w:val="clear" w:color="auto" w:fill="D9D9D9"/>
            <w:hideMark/>
          </w:tcPr>
          <w:p w14:paraId="09338FA2" w14:textId="77777777" w:rsidR="006B3AD8" w:rsidRDefault="006B3AD8" w:rsidP="006B3AD8">
            <w:pPr>
              <w:spacing w:after="0"/>
              <w:rPr>
                <w:b/>
                <w:sz w:val="18"/>
                <w:szCs w:val="18"/>
              </w:rPr>
            </w:pPr>
            <w:r>
              <w:rPr>
                <w:b/>
                <w:sz w:val="18"/>
                <w:szCs w:val="18"/>
              </w:rPr>
              <w:t>Total area PAs</w:t>
            </w:r>
          </w:p>
        </w:tc>
        <w:tc>
          <w:tcPr>
            <w:tcW w:w="2007" w:type="dxa"/>
            <w:tcBorders>
              <w:top w:val="single" w:sz="4" w:space="0" w:color="auto"/>
              <w:left w:val="single" w:sz="4" w:space="0" w:color="auto"/>
              <w:bottom w:val="single" w:sz="4" w:space="0" w:color="auto"/>
              <w:right w:val="single" w:sz="4" w:space="0" w:color="auto"/>
            </w:tcBorders>
            <w:shd w:val="clear" w:color="auto" w:fill="D9D9D9"/>
          </w:tcPr>
          <w:p w14:paraId="0D667A8B" w14:textId="77777777" w:rsidR="006B3AD8" w:rsidRDefault="006B3AD8" w:rsidP="006B3AD8">
            <w:pPr>
              <w:spacing w:after="0"/>
              <w:rPr>
                <w:b/>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D9D9D9"/>
            <w:hideMark/>
          </w:tcPr>
          <w:p w14:paraId="1A19ED68" w14:textId="5F0CE97E" w:rsidR="006B3AD8" w:rsidRDefault="006B3AD8" w:rsidP="006B3AD8">
            <w:pPr>
              <w:spacing w:after="0"/>
              <w:rPr>
                <w:b/>
                <w:sz w:val="18"/>
                <w:szCs w:val="18"/>
              </w:rPr>
            </w:pPr>
            <w:r>
              <w:rPr>
                <w:b/>
                <w:sz w:val="18"/>
                <w:szCs w:val="18"/>
              </w:rPr>
              <w:t>354,781</w:t>
            </w:r>
          </w:p>
        </w:tc>
        <w:tc>
          <w:tcPr>
            <w:tcW w:w="1440" w:type="dxa"/>
            <w:tcBorders>
              <w:top w:val="single" w:sz="4" w:space="0" w:color="auto"/>
              <w:left w:val="single" w:sz="4" w:space="0" w:color="auto"/>
              <w:bottom w:val="single" w:sz="4" w:space="0" w:color="auto"/>
              <w:right w:val="single" w:sz="4" w:space="0" w:color="auto"/>
            </w:tcBorders>
          </w:tcPr>
          <w:p w14:paraId="6FB5610E" w14:textId="77777777" w:rsidR="006B3AD8" w:rsidRDefault="006B3AD8" w:rsidP="006B3AD8">
            <w:pPr>
              <w:spacing w:after="0"/>
              <w:rPr>
                <w:sz w:val="18"/>
                <w:szCs w:val="18"/>
              </w:rPr>
            </w:pPr>
          </w:p>
        </w:tc>
        <w:tc>
          <w:tcPr>
            <w:tcW w:w="810" w:type="dxa"/>
            <w:tcBorders>
              <w:top w:val="single" w:sz="4" w:space="0" w:color="auto"/>
              <w:left w:val="single" w:sz="4" w:space="0" w:color="auto"/>
              <w:bottom w:val="single" w:sz="4" w:space="0" w:color="auto"/>
              <w:right w:val="single" w:sz="4" w:space="0" w:color="auto"/>
            </w:tcBorders>
          </w:tcPr>
          <w:p w14:paraId="1C5951B8" w14:textId="77777777" w:rsidR="006B3AD8" w:rsidRDefault="006B3AD8" w:rsidP="006B3AD8">
            <w:pPr>
              <w:spacing w:after="0"/>
              <w:rPr>
                <w:sz w:val="18"/>
                <w:szCs w:val="18"/>
              </w:rPr>
            </w:pPr>
          </w:p>
        </w:tc>
        <w:tc>
          <w:tcPr>
            <w:tcW w:w="1440" w:type="dxa"/>
            <w:tcBorders>
              <w:top w:val="single" w:sz="4" w:space="0" w:color="auto"/>
              <w:left w:val="single" w:sz="4" w:space="0" w:color="auto"/>
              <w:bottom w:val="single" w:sz="4" w:space="0" w:color="auto"/>
              <w:right w:val="single" w:sz="4" w:space="0" w:color="auto"/>
            </w:tcBorders>
          </w:tcPr>
          <w:p w14:paraId="29A0CE98" w14:textId="77777777" w:rsidR="006B3AD8" w:rsidRDefault="006B3AD8" w:rsidP="006B3AD8">
            <w:pPr>
              <w:spacing w:after="0"/>
              <w:rPr>
                <w:sz w:val="18"/>
                <w:szCs w:val="18"/>
                <w:lang w:val="en-CA"/>
              </w:rPr>
            </w:pPr>
          </w:p>
        </w:tc>
        <w:tc>
          <w:tcPr>
            <w:tcW w:w="1400" w:type="dxa"/>
            <w:tcBorders>
              <w:top w:val="single" w:sz="4" w:space="0" w:color="auto"/>
              <w:left w:val="single" w:sz="4" w:space="0" w:color="auto"/>
              <w:bottom w:val="single" w:sz="4" w:space="0" w:color="auto"/>
              <w:right w:val="single" w:sz="4" w:space="0" w:color="auto"/>
            </w:tcBorders>
          </w:tcPr>
          <w:p w14:paraId="19227364" w14:textId="77777777" w:rsidR="006B3AD8" w:rsidRDefault="006B3AD8" w:rsidP="006B3AD8">
            <w:pPr>
              <w:spacing w:after="0"/>
              <w:rPr>
                <w:sz w:val="18"/>
                <w:szCs w:val="18"/>
                <w:lang w:val="en-CA"/>
              </w:rPr>
            </w:pPr>
          </w:p>
        </w:tc>
        <w:tc>
          <w:tcPr>
            <w:tcW w:w="887" w:type="dxa"/>
            <w:tcBorders>
              <w:top w:val="single" w:sz="4" w:space="0" w:color="auto"/>
              <w:left w:val="single" w:sz="4" w:space="0" w:color="auto"/>
              <w:bottom w:val="single" w:sz="4" w:space="0" w:color="auto"/>
              <w:right w:val="single" w:sz="4" w:space="0" w:color="auto"/>
            </w:tcBorders>
          </w:tcPr>
          <w:p w14:paraId="59B17275" w14:textId="77777777" w:rsidR="006B3AD8" w:rsidRDefault="006B3AD8" w:rsidP="006B3AD8">
            <w:pPr>
              <w:spacing w:after="0"/>
              <w:rPr>
                <w:sz w:val="18"/>
                <w:szCs w:val="18"/>
                <w:lang w:val="en-CA"/>
              </w:rPr>
            </w:pPr>
          </w:p>
        </w:tc>
        <w:tc>
          <w:tcPr>
            <w:tcW w:w="1223" w:type="dxa"/>
            <w:tcBorders>
              <w:top w:val="single" w:sz="4" w:space="0" w:color="auto"/>
              <w:left w:val="single" w:sz="4" w:space="0" w:color="auto"/>
              <w:bottom w:val="single" w:sz="4" w:space="0" w:color="auto"/>
              <w:right w:val="single" w:sz="4" w:space="0" w:color="auto"/>
            </w:tcBorders>
          </w:tcPr>
          <w:p w14:paraId="0780D603" w14:textId="77777777" w:rsidR="006B3AD8" w:rsidRDefault="006B3AD8" w:rsidP="006B3AD8">
            <w:pPr>
              <w:spacing w:after="0"/>
              <w:rPr>
                <w:sz w:val="18"/>
                <w:szCs w:val="18"/>
                <w:lang w:val="en-CA"/>
              </w:rPr>
            </w:pPr>
          </w:p>
        </w:tc>
      </w:tr>
    </w:tbl>
    <w:p w14:paraId="0FF551DE" w14:textId="77777777" w:rsidR="00302BFE"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GB"/>
        </w:rPr>
      </w:pPr>
      <w:r w:rsidRPr="00987DAD">
        <w:rPr>
          <w:rFonts w:ascii="Calibri" w:hAnsi="Calibri"/>
          <w:sz w:val="20"/>
          <w:szCs w:val="20"/>
          <w:lang w:val="en-GB"/>
        </w:rPr>
        <w:t xml:space="preserve">Further information on these </w:t>
      </w:r>
      <w:r>
        <w:rPr>
          <w:rFonts w:ascii="Calibri" w:hAnsi="Calibri"/>
          <w:sz w:val="20"/>
          <w:szCs w:val="20"/>
          <w:lang w:val="en-GB"/>
        </w:rPr>
        <w:t xml:space="preserve">existing and potential </w:t>
      </w:r>
      <w:r w:rsidRPr="00987DAD">
        <w:rPr>
          <w:rFonts w:ascii="Calibri" w:hAnsi="Calibri"/>
          <w:sz w:val="20"/>
          <w:szCs w:val="20"/>
          <w:lang w:val="en-GB"/>
        </w:rPr>
        <w:t>protected areas</w:t>
      </w:r>
      <w:r>
        <w:rPr>
          <w:rFonts w:ascii="Calibri" w:hAnsi="Calibri"/>
          <w:sz w:val="20"/>
          <w:szCs w:val="20"/>
          <w:lang w:val="en-GB"/>
        </w:rPr>
        <w:t xml:space="preserve"> </w:t>
      </w:r>
      <w:r w:rsidRPr="00987DAD">
        <w:rPr>
          <w:rFonts w:ascii="Calibri" w:hAnsi="Calibri"/>
          <w:sz w:val="20"/>
          <w:szCs w:val="20"/>
          <w:lang w:val="en-GB"/>
        </w:rPr>
        <w:t xml:space="preserve">is presented in </w:t>
      </w:r>
      <w:r w:rsidRPr="00CB2536">
        <w:rPr>
          <w:rFonts w:ascii="Calibri" w:hAnsi="Calibri"/>
          <w:sz w:val="20"/>
          <w:szCs w:val="20"/>
          <w:lang w:val="en-GB"/>
        </w:rPr>
        <w:t xml:space="preserve">Annex </w:t>
      </w:r>
      <w:r w:rsidR="009523FE" w:rsidRPr="00CB2536">
        <w:rPr>
          <w:rFonts w:ascii="Calibri" w:hAnsi="Calibri"/>
          <w:sz w:val="20"/>
          <w:szCs w:val="20"/>
          <w:lang w:val="en-GB"/>
        </w:rPr>
        <w:t>I</w:t>
      </w:r>
      <w:r>
        <w:rPr>
          <w:rFonts w:ascii="Calibri" w:hAnsi="Calibri"/>
          <w:sz w:val="20"/>
          <w:szCs w:val="20"/>
          <w:lang w:val="en-GB"/>
        </w:rPr>
        <w:t xml:space="preserve"> as part of the Target landscape profile</w:t>
      </w:r>
      <w:r w:rsidRPr="00987DAD">
        <w:rPr>
          <w:rFonts w:ascii="Calibri" w:hAnsi="Calibri"/>
          <w:sz w:val="20"/>
          <w:szCs w:val="20"/>
          <w:lang w:val="en-GB"/>
        </w:rPr>
        <w:t>.</w:t>
      </w:r>
    </w:p>
    <w:p w14:paraId="515263A0" w14:textId="77777777" w:rsidR="00302BFE" w:rsidRPr="000B09F8" w:rsidRDefault="00302BFE" w:rsidP="00302BFE">
      <w:pPr>
        <w:pStyle w:val="Paragraphedeliste"/>
        <w:tabs>
          <w:tab w:val="left" w:pos="284"/>
        </w:tabs>
        <w:ind w:left="0"/>
        <w:jc w:val="center"/>
        <w:rPr>
          <w:rFonts w:ascii="Calibri" w:hAnsi="Calibri"/>
          <w:noProof/>
          <w:sz w:val="16"/>
          <w:szCs w:val="16"/>
        </w:rPr>
      </w:pPr>
      <w:r>
        <w:rPr>
          <w:noProof/>
        </w:rPr>
        <w:lastRenderedPageBreak/>
        <w:drawing>
          <wp:inline distT="0" distB="0" distL="0" distR="0" wp14:anchorId="7C65F2D2" wp14:editId="6E21663C">
            <wp:extent cx="4239260" cy="3081655"/>
            <wp:effectExtent l="0" t="0" r="8890" b="444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cstate="print">
                      <a:extLst>
                        <a:ext uri="{28A0092B-C50C-407E-A947-70E740481C1C}">
                          <a14:useLocalDpi xmlns:a14="http://schemas.microsoft.com/office/drawing/2010/main" val="0"/>
                        </a:ext>
                      </a:extLst>
                    </a:blip>
                    <a:srcRect l="1649" t="2333" r="5318" b="1570"/>
                    <a:stretch>
                      <a:fillRect/>
                    </a:stretch>
                  </pic:blipFill>
                  <pic:spPr bwMode="auto">
                    <a:xfrm>
                      <a:off x="0" y="0"/>
                      <a:ext cx="4239260" cy="3081655"/>
                    </a:xfrm>
                    <a:prstGeom prst="rect">
                      <a:avLst/>
                    </a:prstGeom>
                    <a:noFill/>
                    <a:ln>
                      <a:noFill/>
                    </a:ln>
                  </pic:spPr>
                </pic:pic>
              </a:graphicData>
            </a:graphic>
          </wp:inline>
        </w:drawing>
      </w:r>
    </w:p>
    <w:p w14:paraId="60C4D0E2" w14:textId="364E41E3" w:rsidR="00302BFE" w:rsidRPr="004B1D90" w:rsidRDefault="00802D9D" w:rsidP="00302BFE">
      <w:pPr>
        <w:pStyle w:val="Paragraphedeliste"/>
        <w:tabs>
          <w:tab w:val="left" w:pos="284"/>
        </w:tabs>
        <w:ind w:left="0"/>
        <w:jc w:val="center"/>
        <w:rPr>
          <w:rFonts w:ascii="Calibri" w:hAnsi="Calibri"/>
          <w:b/>
          <w:sz w:val="20"/>
          <w:szCs w:val="20"/>
          <w:lang w:val="en-GB"/>
        </w:rPr>
      </w:pPr>
      <w:r w:rsidRPr="00A63E29">
        <w:rPr>
          <w:rFonts w:ascii="Calibri" w:hAnsi="Calibri"/>
          <w:b/>
          <w:sz w:val="20"/>
          <w:szCs w:val="20"/>
          <w:highlight w:val="yellow"/>
          <w:lang w:val="en-GB"/>
        </w:rPr>
        <w:t xml:space="preserve">Map </w:t>
      </w:r>
      <w:r w:rsidR="00302BFE" w:rsidRPr="00A63E29">
        <w:rPr>
          <w:rFonts w:ascii="Calibri" w:hAnsi="Calibri"/>
          <w:b/>
          <w:sz w:val="20"/>
          <w:szCs w:val="20"/>
          <w:highlight w:val="yellow"/>
          <w:lang w:val="en-GB"/>
        </w:rPr>
        <w:t>1</w:t>
      </w:r>
      <w:r w:rsidR="00302BFE" w:rsidRPr="004B1D90">
        <w:rPr>
          <w:rFonts w:ascii="Calibri" w:hAnsi="Calibri"/>
          <w:b/>
          <w:sz w:val="20"/>
          <w:szCs w:val="20"/>
          <w:lang w:val="en-GB"/>
        </w:rPr>
        <w:t>. Protected Areas of the PONASI Complex.</w:t>
      </w:r>
    </w:p>
    <w:p w14:paraId="798E4D2F" w14:textId="0AD33CDB" w:rsidR="00302BFE" w:rsidRPr="005124EF"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GB"/>
        </w:rPr>
      </w:pPr>
      <w:r w:rsidRPr="00FD2241">
        <w:rPr>
          <w:rFonts w:ascii="Calibri" w:hAnsi="Calibri"/>
          <w:sz w:val="20"/>
          <w:szCs w:val="20"/>
          <w:lang w:val="en-GB"/>
        </w:rPr>
        <w:t>Despite the adequate coverage of the protected area network in terms of area (16%) and ecosystem representation and an approach promoting ecological connectivity and integration into regional dynamics, conservation efforts of many protected areas remain ineffective and the benefits g</w:t>
      </w:r>
      <w:r>
        <w:rPr>
          <w:rFonts w:ascii="Calibri" w:hAnsi="Calibri"/>
          <w:sz w:val="20"/>
          <w:szCs w:val="20"/>
          <w:lang w:val="en-GB"/>
        </w:rPr>
        <w:t>enerated by S</w:t>
      </w:r>
      <w:r w:rsidRPr="00FD2241">
        <w:rPr>
          <w:rFonts w:ascii="Calibri" w:hAnsi="Calibri"/>
          <w:sz w:val="20"/>
          <w:szCs w:val="20"/>
          <w:lang w:val="en-GB"/>
        </w:rPr>
        <w:t>tate and community protected areas are reduced by inten</w:t>
      </w:r>
      <w:r>
        <w:rPr>
          <w:rFonts w:ascii="Calibri" w:hAnsi="Calibri"/>
          <w:sz w:val="20"/>
          <w:szCs w:val="20"/>
          <w:lang w:val="en-GB"/>
        </w:rPr>
        <w:t>se human pressure at their periphery and within</w:t>
      </w:r>
      <w:r w:rsidRPr="00FD2241">
        <w:rPr>
          <w:rFonts w:ascii="Calibri" w:hAnsi="Calibri"/>
          <w:sz w:val="20"/>
          <w:szCs w:val="20"/>
          <w:lang w:val="en-GB"/>
        </w:rPr>
        <w:t>, e</w:t>
      </w:r>
      <w:r>
        <w:rPr>
          <w:rFonts w:ascii="Calibri" w:hAnsi="Calibri"/>
          <w:sz w:val="20"/>
          <w:szCs w:val="20"/>
          <w:lang w:val="en-GB"/>
        </w:rPr>
        <w:t>specially through cattle invasion</w:t>
      </w:r>
      <w:r w:rsidRPr="00FD2241">
        <w:rPr>
          <w:rFonts w:ascii="Calibri" w:hAnsi="Calibri"/>
          <w:sz w:val="20"/>
          <w:szCs w:val="20"/>
          <w:lang w:val="en-GB"/>
        </w:rPr>
        <w:t xml:space="preserve"> and poaching</w:t>
      </w:r>
      <w:r w:rsidRPr="005124EF">
        <w:rPr>
          <w:rFonts w:ascii="Calibri" w:hAnsi="Calibri"/>
          <w:sz w:val="20"/>
          <w:szCs w:val="20"/>
          <w:lang w:val="en-GB"/>
        </w:rPr>
        <w:t xml:space="preserve">. </w:t>
      </w:r>
      <w:r w:rsidR="00A87936" w:rsidRPr="00A63E29">
        <w:rPr>
          <w:rFonts w:ascii="Calibri" w:hAnsi="Calibri"/>
          <w:sz w:val="20"/>
          <w:szCs w:val="20"/>
          <w:lang w:val="en-GB"/>
        </w:rPr>
        <w:t xml:space="preserve">Poaching, the trade of bushmeat, and encroachment of local people into protected areas with concomitant fragmentation of natural habitat increases the </w:t>
      </w:r>
      <w:r w:rsidR="00124931" w:rsidRPr="00A63E29">
        <w:rPr>
          <w:rFonts w:ascii="Calibri" w:hAnsi="Calibri"/>
          <w:sz w:val="20"/>
          <w:szCs w:val="20"/>
          <w:lang w:val="en-GB"/>
        </w:rPr>
        <w:t>exposure of the human population to zoonotic diseases such as COVID.</w:t>
      </w:r>
      <w:r w:rsidR="00124931" w:rsidRPr="005124EF">
        <w:rPr>
          <w:rFonts w:ascii="Calibri" w:hAnsi="Calibri"/>
          <w:sz w:val="20"/>
          <w:szCs w:val="20"/>
          <w:lang w:val="en-GB"/>
        </w:rPr>
        <w:t xml:space="preserve"> </w:t>
      </w:r>
      <w:r w:rsidRPr="005124EF">
        <w:rPr>
          <w:rFonts w:ascii="Calibri" w:hAnsi="Calibri"/>
          <w:sz w:val="20"/>
          <w:szCs w:val="20"/>
          <w:lang w:val="en-GB"/>
        </w:rPr>
        <w:t>Similarly, most of the forestry and pastoral units created under the authority of local governments to provide ecosystem services and sustainable livelihoods to local communities have failed to deliver the expected benefits and fair sharing to all actors involved. Many classified forests are not managed to preserve their conservation potential and their monitoring by the forest service is limited. Although the involvement of local people in the protection of biological resources could lead to effective conservation measures for the benefit of both communities and biodiversity, communities neighbouring protected areas are not involved in decisions about their management</w:t>
      </w:r>
      <w:r w:rsidR="00124931" w:rsidRPr="005124EF">
        <w:rPr>
          <w:rFonts w:ascii="Calibri" w:hAnsi="Calibri"/>
          <w:sz w:val="20"/>
          <w:szCs w:val="20"/>
          <w:lang w:val="en-GB"/>
        </w:rPr>
        <w:t xml:space="preserve">, </w:t>
      </w:r>
      <w:r w:rsidR="00124931" w:rsidRPr="00A63E29">
        <w:rPr>
          <w:rFonts w:ascii="Calibri" w:hAnsi="Calibri"/>
          <w:sz w:val="20"/>
          <w:szCs w:val="20"/>
          <w:lang w:val="en-GB"/>
        </w:rPr>
        <w:t xml:space="preserve">despite being those most affected by human-wildlife conflicts and </w:t>
      </w:r>
      <w:r w:rsidR="009E5E39" w:rsidRPr="00A63E29">
        <w:rPr>
          <w:rFonts w:ascii="Calibri" w:hAnsi="Calibri"/>
          <w:sz w:val="20"/>
          <w:szCs w:val="20"/>
          <w:lang w:val="en-GB"/>
        </w:rPr>
        <w:t xml:space="preserve">potentially </w:t>
      </w:r>
      <w:r w:rsidR="00124931" w:rsidRPr="00A63E29">
        <w:rPr>
          <w:rFonts w:ascii="Calibri" w:hAnsi="Calibri"/>
          <w:sz w:val="20"/>
          <w:szCs w:val="20"/>
          <w:lang w:val="en-GB"/>
        </w:rPr>
        <w:t>exposed to zoonotic diseases</w:t>
      </w:r>
      <w:r w:rsidRPr="00A63E29">
        <w:rPr>
          <w:rFonts w:ascii="Calibri" w:hAnsi="Calibri"/>
          <w:sz w:val="20"/>
          <w:szCs w:val="20"/>
          <w:lang w:val="en-GB"/>
        </w:rPr>
        <w:t>.</w:t>
      </w:r>
      <w:r w:rsidRPr="005124EF">
        <w:rPr>
          <w:rFonts w:ascii="Calibri" w:hAnsi="Calibri"/>
          <w:sz w:val="20"/>
          <w:szCs w:val="20"/>
          <w:lang w:val="en-GB"/>
        </w:rPr>
        <w:t xml:space="preserve"> Also, despite the agreements reached between Burkina Faso and Ghana in 2008, protected areas and shared resources are not yet managed with a minimum of coordination on both sides of the border.</w:t>
      </w:r>
    </w:p>
    <w:p w14:paraId="6333F12B" w14:textId="77777777" w:rsidR="00302BFE" w:rsidRPr="00FD2241" w:rsidRDefault="00302BFE" w:rsidP="00302BFE">
      <w:pPr>
        <w:spacing w:before="240" w:after="120"/>
        <w:rPr>
          <w:b/>
          <w:szCs w:val="20"/>
          <w:lang w:val="en-GB"/>
        </w:rPr>
      </w:pPr>
      <w:r w:rsidRPr="00FD2241">
        <w:rPr>
          <w:b/>
          <w:szCs w:val="20"/>
          <w:lang w:val="en-GB"/>
        </w:rPr>
        <w:t xml:space="preserve">The PONASI </w:t>
      </w:r>
      <w:r>
        <w:rPr>
          <w:b/>
          <w:szCs w:val="20"/>
          <w:lang w:val="en-GB"/>
        </w:rPr>
        <w:t>P</w:t>
      </w:r>
      <w:r w:rsidRPr="00FD2241">
        <w:rPr>
          <w:b/>
          <w:szCs w:val="20"/>
          <w:lang w:val="en-GB"/>
        </w:rPr>
        <w:t xml:space="preserve">rotected </w:t>
      </w:r>
      <w:r>
        <w:rPr>
          <w:b/>
          <w:szCs w:val="20"/>
          <w:lang w:val="en-GB"/>
        </w:rPr>
        <w:t>A</w:t>
      </w:r>
      <w:r w:rsidRPr="00FD2241">
        <w:rPr>
          <w:b/>
          <w:szCs w:val="20"/>
          <w:lang w:val="en-GB"/>
        </w:rPr>
        <w:t xml:space="preserve">rea </w:t>
      </w:r>
      <w:r>
        <w:rPr>
          <w:b/>
          <w:szCs w:val="20"/>
          <w:lang w:val="en-GB"/>
        </w:rPr>
        <w:t>L</w:t>
      </w:r>
      <w:r w:rsidRPr="00FD2241">
        <w:rPr>
          <w:b/>
          <w:szCs w:val="20"/>
          <w:lang w:val="en-GB"/>
        </w:rPr>
        <w:t>andscape</w:t>
      </w:r>
    </w:p>
    <w:p w14:paraId="5AB7EA71" w14:textId="77777777" w:rsidR="00302BFE"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GB"/>
        </w:rPr>
      </w:pPr>
      <w:r w:rsidRPr="006A6E34">
        <w:rPr>
          <w:rFonts w:ascii="Calibri" w:hAnsi="Calibri"/>
          <w:sz w:val="20"/>
          <w:szCs w:val="20"/>
          <w:lang w:val="en-GB"/>
        </w:rPr>
        <w:t xml:space="preserve">The vast </w:t>
      </w:r>
      <w:r w:rsidRPr="006A6E34">
        <w:rPr>
          <w:rFonts w:ascii="Calibri" w:hAnsi="Calibri"/>
          <w:b/>
          <w:sz w:val="20"/>
          <w:szCs w:val="20"/>
          <w:lang w:val="en-GB"/>
        </w:rPr>
        <w:t xml:space="preserve">PONASI </w:t>
      </w:r>
      <w:r>
        <w:rPr>
          <w:rFonts w:ascii="Calibri" w:hAnsi="Calibri"/>
          <w:b/>
          <w:sz w:val="20"/>
          <w:szCs w:val="20"/>
          <w:lang w:val="en-GB"/>
        </w:rPr>
        <w:t xml:space="preserve">PA </w:t>
      </w:r>
      <w:r w:rsidRPr="006A6E34">
        <w:rPr>
          <w:rFonts w:ascii="Calibri" w:hAnsi="Calibri"/>
          <w:b/>
          <w:sz w:val="20"/>
          <w:szCs w:val="20"/>
          <w:lang w:val="en-GB"/>
        </w:rPr>
        <w:t>Landscape</w:t>
      </w:r>
      <w:r w:rsidRPr="006A6E34">
        <w:rPr>
          <w:rFonts w:ascii="Calibri" w:hAnsi="Calibri"/>
          <w:sz w:val="20"/>
          <w:szCs w:val="20"/>
          <w:lang w:val="en-GB"/>
        </w:rPr>
        <w:t xml:space="preserve"> - integrating the Protected Areas Complex and surrounding areas over 952,000 ha, or 3.5% of the country's area, south of the capital to the Ghanaian border - is the area targeted for integrated management in this proposed project. The protected area complex adjoins the area where the Volta River enters Ghana and serves as an ecological corridor for large mammals such as elephants to migrate from similar ecosystems of northern Ghana (including the Morago </w:t>
      </w:r>
      <w:r>
        <w:rPr>
          <w:rFonts w:ascii="Calibri" w:hAnsi="Calibri"/>
          <w:sz w:val="20"/>
          <w:szCs w:val="20"/>
          <w:lang w:val="en-GB"/>
        </w:rPr>
        <w:t>R</w:t>
      </w:r>
      <w:r w:rsidRPr="006A6E34">
        <w:rPr>
          <w:rFonts w:ascii="Calibri" w:hAnsi="Calibri"/>
          <w:sz w:val="20"/>
          <w:szCs w:val="20"/>
          <w:lang w:val="en-GB"/>
        </w:rPr>
        <w:t xml:space="preserve">iver area and the Mole National Park). </w:t>
      </w:r>
    </w:p>
    <w:p w14:paraId="5CA9D980" w14:textId="77777777" w:rsidR="00302BFE" w:rsidRPr="008D3BAA"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GB"/>
        </w:rPr>
      </w:pPr>
      <w:r w:rsidRPr="008D3BAA">
        <w:rPr>
          <w:rFonts w:ascii="Calibri" w:hAnsi="Calibri"/>
          <w:sz w:val="20"/>
          <w:szCs w:val="20"/>
          <w:lang w:val="en-GB"/>
        </w:rPr>
        <w:t>The PONASI PA landscape is reported to shelter some 600 to 800 elephants that occupy the entire landscape, often roami</w:t>
      </w:r>
      <w:r>
        <w:rPr>
          <w:rFonts w:ascii="Calibri" w:hAnsi="Calibri"/>
          <w:sz w:val="20"/>
          <w:szCs w:val="20"/>
          <w:lang w:val="en-GB"/>
        </w:rPr>
        <w:t>n</w:t>
      </w:r>
      <w:r w:rsidRPr="008D3BAA">
        <w:rPr>
          <w:rFonts w:ascii="Calibri" w:hAnsi="Calibri"/>
          <w:sz w:val="20"/>
          <w:szCs w:val="20"/>
          <w:lang w:val="en-GB"/>
        </w:rPr>
        <w:t>g along the sub-basins of the Sissili and Nazinga rivers, moving between protected areas, areas adjacent to Ghana and possibly another protected area in Burkina Faso, the Deux Balés NP. These are considered as the second largest elephant population in the country. The former elephant territory included the Kaboré-Tambi NP, but in the 1980s migrant farmers settled in their usual passage areas and almost all the elephants that had migrated to Nazinga could no longer return to the NP. Similarly, the seasonal migration of elephants along the Nazinon River to Ghana and vice versa is now much more difficult for the same reason. The consequences are that elephant populations are now confined to a very limited area, becoming much more vulnerable to poachers and the degradation of their ecosystems.</w:t>
      </w:r>
    </w:p>
    <w:p w14:paraId="7B09E547" w14:textId="77777777" w:rsidR="00302BFE"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GB"/>
        </w:rPr>
      </w:pPr>
      <w:r w:rsidRPr="00B77F42">
        <w:rPr>
          <w:rFonts w:ascii="Calibri" w:hAnsi="Calibri"/>
          <w:sz w:val="20"/>
          <w:szCs w:val="20"/>
          <w:lang w:val="en-GB"/>
        </w:rPr>
        <w:t>Besides elephants</w:t>
      </w:r>
      <w:r w:rsidRPr="000C6838">
        <w:rPr>
          <w:rFonts w:ascii="Calibri" w:hAnsi="Calibri"/>
          <w:sz w:val="20"/>
          <w:szCs w:val="20"/>
          <w:lang w:val="en-GB"/>
        </w:rPr>
        <w:t xml:space="preserve">, the area has a rich biodiversity managed using various management and governance modes, which gives it a specific interest in the perspective of the replicability of the results and the lessons from the interventions that will be carried out there, initially to the whole of the PONASI landscape and possibly country-wide. </w:t>
      </w:r>
      <w:r w:rsidRPr="00CB2536">
        <w:rPr>
          <w:rFonts w:ascii="Calibri" w:hAnsi="Calibri"/>
          <w:sz w:val="20"/>
          <w:szCs w:val="20"/>
          <w:lang w:val="en-CA"/>
        </w:rPr>
        <w:t xml:space="preserve">The PONASI complex appears today as an essential part of the West African-protected area network and plays a key role in West African wildlife conservation. It shelters amongst the highest densities of several large mammals that are highly threatened elsewhere in the sub-region such as the elephant, the </w:t>
      </w:r>
      <w:r w:rsidRPr="00CB2536">
        <w:rPr>
          <w:rFonts w:ascii="Calibri" w:hAnsi="Calibri"/>
          <w:sz w:val="20"/>
          <w:szCs w:val="20"/>
          <w:lang w:val="en-CA"/>
        </w:rPr>
        <w:lastRenderedPageBreak/>
        <w:t>waterbuck, the major hartebeest or the roan antelope.</w:t>
      </w:r>
      <w:r w:rsidRPr="00B77F42">
        <w:rPr>
          <w:rStyle w:val="Appelnotedebasdep"/>
          <w:rFonts w:ascii="Calibri" w:hAnsi="Calibri"/>
          <w:sz w:val="20"/>
          <w:szCs w:val="20"/>
          <w:lang w:val="en-CA"/>
        </w:rPr>
        <w:footnoteReference w:id="5"/>
      </w:r>
      <w:r w:rsidRPr="00B77F42">
        <w:rPr>
          <w:rFonts w:ascii="Calibri" w:hAnsi="Calibri"/>
          <w:sz w:val="20"/>
          <w:szCs w:val="20"/>
          <w:lang w:val="en-CA"/>
        </w:rPr>
        <w:t xml:space="preserve"> </w:t>
      </w:r>
      <w:r w:rsidRPr="00B77F42">
        <w:rPr>
          <w:rStyle w:val="Appelnotedebasdep"/>
          <w:rFonts w:ascii="Calibri" w:hAnsi="Calibri"/>
          <w:sz w:val="20"/>
          <w:szCs w:val="20"/>
          <w:lang w:val="en-CA"/>
        </w:rPr>
        <w:footnoteReference w:id="6"/>
      </w:r>
      <w:r>
        <w:rPr>
          <w:rFonts w:ascii="Calibri" w:hAnsi="Calibri"/>
          <w:sz w:val="20"/>
          <w:szCs w:val="20"/>
          <w:lang w:val="en-CA"/>
        </w:rPr>
        <w:t xml:space="preserve"> </w:t>
      </w:r>
      <w:r w:rsidRPr="000C6838">
        <w:rPr>
          <w:rFonts w:ascii="Calibri" w:hAnsi="Calibri"/>
          <w:sz w:val="20"/>
          <w:szCs w:val="20"/>
          <w:lang w:val="en-GB"/>
        </w:rPr>
        <w:t xml:space="preserve">It is essential to preserve the potential of this biodiversity-rich area to serve as a refuge from the progression of drought and desertification. Burkina Faso is an arid country, and the PONASI landscape serves as an ecological transition zone between the two climatic regions of North Sudan and South Sudan, which further emphasises the importance to preserve it in the context of climate change. </w:t>
      </w:r>
    </w:p>
    <w:p w14:paraId="45ADD692" w14:textId="41ED2D7B" w:rsidR="00302BFE" w:rsidRPr="009667E6"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GB"/>
        </w:rPr>
      </w:pPr>
      <w:r w:rsidRPr="000C6838">
        <w:rPr>
          <w:rFonts w:ascii="Calibri" w:hAnsi="Calibri"/>
          <w:sz w:val="20"/>
          <w:szCs w:val="20"/>
          <w:lang w:val="en-GB"/>
        </w:rPr>
        <w:t xml:space="preserve">The PONASI PA landscape is classified as </w:t>
      </w:r>
      <w:r>
        <w:rPr>
          <w:rFonts w:ascii="Calibri" w:hAnsi="Calibri"/>
          <w:sz w:val="20"/>
          <w:szCs w:val="20"/>
          <w:lang w:val="en-GB"/>
        </w:rPr>
        <w:t xml:space="preserve">an </w:t>
      </w:r>
      <w:r w:rsidRPr="000C6838">
        <w:rPr>
          <w:rFonts w:ascii="Calibri" w:hAnsi="Calibri"/>
          <w:sz w:val="20"/>
          <w:szCs w:val="20"/>
          <w:lang w:val="en-GB"/>
        </w:rPr>
        <w:t>important area for bird conservation</w:t>
      </w:r>
      <w:r>
        <w:rPr>
          <w:rFonts w:ascii="Calibri" w:hAnsi="Calibri"/>
          <w:sz w:val="20"/>
          <w:szCs w:val="20"/>
          <w:lang w:val="en-GB"/>
        </w:rPr>
        <w:t xml:space="preserve"> (IBA)</w:t>
      </w:r>
      <w:r w:rsidRPr="000C6838">
        <w:rPr>
          <w:rFonts w:ascii="Calibri" w:hAnsi="Calibri"/>
          <w:sz w:val="20"/>
          <w:szCs w:val="20"/>
          <w:lang w:val="en-GB"/>
        </w:rPr>
        <w:t xml:space="preserve"> BF006</w:t>
      </w:r>
      <w:r w:rsidRPr="00FD2241">
        <w:rPr>
          <w:rStyle w:val="Appelnotedebasdep"/>
          <w:rFonts w:ascii="Calibri" w:hAnsi="Calibri"/>
          <w:sz w:val="20"/>
          <w:szCs w:val="20"/>
        </w:rPr>
        <w:footnoteReference w:id="7"/>
      </w:r>
      <w:r w:rsidRPr="000C6838">
        <w:rPr>
          <w:rFonts w:ascii="Calibri" w:hAnsi="Calibri"/>
          <w:sz w:val="20"/>
          <w:szCs w:val="20"/>
          <w:lang w:val="en-GB"/>
        </w:rPr>
        <w:t xml:space="preserve"> - on the basis of the criterion of the presence of restricted biome species, and as a Ramsar site (No 2366)</w:t>
      </w:r>
      <w:r w:rsidRPr="00FD2241">
        <w:rPr>
          <w:rStyle w:val="Appelnotedebasdep"/>
          <w:rFonts w:ascii="Calibri" w:hAnsi="Calibri"/>
          <w:sz w:val="20"/>
          <w:szCs w:val="20"/>
        </w:rPr>
        <w:footnoteReference w:id="8"/>
      </w:r>
      <w:r w:rsidRPr="000C6838">
        <w:rPr>
          <w:rFonts w:ascii="Calibri" w:hAnsi="Calibri"/>
          <w:sz w:val="20"/>
          <w:szCs w:val="20"/>
          <w:lang w:val="en-GB"/>
        </w:rPr>
        <w:t xml:space="preserve"> and work is underway to establish it as a Biosphere Reserve. It is a large ecological ensemble that is home to a great diversity of flora and fauna. It ensures the protection of the Nazinon River which is one of the three largest rivers in Burkina Faso. The site is very rich in wildlife. An important feature is the presence of the country's second largest elephant range (</w:t>
      </w:r>
      <w:r w:rsidRPr="000C6838">
        <w:rPr>
          <w:rFonts w:ascii="Calibri" w:hAnsi="Calibri"/>
          <w:i/>
          <w:sz w:val="20"/>
          <w:szCs w:val="20"/>
          <w:lang w:val="en-GB"/>
        </w:rPr>
        <w:t>Loxodonta africana</w:t>
      </w:r>
      <w:r w:rsidRPr="000C6838">
        <w:rPr>
          <w:rFonts w:ascii="Calibri" w:hAnsi="Calibri"/>
          <w:b/>
          <w:i/>
          <w:sz w:val="20"/>
          <w:szCs w:val="20"/>
          <w:lang w:val="en-GB"/>
        </w:rPr>
        <w:t xml:space="preserve"> </w:t>
      </w:r>
      <w:r w:rsidRPr="000C6838">
        <w:rPr>
          <w:rFonts w:ascii="Calibri" w:hAnsi="Calibri"/>
          <w:b/>
          <w:sz w:val="20"/>
          <w:szCs w:val="20"/>
          <w:lang w:val="en-GB"/>
        </w:rPr>
        <w:t>VU</w:t>
      </w:r>
      <w:r w:rsidRPr="000C6838">
        <w:rPr>
          <w:rFonts w:ascii="Calibri" w:hAnsi="Calibri"/>
          <w:sz w:val="20"/>
          <w:szCs w:val="20"/>
          <w:lang w:val="en-GB"/>
        </w:rPr>
        <w:t>), which is shared with a neighbouring country, Ghana. It is recognized as having the highest density of Cob defassa (</w:t>
      </w:r>
      <w:r w:rsidRPr="000C6838">
        <w:rPr>
          <w:rFonts w:ascii="Calibri" w:hAnsi="Calibri"/>
          <w:i/>
          <w:sz w:val="20"/>
          <w:szCs w:val="20"/>
          <w:lang w:val="en-GB"/>
        </w:rPr>
        <w:t>Kobus ellipsiprymnus ssp.</w:t>
      </w:r>
      <w:r w:rsidRPr="000C6838">
        <w:rPr>
          <w:rFonts w:ascii="Calibri" w:hAnsi="Calibri"/>
          <w:sz w:val="20"/>
          <w:szCs w:val="20"/>
          <w:lang w:val="en-GB"/>
        </w:rPr>
        <w:t xml:space="preserve"> </w:t>
      </w:r>
      <w:r w:rsidRPr="000C6838">
        <w:rPr>
          <w:rFonts w:ascii="Calibri" w:hAnsi="Calibri"/>
          <w:b/>
          <w:sz w:val="20"/>
          <w:szCs w:val="20"/>
          <w:lang w:val="en-GB"/>
        </w:rPr>
        <w:t>NT</w:t>
      </w:r>
      <w:r w:rsidRPr="000C6838">
        <w:rPr>
          <w:rFonts w:ascii="Calibri" w:hAnsi="Calibri"/>
          <w:sz w:val="20"/>
          <w:szCs w:val="20"/>
          <w:lang w:val="en-GB"/>
        </w:rPr>
        <w:t>) in West Africa. In addition to these species, the Complex is home to at least 39 species of mammals, including large savanna herbivores: buffalo, Antelopes, hartebeest, reedbuck, bushbuck, Grimm's duiker, red-flanked duiker, oribi, and warthog. More than ten (10) species of ungulates of great hunting and tourism value are found there. Large carnivores such as the lion and the panther have disappeared, but there are still small carnivores such as jackal, civet, genets, mongooses</w:t>
      </w:r>
      <w:r w:rsidRPr="00FD2241">
        <w:rPr>
          <w:rStyle w:val="Appelnotedebasdep"/>
          <w:rFonts w:ascii="Calibri" w:hAnsi="Calibri"/>
          <w:sz w:val="20"/>
          <w:szCs w:val="20"/>
        </w:rPr>
        <w:footnoteReference w:id="9"/>
      </w:r>
      <w:r w:rsidRPr="000C6838">
        <w:rPr>
          <w:rFonts w:ascii="Calibri" w:hAnsi="Calibri"/>
          <w:sz w:val="20"/>
          <w:szCs w:val="20"/>
          <w:lang w:val="en-GB"/>
        </w:rPr>
        <w:t xml:space="preserve"> as well as hyenas and primates such as red monkeys, baboons and grivets. In the PNKT, 122 bird species have been identified, while the total for Nazinga is 321 species, including 7 species of storks and 43 species of raptors. None of these species are endangered or endemic. On a global scale, it is an important reserve of the Afro-tropical domain located in the heart of West Africa. During the European winter, it is </w:t>
      </w:r>
      <w:r>
        <w:rPr>
          <w:rFonts w:ascii="Calibri" w:hAnsi="Calibri"/>
          <w:sz w:val="20"/>
          <w:szCs w:val="20"/>
          <w:lang w:val="en-GB"/>
        </w:rPr>
        <w:t xml:space="preserve">used as </w:t>
      </w:r>
      <w:r w:rsidRPr="000C6838">
        <w:rPr>
          <w:rFonts w:ascii="Calibri" w:hAnsi="Calibri"/>
          <w:sz w:val="20"/>
          <w:szCs w:val="20"/>
          <w:lang w:val="en-GB"/>
        </w:rPr>
        <w:t xml:space="preserve">a </w:t>
      </w:r>
      <w:r w:rsidRPr="00C31715">
        <w:rPr>
          <w:rFonts w:ascii="Calibri" w:hAnsi="Calibri"/>
          <w:sz w:val="20"/>
          <w:szCs w:val="20"/>
          <w:lang w:val="en-GB"/>
        </w:rPr>
        <w:t>stop</w:t>
      </w:r>
      <w:r w:rsidRPr="000C6838">
        <w:rPr>
          <w:rFonts w:ascii="Calibri" w:hAnsi="Calibri"/>
          <w:sz w:val="20"/>
          <w:szCs w:val="20"/>
          <w:lang w:val="en-GB"/>
        </w:rPr>
        <w:t xml:space="preserve"> in the migration circuit of some Western Palearctic migratory birds including </w:t>
      </w:r>
      <w:r w:rsidRPr="009667E6">
        <w:rPr>
          <w:rFonts w:ascii="Calibri" w:hAnsi="Calibri"/>
          <w:sz w:val="20"/>
          <w:szCs w:val="20"/>
          <w:lang w:val="en-GB"/>
        </w:rPr>
        <w:t>fully protected species such as storks.</w:t>
      </w:r>
    </w:p>
    <w:p w14:paraId="390D6998" w14:textId="48178A2E" w:rsidR="00302BFE" w:rsidRPr="009667E6"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GB"/>
        </w:rPr>
      </w:pPr>
      <w:r w:rsidRPr="009667E6">
        <w:rPr>
          <w:rFonts w:ascii="Calibri" w:hAnsi="Calibri"/>
          <w:sz w:val="20"/>
          <w:szCs w:val="20"/>
          <w:lang w:val="en-GB"/>
        </w:rPr>
        <w:t xml:space="preserve">The flora is relatively rich, consisting of 89 woody species in 62 genera and 37 families. It includes Combretaceae, Caesalpiniaceae, Rubiacea, Mimosaceae, Sapotaceae, Ebenaceae and other families. These renewable natural resources made up of Timber Forest Products and Non-Timber Forest Products (NTFP) play very important supply and economic functions for the population of the surrounding villages. </w:t>
      </w:r>
      <w:r w:rsidR="007F39C1" w:rsidRPr="009667E6">
        <w:rPr>
          <w:rFonts w:ascii="Calibri" w:hAnsi="Calibri"/>
          <w:sz w:val="20"/>
          <w:szCs w:val="20"/>
          <w:lang w:val="en-GB"/>
        </w:rPr>
        <w:t>Most of</w:t>
      </w:r>
      <w:r w:rsidRPr="009667E6">
        <w:rPr>
          <w:rFonts w:ascii="Calibri" w:hAnsi="Calibri"/>
          <w:sz w:val="20"/>
          <w:szCs w:val="20"/>
          <w:lang w:val="en-GB"/>
        </w:rPr>
        <w:t xml:space="preserve"> the supply of these natural resources is </w:t>
      </w:r>
      <w:r w:rsidR="007F39C1" w:rsidRPr="009667E6">
        <w:rPr>
          <w:rFonts w:ascii="Calibri" w:hAnsi="Calibri"/>
          <w:sz w:val="20"/>
          <w:szCs w:val="20"/>
          <w:lang w:val="en-GB"/>
        </w:rPr>
        <w:t>driven</w:t>
      </w:r>
      <w:r w:rsidRPr="009667E6">
        <w:rPr>
          <w:rFonts w:ascii="Calibri" w:hAnsi="Calibri"/>
          <w:sz w:val="20"/>
          <w:szCs w:val="20"/>
          <w:lang w:val="en-GB"/>
        </w:rPr>
        <w:t xml:space="preserve"> by energy needs including firewood.</w:t>
      </w:r>
      <w:r w:rsidRPr="009667E6">
        <w:rPr>
          <w:rStyle w:val="Appelnotedebasdep"/>
          <w:rFonts w:ascii="Calibri" w:hAnsi="Calibri"/>
          <w:sz w:val="20"/>
          <w:szCs w:val="20"/>
        </w:rPr>
        <w:t xml:space="preserve"> </w:t>
      </w:r>
      <w:r w:rsidRPr="009667E6">
        <w:rPr>
          <w:rStyle w:val="Appelnotedebasdep"/>
          <w:rFonts w:ascii="Calibri" w:hAnsi="Calibri"/>
          <w:sz w:val="20"/>
          <w:szCs w:val="20"/>
        </w:rPr>
        <w:footnoteReference w:id="10"/>
      </w:r>
      <w:r w:rsidRPr="009667E6">
        <w:rPr>
          <w:rFonts w:ascii="Calibri" w:hAnsi="Calibri"/>
          <w:sz w:val="20"/>
          <w:szCs w:val="20"/>
          <w:lang w:val="en-GB"/>
        </w:rPr>
        <w:t xml:space="preserve"> Eighteen (18) species recorded in the PONASI complex are considered as endangered, threatened and vulnerable, including vulnerable tree species such as </w:t>
      </w:r>
      <w:r w:rsidRPr="009667E6">
        <w:rPr>
          <w:rFonts w:ascii="Calibri" w:hAnsi="Calibri"/>
          <w:i/>
          <w:sz w:val="20"/>
          <w:szCs w:val="20"/>
          <w:lang w:val="en-GB"/>
        </w:rPr>
        <w:t xml:space="preserve">Afzelia africana </w:t>
      </w:r>
      <w:r w:rsidRPr="009667E6">
        <w:rPr>
          <w:rFonts w:ascii="Calibri" w:hAnsi="Calibri"/>
          <w:sz w:val="20"/>
          <w:szCs w:val="20"/>
          <w:lang w:val="en-GB"/>
        </w:rPr>
        <w:t>(</w:t>
      </w:r>
      <w:r w:rsidRPr="009667E6">
        <w:rPr>
          <w:rFonts w:ascii="Calibri" w:hAnsi="Calibri"/>
          <w:b/>
          <w:sz w:val="20"/>
          <w:szCs w:val="20"/>
          <w:lang w:val="en-GB"/>
        </w:rPr>
        <w:t>VU</w:t>
      </w:r>
      <w:r w:rsidRPr="009667E6">
        <w:rPr>
          <w:rFonts w:ascii="Calibri" w:hAnsi="Calibri"/>
          <w:sz w:val="20"/>
          <w:szCs w:val="20"/>
          <w:lang w:val="en-GB"/>
        </w:rPr>
        <w:t xml:space="preserve">) and </w:t>
      </w:r>
      <w:r w:rsidRPr="009667E6">
        <w:rPr>
          <w:rFonts w:ascii="Calibri" w:hAnsi="Calibri"/>
          <w:i/>
          <w:sz w:val="20"/>
          <w:szCs w:val="20"/>
          <w:lang w:val="en-GB"/>
        </w:rPr>
        <w:t xml:space="preserve">Vitellaria paradoxa </w:t>
      </w:r>
      <w:r w:rsidRPr="009667E6">
        <w:rPr>
          <w:rFonts w:ascii="Calibri" w:hAnsi="Calibri"/>
          <w:sz w:val="20"/>
          <w:szCs w:val="20"/>
          <w:lang w:val="en-GB"/>
        </w:rPr>
        <w:t>(</w:t>
      </w:r>
      <w:r w:rsidRPr="009667E6">
        <w:rPr>
          <w:rFonts w:ascii="Calibri" w:hAnsi="Calibri"/>
          <w:b/>
          <w:sz w:val="20"/>
          <w:szCs w:val="20"/>
          <w:lang w:val="en-GB"/>
        </w:rPr>
        <w:t>VU</w:t>
      </w:r>
      <w:r w:rsidRPr="009667E6">
        <w:rPr>
          <w:rFonts w:ascii="Calibri" w:hAnsi="Calibri"/>
          <w:sz w:val="20"/>
          <w:szCs w:val="20"/>
          <w:lang w:val="en-GB"/>
        </w:rPr>
        <w:t>).</w:t>
      </w:r>
    </w:p>
    <w:p w14:paraId="5298BBCB" w14:textId="72663978" w:rsidR="00302BFE" w:rsidRPr="009667E6"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GB"/>
        </w:rPr>
      </w:pPr>
      <w:r w:rsidRPr="009667E6">
        <w:rPr>
          <w:rFonts w:ascii="Calibri" w:hAnsi="Calibri"/>
          <w:sz w:val="20"/>
          <w:szCs w:val="20"/>
          <w:lang w:val="en-GB"/>
        </w:rPr>
        <w:t>The PONASI PA landscape is crossed by the Nazinon River and its tributaries Sissili, Dawevélé, and Nazinga. There are also 11 reservoirs in the Nazinga Game Ranch. The regime of these rivers is intermittent, the water flowing period being from July to October, with ponds remaining in the bed of these rivers for the rest of the year. The availability of surface water is a major factor in the survival of the ecosystem's wildlife in the dry season.</w:t>
      </w:r>
    </w:p>
    <w:p w14:paraId="486930D7" w14:textId="27107E2A" w:rsidR="00302BFE" w:rsidRPr="009667E6"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GB"/>
        </w:rPr>
      </w:pPr>
      <w:r w:rsidRPr="009667E6">
        <w:rPr>
          <w:rFonts w:ascii="Calibri" w:hAnsi="Calibri"/>
          <w:sz w:val="20"/>
          <w:szCs w:val="20"/>
          <w:lang w:val="en-GB"/>
        </w:rPr>
        <w:t>The PONASI PA landscape partially occupies the territories of nine (9) communes spread over three administrative regions, the East-Central, South-Central and West-central regions. The communes involved are those of Zabré, Zoaga, Guiaro, Po, Toécé, Doulougou, Biéha, Sapouy and Nobéré.</w:t>
      </w:r>
    </w:p>
    <w:p w14:paraId="068376A2" w14:textId="3A8FEB34" w:rsidR="00302BFE" w:rsidRPr="009667E6"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GB"/>
        </w:rPr>
      </w:pPr>
      <w:r w:rsidRPr="009667E6">
        <w:rPr>
          <w:rFonts w:ascii="Calibri" w:hAnsi="Calibri"/>
          <w:b/>
          <w:sz w:val="20"/>
          <w:szCs w:val="20"/>
          <w:lang w:val="en-GB"/>
        </w:rPr>
        <w:t xml:space="preserve"> Ecosystem services </w:t>
      </w:r>
      <w:r w:rsidRPr="009667E6">
        <w:rPr>
          <w:rFonts w:ascii="Calibri" w:hAnsi="Calibri"/>
          <w:sz w:val="20"/>
          <w:szCs w:val="20"/>
          <w:lang w:val="en-GB"/>
        </w:rPr>
        <w:t>The PONASI protected area complex, with its large forest area, helps to counter climate change through carbon sequestration and is a refuge for wildlife. The many ecosystem services it provides contribute to the fight against poverty and to strengthen the resilience of local communities to the adverse effects of climate change. The site is also a focal point for the preservation and dissemination of the genetic pool of fauna and flora for the restocking of related territories. The PONASI Complex is also home to many sites of importance for cultural traditions where people make ritual sacrifices, including the sacred groves in the Classified Forest / Hunting Area of Sissili, the</w:t>
      </w:r>
      <w:r w:rsidRPr="009667E6">
        <w:rPr>
          <w:rFonts w:ascii="Calibri" w:hAnsi="Calibri"/>
          <w:i/>
          <w:sz w:val="20"/>
          <w:szCs w:val="20"/>
          <w:lang w:val="en-GB"/>
        </w:rPr>
        <w:t xml:space="preserve"> </w:t>
      </w:r>
      <w:r w:rsidRPr="009667E6">
        <w:rPr>
          <w:rFonts w:ascii="Calibri" w:hAnsi="Calibri"/>
          <w:sz w:val="20"/>
          <w:szCs w:val="20"/>
          <w:lang w:val="en-GB"/>
        </w:rPr>
        <w:t>sacred hills and sacred waterholes in the Sissili and in the Nahouri.</w:t>
      </w:r>
    </w:p>
    <w:p w14:paraId="7C6AE61C" w14:textId="5DEE1FD4" w:rsidR="00302BFE" w:rsidRPr="009667E6"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GB"/>
        </w:rPr>
      </w:pPr>
      <w:r w:rsidRPr="009667E6">
        <w:rPr>
          <w:rFonts w:ascii="Calibri" w:hAnsi="Calibri"/>
          <w:b/>
          <w:sz w:val="20"/>
          <w:szCs w:val="20"/>
          <w:lang w:val="en-GB"/>
        </w:rPr>
        <w:t>Populations within the PONASI landscape.</w:t>
      </w:r>
      <w:r w:rsidRPr="009667E6">
        <w:rPr>
          <w:rFonts w:ascii="Calibri" w:hAnsi="Calibri"/>
          <w:sz w:val="20"/>
          <w:szCs w:val="20"/>
          <w:lang w:val="en-GB"/>
        </w:rPr>
        <w:t xml:space="preserve"> The project is expected to affect approximately 487,961 people (52.8% women and 47.2% men) including 30,885 direct beneficiaries (18,531 women and 12,354 men)</w:t>
      </w:r>
      <w:r w:rsidRPr="009667E6">
        <w:rPr>
          <w:rStyle w:val="Appelnotedebasdep"/>
          <w:szCs w:val="20"/>
          <w:lang w:val="en-GB"/>
        </w:rPr>
        <w:footnoteReference w:id="11"/>
      </w:r>
      <w:r w:rsidRPr="009667E6">
        <w:rPr>
          <w:rFonts w:ascii="Calibri" w:hAnsi="Calibri"/>
          <w:sz w:val="20"/>
          <w:szCs w:val="20"/>
          <w:lang w:val="en-GB"/>
        </w:rPr>
        <w:t>. The average household</w:t>
      </w:r>
      <w:r w:rsidRPr="009667E6">
        <w:rPr>
          <w:rStyle w:val="Appelnotedebasdep"/>
          <w:szCs w:val="20"/>
          <w:lang w:val="en-GB"/>
        </w:rPr>
        <w:footnoteReference w:id="12"/>
      </w:r>
      <w:r w:rsidRPr="009667E6">
        <w:rPr>
          <w:rFonts w:ascii="Calibri" w:hAnsi="Calibri"/>
          <w:sz w:val="20"/>
          <w:szCs w:val="20"/>
          <w:lang w:val="en-GB"/>
        </w:rPr>
        <w:t xml:space="preserve"> size in the pilot sites is 7 members. Further details are presented in Annex </w:t>
      </w:r>
      <w:r w:rsidR="009523FE" w:rsidRPr="009667E6">
        <w:rPr>
          <w:rFonts w:ascii="Calibri" w:hAnsi="Calibri"/>
          <w:sz w:val="20"/>
          <w:szCs w:val="20"/>
          <w:lang w:val="en-GB"/>
        </w:rPr>
        <w:t>I</w:t>
      </w:r>
      <w:r w:rsidRPr="009667E6">
        <w:rPr>
          <w:rFonts w:ascii="Calibri" w:hAnsi="Calibri"/>
          <w:sz w:val="20"/>
          <w:szCs w:val="20"/>
          <w:lang w:val="en-GB"/>
        </w:rPr>
        <w:t xml:space="preserve">. The ethnic composition of the populations of the nine communes of the PONASI landscape area is very diverse and results from past movements of populations attracted by favorable grazing conditions. It is </w:t>
      </w:r>
      <w:r w:rsidRPr="009667E6">
        <w:rPr>
          <w:rFonts w:ascii="Calibri" w:hAnsi="Calibri"/>
          <w:sz w:val="20"/>
          <w:szCs w:val="20"/>
          <w:lang w:val="en-GB"/>
        </w:rPr>
        <w:lastRenderedPageBreak/>
        <w:t xml:space="preserve">described in more detail in Annex </w:t>
      </w:r>
      <w:r w:rsidR="009523FE" w:rsidRPr="009667E6">
        <w:rPr>
          <w:rFonts w:ascii="Calibri" w:hAnsi="Calibri"/>
          <w:sz w:val="20"/>
          <w:szCs w:val="20"/>
          <w:lang w:val="en-GB"/>
        </w:rPr>
        <w:t>I</w:t>
      </w:r>
      <w:r w:rsidRPr="009667E6">
        <w:rPr>
          <w:rFonts w:ascii="Calibri" w:hAnsi="Calibri"/>
          <w:sz w:val="20"/>
          <w:szCs w:val="20"/>
          <w:lang w:val="en-GB"/>
        </w:rPr>
        <w:t xml:space="preserve">. </w:t>
      </w:r>
      <w:bookmarkStart w:id="6" w:name="_Hlk13566873"/>
      <w:r w:rsidRPr="009667E6">
        <w:rPr>
          <w:rFonts w:ascii="Calibri" w:hAnsi="Calibri"/>
          <w:sz w:val="20"/>
          <w:szCs w:val="20"/>
          <w:lang w:val="en-CA"/>
        </w:rPr>
        <w:t xml:space="preserve">The human population around the </w:t>
      </w:r>
      <w:r w:rsidR="00F03A01" w:rsidRPr="009667E6">
        <w:rPr>
          <w:rFonts w:ascii="Calibri" w:hAnsi="Calibri"/>
          <w:sz w:val="20"/>
          <w:szCs w:val="20"/>
          <w:lang w:val="en-CA"/>
        </w:rPr>
        <w:t>RGN</w:t>
      </w:r>
      <w:r w:rsidRPr="009667E6">
        <w:rPr>
          <w:rFonts w:ascii="Calibri" w:hAnsi="Calibri"/>
          <w:sz w:val="20"/>
          <w:szCs w:val="20"/>
          <w:lang w:val="en-CA"/>
        </w:rPr>
        <w:t xml:space="preserve"> increased by a factor of 4.5 in 30 years</w:t>
      </w:r>
      <w:r w:rsidRPr="009667E6">
        <w:rPr>
          <w:rStyle w:val="Appelnotedebasdep"/>
          <w:lang w:val="en-CA"/>
        </w:rPr>
        <w:footnoteReference w:id="13"/>
      </w:r>
      <w:r w:rsidRPr="009667E6">
        <w:rPr>
          <w:lang w:val="en-CA"/>
        </w:rPr>
        <w:t xml:space="preserve">. </w:t>
      </w:r>
      <w:bookmarkEnd w:id="6"/>
      <w:r w:rsidRPr="009667E6">
        <w:rPr>
          <w:rFonts w:ascii="Calibri" w:hAnsi="Calibri"/>
          <w:sz w:val="20"/>
          <w:szCs w:val="20"/>
          <w:lang w:val="en-GB"/>
        </w:rPr>
        <w:t>In general, human density in the PONASI landscape is increasing rapidly due to migration of Mossi and Fulani from the ecologically precarious regions of the central and northern parts of the country</w:t>
      </w:r>
      <w:r w:rsidRPr="009667E6">
        <w:rPr>
          <w:lang w:val="en-CA"/>
        </w:rPr>
        <w:t xml:space="preserve"> </w:t>
      </w:r>
      <w:r w:rsidRPr="009667E6">
        <w:rPr>
          <w:rFonts w:ascii="Calibri" w:hAnsi="Calibri"/>
          <w:sz w:val="20"/>
          <w:szCs w:val="20"/>
          <w:lang w:val="en-CA"/>
        </w:rPr>
        <w:t>with different traditions and local resources use practices</w:t>
      </w:r>
      <w:r w:rsidRPr="009667E6">
        <w:rPr>
          <w:rStyle w:val="Appelnotedebasdep"/>
          <w:rFonts w:ascii="Calibri" w:hAnsi="Calibri"/>
          <w:sz w:val="20"/>
          <w:szCs w:val="20"/>
          <w:lang w:val="en-CA"/>
        </w:rPr>
        <w:footnoteReference w:id="14"/>
      </w:r>
      <w:r w:rsidRPr="009667E6">
        <w:rPr>
          <w:rFonts w:ascii="Calibri" w:hAnsi="Calibri"/>
          <w:sz w:val="20"/>
          <w:szCs w:val="20"/>
          <w:lang w:val="en-GB"/>
        </w:rPr>
        <w:t>, and the massive return of Burkinabe from the diaspora in recent years</w:t>
      </w:r>
      <w:r w:rsidRPr="009667E6">
        <w:rPr>
          <w:rStyle w:val="Appelnotedebasdep"/>
          <w:rFonts w:ascii="Calibri" w:hAnsi="Calibri"/>
          <w:sz w:val="20"/>
          <w:szCs w:val="20"/>
        </w:rPr>
        <w:footnoteReference w:id="15"/>
      </w:r>
      <w:r w:rsidRPr="009667E6">
        <w:rPr>
          <w:rFonts w:ascii="Calibri" w:hAnsi="Calibri"/>
          <w:sz w:val="20"/>
          <w:szCs w:val="20"/>
          <w:lang w:val="en-GB"/>
        </w:rPr>
        <w:t>.</w:t>
      </w:r>
    </w:p>
    <w:p w14:paraId="2C0AC865" w14:textId="5CFE43FE" w:rsidR="00302BFE" w:rsidRPr="009667E6"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GB"/>
        </w:rPr>
      </w:pPr>
      <w:r w:rsidRPr="009667E6">
        <w:rPr>
          <w:rFonts w:ascii="Calibri" w:eastAsia="Times New Roman" w:hAnsi="Calibri"/>
          <w:i/>
          <w:iCs/>
          <w:color w:val="2F5496"/>
          <w:sz w:val="20"/>
          <w:szCs w:val="20"/>
          <w:lang w:val="en-GB"/>
        </w:rPr>
        <w:t>Standard of living of households</w:t>
      </w:r>
      <w:r w:rsidRPr="009667E6">
        <w:rPr>
          <w:rFonts w:ascii="Calibri" w:hAnsi="Calibri"/>
          <w:sz w:val="20"/>
          <w:szCs w:val="20"/>
          <w:lang w:val="en-GB"/>
        </w:rPr>
        <w:t>.</w:t>
      </w:r>
      <w:r w:rsidRPr="009667E6">
        <w:rPr>
          <w:rFonts w:ascii="Calibri" w:hAnsi="Calibri"/>
          <w:sz w:val="20"/>
          <w:szCs w:val="20"/>
          <w:shd w:val="clear" w:color="auto" w:fill="FFFFFF"/>
          <w:lang w:val="en-GB"/>
        </w:rPr>
        <w:t xml:space="preserve"> The prevalence of poverty in the project area as perceived by the population was estimated in a participatory manner based on defined criteria. Overall, people surveyed estimate that 61% of households are poor, 30% are moderately poor and 9% are rich. These estimates and the criteria defined by the persons consulted are further detailed in </w:t>
      </w:r>
      <w:r w:rsidRPr="009667E6">
        <w:rPr>
          <w:rFonts w:ascii="Calibri" w:hAnsi="Calibri"/>
          <w:sz w:val="20"/>
          <w:szCs w:val="20"/>
          <w:lang w:val="en-GB"/>
        </w:rPr>
        <w:t xml:space="preserve">Annex </w:t>
      </w:r>
      <w:r w:rsidR="009523FE" w:rsidRPr="009667E6">
        <w:rPr>
          <w:rFonts w:ascii="Calibri" w:hAnsi="Calibri"/>
          <w:sz w:val="20"/>
          <w:szCs w:val="20"/>
          <w:shd w:val="clear" w:color="auto" w:fill="FFFFFF"/>
          <w:lang w:val="en-GB"/>
        </w:rPr>
        <w:t>I</w:t>
      </w:r>
      <w:r w:rsidRPr="009667E6">
        <w:rPr>
          <w:rFonts w:ascii="Calibri" w:hAnsi="Calibri"/>
          <w:sz w:val="20"/>
          <w:szCs w:val="20"/>
          <w:shd w:val="clear" w:color="auto" w:fill="FFFFFF"/>
          <w:lang w:val="en-GB"/>
        </w:rPr>
        <w:t>. According to the main criteria defined by the populations, the possession of an agro-pastoral capital and the production capacity are decisive in the improvement of the standard of living of households. The situation of the poor is all the more critical as it is almost impossible for them to obtain credit because of their insolvency. To be able to get supplies of cereals (on the market), these people lend their labour for a (paid) daily work, most often in the fields of others</w:t>
      </w:r>
      <w:r w:rsidRPr="009667E6">
        <w:rPr>
          <w:rFonts w:ascii="Calibri" w:hAnsi="Calibri"/>
          <w:sz w:val="20"/>
          <w:szCs w:val="20"/>
          <w:lang w:val="en-GB"/>
        </w:rPr>
        <w:t>.</w:t>
      </w:r>
    </w:p>
    <w:p w14:paraId="3F2ABD5B" w14:textId="79C0C658" w:rsidR="00594C4E" w:rsidRPr="009667E6"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GB"/>
        </w:rPr>
      </w:pPr>
      <w:bookmarkStart w:id="7" w:name="_Hlk4405622"/>
      <w:bookmarkStart w:id="8" w:name="_Toc2166310"/>
      <w:r w:rsidRPr="009667E6">
        <w:rPr>
          <w:rFonts w:ascii="Calibri" w:eastAsia="Times New Roman" w:hAnsi="Calibri"/>
          <w:i/>
          <w:iCs/>
          <w:color w:val="2F5496"/>
          <w:sz w:val="20"/>
          <w:szCs w:val="20"/>
          <w:lang w:val="en-GB"/>
        </w:rPr>
        <w:t>Local communities’ livelihoods and socio-economic benefits related to PAs</w:t>
      </w:r>
      <w:r w:rsidRPr="009667E6">
        <w:rPr>
          <w:rFonts w:ascii="Calibri" w:hAnsi="Calibri"/>
          <w:sz w:val="20"/>
          <w:szCs w:val="20"/>
          <w:lang w:val="en-GB"/>
        </w:rPr>
        <w:t xml:space="preserve">. </w:t>
      </w:r>
      <w:r w:rsidR="004755DC" w:rsidRPr="009667E6">
        <w:rPr>
          <w:rFonts w:ascii="Calibri" w:hAnsi="Calibri"/>
          <w:sz w:val="20"/>
          <w:szCs w:val="20"/>
          <w:lang w:val="en-GB"/>
        </w:rPr>
        <w:t>The direct and indirect s</w:t>
      </w:r>
      <w:r w:rsidRPr="009667E6">
        <w:rPr>
          <w:rFonts w:ascii="Calibri" w:hAnsi="Calibri"/>
          <w:sz w:val="20"/>
          <w:szCs w:val="20"/>
          <w:lang w:val="en-GB"/>
        </w:rPr>
        <w:t xml:space="preserve">ocio-economic benefits </w:t>
      </w:r>
      <w:r w:rsidR="004755DC" w:rsidRPr="009667E6">
        <w:rPr>
          <w:rFonts w:ascii="Calibri" w:hAnsi="Calibri"/>
          <w:sz w:val="20"/>
          <w:szCs w:val="20"/>
          <w:lang w:val="en-GB"/>
        </w:rPr>
        <w:t>associated with</w:t>
      </w:r>
      <w:r w:rsidRPr="009667E6">
        <w:rPr>
          <w:rFonts w:ascii="Calibri" w:hAnsi="Calibri"/>
          <w:sz w:val="20"/>
          <w:szCs w:val="20"/>
          <w:lang w:val="en-GB"/>
        </w:rPr>
        <w:t xml:space="preserve"> </w:t>
      </w:r>
      <w:r w:rsidR="004755DC" w:rsidRPr="009667E6">
        <w:rPr>
          <w:rFonts w:ascii="Calibri" w:hAnsi="Calibri"/>
          <w:sz w:val="20"/>
          <w:szCs w:val="20"/>
          <w:lang w:val="en-GB"/>
        </w:rPr>
        <w:t>the PONASI PA</w:t>
      </w:r>
      <w:r w:rsidRPr="009667E6">
        <w:rPr>
          <w:rFonts w:ascii="Calibri" w:hAnsi="Calibri"/>
          <w:sz w:val="20"/>
          <w:szCs w:val="20"/>
          <w:lang w:val="en-GB"/>
        </w:rPr>
        <w:t>s</w:t>
      </w:r>
      <w:r w:rsidRPr="009667E6">
        <w:rPr>
          <w:rStyle w:val="Appelnotedebasdep"/>
          <w:rFonts w:ascii="Calibri" w:hAnsi="Calibri"/>
          <w:sz w:val="20"/>
          <w:szCs w:val="20"/>
        </w:rPr>
        <w:t xml:space="preserve"> </w:t>
      </w:r>
      <w:r w:rsidRPr="009667E6">
        <w:rPr>
          <w:rStyle w:val="Appelnotedebasdep"/>
          <w:rFonts w:ascii="Calibri" w:hAnsi="Calibri"/>
          <w:sz w:val="20"/>
          <w:szCs w:val="20"/>
        </w:rPr>
        <w:footnoteReference w:id="16"/>
      </w:r>
      <w:r w:rsidRPr="009667E6">
        <w:rPr>
          <w:rFonts w:ascii="Calibri" w:hAnsi="Calibri"/>
          <w:sz w:val="20"/>
          <w:szCs w:val="20"/>
          <w:lang w:val="en-GB"/>
        </w:rPr>
        <w:t xml:space="preserve"> </w:t>
      </w:r>
      <w:bookmarkEnd w:id="7"/>
      <w:r w:rsidR="004755DC" w:rsidRPr="009667E6">
        <w:rPr>
          <w:rFonts w:ascii="Calibri" w:hAnsi="Calibri"/>
          <w:sz w:val="20"/>
          <w:szCs w:val="20"/>
          <w:lang w:val="en-GB"/>
        </w:rPr>
        <w:t xml:space="preserve">encompass </w:t>
      </w:r>
      <w:r w:rsidRPr="009667E6">
        <w:rPr>
          <w:rFonts w:ascii="Calibri" w:hAnsi="Calibri"/>
          <w:sz w:val="20"/>
          <w:szCs w:val="20"/>
          <w:lang w:val="en-GB"/>
        </w:rPr>
        <w:t>t</w:t>
      </w:r>
      <w:r w:rsidR="004755DC" w:rsidRPr="009667E6">
        <w:rPr>
          <w:rFonts w:ascii="Calibri" w:hAnsi="Calibri"/>
          <w:sz w:val="20"/>
          <w:szCs w:val="20"/>
          <w:lang w:val="en-GB"/>
        </w:rPr>
        <w:t>he</w:t>
      </w:r>
      <w:r w:rsidRPr="009667E6">
        <w:rPr>
          <w:rFonts w:ascii="Calibri" w:hAnsi="Calibri"/>
          <w:sz w:val="20"/>
          <w:szCs w:val="20"/>
          <w:lang w:val="en-GB"/>
        </w:rPr>
        <w:t xml:space="preserve"> livelihoods based on natural resource use</w:t>
      </w:r>
      <w:r w:rsidR="004755DC" w:rsidRPr="009667E6">
        <w:rPr>
          <w:rFonts w:ascii="Calibri" w:hAnsi="Calibri"/>
          <w:sz w:val="20"/>
          <w:szCs w:val="20"/>
          <w:lang w:val="en-GB"/>
        </w:rPr>
        <w:t>s across the landscape</w:t>
      </w:r>
      <w:r w:rsidRPr="009667E6">
        <w:rPr>
          <w:rFonts w:ascii="Calibri" w:hAnsi="Calibri"/>
          <w:sz w:val="20"/>
          <w:szCs w:val="20"/>
          <w:lang w:val="en-GB"/>
        </w:rPr>
        <w:t xml:space="preserve">, direct and indirect jobs created in </w:t>
      </w:r>
      <w:r w:rsidR="004755DC" w:rsidRPr="009667E6">
        <w:rPr>
          <w:rFonts w:ascii="Calibri" w:hAnsi="Calibri"/>
          <w:sz w:val="20"/>
          <w:szCs w:val="20"/>
          <w:lang w:val="en-GB"/>
        </w:rPr>
        <w:t xml:space="preserve">and around </w:t>
      </w:r>
      <w:r w:rsidRPr="009667E6">
        <w:rPr>
          <w:rFonts w:ascii="Calibri" w:hAnsi="Calibri"/>
          <w:sz w:val="20"/>
          <w:szCs w:val="20"/>
          <w:lang w:val="en-GB"/>
        </w:rPr>
        <w:t>protected areas, as well as improvement of farming and breeding activities conducted by neighbouring communities</w:t>
      </w:r>
      <w:r w:rsidR="00594C4E" w:rsidRPr="009667E6">
        <w:rPr>
          <w:rFonts w:ascii="Calibri" w:hAnsi="Calibri"/>
          <w:sz w:val="20"/>
          <w:szCs w:val="20"/>
          <w:lang w:val="en-GB"/>
        </w:rPr>
        <w:t xml:space="preserve"> due to more favorable environmental conditions in the vicinity of PAs</w:t>
      </w:r>
      <w:r w:rsidRPr="009667E6">
        <w:rPr>
          <w:rFonts w:ascii="Calibri" w:hAnsi="Calibri"/>
          <w:sz w:val="20"/>
          <w:szCs w:val="20"/>
          <w:lang w:val="en-GB"/>
        </w:rPr>
        <w:t xml:space="preserve">. </w:t>
      </w:r>
      <w:r w:rsidR="00C80F75" w:rsidRPr="009667E6">
        <w:rPr>
          <w:rFonts w:ascii="Calibri" w:hAnsi="Calibri"/>
          <w:sz w:val="20"/>
          <w:szCs w:val="20"/>
          <w:lang w:val="en-GB"/>
        </w:rPr>
        <w:t xml:space="preserve">Socio-economic benefits are presented in detail in Annex I. </w:t>
      </w:r>
      <w:r w:rsidR="004755DC" w:rsidRPr="009667E6">
        <w:rPr>
          <w:rFonts w:ascii="Calibri" w:hAnsi="Calibri"/>
          <w:sz w:val="20"/>
          <w:szCs w:val="20"/>
          <w:lang w:val="en-GB"/>
        </w:rPr>
        <w:t xml:space="preserve">Such livelihoods consist mainly of activities in the primary sector, namely agriculture which employs about 95% of the active population in the PONASI landscape, livestock, hunting, fishing, handicrafts, firewood and charcoal, harvesting of NTFPs and fodder, beekeeping, gravel mining and gold panning. </w:t>
      </w:r>
    </w:p>
    <w:p w14:paraId="59607A4A" w14:textId="57D9B2C9" w:rsidR="00302BFE" w:rsidRPr="009667E6" w:rsidRDefault="00C80F75" w:rsidP="00C46720">
      <w:pPr>
        <w:pStyle w:val="Paragraphedeliste"/>
        <w:numPr>
          <w:ilvl w:val="0"/>
          <w:numId w:val="32"/>
        </w:numPr>
        <w:tabs>
          <w:tab w:val="left" w:pos="284"/>
        </w:tabs>
        <w:spacing w:before="120" w:after="120"/>
        <w:ind w:left="0" w:firstLine="0"/>
        <w:jc w:val="both"/>
        <w:rPr>
          <w:rFonts w:ascii="Calibri" w:hAnsi="Calibri"/>
          <w:sz w:val="20"/>
          <w:szCs w:val="20"/>
          <w:lang w:val="en-GB"/>
        </w:rPr>
      </w:pPr>
      <w:r w:rsidRPr="009667E6">
        <w:rPr>
          <w:rFonts w:ascii="Calibri" w:hAnsi="Calibri"/>
          <w:sz w:val="20"/>
          <w:szCs w:val="20"/>
          <w:lang w:val="en-GB"/>
        </w:rPr>
        <w:t>Local communities’ benefits directly related to protected areas include (i) harvesting timber and non-timber forest products, including</w:t>
      </w:r>
      <w:r w:rsidR="00E45E6D" w:rsidRPr="009667E6">
        <w:rPr>
          <w:rFonts w:ascii="Calibri" w:hAnsi="Calibri"/>
          <w:sz w:val="20"/>
          <w:szCs w:val="20"/>
          <w:lang w:val="en-GB"/>
        </w:rPr>
        <w:t xml:space="preserve"> </w:t>
      </w:r>
      <w:r w:rsidRPr="009667E6">
        <w:rPr>
          <w:rFonts w:ascii="Calibri" w:hAnsi="Calibri"/>
          <w:sz w:val="20"/>
          <w:szCs w:val="20"/>
          <w:lang w:val="en-GB"/>
        </w:rPr>
        <w:t>hunting products</w:t>
      </w:r>
      <w:r w:rsidR="00E45E6D" w:rsidRPr="009667E6">
        <w:rPr>
          <w:rFonts w:ascii="Calibri" w:hAnsi="Calibri"/>
          <w:sz w:val="20"/>
          <w:szCs w:val="20"/>
          <w:lang w:val="en-GB"/>
        </w:rPr>
        <w:t xml:space="preserve"> </w:t>
      </w:r>
      <w:r w:rsidR="00CE07B1" w:rsidRPr="009667E6">
        <w:rPr>
          <w:rFonts w:ascii="Calibri" w:hAnsi="Calibri"/>
          <w:sz w:val="20"/>
          <w:szCs w:val="20"/>
          <w:lang w:val="en-GB"/>
        </w:rPr>
        <w:t>(</w:t>
      </w:r>
      <w:r w:rsidR="00E45E6D" w:rsidRPr="009667E6">
        <w:rPr>
          <w:rFonts w:ascii="Calibri" w:hAnsi="Calibri"/>
          <w:sz w:val="20"/>
          <w:szCs w:val="20"/>
          <w:lang w:val="en-GB"/>
        </w:rPr>
        <w:t xml:space="preserve">where hunting is </w:t>
      </w:r>
      <w:r w:rsidR="00D80570" w:rsidRPr="009667E6">
        <w:rPr>
          <w:rFonts w:ascii="Calibri" w:hAnsi="Calibri"/>
          <w:sz w:val="20"/>
          <w:szCs w:val="20"/>
          <w:lang w:val="en-GB"/>
        </w:rPr>
        <w:t>permitted</w:t>
      </w:r>
      <w:r w:rsidR="00CE07B1" w:rsidRPr="009667E6">
        <w:rPr>
          <w:rFonts w:ascii="Calibri" w:hAnsi="Calibri"/>
          <w:sz w:val="20"/>
          <w:szCs w:val="20"/>
          <w:lang w:val="en-GB"/>
        </w:rPr>
        <w:t>)</w:t>
      </w:r>
      <w:r w:rsidRPr="009667E6">
        <w:rPr>
          <w:rFonts w:ascii="Calibri" w:hAnsi="Calibri"/>
          <w:sz w:val="20"/>
          <w:szCs w:val="20"/>
          <w:lang w:val="en-GB"/>
        </w:rPr>
        <w:t xml:space="preserve">, (ii) jobs and side benefits related to hunting and vision tourism, and (iii) direct employment for the development and management of protected areas. </w:t>
      </w:r>
      <w:r w:rsidR="00302BFE" w:rsidRPr="009667E6">
        <w:rPr>
          <w:rFonts w:ascii="Calibri" w:hAnsi="Calibri"/>
          <w:sz w:val="20"/>
          <w:szCs w:val="20"/>
          <w:lang w:val="en-GB"/>
        </w:rPr>
        <w:t xml:space="preserve">Jobs created for </w:t>
      </w:r>
      <w:r w:rsidRPr="009667E6">
        <w:rPr>
          <w:rFonts w:ascii="Calibri" w:hAnsi="Calibri"/>
          <w:sz w:val="20"/>
          <w:szCs w:val="20"/>
          <w:lang w:val="en-GB"/>
        </w:rPr>
        <w:t>PA</w:t>
      </w:r>
      <w:r w:rsidR="00302BFE" w:rsidRPr="009667E6">
        <w:rPr>
          <w:rFonts w:ascii="Calibri" w:hAnsi="Calibri"/>
          <w:sz w:val="20"/>
          <w:szCs w:val="20"/>
          <w:lang w:val="en-GB"/>
        </w:rPr>
        <w:t xml:space="preserve"> development and management can generate substantial revenues for local communities. In three years (from 2010 to 2012), the development works carried out under the PAPSA project in the PONASI </w:t>
      </w:r>
      <w:r w:rsidR="00D94275" w:rsidRPr="009667E6">
        <w:rPr>
          <w:rFonts w:ascii="Calibri" w:hAnsi="Calibri"/>
          <w:sz w:val="20"/>
          <w:szCs w:val="20"/>
          <w:lang w:val="en-GB"/>
        </w:rPr>
        <w:t xml:space="preserve">PAs </w:t>
      </w:r>
      <w:r w:rsidR="00302BFE" w:rsidRPr="009667E6">
        <w:rPr>
          <w:rFonts w:ascii="Calibri" w:hAnsi="Calibri"/>
          <w:sz w:val="20"/>
          <w:szCs w:val="20"/>
          <w:lang w:val="en-GB"/>
        </w:rPr>
        <w:t xml:space="preserve">generated approximately US$ 76,500 (45 million </w:t>
      </w:r>
      <w:r w:rsidR="005E13EB" w:rsidRPr="009667E6">
        <w:rPr>
          <w:rFonts w:ascii="Calibri" w:hAnsi="Calibri"/>
          <w:sz w:val="20"/>
          <w:szCs w:val="20"/>
          <w:lang w:val="en-GB"/>
        </w:rPr>
        <w:t>CFA francs</w:t>
      </w:r>
      <w:r w:rsidR="00302BFE" w:rsidRPr="009667E6">
        <w:rPr>
          <w:rFonts w:ascii="Calibri" w:hAnsi="Calibri"/>
          <w:sz w:val="20"/>
          <w:szCs w:val="20"/>
          <w:lang w:val="en-GB"/>
        </w:rPr>
        <w:t xml:space="preserve">) for the local populations. Yet, such revenues totally depend on the availability of external funding. </w:t>
      </w:r>
    </w:p>
    <w:p w14:paraId="601A22B3" w14:textId="49A0BFF3" w:rsidR="00C56C62" w:rsidRPr="009667E6" w:rsidRDefault="00F3095F" w:rsidP="00C46720">
      <w:pPr>
        <w:pStyle w:val="Paragraphedeliste"/>
        <w:numPr>
          <w:ilvl w:val="0"/>
          <w:numId w:val="32"/>
        </w:numPr>
        <w:tabs>
          <w:tab w:val="left" w:pos="284"/>
        </w:tabs>
        <w:spacing w:before="120" w:after="120"/>
        <w:ind w:left="0" w:firstLine="0"/>
        <w:jc w:val="both"/>
        <w:rPr>
          <w:rFonts w:ascii="Calibri" w:hAnsi="Calibri"/>
          <w:sz w:val="20"/>
          <w:szCs w:val="20"/>
          <w:lang w:val="en-GB"/>
        </w:rPr>
      </w:pPr>
      <w:r w:rsidRPr="009667E6">
        <w:rPr>
          <w:rFonts w:ascii="Calibri" w:hAnsi="Calibri"/>
          <w:sz w:val="20"/>
          <w:szCs w:val="20"/>
          <w:lang w:val="en-CA"/>
        </w:rPr>
        <w:t>Protected areas help maintain the pool of wild animal populations hunted by local communities in adjacent terroirs.</w:t>
      </w:r>
      <w:r w:rsidR="00BC6003" w:rsidRPr="009667E6">
        <w:rPr>
          <w:rFonts w:ascii="Calibri" w:hAnsi="Calibri"/>
          <w:sz w:val="20"/>
          <w:szCs w:val="20"/>
          <w:lang w:val="en-CA"/>
        </w:rPr>
        <w:t xml:space="preserve"> </w:t>
      </w:r>
      <w:r w:rsidR="00CE07B1" w:rsidRPr="009667E6">
        <w:rPr>
          <w:rFonts w:ascii="Calibri" w:hAnsi="Calibri"/>
          <w:sz w:val="20"/>
          <w:szCs w:val="20"/>
          <w:lang w:val="en-CA"/>
        </w:rPr>
        <w:t xml:space="preserve">Local communities </w:t>
      </w:r>
      <w:r w:rsidR="00101930" w:rsidRPr="009667E6">
        <w:rPr>
          <w:rFonts w:ascii="Calibri" w:hAnsi="Calibri"/>
          <w:sz w:val="20"/>
          <w:szCs w:val="20"/>
          <w:lang w:val="en-CA"/>
        </w:rPr>
        <w:t>traditionally</w:t>
      </w:r>
      <w:r w:rsidR="00BC6003" w:rsidRPr="009667E6">
        <w:rPr>
          <w:rFonts w:ascii="Calibri" w:hAnsi="Calibri"/>
          <w:sz w:val="20"/>
          <w:szCs w:val="20"/>
          <w:lang w:val="en-CA"/>
        </w:rPr>
        <w:t xml:space="preserve"> </w:t>
      </w:r>
      <w:r w:rsidR="00101930" w:rsidRPr="009667E6">
        <w:rPr>
          <w:rFonts w:ascii="Calibri" w:hAnsi="Calibri"/>
          <w:sz w:val="20"/>
          <w:szCs w:val="20"/>
          <w:lang w:val="en-CA"/>
        </w:rPr>
        <w:t xml:space="preserve">hunt for </w:t>
      </w:r>
      <w:r w:rsidR="00BC6003" w:rsidRPr="009667E6">
        <w:rPr>
          <w:rFonts w:ascii="Calibri" w:hAnsi="Calibri"/>
          <w:sz w:val="20"/>
          <w:szCs w:val="20"/>
          <w:lang w:val="en-CA"/>
        </w:rPr>
        <w:t xml:space="preserve">subsistence within their village </w:t>
      </w:r>
      <w:r w:rsidRPr="009667E6">
        <w:rPr>
          <w:rFonts w:ascii="Calibri" w:hAnsi="Calibri"/>
          <w:sz w:val="20"/>
          <w:szCs w:val="20"/>
          <w:lang w:val="en-CA"/>
        </w:rPr>
        <w:t>terroir</w:t>
      </w:r>
      <w:r w:rsidR="00BC6003" w:rsidRPr="009667E6">
        <w:rPr>
          <w:rFonts w:ascii="Calibri" w:hAnsi="Calibri"/>
          <w:sz w:val="20"/>
          <w:szCs w:val="20"/>
          <w:lang w:val="en-CA"/>
        </w:rPr>
        <w:t xml:space="preserve"> to meet their individual and family needs but </w:t>
      </w:r>
      <w:r w:rsidR="00BC6003" w:rsidRPr="009667E6">
        <w:rPr>
          <w:rFonts w:ascii="Calibri" w:hAnsi="Calibri"/>
          <w:sz w:val="20"/>
          <w:szCs w:val="20"/>
          <w:lang w:val="en-GB"/>
        </w:rPr>
        <w:t xml:space="preserve">cannot </w:t>
      </w:r>
      <w:r w:rsidR="00CE07B1" w:rsidRPr="009667E6">
        <w:rPr>
          <w:rFonts w:ascii="Calibri" w:hAnsi="Calibri"/>
          <w:sz w:val="20"/>
          <w:szCs w:val="20"/>
          <w:lang w:val="en-GB"/>
        </w:rPr>
        <w:t>hunt</w:t>
      </w:r>
      <w:r w:rsidR="00BC6003" w:rsidRPr="009667E6">
        <w:rPr>
          <w:rFonts w:ascii="Calibri" w:hAnsi="Calibri"/>
          <w:sz w:val="20"/>
          <w:szCs w:val="20"/>
          <w:lang w:val="en-GB"/>
        </w:rPr>
        <w:t xml:space="preserve"> </w:t>
      </w:r>
      <w:r w:rsidR="00CE07B1" w:rsidRPr="009667E6">
        <w:rPr>
          <w:rFonts w:ascii="Calibri" w:hAnsi="Calibri"/>
          <w:sz w:val="20"/>
          <w:szCs w:val="20"/>
          <w:lang w:val="en-GB"/>
        </w:rPr>
        <w:t xml:space="preserve">in areas </w:t>
      </w:r>
      <w:r w:rsidR="00736B79" w:rsidRPr="009667E6">
        <w:rPr>
          <w:rFonts w:ascii="Calibri" w:hAnsi="Calibri"/>
          <w:sz w:val="20"/>
          <w:szCs w:val="20"/>
          <w:lang w:val="en-GB"/>
        </w:rPr>
        <w:t>conce</w:t>
      </w:r>
      <w:r w:rsidR="00CE07B1" w:rsidRPr="009667E6">
        <w:rPr>
          <w:rFonts w:ascii="Calibri" w:hAnsi="Calibri"/>
          <w:sz w:val="20"/>
          <w:szCs w:val="20"/>
          <w:lang w:val="en-GB"/>
        </w:rPr>
        <w:t>ded</w:t>
      </w:r>
      <w:r w:rsidR="00BC6003" w:rsidRPr="009667E6">
        <w:rPr>
          <w:rFonts w:ascii="Calibri" w:hAnsi="Calibri"/>
          <w:sz w:val="20"/>
          <w:szCs w:val="20"/>
          <w:lang w:val="en-GB"/>
        </w:rPr>
        <w:t xml:space="preserve"> for sport </w:t>
      </w:r>
      <w:r w:rsidR="00CE07B1" w:rsidRPr="009667E6">
        <w:rPr>
          <w:rFonts w:ascii="Calibri" w:hAnsi="Calibri"/>
          <w:sz w:val="20"/>
          <w:szCs w:val="20"/>
          <w:lang w:val="en-GB"/>
        </w:rPr>
        <w:t xml:space="preserve">or tourism </w:t>
      </w:r>
      <w:r w:rsidR="00BC6003" w:rsidRPr="009667E6">
        <w:rPr>
          <w:rFonts w:ascii="Calibri" w:hAnsi="Calibri"/>
          <w:sz w:val="20"/>
          <w:szCs w:val="20"/>
          <w:lang w:val="en-GB"/>
        </w:rPr>
        <w:t>hunting</w:t>
      </w:r>
      <w:r w:rsidR="00CE07B1" w:rsidRPr="009667E6">
        <w:rPr>
          <w:rFonts w:ascii="Calibri" w:hAnsi="Calibri"/>
          <w:sz w:val="20"/>
          <w:szCs w:val="20"/>
          <w:lang w:val="en-GB"/>
        </w:rPr>
        <w:t xml:space="preserve"> only </w:t>
      </w:r>
      <w:r w:rsidR="00101930" w:rsidRPr="009667E6">
        <w:rPr>
          <w:rFonts w:ascii="Calibri" w:hAnsi="Calibri"/>
          <w:sz w:val="20"/>
          <w:szCs w:val="20"/>
          <w:lang w:val="en-GB"/>
        </w:rPr>
        <w:t xml:space="preserve">accessible to </w:t>
      </w:r>
      <w:r w:rsidR="00CE07B1" w:rsidRPr="009667E6">
        <w:rPr>
          <w:rFonts w:ascii="Calibri" w:hAnsi="Calibri"/>
          <w:sz w:val="20"/>
          <w:szCs w:val="20"/>
          <w:lang w:val="en-GB"/>
        </w:rPr>
        <w:t>license holders</w:t>
      </w:r>
      <w:r w:rsidR="00BC6003" w:rsidRPr="009667E6">
        <w:rPr>
          <w:rFonts w:ascii="Calibri" w:hAnsi="Calibri"/>
          <w:sz w:val="20"/>
          <w:szCs w:val="20"/>
          <w:lang w:val="en-GB"/>
        </w:rPr>
        <w:t xml:space="preserve">. </w:t>
      </w:r>
      <w:r w:rsidR="00C56C62" w:rsidRPr="009667E6">
        <w:rPr>
          <w:rFonts w:ascii="Calibri" w:hAnsi="Calibri"/>
          <w:sz w:val="20"/>
          <w:szCs w:val="20"/>
          <w:lang w:val="en-GB"/>
        </w:rPr>
        <w:t xml:space="preserve">In the concessions, hunters are required to be accompanied by a guide, a tracker and a </w:t>
      </w:r>
      <w:r w:rsidR="00101930" w:rsidRPr="009667E6">
        <w:rPr>
          <w:rFonts w:ascii="Calibri" w:hAnsi="Calibri"/>
          <w:sz w:val="20"/>
          <w:szCs w:val="20"/>
          <w:lang w:val="en-GB"/>
        </w:rPr>
        <w:t>porter</w:t>
      </w:r>
      <w:r w:rsidR="00C56C62" w:rsidRPr="009667E6">
        <w:rPr>
          <w:rFonts w:ascii="Calibri" w:hAnsi="Calibri"/>
          <w:sz w:val="20"/>
          <w:szCs w:val="20"/>
          <w:lang w:val="en-GB"/>
        </w:rPr>
        <w:t xml:space="preserve">, and in village terroirs or village hunting areas (ZOVICs), hunters must hire the services of a tracker recruited from the village wildlife management committee (CVGF), </w:t>
      </w:r>
      <w:r w:rsidR="00DE3E2F" w:rsidRPr="009667E6">
        <w:rPr>
          <w:rFonts w:ascii="Calibri" w:hAnsi="Calibri"/>
          <w:sz w:val="20"/>
          <w:szCs w:val="20"/>
          <w:lang w:val="en-GB"/>
        </w:rPr>
        <w:t>thus</w:t>
      </w:r>
      <w:r w:rsidR="00C56C62" w:rsidRPr="009667E6">
        <w:rPr>
          <w:rFonts w:ascii="Calibri" w:hAnsi="Calibri"/>
          <w:sz w:val="20"/>
          <w:szCs w:val="20"/>
          <w:lang w:val="en-GB"/>
        </w:rPr>
        <w:t xml:space="preserve"> provid</w:t>
      </w:r>
      <w:r w:rsidR="00DE3E2F" w:rsidRPr="009667E6">
        <w:rPr>
          <w:rFonts w:ascii="Calibri" w:hAnsi="Calibri"/>
          <w:sz w:val="20"/>
          <w:szCs w:val="20"/>
          <w:lang w:val="en-GB"/>
        </w:rPr>
        <w:t>ing</w:t>
      </w:r>
      <w:r w:rsidR="00C56C62" w:rsidRPr="009667E6">
        <w:rPr>
          <w:rFonts w:ascii="Calibri" w:hAnsi="Calibri"/>
          <w:sz w:val="20"/>
          <w:szCs w:val="20"/>
          <w:lang w:val="en-GB"/>
        </w:rPr>
        <w:t xml:space="preserve"> jobs for local communities.</w:t>
      </w:r>
    </w:p>
    <w:p w14:paraId="10F2D37D" w14:textId="6949333B" w:rsidR="00DE3E2F" w:rsidRPr="009667E6" w:rsidRDefault="00DE1281" w:rsidP="00C46720">
      <w:pPr>
        <w:pStyle w:val="Paragraphedeliste"/>
        <w:numPr>
          <w:ilvl w:val="0"/>
          <w:numId w:val="32"/>
        </w:numPr>
        <w:tabs>
          <w:tab w:val="left" w:pos="284"/>
        </w:tabs>
        <w:spacing w:before="120" w:after="120"/>
        <w:ind w:left="0" w:firstLine="0"/>
        <w:jc w:val="both"/>
        <w:rPr>
          <w:rFonts w:asciiTheme="minorHAnsi" w:hAnsiTheme="minorHAnsi"/>
          <w:sz w:val="20"/>
          <w:szCs w:val="20"/>
          <w:lang w:val="en-GB"/>
        </w:rPr>
      </w:pPr>
      <w:r w:rsidRPr="009667E6">
        <w:rPr>
          <w:rFonts w:asciiTheme="minorHAnsi" w:hAnsiTheme="minorHAnsi"/>
          <w:sz w:val="20"/>
          <w:szCs w:val="20"/>
          <w:lang w:val="en-GB"/>
        </w:rPr>
        <w:t>B</w:t>
      </w:r>
      <w:r w:rsidR="00013DAF" w:rsidRPr="009667E6">
        <w:rPr>
          <w:rFonts w:asciiTheme="minorHAnsi" w:hAnsiTheme="minorHAnsi"/>
          <w:sz w:val="20"/>
          <w:szCs w:val="20"/>
          <w:lang w:val="en-GB"/>
        </w:rPr>
        <w:t>esides, B</w:t>
      </w:r>
      <w:r w:rsidRPr="009667E6">
        <w:rPr>
          <w:rFonts w:asciiTheme="minorHAnsi" w:hAnsiTheme="minorHAnsi"/>
          <w:sz w:val="20"/>
          <w:szCs w:val="20"/>
          <w:lang w:val="en-GB"/>
        </w:rPr>
        <w:t xml:space="preserve">urkina Faso’ </w:t>
      </w:r>
      <w:r w:rsidR="009B79A7" w:rsidRPr="009667E6">
        <w:rPr>
          <w:rFonts w:asciiTheme="minorHAnsi" w:hAnsiTheme="minorHAnsi"/>
          <w:sz w:val="20"/>
          <w:szCs w:val="20"/>
          <w:lang w:val="en-GB"/>
        </w:rPr>
        <w:t>legislation</w:t>
      </w:r>
      <w:r w:rsidR="00AA5DF5" w:rsidRPr="009667E6">
        <w:rPr>
          <w:rFonts w:asciiTheme="minorHAnsi" w:hAnsiTheme="minorHAnsi"/>
          <w:sz w:val="20"/>
          <w:szCs w:val="20"/>
          <w:lang w:val="en-GB"/>
        </w:rPr>
        <w:t xml:space="preserve"> </w:t>
      </w:r>
      <w:r w:rsidR="006C184F" w:rsidRPr="009667E6">
        <w:rPr>
          <w:rFonts w:asciiTheme="minorHAnsi" w:hAnsiTheme="minorHAnsi"/>
          <w:sz w:val="20"/>
          <w:szCs w:val="20"/>
          <w:lang w:val="en-GB"/>
        </w:rPr>
        <w:t>enables</w:t>
      </w:r>
      <w:r w:rsidRPr="009667E6">
        <w:rPr>
          <w:rFonts w:asciiTheme="minorHAnsi" w:hAnsiTheme="minorHAnsi"/>
          <w:sz w:val="20"/>
          <w:szCs w:val="20"/>
          <w:lang w:val="en-GB"/>
        </w:rPr>
        <w:t xml:space="preserve"> </w:t>
      </w:r>
      <w:r w:rsidR="00CA3DC9" w:rsidRPr="009667E6">
        <w:rPr>
          <w:rFonts w:asciiTheme="minorHAnsi" w:hAnsiTheme="minorHAnsi"/>
          <w:sz w:val="20"/>
          <w:szCs w:val="20"/>
          <w:lang w:val="en-GB"/>
        </w:rPr>
        <w:t xml:space="preserve">local </w:t>
      </w:r>
      <w:r w:rsidRPr="009667E6">
        <w:rPr>
          <w:rFonts w:asciiTheme="minorHAnsi" w:hAnsiTheme="minorHAnsi"/>
          <w:sz w:val="20"/>
          <w:szCs w:val="20"/>
          <w:lang w:val="en-GB"/>
        </w:rPr>
        <w:t xml:space="preserve">communities to benefit from wildlife hunting </w:t>
      </w:r>
      <w:r w:rsidR="00CA3DC9" w:rsidRPr="009667E6">
        <w:rPr>
          <w:rFonts w:asciiTheme="minorHAnsi" w:hAnsiTheme="minorHAnsi"/>
          <w:sz w:val="20"/>
          <w:szCs w:val="20"/>
          <w:lang w:val="en-GB"/>
        </w:rPr>
        <w:t>by</w:t>
      </w:r>
      <w:r w:rsidRPr="009667E6">
        <w:rPr>
          <w:rFonts w:asciiTheme="minorHAnsi" w:hAnsiTheme="minorHAnsi"/>
          <w:sz w:val="20"/>
          <w:szCs w:val="20"/>
          <w:lang w:val="en-GB"/>
        </w:rPr>
        <w:t xml:space="preserve"> </w:t>
      </w:r>
      <w:r w:rsidR="00CA3DC9" w:rsidRPr="009667E6">
        <w:rPr>
          <w:rFonts w:asciiTheme="minorHAnsi" w:hAnsiTheme="minorHAnsi"/>
          <w:sz w:val="20"/>
          <w:szCs w:val="20"/>
          <w:lang w:val="en-GB"/>
        </w:rPr>
        <w:t>entrusting them with game management</w:t>
      </w:r>
      <w:r w:rsidR="009B79A7" w:rsidRPr="009667E6">
        <w:rPr>
          <w:rFonts w:asciiTheme="minorHAnsi" w:hAnsiTheme="minorHAnsi"/>
          <w:sz w:val="20"/>
          <w:szCs w:val="20"/>
          <w:lang w:val="en-GB"/>
        </w:rPr>
        <w:t xml:space="preserve"> in</w:t>
      </w:r>
      <w:r w:rsidR="009B79A7" w:rsidRPr="009667E6">
        <w:rPr>
          <w:rFonts w:asciiTheme="minorHAnsi" w:hAnsiTheme="minorHAnsi"/>
          <w:noProof/>
          <w:sz w:val="20"/>
          <w:szCs w:val="20"/>
          <w:lang w:val="en-GB"/>
        </w:rPr>
        <w:t xml:space="preserve"> village hunting areas (ZOVIC) </w:t>
      </w:r>
      <w:r w:rsidR="00DE3E2F" w:rsidRPr="009667E6">
        <w:rPr>
          <w:rFonts w:asciiTheme="minorHAnsi" w:hAnsiTheme="minorHAnsi"/>
          <w:noProof/>
          <w:sz w:val="20"/>
          <w:szCs w:val="20"/>
          <w:lang w:val="en-GB"/>
        </w:rPr>
        <w:t xml:space="preserve">that they </w:t>
      </w:r>
      <w:r w:rsidR="009B79A7" w:rsidRPr="009667E6">
        <w:rPr>
          <w:rFonts w:asciiTheme="minorHAnsi" w:hAnsiTheme="minorHAnsi"/>
          <w:sz w:val="20"/>
          <w:szCs w:val="20"/>
          <w:lang w:val="en-GB"/>
        </w:rPr>
        <w:t>establish</w:t>
      </w:r>
      <w:r w:rsidR="009B79A7" w:rsidRPr="009667E6">
        <w:rPr>
          <w:rFonts w:asciiTheme="minorHAnsi" w:hAnsiTheme="minorHAnsi"/>
          <w:noProof/>
          <w:sz w:val="20"/>
          <w:szCs w:val="20"/>
          <w:lang w:val="en-GB"/>
        </w:rPr>
        <w:t xml:space="preserve"> themselves within their terroir. These</w:t>
      </w:r>
      <w:r w:rsidR="00302BFE" w:rsidRPr="009667E6">
        <w:rPr>
          <w:rFonts w:asciiTheme="minorHAnsi" w:hAnsiTheme="minorHAnsi"/>
          <w:noProof/>
          <w:sz w:val="20"/>
          <w:szCs w:val="20"/>
          <w:lang w:val="en-GB"/>
        </w:rPr>
        <w:t xml:space="preserve"> community-based protected areas </w:t>
      </w:r>
      <w:r w:rsidR="009B79A7" w:rsidRPr="009667E6">
        <w:rPr>
          <w:rFonts w:asciiTheme="minorHAnsi" w:hAnsiTheme="minorHAnsi"/>
          <w:sz w:val="20"/>
          <w:szCs w:val="20"/>
          <w:lang w:val="en-GB"/>
        </w:rPr>
        <w:t>are managed</w:t>
      </w:r>
      <w:r w:rsidR="00633BD2" w:rsidRPr="009667E6">
        <w:rPr>
          <w:rFonts w:asciiTheme="minorHAnsi" w:hAnsiTheme="minorHAnsi"/>
          <w:sz w:val="20"/>
          <w:szCs w:val="20"/>
          <w:lang w:val="en-GB"/>
        </w:rPr>
        <w:t xml:space="preserve"> through </w:t>
      </w:r>
      <w:r w:rsidR="00633BD2" w:rsidRPr="009667E6">
        <w:rPr>
          <w:rFonts w:asciiTheme="minorHAnsi" w:hAnsiTheme="minorHAnsi"/>
          <w:sz w:val="20"/>
          <w:szCs w:val="20"/>
          <w:lang w:val="en-CA"/>
        </w:rPr>
        <w:t>village committees for wildlife management (CVGF)</w:t>
      </w:r>
      <w:r w:rsidR="00633BD2" w:rsidRPr="009667E6">
        <w:rPr>
          <w:rFonts w:asciiTheme="minorHAnsi" w:hAnsiTheme="minorHAnsi"/>
          <w:sz w:val="20"/>
          <w:szCs w:val="20"/>
          <w:lang w:val="en-GB"/>
        </w:rPr>
        <w:t xml:space="preserve">. </w:t>
      </w:r>
      <w:r w:rsidR="00DE3E2F" w:rsidRPr="009667E6">
        <w:rPr>
          <w:rFonts w:asciiTheme="minorHAnsi" w:hAnsiTheme="minorHAnsi"/>
          <w:sz w:val="20"/>
          <w:szCs w:val="20"/>
          <w:lang w:val="en-GB"/>
        </w:rPr>
        <w:t>As provided in the</w:t>
      </w:r>
      <w:r w:rsidR="0000686D" w:rsidRPr="009667E6">
        <w:rPr>
          <w:rFonts w:asciiTheme="minorHAnsi" w:hAnsiTheme="minorHAnsi"/>
          <w:sz w:val="20"/>
          <w:szCs w:val="20"/>
          <w:lang w:val="en-GB"/>
        </w:rPr>
        <w:t xml:space="preserve"> legislation</w:t>
      </w:r>
      <w:r w:rsidR="00DE3E2F" w:rsidRPr="009667E6">
        <w:rPr>
          <w:rFonts w:asciiTheme="minorHAnsi" w:hAnsiTheme="minorHAnsi"/>
          <w:sz w:val="20"/>
          <w:szCs w:val="20"/>
          <w:lang w:val="en-GB"/>
        </w:rPr>
        <w:t>,</w:t>
      </w:r>
      <w:r w:rsidR="0000686D" w:rsidRPr="009667E6">
        <w:rPr>
          <w:rFonts w:asciiTheme="minorHAnsi" w:hAnsiTheme="minorHAnsi"/>
          <w:sz w:val="20"/>
          <w:szCs w:val="20"/>
          <w:lang w:val="en-GB"/>
        </w:rPr>
        <w:t xml:space="preserve"> communities may lease their ZOVIC to professionals for the lucrative organization of hunting activities. </w:t>
      </w:r>
      <w:r w:rsidR="00E2404F" w:rsidRPr="009667E6">
        <w:rPr>
          <w:rFonts w:asciiTheme="minorHAnsi" w:hAnsiTheme="minorHAnsi"/>
          <w:sz w:val="20"/>
          <w:szCs w:val="20"/>
          <w:lang w:val="en-GB"/>
        </w:rPr>
        <w:t>Local communities determine permissible activities within the ZOVICs with the assistance of decentralized technical services in charge of wildlife.</w:t>
      </w:r>
      <w:r w:rsidR="00E2404F" w:rsidRPr="009667E6">
        <w:rPr>
          <w:rFonts w:asciiTheme="minorHAnsi" w:hAnsiTheme="minorHAnsi"/>
          <w:sz w:val="20"/>
          <w:szCs w:val="20"/>
          <w:lang w:val="en-CA"/>
        </w:rPr>
        <w:t xml:space="preserve"> ZOVICs, through their CVGF, collect slaughter taxes (to be repaid to the State) and leasing taxes.</w:t>
      </w:r>
      <w:r w:rsidR="00E2404F" w:rsidRPr="009667E6">
        <w:rPr>
          <w:rFonts w:asciiTheme="minorHAnsi" w:hAnsiTheme="minorHAnsi"/>
          <w:sz w:val="20"/>
          <w:szCs w:val="20"/>
          <w:lang w:val="en-GB"/>
        </w:rPr>
        <w:t xml:space="preserve"> The autonomy of this management is however relative since the local populations still depend on the administration for the establishment and the control of the quotas and on the private sector to contact and bring clients (hunters). The potential for domination of one actor vis-à-vis another remains important. Local communities around the Nazinga Game Ranch have made such an agreement that entrusts the management and operation of small game hunting in their ZOVICs to the same private operator who holds the concession of hunting management in the RGN. This agreement provides that</w:t>
      </w:r>
      <w:r w:rsidR="00E2404F" w:rsidRPr="009667E6">
        <w:rPr>
          <w:rFonts w:asciiTheme="minorHAnsi" w:hAnsiTheme="minorHAnsi"/>
          <w:noProof/>
          <w:sz w:val="20"/>
          <w:szCs w:val="20"/>
          <w:lang w:val="en-GB"/>
        </w:rPr>
        <w:t xml:space="preserve"> income from small game hunting is shared with villagers </w:t>
      </w:r>
      <w:r w:rsidR="00E2404F" w:rsidRPr="009667E6">
        <w:rPr>
          <w:rFonts w:asciiTheme="minorHAnsi" w:hAnsiTheme="minorHAnsi"/>
          <w:sz w:val="20"/>
          <w:szCs w:val="20"/>
          <w:lang w:val="en-CA"/>
        </w:rPr>
        <w:t>through the activities they undertake in ZOVICs and jobs generated as part of the management and operation of the ZOVICs, including temporary and permanent jobs as trackers and village guards. These revenues are collected individually or collectively through the</w:t>
      </w:r>
      <w:r w:rsidR="00E2404F" w:rsidRPr="009667E6">
        <w:rPr>
          <w:rFonts w:asciiTheme="minorHAnsi" w:hAnsiTheme="minorHAnsi"/>
          <w:sz w:val="20"/>
          <w:szCs w:val="20"/>
        </w:rPr>
        <w:t xml:space="preserve"> </w:t>
      </w:r>
      <w:r w:rsidR="00E2404F" w:rsidRPr="009667E6">
        <w:rPr>
          <w:rFonts w:asciiTheme="minorHAnsi" w:hAnsiTheme="minorHAnsi"/>
          <w:sz w:val="20"/>
          <w:szCs w:val="20"/>
          <w:lang w:val="en-CA"/>
        </w:rPr>
        <w:t>CVGF. The agreement provides that villages benefit individually from annual revenues of 350,000 CFA francs (approximately 595 $US) paid by the concessionaire at the end of the hunting campaign, as a development tax for hunting areas, in addition to a daily rental tax of 7,500 CFA francs (approximately 13 $US) when the ZOVIC is used by hunters.</w:t>
      </w:r>
      <w:r w:rsidR="00E2404F" w:rsidRPr="009667E6">
        <w:rPr>
          <w:rFonts w:asciiTheme="minorHAnsi" w:hAnsiTheme="minorHAnsi"/>
          <w:sz w:val="20"/>
          <w:szCs w:val="20"/>
        </w:rPr>
        <w:t xml:space="preserve"> </w:t>
      </w:r>
      <w:r w:rsidR="00E2404F" w:rsidRPr="009667E6">
        <w:rPr>
          <w:rFonts w:asciiTheme="minorHAnsi" w:hAnsiTheme="minorHAnsi"/>
          <w:sz w:val="20"/>
          <w:szCs w:val="20"/>
          <w:lang w:val="en-CA"/>
        </w:rPr>
        <w:t>Such revenues were used to pay the people involved and finance the activities of the village wildlife management committee and projects of common interest to the whole village, such as boreholes. In addition, the meat from big game hunts was shared with the local population and the hunting guide or the concessionaire.</w:t>
      </w:r>
    </w:p>
    <w:p w14:paraId="14BF7473" w14:textId="69C23C22" w:rsidR="00D776BF" w:rsidRPr="009667E6" w:rsidRDefault="00187640" w:rsidP="00C46720">
      <w:pPr>
        <w:pStyle w:val="Paragraphedeliste"/>
        <w:numPr>
          <w:ilvl w:val="0"/>
          <w:numId w:val="32"/>
        </w:numPr>
        <w:tabs>
          <w:tab w:val="left" w:pos="284"/>
        </w:tabs>
        <w:spacing w:before="120" w:after="120"/>
        <w:ind w:left="0" w:firstLine="0"/>
        <w:jc w:val="both"/>
        <w:rPr>
          <w:rFonts w:ascii="Calibri" w:hAnsi="Calibri"/>
          <w:sz w:val="20"/>
          <w:szCs w:val="20"/>
          <w:lang w:val="en-GB"/>
        </w:rPr>
      </w:pPr>
      <w:bookmarkStart w:id="9" w:name="_Hlk14810493"/>
      <w:r w:rsidRPr="009667E6">
        <w:rPr>
          <w:rFonts w:asciiTheme="minorHAnsi" w:hAnsiTheme="minorHAnsi"/>
          <w:sz w:val="20"/>
          <w:szCs w:val="20"/>
          <w:lang w:val="en-CA"/>
        </w:rPr>
        <w:lastRenderedPageBreak/>
        <w:t xml:space="preserve">However, since the early ‘90s, the generation of revenues from the </w:t>
      </w:r>
      <w:r w:rsidR="00F03A01" w:rsidRPr="009667E6">
        <w:rPr>
          <w:rFonts w:asciiTheme="minorHAnsi" w:hAnsiTheme="minorHAnsi"/>
          <w:sz w:val="20"/>
          <w:szCs w:val="20"/>
          <w:lang w:val="en-CA"/>
        </w:rPr>
        <w:t>RGN</w:t>
      </w:r>
      <w:r w:rsidRPr="009667E6">
        <w:rPr>
          <w:rFonts w:asciiTheme="minorHAnsi" w:hAnsiTheme="minorHAnsi"/>
          <w:sz w:val="20"/>
          <w:szCs w:val="20"/>
          <w:lang w:val="en-CA"/>
        </w:rPr>
        <w:t xml:space="preserve"> wildlife resources was not optimized (</w:t>
      </w:r>
      <w:r w:rsidR="00855B78" w:rsidRPr="009667E6">
        <w:rPr>
          <w:rFonts w:asciiTheme="minorHAnsi" w:hAnsiTheme="minorHAnsi"/>
          <w:sz w:val="20"/>
          <w:szCs w:val="20"/>
          <w:lang w:val="en-CA"/>
        </w:rPr>
        <w:t>harvesting</w:t>
      </w:r>
      <w:r w:rsidRPr="009667E6">
        <w:rPr>
          <w:rFonts w:asciiTheme="minorHAnsi" w:hAnsiTheme="minorHAnsi"/>
          <w:sz w:val="20"/>
          <w:szCs w:val="20"/>
          <w:lang w:val="en-CA"/>
        </w:rPr>
        <w:t xml:space="preserve"> is no longer practiced, the tourist camp </w:t>
      </w:r>
      <w:r w:rsidR="00855B78" w:rsidRPr="009667E6">
        <w:rPr>
          <w:rFonts w:asciiTheme="minorHAnsi" w:hAnsiTheme="minorHAnsi"/>
          <w:sz w:val="20"/>
          <w:szCs w:val="20"/>
          <w:lang w:val="en-CA"/>
        </w:rPr>
        <w:t xml:space="preserve">was </w:t>
      </w:r>
      <w:r w:rsidRPr="009667E6">
        <w:rPr>
          <w:rFonts w:asciiTheme="minorHAnsi" w:hAnsiTheme="minorHAnsi"/>
          <w:sz w:val="20"/>
          <w:szCs w:val="20"/>
          <w:lang w:val="en-CA"/>
        </w:rPr>
        <w:t xml:space="preserve">in poor condition </w:t>
      </w:r>
      <w:r w:rsidR="00855B78" w:rsidRPr="009667E6">
        <w:rPr>
          <w:rFonts w:asciiTheme="minorHAnsi" w:hAnsiTheme="minorHAnsi"/>
          <w:sz w:val="20"/>
          <w:szCs w:val="20"/>
          <w:lang w:val="en-CA"/>
        </w:rPr>
        <w:t xml:space="preserve">for a while and </w:t>
      </w:r>
      <w:r w:rsidRPr="009667E6">
        <w:rPr>
          <w:rFonts w:asciiTheme="minorHAnsi" w:hAnsiTheme="minorHAnsi"/>
          <w:sz w:val="20"/>
          <w:szCs w:val="20"/>
          <w:lang w:val="en-CA"/>
        </w:rPr>
        <w:t>only recently renovated) and the economic benefits have not been shared with local communities for several years. T</w:t>
      </w:r>
      <w:r w:rsidR="007C78AF" w:rsidRPr="009667E6">
        <w:rPr>
          <w:rFonts w:ascii="Calibri" w:hAnsi="Calibri"/>
          <w:sz w:val="20"/>
          <w:szCs w:val="20"/>
          <w:lang w:val="en-CA"/>
        </w:rPr>
        <w:t xml:space="preserve">he rental of </w:t>
      </w:r>
      <w:r w:rsidR="00302BFE" w:rsidRPr="009667E6">
        <w:rPr>
          <w:rFonts w:ascii="Calibri" w:hAnsi="Calibri"/>
          <w:sz w:val="20"/>
          <w:szCs w:val="20"/>
          <w:lang w:val="en-CA"/>
        </w:rPr>
        <w:t>ZOVIC</w:t>
      </w:r>
      <w:r w:rsidR="007C78AF" w:rsidRPr="009667E6">
        <w:rPr>
          <w:rFonts w:ascii="Calibri" w:hAnsi="Calibri"/>
          <w:sz w:val="20"/>
          <w:szCs w:val="20"/>
          <w:lang w:val="en-CA"/>
        </w:rPr>
        <w:t>s</w:t>
      </w:r>
      <w:r w:rsidR="00302BFE" w:rsidRPr="009667E6">
        <w:rPr>
          <w:rFonts w:ascii="Calibri" w:hAnsi="Calibri"/>
          <w:sz w:val="20"/>
          <w:szCs w:val="20"/>
          <w:lang w:val="en-CA"/>
        </w:rPr>
        <w:t xml:space="preserve"> in the province of Nahouri for the 2007-2008 campaign generated revenue for </w:t>
      </w:r>
      <w:r w:rsidR="009D69F1" w:rsidRPr="009667E6">
        <w:rPr>
          <w:rFonts w:ascii="Calibri" w:hAnsi="Calibri"/>
          <w:sz w:val="20"/>
          <w:szCs w:val="20"/>
          <w:lang w:val="en-CA"/>
        </w:rPr>
        <w:t>all</w:t>
      </w:r>
      <w:r w:rsidR="007C78AF" w:rsidRPr="009667E6">
        <w:rPr>
          <w:rFonts w:ascii="Calibri" w:hAnsi="Calibri"/>
          <w:sz w:val="20"/>
          <w:szCs w:val="20"/>
          <w:lang w:val="en-CA"/>
        </w:rPr>
        <w:t xml:space="preserve"> </w:t>
      </w:r>
      <w:r w:rsidR="00302BFE" w:rsidRPr="009667E6">
        <w:rPr>
          <w:rFonts w:ascii="Calibri" w:hAnsi="Calibri"/>
          <w:sz w:val="20"/>
          <w:szCs w:val="20"/>
          <w:lang w:val="en-CA"/>
        </w:rPr>
        <w:t>villages of 1,867,500</w:t>
      </w:r>
      <w:r w:rsidR="007C78AF" w:rsidRPr="009667E6">
        <w:rPr>
          <w:rFonts w:ascii="Calibri" w:hAnsi="Calibri"/>
          <w:sz w:val="20"/>
          <w:szCs w:val="20"/>
          <w:lang w:val="en-CA"/>
        </w:rPr>
        <w:t xml:space="preserve"> CFA francs</w:t>
      </w:r>
      <w:r w:rsidR="00302BFE" w:rsidRPr="009667E6">
        <w:rPr>
          <w:rStyle w:val="Appelnotedebasdep"/>
          <w:rFonts w:asciiTheme="minorHAnsi" w:hAnsiTheme="minorHAnsi"/>
          <w:sz w:val="20"/>
        </w:rPr>
        <w:footnoteReference w:id="17"/>
      </w:r>
      <w:r w:rsidR="00845573" w:rsidRPr="009667E6">
        <w:rPr>
          <w:rFonts w:ascii="Calibri" w:hAnsi="Calibri"/>
          <w:sz w:val="20"/>
          <w:szCs w:val="20"/>
          <w:lang w:val="en-CA"/>
        </w:rPr>
        <w:t xml:space="preserve"> (approximately 3</w:t>
      </w:r>
      <w:r w:rsidR="009D69F1" w:rsidRPr="009667E6">
        <w:rPr>
          <w:rFonts w:ascii="Calibri" w:hAnsi="Calibri"/>
          <w:sz w:val="20"/>
          <w:szCs w:val="20"/>
          <w:lang w:val="en-CA"/>
        </w:rPr>
        <w:t>,</w:t>
      </w:r>
      <w:r w:rsidR="00845573" w:rsidRPr="009667E6">
        <w:rPr>
          <w:rFonts w:ascii="Calibri" w:hAnsi="Calibri"/>
          <w:sz w:val="20"/>
          <w:szCs w:val="20"/>
          <w:lang w:val="en-CA"/>
        </w:rPr>
        <w:t>175 $US)</w:t>
      </w:r>
      <w:r w:rsidR="00302BFE" w:rsidRPr="009667E6">
        <w:rPr>
          <w:rFonts w:ascii="Calibri" w:hAnsi="Calibri"/>
          <w:sz w:val="20"/>
          <w:szCs w:val="20"/>
          <w:lang w:val="en-CA"/>
        </w:rPr>
        <w:t>.</w:t>
      </w:r>
      <w:r w:rsidR="00302BFE" w:rsidRPr="009667E6">
        <w:rPr>
          <w:rFonts w:asciiTheme="minorHAnsi" w:hAnsiTheme="minorHAnsi"/>
          <w:sz w:val="20"/>
          <w:szCs w:val="20"/>
          <w:lang w:val="en-CA"/>
        </w:rPr>
        <w:t xml:space="preserve"> </w:t>
      </w:r>
      <w:bookmarkEnd w:id="9"/>
      <w:r w:rsidRPr="009667E6">
        <w:rPr>
          <w:rFonts w:ascii="Calibri" w:hAnsi="Calibri"/>
          <w:noProof/>
          <w:sz w:val="20"/>
          <w:szCs w:val="20"/>
          <w:lang w:val="en-CA"/>
        </w:rPr>
        <w:t>In r</w:t>
      </w:r>
      <w:r w:rsidRPr="009667E6">
        <w:rPr>
          <w:rFonts w:ascii="Calibri" w:hAnsi="Calibri"/>
          <w:noProof/>
          <w:sz w:val="20"/>
          <w:szCs w:val="20"/>
          <w:lang w:val="en-GB"/>
        </w:rPr>
        <w:t>ecent years, the concession holder Nahouri Safari who is currently managing the ZOVICs around the Nazinga Game Ranch ceased paying royalties to local communities on the grounds that this payment is conditional on the proper management and maintenance of ZOVICs and that these are now quite degraded. In addition, an analysis of game species monitored over 30 years in the Nazinga GR</w:t>
      </w:r>
      <w:r w:rsidRPr="009667E6">
        <w:rPr>
          <w:rStyle w:val="Appelnotedebasdep"/>
          <w:noProof/>
          <w:szCs w:val="20"/>
          <w:lang w:val="en-GB"/>
        </w:rPr>
        <w:footnoteReference w:id="18"/>
      </w:r>
      <w:r w:rsidRPr="009667E6">
        <w:rPr>
          <w:rFonts w:ascii="Calibri" w:hAnsi="Calibri"/>
          <w:noProof/>
          <w:sz w:val="20"/>
          <w:szCs w:val="20"/>
          <w:lang w:val="en-GB"/>
        </w:rPr>
        <w:t xml:space="preserve"> has shown declining trends for the small game populations that support subsistence hunting for local communities</w:t>
      </w:r>
      <w:r w:rsidRPr="009667E6">
        <w:rPr>
          <w:rFonts w:asciiTheme="minorHAnsi" w:hAnsiTheme="minorHAnsi"/>
          <w:noProof/>
          <w:sz w:val="20"/>
          <w:szCs w:val="20"/>
          <w:lang w:val="en-GB"/>
        </w:rPr>
        <w:t>. As a result, local</w:t>
      </w:r>
      <w:r w:rsidRPr="009667E6">
        <w:rPr>
          <w:rFonts w:ascii="Calibri" w:hAnsi="Calibri"/>
          <w:noProof/>
          <w:sz w:val="20"/>
          <w:szCs w:val="20"/>
          <w:lang w:val="en-GB"/>
        </w:rPr>
        <w:t xml:space="preserve"> communities </w:t>
      </w:r>
      <w:r w:rsidR="00283A84" w:rsidRPr="009667E6">
        <w:rPr>
          <w:rFonts w:ascii="Calibri" w:hAnsi="Calibri"/>
          <w:noProof/>
          <w:sz w:val="20"/>
          <w:szCs w:val="20"/>
          <w:lang w:val="en-GB"/>
        </w:rPr>
        <w:t xml:space="preserve">now </w:t>
      </w:r>
      <w:r w:rsidRPr="009667E6">
        <w:rPr>
          <w:rFonts w:ascii="Calibri" w:hAnsi="Calibri"/>
          <w:noProof/>
          <w:sz w:val="20"/>
          <w:szCs w:val="20"/>
          <w:lang w:val="en-GB"/>
        </w:rPr>
        <w:t>bear the most direct burden of hunting. They lose the right to use part of their land for the benefit of the concessionaire and can no longer practice their usual agro-pastoral activities while bearing the cost of agricultural and other losses due to invasions of wild animals.</w:t>
      </w:r>
    </w:p>
    <w:p w14:paraId="7663D40A" w14:textId="74A9E5E1" w:rsidR="00E825E9" w:rsidRPr="009667E6" w:rsidRDefault="00E825E9" w:rsidP="00C46720">
      <w:pPr>
        <w:pStyle w:val="Paragraphedeliste"/>
        <w:numPr>
          <w:ilvl w:val="0"/>
          <w:numId w:val="32"/>
        </w:numPr>
        <w:tabs>
          <w:tab w:val="left" w:pos="284"/>
        </w:tabs>
        <w:spacing w:before="120" w:after="120"/>
        <w:ind w:left="0" w:firstLine="0"/>
        <w:jc w:val="both"/>
        <w:rPr>
          <w:rFonts w:asciiTheme="minorHAnsi" w:hAnsiTheme="minorHAnsi"/>
          <w:sz w:val="20"/>
          <w:szCs w:val="20"/>
          <w:lang w:val="en-GB"/>
        </w:rPr>
      </w:pPr>
      <w:r w:rsidRPr="009667E6">
        <w:rPr>
          <w:rFonts w:asciiTheme="minorHAnsi" w:hAnsiTheme="minorHAnsi"/>
          <w:sz w:val="20"/>
          <w:szCs w:val="20"/>
          <w:lang w:val="en-CA"/>
        </w:rPr>
        <w:t xml:space="preserve">Local people currently do not seem motivated to conserve the </w:t>
      </w:r>
      <w:r w:rsidR="00F03A01" w:rsidRPr="009667E6">
        <w:rPr>
          <w:rFonts w:asciiTheme="minorHAnsi" w:hAnsiTheme="minorHAnsi"/>
          <w:sz w:val="20"/>
          <w:szCs w:val="20"/>
          <w:lang w:val="en-CA"/>
        </w:rPr>
        <w:t>RGN</w:t>
      </w:r>
      <w:r w:rsidRPr="009667E6">
        <w:rPr>
          <w:rFonts w:asciiTheme="minorHAnsi" w:hAnsiTheme="minorHAnsi"/>
          <w:sz w:val="20"/>
          <w:szCs w:val="20"/>
          <w:lang w:val="en-CA"/>
        </w:rPr>
        <w:t xml:space="preserve">’s wildlife because their participation in management decision-making is poor and they obtain quite low revenues from the </w:t>
      </w:r>
      <w:r w:rsidR="00F03A01" w:rsidRPr="009667E6">
        <w:rPr>
          <w:rFonts w:asciiTheme="minorHAnsi" w:hAnsiTheme="minorHAnsi"/>
          <w:sz w:val="20"/>
          <w:szCs w:val="20"/>
          <w:lang w:val="en-CA"/>
        </w:rPr>
        <w:t>RGN</w:t>
      </w:r>
      <w:r w:rsidRPr="009667E6">
        <w:rPr>
          <w:rFonts w:asciiTheme="minorHAnsi" w:hAnsiTheme="minorHAnsi"/>
          <w:sz w:val="20"/>
          <w:szCs w:val="20"/>
          <w:lang w:val="en-CA"/>
        </w:rPr>
        <w:t xml:space="preserve"> and their village hunting zones. When the </w:t>
      </w:r>
      <w:r w:rsidR="00F03A01" w:rsidRPr="009667E6">
        <w:rPr>
          <w:rFonts w:asciiTheme="minorHAnsi" w:hAnsiTheme="minorHAnsi"/>
          <w:sz w:val="20"/>
          <w:szCs w:val="20"/>
          <w:lang w:val="en-CA"/>
        </w:rPr>
        <w:t>RGN</w:t>
      </w:r>
      <w:r w:rsidRPr="009667E6">
        <w:rPr>
          <w:rFonts w:asciiTheme="minorHAnsi" w:hAnsiTheme="minorHAnsi"/>
          <w:sz w:val="20"/>
          <w:szCs w:val="20"/>
          <w:lang w:val="en-CA"/>
        </w:rPr>
        <w:t xml:space="preserve"> was created, local communities had </w:t>
      </w:r>
      <w:r w:rsidR="00076116" w:rsidRPr="009667E6">
        <w:rPr>
          <w:rFonts w:asciiTheme="minorHAnsi" w:hAnsiTheme="minorHAnsi"/>
          <w:sz w:val="20"/>
          <w:szCs w:val="20"/>
          <w:lang w:val="en-CA"/>
        </w:rPr>
        <w:t>willingly</w:t>
      </w:r>
      <w:r w:rsidRPr="009667E6">
        <w:rPr>
          <w:rFonts w:asciiTheme="minorHAnsi" w:hAnsiTheme="minorHAnsi"/>
          <w:sz w:val="20"/>
          <w:szCs w:val="20"/>
          <w:lang w:val="en-CA"/>
        </w:rPr>
        <w:t xml:space="preserve"> given up their land in the hope of a better future. Now, most immigration in the Center-South is from different ethnic groups coming from other parts of the country and which traditions and practices are not as respectful of local resources as are local ethnic groups</w:t>
      </w:r>
      <w:r w:rsidRPr="009667E6">
        <w:rPr>
          <w:rStyle w:val="Appelnotedebasdep"/>
          <w:rFonts w:asciiTheme="minorHAnsi" w:hAnsiTheme="minorHAnsi"/>
          <w:sz w:val="20"/>
          <w:szCs w:val="20"/>
          <w:lang w:val="en-CA"/>
        </w:rPr>
        <w:footnoteReference w:id="19"/>
      </w:r>
      <w:r w:rsidRPr="009667E6">
        <w:rPr>
          <w:rFonts w:asciiTheme="minorHAnsi" w:hAnsiTheme="minorHAnsi"/>
          <w:sz w:val="20"/>
          <w:szCs w:val="20"/>
          <w:lang w:val="en-CA"/>
        </w:rPr>
        <w:t xml:space="preserve">. </w:t>
      </w:r>
      <w:r w:rsidRPr="009667E6">
        <w:rPr>
          <w:rFonts w:asciiTheme="minorHAnsi" w:hAnsiTheme="minorHAnsi"/>
          <w:noProof/>
          <w:sz w:val="20"/>
          <w:szCs w:val="20"/>
          <w:lang w:val="en-GB"/>
        </w:rPr>
        <w:t>It is imperative to build the capacities of all concerned stakeholders, including immigrants, for the sustainable management of hunting activities, the maintenance and restoration of suitable habitats for wildlife, the provision of solutions to minimize HWC, and for addressing benefit sharing issues, to restore incentives for stakeholders to ensure the proper management of resources and habitats within ZOVICs and reduce encroachment and poaching in core PAs.</w:t>
      </w:r>
      <w:r w:rsidR="0073037A" w:rsidRPr="009667E6">
        <w:rPr>
          <w:rFonts w:asciiTheme="minorHAnsi" w:hAnsiTheme="minorHAnsi"/>
          <w:noProof/>
          <w:sz w:val="20"/>
          <w:szCs w:val="20"/>
          <w:lang w:val="en-GB"/>
        </w:rPr>
        <w:t xml:space="preserve"> The strategy of increasing revenue for local populations from conservation and sustainable management of ecosystems also needs to take into consideration the risks of the spreading of zoonotic diseases resulting from increased encroachment of human populations into natural ecosystems. </w:t>
      </w:r>
    </w:p>
    <w:p w14:paraId="7054A1F5" w14:textId="33815149" w:rsidR="00302BFE" w:rsidRPr="009667E6" w:rsidRDefault="00BF7D67" w:rsidP="00C46720">
      <w:pPr>
        <w:pStyle w:val="Paragraphedeliste"/>
        <w:numPr>
          <w:ilvl w:val="0"/>
          <w:numId w:val="32"/>
        </w:numPr>
        <w:tabs>
          <w:tab w:val="left" w:pos="284"/>
        </w:tabs>
        <w:spacing w:before="120" w:after="120"/>
        <w:ind w:left="0" w:firstLine="0"/>
        <w:jc w:val="both"/>
        <w:rPr>
          <w:rFonts w:ascii="Calibri" w:hAnsi="Calibri"/>
          <w:sz w:val="20"/>
          <w:szCs w:val="20"/>
          <w:lang w:val="en-GB"/>
        </w:rPr>
      </w:pPr>
      <w:r w:rsidRPr="009667E6">
        <w:rPr>
          <w:rFonts w:ascii="Calibri" w:hAnsi="Calibri"/>
          <w:sz w:val="20"/>
          <w:szCs w:val="20"/>
          <w:lang w:val="en-GB"/>
        </w:rPr>
        <w:t>Other benefits related to t</w:t>
      </w:r>
      <w:r w:rsidR="00302BFE" w:rsidRPr="009667E6">
        <w:rPr>
          <w:rFonts w:ascii="Calibri" w:hAnsi="Calibri"/>
          <w:sz w:val="20"/>
          <w:szCs w:val="20"/>
          <w:lang w:val="en-GB"/>
        </w:rPr>
        <w:t xml:space="preserve">he management of land adjacent to protected areas includes (i) agricultural production in riparian communities where SLM interventions such as soil </w:t>
      </w:r>
      <w:r w:rsidR="00CB2536" w:rsidRPr="009667E6">
        <w:rPr>
          <w:rFonts w:ascii="Calibri" w:hAnsi="Calibri"/>
          <w:sz w:val="20"/>
          <w:szCs w:val="20"/>
          <w:lang w:val="en-GB"/>
        </w:rPr>
        <w:t>defence</w:t>
      </w:r>
      <w:r w:rsidR="00302BFE" w:rsidRPr="009667E6">
        <w:rPr>
          <w:rFonts w:ascii="Calibri" w:hAnsi="Calibri"/>
          <w:sz w:val="20"/>
          <w:szCs w:val="20"/>
          <w:lang w:val="en-GB"/>
        </w:rPr>
        <w:t xml:space="preserve"> and restoration, and water and soil conservation (DRS/CES) activities, including zaï, stone bunds, mounds, and the use of organic manure, have led to a substantial increase in yields for most cash crops and vegetable crops (further details are provided in Annex I. Target Landscape Profile - Benefits related to improving land management adjacent to PAs), (ii) increased livestock production through improved management of pastoral activity, fodder production and conflict management between herders and farmers, resulting in an increase in milk production, higher selling price for livestock in better condition thus higher revenues from cattle fattening activities (further details are provided in Annex I. Target Landscape Profile - Benefits related to improving land management adjacent to PAs), (iii) forestry sectors including a) the wood energy sector (firewood, charcoal), b) exploitation of fauna and fisheries which revenues keep decreasing due to reduced production, also related to poor management, c) exploitation of plant NTFPs dominated by the production of shea butter and which revenues could be improved if the value chains were better organized and the actors better structured at the grassroots level.</w:t>
      </w:r>
    </w:p>
    <w:p w14:paraId="79D6339B" w14:textId="6726DE2B" w:rsidR="00302BFE" w:rsidRPr="009667E6"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GB"/>
        </w:rPr>
      </w:pPr>
      <w:r w:rsidRPr="009667E6">
        <w:rPr>
          <w:rFonts w:ascii="Calibri" w:hAnsi="Calibri"/>
          <w:sz w:val="20"/>
          <w:szCs w:val="20"/>
          <w:lang w:val="en-CA"/>
        </w:rPr>
        <w:t>Forest management worksites (CAF) have been set up since 1985 to stem the uncontrolled exploitation of wood, which is the main source of energy in Burkina Faso. According to the initial concept, management improvement was achieved through the constitution, training and accountability of forest management groups that managed according to development and management plans. The CAFs put in place have provided new sources of income for forest riparian populations through logging, NTFPs, and other jobs required for forest management, thus contributing to reduce poverty within these communities</w:t>
      </w:r>
      <w:r w:rsidR="00243B15" w:rsidRPr="009667E6">
        <w:rPr>
          <w:rStyle w:val="Appelnotedebasdep"/>
          <w:szCs w:val="20"/>
          <w:lang w:val="en-CA"/>
        </w:rPr>
        <w:footnoteReference w:id="20"/>
      </w:r>
      <w:r w:rsidRPr="009667E6">
        <w:rPr>
          <w:rFonts w:ascii="Calibri" w:hAnsi="Calibri"/>
          <w:sz w:val="20"/>
          <w:szCs w:val="20"/>
          <w:lang w:val="en-CA"/>
        </w:rPr>
        <w:t>. However, the sustainability of this participatory forest management model is compromised by the lack of reinvestment in the forest investment fund, the lack of reforestation and the trend to develop new natural forests, and the control of production by the State and wholesalers, so that local people do not perceive themselves as managers of their resources</w:t>
      </w:r>
      <w:r w:rsidR="00243B15" w:rsidRPr="009667E6">
        <w:rPr>
          <w:rStyle w:val="Appelnotedebasdep"/>
          <w:szCs w:val="20"/>
          <w:lang w:val="en-CA"/>
        </w:rPr>
        <w:footnoteReference w:id="21"/>
      </w:r>
      <w:r w:rsidRPr="009667E6">
        <w:rPr>
          <w:rFonts w:ascii="Calibri" w:hAnsi="Calibri"/>
          <w:sz w:val="20"/>
          <w:szCs w:val="20"/>
          <w:lang w:val="en-CA"/>
        </w:rPr>
        <w:t xml:space="preserve">. While CAFs </w:t>
      </w:r>
      <w:r w:rsidRPr="009667E6">
        <w:rPr>
          <w:rFonts w:ascii="Calibri" w:hAnsi="Calibri"/>
          <w:sz w:val="20"/>
          <w:szCs w:val="20"/>
          <w:lang w:val="en-GB"/>
        </w:rPr>
        <w:t xml:space="preserve">initially contributed considerably to the incomes of the actors, these have been diminishing since 2011 linked to a decline in timber production from forest management worksites (CAF) due to poor management. </w:t>
      </w:r>
      <w:r w:rsidRPr="009667E6">
        <w:rPr>
          <w:rFonts w:ascii="Calibri" w:hAnsi="Calibri"/>
          <w:sz w:val="20"/>
          <w:szCs w:val="20"/>
          <w:lang w:val="en-CA"/>
        </w:rPr>
        <w:t>CAFs are now dominated by a patchwork of fields, fallows and savannahs, and no longer have the ecological characteristics of forests</w:t>
      </w:r>
      <w:r w:rsidR="00DD2F24" w:rsidRPr="009667E6">
        <w:rPr>
          <w:rStyle w:val="Appelnotedebasdep"/>
          <w:szCs w:val="20"/>
          <w:lang w:val="en-CA"/>
        </w:rPr>
        <w:footnoteReference w:id="22"/>
      </w:r>
      <w:r w:rsidRPr="009667E6">
        <w:rPr>
          <w:rFonts w:ascii="Calibri" w:hAnsi="Calibri"/>
          <w:sz w:val="20"/>
          <w:szCs w:val="20"/>
          <w:lang w:val="en-CA"/>
        </w:rPr>
        <w:t>.</w:t>
      </w:r>
    </w:p>
    <w:p w14:paraId="2986A809" w14:textId="0627C200" w:rsidR="00302BFE" w:rsidRPr="009667E6" w:rsidRDefault="00302BFE" w:rsidP="00C46720">
      <w:pPr>
        <w:pStyle w:val="Paragraphedeliste"/>
        <w:numPr>
          <w:ilvl w:val="0"/>
          <w:numId w:val="32"/>
        </w:numPr>
        <w:tabs>
          <w:tab w:val="left" w:pos="284"/>
        </w:tabs>
        <w:spacing w:before="120" w:after="120"/>
        <w:ind w:left="0" w:firstLine="0"/>
        <w:jc w:val="both"/>
        <w:rPr>
          <w:rFonts w:asciiTheme="minorHAnsi" w:eastAsiaTheme="minorHAnsi" w:hAnsiTheme="minorHAnsi"/>
          <w:sz w:val="20"/>
          <w:szCs w:val="20"/>
          <w:lang w:val="en-CA" w:eastAsia="fr-CA"/>
        </w:rPr>
      </w:pPr>
      <w:r w:rsidRPr="009667E6">
        <w:rPr>
          <w:rFonts w:ascii="Calibri" w:hAnsi="Calibri"/>
          <w:noProof/>
          <w:sz w:val="20"/>
          <w:szCs w:val="20"/>
          <w:lang w:val="en-GB"/>
        </w:rPr>
        <w:t xml:space="preserve">The socio-economic benefits of the project in the PONASI landscape area complex </w:t>
      </w:r>
      <w:r w:rsidR="006C184F" w:rsidRPr="009667E6">
        <w:rPr>
          <w:rFonts w:ascii="Calibri" w:hAnsi="Calibri"/>
          <w:noProof/>
          <w:sz w:val="20"/>
          <w:szCs w:val="20"/>
          <w:lang w:val="en-GB"/>
        </w:rPr>
        <w:t>could</w:t>
      </w:r>
      <w:r w:rsidRPr="009667E6">
        <w:rPr>
          <w:rFonts w:ascii="Calibri" w:hAnsi="Calibri"/>
          <w:noProof/>
          <w:sz w:val="20"/>
          <w:szCs w:val="20"/>
          <w:lang w:val="en-GB"/>
        </w:rPr>
        <w:t xml:space="preserve"> be significant, but are currently well below their potential to contribute to the well-being and development of riparian communities. </w:t>
      </w:r>
      <w:r w:rsidR="006C184F" w:rsidRPr="009667E6">
        <w:rPr>
          <w:rFonts w:asciiTheme="minorHAnsi" w:hAnsiTheme="minorHAnsi"/>
          <w:sz w:val="20"/>
          <w:szCs w:val="20"/>
          <w:lang w:val="en-GB"/>
        </w:rPr>
        <w:t xml:space="preserve">Maintaining adequate flow of resources and </w:t>
      </w:r>
      <w:r w:rsidR="006C184F" w:rsidRPr="009667E6">
        <w:rPr>
          <w:rFonts w:asciiTheme="minorHAnsi" w:hAnsiTheme="minorHAnsi"/>
          <w:sz w:val="20"/>
          <w:szCs w:val="20"/>
          <w:lang w:val="en-GB"/>
        </w:rPr>
        <w:lastRenderedPageBreak/>
        <w:t>benefits to ensure the involvement and compensation of local communities for their contribution to the management of protected areas and the sustainable management of surrounding lands and resources is a fundamental challenge for this project.</w:t>
      </w:r>
      <w:r w:rsidR="006C184F" w:rsidRPr="009667E6">
        <w:rPr>
          <w:rFonts w:asciiTheme="minorHAnsi" w:eastAsiaTheme="minorHAnsi" w:hAnsiTheme="minorHAnsi"/>
          <w:sz w:val="20"/>
          <w:szCs w:val="20"/>
          <w:lang w:val="en-CA" w:eastAsia="fr-CA"/>
        </w:rPr>
        <w:t xml:space="preserve"> </w:t>
      </w:r>
      <w:r w:rsidRPr="009667E6">
        <w:rPr>
          <w:rFonts w:ascii="Calibri" w:hAnsi="Calibri"/>
          <w:noProof/>
          <w:sz w:val="20"/>
          <w:szCs w:val="20"/>
          <w:lang w:val="en-GB"/>
        </w:rPr>
        <w:t>Besides direct jobs, sustainable land management actions will contribute effectively to the improvement of agricultural productivity from which households derive most of their livelihoods. Sustainable management of ZOVICs, CAFs and other wooded areas will also contribute to improving and diversifying the livelihoods of local communities through improved availability of wood and non-wood resources and the development of promising value chains from these resources. Finally, strengthening the enabling conditions and potential of local people to benefit from the tourism activities taking place in the PONASI landscape and improving the management of human-wildlife conflicts will encourage local populations to protect wildlife.</w:t>
      </w:r>
    </w:p>
    <w:bookmarkEnd w:id="8"/>
    <w:p w14:paraId="2DE93C4F" w14:textId="23BE4B46" w:rsidR="00302BFE" w:rsidRPr="009667E6" w:rsidRDefault="00302BFE" w:rsidP="00302BFE">
      <w:pPr>
        <w:spacing w:before="120" w:after="120"/>
        <w:rPr>
          <w:b/>
          <w:sz w:val="22"/>
          <w:szCs w:val="22"/>
          <w:lang w:val="en-GB"/>
        </w:rPr>
      </w:pPr>
      <w:r w:rsidRPr="009667E6">
        <w:rPr>
          <w:b/>
          <w:lang w:val="en-GB"/>
        </w:rPr>
        <w:t>Environmental pressures / threats within the PONASI landscape area</w:t>
      </w:r>
    </w:p>
    <w:p w14:paraId="67BB70C6" w14:textId="5BF50A49" w:rsidR="00302BFE" w:rsidRPr="009667E6"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GB"/>
        </w:rPr>
      </w:pPr>
      <w:r w:rsidRPr="009667E6">
        <w:rPr>
          <w:rFonts w:ascii="Calibri" w:hAnsi="Calibri"/>
          <w:sz w:val="20"/>
          <w:szCs w:val="20"/>
          <w:lang w:val="en-GB"/>
        </w:rPr>
        <w:t>Despite the importance of the primary sector for the Burkinabe economy, the agro-silvo-pastoral sector is in a precarious situation because of its close dependence on the capital of land and biodiversity resources. These resources are subject to continued degradation from a variety of pressures and threats.</w:t>
      </w:r>
      <w:r w:rsidRPr="009667E6">
        <w:t xml:space="preserve"> </w:t>
      </w:r>
      <w:r w:rsidRPr="009667E6">
        <w:rPr>
          <w:rFonts w:ascii="Calibri" w:hAnsi="Calibri"/>
          <w:sz w:val="20"/>
          <w:szCs w:val="20"/>
          <w:lang w:val="en-GB"/>
        </w:rPr>
        <w:t xml:space="preserve">Despite the importance of the primary sector for Burkina Faso's economy, the agro-sylvo-pastoral sector is in a precarious situation because of its close dependence on land and biodiversity resources. These resources are subject to a continuous degradation induced by a set of pressures and threats. The extent and integrity of the PONASI protected area landscape ecosystems and associated ecosystem services are threatened by several anthropogenic factors: i) fragmentation, encroachment and degradation of habitats through the expansion of agricultural, pastoral farms and destructive distillation of wood because of suitable land and to meet the ever-increasing needs for arable land of nearly two hundred villages surrounding the protected area complex including aggressive land grabbing by </w:t>
      </w:r>
      <w:r w:rsidRPr="009667E6">
        <w:rPr>
          <w:rFonts w:ascii="Calibri" w:hAnsi="Calibri"/>
          <w:i/>
          <w:sz w:val="20"/>
          <w:szCs w:val="20"/>
          <w:lang w:val="en-GB"/>
        </w:rPr>
        <w:t>agribusinessmen</w:t>
      </w:r>
      <w:r w:rsidRPr="009667E6">
        <w:rPr>
          <w:rFonts w:ascii="Calibri" w:hAnsi="Calibri"/>
          <w:sz w:val="20"/>
          <w:szCs w:val="20"/>
          <w:lang w:val="en-GB"/>
        </w:rPr>
        <w:t>, ii) unsustainable</w:t>
      </w:r>
      <w:r w:rsidRPr="009667E6">
        <w:rPr>
          <w:rFonts w:ascii="Calibri" w:hAnsi="Calibri"/>
          <w:color w:val="FF0000"/>
          <w:sz w:val="20"/>
          <w:szCs w:val="20"/>
          <w:lang w:val="en-GB"/>
        </w:rPr>
        <w:t xml:space="preserve"> </w:t>
      </w:r>
      <w:r w:rsidRPr="009667E6">
        <w:rPr>
          <w:rFonts w:ascii="Calibri" w:hAnsi="Calibri"/>
          <w:sz w:val="20"/>
          <w:szCs w:val="20"/>
          <w:lang w:val="en-GB"/>
        </w:rPr>
        <w:t>farming practices such as the use of cultural practices that are detrimental to the preservation and conservation of the environment, including the excessive use of herbicides and pesticides whose leaching into the ecosystem leads to the pollution of soils and water, and uncontrolled bush fires, iii) overexploitation of resources including illegal logging, including carbonization, unsustainable harvesting of non-timber forest products, and poaching of terrestrial and aquatic wildlife, including elephant wildlife, exacerbated by human / elephant conflict, iv) and industrial and artisanal mining activities for gold and other materials. v) These pressures, compounded by the effects of climate change, reduce the quantity and quality of biodiversity and soil resources, and have a negative impact on the food security and livelihoods of affected populations.</w:t>
      </w:r>
    </w:p>
    <w:p w14:paraId="1CE2401C" w14:textId="1F36FBD5" w:rsidR="00302BFE" w:rsidRPr="009667E6" w:rsidRDefault="00302BFE" w:rsidP="00302BFE">
      <w:pPr>
        <w:spacing w:before="120" w:after="120"/>
        <w:ind w:firstLine="720"/>
        <w:rPr>
          <w:szCs w:val="20"/>
          <w:lang w:val="en-GB"/>
        </w:rPr>
      </w:pPr>
      <w:r w:rsidRPr="009667E6">
        <w:rPr>
          <w:b/>
          <w:szCs w:val="20"/>
          <w:lang w:val="en-GB"/>
        </w:rPr>
        <w:t xml:space="preserve">Loss </w:t>
      </w:r>
      <w:r w:rsidRPr="009667E6">
        <w:rPr>
          <w:b/>
          <w:lang w:val="en-GB"/>
        </w:rPr>
        <w:t>and</w:t>
      </w:r>
      <w:r w:rsidRPr="009667E6">
        <w:rPr>
          <w:b/>
          <w:szCs w:val="20"/>
          <w:lang w:val="en-GB"/>
        </w:rPr>
        <w:t xml:space="preserve"> degradation of habitats within the PONASI landscape.</w:t>
      </w:r>
    </w:p>
    <w:p w14:paraId="2EC24665" w14:textId="40848CB6" w:rsidR="00302BFE" w:rsidRPr="009667E6"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GB"/>
        </w:rPr>
      </w:pPr>
      <w:r w:rsidRPr="009667E6">
        <w:rPr>
          <w:rFonts w:ascii="Calibri" w:eastAsia="Times New Roman" w:hAnsi="Calibri"/>
          <w:i/>
          <w:iCs/>
          <w:color w:val="2F5496"/>
          <w:sz w:val="20"/>
          <w:szCs w:val="20"/>
          <w:lang w:val="en-GB"/>
        </w:rPr>
        <w:t xml:space="preserve">Loss of forest cover. </w:t>
      </w:r>
      <w:r w:rsidRPr="009667E6">
        <w:rPr>
          <w:rFonts w:ascii="Calibri" w:hAnsi="Calibri"/>
          <w:sz w:val="20"/>
          <w:szCs w:val="20"/>
          <w:lang w:val="en-GB"/>
        </w:rPr>
        <w:t>The conversion of forest relics and pastures, including the deforestation of natural vegetation, to meet the needs of the expansion of intensive commercial agriculture, as well as a significant increase in herd size, have led to the loss and degradation of habitats in some areas of the PONASI landscape area. Erosion, drought and flooding also contribute to habitat loss in all land use categories. As high-altitude zones are the most affected by erosion and drought, producers focus on wetlands and along rivers which in turn degrade rapidly. Losses of forest cover at the national level were estimated at 105,000 ha / year in 2007</w:t>
      </w:r>
      <w:r w:rsidRPr="009667E6">
        <w:rPr>
          <w:rStyle w:val="Appelnotedebasdep"/>
          <w:rFonts w:ascii="Calibri" w:hAnsi="Calibri"/>
          <w:sz w:val="20"/>
          <w:szCs w:val="20"/>
        </w:rPr>
        <w:footnoteReference w:id="23"/>
      </w:r>
      <w:r w:rsidRPr="009667E6">
        <w:rPr>
          <w:rFonts w:ascii="Calibri" w:hAnsi="Calibri"/>
          <w:sz w:val="20"/>
          <w:szCs w:val="20"/>
          <w:lang w:val="en-GB"/>
        </w:rPr>
        <w:t xml:space="preserve"> and at 1% on average per year between 1990 and 2010</w:t>
      </w:r>
      <w:r w:rsidRPr="009667E6">
        <w:rPr>
          <w:rStyle w:val="Appelnotedebasdep"/>
          <w:rFonts w:ascii="Calibri" w:hAnsi="Calibri"/>
          <w:sz w:val="20"/>
          <w:szCs w:val="20"/>
        </w:rPr>
        <w:footnoteReference w:id="24"/>
      </w:r>
      <w:r w:rsidRPr="009667E6">
        <w:rPr>
          <w:rFonts w:ascii="Calibri" w:hAnsi="Calibri"/>
          <w:sz w:val="20"/>
          <w:szCs w:val="20"/>
          <w:lang w:val="en-GB"/>
        </w:rPr>
        <w:t>. A study conducted as part of the 5</w:t>
      </w:r>
      <w:r w:rsidRPr="009667E6">
        <w:rPr>
          <w:rFonts w:ascii="Calibri" w:hAnsi="Calibri"/>
          <w:sz w:val="20"/>
          <w:szCs w:val="20"/>
          <w:vertAlign w:val="superscript"/>
          <w:lang w:val="en-GB"/>
        </w:rPr>
        <w:t>th</w:t>
      </w:r>
      <w:r w:rsidRPr="009667E6">
        <w:rPr>
          <w:rFonts w:ascii="Calibri" w:hAnsi="Calibri"/>
          <w:sz w:val="20"/>
          <w:szCs w:val="20"/>
          <w:lang w:val="en-GB"/>
        </w:rPr>
        <w:t xml:space="preserve"> national report to the CBD (2014) states that plant cover decreased by 11.5% and 17.4% respectively between 2007 and 2012 in areas of high and very high vegetation cover.</w:t>
      </w:r>
    </w:p>
    <w:p w14:paraId="21E1EE85" w14:textId="099351D3" w:rsidR="000444D2" w:rsidRPr="009667E6"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GB"/>
        </w:rPr>
      </w:pPr>
      <w:r w:rsidRPr="009667E6">
        <w:rPr>
          <w:rFonts w:ascii="Calibri" w:eastAsia="Times New Roman" w:hAnsi="Calibri"/>
          <w:i/>
          <w:iCs/>
          <w:color w:val="2F5496"/>
          <w:sz w:val="20"/>
          <w:szCs w:val="20"/>
          <w:lang w:val="en-GB"/>
        </w:rPr>
        <w:t>Agricultural expansion</w:t>
      </w:r>
      <w:r w:rsidRPr="009667E6">
        <w:rPr>
          <w:rFonts w:ascii="Calibri" w:hAnsi="Calibri"/>
          <w:sz w:val="20"/>
          <w:szCs w:val="20"/>
          <w:lang w:val="en-GB"/>
        </w:rPr>
        <w:t xml:space="preserve"> Between 1992 and 2014, in the PONASI area (provinces of Bazega, Nahouri, Sissili, Ziro), agricultural expansion through land clearing averaged 1% per year, with a peak of 1.4 % from 1992 to 2002. </w:t>
      </w:r>
      <w:r w:rsidRPr="009667E6">
        <w:rPr>
          <w:rFonts w:ascii="Calibri" w:hAnsi="Calibri"/>
          <w:sz w:val="20"/>
          <w:szCs w:val="20"/>
          <w:lang w:val="en-CA"/>
        </w:rPr>
        <w:t>The area devoted to cotton fields grew 7.6-fold between 1980 and 2007 to the current size of 570,000 ha, thus increasing the proportion of cultivated area dedicated to cotton versus food crops from 2 to 19 % between 1986 and 2007</w:t>
      </w:r>
      <w:r w:rsidRPr="009667E6">
        <w:rPr>
          <w:rStyle w:val="Appelnotedebasdep"/>
          <w:rFonts w:ascii="Calibri" w:hAnsi="Calibri"/>
          <w:sz w:val="20"/>
          <w:szCs w:val="20"/>
          <w:lang w:val="en-CA"/>
        </w:rPr>
        <w:footnoteReference w:id="25"/>
      </w:r>
      <w:r w:rsidRPr="009667E6">
        <w:rPr>
          <w:rFonts w:ascii="Calibri" w:hAnsi="Calibri"/>
          <w:sz w:val="20"/>
          <w:szCs w:val="20"/>
          <w:lang w:val="en-CA"/>
        </w:rPr>
        <w:t>.</w:t>
      </w:r>
      <w:r w:rsidRPr="009667E6">
        <w:rPr>
          <w:rFonts w:ascii="Calibri" w:hAnsi="Calibri"/>
          <w:sz w:val="20"/>
          <w:szCs w:val="20"/>
          <w:lang w:val="en-GB"/>
        </w:rPr>
        <w:t xml:space="preserve"> </w:t>
      </w:r>
      <w:r w:rsidR="00C01619" w:rsidRPr="009667E6">
        <w:rPr>
          <w:rFonts w:asciiTheme="minorHAnsi" w:hAnsiTheme="minorHAnsi"/>
          <w:sz w:val="20"/>
          <w:szCs w:val="20"/>
          <w:lang w:val="en-GB"/>
        </w:rPr>
        <w:t>I</w:t>
      </w:r>
      <w:r w:rsidR="00C01619" w:rsidRPr="009667E6">
        <w:rPr>
          <w:rFonts w:asciiTheme="minorHAnsi" w:hAnsiTheme="minorHAnsi"/>
          <w:sz w:val="20"/>
          <w:szCs w:val="20"/>
          <w:lang w:val="en-CA"/>
        </w:rPr>
        <w:t>n the central south region, the cotton production was multiplied by 21 between 1996 and 2007, reaching 15,500 t in 2007</w:t>
      </w:r>
      <w:r w:rsidR="00C01619" w:rsidRPr="009667E6">
        <w:rPr>
          <w:rFonts w:asciiTheme="minorHAnsi" w:hAnsiTheme="minorHAnsi"/>
          <w:sz w:val="20"/>
          <w:szCs w:val="20"/>
          <w:vertAlign w:val="superscript"/>
          <w:lang w:val="en-CA"/>
        </w:rPr>
        <w:t>23</w:t>
      </w:r>
      <w:r w:rsidR="00C01619" w:rsidRPr="009667E6">
        <w:rPr>
          <w:rFonts w:asciiTheme="minorHAnsi" w:hAnsiTheme="minorHAnsi"/>
          <w:sz w:val="20"/>
          <w:szCs w:val="20"/>
          <w:lang w:val="en-CA"/>
        </w:rPr>
        <w:t xml:space="preserve">. </w:t>
      </w:r>
      <w:r w:rsidRPr="009667E6">
        <w:rPr>
          <w:rFonts w:ascii="Calibri" w:hAnsi="Calibri"/>
          <w:sz w:val="20"/>
          <w:szCs w:val="20"/>
          <w:lang w:val="en-GB"/>
        </w:rPr>
        <w:t xml:space="preserve">Agricultural statistics show an annual increase of 3.6% of the areas effectively </w:t>
      </w:r>
      <w:r w:rsidR="000444D2" w:rsidRPr="009667E6">
        <w:rPr>
          <w:rFonts w:ascii="Calibri" w:hAnsi="Calibri"/>
          <w:sz w:val="20"/>
          <w:szCs w:val="20"/>
          <w:lang w:val="en-GB"/>
        </w:rPr>
        <w:t>cultivated</w:t>
      </w:r>
      <w:r w:rsidRPr="009667E6">
        <w:rPr>
          <w:rFonts w:ascii="Calibri" w:hAnsi="Calibri"/>
          <w:sz w:val="20"/>
          <w:szCs w:val="20"/>
          <w:lang w:val="en-GB"/>
        </w:rPr>
        <w:t xml:space="preserve"> between 1992 and 2015. </w:t>
      </w:r>
      <w:r w:rsidR="00FA5EE5" w:rsidRPr="009667E6">
        <w:rPr>
          <w:rFonts w:ascii="Calibri" w:hAnsi="Calibri"/>
          <w:sz w:val="20"/>
          <w:szCs w:val="20"/>
          <w:lang w:val="en-GB"/>
        </w:rPr>
        <w:t xml:space="preserve">However, the difference between these sown areas and the agricultural areas is </w:t>
      </w:r>
      <w:r w:rsidR="000444D2" w:rsidRPr="009667E6">
        <w:rPr>
          <w:rFonts w:ascii="Calibri" w:hAnsi="Calibri"/>
          <w:sz w:val="20"/>
          <w:szCs w:val="20"/>
          <w:lang w:val="en-GB"/>
        </w:rPr>
        <w:t>significant</w:t>
      </w:r>
      <w:r w:rsidR="00FA5EE5" w:rsidRPr="009667E6">
        <w:rPr>
          <w:rFonts w:ascii="Calibri" w:hAnsi="Calibri"/>
          <w:sz w:val="20"/>
          <w:szCs w:val="20"/>
          <w:lang w:val="en-GB"/>
        </w:rPr>
        <w:t xml:space="preserve"> and increases by more than 1% per year in the PONASI </w:t>
      </w:r>
      <w:r w:rsidR="000444D2" w:rsidRPr="009667E6">
        <w:rPr>
          <w:rFonts w:ascii="Calibri" w:hAnsi="Calibri"/>
          <w:sz w:val="20"/>
          <w:szCs w:val="20"/>
          <w:lang w:val="en-GB"/>
        </w:rPr>
        <w:t>area</w:t>
      </w:r>
      <w:r w:rsidR="00FA5EE5" w:rsidRPr="009667E6">
        <w:rPr>
          <w:rFonts w:ascii="Calibri" w:hAnsi="Calibri"/>
          <w:sz w:val="20"/>
          <w:szCs w:val="20"/>
          <w:lang w:val="en-GB"/>
        </w:rPr>
        <w:t xml:space="preserve">, </w:t>
      </w:r>
      <w:r w:rsidR="000444D2" w:rsidRPr="009667E6">
        <w:rPr>
          <w:rFonts w:ascii="Calibri" w:hAnsi="Calibri"/>
          <w:sz w:val="20"/>
          <w:szCs w:val="20"/>
          <w:lang w:val="en-GB"/>
        </w:rPr>
        <w:t>which shows that more and more land is being cleared for the purpose of cutting and selling wood or charcoal, without being cultivated</w:t>
      </w:r>
      <w:r w:rsidR="000444D2" w:rsidRPr="009667E6">
        <w:rPr>
          <w:rStyle w:val="Appelnotedebasdep"/>
          <w:szCs w:val="20"/>
          <w:lang w:val="en-GB"/>
        </w:rPr>
        <w:footnoteReference w:id="26"/>
      </w:r>
      <w:r w:rsidR="000444D2" w:rsidRPr="009667E6">
        <w:rPr>
          <w:rFonts w:ascii="Calibri" w:hAnsi="Calibri"/>
          <w:sz w:val="20"/>
          <w:szCs w:val="20"/>
          <w:lang w:val="en-GB"/>
        </w:rPr>
        <w:t>. Land grabbing in this area leads to massive clearing of land that is never cultivated. In the provinces of Sissili and Ziro, large areas cleared by agribusinessmen have subsequently been converted into cashew orchards.</w:t>
      </w:r>
    </w:p>
    <w:p w14:paraId="751C6C6D" w14:textId="44E2726D" w:rsidR="00302BFE" w:rsidRPr="009667E6"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GB"/>
        </w:rPr>
      </w:pPr>
      <w:r w:rsidRPr="009667E6">
        <w:rPr>
          <w:rFonts w:ascii="Calibri" w:eastAsia="Times New Roman" w:hAnsi="Calibri"/>
          <w:i/>
          <w:iCs/>
          <w:color w:val="2F5496"/>
          <w:sz w:val="20"/>
          <w:szCs w:val="20"/>
          <w:lang w:val="en-GB"/>
        </w:rPr>
        <w:t>Livestock increase</w:t>
      </w:r>
      <w:r w:rsidRPr="009667E6">
        <w:rPr>
          <w:rFonts w:ascii="Calibri" w:hAnsi="Calibri"/>
          <w:sz w:val="20"/>
          <w:szCs w:val="20"/>
          <w:lang w:val="en-GB"/>
        </w:rPr>
        <w:t xml:space="preserve"> Livestock has increased significantly over the last 15 years and of 2.8% per year from 2013 to 2017, requiring vast land areas and putting tremendous pressure on the rich resources of the PONASI landscape savannahs. In 2017, the South central and West central regions of the PONASI landscape were among those with the best fodder potential: the coverage rate was estimated at 140% and 152%, respectively, for a duration of 11 and 12 months</w:t>
      </w:r>
      <w:r w:rsidR="00C01619" w:rsidRPr="009667E6">
        <w:rPr>
          <w:rStyle w:val="Appelnotedebasdep"/>
          <w:szCs w:val="20"/>
          <w:lang w:val="en-GB"/>
        </w:rPr>
        <w:footnoteReference w:id="27"/>
      </w:r>
      <w:r w:rsidRPr="009667E6">
        <w:rPr>
          <w:rFonts w:ascii="Calibri" w:hAnsi="Calibri"/>
          <w:sz w:val="20"/>
          <w:szCs w:val="20"/>
          <w:lang w:val="en-GB"/>
        </w:rPr>
        <w:t>.</w:t>
      </w:r>
    </w:p>
    <w:p w14:paraId="5E789099" w14:textId="39CF79FD" w:rsidR="00302BFE" w:rsidRPr="009667E6"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GB"/>
        </w:rPr>
      </w:pPr>
      <w:r w:rsidRPr="009667E6">
        <w:rPr>
          <w:rFonts w:ascii="Calibri" w:eastAsia="Times New Roman" w:hAnsi="Calibri"/>
          <w:i/>
          <w:iCs/>
          <w:color w:val="2F5496"/>
          <w:sz w:val="20"/>
          <w:szCs w:val="20"/>
          <w:lang w:val="en-GB"/>
        </w:rPr>
        <w:t>Decline in pasture productivity</w:t>
      </w:r>
      <w:r w:rsidRPr="009667E6">
        <w:rPr>
          <w:rFonts w:ascii="Calibri" w:hAnsi="Calibri"/>
          <w:sz w:val="20"/>
          <w:szCs w:val="20"/>
          <w:lang w:val="en-GB"/>
        </w:rPr>
        <w:t xml:space="preserve"> Declining grazing productivity, changing ecosystems, drying ponds and overgrazing have already severely affected the Sahel and are now spreading to the southern regions, forcing pastoralists to migrate to greener pastures and </w:t>
      </w:r>
      <w:r w:rsidRPr="009667E6">
        <w:rPr>
          <w:rFonts w:ascii="Calibri" w:hAnsi="Calibri"/>
          <w:sz w:val="20"/>
          <w:szCs w:val="20"/>
          <w:lang w:val="en-GB"/>
        </w:rPr>
        <w:lastRenderedPageBreak/>
        <w:t>leading to overexploitation of resources, land degradation and loss of productivity. These migrations also contribute to exacerbate land conflicts, as livestock production causes the dispersion and fragmentation of cultivated areas.</w:t>
      </w:r>
    </w:p>
    <w:p w14:paraId="5250394A" w14:textId="4369E412" w:rsidR="00302BFE" w:rsidRPr="009667E6"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GB"/>
        </w:rPr>
      </w:pPr>
      <w:r w:rsidRPr="009667E6">
        <w:rPr>
          <w:rFonts w:ascii="Calibri" w:eastAsia="Times New Roman" w:hAnsi="Calibri"/>
          <w:i/>
          <w:iCs/>
          <w:color w:val="2F5496"/>
          <w:sz w:val="20"/>
          <w:szCs w:val="20"/>
          <w:lang w:val="en-GB"/>
        </w:rPr>
        <w:t xml:space="preserve">Grabbing </w:t>
      </w:r>
      <w:r w:rsidR="00CB2536" w:rsidRPr="009667E6">
        <w:rPr>
          <w:rFonts w:ascii="Calibri" w:eastAsia="Times New Roman" w:hAnsi="Calibri"/>
          <w:i/>
          <w:iCs/>
          <w:color w:val="2F5496"/>
          <w:sz w:val="20"/>
          <w:szCs w:val="20"/>
          <w:lang w:val="en-GB"/>
        </w:rPr>
        <w:t xml:space="preserve">local communities’ </w:t>
      </w:r>
      <w:r w:rsidRPr="009667E6">
        <w:rPr>
          <w:rFonts w:ascii="Calibri" w:eastAsia="Times New Roman" w:hAnsi="Calibri"/>
          <w:i/>
          <w:iCs/>
          <w:color w:val="2F5496"/>
          <w:sz w:val="20"/>
          <w:szCs w:val="20"/>
          <w:lang w:val="en-GB"/>
        </w:rPr>
        <w:t xml:space="preserve">land reserves by agribusiness investors. </w:t>
      </w:r>
      <w:r w:rsidRPr="009667E6">
        <w:rPr>
          <w:rFonts w:ascii="Calibri" w:hAnsi="Calibri"/>
          <w:sz w:val="20"/>
          <w:szCs w:val="20"/>
          <w:lang w:val="en-GB"/>
        </w:rPr>
        <w:t xml:space="preserve">Large plots of land in fertile areas are increasingly being acquired by large economic operators and people with important positions, the "new rich", who are embarking on agribusiness at the expense of family or small-scale farming. These lands, which were part of the traditional land reserves of local communities, have been fallow for 30 years. They were thus covered with dense woody vegetation as secondary forests with high ecosystem services and a high carbon value. A study by </w:t>
      </w:r>
      <w:r w:rsidR="00C01619" w:rsidRPr="009667E6">
        <w:rPr>
          <w:rFonts w:ascii="Calibri" w:hAnsi="Calibri"/>
          <w:sz w:val="20"/>
          <w:szCs w:val="20"/>
          <w:lang w:val="en-GB"/>
        </w:rPr>
        <w:t xml:space="preserve">the Coalition for the Safeguarding of African Genetic Heritage </w:t>
      </w:r>
      <w:r w:rsidRPr="009667E6">
        <w:rPr>
          <w:rFonts w:ascii="Calibri" w:hAnsi="Calibri"/>
          <w:sz w:val="20"/>
          <w:szCs w:val="20"/>
          <w:lang w:val="en-GB"/>
        </w:rPr>
        <w:t>(</w:t>
      </w:r>
      <w:r w:rsidR="00C01619" w:rsidRPr="009667E6">
        <w:rPr>
          <w:rFonts w:ascii="Calibri" w:hAnsi="Calibri"/>
          <w:sz w:val="20"/>
          <w:szCs w:val="20"/>
          <w:lang w:val="en-GB"/>
        </w:rPr>
        <w:t>COPAGEN</w:t>
      </w:r>
      <w:r w:rsidRPr="009667E6">
        <w:rPr>
          <w:rFonts w:ascii="Calibri" w:hAnsi="Calibri"/>
          <w:sz w:val="20"/>
          <w:szCs w:val="20"/>
          <w:lang w:val="en-GB"/>
        </w:rPr>
        <w:t>) in 2012 showed that the PONASI regions (West Central / Ziro and Sissili provinces and South Central / Nahouri province) were among the most affected. The areas thus grabbed have been estimated at 1,527,000 ha in 2017. The blatant lack of fairness and equity in these transactions abusing the naivety and destitution of peasants was denounced in the media (www.ecodufaso.com), illustrating the case of a land of over 500 hectares acquired in exchange for a motorbike.</w:t>
      </w:r>
    </w:p>
    <w:p w14:paraId="6AB2A173" w14:textId="75ED1BD0" w:rsidR="00302BFE" w:rsidRPr="009667E6" w:rsidRDefault="00302BFE" w:rsidP="00302BFE">
      <w:pPr>
        <w:spacing w:before="120" w:after="120"/>
        <w:ind w:firstLine="720"/>
        <w:rPr>
          <w:b/>
          <w:szCs w:val="20"/>
          <w:lang w:val="en-GB"/>
        </w:rPr>
      </w:pPr>
      <w:r w:rsidRPr="009667E6">
        <w:rPr>
          <w:b/>
          <w:szCs w:val="20"/>
          <w:lang w:val="en-GB"/>
        </w:rPr>
        <w:t>Agro-sylvo-pastoral practices and harmful land management</w:t>
      </w:r>
    </w:p>
    <w:p w14:paraId="61E8A340" w14:textId="19D4F8A4" w:rsidR="00302BFE" w:rsidRPr="009667E6"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GB"/>
        </w:rPr>
      </w:pPr>
      <w:r w:rsidRPr="009667E6">
        <w:rPr>
          <w:rFonts w:ascii="Calibri" w:eastAsia="Times New Roman" w:hAnsi="Calibri"/>
          <w:i/>
          <w:iCs/>
          <w:color w:val="2F5496"/>
          <w:sz w:val="20"/>
          <w:szCs w:val="20"/>
          <w:lang w:val="en-GB"/>
        </w:rPr>
        <w:t>Complete clearing, non-selective cutting of trees and without anti-erosion measures.</w:t>
      </w:r>
      <w:r w:rsidRPr="009667E6">
        <w:rPr>
          <w:rFonts w:ascii="Calibri" w:hAnsi="Calibri"/>
          <w:sz w:val="20"/>
          <w:szCs w:val="20"/>
          <w:lang w:val="en-GB"/>
        </w:rPr>
        <w:t xml:space="preserve"> The traditional methods of clearing by controlled fires, practiced for generations by the itinerant farmers of Gourounsi, had allowed optimal conservation of the soil. Now, agri-food investors are clearing land indiscriminately, without sparing protected tree species, or implementing anti-erosion measures.</w:t>
      </w:r>
    </w:p>
    <w:p w14:paraId="34CBAC5C" w14:textId="61B26288" w:rsidR="00302BFE" w:rsidRPr="009667E6"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GB"/>
        </w:rPr>
      </w:pPr>
      <w:r w:rsidRPr="009667E6">
        <w:rPr>
          <w:rFonts w:ascii="Calibri" w:eastAsia="Times New Roman" w:hAnsi="Calibri"/>
          <w:i/>
          <w:iCs/>
          <w:color w:val="2F5496"/>
          <w:sz w:val="20"/>
          <w:szCs w:val="20"/>
          <w:lang w:val="en-GB"/>
        </w:rPr>
        <w:t>Loss of soil fertility</w:t>
      </w:r>
      <w:r w:rsidRPr="009667E6">
        <w:rPr>
          <w:rFonts w:ascii="Calibri" w:hAnsi="Calibri"/>
          <w:sz w:val="20"/>
          <w:szCs w:val="20"/>
          <w:lang w:val="en-GB"/>
        </w:rPr>
        <w:t xml:space="preserve"> Exposed to the elements and the resulting erosion, the initial fertility of the soil is rapidly lost in five years, requiring then substantial inputs of fertilizers or causing the abandonment of land for new clearings. For rural households, these practices result from a lack of capacity to invest in maintaining fertility. For investors, these practices result from an ambition of land grabbing for the purpose of land immobilization and a lack of know-how and capacity to invest in intensive agriculture. It has been observed that most "</w:t>
      </w:r>
      <w:r w:rsidRPr="009667E6">
        <w:rPr>
          <w:rFonts w:ascii="Calibri" w:hAnsi="Calibri"/>
          <w:i/>
          <w:sz w:val="20"/>
          <w:szCs w:val="20"/>
          <w:lang w:val="en-GB"/>
        </w:rPr>
        <w:t>agribusiness</w:t>
      </w:r>
      <w:r w:rsidRPr="009667E6">
        <w:rPr>
          <w:rFonts w:ascii="Calibri" w:hAnsi="Calibri"/>
          <w:sz w:val="20"/>
          <w:szCs w:val="20"/>
          <w:lang w:val="en-GB"/>
        </w:rPr>
        <w:t xml:space="preserve"> projects" have never achieved their goal of high-yield productivity, even proving to be less profitable than traditional farms.</w:t>
      </w:r>
    </w:p>
    <w:p w14:paraId="04A024A9" w14:textId="4E4E39B8" w:rsidR="00302BFE" w:rsidRPr="009667E6"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GB"/>
        </w:rPr>
      </w:pPr>
      <w:r w:rsidRPr="009667E6">
        <w:rPr>
          <w:rFonts w:ascii="Calibri" w:eastAsia="Times New Roman" w:hAnsi="Calibri"/>
          <w:i/>
          <w:iCs/>
          <w:color w:val="2F5496"/>
          <w:sz w:val="20"/>
          <w:szCs w:val="20"/>
          <w:lang w:val="en-GB"/>
        </w:rPr>
        <w:t>Excessive use of herbicides, pesticides and unregistered fertilizers</w:t>
      </w:r>
      <w:r w:rsidRPr="009667E6">
        <w:rPr>
          <w:rFonts w:ascii="Calibri" w:hAnsi="Calibri"/>
          <w:sz w:val="20"/>
          <w:szCs w:val="20"/>
          <w:lang w:val="en-GB"/>
        </w:rPr>
        <w:t xml:space="preserve"> Although reliable data on the subject are not available, the use of herbicides is booming in the PONASI Complex area. They are used more and more on farms (i) as a pre-sowing weed killer (allowing farmers to sow after full usage of weed killers and no tillage), (ii) to reduce weed germination (after plowing and sowing), (iii) as a total weed killer in orchards and even (iv) to clear new fields by minimizing manual labour. The herbicides used are not registered and are bought on the local market, abundantly supplied from Ghana. The herbicides, pesticides and fertilizers used in excess are leached and contaminate the soil and watercourses of the ecosystems. Their use in the production areas threatens the survival of bees and their pollination role as well as the production of honey. Already in 2006, a beekeeping cooperative had noted a drop of nearly 50% in the colonization of hives by bees in areas of high cotton production in the east of the country</w:t>
      </w:r>
      <w:r w:rsidRPr="009667E6">
        <w:rPr>
          <w:rStyle w:val="Appelnotedebasdep"/>
          <w:rFonts w:ascii="Calibri" w:hAnsi="Calibri"/>
          <w:sz w:val="20"/>
          <w:szCs w:val="20"/>
        </w:rPr>
        <w:footnoteReference w:id="28"/>
      </w:r>
      <w:r w:rsidRPr="009667E6">
        <w:rPr>
          <w:rFonts w:ascii="Calibri" w:hAnsi="Calibri"/>
          <w:sz w:val="20"/>
          <w:szCs w:val="20"/>
          <w:lang w:val="en-GB"/>
        </w:rPr>
        <w:t>. This phenomenon could also be observed in the PONASI complex, which is one of the cotton zones of SOFITEX and the FASOCOTON company.</w:t>
      </w:r>
    </w:p>
    <w:p w14:paraId="0EAB15B4" w14:textId="388C6C64" w:rsidR="00302BFE" w:rsidRPr="009667E6"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GB"/>
        </w:rPr>
      </w:pPr>
      <w:r w:rsidRPr="009667E6">
        <w:rPr>
          <w:rFonts w:ascii="Calibri" w:eastAsia="Times New Roman" w:hAnsi="Calibri"/>
          <w:i/>
          <w:iCs/>
          <w:color w:val="2F5496"/>
          <w:sz w:val="20"/>
          <w:szCs w:val="20"/>
          <w:lang w:val="en-GB"/>
        </w:rPr>
        <w:t>Increased frequency and extent of uncontrolled bush fires</w:t>
      </w:r>
      <w:r w:rsidRPr="009667E6">
        <w:rPr>
          <w:rFonts w:ascii="Calibri" w:hAnsi="Calibri"/>
          <w:sz w:val="20"/>
          <w:szCs w:val="20"/>
          <w:lang w:val="en-GB"/>
        </w:rPr>
        <w:t>:</w:t>
      </w:r>
      <w:r w:rsidRPr="009667E6">
        <w:rPr>
          <w:rFonts w:ascii="Calibri" w:hAnsi="Calibri"/>
          <w:bCs/>
          <w:sz w:val="20"/>
          <w:szCs w:val="20"/>
          <w:lang w:val="en-GB"/>
        </w:rPr>
        <w:t xml:space="preserve"> In recent years, uncontrolled and large-scale bush fires in the PONASI landscape have been caused by slash-and-burn agriculture and, to some extent, exacerbated by climate change. In the Sudanian savannahs, where a continuous carpet of perennial grasses connects areas of dense vegetation cover, bush fires can be massive and destroy vast natural habitats. National statistics on bush fires since 2001</w:t>
      </w:r>
      <w:r w:rsidRPr="009667E6">
        <w:rPr>
          <w:rStyle w:val="Appelnotedebasdep"/>
          <w:bCs/>
          <w:szCs w:val="20"/>
          <w:lang w:val="en-GB"/>
        </w:rPr>
        <w:footnoteReference w:id="29"/>
      </w:r>
      <w:r w:rsidRPr="009667E6">
        <w:rPr>
          <w:rFonts w:ascii="Calibri" w:hAnsi="Calibri"/>
          <w:bCs/>
          <w:sz w:val="20"/>
          <w:szCs w:val="20"/>
          <w:lang w:val="en-GB"/>
        </w:rPr>
        <w:t xml:space="preserve"> show a decline in bushfire activity over the past 15 years, with a regression rate of 8.52% between 2001 and 2004 and 11% between 2010 and 2014. While the practice of fire remains high in protected areas and other classified forests, it is strongly declining in unclassified protected forests (forest estate of territorial communities). The regions with the highest frequency and magnitude of bush fires are those with high biomass potential to burn, which means large areas of reserves, parks and classified forests. Between 2001 and 2010 in the West-central and South-central regions of the PONASI complex, bush fires affected 25 to 28% of the territory. In 2014, these proportions were only 8% for the West central and 12% for the South central, mainly in the PNKT, the Nazinga Ranch and the classified forests of Sissili and Nazinon.</w:t>
      </w:r>
      <w:r w:rsidRPr="009667E6">
        <w:rPr>
          <w:rStyle w:val="Appelnotedebasdep"/>
          <w:rFonts w:ascii="Calibri" w:hAnsi="Calibri" w:cs="Calibri"/>
          <w:sz w:val="20"/>
          <w:szCs w:val="20"/>
        </w:rPr>
        <w:footnoteReference w:id="30"/>
      </w:r>
    </w:p>
    <w:p w14:paraId="546C579B" w14:textId="3B9D710B" w:rsidR="00302BFE" w:rsidRPr="009667E6" w:rsidRDefault="00302BFE" w:rsidP="00302BFE">
      <w:pPr>
        <w:spacing w:before="240" w:after="120"/>
        <w:ind w:firstLine="720"/>
        <w:rPr>
          <w:b/>
          <w:szCs w:val="20"/>
          <w:lang w:val="en-GB"/>
        </w:rPr>
      </w:pPr>
      <w:r w:rsidRPr="009667E6">
        <w:rPr>
          <w:b/>
          <w:szCs w:val="20"/>
          <w:lang w:val="en-GB"/>
        </w:rPr>
        <w:t>Overexploitation of natural resources</w:t>
      </w:r>
    </w:p>
    <w:p w14:paraId="5B69BE82" w14:textId="77E56D62" w:rsidR="00302BFE" w:rsidRPr="009667E6" w:rsidRDefault="00302BFE" w:rsidP="00C46720">
      <w:pPr>
        <w:pStyle w:val="Paragraphedeliste"/>
        <w:numPr>
          <w:ilvl w:val="0"/>
          <w:numId w:val="32"/>
        </w:numPr>
        <w:tabs>
          <w:tab w:val="left" w:pos="284"/>
        </w:tabs>
        <w:spacing w:before="120" w:after="120"/>
        <w:ind w:left="0" w:firstLine="0"/>
        <w:jc w:val="both"/>
        <w:rPr>
          <w:rFonts w:ascii="Calibri" w:eastAsia="Times New Roman" w:hAnsi="Calibri"/>
          <w:iCs/>
          <w:sz w:val="20"/>
          <w:szCs w:val="20"/>
          <w:lang w:val="en-GB"/>
        </w:rPr>
      </w:pPr>
      <w:r w:rsidRPr="009667E6">
        <w:rPr>
          <w:rFonts w:ascii="Calibri" w:eastAsia="Times New Roman" w:hAnsi="Calibri"/>
          <w:i/>
          <w:iCs/>
          <w:color w:val="2F5496"/>
          <w:sz w:val="20"/>
          <w:szCs w:val="20"/>
          <w:lang w:val="en-GB"/>
        </w:rPr>
        <w:t>Overexploitation of fuelwood</w:t>
      </w:r>
      <w:r w:rsidRPr="009667E6">
        <w:rPr>
          <w:rFonts w:ascii="Calibri" w:hAnsi="Calibri"/>
          <w:sz w:val="20"/>
          <w:szCs w:val="20"/>
          <w:lang w:val="en-GB"/>
        </w:rPr>
        <w:t xml:space="preserve"> The PONASI area is referred to as the "wood park" of Ouagadougou, the capital city. The increased demand for firewood to supply not only Ouagadougou, but also other urbanized areas near the PONASI landscape area, is leading to overexploitation of timber, putting additional pressure on these scarce forest resources. During the period 2010 to 2015, the 8 forest management worksites (CAF) located in the PONASI zone produced 1,442,747 wood-energy stems intended mainly for the supply of the city of Ouagadougou and the chief towns of the communes</w:t>
      </w:r>
      <w:r w:rsidRPr="009667E6">
        <w:rPr>
          <w:rStyle w:val="Appelnotedebasdep"/>
          <w:szCs w:val="20"/>
          <w:lang w:val="fr-CA"/>
        </w:rPr>
        <w:footnoteReference w:id="31"/>
      </w:r>
      <w:r w:rsidRPr="009667E6">
        <w:rPr>
          <w:rFonts w:ascii="Calibri" w:hAnsi="Calibri"/>
          <w:sz w:val="20"/>
          <w:szCs w:val="20"/>
          <w:lang w:val="en-GB"/>
        </w:rPr>
        <w:t>. Data on charcoal is only available for the year 2015 and indicates the production of 312,900 quintals from two of the 8 projects in the area.</w:t>
      </w:r>
    </w:p>
    <w:p w14:paraId="34E11F5E" w14:textId="2ACE6A76" w:rsidR="008623A1" w:rsidRPr="009667E6" w:rsidRDefault="001E6847" w:rsidP="00C46720">
      <w:pPr>
        <w:pStyle w:val="Paragraphedeliste"/>
        <w:numPr>
          <w:ilvl w:val="0"/>
          <w:numId w:val="32"/>
        </w:numPr>
        <w:tabs>
          <w:tab w:val="left" w:pos="284"/>
        </w:tabs>
        <w:spacing w:before="120" w:after="120"/>
        <w:ind w:left="0" w:firstLine="0"/>
        <w:jc w:val="both"/>
        <w:rPr>
          <w:rFonts w:asciiTheme="minorHAnsi" w:eastAsia="Calibri" w:hAnsiTheme="minorHAnsi"/>
          <w:color w:val="000000"/>
          <w:sz w:val="20"/>
          <w:szCs w:val="20"/>
          <w:lang w:val="en-GB"/>
        </w:rPr>
      </w:pPr>
      <w:r w:rsidRPr="009667E6">
        <w:rPr>
          <w:rFonts w:ascii="Calibri" w:eastAsia="Times New Roman" w:hAnsi="Calibri"/>
          <w:i/>
          <w:iCs/>
          <w:color w:val="2F5496"/>
          <w:sz w:val="20"/>
          <w:szCs w:val="20"/>
          <w:lang w:val="en-GB"/>
        </w:rPr>
        <w:lastRenderedPageBreak/>
        <w:t>Wildlife p</w:t>
      </w:r>
      <w:r w:rsidR="00302BFE" w:rsidRPr="009667E6">
        <w:rPr>
          <w:rFonts w:ascii="Calibri" w:eastAsia="Times New Roman" w:hAnsi="Calibri"/>
          <w:i/>
          <w:iCs/>
          <w:color w:val="2F5496"/>
          <w:sz w:val="20"/>
          <w:szCs w:val="20"/>
          <w:lang w:val="en-GB"/>
        </w:rPr>
        <w:t>oaching</w:t>
      </w:r>
      <w:r w:rsidR="00302BFE" w:rsidRPr="009667E6">
        <w:rPr>
          <w:rFonts w:ascii="Calibri" w:hAnsi="Calibri"/>
          <w:sz w:val="20"/>
          <w:szCs w:val="20"/>
          <w:lang w:val="en-GB"/>
        </w:rPr>
        <w:t>.</w:t>
      </w:r>
      <w:r w:rsidR="00302BFE" w:rsidRPr="009667E6">
        <w:rPr>
          <w:rFonts w:ascii="Calibri" w:hAnsi="Calibri"/>
          <w:bCs/>
          <w:sz w:val="20"/>
          <w:szCs w:val="20"/>
          <w:lang w:val="en-GB"/>
        </w:rPr>
        <w:t xml:space="preserve"> </w:t>
      </w:r>
      <w:r w:rsidR="00302BFE" w:rsidRPr="009667E6">
        <w:rPr>
          <w:rFonts w:ascii="Calibri" w:eastAsia="Times New Roman" w:hAnsi="Calibri"/>
          <w:sz w:val="20"/>
          <w:szCs w:val="20"/>
          <w:lang w:val="en-GB"/>
        </w:rPr>
        <w:t xml:space="preserve">The intensity of conflict </w:t>
      </w:r>
      <w:r w:rsidR="00BF7D67" w:rsidRPr="009667E6">
        <w:rPr>
          <w:rFonts w:asciiTheme="minorHAnsi" w:eastAsia="Calibri" w:hAnsiTheme="minorHAnsi"/>
          <w:color w:val="000000"/>
          <w:sz w:val="20"/>
          <w:szCs w:val="20"/>
          <w:lang w:val="en-GB"/>
        </w:rPr>
        <w:t xml:space="preserve">with </w:t>
      </w:r>
      <w:r w:rsidR="00BF7D67" w:rsidRPr="009667E6">
        <w:rPr>
          <w:rFonts w:ascii="Calibri" w:eastAsia="Times New Roman" w:hAnsi="Calibri"/>
          <w:sz w:val="20"/>
          <w:szCs w:val="20"/>
          <w:lang w:val="en-GB"/>
        </w:rPr>
        <w:t xml:space="preserve">elephants </w:t>
      </w:r>
      <w:r w:rsidR="00302BFE" w:rsidRPr="009667E6">
        <w:rPr>
          <w:rFonts w:ascii="Calibri" w:eastAsia="Times New Roman" w:hAnsi="Calibri"/>
          <w:sz w:val="20"/>
          <w:szCs w:val="20"/>
          <w:lang w:val="en-GB"/>
        </w:rPr>
        <w:t xml:space="preserve">is very high in the farms </w:t>
      </w:r>
      <w:r w:rsidR="006367A4" w:rsidRPr="009667E6">
        <w:rPr>
          <w:rFonts w:asciiTheme="minorHAnsi" w:eastAsia="Calibri" w:hAnsiTheme="minorHAnsi"/>
          <w:color w:val="000000"/>
          <w:sz w:val="20"/>
          <w:szCs w:val="20"/>
          <w:lang w:val="en-GB"/>
        </w:rPr>
        <w:t xml:space="preserve">bordering </w:t>
      </w:r>
      <w:r w:rsidR="00302BFE" w:rsidRPr="009667E6">
        <w:rPr>
          <w:rFonts w:ascii="Calibri" w:eastAsia="Times New Roman" w:hAnsi="Calibri"/>
          <w:sz w:val="20"/>
          <w:szCs w:val="20"/>
          <w:lang w:val="en-GB"/>
        </w:rPr>
        <w:t xml:space="preserve">protected areas, such as the Kabore-Tambi National Park. Wildlife </w:t>
      </w:r>
      <w:r w:rsidR="006367A4" w:rsidRPr="009667E6">
        <w:rPr>
          <w:rFonts w:ascii="Calibri" w:eastAsia="Times New Roman" w:hAnsi="Calibri"/>
          <w:sz w:val="20"/>
          <w:szCs w:val="20"/>
          <w:lang w:val="en-GB"/>
        </w:rPr>
        <w:t>m</w:t>
      </w:r>
      <w:r w:rsidR="00302BFE" w:rsidRPr="009667E6">
        <w:rPr>
          <w:rFonts w:ascii="Calibri" w:eastAsia="Times New Roman" w:hAnsi="Calibri"/>
          <w:sz w:val="20"/>
          <w:szCs w:val="20"/>
          <w:lang w:val="en-GB"/>
        </w:rPr>
        <w:t xml:space="preserve">anagement </w:t>
      </w:r>
      <w:r w:rsidR="006367A4" w:rsidRPr="009667E6">
        <w:rPr>
          <w:rFonts w:ascii="Calibri" w:eastAsia="Times New Roman" w:hAnsi="Calibri"/>
          <w:sz w:val="20"/>
          <w:szCs w:val="20"/>
          <w:lang w:val="en-GB"/>
        </w:rPr>
        <w:t>a</w:t>
      </w:r>
      <w:r w:rsidR="00302BFE" w:rsidRPr="009667E6">
        <w:rPr>
          <w:rFonts w:ascii="Calibri" w:eastAsia="Times New Roman" w:hAnsi="Calibri"/>
          <w:sz w:val="20"/>
          <w:szCs w:val="20"/>
          <w:lang w:val="en-GB"/>
        </w:rPr>
        <w:t xml:space="preserve">uthorities have applied various interventions to deal with these HWC incidents with </w:t>
      </w:r>
      <w:r w:rsidR="00BF7D67" w:rsidRPr="009667E6">
        <w:rPr>
          <w:rFonts w:ascii="Calibri" w:eastAsia="Times New Roman" w:hAnsi="Calibri"/>
          <w:sz w:val="20"/>
          <w:szCs w:val="20"/>
          <w:lang w:val="en-GB"/>
        </w:rPr>
        <w:t>unequal</w:t>
      </w:r>
      <w:r w:rsidR="00302BFE" w:rsidRPr="009667E6">
        <w:rPr>
          <w:rFonts w:ascii="Calibri" w:eastAsia="Times New Roman" w:hAnsi="Calibri"/>
          <w:sz w:val="20"/>
          <w:szCs w:val="20"/>
          <w:lang w:val="en-GB"/>
        </w:rPr>
        <w:t xml:space="preserve"> success. Poverty, lack of enforcement capacity and</w:t>
      </w:r>
      <w:r w:rsidR="007346D9" w:rsidRPr="009667E6">
        <w:rPr>
          <w:rFonts w:ascii="Calibri" w:eastAsia="Times New Roman" w:hAnsi="Calibri"/>
          <w:sz w:val="20"/>
          <w:szCs w:val="20"/>
          <w:lang w:val="en-GB"/>
        </w:rPr>
        <w:t xml:space="preserve"> </w:t>
      </w:r>
      <w:r w:rsidR="00302BFE" w:rsidRPr="009667E6">
        <w:rPr>
          <w:rFonts w:ascii="Calibri" w:eastAsia="Times New Roman" w:hAnsi="Calibri"/>
          <w:sz w:val="20"/>
          <w:szCs w:val="20"/>
          <w:lang w:val="en-GB"/>
        </w:rPr>
        <w:t xml:space="preserve">the demand </w:t>
      </w:r>
      <w:r w:rsidR="008623A1" w:rsidRPr="009667E6">
        <w:rPr>
          <w:rFonts w:ascii="Calibri" w:eastAsia="Times New Roman" w:hAnsi="Calibri"/>
          <w:sz w:val="20"/>
          <w:szCs w:val="20"/>
          <w:lang w:val="en-GB"/>
        </w:rPr>
        <w:t>from</w:t>
      </w:r>
      <w:r w:rsidR="00302BFE" w:rsidRPr="009667E6">
        <w:rPr>
          <w:rFonts w:ascii="Calibri" w:eastAsia="Times New Roman" w:hAnsi="Calibri"/>
          <w:sz w:val="20"/>
          <w:szCs w:val="20"/>
          <w:lang w:val="en-GB"/>
        </w:rPr>
        <w:t xml:space="preserve"> consumer countries </w:t>
      </w:r>
      <w:r w:rsidR="008623A1" w:rsidRPr="009667E6">
        <w:rPr>
          <w:rFonts w:ascii="Calibri" w:eastAsia="Times New Roman" w:hAnsi="Calibri"/>
          <w:sz w:val="20"/>
          <w:szCs w:val="20"/>
          <w:lang w:val="en-GB"/>
        </w:rPr>
        <w:t>suppor</w:t>
      </w:r>
      <w:r w:rsidR="00302BFE" w:rsidRPr="009667E6">
        <w:rPr>
          <w:rFonts w:ascii="Calibri" w:eastAsia="Times New Roman" w:hAnsi="Calibri"/>
          <w:sz w:val="20"/>
          <w:szCs w:val="20"/>
          <w:lang w:val="en-GB"/>
        </w:rPr>
        <w:t>ting a</w:t>
      </w:r>
      <w:r w:rsidR="007346D9" w:rsidRPr="009667E6">
        <w:rPr>
          <w:rFonts w:ascii="Calibri" w:eastAsia="Times New Roman" w:hAnsi="Calibri"/>
          <w:sz w:val="20"/>
          <w:szCs w:val="20"/>
          <w:lang w:val="en-GB"/>
        </w:rPr>
        <w:t>n</w:t>
      </w:r>
      <w:r w:rsidR="00302BFE" w:rsidRPr="009667E6">
        <w:rPr>
          <w:rFonts w:ascii="Calibri" w:eastAsia="Times New Roman" w:hAnsi="Calibri"/>
          <w:sz w:val="20"/>
          <w:szCs w:val="20"/>
          <w:lang w:val="en-GB"/>
        </w:rPr>
        <w:t xml:space="preserve"> illicit trade market </w:t>
      </w:r>
      <w:r w:rsidR="008623A1" w:rsidRPr="009667E6">
        <w:rPr>
          <w:rFonts w:ascii="Calibri" w:eastAsia="Times New Roman" w:hAnsi="Calibri"/>
          <w:sz w:val="20"/>
          <w:szCs w:val="20"/>
          <w:lang w:val="en-GB"/>
        </w:rPr>
        <w:t>are</w:t>
      </w:r>
      <w:r w:rsidR="00302BFE" w:rsidRPr="009667E6">
        <w:rPr>
          <w:rFonts w:ascii="Calibri" w:eastAsia="Times New Roman" w:hAnsi="Calibri"/>
          <w:sz w:val="20"/>
          <w:szCs w:val="20"/>
          <w:lang w:val="en-GB"/>
        </w:rPr>
        <w:t xml:space="preserve"> the main causes of poaching. Poachers prey on almost all mammals, but the most sought</w:t>
      </w:r>
      <w:r w:rsidR="008623A1" w:rsidRPr="009667E6">
        <w:rPr>
          <w:rFonts w:ascii="Calibri" w:eastAsia="Times New Roman" w:hAnsi="Calibri"/>
          <w:sz w:val="20"/>
          <w:szCs w:val="20"/>
          <w:lang w:val="en-GB"/>
        </w:rPr>
        <w:t>-</w:t>
      </w:r>
      <w:r w:rsidR="00302BFE" w:rsidRPr="009667E6">
        <w:rPr>
          <w:rFonts w:ascii="Calibri" w:eastAsia="Times New Roman" w:hAnsi="Calibri"/>
          <w:sz w:val="20"/>
          <w:szCs w:val="20"/>
          <w:lang w:val="en-GB"/>
        </w:rPr>
        <w:t>after are the antelopes (</w:t>
      </w:r>
      <w:r w:rsidR="00302BFE" w:rsidRPr="009667E6">
        <w:rPr>
          <w:rFonts w:ascii="Calibri" w:eastAsia="Times New Roman" w:hAnsi="Calibri"/>
          <w:i/>
          <w:sz w:val="20"/>
          <w:szCs w:val="20"/>
          <w:lang w:val="en-GB"/>
        </w:rPr>
        <w:t>Hippotragus equinus</w:t>
      </w:r>
      <w:r w:rsidR="00302BFE" w:rsidRPr="009667E6">
        <w:rPr>
          <w:rFonts w:ascii="Calibri" w:eastAsia="Times New Roman" w:hAnsi="Calibri"/>
          <w:sz w:val="20"/>
          <w:szCs w:val="20"/>
          <w:lang w:val="en-GB"/>
        </w:rPr>
        <w:t>), the hartebeest (</w:t>
      </w:r>
      <w:r w:rsidR="00302BFE" w:rsidRPr="009667E6">
        <w:rPr>
          <w:rFonts w:ascii="Calibri" w:eastAsia="Times New Roman" w:hAnsi="Calibri"/>
          <w:i/>
          <w:sz w:val="20"/>
          <w:szCs w:val="20"/>
          <w:lang w:val="en-GB"/>
        </w:rPr>
        <w:t>Alcelephus buselaphus</w:t>
      </w:r>
      <w:r w:rsidR="00302BFE" w:rsidRPr="009667E6">
        <w:rPr>
          <w:rFonts w:ascii="Calibri" w:eastAsia="Times New Roman" w:hAnsi="Calibri"/>
          <w:sz w:val="20"/>
          <w:szCs w:val="20"/>
          <w:lang w:val="en-GB"/>
        </w:rPr>
        <w:t>), the warthog (</w:t>
      </w:r>
      <w:r w:rsidR="00302BFE" w:rsidRPr="009667E6">
        <w:rPr>
          <w:rFonts w:ascii="Calibri" w:eastAsia="Times New Roman" w:hAnsi="Calibri"/>
          <w:i/>
          <w:sz w:val="20"/>
          <w:szCs w:val="20"/>
          <w:lang w:val="en-GB"/>
        </w:rPr>
        <w:t>Phacochoerus africanus</w:t>
      </w:r>
      <w:r w:rsidR="00302BFE" w:rsidRPr="009667E6">
        <w:rPr>
          <w:rFonts w:ascii="Calibri" w:eastAsia="Times New Roman" w:hAnsi="Calibri"/>
          <w:sz w:val="20"/>
          <w:szCs w:val="20"/>
          <w:lang w:val="en-GB"/>
        </w:rPr>
        <w:t>), the elephant (</w:t>
      </w:r>
      <w:r w:rsidR="00302BFE" w:rsidRPr="009667E6">
        <w:rPr>
          <w:rFonts w:ascii="Calibri" w:eastAsia="Times New Roman" w:hAnsi="Calibri"/>
          <w:i/>
          <w:sz w:val="20"/>
          <w:szCs w:val="20"/>
          <w:lang w:val="en-GB"/>
        </w:rPr>
        <w:t>Loxodonta africana</w:t>
      </w:r>
      <w:r w:rsidR="00302BFE" w:rsidRPr="009667E6">
        <w:rPr>
          <w:rFonts w:ascii="Calibri" w:eastAsia="Times New Roman" w:hAnsi="Calibri"/>
          <w:sz w:val="20"/>
          <w:szCs w:val="20"/>
          <w:lang w:val="en-GB"/>
        </w:rPr>
        <w:t xml:space="preserve"> - </w:t>
      </w:r>
      <w:r w:rsidR="00302BFE" w:rsidRPr="009667E6">
        <w:rPr>
          <w:rFonts w:ascii="Calibri" w:eastAsia="Times New Roman" w:hAnsi="Calibri"/>
          <w:b/>
          <w:sz w:val="20"/>
          <w:szCs w:val="20"/>
          <w:lang w:val="en-GB"/>
        </w:rPr>
        <w:t>VU</w:t>
      </w:r>
      <w:r w:rsidR="00302BFE" w:rsidRPr="009667E6">
        <w:rPr>
          <w:rFonts w:ascii="Calibri" w:eastAsia="Times New Roman" w:hAnsi="Calibri"/>
          <w:sz w:val="20"/>
          <w:szCs w:val="20"/>
          <w:lang w:val="en-GB"/>
        </w:rPr>
        <w:t>), the bushbuck (</w:t>
      </w:r>
      <w:r w:rsidR="00302BFE" w:rsidRPr="009667E6">
        <w:rPr>
          <w:rFonts w:ascii="Calibri" w:eastAsia="Times New Roman" w:hAnsi="Calibri"/>
          <w:i/>
          <w:sz w:val="20"/>
          <w:szCs w:val="20"/>
          <w:lang w:val="en-GB"/>
        </w:rPr>
        <w:t>Tragelaphus scriptus</w:t>
      </w:r>
      <w:r w:rsidR="00302BFE" w:rsidRPr="009667E6">
        <w:rPr>
          <w:rFonts w:ascii="Calibri" w:eastAsia="Times New Roman" w:hAnsi="Calibri"/>
          <w:sz w:val="20"/>
          <w:szCs w:val="20"/>
          <w:lang w:val="en-GB"/>
        </w:rPr>
        <w:t>), the oribi (</w:t>
      </w:r>
      <w:r w:rsidR="00302BFE" w:rsidRPr="009667E6">
        <w:rPr>
          <w:rFonts w:ascii="Calibri" w:eastAsia="Times New Roman" w:hAnsi="Calibri"/>
          <w:i/>
          <w:sz w:val="20"/>
          <w:szCs w:val="20"/>
          <w:lang w:val="en-GB"/>
        </w:rPr>
        <w:t>Ourebia ourebi</w:t>
      </w:r>
      <w:r w:rsidR="00302BFE" w:rsidRPr="009667E6">
        <w:rPr>
          <w:rFonts w:ascii="Calibri" w:eastAsia="Times New Roman" w:hAnsi="Calibri"/>
          <w:sz w:val="20"/>
          <w:szCs w:val="20"/>
          <w:lang w:val="en-GB"/>
        </w:rPr>
        <w:t>), the Grimm's duiker (</w:t>
      </w:r>
      <w:r w:rsidR="00302BFE" w:rsidRPr="009667E6">
        <w:rPr>
          <w:rFonts w:ascii="Calibri" w:eastAsia="Times New Roman" w:hAnsi="Calibri"/>
          <w:i/>
          <w:sz w:val="20"/>
          <w:szCs w:val="20"/>
          <w:lang w:val="en-GB"/>
        </w:rPr>
        <w:t>Sylvicapra grimmia</w:t>
      </w:r>
      <w:r w:rsidR="00302BFE" w:rsidRPr="009667E6">
        <w:rPr>
          <w:rFonts w:ascii="Calibri" w:eastAsia="Times New Roman" w:hAnsi="Calibri"/>
          <w:sz w:val="20"/>
          <w:szCs w:val="20"/>
          <w:lang w:val="en-GB"/>
        </w:rPr>
        <w:t>), the reedbuck (</w:t>
      </w:r>
      <w:r w:rsidR="00302BFE" w:rsidRPr="009667E6">
        <w:rPr>
          <w:rFonts w:ascii="Calibri" w:eastAsia="Times New Roman" w:hAnsi="Calibri"/>
          <w:i/>
          <w:sz w:val="20"/>
          <w:szCs w:val="20"/>
          <w:lang w:val="en-GB"/>
        </w:rPr>
        <w:t>Redunca redunca</w:t>
      </w:r>
      <w:r w:rsidR="00302BFE" w:rsidRPr="009667E6">
        <w:rPr>
          <w:rFonts w:ascii="Calibri" w:eastAsia="Times New Roman" w:hAnsi="Calibri"/>
          <w:sz w:val="20"/>
          <w:szCs w:val="20"/>
          <w:lang w:val="en-GB"/>
        </w:rPr>
        <w:t>), the Buffon's kob (</w:t>
      </w:r>
      <w:r w:rsidR="00302BFE" w:rsidRPr="009667E6">
        <w:rPr>
          <w:rFonts w:ascii="Calibri" w:eastAsia="Times New Roman" w:hAnsi="Calibri"/>
          <w:i/>
          <w:sz w:val="20"/>
          <w:szCs w:val="20"/>
          <w:lang w:val="en-GB"/>
        </w:rPr>
        <w:t>Kobus kob</w:t>
      </w:r>
      <w:r w:rsidR="00302BFE" w:rsidRPr="009667E6">
        <w:rPr>
          <w:rFonts w:ascii="Calibri" w:eastAsia="Times New Roman" w:hAnsi="Calibri"/>
          <w:sz w:val="20"/>
          <w:szCs w:val="20"/>
          <w:lang w:val="en-GB"/>
        </w:rPr>
        <w:t>), the Bushbuck (</w:t>
      </w:r>
      <w:r w:rsidR="00302BFE" w:rsidRPr="009667E6">
        <w:rPr>
          <w:rFonts w:ascii="Calibri" w:eastAsia="Times New Roman" w:hAnsi="Calibri"/>
          <w:i/>
          <w:sz w:val="20"/>
          <w:szCs w:val="20"/>
          <w:lang w:val="en-GB"/>
        </w:rPr>
        <w:t>Kobus ellipsiprymnus ssp defassa</w:t>
      </w:r>
      <w:r w:rsidR="00302BFE" w:rsidRPr="009667E6">
        <w:rPr>
          <w:rFonts w:ascii="Calibri" w:eastAsia="Times New Roman" w:hAnsi="Calibri"/>
          <w:sz w:val="20"/>
          <w:szCs w:val="20"/>
          <w:lang w:val="en-GB"/>
        </w:rPr>
        <w:t xml:space="preserve"> - </w:t>
      </w:r>
      <w:r w:rsidR="00302BFE" w:rsidRPr="009667E6">
        <w:rPr>
          <w:rFonts w:ascii="Calibri" w:eastAsia="Times New Roman" w:hAnsi="Calibri"/>
          <w:b/>
          <w:sz w:val="20"/>
          <w:szCs w:val="20"/>
          <w:lang w:val="en-GB"/>
        </w:rPr>
        <w:t>NT</w:t>
      </w:r>
      <w:r w:rsidR="00302BFE" w:rsidRPr="009667E6">
        <w:rPr>
          <w:rFonts w:ascii="Calibri" w:eastAsia="Times New Roman" w:hAnsi="Calibri"/>
          <w:sz w:val="20"/>
          <w:szCs w:val="20"/>
          <w:lang w:val="en-GB"/>
        </w:rPr>
        <w:t>), and the buffalo (</w:t>
      </w:r>
      <w:r w:rsidR="00302BFE" w:rsidRPr="009667E6">
        <w:rPr>
          <w:rFonts w:ascii="Calibri" w:eastAsia="Times New Roman" w:hAnsi="Calibri"/>
          <w:i/>
          <w:sz w:val="20"/>
          <w:szCs w:val="20"/>
          <w:lang w:val="en-GB"/>
        </w:rPr>
        <w:t>Syncerus caffer</w:t>
      </w:r>
      <w:r w:rsidR="00302BFE" w:rsidRPr="009667E6">
        <w:rPr>
          <w:rFonts w:ascii="Calibri" w:eastAsia="Times New Roman" w:hAnsi="Calibri"/>
          <w:sz w:val="20"/>
          <w:szCs w:val="20"/>
          <w:lang w:val="en-GB"/>
        </w:rPr>
        <w:t xml:space="preserve">). </w:t>
      </w:r>
      <w:r w:rsidR="000E3AD9" w:rsidRPr="009667E6">
        <w:rPr>
          <w:rFonts w:ascii="Calibri" w:eastAsia="Times New Roman" w:hAnsi="Calibri"/>
          <w:sz w:val="20"/>
          <w:szCs w:val="20"/>
          <w:lang w:val="en-GB"/>
        </w:rPr>
        <w:t>All</w:t>
      </w:r>
      <w:r w:rsidR="00302BFE" w:rsidRPr="009667E6">
        <w:rPr>
          <w:rFonts w:ascii="Calibri" w:eastAsia="Times New Roman" w:hAnsi="Calibri"/>
          <w:sz w:val="20"/>
          <w:szCs w:val="20"/>
          <w:lang w:val="en-GB"/>
        </w:rPr>
        <w:t xml:space="preserve"> these species are poached, but elephant poaching is getting more attention from PA managers. </w:t>
      </w:r>
      <w:r w:rsidR="005773F6" w:rsidRPr="009667E6">
        <w:rPr>
          <w:rFonts w:ascii="Calibri" w:eastAsia="Times New Roman" w:hAnsi="Calibri"/>
          <w:sz w:val="20"/>
          <w:szCs w:val="20"/>
          <w:lang w:val="en-GB"/>
        </w:rPr>
        <w:t xml:space="preserve">Poaching of elephants has increased since 2010 with the development of the ivory industry. </w:t>
      </w:r>
      <w:r w:rsidR="00302BFE" w:rsidRPr="009667E6">
        <w:rPr>
          <w:rFonts w:ascii="Calibri" w:eastAsia="Times New Roman" w:hAnsi="Calibri"/>
          <w:sz w:val="20"/>
          <w:szCs w:val="20"/>
          <w:lang w:val="en-GB"/>
        </w:rPr>
        <w:t xml:space="preserve">It has been estimated that </w:t>
      </w:r>
      <w:r w:rsidR="005773F6" w:rsidRPr="009667E6">
        <w:rPr>
          <w:rFonts w:ascii="Calibri" w:eastAsia="Times New Roman" w:hAnsi="Calibri"/>
          <w:sz w:val="20"/>
          <w:szCs w:val="20"/>
          <w:lang w:val="en-GB"/>
        </w:rPr>
        <w:t>about 200 elephants were killed at the national level from 2012 to 2014</w:t>
      </w:r>
      <w:r w:rsidR="00302BFE" w:rsidRPr="009667E6">
        <w:rPr>
          <w:rFonts w:ascii="Calibri" w:eastAsia="Times New Roman" w:hAnsi="Calibri"/>
          <w:sz w:val="20"/>
          <w:szCs w:val="20"/>
          <w:lang w:val="en-GB"/>
        </w:rPr>
        <w:t xml:space="preserve"> (personal interview with the Director of Wildlife and Hunting). </w:t>
      </w:r>
      <w:r w:rsidR="00090D3B" w:rsidRPr="009667E6">
        <w:rPr>
          <w:rFonts w:asciiTheme="minorHAnsi" w:hAnsiTheme="minorHAnsi"/>
          <w:sz w:val="20"/>
          <w:szCs w:val="20"/>
          <w:lang w:val="en-CA"/>
        </w:rPr>
        <w:t>In the Nazinga Game Ranch, human presence was detected over 11 % of the ranch area between 1985 and 1987, extended to 50 % between 1994 and 2000 and was at 67% in 2011</w:t>
      </w:r>
      <w:r w:rsidR="00090D3B" w:rsidRPr="009667E6">
        <w:rPr>
          <w:rStyle w:val="Appelnotedebasdep"/>
          <w:szCs w:val="20"/>
          <w:lang w:val="en-CA"/>
        </w:rPr>
        <w:footnoteReference w:id="32"/>
      </w:r>
      <w:r w:rsidR="00090D3B" w:rsidRPr="009667E6">
        <w:rPr>
          <w:rFonts w:asciiTheme="minorHAnsi" w:hAnsiTheme="minorHAnsi"/>
          <w:sz w:val="20"/>
          <w:szCs w:val="20"/>
          <w:lang w:val="en-CA"/>
        </w:rPr>
        <w:t>. This evolution is in line with the progressive expansion of illegal activities in the RGN in those years. Survey results indicate that large species were little affected despite increasing evidence of illegal activities, as poaching activities targeted mainly small species for local subsistence. Small animals are easier to shoot and carry than large ungulates, and easier to hide from wildlife officers and from village neighbours that could denounce them. In Burkina Faso, although bushmeat trade is permitted by law, there is no bushmeat traffic at the scale seen in Central Africa or in the coastal countries of West Africa, and illegal hunting is mostly practiced for self-subsistence purposes.</w:t>
      </w:r>
      <w:r w:rsidR="00EB32F4" w:rsidRPr="009667E6">
        <w:rPr>
          <w:rFonts w:asciiTheme="minorHAnsi" w:hAnsiTheme="minorHAnsi"/>
          <w:sz w:val="20"/>
          <w:szCs w:val="20"/>
          <w:lang w:val="en-CA"/>
        </w:rPr>
        <w:t xml:space="preserve"> Even where hunting is permitted, it should be kept in mind that the consumption of wild meat, potentially under unhygienic </w:t>
      </w:r>
      <w:r w:rsidR="009E5E39" w:rsidRPr="009667E6">
        <w:rPr>
          <w:rFonts w:asciiTheme="minorHAnsi" w:hAnsiTheme="minorHAnsi"/>
          <w:sz w:val="20"/>
          <w:szCs w:val="20"/>
          <w:lang w:val="en-CA"/>
        </w:rPr>
        <w:t xml:space="preserve">and uncontrolled </w:t>
      </w:r>
      <w:r w:rsidR="00EB32F4" w:rsidRPr="009667E6">
        <w:rPr>
          <w:rFonts w:asciiTheme="minorHAnsi" w:hAnsiTheme="minorHAnsi"/>
          <w:sz w:val="20"/>
          <w:szCs w:val="20"/>
          <w:lang w:val="en-CA"/>
        </w:rPr>
        <w:t xml:space="preserve">conditions, is a potential source of transmission of zoonotic disease agents from their wild hosts to human populations, as has happened in the COVID pandemic. </w:t>
      </w:r>
    </w:p>
    <w:p w14:paraId="5BDAEB4B" w14:textId="79EE06C8" w:rsidR="00302BFE" w:rsidRPr="009667E6" w:rsidRDefault="00302BFE" w:rsidP="00C46720">
      <w:pPr>
        <w:pStyle w:val="Paragraphedeliste"/>
        <w:numPr>
          <w:ilvl w:val="0"/>
          <w:numId w:val="32"/>
        </w:numPr>
        <w:tabs>
          <w:tab w:val="left" w:pos="284"/>
        </w:tabs>
        <w:spacing w:before="120" w:after="120"/>
        <w:ind w:left="0" w:firstLine="0"/>
        <w:jc w:val="both"/>
        <w:rPr>
          <w:rFonts w:ascii="Calibri" w:eastAsia="Times New Roman" w:hAnsi="Calibri"/>
          <w:iCs/>
          <w:sz w:val="20"/>
          <w:szCs w:val="20"/>
          <w:lang w:val="en-GB"/>
        </w:rPr>
      </w:pPr>
      <w:r w:rsidRPr="009667E6">
        <w:rPr>
          <w:rFonts w:ascii="Calibri" w:eastAsia="Times New Roman" w:hAnsi="Calibri"/>
          <w:sz w:val="20"/>
          <w:szCs w:val="20"/>
          <w:lang w:val="en-GB"/>
        </w:rPr>
        <w:t>In protected areas, poaching is more intense in areas where monitoring is ineffective because of difficult access or remoteness from forest ranger stations. Poaching is restrained during herd migration between protected areas because of the presence of local communities along the corridors. The location of the Nazinga Game Ranch on the Ghana-Burkina Faso border poses a particular problem, as wildlife poaching is more intense on the Ghanaian side and formal collaboration between rangers in both countries is weak, although an official agreement has been signed between the two countries</w:t>
      </w:r>
      <w:r w:rsidRPr="009667E6">
        <w:rPr>
          <w:rFonts w:ascii="Calibri" w:hAnsi="Calibri"/>
          <w:sz w:val="20"/>
          <w:szCs w:val="20"/>
          <w:lang w:val="en-GB"/>
        </w:rPr>
        <w:t>.</w:t>
      </w:r>
      <w:r w:rsidR="00BF2E9D" w:rsidRPr="009667E6">
        <w:rPr>
          <w:rFonts w:ascii="Calibri" w:hAnsi="Calibri"/>
          <w:sz w:val="20"/>
          <w:szCs w:val="20"/>
          <w:lang w:val="en-GB"/>
        </w:rPr>
        <w:t xml:space="preserve"> </w:t>
      </w:r>
      <w:r w:rsidRPr="009667E6">
        <w:rPr>
          <w:rFonts w:ascii="Calibri" w:hAnsi="Calibri"/>
          <w:sz w:val="20"/>
          <w:szCs w:val="20"/>
          <w:lang w:val="en-GB"/>
        </w:rPr>
        <w:t>When panther and lion skin smugglers were arrested in February 2019, pursuant to the provisions of the Forest Code 2011, the national media pointed out that the legislative aspects were a weak link in the enforcement of this law. 70 to 80% of the Forest Code violations would be settled amicably, so that legal proceedings to enforce the law are not frequent. Improvements are expected with the support of the NGO Conservation-Justice at the Ministry of the Environment.</w:t>
      </w:r>
    </w:p>
    <w:p w14:paraId="788190E9" w14:textId="4E740BA5" w:rsidR="005A1DF9" w:rsidRPr="009667E6"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GB"/>
        </w:rPr>
      </w:pPr>
      <w:r w:rsidRPr="009667E6">
        <w:rPr>
          <w:rFonts w:ascii="Calibri" w:eastAsia="Times New Roman" w:hAnsi="Calibri"/>
          <w:i/>
          <w:iCs/>
          <w:color w:val="2F5496"/>
          <w:sz w:val="20"/>
          <w:szCs w:val="20"/>
          <w:lang w:val="en-GB"/>
        </w:rPr>
        <w:t xml:space="preserve"> Overexploitation of non-timber forest products</w:t>
      </w:r>
      <w:r w:rsidRPr="009667E6">
        <w:rPr>
          <w:rFonts w:ascii="Calibri" w:hAnsi="Calibri"/>
          <w:sz w:val="20"/>
          <w:szCs w:val="20"/>
          <w:lang w:val="en-GB"/>
        </w:rPr>
        <w:t xml:space="preserve"> (NTFP). The disappearance of natural habitats in rural areas results in the reduction of NTFPs (fruits, seeds, leaves, gums, bark, mushrooms, honey, etc.). The growing demand for NTFPs on the market (affirmed by 95% of the actors in 2016 in the PONASI complex</w:t>
      </w:r>
      <w:r w:rsidRPr="009667E6">
        <w:rPr>
          <w:rStyle w:val="Appelnotedebasdep"/>
          <w:rFonts w:ascii="Calibri" w:hAnsi="Calibri"/>
          <w:sz w:val="20"/>
          <w:szCs w:val="20"/>
        </w:rPr>
        <w:footnoteReference w:id="33"/>
      </w:r>
      <w:r w:rsidRPr="009667E6">
        <w:rPr>
          <w:rFonts w:ascii="Calibri" w:hAnsi="Calibri"/>
          <w:sz w:val="20"/>
          <w:szCs w:val="20"/>
          <w:lang w:val="en-GB"/>
        </w:rPr>
        <w:t>) and the quest for diversification of income sources leads to the early exploitation of products such as shea kernels, néré fruits (</w:t>
      </w:r>
      <w:r w:rsidRPr="009667E6">
        <w:rPr>
          <w:rFonts w:ascii="Calibri" w:hAnsi="Calibri"/>
          <w:i/>
          <w:sz w:val="20"/>
          <w:szCs w:val="20"/>
          <w:lang w:val="en-GB"/>
        </w:rPr>
        <w:t>Parkia biglobosa</w:t>
      </w:r>
      <w:r w:rsidRPr="009667E6">
        <w:rPr>
          <w:rFonts w:ascii="Calibri" w:hAnsi="Calibri"/>
          <w:sz w:val="20"/>
          <w:szCs w:val="20"/>
          <w:lang w:val="en-GB"/>
        </w:rPr>
        <w:t>) and monkey bread, both in agro-sylvo-pastoral areas and in forests, thus compromising the natural regeneration of the species used, including shea, néré, and baobab.</w:t>
      </w:r>
    </w:p>
    <w:p w14:paraId="33EC0985" w14:textId="31AD5E0E" w:rsidR="003F190A" w:rsidRPr="009667E6" w:rsidRDefault="00081E87" w:rsidP="00C46720">
      <w:pPr>
        <w:pStyle w:val="Paragraphedeliste"/>
        <w:numPr>
          <w:ilvl w:val="0"/>
          <w:numId w:val="32"/>
        </w:numPr>
        <w:tabs>
          <w:tab w:val="left" w:pos="284"/>
        </w:tabs>
        <w:spacing w:before="120" w:after="120"/>
        <w:ind w:left="0" w:firstLine="0"/>
        <w:jc w:val="both"/>
        <w:rPr>
          <w:rFonts w:ascii="Calibri" w:eastAsia="Times New Roman" w:hAnsi="Calibri"/>
          <w:iCs/>
          <w:sz w:val="20"/>
          <w:szCs w:val="20"/>
          <w:lang w:val="en-GB"/>
        </w:rPr>
      </w:pPr>
      <w:r w:rsidRPr="009667E6">
        <w:rPr>
          <w:rFonts w:ascii="Calibri" w:eastAsia="Times New Roman" w:hAnsi="Calibri"/>
          <w:i/>
          <w:iCs/>
          <w:color w:val="2F5496"/>
          <w:sz w:val="20"/>
          <w:szCs w:val="20"/>
          <w:lang w:val="en-GB"/>
        </w:rPr>
        <w:t xml:space="preserve">Ineffective </w:t>
      </w:r>
      <w:r w:rsidR="002642AF" w:rsidRPr="009667E6">
        <w:rPr>
          <w:rFonts w:ascii="Calibri" w:eastAsia="Times New Roman" w:hAnsi="Calibri"/>
          <w:i/>
          <w:iCs/>
          <w:color w:val="2F5496"/>
          <w:sz w:val="20"/>
          <w:szCs w:val="20"/>
          <w:lang w:val="en-GB"/>
        </w:rPr>
        <w:t xml:space="preserve">hunting </w:t>
      </w:r>
      <w:r w:rsidRPr="009667E6">
        <w:rPr>
          <w:rFonts w:ascii="Calibri" w:eastAsia="Times New Roman" w:hAnsi="Calibri"/>
          <w:i/>
          <w:iCs/>
          <w:color w:val="2F5496"/>
          <w:sz w:val="20"/>
          <w:szCs w:val="20"/>
          <w:lang w:val="en-GB"/>
        </w:rPr>
        <w:t>management within and around</w:t>
      </w:r>
      <w:r w:rsidR="00302BFE" w:rsidRPr="009667E6">
        <w:rPr>
          <w:rFonts w:ascii="Calibri" w:eastAsia="Times New Roman" w:hAnsi="Calibri"/>
          <w:i/>
          <w:iCs/>
          <w:color w:val="2F5496"/>
          <w:sz w:val="20"/>
          <w:szCs w:val="20"/>
          <w:lang w:val="en-GB"/>
        </w:rPr>
        <w:t xml:space="preserve"> PAs</w:t>
      </w:r>
      <w:r w:rsidR="00302BFE" w:rsidRPr="009667E6">
        <w:rPr>
          <w:rFonts w:ascii="Calibri" w:hAnsi="Calibri"/>
          <w:sz w:val="20"/>
          <w:szCs w:val="20"/>
          <w:lang w:val="en-GB"/>
        </w:rPr>
        <w:t xml:space="preserve">: </w:t>
      </w:r>
      <w:r w:rsidR="008F4C7F" w:rsidRPr="009667E6">
        <w:rPr>
          <w:rFonts w:asciiTheme="minorHAnsi" w:hAnsiTheme="minorHAnsi"/>
          <w:noProof/>
          <w:sz w:val="20"/>
          <w:szCs w:val="20"/>
          <w:lang w:val="en-GB"/>
        </w:rPr>
        <w:t xml:space="preserve">In State PAs, wildlife hunting is allowed </w:t>
      </w:r>
      <w:r w:rsidR="008F4C7F" w:rsidRPr="009667E6">
        <w:rPr>
          <w:rFonts w:asciiTheme="minorHAnsi" w:hAnsiTheme="minorHAnsi"/>
          <w:noProof/>
          <w:sz w:val="20"/>
          <w:szCs w:val="20"/>
          <w:lang w:val="en-CA"/>
        </w:rPr>
        <w:t xml:space="preserve">in partial wildlife reserves, game ranches and local refuges. In the PONASI, </w:t>
      </w:r>
      <w:r w:rsidR="008F4C7F" w:rsidRPr="009667E6">
        <w:rPr>
          <w:rFonts w:asciiTheme="minorHAnsi" w:hAnsiTheme="minorHAnsi"/>
          <w:sz w:val="20"/>
          <w:szCs w:val="20"/>
          <w:lang w:val="en-CA"/>
        </w:rPr>
        <w:t xml:space="preserve">big game /trophy hunting for tourists takes place in the Nazinga Game Ranch (RGN) and in the Sissili Classified Forest. Small game hunting for tourists and subsistence hunting for local communities are taking place in the ZOVICs surrounding the RGN. </w:t>
      </w:r>
      <w:r w:rsidR="008F4C7F" w:rsidRPr="009667E6">
        <w:rPr>
          <w:rFonts w:ascii="Calibri" w:hAnsi="Calibri"/>
          <w:bCs/>
          <w:sz w:val="20"/>
          <w:szCs w:val="20"/>
          <w:lang w:val="en-GB"/>
        </w:rPr>
        <w:t xml:space="preserve">Big and small game hunting in PAs and in ZOVICs are regulated and require the purchase of hunting permits by outside and local hunters and local communities. </w:t>
      </w:r>
      <w:r w:rsidR="008F4C7F" w:rsidRPr="009667E6">
        <w:rPr>
          <w:rFonts w:asciiTheme="minorHAnsi" w:hAnsiTheme="minorHAnsi"/>
          <w:sz w:val="20"/>
          <w:szCs w:val="20"/>
          <w:lang w:val="en-CA"/>
        </w:rPr>
        <w:t xml:space="preserve">Government is responsible for delivering permits and licences for sport and traditional hunting and </w:t>
      </w:r>
      <w:r w:rsidR="008F4C7F" w:rsidRPr="009667E6">
        <w:rPr>
          <w:rFonts w:asciiTheme="minorHAnsi" w:hAnsiTheme="minorHAnsi" w:cs="Swiss721BT-Roman"/>
          <w:sz w:val="20"/>
          <w:szCs w:val="20"/>
          <w:lang w:val="en-CA"/>
        </w:rPr>
        <w:t xml:space="preserve">collecting fees, </w:t>
      </w:r>
      <w:r w:rsidR="008F4C7F" w:rsidRPr="009667E6">
        <w:rPr>
          <w:rFonts w:asciiTheme="minorHAnsi" w:hAnsiTheme="minorHAnsi"/>
          <w:sz w:val="20"/>
          <w:szCs w:val="20"/>
          <w:lang w:val="en-CA"/>
        </w:rPr>
        <w:t xml:space="preserve">allocating areas for concessions, defining specifications for the management of concessions by concessionaires, monitoring the observation of such specifications and assessing concessions, surveillance, and determining hunting regulations and quotas. The central and decentralized services of the Ministry in charge of wildlife, organize and supervise the conduct of the hunting and tourism season. Concessionaires are responsible for managing the exploitation of wildlife for a fixed period following specifications agreed with the Government. </w:t>
      </w:r>
      <w:r w:rsidR="008F4C7F" w:rsidRPr="009667E6">
        <w:rPr>
          <w:rFonts w:ascii="Calibri" w:hAnsi="Calibri"/>
          <w:sz w:val="20"/>
          <w:szCs w:val="20"/>
          <w:lang w:val="en-CA"/>
        </w:rPr>
        <w:t>Royalties and taxes collected for the valuation of wildlife reserves are shared between the State and the local authorities.</w:t>
      </w:r>
      <w:r w:rsidR="008F4C7F" w:rsidRPr="009667E6">
        <w:rPr>
          <w:rStyle w:val="Appelnotedebasdep"/>
          <w:szCs w:val="20"/>
          <w:lang w:val="en-CA"/>
        </w:rPr>
        <w:footnoteReference w:id="34"/>
      </w:r>
      <w:r w:rsidR="00AC06E7" w:rsidRPr="009667E6">
        <w:rPr>
          <w:rFonts w:ascii="Calibri" w:hAnsi="Calibri"/>
          <w:sz w:val="20"/>
          <w:szCs w:val="20"/>
          <w:lang w:val="en-CA"/>
        </w:rPr>
        <w:t xml:space="preserve"> </w:t>
      </w:r>
      <w:r w:rsidR="00AC06E7" w:rsidRPr="009667E6">
        <w:rPr>
          <w:rFonts w:asciiTheme="minorHAnsi" w:hAnsiTheme="minorHAnsi"/>
          <w:sz w:val="20"/>
          <w:szCs w:val="20"/>
          <w:lang w:val="en-CA"/>
        </w:rPr>
        <w:t xml:space="preserve">Tourism/sport hunting </w:t>
      </w:r>
      <w:r w:rsidR="00AC06E7" w:rsidRPr="009667E6">
        <w:rPr>
          <w:rFonts w:asciiTheme="minorHAnsi" w:hAnsiTheme="minorHAnsi"/>
          <w:noProof/>
          <w:sz w:val="20"/>
          <w:szCs w:val="20"/>
          <w:lang w:val="en-GB"/>
        </w:rPr>
        <w:t>in core PAs is expected to generate benefits for local communities through providing jobs as hunting guides and trackers and the sharing of revenues and meat of killed animals.</w:t>
      </w:r>
    </w:p>
    <w:p w14:paraId="29B0E6DE" w14:textId="6F657B59" w:rsidR="00B22E63" w:rsidRPr="009667E6" w:rsidRDefault="00A037BE" w:rsidP="00C46720">
      <w:pPr>
        <w:pStyle w:val="Paragraphedeliste"/>
        <w:numPr>
          <w:ilvl w:val="0"/>
          <w:numId w:val="32"/>
        </w:numPr>
        <w:tabs>
          <w:tab w:val="left" w:pos="284"/>
        </w:tabs>
        <w:spacing w:before="120" w:after="120"/>
        <w:ind w:left="0" w:firstLine="0"/>
        <w:jc w:val="both"/>
        <w:rPr>
          <w:rFonts w:asciiTheme="minorHAnsi" w:eastAsia="Times New Roman" w:hAnsiTheme="minorHAnsi"/>
          <w:iCs/>
          <w:sz w:val="20"/>
          <w:szCs w:val="20"/>
          <w:lang w:val="en-GB"/>
        </w:rPr>
      </w:pPr>
      <w:r w:rsidRPr="009667E6">
        <w:rPr>
          <w:rFonts w:asciiTheme="minorHAnsi" w:hAnsiTheme="minorHAnsi"/>
          <w:noProof/>
          <w:sz w:val="20"/>
          <w:szCs w:val="20"/>
          <w:lang w:val="en-GB"/>
        </w:rPr>
        <w:t xml:space="preserve">The Nazinga Game Ranch was created in 1975 as a pilot project led by a Canadian NGO, the African Wildlife Husbandry Development Association, and was later co-managed by professionals with the Ministry of the Environment from 1984 to 1990. </w:t>
      </w:r>
      <w:r w:rsidR="00B22E63" w:rsidRPr="009667E6">
        <w:rPr>
          <w:rFonts w:asciiTheme="minorHAnsi" w:hAnsiTheme="minorHAnsi"/>
          <w:noProof/>
          <w:sz w:val="20"/>
          <w:szCs w:val="20"/>
          <w:lang w:val="en-GB"/>
        </w:rPr>
        <w:t xml:space="preserve">ZOVICs were created in parts of the village terroirs around the Nazinga Game Ranch to create an autonomous production system in which the local populations were responsible for the management and shared the benefits. Revenues came from wildlife viewing activities, international safari hunting, game hunting, traditional and commercial fishing by the local population in the ranch, as well as small </w:t>
      </w:r>
      <w:r w:rsidR="00B22E63" w:rsidRPr="009667E6">
        <w:rPr>
          <w:rFonts w:asciiTheme="minorHAnsi" w:hAnsiTheme="minorHAnsi"/>
          <w:noProof/>
          <w:sz w:val="20"/>
          <w:szCs w:val="20"/>
          <w:lang w:val="en-GB"/>
        </w:rPr>
        <w:lastRenderedPageBreak/>
        <w:t>game and bird safari hunting in peripheral ZOVICs</w:t>
      </w:r>
      <w:r w:rsidR="00B22E63" w:rsidRPr="009667E6">
        <w:rPr>
          <w:rFonts w:asciiTheme="minorHAnsi" w:hAnsiTheme="minorHAnsi"/>
          <w:noProof/>
          <w:sz w:val="20"/>
          <w:szCs w:val="20"/>
          <w:vertAlign w:val="superscript"/>
          <w:lang w:val="en-GB"/>
        </w:rPr>
        <w:footnoteReference w:id="35"/>
      </w:r>
      <w:r w:rsidR="00B22E63" w:rsidRPr="009667E6">
        <w:rPr>
          <w:rFonts w:asciiTheme="minorHAnsi" w:hAnsiTheme="minorHAnsi"/>
          <w:noProof/>
          <w:sz w:val="20"/>
          <w:szCs w:val="20"/>
          <w:lang w:val="en-GB"/>
        </w:rPr>
        <w:t>. When the Canadian NGO quit in 1990, the ranch remained under the sole management of the National Wildlife Service. Over time, local communities have conceded the management of small game hunting activities in their ZOVIC to a concessionaire. Nahouri Safari, who is currently managing the ZOVICs around the Nazinga Game Ranch, ceased paying the royalties (350 000 CFA francs - approx 595 $US) to local communities in recent years on the grounds that this payment is conditional on the proper management and maintenance of ZOVICs, which he claims are now quite degraded.</w:t>
      </w:r>
    </w:p>
    <w:p w14:paraId="71FCA166" w14:textId="40DA379B" w:rsidR="00A77C5B" w:rsidRPr="009667E6" w:rsidRDefault="00A77C5B" w:rsidP="00C46720">
      <w:pPr>
        <w:pStyle w:val="Paragraphedeliste"/>
        <w:numPr>
          <w:ilvl w:val="0"/>
          <w:numId w:val="32"/>
        </w:numPr>
        <w:tabs>
          <w:tab w:val="left" w:pos="284"/>
        </w:tabs>
        <w:spacing w:before="120" w:after="120"/>
        <w:ind w:left="0" w:firstLine="0"/>
        <w:jc w:val="both"/>
        <w:rPr>
          <w:rFonts w:asciiTheme="minorHAnsi" w:eastAsia="Times New Roman" w:hAnsiTheme="minorHAnsi"/>
          <w:iCs/>
          <w:sz w:val="20"/>
          <w:szCs w:val="20"/>
          <w:lang w:val="en-GB"/>
        </w:rPr>
      </w:pPr>
      <w:r w:rsidRPr="009667E6">
        <w:rPr>
          <w:rFonts w:asciiTheme="minorHAnsi" w:eastAsia="Times New Roman" w:hAnsiTheme="minorHAnsi"/>
          <w:iCs/>
          <w:sz w:val="20"/>
          <w:szCs w:val="20"/>
          <w:lang w:val="en-GB"/>
        </w:rPr>
        <w:t xml:space="preserve">While big game hunting did provide significant benefits to the Government and concessionaires, </w:t>
      </w:r>
      <w:r w:rsidRPr="009667E6">
        <w:rPr>
          <w:rFonts w:asciiTheme="minorHAnsi" w:hAnsiTheme="minorHAnsi"/>
          <w:noProof/>
          <w:sz w:val="20"/>
          <w:szCs w:val="20"/>
          <w:lang w:val="en-GB"/>
        </w:rPr>
        <w:t>t</w:t>
      </w:r>
      <w:r w:rsidR="00A037BE" w:rsidRPr="009667E6">
        <w:rPr>
          <w:rFonts w:asciiTheme="minorHAnsi" w:hAnsiTheme="minorHAnsi"/>
          <w:noProof/>
          <w:sz w:val="20"/>
          <w:szCs w:val="20"/>
          <w:lang w:val="en-GB"/>
        </w:rPr>
        <w:t xml:space="preserve">he small game populations that support small game hunting for tourists and subsistence hunting for local communities have been found to be declining and no longer provide significant benefits to the local populations. </w:t>
      </w:r>
      <w:r w:rsidR="00A037BE" w:rsidRPr="009667E6">
        <w:rPr>
          <w:rFonts w:asciiTheme="minorHAnsi" w:hAnsiTheme="minorHAnsi"/>
          <w:sz w:val="20"/>
          <w:szCs w:val="20"/>
          <w:lang w:val="en-GB"/>
        </w:rPr>
        <w:t xml:space="preserve">Indeed, </w:t>
      </w:r>
      <w:r w:rsidR="00A037BE" w:rsidRPr="009667E6">
        <w:rPr>
          <w:rFonts w:asciiTheme="minorHAnsi" w:hAnsiTheme="minorHAnsi"/>
          <w:sz w:val="20"/>
          <w:szCs w:val="20"/>
          <w:lang w:val="en-CA"/>
        </w:rPr>
        <w:t xml:space="preserve">the analysis of data collected </w:t>
      </w:r>
      <w:r w:rsidR="00A037BE" w:rsidRPr="009667E6">
        <w:rPr>
          <w:rFonts w:asciiTheme="minorHAnsi" w:hAnsiTheme="minorHAnsi"/>
          <w:sz w:val="20"/>
          <w:szCs w:val="20"/>
          <w:lang w:val="en-GB"/>
        </w:rPr>
        <w:t xml:space="preserve">over most of 30 years </w:t>
      </w:r>
      <w:r w:rsidR="00A037BE" w:rsidRPr="009667E6">
        <w:rPr>
          <w:rFonts w:asciiTheme="minorHAnsi" w:hAnsiTheme="minorHAnsi"/>
          <w:sz w:val="20"/>
          <w:szCs w:val="20"/>
          <w:lang w:val="en-CA"/>
        </w:rPr>
        <w:t>between 1981 and 2011 in the RGN</w:t>
      </w:r>
      <w:r w:rsidR="00A037BE" w:rsidRPr="009667E6">
        <w:rPr>
          <w:rStyle w:val="Appelnotedebasdep"/>
          <w:rFonts w:asciiTheme="minorHAnsi" w:hAnsiTheme="minorHAnsi"/>
          <w:sz w:val="20"/>
          <w:szCs w:val="20"/>
          <w:lang w:val="en-CA"/>
        </w:rPr>
        <w:footnoteReference w:id="36"/>
      </w:r>
      <w:r w:rsidR="00A037BE" w:rsidRPr="009667E6">
        <w:rPr>
          <w:rFonts w:asciiTheme="minorHAnsi" w:hAnsiTheme="minorHAnsi"/>
          <w:sz w:val="20"/>
          <w:szCs w:val="20"/>
          <w:lang w:val="en-CA"/>
        </w:rPr>
        <w:t xml:space="preserve"> have shown a significant population increase for large species (elephant, waterbuck and hartebeest populations: +6%, +9% and +9% yearly respectively), and decline for medium and small-sized antelope species (especially for common duiker and oribi: - 3% and -</w:t>
      </w:r>
      <w:r w:rsidR="00A037BE" w:rsidRPr="009667E6">
        <w:rPr>
          <w:rFonts w:asciiTheme="minorHAnsi" w:hAnsiTheme="minorHAnsi"/>
          <w:sz w:val="20"/>
          <w:szCs w:val="20"/>
        </w:rPr>
        <w:t> </w:t>
      </w:r>
      <w:r w:rsidR="00A037BE" w:rsidRPr="009667E6">
        <w:rPr>
          <w:rFonts w:asciiTheme="minorHAnsi" w:hAnsiTheme="minorHAnsi"/>
          <w:sz w:val="20"/>
          <w:szCs w:val="20"/>
          <w:lang w:val="en-CA"/>
        </w:rPr>
        <w:t xml:space="preserve">8% yearly respectively). On the one hand, increased densities of large species may be explained by a significant rainfall increase in those years, immigration from the nearby Kaboré-Tambi National Park and from surrounding areas due to increasing cultivation pressure, and to natural rate of increase. On the other hand, declining trends for common duiker and oribi may be related to </w:t>
      </w:r>
      <w:r w:rsidR="0089162F" w:rsidRPr="009667E6">
        <w:rPr>
          <w:rFonts w:asciiTheme="minorHAnsi" w:hAnsiTheme="minorHAnsi"/>
          <w:sz w:val="20"/>
          <w:szCs w:val="20"/>
          <w:lang w:val="en-CA"/>
        </w:rPr>
        <w:t>two main</w:t>
      </w:r>
      <w:r w:rsidR="00A037BE" w:rsidRPr="009667E6">
        <w:rPr>
          <w:rFonts w:asciiTheme="minorHAnsi" w:hAnsiTheme="minorHAnsi"/>
          <w:sz w:val="20"/>
          <w:szCs w:val="20"/>
          <w:lang w:val="en-CA"/>
        </w:rPr>
        <w:t xml:space="preserve"> factors: </w:t>
      </w:r>
      <w:r w:rsidR="00146922" w:rsidRPr="009667E6">
        <w:rPr>
          <w:rFonts w:asciiTheme="minorHAnsi" w:hAnsiTheme="minorHAnsi"/>
          <w:sz w:val="20"/>
          <w:szCs w:val="20"/>
          <w:lang w:val="en-CA"/>
        </w:rPr>
        <w:t xml:space="preserve">i) </w:t>
      </w:r>
      <w:r w:rsidR="0089162F" w:rsidRPr="009667E6">
        <w:rPr>
          <w:rFonts w:asciiTheme="minorHAnsi" w:hAnsiTheme="minorHAnsi"/>
          <w:noProof/>
          <w:sz w:val="20"/>
          <w:szCs w:val="20"/>
          <w:lang w:val="en-CA"/>
        </w:rPr>
        <w:t>M</w:t>
      </w:r>
      <w:r w:rsidR="0089162F" w:rsidRPr="009667E6">
        <w:rPr>
          <w:rFonts w:asciiTheme="minorHAnsi" w:hAnsiTheme="minorHAnsi"/>
          <w:noProof/>
          <w:sz w:val="20"/>
          <w:szCs w:val="20"/>
          <w:lang w:val="en-GB"/>
        </w:rPr>
        <w:t xml:space="preserve">anagement activities in the RGN have likely been reduced </w:t>
      </w:r>
      <w:r w:rsidR="00146922" w:rsidRPr="009667E6">
        <w:rPr>
          <w:rFonts w:asciiTheme="minorHAnsi" w:hAnsiTheme="minorHAnsi"/>
          <w:noProof/>
          <w:sz w:val="20"/>
          <w:szCs w:val="20"/>
          <w:lang w:val="en-GB"/>
        </w:rPr>
        <w:t xml:space="preserve">after the departure in 1990 of the NGO that established </w:t>
      </w:r>
      <w:r w:rsidR="0089162F" w:rsidRPr="009667E6">
        <w:rPr>
          <w:rFonts w:asciiTheme="minorHAnsi" w:hAnsiTheme="minorHAnsi"/>
          <w:noProof/>
          <w:sz w:val="20"/>
          <w:szCs w:val="20"/>
          <w:lang w:val="en-GB"/>
        </w:rPr>
        <w:t xml:space="preserve">the ranch </w:t>
      </w:r>
      <w:r w:rsidR="00146922" w:rsidRPr="009667E6">
        <w:rPr>
          <w:rFonts w:asciiTheme="minorHAnsi" w:hAnsiTheme="minorHAnsi"/>
          <w:noProof/>
          <w:sz w:val="20"/>
          <w:szCs w:val="20"/>
          <w:lang w:val="en-GB"/>
        </w:rPr>
        <w:t xml:space="preserve">which then fell under the sole management of the national wildlife service, </w:t>
      </w:r>
      <w:r w:rsidR="0089162F" w:rsidRPr="009667E6">
        <w:rPr>
          <w:rFonts w:asciiTheme="minorHAnsi" w:hAnsiTheme="minorHAnsi"/>
          <w:noProof/>
          <w:sz w:val="20"/>
          <w:szCs w:val="20"/>
          <w:lang w:val="en-GB"/>
        </w:rPr>
        <w:t xml:space="preserve">due to </w:t>
      </w:r>
      <w:r w:rsidR="00146922" w:rsidRPr="009667E6">
        <w:rPr>
          <w:rFonts w:asciiTheme="minorHAnsi" w:hAnsiTheme="minorHAnsi"/>
          <w:noProof/>
          <w:sz w:val="20"/>
          <w:szCs w:val="20"/>
          <w:lang w:val="en-GB"/>
        </w:rPr>
        <w:t>the lack of effective capitalization of the learnings of the pilot experience, and insufficient transfer of knowledge and skills to Government staff</w:t>
      </w:r>
      <w:r w:rsidR="0089162F" w:rsidRPr="009667E6">
        <w:rPr>
          <w:rFonts w:asciiTheme="minorHAnsi" w:hAnsiTheme="minorHAnsi"/>
          <w:noProof/>
          <w:sz w:val="20"/>
          <w:szCs w:val="20"/>
          <w:lang w:val="en-GB"/>
        </w:rPr>
        <w:t>. This</w:t>
      </w:r>
      <w:r w:rsidR="00146922" w:rsidRPr="009667E6">
        <w:rPr>
          <w:rFonts w:asciiTheme="minorHAnsi" w:hAnsiTheme="minorHAnsi"/>
          <w:noProof/>
          <w:sz w:val="20"/>
          <w:szCs w:val="20"/>
          <w:lang w:val="en-GB"/>
        </w:rPr>
        <w:t xml:space="preserve"> </w:t>
      </w:r>
      <w:r w:rsidR="0089162F" w:rsidRPr="009667E6">
        <w:rPr>
          <w:rFonts w:asciiTheme="minorHAnsi" w:hAnsiTheme="minorHAnsi"/>
          <w:noProof/>
          <w:sz w:val="20"/>
          <w:szCs w:val="20"/>
          <w:lang w:val="en-GB"/>
        </w:rPr>
        <w:t>would have</w:t>
      </w:r>
      <w:r w:rsidR="00146922" w:rsidRPr="009667E6">
        <w:rPr>
          <w:rFonts w:asciiTheme="minorHAnsi" w:hAnsiTheme="minorHAnsi"/>
          <w:noProof/>
          <w:sz w:val="20"/>
          <w:szCs w:val="20"/>
          <w:lang w:val="en-GB"/>
        </w:rPr>
        <w:t xml:space="preserve"> favoured </w:t>
      </w:r>
      <w:r w:rsidR="0089162F" w:rsidRPr="009667E6">
        <w:rPr>
          <w:rFonts w:asciiTheme="minorHAnsi" w:hAnsiTheme="minorHAnsi"/>
          <w:noProof/>
          <w:sz w:val="20"/>
          <w:szCs w:val="20"/>
          <w:lang w:val="en-GB"/>
        </w:rPr>
        <w:t xml:space="preserve">increased </w:t>
      </w:r>
      <w:r w:rsidR="00146922" w:rsidRPr="009667E6">
        <w:rPr>
          <w:rFonts w:asciiTheme="minorHAnsi" w:hAnsiTheme="minorHAnsi"/>
          <w:noProof/>
          <w:sz w:val="20"/>
          <w:szCs w:val="20"/>
          <w:lang w:val="en-GB"/>
        </w:rPr>
        <w:t>poaching (which mainly targets small species) and inappropriate capture levels through legal hunting</w:t>
      </w:r>
      <w:r w:rsidR="0089162F" w:rsidRPr="009667E6">
        <w:rPr>
          <w:rFonts w:asciiTheme="minorHAnsi" w:hAnsiTheme="minorHAnsi"/>
          <w:noProof/>
          <w:sz w:val="20"/>
          <w:szCs w:val="20"/>
          <w:lang w:val="en-GB"/>
        </w:rPr>
        <w:t>.</w:t>
      </w:r>
      <w:r w:rsidR="00146922" w:rsidRPr="009667E6">
        <w:rPr>
          <w:rFonts w:asciiTheme="minorHAnsi" w:hAnsiTheme="minorHAnsi"/>
          <w:noProof/>
          <w:sz w:val="20"/>
          <w:szCs w:val="20"/>
          <w:lang w:val="en-GB"/>
        </w:rPr>
        <w:t xml:space="preserve"> </w:t>
      </w:r>
      <w:r w:rsidR="00146922" w:rsidRPr="009667E6">
        <w:rPr>
          <w:rFonts w:asciiTheme="minorHAnsi" w:hAnsiTheme="minorHAnsi"/>
          <w:sz w:val="20"/>
          <w:szCs w:val="20"/>
          <w:lang w:val="en-CA"/>
        </w:rPr>
        <w:t xml:space="preserve">ii) </w:t>
      </w:r>
      <w:r w:rsidR="0089162F" w:rsidRPr="009667E6">
        <w:rPr>
          <w:rFonts w:asciiTheme="minorHAnsi" w:hAnsiTheme="minorHAnsi"/>
          <w:sz w:val="20"/>
          <w:szCs w:val="20"/>
          <w:lang w:val="en-CA"/>
        </w:rPr>
        <w:t>C</w:t>
      </w:r>
      <w:r w:rsidR="00146922" w:rsidRPr="009667E6">
        <w:rPr>
          <w:rFonts w:asciiTheme="minorHAnsi" w:hAnsiTheme="minorHAnsi"/>
          <w:sz w:val="20"/>
          <w:szCs w:val="20"/>
          <w:lang w:val="en-CA"/>
        </w:rPr>
        <w:t xml:space="preserve">ompetition for food resources between small and large </w:t>
      </w:r>
      <w:r w:rsidR="0089162F" w:rsidRPr="009667E6">
        <w:rPr>
          <w:rFonts w:asciiTheme="minorHAnsi" w:hAnsiTheme="minorHAnsi"/>
          <w:sz w:val="20"/>
          <w:szCs w:val="20"/>
          <w:lang w:val="en-CA"/>
        </w:rPr>
        <w:t xml:space="preserve">ungulate </w:t>
      </w:r>
      <w:r w:rsidR="00146922" w:rsidRPr="009667E6">
        <w:rPr>
          <w:rFonts w:asciiTheme="minorHAnsi" w:hAnsiTheme="minorHAnsi"/>
          <w:sz w:val="20"/>
          <w:szCs w:val="20"/>
          <w:lang w:val="en-CA"/>
        </w:rPr>
        <w:t>species</w:t>
      </w:r>
      <w:r w:rsidR="0089162F" w:rsidRPr="009667E6">
        <w:rPr>
          <w:rFonts w:asciiTheme="minorHAnsi" w:hAnsiTheme="minorHAnsi"/>
          <w:sz w:val="20"/>
          <w:szCs w:val="20"/>
          <w:lang w:val="en-CA"/>
        </w:rPr>
        <w:t xml:space="preserve"> </w:t>
      </w:r>
      <w:r w:rsidR="00B47A72" w:rsidRPr="009667E6">
        <w:rPr>
          <w:rFonts w:asciiTheme="minorHAnsi" w:hAnsiTheme="minorHAnsi"/>
          <w:sz w:val="20"/>
          <w:szCs w:val="20"/>
          <w:lang w:val="en-CA"/>
        </w:rPr>
        <w:t xml:space="preserve">or between mobile and resident species </w:t>
      </w:r>
      <w:r w:rsidR="0089162F" w:rsidRPr="009667E6">
        <w:rPr>
          <w:rFonts w:asciiTheme="minorHAnsi" w:hAnsiTheme="minorHAnsi"/>
          <w:sz w:val="20"/>
          <w:szCs w:val="20"/>
          <w:lang w:val="en-CA"/>
        </w:rPr>
        <w:t xml:space="preserve">may have favored </w:t>
      </w:r>
      <w:r w:rsidR="009D0DD8" w:rsidRPr="009667E6">
        <w:rPr>
          <w:rFonts w:asciiTheme="minorHAnsi" w:hAnsiTheme="minorHAnsi"/>
          <w:sz w:val="20"/>
          <w:szCs w:val="20"/>
          <w:lang w:val="en-CA"/>
        </w:rPr>
        <w:t xml:space="preserve">the </w:t>
      </w:r>
      <w:r w:rsidR="0089162F" w:rsidRPr="009667E6">
        <w:rPr>
          <w:rFonts w:asciiTheme="minorHAnsi" w:hAnsiTheme="minorHAnsi"/>
          <w:sz w:val="20"/>
          <w:szCs w:val="20"/>
          <w:lang w:val="en-CA"/>
        </w:rPr>
        <w:t>larger species</w:t>
      </w:r>
      <w:r w:rsidR="001A60BA" w:rsidRPr="009667E6">
        <w:rPr>
          <w:rFonts w:asciiTheme="minorHAnsi" w:hAnsiTheme="minorHAnsi"/>
          <w:sz w:val="20"/>
          <w:szCs w:val="20"/>
          <w:lang w:val="en-CA"/>
        </w:rPr>
        <w:t xml:space="preserve"> </w:t>
      </w:r>
      <w:r w:rsidR="0089162F" w:rsidRPr="009667E6">
        <w:rPr>
          <w:rFonts w:asciiTheme="minorHAnsi" w:hAnsiTheme="minorHAnsi"/>
          <w:sz w:val="20"/>
          <w:szCs w:val="20"/>
          <w:lang w:val="en-CA"/>
        </w:rPr>
        <w:t>which population size increased significantly during the same period</w:t>
      </w:r>
      <w:r w:rsidR="00146922" w:rsidRPr="009667E6">
        <w:rPr>
          <w:rFonts w:asciiTheme="minorHAnsi" w:hAnsiTheme="minorHAnsi"/>
          <w:sz w:val="20"/>
          <w:szCs w:val="20"/>
          <w:lang w:val="en-CA"/>
        </w:rPr>
        <w:t>.</w:t>
      </w:r>
      <w:r w:rsidR="007815F6" w:rsidRPr="009667E6">
        <w:rPr>
          <w:rFonts w:asciiTheme="minorHAnsi" w:hAnsiTheme="minorHAnsi"/>
          <w:szCs w:val="20"/>
          <w:lang w:val="en-CA"/>
        </w:rPr>
        <w:t xml:space="preserve"> </w:t>
      </w:r>
      <w:r w:rsidR="007815F6" w:rsidRPr="009667E6">
        <w:rPr>
          <w:rFonts w:asciiTheme="minorHAnsi" w:hAnsiTheme="minorHAnsi"/>
          <w:sz w:val="20"/>
          <w:szCs w:val="20"/>
          <w:lang w:val="en-CA"/>
        </w:rPr>
        <w:t>However, buffalos -a key species for safari hunting and game viewing- are likely to have had a limited competition impact on smaller herbivores due to the low densities (&lt;0.3 ind/km</w:t>
      </w:r>
      <w:r w:rsidR="007815F6" w:rsidRPr="009667E6">
        <w:rPr>
          <w:rFonts w:asciiTheme="minorHAnsi" w:hAnsiTheme="minorHAnsi"/>
          <w:sz w:val="20"/>
          <w:szCs w:val="20"/>
          <w:vertAlign w:val="superscript"/>
          <w:lang w:val="en-CA"/>
        </w:rPr>
        <w:t>2</w:t>
      </w:r>
      <w:r w:rsidR="007815F6" w:rsidRPr="009667E6">
        <w:rPr>
          <w:rFonts w:asciiTheme="minorHAnsi" w:hAnsiTheme="minorHAnsi"/>
          <w:sz w:val="20"/>
          <w:szCs w:val="20"/>
          <w:lang w:val="en-CA"/>
        </w:rPr>
        <w:t>) measured over more than two decades in the RGN</w:t>
      </w:r>
      <w:r w:rsidR="007815F6" w:rsidRPr="009667E6">
        <w:rPr>
          <w:rStyle w:val="Appelnotedebasdep"/>
          <w:rFonts w:asciiTheme="minorHAnsi" w:hAnsiTheme="minorHAnsi"/>
          <w:sz w:val="20"/>
          <w:szCs w:val="20"/>
          <w:lang w:val="en-CA"/>
        </w:rPr>
        <w:footnoteReference w:id="37"/>
      </w:r>
      <w:r w:rsidR="007815F6" w:rsidRPr="009667E6">
        <w:rPr>
          <w:rFonts w:asciiTheme="minorHAnsi" w:hAnsiTheme="minorHAnsi"/>
          <w:sz w:val="20"/>
          <w:szCs w:val="20"/>
          <w:vertAlign w:val="superscript"/>
          <w:lang w:val="en-CA"/>
        </w:rPr>
        <w:t>,</w:t>
      </w:r>
      <w:r w:rsidR="007815F6" w:rsidRPr="009667E6">
        <w:rPr>
          <w:rStyle w:val="Appelnotedebasdep"/>
          <w:rFonts w:asciiTheme="minorHAnsi" w:hAnsiTheme="minorHAnsi"/>
          <w:sz w:val="20"/>
          <w:szCs w:val="20"/>
          <w:lang w:val="en-CA"/>
        </w:rPr>
        <w:footnoteReference w:id="38"/>
      </w:r>
      <w:r w:rsidR="007815F6" w:rsidRPr="009667E6">
        <w:rPr>
          <w:rFonts w:asciiTheme="minorHAnsi" w:hAnsiTheme="minorHAnsi"/>
          <w:sz w:val="20"/>
          <w:szCs w:val="20"/>
          <w:lang w:val="en-CA"/>
        </w:rPr>
        <w:t>, which were possibly due to excessive hunting and to poaching.</w:t>
      </w:r>
    </w:p>
    <w:p w14:paraId="65C56339" w14:textId="70BE17D9" w:rsidR="00A037BE" w:rsidRPr="009667E6" w:rsidRDefault="00A037BE" w:rsidP="00C46720">
      <w:pPr>
        <w:pStyle w:val="Paragraphedeliste"/>
        <w:numPr>
          <w:ilvl w:val="0"/>
          <w:numId w:val="32"/>
        </w:numPr>
        <w:tabs>
          <w:tab w:val="left" w:pos="284"/>
        </w:tabs>
        <w:spacing w:before="120" w:after="120"/>
        <w:ind w:left="0" w:firstLine="0"/>
        <w:jc w:val="both"/>
        <w:rPr>
          <w:rFonts w:asciiTheme="minorHAnsi" w:eastAsia="Times New Roman" w:hAnsiTheme="minorHAnsi"/>
          <w:iCs/>
          <w:sz w:val="20"/>
          <w:szCs w:val="20"/>
          <w:lang w:val="en-GB"/>
        </w:rPr>
      </w:pPr>
      <w:r w:rsidRPr="009667E6">
        <w:rPr>
          <w:rFonts w:ascii="Calibri" w:hAnsi="Calibri"/>
          <w:sz w:val="20"/>
          <w:szCs w:val="20"/>
          <w:lang w:val="en-CA"/>
        </w:rPr>
        <w:t>In the Nazinga Game Ranch, monitoring designed to assess population trends of medium and large mammals and occurrences of illegal activities such as poaching was conducted almost on a yearly basis from 1981 to 2011 and most results have been recorded in unpublished reports</w:t>
      </w:r>
      <w:r w:rsidRPr="009667E6">
        <w:rPr>
          <w:rStyle w:val="Appelnotedebasdep"/>
          <w:rFonts w:ascii="Calibri" w:hAnsi="Calibri"/>
          <w:sz w:val="20"/>
          <w:szCs w:val="20"/>
          <w:lang w:val="en-CA"/>
        </w:rPr>
        <w:footnoteReference w:id="39"/>
      </w:r>
      <w:r w:rsidRPr="009667E6">
        <w:rPr>
          <w:rFonts w:ascii="Calibri" w:hAnsi="Calibri"/>
          <w:sz w:val="20"/>
          <w:szCs w:val="20"/>
          <w:lang w:val="en-CA"/>
        </w:rPr>
        <w:t>.</w:t>
      </w:r>
      <w:r w:rsidRPr="009667E6">
        <w:rPr>
          <w:rFonts w:ascii="Calibri" w:hAnsi="Calibri"/>
          <w:bCs/>
          <w:sz w:val="20"/>
          <w:szCs w:val="20"/>
          <w:lang w:val="en-GB"/>
        </w:rPr>
        <w:t xml:space="preserve"> Currently, </w:t>
      </w:r>
      <w:r w:rsidR="009D0DD8" w:rsidRPr="009667E6">
        <w:rPr>
          <w:rFonts w:ascii="Calibri" w:hAnsi="Calibri"/>
          <w:bCs/>
          <w:sz w:val="20"/>
          <w:szCs w:val="20"/>
          <w:lang w:val="en-GB"/>
        </w:rPr>
        <w:t>the number of killed animals is</w:t>
      </w:r>
      <w:r w:rsidRPr="009667E6">
        <w:rPr>
          <w:rFonts w:ascii="Calibri" w:hAnsi="Calibri"/>
          <w:bCs/>
          <w:sz w:val="20"/>
          <w:szCs w:val="20"/>
          <w:lang w:val="en-GB"/>
        </w:rPr>
        <w:t xml:space="preserve"> no longer </w:t>
      </w:r>
      <w:r w:rsidR="009D0DD8" w:rsidRPr="009667E6">
        <w:rPr>
          <w:rFonts w:ascii="Calibri" w:hAnsi="Calibri"/>
          <w:bCs/>
          <w:sz w:val="20"/>
          <w:szCs w:val="20"/>
          <w:lang w:val="en-GB"/>
        </w:rPr>
        <w:t xml:space="preserve">systematically </w:t>
      </w:r>
      <w:r w:rsidRPr="009667E6">
        <w:rPr>
          <w:rFonts w:ascii="Calibri" w:hAnsi="Calibri"/>
          <w:bCs/>
          <w:sz w:val="20"/>
          <w:szCs w:val="20"/>
          <w:lang w:val="en-GB"/>
        </w:rPr>
        <w:t>monitored and th</w:t>
      </w:r>
      <w:r w:rsidR="009D0DD8" w:rsidRPr="009667E6">
        <w:rPr>
          <w:rFonts w:ascii="Calibri" w:hAnsi="Calibri"/>
          <w:bCs/>
          <w:sz w:val="20"/>
          <w:szCs w:val="20"/>
          <w:lang w:val="en-GB"/>
        </w:rPr>
        <w:t>is statistic</w:t>
      </w:r>
      <w:r w:rsidRPr="009667E6">
        <w:rPr>
          <w:rFonts w:ascii="Calibri" w:hAnsi="Calibri"/>
          <w:bCs/>
          <w:sz w:val="20"/>
          <w:szCs w:val="20"/>
          <w:lang w:val="en-GB"/>
        </w:rPr>
        <w:t xml:space="preserve"> </w:t>
      </w:r>
      <w:r w:rsidR="004708C8" w:rsidRPr="009667E6">
        <w:rPr>
          <w:rFonts w:ascii="Calibri" w:hAnsi="Calibri"/>
          <w:bCs/>
          <w:sz w:val="20"/>
          <w:szCs w:val="20"/>
          <w:lang w:val="en-GB"/>
        </w:rPr>
        <w:t>is</w:t>
      </w:r>
      <w:r w:rsidRPr="009667E6">
        <w:rPr>
          <w:rFonts w:ascii="Calibri" w:hAnsi="Calibri"/>
          <w:bCs/>
          <w:sz w:val="20"/>
          <w:szCs w:val="20"/>
          <w:lang w:val="en-GB"/>
        </w:rPr>
        <w:t xml:space="preserve"> extrapolated </w:t>
      </w:r>
      <w:r w:rsidR="004708C8" w:rsidRPr="009667E6">
        <w:rPr>
          <w:rFonts w:ascii="Calibri" w:hAnsi="Calibri"/>
          <w:bCs/>
          <w:sz w:val="20"/>
          <w:szCs w:val="20"/>
          <w:lang w:val="en-GB"/>
        </w:rPr>
        <w:t>from</w:t>
      </w:r>
      <w:r w:rsidRPr="009667E6">
        <w:rPr>
          <w:rFonts w:ascii="Calibri" w:hAnsi="Calibri"/>
          <w:bCs/>
          <w:sz w:val="20"/>
          <w:szCs w:val="20"/>
          <w:lang w:val="en-GB"/>
        </w:rPr>
        <w:t xml:space="preserve"> the number of hunting licenses issued</w:t>
      </w:r>
      <w:r w:rsidRPr="009667E6">
        <w:rPr>
          <w:rFonts w:ascii="Calibri" w:hAnsi="Calibri"/>
          <w:sz w:val="20"/>
          <w:szCs w:val="20"/>
          <w:lang w:val="en-GB"/>
        </w:rPr>
        <w:t>.</w:t>
      </w:r>
      <w:r w:rsidRPr="009667E6">
        <w:rPr>
          <w:rFonts w:ascii="Calibri" w:hAnsi="Calibri"/>
          <w:bCs/>
          <w:sz w:val="20"/>
          <w:szCs w:val="20"/>
          <w:lang w:val="en-CA"/>
        </w:rPr>
        <w:t xml:space="preserve"> </w:t>
      </w:r>
      <w:r w:rsidRPr="009667E6">
        <w:rPr>
          <w:rFonts w:asciiTheme="minorHAnsi" w:hAnsiTheme="minorHAnsi"/>
          <w:sz w:val="20"/>
          <w:szCs w:val="20"/>
          <w:lang w:val="en-GB"/>
        </w:rPr>
        <w:t>Under current procedures, hunting quotas should be determined during a national workshop to examine the potentialities and limitations of hunting areas, based on ecological monitoring data. However, since the monitoring of killings and abundance of exploited populations is not carried out consistently and according to a protocol to produce statistically valid data, the quotas or sustainable yield thresholds for the main exploited species are not based on rigorous science to ensure that hunting activities do not adversely affect the conservation objectives of core PAs and ZOVICs.</w:t>
      </w:r>
    </w:p>
    <w:p w14:paraId="0C43BEEE" w14:textId="67C5D513" w:rsidR="00302BFE" w:rsidRPr="009667E6" w:rsidRDefault="00302BFE" w:rsidP="00C46720">
      <w:pPr>
        <w:pStyle w:val="Paragraphedeliste"/>
        <w:numPr>
          <w:ilvl w:val="0"/>
          <w:numId w:val="32"/>
        </w:numPr>
        <w:tabs>
          <w:tab w:val="left" w:pos="284"/>
        </w:tabs>
        <w:spacing w:before="120" w:after="120"/>
        <w:ind w:left="0" w:firstLine="0"/>
        <w:jc w:val="both"/>
        <w:rPr>
          <w:rFonts w:ascii="Calibri" w:eastAsia="Calibri" w:hAnsi="Calibri"/>
          <w:color w:val="000000"/>
          <w:sz w:val="20"/>
          <w:szCs w:val="20"/>
          <w:lang w:val="en-GB"/>
        </w:rPr>
      </w:pPr>
      <w:bookmarkStart w:id="10" w:name="_Hlk4244849"/>
      <w:r w:rsidRPr="009667E6">
        <w:rPr>
          <w:rFonts w:ascii="Calibri" w:eastAsia="Times New Roman" w:hAnsi="Calibri"/>
          <w:i/>
          <w:iCs/>
          <w:color w:val="2F5496"/>
          <w:sz w:val="20"/>
          <w:szCs w:val="20"/>
          <w:lang w:val="en-GB"/>
        </w:rPr>
        <w:t xml:space="preserve"> Human-wildlife conflicts</w:t>
      </w:r>
      <w:r w:rsidRPr="009667E6">
        <w:rPr>
          <w:rFonts w:ascii="Calibri" w:hAnsi="Calibri"/>
          <w:sz w:val="20"/>
          <w:szCs w:val="20"/>
          <w:lang w:val="en-GB"/>
        </w:rPr>
        <w:t xml:space="preserve"> </w:t>
      </w:r>
      <w:bookmarkEnd w:id="10"/>
      <w:r w:rsidRPr="009667E6">
        <w:rPr>
          <w:rFonts w:ascii="Calibri" w:hAnsi="Calibri"/>
          <w:sz w:val="20"/>
          <w:szCs w:val="20"/>
          <w:lang w:val="en-GB"/>
        </w:rPr>
        <w:t xml:space="preserve">concern several species present in the landscape and are more frequent in the fields contiguous to protected areas. The current situation of human-elephant conflict is further detailed in Annex </w:t>
      </w:r>
      <w:r w:rsidR="009523FE" w:rsidRPr="009667E6">
        <w:rPr>
          <w:rFonts w:ascii="Calibri" w:hAnsi="Calibri"/>
          <w:sz w:val="20"/>
          <w:szCs w:val="20"/>
          <w:lang w:val="en-GB"/>
        </w:rPr>
        <w:t>L</w:t>
      </w:r>
      <w:r w:rsidRPr="009667E6">
        <w:rPr>
          <w:rFonts w:ascii="Calibri" w:hAnsi="Calibri"/>
          <w:sz w:val="20"/>
          <w:szCs w:val="20"/>
          <w:lang w:val="en-GB"/>
        </w:rPr>
        <w:t>, including the sites in the PONASI complex and the Nazinga-PN Deux-Balés corridor. Human-Elephant Conflicts occur at the beginning and end of rainy seasons in sites that are less monitored by forest services (due to difficult access) and neighbouring communities. At the beginning of the rainy season, elephants (</w:t>
      </w:r>
      <w:r w:rsidRPr="009667E6">
        <w:rPr>
          <w:rFonts w:ascii="Calibri" w:hAnsi="Calibri"/>
          <w:i/>
          <w:sz w:val="20"/>
          <w:szCs w:val="20"/>
          <w:lang w:val="en-GB"/>
        </w:rPr>
        <w:t>Loxodonta africana</w:t>
      </w:r>
      <w:r w:rsidRPr="009667E6">
        <w:rPr>
          <w:rFonts w:ascii="Calibri" w:hAnsi="Calibri"/>
          <w:sz w:val="20"/>
          <w:szCs w:val="20"/>
          <w:lang w:val="en-GB"/>
        </w:rPr>
        <w:t xml:space="preserve"> - </w:t>
      </w:r>
      <w:r w:rsidRPr="009667E6">
        <w:rPr>
          <w:rFonts w:ascii="Calibri" w:hAnsi="Calibri"/>
          <w:b/>
          <w:sz w:val="20"/>
          <w:szCs w:val="20"/>
          <w:lang w:val="en-GB"/>
        </w:rPr>
        <w:t>VU</w:t>
      </w:r>
      <w:r w:rsidRPr="009667E6">
        <w:rPr>
          <w:rFonts w:ascii="Calibri" w:hAnsi="Calibri"/>
          <w:sz w:val="20"/>
          <w:szCs w:val="20"/>
          <w:lang w:val="en-GB"/>
        </w:rPr>
        <w:t>) migrate to the north of the PONASI complex, where there is water, grass, natural salt marshes, and a large space for movement, and return at the end of the rainy season, when the water level drops. Each time they move, they do damage to the lands (orchards, cornfields, etc.) of neighbouring villages. The recent creation of two corridors as part of the PAGEN project have significantly contributed to solving this problem and allowing elephant movements between the Nazinga Game Ranch and the PNKT. However, the status of the corridors has not yet been formalized and there is no management or zoning plan that prevents the application of any rules limiting access and use of resources and land and increasing the risk of humans and elephant wildlife encounters.</w:t>
      </w:r>
    </w:p>
    <w:p w14:paraId="1E0056E7" w14:textId="3998F4C8" w:rsidR="00302BFE" w:rsidRPr="009667E6" w:rsidRDefault="00302BFE" w:rsidP="00302BFE">
      <w:pPr>
        <w:spacing w:before="120" w:after="120"/>
        <w:ind w:firstLine="720"/>
        <w:rPr>
          <w:b/>
          <w:szCs w:val="20"/>
          <w:lang w:val="en-GB"/>
        </w:rPr>
      </w:pPr>
      <w:r w:rsidRPr="009667E6">
        <w:rPr>
          <w:b/>
          <w:szCs w:val="20"/>
          <w:lang w:val="en-GB"/>
        </w:rPr>
        <w:t>Industrial and artisanal mining activities</w:t>
      </w:r>
    </w:p>
    <w:p w14:paraId="0E12965E" w14:textId="3CEE0F8F" w:rsidR="00302BFE" w:rsidRPr="009667E6"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GB"/>
        </w:rPr>
      </w:pPr>
      <w:r w:rsidRPr="009667E6">
        <w:rPr>
          <w:rFonts w:ascii="Calibri" w:eastAsia="Times New Roman" w:hAnsi="Calibri"/>
          <w:i/>
          <w:iCs/>
          <w:color w:val="2F5496"/>
          <w:sz w:val="20"/>
          <w:szCs w:val="20"/>
          <w:lang w:val="en-GB"/>
        </w:rPr>
        <w:t xml:space="preserve">Exploitation of gold. </w:t>
      </w:r>
      <w:r w:rsidRPr="009667E6">
        <w:rPr>
          <w:rFonts w:ascii="Calibri" w:hAnsi="Calibri"/>
          <w:sz w:val="20"/>
          <w:szCs w:val="20"/>
          <w:lang w:val="en-GB"/>
        </w:rPr>
        <w:t xml:space="preserve">The PONASI area is home to an active industrial gold mine whose quarry is located in the Guiaro </w:t>
      </w:r>
      <w:r w:rsidR="009363D6" w:rsidRPr="009667E6">
        <w:rPr>
          <w:rFonts w:ascii="Calibri" w:hAnsi="Calibri"/>
          <w:sz w:val="20"/>
          <w:szCs w:val="20"/>
          <w:lang w:val="en-GB"/>
        </w:rPr>
        <w:t>c</w:t>
      </w:r>
      <w:r w:rsidRPr="009667E6">
        <w:rPr>
          <w:rFonts w:ascii="Calibri" w:hAnsi="Calibri"/>
          <w:sz w:val="20"/>
          <w:szCs w:val="20"/>
          <w:lang w:val="en-GB"/>
        </w:rPr>
        <w:t xml:space="preserve">ommune and the industrial processing unit in the </w:t>
      </w:r>
      <w:r w:rsidR="009363D6" w:rsidRPr="009667E6">
        <w:rPr>
          <w:rFonts w:ascii="Calibri" w:hAnsi="Calibri"/>
          <w:sz w:val="20"/>
          <w:szCs w:val="20"/>
          <w:lang w:val="en-GB"/>
        </w:rPr>
        <w:t>commune</w:t>
      </w:r>
      <w:r w:rsidRPr="009667E6">
        <w:rPr>
          <w:rFonts w:ascii="Calibri" w:hAnsi="Calibri"/>
          <w:sz w:val="20"/>
          <w:szCs w:val="20"/>
          <w:lang w:val="en-GB"/>
        </w:rPr>
        <w:t xml:space="preserve"> of Tiébélé, about 40 km to the east. Three other industrial mining licenses have also been granted. A gold mining site in the village of Zerboko (ZOAGA commune), is located next to Corridor No. 2, and threatens its integrity.</w:t>
      </w:r>
    </w:p>
    <w:p w14:paraId="7A1F3B55" w14:textId="54200E91" w:rsidR="00302BFE" w:rsidRPr="009667E6"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GB"/>
        </w:rPr>
      </w:pPr>
      <w:r w:rsidRPr="009667E6">
        <w:rPr>
          <w:rFonts w:ascii="Calibri" w:eastAsia="Times New Roman" w:hAnsi="Calibri"/>
          <w:i/>
          <w:iCs/>
          <w:color w:val="2F5496"/>
          <w:sz w:val="20"/>
          <w:szCs w:val="20"/>
          <w:lang w:val="en-GB"/>
        </w:rPr>
        <w:lastRenderedPageBreak/>
        <w:t xml:space="preserve">Extraction of aggregates. </w:t>
      </w:r>
      <w:r w:rsidRPr="009667E6">
        <w:rPr>
          <w:rFonts w:ascii="Calibri" w:eastAsia="Times New Roman" w:hAnsi="Calibri"/>
          <w:kern w:val="2"/>
          <w:sz w:val="20"/>
          <w:szCs w:val="20"/>
          <w:lang w:val="en-GB" w:eastAsia="hi-IN" w:bidi="hi-IN"/>
        </w:rPr>
        <w:t>Sand, gravel and wild pebbles are extracted in the PNKT and corridors for commercial purposes. This situation is responsible for the degradation of certain ecosystems, erosion and the transport of solid materials being responsible for the filling of water bodies.</w:t>
      </w:r>
    </w:p>
    <w:p w14:paraId="1B342C02" w14:textId="52DF1767" w:rsidR="00302BFE" w:rsidRPr="009667E6" w:rsidRDefault="00302BFE" w:rsidP="00302BFE">
      <w:pPr>
        <w:spacing w:before="120" w:after="120"/>
        <w:ind w:firstLine="720"/>
        <w:rPr>
          <w:b/>
          <w:szCs w:val="20"/>
          <w:lang w:val="en-GB"/>
        </w:rPr>
      </w:pPr>
      <w:r w:rsidRPr="009667E6">
        <w:rPr>
          <w:b/>
          <w:szCs w:val="20"/>
          <w:lang w:val="en-GB"/>
        </w:rPr>
        <w:t>Climate change</w:t>
      </w:r>
    </w:p>
    <w:p w14:paraId="3B891395" w14:textId="08C5DE70" w:rsidR="00302BFE" w:rsidRPr="009667E6"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GB"/>
        </w:rPr>
      </w:pPr>
      <w:r w:rsidRPr="009667E6">
        <w:rPr>
          <w:rFonts w:ascii="Calibri" w:hAnsi="Calibri"/>
          <w:sz w:val="20"/>
          <w:szCs w:val="20"/>
          <w:lang w:val="en-GB"/>
        </w:rPr>
        <w:t xml:space="preserve">The analysis of the projections for the coming years made in the framework of the 2015 National Adaptation Plan is summarized in some observations for the whole country according to which (i) the risk of a reduction in rainfall is low, however rainfall patterns are likely to be more spread out and more variable from year to year, with contrasting periods of torrential rains and longer drought periods, (ii) an increase in maximum and minimum temperatures of 2.5°C to 5°C is expected, (iii) significant increase in potential monthly evapotranspiration (2 to 10 mm) is expected. The likely consequences for natural and agro-sylvo-pastoral resources include: (i) increased risks to growth </w:t>
      </w:r>
      <w:r w:rsidR="006B58CC" w:rsidRPr="009667E6">
        <w:rPr>
          <w:rFonts w:ascii="Calibri" w:hAnsi="Calibri"/>
          <w:sz w:val="20"/>
          <w:szCs w:val="20"/>
          <w:lang w:val="en-GB"/>
        </w:rPr>
        <w:t xml:space="preserve">of </w:t>
      </w:r>
      <w:r w:rsidRPr="009667E6">
        <w:rPr>
          <w:rFonts w:ascii="Calibri" w:hAnsi="Calibri"/>
          <w:sz w:val="20"/>
          <w:szCs w:val="20"/>
          <w:lang w:val="en-GB"/>
        </w:rPr>
        <w:t xml:space="preserve">rainfed crops, (ii) more frequent and severe floods could lead to crop and biodiversity losses, (iii) ) an increase in potential evapotranspiration combined with anthropogenic activities could accelerate the degradation of vegetation cover, the decrease in groundwater recharge through infiltration, and a decrease in perennial surface water and watercourses and gallery forests (iv) the regeneration capacity of forest formations should no longer be able to compensate for the harvesting of wood to meet energy needs, (v) the scarcity of grazing lands and water bodies in the Sahelian zone should push pastoral activities to migrate further south, thus risking pressure on pastures in the southern regions of the country, including the PONASI landscape area. </w:t>
      </w:r>
      <w:r w:rsidRPr="009667E6">
        <w:rPr>
          <w:rFonts w:ascii="Calibri" w:hAnsi="Calibri"/>
          <w:sz w:val="20"/>
          <w:szCs w:val="20"/>
          <w:lang w:val="en-CA"/>
        </w:rPr>
        <w:t>Annual rainfall data show an irregular pattern from year to year. However, the global trend shows a significant increase in rainfall volumes (from 650 to 930 mm) between 1983 and 2013</w:t>
      </w:r>
      <w:r w:rsidRPr="009667E6">
        <w:rPr>
          <w:rStyle w:val="Appelnotedebasdep"/>
          <w:rFonts w:ascii="Calibri" w:hAnsi="Calibri"/>
          <w:sz w:val="20"/>
          <w:szCs w:val="20"/>
          <w:lang w:val="en-CA"/>
        </w:rPr>
        <w:footnoteReference w:id="40"/>
      </w:r>
      <w:r w:rsidRPr="009667E6">
        <w:rPr>
          <w:rFonts w:ascii="Calibri" w:hAnsi="Calibri"/>
          <w:sz w:val="20"/>
          <w:szCs w:val="20"/>
          <w:lang w:val="en-CA"/>
        </w:rPr>
        <w:t>.</w:t>
      </w:r>
    </w:p>
    <w:p w14:paraId="14C10037" w14:textId="58742C0B" w:rsidR="00302BFE" w:rsidRPr="009667E6"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GB"/>
        </w:rPr>
      </w:pPr>
      <w:r w:rsidRPr="009667E6">
        <w:rPr>
          <w:rFonts w:ascii="Calibri" w:hAnsi="Calibri"/>
          <w:sz w:val="20"/>
          <w:szCs w:val="20"/>
          <w:u w:val="single"/>
          <w:lang w:val="en-GB"/>
        </w:rPr>
        <w:t>The cycle of biodiversity loss and land degradation and poverty</w:t>
      </w:r>
      <w:r w:rsidRPr="009667E6">
        <w:rPr>
          <w:rFonts w:ascii="Calibri" w:hAnsi="Calibri"/>
          <w:sz w:val="20"/>
          <w:szCs w:val="20"/>
          <w:lang w:val="en-GB"/>
        </w:rPr>
        <w:t>. The loss of biodiversity and land degradation, combined with the effects of climate change</w:t>
      </w:r>
      <w:r w:rsidR="006B58CC" w:rsidRPr="009667E6">
        <w:rPr>
          <w:rFonts w:ascii="Calibri" w:hAnsi="Calibri"/>
          <w:sz w:val="20"/>
          <w:szCs w:val="20"/>
          <w:lang w:val="en-GB"/>
        </w:rPr>
        <w:t xml:space="preserve"> and the impact of the recent COVID crisis</w:t>
      </w:r>
      <w:r w:rsidRPr="009667E6">
        <w:rPr>
          <w:rFonts w:ascii="Calibri" w:hAnsi="Calibri"/>
          <w:sz w:val="20"/>
          <w:szCs w:val="20"/>
          <w:lang w:val="en-GB"/>
        </w:rPr>
        <w:t>, worsen the poverty status of the most vulnerable segments of the population in the intervention zone and compromise the nutritional balance of households that do not have the resources and knowledge needed to adapt their means of production and use of natural resources. Low productivity and low wages in agro-sylvo-pastoral work discourage young people from investing in better and more sustainable practices and encourage them to leave rural areas for big cities in search of better incomes.</w:t>
      </w:r>
    </w:p>
    <w:p w14:paraId="4B320397" w14:textId="6649918E" w:rsidR="00302BFE" w:rsidRPr="009667E6"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GB"/>
        </w:rPr>
      </w:pPr>
      <w:r w:rsidRPr="009667E6">
        <w:rPr>
          <w:rFonts w:ascii="Calibri" w:hAnsi="Calibri"/>
          <w:sz w:val="20"/>
          <w:szCs w:val="20"/>
          <w:lang w:val="en-CA"/>
        </w:rPr>
        <w:t>The long-term solution proposed in this project to address the drivers of biodiversity loss and land degradation is to adopt a landscape-scale management approach to ensure the sustainable management of the PONASI complex and its area of influence to ensure the preservation and integrity of the ecosystem services on which the livelihoods of local people depend.</w:t>
      </w:r>
    </w:p>
    <w:p w14:paraId="58C087E1" w14:textId="5B4962F1" w:rsidR="00302BFE" w:rsidRPr="009667E6" w:rsidRDefault="00302BFE" w:rsidP="00302BFE">
      <w:pPr>
        <w:spacing w:before="240" w:after="120"/>
        <w:ind w:firstLine="720"/>
        <w:rPr>
          <w:b/>
          <w:szCs w:val="20"/>
          <w:lang w:val="en-GB"/>
        </w:rPr>
      </w:pPr>
      <w:r w:rsidRPr="009667E6">
        <w:rPr>
          <w:b/>
          <w:szCs w:val="20"/>
          <w:lang w:val="en-GB"/>
        </w:rPr>
        <w:t>Barriers to implementing the long-term solution</w:t>
      </w:r>
    </w:p>
    <w:p w14:paraId="6D299C46" w14:textId="12B71C1B" w:rsidR="00302BFE" w:rsidRPr="009667E6" w:rsidRDefault="00302BFE" w:rsidP="00302BFE">
      <w:pPr>
        <w:pStyle w:val="Paragraphedeliste"/>
        <w:tabs>
          <w:tab w:val="left" w:pos="284"/>
        </w:tabs>
        <w:spacing w:before="120" w:after="120"/>
        <w:ind w:left="0"/>
        <w:jc w:val="both"/>
        <w:rPr>
          <w:rFonts w:ascii="Calibri" w:hAnsi="Calibri"/>
          <w:color w:val="4472C4"/>
          <w:sz w:val="20"/>
          <w:szCs w:val="20"/>
          <w:lang w:val="en-GB"/>
        </w:rPr>
      </w:pPr>
      <w:r w:rsidRPr="009667E6">
        <w:rPr>
          <w:rFonts w:ascii="Calibri" w:hAnsi="Calibri"/>
          <w:i/>
          <w:color w:val="4472C4"/>
          <w:sz w:val="20"/>
          <w:szCs w:val="20"/>
        </w:rPr>
        <w:t>Barrier# 1. Insufficient systemic and institutional capacity for integrated governance of land use</w:t>
      </w:r>
    </w:p>
    <w:p w14:paraId="705D2BF4" w14:textId="3448468D" w:rsidR="00302BFE" w:rsidRPr="009667E6"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CA"/>
        </w:rPr>
      </w:pPr>
      <w:r w:rsidRPr="009667E6">
        <w:rPr>
          <w:rFonts w:ascii="Calibri" w:hAnsi="Calibri"/>
          <w:sz w:val="20"/>
          <w:szCs w:val="20"/>
          <w:lang w:val="en-CA"/>
        </w:rPr>
        <w:t>In Burkina Faso, many organizations concerned with the environment have different mandates and different jurisdictions. They often work independently, without appropriate coordination and complementarity.</w:t>
      </w:r>
    </w:p>
    <w:p w14:paraId="343F0266" w14:textId="2C9EB7A3" w:rsidR="004B3763" w:rsidRPr="009667E6"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CA"/>
        </w:rPr>
      </w:pPr>
      <w:r w:rsidRPr="009667E6">
        <w:rPr>
          <w:rFonts w:ascii="Calibri" w:hAnsi="Calibri"/>
          <w:sz w:val="20"/>
          <w:szCs w:val="20"/>
          <w:lang w:val="en-CA"/>
        </w:rPr>
        <w:t xml:space="preserve">At the national level, management and monitoring of protected areas and hunting areas is shared between OFINAP and the Wildlife and Hunting Directorate (DFRC) of the DGEF, while forests classified for forestry or ecosystem protection purposes are under the supervision of the Forest Directorate (DiFor) of the DGEF. In the PONASI area, only the Ranch of Nazinga is under the management and monitoring of OFINAP. The PNKT is under the responsibility of the DGEF and of the Regional Directorates of the Ministry of the Environment. The Sissili Classified Forest is the subject of a hunting concession, which is in principle followed by the DFRC, while the Nazinon Classified Forest managed as a CAF is under the Directorate of Forests and Reforestation / General Directorate of Waters and Forests. Agencies such as DGEF, OFINAP and </w:t>
      </w:r>
      <w:r w:rsidRPr="009667E6">
        <w:rPr>
          <w:rFonts w:ascii="Calibri" w:hAnsi="Calibri" w:cs="Calibri"/>
          <w:sz w:val="20"/>
          <w:szCs w:val="20"/>
        </w:rPr>
        <w:t>DREEVCC</w:t>
      </w:r>
      <w:r w:rsidRPr="009667E6">
        <w:rPr>
          <w:rFonts w:ascii="Calibri" w:hAnsi="Calibri"/>
          <w:sz w:val="20"/>
          <w:szCs w:val="20"/>
          <w:lang w:val="en-CA"/>
        </w:rPr>
        <w:t xml:space="preserve"> operate independently at different levels, including for the PONASI complex.</w:t>
      </w:r>
      <w:r w:rsidR="005E57D8" w:rsidRPr="009667E6">
        <w:rPr>
          <w:rFonts w:ascii="Calibri" w:hAnsi="Calibri"/>
          <w:sz w:val="20"/>
          <w:szCs w:val="20"/>
          <w:lang w:val="en-CA"/>
        </w:rPr>
        <w:t xml:space="preserve"> </w:t>
      </w:r>
      <w:r w:rsidR="008A2C50" w:rsidRPr="009667E6">
        <w:rPr>
          <w:rFonts w:ascii="Calibri" w:hAnsi="Calibri"/>
          <w:sz w:val="20"/>
          <w:szCs w:val="20"/>
          <w:lang w:val="en-CA"/>
        </w:rPr>
        <w:t xml:space="preserve">Within the Directorate General of Water and Forests, ecological monitoring is under the supervision of the Department of Planning and Ecological Monitoring of the DFRC which includes 3 officers and 1 engineer. It can provide support to OFINAP and concessionaires as needed. </w:t>
      </w:r>
      <w:r w:rsidR="004B3763" w:rsidRPr="009667E6">
        <w:rPr>
          <w:rFonts w:ascii="Calibri" w:hAnsi="Calibri"/>
          <w:sz w:val="20"/>
          <w:szCs w:val="20"/>
          <w:lang w:val="en-CA"/>
        </w:rPr>
        <w:t>They are supported in the field by seven (7) forest stations and brigades set up specifically for P</w:t>
      </w:r>
      <w:r w:rsidR="00F03A01" w:rsidRPr="009667E6">
        <w:rPr>
          <w:rFonts w:ascii="Calibri" w:hAnsi="Calibri"/>
          <w:sz w:val="20"/>
          <w:szCs w:val="20"/>
          <w:lang w:val="en-CA"/>
        </w:rPr>
        <w:t>A</w:t>
      </w:r>
      <w:r w:rsidR="004B3763" w:rsidRPr="009667E6">
        <w:rPr>
          <w:rFonts w:ascii="Calibri" w:hAnsi="Calibri"/>
          <w:sz w:val="20"/>
          <w:szCs w:val="20"/>
          <w:lang w:val="en-CA"/>
        </w:rPr>
        <w:t>s,</w:t>
      </w:r>
      <w:r w:rsidR="00F03A01" w:rsidRPr="009667E6">
        <w:rPr>
          <w:rFonts w:ascii="Calibri" w:hAnsi="Calibri"/>
          <w:sz w:val="20"/>
          <w:szCs w:val="20"/>
          <w:lang w:val="en-CA"/>
        </w:rPr>
        <w:t xml:space="preserve"> four for the RGN and three for the PNKT, with respectively 10 (RGN) and 11 (PNKT) forest agents.</w:t>
      </w:r>
    </w:p>
    <w:p w14:paraId="6B21697E" w14:textId="4E3E4177" w:rsidR="00302BFE" w:rsidRPr="009667E6"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CA"/>
        </w:rPr>
      </w:pPr>
      <w:r w:rsidRPr="009667E6">
        <w:rPr>
          <w:rFonts w:ascii="Calibri" w:hAnsi="Calibri"/>
          <w:sz w:val="20"/>
          <w:szCs w:val="20"/>
          <w:lang w:val="en-CA"/>
        </w:rPr>
        <w:t>Management units should be established for each protected area, such as the Nazinga Game Ranch Management Unit, but have not been established for the PNKT or for the Sissili CF. Hence, there is no joint governance and integration at the landscape level. There is a strong need for a platform to set up joint and coherent decision-making mechanisms and to ensure the harmonization of the different management jurisdictions within the landscape. In addition, there are no tools, knowledge and appropriate skills to support such a platform for better decision making and addressing both biodiversity concerns, sustainable land and resources management, climate change, and socio-economic benefits.</w:t>
      </w:r>
    </w:p>
    <w:p w14:paraId="7BD905B3" w14:textId="4C55AAE3" w:rsidR="00302BFE" w:rsidRPr="009667E6"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CA"/>
        </w:rPr>
      </w:pPr>
      <w:r w:rsidRPr="009667E6">
        <w:rPr>
          <w:rFonts w:ascii="Calibri" w:hAnsi="Calibri"/>
          <w:sz w:val="20"/>
          <w:szCs w:val="20"/>
          <w:lang w:val="en-CA"/>
        </w:rPr>
        <w:lastRenderedPageBreak/>
        <w:t>Since 2009, with the support of several donors, including UNDP and the GEF, the Ministry in charge of Environment has initiated and developed processes of consultation and national and regional planning within the framework of the Country Partnership Program, notably in the Boucle du Mouhoun and the Center-West (which includes part of the PONASI landscape). However, these interventions were mainly focused on one environmental area, sustainable land management. New land-use planning tools and resources for maximizing benefits are needed to provide an adequate basis and analytical framework for sound decision-making that takes into account multiple environmental and socio-economic dimensions with a view to identifying synergies and reducing the inevitable trade-offs between the benefits provided by each of these areas.</w:t>
      </w:r>
    </w:p>
    <w:p w14:paraId="4FBC98D7" w14:textId="54AFA322" w:rsidR="00302BFE" w:rsidRPr="009667E6"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CA"/>
        </w:rPr>
      </w:pPr>
      <w:r w:rsidRPr="009667E6">
        <w:rPr>
          <w:rFonts w:ascii="Calibri" w:hAnsi="Calibri"/>
          <w:sz w:val="20"/>
          <w:szCs w:val="20"/>
          <w:lang w:val="en-CA"/>
        </w:rPr>
        <w:t>There is also a lack of knowledge about the exact estimates of carbon stocks in the PONASI landscape, as well as the options/opportunities for carbon sequestration. Carbon mapping is essential to better understand the potential for sequestration and ecosystem valuation through the REDD+ system. Tools such as decision-making and carbon mapping will help strengthen the PONASI landscape management plan and provide an additional argument for protecting critical wildlife habitat, maintaining biodiversity and ecosystem services, while contributing to reduce emissions.</w:t>
      </w:r>
    </w:p>
    <w:p w14:paraId="114050D7" w14:textId="3E1D7194" w:rsidR="00302BFE" w:rsidRPr="009667E6"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CA"/>
        </w:rPr>
      </w:pPr>
      <w:r w:rsidRPr="009667E6">
        <w:rPr>
          <w:rFonts w:ascii="Calibri" w:hAnsi="Calibri"/>
          <w:sz w:val="20"/>
          <w:szCs w:val="20"/>
          <w:lang w:val="en-CA"/>
        </w:rPr>
        <w:t>The REDD+ process initiated by Burkina Faso under the Forest Investment Program (FIP, financed by the WB and AfDB) will provide the country with a national REDD+ strategy and includes the development of national knowledge and capacities to estimate and monitor carbon stocks and a mechanism for collecting and redistributing profits to carbon project holders. The estimate of carbon stocks under the BIP covers one of the classified forests of the PONASI landscape, the Nazinon classified forest now managed as a forest management site (C</w:t>
      </w:r>
      <w:r w:rsidRPr="009667E6">
        <w:rPr>
          <w:rFonts w:ascii="Calibri" w:hAnsi="Calibri"/>
          <w:i/>
          <w:sz w:val="20"/>
          <w:szCs w:val="20"/>
          <w:lang w:val="en-CA"/>
        </w:rPr>
        <w:t>hantier d’Aménagement Forestier</w:t>
      </w:r>
      <w:r w:rsidRPr="009667E6">
        <w:rPr>
          <w:rFonts w:ascii="Calibri" w:hAnsi="Calibri"/>
          <w:sz w:val="20"/>
          <w:szCs w:val="20"/>
          <w:lang w:val="en-CA"/>
        </w:rPr>
        <w:t>).</w:t>
      </w:r>
    </w:p>
    <w:p w14:paraId="6B6A0EB0" w14:textId="385CB386" w:rsidR="00302BFE" w:rsidRPr="009667E6"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CA"/>
        </w:rPr>
      </w:pPr>
      <w:r w:rsidRPr="009667E6">
        <w:rPr>
          <w:rFonts w:ascii="Calibri" w:hAnsi="Calibri"/>
          <w:sz w:val="20"/>
          <w:szCs w:val="20"/>
          <w:lang w:val="en-CA"/>
        </w:rPr>
        <w:t xml:space="preserve">Finally, there are no appropriate incentives or mechanisms to support the financing of landscape management. The experience gained by the MEGECC in the context of the </w:t>
      </w:r>
      <w:r w:rsidR="00D27B19" w:rsidRPr="009667E6">
        <w:rPr>
          <w:rFonts w:ascii="Calibri" w:hAnsi="Calibri"/>
          <w:sz w:val="20"/>
          <w:szCs w:val="20"/>
          <w:lang w:val="en-CA"/>
        </w:rPr>
        <w:t>GEF-financed Country Pilot Partnership (</w:t>
      </w:r>
      <w:r w:rsidRPr="009667E6">
        <w:rPr>
          <w:rFonts w:ascii="Calibri" w:hAnsi="Calibri"/>
          <w:sz w:val="20"/>
          <w:szCs w:val="20"/>
          <w:lang w:val="en-CA"/>
        </w:rPr>
        <w:t>CPP</w:t>
      </w:r>
      <w:r w:rsidR="00D27B19" w:rsidRPr="009667E6">
        <w:rPr>
          <w:rFonts w:ascii="Calibri" w:hAnsi="Calibri"/>
          <w:sz w:val="20"/>
          <w:szCs w:val="20"/>
          <w:lang w:val="en-CA"/>
        </w:rPr>
        <w:t>)</w:t>
      </w:r>
      <w:r w:rsidRPr="009667E6">
        <w:rPr>
          <w:rFonts w:ascii="Calibri" w:hAnsi="Calibri"/>
          <w:sz w:val="20"/>
          <w:szCs w:val="20"/>
          <w:lang w:val="en-CA"/>
        </w:rPr>
        <w:t xml:space="preserve"> program and in the framework of the PONASI project supported by the EU and Naturama has shown that the sustainability of consultation and partnership mechanisms for sustainable land management depends closely on the continued funding of the Platform and its autonomous operation. Another lesson from the CPP program is that the collaborative planning process, by making transparent the resource planning mobilized by the stakeholders in the partnership, significantly improves the funding of natural resource management and acts as an incentive to technical and financial partners to strengthen their actions in the region considered.</w:t>
      </w:r>
    </w:p>
    <w:p w14:paraId="5EC253D2" w14:textId="1466C301" w:rsidR="00302BFE" w:rsidRPr="009667E6" w:rsidRDefault="00302BFE" w:rsidP="00302BFE">
      <w:pPr>
        <w:pStyle w:val="Paragraphedeliste"/>
        <w:tabs>
          <w:tab w:val="left" w:pos="284"/>
        </w:tabs>
        <w:spacing w:before="120" w:after="120"/>
        <w:ind w:left="0"/>
        <w:jc w:val="both"/>
        <w:rPr>
          <w:rFonts w:ascii="Calibri" w:hAnsi="Calibri"/>
          <w:i/>
          <w:color w:val="4472C4"/>
          <w:sz w:val="20"/>
          <w:szCs w:val="20"/>
          <w:lang w:val="en-CA"/>
        </w:rPr>
      </w:pPr>
      <w:r w:rsidRPr="009667E6">
        <w:rPr>
          <w:rFonts w:ascii="Calibri" w:hAnsi="Calibri"/>
          <w:i/>
          <w:color w:val="4472C4"/>
          <w:sz w:val="20"/>
          <w:szCs w:val="20"/>
          <w:lang w:val="en-CA"/>
        </w:rPr>
        <w:t>Barrier No. 2. Low management effectiveness of the conservation areas.</w:t>
      </w:r>
    </w:p>
    <w:p w14:paraId="6016900E" w14:textId="7DD730BC" w:rsidR="00302BFE" w:rsidRPr="009667E6"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CA"/>
        </w:rPr>
      </w:pPr>
      <w:r w:rsidRPr="009667E6">
        <w:rPr>
          <w:rFonts w:ascii="Calibri" w:hAnsi="Calibri"/>
          <w:sz w:val="20"/>
          <w:szCs w:val="20"/>
          <w:lang w:val="en-CA"/>
        </w:rPr>
        <w:t>Despite the official designation of PAs in the 1970s, the management effectiveness of the PONASI PA complex and individual PAs remained low. Administrative and technical supervision is the responsibility of various entities. The connectivity between the PAs was established through the creation of two corridors with the support of the PAGEN project but still needs to be secured. Basic infrastructure for management is non-existent or in poor condition, and revenue-generating sectors require a concerted revitalization initiative.</w:t>
      </w:r>
    </w:p>
    <w:p w14:paraId="5CA15116" w14:textId="478E7032" w:rsidR="00302BFE" w:rsidRPr="009667E6"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CA"/>
        </w:rPr>
      </w:pPr>
      <w:r w:rsidRPr="009667E6">
        <w:rPr>
          <w:rFonts w:ascii="Calibri" w:hAnsi="Calibri"/>
          <w:sz w:val="20"/>
          <w:szCs w:val="20"/>
          <w:lang w:val="en-CA"/>
        </w:rPr>
        <w:t>Management plans for the Nazinga Game Ranch and the Kaboré-Tambi National Park need to be updated and validated and the Sissili Forest Reserve plan still needs to be developed. The status of this forest must be reconfirmed after unsuccessful attempts to decommission part of the forest to create a grazing area; its hunting management concession must be renewed and formalized. Only the PNKT draft management plan includes elements for an integrated landscape management approach and for a co-management relationship with neighboring park communities. There is no regular monitoring program for biodiversity except in Nazinga</w:t>
      </w:r>
      <w:r w:rsidR="00753B60" w:rsidRPr="009667E6">
        <w:rPr>
          <w:rFonts w:ascii="Calibri" w:hAnsi="Calibri"/>
          <w:sz w:val="20"/>
          <w:szCs w:val="20"/>
          <w:lang w:val="en-CA"/>
        </w:rPr>
        <w:t xml:space="preserve"> where </w:t>
      </w:r>
      <w:r w:rsidR="002642AF" w:rsidRPr="009667E6">
        <w:rPr>
          <w:rFonts w:ascii="Calibri" w:hAnsi="Calibri"/>
          <w:sz w:val="20"/>
          <w:szCs w:val="20"/>
          <w:lang w:val="en-CA"/>
        </w:rPr>
        <w:t>annual</w:t>
      </w:r>
      <w:r w:rsidR="00753B60" w:rsidRPr="009667E6">
        <w:rPr>
          <w:rFonts w:ascii="Calibri" w:hAnsi="Calibri"/>
          <w:sz w:val="20"/>
          <w:szCs w:val="20"/>
          <w:lang w:val="en-CA"/>
        </w:rPr>
        <w:t xml:space="preserve"> monitoring is limited to mammals</w:t>
      </w:r>
      <w:r w:rsidR="00300692" w:rsidRPr="009667E6">
        <w:rPr>
          <w:rFonts w:ascii="Calibri" w:hAnsi="Calibri"/>
          <w:sz w:val="20"/>
          <w:szCs w:val="20"/>
          <w:lang w:val="en-CA"/>
        </w:rPr>
        <w:t xml:space="preserve"> targeted by hunting</w:t>
      </w:r>
      <w:r w:rsidRPr="009667E6">
        <w:rPr>
          <w:rFonts w:ascii="Calibri" w:hAnsi="Calibri"/>
          <w:sz w:val="20"/>
          <w:szCs w:val="20"/>
          <w:lang w:val="en-CA"/>
        </w:rPr>
        <w:t xml:space="preserve">. </w:t>
      </w:r>
      <w:r w:rsidR="008A2C50" w:rsidRPr="009667E6">
        <w:rPr>
          <w:rFonts w:ascii="Calibri" w:hAnsi="Calibri"/>
          <w:sz w:val="20"/>
          <w:szCs w:val="20"/>
          <w:lang w:val="en-CA"/>
        </w:rPr>
        <w:t xml:space="preserve">An inventory was conducted in 2014 in the Sissili FC and the PNKT financed by the Bolgatenga-Ouagadougou Power Line Connection Project as part of a protocol with the National Electricity Company of Burkina Faso. </w:t>
      </w:r>
      <w:r w:rsidRPr="009667E6">
        <w:rPr>
          <w:rFonts w:ascii="Calibri" w:hAnsi="Calibri"/>
          <w:sz w:val="20"/>
          <w:szCs w:val="20"/>
          <w:lang w:val="en-CA"/>
        </w:rPr>
        <w:t>With the exception of hunting organized by and benefiting private concessionaires, there is no integrated program to provide vision tourism opportunities in protected areas that can bring substantial benefits to local communities.</w:t>
      </w:r>
      <w:r w:rsidR="005928D6" w:rsidRPr="009667E6">
        <w:rPr>
          <w:rFonts w:ascii="Calibri" w:hAnsi="Calibri"/>
          <w:sz w:val="20"/>
          <w:szCs w:val="20"/>
          <w:lang w:val="en-CA"/>
        </w:rPr>
        <w:t xml:space="preserve"> </w:t>
      </w:r>
    </w:p>
    <w:p w14:paraId="33B09754" w14:textId="2F1B14FA" w:rsidR="00302BFE" w:rsidRPr="009667E6"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CA"/>
        </w:rPr>
      </w:pPr>
      <w:r w:rsidRPr="009667E6">
        <w:rPr>
          <w:rFonts w:ascii="Calibri" w:hAnsi="Calibri"/>
          <w:sz w:val="20"/>
          <w:szCs w:val="20"/>
          <w:lang w:val="en-CA"/>
        </w:rPr>
        <w:t>The status of several peripheral areas of protected areas in the state still needs to be formalized (CAF, Buffer Zone, some ZOVICs and corridors) to be able to consolidate or renew their management.</w:t>
      </w:r>
    </w:p>
    <w:p w14:paraId="18AA3F4B" w14:textId="304BA860" w:rsidR="00302BFE" w:rsidRPr="009667E6"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CA"/>
        </w:rPr>
      </w:pPr>
      <w:r w:rsidRPr="009667E6">
        <w:rPr>
          <w:rFonts w:ascii="Calibri" w:hAnsi="Calibri"/>
          <w:sz w:val="20"/>
          <w:szCs w:val="20"/>
          <w:lang w:val="en-CA"/>
        </w:rPr>
        <w:t>Although co-management has emerged as a necessity, based on the active participation of local authorities and NGOs to ensure the mobilization of actors at all levels, it is still not in place, neither the capacity nor the tools to supervise it. The co-management of PAs would partially offset the financial limitations for the management of certain staff such as ecoguards.</w:t>
      </w:r>
    </w:p>
    <w:p w14:paraId="564AE88D" w14:textId="32E682FF" w:rsidR="00302BFE" w:rsidRPr="009667E6"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CA"/>
        </w:rPr>
      </w:pPr>
      <w:r w:rsidRPr="009667E6">
        <w:rPr>
          <w:rFonts w:ascii="Calibri" w:hAnsi="Calibri"/>
          <w:sz w:val="20"/>
          <w:szCs w:val="20"/>
          <w:lang w:val="en-CA"/>
        </w:rPr>
        <w:t>The PNKT is surrounded by 70 villages for a total of 30,000 inhabitants. Between 1993 and 2007, the management of the park was entrusted to the national NGO NATURAMA and progress has been made in supporting the livelihoods of the community, which has reduced anthropogenic pressures on the park. However, since the management of the park returned to the government, financial and human resources are insufficient to operationalize proper management to maintain these gains. There is no management unit and the park management infrastructure is deteriorated. Forest rangers are poorly equipped, lack the logistical means to carry out their essential tasks of surveillance and biodiversity monitoring, have few training opportunities, and no performance reward system.</w:t>
      </w:r>
    </w:p>
    <w:p w14:paraId="12C84DEE" w14:textId="60C7751F" w:rsidR="00302BFE" w:rsidRPr="009667E6"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CA"/>
        </w:rPr>
      </w:pPr>
      <w:r w:rsidRPr="009667E6">
        <w:rPr>
          <w:rFonts w:ascii="Calibri" w:hAnsi="Calibri"/>
          <w:sz w:val="20"/>
          <w:szCs w:val="20"/>
          <w:lang w:val="en-CA"/>
        </w:rPr>
        <w:t xml:space="preserve">The establishment of two biological corridors covering 37,500 ha under the PAGEN project (Partnership for Improved Management of Natural Ecosystems - 2003-2007) resulted in an increase in wildlife populations and elephant movements between main PAs. </w:t>
      </w:r>
      <w:r w:rsidRPr="009667E6">
        <w:rPr>
          <w:rFonts w:ascii="Calibri" w:hAnsi="Calibri"/>
          <w:sz w:val="20"/>
          <w:szCs w:val="20"/>
          <w:lang w:val="en-CA"/>
        </w:rPr>
        <w:lastRenderedPageBreak/>
        <w:t>However, after the end of the project, surveillance decreased, and the situation started to reverse. Pastoralists have invaded the corridors, poaching has resumed, and bushfires have become more common, exerting pressure on wildlife attempting to use these corridors. It is urgent to formalize the statutes of the corridors to enable forest and surveillance agents to conduct their missions, to establish a permanent governance and co-management structure for corridors involving local authorities and local NGOs and associations, to develop co-management plans including zoning plans and to integrate these in the business plan for the complex of PAs, as well as a restoration plan for targeted habitat improvements with the full participation of community members.</w:t>
      </w:r>
    </w:p>
    <w:p w14:paraId="29625BBC" w14:textId="11A8D6A8" w:rsidR="00302BFE" w:rsidRPr="009667E6"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CA"/>
        </w:rPr>
      </w:pPr>
      <w:r w:rsidRPr="009667E6">
        <w:rPr>
          <w:rFonts w:ascii="Calibri" w:hAnsi="Calibri"/>
          <w:sz w:val="20"/>
          <w:szCs w:val="20"/>
          <w:lang w:val="en-CA"/>
        </w:rPr>
        <w:t>At the same time, the government needs to develop and implement an effective elephant conservation plan for the entire PONASI landscape, in collaboration with local communities and with Ghanaian authorities. Transboundary agreements between Ghana and Burkina Faso to ensure the protection of elephant populations have never been implemented. At the same time, the movements of elephants within the PONASI landscape and in adjacent areas are not clearly understood, which hampers the creation of an additional corridor to ensure the connection of elephant corridors outside the PONASI landscape.</w:t>
      </w:r>
    </w:p>
    <w:p w14:paraId="3D65FE95" w14:textId="45FE32D1" w:rsidR="00302BFE" w:rsidRPr="009667E6" w:rsidRDefault="00302BFE" w:rsidP="00302BFE">
      <w:pPr>
        <w:pStyle w:val="Paragraphedeliste"/>
        <w:tabs>
          <w:tab w:val="left" w:pos="284"/>
        </w:tabs>
        <w:spacing w:before="120" w:after="120"/>
        <w:ind w:left="0"/>
        <w:jc w:val="both"/>
        <w:rPr>
          <w:rFonts w:ascii="Calibri" w:hAnsi="Calibri"/>
          <w:i/>
          <w:color w:val="4472C4"/>
          <w:sz w:val="20"/>
          <w:szCs w:val="20"/>
          <w:lang w:val="en-CA"/>
        </w:rPr>
      </w:pPr>
      <w:r w:rsidRPr="009667E6">
        <w:rPr>
          <w:rFonts w:ascii="Calibri" w:hAnsi="Calibri"/>
          <w:i/>
          <w:color w:val="4472C4"/>
          <w:sz w:val="20"/>
          <w:szCs w:val="20"/>
          <w:lang w:val="en-CA"/>
        </w:rPr>
        <w:t>Barrier # 3. Lack of incentives for the conservation and sustainable management of land and natural resources for stakeholders, including local communities, and insufficient capacity to sustainably manage resources and develop adequate incentives</w:t>
      </w:r>
    </w:p>
    <w:p w14:paraId="0CE47851" w14:textId="76A19C52" w:rsidR="00302BFE" w:rsidRPr="009667E6"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CA"/>
        </w:rPr>
      </w:pPr>
      <w:r w:rsidRPr="009667E6">
        <w:rPr>
          <w:rFonts w:ascii="Calibri" w:hAnsi="Calibri"/>
          <w:sz w:val="20"/>
          <w:szCs w:val="20"/>
          <w:lang w:val="en-CA"/>
        </w:rPr>
        <w:t>Forest management worksites (CAFs) in the PONASI landscape are areas that are managed by communities in accordance with the principle of public participation in forest regulatory instruments. However, the capacity of communities to ensure sustainable management of land and natural resources is insufficient. First, sustainable land management is not well understood by communities. Although most planning and management tools (zoning, divisions, rules, etc.) have been established for a long time (in the years 1985), it is necessary to closely supervise communities to obtain their acceptance, and to provide up-to-date and practical measures, such as simplified zoning plans, enhanced hunting management measures and agreed management measures for conflicts between wildlife and livestock herds. Analysis of the evolution of CAFs over the last 20 to 30 years, including two CAFs in the PONASI area, shows that resources are better managed when the CAF is established on a state-owned forest and benefits from more rigorous monitoring of technical services. However, management practices in the CAF established in forests managed by communities fail to prevent a very significant degradation of forest resources to the point of questioning the viability of the development and management model established in Burkina Faso (PIF, 2018).</w:t>
      </w:r>
    </w:p>
    <w:p w14:paraId="33E87B44" w14:textId="1BF913C7" w:rsidR="00302BFE" w:rsidRPr="009667E6"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CA"/>
        </w:rPr>
      </w:pPr>
      <w:r w:rsidRPr="009667E6">
        <w:rPr>
          <w:rFonts w:ascii="Calibri" w:hAnsi="Calibri"/>
          <w:sz w:val="20"/>
          <w:szCs w:val="20"/>
          <w:lang w:val="en-CA"/>
        </w:rPr>
        <w:t>Current farming practices are not sustainable. Land grabbing by private individuals, accelerated clearing for agricultural, logging and charcoal production purposes, and excessive use of unregistered pesticides and herbicides provide very little or no benefit to the local populations while posing a serious threat to PAs in the PONASI landscape.</w:t>
      </w:r>
    </w:p>
    <w:p w14:paraId="78CDB03F" w14:textId="488AACFC" w:rsidR="00302BFE" w:rsidRPr="009667E6"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CA"/>
        </w:rPr>
      </w:pPr>
      <w:r w:rsidRPr="009667E6">
        <w:rPr>
          <w:rFonts w:ascii="Calibri" w:hAnsi="Calibri"/>
          <w:sz w:val="20"/>
          <w:szCs w:val="20"/>
          <w:lang w:val="en-CA"/>
        </w:rPr>
        <w:t>The poor valorization of the natural resources in the ZOVICs in addition to the lack of enforcement of regulatory texts, particularly with regard to the distribution of revenues from the exploitation of ZOVICs and PAs, are increasingly affecting the motivation of the communities towards conservation. Indeed, revenue generated by the exploitation of wildlife</w:t>
      </w:r>
      <w:r w:rsidRPr="009667E6">
        <w:rPr>
          <w:szCs w:val="20"/>
          <w:lang w:val="en-CA"/>
        </w:rPr>
        <w:t xml:space="preserve"> </w:t>
      </w:r>
      <w:r w:rsidRPr="009667E6">
        <w:rPr>
          <w:rFonts w:ascii="Calibri" w:hAnsi="Calibri"/>
          <w:sz w:val="20"/>
          <w:szCs w:val="20"/>
          <w:lang w:val="en-CA"/>
        </w:rPr>
        <w:t xml:space="preserve">does not profit much to local communities. State revenues mainly consist of permits (hunting, capture, vision), licenses (exploitation, guide, shops, restaurants), taxes, tracking fees, certificates of origin, the sale of stamps and provincial revenues. Concessionaire revenue consists mainly of the sale of safaris to tourists. The revenues of the population come from the rental of village hunting areas (ZOVICs), village hunting permits, tracking fees (50% paid to trackers), management fees (50% donated to the Collective Interest Fund), and the sale of game meat. Revenue from annual management fees, operating licenses and hunting / fishing guide licenses collected from 1997 to 2006 for 20 private hunting areas varied from year to year without increasing significantly during the period. According to data from </w:t>
      </w:r>
      <w:r w:rsidR="005C4073" w:rsidRPr="009667E6">
        <w:rPr>
          <w:rFonts w:ascii="Calibri" w:hAnsi="Calibri"/>
          <w:sz w:val="20"/>
          <w:szCs w:val="20"/>
          <w:lang w:val="en-CA"/>
        </w:rPr>
        <w:t xml:space="preserve">the Wildlife and Hunting Direction </w:t>
      </w:r>
      <w:r w:rsidRPr="009667E6">
        <w:rPr>
          <w:rFonts w:ascii="Calibri" w:hAnsi="Calibri"/>
          <w:sz w:val="20"/>
          <w:szCs w:val="20"/>
          <w:lang w:val="en-CA"/>
        </w:rPr>
        <w:t>(</w:t>
      </w:r>
      <w:r w:rsidR="005C4073" w:rsidRPr="009667E6">
        <w:rPr>
          <w:rFonts w:ascii="Calibri" w:hAnsi="Calibri"/>
          <w:sz w:val="20"/>
          <w:szCs w:val="20"/>
          <w:lang w:val="en-CA"/>
        </w:rPr>
        <w:t xml:space="preserve">DFC, </w:t>
      </w:r>
      <w:r w:rsidRPr="009667E6">
        <w:rPr>
          <w:rFonts w:ascii="Calibri" w:hAnsi="Calibri"/>
          <w:sz w:val="20"/>
          <w:szCs w:val="20"/>
          <w:lang w:val="en-CA"/>
        </w:rPr>
        <w:t xml:space="preserve">2006), the cumulated revenues from 1997 to 2006 </w:t>
      </w:r>
      <w:r w:rsidR="005C4073" w:rsidRPr="009667E6">
        <w:rPr>
          <w:rFonts w:ascii="Calibri" w:hAnsi="Calibri"/>
          <w:sz w:val="20"/>
          <w:szCs w:val="20"/>
          <w:lang w:val="en-CA"/>
        </w:rPr>
        <w:t>we</w:t>
      </w:r>
      <w:r w:rsidRPr="009667E6">
        <w:rPr>
          <w:rFonts w:ascii="Calibri" w:hAnsi="Calibri"/>
          <w:sz w:val="20"/>
          <w:szCs w:val="20"/>
          <w:lang w:val="en-CA"/>
        </w:rPr>
        <w:t>re unevenly distributed, with 75% accruing to private concessionaires, 22% to the State and only 3% to the population.</w:t>
      </w:r>
    </w:p>
    <w:p w14:paraId="05EF6B35" w14:textId="10C99D7E" w:rsidR="00302BFE" w:rsidRPr="009667E6"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CA"/>
        </w:rPr>
      </w:pPr>
      <w:r w:rsidRPr="009667E6">
        <w:rPr>
          <w:rFonts w:ascii="Calibri" w:hAnsi="Calibri"/>
          <w:sz w:val="20"/>
          <w:szCs w:val="20"/>
          <w:lang w:val="en-CA"/>
        </w:rPr>
        <w:t>Compared to other land uses, communities derive very little revenue from protected areas: one (1) ha of food crops provides an annual income of about US$ 1,100 (650,000 CFA</w:t>
      </w:r>
      <w:r w:rsidR="005E13EB" w:rsidRPr="009667E6">
        <w:rPr>
          <w:rFonts w:ascii="Calibri" w:hAnsi="Calibri"/>
          <w:sz w:val="20"/>
          <w:szCs w:val="20"/>
          <w:lang w:val="en-CA"/>
        </w:rPr>
        <w:t xml:space="preserve"> francs</w:t>
      </w:r>
      <w:r w:rsidRPr="009667E6">
        <w:rPr>
          <w:rFonts w:ascii="Calibri" w:hAnsi="Calibri"/>
          <w:sz w:val="20"/>
          <w:szCs w:val="20"/>
          <w:lang w:val="en-CA"/>
        </w:rPr>
        <w:t xml:space="preserve">) to a household, while thousands of ha for fauna may yield about US$ 600 (350,000 </w:t>
      </w:r>
      <w:r w:rsidR="005E13EB" w:rsidRPr="009667E6">
        <w:rPr>
          <w:rFonts w:ascii="Calibri" w:hAnsi="Calibri"/>
          <w:sz w:val="20"/>
          <w:szCs w:val="20"/>
          <w:lang w:val="en-CA"/>
        </w:rPr>
        <w:t>CFA francs</w:t>
      </w:r>
      <w:r w:rsidRPr="009667E6">
        <w:rPr>
          <w:rFonts w:ascii="Calibri" w:hAnsi="Calibri"/>
          <w:sz w:val="20"/>
          <w:szCs w:val="20"/>
          <w:lang w:val="en-CA"/>
        </w:rPr>
        <w:t xml:space="preserve">) to the entire community. The Order No. 96-022/MEE/MICA/MEF on the setting of taxes, royalties and titles for the exploitation of wildlife in Burkina Faso is the legal framework for the sharing of royalties from hunting in Burkina Faso. Article 2 of this order fixes the annual concession management fee by type of protected area and Article 3 sets the distribution of the annual management fees that the concessionaire is required to pay to the State at 50% for village wildlife management committees. This tax is the only one that could provide direct benefits related to the management of protected areas to local communities but in reality, it is not paid to the village committees in spite of planned arrangements. Currently, there is </w:t>
      </w:r>
      <w:r w:rsidR="005C4073" w:rsidRPr="009667E6">
        <w:rPr>
          <w:rFonts w:ascii="Calibri" w:hAnsi="Calibri"/>
          <w:sz w:val="20"/>
          <w:szCs w:val="20"/>
          <w:lang w:val="en-CA"/>
        </w:rPr>
        <w:t>little</w:t>
      </w:r>
      <w:r w:rsidRPr="009667E6">
        <w:rPr>
          <w:rFonts w:ascii="Calibri" w:hAnsi="Calibri"/>
          <w:sz w:val="20"/>
          <w:szCs w:val="20"/>
          <w:lang w:val="en-CA"/>
        </w:rPr>
        <w:t xml:space="preserve"> incentive for communities to conserve and apply sustainable land and resource management practices. Income-generating activities related to protected areas, such as tourism, are lacking. Community training and viable partnerships with the private sector are needed to create alternative livelihoods.</w:t>
      </w:r>
    </w:p>
    <w:p w14:paraId="4CF08FB8" w14:textId="184B026B" w:rsidR="00302BFE" w:rsidRPr="009667E6"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CA"/>
        </w:rPr>
      </w:pPr>
      <w:r w:rsidRPr="009667E6">
        <w:rPr>
          <w:rFonts w:ascii="Calibri" w:hAnsi="Calibri"/>
          <w:sz w:val="20"/>
          <w:szCs w:val="20"/>
          <w:lang w:val="en-CA"/>
        </w:rPr>
        <w:t>There is a need to highlight other ecosystem goods and services that benefit local communities as well as the value of conserving biodiversity as an asset for the development of income-generating activities, including sustainable value chains based on ecosystem goods and services and tourism activities. The link between biodiversity conservation, improved management of land and resources within protected areas and other landscape units, and improvement of their living conditions must be tangible and clearly perceived by communities, to encourage them to better protect resources in landscapes.</w:t>
      </w:r>
    </w:p>
    <w:p w14:paraId="43C659EA" w14:textId="294FABD3" w:rsidR="00302BFE" w:rsidRPr="009667E6" w:rsidRDefault="00302BFE" w:rsidP="00302BFE">
      <w:pPr>
        <w:pStyle w:val="Paragraphedeliste"/>
        <w:tabs>
          <w:tab w:val="left" w:pos="284"/>
        </w:tabs>
        <w:spacing w:before="120" w:after="120"/>
        <w:ind w:left="0"/>
        <w:jc w:val="both"/>
        <w:rPr>
          <w:rFonts w:ascii="Calibri" w:hAnsi="Calibri"/>
          <w:i/>
          <w:color w:val="4472C4"/>
          <w:sz w:val="20"/>
          <w:szCs w:val="20"/>
          <w:lang w:val="en-CA"/>
        </w:rPr>
      </w:pPr>
      <w:r w:rsidRPr="009667E6">
        <w:rPr>
          <w:rFonts w:ascii="Calibri" w:hAnsi="Calibri"/>
          <w:i/>
          <w:color w:val="4472C4"/>
          <w:sz w:val="20"/>
          <w:szCs w:val="20"/>
          <w:lang w:val="en-CA"/>
        </w:rPr>
        <w:lastRenderedPageBreak/>
        <w:t>Barrier # 4. Lack of adequate knowledge management and gender mainstreaming</w:t>
      </w:r>
    </w:p>
    <w:p w14:paraId="2B743835" w14:textId="4FC1FE7B" w:rsidR="00302BFE" w:rsidRPr="009667E6"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CA"/>
        </w:rPr>
      </w:pPr>
      <w:r w:rsidRPr="009667E6">
        <w:rPr>
          <w:rFonts w:ascii="Calibri" w:hAnsi="Calibri"/>
          <w:sz w:val="20"/>
          <w:szCs w:val="20"/>
          <w:lang w:val="en-CA"/>
        </w:rPr>
        <w:t>The unreliability of the data and the lack of data collection, storage and sharing constitute a major obstacle to the establishment of adequate scientific monitoring of environmental threats in Burkina Faso. In addition, the minimum amount of information available poses challenges in sharing and scaling up successes and lessons learned from the many efforts of international, national and local actors in the environmental and natural resource management sectors across the country. Building capacity and sharing more reliable data is essential for moving towards better environmental governance and management.</w:t>
      </w:r>
    </w:p>
    <w:p w14:paraId="249D06B2" w14:textId="14FB4B18" w:rsidR="00302BFE" w:rsidRPr="009667E6"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CA"/>
        </w:rPr>
      </w:pPr>
      <w:r w:rsidRPr="009667E6">
        <w:rPr>
          <w:rFonts w:ascii="Calibri" w:hAnsi="Calibri"/>
          <w:sz w:val="20"/>
          <w:szCs w:val="20"/>
          <w:lang w:val="en-CA"/>
        </w:rPr>
        <w:t>Insufficient understanding and documentation of the concept of gender hinders its proper consideration in development projects and programs. Most of the available data and statistics are not disaggregated by gender, so it is difficult to take this dimension into account in national development policies and programs and in governance systems. Women are indeed underrepresented in decision-making bodies in farmers' organizations (when mixed) and occupy mostly minor posts.</w:t>
      </w:r>
    </w:p>
    <w:p w14:paraId="3716B268" w14:textId="2CB717DA" w:rsidR="00302BFE" w:rsidRPr="009667E6"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CA"/>
        </w:rPr>
      </w:pPr>
      <w:r w:rsidRPr="009667E6">
        <w:rPr>
          <w:rFonts w:ascii="Calibri" w:eastAsia="Calibri" w:hAnsi="Calibri" w:cs="Calibri"/>
          <w:i/>
          <w:noProof/>
          <w:color w:val="4472C4"/>
          <w:sz w:val="20"/>
          <w:szCs w:val="20"/>
          <w:lang w:val="en-CA" w:eastAsia="fr-CA"/>
        </w:rPr>
        <w:t xml:space="preserve">Consistency with national priorities. </w:t>
      </w:r>
      <w:r w:rsidRPr="009667E6">
        <w:rPr>
          <w:rFonts w:ascii="Calibri" w:hAnsi="Calibri"/>
          <w:sz w:val="20"/>
          <w:szCs w:val="20"/>
          <w:lang w:val="en-CA"/>
        </w:rPr>
        <w:t>Burkina Faso has developed and adopted a national strategy for biological diversity the period 2001 to 2025 and five-year action plans, the most recent one covering the period 2011-2015. The strategy/action plan is being revised to incorporate the Aichi Biodiversity Targets. The project is especially relevant to numerous target results identified in the action plan 2011-2015 and contributes to implement them, namely the following ones: Under the conservation sub-objective, Result 1.1 - improved involvement of local populations in the conservation and sustainable use of natural resources, especially that of women as main users; Result 1.6 - improved management of conservation areas; Result 1.7 - boundaries of conservation areas demarcated; Result 1.9 – wildlife rehabilitated; Result 1.10 - strengthened land use planning process; and under the sustainable use sub-objective, Result 2.1 involvement of populations in the management of biological resources promoted; Result 2.2 – enhanced value of biological resources; Result 2.4 – strengthened agroforestry and agro-silvo-pastoralism practices; Result 2.5 – reduced harmful activities towards biological resources; Result 2.6 – improved knowledge of biological resources; Result 2.10 for the sustainable management of wildlife and protected areas; Result 2.14 - increased income from the valorization of biological resources. This project also supports Burkina Faso’s commitments to the RAMSAR Convention, by improving the management of the PONASI landscape which was designated as a RAMSAR site in November 2018.</w:t>
      </w:r>
    </w:p>
    <w:p w14:paraId="7CC70E27" w14:textId="490FA0F7" w:rsidR="00302BFE" w:rsidRPr="009667E6"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CA"/>
        </w:rPr>
      </w:pPr>
      <w:r w:rsidRPr="009667E6">
        <w:rPr>
          <w:rFonts w:ascii="Calibri" w:hAnsi="Calibri"/>
          <w:sz w:val="20"/>
          <w:szCs w:val="20"/>
          <w:lang w:val="en-CA"/>
        </w:rPr>
        <w:t>The project contributes to the objectives of the "10-year Strategic Framework Plan to strengthen the implementation of the Convention to Combat Desertification (2008-2018)", related to the UNCCD, specifically the objectives to improve the state of degraded ecosystems, and generate global benefits from the effective implementation of the Convention in synergy with the other two major environmental conventions such as the conservation of land and biodiversity resources and carbon sequestration. The project contributes to implementing Burkina Faso’s National Action Programme (NAP 2000) under UNCCD, which highlighted that the country is facing massive desertification and actions such as better land use planning and climate smart agriculture have to be promoted. Outcome 1 is setting up a governance framework and tools to involve stakeholders from multiple sectors in the integrated planning, implementation and monitoring of the PONASI landscape management plan. Through this, the project will address an important challenge identified in the NAP in 2000, namely the compartmentalization of the multiple institutions involved in rural development which complicates the coordination of actions and causes confusion to local communities due to sometimes contradictory discourse among various actors. Through providing a unified framework and supporting local communities in the implementation of sustainable agricultural, rangeland and pastoral practices, this outcome and the outcome 3 are addressing most other national challenges related to lack of community participation, natural resource exploitation and management methods that are increasingly inadequate to the current environmental conditions, the anarchic occupation of space aggravated by large population migrations giving rise to numerous conflicts, disordered movements of livestock transhumance and the exacerbation of competition for the use of natural resources, which are sources of social tensions.</w:t>
      </w:r>
    </w:p>
    <w:p w14:paraId="7B76EE38" w14:textId="024723EB" w:rsidR="00302BFE" w:rsidRPr="009667E6"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CA"/>
        </w:rPr>
      </w:pPr>
      <w:r w:rsidRPr="009667E6">
        <w:rPr>
          <w:rFonts w:ascii="Calibri" w:hAnsi="Calibri"/>
          <w:sz w:val="20"/>
          <w:szCs w:val="20"/>
          <w:lang w:val="en-CA"/>
        </w:rPr>
        <w:t>In all of its components, the project includes several actions that contribute to implementing the National Plan for Adaptation to Climate Change 2015 which objectives in the environment and natural resources sector include increasing the resilience of ecosystems, improving biodiversity conservation, strengthening ecological research and monitoring, and mitigating GHG emissions.</w:t>
      </w:r>
    </w:p>
    <w:p w14:paraId="451324BE" w14:textId="61AFE595" w:rsidR="00EF6D8E" w:rsidRPr="00D57400"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CA"/>
        </w:rPr>
      </w:pPr>
      <w:r w:rsidRPr="008609CD">
        <w:rPr>
          <w:rFonts w:ascii="Calibri" w:hAnsi="Calibri"/>
          <w:sz w:val="20"/>
          <w:szCs w:val="20"/>
          <w:lang w:val="en-CA"/>
        </w:rPr>
        <w:t>The project supports Burkina Faso's national plan for economic and social development for 2016-2020 (PNDES), the main planning document at the national level, which allows the implementation of priority actions based on the Burkina 2015 foresight document and taking into account the Sustainable Development Goals (SDGs). Through its interventions, the project will contribute more specifically to the following strategic objectives: SO 1.3: Strengthen decentralization and promote good local governance; SO 2.4: Promote decent work and social protection for all, especially for young people and women; SO 3.1: Sustainable development of a productive and resilient agri-silvo-pastoral, fauna and fisheries sector, more market-oriented and based on the principles of sustainable development; and SO 3.5: Reverse the trend of environmental degradation and ensure sustainable management of natural and environmental resources. The project is in line with the 2025 Vision which stresses the importance of climate risks to sustainable development and economic growth, outlining the linkages with natural resource management and ecosystem services</w:t>
      </w:r>
      <w:bookmarkStart w:id="11" w:name="_Toc9961790"/>
      <w:bookmarkStart w:id="12" w:name="_Toc207800911"/>
      <w:r w:rsidR="00D57400">
        <w:rPr>
          <w:rFonts w:ascii="Calibri" w:hAnsi="Calibri"/>
          <w:sz w:val="20"/>
          <w:szCs w:val="20"/>
          <w:lang w:val="en-CA"/>
        </w:rPr>
        <w:t xml:space="preserve">. </w:t>
      </w:r>
    </w:p>
    <w:p w14:paraId="6B88E4A0" w14:textId="5158571F" w:rsidR="00302BFE" w:rsidRPr="00D218B7" w:rsidRDefault="00302BFE" w:rsidP="00302BFE">
      <w:pPr>
        <w:pStyle w:val="Titre1"/>
        <w:spacing w:before="0" w:after="0"/>
        <w:jc w:val="left"/>
        <w:rPr>
          <w:rFonts w:ascii="Calibri" w:hAnsi="Calibri"/>
          <w:szCs w:val="28"/>
        </w:rPr>
      </w:pPr>
      <w:r w:rsidRPr="00D218B7">
        <w:rPr>
          <w:rFonts w:ascii="Calibri" w:hAnsi="Calibri"/>
          <w:szCs w:val="28"/>
        </w:rPr>
        <w:lastRenderedPageBreak/>
        <w:t>Strategy</w:t>
      </w:r>
      <w:bookmarkEnd w:id="11"/>
      <w:r w:rsidRPr="00D218B7">
        <w:rPr>
          <w:rFonts w:ascii="Calibri" w:hAnsi="Calibri"/>
          <w:szCs w:val="28"/>
        </w:rPr>
        <w:t xml:space="preserve"> </w:t>
      </w:r>
      <w:bookmarkEnd w:id="12"/>
    </w:p>
    <w:p w14:paraId="7DB7C4CF" w14:textId="093EDA9A" w:rsidR="00302BFE" w:rsidRPr="00C8239C"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CA"/>
        </w:rPr>
      </w:pPr>
      <w:r w:rsidRPr="00F16DE5">
        <w:rPr>
          <w:rFonts w:ascii="Calibri" w:hAnsi="Calibri"/>
          <w:sz w:val="20"/>
          <w:szCs w:val="20"/>
          <w:lang w:val="en-CA"/>
        </w:rPr>
        <w:t>The long-term solution proposed in this project to address the drivers of biodiversity loss and land degradation is to adopt a landscape-scale management approach to ensure the sustainable management of the PONASI complex and its area of influence to ensure the preservation and integrity of the ecosystem services on which the livelihoods of local people depend</w:t>
      </w:r>
      <w:r w:rsidRPr="00C8239C">
        <w:rPr>
          <w:rFonts w:ascii="Calibri" w:hAnsi="Calibri"/>
          <w:sz w:val="20"/>
          <w:szCs w:val="20"/>
          <w:lang w:val="en-CA"/>
        </w:rPr>
        <w:t>.</w:t>
      </w:r>
      <w:r w:rsidR="005928D6" w:rsidRPr="00C8239C">
        <w:rPr>
          <w:rFonts w:ascii="Calibri" w:hAnsi="Calibri"/>
          <w:sz w:val="20"/>
          <w:szCs w:val="20"/>
          <w:lang w:val="en-CA"/>
        </w:rPr>
        <w:t xml:space="preserve"> </w:t>
      </w:r>
      <w:r w:rsidR="005928D6" w:rsidRPr="00A63E29">
        <w:rPr>
          <w:rFonts w:ascii="Calibri" w:hAnsi="Calibri"/>
          <w:sz w:val="20"/>
          <w:szCs w:val="20"/>
          <w:lang w:val="en-CA"/>
        </w:rPr>
        <w:t>It thereby contributes to a “building back better” strategy that emphas</w:t>
      </w:r>
      <w:r w:rsidR="009E5E39" w:rsidRPr="00A63E29">
        <w:rPr>
          <w:rFonts w:ascii="Calibri" w:hAnsi="Calibri"/>
          <w:sz w:val="20"/>
          <w:szCs w:val="20"/>
          <w:lang w:val="en-CA"/>
        </w:rPr>
        <w:t>iz</w:t>
      </w:r>
      <w:r w:rsidR="005928D6" w:rsidRPr="00A63E29">
        <w:rPr>
          <w:rFonts w:ascii="Calibri" w:hAnsi="Calibri"/>
          <w:sz w:val="20"/>
          <w:szCs w:val="20"/>
          <w:lang w:val="en-CA"/>
        </w:rPr>
        <w:t>es the conservation of natural resources and income generation from their sustainable use for the local population.</w:t>
      </w:r>
      <w:r w:rsidR="005928D6" w:rsidRPr="00C8239C">
        <w:rPr>
          <w:rFonts w:ascii="Calibri" w:hAnsi="Calibri"/>
          <w:sz w:val="20"/>
          <w:szCs w:val="20"/>
          <w:lang w:val="en-CA"/>
        </w:rPr>
        <w:t xml:space="preserve"> </w:t>
      </w:r>
    </w:p>
    <w:p w14:paraId="0E062E9D" w14:textId="77777777" w:rsidR="00302BFE" w:rsidRPr="00096979"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CA"/>
        </w:rPr>
      </w:pPr>
      <w:r w:rsidRPr="00096979">
        <w:rPr>
          <w:rFonts w:ascii="Calibri" w:hAnsi="Calibri"/>
          <w:sz w:val="20"/>
          <w:szCs w:val="20"/>
          <w:lang w:val="en-CA"/>
        </w:rPr>
        <w:t>The PONASI landscape is a complex socio-ecological system with a mosaic of land uses and resources, management modes, involving multiple stakeholders with different and sometimes divergent objectives and perspectives. The Project Theory of Change is based on the premise that the adoption of a landscape approach for the participatory development of a land-use plan, involving all relevant stakeholders and using tools to enable shared decision-making on a design that optimizes environmental and socioeconomic benefits, will foster ownership of the management solutions and improve the conservation of biodiversity, land, and ecosystem services within PAs and surrounding landscape. It is expected that improved conservation of biodiversity and ecosystem services will generate enough benefits at all levels to ensure continuity and replication of this management approach.</w:t>
      </w:r>
    </w:p>
    <w:p w14:paraId="1E3708CA" w14:textId="77777777" w:rsidR="00302BFE" w:rsidRPr="00F16DE5"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CA"/>
        </w:rPr>
      </w:pPr>
      <w:r w:rsidRPr="00F16DE5">
        <w:rPr>
          <w:rFonts w:ascii="Calibri" w:hAnsi="Calibri"/>
          <w:sz w:val="20"/>
          <w:szCs w:val="20"/>
          <w:lang w:val="en-CA"/>
        </w:rPr>
        <w:t>Sectoral approaches for different land-use activities have largely dominated the resource management implemented by the Government and its development partners. While making positive contributions for individual sectors, none of these approaches has reflected the multisectoral nature of the PONASI landscape which includes local communities whose livelihoods mostly depend on natural resources, smallholder farms, protected areas, hunting and tourism enterprises, and resource-based enterprises such as agriculture, pastoralism, forestry and mining. While each of these sectors imposes a set of pressures on the environment, working on just one of the stressors at a time is not enough. Tackling all stressors jointly is necessary to be able to generate multiple global and local benefits to support the sustainability cycle.</w:t>
      </w:r>
    </w:p>
    <w:p w14:paraId="4058F95C" w14:textId="77777777" w:rsidR="00302BFE" w:rsidRPr="00F16DE5"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CA"/>
        </w:rPr>
      </w:pPr>
      <w:r w:rsidRPr="00F16DE5">
        <w:rPr>
          <w:rFonts w:ascii="Calibri" w:hAnsi="Calibri"/>
          <w:sz w:val="20"/>
          <w:szCs w:val="20"/>
          <w:lang w:val="en-CA"/>
        </w:rPr>
        <w:t>The landscape approach tries to capture this complexity by viewing the landscape as a multifunctional mosaic of land and resource uses. The landscape scale provides a scale for management that allows for an overall view of the competing land-use interests and an understanding of necessary trade-offs within the system to better achieve multiple objectives connecting the local to the global</w:t>
      </w:r>
      <w:r w:rsidRPr="00F16DE5">
        <w:rPr>
          <w:rStyle w:val="Appelnotedebasdep"/>
          <w:rFonts w:ascii="Calibri" w:hAnsi="Calibri"/>
          <w:sz w:val="20"/>
          <w:szCs w:val="20"/>
          <w:lang w:val="en-CA"/>
        </w:rPr>
        <w:footnoteReference w:id="41"/>
      </w:r>
      <w:r w:rsidRPr="00F16DE5">
        <w:rPr>
          <w:rFonts w:ascii="Calibri" w:hAnsi="Calibri"/>
          <w:sz w:val="20"/>
          <w:szCs w:val="20"/>
          <w:lang w:val="en-CA"/>
        </w:rPr>
        <w:t>. The approach put forward by the project will allow to move away from single-institution, siloed assessment and planning to stakeholder-driven, participatory design, leading to collaborative decision-making.</w:t>
      </w:r>
    </w:p>
    <w:p w14:paraId="30631F4E" w14:textId="77777777" w:rsidR="00302BFE" w:rsidRPr="00F16DE5"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CA"/>
        </w:rPr>
      </w:pPr>
      <w:r w:rsidRPr="00F16DE5">
        <w:rPr>
          <w:rFonts w:ascii="Calibri" w:hAnsi="Calibri"/>
          <w:sz w:val="20"/>
          <w:szCs w:val="20"/>
          <w:lang w:val="en-CA"/>
        </w:rPr>
        <w:t>The landscape approach allows multiple objectives to be considered simultaneously by considering how the interconnected components of the landscape can be managed to generate multiple benefits and balance various economic, social and environmental concerns. The participatory approach at the landscape scale is increasingly recognized as being appropriate to reconcile the many interests of people with different livelihoods, those of the agricultural, forestry, pastoral, mining and tourism sectors, and the global needs to conserve biodiversity and land resources; ecosystem services; and increase carbon sequestration and adaptation to climate change. With this approach, all local planning to improve local communities' living conditions should contribute to building a "whole" that generates benefits greater than the sum of the local benefits.</w:t>
      </w:r>
    </w:p>
    <w:p w14:paraId="65B4C7DA" w14:textId="77777777" w:rsidR="00302BFE" w:rsidRPr="00F16DE5"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CA"/>
        </w:rPr>
      </w:pPr>
      <w:r w:rsidRPr="00F16DE5">
        <w:rPr>
          <w:rFonts w:ascii="Calibri" w:hAnsi="Calibri"/>
          <w:sz w:val="20"/>
          <w:szCs w:val="20"/>
          <w:lang w:val="en-CA"/>
        </w:rPr>
        <w:t xml:space="preserve">The effectiveness and sustainability of this management approach rests on the effective mobilization of financial resources to enable the implementation of the Master Plan, from governments at all levels, (national, regional and commune), from development partners, and especially on the fair and equitable sharing of the benefits generated through the various elements of the landscape among all stakeholders, including local communities. Indeed, although the exploitation of </w:t>
      </w:r>
      <w:r>
        <w:rPr>
          <w:rFonts w:ascii="Calibri" w:hAnsi="Calibri"/>
          <w:sz w:val="20"/>
          <w:szCs w:val="20"/>
          <w:lang w:val="en-CA"/>
        </w:rPr>
        <w:t>forest management worksites</w:t>
      </w:r>
      <w:r w:rsidRPr="00F16DE5">
        <w:rPr>
          <w:rFonts w:ascii="Calibri" w:hAnsi="Calibri"/>
          <w:sz w:val="20"/>
          <w:szCs w:val="20"/>
          <w:lang w:val="en-CA"/>
        </w:rPr>
        <w:t xml:space="preserve"> and hunting areas generates significant revenues, it has been shown that the majority of the profits accrue to transporters, hunting concessionaires and the State and that the share of the profits communities is very low, or even nil, even when it is provided for in agreements such as the case of ZOVICs.</w:t>
      </w:r>
    </w:p>
    <w:p w14:paraId="6363F233" w14:textId="12ECDE6A" w:rsidR="00302BFE" w:rsidRPr="0099310D"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CA"/>
        </w:rPr>
      </w:pPr>
      <w:r w:rsidRPr="00F16DE5">
        <w:rPr>
          <w:rFonts w:ascii="Calibri" w:hAnsi="Calibri"/>
          <w:sz w:val="20"/>
          <w:szCs w:val="20"/>
          <w:lang w:val="en-CA"/>
        </w:rPr>
        <w:t xml:space="preserve">Greater involvement of local communities and equity of revenue and benefit sharing from biodiversity conservation and sustainable management of natural resources and ecosystem services will be cross-cutting elements of interventions under each component. Participatory </w:t>
      </w:r>
      <w:r w:rsidRPr="0099310D">
        <w:rPr>
          <w:rFonts w:ascii="Calibri" w:hAnsi="Calibri"/>
          <w:sz w:val="20"/>
          <w:szCs w:val="20"/>
          <w:lang w:val="en-CA"/>
        </w:rPr>
        <w:t>processes involving local users, technical services and authorities at all levels, are key for assessments, negotiations, decision-making, implementation, monitoring and evaluations, as they all need to change their perceptions and develop new knowledge in order to adopt innovative and improved practices and to allocate adequate resources to support their implementation. Land users will only take action to protect or invest into their land and resources if they perceive a threat to its productivity or are aware of the broader economic and environmental costs of their degradation.</w:t>
      </w:r>
      <w:r w:rsidR="00F545DC" w:rsidRPr="0099310D">
        <w:rPr>
          <w:rFonts w:ascii="Calibri" w:hAnsi="Calibri"/>
          <w:sz w:val="20"/>
          <w:szCs w:val="20"/>
          <w:lang w:val="en-CA"/>
        </w:rPr>
        <w:t xml:space="preserve"> </w:t>
      </w:r>
      <w:r w:rsidR="00046D08" w:rsidRPr="0099310D">
        <w:rPr>
          <w:rFonts w:asciiTheme="minorHAnsi" w:hAnsiTheme="minorHAnsi"/>
          <w:sz w:val="20"/>
          <w:szCs w:val="20"/>
          <w:lang w:val="en-CA"/>
        </w:rPr>
        <w:t xml:space="preserve">All of this must fundamentally rely on the sustainability of natural resource uses by local communities, tourists, hunters, gatherers, </w:t>
      </w:r>
      <w:r w:rsidR="00B01DB9" w:rsidRPr="0099310D">
        <w:rPr>
          <w:rFonts w:asciiTheme="minorHAnsi" w:hAnsiTheme="minorHAnsi"/>
          <w:sz w:val="20"/>
          <w:szCs w:val="20"/>
          <w:lang w:val="en-CA"/>
        </w:rPr>
        <w:t>and lumberjacks</w:t>
      </w:r>
      <w:r w:rsidR="00046D08" w:rsidRPr="0099310D">
        <w:rPr>
          <w:rFonts w:asciiTheme="minorHAnsi" w:hAnsiTheme="minorHAnsi"/>
          <w:sz w:val="20"/>
          <w:szCs w:val="20"/>
          <w:lang w:val="en-CA"/>
        </w:rPr>
        <w:t xml:space="preserve"> and will involve strengthening or establishing monitoring systems to provide complete, rigorous and long term information required to support scientific assessments of wildlife and flora populations and </w:t>
      </w:r>
      <w:r w:rsidR="00C7795E" w:rsidRPr="0099310D">
        <w:rPr>
          <w:rFonts w:asciiTheme="minorHAnsi" w:hAnsiTheme="minorHAnsi"/>
          <w:sz w:val="20"/>
          <w:szCs w:val="20"/>
          <w:lang w:val="en-CA"/>
        </w:rPr>
        <w:t>their</w:t>
      </w:r>
      <w:r w:rsidR="00046D08" w:rsidRPr="0099310D">
        <w:rPr>
          <w:rFonts w:asciiTheme="minorHAnsi" w:hAnsiTheme="minorHAnsi"/>
          <w:sz w:val="20"/>
          <w:szCs w:val="20"/>
          <w:lang w:val="en-CA"/>
        </w:rPr>
        <w:t xml:space="preserve"> habitats</w:t>
      </w:r>
      <w:r w:rsidR="00B01DB9" w:rsidRPr="0099310D">
        <w:rPr>
          <w:rFonts w:asciiTheme="minorHAnsi" w:hAnsiTheme="minorHAnsi"/>
          <w:sz w:val="20"/>
          <w:szCs w:val="20"/>
          <w:lang w:val="en-CA"/>
        </w:rPr>
        <w:t>,</w:t>
      </w:r>
      <w:r w:rsidR="00046D08" w:rsidRPr="0099310D">
        <w:rPr>
          <w:rFonts w:asciiTheme="minorHAnsi" w:hAnsiTheme="minorHAnsi"/>
          <w:sz w:val="20"/>
          <w:szCs w:val="20"/>
          <w:lang w:val="en-CA"/>
        </w:rPr>
        <w:t xml:space="preserve"> </w:t>
      </w:r>
      <w:r w:rsidR="00C7795E" w:rsidRPr="0099310D">
        <w:rPr>
          <w:rFonts w:asciiTheme="minorHAnsi" w:hAnsiTheme="minorHAnsi"/>
          <w:sz w:val="20"/>
          <w:szCs w:val="20"/>
          <w:lang w:val="en-CA"/>
        </w:rPr>
        <w:t>and decision-making</w:t>
      </w:r>
      <w:r w:rsidR="00046D08" w:rsidRPr="0099310D">
        <w:rPr>
          <w:rFonts w:asciiTheme="minorHAnsi" w:hAnsiTheme="minorHAnsi"/>
          <w:sz w:val="20"/>
          <w:szCs w:val="20"/>
          <w:lang w:val="en-CA"/>
        </w:rPr>
        <w:t xml:space="preserve"> </w:t>
      </w:r>
      <w:r w:rsidR="00C7795E" w:rsidRPr="0099310D">
        <w:rPr>
          <w:rFonts w:asciiTheme="minorHAnsi" w:hAnsiTheme="minorHAnsi"/>
          <w:sz w:val="20"/>
          <w:szCs w:val="20"/>
          <w:lang w:val="en-CA"/>
        </w:rPr>
        <w:t xml:space="preserve">regarding their </w:t>
      </w:r>
      <w:r w:rsidR="00046D08" w:rsidRPr="0099310D">
        <w:rPr>
          <w:rFonts w:asciiTheme="minorHAnsi" w:hAnsiTheme="minorHAnsi"/>
          <w:sz w:val="20"/>
          <w:szCs w:val="20"/>
          <w:lang w:val="en-CA"/>
        </w:rPr>
        <w:t>sustainabl</w:t>
      </w:r>
      <w:r w:rsidR="00C7795E" w:rsidRPr="0099310D">
        <w:rPr>
          <w:rFonts w:asciiTheme="minorHAnsi" w:hAnsiTheme="minorHAnsi"/>
          <w:sz w:val="20"/>
          <w:szCs w:val="20"/>
          <w:lang w:val="en-CA"/>
        </w:rPr>
        <w:t>e</w:t>
      </w:r>
      <w:r w:rsidR="00046D08" w:rsidRPr="0099310D">
        <w:rPr>
          <w:rFonts w:asciiTheme="minorHAnsi" w:hAnsiTheme="minorHAnsi"/>
          <w:sz w:val="20"/>
          <w:szCs w:val="20"/>
          <w:lang w:val="en-CA"/>
        </w:rPr>
        <w:t xml:space="preserve"> use.</w:t>
      </w:r>
    </w:p>
    <w:p w14:paraId="07856105" w14:textId="22B040C6" w:rsidR="00CC58FD" w:rsidRPr="00A63E29"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CA"/>
        </w:rPr>
      </w:pPr>
      <w:r w:rsidRPr="0099310D">
        <w:rPr>
          <w:rFonts w:ascii="Calibri" w:hAnsi="Calibri"/>
          <w:sz w:val="20"/>
          <w:szCs w:val="20"/>
          <w:lang w:val="en-CA"/>
        </w:rPr>
        <w:t xml:space="preserve">It is essential that the various land and resource management regimes within the landscape generate sufficient benefits at all levels for local communities to perceive tangible, short- and medium-term interests resulting from the adoption of improved and sustainable </w:t>
      </w:r>
      <w:r w:rsidRPr="0099310D">
        <w:rPr>
          <w:rFonts w:ascii="Calibri" w:hAnsi="Calibri"/>
          <w:sz w:val="20"/>
          <w:szCs w:val="20"/>
          <w:lang w:val="en-CA"/>
        </w:rPr>
        <w:lastRenderedPageBreak/>
        <w:t>practices, and for the communal and regional authorities to agree to allocate the necessary resources for the planning and implementation of management prescriptions as well as the technical staff required to supervise and monitor</w:t>
      </w:r>
      <w:r w:rsidRPr="00F16DE5">
        <w:rPr>
          <w:rFonts w:ascii="Calibri" w:hAnsi="Calibri"/>
          <w:sz w:val="20"/>
          <w:szCs w:val="20"/>
          <w:lang w:val="en-CA"/>
        </w:rPr>
        <w:t xml:space="preserve"> local actors in the implementation of management plans.</w:t>
      </w:r>
      <w:r w:rsidRPr="00A63E29">
        <w:rPr>
          <w:rFonts w:ascii="Calibri" w:hAnsi="Calibri"/>
          <w:sz w:val="20"/>
          <w:szCs w:val="20"/>
          <w:lang w:val="en-CA"/>
        </w:rPr>
        <w:t>The project objective is to safeguard critical wildlife habitat, biodiversity and ecosystem services in the PONASI Protected Area complex through integrated landscape management, generating multiple benefits for sustainable development in the southern central Burkina Faso.</w:t>
      </w:r>
      <w:r w:rsidR="00CC58FD" w:rsidRPr="00A63E29">
        <w:rPr>
          <w:rFonts w:ascii="Calibri" w:hAnsi="Calibri"/>
          <w:sz w:val="20"/>
          <w:szCs w:val="20"/>
          <w:lang w:val="en-CA"/>
        </w:rPr>
        <w:t xml:space="preserve"> </w:t>
      </w:r>
      <w:r w:rsidR="00CC58FD" w:rsidRPr="00A63E29">
        <w:rPr>
          <w:rFonts w:ascii="Calibri" w:hAnsi="Calibri"/>
          <w:sz w:val="20"/>
          <w:szCs w:val="20"/>
          <w:highlight w:val="yellow"/>
          <w:lang w:val="en-CA"/>
        </w:rPr>
        <w:t>This overall objective is broken down into 4 specific objectives, corresponding to the project components; these are: i) SO 1: Strengthen the PONASI integrated landscape management framework; ii) SO 2: Strengthen the PONASI protected area system; iii) SO 3: Strengthen sustainable land and resource management and diversify livelihoods; iv) SO 4: Contribute to gender mainstreaming and knowledge and learning management</w:t>
      </w:r>
      <w:r w:rsidR="00C919AA">
        <w:rPr>
          <w:rFonts w:ascii="Calibri" w:hAnsi="Calibri"/>
          <w:sz w:val="20"/>
          <w:szCs w:val="20"/>
          <w:lang w:val="en-CA"/>
        </w:rPr>
        <w:t>.</w:t>
      </w:r>
    </w:p>
    <w:p w14:paraId="0501303E" w14:textId="77777777" w:rsidR="00302BFE" w:rsidRPr="00F16DE5"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CA"/>
        </w:rPr>
      </w:pPr>
      <w:r w:rsidRPr="00F16DE5">
        <w:rPr>
          <w:rFonts w:ascii="Calibri" w:hAnsi="Calibri"/>
          <w:color w:val="212721"/>
          <w:sz w:val="20"/>
          <w:szCs w:val="20"/>
          <w:shd w:val="clear" w:color="auto" w:fill="FFFFFF"/>
          <w:lang w:val="en-CA"/>
        </w:rPr>
        <w:t xml:space="preserve">This will be achieved through four interwoven outcomes: strengthened institutions and coordinated governance at landscape level, increased management effectiveness of protected areas, sustainable livelihoods in agro-sylvo-pastoral community areas, and mainstreamed gender and knowledge management. Each of these outcomes constitutes a core component of the PONASI project. </w:t>
      </w:r>
      <w:r w:rsidRPr="00F16DE5">
        <w:rPr>
          <w:rFonts w:ascii="Calibri" w:hAnsi="Calibri"/>
          <w:sz w:val="20"/>
          <w:szCs w:val="20"/>
          <w:lang w:val="en-CA"/>
        </w:rPr>
        <w:t>Within landscape units, the effectiveness of protected area management will be improved through improved management tools and capacity development, and land and resource management will be enhanced through the introduction of a series of sustainable land and resource management practices that will generate multiple environmental and socio-economic benefits within the terroirs at the periphery of protected areas.</w:t>
      </w:r>
    </w:p>
    <w:p w14:paraId="19A4654F" w14:textId="64676EF6" w:rsidR="00302BFE" w:rsidRPr="00F16DE5" w:rsidRDefault="00736B22" w:rsidP="00C46720">
      <w:pPr>
        <w:pStyle w:val="Paragraphedeliste"/>
        <w:numPr>
          <w:ilvl w:val="0"/>
          <w:numId w:val="32"/>
        </w:numPr>
        <w:tabs>
          <w:tab w:val="left" w:pos="284"/>
        </w:tabs>
        <w:spacing w:before="120" w:after="120"/>
        <w:ind w:left="0" w:firstLine="0"/>
        <w:jc w:val="both"/>
        <w:rPr>
          <w:rFonts w:ascii="Calibri" w:hAnsi="Calibri"/>
          <w:sz w:val="20"/>
          <w:szCs w:val="20"/>
          <w:lang w:val="en-CA"/>
        </w:rPr>
      </w:pPr>
      <w:r w:rsidRPr="00EF6D8E">
        <w:rPr>
          <w:rFonts w:ascii="Calibri" w:hAnsi="Calibri"/>
          <w:b/>
          <w:sz w:val="20"/>
          <w:szCs w:val="20"/>
          <w:highlight w:val="yellow"/>
          <w:lang w:val="en-CA"/>
        </w:rPr>
        <w:t xml:space="preserve">Project </w:t>
      </w:r>
      <w:r w:rsidR="000876F5" w:rsidRPr="00A63E29">
        <w:rPr>
          <w:rFonts w:ascii="Calibri" w:hAnsi="Calibri"/>
          <w:b/>
          <w:sz w:val="20"/>
          <w:szCs w:val="20"/>
          <w:highlight w:val="yellow"/>
          <w:lang w:val="en-CA"/>
        </w:rPr>
        <w:t>Component 1 "Framework for Integrated Landscape Management of PONASI with sustainable funding for its operation:</w:t>
      </w:r>
      <w:r w:rsidR="000876F5" w:rsidRPr="000876F5">
        <w:rPr>
          <w:rFonts w:ascii="Calibri" w:hAnsi="Calibri"/>
          <w:b/>
          <w:sz w:val="20"/>
          <w:szCs w:val="20"/>
          <w:lang w:val="en-CA"/>
        </w:rPr>
        <w:t xml:space="preserve"> </w:t>
      </w:r>
      <w:r w:rsidR="00302BFE" w:rsidRPr="00F16DE5">
        <w:rPr>
          <w:rFonts w:ascii="Calibri" w:hAnsi="Calibri"/>
          <w:sz w:val="20"/>
          <w:szCs w:val="20"/>
          <w:lang w:val="en-CA"/>
        </w:rPr>
        <w:t xml:space="preserve"> aims to implement an integrated management at the scale of the PONASI landscape. To achieve this, the steps consist of i) assessing and analysing the development problems and set goals based on a shared understanding of the problems and a common vision of the desired future for the landscape area, ii) identifying appropriate solutions and land/resource use practices, taking into account trade-offs and synergies between solutions, as well as carbon capture potential, through an environmental land-use planning process, iii) integrating these solutions into a landscape management master plan to ensure protection of core wildlife habitats and ecosystem services, and iv) defining management prescriptions for the various land units within the landscape. These prescriptions will be determined in the framework of activities aimed at improving the management of protected areas and agro-silvo-pastoral lands in components 2 and 3.</w:t>
      </w:r>
    </w:p>
    <w:p w14:paraId="52CF56AC" w14:textId="126C4C76" w:rsidR="00302BFE" w:rsidRPr="00321CBC"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CA"/>
        </w:rPr>
      </w:pPr>
      <w:r w:rsidRPr="00F16DE5">
        <w:rPr>
          <w:rFonts w:ascii="Calibri" w:hAnsi="Calibri"/>
          <w:sz w:val="20"/>
          <w:szCs w:val="20"/>
          <w:lang w:val="en-CA"/>
        </w:rPr>
        <w:t>A multi-stakeholder platform established through this component will lead the consultation process to develop common understanding and enable required negotiations and joint decision-making. Negotiations and the participation of representatives from all relevant stakeholders will be important to achieve sustainable goals and solutions that reflect a common vision of the desired destiny for the PONASI landscape. To foster ownership of solutions, these negotiations must be transparent, equitable and based on mutual trust, including the inclusion of local communities and their knowledge</w:t>
      </w:r>
      <w:r w:rsidR="007B058E" w:rsidRPr="00A63E29">
        <w:rPr>
          <w:rFonts w:ascii="Calibri" w:hAnsi="Calibri"/>
          <w:sz w:val="20"/>
          <w:szCs w:val="20"/>
          <w:lang w:val="en-CA"/>
        </w:rPr>
        <w:t xml:space="preserve">, while taking into account current restrictions </w:t>
      </w:r>
      <w:r w:rsidR="000A1B84" w:rsidRPr="00A63E29">
        <w:rPr>
          <w:rFonts w:ascii="Calibri" w:hAnsi="Calibri"/>
          <w:sz w:val="20"/>
          <w:szCs w:val="20"/>
          <w:lang w:val="en-CA"/>
        </w:rPr>
        <w:t xml:space="preserve">(such as limitations of the size of meetings currently to maximum 50 participants) </w:t>
      </w:r>
      <w:r w:rsidR="007B058E" w:rsidRPr="00A63E29">
        <w:rPr>
          <w:rFonts w:ascii="Calibri" w:hAnsi="Calibri"/>
          <w:sz w:val="20"/>
          <w:szCs w:val="20"/>
          <w:lang w:val="en-CA"/>
        </w:rPr>
        <w:t>and the possibility of future restrictions of face-to-face meetings due to COVID</w:t>
      </w:r>
      <w:r w:rsidR="00BC453B">
        <w:rPr>
          <w:rFonts w:ascii="Calibri" w:hAnsi="Calibri"/>
          <w:sz w:val="20"/>
          <w:szCs w:val="20"/>
          <w:lang w:val="en-CA"/>
        </w:rPr>
        <w:t xml:space="preserve"> </w:t>
      </w:r>
      <w:r w:rsidR="00BC453B" w:rsidRPr="00A63E29">
        <w:rPr>
          <w:rFonts w:ascii="Calibri" w:hAnsi="Calibri"/>
          <w:sz w:val="20"/>
          <w:szCs w:val="20"/>
          <w:highlight w:val="yellow"/>
          <w:lang w:val="en-CA"/>
        </w:rPr>
        <w:t>19</w:t>
      </w:r>
      <w:r w:rsidRPr="00321CBC">
        <w:rPr>
          <w:rFonts w:ascii="Calibri" w:hAnsi="Calibri"/>
          <w:sz w:val="20"/>
          <w:szCs w:val="20"/>
          <w:lang w:val="en-CA"/>
        </w:rPr>
        <w:t>.</w:t>
      </w:r>
    </w:p>
    <w:p w14:paraId="773CEF8E" w14:textId="2406B5E8" w:rsidR="00302BFE" w:rsidRPr="00F16DE5"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CA"/>
        </w:rPr>
      </w:pPr>
      <w:r w:rsidRPr="00A63E29">
        <w:rPr>
          <w:rFonts w:ascii="Calibri" w:hAnsi="Calibri"/>
          <w:b/>
          <w:sz w:val="20"/>
          <w:szCs w:val="20"/>
          <w:highlight w:val="yellow"/>
          <w:lang w:val="en-CA"/>
        </w:rPr>
        <w:t xml:space="preserve">Project Component </w:t>
      </w:r>
      <w:r w:rsidR="00FD464C" w:rsidRPr="00A63E29">
        <w:rPr>
          <w:rFonts w:ascii="Calibri" w:hAnsi="Calibri"/>
          <w:b/>
          <w:sz w:val="20"/>
          <w:szCs w:val="20"/>
          <w:highlight w:val="yellow"/>
          <w:lang w:val="en-CA"/>
        </w:rPr>
        <w:t>2 of the project "Strengthening of the PONASI protected areas system":</w:t>
      </w:r>
      <w:r w:rsidR="00535BB9">
        <w:rPr>
          <w:rFonts w:ascii="Calibri" w:hAnsi="Calibri"/>
          <w:sz w:val="20"/>
          <w:szCs w:val="20"/>
          <w:lang w:val="en-CA"/>
        </w:rPr>
        <w:t xml:space="preserve"> </w:t>
      </w:r>
      <w:r w:rsidRPr="00F16DE5">
        <w:rPr>
          <w:rFonts w:ascii="Calibri" w:hAnsi="Calibri"/>
          <w:sz w:val="20"/>
          <w:szCs w:val="20"/>
          <w:lang w:val="en-CA"/>
        </w:rPr>
        <w:t xml:space="preserve">will focus on </w:t>
      </w:r>
      <w:r w:rsidR="00703FF6">
        <w:rPr>
          <w:rFonts w:ascii="Calibri" w:hAnsi="Calibri"/>
          <w:sz w:val="20"/>
          <w:szCs w:val="20"/>
          <w:lang w:val="en-CA"/>
        </w:rPr>
        <w:t xml:space="preserve">strengthening </w:t>
      </w:r>
      <w:r w:rsidRPr="00F16DE5">
        <w:rPr>
          <w:rFonts w:ascii="Calibri" w:hAnsi="Calibri"/>
          <w:sz w:val="20"/>
          <w:szCs w:val="20"/>
          <w:lang w:val="en-CA"/>
        </w:rPr>
        <w:t xml:space="preserve">the management effectiveness of PAs, including community PAs, ZOVICs, and wildlife corridors, </w:t>
      </w:r>
      <w:r w:rsidR="00703FF6" w:rsidRPr="00F16DE5">
        <w:rPr>
          <w:rFonts w:ascii="Calibri" w:hAnsi="Calibri"/>
          <w:sz w:val="20"/>
          <w:szCs w:val="20"/>
          <w:lang w:val="en-CA"/>
        </w:rPr>
        <w:t xml:space="preserve">building </w:t>
      </w:r>
      <w:r w:rsidRPr="00F16DE5">
        <w:rPr>
          <w:rFonts w:ascii="Calibri" w:hAnsi="Calibri"/>
          <w:sz w:val="20"/>
          <w:szCs w:val="20"/>
          <w:lang w:val="en-CA"/>
        </w:rPr>
        <w:t xml:space="preserve">capacity for the management of these PAs, and a </w:t>
      </w:r>
      <w:r w:rsidR="004A25B2">
        <w:rPr>
          <w:rFonts w:ascii="Calibri" w:hAnsi="Calibri"/>
          <w:sz w:val="20"/>
          <w:szCs w:val="20"/>
          <w:lang w:val="en-CA"/>
        </w:rPr>
        <w:t xml:space="preserve">elaborating a </w:t>
      </w:r>
      <w:r w:rsidRPr="00F16DE5">
        <w:rPr>
          <w:rFonts w:ascii="Calibri" w:hAnsi="Calibri"/>
          <w:sz w:val="20"/>
          <w:szCs w:val="20"/>
          <w:lang w:val="en-CA"/>
        </w:rPr>
        <w:t>protection plan for the elephants that use habitats within the PONASI landscape.</w:t>
      </w:r>
    </w:p>
    <w:p w14:paraId="7573D5C7" w14:textId="5CECA5CF" w:rsidR="00046D08" w:rsidRPr="0099310D"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CA"/>
        </w:rPr>
      </w:pPr>
      <w:r w:rsidRPr="003D7342">
        <w:rPr>
          <w:rFonts w:ascii="Calibri" w:hAnsi="Calibri"/>
          <w:sz w:val="20"/>
          <w:szCs w:val="20"/>
          <w:lang w:val="en-CA"/>
        </w:rPr>
        <w:t>The PAs of the PONASI complex are not effectively managed, with the exception of the Nazinga Game Ranch. PAs need to be strengthened and connected to increase the effective area of conservation to ensure the survival of large mammals such as elephants. In addition, well-managed PAs integrated into broader conservation strategies will not only maintain the integrity of habitats for biodiversity and ecosystem services, but also preserve their resilience to climate change and their capacity to sequester carbon.</w:t>
      </w:r>
      <w:r w:rsidR="008A2C50" w:rsidRPr="003D7342">
        <w:rPr>
          <w:rFonts w:ascii="Calibri" w:hAnsi="Calibri"/>
          <w:sz w:val="20"/>
          <w:szCs w:val="20"/>
          <w:lang w:val="en-CA"/>
        </w:rPr>
        <w:t xml:space="preserve"> </w:t>
      </w:r>
      <w:r w:rsidRPr="003D7342">
        <w:rPr>
          <w:rFonts w:ascii="Calibri" w:hAnsi="Calibri"/>
          <w:sz w:val="20"/>
          <w:szCs w:val="20"/>
          <w:lang w:val="en-CA"/>
        </w:rPr>
        <w:t xml:space="preserve">To foster the appropriation of protected areas by local populations and respect for their integrity and regulations, the project will develop </w:t>
      </w:r>
      <w:r w:rsidRPr="0099310D">
        <w:rPr>
          <w:rFonts w:ascii="Calibri" w:hAnsi="Calibri"/>
          <w:sz w:val="20"/>
          <w:szCs w:val="20"/>
          <w:lang w:val="en-CA"/>
        </w:rPr>
        <w:t>management tools that meet high quality standards and will put in place the capacities and tools to promote collaborative management of PAs that generates positive benefits for all stakeholders as well as for the conservation of biodiversity.</w:t>
      </w:r>
      <w:r w:rsidR="008A2C50" w:rsidRPr="0099310D">
        <w:rPr>
          <w:rFonts w:ascii="Calibri" w:hAnsi="Calibri"/>
          <w:sz w:val="20"/>
          <w:szCs w:val="20"/>
          <w:lang w:val="en-CA"/>
        </w:rPr>
        <w:t xml:space="preserve"> </w:t>
      </w:r>
    </w:p>
    <w:p w14:paraId="7DA1E4F1" w14:textId="07EAD753" w:rsidR="00E73212" w:rsidRPr="0099310D" w:rsidRDefault="00E73212" w:rsidP="00C46720">
      <w:pPr>
        <w:pStyle w:val="Paragraphedeliste"/>
        <w:numPr>
          <w:ilvl w:val="0"/>
          <w:numId w:val="32"/>
        </w:numPr>
        <w:tabs>
          <w:tab w:val="left" w:pos="284"/>
        </w:tabs>
        <w:spacing w:before="120" w:after="120"/>
        <w:ind w:left="0" w:firstLine="0"/>
        <w:jc w:val="both"/>
        <w:rPr>
          <w:rFonts w:ascii="Calibri" w:hAnsi="Calibri"/>
          <w:sz w:val="20"/>
          <w:szCs w:val="20"/>
          <w:lang w:val="en-CA"/>
        </w:rPr>
      </w:pPr>
      <w:r w:rsidRPr="0099310D">
        <w:rPr>
          <w:rFonts w:ascii="Calibri" w:hAnsi="Calibri"/>
          <w:sz w:val="20"/>
          <w:szCs w:val="20"/>
          <w:lang w:val="en-CA"/>
        </w:rPr>
        <w:t>The project will focus on strengthening the capacities of stakeholders at all levels to fulfill their role in the management of protected areas in order to ensure the preservation of populations of flora and fauna and their habitats. First, from the onset of the project, enforcement effectiveness will be strengthened to tackle poaching and illicit or unregulated hunting. In parallel, monitoring capacities will be consolidated so that a rigorous monitoring of wildlife populations, in particular those targeted by hunting and poaching, provides an adequate knowledge base to undertake scientific assessments of their health and a sound basis to make management decisions that will ensure the restoration or maintenance of these populations. An exhaustive review of the benefits and disadvantages of tourist and traditional hunting and assessment of their sustainability will support a participatory reflection and decision-making regarding these activities in PAs and ZOVICs. Depending on animal populations’ health, some or all types of hunting may be suspended to allow their full recovery which will be closely monitored and rigorously assessed. In anticipation of the possible resumption of this activity in some part of the PONASI PA system -should population health improve adequately to support some hunting-, the project will strengthen stakeholders’ capacities to fulfil their role in the management of hunting activities to improve their sustainability, preserve biodiversity, and promote greater equity in the sharing of related benefits, thus restoring a system that provides adequate incentives to local communities to support PAs.</w:t>
      </w:r>
    </w:p>
    <w:p w14:paraId="510779EF" w14:textId="77777777" w:rsidR="00302BFE" w:rsidRPr="00F16DE5"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CA"/>
        </w:rPr>
      </w:pPr>
      <w:r w:rsidRPr="00F16DE5">
        <w:rPr>
          <w:rFonts w:ascii="Calibri" w:hAnsi="Calibri"/>
          <w:sz w:val="20"/>
          <w:szCs w:val="20"/>
          <w:lang w:val="en-CA"/>
        </w:rPr>
        <w:lastRenderedPageBreak/>
        <w:t>The safety of corridors for elephants will be improved through their official recognition and demarcation, the restoration of critical habitats to restore their functionality, and the involvement of neighbouring communities in their preservation. At the same time, a tightly-targeted research program will document the movement of elephants within and around the PONASI landscape, including Ghana, with which cross-border surveillance and protection agreements will be renewed and implemented. A strategy to prevent and mitigate human-wildlife conflicts will be developed following the "SAFE Systems" approach and all of these elements will be used to develop a protection plan for elephants that frequent the PONASI landscape.</w:t>
      </w:r>
    </w:p>
    <w:p w14:paraId="26DD9447" w14:textId="514D213F" w:rsidR="00302BFE" w:rsidRPr="00F16DE5" w:rsidRDefault="00F07BA5" w:rsidP="00C46720">
      <w:pPr>
        <w:pStyle w:val="Paragraphedeliste"/>
        <w:numPr>
          <w:ilvl w:val="0"/>
          <w:numId w:val="32"/>
        </w:numPr>
        <w:tabs>
          <w:tab w:val="left" w:pos="284"/>
        </w:tabs>
        <w:spacing w:before="120" w:after="120"/>
        <w:ind w:left="0" w:firstLine="0"/>
        <w:jc w:val="both"/>
        <w:rPr>
          <w:rFonts w:ascii="Calibri" w:hAnsi="Calibri"/>
          <w:sz w:val="20"/>
          <w:szCs w:val="20"/>
          <w:lang w:val="en-CA"/>
        </w:rPr>
      </w:pPr>
      <w:r w:rsidRPr="00A63E29">
        <w:rPr>
          <w:rFonts w:ascii="Calibri" w:hAnsi="Calibri"/>
          <w:b/>
          <w:sz w:val="20"/>
          <w:szCs w:val="20"/>
          <w:highlight w:val="yellow"/>
          <w:lang w:val="en-CA"/>
        </w:rPr>
        <w:t>Project Component 3 of the "Sustainable Land and Resource Management and Livelihood Diversification":</w:t>
      </w:r>
      <w:r>
        <w:rPr>
          <w:rFonts w:ascii="Calibri" w:hAnsi="Calibri"/>
          <w:b/>
          <w:sz w:val="20"/>
          <w:szCs w:val="20"/>
          <w:lang w:val="en-CA"/>
        </w:rPr>
        <w:t xml:space="preserve"> </w:t>
      </w:r>
      <w:r w:rsidR="00302BFE" w:rsidRPr="00F16DE5">
        <w:rPr>
          <w:rFonts w:ascii="Calibri" w:hAnsi="Calibri"/>
          <w:sz w:val="20"/>
          <w:szCs w:val="20"/>
          <w:lang w:val="en-CA"/>
        </w:rPr>
        <w:t xml:space="preserve">will focus on agro-sylvo-pastoral areas in the landscape surrounding protected areas and on the livelihoods of local communities based on sustainable use of natural resources linked to protected areas. In Burkina Faso, natural forests are mainly managed for fuelwood and grazing, and to a lesser extent for hunting and vision tourism. The production of fuel wood is concentrated in </w:t>
      </w:r>
      <w:r w:rsidR="00302BFE">
        <w:rPr>
          <w:rFonts w:ascii="Calibri" w:hAnsi="Calibri"/>
          <w:sz w:val="20"/>
          <w:szCs w:val="20"/>
          <w:lang w:val="en-CA"/>
        </w:rPr>
        <w:t>forest management worksites</w:t>
      </w:r>
      <w:r w:rsidR="00302BFE" w:rsidRPr="00F16DE5">
        <w:rPr>
          <w:rFonts w:ascii="Calibri" w:hAnsi="Calibri"/>
          <w:sz w:val="20"/>
          <w:szCs w:val="20"/>
          <w:lang w:val="en-CA"/>
        </w:rPr>
        <w:t xml:space="preserve"> that are managed according to management plans and specifications, but whose effects on the dynamics of forest resources are not sufficiently evaluated.</w:t>
      </w:r>
      <w:r w:rsidR="00302BFE" w:rsidRPr="00F16DE5">
        <w:rPr>
          <w:sz w:val="20"/>
          <w:szCs w:val="20"/>
        </w:rPr>
        <w:t xml:space="preserve"> </w:t>
      </w:r>
      <w:r w:rsidR="00302BFE" w:rsidRPr="00F16DE5">
        <w:rPr>
          <w:rFonts w:ascii="Calibri" w:hAnsi="Calibri"/>
          <w:sz w:val="20"/>
          <w:szCs w:val="20"/>
          <w:lang w:val="en-CA"/>
        </w:rPr>
        <w:t>Pastoral and hunting areas are not adequately managed, rarely have management plans and are not subject to systematic monitoring and evaluation. Management activities are limited to anti-poaching and the practice of early fires. Current land and resource use patterns are leading to rapid habitat degradation for wildlife, but also for the ecosystem services that local communities depend on for their livelihoods.</w:t>
      </w:r>
    </w:p>
    <w:p w14:paraId="1D8E2217" w14:textId="77777777" w:rsidR="00302BFE" w:rsidRPr="00F16DE5"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CA"/>
        </w:rPr>
      </w:pPr>
      <w:r w:rsidRPr="00F16DE5">
        <w:rPr>
          <w:rFonts w:ascii="Calibri" w:hAnsi="Calibri"/>
          <w:sz w:val="20"/>
          <w:szCs w:val="20"/>
          <w:lang w:val="en-CA"/>
        </w:rPr>
        <w:t>Project interventions under this component will improve the sustainability of natural resource management and livelihoods in agro-sylvo-pastoral lands, consistent with the requirements of environmental landscape planning in component 1, and to develop sustainable livelihoods, through the establishment of tourism micro-enterprises as part of a landscape-scale strategy in relation to PAs, and support for NTFP processing value chains to benefit local communities, especially women.</w:t>
      </w:r>
    </w:p>
    <w:p w14:paraId="70BE8BF8" w14:textId="2454AFD5" w:rsidR="00302BFE" w:rsidRPr="00096979" w:rsidRDefault="003D561F" w:rsidP="00C46720">
      <w:pPr>
        <w:pStyle w:val="Paragraphedeliste"/>
        <w:numPr>
          <w:ilvl w:val="0"/>
          <w:numId w:val="32"/>
        </w:numPr>
        <w:tabs>
          <w:tab w:val="left" w:pos="284"/>
        </w:tabs>
        <w:spacing w:before="120" w:after="120"/>
        <w:ind w:left="0" w:firstLine="0"/>
        <w:jc w:val="both"/>
        <w:rPr>
          <w:rFonts w:ascii="Calibri" w:hAnsi="Calibri"/>
          <w:sz w:val="20"/>
          <w:szCs w:val="20"/>
          <w:lang w:val="en-CA"/>
        </w:rPr>
      </w:pPr>
      <w:r w:rsidRPr="00A63E29">
        <w:rPr>
          <w:rFonts w:ascii="Calibri" w:hAnsi="Calibri"/>
          <w:b/>
          <w:sz w:val="20"/>
          <w:szCs w:val="20"/>
          <w:highlight w:val="yellow"/>
          <w:lang w:val="en-CA"/>
        </w:rPr>
        <w:t xml:space="preserve">Project </w:t>
      </w:r>
      <w:r w:rsidR="006902FC" w:rsidRPr="00A63E29">
        <w:rPr>
          <w:rFonts w:ascii="Calibri" w:hAnsi="Calibri"/>
          <w:b/>
          <w:sz w:val="20"/>
          <w:szCs w:val="20"/>
          <w:highlight w:val="yellow"/>
          <w:lang w:val="en-CA"/>
        </w:rPr>
        <w:t>Component 4 of the project "Gender Mainstreaming and Knowledge and Learning Management:</w:t>
      </w:r>
      <w:r w:rsidR="006902FC" w:rsidRPr="006902FC">
        <w:rPr>
          <w:rFonts w:ascii="Calibri" w:hAnsi="Calibri"/>
          <w:b/>
          <w:sz w:val="20"/>
          <w:szCs w:val="20"/>
          <w:lang w:val="en-CA"/>
        </w:rPr>
        <w:t xml:space="preserve"> </w:t>
      </w:r>
      <w:r w:rsidR="00302BFE" w:rsidRPr="00096979">
        <w:rPr>
          <w:rFonts w:ascii="Calibri" w:hAnsi="Calibri"/>
          <w:sz w:val="20"/>
          <w:szCs w:val="20"/>
          <w:lang w:val="en-CA"/>
        </w:rPr>
        <w:t xml:space="preserve">will mainstream transversal issues of knowledge and gender into project outputs and outcomes. This will be achieved through fostering women participation and ensuring that both men and women benefit equally from the project and that the concerns and experiences of the women are an integral part of the implementation and monitoring and evaluation of the project. To support the collaborative planning process across the landscape, the project will establish a management system for </w:t>
      </w:r>
      <w:r w:rsidR="00302BFE">
        <w:rPr>
          <w:rFonts w:ascii="Calibri" w:hAnsi="Calibri"/>
          <w:sz w:val="20"/>
          <w:szCs w:val="20"/>
          <w:lang w:val="en-CA"/>
        </w:rPr>
        <w:t xml:space="preserve">collecting </w:t>
      </w:r>
      <w:r w:rsidR="00302BFE" w:rsidRPr="00096979">
        <w:rPr>
          <w:rFonts w:ascii="Calibri" w:hAnsi="Calibri"/>
          <w:sz w:val="20"/>
          <w:szCs w:val="20"/>
          <w:lang w:val="en-CA"/>
        </w:rPr>
        <w:t>technical knowledge and lessons learned from the project experiences</w:t>
      </w:r>
      <w:r w:rsidR="00302BFE">
        <w:rPr>
          <w:rFonts w:ascii="Calibri" w:hAnsi="Calibri"/>
          <w:sz w:val="20"/>
          <w:szCs w:val="20"/>
          <w:lang w:val="en-CA"/>
        </w:rPr>
        <w:t>,</w:t>
      </w:r>
      <w:r w:rsidR="00302BFE" w:rsidRPr="00096979">
        <w:rPr>
          <w:rFonts w:ascii="Calibri" w:hAnsi="Calibri"/>
          <w:sz w:val="20"/>
          <w:szCs w:val="20"/>
          <w:lang w:val="en-CA"/>
        </w:rPr>
        <w:t xml:space="preserve"> </w:t>
      </w:r>
      <w:r w:rsidR="00302BFE" w:rsidRPr="00DF3864">
        <w:rPr>
          <w:rFonts w:ascii="Calibri" w:hAnsi="Calibri"/>
          <w:sz w:val="20"/>
          <w:szCs w:val="20"/>
          <w:lang w:val="en-CA"/>
        </w:rPr>
        <w:t>identified through the participatory monitoring</w:t>
      </w:r>
      <w:r w:rsidR="00302BFE" w:rsidRPr="00096979">
        <w:rPr>
          <w:rFonts w:ascii="Calibri" w:hAnsi="Calibri"/>
          <w:sz w:val="20"/>
          <w:szCs w:val="20"/>
          <w:lang w:val="en-CA"/>
        </w:rPr>
        <w:t xml:space="preserve"> and evaluation as part of the project annual planning process. New knowledge will be compiled, disseminated and integrated to allow for adaptive management at the landscape level, units of the landscape and village terroirs.</w:t>
      </w:r>
    </w:p>
    <w:p w14:paraId="5D1BF55A" w14:textId="6805A086" w:rsidR="007E0D06" w:rsidRPr="00EF6D8E" w:rsidRDefault="001D3D46" w:rsidP="00C46720">
      <w:pPr>
        <w:pStyle w:val="Paragraphedeliste"/>
        <w:numPr>
          <w:ilvl w:val="0"/>
          <w:numId w:val="32"/>
        </w:numPr>
        <w:tabs>
          <w:tab w:val="left" w:pos="284"/>
        </w:tabs>
        <w:spacing w:before="120" w:after="120"/>
        <w:ind w:left="0" w:firstLine="0"/>
        <w:jc w:val="both"/>
        <w:rPr>
          <w:rFonts w:ascii="Calibri" w:hAnsi="Calibri"/>
          <w:iCs/>
          <w:sz w:val="20"/>
          <w:szCs w:val="20"/>
          <w:highlight w:val="yellow"/>
        </w:rPr>
      </w:pPr>
      <w:r w:rsidRPr="00A63E29">
        <w:rPr>
          <w:rFonts w:ascii="Calibri" w:hAnsi="Calibri" w:cs="Calibri"/>
          <w:b/>
          <w:bCs/>
          <w:iCs/>
          <w:sz w:val="20"/>
          <w:szCs w:val="20"/>
          <w:highlight w:val="yellow"/>
        </w:rPr>
        <w:t>"Project Coordination and Management":</w:t>
      </w:r>
      <w:r w:rsidRPr="00A63E29">
        <w:rPr>
          <w:rFonts w:ascii="Calibri" w:hAnsi="Calibri" w:cs="Calibri"/>
          <w:iCs/>
          <w:sz w:val="20"/>
          <w:szCs w:val="20"/>
          <w:highlight w:val="yellow"/>
        </w:rPr>
        <w:t xml:space="preserve"> aims to ensure the administrative, financial and accounting management of activities.</w:t>
      </w:r>
      <w:r w:rsidR="007E0D06" w:rsidRPr="007E0D06">
        <w:rPr>
          <w:rFonts w:ascii="Calibri" w:hAnsi="Calibri"/>
          <w:iCs/>
          <w:sz w:val="20"/>
          <w:szCs w:val="20"/>
          <w:highlight w:val="yellow"/>
        </w:rPr>
        <w:t xml:space="preserve"> </w:t>
      </w:r>
      <w:r w:rsidR="007E0D06" w:rsidRPr="00EF6D8E">
        <w:rPr>
          <w:rFonts w:ascii="Calibri" w:hAnsi="Calibri"/>
          <w:iCs/>
          <w:sz w:val="20"/>
          <w:szCs w:val="20"/>
          <w:highlight w:val="yellow"/>
        </w:rPr>
        <w:t>The achievement of this objective requires the following results: (i) the operational capacities of the actors are strengthened; (ii) the project management tools are operational; (iii) the project monitoring and evaluation system is operational; (iv) the technical skills of the project management staff are strengthened; (v) the visibility of the project activities is strengthened.</w:t>
      </w:r>
    </w:p>
    <w:p w14:paraId="703C3FEB" w14:textId="77777777" w:rsidR="001D3D46" w:rsidRDefault="001D3D46" w:rsidP="00302BFE">
      <w:pPr>
        <w:pStyle w:val="Paragraphedeliste"/>
        <w:tabs>
          <w:tab w:val="left" w:pos="284"/>
        </w:tabs>
        <w:spacing w:before="120" w:after="120"/>
        <w:ind w:left="0"/>
        <w:jc w:val="both"/>
        <w:rPr>
          <w:rFonts w:ascii="Calibri" w:hAnsi="Calibri" w:cs="Calibri"/>
          <w:iCs/>
          <w:sz w:val="20"/>
          <w:szCs w:val="20"/>
          <w:highlight w:val="yellow"/>
        </w:rPr>
      </w:pPr>
    </w:p>
    <w:p w14:paraId="22D754F3" w14:textId="75DF17CF" w:rsidR="000F70A1" w:rsidRPr="00A63E29" w:rsidRDefault="000F70A1" w:rsidP="000F70A1">
      <w:pPr>
        <w:tabs>
          <w:tab w:val="left" w:pos="284"/>
        </w:tabs>
        <w:spacing w:before="120" w:after="120"/>
        <w:rPr>
          <w:b/>
          <w:bCs/>
          <w:iCs/>
          <w:szCs w:val="20"/>
        </w:rPr>
      </w:pPr>
      <w:r w:rsidRPr="00A63E29">
        <w:rPr>
          <w:b/>
          <w:bCs/>
          <w:iCs/>
          <w:szCs w:val="20"/>
          <w:highlight w:val="yellow"/>
        </w:rPr>
        <w:t>Justification and consistency of the project with national and international standards</w:t>
      </w:r>
    </w:p>
    <w:p w14:paraId="0AA16068" w14:textId="144A17D6" w:rsidR="0053733F" w:rsidRPr="00A63E29" w:rsidRDefault="002B4063" w:rsidP="000F70A1">
      <w:pPr>
        <w:tabs>
          <w:tab w:val="left" w:pos="284"/>
        </w:tabs>
        <w:spacing w:before="120" w:after="120"/>
        <w:rPr>
          <w:i/>
          <w:szCs w:val="20"/>
          <w:highlight w:val="yellow"/>
        </w:rPr>
      </w:pPr>
      <w:r w:rsidRPr="00A63E29">
        <w:rPr>
          <w:i/>
          <w:szCs w:val="20"/>
          <w:highlight w:val="yellow"/>
        </w:rPr>
        <w:t>Benefits for the global environment</w:t>
      </w:r>
    </w:p>
    <w:p w14:paraId="79813AAA" w14:textId="0D517784" w:rsidR="0016320F" w:rsidRPr="00A63E29" w:rsidRDefault="00B14103" w:rsidP="00A63E29">
      <w:pPr>
        <w:tabs>
          <w:tab w:val="left" w:pos="284"/>
        </w:tabs>
        <w:spacing w:before="120" w:after="120"/>
        <w:rPr>
          <w:iCs/>
          <w:szCs w:val="20"/>
        </w:rPr>
      </w:pPr>
      <w:r w:rsidRPr="00A63E29">
        <w:rPr>
          <w:iCs/>
          <w:szCs w:val="20"/>
          <w:highlight w:val="yellow"/>
        </w:rPr>
        <w:t>1.</w:t>
      </w:r>
      <w:r w:rsidRPr="00A63E29">
        <w:rPr>
          <w:iCs/>
          <w:szCs w:val="20"/>
          <w:highlight w:val="yellow"/>
        </w:rPr>
        <w:tab/>
        <w:t>The project will provide global environmental benefits related to BD conservation, reduced land degradation, improved resilience to climate change, and reduced GHG emissions. The project will provide the following global environmental benefits:</w:t>
      </w:r>
    </w:p>
    <w:p w14:paraId="4C9DE39C" w14:textId="77777777" w:rsidR="00302BFE" w:rsidRPr="00CB2536" w:rsidRDefault="00302BFE" w:rsidP="00C46720">
      <w:pPr>
        <w:pStyle w:val="NumberedParasinaPIF"/>
        <w:numPr>
          <w:ilvl w:val="0"/>
          <w:numId w:val="34"/>
        </w:numPr>
        <w:ind w:left="630" w:hanging="270"/>
        <w:rPr>
          <w:rFonts w:ascii="Calibri" w:hAnsi="Calibri" w:cs="Calibri"/>
          <w:noProof w:val="0"/>
          <w:sz w:val="20"/>
          <w:szCs w:val="20"/>
          <w:lang w:val="en-CA"/>
        </w:rPr>
      </w:pPr>
      <w:r w:rsidRPr="00CB2536">
        <w:rPr>
          <w:rFonts w:ascii="Calibri" w:hAnsi="Calibri" w:cs="Calibri"/>
          <w:noProof w:val="0"/>
          <w:sz w:val="20"/>
          <w:szCs w:val="20"/>
          <w:lang w:val="en-CA"/>
        </w:rPr>
        <w:t>3 State PAs totaling 293,000 ha, 11 community PAs totaling 24,281 ha, and 2 wildlife corridors totaling 37,500 ha – for an overall total of 354,781 ha of PAs that are under improved protection and more effective management as reflected by increased METT scores;</w:t>
      </w:r>
    </w:p>
    <w:p w14:paraId="6031A85E" w14:textId="77777777" w:rsidR="00302BFE" w:rsidRPr="00CB2536" w:rsidRDefault="00302BFE" w:rsidP="00C46720">
      <w:pPr>
        <w:pStyle w:val="NumberedParasinaPIF"/>
        <w:numPr>
          <w:ilvl w:val="0"/>
          <w:numId w:val="34"/>
        </w:numPr>
        <w:ind w:left="630" w:hanging="270"/>
        <w:rPr>
          <w:rFonts w:ascii="Calibri" w:hAnsi="Calibri" w:cs="Calibri"/>
          <w:noProof w:val="0"/>
          <w:sz w:val="20"/>
          <w:szCs w:val="20"/>
          <w:lang w:val="en-CA"/>
        </w:rPr>
      </w:pPr>
      <w:r w:rsidRPr="00CB2536">
        <w:rPr>
          <w:rFonts w:ascii="Calibri" w:hAnsi="Calibri" w:cs="Calibri"/>
          <w:noProof w:val="0"/>
          <w:sz w:val="20"/>
          <w:szCs w:val="20"/>
          <w:lang w:val="en-CA"/>
        </w:rPr>
        <w:t>PA estate increased by 33,000 ha to secure an elephant movement corridor (area included in the above);</w:t>
      </w:r>
    </w:p>
    <w:p w14:paraId="6C151009" w14:textId="77777777" w:rsidR="00302BFE" w:rsidRPr="00CB2536" w:rsidRDefault="00302BFE" w:rsidP="00C46720">
      <w:pPr>
        <w:pStyle w:val="NumberedParasinaPIF"/>
        <w:numPr>
          <w:ilvl w:val="0"/>
          <w:numId w:val="34"/>
        </w:numPr>
        <w:ind w:left="630" w:hanging="270"/>
        <w:rPr>
          <w:rFonts w:ascii="Calibri" w:hAnsi="Calibri" w:cs="Calibri"/>
          <w:noProof w:val="0"/>
          <w:sz w:val="20"/>
          <w:szCs w:val="20"/>
          <w:lang w:val="en-CA"/>
        </w:rPr>
      </w:pPr>
      <w:bookmarkStart w:id="13" w:name="_Hlk511635887"/>
      <w:r w:rsidRPr="00CB2536">
        <w:rPr>
          <w:rFonts w:ascii="Calibri" w:hAnsi="Calibri" w:cs="Calibri"/>
          <w:noProof w:val="0"/>
          <w:sz w:val="20"/>
          <w:szCs w:val="20"/>
          <w:lang w:val="en-CA"/>
        </w:rPr>
        <w:t>enhanced protection of the PONASI complex of PAs as a Ramsar site and IBA;</w:t>
      </w:r>
    </w:p>
    <w:bookmarkEnd w:id="13"/>
    <w:p w14:paraId="7F152D11" w14:textId="77777777" w:rsidR="00302BFE" w:rsidRPr="00CB2536" w:rsidRDefault="00302BFE" w:rsidP="00C46720">
      <w:pPr>
        <w:pStyle w:val="NumberedParasinaPIF"/>
        <w:numPr>
          <w:ilvl w:val="0"/>
          <w:numId w:val="34"/>
        </w:numPr>
        <w:ind w:left="630" w:hanging="270"/>
        <w:rPr>
          <w:rFonts w:ascii="Calibri" w:hAnsi="Calibri" w:cs="Calibri"/>
          <w:noProof w:val="0"/>
          <w:sz w:val="20"/>
          <w:szCs w:val="20"/>
          <w:lang w:val="en-CA"/>
        </w:rPr>
      </w:pPr>
      <w:r w:rsidRPr="00CB2536">
        <w:rPr>
          <w:rFonts w:ascii="Calibri" w:hAnsi="Calibri" w:cs="Calibri"/>
          <w:noProof w:val="0"/>
          <w:sz w:val="20"/>
          <w:szCs w:val="20"/>
          <w:lang w:val="en-CA"/>
        </w:rPr>
        <w:t xml:space="preserve">stabilization of a population of </w:t>
      </w:r>
      <w:r w:rsidR="00A2790B">
        <w:rPr>
          <w:rFonts w:ascii="Calibri" w:hAnsi="Calibri" w:cs="Calibri"/>
          <w:noProof w:val="0"/>
          <w:sz w:val="20"/>
          <w:szCs w:val="20"/>
          <w:lang w:val="en-CA"/>
        </w:rPr>
        <w:t>at least</w:t>
      </w:r>
      <w:r w:rsidRPr="00CB2536">
        <w:rPr>
          <w:rFonts w:ascii="Calibri" w:hAnsi="Calibri" w:cs="Calibri"/>
          <w:noProof w:val="0"/>
          <w:sz w:val="20"/>
          <w:szCs w:val="20"/>
          <w:lang w:val="en-CA"/>
        </w:rPr>
        <w:t xml:space="preserve"> 600 elephants (VU </w:t>
      </w:r>
      <w:r w:rsidRPr="00CB2536">
        <w:rPr>
          <w:rFonts w:ascii="Calibri" w:hAnsi="Calibri" w:cs="Calibri"/>
          <w:i/>
          <w:noProof w:val="0"/>
          <w:sz w:val="20"/>
          <w:szCs w:val="20"/>
          <w:lang w:val="en-CA"/>
        </w:rPr>
        <w:t>Loxodonta africana</w:t>
      </w:r>
      <w:r w:rsidRPr="00CB2536">
        <w:rPr>
          <w:rFonts w:ascii="Calibri" w:hAnsi="Calibri" w:cs="Calibri"/>
          <w:noProof w:val="0"/>
          <w:sz w:val="20"/>
          <w:szCs w:val="20"/>
          <w:lang w:val="en-CA"/>
        </w:rPr>
        <w:t>) through enhanced protection of this 2</w:t>
      </w:r>
      <w:r w:rsidRPr="00CB2536">
        <w:rPr>
          <w:rFonts w:ascii="Calibri" w:hAnsi="Calibri" w:cs="Calibri"/>
          <w:noProof w:val="0"/>
          <w:sz w:val="20"/>
          <w:szCs w:val="20"/>
          <w:vertAlign w:val="superscript"/>
          <w:lang w:val="en-CA"/>
        </w:rPr>
        <w:t>nd</w:t>
      </w:r>
      <w:r w:rsidRPr="00CB2536">
        <w:rPr>
          <w:rFonts w:ascii="Calibri" w:hAnsi="Calibri" w:cs="Calibri"/>
          <w:noProof w:val="0"/>
          <w:sz w:val="20"/>
          <w:szCs w:val="20"/>
          <w:lang w:val="en-CA"/>
        </w:rPr>
        <w:t xml:space="preserve"> most important population of elephants in Burkina Faso, and improved connectivity between Nazinga and PNKT enabling elephant movements, through the creation, improved management in corridor #2 including the restoration of 11,000 ha, contributing to restore the natural routes of elephants within their range in the PONASI landscape;</w:t>
      </w:r>
    </w:p>
    <w:p w14:paraId="6A6ED27E" w14:textId="77777777" w:rsidR="00302BFE" w:rsidRPr="00D61C93" w:rsidRDefault="00302BFE" w:rsidP="00C46720">
      <w:pPr>
        <w:pStyle w:val="NumberedParasinaPIF"/>
        <w:numPr>
          <w:ilvl w:val="0"/>
          <w:numId w:val="35"/>
        </w:numPr>
        <w:ind w:left="630" w:hanging="270"/>
        <w:rPr>
          <w:rFonts w:ascii="Calibri" w:hAnsi="Calibri" w:cs="Calibri"/>
          <w:noProof w:val="0"/>
          <w:sz w:val="20"/>
          <w:szCs w:val="20"/>
          <w:lang w:val="en-CA"/>
        </w:rPr>
      </w:pPr>
      <w:r w:rsidRPr="00CB2536">
        <w:rPr>
          <w:rFonts w:ascii="Calibri" w:hAnsi="Calibri" w:cs="Calibri"/>
          <w:noProof w:val="0"/>
          <w:sz w:val="20"/>
          <w:szCs w:val="20"/>
          <w:lang w:val="en-CA"/>
        </w:rPr>
        <w:t xml:space="preserve">Expanded implementation of </w:t>
      </w:r>
      <w:r w:rsidRPr="00CB2536">
        <w:rPr>
          <w:rFonts w:ascii="Calibri" w:hAnsi="Calibri" w:cs="Calibri"/>
          <w:sz w:val="20"/>
          <w:szCs w:val="20"/>
          <w:lang w:val="en-CA"/>
        </w:rPr>
        <w:t xml:space="preserve">CSA-SLM practices over </w:t>
      </w:r>
      <w:r w:rsidRPr="00CB2536">
        <w:rPr>
          <w:rFonts w:ascii="Calibri" w:hAnsi="Calibri" w:cs="Calibri"/>
          <w:noProof w:val="0"/>
          <w:sz w:val="20"/>
          <w:szCs w:val="20"/>
          <w:lang w:val="en-CA"/>
        </w:rPr>
        <w:t xml:space="preserve">129,478 ha in the agro-sylvo-pastoral lands with sustainable land and </w:t>
      </w:r>
      <w:r w:rsidRPr="00D61C93">
        <w:rPr>
          <w:rFonts w:ascii="Calibri" w:hAnsi="Calibri" w:cs="Calibri"/>
          <w:noProof w:val="0"/>
          <w:sz w:val="20"/>
          <w:szCs w:val="20"/>
          <w:lang w:val="en-CA"/>
        </w:rPr>
        <w:t>resource use practices that support land and biodiversity conservation while reducing GHG emissions</w:t>
      </w:r>
    </w:p>
    <w:p w14:paraId="388E2C93" w14:textId="77777777" w:rsidR="00302BFE" w:rsidRPr="00D61C93" w:rsidRDefault="00A2790B" w:rsidP="00C46720">
      <w:pPr>
        <w:pStyle w:val="NumberedParasinaPIF"/>
        <w:numPr>
          <w:ilvl w:val="0"/>
          <w:numId w:val="36"/>
        </w:numPr>
        <w:ind w:left="630" w:hanging="270"/>
        <w:rPr>
          <w:rFonts w:ascii="Calibri" w:hAnsi="Calibri" w:cs="Calibri"/>
          <w:sz w:val="20"/>
          <w:szCs w:val="20"/>
          <w:lang w:val="en-CA"/>
        </w:rPr>
      </w:pPr>
      <w:r w:rsidRPr="00D61C93">
        <w:rPr>
          <w:rFonts w:ascii="Calibri" w:hAnsi="Calibri" w:cs="Calibri"/>
          <w:sz w:val="20"/>
          <w:szCs w:val="20"/>
          <w:lang w:val="en-CA"/>
        </w:rPr>
        <w:t>5</w:t>
      </w:r>
      <w:r w:rsidR="00302BFE" w:rsidRPr="00D61C93">
        <w:rPr>
          <w:rFonts w:ascii="Calibri" w:hAnsi="Calibri" w:cs="Calibri"/>
          <w:sz w:val="20"/>
          <w:szCs w:val="20"/>
          <w:lang w:val="en-CA"/>
        </w:rPr>
        <w:t>,</w:t>
      </w:r>
      <w:r w:rsidRPr="00D61C93">
        <w:rPr>
          <w:rFonts w:ascii="Calibri" w:hAnsi="Calibri" w:cs="Calibri"/>
          <w:sz w:val="20"/>
          <w:szCs w:val="20"/>
          <w:lang w:val="en-CA"/>
        </w:rPr>
        <w:t>44</w:t>
      </w:r>
      <w:r w:rsidR="007C38A7" w:rsidRPr="00D61C93">
        <w:rPr>
          <w:rFonts w:ascii="Calibri" w:hAnsi="Calibri" w:cs="Calibri"/>
          <w:sz w:val="20"/>
          <w:szCs w:val="20"/>
          <w:lang w:val="en-CA"/>
        </w:rPr>
        <w:t>8</w:t>
      </w:r>
      <w:r w:rsidR="00302BFE" w:rsidRPr="00D61C93">
        <w:rPr>
          <w:rFonts w:ascii="Calibri" w:hAnsi="Calibri" w:cs="Calibri"/>
          <w:sz w:val="20"/>
          <w:szCs w:val="20"/>
          <w:lang w:val="en-CA"/>
        </w:rPr>
        <w:t>,</w:t>
      </w:r>
      <w:r w:rsidR="007C38A7" w:rsidRPr="00D61C93">
        <w:rPr>
          <w:rFonts w:ascii="Calibri" w:hAnsi="Calibri" w:cs="Calibri"/>
          <w:sz w:val="20"/>
          <w:szCs w:val="20"/>
          <w:lang w:val="en-CA"/>
        </w:rPr>
        <w:t>9</w:t>
      </w:r>
      <w:r w:rsidRPr="00D61C93">
        <w:rPr>
          <w:rFonts w:ascii="Calibri" w:hAnsi="Calibri" w:cs="Calibri"/>
          <w:sz w:val="20"/>
          <w:szCs w:val="20"/>
          <w:lang w:val="en-CA"/>
        </w:rPr>
        <w:t>2</w:t>
      </w:r>
      <w:r w:rsidR="007C38A7" w:rsidRPr="00D61C93">
        <w:rPr>
          <w:rFonts w:ascii="Calibri" w:hAnsi="Calibri" w:cs="Calibri"/>
          <w:sz w:val="20"/>
          <w:szCs w:val="20"/>
          <w:lang w:val="en-CA"/>
        </w:rPr>
        <w:t>4</w:t>
      </w:r>
      <w:r w:rsidR="00302BFE" w:rsidRPr="00D61C93">
        <w:rPr>
          <w:rFonts w:ascii="Calibri" w:hAnsi="Calibri" w:cs="Calibri"/>
          <w:sz w:val="20"/>
          <w:szCs w:val="20"/>
          <w:lang w:val="en-CA"/>
        </w:rPr>
        <w:t xml:space="preserve"> t CO</w:t>
      </w:r>
      <w:r w:rsidR="00302BFE" w:rsidRPr="00D61C93">
        <w:rPr>
          <w:rFonts w:ascii="Calibri" w:hAnsi="Calibri" w:cs="Calibri"/>
          <w:sz w:val="20"/>
          <w:szCs w:val="20"/>
          <w:vertAlign w:val="subscript"/>
          <w:lang w:val="en-CA"/>
        </w:rPr>
        <w:t>2eq</w:t>
      </w:r>
      <w:r w:rsidR="00302BFE" w:rsidRPr="00D61C93">
        <w:rPr>
          <w:rFonts w:ascii="Calibri" w:hAnsi="Calibri" w:cs="Calibri"/>
          <w:sz w:val="20"/>
          <w:szCs w:val="20"/>
          <w:lang w:val="en-CA"/>
        </w:rPr>
        <w:t xml:space="preserve"> avoided emissions of greenhouse gases by reducing deforestation and habitat restoration</w:t>
      </w:r>
    </w:p>
    <w:p w14:paraId="4150E675" w14:textId="77777777" w:rsidR="00302BFE" w:rsidRPr="00DF3864"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CA"/>
        </w:rPr>
      </w:pPr>
      <w:r w:rsidRPr="00D61C93">
        <w:rPr>
          <w:rFonts w:ascii="Calibri" w:eastAsia="Calibri" w:hAnsi="Calibri" w:cs="Calibri"/>
          <w:i/>
          <w:noProof/>
          <w:color w:val="4472C4"/>
          <w:sz w:val="20"/>
          <w:szCs w:val="20"/>
          <w:lang w:val="en-CA" w:eastAsia="fr-CA"/>
        </w:rPr>
        <w:t>Relevance to the GEF objectives</w:t>
      </w:r>
      <w:r w:rsidRPr="00D61C93">
        <w:rPr>
          <w:rFonts w:ascii="Calibri" w:eastAsia="Calibri" w:hAnsi="Calibri" w:cs="Calibri"/>
          <w:noProof/>
          <w:sz w:val="20"/>
          <w:szCs w:val="20"/>
          <w:lang w:val="en-CA" w:eastAsia="fr-CA"/>
        </w:rPr>
        <w:t>. The project’s strategy includes actions to address objectives of the GEF Biodiversity Focal Area, the Land Degradation Focal Area and Climate</w:t>
      </w:r>
      <w:r w:rsidRPr="00DF3864">
        <w:rPr>
          <w:rFonts w:ascii="Calibri" w:eastAsia="Calibri" w:hAnsi="Calibri" w:cs="Calibri"/>
          <w:noProof/>
          <w:sz w:val="20"/>
          <w:szCs w:val="20"/>
          <w:lang w:val="en-CA" w:eastAsia="fr-CA"/>
        </w:rPr>
        <w:t xml:space="preserve"> Change Mitigation Focal Area. More specifically, the project is framed within BD Objective 1 (BD‐1: Improve Sustainability of Protected Area Systems, Program 2: Nature’s Last Stand: Expanding the Reach of the Global Protected Area Estate), LD Objective 1 (LD-1: Maintain or improve flow of agro-ecosystem services to sustain food production </w:t>
      </w:r>
      <w:r w:rsidRPr="00DF3864">
        <w:rPr>
          <w:rFonts w:ascii="Calibri" w:eastAsia="Calibri" w:hAnsi="Calibri" w:cs="Calibri"/>
          <w:noProof/>
          <w:sz w:val="20"/>
          <w:szCs w:val="20"/>
          <w:lang w:val="en-CA" w:eastAsia="fr-CA"/>
        </w:rPr>
        <w:lastRenderedPageBreak/>
        <w:t>and livelihoods, Program 2: SLM for Climate-Smart Agriculture), LD Objective 3 (LD-3: Reduce pressures on natural resources by managing competing land uses in broader landscapes, Program 4: Scaling-up sustainable land management through the Landscape Approach), and CCM Objective 2 (CCM-2: Demonstrate Systemic Impacts of Mitigation Options, Program 4: Promote conservation and enhancement of carbon stocks in forest and in other land uses, and support climate-smart agriculture).</w:t>
      </w:r>
    </w:p>
    <w:p w14:paraId="57A5F549" w14:textId="77777777" w:rsidR="00302BFE" w:rsidRPr="00DF3864"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CA"/>
        </w:rPr>
      </w:pPr>
      <w:r w:rsidRPr="00DF3864">
        <w:rPr>
          <w:rFonts w:ascii="Calibri" w:eastAsia="Calibri" w:hAnsi="Calibri" w:cs="Calibri"/>
          <w:i/>
          <w:noProof/>
          <w:color w:val="4472C4"/>
          <w:sz w:val="20"/>
          <w:szCs w:val="20"/>
          <w:lang w:val="en-CA" w:eastAsia="fr-CA"/>
        </w:rPr>
        <w:t xml:space="preserve">Relevance to SDGs. </w:t>
      </w:r>
      <w:r w:rsidRPr="00DF3864">
        <w:rPr>
          <w:rFonts w:ascii="Calibri" w:eastAsia="Calibri" w:hAnsi="Calibri" w:cs="Calibri"/>
          <w:sz w:val="20"/>
          <w:szCs w:val="20"/>
        </w:rPr>
        <w:t>In addition, the project is part of United Nations Development Program’s (UNDP) effort to support the progress of Burkina Faso’s towards achieving the Sustainable Development Goals (SDGs). In particular, the project will contribute to achieving Goal 1 – End poverty in all its forms everywhere; Goal 2 – Promote sustainable agriculture; Goal 5 – Achieve gender equality and empower all women and girls; Goal 6 – Ensure access to water and sanitation for all; Goal 8 – Decent work and economic growth; Goal 12 – Sustainable consumption and production; Goal 13 – Take urgent action to combat climate change and its impacts; and Goal 15 – Protect, restore and promote sustainable use of terrestrial ecosystems, sustainably manage forests, combat desertification, and halt and reverse land degradation and halt biodiversity loss.</w:t>
      </w:r>
    </w:p>
    <w:p w14:paraId="14BFE91C" w14:textId="5C8E4F40" w:rsidR="00302BFE" w:rsidRDefault="00302BFE" w:rsidP="00C46720">
      <w:pPr>
        <w:pStyle w:val="Paragraphedeliste"/>
        <w:numPr>
          <w:ilvl w:val="0"/>
          <w:numId w:val="32"/>
        </w:numPr>
        <w:tabs>
          <w:tab w:val="left" w:pos="284"/>
        </w:tabs>
        <w:spacing w:before="120" w:after="120"/>
        <w:ind w:left="0" w:firstLine="0"/>
        <w:jc w:val="both"/>
        <w:rPr>
          <w:rFonts w:ascii="Calibri" w:hAnsi="Calibri"/>
          <w:sz w:val="20"/>
          <w:szCs w:val="20"/>
          <w:lang w:val="en-CA"/>
        </w:rPr>
      </w:pPr>
      <w:r w:rsidRPr="00EE201B">
        <w:rPr>
          <w:rFonts w:ascii="Calibri" w:eastAsia="Calibri" w:hAnsi="Calibri" w:cs="Calibri"/>
          <w:i/>
          <w:noProof/>
          <w:color w:val="4472C4"/>
          <w:sz w:val="20"/>
          <w:szCs w:val="20"/>
          <w:lang w:val="en-CA" w:eastAsia="fr-CA"/>
        </w:rPr>
        <w:t xml:space="preserve">Relevance to Aichi biodiversity targets. </w:t>
      </w:r>
      <w:r w:rsidRPr="00EE201B">
        <w:rPr>
          <w:rFonts w:ascii="Calibri" w:hAnsi="Calibri"/>
          <w:sz w:val="20"/>
          <w:szCs w:val="20"/>
          <w:lang w:val="en-CA"/>
        </w:rPr>
        <w:t xml:space="preserve">This project contributes to several Aichi Targets and to Burkina Faso’s commitments under the CBD. </w:t>
      </w:r>
      <w:r w:rsidRPr="00EE201B">
        <w:rPr>
          <w:rFonts w:ascii="Calibri" w:eastAsia="MS Mincho" w:hAnsi="Calibri"/>
          <w:sz w:val="20"/>
          <w:szCs w:val="20"/>
          <w:lang w:val="en-CA"/>
        </w:rPr>
        <w:t>Under all components, it involves e</w:t>
      </w:r>
      <w:r w:rsidRPr="00EE201B">
        <w:rPr>
          <w:rFonts w:ascii="Calibri" w:eastAsia="MS Mincho" w:hAnsi="Calibri"/>
          <w:sz w:val="20"/>
          <w:szCs w:val="20"/>
        </w:rPr>
        <w:t xml:space="preserve">xtensive participatory processes involving stakeholders at all levels across the landscape to be included in environmental decision-making and planning which involves raising their awareness on the impacts of environmental degradation on the regional and local economy and livelihoods and on the urgency of halting environmental pressures related to unsustainable use of natural resources, thus contributing to Aichi target 1. By mainstreaming biodiversity priorities and ecosystem services in the land-use planning in the surrounding landscape, including through the certification of shea production areas, and including incentives to foster compliance to the PONASI landscape master plan developed following the landscape approach, the project will contribute to Aichi target 2 on integration of biodiversity values into national planning and reporting, to Aichi target 3 on positive incentives for the conservation and sustainable use of biodiversity, and to Aichi target 14 on restoring and safeguarding ecosystems that provide services that are essential to local communities livelihoods. This plan that will be developed through a widely participatory process including authorities at regional and commune levels will be officially endorsed by them and by national authorities and will include prescriptions for protection and productive land units within the landscape to support and improve conservation and sustainable use of natural resources, thus contributing to Aichi target 4. The development of these management prescriptions will take into account traditional knowledge on the management of natural resources, namely women knowledge as regards NTFP, in line with Aichi target 18. The project is also clearly contributing to Aichi targets 5, 7 and 15: interventions under component 1 will document carbon stock estimations within the PONASI landscape to integrate the REDD+ mechanism which will serve as an important incentive to reduce deforestation, and interventions under component 3, output 3.2 are specifically targeting the various types of forest areas in the landscape to ensure their sustainable management. </w:t>
      </w:r>
      <w:r w:rsidRPr="00EE201B">
        <w:rPr>
          <w:rFonts w:ascii="Calibri" w:hAnsi="Calibri"/>
          <w:sz w:val="20"/>
          <w:szCs w:val="20"/>
          <w:lang w:val="en-CA"/>
        </w:rPr>
        <w:t>The project is contributing to Aichi target 11 related to the conservation of well-connected systems of PAs through strengthening the management of the PONASI complex of PAs over 321,781 ha and gazetting and securing the corridor #2 over 33,000 ha. As a contribution to Aichi target 12, the conservation of elephants is the major biodiversity focus of this project which, beyond improving the management of PAs including ecological corridors to secure elephants’ habitats, includes a specific output to develop a protection plan based on the SAFE Systems approach and on a targeted research project to better understand elephant movements within and around the PONASI landscape. The project provides for the development and operation of an information system to monitor the implementation of the Landscape Management Master Plan and related impacts, based on selected biodiversity and socio-economic indicators. In addition, component 4 provides for the dissemination of technical knowledge and learnings collated throughout the project implementation, thus contributing to Aichi target 19.</w:t>
      </w:r>
    </w:p>
    <w:p w14:paraId="0A2D128C" w14:textId="63603772" w:rsidR="007C70C8" w:rsidRPr="00A63E29" w:rsidRDefault="00D21F62" w:rsidP="00A63E29">
      <w:pPr>
        <w:tabs>
          <w:tab w:val="left" w:pos="284"/>
        </w:tabs>
        <w:spacing w:before="120" w:after="120"/>
        <w:rPr>
          <w:szCs w:val="20"/>
          <w:highlight w:val="yellow"/>
          <w:u w:val="single"/>
          <w:lang w:val="en-CA"/>
        </w:rPr>
      </w:pPr>
      <w:r w:rsidRPr="00A63E29">
        <w:rPr>
          <w:szCs w:val="20"/>
          <w:highlight w:val="yellow"/>
          <w:u w:val="single"/>
          <w:lang w:val="en-CA"/>
        </w:rPr>
        <w:t xml:space="preserve">43. </w:t>
      </w:r>
      <w:r w:rsidR="007C70C8" w:rsidRPr="00A63E29">
        <w:rPr>
          <w:szCs w:val="20"/>
          <w:highlight w:val="yellow"/>
          <w:u w:val="single"/>
          <w:lang w:val="en-CA"/>
        </w:rPr>
        <w:t xml:space="preserve">Relevance to the NDRs.  </w:t>
      </w:r>
    </w:p>
    <w:p w14:paraId="7E2D2872" w14:textId="77777777" w:rsidR="007C70C8" w:rsidRPr="00A63E29" w:rsidRDefault="007C70C8" w:rsidP="00A63E29">
      <w:pPr>
        <w:tabs>
          <w:tab w:val="left" w:pos="284"/>
        </w:tabs>
        <w:spacing w:before="120" w:after="120"/>
        <w:rPr>
          <w:szCs w:val="20"/>
          <w:highlight w:val="yellow"/>
          <w:lang w:val="en-CA"/>
        </w:rPr>
      </w:pPr>
      <w:r w:rsidRPr="00A63E29">
        <w:rPr>
          <w:szCs w:val="20"/>
          <w:highlight w:val="yellow"/>
          <w:lang w:val="en-CA"/>
        </w:rPr>
        <w:t xml:space="preserve">The project will contribute to the operationalization of Axis 3 "consolidate the development of human capital and national solidarity" and Axis 4 "energize the sectors that are conducive to the economy and employment" of the PNDES 2 (2021-2025), through the strategic objectives: 3.4 "promote decent employment and social protection for all, particularly for young people and women", 4. 1 "to develop a productive and resilient agro-sylvo-pastoral, wildlife and fisheries sector that is more market-oriented" and 4.5 "to reverse the degradation of the environment and natural resources in order to promote climate resilience and reduce greenhouse gas emissions". </w:t>
      </w:r>
    </w:p>
    <w:p w14:paraId="2575A855" w14:textId="77777777" w:rsidR="007C70C8" w:rsidRPr="00A63E29" w:rsidRDefault="007C70C8" w:rsidP="00A63E29">
      <w:pPr>
        <w:tabs>
          <w:tab w:val="left" w:pos="284"/>
        </w:tabs>
        <w:spacing w:before="120" w:after="120"/>
        <w:rPr>
          <w:szCs w:val="20"/>
          <w:highlight w:val="yellow"/>
          <w:lang w:val="en-CA"/>
        </w:rPr>
      </w:pPr>
      <w:r w:rsidRPr="00A63E29">
        <w:rPr>
          <w:szCs w:val="20"/>
          <w:highlight w:val="yellow"/>
          <w:lang w:val="en-CA"/>
        </w:rPr>
        <w:t>The project will also contribute to the operationalization of the sectoral policy of agro-sylvo-pastoral production, through its strategic axis 3: "sustainable management of resources" and more specifically at the level of SO 3.1: "preserve and protect forest and wildlife resources in a sustainable manner".</w:t>
      </w:r>
    </w:p>
    <w:p w14:paraId="2DC795BA" w14:textId="77777777" w:rsidR="007C70C8" w:rsidRPr="001D3D46" w:rsidRDefault="007C70C8" w:rsidP="00A63E29">
      <w:pPr>
        <w:tabs>
          <w:tab w:val="left" w:pos="284"/>
        </w:tabs>
        <w:spacing w:before="120" w:after="120"/>
        <w:rPr>
          <w:szCs w:val="20"/>
          <w:lang w:val="en-CA"/>
        </w:rPr>
      </w:pPr>
      <w:r w:rsidRPr="00A63E29">
        <w:rPr>
          <w:szCs w:val="20"/>
          <w:highlight w:val="yellow"/>
          <w:lang w:val="en-CA"/>
        </w:rPr>
        <w:t>Finally, the project will contribute to the implementation of the National Strategy for the Environment (SNE; 2019-2023) through SO 1 of axis 1 of the said strategy, relating to the sustainable management of forest resources.</w:t>
      </w:r>
      <w:r w:rsidRPr="001D3D46">
        <w:rPr>
          <w:szCs w:val="20"/>
          <w:lang w:val="en-CA"/>
        </w:rPr>
        <w:t xml:space="preserve"> </w:t>
      </w:r>
    </w:p>
    <w:p w14:paraId="215E86C1" w14:textId="77777777" w:rsidR="00302BFE" w:rsidRDefault="00302BFE" w:rsidP="00302BFE">
      <w:pPr>
        <w:pStyle w:val="Paragraphedeliste"/>
        <w:tabs>
          <w:tab w:val="left" w:pos="720"/>
        </w:tabs>
        <w:autoSpaceDE w:val="0"/>
        <w:autoSpaceDN w:val="0"/>
        <w:adjustRightInd w:val="0"/>
        <w:ind w:left="0"/>
        <w:jc w:val="both"/>
        <w:rPr>
          <w:rFonts w:ascii="Calibri" w:eastAsia="Calibri" w:hAnsi="Calibri" w:cs="Calibri"/>
          <w:noProof/>
          <w:sz w:val="20"/>
          <w:szCs w:val="20"/>
          <w:lang w:val="en-CA" w:eastAsia="fr-CA"/>
        </w:rPr>
      </w:pPr>
    </w:p>
    <w:p w14:paraId="69B2ED92" w14:textId="7FA8AF1A" w:rsidR="00302BFE" w:rsidRPr="00A63E29" w:rsidRDefault="00C12980" w:rsidP="00302BFE">
      <w:pPr>
        <w:pStyle w:val="Paragraphedeliste"/>
        <w:tabs>
          <w:tab w:val="left" w:pos="284"/>
        </w:tabs>
        <w:spacing w:before="120" w:after="120"/>
        <w:ind w:left="0"/>
        <w:jc w:val="both"/>
        <w:rPr>
          <w:rFonts w:ascii="Calibri" w:eastAsia="Calibri" w:hAnsi="Calibri" w:cs="Calibri"/>
          <w:b/>
          <w:bCs/>
          <w:noProof/>
          <w:sz w:val="22"/>
          <w:szCs w:val="22"/>
          <w:lang w:val="en-CA" w:eastAsia="fr-CA"/>
        </w:rPr>
      </w:pPr>
      <w:r w:rsidRPr="00A63E29">
        <w:rPr>
          <w:rFonts w:ascii="Calibri" w:eastAsia="Calibri" w:hAnsi="Calibri" w:cs="Calibri"/>
          <w:b/>
          <w:bCs/>
          <w:noProof/>
          <w:sz w:val="22"/>
          <w:szCs w:val="22"/>
          <w:highlight w:val="yellow"/>
          <w:lang w:val="en-CA" w:eastAsia="fr-CA"/>
        </w:rPr>
        <w:t>Theory of project change</w:t>
      </w:r>
    </w:p>
    <w:p w14:paraId="08502B3E" w14:textId="77777777" w:rsidR="00C12980" w:rsidRDefault="00C12980" w:rsidP="00302BFE">
      <w:pPr>
        <w:pStyle w:val="Paragraphedeliste"/>
        <w:tabs>
          <w:tab w:val="left" w:pos="284"/>
        </w:tabs>
        <w:spacing w:before="120" w:after="120"/>
        <w:ind w:left="0"/>
        <w:jc w:val="both"/>
        <w:rPr>
          <w:rFonts w:ascii="Calibri" w:eastAsia="Calibri" w:hAnsi="Calibri" w:cs="Calibri"/>
          <w:noProof/>
          <w:sz w:val="20"/>
          <w:szCs w:val="20"/>
          <w:lang w:val="en-CA" w:eastAsia="fr-CA"/>
        </w:rPr>
      </w:pPr>
    </w:p>
    <w:p w14:paraId="42645AB4" w14:textId="1050D6E1" w:rsidR="00C12980" w:rsidRDefault="00C12980" w:rsidP="00302BFE">
      <w:pPr>
        <w:pStyle w:val="Paragraphedeliste"/>
        <w:tabs>
          <w:tab w:val="left" w:pos="284"/>
        </w:tabs>
        <w:spacing w:before="120" w:after="120"/>
        <w:ind w:left="0"/>
        <w:jc w:val="both"/>
        <w:rPr>
          <w:rFonts w:ascii="Calibri" w:eastAsia="Calibri" w:hAnsi="Calibri" w:cs="Calibri"/>
          <w:noProof/>
          <w:sz w:val="20"/>
          <w:szCs w:val="20"/>
          <w:lang w:val="en-CA" w:eastAsia="fr-CA"/>
        </w:rPr>
        <w:sectPr w:rsidR="00C12980" w:rsidSect="00243B15">
          <w:footerReference w:type="default" r:id="rId18"/>
          <w:footerReference w:type="first" r:id="rId19"/>
          <w:pgSz w:w="12240" w:h="15840" w:code="1"/>
          <w:pgMar w:top="720" w:right="720" w:bottom="720" w:left="720" w:header="720" w:footer="431" w:gutter="0"/>
          <w:cols w:space="708"/>
          <w:titlePg/>
          <w:docGrid w:linePitch="360"/>
        </w:sectPr>
      </w:pPr>
    </w:p>
    <w:p w14:paraId="1EF874E6" w14:textId="77777777" w:rsidR="00302BFE" w:rsidRDefault="00302BFE" w:rsidP="00302BFE">
      <w:pPr>
        <w:pStyle w:val="Paragraphedeliste"/>
        <w:tabs>
          <w:tab w:val="left" w:pos="720"/>
        </w:tabs>
        <w:autoSpaceDE w:val="0"/>
        <w:autoSpaceDN w:val="0"/>
        <w:adjustRightInd w:val="0"/>
        <w:ind w:left="0"/>
        <w:jc w:val="both"/>
        <w:rPr>
          <w:rFonts w:ascii="Calibri" w:hAnsi="Calibri" w:cs="Calibri"/>
          <w:sz w:val="20"/>
          <w:szCs w:val="20"/>
          <w:lang w:val="en-CA"/>
        </w:rPr>
      </w:pPr>
      <w:r>
        <w:rPr>
          <w:noProof/>
        </w:rPr>
        <w:lastRenderedPageBreak/>
        <mc:AlternateContent>
          <mc:Choice Requires="wps">
            <w:drawing>
              <wp:anchor distT="0" distB="0" distL="114300" distR="114300" simplePos="0" relativeHeight="251676672" behindDoc="0" locked="0" layoutInCell="1" allowOverlap="1" wp14:anchorId="125C070F" wp14:editId="6F877648">
                <wp:simplePos x="0" y="0"/>
                <wp:positionH relativeFrom="margin">
                  <wp:posOffset>-579120</wp:posOffset>
                </wp:positionH>
                <wp:positionV relativeFrom="paragraph">
                  <wp:posOffset>-368935</wp:posOffset>
                </wp:positionV>
                <wp:extent cx="636270" cy="571500"/>
                <wp:effectExtent l="0" t="0" r="11430" b="19050"/>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571500"/>
                        </a:xfrm>
                        <a:prstGeom prst="rect">
                          <a:avLst/>
                        </a:prstGeom>
                        <a:solidFill>
                          <a:sysClr val="window" lastClr="FFFFFF"/>
                        </a:solidFill>
                        <a:ln w="25400" cap="flat" cmpd="sng" algn="ctr">
                          <a:solidFill>
                            <a:srgbClr val="4BACC6"/>
                          </a:solidFill>
                          <a:prstDash val="solid"/>
                        </a:ln>
                        <a:effectLst/>
                      </wps:spPr>
                      <wps:txbx>
                        <w:txbxContent>
                          <w:p w14:paraId="152B069D" w14:textId="77777777" w:rsidR="00ED1ADA" w:rsidRDefault="00ED1ADA" w:rsidP="00302BFE">
                            <w:pPr>
                              <w:pStyle w:val="NormalWeb"/>
                              <w:spacing w:after="0"/>
                              <w:jc w:val="center"/>
                              <w:rPr>
                                <w:color w:val="C45911"/>
                                <w:sz w:val="16"/>
                                <w:szCs w:val="16"/>
                              </w:rPr>
                            </w:pPr>
                            <w:r>
                              <w:rPr>
                                <w:b/>
                                <w:bCs/>
                                <w:color w:val="000000"/>
                                <w:kern w:val="24"/>
                                <w:sz w:val="16"/>
                                <w:szCs w:val="16"/>
                              </w:rPr>
                              <w:t>Project Impacts</w:t>
                            </w:r>
                          </w:p>
                        </w:txbxContent>
                      </wps:txbx>
                      <wps:bodyPr wrap="square" lIns="121789" tIns="60894" rIns="121789" bIns="60894" spcCol="0" rtlCol="0" anchor="ctr">
                        <a:noAutofit/>
                      </wps:bodyPr>
                    </wps:wsp>
                  </a:graphicData>
                </a:graphic>
                <wp14:sizeRelH relativeFrom="page">
                  <wp14:pctWidth>0</wp14:pctWidth>
                </wp14:sizeRelH>
                <wp14:sizeRelV relativeFrom="page">
                  <wp14:pctHeight>0</wp14:pctHeight>
                </wp14:sizeRelV>
              </wp:anchor>
            </w:drawing>
          </mc:Choice>
          <mc:Fallback>
            <w:pict>
              <v:rect w14:anchorId="125C070F" id="Rectangle 182" o:spid="_x0000_s1026" style="position:absolute;left:0;text-align:left;margin-left:-45.6pt;margin-top:-29.05pt;width:50.1pt;height: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" fillcolor="window" strokecolor="#4bacc6" strokeweight="2pt">
                <v:path arrowok="t"/>
                <v:textbox inset="3.38303mm,1.6915mm,3.38303mm,1.6915mm">
                  <w:txbxContent>
                    <w:p w14:paraId="152B069D" w14:textId="77777777" w:rsidR="00ED1ADA" w:rsidRDefault="00ED1ADA" w:rsidP="00302BFE">
                      <w:pPr>
                        <w:pStyle w:val="NormalWeb"/>
                        <w:spacing w:after="0"/>
                        <w:jc w:val="center"/>
                        <w:rPr>
                          <w:color w:val="C45911"/>
                          <w:sz w:val="16"/>
                          <w:szCs w:val="16"/>
                        </w:rPr>
                      </w:pPr>
                      <w:r>
                        <w:rPr>
                          <w:b/>
                          <w:bCs/>
                          <w:color w:val="000000"/>
                          <w:kern w:val="24"/>
                          <w:sz w:val="16"/>
                          <w:szCs w:val="16"/>
                        </w:rPr>
                        <w:t>Project Impacts</w:t>
                      </w:r>
                    </w:p>
                  </w:txbxContent>
                </v:textbox>
                <w10:wrap anchorx="margin"/>
              </v:rect>
            </w:pict>
          </mc:Fallback>
        </mc:AlternateContent>
      </w:r>
    </w:p>
    <w:p w14:paraId="3CA9564D" w14:textId="77777777" w:rsidR="00302BFE" w:rsidRDefault="00302BFE" w:rsidP="00302BFE">
      <w:pPr>
        <w:rPr>
          <w:rFonts w:ascii="Times New Roman" w:hAnsi="Times New Roman"/>
          <w:i/>
          <w:color w:val="000000"/>
          <w:szCs w:val="20"/>
          <w:lang w:val="en-CA"/>
        </w:rPr>
      </w:pPr>
      <w:r>
        <w:rPr>
          <w:noProof/>
        </w:rPr>
        <mc:AlternateContent>
          <mc:Choice Requires="wps">
            <w:drawing>
              <wp:anchor distT="0" distB="0" distL="114300" distR="114300" simplePos="0" relativeHeight="251674624" behindDoc="0" locked="0" layoutInCell="1" allowOverlap="1" wp14:anchorId="3AD18BF6" wp14:editId="13F3341C">
                <wp:simplePos x="0" y="0"/>
                <wp:positionH relativeFrom="margin">
                  <wp:posOffset>-612775</wp:posOffset>
                </wp:positionH>
                <wp:positionV relativeFrom="paragraph">
                  <wp:posOffset>235585</wp:posOffset>
                </wp:positionV>
                <wp:extent cx="669925" cy="456565"/>
                <wp:effectExtent l="0" t="0" r="15875" b="19685"/>
                <wp:wrapNone/>
                <wp:docPr id="16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456565"/>
                        </a:xfrm>
                        <a:prstGeom prst="rect">
                          <a:avLst/>
                        </a:prstGeom>
                        <a:solidFill>
                          <a:sysClr val="window" lastClr="FFFFFF"/>
                        </a:solidFill>
                        <a:ln w="25400" cap="flat" cmpd="sng" algn="ctr">
                          <a:solidFill>
                            <a:srgbClr val="70AD47">
                              <a:lumMod val="75000"/>
                            </a:srgbClr>
                          </a:solidFill>
                          <a:prstDash val="solid"/>
                        </a:ln>
                        <a:effectLst/>
                      </wps:spPr>
                      <wps:txbx>
                        <w:txbxContent>
                          <w:p w14:paraId="33A84070" w14:textId="77777777" w:rsidR="00ED1ADA" w:rsidRDefault="00ED1ADA" w:rsidP="00302BFE">
                            <w:pPr>
                              <w:pStyle w:val="NormalWeb"/>
                              <w:ind w:left="-113" w:right="-113"/>
                              <w:jc w:val="center"/>
                              <w:rPr>
                                <w:sz w:val="16"/>
                                <w:szCs w:val="16"/>
                              </w:rPr>
                            </w:pPr>
                            <w:r>
                              <w:rPr>
                                <w:b/>
                                <w:bCs/>
                                <w:color w:val="000000"/>
                                <w:kern w:val="24"/>
                                <w:sz w:val="16"/>
                                <w:szCs w:val="16"/>
                              </w:rPr>
                              <w:t>Project Outcomes</w:t>
                            </w:r>
                          </w:p>
                        </w:txbxContent>
                      </wps:txbx>
                      <wps:bodyPr wrap="square" lIns="121789" tIns="60894" rIns="121789" bIns="60894" spcCol="0" rtlCol="0" anchor="ctr"/>
                    </wps:wsp>
                  </a:graphicData>
                </a:graphic>
                <wp14:sizeRelH relativeFrom="page">
                  <wp14:pctWidth>0</wp14:pctWidth>
                </wp14:sizeRelH>
                <wp14:sizeRelV relativeFrom="page">
                  <wp14:pctHeight>0</wp14:pctHeight>
                </wp14:sizeRelV>
              </wp:anchor>
            </w:drawing>
          </mc:Choice>
          <mc:Fallback>
            <w:pict>
              <v:rect w14:anchorId="3AD18BF6" id="Rectangle 166" o:spid="_x0000_s1027" style="position:absolute;left:0;text-align:left;margin-left:-48.25pt;margin-top:18.55pt;width:52.75pt;height:35.9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" fillcolor="window" strokecolor="#548235" strokeweight="2pt">
                <v:path arrowok="t"/>
                <v:textbox inset="3.38303mm,1.6915mm,3.38303mm,1.6915mm">
                  <w:txbxContent>
                    <w:p w14:paraId="33A84070" w14:textId="77777777" w:rsidR="00ED1ADA" w:rsidRDefault="00ED1ADA" w:rsidP="00302BFE">
                      <w:pPr>
                        <w:pStyle w:val="NormalWeb"/>
                        <w:ind w:left="-113" w:right="-113"/>
                        <w:jc w:val="center"/>
                        <w:rPr>
                          <w:sz w:val="16"/>
                          <w:szCs w:val="16"/>
                        </w:rPr>
                      </w:pPr>
                      <w:r>
                        <w:rPr>
                          <w:b/>
                          <w:bCs/>
                          <w:color w:val="000000"/>
                          <w:kern w:val="24"/>
                          <w:sz w:val="16"/>
                          <w:szCs w:val="16"/>
                        </w:rPr>
                        <w:t>Project Outcomes</w:t>
                      </w:r>
                    </w:p>
                  </w:txbxContent>
                </v:textbox>
                <w10:wrap anchorx="margin"/>
              </v:rect>
            </w:pict>
          </mc:Fallback>
        </mc:AlternateContent>
      </w:r>
      <w:r>
        <w:rPr>
          <w:noProof/>
        </w:rPr>
        <mc:AlternateContent>
          <mc:Choice Requires="wps">
            <w:drawing>
              <wp:anchor distT="0" distB="0" distL="114300" distR="114300" simplePos="0" relativeHeight="251666432" behindDoc="0" locked="0" layoutInCell="1" allowOverlap="1" wp14:anchorId="7422E48B" wp14:editId="79A6A88C">
                <wp:simplePos x="0" y="0"/>
                <wp:positionH relativeFrom="margin">
                  <wp:posOffset>4384675</wp:posOffset>
                </wp:positionH>
                <wp:positionV relativeFrom="paragraph">
                  <wp:posOffset>1139190</wp:posOffset>
                </wp:positionV>
                <wp:extent cx="207010" cy="8061325"/>
                <wp:effectExtent l="0" t="2858" r="18733" b="18732"/>
                <wp:wrapNone/>
                <wp:docPr id="145" name="Accolade ouvrant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07010" cy="8061325"/>
                        </a:xfrm>
                        <a:prstGeom prst="leftBrace">
                          <a:avLst>
                            <a:gd name="adj1" fmla="val 8333"/>
                            <a:gd name="adj2" fmla="val 50431"/>
                          </a:avLst>
                        </a:prstGeom>
                        <a:noFill/>
                        <a:ln w="9525" cap="flat" cmpd="sng" algn="ctr">
                          <a:solidFill>
                            <a:srgbClr val="4F81BD">
                              <a:shade val="95000"/>
                              <a:satMod val="105000"/>
                            </a:srgbClr>
                          </a:solidFill>
                          <a:prstDash val="solid"/>
                        </a:ln>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2B42461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145" o:spid="_x0000_s1026" type="#_x0000_t87" style="position:absolute;margin-left:345.25pt;margin-top:89.7pt;width:16.3pt;height:634.75pt;rotation:90;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" adj="46,10893" strokecolor="#4a7ebb">
                <w10:wrap anchorx="margin"/>
              </v:shape>
            </w:pict>
          </mc:Fallback>
        </mc:AlternateContent>
      </w:r>
      <w:r>
        <w:rPr>
          <w:noProof/>
        </w:rPr>
        <mc:AlternateContent>
          <mc:Choice Requires="wps">
            <w:drawing>
              <wp:anchor distT="0" distB="0" distL="114300" distR="114300" simplePos="0" relativeHeight="251668480" behindDoc="0" locked="0" layoutInCell="1" allowOverlap="1" wp14:anchorId="099CED09" wp14:editId="643E3494">
                <wp:simplePos x="0" y="0"/>
                <wp:positionH relativeFrom="margin">
                  <wp:posOffset>257810</wp:posOffset>
                </wp:positionH>
                <wp:positionV relativeFrom="paragraph">
                  <wp:posOffset>-532765</wp:posOffset>
                </wp:positionV>
                <wp:extent cx="902970" cy="701040"/>
                <wp:effectExtent l="0" t="0" r="11430" b="22860"/>
                <wp:wrapNone/>
                <wp:docPr id="172" name="Zone de texte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2970" cy="701040"/>
                        </a:xfrm>
                        <a:prstGeom prst="rect">
                          <a:avLst/>
                        </a:prstGeom>
                        <a:noFill/>
                        <a:ln w="12700">
                          <a:solidFill>
                            <a:srgbClr val="4BACC6"/>
                          </a:solidFill>
                        </a:ln>
                      </wps:spPr>
                      <wps:txbx>
                        <w:txbxContent>
                          <w:p w14:paraId="5D2F160C" w14:textId="77777777" w:rsidR="00ED1ADA" w:rsidRDefault="00ED1ADA" w:rsidP="00302BFE">
                            <w:pPr>
                              <w:pStyle w:val="NormalWeb"/>
                              <w:spacing w:after="0"/>
                              <w:ind w:left="-113" w:right="-113"/>
                              <w:jc w:val="center"/>
                              <w:rPr>
                                <w:sz w:val="14"/>
                                <w:szCs w:val="14"/>
                                <w:lang w:val="en-CA"/>
                              </w:rPr>
                            </w:pPr>
                            <w:r>
                              <w:rPr>
                                <w:sz w:val="14"/>
                                <w:szCs w:val="14"/>
                                <w:lang w:val="en-CA"/>
                              </w:rPr>
                              <w:t>Increased management effectiveness over 321,781 ha of existing terrestrial protected areas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99CED09" id="_x0000_t202" coordsize="21600,21600" o:spt="202" path="m,l,21600r21600,l21600,xe">
                <v:stroke joinstyle="miter"/>
                <v:path gradientshapeok="t" o:connecttype="rect"/>
              </v:shapetype>
              <v:shape id="Zone de texte 172" o:spid="_x0000_s1028" type="#_x0000_t202" style="position:absolute;left:0;text-align:left;margin-left:20.3pt;margin-top:-41.95pt;width:71.1pt;height:55.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" filled="f" strokecolor="#4bacc6" strokeweight="1pt">
                <v:path arrowok="t"/>
                <v:textbox>
                  <w:txbxContent>
                    <w:p w14:paraId="5D2F160C" w14:textId="77777777" w:rsidR="00ED1ADA" w:rsidRDefault="00ED1ADA" w:rsidP="00302BFE">
                      <w:pPr>
                        <w:pStyle w:val="NormalWeb"/>
                        <w:spacing w:after="0"/>
                        <w:ind w:left="-113" w:right="-113"/>
                        <w:jc w:val="center"/>
                        <w:rPr>
                          <w:sz w:val="14"/>
                          <w:szCs w:val="14"/>
                          <w:lang w:val="en-CA"/>
                        </w:rPr>
                      </w:pPr>
                      <w:r>
                        <w:rPr>
                          <w:sz w:val="14"/>
                          <w:szCs w:val="14"/>
                          <w:lang w:val="en-CA"/>
                        </w:rPr>
                        <w:t>Increased management effectiveness over 321,781 ha of existing terrestrial protected areas</w:t>
                      </w:r>
                    </w:p>
                  </w:txbxContent>
                </v:textbox>
                <w10:wrap anchorx="margin"/>
              </v:shape>
            </w:pict>
          </mc:Fallback>
        </mc:AlternateContent>
      </w:r>
      <w:r>
        <w:rPr>
          <w:noProof/>
        </w:rPr>
        <mc:AlternateContent>
          <mc:Choice Requires="wps">
            <w:drawing>
              <wp:anchor distT="0" distB="0" distL="114300" distR="114300" simplePos="0" relativeHeight="251669504" behindDoc="0" locked="0" layoutInCell="1" allowOverlap="1" wp14:anchorId="41740874" wp14:editId="1B751931">
                <wp:simplePos x="0" y="0"/>
                <wp:positionH relativeFrom="margin">
                  <wp:posOffset>4425315</wp:posOffset>
                </wp:positionH>
                <wp:positionV relativeFrom="paragraph">
                  <wp:posOffset>264795</wp:posOffset>
                </wp:positionV>
                <wp:extent cx="2458720" cy="541020"/>
                <wp:effectExtent l="0" t="0" r="17780" b="11430"/>
                <wp:wrapNone/>
                <wp:docPr id="174" name="Zone de texte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8085" cy="541020"/>
                        </a:xfrm>
                        <a:prstGeom prst="rect">
                          <a:avLst/>
                        </a:prstGeom>
                        <a:noFill/>
                        <a:ln w="19050">
                          <a:solidFill>
                            <a:srgbClr val="70AD47">
                              <a:lumMod val="75000"/>
                            </a:srgbClr>
                          </a:solidFill>
                        </a:ln>
                      </wps:spPr>
                      <wps:txbx>
                        <w:txbxContent>
                          <w:p w14:paraId="75017605" w14:textId="77777777" w:rsidR="00ED1ADA" w:rsidRDefault="00ED1ADA" w:rsidP="00302BFE">
                            <w:pPr>
                              <w:pStyle w:val="NormalWeb"/>
                              <w:spacing w:before="0" w:beforeAutospacing="0" w:after="0" w:afterAutospacing="0"/>
                              <w:jc w:val="center"/>
                              <w:rPr>
                                <w:sz w:val="14"/>
                                <w:szCs w:val="14"/>
                                <w:lang w:val="en-CA"/>
                              </w:rPr>
                            </w:pPr>
                            <w:r>
                              <w:rPr>
                                <w:sz w:val="14"/>
                                <w:szCs w:val="14"/>
                                <w:lang w:val="en-CA"/>
                              </w:rPr>
                              <w:t>Adoption of effective agro-silvo-pastoral integrated management practices by local communities within the PONASI landscape</w:t>
                            </w:r>
                          </w:p>
                          <w:p w14:paraId="5419A702" w14:textId="77777777" w:rsidR="00ED1ADA" w:rsidRDefault="00ED1ADA" w:rsidP="00302BFE">
                            <w:pPr>
                              <w:pStyle w:val="NormalWeb"/>
                              <w:spacing w:before="0" w:beforeAutospacing="0" w:after="0" w:afterAutospacing="0"/>
                              <w:jc w:val="center"/>
                              <w:rPr>
                                <w:sz w:val="14"/>
                                <w:szCs w:val="14"/>
                                <w:lang w:val="en-CA"/>
                              </w:rPr>
                            </w:pPr>
                            <w:r>
                              <w:rPr>
                                <w:sz w:val="14"/>
                                <w:szCs w:val="14"/>
                                <w:lang w:val="en-CA"/>
                              </w:rPr>
                              <w:t>Diversified livelihoods of local communities through the development of PA-related tourism and forest products-based value chains</w:t>
                            </w:r>
                          </w:p>
                        </w:txbxContent>
                      </wps:txbx>
                      <wps:bodyPr wrap="square" lIns="2"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41740874" id="Zone de texte 174" o:spid="_x0000_s1029" type="#_x0000_t202" style="position:absolute;left:0;text-align:left;margin-left:348.45pt;margin-top:20.85pt;width:193.6pt;height:42.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" filled="f" strokecolor="#548235" strokeweight="1.5pt">
                <v:path arrowok="t"/>
                <v:textbox inset="6e-5mm,0,0,0">
                  <w:txbxContent>
                    <w:p w14:paraId="75017605" w14:textId="77777777" w:rsidR="00ED1ADA" w:rsidRDefault="00ED1ADA" w:rsidP="00302BFE">
                      <w:pPr>
                        <w:pStyle w:val="NormalWeb"/>
                        <w:spacing w:before="0" w:beforeAutospacing="0" w:after="0" w:afterAutospacing="0"/>
                        <w:jc w:val="center"/>
                        <w:rPr>
                          <w:sz w:val="14"/>
                          <w:szCs w:val="14"/>
                          <w:lang w:val="en-CA"/>
                        </w:rPr>
                      </w:pPr>
                      <w:r>
                        <w:rPr>
                          <w:sz w:val="14"/>
                          <w:szCs w:val="14"/>
                          <w:lang w:val="en-CA"/>
                        </w:rPr>
                        <w:t>Adoption of effective agro-silvo-pastoral integrated management practices by local communities within the PONASI landscape</w:t>
                      </w:r>
                    </w:p>
                    <w:p w14:paraId="5419A702" w14:textId="77777777" w:rsidR="00ED1ADA" w:rsidRDefault="00ED1ADA" w:rsidP="00302BFE">
                      <w:pPr>
                        <w:pStyle w:val="NormalWeb"/>
                        <w:spacing w:before="0" w:beforeAutospacing="0" w:after="0" w:afterAutospacing="0"/>
                        <w:jc w:val="center"/>
                        <w:rPr>
                          <w:sz w:val="14"/>
                          <w:szCs w:val="14"/>
                          <w:lang w:val="en-CA"/>
                        </w:rPr>
                      </w:pPr>
                      <w:r>
                        <w:rPr>
                          <w:sz w:val="14"/>
                          <w:szCs w:val="14"/>
                          <w:lang w:val="en-CA"/>
                        </w:rPr>
                        <w:t>Diversified livelihoods of local communities through the development of PA-related tourism and forest products-based value chains</w:t>
                      </w:r>
                    </w:p>
                  </w:txbxContent>
                </v:textbox>
                <w10:wrap anchorx="margin"/>
              </v:shape>
            </w:pict>
          </mc:Fallback>
        </mc:AlternateContent>
      </w:r>
      <w:r>
        <w:rPr>
          <w:noProof/>
        </w:rPr>
        <mc:AlternateContent>
          <mc:Choice Requires="wps">
            <w:drawing>
              <wp:anchor distT="0" distB="0" distL="114300" distR="114300" simplePos="0" relativeHeight="251680768" behindDoc="0" locked="0" layoutInCell="1" allowOverlap="1" wp14:anchorId="7654387A" wp14:editId="18078BB2">
                <wp:simplePos x="0" y="0"/>
                <wp:positionH relativeFrom="margin">
                  <wp:posOffset>1239520</wp:posOffset>
                </wp:positionH>
                <wp:positionV relativeFrom="paragraph">
                  <wp:posOffset>-544195</wp:posOffset>
                </wp:positionV>
                <wp:extent cx="824230" cy="728980"/>
                <wp:effectExtent l="0" t="0" r="13970" b="13970"/>
                <wp:wrapNone/>
                <wp:docPr id="127" name="Zone de texte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230" cy="728980"/>
                        </a:xfrm>
                        <a:prstGeom prst="rect">
                          <a:avLst/>
                        </a:prstGeom>
                        <a:noFill/>
                        <a:ln w="12700">
                          <a:solidFill>
                            <a:srgbClr val="4BACC6"/>
                          </a:solidFill>
                        </a:ln>
                      </wps:spPr>
                      <wps:txbx>
                        <w:txbxContent>
                          <w:p w14:paraId="775AD28C" w14:textId="77777777" w:rsidR="00ED1ADA" w:rsidRDefault="00ED1ADA" w:rsidP="00302BFE">
                            <w:pPr>
                              <w:pStyle w:val="NormalWeb"/>
                              <w:spacing w:after="0"/>
                              <w:ind w:left="-113" w:right="-113"/>
                              <w:jc w:val="center"/>
                              <w:rPr>
                                <w:sz w:val="14"/>
                                <w:szCs w:val="14"/>
                                <w:lang w:val="en-CA"/>
                              </w:rPr>
                            </w:pPr>
                            <w:r w:rsidRPr="006E490C">
                              <w:rPr>
                                <w:sz w:val="14"/>
                                <w:szCs w:val="14"/>
                                <w:lang w:val="en-CA"/>
                              </w:rPr>
                              <w:t>Protected areas estate increased by 33,000 ha to secure a corridor for elephant movements</w:t>
                            </w:r>
                            <w:r>
                              <w:rPr>
                                <w:sz w:val="14"/>
                                <w:szCs w:val="14"/>
                                <w:lang w:val="en-CA"/>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654387A" id="Zone de texte 127" o:spid="_x0000_s1030" type="#_x0000_t202" style="position:absolute;left:0;text-align:left;margin-left:97.6pt;margin-top:-42.85pt;width:64.9pt;height:57.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" filled="f" strokecolor="#4bacc6" strokeweight="1pt">
                <v:path arrowok="t"/>
                <v:textbox>
                  <w:txbxContent>
                    <w:p w14:paraId="775AD28C" w14:textId="77777777" w:rsidR="00ED1ADA" w:rsidRDefault="00ED1ADA" w:rsidP="00302BFE">
                      <w:pPr>
                        <w:pStyle w:val="NormalWeb"/>
                        <w:spacing w:after="0"/>
                        <w:ind w:left="-113" w:right="-113"/>
                        <w:jc w:val="center"/>
                        <w:rPr>
                          <w:sz w:val="14"/>
                          <w:szCs w:val="14"/>
                          <w:lang w:val="en-CA"/>
                        </w:rPr>
                      </w:pPr>
                      <w:r w:rsidRPr="006E490C">
                        <w:rPr>
                          <w:sz w:val="14"/>
                          <w:szCs w:val="14"/>
                          <w:lang w:val="en-CA"/>
                        </w:rPr>
                        <w:t>Protected areas estate increased by 33,000 ha to secure a corridor for elephant movements</w:t>
                      </w:r>
                      <w:r>
                        <w:rPr>
                          <w:sz w:val="14"/>
                          <w:szCs w:val="14"/>
                          <w:lang w:val="en-CA"/>
                        </w:rPr>
                        <w:t xml:space="preserve"> </w:t>
                      </w:r>
                    </w:p>
                  </w:txbxContent>
                </v:textbox>
                <w10:wrap anchorx="margin"/>
              </v:shape>
            </w:pict>
          </mc:Fallback>
        </mc:AlternateContent>
      </w:r>
      <w:r>
        <w:rPr>
          <w:noProof/>
        </w:rPr>
        <mc:AlternateContent>
          <mc:Choice Requires="wps">
            <w:drawing>
              <wp:anchor distT="0" distB="0" distL="114300" distR="114300" simplePos="0" relativeHeight="251682816" behindDoc="0" locked="0" layoutInCell="1" allowOverlap="1" wp14:anchorId="7486EA60" wp14:editId="76DA6659">
                <wp:simplePos x="0" y="0"/>
                <wp:positionH relativeFrom="margin">
                  <wp:posOffset>2148840</wp:posOffset>
                </wp:positionH>
                <wp:positionV relativeFrom="paragraph">
                  <wp:posOffset>-516255</wp:posOffset>
                </wp:positionV>
                <wp:extent cx="790575" cy="700405"/>
                <wp:effectExtent l="0" t="0" r="28575" b="23495"/>
                <wp:wrapNone/>
                <wp:docPr id="126" name="Zone de texte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9940" cy="700405"/>
                        </a:xfrm>
                        <a:prstGeom prst="rect">
                          <a:avLst/>
                        </a:prstGeom>
                        <a:noFill/>
                        <a:ln w="12700">
                          <a:solidFill>
                            <a:srgbClr val="4BACC6"/>
                          </a:solidFill>
                        </a:ln>
                      </wps:spPr>
                      <wps:txbx>
                        <w:txbxContent>
                          <w:p w14:paraId="71A95813" w14:textId="77777777" w:rsidR="00ED1ADA" w:rsidRDefault="00ED1ADA" w:rsidP="00302BFE">
                            <w:pPr>
                              <w:pStyle w:val="NormalWeb"/>
                              <w:ind w:left="-90" w:right="-72"/>
                              <w:jc w:val="center"/>
                              <w:rPr>
                                <w:sz w:val="14"/>
                                <w:szCs w:val="14"/>
                                <w:lang w:val="en-CA"/>
                              </w:rPr>
                            </w:pPr>
                            <w:r w:rsidRPr="006E490C">
                              <w:rPr>
                                <w:sz w:val="14"/>
                                <w:szCs w:val="14"/>
                                <w:lang w:val="en-CA"/>
                              </w:rPr>
                              <w:t>Stabilization of a population of about 600 elephants using the PONASI landscape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486EA60" id="Zone de texte 126" o:spid="_x0000_s1031" type="#_x0000_t202" style="position:absolute;left:0;text-align:left;margin-left:169.2pt;margin-top:-40.65pt;width:62.25pt;height:55.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" filled="f" strokecolor="#4bacc6" strokeweight="1pt">
                <v:path arrowok="t"/>
                <v:textbox>
                  <w:txbxContent>
                    <w:p w14:paraId="71A95813" w14:textId="77777777" w:rsidR="00ED1ADA" w:rsidRDefault="00ED1ADA" w:rsidP="00302BFE">
                      <w:pPr>
                        <w:pStyle w:val="NormalWeb"/>
                        <w:ind w:left="-90" w:right="-72"/>
                        <w:jc w:val="center"/>
                        <w:rPr>
                          <w:sz w:val="14"/>
                          <w:szCs w:val="14"/>
                          <w:lang w:val="en-CA"/>
                        </w:rPr>
                      </w:pPr>
                      <w:r w:rsidRPr="006E490C">
                        <w:rPr>
                          <w:sz w:val="14"/>
                          <w:szCs w:val="14"/>
                          <w:lang w:val="en-CA"/>
                        </w:rPr>
                        <w:t>Stabilization of a population of about 600 elephants using the PONASI landscape</w:t>
                      </w:r>
                    </w:p>
                  </w:txbxContent>
                </v:textbox>
                <w10:wrap anchorx="margin"/>
              </v:shape>
            </w:pict>
          </mc:Fallback>
        </mc:AlternateContent>
      </w:r>
      <w:r>
        <w:rPr>
          <w:noProof/>
        </w:rPr>
        <mc:AlternateContent>
          <mc:Choice Requires="wps">
            <w:drawing>
              <wp:anchor distT="0" distB="0" distL="114300" distR="114300" simplePos="0" relativeHeight="251683840" behindDoc="0" locked="0" layoutInCell="1" allowOverlap="1" wp14:anchorId="33955FBD" wp14:editId="0486B5CC">
                <wp:simplePos x="0" y="0"/>
                <wp:positionH relativeFrom="margin">
                  <wp:posOffset>4089400</wp:posOffset>
                </wp:positionH>
                <wp:positionV relativeFrom="paragraph">
                  <wp:posOffset>-516255</wp:posOffset>
                </wp:positionV>
                <wp:extent cx="1519555" cy="671195"/>
                <wp:effectExtent l="0" t="0" r="23495" b="14605"/>
                <wp:wrapNone/>
                <wp:docPr id="125" name="Zone de text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8920" cy="671195"/>
                        </a:xfrm>
                        <a:prstGeom prst="rect">
                          <a:avLst/>
                        </a:prstGeom>
                        <a:noFill/>
                        <a:ln w="12700">
                          <a:solidFill>
                            <a:srgbClr val="4BACC6"/>
                          </a:solidFill>
                        </a:ln>
                      </wps:spPr>
                      <wps:txbx>
                        <w:txbxContent>
                          <w:p w14:paraId="3652C66B" w14:textId="77777777" w:rsidR="00ED1ADA" w:rsidRDefault="00ED1ADA" w:rsidP="00302BFE">
                            <w:pPr>
                              <w:pStyle w:val="NormalWeb"/>
                              <w:spacing w:before="0" w:beforeAutospacing="0" w:after="0" w:afterAutospacing="0"/>
                              <w:ind w:left="-170" w:right="-170"/>
                              <w:jc w:val="center"/>
                              <w:rPr>
                                <w:sz w:val="14"/>
                                <w:szCs w:val="14"/>
                                <w:lang w:val="en-CA"/>
                              </w:rPr>
                            </w:pPr>
                            <w:r w:rsidRPr="006E490C">
                              <w:rPr>
                                <w:sz w:val="14"/>
                                <w:szCs w:val="14"/>
                                <w:lang w:val="en-CA"/>
                              </w:rPr>
                              <w:t>28,365 people, 60% of whom are women, benefit from improved agricultural, pastoral and forestry activities and 1,500 people, 50% of whom are women, benefit from paid work for PA management</w:t>
                            </w:r>
                          </w:p>
                          <w:p w14:paraId="2092C672" w14:textId="77777777" w:rsidR="00ED1ADA" w:rsidRDefault="00ED1ADA" w:rsidP="00302BFE">
                            <w:pPr>
                              <w:pStyle w:val="NormalWeb"/>
                              <w:spacing w:after="0"/>
                              <w:ind w:left="-113" w:right="-113"/>
                              <w:jc w:val="center"/>
                              <w:rPr>
                                <w:sz w:val="14"/>
                                <w:szCs w:val="14"/>
                                <w:lang w:val="en-CA"/>
                              </w:rPr>
                            </w:pPr>
                          </w:p>
                          <w:p w14:paraId="39D3D982" w14:textId="77777777" w:rsidR="00ED1ADA" w:rsidRDefault="00ED1ADA" w:rsidP="00302BFE">
                            <w:pPr>
                              <w:pStyle w:val="NormalWeb"/>
                              <w:spacing w:after="0"/>
                              <w:ind w:left="-113" w:right="-113"/>
                              <w:jc w:val="center"/>
                              <w:rPr>
                                <w:sz w:val="14"/>
                                <w:szCs w:val="14"/>
                                <w:lang w:val="en-CA"/>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3955FBD" id="Zone de texte 125" o:spid="_x0000_s1032" type="#_x0000_t202" style="position:absolute;left:0;text-align:left;margin-left:322pt;margin-top:-40.65pt;width:119.65pt;height:52.8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" filled="f" strokecolor="#4bacc6" strokeweight="1pt">
                <v:path arrowok="t"/>
                <v:textbox>
                  <w:txbxContent>
                    <w:p w14:paraId="3652C66B" w14:textId="77777777" w:rsidR="00ED1ADA" w:rsidRDefault="00ED1ADA" w:rsidP="00302BFE">
                      <w:pPr>
                        <w:pStyle w:val="NormalWeb"/>
                        <w:spacing w:before="0" w:beforeAutospacing="0" w:after="0" w:afterAutospacing="0"/>
                        <w:ind w:left="-170" w:right="-170"/>
                        <w:jc w:val="center"/>
                        <w:rPr>
                          <w:sz w:val="14"/>
                          <w:szCs w:val="14"/>
                          <w:lang w:val="en-CA"/>
                        </w:rPr>
                      </w:pPr>
                      <w:r w:rsidRPr="006E490C">
                        <w:rPr>
                          <w:sz w:val="14"/>
                          <w:szCs w:val="14"/>
                          <w:lang w:val="en-CA"/>
                        </w:rPr>
                        <w:t>28,365 people, 60% of whom are women, benefit from improved agricultural, pastoral and forestry activities and 1,500 people, 50% of whom are women, benefit from paid work for PA management</w:t>
                      </w:r>
                    </w:p>
                    <w:p w14:paraId="2092C672" w14:textId="77777777" w:rsidR="00ED1ADA" w:rsidRDefault="00ED1ADA" w:rsidP="00302BFE">
                      <w:pPr>
                        <w:pStyle w:val="NormalWeb"/>
                        <w:spacing w:after="0"/>
                        <w:ind w:left="-113" w:right="-113"/>
                        <w:jc w:val="center"/>
                        <w:rPr>
                          <w:sz w:val="14"/>
                          <w:szCs w:val="14"/>
                          <w:lang w:val="en-CA"/>
                        </w:rPr>
                      </w:pPr>
                    </w:p>
                    <w:p w14:paraId="39D3D982" w14:textId="77777777" w:rsidR="00ED1ADA" w:rsidRDefault="00ED1ADA" w:rsidP="00302BFE">
                      <w:pPr>
                        <w:pStyle w:val="NormalWeb"/>
                        <w:spacing w:after="0"/>
                        <w:ind w:left="-113" w:right="-113"/>
                        <w:jc w:val="center"/>
                        <w:rPr>
                          <w:sz w:val="14"/>
                          <w:szCs w:val="14"/>
                          <w:lang w:val="en-CA"/>
                        </w:rPr>
                      </w:pP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3EF9084F" wp14:editId="72C09730">
                <wp:simplePos x="0" y="0"/>
                <wp:positionH relativeFrom="margin">
                  <wp:posOffset>6990080</wp:posOffset>
                </wp:positionH>
                <wp:positionV relativeFrom="paragraph">
                  <wp:posOffset>-499110</wp:posOffset>
                </wp:positionV>
                <wp:extent cx="1696085" cy="700405"/>
                <wp:effectExtent l="0" t="0" r="18415" b="23495"/>
                <wp:wrapNone/>
                <wp:docPr id="124" name="Zone de texte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085" cy="700405"/>
                        </a:xfrm>
                        <a:prstGeom prst="rect">
                          <a:avLst/>
                        </a:prstGeom>
                        <a:noFill/>
                        <a:ln w="12700">
                          <a:solidFill>
                            <a:srgbClr val="4BACC6"/>
                          </a:solidFill>
                        </a:ln>
                      </wps:spPr>
                      <wps:txbx>
                        <w:txbxContent>
                          <w:p w14:paraId="7644935F" w14:textId="77777777" w:rsidR="00ED1ADA" w:rsidRDefault="00ED1ADA" w:rsidP="00302BFE">
                            <w:pPr>
                              <w:pStyle w:val="NormalWeb"/>
                              <w:spacing w:after="0"/>
                              <w:ind w:left="-113" w:right="-113"/>
                              <w:jc w:val="center"/>
                              <w:rPr>
                                <w:sz w:val="14"/>
                                <w:szCs w:val="14"/>
                                <w:lang w:val="en-CA"/>
                              </w:rPr>
                            </w:pPr>
                            <w:r w:rsidRPr="006E490C">
                              <w:rPr>
                                <w:sz w:val="14"/>
                                <w:szCs w:val="14"/>
                                <w:lang w:val="en-CA"/>
                              </w:rPr>
                              <w:t>129,478 ha of area devoted to improved agro-silvo-pastoral and climate-resilient agriculture practices and 11,000 ha of restored agroforestry ecosystems, thus preserving biodiversity and important ecosystem services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EF9084F" id="Zone de texte 124" o:spid="_x0000_s1033" type="#_x0000_t202" style="position:absolute;left:0;text-align:left;margin-left:550.4pt;margin-top:-39.3pt;width:133.55pt;height:55.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" filled="f" strokecolor="#4bacc6" strokeweight="1pt">
                <v:path arrowok="t"/>
                <v:textbox>
                  <w:txbxContent>
                    <w:p w14:paraId="7644935F" w14:textId="77777777" w:rsidR="00ED1ADA" w:rsidRDefault="00ED1ADA" w:rsidP="00302BFE">
                      <w:pPr>
                        <w:pStyle w:val="NormalWeb"/>
                        <w:spacing w:after="0"/>
                        <w:ind w:left="-113" w:right="-113"/>
                        <w:jc w:val="center"/>
                        <w:rPr>
                          <w:sz w:val="14"/>
                          <w:szCs w:val="14"/>
                          <w:lang w:val="en-CA"/>
                        </w:rPr>
                      </w:pPr>
                      <w:r w:rsidRPr="006E490C">
                        <w:rPr>
                          <w:sz w:val="14"/>
                          <w:szCs w:val="14"/>
                          <w:lang w:val="en-CA"/>
                        </w:rPr>
                        <w:t>129,478 ha of area devoted to improved agro-silvo-pastoral and climate-resilient agriculture practices and 11,000 ha of restored agroforestry ecosystems, thus preserving biodiversity and important ecosystem services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6174FA21" wp14:editId="5FACC131">
                <wp:simplePos x="0" y="0"/>
                <wp:positionH relativeFrom="margin">
                  <wp:posOffset>2590165</wp:posOffset>
                </wp:positionH>
                <wp:positionV relativeFrom="paragraph">
                  <wp:posOffset>280670</wp:posOffset>
                </wp:positionV>
                <wp:extent cx="1770380" cy="424815"/>
                <wp:effectExtent l="0" t="0" r="20320" b="13335"/>
                <wp:wrapNone/>
                <wp:docPr id="123" name="Zone de text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0380" cy="424815"/>
                        </a:xfrm>
                        <a:prstGeom prst="rect">
                          <a:avLst/>
                        </a:prstGeom>
                        <a:noFill/>
                        <a:ln w="19050">
                          <a:solidFill>
                            <a:srgbClr val="70AD47">
                              <a:lumMod val="75000"/>
                            </a:srgbClr>
                          </a:solidFill>
                        </a:ln>
                      </wps:spPr>
                      <wps:txbx>
                        <w:txbxContent>
                          <w:p w14:paraId="29870777" w14:textId="77777777" w:rsidR="00ED1ADA" w:rsidRDefault="00ED1ADA" w:rsidP="00302BFE">
                            <w:pPr>
                              <w:pStyle w:val="NormalWeb"/>
                              <w:spacing w:before="0" w:beforeAutospacing="0" w:after="0" w:afterAutospacing="0"/>
                              <w:jc w:val="center"/>
                              <w:rPr>
                                <w:sz w:val="14"/>
                                <w:szCs w:val="14"/>
                                <w:lang w:val="en-CA"/>
                              </w:rPr>
                            </w:pPr>
                            <w:r>
                              <w:rPr>
                                <w:sz w:val="14"/>
                                <w:szCs w:val="14"/>
                                <w:lang w:val="en-CA"/>
                              </w:rPr>
                              <w:t>Increased capacity of PA management agencies</w:t>
                            </w:r>
                          </w:p>
                          <w:p w14:paraId="3C36349A" w14:textId="77777777" w:rsidR="00ED1ADA" w:rsidRDefault="00ED1ADA" w:rsidP="00302BFE">
                            <w:pPr>
                              <w:pStyle w:val="NormalWeb"/>
                              <w:spacing w:before="0" w:beforeAutospacing="0" w:after="0" w:afterAutospacing="0"/>
                              <w:jc w:val="center"/>
                              <w:rPr>
                                <w:sz w:val="14"/>
                                <w:szCs w:val="14"/>
                                <w:lang w:val="en-CA"/>
                              </w:rPr>
                            </w:pPr>
                            <w:r>
                              <w:rPr>
                                <w:sz w:val="14"/>
                                <w:szCs w:val="14"/>
                                <w:lang w:val="en-CA"/>
                              </w:rPr>
                              <w:t>Establishment and effective management of new and existing PAs</w:t>
                            </w:r>
                          </w:p>
                        </w:txbxContent>
                      </wps:txbx>
                      <wps:bodyPr wrap="square" t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6174FA21" id="Zone de texte 123" o:spid="_x0000_s1034" type="#_x0000_t202" style="position:absolute;left:0;text-align:left;margin-left:203.95pt;margin-top:22.1pt;width:139.4pt;height:33.4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" filled="f" strokecolor="#548235" strokeweight="1.5pt">
                <v:path arrowok="t"/>
                <v:textbox inset=",0,,0">
                  <w:txbxContent>
                    <w:p w14:paraId="29870777" w14:textId="77777777" w:rsidR="00ED1ADA" w:rsidRDefault="00ED1ADA" w:rsidP="00302BFE">
                      <w:pPr>
                        <w:pStyle w:val="NormalWeb"/>
                        <w:spacing w:before="0" w:beforeAutospacing="0" w:after="0" w:afterAutospacing="0"/>
                        <w:jc w:val="center"/>
                        <w:rPr>
                          <w:sz w:val="14"/>
                          <w:szCs w:val="14"/>
                          <w:lang w:val="en-CA"/>
                        </w:rPr>
                      </w:pPr>
                      <w:r>
                        <w:rPr>
                          <w:sz w:val="14"/>
                          <w:szCs w:val="14"/>
                          <w:lang w:val="en-CA"/>
                        </w:rPr>
                        <w:t>Increased capacity of PA management agencies</w:t>
                      </w:r>
                    </w:p>
                    <w:p w14:paraId="3C36349A" w14:textId="77777777" w:rsidR="00ED1ADA" w:rsidRDefault="00ED1ADA" w:rsidP="00302BFE">
                      <w:pPr>
                        <w:pStyle w:val="NormalWeb"/>
                        <w:spacing w:before="0" w:beforeAutospacing="0" w:after="0" w:afterAutospacing="0"/>
                        <w:jc w:val="center"/>
                        <w:rPr>
                          <w:sz w:val="14"/>
                          <w:szCs w:val="14"/>
                          <w:lang w:val="en-CA"/>
                        </w:rPr>
                      </w:pPr>
                      <w:r>
                        <w:rPr>
                          <w:sz w:val="14"/>
                          <w:szCs w:val="14"/>
                          <w:lang w:val="en-CA"/>
                        </w:rPr>
                        <w:t>Establishment and effective management of new and existing PAs</w:t>
                      </w:r>
                    </w:p>
                  </w:txbxContent>
                </v:textbox>
                <w10:wrap anchorx="margin"/>
              </v:shape>
            </w:pict>
          </mc:Fallback>
        </mc:AlternateContent>
      </w:r>
      <w:r>
        <w:rPr>
          <w:noProof/>
        </w:rPr>
        <mc:AlternateContent>
          <mc:Choice Requires="wps">
            <w:drawing>
              <wp:anchor distT="0" distB="0" distL="114300" distR="114300" simplePos="0" relativeHeight="251692032" behindDoc="0" locked="0" layoutInCell="1" allowOverlap="1" wp14:anchorId="017C62A6" wp14:editId="1BE138B9">
                <wp:simplePos x="0" y="0"/>
                <wp:positionH relativeFrom="column">
                  <wp:posOffset>258445</wp:posOffset>
                </wp:positionH>
                <wp:positionV relativeFrom="paragraph">
                  <wp:posOffset>264160</wp:posOffset>
                </wp:positionV>
                <wp:extent cx="2216785" cy="440690"/>
                <wp:effectExtent l="0" t="0" r="12065" b="16510"/>
                <wp:wrapNone/>
                <wp:docPr id="171" name="Zone de texte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6785" cy="440690"/>
                        </a:xfrm>
                        <a:prstGeom prst="rect">
                          <a:avLst/>
                        </a:prstGeom>
                        <a:noFill/>
                        <a:ln w="19050">
                          <a:solidFill>
                            <a:srgbClr val="70AD47">
                              <a:lumMod val="75000"/>
                            </a:srgbClr>
                          </a:solidFill>
                        </a:ln>
                      </wps:spPr>
                      <wps:txbx>
                        <w:txbxContent>
                          <w:p w14:paraId="60A13CFD" w14:textId="77777777" w:rsidR="00ED1ADA" w:rsidRDefault="00ED1ADA" w:rsidP="00302BFE">
                            <w:pPr>
                              <w:pStyle w:val="NormalWeb"/>
                              <w:spacing w:before="0" w:beforeAutospacing="0" w:after="0" w:afterAutospacing="0"/>
                              <w:jc w:val="center"/>
                              <w:rPr>
                                <w:sz w:val="14"/>
                                <w:szCs w:val="14"/>
                                <w:lang w:val="en-CA"/>
                              </w:rPr>
                            </w:pPr>
                            <w:r>
                              <w:rPr>
                                <w:sz w:val="14"/>
                                <w:szCs w:val="14"/>
                                <w:lang w:val="en-CA"/>
                              </w:rPr>
                              <w:t>Harmonized framework developed collaboratively for the integrated management of the PONASI landscape covering 952,000 ha to optimize the environmental and socio-economic benefits</w:t>
                            </w:r>
                          </w:p>
                        </w:txbxContent>
                      </wps:txbx>
                      <wps:bodyPr wrap="square" t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017C62A6" id="Zone de texte 171" o:spid="_x0000_s1035" type="#_x0000_t202" style="position:absolute;left:0;text-align:left;margin-left:20.35pt;margin-top:20.8pt;width:174.55pt;height:34.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" filled="f" strokecolor="#548235" strokeweight="1.5pt">
                <v:path arrowok="t"/>
                <v:textbox inset=",0,,0">
                  <w:txbxContent>
                    <w:p w14:paraId="60A13CFD" w14:textId="77777777" w:rsidR="00ED1ADA" w:rsidRDefault="00ED1ADA" w:rsidP="00302BFE">
                      <w:pPr>
                        <w:pStyle w:val="NormalWeb"/>
                        <w:spacing w:before="0" w:beforeAutospacing="0" w:after="0" w:afterAutospacing="0"/>
                        <w:jc w:val="center"/>
                        <w:rPr>
                          <w:sz w:val="14"/>
                          <w:szCs w:val="14"/>
                          <w:lang w:val="en-CA"/>
                        </w:rPr>
                      </w:pPr>
                      <w:r>
                        <w:rPr>
                          <w:sz w:val="14"/>
                          <w:szCs w:val="14"/>
                          <w:lang w:val="en-CA"/>
                        </w:rPr>
                        <w:t>Harmonized framework developed collaboratively for the integrated management of the PONASI landscape covering 952,000 ha to optimize the environmental and socio-economic benefits</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2A49D073" wp14:editId="6CCE9671">
                <wp:simplePos x="0" y="0"/>
                <wp:positionH relativeFrom="column">
                  <wp:posOffset>254000</wp:posOffset>
                </wp:positionH>
                <wp:positionV relativeFrom="paragraph">
                  <wp:posOffset>877570</wp:posOffset>
                </wp:positionV>
                <wp:extent cx="2341245" cy="882650"/>
                <wp:effectExtent l="0" t="0" r="20955" b="12700"/>
                <wp:wrapNone/>
                <wp:docPr id="122" name="Zone de texte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1245" cy="882650"/>
                        </a:xfrm>
                        <a:prstGeom prst="rect">
                          <a:avLst/>
                        </a:prstGeom>
                        <a:solidFill>
                          <a:sysClr val="window" lastClr="FFFFFF"/>
                        </a:solidFill>
                        <a:ln w="12700" cap="flat" cmpd="sng" algn="ctr">
                          <a:solidFill>
                            <a:srgbClr val="FFC000"/>
                          </a:solidFill>
                          <a:prstDash val="solid"/>
                          <a:miter lim="800000"/>
                        </a:ln>
                        <a:effectLst/>
                      </wps:spPr>
                      <wps:txbx>
                        <w:txbxContent>
                          <w:p w14:paraId="31598B75" w14:textId="77777777" w:rsidR="00ED1ADA" w:rsidRDefault="00ED1ADA" w:rsidP="00302BFE">
                            <w:pPr>
                              <w:pStyle w:val="NormalWeb"/>
                              <w:spacing w:before="0" w:beforeAutospacing="0" w:after="0" w:afterAutospacing="0"/>
                              <w:jc w:val="center"/>
                              <w:rPr>
                                <w:sz w:val="13"/>
                                <w:szCs w:val="13"/>
                                <w:lang w:val="en-CA"/>
                              </w:rPr>
                            </w:pPr>
                            <w:r>
                              <w:rPr>
                                <w:sz w:val="13"/>
                                <w:szCs w:val="13"/>
                                <w:lang w:val="en-CA"/>
                              </w:rPr>
                              <w:t>- The preservation of biodiversity and ecosystem services is a priority issue for regional and local authorities who agree to participate in the planning of land and resource use in the landscape and to mobilize the necessary co-financing for its implementation</w:t>
                            </w:r>
                          </w:p>
                          <w:p w14:paraId="5347DB7F" w14:textId="77777777" w:rsidR="00ED1ADA" w:rsidRDefault="00ED1ADA" w:rsidP="00302BFE">
                            <w:pPr>
                              <w:pStyle w:val="NormalWeb"/>
                              <w:spacing w:before="0" w:beforeAutospacing="0" w:after="0" w:afterAutospacing="0"/>
                              <w:jc w:val="center"/>
                              <w:rPr>
                                <w:sz w:val="13"/>
                                <w:szCs w:val="13"/>
                                <w:lang w:val="en-CA"/>
                              </w:rPr>
                            </w:pPr>
                            <w:r>
                              <w:rPr>
                                <w:sz w:val="13"/>
                                <w:szCs w:val="13"/>
                                <w:lang w:val="en-CA"/>
                              </w:rPr>
                              <w:t>- Regional and communal authorities have adequate capacity to mobilize enough resources for the implementation of the landscape management plan and its requirements</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w:pict>
              <v:shape w14:anchorId="2A49D073" id="Zone de texte 122" o:spid="_x0000_s1036" type="#_x0000_t202" style="position:absolute;left:0;text-align:left;margin-left:20pt;margin-top:69.1pt;width:184.35pt;height:6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" fillcolor="window" strokecolor="#ffc000" strokeweight="1pt">
                <v:path arrowok="t"/>
                <v:textbox inset="3.38303mm,1.6915mm,3.38303mm,1.6915mm">
                  <w:txbxContent>
                    <w:p w14:paraId="31598B75" w14:textId="77777777" w:rsidR="00ED1ADA" w:rsidRDefault="00ED1ADA" w:rsidP="00302BFE">
                      <w:pPr>
                        <w:pStyle w:val="NormalWeb"/>
                        <w:spacing w:before="0" w:beforeAutospacing="0" w:after="0" w:afterAutospacing="0"/>
                        <w:jc w:val="center"/>
                        <w:rPr>
                          <w:sz w:val="13"/>
                          <w:szCs w:val="13"/>
                          <w:lang w:val="en-CA"/>
                        </w:rPr>
                      </w:pPr>
                      <w:r>
                        <w:rPr>
                          <w:sz w:val="13"/>
                          <w:szCs w:val="13"/>
                          <w:lang w:val="en-CA"/>
                        </w:rPr>
                        <w:t>- The preservation of biodiversity and ecosystem services is a priority issue for regional and local authorities who agree to participate in the planning of land and resource use in the landscape and to mobilize the necessary co-financing for its implementation</w:t>
                      </w:r>
                    </w:p>
                    <w:p w14:paraId="5347DB7F" w14:textId="77777777" w:rsidR="00ED1ADA" w:rsidRDefault="00ED1ADA" w:rsidP="00302BFE">
                      <w:pPr>
                        <w:pStyle w:val="NormalWeb"/>
                        <w:spacing w:before="0" w:beforeAutospacing="0" w:after="0" w:afterAutospacing="0"/>
                        <w:jc w:val="center"/>
                        <w:rPr>
                          <w:sz w:val="13"/>
                          <w:szCs w:val="13"/>
                          <w:lang w:val="en-CA"/>
                        </w:rPr>
                      </w:pPr>
                      <w:r>
                        <w:rPr>
                          <w:sz w:val="13"/>
                          <w:szCs w:val="13"/>
                          <w:lang w:val="en-CA"/>
                        </w:rPr>
                        <w:t>- Regional and communal authorities have adequate capacity to mobilize enough resources for the implementation of the landscape management plan and its requirements</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4C6E5A42" wp14:editId="4089791B">
                <wp:simplePos x="0" y="0"/>
                <wp:positionH relativeFrom="column">
                  <wp:posOffset>2854325</wp:posOffset>
                </wp:positionH>
                <wp:positionV relativeFrom="paragraph">
                  <wp:posOffset>893445</wp:posOffset>
                </wp:positionV>
                <wp:extent cx="2055495" cy="795020"/>
                <wp:effectExtent l="0" t="0" r="20955" b="24130"/>
                <wp:wrapNone/>
                <wp:docPr id="121" name="Zone de text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5495" cy="795020"/>
                        </a:xfrm>
                        <a:prstGeom prst="rect">
                          <a:avLst/>
                        </a:prstGeom>
                        <a:solidFill>
                          <a:sysClr val="window" lastClr="FFFFFF"/>
                        </a:solidFill>
                        <a:ln w="12700" cap="flat" cmpd="sng" algn="ctr">
                          <a:solidFill>
                            <a:srgbClr val="FFC000"/>
                          </a:solidFill>
                          <a:prstDash val="solid"/>
                          <a:miter lim="800000"/>
                        </a:ln>
                        <a:effectLst/>
                      </wps:spPr>
                      <wps:txbx>
                        <w:txbxContent>
                          <w:p w14:paraId="09D62F80" w14:textId="77777777" w:rsidR="00ED1ADA" w:rsidRDefault="00ED1ADA" w:rsidP="00302BFE">
                            <w:pPr>
                              <w:pStyle w:val="NormalWeb"/>
                              <w:spacing w:before="0" w:beforeAutospacing="0" w:after="0" w:afterAutospacing="0"/>
                              <w:jc w:val="center"/>
                              <w:rPr>
                                <w:sz w:val="13"/>
                                <w:szCs w:val="13"/>
                                <w:lang w:val="en-CA"/>
                              </w:rPr>
                            </w:pPr>
                            <w:r>
                              <w:rPr>
                                <w:sz w:val="13"/>
                                <w:szCs w:val="13"/>
                                <w:lang w:val="en-CA"/>
                              </w:rPr>
                              <w:t>The Government allocates adequate resources (staff and operational budget) to ensure the effective management of all PAs in the PONASI landscape</w:t>
                            </w:r>
                          </w:p>
                          <w:p w14:paraId="78E8F280" w14:textId="77777777" w:rsidR="00ED1ADA" w:rsidRDefault="00ED1ADA" w:rsidP="00302BFE">
                            <w:pPr>
                              <w:pStyle w:val="NormalWeb"/>
                              <w:spacing w:before="0" w:beforeAutospacing="0" w:after="0" w:afterAutospacing="0"/>
                              <w:jc w:val="center"/>
                              <w:rPr>
                                <w:sz w:val="13"/>
                                <w:szCs w:val="13"/>
                                <w:lang w:val="en-CA"/>
                              </w:rPr>
                            </w:pPr>
                            <w:r>
                              <w:rPr>
                                <w:sz w:val="13"/>
                                <w:szCs w:val="13"/>
                                <w:lang w:val="en-CA"/>
                              </w:rPr>
                              <w:t>Stakeholders' (local populations and authorities, OFINAP, DGEF, technical services, private concessionaires) full support to the objectives of improving the management of PAs</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w:pict>
              <v:shape w14:anchorId="4C6E5A42" id="Zone de texte 121" o:spid="_x0000_s1037" type="#_x0000_t202" style="position:absolute;left:0;text-align:left;margin-left:224.75pt;margin-top:70.35pt;width:161.85pt;height:62.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" fillcolor="window" strokecolor="#ffc000" strokeweight="1pt">
                <v:path arrowok="t"/>
                <v:textbox inset="3.38303mm,1.6915mm,3.38303mm,1.6915mm">
                  <w:txbxContent>
                    <w:p w14:paraId="09D62F80" w14:textId="77777777" w:rsidR="00ED1ADA" w:rsidRDefault="00ED1ADA" w:rsidP="00302BFE">
                      <w:pPr>
                        <w:pStyle w:val="NormalWeb"/>
                        <w:spacing w:before="0" w:beforeAutospacing="0" w:after="0" w:afterAutospacing="0"/>
                        <w:jc w:val="center"/>
                        <w:rPr>
                          <w:sz w:val="13"/>
                          <w:szCs w:val="13"/>
                          <w:lang w:val="en-CA"/>
                        </w:rPr>
                      </w:pPr>
                      <w:r>
                        <w:rPr>
                          <w:sz w:val="13"/>
                          <w:szCs w:val="13"/>
                          <w:lang w:val="en-CA"/>
                        </w:rPr>
                        <w:t>The Government allocates adequate resources (staff and operational budget) to ensure the effective management of all PAs in the PONASI landscape</w:t>
                      </w:r>
                    </w:p>
                    <w:p w14:paraId="78E8F280" w14:textId="77777777" w:rsidR="00ED1ADA" w:rsidRDefault="00ED1ADA" w:rsidP="00302BFE">
                      <w:pPr>
                        <w:pStyle w:val="NormalWeb"/>
                        <w:spacing w:before="0" w:beforeAutospacing="0" w:after="0" w:afterAutospacing="0"/>
                        <w:jc w:val="center"/>
                        <w:rPr>
                          <w:sz w:val="13"/>
                          <w:szCs w:val="13"/>
                          <w:lang w:val="en-CA"/>
                        </w:rPr>
                      </w:pPr>
                      <w:r>
                        <w:rPr>
                          <w:sz w:val="13"/>
                          <w:szCs w:val="13"/>
                          <w:lang w:val="en-CA"/>
                        </w:rPr>
                        <w:t>Stakeholders' (local populations and authorities, OFINAP, DGEF, technical services, private concessionaires) full support to the objectives of improving the management of PAs</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74F7E68F" wp14:editId="6554EF69">
                <wp:simplePos x="0" y="0"/>
                <wp:positionH relativeFrom="column">
                  <wp:posOffset>5269865</wp:posOffset>
                </wp:positionH>
                <wp:positionV relativeFrom="paragraph">
                  <wp:posOffset>1025525</wp:posOffset>
                </wp:positionV>
                <wp:extent cx="1622425" cy="534035"/>
                <wp:effectExtent l="0" t="0" r="15875" b="18415"/>
                <wp:wrapNone/>
                <wp:docPr id="120" name="Zone de texte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2425" cy="533400"/>
                        </a:xfrm>
                        <a:prstGeom prst="rect">
                          <a:avLst/>
                        </a:prstGeom>
                        <a:solidFill>
                          <a:sysClr val="window" lastClr="FFFFFF"/>
                        </a:solidFill>
                        <a:ln w="12700" cap="flat" cmpd="sng" algn="ctr">
                          <a:solidFill>
                            <a:srgbClr val="FFC000"/>
                          </a:solidFill>
                          <a:prstDash val="solid"/>
                          <a:miter lim="800000"/>
                        </a:ln>
                        <a:effectLst/>
                      </wps:spPr>
                      <wps:txbx>
                        <w:txbxContent>
                          <w:p w14:paraId="330BD0D9" w14:textId="77777777" w:rsidR="00ED1ADA" w:rsidRDefault="00ED1ADA" w:rsidP="00302BFE">
                            <w:pPr>
                              <w:pStyle w:val="NormalWeb"/>
                              <w:spacing w:after="0"/>
                              <w:ind w:left="-181" w:right="-142"/>
                              <w:jc w:val="center"/>
                              <w:rPr>
                                <w:sz w:val="14"/>
                                <w:szCs w:val="14"/>
                                <w:lang w:val="en-CA"/>
                              </w:rPr>
                            </w:pPr>
                            <w:r>
                              <w:rPr>
                                <w:sz w:val="14"/>
                                <w:szCs w:val="14"/>
                                <w:lang w:val="en-CA"/>
                              </w:rPr>
                              <w:t>Willingness of male and female stakeholders to adapt their practices and adopt improved and more sustainable production systems</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w:pict>
              <v:shape w14:anchorId="74F7E68F" id="Zone de texte 120" o:spid="_x0000_s1038" type="#_x0000_t202" style="position:absolute;left:0;text-align:left;margin-left:414.95pt;margin-top:80.75pt;width:127.75pt;height:42.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" fillcolor="window" strokecolor="#ffc000" strokeweight="1pt">
                <v:path arrowok="t"/>
                <v:textbox inset="3.38303mm,1.6915mm,3.38303mm,1.6915mm">
                  <w:txbxContent>
                    <w:p w14:paraId="330BD0D9" w14:textId="77777777" w:rsidR="00ED1ADA" w:rsidRDefault="00ED1ADA" w:rsidP="00302BFE">
                      <w:pPr>
                        <w:pStyle w:val="NormalWeb"/>
                        <w:spacing w:after="0"/>
                        <w:ind w:left="-181" w:right="-142"/>
                        <w:jc w:val="center"/>
                        <w:rPr>
                          <w:sz w:val="14"/>
                          <w:szCs w:val="14"/>
                          <w:lang w:val="en-CA"/>
                        </w:rPr>
                      </w:pPr>
                      <w:r>
                        <w:rPr>
                          <w:sz w:val="14"/>
                          <w:szCs w:val="14"/>
                          <w:lang w:val="en-CA"/>
                        </w:rPr>
                        <w:t>Willingness of male and female stakeholders to adapt their practices and adopt improved and more sustainable production systems</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06718BE7" wp14:editId="4D10E0F4">
                <wp:simplePos x="0" y="0"/>
                <wp:positionH relativeFrom="column">
                  <wp:posOffset>7146925</wp:posOffset>
                </wp:positionH>
                <wp:positionV relativeFrom="paragraph">
                  <wp:posOffset>1026795</wp:posOffset>
                </wp:positionV>
                <wp:extent cx="1691005" cy="730885"/>
                <wp:effectExtent l="0" t="0" r="23495" b="12065"/>
                <wp:wrapNone/>
                <wp:docPr id="119" name="Zone de text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1005" cy="730885"/>
                        </a:xfrm>
                        <a:prstGeom prst="rect">
                          <a:avLst/>
                        </a:prstGeom>
                        <a:solidFill>
                          <a:sysClr val="window" lastClr="FFFFFF"/>
                        </a:solidFill>
                        <a:ln w="12700" cap="flat" cmpd="sng" algn="ctr">
                          <a:solidFill>
                            <a:srgbClr val="FFC000"/>
                          </a:solidFill>
                          <a:prstDash val="solid"/>
                          <a:miter lim="800000"/>
                        </a:ln>
                        <a:effectLst/>
                      </wps:spPr>
                      <wps:txbx>
                        <w:txbxContent>
                          <w:p w14:paraId="30DF8B84" w14:textId="77777777" w:rsidR="00ED1ADA" w:rsidRDefault="00ED1ADA" w:rsidP="00302BFE">
                            <w:pPr>
                              <w:pStyle w:val="NormalWeb"/>
                              <w:spacing w:after="0"/>
                              <w:ind w:left="-181" w:right="-142"/>
                              <w:jc w:val="center"/>
                              <w:rPr>
                                <w:sz w:val="14"/>
                                <w:szCs w:val="14"/>
                                <w:lang w:val="en-CA"/>
                              </w:rPr>
                            </w:pPr>
                            <w:r>
                              <w:rPr>
                                <w:sz w:val="14"/>
                                <w:szCs w:val="14"/>
                                <w:lang w:val="en-CA"/>
                              </w:rPr>
                              <w:t>Every structure represented in the consultation framework encourages participation of women to the consultation framework for the integrated management of the PONASI landscape and has the possibility of proposing one or more women</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w:pict>
              <v:shape w14:anchorId="06718BE7" id="Zone de texte 119" o:spid="_x0000_s1039" type="#_x0000_t202" style="position:absolute;left:0;text-align:left;margin-left:562.75pt;margin-top:80.85pt;width:133.15pt;height:57.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" fillcolor="window" strokecolor="#ffc000" strokeweight="1pt">
                <v:path arrowok="t"/>
                <v:textbox inset="3.38303mm,1.6915mm,3.38303mm,1.6915mm">
                  <w:txbxContent>
                    <w:p w14:paraId="30DF8B84" w14:textId="77777777" w:rsidR="00ED1ADA" w:rsidRDefault="00ED1ADA" w:rsidP="00302BFE">
                      <w:pPr>
                        <w:pStyle w:val="NormalWeb"/>
                        <w:spacing w:after="0"/>
                        <w:ind w:left="-181" w:right="-142"/>
                        <w:jc w:val="center"/>
                        <w:rPr>
                          <w:sz w:val="14"/>
                          <w:szCs w:val="14"/>
                          <w:lang w:val="en-CA"/>
                        </w:rPr>
                      </w:pPr>
                      <w:r>
                        <w:rPr>
                          <w:sz w:val="14"/>
                          <w:szCs w:val="14"/>
                          <w:lang w:val="en-CA"/>
                        </w:rPr>
                        <w:t>Every structure represented in the consultation framework encourages participation of women to the consultation framework for the integrated management of the PONASI landscape and has the possibility of proposing one or more women</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1B92C7C9" wp14:editId="69072702">
                <wp:simplePos x="0" y="0"/>
                <wp:positionH relativeFrom="margin">
                  <wp:posOffset>6944995</wp:posOffset>
                </wp:positionH>
                <wp:positionV relativeFrom="paragraph">
                  <wp:posOffset>247015</wp:posOffset>
                </wp:positionV>
                <wp:extent cx="1992630" cy="645160"/>
                <wp:effectExtent l="0" t="0" r="26670" b="21590"/>
                <wp:wrapNone/>
                <wp:docPr id="118" name="Zone de texte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2630" cy="644525"/>
                        </a:xfrm>
                        <a:prstGeom prst="rect">
                          <a:avLst/>
                        </a:prstGeom>
                        <a:noFill/>
                        <a:ln w="19050">
                          <a:solidFill>
                            <a:srgbClr val="70AD47">
                              <a:lumMod val="75000"/>
                            </a:srgbClr>
                          </a:solidFill>
                        </a:ln>
                      </wps:spPr>
                      <wps:txbx>
                        <w:txbxContent>
                          <w:p w14:paraId="687426EE" w14:textId="77777777" w:rsidR="00ED1ADA" w:rsidRDefault="00ED1ADA" w:rsidP="00302BFE">
                            <w:pPr>
                              <w:pStyle w:val="NormalWeb"/>
                              <w:spacing w:before="0" w:beforeAutospacing="0" w:after="0" w:afterAutospacing="0"/>
                              <w:jc w:val="center"/>
                              <w:rPr>
                                <w:sz w:val="14"/>
                                <w:szCs w:val="14"/>
                                <w:lang w:val="en-CA"/>
                              </w:rPr>
                            </w:pPr>
                            <w:r>
                              <w:rPr>
                                <w:sz w:val="14"/>
                                <w:szCs w:val="14"/>
                                <w:lang w:val="en-CA"/>
                              </w:rPr>
                              <w:t>Increased opportunities for women to benefit from the SNRM and PA-related value chains within the PONASI landscape</w:t>
                            </w:r>
                          </w:p>
                          <w:p w14:paraId="4B06645B" w14:textId="77777777" w:rsidR="00ED1ADA" w:rsidRDefault="00ED1ADA" w:rsidP="00302BFE">
                            <w:pPr>
                              <w:pStyle w:val="NormalWeb"/>
                              <w:spacing w:before="0" w:beforeAutospacing="0" w:after="0" w:afterAutospacing="0"/>
                              <w:jc w:val="center"/>
                              <w:rPr>
                                <w:sz w:val="14"/>
                                <w:szCs w:val="14"/>
                                <w:lang w:val="en-CA"/>
                              </w:rPr>
                            </w:pPr>
                            <w:r>
                              <w:rPr>
                                <w:sz w:val="14"/>
                                <w:szCs w:val="14"/>
                                <w:lang w:val="en-CA"/>
                              </w:rPr>
                              <w:t>Appropriation of the knowledge developed for its replication across the PONASI landscape and in the country</w:t>
                            </w:r>
                          </w:p>
                        </w:txbxContent>
                      </wps:txbx>
                      <wps:bodyPr wrap="square" lIns="2"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1B92C7C9" id="Zone de texte 118" o:spid="_x0000_s1040" type="#_x0000_t202" style="position:absolute;left:0;text-align:left;margin-left:546.85pt;margin-top:19.45pt;width:156.9pt;height:50.8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" filled="f" strokecolor="#548235" strokeweight="1.5pt">
                <v:path arrowok="t"/>
                <v:textbox inset="6e-5mm,0,0,0">
                  <w:txbxContent>
                    <w:p w14:paraId="687426EE" w14:textId="77777777" w:rsidR="00ED1ADA" w:rsidRDefault="00ED1ADA" w:rsidP="00302BFE">
                      <w:pPr>
                        <w:pStyle w:val="NormalWeb"/>
                        <w:spacing w:before="0" w:beforeAutospacing="0" w:after="0" w:afterAutospacing="0"/>
                        <w:jc w:val="center"/>
                        <w:rPr>
                          <w:sz w:val="14"/>
                          <w:szCs w:val="14"/>
                          <w:lang w:val="en-CA"/>
                        </w:rPr>
                      </w:pPr>
                      <w:r>
                        <w:rPr>
                          <w:sz w:val="14"/>
                          <w:szCs w:val="14"/>
                          <w:lang w:val="en-CA"/>
                        </w:rPr>
                        <w:t>Increased opportunities for women to benefit from the SNRM and PA-related value chains within the PONASI landscape</w:t>
                      </w:r>
                    </w:p>
                    <w:p w14:paraId="4B06645B" w14:textId="77777777" w:rsidR="00ED1ADA" w:rsidRDefault="00ED1ADA" w:rsidP="00302BFE">
                      <w:pPr>
                        <w:pStyle w:val="NormalWeb"/>
                        <w:spacing w:before="0" w:beforeAutospacing="0" w:after="0" w:afterAutospacing="0"/>
                        <w:jc w:val="center"/>
                        <w:rPr>
                          <w:sz w:val="14"/>
                          <w:szCs w:val="14"/>
                          <w:lang w:val="en-CA"/>
                        </w:rPr>
                      </w:pPr>
                      <w:r>
                        <w:rPr>
                          <w:sz w:val="14"/>
                          <w:szCs w:val="14"/>
                          <w:lang w:val="en-CA"/>
                        </w:rPr>
                        <w:t>Appropriation of the knowledge developed for its replication across the PONASI landscape and in the country</w:t>
                      </w:r>
                    </w:p>
                  </w:txbxContent>
                </v:textbox>
                <w10:wrap anchorx="margin"/>
              </v:shape>
            </w:pict>
          </mc:Fallback>
        </mc:AlternateContent>
      </w:r>
      <w:r>
        <w:rPr>
          <w:noProof/>
        </w:rPr>
        <mc:AlternateContent>
          <mc:Choice Requires="wps">
            <w:drawing>
              <wp:anchor distT="0" distB="0" distL="114300" distR="114300" simplePos="0" relativeHeight="251709440" behindDoc="0" locked="0" layoutInCell="1" allowOverlap="1" wp14:anchorId="52707262" wp14:editId="3EE100B4">
                <wp:simplePos x="0" y="0"/>
                <wp:positionH relativeFrom="margin">
                  <wp:posOffset>1122680</wp:posOffset>
                </wp:positionH>
                <wp:positionV relativeFrom="paragraph">
                  <wp:posOffset>1708785</wp:posOffset>
                </wp:positionV>
                <wp:extent cx="149860" cy="164465"/>
                <wp:effectExtent l="0" t="45403" r="90488" b="14287"/>
                <wp:wrapNone/>
                <wp:docPr id="117" name="Connecteur : en angl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49860" cy="164465"/>
                        </a:xfrm>
                        <a:prstGeom prst="bentConnector3">
                          <a:avLst>
                            <a:gd name="adj1" fmla="val 39366"/>
                          </a:avLst>
                        </a:prstGeom>
                        <a:noFill/>
                        <a:ln w="9525">
                          <a:solidFill>
                            <a:srgbClr val="4A7EBB"/>
                          </a:solidFill>
                          <a:miter lim="800000"/>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type w14:anchorId="3B6E1D00"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117" o:spid="_x0000_s1026" type="#_x0000_t34" style="position:absolute;margin-left:88.4pt;margin-top:134.55pt;width:11.8pt;height:12.95pt;rotation:90;flip:x y;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" adj="8503" strokecolor="#4a7ebb">
                <v:stroke endarrow="block"/>
                <w10:wrap anchorx="margin"/>
              </v:shape>
            </w:pict>
          </mc:Fallback>
        </mc:AlternateContent>
      </w:r>
      <w:r>
        <w:rPr>
          <w:noProof/>
        </w:rPr>
        <mc:AlternateContent>
          <mc:Choice Requires="wps">
            <w:drawing>
              <wp:anchor distT="0" distB="0" distL="114300" distR="114300" simplePos="0" relativeHeight="251710464" behindDoc="0" locked="0" layoutInCell="1" allowOverlap="1" wp14:anchorId="58E4D0D5" wp14:editId="5D2C543E">
                <wp:simplePos x="0" y="0"/>
                <wp:positionH relativeFrom="margin">
                  <wp:posOffset>3682365</wp:posOffset>
                </wp:positionH>
                <wp:positionV relativeFrom="paragraph">
                  <wp:posOffset>1647190</wp:posOffset>
                </wp:positionV>
                <wp:extent cx="212725" cy="240030"/>
                <wp:effectExtent l="5398" t="32702" r="59372" b="21273"/>
                <wp:wrapNone/>
                <wp:docPr id="116" name="Connecteur : en angl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212725" cy="239395"/>
                        </a:xfrm>
                        <a:prstGeom prst="bentConnector3">
                          <a:avLst>
                            <a:gd name="adj1" fmla="val 39366"/>
                          </a:avLst>
                        </a:prstGeom>
                        <a:noFill/>
                        <a:ln w="9525">
                          <a:solidFill>
                            <a:srgbClr val="4A7EBB"/>
                          </a:solidFill>
                          <a:miter lim="800000"/>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2521DE24" id="Connecteur : en angle 116" o:spid="_x0000_s1026" type="#_x0000_t34" style="position:absolute;margin-left:289.95pt;margin-top:129.7pt;width:16.75pt;height:18.9pt;rotation:90;flip:x y;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" adj="8503" strokecolor="#4a7ebb">
                <v:stroke endarrow="block"/>
                <w10:wrap anchorx="margin"/>
              </v:shape>
            </w:pict>
          </mc:Fallback>
        </mc:AlternateContent>
      </w:r>
      <w:r>
        <w:rPr>
          <w:noProof/>
        </w:rPr>
        <mc:AlternateContent>
          <mc:Choice Requires="wps">
            <w:drawing>
              <wp:anchor distT="0" distB="0" distL="114300" distR="114300" simplePos="0" relativeHeight="251711488" behindDoc="0" locked="0" layoutInCell="1" allowOverlap="1" wp14:anchorId="08A8B8B3" wp14:editId="4BC26D43">
                <wp:simplePos x="0" y="0"/>
                <wp:positionH relativeFrom="column">
                  <wp:posOffset>1329690</wp:posOffset>
                </wp:positionH>
                <wp:positionV relativeFrom="paragraph">
                  <wp:posOffset>705485</wp:posOffset>
                </wp:positionV>
                <wp:extent cx="45720" cy="174625"/>
                <wp:effectExtent l="38100" t="38100" r="49530" b="15875"/>
                <wp:wrapNone/>
                <wp:docPr id="115" name="Connecteur droit avec flèch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085" cy="17462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524D107" id="_x0000_t32" coordsize="21600,21600" o:spt="32" o:oned="t" path="m,l21600,21600e" filled="f">
                <v:path arrowok="t" fillok="f" o:connecttype="none"/>
                <o:lock v:ext="edit" shapetype="t"/>
              </v:shapetype>
              <v:shape id="Connecteur droit avec flèche 115" o:spid="_x0000_s1026" type="#_x0000_t32" style="position:absolute;margin-left:104.7pt;margin-top:55.55pt;width:3.6pt;height:13.7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" strokecolor="#4472c4" strokeweight=".5pt">
                <v:stroke endarrow="block" joinstyle="miter"/>
                <o:lock v:ext="edit" shapetype="f"/>
              </v:shape>
            </w:pict>
          </mc:Fallback>
        </mc:AlternateContent>
      </w:r>
      <w:r>
        <w:rPr>
          <w:noProof/>
        </w:rPr>
        <mc:AlternateContent>
          <mc:Choice Requires="wps">
            <w:drawing>
              <wp:anchor distT="0" distB="0" distL="114300" distR="114300" simplePos="0" relativeHeight="251712512" behindDoc="0" locked="0" layoutInCell="1" allowOverlap="1" wp14:anchorId="7CE6930E" wp14:editId="34A4799F">
                <wp:simplePos x="0" y="0"/>
                <wp:positionH relativeFrom="column">
                  <wp:posOffset>3482975</wp:posOffset>
                </wp:positionH>
                <wp:positionV relativeFrom="paragraph">
                  <wp:posOffset>705485</wp:posOffset>
                </wp:positionV>
                <wp:extent cx="325755" cy="174625"/>
                <wp:effectExtent l="38100" t="38100" r="17145" b="34925"/>
                <wp:wrapNone/>
                <wp:docPr id="110" name="Connecteur droit avec flèch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25755" cy="17462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0F2E4A" id="Connecteur droit avec flèche 110" o:spid="_x0000_s1026" type="#_x0000_t32" style="position:absolute;margin-left:274.25pt;margin-top:55.55pt;width:25.65pt;height:13.75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" strokecolor="#4472c4" strokeweight=".5pt">
                <v:stroke endarrow="block" joinstyle="miter"/>
                <o:lock v:ext="edit" shapetype="f"/>
              </v:shape>
            </w:pict>
          </mc:Fallback>
        </mc:AlternateContent>
      </w:r>
      <w:r>
        <w:rPr>
          <w:noProof/>
        </w:rPr>
        <mc:AlternateContent>
          <mc:Choice Requires="wps">
            <w:drawing>
              <wp:anchor distT="0" distB="0" distL="114300" distR="114300" simplePos="0" relativeHeight="251713536" behindDoc="0" locked="0" layoutInCell="1" allowOverlap="1" wp14:anchorId="24DA9437" wp14:editId="7074D872">
                <wp:simplePos x="0" y="0"/>
                <wp:positionH relativeFrom="column">
                  <wp:posOffset>5741035</wp:posOffset>
                </wp:positionH>
                <wp:positionV relativeFrom="paragraph">
                  <wp:posOffset>808990</wp:posOffset>
                </wp:positionV>
                <wp:extent cx="278130" cy="208915"/>
                <wp:effectExtent l="38100" t="38100" r="26670" b="19685"/>
                <wp:wrapNone/>
                <wp:docPr id="109" name="Connecteur droit avec flèch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78130" cy="20828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742EA7" id="Connecteur droit avec flèche 109" o:spid="_x0000_s1026" type="#_x0000_t32" style="position:absolute;margin-left:452.05pt;margin-top:63.7pt;width:21.9pt;height:16.45p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" strokecolor="#4472c4" strokeweight=".5pt">
                <v:stroke endarrow="block" joinstyle="miter"/>
                <o:lock v:ext="edit" shapetype="f"/>
              </v:shape>
            </w:pict>
          </mc:Fallback>
        </mc:AlternateContent>
      </w:r>
      <w:r>
        <w:rPr>
          <w:noProof/>
        </w:rPr>
        <mc:AlternateContent>
          <mc:Choice Requires="wps">
            <w:drawing>
              <wp:anchor distT="0" distB="0" distL="114300" distR="114300" simplePos="0" relativeHeight="251714560" behindDoc="0" locked="0" layoutInCell="1" allowOverlap="1" wp14:anchorId="4DA07EC8" wp14:editId="212C91C1">
                <wp:simplePos x="0" y="0"/>
                <wp:positionH relativeFrom="column">
                  <wp:posOffset>7870825</wp:posOffset>
                </wp:positionH>
                <wp:positionV relativeFrom="paragraph">
                  <wp:posOffset>875030</wp:posOffset>
                </wp:positionV>
                <wp:extent cx="61595" cy="140970"/>
                <wp:effectExtent l="38100" t="38100" r="33655" b="30480"/>
                <wp:wrapNone/>
                <wp:docPr id="108" name="Connecteur droit avec flèch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595" cy="14033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FA2A01" id="Connecteur droit avec flèche 108" o:spid="_x0000_s1026" type="#_x0000_t32" style="position:absolute;margin-left:619.75pt;margin-top:68.9pt;width:4.85pt;height:11.1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" strokecolor="#4472c4" strokeweight=".5pt">
                <v:stroke endarrow="block" joinstyle="miter"/>
                <o:lock v:ext="edit" shapetype="f"/>
              </v:shape>
            </w:pict>
          </mc:Fallback>
        </mc:AlternateContent>
      </w:r>
      <w:r>
        <w:rPr>
          <w:noProof/>
        </w:rPr>
        <mc:AlternateContent>
          <mc:Choice Requires="wps">
            <w:drawing>
              <wp:anchor distT="0" distB="0" distL="114300" distR="114300" simplePos="0" relativeHeight="251715584" behindDoc="0" locked="0" layoutInCell="1" allowOverlap="1" wp14:anchorId="45E05D73" wp14:editId="4B6DD16E">
                <wp:simplePos x="0" y="0"/>
                <wp:positionH relativeFrom="column">
                  <wp:posOffset>5676900</wp:posOffset>
                </wp:positionH>
                <wp:positionV relativeFrom="paragraph">
                  <wp:posOffset>-499110</wp:posOffset>
                </wp:positionV>
                <wp:extent cx="1250315" cy="660400"/>
                <wp:effectExtent l="0" t="0" r="26035" b="25400"/>
                <wp:wrapNone/>
                <wp:docPr id="307" name="Zone de texte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6604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14AB3FC" w14:textId="77777777" w:rsidR="00ED1ADA" w:rsidRDefault="00ED1ADA" w:rsidP="00302BFE">
                            <w:pPr>
                              <w:spacing w:after="0"/>
                              <w:ind w:left="-113" w:right="-113"/>
                              <w:jc w:val="center"/>
                              <w:rPr>
                                <w:rFonts w:ascii="Times New Roman" w:hAnsi="Times New Roman"/>
                                <w:sz w:val="14"/>
                                <w:szCs w:val="14"/>
                                <w:lang w:val="en-CA"/>
                              </w:rPr>
                            </w:pPr>
                            <w:r w:rsidRPr="006E490C">
                              <w:rPr>
                                <w:rFonts w:ascii="Times New Roman" w:hAnsi="Times New Roman"/>
                                <w:sz w:val="14"/>
                                <w:szCs w:val="14"/>
                                <w:lang w:val="en-CA"/>
                              </w:rPr>
                              <w:t>Increased income for 200 men and 620 women from sustainable NTFP value chains and for 60 men and 140 women from PA related tourism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05D73" id="Zone de texte 307" o:spid="_x0000_s1041" type="#_x0000_t202" style="position:absolute;left:0;text-align:left;margin-left:447pt;margin-top:-39.3pt;width:98.45pt;height:5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" fillcolor="white [3201]" strokecolor="#4472c4 [3204]" strokeweight="1pt">
                <v:textbox>
                  <w:txbxContent>
                    <w:p w14:paraId="214AB3FC" w14:textId="77777777" w:rsidR="00ED1ADA" w:rsidRDefault="00ED1ADA" w:rsidP="00302BFE">
                      <w:pPr>
                        <w:spacing w:after="0"/>
                        <w:ind w:left="-113" w:right="-113"/>
                        <w:jc w:val="center"/>
                        <w:rPr>
                          <w:rFonts w:ascii="Times New Roman" w:hAnsi="Times New Roman"/>
                          <w:sz w:val="14"/>
                          <w:szCs w:val="14"/>
                          <w:lang w:val="en-CA"/>
                        </w:rPr>
                      </w:pPr>
                      <w:r w:rsidRPr="006E490C">
                        <w:rPr>
                          <w:rFonts w:ascii="Times New Roman" w:hAnsi="Times New Roman"/>
                          <w:sz w:val="14"/>
                          <w:szCs w:val="14"/>
                          <w:lang w:val="en-CA"/>
                        </w:rPr>
                        <w:t>Increased income for 200 men and 620 women from sustainable NTFP value chains and for 60 men and 140 women from PA related tourism</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4F083BD5" wp14:editId="09EC302D">
                <wp:simplePos x="0" y="0"/>
                <wp:positionH relativeFrom="margin">
                  <wp:posOffset>3023870</wp:posOffset>
                </wp:positionH>
                <wp:positionV relativeFrom="paragraph">
                  <wp:posOffset>-516255</wp:posOffset>
                </wp:positionV>
                <wp:extent cx="1003935" cy="700405"/>
                <wp:effectExtent l="0" t="0" r="24765" b="23495"/>
                <wp:wrapNone/>
                <wp:docPr id="107" name="Zone de text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0" cy="700405"/>
                        </a:xfrm>
                        <a:prstGeom prst="rect">
                          <a:avLst/>
                        </a:prstGeom>
                        <a:noFill/>
                        <a:ln w="12700">
                          <a:solidFill>
                            <a:srgbClr val="4BACC6"/>
                          </a:solidFill>
                        </a:ln>
                      </wps:spPr>
                      <wps:txbx>
                        <w:txbxContent>
                          <w:p w14:paraId="51253A7D" w14:textId="77777777" w:rsidR="00ED1ADA" w:rsidRDefault="00ED1ADA" w:rsidP="00302BFE">
                            <w:pPr>
                              <w:pStyle w:val="NormalWeb"/>
                              <w:ind w:left="-90" w:right="-72"/>
                              <w:jc w:val="center"/>
                              <w:rPr>
                                <w:sz w:val="14"/>
                                <w:szCs w:val="14"/>
                                <w:lang w:val="en-CA"/>
                              </w:rPr>
                            </w:pPr>
                            <w:r w:rsidRPr="00D61C93">
                              <w:rPr>
                                <w:sz w:val="14"/>
                                <w:szCs w:val="14"/>
                              </w:rPr>
                              <w:t>5,448,924</w:t>
                            </w:r>
                            <w:r w:rsidRPr="00D61C93">
                              <w:rPr>
                                <w:sz w:val="14"/>
                                <w:szCs w:val="14"/>
                                <w:lang w:val="en-CA"/>
                              </w:rPr>
                              <w:t xml:space="preserve"> tCO</w:t>
                            </w:r>
                            <w:r w:rsidRPr="00D61C93">
                              <w:rPr>
                                <w:sz w:val="14"/>
                                <w:szCs w:val="14"/>
                                <w:vertAlign w:val="subscript"/>
                                <w:lang w:val="en-CA"/>
                              </w:rPr>
                              <w:t>2eq</w:t>
                            </w:r>
                            <w:r>
                              <w:rPr>
                                <w:sz w:val="14"/>
                                <w:szCs w:val="14"/>
                                <w:lang w:val="en-CA"/>
                              </w:rPr>
                              <w:t xml:space="preserve"> of avoided greenhouse gas emissions through reduced deforestation and habitat restoration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F083BD5" id="Zone de texte 107" o:spid="_x0000_s1042" type="#_x0000_t202" style="position:absolute;left:0;text-align:left;margin-left:238.1pt;margin-top:-40.65pt;width:79.05pt;height:55.1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" filled="f" strokecolor="#4bacc6" strokeweight="1pt">
                <v:path arrowok="t"/>
                <v:textbox>
                  <w:txbxContent>
                    <w:p w14:paraId="51253A7D" w14:textId="77777777" w:rsidR="00ED1ADA" w:rsidRDefault="00ED1ADA" w:rsidP="00302BFE">
                      <w:pPr>
                        <w:pStyle w:val="NormalWeb"/>
                        <w:ind w:left="-90" w:right="-72"/>
                        <w:jc w:val="center"/>
                        <w:rPr>
                          <w:sz w:val="14"/>
                          <w:szCs w:val="14"/>
                          <w:lang w:val="en-CA"/>
                        </w:rPr>
                      </w:pPr>
                      <w:r w:rsidRPr="00D61C93">
                        <w:rPr>
                          <w:sz w:val="14"/>
                          <w:szCs w:val="14"/>
                        </w:rPr>
                        <w:t>5,448,924</w:t>
                      </w:r>
                      <w:r w:rsidRPr="00D61C93">
                        <w:rPr>
                          <w:sz w:val="14"/>
                          <w:szCs w:val="14"/>
                          <w:lang w:val="en-CA"/>
                        </w:rPr>
                        <w:t xml:space="preserve"> tCO</w:t>
                      </w:r>
                      <w:r w:rsidRPr="00D61C93">
                        <w:rPr>
                          <w:sz w:val="14"/>
                          <w:szCs w:val="14"/>
                          <w:vertAlign w:val="subscript"/>
                          <w:lang w:val="en-CA"/>
                        </w:rPr>
                        <w:t>2eq</w:t>
                      </w:r>
                      <w:r>
                        <w:rPr>
                          <w:sz w:val="14"/>
                          <w:szCs w:val="14"/>
                          <w:lang w:val="en-CA"/>
                        </w:rPr>
                        <w:t xml:space="preserve"> of avoided greenhouse gas emissions through reduced deforestation and habitat restoration</w:t>
                      </w:r>
                    </w:p>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4500E100" wp14:editId="4DC48EBF">
                <wp:simplePos x="0" y="0"/>
                <wp:positionH relativeFrom="margin">
                  <wp:posOffset>4451350</wp:posOffset>
                </wp:positionH>
                <wp:positionV relativeFrom="paragraph">
                  <wp:posOffset>374015</wp:posOffset>
                </wp:positionV>
                <wp:extent cx="252095" cy="8540750"/>
                <wp:effectExtent l="8573" t="0" r="23177" b="23178"/>
                <wp:wrapNone/>
                <wp:docPr id="106" name="Accolade ouvrant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52095" cy="8540750"/>
                        </a:xfrm>
                        <a:prstGeom prst="leftBrace">
                          <a:avLst>
                            <a:gd name="adj1" fmla="val 8333"/>
                            <a:gd name="adj2" fmla="val 48553"/>
                          </a:avLst>
                        </a:prstGeom>
                        <a:noFill/>
                        <a:ln w="9525" cap="flat" cmpd="sng" algn="ctr">
                          <a:solidFill>
                            <a:srgbClr val="4F81BD">
                              <a:shade val="95000"/>
                              <a:satMod val="105000"/>
                            </a:srgbClr>
                          </a:solidFill>
                          <a:prstDash val="solid"/>
                        </a:ln>
                        <a:effectLst/>
                      </wps:spPr>
                      <wps:bodyPr wrap="square" rtlCol="0" anchor="ctr">
                        <a:noAutofit/>
                      </wps:bodyPr>
                    </wps:wsp>
                  </a:graphicData>
                </a:graphic>
                <wp14:sizeRelH relativeFrom="page">
                  <wp14:pctWidth>0</wp14:pctWidth>
                </wp14:sizeRelH>
                <wp14:sizeRelV relativeFrom="margin">
                  <wp14:pctHeight>0</wp14:pctHeight>
                </wp14:sizeRelV>
              </wp:anchor>
            </w:drawing>
          </mc:Choice>
          <mc:Fallback>
            <w:pict>
              <v:shape w14:anchorId="5202582D" id="Accolade ouvrante 106" o:spid="_x0000_s1026" type="#_x0000_t87" style="position:absolute;margin-left:350.5pt;margin-top:29.45pt;width:19.85pt;height:672.5pt;rotation:-90;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" adj="53,10487" strokecolor="#4a7ebb">
                <w10:wrap anchorx="margin"/>
              </v:shape>
            </w:pict>
          </mc:Fallback>
        </mc:AlternateContent>
      </w:r>
    </w:p>
    <w:p w14:paraId="47608B09" w14:textId="77777777" w:rsidR="00302BFE" w:rsidRDefault="00302BFE" w:rsidP="00302BFE">
      <w:pPr>
        <w:spacing w:after="0" w:line="220" w:lineRule="exact"/>
        <w:rPr>
          <w:rFonts w:ascii="Times New Roman" w:hAnsi="Times New Roman"/>
          <w:lang w:val="en-CA"/>
        </w:rPr>
      </w:pPr>
    </w:p>
    <w:p w14:paraId="5DC2A18C" w14:textId="77777777" w:rsidR="00302BFE" w:rsidRDefault="00302BFE" w:rsidP="00302BFE">
      <w:pPr>
        <w:spacing w:after="0" w:line="220" w:lineRule="exact"/>
        <w:rPr>
          <w:rFonts w:ascii="Times New Roman" w:hAnsi="Times New Roman"/>
          <w:lang w:val="en-CA"/>
        </w:rPr>
      </w:pPr>
    </w:p>
    <w:p w14:paraId="0EBC6A6E" w14:textId="77777777" w:rsidR="00302BFE" w:rsidRDefault="00302BFE" w:rsidP="00302BFE">
      <w:pPr>
        <w:spacing w:after="0" w:line="220" w:lineRule="exact"/>
        <w:rPr>
          <w:rFonts w:ascii="Times New Roman" w:hAnsi="Times New Roman"/>
          <w:lang w:val="en-CA"/>
        </w:rPr>
      </w:pPr>
    </w:p>
    <w:p w14:paraId="6D4BA705" w14:textId="77777777" w:rsidR="00302BFE" w:rsidRDefault="00302BFE" w:rsidP="00302BFE">
      <w:pPr>
        <w:spacing w:after="0" w:line="220" w:lineRule="exact"/>
        <w:rPr>
          <w:rFonts w:ascii="Times New Roman" w:hAnsi="Times New Roman"/>
          <w:lang w:val="en-CA"/>
        </w:rPr>
      </w:pPr>
    </w:p>
    <w:p w14:paraId="0A535957" w14:textId="77777777" w:rsidR="00302BFE" w:rsidRDefault="00302BFE" w:rsidP="00302BFE">
      <w:pPr>
        <w:spacing w:after="0" w:line="220" w:lineRule="exact"/>
        <w:rPr>
          <w:rFonts w:ascii="Times New Roman" w:hAnsi="Times New Roman"/>
          <w:lang w:val="en-CA"/>
        </w:rPr>
      </w:pPr>
      <w:r>
        <w:rPr>
          <w:noProof/>
        </w:rPr>
        <mc:AlternateContent>
          <mc:Choice Requires="wps">
            <w:drawing>
              <wp:anchor distT="0" distB="0" distL="114300" distR="114300" simplePos="0" relativeHeight="251708416" behindDoc="0" locked="0" layoutInCell="1" allowOverlap="1" wp14:anchorId="08A515C0" wp14:editId="40400A7E">
                <wp:simplePos x="0" y="0"/>
                <wp:positionH relativeFrom="column">
                  <wp:posOffset>-612775</wp:posOffset>
                </wp:positionH>
                <wp:positionV relativeFrom="paragraph">
                  <wp:posOffset>175260</wp:posOffset>
                </wp:positionV>
                <wp:extent cx="673735" cy="667385"/>
                <wp:effectExtent l="0" t="0" r="12065" b="18415"/>
                <wp:wrapNone/>
                <wp:docPr id="105" name="Zone de text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475" cy="766445"/>
                        </a:xfrm>
                        <a:prstGeom prst="rect">
                          <a:avLst/>
                        </a:prstGeom>
                        <a:solidFill>
                          <a:sysClr val="window" lastClr="FFFFFF"/>
                        </a:solidFill>
                        <a:ln w="12700" cap="flat" cmpd="sng" algn="ctr">
                          <a:solidFill>
                            <a:srgbClr val="FFC000"/>
                          </a:solidFill>
                          <a:prstDash val="solid"/>
                          <a:miter lim="800000"/>
                        </a:ln>
                        <a:effectLst/>
                      </wps:spPr>
                      <wps:txbx>
                        <w:txbxContent>
                          <w:p w14:paraId="1ED986FE" w14:textId="77777777" w:rsidR="00ED1ADA" w:rsidRDefault="00ED1ADA" w:rsidP="00302BFE">
                            <w:pPr>
                              <w:pStyle w:val="NormalWeb"/>
                              <w:spacing w:after="0"/>
                              <w:ind w:left="-180" w:right="-144"/>
                              <w:jc w:val="center"/>
                              <w:rPr>
                                <w:b/>
                                <w:sz w:val="16"/>
                                <w:szCs w:val="16"/>
                                <w:lang w:val="fr-CA"/>
                              </w:rPr>
                            </w:pPr>
                            <w:r>
                              <w:rPr>
                                <w:b/>
                                <w:sz w:val="16"/>
                                <w:szCs w:val="16"/>
                              </w:rPr>
                              <w:t>Assumptions</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w:pict>
              <v:shape w14:anchorId="08A515C0" id="Zone de texte 105" o:spid="_x0000_s1043" type="#_x0000_t202" style="position:absolute;left:0;text-align:left;margin-left:-48.25pt;margin-top:13.8pt;width:53.05pt;height:52.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" fillcolor="window" strokecolor="#ffc000" strokeweight="1pt">
                <v:path arrowok="t"/>
                <v:textbox inset="3.38303mm,1.6915mm,3.38303mm,1.6915mm">
                  <w:txbxContent>
                    <w:p w14:paraId="1ED986FE" w14:textId="77777777" w:rsidR="00ED1ADA" w:rsidRDefault="00ED1ADA" w:rsidP="00302BFE">
                      <w:pPr>
                        <w:pStyle w:val="NormalWeb"/>
                        <w:spacing w:after="0"/>
                        <w:ind w:left="-180" w:right="-144"/>
                        <w:jc w:val="center"/>
                        <w:rPr>
                          <w:b/>
                          <w:sz w:val="16"/>
                          <w:szCs w:val="16"/>
                          <w:lang w:val="fr-CA"/>
                        </w:rPr>
                      </w:pPr>
                      <w:r>
                        <w:rPr>
                          <w:b/>
                          <w:sz w:val="16"/>
                          <w:szCs w:val="16"/>
                        </w:rPr>
                        <w:t>Assumptions</w:t>
                      </w:r>
                    </w:p>
                  </w:txbxContent>
                </v:textbox>
              </v:shape>
            </w:pict>
          </mc:Fallback>
        </mc:AlternateContent>
      </w:r>
    </w:p>
    <w:p w14:paraId="3A970F16" w14:textId="77777777" w:rsidR="00302BFE" w:rsidRDefault="00302BFE" w:rsidP="00302BFE">
      <w:pPr>
        <w:spacing w:after="0" w:line="220" w:lineRule="exact"/>
        <w:rPr>
          <w:rFonts w:ascii="Times New Roman" w:hAnsi="Times New Roman"/>
          <w:lang w:val="en-CA"/>
        </w:rPr>
      </w:pPr>
    </w:p>
    <w:p w14:paraId="502A8679" w14:textId="77777777" w:rsidR="00302BFE" w:rsidRDefault="00302BFE" w:rsidP="00302BFE">
      <w:pPr>
        <w:spacing w:after="0" w:line="220" w:lineRule="exact"/>
        <w:rPr>
          <w:rFonts w:ascii="Times New Roman" w:hAnsi="Times New Roman"/>
          <w:lang w:val="en-CA"/>
        </w:rPr>
      </w:pPr>
    </w:p>
    <w:p w14:paraId="0A75B4BD" w14:textId="77777777" w:rsidR="00302BFE" w:rsidRDefault="00302BFE" w:rsidP="00302BFE">
      <w:pPr>
        <w:spacing w:after="0" w:line="220" w:lineRule="exact"/>
        <w:rPr>
          <w:rFonts w:ascii="Times New Roman" w:hAnsi="Times New Roman"/>
          <w:lang w:val="en-CA"/>
        </w:rPr>
      </w:pPr>
    </w:p>
    <w:p w14:paraId="60A375E6" w14:textId="77777777" w:rsidR="00302BFE" w:rsidRDefault="00302BFE" w:rsidP="00302BFE">
      <w:pPr>
        <w:spacing w:after="0" w:line="220" w:lineRule="exact"/>
        <w:rPr>
          <w:rFonts w:ascii="Times New Roman" w:hAnsi="Times New Roman"/>
          <w:lang w:val="en-CA"/>
        </w:rPr>
      </w:pPr>
    </w:p>
    <w:p w14:paraId="79EEDE14" w14:textId="77777777" w:rsidR="00302BFE" w:rsidRDefault="00302BFE" w:rsidP="00302BFE">
      <w:pPr>
        <w:spacing w:after="0" w:line="220" w:lineRule="exact"/>
        <w:rPr>
          <w:rFonts w:ascii="Times New Roman" w:hAnsi="Times New Roman"/>
          <w:lang w:val="en-CA"/>
        </w:rPr>
      </w:pPr>
    </w:p>
    <w:p w14:paraId="5BCAAA30" w14:textId="77777777" w:rsidR="00302BFE" w:rsidRDefault="00302BFE" w:rsidP="00302BFE">
      <w:pPr>
        <w:spacing w:after="0" w:line="220" w:lineRule="exact"/>
        <w:rPr>
          <w:rFonts w:ascii="Times New Roman" w:hAnsi="Times New Roman"/>
          <w:lang w:val="en-CA"/>
        </w:rPr>
      </w:pPr>
      <w:r>
        <w:rPr>
          <w:noProof/>
        </w:rPr>
        <mc:AlternateContent>
          <mc:Choice Requires="wps">
            <w:drawing>
              <wp:anchor distT="0" distB="0" distL="114300" distR="114300" simplePos="0" relativeHeight="251698176" behindDoc="0" locked="0" layoutInCell="1" allowOverlap="1" wp14:anchorId="73DF4FE6" wp14:editId="5909195F">
                <wp:simplePos x="0" y="0"/>
                <wp:positionH relativeFrom="margin">
                  <wp:posOffset>5827395</wp:posOffset>
                </wp:positionH>
                <wp:positionV relativeFrom="paragraph">
                  <wp:posOffset>70485</wp:posOffset>
                </wp:positionV>
                <wp:extent cx="328930" cy="196850"/>
                <wp:effectExtent l="66040" t="29210" r="22860" b="22860"/>
                <wp:wrapNone/>
                <wp:docPr id="104" name="Connecteur : en angl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225425" cy="327660"/>
                        </a:xfrm>
                        <a:prstGeom prst="bentConnector3">
                          <a:avLst>
                            <a:gd name="adj1" fmla="val 35799"/>
                          </a:avLst>
                        </a:prstGeom>
                        <a:noFill/>
                        <a:ln w="9525">
                          <a:solidFill>
                            <a:srgbClr val="4A7EBB"/>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AC75A16" id="Connecteur : en angle 104" o:spid="_x0000_s1026" type="#_x0000_t34" style="position:absolute;margin-left:458.85pt;margin-top:5.55pt;width:25.9pt;height:15.5pt;rotation:90;flip:y;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" adj="7733" strokecolor="#4a7ebb">
                <v:stroke endarrow="block"/>
                <w10:wrap anchorx="margin"/>
              </v:shape>
            </w:pict>
          </mc:Fallback>
        </mc:AlternateContent>
      </w:r>
    </w:p>
    <w:p w14:paraId="08EFD646" w14:textId="77777777" w:rsidR="00302BFE" w:rsidRDefault="00122E02" w:rsidP="00302BFE">
      <w:pPr>
        <w:spacing w:after="0" w:line="220" w:lineRule="exact"/>
        <w:rPr>
          <w:rFonts w:ascii="Times New Roman" w:hAnsi="Times New Roman"/>
          <w:lang w:val="en-CA"/>
        </w:rPr>
      </w:pPr>
      <w:r>
        <w:rPr>
          <w:noProof/>
        </w:rPr>
        <mc:AlternateContent>
          <mc:Choice Requires="wps">
            <w:drawing>
              <wp:anchor distT="0" distB="0" distL="114300" distR="114300" simplePos="0" relativeHeight="251722752" behindDoc="0" locked="0" layoutInCell="1" allowOverlap="1" wp14:anchorId="4D1F443A" wp14:editId="4389426E">
                <wp:simplePos x="0" y="0"/>
                <wp:positionH relativeFrom="column">
                  <wp:posOffset>239395</wp:posOffset>
                </wp:positionH>
                <wp:positionV relativeFrom="paragraph">
                  <wp:posOffset>127000</wp:posOffset>
                </wp:positionV>
                <wp:extent cx="2297430" cy="1816100"/>
                <wp:effectExtent l="0" t="0" r="26670" b="12700"/>
                <wp:wrapSquare wrapText="bothSides"/>
                <wp:docPr id="102" name="Rectangle : coins arrondis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7430" cy="1816100"/>
                        </a:xfrm>
                        <a:prstGeom prst="roundRect">
                          <a:avLst/>
                        </a:prstGeom>
                        <a:noFill/>
                        <a:ln w="19050" cap="flat" cmpd="sng" algn="ctr">
                          <a:solidFill>
                            <a:srgbClr val="5B9BD5">
                              <a:lumMod val="75000"/>
                            </a:srgbClr>
                          </a:solidFill>
                          <a:prstDash val="sysDash"/>
                        </a:ln>
                        <a:effectLst/>
                      </wps:spPr>
                      <wps:txbx>
                        <w:txbxContent>
                          <w:p w14:paraId="51AED420" w14:textId="77777777" w:rsidR="00ED1ADA" w:rsidRDefault="00ED1ADA" w:rsidP="00302BFE">
                            <w:pPr>
                              <w:spacing w:after="0"/>
                              <w:ind w:left="-851"/>
                              <w:rPr>
                                <w:sz w:val="16"/>
                                <w:szCs w:val="16"/>
                              </w:rPr>
                            </w:pPr>
                          </w:p>
                        </w:txbxContent>
                      </wps:txbx>
                      <wps:bodyPr wrap="square" rtlCol="0" anchor="ctr">
                        <a:noAutofit/>
                      </wps:bodyPr>
                    </wps:wsp>
                  </a:graphicData>
                </a:graphic>
                <wp14:sizeRelH relativeFrom="page">
                  <wp14:pctWidth>0</wp14:pctWidth>
                </wp14:sizeRelH>
                <wp14:sizeRelV relativeFrom="margin">
                  <wp14:pctHeight>0</wp14:pctHeight>
                </wp14:sizeRelV>
              </wp:anchor>
            </w:drawing>
          </mc:Choice>
          <mc:Fallback>
            <w:pict>
              <v:roundrect w14:anchorId="4D1F443A" id="Rectangle : coins arrondis 102" o:spid="_x0000_s1044" style="position:absolute;left:0;text-align:left;margin-left:18.85pt;margin-top:10pt;width:180.9pt;height:14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" filled="f" strokecolor="#2e75b6" strokeweight="1.5pt">
                <v:stroke dashstyle="3 1"/>
                <v:path arrowok="t"/>
                <v:textbox>
                  <w:txbxContent>
                    <w:p w14:paraId="51AED420" w14:textId="77777777" w:rsidR="00ED1ADA" w:rsidRDefault="00ED1ADA" w:rsidP="00302BFE">
                      <w:pPr>
                        <w:spacing w:after="0"/>
                        <w:ind w:left="-851"/>
                        <w:rPr>
                          <w:sz w:val="16"/>
                          <w:szCs w:val="16"/>
                        </w:rPr>
                      </w:pPr>
                    </w:p>
                  </w:txbxContent>
                </v:textbox>
                <w10:wrap type="square"/>
              </v:roundrect>
            </w:pict>
          </mc:Fallback>
        </mc:AlternateContent>
      </w:r>
      <w:r w:rsidR="00302BFE">
        <w:rPr>
          <w:noProof/>
        </w:rPr>
        <mc:AlternateContent>
          <mc:Choice Requires="wps">
            <w:drawing>
              <wp:anchor distT="0" distB="0" distL="114300" distR="114300" simplePos="0" relativeHeight="251673600" behindDoc="0" locked="0" layoutInCell="1" allowOverlap="1" wp14:anchorId="03C65C3E" wp14:editId="6BCD67AD">
                <wp:simplePos x="0" y="0"/>
                <wp:positionH relativeFrom="margin">
                  <wp:posOffset>-579120</wp:posOffset>
                </wp:positionH>
                <wp:positionV relativeFrom="paragraph">
                  <wp:posOffset>155575</wp:posOffset>
                </wp:positionV>
                <wp:extent cx="687705" cy="1714500"/>
                <wp:effectExtent l="0" t="0" r="17145" b="19050"/>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1714500"/>
                        </a:xfrm>
                        <a:prstGeom prst="rect">
                          <a:avLst/>
                        </a:prstGeom>
                        <a:solidFill>
                          <a:sysClr val="window" lastClr="FFFFFF"/>
                        </a:solidFill>
                        <a:ln w="25400" cap="flat" cmpd="sng" algn="ctr">
                          <a:solidFill>
                            <a:srgbClr val="5B9BD5">
                              <a:lumMod val="75000"/>
                            </a:srgbClr>
                          </a:solidFill>
                          <a:prstDash val="solid"/>
                        </a:ln>
                        <a:effectLst/>
                      </wps:spPr>
                      <wps:txbx>
                        <w:txbxContent>
                          <w:p w14:paraId="7268EDE5" w14:textId="77777777" w:rsidR="00ED1ADA" w:rsidRDefault="00ED1ADA" w:rsidP="00302BFE">
                            <w:pPr>
                              <w:pStyle w:val="NormalWeb"/>
                              <w:spacing w:after="0"/>
                              <w:jc w:val="center"/>
                              <w:rPr>
                                <w:color w:val="C45911"/>
                                <w:sz w:val="16"/>
                                <w:szCs w:val="16"/>
                              </w:rPr>
                            </w:pPr>
                            <w:r>
                              <w:rPr>
                                <w:b/>
                                <w:bCs/>
                                <w:color w:val="000000"/>
                                <w:kern w:val="24"/>
                                <w:sz w:val="16"/>
                                <w:szCs w:val="16"/>
                              </w:rPr>
                              <w:t>Project Outputs</w:t>
                            </w:r>
                          </w:p>
                        </w:txbxContent>
                      </wps:txbx>
                      <wps:bodyPr wrap="square" lIns="121789" tIns="60894" rIns="121789" bIns="60894" spcCol="0" rtlCol="0" anchor="ctr">
                        <a:noAutofit/>
                      </wps:bodyPr>
                    </wps:wsp>
                  </a:graphicData>
                </a:graphic>
                <wp14:sizeRelH relativeFrom="page">
                  <wp14:pctWidth>0</wp14:pctWidth>
                </wp14:sizeRelH>
                <wp14:sizeRelV relativeFrom="page">
                  <wp14:pctHeight>0</wp14:pctHeight>
                </wp14:sizeRelV>
              </wp:anchor>
            </w:drawing>
          </mc:Choice>
          <mc:Fallback>
            <w:pict>
              <v:rect w14:anchorId="03C65C3E" id="Rectangle 163" o:spid="_x0000_s1045" style="position:absolute;left:0;text-align:left;margin-left:-45.6pt;margin-top:12.25pt;width:54.15pt;height:13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" fillcolor="window" strokecolor="#2e75b6" strokeweight="2pt">
                <v:path arrowok="t"/>
                <v:textbox inset="3.38303mm,1.6915mm,3.38303mm,1.6915mm">
                  <w:txbxContent>
                    <w:p w14:paraId="7268EDE5" w14:textId="77777777" w:rsidR="00ED1ADA" w:rsidRDefault="00ED1ADA" w:rsidP="00302BFE">
                      <w:pPr>
                        <w:pStyle w:val="NormalWeb"/>
                        <w:spacing w:after="0"/>
                        <w:jc w:val="center"/>
                        <w:rPr>
                          <w:color w:val="C45911"/>
                          <w:sz w:val="16"/>
                          <w:szCs w:val="16"/>
                        </w:rPr>
                      </w:pPr>
                      <w:r>
                        <w:rPr>
                          <w:b/>
                          <w:bCs/>
                          <w:color w:val="000000"/>
                          <w:kern w:val="24"/>
                          <w:sz w:val="16"/>
                          <w:szCs w:val="16"/>
                        </w:rPr>
                        <w:t>Project Outputs</w:t>
                      </w:r>
                    </w:p>
                  </w:txbxContent>
                </v:textbox>
                <w10:wrap anchorx="margin"/>
              </v:rect>
            </w:pict>
          </mc:Fallback>
        </mc:AlternateContent>
      </w:r>
      <w:r w:rsidR="00302BFE">
        <w:rPr>
          <w:noProof/>
        </w:rPr>
        <mc:AlternateContent>
          <mc:Choice Requires="wps">
            <w:drawing>
              <wp:anchor distT="0" distB="0" distL="114300" distR="114300" simplePos="0" relativeHeight="251706368" behindDoc="0" locked="0" layoutInCell="1" allowOverlap="1" wp14:anchorId="420F37AE" wp14:editId="5CD7F456">
                <wp:simplePos x="0" y="0"/>
                <wp:positionH relativeFrom="margin">
                  <wp:posOffset>7889875</wp:posOffset>
                </wp:positionH>
                <wp:positionV relativeFrom="paragraph">
                  <wp:posOffset>53340</wp:posOffset>
                </wp:positionV>
                <wp:extent cx="219075" cy="178435"/>
                <wp:effectExtent l="77470" t="36830" r="29845" b="10795"/>
                <wp:wrapNone/>
                <wp:docPr id="103" name="Connecteur : en angl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169545" cy="167640"/>
                        </a:xfrm>
                        <a:prstGeom prst="bentConnector3">
                          <a:avLst>
                            <a:gd name="adj1" fmla="val 35799"/>
                          </a:avLst>
                        </a:prstGeom>
                        <a:noFill/>
                        <a:ln w="9525">
                          <a:solidFill>
                            <a:srgbClr val="4A7EBB"/>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D942788" id="Connecteur : en angle 103" o:spid="_x0000_s1026" type="#_x0000_t34" style="position:absolute;margin-left:621.25pt;margin-top:4.2pt;width:17.25pt;height:14.05pt;rotation:90;flip:y;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" adj="7733" strokecolor="#4a7ebb">
                <v:stroke endarrow="block"/>
                <w10:wrap anchorx="margin"/>
              </v:shape>
            </w:pict>
          </mc:Fallback>
        </mc:AlternateContent>
      </w:r>
    </w:p>
    <w:p w14:paraId="73FBDEF1" w14:textId="77777777" w:rsidR="00302BFE" w:rsidRDefault="00122E02" w:rsidP="00302BFE">
      <w:pPr>
        <w:spacing w:after="0" w:line="220" w:lineRule="exact"/>
        <w:rPr>
          <w:rFonts w:ascii="Times New Roman" w:hAnsi="Times New Roman"/>
          <w:lang w:val="en-CA"/>
        </w:rPr>
      </w:pPr>
      <w:r>
        <w:rPr>
          <w:noProof/>
        </w:rPr>
        <mc:AlternateContent>
          <mc:Choice Requires="wps">
            <w:drawing>
              <wp:anchor distT="0" distB="0" distL="114300" distR="114300" simplePos="0" relativeHeight="251665408" behindDoc="0" locked="0" layoutInCell="1" allowOverlap="1" wp14:anchorId="63C5772F" wp14:editId="297A2E27">
                <wp:simplePos x="0" y="0"/>
                <wp:positionH relativeFrom="margin">
                  <wp:posOffset>2713939</wp:posOffset>
                </wp:positionH>
                <wp:positionV relativeFrom="paragraph">
                  <wp:posOffset>8992</wp:posOffset>
                </wp:positionV>
                <wp:extent cx="2032000" cy="1736471"/>
                <wp:effectExtent l="0" t="0" r="25400" b="16510"/>
                <wp:wrapNone/>
                <wp:docPr id="187" name="Rectangle : coins arrondis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00" cy="1736471"/>
                        </a:xfrm>
                        <a:prstGeom prst="roundRect">
                          <a:avLst/>
                        </a:prstGeom>
                        <a:noFill/>
                        <a:ln w="19050" cap="flat" cmpd="sng" algn="ctr">
                          <a:solidFill>
                            <a:srgbClr val="5B9BD5">
                              <a:lumMod val="75000"/>
                            </a:srgbClr>
                          </a:solidFill>
                          <a:prstDash val="sysDash"/>
                        </a:ln>
                        <a:effectLst/>
                      </wps:spPr>
                      <wps:bodyPr rtlCol="0" anchor="ctr"/>
                    </wps:wsp>
                  </a:graphicData>
                </a:graphic>
                <wp14:sizeRelH relativeFrom="margin">
                  <wp14:pctWidth>0</wp14:pctWidth>
                </wp14:sizeRelH>
                <wp14:sizeRelV relativeFrom="margin">
                  <wp14:pctHeight>0</wp14:pctHeight>
                </wp14:sizeRelV>
              </wp:anchor>
            </w:drawing>
          </mc:Choice>
          <mc:Fallback>
            <w:pict>
              <v:roundrect w14:anchorId="2390CEA6" id="Rectangle : coins arrondis 187" o:spid="_x0000_s1026" style="position:absolute;margin-left:213.7pt;margin-top:.7pt;width:160pt;height:136.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" filled="f" strokecolor="#2e75b6" strokeweight="1.5pt">
                <v:stroke dashstyle="3 1"/>
                <v:path arrowok="t"/>
                <w10:wrap anchorx="margin"/>
              </v:roundrect>
            </w:pict>
          </mc:Fallback>
        </mc:AlternateContent>
      </w:r>
      <w:r>
        <w:rPr>
          <w:noProof/>
        </w:rPr>
        <mc:AlternateContent>
          <mc:Choice Requires="wpg">
            <w:drawing>
              <wp:anchor distT="0" distB="0" distL="114300" distR="114300" simplePos="0" relativeHeight="251699200" behindDoc="0" locked="0" layoutInCell="1" allowOverlap="1" wp14:anchorId="4F494D1B" wp14:editId="4A1FF4D3">
                <wp:simplePos x="0" y="0"/>
                <wp:positionH relativeFrom="column">
                  <wp:posOffset>284480</wp:posOffset>
                </wp:positionH>
                <wp:positionV relativeFrom="paragraph">
                  <wp:posOffset>45085</wp:posOffset>
                </wp:positionV>
                <wp:extent cx="2270760" cy="1699895"/>
                <wp:effectExtent l="0" t="0" r="15240" b="14605"/>
                <wp:wrapNone/>
                <wp:docPr id="95" name="Groupe 95"/>
                <wp:cNvGraphicFramePr/>
                <a:graphic xmlns:a="http://schemas.openxmlformats.org/drawingml/2006/main">
                  <a:graphicData uri="http://schemas.microsoft.com/office/word/2010/wordprocessingGroup">
                    <wpg:wgp>
                      <wpg:cNvGrpSpPr/>
                      <wpg:grpSpPr bwMode="auto">
                        <a:xfrm>
                          <a:off x="0" y="0"/>
                          <a:ext cx="2270760" cy="1699895"/>
                          <a:chOff x="1868731" y="36265"/>
                          <a:chExt cx="1589794" cy="1715830"/>
                        </a:xfrm>
                      </wpg:grpSpPr>
                      <wps:wsp>
                        <wps:cNvPr id="111" name="TextBox 85"/>
                        <wps:cNvSpPr txBox="1">
                          <a:spLocks/>
                        </wps:cNvSpPr>
                        <wps:spPr bwMode="auto">
                          <a:xfrm>
                            <a:off x="1878893" y="36265"/>
                            <a:ext cx="1574543" cy="377089"/>
                          </a:xfrm>
                          <a:prstGeom prst="rect">
                            <a:avLst/>
                          </a:prstGeom>
                          <a:noFill/>
                          <a:ln w="9525">
                            <a:solidFill>
                              <a:srgbClr val="4BACC6"/>
                            </a:solidFill>
                            <a:miter lim="800000"/>
                            <a:headEnd/>
                            <a:tailEnd/>
                          </a:ln>
                          <a:extLst>
                            <a:ext uri="{909E8E84-426E-40DD-AFC4-6F175D3DCCD1}">
                              <a14:hiddenFill xmlns:a14="http://schemas.microsoft.com/office/drawing/2010/main">
                                <a:solidFill>
                                  <a:srgbClr val="FFFFFF"/>
                                </a:solidFill>
                              </a14:hiddenFill>
                            </a:ext>
                          </a:extLst>
                        </wps:spPr>
                        <wps:txbx>
                          <w:txbxContent>
                            <w:p w14:paraId="200F320B" w14:textId="77777777" w:rsidR="00ED1ADA" w:rsidRDefault="00ED1ADA" w:rsidP="00302BFE">
                              <w:pPr>
                                <w:pStyle w:val="NormalWeb"/>
                                <w:spacing w:before="0" w:beforeAutospacing="0" w:after="0" w:afterAutospacing="0"/>
                                <w:ind w:left="-113" w:right="-113"/>
                                <w:jc w:val="center"/>
                                <w:rPr>
                                  <w:sz w:val="12"/>
                                  <w:szCs w:val="12"/>
                                  <w:lang w:val="en-CA"/>
                                </w:rPr>
                              </w:pPr>
                              <w:r>
                                <w:rPr>
                                  <w:sz w:val="12"/>
                                  <w:szCs w:val="12"/>
                                  <w:lang w:val="en-CA"/>
                                </w:rPr>
                                <w:t>Enhanced and operationalized co-governance mechanism of the landscape as a platform for joint decision on land and resource use and harmonization of different jurisdictions</w:t>
                              </w:r>
                            </w:p>
                          </w:txbxContent>
                        </wps:txbx>
                        <wps:bodyPr rot="0" vert="horz" wrap="square" lIns="91440" tIns="0" rIns="91440" bIns="0" anchor="ctr" anchorCtr="0" upright="1">
                          <a:noAutofit/>
                        </wps:bodyPr>
                      </wps:wsp>
                      <wps:wsp>
                        <wps:cNvPr id="112" name="TextBox 85"/>
                        <wps:cNvSpPr txBox="1">
                          <a:spLocks/>
                        </wps:cNvSpPr>
                        <wps:spPr bwMode="auto">
                          <a:xfrm>
                            <a:off x="1878971" y="412768"/>
                            <a:ext cx="1574465" cy="417213"/>
                          </a:xfrm>
                          <a:prstGeom prst="rect">
                            <a:avLst/>
                          </a:prstGeom>
                          <a:noFill/>
                          <a:ln w="9525">
                            <a:solidFill>
                              <a:srgbClr val="4BACC6"/>
                            </a:solidFill>
                            <a:miter lim="800000"/>
                            <a:headEnd/>
                            <a:tailEnd/>
                          </a:ln>
                          <a:extLst>
                            <a:ext uri="{909E8E84-426E-40DD-AFC4-6F175D3DCCD1}">
                              <a14:hiddenFill xmlns:a14="http://schemas.microsoft.com/office/drawing/2010/main">
                                <a:solidFill>
                                  <a:srgbClr val="FFFFFF"/>
                                </a:solidFill>
                              </a14:hiddenFill>
                            </a:ext>
                          </a:extLst>
                        </wps:spPr>
                        <wps:txbx>
                          <w:txbxContent>
                            <w:p w14:paraId="455D485C" w14:textId="77777777" w:rsidR="00ED1ADA" w:rsidRDefault="00ED1ADA" w:rsidP="00302BFE">
                              <w:pPr>
                                <w:pStyle w:val="NormalWeb"/>
                                <w:spacing w:before="0" w:beforeAutospacing="0" w:after="0" w:afterAutospacing="0"/>
                                <w:ind w:left="-170" w:right="-170"/>
                                <w:jc w:val="center"/>
                                <w:rPr>
                                  <w:sz w:val="12"/>
                                  <w:szCs w:val="12"/>
                                  <w:lang w:val="en-CA"/>
                                </w:rPr>
                              </w:pPr>
                              <w:r>
                                <w:rPr>
                                  <w:sz w:val="12"/>
                                  <w:szCs w:val="12"/>
                                  <w:lang w:val="en-CA"/>
                                </w:rPr>
                                <w:t>Spatial planning methodology to visualize impacts of economic activities and offsets to support land use decision making maximizing environmental and economic benefits</w:t>
                              </w:r>
                            </w:p>
                          </w:txbxContent>
                        </wps:txbx>
                        <wps:bodyPr rot="0" vert="horz" wrap="square" lIns="91440" tIns="0" rIns="91440" bIns="0" anchor="ctr" anchorCtr="0" upright="1">
                          <a:noAutofit/>
                        </wps:bodyPr>
                      </wps:wsp>
                      <wps:wsp>
                        <wps:cNvPr id="113" name="TextBox 85"/>
                        <wps:cNvSpPr txBox="1">
                          <a:spLocks/>
                        </wps:cNvSpPr>
                        <wps:spPr bwMode="auto">
                          <a:xfrm>
                            <a:off x="1884216" y="833565"/>
                            <a:ext cx="1574309" cy="328295"/>
                          </a:xfrm>
                          <a:prstGeom prst="rect">
                            <a:avLst/>
                          </a:prstGeom>
                          <a:noFill/>
                          <a:ln w="9525">
                            <a:solidFill>
                              <a:srgbClr val="4BACC6"/>
                            </a:solidFill>
                            <a:miter lim="800000"/>
                            <a:headEnd/>
                            <a:tailEnd/>
                          </a:ln>
                          <a:extLst>
                            <a:ext uri="{909E8E84-426E-40DD-AFC4-6F175D3DCCD1}">
                              <a14:hiddenFill xmlns:a14="http://schemas.microsoft.com/office/drawing/2010/main">
                                <a:solidFill>
                                  <a:srgbClr val="FFFFFF"/>
                                </a:solidFill>
                              </a14:hiddenFill>
                            </a:ext>
                          </a:extLst>
                        </wps:spPr>
                        <wps:txbx>
                          <w:txbxContent>
                            <w:p w14:paraId="719B71B2" w14:textId="77777777" w:rsidR="00ED1ADA" w:rsidRDefault="00ED1ADA" w:rsidP="00302BFE">
                              <w:pPr>
                                <w:pStyle w:val="NormalWeb"/>
                                <w:spacing w:before="0" w:beforeAutospacing="0" w:after="0" w:afterAutospacing="0"/>
                                <w:ind w:left="-170" w:right="-170"/>
                                <w:jc w:val="center"/>
                                <w:rPr>
                                  <w:sz w:val="12"/>
                                  <w:szCs w:val="12"/>
                                  <w:lang w:val="en-CA"/>
                                </w:rPr>
                              </w:pPr>
                              <w:r>
                                <w:rPr>
                                  <w:sz w:val="12"/>
                                  <w:szCs w:val="12"/>
                                  <w:lang w:val="en-CA"/>
                                </w:rPr>
                                <w:t>Accurate and documented estimates of available carbon stocks in the landscape to inform the development of the landscape management plan</w:t>
                              </w:r>
                            </w:p>
                          </w:txbxContent>
                        </wps:txbx>
                        <wps:bodyPr rot="0" vert="horz" wrap="square" lIns="91440" tIns="0" rIns="91440" bIns="0" anchor="ctr" anchorCtr="0" upright="1">
                          <a:noAutofit/>
                        </wps:bodyPr>
                      </wps:wsp>
                      <wps:wsp>
                        <wps:cNvPr id="114" name="TextBox 85"/>
                        <wps:cNvSpPr txBox="1">
                          <a:spLocks/>
                        </wps:cNvSpPr>
                        <wps:spPr bwMode="auto">
                          <a:xfrm>
                            <a:off x="1868731" y="1462481"/>
                            <a:ext cx="1568166" cy="289614"/>
                          </a:xfrm>
                          <a:prstGeom prst="rect">
                            <a:avLst/>
                          </a:prstGeom>
                          <a:noFill/>
                          <a:ln w="9525">
                            <a:solidFill>
                              <a:srgbClr val="4BACC6"/>
                            </a:solidFill>
                            <a:miter lim="800000"/>
                            <a:headEnd/>
                            <a:tailEnd/>
                          </a:ln>
                          <a:extLst>
                            <a:ext uri="{909E8E84-426E-40DD-AFC4-6F175D3DCCD1}">
                              <a14:hiddenFill xmlns:a14="http://schemas.microsoft.com/office/drawing/2010/main">
                                <a:solidFill>
                                  <a:srgbClr val="FFFFFF"/>
                                </a:solidFill>
                              </a14:hiddenFill>
                            </a:ext>
                          </a:extLst>
                        </wps:spPr>
                        <wps:txbx>
                          <w:txbxContent>
                            <w:p w14:paraId="20FFC6BE" w14:textId="77777777" w:rsidR="00ED1ADA" w:rsidRDefault="00ED1ADA" w:rsidP="00302BFE">
                              <w:pPr>
                                <w:pStyle w:val="NormalWeb"/>
                                <w:spacing w:before="0" w:beforeAutospacing="0" w:after="0" w:afterAutospacing="0"/>
                                <w:ind w:left="-113" w:right="-113"/>
                                <w:jc w:val="center"/>
                                <w:rPr>
                                  <w:sz w:val="12"/>
                                  <w:szCs w:val="12"/>
                                  <w:lang w:val="en-CA"/>
                                </w:rPr>
                              </w:pPr>
                              <w:r>
                                <w:rPr>
                                  <w:sz w:val="12"/>
                                  <w:szCs w:val="12"/>
                                  <w:lang w:val="en-CA"/>
                                </w:rPr>
                                <w:t>Sustainable and equitable management requirements for the different units of the territory and mechanisms for monitoring and implementing the Master Plan</w:t>
                              </w:r>
                            </w:p>
                          </w:txbxContent>
                        </wps:txbx>
                        <wps:bodyPr rot="0" vert="horz" wrap="square" lIns="91440" tIns="0" rIns="9144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494D1B" id="Groupe 95" o:spid="_x0000_s1046" style="position:absolute;left:0;text-align:left;margin-left:22.4pt;margin-top:3.55pt;width:178.8pt;height:133.85pt;z-index:251699200;mso-width-relative:margin;mso-height-relative:margin" coordorigin="18687,362" coordsize="15897,1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">
                <v:shape id="TextBox 85" o:spid="_x0000_s1047" type="#_x0000_t202" style="position:absolute;left:18788;top:362;width:15746;height:3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" filled="f" strokecolor="#4bacc6">
                  <v:path arrowok="t"/>
                  <v:textbox inset=",0,,0">
                    <w:txbxContent>
                      <w:p w14:paraId="200F320B" w14:textId="77777777" w:rsidR="00ED1ADA" w:rsidRDefault="00ED1ADA" w:rsidP="00302BFE">
                        <w:pPr>
                          <w:pStyle w:val="NormalWeb"/>
                          <w:spacing w:before="0" w:beforeAutospacing="0" w:after="0" w:afterAutospacing="0"/>
                          <w:ind w:left="-113" w:right="-113"/>
                          <w:jc w:val="center"/>
                          <w:rPr>
                            <w:sz w:val="12"/>
                            <w:szCs w:val="12"/>
                            <w:lang w:val="en-CA"/>
                          </w:rPr>
                        </w:pPr>
                        <w:r>
                          <w:rPr>
                            <w:sz w:val="12"/>
                            <w:szCs w:val="12"/>
                            <w:lang w:val="en-CA"/>
                          </w:rPr>
                          <w:t>Enhanced and operationalized co-governance mechanism of the landscape as a platform for joint decision on land and resource use and harmonization of different jurisdictions</w:t>
                        </w:r>
                      </w:p>
                    </w:txbxContent>
                  </v:textbox>
                </v:shape>
                <v:shape id="TextBox 85" o:spid="_x0000_s1048" type="#_x0000_t202" style="position:absolute;left:18789;top:4127;width:15745;height:4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" filled="f" strokecolor="#4bacc6">
                  <v:path arrowok="t"/>
                  <v:textbox inset=",0,,0">
                    <w:txbxContent>
                      <w:p w14:paraId="455D485C" w14:textId="77777777" w:rsidR="00ED1ADA" w:rsidRDefault="00ED1ADA" w:rsidP="00302BFE">
                        <w:pPr>
                          <w:pStyle w:val="NormalWeb"/>
                          <w:spacing w:before="0" w:beforeAutospacing="0" w:after="0" w:afterAutospacing="0"/>
                          <w:ind w:left="-170" w:right="-170"/>
                          <w:jc w:val="center"/>
                          <w:rPr>
                            <w:sz w:val="12"/>
                            <w:szCs w:val="12"/>
                            <w:lang w:val="en-CA"/>
                          </w:rPr>
                        </w:pPr>
                        <w:r>
                          <w:rPr>
                            <w:sz w:val="12"/>
                            <w:szCs w:val="12"/>
                            <w:lang w:val="en-CA"/>
                          </w:rPr>
                          <w:t>Spatial planning methodology to visualize impacts of economic activities and offsets to support land use decision making maximizing environmental and economic benefits</w:t>
                        </w:r>
                      </w:p>
                    </w:txbxContent>
                  </v:textbox>
                </v:shape>
                <v:shape id="TextBox 85" o:spid="_x0000_s1049" type="#_x0000_t202" style="position:absolute;left:18842;top:8335;width:15743;height:3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" filled="f" strokecolor="#4bacc6">
                  <v:path arrowok="t"/>
                  <v:textbox inset=",0,,0">
                    <w:txbxContent>
                      <w:p w14:paraId="719B71B2" w14:textId="77777777" w:rsidR="00ED1ADA" w:rsidRDefault="00ED1ADA" w:rsidP="00302BFE">
                        <w:pPr>
                          <w:pStyle w:val="NormalWeb"/>
                          <w:spacing w:before="0" w:beforeAutospacing="0" w:after="0" w:afterAutospacing="0"/>
                          <w:ind w:left="-170" w:right="-170"/>
                          <w:jc w:val="center"/>
                          <w:rPr>
                            <w:sz w:val="12"/>
                            <w:szCs w:val="12"/>
                            <w:lang w:val="en-CA"/>
                          </w:rPr>
                        </w:pPr>
                        <w:r>
                          <w:rPr>
                            <w:sz w:val="12"/>
                            <w:szCs w:val="12"/>
                            <w:lang w:val="en-CA"/>
                          </w:rPr>
                          <w:t>Accurate and documented estimates of available carbon stocks in the landscape to inform the development of the landscape management plan</w:t>
                        </w:r>
                      </w:p>
                    </w:txbxContent>
                  </v:textbox>
                </v:shape>
                <v:shape id="TextBox 85" o:spid="_x0000_s1050" type="#_x0000_t202" style="position:absolute;left:18687;top:14624;width:15681;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" filled="f" strokecolor="#4bacc6">
                  <v:path arrowok="t"/>
                  <v:textbox inset=",0,,0">
                    <w:txbxContent>
                      <w:p w14:paraId="20FFC6BE" w14:textId="77777777" w:rsidR="00ED1ADA" w:rsidRDefault="00ED1ADA" w:rsidP="00302BFE">
                        <w:pPr>
                          <w:pStyle w:val="NormalWeb"/>
                          <w:spacing w:before="0" w:beforeAutospacing="0" w:after="0" w:afterAutospacing="0"/>
                          <w:ind w:left="-113" w:right="-113"/>
                          <w:jc w:val="center"/>
                          <w:rPr>
                            <w:sz w:val="12"/>
                            <w:szCs w:val="12"/>
                            <w:lang w:val="en-CA"/>
                          </w:rPr>
                        </w:pPr>
                        <w:r>
                          <w:rPr>
                            <w:sz w:val="12"/>
                            <w:szCs w:val="12"/>
                            <w:lang w:val="en-CA"/>
                          </w:rPr>
                          <w:t>Sustainable and equitable management requirements for the different units of the territory and mechanisms for monitoring and implementing the Master Plan</w:t>
                        </w:r>
                      </w:p>
                    </w:txbxContent>
                  </v:textbox>
                </v:shape>
              </v:group>
            </w:pict>
          </mc:Fallback>
        </mc:AlternateContent>
      </w:r>
      <w:r>
        <w:rPr>
          <w:noProof/>
        </w:rPr>
        <mc:AlternateContent>
          <mc:Choice Requires="wps">
            <w:drawing>
              <wp:anchor distT="45720" distB="45720" distL="114300" distR="114300" simplePos="0" relativeHeight="251703296" behindDoc="0" locked="0" layoutInCell="1" allowOverlap="1" wp14:anchorId="470031B2" wp14:editId="6D7F5AD8">
                <wp:simplePos x="0" y="0"/>
                <wp:positionH relativeFrom="column">
                  <wp:posOffset>4958715</wp:posOffset>
                </wp:positionH>
                <wp:positionV relativeFrom="paragraph">
                  <wp:posOffset>87630</wp:posOffset>
                </wp:positionV>
                <wp:extent cx="1861820" cy="438150"/>
                <wp:effectExtent l="0" t="0" r="24130" b="19050"/>
                <wp:wrapSquare wrapText="bothSides"/>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438150"/>
                        </a:xfrm>
                        <a:prstGeom prst="rect">
                          <a:avLst/>
                        </a:prstGeom>
                        <a:solidFill>
                          <a:sysClr val="window" lastClr="FFFFFF"/>
                        </a:solidFill>
                        <a:ln w="6350" cap="flat" cmpd="sng" algn="ctr">
                          <a:solidFill>
                            <a:srgbClr val="00B0F0"/>
                          </a:solidFill>
                          <a:prstDash val="solid"/>
                          <a:miter lim="800000"/>
                          <a:headEnd/>
                          <a:tailEnd/>
                        </a:ln>
                        <a:effectLst/>
                      </wps:spPr>
                      <wps:txbx>
                        <w:txbxContent>
                          <w:p w14:paraId="0F5DDE00" w14:textId="77777777" w:rsidR="00ED1ADA" w:rsidRDefault="00ED1ADA" w:rsidP="00302BFE">
                            <w:pPr>
                              <w:spacing w:after="0"/>
                              <w:ind w:left="-113" w:right="-113"/>
                              <w:jc w:val="center"/>
                              <w:rPr>
                                <w:rFonts w:ascii="Times New Roman" w:hAnsi="Times New Roman"/>
                                <w:sz w:val="12"/>
                                <w:szCs w:val="12"/>
                                <w:lang w:val="en-CA"/>
                              </w:rPr>
                            </w:pPr>
                            <w:r>
                              <w:rPr>
                                <w:rFonts w:ascii="Times New Roman" w:hAnsi="Times New Roman"/>
                                <w:sz w:val="12"/>
                                <w:szCs w:val="12"/>
                                <w:lang w:val="en-CA"/>
                              </w:rPr>
                              <w:t>SLM practices implemented by communities within the PONASI landscape to reduce threats to PAs and increase food security and agro-sylvopastoral productivity and resilience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031B2" id="Zone de texte 217" o:spid="_x0000_s1051" type="#_x0000_t202" style="position:absolute;left:0;text-align:left;margin-left:390.45pt;margin-top:6.9pt;width:146.6pt;height:34.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" fillcolor="window" strokecolor="#00b0f0" strokeweight=".5pt">
                <v:textbox>
                  <w:txbxContent>
                    <w:p w14:paraId="0F5DDE00" w14:textId="77777777" w:rsidR="00ED1ADA" w:rsidRDefault="00ED1ADA" w:rsidP="00302BFE">
                      <w:pPr>
                        <w:spacing w:after="0"/>
                        <w:ind w:left="-113" w:right="-113"/>
                        <w:jc w:val="center"/>
                        <w:rPr>
                          <w:rFonts w:ascii="Times New Roman" w:hAnsi="Times New Roman"/>
                          <w:sz w:val="12"/>
                          <w:szCs w:val="12"/>
                          <w:lang w:val="en-CA"/>
                        </w:rPr>
                      </w:pPr>
                      <w:r>
                        <w:rPr>
                          <w:rFonts w:ascii="Times New Roman" w:hAnsi="Times New Roman"/>
                          <w:sz w:val="12"/>
                          <w:szCs w:val="12"/>
                          <w:lang w:val="en-CA"/>
                        </w:rPr>
                        <w:t>SLM practices implemented by communities within the PONASI landscape to reduce threats to PAs and increase food security and agro-sylvopastoral productivity and resilience</w:t>
                      </w:r>
                    </w:p>
                  </w:txbxContent>
                </v:textbox>
                <w10:wrap type="square"/>
              </v:shape>
            </w:pict>
          </mc:Fallback>
        </mc:AlternateContent>
      </w:r>
      <w:r>
        <w:rPr>
          <w:noProof/>
        </w:rPr>
        <mc:AlternateContent>
          <mc:Choice Requires="wps">
            <w:drawing>
              <wp:anchor distT="0" distB="0" distL="114300" distR="114300" simplePos="0" relativeHeight="251721728" behindDoc="0" locked="0" layoutInCell="1" allowOverlap="1" wp14:anchorId="49CD00DC" wp14:editId="58A6E371">
                <wp:simplePos x="0" y="0"/>
                <wp:positionH relativeFrom="column">
                  <wp:posOffset>4907915</wp:posOffset>
                </wp:positionH>
                <wp:positionV relativeFrom="paragraph">
                  <wp:posOffset>34925</wp:posOffset>
                </wp:positionV>
                <wp:extent cx="1957070" cy="1725295"/>
                <wp:effectExtent l="0" t="0" r="24130" b="27305"/>
                <wp:wrapSquare wrapText="bothSides"/>
                <wp:docPr id="100" name="Rectangle : coins arrondis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7070" cy="1725295"/>
                        </a:xfrm>
                        <a:prstGeom prst="roundRect">
                          <a:avLst>
                            <a:gd name="adj" fmla="val 15587"/>
                          </a:avLst>
                        </a:prstGeom>
                        <a:noFill/>
                        <a:ln w="19050" cap="flat" cmpd="sng" algn="ctr">
                          <a:solidFill>
                            <a:srgbClr val="5B9BD5">
                              <a:lumMod val="75000"/>
                            </a:srgbClr>
                          </a:solidFill>
                          <a:prstDash val="sysDash"/>
                        </a:ln>
                        <a:effectLst/>
                      </wps:spPr>
                      <wps:txbx>
                        <w:txbxContent>
                          <w:p w14:paraId="523A9FBB" w14:textId="77777777" w:rsidR="00ED1ADA" w:rsidRDefault="00ED1ADA" w:rsidP="00302BFE">
                            <w:pPr>
                              <w:jc w:val="center"/>
                            </w:pP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roundrect w14:anchorId="49CD00DC" id="Rectangle : coins arrondis 100" o:spid="_x0000_s1052" style="position:absolute;left:0;text-align:left;margin-left:386.45pt;margin-top:2.75pt;width:154.1pt;height:135.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2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" filled="f" strokecolor="#2e75b6" strokeweight="1.5pt">
                <v:stroke dashstyle="3 1"/>
                <v:path arrowok="t"/>
                <v:textbox>
                  <w:txbxContent>
                    <w:p w14:paraId="523A9FBB" w14:textId="77777777" w:rsidR="00ED1ADA" w:rsidRDefault="00ED1ADA" w:rsidP="00302BFE">
                      <w:pPr>
                        <w:jc w:val="center"/>
                      </w:pPr>
                    </w:p>
                  </w:txbxContent>
                </v:textbox>
                <w10:wrap type="square"/>
              </v:roundrect>
            </w:pict>
          </mc:Fallback>
        </mc:AlternateContent>
      </w:r>
      <w:r w:rsidR="00302BFE">
        <w:rPr>
          <w:rFonts w:ascii="Times New Roman" w:hAnsi="Times New Roman"/>
          <w:noProof/>
          <w:lang w:val="en-CA"/>
        </w:rPr>
        <mc:AlternateContent>
          <mc:Choice Requires="wps">
            <w:drawing>
              <wp:anchor distT="0" distB="0" distL="114300" distR="114300" simplePos="0" relativeHeight="251725824" behindDoc="0" locked="0" layoutInCell="1" allowOverlap="1" wp14:anchorId="157058FE" wp14:editId="1212D42E">
                <wp:simplePos x="0" y="0"/>
                <wp:positionH relativeFrom="column">
                  <wp:posOffset>6984365</wp:posOffset>
                </wp:positionH>
                <wp:positionV relativeFrom="paragraph">
                  <wp:posOffset>107950</wp:posOffset>
                </wp:positionV>
                <wp:extent cx="1906905" cy="1685290"/>
                <wp:effectExtent l="0" t="0" r="17145" b="10160"/>
                <wp:wrapSquare wrapText="bothSides"/>
                <wp:docPr id="101" name="Rectangle : coins arrondis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6905" cy="1685290"/>
                        </a:xfrm>
                        <a:prstGeom prst="roundRect">
                          <a:avLst/>
                        </a:prstGeom>
                        <a:noFill/>
                        <a:ln w="19050" cap="flat" cmpd="sng" algn="ctr">
                          <a:solidFill>
                            <a:srgbClr val="5B9BD5">
                              <a:lumMod val="75000"/>
                            </a:srgbClr>
                          </a:solidFill>
                          <a:prstDash val="sysDash"/>
                        </a:ln>
                        <a:effectLst/>
                      </wps:spPr>
                      <wps:txbx>
                        <w:txbxContent>
                          <w:p w14:paraId="045342EA" w14:textId="77777777" w:rsidR="00ED1ADA" w:rsidRDefault="00ED1ADA" w:rsidP="00302BFE">
                            <w:pPr>
                              <w:spacing w:after="0"/>
                              <w:ind w:left="-851"/>
                              <w:rPr>
                                <w:sz w:val="16"/>
                                <w:szCs w:val="16"/>
                              </w:rPr>
                            </w:pPr>
                          </w:p>
                        </w:txbxContent>
                      </wps:txbx>
                      <wps:bodyPr wrap="square" rtlCol="0" anchor="ctr">
                        <a:noAutofit/>
                      </wps:bodyPr>
                    </wps:wsp>
                  </a:graphicData>
                </a:graphic>
                <wp14:sizeRelH relativeFrom="page">
                  <wp14:pctWidth>0</wp14:pctWidth>
                </wp14:sizeRelH>
                <wp14:sizeRelV relativeFrom="margin">
                  <wp14:pctHeight>0</wp14:pctHeight>
                </wp14:sizeRelV>
              </wp:anchor>
            </w:drawing>
          </mc:Choice>
          <mc:Fallback>
            <w:pict>
              <v:roundrect w14:anchorId="157058FE" id="Rectangle : coins arrondis 101" o:spid="_x0000_s1053" style="position:absolute;left:0;text-align:left;margin-left:549.95pt;margin-top:8.5pt;width:150.15pt;height:13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" filled="f" strokecolor="#2e75b6" strokeweight="1.5pt">
                <v:stroke dashstyle="3 1"/>
                <v:path arrowok="t"/>
                <v:textbox>
                  <w:txbxContent>
                    <w:p w14:paraId="045342EA" w14:textId="77777777" w:rsidR="00ED1ADA" w:rsidRDefault="00ED1ADA" w:rsidP="00302BFE">
                      <w:pPr>
                        <w:spacing w:after="0"/>
                        <w:ind w:left="-851"/>
                        <w:rPr>
                          <w:sz w:val="16"/>
                          <w:szCs w:val="16"/>
                        </w:rPr>
                      </w:pPr>
                    </w:p>
                  </w:txbxContent>
                </v:textbox>
                <w10:wrap type="square"/>
              </v:roundrect>
            </w:pict>
          </mc:Fallback>
        </mc:AlternateContent>
      </w:r>
    </w:p>
    <w:p w14:paraId="20A4C780" w14:textId="77777777" w:rsidR="00302BFE" w:rsidRDefault="00302BFE" w:rsidP="00302BFE">
      <w:pPr>
        <w:spacing w:after="0" w:line="220" w:lineRule="exact"/>
        <w:rPr>
          <w:rFonts w:ascii="Times New Roman" w:hAnsi="Times New Roman"/>
          <w:lang w:val="en-CA"/>
        </w:rPr>
      </w:pPr>
      <w:r>
        <w:rPr>
          <w:noProof/>
        </w:rPr>
        <mc:AlternateContent>
          <mc:Choice Requires="wps">
            <w:drawing>
              <wp:anchor distT="0" distB="0" distL="114300" distR="114300" simplePos="0" relativeHeight="251700224" behindDoc="0" locked="0" layoutInCell="1" allowOverlap="1" wp14:anchorId="77629C42" wp14:editId="1D118EFC">
                <wp:simplePos x="0" y="0"/>
                <wp:positionH relativeFrom="column">
                  <wp:posOffset>2713507</wp:posOffset>
                </wp:positionH>
                <wp:positionV relativeFrom="paragraph">
                  <wp:posOffset>9753</wp:posOffset>
                </wp:positionV>
                <wp:extent cx="2034540" cy="222885"/>
                <wp:effectExtent l="0" t="0" r="22860" b="24765"/>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4540" cy="222885"/>
                        </a:xfrm>
                        <a:prstGeom prst="rect">
                          <a:avLst/>
                        </a:prstGeom>
                        <a:noFill/>
                        <a:ln>
                          <a:solidFill>
                            <a:srgbClr val="4BACC6"/>
                          </a:solidFill>
                        </a:ln>
                      </wps:spPr>
                      <wps:txbx>
                        <w:txbxContent>
                          <w:p w14:paraId="2C8539E9" w14:textId="77777777" w:rsidR="00ED1ADA" w:rsidRDefault="00ED1ADA" w:rsidP="00302BFE">
                            <w:pPr>
                              <w:spacing w:after="0"/>
                              <w:ind w:left="-113" w:right="-113"/>
                              <w:jc w:val="center"/>
                              <w:rPr>
                                <w:rFonts w:ascii="Times New Roman" w:hAnsi="Times New Roman"/>
                                <w:sz w:val="12"/>
                                <w:szCs w:val="12"/>
                                <w:lang w:val="en-CA"/>
                              </w:rPr>
                            </w:pPr>
                            <w:r>
                              <w:rPr>
                                <w:rFonts w:ascii="Times New Roman" w:hAnsi="Times New Roman"/>
                                <w:sz w:val="12"/>
                                <w:szCs w:val="12"/>
                                <w:lang w:val="en-CA"/>
                              </w:rPr>
                              <w:t>Institutional and individual capacities of PA agencies improved through targeted interventions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7629C42" id="Rectangle 94" o:spid="_x0000_s1054" style="position:absolute;left:0;text-align:left;margin-left:213.65pt;margin-top:.75pt;width:160.2pt;height:17.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" filled="f" strokecolor="#4bacc6">
                <v:path arrowok="t"/>
                <v:textbox inset="0,0,0,0">
                  <w:txbxContent>
                    <w:p w14:paraId="2C8539E9" w14:textId="77777777" w:rsidR="00ED1ADA" w:rsidRDefault="00ED1ADA" w:rsidP="00302BFE">
                      <w:pPr>
                        <w:spacing w:after="0"/>
                        <w:ind w:left="-113" w:right="-113"/>
                        <w:jc w:val="center"/>
                        <w:rPr>
                          <w:rFonts w:ascii="Times New Roman" w:hAnsi="Times New Roman"/>
                          <w:sz w:val="12"/>
                          <w:szCs w:val="12"/>
                          <w:lang w:val="en-CA"/>
                        </w:rPr>
                      </w:pPr>
                      <w:r>
                        <w:rPr>
                          <w:rFonts w:ascii="Times New Roman" w:hAnsi="Times New Roman"/>
                          <w:sz w:val="12"/>
                          <w:szCs w:val="12"/>
                          <w:lang w:val="en-CA"/>
                        </w:rPr>
                        <w:t>Institutional and individual capacities of PA agencies improved through targeted interventions</w:t>
                      </w:r>
                    </w:p>
                  </w:txbxContent>
                </v:textbox>
              </v:rect>
            </w:pict>
          </mc:Fallback>
        </mc:AlternateContent>
      </w:r>
    </w:p>
    <w:p w14:paraId="6C864E64" w14:textId="77777777" w:rsidR="00302BFE" w:rsidRDefault="00AA0598" w:rsidP="00302BFE">
      <w:pPr>
        <w:spacing w:after="0" w:line="220" w:lineRule="exact"/>
        <w:rPr>
          <w:rFonts w:ascii="Times New Roman" w:hAnsi="Times New Roman"/>
          <w:lang w:val="en-CA"/>
        </w:rPr>
      </w:pPr>
      <w:r>
        <w:rPr>
          <w:noProof/>
        </w:rPr>
        <mc:AlternateContent>
          <mc:Choice Requires="wps">
            <w:drawing>
              <wp:anchor distT="0" distB="0" distL="114300" distR="114300" simplePos="0" relativeHeight="251726848" behindDoc="0" locked="0" layoutInCell="1" allowOverlap="1" wp14:anchorId="45A70887" wp14:editId="33FEF89D">
                <wp:simplePos x="0" y="0"/>
                <wp:positionH relativeFrom="column">
                  <wp:posOffset>6999150</wp:posOffset>
                </wp:positionH>
                <wp:positionV relativeFrom="paragraph">
                  <wp:posOffset>32001</wp:posOffset>
                </wp:positionV>
                <wp:extent cx="1892300" cy="426720"/>
                <wp:effectExtent l="0" t="0" r="12700" b="11430"/>
                <wp:wrapNone/>
                <wp:docPr id="93" name="Zone de texte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0" cy="426720"/>
                        </a:xfrm>
                        <a:prstGeom prst="rect">
                          <a:avLst/>
                        </a:prstGeom>
                        <a:solidFill>
                          <a:sysClr val="window" lastClr="FFFFFF"/>
                        </a:solidFill>
                        <a:ln w="6350">
                          <a:solidFill>
                            <a:srgbClr val="5B9BD5">
                              <a:lumMod val="60000"/>
                              <a:lumOff val="40000"/>
                            </a:srgbClr>
                          </a:solidFill>
                        </a:ln>
                      </wps:spPr>
                      <wps:txbx>
                        <w:txbxContent>
                          <w:p w14:paraId="68EFDF56" w14:textId="77777777" w:rsidR="00ED1ADA" w:rsidRPr="000536DB" w:rsidRDefault="00ED1ADA" w:rsidP="00302BFE">
                            <w:pPr>
                              <w:spacing w:after="0"/>
                              <w:ind w:left="-113" w:right="-113"/>
                              <w:jc w:val="center"/>
                              <w:rPr>
                                <w:rFonts w:ascii="Times New Roman" w:hAnsi="Times New Roman"/>
                                <w:sz w:val="12"/>
                                <w:szCs w:val="12"/>
                                <w:lang w:val="en-CA"/>
                              </w:rPr>
                            </w:pPr>
                            <w:r w:rsidRPr="00E12122">
                              <w:rPr>
                                <w:rFonts w:ascii="Times New Roman" w:hAnsi="Times New Roman"/>
                                <w:sz w:val="14"/>
                                <w:szCs w:val="14"/>
                                <w:lang w:val="en-CA"/>
                              </w:rPr>
                              <w:t>Effective participation of women in project implementation and monitoring of the effects of gender mainstreaming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70887" id="Zone de texte 93" o:spid="_x0000_s1055" type="#_x0000_t202" style="position:absolute;left:0;text-align:left;margin-left:551.1pt;margin-top:2.5pt;width:149pt;height:33.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" fillcolor="window" strokecolor="#9dc3e6" strokeweight=".5pt">
                <v:path arrowok="t"/>
                <v:textbox>
                  <w:txbxContent>
                    <w:p w14:paraId="68EFDF56" w14:textId="77777777" w:rsidR="00ED1ADA" w:rsidRPr="000536DB" w:rsidRDefault="00ED1ADA" w:rsidP="00302BFE">
                      <w:pPr>
                        <w:spacing w:after="0"/>
                        <w:ind w:left="-113" w:right="-113"/>
                        <w:jc w:val="center"/>
                        <w:rPr>
                          <w:rFonts w:ascii="Times New Roman" w:hAnsi="Times New Roman"/>
                          <w:sz w:val="12"/>
                          <w:szCs w:val="12"/>
                          <w:lang w:val="en-CA"/>
                        </w:rPr>
                      </w:pPr>
                      <w:r w:rsidRPr="00E12122">
                        <w:rPr>
                          <w:rFonts w:ascii="Times New Roman" w:hAnsi="Times New Roman"/>
                          <w:sz w:val="14"/>
                          <w:szCs w:val="14"/>
                          <w:lang w:val="en-CA"/>
                        </w:rPr>
                        <w:t>Effective participation of women in project implementation and monitoring of the effects of gender mainstreaming plan</w:t>
                      </w:r>
                    </w:p>
                  </w:txbxContent>
                </v:textbox>
              </v:shape>
            </w:pict>
          </mc:Fallback>
        </mc:AlternateContent>
      </w:r>
    </w:p>
    <w:p w14:paraId="777A4ACF" w14:textId="77777777" w:rsidR="00302BFE" w:rsidRDefault="00122E02" w:rsidP="00302BFE">
      <w:pPr>
        <w:spacing w:after="0" w:line="220" w:lineRule="exact"/>
        <w:rPr>
          <w:rFonts w:ascii="Times New Roman" w:hAnsi="Times New Roman"/>
          <w:lang w:val="en-CA"/>
        </w:rPr>
      </w:pPr>
      <w:r>
        <w:rPr>
          <w:noProof/>
        </w:rPr>
        <mc:AlternateContent>
          <mc:Choice Requires="wps">
            <w:drawing>
              <wp:anchor distT="0" distB="0" distL="114300" distR="114300" simplePos="0" relativeHeight="251701248" behindDoc="0" locked="0" layoutInCell="1" allowOverlap="1" wp14:anchorId="57946325" wp14:editId="72AC608C">
                <wp:simplePos x="0" y="0"/>
                <wp:positionH relativeFrom="column">
                  <wp:posOffset>2713863</wp:posOffset>
                </wp:positionH>
                <wp:positionV relativeFrom="paragraph">
                  <wp:posOffset>8204</wp:posOffset>
                </wp:positionV>
                <wp:extent cx="2007235" cy="367030"/>
                <wp:effectExtent l="0" t="0" r="12065" b="13970"/>
                <wp:wrapNone/>
                <wp:docPr id="92" name="Zone de texte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235" cy="367030"/>
                        </a:xfrm>
                        <a:prstGeom prst="rect">
                          <a:avLst/>
                        </a:prstGeom>
                        <a:solidFill>
                          <a:sysClr val="window" lastClr="FFFFFF"/>
                        </a:solidFill>
                        <a:ln w="6350">
                          <a:solidFill>
                            <a:srgbClr val="5B9BD5">
                              <a:lumMod val="60000"/>
                              <a:lumOff val="40000"/>
                            </a:srgbClr>
                          </a:solidFill>
                        </a:ln>
                      </wps:spPr>
                      <wps:txbx>
                        <w:txbxContent>
                          <w:p w14:paraId="282AB559" w14:textId="77777777" w:rsidR="00ED1ADA" w:rsidRDefault="00ED1ADA" w:rsidP="00302BFE">
                            <w:pPr>
                              <w:spacing w:after="0"/>
                              <w:ind w:left="-113" w:right="-113"/>
                              <w:jc w:val="center"/>
                              <w:rPr>
                                <w:rFonts w:ascii="Times New Roman" w:hAnsi="Times New Roman"/>
                                <w:sz w:val="12"/>
                                <w:szCs w:val="12"/>
                                <w:lang w:val="en-CA"/>
                              </w:rPr>
                            </w:pPr>
                            <w:r>
                              <w:rPr>
                                <w:rFonts w:ascii="Times New Roman" w:hAnsi="Times New Roman"/>
                                <w:sz w:val="12"/>
                                <w:szCs w:val="12"/>
                                <w:lang w:val="en-CA"/>
                              </w:rPr>
                              <w:t>Management effectiveness of PAs in the PONASI complex - Kabore-Tambi NP, Nazinga Game Ranch, and Sissili Classified Forest– strengthened through by a series of technical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46325" id="Zone de texte 92" o:spid="_x0000_s1056" type="#_x0000_t202" style="position:absolute;left:0;text-align:left;margin-left:213.7pt;margin-top:.65pt;width:158.05pt;height:28.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" fillcolor="window" strokecolor="#9dc3e6" strokeweight=".5pt">
                <v:path arrowok="t"/>
                <v:textbox>
                  <w:txbxContent>
                    <w:p w14:paraId="282AB559" w14:textId="77777777" w:rsidR="00ED1ADA" w:rsidRDefault="00ED1ADA" w:rsidP="00302BFE">
                      <w:pPr>
                        <w:spacing w:after="0"/>
                        <w:ind w:left="-113" w:right="-113"/>
                        <w:jc w:val="center"/>
                        <w:rPr>
                          <w:rFonts w:ascii="Times New Roman" w:hAnsi="Times New Roman"/>
                          <w:sz w:val="12"/>
                          <w:szCs w:val="12"/>
                          <w:lang w:val="en-CA"/>
                        </w:rPr>
                      </w:pPr>
                      <w:r>
                        <w:rPr>
                          <w:rFonts w:ascii="Times New Roman" w:hAnsi="Times New Roman"/>
                          <w:sz w:val="12"/>
                          <w:szCs w:val="12"/>
                          <w:lang w:val="en-CA"/>
                        </w:rPr>
                        <w:t>Management effectiveness of PAs in the PONASI complex - Kabore-Tambi NP, Nazinga Game Ranch, and Sissili Classified Forest– strengthened through by a series of technical support</w:t>
                      </w:r>
                    </w:p>
                  </w:txbxContent>
                </v:textbox>
              </v:shape>
            </w:pict>
          </mc:Fallback>
        </mc:AlternateContent>
      </w:r>
      <w:r>
        <w:rPr>
          <w:noProof/>
        </w:rPr>
        <mc:AlternateContent>
          <mc:Choice Requires="wps">
            <w:drawing>
              <wp:anchor distT="45720" distB="45720" distL="114300" distR="114300" simplePos="0" relativeHeight="251704320" behindDoc="0" locked="0" layoutInCell="1" allowOverlap="1" wp14:anchorId="5A00E075" wp14:editId="6EAFBD3F">
                <wp:simplePos x="0" y="0"/>
                <wp:positionH relativeFrom="column">
                  <wp:posOffset>4947920</wp:posOffset>
                </wp:positionH>
                <wp:positionV relativeFrom="paragraph">
                  <wp:posOffset>75565</wp:posOffset>
                </wp:positionV>
                <wp:extent cx="1890395" cy="438150"/>
                <wp:effectExtent l="0" t="0" r="14605" b="19050"/>
                <wp:wrapSquare wrapText="bothSides"/>
                <wp:docPr id="98" name="Zone de texte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0395" cy="438150"/>
                        </a:xfrm>
                        <a:prstGeom prst="rect">
                          <a:avLst/>
                        </a:prstGeom>
                        <a:solidFill>
                          <a:sysClr val="window" lastClr="FFFFFF"/>
                        </a:solidFill>
                        <a:ln w="6350" cap="flat" cmpd="sng" algn="ctr">
                          <a:solidFill>
                            <a:srgbClr val="00B0F0"/>
                          </a:solidFill>
                          <a:prstDash val="solid"/>
                          <a:miter lim="800000"/>
                          <a:headEnd/>
                          <a:tailEnd/>
                        </a:ln>
                        <a:effectLst/>
                      </wps:spPr>
                      <wps:txbx>
                        <w:txbxContent>
                          <w:p w14:paraId="6E4B2B6B" w14:textId="77777777" w:rsidR="00ED1ADA" w:rsidRDefault="00ED1ADA" w:rsidP="00302BFE">
                            <w:pPr>
                              <w:spacing w:after="0"/>
                              <w:ind w:left="-170" w:right="-170"/>
                              <w:jc w:val="center"/>
                              <w:rPr>
                                <w:rFonts w:ascii="Times New Roman" w:hAnsi="Times New Roman"/>
                                <w:sz w:val="12"/>
                                <w:szCs w:val="12"/>
                                <w:lang w:val="en-CA"/>
                              </w:rPr>
                            </w:pPr>
                            <w:r>
                              <w:rPr>
                                <w:rFonts w:ascii="Times New Roman" w:hAnsi="Times New Roman"/>
                                <w:sz w:val="12"/>
                                <w:szCs w:val="12"/>
                                <w:lang w:val="en-CA"/>
                              </w:rPr>
                              <w:t>SNRM improved in community forests through the collaborative development and implementation of simplified zoning plans, strengthening forest management and human-wildlife conflict management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00E075" id="Zone de texte 98" o:spid="_x0000_s1057" type="#_x0000_t202" style="position:absolute;left:0;text-align:left;margin-left:389.6pt;margin-top:5.95pt;width:148.85pt;height:34.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" fillcolor="window" strokecolor="#00b0f0" strokeweight=".5pt">
                <v:textbox>
                  <w:txbxContent>
                    <w:p w14:paraId="6E4B2B6B" w14:textId="77777777" w:rsidR="00ED1ADA" w:rsidRDefault="00ED1ADA" w:rsidP="00302BFE">
                      <w:pPr>
                        <w:spacing w:after="0"/>
                        <w:ind w:left="-170" w:right="-170"/>
                        <w:jc w:val="center"/>
                        <w:rPr>
                          <w:rFonts w:ascii="Times New Roman" w:hAnsi="Times New Roman"/>
                          <w:sz w:val="12"/>
                          <w:szCs w:val="12"/>
                          <w:lang w:val="en-CA"/>
                        </w:rPr>
                      </w:pPr>
                      <w:r>
                        <w:rPr>
                          <w:rFonts w:ascii="Times New Roman" w:hAnsi="Times New Roman"/>
                          <w:sz w:val="12"/>
                          <w:szCs w:val="12"/>
                          <w:lang w:val="en-CA"/>
                        </w:rPr>
                        <w:t>SNRM improved in community forests through the collaborative development and implementation of simplified zoning plans, strengthening forest management and human-wildlife conflict management</w:t>
                      </w:r>
                    </w:p>
                  </w:txbxContent>
                </v:textbox>
                <w10:wrap type="square"/>
              </v:shape>
            </w:pict>
          </mc:Fallback>
        </mc:AlternateContent>
      </w:r>
    </w:p>
    <w:p w14:paraId="2994EA66" w14:textId="77777777" w:rsidR="00302BFE" w:rsidRDefault="00302BFE" w:rsidP="00302BFE">
      <w:pPr>
        <w:spacing w:after="0" w:line="220" w:lineRule="exact"/>
        <w:rPr>
          <w:rFonts w:ascii="Times New Roman" w:hAnsi="Times New Roman"/>
          <w:lang w:val="en-CA"/>
        </w:rPr>
      </w:pPr>
    </w:p>
    <w:p w14:paraId="50F126FE" w14:textId="77777777" w:rsidR="00302BFE" w:rsidRDefault="00302BFE" w:rsidP="00302BFE">
      <w:pPr>
        <w:spacing w:after="0" w:line="220" w:lineRule="exact"/>
        <w:rPr>
          <w:rFonts w:ascii="Times New Roman" w:hAnsi="Times New Roman"/>
          <w:lang w:val="en-CA"/>
        </w:rPr>
      </w:pPr>
    </w:p>
    <w:p w14:paraId="4E71B33E" w14:textId="77777777" w:rsidR="00302BFE" w:rsidRDefault="00122E02" w:rsidP="00302BFE">
      <w:pPr>
        <w:spacing w:after="0" w:line="220" w:lineRule="exact"/>
        <w:rPr>
          <w:rFonts w:ascii="Times New Roman" w:hAnsi="Times New Roman"/>
          <w:lang w:val="en-CA"/>
        </w:rPr>
      </w:pPr>
      <w:r>
        <w:rPr>
          <w:noProof/>
        </w:rPr>
        <mc:AlternateContent>
          <mc:Choice Requires="wps">
            <w:drawing>
              <wp:anchor distT="0" distB="0" distL="114300" distR="114300" simplePos="0" relativeHeight="251702272" behindDoc="0" locked="0" layoutInCell="1" allowOverlap="1" wp14:anchorId="66FC046F" wp14:editId="6D42FB8D">
                <wp:simplePos x="0" y="0"/>
                <wp:positionH relativeFrom="column">
                  <wp:posOffset>2746908</wp:posOffset>
                </wp:positionH>
                <wp:positionV relativeFrom="paragraph">
                  <wp:posOffset>4699</wp:posOffset>
                </wp:positionV>
                <wp:extent cx="2007235" cy="357505"/>
                <wp:effectExtent l="0" t="0" r="12065" b="23495"/>
                <wp:wrapNone/>
                <wp:docPr id="97" name="Zone de texte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235" cy="357505"/>
                        </a:xfrm>
                        <a:prstGeom prst="rect">
                          <a:avLst/>
                        </a:prstGeom>
                        <a:solidFill>
                          <a:sysClr val="window" lastClr="FFFFFF"/>
                        </a:solidFill>
                        <a:ln w="6350">
                          <a:solidFill>
                            <a:srgbClr val="5B9BD5">
                              <a:lumMod val="60000"/>
                              <a:lumOff val="40000"/>
                            </a:srgbClr>
                          </a:solidFill>
                        </a:ln>
                      </wps:spPr>
                      <wps:txbx>
                        <w:txbxContent>
                          <w:p w14:paraId="6FA77ECE" w14:textId="77777777" w:rsidR="00ED1ADA" w:rsidRDefault="00ED1ADA" w:rsidP="00302BFE">
                            <w:pPr>
                              <w:pStyle w:val="NormalWeb"/>
                              <w:spacing w:after="0"/>
                              <w:ind w:left="-115" w:right="-115"/>
                              <w:jc w:val="center"/>
                              <w:rPr>
                                <w:sz w:val="12"/>
                                <w:szCs w:val="12"/>
                                <w:lang w:val="en-CA"/>
                              </w:rPr>
                            </w:pPr>
                            <w:r>
                              <w:rPr>
                                <w:sz w:val="12"/>
                                <w:szCs w:val="12"/>
                                <w:lang w:val="en-CA"/>
                              </w:rPr>
                              <w:t>Wildlife corridor governance and management regime established and operationalized for corridors # 1 and # 2 linking major forest blocks and conservation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C046F" id="Zone de texte 97" o:spid="_x0000_s1058" type="#_x0000_t202" style="position:absolute;left:0;text-align:left;margin-left:216.3pt;margin-top:.35pt;width:158.05pt;height:28.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" fillcolor="window" strokecolor="#9dc3e6" strokeweight=".5pt">
                <v:path arrowok="t"/>
                <v:textbox>
                  <w:txbxContent>
                    <w:p w14:paraId="6FA77ECE" w14:textId="77777777" w:rsidR="00ED1ADA" w:rsidRDefault="00ED1ADA" w:rsidP="00302BFE">
                      <w:pPr>
                        <w:pStyle w:val="NormalWeb"/>
                        <w:spacing w:after="0"/>
                        <w:ind w:left="-115" w:right="-115"/>
                        <w:jc w:val="center"/>
                        <w:rPr>
                          <w:sz w:val="12"/>
                          <w:szCs w:val="12"/>
                          <w:lang w:val="en-CA"/>
                        </w:rPr>
                      </w:pPr>
                      <w:r>
                        <w:rPr>
                          <w:sz w:val="12"/>
                          <w:szCs w:val="12"/>
                          <w:lang w:val="en-CA"/>
                        </w:rPr>
                        <w:t>Wildlife corridor governance and management regime established and operationalized for corridors # 1 and # 2 linking major forest blocks and conservation areas</w:t>
                      </w:r>
                    </w:p>
                  </w:txbxContent>
                </v:textbox>
              </v:shape>
            </w:pict>
          </mc:Fallback>
        </mc:AlternateContent>
      </w:r>
      <w:r>
        <w:rPr>
          <w:noProof/>
        </w:rPr>
        <mc:AlternateContent>
          <mc:Choice Requires="wps">
            <w:drawing>
              <wp:anchor distT="45720" distB="45720" distL="114300" distR="114300" simplePos="0" relativeHeight="251705344" behindDoc="0" locked="0" layoutInCell="1" allowOverlap="1" wp14:anchorId="3DB93946" wp14:editId="05D6FF63">
                <wp:simplePos x="0" y="0"/>
                <wp:positionH relativeFrom="column">
                  <wp:posOffset>4912360</wp:posOffset>
                </wp:positionH>
                <wp:positionV relativeFrom="paragraph">
                  <wp:posOffset>89535</wp:posOffset>
                </wp:positionV>
                <wp:extent cx="1954530" cy="356870"/>
                <wp:effectExtent l="0" t="0" r="26670" b="24130"/>
                <wp:wrapSquare wrapText="bothSides"/>
                <wp:docPr id="99" name="Zone de text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530" cy="356870"/>
                        </a:xfrm>
                        <a:prstGeom prst="rect">
                          <a:avLst/>
                        </a:prstGeom>
                        <a:solidFill>
                          <a:sysClr val="window" lastClr="FFFFFF"/>
                        </a:solidFill>
                        <a:ln w="6350" cap="flat" cmpd="sng" algn="ctr">
                          <a:solidFill>
                            <a:srgbClr val="00B0F0"/>
                          </a:solidFill>
                          <a:prstDash val="solid"/>
                          <a:miter lim="800000"/>
                          <a:headEnd/>
                          <a:tailEnd/>
                        </a:ln>
                        <a:effectLst/>
                      </wps:spPr>
                      <wps:txbx>
                        <w:txbxContent>
                          <w:p w14:paraId="4D6A52CD" w14:textId="77777777" w:rsidR="00ED1ADA" w:rsidRDefault="00ED1ADA" w:rsidP="00302BFE">
                            <w:pPr>
                              <w:pStyle w:val="NormalWeb"/>
                              <w:spacing w:after="0"/>
                              <w:ind w:left="-113" w:right="-113"/>
                              <w:jc w:val="center"/>
                              <w:rPr>
                                <w:sz w:val="12"/>
                                <w:szCs w:val="12"/>
                                <w:lang w:val="en-CA"/>
                              </w:rPr>
                            </w:pPr>
                            <w:r>
                              <w:rPr>
                                <w:sz w:val="12"/>
                                <w:szCs w:val="12"/>
                                <w:lang w:val="en-CA"/>
                              </w:rPr>
                              <w:t>Sustainable tourism enterprises are established, providing alternative livelihoods to communities and incentives for conservation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93946" id="Zone de texte 99" o:spid="_x0000_s1059" type="#_x0000_t202" style="position:absolute;left:0;text-align:left;margin-left:386.8pt;margin-top:7.05pt;width:153.9pt;height:28.1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" fillcolor="window" strokecolor="#00b0f0" strokeweight=".5pt">
                <v:textbox>
                  <w:txbxContent>
                    <w:p w14:paraId="4D6A52CD" w14:textId="77777777" w:rsidR="00ED1ADA" w:rsidRDefault="00ED1ADA" w:rsidP="00302BFE">
                      <w:pPr>
                        <w:pStyle w:val="NormalWeb"/>
                        <w:spacing w:after="0"/>
                        <w:ind w:left="-113" w:right="-113"/>
                        <w:jc w:val="center"/>
                        <w:rPr>
                          <w:sz w:val="12"/>
                          <w:szCs w:val="12"/>
                          <w:lang w:val="en-CA"/>
                        </w:rPr>
                      </w:pPr>
                      <w:r>
                        <w:rPr>
                          <w:sz w:val="12"/>
                          <w:szCs w:val="12"/>
                          <w:lang w:val="en-CA"/>
                        </w:rPr>
                        <w:t>Sustainable tourism enterprises are established, providing alternative livelihoods to communities and incentives for conservation</w:t>
                      </w:r>
                    </w:p>
                  </w:txbxContent>
                </v:textbox>
                <w10:wrap type="square"/>
              </v:shape>
            </w:pict>
          </mc:Fallback>
        </mc:AlternateContent>
      </w:r>
      <w:r w:rsidR="00302BFE">
        <w:rPr>
          <w:noProof/>
        </w:rPr>
        <mc:AlternateContent>
          <mc:Choice Requires="wps">
            <w:drawing>
              <wp:anchor distT="0" distB="0" distL="114300" distR="114300" simplePos="0" relativeHeight="251727872" behindDoc="0" locked="0" layoutInCell="1" allowOverlap="1" wp14:anchorId="24101AFC" wp14:editId="18E7FADC">
                <wp:simplePos x="0" y="0"/>
                <wp:positionH relativeFrom="column">
                  <wp:posOffset>7005140</wp:posOffset>
                </wp:positionH>
                <wp:positionV relativeFrom="paragraph">
                  <wp:posOffset>52010</wp:posOffset>
                </wp:positionV>
                <wp:extent cx="1892300" cy="426720"/>
                <wp:effectExtent l="0" t="0" r="12700" b="11430"/>
                <wp:wrapNone/>
                <wp:docPr id="96" name="Zone de texte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0" cy="426720"/>
                        </a:xfrm>
                        <a:prstGeom prst="rect">
                          <a:avLst/>
                        </a:prstGeom>
                        <a:solidFill>
                          <a:sysClr val="window" lastClr="FFFFFF"/>
                        </a:solidFill>
                        <a:ln w="6350">
                          <a:solidFill>
                            <a:srgbClr val="5B9BD5">
                              <a:lumMod val="60000"/>
                              <a:lumOff val="40000"/>
                            </a:srgbClr>
                          </a:solidFill>
                        </a:ln>
                      </wps:spPr>
                      <wps:txbx>
                        <w:txbxContent>
                          <w:p w14:paraId="682CC8C2" w14:textId="77777777" w:rsidR="00ED1ADA" w:rsidRPr="00165376" w:rsidRDefault="00ED1ADA" w:rsidP="00302BFE">
                            <w:pPr>
                              <w:spacing w:after="0"/>
                              <w:ind w:left="-113" w:right="-113"/>
                              <w:jc w:val="center"/>
                              <w:rPr>
                                <w:rFonts w:ascii="Times New Roman" w:hAnsi="Times New Roman"/>
                                <w:sz w:val="12"/>
                                <w:szCs w:val="12"/>
                                <w:lang w:val="en-CA"/>
                              </w:rPr>
                            </w:pPr>
                            <w:r w:rsidRPr="00165376">
                              <w:rPr>
                                <w:rFonts w:ascii="Times New Roman" w:hAnsi="Times New Roman"/>
                                <w:sz w:val="14"/>
                                <w:szCs w:val="14"/>
                                <w:lang w:val="en-CA"/>
                              </w:rPr>
                              <w:t>Knowledge, experiences and lessons compiled and widely disseminated to be replicated at the scale of the PONASI landscape and in the country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01AFC" id="Zone de texte 96" o:spid="_x0000_s1060" type="#_x0000_t202" style="position:absolute;left:0;text-align:left;margin-left:551.6pt;margin-top:4.1pt;width:149pt;height:33.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" fillcolor="window" strokecolor="#9dc3e6" strokeweight=".5pt">
                <v:path arrowok="t"/>
                <v:textbox>
                  <w:txbxContent>
                    <w:p w14:paraId="682CC8C2" w14:textId="77777777" w:rsidR="00ED1ADA" w:rsidRPr="00165376" w:rsidRDefault="00ED1ADA" w:rsidP="00302BFE">
                      <w:pPr>
                        <w:spacing w:after="0"/>
                        <w:ind w:left="-113" w:right="-113"/>
                        <w:jc w:val="center"/>
                        <w:rPr>
                          <w:rFonts w:ascii="Times New Roman" w:hAnsi="Times New Roman"/>
                          <w:sz w:val="12"/>
                          <w:szCs w:val="12"/>
                          <w:lang w:val="en-CA"/>
                        </w:rPr>
                      </w:pPr>
                      <w:r w:rsidRPr="00165376">
                        <w:rPr>
                          <w:rFonts w:ascii="Times New Roman" w:hAnsi="Times New Roman"/>
                          <w:sz w:val="14"/>
                          <w:szCs w:val="14"/>
                          <w:lang w:val="en-CA"/>
                        </w:rPr>
                        <w:t>Knowledge, experiences and lessons compiled and widely disseminated to be replicated at the scale of the PONASI landscape and in the country</w:t>
                      </w:r>
                    </w:p>
                  </w:txbxContent>
                </v:textbox>
              </v:shape>
            </w:pict>
          </mc:Fallback>
        </mc:AlternateContent>
      </w:r>
    </w:p>
    <w:p w14:paraId="7AF62A9C" w14:textId="77777777" w:rsidR="00302BFE" w:rsidRDefault="00302BFE" w:rsidP="00302BFE">
      <w:pPr>
        <w:spacing w:after="0" w:line="220" w:lineRule="exact"/>
        <w:jc w:val="right"/>
        <w:rPr>
          <w:rFonts w:ascii="Times New Roman" w:hAnsi="Times New Roman"/>
          <w:b/>
          <w:sz w:val="24"/>
          <w:lang w:val="en-CA"/>
        </w:rPr>
      </w:pPr>
    </w:p>
    <w:p w14:paraId="50CDA1C0" w14:textId="77777777" w:rsidR="00302BFE" w:rsidRDefault="00122E02" w:rsidP="00302BFE">
      <w:pPr>
        <w:spacing w:after="0" w:line="220" w:lineRule="exact"/>
        <w:jc w:val="right"/>
        <w:rPr>
          <w:rFonts w:ascii="Times New Roman" w:hAnsi="Times New Roman"/>
          <w:b/>
          <w:sz w:val="24"/>
          <w:lang w:val="en-CA"/>
        </w:rPr>
      </w:pPr>
      <w:r>
        <w:rPr>
          <w:noProof/>
        </w:rPr>
        <mc:AlternateContent>
          <mc:Choice Requires="wps">
            <w:drawing>
              <wp:anchor distT="0" distB="0" distL="114300" distR="114300" simplePos="0" relativeHeight="251718656" behindDoc="0" locked="0" layoutInCell="1" allowOverlap="1" wp14:anchorId="168F7E13" wp14:editId="19E46291">
                <wp:simplePos x="0" y="0"/>
                <wp:positionH relativeFrom="column">
                  <wp:posOffset>296088</wp:posOffset>
                </wp:positionH>
                <wp:positionV relativeFrom="paragraph">
                  <wp:posOffset>49487</wp:posOffset>
                </wp:positionV>
                <wp:extent cx="2241550" cy="294005"/>
                <wp:effectExtent l="0" t="0" r="25400" b="10795"/>
                <wp:wrapNone/>
                <wp:docPr id="91" name="Zone de texte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1550" cy="294005"/>
                        </a:xfrm>
                        <a:prstGeom prst="rect">
                          <a:avLst/>
                        </a:prstGeom>
                        <a:noFill/>
                        <a:ln w="9525">
                          <a:solidFill>
                            <a:srgbClr val="4BACC6"/>
                          </a:solidFill>
                          <a:miter lim="800000"/>
                          <a:headEnd/>
                          <a:tailEnd/>
                        </a:ln>
                        <a:extLst>
                          <a:ext uri="{909E8E84-426E-40DD-AFC4-6F175D3DCCD1}">
                            <a14:hiddenFill xmlns:a14="http://schemas.microsoft.com/office/drawing/2010/main">
                              <a:solidFill>
                                <a:srgbClr val="FFFFFF"/>
                              </a:solidFill>
                            </a14:hiddenFill>
                          </a:ext>
                        </a:extLst>
                      </wps:spPr>
                      <wps:txbx>
                        <w:txbxContent>
                          <w:p w14:paraId="45802C5A" w14:textId="77777777" w:rsidR="00ED1ADA" w:rsidRDefault="00ED1ADA" w:rsidP="00302BFE">
                            <w:pPr>
                              <w:pStyle w:val="NormalWeb"/>
                              <w:spacing w:before="0" w:beforeAutospacing="0" w:after="0" w:afterAutospacing="0"/>
                              <w:ind w:left="-113" w:right="-113"/>
                              <w:jc w:val="center"/>
                              <w:rPr>
                                <w:sz w:val="12"/>
                                <w:szCs w:val="12"/>
                                <w:lang w:val="en-CA"/>
                              </w:rPr>
                            </w:pPr>
                            <w:r>
                              <w:rPr>
                                <w:sz w:val="12"/>
                                <w:szCs w:val="12"/>
                                <w:lang w:val="en-CA"/>
                              </w:rPr>
                              <w:t>PONASI Landscape Management Master Plan developed to guide integrated and harmonized management over the next 15 years</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68F7E13" id="Zone de texte 91" o:spid="_x0000_s1061" type="#_x0000_t202" style="position:absolute;left:0;text-align:left;margin-left:23.3pt;margin-top:3.9pt;width:176.5pt;height:23.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" filled="f" strokecolor="#4bacc6">
                <v:path arrowok="t"/>
                <v:textbox inset=",0,,0">
                  <w:txbxContent>
                    <w:p w14:paraId="45802C5A" w14:textId="77777777" w:rsidR="00ED1ADA" w:rsidRDefault="00ED1ADA" w:rsidP="00302BFE">
                      <w:pPr>
                        <w:pStyle w:val="NormalWeb"/>
                        <w:spacing w:before="0" w:beforeAutospacing="0" w:after="0" w:afterAutospacing="0"/>
                        <w:ind w:left="-113" w:right="-113"/>
                        <w:jc w:val="center"/>
                        <w:rPr>
                          <w:sz w:val="12"/>
                          <w:szCs w:val="12"/>
                          <w:lang w:val="en-CA"/>
                        </w:rPr>
                      </w:pPr>
                      <w:r>
                        <w:rPr>
                          <w:sz w:val="12"/>
                          <w:szCs w:val="12"/>
                          <w:lang w:val="en-CA"/>
                        </w:rPr>
                        <w:t>PONASI Landscape Management Master Plan developed to guide integrated and harmonized management over the next 15 years</w:t>
                      </w:r>
                    </w:p>
                  </w:txbxContent>
                </v:textbox>
              </v:shape>
            </w:pict>
          </mc:Fallback>
        </mc:AlternateContent>
      </w:r>
    </w:p>
    <w:p w14:paraId="7BC31EFC" w14:textId="77777777" w:rsidR="00302BFE" w:rsidRDefault="00122E02" w:rsidP="00302BFE">
      <w:pPr>
        <w:spacing w:after="0" w:line="220" w:lineRule="exact"/>
        <w:rPr>
          <w:rFonts w:ascii="Times New Roman" w:hAnsi="Times New Roman"/>
          <w:b/>
          <w:szCs w:val="20"/>
          <w:lang w:val="en-CA"/>
        </w:rPr>
      </w:pPr>
      <w:r>
        <w:rPr>
          <w:noProof/>
        </w:rPr>
        <mc:AlternateContent>
          <mc:Choice Requires="wps">
            <w:drawing>
              <wp:anchor distT="0" distB="0" distL="114300" distR="114300" simplePos="0" relativeHeight="251720704" behindDoc="0" locked="0" layoutInCell="1" allowOverlap="1" wp14:anchorId="69A608F9" wp14:editId="21B3306B">
                <wp:simplePos x="0" y="0"/>
                <wp:positionH relativeFrom="column">
                  <wp:posOffset>2728494</wp:posOffset>
                </wp:positionH>
                <wp:positionV relativeFrom="paragraph">
                  <wp:posOffset>12649</wp:posOffset>
                </wp:positionV>
                <wp:extent cx="2007235" cy="278130"/>
                <wp:effectExtent l="0" t="0" r="12065" b="26670"/>
                <wp:wrapNone/>
                <wp:docPr id="89" name="Zone de texte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235" cy="278130"/>
                        </a:xfrm>
                        <a:prstGeom prst="rect">
                          <a:avLst/>
                        </a:prstGeom>
                        <a:solidFill>
                          <a:sysClr val="window" lastClr="FFFFFF"/>
                        </a:solidFill>
                        <a:ln w="6350">
                          <a:solidFill>
                            <a:srgbClr val="5B9BD5">
                              <a:lumMod val="60000"/>
                              <a:lumOff val="40000"/>
                            </a:srgbClr>
                          </a:solidFill>
                        </a:ln>
                      </wps:spPr>
                      <wps:txbx>
                        <w:txbxContent>
                          <w:p w14:paraId="607E7B7F" w14:textId="77777777" w:rsidR="00ED1ADA" w:rsidRDefault="00ED1ADA" w:rsidP="00302BFE">
                            <w:pPr>
                              <w:pStyle w:val="NormalWeb"/>
                              <w:spacing w:after="0"/>
                              <w:ind w:left="-115" w:right="-115"/>
                              <w:jc w:val="center"/>
                              <w:rPr>
                                <w:sz w:val="12"/>
                                <w:szCs w:val="12"/>
                                <w:lang w:val="en-CA"/>
                              </w:rPr>
                            </w:pPr>
                            <w:r>
                              <w:rPr>
                                <w:sz w:val="12"/>
                                <w:szCs w:val="12"/>
                                <w:lang w:val="en-CA"/>
                              </w:rPr>
                              <w:t>Effective plan to protect elephants across the PONASI landscape developed and implemented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608F9" id="Zone de texte 89" o:spid="_x0000_s1062" type="#_x0000_t202" style="position:absolute;left:0;text-align:left;margin-left:214.85pt;margin-top:1pt;width:158.05pt;height:21.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" fillcolor="window" strokecolor="#9dc3e6" strokeweight=".5pt">
                <v:path arrowok="t"/>
                <v:textbox>
                  <w:txbxContent>
                    <w:p w14:paraId="607E7B7F" w14:textId="77777777" w:rsidR="00ED1ADA" w:rsidRDefault="00ED1ADA" w:rsidP="00302BFE">
                      <w:pPr>
                        <w:pStyle w:val="NormalWeb"/>
                        <w:spacing w:after="0"/>
                        <w:ind w:left="-115" w:right="-115"/>
                        <w:jc w:val="center"/>
                        <w:rPr>
                          <w:sz w:val="12"/>
                          <w:szCs w:val="12"/>
                          <w:lang w:val="en-CA"/>
                        </w:rPr>
                      </w:pPr>
                      <w:r>
                        <w:rPr>
                          <w:sz w:val="12"/>
                          <w:szCs w:val="12"/>
                          <w:lang w:val="en-CA"/>
                        </w:rPr>
                        <w:t>Effective plan to protect elephants across the PONASI landscape developed and implemented</w:t>
                      </w:r>
                    </w:p>
                  </w:txbxContent>
                </v:textbox>
              </v:shape>
            </w:pict>
          </mc:Fallback>
        </mc:AlternateContent>
      </w:r>
      <w:r w:rsidR="00302BFE">
        <w:rPr>
          <w:noProof/>
        </w:rPr>
        <mc:AlternateContent>
          <mc:Choice Requires="wps">
            <w:drawing>
              <wp:anchor distT="45720" distB="45720" distL="114300" distR="114300" simplePos="0" relativeHeight="251719680" behindDoc="0" locked="0" layoutInCell="1" allowOverlap="1" wp14:anchorId="72554B4A" wp14:editId="4D364E98">
                <wp:simplePos x="0" y="0"/>
                <wp:positionH relativeFrom="column">
                  <wp:posOffset>4996815</wp:posOffset>
                </wp:positionH>
                <wp:positionV relativeFrom="paragraph">
                  <wp:posOffset>26670</wp:posOffset>
                </wp:positionV>
                <wp:extent cx="1809115" cy="354330"/>
                <wp:effectExtent l="0" t="0" r="19685" b="26670"/>
                <wp:wrapSquare wrapText="bothSides"/>
                <wp:docPr id="90" name="Zone de texte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115" cy="354330"/>
                        </a:xfrm>
                        <a:prstGeom prst="rect">
                          <a:avLst/>
                        </a:prstGeom>
                        <a:solidFill>
                          <a:sysClr val="window" lastClr="FFFFFF"/>
                        </a:solidFill>
                        <a:ln w="6350" cap="flat" cmpd="sng" algn="ctr">
                          <a:solidFill>
                            <a:srgbClr val="00B0F0"/>
                          </a:solidFill>
                          <a:prstDash val="solid"/>
                          <a:miter lim="800000"/>
                          <a:headEnd/>
                          <a:tailEnd/>
                        </a:ln>
                        <a:effectLst/>
                      </wps:spPr>
                      <wps:txbx>
                        <w:txbxContent>
                          <w:p w14:paraId="1A1C9A90" w14:textId="77777777" w:rsidR="00ED1ADA" w:rsidRDefault="00ED1ADA" w:rsidP="00302BFE">
                            <w:pPr>
                              <w:pStyle w:val="NormalWeb"/>
                              <w:spacing w:after="0"/>
                              <w:ind w:left="-115" w:right="-115"/>
                              <w:jc w:val="center"/>
                              <w:rPr>
                                <w:sz w:val="12"/>
                                <w:szCs w:val="12"/>
                                <w:lang w:val="en-CA"/>
                              </w:rPr>
                            </w:pPr>
                            <w:r>
                              <w:rPr>
                                <w:sz w:val="12"/>
                                <w:szCs w:val="12"/>
                                <w:lang w:val="en-CA"/>
                              </w:rPr>
                              <w:t>Sustainable local NWFP value chains are established, providing sustainable livelihoods for women and vulnerable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554B4A" id="Zone de texte 90" o:spid="_x0000_s1063" type="#_x0000_t202" style="position:absolute;left:0;text-align:left;margin-left:393.45pt;margin-top:2.1pt;width:142.45pt;height:27.9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" fillcolor="window" strokecolor="#00b0f0" strokeweight=".5pt">
                <v:textbox>
                  <w:txbxContent>
                    <w:p w14:paraId="1A1C9A90" w14:textId="77777777" w:rsidR="00ED1ADA" w:rsidRDefault="00ED1ADA" w:rsidP="00302BFE">
                      <w:pPr>
                        <w:pStyle w:val="NormalWeb"/>
                        <w:spacing w:after="0"/>
                        <w:ind w:left="-115" w:right="-115"/>
                        <w:jc w:val="center"/>
                        <w:rPr>
                          <w:sz w:val="12"/>
                          <w:szCs w:val="12"/>
                          <w:lang w:val="en-CA"/>
                        </w:rPr>
                      </w:pPr>
                      <w:r>
                        <w:rPr>
                          <w:sz w:val="12"/>
                          <w:szCs w:val="12"/>
                          <w:lang w:val="en-CA"/>
                        </w:rPr>
                        <w:t>Sustainable local NWFP value chains are established, providing sustainable livelihoods for women and vulnerable people</w:t>
                      </w:r>
                    </w:p>
                  </w:txbxContent>
                </v:textbox>
                <w10:wrap type="square"/>
              </v:shape>
            </w:pict>
          </mc:Fallback>
        </mc:AlternateContent>
      </w:r>
    </w:p>
    <w:p w14:paraId="07889A65" w14:textId="77777777" w:rsidR="00302BFE" w:rsidRDefault="00302BFE" w:rsidP="00302BFE">
      <w:pPr>
        <w:spacing w:after="0" w:line="220" w:lineRule="exact"/>
        <w:rPr>
          <w:rFonts w:ascii="Times New Roman" w:hAnsi="Times New Roman"/>
          <w:b/>
          <w:szCs w:val="20"/>
          <w:lang w:val="en-CA"/>
        </w:rPr>
      </w:pPr>
    </w:p>
    <w:p w14:paraId="1E97B716" w14:textId="77777777" w:rsidR="00302BFE" w:rsidRDefault="00302BFE" w:rsidP="00302BFE">
      <w:pPr>
        <w:spacing w:after="0" w:line="220" w:lineRule="exact"/>
        <w:rPr>
          <w:rFonts w:ascii="Times New Roman" w:hAnsi="Times New Roman"/>
          <w:b/>
          <w:sz w:val="24"/>
          <w:lang w:val="en-CA"/>
        </w:rPr>
      </w:pPr>
    </w:p>
    <w:p w14:paraId="3D5788C8" w14:textId="77777777" w:rsidR="00302BFE" w:rsidRDefault="00302BFE" w:rsidP="00302BFE">
      <w:pPr>
        <w:spacing w:after="0" w:line="220" w:lineRule="exact"/>
        <w:rPr>
          <w:rFonts w:ascii="Times New Roman" w:hAnsi="Times New Roman"/>
          <w:b/>
          <w:sz w:val="24"/>
          <w:lang w:val="en-CA"/>
        </w:rPr>
      </w:pPr>
      <w:r>
        <w:rPr>
          <w:noProof/>
        </w:rPr>
        <mc:AlternateContent>
          <mc:Choice Requires="wps">
            <w:drawing>
              <wp:anchor distT="0" distB="0" distL="114300" distR="114300" simplePos="0" relativeHeight="251697152" behindDoc="0" locked="0" layoutInCell="1" allowOverlap="1" wp14:anchorId="3771E8AC" wp14:editId="27F7E4F4">
                <wp:simplePos x="0" y="0"/>
                <wp:positionH relativeFrom="margin">
                  <wp:posOffset>8121650</wp:posOffset>
                </wp:positionH>
                <wp:positionV relativeFrom="paragraph">
                  <wp:posOffset>62865</wp:posOffset>
                </wp:positionV>
                <wp:extent cx="364490" cy="429895"/>
                <wp:effectExtent l="81597" t="32703" r="21908" b="21907"/>
                <wp:wrapNone/>
                <wp:docPr id="87" name="Connecteur : en angl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363855" cy="429895"/>
                        </a:xfrm>
                        <a:prstGeom prst="bentConnector3">
                          <a:avLst>
                            <a:gd name="adj1" fmla="val 67807"/>
                          </a:avLst>
                        </a:prstGeom>
                        <a:noFill/>
                        <a:ln w="9525">
                          <a:solidFill>
                            <a:srgbClr val="4A7EBB"/>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47DB185" id="Connecteur : en angle 87" o:spid="_x0000_s1026" type="#_x0000_t34" style="position:absolute;margin-left:639.5pt;margin-top:4.95pt;width:28.7pt;height:33.85pt;rotation:90;flip:y;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" adj="14646" strokecolor="#4a7ebb">
                <v:stroke endarrow="block"/>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6C172FA4" wp14:editId="508B9FF6">
                <wp:simplePos x="0" y="0"/>
                <wp:positionH relativeFrom="margin">
                  <wp:posOffset>3244850</wp:posOffset>
                </wp:positionH>
                <wp:positionV relativeFrom="paragraph">
                  <wp:posOffset>46355</wp:posOffset>
                </wp:positionV>
                <wp:extent cx="480695" cy="506730"/>
                <wp:effectExtent l="6033" t="32067" r="77787" b="20638"/>
                <wp:wrapNone/>
                <wp:docPr id="184" name="Connecteur : en angl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480060" cy="506730"/>
                        </a:xfrm>
                        <a:prstGeom prst="bentConnector3">
                          <a:avLst>
                            <a:gd name="adj1" fmla="val 64912"/>
                          </a:avLst>
                        </a:prstGeom>
                        <a:noFill/>
                        <a:ln w="9525">
                          <a:solidFill>
                            <a:srgbClr val="4A7EBB"/>
                          </a:solidFill>
                          <a:miter lim="800000"/>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2D059FE8" id="Connecteur : en angle 184" o:spid="_x0000_s1026" type="#_x0000_t34" style="position:absolute;margin-left:255.5pt;margin-top:3.65pt;width:37.85pt;height:39.9pt;rotation:90;flip:x 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" adj="14021" strokecolor="#4a7ebb">
                <v:stroke endarrow="block"/>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17848419" wp14:editId="51CC83DB">
                <wp:simplePos x="0" y="0"/>
                <wp:positionH relativeFrom="margin">
                  <wp:posOffset>6005830</wp:posOffset>
                </wp:positionH>
                <wp:positionV relativeFrom="paragraph">
                  <wp:posOffset>36195</wp:posOffset>
                </wp:positionV>
                <wp:extent cx="311150" cy="429895"/>
                <wp:effectExtent l="73977" t="40323" r="29528" b="10477"/>
                <wp:wrapNone/>
                <wp:docPr id="86" name="Connecteur : en angl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310515" cy="429260"/>
                        </a:xfrm>
                        <a:prstGeom prst="bentConnector3">
                          <a:avLst>
                            <a:gd name="adj1" fmla="val 61085"/>
                          </a:avLst>
                        </a:prstGeom>
                        <a:noFill/>
                        <a:ln w="9525">
                          <a:solidFill>
                            <a:srgbClr val="4A7EBB"/>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D7AA4BF" id="Connecteur : en angle 86" o:spid="_x0000_s1026" type="#_x0000_t34" style="position:absolute;margin-left:472.9pt;margin-top:2.85pt;width:24.5pt;height:33.85pt;rotation:90;flip:y;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" adj="13194" strokecolor="#4a7ebb">
                <v:stroke endarrow="block"/>
                <w10:wrap anchorx="margin"/>
              </v:shape>
            </w:pict>
          </mc:Fallback>
        </mc:AlternateContent>
      </w:r>
      <w:r>
        <w:rPr>
          <w:noProof/>
        </w:rPr>
        <mc:AlternateContent>
          <mc:Choice Requires="wps">
            <w:drawing>
              <wp:anchor distT="0" distB="0" distL="114300" distR="114300" simplePos="0" relativeHeight="251685888" behindDoc="0" locked="0" layoutInCell="1" allowOverlap="1" wp14:anchorId="2DEB3B0E" wp14:editId="34456167">
                <wp:simplePos x="0" y="0"/>
                <wp:positionH relativeFrom="margin">
                  <wp:posOffset>773430</wp:posOffset>
                </wp:positionH>
                <wp:positionV relativeFrom="paragraph">
                  <wp:posOffset>187325</wp:posOffset>
                </wp:positionV>
                <wp:extent cx="401955" cy="264160"/>
                <wp:effectExtent l="0" t="45402" r="66992" b="9843"/>
                <wp:wrapNone/>
                <wp:docPr id="85" name="Connecteur : en angl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401955" cy="264160"/>
                        </a:xfrm>
                        <a:prstGeom prst="bentConnector3">
                          <a:avLst>
                            <a:gd name="adj1" fmla="val 69142"/>
                          </a:avLst>
                        </a:prstGeom>
                        <a:noFill/>
                        <a:ln w="9525">
                          <a:solidFill>
                            <a:srgbClr val="4A7EBB"/>
                          </a:solidFill>
                          <a:miter lim="800000"/>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0E97396D" id="Connecteur : en angle 85" o:spid="_x0000_s1026" type="#_x0000_t34" style="position:absolute;margin-left:60.9pt;margin-top:14.75pt;width:31.65pt;height:20.8pt;rotation:90;flip:x 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" adj="14935" strokecolor="#4a7ebb">
                <v:stroke endarrow="block"/>
                <w10:wrap anchorx="margin"/>
              </v:shape>
            </w:pict>
          </mc:Fallback>
        </mc:AlternateContent>
      </w:r>
    </w:p>
    <w:p w14:paraId="62272690" w14:textId="77777777" w:rsidR="00302BFE" w:rsidRDefault="00122E02" w:rsidP="00302BFE">
      <w:pPr>
        <w:spacing w:after="0" w:line="220" w:lineRule="exact"/>
        <w:rPr>
          <w:rFonts w:ascii="Times New Roman" w:hAnsi="Times New Roman"/>
          <w:b/>
          <w:sz w:val="24"/>
          <w:lang w:val="en-CA"/>
        </w:rPr>
      </w:pPr>
      <w:r>
        <w:rPr>
          <w:noProof/>
        </w:rPr>
        <mc:AlternateContent>
          <mc:Choice Requires="wps">
            <w:drawing>
              <wp:anchor distT="0" distB="0" distL="114300" distR="114300" simplePos="0" relativeHeight="251677696" behindDoc="0" locked="0" layoutInCell="1" allowOverlap="1" wp14:anchorId="64B673AC" wp14:editId="468083B9">
                <wp:simplePos x="0" y="0"/>
                <wp:positionH relativeFrom="column">
                  <wp:posOffset>869950</wp:posOffset>
                </wp:positionH>
                <wp:positionV relativeFrom="paragraph">
                  <wp:posOffset>110490</wp:posOffset>
                </wp:positionV>
                <wp:extent cx="1198880" cy="207010"/>
                <wp:effectExtent l="0" t="0" r="0" b="2540"/>
                <wp:wrapSquare wrapText="bothSides"/>
                <wp:docPr id="179" name="Zone de texte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8880" cy="207010"/>
                        </a:xfrm>
                        <a:prstGeom prst="rect">
                          <a:avLst/>
                        </a:prstGeom>
                        <a:noFill/>
                        <a:ln>
                          <a:noFill/>
                        </a:ln>
                        <a:effectLst/>
                        <a:extLst>
                          <a:ext uri="{C572A759-6A51-4108-AA02-DFA0A04FC94B}"/>
                        </a:extLst>
                      </wps:spPr>
                      <wps:txbx>
                        <w:txbxContent>
                          <w:p w14:paraId="15661CFC" w14:textId="77777777" w:rsidR="00ED1ADA" w:rsidRDefault="00ED1ADA" w:rsidP="00302BFE">
                            <w:pPr>
                              <w:jc w:val="center"/>
                              <w:rPr>
                                <w:rFonts w:ascii="Times New Roman" w:hAnsi="Times New Roman"/>
                                <w:b/>
                                <w:sz w:val="16"/>
                                <w:szCs w:val="16"/>
                              </w:rPr>
                            </w:pPr>
                            <w:r>
                              <w:rPr>
                                <w:rFonts w:ascii="Times New Roman" w:hAnsi="Times New Roman"/>
                                <w:b/>
                                <w:sz w:val="16"/>
                                <w:szCs w:val="16"/>
                              </w:rPr>
                              <w:t>Component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B673AC" id="Zone de texte 179" o:spid="_x0000_s1064" type="#_x0000_t202" style="position:absolute;left:0;text-align:left;margin-left:68.5pt;margin-top:8.7pt;width:94.4pt;height:1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" filled="f" stroked="f">
                <v:textbox>
                  <w:txbxContent>
                    <w:p w14:paraId="15661CFC" w14:textId="77777777" w:rsidR="00ED1ADA" w:rsidRDefault="00ED1ADA" w:rsidP="00302BFE">
                      <w:pPr>
                        <w:jc w:val="center"/>
                        <w:rPr>
                          <w:rFonts w:ascii="Times New Roman" w:hAnsi="Times New Roman"/>
                          <w:b/>
                          <w:sz w:val="16"/>
                          <w:szCs w:val="16"/>
                        </w:rPr>
                      </w:pPr>
                      <w:r>
                        <w:rPr>
                          <w:rFonts w:ascii="Times New Roman" w:hAnsi="Times New Roman"/>
                          <w:b/>
                          <w:sz w:val="16"/>
                          <w:szCs w:val="16"/>
                        </w:rPr>
                        <w:t>Component 1</w:t>
                      </w:r>
                    </w:p>
                  </w:txbxContent>
                </v:textbox>
                <w10:wrap type="square"/>
              </v:shape>
            </w:pict>
          </mc:Fallback>
        </mc:AlternateContent>
      </w:r>
      <w:r>
        <w:rPr>
          <w:noProof/>
        </w:rPr>
        <mc:AlternateContent>
          <mc:Choice Requires="wps">
            <w:drawing>
              <wp:anchor distT="0" distB="0" distL="114300" distR="114300" simplePos="0" relativeHeight="251687936" behindDoc="0" locked="0" layoutInCell="1" allowOverlap="1" wp14:anchorId="4B4A1BCF" wp14:editId="7519B89A">
                <wp:simplePos x="0" y="0"/>
                <wp:positionH relativeFrom="column">
                  <wp:posOffset>5022215</wp:posOffset>
                </wp:positionH>
                <wp:positionV relativeFrom="paragraph">
                  <wp:posOffset>28575</wp:posOffset>
                </wp:positionV>
                <wp:extent cx="1090295" cy="228600"/>
                <wp:effectExtent l="0" t="0" r="0" b="0"/>
                <wp:wrapSquare wrapText="bothSides"/>
                <wp:docPr id="84" name="Zone de texte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0295" cy="228600"/>
                        </a:xfrm>
                        <a:prstGeom prst="rect">
                          <a:avLst/>
                        </a:prstGeom>
                        <a:noFill/>
                        <a:ln>
                          <a:noFill/>
                        </a:ln>
                        <a:effectLst/>
                        <a:extLst>
                          <a:ext uri="{C572A759-6A51-4108-AA02-DFA0A04FC94B}"/>
                        </a:extLst>
                      </wps:spPr>
                      <wps:txbx>
                        <w:txbxContent>
                          <w:p w14:paraId="0D3E365B" w14:textId="77777777" w:rsidR="00ED1ADA" w:rsidRDefault="00ED1ADA" w:rsidP="00302BFE">
                            <w:pPr>
                              <w:jc w:val="center"/>
                              <w:rPr>
                                <w:rFonts w:ascii="Times New Roman" w:hAnsi="Times New Roman"/>
                                <w:b/>
                                <w:sz w:val="16"/>
                                <w:szCs w:val="16"/>
                              </w:rPr>
                            </w:pPr>
                            <w:r>
                              <w:rPr>
                                <w:rFonts w:ascii="Times New Roman" w:hAnsi="Times New Roman"/>
                                <w:b/>
                                <w:sz w:val="16"/>
                                <w:szCs w:val="16"/>
                              </w:rPr>
                              <w:t>Component 3</w:t>
                            </w:r>
                          </w:p>
                          <w:p w14:paraId="26B7FCEE" w14:textId="77777777" w:rsidR="00ED1ADA" w:rsidRDefault="00ED1A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4A1BCF" id="Zone de texte 84" o:spid="_x0000_s1065" type="#_x0000_t202" style="position:absolute;left:0;text-align:left;margin-left:395.45pt;margin-top:2.25pt;width:85.85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" filled="f" stroked="f">
                <v:textbox>
                  <w:txbxContent>
                    <w:p w14:paraId="0D3E365B" w14:textId="77777777" w:rsidR="00ED1ADA" w:rsidRDefault="00ED1ADA" w:rsidP="00302BFE">
                      <w:pPr>
                        <w:jc w:val="center"/>
                        <w:rPr>
                          <w:rFonts w:ascii="Times New Roman" w:hAnsi="Times New Roman"/>
                          <w:b/>
                          <w:sz w:val="16"/>
                          <w:szCs w:val="16"/>
                        </w:rPr>
                      </w:pPr>
                      <w:r>
                        <w:rPr>
                          <w:rFonts w:ascii="Times New Roman" w:hAnsi="Times New Roman"/>
                          <w:b/>
                          <w:sz w:val="16"/>
                          <w:szCs w:val="16"/>
                        </w:rPr>
                        <w:t>Component 3</w:t>
                      </w:r>
                    </w:p>
                    <w:p w14:paraId="26B7FCEE" w14:textId="77777777" w:rsidR="00ED1ADA" w:rsidRDefault="00ED1ADA"/>
                  </w:txbxContent>
                </v:textbox>
                <w10:wrap type="square"/>
              </v:shape>
            </w:pict>
          </mc:Fallback>
        </mc:AlternateContent>
      </w:r>
      <w:r w:rsidR="00302BFE">
        <w:rPr>
          <w:noProof/>
        </w:rPr>
        <mc:AlternateContent>
          <mc:Choice Requires="wps">
            <w:drawing>
              <wp:anchor distT="0" distB="0" distL="114300" distR="114300" simplePos="0" relativeHeight="251679744" behindDoc="0" locked="0" layoutInCell="1" allowOverlap="1" wp14:anchorId="76CBD511" wp14:editId="04B9E763">
                <wp:simplePos x="0" y="0"/>
                <wp:positionH relativeFrom="column">
                  <wp:posOffset>7298055</wp:posOffset>
                </wp:positionH>
                <wp:positionV relativeFrom="paragraph">
                  <wp:posOffset>64135</wp:posOffset>
                </wp:positionV>
                <wp:extent cx="802640" cy="227965"/>
                <wp:effectExtent l="0" t="0" r="0" b="635"/>
                <wp:wrapSquare wrapText="bothSides"/>
                <wp:docPr id="180" name="Zone de texte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2640" cy="227965"/>
                        </a:xfrm>
                        <a:prstGeom prst="rect">
                          <a:avLst/>
                        </a:prstGeom>
                        <a:noFill/>
                        <a:ln>
                          <a:noFill/>
                        </a:ln>
                        <a:effectLst/>
                        <a:extLst>
                          <a:ext uri="{C572A759-6A51-4108-AA02-DFA0A04FC94B}"/>
                        </a:extLst>
                      </wps:spPr>
                      <wps:txbx>
                        <w:txbxContent>
                          <w:p w14:paraId="69D20531" w14:textId="77777777" w:rsidR="00ED1ADA" w:rsidRDefault="00ED1ADA" w:rsidP="00302BFE">
                            <w:pPr>
                              <w:jc w:val="center"/>
                              <w:rPr>
                                <w:rFonts w:ascii="Times New Roman" w:hAnsi="Times New Roman"/>
                                <w:b/>
                                <w:sz w:val="16"/>
                                <w:szCs w:val="16"/>
                              </w:rPr>
                            </w:pPr>
                            <w:r>
                              <w:rPr>
                                <w:rFonts w:ascii="Times New Roman" w:hAnsi="Times New Roman"/>
                                <w:b/>
                                <w:sz w:val="16"/>
                                <w:szCs w:val="16"/>
                              </w:rPr>
                              <w:t>Component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CBD511" id="Zone de texte 180" o:spid="_x0000_s1066" type="#_x0000_t202" style="position:absolute;left:0;text-align:left;margin-left:574.65pt;margin-top:5.05pt;width:63.2pt;height:17.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" filled="f" stroked="f">
                <v:textbox>
                  <w:txbxContent>
                    <w:p w14:paraId="69D20531" w14:textId="77777777" w:rsidR="00ED1ADA" w:rsidRDefault="00ED1ADA" w:rsidP="00302BFE">
                      <w:pPr>
                        <w:jc w:val="center"/>
                        <w:rPr>
                          <w:rFonts w:ascii="Times New Roman" w:hAnsi="Times New Roman"/>
                          <w:b/>
                          <w:sz w:val="16"/>
                          <w:szCs w:val="16"/>
                        </w:rPr>
                      </w:pPr>
                      <w:r>
                        <w:rPr>
                          <w:rFonts w:ascii="Times New Roman" w:hAnsi="Times New Roman"/>
                          <w:b/>
                          <w:sz w:val="16"/>
                          <w:szCs w:val="16"/>
                        </w:rPr>
                        <w:t>Component 4</w:t>
                      </w:r>
                    </w:p>
                  </w:txbxContent>
                </v:textbox>
                <w10:wrap type="square"/>
              </v:shape>
            </w:pict>
          </mc:Fallback>
        </mc:AlternateContent>
      </w:r>
    </w:p>
    <w:p w14:paraId="12FF4E36" w14:textId="77777777" w:rsidR="00302BFE" w:rsidRDefault="00122E02" w:rsidP="00302BFE">
      <w:pPr>
        <w:spacing w:after="0" w:line="220" w:lineRule="exact"/>
        <w:rPr>
          <w:rFonts w:ascii="Times New Roman" w:hAnsi="Times New Roman"/>
          <w:b/>
          <w:sz w:val="24"/>
          <w:lang w:val="en-CA"/>
        </w:rPr>
      </w:pPr>
      <w:r>
        <w:rPr>
          <w:noProof/>
        </w:rPr>
        <mc:AlternateContent>
          <mc:Choice Requires="wps">
            <w:drawing>
              <wp:anchor distT="0" distB="0" distL="114300" distR="114300" simplePos="0" relativeHeight="251678720" behindDoc="0" locked="0" layoutInCell="1" allowOverlap="1" wp14:anchorId="6AEE7E54" wp14:editId="5A7153A6">
                <wp:simplePos x="0" y="0"/>
                <wp:positionH relativeFrom="column">
                  <wp:posOffset>3001010</wp:posOffset>
                </wp:positionH>
                <wp:positionV relativeFrom="paragraph">
                  <wp:posOffset>9525</wp:posOffset>
                </wp:positionV>
                <wp:extent cx="1372870" cy="228600"/>
                <wp:effectExtent l="0" t="0" r="0" b="0"/>
                <wp:wrapSquare wrapText="bothSides"/>
                <wp:docPr id="177" name="Zone de texte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2870" cy="228600"/>
                        </a:xfrm>
                        <a:prstGeom prst="rect">
                          <a:avLst/>
                        </a:prstGeom>
                        <a:noFill/>
                        <a:ln>
                          <a:noFill/>
                        </a:ln>
                        <a:effectLst/>
                        <a:extLst>
                          <a:ext uri="{C572A759-6A51-4108-AA02-DFA0A04FC94B}"/>
                        </a:extLst>
                      </wps:spPr>
                      <wps:txbx>
                        <w:txbxContent>
                          <w:p w14:paraId="53E72ABE" w14:textId="77777777" w:rsidR="00ED1ADA" w:rsidRDefault="00ED1ADA" w:rsidP="00302BFE">
                            <w:pPr>
                              <w:jc w:val="center"/>
                              <w:rPr>
                                <w:rFonts w:ascii="Times New Roman" w:hAnsi="Times New Roman"/>
                                <w:b/>
                                <w:sz w:val="16"/>
                                <w:szCs w:val="16"/>
                              </w:rPr>
                            </w:pPr>
                            <w:r>
                              <w:rPr>
                                <w:rFonts w:ascii="Times New Roman" w:hAnsi="Times New Roman"/>
                                <w:b/>
                                <w:sz w:val="16"/>
                                <w:szCs w:val="16"/>
                              </w:rPr>
                              <w:t>Component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EE7E54" id="Zone de texte 177" o:spid="_x0000_s1067" type="#_x0000_t202" style="position:absolute;left:0;text-align:left;margin-left:236.3pt;margin-top:.75pt;width:108.1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" filled="f" stroked="f">
                <v:textbox>
                  <w:txbxContent>
                    <w:p w14:paraId="53E72ABE" w14:textId="77777777" w:rsidR="00ED1ADA" w:rsidRDefault="00ED1ADA" w:rsidP="00302BFE">
                      <w:pPr>
                        <w:jc w:val="center"/>
                        <w:rPr>
                          <w:rFonts w:ascii="Times New Roman" w:hAnsi="Times New Roman"/>
                          <w:b/>
                          <w:sz w:val="16"/>
                          <w:szCs w:val="16"/>
                        </w:rPr>
                      </w:pPr>
                      <w:r>
                        <w:rPr>
                          <w:rFonts w:ascii="Times New Roman" w:hAnsi="Times New Roman"/>
                          <w:b/>
                          <w:sz w:val="16"/>
                          <w:szCs w:val="16"/>
                        </w:rPr>
                        <w:t>Component 2</w:t>
                      </w:r>
                    </w:p>
                  </w:txbxContent>
                </v:textbox>
                <w10:wrap type="square"/>
              </v:shape>
            </w:pict>
          </mc:Fallback>
        </mc:AlternateContent>
      </w:r>
      <w:r w:rsidR="00302BFE">
        <w:rPr>
          <w:noProof/>
        </w:rPr>
        <mc:AlternateContent>
          <mc:Choice Requires="wps">
            <w:drawing>
              <wp:anchor distT="0" distB="0" distL="114300" distR="114300" simplePos="0" relativeHeight="251672576" behindDoc="0" locked="0" layoutInCell="1" allowOverlap="1" wp14:anchorId="48A30050" wp14:editId="304FE451">
                <wp:simplePos x="0" y="0"/>
                <wp:positionH relativeFrom="margin">
                  <wp:posOffset>-546735</wp:posOffset>
                </wp:positionH>
                <wp:positionV relativeFrom="paragraph">
                  <wp:posOffset>185420</wp:posOffset>
                </wp:positionV>
                <wp:extent cx="652780" cy="421640"/>
                <wp:effectExtent l="0" t="0" r="13970" b="16510"/>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421640"/>
                        </a:xfrm>
                        <a:prstGeom prst="rect">
                          <a:avLst/>
                        </a:prstGeom>
                        <a:solidFill>
                          <a:sysClr val="window" lastClr="FFFFFF"/>
                        </a:solidFill>
                        <a:ln w="25400" cap="flat" cmpd="sng" algn="ctr">
                          <a:solidFill>
                            <a:srgbClr val="FFFF00"/>
                          </a:solidFill>
                          <a:prstDash val="solid"/>
                        </a:ln>
                        <a:effectLst/>
                      </wps:spPr>
                      <wps:txbx>
                        <w:txbxContent>
                          <w:p w14:paraId="7E069B1F" w14:textId="77777777" w:rsidR="00ED1ADA" w:rsidRDefault="00ED1ADA" w:rsidP="00302BFE">
                            <w:pPr>
                              <w:pStyle w:val="NormalWeb"/>
                              <w:spacing w:after="0"/>
                              <w:jc w:val="center"/>
                              <w:rPr>
                                <w:sz w:val="16"/>
                                <w:szCs w:val="16"/>
                                <w:lang w:val="fr-CA"/>
                              </w:rPr>
                            </w:pPr>
                            <w:r>
                              <w:rPr>
                                <w:b/>
                                <w:bCs/>
                                <w:color w:val="000000"/>
                                <w:kern w:val="24"/>
                                <w:sz w:val="16"/>
                                <w:szCs w:val="16"/>
                              </w:rPr>
                              <w:t>Barriers</w:t>
                            </w:r>
                          </w:p>
                        </w:txbxContent>
                      </wps:txbx>
                      <wps:bodyPr wrap="square" lIns="121789" tIns="60894" rIns="121789" bIns="60894" spcCol="0" rtlCol="0" anchor="ctr"/>
                    </wps:wsp>
                  </a:graphicData>
                </a:graphic>
                <wp14:sizeRelH relativeFrom="page">
                  <wp14:pctWidth>0</wp14:pctWidth>
                </wp14:sizeRelH>
                <wp14:sizeRelV relativeFrom="page">
                  <wp14:pctHeight>0</wp14:pctHeight>
                </wp14:sizeRelV>
              </wp:anchor>
            </w:drawing>
          </mc:Choice>
          <mc:Fallback>
            <w:pict>
              <v:rect w14:anchorId="48A30050" id="Rectangle 161" o:spid="_x0000_s1068" style="position:absolute;left:0;text-align:left;margin-left:-43.05pt;margin-top:14.6pt;width:51.4pt;height:33.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" fillcolor="window" strokecolor="yellow" strokeweight="2pt">
                <v:path arrowok="t"/>
                <v:textbox inset="3.38303mm,1.6915mm,3.38303mm,1.6915mm">
                  <w:txbxContent>
                    <w:p w14:paraId="7E069B1F" w14:textId="77777777" w:rsidR="00ED1ADA" w:rsidRDefault="00ED1ADA" w:rsidP="00302BFE">
                      <w:pPr>
                        <w:pStyle w:val="NormalWeb"/>
                        <w:spacing w:after="0"/>
                        <w:jc w:val="center"/>
                        <w:rPr>
                          <w:sz w:val="16"/>
                          <w:szCs w:val="16"/>
                          <w:lang w:val="fr-CA"/>
                        </w:rPr>
                      </w:pPr>
                      <w:r>
                        <w:rPr>
                          <w:b/>
                          <w:bCs/>
                          <w:color w:val="000000"/>
                          <w:kern w:val="24"/>
                          <w:sz w:val="16"/>
                          <w:szCs w:val="16"/>
                        </w:rPr>
                        <w:t>Barriers</w:t>
                      </w:r>
                    </w:p>
                  </w:txbxContent>
                </v:textbox>
                <w10:wrap anchorx="margin"/>
              </v:rect>
            </w:pict>
          </mc:Fallback>
        </mc:AlternateContent>
      </w:r>
    </w:p>
    <w:p w14:paraId="676836AC" w14:textId="77777777" w:rsidR="00302BFE" w:rsidRDefault="00302BFE" w:rsidP="00302BFE">
      <w:pPr>
        <w:spacing w:after="0" w:line="220" w:lineRule="exact"/>
        <w:rPr>
          <w:rFonts w:ascii="Times New Roman" w:hAnsi="Times New Roman"/>
          <w:b/>
          <w:sz w:val="24"/>
          <w:lang w:val="en-CA"/>
        </w:rPr>
      </w:pPr>
      <w:r>
        <w:rPr>
          <w:noProof/>
        </w:rPr>
        <mc:AlternateContent>
          <mc:Choice Requires="wps">
            <w:drawing>
              <wp:anchor distT="0" distB="0" distL="114300" distR="114300" simplePos="0" relativeHeight="251681792" behindDoc="0" locked="0" layoutInCell="1" allowOverlap="1" wp14:anchorId="03F6B672" wp14:editId="2AC1DDAD">
                <wp:simplePos x="0" y="0"/>
                <wp:positionH relativeFrom="margin">
                  <wp:posOffset>7331075</wp:posOffset>
                </wp:positionH>
                <wp:positionV relativeFrom="paragraph">
                  <wp:posOffset>43180</wp:posOffset>
                </wp:positionV>
                <wp:extent cx="1555115" cy="556260"/>
                <wp:effectExtent l="0" t="0" r="26035" b="15240"/>
                <wp:wrapThrough wrapText="bothSides">
                  <wp:wrapPolygon edited="0">
                    <wp:start x="0" y="0"/>
                    <wp:lineTo x="0" y="21452"/>
                    <wp:lineTo x="21697" y="21452"/>
                    <wp:lineTo x="21697" y="0"/>
                    <wp:lineTo x="0" y="0"/>
                  </wp:wrapPolygon>
                </wp:wrapThrough>
                <wp:docPr id="181" name="Zone de texte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115" cy="556260"/>
                        </a:xfrm>
                        <a:prstGeom prst="rect">
                          <a:avLst/>
                        </a:prstGeom>
                        <a:solidFill>
                          <a:sysClr val="window" lastClr="FFFFFF"/>
                        </a:solidFill>
                        <a:ln w="25400" cap="flat" cmpd="sng" algn="ctr">
                          <a:solidFill>
                            <a:srgbClr val="FFFF00"/>
                          </a:solidFill>
                          <a:prstDash val="solid"/>
                        </a:ln>
                        <a:effectLst/>
                      </wps:spPr>
                      <wps:txbx>
                        <w:txbxContent>
                          <w:p w14:paraId="09BAF2ED" w14:textId="77777777" w:rsidR="00ED1ADA" w:rsidRDefault="00ED1ADA" w:rsidP="00302BFE">
                            <w:pPr>
                              <w:pStyle w:val="NormalWeb"/>
                              <w:spacing w:after="0"/>
                              <w:ind w:left="-180" w:right="-138"/>
                              <w:jc w:val="center"/>
                              <w:rPr>
                                <w:sz w:val="14"/>
                                <w:szCs w:val="14"/>
                                <w:lang w:val="en-CA"/>
                              </w:rPr>
                            </w:pPr>
                            <w:r>
                              <w:rPr>
                                <w:sz w:val="14"/>
                                <w:szCs w:val="14"/>
                                <w:lang w:val="en-CA"/>
                              </w:rPr>
                              <w:t>Lack of adequate knowledge management and gender mainstreaming in policies and programs</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w:pict>
              <v:shape w14:anchorId="03F6B672" id="Zone de texte 181" o:spid="_x0000_s1069" type="#_x0000_t202" style="position:absolute;left:0;text-align:left;margin-left:577.25pt;margin-top:3.4pt;width:122.45pt;height:43.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" fillcolor="window" strokecolor="yellow" strokeweight="2pt">
                <v:path arrowok="t"/>
                <v:textbox inset="3.38303mm,1.6915mm,3.38303mm,1.6915mm">
                  <w:txbxContent>
                    <w:p w14:paraId="09BAF2ED" w14:textId="77777777" w:rsidR="00ED1ADA" w:rsidRDefault="00ED1ADA" w:rsidP="00302BFE">
                      <w:pPr>
                        <w:pStyle w:val="NormalWeb"/>
                        <w:spacing w:after="0"/>
                        <w:ind w:left="-180" w:right="-138"/>
                        <w:jc w:val="center"/>
                        <w:rPr>
                          <w:sz w:val="14"/>
                          <w:szCs w:val="14"/>
                          <w:lang w:val="en-CA"/>
                        </w:rPr>
                      </w:pPr>
                      <w:r>
                        <w:rPr>
                          <w:sz w:val="14"/>
                          <w:szCs w:val="14"/>
                          <w:lang w:val="en-CA"/>
                        </w:rPr>
                        <w:t>Lack of adequate knowledge management and gender mainstreaming in policies and programs</w:t>
                      </w:r>
                    </w:p>
                  </w:txbxContent>
                </v:textbox>
                <w10:wrap type="through" anchorx="margin"/>
              </v:shape>
            </w:pict>
          </mc:Fallback>
        </mc:AlternateContent>
      </w:r>
      <w:r>
        <w:rPr>
          <w:noProof/>
        </w:rPr>
        <mc:AlternateContent>
          <mc:Choice Requires="wps">
            <w:drawing>
              <wp:anchor distT="0" distB="0" distL="114300" distR="114300" simplePos="0" relativeHeight="251670528" behindDoc="0" locked="0" layoutInCell="1" allowOverlap="1" wp14:anchorId="6A61FA68" wp14:editId="4BD04956">
                <wp:simplePos x="0" y="0"/>
                <wp:positionH relativeFrom="margin">
                  <wp:posOffset>2854325</wp:posOffset>
                </wp:positionH>
                <wp:positionV relativeFrom="paragraph">
                  <wp:posOffset>146685</wp:posOffset>
                </wp:positionV>
                <wp:extent cx="1403350" cy="445135"/>
                <wp:effectExtent l="0" t="0" r="25400" b="12065"/>
                <wp:wrapNone/>
                <wp:docPr id="154" name="Zone de texte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0" cy="445135"/>
                        </a:xfrm>
                        <a:prstGeom prst="rect">
                          <a:avLst/>
                        </a:prstGeom>
                        <a:solidFill>
                          <a:sysClr val="window" lastClr="FFFFFF"/>
                        </a:solidFill>
                        <a:ln w="25400" cap="flat" cmpd="sng" algn="ctr">
                          <a:solidFill>
                            <a:srgbClr val="FFFF00"/>
                          </a:solidFill>
                          <a:prstDash val="solid"/>
                        </a:ln>
                        <a:effectLst/>
                      </wps:spPr>
                      <wps:txbx>
                        <w:txbxContent>
                          <w:p w14:paraId="5B59A987" w14:textId="77777777" w:rsidR="00ED1ADA" w:rsidRDefault="00ED1ADA" w:rsidP="00302BFE">
                            <w:pPr>
                              <w:pStyle w:val="NormalWeb"/>
                              <w:spacing w:after="0"/>
                              <w:ind w:right="50"/>
                              <w:jc w:val="center"/>
                              <w:rPr>
                                <w:sz w:val="14"/>
                                <w:szCs w:val="14"/>
                                <w:lang w:val="en-CA"/>
                              </w:rPr>
                            </w:pPr>
                            <w:r>
                              <w:rPr>
                                <w:sz w:val="14"/>
                                <w:szCs w:val="14"/>
                                <w:lang w:val="en-CA"/>
                              </w:rPr>
                              <w:t>Lack of capacity and low efficiency of conservation area management</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w:pict>
              <v:shape w14:anchorId="6A61FA68" id="Zone de texte 154" o:spid="_x0000_s1070" type="#_x0000_t202" style="position:absolute;left:0;text-align:left;margin-left:224.75pt;margin-top:11.55pt;width:110.5pt;height:35.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" fillcolor="window" strokecolor="yellow" strokeweight="2pt">
                <v:path arrowok="t"/>
                <v:textbox inset="3.38303mm,1.6915mm,3.38303mm,1.6915mm">
                  <w:txbxContent>
                    <w:p w14:paraId="5B59A987" w14:textId="77777777" w:rsidR="00ED1ADA" w:rsidRDefault="00ED1ADA" w:rsidP="00302BFE">
                      <w:pPr>
                        <w:pStyle w:val="NormalWeb"/>
                        <w:spacing w:after="0"/>
                        <w:ind w:right="50"/>
                        <w:jc w:val="center"/>
                        <w:rPr>
                          <w:sz w:val="14"/>
                          <w:szCs w:val="14"/>
                          <w:lang w:val="en-CA"/>
                        </w:rPr>
                      </w:pPr>
                      <w:r>
                        <w:rPr>
                          <w:sz w:val="14"/>
                          <w:szCs w:val="14"/>
                          <w:lang w:val="en-CA"/>
                        </w:rPr>
                        <w:t>Lack of capacity and low efficiency of conservation area management</w:t>
                      </w:r>
                    </w:p>
                  </w:txbxContent>
                </v:textbox>
                <w10:wrap anchorx="margin"/>
              </v:shape>
            </w:pict>
          </mc:Fallback>
        </mc:AlternateContent>
      </w:r>
      <w:r>
        <w:rPr>
          <w:noProof/>
        </w:rPr>
        <mc:AlternateContent>
          <mc:Choice Requires="wps">
            <w:drawing>
              <wp:anchor distT="0" distB="0" distL="114300" distR="114300" simplePos="0" relativeHeight="251688960" behindDoc="0" locked="0" layoutInCell="1" allowOverlap="1" wp14:anchorId="109A551E" wp14:editId="0BC01075">
                <wp:simplePos x="0" y="0"/>
                <wp:positionH relativeFrom="margin">
                  <wp:posOffset>4699000</wp:posOffset>
                </wp:positionH>
                <wp:positionV relativeFrom="paragraph">
                  <wp:posOffset>6350</wp:posOffset>
                </wp:positionV>
                <wp:extent cx="2476500" cy="628650"/>
                <wp:effectExtent l="0" t="0" r="19050" b="19050"/>
                <wp:wrapNone/>
                <wp:docPr id="83" name="Zone de text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0" cy="628650"/>
                        </a:xfrm>
                        <a:prstGeom prst="rect">
                          <a:avLst/>
                        </a:prstGeom>
                        <a:solidFill>
                          <a:sysClr val="window" lastClr="FFFFFF"/>
                        </a:solidFill>
                        <a:ln w="25400" cap="flat" cmpd="sng" algn="ctr">
                          <a:solidFill>
                            <a:srgbClr val="FFFF00"/>
                          </a:solidFill>
                          <a:prstDash val="solid"/>
                        </a:ln>
                        <a:effectLst/>
                      </wps:spPr>
                      <wps:txbx>
                        <w:txbxContent>
                          <w:p w14:paraId="649A1F23" w14:textId="77777777" w:rsidR="00ED1ADA" w:rsidRDefault="00ED1ADA" w:rsidP="00302BFE">
                            <w:pPr>
                              <w:pStyle w:val="NormalWeb"/>
                              <w:spacing w:after="0"/>
                              <w:ind w:left="-180" w:right="-138"/>
                              <w:jc w:val="center"/>
                              <w:rPr>
                                <w:sz w:val="14"/>
                                <w:szCs w:val="14"/>
                                <w:lang w:val="en-CA"/>
                              </w:rPr>
                            </w:pPr>
                            <w:r>
                              <w:rPr>
                                <w:sz w:val="14"/>
                                <w:szCs w:val="14"/>
                                <w:lang w:val="en-CA"/>
                              </w:rPr>
                              <w:t>Lack of incentives for the conservation and sustainable management of land and natural resources for stakeholders, including local communities, and insufficient capacity to sustainably manage resources and develop adequate incentives</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w:pict>
              <v:shape w14:anchorId="109A551E" id="Zone de texte 83" o:spid="_x0000_s1071" type="#_x0000_t202" style="position:absolute;left:0;text-align:left;margin-left:370pt;margin-top:.5pt;width:195pt;height:49.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" fillcolor="window" strokecolor="yellow" strokeweight="2pt">
                <v:path arrowok="t"/>
                <v:textbox inset="3.38303mm,1.6915mm,3.38303mm,1.6915mm">
                  <w:txbxContent>
                    <w:p w14:paraId="649A1F23" w14:textId="77777777" w:rsidR="00ED1ADA" w:rsidRDefault="00ED1ADA" w:rsidP="00302BFE">
                      <w:pPr>
                        <w:pStyle w:val="NormalWeb"/>
                        <w:spacing w:after="0"/>
                        <w:ind w:left="-180" w:right="-138"/>
                        <w:jc w:val="center"/>
                        <w:rPr>
                          <w:sz w:val="14"/>
                          <w:szCs w:val="14"/>
                          <w:lang w:val="en-CA"/>
                        </w:rPr>
                      </w:pPr>
                      <w:r>
                        <w:rPr>
                          <w:sz w:val="14"/>
                          <w:szCs w:val="14"/>
                          <w:lang w:val="en-CA"/>
                        </w:rPr>
                        <w:t>Lack of incentives for the conservation and sustainable management of land and natural resources for stakeholders, including local communities, and insufficient capacity to sustainably manage resources and develop adequate incentives</w:t>
                      </w:r>
                    </w:p>
                  </w:txbxContent>
                </v:textbox>
                <w10:wrap anchorx="margin"/>
              </v:shape>
            </w:pict>
          </mc:Fallback>
        </mc:AlternateContent>
      </w:r>
      <w:r>
        <w:rPr>
          <w:noProof/>
        </w:rPr>
        <mc:AlternateContent>
          <mc:Choice Requires="wps">
            <w:drawing>
              <wp:anchor distT="0" distB="0" distL="114300" distR="114300" simplePos="0" relativeHeight="251671552" behindDoc="0" locked="0" layoutInCell="1" allowOverlap="1" wp14:anchorId="62440097" wp14:editId="65D78183">
                <wp:simplePos x="0" y="0"/>
                <wp:positionH relativeFrom="margin">
                  <wp:posOffset>374015</wp:posOffset>
                </wp:positionH>
                <wp:positionV relativeFrom="paragraph">
                  <wp:posOffset>114935</wp:posOffset>
                </wp:positionV>
                <wp:extent cx="2036445" cy="464185"/>
                <wp:effectExtent l="0" t="0" r="20955" b="12065"/>
                <wp:wrapNone/>
                <wp:docPr id="155" name="Zone de text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6445" cy="464185"/>
                        </a:xfrm>
                        <a:prstGeom prst="rect">
                          <a:avLst/>
                        </a:prstGeom>
                        <a:solidFill>
                          <a:sysClr val="window" lastClr="FFFFFF"/>
                        </a:solidFill>
                        <a:ln w="25400" cap="flat" cmpd="sng" algn="ctr">
                          <a:solidFill>
                            <a:srgbClr val="FFFF00"/>
                          </a:solidFill>
                          <a:prstDash val="solid"/>
                        </a:ln>
                        <a:effectLst/>
                      </wps:spPr>
                      <wps:txbx>
                        <w:txbxContent>
                          <w:p w14:paraId="0B5A5806" w14:textId="77777777" w:rsidR="00ED1ADA" w:rsidRDefault="00ED1ADA" w:rsidP="00302BFE">
                            <w:pPr>
                              <w:pStyle w:val="NormalWeb"/>
                              <w:spacing w:after="0"/>
                              <w:ind w:right="50"/>
                              <w:jc w:val="center"/>
                              <w:rPr>
                                <w:sz w:val="14"/>
                                <w:szCs w:val="14"/>
                                <w:lang w:val="en-CA"/>
                              </w:rPr>
                            </w:pPr>
                            <w:r>
                              <w:rPr>
                                <w:sz w:val="14"/>
                                <w:szCs w:val="14"/>
                                <w:lang w:val="en-CA"/>
                              </w:rPr>
                              <w:t>Insufficient systemic and institutional capacity for integrated land-use governance at the landscape level</w:t>
                            </w:r>
                          </w:p>
                        </w:txbxContent>
                      </wps:txbx>
                      <wps:bodyPr wrap="square" lIns="121789" tIns="60894" rIns="121789" bIns="60894" spcCol="0" rtlCol="0" anchor="ctr">
                        <a:noAutofit/>
                      </wps:bodyPr>
                    </wps:wsp>
                  </a:graphicData>
                </a:graphic>
                <wp14:sizeRelH relativeFrom="page">
                  <wp14:pctWidth>0</wp14:pctWidth>
                </wp14:sizeRelH>
                <wp14:sizeRelV relativeFrom="page">
                  <wp14:pctHeight>0</wp14:pctHeight>
                </wp14:sizeRelV>
              </wp:anchor>
            </w:drawing>
          </mc:Choice>
          <mc:Fallback>
            <w:pict>
              <v:shape w14:anchorId="62440097" id="Zone de texte 155" o:spid="_x0000_s1072" type="#_x0000_t202" style="position:absolute;left:0;text-align:left;margin-left:29.45pt;margin-top:9.05pt;width:160.35pt;height:36.5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" fillcolor="window" strokecolor="yellow" strokeweight="2pt">
                <v:path arrowok="t"/>
                <v:textbox inset="3.38303mm,1.6915mm,3.38303mm,1.6915mm">
                  <w:txbxContent>
                    <w:p w14:paraId="0B5A5806" w14:textId="77777777" w:rsidR="00ED1ADA" w:rsidRDefault="00ED1ADA" w:rsidP="00302BFE">
                      <w:pPr>
                        <w:pStyle w:val="NormalWeb"/>
                        <w:spacing w:after="0"/>
                        <w:ind w:right="50"/>
                        <w:jc w:val="center"/>
                        <w:rPr>
                          <w:sz w:val="14"/>
                          <w:szCs w:val="14"/>
                          <w:lang w:val="en-CA"/>
                        </w:rPr>
                      </w:pPr>
                      <w:r>
                        <w:rPr>
                          <w:sz w:val="14"/>
                          <w:szCs w:val="14"/>
                          <w:lang w:val="en-CA"/>
                        </w:rPr>
                        <w:t>Insufficient systemic and institutional capacity for integrated land-use governance at the landscape level</w:t>
                      </w:r>
                    </w:p>
                  </w:txbxContent>
                </v:textbox>
                <w10:wrap anchorx="margin"/>
              </v:shape>
            </w:pict>
          </mc:Fallback>
        </mc:AlternateContent>
      </w:r>
    </w:p>
    <w:p w14:paraId="24064226" w14:textId="77777777" w:rsidR="00302BFE" w:rsidRDefault="00302BFE" w:rsidP="00302BFE">
      <w:pPr>
        <w:spacing w:after="0" w:line="220" w:lineRule="exact"/>
        <w:rPr>
          <w:rFonts w:ascii="Times New Roman" w:hAnsi="Times New Roman"/>
          <w:b/>
          <w:sz w:val="24"/>
          <w:lang w:val="en-CA"/>
        </w:rPr>
      </w:pPr>
    </w:p>
    <w:p w14:paraId="1F24613B" w14:textId="77777777" w:rsidR="00302BFE" w:rsidRDefault="00302BFE" w:rsidP="00302BFE">
      <w:pPr>
        <w:spacing w:after="0" w:line="220" w:lineRule="exact"/>
        <w:rPr>
          <w:rFonts w:ascii="Times New Roman" w:hAnsi="Times New Roman"/>
          <w:b/>
          <w:sz w:val="24"/>
          <w:lang w:val="en-CA"/>
        </w:rPr>
      </w:pPr>
    </w:p>
    <w:p w14:paraId="51B2DB77" w14:textId="77777777" w:rsidR="00302BFE" w:rsidRDefault="00302BFE" w:rsidP="00302BFE">
      <w:pPr>
        <w:spacing w:after="0" w:line="220" w:lineRule="exact"/>
        <w:rPr>
          <w:rFonts w:ascii="Times New Roman" w:hAnsi="Times New Roman"/>
          <w:b/>
          <w:sz w:val="24"/>
          <w:lang w:val="en-CA"/>
        </w:rPr>
      </w:pPr>
    </w:p>
    <w:p w14:paraId="559A4590" w14:textId="77777777" w:rsidR="00302BFE" w:rsidRDefault="00302BFE" w:rsidP="00302BFE">
      <w:pPr>
        <w:spacing w:after="0" w:line="220" w:lineRule="exact"/>
        <w:rPr>
          <w:rFonts w:ascii="Times New Roman" w:hAnsi="Times New Roman"/>
          <w:b/>
          <w:sz w:val="24"/>
          <w:lang w:val="en-CA"/>
        </w:rPr>
      </w:pPr>
      <w:r>
        <w:rPr>
          <w:noProof/>
        </w:rPr>
        <mc:AlternateContent>
          <mc:Choice Requires="wps">
            <w:drawing>
              <wp:anchor distT="0" distB="0" distL="36195" distR="36195" simplePos="0" relativeHeight="251664384" behindDoc="1" locked="0" layoutInCell="1" allowOverlap="0" wp14:anchorId="17906492" wp14:editId="196EF0AF">
                <wp:simplePos x="0" y="0"/>
                <wp:positionH relativeFrom="margin">
                  <wp:posOffset>-634365</wp:posOffset>
                </wp:positionH>
                <wp:positionV relativeFrom="paragraph">
                  <wp:posOffset>217170</wp:posOffset>
                </wp:positionV>
                <wp:extent cx="856615" cy="374015"/>
                <wp:effectExtent l="0" t="0" r="19685" b="26035"/>
                <wp:wrapTight wrapText="bothSides">
                  <wp:wrapPolygon edited="0">
                    <wp:start x="0" y="0"/>
                    <wp:lineTo x="0" y="22003"/>
                    <wp:lineTo x="21616" y="22003"/>
                    <wp:lineTo x="21616" y="0"/>
                    <wp:lineTo x="0" y="0"/>
                  </wp:wrapPolygon>
                </wp:wrapTight>
                <wp:docPr id="1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5355" cy="374015"/>
                        </a:xfrm>
                        <a:prstGeom prst="rect">
                          <a:avLst/>
                        </a:prstGeom>
                        <a:solidFill>
                          <a:sysClr val="window" lastClr="FFFFFF"/>
                        </a:solidFill>
                        <a:ln w="25400" cap="flat" cmpd="sng" algn="ctr">
                          <a:solidFill>
                            <a:srgbClr val="C0504D"/>
                          </a:solidFill>
                          <a:prstDash val="solid"/>
                        </a:ln>
                        <a:effectLst/>
                      </wps:spPr>
                      <wps:txbx>
                        <w:txbxContent>
                          <w:p w14:paraId="383DD102" w14:textId="77777777" w:rsidR="00ED1ADA" w:rsidRDefault="00ED1ADA" w:rsidP="00302BFE">
                            <w:pPr>
                              <w:pStyle w:val="NormalWeb"/>
                              <w:spacing w:after="0"/>
                              <w:jc w:val="center"/>
                              <w:rPr>
                                <w:sz w:val="16"/>
                                <w:szCs w:val="16"/>
                                <w:lang w:val="fr-CA"/>
                              </w:rPr>
                            </w:pPr>
                            <w:r>
                              <w:rPr>
                                <w:b/>
                                <w:bCs/>
                                <w:color w:val="000000"/>
                                <w:kern w:val="24"/>
                                <w:sz w:val="16"/>
                                <w:szCs w:val="16"/>
                              </w:rPr>
                              <w:t>Development Challenge</w:t>
                            </w:r>
                          </w:p>
                        </w:txbxContent>
                      </wps:txbx>
                      <wps:bodyPr wrap="square" lIns="121789" tIns="60894" rIns="121789" bIns="60894" spcCol="0" rtlCol="0" anchor="ctr">
                        <a:noAutofit/>
                      </wps:bodyPr>
                    </wps:wsp>
                  </a:graphicData>
                </a:graphic>
                <wp14:sizeRelH relativeFrom="page">
                  <wp14:pctWidth>0</wp14:pctWidth>
                </wp14:sizeRelH>
                <wp14:sizeRelV relativeFrom="page">
                  <wp14:pctHeight>0</wp14:pctHeight>
                </wp14:sizeRelV>
              </wp:anchor>
            </w:drawing>
          </mc:Choice>
          <mc:Fallback>
            <w:pict>
              <v:rect w14:anchorId="17906492" id="Rectangle 160" o:spid="_x0000_s1073" style="position:absolute;left:0;text-align:left;margin-left:-49.95pt;margin-top:17.1pt;width:67.45pt;height:29.45pt;z-index:-251652096;visibility:visible;mso-wrap-style:square;mso-width-percent:0;mso-height-percent:0;mso-wrap-distance-left:2.85pt;mso-wrap-distance-top:0;mso-wrap-distance-right:2.85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" o:allowoverlap="f" fillcolor="window" strokecolor="#c0504d" strokeweight="2pt">
                <v:path arrowok="t"/>
                <v:textbox inset="3.38303mm,1.6915mm,3.38303mm,1.6915mm">
                  <w:txbxContent>
                    <w:p w14:paraId="383DD102" w14:textId="77777777" w:rsidR="00ED1ADA" w:rsidRDefault="00ED1ADA" w:rsidP="00302BFE">
                      <w:pPr>
                        <w:pStyle w:val="NormalWeb"/>
                        <w:spacing w:after="0"/>
                        <w:jc w:val="center"/>
                        <w:rPr>
                          <w:sz w:val="16"/>
                          <w:szCs w:val="16"/>
                          <w:lang w:val="fr-CA"/>
                        </w:rPr>
                      </w:pPr>
                      <w:r>
                        <w:rPr>
                          <w:b/>
                          <w:bCs/>
                          <w:color w:val="000000"/>
                          <w:kern w:val="24"/>
                          <w:sz w:val="16"/>
                          <w:szCs w:val="16"/>
                        </w:rPr>
                        <w:t>Development Challenge</w:t>
                      </w:r>
                    </w:p>
                  </w:txbxContent>
                </v:textbox>
                <w10:wrap type="tight" anchorx="margin"/>
              </v:rect>
            </w:pict>
          </mc:Fallback>
        </mc:AlternateContent>
      </w:r>
    </w:p>
    <w:p w14:paraId="1A6B7D48" w14:textId="77777777" w:rsidR="00302BFE" w:rsidRDefault="00302BFE" w:rsidP="00302BFE">
      <w:pPr>
        <w:spacing w:after="0" w:line="220" w:lineRule="exact"/>
        <w:rPr>
          <w:rFonts w:ascii="Times New Roman" w:hAnsi="Times New Roman"/>
          <w:b/>
          <w:sz w:val="24"/>
          <w:lang w:val="en-CA"/>
        </w:rPr>
      </w:pPr>
      <w:r>
        <w:rPr>
          <w:noProof/>
        </w:rPr>
        <mc:AlternateContent>
          <mc:Choice Requires="wps">
            <w:drawing>
              <wp:anchor distT="0" distB="0" distL="114300" distR="114300" simplePos="0" relativeHeight="251663360" behindDoc="1" locked="0" layoutInCell="1" allowOverlap="1" wp14:anchorId="50143387" wp14:editId="3209A699">
                <wp:simplePos x="0" y="0"/>
                <wp:positionH relativeFrom="margin">
                  <wp:posOffset>819150</wp:posOffset>
                </wp:positionH>
                <wp:positionV relativeFrom="paragraph">
                  <wp:posOffset>82550</wp:posOffset>
                </wp:positionV>
                <wp:extent cx="7577455" cy="361950"/>
                <wp:effectExtent l="0" t="0" r="23495" b="19050"/>
                <wp:wrapSquare wrapText="bothSides"/>
                <wp:docPr id="149" name="Zone de text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77455" cy="361950"/>
                        </a:xfrm>
                        <a:prstGeom prst="rect">
                          <a:avLst/>
                        </a:prstGeom>
                        <a:solidFill>
                          <a:sysClr val="window" lastClr="FFFFFF"/>
                        </a:solidFill>
                        <a:ln w="25400" cap="flat" cmpd="sng" algn="ctr">
                          <a:solidFill>
                            <a:srgbClr val="C0504D"/>
                          </a:solidFill>
                          <a:prstDash val="solid"/>
                        </a:ln>
                        <a:effectLst/>
                      </wps:spPr>
                      <wps:txbx>
                        <w:txbxContent>
                          <w:p w14:paraId="19E57B92" w14:textId="77777777" w:rsidR="00ED1ADA" w:rsidRDefault="00ED1ADA" w:rsidP="00302BFE">
                            <w:pPr>
                              <w:pStyle w:val="NormalWeb"/>
                              <w:spacing w:after="0"/>
                              <w:ind w:left="-113" w:right="-142"/>
                              <w:jc w:val="center"/>
                              <w:rPr>
                                <w:sz w:val="14"/>
                                <w:szCs w:val="14"/>
                                <w:lang w:val="en-CA"/>
                              </w:rPr>
                            </w:pPr>
                            <w:r>
                              <w:rPr>
                                <w:sz w:val="14"/>
                                <w:szCs w:val="14"/>
                                <w:lang w:val="en-CA"/>
                              </w:rPr>
                              <w:t>Apply a landscape management approach to preserve the integrity of ecosystem services and the richness of biodiversity, by designing a management framework to establish synergies and offsets between landscape units, improving the efficiency of the ecosystem management of protected areas and introducing a series of sustainable management practices that will have multiple benefits.</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w:pict>
              <v:shape w14:anchorId="50143387" id="Zone de texte 149" o:spid="_x0000_s1074" type="#_x0000_t202" style="position:absolute;left:0;text-align:left;margin-left:64.5pt;margin-top:6.5pt;width:596.65pt;height:28.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" fillcolor="window" strokecolor="#c0504d" strokeweight="2pt">
                <v:path arrowok="t"/>
                <v:textbox inset="3.38303mm,1.6915mm,3.38303mm,1.6915mm">
                  <w:txbxContent>
                    <w:p w14:paraId="19E57B92" w14:textId="77777777" w:rsidR="00ED1ADA" w:rsidRDefault="00ED1ADA" w:rsidP="00302BFE">
                      <w:pPr>
                        <w:pStyle w:val="NormalWeb"/>
                        <w:spacing w:after="0"/>
                        <w:ind w:left="-113" w:right="-142"/>
                        <w:jc w:val="center"/>
                        <w:rPr>
                          <w:sz w:val="14"/>
                          <w:szCs w:val="14"/>
                          <w:lang w:val="en-CA"/>
                        </w:rPr>
                      </w:pPr>
                      <w:r>
                        <w:rPr>
                          <w:sz w:val="14"/>
                          <w:szCs w:val="14"/>
                          <w:lang w:val="en-CA"/>
                        </w:rPr>
                        <w:t>Apply a landscape management approach to preserve the integrity of ecosystem services and the richness of biodiversity, by designing a management framework to establish synergies and offsets between landscape units, improving the efficiency of the ecosystem management of protected areas and introducing a series of sustainable management practices that will have multiple benefits.</w:t>
                      </w:r>
                    </w:p>
                  </w:txbxContent>
                </v:textbox>
                <w10:wrap type="square" anchorx="margin"/>
              </v:shape>
            </w:pict>
          </mc:Fallback>
        </mc:AlternateContent>
      </w:r>
    </w:p>
    <w:p w14:paraId="28B1F013" w14:textId="77777777" w:rsidR="00302BFE" w:rsidRDefault="00302BFE" w:rsidP="00302BFE">
      <w:pPr>
        <w:spacing w:after="0" w:line="220" w:lineRule="exact"/>
        <w:rPr>
          <w:rFonts w:ascii="Times New Roman" w:hAnsi="Times New Roman"/>
          <w:b/>
          <w:sz w:val="24"/>
          <w:lang w:val="en-CA"/>
        </w:rPr>
      </w:pPr>
    </w:p>
    <w:p w14:paraId="4D53D63A" w14:textId="77777777" w:rsidR="00302BFE" w:rsidRDefault="00302BFE" w:rsidP="00302BFE">
      <w:pPr>
        <w:spacing w:after="0" w:line="220" w:lineRule="exact"/>
        <w:rPr>
          <w:rFonts w:ascii="Times New Roman" w:hAnsi="Times New Roman"/>
          <w:b/>
          <w:sz w:val="24"/>
          <w:lang w:val="en-CA"/>
        </w:rPr>
      </w:pPr>
    </w:p>
    <w:p w14:paraId="244E5A4B" w14:textId="77777777" w:rsidR="00302BFE" w:rsidRDefault="00302BFE" w:rsidP="00302BFE">
      <w:pPr>
        <w:spacing w:after="0" w:line="220" w:lineRule="exact"/>
        <w:rPr>
          <w:rFonts w:ascii="Times New Roman" w:hAnsi="Times New Roman"/>
          <w:b/>
          <w:sz w:val="24"/>
          <w:lang w:val="en-CA"/>
        </w:rPr>
      </w:pPr>
      <w:r>
        <w:rPr>
          <w:noProof/>
        </w:rPr>
        <mc:AlternateContent>
          <mc:Choice Requires="wpg">
            <w:drawing>
              <wp:anchor distT="0" distB="0" distL="114300" distR="114300" simplePos="0" relativeHeight="251689984" behindDoc="0" locked="0" layoutInCell="1" allowOverlap="1" wp14:anchorId="37490C48" wp14:editId="0868F1B0">
                <wp:simplePos x="0" y="0"/>
                <wp:positionH relativeFrom="column">
                  <wp:posOffset>-712470</wp:posOffset>
                </wp:positionH>
                <wp:positionV relativeFrom="paragraph">
                  <wp:posOffset>175260</wp:posOffset>
                </wp:positionV>
                <wp:extent cx="9425940" cy="476885"/>
                <wp:effectExtent l="0" t="0" r="22860" b="18415"/>
                <wp:wrapNone/>
                <wp:docPr id="77" name="Groupe 77"/>
                <wp:cNvGraphicFramePr/>
                <a:graphic xmlns:a="http://schemas.openxmlformats.org/drawingml/2006/main">
                  <a:graphicData uri="http://schemas.microsoft.com/office/word/2010/wordprocessingGroup">
                    <wpg:wgp>
                      <wpg:cNvGrpSpPr/>
                      <wpg:grpSpPr bwMode="auto">
                        <a:xfrm>
                          <a:off x="0" y="0"/>
                          <a:ext cx="9425940" cy="476885"/>
                          <a:chOff x="0" y="0"/>
                          <a:chExt cx="9426023" cy="477474"/>
                        </a:xfrm>
                      </wpg:grpSpPr>
                      <wps:wsp>
                        <wps:cNvPr id="78" name="TextBox 3"/>
                        <wps:cNvSpPr txBox="1">
                          <a:spLocks/>
                        </wps:cNvSpPr>
                        <wps:spPr bwMode="auto">
                          <a:xfrm>
                            <a:off x="8455450" y="34423"/>
                            <a:ext cx="970573" cy="435094"/>
                          </a:xfrm>
                          <a:prstGeom prst="rect">
                            <a:avLst/>
                          </a:prstGeom>
                          <a:solidFill>
                            <a:srgbClr val="FFFFFF"/>
                          </a:solidFill>
                          <a:ln w="25400" algn="ctr">
                            <a:solidFill>
                              <a:srgbClr val="00B050"/>
                            </a:solidFill>
                            <a:miter lim="800000"/>
                            <a:headEnd/>
                            <a:tailEnd/>
                          </a:ln>
                        </wps:spPr>
                        <wps:txbx>
                          <w:txbxContent>
                            <w:p w14:paraId="20EC7660" w14:textId="77777777" w:rsidR="00ED1ADA" w:rsidRDefault="00ED1ADA" w:rsidP="00302BFE">
                              <w:pPr>
                                <w:pStyle w:val="NormalWeb"/>
                                <w:spacing w:after="0"/>
                                <w:ind w:left="-90" w:right="-47"/>
                                <w:jc w:val="center"/>
                                <w:rPr>
                                  <w:sz w:val="16"/>
                                  <w:szCs w:val="16"/>
                                  <w:lang w:val="fr-CA"/>
                                </w:rPr>
                              </w:pPr>
                              <w:r>
                                <w:rPr>
                                  <w:b/>
                                  <w:sz w:val="16"/>
                                  <w:szCs w:val="16"/>
                                </w:rPr>
                                <w:t>Climate change</w:t>
                              </w:r>
                            </w:p>
                          </w:txbxContent>
                        </wps:txbx>
                        <wps:bodyPr rot="0" vert="horz" wrap="square" lIns="121789" tIns="60894" rIns="121789" bIns="60894" anchor="ctr" anchorCtr="0" upright="1">
                          <a:noAutofit/>
                        </wps:bodyPr>
                      </wps:wsp>
                      <wps:wsp>
                        <wps:cNvPr id="79" name="TextBox 15"/>
                        <wps:cNvSpPr txBox="1">
                          <a:spLocks/>
                        </wps:cNvSpPr>
                        <wps:spPr bwMode="auto">
                          <a:xfrm>
                            <a:off x="3080170" y="17778"/>
                            <a:ext cx="1845508" cy="451581"/>
                          </a:xfrm>
                          <a:prstGeom prst="rect">
                            <a:avLst/>
                          </a:prstGeom>
                          <a:solidFill>
                            <a:srgbClr val="FFFFFF"/>
                          </a:solidFill>
                          <a:ln w="25400" algn="ctr">
                            <a:solidFill>
                              <a:srgbClr val="00B050"/>
                            </a:solidFill>
                            <a:miter lim="800000"/>
                            <a:headEnd/>
                            <a:tailEnd/>
                          </a:ln>
                        </wps:spPr>
                        <wps:txbx>
                          <w:txbxContent>
                            <w:p w14:paraId="71074656" w14:textId="77777777" w:rsidR="00ED1ADA" w:rsidRDefault="00ED1ADA" w:rsidP="00302BFE">
                              <w:pPr>
                                <w:pStyle w:val="NormalWeb"/>
                                <w:spacing w:after="0"/>
                                <w:ind w:left="-72" w:right="-72"/>
                                <w:jc w:val="center"/>
                                <w:rPr>
                                  <w:sz w:val="16"/>
                                  <w:szCs w:val="16"/>
                                  <w:lang w:val="en-CA"/>
                                </w:rPr>
                              </w:pPr>
                              <w:r>
                                <w:rPr>
                                  <w:b/>
                                  <w:sz w:val="16"/>
                                  <w:szCs w:val="16"/>
                                  <w:lang w:val="en-CA"/>
                                </w:rPr>
                                <w:t>Unsustainable agro-forestry-pastoral and land management practices</w:t>
                              </w:r>
                            </w:p>
                          </w:txbxContent>
                        </wps:txbx>
                        <wps:bodyPr rot="0" vert="horz" wrap="square" lIns="121789" tIns="60894" rIns="121789" bIns="60894" anchor="ctr" anchorCtr="0" upright="1">
                          <a:noAutofit/>
                        </wps:bodyPr>
                      </wps:wsp>
                      <wps:wsp>
                        <wps:cNvPr id="80" name="3 Rectángulo"/>
                        <wps:cNvSpPr>
                          <a:spLocks/>
                        </wps:cNvSpPr>
                        <wps:spPr bwMode="auto">
                          <a:xfrm>
                            <a:off x="0" y="34409"/>
                            <a:ext cx="938151" cy="410757"/>
                          </a:xfrm>
                          <a:prstGeom prst="rect">
                            <a:avLst/>
                          </a:prstGeom>
                          <a:solidFill>
                            <a:srgbClr val="FFFFFF"/>
                          </a:solidFill>
                          <a:ln w="25400" algn="ctr">
                            <a:solidFill>
                              <a:srgbClr val="00B050"/>
                            </a:solidFill>
                            <a:miter lim="800000"/>
                            <a:headEnd/>
                            <a:tailEnd/>
                          </a:ln>
                        </wps:spPr>
                        <wps:txbx>
                          <w:txbxContent>
                            <w:p w14:paraId="2298745E" w14:textId="77777777" w:rsidR="00ED1ADA" w:rsidRDefault="00ED1ADA" w:rsidP="00302BFE">
                              <w:pPr>
                                <w:pStyle w:val="NormalWeb"/>
                                <w:spacing w:after="0"/>
                                <w:jc w:val="center"/>
                                <w:rPr>
                                  <w:b/>
                                  <w:bCs/>
                                  <w:color w:val="000000"/>
                                  <w:kern w:val="24"/>
                                  <w:sz w:val="16"/>
                                  <w:szCs w:val="16"/>
                                  <w:lang w:val="fr-CA"/>
                                </w:rPr>
                              </w:pPr>
                              <w:r>
                                <w:rPr>
                                  <w:b/>
                                  <w:bCs/>
                                  <w:color w:val="000000"/>
                                  <w:kern w:val="24"/>
                                  <w:sz w:val="16"/>
                                  <w:szCs w:val="16"/>
                                </w:rPr>
                                <w:t>Environmental problems</w:t>
                              </w:r>
                            </w:p>
                          </w:txbxContent>
                        </wps:txbx>
                        <wps:bodyPr rot="0" vert="horz" wrap="square" lIns="121789" tIns="60894" rIns="121789" bIns="60894" anchor="ctr" anchorCtr="0" upright="1">
                          <a:noAutofit/>
                        </wps:bodyPr>
                      </wps:wsp>
                      <wps:wsp>
                        <wps:cNvPr id="81" name="TextBox 15"/>
                        <wps:cNvSpPr txBox="1">
                          <a:spLocks/>
                        </wps:cNvSpPr>
                        <wps:spPr bwMode="auto">
                          <a:xfrm>
                            <a:off x="1093146" y="0"/>
                            <a:ext cx="1757054" cy="477474"/>
                          </a:xfrm>
                          <a:prstGeom prst="rect">
                            <a:avLst/>
                          </a:prstGeom>
                          <a:solidFill>
                            <a:srgbClr val="FFFFFF"/>
                          </a:solidFill>
                          <a:ln w="25400" algn="ctr">
                            <a:solidFill>
                              <a:srgbClr val="00B050"/>
                            </a:solidFill>
                            <a:miter lim="800000"/>
                            <a:headEnd/>
                            <a:tailEnd/>
                          </a:ln>
                        </wps:spPr>
                        <wps:txbx>
                          <w:txbxContent>
                            <w:p w14:paraId="33B06668" w14:textId="77777777" w:rsidR="00ED1ADA" w:rsidRDefault="00ED1ADA" w:rsidP="00302BFE">
                              <w:pPr>
                                <w:pStyle w:val="NormalWeb"/>
                                <w:spacing w:after="0"/>
                                <w:jc w:val="center"/>
                                <w:rPr>
                                  <w:sz w:val="16"/>
                                  <w:szCs w:val="16"/>
                                  <w:lang w:val="fr-CA"/>
                                </w:rPr>
                              </w:pPr>
                              <w:r>
                                <w:rPr>
                                  <w:b/>
                                  <w:sz w:val="16"/>
                                  <w:szCs w:val="16"/>
                                  <w:lang w:val="fr-CA"/>
                                </w:rPr>
                                <w:t>Habitat loss and degradation</w:t>
                              </w:r>
                            </w:p>
                          </w:txbxContent>
                        </wps:txbx>
                        <wps:bodyPr rot="0" vert="horz" wrap="square" lIns="121789" tIns="60894" rIns="121789" bIns="60894" anchor="ctr" anchorCtr="0" upright="1">
                          <a:noAutofit/>
                        </wps:bodyPr>
                      </wps:wsp>
                      <wps:wsp>
                        <wps:cNvPr id="82" name="TextBox 3"/>
                        <wps:cNvSpPr txBox="1">
                          <a:spLocks/>
                        </wps:cNvSpPr>
                        <wps:spPr bwMode="auto">
                          <a:xfrm>
                            <a:off x="5132408" y="17789"/>
                            <a:ext cx="1582310" cy="427744"/>
                          </a:xfrm>
                          <a:prstGeom prst="rect">
                            <a:avLst/>
                          </a:prstGeom>
                          <a:solidFill>
                            <a:srgbClr val="FFFFFF"/>
                          </a:solidFill>
                          <a:ln w="25400" algn="ctr">
                            <a:solidFill>
                              <a:srgbClr val="00B050"/>
                            </a:solidFill>
                            <a:miter lim="800000"/>
                            <a:headEnd/>
                            <a:tailEnd/>
                          </a:ln>
                        </wps:spPr>
                        <wps:txbx>
                          <w:txbxContent>
                            <w:p w14:paraId="16487F61" w14:textId="77777777" w:rsidR="00ED1ADA" w:rsidRDefault="00ED1ADA" w:rsidP="00302BFE">
                              <w:pPr>
                                <w:pStyle w:val="NormalWeb"/>
                                <w:spacing w:after="0"/>
                                <w:jc w:val="center"/>
                                <w:rPr>
                                  <w:i/>
                                  <w:sz w:val="16"/>
                                  <w:szCs w:val="16"/>
                                </w:rPr>
                              </w:pPr>
                              <w:r>
                                <w:rPr>
                                  <w:b/>
                                  <w:sz w:val="16"/>
                                  <w:szCs w:val="16"/>
                                </w:rPr>
                                <w:t>Overexploitation of natural resources</w:t>
                              </w:r>
                            </w:p>
                          </w:txbxContent>
                        </wps:txbx>
                        <wps:bodyPr rot="0" vert="horz" wrap="square" lIns="121789" tIns="60894" rIns="121789" bIns="60894"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37490C48" id="Groupe 77" o:spid="_x0000_s1075" style="position:absolute;left:0;text-align:left;margin-left:-56.1pt;margin-top:13.8pt;width:742.2pt;height:37.55pt;z-index:251689984;mso-height-relative:margin" coordsize="94260,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">
                <v:shape id="TextBox 3" o:spid="_x0000_s1076" type="#_x0000_t202" style="position:absolute;left:84554;top:344;width:9706;height:4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" strokecolor="#00b050" strokeweight="2pt">
                  <v:path arrowok="t"/>
                  <v:textbox inset="3.38303mm,1.6915mm,3.38303mm,1.6915mm">
                    <w:txbxContent>
                      <w:p w14:paraId="20EC7660" w14:textId="77777777" w:rsidR="00ED1ADA" w:rsidRDefault="00ED1ADA" w:rsidP="00302BFE">
                        <w:pPr>
                          <w:pStyle w:val="NormalWeb"/>
                          <w:spacing w:after="0"/>
                          <w:ind w:left="-90" w:right="-47"/>
                          <w:jc w:val="center"/>
                          <w:rPr>
                            <w:sz w:val="16"/>
                            <w:szCs w:val="16"/>
                            <w:lang w:val="fr-CA"/>
                          </w:rPr>
                        </w:pPr>
                        <w:r>
                          <w:rPr>
                            <w:b/>
                            <w:sz w:val="16"/>
                            <w:szCs w:val="16"/>
                          </w:rPr>
                          <w:t>Climate change</w:t>
                        </w:r>
                      </w:p>
                    </w:txbxContent>
                  </v:textbox>
                </v:shape>
                <v:shape id="TextBox 15" o:spid="_x0000_s1077" type="#_x0000_t202" style="position:absolute;left:30801;top:177;width:18455;height:4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" strokecolor="#00b050" strokeweight="2pt">
                  <v:path arrowok="t"/>
                  <v:textbox inset="3.38303mm,1.6915mm,3.38303mm,1.6915mm">
                    <w:txbxContent>
                      <w:p w14:paraId="71074656" w14:textId="77777777" w:rsidR="00ED1ADA" w:rsidRDefault="00ED1ADA" w:rsidP="00302BFE">
                        <w:pPr>
                          <w:pStyle w:val="NormalWeb"/>
                          <w:spacing w:after="0"/>
                          <w:ind w:left="-72" w:right="-72"/>
                          <w:jc w:val="center"/>
                          <w:rPr>
                            <w:sz w:val="16"/>
                            <w:szCs w:val="16"/>
                            <w:lang w:val="en-CA"/>
                          </w:rPr>
                        </w:pPr>
                        <w:r>
                          <w:rPr>
                            <w:b/>
                            <w:sz w:val="16"/>
                            <w:szCs w:val="16"/>
                            <w:lang w:val="en-CA"/>
                          </w:rPr>
                          <w:t>Unsustainable agro-forestry-pastoral and land management practices</w:t>
                        </w:r>
                      </w:p>
                    </w:txbxContent>
                  </v:textbox>
                </v:shape>
                <v:rect id="3 Rectángulo" o:spid="_x0000_s1078" style="position:absolute;top:344;width:9381;height:4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" strokecolor="#00b050" strokeweight="2pt">
                  <v:path arrowok="t"/>
                  <v:textbox inset="3.38303mm,1.6915mm,3.38303mm,1.6915mm">
                    <w:txbxContent>
                      <w:p w14:paraId="2298745E" w14:textId="77777777" w:rsidR="00ED1ADA" w:rsidRDefault="00ED1ADA" w:rsidP="00302BFE">
                        <w:pPr>
                          <w:pStyle w:val="NormalWeb"/>
                          <w:spacing w:after="0"/>
                          <w:jc w:val="center"/>
                          <w:rPr>
                            <w:b/>
                            <w:bCs/>
                            <w:color w:val="000000"/>
                            <w:kern w:val="24"/>
                            <w:sz w:val="16"/>
                            <w:szCs w:val="16"/>
                            <w:lang w:val="fr-CA"/>
                          </w:rPr>
                        </w:pPr>
                        <w:r>
                          <w:rPr>
                            <w:b/>
                            <w:bCs/>
                            <w:color w:val="000000"/>
                            <w:kern w:val="24"/>
                            <w:sz w:val="16"/>
                            <w:szCs w:val="16"/>
                          </w:rPr>
                          <w:t>Environmental problems</w:t>
                        </w:r>
                      </w:p>
                    </w:txbxContent>
                  </v:textbox>
                </v:rect>
                <v:shape id="TextBox 15" o:spid="_x0000_s1079" type="#_x0000_t202" style="position:absolute;left:10931;width:17571;height:4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" strokecolor="#00b050" strokeweight="2pt">
                  <v:path arrowok="t"/>
                  <v:textbox inset="3.38303mm,1.6915mm,3.38303mm,1.6915mm">
                    <w:txbxContent>
                      <w:p w14:paraId="33B06668" w14:textId="77777777" w:rsidR="00ED1ADA" w:rsidRDefault="00ED1ADA" w:rsidP="00302BFE">
                        <w:pPr>
                          <w:pStyle w:val="NormalWeb"/>
                          <w:spacing w:after="0"/>
                          <w:jc w:val="center"/>
                          <w:rPr>
                            <w:sz w:val="16"/>
                            <w:szCs w:val="16"/>
                            <w:lang w:val="fr-CA"/>
                          </w:rPr>
                        </w:pPr>
                        <w:r>
                          <w:rPr>
                            <w:b/>
                            <w:sz w:val="16"/>
                            <w:szCs w:val="16"/>
                            <w:lang w:val="fr-CA"/>
                          </w:rPr>
                          <w:t>Habitat loss and degradation</w:t>
                        </w:r>
                      </w:p>
                    </w:txbxContent>
                  </v:textbox>
                </v:shape>
                <v:shape id="TextBox 3" o:spid="_x0000_s1080" type="#_x0000_t202" style="position:absolute;left:51324;top:177;width:15823;height:4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" strokecolor="#00b050" strokeweight="2pt">
                  <v:path arrowok="t"/>
                  <v:textbox inset="3.38303mm,1.6915mm,3.38303mm,1.6915mm">
                    <w:txbxContent>
                      <w:p w14:paraId="16487F61" w14:textId="77777777" w:rsidR="00ED1ADA" w:rsidRDefault="00ED1ADA" w:rsidP="00302BFE">
                        <w:pPr>
                          <w:pStyle w:val="NormalWeb"/>
                          <w:spacing w:after="0"/>
                          <w:jc w:val="center"/>
                          <w:rPr>
                            <w:i/>
                            <w:sz w:val="16"/>
                            <w:szCs w:val="16"/>
                          </w:rPr>
                        </w:pPr>
                        <w:r>
                          <w:rPr>
                            <w:b/>
                            <w:sz w:val="16"/>
                            <w:szCs w:val="16"/>
                          </w:rPr>
                          <w:t>Overexploitation of natural resources</w:t>
                        </w:r>
                      </w:p>
                    </w:txbxContent>
                  </v:textbox>
                </v:shape>
              </v:group>
            </w:pict>
          </mc:Fallback>
        </mc:AlternateContent>
      </w:r>
      <w:r>
        <w:rPr>
          <w:noProof/>
        </w:rPr>
        <mc:AlternateContent>
          <mc:Choice Requires="wps">
            <w:drawing>
              <wp:anchor distT="0" distB="0" distL="114300" distR="114300" simplePos="0" relativeHeight="251717632" behindDoc="0" locked="0" layoutInCell="1" allowOverlap="1" wp14:anchorId="3D0CA403" wp14:editId="28FCCDF9">
                <wp:simplePos x="0" y="0"/>
                <wp:positionH relativeFrom="column">
                  <wp:posOffset>6138545</wp:posOffset>
                </wp:positionH>
                <wp:positionV relativeFrom="paragraph">
                  <wp:posOffset>166370</wp:posOffset>
                </wp:positionV>
                <wp:extent cx="1471295" cy="429260"/>
                <wp:effectExtent l="0" t="0" r="14605" b="27940"/>
                <wp:wrapNone/>
                <wp:docPr id="76" name="Zone de texte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1295" cy="429260"/>
                        </a:xfrm>
                        <a:prstGeom prst="rect">
                          <a:avLst/>
                        </a:prstGeom>
                        <a:solidFill>
                          <a:srgbClr val="FFFFFF"/>
                        </a:solidFill>
                        <a:ln w="25400" algn="ctr">
                          <a:solidFill>
                            <a:srgbClr val="00B050"/>
                          </a:solidFill>
                          <a:miter lim="800000"/>
                          <a:headEnd/>
                          <a:tailEnd/>
                        </a:ln>
                      </wps:spPr>
                      <wps:txbx>
                        <w:txbxContent>
                          <w:p w14:paraId="44FCDD25" w14:textId="77777777" w:rsidR="00ED1ADA" w:rsidRDefault="00ED1ADA" w:rsidP="00302BFE">
                            <w:pPr>
                              <w:pStyle w:val="NormalWeb"/>
                              <w:spacing w:after="0"/>
                              <w:ind w:left="-90" w:right="-47"/>
                              <w:jc w:val="center"/>
                              <w:rPr>
                                <w:sz w:val="16"/>
                                <w:szCs w:val="16"/>
                              </w:rPr>
                            </w:pPr>
                            <w:r>
                              <w:rPr>
                                <w:b/>
                                <w:sz w:val="16"/>
                                <w:szCs w:val="16"/>
                              </w:rPr>
                              <w:t>Industrial and artisanal mining activities</w:t>
                            </w:r>
                          </w:p>
                        </w:txbxContent>
                      </wps:txbx>
                      <wps:bodyPr rot="0" vert="horz" wrap="square" lIns="121789" tIns="60894" rIns="121789" bIns="60894"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D0CA403" id="Zone de texte 76" o:spid="_x0000_s1081" type="#_x0000_t202" style="position:absolute;left:0;text-align:left;margin-left:483.35pt;margin-top:13.1pt;width:115.85pt;height:33.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" strokecolor="#00b050" strokeweight="2pt">
                <v:path arrowok="t"/>
                <v:textbox inset="3.38303mm,1.6915mm,3.38303mm,1.6915mm">
                  <w:txbxContent>
                    <w:p w14:paraId="44FCDD25" w14:textId="77777777" w:rsidR="00ED1ADA" w:rsidRDefault="00ED1ADA" w:rsidP="00302BFE">
                      <w:pPr>
                        <w:pStyle w:val="NormalWeb"/>
                        <w:spacing w:after="0"/>
                        <w:ind w:left="-90" w:right="-47"/>
                        <w:jc w:val="center"/>
                        <w:rPr>
                          <w:sz w:val="16"/>
                          <w:szCs w:val="16"/>
                        </w:rPr>
                      </w:pPr>
                      <w:r>
                        <w:rPr>
                          <w:b/>
                          <w:sz w:val="16"/>
                          <w:szCs w:val="16"/>
                        </w:rPr>
                        <w:t>Industrial and artisanal mining activities</w:t>
                      </w:r>
                    </w:p>
                  </w:txbxContent>
                </v:textbox>
              </v:shape>
            </w:pict>
          </mc:Fallback>
        </mc:AlternateContent>
      </w:r>
    </w:p>
    <w:p w14:paraId="6CEAC64F" w14:textId="77777777" w:rsidR="00302BFE" w:rsidRDefault="00302BFE" w:rsidP="00302BFE">
      <w:pPr>
        <w:spacing w:after="0" w:line="220" w:lineRule="exact"/>
        <w:rPr>
          <w:rFonts w:ascii="Times New Roman" w:hAnsi="Times New Roman"/>
          <w:b/>
          <w:sz w:val="24"/>
          <w:lang w:val="en-CA"/>
        </w:rPr>
      </w:pPr>
    </w:p>
    <w:p w14:paraId="05C6C774" w14:textId="77777777" w:rsidR="00302BFE" w:rsidRDefault="00302BFE" w:rsidP="00302BFE">
      <w:pPr>
        <w:spacing w:after="0" w:line="220" w:lineRule="exact"/>
        <w:rPr>
          <w:rFonts w:ascii="Times New Roman" w:hAnsi="Times New Roman"/>
          <w:b/>
          <w:sz w:val="24"/>
          <w:lang w:val="en-CA"/>
        </w:rPr>
      </w:pPr>
    </w:p>
    <w:p w14:paraId="35DE5F45" w14:textId="77777777" w:rsidR="00302BFE" w:rsidRDefault="00302BFE" w:rsidP="00302BFE">
      <w:pPr>
        <w:spacing w:after="0"/>
        <w:jc w:val="left"/>
        <w:rPr>
          <w:rFonts w:cs="Calibri"/>
          <w:szCs w:val="20"/>
          <w:lang w:val="en-CA"/>
        </w:rPr>
        <w:sectPr w:rsidR="00302BFE">
          <w:pgSz w:w="15840" w:h="12240" w:orient="landscape"/>
          <w:pgMar w:top="1440" w:right="1440" w:bottom="1440" w:left="1440" w:header="720" w:footer="432" w:gutter="0"/>
          <w:cols w:space="720"/>
        </w:sectPr>
      </w:pPr>
    </w:p>
    <w:p w14:paraId="2EF9A166" w14:textId="77777777" w:rsidR="00302BFE" w:rsidRPr="00C1668B" w:rsidRDefault="00302BFE" w:rsidP="00302BFE">
      <w:pPr>
        <w:spacing w:before="120" w:after="120"/>
        <w:jc w:val="left"/>
        <w:rPr>
          <w:szCs w:val="20"/>
        </w:rPr>
      </w:pPr>
    </w:p>
    <w:p w14:paraId="39B19CE6" w14:textId="77777777" w:rsidR="00302BFE" w:rsidRPr="0094042F" w:rsidRDefault="00302BFE" w:rsidP="00302BFE">
      <w:pPr>
        <w:pStyle w:val="Titre1"/>
        <w:spacing w:before="0" w:after="0"/>
        <w:rPr>
          <w:rFonts w:ascii="Calibri" w:hAnsi="Calibri"/>
          <w:szCs w:val="28"/>
        </w:rPr>
      </w:pPr>
      <w:bookmarkStart w:id="14" w:name="_Toc9961791"/>
      <w:r w:rsidRPr="0094042F">
        <w:rPr>
          <w:rFonts w:ascii="Calibri" w:hAnsi="Calibri"/>
          <w:szCs w:val="28"/>
        </w:rPr>
        <w:t>Results and Partnerships</w:t>
      </w:r>
      <w:bookmarkEnd w:id="14"/>
      <w:r w:rsidRPr="0094042F">
        <w:rPr>
          <w:rFonts w:ascii="Calibri" w:hAnsi="Calibri"/>
          <w:szCs w:val="28"/>
        </w:rPr>
        <w:t xml:space="preserve"> </w:t>
      </w:r>
    </w:p>
    <w:p w14:paraId="63529715" w14:textId="77777777" w:rsidR="003C3F01" w:rsidRDefault="003C3F01" w:rsidP="003C3F01">
      <w:pPr>
        <w:tabs>
          <w:tab w:val="left" w:pos="2742"/>
        </w:tabs>
        <w:spacing w:after="120"/>
        <w:contextualSpacing/>
        <w:jc w:val="left"/>
        <w:rPr>
          <w:bCs/>
          <w:szCs w:val="20"/>
        </w:rPr>
      </w:pPr>
    </w:p>
    <w:p w14:paraId="22B2B381" w14:textId="727AEEEC" w:rsidR="003C3F01" w:rsidRPr="00B0376A" w:rsidRDefault="003C3F01" w:rsidP="00BE65D5">
      <w:pPr>
        <w:tabs>
          <w:tab w:val="left" w:pos="2742"/>
        </w:tabs>
        <w:spacing w:after="120"/>
        <w:contextualSpacing/>
        <w:rPr>
          <w:bCs/>
          <w:szCs w:val="20"/>
          <w:highlight w:val="green"/>
        </w:rPr>
      </w:pPr>
      <w:r w:rsidRPr="00B0376A">
        <w:rPr>
          <w:bCs/>
          <w:szCs w:val="20"/>
          <w:highlight w:val="green"/>
        </w:rPr>
        <w:t>During PPG the project has been screened to identify any potential social and environmental risk and the related mitigation measures. The SESP has been developed and is attached to the ProDoc.</w:t>
      </w:r>
    </w:p>
    <w:p w14:paraId="3C9D17BB" w14:textId="7F46E344" w:rsidR="003C3F01" w:rsidRPr="00B0376A" w:rsidRDefault="003C3F01" w:rsidP="00BE65D5">
      <w:pPr>
        <w:tabs>
          <w:tab w:val="left" w:pos="2742"/>
        </w:tabs>
        <w:spacing w:after="120"/>
        <w:contextualSpacing/>
        <w:rPr>
          <w:bCs/>
          <w:szCs w:val="20"/>
          <w:highlight w:val="green"/>
        </w:rPr>
      </w:pPr>
      <w:r w:rsidRPr="00B0376A">
        <w:rPr>
          <w:bCs/>
          <w:szCs w:val="20"/>
          <w:highlight w:val="green"/>
        </w:rPr>
        <w:t>In the SESP and in the ESMF</w:t>
      </w:r>
      <w:r w:rsidR="005979FD" w:rsidRPr="00B0376A">
        <w:rPr>
          <w:bCs/>
          <w:szCs w:val="20"/>
          <w:highlight w:val="green"/>
        </w:rPr>
        <w:t>,</w:t>
      </w:r>
      <w:r w:rsidRPr="00B0376A">
        <w:rPr>
          <w:bCs/>
          <w:szCs w:val="20"/>
          <w:highlight w:val="green"/>
        </w:rPr>
        <w:t xml:space="preserve"> in attachment to the ProDoc, the assessment and the management processes</w:t>
      </w:r>
      <w:r w:rsidR="003D0E6E" w:rsidRPr="00B0376A">
        <w:rPr>
          <w:bCs/>
          <w:szCs w:val="20"/>
          <w:highlight w:val="green"/>
        </w:rPr>
        <w:t xml:space="preserve"> of social and environmental risks</w:t>
      </w:r>
      <w:r w:rsidRPr="00B0376A">
        <w:rPr>
          <w:bCs/>
          <w:szCs w:val="20"/>
          <w:highlight w:val="green"/>
        </w:rPr>
        <w:t xml:space="preserve"> have been identified and explained.</w:t>
      </w:r>
    </w:p>
    <w:p w14:paraId="71A43FCA" w14:textId="6A569BDE" w:rsidR="003C3F01" w:rsidRPr="00B0376A" w:rsidRDefault="003C3F01" w:rsidP="00BE65D5">
      <w:pPr>
        <w:tabs>
          <w:tab w:val="left" w:pos="2742"/>
        </w:tabs>
        <w:spacing w:after="120"/>
        <w:contextualSpacing/>
        <w:rPr>
          <w:bCs/>
          <w:szCs w:val="20"/>
          <w:highlight w:val="green"/>
        </w:rPr>
      </w:pPr>
      <w:r w:rsidRPr="00B0376A">
        <w:rPr>
          <w:bCs/>
          <w:szCs w:val="20"/>
          <w:highlight w:val="green"/>
        </w:rPr>
        <w:t xml:space="preserve">A focus on Indigenous Peoples and on FPIC </w:t>
      </w:r>
      <w:r w:rsidRPr="00B0376A">
        <w:rPr>
          <w:bCs/>
          <w:iCs/>
          <w:color w:val="4472C4"/>
          <w:szCs w:val="20"/>
          <w:highlight w:val="green"/>
          <w:lang w:val="en-GB"/>
        </w:rPr>
        <w:t xml:space="preserve">(Free, Prior and Informed Consent) </w:t>
      </w:r>
      <w:r w:rsidRPr="00B0376A">
        <w:rPr>
          <w:bCs/>
          <w:szCs w:val="20"/>
          <w:highlight w:val="green"/>
        </w:rPr>
        <w:t>has been made and the outputs and activities that have to follow FPIC have been identified</w:t>
      </w:r>
      <w:r w:rsidR="003D0E6E" w:rsidRPr="00B0376A">
        <w:rPr>
          <w:bCs/>
          <w:szCs w:val="20"/>
          <w:highlight w:val="green"/>
        </w:rPr>
        <w:t xml:space="preserve"> here below.</w:t>
      </w:r>
    </w:p>
    <w:p w14:paraId="48E2B0F7" w14:textId="10B9C897" w:rsidR="003C3F01" w:rsidRDefault="003D0E6E" w:rsidP="00BE65D5">
      <w:pPr>
        <w:tabs>
          <w:tab w:val="left" w:pos="2742"/>
        </w:tabs>
        <w:spacing w:after="120"/>
        <w:contextualSpacing/>
        <w:rPr>
          <w:bCs/>
          <w:szCs w:val="20"/>
        </w:rPr>
      </w:pPr>
      <w:r w:rsidRPr="00B0376A">
        <w:rPr>
          <w:bCs/>
          <w:szCs w:val="20"/>
          <w:highlight w:val="green"/>
        </w:rPr>
        <w:t>T</w:t>
      </w:r>
      <w:r w:rsidR="003C3F01" w:rsidRPr="00B0376A">
        <w:rPr>
          <w:bCs/>
          <w:szCs w:val="20"/>
          <w:highlight w:val="green"/>
        </w:rPr>
        <w:t>he assessment and management processes needed to comply with SES UNDP have been identified</w:t>
      </w:r>
      <w:r w:rsidRPr="00B0376A">
        <w:rPr>
          <w:bCs/>
          <w:szCs w:val="20"/>
          <w:highlight w:val="green"/>
        </w:rPr>
        <w:t xml:space="preserve"> all along the description of the </w:t>
      </w:r>
      <w:r w:rsidR="005979FD" w:rsidRPr="00B0376A">
        <w:rPr>
          <w:bCs/>
          <w:szCs w:val="20"/>
          <w:highlight w:val="green"/>
        </w:rPr>
        <w:t>E</w:t>
      </w:r>
      <w:r w:rsidRPr="00B0376A">
        <w:rPr>
          <w:bCs/>
          <w:szCs w:val="20"/>
          <w:highlight w:val="green"/>
        </w:rPr>
        <w:t xml:space="preserve">xpected </w:t>
      </w:r>
      <w:r w:rsidR="005979FD" w:rsidRPr="00B0376A">
        <w:rPr>
          <w:bCs/>
          <w:szCs w:val="20"/>
          <w:highlight w:val="green"/>
        </w:rPr>
        <w:t>R</w:t>
      </w:r>
      <w:r w:rsidRPr="00B0376A">
        <w:rPr>
          <w:bCs/>
          <w:szCs w:val="20"/>
          <w:highlight w:val="green"/>
        </w:rPr>
        <w:t>esults</w:t>
      </w:r>
      <w:r w:rsidR="003C3F01" w:rsidRPr="00B0376A">
        <w:rPr>
          <w:bCs/>
          <w:szCs w:val="20"/>
          <w:highlight w:val="green"/>
        </w:rPr>
        <w:t>. All the details have been explained in the SESP and in the ESMF</w:t>
      </w:r>
      <w:r w:rsidR="005979FD" w:rsidRPr="00B0376A">
        <w:rPr>
          <w:bCs/>
          <w:szCs w:val="20"/>
          <w:highlight w:val="green"/>
        </w:rPr>
        <w:t>.</w:t>
      </w:r>
    </w:p>
    <w:p w14:paraId="6DDCEB09" w14:textId="3F297F3B" w:rsidR="00302BFE" w:rsidRDefault="00302BFE" w:rsidP="00302BFE">
      <w:pPr>
        <w:tabs>
          <w:tab w:val="left" w:pos="2742"/>
        </w:tabs>
        <w:spacing w:before="240" w:after="120"/>
        <w:jc w:val="left"/>
        <w:rPr>
          <w:b/>
          <w:szCs w:val="20"/>
        </w:rPr>
      </w:pPr>
      <w:r w:rsidRPr="001D7CE3">
        <w:rPr>
          <w:b/>
          <w:szCs w:val="20"/>
        </w:rPr>
        <w:t>Expected Results</w:t>
      </w:r>
    </w:p>
    <w:p w14:paraId="7723338A" w14:textId="77777777" w:rsidR="003C3F01" w:rsidRPr="00BE65D5" w:rsidRDefault="003C3F01" w:rsidP="00755BF9">
      <w:pPr>
        <w:tabs>
          <w:tab w:val="left" w:pos="2742"/>
        </w:tabs>
        <w:spacing w:after="120"/>
        <w:contextualSpacing/>
        <w:jc w:val="left"/>
        <w:rPr>
          <w:bCs/>
          <w:szCs w:val="20"/>
        </w:rPr>
      </w:pPr>
    </w:p>
    <w:p w14:paraId="4F319D0C" w14:textId="77777777" w:rsidR="00302BFE" w:rsidRPr="005F3825" w:rsidRDefault="00302BFE" w:rsidP="00302BFE">
      <w:pPr>
        <w:spacing w:before="120" w:after="120"/>
        <w:rPr>
          <w:b/>
          <w:szCs w:val="20"/>
          <w:lang w:val="en-GB"/>
        </w:rPr>
      </w:pPr>
      <w:r w:rsidRPr="005F3825">
        <w:rPr>
          <w:b/>
          <w:szCs w:val="20"/>
          <w:lang w:val="en-GB"/>
        </w:rPr>
        <w:t>Component 1. Framework for Integrated Landscape Management of PONASI with sustainable financing for its operation</w:t>
      </w:r>
    </w:p>
    <w:p w14:paraId="3D62BB0A" w14:textId="77777777" w:rsidR="00302BFE" w:rsidRPr="005F3825" w:rsidRDefault="00302BFE" w:rsidP="00302BFE">
      <w:pPr>
        <w:spacing w:before="120" w:after="120"/>
        <w:ind w:left="284"/>
        <w:rPr>
          <w:b/>
          <w:szCs w:val="20"/>
          <w:lang w:val="en-GB"/>
        </w:rPr>
      </w:pPr>
      <w:r w:rsidRPr="002764C7">
        <w:rPr>
          <w:b/>
          <w:szCs w:val="20"/>
          <w:lang w:val="en-GB"/>
        </w:rPr>
        <w:t>Outcome 1.1 Updated, strengthened and operationalized PONASI landscape co-governance mechanism to ensure concerted, integrated and equitable management of land and resource use within the 952,000-ha landscape and maximize environmental and socio-economic benefits.</w:t>
      </w:r>
    </w:p>
    <w:p w14:paraId="0FAE34C5" w14:textId="77777777" w:rsidR="00302BFE" w:rsidRPr="005F382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5F3825">
        <w:rPr>
          <w:rFonts w:ascii="Calibri" w:hAnsi="Calibri"/>
          <w:sz w:val="20"/>
          <w:szCs w:val="20"/>
          <w:lang w:val="en-GB"/>
        </w:rPr>
        <w:t xml:space="preserve">The PONASI landscape includes multi-use protected areas incorporating central areas dedicated to stricter conservation, and peripheral areas allocated to community valorization of natural resources (ZOVIC, CAF and pastoral areas) and to concessionaires for their valorization by hunting and vision tourism. The </w:t>
      </w:r>
      <w:r>
        <w:rPr>
          <w:rFonts w:ascii="Calibri" w:hAnsi="Calibri"/>
          <w:sz w:val="20"/>
          <w:szCs w:val="20"/>
          <w:lang w:val="en-GB"/>
        </w:rPr>
        <w:t>whole</w:t>
      </w:r>
      <w:r w:rsidRPr="005F3825">
        <w:rPr>
          <w:rFonts w:ascii="Calibri" w:hAnsi="Calibri"/>
          <w:sz w:val="20"/>
          <w:szCs w:val="20"/>
          <w:lang w:val="en-GB"/>
        </w:rPr>
        <w:t xml:space="preserve"> is in line with the concept of IUCN Category V, which has been developed around the world under the concept of landscape where the safeguarding of the integrity of the area involves taking into account the human-nature interaction. </w:t>
      </w:r>
    </w:p>
    <w:p w14:paraId="292B1DA5" w14:textId="77777777" w:rsidR="00302BFE" w:rsidRPr="005F382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5F3825">
        <w:rPr>
          <w:rFonts w:ascii="Calibri" w:hAnsi="Calibri"/>
          <w:sz w:val="20"/>
          <w:szCs w:val="20"/>
          <w:lang w:val="en-GB"/>
        </w:rPr>
        <w:t>Simultaneous consideration of the benefits of different uses of land and natural resources and the interests of all actors involved makes it possible to identify, mitigate and compensate for the inevitable trade-offs necessary to optimize global and socio-economic benefits at the scale of the landscape. However, such an exercise requires a concerted, efficient and equitable system of governance in which the representatives of the populations, local authorities and relevant government departments each have a real right of decision for the management of the entire landscape. The multi-stakeholder management body will serve as a platform for harmonizing different management jurisdictions on specific management units within the landscape (e.g. DGEF, OFINAP, DREEVCC, DREP), local authorities, Regional Councils, and representatives of resource users (Regional Chambers of Agriculture, Forest Management Unions, Cooperatives for the exploitation of non-timber forest products, Hunters' Associations and Hunting Concession holders).</w:t>
      </w:r>
    </w:p>
    <w:p w14:paraId="761CFFA1" w14:textId="61380935" w:rsidR="00302BFE" w:rsidRDefault="00302BFE" w:rsidP="00302BFE">
      <w:pPr>
        <w:spacing w:before="240" w:after="120"/>
        <w:rPr>
          <w:b/>
          <w:szCs w:val="20"/>
          <w:lang w:val="en-GB"/>
        </w:rPr>
      </w:pPr>
      <w:r w:rsidRPr="005F3825">
        <w:rPr>
          <w:b/>
          <w:szCs w:val="20"/>
          <w:lang w:val="en-GB"/>
        </w:rPr>
        <w:t>Output 1.1 The "PONASI Landscape Co-Governance Mechanism" is updated, strengthened and operationalized as an integrated platform serving as a joint decision-making mechanism for land and resource use within the landscape</w:t>
      </w:r>
    </w:p>
    <w:p w14:paraId="2FE090FA" w14:textId="77777777" w:rsidR="004F4706" w:rsidRPr="003F4704" w:rsidRDefault="004F4706" w:rsidP="004F4706">
      <w:pPr>
        <w:spacing w:before="120" w:after="0"/>
        <w:contextualSpacing/>
        <w:rPr>
          <w:bCs/>
          <w:szCs w:val="20"/>
          <w:highlight w:val="green"/>
          <w:lang w:val="en-GB"/>
        </w:rPr>
      </w:pPr>
      <w:r w:rsidRPr="003F4704">
        <w:rPr>
          <w:bCs/>
          <w:szCs w:val="20"/>
          <w:highlight w:val="green"/>
          <w:lang w:val="en-GB"/>
        </w:rPr>
        <w:t>To assess and manage the impacts of this Output, as indicated in the SESP – in attachment to the ProDoc – the following assessment and management processes will be put in place, to comply with UNDP SES:</w:t>
      </w:r>
    </w:p>
    <w:p w14:paraId="55269C2A" w14:textId="77777777" w:rsidR="004F4706" w:rsidRPr="003F4704" w:rsidRDefault="004F4706" w:rsidP="004F4706">
      <w:pPr>
        <w:spacing w:before="120" w:after="0"/>
        <w:contextualSpacing/>
        <w:rPr>
          <w:bCs/>
          <w:szCs w:val="20"/>
          <w:highlight w:val="green"/>
          <w:u w:val="single"/>
          <w:lang w:val="en-GB"/>
        </w:rPr>
      </w:pPr>
      <w:r w:rsidRPr="003F4704">
        <w:rPr>
          <w:bCs/>
          <w:szCs w:val="20"/>
          <w:highlight w:val="green"/>
          <w:u w:val="single"/>
          <w:lang w:val="en-GB"/>
        </w:rPr>
        <w:t>Assessments:</w:t>
      </w:r>
    </w:p>
    <w:p w14:paraId="4541CCD3" w14:textId="77777777" w:rsidR="004F4706" w:rsidRPr="003F4704" w:rsidRDefault="004F4706" w:rsidP="004F4706">
      <w:pPr>
        <w:spacing w:before="120" w:after="0"/>
        <w:contextualSpacing/>
        <w:rPr>
          <w:bCs/>
          <w:szCs w:val="20"/>
          <w:highlight w:val="green"/>
          <w:lang w:val="en-GB"/>
        </w:rPr>
      </w:pPr>
      <w:r w:rsidRPr="003F4704">
        <w:rPr>
          <w:bCs/>
          <w:szCs w:val="20"/>
          <w:highlight w:val="green"/>
          <w:lang w:val="en-GB"/>
        </w:rPr>
        <w:t>SESA (Strategic Social and Environmental Assessment)</w:t>
      </w:r>
    </w:p>
    <w:p w14:paraId="085BA521" w14:textId="77777777" w:rsidR="004F4706" w:rsidRPr="003F4704" w:rsidRDefault="004F4706" w:rsidP="004F4706">
      <w:pPr>
        <w:spacing w:before="120" w:after="0"/>
        <w:contextualSpacing/>
        <w:rPr>
          <w:bCs/>
          <w:szCs w:val="20"/>
          <w:highlight w:val="green"/>
          <w:lang w:val="en-GB"/>
        </w:rPr>
      </w:pPr>
      <w:r w:rsidRPr="003F4704">
        <w:rPr>
          <w:highlight w:val="green"/>
        </w:rPr>
        <w:t>ESIA (Environmental and Social Impact Assessment)</w:t>
      </w:r>
    </w:p>
    <w:p w14:paraId="3EDA9ABC" w14:textId="77777777" w:rsidR="004F4706" w:rsidRPr="003F4704" w:rsidRDefault="004F4706" w:rsidP="004F4706">
      <w:pPr>
        <w:spacing w:before="120" w:after="0"/>
        <w:contextualSpacing/>
        <w:rPr>
          <w:highlight w:val="green"/>
          <w:u w:val="single"/>
        </w:rPr>
      </w:pPr>
      <w:r w:rsidRPr="003F4704">
        <w:rPr>
          <w:highlight w:val="green"/>
          <w:u w:val="single"/>
        </w:rPr>
        <w:t>Management:</w:t>
      </w:r>
    </w:p>
    <w:p w14:paraId="636EFD87" w14:textId="77777777" w:rsidR="004F4706" w:rsidRPr="003F4704" w:rsidRDefault="004F4706" w:rsidP="004F4706">
      <w:pPr>
        <w:spacing w:before="120" w:after="120"/>
        <w:contextualSpacing/>
        <w:rPr>
          <w:rFonts w:asciiTheme="minorHAnsi" w:hAnsiTheme="minorHAnsi" w:cstheme="minorHAnsi"/>
          <w:szCs w:val="20"/>
          <w:highlight w:val="green"/>
        </w:rPr>
      </w:pPr>
      <w:r w:rsidRPr="003F4704">
        <w:rPr>
          <w:rFonts w:asciiTheme="minorHAnsi" w:hAnsiTheme="minorHAnsi" w:cstheme="minorHAnsi"/>
          <w:szCs w:val="20"/>
          <w:highlight w:val="green"/>
        </w:rPr>
        <w:t>SESA report and recommendations (Actions Matrix)</w:t>
      </w:r>
    </w:p>
    <w:p w14:paraId="34011F14" w14:textId="77777777" w:rsidR="004F4706" w:rsidRPr="003F4704" w:rsidRDefault="004F4706" w:rsidP="004F4706">
      <w:pPr>
        <w:spacing w:before="120" w:after="120"/>
        <w:contextualSpacing/>
        <w:rPr>
          <w:rFonts w:asciiTheme="minorHAnsi" w:hAnsiTheme="minorHAnsi" w:cstheme="minorHAnsi"/>
          <w:szCs w:val="20"/>
          <w:highlight w:val="green"/>
        </w:rPr>
      </w:pPr>
      <w:r w:rsidRPr="003F4704">
        <w:rPr>
          <w:rFonts w:asciiTheme="minorHAnsi" w:hAnsiTheme="minorHAnsi" w:cstheme="minorHAnsi"/>
          <w:szCs w:val="20"/>
          <w:highlight w:val="green"/>
        </w:rPr>
        <w:t>Comprehensive Stakeholder Engagement Plan</w:t>
      </w:r>
    </w:p>
    <w:p w14:paraId="2A11FF7C" w14:textId="77777777" w:rsidR="004F4706" w:rsidRPr="003F4704" w:rsidRDefault="004F4706" w:rsidP="004F4706">
      <w:pPr>
        <w:spacing w:before="120" w:after="120"/>
        <w:contextualSpacing/>
        <w:rPr>
          <w:rFonts w:asciiTheme="minorHAnsi" w:hAnsiTheme="minorHAnsi" w:cstheme="minorHAnsi"/>
          <w:szCs w:val="20"/>
          <w:highlight w:val="green"/>
        </w:rPr>
      </w:pPr>
      <w:r w:rsidRPr="003F4704">
        <w:rPr>
          <w:rFonts w:asciiTheme="minorHAnsi" w:hAnsiTheme="minorHAnsi" w:cstheme="minorHAnsi"/>
          <w:szCs w:val="20"/>
          <w:highlight w:val="green"/>
        </w:rPr>
        <w:t>Indigenous People Plan</w:t>
      </w:r>
    </w:p>
    <w:p w14:paraId="0F82FAE3" w14:textId="77777777" w:rsidR="004F4706" w:rsidRPr="003F4704" w:rsidRDefault="004F4706" w:rsidP="004F4706">
      <w:pPr>
        <w:spacing w:before="120" w:after="120"/>
        <w:contextualSpacing/>
        <w:rPr>
          <w:rFonts w:asciiTheme="minorHAnsi" w:hAnsiTheme="minorHAnsi" w:cstheme="minorHAnsi"/>
          <w:szCs w:val="20"/>
          <w:highlight w:val="green"/>
        </w:rPr>
      </w:pPr>
      <w:r w:rsidRPr="003F4704">
        <w:rPr>
          <w:rFonts w:asciiTheme="minorHAnsi" w:hAnsiTheme="minorHAnsi" w:cstheme="minorHAnsi"/>
          <w:szCs w:val="20"/>
          <w:highlight w:val="green"/>
        </w:rPr>
        <w:t xml:space="preserve">Gender Action Plan </w:t>
      </w:r>
    </w:p>
    <w:p w14:paraId="2EDF8AD7" w14:textId="655111B5" w:rsidR="004F4706" w:rsidRPr="003F4704" w:rsidRDefault="004F4706" w:rsidP="004F4706">
      <w:pPr>
        <w:spacing w:before="120"/>
        <w:contextualSpacing/>
        <w:rPr>
          <w:bCs/>
          <w:szCs w:val="20"/>
          <w:highlight w:val="green"/>
          <w:lang w:val="en-GB"/>
        </w:rPr>
      </w:pPr>
      <w:r w:rsidRPr="003F4704">
        <w:rPr>
          <w:rFonts w:asciiTheme="minorHAnsi" w:hAnsiTheme="minorHAnsi" w:cstheme="minorHAnsi"/>
          <w:szCs w:val="20"/>
          <w:highlight w:val="green"/>
        </w:rPr>
        <w:t>ESMP</w:t>
      </w:r>
      <w:r w:rsidR="00E30D67" w:rsidRPr="003F4704">
        <w:rPr>
          <w:rFonts w:asciiTheme="minorHAnsi" w:hAnsiTheme="minorHAnsi" w:cstheme="minorHAnsi"/>
          <w:szCs w:val="20"/>
          <w:highlight w:val="green"/>
        </w:rPr>
        <w:t xml:space="preserve"> (Environmental and Social Management Plan)</w:t>
      </w:r>
    </w:p>
    <w:p w14:paraId="281BF72B" w14:textId="77777777" w:rsidR="00C97C6D" w:rsidRPr="00BE65D5" w:rsidRDefault="00C97C6D" w:rsidP="00755BF9">
      <w:pPr>
        <w:spacing w:before="120"/>
        <w:contextualSpacing/>
        <w:rPr>
          <w:bCs/>
          <w:szCs w:val="20"/>
          <w:highlight w:val="green"/>
          <w:lang w:val="en-GB"/>
        </w:rPr>
      </w:pPr>
    </w:p>
    <w:p w14:paraId="5187C8A3" w14:textId="55CDAEBF" w:rsidR="00302BFE" w:rsidRPr="003F4704" w:rsidRDefault="00302BFE" w:rsidP="00302BFE">
      <w:pPr>
        <w:spacing w:before="120" w:after="120"/>
        <w:rPr>
          <w:i/>
          <w:color w:val="4472C4"/>
          <w:szCs w:val="20"/>
          <w:highlight w:val="green"/>
          <w:lang w:val="en-GB"/>
        </w:rPr>
      </w:pPr>
      <w:r w:rsidRPr="003F4704">
        <w:rPr>
          <w:i/>
          <w:color w:val="4472C4"/>
          <w:szCs w:val="20"/>
          <w:highlight w:val="green"/>
          <w:lang w:val="en-GB"/>
        </w:rPr>
        <w:t xml:space="preserve">1.1.1 Establishment of the PONASI landscape co-governance mechanism. </w:t>
      </w:r>
    </w:p>
    <w:p w14:paraId="4EB5BF56" w14:textId="5CB2F66C" w:rsidR="00820B54" w:rsidRPr="00BE65D5" w:rsidRDefault="00820B54" w:rsidP="00302BFE">
      <w:pPr>
        <w:spacing w:before="120" w:after="120"/>
        <w:rPr>
          <w:iCs/>
          <w:color w:val="4472C4"/>
          <w:szCs w:val="20"/>
          <w:lang w:val="en-GB"/>
        </w:rPr>
      </w:pPr>
      <w:r w:rsidRPr="00BE65D5">
        <w:rPr>
          <w:iCs/>
          <w:color w:val="4472C4"/>
          <w:szCs w:val="20"/>
          <w:highlight w:val="green"/>
          <w:lang w:val="en-GB"/>
        </w:rPr>
        <w:t xml:space="preserve">For this activity, </w:t>
      </w:r>
      <w:r w:rsidRPr="003F4704">
        <w:rPr>
          <w:iCs/>
          <w:color w:val="4472C4"/>
          <w:szCs w:val="20"/>
          <w:highlight w:val="green"/>
          <w:lang w:val="en-GB"/>
        </w:rPr>
        <w:t xml:space="preserve">the </w:t>
      </w:r>
      <w:r w:rsidRPr="00BE65D5">
        <w:rPr>
          <w:iCs/>
          <w:color w:val="4472C4"/>
          <w:szCs w:val="20"/>
          <w:highlight w:val="green"/>
          <w:lang w:val="en-GB"/>
        </w:rPr>
        <w:t>FPIC (Free, Prior and Informed Consent)</w:t>
      </w:r>
      <w:r w:rsidRPr="003F4704">
        <w:rPr>
          <w:iCs/>
          <w:color w:val="4472C4"/>
          <w:szCs w:val="20"/>
          <w:highlight w:val="green"/>
          <w:lang w:val="en-GB"/>
        </w:rPr>
        <w:t xml:space="preserve"> process</w:t>
      </w:r>
      <w:r w:rsidRPr="00BE65D5">
        <w:rPr>
          <w:iCs/>
          <w:color w:val="4472C4"/>
          <w:szCs w:val="20"/>
          <w:highlight w:val="green"/>
          <w:lang w:val="en-GB"/>
        </w:rPr>
        <w:t xml:space="preserve"> </w:t>
      </w:r>
      <w:r w:rsidR="00F84490" w:rsidRPr="003F4704">
        <w:rPr>
          <w:iCs/>
          <w:color w:val="4472C4"/>
          <w:szCs w:val="20"/>
          <w:highlight w:val="green"/>
          <w:lang w:val="en-GB"/>
        </w:rPr>
        <w:t>has to</w:t>
      </w:r>
      <w:r w:rsidRPr="00BE65D5">
        <w:rPr>
          <w:iCs/>
          <w:color w:val="4472C4"/>
          <w:szCs w:val="20"/>
          <w:highlight w:val="green"/>
          <w:lang w:val="en-GB"/>
        </w:rPr>
        <w:t xml:space="preserve"> be ensured</w:t>
      </w:r>
    </w:p>
    <w:p w14:paraId="6128E683" w14:textId="77777777" w:rsidR="00302BFE" w:rsidRPr="000D4277"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0D4277">
        <w:rPr>
          <w:rFonts w:ascii="Calibri" w:hAnsi="Calibri"/>
          <w:sz w:val="20"/>
          <w:szCs w:val="20"/>
          <w:lang w:val="en-GB"/>
        </w:rPr>
        <w:t>T</w:t>
      </w:r>
      <w:r w:rsidR="001B25BB" w:rsidRPr="000D4277">
        <w:rPr>
          <w:rFonts w:ascii="Calibri" w:hAnsi="Calibri"/>
          <w:sz w:val="20"/>
          <w:szCs w:val="20"/>
          <w:lang w:val="en-GB"/>
        </w:rPr>
        <w:t>o establish</w:t>
      </w:r>
      <w:r w:rsidR="00A06E39" w:rsidRPr="000D4277">
        <w:rPr>
          <w:rFonts w:ascii="Calibri" w:hAnsi="Calibri"/>
          <w:sz w:val="20"/>
          <w:szCs w:val="20"/>
          <w:lang w:val="en-GB"/>
        </w:rPr>
        <w:t xml:space="preserve"> the PONASI landscape co-governance mechanism, t</w:t>
      </w:r>
      <w:r w:rsidRPr="000D4277">
        <w:rPr>
          <w:rFonts w:ascii="Calibri" w:hAnsi="Calibri"/>
          <w:sz w:val="20"/>
          <w:szCs w:val="20"/>
          <w:lang w:val="en-GB"/>
        </w:rPr>
        <w:t xml:space="preserve">he project will build on the results and lessons learned i) from the </w:t>
      </w:r>
      <w:r w:rsidRPr="000D4277">
        <w:rPr>
          <w:rFonts w:ascii="Calibri" w:hAnsi="Calibri"/>
          <w:i/>
          <w:sz w:val="20"/>
          <w:szCs w:val="20"/>
          <w:lang w:val="en-GB"/>
        </w:rPr>
        <w:t>PONASI</w:t>
      </w:r>
      <w:r w:rsidRPr="000D4277">
        <w:rPr>
          <w:rFonts w:ascii="Calibri" w:hAnsi="Calibri"/>
          <w:sz w:val="20"/>
          <w:szCs w:val="20"/>
          <w:lang w:val="en-GB"/>
        </w:rPr>
        <w:t xml:space="preserve"> project implemented from 2014 to 2017 by Naturama/GRET/AFAUDEB and funded by the EU which set up the foundations of an alliance between the Government and the local groups and institutions for a concerted management of the PONASI protected </w:t>
      </w:r>
      <w:r w:rsidRPr="000D4277">
        <w:rPr>
          <w:rFonts w:ascii="Calibri" w:hAnsi="Calibri"/>
          <w:sz w:val="20"/>
          <w:szCs w:val="20"/>
          <w:lang w:val="en-GB"/>
        </w:rPr>
        <w:lastRenderedPageBreak/>
        <w:t>area complex, and ii) from the GEF-</w:t>
      </w:r>
      <w:r w:rsidR="00D27B19" w:rsidRPr="000D4277">
        <w:rPr>
          <w:rFonts w:ascii="Calibri" w:hAnsi="Calibri"/>
          <w:sz w:val="20"/>
          <w:szCs w:val="20"/>
          <w:lang w:val="en-GB"/>
        </w:rPr>
        <w:t>financed</w:t>
      </w:r>
      <w:r w:rsidRPr="000D4277">
        <w:rPr>
          <w:rFonts w:ascii="Calibri" w:hAnsi="Calibri"/>
          <w:sz w:val="20"/>
          <w:szCs w:val="20"/>
          <w:lang w:val="en-GB"/>
        </w:rPr>
        <w:t xml:space="preserve"> Country </w:t>
      </w:r>
      <w:r w:rsidR="00D27B19" w:rsidRPr="000D4277">
        <w:rPr>
          <w:rFonts w:ascii="Calibri" w:hAnsi="Calibri"/>
          <w:sz w:val="20"/>
          <w:szCs w:val="20"/>
          <w:lang w:val="en-GB"/>
        </w:rPr>
        <w:t xml:space="preserve">Pilot </w:t>
      </w:r>
      <w:r w:rsidRPr="000D4277">
        <w:rPr>
          <w:rFonts w:ascii="Calibri" w:hAnsi="Calibri"/>
          <w:sz w:val="20"/>
          <w:szCs w:val="20"/>
          <w:lang w:val="en-GB"/>
        </w:rPr>
        <w:t>Partnership (CPP) for Sustainable Land Management and its sub-programs in multi-stakeholder partnership for the local governance of natural resources and at the landscape scale, more particularly the consultation platform for planning and the National Observatory of the Environment and Sustainable Development for environmental monitoring based on indicators.</w:t>
      </w:r>
    </w:p>
    <w:p w14:paraId="79200C7F" w14:textId="77777777" w:rsidR="00302BFE" w:rsidRPr="000D4277"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0D4277">
        <w:rPr>
          <w:rFonts w:ascii="Calibri" w:hAnsi="Calibri"/>
          <w:sz w:val="20"/>
          <w:szCs w:val="20"/>
          <w:lang w:val="en-GB"/>
        </w:rPr>
        <w:t>To foster their adherence to the landscape management plan, local communities and stakeholders will be placed at the heart of the decision-making process, allowing them to understand land use options including associated costs and benefits, and to contribute to decisions on priority actions. Private sector participation will be important to provide a stable market for forest products and resources sustainably managed by local communities. Ecotourism and other private sector companies that are compatible with conservation goals will contribute to sustainable management and restoration efforts. While the public sector may be reluctant to get involved in this participatory process and to spend significant funds for sustainable management and restoration, it could be approached with proposals to offset their carbon footprint through forest regeneration. This option will be explored with the support of ongoing FIP initiatives.</w:t>
      </w:r>
    </w:p>
    <w:p w14:paraId="5D8C6D54" w14:textId="77777777" w:rsidR="00302BFE"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5F3825">
        <w:rPr>
          <w:rFonts w:ascii="Calibri" w:hAnsi="Calibri"/>
          <w:sz w:val="20"/>
          <w:szCs w:val="20"/>
          <w:lang w:val="en-GB"/>
        </w:rPr>
        <w:t xml:space="preserve">The missions, composition and </w:t>
      </w:r>
      <w:r>
        <w:rPr>
          <w:rFonts w:ascii="Calibri" w:hAnsi="Calibri"/>
          <w:sz w:val="20"/>
          <w:szCs w:val="20"/>
          <w:lang w:val="en-GB"/>
        </w:rPr>
        <w:t>operation</w:t>
      </w:r>
      <w:r w:rsidRPr="005F3825">
        <w:rPr>
          <w:rFonts w:ascii="Calibri" w:hAnsi="Calibri"/>
          <w:sz w:val="20"/>
          <w:szCs w:val="20"/>
          <w:lang w:val="en-GB"/>
        </w:rPr>
        <w:t xml:space="preserve"> of the "PONASI Landscape co-governance mechanism" will integrate the fact that the PONASI landscape extends over 3 </w:t>
      </w:r>
      <w:r>
        <w:rPr>
          <w:rFonts w:ascii="Calibri" w:hAnsi="Calibri"/>
          <w:sz w:val="20"/>
          <w:szCs w:val="20"/>
          <w:lang w:val="en-GB"/>
        </w:rPr>
        <w:t>r</w:t>
      </w:r>
      <w:r w:rsidRPr="005F3825">
        <w:rPr>
          <w:rFonts w:ascii="Calibri" w:hAnsi="Calibri"/>
          <w:sz w:val="20"/>
          <w:szCs w:val="20"/>
          <w:lang w:val="en-GB"/>
        </w:rPr>
        <w:t>egions (inter-regional platform).</w:t>
      </w:r>
      <w:r>
        <w:rPr>
          <w:rFonts w:ascii="Calibri" w:hAnsi="Calibri"/>
          <w:sz w:val="20"/>
          <w:szCs w:val="20"/>
          <w:lang w:val="en-GB"/>
        </w:rPr>
        <w:t xml:space="preserve"> </w:t>
      </w:r>
      <w:r w:rsidRPr="00F52082">
        <w:rPr>
          <w:rFonts w:ascii="Calibri" w:hAnsi="Calibri"/>
          <w:sz w:val="20"/>
          <w:szCs w:val="20"/>
          <w:lang w:val="en-GB"/>
        </w:rPr>
        <w:t>It is proposed that this joint decision-making mechanism for land use in the PONASI landscape be chaired by the President of the South-Central Regional Council, assisted by the other two Presidents of Regional Councils as Vice-Presidents (the order may also provide for a functional co-presidency)</w:t>
      </w:r>
      <w:r>
        <w:rPr>
          <w:rFonts w:ascii="Calibri" w:hAnsi="Calibri"/>
          <w:sz w:val="20"/>
          <w:szCs w:val="20"/>
          <w:lang w:val="en-GB"/>
        </w:rPr>
        <w:t xml:space="preserve"> and that it </w:t>
      </w:r>
      <w:r w:rsidRPr="00F52082">
        <w:rPr>
          <w:rFonts w:ascii="Calibri" w:hAnsi="Calibri"/>
          <w:sz w:val="20"/>
          <w:szCs w:val="20"/>
          <w:lang w:val="en-GB"/>
        </w:rPr>
        <w:t>has the following attributions</w:t>
      </w:r>
      <w:r w:rsidRPr="005F3825">
        <w:rPr>
          <w:rFonts w:ascii="Calibri" w:hAnsi="Calibri"/>
          <w:sz w:val="20"/>
          <w:szCs w:val="20"/>
          <w:lang w:val="en-GB"/>
        </w:rPr>
        <w:t>:</w:t>
      </w:r>
    </w:p>
    <w:p w14:paraId="6F4B1FD5" w14:textId="77777777" w:rsidR="00302BFE" w:rsidRPr="000842A4" w:rsidRDefault="00302BFE" w:rsidP="00C46720">
      <w:pPr>
        <w:pStyle w:val="Paragraphedeliste"/>
        <w:numPr>
          <w:ilvl w:val="0"/>
          <w:numId w:val="15"/>
        </w:numPr>
        <w:autoSpaceDE w:val="0"/>
        <w:autoSpaceDN w:val="0"/>
        <w:adjustRightInd w:val="0"/>
        <w:spacing w:before="120" w:after="120"/>
        <w:ind w:left="567" w:hanging="284"/>
        <w:contextualSpacing/>
        <w:jc w:val="both"/>
        <w:rPr>
          <w:rFonts w:ascii="Calibri" w:hAnsi="Calibri"/>
          <w:sz w:val="20"/>
          <w:szCs w:val="20"/>
          <w:lang w:val="en-GB"/>
        </w:rPr>
      </w:pPr>
      <w:r w:rsidRPr="000842A4">
        <w:rPr>
          <w:rFonts w:ascii="Calibri" w:hAnsi="Calibri"/>
          <w:sz w:val="20"/>
          <w:szCs w:val="20"/>
          <w:lang w:val="en-GB"/>
        </w:rPr>
        <w:t xml:space="preserve">Harmonize the different management jurisdictions on specific management units within the landscape, including the protected areas of the State, wildlife corridors, ZOVICs as community protected areas, forest massifs as well as village and communal forests, CAFs, pastoral areas, transhumance corridors, and agro-sylvo-pastoral lands: </w:t>
      </w:r>
    </w:p>
    <w:p w14:paraId="301112EF" w14:textId="67420F7D" w:rsidR="00302BFE" w:rsidRDefault="00302BFE" w:rsidP="00C46720">
      <w:pPr>
        <w:pStyle w:val="Paragraphedeliste"/>
        <w:numPr>
          <w:ilvl w:val="0"/>
          <w:numId w:val="16"/>
        </w:numPr>
        <w:autoSpaceDE w:val="0"/>
        <w:autoSpaceDN w:val="0"/>
        <w:adjustRightInd w:val="0"/>
        <w:spacing w:before="120" w:after="120"/>
        <w:ind w:left="993" w:hanging="218"/>
        <w:contextualSpacing/>
        <w:rPr>
          <w:rFonts w:ascii="Calibri" w:hAnsi="Calibri"/>
          <w:sz w:val="20"/>
          <w:szCs w:val="20"/>
          <w:lang w:val="en-GB"/>
        </w:rPr>
      </w:pPr>
      <w:r w:rsidRPr="005F3825">
        <w:rPr>
          <w:rFonts w:ascii="Calibri" w:hAnsi="Calibri"/>
          <w:sz w:val="20"/>
          <w:szCs w:val="20"/>
          <w:lang w:val="en-GB"/>
        </w:rPr>
        <w:t>DGEF, OFINAP, DREEVCCs,</w:t>
      </w:r>
    </w:p>
    <w:p w14:paraId="6C590DB7" w14:textId="4C001590" w:rsidR="00C756F3" w:rsidRPr="007E0D06" w:rsidRDefault="00C756F3" w:rsidP="00C46720">
      <w:pPr>
        <w:pStyle w:val="Paragraphedeliste"/>
        <w:numPr>
          <w:ilvl w:val="0"/>
          <w:numId w:val="16"/>
        </w:numPr>
        <w:autoSpaceDE w:val="0"/>
        <w:autoSpaceDN w:val="0"/>
        <w:adjustRightInd w:val="0"/>
        <w:spacing w:before="120" w:after="120"/>
        <w:ind w:left="993" w:hanging="218"/>
        <w:contextualSpacing/>
        <w:rPr>
          <w:rFonts w:ascii="Calibri" w:hAnsi="Calibri"/>
          <w:sz w:val="20"/>
          <w:szCs w:val="20"/>
          <w:lang w:val="en-GB"/>
        </w:rPr>
      </w:pPr>
      <w:r w:rsidRPr="007E0D06">
        <w:rPr>
          <w:rFonts w:ascii="Calibri" w:hAnsi="Calibri"/>
          <w:sz w:val="20"/>
          <w:szCs w:val="20"/>
          <w:lang w:val="en-GB"/>
        </w:rPr>
        <w:t>A representative of the national designated authority of the Ramsar Convention</w:t>
      </w:r>
    </w:p>
    <w:p w14:paraId="1A102BAD" w14:textId="77777777" w:rsidR="00302BFE" w:rsidRPr="005F3825" w:rsidRDefault="00302BFE" w:rsidP="00C46720">
      <w:pPr>
        <w:pStyle w:val="Paragraphedeliste"/>
        <w:numPr>
          <w:ilvl w:val="0"/>
          <w:numId w:val="16"/>
        </w:numPr>
        <w:autoSpaceDE w:val="0"/>
        <w:autoSpaceDN w:val="0"/>
        <w:adjustRightInd w:val="0"/>
        <w:spacing w:before="120" w:after="120"/>
        <w:ind w:left="993" w:hanging="218"/>
        <w:contextualSpacing/>
        <w:rPr>
          <w:rFonts w:ascii="Calibri" w:hAnsi="Calibri"/>
          <w:sz w:val="20"/>
          <w:szCs w:val="20"/>
          <w:lang w:val="en-GB"/>
        </w:rPr>
      </w:pPr>
      <w:r w:rsidRPr="005F3825">
        <w:rPr>
          <w:rFonts w:ascii="Calibri" w:hAnsi="Calibri"/>
          <w:sz w:val="20"/>
          <w:szCs w:val="20"/>
          <w:lang w:val="en-GB"/>
        </w:rPr>
        <w:t>devolved technical structures in charge of Planning (DREP) and rural sector departments (Agriculture, Livestock, Water);</w:t>
      </w:r>
    </w:p>
    <w:p w14:paraId="79683EF2" w14:textId="77777777" w:rsidR="00302BFE" w:rsidRPr="005F3825" w:rsidRDefault="00302BFE" w:rsidP="00C46720">
      <w:pPr>
        <w:pStyle w:val="Paragraphedeliste"/>
        <w:numPr>
          <w:ilvl w:val="0"/>
          <w:numId w:val="16"/>
        </w:numPr>
        <w:autoSpaceDE w:val="0"/>
        <w:autoSpaceDN w:val="0"/>
        <w:adjustRightInd w:val="0"/>
        <w:spacing w:before="120" w:after="120"/>
        <w:ind w:left="993" w:hanging="218"/>
        <w:contextualSpacing/>
        <w:rPr>
          <w:rFonts w:ascii="Calibri" w:hAnsi="Calibri"/>
          <w:sz w:val="20"/>
          <w:szCs w:val="20"/>
          <w:lang w:val="en-GB"/>
        </w:rPr>
      </w:pPr>
      <w:r w:rsidRPr="005F3825">
        <w:rPr>
          <w:rFonts w:ascii="Calibri" w:hAnsi="Calibri"/>
          <w:sz w:val="20"/>
          <w:szCs w:val="20"/>
          <w:lang w:val="en-GB"/>
        </w:rPr>
        <w:t>local authorities (</w:t>
      </w:r>
      <w:r w:rsidRPr="002764C7">
        <w:rPr>
          <w:rFonts w:ascii="Calibri" w:hAnsi="Calibri"/>
          <w:sz w:val="20"/>
          <w:szCs w:val="20"/>
          <w:lang w:val="en-GB"/>
        </w:rPr>
        <w:t>communes</w:t>
      </w:r>
      <w:r w:rsidRPr="005F3825">
        <w:rPr>
          <w:rFonts w:ascii="Calibri" w:hAnsi="Calibri"/>
          <w:sz w:val="20"/>
          <w:szCs w:val="20"/>
          <w:lang w:val="en-GB"/>
        </w:rPr>
        <w:t xml:space="preserve"> and regions);</w:t>
      </w:r>
    </w:p>
    <w:p w14:paraId="2F43C579" w14:textId="77777777" w:rsidR="00302BFE" w:rsidRPr="005F3825" w:rsidRDefault="00302BFE" w:rsidP="00C46720">
      <w:pPr>
        <w:pStyle w:val="Paragraphedeliste"/>
        <w:numPr>
          <w:ilvl w:val="0"/>
          <w:numId w:val="16"/>
        </w:numPr>
        <w:autoSpaceDE w:val="0"/>
        <w:autoSpaceDN w:val="0"/>
        <w:adjustRightInd w:val="0"/>
        <w:spacing w:before="120" w:after="120"/>
        <w:ind w:left="993" w:hanging="218"/>
        <w:contextualSpacing/>
        <w:rPr>
          <w:rFonts w:ascii="Calibri" w:hAnsi="Calibri"/>
          <w:sz w:val="20"/>
          <w:szCs w:val="20"/>
          <w:lang w:val="en-CA"/>
        </w:rPr>
      </w:pPr>
      <w:r w:rsidRPr="005F3825">
        <w:rPr>
          <w:rFonts w:ascii="Calibri" w:hAnsi="Calibri"/>
          <w:sz w:val="20"/>
          <w:szCs w:val="20"/>
          <w:lang w:val="en-CA"/>
        </w:rPr>
        <w:t>Regional Councils for Gender Promotion;</w:t>
      </w:r>
    </w:p>
    <w:p w14:paraId="55FB7AAA" w14:textId="77777777" w:rsidR="00302BFE" w:rsidRPr="005F3825" w:rsidRDefault="00302BFE" w:rsidP="00C46720">
      <w:pPr>
        <w:pStyle w:val="Paragraphedeliste"/>
        <w:numPr>
          <w:ilvl w:val="0"/>
          <w:numId w:val="16"/>
        </w:numPr>
        <w:autoSpaceDE w:val="0"/>
        <w:autoSpaceDN w:val="0"/>
        <w:adjustRightInd w:val="0"/>
        <w:spacing w:before="120" w:after="120"/>
        <w:ind w:left="993" w:hanging="218"/>
        <w:contextualSpacing/>
        <w:rPr>
          <w:rFonts w:ascii="Calibri" w:hAnsi="Calibri"/>
          <w:sz w:val="20"/>
          <w:szCs w:val="20"/>
          <w:lang w:val="en-GB"/>
        </w:rPr>
      </w:pPr>
      <w:r w:rsidRPr="005F3825">
        <w:rPr>
          <w:rFonts w:ascii="Calibri" w:hAnsi="Calibri"/>
          <w:sz w:val="20"/>
          <w:szCs w:val="20"/>
          <w:lang w:val="en-GB"/>
        </w:rPr>
        <w:t xml:space="preserve">representatives of resource users: Regional Chambers of Agriculture, Forest Management Unions, Hunters' Associations and </w:t>
      </w:r>
      <w:r>
        <w:rPr>
          <w:rFonts w:ascii="Calibri" w:hAnsi="Calibri"/>
          <w:sz w:val="20"/>
          <w:szCs w:val="20"/>
          <w:lang w:val="en-GB"/>
        </w:rPr>
        <w:t>h</w:t>
      </w:r>
      <w:r w:rsidRPr="005F3825">
        <w:rPr>
          <w:rFonts w:ascii="Calibri" w:hAnsi="Calibri"/>
          <w:sz w:val="20"/>
          <w:szCs w:val="20"/>
          <w:lang w:val="en-GB"/>
        </w:rPr>
        <w:t>unting concession holders;</w:t>
      </w:r>
    </w:p>
    <w:p w14:paraId="2B9D9F14" w14:textId="77777777" w:rsidR="00302BFE" w:rsidRPr="002764C7" w:rsidRDefault="00302BFE" w:rsidP="00C46720">
      <w:pPr>
        <w:pStyle w:val="Paragraphedeliste"/>
        <w:numPr>
          <w:ilvl w:val="0"/>
          <w:numId w:val="16"/>
        </w:numPr>
        <w:autoSpaceDE w:val="0"/>
        <w:autoSpaceDN w:val="0"/>
        <w:adjustRightInd w:val="0"/>
        <w:spacing w:before="120" w:after="120"/>
        <w:ind w:left="993" w:hanging="218"/>
        <w:contextualSpacing/>
        <w:rPr>
          <w:rFonts w:ascii="Calibri" w:hAnsi="Calibri"/>
          <w:sz w:val="20"/>
          <w:szCs w:val="20"/>
          <w:lang w:val="en-GB"/>
        </w:rPr>
      </w:pPr>
      <w:r w:rsidRPr="005F3825">
        <w:rPr>
          <w:rFonts w:ascii="Calibri" w:hAnsi="Calibri"/>
          <w:sz w:val="20"/>
          <w:szCs w:val="20"/>
          <w:lang w:val="en-GB"/>
        </w:rPr>
        <w:t xml:space="preserve">projects and public development </w:t>
      </w:r>
      <w:r w:rsidRPr="002764C7">
        <w:rPr>
          <w:rFonts w:ascii="Calibri" w:hAnsi="Calibri"/>
          <w:sz w:val="20"/>
          <w:szCs w:val="20"/>
          <w:lang w:val="en-GB"/>
        </w:rPr>
        <w:t>programs in the rural sector involved in the PONASI landscape;</w:t>
      </w:r>
    </w:p>
    <w:p w14:paraId="58EC9B81" w14:textId="77777777" w:rsidR="00302BFE" w:rsidRPr="002764C7" w:rsidRDefault="00302BFE" w:rsidP="00C46720">
      <w:pPr>
        <w:pStyle w:val="Paragraphedeliste"/>
        <w:numPr>
          <w:ilvl w:val="0"/>
          <w:numId w:val="16"/>
        </w:numPr>
        <w:autoSpaceDE w:val="0"/>
        <w:autoSpaceDN w:val="0"/>
        <w:adjustRightInd w:val="0"/>
        <w:spacing w:before="120" w:after="120"/>
        <w:ind w:left="993" w:hanging="218"/>
        <w:contextualSpacing/>
        <w:jc w:val="both"/>
        <w:rPr>
          <w:rFonts w:ascii="Calibri" w:hAnsi="Calibri"/>
          <w:sz w:val="20"/>
          <w:szCs w:val="20"/>
          <w:lang w:val="en-GB"/>
        </w:rPr>
      </w:pPr>
      <w:r w:rsidRPr="002764C7">
        <w:rPr>
          <w:rFonts w:ascii="Calibri" w:hAnsi="Calibri"/>
          <w:sz w:val="20"/>
          <w:szCs w:val="20"/>
          <w:lang w:val="en-GB"/>
        </w:rPr>
        <w:t>national and international NGOs active in the field of conservation and sustainable land and resource management in the PONASI landscape.</w:t>
      </w:r>
    </w:p>
    <w:p w14:paraId="08168A85" w14:textId="77777777" w:rsidR="00302BFE" w:rsidRPr="005F3825" w:rsidRDefault="00302BFE" w:rsidP="00C46720">
      <w:pPr>
        <w:pStyle w:val="Paragraphedeliste"/>
        <w:numPr>
          <w:ilvl w:val="0"/>
          <w:numId w:val="15"/>
        </w:numPr>
        <w:autoSpaceDE w:val="0"/>
        <w:autoSpaceDN w:val="0"/>
        <w:adjustRightInd w:val="0"/>
        <w:spacing w:before="120" w:after="120"/>
        <w:ind w:left="567" w:hanging="284"/>
        <w:contextualSpacing/>
        <w:jc w:val="both"/>
        <w:rPr>
          <w:rFonts w:ascii="Calibri" w:hAnsi="Calibri"/>
          <w:sz w:val="20"/>
          <w:szCs w:val="20"/>
          <w:lang w:val="en-GB"/>
        </w:rPr>
      </w:pPr>
      <w:r w:rsidRPr="005F3825">
        <w:rPr>
          <w:rFonts w:ascii="Calibri" w:hAnsi="Calibri"/>
          <w:sz w:val="20"/>
          <w:szCs w:val="20"/>
          <w:lang w:val="en-GB"/>
        </w:rPr>
        <w:t>Harmonize stakeholder approaches or interventions with regard to conservation and sustainable land and resource management at the PONASI landscape level;</w:t>
      </w:r>
    </w:p>
    <w:p w14:paraId="63CCBDF2" w14:textId="77777777" w:rsidR="00302BFE" w:rsidRPr="005F3825" w:rsidRDefault="00302BFE" w:rsidP="00C46720">
      <w:pPr>
        <w:pStyle w:val="Paragraphedeliste"/>
        <w:numPr>
          <w:ilvl w:val="0"/>
          <w:numId w:val="15"/>
        </w:numPr>
        <w:autoSpaceDE w:val="0"/>
        <w:autoSpaceDN w:val="0"/>
        <w:adjustRightInd w:val="0"/>
        <w:spacing w:before="120" w:after="120"/>
        <w:ind w:left="567" w:hanging="284"/>
        <w:contextualSpacing/>
        <w:jc w:val="both"/>
        <w:rPr>
          <w:rFonts w:ascii="Calibri" w:hAnsi="Calibri"/>
          <w:sz w:val="20"/>
          <w:szCs w:val="20"/>
          <w:lang w:val="en-GB"/>
        </w:rPr>
      </w:pPr>
      <w:r w:rsidRPr="005F3825">
        <w:rPr>
          <w:rFonts w:ascii="Calibri" w:hAnsi="Calibri"/>
          <w:sz w:val="20"/>
          <w:szCs w:val="20"/>
          <w:lang w:val="en-GB"/>
        </w:rPr>
        <w:t>Lead the development and validation of an environmental land use planning tool as a spatial planning methodology, as a system for visualizing the impacts of economic activities on the landscape with a clear articulation of trade- offs, to support decision-making on land use that maximizes environmental and economic benefits;</w:t>
      </w:r>
    </w:p>
    <w:p w14:paraId="409FDE81" w14:textId="77777777" w:rsidR="00302BFE" w:rsidRPr="005F3825" w:rsidRDefault="00302BFE" w:rsidP="00C46720">
      <w:pPr>
        <w:pStyle w:val="Paragraphedeliste"/>
        <w:numPr>
          <w:ilvl w:val="0"/>
          <w:numId w:val="15"/>
        </w:numPr>
        <w:autoSpaceDE w:val="0"/>
        <w:autoSpaceDN w:val="0"/>
        <w:adjustRightInd w:val="0"/>
        <w:spacing w:before="120" w:after="120"/>
        <w:ind w:left="567" w:hanging="284"/>
        <w:contextualSpacing/>
        <w:jc w:val="both"/>
        <w:rPr>
          <w:rFonts w:ascii="Calibri" w:hAnsi="Calibri"/>
          <w:sz w:val="20"/>
          <w:szCs w:val="20"/>
          <w:lang w:val="en-GB"/>
        </w:rPr>
      </w:pPr>
      <w:r w:rsidRPr="005F3825">
        <w:rPr>
          <w:rFonts w:ascii="Calibri" w:hAnsi="Calibri"/>
          <w:sz w:val="20"/>
          <w:szCs w:val="20"/>
          <w:lang w:val="en-GB"/>
        </w:rPr>
        <w:t>Monitor the application of the Environmental Land Use Planning Tool, including the development and implementation of the PONASI Landscape Management Master Plan over the next 15 years;</w:t>
      </w:r>
    </w:p>
    <w:p w14:paraId="5027E2CA" w14:textId="77777777" w:rsidR="00302BFE" w:rsidRPr="005F3825" w:rsidRDefault="00302BFE" w:rsidP="00C46720">
      <w:pPr>
        <w:pStyle w:val="Paragraphedeliste"/>
        <w:numPr>
          <w:ilvl w:val="0"/>
          <w:numId w:val="15"/>
        </w:numPr>
        <w:autoSpaceDE w:val="0"/>
        <w:autoSpaceDN w:val="0"/>
        <w:adjustRightInd w:val="0"/>
        <w:spacing w:before="120" w:after="120"/>
        <w:ind w:left="567" w:hanging="284"/>
        <w:contextualSpacing/>
        <w:jc w:val="both"/>
        <w:rPr>
          <w:rFonts w:ascii="Calibri" w:hAnsi="Calibri"/>
          <w:sz w:val="20"/>
          <w:szCs w:val="20"/>
          <w:lang w:val="en-GB"/>
        </w:rPr>
      </w:pPr>
      <w:r w:rsidRPr="005F3825">
        <w:rPr>
          <w:rFonts w:ascii="Calibri" w:hAnsi="Calibri"/>
          <w:sz w:val="20"/>
          <w:szCs w:val="20"/>
          <w:lang w:val="en-GB"/>
        </w:rPr>
        <w:t>Coordinate the interventions of all stakeholders in biodiversity conservation and SLM;</w:t>
      </w:r>
    </w:p>
    <w:p w14:paraId="253436C0" w14:textId="77777777" w:rsidR="00302BFE" w:rsidRPr="005F3825" w:rsidRDefault="00302BFE" w:rsidP="00C46720">
      <w:pPr>
        <w:pStyle w:val="Paragraphedeliste"/>
        <w:numPr>
          <w:ilvl w:val="0"/>
          <w:numId w:val="15"/>
        </w:numPr>
        <w:autoSpaceDE w:val="0"/>
        <w:autoSpaceDN w:val="0"/>
        <w:adjustRightInd w:val="0"/>
        <w:spacing w:before="120" w:after="120"/>
        <w:ind w:left="567" w:hanging="284"/>
        <w:contextualSpacing/>
        <w:jc w:val="both"/>
        <w:rPr>
          <w:rFonts w:ascii="Calibri" w:hAnsi="Calibri"/>
          <w:sz w:val="20"/>
          <w:szCs w:val="20"/>
          <w:lang w:val="en-GB"/>
        </w:rPr>
      </w:pPr>
      <w:r w:rsidRPr="005F3825">
        <w:rPr>
          <w:rFonts w:ascii="Calibri" w:hAnsi="Calibri"/>
          <w:sz w:val="20"/>
          <w:szCs w:val="20"/>
          <w:lang w:val="en-GB"/>
        </w:rPr>
        <w:t>Ensure that the principles of biodiversity conservation and SLM are taken into account in projects and programs at the regional level and in decentralized local development planning tools;</w:t>
      </w:r>
    </w:p>
    <w:p w14:paraId="5F2535A5" w14:textId="317C892D" w:rsidR="00302BFE" w:rsidRPr="005F3825" w:rsidRDefault="00302BFE" w:rsidP="00C46720">
      <w:pPr>
        <w:pStyle w:val="Paragraphedeliste"/>
        <w:numPr>
          <w:ilvl w:val="0"/>
          <w:numId w:val="15"/>
        </w:numPr>
        <w:autoSpaceDE w:val="0"/>
        <w:autoSpaceDN w:val="0"/>
        <w:adjustRightInd w:val="0"/>
        <w:spacing w:before="120" w:after="120"/>
        <w:ind w:left="567" w:hanging="284"/>
        <w:contextualSpacing/>
        <w:jc w:val="both"/>
        <w:rPr>
          <w:rFonts w:ascii="Calibri" w:hAnsi="Calibri"/>
          <w:sz w:val="20"/>
          <w:szCs w:val="20"/>
          <w:lang w:val="en-GB"/>
        </w:rPr>
      </w:pPr>
      <w:r w:rsidRPr="005F3825">
        <w:rPr>
          <w:rFonts w:ascii="Calibri" w:hAnsi="Calibri"/>
          <w:sz w:val="20"/>
          <w:szCs w:val="20"/>
          <w:lang w:val="en-GB"/>
        </w:rPr>
        <w:t xml:space="preserve">Contribute to disseminate information on the progress and achievements of the project with the support of the communication manager </w:t>
      </w:r>
      <w:r w:rsidRPr="00A63E29">
        <w:rPr>
          <w:rFonts w:ascii="Calibri" w:hAnsi="Calibri"/>
          <w:sz w:val="20"/>
          <w:szCs w:val="20"/>
          <w:highlight w:val="yellow"/>
          <w:lang w:val="en-GB"/>
        </w:rPr>
        <w:t xml:space="preserve">of </w:t>
      </w:r>
      <w:r w:rsidR="006F161F" w:rsidRPr="00A63E29">
        <w:rPr>
          <w:rFonts w:ascii="Calibri" w:hAnsi="Calibri"/>
          <w:sz w:val="20"/>
          <w:szCs w:val="20"/>
          <w:highlight w:val="yellow"/>
          <w:lang w:val="en-GB"/>
        </w:rPr>
        <w:t>the Project Coordination Unit</w:t>
      </w:r>
      <w:r w:rsidRPr="00A63E29">
        <w:rPr>
          <w:rFonts w:ascii="Calibri" w:hAnsi="Calibri"/>
          <w:sz w:val="20"/>
          <w:szCs w:val="20"/>
          <w:highlight w:val="yellow"/>
          <w:lang w:val="en-GB"/>
        </w:rPr>
        <w:t>;</w:t>
      </w:r>
    </w:p>
    <w:p w14:paraId="3187E93D" w14:textId="77777777" w:rsidR="00302BFE" w:rsidRPr="005F3825" w:rsidRDefault="00302BFE" w:rsidP="00C46720">
      <w:pPr>
        <w:pStyle w:val="Paragraphedeliste"/>
        <w:numPr>
          <w:ilvl w:val="0"/>
          <w:numId w:val="15"/>
        </w:numPr>
        <w:autoSpaceDE w:val="0"/>
        <w:autoSpaceDN w:val="0"/>
        <w:adjustRightInd w:val="0"/>
        <w:spacing w:before="120" w:after="120"/>
        <w:ind w:left="567" w:hanging="284"/>
        <w:contextualSpacing/>
        <w:jc w:val="both"/>
        <w:rPr>
          <w:rFonts w:ascii="Calibri" w:hAnsi="Calibri"/>
          <w:sz w:val="20"/>
          <w:szCs w:val="20"/>
          <w:lang w:val="en-GB"/>
        </w:rPr>
      </w:pPr>
      <w:r w:rsidRPr="005F3825">
        <w:rPr>
          <w:rFonts w:ascii="Calibri" w:hAnsi="Calibri"/>
          <w:sz w:val="20"/>
          <w:szCs w:val="20"/>
          <w:lang w:val="en-GB"/>
        </w:rPr>
        <w:t>Contribute to disseminate the results of scientific studies on biodiversity conservation and sustainable management of lands and resources applicable to PONASI landscape issues;</w:t>
      </w:r>
    </w:p>
    <w:p w14:paraId="460B8B06" w14:textId="77777777" w:rsidR="00302BFE" w:rsidRPr="005F3825" w:rsidRDefault="00302BFE" w:rsidP="00C46720">
      <w:pPr>
        <w:pStyle w:val="Paragraphedeliste"/>
        <w:numPr>
          <w:ilvl w:val="0"/>
          <w:numId w:val="15"/>
        </w:numPr>
        <w:autoSpaceDE w:val="0"/>
        <w:autoSpaceDN w:val="0"/>
        <w:adjustRightInd w:val="0"/>
        <w:spacing w:before="120" w:after="120"/>
        <w:ind w:left="568" w:hanging="284"/>
        <w:jc w:val="both"/>
        <w:rPr>
          <w:rFonts w:ascii="Calibri" w:hAnsi="Calibri"/>
          <w:sz w:val="20"/>
          <w:szCs w:val="20"/>
          <w:lang w:val="en-GB"/>
        </w:rPr>
      </w:pPr>
      <w:r w:rsidRPr="005F3825">
        <w:rPr>
          <w:rFonts w:ascii="Calibri" w:hAnsi="Calibri"/>
          <w:sz w:val="20"/>
          <w:szCs w:val="20"/>
          <w:lang w:val="en-GB"/>
        </w:rPr>
        <w:t>Develop partnerships with national institutions and structures concerned with SLM issues and biodiversity conservation.</w:t>
      </w:r>
    </w:p>
    <w:p w14:paraId="43E1320E" w14:textId="77777777" w:rsidR="00302BFE" w:rsidRPr="005F382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5F3825">
        <w:rPr>
          <w:rFonts w:ascii="Calibri" w:hAnsi="Calibri"/>
          <w:sz w:val="20"/>
          <w:szCs w:val="20"/>
          <w:lang w:val="en-GB"/>
        </w:rPr>
        <w:t xml:space="preserve">The mechanism will have a permanent technical core (made up of the </w:t>
      </w:r>
      <w:r w:rsidR="00A06E39">
        <w:rPr>
          <w:rFonts w:ascii="Calibri" w:hAnsi="Calibri"/>
          <w:sz w:val="20"/>
          <w:szCs w:val="20"/>
          <w:lang w:val="en-GB"/>
        </w:rPr>
        <w:t>key</w:t>
      </w:r>
      <w:r w:rsidRPr="005F3825">
        <w:rPr>
          <w:rFonts w:ascii="Calibri" w:hAnsi="Calibri"/>
          <w:sz w:val="20"/>
          <w:szCs w:val="20"/>
          <w:lang w:val="en-GB"/>
        </w:rPr>
        <w:t xml:space="preserve"> conservation and SLM actors of the three Regions) led by the Regional Director in charge of the Environment of the South-Center, assisted by the other two of the two other Directors West-Central and East Central) and having as Rapporteurs the Regional Directors of Economy and Planning. The permanent technical core will be responsible for:</w:t>
      </w:r>
    </w:p>
    <w:p w14:paraId="314A2ADD" w14:textId="77777777" w:rsidR="00302BFE" w:rsidRPr="005F3825" w:rsidRDefault="00302BFE" w:rsidP="00C46720">
      <w:pPr>
        <w:pStyle w:val="Paragraphedeliste"/>
        <w:numPr>
          <w:ilvl w:val="0"/>
          <w:numId w:val="18"/>
        </w:numPr>
        <w:autoSpaceDE w:val="0"/>
        <w:autoSpaceDN w:val="0"/>
        <w:adjustRightInd w:val="0"/>
        <w:spacing w:before="120" w:after="120"/>
        <w:ind w:left="567" w:hanging="284"/>
        <w:contextualSpacing/>
        <w:jc w:val="both"/>
        <w:rPr>
          <w:rFonts w:ascii="Calibri" w:hAnsi="Calibri"/>
          <w:sz w:val="20"/>
          <w:szCs w:val="20"/>
          <w:lang w:val="en-GB"/>
        </w:rPr>
      </w:pPr>
      <w:r w:rsidRPr="005F3825">
        <w:rPr>
          <w:rFonts w:ascii="Calibri" w:hAnsi="Calibri"/>
          <w:sz w:val="20"/>
          <w:szCs w:val="20"/>
          <w:lang w:val="en-GB"/>
        </w:rPr>
        <w:t>Contributing to the operation of the PONASI Landscape Co-governance Mechanism, for which he will act as secretary;</w:t>
      </w:r>
    </w:p>
    <w:p w14:paraId="055B29B8" w14:textId="77777777" w:rsidR="00302BFE" w:rsidRPr="005F3825" w:rsidRDefault="00302BFE" w:rsidP="00C46720">
      <w:pPr>
        <w:pStyle w:val="Paragraphedeliste"/>
        <w:numPr>
          <w:ilvl w:val="0"/>
          <w:numId w:val="18"/>
        </w:numPr>
        <w:autoSpaceDE w:val="0"/>
        <w:autoSpaceDN w:val="0"/>
        <w:adjustRightInd w:val="0"/>
        <w:spacing w:before="120" w:after="120"/>
        <w:ind w:left="567" w:hanging="284"/>
        <w:contextualSpacing/>
        <w:jc w:val="both"/>
        <w:rPr>
          <w:rFonts w:ascii="Calibri" w:hAnsi="Calibri"/>
          <w:sz w:val="20"/>
          <w:szCs w:val="20"/>
          <w:lang w:val="en-GB"/>
        </w:rPr>
      </w:pPr>
      <w:r w:rsidRPr="005F3825">
        <w:rPr>
          <w:rFonts w:ascii="Calibri" w:hAnsi="Calibri"/>
          <w:sz w:val="20"/>
          <w:szCs w:val="20"/>
          <w:lang w:val="en-GB"/>
        </w:rPr>
        <w:t>Initiating work programs, annual multi-stakeholder investment plans submitted to the Stakeholder Assembly of the Co-Governance Mechanism;</w:t>
      </w:r>
    </w:p>
    <w:p w14:paraId="155C2B9F" w14:textId="77777777" w:rsidR="00302BFE" w:rsidRPr="005F3825" w:rsidRDefault="00302BFE" w:rsidP="00C46720">
      <w:pPr>
        <w:pStyle w:val="Paragraphedeliste"/>
        <w:numPr>
          <w:ilvl w:val="0"/>
          <w:numId w:val="18"/>
        </w:numPr>
        <w:autoSpaceDE w:val="0"/>
        <w:autoSpaceDN w:val="0"/>
        <w:adjustRightInd w:val="0"/>
        <w:spacing w:before="120" w:after="120"/>
        <w:ind w:left="567" w:hanging="284"/>
        <w:contextualSpacing/>
        <w:jc w:val="both"/>
        <w:rPr>
          <w:rFonts w:ascii="Calibri" w:hAnsi="Calibri"/>
          <w:sz w:val="20"/>
          <w:szCs w:val="20"/>
          <w:lang w:val="en-GB"/>
        </w:rPr>
      </w:pPr>
      <w:r w:rsidRPr="005F3825">
        <w:rPr>
          <w:rFonts w:ascii="Calibri" w:hAnsi="Calibri"/>
          <w:sz w:val="20"/>
          <w:szCs w:val="20"/>
          <w:lang w:val="en-GB"/>
        </w:rPr>
        <w:t>Prepare annual reports reporting on the progress report of the platform's activities and submit them to the stakeholder assembly;</w:t>
      </w:r>
    </w:p>
    <w:p w14:paraId="0C0239F2" w14:textId="77777777" w:rsidR="00302BFE" w:rsidRPr="005F3825" w:rsidRDefault="00302BFE" w:rsidP="00C46720">
      <w:pPr>
        <w:pStyle w:val="Paragraphedeliste"/>
        <w:numPr>
          <w:ilvl w:val="0"/>
          <w:numId w:val="18"/>
        </w:numPr>
        <w:autoSpaceDE w:val="0"/>
        <w:autoSpaceDN w:val="0"/>
        <w:adjustRightInd w:val="0"/>
        <w:spacing w:before="120" w:after="120"/>
        <w:ind w:left="567" w:hanging="284"/>
        <w:contextualSpacing/>
        <w:jc w:val="both"/>
        <w:rPr>
          <w:rFonts w:ascii="Calibri" w:hAnsi="Calibri"/>
          <w:sz w:val="20"/>
          <w:szCs w:val="20"/>
          <w:lang w:val="en-GB"/>
        </w:rPr>
      </w:pPr>
      <w:r w:rsidRPr="005F3825">
        <w:rPr>
          <w:rFonts w:ascii="Calibri" w:hAnsi="Calibri"/>
          <w:sz w:val="20"/>
          <w:szCs w:val="20"/>
          <w:lang w:val="en-GB"/>
        </w:rPr>
        <w:t>Disseminate results of studies and research on biodiversity conservation and SLM;</w:t>
      </w:r>
    </w:p>
    <w:p w14:paraId="4C75C1D2" w14:textId="77777777" w:rsidR="00302BFE" w:rsidRPr="005F3825" w:rsidRDefault="00302BFE" w:rsidP="00C46720">
      <w:pPr>
        <w:pStyle w:val="Paragraphedeliste"/>
        <w:numPr>
          <w:ilvl w:val="0"/>
          <w:numId w:val="18"/>
        </w:numPr>
        <w:autoSpaceDE w:val="0"/>
        <w:autoSpaceDN w:val="0"/>
        <w:adjustRightInd w:val="0"/>
        <w:spacing w:before="120" w:after="120"/>
        <w:ind w:left="568" w:hanging="284"/>
        <w:jc w:val="both"/>
        <w:rPr>
          <w:rFonts w:ascii="Calibri" w:hAnsi="Calibri"/>
          <w:sz w:val="20"/>
          <w:szCs w:val="20"/>
          <w:lang w:val="en-GB"/>
        </w:rPr>
      </w:pPr>
      <w:r w:rsidRPr="005F3825">
        <w:rPr>
          <w:rFonts w:ascii="Calibri" w:hAnsi="Calibri"/>
          <w:sz w:val="20"/>
          <w:szCs w:val="20"/>
          <w:lang w:val="en-GB"/>
        </w:rPr>
        <w:lastRenderedPageBreak/>
        <w:t>Perform any mission to improve the performance of the PONASI Landscape Co-governance Mechanism.</w:t>
      </w:r>
    </w:p>
    <w:p w14:paraId="5C996503" w14:textId="77777777" w:rsidR="00302BFE" w:rsidRPr="000D4277" w:rsidRDefault="00302BFE" w:rsidP="00C46720">
      <w:pPr>
        <w:pStyle w:val="Paragraphedeliste"/>
        <w:numPr>
          <w:ilvl w:val="0"/>
          <w:numId w:val="14"/>
        </w:numPr>
        <w:tabs>
          <w:tab w:val="left" w:pos="284"/>
        </w:tabs>
        <w:spacing w:before="120"/>
        <w:ind w:left="0" w:firstLine="0"/>
        <w:jc w:val="both"/>
        <w:rPr>
          <w:rFonts w:ascii="Calibri" w:hAnsi="Calibri"/>
          <w:sz w:val="20"/>
          <w:szCs w:val="20"/>
          <w:lang w:val="en-GB"/>
        </w:rPr>
      </w:pPr>
      <w:r w:rsidRPr="000D4277">
        <w:rPr>
          <w:rFonts w:ascii="Calibri" w:hAnsi="Calibri"/>
          <w:sz w:val="20"/>
          <w:szCs w:val="20"/>
          <w:lang w:val="en-GB"/>
        </w:rPr>
        <w:t xml:space="preserve">Under the leadership of the Minister of Territorial Administration and Decentralization (MTAD) and through a participatory process guided by an international consultant expert in environmental land-use planning, the previously established multi-stakeholder management body will be updated, and its membership revised through the following tasks: </w:t>
      </w:r>
    </w:p>
    <w:p w14:paraId="03C50820" w14:textId="77777777" w:rsidR="00302BFE" w:rsidRPr="00127AA3" w:rsidRDefault="00302BFE" w:rsidP="00C46720">
      <w:pPr>
        <w:pStyle w:val="Paragraphedeliste"/>
        <w:numPr>
          <w:ilvl w:val="0"/>
          <w:numId w:val="57"/>
        </w:numPr>
        <w:autoSpaceDE w:val="0"/>
        <w:autoSpaceDN w:val="0"/>
        <w:adjustRightInd w:val="0"/>
        <w:spacing w:before="120" w:after="120"/>
        <w:ind w:left="709" w:hanging="218"/>
        <w:contextualSpacing/>
        <w:rPr>
          <w:rFonts w:ascii="Calibri" w:hAnsi="Calibri"/>
          <w:sz w:val="20"/>
          <w:szCs w:val="20"/>
          <w:lang w:val="en-GB"/>
        </w:rPr>
      </w:pPr>
      <w:r w:rsidRPr="00127AA3">
        <w:rPr>
          <w:rFonts w:ascii="Calibri" w:hAnsi="Calibri"/>
          <w:sz w:val="20"/>
          <w:szCs w:val="20"/>
          <w:lang w:val="en-GB"/>
        </w:rPr>
        <w:t xml:space="preserve">identification of the mission of the co-governance mechanism; </w:t>
      </w:r>
    </w:p>
    <w:p w14:paraId="38D5538C" w14:textId="77777777" w:rsidR="00302BFE" w:rsidRDefault="00302BFE" w:rsidP="00C46720">
      <w:pPr>
        <w:pStyle w:val="Paragraphedeliste"/>
        <w:numPr>
          <w:ilvl w:val="0"/>
          <w:numId w:val="57"/>
        </w:numPr>
        <w:autoSpaceDE w:val="0"/>
        <w:autoSpaceDN w:val="0"/>
        <w:adjustRightInd w:val="0"/>
        <w:spacing w:before="120" w:after="120"/>
        <w:ind w:left="709" w:hanging="218"/>
        <w:contextualSpacing/>
        <w:rPr>
          <w:rFonts w:ascii="Calibri" w:hAnsi="Calibri"/>
          <w:sz w:val="20"/>
          <w:szCs w:val="20"/>
          <w:lang w:val="en-GB"/>
        </w:rPr>
      </w:pPr>
      <w:r w:rsidRPr="005F3825">
        <w:rPr>
          <w:rFonts w:ascii="Calibri" w:hAnsi="Calibri"/>
          <w:sz w:val="20"/>
          <w:szCs w:val="20"/>
          <w:lang w:val="en-GB"/>
        </w:rPr>
        <w:t xml:space="preserve">analysis of stakeholders in landscape management at all levels, including local and community actors and proposal of composition and identification of roles of each party in the process; </w:t>
      </w:r>
    </w:p>
    <w:p w14:paraId="6AF2E3DE" w14:textId="77777777" w:rsidR="00302BFE" w:rsidRDefault="00302BFE" w:rsidP="00C46720">
      <w:pPr>
        <w:pStyle w:val="Paragraphedeliste"/>
        <w:numPr>
          <w:ilvl w:val="0"/>
          <w:numId w:val="57"/>
        </w:numPr>
        <w:autoSpaceDE w:val="0"/>
        <w:autoSpaceDN w:val="0"/>
        <w:adjustRightInd w:val="0"/>
        <w:spacing w:before="120" w:after="120"/>
        <w:ind w:left="709" w:hanging="218"/>
        <w:contextualSpacing/>
        <w:rPr>
          <w:rFonts w:ascii="Calibri" w:hAnsi="Calibri"/>
          <w:sz w:val="20"/>
          <w:szCs w:val="20"/>
          <w:lang w:val="en-GB"/>
        </w:rPr>
      </w:pPr>
      <w:r w:rsidRPr="005F3825">
        <w:rPr>
          <w:rFonts w:ascii="Calibri" w:hAnsi="Calibri"/>
          <w:sz w:val="20"/>
          <w:szCs w:val="20"/>
          <w:lang w:val="en-GB"/>
        </w:rPr>
        <w:t>participatory confirmation / validation of the proposed composition</w:t>
      </w:r>
      <w:r>
        <w:rPr>
          <w:rFonts w:ascii="Calibri" w:hAnsi="Calibri"/>
          <w:sz w:val="20"/>
          <w:szCs w:val="20"/>
          <w:lang w:val="en-GB"/>
        </w:rPr>
        <w:t>;</w:t>
      </w:r>
      <w:r w:rsidRPr="005F3825">
        <w:rPr>
          <w:rFonts w:ascii="Calibri" w:hAnsi="Calibri"/>
          <w:sz w:val="20"/>
          <w:szCs w:val="20"/>
          <w:lang w:val="en-GB"/>
        </w:rPr>
        <w:t xml:space="preserve"> </w:t>
      </w:r>
    </w:p>
    <w:p w14:paraId="031CBCD4" w14:textId="77777777" w:rsidR="00302BFE" w:rsidRDefault="00302BFE" w:rsidP="00C46720">
      <w:pPr>
        <w:pStyle w:val="Paragraphedeliste"/>
        <w:numPr>
          <w:ilvl w:val="0"/>
          <w:numId w:val="57"/>
        </w:numPr>
        <w:autoSpaceDE w:val="0"/>
        <w:autoSpaceDN w:val="0"/>
        <w:adjustRightInd w:val="0"/>
        <w:spacing w:before="120" w:after="120"/>
        <w:ind w:left="709" w:hanging="218"/>
        <w:contextualSpacing/>
        <w:rPr>
          <w:rFonts w:ascii="Calibri" w:hAnsi="Calibri"/>
          <w:sz w:val="20"/>
          <w:szCs w:val="20"/>
          <w:lang w:val="en-GB"/>
        </w:rPr>
      </w:pPr>
      <w:r w:rsidRPr="005F3825">
        <w:rPr>
          <w:rFonts w:ascii="Calibri" w:hAnsi="Calibri"/>
          <w:sz w:val="20"/>
          <w:szCs w:val="20"/>
          <w:lang w:val="en-GB"/>
        </w:rPr>
        <w:t>identification of the selection criteria for the members of the mechanism (apart from the representatives of the institutions, the participants in the mechanism will be identified by the representative organizations of the stakeholders, ensuring geographic and gender</w:t>
      </w:r>
      <w:r w:rsidRPr="00A43AB3">
        <w:rPr>
          <w:rFonts w:ascii="Calibri" w:hAnsi="Calibri"/>
          <w:sz w:val="20"/>
          <w:szCs w:val="20"/>
          <w:lang w:val="en-GB"/>
        </w:rPr>
        <w:t xml:space="preserve"> representativeness</w:t>
      </w:r>
      <w:r w:rsidRPr="005F3825">
        <w:rPr>
          <w:rFonts w:ascii="Calibri" w:hAnsi="Calibri"/>
          <w:sz w:val="20"/>
          <w:szCs w:val="20"/>
          <w:lang w:val="en-GB"/>
        </w:rPr>
        <w:t>)</w:t>
      </w:r>
      <w:r>
        <w:rPr>
          <w:rFonts w:ascii="Calibri" w:hAnsi="Calibri"/>
          <w:sz w:val="20"/>
          <w:szCs w:val="20"/>
          <w:lang w:val="en-GB"/>
        </w:rPr>
        <w:t>;</w:t>
      </w:r>
    </w:p>
    <w:p w14:paraId="0084CA31" w14:textId="77777777" w:rsidR="00302BFE" w:rsidRDefault="00302BFE" w:rsidP="00C46720">
      <w:pPr>
        <w:pStyle w:val="Paragraphedeliste"/>
        <w:numPr>
          <w:ilvl w:val="0"/>
          <w:numId w:val="57"/>
        </w:numPr>
        <w:autoSpaceDE w:val="0"/>
        <w:autoSpaceDN w:val="0"/>
        <w:adjustRightInd w:val="0"/>
        <w:spacing w:before="120" w:after="120"/>
        <w:ind w:left="709" w:hanging="218"/>
        <w:contextualSpacing/>
        <w:rPr>
          <w:rFonts w:ascii="Calibri" w:hAnsi="Calibri"/>
          <w:sz w:val="20"/>
          <w:szCs w:val="20"/>
          <w:lang w:val="en-GB"/>
        </w:rPr>
      </w:pPr>
      <w:r w:rsidRPr="005F3825">
        <w:rPr>
          <w:rFonts w:ascii="Calibri" w:hAnsi="Calibri"/>
          <w:sz w:val="20"/>
          <w:szCs w:val="20"/>
          <w:lang w:val="en-GB"/>
        </w:rPr>
        <w:t xml:space="preserve">identification of </w:t>
      </w:r>
      <w:r>
        <w:rPr>
          <w:rFonts w:ascii="Calibri" w:hAnsi="Calibri"/>
          <w:sz w:val="20"/>
          <w:szCs w:val="20"/>
          <w:lang w:val="en-GB"/>
        </w:rPr>
        <w:t xml:space="preserve">a </w:t>
      </w:r>
      <w:r w:rsidRPr="005F3825">
        <w:rPr>
          <w:rFonts w:ascii="Calibri" w:hAnsi="Calibri"/>
          <w:sz w:val="20"/>
          <w:szCs w:val="20"/>
          <w:lang w:val="en-GB"/>
        </w:rPr>
        <w:t>consultation mechanism with local communities to ensure integration of their priorities and concerns into management decisions</w:t>
      </w:r>
      <w:r>
        <w:rPr>
          <w:rFonts w:ascii="Calibri" w:hAnsi="Calibri"/>
          <w:sz w:val="20"/>
          <w:szCs w:val="20"/>
          <w:lang w:val="en-GB"/>
        </w:rPr>
        <w:t>;</w:t>
      </w:r>
    </w:p>
    <w:p w14:paraId="014D5D9F" w14:textId="77777777" w:rsidR="00302BFE" w:rsidRDefault="00302BFE" w:rsidP="00C46720">
      <w:pPr>
        <w:pStyle w:val="Paragraphedeliste"/>
        <w:numPr>
          <w:ilvl w:val="0"/>
          <w:numId w:val="57"/>
        </w:numPr>
        <w:autoSpaceDE w:val="0"/>
        <w:autoSpaceDN w:val="0"/>
        <w:adjustRightInd w:val="0"/>
        <w:ind w:left="708" w:hanging="215"/>
        <w:rPr>
          <w:rFonts w:ascii="Calibri" w:hAnsi="Calibri"/>
          <w:sz w:val="20"/>
          <w:szCs w:val="20"/>
          <w:lang w:val="en-GB"/>
        </w:rPr>
      </w:pPr>
      <w:r w:rsidRPr="005F3825">
        <w:rPr>
          <w:rFonts w:ascii="Calibri" w:hAnsi="Calibri"/>
          <w:sz w:val="20"/>
          <w:szCs w:val="20"/>
          <w:lang w:val="en-GB"/>
        </w:rPr>
        <w:t xml:space="preserve">identification of </w:t>
      </w:r>
      <w:r>
        <w:rPr>
          <w:rFonts w:ascii="Calibri" w:hAnsi="Calibri"/>
          <w:sz w:val="20"/>
          <w:szCs w:val="20"/>
          <w:lang w:val="en-GB"/>
        </w:rPr>
        <w:t xml:space="preserve">a </w:t>
      </w:r>
      <w:r w:rsidRPr="005F3825">
        <w:rPr>
          <w:rFonts w:ascii="Calibri" w:hAnsi="Calibri"/>
          <w:sz w:val="20"/>
          <w:szCs w:val="20"/>
          <w:lang w:val="en-GB"/>
        </w:rPr>
        <w:t>conflict resolution mechanism within the landscape</w:t>
      </w:r>
      <w:r>
        <w:rPr>
          <w:rFonts w:ascii="Calibri" w:hAnsi="Calibri"/>
          <w:sz w:val="20"/>
          <w:szCs w:val="20"/>
          <w:lang w:val="en-GB"/>
        </w:rPr>
        <w:t>;</w:t>
      </w:r>
    </w:p>
    <w:p w14:paraId="100D607F" w14:textId="77777777" w:rsidR="00B70216" w:rsidRPr="000D4277" w:rsidRDefault="00B70216" w:rsidP="00C46720">
      <w:pPr>
        <w:pStyle w:val="Paragraphedeliste"/>
        <w:numPr>
          <w:ilvl w:val="0"/>
          <w:numId w:val="57"/>
        </w:numPr>
        <w:autoSpaceDE w:val="0"/>
        <w:autoSpaceDN w:val="0"/>
        <w:adjustRightInd w:val="0"/>
        <w:ind w:left="708" w:hanging="215"/>
        <w:rPr>
          <w:rFonts w:ascii="Calibri" w:hAnsi="Calibri"/>
          <w:sz w:val="20"/>
          <w:szCs w:val="20"/>
          <w:lang w:val="en-GB"/>
        </w:rPr>
      </w:pPr>
      <w:r w:rsidRPr="000D4277">
        <w:rPr>
          <w:rFonts w:ascii="Calibri" w:hAnsi="Calibri"/>
          <w:sz w:val="20"/>
          <w:szCs w:val="20"/>
          <w:lang w:val="en-GB"/>
        </w:rPr>
        <w:t>legal validation of the composition and missions of the co-governance mechanism and the permanent technical core by a legal consultant recruited by the project;</w:t>
      </w:r>
    </w:p>
    <w:p w14:paraId="6C3B9047" w14:textId="77777777" w:rsidR="00302BFE" w:rsidRPr="000D4277" w:rsidRDefault="00B70216" w:rsidP="00C46720">
      <w:pPr>
        <w:pStyle w:val="Paragraphedeliste"/>
        <w:numPr>
          <w:ilvl w:val="0"/>
          <w:numId w:val="57"/>
        </w:numPr>
        <w:autoSpaceDE w:val="0"/>
        <w:autoSpaceDN w:val="0"/>
        <w:adjustRightInd w:val="0"/>
        <w:spacing w:after="120"/>
        <w:ind w:left="709" w:hanging="215"/>
        <w:rPr>
          <w:rFonts w:ascii="Calibri" w:hAnsi="Calibri"/>
          <w:sz w:val="20"/>
          <w:szCs w:val="20"/>
          <w:lang w:val="en-GB"/>
        </w:rPr>
      </w:pPr>
      <w:r w:rsidRPr="000D4277">
        <w:rPr>
          <w:rFonts w:ascii="Calibri" w:hAnsi="Calibri"/>
          <w:sz w:val="20"/>
          <w:szCs w:val="20"/>
          <w:lang w:val="en-GB"/>
        </w:rPr>
        <w:t xml:space="preserve">development of a decree by the legal consultant to </w:t>
      </w:r>
      <w:r w:rsidR="00302BFE" w:rsidRPr="000D4277">
        <w:rPr>
          <w:rFonts w:ascii="Calibri" w:hAnsi="Calibri"/>
          <w:sz w:val="20"/>
          <w:szCs w:val="20"/>
          <w:lang w:val="en-GB"/>
        </w:rPr>
        <w:t>formaliz</w:t>
      </w:r>
      <w:r w:rsidRPr="000D4277">
        <w:rPr>
          <w:rFonts w:ascii="Calibri" w:hAnsi="Calibri"/>
          <w:sz w:val="20"/>
          <w:szCs w:val="20"/>
          <w:lang w:val="en-GB"/>
        </w:rPr>
        <w:t>e</w:t>
      </w:r>
      <w:r w:rsidR="00302BFE" w:rsidRPr="000D4277">
        <w:rPr>
          <w:rFonts w:ascii="Calibri" w:hAnsi="Calibri"/>
          <w:sz w:val="20"/>
          <w:szCs w:val="20"/>
          <w:lang w:val="en-GB"/>
        </w:rPr>
        <w:t xml:space="preserve"> the PONASI landscape co-governance mechanism by an order of the Minister of Territorial Administration and Decentralization, on the creation, composition, responsibilities and operation of the mechanism.</w:t>
      </w:r>
    </w:p>
    <w:p w14:paraId="441AE345" w14:textId="77777777" w:rsidR="00302BFE" w:rsidRPr="003F4704" w:rsidRDefault="00302BFE" w:rsidP="00302BFE">
      <w:pPr>
        <w:spacing w:before="120" w:after="120"/>
        <w:rPr>
          <w:i/>
          <w:color w:val="4472C4"/>
          <w:szCs w:val="20"/>
          <w:highlight w:val="green"/>
          <w:lang w:val="en-GB"/>
        </w:rPr>
      </w:pPr>
      <w:r w:rsidRPr="003F4704">
        <w:rPr>
          <w:i/>
          <w:color w:val="4472C4"/>
          <w:szCs w:val="20"/>
          <w:highlight w:val="green"/>
          <w:lang w:val="en-GB"/>
        </w:rPr>
        <w:t>1.1.2 Operationalizing the co-governance mechanism.</w:t>
      </w:r>
    </w:p>
    <w:p w14:paraId="7F890672" w14:textId="30200E26" w:rsidR="00F84490" w:rsidRPr="00BE65D5" w:rsidRDefault="00F84490" w:rsidP="00755BF9">
      <w:pPr>
        <w:spacing w:before="120" w:after="120"/>
        <w:rPr>
          <w:iCs/>
          <w:color w:val="4472C4"/>
          <w:szCs w:val="20"/>
          <w:lang w:val="en-GB"/>
        </w:rPr>
      </w:pPr>
      <w:r w:rsidRPr="003F4704">
        <w:rPr>
          <w:iCs/>
          <w:color w:val="4472C4"/>
          <w:szCs w:val="20"/>
          <w:highlight w:val="green"/>
          <w:lang w:val="en-GB"/>
        </w:rPr>
        <w:t>For this activity, the FPIC (Free, Prior and Informed Consent) process has to be ensured</w:t>
      </w:r>
    </w:p>
    <w:p w14:paraId="568D9446" w14:textId="3601D65A" w:rsidR="00302BFE" w:rsidRPr="001557D3"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0D4277">
        <w:rPr>
          <w:rFonts w:ascii="Calibri" w:hAnsi="Calibri"/>
          <w:sz w:val="20"/>
          <w:szCs w:val="20"/>
          <w:lang w:val="en-GB"/>
        </w:rPr>
        <w:t>The</w:t>
      </w:r>
      <w:r w:rsidR="00A06E39" w:rsidRPr="000D4277">
        <w:rPr>
          <w:rFonts w:ascii="Calibri" w:hAnsi="Calibri"/>
          <w:sz w:val="20"/>
          <w:szCs w:val="20"/>
          <w:lang w:val="en-GB"/>
        </w:rPr>
        <w:t xml:space="preserve"> </w:t>
      </w:r>
      <w:r w:rsidRPr="000D4277">
        <w:rPr>
          <w:rFonts w:ascii="Calibri" w:hAnsi="Calibri"/>
          <w:sz w:val="20"/>
          <w:szCs w:val="20"/>
          <w:lang w:val="en-GB"/>
        </w:rPr>
        <w:t xml:space="preserve">international expert in environmental land use planning </w:t>
      </w:r>
      <w:r w:rsidR="00C90C19" w:rsidRPr="000D4277">
        <w:rPr>
          <w:rFonts w:ascii="Calibri" w:hAnsi="Calibri"/>
          <w:sz w:val="20"/>
          <w:szCs w:val="20"/>
          <w:lang w:val="en-GB"/>
        </w:rPr>
        <w:t>will</w:t>
      </w:r>
      <w:r w:rsidRPr="000D4277">
        <w:rPr>
          <w:rFonts w:ascii="Calibri" w:hAnsi="Calibri"/>
          <w:sz w:val="20"/>
          <w:szCs w:val="20"/>
          <w:lang w:val="en-GB"/>
        </w:rPr>
        <w:t xml:space="preserve"> propose</w:t>
      </w:r>
      <w:r w:rsidR="00C90C19" w:rsidRPr="000D4277">
        <w:rPr>
          <w:rFonts w:ascii="Calibri" w:hAnsi="Calibri"/>
          <w:sz w:val="20"/>
          <w:szCs w:val="20"/>
          <w:lang w:val="en-GB"/>
        </w:rPr>
        <w:t xml:space="preserve"> operating rules for the co-governance mechanism</w:t>
      </w:r>
      <w:r w:rsidRPr="000D4277">
        <w:rPr>
          <w:rFonts w:ascii="Calibri" w:hAnsi="Calibri"/>
          <w:sz w:val="20"/>
          <w:szCs w:val="20"/>
          <w:lang w:val="en-GB"/>
        </w:rPr>
        <w:t>, after consultation with the parties concerned and taking into account past experiences, to ensure that the mechanism can adequately fulfil its assignments, including the identification of the financial needs necessary for its autonomous operation (operational budget), the mobilization of the required resources, and its articulations with the management committees of the various land units (PA co-management committees, ZOVIC wildlife management committees and unions, CAF management committees, groups, cooperatives or forest management committees of communal and village forests as provided for under local charters and development and management plans).</w:t>
      </w:r>
      <w:r w:rsidR="00404607">
        <w:rPr>
          <w:rFonts w:ascii="Calibri" w:hAnsi="Calibri"/>
          <w:sz w:val="20"/>
          <w:szCs w:val="20"/>
          <w:lang w:val="en-GB"/>
        </w:rPr>
        <w:t xml:space="preserve"> </w:t>
      </w:r>
      <w:r w:rsidR="00404607" w:rsidRPr="00A63E29">
        <w:rPr>
          <w:rFonts w:ascii="Calibri" w:hAnsi="Calibri"/>
          <w:sz w:val="20"/>
          <w:szCs w:val="20"/>
          <w:lang w:val="en-GB"/>
        </w:rPr>
        <w:t>All meetings and trainings will respect and take into account restrictions due to COVID on maximum number of participants</w:t>
      </w:r>
      <w:r w:rsidR="00E82387" w:rsidRPr="00A63E29">
        <w:rPr>
          <w:rFonts w:ascii="Calibri" w:hAnsi="Calibri"/>
          <w:sz w:val="20"/>
          <w:szCs w:val="20"/>
          <w:lang w:val="en-GB"/>
        </w:rPr>
        <w:t xml:space="preserve"> (currently to maximum 50 participants)</w:t>
      </w:r>
      <w:r w:rsidR="00404607" w:rsidRPr="00A63E29">
        <w:rPr>
          <w:rFonts w:ascii="Calibri" w:hAnsi="Calibri"/>
          <w:sz w:val="20"/>
          <w:szCs w:val="20"/>
          <w:lang w:val="en-GB"/>
        </w:rPr>
        <w:t>, social distancing, hygiene etc.</w:t>
      </w:r>
      <w:r w:rsidR="00404607" w:rsidRPr="001557D3">
        <w:rPr>
          <w:rFonts w:ascii="Calibri" w:hAnsi="Calibri"/>
          <w:sz w:val="20"/>
          <w:szCs w:val="20"/>
          <w:lang w:val="en-GB"/>
        </w:rPr>
        <w:t xml:space="preserve"> </w:t>
      </w:r>
    </w:p>
    <w:p w14:paraId="107E22D7" w14:textId="77777777" w:rsidR="00302BFE" w:rsidRPr="003F4704" w:rsidRDefault="00302BFE" w:rsidP="00302BFE">
      <w:pPr>
        <w:pStyle w:val="Paragraphedeliste"/>
        <w:tabs>
          <w:tab w:val="left" w:pos="284"/>
        </w:tabs>
        <w:spacing w:before="120" w:after="120"/>
        <w:ind w:left="0"/>
        <w:jc w:val="both"/>
        <w:rPr>
          <w:rFonts w:ascii="Calibri" w:hAnsi="Calibri"/>
          <w:i/>
          <w:color w:val="4472C4"/>
          <w:sz w:val="20"/>
          <w:szCs w:val="20"/>
          <w:highlight w:val="green"/>
          <w:lang w:val="en-GB"/>
        </w:rPr>
      </w:pPr>
      <w:r w:rsidRPr="003F4704">
        <w:rPr>
          <w:rFonts w:ascii="Calibri" w:hAnsi="Calibri"/>
          <w:i/>
          <w:color w:val="4472C4"/>
          <w:sz w:val="20"/>
          <w:szCs w:val="20"/>
          <w:highlight w:val="green"/>
          <w:lang w:val="en-GB"/>
        </w:rPr>
        <w:t>1.1.3 Capacity building of stakeholders in landscape management at all levels to ensure optimal and open input from stakeholders</w:t>
      </w:r>
    </w:p>
    <w:p w14:paraId="128FDBF5" w14:textId="0216EB54" w:rsidR="00F84490" w:rsidRPr="00BE65D5" w:rsidRDefault="00F84490" w:rsidP="00755BF9">
      <w:pPr>
        <w:spacing w:before="120" w:after="120"/>
        <w:rPr>
          <w:iCs/>
          <w:color w:val="4472C4"/>
          <w:szCs w:val="20"/>
          <w:lang w:val="en-GB"/>
        </w:rPr>
      </w:pPr>
      <w:r w:rsidRPr="003F4704">
        <w:rPr>
          <w:iCs/>
          <w:color w:val="4472C4"/>
          <w:szCs w:val="20"/>
          <w:highlight w:val="green"/>
          <w:lang w:val="en-GB"/>
        </w:rPr>
        <w:t>For this activity, the FPIC (Free, Prior and Informed Consent) process has to be ensured</w:t>
      </w:r>
    </w:p>
    <w:p w14:paraId="520B4AAD" w14:textId="440A9449" w:rsidR="00302BFE" w:rsidRPr="000D4277"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0D4277">
        <w:rPr>
          <w:rFonts w:ascii="Calibri" w:hAnsi="Calibri"/>
          <w:sz w:val="20"/>
          <w:szCs w:val="20"/>
          <w:lang w:val="en-GB"/>
        </w:rPr>
        <w:t xml:space="preserve">In close collaboration with the </w:t>
      </w:r>
      <w:r w:rsidR="000D4277" w:rsidRPr="000D4277">
        <w:rPr>
          <w:rFonts w:ascii="Calibri" w:hAnsi="Calibri" w:cs="Calibri"/>
          <w:sz w:val="20"/>
          <w:szCs w:val="20"/>
        </w:rPr>
        <w:t>Ministry of Territorial Administration and Decentralization</w:t>
      </w:r>
      <w:r w:rsidR="000D4277" w:rsidRPr="000D4277">
        <w:rPr>
          <w:rFonts w:ascii="Calibri" w:hAnsi="Calibri"/>
          <w:sz w:val="20"/>
          <w:szCs w:val="20"/>
          <w:lang w:val="en-GB"/>
        </w:rPr>
        <w:t xml:space="preserve"> </w:t>
      </w:r>
      <w:r w:rsidR="000D4277">
        <w:rPr>
          <w:rFonts w:ascii="Calibri" w:hAnsi="Calibri"/>
          <w:sz w:val="20"/>
          <w:szCs w:val="20"/>
          <w:lang w:val="en-GB"/>
        </w:rPr>
        <w:t>(</w:t>
      </w:r>
      <w:r w:rsidRPr="000D4277">
        <w:rPr>
          <w:rFonts w:ascii="Calibri" w:hAnsi="Calibri"/>
          <w:sz w:val="20"/>
          <w:szCs w:val="20"/>
          <w:lang w:val="en-GB"/>
        </w:rPr>
        <w:t>MTAD</w:t>
      </w:r>
      <w:r w:rsidR="000D4277">
        <w:rPr>
          <w:rFonts w:ascii="Calibri" w:hAnsi="Calibri"/>
          <w:sz w:val="20"/>
          <w:szCs w:val="20"/>
          <w:lang w:val="en-GB"/>
        </w:rPr>
        <w:t>)</w:t>
      </w:r>
      <w:r w:rsidRPr="000D4277">
        <w:rPr>
          <w:rFonts w:ascii="Calibri" w:hAnsi="Calibri"/>
          <w:sz w:val="20"/>
          <w:szCs w:val="20"/>
          <w:lang w:val="en-GB"/>
        </w:rPr>
        <w:t xml:space="preserve"> and the </w:t>
      </w:r>
      <w:r w:rsidRPr="00A63E29">
        <w:rPr>
          <w:rFonts w:ascii="Calibri" w:hAnsi="Calibri"/>
          <w:sz w:val="20"/>
          <w:szCs w:val="20"/>
          <w:highlight w:val="yellow"/>
          <w:lang w:val="en-GB"/>
        </w:rPr>
        <w:t>MEE</w:t>
      </w:r>
      <w:r w:rsidR="00EC2571" w:rsidRPr="00A63E29">
        <w:rPr>
          <w:rFonts w:ascii="Calibri" w:hAnsi="Calibri"/>
          <w:sz w:val="20"/>
          <w:szCs w:val="20"/>
          <w:highlight w:val="yellow"/>
          <w:lang w:val="en-GB"/>
        </w:rPr>
        <w:t>EA</w:t>
      </w:r>
      <w:r w:rsidRPr="000D4277">
        <w:rPr>
          <w:rFonts w:ascii="Calibri" w:hAnsi="Calibri"/>
          <w:sz w:val="20"/>
          <w:szCs w:val="20"/>
          <w:lang w:val="en-GB"/>
        </w:rPr>
        <w:t xml:space="preserve">, namely the </w:t>
      </w:r>
      <w:r w:rsidR="00CF65C6" w:rsidRPr="00C46720">
        <w:rPr>
          <w:rFonts w:ascii="Calibri" w:hAnsi="Calibri"/>
          <w:sz w:val="20"/>
          <w:szCs w:val="20"/>
          <w:highlight w:val="green"/>
          <w:lang w:val="en-GB"/>
        </w:rPr>
        <w:t>SP CONSEIL NATION DEVEL DURABL UNDER THE MINISTRY IN CHARGE OF THE ENVIRONMENT</w:t>
      </w:r>
      <w:r w:rsidRPr="000D4277">
        <w:rPr>
          <w:rFonts w:ascii="Calibri" w:hAnsi="Calibri"/>
          <w:sz w:val="20"/>
          <w:szCs w:val="20"/>
          <w:lang w:val="en-GB"/>
        </w:rPr>
        <w:t xml:space="preserve">, DGEF, OFINAP and the </w:t>
      </w:r>
      <w:r w:rsidRPr="00A63E29">
        <w:rPr>
          <w:rFonts w:ascii="Calibri" w:hAnsi="Calibri"/>
          <w:sz w:val="20"/>
          <w:szCs w:val="20"/>
          <w:highlight w:val="yellow"/>
          <w:lang w:val="en-GB"/>
        </w:rPr>
        <w:t>DREE</w:t>
      </w:r>
      <w:r w:rsidR="00EC2571" w:rsidRPr="00A63E29">
        <w:rPr>
          <w:rFonts w:ascii="Calibri" w:hAnsi="Calibri"/>
          <w:sz w:val="20"/>
          <w:szCs w:val="20"/>
          <w:highlight w:val="yellow"/>
          <w:lang w:val="en-GB"/>
        </w:rPr>
        <w:t>EA</w:t>
      </w:r>
      <w:r w:rsidRPr="000D4277">
        <w:rPr>
          <w:rFonts w:ascii="Calibri" w:hAnsi="Calibri"/>
          <w:sz w:val="20"/>
          <w:szCs w:val="20"/>
          <w:lang w:val="en-GB"/>
        </w:rPr>
        <w:t xml:space="preserve"> in the three regions, the environmental land use planning expert will coordinate the identification of capacities to be developed for the different actors involved in the collaborative management process and will develop a targeted training plan which he will implement for the most part, with the support of environmental NGOs working with local communities in the PONASI area.</w:t>
      </w:r>
      <w:r w:rsidR="00404607">
        <w:rPr>
          <w:rFonts w:ascii="Calibri" w:hAnsi="Calibri"/>
          <w:sz w:val="20"/>
          <w:szCs w:val="20"/>
          <w:lang w:val="en-GB"/>
        </w:rPr>
        <w:t xml:space="preserve"> </w:t>
      </w:r>
    </w:p>
    <w:p w14:paraId="163CAE02" w14:textId="77777777" w:rsidR="00302BFE" w:rsidRPr="005F382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5F3825">
        <w:rPr>
          <w:rFonts w:ascii="Calibri" w:hAnsi="Calibri"/>
          <w:sz w:val="20"/>
          <w:szCs w:val="20"/>
          <w:lang w:val="en-GB"/>
        </w:rPr>
        <w:t>The capacities of the multi-stakeholder management body will be strengthened in terms of abilities to lead the processes of planning, negotiating with competing interests, and making decision</w:t>
      </w:r>
      <w:r>
        <w:rPr>
          <w:rFonts w:ascii="Calibri" w:hAnsi="Calibri"/>
          <w:sz w:val="20"/>
          <w:szCs w:val="20"/>
          <w:lang w:val="en-GB"/>
        </w:rPr>
        <w:t>s</w:t>
      </w:r>
      <w:r w:rsidRPr="005F3825">
        <w:rPr>
          <w:rFonts w:ascii="Calibri" w:hAnsi="Calibri"/>
          <w:sz w:val="20"/>
          <w:szCs w:val="20"/>
          <w:lang w:val="en-GB"/>
        </w:rPr>
        <w:t xml:space="preserve"> on the land and resource development and planning priorities at landscape level to reduce conflicts of interest between different users. Lead agencies in the planning process (governmental and non-governmental organizations) must have the ability to engage with a broad range of stakeholders, facilitate the process, generate and disseminate key data or information, and connect with the private sector and development partners within the landscape and beyond, to provide the financial resources and support needed to implement the master plan for  the development of the landscape  and generate benefits from natural resources and its ecosystem services.</w:t>
      </w:r>
    </w:p>
    <w:p w14:paraId="30EC506E" w14:textId="77777777" w:rsidR="00302BFE" w:rsidRPr="005F382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Pr>
          <w:rFonts w:ascii="Calibri" w:hAnsi="Calibri"/>
          <w:sz w:val="20"/>
          <w:szCs w:val="20"/>
          <w:lang w:val="en-GB"/>
        </w:rPr>
        <w:t>Other</w:t>
      </w:r>
      <w:r w:rsidRPr="005F3825">
        <w:rPr>
          <w:rFonts w:ascii="Calibri" w:hAnsi="Calibri"/>
          <w:sz w:val="20"/>
          <w:szCs w:val="20"/>
          <w:lang w:val="en-GB"/>
        </w:rPr>
        <w:t xml:space="preserve"> issues addressed in the training plan will include</w:t>
      </w:r>
      <w:r>
        <w:rPr>
          <w:rFonts w:ascii="Calibri" w:hAnsi="Calibri"/>
          <w:sz w:val="20"/>
          <w:szCs w:val="20"/>
          <w:lang w:val="en-GB"/>
        </w:rPr>
        <w:t>, but need not be limited to:</w:t>
      </w:r>
      <w:r w:rsidRPr="005F3825">
        <w:rPr>
          <w:rFonts w:ascii="Calibri" w:hAnsi="Calibri"/>
          <w:sz w:val="20"/>
          <w:szCs w:val="20"/>
          <w:lang w:val="en-GB"/>
        </w:rPr>
        <w:t xml:space="preserve"> (i) the </w:t>
      </w:r>
      <w:r w:rsidRPr="00137E4E">
        <w:rPr>
          <w:rFonts w:ascii="Calibri" w:hAnsi="Calibri"/>
          <w:sz w:val="20"/>
          <w:szCs w:val="20"/>
          <w:lang w:val="en-GB"/>
        </w:rPr>
        <w:t>characteristics</w:t>
      </w:r>
      <w:r w:rsidRPr="005F3825">
        <w:rPr>
          <w:rFonts w:ascii="Calibri" w:hAnsi="Calibri"/>
          <w:sz w:val="20"/>
          <w:szCs w:val="20"/>
          <w:lang w:val="en-GB"/>
        </w:rPr>
        <w:t xml:space="preserve"> of landscape-scale management (as compared to other similar approaches such as integrated ecosystem management, watershed management, etc.), including the concepts of trade-offs and synergies (ii) raising awareness among stakeholders, including men and women, on the recent years environmental trends and the urgency to </w:t>
      </w:r>
      <w:r>
        <w:rPr>
          <w:rFonts w:ascii="Calibri" w:hAnsi="Calibri"/>
          <w:sz w:val="20"/>
          <w:szCs w:val="20"/>
          <w:lang w:val="en-GB"/>
        </w:rPr>
        <w:t>take action</w:t>
      </w:r>
      <w:r w:rsidRPr="005F3825">
        <w:rPr>
          <w:rFonts w:ascii="Calibri" w:hAnsi="Calibri"/>
          <w:sz w:val="20"/>
          <w:szCs w:val="20"/>
          <w:lang w:val="en-GB"/>
        </w:rPr>
        <w:t xml:space="preserve"> to preserve biodiversity, land resources and ecosystem services - leading to the development of a common vision to guide integrated landscape management, (iii) </w:t>
      </w:r>
      <w:r>
        <w:rPr>
          <w:rFonts w:ascii="Calibri" w:hAnsi="Calibri"/>
          <w:sz w:val="20"/>
          <w:szCs w:val="20"/>
          <w:lang w:val="en-GB"/>
        </w:rPr>
        <w:t xml:space="preserve">the </w:t>
      </w:r>
      <w:r w:rsidRPr="005F3825">
        <w:rPr>
          <w:rFonts w:ascii="Calibri" w:hAnsi="Calibri"/>
          <w:sz w:val="20"/>
          <w:szCs w:val="20"/>
          <w:lang w:val="en-GB"/>
        </w:rPr>
        <w:t xml:space="preserve">use of the environmental </w:t>
      </w:r>
      <w:r>
        <w:rPr>
          <w:rFonts w:ascii="Calibri" w:hAnsi="Calibri"/>
          <w:sz w:val="20"/>
          <w:szCs w:val="20"/>
          <w:lang w:val="en-GB"/>
        </w:rPr>
        <w:t xml:space="preserve">land use </w:t>
      </w:r>
      <w:r w:rsidRPr="005F3825">
        <w:rPr>
          <w:rFonts w:ascii="Calibri" w:hAnsi="Calibri"/>
          <w:sz w:val="20"/>
          <w:szCs w:val="20"/>
          <w:lang w:val="en-GB"/>
        </w:rPr>
        <w:t xml:space="preserve">planning tool to generate key data or information, interpretation and dissemination of these results to assist decision-making, in formats accessible to different categories of stakeholders, (iv) dialogue with a wide range of stakeholders with different and even divergent interests, taking care to include women as well as men, and facilitation of a process of negotiation, including conflict prevention and management, </w:t>
      </w:r>
      <w:r>
        <w:rPr>
          <w:rFonts w:ascii="Calibri" w:hAnsi="Calibri"/>
          <w:sz w:val="20"/>
          <w:szCs w:val="20"/>
          <w:lang w:val="en-GB"/>
        </w:rPr>
        <w:t xml:space="preserve">and </w:t>
      </w:r>
      <w:r w:rsidRPr="005F3825">
        <w:rPr>
          <w:rFonts w:ascii="Calibri" w:hAnsi="Calibri"/>
          <w:sz w:val="20"/>
          <w:szCs w:val="20"/>
          <w:lang w:val="en-GB"/>
        </w:rPr>
        <w:t>(v) building partnerships with the private sector and development partners.</w:t>
      </w:r>
    </w:p>
    <w:p w14:paraId="74D64D4C" w14:textId="77777777" w:rsidR="00302BFE" w:rsidRPr="005F3825" w:rsidRDefault="00302BFE" w:rsidP="00302BFE">
      <w:pPr>
        <w:pStyle w:val="Paragraphedeliste"/>
        <w:tabs>
          <w:tab w:val="left" w:pos="284"/>
        </w:tabs>
        <w:spacing w:before="240" w:after="120"/>
        <w:ind w:left="0"/>
        <w:jc w:val="both"/>
        <w:rPr>
          <w:rFonts w:ascii="Calibri" w:hAnsi="Calibri"/>
          <w:sz w:val="20"/>
          <w:szCs w:val="20"/>
          <w:lang w:val="en-GB"/>
        </w:rPr>
      </w:pPr>
      <w:r w:rsidRPr="005F3825">
        <w:rPr>
          <w:rFonts w:ascii="Calibri" w:hAnsi="Calibri"/>
          <w:b/>
          <w:sz w:val="20"/>
          <w:szCs w:val="20"/>
          <w:lang w:val="en-GB"/>
        </w:rPr>
        <w:lastRenderedPageBreak/>
        <w:t>Output 1.2 The territorial planning tool is adopted as a spatial planning methodology allowing the visualization of the impacts of economic activities on the landscape with a clear articulation of trade-offs, to support the decision-making on a use of lands maximizing environmental and economic benefits.</w:t>
      </w:r>
    </w:p>
    <w:p w14:paraId="5C60456F" w14:textId="444EABEA" w:rsidR="00302BFE" w:rsidRPr="003F4704" w:rsidRDefault="00302BFE" w:rsidP="00302BFE">
      <w:pPr>
        <w:pStyle w:val="Paragraphedeliste"/>
        <w:tabs>
          <w:tab w:val="left" w:pos="284"/>
        </w:tabs>
        <w:spacing w:before="120" w:after="120"/>
        <w:ind w:left="0"/>
        <w:jc w:val="both"/>
        <w:rPr>
          <w:rFonts w:ascii="Calibri" w:hAnsi="Calibri"/>
          <w:i/>
          <w:color w:val="4472C4"/>
          <w:sz w:val="20"/>
          <w:szCs w:val="20"/>
          <w:highlight w:val="green"/>
          <w:lang w:val="en-GB"/>
        </w:rPr>
      </w:pPr>
      <w:r w:rsidRPr="003F4704">
        <w:rPr>
          <w:rFonts w:ascii="Calibri" w:hAnsi="Calibri"/>
          <w:i/>
          <w:color w:val="4472C4"/>
          <w:sz w:val="20"/>
          <w:szCs w:val="20"/>
          <w:highlight w:val="green"/>
          <w:lang w:val="en-GB"/>
        </w:rPr>
        <w:t>1.2.1 Valuation of ecosystem goods and services (ES) produced by the various units of the PONASI landscape</w:t>
      </w:r>
    </w:p>
    <w:p w14:paraId="192604E8" w14:textId="5529A8C4" w:rsidR="00F84490" w:rsidRPr="00BE65D5" w:rsidRDefault="00F84490" w:rsidP="00BE65D5">
      <w:pPr>
        <w:spacing w:before="120" w:after="120"/>
        <w:rPr>
          <w:iCs/>
          <w:color w:val="4472C4"/>
          <w:szCs w:val="20"/>
          <w:lang w:val="en-GB"/>
        </w:rPr>
      </w:pPr>
      <w:r w:rsidRPr="003F4704">
        <w:rPr>
          <w:iCs/>
          <w:color w:val="4472C4"/>
          <w:szCs w:val="20"/>
          <w:highlight w:val="green"/>
          <w:lang w:val="en-GB"/>
        </w:rPr>
        <w:t>For this activity, the FPIC (Free, Prior and Informed Consent) process has to be ensured</w:t>
      </w:r>
    </w:p>
    <w:p w14:paraId="745491A8" w14:textId="77777777" w:rsidR="00467A90" w:rsidRPr="000D4277" w:rsidRDefault="0067208F"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0D4277">
        <w:rPr>
          <w:rFonts w:ascii="Calibri" w:hAnsi="Calibri"/>
          <w:sz w:val="20"/>
          <w:szCs w:val="20"/>
          <w:lang w:val="en-GB"/>
        </w:rPr>
        <w:t xml:space="preserve">Environmental land use planning will be based on the valuation of the ecosystem goods and services (ES) produced by the different units of the PONASI landscape with a view to optimizing them at the scale of the PONASI landscape. </w:t>
      </w:r>
      <w:r w:rsidR="00C90C19" w:rsidRPr="000D4277">
        <w:rPr>
          <w:rFonts w:ascii="Calibri" w:hAnsi="Calibri"/>
          <w:sz w:val="20"/>
          <w:szCs w:val="20"/>
          <w:lang w:val="en-GB"/>
        </w:rPr>
        <w:t xml:space="preserve">The project will recruit an environmental consulting firm to conduct an interdisciplinary assessment and valuation study of key ecosystem goods and services produced by the various units of the PONASI landscape. </w:t>
      </w:r>
    </w:p>
    <w:p w14:paraId="6B64CE2B" w14:textId="77777777" w:rsidR="00467A90" w:rsidRPr="000D4277" w:rsidRDefault="00BE6BAD"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0D4277">
        <w:rPr>
          <w:rFonts w:ascii="Calibri" w:hAnsi="Calibri"/>
          <w:sz w:val="20"/>
          <w:szCs w:val="20"/>
          <w:lang w:val="en-GB"/>
        </w:rPr>
        <w:t xml:space="preserve">The planning process will enable making decisions that form the basis of the formulation of the PONASI Landscape Master Plan to guide management over the next 15 years. </w:t>
      </w:r>
      <w:r w:rsidR="00467A90" w:rsidRPr="000D4277">
        <w:rPr>
          <w:rFonts w:ascii="Calibri" w:hAnsi="Calibri"/>
          <w:sz w:val="20"/>
          <w:szCs w:val="20"/>
          <w:lang w:val="en-GB"/>
        </w:rPr>
        <w:t xml:space="preserve">The process or </w:t>
      </w:r>
      <w:r w:rsidR="00467A90" w:rsidRPr="000D4277">
        <w:rPr>
          <w:rFonts w:ascii="Calibri" w:hAnsi="Calibri"/>
          <w:i/>
          <w:sz w:val="20"/>
          <w:szCs w:val="20"/>
          <w:lang w:val="en-GB"/>
        </w:rPr>
        <w:t>"tool"</w:t>
      </w:r>
      <w:r w:rsidR="00467A90" w:rsidRPr="000D4277">
        <w:rPr>
          <w:rFonts w:ascii="Calibri" w:hAnsi="Calibri"/>
          <w:sz w:val="20"/>
          <w:szCs w:val="20"/>
          <w:lang w:val="en-GB"/>
        </w:rPr>
        <w:t xml:space="preserve"> of environmental planning for land use will be developed through a participatory process guided by an expert mobilized by the Project and involving the project management team as well as the members of the Permanent Technical Core of the Co-governance Mechanism. The process will thus serve to train or introduce actors to the use of the TESSA tool. It will be monitored, reviewed and validated by the Landscape Co-governance Mechanism.</w:t>
      </w:r>
    </w:p>
    <w:p w14:paraId="15463671" w14:textId="77777777" w:rsidR="00302BFE" w:rsidRPr="000D4277" w:rsidRDefault="00467A90"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0D4277">
        <w:rPr>
          <w:rFonts w:ascii="Calibri" w:hAnsi="Calibri"/>
          <w:sz w:val="20"/>
          <w:szCs w:val="20"/>
          <w:lang w:val="en-GB"/>
        </w:rPr>
        <w:t xml:space="preserve">Involving </w:t>
      </w:r>
      <w:r w:rsidR="00BE6BAD" w:rsidRPr="000D4277">
        <w:rPr>
          <w:rFonts w:ascii="Calibri" w:hAnsi="Calibri"/>
          <w:sz w:val="20"/>
          <w:szCs w:val="20"/>
          <w:lang w:val="en-GB"/>
        </w:rPr>
        <w:t>the above-mentioned stakeholders</w:t>
      </w:r>
      <w:r w:rsidRPr="000D4277">
        <w:rPr>
          <w:rFonts w:ascii="Calibri" w:hAnsi="Calibri"/>
          <w:sz w:val="20"/>
          <w:szCs w:val="20"/>
          <w:lang w:val="en-GB"/>
        </w:rPr>
        <w:t>,</w:t>
      </w:r>
      <w:r w:rsidR="00B70216" w:rsidRPr="000D4277">
        <w:rPr>
          <w:rFonts w:ascii="Calibri" w:hAnsi="Calibri"/>
          <w:sz w:val="20"/>
          <w:szCs w:val="20"/>
          <w:lang w:val="en-GB"/>
        </w:rPr>
        <w:t xml:space="preserve"> under the guidance of the international expert,</w:t>
      </w:r>
      <w:r w:rsidRPr="000D4277">
        <w:rPr>
          <w:rFonts w:ascii="Calibri" w:hAnsi="Calibri"/>
          <w:sz w:val="20"/>
          <w:szCs w:val="20"/>
          <w:lang w:val="en-GB"/>
        </w:rPr>
        <w:t xml:space="preserve"> t</w:t>
      </w:r>
      <w:r w:rsidR="00302BFE" w:rsidRPr="000D4277">
        <w:rPr>
          <w:rFonts w:ascii="Calibri" w:hAnsi="Calibri"/>
          <w:sz w:val="20"/>
          <w:szCs w:val="20"/>
          <w:lang w:val="en-GB"/>
        </w:rPr>
        <w:t>he environmental land use planning process will proceed as follows:</w:t>
      </w:r>
    </w:p>
    <w:p w14:paraId="41A35967" w14:textId="77777777" w:rsidR="00302BFE" w:rsidRPr="000D4277" w:rsidRDefault="00302BFE" w:rsidP="00C46720">
      <w:pPr>
        <w:pStyle w:val="Paragraphedeliste"/>
        <w:numPr>
          <w:ilvl w:val="0"/>
          <w:numId w:val="55"/>
        </w:numPr>
        <w:spacing w:before="120" w:after="120"/>
        <w:contextualSpacing/>
        <w:rPr>
          <w:rFonts w:ascii="Calibri" w:hAnsi="Calibri"/>
          <w:sz w:val="20"/>
          <w:szCs w:val="20"/>
          <w:lang w:val="en-GB"/>
        </w:rPr>
      </w:pPr>
      <w:r w:rsidRPr="000D4277">
        <w:rPr>
          <w:rFonts w:ascii="Calibri" w:hAnsi="Calibri"/>
          <w:sz w:val="20"/>
          <w:szCs w:val="20"/>
          <w:lang w:val="en-GB"/>
        </w:rPr>
        <w:t xml:space="preserve">Recruitment of a </w:t>
      </w:r>
      <w:r w:rsidR="00143184" w:rsidRPr="000D4277">
        <w:rPr>
          <w:rFonts w:ascii="Calibri" w:hAnsi="Calibri"/>
          <w:sz w:val="20"/>
          <w:szCs w:val="20"/>
          <w:lang w:val="en-GB"/>
        </w:rPr>
        <w:t xml:space="preserve">land-use planning </w:t>
      </w:r>
      <w:r w:rsidRPr="000D4277">
        <w:rPr>
          <w:rFonts w:ascii="Calibri" w:hAnsi="Calibri"/>
          <w:sz w:val="20"/>
          <w:szCs w:val="20"/>
          <w:lang w:val="en-GB"/>
        </w:rPr>
        <w:t xml:space="preserve">national consultant to </w:t>
      </w:r>
      <w:r w:rsidR="00143184" w:rsidRPr="000D4277">
        <w:rPr>
          <w:rFonts w:ascii="Calibri" w:hAnsi="Calibri"/>
          <w:sz w:val="20"/>
          <w:szCs w:val="20"/>
          <w:lang w:val="en-GB"/>
        </w:rPr>
        <w:t>assist</w:t>
      </w:r>
      <w:r w:rsidRPr="000D4277">
        <w:rPr>
          <w:rFonts w:ascii="Calibri" w:hAnsi="Calibri"/>
          <w:sz w:val="20"/>
          <w:szCs w:val="20"/>
          <w:lang w:val="en-GB"/>
        </w:rPr>
        <w:t xml:space="preserve"> the </w:t>
      </w:r>
      <w:r w:rsidR="00143184" w:rsidRPr="000D4277">
        <w:rPr>
          <w:rFonts w:ascii="Calibri" w:hAnsi="Calibri"/>
          <w:sz w:val="20"/>
          <w:szCs w:val="20"/>
          <w:lang w:val="en-GB"/>
        </w:rPr>
        <w:t xml:space="preserve">international land-use planning expert, including for the </w:t>
      </w:r>
      <w:r w:rsidRPr="000D4277">
        <w:rPr>
          <w:rFonts w:ascii="Calibri" w:hAnsi="Calibri"/>
          <w:sz w:val="20"/>
          <w:szCs w:val="20"/>
          <w:lang w:val="en-GB"/>
        </w:rPr>
        <w:t>collection of available information, data, ES assessments on the state of resources and ecosystem services provided by each unit of the landscape;</w:t>
      </w:r>
    </w:p>
    <w:p w14:paraId="32A9A1C8" w14:textId="77777777" w:rsidR="00302BFE" w:rsidRPr="000D4277" w:rsidRDefault="00302BFE" w:rsidP="00C46720">
      <w:pPr>
        <w:pStyle w:val="Paragraphedeliste"/>
        <w:numPr>
          <w:ilvl w:val="0"/>
          <w:numId w:val="55"/>
        </w:numPr>
        <w:spacing w:before="120" w:after="120"/>
        <w:contextualSpacing/>
        <w:rPr>
          <w:rFonts w:ascii="Calibri" w:hAnsi="Calibri"/>
          <w:sz w:val="20"/>
          <w:szCs w:val="20"/>
          <w:lang w:val="en-GB"/>
        </w:rPr>
      </w:pPr>
      <w:r w:rsidRPr="000D4277">
        <w:rPr>
          <w:rFonts w:ascii="Calibri" w:hAnsi="Calibri"/>
          <w:sz w:val="20"/>
          <w:szCs w:val="20"/>
          <w:lang w:val="en-GB"/>
        </w:rPr>
        <w:t xml:space="preserve">Recruitment of an environmental firm to conduct an interdisciplinary assessment and valuation of key ecosystem goods and services (ES) in the various units within the PONASI landscape, using the TESSA tool and </w:t>
      </w:r>
      <w:r w:rsidR="00C90C19" w:rsidRPr="000D4277">
        <w:rPr>
          <w:rFonts w:ascii="Calibri" w:hAnsi="Calibri"/>
          <w:sz w:val="20"/>
          <w:szCs w:val="20"/>
          <w:lang w:val="en-GB"/>
        </w:rPr>
        <w:t>building from</w:t>
      </w:r>
      <w:r w:rsidRPr="000D4277">
        <w:rPr>
          <w:rFonts w:ascii="Calibri" w:hAnsi="Calibri"/>
          <w:sz w:val="20"/>
          <w:szCs w:val="20"/>
          <w:lang w:val="en-GB"/>
        </w:rPr>
        <w:t xml:space="preserve"> relevant existing </w:t>
      </w:r>
      <w:r w:rsidR="00C90C19" w:rsidRPr="000D4277">
        <w:rPr>
          <w:rFonts w:ascii="Calibri" w:hAnsi="Calibri"/>
          <w:sz w:val="20"/>
          <w:szCs w:val="20"/>
          <w:lang w:val="en-GB"/>
        </w:rPr>
        <w:t>surveys and assessments</w:t>
      </w:r>
      <w:r w:rsidRPr="000D4277">
        <w:rPr>
          <w:rFonts w:ascii="Calibri" w:hAnsi="Calibri"/>
          <w:sz w:val="20"/>
          <w:szCs w:val="20"/>
          <w:lang w:val="en-GB"/>
        </w:rPr>
        <w:t xml:space="preserve"> conducted in the area;</w:t>
      </w:r>
    </w:p>
    <w:p w14:paraId="30B03592" w14:textId="77777777" w:rsidR="00302BFE" w:rsidRPr="005F3825" w:rsidRDefault="00302BFE" w:rsidP="00C46720">
      <w:pPr>
        <w:pStyle w:val="Paragraphedeliste"/>
        <w:numPr>
          <w:ilvl w:val="0"/>
          <w:numId w:val="55"/>
        </w:numPr>
        <w:spacing w:before="120" w:after="120"/>
        <w:contextualSpacing/>
        <w:jc w:val="both"/>
        <w:rPr>
          <w:rFonts w:ascii="Calibri" w:hAnsi="Calibri"/>
          <w:sz w:val="20"/>
          <w:szCs w:val="20"/>
          <w:lang w:val="en-GB"/>
        </w:rPr>
      </w:pPr>
      <w:r w:rsidRPr="005F3825">
        <w:rPr>
          <w:rFonts w:ascii="Calibri" w:hAnsi="Calibri"/>
          <w:sz w:val="20"/>
          <w:szCs w:val="20"/>
          <w:lang w:val="en-GB"/>
        </w:rPr>
        <w:t>Analysis (using relevant tools) of synergies and trade-offs between:</w:t>
      </w:r>
    </w:p>
    <w:p w14:paraId="7303F98D" w14:textId="77777777" w:rsidR="00302BFE" w:rsidRPr="005F3825" w:rsidRDefault="00302BFE" w:rsidP="00C46720">
      <w:pPr>
        <w:pStyle w:val="Paragraphedeliste"/>
        <w:numPr>
          <w:ilvl w:val="1"/>
          <w:numId w:val="17"/>
        </w:numPr>
        <w:spacing w:before="120" w:after="120"/>
        <w:contextualSpacing/>
        <w:rPr>
          <w:rFonts w:ascii="Calibri" w:hAnsi="Calibri"/>
          <w:sz w:val="20"/>
          <w:szCs w:val="20"/>
          <w:lang w:val="en-GB"/>
        </w:rPr>
      </w:pPr>
      <w:r>
        <w:rPr>
          <w:rFonts w:ascii="Calibri" w:hAnsi="Calibri"/>
          <w:sz w:val="20"/>
          <w:szCs w:val="20"/>
          <w:lang w:val="en-GB"/>
        </w:rPr>
        <w:t xml:space="preserve">key </w:t>
      </w:r>
      <w:r w:rsidRPr="005F3825">
        <w:rPr>
          <w:rFonts w:ascii="Calibri" w:hAnsi="Calibri"/>
          <w:sz w:val="20"/>
          <w:szCs w:val="20"/>
          <w:lang w:val="en-GB"/>
        </w:rPr>
        <w:t>ESs produced by different landscape units under different land use and resource use scenarios</w:t>
      </w:r>
    </w:p>
    <w:p w14:paraId="7A899C6A" w14:textId="77777777" w:rsidR="00302BFE" w:rsidRPr="005F3825" w:rsidRDefault="00302BFE" w:rsidP="00C46720">
      <w:pPr>
        <w:pStyle w:val="Paragraphedeliste"/>
        <w:numPr>
          <w:ilvl w:val="1"/>
          <w:numId w:val="17"/>
        </w:numPr>
        <w:spacing w:before="120" w:after="120"/>
        <w:contextualSpacing/>
        <w:jc w:val="both"/>
        <w:rPr>
          <w:rFonts w:ascii="Calibri" w:hAnsi="Calibri"/>
          <w:sz w:val="20"/>
          <w:szCs w:val="20"/>
          <w:lang w:val="en-GB"/>
        </w:rPr>
      </w:pPr>
      <w:r>
        <w:rPr>
          <w:rFonts w:ascii="Calibri" w:hAnsi="Calibri"/>
          <w:sz w:val="20"/>
          <w:szCs w:val="20"/>
          <w:lang w:val="en-GB"/>
        </w:rPr>
        <w:t xml:space="preserve">key </w:t>
      </w:r>
      <w:r w:rsidRPr="005F3825">
        <w:rPr>
          <w:rFonts w:ascii="Calibri" w:hAnsi="Calibri"/>
          <w:sz w:val="20"/>
          <w:szCs w:val="20"/>
          <w:lang w:val="en-GB"/>
        </w:rPr>
        <w:t>ESs provided within the same unit</w:t>
      </w:r>
    </w:p>
    <w:p w14:paraId="0C429B00" w14:textId="77777777" w:rsidR="00302BFE" w:rsidRPr="005F3825" w:rsidRDefault="00302BFE" w:rsidP="00C46720">
      <w:pPr>
        <w:pStyle w:val="Paragraphedeliste"/>
        <w:numPr>
          <w:ilvl w:val="0"/>
          <w:numId w:val="56"/>
        </w:numPr>
        <w:spacing w:before="120" w:after="120"/>
        <w:contextualSpacing/>
        <w:jc w:val="both"/>
        <w:rPr>
          <w:rFonts w:ascii="Calibri" w:hAnsi="Calibri"/>
          <w:sz w:val="20"/>
          <w:szCs w:val="20"/>
          <w:lang w:val="en-GB"/>
        </w:rPr>
      </w:pPr>
      <w:r w:rsidRPr="005F3825">
        <w:rPr>
          <w:rFonts w:ascii="Calibri" w:hAnsi="Calibri"/>
          <w:sz w:val="20"/>
          <w:szCs w:val="20"/>
          <w:lang w:val="en-GB"/>
        </w:rPr>
        <w:t xml:space="preserve">The identification of the best combinations and technology packages (identified under outputs 3.1, 3.2 and 3.3) that maximize land-use benefits at the landscape scale, for biodiversity conservation, sustaining of ecosystem services and socio-economic development at local, </w:t>
      </w:r>
      <w:r w:rsidR="009363D6">
        <w:rPr>
          <w:rFonts w:ascii="Calibri" w:hAnsi="Calibri"/>
          <w:sz w:val="20"/>
          <w:szCs w:val="20"/>
          <w:lang w:val="en-GB"/>
        </w:rPr>
        <w:t>communal</w:t>
      </w:r>
      <w:r w:rsidRPr="005F3825">
        <w:rPr>
          <w:rFonts w:ascii="Calibri" w:hAnsi="Calibri"/>
          <w:sz w:val="20"/>
          <w:szCs w:val="20"/>
          <w:lang w:val="en-GB"/>
        </w:rPr>
        <w:t xml:space="preserve"> and regional levels.</w:t>
      </w:r>
    </w:p>
    <w:p w14:paraId="724118A7" w14:textId="77777777" w:rsidR="00302BFE" w:rsidRDefault="00302BFE" w:rsidP="00C46720">
      <w:pPr>
        <w:pStyle w:val="Paragraphedeliste"/>
        <w:numPr>
          <w:ilvl w:val="0"/>
          <w:numId w:val="56"/>
        </w:numPr>
        <w:rPr>
          <w:rFonts w:ascii="Calibri" w:hAnsi="Calibri"/>
          <w:sz w:val="20"/>
          <w:szCs w:val="20"/>
          <w:lang w:val="en-GB"/>
        </w:rPr>
      </w:pPr>
      <w:r w:rsidRPr="005F3825">
        <w:rPr>
          <w:rFonts w:ascii="Calibri" w:hAnsi="Calibri"/>
          <w:sz w:val="20"/>
          <w:szCs w:val="20"/>
          <w:lang w:val="en-GB"/>
        </w:rPr>
        <w:t>Assessment of the impacts of land use changes on different stakeholders, identification of mitigation and compensation measures to support the negotiation process</w:t>
      </w:r>
    </w:p>
    <w:p w14:paraId="465BADB6" w14:textId="77777777" w:rsidR="00302BFE" w:rsidRPr="005F3825" w:rsidRDefault="00302BFE" w:rsidP="00C46720">
      <w:pPr>
        <w:pStyle w:val="Paragraphedeliste"/>
        <w:numPr>
          <w:ilvl w:val="0"/>
          <w:numId w:val="56"/>
        </w:numPr>
        <w:rPr>
          <w:rFonts w:ascii="Calibri" w:hAnsi="Calibri"/>
          <w:sz w:val="20"/>
          <w:szCs w:val="20"/>
          <w:lang w:val="en-GB"/>
        </w:rPr>
      </w:pPr>
      <w:r w:rsidRPr="005F3825">
        <w:rPr>
          <w:rFonts w:ascii="Calibri" w:hAnsi="Calibri"/>
          <w:sz w:val="20"/>
          <w:szCs w:val="20"/>
          <w:lang w:val="en-GB"/>
        </w:rPr>
        <w:t>Making recommendations for necessary changes in production systems and practices that maximize benefits at all levels</w:t>
      </w:r>
    </w:p>
    <w:p w14:paraId="46240073" w14:textId="77777777" w:rsidR="00302BFE" w:rsidRPr="000D4277"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0D4277">
        <w:rPr>
          <w:rFonts w:ascii="Calibri" w:hAnsi="Calibri"/>
          <w:sz w:val="20"/>
          <w:szCs w:val="20"/>
          <w:lang w:val="en-GB"/>
        </w:rPr>
        <w:t>From a collection of tools for measuring, modelling and evaluating ecosystem services (ES) by IUCN</w:t>
      </w:r>
      <w:r w:rsidRPr="000D4277">
        <w:rPr>
          <w:rStyle w:val="Appelnotedebasdep"/>
          <w:rFonts w:ascii="Calibri" w:hAnsi="Calibri"/>
          <w:sz w:val="20"/>
          <w:szCs w:val="20"/>
        </w:rPr>
        <w:footnoteReference w:id="42"/>
      </w:r>
      <w:r w:rsidRPr="000D4277">
        <w:rPr>
          <w:rFonts w:ascii="Calibri" w:hAnsi="Calibri"/>
          <w:sz w:val="20"/>
          <w:szCs w:val="20"/>
          <w:lang w:val="en-GB"/>
        </w:rPr>
        <w:t>, the Toolkit for Ecosystem Service Site-based Assessment.V.2.0 (TESSA)</w:t>
      </w:r>
      <w:r w:rsidRPr="000D4277">
        <w:rPr>
          <w:rStyle w:val="Appelnotedebasdep"/>
          <w:szCs w:val="20"/>
          <w:lang w:val="en-GB"/>
        </w:rPr>
        <w:footnoteReference w:id="43"/>
      </w:r>
      <w:r w:rsidRPr="000D4277">
        <w:rPr>
          <w:rFonts w:ascii="Calibri" w:hAnsi="Calibri"/>
          <w:sz w:val="20"/>
          <w:szCs w:val="20"/>
          <w:lang w:val="en-GB"/>
        </w:rPr>
        <w:t xml:space="preserve"> was selected as an appropriate tool for environmental land use planning that can be easily managed, including by the actors in the field. TESSA is an open-access toolkit currently available in English (Version 2.0) and French (Version 1.2) which can be requested online that provides accessible and inexpensive guidance for methods to evaluate the benefits people derive from nature at particular sites. TESSA generates information that can be used to influence decision-making. It does not require specific computer modelling skills but requires stakeholder involvement and encourages the collection of primary data using the methods provided.</w:t>
      </w:r>
    </w:p>
    <w:p w14:paraId="6E3213BE" w14:textId="3A3C43E4" w:rsidR="00302BFE" w:rsidRPr="003F4704" w:rsidRDefault="00302BFE" w:rsidP="00302BFE">
      <w:pPr>
        <w:pStyle w:val="Paragraphedeliste"/>
        <w:tabs>
          <w:tab w:val="left" w:pos="284"/>
        </w:tabs>
        <w:spacing w:before="120" w:after="120"/>
        <w:ind w:left="0"/>
        <w:jc w:val="both"/>
        <w:rPr>
          <w:rFonts w:ascii="Calibri" w:hAnsi="Calibri"/>
          <w:i/>
          <w:color w:val="4472C4"/>
          <w:sz w:val="20"/>
          <w:szCs w:val="20"/>
          <w:highlight w:val="green"/>
          <w:lang w:val="en-GB"/>
        </w:rPr>
      </w:pPr>
      <w:r w:rsidRPr="003F4704">
        <w:rPr>
          <w:rFonts w:ascii="Calibri" w:hAnsi="Calibri"/>
          <w:i/>
          <w:color w:val="4472C4"/>
          <w:sz w:val="20"/>
          <w:szCs w:val="20"/>
          <w:highlight w:val="green"/>
          <w:lang w:val="en-GB"/>
        </w:rPr>
        <w:t>1.2.2 Establishment of a consolidated environmental information system to support the environmental land use planning process.</w:t>
      </w:r>
    </w:p>
    <w:p w14:paraId="35054FC1" w14:textId="29900086" w:rsidR="00F84490" w:rsidRPr="00BE65D5" w:rsidRDefault="00F84490" w:rsidP="00BE65D5">
      <w:pPr>
        <w:spacing w:before="120" w:after="120"/>
        <w:rPr>
          <w:iCs/>
          <w:color w:val="4472C4"/>
          <w:szCs w:val="20"/>
          <w:lang w:val="en-GB"/>
        </w:rPr>
      </w:pPr>
      <w:r w:rsidRPr="003F4704">
        <w:rPr>
          <w:iCs/>
          <w:color w:val="4472C4"/>
          <w:szCs w:val="20"/>
          <w:highlight w:val="green"/>
          <w:lang w:val="en-GB"/>
        </w:rPr>
        <w:t>For this activity, the FPIC (Free, Prior and Informed Consent) process has to be ensured</w:t>
      </w:r>
    </w:p>
    <w:p w14:paraId="122C434E" w14:textId="77777777" w:rsidR="006A0F99" w:rsidRPr="000D4277"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CA"/>
        </w:rPr>
      </w:pPr>
      <w:r w:rsidRPr="000D4277">
        <w:rPr>
          <w:rFonts w:ascii="Calibri" w:hAnsi="Calibri"/>
          <w:sz w:val="20"/>
          <w:szCs w:val="20"/>
          <w:lang w:val="en-CA"/>
        </w:rPr>
        <w:t xml:space="preserve">The </w:t>
      </w:r>
      <w:r w:rsidR="005A61BC" w:rsidRPr="000D4277">
        <w:rPr>
          <w:rFonts w:ascii="Calibri" w:hAnsi="Calibri"/>
          <w:sz w:val="20"/>
          <w:szCs w:val="20"/>
          <w:lang w:val="en-CA"/>
        </w:rPr>
        <w:t xml:space="preserve">project will recruit an international expert in design and management of information systems to design and establish a consolidated environmental information system to support </w:t>
      </w:r>
      <w:r w:rsidR="006A0F99" w:rsidRPr="000D4277">
        <w:rPr>
          <w:rFonts w:ascii="Calibri" w:hAnsi="Calibri"/>
          <w:sz w:val="20"/>
          <w:szCs w:val="20"/>
          <w:lang w:val="en-CA"/>
        </w:rPr>
        <w:t>decision-making on</w:t>
      </w:r>
      <w:r w:rsidR="005A61BC" w:rsidRPr="000D4277">
        <w:rPr>
          <w:rFonts w:ascii="Calibri" w:hAnsi="Calibri"/>
          <w:sz w:val="20"/>
          <w:szCs w:val="20"/>
          <w:lang w:val="en-CA"/>
        </w:rPr>
        <w:t xml:space="preserve"> environmental land use planning </w:t>
      </w:r>
      <w:r w:rsidR="006A0F99" w:rsidRPr="000D4277">
        <w:rPr>
          <w:rFonts w:ascii="Calibri" w:hAnsi="Calibri"/>
          <w:sz w:val="20"/>
          <w:szCs w:val="20"/>
          <w:lang w:val="en-CA"/>
        </w:rPr>
        <w:t>and monitoring the implementation of the landscape master plan</w:t>
      </w:r>
      <w:r w:rsidR="005A61BC" w:rsidRPr="000D4277">
        <w:rPr>
          <w:rFonts w:ascii="Calibri" w:hAnsi="Calibri"/>
          <w:sz w:val="20"/>
          <w:szCs w:val="20"/>
          <w:lang w:val="en-CA"/>
        </w:rPr>
        <w:t xml:space="preserve">, </w:t>
      </w:r>
      <w:r w:rsidRPr="000D4277">
        <w:rPr>
          <w:rFonts w:ascii="Calibri" w:hAnsi="Calibri"/>
          <w:sz w:val="20"/>
          <w:szCs w:val="20"/>
          <w:lang w:val="en-CA"/>
        </w:rPr>
        <w:t>building on existing data</w:t>
      </w:r>
      <w:r w:rsidR="005A61BC" w:rsidRPr="000D4277">
        <w:rPr>
          <w:rFonts w:ascii="Calibri" w:hAnsi="Calibri"/>
          <w:sz w:val="20"/>
          <w:szCs w:val="20"/>
          <w:lang w:val="en-CA"/>
        </w:rPr>
        <w:t>bases</w:t>
      </w:r>
      <w:r w:rsidRPr="000D4277">
        <w:rPr>
          <w:rFonts w:ascii="Calibri" w:hAnsi="Calibri"/>
          <w:sz w:val="20"/>
          <w:szCs w:val="20"/>
          <w:lang w:val="en-CA"/>
        </w:rPr>
        <w:t xml:space="preserve"> on environment and natural resources in the PONASI landscape</w:t>
      </w:r>
      <w:r w:rsidR="005A61BC" w:rsidRPr="000D4277">
        <w:rPr>
          <w:rFonts w:ascii="Calibri" w:hAnsi="Calibri"/>
          <w:sz w:val="20"/>
          <w:szCs w:val="20"/>
          <w:lang w:val="en-CA"/>
        </w:rPr>
        <w:t>, including mapping documents, on biodiversity, forestry, agriculture and pastoralism</w:t>
      </w:r>
      <w:r w:rsidR="006A0F99" w:rsidRPr="000D4277">
        <w:rPr>
          <w:rFonts w:ascii="Calibri" w:hAnsi="Calibri"/>
          <w:sz w:val="20"/>
          <w:szCs w:val="20"/>
          <w:lang w:val="en-CA"/>
        </w:rPr>
        <w:t>, as well as other sectors that may have an impact on ecosystem services (e.g. mining in the PONASI area)</w:t>
      </w:r>
      <w:r w:rsidRPr="000D4277">
        <w:rPr>
          <w:rFonts w:ascii="Calibri" w:hAnsi="Calibri"/>
          <w:sz w:val="20"/>
          <w:szCs w:val="20"/>
          <w:lang w:val="en-CA"/>
        </w:rPr>
        <w:t xml:space="preserve">. This information system will both guide work under the Components 2 and 3 and will also serve to collect information obtained through monitoring the project implementation in pilot sites. </w:t>
      </w:r>
      <w:r w:rsidR="006A0F99" w:rsidRPr="000D4277">
        <w:rPr>
          <w:rFonts w:ascii="Calibri" w:hAnsi="Calibri"/>
          <w:sz w:val="20"/>
          <w:szCs w:val="20"/>
          <w:lang w:val="en-CA"/>
        </w:rPr>
        <w:t>Tasks of the expert will include assessment of the reliability and quality of existing data, development of p</w:t>
      </w:r>
      <w:r w:rsidRPr="000D4277">
        <w:rPr>
          <w:rFonts w:ascii="Calibri" w:hAnsi="Calibri"/>
          <w:sz w:val="20"/>
          <w:szCs w:val="20"/>
          <w:lang w:val="en-CA"/>
        </w:rPr>
        <w:t xml:space="preserve">rotocols for standardizing and classifying </w:t>
      </w:r>
      <w:r w:rsidRPr="000D4277">
        <w:rPr>
          <w:rFonts w:ascii="Calibri" w:hAnsi="Calibri"/>
          <w:sz w:val="20"/>
          <w:szCs w:val="20"/>
          <w:lang w:val="en-CA"/>
        </w:rPr>
        <w:lastRenderedPageBreak/>
        <w:t xml:space="preserve">existing databases </w:t>
      </w:r>
      <w:r w:rsidR="006A0F99" w:rsidRPr="000D4277">
        <w:rPr>
          <w:rFonts w:ascii="Calibri" w:hAnsi="Calibri"/>
          <w:sz w:val="20"/>
          <w:szCs w:val="20"/>
          <w:lang w:val="en-CA"/>
        </w:rPr>
        <w:t xml:space="preserve">to </w:t>
      </w:r>
      <w:r w:rsidRPr="000D4277">
        <w:rPr>
          <w:rFonts w:ascii="Calibri" w:hAnsi="Calibri"/>
          <w:sz w:val="20"/>
          <w:szCs w:val="20"/>
          <w:lang w:val="en-CA"/>
        </w:rPr>
        <w:t>ma</w:t>
      </w:r>
      <w:r w:rsidR="006A0F99" w:rsidRPr="000D4277">
        <w:rPr>
          <w:rFonts w:ascii="Calibri" w:hAnsi="Calibri"/>
          <w:sz w:val="20"/>
          <w:szCs w:val="20"/>
          <w:lang w:val="en-CA"/>
        </w:rPr>
        <w:t>k</w:t>
      </w:r>
      <w:r w:rsidRPr="000D4277">
        <w:rPr>
          <w:rFonts w:ascii="Calibri" w:hAnsi="Calibri"/>
          <w:sz w:val="20"/>
          <w:szCs w:val="20"/>
          <w:lang w:val="en-CA"/>
        </w:rPr>
        <w:t>e</w:t>
      </w:r>
      <w:r w:rsidR="006A0F99" w:rsidRPr="000D4277">
        <w:rPr>
          <w:rFonts w:ascii="Calibri" w:hAnsi="Calibri"/>
          <w:sz w:val="20"/>
          <w:szCs w:val="20"/>
          <w:lang w:val="en-CA"/>
        </w:rPr>
        <w:t xml:space="preserve"> them</w:t>
      </w:r>
      <w:r w:rsidRPr="000D4277">
        <w:rPr>
          <w:rFonts w:ascii="Calibri" w:hAnsi="Calibri"/>
          <w:sz w:val="20"/>
          <w:szCs w:val="20"/>
          <w:lang w:val="en-CA"/>
        </w:rPr>
        <w:t xml:space="preserve"> available to all relevant stakeholders involved in the planning process</w:t>
      </w:r>
      <w:r w:rsidR="00B131A6" w:rsidRPr="000D4277">
        <w:rPr>
          <w:rFonts w:ascii="Calibri" w:hAnsi="Calibri"/>
          <w:sz w:val="20"/>
          <w:szCs w:val="20"/>
          <w:lang w:val="en-CA"/>
        </w:rPr>
        <w:t>.</w:t>
      </w:r>
      <w:r w:rsidR="006A0F99" w:rsidRPr="000D4277">
        <w:rPr>
          <w:rFonts w:ascii="Calibri" w:hAnsi="Calibri"/>
          <w:sz w:val="20"/>
          <w:szCs w:val="20"/>
          <w:lang w:val="en-CA"/>
        </w:rPr>
        <w:t xml:space="preserve"> </w:t>
      </w:r>
      <w:r w:rsidR="00B131A6" w:rsidRPr="000D4277">
        <w:rPr>
          <w:rFonts w:ascii="Calibri" w:hAnsi="Calibri"/>
          <w:sz w:val="20"/>
          <w:szCs w:val="20"/>
          <w:lang w:val="en-CA"/>
        </w:rPr>
        <w:t xml:space="preserve">The consultant will </w:t>
      </w:r>
      <w:r w:rsidR="006A0F99" w:rsidRPr="000D4277">
        <w:rPr>
          <w:rFonts w:ascii="Calibri" w:hAnsi="Calibri"/>
          <w:sz w:val="20"/>
          <w:szCs w:val="20"/>
          <w:lang w:val="en-CA"/>
        </w:rPr>
        <w:t>supervis</w:t>
      </w:r>
      <w:r w:rsidR="00B131A6" w:rsidRPr="000D4277">
        <w:rPr>
          <w:rFonts w:ascii="Calibri" w:hAnsi="Calibri"/>
          <w:sz w:val="20"/>
          <w:szCs w:val="20"/>
          <w:lang w:val="en-CA"/>
        </w:rPr>
        <w:t>e</w:t>
      </w:r>
      <w:r w:rsidR="006A0F99" w:rsidRPr="000D4277">
        <w:rPr>
          <w:rFonts w:ascii="Calibri" w:hAnsi="Calibri"/>
          <w:sz w:val="20"/>
          <w:szCs w:val="20"/>
          <w:lang w:val="en-CA"/>
        </w:rPr>
        <w:t xml:space="preserve"> </w:t>
      </w:r>
      <w:r w:rsidR="00B131A6" w:rsidRPr="000D4277">
        <w:rPr>
          <w:rFonts w:ascii="Calibri" w:hAnsi="Calibri"/>
          <w:sz w:val="20"/>
          <w:szCs w:val="20"/>
          <w:lang w:val="en-CA"/>
        </w:rPr>
        <w:t xml:space="preserve">the implementation of information systems to </w:t>
      </w:r>
      <w:r w:rsidR="006A0F99" w:rsidRPr="000D4277">
        <w:rPr>
          <w:rFonts w:ascii="Calibri" w:hAnsi="Calibri"/>
          <w:sz w:val="20"/>
          <w:szCs w:val="20"/>
          <w:lang w:val="en-CA"/>
        </w:rPr>
        <w:t>monitor</w:t>
      </w:r>
      <w:r w:rsidR="00B131A6" w:rsidRPr="000D4277">
        <w:rPr>
          <w:rFonts w:ascii="Calibri" w:hAnsi="Calibri"/>
          <w:sz w:val="20"/>
          <w:szCs w:val="20"/>
          <w:lang w:val="en-CA"/>
        </w:rPr>
        <w:t xml:space="preserve"> land-use in order to estimate GHG emissions and uptakes, biodiversity, poaching</w:t>
      </w:r>
      <w:r w:rsidR="0031155E" w:rsidRPr="000D4277">
        <w:rPr>
          <w:rFonts w:ascii="Calibri" w:hAnsi="Calibri"/>
          <w:sz w:val="20"/>
          <w:szCs w:val="20"/>
          <w:lang w:val="en-CA"/>
        </w:rPr>
        <w:t>,</w:t>
      </w:r>
      <w:r w:rsidR="00B131A6" w:rsidRPr="000D4277">
        <w:rPr>
          <w:rFonts w:ascii="Calibri" w:hAnsi="Calibri"/>
          <w:sz w:val="20"/>
          <w:szCs w:val="20"/>
          <w:lang w:val="en-CA"/>
        </w:rPr>
        <w:t xml:space="preserve"> HWC</w:t>
      </w:r>
      <w:r w:rsidR="0031155E" w:rsidRPr="000D4277">
        <w:rPr>
          <w:rFonts w:ascii="Calibri" w:hAnsi="Calibri"/>
          <w:sz w:val="20"/>
          <w:szCs w:val="20"/>
          <w:lang w:val="en-CA"/>
        </w:rPr>
        <w:t xml:space="preserve"> and all other issues required to support the sound management od the landscape</w:t>
      </w:r>
      <w:r w:rsidR="00B131A6" w:rsidRPr="000D4277">
        <w:rPr>
          <w:rFonts w:ascii="Calibri" w:hAnsi="Calibri"/>
          <w:sz w:val="20"/>
          <w:szCs w:val="20"/>
          <w:lang w:val="en-CA"/>
        </w:rPr>
        <w:t>.</w:t>
      </w:r>
    </w:p>
    <w:p w14:paraId="4EE35737" w14:textId="07CE5732" w:rsidR="00B378B6" w:rsidRPr="00D61C93"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CA"/>
        </w:rPr>
      </w:pPr>
      <w:r w:rsidRPr="006E490C">
        <w:rPr>
          <w:rFonts w:ascii="Calibri" w:hAnsi="Calibri"/>
          <w:sz w:val="20"/>
          <w:szCs w:val="20"/>
          <w:lang w:val="en-CA"/>
        </w:rPr>
        <w:t xml:space="preserve">The environmental land use planning information system will provide key input for better decision-making. It will include i) links to existing databases (web, GIS, maps, etc.), ii) compiled and updated environmental statistics, iii) indicators for the environmental land use planning, iv) GIS databases and maps for key elements of the planning process, such as maps integrating PAs and other priority areas for biodiversity, land degradation, and other key issues, v) risk analysis of main sectoral production activities including agriculture, mining, logging, charcoal making, hunting. </w:t>
      </w:r>
      <w:r w:rsidR="0031155E">
        <w:rPr>
          <w:rFonts w:ascii="Calibri" w:hAnsi="Calibri"/>
          <w:sz w:val="20"/>
          <w:szCs w:val="20"/>
          <w:lang w:val="en-CA"/>
        </w:rPr>
        <w:t>The</w:t>
      </w:r>
      <w:r w:rsidRPr="006E490C">
        <w:rPr>
          <w:rFonts w:ascii="Calibri" w:hAnsi="Calibri"/>
          <w:sz w:val="20"/>
          <w:szCs w:val="20"/>
          <w:lang w:val="en-CA"/>
        </w:rPr>
        <w:t xml:space="preserve"> expert in design and management of data systems will make recommendations on </w:t>
      </w:r>
      <w:r w:rsidR="0031155E">
        <w:rPr>
          <w:rFonts w:ascii="Calibri" w:hAnsi="Calibri"/>
          <w:sz w:val="20"/>
          <w:szCs w:val="20"/>
          <w:lang w:val="en-CA"/>
        </w:rPr>
        <w:t>the</w:t>
      </w:r>
      <w:r w:rsidRPr="006E490C">
        <w:rPr>
          <w:rFonts w:ascii="Calibri" w:hAnsi="Calibri"/>
          <w:sz w:val="20"/>
          <w:szCs w:val="20"/>
          <w:lang w:val="en-CA"/>
        </w:rPr>
        <w:t xml:space="preserve"> institutional anchoring</w:t>
      </w:r>
      <w:r w:rsidR="0031155E">
        <w:rPr>
          <w:rFonts w:ascii="Calibri" w:hAnsi="Calibri"/>
          <w:sz w:val="20"/>
          <w:szCs w:val="20"/>
          <w:lang w:val="en-CA"/>
        </w:rPr>
        <w:t xml:space="preserve"> of the information system</w:t>
      </w:r>
      <w:r w:rsidRPr="006E490C">
        <w:rPr>
          <w:rFonts w:ascii="Calibri" w:hAnsi="Calibri"/>
          <w:sz w:val="20"/>
          <w:szCs w:val="20"/>
          <w:lang w:val="en-CA"/>
        </w:rPr>
        <w:t xml:space="preserve">, the responsibility for its management, and the financing of its operation and its update </w:t>
      </w:r>
      <w:r w:rsidRPr="00D61C93">
        <w:rPr>
          <w:rFonts w:ascii="Calibri" w:hAnsi="Calibri"/>
          <w:sz w:val="20"/>
          <w:szCs w:val="20"/>
          <w:lang w:val="en-CA"/>
        </w:rPr>
        <w:t xml:space="preserve">for ensure its </w:t>
      </w:r>
      <w:r w:rsidR="000D4277" w:rsidRPr="00D61C93">
        <w:rPr>
          <w:rFonts w:ascii="Calibri" w:hAnsi="Calibri"/>
          <w:sz w:val="20"/>
          <w:szCs w:val="20"/>
          <w:lang w:val="en-CA"/>
        </w:rPr>
        <w:t>sustainability and</w:t>
      </w:r>
      <w:r w:rsidRPr="00D61C93">
        <w:rPr>
          <w:rFonts w:ascii="Calibri" w:hAnsi="Calibri"/>
          <w:sz w:val="20"/>
          <w:szCs w:val="20"/>
          <w:lang w:val="en-CA"/>
        </w:rPr>
        <w:t xml:space="preserve"> will ensure the training of all stakeholders interested in consulting the information system and contribute to its updating. Preferred institutional anchoring will be to integrate this database within the </w:t>
      </w:r>
      <w:r w:rsidRPr="00D61C93">
        <w:rPr>
          <w:rFonts w:ascii="Calibri" w:hAnsi="Calibri"/>
          <w:sz w:val="20"/>
          <w:szCs w:val="20"/>
        </w:rPr>
        <w:t xml:space="preserve">National Observatory of the Environment and Sustainable Development (ONEDD). </w:t>
      </w:r>
      <w:r w:rsidRPr="00D61C93">
        <w:rPr>
          <w:rFonts w:ascii="Calibri" w:hAnsi="Calibri"/>
          <w:sz w:val="20"/>
          <w:szCs w:val="20"/>
          <w:lang w:val="en-GB"/>
        </w:rPr>
        <w:t xml:space="preserve">ONEDD is a mechanism in support to </w:t>
      </w:r>
      <w:r w:rsidR="00CF65C6" w:rsidRPr="00C46720">
        <w:rPr>
          <w:rFonts w:ascii="Calibri" w:hAnsi="Calibri"/>
          <w:sz w:val="20"/>
          <w:szCs w:val="20"/>
          <w:highlight w:val="green"/>
          <w:lang w:val="en-GB"/>
        </w:rPr>
        <w:t>SP CONSEIL NATION DEVEL DURABL UNDER THE MINISTRY IN CHARGE OF THE ENVIRONMENT</w:t>
      </w:r>
      <w:r w:rsidRPr="00D61C93">
        <w:rPr>
          <w:rFonts w:ascii="Calibri" w:hAnsi="Calibri"/>
          <w:sz w:val="20"/>
          <w:szCs w:val="20"/>
          <w:lang w:val="en-GB"/>
        </w:rPr>
        <w:t xml:space="preserve"> and its various divisions in the form of a system for surveillance and monitoring-evaluation of the environment and sustainable development. As part of its missions, ONEDD provides direct support to the National Partnership Program for Sustainable Land Management of the </w:t>
      </w:r>
      <w:r w:rsidR="00CF65C6" w:rsidRPr="00C46720">
        <w:rPr>
          <w:rFonts w:ascii="Calibri" w:hAnsi="Calibri"/>
          <w:sz w:val="20"/>
          <w:szCs w:val="20"/>
          <w:highlight w:val="green"/>
          <w:lang w:val="en-GB"/>
        </w:rPr>
        <w:t>SP CONSEIL NATION DEVEL DURABL UNDER THE MINISTRY IN CHARGE OF THE ENVIRONMENT</w:t>
      </w:r>
      <w:r w:rsidRPr="00D61C93">
        <w:rPr>
          <w:rFonts w:ascii="Calibri" w:hAnsi="Calibri"/>
          <w:sz w:val="20"/>
          <w:szCs w:val="20"/>
          <w:lang w:val="en-GB"/>
        </w:rPr>
        <w:t xml:space="preserve">, in particular to ensure monitoring and evaluation within the framework of the United Nations conventions </w:t>
      </w:r>
      <w:r w:rsidR="00772516" w:rsidRPr="00D61C93">
        <w:rPr>
          <w:rFonts w:ascii="Calibri" w:hAnsi="Calibri"/>
          <w:sz w:val="20"/>
          <w:szCs w:val="20"/>
          <w:lang w:val="en-GB"/>
        </w:rPr>
        <w:t>to C</w:t>
      </w:r>
      <w:r w:rsidRPr="00D61C93">
        <w:rPr>
          <w:rFonts w:ascii="Calibri" w:hAnsi="Calibri"/>
          <w:sz w:val="20"/>
          <w:szCs w:val="20"/>
          <w:lang w:val="en-GB"/>
        </w:rPr>
        <w:t xml:space="preserve">ombat Desertification, </w:t>
      </w:r>
      <w:r w:rsidR="00772516" w:rsidRPr="00D61C93">
        <w:rPr>
          <w:rFonts w:ascii="Calibri" w:hAnsi="Calibri"/>
          <w:sz w:val="20"/>
          <w:szCs w:val="20"/>
          <w:lang w:val="en-GB"/>
        </w:rPr>
        <w:t xml:space="preserve">on </w:t>
      </w:r>
      <w:r w:rsidRPr="00D61C93">
        <w:rPr>
          <w:rFonts w:ascii="Calibri" w:hAnsi="Calibri"/>
          <w:sz w:val="20"/>
          <w:szCs w:val="20"/>
          <w:lang w:val="en-GB"/>
        </w:rPr>
        <w:t xml:space="preserve">Climate Change and </w:t>
      </w:r>
      <w:r w:rsidR="00772516" w:rsidRPr="00D61C93">
        <w:rPr>
          <w:rFonts w:ascii="Calibri" w:hAnsi="Calibri"/>
          <w:sz w:val="20"/>
          <w:szCs w:val="20"/>
          <w:lang w:val="en-GB"/>
        </w:rPr>
        <w:t xml:space="preserve">on </w:t>
      </w:r>
      <w:r w:rsidRPr="00D61C93">
        <w:rPr>
          <w:rFonts w:ascii="Calibri" w:hAnsi="Calibri"/>
          <w:sz w:val="20"/>
          <w:szCs w:val="20"/>
          <w:lang w:val="en-GB"/>
        </w:rPr>
        <w:t>Biological Diversity.</w:t>
      </w:r>
      <w:r w:rsidR="00B378B6" w:rsidRPr="00D61C93">
        <w:rPr>
          <w:rFonts w:ascii="Calibri" w:hAnsi="Calibri"/>
          <w:sz w:val="20"/>
          <w:szCs w:val="20"/>
          <w:lang w:val="en-GB"/>
        </w:rPr>
        <w:t xml:space="preserve"> </w:t>
      </w:r>
      <w:r w:rsidR="00B378B6" w:rsidRPr="00D61C93">
        <w:rPr>
          <w:rFonts w:ascii="Calibri" w:hAnsi="Calibri"/>
          <w:sz w:val="20"/>
          <w:szCs w:val="20"/>
          <w:lang w:val="en-CA"/>
        </w:rPr>
        <w:t>The Department of IT Services within the MEEVCC which is responsible for ensuring the consistency of information systems developed in accordance with the master plan of the Ministry and for training of personnel in the IT field will be associated with the establishment of this information system.</w:t>
      </w:r>
    </w:p>
    <w:p w14:paraId="04D4227E" w14:textId="1470CDB4" w:rsidR="00302BFE" w:rsidRPr="003F4704" w:rsidRDefault="00302BFE" w:rsidP="00302BFE">
      <w:pPr>
        <w:pStyle w:val="Paragraphedeliste"/>
        <w:tabs>
          <w:tab w:val="left" w:pos="284"/>
        </w:tabs>
        <w:spacing w:before="120" w:after="120"/>
        <w:ind w:left="0"/>
        <w:jc w:val="both"/>
        <w:rPr>
          <w:rFonts w:ascii="Calibri" w:hAnsi="Calibri"/>
          <w:i/>
          <w:color w:val="4472C4"/>
          <w:sz w:val="20"/>
          <w:szCs w:val="20"/>
          <w:highlight w:val="green"/>
          <w:lang w:val="en-GB"/>
        </w:rPr>
      </w:pPr>
      <w:r w:rsidRPr="003F4704">
        <w:rPr>
          <w:rFonts w:ascii="Calibri" w:hAnsi="Calibri"/>
          <w:i/>
          <w:color w:val="4472C4"/>
          <w:sz w:val="20"/>
          <w:szCs w:val="20"/>
          <w:highlight w:val="green"/>
          <w:lang w:val="en-GB"/>
        </w:rPr>
        <w:t>1.2.3 Criteria and standards for biodiversity conservation and sustainable land and ecosystem services management</w:t>
      </w:r>
    </w:p>
    <w:p w14:paraId="46902EA2" w14:textId="25C79363" w:rsidR="00F84490" w:rsidRPr="00BE65D5" w:rsidRDefault="00F84490" w:rsidP="00BE65D5">
      <w:pPr>
        <w:spacing w:before="120" w:after="120"/>
        <w:rPr>
          <w:iCs/>
          <w:color w:val="4472C4"/>
          <w:szCs w:val="20"/>
          <w:lang w:val="en-GB"/>
        </w:rPr>
      </w:pPr>
      <w:r w:rsidRPr="003F4704">
        <w:rPr>
          <w:iCs/>
          <w:color w:val="4472C4"/>
          <w:szCs w:val="20"/>
          <w:highlight w:val="green"/>
          <w:lang w:val="en-GB"/>
        </w:rPr>
        <w:t>For this activity, the FPIC (Free, Prior and Informed Consent) process has to be ensured</w:t>
      </w:r>
    </w:p>
    <w:p w14:paraId="593BE85B" w14:textId="77777777" w:rsidR="00302BFE" w:rsidRPr="000D4277"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0D4277">
        <w:rPr>
          <w:rFonts w:ascii="Calibri" w:hAnsi="Calibri" w:cs="TimesNewRomanPSMT"/>
          <w:sz w:val="20"/>
          <w:szCs w:val="20"/>
          <w:lang w:val="en-CA"/>
        </w:rPr>
        <w:t xml:space="preserve">A key step will be to define and agree on criteria to guide the ELUP process for the PONASI landscape, including SLM, BD and ecosystem services conservation criteria </w:t>
      </w:r>
      <w:r w:rsidR="0031155E" w:rsidRPr="000D4277">
        <w:rPr>
          <w:rFonts w:ascii="Calibri" w:hAnsi="Calibri" w:cs="TimesNewRomanPSMT"/>
          <w:sz w:val="20"/>
          <w:szCs w:val="20"/>
          <w:lang w:val="en-CA"/>
        </w:rPr>
        <w:t>t</w:t>
      </w:r>
      <w:r w:rsidRPr="000D4277">
        <w:rPr>
          <w:rFonts w:ascii="Calibri" w:hAnsi="Calibri" w:cs="TimesNewRomanPSMT"/>
          <w:sz w:val="20"/>
          <w:szCs w:val="20"/>
          <w:lang w:val="en-CA"/>
        </w:rPr>
        <w:t>o defin</w:t>
      </w:r>
      <w:r w:rsidR="0031155E" w:rsidRPr="000D4277">
        <w:rPr>
          <w:rFonts w:ascii="Calibri" w:hAnsi="Calibri" w:cs="TimesNewRomanPSMT"/>
          <w:sz w:val="20"/>
          <w:szCs w:val="20"/>
          <w:lang w:val="en-CA"/>
        </w:rPr>
        <w:t>e</w:t>
      </w:r>
      <w:r w:rsidRPr="000D4277">
        <w:rPr>
          <w:rFonts w:ascii="Calibri" w:hAnsi="Calibri" w:cs="TimesNewRomanPSMT"/>
          <w:sz w:val="20"/>
          <w:szCs w:val="20"/>
          <w:lang w:val="en-CA"/>
        </w:rPr>
        <w:t xml:space="preserve"> </w:t>
      </w:r>
      <w:r w:rsidR="0031155E" w:rsidRPr="000D4277">
        <w:rPr>
          <w:rFonts w:ascii="Calibri" w:hAnsi="Calibri" w:cs="TimesNewRomanPSMT"/>
          <w:sz w:val="20"/>
          <w:szCs w:val="20"/>
          <w:lang w:val="en-CA"/>
        </w:rPr>
        <w:t xml:space="preserve">various restriction </w:t>
      </w:r>
      <w:r w:rsidRPr="000D4277">
        <w:rPr>
          <w:rFonts w:ascii="Calibri" w:hAnsi="Calibri" w:cs="TimesNewRomanPSMT"/>
          <w:sz w:val="20"/>
          <w:szCs w:val="20"/>
          <w:lang w:val="en-CA"/>
        </w:rPr>
        <w:t xml:space="preserve">scenarios </w:t>
      </w:r>
      <w:r w:rsidR="0031155E" w:rsidRPr="000D4277">
        <w:rPr>
          <w:rFonts w:ascii="Calibri" w:hAnsi="Calibri" w:cs="TimesNewRomanPSMT"/>
          <w:sz w:val="20"/>
          <w:szCs w:val="20"/>
          <w:lang w:val="en-CA"/>
        </w:rPr>
        <w:t>in</w:t>
      </w:r>
      <w:r w:rsidRPr="000D4277">
        <w:rPr>
          <w:rFonts w:ascii="Calibri" w:hAnsi="Calibri" w:cs="TimesNewRomanPSMT"/>
          <w:sz w:val="20"/>
          <w:szCs w:val="20"/>
          <w:lang w:val="en-CA"/>
        </w:rPr>
        <w:t xml:space="preserve"> </w:t>
      </w:r>
      <w:r w:rsidR="0031155E" w:rsidRPr="000D4277">
        <w:rPr>
          <w:rFonts w:ascii="Calibri" w:hAnsi="Calibri" w:cs="TimesNewRomanPSMT"/>
          <w:sz w:val="20"/>
          <w:szCs w:val="20"/>
          <w:lang w:val="en-CA"/>
        </w:rPr>
        <w:t xml:space="preserve">different </w:t>
      </w:r>
      <w:r w:rsidRPr="000D4277">
        <w:rPr>
          <w:rFonts w:ascii="Calibri" w:hAnsi="Calibri" w:cs="TimesNewRomanPSMT"/>
          <w:sz w:val="20"/>
          <w:szCs w:val="20"/>
          <w:lang w:val="en-CA"/>
        </w:rPr>
        <w:t xml:space="preserve">land-use </w:t>
      </w:r>
      <w:r w:rsidR="0031155E" w:rsidRPr="000D4277">
        <w:rPr>
          <w:rFonts w:ascii="Calibri" w:hAnsi="Calibri" w:cs="TimesNewRomanPSMT"/>
          <w:sz w:val="20"/>
          <w:szCs w:val="20"/>
          <w:lang w:val="en-CA"/>
        </w:rPr>
        <w:t xml:space="preserve">areas </w:t>
      </w:r>
      <w:r w:rsidRPr="000D4277">
        <w:rPr>
          <w:rFonts w:ascii="Calibri" w:hAnsi="Calibri" w:cs="TimesNewRomanPSMT"/>
          <w:sz w:val="20"/>
          <w:szCs w:val="20"/>
          <w:lang w:val="en-CA"/>
        </w:rPr>
        <w:t xml:space="preserve">and production practice in priority areas. Working in close coordination with </w:t>
      </w:r>
      <w:r w:rsidR="00CA6069" w:rsidRPr="000D4277">
        <w:rPr>
          <w:rFonts w:ascii="Calibri" w:hAnsi="Calibri" w:cs="TimesNewRomanPSMT"/>
          <w:sz w:val="20"/>
          <w:szCs w:val="20"/>
          <w:lang w:val="en-CA"/>
        </w:rPr>
        <w:t xml:space="preserve">Components 2 and 3 </w:t>
      </w:r>
      <w:r w:rsidRPr="000D4277">
        <w:rPr>
          <w:rFonts w:ascii="Calibri" w:hAnsi="Calibri" w:cs="TimesNewRomanPSMT"/>
          <w:sz w:val="20"/>
          <w:szCs w:val="20"/>
          <w:lang w:val="en-CA"/>
        </w:rPr>
        <w:t xml:space="preserve">results </w:t>
      </w:r>
      <w:r w:rsidR="00CA6069" w:rsidRPr="000D4277">
        <w:rPr>
          <w:rFonts w:ascii="Calibri" w:hAnsi="Calibri" w:cs="TimesNewRomanPSMT"/>
          <w:sz w:val="20"/>
          <w:szCs w:val="20"/>
          <w:lang w:val="en-CA"/>
        </w:rPr>
        <w:t>identifying best practices</w:t>
      </w:r>
      <w:r w:rsidRPr="000D4277">
        <w:rPr>
          <w:rFonts w:ascii="Calibri" w:hAnsi="Calibri" w:cs="TimesNewRomanPSMT"/>
          <w:sz w:val="20"/>
          <w:szCs w:val="20"/>
          <w:lang w:val="en-CA"/>
        </w:rPr>
        <w:t xml:space="preserve">, the project will support procedures and tools to be used at different levels to develop the land use master plan and to implement it. </w:t>
      </w:r>
      <w:r w:rsidR="00CA6069" w:rsidRPr="000D4277">
        <w:rPr>
          <w:rFonts w:ascii="Calibri" w:hAnsi="Calibri" w:cs="TimesNewRomanPSMT"/>
          <w:sz w:val="20"/>
          <w:szCs w:val="20"/>
          <w:lang w:val="en-CA"/>
        </w:rPr>
        <w:t xml:space="preserve">The project expert in environmental land-use planning will provide guidance for the identification and adoption of criteria for </w:t>
      </w:r>
      <w:r w:rsidR="0024478B" w:rsidRPr="000D4277">
        <w:rPr>
          <w:rFonts w:ascii="Calibri" w:hAnsi="Calibri" w:cs="TimesNewRomanPSMT"/>
          <w:sz w:val="20"/>
          <w:szCs w:val="20"/>
          <w:lang w:val="en-CA"/>
        </w:rPr>
        <w:t>SLM</w:t>
      </w:r>
      <w:r w:rsidR="00CA6069" w:rsidRPr="000D4277">
        <w:rPr>
          <w:rFonts w:ascii="Calibri" w:hAnsi="Calibri" w:cs="TimesNewRomanPSMT"/>
          <w:sz w:val="20"/>
          <w:szCs w:val="20"/>
          <w:lang w:val="en-CA"/>
        </w:rPr>
        <w:t xml:space="preserve"> and conservation of biodiversity and ES</w:t>
      </w:r>
      <w:r w:rsidR="00143184" w:rsidRPr="000D4277">
        <w:rPr>
          <w:rFonts w:ascii="Calibri" w:hAnsi="Calibri" w:cs="TimesNewRomanPSMT"/>
          <w:sz w:val="20"/>
          <w:szCs w:val="20"/>
          <w:lang w:val="en-CA"/>
        </w:rPr>
        <w:t xml:space="preserve">. </w:t>
      </w:r>
      <w:r w:rsidRPr="000D4277">
        <w:rPr>
          <w:rFonts w:ascii="Calibri" w:hAnsi="Calibri" w:cs="TimesNewRomanPSMT"/>
          <w:sz w:val="20"/>
          <w:szCs w:val="20"/>
          <w:lang w:val="en-CA"/>
        </w:rPr>
        <w:t xml:space="preserve">Through round tables, negotiations and workshops these instruments and approaches will be discussed with key stakeholders including </w:t>
      </w:r>
      <w:r w:rsidR="00143184" w:rsidRPr="000D4277">
        <w:rPr>
          <w:rFonts w:ascii="Calibri" w:hAnsi="Calibri" w:cs="TimesNewRomanPSMT"/>
          <w:sz w:val="20"/>
          <w:szCs w:val="20"/>
          <w:lang w:val="en-CA"/>
        </w:rPr>
        <w:t xml:space="preserve">institutional </w:t>
      </w:r>
      <w:r w:rsidRPr="000D4277">
        <w:rPr>
          <w:rFonts w:ascii="Calibri" w:hAnsi="Calibri" w:cs="TimesNewRomanPSMT"/>
          <w:sz w:val="20"/>
          <w:szCs w:val="20"/>
          <w:lang w:val="en-CA"/>
        </w:rPr>
        <w:t>representatives of the main sectors</w:t>
      </w:r>
      <w:r w:rsidR="00143184" w:rsidRPr="000D4277">
        <w:rPr>
          <w:rFonts w:ascii="Calibri" w:hAnsi="Calibri" w:cs="TimesNewRomanPSMT"/>
          <w:sz w:val="20"/>
          <w:szCs w:val="20"/>
          <w:lang w:val="en-CA"/>
        </w:rPr>
        <w:t>, i.e. agriculture, forestry, pastoralism, and mining.</w:t>
      </w:r>
      <w:r w:rsidRPr="000D4277">
        <w:rPr>
          <w:rFonts w:ascii="Calibri" w:hAnsi="Calibri" w:cs="TimesNewRomanPSMT"/>
          <w:sz w:val="20"/>
          <w:szCs w:val="20"/>
          <w:lang w:val="en-CA"/>
        </w:rPr>
        <w:t xml:space="preserve"> They will include criteria and standards for biodiversity conservation, sustainable land and ecosystem services management, as a basis for ELUP. These criteria may also be incorporated into the EIA guidelines by sector and ecosystem type, including potential restrictions that could be identified for priority sites for elephant conservation or combatting land degradation and pollution in land units. These guidelines will be mainstreamed into relevant sectoral programmes that channel resources to regions and communes for supporting production. </w:t>
      </w:r>
      <w:r w:rsidR="00143184" w:rsidRPr="000D4277">
        <w:rPr>
          <w:rFonts w:ascii="Calibri" w:hAnsi="Calibri" w:cs="TimesNewRomanPSMT"/>
          <w:sz w:val="20"/>
          <w:szCs w:val="20"/>
          <w:lang w:val="en-CA"/>
        </w:rPr>
        <w:t>Therefore, the master plan will provide a policy framework to mainstream environmental, social and economic variables in development planning and sector financing.</w:t>
      </w:r>
    </w:p>
    <w:p w14:paraId="6A4DC7D1" w14:textId="77777777" w:rsidR="00302BFE" w:rsidRPr="005F3825" w:rsidRDefault="00302BFE" w:rsidP="00302BFE">
      <w:pPr>
        <w:pStyle w:val="Paragraphedeliste"/>
        <w:tabs>
          <w:tab w:val="left" w:pos="284"/>
        </w:tabs>
        <w:spacing w:before="240" w:after="120"/>
        <w:ind w:left="0"/>
        <w:jc w:val="both"/>
        <w:rPr>
          <w:rFonts w:ascii="Calibri" w:hAnsi="Calibri"/>
          <w:b/>
          <w:sz w:val="20"/>
          <w:szCs w:val="20"/>
          <w:lang w:val="en-GB"/>
        </w:rPr>
      </w:pPr>
      <w:r w:rsidRPr="005F3825">
        <w:rPr>
          <w:rFonts w:ascii="Calibri" w:eastAsia="Cambria" w:hAnsi="Calibri"/>
          <w:b/>
          <w:sz w:val="20"/>
          <w:szCs w:val="20"/>
          <w:lang w:val="en-GB"/>
        </w:rPr>
        <w:t>Output 1.3 Accurate and well-documented estimates of carbon stocks within the PONASI landscape are available to contribute to the process of assessing the benefits associated with different land and resource uses</w:t>
      </w:r>
    </w:p>
    <w:p w14:paraId="44F7982F" w14:textId="199BDC62" w:rsidR="00302BFE" w:rsidRPr="000D4277"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0D4277">
        <w:rPr>
          <w:rFonts w:ascii="Calibri" w:hAnsi="Calibri"/>
          <w:sz w:val="20"/>
          <w:szCs w:val="20"/>
          <w:lang w:val="en-GB"/>
        </w:rPr>
        <w:t xml:space="preserve">The Forest Investment Program </w:t>
      </w:r>
      <w:r w:rsidRPr="00A63E29">
        <w:rPr>
          <w:rFonts w:ascii="Calibri" w:hAnsi="Calibri"/>
          <w:sz w:val="20"/>
          <w:szCs w:val="20"/>
          <w:highlight w:val="yellow"/>
          <w:lang w:val="en-GB"/>
        </w:rPr>
        <w:t>(P</w:t>
      </w:r>
      <w:r w:rsidR="00F9118A">
        <w:rPr>
          <w:rFonts w:ascii="Calibri" w:hAnsi="Calibri"/>
          <w:sz w:val="20"/>
          <w:szCs w:val="20"/>
          <w:highlight w:val="yellow"/>
          <w:lang w:val="en-GB"/>
        </w:rPr>
        <w:t>IF</w:t>
      </w:r>
      <w:r w:rsidRPr="00A63E29">
        <w:rPr>
          <w:rFonts w:ascii="Calibri" w:hAnsi="Calibri"/>
          <w:sz w:val="20"/>
          <w:szCs w:val="20"/>
          <w:highlight w:val="yellow"/>
          <w:lang w:val="en-GB"/>
        </w:rPr>
        <w:t>)</w:t>
      </w:r>
      <w:r w:rsidRPr="000D4277">
        <w:rPr>
          <w:rFonts w:ascii="Calibri" w:hAnsi="Calibri"/>
          <w:sz w:val="20"/>
          <w:szCs w:val="20"/>
          <w:lang w:val="en-GB"/>
        </w:rPr>
        <w:t xml:space="preserve"> is setting up a</w:t>
      </w:r>
      <w:r w:rsidR="00BE6BAD" w:rsidRPr="000D4277">
        <w:rPr>
          <w:rFonts w:ascii="Calibri" w:hAnsi="Calibri"/>
          <w:sz w:val="20"/>
          <w:szCs w:val="20"/>
          <w:lang w:val="en-GB"/>
        </w:rPr>
        <w:t xml:space="preserve"> Monitoring-Reporting-Verification</w:t>
      </w:r>
      <w:r w:rsidRPr="000D4277">
        <w:rPr>
          <w:rFonts w:ascii="Calibri" w:hAnsi="Calibri"/>
          <w:sz w:val="20"/>
          <w:szCs w:val="20"/>
          <w:lang w:val="en-GB"/>
        </w:rPr>
        <w:t xml:space="preserve"> </w:t>
      </w:r>
      <w:r w:rsidR="00BE6BAD" w:rsidRPr="000D4277">
        <w:rPr>
          <w:rFonts w:ascii="Calibri" w:hAnsi="Calibri"/>
          <w:sz w:val="20"/>
          <w:szCs w:val="20"/>
          <w:lang w:val="en-GB"/>
        </w:rPr>
        <w:t>(</w:t>
      </w:r>
      <w:r w:rsidRPr="000D4277">
        <w:rPr>
          <w:rFonts w:ascii="Calibri" w:hAnsi="Calibri"/>
          <w:sz w:val="20"/>
          <w:szCs w:val="20"/>
          <w:lang w:val="en-GB"/>
        </w:rPr>
        <w:t>MRV</w:t>
      </w:r>
      <w:r w:rsidR="00BE6BAD" w:rsidRPr="000D4277">
        <w:rPr>
          <w:rFonts w:ascii="Calibri" w:hAnsi="Calibri"/>
          <w:sz w:val="20"/>
          <w:szCs w:val="20"/>
          <w:lang w:val="en-GB"/>
        </w:rPr>
        <w:t>)</w:t>
      </w:r>
      <w:r w:rsidRPr="000D4277">
        <w:rPr>
          <w:rFonts w:ascii="Calibri" w:hAnsi="Calibri"/>
          <w:sz w:val="20"/>
          <w:szCs w:val="20"/>
          <w:lang w:val="en-GB"/>
        </w:rPr>
        <w:t xml:space="preserve"> process within the DGEEVCC as part of the development of the REDD+ process in Burkina Faso. Project interventions will be </w:t>
      </w:r>
      <w:r w:rsidR="00F17DF6" w:rsidRPr="000D4277">
        <w:rPr>
          <w:rFonts w:ascii="Calibri" w:hAnsi="Calibri"/>
          <w:sz w:val="20"/>
          <w:szCs w:val="20"/>
          <w:lang w:val="en-GB"/>
        </w:rPr>
        <w:t>consistent with</w:t>
      </w:r>
      <w:r w:rsidRPr="000D4277">
        <w:rPr>
          <w:rFonts w:ascii="Calibri" w:hAnsi="Calibri"/>
          <w:sz w:val="20"/>
          <w:szCs w:val="20"/>
          <w:lang w:val="en-GB"/>
        </w:rPr>
        <w:t xml:space="preserve"> the ongoing process and adopt procedures and tools put in place by the FIP. The MRV process for REDD+ measure</w:t>
      </w:r>
      <w:r w:rsidR="00F17DF6" w:rsidRPr="000D4277">
        <w:rPr>
          <w:rFonts w:ascii="Calibri" w:hAnsi="Calibri"/>
          <w:sz w:val="20"/>
          <w:szCs w:val="20"/>
          <w:lang w:val="en-GB"/>
        </w:rPr>
        <w:t>s</w:t>
      </w:r>
      <w:r w:rsidRPr="000D4277">
        <w:rPr>
          <w:rFonts w:ascii="Calibri" w:hAnsi="Calibri"/>
          <w:sz w:val="20"/>
          <w:szCs w:val="20"/>
          <w:lang w:val="en-GB"/>
        </w:rPr>
        <w:t>, report</w:t>
      </w:r>
      <w:r w:rsidR="00F17DF6" w:rsidRPr="000D4277">
        <w:rPr>
          <w:rFonts w:ascii="Calibri" w:hAnsi="Calibri"/>
          <w:sz w:val="20"/>
          <w:szCs w:val="20"/>
          <w:lang w:val="en-GB"/>
        </w:rPr>
        <w:t xml:space="preserve">s </w:t>
      </w:r>
      <w:r w:rsidRPr="000D4277">
        <w:rPr>
          <w:rFonts w:ascii="Calibri" w:hAnsi="Calibri"/>
          <w:sz w:val="20"/>
          <w:szCs w:val="20"/>
          <w:lang w:val="en-GB"/>
        </w:rPr>
        <w:t>and verif</w:t>
      </w:r>
      <w:r w:rsidR="00F17DF6" w:rsidRPr="000D4277">
        <w:rPr>
          <w:rFonts w:ascii="Calibri" w:hAnsi="Calibri"/>
          <w:sz w:val="20"/>
          <w:szCs w:val="20"/>
          <w:lang w:val="en-GB"/>
        </w:rPr>
        <w:t>y</w:t>
      </w:r>
      <w:r w:rsidRPr="000D4277">
        <w:rPr>
          <w:rFonts w:ascii="Calibri" w:hAnsi="Calibri"/>
          <w:sz w:val="20"/>
          <w:szCs w:val="20"/>
          <w:lang w:val="en-GB"/>
        </w:rPr>
        <w:t xml:space="preserve"> forests variation over time </w:t>
      </w:r>
      <w:r w:rsidR="00F17DF6" w:rsidRPr="000D4277">
        <w:rPr>
          <w:rFonts w:ascii="Calibri" w:hAnsi="Calibri"/>
          <w:sz w:val="20"/>
          <w:szCs w:val="20"/>
          <w:lang w:val="en-GB"/>
        </w:rPr>
        <w:t>and</w:t>
      </w:r>
      <w:r w:rsidRPr="000D4277">
        <w:rPr>
          <w:rFonts w:ascii="Calibri" w:hAnsi="Calibri"/>
          <w:sz w:val="20"/>
          <w:szCs w:val="20"/>
          <w:lang w:val="en-GB"/>
        </w:rPr>
        <w:t xml:space="preserve"> associated GHG emissions and removals</w:t>
      </w:r>
      <w:r w:rsidR="005A61BC" w:rsidRPr="000D4277">
        <w:rPr>
          <w:rFonts w:ascii="Calibri" w:hAnsi="Calibri"/>
          <w:sz w:val="20"/>
          <w:szCs w:val="20"/>
          <w:lang w:val="en-GB"/>
        </w:rPr>
        <w:t xml:space="preserve">, so that </w:t>
      </w:r>
      <w:r w:rsidRPr="000D4277">
        <w:rPr>
          <w:rFonts w:ascii="Calibri" w:hAnsi="Calibri"/>
          <w:sz w:val="20"/>
          <w:szCs w:val="20"/>
          <w:lang w:val="en-GB"/>
        </w:rPr>
        <w:t xml:space="preserve">emissions reductions and removals in the forest sector result in payments based on tracking changes in terrestrial carbon stocks. Direct measurement includes field measurements and remote sensing and can be complemented by modelling. </w:t>
      </w:r>
      <w:r w:rsidR="005A61BC" w:rsidRPr="000D4277">
        <w:rPr>
          <w:rFonts w:ascii="Calibri" w:hAnsi="Calibri"/>
          <w:sz w:val="20"/>
          <w:szCs w:val="20"/>
          <w:lang w:val="en-GB"/>
        </w:rPr>
        <w:t>I</w:t>
      </w:r>
      <w:r w:rsidRPr="000D4277">
        <w:rPr>
          <w:rFonts w:ascii="Calibri" w:hAnsi="Calibri"/>
          <w:sz w:val="20"/>
          <w:szCs w:val="20"/>
          <w:lang w:val="en-GB"/>
        </w:rPr>
        <w:t xml:space="preserve">nformation includes forest-related data and GHG estimates, as well as the methodologies used to obtain them. </w:t>
      </w:r>
      <w:r w:rsidRPr="000D4277">
        <w:rPr>
          <w:rFonts w:ascii="Calibri" w:hAnsi="Calibri"/>
          <w:sz w:val="20"/>
          <w:szCs w:val="20"/>
          <w:lang w:val="en-CA"/>
        </w:rPr>
        <w:t>The field methodology will follow the recommendations of the IPCC, which has published a field manual on measures to estimate carbon stocks</w:t>
      </w:r>
      <w:r w:rsidRPr="000D4277">
        <w:rPr>
          <w:rStyle w:val="Appelnotedebasdep"/>
          <w:rFonts w:ascii="Calibri" w:hAnsi="Calibri"/>
          <w:szCs w:val="20"/>
          <w:lang w:val="fr-CA"/>
        </w:rPr>
        <w:footnoteReference w:id="44"/>
      </w:r>
      <w:r w:rsidRPr="000D4277">
        <w:rPr>
          <w:rFonts w:ascii="Calibri" w:hAnsi="Calibri"/>
          <w:sz w:val="20"/>
          <w:szCs w:val="20"/>
          <w:lang w:val="en-CA"/>
        </w:rPr>
        <w:t>.</w:t>
      </w:r>
    </w:p>
    <w:p w14:paraId="69961532" w14:textId="77777777" w:rsidR="00302BFE" w:rsidRPr="000D4277"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CA"/>
        </w:rPr>
      </w:pPr>
      <w:r w:rsidRPr="000D4277">
        <w:rPr>
          <w:rFonts w:ascii="Calibri" w:hAnsi="Calibri"/>
          <w:sz w:val="20"/>
          <w:szCs w:val="20"/>
          <w:lang w:val="en-CA"/>
        </w:rPr>
        <w:t xml:space="preserve">Initially, the project will </w:t>
      </w:r>
      <w:r w:rsidR="00502220" w:rsidRPr="000D4277">
        <w:rPr>
          <w:rFonts w:ascii="Calibri" w:hAnsi="Calibri"/>
          <w:sz w:val="20"/>
          <w:szCs w:val="20"/>
          <w:lang w:val="en-CA"/>
        </w:rPr>
        <w:t xml:space="preserve">recruit a forest engineer/REDD+ specialist to be supported by field assistants to </w:t>
      </w:r>
      <w:r w:rsidRPr="000D4277">
        <w:rPr>
          <w:rFonts w:ascii="Calibri" w:hAnsi="Calibri"/>
          <w:sz w:val="20"/>
          <w:szCs w:val="20"/>
          <w:lang w:val="en-CA"/>
        </w:rPr>
        <w:t>assess the availability of forest inventory data for the forest types in the PONASI landscape, both within protected areas and communal land and villagers and private lands, to deploy MRV process in all the forest types in the PONASI landscape. The evaluation of the baseline will use data from remote sensing, complemented by direct field sampling. The project will follow protocols on field methods and sampling strategies developed by the FIP</w:t>
      </w:r>
      <w:r w:rsidR="00502220" w:rsidRPr="000D4277">
        <w:rPr>
          <w:rFonts w:ascii="Calibri" w:hAnsi="Calibri"/>
          <w:sz w:val="20"/>
          <w:szCs w:val="20"/>
          <w:lang w:val="en-CA"/>
        </w:rPr>
        <w:t>.</w:t>
      </w:r>
      <w:r w:rsidRPr="000D4277">
        <w:rPr>
          <w:rFonts w:ascii="Calibri" w:hAnsi="Calibri"/>
          <w:sz w:val="20"/>
          <w:szCs w:val="20"/>
          <w:lang w:val="en-CA"/>
        </w:rPr>
        <w:t xml:space="preserve"> </w:t>
      </w:r>
      <w:r w:rsidR="00502220" w:rsidRPr="000D4277">
        <w:rPr>
          <w:rFonts w:ascii="Calibri" w:hAnsi="Calibri"/>
          <w:sz w:val="20"/>
          <w:szCs w:val="20"/>
          <w:lang w:val="en-CA"/>
        </w:rPr>
        <w:t>P</w:t>
      </w:r>
      <w:r w:rsidRPr="000D4277">
        <w:rPr>
          <w:rFonts w:ascii="Calibri" w:hAnsi="Calibri"/>
          <w:sz w:val="20"/>
          <w:szCs w:val="20"/>
          <w:lang w:val="en-CA"/>
        </w:rPr>
        <w:t xml:space="preserve">ermanent sampling plots will be identified </w:t>
      </w:r>
      <w:r w:rsidR="00502220" w:rsidRPr="000D4277">
        <w:rPr>
          <w:rFonts w:ascii="Calibri" w:hAnsi="Calibri"/>
          <w:sz w:val="20"/>
          <w:szCs w:val="20"/>
          <w:lang w:val="en-CA"/>
        </w:rPr>
        <w:t xml:space="preserve">within the PONASI landscape </w:t>
      </w:r>
      <w:r w:rsidRPr="000D4277">
        <w:rPr>
          <w:rFonts w:ascii="Calibri" w:hAnsi="Calibri"/>
          <w:sz w:val="20"/>
          <w:szCs w:val="20"/>
          <w:lang w:val="en-CA"/>
        </w:rPr>
        <w:t xml:space="preserve">to enable tracking of carbon stocks on a rigorous basis. </w:t>
      </w:r>
      <w:r w:rsidR="00502220" w:rsidRPr="000D4277">
        <w:rPr>
          <w:rFonts w:ascii="Calibri" w:hAnsi="Calibri"/>
          <w:sz w:val="20"/>
          <w:szCs w:val="20"/>
          <w:lang w:val="en-CA"/>
        </w:rPr>
        <w:t>To</w:t>
      </w:r>
      <w:r w:rsidRPr="000D4277">
        <w:rPr>
          <w:rFonts w:ascii="Calibri" w:hAnsi="Calibri"/>
          <w:sz w:val="20"/>
          <w:szCs w:val="20"/>
          <w:lang w:val="en-CA"/>
        </w:rPr>
        <w:t xml:space="preserve"> document a</w:t>
      </w:r>
      <w:r w:rsidR="00502220" w:rsidRPr="000D4277">
        <w:rPr>
          <w:rFonts w:ascii="Calibri" w:hAnsi="Calibri"/>
          <w:sz w:val="20"/>
          <w:szCs w:val="20"/>
          <w:lang w:val="en-CA"/>
        </w:rPr>
        <w:t>ll</w:t>
      </w:r>
      <w:r w:rsidRPr="000D4277">
        <w:rPr>
          <w:rFonts w:ascii="Calibri" w:hAnsi="Calibri"/>
          <w:sz w:val="20"/>
          <w:szCs w:val="20"/>
          <w:lang w:val="en-CA"/>
        </w:rPr>
        <w:t xml:space="preserve"> type</w:t>
      </w:r>
      <w:r w:rsidR="00502220" w:rsidRPr="000D4277">
        <w:rPr>
          <w:rFonts w:ascii="Calibri" w:hAnsi="Calibri"/>
          <w:sz w:val="20"/>
          <w:szCs w:val="20"/>
          <w:lang w:val="en-CA"/>
        </w:rPr>
        <w:t>s</w:t>
      </w:r>
      <w:r w:rsidRPr="000D4277">
        <w:rPr>
          <w:rFonts w:ascii="Calibri" w:hAnsi="Calibri"/>
          <w:sz w:val="20"/>
          <w:szCs w:val="20"/>
          <w:lang w:val="en-CA"/>
        </w:rPr>
        <w:t xml:space="preserve"> of land-use change</w:t>
      </w:r>
      <w:r w:rsidR="00502220" w:rsidRPr="000D4277">
        <w:rPr>
          <w:rFonts w:ascii="Calibri" w:hAnsi="Calibri"/>
          <w:sz w:val="20"/>
          <w:szCs w:val="20"/>
          <w:lang w:val="en-CA"/>
        </w:rPr>
        <w:t>, t</w:t>
      </w:r>
      <w:r w:rsidRPr="000D4277">
        <w:rPr>
          <w:rFonts w:ascii="Calibri" w:hAnsi="Calibri"/>
          <w:sz w:val="20"/>
          <w:szCs w:val="20"/>
          <w:lang w:val="en-CA"/>
        </w:rPr>
        <w:t xml:space="preserve">he project will </w:t>
      </w:r>
      <w:r w:rsidR="00502220" w:rsidRPr="000D4277">
        <w:rPr>
          <w:rFonts w:ascii="Calibri" w:hAnsi="Calibri"/>
          <w:sz w:val="20"/>
          <w:szCs w:val="20"/>
          <w:lang w:val="en-CA"/>
        </w:rPr>
        <w:t xml:space="preserve">collaborate with regional and commune services </w:t>
      </w:r>
      <w:r w:rsidR="00502220" w:rsidRPr="000D4277">
        <w:rPr>
          <w:rFonts w:ascii="Calibri" w:hAnsi="Calibri"/>
          <w:sz w:val="20"/>
          <w:szCs w:val="20"/>
          <w:lang w:val="en-CA"/>
        </w:rPr>
        <w:lastRenderedPageBreak/>
        <w:t xml:space="preserve">to </w:t>
      </w:r>
      <w:r w:rsidRPr="000D4277">
        <w:rPr>
          <w:rFonts w:ascii="Calibri" w:hAnsi="Calibri"/>
          <w:sz w:val="20"/>
          <w:szCs w:val="20"/>
          <w:lang w:val="en-CA"/>
        </w:rPr>
        <w:t xml:space="preserve">put in place a land use and change monitoring system to produce the data needed to estimate GHG emissions and </w:t>
      </w:r>
      <w:r w:rsidR="00502220" w:rsidRPr="000D4277">
        <w:rPr>
          <w:rFonts w:ascii="Calibri" w:hAnsi="Calibri"/>
          <w:sz w:val="20"/>
          <w:szCs w:val="20"/>
          <w:lang w:val="en-CA"/>
        </w:rPr>
        <w:t>uptakes</w:t>
      </w:r>
      <w:r w:rsidRPr="000D4277">
        <w:rPr>
          <w:rFonts w:ascii="Calibri" w:hAnsi="Calibri"/>
          <w:sz w:val="20"/>
          <w:szCs w:val="20"/>
          <w:lang w:val="en-CA"/>
        </w:rPr>
        <w:t xml:space="preserve">. This work will produce a reference map of the forest area and other land uses </w:t>
      </w:r>
      <w:r w:rsidR="00502220" w:rsidRPr="000D4277">
        <w:rPr>
          <w:rFonts w:ascii="Calibri" w:hAnsi="Calibri"/>
          <w:sz w:val="20"/>
          <w:szCs w:val="20"/>
          <w:lang w:val="en-CA"/>
        </w:rPr>
        <w:t>that will facilitate</w:t>
      </w:r>
      <w:r w:rsidRPr="000D4277">
        <w:rPr>
          <w:rFonts w:ascii="Calibri" w:hAnsi="Calibri"/>
          <w:sz w:val="20"/>
          <w:szCs w:val="20"/>
          <w:lang w:val="en-CA"/>
        </w:rPr>
        <w:t xml:space="preserve"> ground-truthing assessments of carbon stocks in different types of forests and other land uses.</w:t>
      </w:r>
    </w:p>
    <w:p w14:paraId="3DB7FC00" w14:textId="57C809AF" w:rsidR="00302BFE" w:rsidRPr="000D4277" w:rsidRDefault="00DD4E18"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0D4277">
        <w:rPr>
          <w:rFonts w:ascii="Calibri" w:hAnsi="Calibri"/>
          <w:sz w:val="20"/>
          <w:szCs w:val="20"/>
          <w:lang w:val="en-CA"/>
        </w:rPr>
        <w:t>The project will recruit a F</w:t>
      </w:r>
      <w:r w:rsidR="00F50FA8" w:rsidRPr="000D4277">
        <w:rPr>
          <w:rFonts w:ascii="Calibri" w:hAnsi="Calibri"/>
          <w:sz w:val="20"/>
          <w:szCs w:val="20"/>
          <w:lang w:val="en-CA"/>
        </w:rPr>
        <w:t xml:space="preserve">orest </w:t>
      </w:r>
      <w:r w:rsidRPr="000D4277">
        <w:rPr>
          <w:rFonts w:ascii="Calibri" w:hAnsi="Calibri"/>
          <w:sz w:val="20"/>
          <w:szCs w:val="20"/>
          <w:lang w:val="en-CA"/>
        </w:rPr>
        <w:t>E</w:t>
      </w:r>
      <w:r w:rsidR="00F50FA8" w:rsidRPr="000D4277">
        <w:rPr>
          <w:rFonts w:ascii="Calibri" w:hAnsi="Calibri"/>
          <w:sz w:val="20"/>
          <w:szCs w:val="20"/>
          <w:lang w:val="en-CA"/>
        </w:rPr>
        <w:t xml:space="preserve">ngineer/REDD+ </w:t>
      </w:r>
      <w:r w:rsidRPr="000D4277">
        <w:rPr>
          <w:rFonts w:ascii="Calibri" w:hAnsi="Calibri"/>
          <w:sz w:val="20"/>
          <w:szCs w:val="20"/>
          <w:lang w:val="en-CA"/>
        </w:rPr>
        <w:t>S</w:t>
      </w:r>
      <w:r w:rsidR="00F50FA8" w:rsidRPr="000D4277">
        <w:rPr>
          <w:rFonts w:ascii="Calibri" w:hAnsi="Calibri"/>
          <w:sz w:val="20"/>
          <w:szCs w:val="20"/>
          <w:lang w:val="en-CA"/>
        </w:rPr>
        <w:t xml:space="preserve">pecialist </w:t>
      </w:r>
      <w:r w:rsidRPr="000D4277">
        <w:rPr>
          <w:rFonts w:ascii="Calibri" w:hAnsi="Calibri"/>
          <w:sz w:val="20"/>
          <w:szCs w:val="20"/>
          <w:lang w:val="en-CA"/>
        </w:rPr>
        <w:t>to carry out t</w:t>
      </w:r>
      <w:r w:rsidR="00302BFE" w:rsidRPr="000D4277">
        <w:rPr>
          <w:rFonts w:ascii="Calibri" w:hAnsi="Calibri"/>
          <w:sz w:val="20"/>
          <w:szCs w:val="20"/>
          <w:lang w:val="en-GB"/>
        </w:rPr>
        <w:t xml:space="preserve">he estimation of carbon stocks in the PONASI landscape using the carbon mapping, measurement and monitoring tools developed and implemented as part of the Forestry Investment Program </w:t>
      </w:r>
      <w:r w:rsidR="00302BFE" w:rsidRPr="00A63E29">
        <w:rPr>
          <w:rFonts w:ascii="Calibri" w:hAnsi="Calibri"/>
          <w:sz w:val="20"/>
          <w:szCs w:val="20"/>
          <w:highlight w:val="yellow"/>
          <w:lang w:val="en-GB"/>
        </w:rPr>
        <w:t>(</w:t>
      </w:r>
      <w:r w:rsidR="003248C8" w:rsidRPr="00A63E29">
        <w:rPr>
          <w:rFonts w:ascii="Calibri" w:hAnsi="Calibri"/>
          <w:sz w:val="20"/>
          <w:szCs w:val="20"/>
          <w:highlight w:val="yellow"/>
          <w:lang w:val="en-GB"/>
        </w:rPr>
        <w:t>P</w:t>
      </w:r>
      <w:r w:rsidR="00302BFE" w:rsidRPr="00A63E29">
        <w:rPr>
          <w:rFonts w:ascii="Calibri" w:hAnsi="Calibri"/>
          <w:sz w:val="20"/>
          <w:szCs w:val="20"/>
          <w:highlight w:val="yellow"/>
          <w:lang w:val="en-GB"/>
        </w:rPr>
        <w:t>I</w:t>
      </w:r>
      <w:r w:rsidR="003248C8" w:rsidRPr="00A63E29">
        <w:rPr>
          <w:rFonts w:ascii="Calibri" w:hAnsi="Calibri"/>
          <w:sz w:val="20"/>
          <w:szCs w:val="20"/>
          <w:highlight w:val="yellow"/>
          <w:lang w:val="en-GB"/>
        </w:rPr>
        <w:t>F</w:t>
      </w:r>
      <w:r w:rsidR="00302BFE" w:rsidRPr="00A63E29">
        <w:rPr>
          <w:rFonts w:ascii="Calibri" w:hAnsi="Calibri"/>
          <w:sz w:val="20"/>
          <w:szCs w:val="20"/>
          <w:highlight w:val="yellow"/>
          <w:lang w:val="en-GB"/>
        </w:rPr>
        <w:t>)</w:t>
      </w:r>
      <w:r w:rsidR="00302BFE" w:rsidRPr="000D4277">
        <w:rPr>
          <w:rFonts w:ascii="Calibri" w:hAnsi="Calibri"/>
          <w:sz w:val="20"/>
          <w:szCs w:val="20"/>
          <w:lang w:val="en-GB"/>
        </w:rPr>
        <w:t xml:space="preserve">. These estimates will be based on applicable international models and updated data from the second National Forest Inventory (IFN2, 2014) and will contribute to the assessment of benefits from different land use scenarios as part of the development of the landscape management plan. The use of the TESSA tool will be coupled with the deployment of the MRV system within the landscape in coordination with the FIP which has already set up this measurement system in the Nazinon classified forest. </w:t>
      </w:r>
      <w:r w:rsidR="00B53B50" w:rsidRPr="000D4277">
        <w:rPr>
          <w:rFonts w:ascii="Calibri" w:hAnsi="Calibri"/>
          <w:sz w:val="20"/>
          <w:szCs w:val="20"/>
          <w:lang w:val="en-GB"/>
        </w:rPr>
        <w:t xml:space="preserve">Two </w:t>
      </w:r>
      <w:r w:rsidR="00B53B50" w:rsidRPr="000D4277">
        <w:rPr>
          <w:rFonts w:ascii="Calibri" w:hAnsi="Calibri"/>
          <w:sz w:val="20"/>
          <w:szCs w:val="20"/>
          <w:lang w:val="en-CA"/>
        </w:rPr>
        <w:t>Field Assistants will provide support to the Forest Engineer in the field assessment of carbon stocks in the forest areas of the PONASI landscape, support the establishment of baseline situation on the basis of data of the forest inventory, and field verification of land use, to support monitoring and documenting changes in land and forest use at the project mid term and end.</w:t>
      </w:r>
    </w:p>
    <w:p w14:paraId="564B67DC" w14:textId="4BF50CE1" w:rsidR="00302BFE" w:rsidRPr="003248C8"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CA"/>
        </w:rPr>
      </w:pPr>
      <w:r w:rsidRPr="005F3825">
        <w:rPr>
          <w:rFonts w:ascii="Calibri" w:hAnsi="Calibri"/>
          <w:sz w:val="20"/>
          <w:szCs w:val="20"/>
          <w:lang w:val="en-CA"/>
        </w:rPr>
        <w:t>The ongoing process at the national level for carbon stock estimates and documentation does not involve communities but the project will evaluate the opportunity to integrate local communities in MRV. The integration of local communities, while requiring a strong process of stakeholder engagement and capacity building, can have real benefits for improving the sustainability of local forest management by generating medium-term benefits for local communities while generating long-term global benefits.</w:t>
      </w:r>
      <w:r w:rsidR="00764DD0">
        <w:rPr>
          <w:rFonts w:ascii="Calibri" w:hAnsi="Calibri"/>
          <w:sz w:val="20"/>
          <w:szCs w:val="20"/>
          <w:lang w:val="en-CA"/>
        </w:rPr>
        <w:t xml:space="preserve"> </w:t>
      </w:r>
      <w:r w:rsidR="00764DD0" w:rsidRPr="00A63E29">
        <w:rPr>
          <w:rFonts w:ascii="Calibri" w:hAnsi="Calibri"/>
          <w:sz w:val="20"/>
          <w:szCs w:val="20"/>
          <w:lang w:val="en-CA"/>
        </w:rPr>
        <w:t>Where communities are engaged in MRV activities and corresponding training, care will be taken to respect guidelines on maximum group numbers, social distancing, hygiene measures etc. and to include COVID related contents (eg hand-washing, face masks, etc) into training programs where possible.</w:t>
      </w:r>
      <w:r w:rsidR="00764DD0" w:rsidRPr="003248C8">
        <w:rPr>
          <w:rFonts w:ascii="Calibri" w:hAnsi="Calibri"/>
          <w:sz w:val="20"/>
          <w:szCs w:val="20"/>
          <w:lang w:val="en-CA"/>
        </w:rPr>
        <w:t xml:space="preserve"> </w:t>
      </w:r>
    </w:p>
    <w:p w14:paraId="25DC574A" w14:textId="77777777" w:rsidR="00302BFE" w:rsidRPr="005F382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5F3825">
        <w:rPr>
          <w:rFonts w:ascii="Calibri" w:hAnsi="Calibri"/>
          <w:sz w:val="20"/>
          <w:szCs w:val="20"/>
          <w:lang w:val="en-GB"/>
        </w:rPr>
        <w:t>The monitoring and the effective documentation of the actions carried out in the various territorial units of the PONASI landscape will have to be clearly inscribed in the sustainable and equitable management prescriptions which will be contained in one form or the other of a joint agreement: local charters, specifications or standard management contracts (see output 1.5). This will involve State structures (OFINAP, DGEF, DREEVCC), State projects and programs as well as non-governmental partners conducting actions in the project area affecting the conservation and sustainable management of ecosystems and lands in general, CAFs and private actors</w:t>
      </w:r>
      <w:r w:rsidRPr="005F3825">
        <w:rPr>
          <w:rFonts w:ascii="Calibri" w:eastAsia="Times New Roman" w:hAnsi="Calibri"/>
          <w:color w:val="000000"/>
          <w:sz w:val="20"/>
          <w:szCs w:val="20"/>
          <w:lang w:val="en-GB"/>
        </w:rPr>
        <w:t>.</w:t>
      </w:r>
    </w:p>
    <w:p w14:paraId="110D68BC" w14:textId="5CA6B288" w:rsidR="00302BFE" w:rsidRDefault="00302BFE" w:rsidP="00302BFE">
      <w:pPr>
        <w:pStyle w:val="Paragraphedeliste"/>
        <w:tabs>
          <w:tab w:val="left" w:pos="284"/>
        </w:tabs>
        <w:spacing w:before="240" w:after="120"/>
        <w:ind w:left="0"/>
        <w:jc w:val="both"/>
        <w:rPr>
          <w:rFonts w:ascii="Calibri" w:hAnsi="Calibri"/>
          <w:b/>
          <w:sz w:val="20"/>
          <w:szCs w:val="20"/>
          <w:lang w:val="en-GB"/>
        </w:rPr>
      </w:pPr>
      <w:r w:rsidRPr="005F3825">
        <w:rPr>
          <w:rFonts w:ascii="Calibri" w:hAnsi="Calibri"/>
          <w:b/>
          <w:sz w:val="20"/>
          <w:szCs w:val="20"/>
          <w:lang w:val="en-GB"/>
        </w:rPr>
        <w:t>Output 1.4 Development of the PONASI Landscape Management Master Plan to guide the management of the PONASI landscape over the next 15 years</w:t>
      </w:r>
    </w:p>
    <w:p w14:paraId="68565CD3" w14:textId="6A15D64D" w:rsidR="004F4706" w:rsidRPr="003F4704" w:rsidRDefault="004F4706" w:rsidP="004F4706">
      <w:pPr>
        <w:spacing w:before="120" w:after="0"/>
        <w:contextualSpacing/>
        <w:rPr>
          <w:bCs/>
          <w:szCs w:val="20"/>
          <w:highlight w:val="green"/>
          <w:lang w:val="en-GB"/>
        </w:rPr>
      </w:pPr>
      <w:r w:rsidRPr="003F4704">
        <w:rPr>
          <w:bCs/>
          <w:szCs w:val="20"/>
          <w:highlight w:val="green"/>
          <w:lang w:val="en-GB"/>
        </w:rPr>
        <w:t>To assess and manage the impacts of this Output, as indicated in the SESP – in attachment to the ProDoc – the following assessment and management processes will be put in place, to comply with UNDP SES:</w:t>
      </w:r>
    </w:p>
    <w:p w14:paraId="64BCBCDF" w14:textId="77777777" w:rsidR="00C97C6D" w:rsidRPr="003F4704" w:rsidRDefault="00C97C6D" w:rsidP="00C97C6D">
      <w:pPr>
        <w:spacing w:before="120" w:after="0"/>
        <w:contextualSpacing/>
        <w:rPr>
          <w:bCs/>
          <w:szCs w:val="20"/>
          <w:highlight w:val="green"/>
          <w:u w:val="single"/>
          <w:lang w:val="en-GB"/>
        </w:rPr>
      </w:pPr>
      <w:r w:rsidRPr="003F4704">
        <w:rPr>
          <w:bCs/>
          <w:szCs w:val="20"/>
          <w:highlight w:val="green"/>
          <w:u w:val="single"/>
          <w:lang w:val="en-GB"/>
        </w:rPr>
        <w:t>Assessments:</w:t>
      </w:r>
    </w:p>
    <w:p w14:paraId="37A6AEF7" w14:textId="77777777" w:rsidR="00C97C6D" w:rsidRPr="003F4704" w:rsidRDefault="00C97C6D" w:rsidP="00C97C6D">
      <w:pPr>
        <w:spacing w:before="120" w:after="0"/>
        <w:contextualSpacing/>
        <w:rPr>
          <w:bCs/>
          <w:szCs w:val="20"/>
          <w:highlight w:val="green"/>
          <w:lang w:val="en-GB"/>
        </w:rPr>
      </w:pPr>
      <w:r w:rsidRPr="003F4704">
        <w:rPr>
          <w:bCs/>
          <w:szCs w:val="20"/>
          <w:highlight w:val="green"/>
          <w:lang w:val="en-GB"/>
        </w:rPr>
        <w:t>SESA (Strategic Social and Environmental Assessment)</w:t>
      </w:r>
    </w:p>
    <w:p w14:paraId="1092FCDF" w14:textId="77777777" w:rsidR="00C97C6D" w:rsidRPr="003F4704" w:rsidRDefault="00C97C6D" w:rsidP="00C97C6D">
      <w:pPr>
        <w:spacing w:before="120" w:after="0"/>
        <w:contextualSpacing/>
        <w:rPr>
          <w:bCs/>
          <w:szCs w:val="20"/>
          <w:highlight w:val="green"/>
          <w:lang w:val="en-GB"/>
        </w:rPr>
      </w:pPr>
      <w:r w:rsidRPr="003F4704">
        <w:rPr>
          <w:highlight w:val="green"/>
        </w:rPr>
        <w:t>ESIA (Environmental and Social Impact Assessment)</w:t>
      </w:r>
    </w:p>
    <w:p w14:paraId="71FBA0E5" w14:textId="77777777" w:rsidR="00C97C6D" w:rsidRPr="003F4704" w:rsidRDefault="00C97C6D" w:rsidP="00C97C6D">
      <w:pPr>
        <w:spacing w:before="120" w:after="0"/>
        <w:contextualSpacing/>
        <w:rPr>
          <w:highlight w:val="green"/>
          <w:u w:val="single"/>
        </w:rPr>
      </w:pPr>
      <w:r w:rsidRPr="003F4704">
        <w:rPr>
          <w:highlight w:val="green"/>
          <w:u w:val="single"/>
        </w:rPr>
        <w:t>Management:</w:t>
      </w:r>
    </w:p>
    <w:p w14:paraId="5D585FA2" w14:textId="77777777" w:rsidR="00C97C6D" w:rsidRPr="003F4704" w:rsidRDefault="00C97C6D" w:rsidP="00C97C6D">
      <w:pPr>
        <w:spacing w:before="120" w:after="120"/>
        <w:contextualSpacing/>
        <w:rPr>
          <w:rFonts w:asciiTheme="minorHAnsi" w:hAnsiTheme="minorHAnsi" w:cstheme="minorHAnsi"/>
          <w:szCs w:val="20"/>
          <w:highlight w:val="green"/>
        </w:rPr>
      </w:pPr>
      <w:r w:rsidRPr="003F4704">
        <w:rPr>
          <w:rFonts w:asciiTheme="minorHAnsi" w:hAnsiTheme="minorHAnsi" w:cstheme="minorHAnsi"/>
          <w:szCs w:val="20"/>
          <w:highlight w:val="green"/>
        </w:rPr>
        <w:t>SESA report and recommendations (Actions Matrix)</w:t>
      </w:r>
    </w:p>
    <w:p w14:paraId="2259C02A" w14:textId="77777777" w:rsidR="00C97C6D" w:rsidRPr="003F4704" w:rsidRDefault="00C97C6D" w:rsidP="00C97C6D">
      <w:pPr>
        <w:spacing w:before="120" w:after="120"/>
        <w:contextualSpacing/>
        <w:rPr>
          <w:rFonts w:asciiTheme="minorHAnsi" w:hAnsiTheme="minorHAnsi" w:cstheme="minorHAnsi"/>
          <w:szCs w:val="20"/>
          <w:highlight w:val="green"/>
        </w:rPr>
      </w:pPr>
      <w:r w:rsidRPr="003F4704">
        <w:rPr>
          <w:rFonts w:asciiTheme="minorHAnsi" w:hAnsiTheme="minorHAnsi" w:cstheme="minorHAnsi"/>
          <w:szCs w:val="20"/>
          <w:highlight w:val="green"/>
        </w:rPr>
        <w:t>Comprehensive Stakeholder Engagement Plan</w:t>
      </w:r>
    </w:p>
    <w:p w14:paraId="682DDDD4" w14:textId="77777777" w:rsidR="00C97C6D" w:rsidRPr="003F4704" w:rsidRDefault="00C97C6D" w:rsidP="00C97C6D">
      <w:pPr>
        <w:spacing w:before="120" w:after="120"/>
        <w:contextualSpacing/>
        <w:rPr>
          <w:rFonts w:asciiTheme="minorHAnsi" w:hAnsiTheme="minorHAnsi" w:cstheme="minorHAnsi"/>
          <w:szCs w:val="20"/>
          <w:highlight w:val="green"/>
        </w:rPr>
      </w:pPr>
      <w:r w:rsidRPr="003F4704">
        <w:rPr>
          <w:rFonts w:asciiTheme="minorHAnsi" w:hAnsiTheme="minorHAnsi" w:cstheme="minorHAnsi"/>
          <w:szCs w:val="20"/>
          <w:highlight w:val="green"/>
        </w:rPr>
        <w:t>Indigenous People Plan</w:t>
      </w:r>
    </w:p>
    <w:p w14:paraId="42A3EE4C" w14:textId="77777777" w:rsidR="00C97C6D" w:rsidRPr="003F4704" w:rsidRDefault="00C97C6D" w:rsidP="00C97C6D">
      <w:pPr>
        <w:spacing w:before="120" w:after="120"/>
        <w:contextualSpacing/>
        <w:rPr>
          <w:rFonts w:asciiTheme="minorHAnsi" w:hAnsiTheme="minorHAnsi" w:cstheme="minorHAnsi"/>
          <w:szCs w:val="20"/>
          <w:highlight w:val="green"/>
        </w:rPr>
      </w:pPr>
      <w:r w:rsidRPr="003F4704">
        <w:rPr>
          <w:rFonts w:asciiTheme="minorHAnsi" w:hAnsiTheme="minorHAnsi" w:cstheme="minorHAnsi"/>
          <w:szCs w:val="20"/>
          <w:highlight w:val="green"/>
        </w:rPr>
        <w:t xml:space="preserve">Gender Action Plan </w:t>
      </w:r>
    </w:p>
    <w:p w14:paraId="021BE8FF" w14:textId="79BED96B" w:rsidR="00C97C6D" w:rsidRPr="00BE65D5" w:rsidRDefault="00C97C6D" w:rsidP="00BE65D5">
      <w:pPr>
        <w:spacing w:before="120"/>
        <w:contextualSpacing/>
        <w:rPr>
          <w:bCs/>
          <w:szCs w:val="20"/>
          <w:highlight w:val="green"/>
          <w:lang w:val="en-GB"/>
        </w:rPr>
      </w:pPr>
      <w:r w:rsidRPr="003F4704">
        <w:rPr>
          <w:rFonts w:asciiTheme="minorHAnsi" w:hAnsiTheme="minorHAnsi" w:cstheme="minorHAnsi"/>
          <w:szCs w:val="20"/>
          <w:highlight w:val="green"/>
        </w:rPr>
        <w:t>ESMP</w:t>
      </w:r>
    </w:p>
    <w:p w14:paraId="4A77A646" w14:textId="751F34D2" w:rsidR="00302BFE" w:rsidRPr="003F4704" w:rsidRDefault="00302BFE" w:rsidP="00302BFE">
      <w:pPr>
        <w:pStyle w:val="Paragraphedeliste"/>
        <w:tabs>
          <w:tab w:val="left" w:pos="284"/>
        </w:tabs>
        <w:spacing w:before="120" w:after="120"/>
        <w:ind w:left="0"/>
        <w:jc w:val="both"/>
        <w:rPr>
          <w:rFonts w:ascii="Calibri" w:hAnsi="Calibri"/>
          <w:i/>
          <w:color w:val="4472C4"/>
          <w:sz w:val="20"/>
          <w:szCs w:val="20"/>
          <w:highlight w:val="green"/>
          <w:lang w:val="en-GB"/>
        </w:rPr>
      </w:pPr>
      <w:r w:rsidRPr="003F4704">
        <w:rPr>
          <w:rFonts w:ascii="Calibri" w:hAnsi="Calibri"/>
          <w:i/>
          <w:color w:val="4472C4"/>
          <w:sz w:val="20"/>
          <w:szCs w:val="20"/>
          <w:highlight w:val="green"/>
          <w:lang w:val="en-GB"/>
        </w:rPr>
        <w:t>1.4.1 Development of the PONASI Landscape Management Master Plan</w:t>
      </w:r>
    </w:p>
    <w:p w14:paraId="493A555F" w14:textId="76D0E630" w:rsidR="001F23E3" w:rsidRPr="00BE65D5" w:rsidRDefault="001F23E3" w:rsidP="00BE65D5">
      <w:pPr>
        <w:spacing w:before="120" w:after="120"/>
        <w:rPr>
          <w:iCs/>
          <w:color w:val="4472C4"/>
          <w:szCs w:val="20"/>
          <w:lang w:val="en-GB"/>
        </w:rPr>
      </w:pPr>
      <w:r w:rsidRPr="003F4704">
        <w:rPr>
          <w:iCs/>
          <w:color w:val="4472C4"/>
          <w:szCs w:val="20"/>
          <w:highlight w:val="green"/>
          <w:lang w:val="en-GB"/>
        </w:rPr>
        <w:t>For this activity, the FPIC (Free, Prior and Informed Consent) process has to be ensured</w:t>
      </w:r>
    </w:p>
    <w:p w14:paraId="6B32AB30" w14:textId="77777777" w:rsidR="00F50FA8" w:rsidRPr="00FA524C" w:rsidRDefault="00F50FA8"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FA524C">
        <w:rPr>
          <w:rFonts w:ascii="Calibri" w:hAnsi="Calibri"/>
          <w:sz w:val="20"/>
          <w:szCs w:val="20"/>
          <w:lang w:val="en-GB"/>
        </w:rPr>
        <w:t xml:space="preserve">The development of the PONASI Landscape Management Master Plan and the environmental land use planning process will be contracted out to an International Expert in Environmental Land Use Planning supported by a national Environmental Land Use Planning Specialist. The Master Plan will incorporate the findings of the environmental land use planning process. Its elaboration will involve closely all the stakeholders including the local authorities (Regions and Communes). The process and its conclusions will involve at least two validation steps by the co-governance mechanism, i.e. the validation of the terms of reference of the firm responsible for developing the Master Plan and the validation of the Master Plan itself. For efficiency and effectiveness purposes, the same </w:t>
      </w:r>
      <w:r>
        <w:rPr>
          <w:rFonts w:ascii="Calibri" w:hAnsi="Calibri"/>
          <w:sz w:val="20"/>
          <w:szCs w:val="20"/>
          <w:lang w:val="en-GB"/>
        </w:rPr>
        <w:t>international expert</w:t>
      </w:r>
      <w:r w:rsidRPr="00FA524C">
        <w:rPr>
          <w:rFonts w:ascii="Calibri" w:hAnsi="Calibri"/>
          <w:sz w:val="20"/>
          <w:szCs w:val="20"/>
          <w:lang w:val="en-GB"/>
        </w:rPr>
        <w:t xml:space="preserve"> </w:t>
      </w:r>
      <w:r>
        <w:rPr>
          <w:rFonts w:ascii="Calibri" w:hAnsi="Calibri"/>
          <w:sz w:val="20"/>
          <w:szCs w:val="20"/>
          <w:lang w:val="en-GB"/>
        </w:rPr>
        <w:t>will</w:t>
      </w:r>
      <w:r w:rsidRPr="00FA524C">
        <w:rPr>
          <w:rFonts w:ascii="Calibri" w:hAnsi="Calibri"/>
          <w:sz w:val="20"/>
          <w:szCs w:val="20"/>
          <w:lang w:val="en-GB"/>
        </w:rPr>
        <w:t xml:space="preserve"> be asked to (i) train stakeholders </w:t>
      </w:r>
      <w:r>
        <w:rPr>
          <w:rFonts w:ascii="Calibri" w:hAnsi="Calibri"/>
          <w:sz w:val="20"/>
          <w:szCs w:val="20"/>
          <w:lang w:val="en-GB"/>
        </w:rPr>
        <w:t>o</w:t>
      </w:r>
      <w:r w:rsidRPr="00FA524C">
        <w:rPr>
          <w:rFonts w:ascii="Calibri" w:hAnsi="Calibri"/>
          <w:sz w:val="20"/>
          <w:szCs w:val="20"/>
          <w:lang w:val="en-GB"/>
        </w:rPr>
        <w:t>n the use of the TESSA tool</w:t>
      </w:r>
      <w:r>
        <w:rPr>
          <w:rFonts w:ascii="Calibri" w:hAnsi="Calibri"/>
          <w:sz w:val="20"/>
          <w:szCs w:val="20"/>
          <w:lang w:val="en-GB"/>
        </w:rPr>
        <w:t xml:space="preserve"> and on the landscape planning approach</w:t>
      </w:r>
      <w:r w:rsidRPr="00FA524C">
        <w:rPr>
          <w:rFonts w:ascii="Calibri" w:hAnsi="Calibri"/>
          <w:sz w:val="20"/>
          <w:szCs w:val="20"/>
          <w:lang w:val="en-GB"/>
        </w:rPr>
        <w:t xml:space="preserve">, (ii) </w:t>
      </w:r>
      <w:r>
        <w:rPr>
          <w:rFonts w:ascii="Calibri" w:hAnsi="Calibri"/>
          <w:sz w:val="20"/>
          <w:szCs w:val="20"/>
          <w:lang w:val="en-GB"/>
        </w:rPr>
        <w:t xml:space="preserve">guide and </w:t>
      </w:r>
      <w:r w:rsidRPr="00FA524C">
        <w:rPr>
          <w:rFonts w:ascii="Calibri" w:hAnsi="Calibri"/>
          <w:sz w:val="20"/>
          <w:szCs w:val="20"/>
          <w:lang w:val="en-GB"/>
        </w:rPr>
        <w:t xml:space="preserve">oversee the </w:t>
      </w:r>
      <w:r>
        <w:rPr>
          <w:rFonts w:ascii="Calibri" w:hAnsi="Calibri"/>
          <w:sz w:val="20"/>
          <w:szCs w:val="20"/>
          <w:lang w:val="en-GB"/>
        </w:rPr>
        <w:t xml:space="preserve">participatory process for the </w:t>
      </w:r>
      <w:r w:rsidRPr="00FA524C">
        <w:rPr>
          <w:rFonts w:ascii="Calibri" w:hAnsi="Calibri"/>
          <w:sz w:val="20"/>
          <w:szCs w:val="20"/>
          <w:lang w:val="en-GB"/>
        </w:rPr>
        <w:t>development the of landscape management master plan and (iii) oversee the integration of the requirements of sustainable and equitable management of the different territory units as well as monitoring mechanisms.</w:t>
      </w:r>
    </w:p>
    <w:p w14:paraId="11DE2F86" w14:textId="77777777" w:rsidR="00302BFE" w:rsidRPr="005F3825" w:rsidRDefault="00F50FA8"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F50FA8">
        <w:rPr>
          <w:rFonts w:ascii="Calibri" w:hAnsi="Calibri"/>
          <w:sz w:val="20"/>
          <w:szCs w:val="20"/>
          <w:lang w:val="en-GB"/>
        </w:rPr>
        <w:t>T</w:t>
      </w:r>
      <w:r w:rsidR="00302BFE" w:rsidRPr="005F3825">
        <w:rPr>
          <w:rFonts w:ascii="Calibri" w:hAnsi="Calibri"/>
          <w:sz w:val="20"/>
          <w:szCs w:val="20"/>
          <w:lang w:val="en-GB"/>
        </w:rPr>
        <w:t xml:space="preserve">he Master Plan </w:t>
      </w:r>
      <w:r>
        <w:rPr>
          <w:rFonts w:ascii="Calibri" w:hAnsi="Calibri"/>
          <w:sz w:val="20"/>
          <w:szCs w:val="20"/>
          <w:lang w:val="en-GB"/>
        </w:rPr>
        <w:t>will be</w:t>
      </w:r>
      <w:r w:rsidR="00302BFE" w:rsidRPr="005F3825">
        <w:rPr>
          <w:rFonts w:ascii="Calibri" w:hAnsi="Calibri"/>
          <w:sz w:val="20"/>
          <w:szCs w:val="20"/>
          <w:lang w:val="en-GB"/>
        </w:rPr>
        <w:t xml:space="preserve"> developed to guide the management of the PONASI landscape over the next 15 years using the territorial planning tool and carbon mapping tools. This plan will ensure the protection of critical wildlife habitats, including corridors, </w:t>
      </w:r>
      <w:r w:rsidR="00302BFE" w:rsidRPr="005F3825">
        <w:rPr>
          <w:rFonts w:ascii="Calibri" w:hAnsi="Calibri"/>
          <w:sz w:val="20"/>
          <w:szCs w:val="20"/>
          <w:lang w:val="en-GB"/>
        </w:rPr>
        <w:lastRenderedPageBreak/>
        <w:t>and the preservation of biodiversity and ecosystem services, taking full account of the reduction of GHG emissions. The PONASI Landscape Management Master Plan is the steering instrument that introduces the spatial dimension in strategic decision-making concerning the management of the PONASI complex. It will set out, in the form of general guidelines, the objectives and priority measures of landscape management in its different territorial units as defined in this project (PA, Corridors, ZOVICs, CAF, Community Forests, agro-pastoral lands, silvo-pastoral areas), that it will best translate in space in the form of a planning map. These guidelines will then guide all the stakeholders involved in the project in the definition of multiannual and annual actions and targets as foreseen in the results framework (see outputs of Components 2 and 3). The Management Master Plan will also include a financing plan, an elephant conservation plan (developed under output 2.4), Human-Wildlife Conflict Management Plan (developed under Output 2.4), and a tourism development plan based on a clear concession system (developed under output 3.4).</w:t>
      </w:r>
    </w:p>
    <w:p w14:paraId="13D1EE7D" w14:textId="77777777" w:rsidR="00302BFE" w:rsidRPr="005F382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5F3825">
        <w:rPr>
          <w:rFonts w:ascii="Calibri" w:hAnsi="Calibri"/>
          <w:sz w:val="20"/>
          <w:szCs w:val="20"/>
          <w:lang w:val="en-GB"/>
        </w:rPr>
        <w:t>As an inter-regional planning tool, the PONASI Landscape Management Master Plan will have to be articulated with the relevant and validated tools for planning and sustainable development of the territory whose scale covers all or part of the territory of the landscape. It should also articulate with the regional plans for planning and sustainable development of the territory</w:t>
      </w:r>
      <w:r w:rsidRPr="005F3825">
        <w:rPr>
          <w:rStyle w:val="Appelnotedebasdep"/>
          <w:rFonts w:ascii="Calibri" w:hAnsi="Calibri"/>
          <w:sz w:val="20"/>
          <w:szCs w:val="20"/>
        </w:rPr>
        <w:footnoteReference w:id="45"/>
      </w:r>
      <w:r w:rsidRPr="005F3825">
        <w:rPr>
          <w:rFonts w:ascii="Calibri" w:hAnsi="Calibri"/>
          <w:sz w:val="20"/>
          <w:szCs w:val="20"/>
          <w:lang w:val="en-GB"/>
        </w:rPr>
        <w:t xml:space="preserve">, regional development plans, communal development plans, including in particular the Integrated Ecosystem Management Plan in the neighbouring </w:t>
      </w:r>
      <w:r w:rsidR="009363D6">
        <w:rPr>
          <w:rFonts w:ascii="Calibri" w:hAnsi="Calibri"/>
          <w:sz w:val="20"/>
          <w:szCs w:val="20"/>
          <w:lang w:val="en-GB"/>
        </w:rPr>
        <w:t>communes</w:t>
      </w:r>
      <w:r w:rsidRPr="005F3825">
        <w:rPr>
          <w:rFonts w:ascii="Calibri" w:hAnsi="Calibri"/>
          <w:sz w:val="20"/>
          <w:szCs w:val="20"/>
          <w:lang w:val="en-GB"/>
        </w:rPr>
        <w:t xml:space="preserve"> of the PONASI complex developed under the PNGT2-3 project. The PONASI Landscape Management Master Plan can contribute to the improvement or adaptation of the visions, objectives and strategies of these planning documents, in connection with the particular requirements of sustainable management of the PONASI landscape.</w:t>
      </w:r>
    </w:p>
    <w:p w14:paraId="77B6FDD5" w14:textId="77777777" w:rsidR="00302BFE" w:rsidRPr="005F382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5F3825">
        <w:rPr>
          <w:rFonts w:ascii="Calibri" w:hAnsi="Calibri"/>
          <w:sz w:val="20"/>
          <w:szCs w:val="20"/>
          <w:lang w:val="en-GB"/>
        </w:rPr>
        <w:t>The PONASI Protected Area Complex has been registered as Burkina Faso RAMSAR Site No. 2366</w:t>
      </w:r>
      <w:r w:rsidRPr="005F3825">
        <w:rPr>
          <w:rStyle w:val="Appelnotedebasdep"/>
          <w:rFonts w:ascii="Calibri" w:hAnsi="Calibri"/>
          <w:sz w:val="20"/>
          <w:szCs w:val="20"/>
        </w:rPr>
        <w:footnoteReference w:id="46"/>
      </w:r>
      <w:r w:rsidRPr="005F3825">
        <w:rPr>
          <w:rFonts w:ascii="Calibri" w:hAnsi="Calibri"/>
          <w:sz w:val="20"/>
          <w:szCs w:val="20"/>
          <w:lang w:val="en-GB"/>
        </w:rPr>
        <w:t xml:space="preserve"> in November 2018, and steps are under way to register it as a UNESCO Biosphere Reserve. The development of the PONASI Landscape Management Master Plan will integrate the requirements of the RAMSAR Convention in terms of management plan, despite slight discrepancies between the areas covered by each of the designations.</w:t>
      </w:r>
    </w:p>
    <w:p w14:paraId="4234DF12" w14:textId="77777777" w:rsidR="00302BFE" w:rsidRPr="005F3825" w:rsidRDefault="00302BFE" w:rsidP="00302BFE">
      <w:pPr>
        <w:pStyle w:val="Paragraphedeliste"/>
        <w:tabs>
          <w:tab w:val="left" w:pos="284"/>
        </w:tabs>
        <w:spacing w:before="120" w:after="120"/>
        <w:ind w:left="0"/>
        <w:jc w:val="both"/>
        <w:rPr>
          <w:rFonts w:ascii="Calibri" w:hAnsi="Calibri"/>
          <w:color w:val="4472C4"/>
          <w:sz w:val="20"/>
          <w:szCs w:val="20"/>
          <w:lang w:val="en-GB"/>
        </w:rPr>
      </w:pPr>
      <w:r w:rsidRPr="005F3825">
        <w:rPr>
          <w:rFonts w:ascii="Calibri" w:hAnsi="Calibri"/>
          <w:i/>
          <w:color w:val="4472C4"/>
          <w:sz w:val="20"/>
          <w:szCs w:val="20"/>
          <w:lang w:val="en-GB"/>
        </w:rPr>
        <w:t>1.4.2 Approval of the PONASI Landscape Management Master Plan.</w:t>
      </w:r>
    </w:p>
    <w:p w14:paraId="015E97C6" w14:textId="77777777" w:rsidR="00302BFE" w:rsidRPr="000D4277"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0D4277">
        <w:rPr>
          <w:rFonts w:ascii="Calibri" w:hAnsi="Calibri"/>
          <w:sz w:val="20"/>
          <w:szCs w:val="20"/>
          <w:lang w:val="en-GB"/>
        </w:rPr>
        <w:t>The Master Plan will be approved by the Co-Governance Mechanism in view of its implementation. As a consensual multi-stakeholder working tool of the Project, its approval is not subject to any specific legal requirements, as stakeholder engagement gives it sufficient enforcement strength.</w:t>
      </w:r>
      <w:r w:rsidR="00B53B50" w:rsidRPr="000D4277">
        <w:rPr>
          <w:rFonts w:ascii="Calibri" w:hAnsi="Calibri"/>
          <w:sz w:val="20"/>
          <w:szCs w:val="20"/>
          <w:lang w:val="en-GB"/>
        </w:rPr>
        <w:t xml:space="preserve"> However, prior to approval, a legal consultant hired by the project will verify the compliance of the master plan with the national policy and legislative framework.</w:t>
      </w:r>
    </w:p>
    <w:p w14:paraId="24F13F6D" w14:textId="2BDA9CC1" w:rsidR="00302BFE" w:rsidRDefault="00302BFE" w:rsidP="00302BFE">
      <w:pPr>
        <w:pStyle w:val="Paragraphedeliste"/>
        <w:tabs>
          <w:tab w:val="left" w:pos="284"/>
        </w:tabs>
        <w:spacing w:before="120" w:after="120"/>
        <w:ind w:left="0"/>
        <w:jc w:val="both"/>
        <w:rPr>
          <w:rFonts w:ascii="Calibri" w:hAnsi="Calibri"/>
          <w:b/>
          <w:sz w:val="20"/>
          <w:szCs w:val="20"/>
          <w:lang w:val="en-GB"/>
        </w:rPr>
      </w:pPr>
      <w:r w:rsidRPr="00DA06FB">
        <w:rPr>
          <w:rFonts w:ascii="Calibri" w:hAnsi="Calibri"/>
          <w:b/>
          <w:sz w:val="20"/>
          <w:szCs w:val="20"/>
          <w:lang w:val="en-GB"/>
        </w:rPr>
        <w:t>Output 1.5 Sustainable and equitable management requirements for the different units of the territory, including effective enforcement and monitoring mechanisms, conflict prevention/management mechanisms, monitoring implementation compliance, monitoring of biodiversity and ecosystems, and a range of incentives and disincentives, support to the implementation of the PONASI Landscape Management Master Plan.</w:t>
      </w:r>
    </w:p>
    <w:p w14:paraId="60EE7788" w14:textId="26D42F1D" w:rsidR="004F4706" w:rsidRPr="003F4704" w:rsidRDefault="004F4706" w:rsidP="004F4706">
      <w:pPr>
        <w:spacing w:before="120" w:after="0"/>
        <w:contextualSpacing/>
        <w:rPr>
          <w:bCs/>
          <w:szCs w:val="20"/>
          <w:highlight w:val="green"/>
          <w:lang w:val="en-GB"/>
        </w:rPr>
      </w:pPr>
      <w:r w:rsidRPr="003F4704">
        <w:rPr>
          <w:bCs/>
          <w:szCs w:val="20"/>
          <w:highlight w:val="green"/>
          <w:lang w:val="en-GB"/>
        </w:rPr>
        <w:t>To assess and manage the impacts of this Output, as indicated in the SESP – in attachment to the ProDoc – the following assessment and management processes will be put in place, to comply with UNDP SES:</w:t>
      </w:r>
    </w:p>
    <w:p w14:paraId="376C8588" w14:textId="77777777" w:rsidR="004F4706" w:rsidRPr="003F4704" w:rsidRDefault="004F4706" w:rsidP="004F4706">
      <w:pPr>
        <w:spacing w:before="120" w:after="0"/>
        <w:contextualSpacing/>
        <w:rPr>
          <w:bCs/>
          <w:szCs w:val="20"/>
          <w:highlight w:val="green"/>
          <w:u w:val="single"/>
          <w:lang w:val="en-GB"/>
        </w:rPr>
      </w:pPr>
      <w:r w:rsidRPr="003F4704">
        <w:rPr>
          <w:bCs/>
          <w:szCs w:val="20"/>
          <w:highlight w:val="green"/>
          <w:u w:val="single"/>
          <w:lang w:val="en-GB"/>
        </w:rPr>
        <w:t>Assessments:</w:t>
      </w:r>
    </w:p>
    <w:p w14:paraId="594B862D" w14:textId="77777777" w:rsidR="004F4706" w:rsidRPr="003F4704" w:rsidRDefault="004F4706" w:rsidP="004F4706">
      <w:pPr>
        <w:spacing w:before="120" w:after="0"/>
        <w:contextualSpacing/>
        <w:rPr>
          <w:bCs/>
          <w:szCs w:val="20"/>
          <w:highlight w:val="green"/>
          <w:lang w:val="en-GB"/>
        </w:rPr>
      </w:pPr>
      <w:r w:rsidRPr="003F4704">
        <w:rPr>
          <w:bCs/>
          <w:szCs w:val="20"/>
          <w:highlight w:val="green"/>
          <w:lang w:val="en-GB"/>
        </w:rPr>
        <w:t>SESA (Strategic Social and Environmental Assessment)</w:t>
      </w:r>
    </w:p>
    <w:p w14:paraId="41674909" w14:textId="77777777" w:rsidR="004F4706" w:rsidRPr="003F4704" w:rsidRDefault="004F4706" w:rsidP="004F4706">
      <w:pPr>
        <w:spacing w:before="120" w:after="0"/>
        <w:contextualSpacing/>
        <w:rPr>
          <w:bCs/>
          <w:szCs w:val="20"/>
          <w:highlight w:val="green"/>
          <w:lang w:val="en-GB"/>
        </w:rPr>
      </w:pPr>
      <w:r w:rsidRPr="003F4704">
        <w:rPr>
          <w:highlight w:val="green"/>
        </w:rPr>
        <w:t>ESIA (Environmental and Social Impact Assessment)</w:t>
      </w:r>
    </w:p>
    <w:p w14:paraId="3269AC32" w14:textId="77777777" w:rsidR="004F4706" w:rsidRPr="003F4704" w:rsidRDefault="004F4706" w:rsidP="004F4706">
      <w:pPr>
        <w:spacing w:before="120" w:after="0"/>
        <w:contextualSpacing/>
        <w:rPr>
          <w:highlight w:val="green"/>
          <w:u w:val="single"/>
        </w:rPr>
      </w:pPr>
      <w:r w:rsidRPr="003F4704">
        <w:rPr>
          <w:highlight w:val="green"/>
          <w:u w:val="single"/>
        </w:rPr>
        <w:t>Management:</w:t>
      </w:r>
    </w:p>
    <w:p w14:paraId="1AFFD069" w14:textId="77777777" w:rsidR="004F4706" w:rsidRPr="003F4704" w:rsidRDefault="004F4706" w:rsidP="004F4706">
      <w:pPr>
        <w:spacing w:before="120" w:after="120"/>
        <w:contextualSpacing/>
        <w:rPr>
          <w:rFonts w:asciiTheme="minorHAnsi" w:hAnsiTheme="minorHAnsi" w:cstheme="minorHAnsi"/>
          <w:szCs w:val="20"/>
          <w:highlight w:val="green"/>
        </w:rPr>
      </w:pPr>
      <w:r w:rsidRPr="003F4704">
        <w:rPr>
          <w:rFonts w:asciiTheme="minorHAnsi" w:hAnsiTheme="minorHAnsi" w:cstheme="minorHAnsi"/>
          <w:szCs w:val="20"/>
          <w:highlight w:val="green"/>
        </w:rPr>
        <w:t>SESA report and recommendations (Actions Matrix)</w:t>
      </w:r>
    </w:p>
    <w:p w14:paraId="62EB023E" w14:textId="77777777" w:rsidR="004F4706" w:rsidRPr="003F4704" w:rsidRDefault="004F4706" w:rsidP="004F4706">
      <w:pPr>
        <w:spacing w:before="120" w:after="120"/>
        <w:contextualSpacing/>
        <w:rPr>
          <w:rFonts w:asciiTheme="minorHAnsi" w:hAnsiTheme="minorHAnsi" w:cstheme="minorHAnsi"/>
          <w:szCs w:val="20"/>
          <w:highlight w:val="green"/>
        </w:rPr>
      </w:pPr>
      <w:r w:rsidRPr="003F4704">
        <w:rPr>
          <w:rFonts w:asciiTheme="minorHAnsi" w:hAnsiTheme="minorHAnsi" w:cstheme="minorHAnsi"/>
          <w:szCs w:val="20"/>
          <w:highlight w:val="green"/>
        </w:rPr>
        <w:t>Comprehensive Stakeholder Engagement Plan</w:t>
      </w:r>
    </w:p>
    <w:p w14:paraId="6CC1E3E8" w14:textId="77777777" w:rsidR="004F4706" w:rsidRPr="003F4704" w:rsidRDefault="004F4706" w:rsidP="004F4706">
      <w:pPr>
        <w:spacing w:before="120" w:after="120"/>
        <w:contextualSpacing/>
        <w:rPr>
          <w:rFonts w:asciiTheme="minorHAnsi" w:hAnsiTheme="minorHAnsi" w:cstheme="minorHAnsi"/>
          <w:szCs w:val="20"/>
          <w:highlight w:val="green"/>
        </w:rPr>
      </w:pPr>
      <w:r w:rsidRPr="003F4704">
        <w:rPr>
          <w:rFonts w:asciiTheme="minorHAnsi" w:hAnsiTheme="minorHAnsi" w:cstheme="minorHAnsi"/>
          <w:szCs w:val="20"/>
          <w:highlight w:val="green"/>
        </w:rPr>
        <w:t>Indigenous People Plan</w:t>
      </w:r>
    </w:p>
    <w:p w14:paraId="65511DE3" w14:textId="77777777" w:rsidR="004F4706" w:rsidRPr="003F4704" w:rsidRDefault="004F4706" w:rsidP="004F4706">
      <w:pPr>
        <w:spacing w:before="120" w:after="120"/>
        <w:contextualSpacing/>
        <w:rPr>
          <w:rFonts w:asciiTheme="minorHAnsi" w:hAnsiTheme="minorHAnsi" w:cstheme="minorHAnsi"/>
          <w:szCs w:val="20"/>
          <w:highlight w:val="green"/>
        </w:rPr>
      </w:pPr>
      <w:r w:rsidRPr="003F4704">
        <w:rPr>
          <w:rFonts w:asciiTheme="minorHAnsi" w:hAnsiTheme="minorHAnsi" w:cstheme="minorHAnsi"/>
          <w:szCs w:val="20"/>
          <w:highlight w:val="green"/>
        </w:rPr>
        <w:t xml:space="preserve">Gender Action Plan </w:t>
      </w:r>
    </w:p>
    <w:p w14:paraId="7CBC5AA5" w14:textId="02656A6D" w:rsidR="004F4706" w:rsidRPr="003F4704" w:rsidRDefault="004F4706" w:rsidP="00BE65D5">
      <w:pPr>
        <w:spacing w:before="120"/>
        <w:contextualSpacing/>
        <w:rPr>
          <w:bCs/>
          <w:szCs w:val="20"/>
          <w:highlight w:val="green"/>
          <w:lang w:val="en-GB"/>
        </w:rPr>
      </w:pPr>
      <w:r w:rsidRPr="003F4704">
        <w:rPr>
          <w:rFonts w:asciiTheme="minorHAnsi" w:hAnsiTheme="minorHAnsi" w:cstheme="minorHAnsi"/>
          <w:szCs w:val="20"/>
          <w:highlight w:val="green"/>
        </w:rPr>
        <w:t>ESMP</w:t>
      </w:r>
    </w:p>
    <w:p w14:paraId="561B10CA" w14:textId="471BB6CC" w:rsidR="00302BFE" w:rsidRPr="003F4704" w:rsidRDefault="00302BFE" w:rsidP="00302BFE">
      <w:pPr>
        <w:pStyle w:val="Paragraphedeliste"/>
        <w:tabs>
          <w:tab w:val="left" w:pos="284"/>
        </w:tabs>
        <w:spacing w:before="120" w:after="120"/>
        <w:ind w:left="0"/>
        <w:jc w:val="both"/>
        <w:rPr>
          <w:rFonts w:ascii="Calibri" w:hAnsi="Calibri"/>
          <w:i/>
          <w:color w:val="4472C4"/>
          <w:sz w:val="20"/>
          <w:szCs w:val="20"/>
          <w:highlight w:val="green"/>
          <w:lang w:val="en-GB"/>
        </w:rPr>
      </w:pPr>
      <w:r w:rsidRPr="003F4704">
        <w:rPr>
          <w:rFonts w:ascii="Calibri" w:hAnsi="Calibri"/>
          <w:i/>
          <w:color w:val="4472C4"/>
          <w:sz w:val="20"/>
          <w:szCs w:val="20"/>
          <w:highlight w:val="green"/>
          <w:lang w:val="en-GB"/>
        </w:rPr>
        <w:t>1.5.1 Establishment of management prescriptions for the various territory units within the PONASI landscape (protected areas of the State, wildlife corridors, ZOVICs, community forests, CAF, agro-pastoral and sylvopastoral lands).</w:t>
      </w:r>
    </w:p>
    <w:p w14:paraId="0D409797" w14:textId="74B58BC4" w:rsidR="001F23E3" w:rsidRPr="001F23E3" w:rsidRDefault="001F23E3" w:rsidP="00BE65D5">
      <w:pPr>
        <w:spacing w:before="120" w:after="120"/>
        <w:rPr>
          <w:iCs/>
          <w:color w:val="4472C4"/>
          <w:szCs w:val="20"/>
          <w:lang w:val="en-GB"/>
        </w:rPr>
      </w:pPr>
      <w:r w:rsidRPr="003F4704">
        <w:rPr>
          <w:iCs/>
          <w:color w:val="4472C4"/>
          <w:szCs w:val="20"/>
          <w:highlight w:val="green"/>
          <w:lang w:val="en-GB"/>
        </w:rPr>
        <w:t>For this activity, the FPIC (Free, Prior and Informed Consent) process has to be ensured</w:t>
      </w:r>
    </w:p>
    <w:p w14:paraId="675FF2B4" w14:textId="12FBE51D" w:rsidR="00302BFE" w:rsidRPr="005F382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5F3825">
        <w:rPr>
          <w:rFonts w:ascii="Calibri" w:hAnsi="Calibri"/>
          <w:sz w:val="20"/>
          <w:szCs w:val="20"/>
          <w:lang w:val="en-GB"/>
        </w:rPr>
        <w:t xml:space="preserve">The use of the TESSA tool will have </w:t>
      </w:r>
      <w:r w:rsidR="00F50FA8">
        <w:rPr>
          <w:rFonts w:ascii="Calibri" w:hAnsi="Calibri"/>
          <w:sz w:val="20"/>
          <w:szCs w:val="20"/>
          <w:lang w:val="en-GB"/>
        </w:rPr>
        <w:t>enabled</w:t>
      </w:r>
      <w:r w:rsidRPr="005F3825">
        <w:rPr>
          <w:rFonts w:ascii="Calibri" w:hAnsi="Calibri"/>
          <w:sz w:val="20"/>
          <w:szCs w:val="20"/>
          <w:lang w:val="en-GB"/>
        </w:rPr>
        <w:t xml:space="preserve"> (see output 1.2 above) to (i) collect data on the state of the resources of each territorial unit of the landscape, (ii) evaluate</w:t>
      </w:r>
      <w:r w:rsidRPr="005F3825">
        <w:rPr>
          <w:rFonts w:ascii="Calibri" w:hAnsi="Calibri"/>
          <w:color w:val="FF0000"/>
          <w:sz w:val="20"/>
          <w:szCs w:val="20"/>
          <w:lang w:val="en-GB"/>
        </w:rPr>
        <w:t xml:space="preserve"> </w:t>
      </w:r>
      <w:r w:rsidRPr="005F3825">
        <w:rPr>
          <w:rFonts w:ascii="Calibri" w:hAnsi="Calibri"/>
          <w:sz w:val="20"/>
          <w:szCs w:val="20"/>
          <w:lang w:val="en-GB"/>
        </w:rPr>
        <w:t xml:space="preserve">the ecosystem goods and services (ES) provided by each of these units, (iii) define the best combinations of land-use technology packages that maximize benefits at all levels and (iv) define the objectives and priority management actions of the various territory units, contained in the Landscape Management Master Plan. The orientations of the </w:t>
      </w:r>
      <w:r w:rsidRPr="005F3825">
        <w:rPr>
          <w:rFonts w:ascii="Calibri" w:hAnsi="Calibri"/>
          <w:sz w:val="20"/>
          <w:szCs w:val="20"/>
          <w:lang w:val="en-GB"/>
        </w:rPr>
        <w:lastRenderedPageBreak/>
        <w:t>Master Plan will guide all stakeholders involved in the project in the definition of multiannual and annual actions and targets as planned in the results framework (see outputs of components 2 and 3).</w:t>
      </w:r>
    </w:p>
    <w:p w14:paraId="66EED953" w14:textId="77777777" w:rsidR="00302BFE" w:rsidRPr="00FA524C"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CA"/>
        </w:rPr>
      </w:pPr>
      <w:r w:rsidRPr="005F3825">
        <w:rPr>
          <w:rFonts w:ascii="Calibri" w:hAnsi="Calibri"/>
          <w:sz w:val="20"/>
          <w:szCs w:val="20"/>
          <w:lang w:val="en-CA"/>
        </w:rPr>
        <w:t xml:space="preserve">The sustainable and equitable management requirements identified for each landscape unit under Components 2 (Protected Areas) and 3 (Agro-Sylvo-Pastoral Management Areas) </w:t>
      </w:r>
      <w:r w:rsidR="008325B1">
        <w:rPr>
          <w:rFonts w:ascii="Calibri" w:hAnsi="Calibri"/>
          <w:sz w:val="20"/>
          <w:szCs w:val="20"/>
          <w:lang w:val="en-CA"/>
        </w:rPr>
        <w:t>will</w:t>
      </w:r>
      <w:r w:rsidRPr="005F3825">
        <w:rPr>
          <w:rFonts w:ascii="Calibri" w:hAnsi="Calibri"/>
          <w:sz w:val="20"/>
          <w:szCs w:val="20"/>
          <w:lang w:val="en-CA"/>
        </w:rPr>
        <w:t xml:space="preserve"> be in line with the directions defined through the spatial planning process. </w:t>
      </w:r>
      <w:r w:rsidRPr="005F3825">
        <w:rPr>
          <w:rFonts w:ascii="Calibri" w:hAnsi="Calibri"/>
          <w:sz w:val="20"/>
          <w:szCs w:val="20"/>
          <w:lang w:val="en-GB"/>
        </w:rPr>
        <w:t>These management requirements for the different land units as well as the monitoring mechanisms will be annexed to the Master Plan as part of its implementation strategy. Depending on the territorial units, these sustainable and equitable management requirements will be contained in (i) local charters, (ii) specifications or (iii) standard management contracts.</w:t>
      </w:r>
    </w:p>
    <w:p w14:paraId="7414419B" w14:textId="77777777" w:rsidR="00302BFE" w:rsidRPr="005F3825" w:rsidRDefault="00302BFE" w:rsidP="00302BFE">
      <w:pPr>
        <w:pStyle w:val="Paragraphedeliste"/>
        <w:tabs>
          <w:tab w:val="left" w:pos="284"/>
        </w:tabs>
        <w:spacing w:before="120" w:after="120"/>
        <w:ind w:left="0"/>
        <w:jc w:val="both"/>
        <w:rPr>
          <w:rFonts w:ascii="Calibri" w:hAnsi="Calibri"/>
          <w:color w:val="4472C4"/>
          <w:sz w:val="20"/>
          <w:szCs w:val="20"/>
          <w:lang w:val="en-GB"/>
        </w:rPr>
      </w:pPr>
      <w:r w:rsidRPr="005F3825">
        <w:rPr>
          <w:rFonts w:ascii="Calibri" w:hAnsi="Calibri"/>
          <w:i/>
          <w:color w:val="4472C4"/>
          <w:sz w:val="20"/>
          <w:szCs w:val="20"/>
          <w:lang w:val="en-GB"/>
        </w:rPr>
        <w:t>1.5.2 Monitoring system for the implementation of the master plan and its effects, including the monitoring of biodiversity and ecosystems.</w:t>
      </w:r>
    </w:p>
    <w:p w14:paraId="4825CC32" w14:textId="08EB002B" w:rsidR="00302BFE" w:rsidRPr="006E490C"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6E490C">
        <w:rPr>
          <w:rFonts w:ascii="Calibri" w:hAnsi="Calibri"/>
          <w:sz w:val="20"/>
          <w:szCs w:val="20"/>
          <w:lang w:val="en-GB"/>
        </w:rPr>
        <w:t xml:space="preserve">Progress in the implementation of the Landscape Management Master Plan and its effects on biodiversity, land resources and ecosystem services will be documented from the multi-stakeholder annual reports prepared by the Project Coordination Unit with support from the Technical Core of the co-management framework (the platform); this report will be informed by all stakeholders who implement activities (including management of natural forests, agricultural, hunting and pastoral areas, and SLM) funded by the project and other co-donors: devolved technical services, Associations and NGOs. For </w:t>
      </w:r>
      <w:r>
        <w:rPr>
          <w:rFonts w:ascii="Calibri" w:hAnsi="Calibri"/>
          <w:sz w:val="20"/>
          <w:szCs w:val="20"/>
          <w:lang w:val="en-GB"/>
        </w:rPr>
        <w:t>forest management worksites</w:t>
      </w:r>
      <w:r w:rsidRPr="006E490C">
        <w:rPr>
          <w:rFonts w:ascii="Calibri" w:hAnsi="Calibri"/>
          <w:sz w:val="20"/>
          <w:szCs w:val="20"/>
          <w:lang w:val="en-GB"/>
        </w:rPr>
        <w:t xml:space="preserve"> (CAFs), the main sources of information will be the forest services and other associations or NGOs such as Tree Aid. </w:t>
      </w:r>
      <w:r w:rsidRPr="00E72276">
        <w:rPr>
          <w:rFonts w:ascii="Calibri" w:hAnsi="Calibri"/>
          <w:sz w:val="20"/>
          <w:szCs w:val="20"/>
          <w:lang w:val="en-GB"/>
        </w:rPr>
        <w:t xml:space="preserve">This monitoring system and its databases based on the project outcome indicators, and possibly expanded to include additional indicators according to evolving needs, </w:t>
      </w:r>
      <w:r w:rsidRPr="00E72276">
        <w:rPr>
          <w:rFonts w:ascii="Calibri" w:hAnsi="Calibri"/>
          <w:sz w:val="20"/>
          <w:szCs w:val="20"/>
          <w:lang w:val="en-CA"/>
        </w:rPr>
        <w:t xml:space="preserve">will be anchored in a permanent national institutional, the </w:t>
      </w:r>
      <w:r w:rsidRPr="00E72276">
        <w:rPr>
          <w:rFonts w:ascii="Calibri" w:hAnsi="Calibri"/>
          <w:sz w:val="20"/>
          <w:szCs w:val="20"/>
        </w:rPr>
        <w:t xml:space="preserve">National Observatory of the Environment and Sustainable Development (ONEDD) which </w:t>
      </w:r>
      <w:r w:rsidRPr="00E72276">
        <w:rPr>
          <w:rFonts w:ascii="Calibri" w:hAnsi="Calibri"/>
          <w:sz w:val="20"/>
          <w:szCs w:val="20"/>
          <w:lang w:val="en-GB"/>
        </w:rPr>
        <w:t xml:space="preserve">supports the </w:t>
      </w:r>
      <w:r w:rsidR="00CF65C6" w:rsidRPr="00C46720">
        <w:rPr>
          <w:rFonts w:ascii="Calibri" w:hAnsi="Calibri"/>
          <w:sz w:val="20"/>
          <w:szCs w:val="20"/>
          <w:highlight w:val="green"/>
          <w:lang w:val="en-GB"/>
        </w:rPr>
        <w:t>SP CONSEIL NATION DEVEL DURABL UNDER THE MINISTRY IN CHARGE OF THE ENVIRONMENT</w:t>
      </w:r>
      <w:r w:rsidRPr="00E72276">
        <w:rPr>
          <w:rFonts w:ascii="Calibri" w:hAnsi="Calibri"/>
          <w:sz w:val="20"/>
          <w:szCs w:val="20"/>
          <w:lang w:val="en-GB"/>
        </w:rPr>
        <w:t>.</w:t>
      </w:r>
    </w:p>
    <w:p w14:paraId="6D1781CA" w14:textId="77777777" w:rsidR="00302BFE" w:rsidRPr="005F382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5F3825">
        <w:rPr>
          <w:rFonts w:ascii="Calibri" w:hAnsi="Calibri"/>
          <w:sz w:val="20"/>
          <w:szCs w:val="20"/>
          <w:lang w:val="en-CA"/>
        </w:rPr>
        <w:t xml:space="preserve">The platform will coordinate annual multi-stakeholder planning and monitoring and evaluation of activities, including activities and investments in the development and management of natural forests, grazing areas, in SLM in agricultural areas and in the management of protected areas, ZOVICs and corridors within the landscape. </w:t>
      </w:r>
      <w:r w:rsidRPr="005F3825">
        <w:rPr>
          <w:rFonts w:ascii="Calibri" w:hAnsi="Calibri"/>
          <w:sz w:val="20"/>
          <w:szCs w:val="20"/>
          <w:lang w:val="en-GB"/>
        </w:rPr>
        <w:t>The monitoring and evaluation will use the same indicators that will be informed by each stakeholder and therefore by the annual multi-stakeholder report.</w:t>
      </w:r>
    </w:p>
    <w:p w14:paraId="39DB043D" w14:textId="73BFCA40" w:rsidR="00302BFE" w:rsidRDefault="00302BFE" w:rsidP="00302BFE">
      <w:pPr>
        <w:pStyle w:val="Paragraphedeliste"/>
        <w:tabs>
          <w:tab w:val="left" w:pos="284"/>
        </w:tabs>
        <w:spacing w:before="120" w:after="120"/>
        <w:ind w:left="0"/>
        <w:jc w:val="both"/>
        <w:rPr>
          <w:rFonts w:ascii="Calibri" w:hAnsi="Calibri"/>
          <w:i/>
          <w:color w:val="4472C4"/>
          <w:sz w:val="20"/>
          <w:szCs w:val="20"/>
          <w:lang w:val="en-GB"/>
        </w:rPr>
      </w:pPr>
      <w:r w:rsidRPr="005F3825">
        <w:rPr>
          <w:rFonts w:ascii="Calibri" w:hAnsi="Calibri"/>
          <w:i/>
          <w:color w:val="4472C4"/>
          <w:sz w:val="20"/>
          <w:szCs w:val="20"/>
          <w:lang w:val="en-GB"/>
        </w:rPr>
        <w:t>1.5.3 Design and implementation of incentives and disincentives to promote compliance to the Master Plan.</w:t>
      </w:r>
    </w:p>
    <w:p w14:paraId="1FBEE752" w14:textId="63EFD348" w:rsidR="001F23E3" w:rsidRPr="001F23E3" w:rsidRDefault="001F23E3" w:rsidP="00BE65D5">
      <w:pPr>
        <w:spacing w:before="120" w:after="120"/>
        <w:rPr>
          <w:iCs/>
          <w:color w:val="4472C4"/>
          <w:szCs w:val="20"/>
          <w:lang w:val="en-GB"/>
        </w:rPr>
      </w:pPr>
      <w:r w:rsidRPr="003F4704">
        <w:rPr>
          <w:iCs/>
          <w:color w:val="4472C4"/>
          <w:szCs w:val="20"/>
          <w:highlight w:val="green"/>
          <w:lang w:val="en-GB"/>
        </w:rPr>
        <w:t>For this activity, the FPIC (Free, Prior and Informed Consent) process has to be ensured</w:t>
      </w:r>
    </w:p>
    <w:p w14:paraId="223E7AB1" w14:textId="77777777" w:rsidR="00302BFE" w:rsidRPr="000D4277" w:rsidRDefault="008325B1"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0D4277">
        <w:rPr>
          <w:rFonts w:ascii="Calibri" w:hAnsi="Calibri"/>
          <w:sz w:val="20"/>
          <w:szCs w:val="20"/>
          <w:lang w:val="en-GB"/>
        </w:rPr>
        <w:t>The land-use planning expert will propose a set of incentives and disincentives to promote compliance. T</w:t>
      </w:r>
      <w:r w:rsidR="00302BFE" w:rsidRPr="000D4277">
        <w:rPr>
          <w:rFonts w:ascii="Calibri" w:hAnsi="Calibri"/>
          <w:sz w:val="20"/>
          <w:szCs w:val="20"/>
          <w:lang w:val="en-GB"/>
        </w:rPr>
        <w:t xml:space="preserve">hese incentive and dissuasive measures will be </w:t>
      </w:r>
      <w:r w:rsidRPr="000D4277">
        <w:rPr>
          <w:rFonts w:ascii="Calibri" w:hAnsi="Calibri"/>
          <w:sz w:val="20"/>
          <w:szCs w:val="20"/>
          <w:lang w:val="en-GB"/>
        </w:rPr>
        <w:t>included</w:t>
      </w:r>
      <w:r w:rsidR="00302BFE" w:rsidRPr="000D4277">
        <w:rPr>
          <w:rFonts w:ascii="Calibri" w:hAnsi="Calibri"/>
          <w:sz w:val="20"/>
          <w:szCs w:val="20"/>
          <w:lang w:val="en-GB"/>
        </w:rPr>
        <w:t xml:space="preserve"> in the sustainable and equitable management prescriptions of the different territorial units themselves </w:t>
      </w:r>
      <w:r w:rsidRPr="000D4277">
        <w:rPr>
          <w:rFonts w:ascii="Calibri" w:hAnsi="Calibri"/>
          <w:sz w:val="20"/>
          <w:szCs w:val="20"/>
          <w:lang w:val="en-GB"/>
        </w:rPr>
        <w:t>included</w:t>
      </w:r>
      <w:r w:rsidR="00302BFE" w:rsidRPr="000D4277">
        <w:rPr>
          <w:rFonts w:ascii="Calibri" w:hAnsi="Calibri"/>
          <w:sz w:val="20"/>
          <w:szCs w:val="20"/>
          <w:lang w:val="en-GB"/>
        </w:rPr>
        <w:t xml:space="preserve"> in local charters, specifications or standard management contracts. The purpose here is to </w:t>
      </w:r>
      <w:r w:rsidR="0096658E" w:rsidRPr="000D4277">
        <w:rPr>
          <w:rFonts w:ascii="Calibri" w:hAnsi="Calibri"/>
          <w:sz w:val="20"/>
          <w:szCs w:val="20"/>
          <w:lang w:val="en-GB"/>
        </w:rPr>
        <w:t>associate</w:t>
      </w:r>
      <w:r w:rsidR="00302BFE" w:rsidRPr="000D4277">
        <w:rPr>
          <w:rFonts w:ascii="Calibri" w:hAnsi="Calibri"/>
          <w:sz w:val="20"/>
          <w:szCs w:val="20"/>
          <w:lang w:val="en-GB"/>
        </w:rPr>
        <w:t xml:space="preserve"> responsibilities or commitments </w:t>
      </w:r>
      <w:r w:rsidRPr="000D4277">
        <w:rPr>
          <w:rFonts w:ascii="Calibri" w:hAnsi="Calibri"/>
          <w:sz w:val="20"/>
          <w:szCs w:val="20"/>
          <w:lang w:val="en-GB"/>
        </w:rPr>
        <w:t>(</w:t>
      </w:r>
      <w:r w:rsidR="00302BFE" w:rsidRPr="000D4277">
        <w:rPr>
          <w:rFonts w:ascii="Calibri" w:hAnsi="Calibri"/>
          <w:sz w:val="20"/>
          <w:szCs w:val="20"/>
          <w:lang w:val="en-GB"/>
        </w:rPr>
        <w:t>recorded in a local charter, specifications or a standard management contract</w:t>
      </w:r>
      <w:r w:rsidR="0096658E" w:rsidRPr="000D4277">
        <w:rPr>
          <w:rFonts w:ascii="Calibri" w:hAnsi="Calibri"/>
          <w:sz w:val="20"/>
          <w:szCs w:val="20"/>
          <w:lang w:val="en-GB"/>
        </w:rPr>
        <w:t>)</w:t>
      </w:r>
      <w:r w:rsidR="00302BFE" w:rsidRPr="000D4277">
        <w:rPr>
          <w:rFonts w:ascii="Calibri" w:hAnsi="Calibri"/>
          <w:sz w:val="20"/>
          <w:szCs w:val="20"/>
          <w:lang w:val="en-GB"/>
        </w:rPr>
        <w:t xml:space="preserve">, </w:t>
      </w:r>
      <w:r w:rsidR="0096658E" w:rsidRPr="000D4277">
        <w:rPr>
          <w:rFonts w:ascii="Calibri" w:hAnsi="Calibri"/>
          <w:sz w:val="20"/>
          <w:szCs w:val="20"/>
          <w:lang w:val="en-GB"/>
        </w:rPr>
        <w:t>with</w:t>
      </w:r>
      <w:r w:rsidR="00302BFE" w:rsidRPr="000D4277">
        <w:rPr>
          <w:rFonts w:ascii="Calibri" w:hAnsi="Calibri"/>
          <w:sz w:val="20"/>
          <w:szCs w:val="20"/>
          <w:lang w:val="en-GB"/>
        </w:rPr>
        <w:t xml:space="preserve"> means of control </w:t>
      </w:r>
      <w:r w:rsidR="0096658E" w:rsidRPr="000D4277">
        <w:rPr>
          <w:rFonts w:ascii="Calibri" w:hAnsi="Calibri"/>
          <w:sz w:val="20"/>
          <w:szCs w:val="20"/>
          <w:lang w:val="en-GB"/>
        </w:rPr>
        <w:t>for</w:t>
      </w:r>
      <w:r w:rsidR="00302BFE" w:rsidRPr="000D4277">
        <w:rPr>
          <w:rFonts w:ascii="Calibri" w:hAnsi="Calibri"/>
          <w:sz w:val="20"/>
          <w:szCs w:val="20"/>
          <w:lang w:val="en-GB"/>
        </w:rPr>
        <w:t xml:space="preserve"> their application and the penalties incurred in case of </w:t>
      </w:r>
      <w:r w:rsidR="0096658E" w:rsidRPr="000D4277">
        <w:rPr>
          <w:rFonts w:ascii="Calibri" w:hAnsi="Calibri"/>
          <w:sz w:val="20"/>
          <w:szCs w:val="20"/>
          <w:lang w:val="en-GB"/>
        </w:rPr>
        <w:t>non-compliance</w:t>
      </w:r>
      <w:r w:rsidR="00302BFE" w:rsidRPr="000D4277">
        <w:rPr>
          <w:rFonts w:ascii="Calibri" w:hAnsi="Calibri"/>
          <w:sz w:val="20"/>
          <w:szCs w:val="20"/>
          <w:lang w:val="en-GB"/>
        </w:rPr>
        <w:t xml:space="preserve">, or conversely incentives in the form of profits related to the positive results generated by the application of charters, specifications or standard contracts, </w:t>
      </w:r>
      <w:r w:rsidR="0096658E" w:rsidRPr="000D4277">
        <w:rPr>
          <w:rFonts w:ascii="Calibri" w:hAnsi="Calibri"/>
          <w:sz w:val="20"/>
          <w:szCs w:val="20"/>
          <w:lang w:val="en-GB"/>
        </w:rPr>
        <w:t>including benefits or premiums granted for avoided carbon emissions</w:t>
      </w:r>
      <w:r w:rsidR="00302BFE" w:rsidRPr="000D4277">
        <w:rPr>
          <w:rFonts w:ascii="Calibri" w:hAnsi="Calibri"/>
          <w:sz w:val="20"/>
          <w:szCs w:val="20"/>
          <w:lang w:val="en-GB"/>
        </w:rPr>
        <w:t>.</w:t>
      </w:r>
    </w:p>
    <w:p w14:paraId="51F5ACAB" w14:textId="028953B1" w:rsidR="00302BFE" w:rsidRDefault="00302BFE" w:rsidP="00302BFE">
      <w:pPr>
        <w:pStyle w:val="Paragraphedeliste"/>
        <w:tabs>
          <w:tab w:val="left" w:pos="284"/>
        </w:tabs>
        <w:spacing w:before="120" w:after="120"/>
        <w:ind w:left="0"/>
        <w:jc w:val="both"/>
        <w:rPr>
          <w:rFonts w:ascii="Calibri" w:hAnsi="Calibri"/>
          <w:i/>
          <w:color w:val="4472C4"/>
          <w:sz w:val="20"/>
          <w:szCs w:val="20"/>
          <w:lang w:val="en-GB"/>
        </w:rPr>
      </w:pPr>
      <w:r w:rsidRPr="005F3825">
        <w:rPr>
          <w:rFonts w:ascii="Calibri" w:hAnsi="Calibri"/>
          <w:i/>
          <w:color w:val="4472C4"/>
          <w:sz w:val="20"/>
          <w:szCs w:val="20"/>
          <w:lang w:val="en-GB"/>
        </w:rPr>
        <w:t>1.5.4 Establishment of a mechanism to monitor compliance and prevent/manage conflicts.</w:t>
      </w:r>
    </w:p>
    <w:p w14:paraId="695C5B4E" w14:textId="6834591A" w:rsidR="001F23E3" w:rsidRPr="001F23E3" w:rsidRDefault="001F23E3" w:rsidP="00BE65D5">
      <w:pPr>
        <w:spacing w:before="120" w:after="120"/>
        <w:rPr>
          <w:iCs/>
          <w:color w:val="4472C4"/>
          <w:szCs w:val="20"/>
          <w:lang w:val="en-GB"/>
        </w:rPr>
      </w:pPr>
      <w:r w:rsidRPr="003F4704">
        <w:rPr>
          <w:iCs/>
          <w:color w:val="4472C4"/>
          <w:szCs w:val="20"/>
          <w:highlight w:val="green"/>
          <w:lang w:val="en-GB"/>
        </w:rPr>
        <w:t>For this activity, the FPIC (Free, Prior and Informed Consent) process has to be ensured</w:t>
      </w:r>
    </w:p>
    <w:p w14:paraId="58EE0A31" w14:textId="77777777" w:rsidR="00302BFE"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70719A">
        <w:rPr>
          <w:rFonts w:ascii="Calibri" w:hAnsi="Calibri"/>
          <w:sz w:val="20"/>
          <w:szCs w:val="20"/>
          <w:lang w:val="en-CA"/>
        </w:rPr>
        <w:t xml:space="preserve">Under this output, the </w:t>
      </w:r>
      <w:r w:rsidRPr="0070719A">
        <w:rPr>
          <w:rFonts w:ascii="Calibri" w:hAnsi="Calibri"/>
          <w:sz w:val="20"/>
          <w:szCs w:val="20"/>
          <w:lang w:val="en-GB"/>
        </w:rPr>
        <w:t>project will establish a project-level Grievance Redress Mechanism (GRM), in line with mandatory Social and Environmental Standards (SES) for all of UNDP’s projects and programmes, and with UNDP’s corporate Stakeholder Response Mechanism (SRM)</w:t>
      </w:r>
      <w:r w:rsidRPr="0070719A">
        <w:rPr>
          <w:rStyle w:val="Appelnotedebasdep"/>
          <w:rFonts w:ascii="Calibri" w:hAnsi="Calibri"/>
          <w:sz w:val="20"/>
          <w:szCs w:val="20"/>
          <w:lang w:val="en-GB"/>
        </w:rPr>
        <w:footnoteReference w:id="47"/>
      </w:r>
      <w:r w:rsidRPr="0070719A">
        <w:rPr>
          <w:rFonts w:ascii="Calibri" w:hAnsi="Calibri"/>
          <w:sz w:val="20"/>
          <w:szCs w:val="20"/>
          <w:lang w:val="en-GB"/>
        </w:rPr>
        <w:t xml:space="preserve">. </w:t>
      </w:r>
      <w:r w:rsidRPr="0070719A">
        <w:rPr>
          <w:rFonts w:ascii="Calibri" w:hAnsi="Calibri"/>
          <w:sz w:val="20"/>
          <w:szCs w:val="20"/>
          <w:lang w:val="en-CA"/>
        </w:rPr>
        <w:t xml:space="preserve">A GRM is designed for collaborative problem solving, as a “first line” recourse for situations in which, despite proactive stakeholder engagement, some stakeholders have a concern about the project’s potential impacts on them. A GRM is intended to be accessible, collaborative, expeditious, and effective in resolving concerns through dialogue, joint fact-finding, negotiation, and problem solving. To increase the likelihood that the GRM will be effective in providing resolution of stakeholder grievances, it will be designed following these guiding principles: legitimate (enabling trust from the stakeholder groups); accessible (known to all stakeholder groups); predictable (clear and known procedure); equitable (aggrieved parties have reasonable access to sources of information, advice and expertise necessary to engage in the grievance process on fair, informed and respectful terms); transparent (parties informed about progress); rights compatible; enabling continuous learning ; and based on engagement and dialogue. The steps in a grievance resolution mechanism include i) communicating grievances through a variety of channels and register grievance; ii) acknowledging the grievance communicated; iii) assessing eligibility of the issue for the GRM; iv) assigning responsibility to the most appropriate institution or individual; v) developing a proposed response; vi) communicating the proposed response to complainant and seeking agreement on the response; vii) implementing the response to resolve the grievance; viii) </w:t>
      </w:r>
      <w:r w:rsidRPr="0070719A">
        <w:rPr>
          <w:rFonts w:ascii="Calibri" w:hAnsi="Calibri"/>
          <w:sz w:val="20"/>
          <w:szCs w:val="20"/>
          <w:lang w:val="en-CA"/>
        </w:rPr>
        <w:lastRenderedPageBreak/>
        <w:t>reviewing the response if unsuccessful; and ix) closing out if the response has been successful or referring the grievance if the grievance has not been resolved.</w:t>
      </w:r>
    </w:p>
    <w:p w14:paraId="3F09CD1F" w14:textId="05C5F2A0" w:rsidR="00302BFE" w:rsidRPr="00FF7C64"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5F3825">
        <w:rPr>
          <w:rFonts w:ascii="Calibri" w:hAnsi="Calibri"/>
          <w:sz w:val="20"/>
          <w:szCs w:val="20"/>
          <w:lang w:val="en-GB"/>
        </w:rPr>
        <w:t xml:space="preserve">The compliance monitoring and grievance / prevention mechanism will </w:t>
      </w:r>
      <w:r>
        <w:rPr>
          <w:rFonts w:ascii="Calibri" w:hAnsi="Calibri"/>
          <w:sz w:val="20"/>
          <w:szCs w:val="20"/>
          <w:lang w:val="en-GB"/>
        </w:rPr>
        <w:t>include</w:t>
      </w:r>
      <w:r w:rsidRPr="005F3825">
        <w:rPr>
          <w:rFonts w:ascii="Calibri" w:hAnsi="Calibri"/>
          <w:sz w:val="20"/>
          <w:szCs w:val="20"/>
          <w:lang w:val="en-GB"/>
        </w:rPr>
        <w:t xml:space="preserve"> the establishment of a window allowing all stakeholders, and in particular local communities, to register grievances or disputes related to the implementation of the project in general and the application / enforcement of disincentives or incentives. The mechanism will define the procedures for managing conflicts at different levels: local, communal, regional and landscape levels. These procedures may draw on those used by other development projects to manage negative social impact management processes, including community-based impact resulting from the implementation of common natural resource or land resource management actions at the local level</w:t>
      </w:r>
      <w:r w:rsidRPr="00FF7C64">
        <w:rPr>
          <w:rFonts w:ascii="Calibri" w:hAnsi="Calibri"/>
          <w:sz w:val="20"/>
          <w:szCs w:val="20"/>
          <w:lang w:val="en-GB"/>
        </w:rPr>
        <w:t>.</w:t>
      </w:r>
      <w:r w:rsidR="00764DD0" w:rsidRPr="00FF7C64">
        <w:rPr>
          <w:rFonts w:ascii="Calibri" w:hAnsi="Calibri"/>
          <w:sz w:val="20"/>
          <w:szCs w:val="20"/>
          <w:lang w:val="en-GB"/>
        </w:rPr>
        <w:t xml:space="preserve"> </w:t>
      </w:r>
      <w:r w:rsidR="00764DD0" w:rsidRPr="00A63E29">
        <w:rPr>
          <w:rFonts w:ascii="Calibri" w:hAnsi="Calibri"/>
          <w:sz w:val="20"/>
          <w:szCs w:val="20"/>
          <w:lang w:val="en-GB"/>
        </w:rPr>
        <w:t>Care will be taken to establish mechanisms that allow reporting grievances by phone to reduce unnecessary travel, especially while travel restrictions due to COVID are active or might be reinstated.</w:t>
      </w:r>
      <w:r w:rsidR="00764DD0" w:rsidRPr="00FF7C64">
        <w:rPr>
          <w:rFonts w:ascii="Calibri" w:hAnsi="Calibri"/>
          <w:sz w:val="20"/>
          <w:szCs w:val="20"/>
          <w:lang w:val="en-GB"/>
        </w:rPr>
        <w:t xml:space="preserve"> </w:t>
      </w:r>
    </w:p>
    <w:p w14:paraId="760EF780" w14:textId="77777777" w:rsidR="00302BFE" w:rsidRPr="005F3825" w:rsidRDefault="00302BFE" w:rsidP="00302BFE">
      <w:pPr>
        <w:pStyle w:val="Paragraphedeliste"/>
        <w:tabs>
          <w:tab w:val="left" w:pos="284"/>
        </w:tabs>
        <w:spacing w:before="120" w:after="120"/>
        <w:ind w:left="0"/>
        <w:jc w:val="both"/>
        <w:rPr>
          <w:rFonts w:ascii="Calibri" w:hAnsi="Calibri"/>
          <w:color w:val="4472C4"/>
          <w:sz w:val="20"/>
          <w:szCs w:val="20"/>
          <w:lang w:val="en-GB"/>
        </w:rPr>
      </w:pPr>
      <w:r w:rsidRPr="005F3825">
        <w:rPr>
          <w:rFonts w:ascii="Calibri" w:hAnsi="Calibri"/>
          <w:i/>
          <w:color w:val="4472C4"/>
          <w:sz w:val="20"/>
          <w:szCs w:val="20"/>
          <w:lang w:val="en-GB"/>
        </w:rPr>
        <w:t>1.5.5 Support for the implementation of the PONASI Landscape Management Master Plan.</w:t>
      </w:r>
    </w:p>
    <w:p w14:paraId="3739D027" w14:textId="77777777" w:rsidR="00302BFE" w:rsidRPr="005F382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5F3825">
        <w:rPr>
          <w:rFonts w:ascii="Calibri" w:hAnsi="Calibri"/>
          <w:sz w:val="20"/>
          <w:szCs w:val="20"/>
          <w:lang w:val="en-GB"/>
        </w:rPr>
        <w:t>To be implemented, the plan must mobilize financial resources in addition to those of GEF. This will be done firstly through the co-financing announced under the project</w:t>
      </w:r>
      <w:r w:rsidR="0096658E">
        <w:rPr>
          <w:rFonts w:ascii="Calibri" w:hAnsi="Calibri"/>
          <w:sz w:val="20"/>
          <w:szCs w:val="20"/>
          <w:lang w:val="en-GB"/>
        </w:rPr>
        <w:t>.</w:t>
      </w:r>
      <w:r w:rsidRPr="005F3825">
        <w:rPr>
          <w:rFonts w:ascii="Calibri" w:hAnsi="Calibri"/>
          <w:sz w:val="20"/>
          <w:szCs w:val="20"/>
          <w:lang w:val="en-GB"/>
        </w:rPr>
        <w:t xml:space="preserve"> The Project Coordination Unit will ensure that the signatories of co-financing letters keep their commitments, in particular by setting up a bilateral and even a multilateral mechanism (open to committed parties) for transparent monitoring with each of them. This mechanism should be pursued autonomously thereafter (following the evolution of indicator 5 of the strategic results framework: </w:t>
      </w:r>
      <w:r w:rsidRPr="005F3825">
        <w:rPr>
          <w:rFonts w:ascii="Calibri" w:hAnsi="Calibri"/>
          <w:i/>
          <w:sz w:val="20"/>
          <w:szCs w:val="20"/>
          <w:lang w:val="en-GB"/>
        </w:rPr>
        <w:t xml:space="preserve">Proportion of resources devoted annually to the </w:t>
      </w:r>
      <w:r>
        <w:rPr>
          <w:rFonts w:ascii="Calibri" w:hAnsi="Calibri"/>
          <w:i/>
          <w:sz w:val="20"/>
          <w:szCs w:val="20"/>
          <w:lang w:val="en-GB"/>
        </w:rPr>
        <w:t>operation</w:t>
      </w:r>
      <w:r w:rsidRPr="005F3825">
        <w:rPr>
          <w:rFonts w:ascii="Calibri" w:hAnsi="Calibri"/>
          <w:i/>
          <w:sz w:val="20"/>
          <w:szCs w:val="20"/>
          <w:lang w:val="en-GB"/>
        </w:rPr>
        <w:t xml:space="preserve"> of a co-governance mechanism for the concerted management of the PONASI landscape funded by GEF resources</w:t>
      </w:r>
      <w:r w:rsidRPr="005F3825">
        <w:rPr>
          <w:rFonts w:ascii="Calibri" w:hAnsi="Calibri"/>
          <w:sz w:val="20"/>
          <w:szCs w:val="20"/>
          <w:lang w:val="en-GB"/>
        </w:rPr>
        <w:t>. The progressive mobilization of contributions from the State, Ministries, the own resources of regional and local authorities, and contributions from the private sector - through the perception of benefits generated by better management of land use at the landscape level - will allow the GEF contribution to be proportionately decreasing.</w:t>
      </w:r>
    </w:p>
    <w:p w14:paraId="3FF33C50" w14:textId="77777777" w:rsidR="00302BFE" w:rsidRPr="005F3825" w:rsidRDefault="00302BFE" w:rsidP="00302BFE">
      <w:pPr>
        <w:spacing w:before="240" w:after="120"/>
        <w:rPr>
          <w:b/>
          <w:szCs w:val="20"/>
          <w:lang w:val="en-GB"/>
        </w:rPr>
      </w:pPr>
      <w:r w:rsidRPr="005F3825">
        <w:rPr>
          <w:b/>
          <w:szCs w:val="20"/>
          <w:lang w:val="en-GB"/>
        </w:rPr>
        <w:t>Component 2. Strengthening the PONASI Protected Area System</w:t>
      </w:r>
    </w:p>
    <w:p w14:paraId="715DA239" w14:textId="4334C7FF" w:rsidR="00302BFE" w:rsidRDefault="00302BFE" w:rsidP="00302BFE">
      <w:pPr>
        <w:spacing w:before="120" w:after="120"/>
        <w:ind w:left="284"/>
        <w:rPr>
          <w:b/>
          <w:szCs w:val="20"/>
          <w:lang w:val="en-GB"/>
        </w:rPr>
      </w:pPr>
      <w:r w:rsidRPr="005F3825">
        <w:rPr>
          <w:b/>
          <w:szCs w:val="20"/>
          <w:lang w:val="en-GB"/>
        </w:rPr>
        <w:t>Outcome 2.1 Increased institutional capacity of protected area management agencies (OFINAP and DGEF) to manage knowledge and design rules for the use and development of natural resources</w:t>
      </w:r>
    </w:p>
    <w:p w14:paraId="7C1D0F76" w14:textId="2CBECD53" w:rsidR="004F4706" w:rsidRPr="003F4704" w:rsidRDefault="004F4706" w:rsidP="004F4706">
      <w:pPr>
        <w:spacing w:before="120" w:after="0"/>
        <w:contextualSpacing/>
        <w:rPr>
          <w:bCs/>
          <w:szCs w:val="20"/>
          <w:highlight w:val="green"/>
          <w:lang w:val="en-GB"/>
        </w:rPr>
      </w:pPr>
      <w:r w:rsidRPr="003F4704">
        <w:rPr>
          <w:bCs/>
          <w:szCs w:val="20"/>
          <w:highlight w:val="green"/>
          <w:lang w:val="en-GB"/>
        </w:rPr>
        <w:t>To assess and manage the impacts of this Outcome, as indicated in the SESP – in attachment to the ProDoc – the following assessment and management processes will be put in place, to comply with UNDP SES:</w:t>
      </w:r>
    </w:p>
    <w:p w14:paraId="01E729DE" w14:textId="77777777" w:rsidR="004F4706" w:rsidRPr="003F4704" w:rsidRDefault="004F4706" w:rsidP="004F4706">
      <w:pPr>
        <w:spacing w:before="120" w:after="0"/>
        <w:contextualSpacing/>
        <w:rPr>
          <w:bCs/>
          <w:szCs w:val="20"/>
          <w:highlight w:val="green"/>
          <w:u w:val="single"/>
          <w:lang w:val="en-GB"/>
        </w:rPr>
      </w:pPr>
      <w:r w:rsidRPr="003F4704">
        <w:rPr>
          <w:bCs/>
          <w:szCs w:val="20"/>
          <w:highlight w:val="green"/>
          <w:u w:val="single"/>
          <w:lang w:val="en-GB"/>
        </w:rPr>
        <w:t>Assessments:</w:t>
      </w:r>
    </w:p>
    <w:p w14:paraId="5AE952C8" w14:textId="79A0D08D" w:rsidR="004F4706" w:rsidRPr="00BE65D5" w:rsidRDefault="004F4706" w:rsidP="004F4706">
      <w:pPr>
        <w:spacing w:before="120" w:after="120"/>
        <w:contextualSpacing/>
        <w:rPr>
          <w:rFonts w:asciiTheme="minorHAnsi" w:hAnsiTheme="minorHAnsi" w:cstheme="minorHAnsi"/>
          <w:szCs w:val="20"/>
          <w:highlight w:val="green"/>
        </w:rPr>
      </w:pPr>
      <w:r w:rsidRPr="00BE65D5">
        <w:rPr>
          <w:rFonts w:asciiTheme="minorHAnsi" w:hAnsiTheme="minorHAnsi" w:cstheme="minorHAnsi"/>
          <w:szCs w:val="20"/>
          <w:highlight w:val="green"/>
        </w:rPr>
        <w:t>ESIA</w:t>
      </w:r>
    </w:p>
    <w:p w14:paraId="296DBCE4" w14:textId="2ED7A5EC" w:rsidR="004F4706" w:rsidRPr="003F4704" w:rsidRDefault="004F4706" w:rsidP="004F4706">
      <w:pPr>
        <w:spacing w:before="120" w:after="120"/>
        <w:contextualSpacing/>
        <w:rPr>
          <w:rFonts w:asciiTheme="minorHAnsi" w:hAnsiTheme="minorHAnsi" w:cstheme="minorHAnsi"/>
          <w:b/>
          <w:szCs w:val="20"/>
          <w:highlight w:val="green"/>
        </w:rPr>
      </w:pPr>
      <w:r w:rsidRPr="00BE65D5">
        <w:rPr>
          <w:rFonts w:asciiTheme="minorHAnsi" w:hAnsiTheme="minorHAnsi" w:cstheme="minorHAnsi"/>
          <w:szCs w:val="20"/>
          <w:highlight w:val="green"/>
        </w:rPr>
        <w:t>Gender Analysis</w:t>
      </w:r>
    </w:p>
    <w:p w14:paraId="22050E20" w14:textId="5D152BDA" w:rsidR="004F4706" w:rsidRPr="00BE65D5" w:rsidRDefault="004F4706" w:rsidP="00BE65D5">
      <w:pPr>
        <w:spacing w:before="120" w:after="120"/>
        <w:contextualSpacing/>
        <w:rPr>
          <w:rFonts w:asciiTheme="minorHAnsi" w:hAnsiTheme="minorHAnsi" w:cstheme="minorHAnsi"/>
          <w:szCs w:val="20"/>
          <w:highlight w:val="green"/>
          <w:u w:val="single"/>
        </w:rPr>
      </w:pPr>
      <w:r w:rsidRPr="00BE65D5">
        <w:rPr>
          <w:rFonts w:asciiTheme="minorHAnsi" w:hAnsiTheme="minorHAnsi" w:cstheme="minorHAnsi"/>
          <w:szCs w:val="20"/>
          <w:highlight w:val="green"/>
          <w:u w:val="single"/>
        </w:rPr>
        <w:t>Management</w:t>
      </w:r>
    </w:p>
    <w:p w14:paraId="0B2CFD77" w14:textId="77777777" w:rsidR="004F4706" w:rsidRPr="003F4704" w:rsidRDefault="004F4706" w:rsidP="004F4706">
      <w:pPr>
        <w:spacing w:before="120" w:after="120"/>
        <w:contextualSpacing/>
        <w:rPr>
          <w:rFonts w:asciiTheme="minorHAnsi" w:hAnsiTheme="minorHAnsi" w:cstheme="minorHAnsi"/>
          <w:szCs w:val="20"/>
          <w:highlight w:val="green"/>
        </w:rPr>
      </w:pPr>
      <w:r w:rsidRPr="003F4704">
        <w:rPr>
          <w:rFonts w:asciiTheme="minorHAnsi" w:hAnsiTheme="minorHAnsi" w:cstheme="minorHAnsi"/>
          <w:szCs w:val="20"/>
          <w:highlight w:val="green"/>
        </w:rPr>
        <w:t>Comprehensive Stakeholder Engagement Plan</w:t>
      </w:r>
    </w:p>
    <w:p w14:paraId="58047C7F" w14:textId="77777777" w:rsidR="004F4706" w:rsidRPr="003F4704" w:rsidRDefault="004F4706" w:rsidP="004F4706">
      <w:pPr>
        <w:spacing w:before="120" w:after="120"/>
        <w:contextualSpacing/>
        <w:rPr>
          <w:rFonts w:asciiTheme="minorHAnsi" w:hAnsiTheme="minorHAnsi" w:cstheme="minorHAnsi"/>
          <w:szCs w:val="20"/>
          <w:highlight w:val="green"/>
        </w:rPr>
      </w:pPr>
      <w:r w:rsidRPr="003F4704">
        <w:rPr>
          <w:rFonts w:asciiTheme="minorHAnsi" w:hAnsiTheme="minorHAnsi" w:cstheme="minorHAnsi"/>
          <w:szCs w:val="20"/>
          <w:highlight w:val="green"/>
        </w:rPr>
        <w:t>Indigenous People Plan</w:t>
      </w:r>
    </w:p>
    <w:p w14:paraId="3F28EBCE" w14:textId="77777777" w:rsidR="004F4706" w:rsidRPr="003F4704" w:rsidRDefault="004F4706" w:rsidP="004F4706">
      <w:pPr>
        <w:spacing w:before="120" w:after="120"/>
        <w:contextualSpacing/>
        <w:rPr>
          <w:rFonts w:asciiTheme="minorHAnsi" w:hAnsiTheme="minorHAnsi" w:cstheme="minorHAnsi"/>
          <w:szCs w:val="20"/>
          <w:highlight w:val="green"/>
        </w:rPr>
      </w:pPr>
      <w:r w:rsidRPr="003F4704">
        <w:rPr>
          <w:rFonts w:asciiTheme="minorHAnsi" w:hAnsiTheme="minorHAnsi" w:cstheme="minorHAnsi"/>
          <w:szCs w:val="20"/>
          <w:highlight w:val="green"/>
        </w:rPr>
        <w:t xml:space="preserve">Gender Action Plan </w:t>
      </w:r>
    </w:p>
    <w:p w14:paraId="29B47659" w14:textId="1FEB053F" w:rsidR="004F4706" w:rsidRPr="005F3825" w:rsidRDefault="004F4706" w:rsidP="00BE65D5">
      <w:pPr>
        <w:spacing w:before="120" w:after="120"/>
        <w:rPr>
          <w:b/>
          <w:szCs w:val="20"/>
          <w:lang w:val="en-GB"/>
        </w:rPr>
      </w:pPr>
      <w:r w:rsidRPr="003F4704">
        <w:rPr>
          <w:rFonts w:asciiTheme="minorHAnsi" w:hAnsiTheme="minorHAnsi" w:cstheme="minorHAnsi"/>
          <w:szCs w:val="20"/>
          <w:highlight w:val="green"/>
        </w:rPr>
        <w:t>ESMP</w:t>
      </w:r>
    </w:p>
    <w:p w14:paraId="30256AC1" w14:textId="57F47E98" w:rsidR="00302BFE" w:rsidRDefault="00302BFE" w:rsidP="00302BFE">
      <w:pPr>
        <w:spacing w:before="120" w:after="120"/>
        <w:ind w:left="284"/>
        <w:rPr>
          <w:b/>
          <w:szCs w:val="20"/>
          <w:lang w:val="en-GB"/>
        </w:rPr>
      </w:pPr>
      <w:r w:rsidRPr="005F3825">
        <w:rPr>
          <w:b/>
          <w:szCs w:val="20"/>
          <w:lang w:val="en-GB"/>
        </w:rPr>
        <w:t>Outcome 2.2 Increased effectiveness of protected area management on 354,781 ha including State protected areas, community protected areas and wildlife corridors within the PONASI complex</w:t>
      </w:r>
    </w:p>
    <w:p w14:paraId="546A6A88" w14:textId="77777777" w:rsidR="004F4706" w:rsidRPr="003F4704" w:rsidRDefault="004F4706" w:rsidP="004F4706">
      <w:pPr>
        <w:spacing w:before="120" w:after="0"/>
        <w:contextualSpacing/>
        <w:rPr>
          <w:bCs/>
          <w:szCs w:val="20"/>
          <w:highlight w:val="green"/>
          <w:lang w:val="en-GB"/>
        </w:rPr>
      </w:pPr>
      <w:r w:rsidRPr="003F4704">
        <w:rPr>
          <w:bCs/>
          <w:szCs w:val="20"/>
          <w:highlight w:val="green"/>
          <w:lang w:val="en-GB"/>
        </w:rPr>
        <w:t>To assess and manage the impacts of this Output, as indicated in the SESP – in attachment to the ProDoc – the following assessment and management processes will be put in place, to comply with UNDP SES:</w:t>
      </w:r>
    </w:p>
    <w:p w14:paraId="1185CBC9" w14:textId="77777777" w:rsidR="004F4706" w:rsidRPr="003F4704" w:rsidRDefault="004F4706" w:rsidP="004F4706">
      <w:pPr>
        <w:spacing w:before="120" w:after="0"/>
        <w:contextualSpacing/>
        <w:rPr>
          <w:bCs/>
          <w:szCs w:val="20"/>
          <w:highlight w:val="green"/>
          <w:u w:val="single"/>
          <w:lang w:val="en-GB"/>
        </w:rPr>
      </w:pPr>
      <w:r w:rsidRPr="003F4704">
        <w:rPr>
          <w:bCs/>
          <w:szCs w:val="20"/>
          <w:highlight w:val="green"/>
          <w:u w:val="single"/>
          <w:lang w:val="en-GB"/>
        </w:rPr>
        <w:t>Assessments:</w:t>
      </w:r>
    </w:p>
    <w:p w14:paraId="54E79278" w14:textId="77777777" w:rsidR="004F4706" w:rsidRPr="003F4704" w:rsidRDefault="004F4706" w:rsidP="004F4706">
      <w:pPr>
        <w:spacing w:before="120" w:after="0"/>
        <w:contextualSpacing/>
        <w:rPr>
          <w:bCs/>
          <w:szCs w:val="20"/>
          <w:highlight w:val="green"/>
          <w:lang w:val="en-GB"/>
        </w:rPr>
      </w:pPr>
      <w:r w:rsidRPr="003F4704">
        <w:rPr>
          <w:bCs/>
          <w:szCs w:val="20"/>
          <w:highlight w:val="green"/>
          <w:lang w:val="en-GB"/>
        </w:rPr>
        <w:t>SESA (Strategic Social and Environmental Assessment)</w:t>
      </w:r>
    </w:p>
    <w:p w14:paraId="52EAE520" w14:textId="77777777" w:rsidR="004F4706" w:rsidRPr="003F4704" w:rsidRDefault="004F4706" w:rsidP="004F4706">
      <w:pPr>
        <w:spacing w:before="120" w:after="0"/>
        <w:contextualSpacing/>
        <w:rPr>
          <w:bCs/>
          <w:szCs w:val="20"/>
          <w:highlight w:val="green"/>
          <w:lang w:val="en-GB"/>
        </w:rPr>
      </w:pPr>
      <w:r w:rsidRPr="003F4704">
        <w:rPr>
          <w:highlight w:val="green"/>
        </w:rPr>
        <w:t>ESIA (Environmental and Social Impact Assessment)</w:t>
      </w:r>
    </w:p>
    <w:p w14:paraId="1864ED2C" w14:textId="77777777" w:rsidR="004F4706" w:rsidRPr="003F4704" w:rsidRDefault="004F4706" w:rsidP="004F4706">
      <w:pPr>
        <w:spacing w:before="120" w:after="0"/>
        <w:contextualSpacing/>
        <w:rPr>
          <w:highlight w:val="green"/>
          <w:u w:val="single"/>
        </w:rPr>
      </w:pPr>
      <w:r w:rsidRPr="003F4704">
        <w:rPr>
          <w:highlight w:val="green"/>
          <w:u w:val="single"/>
        </w:rPr>
        <w:t>Management:</w:t>
      </w:r>
    </w:p>
    <w:p w14:paraId="72EB5DB7" w14:textId="77777777" w:rsidR="004F4706" w:rsidRPr="003F4704" w:rsidRDefault="004F4706" w:rsidP="004F4706">
      <w:pPr>
        <w:spacing w:before="120" w:after="120"/>
        <w:contextualSpacing/>
        <w:rPr>
          <w:rFonts w:asciiTheme="minorHAnsi" w:hAnsiTheme="minorHAnsi" w:cstheme="minorHAnsi"/>
          <w:szCs w:val="20"/>
          <w:highlight w:val="green"/>
        </w:rPr>
      </w:pPr>
      <w:r w:rsidRPr="003F4704">
        <w:rPr>
          <w:rFonts w:asciiTheme="minorHAnsi" w:hAnsiTheme="minorHAnsi" w:cstheme="minorHAnsi"/>
          <w:szCs w:val="20"/>
          <w:highlight w:val="green"/>
        </w:rPr>
        <w:t>SESA report and recommendations (Actions Matrix)</w:t>
      </w:r>
    </w:p>
    <w:p w14:paraId="4A77202E" w14:textId="77777777" w:rsidR="004F4706" w:rsidRPr="003F4704" w:rsidRDefault="004F4706" w:rsidP="004F4706">
      <w:pPr>
        <w:spacing w:before="120" w:after="120"/>
        <w:contextualSpacing/>
        <w:rPr>
          <w:rFonts w:asciiTheme="minorHAnsi" w:hAnsiTheme="minorHAnsi" w:cstheme="minorHAnsi"/>
          <w:szCs w:val="20"/>
          <w:highlight w:val="green"/>
        </w:rPr>
      </w:pPr>
      <w:r w:rsidRPr="003F4704">
        <w:rPr>
          <w:rFonts w:asciiTheme="minorHAnsi" w:hAnsiTheme="minorHAnsi" w:cstheme="minorHAnsi"/>
          <w:szCs w:val="20"/>
          <w:highlight w:val="green"/>
        </w:rPr>
        <w:t>Comprehensive Stakeholder Engagement Plan</w:t>
      </w:r>
    </w:p>
    <w:p w14:paraId="571A515D" w14:textId="77777777" w:rsidR="004F4706" w:rsidRPr="003F4704" w:rsidRDefault="004F4706" w:rsidP="004F4706">
      <w:pPr>
        <w:spacing w:before="120" w:after="120"/>
        <w:contextualSpacing/>
        <w:rPr>
          <w:rFonts w:asciiTheme="minorHAnsi" w:hAnsiTheme="minorHAnsi" w:cstheme="minorHAnsi"/>
          <w:szCs w:val="20"/>
          <w:highlight w:val="green"/>
        </w:rPr>
      </w:pPr>
      <w:r w:rsidRPr="003F4704">
        <w:rPr>
          <w:rFonts w:asciiTheme="minorHAnsi" w:hAnsiTheme="minorHAnsi" w:cstheme="minorHAnsi"/>
          <w:szCs w:val="20"/>
          <w:highlight w:val="green"/>
        </w:rPr>
        <w:t>Indigenous People Plan</w:t>
      </w:r>
    </w:p>
    <w:p w14:paraId="27B02FA8" w14:textId="77777777" w:rsidR="004F4706" w:rsidRPr="003F4704" w:rsidRDefault="004F4706" w:rsidP="004F4706">
      <w:pPr>
        <w:spacing w:before="120" w:after="120"/>
        <w:contextualSpacing/>
        <w:rPr>
          <w:rFonts w:asciiTheme="minorHAnsi" w:hAnsiTheme="minorHAnsi" w:cstheme="minorHAnsi"/>
          <w:szCs w:val="20"/>
          <w:highlight w:val="green"/>
        </w:rPr>
      </w:pPr>
      <w:r w:rsidRPr="003F4704">
        <w:rPr>
          <w:rFonts w:asciiTheme="minorHAnsi" w:hAnsiTheme="minorHAnsi" w:cstheme="minorHAnsi"/>
          <w:szCs w:val="20"/>
          <w:highlight w:val="green"/>
        </w:rPr>
        <w:t xml:space="preserve">Gender Action Plan </w:t>
      </w:r>
    </w:p>
    <w:p w14:paraId="59A9713F" w14:textId="694F18AA" w:rsidR="004F4706" w:rsidRPr="00BE65D5" w:rsidRDefault="004F4706" w:rsidP="00BE65D5">
      <w:pPr>
        <w:spacing w:before="120"/>
        <w:contextualSpacing/>
        <w:rPr>
          <w:bCs/>
          <w:szCs w:val="20"/>
          <w:lang w:val="en-GB"/>
        </w:rPr>
      </w:pPr>
      <w:r w:rsidRPr="003F4704">
        <w:rPr>
          <w:rFonts w:asciiTheme="minorHAnsi" w:hAnsiTheme="minorHAnsi" w:cstheme="minorHAnsi"/>
          <w:szCs w:val="20"/>
          <w:highlight w:val="green"/>
        </w:rPr>
        <w:t>ESMP</w:t>
      </w:r>
    </w:p>
    <w:p w14:paraId="267D464E" w14:textId="77777777" w:rsidR="00302BFE" w:rsidRPr="00793D18"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793D18">
        <w:rPr>
          <w:rFonts w:ascii="Calibri" w:eastAsia="Cambria" w:hAnsi="Calibri"/>
          <w:sz w:val="20"/>
          <w:szCs w:val="20"/>
          <w:lang w:val="en-GB"/>
        </w:rPr>
        <w:t>The work under this component will strengthen the institutional capacity for the management of the PONASI complex and increase the effectiveness of the management of protected areas and individual corridors. Through this component, the project will enhance the institutional capacity of protected area agencies, as measured by the UNDP Capacity Development Dashboard. It will also improve management effectiveness in 354,781 ha of PA including State-managed PAs, ZOVICs (community protected areas), and two wildlife corridors in the PONASI complex, as indicated by: (i) Increased METT scores for individual sites (</w:t>
      </w:r>
      <w:r w:rsidRPr="00793D18">
        <w:rPr>
          <w:rFonts w:ascii="Calibri" w:hAnsi="Calibri"/>
          <w:sz w:val="20"/>
          <w:szCs w:val="20"/>
          <w:lang w:val="en-CA"/>
        </w:rPr>
        <w:t>PNKT</w:t>
      </w:r>
      <w:r w:rsidRPr="00793D18">
        <w:rPr>
          <w:rFonts w:ascii="Calibri" w:eastAsia="Cambria" w:hAnsi="Calibri"/>
          <w:sz w:val="20"/>
          <w:szCs w:val="20"/>
          <w:lang w:val="en-GB"/>
        </w:rPr>
        <w:t xml:space="preserve">, Sissili, Nazinga, ZOVIC), </w:t>
      </w:r>
      <w:r w:rsidRPr="00793D18">
        <w:rPr>
          <w:rFonts w:ascii="Calibri" w:eastAsia="Cambria" w:hAnsi="Calibri"/>
          <w:sz w:val="20"/>
          <w:szCs w:val="20"/>
          <w:lang w:val="en-GB"/>
        </w:rPr>
        <w:lastRenderedPageBreak/>
        <w:t>reflecting improved management; (ii) biodiversity indicators showing an improvement in biodiversity and the state of the ecosystem in each PA; (iii) stable or increasing elephant population in the PONASI complex compared to the currently estimated 600.</w:t>
      </w:r>
    </w:p>
    <w:p w14:paraId="2EFEF029" w14:textId="77777777" w:rsidR="00302BFE"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Pr>
          <w:rFonts w:ascii="Calibri" w:hAnsi="Calibri"/>
          <w:sz w:val="20"/>
          <w:szCs w:val="20"/>
          <w:lang w:val="en-GB"/>
        </w:rPr>
        <w:t xml:space="preserve">The </w:t>
      </w:r>
      <w:r w:rsidRPr="00E80A9B">
        <w:rPr>
          <w:rFonts w:ascii="Calibri" w:hAnsi="Calibri"/>
          <w:sz w:val="20"/>
          <w:szCs w:val="20"/>
          <w:lang w:val="en-GB"/>
        </w:rPr>
        <w:t>PONASI complex</w:t>
      </w:r>
      <w:r>
        <w:rPr>
          <w:rFonts w:ascii="Calibri" w:hAnsi="Calibri"/>
          <w:sz w:val="20"/>
          <w:szCs w:val="20"/>
          <w:lang w:val="en-GB"/>
        </w:rPr>
        <w:t xml:space="preserve"> has been recently designated as a Ramsar site under the Ramsar Convention, and s</w:t>
      </w:r>
      <w:r w:rsidRPr="00E80A9B">
        <w:rPr>
          <w:rFonts w:ascii="Calibri" w:hAnsi="Calibri"/>
          <w:sz w:val="20"/>
          <w:szCs w:val="20"/>
          <w:lang w:val="en-GB"/>
        </w:rPr>
        <w:t xml:space="preserve">teps are underway to classify </w:t>
      </w:r>
      <w:r>
        <w:rPr>
          <w:rFonts w:ascii="Calibri" w:hAnsi="Calibri"/>
          <w:sz w:val="20"/>
          <w:szCs w:val="20"/>
          <w:lang w:val="en-GB"/>
        </w:rPr>
        <w:t xml:space="preserve">it </w:t>
      </w:r>
      <w:r w:rsidRPr="00E80A9B">
        <w:rPr>
          <w:rFonts w:ascii="Calibri" w:hAnsi="Calibri"/>
          <w:sz w:val="20"/>
          <w:szCs w:val="20"/>
          <w:lang w:val="en-GB"/>
        </w:rPr>
        <w:t xml:space="preserve">as a Biosphere Reserve under the UNESCO MAB program. This global status allows protected areas to be harmoniously integrated into the adjacent rural area by providing dynamic, realistic and negotiated solutions that enable subsistence economies and traditional production systems to co-exist with protected and conserved ecosystems. This scheme is perfectly consistent with the landscape approach adopted by the project. The process of developing management tools </w:t>
      </w:r>
      <w:r>
        <w:rPr>
          <w:rFonts w:ascii="Calibri" w:hAnsi="Calibri"/>
          <w:sz w:val="20"/>
          <w:szCs w:val="20"/>
          <w:lang w:val="en-GB"/>
        </w:rPr>
        <w:t xml:space="preserve">for individual PAs </w:t>
      </w:r>
      <w:r w:rsidRPr="00E80A9B">
        <w:rPr>
          <w:rFonts w:ascii="Calibri" w:hAnsi="Calibri"/>
          <w:sz w:val="20"/>
          <w:szCs w:val="20"/>
          <w:lang w:val="en-GB"/>
        </w:rPr>
        <w:t xml:space="preserve">and </w:t>
      </w:r>
      <w:r>
        <w:rPr>
          <w:rFonts w:ascii="Calibri" w:hAnsi="Calibri"/>
          <w:sz w:val="20"/>
          <w:szCs w:val="20"/>
          <w:lang w:val="en-GB"/>
        </w:rPr>
        <w:t xml:space="preserve">for </w:t>
      </w:r>
      <w:r w:rsidRPr="00E80A9B">
        <w:rPr>
          <w:rFonts w:ascii="Calibri" w:hAnsi="Calibri"/>
          <w:sz w:val="20"/>
          <w:szCs w:val="20"/>
          <w:lang w:val="en-GB"/>
        </w:rPr>
        <w:t xml:space="preserve">the </w:t>
      </w:r>
      <w:r>
        <w:rPr>
          <w:rFonts w:ascii="Calibri" w:hAnsi="Calibri"/>
          <w:sz w:val="20"/>
          <w:szCs w:val="20"/>
          <w:lang w:val="en-GB"/>
        </w:rPr>
        <w:t>entire</w:t>
      </w:r>
      <w:r w:rsidRPr="00E80A9B">
        <w:rPr>
          <w:rFonts w:ascii="Calibri" w:hAnsi="Calibri"/>
          <w:sz w:val="20"/>
          <w:szCs w:val="20"/>
          <w:lang w:val="en-GB"/>
        </w:rPr>
        <w:t xml:space="preserve"> PONASI landscape will take into account the requirements </w:t>
      </w:r>
      <w:r>
        <w:rPr>
          <w:rFonts w:ascii="Calibri" w:hAnsi="Calibri"/>
          <w:sz w:val="20"/>
          <w:szCs w:val="20"/>
          <w:lang w:val="en-GB"/>
        </w:rPr>
        <w:t>related to</w:t>
      </w:r>
      <w:r w:rsidRPr="00E80A9B">
        <w:rPr>
          <w:rFonts w:ascii="Calibri" w:hAnsi="Calibri"/>
          <w:sz w:val="20"/>
          <w:szCs w:val="20"/>
          <w:lang w:val="en-GB"/>
        </w:rPr>
        <w:t xml:space="preserve"> th</w:t>
      </w:r>
      <w:r>
        <w:rPr>
          <w:rFonts w:ascii="Calibri" w:hAnsi="Calibri"/>
          <w:sz w:val="20"/>
          <w:szCs w:val="20"/>
          <w:lang w:val="en-GB"/>
        </w:rPr>
        <w:t>e</w:t>
      </w:r>
      <w:r w:rsidRPr="00E80A9B">
        <w:rPr>
          <w:rFonts w:ascii="Calibri" w:hAnsi="Calibri"/>
          <w:sz w:val="20"/>
          <w:szCs w:val="20"/>
          <w:lang w:val="en-GB"/>
        </w:rPr>
        <w:t>s</w:t>
      </w:r>
      <w:r>
        <w:rPr>
          <w:rFonts w:ascii="Calibri" w:hAnsi="Calibri"/>
          <w:sz w:val="20"/>
          <w:szCs w:val="20"/>
          <w:lang w:val="en-GB"/>
        </w:rPr>
        <w:t>e</w:t>
      </w:r>
      <w:r w:rsidRPr="00E80A9B">
        <w:rPr>
          <w:rFonts w:ascii="Calibri" w:hAnsi="Calibri"/>
          <w:sz w:val="20"/>
          <w:szCs w:val="20"/>
          <w:lang w:val="en-GB"/>
        </w:rPr>
        <w:t xml:space="preserve"> designation</w:t>
      </w:r>
      <w:r>
        <w:rPr>
          <w:rFonts w:ascii="Calibri" w:hAnsi="Calibri"/>
          <w:sz w:val="20"/>
          <w:szCs w:val="20"/>
          <w:lang w:val="en-GB"/>
        </w:rPr>
        <w:t>s</w:t>
      </w:r>
      <w:r w:rsidRPr="00E80A9B">
        <w:rPr>
          <w:rFonts w:ascii="Calibri" w:hAnsi="Calibri"/>
          <w:sz w:val="20"/>
          <w:szCs w:val="20"/>
          <w:lang w:val="en-GB"/>
        </w:rPr>
        <w:t>.</w:t>
      </w:r>
    </w:p>
    <w:p w14:paraId="055015DC" w14:textId="77777777" w:rsidR="00302BFE" w:rsidRPr="005F3825" w:rsidRDefault="00302BFE" w:rsidP="00302BFE">
      <w:pPr>
        <w:spacing w:before="240" w:after="120"/>
        <w:rPr>
          <w:rFonts w:eastAsia="Cambria"/>
          <w:szCs w:val="20"/>
          <w:lang w:val="en-GB"/>
        </w:rPr>
      </w:pPr>
      <w:r w:rsidRPr="005F3825">
        <w:rPr>
          <w:b/>
          <w:szCs w:val="20"/>
          <w:lang w:val="en-GB"/>
        </w:rPr>
        <w:t>Output 2.1 Institutional and individual capacities within PA agencies are enhanced through targeted capacity building interventions.</w:t>
      </w:r>
      <w:r w:rsidRPr="005F3825">
        <w:rPr>
          <w:rFonts w:eastAsia="Cambria"/>
          <w:szCs w:val="20"/>
          <w:lang w:val="en-GB"/>
        </w:rPr>
        <w:t xml:space="preserve"> </w:t>
      </w:r>
    </w:p>
    <w:p w14:paraId="6C635EE7" w14:textId="7341B874" w:rsidR="00302BFE" w:rsidRPr="00FF7C64"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5F3825">
        <w:rPr>
          <w:rFonts w:ascii="Calibri" w:eastAsia="Cambria" w:hAnsi="Calibri"/>
          <w:sz w:val="20"/>
          <w:szCs w:val="20"/>
          <w:lang w:val="en-GB"/>
        </w:rPr>
        <w:t>Institutions will be strengthened, as well as the profile of their staff, to ensure, among other things, planning and implementation capacity, community engagement, monitoring and evaluation, and financial mobilization. Staff will be equipped, trained and operational, and the basic infrastructure needed for PA management is repaired or constructed. The Capacity Building Program will increase the capacity of PA managers and operational staff to adapt to new challenges by using innovative approaches, including addressing the global challenge of long-term funding for PAs.</w:t>
      </w:r>
      <w:r w:rsidR="001E5CCF">
        <w:rPr>
          <w:rFonts w:ascii="Calibri" w:eastAsia="Cambria" w:hAnsi="Calibri"/>
          <w:sz w:val="20"/>
          <w:szCs w:val="20"/>
          <w:lang w:val="en-GB"/>
        </w:rPr>
        <w:t xml:space="preserve"> </w:t>
      </w:r>
      <w:r w:rsidR="001E5CCF" w:rsidRPr="00A63E29">
        <w:rPr>
          <w:rFonts w:ascii="Calibri" w:eastAsia="Cambria" w:hAnsi="Calibri"/>
          <w:sz w:val="20"/>
          <w:szCs w:val="20"/>
          <w:lang w:val="en-GB"/>
        </w:rPr>
        <w:t>All capacity building activities will strictly respect COVID guidelines and will incorporate basic trainings on COVID response measures such hygiene (eg hand washing).</w:t>
      </w:r>
      <w:r w:rsidR="001E5CCF" w:rsidRPr="00FF7C64">
        <w:rPr>
          <w:rFonts w:ascii="Calibri" w:eastAsia="Cambria" w:hAnsi="Calibri"/>
          <w:sz w:val="20"/>
          <w:szCs w:val="20"/>
          <w:lang w:val="en-GB"/>
        </w:rPr>
        <w:t xml:space="preserve"> </w:t>
      </w:r>
    </w:p>
    <w:p w14:paraId="3B3CB6C9" w14:textId="77777777" w:rsidR="00302BFE" w:rsidRPr="005F3825" w:rsidRDefault="00302BFE" w:rsidP="00302BFE">
      <w:pPr>
        <w:spacing w:before="120" w:after="120"/>
        <w:rPr>
          <w:i/>
          <w:color w:val="4472C4"/>
          <w:szCs w:val="20"/>
          <w:lang w:val="en-GB"/>
        </w:rPr>
      </w:pPr>
      <w:r w:rsidRPr="000D4277">
        <w:rPr>
          <w:i/>
          <w:color w:val="4472C4"/>
          <w:szCs w:val="20"/>
          <w:lang w:val="en-GB"/>
        </w:rPr>
        <w:t xml:space="preserve">2.1.1 The institutional </w:t>
      </w:r>
      <w:r w:rsidR="0053434B" w:rsidRPr="000D4277">
        <w:rPr>
          <w:i/>
          <w:color w:val="4472C4"/>
          <w:szCs w:val="20"/>
          <w:lang w:val="en-GB"/>
        </w:rPr>
        <w:t>and legislative framework</w:t>
      </w:r>
      <w:r w:rsidRPr="000D4277">
        <w:rPr>
          <w:i/>
          <w:color w:val="4472C4"/>
          <w:szCs w:val="20"/>
          <w:lang w:val="en-GB"/>
        </w:rPr>
        <w:t xml:space="preserve"> enables effective, efficient and collaborative management of the PONASI protected areas</w:t>
      </w:r>
    </w:p>
    <w:p w14:paraId="233D0208" w14:textId="17E00028" w:rsidR="00302BFE" w:rsidRPr="000D4277"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0D4277">
        <w:rPr>
          <w:rFonts w:ascii="Calibri" w:eastAsia="Cambria" w:hAnsi="Calibri"/>
          <w:sz w:val="20"/>
          <w:szCs w:val="20"/>
          <w:u w:val="single"/>
          <w:lang w:val="en-GB"/>
        </w:rPr>
        <w:t>Institutions in charge of PA management</w:t>
      </w:r>
      <w:r w:rsidRPr="000D4277">
        <w:rPr>
          <w:rFonts w:ascii="Calibri" w:hAnsi="Calibri"/>
          <w:sz w:val="20"/>
          <w:szCs w:val="20"/>
          <w:lang w:val="en-GB"/>
        </w:rPr>
        <w:t xml:space="preserve">. The three core PAs of the PONASI complex are under different institutions’ authority: DGEF, OFINAP and DREEVCC. A management unit is in place for the Nazinga GR but there is none for the </w:t>
      </w:r>
      <w:r w:rsidRPr="000D4277">
        <w:rPr>
          <w:rFonts w:ascii="Calibri" w:hAnsi="Calibri"/>
          <w:sz w:val="20"/>
          <w:szCs w:val="20"/>
          <w:lang w:val="en-CA"/>
        </w:rPr>
        <w:t>PNKT,</w:t>
      </w:r>
      <w:r w:rsidRPr="000D4277">
        <w:rPr>
          <w:rFonts w:ascii="Calibri" w:hAnsi="Calibri"/>
          <w:sz w:val="20"/>
          <w:szCs w:val="20"/>
          <w:lang w:val="en-GB"/>
        </w:rPr>
        <w:t xml:space="preserve"> the Sissili CF or the corridors. The project support will initially identify the optimal institutional arrangement for the management of PAs of the PONASI complex, and accordingly, support the implementation of these arrangements. The project will thus recruit an expert consultant in PA management support the facilitation of a workshop gathering relevant institutions and stakeholders involved in the management of PAs and their resources to identify the most effective and efficient institutional arrangement to ensure the management of the State protected areas (Nazinga, Sissili, PNKT) and of both corridors. </w:t>
      </w:r>
      <w:r w:rsidRPr="00E72276">
        <w:rPr>
          <w:rFonts w:ascii="Calibri" w:hAnsi="Calibri"/>
          <w:sz w:val="20"/>
          <w:szCs w:val="20"/>
          <w:lang w:val="en-GB"/>
        </w:rPr>
        <w:t xml:space="preserve">Options for the institutional arrangement would include maintaining the status quo or handing over the supervision of all PAs of the PONASI complex (Nazinga GR, </w:t>
      </w:r>
      <w:r w:rsidRPr="00E72276">
        <w:rPr>
          <w:rFonts w:ascii="Calibri" w:hAnsi="Calibri"/>
          <w:sz w:val="20"/>
          <w:szCs w:val="20"/>
          <w:lang w:val="en-CA"/>
        </w:rPr>
        <w:t>PNKT</w:t>
      </w:r>
      <w:r w:rsidRPr="00E72276">
        <w:rPr>
          <w:rFonts w:ascii="Calibri" w:hAnsi="Calibri"/>
          <w:sz w:val="20"/>
          <w:szCs w:val="20"/>
          <w:lang w:val="en-GB"/>
        </w:rPr>
        <w:t xml:space="preserve">, Sissili CF and corridors # 1 and # 2) to OFINAP. Options for site-level management may be to appoint conservators to oversee staff and operations for each of the main protected areas, Nazinga, Sissili and </w:t>
      </w:r>
      <w:r w:rsidRPr="00E72276">
        <w:rPr>
          <w:rFonts w:ascii="Calibri" w:hAnsi="Calibri"/>
          <w:sz w:val="20"/>
          <w:szCs w:val="20"/>
          <w:lang w:val="en-CA"/>
        </w:rPr>
        <w:t>PNKT</w:t>
      </w:r>
      <w:r w:rsidRPr="00E72276">
        <w:rPr>
          <w:rFonts w:ascii="Calibri" w:hAnsi="Calibri"/>
          <w:sz w:val="20"/>
          <w:szCs w:val="20"/>
          <w:lang w:val="en-GB"/>
        </w:rPr>
        <w:t>, which would at the same time manage corridors # 1 and # 2, or to appoint a single Conservator for all protected areas, including corridors, to coordinate technical teams based on individual sites, and</w:t>
      </w:r>
      <w:r w:rsidRPr="00E72276">
        <w:rPr>
          <w:rFonts w:ascii="Calibri" w:eastAsia="Cambria" w:hAnsi="Calibri"/>
          <w:sz w:val="20"/>
          <w:szCs w:val="20"/>
          <w:lang w:val="en-GB"/>
        </w:rPr>
        <w:t xml:space="preserve"> lead the implementation of the business plan for the PAs of the PONASI complex. </w:t>
      </w:r>
      <w:r w:rsidRPr="00E72276">
        <w:rPr>
          <w:rFonts w:ascii="Calibri" w:hAnsi="Calibri"/>
          <w:sz w:val="20"/>
          <w:szCs w:val="20"/>
          <w:lang w:val="en-GB"/>
        </w:rPr>
        <w:t xml:space="preserve">This second option would facilitate the harmonization of the monitoring and management of animal populations that move within the PONASI landscape, from one protected area to another, including corridors, while allowing a more efficient sharing of human, technical and material resources according to the needs of each site, including a common information system. Depending on the selected optimal scenario, the project will support either the establishment of new management units for the </w:t>
      </w:r>
      <w:r w:rsidRPr="00E72276">
        <w:rPr>
          <w:rFonts w:ascii="Calibri" w:hAnsi="Calibri"/>
          <w:sz w:val="20"/>
          <w:szCs w:val="20"/>
          <w:lang w:val="en-CA"/>
        </w:rPr>
        <w:t>PNKT</w:t>
      </w:r>
      <w:r w:rsidRPr="00E72276">
        <w:rPr>
          <w:rFonts w:ascii="Calibri" w:hAnsi="Calibri"/>
          <w:sz w:val="20"/>
          <w:szCs w:val="20"/>
          <w:lang w:val="en-GB"/>
        </w:rPr>
        <w:t xml:space="preserve"> and the Sissili CF, or the revision of the status of the Nazinga Management Unit and the responsible institution, OFINAP, to oversee all sites. </w:t>
      </w:r>
      <w:r w:rsidR="0053434B" w:rsidRPr="00E72276">
        <w:rPr>
          <w:rFonts w:ascii="Calibri" w:hAnsi="Calibri"/>
          <w:sz w:val="20"/>
          <w:szCs w:val="20"/>
          <w:lang w:val="en-GB"/>
        </w:rPr>
        <w:t xml:space="preserve">A legal consultant will review the statutes of the institutions to verify the legal feasibility of entrusting the management of all PAs of the PONASI complex to OFINAP. </w:t>
      </w:r>
      <w:r w:rsidRPr="00E72276">
        <w:rPr>
          <w:rFonts w:ascii="Calibri" w:hAnsi="Calibri"/>
          <w:sz w:val="20"/>
          <w:szCs w:val="20"/>
          <w:lang w:val="en-GB"/>
        </w:rPr>
        <w:t xml:space="preserve">The project will also support advocacy with the </w:t>
      </w:r>
      <w:r w:rsidRPr="00A63E29">
        <w:rPr>
          <w:rFonts w:ascii="Calibri" w:hAnsi="Calibri"/>
          <w:sz w:val="20"/>
          <w:szCs w:val="20"/>
          <w:highlight w:val="yellow"/>
          <w:lang w:val="en-GB"/>
        </w:rPr>
        <w:t>ME</w:t>
      </w:r>
      <w:r w:rsidR="00C3693C" w:rsidRPr="00A63E29">
        <w:rPr>
          <w:rFonts w:ascii="Calibri" w:hAnsi="Calibri"/>
          <w:sz w:val="20"/>
          <w:szCs w:val="20"/>
          <w:highlight w:val="yellow"/>
          <w:lang w:val="en-GB"/>
        </w:rPr>
        <w:t>EEA</w:t>
      </w:r>
      <w:r w:rsidRPr="00E72276">
        <w:rPr>
          <w:rFonts w:ascii="Calibri" w:hAnsi="Calibri"/>
          <w:sz w:val="20"/>
          <w:szCs w:val="20"/>
          <w:lang w:val="en-GB"/>
        </w:rPr>
        <w:t xml:space="preserve"> authorities for the assignment of additional staff as needed to ensure adequate surveillance of PAs and update of biodiversity monitoring and surveillance databases.</w:t>
      </w:r>
      <w:r w:rsidRPr="000D4277">
        <w:rPr>
          <w:rFonts w:ascii="Calibri" w:hAnsi="Calibri"/>
          <w:sz w:val="20"/>
          <w:szCs w:val="20"/>
          <w:lang w:val="en-GB"/>
        </w:rPr>
        <w:t xml:space="preserve"> The valuation of ecosystem goods and services within the PONASI PA complex and surrounding landscape carried out as part of the activities under output 1.2.1 will provide the necessary arguments to support this advocacy. </w:t>
      </w:r>
    </w:p>
    <w:p w14:paraId="7683AB8B" w14:textId="77777777" w:rsidR="00302BFE" w:rsidRPr="000D4277"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0D4277">
        <w:rPr>
          <w:rFonts w:ascii="Calibri" w:eastAsia="Cambria" w:hAnsi="Calibri"/>
          <w:sz w:val="20"/>
          <w:szCs w:val="20"/>
          <w:u w:val="single"/>
          <w:lang w:val="en-GB"/>
        </w:rPr>
        <w:t>Collaborative management framework</w:t>
      </w:r>
      <w:r w:rsidRPr="000D4277">
        <w:rPr>
          <w:rFonts w:ascii="Calibri" w:hAnsi="Calibri"/>
          <w:sz w:val="20"/>
          <w:szCs w:val="20"/>
          <w:lang w:val="en-GB"/>
        </w:rPr>
        <w:t xml:space="preserve">. Although the strategic documents advocate greater involvement of local communities and a fairer sharing of the benefits of PAs, the various evaluations are unanimous in noting that local communities do not benefit significantly from PAs. Therefore, the project will support the operationalization of collaborative management involving communities neighbouring protected areas and will support, as needed, the revision of the statutes of the institutions in charge of PAs (OFINAP, DGEF and DREEVCC) to take into account the collaborative management of PAs. </w:t>
      </w:r>
      <w:r w:rsidR="0053434B" w:rsidRPr="000D4277">
        <w:rPr>
          <w:rFonts w:ascii="Calibri" w:hAnsi="Calibri"/>
          <w:sz w:val="20"/>
          <w:szCs w:val="20"/>
          <w:lang w:val="en-GB"/>
        </w:rPr>
        <w:t xml:space="preserve">A legal consultant will examine the statutes of the institutions in charge of PAs to </w:t>
      </w:r>
      <w:r w:rsidR="00772ECA" w:rsidRPr="000D4277">
        <w:rPr>
          <w:rFonts w:ascii="Calibri" w:hAnsi="Calibri"/>
          <w:sz w:val="20"/>
          <w:szCs w:val="20"/>
          <w:lang w:val="en-GB"/>
        </w:rPr>
        <w:t>verify whether</w:t>
      </w:r>
      <w:r w:rsidR="00F44B50" w:rsidRPr="000D4277">
        <w:rPr>
          <w:rFonts w:ascii="Calibri" w:hAnsi="Calibri"/>
          <w:sz w:val="20"/>
          <w:szCs w:val="20"/>
          <w:lang w:val="en-GB"/>
        </w:rPr>
        <w:t xml:space="preserve"> </w:t>
      </w:r>
      <w:r w:rsidR="00A3008F" w:rsidRPr="000D4277">
        <w:rPr>
          <w:rFonts w:ascii="Calibri" w:hAnsi="Calibri"/>
          <w:sz w:val="20"/>
          <w:szCs w:val="20"/>
          <w:lang w:val="en-GB"/>
        </w:rPr>
        <w:t xml:space="preserve">legislative </w:t>
      </w:r>
      <w:r w:rsidR="00772ECA" w:rsidRPr="000D4277">
        <w:rPr>
          <w:rFonts w:ascii="Calibri" w:hAnsi="Calibri"/>
          <w:sz w:val="20"/>
          <w:szCs w:val="20"/>
          <w:lang w:val="en-GB"/>
        </w:rPr>
        <w:t xml:space="preserve">constraints </w:t>
      </w:r>
      <w:r w:rsidR="00A3008F" w:rsidRPr="000D4277">
        <w:rPr>
          <w:rFonts w:ascii="Calibri" w:hAnsi="Calibri"/>
          <w:sz w:val="20"/>
          <w:szCs w:val="20"/>
          <w:lang w:val="en-GB"/>
        </w:rPr>
        <w:t xml:space="preserve">exist </w:t>
      </w:r>
      <w:r w:rsidR="00772ECA" w:rsidRPr="000D4277">
        <w:rPr>
          <w:rFonts w:ascii="Calibri" w:hAnsi="Calibri"/>
          <w:sz w:val="20"/>
          <w:szCs w:val="20"/>
          <w:lang w:val="en-GB"/>
        </w:rPr>
        <w:t>that would limit the</w:t>
      </w:r>
      <w:r w:rsidR="00F44B50" w:rsidRPr="000D4277">
        <w:rPr>
          <w:rFonts w:ascii="Calibri" w:hAnsi="Calibri"/>
          <w:sz w:val="20"/>
          <w:szCs w:val="20"/>
          <w:lang w:val="en-GB"/>
        </w:rPr>
        <w:t xml:space="preserve"> collaborati</w:t>
      </w:r>
      <w:r w:rsidR="00772ECA" w:rsidRPr="000D4277">
        <w:rPr>
          <w:rFonts w:ascii="Calibri" w:hAnsi="Calibri"/>
          <w:sz w:val="20"/>
          <w:szCs w:val="20"/>
          <w:lang w:val="en-GB"/>
        </w:rPr>
        <w:t>on of</w:t>
      </w:r>
      <w:r w:rsidR="00F44B50" w:rsidRPr="000D4277">
        <w:rPr>
          <w:rFonts w:ascii="Calibri" w:hAnsi="Calibri"/>
          <w:sz w:val="20"/>
          <w:szCs w:val="20"/>
          <w:lang w:val="en-GB"/>
        </w:rPr>
        <w:t xml:space="preserve"> </w:t>
      </w:r>
      <w:r w:rsidR="00A3008F" w:rsidRPr="000D4277">
        <w:rPr>
          <w:rFonts w:ascii="Calibri" w:hAnsi="Calibri"/>
          <w:sz w:val="20"/>
          <w:szCs w:val="20"/>
          <w:lang w:val="en-GB"/>
        </w:rPr>
        <w:t xml:space="preserve">neighbouring </w:t>
      </w:r>
      <w:r w:rsidR="00772ECA" w:rsidRPr="000D4277">
        <w:rPr>
          <w:rFonts w:ascii="Calibri" w:hAnsi="Calibri"/>
          <w:sz w:val="20"/>
          <w:szCs w:val="20"/>
          <w:lang w:val="en-GB"/>
        </w:rPr>
        <w:t xml:space="preserve">communities in the </w:t>
      </w:r>
      <w:r w:rsidR="00F44B50" w:rsidRPr="000D4277">
        <w:rPr>
          <w:rFonts w:ascii="Calibri" w:hAnsi="Calibri"/>
          <w:sz w:val="20"/>
          <w:szCs w:val="20"/>
          <w:lang w:val="en-GB"/>
        </w:rPr>
        <w:t>management of PAs</w:t>
      </w:r>
      <w:r w:rsidR="00A3008F" w:rsidRPr="000D4277">
        <w:rPr>
          <w:rFonts w:ascii="Calibri" w:hAnsi="Calibri"/>
          <w:sz w:val="20"/>
          <w:szCs w:val="20"/>
          <w:lang w:val="en-GB"/>
        </w:rPr>
        <w:t>, and where appropriate, make recommendations to remove these constraints</w:t>
      </w:r>
      <w:r w:rsidR="00F44B50" w:rsidRPr="000D4277">
        <w:rPr>
          <w:rFonts w:ascii="Calibri" w:hAnsi="Calibri"/>
          <w:sz w:val="20"/>
          <w:szCs w:val="20"/>
          <w:lang w:val="en-GB"/>
        </w:rPr>
        <w:t>.</w:t>
      </w:r>
    </w:p>
    <w:p w14:paraId="3458EE01" w14:textId="77777777" w:rsidR="00302BFE" w:rsidRPr="000D4277"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0D4277">
        <w:rPr>
          <w:rFonts w:ascii="Calibri" w:eastAsia="Cambria" w:hAnsi="Calibri"/>
          <w:sz w:val="20"/>
          <w:szCs w:val="20"/>
          <w:u w:val="single"/>
          <w:lang w:val="en-GB"/>
        </w:rPr>
        <w:t>PA Collaborative Management Committees</w:t>
      </w:r>
      <w:r w:rsidRPr="000D4277">
        <w:rPr>
          <w:rFonts w:ascii="Calibri" w:hAnsi="Calibri"/>
          <w:sz w:val="20"/>
          <w:szCs w:val="20"/>
          <w:lang w:val="en-GB"/>
        </w:rPr>
        <w:t xml:space="preserve">. The project will also support the establishment of collaborative PA management committees for each site, to allow consultation between the traditional authorities, the CVDs and the PA managers. The project will work with the structures established by previous projects such as the local committees in the </w:t>
      </w:r>
      <w:r w:rsidRPr="000D4277">
        <w:rPr>
          <w:rFonts w:ascii="Calibri" w:hAnsi="Calibri"/>
          <w:sz w:val="20"/>
          <w:szCs w:val="20"/>
          <w:lang w:val="en-CA"/>
        </w:rPr>
        <w:t>PNKT</w:t>
      </w:r>
      <w:r w:rsidRPr="000D4277">
        <w:rPr>
          <w:rFonts w:ascii="Calibri" w:hAnsi="Calibri"/>
          <w:sz w:val="20"/>
          <w:szCs w:val="20"/>
          <w:lang w:val="en-GB"/>
        </w:rPr>
        <w:t xml:space="preserve"> villages supported by Naturama, with the village development associations, and the Wildlife Management Committees for community PAs, ZOVICs. The role and composition of the existing structures will be re-evaluated according to clearly defined criteria to ensure that the required profiles are present within these groups to revitalize community members’ motivation and mobilization, to solicit the support of partners to implement their sustainable development plan, and to advocate the conservation values of biodiversity. </w:t>
      </w:r>
      <w:r w:rsidR="00F44B50" w:rsidRPr="000D4277">
        <w:rPr>
          <w:rFonts w:ascii="Calibri" w:hAnsi="Calibri"/>
          <w:sz w:val="20"/>
          <w:szCs w:val="20"/>
          <w:lang w:val="en-GB"/>
        </w:rPr>
        <w:t xml:space="preserve">A community mobilization </w:t>
      </w:r>
      <w:r w:rsidR="00F44B50" w:rsidRPr="000D4277">
        <w:rPr>
          <w:rFonts w:ascii="Calibri" w:hAnsi="Calibri"/>
          <w:sz w:val="20"/>
          <w:szCs w:val="20"/>
          <w:lang w:val="en-GB"/>
        </w:rPr>
        <w:lastRenderedPageBreak/>
        <w:t>specialist recruited by the</w:t>
      </w:r>
      <w:r w:rsidRPr="000D4277">
        <w:rPr>
          <w:rFonts w:ascii="Calibri" w:hAnsi="Calibri"/>
          <w:sz w:val="20"/>
          <w:szCs w:val="20"/>
          <w:lang w:val="en-GB"/>
        </w:rPr>
        <w:t xml:space="preserve"> project will support consultation meetings with these structures and influential community members to assess their composition and capacities, identify necessary changes and support capacity building.</w:t>
      </w:r>
    </w:p>
    <w:p w14:paraId="52AF759A" w14:textId="523E03C7" w:rsidR="00302BFE" w:rsidRPr="00D61C93"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5F3825">
        <w:rPr>
          <w:rFonts w:ascii="Calibri" w:eastAsia="Cambria" w:hAnsi="Calibri"/>
          <w:sz w:val="20"/>
          <w:szCs w:val="20"/>
          <w:u w:val="single"/>
          <w:lang w:val="en-GB"/>
        </w:rPr>
        <w:t>Forum of consultation of committees and other stakeholders of PAs, ZOVICs and corridors within the PONASI landscape</w:t>
      </w:r>
      <w:r w:rsidRPr="005F3825">
        <w:rPr>
          <w:rFonts w:ascii="Calibri" w:eastAsia="Cambria" w:hAnsi="Calibri"/>
          <w:sz w:val="20"/>
          <w:szCs w:val="20"/>
          <w:lang w:val="en-GB"/>
        </w:rPr>
        <w:t xml:space="preserve">. A PA Consultative Forum will be established to ensure the harmonization of management plans at the site level, the monitoring of their implementation and evaluation of their effects, and participation in the co-governance mechanism of the landscape. This forum will meet annually to discuss the planning and implementation of PA management plans and assess their effects. The PA Conservator(s) will chair these discussions, with the support of the Community Mobilization Officer. This consultation forum will bring together representatives of managers of PAs, ZOVICs, private concessionaires, representatives of resource user groups, local authorities and technical services of Water and Forestry department. As a first step, the project will support the logistical and technical organization of these meetings to ensure the compliance with the procedures and the regularity of the </w:t>
      </w:r>
      <w:r w:rsidR="00B1378C">
        <w:rPr>
          <w:rFonts w:ascii="Calibri" w:eastAsia="Cambria" w:hAnsi="Calibri"/>
          <w:sz w:val="20"/>
          <w:szCs w:val="20"/>
          <w:lang w:val="en-GB"/>
        </w:rPr>
        <w:t>monitoring</w:t>
      </w:r>
      <w:r w:rsidRPr="005F3825">
        <w:rPr>
          <w:rFonts w:ascii="Calibri" w:eastAsia="Cambria" w:hAnsi="Calibri"/>
          <w:sz w:val="20"/>
          <w:szCs w:val="20"/>
          <w:lang w:val="en-GB"/>
        </w:rPr>
        <w:t xml:space="preserve">. GEF funding and project support </w:t>
      </w:r>
      <w:r w:rsidRPr="00D61C93">
        <w:rPr>
          <w:rFonts w:ascii="Calibri" w:eastAsia="Cambria" w:hAnsi="Calibri"/>
          <w:sz w:val="20"/>
          <w:szCs w:val="20"/>
          <w:lang w:val="en-GB"/>
        </w:rPr>
        <w:t>will gradually decrease as PA governance structures develop capacity and autonomy and are better funded.</w:t>
      </w:r>
    </w:p>
    <w:p w14:paraId="303F7B99" w14:textId="3B4B30FC" w:rsidR="00302BFE" w:rsidRDefault="00302BFE" w:rsidP="00302BFE">
      <w:pPr>
        <w:spacing w:before="120" w:after="120"/>
        <w:rPr>
          <w:i/>
          <w:color w:val="4472C4"/>
          <w:szCs w:val="20"/>
          <w:lang w:val="en-GB"/>
        </w:rPr>
      </w:pPr>
      <w:r w:rsidRPr="00D61C93">
        <w:rPr>
          <w:i/>
          <w:color w:val="4472C4"/>
          <w:szCs w:val="20"/>
          <w:lang w:val="en-GB"/>
        </w:rPr>
        <w:t>2.1.2 An information system for monitoring, analysis, mapping and dissemination of knowledge is implemented and allows adaptive management of protected areas at the scale of the PONASI complex and for individual sites</w:t>
      </w:r>
    </w:p>
    <w:p w14:paraId="4EA2F4A9" w14:textId="39D4A6B0" w:rsidR="001F23E3" w:rsidRPr="00BE65D5" w:rsidRDefault="001F23E3" w:rsidP="00302BFE">
      <w:pPr>
        <w:spacing w:before="120" w:after="120"/>
        <w:rPr>
          <w:iCs/>
          <w:color w:val="4472C4"/>
          <w:szCs w:val="20"/>
          <w:lang w:val="en-GB"/>
        </w:rPr>
      </w:pPr>
      <w:r w:rsidRPr="003F4704">
        <w:rPr>
          <w:iCs/>
          <w:color w:val="4472C4"/>
          <w:szCs w:val="20"/>
          <w:highlight w:val="green"/>
          <w:lang w:val="en-GB"/>
        </w:rPr>
        <w:t>For this activity, the FPIC (Free, Prior and Informed Consent) process has to be ensured</w:t>
      </w:r>
    </w:p>
    <w:p w14:paraId="0E757094" w14:textId="1B2DB3ED" w:rsidR="00302BFE" w:rsidRPr="00D61C93" w:rsidRDefault="00302BFE" w:rsidP="00C46720">
      <w:pPr>
        <w:pStyle w:val="Paragraphedeliste"/>
        <w:numPr>
          <w:ilvl w:val="0"/>
          <w:numId w:val="14"/>
        </w:numPr>
        <w:tabs>
          <w:tab w:val="left" w:pos="284"/>
        </w:tabs>
        <w:spacing w:before="120" w:after="120"/>
        <w:ind w:left="0" w:firstLine="0"/>
        <w:jc w:val="both"/>
        <w:rPr>
          <w:rFonts w:asciiTheme="minorHAnsi" w:hAnsiTheme="minorHAnsi"/>
          <w:sz w:val="20"/>
          <w:szCs w:val="20"/>
          <w:lang w:val="en-GB"/>
        </w:rPr>
      </w:pPr>
      <w:r w:rsidRPr="00D61C93">
        <w:rPr>
          <w:rFonts w:asciiTheme="minorHAnsi" w:hAnsiTheme="minorHAnsi"/>
          <w:sz w:val="20"/>
          <w:szCs w:val="20"/>
          <w:lang w:val="en-GB"/>
        </w:rPr>
        <w:t>The project will support the establishment of a GIS office dedicated to PONASI PAs, the constitution of databases and their access through a website in order to make essential information accessible to PA managers and the public</w:t>
      </w:r>
      <w:r w:rsidR="00E72276" w:rsidRPr="00D61C93">
        <w:rPr>
          <w:rFonts w:asciiTheme="minorHAnsi" w:hAnsiTheme="minorHAnsi"/>
          <w:sz w:val="20"/>
          <w:szCs w:val="20"/>
          <w:lang w:val="en-GB"/>
        </w:rPr>
        <w:t xml:space="preserve">. </w:t>
      </w:r>
      <w:r w:rsidR="00477C55" w:rsidRPr="00D61C93">
        <w:rPr>
          <w:rFonts w:asciiTheme="minorHAnsi" w:hAnsiTheme="minorHAnsi"/>
          <w:sz w:val="20"/>
          <w:szCs w:val="20"/>
          <w:lang w:val="en-GB"/>
        </w:rPr>
        <w:t>Ecological m</w:t>
      </w:r>
      <w:r w:rsidR="00E72276" w:rsidRPr="00D61C93">
        <w:rPr>
          <w:rFonts w:asciiTheme="minorHAnsi" w:hAnsiTheme="minorHAnsi"/>
          <w:sz w:val="20"/>
          <w:szCs w:val="20"/>
        </w:rPr>
        <w:t xml:space="preserve">onitoring will be conducted under the supervision of the </w:t>
      </w:r>
      <w:r w:rsidR="00E72276" w:rsidRPr="00D61C93">
        <w:rPr>
          <w:rFonts w:ascii="Calibri" w:hAnsi="Calibri"/>
          <w:sz w:val="20"/>
          <w:szCs w:val="20"/>
          <w:lang w:val="en-CA"/>
        </w:rPr>
        <w:t xml:space="preserve">Department of Planning and Ecological Monitoring of the DFRC </w:t>
      </w:r>
      <w:r w:rsidR="00477C55" w:rsidRPr="00D61C93">
        <w:rPr>
          <w:rFonts w:ascii="Calibri" w:hAnsi="Calibri"/>
          <w:sz w:val="20"/>
          <w:szCs w:val="20"/>
          <w:lang w:val="en-CA"/>
        </w:rPr>
        <w:t xml:space="preserve">supported in the field by seven (7) forest stations and brigades </w:t>
      </w:r>
      <w:r w:rsidR="001B7D4D" w:rsidRPr="00D61C93">
        <w:rPr>
          <w:rFonts w:ascii="Calibri" w:hAnsi="Calibri"/>
          <w:sz w:val="20"/>
          <w:szCs w:val="20"/>
          <w:lang w:val="en-CA"/>
        </w:rPr>
        <w:t>dedicated</w:t>
      </w:r>
      <w:r w:rsidR="00477C55" w:rsidRPr="00D61C93">
        <w:rPr>
          <w:rFonts w:ascii="Calibri" w:hAnsi="Calibri"/>
          <w:sz w:val="20"/>
          <w:szCs w:val="20"/>
          <w:lang w:val="en-CA"/>
        </w:rPr>
        <w:t xml:space="preserve"> to PAs (4 for the RGN and 3 for the PNKT) with respectively 10 (RGN) and 11 (PNKT) forest agents</w:t>
      </w:r>
      <w:r w:rsidRPr="00D61C93">
        <w:rPr>
          <w:rFonts w:asciiTheme="minorHAnsi" w:hAnsiTheme="minorHAnsi"/>
          <w:sz w:val="20"/>
          <w:szCs w:val="20"/>
          <w:lang w:val="en-GB"/>
        </w:rPr>
        <w:t>:</w:t>
      </w:r>
    </w:p>
    <w:p w14:paraId="4A6CA8FE" w14:textId="77777777" w:rsidR="00302BFE" w:rsidRPr="00D61C93" w:rsidRDefault="00302BFE" w:rsidP="00C46720">
      <w:pPr>
        <w:pStyle w:val="Paragraphedeliste"/>
        <w:numPr>
          <w:ilvl w:val="0"/>
          <w:numId w:val="14"/>
        </w:numPr>
        <w:tabs>
          <w:tab w:val="left" w:pos="284"/>
        </w:tabs>
        <w:spacing w:before="120" w:after="120"/>
        <w:ind w:left="0" w:firstLine="0"/>
        <w:jc w:val="both"/>
        <w:rPr>
          <w:rFonts w:ascii="Calibri" w:hAnsi="Calibri"/>
          <w:sz w:val="20"/>
          <w:lang w:val="en-GB"/>
        </w:rPr>
      </w:pPr>
      <w:r w:rsidRPr="00D61C93">
        <w:rPr>
          <w:rFonts w:ascii="Calibri" w:eastAsia="Cambria" w:hAnsi="Calibri"/>
          <w:sz w:val="20"/>
          <w:szCs w:val="20"/>
          <w:u w:val="single"/>
          <w:lang w:val="en-GB"/>
        </w:rPr>
        <w:t>A GIS-office for the PA complex is set up and operational</w:t>
      </w:r>
      <w:r w:rsidRPr="00D61C93">
        <w:rPr>
          <w:rFonts w:ascii="Calibri" w:hAnsi="Calibri"/>
          <w:i/>
          <w:iCs/>
          <w:color w:val="4472C4"/>
          <w:sz w:val="20"/>
          <w:lang w:val="en-GB"/>
        </w:rPr>
        <w:t xml:space="preserve">. </w:t>
      </w:r>
      <w:r w:rsidRPr="00D61C93">
        <w:rPr>
          <w:rFonts w:ascii="Calibri" w:hAnsi="Calibri"/>
          <w:sz w:val="20"/>
          <w:lang w:val="en-GB"/>
        </w:rPr>
        <w:t xml:space="preserve">A new GIS service entirely dedicated to the PA system will be put in place and </w:t>
      </w:r>
      <w:r w:rsidR="00A3008F" w:rsidRPr="00D61C93">
        <w:rPr>
          <w:rFonts w:ascii="Calibri" w:hAnsi="Calibri"/>
          <w:sz w:val="20"/>
          <w:lang w:val="en-GB"/>
        </w:rPr>
        <w:t xml:space="preserve">equipment will be procured for PA offices and for the institution in charge of the PAs of the PONASI (to cover the needs of 3 PAs, 2 corridors and 11 ZOVICs). This </w:t>
      </w:r>
      <w:r w:rsidRPr="00D61C93">
        <w:rPr>
          <w:rFonts w:ascii="Calibri" w:hAnsi="Calibri"/>
          <w:sz w:val="20"/>
          <w:lang w:val="en-GB"/>
        </w:rPr>
        <w:t>will involve:</w:t>
      </w:r>
    </w:p>
    <w:p w14:paraId="459C0033" w14:textId="73F917EC" w:rsidR="00302BFE" w:rsidRPr="00D61C93" w:rsidRDefault="00A3008F" w:rsidP="00C46720">
      <w:pPr>
        <w:numPr>
          <w:ilvl w:val="0"/>
          <w:numId w:val="20"/>
        </w:numPr>
        <w:adjustRightInd w:val="0"/>
        <w:spacing w:before="60"/>
        <w:rPr>
          <w:lang w:val="en-GB"/>
        </w:rPr>
      </w:pPr>
      <w:r w:rsidRPr="00D61C93">
        <w:rPr>
          <w:u w:val="single"/>
          <w:lang w:val="en-GB"/>
        </w:rPr>
        <w:t>The a</w:t>
      </w:r>
      <w:r w:rsidR="00302BFE" w:rsidRPr="00D61C93">
        <w:rPr>
          <w:u w:val="single"/>
          <w:lang w:val="en-GB"/>
        </w:rPr>
        <w:t xml:space="preserve">cquisition of hardware and software needed for </w:t>
      </w:r>
      <w:r w:rsidR="004A25B2" w:rsidRPr="00D61C93">
        <w:rPr>
          <w:u w:val="single"/>
          <w:lang w:val="en-GB"/>
        </w:rPr>
        <w:t xml:space="preserve">georeferenced </w:t>
      </w:r>
      <w:r w:rsidR="00302BFE" w:rsidRPr="00D61C93">
        <w:rPr>
          <w:u w:val="single"/>
          <w:lang w:val="en-GB"/>
        </w:rPr>
        <w:t xml:space="preserve">data collection and data </w:t>
      </w:r>
      <w:r w:rsidRPr="00D61C93">
        <w:rPr>
          <w:u w:val="single"/>
          <w:lang w:val="en-GB"/>
        </w:rPr>
        <w:t>capture, processing and reporting</w:t>
      </w:r>
      <w:r w:rsidR="00302BFE" w:rsidRPr="00D61C93">
        <w:rPr>
          <w:lang w:val="en-GB"/>
        </w:rPr>
        <w:t xml:space="preserve">, a database management system, a graphical user interface for easy use, and query, analysis and visualization tools. The equipment </w:t>
      </w:r>
      <w:r w:rsidRPr="00D61C93">
        <w:rPr>
          <w:lang w:val="en-GB"/>
        </w:rPr>
        <w:t>will</w:t>
      </w:r>
      <w:r w:rsidR="00302BFE" w:rsidRPr="00D61C93">
        <w:rPr>
          <w:lang w:val="en-GB"/>
        </w:rPr>
        <w:t xml:space="preserve"> include GPS, cameras, </w:t>
      </w:r>
      <w:r w:rsidRPr="00D61C93">
        <w:rPr>
          <w:lang w:val="en-GB"/>
        </w:rPr>
        <w:t xml:space="preserve">laptop and </w:t>
      </w:r>
      <w:r w:rsidR="00302BFE" w:rsidRPr="00D61C93">
        <w:rPr>
          <w:lang w:val="en-GB"/>
        </w:rPr>
        <w:t>desktop</w:t>
      </w:r>
      <w:r w:rsidRPr="00D61C93">
        <w:rPr>
          <w:lang w:val="en-GB"/>
        </w:rPr>
        <w:t xml:space="preserve"> computers</w:t>
      </w:r>
      <w:r w:rsidR="00302BFE" w:rsidRPr="00D61C93">
        <w:rPr>
          <w:lang w:val="en-GB"/>
        </w:rPr>
        <w:t xml:space="preserve"> for capturing data from each PA, computer</w:t>
      </w:r>
      <w:r w:rsidRPr="00D61C93">
        <w:rPr>
          <w:lang w:val="en-GB"/>
        </w:rPr>
        <w:t>s</w:t>
      </w:r>
      <w:r w:rsidR="00302BFE" w:rsidRPr="00D61C93">
        <w:rPr>
          <w:lang w:val="en-GB"/>
        </w:rPr>
        <w:t xml:space="preserve"> with large storage capacity and large screen</w:t>
      </w:r>
      <w:r w:rsidRPr="00D61C93">
        <w:rPr>
          <w:lang w:val="en-GB"/>
        </w:rPr>
        <w:t>s</w:t>
      </w:r>
      <w:r w:rsidR="00302BFE" w:rsidRPr="00D61C93">
        <w:rPr>
          <w:lang w:val="en-GB"/>
        </w:rPr>
        <w:t>, backup system</w:t>
      </w:r>
      <w:r w:rsidRPr="00D61C93">
        <w:rPr>
          <w:lang w:val="en-GB"/>
        </w:rPr>
        <w:t>s</w:t>
      </w:r>
      <w:r w:rsidR="00302BFE" w:rsidRPr="00D61C93">
        <w:rPr>
          <w:lang w:val="en-GB"/>
        </w:rPr>
        <w:t xml:space="preserve"> with high storage capacity, large size map printer</w:t>
      </w:r>
      <w:r w:rsidRPr="00D61C93">
        <w:rPr>
          <w:lang w:val="en-GB"/>
        </w:rPr>
        <w:t>s</w:t>
      </w:r>
      <w:r w:rsidR="00302BFE" w:rsidRPr="00D61C93">
        <w:rPr>
          <w:lang w:val="en-GB"/>
        </w:rPr>
        <w:t>, digitizer and specialized software.</w:t>
      </w:r>
    </w:p>
    <w:p w14:paraId="0CC07BE6" w14:textId="77777777" w:rsidR="00302BFE" w:rsidRPr="00D61C93" w:rsidRDefault="00A3008F" w:rsidP="00C46720">
      <w:pPr>
        <w:numPr>
          <w:ilvl w:val="0"/>
          <w:numId w:val="20"/>
        </w:numPr>
        <w:adjustRightInd w:val="0"/>
        <w:spacing w:before="60"/>
        <w:rPr>
          <w:lang w:val="en-GB"/>
        </w:rPr>
      </w:pPr>
      <w:r w:rsidRPr="00D61C93">
        <w:rPr>
          <w:u w:val="single"/>
          <w:lang w:val="en-GB"/>
        </w:rPr>
        <w:t>The r</w:t>
      </w:r>
      <w:r w:rsidR="00302BFE" w:rsidRPr="00D61C93">
        <w:rPr>
          <w:u w:val="single"/>
          <w:lang w:val="en-GB"/>
        </w:rPr>
        <w:t xml:space="preserve">ecruitment of a GIS expert dedicated to PAs </w:t>
      </w:r>
    </w:p>
    <w:p w14:paraId="4F5DD216" w14:textId="77777777" w:rsidR="00302BFE" w:rsidRPr="000D4277" w:rsidRDefault="00302BFE" w:rsidP="00C46720">
      <w:pPr>
        <w:pStyle w:val="Paragraphedeliste"/>
        <w:numPr>
          <w:ilvl w:val="0"/>
          <w:numId w:val="14"/>
        </w:numPr>
        <w:tabs>
          <w:tab w:val="left" w:pos="284"/>
        </w:tabs>
        <w:spacing w:before="120" w:after="120"/>
        <w:ind w:left="0" w:firstLine="0"/>
        <w:jc w:val="both"/>
        <w:rPr>
          <w:rFonts w:ascii="Calibri" w:hAnsi="Calibri"/>
          <w:sz w:val="20"/>
          <w:lang w:val="en-GB"/>
        </w:rPr>
      </w:pPr>
      <w:r w:rsidRPr="00D61C93">
        <w:rPr>
          <w:rFonts w:ascii="Calibri" w:eastAsia="Cambria" w:hAnsi="Calibri"/>
          <w:sz w:val="20"/>
          <w:szCs w:val="20"/>
          <w:u w:val="single"/>
          <w:lang w:val="en-GB"/>
        </w:rPr>
        <w:t>A database including the monitoring of biodiversity and of the pressures that affect it, and accessible to stakeholders, allows better planning of PA management</w:t>
      </w:r>
      <w:r w:rsidRPr="00D61C93">
        <w:rPr>
          <w:rFonts w:ascii="Calibri" w:hAnsi="Calibri"/>
          <w:i/>
          <w:iCs/>
          <w:color w:val="4472C4"/>
          <w:sz w:val="20"/>
          <w:lang w:val="en-GB"/>
        </w:rPr>
        <w:t>.</w:t>
      </w:r>
      <w:r w:rsidRPr="00D61C93">
        <w:rPr>
          <w:rFonts w:ascii="Calibri" w:hAnsi="Calibri"/>
          <w:sz w:val="20"/>
          <w:lang w:val="en-GB"/>
        </w:rPr>
        <w:t xml:space="preserve"> The project will </w:t>
      </w:r>
      <w:r w:rsidRPr="00D61C93">
        <w:rPr>
          <w:rFonts w:ascii="Calibri" w:hAnsi="Calibri"/>
          <w:sz w:val="20"/>
          <w:szCs w:val="20"/>
          <w:lang w:val="en-GB"/>
        </w:rPr>
        <w:t xml:space="preserve">recruit a GIS expert to </w:t>
      </w:r>
      <w:r w:rsidRPr="00D61C93">
        <w:rPr>
          <w:rFonts w:ascii="Calibri" w:hAnsi="Calibri"/>
          <w:sz w:val="20"/>
          <w:lang w:val="en-GB"/>
        </w:rPr>
        <w:t xml:space="preserve">develop a georeferenced database using the ARCGIS software and building on existing databases (such as the one established as part of the PAGEN project) and data collected in the Nazinga Game Ranch </w:t>
      </w:r>
      <w:r w:rsidR="0028552C" w:rsidRPr="00D61C93">
        <w:rPr>
          <w:rFonts w:ascii="Calibri" w:hAnsi="Calibri"/>
          <w:sz w:val="20"/>
          <w:lang w:val="en-GB"/>
        </w:rPr>
        <w:t>between 1981 and 2011,</w:t>
      </w:r>
      <w:r w:rsidRPr="00D61C93">
        <w:rPr>
          <w:rFonts w:ascii="Calibri" w:hAnsi="Calibri"/>
          <w:sz w:val="20"/>
          <w:lang w:val="en-GB"/>
        </w:rPr>
        <w:t xml:space="preserve"> and </w:t>
      </w:r>
      <w:r w:rsidR="0028552C" w:rsidRPr="00D61C93">
        <w:rPr>
          <w:rFonts w:ascii="Calibri" w:hAnsi="Calibri"/>
          <w:sz w:val="20"/>
          <w:lang w:val="en-GB"/>
        </w:rPr>
        <w:t xml:space="preserve">sporadically </w:t>
      </w:r>
      <w:r w:rsidRPr="00D61C93">
        <w:rPr>
          <w:rFonts w:ascii="Calibri" w:hAnsi="Calibri"/>
          <w:sz w:val="20"/>
          <w:lang w:val="en-GB"/>
        </w:rPr>
        <w:t>in the Kaboré-Tambi NP. The GIS and cartographic database will be a tool accessible to all stakeholders and will be updated on a regular basis</w:t>
      </w:r>
      <w:r w:rsidRPr="000D4277">
        <w:rPr>
          <w:rFonts w:ascii="Calibri" w:hAnsi="Calibri"/>
          <w:sz w:val="20"/>
          <w:lang w:val="en-GB"/>
        </w:rPr>
        <w:t xml:space="preserve"> to support the participatory planning process. The creation of this database will include a protocol specifying the conditions of access and use to ensure the protection of strategic or sensitive data and their sharing with relevant users.</w:t>
      </w:r>
      <w:r w:rsidRPr="000D4277">
        <w:rPr>
          <w:rFonts w:ascii="Calibri" w:hAnsi="Calibri"/>
          <w:color w:val="000000"/>
          <w:sz w:val="20"/>
          <w:lang w:val="en-GB"/>
        </w:rPr>
        <w:t xml:space="preserve"> Existing data on PAs of the PONASI complex will also be integrated into appropriate global and regional databases to make them accessible to different types of users.</w:t>
      </w:r>
    </w:p>
    <w:p w14:paraId="5D518449" w14:textId="042AC127" w:rsidR="00302BFE" w:rsidRPr="0099310D" w:rsidRDefault="00302BFE" w:rsidP="00C46720">
      <w:pPr>
        <w:pStyle w:val="Paragraphedeliste"/>
        <w:numPr>
          <w:ilvl w:val="0"/>
          <w:numId w:val="14"/>
        </w:numPr>
        <w:tabs>
          <w:tab w:val="left" w:pos="284"/>
        </w:tabs>
        <w:spacing w:before="120" w:after="120"/>
        <w:ind w:left="0" w:firstLine="0"/>
        <w:jc w:val="both"/>
        <w:rPr>
          <w:rFonts w:ascii="Calibri" w:hAnsi="Calibri"/>
          <w:color w:val="000000"/>
          <w:sz w:val="20"/>
          <w:lang w:val="en-GB"/>
        </w:rPr>
      </w:pPr>
      <w:r w:rsidRPr="0099310D">
        <w:rPr>
          <w:rFonts w:ascii="Calibri" w:hAnsi="Calibri"/>
          <w:color w:val="000000"/>
          <w:sz w:val="20"/>
          <w:lang w:val="en-GB"/>
        </w:rPr>
        <w:t>To the extent possible, the GIS-PA database will include data from the following categories: Administrative subdivisions; towns and villages; road infrastructure and main tracks; major ecosystems including forests, rivers and major tributaries; species occurrence/distribution (mammals, birds and other taxa</w:t>
      </w:r>
      <w:r w:rsidR="00C94691" w:rsidRPr="0099310D">
        <w:rPr>
          <w:rFonts w:ascii="Calibri" w:hAnsi="Calibri"/>
          <w:color w:val="000000"/>
          <w:sz w:val="20"/>
          <w:lang w:val="en-GB"/>
        </w:rPr>
        <w:t xml:space="preserve">, </w:t>
      </w:r>
      <w:r w:rsidR="00C94691" w:rsidRPr="0099310D">
        <w:rPr>
          <w:rFonts w:asciiTheme="minorHAnsi" w:hAnsiTheme="minorHAnsi"/>
          <w:color w:val="000000"/>
          <w:sz w:val="20"/>
          <w:szCs w:val="20"/>
          <w:lang w:val="en-GB"/>
        </w:rPr>
        <w:t>including all game species</w:t>
      </w:r>
      <w:r w:rsidRPr="0099310D">
        <w:rPr>
          <w:rFonts w:ascii="Calibri" w:hAnsi="Calibri"/>
          <w:color w:val="000000"/>
          <w:sz w:val="20"/>
          <w:lang w:val="en-GB"/>
        </w:rPr>
        <w:t xml:space="preserve">); distribution of key habitats for terrestrial and aquatic wildlife; boundary coordinates of State and community PAs; land occupation and use outside PAs; land status (identification of public, private, and community domains); population (human) distribution; major pressures and threats on biodiversity, habitats and PAs, including </w:t>
      </w:r>
      <w:r w:rsidR="00FE2A49" w:rsidRPr="0099310D">
        <w:rPr>
          <w:rFonts w:ascii="Calibri" w:hAnsi="Calibri"/>
          <w:color w:val="000000"/>
          <w:sz w:val="20"/>
          <w:lang w:val="en-GB"/>
        </w:rPr>
        <w:t xml:space="preserve">hunting, fishing, logging, </w:t>
      </w:r>
      <w:r w:rsidRPr="0099310D">
        <w:rPr>
          <w:rFonts w:ascii="Calibri" w:hAnsi="Calibri"/>
          <w:color w:val="000000"/>
          <w:sz w:val="20"/>
          <w:lang w:val="en-GB"/>
        </w:rPr>
        <w:t>HWC and poaching; ecosystem services and goods provided by the PAs to local populations; cultural, historical and ecotourism sites. New categories of data will be added based on management needs of the PA system</w:t>
      </w:r>
      <w:r w:rsidRPr="0099310D">
        <w:rPr>
          <w:rFonts w:ascii="Calibri" w:hAnsi="Calibri"/>
          <w:sz w:val="20"/>
          <w:lang w:val="en-GB"/>
        </w:rPr>
        <w:t>.</w:t>
      </w:r>
    </w:p>
    <w:p w14:paraId="1B4CCCBF" w14:textId="082D5A22" w:rsidR="00302BFE" w:rsidRPr="00D61C93" w:rsidRDefault="00302BFE" w:rsidP="00C46720">
      <w:pPr>
        <w:pStyle w:val="Paragraphedeliste"/>
        <w:numPr>
          <w:ilvl w:val="0"/>
          <w:numId w:val="14"/>
        </w:numPr>
        <w:tabs>
          <w:tab w:val="left" w:pos="284"/>
        </w:tabs>
        <w:spacing w:before="120" w:after="120"/>
        <w:ind w:left="0" w:firstLine="0"/>
        <w:jc w:val="both"/>
        <w:rPr>
          <w:rFonts w:ascii="Calibri" w:hAnsi="Calibri"/>
          <w:color w:val="000000"/>
          <w:sz w:val="20"/>
          <w:lang w:val="en-GB"/>
        </w:rPr>
      </w:pPr>
      <w:r w:rsidRPr="00D61C93">
        <w:rPr>
          <w:rFonts w:ascii="Calibri" w:hAnsi="Calibri"/>
          <w:color w:val="000000"/>
          <w:sz w:val="20"/>
          <w:lang w:val="en-GB"/>
        </w:rPr>
        <w:t xml:space="preserve">The database will be housed in a permanent institutional structure and as far as possible, integrated within the national system to ensure long-term data protection. The GIS expert will assess the feasibility of integrating the database into the National Observatory on the Environment and Sustainable Development (ONEDD) under the </w:t>
      </w:r>
      <w:r w:rsidRPr="00A63E29">
        <w:rPr>
          <w:rFonts w:ascii="Calibri" w:hAnsi="Calibri"/>
          <w:color w:val="000000"/>
          <w:sz w:val="20"/>
          <w:highlight w:val="yellow"/>
          <w:lang w:val="en-GB"/>
        </w:rPr>
        <w:t>MEE</w:t>
      </w:r>
      <w:r w:rsidR="006B57FA" w:rsidRPr="00A63E29">
        <w:rPr>
          <w:rFonts w:ascii="Calibri" w:hAnsi="Calibri"/>
          <w:color w:val="000000"/>
          <w:sz w:val="20"/>
          <w:highlight w:val="yellow"/>
          <w:lang w:val="en-GB"/>
        </w:rPr>
        <w:t>EA</w:t>
      </w:r>
      <w:r w:rsidRPr="00D61C93">
        <w:rPr>
          <w:rFonts w:ascii="Calibri" w:hAnsi="Calibri"/>
          <w:color w:val="000000"/>
          <w:sz w:val="20"/>
          <w:lang w:val="en-GB"/>
        </w:rPr>
        <w:t xml:space="preserve">. ONEDD is a mechanism providing support to the </w:t>
      </w:r>
      <w:r w:rsidR="00CF65C6" w:rsidRPr="00C46720">
        <w:rPr>
          <w:rFonts w:ascii="Calibri" w:hAnsi="Calibri"/>
          <w:color w:val="000000"/>
          <w:sz w:val="20"/>
          <w:highlight w:val="green"/>
          <w:lang w:val="en-GB"/>
        </w:rPr>
        <w:t>SP CONSEIL NATION DEVEL DURABL UNDER THE MINISTRY IN CHARGE OF THE ENVIRONMENT</w:t>
      </w:r>
      <w:r w:rsidRPr="00D61C93">
        <w:rPr>
          <w:rFonts w:ascii="Calibri" w:hAnsi="Calibri"/>
          <w:color w:val="000000"/>
          <w:sz w:val="20"/>
          <w:lang w:val="en-GB"/>
        </w:rPr>
        <w:t xml:space="preserve"> and its various divisions (DPCIE, DPE and DCIME) in terms of surveillance and monitoring-evaluation of the environment and sustainable development. If feasible, the GIS expert will achieve this integration with the collaboration of the officers in charge of the observatory.</w:t>
      </w:r>
    </w:p>
    <w:p w14:paraId="6C578843" w14:textId="68734452" w:rsidR="00302BFE" w:rsidRPr="0099310D"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D61C93">
        <w:rPr>
          <w:rFonts w:ascii="Calibri" w:eastAsia="Cambria" w:hAnsi="Calibri"/>
          <w:sz w:val="20"/>
          <w:szCs w:val="20"/>
          <w:u w:val="single"/>
          <w:lang w:val="en-GB"/>
        </w:rPr>
        <w:t>A website for the PA system</w:t>
      </w:r>
      <w:r w:rsidRPr="006E490C">
        <w:rPr>
          <w:rFonts w:ascii="Calibri" w:eastAsia="Cambria" w:hAnsi="Calibri"/>
          <w:sz w:val="20"/>
          <w:szCs w:val="20"/>
          <w:u w:val="single"/>
          <w:lang w:val="en-GB"/>
        </w:rPr>
        <w:t xml:space="preserve"> provides access to information on the PA system and a PA database is secured in a permanent institutional structure</w:t>
      </w:r>
      <w:r w:rsidRPr="006E490C">
        <w:rPr>
          <w:rFonts w:ascii="Calibri" w:hAnsi="Calibri"/>
          <w:i/>
          <w:iCs/>
          <w:color w:val="4472C4"/>
          <w:sz w:val="20"/>
          <w:szCs w:val="20"/>
          <w:lang w:val="en-GB"/>
        </w:rPr>
        <w:t>.</w:t>
      </w:r>
      <w:r w:rsidRPr="006E490C">
        <w:rPr>
          <w:rFonts w:ascii="Calibri" w:hAnsi="Calibri"/>
          <w:sz w:val="20"/>
          <w:szCs w:val="20"/>
          <w:lang w:val="en-GB"/>
        </w:rPr>
        <w:t xml:space="preserve"> </w:t>
      </w:r>
      <w:r>
        <w:rPr>
          <w:rFonts w:ascii="Calibri" w:hAnsi="Calibri"/>
          <w:sz w:val="20"/>
          <w:szCs w:val="20"/>
          <w:lang w:val="en-GB"/>
        </w:rPr>
        <w:t xml:space="preserve">The </w:t>
      </w:r>
      <w:r w:rsidRPr="006E490C">
        <w:rPr>
          <w:rFonts w:ascii="Calibri" w:hAnsi="Calibri"/>
          <w:sz w:val="20"/>
          <w:szCs w:val="20"/>
          <w:lang w:val="en-GB"/>
        </w:rPr>
        <w:t xml:space="preserve">GIS expert </w:t>
      </w:r>
      <w:r>
        <w:rPr>
          <w:rFonts w:ascii="Calibri" w:hAnsi="Calibri"/>
          <w:sz w:val="20"/>
          <w:szCs w:val="20"/>
          <w:lang w:val="en-GB"/>
        </w:rPr>
        <w:t>will</w:t>
      </w:r>
      <w:r w:rsidRPr="006E490C">
        <w:rPr>
          <w:rFonts w:ascii="Calibri" w:hAnsi="Calibri"/>
          <w:sz w:val="20"/>
          <w:szCs w:val="20"/>
          <w:lang w:val="en-GB"/>
        </w:rPr>
        <w:t xml:space="preserve"> develop a website dedicated to the PA complex. During the project, the GIS expert will be also responsible for updating, disseminating and sharing data on PAs and biodiversity in Burkina Faso with the World Database on </w:t>
      </w:r>
      <w:r w:rsidRPr="006E490C">
        <w:rPr>
          <w:rFonts w:ascii="Calibri" w:hAnsi="Calibri"/>
          <w:sz w:val="20"/>
          <w:szCs w:val="20"/>
          <w:lang w:val="en-GB"/>
        </w:rPr>
        <w:lastRenderedPageBreak/>
        <w:t xml:space="preserve">Protected Areas of the IUCN World Commission on Protected Areas, the Global Biodiversity Information Facility (GBIF), the West Africa Regional Observatory for Biodiversity and Protected Areas, which is being set up with the support of the BIOPAMA program, and any </w:t>
      </w:r>
      <w:r w:rsidRPr="0099310D">
        <w:rPr>
          <w:rFonts w:ascii="Calibri" w:hAnsi="Calibri"/>
          <w:sz w:val="20"/>
          <w:szCs w:val="20"/>
          <w:lang w:val="en-GB"/>
        </w:rPr>
        <w:t xml:space="preserve">other database related to international environmental conventions and global organizations like the Alliance for Zero Extinction and </w:t>
      </w:r>
      <w:r w:rsidRPr="0099310D">
        <w:rPr>
          <w:rFonts w:asciiTheme="minorHAnsi" w:hAnsiTheme="minorHAnsi"/>
          <w:sz w:val="20"/>
          <w:szCs w:val="20"/>
          <w:lang w:val="en-GB"/>
        </w:rPr>
        <w:t>Birdlife International.</w:t>
      </w:r>
      <w:r w:rsidRPr="0099310D">
        <w:rPr>
          <w:rFonts w:ascii="Calibri" w:hAnsi="Calibri"/>
          <w:sz w:val="20"/>
          <w:szCs w:val="20"/>
          <w:lang w:val="en-GB"/>
        </w:rPr>
        <w:t xml:space="preserve"> </w:t>
      </w:r>
    </w:p>
    <w:p w14:paraId="05976774" w14:textId="6FB66398" w:rsidR="00522D0E" w:rsidRPr="0099310D" w:rsidRDefault="00522D0E" w:rsidP="00C46720">
      <w:pPr>
        <w:pStyle w:val="Paragraphedeliste"/>
        <w:numPr>
          <w:ilvl w:val="0"/>
          <w:numId w:val="14"/>
        </w:numPr>
        <w:tabs>
          <w:tab w:val="left" w:pos="284"/>
        </w:tabs>
        <w:spacing w:before="120" w:after="120"/>
        <w:ind w:left="0" w:firstLine="0"/>
        <w:jc w:val="both"/>
        <w:rPr>
          <w:rFonts w:asciiTheme="minorHAnsi" w:hAnsiTheme="minorHAnsi"/>
          <w:sz w:val="20"/>
          <w:szCs w:val="20"/>
          <w:lang w:val="en-CA"/>
        </w:rPr>
      </w:pPr>
      <w:r w:rsidRPr="0099310D">
        <w:rPr>
          <w:rFonts w:asciiTheme="minorHAnsi" w:hAnsiTheme="minorHAnsi"/>
          <w:sz w:val="20"/>
          <w:szCs w:val="20"/>
          <w:u w:val="single"/>
          <w:lang w:val="en-CA"/>
        </w:rPr>
        <w:t>A third-party independent assessment of animal populations</w:t>
      </w:r>
      <w:r w:rsidRPr="0099310D">
        <w:rPr>
          <w:rFonts w:asciiTheme="minorHAnsi" w:hAnsiTheme="minorHAnsi"/>
          <w:sz w:val="20"/>
          <w:szCs w:val="20"/>
          <w:lang w:val="en-CA"/>
        </w:rPr>
        <w:t xml:space="preserve"> will be undertaken to analyse population trends for big and small game species, and for other key species that are not targeted by hunting activities. This assessment will take advantage of the recent data collected during the first 3 years assessments through the monitoring system strengthened with the project support and will cover all PAs, including the PNKT where hunting is forbidden, to enable comparisons of populations that have been differently subjected to hunting pressure. Environmental parameters, including water and green pasture availability throughout the year, should be taken into account in the analyzes as explanatory factors. Also, as these protected areas are located close to large cotton cultivation areas where excessive use of pesticides is reported, hunting may not be the only pressure factor involved. This assessment should lead to the formulation of recommendations regarding the capacity of game species populations to withstand hunting pressures and will be accompanied by an assessment of the management capacities of the structures responsible for hunting management within the Government, the concessionaires and the village hunting management committees. Ideally, this assessment would take place in the third year of the project so that its recommendations are taken into consideration and supported by the project mid-term review. The project will recruit an independent expert, i.e. not engaged in any other activity of the project, and with experience in the country, to assess population’s health of game species and provide a professional opinion on the viability of the proposed activities including the proficiency of the concessionaires to manage the areas.</w:t>
      </w:r>
    </w:p>
    <w:p w14:paraId="085F71C2" w14:textId="044F13F2" w:rsidR="001F23E3" w:rsidRDefault="00302BFE" w:rsidP="00302BFE">
      <w:pPr>
        <w:spacing w:before="120" w:after="120"/>
        <w:rPr>
          <w:i/>
          <w:color w:val="4472C4"/>
          <w:szCs w:val="20"/>
          <w:lang w:val="en-GB"/>
        </w:rPr>
      </w:pPr>
      <w:r w:rsidRPr="005F3825">
        <w:rPr>
          <w:i/>
          <w:color w:val="4472C4"/>
          <w:szCs w:val="20"/>
          <w:lang w:val="en-GB"/>
        </w:rPr>
        <w:t xml:space="preserve">2.1.3 </w:t>
      </w:r>
      <w:r>
        <w:rPr>
          <w:i/>
          <w:color w:val="4472C4"/>
          <w:szCs w:val="20"/>
          <w:lang w:val="en-GB"/>
        </w:rPr>
        <w:t>Capacity development</w:t>
      </w:r>
      <w:r w:rsidRPr="005F3825">
        <w:rPr>
          <w:i/>
          <w:color w:val="4472C4"/>
          <w:szCs w:val="20"/>
          <w:lang w:val="en-GB"/>
        </w:rPr>
        <w:t xml:space="preserve"> program developed and implemented</w:t>
      </w:r>
    </w:p>
    <w:p w14:paraId="68BCEAE7" w14:textId="52DA1121" w:rsidR="001F23E3" w:rsidRPr="00BE65D5" w:rsidRDefault="001F23E3" w:rsidP="00302BFE">
      <w:pPr>
        <w:spacing w:before="120" w:after="120"/>
        <w:rPr>
          <w:iCs/>
          <w:color w:val="4472C4"/>
          <w:szCs w:val="20"/>
          <w:lang w:val="en-GB"/>
        </w:rPr>
      </w:pPr>
      <w:r w:rsidRPr="003F4704">
        <w:rPr>
          <w:iCs/>
          <w:color w:val="4472C4"/>
          <w:szCs w:val="20"/>
          <w:highlight w:val="green"/>
          <w:lang w:val="en-GB"/>
        </w:rPr>
        <w:t>For this activity, the FPIC (Free, Prior and Informed Consent) process has to be ensured</w:t>
      </w:r>
    </w:p>
    <w:p w14:paraId="0274FA68" w14:textId="6014B38A" w:rsidR="00302BFE" w:rsidRPr="00A63E29"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highlight w:val="yellow"/>
          <w:lang w:val="en-GB"/>
        </w:rPr>
      </w:pPr>
      <w:bookmarkStart w:id="15" w:name="_Hlk8924056"/>
      <w:r w:rsidRPr="007E0D06">
        <w:rPr>
          <w:rFonts w:ascii="Calibri" w:hAnsi="Calibri"/>
          <w:sz w:val="20"/>
          <w:szCs w:val="20"/>
          <w:lang w:val="en-GB"/>
        </w:rPr>
        <w:t>The project will support the development and implementation of a capacity development plan formulated in terms of the know-how / skills / knowledge required to carry out the tasks assigned to each function, so that the main groups of stakeholders are able to fulfil the role expected of them in the collaborative PA management process, including corridors and ZOVICs. These stakeholders include community / village structures concerned with the collaborative management of PAs, PA management units, eco-guards and rangers,</w:t>
      </w:r>
      <w:r w:rsidR="007E0D06" w:rsidRPr="007E0D06">
        <w:rPr>
          <w:rFonts w:ascii="Calibri" w:hAnsi="Calibri"/>
          <w:sz w:val="20"/>
          <w:szCs w:val="20"/>
          <w:lang w:val="en-GB"/>
        </w:rPr>
        <w:t xml:space="preserve"> </w:t>
      </w:r>
      <w:r w:rsidR="007E0D06">
        <w:rPr>
          <w:rFonts w:ascii="Calibri" w:hAnsi="Calibri"/>
          <w:sz w:val="20"/>
          <w:szCs w:val="20"/>
          <w:lang w:val="en-GB"/>
        </w:rPr>
        <w:t>t</w:t>
      </w:r>
      <w:r w:rsidRPr="00A63E29">
        <w:rPr>
          <w:rFonts w:ascii="Calibri" w:hAnsi="Calibri"/>
          <w:sz w:val="20"/>
          <w:szCs w:val="20"/>
          <w:highlight w:val="yellow"/>
          <w:lang w:val="en-GB"/>
        </w:rPr>
        <w:t>he staff of OFINAP, DGEF, DREEVCCs and their subdivisions, community groups users of natural resources, private concessionaires and other economic operators, and traditional and local authorities</w:t>
      </w:r>
      <w:r w:rsidRPr="00A63E29">
        <w:rPr>
          <w:rFonts w:ascii="Calibri" w:eastAsia="Batang" w:hAnsi="Calibri"/>
          <w:sz w:val="20"/>
          <w:highlight w:val="yellow"/>
          <w:lang w:val="en-GB" w:eastAsia="ko-KR"/>
        </w:rPr>
        <w:t>.</w:t>
      </w:r>
      <w:bookmarkEnd w:id="15"/>
    </w:p>
    <w:p w14:paraId="5CB72299" w14:textId="77777777" w:rsidR="00302BFE" w:rsidRPr="000D4277"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0D4277">
        <w:rPr>
          <w:rFonts w:ascii="Calibri" w:hAnsi="Calibri"/>
          <w:sz w:val="20"/>
          <w:szCs w:val="20"/>
          <w:lang w:val="en-GB"/>
        </w:rPr>
        <w:t xml:space="preserve">The </w:t>
      </w:r>
      <w:r w:rsidRPr="000D4277">
        <w:rPr>
          <w:rFonts w:ascii="Calibri" w:eastAsia="Cambria" w:hAnsi="Calibri"/>
          <w:sz w:val="20"/>
          <w:szCs w:val="20"/>
          <w:u w:val="single"/>
          <w:lang w:val="en-GB"/>
        </w:rPr>
        <w:t>development of the training program</w:t>
      </w:r>
      <w:r w:rsidRPr="000D4277">
        <w:rPr>
          <w:rFonts w:ascii="Calibri" w:hAnsi="Calibri"/>
          <w:color w:val="4472C4"/>
          <w:sz w:val="20"/>
          <w:szCs w:val="20"/>
          <w:lang w:val="en-GB"/>
        </w:rPr>
        <w:t xml:space="preserve"> </w:t>
      </w:r>
      <w:r w:rsidRPr="000D4277">
        <w:rPr>
          <w:rFonts w:ascii="Calibri" w:hAnsi="Calibri"/>
          <w:sz w:val="20"/>
          <w:szCs w:val="20"/>
          <w:lang w:val="en-GB"/>
        </w:rPr>
        <w:t xml:space="preserve">will be based on the capacity assessment of OFINAP and DGEF (Annex </w:t>
      </w:r>
      <w:r w:rsidR="009523FE" w:rsidRPr="000D4277">
        <w:rPr>
          <w:rFonts w:ascii="Calibri" w:hAnsi="Calibri"/>
          <w:sz w:val="20"/>
          <w:szCs w:val="20"/>
          <w:lang w:val="en-GB"/>
        </w:rPr>
        <w:t>Q</w:t>
      </w:r>
      <w:r w:rsidRPr="000D4277">
        <w:rPr>
          <w:rFonts w:ascii="Calibri" w:hAnsi="Calibri"/>
          <w:sz w:val="20"/>
          <w:szCs w:val="20"/>
          <w:lang w:val="en-GB"/>
        </w:rPr>
        <w:t xml:space="preserve">) which highlights the priorities in terms of capacities to be developed, namely the capacity to monitor and evaluate, and the capacity to generate, access and use information and knowledge. Currently, OFINAP performs an annual evaluation of its operations under its strategic plan, but these evaluations are not included in a monitoring and evaluation plan </w:t>
      </w:r>
      <w:r w:rsidR="003575FA">
        <w:rPr>
          <w:rFonts w:ascii="Calibri" w:hAnsi="Calibri"/>
          <w:sz w:val="20"/>
          <w:szCs w:val="20"/>
          <w:lang w:val="en-GB"/>
        </w:rPr>
        <w:t>which defines</w:t>
      </w:r>
      <w:r w:rsidRPr="000D4277">
        <w:rPr>
          <w:rFonts w:ascii="Calibri" w:hAnsi="Calibri"/>
          <w:sz w:val="20"/>
          <w:szCs w:val="20"/>
          <w:lang w:val="en-GB"/>
        </w:rPr>
        <w:t xml:space="preserve"> the terms of the evaluations. The DGEF does not have a defined monitoring and evaluation plan. </w:t>
      </w:r>
    </w:p>
    <w:p w14:paraId="78B737F9" w14:textId="77777777" w:rsidR="00302BFE" w:rsidRPr="000D4277"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0D4277">
        <w:rPr>
          <w:rFonts w:ascii="Calibri" w:hAnsi="Calibri"/>
          <w:sz w:val="20"/>
          <w:szCs w:val="20"/>
          <w:lang w:val="en-GB"/>
        </w:rPr>
        <w:t>Capacities to be developed / strengthened will include, but not be limited to:</w:t>
      </w:r>
    </w:p>
    <w:p w14:paraId="27EB4DFC" w14:textId="77777777" w:rsidR="00302BFE" w:rsidRPr="000D4277" w:rsidRDefault="00302BFE" w:rsidP="00C46720">
      <w:pPr>
        <w:numPr>
          <w:ilvl w:val="0"/>
          <w:numId w:val="20"/>
        </w:numPr>
        <w:adjustRightInd w:val="0"/>
        <w:spacing w:before="60"/>
        <w:rPr>
          <w:lang w:val="en-GB"/>
        </w:rPr>
      </w:pPr>
      <w:r w:rsidRPr="000D4277">
        <w:rPr>
          <w:lang w:val="en-GB"/>
        </w:rPr>
        <w:t>capacities of the monitoring and evaluation staff of OFINAP and DGEF to monitor and evaluate the implementation of PA management plans;</w:t>
      </w:r>
    </w:p>
    <w:p w14:paraId="091B8036" w14:textId="77777777" w:rsidR="00302BFE" w:rsidRPr="000D4277" w:rsidRDefault="00302BFE" w:rsidP="00C46720">
      <w:pPr>
        <w:numPr>
          <w:ilvl w:val="0"/>
          <w:numId w:val="20"/>
        </w:numPr>
        <w:adjustRightInd w:val="0"/>
        <w:spacing w:before="60"/>
        <w:rPr>
          <w:lang w:val="en-GB"/>
        </w:rPr>
      </w:pPr>
      <w:r w:rsidRPr="000D4277">
        <w:rPr>
          <w:lang w:val="en-GB"/>
        </w:rPr>
        <w:t>communication skills of PA managers to negotiate with local communities and other PA stakeholders, foster collaboration, and resolve conflicts, including skills required to advocate for conservation measures likely to affect agricultural expansion by agribusinessmen or traditional activities that have adverse effects on biodiversity;</w:t>
      </w:r>
    </w:p>
    <w:p w14:paraId="1859FEC1" w14:textId="15389CE9" w:rsidR="00E57554" w:rsidRPr="000D4277" w:rsidRDefault="00E57554" w:rsidP="00C46720">
      <w:pPr>
        <w:numPr>
          <w:ilvl w:val="0"/>
          <w:numId w:val="20"/>
        </w:numPr>
        <w:adjustRightInd w:val="0"/>
        <w:spacing w:before="60"/>
        <w:rPr>
          <w:lang w:val="en-GB"/>
        </w:rPr>
      </w:pPr>
      <w:r w:rsidRPr="000D4277">
        <w:rPr>
          <w:lang w:val="en-GB"/>
        </w:rPr>
        <w:t xml:space="preserve">capacities of ecoguards </w:t>
      </w:r>
      <w:r w:rsidRPr="00A63E29">
        <w:rPr>
          <w:highlight w:val="yellow"/>
          <w:lang w:val="en-GB"/>
        </w:rPr>
        <w:t>and</w:t>
      </w:r>
      <w:r w:rsidR="00147930" w:rsidRPr="00A63E29">
        <w:rPr>
          <w:highlight w:val="yellow"/>
          <w:lang w:val="en-GB"/>
        </w:rPr>
        <w:t xml:space="preserve"> personnel of Waters et Forests</w:t>
      </w:r>
      <w:r w:rsidRPr="00A63E29">
        <w:rPr>
          <w:highlight w:val="yellow"/>
          <w:lang w:val="en-GB"/>
        </w:rPr>
        <w:t xml:space="preserve"> rangers</w:t>
      </w:r>
      <w:r w:rsidRPr="000D4277">
        <w:rPr>
          <w:lang w:val="en-GB"/>
        </w:rPr>
        <w:t xml:space="preserve"> to carry out ecological monitoring, including the use of GPS and entry of GIS-based data;</w:t>
      </w:r>
    </w:p>
    <w:p w14:paraId="7F124BEA" w14:textId="77777777" w:rsidR="00302BFE" w:rsidRPr="000D4277" w:rsidRDefault="00302BFE" w:rsidP="00C46720">
      <w:pPr>
        <w:numPr>
          <w:ilvl w:val="0"/>
          <w:numId w:val="20"/>
        </w:numPr>
        <w:adjustRightInd w:val="0"/>
        <w:spacing w:before="60"/>
        <w:rPr>
          <w:lang w:val="en-GB"/>
        </w:rPr>
      </w:pPr>
      <w:r w:rsidRPr="000D4277">
        <w:rPr>
          <w:lang w:val="en-GB"/>
        </w:rPr>
        <w:t>capacities of PA staff and partners to provide a tourism experience that is cost-effective for village communities, of high quality for clients, and safe for the natural and cultural heritage. This training will be part of activity 3.4.3 under component 3;</w:t>
      </w:r>
    </w:p>
    <w:p w14:paraId="5890C797" w14:textId="3C4372E7" w:rsidR="00302BFE" w:rsidRPr="0099310D" w:rsidRDefault="00302BFE" w:rsidP="00C46720">
      <w:pPr>
        <w:numPr>
          <w:ilvl w:val="0"/>
          <w:numId w:val="20"/>
        </w:numPr>
        <w:adjustRightInd w:val="0"/>
        <w:spacing w:before="60"/>
        <w:rPr>
          <w:lang w:val="en-GB"/>
        </w:rPr>
      </w:pPr>
      <w:r w:rsidRPr="000D4277">
        <w:rPr>
          <w:lang w:val="en-GB"/>
        </w:rPr>
        <w:t xml:space="preserve">capacities of Village Committees members for collaborative management of PAs and on the role of community structures in the negotiations about resource use and zoning of PAs, and in the participatory development, monitoring and evaluation of PA management plans, and for mobilizing communities for development work in PAs (restoration, ANR, protection of water and soil resources, etc.) and capacities of local communities to defend their environmental and natural resource rights in the PA </w:t>
      </w:r>
      <w:r w:rsidRPr="0099310D">
        <w:rPr>
          <w:lang w:val="en-GB"/>
        </w:rPr>
        <w:t>collaborative management process</w:t>
      </w:r>
      <w:r w:rsidR="00E57554" w:rsidRPr="0099310D">
        <w:rPr>
          <w:lang w:val="en-GB"/>
        </w:rPr>
        <w:t>;</w:t>
      </w:r>
    </w:p>
    <w:p w14:paraId="056FF655" w14:textId="28CB0F41" w:rsidR="00E73212" w:rsidRPr="0099310D" w:rsidRDefault="00E73212" w:rsidP="00C46720">
      <w:pPr>
        <w:numPr>
          <w:ilvl w:val="0"/>
          <w:numId w:val="20"/>
        </w:numPr>
        <w:adjustRightInd w:val="0"/>
        <w:spacing w:before="60"/>
        <w:rPr>
          <w:lang w:val="en-GB"/>
        </w:rPr>
      </w:pPr>
      <w:r w:rsidRPr="0099310D">
        <w:rPr>
          <w:lang w:val="en-GB"/>
        </w:rPr>
        <w:t>capacities and skills and equipment of ecoguards, forest rangers, PA managers and all staff engaged in or responsible for wildlife enforcement patrols</w:t>
      </w:r>
      <w:r w:rsidRPr="0099310D">
        <w:rPr>
          <w:rFonts w:eastAsia="Batang"/>
          <w:lang w:val="en-GB" w:eastAsia="ko-KR"/>
        </w:rPr>
        <w:t xml:space="preserve"> to fight poaching effectively and safely, by developing collaboration with local communities, between PAs, and across borders with Ghana partners for the establishment of an effective surveillance network and a rapid response strategy, improving knowledge of relevant laws, prosecution procedures (establishing reports of offenses and drafting of minutes), improving knowledge of research techniques and identification of poaching indices, adopting strategies adapted to the different </w:t>
      </w:r>
      <w:r w:rsidRPr="0099310D">
        <w:rPr>
          <w:rFonts w:eastAsia="Batang"/>
          <w:lang w:val="en-GB" w:eastAsia="ko-KR"/>
        </w:rPr>
        <w:lastRenderedPageBreak/>
        <w:t>threats so as not to put themselves in danger, and using GPS (guidance and navigation principles, data collection method) and VHF / UHF radio;</w:t>
      </w:r>
    </w:p>
    <w:p w14:paraId="6A64902C" w14:textId="77777777" w:rsidR="00E73212" w:rsidRPr="000D4277" w:rsidRDefault="00E73212" w:rsidP="00C46720">
      <w:pPr>
        <w:numPr>
          <w:ilvl w:val="0"/>
          <w:numId w:val="20"/>
        </w:numPr>
        <w:adjustRightInd w:val="0"/>
        <w:spacing w:before="60"/>
        <w:rPr>
          <w:lang w:val="en-GB"/>
        </w:rPr>
      </w:pPr>
      <w:r w:rsidRPr="000D4277">
        <w:rPr>
          <w:lang w:val="en-GB"/>
        </w:rPr>
        <w:t>capacities of ecoguards, forest rangers, PA managers and all staff engaged in or responsible for wildlife enforcement patrols to use the SMART (Spatial Monitoring and Reporting Tool) approach to plan surveillance and report results to combat poaching and other illegal activities, including initial basic training in data entry, analysis and reporting for ecoguards and forest rangers, and further training for site managers and their staff to allow them to take advantage of SMART specific features;</w:t>
      </w:r>
    </w:p>
    <w:p w14:paraId="20B8B44A" w14:textId="77777777" w:rsidR="00302BFE" w:rsidRPr="0099310D" w:rsidRDefault="00302BFE" w:rsidP="00C46720">
      <w:pPr>
        <w:numPr>
          <w:ilvl w:val="0"/>
          <w:numId w:val="20"/>
        </w:numPr>
        <w:adjustRightInd w:val="0"/>
        <w:spacing w:before="60"/>
        <w:rPr>
          <w:lang w:val="en-GB"/>
        </w:rPr>
      </w:pPr>
      <w:r w:rsidRPr="006F0042">
        <w:rPr>
          <w:lang w:val="en-GB"/>
        </w:rPr>
        <w:t xml:space="preserve">capacities of Water and Forests officers, judicial police, customs, and security forces to ensure effective enforcement of the flora </w:t>
      </w:r>
      <w:r w:rsidRPr="0099310D">
        <w:rPr>
          <w:lang w:val="en-GB"/>
        </w:rPr>
        <w:t>and fauna protection legislation for including criminal proceedings, actions and prosecutions, and the preparation of official reports;</w:t>
      </w:r>
    </w:p>
    <w:p w14:paraId="3AE83152" w14:textId="77777777" w:rsidR="0065354D" w:rsidRPr="0099310D" w:rsidRDefault="00302BFE" w:rsidP="00C46720">
      <w:pPr>
        <w:numPr>
          <w:ilvl w:val="0"/>
          <w:numId w:val="20"/>
        </w:numPr>
        <w:adjustRightInd w:val="0"/>
        <w:spacing w:before="60"/>
        <w:rPr>
          <w:lang w:val="en-GB"/>
        </w:rPr>
      </w:pPr>
      <w:r w:rsidRPr="0099310D">
        <w:rPr>
          <w:lang w:val="en-GB"/>
        </w:rPr>
        <w:t>awareness and information of local communities and the general public about the legal provisions in force regarding illicit activities affecting flora and fauna, especially poaching, the risks incurred by offenders and applicable penalties</w:t>
      </w:r>
      <w:r w:rsidR="0065354D" w:rsidRPr="0099310D">
        <w:rPr>
          <w:lang w:val="en-GB"/>
        </w:rPr>
        <w:t>;</w:t>
      </w:r>
    </w:p>
    <w:p w14:paraId="68E946DC" w14:textId="2C5E5ADE" w:rsidR="00302BFE" w:rsidRPr="0099310D" w:rsidRDefault="0065354D" w:rsidP="00C46720">
      <w:pPr>
        <w:numPr>
          <w:ilvl w:val="0"/>
          <w:numId w:val="20"/>
        </w:numPr>
        <w:adjustRightInd w:val="0"/>
        <w:spacing w:before="60"/>
        <w:rPr>
          <w:lang w:val="en-GB"/>
        </w:rPr>
      </w:pPr>
      <w:r w:rsidRPr="0099310D">
        <w:rPr>
          <w:rFonts w:eastAsia="Times New Roman" w:cs="Arial"/>
          <w:color w:val="212529"/>
          <w:szCs w:val="20"/>
          <w:lang w:val="en-CA" w:eastAsia="en-GB"/>
        </w:rPr>
        <w:t xml:space="preserve">subject to a recommendation </w:t>
      </w:r>
      <w:r w:rsidR="00C91BDD" w:rsidRPr="0099310D">
        <w:rPr>
          <w:rFonts w:eastAsia="Times New Roman" w:cs="Arial"/>
          <w:color w:val="212529"/>
          <w:szCs w:val="20"/>
          <w:lang w:val="en-CA" w:eastAsia="en-GB"/>
        </w:rPr>
        <w:t>from the expert assessment of the status of game species that hunting activities may be resumed in a foreseeable future</w:t>
      </w:r>
      <w:r w:rsidRPr="0099310D">
        <w:rPr>
          <w:rFonts w:eastAsia="Times New Roman" w:cs="Arial"/>
          <w:color w:val="212529"/>
          <w:szCs w:val="20"/>
          <w:lang w:val="en-CA" w:eastAsia="en-GB"/>
        </w:rPr>
        <w:t xml:space="preserve">, the project will support </w:t>
      </w:r>
      <w:r w:rsidR="00C906B8" w:rsidRPr="0099310D">
        <w:rPr>
          <w:lang w:val="en-GB"/>
        </w:rPr>
        <w:t xml:space="preserve">capacity </w:t>
      </w:r>
      <w:r w:rsidRPr="0099310D">
        <w:rPr>
          <w:rFonts w:eastAsia="Times New Roman" w:cs="Arial"/>
          <w:color w:val="212529"/>
          <w:szCs w:val="20"/>
          <w:lang w:val="en-CA" w:eastAsia="en-GB"/>
        </w:rPr>
        <w:t xml:space="preserve">building </w:t>
      </w:r>
      <w:r w:rsidR="00C906B8" w:rsidRPr="0099310D">
        <w:rPr>
          <w:rFonts w:eastAsia="Times New Roman" w:cs="Arial"/>
          <w:color w:val="212529"/>
          <w:szCs w:val="20"/>
          <w:lang w:val="en-CA" w:eastAsia="en-GB"/>
        </w:rPr>
        <w:t xml:space="preserve">for </w:t>
      </w:r>
      <w:r w:rsidRPr="0099310D">
        <w:rPr>
          <w:lang w:val="en-GB"/>
        </w:rPr>
        <w:t xml:space="preserve">the stakeholders responsible for overseeing or implementing hunting management in line with related activities under the output 2.2.2 to strengthen the sustainability of hunting management: i) Government officers in the central and decentralized directions, namely </w:t>
      </w:r>
      <w:r w:rsidRPr="0099310D">
        <w:rPr>
          <w:szCs w:val="20"/>
          <w:lang w:val="en-CA"/>
        </w:rPr>
        <w:t>the Department of Planning and Ecological Monitoring of the DFRC,</w:t>
      </w:r>
      <w:r w:rsidRPr="0099310D">
        <w:rPr>
          <w:lang w:val="en-GB"/>
        </w:rPr>
        <w:t xml:space="preserve"> and </w:t>
      </w:r>
      <w:r w:rsidRPr="0099310D">
        <w:rPr>
          <w:szCs w:val="20"/>
          <w:lang w:val="en-GB"/>
        </w:rPr>
        <w:t xml:space="preserve">technical services </w:t>
      </w:r>
      <w:r w:rsidRPr="0099310D">
        <w:rPr>
          <w:lang w:val="en-GB"/>
        </w:rPr>
        <w:t>in charge of wildlife</w:t>
      </w:r>
      <w:r w:rsidRPr="0099310D">
        <w:rPr>
          <w:szCs w:val="20"/>
          <w:lang w:val="en-CA"/>
        </w:rPr>
        <w:t>,</w:t>
      </w:r>
      <w:r w:rsidRPr="0099310D">
        <w:rPr>
          <w:lang w:val="en-GB"/>
        </w:rPr>
        <w:t xml:space="preserve"> to fulfil the State’s sovereign functions of </w:t>
      </w:r>
      <w:r w:rsidRPr="0099310D">
        <w:rPr>
          <w:rFonts w:asciiTheme="minorHAnsi" w:hAnsiTheme="minorHAnsi" w:cs="Swiss721BT-Roman"/>
          <w:szCs w:val="20"/>
          <w:lang w:val="en-CA"/>
        </w:rPr>
        <w:t>monitoring and assessing resources and habitats to allocate areas, assign permits and licenses</w:t>
      </w:r>
      <w:r w:rsidRPr="0099310D">
        <w:rPr>
          <w:rFonts w:asciiTheme="minorHAnsi" w:hAnsiTheme="minorHAnsi"/>
          <w:szCs w:val="20"/>
          <w:lang w:val="en-CA"/>
        </w:rPr>
        <w:t xml:space="preserve"> for sport and traditional hunting</w:t>
      </w:r>
      <w:r w:rsidRPr="0099310D">
        <w:rPr>
          <w:rFonts w:asciiTheme="minorHAnsi" w:hAnsiTheme="minorHAnsi" w:cs="Swiss721BT-Roman"/>
          <w:szCs w:val="20"/>
          <w:lang w:val="en-CA"/>
        </w:rPr>
        <w:t xml:space="preserve">, defining regulations and quotas and monitoring captures against established quotas, planning and implementing surveillance, </w:t>
      </w:r>
      <w:r w:rsidRPr="0099310D">
        <w:rPr>
          <w:rFonts w:asciiTheme="minorHAnsi" w:hAnsiTheme="minorHAnsi"/>
          <w:szCs w:val="20"/>
          <w:lang w:val="en-CA"/>
        </w:rPr>
        <w:t xml:space="preserve">defining specifications for the management of concessions by concessionaires, assessing the observation of such specifications by concessions and the ability of concessionaires to manage concessions effectively, and assisting local communities in managing </w:t>
      </w:r>
      <w:r w:rsidRPr="0099310D">
        <w:rPr>
          <w:rFonts w:asciiTheme="minorHAnsi" w:hAnsiTheme="minorHAnsi"/>
          <w:szCs w:val="20"/>
          <w:lang w:val="en-GB"/>
        </w:rPr>
        <w:t xml:space="preserve">the ZOVICs; </w:t>
      </w:r>
      <w:r w:rsidRPr="0099310D">
        <w:rPr>
          <w:lang w:val="en-GB"/>
        </w:rPr>
        <w:t xml:space="preserve">and ii) local community members involved in ZOVICs (namely village hunting management committees) to fulfil their role in the management of hunting activities, including monitoring and assessing resources and habitats to support management decision-making and </w:t>
      </w:r>
      <w:r w:rsidRPr="0099310D">
        <w:rPr>
          <w:szCs w:val="20"/>
          <w:lang w:val="en-GB"/>
        </w:rPr>
        <w:t>determination of permissible activities within the ZOVICs</w:t>
      </w:r>
      <w:r w:rsidR="00302BFE" w:rsidRPr="0099310D">
        <w:rPr>
          <w:lang w:val="en-GB"/>
        </w:rPr>
        <w:t>.</w:t>
      </w:r>
    </w:p>
    <w:p w14:paraId="4E0D95D1" w14:textId="05164FCD" w:rsidR="00BA5E51" w:rsidRPr="00D61C93" w:rsidRDefault="00302BFE" w:rsidP="00C46720">
      <w:pPr>
        <w:pStyle w:val="Paragraphedeliste"/>
        <w:numPr>
          <w:ilvl w:val="0"/>
          <w:numId w:val="14"/>
        </w:numPr>
        <w:tabs>
          <w:tab w:val="left" w:pos="284"/>
        </w:tabs>
        <w:spacing w:before="120" w:after="120"/>
        <w:ind w:left="0" w:firstLine="0"/>
        <w:jc w:val="both"/>
        <w:rPr>
          <w:rFonts w:asciiTheme="minorHAnsi" w:hAnsiTheme="minorHAnsi"/>
          <w:sz w:val="20"/>
          <w:szCs w:val="20"/>
          <w:lang w:val="en-CA"/>
        </w:rPr>
      </w:pPr>
      <w:r w:rsidRPr="009E6CE7">
        <w:rPr>
          <w:rFonts w:asciiTheme="minorHAnsi" w:eastAsia="Cambria" w:hAnsiTheme="minorHAnsi"/>
          <w:sz w:val="20"/>
          <w:szCs w:val="20"/>
          <w:lang w:val="en-GB"/>
        </w:rPr>
        <w:t>Guidelines for training rangers, eco-guards and PA managers involved in anti-poaching have been developed by the International Ranger Federation and its partners (Southern African Wildlife College, PAMS Foundation, WWF, African Parks Network, The Thin Green Line Foundation</w:t>
      </w:r>
      <w:r w:rsidRPr="009E6CE7">
        <w:rPr>
          <w:rFonts w:asciiTheme="minorHAnsi" w:hAnsiTheme="minorHAnsi"/>
          <w:sz w:val="20"/>
          <w:szCs w:val="20"/>
        </w:rPr>
        <w:t>)</w:t>
      </w:r>
      <w:r w:rsidRPr="009E6CE7">
        <w:rPr>
          <w:rStyle w:val="Appelnotedebasdep"/>
          <w:rFonts w:asciiTheme="minorHAnsi" w:eastAsia="Cambria" w:hAnsiTheme="minorHAnsi"/>
          <w:sz w:val="20"/>
          <w:szCs w:val="20"/>
        </w:rPr>
        <w:footnoteReference w:id="48"/>
      </w:r>
      <w:r w:rsidRPr="009E6CE7">
        <w:rPr>
          <w:rFonts w:asciiTheme="minorHAnsi" w:eastAsia="Cambria" w:hAnsiTheme="minorHAnsi"/>
          <w:sz w:val="20"/>
          <w:szCs w:val="20"/>
          <w:lang w:val="en-GB"/>
        </w:rPr>
        <w:t xml:space="preserve"> and as part of the SMART approach and are available online. The International Ranger Federation’s publication presents international standards of good practice to help improve the standards of effectiveness of the tactics and strategies employed by rangers in the field and enhance their level of safety in their work in protected areas, facing armed poachers who illegally exploit fauna and flora species. Based on these guidelines, clear guidance and procedures for enforcing regulations will be identified and communicated to all stakeholders engaged in surveillance and enforcement of regulations for all PAs. These guidelines and procedures will include stringent rules on the violation of human rights to prevent any community member, eco-guard or ranger directly or indirectly involved in surveillance activities under the project from being </w:t>
      </w:r>
      <w:r w:rsidRPr="00D61C93">
        <w:rPr>
          <w:rFonts w:asciiTheme="minorHAnsi" w:eastAsia="Cambria" w:hAnsiTheme="minorHAnsi"/>
          <w:sz w:val="20"/>
          <w:szCs w:val="20"/>
          <w:lang w:val="en-GB"/>
        </w:rPr>
        <w:t xml:space="preserve">implicated in a case of violence against vulnerable local populations. </w:t>
      </w:r>
      <w:r w:rsidR="005106FA" w:rsidRPr="00D61C93">
        <w:rPr>
          <w:rFonts w:asciiTheme="minorHAnsi" w:hAnsiTheme="minorHAnsi"/>
          <w:sz w:val="20"/>
          <w:szCs w:val="20"/>
          <w:lang w:val="en-CA"/>
        </w:rPr>
        <w:t xml:space="preserve">Service providers for different elements will be determined in the first year of project either through a procurement process or based on collaborative advantage analysis as per the UNDP rules and regulations. </w:t>
      </w:r>
      <w:r w:rsidR="009E6CE7" w:rsidRPr="00D61C93">
        <w:rPr>
          <w:rFonts w:asciiTheme="minorHAnsi" w:hAnsiTheme="minorHAnsi"/>
          <w:sz w:val="20"/>
          <w:szCs w:val="20"/>
          <w:lang w:val="en-CA"/>
        </w:rPr>
        <w:t>Possible providers for training on the SMART approach to monitor and report on poaching occurrences include the IUCN Regional Office (based in Ouagadougou) and WCS (without representation in Burkina Faso, the nearest office being located in Cameroon).</w:t>
      </w:r>
      <w:r w:rsidR="009E6CE7" w:rsidRPr="00D61C93">
        <w:rPr>
          <w:rFonts w:asciiTheme="minorHAnsi" w:hAnsiTheme="minorHAnsi"/>
          <w:sz w:val="20"/>
          <w:szCs w:val="20"/>
          <w:lang w:val="en-CA" w:eastAsia="fr-CA"/>
        </w:rPr>
        <w:t xml:space="preserve"> Another potential provider for technical training is </w:t>
      </w:r>
      <w:r w:rsidR="009E6CE7" w:rsidRPr="00D61C93">
        <w:rPr>
          <w:rFonts w:asciiTheme="minorHAnsi" w:hAnsiTheme="minorHAnsi"/>
          <w:bCs/>
          <w:sz w:val="20"/>
          <w:szCs w:val="20"/>
          <w:lang w:val="en-CA"/>
        </w:rPr>
        <w:t>Wildlife Angel (wilang.org), a Non-Profit Organization with a permanent branch in Burkina Faso</w:t>
      </w:r>
      <w:r w:rsidR="009E6CE7" w:rsidRPr="00D61C93">
        <w:rPr>
          <w:rStyle w:val="Appelnotedebasdep"/>
          <w:bCs/>
          <w:szCs w:val="20"/>
          <w:lang w:val="en-CA"/>
        </w:rPr>
        <w:footnoteReference w:id="49"/>
      </w:r>
      <w:r w:rsidR="009E6CE7" w:rsidRPr="00D61C93">
        <w:rPr>
          <w:rFonts w:asciiTheme="minorHAnsi" w:hAnsiTheme="minorHAnsi"/>
          <w:bCs/>
          <w:sz w:val="20"/>
          <w:szCs w:val="20"/>
          <w:lang w:val="en-CA"/>
        </w:rPr>
        <w:t xml:space="preserve"> since 2017, specialised in organizing natural and wildlife parks protection, especially in West Africa. The NGO conducts effective actions to reduce poaching in areas under their responsibility, and enforce anti-poaching teams' compliance with human rights regulations, especially those of poachers. </w:t>
      </w:r>
      <w:r w:rsidR="00BA5E51" w:rsidRPr="00D61C93">
        <w:rPr>
          <w:rFonts w:asciiTheme="minorHAnsi" w:hAnsiTheme="minorHAnsi"/>
          <w:bCs/>
          <w:sz w:val="20"/>
          <w:szCs w:val="20"/>
          <w:lang w:val="en-CA"/>
        </w:rPr>
        <w:t>Their approach is technical and military but also includes involving local communities and traditional authorities in the fight against poaching to establish an information network to anticipate poachers’ presence and adapt response.</w:t>
      </w:r>
    </w:p>
    <w:p w14:paraId="1AB9215C" w14:textId="2D2A8C8D" w:rsidR="00302BFE" w:rsidRPr="00D61C93"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D61C93">
        <w:rPr>
          <w:rFonts w:ascii="Calibri" w:eastAsia="Cambria" w:hAnsi="Calibri"/>
          <w:sz w:val="20"/>
          <w:szCs w:val="20"/>
          <w:u w:val="single"/>
          <w:lang w:val="en-GB"/>
        </w:rPr>
        <w:t>Implementation of the capacity building program</w:t>
      </w:r>
      <w:r w:rsidRPr="00D61C93">
        <w:rPr>
          <w:rFonts w:ascii="Calibri" w:eastAsia="Cambria" w:hAnsi="Calibri"/>
          <w:color w:val="4472C4"/>
          <w:sz w:val="20"/>
          <w:szCs w:val="20"/>
          <w:lang w:val="en-GB"/>
        </w:rPr>
        <w:t xml:space="preserve"> </w:t>
      </w:r>
      <w:r w:rsidRPr="00D61C93">
        <w:rPr>
          <w:rFonts w:ascii="Calibri" w:eastAsia="Cambria" w:hAnsi="Calibri"/>
          <w:sz w:val="20"/>
          <w:szCs w:val="20"/>
          <w:lang w:val="en-GB"/>
        </w:rPr>
        <w:t xml:space="preserve">will be based on guidelines provided by the IUCN publication "Training of Protected Area Personnel: Guidelines for Planning and Management", and the publication of Lotter </w:t>
      </w:r>
      <w:r w:rsidRPr="00D61C93">
        <w:rPr>
          <w:rFonts w:ascii="Calibri" w:eastAsia="Cambria" w:hAnsi="Calibri"/>
          <w:i/>
          <w:sz w:val="20"/>
          <w:szCs w:val="20"/>
          <w:lang w:val="en-GB"/>
        </w:rPr>
        <w:t>et al</w:t>
      </w:r>
      <w:r w:rsidRPr="00D61C93">
        <w:rPr>
          <w:rFonts w:ascii="Calibri" w:eastAsia="Cambria" w:hAnsi="Calibri"/>
          <w:sz w:val="20"/>
          <w:szCs w:val="20"/>
          <w:lang w:val="en-GB"/>
        </w:rPr>
        <w:t xml:space="preserve">. 2016 "Anti-poaching in and around protected areas. Guidelines for training guards". The project will </w:t>
      </w:r>
      <w:r w:rsidR="00F44B50" w:rsidRPr="00D61C93">
        <w:rPr>
          <w:rFonts w:ascii="Calibri" w:eastAsia="Cambria" w:hAnsi="Calibri"/>
          <w:sz w:val="20"/>
          <w:szCs w:val="20"/>
          <w:lang w:val="en-GB"/>
        </w:rPr>
        <w:t>work with</w:t>
      </w:r>
      <w:r w:rsidRPr="00D61C93">
        <w:rPr>
          <w:rFonts w:ascii="Calibri" w:eastAsia="Cambria" w:hAnsi="Calibri"/>
          <w:sz w:val="20"/>
          <w:szCs w:val="20"/>
          <w:lang w:val="en-GB"/>
        </w:rPr>
        <w:t xml:space="preserve"> national academic institutions, including the National School of Water and Forests of the MEGECC, to offer targeted thematic and practical training in the workplace for staff and professionals of the PAs and other actors, on the basis of the capacity development plan. The training program will be integrated into the curriculum of these institutions. The project will also promote self-learning and establish a list of web sites including online training modules (available in French) on PA issues and biodiversity conservation to encourage staff to continually maintain and improve their skills. </w:t>
      </w:r>
    </w:p>
    <w:p w14:paraId="4B4175B4" w14:textId="58A7D42D" w:rsidR="00302BFE" w:rsidRPr="009E350B"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D61C93">
        <w:rPr>
          <w:rFonts w:ascii="Calibri" w:eastAsia="Cambria" w:hAnsi="Calibri"/>
          <w:sz w:val="20"/>
          <w:szCs w:val="20"/>
          <w:u w:val="single"/>
          <w:lang w:val="en-GB"/>
        </w:rPr>
        <w:lastRenderedPageBreak/>
        <w:t>Infrastructure and equipment</w:t>
      </w:r>
      <w:r w:rsidRPr="00D61C93">
        <w:rPr>
          <w:rFonts w:ascii="Calibri" w:hAnsi="Calibri"/>
          <w:sz w:val="20"/>
          <w:szCs w:val="20"/>
          <w:lang w:val="en-GB"/>
        </w:rPr>
        <w:t xml:space="preserve">: The main PA management units will have workspaces and essential equipment to fulfil their functions. The Nazinga and Sissili PAs are subject to concessions and the management is the responsibility of the concessionaire. On the other hand, the </w:t>
      </w:r>
      <w:r w:rsidRPr="00D61C93">
        <w:rPr>
          <w:rFonts w:ascii="Calibri" w:hAnsi="Calibri"/>
          <w:sz w:val="20"/>
          <w:szCs w:val="20"/>
          <w:lang w:val="en-CA"/>
        </w:rPr>
        <w:t>PNKT</w:t>
      </w:r>
      <w:r w:rsidRPr="00D61C93">
        <w:rPr>
          <w:rFonts w:ascii="Calibri" w:hAnsi="Calibri"/>
          <w:sz w:val="20"/>
          <w:szCs w:val="20"/>
          <w:lang w:val="en-GB"/>
        </w:rPr>
        <w:t xml:space="preserve"> is not subject to any concession and the project will concentrate its support in infrastructures and equipment to supplement the supports previously provided in the previous projects. A new building will be constructed to provide adequate space for PA management unit offices, common workspaces available to partners, volunteers, trainees, scientific visitors </w:t>
      </w:r>
      <w:r w:rsidRPr="00D61C93">
        <w:rPr>
          <w:rFonts w:ascii="Calibri" w:hAnsi="Calibri" w:cs="Calibri Light"/>
          <w:sz w:val="20"/>
          <w:szCs w:val="20"/>
        </w:rPr>
        <w:t>and tourist facilities (e.g. visitor reception, park presentation, etc.)</w:t>
      </w:r>
      <w:r w:rsidRPr="00D61C93">
        <w:rPr>
          <w:rFonts w:ascii="Calibri" w:hAnsi="Calibri"/>
          <w:sz w:val="20"/>
          <w:szCs w:val="20"/>
          <w:lang w:val="en-GB"/>
        </w:rPr>
        <w:t xml:space="preserve">. In order to avoid negative impacts on the protected area and sensitive resources and </w:t>
      </w:r>
      <w:r w:rsidRPr="00D61C93">
        <w:rPr>
          <w:rFonts w:ascii="Calibri" w:hAnsi="Calibri" w:cs="Calibri Light"/>
          <w:sz w:val="20"/>
          <w:szCs w:val="20"/>
        </w:rPr>
        <w:t>to be consistent with legal constraints,</w:t>
      </w:r>
      <w:r w:rsidRPr="00D61C93">
        <w:rPr>
          <w:rFonts w:ascii="Calibri" w:hAnsi="Calibri"/>
          <w:sz w:val="20"/>
          <w:szCs w:val="20"/>
          <w:lang w:val="en-GB"/>
        </w:rPr>
        <w:t xml:space="preserve"> the building will be located </w:t>
      </w:r>
      <w:r w:rsidRPr="00D61C93">
        <w:rPr>
          <w:rFonts w:ascii="Calibri" w:hAnsi="Calibri" w:cs="Calibri Light"/>
          <w:sz w:val="20"/>
          <w:szCs w:val="20"/>
        </w:rPr>
        <w:t xml:space="preserve">at the park entrance, </w:t>
      </w:r>
      <w:r w:rsidRPr="00D61C93">
        <w:rPr>
          <w:rFonts w:ascii="Calibri" w:hAnsi="Calibri"/>
          <w:sz w:val="20"/>
          <w:szCs w:val="20"/>
          <w:lang w:val="en-GB"/>
        </w:rPr>
        <w:t xml:space="preserve">outside </w:t>
      </w:r>
      <w:r w:rsidRPr="00D61C93">
        <w:rPr>
          <w:rFonts w:ascii="Calibri" w:hAnsi="Calibri" w:cs="Calibri Light"/>
          <w:sz w:val="20"/>
          <w:szCs w:val="20"/>
        </w:rPr>
        <w:t>the park boundaries</w:t>
      </w:r>
      <w:r w:rsidRPr="00D61C93">
        <w:rPr>
          <w:rFonts w:ascii="Calibri" w:hAnsi="Calibri"/>
          <w:sz w:val="20"/>
          <w:szCs w:val="20"/>
          <w:lang w:val="en-GB"/>
        </w:rPr>
        <w:t xml:space="preserve">. </w:t>
      </w:r>
      <w:r w:rsidRPr="00D61C93">
        <w:rPr>
          <w:rFonts w:ascii="Calibri" w:hAnsi="Calibri" w:cs="Calibri Light"/>
          <w:sz w:val="20"/>
          <w:szCs w:val="20"/>
        </w:rPr>
        <w:t xml:space="preserve">The visitor complex will be strategically located regarding </w:t>
      </w:r>
      <w:r w:rsidR="00E73212" w:rsidRPr="00D61C93">
        <w:rPr>
          <w:rFonts w:ascii="Calibri" w:hAnsi="Calibri" w:cs="Calibri Light"/>
          <w:sz w:val="20"/>
          <w:szCs w:val="20"/>
        </w:rPr>
        <w:t>visitors’</w:t>
      </w:r>
      <w:r w:rsidRPr="00D61C93">
        <w:rPr>
          <w:rFonts w:ascii="Calibri" w:hAnsi="Calibri" w:cs="Calibri Light"/>
          <w:sz w:val="20"/>
          <w:szCs w:val="20"/>
        </w:rPr>
        <w:t xml:space="preserve"> access to the main attractions, entrance gates and access route, and the building architecture and surrounding landscape will be designed following sustainable design principles. This will include furniture, equipment, electrification with solar panels and natural cooling systems, water provision including through water harvesting and grey-water recycling. The establishment of the visitor complex will be preceded by the elaboration of a feasibility study and a business plan </w:t>
      </w:r>
      <w:r w:rsidRPr="00A63E29">
        <w:rPr>
          <w:rFonts w:ascii="Calibri" w:hAnsi="Calibri" w:cs="Calibri Light"/>
          <w:sz w:val="20"/>
          <w:szCs w:val="20"/>
          <w:highlight w:val="yellow"/>
        </w:rPr>
        <w:t>and an environmental impact assessment</w:t>
      </w:r>
      <w:r w:rsidRPr="00D61C93">
        <w:rPr>
          <w:rFonts w:ascii="Calibri" w:hAnsi="Calibri" w:cs="Calibri Light"/>
          <w:sz w:val="20"/>
          <w:szCs w:val="20"/>
        </w:rPr>
        <w:t xml:space="preserve">. </w:t>
      </w:r>
      <w:r w:rsidRPr="00D61C93">
        <w:rPr>
          <w:rFonts w:ascii="Calibri" w:hAnsi="Calibri"/>
          <w:sz w:val="20"/>
          <w:szCs w:val="20"/>
          <w:lang w:val="en-GB"/>
        </w:rPr>
        <w:t>Six (6) observation towers or platforms will be constructed in strategic locations of the PAs to contribute to monitoring and tourist use. ECOSAN-style public toilets will be built at key points for PAs visitors and staff</w:t>
      </w:r>
      <w:r w:rsidRPr="009E350B">
        <w:rPr>
          <w:rFonts w:ascii="Calibri" w:hAnsi="Calibri"/>
          <w:sz w:val="20"/>
          <w:szCs w:val="20"/>
          <w:lang w:val="en-GB"/>
        </w:rPr>
        <w:t>.</w:t>
      </w:r>
      <w:r w:rsidR="001E5CCF" w:rsidRPr="009E350B">
        <w:rPr>
          <w:rFonts w:ascii="Calibri" w:hAnsi="Calibri"/>
          <w:sz w:val="20"/>
          <w:szCs w:val="20"/>
          <w:lang w:val="en-GB"/>
        </w:rPr>
        <w:t xml:space="preserve"> </w:t>
      </w:r>
      <w:r w:rsidR="001E5CCF" w:rsidRPr="00A63E29">
        <w:rPr>
          <w:rFonts w:ascii="Calibri" w:hAnsi="Calibri"/>
          <w:sz w:val="20"/>
          <w:szCs w:val="20"/>
          <w:lang w:val="en-GB"/>
        </w:rPr>
        <w:t>Care will be given to design the visitor center in such a way that there is sufficient space in key areas to respect recommended social distancing and that waiting areas are suitably designed to comfortably and safely accommodate visitors during waiting times before they can enter the visitor center during peak times.</w:t>
      </w:r>
      <w:r w:rsidR="001E5CCF" w:rsidRPr="009E350B">
        <w:rPr>
          <w:rFonts w:ascii="Calibri" w:hAnsi="Calibri"/>
          <w:sz w:val="20"/>
          <w:szCs w:val="20"/>
          <w:lang w:val="en-GB"/>
        </w:rPr>
        <w:t xml:space="preserve"> </w:t>
      </w:r>
    </w:p>
    <w:p w14:paraId="294D4578" w14:textId="77777777" w:rsidR="00302BFE" w:rsidRPr="00D61C93"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D61C93">
        <w:rPr>
          <w:rFonts w:ascii="Calibri" w:hAnsi="Calibri"/>
          <w:sz w:val="20"/>
          <w:szCs w:val="20"/>
          <w:lang w:val="en-GB"/>
        </w:rPr>
        <w:t>The basic equipment required for the management of protected areas, particularly for ecological monitoring and surveillance and anti-poaching activities, will be identified for each site, and the means of transport according to the extent of the area to monitor. This will involve acquiring the following equipment:</w:t>
      </w:r>
    </w:p>
    <w:p w14:paraId="146EE696" w14:textId="77777777" w:rsidR="00302BFE" w:rsidRPr="00D61C93" w:rsidRDefault="00302BFE" w:rsidP="00C46720">
      <w:pPr>
        <w:numPr>
          <w:ilvl w:val="0"/>
          <w:numId w:val="19"/>
        </w:numPr>
        <w:spacing w:after="0"/>
        <w:ind w:left="680" w:hanging="340"/>
        <w:rPr>
          <w:szCs w:val="20"/>
          <w:lang w:val="en-GB"/>
        </w:rPr>
      </w:pPr>
      <w:r w:rsidRPr="00D61C93">
        <w:rPr>
          <w:szCs w:val="20"/>
          <w:lang w:val="en-GB"/>
        </w:rPr>
        <w:t xml:space="preserve">Vehicles (a 4x4 vehicle for the </w:t>
      </w:r>
      <w:r w:rsidRPr="00D61C93">
        <w:rPr>
          <w:szCs w:val="20"/>
          <w:lang w:val="en-CA"/>
        </w:rPr>
        <w:t>PNKT</w:t>
      </w:r>
      <w:r w:rsidRPr="00D61C93">
        <w:rPr>
          <w:szCs w:val="20"/>
          <w:lang w:val="en-GB"/>
        </w:rPr>
        <w:t xml:space="preserve"> management unit / motorcycles for the eco-guards of the 3 PAs);</w:t>
      </w:r>
    </w:p>
    <w:p w14:paraId="7D90C1BC" w14:textId="77777777" w:rsidR="00302BFE" w:rsidRPr="00D61C93" w:rsidRDefault="00302BFE" w:rsidP="00C46720">
      <w:pPr>
        <w:numPr>
          <w:ilvl w:val="0"/>
          <w:numId w:val="19"/>
        </w:numPr>
        <w:spacing w:after="0"/>
        <w:ind w:left="680" w:hanging="340"/>
        <w:rPr>
          <w:szCs w:val="20"/>
          <w:lang w:val="en-GB"/>
        </w:rPr>
      </w:pPr>
      <w:r w:rsidRPr="00D61C93">
        <w:rPr>
          <w:szCs w:val="20"/>
          <w:lang w:val="en-GB"/>
        </w:rPr>
        <w:t>Uniforms and equipment for eco-guards and rangers of the 3 PAs (tents, backpacks, mattresses, torches, water bottles, dinner pails – further detail provided in the budget note 18);</w:t>
      </w:r>
    </w:p>
    <w:p w14:paraId="356540CF" w14:textId="77777777" w:rsidR="00302BFE" w:rsidRPr="00D61C93" w:rsidRDefault="00302BFE" w:rsidP="00C46720">
      <w:pPr>
        <w:numPr>
          <w:ilvl w:val="0"/>
          <w:numId w:val="19"/>
        </w:numPr>
        <w:spacing w:after="0"/>
        <w:ind w:left="680" w:hanging="340"/>
        <w:rPr>
          <w:szCs w:val="20"/>
          <w:lang w:val="en-GB"/>
        </w:rPr>
      </w:pPr>
      <w:r w:rsidRPr="00D61C93">
        <w:rPr>
          <w:szCs w:val="20"/>
          <w:lang w:val="en-GB"/>
        </w:rPr>
        <w:t>Equipment for surveys, ecological monitoring and anti-poaching activities: including GPS, compasses, binoculars, digital cameras;</w:t>
      </w:r>
    </w:p>
    <w:p w14:paraId="08741441" w14:textId="77777777" w:rsidR="00302BFE" w:rsidRPr="00D61C93" w:rsidRDefault="00302BFE" w:rsidP="00C46720">
      <w:pPr>
        <w:numPr>
          <w:ilvl w:val="0"/>
          <w:numId w:val="19"/>
        </w:numPr>
        <w:spacing w:after="0"/>
        <w:ind w:left="680" w:hanging="340"/>
        <w:rPr>
          <w:szCs w:val="20"/>
          <w:lang w:val="en-GB"/>
        </w:rPr>
      </w:pPr>
      <w:r w:rsidRPr="00D61C93">
        <w:rPr>
          <w:szCs w:val="20"/>
          <w:lang w:val="en-GB"/>
        </w:rPr>
        <w:t>First aid kits (for surveillance teams, PA offices / reception centers);</w:t>
      </w:r>
    </w:p>
    <w:p w14:paraId="6839A6ED" w14:textId="77777777" w:rsidR="00302BFE" w:rsidRPr="00D61C93" w:rsidRDefault="00302BFE" w:rsidP="00C46720">
      <w:pPr>
        <w:numPr>
          <w:ilvl w:val="0"/>
          <w:numId w:val="19"/>
        </w:numPr>
        <w:spacing w:after="0"/>
        <w:ind w:left="680" w:hanging="340"/>
        <w:rPr>
          <w:szCs w:val="20"/>
          <w:lang w:val="en-GB"/>
        </w:rPr>
      </w:pPr>
      <w:r w:rsidRPr="00D61C93">
        <w:rPr>
          <w:szCs w:val="20"/>
          <w:lang w:val="en-GB"/>
        </w:rPr>
        <w:t>Communication equipment for PA staff, rangers and eco-guards: depending on the coverage and reliability of the mobile network within the project's intervention sites, the project will acquire cellular phones and / or radio equipment allowing rapid transmission of information concerning incidents or illegal activities;</w:t>
      </w:r>
    </w:p>
    <w:p w14:paraId="06C5BD79" w14:textId="77777777" w:rsidR="00302BFE" w:rsidRPr="00D61C93" w:rsidRDefault="00302BFE" w:rsidP="00C46720">
      <w:pPr>
        <w:numPr>
          <w:ilvl w:val="0"/>
          <w:numId w:val="19"/>
        </w:numPr>
        <w:spacing w:after="0"/>
        <w:ind w:left="680" w:hanging="340"/>
        <w:rPr>
          <w:szCs w:val="20"/>
          <w:lang w:val="en-GB"/>
        </w:rPr>
      </w:pPr>
      <w:r w:rsidRPr="00D61C93">
        <w:rPr>
          <w:szCs w:val="20"/>
          <w:lang w:val="en-GB"/>
        </w:rPr>
        <w:t xml:space="preserve">Office equipment for the </w:t>
      </w:r>
      <w:r w:rsidRPr="00D61C93">
        <w:rPr>
          <w:szCs w:val="20"/>
          <w:lang w:val="en-CA"/>
        </w:rPr>
        <w:t>PNKT</w:t>
      </w:r>
      <w:r w:rsidRPr="00D61C93">
        <w:rPr>
          <w:szCs w:val="20"/>
          <w:lang w:val="en-GB"/>
        </w:rPr>
        <w:t xml:space="preserve"> office (basic furniture, furniture for a meeting room, desktop computers, inverters, external hard disk, printer, digitizer, video projector).</w:t>
      </w:r>
    </w:p>
    <w:p w14:paraId="6B028998" w14:textId="77777777" w:rsidR="00302BFE" w:rsidRPr="00D61C93" w:rsidRDefault="00302BFE" w:rsidP="00302BFE">
      <w:pPr>
        <w:spacing w:before="240" w:after="120"/>
        <w:rPr>
          <w:b/>
          <w:szCs w:val="20"/>
          <w:lang w:val="en-GB"/>
        </w:rPr>
      </w:pPr>
      <w:r w:rsidRPr="00D61C93">
        <w:rPr>
          <w:b/>
          <w:szCs w:val="20"/>
          <w:lang w:val="en-GB"/>
        </w:rPr>
        <w:t xml:space="preserve">Output 2.2 The management effectiveness of the State-managed PAs of the PONASI complex - Kabore-Tambi (169,000 ha), Nazinga (91,300 ha) and Sissili (32,700 ha), including corridors # 1 (4,500 ha) and # 2 (33,000 ha) - is reinforced by a series of technical support. </w:t>
      </w:r>
    </w:p>
    <w:p w14:paraId="5B6586BA" w14:textId="77777777" w:rsidR="00302BFE" w:rsidRPr="005F382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D61C93">
        <w:rPr>
          <w:rFonts w:ascii="Calibri" w:hAnsi="Calibri"/>
          <w:sz w:val="20"/>
          <w:szCs w:val="20"/>
          <w:lang w:val="en-GB"/>
        </w:rPr>
        <w:t>These supports include the establishment and institutionalization of long-term management plans for PAs, which will be translated into annual operational programs, the consolidation of infrastructure and essential management equipment, a business plan for all PAs, sustainable management measures for the species used especially in hunting areas, a collaborative management approach involving communities. The management and development plans, the business plan for the PA complex, and the elephant and exploited species conservation plans will be subsidiary elements of the overall landscape management master plan. The project will explore collaborative approaches with communities bordering PAs to improve the contribution of PAs to t</w:t>
      </w:r>
      <w:r w:rsidRPr="005F3825">
        <w:rPr>
          <w:rFonts w:ascii="Calibri" w:hAnsi="Calibri"/>
          <w:sz w:val="20"/>
          <w:szCs w:val="20"/>
          <w:lang w:val="en-GB"/>
        </w:rPr>
        <w:t>heir quality of life and their perception of these benefits in relation to PAs. This should help develop the ownership of PAs and help reduce pressure from the activities of neighbouring communities</w:t>
      </w:r>
      <w:r w:rsidRPr="005F3825">
        <w:rPr>
          <w:rFonts w:ascii="Calibri" w:eastAsia="Cambria" w:hAnsi="Calibri"/>
          <w:sz w:val="20"/>
          <w:szCs w:val="20"/>
          <w:lang w:val="en-GB"/>
        </w:rPr>
        <w:t>.</w:t>
      </w:r>
    </w:p>
    <w:p w14:paraId="60EE66CF" w14:textId="12D0056B" w:rsidR="00302BFE" w:rsidRDefault="00302BFE" w:rsidP="00302BFE">
      <w:pPr>
        <w:spacing w:before="120" w:after="120"/>
        <w:rPr>
          <w:i/>
          <w:color w:val="4472C4"/>
          <w:szCs w:val="20"/>
          <w:lang w:val="en-GB"/>
        </w:rPr>
      </w:pPr>
      <w:r w:rsidRPr="005F3825">
        <w:rPr>
          <w:i/>
          <w:color w:val="4472C4"/>
          <w:szCs w:val="20"/>
          <w:lang w:val="en-GB"/>
        </w:rPr>
        <w:t xml:space="preserve">2.2.1. </w:t>
      </w:r>
      <w:r w:rsidRPr="00EF0411">
        <w:rPr>
          <w:i/>
          <w:color w:val="4472C4"/>
          <w:szCs w:val="20"/>
          <w:lang w:val="en-GB"/>
        </w:rPr>
        <w:t>Clarification / revision of the status and boundaries of the PAs</w:t>
      </w:r>
      <w:r>
        <w:rPr>
          <w:i/>
          <w:color w:val="4472C4"/>
          <w:szCs w:val="20"/>
          <w:lang w:val="en-GB"/>
        </w:rPr>
        <w:t xml:space="preserve"> of the PONASI complex</w:t>
      </w:r>
    </w:p>
    <w:p w14:paraId="516C98F6" w14:textId="79D4E98D" w:rsidR="001F23E3" w:rsidRPr="00BE65D5" w:rsidRDefault="001F23E3" w:rsidP="00302BFE">
      <w:pPr>
        <w:spacing w:before="120" w:after="120"/>
        <w:rPr>
          <w:iCs/>
          <w:color w:val="4472C4"/>
          <w:szCs w:val="20"/>
          <w:lang w:val="en-GB"/>
        </w:rPr>
      </w:pPr>
      <w:r w:rsidRPr="003F4704">
        <w:rPr>
          <w:iCs/>
          <w:color w:val="4472C4"/>
          <w:szCs w:val="20"/>
          <w:highlight w:val="green"/>
          <w:lang w:val="en-GB"/>
        </w:rPr>
        <w:t>For this activity, the FPIC (Free, Prior and Informed Consent) process has to be ensured</w:t>
      </w:r>
    </w:p>
    <w:p w14:paraId="34EAF9DA" w14:textId="77777777" w:rsidR="00302BFE" w:rsidRPr="00B43F59"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B43F59">
        <w:rPr>
          <w:rFonts w:ascii="Calibri" w:hAnsi="Calibri"/>
          <w:sz w:val="20"/>
          <w:szCs w:val="20"/>
          <w:lang w:val="en-CA"/>
        </w:rPr>
        <w:t>The project will provide support to ensure that all protected areas have a clear status and are known to all stakeholders, have a clear and appropriate delimitation to promote effective management, and that the use of their resources is consistent with their classification texts.</w:t>
      </w:r>
    </w:p>
    <w:p w14:paraId="357FF431" w14:textId="77777777" w:rsidR="00302BFE" w:rsidRPr="00793D18"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793D18">
        <w:rPr>
          <w:rFonts w:ascii="Calibri" w:hAnsi="Calibri"/>
          <w:i/>
          <w:color w:val="4472C4"/>
          <w:sz w:val="20"/>
          <w:szCs w:val="20"/>
          <w:lang w:val="en-GB"/>
        </w:rPr>
        <w:t xml:space="preserve">Formal creation of corridor # 2. </w:t>
      </w:r>
      <w:r w:rsidRPr="00793D18">
        <w:rPr>
          <w:rFonts w:ascii="Calibri" w:hAnsi="Calibri"/>
          <w:sz w:val="20"/>
          <w:szCs w:val="20"/>
          <w:lang w:val="en-GB"/>
        </w:rPr>
        <w:t xml:space="preserve">To restore movement of elephants within the PONASI Protected Area Complex and between the complex and adjacent areas, particularly those in northern Ghana, the PAGEN project has initiated the delineation of two corridors: corridor no. 1, linking the </w:t>
      </w:r>
      <w:r w:rsidRPr="00793D18">
        <w:rPr>
          <w:rFonts w:ascii="Calibri" w:hAnsi="Calibri"/>
          <w:sz w:val="20"/>
          <w:szCs w:val="20"/>
          <w:lang w:val="en-CA"/>
        </w:rPr>
        <w:t>PNKT</w:t>
      </w:r>
      <w:r w:rsidRPr="00793D18">
        <w:rPr>
          <w:rFonts w:ascii="Calibri" w:hAnsi="Calibri"/>
          <w:sz w:val="20"/>
          <w:szCs w:val="20"/>
          <w:lang w:val="en-GB"/>
        </w:rPr>
        <w:t xml:space="preserve"> to the Nazinga Game Ranch, covering an area of 4,500 ha, and Corridor No. 2, connecting the south-east of the </w:t>
      </w:r>
      <w:r w:rsidRPr="00793D18">
        <w:rPr>
          <w:rFonts w:ascii="Calibri" w:hAnsi="Calibri"/>
          <w:sz w:val="20"/>
          <w:szCs w:val="20"/>
          <w:lang w:val="en-CA"/>
        </w:rPr>
        <w:t>PNKT</w:t>
      </w:r>
      <w:r w:rsidRPr="00793D18">
        <w:rPr>
          <w:rFonts w:ascii="Calibri" w:hAnsi="Calibri"/>
          <w:sz w:val="20"/>
          <w:szCs w:val="20"/>
          <w:lang w:val="en-GB"/>
        </w:rPr>
        <w:t xml:space="preserve"> to northern Ghana, covering an area of 33,000 ha. The premature termination of the project has prevented the finalization of the texts formalizing the creation of the corridors, leaving the riparian communities facing an ambiguous situation that threatens the security of the corridor.</w:t>
      </w:r>
    </w:p>
    <w:p w14:paraId="08C7C708" w14:textId="77777777" w:rsidR="00302BFE" w:rsidRPr="00793D18"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793D18">
        <w:rPr>
          <w:rFonts w:ascii="Calibri" w:hAnsi="Calibri"/>
          <w:sz w:val="20"/>
          <w:szCs w:val="20"/>
          <w:lang w:val="en-GB"/>
        </w:rPr>
        <w:lastRenderedPageBreak/>
        <w:t xml:space="preserve">The formalization of the status of Corridor # 2 south-east of </w:t>
      </w:r>
      <w:r w:rsidRPr="00793D18">
        <w:rPr>
          <w:rFonts w:ascii="Calibri" w:hAnsi="Calibri"/>
          <w:sz w:val="20"/>
          <w:szCs w:val="20"/>
          <w:lang w:val="en-CA"/>
        </w:rPr>
        <w:t>PNKT</w:t>
      </w:r>
      <w:r w:rsidRPr="00793D18">
        <w:rPr>
          <w:rFonts w:ascii="Calibri" w:hAnsi="Calibri"/>
          <w:sz w:val="20"/>
          <w:szCs w:val="20"/>
          <w:lang w:val="en-GB"/>
        </w:rPr>
        <w:t xml:space="preserve"> linking the national park to northern Ghana will involve the following steps:</w:t>
      </w:r>
    </w:p>
    <w:p w14:paraId="732B3F77" w14:textId="77777777" w:rsidR="00302BFE" w:rsidRPr="005F3825" w:rsidRDefault="00302BFE" w:rsidP="00C46720">
      <w:pPr>
        <w:pStyle w:val="Paragraphedeliste"/>
        <w:numPr>
          <w:ilvl w:val="0"/>
          <w:numId w:val="22"/>
        </w:numPr>
        <w:spacing w:before="120" w:after="120"/>
        <w:contextualSpacing/>
        <w:jc w:val="both"/>
        <w:rPr>
          <w:rFonts w:ascii="Calibri" w:hAnsi="Calibri"/>
          <w:sz w:val="20"/>
          <w:szCs w:val="20"/>
          <w:lang w:val="en-GB"/>
        </w:rPr>
      </w:pPr>
      <w:r w:rsidRPr="005F3825">
        <w:rPr>
          <w:rFonts w:ascii="Calibri" w:hAnsi="Calibri"/>
          <w:sz w:val="20"/>
          <w:szCs w:val="20"/>
          <w:lang w:val="en-GB"/>
        </w:rPr>
        <w:t>Conducting preliminary socio-economic surveys to verify the perceptions of local communities and the actual impacts of corridor establishment in the framework of the PAGEN project to check if compensation measures are required;</w:t>
      </w:r>
    </w:p>
    <w:p w14:paraId="5D2EB5F5" w14:textId="77777777" w:rsidR="00302BFE" w:rsidRPr="005F3825" w:rsidRDefault="00302BFE" w:rsidP="00C46720">
      <w:pPr>
        <w:pStyle w:val="Paragraphedeliste"/>
        <w:numPr>
          <w:ilvl w:val="0"/>
          <w:numId w:val="22"/>
        </w:numPr>
        <w:spacing w:before="120" w:after="120"/>
        <w:ind w:left="714" w:hanging="357"/>
        <w:contextualSpacing/>
        <w:jc w:val="both"/>
        <w:rPr>
          <w:rFonts w:ascii="Calibri" w:hAnsi="Calibri"/>
          <w:sz w:val="20"/>
          <w:szCs w:val="20"/>
          <w:lang w:val="en-GB"/>
        </w:rPr>
      </w:pPr>
      <w:r w:rsidRPr="005F3825">
        <w:rPr>
          <w:rFonts w:ascii="Calibri" w:hAnsi="Calibri"/>
          <w:sz w:val="20"/>
          <w:szCs w:val="20"/>
          <w:lang w:val="en-GB"/>
        </w:rPr>
        <w:t>Prior sensitization of communities along the corridor on the concept of co-management as described in the steps prior to the negotiation of voluntary agreements in output 2.2.3;</w:t>
      </w:r>
    </w:p>
    <w:p w14:paraId="64077069" w14:textId="77777777" w:rsidR="00302BFE" w:rsidRPr="005F3825" w:rsidRDefault="00302BFE" w:rsidP="00C46720">
      <w:pPr>
        <w:pStyle w:val="Paragraphedeliste"/>
        <w:numPr>
          <w:ilvl w:val="0"/>
          <w:numId w:val="22"/>
        </w:numPr>
        <w:spacing w:before="120" w:after="120"/>
        <w:ind w:left="714" w:hanging="357"/>
        <w:contextualSpacing/>
        <w:jc w:val="both"/>
        <w:rPr>
          <w:rFonts w:ascii="Calibri" w:hAnsi="Calibri"/>
          <w:sz w:val="20"/>
          <w:szCs w:val="20"/>
          <w:lang w:val="en-GB"/>
        </w:rPr>
      </w:pPr>
      <w:r w:rsidRPr="005F3825">
        <w:rPr>
          <w:rFonts w:ascii="Calibri" w:hAnsi="Calibri"/>
          <w:sz w:val="20"/>
          <w:szCs w:val="20"/>
          <w:lang w:val="en-GB"/>
        </w:rPr>
        <w:t>An assessment of the state of habitats and natural resources essential for the conservation of elephants and large and medium-sized mammals during their movements and the identification of interventions required for the restoration of essential ecosystem services;</w:t>
      </w:r>
    </w:p>
    <w:p w14:paraId="0C706861" w14:textId="77777777" w:rsidR="00302BFE" w:rsidRPr="005F3825" w:rsidRDefault="00302BFE" w:rsidP="00C46720">
      <w:pPr>
        <w:pStyle w:val="Paragraphedeliste"/>
        <w:numPr>
          <w:ilvl w:val="0"/>
          <w:numId w:val="22"/>
        </w:numPr>
        <w:spacing w:before="120" w:after="120"/>
        <w:ind w:left="714" w:hanging="357"/>
        <w:contextualSpacing/>
        <w:jc w:val="both"/>
        <w:rPr>
          <w:rFonts w:ascii="Calibri" w:hAnsi="Calibri"/>
          <w:sz w:val="20"/>
          <w:szCs w:val="20"/>
          <w:lang w:val="en-GB"/>
        </w:rPr>
      </w:pPr>
      <w:r w:rsidRPr="005F3825">
        <w:rPr>
          <w:rFonts w:ascii="Calibri" w:hAnsi="Calibri"/>
          <w:sz w:val="20"/>
          <w:szCs w:val="20"/>
          <w:lang w:val="en-GB"/>
        </w:rPr>
        <w:t xml:space="preserve">Participatory definition and validation of conservation objectives and the delineation of Corridor # 2 </w:t>
      </w:r>
      <w:r>
        <w:rPr>
          <w:rFonts w:ascii="Calibri" w:hAnsi="Calibri"/>
          <w:sz w:val="20"/>
          <w:szCs w:val="20"/>
          <w:lang w:val="en-GB"/>
        </w:rPr>
        <w:t xml:space="preserve">(should revisions be required) </w:t>
      </w:r>
      <w:r w:rsidRPr="005F3825">
        <w:rPr>
          <w:rFonts w:ascii="Calibri" w:hAnsi="Calibri"/>
          <w:sz w:val="20"/>
          <w:szCs w:val="20"/>
          <w:lang w:val="en-GB"/>
        </w:rPr>
        <w:t xml:space="preserve">by involving all concerned and affected stakeholders and the signing of voluntary agreements by neighbouring communities regarding their commitment to </w:t>
      </w:r>
      <w:r>
        <w:rPr>
          <w:rFonts w:ascii="Calibri" w:hAnsi="Calibri"/>
          <w:sz w:val="20"/>
          <w:szCs w:val="20"/>
          <w:lang w:val="en-GB"/>
        </w:rPr>
        <w:t xml:space="preserve">get </w:t>
      </w:r>
      <w:r w:rsidRPr="005F3825">
        <w:rPr>
          <w:rFonts w:ascii="Calibri" w:hAnsi="Calibri"/>
          <w:sz w:val="20"/>
          <w:szCs w:val="20"/>
          <w:lang w:val="en-GB"/>
        </w:rPr>
        <w:t>involve</w:t>
      </w:r>
      <w:r>
        <w:rPr>
          <w:rFonts w:ascii="Calibri" w:hAnsi="Calibri"/>
          <w:sz w:val="20"/>
          <w:szCs w:val="20"/>
          <w:lang w:val="en-GB"/>
        </w:rPr>
        <w:t>d</w:t>
      </w:r>
      <w:r w:rsidRPr="005F3825">
        <w:rPr>
          <w:rFonts w:ascii="Calibri" w:hAnsi="Calibri"/>
          <w:sz w:val="20"/>
          <w:szCs w:val="20"/>
          <w:lang w:val="en-GB"/>
        </w:rPr>
        <w:t xml:space="preserve"> in the collaborative management </w:t>
      </w:r>
      <w:r>
        <w:rPr>
          <w:rFonts w:ascii="Calibri" w:hAnsi="Calibri"/>
          <w:sz w:val="20"/>
          <w:szCs w:val="20"/>
          <w:lang w:val="en-GB"/>
        </w:rPr>
        <w:t xml:space="preserve">of the </w:t>
      </w:r>
      <w:r w:rsidRPr="005F3825">
        <w:rPr>
          <w:rFonts w:ascii="Calibri" w:hAnsi="Calibri"/>
          <w:sz w:val="20"/>
          <w:szCs w:val="20"/>
          <w:lang w:val="en-GB"/>
        </w:rPr>
        <w:t>corridor;</w:t>
      </w:r>
    </w:p>
    <w:p w14:paraId="4F610ADC" w14:textId="77777777" w:rsidR="00302BFE" w:rsidRPr="005F3825" w:rsidRDefault="00302BFE" w:rsidP="00C46720">
      <w:pPr>
        <w:pStyle w:val="Paragraphedeliste"/>
        <w:numPr>
          <w:ilvl w:val="0"/>
          <w:numId w:val="22"/>
        </w:numPr>
        <w:spacing w:before="120" w:after="120"/>
        <w:ind w:left="714" w:hanging="357"/>
        <w:contextualSpacing/>
        <w:jc w:val="both"/>
        <w:rPr>
          <w:rFonts w:ascii="Calibri" w:hAnsi="Calibri"/>
          <w:sz w:val="20"/>
          <w:szCs w:val="20"/>
          <w:lang w:val="en-GB"/>
        </w:rPr>
      </w:pPr>
      <w:r w:rsidRPr="005F3825">
        <w:rPr>
          <w:rFonts w:ascii="Calibri" w:hAnsi="Calibri"/>
          <w:sz w:val="20"/>
          <w:szCs w:val="20"/>
          <w:lang w:val="en-GB"/>
        </w:rPr>
        <w:t xml:space="preserve">The submission and adoption of the text formalizing the creation of the corridor and its dissemination to </w:t>
      </w:r>
      <w:r>
        <w:rPr>
          <w:rFonts w:ascii="Calibri" w:hAnsi="Calibri"/>
          <w:sz w:val="20"/>
          <w:szCs w:val="20"/>
          <w:lang w:val="en-GB"/>
        </w:rPr>
        <w:t>relevant</w:t>
      </w:r>
      <w:r w:rsidRPr="005F3825">
        <w:rPr>
          <w:rFonts w:ascii="Calibri" w:hAnsi="Calibri"/>
          <w:sz w:val="20"/>
          <w:szCs w:val="20"/>
          <w:lang w:val="en-GB"/>
        </w:rPr>
        <w:t xml:space="preserve"> stakeholders, especially the neighbouring communities, and the general public;</w:t>
      </w:r>
    </w:p>
    <w:p w14:paraId="58EA678C" w14:textId="77777777" w:rsidR="00302BFE" w:rsidRPr="005F3825" w:rsidRDefault="00302BFE" w:rsidP="00C46720">
      <w:pPr>
        <w:pStyle w:val="Paragraphedeliste"/>
        <w:numPr>
          <w:ilvl w:val="0"/>
          <w:numId w:val="22"/>
        </w:numPr>
        <w:spacing w:before="120" w:after="120"/>
        <w:ind w:left="714" w:hanging="357"/>
        <w:jc w:val="both"/>
        <w:rPr>
          <w:rFonts w:ascii="Calibri" w:hAnsi="Calibri"/>
          <w:sz w:val="20"/>
          <w:szCs w:val="20"/>
          <w:lang w:val="en-GB"/>
        </w:rPr>
      </w:pPr>
      <w:r w:rsidRPr="005F3825">
        <w:rPr>
          <w:rFonts w:ascii="Calibri" w:hAnsi="Calibri"/>
          <w:sz w:val="20"/>
          <w:szCs w:val="20"/>
          <w:lang w:val="en-GB"/>
        </w:rPr>
        <w:t>The demarcation of boundaries by the installation of clearly visible landmarks</w:t>
      </w:r>
      <w:r>
        <w:rPr>
          <w:rFonts w:ascii="Calibri" w:hAnsi="Calibri"/>
          <w:sz w:val="20"/>
          <w:szCs w:val="20"/>
          <w:lang w:val="en-GB"/>
        </w:rPr>
        <w:t>, involving local communities as workers</w:t>
      </w:r>
      <w:r w:rsidRPr="005F3825">
        <w:rPr>
          <w:rFonts w:ascii="Calibri" w:hAnsi="Calibri"/>
          <w:sz w:val="20"/>
          <w:szCs w:val="20"/>
          <w:lang w:val="en-GB"/>
        </w:rPr>
        <w:t>.</w:t>
      </w:r>
    </w:p>
    <w:p w14:paraId="33934698" w14:textId="74513552" w:rsidR="00302BFE" w:rsidRPr="00B43F59"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B43F59">
        <w:rPr>
          <w:rFonts w:ascii="Calibri" w:hAnsi="Calibri"/>
          <w:i/>
          <w:color w:val="4472C4"/>
          <w:sz w:val="20"/>
          <w:szCs w:val="20"/>
          <w:lang w:val="en-GB"/>
        </w:rPr>
        <w:t>Revision of the southern boundary of the Nazinga Game Ranch.</w:t>
      </w:r>
      <w:r w:rsidRPr="00B43F59">
        <w:rPr>
          <w:rFonts w:ascii="Calibri" w:hAnsi="Calibri"/>
          <w:sz w:val="20"/>
          <w:szCs w:val="20"/>
          <w:lang w:val="en-GB"/>
        </w:rPr>
        <w:t xml:space="preserve"> </w:t>
      </w:r>
      <w:r w:rsidRPr="00F96D82">
        <w:rPr>
          <w:rFonts w:ascii="Calibri" w:hAnsi="Calibri"/>
          <w:sz w:val="20"/>
          <w:szCs w:val="20"/>
          <w:lang w:val="en-GB"/>
        </w:rPr>
        <w:t>The southern delineation of the Nazinga Game Ranch (</w:t>
      </w:r>
      <w:r w:rsidR="00F03A01">
        <w:rPr>
          <w:rFonts w:ascii="Calibri" w:hAnsi="Calibri"/>
          <w:sz w:val="20"/>
          <w:szCs w:val="20"/>
          <w:lang w:val="en-GB"/>
        </w:rPr>
        <w:t>RGN</w:t>
      </w:r>
      <w:r w:rsidRPr="00F96D82">
        <w:rPr>
          <w:rFonts w:ascii="Calibri" w:hAnsi="Calibri"/>
          <w:sz w:val="20"/>
          <w:szCs w:val="20"/>
          <w:lang w:val="en-GB"/>
        </w:rPr>
        <w:t xml:space="preserve">), along the Ghana border, leaves an unprotected interspace vulnerable to poaching, and this space is presumably used by elephants for their transboundary movement. The project will support the adjustment of the boundaries of the </w:t>
      </w:r>
      <w:r w:rsidR="00F03A01">
        <w:rPr>
          <w:rFonts w:ascii="Calibri" w:hAnsi="Calibri"/>
          <w:sz w:val="20"/>
          <w:szCs w:val="20"/>
          <w:lang w:val="en-GB"/>
        </w:rPr>
        <w:t>RGN</w:t>
      </w:r>
      <w:r w:rsidRPr="00F96D82">
        <w:rPr>
          <w:rFonts w:ascii="Calibri" w:hAnsi="Calibri"/>
          <w:sz w:val="20"/>
          <w:szCs w:val="20"/>
          <w:lang w:val="en-GB"/>
        </w:rPr>
        <w:t xml:space="preserve"> to include this space within the protected area, up to the limit of the Ghanaian border, and the preparation of an amendment or a new ordinance.</w:t>
      </w:r>
    </w:p>
    <w:p w14:paraId="3407FBCD" w14:textId="77777777" w:rsidR="00302BFE" w:rsidRPr="00D61C93"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B43F59">
        <w:rPr>
          <w:rFonts w:ascii="Calibri" w:hAnsi="Calibri"/>
          <w:i/>
          <w:color w:val="4472C4"/>
          <w:sz w:val="20"/>
          <w:szCs w:val="20"/>
          <w:lang w:val="en-CA"/>
        </w:rPr>
        <w:t>Clarification and awareness of the status of the Sissili Classified Forest.</w:t>
      </w:r>
      <w:r w:rsidRPr="00B43F59">
        <w:rPr>
          <w:rFonts w:ascii="Calibri" w:hAnsi="Calibri"/>
          <w:sz w:val="20"/>
          <w:szCs w:val="20"/>
          <w:lang w:val="en-CA"/>
        </w:rPr>
        <w:t xml:space="preserve"> At the time of its classification, the Sissili classified forest (SCF) had an area of 32,700 ha spread over the territories of three current communes: Bieha, Cassou and Sapouy. During the "Democratic and Popular Revolution" (1984-1987), the High Commissioner of Sissili tried to annex part of the SCF to create the pastoral zone of Yalé but met the resistance of agro-pastoralists adjacent villages. The Ministry in charge of forests has canceled the regulatory act of the provincial authority, which has no power to decommission a classified forest. In 1996, the classified forest was conceded for hunting to a private operator. In recent years, the Forestry Department has been demanding the departure of farmers and herders from the portion of the classified forest that was the object of the attempted conversion to pastoral areas. The intervention of the PONASI Project in this area will help the Government by spreading its message on the actual status of the classified forest to the local </w:t>
      </w:r>
      <w:r w:rsidRPr="00D61C93">
        <w:rPr>
          <w:rFonts w:ascii="Calibri" w:hAnsi="Calibri"/>
          <w:sz w:val="20"/>
          <w:szCs w:val="20"/>
          <w:lang w:val="en-CA"/>
        </w:rPr>
        <w:t>populations and the permitted uses as defined in the classification order.</w:t>
      </w:r>
    </w:p>
    <w:p w14:paraId="3153C55C" w14:textId="7E17D2DE" w:rsidR="00302BFE" w:rsidRPr="004610C9" w:rsidRDefault="004610C9"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D61C93">
        <w:rPr>
          <w:rFonts w:asciiTheme="minorHAnsi" w:hAnsiTheme="minorHAnsi"/>
          <w:sz w:val="20"/>
          <w:szCs w:val="20"/>
          <w:lang w:val="en-CA"/>
        </w:rPr>
        <w:t>The private concessionaire, the late Mr Norbert Zongo, to whom the management of the Sissili CF was granted in 1996 died in December 1998. Although his family members had taken over the management, albeit in a less sustained manner, by 2001 the state of the hunting area had deteriorated considerably</w:t>
      </w:r>
      <w:r w:rsidRPr="00D61C93">
        <w:rPr>
          <w:rFonts w:ascii="Calibri" w:hAnsi="Calibri"/>
          <w:sz w:val="20"/>
          <w:szCs w:val="20"/>
          <w:lang w:val="en-CA"/>
        </w:rPr>
        <w:t xml:space="preserve">. </w:t>
      </w:r>
      <w:r w:rsidR="00302BFE" w:rsidRPr="00D61C93">
        <w:rPr>
          <w:rFonts w:ascii="Calibri" w:hAnsi="Calibri"/>
          <w:sz w:val="20"/>
          <w:szCs w:val="20"/>
          <w:lang w:val="en-CA"/>
        </w:rPr>
        <w:t>The specifications related to the concession are not respected, the development and management plan has not been drawn up, the operating reports are not systematically submitted, the trackers are not motivated and do not show up not at work, so the exploitation of the forest is minimal. As a result, neighboring villages no longer benefiting from hunting products have expressed dissatisfaction and complained. This situation persists since the SCF hunting concession does not benefit from adequate monitoring of the Water and Forest Administration</w:t>
      </w:r>
      <w:r w:rsidR="00302BFE" w:rsidRPr="004A7704">
        <w:rPr>
          <w:rFonts w:ascii="Calibri" w:hAnsi="Calibri"/>
          <w:sz w:val="20"/>
          <w:szCs w:val="20"/>
          <w:lang w:val="en-CA"/>
        </w:rPr>
        <w:t xml:space="preserve">, presumably because of the history and </w:t>
      </w:r>
      <w:r w:rsidR="003575FA" w:rsidRPr="004A7704">
        <w:rPr>
          <w:rFonts w:ascii="Calibri" w:hAnsi="Calibri"/>
          <w:sz w:val="20"/>
          <w:szCs w:val="20"/>
          <w:lang w:val="en-CA"/>
        </w:rPr>
        <w:t>grief</w:t>
      </w:r>
      <w:r w:rsidR="00302BFE" w:rsidRPr="004A7704">
        <w:rPr>
          <w:rFonts w:ascii="Calibri" w:hAnsi="Calibri"/>
          <w:sz w:val="20"/>
          <w:szCs w:val="20"/>
          <w:lang w:val="en-CA"/>
        </w:rPr>
        <w:t xml:space="preserve"> that </w:t>
      </w:r>
      <w:r w:rsidR="003575FA" w:rsidRPr="004A7704">
        <w:rPr>
          <w:rFonts w:ascii="Calibri" w:hAnsi="Calibri"/>
          <w:sz w:val="20"/>
          <w:szCs w:val="20"/>
          <w:lang w:val="en-CA"/>
        </w:rPr>
        <w:t>still</w:t>
      </w:r>
      <w:r w:rsidR="00302BFE" w:rsidRPr="004A7704">
        <w:rPr>
          <w:rFonts w:ascii="Calibri" w:hAnsi="Calibri"/>
          <w:sz w:val="20"/>
          <w:szCs w:val="20"/>
          <w:lang w:val="en-CA"/>
        </w:rPr>
        <w:t xml:space="preserve"> surround the tragic disappearance of the legal concessionaire. The idea of entrusting the management of the Sissili Hunting Area/CF to the Nazinga Game Ranch or the concession to the ZOVIC manager of Neboun-Bori did not materialize. </w:t>
      </w:r>
      <w:r w:rsidRPr="004610C9">
        <w:rPr>
          <w:rFonts w:asciiTheme="minorHAnsi" w:hAnsiTheme="minorHAnsi"/>
          <w:sz w:val="20"/>
          <w:szCs w:val="20"/>
          <w:lang w:val="en-CA"/>
        </w:rPr>
        <w:t xml:space="preserve">Friends of the first concessionaire are willing to invest in restoring the potential of the area and the interest of hunters and tourists, but this requires the establishment of new legal arrangements. </w:t>
      </w:r>
      <w:r w:rsidR="00302BFE" w:rsidRPr="004610C9">
        <w:rPr>
          <w:rFonts w:ascii="Calibri" w:hAnsi="Calibri"/>
          <w:sz w:val="20"/>
          <w:szCs w:val="20"/>
          <w:lang w:val="en-CA"/>
        </w:rPr>
        <w:t>The project will provide support to regularize this situation and ensure that the protected area has the necessary tools for its effective management.</w:t>
      </w:r>
    </w:p>
    <w:p w14:paraId="75C724BF" w14:textId="7810AEE5" w:rsidR="00302BFE" w:rsidRDefault="00302BFE" w:rsidP="00302BFE">
      <w:pPr>
        <w:spacing w:before="120" w:after="120"/>
        <w:rPr>
          <w:i/>
          <w:color w:val="4472C4"/>
          <w:szCs w:val="20"/>
          <w:lang w:val="en-GB"/>
        </w:rPr>
      </w:pPr>
      <w:r w:rsidRPr="005F3825">
        <w:rPr>
          <w:i/>
          <w:color w:val="4472C4"/>
          <w:szCs w:val="20"/>
          <w:lang w:val="en-GB"/>
        </w:rPr>
        <w:t xml:space="preserve">2.2.2. Management plans for Nazinga, </w:t>
      </w:r>
      <w:r w:rsidRPr="00793D18">
        <w:rPr>
          <w:i/>
          <w:color w:val="4472C4"/>
          <w:szCs w:val="20"/>
          <w:lang w:val="en-GB"/>
        </w:rPr>
        <w:t>PNKT</w:t>
      </w:r>
      <w:r w:rsidRPr="005F3825">
        <w:rPr>
          <w:i/>
          <w:color w:val="4472C4"/>
          <w:szCs w:val="20"/>
          <w:lang w:val="en-GB"/>
        </w:rPr>
        <w:t xml:space="preserve"> and Sissili PAs, including corridors # 1 and # 2 developed and implemented</w:t>
      </w:r>
    </w:p>
    <w:p w14:paraId="33127DF4" w14:textId="540C2DD2" w:rsidR="001F23E3" w:rsidRPr="00BE65D5" w:rsidRDefault="001F23E3" w:rsidP="00302BFE">
      <w:pPr>
        <w:spacing w:before="120" w:after="120"/>
        <w:rPr>
          <w:iCs/>
          <w:color w:val="4472C4"/>
          <w:szCs w:val="20"/>
          <w:lang w:val="en-GB"/>
        </w:rPr>
      </w:pPr>
      <w:r w:rsidRPr="003F4704">
        <w:rPr>
          <w:iCs/>
          <w:color w:val="4472C4"/>
          <w:szCs w:val="20"/>
          <w:highlight w:val="green"/>
          <w:lang w:val="en-GB"/>
        </w:rPr>
        <w:t>For this activity, the FPIC (Free, Prior and Informed Consent) process has to be ensured</w:t>
      </w:r>
    </w:p>
    <w:p w14:paraId="73D9BAC8" w14:textId="77777777" w:rsidR="00302BFE" w:rsidRPr="005F382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5F3825">
        <w:rPr>
          <w:rFonts w:ascii="Calibri" w:hAnsi="Calibri"/>
          <w:sz w:val="20"/>
          <w:szCs w:val="20"/>
          <w:lang w:val="en-GB"/>
        </w:rPr>
        <w:t>Protected area management planning involves assessing and recording site conditions, assessing current and projected needs and threats, developing strategies, and planning specific activities to address these threats. Planning includes the definition of tasks and responsibilities, a timeline for achieving objectives, indicators and targets against which progress can be measured, and resource requirements. Planning will be carried out for long- and short-term-time horizons: strategic planning to achieve broad objectives for all PAs in the complex and over a 5 to 10-year horizon, and clear operational planning for carrying out specific activities to reach the annual targets for each of the sites.</w:t>
      </w:r>
    </w:p>
    <w:p w14:paraId="02DF6D31" w14:textId="77777777" w:rsidR="00302BFE" w:rsidRPr="005F382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5F3825">
        <w:rPr>
          <w:rFonts w:ascii="Calibri" w:eastAsia="Cambria" w:hAnsi="Calibri"/>
          <w:sz w:val="20"/>
          <w:szCs w:val="20"/>
          <w:u w:val="single"/>
          <w:lang w:val="en-GB"/>
        </w:rPr>
        <w:t>Templates and development guides for all PA management tools</w:t>
      </w:r>
      <w:r w:rsidRPr="005F3825">
        <w:rPr>
          <w:rFonts w:ascii="Calibri" w:hAnsi="Calibri"/>
          <w:color w:val="4472C4"/>
          <w:sz w:val="20"/>
          <w:szCs w:val="20"/>
          <w:lang w:val="en-GB"/>
        </w:rPr>
        <w:t xml:space="preserve"> </w:t>
      </w:r>
      <w:r w:rsidRPr="005F3825">
        <w:rPr>
          <w:rFonts w:ascii="Calibri" w:hAnsi="Calibri"/>
          <w:sz w:val="20"/>
          <w:szCs w:val="20"/>
          <w:lang w:val="en-GB"/>
        </w:rPr>
        <w:t xml:space="preserve">(15-year management and financing plan, operational management plans and annual budgets). Templates and guides will be developed in collaboration with in collaboration with the staff of OFINAP, DGEF and DREEVCC, to meet the latest international standards to guide the preparation of all management tools, including a 15-year Strategic Management Plan and Funding Plan, and the Annual Operational Management Plan and Budget. These documents will specify procedures and requirements in terms of mechanisms and structures for stakeholder participation, collection and sharing </w:t>
      </w:r>
      <w:r w:rsidRPr="005F3825">
        <w:rPr>
          <w:rFonts w:ascii="Calibri" w:hAnsi="Calibri"/>
          <w:sz w:val="20"/>
          <w:szCs w:val="20"/>
          <w:lang w:val="en-GB"/>
        </w:rPr>
        <w:lastRenderedPageBreak/>
        <w:t xml:space="preserve">of ecological monitoring data, identification and analysis of issues (threats / conflicts), and definition of objectives and identification of priority actions for achieving the objectives. Management plans will include participatory zoning and regulations on rights of access and use of space and resources for each area. Zoning and regulations will have been defined during the negotiations for the determination of Collaborative Management Agreements in Activity 2.2.3. The use of these tools (templates and guidelines) by all PA management units will promote the production of documents and the implementation of procedures that meet the highest quality standards and needs of Burkina Faso, while promoting the autonomous </w:t>
      </w:r>
      <w:r>
        <w:rPr>
          <w:rFonts w:ascii="Calibri" w:hAnsi="Calibri"/>
          <w:sz w:val="20"/>
          <w:szCs w:val="20"/>
          <w:lang w:val="en-GB"/>
        </w:rPr>
        <w:t>operation</w:t>
      </w:r>
      <w:r w:rsidRPr="005F3825">
        <w:rPr>
          <w:rFonts w:ascii="Calibri" w:hAnsi="Calibri"/>
          <w:sz w:val="20"/>
          <w:szCs w:val="20"/>
          <w:lang w:val="en-GB"/>
        </w:rPr>
        <w:t xml:space="preserve"> of local governance structures.</w:t>
      </w:r>
    </w:p>
    <w:p w14:paraId="506C9EE2" w14:textId="77777777" w:rsidR="00302BFE" w:rsidRPr="005F382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5F3825">
        <w:rPr>
          <w:rFonts w:ascii="Calibri" w:eastAsia="Cambria" w:hAnsi="Calibri"/>
          <w:sz w:val="20"/>
          <w:szCs w:val="20"/>
          <w:u w:val="single"/>
          <w:lang w:val="en-GB"/>
        </w:rPr>
        <w:t>Support to Management Committees for Negotiations and Development of Participatory Management Plans for PAs and Corridors</w:t>
      </w:r>
      <w:r w:rsidRPr="005F3825">
        <w:rPr>
          <w:rFonts w:ascii="Calibri" w:hAnsi="Calibri"/>
          <w:sz w:val="20"/>
          <w:szCs w:val="20"/>
          <w:lang w:val="en-GB"/>
        </w:rPr>
        <w:t xml:space="preserve"> meeting objectives, including defining and validating zoning, identifying measures to prevent or mitigate the impact of threats and pressures that affect the integrity of biodiversity resources and ecosystem services. The project will recruit community mobilization assistants and seek the support of NGOs involved with PA riparian communities, such as Naturama</w:t>
      </w:r>
      <w:r>
        <w:rPr>
          <w:rFonts w:ascii="Calibri" w:hAnsi="Calibri"/>
          <w:sz w:val="20"/>
          <w:szCs w:val="20"/>
          <w:lang w:val="en-GB"/>
        </w:rPr>
        <w:t>, Tree Aid</w:t>
      </w:r>
      <w:r w:rsidRPr="005F3825">
        <w:rPr>
          <w:rFonts w:ascii="Calibri" w:hAnsi="Calibri"/>
          <w:sz w:val="20"/>
          <w:szCs w:val="20"/>
          <w:lang w:val="en-GB"/>
        </w:rPr>
        <w:t xml:space="preserve"> and Natudev, to assist Collaborative Management Committees to follow the procedures and conduct negotiations for the development of the five-year management plans for each site (including the funding plan and the monitoring and surveillance protocols) as well as the drafting of annual work plans. The supervision of the process by the OFINAP and the DGEF will, among other things, ensure the conformity of the PA rules with the national regulations in force, in particular defined in the Forest Code 2011. The participation of the local authorities in charge of the environment and spatial planning, including communes, at the negotiations will ensure the coherence and integration of these plans with the planning of land use and resources at the level of communes and regions.</w:t>
      </w:r>
    </w:p>
    <w:p w14:paraId="2DEB5F2F" w14:textId="77777777" w:rsidR="00784CCC" w:rsidRPr="0099310D" w:rsidRDefault="00C21856" w:rsidP="00C46720">
      <w:pPr>
        <w:pStyle w:val="Paragraphedeliste"/>
        <w:numPr>
          <w:ilvl w:val="0"/>
          <w:numId w:val="14"/>
        </w:numPr>
        <w:tabs>
          <w:tab w:val="left" w:pos="284"/>
        </w:tabs>
        <w:spacing w:before="120" w:after="120"/>
        <w:ind w:left="0" w:firstLine="0"/>
        <w:jc w:val="both"/>
        <w:rPr>
          <w:rFonts w:ascii="Calibri" w:eastAsia="Cambria" w:hAnsi="Calibri"/>
          <w:sz w:val="20"/>
          <w:szCs w:val="20"/>
          <w:lang w:val="en-GB"/>
        </w:rPr>
      </w:pPr>
      <w:bookmarkStart w:id="16" w:name="_Hlk14169758"/>
      <w:r w:rsidRPr="0099310D">
        <w:rPr>
          <w:rFonts w:ascii="Calibri" w:eastAsia="Cambria" w:hAnsi="Calibri"/>
          <w:sz w:val="20"/>
          <w:szCs w:val="20"/>
          <w:u w:val="single"/>
          <w:lang w:val="en-GB"/>
        </w:rPr>
        <w:t>Avoid</w:t>
      </w:r>
      <w:r w:rsidR="005B7C83" w:rsidRPr="0099310D">
        <w:rPr>
          <w:rFonts w:ascii="Calibri" w:eastAsia="Cambria" w:hAnsi="Calibri"/>
          <w:sz w:val="20"/>
          <w:szCs w:val="20"/>
          <w:u w:val="single"/>
          <w:lang w:val="en-GB"/>
        </w:rPr>
        <w:t>ing the impacts of</w:t>
      </w:r>
      <w:r w:rsidR="004E6D7B" w:rsidRPr="0099310D">
        <w:rPr>
          <w:rFonts w:ascii="Calibri" w:eastAsia="Cambria" w:hAnsi="Calibri"/>
          <w:sz w:val="20"/>
          <w:szCs w:val="20"/>
          <w:u w:val="single"/>
          <w:lang w:val="en-GB"/>
        </w:rPr>
        <w:t xml:space="preserve"> unsustainable hunting pressure</w:t>
      </w:r>
      <w:r w:rsidR="00302BFE" w:rsidRPr="0099310D">
        <w:rPr>
          <w:rFonts w:ascii="Calibri" w:eastAsia="Cambria" w:hAnsi="Calibri"/>
          <w:sz w:val="20"/>
          <w:szCs w:val="20"/>
          <w:lang w:val="en-GB"/>
        </w:rPr>
        <w:t xml:space="preserve">. </w:t>
      </w:r>
    </w:p>
    <w:tbl>
      <w:tblPr>
        <w:tblStyle w:val="Grilledutableau"/>
        <w:tblW w:w="0" w:type="auto"/>
        <w:tblInd w:w="279" w:type="dxa"/>
        <w:tblLook w:val="04A0" w:firstRow="1" w:lastRow="0" w:firstColumn="1" w:lastColumn="0" w:noHBand="0" w:noVBand="1"/>
      </w:tblPr>
      <w:tblGrid>
        <w:gridCol w:w="10348"/>
      </w:tblGrid>
      <w:tr w:rsidR="00784CCC" w14:paraId="78393C65" w14:textId="77777777" w:rsidTr="006479CE">
        <w:tc>
          <w:tcPr>
            <w:tcW w:w="10348" w:type="dxa"/>
          </w:tcPr>
          <w:p w14:paraId="4CD8993A" w14:textId="57F996A1" w:rsidR="00784CCC" w:rsidRPr="0099310D" w:rsidRDefault="00784CCC" w:rsidP="00784CCC">
            <w:pPr>
              <w:pStyle w:val="Paragraphedeliste"/>
              <w:tabs>
                <w:tab w:val="left" w:pos="284"/>
              </w:tabs>
              <w:ind w:left="0"/>
              <w:jc w:val="both"/>
              <w:rPr>
                <w:rFonts w:ascii="Calibri" w:hAnsi="Calibri"/>
                <w:sz w:val="18"/>
                <w:szCs w:val="18"/>
                <w:lang w:val="en-CA"/>
              </w:rPr>
            </w:pPr>
            <w:r w:rsidRPr="00D61C93">
              <w:rPr>
                <w:rFonts w:ascii="Calibri" w:hAnsi="Calibri"/>
                <w:sz w:val="18"/>
                <w:szCs w:val="18"/>
                <w:lang w:val="en-GB"/>
              </w:rPr>
              <w:t xml:space="preserve">Big and small game hunting could have negative effects on wildlife populations if practiced without sound knowledge-based regulation and management, which would have a negative cascading effect on the ecosystem, and waste assets for non-consumptive and consumptive uses of PAs. </w:t>
            </w:r>
            <w:r w:rsidR="001070F0" w:rsidRPr="00A63E29">
              <w:rPr>
                <w:rFonts w:ascii="Calibri" w:hAnsi="Calibri"/>
                <w:sz w:val="18"/>
                <w:szCs w:val="18"/>
                <w:highlight w:val="yellow"/>
                <w:lang w:val="en-GB"/>
              </w:rPr>
              <w:t xml:space="preserve">Hunting and the consumption of wild meat under uncontrolled conditions is also a risk factor in </w:t>
            </w:r>
            <w:r w:rsidR="001070F0" w:rsidRPr="00C46720">
              <w:rPr>
                <w:rFonts w:ascii="Calibri" w:hAnsi="Calibri"/>
                <w:sz w:val="18"/>
                <w:szCs w:val="18"/>
                <w:highlight w:val="yellow"/>
                <w:lang w:val="en-GB"/>
              </w:rPr>
              <w:t xml:space="preserve">the </w:t>
            </w:r>
            <w:r w:rsidR="00C46720" w:rsidRPr="00C46720">
              <w:rPr>
                <w:rFonts w:ascii="Calibri" w:hAnsi="Calibri"/>
                <w:sz w:val="18"/>
                <w:szCs w:val="18"/>
                <w:highlight w:val="yellow"/>
                <w:lang w:val="en-GB"/>
              </w:rPr>
              <w:t>sp</w:t>
            </w:r>
            <w:r w:rsidR="001070F0" w:rsidRPr="00C46720">
              <w:rPr>
                <w:rFonts w:ascii="Calibri" w:hAnsi="Calibri"/>
                <w:sz w:val="18"/>
                <w:szCs w:val="18"/>
                <w:highlight w:val="yellow"/>
                <w:lang w:val="en-GB"/>
              </w:rPr>
              <w:t xml:space="preserve">read </w:t>
            </w:r>
            <w:r w:rsidR="001070F0" w:rsidRPr="00A63E29">
              <w:rPr>
                <w:rFonts w:ascii="Calibri" w:hAnsi="Calibri"/>
                <w:sz w:val="18"/>
                <w:szCs w:val="18"/>
                <w:highlight w:val="yellow"/>
                <w:lang w:val="en-GB"/>
              </w:rPr>
              <w:t>of known and yet unknown zoonotic diseases</w:t>
            </w:r>
            <w:r w:rsidR="001070F0" w:rsidRPr="00A63E29">
              <w:rPr>
                <w:rFonts w:ascii="Calibri" w:hAnsi="Calibri"/>
                <w:sz w:val="18"/>
                <w:szCs w:val="18"/>
                <w:lang w:val="en-GB"/>
              </w:rPr>
              <w:t>.</w:t>
            </w:r>
            <w:r w:rsidR="001070F0" w:rsidRPr="00D7166F">
              <w:rPr>
                <w:rFonts w:ascii="Calibri" w:hAnsi="Calibri"/>
                <w:sz w:val="18"/>
                <w:szCs w:val="18"/>
                <w:lang w:val="en-GB"/>
              </w:rPr>
              <w:t xml:space="preserve"> </w:t>
            </w:r>
            <w:r w:rsidRPr="00D7166F">
              <w:rPr>
                <w:rFonts w:ascii="Calibri" w:hAnsi="Calibri"/>
                <w:sz w:val="18"/>
                <w:szCs w:val="18"/>
                <w:lang w:val="en-GB"/>
              </w:rPr>
              <w:t>According</w:t>
            </w:r>
            <w:r w:rsidRPr="00D61C93">
              <w:rPr>
                <w:rFonts w:ascii="Calibri" w:hAnsi="Calibri"/>
                <w:sz w:val="18"/>
                <w:szCs w:val="18"/>
                <w:lang w:val="en-GB"/>
              </w:rPr>
              <w:t xml:space="preserve"> to the optimal scenario envisioned when ZOVICs were created, </w:t>
            </w:r>
            <w:r w:rsidRPr="00D61C93">
              <w:rPr>
                <w:rFonts w:ascii="Calibri" w:hAnsi="Calibri"/>
                <w:sz w:val="18"/>
                <w:szCs w:val="18"/>
                <w:lang w:val="en-CA"/>
              </w:rPr>
              <w:t xml:space="preserve">small game </w:t>
            </w:r>
            <w:r w:rsidR="00C46720">
              <w:rPr>
                <w:rFonts w:ascii="Calibri" w:hAnsi="Calibri"/>
                <w:sz w:val="18"/>
                <w:szCs w:val="18"/>
                <w:lang w:val="en-CA"/>
              </w:rPr>
              <w:t>sp</w:t>
            </w:r>
            <w:r w:rsidRPr="00D61C93">
              <w:rPr>
                <w:rFonts w:ascii="Calibri" w:hAnsi="Calibri"/>
                <w:sz w:val="18"/>
                <w:szCs w:val="18"/>
                <w:lang w:val="en-CA"/>
              </w:rPr>
              <w:t xml:space="preserve">ecies should benefit local communities through supporting their subsistence hunting, providing a source of income through the renting or concession of ZOVICs to private concessionaires for small game hunting, and contributing to provide tourism-related employment, whether vision or hunting, as ecoguards or trackers. These benefits have not been realized in recent </w:t>
            </w:r>
            <w:r w:rsidRPr="0099310D">
              <w:rPr>
                <w:rFonts w:ascii="Calibri" w:hAnsi="Calibri"/>
                <w:sz w:val="18"/>
                <w:szCs w:val="18"/>
                <w:lang w:val="en-CA"/>
              </w:rPr>
              <w:t xml:space="preserve">years for various reasons including the poor condition of ZOVICs, but need to be reinstated to foster ownership of protected areas, reduce the need for illegal incursions and activities by local communities at the periphery of PAs and encourage them to preserve critical habitats for these wildlife </w:t>
            </w:r>
            <w:r w:rsidR="00C46720">
              <w:rPr>
                <w:rFonts w:ascii="Calibri" w:hAnsi="Calibri"/>
                <w:sz w:val="18"/>
                <w:szCs w:val="18"/>
                <w:lang w:val="en-CA"/>
              </w:rPr>
              <w:t>sp</w:t>
            </w:r>
            <w:r w:rsidRPr="0099310D">
              <w:rPr>
                <w:rFonts w:ascii="Calibri" w:hAnsi="Calibri"/>
                <w:sz w:val="18"/>
                <w:szCs w:val="18"/>
                <w:lang w:val="en-CA"/>
              </w:rPr>
              <w:t xml:space="preserve">ecies and thereby for biodiversity in general, including </w:t>
            </w:r>
            <w:r w:rsidR="00C46720">
              <w:rPr>
                <w:rFonts w:ascii="Calibri" w:hAnsi="Calibri"/>
                <w:sz w:val="18"/>
                <w:szCs w:val="18"/>
                <w:lang w:val="en-CA"/>
              </w:rPr>
              <w:t>sp</w:t>
            </w:r>
            <w:r w:rsidRPr="0099310D">
              <w:rPr>
                <w:rFonts w:ascii="Calibri" w:hAnsi="Calibri"/>
                <w:sz w:val="18"/>
                <w:szCs w:val="18"/>
                <w:lang w:val="en-CA"/>
              </w:rPr>
              <w:t>ecies of global importance.</w:t>
            </w:r>
          </w:p>
          <w:p w14:paraId="4ADF6BD9" w14:textId="6A3DF6D3" w:rsidR="00413432" w:rsidRPr="00413432" w:rsidRDefault="006479CE" w:rsidP="00413432">
            <w:pPr>
              <w:pStyle w:val="Paragraphedeliste"/>
              <w:tabs>
                <w:tab w:val="left" w:pos="284"/>
              </w:tabs>
              <w:spacing w:before="60"/>
              <w:ind w:left="0"/>
              <w:jc w:val="both"/>
              <w:rPr>
                <w:rFonts w:asciiTheme="minorHAnsi" w:hAnsiTheme="minorHAnsi"/>
                <w:sz w:val="18"/>
                <w:szCs w:val="18"/>
                <w:highlight w:val="yellow"/>
                <w:lang w:val="en-GB"/>
              </w:rPr>
            </w:pPr>
            <w:r w:rsidRPr="0099310D">
              <w:rPr>
                <w:rFonts w:asciiTheme="minorHAnsi" w:hAnsiTheme="minorHAnsi"/>
                <w:sz w:val="18"/>
                <w:szCs w:val="18"/>
                <w:lang w:val="en-CA"/>
              </w:rPr>
              <w:t>Yet, i</w:t>
            </w:r>
            <w:r w:rsidR="00413432" w:rsidRPr="0099310D">
              <w:rPr>
                <w:rFonts w:asciiTheme="minorHAnsi" w:hAnsiTheme="minorHAnsi"/>
                <w:sz w:val="18"/>
                <w:szCs w:val="18"/>
                <w:lang w:val="en-CA"/>
              </w:rPr>
              <w:t xml:space="preserve">nterviews conducted during the PRODOC development phase have shown that the RGN experience is largely perceived among national stakeholders as a success story that has enabled the maintenance of populations of large mammal </w:t>
            </w:r>
            <w:r w:rsidR="00C46720">
              <w:rPr>
                <w:rFonts w:asciiTheme="minorHAnsi" w:hAnsiTheme="minorHAnsi"/>
                <w:sz w:val="18"/>
                <w:szCs w:val="18"/>
                <w:lang w:val="en-CA"/>
              </w:rPr>
              <w:t>sp</w:t>
            </w:r>
            <w:r w:rsidR="00413432" w:rsidRPr="0099310D">
              <w:rPr>
                <w:rFonts w:asciiTheme="minorHAnsi" w:hAnsiTheme="minorHAnsi"/>
                <w:sz w:val="18"/>
                <w:szCs w:val="18"/>
                <w:lang w:val="en-CA"/>
              </w:rPr>
              <w:t xml:space="preserve">ecies thanks to infrastructures, </w:t>
            </w:r>
            <w:r w:rsidR="00C46720">
              <w:rPr>
                <w:rFonts w:asciiTheme="minorHAnsi" w:hAnsiTheme="minorHAnsi"/>
                <w:sz w:val="18"/>
                <w:szCs w:val="18"/>
                <w:lang w:val="en-CA"/>
              </w:rPr>
              <w:t>esp</w:t>
            </w:r>
            <w:r w:rsidR="00413432" w:rsidRPr="0099310D">
              <w:rPr>
                <w:rFonts w:asciiTheme="minorHAnsi" w:hAnsiTheme="minorHAnsi"/>
                <w:sz w:val="18"/>
                <w:szCs w:val="18"/>
                <w:lang w:val="en-CA"/>
              </w:rPr>
              <w:t xml:space="preserve">ecially hydraulic works, and hunting activities that generate revenue to finance them. Somewhat diverging findings, such as the analysis published by Bouché </w:t>
            </w:r>
            <w:r w:rsidR="00413432" w:rsidRPr="0099310D">
              <w:rPr>
                <w:rFonts w:asciiTheme="minorHAnsi" w:hAnsiTheme="minorHAnsi"/>
                <w:i/>
                <w:iCs/>
                <w:sz w:val="18"/>
                <w:szCs w:val="18"/>
                <w:lang w:val="en-CA"/>
              </w:rPr>
              <w:t>et al</w:t>
            </w:r>
            <w:r w:rsidR="00413432" w:rsidRPr="0099310D">
              <w:rPr>
                <w:rFonts w:asciiTheme="minorHAnsi" w:hAnsiTheme="minorHAnsi"/>
                <w:sz w:val="18"/>
                <w:szCs w:val="18"/>
                <w:lang w:val="en-CA"/>
              </w:rPr>
              <w:t>. 2016, are little disseminated, known or acknowledged by concerned actors. It is therefore difficult to envisage that the project may unilaterally impose a ban on hunting in the areas currently open to this activity as this would jeopardize the acceptability of the whole project by all stakeholders.</w:t>
            </w:r>
          </w:p>
        </w:tc>
      </w:tr>
    </w:tbl>
    <w:p w14:paraId="5A4C9951" w14:textId="77777777" w:rsidR="007E6AF2" w:rsidRPr="0099310D" w:rsidRDefault="007E6AF2" w:rsidP="00375471">
      <w:pPr>
        <w:pStyle w:val="Paragraphedeliste"/>
        <w:tabs>
          <w:tab w:val="left" w:pos="284"/>
        </w:tabs>
        <w:spacing w:before="120" w:after="120"/>
        <w:ind w:left="0"/>
        <w:jc w:val="both"/>
        <w:rPr>
          <w:rFonts w:ascii="Calibri" w:eastAsia="Cambria" w:hAnsi="Calibri"/>
          <w:sz w:val="20"/>
          <w:szCs w:val="20"/>
          <w:lang w:val="en-GB"/>
        </w:rPr>
      </w:pPr>
      <w:r w:rsidRPr="0099310D">
        <w:rPr>
          <w:rFonts w:ascii="Calibri" w:eastAsia="Cambria" w:hAnsi="Calibri"/>
          <w:sz w:val="20"/>
          <w:szCs w:val="20"/>
          <w:lang w:val="en-GB"/>
        </w:rPr>
        <w:t>The project will address the issue of hunting sustainability in successive stages:</w:t>
      </w:r>
    </w:p>
    <w:p w14:paraId="496B3924" w14:textId="3A03EF5F" w:rsidR="00F465F9" w:rsidRPr="0099310D" w:rsidRDefault="00D04158" w:rsidP="00C46720">
      <w:pPr>
        <w:pStyle w:val="Paragraphedeliste"/>
        <w:numPr>
          <w:ilvl w:val="0"/>
          <w:numId w:val="61"/>
        </w:numPr>
        <w:tabs>
          <w:tab w:val="left" w:pos="709"/>
        </w:tabs>
        <w:spacing w:before="120" w:after="120"/>
        <w:ind w:left="709" w:firstLine="5"/>
        <w:jc w:val="both"/>
        <w:rPr>
          <w:rFonts w:asciiTheme="minorHAnsi" w:hAnsiTheme="minorHAnsi"/>
          <w:sz w:val="20"/>
          <w:szCs w:val="20"/>
          <w:lang w:val="en-CA"/>
        </w:rPr>
      </w:pPr>
      <w:r w:rsidRPr="0099310D">
        <w:rPr>
          <w:rFonts w:asciiTheme="minorHAnsi" w:hAnsiTheme="minorHAnsi"/>
          <w:sz w:val="20"/>
          <w:szCs w:val="20"/>
          <w:lang w:val="en-CA"/>
        </w:rPr>
        <w:t>T</w:t>
      </w:r>
      <w:r w:rsidR="00D04DF3" w:rsidRPr="0099310D">
        <w:rPr>
          <w:rFonts w:asciiTheme="minorHAnsi" w:hAnsiTheme="minorHAnsi"/>
          <w:sz w:val="20"/>
          <w:szCs w:val="20"/>
          <w:lang w:val="en-CA"/>
        </w:rPr>
        <w:t xml:space="preserve">he project will </w:t>
      </w:r>
      <w:r w:rsidRPr="0099310D">
        <w:rPr>
          <w:rFonts w:asciiTheme="minorHAnsi" w:hAnsiTheme="minorHAnsi"/>
          <w:sz w:val="20"/>
          <w:szCs w:val="20"/>
          <w:lang w:val="en-CA"/>
        </w:rPr>
        <w:t>collaborate</w:t>
      </w:r>
      <w:r w:rsidR="00D04DF3" w:rsidRPr="0099310D">
        <w:rPr>
          <w:rFonts w:asciiTheme="minorHAnsi" w:hAnsiTheme="minorHAnsi"/>
          <w:sz w:val="20"/>
          <w:szCs w:val="20"/>
          <w:lang w:val="en-CA"/>
        </w:rPr>
        <w:t xml:space="preserve"> with the Direction of </w:t>
      </w:r>
      <w:r w:rsidR="00D04DF3" w:rsidRPr="00A63E29">
        <w:rPr>
          <w:rFonts w:asciiTheme="minorHAnsi" w:hAnsiTheme="minorHAnsi"/>
          <w:sz w:val="20"/>
          <w:szCs w:val="20"/>
          <w:highlight w:val="yellow"/>
          <w:lang w:val="en-CA"/>
        </w:rPr>
        <w:t xml:space="preserve">Wildlife and </w:t>
      </w:r>
      <w:r w:rsidR="00F16B6B" w:rsidRPr="00A63E29">
        <w:rPr>
          <w:rFonts w:asciiTheme="minorHAnsi" w:hAnsiTheme="minorHAnsi"/>
          <w:sz w:val="20"/>
          <w:szCs w:val="20"/>
          <w:highlight w:val="yellow"/>
          <w:lang w:val="en-CA"/>
        </w:rPr>
        <w:t>hunting resources</w:t>
      </w:r>
      <w:r w:rsidR="00D04DF3" w:rsidRPr="0099310D">
        <w:rPr>
          <w:rFonts w:asciiTheme="minorHAnsi" w:hAnsiTheme="minorHAnsi"/>
          <w:sz w:val="20"/>
          <w:szCs w:val="20"/>
          <w:lang w:val="en-CA"/>
        </w:rPr>
        <w:t xml:space="preserve">, </w:t>
      </w:r>
      <w:r w:rsidR="00F465F9" w:rsidRPr="0099310D">
        <w:rPr>
          <w:rFonts w:asciiTheme="minorHAnsi" w:hAnsiTheme="minorHAnsi"/>
          <w:sz w:val="20"/>
          <w:szCs w:val="20"/>
          <w:lang w:val="en-CA"/>
        </w:rPr>
        <w:t>OFINAP and DGEF to address the findings of the scientific analysis of the status of mammal populations over 30 years in the RGN and in the ZOVICs</w:t>
      </w:r>
      <w:r w:rsidR="00F465F9" w:rsidRPr="0099310D">
        <w:rPr>
          <w:rStyle w:val="Appelnotedebasdep"/>
          <w:rFonts w:asciiTheme="minorHAnsi" w:hAnsiTheme="minorHAnsi"/>
          <w:sz w:val="20"/>
          <w:szCs w:val="20"/>
          <w:lang w:val="en-CA"/>
        </w:rPr>
        <w:footnoteReference w:id="50"/>
      </w:r>
      <w:r w:rsidR="00F465F9" w:rsidRPr="0099310D">
        <w:rPr>
          <w:rFonts w:asciiTheme="minorHAnsi" w:hAnsiTheme="minorHAnsi"/>
          <w:sz w:val="20"/>
          <w:szCs w:val="20"/>
          <w:lang w:val="en-CA"/>
        </w:rPr>
        <w:t xml:space="preserve"> indicating a decrease in small mammal populations targeted by hunting and organize a participatory reflection among all concerned stakeholders to develop a common understanding of the impacts of hunting activities in the RGN, the Sissili CF and the ZOVICs. The project will therefore recruit </w:t>
      </w:r>
      <w:r w:rsidR="00F465F9" w:rsidRPr="0099310D">
        <w:rPr>
          <w:rFonts w:ascii="Calibri" w:hAnsi="Calibri"/>
          <w:sz w:val="20"/>
          <w:szCs w:val="20"/>
          <w:lang w:val="en-GB"/>
        </w:rPr>
        <w:t xml:space="preserve">a wildlife expert to compile and analyse </w:t>
      </w:r>
      <w:r w:rsidR="00F465F9" w:rsidRPr="0099310D">
        <w:rPr>
          <w:rFonts w:asciiTheme="minorHAnsi" w:hAnsiTheme="minorHAnsi"/>
          <w:sz w:val="20"/>
          <w:szCs w:val="20"/>
          <w:lang w:val="en-CA"/>
        </w:rPr>
        <w:t xml:space="preserve">existing knowledge (such as </w:t>
      </w:r>
      <w:r w:rsidR="00894B16" w:rsidRPr="0099310D">
        <w:rPr>
          <w:rFonts w:asciiTheme="minorHAnsi" w:hAnsiTheme="minorHAnsi"/>
          <w:sz w:val="20"/>
          <w:szCs w:val="20"/>
          <w:lang w:val="en-CA"/>
        </w:rPr>
        <w:t xml:space="preserve">the </w:t>
      </w:r>
      <w:r w:rsidR="00F465F9" w:rsidRPr="0099310D">
        <w:rPr>
          <w:rFonts w:asciiTheme="minorHAnsi" w:hAnsiTheme="minorHAnsi"/>
          <w:sz w:val="20"/>
          <w:szCs w:val="20"/>
          <w:lang w:val="en-CA"/>
        </w:rPr>
        <w:t xml:space="preserve">databases used in Bouché </w:t>
      </w:r>
      <w:r w:rsidR="00F465F9" w:rsidRPr="0099310D">
        <w:rPr>
          <w:rFonts w:asciiTheme="minorHAnsi" w:hAnsiTheme="minorHAnsi"/>
          <w:i/>
          <w:iCs/>
          <w:sz w:val="20"/>
          <w:szCs w:val="20"/>
          <w:lang w:val="en-CA"/>
        </w:rPr>
        <w:t>et al</w:t>
      </w:r>
      <w:r w:rsidR="00F465F9" w:rsidRPr="0099310D">
        <w:rPr>
          <w:rFonts w:asciiTheme="minorHAnsi" w:hAnsiTheme="minorHAnsi"/>
          <w:sz w:val="20"/>
          <w:szCs w:val="20"/>
          <w:lang w:val="en-CA"/>
        </w:rPr>
        <w:t xml:space="preserve">. 2016), publications, conduct interviews with relevant stakeholders, and </w:t>
      </w:r>
      <w:r w:rsidR="00470D4B" w:rsidRPr="0099310D">
        <w:rPr>
          <w:rFonts w:asciiTheme="minorHAnsi" w:hAnsiTheme="minorHAnsi"/>
          <w:sz w:val="20"/>
          <w:szCs w:val="20"/>
          <w:lang w:val="en-CA"/>
        </w:rPr>
        <w:t>review</w:t>
      </w:r>
      <w:r w:rsidR="00F465F9" w:rsidRPr="0099310D">
        <w:rPr>
          <w:rFonts w:asciiTheme="minorHAnsi" w:hAnsiTheme="minorHAnsi"/>
          <w:sz w:val="20"/>
          <w:szCs w:val="20"/>
          <w:lang w:val="en-CA"/>
        </w:rPr>
        <w:t xml:space="preserve"> hunting management in the RGN, the Sissili CF and the ZOVICs since their creation, the resulting impacts against stated objectives in terms of biodiversity conservation (taking as a reference the population levels recorded at the time of the creation of the PAs, whenever available) and actual socioeconomic costs and benefits for the various stakeholders involved. The purpose of the workshop is to review and discuss the report findings so that</w:t>
      </w:r>
      <w:r w:rsidR="00F465F9" w:rsidRPr="0099310D">
        <w:rPr>
          <w:rFonts w:ascii="Calibri" w:hAnsi="Calibri"/>
          <w:sz w:val="20"/>
          <w:szCs w:val="20"/>
          <w:lang w:val="en-GB"/>
        </w:rPr>
        <w:t xml:space="preserve"> participa</w:t>
      </w:r>
      <w:r w:rsidR="00F075EA" w:rsidRPr="0099310D">
        <w:rPr>
          <w:rFonts w:ascii="Calibri" w:hAnsi="Calibri"/>
          <w:sz w:val="20"/>
          <w:szCs w:val="20"/>
          <w:lang w:val="en-GB"/>
        </w:rPr>
        <w:t>n</w:t>
      </w:r>
      <w:r w:rsidR="00F465F9" w:rsidRPr="0099310D">
        <w:rPr>
          <w:rFonts w:ascii="Calibri" w:hAnsi="Calibri"/>
          <w:sz w:val="20"/>
          <w:szCs w:val="20"/>
          <w:lang w:val="en-GB"/>
        </w:rPr>
        <w:t>t</w:t>
      </w:r>
      <w:r w:rsidR="00F075EA" w:rsidRPr="0099310D">
        <w:rPr>
          <w:rFonts w:ascii="Calibri" w:hAnsi="Calibri"/>
          <w:sz w:val="20"/>
          <w:szCs w:val="20"/>
          <w:lang w:val="en-GB"/>
        </w:rPr>
        <w:t>s</w:t>
      </w:r>
      <w:r w:rsidR="00F465F9" w:rsidRPr="0099310D">
        <w:rPr>
          <w:rFonts w:ascii="Calibri" w:hAnsi="Calibri"/>
          <w:sz w:val="20"/>
          <w:szCs w:val="20"/>
          <w:lang w:val="en-GB"/>
        </w:rPr>
        <w:t xml:space="preserve"> </w:t>
      </w:r>
      <w:r w:rsidR="00F075EA" w:rsidRPr="0099310D">
        <w:rPr>
          <w:rFonts w:ascii="Calibri" w:hAnsi="Calibri"/>
          <w:sz w:val="20"/>
          <w:szCs w:val="20"/>
          <w:lang w:val="en-GB"/>
        </w:rPr>
        <w:t>have</w:t>
      </w:r>
      <w:r w:rsidR="00F465F9" w:rsidRPr="0099310D">
        <w:rPr>
          <w:rFonts w:ascii="Calibri" w:hAnsi="Calibri"/>
          <w:sz w:val="20"/>
          <w:szCs w:val="20"/>
          <w:lang w:val="en-GB"/>
        </w:rPr>
        <w:t xml:space="preserve"> a clear understanding of the recent population trends for exploited </w:t>
      </w:r>
      <w:r w:rsidR="00342675">
        <w:rPr>
          <w:rFonts w:ascii="Calibri" w:hAnsi="Calibri"/>
          <w:sz w:val="20"/>
          <w:szCs w:val="20"/>
          <w:lang w:val="en-GB"/>
        </w:rPr>
        <w:t>species</w:t>
      </w:r>
      <w:r w:rsidR="00F465F9" w:rsidRPr="0099310D">
        <w:rPr>
          <w:rFonts w:ascii="Calibri" w:hAnsi="Calibri"/>
          <w:sz w:val="20"/>
          <w:szCs w:val="20"/>
          <w:lang w:val="en-GB"/>
        </w:rPr>
        <w:t xml:space="preserve"> (those for which data are available</w:t>
      </w:r>
      <w:r w:rsidR="00F465F9" w:rsidRPr="0099310D">
        <w:rPr>
          <w:rStyle w:val="Appelnotedebasdep"/>
          <w:szCs w:val="20"/>
          <w:lang w:val="en-GB"/>
        </w:rPr>
        <w:footnoteReference w:id="51"/>
      </w:r>
      <w:r w:rsidR="00F465F9" w:rsidRPr="0099310D">
        <w:rPr>
          <w:rFonts w:ascii="Calibri" w:hAnsi="Calibri"/>
          <w:sz w:val="20"/>
          <w:szCs w:val="20"/>
          <w:lang w:val="en-GB"/>
        </w:rPr>
        <w:t xml:space="preserve">) and of hunting impacts, including socioeconomic ones. </w:t>
      </w:r>
      <w:r w:rsidR="00F465F9" w:rsidRPr="0099310D">
        <w:rPr>
          <w:rFonts w:asciiTheme="minorHAnsi" w:hAnsiTheme="minorHAnsi"/>
          <w:sz w:val="20"/>
          <w:szCs w:val="20"/>
          <w:lang w:val="en-CA"/>
        </w:rPr>
        <w:t xml:space="preserve">This participatory reflection will enable the development of a shared - optimally consensual - vision of the path to follow to alleviate pressures on the populations of small and medium mammals, namely poaching and hunting, gain broad support for the </w:t>
      </w:r>
      <w:r w:rsidR="00342675">
        <w:rPr>
          <w:rFonts w:asciiTheme="minorHAnsi" w:hAnsiTheme="minorHAnsi"/>
          <w:sz w:val="20"/>
          <w:szCs w:val="20"/>
          <w:lang w:val="en-CA"/>
        </w:rPr>
        <w:t>susp</w:t>
      </w:r>
      <w:r w:rsidR="00F465F9" w:rsidRPr="0099310D">
        <w:rPr>
          <w:rFonts w:asciiTheme="minorHAnsi" w:hAnsiTheme="minorHAnsi"/>
          <w:sz w:val="20"/>
          <w:szCs w:val="20"/>
          <w:lang w:val="en-CA"/>
        </w:rPr>
        <w:t xml:space="preserve">ension of hunting activities until the capacity of animal populations to withstand exploitation can be clearly demonstrated, and meet the biodiversity conservation objectives underlying the creation of these PAs. This workshop will take place early after the start of the project and gather all concerned actors within the Government, the private sector and local populations, including </w:t>
      </w:r>
      <w:r w:rsidR="00F465F9" w:rsidRPr="0099310D">
        <w:rPr>
          <w:rFonts w:asciiTheme="minorHAnsi" w:hAnsiTheme="minorHAnsi"/>
          <w:sz w:val="20"/>
          <w:szCs w:val="20"/>
          <w:lang w:val="en-CA"/>
        </w:rPr>
        <w:lastRenderedPageBreak/>
        <w:t>those likely to be affected by decisions regarding hunting management in core PAs and ZOVICs or to be involved in their implementation (enforcement) and in the monitoring of their socioeconomic and biodiversity effects.</w:t>
      </w:r>
    </w:p>
    <w:p w14:paraId="12D80A66" w14:textId="667AA7DA" w:rsidR="00F465F9" w:rsidRPr="0099310D" w:rsidRDefault="00F465F9" w:rsidP="00C46720">
      <w:pPr>
        <w:pStyle w:val="Paragraphedeliste"/>
        <w:numPr>
          <w:ilvl w:val="0"/>
          <w:numId w:val="61"/>
        </w:numPr>
        <w:tabs>
          <w:tab w:val="left" w:pos="709"/>
        </w:tabs>
        <w:spacing w:before="120" w:after="120"/>
        <w:ind w:left="709" w:firstLine="5"/>
        <w:jc w:val="both"/>
        <w:rPr>
          <w:rFonts w:asciiTheme="minorHAnsi" w:hAnsiTheme="minorHAnsi"/>
          <w:sz w:val="20"/>
          <w:szCs w:val="20"/>
          <w:lang w:val="en-CA"/>
        </w:rPr>
      </w:pPr>
      <w:r w:rsidRPr="0099310D">
        <w:rPr>
          <w:rFonts w:asciiTheme="minorHAnsi" w:hAnsiTheme="minorHAnsi"/>
          <w:sz w:val="20"/>
          <w:szCs w:val="20"/>
          <w:lang w:val="en-CA"/>
        </w:rPr>
        <w:t xml:space="preserve">Throughout the first half of the project, the project will focus its resources on strengthening the management of PAs, namely surveillance and enforcement in all areas prone to illegal activities, </w:t>
      </w:r>
      <w:r w:rsidR="00342675">
        <w:rPr>
          <w:rFonts w:asciiTheme="minorHAnsi" w:hAnsiTheme="minorHAnsi"/>
          <w:sz w:val="20"/>
          <w:szCs w:val="20"/>
          <w:lang w:val="en-CA"/>
        </w:rPr>
        <w:t>sp</w:t>
      </w:r>
      <w:r w:rsidRPr="0099310D">
        <w:rPr>
          <w:rFonts w:asciiTheme="minorHAnsi" w:hAnsiTheme="minorHAnsi"/>
          <w:sz w:val="20"/>
          <w:szCs w:val="20"/>
          <w:lang w:val="en-CA"/>
        </w:rPr>
        <w:t xml:space="preserve">ecially poaching and livestock incursions into PAs, to enable the recovery of wildlife populations negatively affected by hunting and poaching. Wildlife </w:t>
      </w:r>
      <w:r w:rsidR="00342675">
        <w:rPr>
          <w:rFonts w:asciiTheme="minorHAnsi" w:hAnsiTheme="minorHAnsi"/>
          <w:sz w:val="20"/>
          <w:szCs w:val="20"/>
          <w:lang w:val="en-CA"/>
        </w:rPr>
        <w:t xml:space="preserve">species </w:t>
      </w:r>
      <w:r w:rsidRPr="0099310D">
        <w:rPr>
          <w:rFonts w:asciiTheme="minorHAnsi" w:hAnsiTheme="minorHAnsi"/>
          <w:sz w:val="20"/>
          <w:szCs w:val="20"/>
          <w:lang w:val="en-CA"/>
        </w:rPr>
        <w:t>targeted by hunting will be rigorously monitored and scientifically assessed to provide the data required to assess populations trends.</w:t>
      </w:r>
    </w:p>
    <w:p w14:paraId="72C02F41" w14:textId="3855B74B" w:rsidR="00F465F9" w:rsidRPr="0099310D" w:rsidRDefault="00F465F9" w:rsidP="00C46720">
      <w:pPr>
        <w:pStyle w:val="Paragraphedeliste"/>
        <w:numPr>
          <w:ilvl w:val="0"/>
          <w:numId w:val="61"/>
        </w:numPr>
        <w:tabs>
          <w:tab w:val="left" w:pos="709"/>
        </w:tabs>
        <w:spacing w:before="120" w:after="120"/>
        <w:ind w:left="709" w:firstLine="5"/>
        <w:jc w:val="both"/>
        <w:rPr>
          <w:rFonts w:asciiTheme="minorHAnsi" w:hAnsiTheme="minorHAnsi"/>
          <w:sz w:val="20"/>
          <w:szCs w:val="20"/>
          <w:lang w:val="en-CA"/>
        </w:rPr>
      </w:pPr>
      <w:r w:rsidRPr="0099310D">
        <w:rPr>
          <w:rFonts w:asciiTheme="minorHAnsi" w:hAnsiTheme="minorHAnsi"/>
          <w:sz w:val="20"/>
          <w:szCs w:val="20"/>
          <w:lang w:val="en-CA"/>
        </w:rPr>
        <w:t xml:space="preserve">An independent expert i.e. not engaged in any other activity of the project and with experience in the country will be recruited in the third year of the project so that recommendations are taken into consideration and supported by the project Mid-Term Review. The expert will analyse population trends for big and small game </w:t>
      </w:r>
      <w:r w:rsidR="00342675">
        <w:rPr>
          <w:rFonts w:asciiTheme="minorHAnsi" w:hAnsiTheme="minorHAnsi"/>
          <w:sz w:val="20"/>
          <w:szCs w:val="20"/>
          <w:lang w:val="en-CA"/>
        </w:rPr>
        <w:t>sp</w:t>
      </w:r>
      <w:r w:rsidRPr="0099310D">
        <w:rPr>
          <w:rFonts w:asciiTheme="minorHAnsi" w:hAnsiTheme="minorHAnsi"/>
          <w:sz w:val="20"/>
          <w:szCs w:val="20"/>
          <w:lang w:val="en-CA"/>
        </w:rPr>
        <w:t xml:space="preserve">ecies, and could also include, as relevant, other key </w:t>
      </w:r>
      <w:r w:rsidR="00342675">
        <w:rPr>
          <w:rFonts w:asciiTheme="minorHAnsi" w:hAnsiTheme="minorHAnsi"/>
          <w:sz w:val="20"/>
          <w:szCs w:val="20"/>
          <w:lang w:val="en-CA"/>
        </w:rPr>
        <w:t>sp</w:t>
      </w:r>
      <w:r w:rsidRPr="0099310D">
        <w:rPr>
          <w:rFonts w:asciiTheme="minorHAnsi" w:hAnsiTheme="minorHAnsi"/>
          <w:sz w:val="20"/>
          <w:szCs w:val="20"/>
          <w:lang w:val="en-CA"/>
        </w:rPr>
        <w:t xml:space="preserve">ecies that are not targeted by hunting activities and assess the status of game populations and </w:t>
      </w:r>
      <w:r w:rsidRPr="0099310D">
        <w:rPr>
          <w:rFonts w:asciiTheme="minorHAnsi" w:eastAsia="Times New Roman" w:hAnsiTheme="minorHAnsi" w:cs="Arial"/>
          <w:color w:val="212529"/>
          <w:sz w:val="20"/>
          <w:szCs w:val="20"/>
          <w:lang w:val="en-CA" w:eastAsia="en-GB"/>
        </w:rPr>
        <w:t xml:space="preserve">provide a professional opinion on the viability of the proposed activities including the proficiency </w:t>
      </w:r>
      <w:r w:rsidRPr="0099310D">
        <w:rPr>
          <w:rFonts w:asciiTheme="minorHAnsi" w:hAnsiTheme="minorHAnsi"/>
          <w:sz w:val="20"/>
          <w:szCs w:val="20"/>
          <w:lang w:val="en-CA"/>
        </w:rPr>
        <w:t>of the structures responsible for hunting management within the Government, the concessionaires and the village hunting management committees</w:t>
      </w:r>
      <w:r w:rsidRPr="0099310D">
        <w:rPr>
          <w:rFonts w:asciiTheme="minorHAnsi" w:eastAsia="Times New Roman" w:hAnsiTheme="minorHAnsi" w:cs="Arial"/>
          <w:color w:val="212529"/>
          <w:sz w:val="20"/>
          <w:szCs w:val="20"/>
          <w:lang w:val="en-CA" w:eastAsia="en-GB"/>
        </w:rPr>
        <w:t xml:space="preserve"> to manage the areas. </w:t>
      </w:r>
      <w:r w:rsidRPr="0099310D">
        <w:rPr>
          <w:rFonts w:asciiTheme="minorHAnsi" w:hAnsiTheme="minorHAnsi"/>
          <w:sz w:val="20"/>
          <w:szCs w:val="20"/>
          <w:lang w:val="en-CA"/>
        </w:rPr>
        <w:t xml:space="preserve">This assessment will take advantage of the recent data collected during the first 3 years assessments through the monitoring system strengthened with the project support and will cover all PAs, including the PNKT where hunting is forbidden, to enable comparisons of populations that have been differently subjected to hunting pressure. The conclusions will </w:t>
      </w:r>
      <w:r w:rsidRPr="0099310D">
        <w:rPr>
          <w:rFonts w:ascii="Calibri" w:hAnsi="Calibri"/>
          <w:sz w:val="20"/>
          <w:szCs w:val="20"/>
          <w:lang w:val="en-CA"/>
        </w:rPr>
        <w:t xml:space="preserve">have to provide solutions to avoid unsustainable hunting pressure in core PAs (Nazinga GR and Sissili CF) and in the ZOVICs and </w:t>
      </w:r>
      <w:r w:rsidRPr="0099310D">
        <w:rPr>
          <w:rFonts w:asciiTheme="minorHAnsi" w:hAnsiTheme="minorHAnsi"/>
          <w:sz w:val="20"/>
          <w:szCs w:val="20"/>
          <w:lang w:val="en-CA"/>
        </w:rPr>
        <w:t>recommend whether subsistence and sport hunting activities could be resumed and, if so, where, at what levels, under what conditions and according to what benefit-sharing rules. If the resumption of hunting activities in some or all parts of the PAs can be envisioned in the medium term, the specific criteria to be met need to be clarified, particularly in terms of animal populations status and capacities of the various parties involved in the management. Recommendations will be formulated regarding the capacity of game species populations in the NGR, the Sissili CF and in the ZOVICs to withstand hunting pressure. Further details on the assessment are provided under the Output 2.1.2 (information system).</w:t>
      </w:r>
    </w:p>
    <w:p w14:paraId="3999F845" w14:textId="17759CD8" w:rsidR="004D2432" w:rsidRPr="006F0042" w:rsidRDefault="004D2432" w:rsidP="004D2432">
      <w:pPr>
        <w:pStyle w:val="Paragraphedeliste"/>
        <w:tabs>
          <w:tab w:val="left" w:pos="284"/>
        </w:tabs>
        <w:spacing w:before="120" w:after="120"/>
        <w:jc w:val="both"/>
        <w:rPr>
          <w:rFonts w:ascii="Calibri" w:hAnsi="Calibri"/>
          <w:sz w:val="20"/>
          <w:szCs w:val="20"/>
          <w:lang w:val="en-GB"/>
        </w:rPr>
      </w:pPr>
      <w:r w:rsidRPr="0099310D">
        <w:rPr>
          <w:rFonts w:ascii="Calibri" w:hAnsi="Calibri" w:cs="Open Sans"/>
          <w:sz w:val="20"/>
          <w:szCs w:val="20"/>
          <w:shd w:val="clear" w:color="auto" w:fill="FFFFFF"/>
          <w:lang w:val="en-CA"/>
        </w:rPr>
        <w:t xml:space="preserve">The assessment should consider the various analyses conducted on big game hunting in other African countries. The statement by the IUCN Species Survival Commission that “well-managed trophy hunting can provide both revenue and incentives for people to conserve and restore wild </w:t>
      </w:r>
      <w:r w:rsidRPr="007F2384">
        <w:rPr>
          <w:rFonts w:ascii="Calibri" w:hAnsi="Calibri" w:cs="Open Sans"/>
          <w:sz w:val="20"/>
          <w:szCs w:val="20"/>
          <w:shd w:val="clear" w:color="auto" w:fill="FFFFFF"/>
          <w:lang w:val="en-CA"/>
        </w:rPr>
        <w:t xml:space="preserve">populations, maintain areas of land for conservation, and protect wildlife from poaching.” is challenged by several surveys. </w:t>
      </w:r>
      <w:r w:rsidR="000B0AA1" w:rsidRPr="00A63E29">
        <w:rPr>
          <w:rFonts w:ascii="Calibri" w:hAnsi="Calibri" w:cs="Open Sans"/>
          <w:sz w:val="20"/>
          <w:szCs w:val="20"/>
          <w:shd w:val="clear" w:color="auto" w:fill="FFFFFF"/>
          <w:lang w:val="en-CA"/>
        </w:rPr>
        <w:t>The assessment should also look into the risk of hunting and the consumption of wild meat leading to the spread of known and yet unknown zoonotic diseases and provide recommendations for the minimization of that risk for both subsistence and tourism hunting.</w:t>
      </w:r>
      <w:r w:rsidR="000B0AA1">
        <w:rPr>
          <w:rFonts w:ascii="Calibri" w:hAnsi="Calibri" w:cs="Open Sans"/>
          <w:sz w:val="20"/>
          <w:szCs w:val="20"/>
          <w:shd w:val="clear" w:color="auto" w:fill="FFFFFF"/>
          <w:lang w:val="en-CA"/>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D2432" w:rsidRPr="003824FD" w14:paraId="500E5118" w14:textId="77777777" w:rsidTr="00875BF2">
        <w:tc>
          <w:tcPr>
            <w:tcW w:w="10490" w:type="dxa"/>
            <w:shd w:val="clear" w:color="auto" w:fill="auto"/>
          </w:tcPr>
          <w:p w14:paraId="62D63DD0" w14:textId="77777777" w:rsidR="004D2432" w:rsidRPr="00EE15F9" w:rsidRDefault="004D2432" w:rsidP="00875BF2">
            <w:pPr>
              <w:pStyle w:val="Paragraphedeliste"/>
              <w:tabs>
                <w:tab w:val="left" w:pos="284"/>
              </w:tabs>
              <w:spacing w:before="40" w:after="40"/>
              <w:ind w:left="0"/>
              <w:jc w:val="both"/>
              <w:rPr>
                <w:rFonts w:ascii="Calibri" w:hAnsi="Calibri"/>
                <w:sz w:val="18"/>
                <w:szCs w:val="18"/>
                <w:lang w:val="en-GB"/>
              </w:rPr>
            </w:pPr>
            <w:r w:rsidRPr="00EE15F9">
              <w:rPr>
                <w:rFonts w:ascii="Calibri" w:hAnsi="Calibri"/>
                <w:b/>
                <w:sz w:val="18"/>
                <w:szCs w:val="18"/>
                <w:lang w:val="en-GB"/>
              </w:rPr>
              <w:t>On the contribution of big game hunting to conservation</w:t>
            </w:r>
            <w:r w:rsidRPr="00EE15F9">
              <w:rPr>
                <w:rFonts w:ascii="Calibri" w:hAnsi="Calibri"/>
                <w:sz w:val="18"/>
                <w:szCs w:val="18"/>
                <w:lang w:val="en-GB"/>
              </w:rPr>
              <w:t xml:space="preserve">. </w:t>
            </w:r>
            <w:r w:rsidRPr="00EE15F9">
              <w:rPr>
                <w:rFonts w:ascii="Calibri" w:hAnsi="Calibri"/>
                <w:sz w:val="18"/>
                <w:szCs w:val="18"/>
                <w:lang w:val="en-CA"/>
              </w:rPr>
              <w:t>The poor state of the big game hunting sector in Africa and its low potential for conservation were highlighted in a study published by IUCN-PAPACO in 2009</w:t>
            </w:r>
            <w:r w:rsidRPr="00EE15F9">
              <w:rPr>
                <w:rStyle w:val="Appelnotedebasdep"/>
                <w:rFonts w:ascii="Calibri" w:hAnsi="Calibri"/>
                <w:szCs w:val="18"/>
                <w:lang w:val="en-CA"/>
              </w:rPr>
              <w:footnoteReference w:id="52"/>
            </w:r>
            <w:r w:rsidRPr="00EE15F9">
              <w:rPr>
                <w:rFonts w:ascii="Calibri" w:hAnsi="Calibri"/>
                <w:sz w:val="18"/>
                <w:szCs w:val="18"/>
                <w:lang w:val="en-CA"/>
              </w:rPr>
              <w:t xml:space="preserve"> and later confirmed by other publications. </w:t>
            </w:r>
            <w:r w:rsidRPr="00EE15F9">
              <w:rPr>
                <w:rFonts w:ascii="Calibri" w:eastAsia="Calibri" w:hAnsi="Calibri"/>
                <w:sz w:val="18"/>
                <w:szCs w:val="18"/>
                <w:lang w:val="en-CA"/>
              </w:rPr>
              <w:t>A rigorous economic analysis of the marginal benefits of trophy hunting</w:t>
            </w:r>
            <w:r>
              <w:rPr>
                <w:rFonts w:ascii="Calibri" w:eastAsia="Calibri" w:hAnsi="Calibri"/>
                <w:sz w:val="18"/>
                <w:szCs w:val="18"/>
                <w:lang w:val="en-CA"/>
              </w:rPr>
              <w:t xml:space="preserve"> in 2017</w:t>
            </w:r>
            <w:r w:rsidRPr="00EE15F9">
              <w:rPr>
                <w:rStyle w:val="Appelnotedebasdep"/>
                <w:rFonts w:ascii="Calibri" w:eastAsia="Calibri" w:hAnsi="Calibri"/>
                <w:szCs w:val="18"/>
                <w:lang w:val="en-CA"/>
              </w:rPr>
              <w:footnoteReference w:id="53"/>
            </w:r>
            <w:r w:rsidRPr="00EE15F9">
              <w:rPr>
                <w:rFonts w:ascii="Calibri" w:eastAsia="Calibri" w:hAnsi="Calibri"/>
                <w:sz w:val="18"/>
                <w:szCs w:val="18"/>
                <w:lang w:val="en-CA"/>
              </w:rPr>
              <w:t xml:space="preserve"> discredits the assertion that it effectively contributes to conservation of wildlife and habitat in Africa. Findings are that economic benefits, marginal contribution to employment, and economic contribution of trophy hunters to tourism have been largely overstated and that the adjusted value of economic contribution of trophy hunting in eight African countries</w:t>
            </w:r>
            <w:r w:rsidRPr="00EE15F9">
              <w:rPr>
                <w:rStyle w:val="Appelnotedebasdep"/>
                <w:rFonts w:ascii="Calibri" w:eastAsia="Calibri" w:hAnsi="Calibri"/>
                <w:szCs w:val="18"/>
                <w:lang w:val="en-CA"/>
              </w:rPr>
              <w:footnoteReference w:id="54"/>
            </w:r>
            <w:r w:rsidRPr="00EE15F9">
              <w:rPr>
                <w:rFonts w:ascii="Calibri" w:eastAsia="Calibri" w:hAnsi="Calibri"/>
                <w:sz w:val="18"/>
                <w:szCs w:val="18"/>
                <w:lang w:val="en-CA"/>
              </w:rPr>
              <w:t xml:space="preserve"> amounts to only 0.78% or less of the $17 billion in overall tourism spending in the studied countries. </w:t>
            </w:r>
            <w:r>
              <w:rPr>
                <w:rFonts w:ascii="Calibri" w:eastAsia="Calibri" w:hAnsi="Calibri"/>
                <w:sz w:val="18"/>
                <w:szCs w:val="18"/>
                <w:lang w:val="en-CA"/>
              </w:rPr>
              <w:t>Similarly, t</w:t>
            </w:r>
            <w:r w:rsidRPr="00EE15F9">
              <w:rPr>
                <w:rFonts w:ascii="Calibri" w:eastAsia="Calibri" w:hAnsi="Calibri"/>
                <w:sz w:val="18"/>
                <w:szCs w:val="18"/>
                <w:lang w:val="en-CA"/>
              </w:rPr>
              <w:t xml:space="preserve">rophy hunting tourism employment is only 0.76% or less of average direct tourism employment in study countries. </w:t>
            </w:r>
            <w:r w:rsidRPr="00EE15F9">
              <w:rPr>
                <w:rStyle w:val="lev"/>
                <w:rFonts w:ascii="Calibri" w:hAnsi="Calibri"/>
                <w:b w:val="0"/>
                <w:sz w:val="18"/>
                <w:szCs w:val="18"/>
                <w:bdr w:val="none" w:sz="0" w:space="0" w:color="auto" w:frame="1"/>
                <w:lang w:val="en-CA"/>
              </w:rPr>
              <w:t>A</w:t>
            </w:r>
            <w:r>
              <w:rPr>
                <w:rStyle w:val="lev"/>
                <w:rFonts w:ascii="Calibri" w:hAnsi="Calibri"/>
                <w:b w:val="0"/>
                <w:sz w:val="18"/>
                <w:szCs w:val="18"/>
                <w:bdr w:val="none" w:sz="0" w:space="0" w:color="auto" w:frame="1"/>
                <w:lang w:val="en-CA"/>
              </w:rPr>
              <w:t>n</w:t>
            </w:r>
            <w:r w:rsidRPr="00EE15F9">
              <w:rPr>
                <w:rStyle w:val="lev"/>
                <w:rFonts w:ascii="Calibri" w:hAnsi="Calibri"/>
                <w:b w:val="0"/>
                <w:sz w:val="18"/>
                <w:szCs w:val="18"/>
                <w:bdr w:val="none" w:sz="0" w:space="0" w:color="auto" w:frame="1"/>
                <w:lang w:val="en-CA"/>
              </w:rPr>
              <w:t xml:space="preserve"> analysis</w:t>
            </w:r>
            <w:r>
              <w:rPr>
                <w:rStyle w:val="lev"/>
                <w:rFonts w:ascii="Calibri" w:hAnsi="Calibri"/>
                <w:b w:val="0"/>
                <w:sz w:val="18"/>
                <w:szCs w:val="18"/>
                <w:bdr w:val="none" w:sz="0" w:space="0" w:color="auto" w:frame="1"/>
                <w:lang w:val="en-CA"/>
              </w:rPr>
              <w:t xml:space="preserve"> in 2019</w:t>
            </w:r>
            <w:r w:rsidRPr="00EE15F9">
              <w:rPr>
                <w:rStyle w:val="Appelnotedebasdep"/>
                <w:rFonts w:ascii="Calibri" w:hAnsi="Calibri"/>
                <w:bCs/>
                <w:szCs w:val="18"/>
                <w:bdr w:val="none" w:sz="0" w:space="0" w:color="auto" w:frame="1"/>
                <w:lang w:val="en-CA"/>
              </w:rPr>
              <w:footnoteReference w:id="55"/>
            </w:r>
            <w:r w:rsidRPr="00EE15F9">
              <w:rPr>
                <w:rStyle w:val="lev"/>
                <w:rFonts w:ascii="Calibri" w:hAnsi="Calibri"/>
                <w:sz w:val="18"/>
                <w:szCs w:val="18"/>
                <w:bdr w:val="none" w:sz="0" w:space="0" w:color="auto" w:frame="1"/>
                <w:lang w:val="en-CA"/>
              </w:rPr>
              <w:t xml:space="preserve"> </w:t>
            </w:r>
            <w:r w:rsidRPr="00EE15F9">
              <w:rPr>
                <w:rStyle w:val="lev"/>
                <w:rFonts w:ascii="Calibri" w:hAnsi="Calibri"/>
                <w:b w:val="0"/>
                <w:sz w:val="18"/>
                <w:szCs w:val="18"/>
                <w:bdr w:val="none" w:sz="0" w:space="0" w:color="auto" w:frame="1"/>
                <w:lang w:val="en-CA"/>
              </w:rPr>
              <w:t xml:space="preserve">concludes that big game / trophy hunting is in a state of decline and is no longer able to pay for its ecological footprint, leading to poaching and habitat loss in hunting concessions. </w:t>
            </w:r>
            <w:r w:rsidRPr="00EE15F9">
              <w:rPr>
                <w:rFonts w:ascii="Calibri" w:eastAsia="Times New Roman" w:hAnsi="Calibri" w:cs="Open Sans"/>
                <w:sz w:val="18"/>
                <w:szCs w:val="18"/>
                <w:lang w:val="en-CA" w:eastAsia="fr-CA"/>
              </w:rPr>
              <w:t>Another analysis of hunting in six African countries – South Africa, Zimbabwe, Zambia, Mozambique, Namibia and Tanzania – where trophy hunting has long been regarded as an effective conservation tool found that many iconic species, especially those favoured by trophy hunters, are in a sharp decline mainly due to widespread poaching and habitat loss. The analysis</w:t>
            </w:r>
            <w:r w:rsidRPr="00EE15F9">
              <w:rPr>
                <w:rStyle w:val="Appelnotedebasdep"/>
                <w:rFonts w:ascii="Calibri" w:eastAsia="Times New Roman" w:hAnsi="Calibri" w:cs="Open Sans"/>
                <w:szCs w:val="18"/>
                <w:lang w:val="en-CA" w:eastAsia="fr-CA"/>
              </w:rPr>
              <w:footnoteReference w:id="56"/>
            </w:r>
            <w:r w:rsidRPr="00EE15F9">
              <w:rPr>
                <w:rFonts w:ascii="Calibri" w:eastAsia="Times New Roman" w:hAnsi="Calibri" w:cs="Open Sans"/>
                <w:sz w:val="18"/>
                <w:szCs w:val="18"/>
                <w:lang w:val="en-CA" w:eastAsia="fr-CA"/>
              </w:rPr>
              <w:t xml:space="preserve"> shows that trophy hunting, contrary to the common view, not only has negative impacts on wild populations, but that there is also an extremely close link between legal hunting and poaching. The analysis reveals that trophy hunting is an activity that fuels corruption, it encourages the unfair redistribution of the wealth generated without adequate involvement of communities, causes the loss of healthy individuals that are still key for reproduction and social cohesion and, most damagingly, contributes to the decline of all five species considered in this report.</w:t>
            </w:r>
          </w:p>
        </w:tc>
      </w:tr>
    </w:tbl>
    <w:p w14:paraId="1B24E96A" w14:textId="1DDB599B" w:rsidR="00F465F9" w:rsidRPr="0099310D" w:rsidRDefault="00F465F9" w:rsidP="00C46720">
      <w:pPr>
        <w:pStyle w:val="Paragraphedeliste"/>
        <w:numPr>
          <w:ilvl w:val="0"/>
          <w:numId w:val="61"/>
        </w:numPr>
        <w:tabs>
          <w:tab w:val="left" w:pos="709"/>
        </w:tabs>
        <w:spacing w:before="120" w:after="120"/>
        <w:ind w:left="709" w:firstLine="5"/>
        <w:jc w:val="both"/>
        <w:rPr>
          <w:rFonts w:asciiTheme="minorHAnsi" w:hAnsiTheme="minorHAnsi"/>
          <w:sz w:val="20"/>
          <w:szCs w:val="20"/>
          <w:lang w:val="en-CA"/>
        </w:rPr>
      </w:pPr>
      <w:r w:rsidRPr="0099310D">
        <w:rPr>
          <w:rFonts w:asciiTheme="minorHAnsi" w:hAnsiTheme="minorHAnsi"/>
          <w:sz w:val="20"/>
          <w:szCs w:val="20"/>
          <w:lang w:val="en-CA"/>
        </w:rPr>
        <w:t xml:space="preserve">Depending on the conclusions of the assessment, the project will maintain the focus on strengthening PA management with remaining resources of the project, or strengthen capacities to ensure the sustainable management of hunting and equitable sharing of its benefits. i) </w:t>
      </w:r>
      <w:r w:rsidRPr="0099310D">
        <w:rPr>
          <w:rFonts w:asciiTheme="minorHAnsi" w:eastAsia="Times New Roman" w:hAnsiTheme="minorHAnsi" w:cs="Arial"/>
          <w:color w:val="212529"/>
          <w:sz w:val="20"/>
          <w:szCs w:val="20"/>
          <w:lang w:val="en-CA" w:eastAsia="en-GB"/>
        </w:rPr>
        <w:t xml:space="preserve">Should the assessment conclude that efforts to improve the management effectiveness for the Nazinga Game Ranch, the Sissili CF and the ZOVICs, including strengthened surveillance and enforcement, have not led to a significant improvement of the status of game populations and that hunting activities cannot be resumed, the project will cease funding activities in support of hunting and reallocate remaining technical and financial </w:t>
      </w:r>
      <w:r w:rsidRPr="0099310D">
        <w:rPr>
          <w:rFonts w:asciiTheme="minorHAnsi" w:eastAsia="Times New Roman" w:hAnsiTheme="minorHAnsi" w:cs="Arial"/>
          <w:color w:val="212529"/>
          <w:sz w:val="20"/>
          <w:szCs w:val="20"/>
          <w:lang w:val="en-CA" w:eastAsia="en-GB"/>
        </w:rPr>
        <w:lastRenderedPageBreak/>
        <w:t xml:space="preserve">resources to activities focused strictly on conservation, excluding hunting. </w:t>
      </w:r>
      <w:r w:rsidR="004D2432" w:rsidRPr="0099310D">
        <w:rPr>
          <w:rFonts w:asciiTheme="minorHAnsi" w:hAnsiTheme="minorHAnsi"/>
          <w:sz w:val="20"/>
          <w:szCs w:val="20"/>
          <w:lang w:val="en-CA"/>
        </w:rPr>
        <w:t xml:space="preserve">ii) Should the conclusions support the resumption of hunting activities </w:t>
      </w:r>
      <w:r w:rsidR="004D2432" w:rsidRPr="0099310D">
        <w:rPr>
          <w:rFonts w:ascii="Calibri" w:hAnsi="Calibri"/>
          <w:sz w:val="20"/>
          <w:szCs w:val="20"/>
          <w:lang w:val="en-GB"/>
        </w:rPr>
        <w:t xml:space="preserve">in the ZOVICs and in one or both core PAs (Nazinga GR and Sissili CF) </w:t>
      </w:r>
      <w:r w:rsidR="004D2432" w:rsidRPr="0099310D">
        <w:rPr>
          <w:rFonts w:asciiTheme="minorHAnsi" w:hAnsiTheme="minorHAnsi"/>
          <w:sz w:val="20"/>
          <w:szCs w:val="20"/>
          <w:lang w:val="en-CA"/>
        </w:rPr>
        <w:t xml:space="preserve">in a foreseeable future, the project will </w:t>
      </w:r>
      <w:r w:rsidR="004D2432" w:rsidRPr="0099310D">
        <w:rPr>
          <w:rFonts w:ascii="Calibri" w:hAnsi="Calibri"/>
          <w:sz w:val="20"/>
          <w:szCs w:val="20"/>
          <w:lang w:val="en-GB"/>
        </w:rPr>
        <w:t xml:space="preserve">implement the activities described hereafter to strengthen the management of game and/or subsistence hunting and </w:t>
      </w:r>
      <w:r w:rsidR="004D2432" w:rsidRPr="0099310D">
        <w:rPr>
          <w:rFonts w:asciiTheme="minorHAnsi" w:hAnsiTheme="minorHAnsi"/>
          <w:sz w:val="20"/>
          <w:szCs w:val="20"/>
          <w:lang w:val="en-CA"/>
        </w:rPr>
        <w:t xml:space="preserve">the capacities of relevant stakeholders, i.e. government and technical services, and local communities </w:t>
      </w:r>
      <w:r w:rsidR="004D2432" w:rsidRPr="0099310D">
        <w:rPr>
          <w:rFonts w:ascii="Calibri" w:hAnsi="Calibri"/>
          <w:sz w:val="20"/>
          <w:szCs w:val="20"/>
          <w:lang w:val="en-GB"/>
        </w:rPr>
        <w:t>(</w:t>
      </w:r>
      <w:r w:rsidR="004D2432" w:rsidRPr="0099310D">
        <w:rPr>
          <w:rFonts w:ascii="Calibri" w:hAnsi="Calibri"/>
          <w:sz w:val="20"/>
          <w:szCs w:val="20"/>
          <w:lang w:val="en-CA"/>
        </w:rPr>
        <w:t>village committees for wildlife management</w:t>
      </w:r>
      <w:r w:rsidR="004D2432" w:rsidRPr="0099310D">
        <w:rPr>
          <w:rFonts w:ascii="Calibri" w:hAnsi="Calibri"/>
          <w:sz w:val="20"/>
          <w:szCs w:val="20"/>
          <w:lang w:val="en-GB"/>
        </w:rPr>
        <w:t>)</w:t>
      </w:r>
      <w:r w:rsidR="004D2432" w:rsidRPr="0099310D">
        <w:rPr>
          <w:rFonts w:asciiTheme="minorHAnsi" w:hAnsiTheme="minorHAnsi"/>
          <w:sz w:val="20"/>
          <w:szCs w:val="20"/>
          <w:lang w:val="en-CA"/>
        </w:rPr>
        <w:t>, to fulfil more effectively their respective roles in the management of the activity in line with the assessment’s recommendations.</w:t>
      </w:r>
      <w:r w:rsidR="004D2432" w:rsidRPr="0099310D">
        <w:rPr>
          <w:rFonts w:ascii="Calibri" w:hAnsi="Calibri"/>
          <w:noProof/>
          <w:sz w:val="20"/>
          <w:szCs w:val="20"/>
          <w:lang w:val="en-GB"/>
        </w:rPr>
        <w:t xml:space="preserve"> By improving sustainable hunting management in core PAs and in ZOVICs, and addressing benefit sharing issues, the project would then seek to restore the optimal scheme which provided incentives for stakeholders to ensure the proper management of resources and habitats in ZOVICs, thus preserving biodiversity.</w:t>
      </w:r>
    </w:p>
    <w:p w14:paraId="34B36788" w14:textId="296D0C21" w:rsidR="00302BFE" w:rsidRPr="0099310D" w:rsidRDefault="004D2432" w:rsidP="00C46720">
      <w:pPr>
        <w:pStyle w:val="Paragraphedeliste"/>
        <w:numPr>
          <w:ilvl w:val="0"/>
          <w:numId w:val="14"/>
        </w:numPr>
        <w:tabs>
          <w:tab w:val="left" w:pos="284"/>
        </w:tabs>
        <w:spacing w:before="120" w:after="120"/>
        <w:ind w:left="0" w:firstLine="0"/>
        <w:jc w:val="both"/>
        <w:rPr>
          <w:rFonts w:ascii="Calibri" w:eastAsia="Cambria" w:hAnsi="Calibri"/>
          <w:sz w:val="20"/>
          <w:szCs w:val="20"/>
          <w:lang w:val="en-GB"/>
        </w:rPr>
      </w:pPr>
      <w:r w:rsidRPr="0099310D">
        <w:rPr>
          <w:rFonts w:ascii="Calibri" w:eastAsia="Cambria" w:hAnsi="Calibri"/>
          <w:sz w:val="20"/>
          <w:szCs w:val="20"/>
          <w:lang w:val="en-GB"/>
        </w:rPr>
        <w:t>S</w:t>
      </w:r>
      <w:r w:rsidR="00302BFE" w:rsidRPr="0099310D">
        <w:rPr>
          <w:rFonts w:ascii="Calibri" w:eastAsia="Cambria" w:hAnsi="Calibri"/>
          <w:sz w:val="20"/>
          <w:szCs w:val="20"/>
          <w:lang w:val="en-GB"/>
        </w:rPr>
        <w:t>trengthen</w:t>
      </w:r>
      <w:r w:rsidRPr="0099310D">
        <w:rPr>
          <w:rFonts w:ascii="Calibri" w:eastAsia="Cambria" w:hAnsi="Calibri"/>
          <w:sz w:val="20"/>
          <w:szCs w:val="20"/>
          <w:lang w:val="en-GB"/>
        </w:rPr>
        <w:t>ing</w:t>
      </w:r>
      <w:r w:rsidR="00302BFE" w:rsidRPr="0099310D">
        <w:rPr>
          <w:rFonts w:ascii="Calibri" w:eastAsia="Cambria" w:hAnsi="Calibri"/>
          <w:sz w:val="20"/>
          <w:szCs w:val="20"/>
          <w:lang w:val="en-GB"/>
        </w:rPr>
        <w:t xml:space="preserve"> sustainable hunting management in ZOVICs, Nazinga Game Ranch and Sissili Classified Forest will involve:</w:t>
      </w:r>
      <w:r w:rsidR="00E73212" w:rsidRPr="0099310D">
        <w:rPr>
          <w:rFonts w:ascii="Calibri" w:eastAsia="Cambria" w:hAnsi="Calibri"/>
          <w:sz w:val="20"/>
          <w:szCs w:val="20"/>
          <w:lang w:val="en-GB"/>
        </w:rPr>
        <w:t xml:space="preserve"> </w:t>
      </w:r>
    </w:p>
    <w:p w14:paraId="32452A0C" w14:textId="77777777" w:rsidR="00302BFE" w:rsidRPr="006F0042" w:rsidRDefault="00302BFE" w:rsidP="00C46720">
      <w:pPr>
        <w:pStyle w:val="Paragraphedeliste"/>
        <w:numPr>
          <w:ilvl w:val="0"/>
          <w:numId w:val="58"/>
        </w:numPr>
        <w:spacing w:before="120" w:after="120"/>
        <w:ind w:left="709" w:hanging="295"/>
        <w:contextualSpacing/>
        <w:jc w:val="both"/>
        <w:rPr>
          <w:rFonts w:ascii="Calibri" w:hAnsi="Calibri"/>
          <w:sz w:val="20"/>
          <w:szCs w:val="20"/>
          <w:lang w:val="en-GB"/>
        </w:rPr>
      </w:pPr>
      <w:r w:rsidRPr="006F0042">
        <w:rPr>
          <w:rFonts w:ascii="Calibri" w:hAnsi="Calibri"/>
          <w:sz w:val="20"/>
          <w:szCs w:val="20"/>
          <w:lang w:val="en-GB"/>
        </w:rPr>
        <w:t>Participatory identification of conservation objectives for exploited species with the support of the wildlife expert;</w:t>
      </w:r>
    </w:p>
    <w:p w14:paraId="226ACB0E" w14:textId="77777777" w:rsidR="00302BFE" w:rsidRPr="006F0042" w:rsidRDefault="00302BFE" w:rsidP="00C46720">
      <w:pPr>
        <w:pStyle w:val="Paragraphedeliste"/>
        <w:numPr>
          <w:ilvl w:val="0"/>
          <w:numId w:val="58"/>
        </w:numPr>
        <w:spacing w:before="120" w:after="120"/>
        <w:ind w:left="709" w:hanging="295"/>
        <w:contextualSpacing/>
        <w:jc w:val="both"/>
        <w:rPr>
          <w:rFonts w:ascii="Calibri" w:hAnsi="Calibri"/>
          <w:sz w:val="20"/>
          <w:szCs w:val="20"/>
          <w:lang w:val="en-GB"/>
        </w:rPr>
      </w:pPr>
      <w:r w:rsidRPr="006F0042">
        <w:rPr>
          <w:rFonts w:ascii="Calibri" w:hAnsi="Calibri"/>
          <w:sz w:val="20"/>
          <w:szCs w:val="20"/>
          <w:lang w:val="en-GB"/>
        </w:rPr>
        <w:t xml:space="preserve">Determination of sustainable harvest thresholds (quotas) on the basis of best available information; </w:t>
      </w:r>
    </w:p>
    <w:p w14:paraId="75FC9081" w14:textId="77777777" w:rsidR="00302BFE" w:rsidRPr="006F0042" w:rsidRDefault="00302BFE" w:rsidP="00C46720">
      <w:pPr>
        <w:pStyle w:val="Paragraphedeliste"/>
        <w:numPr>
          <w:ilvl w:val="0"/>
          <w:numId w:val="58"/>
        </w:numPr>
        <w:spacing w:before="120" w:after="120"/>
        <w:ind w:left="709" w:hanging="295"/>
        <w:contextualSpacing/>
        <w:jc w:val="both"/>
        <w:rPr>
          <w:rFonts w:ascii="Calibri" w:hAnsi="Calibri"/>
          <w:sz w:val="20"/>
          <w:szCs w:val="20"/>
          <w:lang w:val="en-GB"/>
        </w:rPr>
      </w:pPr>
      <w:r w:rsidRPr="006F0042">
        <w:rPr>
          <w:rFonts w:ascii="Calibri" w:hAnsi="Calibri"/>
          <w:sz w:val="20"/>
          <w:szCs w:val="20"/>
          <w:lang w:val="en-GB"/>
        </w:rPr>
        <w:t>Establishment of a monitoring system to collect hunting statistics and provide a sound basis for adjusting hunting pressure on the main species exploited;</w:t>
      </w:r>
    </w:p>
    <w:p w14:paraId="75409C72" w14:textId="77777777" w:rsidR="00302BFE" w:rsidRPr="006F0042" w:rsidRDefault="00302BFE" w:rsidP="00C46720">
      <w:pPr>
        <w:pStyle w:val="Paragraphedeliste"/>
        <w:numPr>
          <w:ilvl w:val="0"/>
          <w:numId w:val="58"/>
        </w:numPr>
        <w:spacing w:after="120"/>
        <w:ind w:left="709" w:hanging="295"/>
        <w:jc w:val="both"/>
        <w:rPr>
          <w:rFonts w:ascii="Calibri" w:hAnsi="Calibri"/>
          <w:sz w:val="20"/>
          <w:szCs w:val="20"/>
          <w:lang w:val="en-GB"/>
        </w:rPr>
      </w:pPr>
      <w:r w:rsidRPr="006F0042">
        <w:rPr>
          <w:rFonts w:ascii="Calibri" w:hAnsi="Calibri"/>
          <w:sz w:val="20"/>
          <w:szCs w:val="20"/>
          <w:lang w:val="en-GB"/>
        </w:rPr>
        <w:t>Development of guidance documents to facilitate annual updating of hunting management decisions.</w:t>
      </w:r>
    </w:p>
    <w:bookmarkEnd w:id="16"/>
    <w:p w14:paraId="132A9309" w14:textId="07A051F2" w:rsidR="00302BFE" w:rsidRPr="00675AE3" w:rsidRDefault="004D2432"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Pr>
          <w:rFonts w:ascii="Calibri" w:hAnsi="Calibri"/>
          <w:sz w:val="20"/>
          <w:szCs w:val="20"/>
          <w:lang w:val="en-GB"/>
        </w:rPr>
        <w:t>T</w:t>
      </w:r>
      <w:r w:rsidR="00302BFE" w:rsidRPr="00675AE3">
        <w:rPr>
          <w:rFonts w:ascii="Calibri" w:hAnsi="Calibri"/>
          <w:sz w:val="20"/>
          <w:szCs w:val="20"/>
          <w:lang w:val="en-GB"/>
        </w:rPr>
        <w:t xml:space="preserve">he management plans for core PAs and for ZOVICs will include measures to strengthen the sustainable management of hunting activities. </w:t>
      </w:r>
      <w:r w:rsidR="00772ECA">
        <w:rPr>
          <w:rFonts w:ascii="Calibri" w:hAnsi="Calibri"/>
          <w:sz w:val="20"/>
          <w:szCs w:val="20"/>
          <w:lang w:val="en-GB"/>
        </w:rPr>
        <w:t>Such measures</w:t>
      </w:r>
      <w:r w:rsidR="00302BFE" w:rsidRPr="00675AE3">
        <w:rPr>
          <w:rFonts w:ascii="Calibri" w:hAnsi="Calibri"/>
          <w:sz w:val="20"/>
          <w:szCs w:val="20"/>
          <w:lang w:val="en-GB"/>
        </w:rPr>
        <w:t xml:space="preserve"> will include </w:t>
      </w:r>
      <w:r w:rsidR="00772ECA">
        <w:rPr>
          <w:rFonts w:ascii="Calibri" w:hAnsi="Calibri"/>
          <w:sz w:val="20"/>
          <w:szCs w:val="20"/>
          <w:lang w:val="en-GB"/>
        </w:rPr>
        <w:t>deciding</w:t>
      </w:r>
      <w:r w:rsidR="00772ECA" w:rsidRPr="00675AE3">
        <w:rPr>
          <w:rFonts w:ascii="Calibri" w:hAnsi="Calibri"/>
          <w:sz w:val="20"/>
          <w:szCs w:val="20"/>
          <w:lang w:val="en-GB"/>
        </w:rPr>
        <w:t xml:space="preserve"> </w:t>
      </w:r>
      <w:r w:rsidR="00772ECA">
        <w:rPr>
          <w:rFonts w:ascii="Calibri" w:hAnsi="Calibri"/>
          <w:sz w:val="20"/>
          <w:szCs w:val="20"/>
          <w:lang w:val="en-GB"/>
        </w:rPr>
        <w:t xml:space="preserve">on </w:t>
      </w:r>
      <w:r w:rsidR="00302BFE" w:rsidRPr="00675AE3">
        <w:rPr>
          <w:rFonts w:ascii="Calibri" w:hAnsi="Calibri"/>
          <w:sz w:val="20"/>
          <w:szCs w:val="20"/>
          <w:lang w:val="en-GB"/>
        </w:rPr>
        <w:t xml:space="preserve">conservation objectives for exploited populations, estimating sustainable harvest thresholds for the main species exploited, setting up a system </w:t>
      </w:r>
      <w:r w:rsidR="00772ECA">
        <w:rPr>
          <w:rFonts w:ascii="Calibri" w:hAnsi="Calibri"/>
          <w:sz w:val="20"/>
          <w:szCs w:val="20"/>
          <w:lang w:val="en-GB"/>
        </w:rPr>
        <w:t>to</w:t>
      </w:r>
      <w:r w:rsidR="00302BFE" w:rsidRPr="00675AE3">
        <w:rPr>
          <w:rFonts w:ascii="Calibri" w:hAnsi="Calibri"/>
          <w:sz w:val="20"/>
          <w:szCs w:val="20"/>
          <w:lang w:val="en-GB"/>
        </w:rPr>
        <w:t xml:space="preserve"> monitor catches, updating </w:t>
      </w:r>
      <w:r w:rsidR="00772ECA">
        <w:rPr>
          <w:rFonts w:ascii="Calibri" w:hAnsi="Calibri"/>
          <w:sz w:val="20"/>
          <w:szCs w:val="20"/>
          <w:lang w:val="en-GB"/>
        </w:rPr>
        <w:t>hunting</w:t>
      </w:r>
      <w:r w:rsidR="00302BFE" w:rsidRPr="00675AE3">
        <w:rPr>
          <w:rFonts w:ascii="Calibri" w:hAnsi="Calibri"/>
          <w:sz w:val="20"/>
          <w:szCs w:val="20"/>
          <w:lang w:val="en-GB"/>
        </w:rPr>
        <w:t xml:space="preserve"> </w:t>
      </w:r>
      <w:r w:rsidR="00772ECA" w:rsidRPr="00675AE3">
        <w:rPr>
          <w:rFonts w:ascii="Calibri" w:hAnsi="Calibri"/>
          <w:sz w:val="20"/>
          <w:szCs w:val="20"/>
          <w:lang w:val="en-GB"/>
        </w:rPr>
        <w:t xml:space="preserve">management </w:t>
      </w:r>
      <w:r w:rsidR="00772ECA">
        <w:rPr>
          <w:rFonts w:ascii="Calibri" w:hAnsi="Calibri"/>
          <w:sz w:val="20"/>
          <w:szCs w:val="20"/>
          <w:lang w:val="en-GB"/>
        </w:rPr>
        <w:t xml:space="preserve">measures </w:t>
      </w:r>
      <w:r w:rsidR="00302BFE" w:rsidRPr="00675AE3">
        <w:rPr>
          <w:rFonts w:ascii="Calibri" w:hAnsi="Calibri"/>
          <w:sz w:val="20"/>
          <w:szCs w:val="20"/>
          <w:lang w:val="en-GB"/>
        </w:rPr>
        <w:t xml:space="preserve">annually based on monitoring data, including the adjustment of the hunting season for each species and the temporary closure of certain areas within the hunting territories to protect the reproduction and </w:t>
      </w:r>
      <w:r w:rsidR="00772ECA">
        <w:rPr>
          <w:rFonts w:ascii="Calibri" w:hAnsi="Calibri"/>
          <w:sz w:val="20"/>
          <w:szCs w:val="20"/>
          <w:lang w:val="en-GB"/>
        </w:rPr>
        <w:t>nursery</w:t>
      </w:r>
      <w:r w:rsidR="00302BFE" w:rsidRPr="00675AE3">
        <w:rPr>
          <w:rFonts w:ascii="Calibri" w:hAnsi="Calibri"/>
          <w:sz w:val="20"/>
          <w:szCs w:val="20"/>
          <w:lang w:val="en-GB"/>
        </w:rPr>
        <w:t xml:space="preserve"> phases.</w:t>
      </w:r>
    </w:p>
    <w:p w14:paraId="635783C7" w14:textId="7BD8E65F" w:rsidR="00302BFE" w:rsidRPr="00675AE3" w:rsidRDefault="00772ECA"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4D2432">
        <w:rPr>
          <w:rFonts w:ascii="Calibri" w:hAnsi="Calibri"/>
          <w:sz w:val="20"/>
          <w:szCs w:val="20"/>
          <w:lang w:val="en-GB"/>
        </w:rPr>
        <w:t>Under the guidance</w:t>
      </w:r>
      <w:r w:rsidRPr="006F0042">
        <w:rPr>
          <w:rFonts w:ascii="Calibri" w:hAnsi="Calibri"/>
          <w:sz w:val="20"/>
          <w:szCs w:val="20"/>
          <w:lang w:val="en-GB"/>
        </w:rPr>
        <w:t xml:space="preserve"> of the </w:t>
      </w:r>
      <w:r w:rsidR="004D2432">
        <w:rPr>
          <w:rFonts w:ascii="Calibri" w:hAnsi="Calibri"/>
          <w:sz w:val="20"/>
          <w:szCs w:val="20"/>
          <w:lang w:val="en-GB"/>
        </w:rPr>
        <w:t>wildlife</w:t>
      </w:r>
      <w:r w:rsidRPr="006F0042">
        <w:rPr>
          <w:rFonts w:ascii="Calibri" w:hAnsi="Calibri"/>
          <w:sz w:val="20"/>
          <w:szCs w:val="20"/>
          <w:lang w:val="en-GB"/>
        </w:rPr>
        <w:t xml:space="preserve"> expert</w:t>
      </w:r>
      <w:r>
        <w:rPr>
          <w:rFonts w:ascii="Calibri" w:hAnsi="Calibri"/>
          <w:sz w:val="20"/>
          <w:szCs w:val="20"/>
          <w:lang w:val="en-GB"/>
        </w:rPr>
        <w:t>, t</w:t>
      </w:r>
      <w:r w:rsidR="00302BFE" w:rsidRPr="00675AE3">
        <w:rPr>
          <w:rFonts w:ascii="Calibri" w:hAnsi="Calibri"/>
          <w:sz w:val="20"/>
          <w:szCs w:val="20"/>
          <w:lang w:val="en-GB"/>
        </w:rPr>
        <w:t>he project will support the strengthening of hunting management, including through the preparation of a preliminary workshop document and the organization of a quota setting workshop, as well as the development of a technical document for institutions in charge of wildlife and for concession holders who are responsible for most of these management activities. Strengthening the management of hunting activities will be based on:</w:t>
      </w:r>
    </w:p>
    <w:p w14:paraId="2F675C62" w14:textId="77777777" w:rsidR="00302BFE" w:rsidRPr="005F3825" w:rsidRDefault="00302BFE" w:rsidP="00C46720">
      <w:pPr>
        <w:pStyle w:val="Paragraphedeliste"/>
        <w:numPr>
          <w:ilvl w:val="0"/>
          <w:numId w:val="21"/>
        </w:numPr>
        <w:spacing w:before="120" w:after="120"/>
        <w:contextualSpacing/>
        <w:jc w:val="both"/>
        <w:rPr>
          <w:rFonts w:ascii="Calibri" w:hAnsi="Calibri"/>
          <w:sz w:val="20"/>
          <w:szCs w:val="20"/>
          <w:lang w:val="en-GB"/>
        </w:rPr>
      </w:pPr>
      <w:r w:rsidRPr="005F3825">
        <w:rPr>
          <w:rFonts w:ascii="Calibri" w:hAnsi="Calibri"/>
          <w:sz w:val="20"/>
          <w:szCs w:val="20"/>
          <w:lang w:val="en-GB"/>
        </w:rPr>
        <w:t>the systematic monitoring of the level of effort (number of hunters and duration of the activity) and of the captures in order to follow their evolution compared to established quotas;</w:t>
      </w:r>
    </w:p>
    <w:p w14:paraId="2B4FF571" w14:textId="77777777" w:rsidR="00302BFE" w:rsidRPr="005F3825" w:rsidRDefault="00302BFE" w:rsidP="00C46720">
      <w:pPr>
        <w:pStyle w:val="Paragraphedeliste"/>
        <w:numPr>
          <w:ilvl w:val="0"/>
          <w:numId w:val="21"/>
        </w:numPr>
        <w:spacing w:before="120" w:after="120"/>
        <w:contextualSpacing/>
        <w:jc w:val="both"/>
        <w:rPr>
          <w:rFonts w:ascii="Calibri" w:hAnsi="Calibri"/>
          <w:sz w:val="20"/>
          <w:szCs w:val="20"/>
          <w:lang w:val="en-GB"/>
        </w:rPr>
      </w:pPr>
      <w:r w:rsidRPr="005F3825">
        <w:rPr>
          <w:rFonts w:ascii="Calibri" w:hAnsi="Calibri"/>
          <w:sz w:val="20"/>
          <w:szCs w:val="20"/>
          <w:lang w:val="en-GB"/>
        </w:rPr>
        <w:t>standardization of the data collection process and databases to enable data collection at the landscape scale;</w:t>
      </w:r>
    </w:p>
    <w:p w14:paraId="3587C1B9" w14:textId="77777777" w:rsidR="00302BFE" w:rsidRPr="005F3825" w:rsidRDefault="00302BFE" w:rsidP="00C46720">
      <w:pPr>
        <w:pStyle w:val="Paragraphedeliste"/>
        <w:numPr>
          <w:ilvl w:val="0"/>
          <w:numId w:val="21"/>
        </w:numPr>
        <w:spacing w:before="120" w:after="120"/>
        <w:contextualSpacing/>
        <w:jc w:val="both"/>
        <w:rPr>
          <w:rFonts w:ascii="Calibri" w:hAnsi="Calibri"/>
          <w:sz w:val="20"/>
          <w:szCs w:val="20"/>
          <w:lang w:val="en-GB"/>
        </w:rPr>
      </w:pPr>
      <w:r w:rsidRPr="005F3825">
        <w:rPr>
          <w:rFonts w:ascii="Calibri" w:hAnsi="Calibri"/>
          <w:sz w:val="20"/>
          <w:szCs w:val="20"/>
          <w:lang w:val="en-GB"/>
        </w:rPr>
        <w:t>estimation of the size of natural populations based on regular inventories following protocols developed with the support of experts in hunting management and applied rigorously, including permanent sampling transects;</w:t>
      </w:r>
    </w:p>
    <w:p w14:paraId="341FAF99" w14:textId="77777777" w:rsidR="00302BFE" w:rsidRPr="005F3825" w:rsidRDefault="00302BFE" w:rsidP="00C46720">
      <w:pPr>
        <w:pStyle w:val="Paragraphedeliste"/>
        <w:numPr>
          <w:ilvl w:val="0"/>
          <w:numId w:val="21"/>
        </w:numPr>
        <w:spacing w:before="120" w:after="120"/>
        <w:contextualSpacing/>
        <w:jc w:val="both"/>
        <w:rPr>
          <w:rFonts w:ascii="Calibri" w:hAnsi="Calibri"/>
          <w:sz w:val="20"/>
          <w:szCs w:val="20"/>
          <w:lang w:val="en-GB"/>
        </w:rPr>
      </w:pPr>
      <w:r w:rsidRPr="005F3825">
        <w:rPr>
          <w:rFonts w:ascii="Calibri" w:hAnsi="Calibri"/>
          <w:sz w:val="20"/>
          <w:szCs w:val="20"/>
          <w:lang w:val="en-GB"/>
        </w:rPr>
        <w:t>monitoring the condition of critical habitats of the main wildlife species, including exploited species and non-exploited species, with attention to water availability;</w:t>
      </w:r>
    </w:p>
    <w:p w14:paraId="3EA04ECF" w14:textId="77777777" w:rsidR="00302BFE" w:rsidRPr="005F3825" w:rsidRDefault="00302BFE" w:rsidP="00C46720">
      <w:pPr>
        <w:pStyle w:val="Paragraphedeliste"/>
        <w:numPr>
          <w:ilvl w:val="0"/>
          <w:numId w:val="21"/>
        </w:numPr>
        <w:spacing w:before="120" w:after="120"/>
        <w:contextualSpacing/>
        <w:jc w:val="both"/>
        <w:rPr>
          <w:rFonts w:ascii="Calibri" w:hAnsi="Calibri"/>
          <w:sz w:val="20"/>
          <w:szCs w:val="20"/>
          <w:lang w:val="en-GB"/>
        </w:rPr>
      </w:pPr>
      <w:r w:rsidRPr="005F3825">
        <w:rPr>
          <w:rFonts w:ascii="Calibri" w:hAnsi="Calibri"/>
          <w:sz w:val="20"/>
          <w:szCs w:val="20"/>
          <w:lang w:val="en-GB"/>
        </w:rPr>
        <w:t>the monitoring of environmental parameters that can serve as explanatory factors for observed variations, including at least temperature and precipitation;</w:t>
      </w:r>
    </w:p>
    <w:p w14:paraId="26FC26F4" w14:textId="77777777" w:rsidR="00302BFE" w:rsidRPr="005F3825" w:rsidRDefault="00302BFE" w:rsidP="00C46720">
      <w:pPr>
        <w:pStyle w:val="Paragraphedeliste"/>
        <w:numPr>
          <w:ilvl w:val="0"/>
          <w:numId w:val="21"/>
        </w:numPr>
        <w:spacing w:before="120" w:after="120"/>
        <w:jc w:val="both"/>
        <w:rPr>
          <w:rFonts w:ascii="Calibri" w:hAnsi="Calibri"/>
          <w:sz w:val="20"/>
          <w:szCs w:val="20"/>
          <w:lang w:val="en-GB"/>
        </w:rPr>
      </w:pPr>
      <w:r w:rsidRPr="005F3825">
        <w:rPr>
          <w:rFonts w:ascii="Calibri" w:hAnsi="Calibri"/>
          <w:sz w:val="20"/>
          <w:szCs w:val="20"/>
          <w:lang w:val="en-GB"/>
        </w:rPr>
        <w:t>feedback of assessments to the actors concerned, including local populations involved in the ZOVICs, concessionaires, national institutions involved in PA management, technical services at the level of the local authorities (communes and regions) and the decentralized structures, the NGOs involved, and the scientific community.</w:t>
      </w:r>
    </w:p>
    <w:p w14:paraId="326F2A9E" w14:textId="77777777" w:rsidR="00302BFE" w:rsidRPr="005F382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4D2432">
        <w:rPr>
          <w:rFonts w:ascii="Calibri" w:hAnsi="Calibri"/>
          <w:sz w:val="20"/>
          <w:szCs w:val="20"/>
          <w:lang w:val="en-GB"/>
        </w:rPr>
        <w:t>This document should</w:t>
      </w:r>
      <w:r w:rsidRPr="005F3825">
        <w:rPr>
          <w:rFonts w:ascii="Calibri" w:hAnsi="Calibri"/>
          <w:sz w:val="20"/>
          <w:szCs w:val="20"/>
          <w:lang w:val="en-GB"/>
        </w:rPr>
        <w:t xml:space="preserve"> be developed annually and serve as a reference for determining quotas and the allocation of hunting licenses for the upcoming hunting season and should be used to assess the trend in the numbers of populations exploited to support decision making regarding hunting restrictions such as the adjustment of the hunting season, the closing of certain areas to hunting, or the prohibition on hunting a species or species whose downward trend would indicate excessive hunting pressure or other factors. The process conducted under the authority of the Wildlife and Hunting Department can serve as a model for all the country's protected areas.</w:t>
      </w:r>
    </w:p>
    <w:p w14:paraId="6DC2D047" w14:textId="77777777" w:rsidR="00302BFE" w:rsidRPr="005F382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5F3825">
        <w:rPr>
          <w:rFonts w:ascii="Calibri" w:eastAsia="Cambria" w:hAnsi="Calibri"/>
          <w:sz w:val="20"/>
          <w:szCs w:val="20"/>
          <w:u w:val="single"/>
          <w:lang w:val="en-GB"/>
        </w:rPr>
        <w:t>Support for the implementation of development and management plans</w:t>
      </w:r>
      <w:r w:rsidRPr="005F3825">
        <w:rPr>
          <w:rFonts w:ascii="Calibri" w:hAnsi="Calibri"/>
          <w:sz w:val="20"/>
          <w:szCs w:val="20"/>
          <w:lang w:val="en-GB"/>
        </w:rPr>
        <w:t>. Based on ecological assessments, mapping and zoning, the project will support PA management units to undertake ecosystem management actions identified in PA management plans. Actions will include completion of the materialization of protected area boundaries when required as well as signage, and maintenance of perimeter tracks to also serve as fire</w:t>
      </w:r>
      <w:r>
        <w:rPr>
          <w:rFonts w:ascii="Calibri" w:hAnsi="Calibri"/>
          <w:sz w:val="20"/>
          <w:szCs w:val="20"/>
          <w:lang w:val="en-GB"/>
        </w:rPr>
        <w:t>break</w:t>
      </w:r>
      <w:r w:rsidRPr="005F3825">
        <w:rPr>
          <w:rFonts w:ascii="Calibri" w:hAnsi="Calibri"/>
          <w:sz w:val="20"/>
          <w:szCs w:val="20"/>
          <w:lang w:val="en-GB"/>
        </w:rPr>
        <w:t xml:space="preserve">s. Areas requiring strict protection may have limited access. Critical habitats that are degraded will be progressively restored, as far as possible through assisted natural regeneration. These actions will be complemented by the role of eco-guards to disseminate information and </w:t>
      </w:r>
      <w:r>
        <w:rPr>
          <w:rFonts w:ascii="Calibri" w:hAnsi="Calibri"/>
          <w:sz w:val="20"/>
          <w:szCs w:val="20"/>
          <w:lang w:val="en-GB"/>
        </w:rPr>
        <w:t>disseminate</w:t>
      </w:r>
      <w:r w:rsidRPr="005F3825">
        <w:rPr>
          <w:rFonts w:ascii="Calibri" w:hAnsi="Calibri"/>
          <w:sz w:val="20"/>
          <w:szCs w:val="20"/>
          <w:lang w:val="en-GB"/>
        </w:rPr>
        <w:t xml:space="preserve"> the regulations on access to the different areas and the use of resources, and possibly to enforce these regulations, including the control of livestock invasion in PAs and especially in the areas under restoration.</w:t>
      </w:r>
    </w:p>
    <w:p w14:paraId="65BD2EAC" w14:textId="51DB8751" w:rsidR="00302BFE" w:rsidRPr="00A63E29"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highlight w:val="yellow"/>
          <w:u w:val="single"/>
          <w:lang w:val="en-GB"/>
        </w:rPr>
      </w:pPr>
      <w:r w:rsidRPr="006F0042">
        <w:rPr>
          <w:rFonts w:ascii="Calibri" w:eastAsia="Cambria" w:hAnsi="Calibri"/>
          <w:sz w:val="20"/>
          <w:szCs w:val="20"/>
          <w:u w:val="single"/>
          <w:lang w:val="en-GB"/>
        </w:rPr>
        <w:t>Development of a Business Plan for the PONASI Protected Area Complex</w:t>
      </w:r>
      <w:r w:rsidRPr="006F0042">
        <w:rPr>
          <w:rFonts w:ascii="Calibri" w:eastAsia="Cambria" w:hAnsi="Calibri"/>
          <w:sz w:val="20"/>
          <w:szCs w:val="20"/>
          <w:lang w:val="en-GB"/>
        </w:rPr>
        <w:t xml:space="preserve">. </w:t>
      </w:r>
      <w:r w:rsidR="001077BB" w:rsidRPr="006F0042">
        <w:rPr>
          <w:rFonts w:ascii="Calibri" w:eastAsia="Cambria" w:hAnsi="Calibri"/>
          <w:sz w:val="20"/>
          <w:szCs w:val="20"/>
          <w:lang w:val="en-GB"/>
        </w:rPr>
        <w:t xml:space="preserve">The project will recruit an international </w:t>
      </w:r>
      <w:r w:rsidR="0053434B" w:rsidRPr="006F0042">
        <w:rPr>
          <w:rFonts w:ascii="Calibri" w:eastAsia="Cambria" w:hAnsi="Calibri"/>
          <w:sz w:val="20"/>
          <w:szCs w:val="20"/>
          <w:lang w:val="en-GB"/>
        </w:rPr>
        <w:t xml:space="preserve">consultant with expertise in sustainable financing of PAs to develop a </w:t>
      </w:r>
      <w:r w:rsidRPr="006F0042">
        <w:rPr>
          <w:rFonts w:ascii="Calibri" w:eastAsia="Cambria" w:hAnsi="Calibri"/>
          <w:sz w:val="20"/>
          <w:szCs w:val="20"/>
          <w:lang w:val="en-GB"/>
        </w:rPr>
        <w:t xml:space="preserve">business plan for all the PAs of the PONASI complex involving the Conservator (s) of the PAs, the representatives of OFINAP, the DGEF and the technical services within the DREEVCC, the Ministry Finance whose acceptance of the process and results is essential, as well as the stakeholders who influence the financial future of the </w:t>
      </w:r>
      <w:r w:rsidRPr="006F0042">
        <w:rPr>
          <w:rFonts w:ascii="Calibri" w:eastAsia="Cambria" w:hAnsi="Calibri"/>
          <w:sz w:val="20"/>
          <w:szCs w:val="20"/>
          <w:lang w:val="en-GB"/>
        </w:rPr>
        <w:lastRenderedPageBreak/>
        <w:t>PA network. The plan development process will follow the guidance provided in the business plan catalog on the NBSAP Forum</w:t>
      </w:r>
      <w:r w:rsidRPr="006F0042">
        <w:rPr>
          <w:rFonts w:ascii="Calibri" w:hAnsi="Calibri"/>
          <w:sz w:val="20"/>
          <w:szCs w:val="20"/>
          <w:vertAlign w:val="superscript"/>
          <w:lang w:val="en-GB"/>
        </w:rPr>
        <w:footnoteReference w:id="57"/>
      </w:r>
      <w:r w:rsidRPr="006F0042">
        <w:rPr>
          <w:rFonts w:ascii="Calibri" w:eastAsia="Cambria" w:hAnsi="Calibri"/>
          <w:sz w:val="20"/>
          <w:szCs w:val="20"/>
          <w:lang w:val="en-GB"/>
        </w:rPr>
        <w:t xml:space="preserve"> which includes "Business Planning for Protected Areas" guidelines as well as examples of business plans developed for other protected areas around the world. A PA manager will be identified to lead the implementation of the plan as part of 2.1.1. The business plan preparation process will namely build on the findings of the interdisciplinary assessment of the ecosystem goods and services provided by PAs conducted under the output 1.2.1 as potential sources of revenue through their valuation</w:t>
      </w:r>
      <w:r w:rsidRPr="00D75FF6">
        <w:rPr>
          <w:rFonts w:ascii="Calibri" w:eastAsia="Cambria" w:hAnsi="Calibri"/>
          <w:sz w:val="20"/>
          <w:szCs w:val="20"/>
          <w:lang w:val="en-GB"/>
        </w:rPr>
        <w:t>.</w:t>
      </w:r>
      <w:r w:rsidR="000B0AA1" w:rsidRPr="00D75FF6">
        <w:rPr>
          <w:rFonts w:ascii="Calibri" w:eastAsia="Cambria" w:hAnsi="Calibri"/>
          <w:sz w:val="20"/>
          <w:szCs w:val="20"/>
          <w:lang w:val="en-GB"/>
        </w:rPr>
        <w:t xml:space="preserve"> </w:t>
      </w:r>
      <w:r w:rsidR="000B0AA1" w:rsidRPr="00A63E29">
        <w:rPr>
          <w:rFonts w:ascii="Calibri" w:eastAsia="Cambria" w:hAnsi="Calibri"/>
          <w:sz w:val="20"/>
          <w:szCs w:val="20"/>
          <w:lang w:val="en-GB"/>
        </w:rPr>
        <w:t xml:space="preserve">It will take into consideration the impacts (global and local) of the recent </w:t>
      </w:r>
      <w:r w:rsidR="000B0AA1" w:rsidRPr="00A63E29">
        <w:rPr>
          <w:rFonts w:ascii="Calibri" w:eastAsia="Cambria" w:hAnsi="Calibri"/>
          <w:sz w:val="20"/>
          <w:szCs w:val="20"/>
          <w:highlight w:val="yellow"/>
          <w:lang w:val="en-GB"/>
        </w:rPr>
        <w:t>COVID</w:t>
      </w:r>
      <w:r w:rsidR="00552C05" w:rsidRPr="00A63E29">
        <w:rPr>
          <w:rFonts w:ascii="Calibri" w:eastAsia="Cambria" w:hAnsi="Calibri"/>
          <w:sz w:val="20"/>
          <w:szCs w:val="20"/>
          <w:highlight w:val="yellow"/>
          <w:lang w:val="en-GB"/>
        </w:rPr>
        <w:t xml:space="preserve"> 19</w:t>
      </w:r>
      <w:r w:rsidR="000B0AA1" w:rsidRPr="00A63E29">
        <w:rPr>
          <w:rFonts w:ascii="Calibri" w:eastAsia="Cambria" w:hAnsi="Calibri"/>
          <w:sz w:val="20"/>
          <w:szCs w:val="20"/>
          <w:highlight w:val="yellow"/>
          <w:lang w:val="en-GB"/>
        </w:rPr>
        <w:t xml:space="preserve"> pandemic on tourism and prospects for its medium and long-term recovery after the crisis has declined. </w:t>
      </w:r>
    </w:p>
    <w:p w14:paraId="25B4787E" w14:textId="77777777" w:rsidR="00302BFE" w:rsidRPr="00AB088A"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u w:val="single"/>
          <w:lang w:val="en-GB"/>
        </w:rPr>
      </w:pPr>
      <w:r w:rsidRPr="005F3825">
        <w:rPr>
          <w:rFonts w:ascii="Calibri" w:eastAsia="Cambria" w:hAnsi="Calibri"/>
          <w:sz w:val="20"/>
          <w:szCs w:val="20"/>
          <w:lang w:val="en-GB"/>
        </w:rPr>
        <w:t xml:space="preserve">The business plan </w:t>
      </w:r>
      <w:r>
        <w:rPr>
          <w:rFonts w:ascii="Calibri" w:eastAsia="Cambria" w:hAnsi="Calibri"/>
          <w:sz w:val="20"/>
          <w:szCs w:val="20"/>
          <w:lang w:val="en-GB"/>
        </w:rPr>
        <w:t>will be</w:t>
      </w:r>
      <w:r w:rsidRPr="005F3825">
        <w:rPr>
          <w:rFonts w:ascii="Calibri" w:eastAsia="Cambria" w:hAnsi="Calibri"/>
          <w:sz w:val="20"/>
          <w:szCs w:val="20"/>
          <w:lang w:val="en-GB"/>
        </w:rPr>
        <w:t xml:space="preserve"> an extension of the management plan </w:t>
      </w:r>
      <w:r>
        <w:rPr>
          <w:rFonts w:ascii="Calibri" w:eastAsia="Cambria" w:hAnsi="Calibri"/>
          <w:sz w:val="20"/>
          <w:szCs w:val="20"/>
          <w:lang w:val="en-GB"/>
        </w:rPr>
        <w:t>and</w:t>
      </w:r>
      <w:r w:rsidRPr="005F3825">
        <w:rPr>
          <w:rFonts w:ascii="Calibri" w:eastAsia="Cambria" w:hAnsi="Calibri"/>
          <w:sz w:val="20"/>
          <w:szCs w:val="20"/>
          <w:lang w:val="en-GB"/>
        </w:rPr>
        <w:t xml:space="preserve"> identify the resources needed to achieve the objectives and tasks defined in the PA Management Plan. </w:t>
      </w:r>
      <w:r>
        <w:rPr>
          <w:rFonts w:ascii="Calibri" w:eastAsia="Cambria" w:hAnsi="Calibri"/>
          <w:sz w:val="20"/>
          <w:szCs w:val="20"/>
          <w:lang w:val="en-GB"/>
        </w:rPr>
        <w:t>It will</w:t>
      </w:r>
      <w:r w:rsidRPr="005F3825">
        <w:rPr>
          <w:rFonts w:ascii="Calibri" w:eastAsia="Cambria" w:hAnsi="Calibri"/>
          <w:sz w:val="20"/>
          <w:szCs w:val="20"/>
          <w:lang w:val="en-GB"/>
        </w:rPr>
        <w:t xml:space="preserve"> i) clarif</w:t>
      </w:r>
      <w:r>
        <w:rPr>
          <w:rFonts w:ascii="Calibri" w:eastAsia="Cambria" w:hAnsi="Calibri"/>
          <w:sz w:val="20"/>
          <w:szCs w:val="20"/>
          <w:lang w:val="en-GB"/>
        </w:rPr>
        <w:t>y</w:t>
      </w:r>
      <w:r w:rsidRPr="005F3825">
        <w:rPr>
          <w:rFonts w:ascii="Calibri" w:eastAsia="Cambria" w:hAnsi="Calibri"/>
          <w:sz w:val="20"/>
          <w:szCs w:val="20"/>
          <w:lang w:val="en-GB"/>
        </w:rPr>
        <w:t xml:space="preserve"> the financial needs to be met to carry out the activities proposed in the management plan and ii) identif</w:t>
      </w:r>
      <w:r>
        <w:rPr>
          <w:rFonts w:ascii="Calibri" w:eastAsia="Cambria" w:hAnsi="Calibri"/>
          <w:sz w:val="20"/>
          <w:szCs w:val="20"/>
          <w:lang w:val="en-GB"/>
        </w:rPr>
        <w:t>y</w:t>
      </w:r>
      <w:r w:rsidRPr="005F3825">
        <w:rPr>
          <w:rFonts w:ascii="Calibri" w:eastAsia="Cambria" w:hAnsi="Calibri"/>
          <w:sz w:val="20"/>
          <w:szCs w:val="20"/>
          <w:lang w:val="en-GB"/>
        </w:rPr>
        <w:t xml:space="preserve"> potential revenue sources and innovative financing opportunities for protected areas to meet these needs. </w:t>
      </w:r>
      <w:r>
        <w:rPr>
          <w:rFonts w:ascii="Calibri" w:eastAsia="Cambria" w:hAnsi="Calibri"/>
          <w:sz w:val="20"/>
          <w:szCs w:val="20"/>
          <w:lang w:val="en-GB"/>
        </w:rPr>
        <w:t>It will include</w:t>
      </w:r>
      <w:r w:rsidRPr="005F3825">
        <w:rPr>
          <w:rFonts w:ascii="Calibri" w:eastAsia="Cambria" w:hAnsi="Calibri"/>
          <w:sz w:val="20"/>
          <w:szCs w:val="20"/>
          <w:lang w:val="en-GB"/>
        </w:rPr>
        <w:t xml:space="preserve"> targeted and clear </w:t>
      </w:r>
      <w:r>
        <w:rPr>
          <w:rFonts w:ascii="Calibri" w:eastAsia="Cambria" w:hAnsi="Calibri"/>
          <w:sz w:val="20"/>
          <w:szCs w:val="20"/>
          <w:lang w:val="en-GB"/>
        </w:rPr>
        <w:t>t</w:t>
      </w:r>
      <w:r w:rsidRPr="005F3825">
        <w:rPr>
          <w:rFonts w:ascii="Calibri" w:eastAsia="Cambria" w:hAnsi="Calibri"/>
          <w:sz w:val="20"/>
          <w:szCs w:val="20"/>
          <w:lang w:val="en-GB"/>
        </w:rPr>
        <w:t xml:space="preserve">argets to guide </w:t>
      </w:r>
      <w:r>
        <w:rPr>
          <w:rFonts w:ascii="Calibri" w:eastAsia="Cambria" w:hAnsi="Calibri"/>
          <w:sz w:val="20"/>
          <w:szCs w:val="20"/>
          <w:lang w:val="en-GB"/>
        </w:rPr>
        <w:t>its</w:t>
      </w:r>
      <w:r w:rsidRPr="005F3825">
        <w:rPr>
          <w:rFonts w:ascii="Calibri" w:eastAsia="Cambria" w:hAnsi="Calibri"/>
          <w:sz w:val="20"/>
          <w:szCs w:val="20"/>
          <w:lang w:val="en-GB"/>
        </w:rPr>
        <w:t xml:space="preserve"> implementation</w:t>
      </w:r>
      <w:r>
        <w:rPr>
          <w:rFonts w:ascii="Calibri" w:eastAsia="Cambria" w:hAnsi="Calibri"/>
          <w:sz w:val="20"/>
          <w:szCs w:val="20"/>
          <w:lang w:val="en-GB"/>
        </w:rPr>
        <w:t>.</w:t>
      </w:r>
      <w:r w:rsidRPr="005F3825">
        <w:rPr>
          <w:rFonts w:ascii="Calibri" w:eastAsia="Cambria" w:hAnsi="Calibri"/>
          <w:sz w:val="20"/>
          <w:szCs w:val="20"/>
          <w:lang w:val="en-GB"/>
        </w:rPr>
        <w:t xml:space="preserve"> </w:t>
      </w:r>
      <w:r>
        <w:rPr>
          <w:rFonts w:ascii="Calibri" w:eastAsia="Cambria" w:hAnsi="Calibri"/>
          <w:sz w:val="20"/>
          <w:szCs w:val="20"/>
          <w:lang w:val="en-GB"/>
        </w:rPr>
        <w:t>These targets</w:t>
      </w:r>
      <w:r w:rsidRPr="005F3825">
        <w:rPr>
          <w:rFonts w:ascii="Calibri" w:eastAsia="Cambria" w:hAnsi="Calibri"/>
          <w:sz w:val="20"/>
          <w:szCs w:val="20"/>
          <w:lang w:val="en-GB"/>
        </w:rPr>
        <w:t xml:space="preserve"> will take into account the integration of </w:t>
      </w:r>
      <w:r>
        <w:rPr>
          <w:rFonts w:ascii="Calibri" w:eastAsia="Cambria" w:hAnsi="Calibri"/>
          <w:sz w:val="20"/>
          <w:szCs w:val="20"/>
          <w:lang w:val="en-GB"/>
        </w:rPr>
        <w:t xml:space="preserve">the </w:t>
      </w:r>
      <w:r w:rsidRPr="005F3825">
        <w:rPr>
          <w:rFonts w:ascii="Calibri" w:eastAsia="Cambria" w:hAnsi="Calibri"/>
          <w:sz w:val="20"/>
          <w:szCs w:val="20"/>
          <w:lang w:val="en-GB"/>
        </w:rPr>
        <w:t xml:space="preserve">protected areas </w:t>
      </w:r>
      <w:r>
        <w:rPr>
          <w:rFonts w:ascii="Calibri" w:eastAsia="Cambria" w:hAnsi="Calibri"/>
          <w:sz w:val="20"/>
          <w:szCs w:val="20"/>
          <w:lang w:val="en-GB"/>
        </w:rPr>
        <w:t xml:space="preserve">into </w:t>
      </w:r>
      <w:r w:rsidRPr="005F3825">
        <w:rPr>
          <w:rFonts w:ascii="Calibri" w:eastAsia="Cambria" w:hAnsi="Calibri"/>
          <w:sz w:val="20"/>
          <w:szCs w:val="20"/>
          <w:lang w:val="en-GB"/>
        </w:rPr>
        <w:t>the landscape and the ecosystem goods and services they provide.</w:t>
      </w:r>
    </w:p>
    <w:p w14:paraId="177F44DB" w14:textId="7246B8EA" w:rsidR="00302BFE" w:rsidRDefault="00302BFE" w:rsidP="00302BFE">
      <w:pPr>
        <w:spacing w:before="120" w:after="120"/>
        <w:rPr>
          <w:i/>
          <w:color w:val="4472C4"/>
          <w:szCs w:val="20"/>
          <w:lang w:val="en-GB"/>
        </w:rPr>
      </w:pPr>
      <w:r w:rsidRPr="005F3825">
        <w:rPr>
          <w:i/>
          <w:color w:val="4472C4"/>
          <w:szCs w:val="20"/>
          <w:lang w:val="en-GB"/>
        </w:rPr>
        <w:t xml:space="preserve">2.2.3 Collaborative management agreements for State PAs and support to collaborative management committees </w:t>
      </w:r>
    </w:p>
    <w:p w14:paraId="1E30CADE" w14:textId="3E52C04C" w:rsidR="001F23E3" w:rsidRPr="00BE65D5" w:rsidRDefault="001F23E3" w:rsidP="00302BFE">
      <w:pPr>
        <w:spacing w:before="120" w:after="120"/>
        <w:rPr>
          <w:iCs/>
          <w:color w:val="4472C4"/>
          <w:szCs w:val="20"/>
          <w:lang w:val="en-GB"/>
        </w:rPr>
      </w:pPr>
      <w:r w:rsidRPr="003F4704">
        <w:rPr>
          <w:iCs/>
          <w:color w:val="4472C4"/>
          <w:szCs w:val="20"/>
          <w:highlight w:val="green"/>
          <w:lang w:val="en-GB"/>
        </w:rPr>
        <w:t>For this activity, the FPIC (Free, Prior and Informed Consent) process has to be ensured</w:t>
      </w:r>
    </w:p>
    <w:p w14:paraId="08813930" w14:textId="5519FF59" w:rsidR="00302BFE" w:rsidRPr="00D75FF6"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5F3825">
        <w:rPr>
          <w:rFonts w:ascii="Calibri" w:eastAsia="Cambria" w:hAnsi="Calibri"/>
          <w:sz w:val="20"/>
          <w:szCs w:val="20"/>
          <w:u w:val="single"/>
          <w:lang w:val="en-GB"/>
        </w:rPr>
        <w:t>Voluntary agreements</w:t>
      </w:r>
      <w:r w:rsidRPr="005F3825">
        <w:rPr>
          <w:rFonts w:ascii="Calibri" w:hAnsi="Calibri"/>
          <w:sz w:val="20"/>
          <w:szCs w:val="20"/>
          <w:lang w:val="en-GB"/>
        </w:rPr>
        <w:t xml:space="preserve">. The project will support meetings with communities bordering PAs including corridors, to </w:t>
      </w:r>
      <w:r>
        <w:rPr>
          <w:rFonts w:ascii="Calibri" w:hAnsi="Calibri"/>
          <w:sz w:val="20"/>
          <w:szCs w:val="20"/>
          <w:lang w:val="en-GB"/>
        </w:rPr>
        <w:t>raise</w:t>
      </w:r>
      <w:r w:rsidRPr="005F3825">
        <w:rPr>
          <w:rFonts w:ascii="Calibri" w:hAnsi="Calibri"/>
          <w:sz w:val="20"/>
          <w:szCs w:val="20"/>
          <w:lang w:val="en-GB"/>
        </w:rPr>
        <w:t xml:space="preserve"> the</w:t>
      </w:r>
      <w:r>
        <w:rPr>
          <w:rFonts w:ascii="Calibri" w:hAnsi="Calibri"/>
          <w:sz w:val="20"/>
          <w:szCs w:val="20"/>
          <w:lang w:val="en-GB"/>
        </w:rPr>
        <w:t>ir awareness</w:t>
      </w:r>
      <w:r w:rsidRPr="005F3825">
        <w:rPr>
          <w:rFonts w:ascii="Calibri" w:hAnsi="Calibri"/>
          <w:sz w:val="20"/>
          <w:szCs w:val="20"/>
          <w:lang w:val="en-GB"/>
        </w:rPr>
        <w:t xml:space="preserve"> </w:t>
      </w:r>
      <w:r>
        <w:rPr>
          <w:rFonts w:ascii="Calibri" w:hAnsi="Calibri"/>
          <w:sz w:val="20"/>
          <w:szCs w:val="20"/>
          <w:lang w:val="en-GB"/>
        </w:rPr>
        <w:t>on</w:t>
      </w:r>
      <w:r w:rsidRPr="005F3825">
        <w:rPr>
          <w:rFonts w:ascii="Calibri" w:hAnsi="Calibri"/>
          <w:sz w:val="20"/>
          <w:szCs w:val="20"/>
          <w:lang w:val="en-GB"/>
        </w:rPr>
        <w:t xml:space="preserve"> the importance of biodiversity and </w:t>
      </w:r>
      <w:r>
        <w:rPr>
          <w:rFonts w:ascii="Calibri" w:hAnsi="Calibri"/>
          <w:sz w:val="20"/>
          <w:szCs w:val="20"/>
          <w:lang w:val="en-GB"/>
        </w:rPr>
        <w:t xml:space="preserve">on </w:t>
      </w:r>
      <w:r w:rsidRPr="005F3825">
        <w:rPr>
          <w:rFonts w:ascii="Calibri" w:hAnsi="Calibri"/>
          <w:sz w:val="20"/>
          <w:szCs w:val="20"/>
          <w:lang w:val="en-GB"/>
        </w:rPr>
        <w:t xml:space="preserve">medium and long term benefits related to </w:t>
      </w:r>
      <w:r>
        <w:rPr>
          <w:rFonts w:ascii="Calibri" w:hAnsi="Calibri"/>
          <w:sz w:val="20"/>
          <w:szCs w:val="20"/>
          <w:lang w:val="en-GB"/>
        </w:rPr>
        <w:t>its</w:t>
      </w:r>
      <w:r w:rsidRPr="005F3825">
        <w:rPr>
          <w:rFonts w:ascii="Calibri" w:hAnsi="Calibri"/>
          <w:sz w:val="20"/>
          <w:szCs w:val="20"/>
          <w:lang w:val="en-GB"/>
        </w:rPr>
        <w:t xml:space="preserve"> conservation, to promote their commitment to the collaborative management process, to inform them of the role that is expected of them, the benefits and responsibilities that this entails, to collect their expectations and concerns and </w:t>
      </w:r>
      <w:r>
        <w:rPr>
          <w:rFonts w:ascii="Calibri" w:hAnsi="Calibri"/>
          <w:sz w:val="20"/>
          <w:szCs w:val="20"/>
          <w:lang w:val="en-GB"/>
        </w:rPr>
        <w:t>verifying</w:t>
      </w:r>
      <w:r w:rsidRPr="005F3825">
        <w:rPr>
          <w:rFonts w:ascii="Calibri" w:hAnsi="Calibri"/>
          <w:sz w:val="20"/>
          <w:szCs w:val="20"/>
          <w:lang w:val="en-GB"/>
        </w:rPr>
        <w:t xml:space="preserve"> their interest in engaging in </w:t>
      </w:r>
      <w:r>
        <w:rPr>
          <w:rFonts w:ascii="Calibri" w:hAnsi="Calibri"/>
          <w:sz w:val="20"/>
          <w:szCs w:val="20"/>
          <w:lang w:val="en-GB"/>
        </w:rPr>
        <w:t>it</w:t>
      </w:r>
      <w:r w:rsidRPr="005F3825">
        <w:rPr>
          <w:rFonts w:ascii="Calibri" w:hAnsi="Calibri"/>
          <w:sz w:val="20"/>
          <w:szCs w:val="20"/>
          <w:lang w:val="en-GB"/>
        </w:rPr>
        <w:t xml:space="preserve">. It will be important to give the time and resources needed for these outreach meetings to enable communities to engage in the collaborative management process in a fully informed, fully voluntary way and without inappropriate/undue expectation. The involvement of traditional chiefs will be essential to facilitate this step of </w:t>
      </w:r>
      <w:r>
        <w:rPr>
          <w:rFonts w:ascii="Calibri" w:hAnsi="Calibri"/>
          <w:sz w:val="20"/>
          <w:szCs w:val="20"/>
          <w:lang w:val="en-GB"/>
        </w:rPr>
        <w:t>raising awareness</w:t>
      </w:r>
      <w:r w:rsidRPr="005F3825">
        <w:rPr>
          <w:rFonts w:ascii="Calibri" w:hAnsi="Calibri"/>
          <w:sz w:val="20"/>
          <w:szCs w:val="20"/>
          <w:lang w:val="en-GB"/>
        </w:rPr>
        <w:t xml:space="preserve"> and informing the riparian communities. A letter of voluntary agreement will be signed by the authorities of each village to indicate their consent to participate in </w:t>
      </w:r>
      <w:r w:rsidR="006F0042">
        <w:rPr>
          <w:rFonts w:ascii="Calibri" w:hAnsi="Calibri"/>
          <w:sz w:val="20"/>
          <w:szCs w:val="20"/>
          <w:lang w:val="en-GB"/>
        </w:rPr>
        <w:t xml:space="preserve">the </w:t>
      </w:r>
      <w:r w:rsidRPr="005F3825">
        <w:rPr>
          <w:rFonts w:ascii="Calibri" w:hAnsi="Calibri"/>
          <w:sz w:val="20"/>
          <w:szCs w:val="20"/>
          <w:lang w:val="en-GB"/>
        </w:rPr>
        <w:t xml:space="preserve">project activities </w:t>
      </w:r>
      <w:r w:rsidR="006F0042">
        <w:rPr>
          <w:rFonts w:ascii="Calibri" w:hAnsi="Calibri"/>
          <w:sz w:val="20"/>
          <w:szCs w:val="20"/>
          <w:lang w:val="en-GB"/>
        </w:rPr>
        <w:t>aiming at</w:t>
      </w:r>
      <w:r w:rsidRPr="005F3825">
        <w:rPr>
          <w:rFonts w:ascii="Calibri" w:hAnsi="Calibri"/>
          <w:sz w:val="20"/>
          <w:szCs w:val="20"/>
          <w:lang w:val="en-GB"/>
        </w:rPr>
        <w:t xml:space="preserve"> implement</w:t>
      </w:r>
      <w:r w:rsidR="006F0042">
        <w:rPr>
          <w:rFonts w:ascii="Calibri" w:hAnsi="Calibri"/>
          <w:sz w:val="20"/>
          <w:szCs w:val="20"/>
          <w:lang w:val="en-GB"/>
        </w:rPr>
        <w:t>ing</w:t>
      </w:r>
      <w:r w:rsidRPr="005F3825">
        <w:rPr>
          <w:rFonts w:ascii="Calibri" w:hAnsi="Calibri"/>
          <w:sz w:val="20"/>
          <w:szCs w:val="20"/>
          <w:lang w:val="en-GB"/>
        </w:rPr>
        <w:t xml:space="preserve"> a collaborative management of PAs when they </w:t>
      </w:r>
      <w:r w:rsidR="006F0042">
        <w:rPr>
          <w:rFonts w:ascii="Calibri" w:hAnsi="Calibri"/>
          <w:sz w:val="20"/>
          <w:szCs w:val="20"/>
          <w:lang w:val="en-GB"/>
        </w:rPr>
        <w:t>consider that</w:t>
      </w:r>
      <w:r w:rsidRPr="005F3825">
        <w:rPr>
          <w:rFonts w:ascii="Calibri" w:hAnsi="Calibri"/>
          <w:sz w:val="20"/>
          <w:szCs w:val="20"/>
          <w:lang w:val="en-GB"/>
        </w:rPr>
        <w:t xml:space="preserve"> they have sufficient information and that the conditions are adequate.</w:t>
      </w:r>
      <w:r w:rsidR="000B0AA1">
        <w:rPr>
          <w:rFonts w:ascii="Calibri" w:hAnsi="Calibri"/>
          <w:sz w:val="20"/>
          <w:szCs w:val="20"/>
          <w:lang w:val="en-GB"/>
        </w:rPr>
        <w:t xml:space="preserve"> </w:t>
      </w:r>
      <w:r w:rsidR="000B0AA1" w:rsidRPr="00A63E29">
        <w:rPr>
          <w:rFonts w:ascii="Calibri" w:hAnsi="Calibri"/>
          <w:sz w:val="20"/>
          <w:szCs w:val="20"/>
          <w:lang w:val="en-GB"/>
        </w:rPr>
        <w:t>COVID security guidelines and measures will be carefully respected during all meetings.</w:t>
      </w:r>
      <w:r w:rsidR="000B0AA1" w:rsidRPr="00D75FF6">
        <w:rPr>
          <w:rFonts w:ascii="Calibri" w:hAnsi="Calibri"/>
          <w:sz w:val="20"/>
          <w:szCs w:val="20"/>
          <w:lang w:val="en-GB"/>
        </w:rPr>
        <w:t xml:space="preserve"> </w:t>
      </w:r>
    </w:p>
    <w:p w14:paraId="607B9FAE" w14:textId="77777777" w:rsidR="00302BFE" w:rsidRPr="006F0042"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6F0042">
        <w:rPr>
          <w:rFonts w:ascii="Calibri" w:eastAsia="Cambria" w:hAnsi="Calibri"/>
          <w:sz w:val="20"/>
          <w:szCs w:val="20"/>
          <w:u w:val="single"/>
          <w:lang w:val="en-GB"/>
        </w:rPr>
        <w:t>Collaborative management agreement template</w:t>
      </w:r>
      <w:r w:rsidRPr="006F0042">
        <w:rPr>
          <w:rFonts w:ascii="Calibri" w:hAnsi="Calibri"/>
          <w:sz w:val="20"/>
          <w:szCs w:val="20"/>
          <w:lang w:val="en-GB"/>
        </w:rPr>
        <w:t>. A general model of collaborative management agreement between each of the village communities neighbouring the PAs, the PA management unit and other stakeholders will be developed in which the actors recognize the legitimacy of their respective rights to participate in the management of the PA following specific conservation objectives. This model will be developed in close collaboration with the institutions in charge of the PAs.</w:t>
      </w:r>
      <w:r w:rsidR="00547E31" w:rsidRPr="006F0042">
        <w:rPr>
          <w:rFonts w:ascii="Calibri" w:hAnsi="Calibri"/>
          <w:sz w:val="20"/>
          <w:szCs w:val="20"/>
          <w:lang w:val="en-GB"/>
        </w:rPr>
        <w:t xml:space="preserve"> A legal consultant will review the co-management model in close collaboration with the community mobilization specialist to ensure consistency with the legislative framework.</w:t>
      </w:r>
    </w:p>
    <w:p w14:paraId="01A9CDBA" w14:textId="77777777" w:rsidR="00302BFE" w:rsidRPr="005F382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5F3825">
        <w:rPr>
          <w:rFonts w:ascii="Calibri" w:hAnsi="Calibri"/>
          <w:sz w:val="20"/>
          <w:szCs w:val="20"/>
          <w:lang w:val="en-GB"/>
        </w:rPr>
        <w:t xml:space="preserve">In addition to presenting all management arrangements for the PA, Collaborative Management Agreements should specify: (i) the spatial scope of the agreements (regarding access and resource use rights and surveillance and monitoring activities), i.e. specifying the areas in the PA and the buffer zone that are covered by a specific agreement with a village community, (ii) the regulation of the use of resources, </w:t>
      </w:r>
      <w:r w:rsidR="006F44E8" w:rsidRPr="005F3825">
        <w:rPr>
          <w:rFonts w:ascii="Calibri" w:hAnsi="Calibri"/>
          <w:sz w:val="20"/>
          <w:szCs w:val="20"/>
          <w:lang w:val="en-GB"/>
        </w:rPr>
        <w:t>i.e.</w:t>
      </w:r>
      <w:r w:rsidRPr="005F3825">
        <w:rPr>
          <w:rFonts w:ascii="Calibri" w:hAnsi="Calibri"/>
          <w:sz w:val="20"/>
          <w:szCs w:val="20"/>
          <w:lang w:val="en-GB"/>
        </w:rPr>
        <w:t xml:space="preserve"> which resources can be used / harvested and the conditions under which traditional uses may be exercised by community members (e.g., what, how, in what quantity and when), which will have to comply with the national regulations in force, in particular the Forest Code and its regulations, and legislation for the protection of wildlife, (iii) their role in the surveillance and monitoring these uses, and a protocol of communication with village authorities and PA managers in the event of an accident or violation of agreements by a community member or an outsider, (iv) conflict resolution with the support of the authorities and the police) and the imposed sanctions (which will have to be uniform between the PAs of the PONASI complex) in the cases of unresolved conflict and violation of the agreements, (v) their participation in the assessment of PA management.</w:t>
      </w:r>
    </w:p>
    <w:p w14:paraId="6A46012E" w14:textId="77777777" w:rsidR="00302BFE" w:rsidRPr="005F382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5F3825">
        <w:rPr>
          <w:rFonts w:ascii="Calibri" w:eastAsia="Cambria" w:hAnsi="Calibri"/>
          <w:sz w:val="20"/>
          <w:szCs w:val="20"/>
          <w:u w:val="single"/>
          <w:lang w:val="en-GB"/>
        </w:rPr>
        <w:t>Negotiations and development of collaborative management agreements</w:t>
      </w:r>
      <w:r w:rsidRPr="005F3825">
        <w:rPr>
          <w:rFonts w:ascii="Calibri" w:hAnsi="Calibri"/>
          <w:sz w:val="20"/>
          <w:szCs w:val="20"/>
          <w:lang w:val="en-GB"/>
        </w:rPr>
        <w:t xml:space="preserve">. Collective management arrangements for PAs at village or village group level will be developed with community associations of PA riparian villages to be implemented by parties to the agreement. The agreements will be developed in accordance with the template following the preliminary steps of information / sensitization of the communities and voluntary agreement as specified previously, (ii) the designation by the local communities of the PAs of members of their community who will be in charge of negotiating in their behalf collaborative management agreements with the support of community mobilization agents; (iii) the negotiation of collaborative management agreements between communities bordering the PAs, the PA management units and the administrative authorities responsible for the environment, which will ensure the consistency of the rules of collaboration on the use of resources with the national regulations ; (iv) the deposit of a copy of the collaborative management agreement in the village in a place accessible for free consultation by any member of the community. At each site, the Community Mobilization Specialist will support the operations of the PA Collaborative Management Committee by providing training to community representatives on their role and responsibilities in terms of consultation, information sharing and </w:t>
      </w:r>
      <w:r w:rsidRPr="005F3825">
        <w:rPr>
          <w:rFonts w:ascii="Calibri" w:hAnsi="Calibri"/>
          <w:sz w:val="20"/>
          <w:szCs w:val="20"/>
          <w:lang w:val="en-GB"/>
        </w:rPr>
        <w:lastRenderedPageBreak/>
        <w:t>representation of their interests, and supporting them throughout the negotiations to define collaborative management arrangements and in regular operations.</w:t>
      </w:r>
    </w:p>
    <w:p w14:paraId="1AA82CCA" w14:textId="58868CDA" w:rsidR="00302BFE" w:rsidRDefault="00302BFE" w:rsidP="00302BFE">
      <w:pPr>
        <w:spacing w:before="120" w:after="120"/>
        <w:rPr>
          <w:rFonts w:eastAsia="Cambria"/>
          <w:i/>
          <w:color w:val="4472C4"/>
          <w:szCs w:val="20"/>
          <w:lang w:val="en-GB"/>
        </w:rPr>
      </w:pPr>
      <w:r w:rsidRPr="005F3825">
        <w:rPr>
          <w:rFonts w:eastAsia="Cambria"/>
          <w:i/>
          <w:color w:val="4472C4"/>
          <w:szCs w:val="20"/>
          <w:lang w:val="en-GB"/>
        </w:rPr>
        <w:t>2.2.4 Long-term ecological monitoring system at the landscape and individual PAs levels</w:t>
      </w:r>
    </w:p>
    <w:p w14:paraId="781559A0" w14:textId="6347E770" w:rsidR="001F23E3" w:rsidRPr="00BE65D5" w:rsidRDefault="001F23E3" w:rsidP="00302BFE">
      <w:pPr>
        <w:spacing w:before="120" w:after="120"/>
        <w:rPr>
          <w:iCs/>
          <w:color w:val="4472C4"/>
          <w:szCs w:val="20"/>
          <w:lang w:val="en-GB"/>
        </w:rPr>
      </w:pPr>
      <w:r w:rsidRPr="003F4704">
        <w:rPr>
          <w:iCs/>
          <w:color w:val="4472C4"/>
          <w:szCs w:val="20"/>
          <w:highlight w:val="green"/>
          <w:lang w:val="en-GB"/>
        </w:rPr>
        <w:t>For this activity, the FPIC (Free, Prior and Informed Consent) process has to be ensured</w:t>
      </w:r>
    </w:p>
    <w:p w14:paraId="40CAEF9D" w14:textId="517828F6" w:rsidR="00302BFE" w:rsidRPr="005F3825" w:rsidRDefault="00302BFE" w:rsidP="00302BFE">
      <w:pPr>
        <w:spacing w:before="120" w:after="120"/>
        <w:ind w:left="502"/>
        <w:rPr>
          <w:rFonts w:eastAsia="Cambria"/>
          <w:i/>
          <w:color w:val="4472C4"/>
          <w:szCs w:val="20"/>
          <w:lang w:val="en-GB"/>
        </w:rPr>
      </w:pPr>
      <w:r w:rsidRPr="005F3825">
        <w:rPr>
          <w:rFonts w:eastAsia="Cambria"/>
          <w:i/>
          <w:color w:val="4472C4"/>
          <w:szCs w:val="20"/>
          <w:lang w:val="en-GB"/>
        </w:rPr>
        <w:t xml:space="preserve">a. Development of a </w:t>
      </w:r>
      <w:r w:rsidR="00B1378C">
        <w:rPr>
          <w:rFonts w:eastAsia="Cambria"/>
          <w:i/>
          <w:color w:val="4472C4"/>
          <w:szCs w:val="20"/>
          <w:lang w:val="en-GB"/>
        </w:rPr>
        <w:t>monitoring</w:t>
      </w:r>
      <w:r w:rsidRPr="005F3825">
        <w:rPr>
          <w:rFonts w:eastAsia="Cambria"/>
          <w:i/>
          <w:color w:val="4472C4"/>
          <w:szCs w:val="20"/>
          <w:lang w:val="en-GB"/>
        </w:rPr>
        <w:t xml:space="preserve"> program to support the adaptive management of PAs including wildlife corridors and ZOVICs at site and complex levels</w:t>
      </w:r>
    </w:p>
    <w:p w14:paraId="445736A6" w14:textId="13F3C38C" w:rsidR="00302BFE" w:rsidRPr="005F382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5F3825">
        <w:rPr>
          <w:rFonts w:ascii="Calibri" w:eastAsia="Cambria" w:hAnsi="Calibri"/>
          <w:sz w:val="20"/>
          <w:szCs w:val="20"/>
          <w:u w:val="single"/>
          <w:lang w:val="en-GB"/>
        </w:rPr>
        <w:t>Indicators</w:t>
      </w:r>
      <w:r w:rsidRPr="005F3825">
        <w:rPr>
          <w:rFonts w:ascii="Calibri" w:eastAsia="Cambria" w:hAnsi="Calibri"/>
          <w:sz w:val="20"/>
          <w:szCs w:val="20"/>
          <w:lang w:val="en-GB"/>
        </w:rPr>
        <w:t xml:space="preserve">. In addition to the indicators identified in the Strategic Results Framework for monitoring progress toward objectives and outcomes, the project will support the identification of indicators for the long-term monitoring of biodiversity and ecosystem services for each of the PAs and for the complex of PAs as a whole. Biodiversity indicators will include landscape-level indicators of biodiversity, such as the elephant population, and indicators to reflect the specificity of each PA, according to their specific conservation objectives. </w:t>
      </w:r>
      <w:r w:rsidRPr="00D72908">
        <w:rPr>
          <w:rFonts w:ascii="Calibri" w:eastAsia="Cambria" w:hAnsi="Calibri"/>
          <w:sz w:val="20"/>
          <w:szCs w:val="20"/>
          <w:lang w:val="en-GB"/>
        </w:rPr>
        <w:t>The indicators will enable the monitoring of the targeted elements of biodiversity</w:t>
      </w:r>
      <w:r w:rsidR="00EE15F9" w:rsidRPr="00D72908">
        <w:rPr>
          <w:rFonts w:ascii="Calibri" w:eastAsia="Cambria" w:hAnsi="Calibri"/>
          <w:sz w:val="20"/>
          <w:szCs w:val="20"/>
          <w:lang w:val="en-GB"/>
        </w:rPr>
        <w:t xml:space="preserve"> (namely animal species targeted by hunting</w:t>
      </w:r>
      <w:r w:rsidR="00EE15F9">
        <w:rPr>
          <w:rFonts w:ascii="Calibri" w:eastAsia="Cambria" w:hAnsi="Calibri"/>
          <w:sz w:val="20"/>
          <w:szCs w:val="20"/>
          <w:lang w:val="en-GB"/>
        </w:rPr>
        <w:t>)</w:t>
      </w:r>
      <w:r w:rsidRPr="005F3825">
        <w:rPr>
          <w:rFonts w:ascii="Calibri" w:eastAsia="Cambria" w:hAnsi="Calibri"/>
          <w:sz w:val="20"/>
          <w:szCs w:val="20"/>
          <w:lang w:val="en-GB"/>
        </w:rPr>
        <w:t xml:space="preserve"> but also the monitoring of the main threats that affect them. The monitoring program will include socio-economic indicators to assess the impact of PAs on the quality of life of the riparian village communities. The scores for each PA, for which the baseline situation was established during project preparation, will be determined using the GEF tracking tool on PA management effectiveness.</w:t>
      </w:r>
    </w:p>
    <w:p w14:paraId="60D84543" w14:textId="77777777" w:rsidR="00302BFE" w:rsidRPr="005F382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5F3825">
        <w:rPr>
          <w:rFonts w:ascii="Calibri" w:eastAsia="Cambria" w:hAnsi="Calibri"/>
          <w:sz w:val="20"/>
          <w:szCs w:val="20"/>
          <w:u w:val="single"/>
          <w:lang w:val="en-GB"/>
        </w:rPr>
        <w:t>Identification tools.</w:t>
      </w:r>
      <w:r w:rsidRPr="005F3825">
        <w:rPr>
          <w:rFonts w:ascii="Calibri" w:eastAsia="Cambria" w:hAnsi="Calibri"/>
          <w:sz w:val="20"/>
          <w:szCs w:val="20"/>
          <w:lang w:val="en-GB"/>
        </w:rPr>
        <w:t xml:space="preserve"> Numerous articles and monographs have been published on fauna and flora of Burkina Faso (photo albums for 32 species of fauna and 37 species of flora available on the website of the Center for Information Exchange on Biological Diversity of Burkina Faso, the catalog of vascular plants of Burkina Faso which totals 2,067 species, the guide of the birds of West Africa, and a guide of the shrub species of Burkina Faso to name but a few. Practical and concise illustrated guides in the form of booklets or identification sheets will be developed from the literature to facilitate the identification and monitoring of biodiversity in PAs, for all participants in the monitoring program, including visitors to PAs. These tools will be useful to support the training of the actors involved in the monitoring. Scientists who are partners of the project will be involved. These guides may also be sold to visitors in the reception kiosks of the PAs.</w:t>
      </w:r>
    </w:p>
    <w:p w14:paraId="63E5F5B4" w14:textId="4C93F01E" w:rsidR="00302BFE" w:rsidRPr="005F382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99310D">
        <w:rPr>
          <w:rFonts w:ascii="Calibri" w:eastAsia="Cambria" w:hAnsi="Calibri"/>
          <w:sz w:val="20"/>
          <w:szCs w:val="20"/>
          <w:u w:val="single"/>
          <w:lang w:val="en-GB"/>
        </w:rPr>
        <w:t>Monitoring program and protocols.</w:t>
      </w:r>
      <w:r w:rsidRPr="0099310D">
        <w:rPr>
          <w:rFonts w:ascii="Calibri" w:eastAsia="Cambria" w:hAnsi="Calibri"/>
          <w:sz w:val="20"/>
          <w:szCs w:val="20"/>
          <w:lang w:val="en-GB"/>
        </w:rPr>
        <w:t xml:space="preserve"> Monitoring programs</w:t>
      </w:r>
      <w:r w:rsidR="0024363F" w:rsidRPr="0099310D">
        <w:rPr>
          <w:rFonts w:ascii="Calibri" w:eastAsia="Cambria" w:hAnsi="Calibri"/>
          <w:sz w:val="20"/>
          <w:szCs w:val="20"/>
          <w:lang w:val="en-GB"/>
        </w:rPr>
        <w:t xml:space="preserve"> only exist in the Nazinga GR and </w:t>
      </w:r>
      <w:r w:rsidRPr="0099310D">
        <w:rPr>
          <w:rFonts w:ascii="Calibri" w:eastAsia="Cambria" w:hAnsi="Calibri"/>
          <w:sz w:val="20"/>
          <w:szCs w:val="20"/>
          <w:lang w:val="en-GB"/>
        </w:rPr>
        <w:t xml:space="preserve">are limited to monitoring species of interest for hunting. </w:t>
      </w:r>
      <w:r w:rsidR="00AD6477" w:rsidRPr="0099310D">
        <w:rPr>
          <w:rFonts w:ascii="Calibri" w:eastAsia="Cambria" w:hAnsi="Calibri"/>
          <w:sz w:val="20"/>
          <w:szCs w:val="20"/>
          <w:lang w:val="en-GB"/>
        </w:rPr>
        <w:t xml:space="preserve">The project will strengthen the monitoring program in the NGR and </w:t>
      </w:r>
      <w:r w:rsidR="00D72908" w:rsidRPr="0099310D">
        <w:rPr>
          <w:rFonts w:ascii="Calibri" w:eastAsia="Cambria" w:hAnsi="Calibri"/>
          <w:sz w:val="20"/>
          <w:szCs w:val="20"/>
          <w:lang w:val="en-GB"/>
        </w:rPr>
        <w:t xml:space="preserve">adapt it for the Sissili CF, ZOVICs to </w:t>
      </w:r>
      <w:r w:rsidR="00AD6477" w:rsidRPr="0099310D">
        <w:rPr>
          <w:rFonts w:ascii="Calibri" w:eastAsia="Cambria" w:hAnsi="Calibri"/>
          <w:sz w:val="20"/>
          <w:szCs w:val="20"/>
          <w:lang w:val="en-GB"/>
        </w:rPr>
        <w:t xml:space="preserve">ensure </w:t>
      </w:r>
      <w:r w:rsidR="00D72908" w:rsidRPr="0099310D">
        <w:rPr>
          <w:rFonts w:ascii="Calibri" w:eastAsia="Cambria" w:hAnsi="Calibri"/>
          <w:sz w:val="20"/>
          <w:szCs w:val="20"/>
          <w:lang w:val="en-GB"/>
        </w:rPr>
        <w:t>collected information</w:t>
      </w:r>
      <w:r w:rsidR="00AD6477" w:rsidRPr="0099310D">
        <w:rPr>
          <w:rFonts w:ascii="Calibri" w:eastAsia="Cambria" w:hAnsi="Calibri"/>
          <w:sz w:val="20"/>
          <w:szCs w:val="20"/>
          <w:lang w:val="en-GB"/>
        </w:rPr>
        <w:t xml:space="preserve"> </w:t>
      </w:r>
      <w:r w:rsidR="00F9543A" w:rsidRPr="0099310D">
        <w:rPr>
          <w:rFonts w:ascii="Calibri" w:eastAsia="Cambria" w:hAnsi="Calibri"/>
          <w:sz w:val="20"/>
          <w:szCs w:val="20"/>
          <w:lang w:val="en-GB"/>
        </w:rPr>
        <w:t xml:space="preserve">quality, </w:t>
      </w:r>
      <w:r w:rsidR="00D72908" w:rsidRPr="0099310D">
        <w:rPr>
          <w:rFonts w:ascii="Calibri" w:eastAsia="Cambria" w:hAnsi="Calibri"/>
          <w:sz w:val="20"/>
          <w:szCs w:val="20"/>
          <w:lang w:val="en-GB"/>
        </w:rPr>
        <w:t>coverage</w:t>
      </w:r>
      <w:r w:rsidR="00F9543A" w:rsidRPr="0099310D">
        <w:rPr>
          <w:rFonts w:ascii="Calibri" w:eastAsia="Cambria" w:hAnsi="Calibri"/>
          <w:sz w:val="20"/>
          <w:szCs w:val="20"/>
          <w:lang w:val="en-GB"/>
        </w:rPr>
        <w:t xml:space="preserve"> and comprehensiveness are adequate to </w:t>
      </w:r>
      <w:r w:rsidR="00AD6477" w:rsidRPr="0099310D">
        <w:rPr>
          <w:rFonts w:ascii="Calibri" w:eastAsia="Cambria" w:hAnsi="Calibri"/>
          <w:sz w:val="20"/>
          <w:szCs w:val="20"/>
          <w:lang w:val="en-GB"/>
        </w:rPr>
        <w:t xml:space="preserve">enable a rigorous assessment of </w:t>
      </w:r>
      <w:r w:rsidR="00F9543A" w:rsidRPr="0099310D">
        <w:rPr>
          <w:rFonts w:ascii="Calibri" w:eastAsia="Cambria" w:hAnsi="Calibri"/>
          <w:sz w:val="20"/>
          <w:szCs w:val="20"/>
          <w:lang w:val="en-GB"/>
        </w:rPr>
        <w:t xml:space="preserve">wildlife </w:t>
      </w:r>
      <w:r w:rsidR="00AD6477" w:rsidRPr="0099310D">
        <w:rPr>
          <w:rFonts w:ascii="Calibri" w:eastAsia="Cambria" w:hAnsi="Calibri"/>
          <w:sz w:val="20"/>
          <w:szCs w:val="20"/>
          <w:lang w:val="en-GB"/>
        </w:rPr>
        <w:t xml:space="preserve">populations’ </w:t>
      </w:r>
      <w:r w:rsidR="00F9543A" w:rsidRPr="0099310D">
        <w:rPr>
          <w:rFonts w:ascii="Calibri" w:eastAsia="Cambria" w:hAnsi="Calibri"/>
          <w:sz w:val="20"/>
          <w:szCs w:val="20"/>
          <w:lang w:val="en-GB"/>
        </w:rPr>
        <w:t>status and of pressure factors</w:t>
      </w:r>
      <w:r w:rsidR="00AD6477" w:rsidRPr="0099310D">
        <w:rPr>
          <w:rFonts w:ascii="Calibri" w:eastAsia="Cambria" w:hAnsi="Calibri"/>
          <w:sz w:val="20"/>
          <w:szCs w:val="20"/>
          <w:lang w:val="en-GB"/>
        </w:rPr>
        <w:t xml:space="preserve">, and extend it to encompass ZOVICs and the Sissili CF where hunting activities </w:t>
      </w:r>
      <w:r w:rsidR="00F9543A" w:rsidRPr="0099310D">
        <w:rPr>
          <w:rFonts w:ascii="Calibri" w:eastAsia="Cambria" w:hAnsi="Calibri"/>
          <w:sz w:val="20"/>
          <w:szCs w:val="20"/>
          <w:lang w:val="en-GB"/>
        </w:rPr>
        <w:t>are allowed and the PNKT where it is forbidden</w:t>
      </w:r>
      <w:r w:rsidR="00AD6477" w:rsidRPr="0099310D">
        <w:rPr>
          <w:rFonts w:ascii="Calibri" w:eastAsia="Cambria" w:hAnsi="Calibri"/>
          <w:sz w:val="20"/>
          <w:szCs w:val="20"/>
          <w:lang w:val="en-GB"/>
        </w:rPr>
        <w:t xml:space="preserve">. </w:t>
      </w:r>
      <w:r w:rsidRPr="0099310D">
        <w:rPr>
          <w:rFonts w:ascii="Calibri" w:eastAsia="Cambria" w:hAnsi="Calibri"/>
          <w:sz w:val="20"/>
          <w:szCs w:val="20"/>
          <w:lang w:val="en-GB"/>
        </w:rPr>
        <w:t>The project will support the development of an integrated monitoring program for the PA complex including indicators, appropriate measurement methodologies for each indicator (what, how, where, how often, by whom, recording) and establishment of stations, transects and permanent roads for monitoring. This program will be developed by a national expert in ecological monitoring with the</w:t>
      </w:r>
      <w:r w:rsidRPr="005F3825">
        <w:rPr>
          <w:rFonts w:ascii="Calibri" w:eastAsia="Cambria" w:hAnsi="Calibri"/>
          <w:sz w:val="20"/>
          <w:szCs w:val="20"/>
          <w:lang w:val="en-GB"/>
        </w:rPr>
        <w:t xml:space="preserve"> support of the Conservators of the PAs, scientific experts within the </w:t>
      </w:r>
      <w:r w:rsidRPr="006B576A">
        <w:rPr>
          <w:rFonts w:ascii="Calibri" w:eastAsia="Cambria" w:hAnsi="Calibri"/>
          <w:sz w:val="20"/>
          <w:szCs w:val="20"/>
          <w:lang w:val="en-GB"/>
        </w:rPr>
        <w:t>MEGECC</w:t>
      </w:r>
      <w:r w:rsidRPr="005F3825">
        <w:rPr>
          <w:rFonts w:ascii="Calibri" w:eastAsia="Cambria" w:hAnsi="Calibri"/>
          <w:sz w:val="20"/>
          <w:szCs w:val="20"/>
          <w:lang w:val="en-GB"/>
        </w:rPr>
        <w:t xml:space="preserve">, the University of Ouagadougou and NGOs / national associations involved in the monitoring of biodiversity. A version specific to each PA will be adapted to the conservation priorities of the PA and the prevailing pressure factors. When data are not available or outdated, necessary surveys will be carried out to identify the baseline values of the indicators. </w:t>
      </w:r>
    </w:p>
    <w:p w14:paraId="080FD67B" w14:textId="77777777" w:rsidR="00302BFE" w:rsidRPr="005F382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5F3825">
        <w:rPr>
          <w:rFonts w:ascii="Calibri" w:eastAsia="Cambria" w:hAnsi="Calibri"/>
          <w:sz w:val="20"/>
          <w:szCs w:val="20"/>
          <w:u w:val="single"/>
          <w:lang w:val="en-GB"/>
        </w:rPr>
        <w:t>Monitoring the impact of tourism.</w:t>
      </w:r>
      <w:r w:rsidRPr="005F3825">
        <w:rPr>
          <w:rFonts w:ascii="Calibri" w:eastAsia="Cambria" w:hAnsi="Calibri"/>
          <w:sz w:val="20"/>
          <w:szCs w:val="20"/>
          <w:lang w:val="en-GB"/>
        </w:rPr>
        <w:t xml:space="preserve"> Key sensitive / vulnerable resources will be identified for each PA (including local communities, cultural / religious / historical assets and biodiversity) and closely monitored in areas open to tourism, as part of the PA monitoring plan. The results will be disseminated to all entities involved in the management and supervision of the system and used to regulate access to specific PAs and sites within the PAs, to strengthen the application or to modify the regulations concerning the activities and the behaviour of tourists.</w:t>
      </w:r>
    </w:p>
    <w:p w14:paraId="62A3E939" w14:textId="77777777" w:rsidR="00302BFE" w:rsidRPr="005F3825" w:rsidRDefault="00302BFE" w:rsidP="00302BFE">
      <w:pPr>
        <w:spacing w:before="120" w:after="120"/>
        <w:rPr>
          <w:i/>
          <w:color w:val="4472C4"/>
          <w:szCs w:val="20"/>
          <w:lang w:val="en-GB"/>
        </w:rPr>
      </w:pPr>
      <w:r w:rsidRPr="005F3825">
        <w:rPr>
          <w:i/>
          <w:color w:val="4472C4"/>
          <w:szCs w:val="20"/>
          <w:lang w:val="en-GB"/>
        </w:rPr>
        <w:t>b. Implementation of the long-term ecological monitoring system</w:t>
      </w:r>
    </w:p>
    <w:p w14:paraId="453726EB" w14:textId="77777777" w:rsidR="00302BFE" w:rsidRPr="005F3825" w:rsidRDefault="00302BFE" w:rsidP="00C46720">
      <w:pPr>
        <w:pStyle w:val="Paragraphedeliste"/>
        <w:numPr>
          <w:ilvl w:val="0"/>
          <w:numId w:val="14"/>
        </w:numPr>
        <w:tabs>
          <w:tab w:val="left" w:pos="284"/>
        </w:tabs>
        <w:spacing w:before="120" w:after="120"/>
        <w:ind w:left="0" w:firstLine="0"/>
        <w:jc w:val="both"/>
        <w:rPr>
          <w:rFonts w:ascii="Calibri" w:eastAsia="Cambria" w:hAnsi="Calibri"/>
          <w:sz w:val="20"/>
          <w:szCs w:val="20"/>
          <w:lang w:val="en-GB"/>
        </w:rPr>
      </w:pPr>
      <w:r w:rsidRPr="005F3825">
        <w:rPr>
          <w:rFonts w:ascii="Calibri" w:eastAsia="Cambria" w:hAnsi="Calibri"/>
          <w:sz w:val="20"/>
          <w:szCs w:val="20"/>
          <w:u w:val="single"/>
          <w:lang w:val="en-GB"/>
        </w:rPr>
        <w:t>Collaboration and coordination agreements</w:t>
      </w:r>
      <w:r w:rsidRPr="005F3825">
        <w:rPr>
          <w:rFonts w:ascii="Calibri" w:eastAsia="Cambria" w:hAnsi="Calibri"/>
          <w:sz w:val="20"/>
          <w:szCs w:val="20"/>
          <w:lang w:val="en-GB"/>
        </w:rPr>
        <w:t>. PA Conservators will be responsible for establishing and coordinating effective and stable partnerships for monitoring and research by seeking mutually beneficial agreements with national education and research institutions, national and international environmental organizations, visiting researchers, and other voluntary partners (nature-loving tourists, ornithologists). These partnership agreements, like any research authorization within the territory of the PAs, must include specific clauses concerning the sharing of knowledge and data generated within this framework. Where possible, monitoring activities will be combined with regular surveillance routines carried out by PA eco-guards and rangers during which the presence of certain target species will be recorded (species, photograph, time, date and GPS coordinates). GEF will fund regular ecological monitoring of the sites, until the necessary funding is available, including by establishing partnerships to provide these services.</w:t>
      </w:r>
    </w:p>
    <w:p w14:paraId="6FDCDED5" w14:textId="77777777" w:rsidR="00302BFE" w:rsidRPr="005F3825" w:rsidRDefault="00302BFE" w:rsidP="00C46720">
      <w:pPr>
        <w:pStyle w:val="Paragraphedeliste"/>
        <w:numPr>
          <w:ilvl w:val="0"/>
          <w:numId w:val="14"/>
        </w:numPr>
        <w:tabs>
          <w:tab w:val="left" w:pos="284"/>
        </w:tabs>
        <w:spacing w:before="120" w:after="120"/>
        <w:ind w:left="0" w:firstLine="0"/>
        <w:jc w:val="both"/>
        <w:rPr>
          <w:rFonts w:ascii="Calibri" w:eastAsia="Cambria" w:hAnsi="Calibri"/>
          <w:sz w:val="20"/>
          <w:szCs w:val="20"/>
          <w:lang w:val="en-GB"/>
        </w:rPr>
      </w:pPr>
      <w:r w:rsidRPr="005F3825">
        <w:rPr>
          <w:rFonts w:ascii="Calibri" w:hAnsi="Calibri"/>
          <w:sz w:val="20"/>
          <w:szCs w:val="20"/>
          <w:u w:val="single"/>
          <w:lang w:val="en-GB"/>
        </w:rPr>
        <w:t>Training.</w:t>
      </w:r>
      <w:r w:rsidRPr="005F3825">
        <w:rPr>
          <w:rFonts w:ascii="Calibri" w:hAnsi="Calibri"/>
          <w:sz w:val="20"/>
          <w:szCs w:val="20"/>
          <w:lang w:val="en-GB"/>
        </w:rPr>
        <w:t xml:space="preserve"> Practical training on the implementation of simple monitoring protocols will be offered by experts from environmental NGOs in their own area of expertise, and by experts from the University of Ouagadougou, particularly for training to monitor populations of elephants. The expertise of international NGOs such as IUCN will also be sought to contribute to training in areas where national expertise is lacking.</w:t>
      </w:r>
    </w:p>
    <w:p w14:paraId="075D8CF0" w14:textId="77777777" w:rsidR="00302BFE" w:rsidRPr="005F3825" w:rsidRDefault="00302BFE" w:rsidP="00C46720">
      <w:pPr>
        <w:pStyle w:val="Paragraphedeliste"/>
        <w:numPr>
          <w:ilvl w:val="0"/>
          <w:numId w:val="14"/>
        </w:numPr>
        <w:tabs>
          <w:tab w:val="left" w:pos="284"/>
        </w:tabs>
        <w:spacing w:before="120" w:after="120"/>
        <w:ind w:left="0" w:firstLine="0"/>
        <w:jc w:val="both"/>
        <w:rPr>
          <w:rFonts w:ascii="Calibri" w:eastAsia="Cambria" w:hAnsi="Calibri"/>
          <w:sz w:val="20"/>
          <w:szCs w:val="20"/>
          <w:lang w:val="en-GB"/>
        </w:rPr>
      </w:pPr>
      <w:r w:rsidRPr="005F3825">
        <w:rPr>
          <w:rFonts w:ascii="Calibri" w:hAnsi="Calibri"/>
          <w:sz w:val="20"/>
          <w:szCs w:val="20"/>
          <w:u w:val="single"/>
          <w:lang w:val="en-GB"/>
        </w:rPr>
        <w:lastRenderedPageBreak/>
        <w:t>Permanent sampling stations</w:t>
      </w:r>
      <w:r w:rsidRPr="005F3825">
        <w:rPr>
          <w:rFonts w:ascii="Calibri" w:hAnsi="Calibri"/>
          <w:sz w:val="20"/>
          <w:szCs w:val="20"/>
          <w:lang w:val="en-GB"/>
        </w:rPr>
        <w:t>. The project will support the establishment of permanent stations, transects and scientific delineation using GPS coordinates to monitor plant and animal populations and allow for temporal comparisons.</w:t>
      </w:r>
    </w:p>
    <w:p w14:paraId="53BE9A38" w14:textId="1C0250CC" w:rsidR="001F23E3" w:rsidRPr="001F23E3" w:rsidRDefault="00302BFE" w:rsidP="00C46720">
      <w:pPr>
        <w:pStyle w:val="Paragraphedeliste"/>
        <w:numPr>
          <w:ilvl w:val="0"/>
          <w:numId w:val="14"/>
        </w:numPr>
        <w:tabs>
          <w:tab w:val="left" w:pos="284"/>
        </w:tabs>
        <w:spacing w:before="120" w:after="120"/>
        <w:ind w:left="0" w:firstLine="0"/>
        <w:jc w:val="both"/>
        <w:rPr>
          <w:rFonts w:ascii="Calibri" w:eastAsia="Cambria" w:hAnsi="Calibri"/>
          <w:sz w:val="20"/>
          <w:szCs w:val="20"/>
          <w:lang w:val="en-GB"/>
        </w:rPr>
      </w:pPr>
      <w:r w:rsidRPr="005F3825">
        <w:rPr>
          <w:rFonts w:ascii="Calibri" w:hAnsi="Calibri"/>
          <w:sz w:val="20"/>
          <w:szCs w:val="20"/>
          <w:u w:val="single"/>
          <w:lang w:val="en-GB"/>
        </w:rPr>
        <w:t>Storage of data</w:t>
      </w:r>
      <w:r w:rsidRPr="005F3825">
        <w:rPr>
          <w:rFonts w:ascii="Calibri" w:hAnsi="Calibri"/>
          <w:sz w:val="20"/>
          <w:szCs w:val="20"/>
          <w:lang w:val="en-GB"/>
        </w:rPr>
        <w:t>. The data will be recorded in the PA database set up under activity 2.1.2 by the PA management units and integrated into the PONASI landscape area database, to be retrieved periodically to compute statistics. , produce graphs or maps for the sites and the complex, to monitor the effectiveness of management measures to achieve conservation objectives and support adaptive management of PAs at site and landscape levels.</w:t>
      </w:r>
    </w:p>
    <w:p w14:paraId="04E71684" w14:textId="3CD666E1" w:rsidR="00302BFE" w:rsidRDefault="00302BFE" w:rsidP="00302BFE">
      <w:pPr>
        <w:spacing w:before="120" w:after="120"/>
        <w:rPr>
          <w:rFonts w:eastAsia="Cambria"/>
          <w:i/>
          <w:color w:val="4472C4"/>
          <w:szCs w:val="20"/>
          <w:lang w:val="en-GB"/>
        </w:rPr>
      </w:pPr>
      <w:r w:rsidRPr="005F3825">
        <w:rPr>
          <w:rFonts w:eastAsia="Cambria"/>
          <w:i/>
          <w:color w:val="4472C4"/>
          <w:szCs w:val="20"/>
          <w:lang w:val="en-GB"/>
        </w:rPr>
        <w:t xml:space="preserve">2.2.5 Surveillance and anti-poaching </w:t>
      </w:r>
      <w:r w:rsidR="00E82AB4">
        <w:rPr>
          <w:rFonts w:eastAsia="Cambria"/>
          <w:i/>
          <w:color w:val="4472C4"/>
          <w:szCs w:val="20"/>
          <w:lang w:val="en-GB"/>
        </w:rPr>
        <w:t xml:space="preserve">operations </w:t>
      </w:r>
      <w:r w:rsidRPr="005F3825">
        <w:rPr>
          <w:rFonts w:eastAsia="Cambria"/>
          <w:i/>
          <w:color w:val="4472C4"/>
          <w:szCs w:val="20"/>
          <w:lang w:val="en-GB"/>
        </w:rPr>
        <w:t>are planned and implemented at the PONASI landscape scale with the participation of local communities, and coordinated with Ghana's conservation efforts</w:t>
      </w:r>
    </w:p>
    <w:p w14:paraId="08359DDC" w14:textId="6B5CC909" w:rsidR="001F23E3" w:rsidRPr="00BE65D5" w:rsidRDefault="001F23E3" w:rsidP="00302BFE">
      <w:pPr>
        <w:spacing w:before="120" w:after="120"/>
        <w:rPr>
          <w:iCs/>
          <w:color w:val="4472C4"/>
          <w:szCs w:val="20"/>
          <w:lang w:val="en-GB"/>
        </w:rPr>
      </w:pPr>
      <w:r w:rsidRPr="003F4704">
        <w:rPr>
          <w:iCs/>
          <w:color w:val="4472C4"/>
          <w:szCs w:val="20"/>
          <w:highlight w:val="green"/>
          <w:lang w:val="en-GB"/>
        </w:rPr>
        <w:t>For this activity, the FPIC (Free, Prior and Informed Consent) process has to be ensured</w:t>
      </w:r>
    </w:p>
    <w:p w14:paraId="305778D5" w14:textId="77777777" w:rsidR="00302BFE" w:rsidRPr="006F44E8"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6F44E8">
        <w:rPr>
          <w:rFonts w:ascii="Calibri" w:eastAsia="Cambria" w:hAnsi="Calibri"/>
          <w:sz w:val="20"/>
          <w:szCs w:val="20"/>
          <w:lang w:val="en-GB"/>
        </w:rPr>
        <w:t>Eco-guards</w:t>
      </w:r>
      <w:r w:rsidRPr="006F44E8">
        <w:rPr>
          <w:rFonts w:ascii="Calibri" w:eastAsia="Cambria" w:hAnsi="Calibri"/>
          <w:color w:val="FF0000"/>
          <w:sz w:val="20"/>
          <w:szCs w:val="20"/>
          <w:lang w:val="en-GB"/>
        </w:rPr>
        <w:t xml:space="preserve"> </w:t>
      </w:r>
      <w:r w:rsidRPr="006F44E8">
        <w:rPr>
          <w:rFonts w:ascii="Calibri" w:eastAsia="Cambria" w:hAnsi="Calibri"/>
          <w:sz w:val="20"/>
          <w:szCs w:val="20"/>
          <w:lang w:val="en-GB"/>
        </w:rPr>
        <w:t>and rangers in protected areas are failing to effectively combat poaching teams operating in the PONASI area. To increase the effectiveness of the fight against poaching, project interventions will include advocacy to increase the number of staff responsible for surveillance in PAs (under 2.1.1), capacity building through training and equipment (under 2.1.3), the mobilization of local populations in the fight against poaching through the establishment of an information and awareness network for local communities (under 2.2.5) and the implementation of the SMART tool for planning of surveillance and patrolling to combat poaching and other illegal activities (under 2.2.5).</w:t>
      </w:r>
    </w:p>
    <w:p w14:paraId="26C343AB" w14:textId="77777777" w:rsidR="00302BFE" w:rsidRPr="005F382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5F3825">
        <w:rPr>
          <w:rFonts w:ascii="Calibri" w:eastAsia="Cambria" w:hAnsi="Calibri"/>
          <w:sz w:val="20"/>
          <w:szCs w:val="20"/>
          <w:u w:val="single"/>
          <w:lang w:val="en-GB"/>
        </w:rPr>
        <w:t>Community participation in the fight against poaching</w:t>
      </w:r>
      <w:r w:rsidRPr="005F3825">
        <w:rPr>
          <w:rFonts w:ascii="Calibri" w:eastAsia="Cambria" w:hAnsi="Calibri"/>
          <w:sz w:val="20"/>
          <w:szCs w:val="20"/>
          <w:lang w:val="en-GB"/>
        </w:rPr>
        <w:t xml:space="preserve">. </w:t>
      </w:r>
      <w:r w:rsidR="0051303A">
        <w:rPr>
          <w:rFonts w:ascii="Calibri" w:eastAsia="Cambria" w:hAnsi="Calibri"/>
          <w:sz w:val="20"/>
          <w:szCs w:val="20"/>
          <w:lang w:val="en-GB"/>
        </w:rPr>
        <w:t>A</w:t>
      </w:r>
      <w:r w:rsidRPr="005F3825">
        <w:rPr>
          <w:rFonts w:ascii="Calibri" w:hAnsi="Calibri"/>
          <w:sz w:val="20"/>
          <w:szCs w:val="20"/>
          <w:lang w:val="en-GB"/>
        </w:rPr>
        <w:t xml:space="preserve">t the level of protected areas, the participation of riparian communities in poaching is one of major challenges of the </w:t>
      </w:r>
      <w:r w:rsidRPr="005F3825">
        <w:rPr>
          <w:rFonts w:ascii="Calibri" w:eastAsia="Cambria" w:hAnsi="Calibri"/>
          <w:sz w:val="20"/>
          <w:szCs w:val="20"/>
          <w:lang w:val="en-GB"/>
        </w:rPr>
        <w:t>fight against poaching</w:t>
      </w:r>
      <w:r w:rsidRPr="005F3825">
        <w:rPr>
          <w:rFonts w:ascii="Calibri" w:hAnsi="Calibri"/>
          <w:sz w:val="20"/>
          <w:szCs w:val="20"/>
          <w:lang w:val="en-GB"/>
        </w:rPr>
        <w:t xml:space="preserve">. It is recognized and reported that poachers operate with the participation of accomplices in local communities, either as guides, porters, informants or other. The causes of such behaviour are related to poverty, lack of viable alternatives, lack of understanding of the importance and values of conservation and living fauna, and lack of good relations between members of local communities and protected area authorities. While patrolling and law enforcement operations remain critical to countering poachers' actions, they are reactive rather than proactive and only address symptoms rather than the reasons why these people are involved in poaching. The involvement of local communities in the </w:t>
      </w:r>
      <w:r w:rsidRPr="005F3825">
        <w:rPr>
          <w:rFonts w:ascii="Calibri" w:eastAsia="Cambria" w:hAnsi="Calibri"/>
          <w:sz w:val="20"/>
          <w:szCs w:val="20"/>
          <w:lang w:val="en-GB"/>
        </w:rPr>
        <w:t>fight against poaching</w:t>
      </w:r>
      <w:r w:rsidRPr="005F3825">
        <w:rPr>
          <w:rFonts w:ascii="Calibri" w:hAnsi="Calibri"/>
          <w:sz w:val="20"/>
          <w:szCs w:val="20"/>
          <w:lang w:val="en-GB"/>
        </w:rPr>
        <w:t xml:space="preserve"> as part of the </w:t>
      </w:r>
      <w:r w:rsidRPr="005F3825">
        <w:rPr>
          <w:rFonts w:ascii="Calibri" w:hAnsi="Calibri"/>
          <w:i/>
          <w:sz w:val="20"/>
          <w:szCs w:val="20"/>
          <w:lang w:val="en-GB"/>
        </w:rPr>
        <w:t>Ruvuma Elephant Project</w:t>
      </w:r>
      <w:r w:rsidRPr="005F3825">
        <w:rPr>
          <w:rFonts w:ascii="Calibri" w:hAnsi="Calibri"/>
          <w:sz w:val="20"/>
          <w:szCs w:val="20"/>
          <w:lang w:val="en-GB"/>
        </w:rPr>
        <w:t xml:space="preserve"> (REP) implemented in Tanzania by the PAMS Foundation has drastically reduced the poaching rate and stabilized populations of elephants and other species as revealed by patrol and aerial surveillance data. This success was significantly boosted by the strong community participation and tangible support it has received. Several community members voluntarily surrendered the illegal firearms they used for poaching and over 85% of all arrests and seizures of illegal weapons and ivory were made through collaboration and information received from members of local communities</w:t>
      </w:r>
      <w:r w:rsidRPr="005F3825">
        <w:rPr>
          <w:rStyle w:val="Appelnotedebasdep"/>
          <w:rFonts w:ascii="Calibri" w:hAnsi="Calibri"/>
          <w:sz w:val="20"/>
          <w:szCs w:val="20"/>
        </w:rPr>
        <w:footnoteReference w:id="58"/>
      </w:r>
      <w:r w:rsidRPr="005F3825">
        <w:rPr>
          <w:rFonts w:ascii="Calibri" w:hAnsi="Calibri"/>
          <w:sz w:val="20"/>
          <w:szCs w:val="20"/>
          <w:lang w:val="en-GB"/>
        </w:rPr>
        <w:t>.</w:t>
      </w:r>
    </w:p>
    <w:p w14:paraId="2C07CB1E" w14:textId="77777777" w:rsidR="00302BFE" w:rsidRPr="005F382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5F3825">
        <w:rPr>
          <w:rFonts w:ascii="Calibri" w:eastAsia="Cambria" w:hAnsi="Calibri"/>
          <w:sz w:val="20"/>
          <w:szCs w:val="20"/>
          <w:lang w:val="en-GB"/>
        </w:rPr>
        <w:t>Drawing on the lessons learned from the REP project, the project will provide awareness activities and information to local communities, set up village teams - on a pilot basis - to participate in surveillance activities and the information network in order to support formal law enforcement interventions; and support the implementation of identified solutions through the application of the SAFE Systems (Output 2.4) approach to manage human-wildlife conflict. Awareness-raising and outreach to local communities will focus on (i) the harmful effects of poaching at the local level, for the country in terms of lost opportunities, and for biodiversity, and (ii) the risks faced by local offenders in terms of penalties for their offenses.</w:t>
      </w:r>
    </w:p>
    <w:p w14:paraId="42080920" w14:textId="77777777" w:rsidR="00302BFE" w:rsidRPr="005F382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5F3825">
        <w:rPr>
          <w:rFonts w:ascii="Calibri" w:eastAsia="Cambria" w:hAnsi="Calibri"/>
          <w:sz w:val="20"/>
          <w:szCs w:val="20"/>
          <w:lang w:val="en-GB"/>
        </w:rPr>
        <w:t>According to the principle of collaborative management, surveillance is first and foremost a matter of self-regulation mechanisms within communities, in accordance with the rules set out in the management agreements that have been drawn up with their participation. In this regard, the main role of the PA eco-guards will be to inform and recall the zoning of PAs and corridors and the rules that apply to them to members of local communities and to give warnings to offenders.</w:t>
      </w:r>
    </w:p>
    <w:p w14:paraId="4952F88D" w14:textId="77777777" w:rsidR="00302BFE" w:rsidRPr="006F44E8"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CA"/>
        </w:rPr>
      </w:pPr>
      <w:r w:rsidRPr="006F44E8">
        <w:rPr>
          <w:rFonts w:ascii="Calibri" w:eastAsia="Cambria" w:hAnsi="Calibri"/>
          <w:sz w:val="20"/>
          <w:szCs w:val="20"/>
          <w:u w:val="single"/>
          <w:lang w:val="en-GB"/>
        </w:rPr>
        <w:t>Development of a surveillance plan for the PONASI landscape to combat poaching and other illegal activities</w:t>
      </w:r>
      <w:r w:rsidRPr="006F44E8">
        <w:rPr>
          <w:rFonts w:ascii="Calibri" w:eastAsia="Cambria" w:hAnsi="Calibri"/>
          <w:sz w:val="20"/>
          <w:szCs w:val="20"/>
          <w:lang w:val="en-GB"/>
        </w:rPr>
        <w:t xml:space="preserve">, including State PAs, corridors and ZOVICs, and coordinated with Ghana's interventions. The project will support the introduction of </w:t>
      </w:r>
      <w:r w:rsidRPr="006F44E8">
        <w:rPr>
          <w:rFonts w:ascii="Calibri" w:hAnsi="Calibri"/>
          <w:sz w:val="20"/>
          <w:szCs w:val="20"/>
          <w:lang w:val="en-CA"/>
        </w:rPr>
        <w:t>SMART (Spatial Monitoring and Reporting Tool) which is a suite of best practices aimed at helping PA managers better monitor, evaluate and adaptively manage patrolling activities. SMART includes an opensource software application designed to be used on the ground by site-based staff engaged in or responsible for wildlife enforcement patrols, to improve the ability of PA agencies to combat poaching and other illegal activities. Its adoption is also facilitated by a wide range of training materials and practical guidelines. Initial basic training will be provided in data entry, analysis and reporting to ecoguards and forest rangers and further training will include site managers to allow them to take advantage of SMART specific features. The project will seek IUCN’s support to support the adoption of SMART, including required trainings (under output 2.1.3).</w:t>
      </w:r>
    </w:p>
    <w:p w14:paraId="0F161098" w14:textId="77777777" w:rsidR="00302BFE" w:rsidRPr="006F44E8"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6F44E8">
        <w:rPr>
          <w:rFonts w:ascii="Calibri" w:eastAsia="Cambria" w:hAnsi="Calibri"/>
          <w:sz w:val="20"/>
          <w:szCs w:val="20"/>
          <w:lang w:val="en-GB"/>
        </w:rPr>
        <w:t xml:space="preserve">The surveillance program will be adjusted as needed to focus on areas where more serious threats to biodiversity will be reported. Clear guidelines and procedures for enforcing regulations will be identified and communicated to all stakeholders involved in surveillance and enforcement of regulations for all PAs. These guidelines and procedures will include stringent rules </w:t>
      </w:r>
      <w:r w:rsidRPr="006F44E8">
        <w:rPr>
          <w:rFonts w:ascii="Calibri" w:hAnsi="Calibri"/>
          <w:sz w:val="20"/>
          <w:szCs w:val="20"/>
          <w:lang w:val="en-GB"/>
        </w:rPr>
        <w:t xml:space="preserve">on the violation of human rights </w:t>
      </w:r>
      <w:r w:rsidRPr="006F44E8">
        <w:rPr>
          <w:rFonts w:ascii="Calibri" w:eastAsia="Cambria" w:hAnsi="Calibri"/>
          <w:sz w:val="20"/>
          <w:szCs w:val="20"/>
          <w:lang w:val="en-GB"/>
        </w:rPr>
        <w:t xml:space="preserve">to prevent any community member, eco-guard or ranger directly or indirectly involved in surveillance activities under </w:t>
      </w:r>
      <w:r w:rsidRPr="006F44E8">
        <w:rPr>
          <w:rFonts w:ascii="Calibri" w:eastAsia="Cambria" w:hAnsi="Calibri"/>
          <w:sz w:val="20"/>
          <w:szCs w:val="20"/>
          <w:lang w:val="en-GB"/>
        </w:rPr>
        <w:lastRenderedPageBreak/>
        <w:t xml:space="preserve">the project from being implicated </w:t>
      </w:r>
      <w:r w:rsidRPr="006F44E8">
        <w:rPr>
          <w:rFonts w:ascii="Calibri" w:hAnsi="Calibri"/>
          <w:sz w:val="20"/>
          <w:szCs w:val="20"/>
          <w:lang w:val="en-GB"/>
        </w:rPr>
        <w:t xml:space="preserve">in a case of violence against vulnerable local populations. </w:t>
      </w:r>
      <w:r w:rsidRPr="006F44E8">
        <w:rPr>
          <w:rFonts w:ascii="Calibri" w:eastAsia="Cambria" w:hAnsi="Calibri"/>
          <w:sz w:val="20"/>
          <w:szCs w:val="20"/>
          <w:lang w:val="en-GB"/>
        </w:rPr>
        <w:t>All cases of illegal actions and/or derogations from the rules of the PA will be communicated immediately - insofar as the safety of community members, eco-guards or rangers is not threatened - noted and recorded following the SMART procedures. Local community members will be invited to participate in these tours on a voluntary basis. Unannounced joint outings will be organized with the gendarmerie and with the agents of the National Directorate of Civil Security.</w:t>
      </w:r>
    </w:p>
    <w:p w14:paraId="5C8742C0" w14:textId="1A7229DF" w:rsidR="00302BFE" w:rsidRDefault="00302BFE" w:rsidP="00302BFE">
      <w:pPr>
        <w:spacing w:before="240" w:after="120"/>
        <w:rPr>
          <w:b/>
          <w:szCs w:val="20"/>
          <w:lang w:val="en-GB"/>
        </w:rPr>
      </w:pPr>
      <w:r w:rsidRPr="005F3825">
        <w:rPr>
          <w:b/>
          <w:szCs w:val="20"/>
          <w:lang w:val="en-GB"/>
        </w:rPr>
        <w:t>Output 2.3 The management of natural resources in village hunting areas (ZOVIC), community protected areas, is enhanced through collaborative management interventions, including the development and implementation of simplified zoning plans, strengthening of hunting management and the implementation of human-wildlife conflict management measures</w:t>
      </w:r>
    </w:p>
    <w:p w14:paraId="7735B8D4" w14:textId="77777777" w:rsidR="004F4706" w:rsidRPr="003F4704" w:rsidRDefault="004F4706" w:rsidP="004F4706">
      <w:pPr>
        <w:spacing w:before="120" w:after="0"/>
        <w:contextualSpacing/>
        <w:rPr>
          <w:bCs/>
          <w:szCs w:val="20"/>
          <w:highlight w:val="green"/>
          <w:lang w:val="en-GB"/>
        </w:rPr>
      </w:pPr>
      <w:r w:rsidRPr="003F4704">
        <w:rPr>
          <w:bCs/>
          <w:szCs w:val="20"/>
          <w:highlight w:val="green"/>
          <w:lang w:val="en-GB"/>
        </w:rPr>
        <w:t>To assess and manage the impacts of this Output, as indicated in the SESP – in attachment to the ProDoc – the following assessment and management processes will be put in place, to comply with UNDP SES:</w:t>
      </w:r>
    </w:p>
    <w:p w14:paraId="63008F81" w14:textId="77777777" w:rsidR="004F4706" w:rsidRPr="003F4704" w:rsidRDefault="004F4706" w:rsidP="004F4706">
      <w:pPr>
        <w:spacing w:before="120" w:after="0"/>
        <w:contextualSpacing/>
        <w:rPr>
          <w:bCs/>
          <w:szCs w:val="20"/>
          <w:highlight w:val="green"/>
          <w:u w:val="single"/>
          <w:lang w:val="en-GB"/>
        </w:rPr>
      </w:pPr>
      <w:r w:rsidRPr="003F4704">
        <w:rPr>
          <w:bCs/>
          <w:szCs w:val="20"/>
          <w:highlight w:val="green"/>
          <w:u w:val="single"/>
          <w:lang w:val="en-GB"/>
        </w:rPr>
        <w:t>Assessments:</w:t>
      </w:r>
    </w:p>
    <w:p w14:paraId="278E36AF" w14:textId="77777777" w:rsidR="004F4706" w:rsidRPr="003F4704" w:rsidRDefault="004F4706" w:rsidP="004F4706">
      <w:pPr>
        <w:spacing w:before="120" w:after="0"/>
        <w:contextualSpacing/>
        <w:rPr>
          <w:bCs/>
          <w:szCs w:val="20"/>
          <w:highlight w:val="green"/>
          <w:lang w:val="en-GB"/>
        </w:rPr>
      </w:pPr>
      <w:r w:rsidRPr="003F4704">
        <w:rPr>
          <w:bCs/>
          <w:szCs w:val="20"/>
          <w:highlight w:val="green"/>
          <w:lang w:val="en-GB"/>
        </w:rPr>
        <w:t>SESA (Strategic Social and Environmental Assessment)</w:t>
      </w:r>
    </w:p>
    <w:p w14:paraId="15D4A3DB" w14:textId="77777777" w:rsidR="004F4706" w:rsidRPr="003F4704" w:rsidRDefault="004F4706" w:rsidP="004F4706">
      <w:pPr>
        <w:spacing w:before="120" w:after="0"/>
        <w:contextualSpacing/>
        <w:rPr>
          <w:bCs/>
          <w:szCs w:val="20"/>
          <w:highlight w:val="green"/>
          <w:lang w:val="en-GB"/>
        </w:rPr>
      </w:pPr>
      <w:r w:rsidRPr="003F4704">
        <w:rPr>
          <w:highlight w:val="green"/>
        </w:rPr>
        <w:t>ESIA (Environmental and Social Impact Assessment)</w:t>
      </w:r>
    </w:p>
    <w:p w14:paraId="199EB897" w14:textId="77777777" w:rsidR="004F4706" w:rsidRPr="003F4704" w:rsidRDefault="004F4706" w:rsidP="004F4706">
      <w:pPr>
        <w:spacing w:before="120" w:after="0"/>
        <w:contextualSpacing/>
        <w:rPr>
          <w:highlight w:val="green"/>
          <w:u w:val="single"/>
        </w:rPr>
      </w:pPr>
      <w:r w:rsidRPr="003F4704">
        <w:rPr>
          <w:highlight w:val="green"/>
          <w:u w:val="single"/>
        </w:rPr>
        <w:t>Management:</w:t>
      </w:r>
    </w:p>
    <w:p w14:paraId="791C3CE3" w14:textId="77777777" w:rsidR="004F4706" w:rsidRPr="003F4704" w:rsidRDefault="004F4706" w:rsidP="004F4706">
      <w:pPr>
        <w:spacing w:before="120" w:after="120"/>
        <w:contextualSpacing/>
        <w:rPr>
          <w:rFonts w:asciiTheme="minorHAnsi" w:hAnsiTheme="minorHAnsi" w:cstheme="minorHAnsi"/>
          <w:szCs w:val="20"/>
          <w:highlight w:val="green"/>
        </w:rPr>
      </w:pPr>
      <w:r w:rsidRPr="003F4704">
        <w:rPr>
          <w:rFonts w:asciiTheme="minorHAnsi" w:hAnsiTheme="minorHAnsi" w:cstheme="minorHAnsi"/>
          <w:szCs w:val="20"/>
          <w:highlight w:val="green"/>
        </w:rPr>
        <w:t>SESA report and recommendations (Actions Matrix)</w:t>
      </w:r>
    </w:p>
    <w:p w14:paraId="4B58CDF8" w14:textId="77777777" w:rsidR="004F4706" w:rsidRPr="003F4704" w:rsidRDefault="004F4706" w:rsidP="004F4706">
      <w:pPr>
        <w:spacing w:before="120" w:after="120"/>
        <w:contextualSpacing/>
        <w:rPr>
          <w:rFonts w:asciiTheme="minorHAnsi" w:hAnsiTheme="minorHAnsi" w:cstheme="minorHAnsi"/>
          <w:szCs w:val="20"/>
          <w:highlight w:val="green"/>
        </w:rPr>
      </w:pPr>
      <w:r w:rsidRPr="003F4704">
        <w:rPr>
          <w:rFonts w:asciiTheme="minorHAnsi" w:hAnsiTheme="minorHAnsi" w:cstheme="minorHAnsi"/>
          <w:szCs w:val="20"/>
          <w:highlight w:val="green"/>
        </w:rPr>
        <w:t>Comprehensive Stakeholder Engagement Plan</w:t>
      </w:r>
    </w:p>
    <w:p w14:paraId="28E28686" w14:textId="77777777" w:rsidR="004F4706" w:rsidRPr="003F4704" w:rsidRDefault="004F4706" w:rsidP="004F4706">
      <w:pPr>
        <w:spacing w:before="120" w:after="120"/>
        <w:contextualSpacing/>
        <w:rPr>
          <w:rFonts w:asciiTheme="minorHAnsi" w:hAnsiTheme="minorHAnsi" w:cstheme="minorHAnsi"/>
          <w:szCs w:val="20"/>
          <w:highlight w:val="green"/>
        </w:rPr>
      </w:pPr>
      <w:r w:rsidRPr="003F4704">
        <w:rPr>
          <w:rFonts w:asciiTheme="minorHAnsi" w:hAnsiTheme="minorHAnsi" w:cstheme="minorHAnsi"/>
          <w:szCs w:val="20"/>
          <w:highlight w:val="green"/>
        </w:rPr>
        <w:t>Indigenous People Plan</w:t>
      </w:r>
    </w:p>
    <w:p w14:paraId="154F9DF2" w14:textId="77777777" w:rsidR="004F4706" w:rsidRPr="003F4704" w:rsidRDefault="004F4706" w:rsidP="004F4706">
      <w:pPr>
        <w:spacing w:before="120" w:after="120"/>
        <w:contextualSpacing/>
        <w:rPr>
          <w:rFonts w:asciiTheme="minorHAnsi" w:hAnsiTheme="minorHAnsi" w:cstheme="minorHAnsi"/>
          <w:szCs w:val="20"/>
          <w:highlight w:val="green"/>
        </w:rPr>
      </w:pPr>
      <w:r w:rsidRPr="003F4704">
        <w:rPr>
          <w:rFonts w:asciiTheme="minorHAnsi" w:hAnsiTheme="minorHAnsi" w:cstheme="minorHAnsi"/>
          <w:szCs w:val="20"/>
          <w:highlight w:val="green"/>
        </w:rPr>
        <w:t xml:space="preserve">Gender Action Plan </w:t>
      </w:r>
    </w:p>
    <w:p w14:paraId="28BD0A02" w14:textId="67597E38" w:rsidR="004F4706" w:rsidRPr="00BE65D5" w:rsidRDefault="004F4706" w:rsidP="00BE65D5">
      <w:pPr>
        <w:spacing w:before="120"/>
        <w:contextualSpacing/>
        <w:rPr>
          <w:bCs/>
          <w:szCs w:val="20"/>
          <w:lang w:val="en-GB"/>
        </w:rPr>
      </w:pPr>
      <w:r w:rsidRPr="003F4704">
        <w:rPr>
          <w:rFonts w:asciiTheme="minorHAnsi" w:hAnsiTheme="minorHAnsi" w:cstheme="minorHAnsi"/>
          <w:szCs w:val="20"/>
          <w:highlight w:val="green"/>
        </w:rPr>
        <w:t>ESMP</w:t>
      </w:r>
    </w:p>
    <w:p w14:paraId="4C18AE0B" w14:textId="77777777" w:rsidR="00302BFE" w:rsidRPr="005F3825" w:rsidRDefault="00302BFE" w:rsidP="00302BFE">
      <w:pPr>
        <w:pStyle w:val="Paragraphedeliste"/>
        <w:tabs>
          <w:tab w:val="left" w:pos="284"/>
        </w:tabs>
        <w:spacing w:before="120" w:after="120"/>
        <w:ind w:left="0"/>
        <w:jc w:val="both"/>
        <w:rPr>
          <w:rFonts w:ascii="Calibri" w:eastAsia="Cambria" w:hAnsi="Calibri"/>
          <w:sz w:val="20"/>
          <w:szCs w:val="20"/>
          <w:lang w:val="en-GB"/>
        </w:rPr>
      </w:pPr>
      <w:r w:rsidRPr="005F3825">
        <w:rPr>
          <w:rFonts w:ascii="Calibri" w:hAnsi="Calibri"/>
          <w:i/>
          <w:color w:val="4472C4"/>
          <w:sz w:val="20"/>
          <w:szCs w:val="20"/>
          <w:lang w:val="en-GB"/>
        </w:rPr>
        <w:t>2.3.1 Formalization of the legal status of certain ZOVICs and updating of the ZOVIC limits.</w:t>
      </w:r>
      <w:r w:rsidRPr="005F3825">
        <w:rPr>
          <w:rFonts w:ascii="Calibri" w:hAnsi="Calibri"/>
          <w:sz w:val="20"/>
          <w:szCs w:val="20"/>
          <w:lang w:val="en-GB"/>
        </w:rPr>
        <w:t xml:space="preserve"> </w:t>
      </w:r>
    </w:p>
    <w:p w14:paraId="69D9C438" w14:textId="562CC171" w:rsidR="00302BFE" w:rsidRPr="00843CA9"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843CA9">
        <w:rPr>
          <w:rFonts w:ascii="Calibri" w:hAnsi="Calibri"/>
          <w:sz w:val="20"/>
          <w:szCs w:val="20"/>
          <w:lang w:val="en-GB"/>
        </w:rPr>
        <w:t xml:space="preserve">The improvement of the ZOVIC management system will have to take into account the legal status of these areas, which are part of the forestry domain under local authorities. Communes </w:t>
      </w:r>
      <w:r w:rsidRPr="00843CA9">
        <w:rPr>
          <w:rFonts w:ascii="Calibri" w:eastAsia="Cambria" w:hAnsi="Calibri"/>
          <w:sz w:val="20"/>
          <w:szCs w:val="20"/>
          <w:lang w:val="en-GB"/>
        </w:rPr>
        <w:t>must ensure the</w:t>
      </w:r>
      <w:r w:rsidRPr="00843CA9">
        <w:rPr>
          <w:rFonts w:ascii="Calibri" w:hAnsi="Calibri"/>
          <w:sz w:val="20"/>
          <w:szCs w:val="20"/>
          <w:lang w:val="en-GB"/>
        </w:rPr>
        <w:t xml:space="preserve"> sustainability of these community conservation areas whose management </w:t>
      </w:r>
      <w:r w:rsidR="006C3502">
        <w:rPr>
          <w:rFonts w:ascii="Calibri" w:hAnsi="Calibri"/>
          <w:sz w:val="20"/>
          <w:szCs w:val="20"/>
          <w:lang w:val="en-GB"/>
        </w:rPr>
        <w:t>is</w:t>
      </w:r>
      <w:r w:rsidRPr="00843CA9">
        <w:rPr>
          <w:rFonts w:ascii="Calibri" w:hAnsi="Calibri"/>
          <w:sz w:val="20"/>
          <w:szCs w:val="20"/>
          <w:lang w:val="en-GB"/>
        </w:rPr>
        <w:t xml:space="preserve"> entrusted to local communities, according to </w:t>
      </w:r>
      <w:r w:rsidRPr="00843CA9">
        <w:rPr>
          <w:rFonts w:ascii="Calibri" w:eastAsia="Cambria" w:hAnsi="Calibri"/>
          <w:sz w:val="20"/>
          <w:szCs w:val="20"/>
          <w:lang w:val="en-GB"/>
        </w:rPr>
        <w:t>arrangement</w:t>
      </w:r>
      <w:r w:rsidR="006C3502">
        <w:rPr>
          <w:rFonts w:ascii="Calibri" w:eastAsia="Cambria" w:hAnsi="Calibri"/>
          <w:sz w:val="20"/>
          <w:szCs w:val="20"/>
          <w:lang w:val="en-GB"/>
        </w:rPr>
        <w:t>s</w:t>
      </w:r>
      <w:r w:rsidRPr="00843CA9">
        <w:rPr>
          <w:rFonts w:ascii="Calibri" w:eastAsia="Cambria" w:hAnsi="Calibri"/>
          <w:sz w:val="20"/>
          <w:szCs w:val="20"/>
          <w:lang w:val="en-GB"/>
        </w:rPr>
        <w:t xml:space="preserve"> </w:t>
      </w:r>
      <w:r w:rsidRPr="00843CA9">
        <w:rPr>
          <w:rFonts w:ascii="Calibri" w:hAnsi="Calibri"/>
          <w:sz w:val="20"/>
          <w:szCs w:val="20"/>
          <w:lang w:val="en-GB"/>
        </w:rPr>
        <w:t xml:space="preserve">that best ensure </w:t>
      </w:r>
      <w:r w:rsidR="006C3502">
        <w:rPr>
          <w:rFonts w:ascii="Calibri" w:eastAsia="Cambria" w:hAnsi="Calibri"/>
          <w:sz w:val="20"/>
          <w:szCs w:val="20"/>
          <w:lang w:val="en-GB"/>
        </w:rPr>
        <w:t xml:space="preserve">conservation and </w:t>
      </w:r>
      <w:r w:rsidRPr="00843CA9">
        <w:rPr>
          <w:rFonts w:ascii="Calibri" w:eastAsia="Cambria" w:hAnsi="Calibri"/>
          <w:sz w:val="20"/>
          <w:szCs w:val="20"/>
          <w:lang w:val="en-GB"/>
        </w:rPr>
        <w:t>sustainable management objectives and local populations</w:t>
      </w:r>
      <w:r w:rsidR="006C3502">
        <w:rPr>
          <w:rFonts w:ascii="Calibri" w:eastAsia="Cambria" w:hAnsi="Calibri"/>
          <w:sz w:val="20"/>
          <w:szCs w:val="20"/>
          <w:lang w:val="en-GB"/>
        </w:rPr>
        <w:t>’</w:t>
      </w:r>
      <w:r w:rsidR="006C3502" w:rsidRPr="006C3502">
        <w:rPr>
          <w:rFonts w:ascii="Calibri" w:eastAsia="Cambria" w:hAnsi="Calibri"/>
          <w:sz w:val="20"/>
          <w:szCs w:val="20"/>
          <w:lang w:val="en-GB"/>
        </w:rPr>
        <w:t xml:space="preserve"> </w:t>
      </w:r>
      <w:r w:rsidR="006C3502" w:rsidRPr="00843CA9">
        <w:rPr>
          <w:rFonts w:ascii="Calibri" w:eastAsia="Cambria" w:hAnsi="Calibri"/>
          <w:sz w:val="20"/>
          <w:szCs w:val="20"/>
          <w:lang w:val="en-GB"/>
        </w:rPr>
        <w:t>interests</w:t>
      </w:r>
      <w:r w:rsidRPr="00843CA9">
        <w:rPr>
          <w:rFonts w:ascii="Calibri" w:hAnsi="Calibri"/>
          <w:sz w:val="20"/>
          <w:szCs w:val="20"/>
          <w:lang w:val="en-GB"/>
        </w:rPr>
        <w:t xml:space="preserve">. Initially, the project will </w:t>
      </w:r>
      <w:r w:rsidR="006C3502">
        <w:rPr>
          <w:rFonts w:ascii="Calibri" w:hAnsi="Calibri"/>
          <w:sz w:val="20"/>
          <w:szCs w:val="20"/>
          <w:lang w:val="en-GB"/>
        </w:rPr>
        <w:t>request the assistance of</w:t>
      </w:r>
      <w:r w:rsidRPr="00843CA9">
        <w:rPr>
          <w:rFonts w:ascii="Calibri" w:hAnsi="Calibri"/>
          <w:sz w:val="20"/>
          <w:szCs w:val="20"/>
          <w:lang w:val="en-GB"/>
        </w:rPr>
        <w:t xml:space="preserve"> conservation NGOs to assist </w:t>
      </w:r>
      <w:r w:rsidR="006C3502">
        <w:rPr>
          <w:rFonts w:ascii="Calibri" w:hAnsi="Calibri"/>
          <w:sz w:val="20"/>
          <w:szCs w:val="20"/>
          <w:lang w:val="en-GB"/>
        </w:rPr>
        <w:t xml:space="preserve">local </w:t>
      </w:r>
      <w:r w:rsidRPr="00843CA9">
        <w:rPr>
          <w:rFonts w:ascii="Calibri" w:hAnsi="Calibri"/>
          <w:sz w:val="20"/>
          <w:szCs w:val="20"/>
          <w:lang w:val="en-GB"/>
        </w:rPr>
        <w:t xml:space="preserve">communities and Local Authorities to operationalize the governance pattern and to strengthen the capacities of these actors so they can ensure independently the role assigned to them. </w:t>
      </w:r>
    </w:p>
    <w:p w14:paraId="62498B95" w14:textId="480C534D" w:rsidR="00302BFE" w:rsidRPr="00974666"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974666">
        <w:rPr>
          <w:rFonts w:ascii="Calibri" w:hAnsi="Calibri"/>
          <w:sz w:val="20"/>
          <w:szCs w:val="20"/>
          <w:lang w:val="en-GB"/>
        </w:rPr>
        <w:t xml:space="preserve">ZOVIC boundaries are currently encroached upon by local communities and agri-businessmen. </w:t>
      </w:r>
      <w:r w:rsidR="00212A4C" w:rsidRPr="00974666">
        <w:rPr>
          <w:rFonts w:ascii="Calibri" w:hAnsi="Calibri"/>
          <w:sz w:val="20"/>
          <w:szCs w:val="20"/>
          <w:lang w:val="en-GB"/>
        </w:rPr>
        <w:t xml:space="preserve">The project will support broad consultations conducted by the Local authorities in partnership with the village development committees and local village councillors to better understand the nature and governance of each ZOVIC, protect them against land disputes, illegal sale of land, pastoral and agricultural encroachment, and other pressure factors that affect the integrity of ZOVICs. </w:t>
      </w:r>
      <w:r w:rsidRPr="00974666">
        <w:rPr>
          <w:rFonts w:ascii="Calibri" w:hAnsi="Calibri"/>
          <w:sz w:val="20"/>
          <w:szCs w:val="20"/>
          <w:lang w:val="en-GB"/>
        </w:rPr>
        <w:t xml:space="preserve">Following these consultations, the </w:t>
      </w:r>
      <w:r w:rsidR="006C3502" w:rsidRPr="00974666">
        <w:rPr>
          <w:rFonts w:ascii="Calibri" w:hAnsi="Calibri"/>
          <w:sz w:val="20"/>
          <w:szCs w:val="20"/>
          <w:lang w:val="en-GB"/>
        </w:rPr>
        <w:t xml:space="preserve">delineation of the </w:t>
      </w:r>
      <w:r w:rsidRPr="00974666">
        <w:rPr>
          <w:rFonts w:ascii="Calibri" w:hAnsi="Calibri"/>
          <w:sz w:val="20"/>
          <w:szCs w:val="20"/>
          <w:lang w:val="en-GB"/>
        </w:rPr>
        <w:t>ZOVICs will be re</w:t>
      </w:r>
      <w:r w:rsidR="006C3502" w:rsidRPr="00974666">
        <w:rPr>
          <w:rFonts w:ascii="Calibri" w:hAnsi="Calibri"/>
          <w:sz w:val="20"/>
          <w:szCs w:val="20"/>
          <w:lang w:val="en-GB"/>
        </w:rPr>
        <w:t>vised</w:t>
      </w:r>
      <w:r w:rsidRPr="00974666">
        <w:rPr>
          <w:rFonts w:ascii="Calibri" w:hAnsi="Calibri"/>
          <w:sz w:val="20"/>
          <w:szCs w:val="20"/>
          <w:lang w:val="en-GB"/>
        </w:rPr>
        <w:t xml:space="preserve"> </w:t>
      </w:r>
      <w:r w:rsidR="003D18B6" w:rsidRPr="00974666">
        <w:rPr>
          <w:rFonts w:ascii="Calibri" w:hAnsi="Calibri"/>
          <w:sz w:val="20"/>
          <w:szCs w:val="20"/>
          <w:lang w:val="en-GB"/>
        </w:rPr>
        <w:t xml:space="preserve">and formalized </w:t>
      </w:r>
      <w:r w:rsidRPr="00974666">
        <w:rPr>
          <w:rFonts w:ascii="Calibri" w:hAnsi="Calibri"/>
          <w:sz w:val="20"/>
          <w:szCs w:val="20"/>
          <w:lang w:val="en-GB"/>
        </w:rPr>
        <w:t xml:space="preserve">if </w:t>
      </w:r>
      <w:r w:rsidR="006C3502" w:rsidRPr="00974666">
        <w:rPr>
          <w:rFonts w:ascii="Calibri" w:hAnsi="Calibri"/>
          <w:sz w:val="20"/>
          <w:szCs w:val="20"/>
          <w:lang w:val="en-GB"/>
        </w:rPr>
        <w:t>needed</w:t>
      </w:r>
      <w:r w:rsidRPr="00974666">
        <w:rPr>
          <w:rFonts w:ascii="Calibri" w:hAnsi="Calibri"/>
          <w:sz w:val="20"/>
          <w:szCs w:val="20"/>
          <w:lang w:val="en-GB"/>
        </w:rPr>
        <w:t xml:space="preserve"> and their </w:t>
      </w:r>
      <w:r w:rsidR="003D18B6" w:rsidRPr="00974666">
        <w:rPr>
          <w:rFonts w:ascii="Calibri" w:hAnsi="Calibri"/>
          <w:sz w:val="20"/>
          <w:szCs w:val="20"/>
          <w:lang w:val="en-GB"/>
        </w:rPr>
        <w:t>boundaries</w:t>
      </w:r>
      <w:r w:rsidRPr="00974666">
        <w:rPr>
          <w:rFonts w:ascii="Calibri" w:hAnsi="Calibri"/>
          <w:sz w:val="20"/>
          <w:szCs w:val="20"/>
          <w:lang w:val="en-GB"/>
        </w:rPr>
        <w:t xml:space="preserve"> materialized to make them more easily visible. The Water and Forests Administration will support the deliberations and </w:t>
      </w:r>
      <w:r w:rsidR="003740AA" w:rsidRPr="00974666">
        <w:rPr>
          <w:rFonts w:ascii="Calibri" w:hAnsi="Calibri"/>
          <w:sz w:val="20"/>
          <w:szCs w:val="20"/>
          <w:lang w:val="en-GB"/>
        </w:rPr>
        <w:t>identification</w:t>
      </w:r>
      <w:r w:rsidRPr="00974666">
        <w:rPr>
          <w:rFonts w:ascii="Calibri" w:hAnsi="Calibri"/>
          <w:sz w:val="20"/>
          <w:szCs w:val="20"/>
          <w:lang w:val="en-GB"/>
        </w:rPr>
        <w:t xml:space="preserve"> of geographical coordinates. The project will support the marking of perimeter tracks and </w:t>
      </w:r>
      <w:r w:rsidR="003740AA" w:rsidRPr="00974666">
        <w:rPr>
          <w:rFonts w:ascii="Calibri" w:hAnsi="Calibri"/>
          <w:sz w:val="20"/>
          <w:szCs w:val="20"/>
          <w:lang w:val="en-GB"/>
        </w:rPr>
        <w:t>of boundaries</w:t>
      </w:r>
      <w:r w:rsidRPr="00974666">
        <w:rPr>
          <w:rFonts w:ascii="Calibri" w:hAnsi="Calibri"/>
          <w:sz w:val="20"/>
          <w:szCs w:val="20"/>
          <w:lang w:val="en-GB"/>
        </w:rPr>
        <w:t xml:space="preserve">. The Concession holder and the </w:t>
      </w:r>
      <w:r w:rsidR="003740AA" w:rsidRPr="00974666">
        <w:rPr>
          <w:rFonts w:ascii="Calibri" w:hAnsi="Calibri"/>
          <w:sz w:val="20"/>
          <w:szCs w:val="20"/>
          <w:lang w:val="en-GB"/>
        </w:rPr>
        <w:t>Local Authorities</w:t>
      </w:r>
      <w:r w:rsidRPr="00974666">
        <w:rPr>
          <w:rFonts w:ascii="Calibri" w:hAnsi="Calibri"/>
          <w:sz w:val="20"/>
          <w:szCs w:val="20"/>
          <w:lang w:val="en-GB"/>
        </w:rPr>
        <w:t xml:space="preserve"> will contribut</w:t>
      </w:r>
      <w:r w:rsidR="003740AA" w:rsidRPr="00974666">
        <w:rPr>
          <w:rFonts w:ascii="Calibri" w:hAnsi="Calibri"/>
          <w:sz w:val="20"/>
          <w:szCs w:val="20"/>
          <w:lang w:val="en-GB"/>
        </w:rPr>
        <w:t>e to</w:t>
      </w:r>
      <w:r w:rsidRPr="00974666">
        <w:rPr>
          <w:rFonts w:ascii="Calibri" w:hAnsi="Calibri"/>
          <w:sz w:val="20"/>
          <w:szCs w:val="20"/>
          <w:lang w:val="en-GB"/>
        </w:rPr>
        <w:t xml:space="preserve"> the implementation of the</w:t>
      </w:r>
      <w:r w:rsidR="003740AA" w:rsidRPr="00974666">
        <w:rPr>
          <w:rFonts w:ascii="Calibri" w:hAnsi="Calibri"/>
          <w:sz w:val="20"/>
          <w:szCs w:val="20"/>
          <w:lang w:val="en-GB"/>
        </w:rPr>
        <w:t xml:space="preserve"> </w:t>
      </w:r>
      <w:r w:rsidRPr="00974666">
        <w:rPr>
          <w:rFonts w:ascii="Calibri" w:hAnsi="Calibri"/>
          <w:sz w:val="20"/>
          <w:szCs w:val="20"/>
          <w:lang w:val="en-GB"/>
        </w:rPr>
        <w:t xml:space="preserve">actions by </w:t>
      </w:r>
      <w:r w:rsidR="00974666" w:rsidRPr="00974666">
        <w:rPr>
          <w:rFonts w:ascii="Calibri" w:hAnsi="Calibri"/>
          <w:sz w:val="20"/>
          <w:szCs w:val="20"/>
          <w:lang w:val="en-GB"/>
        </w:rPr>
        <w:t>taking charge of the participants involved in the consultations and the workforce for the delimitation and marking of the perimeter tracks</w:t>
      </w:r>
      <w:r w:rsidRPr="00974666">
        <w:rPr>
          <w:rFonts w:ascii="Calibri" w:hAnsi="Calibri"/>
          <w:sz w:val="20"/>
          <w:szCs w:val="20"/>
          <w:lang w:val="en-GB"/>
        </w:rPr>
        <w:t>, in accordance with the specifications of the concessionaires.</w:t>
      </w:r>
    </w:p>
    <w:p w14:paraId="3A7CBAE8" w14:textId="59BA87C9" w:rsidR="00302BFE" w:rsidRDefault="00302BFE" w:rsidP="00302BFE">
      <w:pPr>
        <w:spacing w:before="120" w:after="120"/>
        <w:rPr>
          <w:i/>
          <w:color w:val="4472C4"/>
          <w:szCs w:val="20"/>
          <w:highlight w:val="yellow"/>
          <w:lang w:val="en-GB"/>
        </w:rPr>
      </w:pPr>
      <w:r w:rsidRPr="005F3825">
        <w:rPr>
          <w:i/>
          <w:color w:val="4472C4"/>
          <w:szCs w:val="20"/>
          <w:lang w:val="en-GB"/>
        </w:rPr>
        <w:t>2.3.2 Development of simplified zoning plans for ZOVICs using the territory planning tool and support for their implementation</w:t>
      </w:r>
      <w:r w:rsidRPr="005F3825">
        <w:rPr>
          <w:i/>
          <w:color w:val="4472C4"/>
          <w:szCs w:val="20"/>
          <w:highlight w:val="yellow"/>
          <w:lang w:val="en-GB"/>
        </w:rPr>
        <w:t xml:space="preserve"> </w:t>
      </w:r>
    </w:p>
    <w:p w14:paraId="63F81C95" w14:textId="42518087" w:rsidR="00470FFF" w:rsidRPr="00BE65D5" w:rsidRDefault="00470FFF" w:rsidP="00302BFE">
      <w:pPr>
        <w:spacing w:before="120" w:after="120"/>
        <w:rPr>
          <w:iCs/>
          <w:color w:val="4472C4"/>
          <w:szCs w:val="20"/>
          <w:lang w:val="en-GB"/>
        </w:rPr>
      </w:pPr>
      <w:r w:rsidRPr="003F4704">
        <w:rPr>
          <w:iCs/>
          <w:color w:val="4472C4"/>
          <w:szCs w:val="20"/>
          <w:highlight w:val="green"/>
          <w:lang w:val="en-GB"/>
        </w:rPr>
        <w:t>For this activity, the FPIC (Free, Prior and Informed Consent) process has to be ensured</w:t>
      </w:r>
    </w:p>
    <w:p w14:paraId="44295F34" w14:textId="6337B8A5" w:rsidR="00A9086D" w:rsidRPr="00D61C93" w:rsidRDefault="00302A03" w:rsidP="00C46720">
      <w:pPr>
        <w:pStyle w:val="Paragraphedeliste"/>
        <w:numPr>
          <w:ilvl w:val="0"/>
          <w:numId w:val="14"/>
        </w:numPr>
        <w:tabs>
          <w:tab w:val="left" w:pos="284"/>
        </w:tabs>
        <w:spacing w:before="120" w:after="120"/>
        <w:ind w:left="0" w:firstLine="0"/>
        <w:jc w:val="both"/>
        <w:rPr>
          <w:rFonts w:asciiTheme="minorHAnsi" w:eastAsia="Cambria" w:hAnsiTheme="minorHAnsi"/>
          <w:sz w:val="20"/>
          <w:szCs w:val="20"/>
          <w:lang w:val="en-GB"/>
        </w:rPr>
      </w:pPr>
      <w:r w:rsidRPr="00D61C93">
        <w:rPr>
          <w:rFonts w:asciiTheme="minorHAnsi" w:hAnsiTheme="minorHAnsi"/>
          <w:sz w:val="20"/>
          <w:szCs w:val="20"/>
          <w:lang w:val="en-GB"/>
        </w:rPr>
        <w:t xml:space="preserve">Management planning for ZOVICs will be based on a prior assessment of the sustainability of management of these areas as performed by current concessionaires, including the assessment of hunting management carried out under the output 2.2.2 related to development and implementation of PA management plans, and more specifically the activities related to strengthening sustainable hunting management (described in paragraph 170). This assessment will examine the level of implementation of the previous development and management plans (DMPs) by the concessionaire Nahouri Safari for the ZOVICs in the Guiaro and Po communes, and the results in terms of habitat and biodiversity preservation, with special attention to the species of fauna and flora that are being exploited. For the ZOVICs in Guiaro commune that have not been concessioned, the project will support the development of new </w:t>
      </w:r>
      <w:r w:rsidR="00E82483" w:rsidRPr="00A63E29">
        <w:rPr>
          <w:rFonts w:asciiTheme="minorHAnsi" w:hAnsiTheme="minorHAnsi"/>
          <w:sz w:val="20"/>
          <w:szCs w:val="20"/>
          <w:highlight w:val="yellow"/>
          <w:lang w:val="en-GB"/>
        </w:rPr>
        <w:t>P</w:t>
      </w:r>
      <w:r w:rsidR="00461D90" w:rsidRPr="00A63E29">
        <w:rPr>
          <w:rFonts w:asciiTheme="minorHAnsi" w:hAnsiTheme="minorHAnsi"/>
          <w:sz w:val="20"/>
          <w:szCs w:val="20"/>
          <w:highlight w:val="yellow"/>
          <w:lang w:val="en-GB"/>
        </w:rPr>
        <w:t>CD</w:t>
      </w:r>
      <w:r w:rsidRPr="00A63E29">
        <w:rPr>
          <w:rFonts w:asciiTheme="minorHAnsi" w:hAnsiTheme="minorHAnsi"/>
          <w:sz w:val="20"/>
          <w:szCs w:val="20"/>
          <w:highlight w:val="yellow"/>
          <w:lang w:val="en-GB"/>
        </w:rPr>
        <w:t>.</w:t>
      </w:r>
      <w:r w:rsidRPr="00D61C93">
        <w:rPr>
          <w:rFonts w:asciiTheme="minorHAnsi" w:hAnsiTheme="minorHAnsi"/>
          <w:sz w:val="20"/>
          <w:szCs w:val="20"/>
          <w:lang w:val="en-GB"/>
        </w:rPr>
        <w:t xml:space="preserve"> The prior assessment of the implementation of existing </w:t>
      </w:r>
      <w:r w:rsidR="00461D90" w:rsidRPr="00A63E29">
        <w:rPr>
          <w:rFonts w:asciiTheme="minorHAnsi" w:hAnsiTheme="minorHAnsi"/>
          <w:sz w:val="20"/>
          <w:szCs w:val="20"/>
          <w:highlight w:val="yellow"/>
          <w:lang w:val="en-GB"/>
        </w:rPr>
        <w:t>PCD</w:t>
      </w:r>
      <w:r w:rsidR="00461D90" w:rsidRPr="00D61C93">
        <w:rPr>
          <w:rFonts w:asciiTheme="minorHAnsi" w:hAnsiTheme="minorHAnsi"/>
          <w:sz w:val="20"/>
          <w:szCs w:val="20"/>
          <w:lang w:val="en-GB"/>
        </w:rPr>
        <w:t xml:space="preserve"> </w:t>
      </w:r>
      <w:r w:rsidRPr="00D61C93">
        <w:rPr>
          <w:rFonts w:asciiTheme="minorHAnsi" w:hAnsiTheme="minorHAnsi"/>
          <w:sz w:val="20"/>
          <w:szCs w:val="20"/>
          <w:lang w:val="en-GB"/>
        </w:rPr>
        <w:t>will also examine the relevance of refining the template to address the challenges that have been encountered so far.</w:t>
      </w:r>
      <w:r w:rsidRPr="00D61C93">
        <w:rPr>
          <w:szCs w:val="20"/>
          <w:lang w:val="en-GB"/>
        </w:rPr>
        <w:t xml:space="preserve"> </w:t>
      </w:r>
    </w:p>
    <w:p w14:paraId="2746A80F" w14:textId="247CF4EF" w:rsidR="00D71C6E" w:rsidRPr="0099310D" w:rsidRDefault="00B64961" w:rsidP="00C46720">
      <w:pPr>
        <w:pStyle w:val="Paragraphedeliste"/>
        <w:numPr>
          <w:ilvl w:val="0"/>
          <w:numId w:val="14"/>
        </w:numPr>
        <w:tabs>
          <w:tab w:val="left" w:pos="284"/>
        </w:tabs>
        <w:spacing w:before="120" w:after="120"/>
        <w:ind w:left="0" w:firstLine="0"/>
        <w:jc w:val="both"/>
        <w:rPr>
          <w:rFonts w:asciiTheme="minorHAnsi" w:eastAsia="Cambria" w:hAnsiTheme="minorHAnsi"/>
          <w:sz w:val="20"/>
          <w:szCs w:val="20"/>
          <w:lang w:val="en-GB"/>
        </w:rPr>
      </w:pPr>
      <w:r w:rsidRPr="0099310D">
        <w:rPr>
          <w:rFonts w:asciiTheme="minorHAnsi" w:hAnsiTheme="minorHAnsi"/>
          <w:sz w:val="20"/>
          <w:szCs w:val="20"/>
          <w:lang w:val="en-GB"/>
        </w:rPr>
        <w:t xml:space="preserve">As described under the section 2.2.2, the issue of the sustainability of hunting management in ZOVICs will be reviewed with the support of a wildlife expert and discussed </w:t>
      </w:r>
      <w:r w:rsidRPr="0099310D">
        <w:rPr>
          <w:rFonts w:asciiTheme="minorHAnsi" w:hAnsiTheme="minorHAnsi"/>
          <w:sz w:val="20"/>
          <w:szCs w:val="20"/>
          <w:lang w:val="en-CA"/>
        </w:rPr>
        <w:t>by actors within the Government, the private sector and local populations likely to be affected by decisions regarding hunting management in ZOVICs.</w:t>
      </w:r>
      <w:r w:rsidRPr="0099310D">
        <w:rPr>
          <w:rFonts w:asciiTheme="minorHAnsi" w:hAnsiTheme="minorHAnsi"/>
          <w:sz w:val="20"/>
          <w:szCs w:val="20"/>
          <w:lang w:val="en-GB"/>
        </w:rPr>
        <w:t xml:space="preserve"> The purpose is</w:t>
      </w:r>
      <w:r w:rsidRPr="0099310D">
        <w:rPr>
          <w:rFonts w:asciiTheme="minorHAnsi" w:hAnsiTheme="minorHAnsi"/>
          <w:sz w:val="20"/>
          <w:szCs w:val="20"/>
          <w:lang w:val="en-CA"/>
        </w:rPr>
        <w:t xml:space="preserve"> that</w:t>
      </w:r>
      <w:r w:rsidR="00527C15" w:rsidRPr="0099310D">
        <w:rPr>
          <w:rFonts w:asciiTheme="minorHAnsi" w:hAnsiTheme="minorHAnsi"/>
          <w:sz w:val="20"/>
          <w:szCs w:val="20"/>
          <w:lang w:val="en-CA"/>
        </w:rPr>
        <w:t>,</w:t>
      </w:r>
      <w:r w:rsidRPr="0099310D">
        <w:rPr>
          <w:rFonts w:asciiTheme="minorHAnsi" w:hAnsiTheme="minorHAnsi"/>
          <w:sz w:val="20"/>
          <w:szCs w:val="20"/>
          <w:lang w:val="en-GB"/>
        </w:rPr>
        <w:t xml:space="preserve"> </w:t>
      </w:r>
      <w:r w:rsidR="00D03BDF" w:rsidRPr="0099310D">
        <w:rPr>
          <w:rFonts w:asciiTheme="minorHAnsi" w:hAnsiTheme="minorHAnsi"/>
          <w:sz w:val="20"/>
          <w:szCs w:val="20"/>
          <w:lang w:val="en-CA"/>
        </w:rPr>
        <w:t xml:space="preserve">on the basis of </w:t>
      </w:r>
      <w:r w:rsidRPr="0099310D">
        <w:rPr>
          <w:rFonts w:asciiTheme="minorHAnsi" w:hAnsiTheme="minorHAnsi"/>
          <w:sz w:val="20"/>
          <w:szCs w:val="20"/>
          <w:lang w:val="en-GB"/>
        </w:rPr>
        <w:t xml:space="preserve">a clear understanding of the recent population trends </w:t>
      </w:r>
      <w:r w:rsidR="00D03BDF" w:rsidRPr="0099310D">
        <w:rPr>
          <w:rFonts w:asciiTheme="minorHAnsi" w:hAnsiTheme="minorHAnsi"/>
          <w:sz w:val="20"/>
          <w:szCs w:val="20"/>
          <w:lang w:val="en-GB"/>
        </w:rPr>
        <w:t>of</w:t>
      </w:r>
      <w:r w:rsidRPr="0099310D">
        <w:rPr>
          <w:rFonts w:asciiTheme="minorHAnsi" w:hAnsiTheme="minorHAnsi"/>
          <w:sz w:val="20"/>
          <w:szCs w:val="20"/>
          <w:lang w:val="en-GB"/>
        </w:rPr>
        <w:t xml:space="preserve"> exploited specie</w:t>
      </w:r>
      <w:r w:rsidR="00527C15" w:rsidRPr="0099310D">
        <w:rPr>
          <w:rFonts w:asciiTheme="minorHAnsi" w:hAnsiTheme="minorHAnsi"/>
          <w:sz w:val="20"/>
          <w:szCs w:val="20"/>
          <w:lang w:val="en-GB"/>
        </w:rPr>
        <w:t>s</w:t>
      </w:r>
      <w:r w:rsidRPr="0099310D">
        <w:rPr>
          <w:rFonts w:asciiTheme="minorHAnsi" w:hAnsiTheme="minorHAnsi"/>
          <w:sz w:val="20"/>
          <w:szCs w:val="20"/>
          <w:lang w:val="en-GB"/>
        </w:rPr>
        <w:t xml:space="preserve"> and of the socioeconomic impacts for all stakeholders, </w:t>
      </w:r>
      <w:r w:rsidR="00D03BDF" w:rsidRPr="0099310D">
        <w:rPr>
          <w:rFonts w:asciiTheme="minorHAnsi" w:hAnsiTheme="minorHAnsi"/>
          <w:sz w:val="20"/>
          <w:szCs w:val="20"/>
          <w:lang w:val="en-CA"/>
        </w:rPr>
        <w:t xml:space="preserve">particularly </w:t>
      </w:r>
      <w:r w:rsidRPr="0099310D">
        <w:rPr>
          <w:rFonts w:asciiTheme="minorHAnsi" w:hAnsiTheme="minorHAnsi"/>
          <w:sz w:val="20"/>
          <w:szCs w:val="20"/>
          <w:lang w:val="en-GB"/>
        </w:rPr>
        <w:t>local communities</w:t>
      </w:r>
      <w:r w:rsidR="00527C15" w:rsidRPr="0099310D">
        <w:rPr>
          <w:rFonts w:asciiTheme="minorHAnsi" w:hAnsiTheme="minorHAnsi"/>
          <w:sz w:val="20"/>
          <w:szCs w:val="20"/>
          <w:lang w:val="en-GB"/>
        </w:rPr>
        <w:t>,</w:t>
      </w:r>
      <w:r w:rsidRPr="0099310D">
        <w:rPr>
          <w:rFonts w:asciiTheme="minorHAnsi" w:hAnsiTheme="minorHAnsi"/>
          <w:sz w:val="20"/>
          <w:szCs w:val="20"/>
          <w:lang w:val="en-GB"/>
        </w:rPr>
        <w:t xml:space="preserve"> </w:t>
      </w:r>
      <w:r w:rsidR="00527C15" w:rsidRPr="0099310D">
        <w:rPr>
          <w:rFonts w:asciiTheme="minorHAnsi" w:hAnsiTheme="minorHAnsi"/>
          <w:sz w:val="20"/>
          <w:szCs w:val="20"/>
          <w:lang w:val="en-GB"/>
        </w:rPr>
        <w:t xml:space="preserve">participants </w:t>
      </w:r>
      <w:r w:rsidR="00D03BDF" w:rsidRPr="0099310D">
        <w:rPr>
          <w:rFonts w:asciiTheme="minorHAnsi" w:hAnsiTheme="minorHAnsi"/>
          <w:sz w:val="20"/>
          <w:szCs w:val="20"/>
          <w:lang w:val="en-CA"/>
        </w:rPr>
        <w:t>can have a common</w:t>
      </w:r>
      <w:r w:rsidRPr="0099310D">
        <w:rPr>
          <w:rFonts w:asciiTheme="minorHAnsi" w:hAnsiTheme="minorHAnsi"/>
          <w:sz w:val="20"/>
          <w:szCs w:val="20"/>
          <w:lang w:val="en-CA"/>
        </w:rPr>
        <w:t xml:space="preserve"> vision of the </w:t>
      </w:r>
      <w:r w:rsidR="00527C15" w:rsidRPr="0099310D">
        <w:rPr>
          <w:rFonts w:asciiTheme="minorHAnsi" w:hAnsiTheme="minorHAnsi"/>
          <w:sz w:val="20"/>
          <w:szCs w:val="20"/>
          <w:lang w:val="en-CA"/>
        </w:rPr>
        <w:t>measures</w:t>
      </w:r>
      <w:r w:rsidRPr="0099310D">
        <w:rPr>
          <w:rFonts w:asciiTheme="minorHAnsi" w:hAnsiTheme="minorHAnsi"/>
          <w:sz w:val="20"/>
          <w:szCs w:val="20"/>
          <w:lang w:val="en-CA"/>
        </w:rPr>
        <w:t xml:space="preserve"> to </w:t>
      </w:r>
      <w:r w:rsidR="00D03BDF" w:rsidRPr="0099310D">
        <w:rPr>
          <w:rFonts w:asciiTheme="minorHAnsi" w:hAnsiTheme="minorHAnsi"/>
          <w:sz w:val="20"/>
          <w:szCs w:val="20"/>
          <w:lang w:val="en-CA"/>
        </w:rPr>
        <w:t xml:space="preserve">be </w:t>
      </w:r>
      <w:r w:rsidR="00527C15" w:rsidRPr="0099310D">
        <w:rPr>
          <w:rFonts w:asciiTheme="minorHAnsi" w:hAnsiTheme="minorHAnsi"/>
          <w:sz w:val="20"/>
          <w:szCs w:val="20"/>
          <w:lang w:val="en-CA"/>
        </w:rPr>
        <w:t>adopt</w:t>
      </w:r>
      <w:r w:rsidR="00D03BDF" w:rsidRPr="0099310D">
        <w:rPr>
          <w:rFonts w:asciiTheme="minorHAnsi" w:hAnsiTheme="minorHAnsi"/>
          <w:sz w:val="20"/>
          <w:szCs w:val="20"/>
          <w:lang w:val="en-CA"/>
        </w:rPr>
        <w:t>ed</w:t>
      </w:r>
      <w:r w:rsidRPr="0099310D">
        <w:rPr>
          <w:rFonts w:asciiTheme="minorHAnsi" w:hAnsiTheme="minorHAnsi"/>
          <w:sz w:val="20"/>
          <w:szCs w:val="20"/>
          <w:lang w:val="en-CA"/>
        </w:rPr>
        <w:t xml:space="preserve"> to alleviate pressures on game species, namely poaching and </w:t>
      </w:r>
      <w:r w:rsidRPr="0099310D">
        <w:rPr>
          <w:rFonts w:asciiTheme="minorHAnsi" w:hAnsiTheme="minorHAnsi"/>
          <w:sz w:val="20"/>
          <w:szCs w:val="20"/>
          <w:lang w:val="en-CA"/>
        </w:rPr>
        <w:lastRenderedPageBreak/>
        <w:t xml:space="preserve">hunting, </w:t>
      </w:r>
      <w:r w:rsidR="00D03BDF" w:rsidRPr="0099310D">
        <w:rPr>
          <w:rFonts w:asciiTheme="minorHAnsi" w:hAnsiTheme="minorHAnsi"/>
          <w:sz w:val="20"/>
          <w:szCs w:val="20"/>
          <w:lang w:val="en-CA"/>
        </w:rPr>
        <w:t>and</w:t>
      </w:r>
      <w:r w:rsidRPr="0099310D">
        <w:rPr>
          <w:rFonts w:asciiTheme="minorHAnsi" w:hAnsiTheme="minorHAnsi"/>
          <w:sz w:val="20"/>
          <w:szCs w:val="20"/>
          <w:lang w:val="en-CA"/>
        </w:rPr>
        <w:t xml:space="preserve"> broad</w:t>
      </w:r>
      <w:r w:rsidR="00D03BDF" w:rsidRPr="0099310D">
        <w:rPr>
          <w:rFonts w:asciiTheme="minorHAnsi" w:hAnsiTheme="minorHAnsi"/>
          <w:sz w:val="20"/>
          <w:szCs w:val="20"/>
          <w:lang w:val="en-CA"/>
        </w:rPr>
        <w:t>ly</w:t>
      </w:r>
      <w:r w:rsidRPr="0099310D">
        <w:rPr>
          <w:rFonts w:asciiTheme="minorHAnsi" w:hAnsiTheme="minorHAnsi"/>
          <w:sz w:val="20"/>
          <w:szCs w:val="20"/>
          <w:lang w:val="en-CA"/>
        </w:rPr>
        <w:t xml:space="preserve"> support the suspension of hunting activities until the capacity of animal populations to withstand exploitation can be clearly demonstrated.</w:t>
      </w:r>
    </w:p>
    <w:p w14:paraId="68CD370F" w14:textId="7BCEBB0C" w:rsidR="00BD05D6" w:rsidRPr="0099310D" w:rsidRDefault="00BD05D6" w:rsidP="00C46720">
      <w:pPr>
        <w:pStyle w:val="Paragraphedeliste"/>
        <w:numPr>
          <w:ilvl w:val="0"/>
          <w:numId w:val="14"/>
        </w:numPr>
        <w:tabs>
          <w:tab w:val="left" w:pos="284"/>
        </w:tabs>
        <w:spacing w:before="120" w:after="120"/>
        <w:ind w:left="0" w:firstLine="0"/>
        <w:jc w:val="both"/>
        <w:rPr>
          <w:rFonts w:asciiTheme="minorHAnsi" w:eastAsia="Cambria" w:hAnsiTheme="minorHAnsi"/>
          <w:sz w:val="20"/>
          <w:szCs w:val="20"/>
          <w:lang w:val="en-GB"/>
        </w:rPr>
      </w:pPr>
      <w:r w:rsidRPr="0099310D">
        <w:rPr>
          <w:rFonts w:asciiTheme="minorHAnsi" w:hAnsiTheme="minorHAnsi"/>
          <w:sz w:val="20"/>
          <w:szCs w:val="20"/>
          <w:lang w:val="en-CA"/>
        </w:rPr>
        <w:t xml:space="preserve">An independent expert assessment will be undertaken in the third year of the project to assess the status of game populations and </w:t>
      </w:r>
      <w:r w:rsidRPr="0099310D">
        <w:rPr>
          <w:rFonts w:asciiTheme="minorHAnsi" w:eastAsia="Times New Roman" w:hAnsiTheme="minorHAnsi" w:cs="Arial"/>
          <w:color w:val="212529"/>
          <w:sz w:val="20"/>
          <w:szCs w:val="20"/>
          <w:lang w:val="en-CA" w:eastAsia="en-GB"/>
        </w:rPr>
        <w:t xml:space="preserve">provide a professional opinion on the viability of hunting activities and on the management capacities </w:t>
      </w:r>
      <w:r w:rsidRPr="0099310D">
        <w:rPr>
          <w:rFonts w:asciiTheme="minorHAnsi" w:hAnsiTheme="minorHAnsi"/>
          <w:sz w:val="20"/>
          <w:szCs w:val="20"/>
          <w:lang w:val="en-CA"/>
        </w:rPr>
        <w:t>of the concessionaires, the village hunting management committees and actors responsible for supervising the management of ZOVICs within the Government</w:t>
      </w:r>
      <w:r w:rsidRPr="0099310D">
        <w:rPr>
          <w:rFonts w:asciiTheme="minorHAnsi" w:eastAsia="Times New Roman" w:hAnsiTheme="minorHAnsi" w:cs="Arial"/>
          <w:color w:val="212529"/>
          <w:sz w:val="20"/>
          <w:szCs w:val="20"/>
          <w:lang w:val="en-CA" w:eastAsia="en-GB"/>
        </w:rPr>
        <w:t xml:space="preserve">. </w:t>
      </w:r>
      <w:r w:rsidRPr="0099310D">
        <w:rPr>
          <w:rFonts w:asciiTheme="minorHAnsi" w:hAnsiTheme="minorHAnsi"/>
          <w:sz w:val="20"/>
          <w:szCs w:val="20"/>
          <w:lang w:val="en-CA"/>
        </w:rPr>
        <w:t xml:space="preserve">Conclusions will address the capacity of game species populations in the ZOVICs to withstand hunting pressure and determine whether subsistence and/or sport hunting activities could be resumed and, if so, where, at what levels, under what conditions and according to what benefit-sharing rules. Depending on the conclusions of the assessment, the project will focus on strengthening the management of ZOVICs excluding hunting or strengthen capacities to ensure the sustainable management of hunting and equitable sharing of its benefits. </w:t>
      </w:r>
      <w:r w:rsidRPr="0099310D">
        <w:rPr>
          <w:rFonts w:asciiTheme="minorHAnsi" w:eastAsia="Times New Roman" w:hAnsiTheme="minorHAnsi" w:cs="Arial"/>
          <w:color w:val="212529"/>
          <w:sz w:val="20"/>
          <w:szCs w:val="20"/>
          <w:lang w:val="en-CA" w:eastAsia="en-GB"/>
        </w:rPr>
        <w:t>Should the assessment conclude that efforts to improve the management effectiveness for the ZOVICs have not led to a significant improvement of the status of game populations and that hunting activities cannot be resumed, the project will focus resources on strengthening the management of ZOVICs, excluding hunting.</w:t>
      </w:r>
      <w:r w:rsidRPr="0099310D">
        <w:rPr>
          <w:rFonts w:asciiTheme="minorHAnsi" w:hAnsiTheme="minorHAnsi"/>
          <w:sz w:val="20"/>
          <w:szCs w:val="20"/>
          <w:lang w:val="en-CA"/>
        </w:rPr>
        <w:t xml:space="preserve"> Should the conclusions support the resumption of hunting activities </w:t>
      </w:r>
      <w:r w:rsidRPr="0099310D">
        <w:rPr>
          <w:rFonts w:asciiTheme="minorHAnsi" w:hAnsiTheme="minorHAnsi"/>
          <w:sz w:val="20"/>
          <w:szCs w:val="20"/>
          <w:lang w:val="en-GB"/>
        </w:rPr>
        <w:t>in the ZOVICs</w:t>
      </w:r>
      <w:r w:rsidRPr="0099310D">
        <w:rPr>
          <w:rFonts w:asciiTheme="minorHAnsi" w:hAnsiTheme="minorHAnsi"/>
          <w:sz w:val="20"/>
          <w:szCs w:val="20"/>
          <w:lang w:val="en-CA"/>
        </w:rPr>
        <w:t xml:space="preserve"> in a foreseeable future, </w:t>
      </w:r>
      <w:r w:rsidRPr="0099310D">
        <w:rPr>
          <w:rFonts w:asciiTheme="minorHAnsi" w:hAnsiTheme="minorHAnsi"/>
          <w:sz w:val="20"/>
          <w:szCs w:val="20"/>
          <w:lang w:val="en-GB"/>
        </w:rPr>
        <w:t>the project will implement the activities described hereafter to strengthen the management of game and/or subsistence hunting by the concerned stakeholders within the Government and local communities (</w:t>
      </w:r>
      <w:r w:rsidRPr="0099310D">
        <w:rPr>
          <w:rFonts w:asciiTheme="minorHAnsi" w:hAnsiTheme="minorHAnsi"/>
          <w:sz w:val="20"/>
          <w:szCs w:val="20"/>
          <w:lang w:val="en-CA"/>
        </w:rPr>
        <w:t>village committees for wildlife management</w:t>
      </w:r>
      <w:r w:rsidRPr="0099310D">
        <w:rPr>
          <w:rFonts w:asciiTheme="minorHAnsi" w:hAnsiTheme="minorHAnsi"/>
          <w:sz w:val="20"/>
          <w:szCs w:val="20"/>
          <w:lang w:val="en-GB"/>
        </w:rPr>
        <w:t>), as part of the management of the ZOVICs.</w:t>
      </w:r>
    </w:p>
    <w:p w14:paraId="519C6341" w14:textId="6BB381E2" w:rsidR="00302BFE" w:rsidRPr="005F3825" w:rsidRDefault="00302BFE" w:rsidP="00C46720">
      <w:pPr>
        <w:pStyle w:val="Paragraphedeliste"/>
        <w:numPr>
          <w:ilvl w:val="0"/>
          <w:numId w:val="14"/>
        </w:numPr>
        <w:tabs>
          <w:tab w:val="left" w:pos="284"/>
        </w:tabs>
        <w:spacing w:before="120" w:after="120"/>
        <w:ind w:left="0" w:firstLine="0"/>
        <w:jc w:val="both"/>
        <w:rPr>
          <w:rFonts w:ascii="Calibri" w:eastAsia="Cambria" w:hAnsi="Calibri"/>
          <w:sz w:val="20"/>
          <w:szCs w:val="20"/>
          <w:lang w:val="en-GB"/>
        </w:rPr>
      </w:pPr>
      <w:r w:rsidRPr="005F3825">
        <w:rPr>
          <w:rFonts w:ascii="Calibri" w:hAnsi="Calibri"/>
          <w:sz w:val="20"/>
          <w:szCs w:val="20"/>
          <w:lang w:val="en-GB"/>
        </w:rPr>
        <w:t xml:space="preserve">The new </w:t>
      </w:r>
      <w:r w:rsidR="00590A4E" w:rsidRPr="00A63E29">
        <w:rPr>
          <w:rFonts w:ascii="Calibri" w:hAnsi="Calibri"/>
          <w:sz w:val="20"/>
          <w:szCs w:val="20"/>
          <w:highlight w:val="yellow"/>
          <w:lang w:val="en-GB"/>
        </w:rPr>
        <w:t>development and management plans (PAG)</w:t>
      </w:r>
      <w:r w:rsidR="0028139B" w:rsidRPr="005F3825">
        <w:rPr>
          <w:rFonts w:ascii="Calibri" w:hAnsi="Calibri"/>
          <w:sz w:val="20"/>
          <w:szCs w:val="20"/>
          <w:lang w:val="en-GB"/>
        </w:rPr>
        <w:t xml:space="preserve"> </w:t>
      </w:r>
      <w:r w:rsidRPr="005F3825">
        <w:rPr>
          <w:rFonts w:ascii="Calibri" w:hAnsi="Calibri"/>
          <w:sz w:val="20"/>
          <w:szCs w:val="20"/>
          <w:lang w:val="en-GB"/>
        </w:rPr>
        <w:t xml:space="preserve">will be developed on a participatory basis and will incorporate clear conservation objectives, </w:t>
      </w:r>
      <w:r w:rsidR="00B1378C">
        <w:rPr>
          <w:rFonts w:ascii="Calibri" w:hAnsi="Calibri"/>
          <w:sz w:val="20"/>
          <w:szCs w:val="20"/>
          <w:lang w:val="en-GB"/>
        </w:rPr>
        <w:t>a monitoring</w:t>
      </w:r>
      <w:r w:rsidRPr="005F3825">
        <w:rPr>
          <w:rFonts w:ascii="Calibri" w:hAnsi="Calibri"/>
          <w:sz w:val="20"/>
          <w:szCs w:val="20"/>
          <w:lang w:val="en-GB"/>
        </w:rPr>
        <w:t xml:space="preserve"> </w:t>
      </w:r>
      <w:r w:rsidR="00B1378C">
        <w:rPr>
          <w:rFonts w:ascii="Calibri" w:hAnsi="Calibri"/>
          <w:sz w:val="20"/>
          <w:szCs w:val="20"/>
          <w:lang w:val="en-GB"/>
        </w:rPr>
        <w:t>system</w:t>
      </w:r>
      <w:r w:rsidRPr="005F3825">
        <w:rPr>
          <w:rFonts w:ascii="Calibri" w:hAnsi="Calibri"/>
          <w:sz w:val="20"/>
          <w:szCs w:val="20"/>
          <w:lang w:val="en-GB"/>
        </w:rPr>
        <w:t xml:space="preserve"> bas</w:t>
      </w:r>
      <w:r w:rsidR="00B1378C">
        <w:rPr>
          <w:rFonts w:ascii="Calibri" w:hAnsi="Calibri"/>
          <w:sz w:val="20"/>
          <w:szCs w:val="20"/>
          <w:lang w:val="en-GB"/>
        </w:rPr>
        <w:t>ed</w:t>
      </w:r>
      <w:r w:rsidRPr="005F3825">
        <w:rPr>
          <w:rFonts w:ascii="Calibri" w:hAnsi="Calibri"/>
          <w:sz w:val="20"/>
          <w:szCs w:val="20"/>
          <w:lang w:val="en-GB"/>
        </w:rPr>
        <w:t xml:space="preserve"> o</w:t>
      </w:r>
      <w:r w:rsidR="00B1378C">
        <w:rPr>
          <w:rFonts w:ascii="Calibri" w:hAnsi="Calibri"/>
          <w:sz w:val="20"/>
          <w:szCs w:val="20"/>
          <w:lang w:val="en-GB"/>
        </w:rPr>
        <w:t>n</w:t>
      </w:r>
      <w:r w:rsidRPr="005F3825">
        <w:rPr>
          <w:rFonts w:ascii="Calibri" w:hAnsi="Calibri"/>
          <w:sz w:val="20"/>
          <w:szCs w:val="20"/>
          <w:lang w:val="en-GB"/>
        </w:rPr>
        <w:t xml:space="preserve"> simple indicators to be measured with the participation of local communities, and a joint annual assessment process involving the participation of all stakeholders. Improving resource management within the ZOVICs, including hunting activities, will require collaborative management and planning plans to be developed as tools for the sustainable planning and management of the ZOVICs and their resources following the process described for output 2.2.2. Management plans will include i) an assessment of sustainable harvest thresholds for small game species that are exploited by small game and subsistence hunting (details under the section on </w:t>
      </w:r>
      <w:r w:rsidRPr="005F3825">
        <w:rPr>
          <w:rFonts w:ascii="Calibri" w:hAnsi="Calibri"/>
          <w:i/>
          <w:sz w:val="20"/>
          <w:szCs w:val="20"/>
          <w:lang w:val="en-GB"/>
        </w:rPr>
        <w:t>Strengthening Hunting Activity Management Measures</w:t>
      </w:r>
      <w:r w:rsidRPr="005F3825">
        <w:rPr>
          <w:rFonts w:ascii="Calibri" w:hAnsi="Calibri"/>
          <w:sz w:val="20"/>
          <w:szCs w:val="20"/>
          <w:lang w:val="en-GB"/>
        </w:rPr>
        <w:t xml:space="preserve"> in the framework of output 2.2.2), ii) a program of surveillance against illegal acts and overexploitation of natural resources, iii) ecological monitoring of key resources of ZOVICs, activities within ZOVICs including subsistence hunting and tourist hunting, and (iv) identification of essential management measures, such as water points, surveillance routes and perimeter tracks. It will be necessary to revise governance rules to secure the benefits of local communities. Local governance practices will be improved through training, awareness raising and renewal of ZOVIC management structures, village development committees and their commissions for wildlife management - or Village Wildlife Management Groups, as well as clarification of expected benefits and fair rules for sharing these benefits. DMPs should include an estimate of the costs and timing of the developments and the identification of funding sources including financial and labour contributions from local communities, the concessionaire and other potential partners. DMPs should be approved by </w:t>
      </w:r>
      <w:r w:rsidR="009363D6">
        <w:rPr>
          <w:rFonts w:ascii="Calibri" w:hAnsi="Calibri"/>
          <w:sz w:val="20"/>
          <w:szCs w:val="20"/>
          <w:lang w:val="en-GB"/>
        </w:rPr>
        <w:t>Communal</w:t>
      </w:r>
      <w:r w:rsidRPr="005F3825">
        <w:rPr>
          <w:rFonts w:ascii="Calibri" w:hAnsi="Calibri"/>
          <w:sz w:val="20"/>
          <w:szCs w:val="20"/>
          <w:lang w:val="en-GB"/>
        </w:rPr>
        <w:t xml:space="preserve"> Councils.</w:t>
      </w:r>
    </w:p>
    <w:p w14:paraId="7798A228" w14:textId="6F4C260C" w:rsidR="00302BFE" w:rsidRDefault="00302BFE" w:rsidP="00302BFE">
      <w:pPr>
        <w:pStyle w:val="Paragraphedeliste"/>
        <w:tabs>
          <w:tab w:val="left" w:pos="284"/>
        </w:tabs>
        <w:spacing w:before="240" w:after="120"/>
        <w:ind w:left="0"/>
        <w:jc w:val="both"/>
        <w:rPr>
          <w:rFonts w:ascii="Calibri" w:hAnsi="Calibri"/>
          <w:b/>
          <w:sz w:val="20"/>
          <w:szCs w:val="20"/>
          <w:lang w:val="en-GB"/>
        </w:rPr>
      </w:pPr>
      <w:r w:rsidRPr="005F3825">
        <w:rPr>
          <w:rFonts w:ascii="Calibri" w:hAnsi="Calibri"/>
          <w:b/>
          <w:sz w:val="20"/>
          <w:szCs w:val="20"/>
          <w:lang w:val="en-GB"/>
        </w:rPr>
        <w:t>Output 2.4 An effective PONASI landscape-wide elephant protection plan is developed and implemented. This plan incorporates the results of a scientific survey clarifying the essential elephant movement corridors within the PONASI complex and other neighbouring ecological complexes in the country and in Ghana.</w:t>
      </w:r>
    </w:p>
    <w:p w14:paraId="15FE7F82" w14:textId="77777777" w:rsidR="004F4706" w:rsidRPr="003F4704" w:rsidRDefault="004F4706" w:rsidP="004F4706">
      <w:pPr>
        <w:spacing w:before="120" w:after="0"/>
        <w:contextualSpacing/>
        <w:rPr>
          <w:bCs/>
          <w:szCs w:val="20"/>
          <w:highlight w:val="green"/>
          <w:lang w:val="en-GB"/>
        </w:rPr>
      </w:pPr>
      <w:r w:rsidRPr="003F4704">
        <w:rPr>
          <w:bCs/>
          <w:szCs w:val="20"/>
          <w:highlight w:val="green"/>
          <w:lang w:val="en-GB"/>
        </w:rPr>
        <w:t>To assess and manage the impacts of this Output, as indicated in the SESP – in attachment to the ProDoc – the following assessment and management processes will be put in place, to comply with UNDP SES:</w:t>
      </w:r>
    </w:p>
    <w:p w14:paraId="5F6E63E9" w14:textId="77777777" w:rsidR="004F4706" w:rsidRPr="003F4704" w:rsidRDefault="004F4706" w:rsidP="004F4706">
      <w:pPr>
        <w:spacing w:before="120" w:after="0"/>
        <w:contextualSpacing/>
        <w:rPr>
          <w:bCs/>
          <w:szCs w:val="20"/>
          <w:highlight w:val="green"/>
          <w:u w:val="single"/>
          <w:lang w:val="en-GB"/>
        </w:rPr>
      </w:pPr>
      <w:r w:rsidRPr="003F4704">
        <w:rPr>
          <w:bCs/>
          <w:szCs w:val="20"/>
          <w:highlight w:val="green"/>
          <w:u w:val="single"/>
          <w:lang w:val="en-GB"/>
        </w:rPr>
        <w:t>Assessments:</w:t>
      </w:r>
    </w:p>
    <w:p w14:paraId="5BE71AA2" w14:textId="77777777" w:rsidR="004F4706" w:rsidRPr="003F4704" w:rsidRDefault="004F4706" w:rsidP="004F4706">
      <w:pPr>
        <w:spacing w:before="120" w:after="0"/>
        <w:contextualSpacing/>
        <w:rPr>
          <w:bCs/>
          <w:szCs w:val="20"/>
          <w:highlight w:val="green"/>
          <w:lang w:val="en-GB"/>
        </w:rPr>
      </w:pPr>
      <w:r w:rsidRPr="003F4704">
        <w:rPr>
          <w:highlight w:val="green"/>
        </w:rPr>
        <w:t>ESIA (Environmental and Social Impact Assessment)</w:t>
      </w:r>
    </w:p>
    <w:p w14:paraId="4BF59563" w14:textId="77777777" w:rsidR="004F4706" w:rsidRPr="003F4704" w:rsidRDefault="004F4706" w:rsidP="004F4706">
      <w:pPr>
        <w:spacing w:before="120" w:after="0"/>
        <w:contextualSpacing/>
        <w:rPr>
          <w:highlight w:val="green"/>
          <w:u w:val="single"/>
        </w:rPr>
      </w:pPr>
      <w:r w:rsidRPr="003F4704">
        <w:rPr>
          <w:highlight w:val="green"/>
          <w:u w:val="single"/>
        </w:rPr>
        <w:t>Management:</w:t>
      </w:r>
    </w:p>
    <w:p w14:paraId="2FE74AE9" w14:textId="77777777" w:rsidR="004F4706" w:rsidRPr="003F4704" w:rsidRDefault="004F4706" w:rsidP="004F4706">
      <w:pPr>
        <w:spacing w:before="120" w:after="120"/>
        <w:contextualSpacing/>
        <w:rPr>
          <w:rFonts w:asciiTheme="minorHAnsi" w:hAnsiTheme="minorHAnsi" w:cstheme="minorHAnsi"/>
          <w:szCs w:val="20"/>
          <w:highlight w:val="green"/>
        </w:rPr>
      </w:pPr>
      <w:r w:rsidRPr="003F4704">
        <w:rPr>
          <w:rFonts w:asciiTheme="minorHAnsi" w:hAnsiTheme="minorHAnsi" w:cstheme="minorHAnsi"/>
          <w:szCs w:val="20"/>
          <w:highlight w:val="green"/>
        </w:rPr>
        <w:t>Comprehensive Stakeholder Engagement Plan</w:t>
      </w:r>
    </w:p>
    <w:p w14:paraId="5731A85B" w14:textId="77777777" w:rsidR="004F4706" w:rsidRPr="003F4704" w:rsidRDefault="004F4706" w:rsidP="004F4706">
      <w:pPr>
        <w:spacing w:before="120" w:after="120"/>
        <w:contextualSpacing/>
        <w:rPr>
          <w:rFonts w:asciiTheme="minorHAnsi" w:hAnsiTheme="minorHAnsi" w:cstheme="minorHAnsi"/>
          <w:szCs w:val="20"/>
          <w:highlight w:val="green"/>
        </w:rPr>
      </w:pPr>
      <w:r w:rsidRPr="003F4704">
        <w:rPr>
          <w:rFonts w:asciiTheme="minorHAnsi" w:hAnsiTheme="minorHAnsi" w:cstheme="minorHAnsi"/>
          <w:szCs w:val="20"/>
          <w:highlight w:val="green"/>
        </w:rPr>
        <w:t>Indigenous People Plan</w:t>
      </w:r>
    </w:p>
    <w:p w14:paraId="575C964A" w14:textId="50B626A2" w:rsidR="004F4706" w:rsidRPr="00BE65D5" w:rsidRDefault="004F4706" w:rsidP="00BE65D5">
      <w:pPr>
        <w:spacing w:before="120"/>
        <w:contextualSpacing/>
        <w:rPr>
          <w:bCs/>
          <w:szCs w:val="20"/>
          <w:lang w:val="en-GB"/>
        </w:rPr>
      </w:pPr>
      <w:r w:rsidRPr="003F4704">
        <w:rPr>
          <w:rFonts w:asciiTheme="minorHAnsi" w:hAnsiTheme="minorHAnsi" w:cstheme="minorHAnsi"/>
          <w:szCs w:val="20"/>
          <w:highlight w:val="green"/>
        </w:rPr>
        <w:t>ESMP</w:t>
      </w:r>
    </w:p>
    <w:p w14:paraId="3591C7CD" w14:textId="77777777" w:rsidR="00302BFE" w:rsidRPr="005F3825" w:rsidRDefault="00302BFE" w:rsidP="00C46720">
      <w:pPr>
        <w:pStyle w:val="Paragraphedeliste"/>
        <w:numPr>
          <w:ilvl w:val="0"/>
          <w:numId w:val="14"/>
        </w:numPr>
        <w:tabs>
          <w:tab w:val="left" w:pos="284"/>
        </w:tabs>
        <w:spacing w:before="120" w:after="120"/>
        <w:ind w:left="0" w:firstLine="0"/>
        <w:jc w:val="both"/>
        <w:rPr>
          <w:rFonts w:ascii="Calibri" w:eastAsia="Cambria" w:hAnsi="Calibri"/>
          <w:sz w:val="20"/>
          <w:szCs w:val="20"/>
          <w:lang w:val="en-GB"/>
        </w:rPr>
      </w:pPr>
      <w:r w:rsidRPr="005F3825">
        <w:rPr>
          <w:rFonts w:ascii="Calibri" w:hAnsi="Calibri"/>
          <w:sz w:val="20"/>
          <w:szCs w:val="20"/>
          <w:lang w:val="en-GB"/>
        </w:rPr>
        <w:t xml:space="preserve">An effective elephant protection plan at the landscape level will be developed and implemented for the entire PONASI complex. It will include an overall strategy for human-wildlife conflict management using the </w:t>
      </w:r>
      <w:r w:rsidRPr="005F3825">
        <w:rPr>
          <w:rFonts w:ascii="Calibri" w:hAnsi="Calibri"/>
          <w:i/>
          <w:sz w:val="20"/>
          <w:szCs w:val="20"/>
          <w:lang w:val="en-GB"/>
        </w:rPr>
        <w:t>SAFE systems</w:t>
      </w:r>
      <w:r w:rsidRPr="005F3825">
        <w:rPr>
          <w:rFonts w:ascii="Calibri" w:hAnsi="Calibri"/>
          <w:sz w:val="20"/>
          <w:szCs w:val="20"/>
          <w:lang w:val="en-GB"/>
        </w:rPr>
        <w:t xml:space="preserve"> approach, with a set of management actions aimed at securing the targeted landscape. The Elephant Protection Plan will be framed by the CITES Resolutions in its African Elephant Action Plan and will include an international partnership with Ghana on elephant range management. Facilitated by the IUCN Elephant Specialist Group, this will strengthen and create the means (including financial) to implement the country's elephant protection plan, with a focus on sites within the PONASI complex.</w:t>
      </w:r>
    </w:p>
    <w:p w14:paraId="34AAD346" w14:textId="77777777" w:rsidR="00302BFE" w:rsidRPr="00793D18" w:rsidRDefault="00302BFE" w:rsidP="00C46720">
      <w:pPr>
        <w:pStyle w:val="Paragraphedeliste"/>
        <w:numPr>
          <w:ilvl w:val="0"/>
          <w:numId w:val="14"/>
        </w:numPr>
        <w:tabs>
          <w:tab w:val="left" w:pos="284"/>
        </w:tabs>
        <w:spacing w:before="120" w:after="120"/>
        <w:ind w:left="0" w:firstLine="0"/>
        <w:jc w:val="both"/>
        <w:rPr>
          <w:rFonts w:ascii="Calibri" w:eastAsia="Cambria" w:hAnsi="Calibri"/>
          <w:sz w:val="20"/>
          <w:szCs w:val="20"/>
          <w:lang w:val="en-GB"/>
        </w:rPr>
      </w:pPr>
      <w:r w:rsidRPr="00793D18">
        <w:rPr>
          <w:rFonts w:ascii="Calibri" w:hAnsi="Calibri"/>
          <w:sz w:val="20"/>
          <w:szCs w:val="20"/>
          <w:lang w:val="en-GB"/>
        </w:rPr>
        <w:t xml:space="preserve">As far as the conservation of fauna is concerned, the PONASI complex is particular by the fact that it contains the second largest known range of the African elephant in Burkina Faso after that of the W-Arly-Pendjari complex. Until recently, movements of these populations were limited by settlements of migrant farmers established in their usual passage areas and elephant populations were forced to remain in a very small radius of action, becoming much more vulnerable to poachers. and the degradation of their ecosystems. The recent establishment of two corridors under the PAGEN project has contributed significantly to solving this problem and allowing elephant movements between the Nazinga Game Ranch and the </w:t>
      </w:r>
      <w:r w:rsidRPr="00793D18">
        <w:rPr>
          <w:rFonts w:ascii="Calibri" w:hAnsi="Calibri"/>
          <w:sz w:val="20"/>
          <w:szCs w:val="20"/>
          <w:lang w:val="en-CA"/>
        </w:rPr>
        <w:t>PNKT</w:t>
      </w:r>
      <w:r w:rsidRPr="00793D18">
        <w:rPr>
          <w:rFonts w:ascii="Calibri" w:hAnsi="Calibri"/>
          <w:sz w:val="20"/>
          <w:szCs w:val="20"/>
          <w:lang w:val="en-GB"/>
        </w:rPr>
        <w:t xml:space="preserve">. However, the status of the corridors has not yet </w:t>
      </w:r>
      <w:r w:rsidRPr="00793D18">
        <w:rPr>
          <w:rFonts w:ascii="Calibri" w:hAnsi="Calibri"/>
          <w:sz w:val="20"/>
          <w:szCs w:val="20"/>
          <w:lang w:val="en-GB"/>
        </w:rPr>
        <w:lastRenderedPageBreak/>
        <w:t xml:space="preserve">been formalized and there is no management or zoning plan that prevents the application of any rules limiting access and use of resources and land and increasing the risk of conflicts between humans and elephants. Human-elephant conflicts have been reported throughout the range of elephants in the PONASI landscape (see </w:t>
      </w:r>
      <w:r w:rsidRPr="006F44E8">
        <w:rPr>
          <w:rFonts w:ascii="Calibri" w:hAnsi="Calibri"/>
          <w:sz w:val="20"/>
          <w:szCs w:val="20"/>
          <w:lang w:val="en-GB"/>
        </w:rPr>
        <w:t xml:space="preserve">Annex </w:t>
      </w:r>
      <w:r w:rsidR="009523FE" w:rsidRPr="006F44E8">
        <w:rPr>
          <w:rFonts w:ascii="Calibri" w:hAnsi="Calibri"/>
          <w:sz w:val="20"/>
          <w:szCs w:val="20"/>
          <w:lang w:val="en-GB"/>
        </w:rPr>
        <w:t>L</w:t>
      </w:r>
      <w:r w:rsidRPr="00793D18">
        <w:rPr>
          <w:rFonts w:ascii="Calibri" w:hAnsi="Calibri"/>
          <w:sz w:val="20"/>
          <w:szCs w:val="20"/>
          <w:lang w:val="en-GB"/>
        </w:rPr>
        <w:t xml:space="preserve"> for a more detailed account of human-wildlife conflicts in the PONASI landscape, including a list of sites where such conflicts have occurred recently).</w:t>
      </w:r>
    </w:p>
    <w:p w14:paraId="1877E911" w14:textId="77777777" w:rsidR="00302BFE" w:rsidRPr="005F3825" w:rsidRDefault="00302BFE" w:rsidP="00C46720">
      <w:pPr>
        <w:pStyle w:val="Paragraphedeliste"/>
        <w:numPr>
          <w:ilvl w:val="0"/>
          <w:numId w:val="14"/>
        </w:numPr>
        <w:tabs>
          <w:tab w:val="left" w:pos="284"/>
        </w:tabs>
        <w:spacing w:before="120" w:after="120"/>
        <w:ind w:left="0" w:firstLine="0"/>
        <w:jc w:val="both"/>
        <w:rPr>
          <w:rFonts w:ascii="Calibri" w:eastAsia="Cambria" w:hAnsi="Calibri"/>
          <w:sz w:val="20"/>
          <w:szCs w:val="20"/>
          <w:lang w:val="en-GB"/>
        </w:rPr>
      </w:pPr>
      <w:r w:rsidRPr="005F3825">
        <w:rPr>
          <w:rFonts w:ascii="Calibri" w:hAnsi="Calibri"/>
          <w:sz w:val="20"/>
          <w:szCs w:val="20"/>
          <w:lang w:val="en-GB"/>
        </w:rPr>
        <w:t xml:space="preserve">The PONASI Landscape Management Master Plan will therefore incorporate an elephant protection plan that will be developed in line with the </w:t>
      </w:r>
      <w:r w:rsidRPr="005F3825">
        <w:rPr>
          <w:rFonts w:ascii="Calibri" w:hAnsi="Calibri"/>
          <w:i/>
          <w:sz w:val="20"/>
          <w:szCs w:val="20"/>
          <w:lang w:val="en-GB"/>
        </w:rPr>
        <w:t>SAFE Systems</w:t>
      </w:r>
      <w:r w:rsidRPr="005F3825">
        <w:rPr>
          <w:rFonts w:ascii="Calibri" w:hAnsi="Calibri"/>
          <w:sz w:val="20"/>
          <w:szCs w:val="20"/>
          <w:lang w:val="en-GB"/>
        </w:rPr>
        <w:t xml:space="preserve"> approach to address human-elephant conflict among other environmental and socio-economic factors. WWF's </w:t>
      </w:r>
      <w:r w:rsidRPr="005F3825">
        <w:rPr>
          <w:rFonts w:ascii="Calibri" w:hAnsi="Calibri"/>
          <w:i/>
          <w:sz w:val="20"/>
          <w:szCs w:val="20"/>
          <w:lang w:val="en-GB"/>
        </w:rPr>
        <w:t>SAFE Systems</w:t>
      </w:r>
      <w:r w:rsidRPr="005F3825">
        <w:rPr>
          <w:rFonts w:ascii="Calibri" w:hAnsi="Calibri"/>
          <w:sz w:val="20"/>
          <w:szCs w:val="20"/>
          <w:lang w:val="en-GB"/>
        </w:rPr>
        <w:t xml:space="preserve"> approach aims to achieve systemic security by securing people and their property, wildlife, natural habitats and effective surveillance, rather than treating each element of conflict separately.</w:t>
      </w:r>
    </w:p>
    <w:p w14:paraId="4B34F356" w14:textId="4BBC91CF" w:rsidR="00302BFE" w:rsidRDefault="00302BFE" w:rsidP="00302BFE">
      <w:pPr>
        <w:pStyle w:val="Paragraphedeliste"/>
        <w:tabs>
          <w:tab w:val="left" w:pos="284"/>
        </w:tabs>
        <w:spacing w:before="120" w:after="120"/>
        <w:ind w:left="0"/>
        <w:jc w:val="both"/>
        <w:rPr>
          <w:rFonts w:ascii="Calibri" w:hAnsi="Calibri"/>
          <w:i/>
          <w:color w:val="4472C4"/>
          <w:sz w:val="20"/>
          <w:szCs w:val="20"/>
          <w:lang w:val="en-GB"/>
        </w:rPr>
      </w:pPr>
      <w:r w:rsidRPr="005F3825">
        <w:rPr>
          <w:rFonts w:ascii="Calibri" w:hAnsi="Calibri"/>
          <w:i/>
          <w:color w:val="4472C4"/>
          <w:sz w:val="20"/>
          <w:szCs w:val="20"/>
          <w:lang w:val="en-GB"/>
        </w:rPr>
        <w:t>2.4.1 The resolution of human-elephant conflicts in the PONASI landscape using the SAFE Systems approach</w:t>
      </w:r>
    </w:p>
    <w:p w14:paraId="1C329914" w14:textId="6C39DBB3" w:rsidR="00470FFF" w:rsidRPr="00BE65D5" w:rsidRDefault="00470FFF" w:rsidP="00BE65D5">
      <w:pPr>
        <w:spacing w:before="120" w:after="120"/>
        <w:rPr>
          <w:iCs/>
          <w:color w:val="4472C4"/>
          <w:szCs w:val="20"/>
          <w:lang w:val="en-GB"/>
        </w:rPr>
      </w:pPr>
      <w:r w:rsidRPr="003F4704">
        <w:rPr>
          <w:iCs/>
          <w:color w:val="4472C4"/>
          <w:szCs w:val="20"/>
          <w:highlight w:val="green"/>
          <w:lang w:val="en-GB"/>
        </w:rPr>
        <w:t>For this activity, the FPIC (Free, Prior and Informed Consent) process has to be ensured</w:t>
      </w:r>
    </w:p>
    <w:p w14:paraId="496812FE" w14:textId="77777777" w:rsidR="00302BFE" w:rsidRPr="006F44E8"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6F44E8">
        <w:rPr>
          <w:rFonts w:ascii="Calibri" w:hAnsi="Calibri"/>
          <w:sz w:val="20"/>
          <w:szCs w:val="20"/>
          <w:lang w:val="en-GB"/>
        </w:rPr>
        <w:t>IUCN-SSC HWC Task Force has been contacted and will be engaged during the inception phase and the project will facilitate engagement of the government and community implementers with the Task Force to learn from lessons around the world and tap global expertise and available tools and approaches.</w:t>
      </w:r>
    </w:p>
    <w:p w14:paraId="38AD7191" w14:textId="77777777" w:rsidR="00302BFE" w:rsidRPr="005F3825" w:rsidRDefault="00302BFE" w:rsidP="00C46720">
      <w:pPr>
        <w:pStyle w:val="Paragraphedeliste"/>
        <w:numPr>
          <w:ilvl w:val="0"/>
          <w:numId w:val="14"/>
        </w:numPr>
        <w:tabs>
          <w:tab w:val="left" w:pos="284"/>
        </w:tabs>
        <w:spacing w:before="120" w:after="120"/>
        <w:ind w:left="0" w:firstLine="0"/>
        <w:jc w:val="both"/>
        <w:rPr>
          <w:rFonts w:ascii="Calibri" w:eastAsia="Cambria" w:hAnsi="Calibri"/>
          <w:sz w:val="20"/>
          <w:szCs w:val="20"/>
          <w:lang w:val="en-GB"/>
        </w:rPr>
      </w:pPr>
      <w:r w:rsidRPr="005F3825">
        <w:rPr>
          <w:rFonts w:ascii="Calibri" w:hAnsi="Calibri"/>
          <w:sz w:val="20"/>
          <w:szCs w:val="20"/>
          <w:lang w:val="en-GB"/>
        </w:rPr>
        <w:t>As part of the preparatory process, an expert mission gathered information directly on management issues, current land-use practices, land tenure and proposed development plans, challenges of conflict between humans and wildlife, current interventions to mitigate them and explore the potential for collaboration in implementing the SAFE Systems approach in the future. Rapid assessment workshops were conducted in selected pilot villages where incidences of human-wildlife conflict were high, and discussions were guided by SAFE Systems tools. The participants in the workshop came from the local administration, the town hall, community representatives, ecological guards, forest rangers, agricultural extension agents and the gendarmerie. The findings made it clear that the PONASI landscape was dangerous for people and wildlife. It was therefore strongly recommended that a SAFE human-wildlife conflict strategy be developed for the landscape to meet these challenges. Participants also recommended extending participation in stakeholder workshops to other sectors such as the water sector and the Treasury.</w:t>
      </w:r>
    </w:p>
    <w:p w14:paraId="70EA929A" w14:textId="77777777" w:rsidR="00302BFE" w:rsidRPr="005F3825" w:rsidRDefault="00302BFE" w:rsidP="00C46720">
      <w:pPr>
        <w:pStyle w:val="Paragraphedeliste"/>
        <w:numPr>
          <w:ilvl w:val="0"/>
          <w:numId w:val="14"/>
        </w:numPr>
        <w:tabs>
          <w:tab w:val="left" w:pos="284"/>
        </w:tabs>
        <w:spacing w:before="120" w:after="120"/>
        <w:ind w:left="0" w:firstLine="0"/>
        <w:jc w:val="both"/>
        <w:rPr>
          <w:rFonts w:ascii="Calibri" w:eastAsia="Cambria" w:hAnsi="Calibri"/>
          <w:sz w:val="20"/>
          <w:szCs w:val="20"/>
          <w:lang w:val="en-GB"/>
        </w:rPr>
      </w:pPr>
      <w:r w:rsidRPr="005F3825">
        <w:rPr>
          <w:rFonts w:ascii="Calibri" w:hAnsi="Calibri"/>
          <w:sz w:val="20"/>
          <w:szCs w:val="20"/>
          <w:lang w:val="en-GB"/>
        </w:rPr>
        <w:t>The SAFE Systems approach is a systematic framework for determining the SAFE baseline on a site that has experienced human-wildlife conflict and for identifying human-wildlife conflict management gaps in order to address these issues.  The SAFE Systems approach represents a major shift from the current context of man-wildlife conflict management to a long-term results-based approach. The SAFE approach encompasses a structured process that provides a set of site-specific actions that combine six elements of conflict (policy and legislation, prevention, mitigation, response, conflict understanding, monitoring and evaluation) to achieve a single long-term objective for the area, which is to secure the area. The SAFE approach is based on the fact that we know from experience how to secure each part of the human-wildlife conflict system, namely people and their properties, wildlife and natural habitats. The main risk areas can be identified in each part and eliminated by integrated strategies. And if each element is made safer, the whole area becomes safer and the risk of human-wildlife conflict can be minimized in the long run.</w:t>
      </w:r>
    </w:p>
    <w:p w14:paraId="7207105C" w14:textId="77777777" w:rsidR="00302BFE" w:rsidRPr="005F3825" w:rsidRDefault="00302BFE" w:rsidP="00C46720">
      <w:pPr>
        <w:pStyle w:val="Paragraphedeliste"/>
        <w:numPr>
          <w:ilvl w:val="0"/>
          <w:numId w:val="14"/>
        </w:numPr>
        <w:tabs>
          <w:tab w:val="left" w:pos="284"/>
        </w:tabs>
        <w:spacing w:before="120" w:after="120"/>
        <w:ind w:left="0" w:firstLine="0"/>
        <w:jc w:val="both"/>
        <w:rPr>
          <w:rFonts w:ascii="Calibri" w:eastAsia="Cambria" w:hAnsi="Calibri"/>
          <w:sz w:val="20"/>
          <w:szCs w:val="20"/>
          <w:lang w:val="en-GB"/>
        </w:rPr>
      </w:pPr>
      <w:r w:rsidRPr="005F3825">
        <w:rPr>
          <w:rFonts w:ascii="Calibri" w:hAnsi="Calibri"/>
          <w:sz w:val="20"/>
          <w:szCs w:val="20"/>
          <w:lang w:val="en-GB"/>
        </w:rPr>
        <w:t>The implementation of the SAFE systems approach in a landscape follows four key steps. These steps should not be viewed as a linear process but as a cyclical process implemented over time.</w:t>
      </w:r>
    </w:p>
    <w:p w14:paraId="140B815A" w14:textId="77777777" w:rsidR="00302BFE" w:rsidRPr="006F44E8"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6F44E8">
        <w:rPr>
          <w:rFonts w:ascii="Calibri" w:eastAsia="Times New Roman" w:hAnsi="Calibri"/>
          <w:i/>
          <w:sz w:val="20"/>
          <w:szCs w:val="20"/>
          <w:u w:val="single"/>
          <w:lang w:val="en-GB"/>
        </w:rPr>
        <w:t>Step 1: Compile Human-wildlife conflict information in the landscape.</w:t>
      </w:r>
      <w:r w:rsidRPr="006F44E8">
        <w:rPr>
          <w:rFonts w:ascii="Calibri" w:eastAsia="Times New Roman" w:hAnsi="Calibri"/>
          <w:i/>
          <w:color w:val="4472C4"/>
          <w:sz w:val="20"/>
          <w:szCs w:val="20"/>
          <w:lang w:val="en-GB"/>
        </w:rPr>
        <w:t xml:space="preserve"> </w:t>
      </w:r>
      <w:r w:rsidRPr="006F44E8">
        <w:rPr>
          <w:rFonts w:ascii="Calibri" w:eastAsia="Times New Roman" w:hAnsi="Calibri"/>
          <w:sz w:val="20"/>
          <w:szCs w:val="20"/>
          <w:lang w:val="en-GB"/>
        </w:rPr>
        <w:t xml:space="preserve">This first step in the process is primarily document-based, to gather as much knowledge about the context of human-wildlife conflict as possible from all relevant existing literature. Although in most cases human-wildlife conflict data is either non-existent, dispersed among various organization, or very limited or porous, much of the existing information should be collected. Information can also be collected through interviews with people from various institutions and field observations. Although site managers in PONASI areas seem to be aware of these issues, this information is not collected in a form that can be exploited. Project interventions will therefore include training provided by an expert in </w:t>
      </w:r>
      <w:r w:rsidRPr="006F44E8">
        <w:rPr>
          <w:rFonts w:ascii="Calibri" w:eastAsia="Times New Roman" w:hAnsi="Calibri"/>
          <w:i/>
          <w:sz w:val="20"/>
          <w:szCs w:val="20"/>
          <w:lang w:val="en-GB"/>
        </w:rPr>
        <w:t>SAFE Systems</w:t>
      </w:r>
      <w:r w:rsidRPr="006F44E8">
        <w:rPr>
          <w:rFonts w:ascii="Calibri" w:eastAsia="Times New Roman" w:hAnsi="Calibri"/>
          <w:sz w:val="20"/>
          <w:szCs w:val="20"/>
          <w:lang w:val="en-GB"/>
        </w:rPr>
        <w:t xml:space="preserve"> to develop the capacity of field teams to collect data on human-wildlife conflict in a coherent and analytical way. An expert in GIS will also provide support for the design of GIS-based databases as part of the landscape surveillance system. These data are important because they provide a basic snapshot of the target area throughout the assessment. These data include trends and baselines of human-wildlife conflict, for example, human population, hot spots maps, number and density of major conflict species, types and predominant nature of conflict, impact, community attitudes, and levels of wildlife tolerance. Much of the data collected can then be used to produce maps for the rapid assessment workshop, to identify stakeholders to be present at the workshop, and to clarify any disagreements or discrepancies that may arise during the workshop. Priority will be given to involving the right stakeholders in the rapid assessment workshops (step 2) and holding these workshops in the right places. Stakeholders directly and indirectly affected by human-wildlife conflict should all be invited to participate in the workshop, including women, as women are likely to be affected differently by human-wildlife conflict, particularly during the picking of fruits from the forest. Stakeholders can come from sectors such as wildlife, forestry, water, agriculture, mining, treasury, law enforcement, NGOs and development partners, tourism, administration, community members, etc. As a general rule, a workshop should not have more than 50 participants to be effectively facilitated by an expert in SAFE systems. Annex </w:t>
      </w:r>
      <w:r w:rsidR="009523FE" w:rsidRPr="006F44E8">
        <w:rPr>
          <w:rFonts w:ascii="Calibri" w:eastAsia="Times New Roman" w:hAnsi="Calibri"/>
          <w:sz w:val="20"/>
          <w:szCs w:val="20"/>
          <w:lang w:val="en-GB"/>
        </w:rPr>
        <w:t>L</w:t>
      </w:r>
      <w:r w:rsidRPr="006F44E8">
        <w:rPr>
          <w:rFonts w:ascii="Calibri" w:eastAsia="Times New Roman" w:hAnsi="Calibri"/>
          <w:sz w:val="20"/>
          <w:szCs w:val="20"/>
          <w:lang w:val="en-GB"/>
        </w:rPr>
        <w:t xml:space="preserve"> presents the basic information to be collected prior to the rapid assessment workshop.</w:t>
      </w:r>
    </w:p>
    <w:p w14:paraId="186E0AC7" w14:textId="77777777" w:rsidR="00302BFE" w:rsidRPr="005F382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5F3825">
        <w:rPr>
          <w:rFonts w:ascii="Calibri" w:eastAsia="Times New Roman" w:hAnsi="Calibri"/>
          <w:i/>
          <w:sz w:val="20"/>
          <w:szCs w:val="20"/>
          <w:u w:val="single"/>
          <w:lang w:val="en-GB"/>
        </w:rPr>
        <w:lastRenderedPageBreak/>
        <w:t>Step 2: Conduct rapid human-wildlife conflict assessments using the SAFE systems tool</w:t>
      </w:r>
      <w:r w:rsidRPr="005F3825">
        <w:rPr>
          <w:rFonts w:ascii="Calibri" w:eastAsia="Times New Roman" w:hAnsi="Calibri"/>
          <w:i/>
          <w:color w:val="4472C4"/>
          <w:sz w:val="20"/>
          <w:szCs w:val="20"/>
          <w:lang w:val="en-GB"/>
        </w:rPr>
        <w:t>.</w:t>
      </w:r>
      <w:r w:rsidRPr="005F3825">
        <w:rPr>
          <w:rFonts w:ascii="Calibri" w:eastAsia="Times New Roman" w:hAnsi="Calibri"/>
          <w:sz w:val="20"/>
          <w:szCs w:val="20"/>
          <w:lang w:val="en-GB"/>
        </w:rPr>
        <w:t xml:space="preserve"> The rapid assessment workshop is a crucial step to facilitate the active participation of stakeholders in discussions and the development of an integrated long-term conflict management strategy in the area. The participants must come from all sectors affected or involved in human-wildlife conflicts, for example the sectors of wildlife, forests, water, agriculture, mines, the Treasury, law enforcement agencies, NGOs and development partners, members of the community, among others. In many cases, this rapid assessment workshop will be a first opportunity for these stakeholders to sit down together to discuss their problems and develop solutions. The rapid assessment workshop follows a structured approach in which participants analyze a set of criteria they need to discuss and evaluate for their site. A rapid assessment score sheet in Excel format and available in French (as a separate document) will serve as a guide for scoring. The criteria represent outcome indicators for the site in question and the scores assigned to each can be derived from any quantified data from Stage 1 or local knowledge. These scores are then collated and synthesized to illustrate the overall state of conflict for each of the strategic outcomes (people, properties, wildlife and habitat) and will serve as a basis for monitoring over time. In the second part of the workshop, participants use the results of the evaluation to jointly develop actions and strategies to reduce long-term conflict - or improve the rating of each criterion. Once participants have assigned a score to each of the criteria, the results of the assessments and the graphs of all strategic outcomes and six elements can be presented to the participants. Using the SAFE systems tool, the results of such a rapid evaluation workshop should provide the</w:t>
      </w:r>
      <w:r w:rsidRPr="005F3825">
        <w:rPr>
          <w:rFonts w:ascii="Calibri" w:eastAsia="Times New Roman" w:hAnsi="Calibri"/>
          <w:i/>
          <w:sz w:val="20"/>
          <w:szCs w:val="20"/>
          <w:lang w:val="en-GB"/>
        </w:rPr>
        <w:t xml:space="preserve"> </w:t>
      </w:r>
      <w:r w:rsidRPr="005F3825">
        <w:rPr>
          <w:rFonts w:ascii="Calibri" w:eastAsia="Times New Roman" w:hAnsi="Calibri"/>
          <w:sz w:val="20"/>
          <w:szCs w:val="20"/>
          <w:lang w:val="en-GB"/>
        </w:rPr>
        <w:t>SAFE</w:t>
      </w:r>
      <w:r w:rsidRPr="005F3825">
        <w:rPr>
          <w:rFonts w:ascii="Calibri" w:eastAsia="Times New Roman" w:hAnsi="Calibri"/>
          <w:i/>
          <w:sz w:val="20"/>
          <w:szCs w:val="20"/>
          <w:lang w:val="en-GB"/>
        </w:rPr>
        <w:t xml:space="preserve"> </w:t>
      </w:r>
      <w:r w:rsidRPr="005F3825">
        <w:rPr>
          <w:rFonts w:ascii="Calibri" w:eastAsia="Times New Roman" w:hAnsi="Calibri"/>
          <w:sz w:val="20"/>
          <w:szCs w:val="20"/>
          <w:lang w:val="en-GB"/>
        </w:rPr>
        <w:t>baseline for the specific site in the PONASI landscape, assess the effectiveness of current interventions for human-wildlife-conflict and identify gaps to be filled to reduce incidents on the site and in the landscape.</w:t>
      </w:r>
    </w:p>
    <w:p w14:paraId="50A026CB" w14:textId="77777777" w:rsidR="00302BFE" w:rsidRPr="005F382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5F3825">
        <w:rPr>
          <w:rFonts w:ascii="Calibri" w:eastAsia="Times New Roman" w:hAnsi="Calibri"/>
          <w:i/>
          <w:color w:val="4472C4"/>
          <w:sz w:val="20"/>
          <w:szCs w:val="20"/>
          <w:lang w:val="en-GB"/>
        </w:rPr>
        <w:t xml:space="preserve"> </w:t>
      </w:r>
      <w:r w:rsidRPr="005F3825">
        <w:rPr>
          <w:rFonts w:ascii="Calibri" w:eastAsia="Times New Roman" w:hAnsi="Calibri"/>
          <w:i/>
          <w:sz w:val="20"/>
          <w:szCs w:val="20"/>
          <w:u w:val="single"/>
          <w:lang w:val="en-GB"/>
        </w:rPr>
        <w:t>Step 3: Design the SAFE strategy and action plan for the PONASI landscape, including a monitoring plan</w:t>
      </w:r>
      <w:r w:rsidRPr="005F3825">
        <w:rPr>
          <w:rFonts w:ascii="Calibri" w:eastAsia="Times New Roman" w:hAnsi="Calibri"/>
          <w:i/>
          <w:color w:val="4472C4"/>
          <w:sz w:val="20"/>
          <w:szCs w:val="20"/>
          <w:lang w:val="en-GB"/>
        </w:rPr>
        <w:t>.</w:t>
      </w:r>
      <w:r w:rsidRPr="005F3825">
        <w:rPr>
          <w:rFonts w:ascii="Calibri" w:eastAsia="Times New Roman" w:hAnsi="Calibri"/>
          <w:sz w:val="20"/>
          <w:szCs w:val="20"/>
          <w:lang w:val="en-GB"/>
        </w:rPr>
        <w:t xml:space="preserve"> After the rapid assessment workshop is completed, a smaller technical team, assisted by the human-wildlife conflict expert, will work on the SAFE strategy, including actions from all elements of the conflict (policy, mitigation, prevention, response, monitoring and evaluation, conflict understanding), prepare a budget and a financing plan to implement the strategy and action plan. It is important to note that a comprehensive monitoring plan for the landscape will be developed as part of the strategy. This is vital in the PONASI context where data is not collated or collected. Therefore, developing the action plan's monitoring framework from the outset will mean that future rapid assessments can use the data collected previously to make this 4-step process much faster. A technical team made up of people from the wildlife sector and other relevant sectors and an expert in</w:t>
      </w:r>
      <w:r w:rsidRPr="005F3825">
        <w:rPr>
          <w:rFonts w:ascii="Calibri" w:eastAsia="Times New Roman" w:hAnsi="Calibri"/>
          <w:i/>
          <w:sz w:val="20"/>
          <w:szCs w:val="20"/>
          <w:lang w:val="en-GB"/>
        </w:rPr>
        <w:t xml:space="preserve"> </w:t>
      </w:r>
      <w:r w:rsidRPr="005F3825">
        <w:rPr>
          <w:rFonts w:ascii="Calibri" w:eastAsia="Times New Roman" w:hAnsi="Calibri"/>
          <w:sz w:val="20"/>
          <w:szCs w:val="20"/>
          <w:lang w:val="en-GB"/>
        </w:rPr>
        <w:t>SAFE systems will develop an initial version of the strategy that will be circulated for inputs to those who participated in the SAFE systems</w:t>
      </w:r>
      <w:r w:rsidRPr="005F3825">
        <w:rPr>
          <w:rFonts w:ascii="Calibri" w:eastAsia="Times New Roman" w:hAnsi="Calibri"/>
          <w:i/>
          <w:sz w:val="20"/>
          <w:szCs w:val="20"/>
          <w:lang w:val="en-GB"/>
        </w:rPr>
        <w:t xml:space="preserve"> </w:t>
      </w:r>
      <w:r w:rsidRPr="005F3825">
        <w:rPr>
          <w:rFonts w:ascii="Calibri" w:eastAsia="Times New Roman" w:hAnsi="Calibri"/>
          <w:sz w:val="20"/>
          <w:szCs w:val="20"/>
          <w:lang w:val="en-GB"/>
        </w:rPr>
        <w:t>workshops. The elements of this strategy and action plan will be integrated into the PONASI Landscape Master Plan for use as a fundraising tool to implement the various interventions identified.</w:t>
      </w:r>
    </w:p>
    <w:p w14:paraId="2AFD23EC" w14:textId="77777777" w:rsidR="00302BFE" w:rsidRPr="005F3825" w:rsidRDefault="00302BFE" w:rsidP="00C46720">
      <w:pPr>
        <w:pStyle w:val="Paragraphedeliste"/>
        <w:numPr>
          <w:ilvl w:val="0"/>
          <w:numId w:val="14"/>
        </w:numPr>
        <w:spacing w:before="120" w:after="120"/>
        <w:ind w:left="502"/>
        <w:contextualSpacing/>
        <w:jc w:val="both"/>
        <w:rPr>
          <w:rFonts w:ascii="Calibri" w:eastAsia="Times New Roman" w:hAnsi="Calibri"/>
          <w:sz w:val="20"/>
          <w:szCs w:val="20"/>
          <w:lang w:val="en-GB"/>
        </w:rPr>
      </w:pPr>
      <w:r w:rsidRPr="005F3825">
        <w:rPr>
          <w:rFonts w:ascii="Calibri" w:eastAsia="Times New Roman" w:hAnsi="Calibri"/>
          <w:sz w:val="20"/>
          <w:szCs w:val="20"/>
          <w:lang w:val="en-GB"/>
        </w:rPr>
        <w:t>The actions to be undertaken fall under the following six categories</w:t>
      </w:r>
      <w:r w:rsidRPr="005F3825">
        <w:rPr>
          <w:rFonts w:ascii="Calibri" w:hAnsi="Calibri"/>
          <w:sz w:val="20"/>
          <w:szCs w:val="20"/>
          <w:lang w:val="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5014"/>
      </w:tblGrid>
      <w:tr w:rsidR="00302BFE" w:rsidRPr="00806024" w14:paraId="63E5642E" w14:textId="77777777" w:rsidTr="00243B15">
        <w:trPr>
          <w:jc w:val="center"/>
        </w:trPr>
        <w:tc>
          <w:tcPr>
            <w:tcW w:w="4819" w:type="dxa"/>
            <w:tcBorders>
              <w:top w:val="single" w:sz="4" w:space="0" w:color="auto"/>
              <w:left w:val="single" w:sz="4" w:space="0" w:color="auto"/>
              <w:bottom w:val="single" w:sz="4" w:space="0" w:color="auto"/>
              <w:right w:val="single" w:sz="4" w:space="0" w:color="auto"/>
            </w:tcBorders>
            <w:shd w:val="clear" w:color="auto" w:fill="auto"/>
            <w:hideMark/>
          </w:tcPr>
          <w:p w14:paraId="4C57D6F8" w14:textId="77777777" w:rsidR="00302BFE" w:rsidRPr="00806024" w:rsidRDefault="00302BFE" w:rsidP="00243B15">
            <w:pPr>
              <w:rPr>
                <w:rFonts w:eastAsia="Times New Roman"/>
                <w:color w:val="4472C4"/>
                <w:sz w:val="18"/>
                <w:szCs w:val="18"/>
              </w:rPr>
            </w:pPr>
            <w:r w:rsidRPr="00806024">
              <w:rPr>
                <w:rFonts w:eastAsia="Times New Roman"/>
                <w:color w:val="4472C4"/>
                <w:sz w:val="18"/>
                <w:szCs w:val="18"/>
              </w:rPr>
              <w:t>POLICY</w:t>
            </w:r>
          </w:p>
          <w:p w14:paraId="60DED7CF" w14:textId="77777777" w:rsidR="00302BFE" w:rsidRPr="00806024" w:rsidRDefault="00302BFE" w:rsidP="00243B15">
            <w:pPr>
              <w:spacing w:after="0"/>
              <w:rPr>
                <w:rFonts w:eastAsia="Times New Roman"/>
                <w:sz w:val="18"/>
                <w:szCs w:val="18"/>
              </w:rPr>
            </w:pPr>
            <w:r w:rsidRPr="00806024">
              <w:rPr>
                <w:rFonts w:eastAsia="Times New Roman"/>
                <w:sz w:val="18"/>
                <w:szCs w:val="18"/>
              </w:rPr>
              <w:t>Protocols, principles, provisions and measures taken by the authorities that are stipulated in legislation and government plans</w:t>
            </w:r>
          </w:p>
          <w:p w14:paraId="600A19BB" w14:textId="77777777" w:rsidR="00302BFE" w:rsidRPr="00806024" w:rsidRDefault="00302BFE" w:rsidP="00243B15">
            <w:pPr>
              <w:spacing w:after="0"/>
              <w:rPr>
                <w:rFonts w:eastAsia="Times New Roman"/>
                <w:sz w:val="18"/>
                <w:szCs w:val="18"/>
              </w:rPr>
            </w:pPr>
            <w:r w:rsidRPr="00806024">
              <w:rPr>
                <w:rFonts w:eastAsia="Times New Roman"/>
                <w:sz w:val="18"/>
                <w:szCs w:val="18"/>
              </w:rPr>
              <w:t>• International law</w:t>
            </w:r>
          </w:p>
          <w:p w14:paraId="7E8A0C99" w14:textId="77777777" w:rsidR="00302BFE" w:rsidRPr="00806024" w:rsidRDefault="00302BFE" w:rsidP="00243B15">
            <w:pPr>
              <w:spacing w:after="0"/>
              <w:rPr>
                <w:rFonts w:eastAsia="Times New Roman"/>
                <w:sz w:val="18"/>
                <w:szCs w:val="18"/>
              </w:rPr>
            </w:pPr>
            <w:r w:rsidRPr="00806024">
              <w:rPr>
                <w:rFonts w:eastAsia="Times New Roman"/>
                <w:sz w:val="18"/>
                <w:szCs w:val="18"/>
              </w:rPr>
              <w:t>• National law</w:t>
            </w:r>
          </w:p>
          <w:p w14:paraId="1112387B" w14:textId="77777777" w:rsidR="00302BFE" w:rsidRPr="00806024" w:rsidRDefault="00302BFE" w:rsidP="00243B15">
            <w:pPr>
              <w:spacing w:after="0"/>
              <w:rPr>
                <w:rFonts w:eastAsia="Times New Roman"/>
                <w:sz w:val="18"/>
                <w:szCs w:val="18"/>
              </w:rPr>
            </w:pPr>
            <w:r w:rsidRPr="00806024">
              <w:rPr>
                <w:rFonts w:eastAsia="Times New Roman"/>
                <w:sz w:val="18"/>
                <w:szCs w:val="18"/>
              </w:rPr>
              <w:t>• Crimes related to Wildlife and forests</w:t>
            </w:r>
          </w:p>
          <w:p w14:paraId="030D7392" w14:textId="77777777" w:rsidR="00302BFE" w:rsidRPr="00806024" w:rsidRDefault="00302BFE" w:rsidP="00243B15">
            <w:pPr>
              <w:spacing w:after="0"/>
              <w:rPr>
                <w:rFonts w:eastAsia="Times New Roman"/>
                <w:sz w:val="18"/>
                <w:szCs w:val="18"/>
              </w:rPr>
            </w:pPr>
            <w:r w:rsidRPr="00806024">
              <w:rPr>
                <w:rFonts w:eastAsia="Times New Roman"/>
                <w:sz w:val="18"/>
                <w:szCs w:val="18"/>
              </w:rPr>
              <w:t>• National Strategy</w:t>
            </w:r>
          </w:p>
          <w:p w14:paraId="361753F3" w14:textId="77777777" w:rsidR="00302BFE" w:rsidRPr="00806024" w:rsidRDefault="00302BFE" w:rsidP="00243B15">
            <w:pPr>
              <w:spacing w:after="0"/>
              <w:rPr>
                <w:rFonts w:eastAsia="Times New Roman"/>
                <w:sz w:val="18"/>
                <w:szCs w:val="18"/>
              </w:rPr>
            </w:pPr>
            <w:r w:rsidRPr="00806024">
              <w:rPr>
                <w:rFonts w:eastAsia="Times New Roman"/>
                <w:sz w:val="18"/>
                <w:szCs w:val="18"/>
              </w:rPr>
              <w:t>• Translocation and response</w:t>
            </w:r>
          </w:p>
          <w:p w14:paraId="37FC55B1" w14:textId="77777777" w:rsidR="00302BFE" w:rsidRPr="00806024" w:rsidRDefault="00302BFE" w:rsidP="00243B15">
            <w:pPr>
              <w:spacing w:after="0"/>
              <w:rPr>
                <w:rFonts w:eastAsia="Times New Roman"/>
                <w:sz w:val="18"/>
                <w:szCs w:val="18"/>
              </w:rPr>
            </w:pPr>
            <w:r w:rsidRPr="00806024">
              <w:rPr>
                <w:rFonts w:eastAsia="Times New Roman"/>
                <w:sz w:val="18"/>
                <w:szCs w:val="18"/>
              </w:rPr>
              <w:t>• Insurance and indemnity</w:t>
            </w:r>
          </w:p>
          <w:p w14:paraId="66702B8F" w14:textId="77777777" w:rsidR="00302BFE" w:rsidRPr="00806024" w:rsidRDefault="00302BFE" w:rsidP="00243B15">
            <w:pPr>
              <w:spacing w:after="0"/>
              <w:rPr>
                <w:rFonts w:eastAsia="Times New Roman"/>
                <w:sz w:val="18"/>
                <w:szCs w:val="18"/>
              </w:rPr>
            </w:pPr>
            <w:r w:rsidRPr="00806024">
              <w:rPr>
                <w:rFonts w:eastAsia="Times New Roman"/>
                <w:sz w:val="18"/>
                <w:szCs w:val="18"/>
              </w:rPr>
              <w:t>• International collaboration</w:t>
            </w:r>
          </w:p>
        </w:tc>
        <w:tc>
          <w:tcPr>
            <w:tcW w:w="5014" w:type="dxa"/>
            <w:tcBorders>
              <w:top w:val="single" w:sz="4" w:space="0" w:color="auto"/>
              <w:left w:val="single" w:sz="4" w:space="0" w:color="auto"/>
              <w:bottom w:val="single" w:sz="4" w:space="0" w:color="auto"/>
              <w:right w:val="single" w:sz="4" w:space="0" w:color="auto"/>
            </w:tcBorders>
            <w:shd w:val="clear" w:color="auto" w:fill="auto"/>
            <w:hideMark/>
          </w:tcPr>
          <w:p w14:paraId="7843F8FE" w14:textId="77777777" w:rsidR="00302BFE" w:rsidRPr="00806024" w:rsidRDefault="00302BFE" w:rsidP="00243B15">
            <w:pPr>
              <w:rPr>
                <w:rFonts w:eastAsia="Times New Roman"/>
                <w:color w:val="4472C4"/>
                <w:sz w:val="18"/>
                <w:szCs w:val="18"/>
              </w:rPr>
            </w:pPr>
            <w:r w:rsidRPr="00806024">
              <w:rPr>
                <w:rFonts w:eastAsia="Times New Roman"/>
                <w:color w:val="4472C4"/>
                <w:sz w:val="18"/>
                <w:szCs w:val="18"/>
              </w:rPr>
              <w:t xml:space="preserve">PREVENTION </w:t>
            </w:r>
          </w:p>
          <w:p w14:paraId="62B425A0" w14:textId="77777777" w:rsidR="00302BFE" w:rsidRPr="00806024" w:rsidRDefault="00302BFE" w:rsidP="00243B15">
            <w:pPr>
              <w:rPr>
                <w:rFonts w:eastAsia="Times New Roman"/>
                <w:sz w:val="18"/>
                <w:szCs w:val="18"/>
              </w:rPr>
            </w:pPr>
            <w:r w:rsidRPr="00806024">
              <w:rPr>
                <w:rFonts w:eastAsia="Times New Roman"/>
                <w:sz w:val="18"/>
                <w:szCs w:val="18"/>
              </w:rPr>
              <w:t>Stop or prevent conflict between humans and wildlife before it happens</w:t>
            </w:r>
          </w:p>
          <w:p w14:paraId="341466FC" w14:textId="77777777" w:rsidR="00302BFE" w:rsidRPr="00806024" w:rsidRDefault="00302BFE" w:rsidP="00243B15">
            <w:pPr>
              <w:spacing w:after="0"/>
              <w:rPr>
                <w:rFonts w:eastAsia="Times New Roman"/>
                <w:sz w:val="18"/>
                <w:szCs w:val="18"/>
              </w:rPr>
            </w:pPr>
            <w:r w:rsidRPr="00806024">
              <w:rPr>
                <w:rFonts w:eastAsia="Times New Roman"/>
                <w:sz w:val="18"/>
                <w:szCs w:val="18"/>
              </w:rPr>
              <w:t>• Education</w:t>
            </w:r>
          </w:p>
          <w:p w14:paraId="0DBF8EB1" w14:textId="77777777" w:rsidR="00302BFE" w:rsidRPr="00806024" w:rsidRDefault="00302BFE" w:rsidP="00243B15">
            <w:pPr>
              <w:spacing w:after="0"/>
              <w:rPr>
                <w:rFonts w:eastAsia="Times New Roman"/>
                <w:sz w:val="18"/>
                <w:szCs w:val="18"/>
              </w:rPr>
            </w:pPr>
            <w:r w:rsidRPr="00806024">
              <w:rPr>
                <w:rFonts w:eastAsia="Times New Roman"/>
                <w:sz w:val="18"/>
                <w:szCs w:val="18"/>
              </w:rPr>
              <w:t>• Livestock management</w:t>
            </w:r>
          </w:p>
          <w:p w14:paraId="08D1D82C" w14:textId="77777777" w:rsidR="00302BFE" w:rsidRPr="00806024" w:rsidRDefault="00302BFE" w:rsidP="00243B15">
            <w:pPr>
              <w:spacing w:after="0"/>
              <w:rPr>
                <w:rFonts w:eastAsia="Times New Roman"/>
                <w:sz w:val="18"/>
                <w:szCs w:val="18"/>
              </w:rPr>
            </w:pPr>
            <w:r w:rsidRPr="00806024">
              <w:rPr>
                <w:rFonts w:eastAsia="Times New Roman"/>
                <w:sz w:val="18"/>
                <w:szCs w:val="18"/>
              </w:rPr>
              <w:t>• Zero poaching</w:t>
            </w:r>
          </w:p>
          <w:p w14:paraId="755EC87A" w14:textId="77777777" w:rsidR="00302BFE" w:rsidRPr="00806024" w:rsidRDefault="00302BFE" w:rsidP="00243B15">
            <w:pPr>
              <w:spacing w:after="0"/>
              <w:rPr>
                <w:rFonts w:eastAsia="Times New Roman"/>
                <w:sz w:val="18"/>
                <w:szCs w:val="18"/>
              </w:rPr>
            </w:pPr>
            <w:r w:rsidRPr="00806024">
              <w:rPr>
                <w:rFonts w:eastAsia="Times New Roman"/>
                <w:sz w:val="18"/>
                <w:szCs w:val="18"/>
              </w:rPr>
              <w:t>• Dissuasive</w:t>
            </w:r>
          </w:p>
          <w:p w14:paraId="503DEEE0" w14:textId="77777777" w:rsidR="00302BFE" w:rsidRPr="00806024" w:rsidRDefault="00302BFE" w:rsidP="00243B15">
            <w:pPr>
              <w:spacing w:after="0"/>
              <w:rPr>
                <w:rFonts w:eastAsia="Times New Roman"/>
                <w:sz w:val="18"/>
                <w:szCs w:val="18"/>
              </w:rPr>
            </w:pPr>
            <w:r w:rsidRPr="00806024">
              <w:rPr>
                <w:rFonts w:eastAsia="Times New Roman"/>
                <w:sz w:val="18"/>
                <w:szCs w:val="18"/>
              </w:rPr>
              <w:t>• Safe work environments</w:t>
            </w:r>
          </w:p>
          <w:p w14:paraId="7301D945" w14:textId="77777777" w:rsidR="00302BFE" w:rsidRPr="00806024" w:rsidRDefault="00302BFE" w:rsidP="00243B15">
            <w:pPr>
              <w:spacing w:after="0"/>
              <w:rPr>
                <w:rFonts w:eastAsia="Times New Roman"/>
                <w:sz w:val="18"/>
                <w:szCs w:val="18"/>
              </w:rPr>
            </w:pPr>
            <w:r w:rsidRPr="00806024">
              <w:rPr>
                <w:rFonts w:eastAsia="Times New Roman"/>
                <w:sz w:val="18"/>
                <w:szCs w:val="18"/>
              </w:rPr>
              <w:t>• Prey protection</w:t>
            </w:r>
          </w:p>
          <w:p w14:paraId="28F91A5D" w14:textId="77777777" w:rsidR="00302BFE" w:rsidRPr="00806024" w:rsidRDefault="00302BFE" w:rsidP="00243B15">
            <w:pPr>
              <w:spacing w:after="0"/>
              <w:rPr>
                <w:rFonts w:eastAsia="Times New Roman"/>
                <w:sz w:val="18"/>
                <w:szCs w:val="18"/>
              </w:rPr>
            </w:pPr>
            <w:r w:rsidRPr="00806024">
              <w:rPr>
                <w:rFonts w:eastAsia="Times New Roman"/>
                <w:sz w:val="18"/>
                <w:szCs w:val="18"/>
              </w:rPr>
              <w:t>• Habitat management</w:t>
            </w:r>
          </w:p>
          <w:p w14:paraId="777523A5" w14:textId="77777777" w:rsidR="00302BFE" w:rsidRPr="00806024" w:rsidRDefault="00302BFE" w:rsidP="00243B15">
            <w:pPr>
              <w:spacing w:after="0"/>
              <w:rPr>
                <w:rFonts w:eastAsia="Times New Roman"/>
                <w:sz w:val="18"/>
                <w:szCs w:val="18"/>
              </w:rPr>
            </w:pPr>
            <w:r w:rsidRPr="00806024">
              <w:rPr>
                <w:rFonts w:eastAsia="Times New Roman"/>
                <w:sz w:val="18"/>
                <w:szCs w:val="18"/>
              </w:rPr>
              <w:t>• Land use planning</w:t>
            </w:r>
          </w:p>
        </w:tc>
      </w:tr>
      <w:tr w:rsidR="00302BFE" w:rsidRPr="005F3825" w14:paraId="0970FB34" w14:textId="77777777" w:rsidTr="00243B15">
        <w:trPr>
          <w:jc w:val="center"/>
        </w:trPr>
        <w:tc>
          <w:tcPr>
            <w:tcW w:w="4819" w:type="dxa"/>
            <w:tcBorders>
              <w:top w:val="single" w:sz="4" w:space="0" w:color="auto"/>
              <w:left w:val="single" w:sz="4" w:space="0" w:color="auto"/>
              <w:bottom w:val="single" w:sz="4" w:space="0" w:color="auto"/>
              <w:right w:val="single" w:sz="4" w:space="0" w:color="auto"/>
            </w:tcBorders>
            <w:shd w:val="clear" w:color="auto" w:fill="auto"/>
            <w:hideMark/>
          </w:tcPr>
          <w:p w14:paraId="724120A2" w14:textId="77777777" w:rsidR="00302BFE" w:rsidRPr="00806024" w:rsidRDefault="00302BFE" w:rsidP="00243B15">
            <w:pPr>
              <w:rPr>
                <w:rFonts w:eastAsia="Times New Roman"/>
                <w:color w:val="4472C4"/>
                <w:sz w:val="18"/>
                <w:szCs w:val="18"/>
              </w:rPr>
            </w:pPr>
            <w:r w:rsidRPr="00806024">
              <w:rPr>
                <w:rFonts w:eastAsia="Times New Roman"/>
                <w:color w:val="4472C4"/>
                <w:sz w:val="18"/>
                <w:szCs w:val="18"/>
              </w:rPr>
              <w:t xml:space="preserve">MITIGATION </w:t>
            </w:r>
          </w:p>
          <w:p w14:paraId="478DE495" w14:textId="77777777" w:rsidR="00302BFE" w:rsidRPr="00806024" w:rsidRDefault="00302BFE" w:rsidP="00243B15">
            <w:pPr>
              <w:rPr>
                <w:rFonts w:eastAsia="Times New Roman"/>
                <w:sz w:val="18"/>
                <w:szCs w:val="18"/>
              </w:rPr>
            </w:pPr>
            <w:r w:rsidRPr="00806024">
              <w:rPr>
                <w:rFonts w:eastAsia="Times New Roman"/>
                <w:sz w:val="18"/>
                <w:szCs w:val="18"/>
              </w:rPr>
              <w:t>Reduce the impacts of human-wildlife conflict after its occurrence</w:t>
            </w:r>
          </w:p>
          <w:p w14:paraId="2986FA2D" w14:textId="77777777" w:rsidR="00302BFE" w:rsidRPr="00806024" w:rsidRDefault="00302BFE" w:rsidP="00243B15">
            <w:pPr>
              <w:spacing w:after="0"/>
              <w:rPr>
                <w:rFonts w:eastAsia="Times New Roman"/>
                <w:sz w:val="18"/>
                <w:szCs w:val="18"/>
              </w:rPr>
            </w:pPr>
            <w:r w:rsidRPr="00806024">
              <w:rPr>
                <w:rFonts w:eastAsia="Times New Roman"/>
                <w:sz w:val="18"/>
                <w:szCs w:val="18"/>
              </w:rPr>
              <w:t>• Compensation programs</w:t>
            </w:r>
          </w:p>
          <w:p w14:paraId="3A386637" w14:textId="77777777" w:rsidR="00302BFE" w:rsidRPr="00806024" w:rsidRDefault="00302BFE" w:rsidP="00243B15">
            <w:pPr>
              <w:spacing w:after="0"/>
              <w:rPr>
                <w:rFonts w:eastAsia="Times New Roman"/>
                <w:sz w:val="18"/>
                <w:szCs w:val="18"/>
              </w:rPr>
            </w:pPr>
            <w:r w:rsidRPr="00806024">
              <w:rPr>
                <w:rFonts w:eastAsia="Times New Roman"/>
                <w:sz w:val="18"/>
                <w:szCs w:val="18"/>
              </w:rPr>
              <w:t>• Insurance schemes</w:t>
            </w:r>
          </w:p>
          <w:p w14:paraId="20B62BF7" w14:textId="77777777" w:rsidR="00302BFE" w:rsidRPr="00806024" w:rsidRDefault="00302BFE" w:rsidP="00243B15">
            <w:pPr>
              <w:spacing w:after="0"/>
              <w:rPr>
                <w:rFonts w:eastAsia="Times New Roman"/>
                <w:sz w:val="18"/>
                <w:szCs w:val="18"/>
              </w:rPr>
            </w:pPr>
            <w:r w:rsidRPr="00806024">
              <w:rPr>
                <w:rFonts w:eastAsia="Times New Roman"/>
                <w:sz w:val="18"/>
                <w:szCs w:val="18"/>
              </w:rPr>
              <w:t>• Alternative livelihoods</w:t>
            </w:r>
          </w:p>
          <w:p w14:paraId="07C1705C" w14:textId="77777777" w:rsidR="00302BFE" w:rsidRPr="00806024" w:rsidRDefault="00302BFE" w:rsidP="00243B15">
            <w:pPr>
              <w:spacing w:after="0"/>
              <w:rPr>
                <w:rFonts w:eastAsia="Times New Roman"/>
                <w:sz w:val="18"/>
                <w:szCs w:val="18"/>
              </w:rPr>
            </w:pPr>
            <w:r w:rsidRPr="00806024">
              <w:rPr>
                <w:rFonts w:eastAsia="Times New Roman"/>
                <w:sz w:val="18"/>
                <w:szCs w:val="18"/>
              </w:rPr>
              <w:t>• Diversification of livelihoods</w:t>
            </w:r>
          </w:p>
          <w:p w14:paraId="230033CB" w14:textId="77777777" w:rsidR="00302BFE" w:rsidRPr="00806024" w:rsidRDefault="00302BFE" w:rsidP="00243B15">
            <w:pPr>
              <w:spacing w:after="0"/>
              <w:rPr>
                <w:rFonts w:eastAsia="Times New Roman"/>
                <w:sz w:val="18"/>
                <w:szCs w:val="18"/>
              </w:rPr>
            </w:pPr>
            <w:r w:rsidRPr="00806024">
              <w:rPr>
                <w:rFonts w:eastAsia="Times New Roman"/>
                <w:sz w:val="18"/>
                <w:szCs w:val="18"/>
              </w:rPr>
              <w:t>• Sharing of benefits</w:t>
            </w:r>
          </w:p>
        </w:tc>
        <w:tc>
          <w:tcPr>
            <w:tcW w:w="5014" w:type="dxa"/>
            <w:tcBorders>
              <w:top w:val="single" w:sz="4" w:space="0" w:color="auto"/>
              <w:left w:val="single" w:sz="4" w:space="0" w:color="auto"/>
              <w:bottom w:val="single" w:sz="4" w:space="0" w:color="auto"/>
              <w:right w:val="single" w:sz="4" w:space="0" w:color="auto"/>
            </w:tcBorders>
            <w:shd w:val="clear" w:color="auto" w:fill="auto"/>
            <w:hideMark/>
          </w:tcPr>
          <w:p w14:paraId="59CFB954" w14:textId="77777777" w:rsidR="00302BFE" w:rsidRPr="00806024" w:rsidRDefault="00302BFE" w:rsidP="00243B15">
            <w:pPr>
              <w:rPr>
                <w:rFonts w:eastAsia="Times New Roman"/>
                <w:color w:val="4472C4"/>
                <w:sz w:val="18"/>
                <w:szCs w:val="18"/>
              </w:rPr>
            </w:pPr>
            <w:r w:rsidRPr="00806024">
              <w:rPr>
                <w:rFonts w:eastAsia="Times New Roman"/>
                <w:color w:val="4472C4"/>
                <w:sz w:val="18"/>
                <w:szCs w:val="18"/>
              </w:rPr>
              <w:t xml:space="preserve">RESPONSE </w:t>
            </w:r>
          </w:p>
          <w:p w14:paraId="1105A967" w14:textId="77777777" w:rsidR="00302BFE" w:rsidRPr="00806024" w:rsidRDefault="00302BFE" w:rsidP="00243B15">
            <w:pPr>
              <w:rPr>
                <w:rFonts w:eastAsia="Times New Roman"/>
                <w:sz w:val="18"/>
                <w:szCs w:val="18"/>
              </w:rPr>
            </w:pPr>
            <w:r w:rsidRPr="00806024">
              <w:rPr>
                <w:rFonts w:eastAsia="Times New Roman"/>
                <w:sz w:val="18"/>
                <w:szCs w:val="18"/>
              </w:rPr>
              <w:t>Actions taken to mitigate a specific or ongoing incident</w:t>
            </w:r>
          </w:p>
          <w:p w14:paraId="21409EC0" w14:textId="77777777" w:rsidR="00302BFE" w:rsidRPr="00806024" w:rsidRDefault="00302BFE" w:rsidP="00243B15">
            <w:pPr>
              <w:spacing w:after="0"/>
              <w:rPr>
                <w:rFonts w:eastAsia="Times New Roman"/>
                <w:sz w:val="18"/>
                <w:szCs w:val="18"/>
              </w:rPr>
            </w:pPr>
            <w:r w:rsidRPr="00806024">
              <w:rPr>
                <w:rFonts w:eastAsia="Times New Roman"/>
                <w:sz w:val="18"/>
                <w:szCs w:val="18"/>
              </w:rPr>
              <w:t>• Intervention teams</w:t>
            </w:r>
          </w:p>
          <w:p w14:paraId="4716E66B" w14:textId="77777777" w:rsidR="00302BFE" w:rsidRPr="00806024" w:rsidRDefault="00302BFE" w:rsidP="00243B15">
            <w:pPr>
              <w:spacing w:after="0"/>
              <w:rPr>
                <w:rFonts w:eastAsia="Times New Roman"/>
                <w:sz w:val="18"/>
                <w:szCs w:val="18"/>
              </w:rPr>
            </w:pPr>
            <w:r w:rsidRPr="00806024">
              <w:rPr>
                <w:rFonts w:eastAsia="Times New Roman"/>
                <w:sz w:val="18"/>
                <w:szCs w:val="18"/>
              </w:rPr>
              <w:t>• Removal of problem animals</w:t>
            </w:r>
          </w:p>
          <w:p w14:paraId="54927953" w14:textId="77777777" w:rsidR="00302BFE" w:rsidRPr="00806024" w:rsidRDefault="00302BFE" w:rsidP="00243B15">
            <w:pPr>
              <w:spacing w:after="0"/>
              <w:rPr>
                <w:rFonts w:eastAsia="Times New Roman"/>
                <w:sz w:val="18"/>
                <w:szCs w:val="18"/>
              </w:rPr>
            </w:pPr>
            <w:r w:rsidRPr="00806024">
              <w:rPr>
                <w:rFonts w:eastAsia="Times New Roman"/>
                <w:sz w:val="18"/>
                <w:szCs w:val="18"/>
              </w:rPr>
              <w:t>• First aid</w:t>
            </w:r>
          </w:p>
          <w:p w14:paraId="124558EB" w14:textId="77777777" w:rsidR="00302BFE" w:rsidRPr="00806024" w:rsidRDefault="00302BFE" w:rsidP="00243B15">
            <w:pPr>
              <w:spacing w:after="0"/>
              <w:rPr>
                <w:rFonts w:eastAsia="Times New Roman"/>
                <w:sz w:val="18"/>
                <w:szCs w:val="18"/>
              </w:rPr>
            </w:pPr>
            <w:r w:rsidRPr="00806024">
              <w:rPr>
                <w:rFonts w:eastAsia="Times New Roman"/>
                <w:sz w:val="18"/>
                <w:szCs w:val="18"/>
              </w:rPr>
              <w:t>• Crowd control</w:t>
            </w:r>
          </w:p>
        </w:tc>
      </w:tr>
      <w:tr w:rsidR="00302BFE" w:rsidRPr="00806024" w14:paraId="6C231498" w14:textId="77777777" w:rsidTr="00243B15">
        <w:trPr>
          <w:jc w:val="center"/>
        </w:trPr>
        <w:tc>
          <w:tcPr>
            <w:tcW w:w="4819" w:type="dxa"/>
            <w:tcBorders>
              <w:top w:val="single" w:sz="4" w:space="0" w:color="auto"/>
              <w:left w:val="single" w:sz="4" w:space="0" w:color="auto"/>
              <w:bottom w:val="single" w:sz="4" w:space="0" w:color="auto"/>
              <w:right w:val="single" w:sz="4" w:space="0" w:color="auto"/>
            </w:tcBorders>
            <w:shd w:val="clear" w:color="auto" w:fill="auto"/>
            <w:hideMark/>
          </w:tcPr>
          <w:p w14:paraId="4E61A679" w14:textId="77777777" w:rsidR="00302BFE" w:rsidRPr="00806024" w:rsidRDefault="00302BFE" w:rsidP="00243B15">
            <w:pPr>
              <w:rPr>
                <w:rFonts w:eastAsia="Times New Roman"/>
                <w:color w:val="4472C4"/>
                <w:sz w:val="18"/>
                <w:szCs w:val="18"/>
              </w:rPr>
            </w:pPr>
            <w:r w:rsidRPr="00806024">
              <w:rPr>
                <w:rFonts w:eastAsia="Times New Roman"/>
                <w:color w:val="4472C4"/>
                <w:sz w:val="18"/>
                <w:szCs w:val="18"/>
              </w:rPr>
              <w:t xml:space="preserve">UNDERSTANDING THE CONFLICT </w:t>
            </w:r>
          </w:p>
          <w:p w14:paraId="133C4CB9" w14:textId="77777777" w:rsidR="00302BFE" w:rsidRPr="00806024" w:rsidRDefault="00302BFE" w:rsidP="00243B15">
            <w:pPr>
              <w:rPr>
                <w:rFonts w:eastAsia="Times New Roman"/>
                <w:sz w:val="18"/>
                <w:szCs w:val="18"/>
              </w:rPr>
            </w:pPr>
            <w:r w:rsidRPr="00806024">
              <w:rPr>
                <w:rFonts w:eastAsia="Times New Roman"/>
                <w:sz w:val="18"/>
                <w:szCs w:val="18"/>
              </w:rPr>
              <w:t>Research on all aspects of the conflict profile</w:t>
            </w:r>
          </w:p>
          <w:p w14:paraId="0B5803BE" w14:textId="77777777" w:rsidR="00302BFE" w:rsidRPr="00806024" w:rsidRDefault="00302BFE" w:rsidP="00243B15">
            <w:pPr>
              <w:spacing w:after="0"/>
              <w:rPr>
                <w:rFonts w:eastAsia="Times New Roman"/>
                <w:sz w:val="18"/>
                <w:szCs w:val="18"/>
              </w:rPr>
            </w:pPr>
            <w:r w:rsidRPr="00806024">
              <w:rPr>
                <w:rFonts w:eastAsia="Times New Roman"/>
                <w:sz w:val="18"/>
                <w:szCs w:val="18"/>
              </w:rPr>
              <w:t>• Mapping of hotspots</w:t>
            </w:r>
          </w:p>
          <w:p w14:paraId="4A943BC8" w14:textId="77777777" w:rsidR="00302BFE" w:rsidRPr="00806024" w:rsidRDefault="00302BFE" w:rsidP="00243B15">
            <w:pPr>
              <w:spacing w:after="0"/>
              <w:rPr>
                <w:rFonts w:eastAsia="Times New Roman"/>
                <w:sz w:val="18"/>
                <w:szCs w:val="18"/>
              </w:rPr>
            </w:pPr>
            <w:r w:rsidRPr="00806024">
              <w:rPr>
                <w:rFonts w:eastAsia="Times New Roman"/>
                <w:sz w:val="18"/>
                <w:szCs w:val="18"/>
              </w:rPr>
              <w:t>• Spatial and temporal characteristics</w:t>
            </w:r>
          </w:p>
          <w:p w14:paraId="33C6447E" w14:textId="77777777" w:rsidR="00302BFE" w:rsidRPr="00806024" w:rsidRDefault="00302BFE" w:rsidP="00243B15">
            <w:pPr>
              <w:spacing w:after="0"/>
              <w:rPr>
                <w:rFonts w:eastAsia="Times New Roman"/>
                <w:sz w:val="18"/>
                <w:szCs w:val="18"/>
              </w:rPr>
            </w:pPr>
            <w:r w:rsidRPr="00806024">
              <w:rPr>
                <w:rFonts w:eastAsia="Times New Roman"/>
                <w:sz w:val="18"/>
                <w:szCs w:val="18"/>
              </w:rPr>
              <w:t>• Social characteristics</w:t>
            </w:r>
          </w:p>
          <w:p w14:paraId="583E71A2" w14:textId="77777777" w:rsidR="00302BFE" w:rsidRPr="00806024" w:rsidRDefault="00302BFE" w:rsidP="00243B15">
            <w:pPr>
              <w:spacing w:after="0"/>
              <w:rPr>
                <w:rFonts w:eastAsia="Times New Roman"/>
                <w:sz w:val="18"/>
                <w:szCs w:val="18"/>
              </w:rPr>
            </w:pPr>
            <w:r w:rsidRPr="00806024">
              <w:rPr>
                <w:rFonts w:eastAsia="Times New Roman"/>
                <w:sz w:val="18"/>
                <w:szCs w:val="18"/>
              </w:rPr>
              <w:t>• Severity and impact</w:t>
            </w:r>
          </w:p>
          <w:p w14:paraId="6E9A4836" w14:textId="77777777" w:rsidR="00302BFE" w:rsidRPr="00806024" w:rsidRDefault="00302BFE" w:rsidP="00243B15">
            <w:pPr>
              <w:spacing w:after="0"/>
              <w:rPr>
                <w:rFonts w:eastAsia="Times New Roman"/>
                <w:sz w:val="18"/>
                <w:szCs w:val="18"/>
              </w:rPr>
            </w:pPr>
            <w:r w:rsidRPr="00806024">
              <w:rPr>
                <w:rFonts w:eastAsia="Times New Roman"/>
                <w:sz w:val="18"/>
                <w:szCs w:val="18"/>
              </w:rPr>
              <w:t>• Collecting conflict information</w:t>
            </w:r>
          </w:p>
        </w:tc>
        <w:tc>
          <w:tcPr>
            <w:tcW w:w="5014" w:type="dxa"/>
            <w:tcBorders>
              <w:top w:val="single" w:sz="4" w:space="0" w:color="auto"/>
              <w:left w:val="single" w:sz="4" w:space="0" w:color="auto"/>
              <w:bottom w:val="single" w:sz="4" w:space="0" w:color="auto"/>
              <w:right w:val="single" w:sz="4" w:space="0" w:color="auto"/>
            </w:tcBorders>
            <w:shd w:val="clear" w:color="auto" w:fill="auto"/>
            <w:hideMark/>
          </w:tcPr>
          <w:p w14:paraId="2FD14331" w14:textId="77777777" w:rsidR="00302BFE" w:rsidRPr="00806024" w:rsidRDefault="00302BFE" w:rsidP="00243B15">
            <w:pPr>
              <w:rPr>
                <w:rFonts w:eastAsia="Times New Roman"/>
                <w:color w:val="4472C4"/>
                <w:sz w:val="18"/>
                <w:szCs w:val="18"/>
              </w:rPr>
            </w:pPr>
            <w:r w:rsidRPr="00806024">
              <w:rPr>
                <w:rFonts w:eastAsia="Times New Roman"/>
                <w:color w:val="4472C4"/>
                <w:sz w:val="18"/>
                <w:szCs w:val="18"/>
              </w:rPr>
              <w:t>MONITORING</w:t>
            </w:r>
          </w:p>
          <w:p w14:paraId="0A0B8725" w14:textId="77777777" w:rsidR="00302BFE" w:rsidRPr="00806024" w:rsidRDefault="00302BFE" w:rsidP="00243B15">
            <w:pPr>
              <w:rPr>
                <w:rFonts w:eastAsia="Times New Roman"/>
                <w:sz w:val="18"/>
                <w:szCs w:val="18"/>
              </w:rPr>
            </w:pPr>
            <w:r w:rsidRPr="00806024">
              <w:rPr>
                <w:rFonts w:eastAsia="Times New Roman"/>
                <w:sz w:val="18"/>
                <w:szCs w:val="18"/>
              </w:rPr>
              <w:t>Measure the performance and effectiveness of human-wildlife conflict management interventions over time</w:t>
            </w:r>
          </w:p>
          <w:p w14:paraId="774C4FD5" w14:textId="77777777" w:rsidR="00302BFE" w:rsidRPr="00806024" w:rsidRDefault="00302BFE" w:rsidP="00243B15">
            <w:pPr>
              <w:spacing w:after="0"/>
              <w:rPr>
                <w:rFonts w:eastAsia="Times New Roman"/>
                <w:sz w:val="18"/>
                <w:szCs w:val="18"/>
              </w:rPr>
            </w:pPr>
            <w:r w:rsidRPr="00806024">
              <w:rPr>
                <w:rFonts w:eastAsia="Times New Roman"/>
                <w:sz w:val="18"/>
                <w:szCs w:val="18"/>
              </w:rPr>
              <w:t>• Tracking success</w:t>
            </w:r>
          </w:p>
          <w:p w14:paraId="459FA3D4" w14:textId="77777777" w:rsidR="00302BFE" w:rsidRPr="00806024" w:rsidRDefault="00302BFE" w:rsidP="00243B15">
            <w:pPr>
              <w:spacing w:after="0"/>
              <w:rPr>
                <w:rFonts w:eastAsia="Times New Roman"/>
                <w:sz w:val="18"/>
                <w:szCs w:val="18"/>
              </w:rPr>
            </w:pPr>
            <w:r w:rsidRPr="00806024">
              <w:rPr>
                <w:rFonts w:eastAsia="Times New Roman"/>
                <w:sz w:val="18"/>
                <w:szCs w:val="18"/>
              </w:rPr>
              <w:t>• Feedback</w:t>
            </w:r>
          </w:p>
          <w:p w14:paraId="185CC2D3" w14:textId="77777777" w:rsidR="00302BFE" w:rsidRPr="00806024" w:rsidRDefault="00302BFE" w:rsidP="00243B15">
            <w:pPr>
              <w:spacing w:after="0"/>
              <w:rPr>
                <w:rFonts w:eastAsia="Times New Roman"/>
                <w:sz w:val="18"/>
                <w:szCs w:val="18"/>
              </w:rPr>
            </w:pPr>
            <w:r w:rsidRPr="00806024">
              <w:rPr>
                <w:rFonts w:eastAsia="Times New Roman"/>
                <w:sz w:val="18"/>
                <w:szCs w:val="18"/>
              </w:rPr>
              <w:t>• Information sharing</w:t>
            </w:r>
          </w:p>
          <w:p w14:paraId="39AAE514" w14:textId="77777777" w:rsidR="00302BFE" w:rsidRPr="00806024" w:rsidRDefault="00302BFE" w:rsidP="00243B15">
            <w:pPr>
              <w:spacing w:after="0"/>
              <w:rPr>
                <w:rFonts w:eastAsia="Times New Roman"/>
                <w:sz w:val="18"/>
                <w:szCs w:val="18"/>
              </w:rPr>
            </w:pPr>
            <w:r w:rsidRPr="00806024">
              <w:rPr>
                <w:rFonts w:eastAsia="Times New Roman"/>
                <w:sz w:val="18"/>
                <w:szCs w:val="18"/>
              </w:rPr>
              <w:t>• Adaptive management</w:t>
            </w:r>
          </w:p>
        </w:tc>
      </w:tr>
    </w:tbl>
    <w:p w14:paraId="18D9ED61" w14:textId="77777777" w:rsidR="00302BFE" w:rsidRPr="005F3825" w:rsidRDefault="00302BFE" w:rsidP="00C46720">
      <w:pPr>
        <w:pStyle w:val="Paragraphedeliste"/>
        <w:numPr>
          <w:ilvl w:val="0"/>
          <w:numId w:val="14"/>
        </w:numPr>
        <w:tabs>
          <w:tab w:val="left" w:pos="284"/>
        </w:tabs>
        <w:spacing w:before="240" w:after="120"/>
        <w:ind w:left="0" w:firstLine="0"/>
        <w:jc w:val="both"/>
        <w:rPr>
          <w:rFonts w:ascii="Calibri" w:hAnsi="Calibri"/>
          <w:sz w:val="20"/>
          <w:szCs w:val="20"/>
          <w:lang w:val="en-GB"/>
        </w:rPr>
      </w:pPr>
      <w:r w:rsidRPr="005F3825">
        <w:rPr>
          <w:rFonts w:ascii="Calibri" w:eastAsia="Times New Roman" w:hAnsi="Calibri"/>
          <w:sz w:val="20"/>
          <w:szCs w:val="20"/>
          <w:lang w:val="en-GB"/>
        </w:rPr>
        <w:lastRenderedPageBreak/>
        <w:t>Actions may include measures such as the promotion of wildlife-compatible land uses, such as nature-based tourism enterprises or the cultivation of plants that are not palatable to wild animals; information and sensitization to local communities to prevent human-wildlife conflict, fencing on farms and avoid grazing livestock in conflict-prone areas, promoting safe work practices such as work in a group, popularizing the growth of dissuasive plants, among others.</w:t>
      </w:r>
    </w:p>
    <w:p w14:paraId="7B7453EA" w14:textId="77777777" w:rsidR="00302BFE" w:rsidRPr="005F382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5F3825">
        <w:rPr>
          <w:rFonts w:ascii="Calibri" w:eastAsia="Times New Roman" w:hAnsi="Calibri"/>
          <w:i/>
          <w:color w:val="4472C4"/>
          <w:sz w:val="20"/>
          <w:szCs w:val="20"/>
          <w:lang w:val="en-GB"/>
        </w:rPr>
        <w:t xml:space="preserve"> </w:t>
      </w:r>
      <w:r w:rsidRPr="005F3825">
        <w:rPr>
          <w:rFonts w:ascii="Calibri" w:eastAsia="Times New Roman" w:hAnsi="Calibri"/>
          <w:i/>
          <w:sz w:val="20"/>
          <w:szCs w:val="20"/>
          <w:u w:val="single"/>
          <w:lang w:val="en-GB"/>
        </w:rPr>
        <w:t>Step 4: Implementation and monitoring of the strategy and action plan.</w:t>
      </w:r>
      <w:r w:rsidRPr="005F3825">
        <w:rPr>
          <w:rFonts w:ascii="Calibri" w:eastAsia="Times New Roman" w:hAnsi="Calibri"/>
          <w:sz w:val="20"/>
          <w:szCs w:val="20"/>
          <w:lang w:val="en-GB"/>
        </w:rPr>
        <w:t xml:space="preserve"> The project will support the implementation of the strategy and action plan in the priority sites, as part of the integrated landscape management plan, and the ongoing monitoring of progress, until the landscape is safe for people and wildlife. Once completed, the 4-step process can begin again, with a review and analysis of the data, followed by a stakeholder workshop to redefine and update the strategy. Over time, as the landscape becomes safer and data is collected more fully, this process will become more efficient as processes and knowledge become clearer. The information collected as part of the ongoing monitoring of the implementation of the strategy will be collated to update the databases created in Step 1 and create hotspots maps to inform rangers of incidents related to human wildlife conflict. - as well as for planning of the rounds and the frequency of monitoring and surveillance patrols.</w:t>
      </w:r>
    </w:p>
    <w:p w14:paraId="38C42242" w14:textId="77777777" w:rsidR="00302BFE" w:rsidRPr="005F3825" w:rsidRDefault="00302BFE" w:rsidP="00302BFE">
      <w:pPr>
        <w:pStyle w:val="Paragraphedeliste"/>
        <w:tabs>
          <w:tab w:val="left" w:pos="284"/>
        </w:tabs>
        <w:spacing w:before="120" w:after="120"/>
        <w:ind w:left="0"/>
        <w:jc w:val="both"/>
        <w:rPr>
          <w:rFonts w:ascii="Calibri" w:hAnsi="Calibri"/>
          <w:i/>
          <w:color w:val="4472C4"/>
          <w:sz w:val="20"/>
          <w:szCs w:val="20"/>
          <w:lang w:val="en-GB"/>
        </w:rPr>
      </w:pPr>
      <w:r w:rsidRPr="005F3825">
        <w:rPr>
          <w:rFonts w:ascii="Calibri" w:hAnsi="Calibri"/>
          <w:i/>
          <w:color w:val="4472C4"/>
          <w:sz w:val="20"/>
          <w:szCs w:val="20"/>
          <w:lang w:val="en-GB"/>
        </w:rPr>
        <w:t>2.4.2 Research program on elephant movements within and outside the PONASI landscape, to Ghana and the two Balés classified forest</w:t>
      </w:r>
    </w:p>
    <w:p w14:paraId="57630755" w14:textId="77777777" w:rsidR="00302BFE" w:rsidRPr="005F382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5F3825">
        <w:rPr>
          <w:rFonts w:ascii="Calibri" w:hAnsi="Calibri"/>
          <w:sz w:val="20"/>
          <w:szCs w:val="20"/>
          <w:lang w:val="en-GB"/>
        </w:rPr>
        <w:t xml:space="preserve">According to the West African Elephant Conservation Strategy 2005-2015, elephant conservation in West Africa is compromised by a lack of data on population numbers, population dynamics and seasonal movements. Knowledge of seasonal movements and use of different habitats is essential to limit disruption and encroachment on elephant habitat by exploitations (forestry, agriculture, mining and hunting) and adopt measures to reduce human-elephant conflicts. At the same time, it is important to understand the movements of elephant groups outside the PONASI PA complex to prevent intense poaching pressures from compromising the results of conservation efforts within the complex. Cooperation with Ghana for the pooling of available resources and coordination of studies and actions to combat poaching is required to effectively protect elephants whose range extends on both sides of the border. </w:t>
      </w:r>
    </w:p>
    <w:p w14:paraId="0D1D1B0E" w14:textId="77777777" w:rsidR="00302BFE" w:rsidRPr="00793D18"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793D18">
        <w:rPr>
          <w:rFonts w:ascii="Calibri" w:hAnsi="Calibri"/>
          <w:sz w:val="20"/>
          <w:szCs w:val="20"/>
          <w:lang w:val="en-GB"/>
        </w:rPr>
        <w:t xml:space="preserve">In addition to the corridors linking the </w:t>
      </w:r>
      <w:r w:rsidRPr="00793D18">
        <w:rPr>
          <w:rFonts w:ascii="Calibri" w:hAnsi="Calibri"/>
          <w:sz w:val="20"/>
          <w:szCs w:val="20"/>
          <w:lang w:val="en-CA"/>
        </w:rPr>
        <w:t>PNKT</w:t>
      </w:r>
      <w:r w:rsidRPr="00793D18">
        <w:rPr>
          <w:rFonts w:ascii="Calibri" w:hAnsi="Calibri"/>
          <w:sz w:val="20"/>
          <w:szCs w:val="20"/>
          <w:lang w:val="en-GB"/>
        </w:rPr>
        <w:t xml:space="preserve"> and Nazinga Game Ranch (Corridor # 1) and Southeast of </w:t>
      </w:r>
      <w:r w:rsidRPr="00793D18">
        <w:rPr>
          <w:rFonts w:ascii="Calibri" w:hAnsi="Calibri"/>
          <w:sz w:val="20"/>
          <w:szCs w:val="20"/>
          <w:lang w:val="en-CA"/>
        </w:rPr>
        <w:t>PNKT</w:t>
      </w:r>
      <w:r w:rsidRPr="00793D18">
        <w:rPr>
          <w:rFonts w:ascii="Calibri" w:hAnsi="Calibri"/>
          <w:sz w:val="20"/>
          <w:szCs w:val="20"/>
          <w:lang w:val="en-GB"/>
        </w:rPr>
        <w:t xml:space="preserve"> and Northern Ghana (Corridor # 2), elephants have been observed to frequent other areas. Some corridors such as that linking the Classified Forests of the Deux-Balés and the Sissili Classified Forest via the </w:t>
      </w:r>
      <w:r w:rsidRPr="00793D18">
        <w:rPr>
          <w:rFonts w:ascii="Calibri" w:hAnsi="Calibri"/>
          <w:sz w:val="20"/>
          <w:szCs w:val="20"/>
          <w:lang w:val="en-CA"/>
        </w:rPr>
        <w:t>PNKT</w:t>
      </w:r>
      <w:r w:rsidRPr="00793D18">
        <w:rPr>
          <w:rFonts w:ascii="Calibri" w:hAnsi="Calibri"/>
          <w:sz w:val="20"/>
          <w:szCs w:val="20"/>
          <w:lang w:val="en-GB"/>
        </w:rPr>
        <w:t xml:space="preserve"> and the regular areas of Bakata-Bougnounou, or the corridor to cross the CAF from Nazinon to the Sissili Classified Forest passing north of Sapouy are no longer used today because of the barriers created by human settlements. An action plan for the management of transboundary conservation corridor elephants Nazinga - Kabore-Tambi National Park</w:t>
      </w:r>
      <w:r>
        <w:rPr>
          <w:rFonts w:ascii="Calibri" w:hAnsi="Calibri"/>
          <w:sz w:val="20"/>
          <w:szCs w:val="20"/>
          <w:lang w:val="en-GB"/>
        </w:rPr>
        <w:t xml:space="preserve"> </w:t>
      </w:r>
      <w:r w:rsidRPr="00793D18">
        <w:rPr>
          <w:rFonts w:ascii="Calibri" w:hAnsi="Calibri"/>
          <w:sz w:val="20"/>
          <w:szCs w:val="20"/>
          <w:lang w:val="en-GB"/>
        </w:rPr>
        <w:t>-</w:t>
      </w:r>
      <w:r>
        <w:rPr>
          <w:rFonts w:ascii="Calibri" w:hAnsi="Calibri"/>
          <w:sz w:val="20"/>
          <w:szCs w:val="20"/>
          <w:lang w:val="en-GB"/>
        </w:rPr>
        <w:t xml:space="preserve"> </w:t>
      </w:r>
      <w:r w:rsidRPr="00793D18">
        <w:rPr>
          <w:rFonts w:ascii="Calibri" w:hAnsi="Calibri"/>
          <w:sz w:val="20"/>
          <w:szCs w:val="20"/>
          <w:lang w:val="en-GB"/>
        </w:rPr>
        <w:t>Red Volta</w:t>
      </w:r>
      <w:r>
        <w:rPr>
          <w:rFonts w:ascii="Calibri" w:hAnsi="Calibri"/>
          <w:sz w:val="20"/>
          <w:szCs w:val="20"/>
          <w:lang w:val="en-GB"/>
        </w:rPr>
        <w:t xml:space="preserve"> </w:t>
      </w:r>
      <w:r w:rsidRPr="00793D18">
        <w:rPr>
          <w:rFonts w:ascii="Calibri" w:hAnsi="Calibri"/>
          <w:sz w:val="20"/>
          <w:szCs w:val="20"/>
          <w:lang w:val="en-GB"/>
        </w:rPr>
        <w:t>-</w:t>
      </w:r>
      <w:r>
        <w:rPr>
          <w:rFonts w:ascii="Calibri" w:hAnsi="Calibri"/>
          <w:sz w:val="20"/>
          <w:szCs w:val="20"/>
          <w:lang w:val="en-GB"/>
        </w:rPr>
        <w:t xml:space="preserve"> </w:t>
      </w:r>
      <w:r w:rsidRPr="00793D18">
        <w:rPr>
          <w:rFonts w:ascii="Calibri" w:hAnsi="Calibri"/>
          <w:sz w:val="20"/>
          <w:szCs w:val="20"/>
          <w:lang w:val="en-GB"/>
        </w:rPr>
        <w:t>Doungh was developed in 2003 with support from IUCN</w:t>
      </w:r>
      <w:r w:rsidRPr="00793D18">
        <w:rPr>
          <w:rStyle w:val="Appelnotedebasdep"/>
          <w:rFonts w:ascii="Calibri" w:hAnsi="Calibri"/>
          <w:sz w:val="20"/>
          <w:szCs w:val="20"/>
          <w:lang w:val="fr-CA"/>
        </w:rPr>
        <w:footnoteReference w:id="59"/>
      </w:r>
      <w:r w:rsidRPr="00793D18">
        <w:rPr>
          <w:rFonts w:ascii="Calibri" w:hAnsi="Calibri"/>
          <w:sz w:val="20"/>
          <w:szCs w:val="20"/>
          <w:lang w:val="en-CA"/>
        </w:rPr>
        <w:t xml:space="preserve"> </w:t>
      </w:r>
      <w:r w:rsidRPr="00793D18">
        <w:rPr>
          <w:rFonts w:ascii="Calibri" w:hAnsi="Calibri"/>
          <w:sz w:val="20"/>
          <w:szCs w:val="20"/>
          <w:lang w:val="en-GB"/>
        </w:rPr>
        <w:t>on the basis of observations of intense movements of elephant populations between the PAs of the PONASI complex and the Ghana Red Volta ecosystem to the Doungh forest in north-western Togo. This corridor was home to a total of 770 elephants. The developments over the past 15 years have reduced these movement patterns, at least the path to Togo. Recent observations suggest the use of another corridor connecting the PONASI PAs complex and the Classified Forests of the Deux-Bales, along the shoals to the south, then east to Léo, to cross the border and follow the forests of Ghana, and finally go back to Bieha, Kounou or Nazinga, to escape the intensive poaching that rages in Ghana. On the basis of recent inventories, the report on the status of the African elephant</w:t>
      </w:r>
      <w:r w:rsidRPr="00793D18">
        <w:rPr>
          <w:rStyle w:val="Appelnotedebasdep"/>
          <w:rFonts w:ascii="Calibri" w:hAnsi="Calibri"/>
          <w:sz w:val="20"/>
          <w:szCs w:val="20"/>
        </w:rPr>
        <w:footnoteReference w:id="60"/>
      </w:r>
      <w:r w:rsidRPr="00793D18">
        <w:rPr>
          <w:rFonts w:ascii="Calibri" w:hAnsi="Calibri"/>
          <w:sz w:val="20"/>
          <w:szCs w:val="20"/>
          <w:lang w:val="en-GB"/>
        </w:rPr>
        <w:t xml:space="preserve"> also proposes that the Deux Balés classified forest be part of a potential range.</w:t>
      </w:r>
    </w:p>
    <w:p w14:paraId="30A38D07" w14:textId="1FADE232" w:rsidR="00302BFE" w:rsidRPr="005F382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5F3825">
        <w:rPr>
          <w:rFonts w:ascii="Calibri" w:hAnsi="Calibri"/>
          <w:sz w:val="20"/>
          <w:szCs w:val="20"/>
          <w:lang w:val="en-GB"/>
        </w:rPr>
        <w:t xml:space="preserve">Habitats extending from Corridor # 2 on the Ghanaian side </w:t>
      </w:r>
      <w:r>
        <w:rPr>
          <w:rFonts w:ascii="Calibri" w:hAnsi="Calibri"/>
          <w:sz w:val="20"/>
          <w:szCs w:val="20"/>
          <w:lang w:val="en-GB"/>
        </w:rPr>
        <w:t>are</w:t>
      </w:r>
      <w:r w:rsidRPr="005F3825">
        <w:rPr>
          <w:rFonts w:ascii="Calibri" w:hAnsi="Calibri"/>
          <w:sz w:val="20"/>
          <w:szCs w:val="20"/>
          <w:lang w:val="en-GB"/>
        </w:rPr>
        <w:t xml:space="preserve"> no</w:t>
      </w:r>
      <w:r>
        <w:rPr>
          <w:rFonts w:ascii="Calibri" w:hAnsi="Calibri"/>
          <w:sz w:val="20"/>
          <w:szCs w:val="20"/>
          <w:lang w:val="en-GB"/>
        </w:rPr>
        <w:t>t effectively</w:t>
      </w:r>
      <w:r w:rsidRPr="005F3825">
        <w:rPr>
          <w:rFonts w:ascii="Calibri" w:hAnsi="Calibri"/>
          <w:sz w:val="20"/>
          <w:szCs w:val="20"/>
          <w:lang w:val="en-GB"/>
        </w:rPr>
        <w:t xml:space="preserve"> protect</w:t>
      </w:r>
      <w:r>
        <w:rPr>
          <w:rFonts w:ascii="Calibri" w:hAnsi="Calibri"/>
          <w:sz w:val="20"/>
          <w:szCs w:val="20"/>
          <w:lang w:val="en-GB"/>
        </w:rPr>
        <w:t>ed</w:t>
      </w:r>
      <w:r w:rsidRPr="005F3825">
        <w:rPr>
          <w:rFonts w:ascii="Calibri" w:hAnsi="Calibri"/>
          <w:sz w:val="20"/>
          <w:szCs w:val="20"/>
          <w:lang w:val="en-GB"/>
        </w:rPr>
        <w:t xml:space="preserve"> so that poaching is carried out without restraint. It is reported that elephants no longer cross the border at this point mainly because of poaching, so that some elephants would follow corridor # 2 to return to Burkina while others circulate in the rivers of</w:t>
      </w:r>
      <w:r w:rsidR="00C621E8" w:rsidRPr="00A63E29">
        <w:rPr>
          <w:rFonts w:ascii="Calibri" w:hAnsi="Calibri"/>
          <w:sz w:val="20"/>
          <w:szCs w:val="20"/>
          <w:highlight w:val="yellow"/>
          <w:lang w:val="fr-FR"/>
        </w:rPr>
        <w:t xml:space="preserve"> Nakambé </w:t>
      </w:r>
      <w:r w:rsidR="00C621E8">
        <w:rPr>
          <w:rFonts w:ascii="Calibri" w:hAnsi="Calibri"/>
          <w:sz w:val="20"/>
          <w:szCs w:val="20"/>
          <w:highlight w:val="yellow"/>
          <w:lang w:val="fr-FR"/>
        </w:rPr>
        <w:t>and</w:t>
      </w:r>
      <w:r w:rsidR="00C621E8" w:rsidRPr="00A63E29">
        <w:rPr>
          <w:rFonts w:ascii="Calibri" w:hAnsi="Calibri"/>
          <w:sz w:val="20"/>
          <w:szCs w:val="20"/>
          <w:highlight w:val="yellow"/>
          <w:lang w:val="fr-FR"/>
        </w:rPr>
        <w:t xml:space="preserve"> Nazinon</w:t>
      </w:r>
      <w:r w:rsidR="00C621E8" w:rsidRPr="00C621E8">
        <w:rPr>
          <w:rFonts w:ascii="Calibri" w:hAnsi="Calibri"/>
          <w:sz w:val="20"/>
          <w:szCs w:val="20"/>
          <w:lang w:val="fr-FR"/>
        </w:rPr>
        <w:t xml:space="preserve"> </w:t>
      </w:r>
      <w:r w:rsidRPr="005F3825">
        <w:rPr>
          <w:rFonts w:ascii="Calibri" w:hAnsi="Calibri"/>
          <w:sz w:val="20"/>
          <w:szCs w:val="20"/>
          <w:lang w:val="en-GB"/>
        </w:rPr>
        <w:t>which are better monitored.</w:t>
      </w:r>
    </w:p>
    <w:p w14:paraId="0D660E14" w14:textId="77777777" w:rsidR="00302BFE" w:rsidRPr="005F382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5F3825">
        <w:rPr>
          <w:rFonts w:ascii="Calibri" w:hAnsi="Calibri"/>
          <w:sz w:val="20"/>
          <w:szCs w:val="20"/>
          <w:lang w:val="en-GB"/>
        </w:rPr>
        <w:t xml:space="preserve">Before making investments to secure other routes, it is necessary to </w:t>
      </w:r>
      <w:r>
        <w:rPr>
          <w:rFonts w:ascii="Calibri" w:hAnsi="Calibri"/>
          <w:sz w:val="20"/>
          <w:szCs w:val="20"/>
          <w:lang w:val="en-GB"/>
        </w:rPr>
        <w:t>conduct</w:t>
      </w:r>
      <w:r w:rsidRPr="005F3825">
        <w:rPr>
          <w:rFonts w:ascii="Calibri" w:hAnsi="Calibri"/>
          <w:sz w:val="20"/>
          <w:szCs w:val="20"/>
          <w:lang w:val="en-GB"/>
        </w:rPr>
        <w:t xml:space="preserve"> systematic surveys to be able to confidently determine the regular patterns of movement of this elephant population in Burkina Faso and Ghana. The project will support the conducting of a highly targeted research project, essentially seeking to clarify whether additional corridors need to be secured to protect the elephant population that frequents the PONASI PA complex and to avoid comprising the efforts made there. Where appropriate, the corridor will be identified as well as the issues and obstacles to overcome in order to implement the required protection measures.</w:t>
      </w:r>
    </w:p>
    <w:p w14:paraId="1F36C226" w14:textId="0E1DFD59" w:rsidR="00302BFE" w:rsidRPr="005F382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5F3825">
        <w:rPr>
          <w:rFonts w:ascii="Calibri" w:hAnsi="Calibri"/>
          <w:sz w:val="20"/>
          <w:szCs w:val="20"/>
          <w:lang w:val="en-GB"/>
        </w:rPr>
        <w:t xml:space="preserve">This research project will bring together national experts from the Laboratory of Animal Biology and Ecology of the University </w:t>
      </w:r>
      <w:r w:rsidR="00AF69A2" w:rsidRPr="00A63E29">
        <w:rPr>
          <w:rFonts w:ascii="Calibri" w:hAnsi="Calibri"/>
          <w:sz w:val="20"/>
          <w:szCs w:val="20"/>
          <w:highlight w:val="yellow"/>
          <w:lang w:val="fr-FR"/>
        </w:rPr>
        <w:t>Joseph Ki ZERBO</w:t>
      </w:r>
      <w:r w:rsidR="00AF69A2" w:rsidRPr="00AF69A2">
        <w:rPr>
          <w:rFonts w:ascii="Calibri" w:hAnsi="Calibri"/>
          <w:sz w:val="20"/>
          <w:szCs w:val="20"/>
          <w:lang w:val="fr-FR"/>
        </w:rPr>
        <w:t xml:space="preserve"> </w:t>
      </w:r>
      <w:r w:rsidRPr="005F3825">
        <w:rPr>
          <w:rFonts w:ascii="Calibri" w:hAnsi="Calibri"/>
          <w:sz w:val="20"/>
          <w:szCs w:val="20"/>
          <w:lang w:val="en-GB"/>
        </w:rPr>
        <w:t xml:space="preserve">of Ouagadougou, and other elephant experts from West Africa. The research will be carried out in collaboration with Ghana to clarify the spatio-temporal characteristics of movements between the BF and Ghana, the threats to animals during these movements, assess the relevance of habitats to meet the vital needs of elephants and threats along these routes, including Human-Wildlife conflicts, identify needs in terms of habitats to be restored to ensure elephant safety and identify opportunities for </w:t>
      </w:r>
      <w:r w:rsidRPr="005F3825">
        <w:rPr>
          <w:rFonts w:ascii="Calibri" w:hAnsi="Calibri"/>
          <w:sz w:val="20"/>
          <w:szCs w:val="20"/>
          <w:lang w:val="en-GB"/>
        </w:rPr>
        <w:lastRenderedPageBreak/>
        <w:t>collaboration in view of implementation. The IUCN African Elephant Specialist Group can play an important role in facilitating the exchange of information and contacts with Ghanaian experts.</w:t>
      </w:r>
    </w:p>
    <w:p w14:paraId="12C2FE14" w14:textId="02AE4B15" w:rsidR="00302BFE" w:rsidRDefault="00302BFE" w:rsidP="00302BFE">
      <w:pPr>
        <w:spacing w:before="120" w:after="120"/>
        <w:rPr>
          <w:i/>
          <w:color w:val="4472C4"/>
          <w:szCs w:val="20"/>
          <w:lang w:val="en-GB"/>
        </w:rPr>
      </w:pPr>
      <w:r w:rsidRPr="005F3825">
        <w:rPr>
          <w:i/>
          <w:color w:val="4472C4"/>
          <w:szCs w:val="20"/>
          <w:lang w:val="en-GB"/>
        </w:rPr>
        <w:t>2.4.3 Renewal of transboundary collaboration agreements with Ghana for the conservation of shared natural resources</w:t>
      </w:r>
    </w:p>
    <w:p w14:paraId="73830B37" w14:textId="3C645AF5" w:rsidR="00470FFF" w:rsidRPr="00BE65D5" w:rsidRDefault="00470FFF" w:rsidP="00302BFE">
      <w:pPr>
        <w:spacing w:before="120" w:after="120"/>
        <w:rPr>
          <w:iCs/>
          <w:color w:val="4472C4"/>
          <w:szCs w:val="20"/>
          <w:lang w:val="en-GB"/>
        </w:rPr>
      </w:pPr>
      <w:r w:rsidRPr="003F4704">
        <w:rPr>
          <w:iCs/>
          <w:color w:val="4472C4"/>
          <w:szCs w:val="20"/>
          <w:highlight w:val="green"/>
          <w:lang w:val="en-GB"/>
        </w:rPr>
        <w:t>For this activity, the FPIC (Free, Prior and Informed Consent) process has to be ensured</w:t>
      </w:r>
    </w:p>
    <w:p w14:paraId="5D9A09AC" w14:textId="77777777" w:rsidR="00302BFE"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Pr>
          <w:rFonts w:ascii="Calibri" w:hAnsi="Calibri"/>
          <w:sz w:val="20"/>
          <w:szCs w:val="20"/>
          <w:lang w:val="en-GB"/>
        </w:rPr>
        <w:t>I</w:t>
      </w:r>
      <w:r w:rsidRPr="005F3825">
        <w:rPr>
          <w:rFonts w:ascii="Calibri" w:hAnsi="Calibri"/>
          <w:sz w:val="20"/>
          <w:szCs w:val="20"/>
          <w:lang w:val="en-GB"/>
        </w:rPr>
        <w:t>t is essential to renew the transboundary collaboration agreements</w:t>
      </w:r>
      <w:r>
        <w:rPr>
          <w:rFonts w:ascii="Calibri" w:hAnsi="Calibri"/>
          <w:sz w:val="20"/>
          <w:szCs w:val="20"/>
          <w:lang w:val="en-GB"/>
        </w:rPr>
        <w:t xml:space="preserve"> to develop synergies and harmonize conservation efforts conducted by both countries to protect shared resources, especially elephants, as they use habitats on either side of the border.</w:t>
      </w:r>
      <w:r w:rsidRPr="005F3825">
        <w:rPr>
          <w:rFonts w:ascii="Calibri" w:hAnsi="Calibri"/>
          <w:sz w:val="20"/>
          <w:szCs w:val="20"/>
          <w:lang w:val="en-GB"/>
        </w:rPr>
        <w:t xml:space="preserve"> A</w:t>
      </w:r>
      <w:r>
        <w:rPr>
          <w:rFonts w:ascii="Calibri" w:hAnsi="Calibri"/>
          <w:sz w:val="20"/>
          <w:szCs w:val="20"/>
          <w:lang w:val="en-GB"/>
        </w:rPr>
        <w:t xml:space="preserve"> previous</w:t>
      </w:r>
      <w:r w:rsidRPr="005F3825">
        <w:rPr>
          <w:rFonts w:ascii="Calibri" w:hAnsi="Calibri"/>
          <w:sz w:val="20"/>
          <w:szCs w:val="20"/>
          <w:lang w:val="en-GB"/>
        </w:rPr>
        <w:t xml:space="preserve"> agreement was signed in 2008 between Ghana and Burkina Faso on the transboundary management of shared natural resources between Ghana and Burkina Faso</w:t>
      </w:r>
      <w:r>
        <w:rPr>
          <w:rFonts w:ascii="Calibri" w:hAnsi="Calibri"/>
          <w:sz w:val="20"/>
          <w:szCs w:val="20"/>
          <w:lang w:val="en-GB"/>
        </w:rPr>
        <w:t xml:space="preserve"> but ha</w:t>
      </w:r>
      <w:r w:rsidRPr="005F3825">
        <w:rPr>
          <w:rFonts w:ascii="Calibri" w:hAnsi="Calibri"/>
          <w:sz w:val="20"/>
          <w:szCs w:val="20"/>
          <w:lang w:val="en-GB"/>
        </w:rPr>
        <w:t xml:space="preserve">s not been implemented. </w:t>
      </w:r>
      <w:r>
        <w:rPr>
          <w:rFonts w:ascii="Calibri" w:hAnsi="Calibri"/>
          <w:sz w:val="20"/>
          <w:szCs w:val="20"/>
          <w:lang w:val="en-GB"/>
        </w:rPr>
        <w:t>Later</w:t>
      </w:r>
      <w:r w:rsidRPr="005F3825">
        <w:rPr>
          <w:rFonts w:ascii="Calibri" w:hAnsi="Calibri"/>
          <w:sz w:val="20"/>
          <w:szCs w:val="20"/>
          <w:lang w:val="en-GB"/>
        </w:rPr>
        <w:t>, initiatives under the PAGEN project to renegotiate the modalities of cross-border cooperation in the management of shared natural resources have allowed to resume discussions between concerned parties in Burkina Faso and Ghana. The project end</w:t>
      </w:r>
      <w:r>
        <w:rPr>
          <w:rFonts w:ascii="Calibri" w:hAnsi="Calibri"/>
          <w:sz w:val="20"/>
          <w:szCs w:val="20"/>
          <w:lang w:val="en-GB"/>
        </w:rPr>
        <w:t>ed</w:t>
      </w:r>
      <w:r w:rsidRPr="005F3825">
        <w:rPr>
          <w:rFonts w:ascii="Calibri" w:hAnsi="Calibri"/>
          <w:sz w:val="20"/>
          <w:szCs w:val="20"/>
          <w:lang w:val="en-GB"/>
        </w:rPr>
        <w:t xml:space="preserve"> abrupt</w:t>
      </w:r>
      <w:r>
        <w:rPr>
          <w:rFonts w:ascii="Calibri" w:hAnsi="Calibri"/>
          <w:sz w:val="20"/>
          <w:szCs w:val="20"/>
          <w:lang w:val="en-GB"/>
        </w:rPr>
        <w:t>ly so that</w:t>
      </w:r>
      <w:r w:rsidRPr="005F3825">
        <w:rPr>
          <w:rFonts w:ascii="Calibri" w:hAnsi="Calibri"/>
          <w:sz w:val="20"/>
          <w:szCs w:val="20"/>
          <w:lang w:val="en-GB"/>
        </w:rPr>
        <w:t xml:space="preserve"> the agreement and the plan for the concerted management of transboundary ecosystems and shared resources between the two States could not </w:t>
      </w:r>
      <w:r>
        <w:rPr>
          <w:rFonts w:ascii="Calibri" w:hAnsi="Calibri"/>
          <w:sz w:val="20"/>
          <w:szCs w:val="20"/>
          <w:lang w:val="en-GB"/>
        </w:rPr>
        <w:t>be</w:t>
      </w:r>
      <w:r w:rsidRPr="005F3825">
        <w:rPr>
          <w:rFonts w:ascii="Calibri" w:hAnsi="Calibri"/>
          <w:sz w:val="20"/>
          <w:szCs w:val="20"/>
          <w:lang w:val="en-GB"/>
        </w:rPr>
        <w:t xml:space="preserve"> renew</w:t>
      </w:r>
      <w:r>
        <w:rPr>
          <w:rFonts w:ascii="Calibri" w:hAnsi="Calibri"/>
          <w:sz w:val="20"/>
          <w:szCs w:val="20"/>
          <w:lang w:val="en-GB"/>
        </w:rPr>
        <w:t>ed</w:t>
      </w:r>
      <w:r w:rsidRPr="005F3825">
        <w:rPr>
          <w:rFonts w:ascii="Calibri" w:hAnsi="Calibri"/>
          <w:sz w:val="20"/>
          <w:szCs w:val="20"/>
          <w:lang w:val="en-GB"/>
        </w:rPr>
        <w:t>.</w:t>
      </w:r>
    </w:p>
    <w:p w14:paraId="79720577" w14:textId="77777777" w:rsidR="00302BFE" w:rsidRPr="00BA18F6"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BA18F6">
        <w:rPr>
          <w:rFonts w:ascii="Calibri" w:eastAsia="Times New Roman" w:hAnsi="Calibri" w:cs="Calibri"/>
          <w:sz w:val="20"/>
          <w:szCs w:val="20"/>
          <w:lang w:val="en-CA"/>
        </w:rPr>
        <w:t>Under this output, t</w:t>
      </w:r>
      <w:r w:rsidRPr="00BA18F6">
        <w:rPr>
          <w:rFonts w:ascii="Calibri" w:hAnsi="Calibri"/>
          <w:sz w:val="20"/>
          <w:szCs w:val="20"/>
        </w:rPr>
        <w:t>he project will seek to establish a formal collaboration with the Ghana Government i) to contribute to the research program to document/understand elephant movements in Northern Ghana as part of their potential westward migration route from the PONASI landscape, before moving back north, ii) to coordinate</w:t>
      </w:r>
      <w:r w:rsidRPr="00BA18F6">
        <w:rPr>
          <w:rFonts w:ascii="Calibri" w:eastAsia="Times New Roman" w:hAnsi="Calibri" w:cs="Calibri"/>
          <w:sz w:val="20"/>
          <w:szCs w:val="20"/>
          <w:lang w:val="en-CA"/>
        </w:rPr>
        <w:t xml:space="preserve"> monitoring, surveillance, and anti-poaching programs conducted on both sides of the border, and iii) to renew transboundary collaboration agreements between Burkina Faso and Ghana Governments for the conservation of shared natural resources, namely elephants.</w:t>
      </w:r>
    </w:p>
    <w:p w14:paraId="26489B58" w14:textId="23B23885" w:rsidR="00302BFE" w:rsidRPr="006E490C" w:rsidRDefault="00302BFE" w:rsidP="00C46720">
      <w:pPr>
        <w:pStyle w:val="Paragraphedeliste"/>
        <w:numPr>
          <w:ilvl w:val="0"/>
          <w:numId w:val="14"/>
        </w:numPr>
        <w:tabs>
          <w:tab w:val="left" w:pos="284"/>
        </w:tabs>
        <w:spacing w:before="120" w:after="120"/>
        <w:ind w:left="0" w:firstLine="0"/>
        <w:jc w:val="both"/>
        <w:rPr>
          <w:rFonts w:ascii="Calibri" w:eastAsia="Times New Roman" w:hAnsi="Calibri" w:cs="Calibri"/>
          <w:sz w:val="20"/>
          <w:szCs w:val="20"/>
          <w:lang w:val="en-CA"/>
        </w:rPr>
      </w:pPr>
      <w:r w:rsidRPr="006E490C">
        <w:rPr>
          <w:rFonts w:ascii="Calibri" w:eastAsia="Times New Roman" w:hAnsi="Calibri" w:cs="Calibri"/>
          <w:sz w:val="20"/>
          <w:szCs w:val="20"/>
          <w:lang w:val="en-CA"/>
        </w:rPr>
        <w:t>During the PPG process, a consultant had informal meetings in Northern Ghana with three (3) officers of the Wildlife Division, the Director of the local NGO Organization for Indigenous Initiatives and Sustainability (ORGIIS) providing support to local communities for the sustainable management of Community resource management areas (CREMAs), and with the President of the Center for the Development of Wildlife Production and of the West African Elephant Corridors Coalition. In Ghana, the Wildlife Division of the Forestry Commission is responsible for the protection and management of wildlife protected areas. The three officers were the Regional Directo</w:t>
      </w:r>
      <w:r w:rsidRPr="00A63E29">
        <w:rPr>
          <w:rFonts w:ascii="Calibri" w:eastAsia="Times New Roman" w:hAnsi="Calibri" w:cs="Calibri"/>
          <w:sz w:val="20"/>
          <w:szCs w:val="20"/>
          <w:highlight w:val="yellow"/>
          <w:lang w:val="en-CA"/>
        </w:rPr>
        <w:t xml:space="preserve">r </w:t>
      </w:r>
      <w:r w:rsidR="00194CA4" w:rsidRPr="00A63E29">
        <w:rPr>
          <w:rFonts w:ascii="Calibri" w:eastAsia="Times New Roman" w:hAnsi="Calibri" w:cs="Calibri"/>
          <w:sz w:val="20"/>
          <w:szCs w:val="20"/>
          <w:highlight w:val="yellow"/>
          <w:lang w:val="en-CA"/>
        </w:rPr>
        <w:t>in charge</w:t>
      </w:r>
      <w:r w:rsidR="00194CA4">
        <w:rPr>
          <w:rFonts w:ascii="Calibri" w:eastAsia="Times New Roman" w:hAnsi="Calibri" w:cs="Calibri"/>
          <w:sz w:val="20"/>
          <w:szCs w:val="20"/>
          <w:lang w:val="en-CA"/>
        </w:rPr>
        <w:t xml:space="preserve"> </w:t>
      </w:r>
      <w:r w:rsidRPr="006E490C">
        <w:rPr>
          <w:rFonts w:ascii="Calibri" w:eastAsia="Times New Roman" w:hAnsi="Calibri" w:cs="Calibri"/>
          <w:sz w:val="20"/>
          <w:szCs w:val="20"/>
          <w:lang w:val="en-CA"/>
        </w:rPr>
        <w:t>of Wildlife, the Wildlife Manager in charge of corridors and CREMAs and the Regional Manager of Wildlife Management Planning. CREMAs in Ghana are protected areas managed under a community-based governance regime, similar to ZOVICs in Burkina Faso. One hypothesis is that after crossing the border south of Corridor # 2, elephants would move west using CREMAs in northern Ghana.</w:t>
      </w:r>
    </w:p>
    <w:p w14:paraId="4A7C5536" w14:textId="77777777" w:rsidR="00302BFE" w:rsidRPr="006E490C" w:rsidRDefault="00302BFE" w:rsidP="00C46720">
      <w:pPr>
        <w:pStyle w:val="Paragraphedeliste"/>
        <w:numPr>
          <w:ilvl w:val="0"/>
          <w:numId w:val="14"/>
        </w:numPr>
        <w:tabs>
          <w:tab w:val="left" w:pos="284"/>
        </w:tabs>
        <w:spacing w:before="120" w:after="120"/>
        <w:ind w:left="0" w:firstLine="0"/>
        <w:jc w:val="both"/>
        <w:rPr>
          <w:rFonts w:ascii="Calibri" w:eastAsia="Times New Roman" w:hAnsi="Calibri" w:cs="Calibri"/>
          <w:sz w:val="20"/>
          <w:szCs w:val="20"/>
          <w:lang w:val="en-CA"/>
        </w:rPr>
      </w:pPr>
      <w:r w:rsidRPr="006E490C">
        <w:rPr>
          <w:rFonts w:ascii="Calibri" w:eastAsia="Times New Roman" w:hAnsi="Calibri" w:cs="Calibri"/>
          <w:sz w:val="20"/>
          <w:szCs w:val="20"/>
          <w:lang w:val="en-CA"/>
        </w:rPr>
        <w:t xml:space="preserve">These meetings allowed to outline the project objectives and planned interventions, including the renewal of collaboration agreements with Ghana for the conservation of shared natural resources, namely elephants, current issues in CREMAs, challenges related to the renewal and implementation of transboundary collaboration agreements. The project concept was welcome, and positive discussions initiated on possible collaboration in the framework of the project. Formal discussions will be held in the first year of the project to discuss and establish the terms of a collaboration on the above-mentioned points. </w:t>
      </w:r>
    </w:p>
    <w:p w14:paraId="1EDDD515" w14:textId="77777777" w:rsidR="00302BFE" w:rsidRPr="006E490C" w:rsidRDefault="00302BFE" w:rsidP="00C46720">
      <w:pPr>
        <w:pStyle w:val="Paragraphedeliste"/>
        <w:numPr>
          <w:ilvl w:val="0"/>
          <w:numId w:val="14"/>
        </w:numPr>
        <w:tabs>
          <w:tab w:val="left" w:pos="284"/>
        </w:tabs>
        <w:spacing w:before="120" w:after="120"/>
        <w:ind w:left="0" w:firstLine="0"/>
        <w:jc w:val="both"/>
        <w:rPr>
          <w:rFonts w:ascii="Calibri" w:eastAsia="Times New Roman" w:hAnsi="Calibri" w:cs="Calibri"/>
          <w:sz w:val="20"/>
          <w:szCs w:val="20"/>
          <w:lang w:val="en-CA"/>
        </w:rPr>
      </w:pPr>
      <w:r w:rsidRPr="006E490C">
        <w:rPr>
          <w:rFonts w:ascii="Calibri" w:eastAsia="Times New Roman" w:hAnsi="Calibri" w:cs="Calibri"/>
          <w:sz w:val="20"/>
          <w:szCs w:val="20"/>
          <w:lang w:val="en-CA"/>
        </w:rPr>
        <w:t>The GEF resources will be used to support actions on the Burkina Faso’s side of the border. Ghana is currently seeking substantial support from USAID and other partners to support the sustainable management of CREMAs but the project document was not yet available. Investments required to implement the Elephant Protection Plan include investments to carry out activities cited above under the output 2.4 and specific measures for the protection or restoration of elephant habitats will be covered by the budget to support the implementation of PA management plans, which already provide for the restoration of 11,000 ha in corridor #2.</w:t>
      </w:r>
    </w:p>
    <w:p w14:paraId="3F443FA6" w14:textId="77777777" w:rsidR="00302BFE" w:rsidRPr="005F382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5F3825">
        <w:rPr>
          <w:rFonts w:ascii="Calibri" w:hAnsi="Calibri"/>
          <w:sz w:val="20"/>
          <w:szCs w:val="20"/>
          <w:lang w:val="en-GB"/>
        </w:rPr>
        <w:t>The project will support efforts to identify Burkinabé and Ghanaian stakeholders and organize meetings to identify and discuss issues related to elephant movement on both sides of the border. The consultation discussions should define the elements of a shared management plan, including a common objective, indicators and targets related to the identified issue, a detailed analysis of the threats and their underlying causes on both sides. There will also be the identification of measures to be planned and implemented in a coordinated and collaborative manner to reduce threats, the harmonization and coordination of monitoring and surveillance techniques and anti-poaching strategies, planning and the implementation of a population monitoring and evaluation plan to be implemented in a concerted manner based on common indicators and targets. The shared management plan should include conflict management measures and identification of implementation costs and sources of funding for each party to the agreement. The plan will encourage joint monitoring and surveillance activities and joint capacity building sessions between professionals from both countries, with a focus on promoting compatible technical skills and sharing of experience, expertise and knowledge.</w:t>
      </w:r>
    </w:p>
    <w:p w14:paraId="384AA5E9" w14:textId="77777777" w:rsidR="00302BFE" w:rsidRPr="00CD33A5" w:rsidRDefault="00302BFE" w:rsidP="00302BFE">
      <w:pPr>
        <w:spacing w:before="120" w:after="120"/>
        <w:rPr>
          <w:b/>
          <w:szCs w:val="20"/>
          <w:lang w:val="en-GB"/>
        </w:rPr>
      </w:pPr>
      <w:r w:rsidRPr="00CD33A5">
        <w:rPr>
          <w:b/>
          <w:szCs w:val="20"/>
          <w:lang w:val="en-GB"/>
        </w:rPr>
        <w:t>Component 3. Sustainable Land and Resources Management and Diversification of Livelihoods.</w:t>
      </w:r>
    </w:p>
    <w:p w14:paraId="22CBB6FC" w14:textId="77777777" w:rsidR="00302BFE" w:rsidRPr="00CD33A5" w:rsidRDefault="00302BFE" w:rsidP="00A63E29">
      <w:pPr>
        <w:spacing w:before="120" w:after="120"/>
        <w:rPr>
          <w:b/>
          <w:szCs w:val="20"/>
          <w:lang w:val="en-GB"/>
        </w:rPr>
      </w:pPr>
      <w:r>
        <w:rPr>
          <w:b/>
          <w:szCs w:val="20"/>
          <w:lang w:val="en-GB"/>
        </w:rPr>
        <w:t>Outcome</w:t>
      </w:r>
      <w:r w:rsidRPr="00CD33A5">
        <w:rPr>
          <w:b/>
          <w:szCs w:val="20"/>
          <w:lang w:val="en-GB"/>
        </w:rPr>
        <w:t xml:space="preserve"> 3.1 Increased adoption of effective agro-</w:t>
      </w:r>
      <w:r>
        <w:rPr>
          <w:b/>
          <w:szCs w:val="20"/>
          <w:lang w:val="en-GB"/>
        </w:rPr>
        <w:t>silvo</w:t>
      </w:r>
      <w:r w:rsidRPr="00CD33A5">
        <w:rPr>
          <w:b/>
          <w:szCs w:val="20"/>
          <w:lang w:val="en-GB"/>
        </w:rPr>
        <w:t>-pastoral and climate-smart agriculture practices by local communities in the PONASI landscape</w:t>
      </w:r>
    </w:p>
    <w:p w14:paraId="7C37A521" w14:textId="76F5029E" w:rsidR="00302BFE" w:rsidRDefault="00302BFE" w:rsidP="00A63E29">
      <w:pPr>
        <w:spacing w:before="120" w:after="120"/>
        <w:rPr>
          <w:b/>
          <w:szCs w:val="20"/>
          <w:lang w:val="en-GB"/>
        </w:rPr>
      </w:pPr>
      <w:r>
        <w:rPr>
          <w:b/>
          <w:szCs w:val="20"/>
          <w:lang w:val="en-GB"/>
        </w:rPr>
        <w:t>Outcome</w:t>
      </w:r>
      <w:r w:rsidRPr="00CD33A5">
        <w:rPr>
          <w:b/>
          <w:szCs w:val="20"/>
          <w:lang w:val="en-GB"/>
        </w:rPr>
        <w:t xml:space="preserve"> 3.2 Diversified livelihoods of local communities related to tourism development and forest products-based value chains</w:t>
      </w:r>
      <w:r>
        <w:rPr>
          <w:b/>
          <w:szCs w:val="20"/>
          <w:lang w:val="en-GB"/>
        </w:rPr>
        <w:t xml:space="preserve"> </w:t>
      </w:r>
    </w:p>
    <w:p w14:paraId="3DE54037" w14:textId="12DEF78D" w:rsidR="004F4706" w:rsidRPr="00BE65D5" w:rsidRDefault="004F4706" w:rsidP="00BE65D5">
      <w:pPr>
        <w:spacing w:after="0"/>
        <w:contextualSpacing/>
        <w:rPr>
          <w:bCs/>
          <w:szCs w:val="20"/>
          <w:highlight w:val="green"/>
          <w:lang w:val="en-GB"/>
        </w:rPr>
      </w:pPr>
      <w:r w:rsidRPr="00BE65D5">
        <w:rPr>
          <w:bCs/>
          <w:szCs w:val="20"/>
          <w:highlight w:val="green"/>
          <w:lang w:val="en-GB"/>
        </w:rPr>
        <w:t>To assess and manage the impacts of this Out</w:t>
      </w:r>
      <w:r w:rsidRPr="003F4704">
        <w:rPr>
          <w:bCs/>
          <w:szCs w:val="20"/>
          <w:highlight w:val="green"/>
          <w:lang w:val="en-GB"/>
        </w:rPr>
        <w:t>come</w:t>
      </w:r>
      <w:r w:rsidRPr="00BE65D5">
        <w:rPr>
          <w:bCs/>
          <w:szCs w:val="20"/>
          <w:highlight w:val="green"/>
          <w:lang w:val="en-GB"/>
        </w:rPr>
        <w:t>, as indicated in the SESP – in attachment to the ProDoc – the following assessment and management processes will be put in place, to comply with UNDP SES:</w:t>
      </w:r>
    </w:p>
    <w:p w14:paraId="38C1EDAD" w14:textId="77777777" w:rsidR="004F4706" w:rsidRPr="00BE65D5" w:rsidRDefault="004F4706" w:rsidP="00BE65D5">
      <w:pPr>
        <w:spacing w:after="0"/>
        <w:contextualSpacing/>
        <w:rPr>
          <w:bCs/>
          <w:szCs w:val="20"/>
          <w:highlight w:val="green"/>
          <w:u w:val="single"/>
          <w:lang w:val="en-GB"/>
        </w:rPr>
      </w:pPr>
      <w:r w:rsidRPr="00BE65D5">
        <w:rPr>
          <w:bCs/>
          <w:szCs w:val="20"/>
          <w:highlight w:val="green"/>
          <w:u w:val="single"/>
          <w:lang w:val="en-GB"/>
        </w:rPr>
        <w:lastRenderedPageBreak/>
        <w:t>Assessments:</w:t>
      </w:r>
    </w:p>
    <w:p w14:paraId="5F3DF8EC" w14:textId="2BFD8AC8" w:rsidR="004F4706" w:rsidRPr="00BE65D5" w:rsidRDefault="004F4706" w:rsidP="00BE65D5">
      <w:pPr>
        <w:spacing w:after="0"/>
        <w:contextualSpacing/>
        <w:rPr>
          <w:bCs/>
          <w:szCs w:val="20"/>
          <w:highlight w:val="green"/>
          <w:lang w:val="en-GB"/>
        </w:rPr>
      </w:pPr>
      <w:r w:rsidRPr="00BE65D5">
        <w:rPr>
          <w:bCs/>
          <w:szCs w:val="20"/>
          <w:highlight w:val="green"/>
          <w:lang w:val="en-GB"/>
        </w:rPr>
        <w:t xml:space="preserve">SESA </w:t>
      </w:r>
    </w:p>
    <w:p w14:paraId="67835C29" w14:textId="77777777" w:rsidR="004F4706" w:rsidRPr="00BE65D5" w:rsidRDefault="004F4706" w:rsidP="00BE65D5">
      <w:pPr>
        <w:spacing w:after="0"/>
        <w:contextualSpacing/>
        <w:rPr>
          <w:bCs/>
          <w:szCs w:val="20"/>
          <w:highlight w:val="green"/>
          <w:lang w:val="en-GB"/>
        </w:rPr>
      </w:pPr>
      <w:r w:rsidRPr="00BE65D5">
        <w:rPr>
          <w:bCs/>
          <w:szCs w:val="20"/>
          <w:highlight w:val="green"/>
          <w:lang w:val="en-GB"/>
        </w:rPr>
        <w:t>ESIA</w:t>
      </w:r>
    </w:p>
    <w:p w14:paraId="394A578D" w14:textId="03E1957D" w:rsidR="004F4706" w:rsidRPr="003F4704" w:rsidRDefault="004F4706" w:rsidP="004F4706">
      <w:pPr>
        <w:spacing w:after="0"/>
        <w:contextualSpacing/>
        <w:rPr>
          <w:bCs/>
          <w:szCs w:val="20"/>
          <w:highlight w:val="green"/>
          <w:lang w:val="en-GB"/>
        </w:rPr>
      </w:pPr>
      <w:r w:rsidRPr="00BE65D5">
        <w:rPr>
          <w:bCs/>
          <w:szCs w:val="20"/>
          <w:highlight w:val="green"/>
          <w:lang w:val="en-GB"/>
        </w:rPr>
        <w:t>Gender Analysis</w:t>
      </w:r>
      <w:r w:rsidRPr="00BE65D5">
        <w:rPr>
          <w:bCs/>
          <w:szCs w:val="20"/>
          <w:highlight w:val="green"/>
          <w:lang w:val="en-GB"/>
        </w:rPr>
        <w:tab/>
      </w:r>
    </w:p>
    <w:p w14:paraId="00309309" w14:textId="0CEA831E" w:rsidR="004F4706" w:rsidRPr="00BE65D5" w:rsidRDefault="004F4706" w:rsidP="00BE65D5">
      <w:pPr>
        <w:spacing w:after="0"/>
        <w:contextualSpacing/>
        <w:rPr>
          <w:bCs/>
          <w:szCs w:val="20"/>
          <w:highlight w:val="green"/>
          <w:u w:val="single"/>
          <w:lang w:val="en-GB"/>
        </w:rPr>
      </w:pPr>
      <w:r w:rsidRPr="00BE65D5">
        <w:rPr>
          <w:bCs/>
          <w:szCs w:val="20"/>
          <w:highlight w:val="green"/>
          <w:u w:val="single"/>
          <w:lang w:val="en-GB"/>
        </w:rPr>
        <w:t>Management:</w:t>
      </w:r>
    </w:p>
    <w:p w14:paraId="35737659" w14:textId="0C627C61" w:rsidR="004F4706" w:rsidRPr="00BE65D5" w:rsidRDefault="004F4706" w:rsidP="00BE65D5">
      <w:pPr>
        <w:spacing w:after="0"/>
        <w:contextualSpacing/>
        <w:rPr>
          <w:bCs/>
          <w:szCs w:val="20"/>
          <w:highlight w:val="green"/>
          <w:lang w:val="en-GB"/>
        </w:rPr>
      </w:pPr>
      <w:r w:rsidRPr="00BE65D5">
        <w:rPr>
          <w:bCs/>
          <w:szCs w:val="20"/>
          <w:highlight w:val="green"/>
          <w:lang w:val="en-GB"/>
        </w:rPr>
        <w:t>SESA report and recommendations (Actions Matrix) Comprehensive Stakeholder Engagement Plan</w:t>
      </w:r>
    </w:p>
    <w:p w14:paraId="29900BED" w14:textId="77777777" w:rsidR="004F4706" w:rsidRPr="00BE65D5" w:rsidRDefault="004F4706" w:rsidP="00BE65D5">
      <w:pPr>
        <w:spacing w:after="0"/>
        <w:contextualSpacing/>
        <w:rPr>
          <w:bCs/>
          <w:szCs w:val="20"/>
          <w:highlight w:val="green"/>
          <w:lang w:val="en-GB"/>
        </w:rPr>
      </w:pPr>
      <w:r w:rsidRPr="00BE65D5">
        <w:rPr>
          <w:bCs/>
          <w:szCs w:val="20"/>
          <w:highlight w:val="green"/>
          <w:lang w:val="en-GB"/>
        </w:rPr>
        <w:t>Indigenous People Plan</w:t>
      </w:r>
    </w:p>
    <w:p w14:paraId="1626438A" w14:textId="77777777" w:rsidR="004F4706" w:rsidRPr="00BE65D5" w:rsidRDefault="004F4706" w:rsidP="00BE65D5">
      <w:pPr>
        <w:spacing w:after="0"/>
        <w:contextualSpacing/>
        <w:rPr>
          <w:bCs/>
          <w:szCs w:val="20"/>
          <w:highlight w:val="green"/>
          <w:lang w:val="en-GB"/>
        </w:rPr>
      </w:pPr>
      <w:r w:rsidRPr="00BE65D5">
        <w:rPr>
          <w:bCs/>
          <w:szCs w:val="20"/>
          <w:highlight w:val="green"/>
          <w:lang w:val="en-GB"/>
        </w:rPr>
        <w:t xml:space="preserve">Gender Action Plan </w:t>
      </w:r>
    </w:p>
    <w:p w14:paraId="30726B93" w14:textId="54F9C0B3" w:rsidR="004F4706" w:rsidRPr="00BE65D5" w:rsidRDefault="004F4706" w:rsidP="00BE65D5">
      <w:pPr>
        <w:spacing w:after="0"/>
        <w:contextualSpacing/>
        <w:rPr>
          <w:bCs/>
          <w:szCs w:val="20"/>
          <w:lang w:val="en-GB"/>
        </w:rPr>
      </w:pPr>
      <w:r w:rsidRPr="00BE65D5">
        <w:rPr>
          <w:bCs/>
          <w:szCs w:val="20"/>
          <w:highlight w:val="green"/>
          <w:lang w:val="en-GB"/>
        </w:rPr>
        <w:t>ESMP</w:t>
      </w:r>
    </w:p>
    <w:p w14:paraId="7DC6DD0B" w14:textId="50B106C3" w:rsidR="00302BFE" w:rsidRPr="00CD33A5" w:rsidRDefault="00302BFE" w:rsidP="00302BFE">
      <w:pPr>
        <w:spacing w:before="240" w:after="120"/>
        <w:rPr>
          <w:b/>
          <w:szCs w:val="20"/>
          <w:lang w:val="en-GB"/>
        </w:rPr>
      </w:pPr>
      <w:r w:rsidRPr="00A63E29">
        <w:rPr>
          <w:b/>
          <w:szCs w:val="20"/>
          <w:highlight w:val="yellow"/>
          <w:lang w:val="en-GB"/>
        </w:rPr>
        <w:t>Out</w:t>
      </w:r>
      <w:r w:rsidR="00E848E8" w:rsidRPr="00A63E29">
        <w:rPr>
          <w:b/>
          <w:szCs w:val="20"/>
          <w:highlight w:val="yellow"/>
          <w:lang w:val="en-GB"/>
        </w:rPr>
        <w:t>come</w:t>
      </w:r>
      <w:r w:rsidRPr="00A63E29">
        <w:rPr>
          <w:b/>
          <w:szCs w:val="20"/>
          <w:highlight w:val="yellow"/>
          <w:lang w:val="en-GB"/>
        </w:rPr>
        <w:t xml:space="preserve"> 3.</w:t>
      </w:r>
      <w:r w:rsidR="00DC21AC" w:rsidRPr="00A63E29">
        <w:rPr>
          <w:b/>
          <w:szCs w:val="20"/>
          <w:highlight w:val="yellow"/>
          <w:lang w:val="en-GB"/>
        </w:rPr>
        <w:t>3</w:t>
      </w:r>
      <w:r w:rsidRPr="00CD33A5">
        <w:rPr>
          <w:b/>
          <w:szCs w:val="20"/>
          <w:lang w:val="en-GB"/>
        </w:rPr>
        <w:t xml:space="preserve"> Sustainable Land Management (SLM) practices are implemented by communities within the PONASI landscape to reduce threats to protected areas and increase food security, productivity and agricultural resilience through climate-smart agriculture, sustainable wood harvesting and biomass energy, forest restoration, assisted natural regeneration, and fire management</w:t>
      </w:r>
    </w:p>
    <w:p w14:paraId="511AEB27" w14:textId="77777777" w:rsidR="00302BFE" w:rsidRPr="002F4B8E"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2F4B8E">
        <w:rPr>
          <w:rFonts w:ascii="Calibri" w:hAnsi="Calibri"/>
          <w:sz w:val="20"/>
          <w:szCs w:val="20"/>
          <w:lang w:val="en-GB"/>
        </w:rPr>
        <w:t xml:space="preserve">The strategy </w:t>
      </w:r>
      <w:r w:rsidRPr="002F4B8E">
        <w:rPr>
          <w:rFonts w:ascii="Calibri" w:hAnsi="Calibri"/>
          <w:color w:val="000000"/>
          <w:sz w:val="20"/>
          <w:szCs w:val="20"/>
          <w:lang w:val="en-GB"/>
        </w:rPr>
        <w:t xml:space="preserve">leading to the realization of this output is </w:t>
      </w:r>
      <w:r w:rsidR="002F4B8E" w:rsidRPr="002F4B8E">
        <w:rPr>
          <w:rFonts w:ascii="Calibri" w:hAnsi="Calibri"/>
          <w:color w:val="000000"/>
          <w:sz w:val="20"/>
          <w:szCs w:val="20"/>
          <w:lang w:val="en-GB"/>
        </w:rPr>
        <w:t>closely</w:t>
      </w:r>
      <w:r w:rsidRPr="002F4B8E">
        <w:rPr>
          <w:rFonts w:ascii="Calibri" w:hAnsi="Calibri"/>
          <w:color w:val="000000"/>
          <w:sz w:val="20"/>
          <w:szCs w:val="20"/>
          <w:lang w:val="en-GB"/>
        </w:rPr>
        <w:t xml:space="preserve"> tied to that of outputs 1.2 (adoption of a territorial planning tool as spatial planning methodology allowing the visualization of the impacts of economic activities on the landscape); 1.4 (Development of the PONASI Landscape Management Master Plan to guide the management of the PONASI landscape over the next 15 years) and 1.5 (establishment of sustainable and equitable management requirements for the various territory units and effective mechanisms for monitoring and application.</w:t>
      </w:r>
      <w:r w:rsidR="002F4B8E" w:rsidRPr="002F4B8E">
        <w:rPr>
          <w:rFonts w:ascii="Calibri" w:hAnsi="Calibri"/>
          <w:color w:val="000000"/>
          <w:sz w:val="20"/>
          <w:szCs w:val="20"/>
          <w:lang w:val="en-GB"/>
        </w:rPr>
        <w:t xml:space="preserve"> </w:t>
      </w:r>
      <w:r w:rsidR="002F4B8E" w:rsidRPr="002F4B8E">
        <w:rPr>
          <w:rFonts w:ascii="Calibri" w:hAnsi="Calibri" w:cs="Calibri"/>
          <w:sz w:val="20"/>
          <w:lang w:val="en-GB"/>
        </w:rPr>
        <w:t>T</w:t>
      </w:r>
      <w:r w:rsidRPr="002F4B8E">
        <w:rPr>
          <w:rFonts w:ascii="Calibri" w:hAnsi="Calibri" w:cs="Calibri"/>
          <w:sz w:val="20"/>
          <w:lang w:val="en-GB"/>
        </w:rPr>
        <w:t>he process under Component 1 is the instrument for quantifying the benefits of different land use scenarios at the landscape and visualize them to guide strategic decision-making regarding the management of the PONASI landscape area. It allows the PONASI Landscape Management Board to make an informed choice on the strategic orientations that optimize the environmental and socio-economic benefits. Thus, the priority measures to manage the various territorial units of the landscape (protected areas, corridors, ZOVICs, CAF, community forests, agro-pastoral lands, silvopastoral areas) must be consistent with, and contribute to, the strategic landscape-level orientations that will be translated into maps. These guidelines will then guide all stakeholders in the definition of multiannual and annual actions and targets in components 2 and 3. The Master Plan will therefore outline the priority actions targeted in the realization of this product, namely sustainable land management (SLM) practices in agro-sylvo-pastoral lands, aiming at reducing the threats to PAs and increasing food security, productivity and agricultural resilience</w:t>
      </w:r>
      <w:r w:rsidRPr="002F4B8E">
        <w:rPr>
          <w:rFonts w:ascii="Calibri" w:hAnsi="Calibri" w:cs="Calibri"/>
          <w:sz w:val="20"/>
          <w:szCs w:val="20"/>
          <w:lang w:val="en-GB"/>
        </w:rPr>
        <w:t>.</w:t>
      </w:r>
    </w:p>
    <w:p w14:paraId="10BC1043" w14:textId="77777777" w:rsidR="00302BFE" w:rsidRPr="00CD33A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CD33A5">
        <w:rPr>
          <w:rFonts w:ascii="Calibri" w:hAnsi="Calibri" w:cs="Calibri"/>
          <w:sz w:val="20"/>
          <w:szCs w:val="20"/>
          <w:lang w:val="en-GB"/>
        </w:rPr>
        <w:t>The detailed planning and implementation of the actions in each of the 15 pilot sites will be carried out by the project, with the direct technical and methodolo</w:t>
      </w:r>
      <w:r>
        <w:rPr>
          <w:rFonts w:ascii="Calibri" w:hAnsi="Calibri" w:cs="Calibri"/>
          <w:sz w:val="20"/>
          <w:szCs w:val="20"/>
          <w:lang w:val="en-GB"/>
        </w:rPr>
        <w:t xml:space="preserve">gical support of devolved </w:t>
      </w:r>
      <w:r w:rsidRPr="00CD33A5">
        <w:rPr>
          <w:rFonts w:ascii="Calibri" w:hAnsi="Calibri" w:cs="Calibri"/>
          <w:sz w:val="20"/>
          <w:szCs w:val="20"/>
          <w:lang w:val="en-GB"/>
        </w:rPr>
        <w:t>technical services (Forestry, Agriculture, L</w:t>
      </w:r>
      <w:r>
        <w:rPr>
          <w:rFonts w:ascii="Calibri" w:hAnsi="Calibri" w:cs="Calibri"/>
          <w:sz w:val="20"/>
          <w:szCs w:val="20"/>
          <w:lang w:val="en-GB"/>
        </w:rPr>
        <w:t xml:space="preserve">ivestock) or local NGOs operating in the </w:t>
      </w:r>
      <w:r w:rsidR="002F4B8E">
        <w:rPr>
          <w:rFonts w:ascii="Calibri" w:hAnsi="Calibri" w:cs="Calibri"/>
          <w:sz w:val="20"/>
          <w:szCs w:val="20"/>
          <w:lang w:val="en-GB"/>
        </w:rPr>
        <w:t>area</w:t>
      </w:r>
      <w:r w:rsidRPr="00CD33A5">
        <w:rPr>
          <w:rFonts w:ascii="Calibri" w:hAnsi="Calibri" w:cs="Calibri"/>
          <w:sz w:val="20"/>
          <w:szCs w:val="20"/>
          <w:lang w:val="en-GB"/>
        </w:rPr>
        <w:t xml:space="preserve">, and with the active participation of </w:t>
      </w:r>
      <w:r>
        <w:rPr>
          <w:rFonts w:ascii="Calibri" w:hAnsi="Calibri" w:cs="Calibri"/>
          <w:sz w:val="20"/>
          <w:szCs w:val="20"/>
          <w:lang w:val="en-GB"/>
        </w:rPr>
        <w:t>communes</w:t>
      </w:r>
      <w:r w:rsidRPr="00CD33A5">
        <w:rPr>
          <w:rFonts w:ascii="Calibri" w:hAnsi="Calibri" w:cs="Calibri"/>
          <w:sz w:val="20"/>
          <w:szCs w:val="20"/>
          <w:lang w:val="en-GB"/>
        </w:rPr>
        <w:t xml:space="preserve"> and co-donors (public projects, NGOs and private actors </w:t>
      </w:r>
      <w:r w:rsidR="000353EF">
        <w:rPr>
          <w:rFonts w:ascii="Calibri" w:hAnsi="Calibri" w:cs="Calibri"/>
          <w:sz w:val="20"/>
          <w:szCs w:val="20"/>
          <w:lang w:val="en-GB"/>
        </w:rPr>
        <w:t>contributing to</w:t>
      </w:r>
      <w:r w:rsidRPr="00CD33A5">
        <w:rPr>
          <w:rFonts w:ascii="Calibri" w:hAnsi="Calibri" w:cs="Calibri"/>
          <w:sz w:val="20"/>
          <w:szCs w:val="20"/>
          <w:lang w:val="en-GB"/>
        </w:rPr>
        <w:t xml:space="preserve"> cofinancing and intervening in the targeted </w:t>
      </w:r>
      <w:r>
        <w:rPr>
          <w:rFonts w:ascii="Calibri" w:hAnsi="Calibri" w:cs="Calibri"/>
          <w:sz w:val="20"/>
          <w:szCs w:val="20"/>
          <w:lang w:val="en-GB"/>
        </w:rPr>
        <w:t>commune</w:t>
      </w:r>
      <w:r w:rsidR="000353EF">
        <w:rPr>
          <w:rFonts w:ascii="Calibri" w:hAnsi="Calibri" w:cs="Calibri"/>
          <w:sz w:val="20"/>
          <w:szCs w:val="20"/>
          <w:lang w:val="en-GB"/>
        </w:rPr>
        <w:t>s</w:t>
      </w:r>
      <w:r w:rsidRPr="00CD33A5">
        <w:rPr>
          <w:rFonts w:ascii="Calibri" w:hAnsi="Calibri" w:cs="Calibri"/>
          <w:sz w:val="20"/>
          <w:szCs w:val="20"/>
          <w:lang w:val="en-GB"/>
        </w:rPr>
        <w:t>)</w:t>
      </w:r>
      <w:r w:rsidRPr="00CD33A5">
        <w:rPr>
          <w:rFonts w:ascii="Calibri" w:hAnsi="Calibri" w:cs="Calibri"/>
          <w:b/>
          <w:sz w:val="20"/>
          <w:szCs w:val="20"/>
          <w:lang w:val="en-GB"/>
        </w:rPr>
        <w:t>.</w:t>
      </w:r>
    </w:p>
    <w:p w14:paraId="19C88CB2" w14:textId="7102416B" w:rsidR="00302BFE" w:rsidRDefault="00302BFE" w:rsidP="00302BFE">
      <w:pPr>
        <w:pStyle w:val="Paragraphedeliste"/>
        <w:tabs>
          <w:tab w:val="left" w:pos="284"/>
        </w:tabs>
        <w:spacing w:before="120" w:after="120"/>
        <w:ind w:left="0"/>
        <w:jc w:val="both"/>
        <w:rPr>
          <w:rFonts w:ascii="Calibri" w:hAnsi="Calibri"/>
          <w:i/>
          <w:color w:val="4472C4"/>
          <w:sz w:val="20"/>
          <w:szCs w:val="20"/>
          <w:lang w:val="en-GB"/>
        </w:rPr>
      </w:pPr>
      <w:r w:rsidRPr="00CD33A5">
        <w:rPr>
          <w:rFonts w:ascii="Calibri" w:hAnsi="Calibri"/>
          <w:i/>
          <w:color w:val="4472C4"/>
          <w:sz w:val="20"/>
          <w:szCs w:val="20"/>
          <w:lang w:val="en-GB"/>
        </w:rPr>
        <w:t xml:space="preserve">3.1.1 </w:t>
      </w:r>
      <w:r>
        <w:rPr>
          <w:rFonts w:ascii="Calibri" w:hAnsi="Calibri"/>
          <w:i/>
          <w:color w:val="4472C4"/>
          <w:sz w:val="20"/>
          <w:szCs w:val="20"/>
          <w:lang w:val="en-GB"/>
        </w:rPr>
        <w:t>Participatory diagnostic</w:t>
      </w:r>
      <w:r w:rsidRPr="00CD33A5">
        <w:rPr>
          <w:rFonts w:ascii="Calibri" w:hAnsi="Calibri"/>
          <w:i/>
          <w:color w:val="4472C4"/>
          <w:sz w:val="20"/>
          <w:szCs w:val="20"/>
          <w:lang w:val="en-GB"/>
        </w:rPr>
        <w:t xml:space="preserve"> of the </w:t>
      </w:r>
      <w:r>
        <w:rPr>
          <w:rFonts w:ascii="Calibri" w:hAnsi="Calibri"/>
          <w:i/>
          <w:color w:val="4472C4"/>
          <w:sz w:val="20"/>
          <w:szCs w:val="20"/>
          <w:lang w:val="en-GB"/>
        </w:rPr>
        <w:t>condition</w:t>
      </w:r>
      <w:r w:rsidRPr="00CD33A5">
        <w:rPr>
          <w:rFonts w:ascii="Calibri" w:hAnsi="Calibri"/>
          <w:i/>
          <w:color w:val="4472C4"/>
          <w:sz w:val="20"/>
          <w:szCs w:val="20"/>
          <w:lang w:val="en-GB"/>
        </w:rPr>
        <w:t xml:space="preserve"> of land resources (soils, water, biodiversity).</w:t>
      </w:r>
    </w:p>
    <w:p w14:paraId="7E948C98" w14:textId="48D235E9" w:rsidR="00470FFF" w:rsidRPr="00470FFF" w:rsidRDefault="00470FFF" w:rsidP="00BE65D5">
      <w:pPr>
        <w:spacing w:before="120" w:after="120"/>
        <w:rPr>
          <w:iCs/>
          <w:color w:val="4472C4"/>
          <w:szCs w:val="20"/>
          <w:lang w:val="en-GB"/>
        </w:rPr>
      </w:pPr>
      <w:r w:rsidRPr="003F4704">
        <w:rPr>
          <w:iCs/>
          <w:color w:val="4472C4"/>
          <w:szCs w:val="20"/>
          <w:highlight w:val="green"/>
          <w:lang w:val="en-GB"/>
        </w:rPr>
        <w:t>For this activity, the FPIC (Free, Prior and Informed Consent) process has to be ensured</w:t>
      </w:r>
    </w:p>
    <w:p w14:paraId="3DCA3E8A" w14:textId="77777777" w:rsidR="000353EF" w:rsidRPr="00A93827"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A93827">
        <w:rPr>
          <w:rFonts w:ascii="Calibri" w:hAnsi="Calibri"/>
          <w:sz w:val="20"/>
          <w:szCs w:val="20"/>
          <w:lang w:val="en-GB"/>
        </w:rPr>
        <w:t xml:space="preserve">In each pilot site, the project will, with the facilitation of the CVD, and supported by the Forest Ecology Specialist, establish a rapid diagnostic of land degradation and establish with the beneficiary population the precise technical responses to be given to the different manifestations of land degradation. This diagnostic will be based in particular on the detailed diagnostic presented in the Integrated Ecosystem Management Plan for the riparian communes of the PONASI ecological complex carried out in 2016 with the support of PNGT-2-3. This participatory diagnostic, which will use the MARP tools, will result for each land (site) in two simplified maps (resource map and response map) which will respectively serve to illustrate the land degradation and to identify the proposed mitigation or restoration measures. Depending on </w:t>
      </w:r>
      <w:r w:rsidR="000353EF" w:rsidRPr="00A93827">
        <w:rPr>
          <w:rFonts w:ascii="Calibri" w:hAnsi="Calibri"/>
          <w:sz w:val="20"/>
          <w:szCs w:val="20"/>
          <w:lang w:val="en-GB"/>
        </w:rPr>
        <w:t>site-specific soil and environmental</w:t>
      </w:r>
      <w:r w:rsidRPr="00A93827">
        <w:rPr>
          <w:rFonts w:ascii="Calibri" w:hAnsi="Calibri"/>
          <w:sz w:val="20"/>
          <w:szCs w:val="20"/>
          <w:lang w:val="en-GB"/>
        </w:rPr>
        <w:t xml:space="preserve"> characteristics, </w:t>
      </w:r>
      <w:r w:rsidR="000353EF" w:rsidRPr="00A93827">
        <w:rPr>
          <w:rFonts w:ascii="Calibri" w:hAnsi="Calibri"/>
          <w:sz w:val="20"/>
          <w:szCs w:val="20"/>
          <w:lang w:val="en-GB"/>
        </w:rPr>
        <w:t xml:space="preserve">the project will mainly promote the adoption of agro-silvo-pastoralism and Assisted Natural Regeneration, namely for their cost-effectiveness and multiple benefits, and of techniques for soil and water conservation and soil protection and restoration such as zaï, stone bunds, compost use, improved climate-adapted seed varieties, and prevention and management of bush fires. To promote the adoption and rapid ownership of these solutions by local actors, the project will help land users to choose appropriate technologies by avoiding top down decision-making and prescriptive measures. The project will also focus on technologies that generate financial and environmental benefits </w:t>
      </w:r>
      <w:r w:rsidR="00B874A1" w:rsidRPr="00A93827">
        <w:rPr>
          <w:rFonts w:ascii="Calibri" w:hAnsi="Calibri"/>
          <w:sz w:val="20"/>
          <w:szCs w:val="20"/>
          <w:lang w:val="en-GB"/>
        </w:rPr>
        <w:t>in the short- and medium-term to</w:t>
      </w:r>
      <w:r w:rsidR="000353EF" w:rsidRPr="00A93827">
        <w:rPr>
          <w:rFonts w:ascii="Calibri" w:hAnsi="Calibri"/>
          <w:sz w:val="20"/>
          <w:szCs w:val="20"/>
          <w:lang w:val="en-GB"/>
        </w:rPr>
        <w:t xml:space="preserve"> promote </w:t>
      </w:r>
      <w:r w:rsidR="00310BCF" w:rsidRPr="00A93827">
        <w:rPr>
          <w:rFonts w:ascii="Calibri" w:hAnsi="Calibri"/>
          <w:sz w:val="20"/>
          <w:szCs w:val="20"/>
          <w:lang w:val="en-GB"/>
        </w:rPr>
        <w:t xml:space="preserve">their </w:t>
      </w:r>
      <w:r w:rsidR="000353EF" w:rsidRPr="00A93827">
        <w:rPr>
          <w:rFonts w:ascii="Calibri" w:hAnsi="Calibri"/>
          <w:sz w:val="20"/>
          <w:szCs w:val="20"/>
          <w:lang w:val="en-GB"/>
        </w:rPr>
        <w:t>sustainable adoption. The Forest Ecology Specialist will provide the required expertise to ensure that none of the selected agroforestry and climate-adapted species used in the framework of the project is likely to pose a risk as an invasive alien species.</w:t>
      </w:r>
    </w:p>
    <w:p w14:paraId="12CDFE9D" w14:textId="436B16CB" w:rsidR="00302BFE" w:rsidRDefault="00302BFE" w:rsidP="00302BFE">
      <w:pPr>
        <w:pStyle w:val="Paragraphedeliste"/>
        <w:tabs>
          <w:tab w:val="left" w:pos="284"/>
        </w:tabs>
        <w:spacing w:before="120" w:after="120"/>
        <w:ind w:left="0"/>
        <w:jc w:val="both"/>
        <w:rPr>
          <w:rFonts w:ascii="Calibri" w:hAnsi="Calibri"/>
          <w:i/>
          <w:color w:val="4472C4"/>
          <w:sz w:val="20"/>
          <w:szCs w:val="20"/>
          <w:lang w:val="en-GB"/>
        </w:rPr>
      </w:pPr>
      <w:r w:rsidRPr="00DA06FB">
        <w:rPr>
          <w:rFonts w:ascii="Calibri" w:hAnsi="Calibri"/>
          <w:i/>
          <w:color w:val="4472C4"/>
          <w:sz w:val="20"/>
          <w:szCs w:val="20"/>
          <w:lang w:val="en-GB"/>
        </w:rPr>
        <w:t>3.1.2 Development of an intervention and investment plan</w:t>
      </w:r>
    </w:p>
    <w:p w14:paraId="7E5639D7" w14:textId="129D95DD" w:rsidR="00470FFF" w:rsidRPr="00470FFF" w:rsidRDefault="00470FFF" w:rsidP="00BE65D5">
      <w:pPr>
        <w:spacing w:before="120" w:after="120"/>
        <w:rPr>
          <w:iCs/>
          <w:color w:val="4472C4"/>
          <w:szCs w:val="20"/>
          <w:lang w:val="en-GB"/>
        </w:rPr>
      </w:pPr>
      <w:r w:rsidRPr="003F4704">
        <w:rPr>
          <w:iCs/>
          <w:color w:val="4472C4"/>
          <w:szCs w:val="20"/>
          <w:highlight w:val="green"/>
          <w:lang w:val="en-GB"/>
        </w:rPr>
        <w:t>For this activity, the FPIC (Free, Prior and Informed Consent) process has to be ensured</w:t>
      </w:r>
    </w:p>
    <w:p w14:paraId="03AD95A5" w14:textId="77777777" w:rsidR="00302BFE" w:rsidRPr="00CD33A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CD33A5">
        <w:rPr>
          <w:rFonts w:ascii="Calibri" w:hAnsi="Calibri"/>
          <w:sz w:val="20"/>
          <w:szCs w:val="20"/>
          <w:lang w:val="en-GB"/>
        </w:rPr>
        <w:t>On the basis of the actions selected, a budgeted intervention plan including funding sources will be drawn up, always in a participatory manner and unde</w:t>
      </w:r>
      <w:r>
        <w:rPr>
          <w:rFonts w:ascii="Calibri" w:hAnsi="Calibri"/>
          <w:sz w:val="20"/>
          <w:szCs w:val="20"/>
          <w:lang w:val="en-GB"/>
        </w:rPr>
        <w:t>r the guidance of devolved</w:t>
      </w:r>
      <w:r w:rsidRPr="00CD33A5">
        <w:rPr>
          <w:rFonts w:ascii="Calibri" w:hAnsi="Calibri"/>
          <w:sz w:val="20"/>
          <w:szCs w:val="20"/>
          <w:lang w:val="en-GB"/>
        </w:rPr>
        <w:t xml:space="preserve"> technical services or local NGOs, for each pilot site for a duration of 3 to 5 years. This intervention and investment plan will specify the objectives to be achieved, the quantitative targets, the implementation </w:t>
      </w:r>
      <w:r w:rsidRPr="00CD33A5">
        <w:rPr>
          <w:rFonts w:ascii="Calibri" w:hAnsi="Calibri"/>
          <w:sz w:val="20"/>
          <w:szCs w:val="20"/>
          <w:lang w:val="en-GB"/>
        </w:rPr>
        <w:lastRenderedPageBreak/>
        <w:t xml:space="preserve">modalities of the various actions, including the training or capacity building activities of the actors and all the support that is useful to the beneficiaries (common demonstration sites, specific support </w:t>
      </w:r>
      <w:r>
        <w:rPr>
          <w:rFonts w:ascii="Calibri" w:hAnsi="Calibri"/>
          <w:sz w:val="20"/>
          <w:szCs w:val="20"/>
          <w:lang w:val="en-GB"/>
        </w:rPr>
        <w:t xml:space="preserve">in </w:t>
      </w:r>
      <w:r w:rsidRPr="00CD33A5">
        <w:rPr>
          <w:rFonts w:ascii="Calibri" w:hAnsi="Calibri"/>
          <w:sz w:val="20"/>
          <w:szCs w:val="20"/>
          <w:lang w:val="en-GB"/>
        </w:rPr>
        <w:t>seed</w:t>
      </w:r>
      <w:r>
        <w:rPr>
          <w:rFonts w:ascii="Calibri" w:hAnsi="Calibri"/>
          <w:sz w:val="20"/>
          <w:szCs w:val="20"/>
          <w:lang w:val="en-GB"/>
        </w:rPr>
        <w:t>s</w:t>
      </w:r>
      <w:r w:rsidRPr="00CD33A5">
        <w:rPr>
          <w:rFonts w:ascii="Calibri" w:hAnsi="Calibri"/>
          <w:sz w:val="20"/>
          <w:szCs w:val="20"/>
          <w:lang w:val="en-GB"/>
        </w:rPr>
        <w:t xml:space="preserve"> or inputs, etc.) and priority beneficiaries. The beneficiaries of the investments will be identified on the basis of criteria related in particular to the nature of the investments, the land status of the spaces to be developed / treated and the most effective methods of implementation: households, professional agricultural organizations, specific organizations (young people, women, etc.) while responding to the overall ratio of 60% representation of women among beneficiaries. Estimated cost of implementation will be assessed as well as sources of funding.</w:t>
      </w:r>
    </w:p>
    <w:p w14:paraId="35528ECB" w14:textId="77777777" w:rsidR="00302BFE" w:rsidRPr="00CD33A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CD33A5">
        <w:rPr>
          <w:rFonts w:ascii="Calibri" w:hAnsi="Calibri"/>
          <w:sz w:val="20"/>
          <w:szCs w:val="20"/>
          <w:lang w:val="en-GB"/>
        </w:rPr>
        <w:t>In line with the strategic orientations of the Land Use Master Plan validated by the PONASI landscape co-governance platform, the intervention plan will introduce climate-resilient farming and livestock farming practices, including soil and water conservation, to reduce farmers' vulnerability to drought and increasing rainfall variability (developed under outputs 3.1 and 3.2).</w:t>
      </w:r>
    </w:p>
    <w:p w14:paraId="3B3CCFE6" w14:textId="77777777" w:rsidR="00302BFE" w:rsidRPr="00690299"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690299">
        <w:rPr>
          <w:rFonts w:ascii="Calibri" w:hAnsi="Calibri"/>
          <w:sz w:val="20"/>
          <w:szCs w:val="20"/>
          <w:lang w:val="en-GB"/>
        </w:rPr>
        <w:t>On the basis of this investment plan and available co-financing (as identified by each target commune from the co-financing letters signed by the stakeholders), an annual planning will be carried out and implemented in the framework of the co-governance mechanism for the PONASI landscape. The investment plan for each site will provide for the establishment of a transparent and participatory monitoring mechanism involving the beneficiaries of the interventions in order to report on the progress and results achieved at the local scale but also to measure or to appreciate the impacts as perceived by the beneficiaries and the community as a whole. This monitoring mechanism will feed into the landscape-level monitoring system (under output 1.5) and document the lessons to be shared (Output 4.2).</w:t>
      </w:r>
    </w:p>
    <w:p w14:paraId="27006F57" w14:textId="428B032C" w:rsidR="00302BFE" w:rsidRDefault="00302BFE" w:rsidP="00302BFE">
      <w:pPr>
        <w:pStyle w:val="Paragraphedeliste"/>
        <w:tabs>
          <w:tab w:val="left" w:pos="284"/>
        </w:tabs>
        <w:spacing w:before="120" w:after="120"/>
        <w:ind w:left="0"/>
        <w:jc w:val="both"/>
        <w:rPr>
          <w:rFonts w:ascii="Calibri" w:hAnsi="Calibri"/>
          <w:i/>
          <w:color w:val="4472C4"/>
          <w:sz w:val="20"/>
          <w:szCs w:val="20"/>
          <w:lang w:val="en-GB"/>
        </w:rPr>
      </w:pPr>
      <w:r w:rsidRPr="00CD33A5">
        <w:rPr>
          <w:rFonts w:ascii="Calibri" w:hAnsi="Calibri"/>
          <w:i/>
          <w:color w:val="4472C4"/>
          <w:sz w:val="20"/>
          <w:szCs w:val="20"/>
          <w:lang w:val="en-GB"/>
        </w:rPr>
        <w:t xml:space="preserve">3.1.3 Support to producers and </w:t>
      </w:r>
      <w:r>
        <w:rPr>
          <w:rFonts w:ascii="Calibri" w:hAnsi="Calibri"/>
          <w:i/>
          <w:color w:val="4472C4"/>
          <w:sz w:val="20"/>
          <w:szCs w:val="20"/>
          <w:lang w:val="en-GB"/>
        </w:rPr>
        <w:t xml:space="preserve">land and resource user </w:t>
      </w:r>
      <w:r w:rsidRPr="00CD33A5">
        <w:rPr>
          <w:rFonts w:ascii="Calibri" w:hAnsi="Calibri"/>
          <w:i/>
          <w:color w:val="4472C4"/>
          <w:sz w:val="20"/>
          <w:szCs w:val="20"/>
          <w:lang w:val="en-GB"/>
        </w:rPr>
        <w:t>groups</w:t>
      </w:r>
    </w:p>
    <w:p w14:paraId="6A057830" w14:textId="3D8DEDD1" w:rsidR="00470FFF" w:rsidRPr="00470FFF" w:rsidRDefault="00470FFF" w:rsidP="00BE65D5">
      <w:pPr>
        <w:spacing w:before="120" w:after="120"/>
        <w:rPr>
          <w:iCs/>
          <w:color w:val="4472C4"/>
          <w:szCs w:val="20"/>
          <w:lang w:val="en-GB"/>
        </w:rPr>
      </w:pPr>
      <w:r w:rsidRPr="003F4704">
        <w:rPr>
          <w:iCs/>
          <w:color w:val="4472C4"/>
          <w:szCs w:val="20"/>
          <w:highlight w:val="green"/>
          <w:lang w:val="en-GB"/>
        </w:rPr>
        <w:t>For this activity, the FPIC (Free, Prior and Informed Consent) process has to be ensured</w:t>
      </w:r>
    </w:p>
    <w:p w14:paraId="56BC2CB4" w14:textId="77777777" w:rsidR="00302BFE"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CD33A5">
        <w:rPr>
          <w:rFonts w:ascii="Calibri" w:hAnsi="Calibri"/>
          <w:sz w:val="20"/>
          <w:szCs w:val="20"/>
          <w:lang w:val="en-GB"/>
        </w:rPr>
        <w:t xml:space="preserve">UNDP/GEF funding for pilot site investment plans will focus on (i) the establishment of school sites or demonstration plots using climate-resilient improved agriculture and integrated agropastoral </w:t>
      </w:r>
      <w:r>
        <w:rPr>
          <w:rFonts w:ascii="Calibri" w:hAnsi="Calibri"/>
          <w:sz w:val="20"/>
          <w:szCs w:val="20"/>
          <w:lang w:val="en-GB"/>
        </w:rPr>
        <w:t xml:space="preserve">practices, quality seeds for </w:t>
      </w:r>
      <w:r w:rsidRPr="00CD33A5">
        <w:rPr>
          <w:rFonts w:ascii="Calibri" w:hAnsi="Calibri"/>
          <w:sz w:val="20"/>
          <w:szCs w:val="20"/>
          <w:lang w:val="en-GB"/>
        </w:rPr>
        <w:t xml:space="preserve">key crops and diversified livestock species, (ii) support to producers, (iii) the </w:t>
      </w:r>
      <w:r>
        <w:rPr>
          <w:rFonts w:ascii="Calibri" w:hAnsi="Calibri"/>
          <w:sz w:val="20"/>
          <w:szCs w:val="20"/>
          <w:lang w:val="en-GB"/>
        </w:rPr>
        <w:t>operation</w:t>
      </w:r>
      <w:r w:rsidRPr="00CD33A5">
        <w:rPr>
          <w:rFonts w:ascii="Calibri" w:hAnsi="Calibri"/>
          <w:sz w:val="20"/>
          <w:szCs w:val="20"/>
          <w:lang w:val="en-GB"/>
        </w:rPr>
        <w:t xml:space="preserve"> of the local monitoring mechanism, and (iv) the operati</w:t>
      </w:r>
      <w:r>
        <w:rPr>
          <w:rFonts w:ascii="Calibri" w:hAnsi="Calibri"/>
          <w:sz w:val="20"/>
          <w:szCs w:val="20"/>
          <w:lang w:val="en-GB"/>
        </w:rPr>
        <w:t>onal costs of the devolved</w:t>
      </w:r>
      <w:r w:rsidRPr="00CD33A5">
        <w:rPr>
          <w:rFonts w:ascii="Calibri" w:hAnsi="Calibri"/>
          <w:sz w:val="20"/>
          <w:szCs w:val="20"/>
          <w:lang w:val="en-GB"/>
        </w:rPr>
        <w:t xml:space="preserve"> technical services o</w:t>
      </w:r>
      <w:r>
        <w:rPr>
          <w:rFonts w:ascii="Calibri" w:hAnsi="Calibri"/>
          <w:sz w:val="20"/>
          <w:szCs w:val="20"/>
          <w:lang w:val="en-GB"/>
        </w:rPr>
        <w:t>r NGOs in charge of providing</w:t>
      </w:r>
      <w:r w:rsidRPr="00CD33A5">
        <w:rPr>
          <w:rFonts w:ascii="Calibri" w:hAnsi="Calibri"/>
          <w:sz w:val="20"/>
          <w:szCs w:val="20"/>
          <w:lang w:val="en-GB"/>
        </w:rPr>
        <w:t xml:space="preserve"> technical and methodological sup</w:t>
      </w:r>
      <w:r>
        <w:rPr>
          <w:rFonts w:ascii="Calibri" w:hAnsi="Calibri"/>
          <w:sz w:val="20"/>
          <w:szCs w:val="20"/>
          <w:lang w:val="en-GB"/>
        </w:rPr>
        <w:t>port (travel and subsistence fees</w:t>
      </w:r>
      <w:r w:rsidRPr="00CD33A5">
        <w:rPr>
          <w:rFonts w:ascii="Calibri" w:hAnsi="Calibri"/>
          <w:sz w:val="20"/>
          <w:szCs w:val="20"/>
          <w:lang w:val="en-GB"/>
        </w:rPr>
        <w:t>, joint meetings)</w:t>
      </w:r>
      <w:r>
        <w:rPr>
          <w:rFonts w:ascii="Calibri" w:hAnsi="Calibri"/>
          <w:sz w:val="20"/>
          <w:szCs w:val="20"/>
          <w:lang w:val="en-GB"/>
        </w:rPr>
        <w:t>.</w:t>
      </w:r>
    </w:p>
    <w:p w14:paraId="0C0BD5E7" w14:textId="77777777" w:rsidR="00302BFE" w:rsidRPr="00CF512D"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387BC2">
        <w:rPr>
          <w:rFonts w:ascii="Calibri" w:hAnsi="Calibri"/>
          <w:sz w:val="20"/>
          <w:szCs w:val="20"/>
          <w:lang w:val="en-GB"/>
        </w:rPr>
        <w:t>The project will provide support to producers’ households and professional or specific organizations in accordance with the intervention and investment plan developed under Sub-output 3.1.1, in the form of support and training, from demonstration sites of adapted and improved practices</w:t>
      </w:r>
      <w:r w:rsidRPr="00CF512D">
        <w:rPr>
          <w:rFonts w:ascii="Calibri" w:eastAsia="Times New Roman" w:hAnsi="Calibri" w:cs="Calibri"/>
          <w:sz w:val="20"/>
          <w:szCs w:val="20"/>
          <w:lang w:val="en-GB"/>
        </w:rPr>
        <w:t>.</w:t>
      </w:r>
    </w:p>
    <w:p w14:paraId="3D19B099" w14:textId="77777777" w:rsidR="00302BFE" w:rsidRPr="00A93827"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CA"/>
        </w:rPr>
      </w:pPr>
      <w:r w:rsidRPr="00A93827">
        <w:rPr>
          <w:rFonts w:ascii="Calibri" w:hAnsi="Calibri"/>
          <w:sz w:val="20"/>
          <w:szCs w:val="20"/>
          <w:lang w:val="en-CA"/>
        </w:rPr>
        <w:t xml:space="preserve">The project will support the establishment of multi-thematic </w:t>
      </w:r>
      <w:r w:rsidRPr="00A93827">
        <w:rPr>
          <w:rFonts w:ascii="Calibri" w:hAnsi="Calibri"/>
          <w:sz w:val="20"/>
          <w:szCs w:val="20"/>
          <w:lang w:val="en-GB"/>
        </w:rPr>
        <w:t xml:space="preserve">demonstration or joint experimentation sites with the support of devolved technical services and relevant local NGOs, in </w:t>
      </w:r>
      <w:r w:rsidRPr="00A93827">
        <w:rPr>
          <w:rFonts w:ascii="Calibri" w:hAnsi="Calibri"/>
          <w:sz w:val="20"/>
          <w:szCs w:val="20"/>
          <w:lang w:val="en-CA"/>
        </w:rPr>
        <w:t xml:space="preserve">pilot sites where farmers, herders, and other stakeholders will develop skills and knowledge on various agricultural and agroforestry topics for the adoption of sustainable and climate-adapted practices. These sites </w:t>
      </w:r>
      <w:r w:rsidRPr="00A93827">
        <w:rPr>
          <w:rFonts w:ascii="Calibri" w:hAnsi="Calibri"/>
          <w:sz w:val="20"/>
          <w:szCs w:val="20"/>
          <w:lang w:val="en-GB"/>
        </w:rPr>
        <w:t>will preferably be established on the farms and managed by local "innovative" labourers, in order to control the costs of implementation.</w:t>
      </w:r>
      <w:r w:rsidRPr="00A93827">
        <w:rPr>
          <w:rFonts w:ascii="Calibri" w:hAnsi="Calibri"/>
          <w:sz w:val="20"/>
          <w:szCs w:val="20"/>
          <w:lang w:val="en-CA"/>
        </w:rPr>
        <w:t xml:space="preserve"> Training will be provided through theoretical instruction, on-site field demonstration and trainings, supervised learning-by-doing and provision of customized advice through visits to the farmer once she/he is established in her/his own field. The school will strongly rely on demonstration of innovative climate-adapted techniques and, to this purpose, will work in collaboration with existing private farms that have proven successful in the implementation of </w:t>
      </w:r>
      <w:r w:rsidR="00900000" w:rsidRPr="00A93827">
        <w:rPr>
          <w:rFonts w:ascii="Calibri" w:hAnsi="Calibri"/>
          <w:sz w:val="20"/>
          <w:szCs w:val="20"/>
          <w:lang w:val="en-CA"/>
        </w:rPr>
        <w:t>agro-sylvo-pastoral</w:t>
      </w:r>
      <w:r w:rsidRPr="00A93827">
        <w:rPr>
          <w:rFonts w:ascii="Calibri" w:hAnsi="Calibri"/>
          <w:sz w:val="20"/>
          <w:szCs w:val="20"/>
          <w:lang w:val="en-CA"/>
        </w:rPr>
        <w:t xml:space="preserve"> </w:t>
      </w:r>
      <w:r w:rsidR="00900000" w:rsidRPr="00A93827">
        <w:rPr>
          <w:rFonts w:ascii="Calibri" w:hAnsi="Calibri"/>
          <w:sz w:val="20"/>
          <w:szCs w:val="20"/>
          <w:lang w:val="en-CA"/>
        </w:rPr>
        <w:t>and assisted natural regeneration approaches and of techniques for soil and water conservation and soil protection and restoration such as zaï, stone bunds, compost use, and improved climate-adapted seed varieties</w:t>
      </w:r>
      <w:r w:rsidRPr="00A93827">
        <w:rPr>
          <w:rFonts w:ascii="Calibri" w:hAnsi="Calibri"/>
          <w:sz w:val="20"/>
          <w:szCs w:val="20"/>
          <w:lang w:val="en-CA"/>
        </w:rPr>
        <w:t>.</w:t>
      </w:r>
    </w:p>
    <w:p w14:paraId="1D98A178" w14:textId="77777777" w:rsidR="00302BFE" w:rsidRPr="00DA06FB"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900000">
        <w:rPr>
          <w:rFonts w:ascii="Calibri" w:hAnsi="Calibri"/>
          <w:sz w:val="20"/>
          <w:szCs w:val="20"/>
          <w:lang w:val="en-CA"/>
        </w:rPr>
        <w:t xml:space="preserve">Appropriate </w:t>
      </w:r>
      <w:r w:rsidR="00900000" w:rsidRPr="00900000">
        <w:rPr>
          <w:rFonts w:ascii="Calibri" w:hAnsi="Calibri"/>
          <w:sz w:val="20"/>
          <w:szCs w:val="20"/>
          <w:lang w:val="en-CA"/>
        </w:rPr>
        <w:t xml:space="preserve">soil </w:t>
      </w:r>
      <w:r w:rsidR="00900000">
        <w:rPr>
          <w:rFonts w:ascii="Calibri" w:hAnsi="Calibri"/>
          <w:sz w:val="20"/>
          <w:szCs w:val="20"/>
          <w:lang w:val="en-CA"/>
        </w:rPr>
        <w:t xml:space="preserve">and water </w:t>
      </w:r>
      <w:r w:rsidR="00900000" w:rsidRPr="00900000">
        <w:rPr>
          <w:rFonts w:ascii="Calibri" w:hAnsi="Calibri"/>
          <w:sz w:val="20"/>
          <w:szCs w:val="20"/>
          <w:lang w:val="en-CA"/>
        </w:rPr>
        <w:t>management</w:t>
      </w:r>
      <w:r w:rsidRPr="00900000">
        <w:rPr>
          <w:rFonts w:ascii="Calibri" w:hAnsi="Calibri"/>
          <w:sz w:val="20"/>
          <w:szCs w:val="20"/>
          <w:lang w:val="en-CA"/>
        </w:rPr>
        <w:t xml:space="preserve"> techniques</w:t>
      </w:r>
      <w:r w:rsidRPr="00DA06FB">
        <w:rPr>
          <w:rFonts w:ascii="Calibri" w:hAnsi="Calibri"/>
          <w:sz w:val="20"/>
          <w:szCs w:val="20"/>
          <w:lang w:val="en-CA"/>
        </w:rPr>
        <w:t xml:space="preserve"> and climate adapted species/varieties will be identified and documented for demonstration and training, and a curriculum in agroforestry, assisted natural regeneration, climate-smart agriculture, agropastoralism, and microfinance will be developed, including the preparation of related courses and educational material. Topics could include: fences to reduce predation, especially for areas under restoration; restoration of the soil productive capacity, preparation and use of organic amendments, including compost from crop residues and manure, setting up animal enclosures to enable manure collection; green manure and catch crops, to reduce evaporation and erosion;  low-cost gravity micro-irrigation; agroforestry, windbreaks composed of multiple use climate adapted species (</w:t>
      </w:r>
      <w:r w:rsidRPr="00DA06FB">
        <w:rPr>
          <w:rFonts w:ascii="Calibri" w:hAnsi="Calibri"/>
          <w:i/>
          <w:sz w:val="20"/>
          <w:szCs w:val="20"/>
          <w:lang w:val="en-CA"/>
        </w:rPr>
        <w:t>Moringa, Jatropha</w:t>
      </w:r>
      <w:r w:rsidRPr="00DA06FB">
        <w:rPr>
          <w:rFonts w:ascii="Calibri" w:hAnsi="Calibri"/>
          <w:sz w:val="20"/>
          <w:szCs w:val="20"/>
          <w:lang w:val="en-CA"/>
        </w:rPr>
        <w:t xml:space="preserve">), plantations of fuelwood, fruit trees, and fodder tree species; pesticide-free control of pests and diseases; preparation of dry-season fodder reserves and other risk management measures; sustainable pasture/rangeland management and rotational grazing systems. </w:t>
      </w:r>
      <w:r w:rsidRPr="00DA06FB">
        <w:rPr>
          <w:rFonts w:ascii="Calibri" w:hAnsi="Calibri"/>
          <w:sz w:val="20"/>
          <w:szCs w:val="20"/>
          <w:lang w:val="en-GB"/>
        </w:rPr>
        <w:t xml:space="preserve">The project will also use the methodological guides developed as part of the Country </w:t>
      </w:r>
      <w:r w:rsidR="00D27B19">
        <w:rPr>
          <w:rFonts w:ascii="Calibri" w:hAnsi="Calibri"/>
          <w:sz w:val="20"/>
          <w:szCs w:val="20"/>
          <w:lang w:val="en-GB"/>
        </w:rPr>
        <w:t xml:space="preserve">Pilot </w:t>
      </w:r>
      <w:r w:rsidRPr="00DA06FB">
        <w:rPr>
          <w:rFonts w:ascii="Calibri" w:hAnsi="Calibri"/>
          <w:sz w:val="20"/>
          <w:szCs w:val="20"/>
          <w:lang w:val="en-GB"/>
        </w:rPr>
        <w:t xml:space="preserve">Partnership </w:t>
      </w:r>
      <w:r w:rsidR="00D27B19">
        <w:rPr>
          <w:rFonts w:ascii="Calibri" w:hAnsi="Calibri"/>
          <w:sz w:val="20"/>
          <w:szCs w:val="20"/>
          <w:lang w:val="en-GB"/>
        </w:rPr>
        <w:t>p</w:t>
      </w:r>
      <w:r w:rsidRPr="00DA06FB">
        <w:rPr>
          <w:rFonts w:ascii="Calibri" w:hAnsi="Calibri"/>
          <w:sz w:val="20"/>
          <w:szCs w:val="20"/>
          <w:lang w:val="en-GB"/>
        </w:rPr>
        <w:t xml:space="preserve">rogram for Sustainable Land Management (CPP), in particular the Catalog of Good Agricultural-Sylvo-Pastoral Practices for Sustainable Improvement of Soil Fertility and the Methodological Guide for the development, securing and valorization of pastoral areas and cattle tracks. The Catalog of Agro-Sylvo-Pastoral Good Practices presents a range of agronomic, biological, zootechnical and combined practices and facilities, including their description, applicability and cost. </w:t>
      </w:r>
      <w:r w:rsidRPr="00DA06FB">
        <w:rPr>
          <w:rFonts w:ascii="Calibri" w:hAnsi="Calibri"/>
          <w:sz w:val="20"/>
          <w:szCs w:val="20"/>
          <w:lang w:val="en-CA"/>
        </w:rPr>
        <w:t>The training program will include strengthening local community members’ capacity to improve and diversify livelihoods and raising awareness of beneficiaries on savings, microcredit and microenterprise management.</w:t>
      </w:r>
    </w:p>
    <w:p w14:paraId="037741CD" w14:textId="77777777" w:rsidR="00302BFE" w:rsidRPr="00A93827"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A93827">
        <w:rPr>
          <w:rFonts w:ascii="Calibri" w:hAnsi="Calibri" w:cs="Calibri"/>
          <w:sz w:val="20"/>
          <w:szCs w:val="20"/>
          <w:lang w:val="en-GB"/>
        </w:rPr>
        <w:t xml:space="preserve">The project will </w:t>
      </w:r>
      <w:r w:rsidRPr="00A93827">
        <w:rPr>
          <w:rFonts w:ascii="Calibri" w:hAnsi="Calibri"/>
          <w:sz w:val="20"/>
          <w:szCs w:val="20"/>
          <w:lang w:val="en-GB"/>
        </w:rPr>
        <w:t xml:space="preserve">set up a small grant program </w:t>
      </w:r>
      <w:r w:rsidRPr="00A93827">
        <w:rPr>
          <w:rFonts w:ascii="Calibri" w:eastAsia="Times New Roman" w:hAnsi="Calibri" w:cs="Calibri"/>
          <w:sz w:val="20"/>
          <w:szCs w:val="20"/>
          <w:lang w:val="en-GB"/>
        </w:rPr>
        <w:t xml:space="preserve">to help farmers, producers, herders and forestry workers in the 15 pilot sites to integrate </w:t>
      </w:r>
      <w:r w:rsidR="00376E3F" w:rsidRPr="00A93827">
        <w:rPr>
          <w:rFonts w:ascii="Calibri" w:hAnsi="Calibri"/>
          <w:sz w:val="20"/>
          <w:szCs w:val="20"/>
          <w:lang w:val="en-CA"/>
        </w:rPr>
        <w:t>techniques for soil and water conservation and soil protection and restoration such as zaï, stone bunds, compost use, and improved climate-adapted seed varieties</w:t>
      </w:r>
      <w:r w:rsidRPr="00A93827">
        <w:rPr>
          <w:rFonts w:ascii="Calibri" w:eastAsia="Times New Roman" w:hAnsi="Calibri" w:cs="Calibri"/>
          <w:sz w:val="20"/>
          <w:szCs w:val="20"/>
          <w:lang w:val="en-GB"/>
        </w:rPr>
        <w:t xml:space="preserve">, </w:t>
      </w:r>
      <w:r w:rsidR="00376E3F" w:rsidRPr="00A93827">
        <w:rPr>
          <w:rFonts w:ascii="Calibri" w:eastAsia="Times New Roman" w:hAnsi="Calibri" w:cs="Calibri"/>
          <w:sz w:val="20"/>
          <w:szCs w:val="20"/>
          <w:lang w:val="en-GB"/>
        </w:rPr>
        <w:t xml:space="preserve">and </w:t>
      </w:r>
      <w:r w:rsidR="00376E3F" w:rsidRPr="00A93827">
        <w:rPr>
          <w:rFonts w:ascii="Calibri" w:hAnsi="Calibri"/>
          <w:sz w:val="20"/>
          <w:szCs w:val="20"/>
          <w:lang w:val="en-CA"/>
        </w:rPr>
        <w:t xml:space="preserve">assisted natural regeneration </w:t>
      </w:r>
      <w:r w:rsidRPr="00A93827">
        <w:rPr>
          <w:rFonts w:ascii="Calibri" w:eastAsia="Times New Roman" w:hAnsi="Calibri" w:cs="Calibri"/>
          <w:sz w:val="20"/>
          <w:szCs w:val="20"/>
          <w:lang w:val="en-GB"/>
        </w:rPr>
        <w:t>and sustainable agr</w:t>
      </w:r>
      <w:r w:rsidR="00376E3F" w:rsidRPr="00A93827">
        <w:rPr>
          <w:rFonts w:ascii="Calibri" w:eastAsia="Times New Roman" w:hAnsi="Calibri" w:cs="Calibri"/>
          <w:sz w:val="20"/>
          <w:szCs w:val="20"/>
          <w:lang w:val="en-GB"/>
        </w:rPr>
        <w:t>o-sylvo-pastoral</w:t>
      </w:r>
      <w:r w:rsidRPr="00A93827">
        <w:rPr>
          <w:rFonts w:ascii="Calibri" w:eastAsia="Times New Roman" w:hAnsi="Calibri" w:cs="Calibri"/>
          <w:sz w:val="20"/>
          <w:szCs w:val="20"/>
          <w:lang w:val="en-GB"/>
        </w:rPr>
        <w:t xml:space="preserve"> practices to provide </w:t>
      </w:r>
      <w:r w:rsidRPr="00A93827">
        <w:rPr>
          <w:rFonts w:ascii="Calibri" w:eastAsia="Times New Roman" w:hAnsi="Calibri" w:cs="Calibri"/>
          <w:sz w:val="20"/>
          <w:szCs w:val="20"/>
          <w:lang w:val="en-GB"/>
        </w:rPr>
        <w:lastRenderedPageBreak/>
        <w:t xml:space="preserve">improved and more sustainable livelihoods. These grants may be used for the purchase of improved agricultural and fodder seeds, small equipment, tools, and other inputs. These grants will be implemented in accordance with UNDP guidelines for low-value grants. The project will also </w:t>
      </w:r>
      <w:r w:rsidRPr="00A93827">
        <w:rPr>
          <w:rFonts w:ascii="Calibri" w:hAnsi="Calibri" w:cs="Calibri"/>
          <w:sz w:val="20"/>
          <w:szCs w:val="20"/>
          <w:lang w:val="en-GB"/>
        </w:rPr>
        <w:t xml:space="preserve">support the provision of equipment, tools and temporary personnel to set up the </w:t>
      </w:r>
      <w:r w:rsidRPr="00A93827">
        <w:rPr>
          <w:rFonts w:ascii="Calibri" w:hAnsi="Calibri"/>
          <w:sz w:val="20"/>
          <w:szCs w:val="20"/>
          <w:lang w:val="en-GB"/>
        </w:rPr>
        <w:t xml:space="preserve">demonstration/joint experimentation sites and </w:t>
      </w:r>
      <w:r w:rsidRPr="00A93827">
        <w:rPr>
          <w:rFonts w:ascii="Calibri" w:hAnsi="Calibri" w:cs="Calibri"/>
          <w:sz w:val="20"/>
          <w:szCs w:val="20"/>
          <w:lang w:val="en-GB"/>
        </w:rPr>
        <w:t xml:space="preserve">to assist the Water and Forests </w:t>
      </w:r>
      <w:r w:rsidR="00376E3F" w:rsidRPr="00A93827">
        <w:rPr>
          <w:rFonts w:ascii="Calibri" w:hAnsi="Calibri" w:cs="Calibri"/>
          <w:sz w:val="20"/>
          <w:szCs w:val="20"/>
          <w:lang w:val="en-GB"/>
        </w:rPr>
        <w:t>Directorates at r</w:t>
      </w:r>
      <w:r w:rsidRPr="00A93827">
        <w:rPr>
          <w:rFonts w:ascii="Calibri" w:hAnsi="Calibri" w:cs="Calibri"/>
          <w:sz w:val="20"/>
          <w:szCs w:val="20"/>
          <w:lang w:val="en-GB"/>
        </w:rPr>
        <w:t xml:space="preserve">egional and </w:t>
      </w:r>
      <w:r w:rsidR="00376E3F" w:rsidRPr="00A93827">
        <w:rPr>
          <w:rFonts w:ascii="Calibri" w:hAnsi="Calibri" w:cs="Calibri"/>
          <w:sz w:val="20"/>
          <w:szCs w:val="20"/>
          <w:lang w:val="en-GB"/>
        </w:rPr>
        <w:t>c</w:t>
      </w:r>
      <w:r w:rsidRPr="00A93827">
        <w:rPr>
          <w:rFonts w:ascii="Calibri" w:hAnsi="Calibri" w:cs="Calibri"/>
          <w:sz w:val="20"/>
          <w:szCs w:val="20"/>
          <w:lang w:val="en-GB"/>
        </w:rPr>
        <w:t>ommun</w:t>
      </w:r>
      <w:r w:rsidR="00376E3F" w:rsidRPr="00A93827">
        <w:rPr>
          <w:rFonts w:ascii="Calibri" w:hAnsi="Calibri" w:cs="Calibri"/>
          <w:sz w:val="20"/>
          <w:szCs w:val="20"/>
          <w:lang w:val="en-GB"/>
        </w:rPr>
        <w:t>al levels</w:t>
      </w:r>
      <w:r w:rsidRPr="00A93827">
        <w:rPr>
          <w:rFonts w:ascii="Calibri" w:hAnsi="Calibri" w:cs="Calibri"/>
          <w:sz w:val="20"/>
          <w:szCs w:val="20"/>
          <w:lang w:val="en-GB"/>
        </w:rPr>
        <w:t xml:space="preserve"> to supervise these activities</w:t>
      </w:r>
      <w:r w:rsidR="009363D6" w:rsidRPr="00A93827">
        <w:rPr>
          <w:rFonts w:ascii="Calibri" w:hAnsi="Calibri" w:cs="Calibri"/>
          <w:sz w:val="20"/>
          <w:szCs w:val="20"/>
          <w:lang w:val="en-GB"/>
        </w:rPr>
        <w:t>.</w:t>
      </w:r>
      <w:r w:rsidRPr="00A93827">
        <w:rPr>
          <w:rFonts w:ascii="Calibri" w:hAnsi="Calibri" w:cs="Calibri"/>
          <w:sz w:val="20"/>
          <w:szCs w:val="20"/>
          <w:lang w:val="en-GB"/>
        </w:rPr>
        <w:t xml:space="preserve"> </w:t>
      </w:r>
      <w:r w:rsidR="009363D6" w:rsidRPr="00A93827">
        <w:rPr>
          <w:rFonts w:ascii="Calibri" w:hAnsi="Calibri" w:cs="Calibri"/>
          <w:sz w:val="20"/>
          <w:szCs w:val="20"/>
          <w:lang w:val="en-GB"/>
        </w:rPr>
        <w:t>The project will provide</w:t>
      </w:r>
      <w:r w:rsidRPr="00A93827">
        <w:rPr>
          <w:rFonts w:ascii="Calibri" w:hAnsi="Calibri" w:cs="Calibri"/>
          <w:sz w:val="20"/>
          <w:szCs w:val="20"/>
          <w:lang w:val="en-GB"/>
        </w:rPr>
        <w:t xml:space="preserve"> supervision and technical support </w:t>
      </w:r>
      <w:r w:rsidR="009363D6" w:rsidRPr="00A93827">
        <w:rPr>
          <w:rFonts w:ascii="Calibri" w:hAnsi="Calibri" w:cs="Calibri"/>
          <w:sz w:val="20"/>
          <w:szCs w:val="20"/>
          <w:lang w:val="en-GB"/>
        </w:rPr>
        <w:t>through</w:t>
      </w:r>
      <w:r w:rsidRPr="00A93827">
        <w:rPr>
          <w:rFonts w:ascii="Calibri" w:hAnsi="Calibri" w:cs="Calibri"/>
          <w:sz w:val="20"/>
          <w:szCs w:val="20"/>
          <w:lang w:val="en-GB"/>
        </w:rPr>
        <w:t xml:space="preserve"> the </w:t>
      </w:r>
      <w:r w:rsidR="009363D6" w:rsidRPr="00A93827">
        <w:rPr>
          <w:rFonts w:ascii="Calibri" w:hAnsi="Calibri" w:cs="Calibri"/>
          <w:sz w:val="20"/>
          <w:szCs w:val="20"/>
          <w:lang w:val="en-GB"/>
        </w:rPr>
        <w:t xml:space="preserve">Forest ecologist </w:t>
      </w:r>
      <w:r w:rsidR="0024478B" w:rsidRPr="00A93827">
        <w:rPr>
          <w:rFonts w:ascii="Calibri" w:hAnsi="Calibri" w:cs="Calibri"/>
          <w:sz w:val="20"/>
          <w:szCs w:val="20"/>
          <w:lang w:val="en-GB"/>
        </w:rPr>
        <w:t>and the specialist on climate-smart agriculture and pasture recruited to support activities under this component</w:t>
      </w:r>
      <w:r w:rsidRPr="00A93827">
        <w:rPr>
          <w:rFonts w:ascii="Calibri" w:hAnsi="Calibri" w:cs="Calibri"/>
          <w:sz w:val="20"/>
          <w:szCs w:val="20"/>
          <w:lang w:val="en-GB"/>
        </w:rPr>
        <w:t xml:space="preserve">. The hiring of women will be encouraged in order to reach the overall ratio of 60% of women beneficiaries for the entire project. Enhancing the sustainability of </w:t>
      </w:r>
      <w:r w:rsidRPr="00A93827">
        <w:rPr>
          <w:rFonts w:ascii="Calibri" w:eastAsia="Times New Roman" w:hAnsi="Calibri" w:cs="Calibri"/>
          <w:sz w:val="20"/>
          <w:szCs w:val="20"/>
          <w:lang w:val="en-GB"/>
        </w:rPr>
        <w:t>cultural / forestry / pastoral practices</w:t>
      </w:r>
      <w:r w:rsidRPr="00A93827">
        <w:rPr>
          <w:rFonts w:ascii="Calibri" w:hAnsi="Calibri" w:cs="Calibri"/>
          <w:sz w:val="20"/>
          <w:szCs w:val="20"/>
          <w:lang w:val="en-GB"/>
        </w:rPr>
        <w:t xml:space="preserve"> will overall strengthen the integrity and connectivity of ecosystems and increase their resilience to the impacts of climate change.</w:t>
      </w:r>
    </w:p>
    <w:p w14:paraId="11241AB6" w14:textId="77777777" w:rsidR="00302BFE" w:rsidRPr="00CD33A5" w:rsidRDefault="00302BFE" w:rsidP="00302BFE">
      <w:pPr>
        <w:pStyle w:val="Paragraphedeliste"/>
        <w:tabs>
          <w:tab w:val="left" w:pos="284"/>
        </w:tabs>
        <w:spacing w:before="240" w:after="120"/>
        <w:ind w:left="0"/>
        <w:jc w:val="both"/>
        <w:rPr>
          <w:rFonts w:ascii="Calibri" w:hAnsi="Calibri"/>
          <w:sz w:val="20"/>
          <w:szCs w:val="20"/>
          <w:lang w:val="en-GB"/>
        </w:rPr>
      </w:pPr>
      <w:r w:rsidRPr="00CD33A5">
        <w:rPr>
          <w:rFonts w:ascii="Calibri" w:hAnsi="Calibri"/>
          <w:b/>
          <w:sz w:val="20"/>
          <w:szCs w:val="20"/>
          <w:lang w:val="en-GB"/>
        </w:rPr>
        <w:t>Output 3.2 The management of natural resources in forests and community pastoral areas is improved through the collaborative development of simplified zoning plans and their implementation, and the strengthening of the management of forests and pastoral areas</w:t>
      </w:r>
    </w:p>
    <w:p w14:paraId="3121654D" w14:textId="40BC612E" w:rsidR="00302BFE" w:rsidRDefault="00302BFE" w:rsidP="00302BFE">
      <w:pPr>
        <w:pStyle w:val="Paragraphedeliste"/>
        <w:tabs>
          <w:tab w:val="left" w:pos="284"/>
        </w:tabs>
        <w:spacing w:before="120" w:after="120"/>
        <w:ind w:left="0"/>
        <w:jc w:val="both"/>
        <w:rPr>
          <w:rFonts w:ascii="Calibri" w:hAnsi="Calibri"/>
          <w:i/>
          <w:color w:val="4472C4"/>
          <w:sz w:val="20"/>
          <w:szCs w:val="20"/>
          <w:lang w:val="en-GB"/>
        </w:rPr>
      </w:pPr>
      <w:r w:rsidRPr="00CD33A5">
        <w:rPr>
          <w:rFonts w:ascii="Calibri" w:hAnsi="Calibri"/>
          <w:i/>
          <w:color w:val="4472C4"/>
          <w:sz w:val="20"/>
          <w:szCs w:val="20"/>
          <w:lang w:val="en-GB"/>
        </w:rPr>
        <w:t>3.2.1 Development of simplified zoning plans for community-managed forests, and improvement of forest management through the promotion of best practices</w:t>
      </w:r>
    </w:p>
    <w:p w14:paraId="15E8E85F" w14:textId="34424392" w:rsidR="00047338" w:rsidRPr="00047338" w:rsidRDefault="00047338" w:rsidP="00BE65D5">
      <w:pPr>
        <w:spacing w:before="120" w:after="120"/>
        <w:rPr>
          <w:iCs/>
          <w:color w:val="4472C4"/>
          <w:szCs w:val="20"/>
          <w:lang w:val="en-GB"/>
        </w:rPr>
      </w:pPr>
      <w:r w:rsidRPr="003F4704">
        <w:rPr>
          <w:iCs/>
          <w:color w:val="4472C4"/>
          <w:szCs w:val="20"/>
          <w:highlight w:val="green"/>
          <w:lang w:val="en-GB"/>
        </w:rPr>
        <w:t>For this activity, the FPIC (Free, Prior and Informed Consent) process has to be ensured</w:t>
      </w:r>
    </w:p>
    <w:p w14:paraId="693802C0" w14:textId="77777777" w:rsidR="00302BFE" w:rsidRPr="00CD33A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CD33A5">
        <w:rPr>
          <w:rFonts w:ascii="Calibri" w:hAnsi="Calibri"/>
          <w:sz w:val="20"/>
          <w:szCs w:val="20"/>
          <w:lang w:val="en-GB"/>
        </w:rPr>
        <w:t>The project will support the development of community managed forest zoning plans, support strengthening of forest monitoring through revitalization or establishment of management bodies, pe</w:t>
      </w:r>
      <w:r>
        <w:rPr>
          <w:rFonts w:ascii="Calibri" w:hAnsi="Calibri"/>
          <w:sz w:val="20"/>
          <w:szCs w:val="20"/>
          <w:lang w:val="en-GB"/>
        </w:rPr>
        <w:t>rimeter and access roads</w:t>
      </w:r>
      <w:r w:rsidRPr="00CD33A5">
        <w:rPr>
          <w:rFonts w:ascii="Calibri" w:hAnsi="Calibri"/>
          <w:sz w:val="20"/>
          <w:szCs w:val="20"/>
          <w:lang w:val="en-GB"/>
        </w:rPr>
        <w:t xml:space="preserve">, and the setting up of non-timber forest products exploitation structures (in relation to the </w:t>
      </w:r>
      <w:r>
        <w:rPr>
          <w:rFonts w:ascii="Calibri" w:hAnsi="Calibri"/>
          <w:sz w:val="20"/>
          <w:szCs w:val="20"/>
          <w:lang w:val="en-GB"/>
        </w:rPr>
        <w:t>activities planned under output</w:t>
      </w:r>
      <w:r w:rsidRPr="00CD33A5">
        <w:rPr>
          <w:rFonts w:ascii="Calibri" w:hAnsi="Calibri"/>
          <w:sz w:val="20"/>
          <w:szCs w:val="20"/>
          <w:lang w:val="en-GB"/>
        </w:rPr>
        <w:t xml:space="preserve"> 3.3). The project support will also include the facilitation of a reflecti</w:t>
      </w:r>
      <w:r>
        <w:rPr>
          <w:rFonts w:ascii="Calibri" w:hAnsi="Calibri"/>
          <w:sz w:val="20"/>
          <w:szCs w:val="20"/>
          <w:lang w:val="en-GB"/>
        </w:rPr>
        <w:t>on between the parties involved</w:t>
      </w:r>
      <w:r w:rsidRPr="00CD33A5">
        <w:rPr>
          <w:rFonts w:ascii="Calibri" w:hAnsi="Calibri"/>
          <w:sz w:val="20"/>
          <w:szCs w:val="20"/>
          <w:lang w:val="en-GB"/>
        </w:rPr>
        <w:t xml:space="preserve"> to identify possible solutions to ensure the continuity of the</w:t>
      </w:r>
      <w:r>
        <w:rPr>
          <w:rFonts w:ascii="Calibri" w:hAnsi="Calibri"/>
          <w:sz w:val="20"/>
          <w:szCs w:val="20"/>
          <w:lang w:val="en-GB"/>
        </w:rPr>
        <w:t xml:space="preserve"> maintenance of the developments</w:t>
      </w:r>
      <w:r w:rsidRPr="00CD33A5">
        <w:rPr>
          <w:rFonts w:ascii="Calibri" w:hAnsi="Calibri"/>
          <w:sz w:val="20"/>
          <w:szCs w:val="20"/>
          <w:lang w:val="en-GB"/>
        </w:rPr>
        <w:t xml:space="preserve"> made with the project financing, independently of external support. The project will support the implementation of innovative practices in selected forests, wi</w:t>
      </w:r>
      <w:r>
        <w:rPr>
          <w:rFonts w:ascii="Calibri" w:hAnsi="Calibri"/>
          <w:sz w:val="20"/>
          <w:szCs w:val="20"/>
          <w:lang w:val="en-GB"/>
        </w:rPr>
        <w:t>th the support of devolved</w:t>
      </w:r>
      <w:r w:rsidRPr="00CD33A5">
        <w:rPr>
          <w:rFonts w:ascii="Calibri" w:hAnsi="Calibri"/>
          <w:sz w:val="20"/>
          <w:szCs w:val="20"/>
          <w:lang w:val="en-GB"/>
        </w:rPr>
        <w:t xml:space="preserve"> technical services and communities whose capacities will be strengthened so that they are able to support local communities and monit</w:t>
      </w:r>
      <w:r>
        <w:rPr>
          <w:rFonts w:ascii="Calibri" w:hAnsi="Calibri"/>
          <w:sz w:val="20"/>
          <w:szCs w:val="20"/>
          <w:lang w:val="en-GB"/>
        </w:rPr>
        <w:t xml:space="preserve">or the progress of </w:t>
      </w:r>
      <w:r w:rsidRPr="00CD33A5">
        <w:rPr>
          <w:rFonts w:ascii="Calibri" w:hAnsi="Calibri"/>
          <w:sz w:val="20"/>
          <w:szCs w:val="20"/>
          <w:lang w:val="en-GB"/>
        </w:rPr>
        <w:t>adoption of these practices and their success rates, to serve as a relay in the extension and multiplication of these practices. Monitoring the adoption and success rate of sustainable forest management measures is necessary to document the effects of the project, but above all to enable continuous improvement and adaptation of practices in the context of climate change.</w:t>
      </w:r>
    </w:p>
    <w:p w14:paraId="24CE8067" w14:textId="77777777" w:rsidR="00302BFE" w:rsidRPr="00D53169"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D53169">
        <w:rPr>
          <w:rFonts w:ascii="Calibri" w:hAnsi="Calibri"/>
          <w:sz w:val="20"/>
          <w:szCs w:val="20"/>
          <w:lang w:val="en-GB"/>
        </w:rPr>
        <w:t xml:space="preserve">The community forest zoning plan will be developed involving all stakeholders, starting with local communities. The zoning plan should at least indicate areas to be restored (through fallow or assisted natural regeneration), areas open to NTFP collection and areas to be preserved to maximize their potential for validation under a REDD+ mechanism and clearing firebreaks. Each zone will be accompanied by a set of simple rules for monitoring and evaluation by the beneficiaries supported by the devolved services. Simplified zoning plans for community forests will have to be approved by </w:t>
      </w:r>
      <w:r w:rsidR="009363D6">
        <w:rPr>
          <w:rFonts w:ascii="Calibri" w:hAnsi="Calibri"/>
          <w:sz w:val="20"/>
          <w:szCs w:val="20"/>
          <w:lang w:val="en-GB"/>
        </w:rPr>
        <w:t>commune</w:t>
      </w:r>
      <w:r w:rsidRPr="00D53169">
        <w:rPr>
          <w:rFonts w:ascii="Calibri" w:hAnsi="Calibri"/>
          <w:sz w:val="20"/>
          <w:szCs w:val="20"/>
          <w:lang w:val="en-GB"/>
        </w:rPr>
        <w:t xml:space="preserve"> Councils. </w:t>
      </w:r>
      <w:r w:rsidRPr="00FD2EC1">
        <w:rPr>
          <w:rFonts w:ascii="Calibri" w:hAnsi="Calibri"/>
          <w:sz w:val="20"/>
          <w:szCs w:val="20"/>
          <w:lang w:val="en-CA"/>
        </w:rPr>
        <w:t xml:space="preserve">These rules will integrate consensus management rules, mainly in terms of prohibitions, developed by forest management groups and customary and religious authorities, including village chiefs and land chiefs, to regulate access to resources. The prohibitions concern: (i) the cutting of green wood; (ii) the excessive removal of plant roots; (iii) ignition of fire in or near forests; iv) picking immature fruits; (v) the exploitation of trees in sacred woods; vi) grazing in forests. </w:t>
      </w:r>
      <w:r w:rsidRPr="00D53169">
        <w:rPr>
          <w:rFonts w:ascii="Calibri" w:hAnsi="Calibri"/>
          <w:sz w:val="20"/>
          <w:szCs w:val="20"/>
          <w:lang w:val="en-GB"/>
        </w:rPr>
        <w:t xml:space="preserve">The implementation of these zoning plans will be based on enhancing empowerment of local stakeholders for the protection, monitoring, management and restoration of forest stands, by promoting the assisted natural regeneration (ANR) approach. </w:t>
      </w:r>
    </w:p>
    <w:p w14:paraId="2120C48A" w14:textId="66975483" w:rsidR="00302BFE" w:rsidRDefault="00690F56"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Pr>
          <w:rFonts w:ascii="Calibri" w:hAnsi="Calibri"/>
          <w:sz w:val="20"/>
          <w:szCs w:val="20"/>
          <w:lang w:val="en-GB"/>
        </w:rPr>
        <w:t>Assisted natural regeneration (</w:t>
      </w:r>
      <w:r w:rsidR="00302BFE" w:rsidRPr="001B6F43">
        <w:rPr>
          <w:rFonts w:ascii="Calibri" w:hAnsi="Calibri"/>
          <w:sz w:val="20"/>
          <w:szCs w:val="20"/>
          <w:lang w:val="en-GB"/>
        </w:rPr>
        <w:t>ANR</w:t>
      </w:r>
      <w:r>
        <w:rPr>
          <w:rFonts w:ascii="Calibri" w:hAnsi="Calibri"/>
          <w:sz w:val="20"/>
          <w:szCs w:val="20"/>
          <w:lang w:val="en-GB"/>
        </w:rPr>
        <w:t>)</w:t>
      </w:r>
      <w:r w:rsidR="00302BFE" w:rsidRPr="001B6F43">
        <w:rPr>
          <w:rFonts w:ascii="Calibri" w:hAnsi="Calibri"/>
          <w:sz w:val="20"/>
          <w:szCs w:val="20"/>
          <w:lang w:val="en-GB"/>
        </w:rPr>
        <w:t xml:space="preserve"> will be preferred over other approaches to restore forest habitats as it has been shown that ANR significantly reduces the cost of restoration. Spontaneous and assisted natural regeneration in tropical regions are more effective than tree planting at achieving the recovery of biodiversity and forest structure and could help save 50 to 95% of the cost of forest restoration. Furthermore, it has been shown that natural regeneration can restore forest cover on its own within a few years. Adaptability to changing conditions should be taken into account to guide the selection of species and seed sources should enrichment planting be needed to enhance the diversity of seedlings.</w:t>
      </w:r>
    </w:p>
    <w:p w14:paraId="0120A2CD" w14:textId="77777777" w:rsidR="00302BFE"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Pr>
          <w:rFonts w:ascii="Calibri" w:hAnsi="Calibri"/>
          <w:sz w:val="20"/>
          <w:szCs w:val="20"/>
          <w:lang w:val="en-GB"/>
        </w:rPr>
        <w:t>In connection with the component 4 on knowledge management, t</w:t>
      </w:r>
      <w:r w:rsidRPr="00CD33A5">
        <w:rPr>
          <w:rFonts w:ascii="Calibri" w:hAnsi="Calibri"/>
          <w:sz w:val="20"/>
          <w:szCs w:val="20"/>
          <w:lang w:val="en-GB"/>
        </w:rPr>
        <w:t>he project will support the compilation and promotion of community forest management best practices to maximize the sustainability of ecosystem services related to their conservation, including carbon sequestration and GHG</w:t>
      </w:r>
      <w:r>
        <w:rPr>
          <w:rFonts w:ascii="Calibri" w:hAnsi="Calibri"/>
          <w:sz w:val="20"/>
          <w:szCs w:val="20"/>
          <w:lang w:val="en-GB"/>
        </w:rPr>
        <w:t xml:space="preserve"> emission</w:t>
      </w:r>
      <w:r w:rsidRPr="00CD33A5">
        <w:rPr>
          <w:rFonts w:ascii="Calibri" w:hAnsi="Calibri"/>
          <w:sz w:val="20"/>
          <w:szCs w:val="20"/>
          <w:lang w:val="en-GB"/>
        </w:rPr>
        <w:t xml:space="preserve"> avoidance. The compilation of good practices will be published in the main local languages and in a simplified format accessible to the members of the communities. Good pract</w:t>
      </w:r>
      <w:r>
        <w:rPr>
          <w:rFonts w:ascii="Calibri" w:hAnsi="Calibri"/>
          <w:sz w:val="20"/>
          <w:szCs w:val="20"/>
          <w:lang w:val="en-GB"/>
        </w:rPr>
        <w:t>ices will include improving NTFP</w:t>
      </w:r>
      <w:r w:rsidRPr="00CD33A5">
        <w:rPr>
          <w:rFonts w:ascii="Calibri" w:hAnsi="Calibri"/>
          <w:sz w:val="20"/>
          <w:szCs w:val="20"/>
          <w:lang w:val="en-GB"/>
        </w:rPr>
        <w:t xml:space="preserve"> collection practices (</w:t>
      </w:r>
      <w:r w:rsidRPr="00A63E29">
        <w:rPr>
          <w:rFonts w:ascii="Calibri" w:hAnsi="Calibri"/>
          <w:sz w:val="20"/>
          <w:szCs w:val="20"/>
          <w:highlight w:val="yellow"/>
          <w:lang w:val="en-GB"/>
        </w:rPr>
        <w:t>including discouraging</w:t>
      </w:r>
      <w:r w:rsidRPr="00CD33A5">
        <w:rPr>
          <w:rFonts w:ascii="Calibri" w:hAnsi="Calibri"/>
          <w:sz w:val="20"/>
          <w:szCs w:val="20"/>
          <w:lang w:val="en-GB"/>
        </w:rPr>
        <w:t xml:space="preserve"> </w:t>
      </w:r>
      <w:r>
        <w:rPr>
          <w:rFonts w:ascii="Calibri" w:hAnsi="Calibri"/>
          <w:sz w:val="20"/>
          <w:szCs w:val="20"/>
          <w:lang w:val="en-GB"/>
        </w:rPr>
        <w:t xml:space="preserve">unsustainable practices such as </w:t>
      </w:r>
      <w:r w:rsidRPr="00CD33A5">
        <w:rPr>
          <w:rFonts w:ascii="Calibri" w:hAnsi="Calibri"/>
          <w:sz w:val="20"/>
          <w:szCs w:val="20"/>
          <w:lang w:val="en-GB"/>
        </w:rPr>
        <w:t>collectin</w:t>
      </w:r>
      <w:r>
        <w:rPr>
          <w:rFonts w:ascii="Calibri" w:hAnsi="Calibri"/>
          <w:sz w:val="20"/>
          <w:szCs w:val="20"/>
          <w:lang w:val="en-GB"/>
        </w:rPr>
        <w:t>g</w:t>
      </w:r>
      <w:r w:rsidRPr="00CD33A5">
        <w:rPr>
          <w:rFonts w:ascii="Calibri" w:hAnsi="Calibri"/>
          <w:sz w:val="20"/>
          <w:szCs w:val="20"/>
          <w:lang w:val="en-GB"/>
        </w:rPr>
        <w:t xml:space="preserve"> immature fruit</w:t>
      </w:r>
      <w:r>
        <w:rPr>
          <w:rFonts w:ascii="Calibri" w:hAnsi="Calibri"/>
          <w:sz w:val="20"/>
          <w:szCs w:val="20"/>
          <w:lang w:val="en-GB"/>
        </w:rPr>
        <w:t xml:space="preserve">s </w:t>
      </w:r>
      <w:r w:rsidRPr="001B6F43">
        <w:rPr>
          <w:rFonts w:ascii="Calibri" w:hAnsi="Calibri"/>
          <w:sz w:val="20"/>
          <w:szCs w:val="20"/>
          <w:lang w:val="en-GB"/>
        </w:rPr>
        <w:t>and pruning the branches of some species used as fodder</w:t>
      </w:r>
      <w:r>
        <w:rPr>
          <w:rFonts w:ascii="Calibri" w:hAnsi="Calibri"/>
          <w:sz w:val="20"/>
          <w:szCs w:val="20"/>
          <w:lang w:val="en-GB"/>
        </w:rPr>
        <w:t>,</w:t>
      </w:r>
      <w:r w:rsidRPr="001B6F43">
        <w:rPr>
          <w:rFonts w:ascii="Calibri" w:hAnsi="Calibri"/>
          <w:sz w:val="20"/>
          <w:szCs w:val="20"/>
          <w:lang w:val="en-GB"/>
        </w:rPr>
        <w:t xml:space="preserve"> as </w:t>
      </w:r>
      <w:r w:rsidRPr="001B6F43">
        <w:rPr>
          <w:rFonts w:ascii="Calibri" w:hAnsi="Calibri"/>
          <w:i/>
          <w:sz w:val="20"/>
          <w:szCs w:val="20"/>
          <w:lang w:val="en-GB"/>
        </w:rPr>
        <w:t>Bombax costatum</w:t>
      </w:r>
      <w:r w:rsidRPr="00CD33A5">
        <w:rPr>
          <w:rFonts w:ascii="Calibri" w:hAnsi="Calibri"/>
          <w:sz w:val="20"/>
          <w:szCs w:val="20"/>
          <w:lang w:val="en-GB"/>
        </w:rPr>
        <w:t xml:space="preserve">) to ensure sustainability and regeneration, and </w:t>
      </w:r>
      <w:r>
        <w:rPr>
          <w:rFonts w:ascii="Calibri" w:hAnsi="Calibri"/>
          <w:sz w:val="20"/>
          <w:szCs w:val="20"/>
          <w:lang w:val="en-GB"/>
        </w:rPr>
        <w:t xml:space="preserve">the </w:t>
      </w:r>
      <w:r w:rsidRPr="00CD33A5">
        <w:rPr>
          <w:rFonts w:ascii="Calibri" w:hAnsi="Calibri"/>
          <w:sz w:val="20"/>
          <w:szCs w:val="20"/>
          <w:lang w:val="en-GB"/>
        </w:rPr>
        <w:t xml:space="preserve">protection of degraded lands </w:t>
      </w:r>
      <w:r>
        <w:rPr>
          <w:rFonts w:ascii="Calibri" w:hAnsi="Calibri"/>
          <w:sz w:val="20"/>
          <w:szCs w:val="20"/>
          <w:lang w:val="en-GB"/>
        </w:rPr>
        <w:t>under restoration through the ANR approach. The Communes</w:t>
      </w:r>
      <w:r w:rsidRPr="00CD33A5">
        <w:rPr>
          <w:rFonts w:ascii="Calibri" w:hAnsi="Calibri"/>
          <w:sz w:val="20"/>
          <w:szCs w:val="20"/>
          <w:lang w:val="en-GB"/>
        </w:rPr>
        <w:t xml:space="preserve"> will be responsible for conducting the activities, as the forests are not at the same level of management. The Project will provide the necessary technical support for the identification and dissemination of good practices for the implementation of these actions among stakeholders. Special attention will be given to gender-differentiated uses to be able to target women and men separately for the necessary training and support and to identify improvements in natural resource use and exploitation practices.</w:t>
      </w:r>
    </w:p>
    <w:p w14:paraId="5C123C95" w14:textId="77777777" w:rsidR="00302BFE" w:rsidRPr="008225C4"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CD33A5">
        <w:rPr>
          <w:rFonts w:ascii="Calibri" w:hAnsi="Calibri"/>
          <w:sz w:val="20"/>
          <w:szCs w:val="20"/>
          <w:lang w:val="en-GB"/>
        </w:rPr>
        <w:lastRenderedPageBreak/>
        <w:t>In addition to promoting good practices among the relevant actors, men and women, the project will support the implementation of innovative practices in certain forests, wi</w:t>
      </w:r>
      <w:r>
        <w:rPr>
          <w:rFonts w:ascii="Calibri" w:hAnsi="Calibri"/>
          <w:sz w:val="20"/>
          <w:szCs w:val="20"/>
          <w:lang w:val="en-GB"/>
        </w:rPr>
        <w:t>th the support of devolved</w:t>
      </w:r>
      <w:r w:rsidRPr="00CD33A5">
        <w:rPr>
          <w:rFonts w:ascii="Calibri" w:hAnsi="Calibri"/>
          <w:sz w:val="20"/>
          <w:szCs w:val="20"/>
          <w:lang w:val="en-GB"/>
        </w:rPr>
        <w:t xml:space="preserve"> technical services and communities whose capacities will be strengthened </w:t>
      </w:r>
      <w:r>
        <w:rPr>
          <w:rFonts w:ascii="Calibri" w:hAnsi="Calibri"/>
          <w:sz w:val="20"/>
          <w:szCs w:val="20"/>
          <w:lang w:val="en-GB"/>
        </w:rPr>
        <w:t xml:space="preserve">for them to be able </w:t>
      </w:r>
      <w:r w:rsidRPr="00CD33A5">
        <w:rPr>
          <w:rFonts w:ascii="Calibri" w:hAnsi="Calibri"/>
          <w:sz w:val="20"/>
          <w:szCs w:val="20"/>
          <w:lang w:val="en-GB"/>
        </w:rPr>
        <w:t>to support local communities and monitor the adoption of these practices and their success rates, in order to serve as a relay in the extension of these practices.</w:t>
      </w:r>
    </w:p>
    <w:p w14:paraId="42AAFD1E" w14:textId="6D271972" w:rsidR="00302BFE" w:rsidRDefault="00302BFE" w:rsidP="00302BFE">
      <w:pPr>
        <w:pStyle w:val="Paragraphedeliste"/>
        <w:tabs>
          <w:tab w:val="left" w:pos="284"/>
        </w:tabs>
        <w:spacing w:before="120" w:after="120"/>
        <w:ind w:left="0"/>
        <w:jc w:val="both"/>
        <w:rPr>
          <w:rFonts w:ascii="Calibri" w:hAnsi="Calibri"/>
          <w:i/>
          <w:color w:val="4472C4"/>
          <w:sz w:val="20"/>
          <w:szCs w:val="20"/>
          <w:lang w:val="en-GB"/>
        </w:rPr>
      </w:pPr>
      <w:r w:rsidRPr="00CD33A5">
        <w:rPr>
          <w:rFonts w:ascii="Calibri" w:hAnsi="Calibri"/>
          <w:i/>
          <w:color w:val="4472C4"/>
          <w:sz w:val="20"/>
          <w:szCs w:val="20"/>
          <w:lang w:val="en-GB"/>
        </w:rPr>
        <w:t xml:space="preserve">3.2.2 Promotion of best practices </w:t>
      </w:r>
      <w:r>
        <w:rPr>
          <w:rFonts w:ascii="Calibri" w:hAnsi="Calibri"/>
          <w:i/>
          <w:color w:val="4472C4"/>
          <w:sz w:val="20"/>
          <w:szCs w:val="20"/>
          <w:lang w:val="en-GB"/>
        </w:rPr>
        <w:t xml:space="preserve">for </w:t>
      </w:r>
      <w:r w:rsidRPr="00CD33A5">
        <w:rPr>
          <w:rFonts w:ascii="Calibri" w:hAnsi="Calibri"/>
          <w:i/>
          <w:color w:val="4472C4"/>
          <w:sz w:val="20"/>
          <w:szCs w:val="20"/>
          <w:lang w:val="en-GB"/>
        </w:rPr>
        <w:t>rangeland and pasture management including specific strategies for managing pastoralism at the local level, planning and development of water points for pastures</w:t>
      </w:r>
      <w:r>
        <w:rPr>
          <w:rFonts w:ascii="Calibri" w:hAnsi="Calibri"/>
          <w:i/>
          <w:color w:val="4472C4"/>
          <w:sz w:val="20"/>
          <w:szCs w:val="20"/>
          <w:lang w:val="en-GB"/>
        </w:rPr>
        <w:t>,</w:t>
      </w:r>
      <w:r w:rsidRPr="00CD33A5">
        <w:rPr>
          <w:rFonts w:ascii="Calibri" w:hAnsi="Calibri"/>
          <w:i/>
          <w:color w:val="4472C4"/>
          <w:sz w:val="20"/>
          <w:szCs w:val="20"/>
          <w:lang w:val="en-GB"/>
        </w:rPr>
        <w:t xml:space="preserve"> conciliation between farmers and pastoralists</w:t>
      </w:r>
      <w:r>
        <w:rPr>
          <w:rFonts w:ascii="Calibri" w:hAnsi="Calibri"/>
          <w:i/>
          <w:color w:val="4472C4"/>
          <w:sz w:val="20"/>
          <w:szCs w:val="20"/>
          <w:lang w:val="en-GB"/>
        </w:rPr>
        <w:t>,</w:t>
      </w:r>
      <w:r w:rsidRPr="00CD33A5">
        <w:rPr>
          <w:rFonts w:ascii="Calibri" w:hAnsi="Calibri"/>
          <w:i/>
          <w:color w:val="4472C4"/>
          <w:sz w:val="20"/>
          <w:szCs w:val="20"/>
          <w:lang w:val="en-GB"/>
        </w:rPr>
        <w:t xml:space="preserve"> and reducing encroachmen</w:t>
      </w:r>
      <w:r>
        <w:rPr>
          <w:rFonts w:ascii="Calibri" w:hAnsi="Calibri"/>
          <w:i/>
          <w:color w:val="4472C4"/>
          <w:sz w:val="20"/>
          <w:szCs w:val="20"/>
          <w:lang w:val="en-GB"/>
        </w:rPr>
        <w:t>t of protected areas and crop</w:t>
      </w:r>
      <w:r w:rsidRPr="00CD33A5">
        <w:rPr>
          <w:rFonts w:ascii="Calibri" w:hAnsi="Calibri"/>
          <w:i/>
          <w:color w:val="4472C4"/>
          <w:sz w:val="20"/>
          <w:szCs w:val="20"/>
          <w:lang w:val="en-GB"/>
        </w:rPr>
        <w:t xml:space="preserve"> areas by livestock.</w:t>
      </w:r>
    </w:p>
    <w:p w14:paraId="1008095A" w14:textId="1379E159" w:rsidR="00047338" w:rsidRPr="00047338" w:rsidRDefault="00047338" w:rsidP="00BE65D5">
      <w:pPr>
        <w:spacing w:before="120" w:after="120"/>
        <w:rPr>
          <w:iCs/>
          <w:color w:val="4472C4"/>
          <w:szCs w:val="20"/>
          <w:lang w:val="en-GB"/>
        </w:rPr>
      </w:pPr>
      <w:r w:rsidRPr="003F4704">
        <w:rPr>
          <w:iCs/>
          <w:color w:val="4472C4"/>
          <w:szCs w:val="20"/>
          <w:highlight w:val="green"/>
          <w:lang w:val="en-GB"/>
        </w:rPr>
        <w:t>For this activity, the FPIC (Free, Prior and Informed Consent) process has to be ensured</w:t>
      </w:r>
    </w:p>
    <w:p w14:paraId="34BD36CD" w14:textId="77777777" w:rsidR="00302BFE" w:rsidRPr="00EB371D"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CA"/>
        </w:rPr>
      </w:pPr>
      <w:r w:rsidRPr="00704DB2">
        <w:rPr>
          <w:rFonts w:ascii="Calibri" w:hAnsi="Calibri"/>
          <w:sz w:val="20"/>
          <w:szCs w:val="20"/>
          <w:lang w:val="en-GB"/>
        </w:rPr>
        <w:t>Sustainable pastoral l</w:t>
      </w:r>
      <w:r w:rsidRPr="00CD33A5">
        <w:rPr>
          <w:rFonts w:ascii="Calibri" w:hAnsi="Calibri"/>
          <w:sz w:val="20"/>
          <w:szCs w:val="20"/>
          <w:lang w:val="en-GB"/>
        </w:rPr>
        <w:t xml:space="preserve">ivelihoods will be put in place. The landscape of PONASI includes 3 pastoral areas. Best management practices for pastures and rangelands will be promoted. These include (but are not limited to) specific strategies for managing local pastoralism, </w:t>
      </w:r>
      <w:r w:rsidRPr="008225C4">
        <w:rPr>
          <w:rFonts w:ascii="Calibri" w:hAnsi="Calibri"/>
          <w:sz w:val="20"/>
          <w:szCs w:val="20"/>
          <w:lang w:val="en-GB"/>
        </w:rPr>
        <w:t xml:space="preserve">assessment of the condition of pastures and their carrying capacity, the development of </w:t>
      </w:r>
      <w:r w:rsidRPr="00CD33A5">
        <w:rPr>
          <w:rFonts w:ascii="Calibri" w:hAnsi="Calibri"/>
          <w:sz w:val="20"/>
          <w:szCs w:val="20"/>
          <w:lang w:val="en-GB"/>
        </w:rPr>
        <w:t xml:space="preserve">water points and grazing </w:t>
      </w:r>
      <w:r>
        <w:rPr>
          <w:rFonts w:ascii="Calibri" w:hAnsi="Calibri"/>
          <w:sz w:val="20"/>
          <w:szCs w:val="20"/>
          <w:lang w:val="en-GB"/>
        </w:rPr>
        <w:t>areas</w:t>
      </w:r>
      <w:r w:rsidRPr="00CD33A5">
        <w:rPr>
          <w:rFonts w:ascii="Calibri" w:hAnsi="Calibri"/>
          <w:sz w:val="20"/>
          <w:szCs w:val="20"/>
          <w:lang w:val="en-GB"/>
        </w:rPr>
        <w:t xml:space="preserve"> and, in the context of potential conflicts between farmers and pastoralists</w:t>
      </w:r>
      <w:r>
        <w:rPr>
          <w:rFonts w:ascii="Calibri" w:hAnsi="Calibri"/>
          <w:sz w:val="20"/>
          <w:szCs w:val="20"/>
          <w:lang w:val="en-GB"/>
        </w:rPr>
        <w:t xml:space="preserve">, conflict prevention/management and reduction of </w:t>
      </w:r>
      <w:r w:rsidRPr="00CD33A5">
        <w:rPr>
          <w:rFonts w:ascii="Calibri" w:hAnsi="Calibri"/>
          <w:sz w:val="20"/>
          <w:szCs w:val="20"/>
          <w:lang w:val="en-GB"/>
        </w:rPr>
        <w:t xml:space="preserve">cattle </w:t>
      </w:r>
      <w:r>
        <w:rPr>
          <w:rFonts w:ascii="Calibri" w:hAnsi="Calibri"/>
          <w:sz w:val="20"/>
          <w:szCs w:val="20"/>
          <w:lang w:val="en-GB"/>
        </w:rPr>
        <w:t>theft</w:t>
      </w:r>
      <w:r w:rsidRPr="00CD33A5">
        <w:rPr>
          <w:rFonts w:ascii="Calibri" w:hAnsi="Calibri"/>
          <w:sz w:val="20"/>
          <w:szCs w:val="20"/>
          <w:lang w:val="en-GB"/>
        </w:rPr>
        <w:t>.</w:t>
      </w:r>
      <w:r>
        <w:rPr>
          <w:rFonts w:ascii="Calibri" w:hAnsi="Calibri"/>
          <w:sz w:val="20"/>
          <w:szCs w:val="20"/>
          <w:lang w:val="en-GB"/>
        </w:rPr>
        <w:t xml:space="preserve"> </w:t>
      </w:r>
      <w:r w:rsidRPr="00EB371D">
        <w:rPr>
          <w:rFonts w:ascii="Calibri" w:hAnsi="Calibri"/>
          <w:sz w:val="20"/>
          <w:szCs w:val="20"/>
          <w:lang w:val="en-CA"/>
        </w:rPr>
        <w:t>The project will pay special attention to avoid any detrimental impact on Peul nomadic herders, who are particularly vulnerable because of their way of life.</w:t>
      </w:r>
    </w:p>
    <w:p w14:paraId="59EC1436" w14:textId="77777777" w:rsidR="00302BFE" w:rsidRPr="005514F6"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5514F6">
        <w:rPr>
          <w:rFonts w:ascii="Calibri" w:hAnsi="Calibri"/>
          <w:sz w:val="20"/>
          <w:szCs w:val="20"/>
          <w:lang w:val="en-GB"/>
        </w:rPr>
        <w:t>Improved rangeland and pasture management has been analyzed and published. The project will provide the necessary technical support for the compilation, dissemination and promotion of rangeland and pasture management best practices to improve grazing area productivity, while reducing conflicts between farmers or between cattle breeders and wildlife that harm biodiversity (such as the killing of animals as a result of damage, or the encroachment of wildlife habitat within protected areas and the risk of contamination). The compilation of good practices will be published in the main local languages and in a simplified format accessible to the members of the communities. The zoning of the village area will indicate the best management practices for each specific grazing and rangeland area. Best practices will include measures such as the promotion of forage crops, the fight against tree pruning, the reclamation of degraded soils. The project will provide the necessary support for the identification of rangelands with the participation of users, including transhumants who may use the rangelands located within the PONASI landscape on their migration route to Ghana. Special attention will be given nomadic Peul herders to prevent the project from having a detrimental effect on these vulnerable and marginalized populations. Special attention will be given to gender-differentiated uses to be able to target women and men separately for the necessary training and support and to identify improvements in natural resource use and exploitation practices.</w:t>
      </w:r>
    </w:p>
    <w:p w14:paraId="50D04F3B" w14:textId="45C6D08C" w:rsidR="00302BFE" w:rsidRDefault="00302BFE" w:rsidP="00302BFE">
      <w:pPr>
        <w:pStyle w:val="Paragraphedeliste"/>
        <w:tabs>
          <w:tab w:val="left" w:pos="284"/>
        </w:tabs>
        <w:spacing w:before="120" w:after="120"/>
        <w:ind w:left="0"/>
        <w:jc w:val="both"/>
        <w:rPr>
          <w:rFonts w:ascii="Calibri" w:hAnsi="Calibri"/>
          <w:i/>
          <w:color w:val="4472C4"/>
          <w:sz w:val="20"/>
          <w:szCs w:val="20"/>
          <w:lang w:val="en-GB"/>
        </w:rPr>
      </w:pPr>
      <w:r w:rsidRPr="00CD33A5">
        <w:rPr>
          <w:rFonts w:ascii="Calibri" w:hAnsi="Calibri"/>
          <w:i/>
          <w:color w:val="4472C4"/>
          <w:sz w:val="20"/>
          <w:szCs w:val="20"/>
          <w:lang w:val="en-GB"/>
        </w:rPr>
        <w:t>3.2.3 Revisin</w:t>
      </w:r>
      <w:r>
        <w:rPr>
          <w:rFonts w:ascii="Calibri" w:hAnsi="Calibri"/>
          <w:i/>
          <w:color w:val="4472C4"/>
          <w:sz w:val="20"/>
          <w:szCs w:val="20"/>
          <w:lang w:val="en-GB"/>
        </w:rPr>
        <w:t xml:space="preserve">g the Forest Management </w:t>
      </w:r>
      <w:r w:rsidRPr="00831652">
        <w:rPr>
          <w:rFonts w:ascii="Calibri" w:hAnsi="Calibri"/>
          <w:i/>
          <w:color w:val="4472C4"/>
          <w:sz w:val="20"/>
          <w:szCs w:val="20"/>
          <w:lang w:val="en-GB"/>
        </w:rPr>
        <w:t>Site (CAF)</w:t>
      </w:r>
      <w:r w:rsidRPr="00CD33A5">
        <w:rPr>
          <w:rFonts w:ascii="Calibri" w:hAnsi="Calibri"/>
          <w:i/>
          <w:color w:val="4472C4"/>
          <w:sz w:val="20"/>
          <w:szCs w:val="20"/>
          <w:lang w:val="en-GB"/>
        </w:rPr>
        <w:t xml:space="preserve"> Model Strengthens Resource Conservation and Reduces Pressure on Protected Areas</w:t>
      </w:r>
    </w:p>
    <w:p w14:paraId="773B740E" w14:textId="3BBE9014" w:rsidR="00047338" w:rsidRPr="00047338" w:rsidRDefault="00047338" w:rsidP="00BE65D5">
      <w:pPr>
        <w:spacing w:before="120" w:after="120"/>
        <w:rPr>
          <w:iCs/>
          <w:color w:val="4472C4"/>
          <w:szCs w:val="20"/>
          <w:lang w:val="en-GB"/>
        </w:rPr>
      </w:pPr>
      <w:r w:rsidRPr="003F4704">
        <w:rPr>
          <w:iCs/>
          <w:color w:val="4472C4"/>
          <w:szCs w:val="20"/>
          <w:highlight w:val="green"/>
          <w:lang w:val="en-GB"/>
        </w:rPr>
        <w:t>For this activity, the FPIC (Free, Prior and Informed Consent) process has to be ensured</w:t>
      </w:r>
    </w:p>
    <w:p w14:paraId="627C6EB0" w14:textId="77777777" w:rsidR="00302BFE" w:rsidRPr="00CD33A5" w:rsidRDefault="00302BFE" w:rsidP="00302BFE">
      <w:pPr>
        <w:spacing w:before="120" w:after="120"/>
        <w:ind w:left="567"/>
        <w:rPr>
          <w:i/>
          <w:szCs w:val="20"/>
          <w:lang w:val="en-GB"/>
        </w:rPr>
      </w:pPr>
      <w:r w:rsidRPr="00CD33A5">
        <w:rPr>
          <w:i/>
          <w:szCs w:val="20"/>
          <w:lang w:val="en-GB"/>
        </w:rPr>
        <w:t>(i) Evaluation of the management of the CAFs of Nazinon, Gaongo and Zoundweogo, involving local users</w:t>
      </w:r>
    </w:p>
    <w:p w14:paraId="5AAF3120" w14:textId="1E2B8953" w:rsidR="00302BFE" w:rsidRPr="00CD33A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CD33A5">
        <w:rPr>
          <w:rFonts w:ascii="Calibri" w:hAnsi="Calibri"/>
          <w:sz w:val="20"/>
          <w:szCs w:val="20"/>
          <w:lang w:val="en-GB"/>
        </w:rPr>
        <w:t xml:space="preserve">The project will support a study conducted by a specialized firm or by a multidisciplinary team of qualified consultants who will draw on the case studies of 5 CAFs completed in 2018 by the Forest Investment Program as part of the analysis of factors of deforestation and forest degradation. The consultants will be responsible for: (1) evaluating CAFs in the PONASI landscape (Nazinon, Gaongo, SO Zoundweogo) including the following aspects: (a) the dynamics of forest resources and their productivity since </w:t>
      </w:r>
      <w:r>
        <w:rPr>
          <w:rFonts w:ascii="Calibri" w:hAnsi="Calibri"/>
          <w:sz w:val="20"/>
          <w:szCs w:val="20"/>
          <w:lang w:val="en-GB"/>
        </w:rPr>
        <w:t xml:space="preserve">the setting up of the </w:t>
      </w:r>
      <w:r w:rsidRPr="00CD33A5">
        <w:rPr>
          <w:rFonts w:ascii="Calibri" w:hAnsi="Calibri"/>
          <w:sz w:val="20"/>
          <w:szCs w:val="20"/>
          <w:lang w:val="en-GB"/>
        </w:rPr>
        <w:t>forest management, ( b) the management practices and the application of the standards that l</w:t>
      </w:r>
      <w:r>
        <w:rPr>
          <w:rFonts w:ascii="Calibri" w:hAnsi="Calibri"/>
          <w:sz w:val="20"/>
          <w:szCs w:val="20"/>
          <w:lang w:val="en-GB"/>
        </w:rPr>
        <w:t xml:space="preserve">ed to the development of the </w:t>
      </w:r>
      <w:r w:rsidR="00564367" w:rsidRPr="00A63E29">
        <w:rPr>
          <w:rFonts w:ascii="Calibri" w:hAnsi="Calibri"/>
          <w:sz w:val="20"/>
          <w:szCs w:val="20"/>
          <w:highlight w:val="yellow"/>
          <w:lang w:val="en-GB"/>
        </w:rPr>
        <w:t>development and management plan</w:t>
      </w:r>
      <w:r w:rsidR="00564367">
        <w:rPr>
          <w:rFonts w:ascii="Calibri" w:hAnsi="Calibri"/>
          <w:sz w:val="20"/>
          <w:szCs w:val="20"/>
          <w:lang w:val="en-GB"/>
        </w:rPr>
        <w:t xml:space="preserve"> </w:t>
      </w:r>
      <w:r w:rsidR="00690F56">
        <w:rPr>
          <w:rFonts w:ascii="Calibri" w:hAnsi="Calibri"/>
          <w:sz w:val="20"/>
          <w:szCs w:val="20"/>
          <w:lang w:val="en-GB"/>
        </w:rPr>
        <w:t>DMP</w:t>
      </w:r>
      <w:r w:rsidRPr="00CD33A5">
        <w:rPr>
          <w:rFonts w:ascii="Calibri" w:hAnsi="Calibri"/>
          <w:sz w:val="20"/>
          <w:szCs w:val="20"/>
          <w:lang w:val="en-GB"/>
        </w:rPr>
        <w:t xml:space="preserve">s, (c) the socio-economic impacts, including the management and distribution of revenues from the sale of fuelwood, the actual contribution </w:t>
      </w:r>
      <w:r>
        <w:rPr>
          <w:rFonts w:ascii="Calibri" w:hAnsi="Calibri"/>
          <w:sz w:val="20"/>
          <w:szCs w:val="20"/>
          <w:lang w:val="en-GB"/>
        </w:rPr>
        <w:t>of the revenues to</w:t>
      </w:r>
      <w:r w:rsidRPr="00CD33A5">
        <w:rPr>
          <w:rFonts w:ascii="Calibri" w:hAnsi="Calibri"/>
          <w:sz w:val="20"/>
          <w:szCs w:val="20"/>
          <w:lang w:val="en-GB"/>
        </w:rPr>
        <w:t xml:space="preserve"> the Forest Management Fund (FAF) and the Village Investment Fund, the management of the FAF and its contribution to the sustainable management of fo</w:t>
      </w:r>
      <w:r>
        <w:rPr>
          <w:rFonts w:ascii="Calibri" w:hAnsi="Calibri"/>
          <w:sz w:val="20"/>
          <w:szCs w:val="20"/>
          <w:lang w:val="en-GB"/>
        </w:rPr>
        <w:t xml:space="preserve">rest resources, and whether </w:t>
      </w:r>
      <w:r w:rsidRPr="00CD33A5">
        <w:rPr>
          <w:rFonts w:ascii="Calibri" w:hAnsi="Calibri"/>
          <w:sz w:val="20"/>
          <w:szCs w:val="20"/>
          <w:lang w:val="en-GB"/>
        </w:rPr>
        <w:t xml:space="preserve">these revenues </w:t>
      </w:r>
      <w:r>
        <w:rPr>
          <w:rFonts w:ascii="Calibri" w:hAnsi="Calibri"/>
          <w:sz w:val="20"/>
          <w:szCs w:val="20"/>
          <w:lang w:val="en-GB"/>
        </w:rPr>
        <w:t xml:space="preserve">could appropriately </w:t>
      </w:r>
      <w:r w:rsidRPr="00CD33A5">
        <w:rPr>
          <w:rFonts w:ascii="Calibri" w:hAnsi="Calibri"/>
          <w:sz w:val="20"/>
          <w:szCs w:val="20"/>
          <w:lang w:val="en-GB"/>
        </w:rPr>
        <w:t>serve as an incentiv</w:t>
      </w:r>
      <w:r>
        <w:rPr>
          <w:rFonts w:ascii="Calibri" w:hAnsi="Calibri"/>
          <w:sz w:val="20"/>
          <w:szCs w:val="20"/>
          <w:lang w:val="en-GB"/>
        </w:rPr>
        <w:t xml:space="preserve">e for the stakeholders involved to shoulder </w:t>
      </w:r>
      <w:r w:rsidRPr="00CD33A5">
        <w:rPr>
          <w:rFonts w:ascii="Calibri" w:hAnsi="Calibri"/>
          <w:sz w:val="20"/>
          <w:szCs w:val="20"/>
          <w:lang w:val="en-GB"/>
        </w:rPr>
        <w:t>their responsibility for the sustainability of forests; (2) assess the viability of the CAF model in the current environmental and social context, integrating the effects of climate change and making recommendations; (</w:t>
      </w:r>
      <w:r>
        <w:rPr>
          <w:rFonts w:ascii="Calibri" w:hAnsi="Calibri"/>
          <w:sz w:val="20"/>
          <w:szCs w:val="20"/>
          <w:lang w:val="en-GB"/>
        </w:rPr>
        <w:t>3) analyze the level of relevance</w:t>
      </w:r>
      <w:r w:rsidRPr="00CD33A5">
        <w:rPr>
          <w:rFonts w:ascii="Calibri" w:hAnsi="Calibri"/>
          <w:sz w:val="20"/>
          <w:szCs w:val="20"/>
          <w:lang w:val="en-GB"/>
        </w:rPr>
        <w:t xml:space="preserve"> of current planning and management practices with the conservation and sustainable management requirements of natural forests in the PONASI landscape and make recommendations.</w:t>
      </w:r>
    </w:p>
    <w:p w14:paraId="0DFC74A4" w14:textId="77777777" w:rsidR="00302BFE" w:rsidRPr="00CD33A5" w:rsidRDefault="00302BFE" w:rsidP="00302BFE">
      <w:pPr>
        <w:spacing w:before="120" w:after="120"/>
        <w:ind w:left="567"/>
        <w:rPr>
          <w:i/>
          <w:szCs w:val="20"/>
          <w:lang w:val="en-GB"/>
        </w:rPr>
      </w:pPr>
      <w:r w:rsidRPr="00CD33A5">
        <w:rPr>
          <w:i/>
          <w:szCs w:val="20"/>
          <w:lang w:val="en-GB"/>
        </w:rPr>
        <w:t>(ii) Participatory updating of management plans of the forest units concerned on the basis of the recommendations of the study</w:t>
      </w:r>
    </w:p>
    <w:p w14:paraId="29136D27" w14:textId="77777777" w:rsidR="00302BFE" w:rsidRPr="00CD33A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CD33A5">
        <w:rPr>
          <w:rFonts w:ascii="Calibri" w:hAnsi="Calibri"/>
          <w:sz w:val="20"/>
          <w:szCs w:val="20"/>
          <w:lang w:val="en-GB"/>
        </w:rPr>
        <w:t>The</w:t>
      </w:r>
      <w:r>
        <w:rPr>
          <w:rFonts w:ascii="Calibri" w:hAnsi="Calibri"/>
          <w:sz w:val="20"/>
          <w:szCs w:val="20"/>
          <w:lang w:val="en-GB"/>
        </w:rPr>
        <w:t xml:space="preserve">re will be the restitution of the </w:t>
      </w:r>
      <w:r w:rsidRPr="00CD33A5">
        <w:rPr>
          <w:rFonts w:ascii="Calibri" w:hAnsi="Calibri"/>
          <w:sz w:val="20"/>
          <w:szCs w:val="20"/>
          <w:lang w:val="en-GB"/>
        </w:rPr>
        <w:t>conclusions of the evaluation study of the managemen</w:t>
      </w:r>
      <w:r>
        <w:rPr>
          <w:rFonts w:ascii="Calibri" w:hAnsi="Calibri"/>
          <w:sz w:val="20"/>
          <w:szCs w:val="20"/>
          <w:lang w:val="en-GB"/>
        </w:rPr>
        <w:t>t of the 3 CAFs</w:t>
      </w:r>
      <w:r w:rsidRPr="00CD33A5">
        <w:rPr>
          <w:rFonts w:ascii="Calibri" w:hAnsi="Calibri"/>
          <w:sz w:val="20"/>
          <w:szCs w:val="20"/>
          <w:lang w:val="en-GB"/>
        </w:rPr>
        <w:t xml:space="preserve"> to the stakeholders during a joint workshop bringing together the management teams of the CAFs, the representatives of the</w:t>
      </w:r>
      <w:r>
        <w:rPr>
          <w:rFonts w:ascii="Calibri" w:hAnsi="Calibri"/>
          <w:sz w:val="20"/>
          <w:szCs w:val="20"/>
          <w:lang w:val="en-GB"/>
        </w:rPr>
        <w:t xml:space="preserve"> concession holders GGFs and </w:t>
      </w:r>
      <w:r w:rsidRPr="00CD33A5">
        <w:rPr>
          <w:rFonts w:ascii="Calibri" w:hAnsi="Calibri"/>
          <w:sz w:val="20"/>
          <w:szCs w:val="20"/>
          <w:lang w:val="en-GB"/>
        </w:rPr>
        <w:t>UGGF</w:t>
      </w:r>
      <w:r>
        <w:rPr>
          <w:rFonts w:ascii="Calibri" w:hAnsi="Calibri"/>
          <w:sz w:val="20"/>
          <w:szCs w:val="20"/>
          <w:lang w:val="en-GB"/>
        </w:rPr>
        <w:t>, the relevant local authorities</w:t>
      </w:r>
      <w:r w:rsidRPr="00CD33A5">
        <w:rPr>
          <w:rFonts w:ascii="Calibri" w:hAnsi="Calibri"/>
          <w:sz w:val="20"/>
          <w:szCs w:val="20"/>
          <w:lang w:val="en-GB"/>
        </w:rPr>
        <w:t xml:space="preserve"> (</w:t>
      </w:r>
      <w:r>
        <w:rPr>
          <w:rFonts w:ascii="Calibri" w:hAnsi="Calibri"/>
          <w:sz w:val="20"/>
          <w:szCs w:val="20"/>
          <w:lang w:val="en-GB"/>
        </w:rPr>
        <w:t xml:space="preserve">communes), </w:t>
      </w:r>
      <w:r w:rsidRPr="00CD33A5">
        <w:rPr>
          <w:rFonts w:ascii="Calibri" w:hAnsi="Calibri"/>
          <w:sz w:val="20"/>
          <w:szCs w:val="20"/>
          <w:lang w:val="en-GB"/>
        </w:rPr>
        <w:t xml:space="preserve">the decentralized forestry services (regional, provincial and departmental </w:t>
      </w:r>
      <w:r>
        <w:rPr>
          <w:rFonts w:ascii="Calibri" w:hAnsi="Calibri"/>
          <w:sz w:val="20"/>
          <w:szCs w:val="20"/>
          <w:lang w:val="en-GB"/>
        </w:rPr>
        <w:t>services</w:t>
      </w:r>
      <w:r w:rsidRPr="00CD33A5">
        <w:rPr>
          <w:rFonts w:ascii="Calibri" w:hAnsi="Calibri"/>
          <w:sz w:val="20"/>
          <w:szCs w:val="20"/>
          <w:lang w:val="en-GB"/>
        </w:rPr>
        <w:t xml:space="preserve"> of the ME</w:t>
      </w:r>
      <w:r>
        <w:rPr>
          <w:rFonts w:ascii="Calibri" w:hAnsi="Calibri"/>
          <w:sz w:val="20"/>
          <w:szCs w:val="20"/>
          <w:lang w:val="en-GB"/>
        </w:rPr>
        <w:t>GE</w:t>
      </w:r>
      <w:r w:rsidRPr="00CD33A5">
        <w:rPr>
          <w:rFonts w:ascii="Calibri" w:hAnsi="Calibri"/>
          <w:sz w:val="20"/>
          <w:szCs w:val="20"/>
          <w:lang w:val="en-GB"/>
        </w:rPr>
        <w:t xml:space="preserve">CC) as well as the project management unit, in </w:t>
      </w:r>
      <w:r>
        <w:rPr>
          <w:rFonts w:ascii="Calibri" w:hAnsi="Calibri"/>
          <w:sz w:val="20"/>
          <w:szCs w:val="20"/>
          <w:lang w:val="en-GB"/>
        </w:rPr>
        <w:t>order to allow ownership</w:t>
      </w:r>
      <w:r w:rsidRPr="00CD33A5">
        <w:rPr>
          <w:rFonts w:ascii="Calibri" w:hAnsi="Calibri"/>
          <w:sz w:val="20"/>
          <w:szCs w:val="20"/>
          <w:lang w:val="en-GB"/>
        </w:rPr>
        <w:t xml:space="preserve"> of the results of the evaluations and formulate proposals for the implementation of recommendations; discuss and validate necessary updates to development standards, management practices and resource allocation mechanisms from operations; assign management units of CAF to update management plans, an</w:t>
      </w:r>
      <w:r>
        <w:rPr>
          <w:rFonts w:ascii="Calibri" w:hAnsi="Calibri"/>
          <w:sz w:val="20"/>
          <w:szCs w:val="20"/>
          <w:lang w:val="en-GB"/>
        </w:rPr>
        <w:t xml:space="preserve">d possibly development </w:t>
      </w:r>
      <w:r w:rsidRPr="00CD33A5">
        <w:rPr>
          <w:rFonts w:ascii="Calibri" w:hAnsi="Calibri"/>
          <w:sz w:val="20"/>
          <w:szCs w:val="20"/>
          <w:lang w:val="en-GB"/>
        </w:rPr>
        <w:t>plans, under the direct supervision of the Regional Directorates for Forests.</w:t>
      </w:r>
    </w:p>
    <w:p w14:paraId="694F4622" w14:textId="2AFEA931" w:rsidR="00302BFE" w:rsidRDefault="00302BFE" w:rsidP="00302BFE">
      <w:pPr>
        <w:pStyle w:val="Paragraphedeliste"/>
        <w:tabs>
          <w:tab w:val="left" w:pos="284"/>
        </w:tabs>
        <w:spacing w:before="240" w:after="120"/>
        <w:ind w:left="0"/>
        <w:jc w:val="both"/>
        <w:rPr>
          <w:rFonts w:ascii="Calibri" w:hAnsi="Calibri"/>
          <w:b/>
          <w:sz w:val="20"/>
          <w:szCs w:val="20"/>
          <w:lang w:val="en-GB"/>
        </w:rPr>
      </w:pPr>
      <w:r w:rsidRPr="00CD33A5">
        <w:rPr>
          <w:rFonts w:ascii="Calibri" w:hAnsi="Calibri"/>
          <w:b/>
          <w:sz w:val="20"/>
          <w:szCs w:val="20"/>
          <w:lang w:val="en-GB"/>
        </w:rPr>
        <w:t>Output 3.3 Sustainable local forest products processing enterprises are established, providing livelihoods and generating sustained income, especially for women and vulnerable people.</w:t>
      </w:r>
    </w:p>
    <w:p w14:paraId="491A8A0C" w14:textId="77777777" w:rsidR="004F4706" w:rsidRPr="003F4704" w:rsidRDefault="004F4706" w:rsidP="004F4706">
      <w:pPr>
        <w:spacing w:after="0"/>
        <w:contextualSpacing/>
        <w:rPr>
          <w:bCs/>
          <w:szCs w:val="20"/>
          <w:highlight w:val="green"/>
          <w:lang w:val="en-GB"/>
        </w:rPr>
      </w:pPr>
      <w:r w:rsidRPr="003F4704">
        <w:rPr>
          <w:bCs/>
          <w:szCs w:val="20"/>
          <w:highlight w:val="green"/>
          <w:lang w:val="en-GB"/>
        </w:rPr>
        <w:lastRenderedPageBreak/>
        <w:t>To assess and manage the impacts of this Outcome, as indicated in the SESP – in attachment to the ProDoc – the following assessment and management processes will be put in place, to comply with UNDP SES:</w:t>
      </w:r>
    </w:p>
    <w:p w14:paraId="1A2ED071" w14:textId="77777777" w:rsidR="004F4706" w:rsidRPr="003F4704" w:rsidRDefault="004F4706" w:rsidP="004F4706">
      <w:pPr>
        <w:spacing w:after="0"/>
        <w:contextualSpacing/>
        <w:rPr>
          <w:bCs/>
          <w:szCs w:val="20"/>
          <w:highlight w:val="green"/>
          <w:u w:val="single"/>
          <w:lang w:val="en-GB"/>
        </w:rPr>
      </w:pPr>
      <w:r w:rsidRPr="003F4704">
        <w:rPr>
          <w:bCs/>
          <w:szCs w:val="20"/>
          <w:highlight w:val="green"/>
          <w:u w:val="single"/>
          <w:lang w:val="en-GB"/>
        </w:rPr>
        <w:t>Assessments:</w:t>
      </w:r>
    </w:p>
    <w:p w14:paraId="2DABE3E4" w14:textId="77777777" w:rsidR="004F4706" w:rsidRPr="003F4704" w:rsidRDefault="004F4706" w:rsidP="004F4706">
      <w:pPr>
        <w:spacing w:after="0"/>
        <w:contextualSpacing/>
        <w:rPr>
          <w:bCs/>
          <w:szCs w:val="20"/>
          <w:highlight w:val="green"/>
          <w:lang w:val="en-GB"/>
        </w:rPr>
      </w:pPr>
      <w:r w:rsidRPr="003F4704">
        <w:rPr>
          <w:bCs/>
          <w:szCs w:val="20"/>
          <w:highlight w:val="green"/>
          <w:lang w:val="en-GB"/>
        </w:rPr>
        <w:t>ESIA</w:t>
      </w:r>
    </w:p>
    <w:p w14:paraId="365272E7" w14:textId="77777777" w:rsidR="004F4706" w:rsidRPr="003F4704" w:rsidRDefault="004F4706" w:rsidP="004F4706">
      <w:pPr>
        <w:spacing w:after="0"/>
        <w:contextualSpacing/>
        <w:rPr>
          <w:bCs/>
          <w:szCs w:val="20"/>
          <w:highlight w:val="green"/>
          <w:lang w:val="en-GB"/>
        </w:rPr>
      </w:pPr>
      <w:r w:rsidRPr="003F4704">
        <w:rPr>
          <w:bCs/>
          <w:szCs w:val="20"/>
          <w:highlight w:val="green"/>
          <w:lang w:val="en-GB"/>
        </w:rPr>
        <w:t>Gender Analysis</w:t>
      </w:r>
      <w:r w:rsidRPr="003F4704">
        <w:rPr>
          <w:bCs/>
          <w:szCs w:val="20"/>
          <w:highlight w:val="green"/>
          <w:lang w:val="en-GB"/>
        </w:rPr>
        <w:tab/>
      </w:r>
    </w:p>
    <w:p w14:paraId="140ECFED" w14:textId="77777777" w:rsidR="004F4706" w:rsidRPr="003F4704" w:rsidRDefault="004F4706" w:rsidP="004F4706">
      <w:pPr>
        <w:spacing w:after="0"/>
        <w:contextualSpacing/>
        <w:rPr>
          <w:bCs/>
          <w:szCs w:val="20"/>
          <w:highlight w:val="green"/>
          <w:u w:val="single"/>
          <w:lang w:val="en-GB"/>
        </w:rPr>
      </w:pPr>
      <w:r w:rsidRPr="003F4704">
        <w:rPr>
          <w:bCs/>
          <w:szCs w:val="20"/>
          <w:highlight w:val="green"/>
          <w:u w:val="single"/>
          <w:lang w:val="en-GB"/>
        </w:rPr>
        <w:t>Management:</w:t>
      </w:r>
    </w:p>
    <w:p w14:paraId="174B7FEE" w14:textId="2D36EF4D" w:rsidR="004F4706" w:rsidRPr="003F4704" w:rsidRDefault="004F4706" w:rsidP="004F4706">
      <w:pPr>
        <w:spacing w:after="0"/>
        <w:contextualSpacing/>
        <w:rPr>
          <w:bCs/>
          <w:szCs w:val="20"/>
          <w:highlight w:val="green"/>
          <w:lang w:val="en-GB"/>
        </w:rPr>
      </w:pPr>
      <w:r w:rsidRPr="003F4704">
        <w:rPr>
          <w:bCs/>
          <w:szCs w:val="20"/>
          <w:highlight w:val="green"/>
          <w:lang w:val="en-GB"/>
        </w:rPr>
        <w:t>Comprehensive Stakeholder Engagement Plan</w:t>
      </w:r>
    </w:p>
    <w:p w14:paraId="46779637" w14:textId="77777777" w:rsidR="004F4706" w:rsidRPr="003F4704" w:rsidRDefault="004F4706" w:rsidP="004F4706">
      <w:pPr>
        <w:spacing w:after="0"/>
        <w:contextualSpacing/>
        <w:rPr>
          <w:bCs/>
          <w:szCs w:val="20"/>
          <w:highlight w:val="green"/>
          <w:lang w:val="en-GB"/>
        </w:rPr>
      </w:pPr>
      <w:r w:rsidRPr="003F4704">
        <w:rPr>
          <w:bCs/>
          <w:szCs w:val="20"/>
          <w:highlight w:val="green"/>
          <w:lang w:val="en-GB"/>
        </w:rPr>
        <w:t>Indigenous People Plan</w:t>
      </w:r>
    </w:p>
    <w:p w14:paraId="74CAA421" w14:textId="77777777" w:rsidR="004F4706" w:rsidRPr="003F4704" w:rsidRDefault="004F4706" w:rsidP="004F4706">
      <w:pPr>
        <w:spacing w:after="0"/>
        <w:contextualSpacing/>
        <w:rPr>
          <w:bCs/>
          <w:szCs w:val="20"/>
          <w:highlight w:val="green"/>
          <w:lang w:val="en-GB"/>
        </w:rPr>
      </w:pPr>
      <w:r w:rsidRPr="003F4704">
        <w:rPr>
          <w:bCs/>
          <w:szCs w:val="20"/>
          <w:highlight w:val="green"/>
          <w:lang w:val="en-GB"/>
        </w:rPr>
        <w:t xml:space="preserve">Gender Action Plan </w:t>
      </w:r>
    </w:p>
    <w:p w14:paraId="1D077243" w14:textId="77777777" w:rsidR="004F4706" w:rsidRPr="00253E4A" w:rsidRDefault="004F4706" w:rsidP="004F4706">
      <w:pPr>
        <w:spacing w:after="0"/>
        <w:contextualSpacing/>
        <w:rPr>
          <w:bCs/>
          <w:szCs w:val="20"/>
          <w:lang w:val="en-GB"/>
        </w:rPr>
      </w:pPr>
      <w:r w:rsidRPr="003F4704">
        <w:rPr>
          <w:bCs/>
          <w:szCs w:val="20"/>
          <w:highlight w:val="green"/>
          <w:lang w:val="en-GB"/>
        </w:rPr>
        <w:t>ESMP</w:t>
      </w:r>
    </w:p>
    <w:p w14:paraId="06AD802A" w14:textId="77777777" w:rsidR="004F4706" w:rsidRPr="00CD33A5" w:rsidRDefault="004F4706" w:rsidP="00302BFE">
      <w:pPr>
        <w:pStyle w:val="Paragraphedeliste"/>
        <w:tabs>
          <w:tab w:val="left" w:pos="284"/>
        </w:tabs>
        <w:spacing w:before="240" w:after="120"/>
        <w:ind w:left="0"/>
        <w:jc w:val="both"/>
        <w:rPr>
          <w:rFonts w:ascii="Calibri" w:hAnsi="Calibri"/>
          <w:sz w:val="20"/>
          <w:szCs w:val="20"/>
          <w:lang w:val="en-GB"/>
        </w:rPr>
      </w:pPr>
    </w:p>
    <w:p w14:paraId="214285CF" w14:textId="77777777" w:rsidR="00302BFE" w:rsidRPr="00CD33A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CD33A5">
        <w:rPr>
          <w:rFonts w:ascii="Calibri" w:hAnsi="Calibri"/>
          <w:sz w:val="20"/>
          <w:szCs w:val="20"/>
          <w:lang w:val="en-GB"/>
        </w:rPr>
        <w:t>The role of the GEF project will be catalytic vis-à-vis other partners, as several initiatives are already working on similar themes in the PONASI landscape. The project will work with initiatives to develop sustainable livelihoods such as agriculture, forestry and livestock, and focus its support on livelihood activities that clearly contribute to mitigating threats or pressur</w:t>
      </w:r>
      <w:r>
        <w:rPr>
          <w:rFonts w:ascii="Calibri" w:hAnsi="Calibri"/>
          <w:sz w:val="20"/>
          <w:szCs w:val="20"/>
          <w:lang w:val="en-GB"/>
        </w:rPr>
        <w:t>es on biodiversity, species</w:t>
      </w:r>
      <w:r w:rsidRPr="00CD33A5">
        <w:rPr>
          <w:rFonts w:ascii="Calibri" w:hAnsi="Calibri"/>
          <w:sz w:val="20"/>
          <w:szCs w:val="20"/>
          <w:lang w:val="en-GB"/>
        </w:rPr>
        <w:t xml:space="preserve"> or ecosystems, by creating incentives for the conservation or sustainable management of biodiversity. It is proposed that the project focus on three promising </w:t>
      </w:r>
      <w:r>
        <w:rPr>
          <w:rFonts w:ascii="Calibri" w:hAnsi="Calibri"/>
          <w:sz w:val="20"/>
          <w:szCs w:val="20"/>
          <w:lang w:val="en-GB"/>
        </w:rPr>
        <w:t>value chains</w:t>
      </w:r>
      <w:r w:rsidRPr="00CD33A5">
        <w:rPr>
          <w:rFonts w:ascii="Calibri" w:hAnsi="Calibri"/>
          <w:sz w:val="20"/>
          <w:szCs w:val="20"/>
          <w:lang w:val="en-GB"/>
        </w:rPr>
        <w:t xml:space="preserve"> whose potential in the PONASI landscape has been highlighted recently (Naturama, 201</w:t>
      </w:r>
      <w:r>
        <w:rPr>
          <w:rFonts w:ascii="Calibri" w:hAnsi="Calibri"/>
          <w:sz w:val="20"/>
          <w:szCs w:val="20"/>
          <w:lang w:val="en-GB"/>
        </w:rPr>
        <w:t>6): the production of single-flower</w:t>
      </w:r>
      <w:r w:rsidRPr="00CD33A5">
        <w:rPr>
          <w:rFonts w:ascii="Calibri" w:hAnsi="Calibri"/>
          <w:sz w:val="20"/>
          <w:szCs w:val="20"/>
          <w:lang w:val="en-GB"/>
        </w:rPr>
        <w:t xml:space="preserve"> honey, organic and fair shea butter, and goïne liana juice</w:t>
      </w:r>
      <w:r w:rsidRPr="00CD33A5">
        <w:rPr>
          <w:rFonts w:ascii="Calibri" w:hAnsi="Calibri" w:cs="Helvetica"/>
          <w:color w:val="1D2228"/>
          <w:sz w:val="20"/>
          <w:szCs w:val="20"/>
          <w:lang w:val="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3"/>
      </w:tblGrid>
      <w:tr w:rsidR="00302BFE" w:rsidRPr="00CD33A5" w14:paraId="1628DE5A" w14:textId="77777777" w:rsidTr="00243B15">
        <w:trPr>
          <w:jc w:val="center"/>
        </w:trPr>
        <w:tc>
          <w:tcPr>
            <w:tcW w:w="10613" w:type="dxa"/>
            <w:shd w:val="clear" w:color="auto" w:fill="auto"/>
          </w:tcPr>
          <w:p w14:paraId="1014088E" w14:textId="77777777" w:rsidR="00302BFE" w:rsidRPr="000D0A8A" w:rsidRDefault="00302BFE" w:rsidP="00243B15">
            <w:pPr>
              <w:tabs>
                <w:tab w:val="left" w:pos="935"/>
              </w:tabs>
              <w:spacing w:before="120" w:after="120"/>
              <w:rPr>
                <w:rFonts w:cs="Helvetica"/>
                <w:color w:val="1D2228"/>
                <w:sz w:val="18"/>
                <w:szCs w:val="18"/>
                <w:lang w:val="en-GB"/>
              </w:rPr>
            </w:pPr>
            <w:r w:rsidRPr="000D0A8A">
              <w:rPr>
                <w:rFonts w:cs="Helvetica"/>
                <w:color w:val="1D2228"/>
                <w:sz w:val="18"/>
                <w:szCs w:val="18"/>
                <w:lang w:val="en-GB"/>
              </w:rPr>
              <w:t xml:space="preserve">Beekeeping is a sector that is becoming more professional and one of the emerging </w:t>
            </w:r>
            <w:r>
              <w:rPr>
                <w:rFonts w:cs="Helvetica"/>
                <w:color w:val="1D2228"/>
                <w:sz w:val="18"/>
                <w:szCs w:val="18"/>
                <w:lang w:val="en-GB"/>
              </w:rPr>
              <w:t>value chains</w:t>
            </w:r>
            <w:r w:rsidRPr="000D0A8A">
              <w:rPr>
                <w:rFonts w:cs="Helvetica"/>
                <w:color w:val="1D2228"/>
                <w:sz w:val="18"/>
                <w:szCs w:val="18"/>
                <w:lang w:val="en-GB"/>
              </w:rPr>
              <w:t xml:space="preserve"> in Burkina Faso. </w:t>
            </w:r>
            <w:r w:rsidRPr="000D0A8A">
              <w:rPr>
                <w:rFonts w:cs="Helvetica"/>
                <w:b/>
                <w:color w:val="1D2228"/>
                <w:sz w:val="18"/>
                <w:szCs w:val="18"/>
                <w:lang w:val="en-GB"/>
              </w:rPr>
              <w:t xml:space="preserve">Honey </w:t>
            </w:r>
            <w:r w:rsidRPr="000D0A8A">
              <w:rPr>
                <w:rFonts w:cs="Helvetica"/>
                <w:color w:val="1D2228"/>
                <w:sz w:val="18"/>
                <w:szCs w:val="18"/>
                <w:lang w:val="en-GB"/>
              </w:rPr>
              <w:t xml:space="preserve">production quadrupled between 2007 and 2014, from 55 to 265 tonnes. </w:t>
            </w:r>
            <w:r w:rsidRPr="000D0A8A">
              <w:rPr>
                <w:rFonts w:cs="Helvetica"/>
                <w:sz w:val="18"/>
                <w:szCs w:val="18"/>
                <w:lang w:val="en-GB"/>
              </w:rPr>
              <w:t>The National Union</w:t>
            </w:r>
            <w:r w:rsidRPr="000D0A8A">
              <w:rPr>
                <w:rFonts w:cs="Helvetica"/>
                <w:color w:val="1D2228"/>
                <w:sz w:val="18"/>
                <w:szCs w:val="18"/>
                <w:lang w:val="en-GB"/>
              </w:rPr>
              <w:t xml:space="preserve"> of Beekeepers of Burkina Faso (UNABF), created in 2004, has nearly 7000 members. The honey market includes the large market of traditional ordinary honey and practically found in all food businesses and the thin but very promising quality honey market of registered designation that cannot be satisfied by all producers. There is a high demand for traditional honey at the national level and in the sub-region (Niger, Côte d’Ivoire, Togo, Ghana, and Senegal). The second type of market is essentially European and very demanding in quality. Very few producers master the production requirements of this type of honey. The agroecological farm of Niendouga Gourma (FAENG), which is the leader in this market in the East, is developing a label of single-flower honey, the most sought after of which are: the honey of </w:t>
            </w:r>
            <w:r w:rsidRPr="000D0A8A">
              <w:rPr>
                <w:rFonts w:cs="Helvetica"/>
                <w:i/>
                <w:color w:val="1D2228"/>
                <w:sz w:val="18"/>
                <w:szCs w:val="18"/>
                <w:lang w:val="en-GB"/>
              </w:rPr>
              <w:t>Daniella oliveri</w:t>
            </w:r>
            <w:r w:rsidRPr="000D0A8A">
              <w:rPr>
                <w:rFonts w:cs="Helvetica"/>
                <w:color w:val="1D2228"/>
                <w:sz w:val="18"/>
                <w:szCs w:val="18"/>
                <w:lang w:val="en-GB"/>
              </w:rPr>
              <w:t>, which is credited with therapeutic virtues, shea-N</w:t>
            </w:r>
            <w:r>
              <w:rPr>
                <w:rFonts w:cs="Helvetica"/>
                <w:color w:val="1D2228"/>
                <w:sz w:val="18"/>
                <w:szCs w:val="18"/>
                <w:lang w:val="en-GB"/>
              </w:rPr>
              <w:t>é</w:t>
            </w:r>
            <w:r w:rsidRPr="000D0A8A">
              <w:rPr>
                <w:rFonts w:cs="Helvetica"/>
                <w:color w:val="1D2228"/>
                <w:sz w:val="18"/>
                <w:szCs w:val="18"/>
                <w:lang w:val="en-GB"/>
              </w:rPr>
              <w:t>r</w:t>
            </w:r>
            <w:r>
              <w:rPr>
                <w:rFonts w:cs="Helvetica"/>
                <w:color w:val="1D2228"/>
                <w:sz w:val="18"/>
                <w:szCs w:val="18"/>
                <w:lang w:val="en-GB"/>
              </w:rPr>
              <w:t>é</w:t>
            </w:r>
            <w:r w:rsidRPr="000D0A8A">
              <w:rPr>
                <w:rFonts w:cs="Helvetica"/>
                <w:color w:val="1D2228"/>
                <w:sz w:val="18"/>
                <w:szCs w:val="18"/>
                <w:lang w:val="en-GB"/>
              </w:rPr>
              <w:t xml:space="preserve"> honey very rich in pollen, and Tamarind honey very creamy with strong tamarind scent (PDA, 2006). </w:t>
            </w:r>
            <w:r w:rsidRPr="000D0A8A">
              <w:rPr>
                <w:rFonts w:cs="Helvetica"/>
                <w:sz w:val="18"/>
                <w:szCs w:val="18"/>
                <w:lang w:val="en-GB"/>
              </w:rPr>
              <w:t xml:space="preserve">The advanced experience </w:t>
            </w:r>
            <w:r w:rsidRPr="000D0A8A">
              <w:rPr>
                <w:rFonts w:cs="Helvetica"/>
                <w:color w:val="1D2228"/>
                <w:sz w:val="18"/>
                <w:szCs w:val="18"/>
                <w:lang w:val="en-GB"/>
              </w:rPr>
              <w:t xml:space="preserve">of the NGO Wend Puiré based in Koudougou on the modern production of single-flower honeys with village groups shows that this market is accessible to community producers like those of PONASI. In the complex of the PONASI landscape area, the honey sector is supported by structures such as Tree Aid, Natudev and Naturama, and is progressively structured. Given the potential for production and marketing, the development of the single-flower honey sector in PONASI will be economically profitable for local stakeholders. It has been identified as a priority </w:t>
            </w:r>
            <w:r>
              <w:rPr>
                <w:rFonts w:cs="Helvetica"/>
                <w:color w:val="1D2228"/>
                <w:sz w:val="18"/>
                <w:szCs w:val="18"/>
                <w:lang w:val="en-GB"/>
              </w:rPr>
              <w:t>value chain</w:t>
            </w:r>
            <w:r w:rsidRPr="000D0A8A">
              <w:rPr>
                <w:rFonts w:cs="Helvetica"/>
                <w:color w:val="1D2228"/>
                <w:sz w:val="18"/>
                <w:szCs w:val="18"/>
                <w:lang w:val="en-GB"/>
              </w:rPr>
              <w:t xml:space="preserve"> in this complex (Naturama, 2016).</w:t>
            </w:r>
          </w:p>
          <w:p w14:paraId="6B98E575" w14:textId="77777777" w:rsidR="00302BFE" w:rsidRPr="000D0A8A" w:rsidRDefault="00302BFE" w:rsidP="00243B15">
            <w:pPr>
              <w:pStyle w:val="yiv9464786002msonormal"/>
              <w:shd w:val="clear" w:color="auto" w:fill="FFFFFF"/>
              <w:spacing w:before="120" w:beforeAutospacing="0" w:after="120" w:afterAutospacing="0"/>
              <w:jc w:val="both"/>
              <w:rPr>
                <w:rFonts w:ascii="Calibri" w:hAnsi="Calibri" w:cs="Helvetica"/>
                <w:color w:val="1D2228"/>
                <w:sz w:val="18"/>
                <w:szCs w:val="18"/>
                <w:lang w:val="en-GB"/>
              </w:rPr>
            </w:pPr>
            <w:r w:rsidRPr="000D0A8A">
              <w:rPr>
                <w:rFonts w:ascii="Calibri" w:hAnsi="Calibri" w:cs="Helvetica"/>
                <w:color w:val="1D2228"/>
                <w:sz w:val="18"/>
                <w:szCs w:val="18"/>
                <w:lang w:val="en-GB"/>
              </w:rPr>
              <w:t xml:space="preserve">The </w:t>
            </w:r>
            <w:r w:rsidRPr="000D0A8A">
              <w:rPr>
                <w:rFonts w:ascii="Calibri" w:hAnsi="Calibri" w:cs="Helvetica"/>
                <w:b/>
                <w:color w:val="1D2228"/>
                <w:sz w:val="18"/>
                <w:szCs w:val="18"/>
                <w:lang w:val="en-GB"/>
              </w:rPr>
              <w:t xml:space="preserve">shea </w:t>
            </w:r>
            <w:r w:rsidRPr="000D0A8A">
              <w:rPr>
                <w:rFonts w:ascii="Calibri" w:hAnsi="Calibri" w:cs="Helvetica"/>
                <w:color w:val="1D2228"/>
                <w:sz w:val="18"/>
                <w:szCs w:val="18"/>
                <w:lang w:val="en-GB"/>
              </w:rPr>
              <w:t xml:space="preserve">tree, </w:t>
            </w:r>
            <w:r w:rsidRPr="000D0A8A">
              <w:rPr>
                <w:rFonts w:ascii="Calibri" w:hAnsi="Calibri" w:cs="Helvetica"/>
                <w:i/>
                <w:color w:val="1D2228"/>
                <w:sz w:val="18"/>
                <w:szCs w:val="18"/>
                <w:lang w:val="en-GB"/>
              </w:rPr>
              <w:t>Vitellaria paradoxa</w:t>
            </w:r>
            <w:r w:rsidRPr="000D0A8A">
              <w:rPr>
                <w:rFonts w:ascii="Calibri" w:hAnsi="Calibri" w:cs="Helvetica"/>
                <w:color w:val="1D2228"/>
                <w:sz w:val="18"/>
                <w:szCs w:val="18"/>
                <w:lang w:val="en-GB"/>
              </w:rPr>
              <w:t>, is present in the landscape area of the PONASI complex and its nuts are mainly collected and marketed by women. Income from the sale of nuts helps to secure households that depend mainly on subsistence farming. The production of shea butter, which is small-scale and artisanal production, is also a source of income for households, albeit small. The industrialization of the processing of shea almonds into butter outside the country has favored the export of raw almonds, limiting the added value of processing to foreign industry and exporters, while women collectors are subject to fluctuations in market prices. In view of the available potential and the ever-increasing national and international demand, the transformation of almonds into shea butter in PONASI remains a preferable solution to create added value, employment and substantial income for the communities adjacent to the protected areas. To increase added value, butter production will target organic and fair market niches in high demand in the international market. To achieve this, butter production must be competitive with industrial processing. However, artisanal production as it is currently practiced lacks equipment and know-how to be economically competitive.</w:t>
            </w:r>
          </w:p>
          <w:p w14:paraId="63A7AA58" w14:textId="77777777" w:rsidR="00302BFE" w:rsidRPr="000D0A8A" w:rsidRDefault="00302BFE" w:rsidP="00243B15">
            <w:pPr>
              <w:spacing w:before="120" w:after="120"/>
              <w:rPr>
                <w:sz w:val="18"/>
                <w:szCs w:val="18"/>
                <w:lang w:val="en-GB"/>
              </w:rPr>
            </w:pPr>
            <w:r w:rsidRPr="000D0A8A">
              <w:rPr>
                <w:sz w:val="18"/>
                <w:szCs w:val="18"/>
                <w:lang w:val="en-GB"/>
              </w:rPr>
              <w:t>The profitable production of organic and / or fair shea butter by women's groups in Burkina Faso is well known on the international scene. For example, (i) the Shea Butter Producers Network of the Hauts-Bassins and Cascades - which has 255 groups and 9,350 members, 96% of whom are women - produces and delivers hundreds of tonnes of organic and conventional shea butter annually at national and international levels; (ii) The Union of Production and Shea Products Groups  of Houet - which has 46 groups and more than 4,400 members from 23 villages - produces and exports conventional, fair, organic and fair butter to China, Taiwan, India, France, Canada and the United States; other successful community organizations producing shea butter under different labels such as the Nununa federation in Sissili, the federation "Woman get up and walk" in the South-West, the Ragussi association in Ouagadougou were supported by organizations such as the Fondation Occitane (France), the Canadian Center for International Studies and Cooperation (CECI), Tree Aid Burkina, Olvéa (France), providing technical and financial support.</w:t>
            </w:r>
          </w:p>
          <w:p w14:paraId="323EE117" w14:textId="77777777" w:rsidR="00302BFE" w:rsidRPr="000D0A8A" w:rsidRDefault="00302BFE" w:rsidP="00243B15">
            <w:pPr>
              <w:pStyle w:val="yiv9464786002msonormal"/>
              <w:shd w:val="clear" w:color="auto" w:fill="FFFFFF"/>
              <w:spacing w:before="120" w:beforeAutospacing="0" w:after="120" w:afterAutospacing="0"/>
              <w:jc w:val="both"/>
              <w:rPr>
                <w:rFonts w:ascii="Calibri" w:hAnsi="Calibri" w:cs="Helvetica"/>
                <w:color w:val="1D2228"/>
                <w:sz w:val="18"/>
                <w:szCs w:val="18"/>
                <w:lang w:val="en-GB"/>
              </w:rPr>
            </w:pPr>
            <w:r w:rsidRPr="000D0A8A">
              <w:rPr>
                <w:rFonts w:ascii="Calibri" w:hAnsi="Calibri" w:cs="Helvetica"/>
                <w:sz w:val="18"/>
                <w:szCs w:val="18"/>
                <w:lang w:val="en-GB"/>
              </w:rPr>
              <w:t xml:space="preserve">To improve </w:t>
            </w:r>
            <w:r w:rsidRPr="000D0A8A">
              <w:rPr>
                <w:rFonts w:ascii="Calibri" w:hAnsi="Calibri" w:cs="Helvetica"/>
                <w:color w:val="1D2228"/>
                <w:sz w:val="18"/>
                <w:szCs w:val="18"/>
                <w:lang w:val="en-GB"/>
              </w:rPr>
              <w:t xml:space="preserve">the competitiveness of the processing of shea nuts, the project's support will focus on a technological innovation that will reduce investment in labour and natural resources by shea butter processors (price and handling of wood, time of labor increased due to poorly performing cooking stoves) and have a direct impact on the cost of production, the health of women workers (high smoke production) and environmental sustainability (deforestation, greenhouse gas production). The pots usually used will be replaced by an innovative technology: a H2CP pyrolysis furnace, a biomass boiler that uses churning muds and shea shells as energy source, tanks and a steam system. The stages of cooking shea butter (hot washing and dehydration) use only fuel sheancake (residue of the transformation). The Nununa Federation has this technology thanks to the support of CECI. It is proposed that butter production units be set up in the two main areas of shea stands such as Corridors </w:t>
            </w:r>
            <w:r>
              <w:rPr>
                <w:rFonts w:ascii="Calibri" w:hAnsi="Calibri" w:cs="Helvetica"/>
                <w:color w:val="1D2228"/>
                <w:sz w:val="18"/>
                <w:szCs w:val="18"/>
                <w:lang w:val="en-GB"/>
              </w:rPr>
              <w:t>#</w:t>
            </w:r>
            <w:r w:rsidRPr="000D0A8A">
              <w:rPr>
                <w:rFonts w:ascii="Calibri" w:hAnsi="Calibri" w:cs="Helvetica"/>
                <w:color w:val="1D2228"/>
                <w:sz w:val="18"/>
                <w:szCs w:val="18"/>
                <w:lang w:val="en-GB"/>
              </w:rPr>
              <w:t xml:space="preserve">1 and </w:t>
            </w:r>
            <w:r>
              <w:rPr>
                <w:rFonts w:ascii="Calibri" w:hAnsi="Calibri" w:cs="Helvetica"/>
                <w:color w:val="1D2228"/>
                <w:sz w:val="18"/>
                <w:szCs w:val="18"/>
                <w:lang w:val="en-GB"/>
              </w:rPr>
              <w:t>#</w:t>
            </w:r>
            <w:r w:rsidRPr="000D0A8A">
              <w:rPr>
                <w:rFonts w:ascii="Calibri" w:hAnsi="Calibri" w:cs="Helvetica"/>
                <w:color w:val="1D2228"/>
                <w:sz w:val="18"/>
                <w:szCs w:val="18"/>
                <w:lang w:val="en-GB"/>
              </w:rPr>
              <w:t xml:space="preserve">2. Indeed, up to 01 km deep, it is possible to negotiate production that can be certified organic. In the other communes, </w:t>
            </w:r>
            <w:r w:rsidRPr="000D0A8A">
              <w:rPr>
                <w:rFonts w:ascii="Calibri" w:hAnsi="Calibri" w:cs="Helvetica"/>
                <w:color w:val="1D2228"/>
                <w:sz w:val="18"/>
                <w:szCs w:val="18"/>
                <w:lang w:val="en-GB"/>
              </w:rPr>
              <w:lastRenderedPageBreak/>
              <w:t>village forests with high production potential can be identified and certified. The almonds from these certified areas will be used to feed the two units that will be installed in the communes of corridors #1 and #2.</w:t>
            </w:r>
          </w:p>
          <w:p w14:paraId="314DF125" w14:textId="77777777" w:rsidR="00302BFE" w:rsidRPr="000D0A8A" w:rsidRDefault="00302BFE" w:rsidP="00243B15">
            <w:pPr>
              <w:tabs>
                <w:tab w:val="left" w:pos="935"/>
              </w:tabs>
              <w:spacing w:before="120" w:after="120"/>
              <w:rPr>
                <w:sz w:val="18"/>
                <w:szCs w:val="18"/>
                <w:lang w:val="en-GB"/>
              </w:rPr>
            </w:pPr>
            <w:r w:rsidRPr="000D0A8A">
              <w:rPr>
                <w:sz w:val="18"/>
                <w:szCs w:val="18"/>
                <w:lang w:val="en-GB"/>
              </w:rPr>
              <w:t xml:space="preserve">The processing of </w:t>
            </w:r>
            <w:r w:rsidRPr="000D0A8A">
              <w:rPr>
                <w:b/>
                <w:sz w:val="18"/>
                <w:szCs w:val="18"/>
                <w:lang w:val="en-CA"/>
              </w:rPr>
              <w:t>goïne</w:t>
            </w:r>
            <w:r w:rsidRPr="000D0A8A">
              <w:rPr>
                <w:sz w:val="18"/>
                <w:szCs w:val="18"/>
                <w:lang w:val="en-GB"/>
              </w:rPr>
              <w:t xml:space="preserve"> liana fruits (</w:t>
            </w:r>
            <w:r w:rsidRPr="000D0A8A">
              <w:rPr>
                <w:i/>
                <w:sz w:val="18"/>
                <w:szCs w:val="18"/>
                <w:lang w:val="en-GB"/>
              </w:rPr>
              <w:t>Saba senegalensis</w:t>
            </w:r>
            <w:r w:rsidRPr="000D0A8A">
              <w:rPr>
                <w:sz w:val="18"/>
                <w:szCs w:val="18"/>
                <w:lang w:val="en-GB"/>
              </w:rPr>
              <w:t xml:space="preserve">) is one of the priority </w:t>
            </w:r>
            <w:r>
              <w:rPr>
                <w:sz w:val="18"/>
                <w:szCs w:val="18"/>
                <w:lang w:val="en-GB"/>
              </w:rPr>
              <w:t>value chains</w:t>
            </w:r>
            <w:r w:rsidRPr="000D0A8A">
              <w:rPr>
                <w:sz w:val="18"/>
                <w:szCs w:val="18"/>
                <w:lang w:val="en-GB"/>
              </w:rPr>
              <w:t xml:space="preserve"> in the PONASI complex, despite the absence of statistics. While fruits can be processed into juice, wine, syrup and jam, they are only sold in their raw state and at a very low price. Although the production of </w:t>
            </w:r>
            <w:r>
              <w:rPr>
                <w:sz w:val="18"/>
                <w:szCs w:val="18"/>
                <w:lang w:val="en-GB"/>
              </w:rPr>
              <w:t>g</w:t>
            </w:r>
            <w:r w:rsidRPr="000D0A8A">
              <w:rPr>
                <w:sz w:val="18"/>
                <w:szCs w:val="18"/>
                <w:lang w:val="en-GB"/>
              </w:rPr>
              <w:t xml:space="preserve">oine liana fruits is important, the income from its commercialization represents only 2.2% of the income from the commercialization of NTFPs in the PONASI complex (Naturama, 2016). A bag of about 43 Kg is sold at US$ 3 in the local market. In the Boucle du Mouhoun and Cascades regions, this amount processed into juice can yield up to US$ 57, which shows that, in the absence of fruit processing, the fruit collectors miss substantial added value and income. In the context of a growing demand at the national and sub-regional level (Mali, Ivory Coast, Ghana) for goine liana fruit juice, the project will support the development of this </w:t>
            </w:r>
            <w:r>
              <w:rPr>
                <w:sz w:val="18"/>
                <w:szCs w:val="18"/>
                <w:lang w:val="en-GB"/>
              </w:rPr>
              <w:t>value chain</w:t>
            </w:r>
            <w:r w:rsidRPr="000D0A8A">
              <w:rPr>
                <w:sz w:val="18"/>
                <w:szCs w:val="18"/>
                <w:lang w:val="en-GB"/>
              </w:rPr>
              <w:t xml:space="preserve"> to contribute to increasing women's incomes in the PONASI landscape through the establishment of a cooperative of producers in the commune of Nobéré whose potential for production of goine liana is important.</w:t>
            </w:r>
          </w:p>
        </w:tc>
      </w:tr>
    </w:tbl>
    <w:p w14:paraId="38E6E83B" w14:textId="77777777" w:rsidR="00302BFE" w:rsidRPr="00CD33A5" w:rsidRDefault="00302BFE" w:rsidP="00302BFE">
      <w:pPr>
        <w:pStyle w:val="Paragraphedeliste"/>
        <w:tabs>
          <w:tab w:val="left" w:pos="284"/>
        </w:tabs>
        <w:spacing w:before="120" w:after="120"/>
        <w:ind w:left="0"/>
        <w:jc w:val="both"/>
        <w:rPr>
          <w:rFonts w:ascii="Calibri" w:hAnsi="Calibri"/>
          <w:color w:val="4472C4"/>
          <w:sz w:val="20"/>
          <w:szCs w:val="20"/>
          <w:lang w:val="en-GB"/>
        </w:rPr>
      </w:pPr>
      <w:r w:rsidRPr="00CD33A5">
        <w:rPr>
          <w:rFonts w:ascii="Calibri" w:hAnsi="Calibri"/>
          <w:i/>
          <w:color w:val="4472C4"/>
          <w:sz w:val="20"/>
          <w:szCs w:val="20"/>
          <w:lang w:val="en-GB"/>
        </w:rPr>
        <w:lastRenderedPageBreak/>
        <w:t>3.3.1 Market studies for the three non-</w:t>
      </w:r>
      <w:r>
        <w:rPr>
          <w:rFonts w:ascii="Calibri" w:hAnsi="Calibri"/>
          <w:i/>
          <w:color w:val="4472C4"/>
          <w:sz w:val="20"/>
          <w:szCs w:val="20"/>
          <w:lang w:val="en-GB"/>
        </w:rPr>
        <w:t>timber</w:t>
      </w:r>
      <w:r w:rsidRPr="00CD33A5">
        <w:rPr>
          <w:rFonts w:ascii="Calibri" w:hAnsi="Calibri"/>
          <w:i/>
          <w:color w:val="4472C4"/>
          <w:sz w:val="20"/>
          <w:szCs w:val="20"/>
          <w:lang w:val="en-GB"/>
        </w:rPr>
        <w:t xml:space="preserve"> forest products </w:t>
      </w:r>
      <w:r>
        <w:rPr>
          <w:rFonts w:ascii="Calibri" w:hAnsi="Calibri"/>
          <w:i/>
          <w:color w:val="4472C4"/>
          <w:sz w:val="20"/>
          <w:szCs w:val="20"/>
          <w:lang w:val="en-GB"/>
        </w:rPr>
        <w:t>value chains</w:t>
      </w:r>
    </w:p>
    <w:p w14:paraId="0D67E87E" w14:textId="77777777" w:rsidR="00302BFE" w:rsidRPr="00CD33A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CD33A5">
        <w:rPr>
          <w:rFonts w:ascii="Calibri" w:hAnsi="Calibri"/>
          <w:sz w:val="20"/>
          <w:szCs w:val="20"/>
          <w:lang w:val="en-GB"/>
        </w:rPr>
        <w:t xml:space="preserve">Market research for each product </w:t>
      </w:r>
      <w:r>
        <w:rPr>
          <w:rFonts w:ascii="Calibri" w:hAnsi="Calibri"/>
          <w:sz w:val="20"/>
          <w:szCs w:val="20"/>
          <w:lang w:val="en-GB"/>
        </w:rPr>
        <w:t>will be</w:t>
      </w:r>
      <w:r w:rsidRPr="00CD33A5">
        <w:rPr>
          <w:rFonts w:ascii="Calibri" w:hAnsi="Calibri"/>
          <w:sz w:val="20"/>
          <w:szCs w:val="20"/>
          <w:lang w:val="en-GB"/>
        </w:rPr>
        <w:t xml:space="preserve"> conducted to reduce uncertainties and risks and to know the chances of success before generating hope and engaging local communities. These market studies will have to be based on existing and recent data, supplemented as necessary by the search for additional information in the field. Studies should focus at a minimum on the analysis of supply for these products throughout the PONASI landscape and in the rest of the country, and the analysis of demand by a market study at national, sub</w:t>
      </w:r>
      <w:r>
        <w:rPr>
          <w:rFonts w:ascii="Calibri" w:hAnsi="Calibri"/>
          <w:sz w:val="20"/>
          <w:szCs w:val="20"/>
          <w:lang w:val="en-GB"/>
        </w:rPr>
        <w:t>-</w:t>
      </w:r>
      <w:r w:rsidRPr="00CD33A5">
        <w:rPr>
          <w:rFonts w:ascii="Calibri" w:hAnsi="Calibri"/>
          <w:sz w:val="20"/>
          <w:szCs w:val="20"/>
          <w:lang w:val="en-GB"/>
        </w:rPr>
        <w:t xml:space="preserve">regional (Mali, Ivory Coast, Ghana, Niger, Togo, Senegal) </w:t>
      </w:r>
      <w:r>
        <w:rPr>
          <w:rFonts w:ascii="Calibri" w:hAnsi="Calibri"/>
          <w:sz w:val="20"/>
          <w:szCs w:val="20"/>
          <w:lang w:val="en-GB"/>
        </w:rPr>
        <w:t xml:space="preserve">levels </w:t>
      </w:r>
      <w:r w:rsidRPr="00CD33A5">
        <w:rPr>
          <w:rFonts w:ascii="Calibri" w:hAnsi="Calibri"/>
          <w:sz w:val="20"/>
          <w:szCs w:val="20"/>
          <w:lang w:val="en-GB"/>
        </w:rPr>
        <w:t xml:space="preserve">for </w:t>
      </w:r>
      <w:r>
        <w:rPr>
          <w:rFonts w:ascii="Calibri" w:hAnsi="Calibri"/>
          <w:sz w:val="20"/>
          <w:szCs w:val="20"/>
          <w:lang w:val="en-GB"/>
        </w:rPr>
        <w:t xml:space="preserve">goine </w:t>
      </w:r>
      <w:r w:rsidRPr="00CD33A5">
        <w:rPr>
          <w:rFonts w:ascii="Calibri" w:hAnsi="Calibri"/>
          <w:sz w:val="20"/>
          <w:szCs w:val="20"/>
          <w:lang w:val="en-GB"/>
        </w:rPr>
        <w:t>liana juice and honey) and international (for organic shea butter).</w:t>
      </w:r>
    </w:p>
    <w:p w14:paraId="664EE112" w14:textId="18AA2489" w:rsidR="00302BFE" w:rsidRDefault="00302BFE" w:rsidP="00302BFE">
      <w:pPr>
        <w:pStyle w:val="Paragraphedeliste"/>
        <w:tabs>
          <w:tab w:val="left" w:pos="284"/>
        </w:tabs>
        <w:spacing w:before="120" w:after="120"/>
        <w:ind w:left="0"/>
        <w:jc w:val="both"/>
        <w:rPr>
          <w:rFonts w:ascii="Calibri" w:hAnsi="Calibri"/>
          <w:i/>
          <w:color w:val="4472C4"/>
          <w:sz w:val="20"/>
          <w:szCs w:val="20"/>
          <w:lang w:val="en-GB"/>
        </w:rPr>
      </w:pPr>
      <w:r w:rsidRPr="00CD33A5">
        <w:rPr>
          <w:rFonts w:ascii="Calibri" w:hAnsi="Calibri"/>
          <w:i/>
          <w:color w:val="4472C4"/>
          <w:sz w:val="20"/>
          <w:szCs w:val="20"/>
          <w:lang w:val="en-GB"/>
        </w:rPr>
        <w:t xml:space="preserve">3.3.2 Identification of priority beneficiaries </w:t>
      </w:r>
    </w:p>
    <w:p w14:paraId="52486A5E" w14:textId="1DAF04C3" w:rsidR="00047338" w:rsidRPr="00BE65D5" w:rsidRDefault="00047338" w:rsidP="00BE65D5">
      <w:pPr>
        <w:spacing w:before="120" w:after="120"/>
        <w:rPr>
          <w:iCs/>
          <w:color w:val="4472C4"/>
          <w:szCs w:val="20"/>
          <w:lang w:val="en-GB"/>
        </w:rPr>
      </w:pPr>
      <w:r w:rsidRPr="003F4704">
        <w:rPr>
          <w:iCs/>
          <w:color w:val="4472C4"/>
          <w:szCs w:val="20"/>
          <w:highlight w:val="green"/>
          <w:lang w:val="en-GB"/>
        </w:rPr>
        <w:t>For this activity, the FPIC (Free, Prior and Informed Consent) process has to be ensured</w:t>
      </w:r>
    </w:p>
    <w:p w14:paraId="7B1D4B53" w14:textId="77777777" w:rsidR="00302BFE" w:rsidRPr="00CD33A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CD33A5">
        <w:rPr>
          <w:rFonts w:ascii="Calibri" w:hAnsi="Calibri"/>
          <w:sz w:val="20"/>
          <w:szCs w:val="20"/>
          <w:lang w:val="en-GB"/>
        </w:rPr>
        <w:t>In line with the principles of support for the most vulnerable, gender equality and women's empowerment, and the principle of not doing conservation at the expense of the poorest, the project will ensure, with the support of the authorities and local communities, t</w:t>
      </w:r>
      <w:r>
        <w:rPr>
          <w:rFonts w:ascii="Calibri" w:hAnsi="Calibri"/>
          <w:sz w:val="20"/>
          <w:szCs w:val="20"/>
          <w:lang w:val="en-GB"/>
        </w:rPr>
        <w:t xml:space="preserve">he identification of </w:t>
      </w:r>
      <w:r w:rsidRPr="00CD33A5">
        <w:rPr>
          <w:rFonts w:ascii="Calibri" w:hAnsi="Calibri"/>
          <w:sz w:val="20"/>
          <w:szCs w:val="20"/>
          <w:lang w:val="en-GB"/>
        </w:rPr>
        <w:t xml:space="preserve"> segments of the population that are negatively affected by project interventions, including loss or reduction of access to resources through </w:t>
      </w:r>
      <w:r>
        <w:rPr>
          <w:rFonts w:ascii="Calibri" w:hAnsi="Calibri"/>
          <w:sz w:val="20"/>
          <w:szCs w:val="20"/>
          <w:lang w:val="en-GB"/>
        </w:rPr>
        <w:t xml:space="preserve">reinforced </w:t>
      </w:r>
      <w:r w:rsidRPr="00CD33A5">
        <w:rPr>
          <w:rFonts w:ascii="Calibri" w:hAnsi="Calibri"/>
          <w:sz w:val="20"/>
          <w:szCs w:val="20"/>
          <w:lang w:val="en-GB"/>
        </w:rPr>
        <w:t>access rules to corridors and protected areas, as well as 'respect</w:t>
      </w:r>
      <w:r>
        <w:rPr>
          <w:rFonts w:ascii="Calibri" w:hAnsi="Calibri"/>
          <w:sz w:val="20"/>
          <w:szCs w:val="20"/>
          <w:lang w:val="en-GB"/>
        </w:rPr>
        <w:t>ing</w:t>
      </w:r>
      <w:r w:rsidRPr="00CD33A5">
        <w:rPr>
          <w:rFonts w:ascii="Calibri" w:hAnsi="Calibri"/>
          <w:sz w:val="20"/>
          <w:szCs w:val="20"/>
          <w:lang w:val="en-GB"/>
        </w:rPr>
        <w:t xml:space="preserve"> a male-female ratio of 40-60 for all beneficiaries.</w:t>
      </w:r>
    </w:p>
    <w:p w14:paraId="2DDF9C8D" w14:textId="5267CEE3" w:rsidR="00302BFE" w:rsidRPr="00CD33A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CD33A5">
        <w:rPr>
          <w:rFonts w:ascii="Calibri" w:hAnsi="Calibri"/>
          <w:sz w:val="20"/>
          <w:szCs w:val="20"/>
          <w:lang w:val="en-GB"/>
        </w:rPr>
        <w:t>Project support will include prior information to women on the cooperative principles, obligations and privileges of cooperative societies and their members, and the process of setting up a cooperative prescribed by Law No. 014/99 /</w:t>
      </w:r>
      <w:r>
        <w:rPr>
          <w:rFonts w:ascii="Calibri" w:hAnsi="Calibri"/>
          <w:sz w:val="20"/>
          <w:szCs w:val="20"/>
          <w:lang w:val="en-GB"/>
        </w:rPr>
        <w:t>AN</w:t>
      </w:r>
      <w:r w:rsidR="006179D1">
        <w:rPr>
          <w:rFonts w:ascii="Calibri" w:hAnsi="Calibri"/>
          <w:sz w:val="20"/>
          <w:szCs w:val="20"/>
          <w:lang w:val="en-GB"/>
        </w:rPr>
        <w:t>,</w:t>
      </w:r>
      <w:r w:rsidR="007A2F81" w:rsidRPr="00A63E29">
        <w:rPr>
          <w:rFonts w:ascii="Calibri" w:hAnsi="Calibri"/>
          <w:sz w:val="20"/>
          <w:szCs w:val="20"/>
          <w:lang w:val="en-GB"/>
        </w:rPr>
        <w:t xml:space="preserve"> </w:t>
      </w:r>
      <w:r w:rsidR="009B5486" w:rsidRPr="00A63E29">
        <w:rPr>
          <w:rFonts w:ascii="Calibri" w:hAnsi="Calibri"/>
          <w:sz w:val="20"/>
          <w:szCs w:val="20"/>
          <w:highlight w:val="yellow"/>
          <w:lang w:val="en-GB"/>
        </w:rPr>
        <w:t>on the regulation of cooperative societies and groups in Burkina Faso</w:t>
      </w:r>
      <w:r w:rsidRPr="00A63E29">
        <w:rPr>
          <w:rFonts w:ascii="Calibri" w:hAnsi="Calibri"/>
          <w:sz w:val="20"/>
          <w:szCs w:val="20"/>
          <w:highlight w:val="yellow"/>
          <w:lang w:val="en-GB"/>
        </w:rPr>
        <w:t>.</w:t>
      </w:r>
      <w:r w:rsidRPr="00CD33A5">
        <w:rPr>
          <w:rFonts w:ascii="Calibri" w:hAnsi="Calibri"/>
          <w:sz w:val="20"/>
          <w:szCs w:val="20"/>
          <w:lang w:val="en-GB"/>
        </w:rPr>
        <w:t xml:space="preserve"> The prior information and awareness sessions are conducted with the help of national NGOs who have developed expertise in setting up these channels and supporting cooperatives to enable women and men (for honey) to confirm their interest in participating in the project proposals with a clear understanding of their interests and</w:t>
      </w:r>
      <w:r>
        <w:rPr>
          <w:rFonts w:ascii="Calibri" w:hAnsi="Calibri"/>
          <w:sz w:val="20"/>
          <w:szCs w:val="20"/>
          <w:lang w:val="en-GB"/>
        </w:rPr>
        <w:t xml:space="preserve"> in what they are committing themselves to</w:t>
      </w:r>
      <w:r w:rsidRPr="00CD33A5">
        <w:rPr>
          <w:rFonts w:ascii="Calibri" w:hAnsi="Calibri"/>
          <w:sz w:val="20"/>
          <w:szCs w:val="20"/>
          <w:lang w:val="en-GB"/>
        </w:rPr>
        <w:t>.</w:t>
      </w:r>
    </w:p>
    <w:p w14:paraId="76858830" w14:textId="5E56693B" w:rsidR="00302BFE" w:rsidRDefault="00302BFE" w:rsidP="00302BFE">
      <w:pPr>
        <w:pStyle w:val="Paragraphedeliste"/>
        <w:tabs>
          <w:tab w:val="left" w:pos="284"/>
        </w:tabs>
        <w:spacing w:before="120" w:after="120"/>
        <w:ind w:left="0"/>
        <w:jc w:val="both"/>
        <w:rPr>
          <w:rFonts w:ascii="Calibri" w:hAnsi="Calibri"/>
          <w:i/>
          <w:color w:val="4472C4"/>
          <w:sz w:val="20"/>
          <w:szCs w:val="20"/>
          <w:lang w:val="en-GB"/>
        </w:rPr>
      </w:pPr>
      <w:r w:rsidRPr="00CD33A5">
        <w:rPr>
          <w:rFonts w:ascii="Calibri" w:hAnsi="Calibri"/>
          <w:i/>
          <w:color w:val="4472C4"/>
          <w:sz w:val="20"/>
          <w:szCs w:val="20"/>
          <w:lang w:val="en-GB"/>
        </w:rPr>
        <w:t>3.3.3 Women and men beneficiaries are better structured through the establishment of four (4) functional cooperatives</w:t>
      </w:r>
    </w:p>
    <w:p w14:paraId="340FE5B5" w14:textId="6058AD4F" w:rsidR="00047338" w:rsidRPr="00047338" w:rsidRDefault="00047338" w:rsidP="00BE65D5">
      <w:pPr>
        <w:spacing w:before="120" w:after="120"/>
        <w:rPr>
          <w:iCs/>
          <w:color w:val="4472C4"/>
          <w:szCs w:val="20"/>
          <w:lang w:val="en-GB"/>
        </w:rPr>
      </w:pPr>
      <w:r w:rsidRPr="003F4704">
        <w:rPr>
          <w:iCs/>
          <w:color w:val="4472C4"/>
          <w:szCs w:val="20"/>
          <w:highlight w:val="green"/>
          <w:lang w:val="en-GB"/>
        </w:rPr>
        <w:t>For this activity, the FPIC (Free, Prior and Informed Consent) process has to be ensured</w:t>
      </w:r>
    </w:p>
    <w:p w14:paraId="7BC697C3" w14:textId="77777777" w:rsidR="00302BFE" w:rsidRPr="00CD33A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573EA9">
        <w:rPr>
          <w:rFonts w:ascii="Calibri" w:hAnsi="Calibri"/>
          <w:sz w:val="20"/>
          <w:szCs w:val="20"/>
          <w:lang w:val="en-GB"/>
        </w:rPr>
        <w:t xml:space="preserve">The project </w:t>
      </w:r>
      <w:r w:rsidRPr="00CD33A5">
        <w:rPr>
          <w:rFonts w:ascii="Calibri" w:hAnsi="Calibri"/>
          <w:sz w:val="20"/>
          <w:szCs w:val="20"/>
          <w:lang w:val="en-GB"/>
        </w:rPr>
        <w:t>will support the establishment of one (1) cooperative for the production of go</w:t>
      </w:r>
      <w:r>
        <w:rPr>
          <w:rFonts w:ascii="Calibri" w:hAnsi="Calibri"/>
          <w:sz w:val="20"/>
          <w:szCs w:val="20"/>
          <w:lang w:val="en-GB"/>
        </w:rPr>
        <w:t>ine</w:t>
      </w:r>
      <w:r w:rsidRPr="00CD33A5">
        <w:rPr>
          <w:rFonts w:ascii="Calibri" w:hAnsi="Calibri"/>
          <w:sz w:val="20"/>
          <w:szCs w:val="20"/>
          <w:lang w:val="en-GB"/>
        </w:rPr>
        <w:t xml:space="preserve"> liana juice in the </w:t>
      </w:r>
      <w:r>
        <w:rPr>
          <w:rFonts w:ascii="Calibri" w:hAnsi="Calibri"/>
          <w:sz w:val="20"/>
          <w:szCs w:val="20"/>
          <w:lang w:val="en-GB"/>
        </w:rPr>
        <w:t>commune</w:t>
      </w:r>
      <w:r w:rsidRPr="00CD33A5">
        <w:rPr>
          <w:rFonts w:ascii="Calibri" w:hAnsi="Calibri"/>
          <w:sz w:val="20"/>
          <w:szCs w:val="20"/>
          <w:lang w:val="en-GB"/>
        </w:rPr>
        <w:t xml:space="preserve"> of Nobéré, one (1) cooperative for the production of honey in the landscape area of PONASI, and two (2) cooperatives for the production of shea butter in the communes of Guiaro and Zabré-Zoaga. The project will support women and men who have confirmed their interest in the process of setting up the cooperative society, the recognition procedures, the establishment of statutes and </w:t>
      </w:r>
      <w:r>
        <w:rPr>
          <w:rFonts w:ascii="Calibri" w:hAnsi="Calibri"/>
          <w:sz w:val="20"/>
          <w:szCs w:val="20"/>
          <w:lang w:val="en-GB"/>
        </w:rPr>
        <w:t>rules of procedure</w:t>
      </w:r>
      <w:r w:rsidRPr="00CD33A5">
        <w:rPr>
          <w:rFonts w:ascii="Calibri" w:hAnsi="Calibri"/>
          <w:sz w:val="20"/>
          <w:szCs w:val="20"/>
          <w:lang w:val="en-GB"/>
        </w:rPr>
        <w:t>, the organization and operation of the cooperative including financial management and individual memberships to the cooperative.</w:t>
      </w:r>
    </w:p>
    <w:p w14:paraId="0CB91DA3" w14:textId="44FDA4BD" w:rsidR="00302BFE" w:rsidRDefault="00302BFE" w:rsidP="00302BFE">
      <w:pPr>
        <w:pStyle w:val="Paragraphedeliste"/>
        <w:tabs>
          <w:tab w:val="left" w:pos="284"/>
        </w:tabs>
        <w:spacing w:before="120" w:after="120"/>
        <w:ind w:left="0"/>
        <w:jc w:val="both"/>
        <w:rPr>
          <w:rFonts w:ascii="Calibri" w:hAnsi="Calibri"/>
          <w:i/>
          <w:color w:val="4472C4"/>
          <w:sz w:val="20"/>
          <w:szCs w:val="20"/>
          <w:lang w:val="en-GB"/>
        </w:rPr>
      </w:pPr>
      <w:r w:rsidRPr="00CD33A5">
        <w:rPr>
          <w:rFonts w:ascii="Calibri" w:hAnsi="Calibri"/>
          <w:i/>
          <w:color w:val="4472C4"/>
          <w:sz w:val="20"/>
          <w:szCs w:val="20"/>
          <w:lang w:val="en-GB"/>
        </w:rPr>
        <w:t xml:space="preserve">3.3.4 The capacities of women and men beneficiaries are </w:t>
      </w:r>
      <w:r>
        <w:rPr>
          <w:rFonts w:ascii="Calibri" w:hAnsi="Calibri"/>
          <w:i/>
          <w:color w:val="4472C4"/>
          <w:sz w:val="20"/>
          <w:szCs w:val="20"/>
          <w:lang w:val="en-GB"/>
        </w:rPr>
        <w:t>built</w:t>
      </w:r>
      <w:r w:rsidRPr="00CD33A5">
        <w:rPr>
          <w:rFonts w:ascii="Calibri" w:hAnsi="Calibri"/>
          <w:i/>
          <w:color w:val="4472C4"/>
          <w:sz w:val="20"/>
          <w:szCs w:val="20"/>
          <w:lang w:val="en-GB"/>
        </w:rPr>
        <w:t xml:space="preserve"> by technical training</w:t>
      </w:r>
    </w:p>
    <w:p w14:paraId="51A5B5DC" w14:textId="448874E6" w:rsidR="00047338" w:rsidRPr="00047338" w:rsidRDefault="00047338" w:rsidP="00BE65D5">
      <w:pPr>
        <w:spacing w:before="120" w:after="120"/>
        <w:rPr>
          <w:iCs/>
          <w:color w:val="4472C4"/>
          <w:szCs w:val="20"/>
          <w:lang w:val="en-GB"/>
        </w:rPr>
      </w:pPr>
      <w:r w:rsidRPr="003F4704">
        <w:rPr>
          <w:iCs/>
          <w:color w:val="4472C4"/>
          <w:szCs w:val="20"/>
          <w:highlight w:val="green"/>
          <w:lang w:val="en-GB"/>
        </w:rPr>
        <w:t>For this activity, the FPIC (Free, Prior and Informed Consent) process has to be ensured</w:t>
      </w:r>
    </w:p>
    <w:p w14:paraId="34B2AB31" w14:textId="77777777" w:rsidR="00302BFE" w:rsidRPr="00CD33A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CD33A5">
        <w:rPr>
          <w:rFonts w:ascii="Calibri" w:hAnsi="Calibri"/>
          <w:sz w:val="20"/>
          <w:szCs w:val="20"/>
          <w:lang w:val="en-GB"/>
        </w:rPr>
        <w:t xml:space="preserve">The capacities of women and men beneficiaries are </w:t>
      </w:r>
      <w:r>
        <w:rPr>
          <w:rFonts w:ascii="Calibri" w:hAnsi="Calibri"/>
          <w:sz w:val="20"/>
          <w:szCs w:val="20"/>
          <w:lang w:val="en-GB"/>
        </w:rPr>
        <w:t>built</w:t>
      </w:r>
      <w:r w:rsidRPr="00CD33A5">
        <w:rPr>
          <w:rFonts w:ascii="Calibri" w:hAnsi="Calibri"/>
          <w:sz w:val="20"/>
          <w:szCs w:val="20"/>
          <w:lang w:val="en-GB"/>
        </w:rPr>
        <w:t xml:space="preserve"> by technical training to ensure the sustainability of the resources exploited, ensure product quality that meets the standards of the target markets and the desired certifications (organic and fair), and improve </w:t>
      </w:r>
      <w:r>
        <w:rPr>
          <w:rFonts w:ascii="Calibri" w:hAnsi="Calibri"/>
          <w:sz w:val="20"/>
          <w:szCs w:val="20"/>
          <w:lang w:val="en-GB"/>
        </w:rPr>
        <w:t>the</w:t>
      </w:r>
      <w:r w:rsidRPr="00CD33A5">
        <w:rPr>
          <w:rFonts w:ascii="Calibri" w:hAnsi="Calibri"/>
          <w:sz w:val="20"/>
          <w:szCs w:val="20"/>
          <w:lang w:val="en-GB"/>
        </w:rPr>
        <w:t xml:space="preserve"> profitability of the</w:t>
      </w:r>
      <w:r>
        <w:rPr>
          <w:rFonts w:ascii="Calibri" w:hAnsi="Calibri"/>
          <w:sz w:val="20"/>
          <w:szCs w:val="20"/>
          <w:lang w:val="en-GB"/>
        </w:rPr>
        <w:t xml:space="preserve"> value chains</w:t>
      </w:r>
      <w:r w:rsidRPr="00CD33A5">
        <w:rPr>
          <w:rFonts w:ascii="Calibri" w:hAnsi="Calibri"/>
          <w:sz w:val="20"/>
          <w:szCs w:val="20"/>
          <w:lang w:val="en-GB"/>
        </w:rPr>
        <w:t>. The sustainability of the benefits of local communities will largely depend on the commitment of beneficiary groups to ensure the quality of products, as well as the prevention of potential detrimental effects of value chain development on harvested biological resources. Training will be provided by NGOs and associations working in these areas and supporting cooperatives, and will focus on, but not limited to:</w:t>
      </w:r>
    </w:p>
    <w:p w14:paraId="455E3A63" w14:textId="77777777" w:rsidR="00302BFE" w:rsidRPr="00CD33A5" w:rsidRDefault="00302BFE" w:rsidP="00C46720">
      <w:pPr>
        <w:pStyle w:val="Paragraphedeliste"/>
        <w:numPr>
          <w:ilvl w:val="0"/>
          <w:numId w:val="23"/>
        </w:numPr>
        <w:spacing w:after="120"/>
        <w:contextualSpacing/>
        <w:rPr>
          <w:rFonts w:ascii="Calibri" w:hAnsi="Calibri"/>
          <w:sz w:val="20"/>
          <w:szCs w:val="20"/>
          <w:lang w:val="en-GB"/>
        </w:rPr>
      </w:pPr>
      <w:r w:rsidRPr="00CD33A5">
        <w:rPr>
          <w:rFonts w:ascii="Calibri" w:hAnsi="Calibri"/>
          <w:sz w:val="20"/>
          <w:szCs w:val="20"/>
          <w:lang w:val="en-GB"/>
        </w:rPr>
        <w:t>Good practices for a collection of fruits (goïne</w:t>
      </w:r>
      <w:r>
        <w:rPr>
          <w:rFonts w:ascii="Calibri" w:hAnsi="Calibri"/>
          <w:sz w:val="20"/>
          <w:szCs w:val="20"/>
          <w:lang w:val="en-GB"/>
        </w:rPr>
        <w:t xml:space="preserve"> liana</w:t>
      </w:r>
      <w:r w:rsidRPr="00CD33A5">
        <w:rPr>
          <w:rFonts w:ascii="Calibri" w:hAnsi="Calibri"/>
          <w:sz w:val="20"/>
          <w:szCs w:val="20"/>
          <w:lang w:val="en-GB"/>
        </w:rPr>
        <w:t xml:space="preserve"> and shea) respectful of the resource and which does not compromise its regeneration in a natural environment; Prevention of adverse environmental impacts; Compliance with laws, regulations and agreements concerning access to protected areas and the use of their resources;</w:t>
      </w:r>
    </w:p>
    <w:p w14:paraId="4AF2BBA9" w14:textId="77777777" w:rsidR="00302BFE" w:rsidRPr="00CD33A5" w:rsidRDefault="00302BFE" w:rsidP="00C46720">
      <w:pPr>
        <w:pStyle w:val="Paragraphedeliste"/>
        <w:numPr>
          <w:ilvl w:val="0"/>
          <w:numId w:val="23"/>
        </w:numPr>
        <w:spacing w:after="120"/>
        <w:contextualSpacing/>
        <w:rPr>
          <w:rFonts w:ascii="Calibri" w:hAnsi="Calibri"/>
          <w:sz w:val="20"/>
          <w:szCs w:val="20"/>
          <w:lang w:val="en-GB"/>
        </w:rPr>
      </w:pPr>
      <w:r w:rsidRPr="00CD33A5">
        <w:rPr>
          <w:rFonts w:ascii="Calibri" w:hAnsi="Calibri"/>
          <w:sz w:val="20"/>
          <w:szCs w:val="20"/>
          <w:lang w:val="en-GB"/>
        </w:rPr>
        <w:lastRenderedPageBreak/>
        <w:t>Good practices for reducing post-harvest and storage losses; processing techniques; health aspects, standards of quality and hygiene; packaging and presentation to optimize product quality conservation;</w:t>
      </w:r>
    </w:p>
    <w:p w14:paraId="5D16181C" w14:textId="77777777" w:rsidR="00302BFE" w:rsidRPr="00CD33A5" w:rsidRDefault="00302BFE" w:rsidP="00C46720">
      <w:pPr>
        <w:pStyle w:val="Paragraphedeliste"/>
        <w:numPr>
          <w:ilvl w:val="0"/>
          <w:numId w:val="23"/>
        </w:numPr>
        <w:spacing w:after="120"/>
        <w:contextualSpacing/>
        <w:rPr>
          <w:rFonts w:ascii="Calibri" w:hAnsi="Calibri"/>
          <w:sz w:val="20"/>
          <w:szCs w:val="20"/>
          <w:lang w:val="en-GB"/>
        </w:rPr>
      </w:pPr>
      <w:r w:rsidRPr="00CD33A5">
        <w:rPr>
          <w:rFonts w:ascii="Calibri" w:hAnsi="Calibri"/>
          <w:sz w:val="20"/>
          <w:szCs w:val="20"/>
          <w:lang w:val="en-GB"/>
        </w:rPr>
        <w:t>Micro entrepreneurship: microenterprise establishment and management and financial education; tips for writing a business plan; preparation of files to access microfinance; support for start-up and implementation of activities, and monitoring the repayment of microcredit;</w:t>
      </w:r>
    </w:p>
    <w:p w14:paraId="33A7E295" w14:textId="77777777" w:rsidR="00302BFE" w:rsidRPr="00CD33A5" w:rsidRDefault="00302BFE" w:rsidP="00C46720">
      <w:pPr>
        <w:pStyle w:val="Paragraphedeliste"/>
        <w:numPr>
          <w:ilvl w:val="0"/>
          <w:numId w:val="23"/>
        </w:numPr>
        <w:spacing w:after="120"/>
        <w:contextualSpacing/>
        <w:rPr>
          <w:rFonts w:ascii="Calibri" w:hAnsi="Calibri"/>
          <w:sz w:val="20"/>
          <w:szCs w:val="20"/>
          <w:lang w:val="en-GB"/>
        </w:rPr>
      </w:pPr>
      <w:r>
        <w:rPr>
          <w:rFonts w:ascii="Calibri" w:hAnsi="Calibri"/>
          <w:sz w:val="20"/>
          <w:szCs w:val="20"/>
          <w:lang w:val="en-GB"/>
        </w:rPr>
        <w:t>Fair</w:t>
      </w:r>
      <w:r w:rsidRPr="00CD33A5">
        <w:rPr>
          <w:rFonts w:ascii="Calibri" w:hAnsi="Calibri"/>
          <w:sz w:val="20"/>
          <w:szCs w:val="20"/>
          <w:lang w:val="en-GB"/>
        </w:rPr>
        <w:t xml:space="preserve"> supply chains: </w:t>
      </w:r>
      <w:r>
        <w:rPr>
          <w:rFonts w:ascii="Calibri" w:hAnsi="Calibri"/>
          <w:sz w:val="20"/>
          <w:szCs w:val="20"/>
          <w:lang w:val="en-GB"/>
        </w:rPr>
        <w:t>fair</w:t>
      </w:r>
      <w:r w:rsidRPr="00CD33A5">
        <w:rPr>
          <w:rFonts w:ascii="Calibri" w:hAnsi="Calibri"/>
          <w:sz w:val="20"/>
          <w:szCs w:val="20"/>
          <w:lang w:val="en-GB"/>
        </w:rPr>
        <w:t xml:space="preserve"> sharing of benefits within value chains, especially for collectors and their communities; promotion of fair contractual relations between operators and collectors; fair working conditions for all workers; commitment of the buyer;</w:t>
      </w:r>
    </w:p>
    <w:p w14:paraId="4AAC43FF" w14:textId="77777777" w:rsidR="00302BFE" w:rsidRPr="00CD33A5" w:rsidRDefault="00302BFE" w:rsidP="00C46720">
      <w:pPr>
        <w:pStyle w:val="Paragraphedeliste"/>
        <w:numPr>
          <w:ilvl w:val="0"/>
          <w:numId w:val="23"/>
        </w:numPr>
        <w:spacing w:after="120"/>
        <w:contextualSpacing/>
        <w:jc w:val="both"/>
        <w:rPr>
          <w:rFonts w:ascii="Calibri" w:hAnsi="Calibri"/>
          <w:sz w:val="20"/>
          <w:szCs w:val="20"/>
          <w:lang w:val="en-GB"/>
        </w:rPr>
      </w:pPr>
      <w:r w:rsidRPr="00CD33A5">
        <w:rPr>
          <w:rFonts w:ascii="Calibri" w:hAnsi="Calibri"/>
          <w:sz w:val="20"/>
          <w:szCs w:val="20"/>
          <w:lang w:val="en-GB"/>
        </w:rPr>
        <w:t>Training and supervision of cooperatives for the development and implementation of business development plans (PDEs),</w:t>
      </w:r>
      <w:r>
        <w:rPr>
          <w:rFonts w:ascii="Calibri" w:hAnsi="Calibri"/>
          <w:sz w:val="20"/>
          <w:szCs w:val="20"/>
          <w:lang w:val="en-GB"/>
        </w:rPr>
        <w:t xml:space="preserve"> in</w:t>
      </w:r>
      <w:r w:rsidRPr="00CD33A5">
        <w:rPr>
          <w:rFonts w:ascii="Calibri" w:hAnsi="Calibri"/>
          <w:sz w:val="20"/>
          <w:szCs w:val="20"/>
          <w:lang w:val="en-GB"/>
        </w:rPr>
        <w:t xml:space="preserve"> market analysis and development and </w:t>
      </w:r>
      <w:r>
        <w:rPr>
          <w:rFonts w:ascii="Calibri" w:hAnsi="Calibri"/>
          <w:sz w:val="20"/>
          <w:szCs w:val="20"/>
          <w:lang w:val="en-GB"/>
        </w:rPr>
        <w:t xml:space="preserve">in </w:t>
      </w:r>
      <w:r w:rsidRPr="00292A05">
        <w:rPr>
          <w:rFonts w:ascii="Calibri" w:hAnsi="Calibri"/>
          <w:i/>
          <w:sz w:val="20"/>
          <w:szCs w:val="20"/>
          <w:lang w:val="en-GB"/>
        </w:rPr>
        <w:t>the Making Markets Work for the Poor</w:t>
      </w:r>
      <w:r w:rsidRPr="00CD33A5">
        <w:rPr>
          <w:rFonts w:ascii="Calibri" w:hAnsi="Calibri"/>
          <w:sz w:val="20"/>
          <w:szCs w:val="20"/>
          <w:lang w:val="en-GB"/>
        </w:rPr>
        <w:t xml:space="preserve"> (M4P) approach, in marketing and business relationship development</w:t>
      </w:r>
    </w:p>
    <w:p w14:paraId="4DB96D9F" w14:textId="41F9814F" w:rsidR="00302BFE" w:rsidRDefault="00302BFE" w:rsidP="00302BFE">
      <w:pPr>
        <w:spacing w:before="120" w:after="120"/>
        <w:rPr>
          <w:i/>
          <w:color w:val="4472C4"/>
          <w:szCs w:val="20"/>
          <w:lang w:val="en-GB"/>
        </w:rPr>
      </w:pPr>
      <w:r w:rsidRPr="00CD33A5">
        <w:rPr>
          <w:i/>
          <w:color w:val="4472C4"/>
          <w:szCs w:val="20"/>
          <w:lang w:val="en-GB"/>
        </w:rPr>
        <w:t>3.3.5 Securing access to resources that support value chains and their sustainability to maximize revenue</w:t>
      </w:r>
    </w:p>
    <w:p w14:paraId="0E683ED1" w14:textId="0AAD5DA3" w:rsidR="00047338" w:rsidRPr="00BE65D5" w:rsidRDefault="00047338" w:rsidP="00302BFE">
      <w:pPr>
        <w:spacing w:before="120" w:after="120"/>
        <w:rPr>
          <w:iCs/>
          <w:color w:val="4472C4"/>
          <w:szCs w:val="20"/>
          <w:lang w:val="en-GB"/>
        </w:rPr>
      </w:pPr>
      <w:r w:rsidRPr="003F4704">
        <w:rPr>
          <w:iCs/>
          <w:color w:val="4472C4"/>
          <w:szCs w:val="20"/>
          <w:highlight w:val="green"/>
          <w:lang w:val="en-GB"/>
        </w:rPr>
        <w:t>For this activity, the FPIC (Free, Prior and Informed Consent) process has to be ensured</w:t>
      </w:r>
    </w:p>
    <w:p w14:paraId="5DAF3A63" w14:textId="77777777" w:rsidR="00302BFE" w:rsidRPr="00CD33A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CD33A5">
        <w:rPr>
          <w:rFonts w:ascii="Calibri" w:hAnsi="Calibri"/>
          <w:sz w:val="20"/>
          <w:szCs w:val="20"/>
          <w:lang w:val="en-GB"/>
        </w:rPr>
        <w:t>The project will support the identification and delineation of production areas in corridors 1 and 2, the development of agreements and specifications to secure access to resources for members of the cooperative, supervise activities and ensure their sustainability. Production areas will be negotiated with the local authorities (village chief, chief of land), de</w:t>
      </w:r>
      <w:r>
        <w:rPr>
          <w:rFonts w:ascii="Calibri" w:hAnsi="Calibri"/>
          <w:sz w:val="20"/>
          <w:szCs w:val="20"/>
          <w:lang w:val="en-GB"/>
        </w:rPr>
        <w:t>lineated</w:t>
      </w:r>
      <w:r w:rsidRPr="00CD33A5">
        <w:rPr>
          <w:rFonts w:ascii="Calibri" w:hAnsi="Calibri"/>
          <w:sz w:val="20"/>
          <w:szCs w:val="20"/>
          <w:lang w:val="en-GB"/>
        </w:rPr>
        <w:t xml:space="preserve"> and certified for the production of organic shea for the benefit of the groups of women involved. The collection of NTFPs in forests will be preceded by an assessment of the sustainable production capacity of the resource used.</w:t>
      </w:r>
    </w:p>
    <w:p w14:paraId="265FC8B3" w14:textId="77777777" w:rsidR="00302BFE" w:rsidRPr="00CD33A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CD33A5">
        <w:rPr>
          <w:rFonts w:ascii="Calibri" w:hAnsi="Calibri"/>
          <w:sz w:val="20"/>
          <w:szCs w:val="20"/>
          <w:lang w:val="en-GB"/>
        </w:rPr>
        <w:t>A consultant specializing in organic and fair certification will assist cooperatives in the process of organic and fair certification of production areas and shea products. G</w:t>
      </w:r>
      <w:r>
        <w:rPr>
          <w:rFonts w:ascii="Calibri" w:hAnsi="Calibri"/>
          <w:sz w:val="20"/>
          <w:szCs w:val="20"/>
          <w:lang w:val="en-GB"/>
        </w:rPr>
        <w:t>oine</w:t>
      </w:r>
      <w:r w:rsidRPr="00CD33A5">
        <w:rPr>
          <w:rFonts w:ascii="Calibri" w:hAnsi="Calibri"/>
          <w:sz w:val="20"/>
          <w:szCs w:val="20"/>
          <w:lang w:val="en-GB"/>
        </w:rPr>
        <w:t xml:space="preserve"> liana fruits will come from several production sites and honey will be produced in scattered sites in other communes that do not directly benefit from shea and liana juice units, and it would be tedious and too expensive to </w:t>
      </w:r>
      <w:r>
        <w:rPr>
          <w:rFonts w:ascii="Calibri" w:hAnsi="Calibri"/>
          <w:sz w:val="20"/>
          <w:szCs w:val="20"/>
          <w:lang w:val="en-GB"/>
        </w:rPr>
        <w:t xml:space="preserve">undertake the </w:t>
      </w:r>
      <w:r w:rsidRPr="00CD33A5">
        <w:rPr>
          <w:rFonts w:ascii="Calibri" w:hAnsi="Calibri"/>
          <w:sz w:val="20"/>
          <w:szCs w:val="20"/>
          <w:lang w:val="en-GB"/>
        </w:rPr>
        <w:t xml:space="preserve">certification of all these sites </w:t>
      </w:r>
      <w:r>
        <w:rPr>
          <w:rFonts w:ascii="Calibri" w:hAnsi="Calibri"/>
          <w:sz w:val="20"/>
          <w:szCs w:val="20"/>
          <w:lang w:val="en-GB"/>
        </w:rPr>
        <w:t>in the framework</w:t>
      </w:r>
      <w:r w:rsidRPr="00CD33A5">
        <w:rPr>
          <w:rFonts w:ascii="Calibri" w:hAnsi="Calibri"/>
          <w:sz w:val="20"/>
          <w:szCs w:val="20"/>
          <w:lang w:val="en-GB"/>
        </w:rPr>
        <w:t xml:space="preserve"> of the project. Thus, at first, only fair</w:t>
      </w:r>
      <w:r>
        <w:rPr>
          <w:rFonts w:ascii="Calibri" w:hAnsi="Calibri"/>
          <w:sz w:val="20"/>
          <w:szCs w:val="20"/>
          <w:lang w:val="en-GB"/>
        </w:rPr>
        <w:t xml:space="preserve"> and organic</w:t>
      </w:r>
      <w:r w:rsidRPr="00CD33A5">
        <w:rPr>
          <w:rFonts w:ascii="Calibri" w:hAnsi="Calibri"/>
          <w:sz w:val="20"/>
          <w:szCs w:val="20"/>
          <w:lang w:val="en-GB"/>
        </w:rPr>
        <w:t xml:space="preserve"> butter will be considered. The project will also combine the valorisation of NTFPs with the </w:t>
      </w:r>
      <w:r>
        <w:rPr>
          <w:rFonts w:ascii="Calibri" w:hAnsi="Calibri"/>
          <w:sz w:val="20"/>
          <w:szCs w:val="20"/>
          <w:lang w:val="en-GB"/>
        </w:rPr>
        <w:t>REDD+</w:t>
      </w:r>
      <w:r w:rsidRPr="00CD33A5">
        <w:rPr>
          <w:rFonts w:ascii="Calibri" w:hAnsi="Calibri"/>
          <w:sz w:val="20"/>
          <w:szCs w:val="20"/>
          <w:lang w:val="en-GB"/>
        </w:rPr>
        <w:t xml:space="preserve"> approach and other opportunities related to the financing of "green" activities».</w:t>
      </w:r>
    </w:p>
    <w:p w14:paraId="43A3419C" w14:textId="37EDE7AB" w:rsidR="00302BFE" w:rsidRDefault="00302BFE" w:rsidP="00302BFE">
      <w:pPr>
        <w:pStyle w:val="Paragraphedeliste"/>
        <w:tabs>
          <w:tab w:val="left" w:pos="284"/>
        </w:tabs>
        <w:spacing w:before="120" w:after="120"/>
        <w:ind w:left="0"/>
        <w:jc w:val="both"/>
        <w:rPr>
          <w:rFonts w:ascii="Calibri" w:hAnsi="Calibri"/>
          <w:i/>
          <w:color w:val="4472C4"/>
          <w:sz w:val="20"/>
          <w:szCs w:val="20"/>
          <w:lang w:val="en-GB"/>
        </w:rPr>
      </w:pPr>
      <w:r w:rsidRPr="00CD33A5">
        <w:rPr>
          <w:rFonts w:ascii="Calibri" w:hAnsi="Calibri"/>
          <w:i/>
          <w:color w:val="4472C4"/>
          <w:sz w:val="20"/>
          <w:szCs w:val="20"/>
          <w:lang w:val="en-GB"/>
        </w:rPr>
        <w:t>3.3.6 Support to the production activity</w:t>
      </w:r>
    </w:p>
    <w:p w14:paraId="3CDD6077" w14:textId="5C3B9E95" w:rsidR="00047338" w:rsidRPr="00047338" w:rsidRDefault="00047338" w:rsidP="00BE65D5">
      <w:pPr>
        <w:spacing w:before="120" w:after="120"/>
        <w:rPr>
          <w:iCs/>
          <w:color w:val="4472C4"/>
          <w:szCs w:val="20"/>
          <w:lang w:val="en-GB"/>
        </w:rPr>
      </w:pPr>
      <w:r w:rsidRPr="003F4704">
        <w:rPr>
          <w:iCs/>
          <w:color w:val="4472C4"/>
          <w:szCs w:val="20"/>
          <w:highlight w:val="green"/>
          <w:lang w:val="en-GB"/>
        </w:rPr>
        <w:t>For this activity, the FPIC (Free, Prior and Informed Consent) process has to be ensured</w:t>
      </w:r>
    </w:p>
    <w:p w14:paraId="6918DB8E" w14:textId="0AEC1697" w:rsidR="00302BFE" w:rsidRPr="00CD33A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CD33A5">
        <w:rPr>
          <w:rFonts w:ascii="Calibri" w:hAnsi="Calibri"/>
          <w:sz w:val="20"/>
          <w:szCs w:val="20"/>
          <w:lang w:val="en-GB"/>
        </w:rPr>
        <w:t>The project will facilitate the establishment of a partnership with a microfinance institution established in the PONASI landscape area to support the development of innovative financial products and services tailored to the needs of producers to facilitate equipment of processing companies</w:t>
      </w:r>
      <w:r w:rsidRPr="00A63E29">
        <w:rPr>
          <w:rFonts w:ascii="Calibri" w:hAnsi="Calibri"/>
          <w:sz w:val="20"/>
          <w:szCs w:val="20"/>
          <w:highlight w:val="yellow"/>
          <w:lang w:val="en-GB"/>
        </w:rPr>
        <w:t xml:space="preserve">. </w:t>
      </w:r>
      <w:r w:rsidR="004F2F0C" w:rsidRPr="00A63E29">
        <w:rPr>
          <w:rFonts w:ascii="Calibri" w:hAnsi="Calibri"/>
          <w:sz w:val="20"/>
          <w:szCs w:val="20"/>
          <w:highlight w:val="yellow"/>
          <w:lang w:val="en-GB"/>
        </w:rPr>
        <w:t>Producers could be accompanied in the elaboration of a business development plan (BDP)</w:t>
      </w:r>
      <w:r w:rsidR="00E91148">
        <w:rPr>
          <w:rFonts w:ascii="Calibri" w:hAnsi="Calibri"/>
          <w:sz w:val="20"/>
          <w:szCs w:val="20"/>
          <w:lang w:val="en-GB"/>
        </w:rPr>
        <w:t xml:space="preserve">. </w:t>
      </w:r>
      <w:r w:rsidRPr="00CD33A5">
        <w:rPr>
          <w:rFonts w:ascii="Calibri" w:hAnsi="Calibri"/>
          <w:sz w:val="20"/>
          <w:szCs w:val="20"/>
          <w:lang w:val="en-GB"/>
        </w:rPr>
        <w:t>This institution will ideally provide training for members of cooperatives and their supervision in the process of obtaining and managing a microcredit, including its reimbursement.</w:t>
      </w:r>
    </w:p>
    <w:p w14:paraId="79ABC746" w14:textId="77777777" w:rsidR="00302BFE" w:rsidRPr="00CD33A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CD33A5">
        <w:rPr>
          <w:rFonts w:ascii="Calibri" w:hAnsi="Calibri"/>
          <w:sz w:val="20"/>
          <w:szCs w:val="20"/>
          <w:lang w:val="en-GB"/>
        </w:rPr>
        <w:t>For each of the cooperatives, the project will provide support for the construction of buildings used to house the production units by supplying the materials, while the beneficiary associations will provide the labour. The project will contribute to the equipment of the cooperatives (i) for the processing of go</w:t>
      </w:r>
      <w:r>
        <w:rPr>
          <w:rFonts w:ascii="Calibri" w:hAnsi="Calibri"/>
          <w:sz w:val="20"/>
          <w:szCs w:val="20"/>
          <w:lang w:val="en-GB"/>
        </w:rPr>
        <w:t>ine</w:t>
      </w:r>
      <w:r w:rsidRPr="00CD33A5">
        <w:rPr>
          <w:rFonts w:ascii="Calibri" w:hAnsi="Calibri"/>
          <w:sz w:val="20"/>
          <w:szCs w:val="20"/>
          <w:lang w:val="en-GB"/>
        </w:rPr>
        <w:t xml:space="preserve"> liana fruits for the acquisition of the equipment necessary for the extraction of the juice and its bottling, (ii) for the production of honey for the acquisition of hives and </w:t>
      </w:r>
      <w:r>
        <w:rPr>
          <w:rFonts w:ascii="Calibri" w:hAnsi="Calibri"/>
          <w:sz w:val="20"/>
          <w:szCs w:val="20"/>
          <w:lang w:val="en-GB"/>
        </w:rPr>
        <w:t>mounts</w:t>
      </w:r>
      <w:r w:rsidRPr="00CD33A5">
        <w:rPr>
          <w:rFonts w:ascii="Calibri" w:hAnsi="Calibri"/>
          <w:sz w:val="20"/>
          <w:szCs w:val="20"/>
          <w:lang w:val="en-GB"/>
        </w:rPr>
        <w:t>, stainless steel extractors, filters, and protecti</w:t>
      </w:r>
      <w:r>
        <w:rPr>
          <w:rFonts w:ascii="Calibri" w:hAnsi="Calibri"/>
          <w:sz w:val="20"/>
          <w:szCs w:val="20"/>
          <w:lang w:val="en-GB"/>
        </w:rPr>
        <w:t>on</w:t>
      </w:r>
      <w:r w:rsidRPr="00CD33A5">
        <w:rPr>
          <w:rFonts w:ascii="Calibri" w:hAnsi="Calibri"/>
          <w:sz w:val="20"/>
          <w:szCs w:val="20"/>
          <w:lang w:val="en-GB"/>
        </w:rPr>
        <w:t xml:space="preserve"> equipment, and (iii) shea butter processing for the acquisition of technical equipment: churn, shea butter roaster, stainless steel crusher, stainless steel mill , engine, stainless steel</w:t>
      </w:r>
      <w:r>
        <w:rPr>
          <w:rFonts w:ascii="Calibri" w:hAnsi="Calibri"/>
          <w:sz w:val="20"/>
          <w:szCs w:val="20"/>
          <w:lang w:val="en-GB"/>
        </w:rPr>
        <w:t xml:space="preserve"> manual packaging</w:t>
      </w:r>
      <w:r w:rsidRPr="009C4F02">
        <w:rPr>
          <w:rFonts w:ascii="Calibri" w:hAnsi="Calibri"/>
          <w:sz w:val="20"/>
          <w:szCs w:val="20"/>
          <w:lang w:val="en-GB"/>
        </w:rPr>
        <w:t xml:space="preserve"> </w:t>
      </w:r>
      <w:r w:rsidRPr="00CD33A5">
        <w:rPr>
          <w:rFonts w:ascii="Calibri" w:hAnsi="Calibri"/>
          <w:sz w:val="20"/>
          <w:szCs w:val="20"/>
          <w:lang w:val="en-GB"/>
        </w:rPr>
        <w:t xml:space="preserve">filter, </w:t>
      </w:r>
      <w:r>
        <w:rPr>
          <w:rFonts w:ascii="Calibri" w:hAnsi="Calibri"/>
          <w:sz w:val="20"/>
          <w:szCs w:val="20"/>
          <w:lang w:val="en-GB"/>
        </w:rPr>
        <w:t>stock pots</w:t>
      </w:r>
      <w:r w:rsidRPr="00CD33A5">
        <w:rPr>
          <w:rFonts w:ascii="Calibri" w:hAnsi="Calibri"/>
          <w:sz w:val="20"/>
          <w:szCs w:val="20"/>
          <w:lang w:val="en-GB"/>
        </w:rPr>
        <w:t>, barrel, energy saving fire</w:t>
      </w:r>
      <w:r>
        <w:rPr>
          <w:rFonts w:ascii="Calibri" w:hAnsi="Calibri"/>
          <w:sz w:val="20"/>
          <w:szCs w:val="20"/>
          <w:lang w:val="en-GB"/>
        </w:rPr>
        <w:t xml:space="preserve"> stove</w:t>
      </w:r>
      <w:r w:rsidRPr="00CD33A5">
        <w:rPr>
          <w:rFonts w:ascii="Calibri" w:hAnsi="Calibri"/>
          <w:sz w:val="20"/>
          <w:szCs w:val="20"/>
          <w:lang w:val="en-GB"/>
        </w:rPr>
        <w:t>, briquetting machine for briquetting residues.</w:t>
      </w:r>
    </w:p>
    <w:p w14:paraId="4E08CFD3" w14:textId="77777777" w:rsidR="00302BFE" w:rsidRPr="00CD33A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CD33A5">
        <w:rPr>
          <w:rFonts w:ascii="Calibri" w:hAnsi="Calibri"/>
          <w:sz w:val="20"/>
          <w:szCs w:val="20"/>
          <w:lang w:val="en-GB"/>
        </w:rPr>
        <w:t xml:space="preserve">These actions will benefit from similar projects conducted by other structures in the field which constitute co-financing for the project. Examples include: (i) conservation and sustainable use of forest products, including beekeeping in the Nazinga area by the NGO Natudev; (ii) the project to support the valorisation of </w:t>
      </w:r>
      <w:r w:rsidRPr="00831652">
        <w:rPr>
          <w:rFonts w:ascii="Calibri" w:hAnsi="Calibri"/>
          <w:sz w:val="20"/>
          <w:szCs w:val="20"/>
          <w:lang w:val="en-GB"/>
        </w:rPr>
        <w:t>NTFPs</w:t>
      </w:r>
      <w:r w:rsidRPr="00CD33A5">
        <w:rPr>
          <w:rFonts w:ascii="Calibri" w:hAnsi="Calibri"/>
          <w:sz w:val="20"/>
          <w:szCs w:val="20"/>
          <w:lang w:val="en-GB"/>
        </w:rPr>
        <w:t xml:space="preserve"> led by the NGO Tree Aid; (iii) the community development support projects led by the Ga Mo Wiya association; (iv) the Participatory Management of Classified Forest for REDD+ (PGFC/REDD+) project led by the Forest Investment Program; etc.</w:t>
      </w:r>
    </w:p>
    <w:p w14:paraId="4319B42F" w14:textId="77777777" w:rsidR="00302BFE" w:rsidRPr="00CD33A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CD33A5">
        <w:rPr>
          <w:rFonts w:ascii="Calibri" w:hAnsi="Calibri"/>
          <w:sz w:val="20"/>
          <w:szCs w:val="20"/>
          <w:lang w:val="en-GB"/>
        </w:rPr>
        <w:t xml:space="preserve">The experiences, the know-how, the training modules, the management tools developed within the framework of these projects as well as the infrastructures such as the NTFP storage shops, the capacity building of certain groups of women, the Development of shea butter and honey </w:t>
      </w:r>
      <w:r>
        <w:rPr>
          <w:rFonts w:ascii="Calibri" w:hAnsi="Calibri"/>
          <w:sz w:val="20"/>
          <w:szCs w:val="20"/>
          <w:lang w:val="en-GB"/>
        </w:rPr>
        <w:t>market outlets</w:t>
      </w:r>
      <w:r w:rsidRPr="00CD33A5">
        <w:rPr>
          <w:rFonts w:ascii="Calibri" w:hAnsi="Calibri"/>
          <w:sz w:val="20"/>
          <w:szCs w:val="20"/>
          <w:lang w:val="en-GB"/>
        </w:rPr>
        <w:t xml:space="preserve"> are all actions and tools on which the project can rely to carry out its interventions related to the development of the </w:t>
      </w:r>
      <w:r>
        <w:rPr>
          <w:rFonts w:ascii="Calibri" w:hAnsi="Calibri"/>
          <w:sz w:val="20"/>
          <w:szCs w:val="20"/>
          <w:lang w:val="en-GB"/>
        </w:rPr>
        <w:t>value chains</w:t>
      </w:r>
      <w:r w:rsidRPr="00CD33A5">
        <w:rPr>
          <w:rFonts w:ascii="Calibri" w:hAnsi="Calibri"/>
          <w:sz w:val="20"/>
          <w:szCs w:val="20"/>
          <w:lang w:val="en-GB"/>
        </w:rPr>
        <w:t>.</w:t>
      </w:r>
    </w:p>
    <w:p w14:paraId="4C224371" w14:textId="763F983C" w:rsidR="00302BFE" w:rsidRDefault="00302BFE" w:rsidP="00302BFE">
      <w:pPr>
        <w:pStyle w:val="Paragraphedeliste"/>
        <w:tabs>
          <w:tab w:val="left" w:pos="284"/>
        </w:tabs>
        <w:spacing w:before="120" w:after="120"/>
        <w:ind w:left="0"/>
        <w:jc w:val="both"/>
        <w:rPr>
          <w:rFonts w:ascii="Calibri" w:hAnsi="Calibri"/>
          <w:i/>
          <w:color w:val="4472C4"/>
          <w:sz w:val="20"/>
          <w:szCs w:val="20"/>
          <w:lang w:val="en-GB"/>
        </w:rPr>
      </w:pPr>
      <w:r w:rsidRPr="00CD33A5">
        <w:rPr>
          <w:rFonts w:ascii="Calibri" w:hAnsi="Calibri"/>
          <w:i/>
          <w:color w:val="4472C4"/>
          <w:sz w:val="20"/>
          <w:szCs w:val="20"/>
          <w:lang w:val="en-GB"/>
        </w:rPr>
        <w:t>3.3.7 Support for marketing</w:t>
      </w:r>
    </w:p>
    <w:p w14:paraId="00C03B66" w14:textId="226D9AE0" w:rsidR="00047338" w:rsidRPr="00047338" w:rsidRDefault="00047338" w:rsidP="00BE65D5">
      <w:pPr>
        <w:spacing w:before="120" w:after="120"/>
        <w:rPr>
          <w:iCs/>
          <w:color w:val="4472C4"/>
          <w:szCs w:val="20"/>
          <w:lang w:val="en-GB"/>
        </w:rPr>
      </w:pPr>
      <w:r w:rsidRPr="003F4704">
        <w:rPr>
          <w:iCs/>
          <w:color w:val="4472C4"/>
          <w:szCs w:val="20"/>
          <w:highlight w:val="green"/>
          <w:lang w:val="en-GB"/>
        </w:rPr>
        <w:t>For this activity, the FPIC (Free, Prior and Informed Consent) process has to be ensured</w:t>
      </w:r>
    </w:p>
    <w:p w14:paraId="5982341F" w14:textId="77777777" w:rsidR="00302BFE"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CD33A5">
        <w:rPr>
          <w:rFonts w:ascii="Calibri" w:hAnsi="Calibri"/>
          <w:sz w:val="20"/>
          <w:szCs w:val="20"/>
          <w:lang w:val="en-GB"/>
        </w:rPr>
        <w:t>The project will support the implementation of a communication strategy related to the marketing of the various products of go</w:t>
      </w:r>
      <w:r>
        <w:rPr>
          <w:rFonts w:ascii="Calibri" w:hAnsi="Calibri"/>
          <w:sz w:val="20"/>
          <w:szCs w:val="20"/>
          <w:lang w:val="en-GB"/>
        </w:rPr>
        <w:t>ine</w:t>
      </w:r>
      <w:r w:rsidRPr="00CD33A5">
        <w:rPr>
          <w:rFonts w:ascii="Calibri" w:hAnsi="Calibri"/>
          <w:sz w:val="20"/>
          <w:szCs w:val="20"/>
          <w:lang w:val="en-GB"/>
        </w:rPr>
        <w:t xml:space="preserve"> liana juice, quality honey and shea butter. This strategy will include the creation of a brand image and a label for products from </w:t>
      </w:r>
      <w:r w:rsidRPr="00CD33A5">
        <w:rPr>
          <w:rFonts w:ascii="Calibri" w:hAnsi="Calibri"/>
          <w:sz w:val="20"/>
          <w:szCs w:val="20"/>
          <w:lang w:val="en-GB"/>
        </w:rPr>
        <w:lastRenderedPageBreak/>
        <w:t>cooperatives in the PONASI landscape - representing cooperatives and products</w:t>
      </w:r>
      <w:r>
        <w:rPr>
          <w:rFonts w:ascii="Calibri" w:hAnsi="Calibri"/>
          <w:sz w:val="20"/>
          <w:szCs w:val="20"/>
          <w:lang w:val="en-GB"/>
        </w:rPr>
        <w:t xml:space="preserve"> proposed</w:t>
      </w:r>
      <w:r w:rsidRPr="00CD33A5">
        <w:rPr>
          <w:rFonts w:ascii="Calibri" w:hAnsi="Calibri"/>
          <w:sz w:val="20"/>
          <w:szCs w:val="20"/>
          <w:lang w:val="en-GB"/>
        </w:rPr>
        <w:t xml:space="preserve"> on the market, </w:t>
      </w:r>
      <w:r>
        <w:rPr>
          <w:rFonts w:ascii="Calibri" w:hAnsi="Calibri"/>
          <w:sz w:val="20"/>
          <w:szCs w:val="20"/>
          <w:lang w:val="en-GB"/>
        </w:rPr>
        <w:t>associating</w:t>
      </w:r>
      <w:r w:rsidRPr="00CD33A5">
        <w:rPr>
          <w:rFonts w:ascii="Calibri" w:hAnsi="Calibri"/>
          <w:sz w:val="20"/>
          <w:szCs w:val="20"/>
          <w:lang w:val="en-GB"/>
        </w:rPr>
        <w:t xml:space="preserve"> protected areas and biodiversity </w:t>
      </w:r>
      <w:r>
        <w:rPr>
          <w:rFonts w:ascii="Calibri" w:hAnsi="Calibri"/>
          <w:sz w:val="20"/>
          <w:szCs w:val="20"/>
          <w:lang w:val="en-GB"/>
        </w:rPr>
        <w:t>to the</w:t>
      </w:r>
      <w:r w:rsidRPr="00CD33A5">
        <w:rPr>
          <w:rFonts w:ascii="Calibri" w:hAnsi="Calibri"/>
          <w:sz w:val="20"/>
          <w:szCs w:val="20"/>
          <w:lang w:val="en-GB"/>
        </w:rPr>
        <w:t xml:space="preserve"> products. The project will support the participation of cooperatives in fairs and other national events promoting N</w:t>
      </w:r>
      <w:r>
        <w:rPr>
          <w:rFonts w:ascii="Calibri" w:hAnsi="Calibri"/>
          <w:sz w:val="20"/>
          <w:szCs w:val="20"/>
          <w:lang w:val="en-GB"/>
        </w:rPr>
        <w:t>TF</w:t>
      </w:r>
      <w:r w:rsidRPr="00CD33A5">
        <w:rPr>
          <w:rFonts w:ascii="Calibri" w:hAnsi="Calibri"/>
          <w:sz w:val="20"/>
          <w:szCs w:val="20"/>
          <w:lang w:val="en-GB"/>
        </w:rPr>
        <w:t>Ps.</w:t>
      </w:r>
    </w:p>
    <w:p w14:paraId="73165C94" w14:textId="459B9FDE" w:rsidR="00302BFE" w:rsidRDefault="00302BFE" w:rsidP="00302BFE">
      <w:pPr>
        <w:pStyle w:val="Paragraphedeliste"/>
        <w:tabs>
          <w:tab w:val="left" w:pos="284"/>
        </w:tabs>
        <w:spacing w:before="240" w:after="120"/>
        <w:ind w:left="0"/>
        <w:jc w:val="both"/>
        <w:rPr>
          <w:rFonts w:ascii="Calibri" w:hAnsi="Calibri"/>
          <w:b/>
          <w:sz w:val="20"/>
          <w:szCs w:val="20"/>
          <w:lang w:val="en-GB"/>
        </w:rPr>
      </w:pPr>
      <w:r w:rsidRPr="00A93827">
        <w:rPr>
          <w:rFonts w:ascii="Calibri" w:hAnsi="Calibri"/>
          <w:b/>
          <w:sz w:val="20"/>
          <w:szCs w:val="20"/>
          <w:lang w:val="en-GB"/>
        </w:rPr>
        <w:t>Output 3.4 Strengthened capacities for better sharing of tourism benefits with local communities in the PONASI landscape. This support will include trainings for existing enterprises and at the community level, and support partnerships with the private sector.</w:t>
      </w:r>
    </w:p>
    <w:p w14:paraId="02514E48" w14:textId="23A6FFB9" w:rsidR="00087970" w:rsidRPr="003F4704" w:rsidRDefault="00087970" w:rsidP="00087970">
      <w:pPr>
        <w:spacing w:after="0"/>
        <w:contextualSpacing/>
        <w:rPr>
          <w:bCs/>
          <w:szCs w:val="20"/>
          <w:highlight w:val="green"/>
          <w:lang w:val="en-GB"/>
        </w:rPr>
      </w:pPr>
      <w:r w:rsidRPr="003F4704">
        <w:rPr>
          <w:bCs/>
          <w:szCs w:val="20"/>
          <w:highlight w:val="green"/>
          <w:lang w:val="en-GB"/>
        </w:rPr>
        <w:t>To assess and manage the impacts of this Output, as indicated in the SESP – in attachment to the ProDoc – the following assessment and management processes will be put in place, to comply with UNDP SES:</w:t>
      </w:r>
    </w:p>
    <w:p w14:paraId="0434CF97" w14:textId="77777777" w:rsidR="00087970" w:rsidRPr="003F4704" w:rsidRDefault="00087970" w:rsidP="00087970">
      <w:pPr>
        <w:spacing w:after="0"/>
        <w:contextualSpacing/>
        <w:rPr>
          <w:bCs/>
          <w:szCs w:val="20"/>
          <w:highlight w:val="green"/>
          <w:u w:val="single"/>
          <w:lang w:val="en-GB"/>
        </w:rPr>
      </w:pPr>
      <w:r w:rsidRPr="003F4704">
        <w:rPr>
          <w:bCs/>
          <w:szCs w:val="20"/>
          <w:highlight w:val="green"/>
          <w:u w:val="single"/>
          <w:lang w:val="en-GB"/>
        </w:rPr>
        <w:t>Assessments:</w:t>
      </w:r>
    </w:p>
    <w:p w14:paraId="790C8682" w14:textId="77777777" w:rsidR="00087970" w:rsidRPr="003F4704" w:rsidRDefault="00087970" w:rsidP="00087970">
      <w:pPr>
        <w:spacing w:after="0"/>
        <w:contextualSpacing/>
        <w:rPr>
          <w:bCs/>
          <w:szCs w:val="20"/>
          <w:highlight w:val="green"/>
          <w:lang w:val="en-GB"/>
        </w:rPr>
      </w:pPr>
      <w:r w:rsidRPr="003F4704">
        <w:rPr>
          <w:bCs/>
          <w:szCs w:val="20"/>
          <w:highlight w:val="green"/>
          <w:lang w:val="en-GB"/>
        </w:rPr>
        <w:t xml:space="preserve">SESA </w:t>
      </w:r>
    </w:p>
    <w:p w14:paraId="709111F7" w14:textId="77777777" w:rsidR="00087970" w:rsidRPr="003F4704" w:rsidRDefault="00087970" w:rsidP="00087970">
      <w:pPr>
        <w:spacing w:after="0"/>
        <w:contextualSpacing/>
        <w:rPr>
          <w:bCs/>
          <w:szCs w:val="20"/>
          <w:highlight w:val="green"/>
          <w:lang w:val="en-GB"/>
        </w:rPr>
      </w:pPr>
      <w:r w:rsidRPr="003F4704">
        <w:rPr>
          <w:bCs/>
          <w:szCs w:val="20"/>
          <w:highlight w:val="green"/>
          <w:lang w:val="en-GB"/>
        </w:rPr>
        <w:t>ESIA</w:t>
      </w:r>
    </w:p>
    <w:p w14:paraId="086B1F41" w14:textId="77777777" w:rsidR="00087970" w:rsidRPr="003F4704" w:rsidRDefault="00087970" w:rsidP="00087970">
      <w:pPr>
        <w:spacing w:after="0"/>
        <w:contextualSpacing/>
        <w:rPr>
          <w:bCs/>
          <w:szCs w:val="20"/>
          <w:highlight w:val="green"/>
          <w:lang w:val="en-GB"/>
        </w:rPr>
      </w:pPr>
      <w:r w:rsidRPr="003F4704">
        <w:rPr>
          <w:bCs/>
          <w:szCs w:val="20"/>
          <w:highlight w:val="green"/>
          <w:lang w:val="en-GB"/>
        </w:rPr>
        <w:t>Gender Analysis</w:t>
      </w:r>
      <w:r w:rsidRPr="003F4704">
        <w:rPr>
          <w:bCs/>
          <w:szCs w:val="20"/>
          <w:highlight w:val="green"/>
          <w:lang w:val="en-GB"/>
        </w:rPr>
        <w:tab/>
      </w:r>
    </w:p>
    <w:p w14:paraId="109AB118" w14:textId="77777777" w:rsidR="00087970" w:rsidRPr="003F4704" w:rsidRDefault="00087970" w:rsidP="00087970">
      <w:pPr>
        <w:spacing w:after="0"/>
        <w:contextualSpacing/>
        <w:rPr>
          <w:bCs/>
          <w:szCs w:val="20"/>
          <w:highlight w:val="green"/>
          <w:u w:val="single"/>
          <w:lang w:val="en-GB"/>
        </w:rPr>
      </w:pPr>
      <w:r w:rsidRPr="003F4704">
        <w:rPr>
          <w:bCs/>
          <w:szCs w:val="20"/>
          <w:highlight w:val="green"/>
          <w:u w:val="single"/>
          <w:lang w:val="en-GB"/>
        </w:rPr>
        <w:t>Management:</w:t>
      </w:r>
    </w:p>
    <w:p w14:paraId="046A454A" w14:textId="77777777" w:rsidR="00087970" w:rsidRPr="003F4704" w:rsidRDefault="00087970" w:rsidP="00087970">
      <w:pPr>
        <w:spacing w:after="0"/>
        <w:contextualSpacing/>
        <w:rPr>
          <w:bCs/>
          <w:szCs w:val="20"/>
          <w:highlight w:val="green"/>
          <w:lang w:val="en-GB"/>
        </w:rPr>
      </w:pPr>
      <w:r w:rsidRPr="003F4704">
        <w:rPr>
          <w:bCs/>
          <w:szCs w:val="20"/>
          <w:highlight w:val="green"/>
          <w:lang w:val="en-GB"/>
        </w:rPr>
        <w:t xml:space="preserve">SESA report and recommendations (Actions Matrix) </w:t>
      </w:r>
    </w:p>
    <w:p w14:paraId="1988AD34" w14:textId="58AD1E25" w:rsidR="00087970" w:rsidRPr="003F4704" w:rsidRDefault="00087970" w:rsidP="00087970">
      <w:pPr>
        <w:spacing w:after="0"/>
        <w:contextualSpacing/>
        <w:rPr>
          <w:bCs/>
          <w:szCs w:val="20"/>
          <w:highlight w:val="green"/>
          <w:lang w:val="en-GB"/>
        </w:rPr>
      </w:pPr>
      <w:r w:rsidRPr="003F4704">
        <w:rPr>
          <w:bCs/>
          <w:szCs w:val="20"/>
          <w:highlight w:val="green"/>
          <w:lang w:val="en-GB"/>
        </w:rPr>
        <w:t>Comprehensive Stakeholder Engagement Plan</w:t>
      </w:r>
    </w:p>
    <w:p w14:paraId="2B69624F" w14:textId="77777777" w:rsidR="00087970" w:rsidRPr="003F4704" w:rsidRDefault="00087970" w:rsidP="00087970">
      <w:pPr>
        <w:spacing w:after="0"/>
        <w:contextualSpacing/>
        <w:rPr>
          <w:bCs/>
          <w:szCs w:val="20"/>
          <w:highlight w:val="green"/>
          <w:lang w:val="en-GB"/>
        </w:rPr>
      </w:pPr>
      <w:r w:rsidRPr="003F4704">
        <w:rPr>
          <w:bCs/>
          <w:szCs w:val="20"/>
          <w:highlight w:val="green"/>
          <w:lang w:val="en-GB"/>
        </w:rPr>
        <w:t>Indigenous People Plan</w:t>
      </w:r>
    </w:p>
    <w:p w14:paraId="04ED2FF1" w14:textId="77777777" w:rsidR="00087970" w:rsidRPr="003F4704" w:rsidRDefault="00087970" w:rsidP="00087970">
      <w:pPr>
        <w:spacing w:after="0"/>
        <w:contextualSpacing/>
        <w:rPr>
          <w:bCs/>
          <w:szCs w:val="20"/>
          <w:highlight w:val="green"/>
          <w:lang w:val="en-GB"/>
        </w:rPr>
      </w:pPr>
      <w:r w:rsidRPr="003F4704">
        <w:rPr>
          <w:bCs/>
          <w:szCs w:val="20"/>
          <w:highlight w:val="green"/>
          <w:lang w:val="en-GB"/>
        </w:rPr>
        <w:t xml:space="preserve">Gender Action Plan </w:t>
      </w:r>
    </w:p>
    <w:p w14:paraId="1A54EFB8" w14:textId="77777777" w:rsidR="00087970" w:rsidRPr="00253E4A" w:rsidRDefault="00087970" w:rsidP="00087970">
      <w:pPr>
        <w:spacing w:after="0"/>
        <w:contextualSpacing/>
        <w:rPr>
          <w:bCs/>
          <w:szCs w:val="20"/>
          <w:lang w:val="en-GB"/>
        </w:rPr>
      </w:pPr>
      <w:r w:rsidRPr="003F4704">
        <w:rPr>
          <w:bCs/>
          <w:szCs w:val="20"/>
          <w:highlight w:val="green"/>
          <w:lang w:val="en-GB"/>
        </w:rPr>
        <w:t>ESMP</w:t>
      </w:r>
    </w:p>
    <w:p w14:paraId="7E50F198" w14:textId="77777777" w:rsidR="00087970" w:rsidRDefault="00087970" w:rsidP="00302BFE">
      <w:pPr>
        <w:pStyle w:val="Paragraphedeliste"/>
        <w:tabs>
          <w:tab w:val="left" w:pos="284"/>
        </w:tabs>
        <w:spacing w:before="240" w:after="120"/>
        <w:ind w:left="0"/>
        <w:jc w:val="both"/>
        <w:rPr>
          <w:rFonts w:ascii="Calibri" w:hAnsi="Calibri"/>
          <w:b/>
          <w:sz w:val="20"/>
          <w:szCs w:val="20"/>
          <w:lang w:val="en-GB"/>
        </w:rPr>
      </w:pPr>
    </w:p>
    <w:p w14:paraId="3BEA995E" w14:textId="44D78E4E" w:rsidR="00302BFE" w:rsidRDefault="00302BFE" w:rsidP="00302BFE">
      <w:pPr>
        <w:pStyle w:val="Paragraphedeliste"/>
        <w:tabs>
          <w:tab w:val="left" w:pos="284"/>
        </w:tabs>
        <w:spacing w:before="120" w:after="120"/>
        <w:ind w:left="0"/>
        <w:jc w:val="both"/>
        <w:rPr>
          <w:rFonts w:ascii="Calibri" w:hAnsi="Calibri"/>
          <w:i/>
          <w:color w:val="4472C4"/>
          <w:sz w:val="20"/>
          <w:szCs w:val="20"/>
          <w:lang w:val="en-GB"/>
        </w:rPr>
      </w:pPr>
      <w:bookmarkStart w:id="17" w:name="_Hlk4856968"/>
      <w:r w:rsidRPr="00BF343C">
        <w:rPr>
          <w:rFonts w:ascii="Calibri" w:hAnsi="Calibri"/>
          <w:i/>
          <w:color w:val="4472C4"/>
          <w:sz w:val="20"/>
          <w:szCs w:val="20"/>
          <w:lang w:val="en-GB"/>
        </w:rPr>
        <w:t>3.4.1 Establish a sustainable tourism strategy for the PONASI landscape</w:t>
      </w:r>
      <w:r w:rsidR="001353B0">
        <w:rPr>
          <w:rFonts w:ascii="Calibri" w:hAnsi="Calibri"/>
          <w:i/>
          <w:color w:val="4472C4"/>
          <w:sz w:val="20"/>
          <w:szCs w:val="20"/>
          <w:lang w:val="en-GB"/>
        </w:rPr>
        <w:t xml:space="preserve"> </w:t>
      </w:r>
      <w:r w:rsidR="001353B0" w:rsidRPr="00A63E29">
        <w:rPr>
          <w:rFonts w:ascii="Calibri" w:hAnsi="Calibri"/>
          <w:i/>
          <w:color w:val="4472C4"/>
          <w:sz w:val="20"/>
          <w:szCs w:val="20"/>
          <w:highlight w:val="yellow"/>
          <w:lang w:val="en-GB"/>
        </w:rPr>
        <w:t>(Specific development plan for sustainable tourism in the PONASI area in the current context)</w:t>
      </w:r>
    </w:p>
    <w:p w14:paraId="1C7B2A98" w14:textId="5C108802" w:rsidR="003C3F01" w:rsidRPr="00BE65D5" w:rsidRDefault="003C3F01" w:rsidP="00BE65D5">
      <w:pPr>
        <w:spacing w:before="120" w:after="120"/>
        <w:rPr>
          <w:iCs/>
          <w:color w:val="4472C4"/>
          <w:szCs w:val="20"/>
          <w:lang w:val="en-GB"/>
        </w:rPr>
      </w:pPr>
      <w:r w:rsidRPr="003F4704">
        <w:rPr>
          <w:iCs/>
          <w:color w:val="4472C4"/>
          <w:szCs w:val="20"/>
          <w:highlight w:val="green"/>
          <w:lang w:val="en-GB"/>
        </w:rPr>
        <w:t>For this activity, the FPIC (Free, Prior and Informed Consent) process has to be ensured</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34"/>
      </w:tblGrid>
      <w:tr w:rsidR="00302BFE" w:rsidRPr="009B00F0" w14:paraId="5A8B1956" w14:textId="77777777" w:rsidTr="00E6163D">
        <w:trPr>
          <w:jc w:val="center"/>
        </w:trPr>
        <w:tc>
          <w:tcPr>
            <w:tcW w:w="9634" w:type="dxa"/>
            <w:shd w:val="clear" w:color="auto" w:fill="auto"/>
          </w:tcPr>
          <w:p w14:paraId="320A91E0" w14:textId="77777777" w:rsidR="00302BFE" w:rsidRPr="00806024" w:rsidRDefault="00302BFE" w:rsidP="00243B15">
            <w:pPr>
              <w:rPr>
                <w:rFonts w:ascii="Calibri Light" w:hAnsi="Calibri Light"/>
                <w:b/>
                <w:sz w:val="18"/>
                <w:szCs w:val="18"/>
              </w:rPr>
            </w:pPr>
            <w:r w:rsidRPr="00806024">
              <w:rPr>
                <w:rFonts w:ascii="Calibri Light" w:hAnsi="Calibri Light"/>
                <w:b/>
                <w:sz w:val="18"/>
                <w:szCs w:val="18"/>
              </w:rPr>
              <w:t>PONASI tourism strategy outline</w:t>
            </w:r>
          </w:p>
        </w:tc>
      </w:tr>
      <w:tr w:rsidR="00302BFE" w:rsidRPr="009B00F0" w14:paraId="0F674AAF" w14:textId="77777777" w:rsidTr="00E6163D">
        <w:trPr>
          <w:jc w:val="center"/>
        </w:trPr>
        <w:tc>
          <w:tcPr>
            <w:tcW w:w="9634" w:type="dxa"/>
            <w:shd w:val="clear" w:color="auto" w:fill="auto"/>
          </w:tcPr>
          <w:p w14:paraId="2557E5B7" w14:textId="77777777" w:rsidR="00302BFE" w:rsidRPr="00806024" w:rsidRDefault="00302BFE" w:rsidP="00C46720">
            <w:pPr>
              <w:numPr>
                <w:ilvl w:val="0"/>
                <w:numId w:val="25"/>
              </w:numPr>
              <w:spacing w:after="0"/>
              <w:jc w:val="left"/>
              <w:rPr>
                <w:rFonts w:ascii="Calibri Light" w:hAnsi="Calibri Light"/>
                <w:sz w:val="18"/>
                <w:szCs w:val="18"/>
              </w:rPr>
            </w:pPr>
            <w:r w:rsidRPr="00806024">
              <w:rPr>
                <w:rFonts w:ascii="Calibri Light" w:hAnsi="Calibri Light"/>
                <w:sz w:val="18"/>
                <w:szCs w:val="18"/>
              </w:rPr>
              <w:t>Introduction &amp; background</w:t>
            </w:r>
          </w:p>
          <w:p w14:paraId="38145F6B" w14:textId="77777777" w:rsidR="00302BFE" w:rsidRPr="00806024" w:rsidRDefault="00302BFE" w:rsidP="00C46720">
            <w:pPr>
              <w:numPr>
                <w:ilvl w:val="0"/>
                <w:numId w:val="25"/>
              </w:numPr>
              <w:spacing w:after="0"/>
              <w:jc w:val="left"/>
              <w:rPr>
                <w:rFonts w:ascii="Calibri Light" w:hAnsi="Calibri Light"/>
                <w:sz w:val="18"/>
                <w:szCs w:val="18"/>
              </w:rPr>
            </w:pPr>
            <w:r w:rsidRPr="00806024">
              <w:rPr>
                <w:rFonts w:ascii="Calibri Light" w:hAnsi="Calibri Light"/>
                <w:sz w:val="18"/>
                <w:szCs w:val="18"/>
              </w:rPr>
              <w:t>Strategic objectives, targets and protected areas</w:t>
            </w:r>
          </w:p>
          <w:p w14:paraId="009D5FB8" w14:textId="77777777" w:rsidR="00302BFE" w:rsidRPr="00806024" w:rsidRDefault="00302BFE" w:rsidP="00C46720">
            <w:pPr>
              <w:numPr>
                <w:ilvl w:val="0"/>
                <w:numId w:val="25"/>
              </w:numPr>
              <w:spacing w:after="0"/>
              <w:jc w:val="left"/>
              <w:rPr>
                <w:rFonts w:ascii="Calibri Light" w:hAnsi="Calibri Light"/>
                <w:sz w:val="18"/>
                <w:szCs w:val="18"/>
              </w:rPr>
            </w:pPr>
            <w:r w:rsidRPr="00806024">
              <w:rPr>
                <w:rFonts w:ascii="Calibri Light" w:hAnsi="Calibri Light"/>
                <w:sz w:val="18"/>
                <w:szCs w:val="18"/>
              </w:rPr>
              <w:t>PONASI landscape tourism priorities and actions:</w:t>
            </w:r>
          </w:p>
          <w:p w14:paraId="306DD323" w14:textId="77777777" w:rsidR="00302BFE" w:rsidRPr="00806024" w:rsidRDefault="00302BFE" w:rsidP="00C46720">
            <w:pPr>
              <w:numPr>
                <w:ilvl w:val="1"/>
                <w:numId w:val="26"/>
              </w:numPr>
              <w:spacing w:after="0"/>
              <w:ind w:left="594" w:hanging="202"/>
              <w:jc w:val="left"/>
              <w:rPr>
                <w:rFonts w:ascii="Calibri Light" w:hAnsi="Calibri Light"/>
                <w:sz w:val="18"/>
                <w:szCs w:val="18"/>
              </w:rPr>
            </w:pPr>
            <w:r w:rsidRPr="00806024">
              <w:rPr>
                <w:rFonts w:ascii="Calibri Light" w:hAnsi="Calibri Light"/>
                <w:sz w:val="18"/>
                <w:szCs w:val="18"/>
              </w:rPr>
              <w:t>Enabling environment: Policy, strategy, regulations, governance, monitoring &amp; evaluation</w:t>
            </w:r>
          </w:p>
          <w:p w14:paraId="0049AF86" w14:textId="77777777" w:rsidR="00302BFE" w:rsidRPr="00806024" w:rsidRDefault="00302BFE" w:rsidP="00C46720">
            <w:pPr>
              <w:numPr>
                <w:ilvl w:val="1"/>
                <w:numId w:val="26"/>
              </w:numPr>
              <w:spacing w:after="0"/>
              <w:ind w:left="594" w:hanging="202"/>
              <w:jc w:val="left"/>
              <w:rPr>
                <w:rFonts w:ascii="Calibri Light" w:hAnsi="Calibri Light"/>
                <w:sz w:val="18"/>
                <w:szCs w:val="18"/>
              </w:rPr>
            </w:pPr>
            <w:r w:rsidRPr="00806024">
              <w:rPr>
                <w:rFonts w:ascii="Calibri Light" w:hAnsi="Calibri Light"/>
                <w:sz w:val="18"/>
                <w:szCs w:val="18"/>
              </w:rPr>
              <w:t>Demand: Marketing, domestic, international</w:t>
            </w:r>
          </w:p>
          <w:p w14:paraId="25DF6370" w14:textId="77777777" w:rsidR="00302BFE" w:rsidRPr="00806024" w:rsidRDefault="00302BFE" w:rsidP="00C46720">
            <w:pPr>
              <w:numPr>
                <w:ilvl w:val="1"/>
                <w:numId w:val="26"/>
              </w:numPr>
              <w:spacing w:after="0"/>
              <w:ind w:left="594" w:hanging="202"/>
              <w:jc w:val="left"/>
              <w:rPr>
                <w:rFonts w:ascii="Calibri Light" w:hAnsi="Calibri Light"/>
                <w:sz w:val="18"/>
                <w:szCs w:val="18"/>
              </w:rPr>
            </w:pPr>
            <w:r w:rsidRPr="00806024">
              <w:rPr>
                <w:rFonts w:ascii="Calibri Light" w:hAnsi="Calibri Light"/>
                <w:sz w:val="18"/>
                <w:szCs w:val="18"/>
              </w:rPr>
              <w:t>Supply: Capacity building, product development, sustainable tourism, investment promotion, quality assurance</w:t>
            </w:r>
          </w:p>
          <w:p w14:paraId="05F680EB" w14:textId="77777777" w:rsidR="00302BFE" w:rsidRPr="00806024" w:rsidRDefault="00302BFE" w:rsidP="00C46720">
            <w:pPr>
              <w:numPr>
                <w:ilvl w:val="1"/>
                <w:numId w:val="26"/>
              </w:numPr>
              <w:spacing w:after="0"/>
              <w:ind w:left="594" w:hanging="202"/>
              <w:jc w:val="left"/>
              <w:rPr>
                <w:rFonts w:ascii="Calibri Light" w:hAnsi="Calibri Light"/>
                <w:sz w:val="18"/>
                <w:szCs w:val="18"/>
              </w:rPr>
            </w:pPr>
            <w:r w:rsidRPr="00806024">
              <w:rPr>
                <w:rFonts w:ascii="Calibri Light" w:hAnsi="Calibri Light"/>
                <w:sz w:val="18"/>
                <w:szCs w:val="18"/>
              </w:rPr>
              <w:t>Human resources: Training, decent work, service excellence, community benefits</w:t>
            </w:r>
          </w:p>
          <w:p w14:paraId="5CBC6A95" w14:textId="77777777" w:rsidR="00302BFE" w:rsidRPr="00806024" w:rsidRDefault="00302BFE" w:rsidP="00C46720">
            <w:pPr>
              <w:numPr>
                <w:ilvl w:val="1"/>
                <w:numId w:val="26"/>
              </w:numPr>
              <w:spacing w:after="0"/>
              <w:ind w:left="594" w:hanging="202"/>
              <w:jc w:val="left"/>
              <w:rPr>
                <w:rFonts w:ascii="Calibri Light" w:hAnsi="Calibri Light"/>
                <w:sz w:val="18"/>
                <w:szCs w:val="18"/>
              </w:rPr>
            </w:pPr>
            <w:r w:rsidRPr="00806024">
              <w:rPr>
                <w:rFonts w:ascii="Calibri Light" w:hAnsi="Calibri Light"/>
                <w:sz w:val="18"/>
                <w:szCs w:val="18"/>
              </w:rPr>
              <w:t xml:space="preserve">Enabling factors: Safety and security, transportation </w:t>
            </w:r>
          </w:p>
          <w:p w14:paraId="4351C8F5" w14:textId="77777777" w:rsidR="00302BFE" w:rsidRPr="00806024" w:rsidRDefault="00302BFE" w:rsidP="00C46720">
            <w:pPr>
              <w:numPr>
                <w:ilvl w:val="0"/>
                <w:numId w:val="25"/>
              </w:numPr>
              <w:spacing w:after="0"/>
              <w:jc w:val="left"/>
              <w:rPr>
                <w:rFonts w:ascii="Calibri Light" w:hAnsi="Calibri Light"/>
                <w:sz w:val="18"/>
                <w:szCs w:val="18"/>
              </w:rPr>
            </w:pPr>
            <w:r w:rsidRPr="00806024">
              <w:rPr>
                <w:rFonts w:ascii="Calibri Light" w:hAnsi="Calibri Light"/>
                <w:sz w:val="18"/>
                <w:szCs w:val="18"/>
              </w:rPr>
              <w:t>Critical success factors for sustainable success</w:t>
            </w:r>
          </w:p>
          <w:p w14:paraId="339733AD" w14:textId="77777777" w:rsidR="00302BFE" w:rsidRPr="00806024" w:rsidRDefault="00302BFE" w:rsidP="00C46720">
            <w:pPr>
              <w:numPr>
                <w:ilvl w:val="0"/>
                <w:numId w:val="25"/>
              </w:numPr>
              <w:spacing w:after="0"/>
              <w:jc w:val="left"/>
              <w:rPr>
                <w:rFonts w:ascii="Calibri Light" w:hAnsi="Calibri Light"/>
                <w:sz w:val="18"/>
                <w:szCs w:val="18"/>
              </w:rPr>
            </w:pPr>
            <w:r w:rsidRPr="00806024">
              <w:rPr>
                <w:rFonts w:ascii="Calibri Light" w:hAnsi="Calibri Light"/>
                <w:sz w:val="18"/>
                <w:szCs w:val="18"/>
              </w:rPr>
              <w:t>Action plan, including roles and responsibilities</w:t>
            </w:r>
          </w:p>
          <w:p w14:paraId="4AA63110" w14:textId="77777777" w:rsidR="00302BFE" w:rsidRPr="00806024" w:rsidRDefault="00302BFE" w:rsidP="00C46720">
            <w:pPr>
              <w:numPr>
                <w:ilvl w:val="0"/>
                <w:numId w:val="25"/>
              </w:numPr>
              <w:spacing w:after="0"/>
              <w:jc w:val="left"/>
              <w:rPr>
                <w:rFonts w:ascii="Calibri Light" w:hAnsi="Calibri Light"/>
                <w:sz w:val="18"/>
                <w:szCs w:val="18"/>
              </w:rPr>
            </w:pPr>
            <w:r w:rsidRPr="00806024">
              <w:rPr>
                <w:rFonts w:ascii="Calibri Light" w:hAnsi="Calibri Light"/>
                <w:sz w:val="18"/>
                <w:szCs w:val="18"/>
              </w:rPr>
              <w:t>Institutional arrangements, governance, and engagement</w:t>
            </w:r>
          </w:p>
          <w:p w14:paraId="64B51C03" w14:textId="77777777" w:rsidR="00302BFE" w:rsidRPr="00806024" w:rsidRDefault="00302BFE" w:rsidP="00C46720">
            <w:pPr>
              <w:numPr>
                <w:ilvl w:val="0"/>
                <w:numId w:val="25"/>
              </w:numPr>
              <w:spacing w:after="0"/>
              <w:jc w:val="left"/>
              <w:rPr>
                <w:rFonts w:ascii="Calibri Light" w:hAnsi="Calibri Light"/>
                <w:sz w:val="18"/>
                <w:szCs w:val="18"/>
              </w:rPr>
            </w:pPr>
            <w:r w:rsidRPr="00806024">
              <w:rPr>
                <w:rFonts w:ascii="Calibri Light" w:hAnsi="Calibri Light"/>
                <w:sz w:val="18"/>
                <w:szCs w:val="18"/>
              </w:rPr>
              <w:t>Sustainability guidelines: environmental, social, economic</w:t>
            </w:r>
          </w:p>
          <w:p w14:paraId="130079D5" w14:textId="77777777" w:rsidR="00302BFE" w:rsidRPr="00806024" w:rsidRDefault="00302BFE" w:rsidP="00C46720">
            <w:pPr>
              <w:numPr>
                <w:ilvl w:val="0"/>
                <w:numId w:val="25"/>
              </w:numPr>
              <w:spacing w:after="0"/>
              <w:jc w:val="left"/>
              <w:rPr>
                <w:rFonts w:ascii="Calibri Light" w:hAnsi="Calibri Light"/>
                <w:sz w:val="18"/>
                <w:szCs w:val="18"/>
              </w:rPr>
            </w:pPr>
            <w:r w:rsidRPr="00806024">
              <w:rPr>
                <w:rFonts w:ascii="Calibri Light" w:hAnsi="Calibri Light"/>
                <w:sz w:val="18"/>
                <w:szCs w:val="18"/>
              </w:rPr>
              <w:t>Risk factors</w:t>
            </w:r>
          </w:p>
          <w:p w14:paraId="144E9295" w14:textId="77777777" w:rsidR="00302BFE" w:rsidRPr="00806024" w:rsidRDefault="00302BFE" w:rsidP="00C46720">
            <w:pPr>
              <w:numPr>
                <w:ilvl w:val="0"/>
                <w:numId w:val="25"/>
              </w:numPr>
              <w:spacing w:after="0"/>
              <w:jc w:val="left"/>
              <w:rPr>
                <w:rFonts w:ascii="Calibri Light" w:hAnsi="Calibri Light"/>
                <w:sz w:val="18"/>
                <w:szCs w:val="18"/>
              </w:rPr>
            </w:pPr>
            <w:r w:rsidRPr="00806024">
              <w:rPr>
                <w:rFonts w:ascii="Calibri Light" w:hAnsi="Calibri Light"/>
                <w:sz w:val="18"/>
                <w:szCs w:val="18"/>
              </w:rPr>
              <w:t>Monitoring, evaluation and reporting</w:t>
            </w:r>
          </w:p>
          <w:p w14:paraId="255A2C6E" w14:textId="77777777" w:rsidR="00302BFE" w:rsidRPr="00806024" w:rsidRDefault="00302BFE" w:rsidP="00C46720">
            <w:pPr>
              <w:numPr>
                <w:ilvl w:val="0"/>
                <w:numId w:val="25"/>
              </w:numPr>
              <w:spacing w:after="0"/>
              <w:jc w:val="left"/>
              <w:rPr>
                <w:rFonts w:ascii="Calibri Light" w:hAnsi="Calibri Light"/>
                <w:sz w:val="18"/>
                <w:szCs w:val="18"/>
              </w:rPr>
            </w:pPr>
            <w:r w:rsidRPr="00806024">
              <w:rPr>
                <w:rFonts w:ascii="Calibri Light" w:hAnsi="Calibri Light"/>
                <w:sz w:val="18"/>
                <w:szCs w:val="18"/>
              </w:rPr>
              <w:t>Annexes: References, process of development, consultees</w:t>
            </w:r>
          </w:p>
        </w:tc>
      </w:tr>
    </w:tbl>
    <w:p w14:paraId="08A8E36F" w14:textId="416703C7" w:rsidR="00302BFE" w:rsidRPr="00AB47D0"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5F3825">
        <w:rPr>
          <w:rFonts w:ascii="Calibri" w:hAnsi="Calibri"/>
          <w:sz w:val="20"/>
          <w:szCs w:val="20"/>
        </w:rPr>
        <w:t xml:space="preserve">A </w:t>
      </w:r>
      <w:r w:rsidRPr="007E1A3A">
        <w:rPr>
          <w:rFonts w:ascii="Calibri" w:hAnsi="Calibri"/>
          <w:sz w:val="20"/>
          <w:szCs w:val="20"/>
        </w:rPr>
        <w:t>sustainable</w:t>
      </w:r>
      <w:r w:rsidR="00ED1868">
        <w:rPr>
          <w:rFonts w:ascii="Calibri" w:hAnsi="Calibri"/>
          <w:sz w:val="20"/>
          <w:szCs w:val="20"/>
        </w:rPr>
        <w:t xml:space="preserve"> tourism </w:t>
      </w:r>
      <w:r w:rsidR="00ED1868" w:rsidRPr="00A63E29">
        <w:rPr>
          <w:rFonts w:ascii="Calibri" w:hAnsi="Calibri"/>
          <w:sz w:val="20"/>
          <w:szCs w:val="20"/>
          <w:highlight w:val="yellow"/>
        </w:rPr>
        <w:t>strategy</w:t>
      </w:r>
      <w:r w:rsidR="007E1A3A" w:rsidRPr="00A63E29">
        <w:rPr>
          <w:rStyle w:val="Appelnotedebasdep"/>
          <w:highlight w:val="yellow"/>
          <w:lang w:val="fr-FR"/>
        </w:rPr>
        <w:footnoteReference w:id="61"/>
      </w:r>
      <w:r w:rsidR="007E1A3A" w:rsidRPr="00157582">
        <w:rPr>
          <w:highlight w:val="yellow"/>
        </w:rPr>
        <w:t xml:space="preserve"> </w:t>
      </w:r>
      <w:r w:rsidR="001C6338" w:rsidRPr="00157582">
        <w:rPr>
          <w:sz w:val="22"/>
          <w:szCs w:val="22"/>
          <w:highlight w:val="yellow"/>
        </w:rPr>
        <w:t>(Specific development plan for sustainable tourism in the PONASI area in the current context)</w:t>
      </w:r>
      <w:r w:rsidR="001C6338" w:rsidRPr="00157582">
        <w:t xml:space="preserve"> </w:t>
      </w:r>
      <w:r w:rsidRPr="007E1A3A">
        <w:rPr>
          <w:rFonts w:ascii="Calibri" w:hAnsi="Calibri"/>
          <w:sz w:val="20"/>
          <w:szCs w:val="20"/>
        </w:rPr>
        <w:t>will</w:t>
      </w:r>
      <w:r w:rsidRPr="005F3825">
        <w:rPr>
          <w:rFonts w:ascii="Calibri" w:hAnsi="Calibri"/>
          <w:sz w:val="20"/>
          <w:szCs w:val="20"/>
        </w:rPr>
        <w:t xml:space="preserve"> be developed for the PONASI landscape through participatory processes and based on a solid analysis of the current supply and market demand. The strategy will be based on international best practices of sustainable tourism planning (environmental, social and economic), including providing commercial opportunities for local participation in the tourism value chain (see PONASI tourism strategy outline), and should cluster protected areas assets and cultural attractions in the PONASI landscape and link attractions to existing tourism circuits in the country. The process will be led by an international consultancy company, working with the project’s National Tourism Consultant. Participatory </w:t>
      </w:r>
      <w:r w:rsidRPr="005F3825">
        <w:rPr>
          <w:rFonts w:ascii="Calibri" w:hAnsi="Calibri" w:cs="Calibri Light"/>
          <w:sz w:val="20"/>
          <w:szCs w:val="20"/>
        </w:rPr>
        <w:t xml:space="preserve">planning will include local community representatives, tourism sector including the private concessionaires involved in the protected areas of the PONASI complex, local authorities, and protected area managers. </w:t>
      </w:r>
      <w:r w:rsidRPr="005F3825">
        <w:rPr>
          <w:rFonts w:ascii="Calibri" w:hAnsi="Calibri"/>
          <w:sz w:val="20"/>
          <w:szCs w:val="20"/>
        </w:rPr>
        <w:t xml:space="preserve">Based on the PONASI tourism strategy, a series of interventions will take place to improve tourism attractions and products in the area, both by </w:t>
      </w:r>
      <w:r w:rsidRPr="00AB47D0">
        <w:rPr>
          <w:rFonts w:ascii="Calibri" w:hAnsi="Calibri"/>
          <w:sz w:val="20"/>
          <w:szCs w:val="20"/>
        </w:rPr>
        <w:t>improving visitor facilities at existing attractions and improving the capacity of local people to provide tourism products and services.</w:t>
      </w:r>
      <w:r w:rsidR="00D5205E" w:rsidRPr="00AB47D0">
        <w:rPr>
          <w:rFonts w:ascii="Calibri" w:hAnsi="Calibri"/>
          <w:sz w:val="20"/>
          <w:szCs w:val="20"/>
        </w:rPr>
        <w:t xml:space="preserve"> </w:t>
      </w:r>
      <w:r w:rsidR="00D5205E" w:rsidRPr="00A63E29">
        <w:rPr>
          <w:rFonts w:ascii="Calibri" w:hAnsi="Calibri"/>
          <w:sz w:val="20"/>
          <w:szCs w:val="20"/>
        </w:rPr>
        <w:t>The strategy will take into account impacts of the COVID crisis on international and domestic tourism and analyze opportunities and prospects for their recovery.</w:t>
      </w:r>
      <w:r w:rsidR="00D5205E" w:rsidRPr="00AB47D0">
        <w:rPr>
          <w:rFonts w:ascii="Calibri" w:hAnsi="Calibri"/>
          <w:sz w:val="20"/>
          <w:szCs w:val="20"/>
        </w:rPr>
        <w:t xml:space="preserve"> </w:t>
      </w:r>
    </w:p>
    <w:p w14:paraId="5229D438" w14:textId="77777777" w:rsidR="00302BFE" w:rsidRPr="00B71BE1"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5F3825">
        <w:rPr>
          <w:rFonts w:ascii="Calibri" w:hAnsi="Calibri"/>
          <w:sz w:val="20"/>
          <w:szCs w:val="20"/>
        </w:rPr>
        <w:t>Activities required to establish the strategy will include:</w:t>
      </w:r>
    </w:p>
    <w:p w14:paraId="29BF3958" w14:textId="77777777" w:rsidR="00302BFE" w:rsidRPr="00B71BE1" w:rsidRDefault="00302BFE" w:rsidP="00541855">
      <w:pPr>
        <w:pStyle w:val="Paragraphedeliste"/>
        <w:tabs>
          <w:tab w:val="left" w:pos="284"/>
        </w:tabs>
        <w:spacing w:before="120" w:after="120"/>
        <w:ind w:left="0"/>
        <w:jc w:val="both"/>
        <w:rPr>
          <w:rFonts w:ascii="Calibri" w:hAnsi="Calibri"/>
          <w:sz w:val="20"/>
          <w:szCs w:val="20"/>
          <w:lang w:val="en-GB"/>
        </w:rPr>
      </w:pPr>
      <w:r w:rsidRPr="005F3825">
        <w:rPr>
          <w:rFonts w:ascii="Calibri" w:hAnsi="Calibri"/>
          <w:sz w:val="20"/>
          <w:szCs w:val="20"/>
        </w:rPr>
        <w:lastRenderedPageBreak/>
        <w:t xml:space="preserve">a) </w:t>
      </w:r>
      <w:r w:rsidRPr="005F3825">
        <w:rPr>
          <w:rFonts w:ascii="Calibri" w:hAnsi="Calibri"/>
          <w:sz w:val="20"/>
          <w:szCs w:val="20"/>
          <w:u w:val="single"/>
        </w:rPr>
        <w:t>Enabling framework</w:t>
      </w:r>
      <w:r w:rsidRPr="005F3825">
        <w:rPr>
          <w:rFonts w:ascii="Calibri" w:hAnsi="Calibri"/>
          <w:sz w:val="20"/>
          <w:szCs w:val="20"/>
        </w:rPr>
        <w:t>:</w:t>
      </w:r>
      <w:r w:rsidRPr="005F3825">
        <w:rPr>
          <w:rFonts w:ascii="Calibri" w:hAnsi="Calibri"/>
          <w:b/>
          <w:sz w:val="20"/>
          <w:szCs w:val="20"/>
        </w:rPr>
        <w:t xml:space="preserve"> </w:t>
      </w:r>
      <w:r w:rsidRPr="005F3825">
        <w:rPr>
          <w:rFonts w:ascii="Calibri" w:hAnsi="Calibri"/>
          <w:sz w:val="20"/>
          <w:szCs w:val="20"/>
        </w:rPr>
        <w:t xml:space="preserve">The relevant policy and legislative documents will be reviewed with respect to their implications for tourism planning and investment processes in the PONASI landscape. The review will include but not be limited to: </w:t>
      </w:r>
      <w:r w:rsidRPr="005F3825">
        <w:rPr>
          <w:rFonts w:ascii="Calibri" w:hAnsi="Calibri"/>
          <w:bCs/>
          <w:iCs/>
          <w:color w:val="000000"/>
          <w:sz w:val="20"/>
          <w:szCs w:val="20"/>
        </w:rPr>
        <w:t xml:space="preserve">Plan d’aménagement et de gestion participative du Parc National Kaboré-Tambi, the </w:t>
      </w:r>
      <w:r w:rsidRPr="005F3825">
        <w:rPr>
          <w:rFonts w:ascii="Calibri" w:hAnsi="Calibri"/>
          <w:sz w:val="20"/>
          <w:szCs w:val="20"/>
        </w:rPr>
        <w:t xml:space="preserve">Schéma National d’Aménagement et de Développement Durable du Territoire, the Plan d’Actions de la Stratégie Nationale de la Culture et du Tourisme (PA/SNCT), the Code Forestier, regional development plans and communal development plans, This review will also examine the current tourism licensing and business registration processes in Burkina Faso, and also concession, licensing and permit systems for tourism operations in the protected areas (using the option in the table </w:t>
      </w:r>
      <w:r>
        <w:rPr>
          <w:rFonts w:ascii="Calibri" w:hAnsi="Calibri"/>
          <w:sz w:val="20"/>
          <w:szCs w:val="20"/>
        </w:rPr>
        <w:t>2</w:t>
      </w:r>
      <w:r w:rsidRPr="005F3825">
        <w:rPr>
          <w:rFonts w:ascii="Calibri" w:hAnsi="Calibri"/>
          <w:sz w:val="20"/>
          <w:szCs w:val="20"/>
        </w:rPr>
        <w:t xml:space="preserve"> to frame this analysis)</w:t>
      </w:r>
      <w:r w:rsidRPr="005F3825">
        <w:rPr>
          <w:rStyle w:val="Appelnotedebasdep"/>
          <w:rFonts w:ascii="Calibri" w:hAnsi="Calibri" w:cs="Times"/>
          <w:color w:val="000000"/>
          <w:sz w:val="20"/>
          <w:szCs w:val="20"/>
        </w:rPr>
        <w:t xml:space="preserve"> </w:t>
      </w:r>
      <w:r w:rsidRPr="005F3825">
        <w:rPr>
          <w:rStyle w:val="Appelnotedebasdep"/>
          <w:rFonts w:ascii="Calibri" w:hAnsi="Calibri" w:cs="Times"/>
          <w:color w:val="000000"/>
          <w:sz w:val="20"/>
          <w:szCs w:val="20"/>
        </w:rPr>
        <w:footnoteReference w:id="62"/>
      </w:r>
      <w:r w:rsidRPr="005F3825">
        <w:rPr>
          <w:rFonts w:ascii="Calibri" w:hAnsi="Calibri"/>
          <w:sz w:val="20"/>
          <w:szCs w:val="20"/>
        </w:rPr>
        <w:t>. The review will establish the status of institutions to support tourism businesses (e.g. chambers of commerce, destination management organisations, tourism associations), provide recommendations for institutional improvement relevant to Burkina Faso, and to improve the transparency and accountability of procedures</w:t>
      </w:r>
      <w:r w:rsidRPr="005F3825">
        <w:rPr>
          <w:rStyle w:val="Appelnotedebasdep"/>
          <w:rFonts w:ascii="Calibri" w:hAnsi="Calibri"/>
          <w:sz w:val="20"/>
          <w:szCs w:val="20"/>
        </w:rPr>
        <w:footnoteReference w:id="63"/>
      </w:r>
      <w:r w:rsidRPr="005F3825">
        <w:rPr>
          <w:rFonts w:ascii="Calibri" w:hAnsi="Calibri"/>
          <w:sz w:val="20"/>
          <w:szCs w:val="20"/>
        </w:rPr>
        <w:t>. Based on the review of the current status in the PONASI protected areas, the preferred form of legal instrument will be discussed with the national institutions in charge of protected areas, (using the model below)</w:t>
      </w:r>
      <w:r w:rsidRPr="005F3825">
        <w:rPr>
          <w:rStyle w:val="Appelnotedebasdep"/>
          <w:rFonts w:ascii="Calibri" w:hAnsi="Calibri" w:cs="Times"/>
          <w:color w:val="000000"/>
          <w:sz w:val="20"/>
          <w:szCs w:val="20"/>
        </w:rPr>
        <w:footnoteReference w:id="64"/>
      </w:r>
      <w:r w:rsidRPr="005F3825">
        <w:rPr>
          <w:rFonts w:ascii="Calibri" w:hAnsi="Calibri"/>
          <w:sz w:val="20"/>
          <w:szCs w:val="20"/>
        </w:rPr>
        <w:t xml:space="preserve"> and recommendations will be formulated.</w:t>
      </w:r>
    </w:p>
    <w:p w14:paraId="2807A602" w14:textId="552E0915" w:rsidR="00302BFE" w:rsidRPr="00BF343C" w:rsidRDefault="00302BFE" w:rsidP="00AB6E37">
      <w:pPr>
        <w:jc w:val="left"/>
        <w:rPr>
          <w:b/>
          <w:noProof/>
          <w:szCs w:val="20"/>
        </w:rPr>
      </w:pPr>
      <w:r w:rsidRPr="00BF343C">
        <w:rPr>
          <w:b/>
          <w:noProof/>
          <w:szCs w:val="20"/>
        </w:rPr>
        <w:t xml:space="preserve">Table </w:t>
      </w:r>
      <w:r>
        <w:rPr>
          <w:b/>
          <w:noProof/>
          <w:szCs w:val="20"/>
        </w:rPr>
        <w:t>2</w:t>
      </w:r>
      <w:r w:rsidRPr="00BF343C">
        <w:rPr>
          <w:b/>
          <w:noProof/>
          <w:szCs w:val="20"/>
        </w:rPr>
        <w:t>. Characteristics of legal instruments</w:t>
      </w:r>
      <w:r>
        <w:rPr>
          <w:b/>
          <w:noProof/>
          <w:szCs w:val="20"/>
        </w:rPr>
        <w:t xml:space="preserve"> </w:t>
      </w:r>
      <w:r w:rsidRPr="00C3794E">
        <w:rPr>
          <w:b/>
          <w:noProof/>
          <w:szCs w:val="20"/>
        </w:rPr>
        <w:t>for tourism operations in protected areas</w:t>
      </w:r>
    </w:p>
    <w:p w14:paraId="487867AD" w14:textId="77777777" w:rsidR="00302BFE" w:rsidRPr="005F3825" w:rsidRDefault="00302BFE" w:rsidP="00302BFE">
      <w:pPr>
        <w:spacing w:before="120" w:after="240"/>
        <w:jc w:val="center"/>
        <w:rPr>
          <w:rFonts w:ascii="Calibri Light" w:hAnsi="Calibri Light"/>
          <w:szCs w:val="20"/>
        </w:rPr>
      </w:pPr>
      <w:r w:rsidRPr="005F3825">
        <w:rPr>
          <w:rFonts w:ascii="Calibri Light" w:hAnsi="Calibri Light"/>
          <w:noProof/>
          <w:szCs w:val="20"/>
        </w:rPr>
        <w:drawing>
          <wp:inline distT="0" distB="0" distL="0" distR="0" wp14:anchorId="05769CDB" wp14:editId="41437D48">
            <wp:extent cx="4146550" cy="2580640"/>
            <wp:effectExtent l="0" t="0" r="635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t="5185"/>
                    <a:stretch>
                      <a:fillRect/>
                    </a:stretch>
                  </pic:blipFill>
                  <pic:spPr bwMode="auto">
                    <a:xfrm>
                      <a:off x="0" y="0"/>
                      <a:ext cx="4147453" cy="2581202"/>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302BFE" w:rsidRPr="009B00F0" w14:paraId="51536756" w14:textId="77777777" w:rsidTr="00243B15">
        <w:trPr>
          <w:jc w:val="center"/>
        </w:trPr>
        <w:tc>
          <w:tcPr>
            <w:tcW w:w="9962" w:type="dxa"/>
            <w:shd w:val="clear" w:color="auto" w:fill="auto"/>
          </w:tcPr>
          <w:p w14:paraId="4E2E4697" w14:textId="77777777" w:rsidR="00302BFE" w:rsidRPr="00806024" w:rsidRDefault="00302BFE" w:rsidP="00243B15">
            <w:pPr>
              <w:rPr>
                <w:b/>
                <w:sz w:val="18"/>
                <w:szCs w:val="18"/>
              </w:rPr>
            </w:pPr>
            <w:r w:rsidRPr="00806024">
              <w:rPr>
                <w:b/>
                <w:sz w:val="18"/>
                <w:szCs w:val="18"/>
              </w:rPr>
              <w:t>Explanatory note on insourcing and outsourcing</w:t>
            </w:r>
          </w:p>
          <w:p w14:paraId="6056FA87" w14:textId="77777777" w:rsidR="00302BFE" w:rsidRPr="00806024" w:rsidRDefault="00302BFE" w:rsidP="00243B15">
            <w:pPr>
              <w:rPr>
                <w:sz w:val="18"/>
                <w:szCs w:val="18"/>
              </w:rPr>
            </w:pPr>
            <w:r w:rsidRPr="00806024">
              <w:rPr>
                <w:sz w:val="18"/>
                <w:szCs w:val="18"/>
              </w:rPr>
              <w:t>There are many services provided in protected areas for visitors, either services directly to the visitors, such as the rental of equipment, or through services that support visitation, such as an electrical system. A decision must be made by protected area authority on the level of each service, the method of delivery of the service, and the financing for each service.</w:t>
            </w:r>
            <w:r w:rsidRPr="00806024">
              <w:rPr>
                <w:rStyle w:val="Appelnotedebasdep"/>
                <w:rFonts w:cs="Times"/>
                <w:color w:val="000000"/>
                <w:szCs w:val="18"/>
              </w:rPr>
              <w:footnoteReference w:id="65"/>
            </w:r>
            <w:r w:rsidRPr="00806024">
              <w:rPr>
                <w:sz w:val="18"/>
                <w:szCs w:val="18"/>
              </w:rPr>
              <w:t xml:space="preserve"> </w:t>
            </w:r>
          </w:p>
          <w:p w14:paraId="03D5E78F" w14:textId="77777777" w:rsidR="00302BFE" w:rsidRPr="00806024" w:rsidRDefault="00302BFE" w:rsidP="00C46720">
            <w:pPr>
              <w:pStyle w:val="Paragraphedeliste"/>
              <w:numPr>
                <w:ilvl w:val="0"/>
                <w:numId w:val="28"/>
              </w:numPr>
              <w:spacing w:after="60"/>
              <w:ind w:left="452" w:hanging="268"/>
              <w:contextualSpacing/>
              <w:rPr>
                <w:rFonts w:ascii="Calibri" w:hAnsi="Calibri"/>
                <w:sz w:val="18"/>
                <w:szCs w:val="18"/>
              </w:rPr>
            </w:pPr>
            <w:r w:rsidRPr="00806024">
              <w:rPr>
                <w:rFonts w:ascii="Calibri" w:hAnsi="Calibri"/>
                <w:sz w:val="18"/>
                <w:szCs w:val="18"/>
              </w:rPr>
              <w:t xml:space="preserve">For </w:t>
            </w:r>
            <w:r w:rsidRPr="00806024">
              <w:rPr>
                <w:rFonts w:ascii="Calibri" w:hAnsi="Calibri"/>
                <w:b/>
                <w:bCs/>
                <w:sz w:val="18"/>
                <w:szCs w:val="18"/>
              </w:rPr>
              <w:t>insourcing</w:t>
            </w:r>
            <w:r w:rsidRPr="00806024">
              <w:rPr>
                <w:rFonts w:ascii="Calibri" w:hAnsi="Calibri"/>
                <w:sz w:val="18"/>
                <w:szCs w:val="18"/>
              </w:rPr>
              <w:t xml:space="preserve">, protected area authority staff deliver and finance the service. Insourcing involves the authority functioning like a business, with the protected area facilities and staff providing visitor services. The authority functions like a public utility. </w:t>
            </w:r>
          </w:p>
          <w:p w14:paraId="40211C9C" w14:textId="77777777" w:rsidR="00302BFE" w:rsidRPr="00806024" w:rsidRDefault="00302BFE" w:rsidP="00C46720">
            <w:pPr>
              <w:pStyle w:val="Paragraphedeliste"/>
              <w:numPr>
                <w:ilvl w:val="0"/>
                <w:numId w:val="28"/>
              </w:numPr>
              <w:spacing w:after="60"/>
              <w:ind w:left="452" w:hanging="268"/>
              <w:contextualSpacing/>
              <w:rPr>
                <w:rFonts w:ascii="Calibri Light" w:hAnsi="Calibri Light"/>
                <w:sz w:val="20"/>
                <w:szCs w:val="20"/>
              </w:rPr>
            </w:pPr>
            <w:r w:rsidRPr="00806024">
              <w:rPr>
                <w:rFonts w:ascii="Calibri" w:hAnsi="Calibri"/>
                <w:sz w:val="18"/>
                <w:szCs w:val="18"/>
              </w:rPr>
              <w:t xml:space="preserve">For </w:t>
            </w:r>
            <w:r w:rsidRPr="00806024">
              <w:rPr>
                <w:rFonts w:ascii="Calibri" w:hAnsi="Calibri"/>
                <w:b/>
                <w:bCs/>
                <w:sz w:val="18"/>
                <w:szCs w:val="18"/>
              </w:rPr>
              <w:t>outsourcing</w:t>
            </w:r>
            <w:r w:rsidRPr="00806024">
              <w:rPr>
                <w:rFonts w:ascii="Calibri" w:hAnsi="Calibri"/>
                <w:sz w:val="18"/>
                <w:szCs w:val="18"/>
              </w:rPr>
              <w:t>, the protected area contracts a third party to deliver a service. Outsourcing of tourism services to a company or organization has both benefits and disadvantages. The case for private management of resources on public lands is often one of efficiency: that the resources that those lands provide may be best turned into desired outcomes by specialist firms who bid for the rights to provide services to visitors. When public agencies do not have the expertise to perform a service, or when they lack the funding or legal abilities required to build such capability in-house, transference of rights on the lands to other organizations can relieve public agencies from resource constraints of budget, capability, or expertise.</w:t>
            </w:r>
          </w:p>
        </w:tc>
      </w:tr>
    </w:tbl>
    <w:p w14:paraId="07B01FD8" w14:textId="77777777" w:rsidR="00302BFE" w:rsidRPr="005F3825" w:rsidRDefault="00302BFE" w:rsidP="00302BFE">
      <w:pPr>
        <w:spacing w:after="240"/>
        <w:rPr>
          <w:b/>
          <w:szCs w:val="20"/>
        </w:rPr>
      </w:pPr>
      <w:r>
        <w:rPr>
          <w:noProof/>
        </w:rPr>
        <w:lastRenderedPageBreak/>
        <w:drawing>
          <wp:anchor distT="0" distB="0" distL="114300" distR="114300" simplePos="0" relativeHeight="251661312" behindDoc="0" locked="0" layoutInCell="1" allowOverlap="1" wp14:anchorId="7C964CF2" wp14:editId="2D12DAA6">
            <wp:simplePos x="0" y="0"/>
            <wp:positionH relativeFrom="margin">
              <wp:posOffset>0</wp:posOffset>
            </wp:positionH>
            <wp:positionV relativeFrom="paragraph">
              <wp:posOffset>95885</wp:posOffset>
            </wp:positionV>
            <wp:extent cx="5661025" cy="3509645"/>
            <wp:effectExtent l="0" t="0" r="0" b="0"/>
            <wp:wrapTopAndBottom/>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t="6799"/>
                    <a:stretch>
                      <a:fillRect/>
                    </a:stretch>
                  </pic:blipFill>
                  <pic:spPr bwMode="auto">
                    <a:xfrm>
                      <a:off x="0" y="0"/>
                      <a:ext cx="5661025" cy="3509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3825">
        <w:rPr>
          <w:b/>
          <w:szCs w:val="20"/>
        </w:rPr>
        <w:t xml:space="preserve">Figure </w:t>
      </w:r>
      <w:r w:rsidRPr="00F62CAD">
        <w:rPr>
          <w:b/>
          <w:szCs w:val="20"/>
        </w:rPr>
        <w:t>2</w:t>
      </w:r>
      <w:r w:rsidRPr="005F3825">
        <w:rPr>
          <w:b/>
          <w:szCs w:val="20"/>
        </w:rPr>
        <w:t>. Flow diagram for deciding the type of legal instrument to use</w:t>
      </w:r>
      <w:r>
        <w:rPr>
          <w:b/>
          <w:szCs w:val="20"/>
        </w:rPr>
        <w:t xml:space="preserve"> </w:t>
      </w:r>
      <w:r w:rsidRPr="00C3794E">
        <w:rPr>
          <w:b/>
          <w:noProof/>
          <w:szCs w:val="20"/>
        </w:rPr>
        <w:t>for tourism operations in protected areas</w:t>
      </w:r>
    </w:p>
    <w:p w14:paraId="0AC24D88" w14:textId="77777777" w:rsidR="00302BFE" w:rsidRPr="00B71BE1"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5F3825">
        <w:rPr>
          <w:rFonts w:ascii="Calibri" w:hAnsi="Calibri"/>
          <w:sz w:val="20"/>
          <w:szCs w:val="20"/>
          <w:u w:val="single"/>
        </w:rPr>
        <w:t>Financial analysis</w:t>
      </w:r>
      <w:r w:rsidRPr="005F3825">
        <w:rPr>
          <w:rFonts w:ascii="Calibri" w:hAnsi="Calibri"/>
          <w:b/>
          <w:sz w:val="20"/>
          <w:szCs w:val="20"/>
        </w:rPr>
        <w:t>:</w:t>
      </w:r>
      <w:r w:rsidRPr="005F3825">
        <w:rPr>
          <w:rFonts w:ascii="Calibri" w:hAnsi="Calibri"/>
          <w:sz w:val="20"/>
          <w:szCs w:val="20"/>
        </w:rPr>
        <w:t xml:space="preserve"> A financial analysis will be conducted to describe how tourism revenue currently flows in the system: e.g. the process for collection and processing for entrance fees (including whether in cash or electronic payments); monitoring and accounting for fees received; values accrued and visitor numbers; whether fees are retained locally</w:t>
      </w:r>
      <w:r w:rsidRPr="005F3825">
        <w:rPr>
          <w:rFonts w:ascii="Calibri" w:hAnsi="Calibri"/>
          <w:b/>
          <w:sz w:val="20"/>
          <w:szCs w:val="20"/>
        </w:rPr>
        <w:t xml:space="preserve"> or</w:t>
      </w:r>
      <w:r w:rsidRPr="005F3825">
        <w:rPr>
          <w:rFonts w:ascii="Calibri" w:hAnsi="Calibri"/>
          <w:sz w:val="20"/>
          <w:szCs w:val="20"/>
        </w:rPr>
        <w:t xml:space="preserve"> sent to central government for disbursement; how the protected area budgets are planned and funds allocated; what proportion of the budget requested is fulfilled, and what proportion (if any) comes from tourism revenues. The analysis will review whether there is any benefit sharing mechanism with local communities of tourism fees and provide advice on establishing a transparent system of visitor monitoring, visitor counts, and establishing better local economic impacts. These figures will be used for baseline data in the first year of the project and will be assessed at the end of the project to track changes in visitor numbers, visitor revenue, and revenue to the protected area.</w:t>
      </w:r>
    </w:p>
    <w:p w14:paraId="5B250663" w14:textId="77777777" w:rsidR="00302BFE" w:rsidRPr="00B71BE1"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GB"/>
        </w:rPr>
      </w:pPr>
      <w:r w:rsidRPr="005F3825">
        <w:rPr>
          <w:rFonts w:ascii="Calibri" w:hAnsi="Calibri"/>
          <w:sz w:val="20"/>
          <w:szCs w:val="20"/>
        </w:rPr>
        <w:t xml:space="preserve">b) </w:t>
      </w:r>
      <w:r w:rsidRPr="005F3825">
        <w:rPr>
          <w:rFonts w:ascii="Calibri" w:hAnsi="Calibri"/>
          <w:sz w:val="20"/>
          <w:szCs w:val="20"/>
          <w:u w:val="single"/>
        </w:rPr>
        <w:t>Demand analysis</w:t>
      </w:r>
      <w:r w:rsidRPr="005F3825">
        <w:rPr>
          <w:rFonts w:ascii="Calibri" w:hAnsi="Calibri"/>
          <w:b/>
          <w:sz w:val="20"/>
          <w:szCs w:val="20"/>
        </w:rPr>
        <w:t xml:space="preserve">: </w:t>
      </w:r>
      <w:r w:rsidRPr="005F3825">
        <w:rPr>
          <w:rFonts w:ascii="Calibri" w:hAnsi="Calibri"/>
          <w:sz w:val="20"/>
          <w:szCs w:val="20"/>
        </w:rPr>
        <w:t>A market research</w:t>
      </w:r>
      <w:r w:rsidRPr="005F3825">
        <w:rPr>
          <w:rFonts w:ascii="Calibri" w:hAnsi="Calibri"/>
          <w:b/>
          <w:sz w:val="20"/>
          <w:szCs w:val="20"/>
        </w:rPr>
        <w:t xml:space="preserve"> </w:t>
      </w:r>
      <w:r w:rsidRPr="005F3825">
        <w:rPr>
          <w:rFonts w:ascii="Calibri" w:hAnsi="Calibri"/>
          <w:sz w:val="20"/>
          <w:szCs w:val="20"/>
        </w:rPr>
        <w:t>will be conducted, including a review of tourism in Burkina Faso, and specifically: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7305"/>
      </w:tblGrid>
      <w:tr w:rsidR="00302BFE" w:rsidRPr="00BF343C" w14:paraId="5035BCBD" w14:textId="77777777" w:rsidTr="00243B15">
        <w:trPr>
          <w:tblHeader/>
          <w:jc w:val="center"/>
        </w:trPr>
        <w:tc>
          <w:tcPr>
            <w:tcW w:w="3027" w:type="dxa"/>
            <w:shd w:val="clear" w:color="auto" w:fill="auto"/>
          </w:tcPr>
          <w:p w14:paraId="3672F5B5" w14:textId="77777777" w:rsidR="00302BFE" w:rsidRPr="00806024" w:rsidRDefault="00302BFE" w:rsidP="00243B15">
            <w:pPr>
              <w:rPr>
                <w:b/>
                <w:sz w:val="18"/>
                <w:szCs w:val="18"/>
              </w:rPr>
            </w:pPr>
            <w:r w:rsidRPr="00806024">
              <w:rPr>
                <w:b/>
                <w:sz w:val="18"/>
                <w:szCs w:val="18"/>
              </w:rPr>
              <w:t>Cohort</w:t>
            </w:r>
          </w:p>
        </w:tc>
        <w:tc>
          <w:tcPr>
            <w:tcW w:w="7305" w:type="dxa"/>
            <w:shd w:val="clear" w:color="auto" w:fill="auto"/>
          </w:tcPr>
          <w:p w14:paraId="7348F040" w14:textId="77777777" w:rsidR="00302BFE" w:rsidRPr="00806024" w:rsidRDefault="00302BFE" w:rsidP="00243B15">
            <w:pPr>
              <w:rPr>
                <w:b/>
                <w:sz w:val="18"/>
                <w:szCs w:val="18"/>
              </w:rPr>
            </w:pPr>
            <w:r w:rsidRPr="00806024">
              <w:rPr>
                <w:b/>
                <w:sz w:val="18"/>
                <w:szCs w:val="18"/>
              </w:rPr>
              <w:t>Key research areas</w:t>
            </w:r>
          </w:p>
        </w:tc>
      </w:tr>
      <w:tr w:rsidR="00302BFE" w:rsidRPr="00BF343C" w14:paraId="7014D660" w14:textId="77777777" w:rsidTr="00243B15">
        <w:trPr>
          <w:jc w:val="center"/>
        </w:trPr>
        <w:tc>
          <w:tcPr>
            <w:tcW w:w="3027" w:type="dxa"/>
            <w:shd w:val="clear" w:color="auto" w:fill="auto"/>
          </w:tcPr>
          <w:p w14:paraId="3896714F" w14:textId="77777777" w:rsidR="00302BFE" w:rsidRPr="00806024" w:rsidRDefault="00302BFE" w:rsidP="00243B15">
            <w:pPr>
              <w:rPr>
                <w:b/>
                <w:sz w:val="18"/>
                <w:szCs w:val="18"/>
              </w:rPr>
            </w:pPr>
            <w:r w:rsidRPr="00806024">
              <w:rPr>
                <w:b/>
                <w:sz w:val="18"/>
                <w:szCs w:val="18"/>
              </w:rPr>
              <w:t>2 hunting concessionaires</w:t>
            </w:r>
            <w:r w:rsidRPr="00806024">
              <w:rPr>
                <w:sz w:val="18"/>
                <w:szCs w:val="18"/>
              </w:rPr>
              <w:t xml:space="preserve"> operating in the PONASI landscape (in Nazinga Game Ranch and Sissili Classified Forest)</w:t>
            </w:r>
          </w:p>
        </w:tc>
        <w:tc>
          <w:tcPr>
            <w:tcW w:w="7305" w:type="dxa"/>
            <w:shd w:val="clear" w:color="auto" w:fill="auto"/>
          </w:tcPr>
          <w:p w14:paraId="7E85A495" w14:textId="77777777" w:rsidR="00302BFE" w:rsidRPr="00806024" w:rsidRDefault="00302BFE" w:rsidP="00243B15">
            <w:pPr>
              <w:spacing w:after="40"/>
              <w:rPr>
                <w:sz w:val="18"/>
                <w:szCs w:val="18"/>
              </w:rPr>
            </w:pPr>
            <w:r w:rsidRPr="00806024">
              <w:rPr>
                <w:sz w:val="18"/>
                <w:szCs w:val="18"/>
              </w:rPr>
              <w:t xml:space="preserve">(i) Their perception of the number of visitors that would be willing to visit local attractions &amp; stay longer if they were available; </w:t>
            </w:r>
          </w:p>
          <w:p w14:paraId="6807F3DE" w14:textId="77777777" w:rsidR="00302BFE" w:rsidRPr="00806024" w:rsidRDefault="00302BFE" w:rsidP="00243B15">
            <w:pPr>
              <w:spacing w:after="40"/>
              <w:rPr>
                <w:sz w:val="18"/>
                <w:szCs w:val="18"/>
              </w:rPr>
            </w:pPr>
            <w:r w:rsidRPr="00806024">
              <w:rPr>
                <w:sz w:val="18"/>
                <w:szCs w:val="18"/>
              </w:rPr>
              <w:t xml:space="preserve">(ii) Food, beverage and décor products that they would want to buy locally </w:t>
            </w:r>
          </w:p>
          <w:p w14:paraId="142382B6" w14:textId="77777777" w:rsidR="00302BFE" w:rsidRPr="00806024" w:rsidRDefault="00302BFE" w:rsidP="00243B15">
            <w:pPr>
              <w:spacing w:after="40"/>
              <w:rPr>
                <w:sz w:val="18"/>
                <w:szCs w:val="18"/>
              </w:rPr>
            </w:pPr>
            <w:r w:rsidRPr="00806024">
              <w:rPr>
                <w:sz w:val="18"/>
                <w:szCs w:val="18"/>
              </w:rPr>
              <w:t xml:space="preserve">(iii) Services and human resources that they would like to identify locally (e.g. transport, security, maintenance, construction etc.). </w:t>
            </w:r>
          </w:p>
          <w:p w14:paraId="315A4BA5" w14:textId="77777777" w:rsidR="00302BFE" w:rsidRPr="00806024" w:rsidRDefault="00302BFE" w:rsidP="00243B15">
            <w:pPr>
              <w:spacing w:after="40"/>
              <w:rPr>
                <w:sz w:val="18"/>
                <w:szCs w:val="18"/>
              </w:rPr>
            </w:pPr>
            <w:r w:rsidRPr="00806024">
              <w:rPr>
                <w:sz w:val="18"/>
                <w:szCs w:val="18"/>
              </w:rPr>
              <w:t>Note: Hunters themselves may only be interested in hunting for the period that they are present, but non-hunting members of the groups [e.g. family members, children] may be interested in other activities.</w:t>
            </w:r>
          </w:p>
        </w:tc>
      </w:tr>
      <w:tr w:rsidR="00302BFE" w:rsidRPr="00BF343C" w14:paraId="11232414" w14:textId="77777777" w:rsidTr="00243B15">
        <w:trPr>
          <w:jc w:val="center"/>
        </w:trPr>
        <w:tc>
          <w:tcPr>
            <w:tcW w:w="3027" w:type="dxa"/>
            <w:shd w:val="clear" w:color="auto" w:fill="auto"/>
          </w:tcPr>
          <w:p w14:paraId="6A710E1E" w14:textId="77777777" w:rsidR="00302BFE" w:rsidRPr="00806024" w:rsidRDefault="00302BFE" w:rsidP="00243B15">
            <w:pPr>
              <w:spacing w:after="40"/>
              <w:rPr>
                <w:b/>
                <w:sz w:val="18"/>
                <w:szCs w:val="18"/>
              </w:rPr>
            </w:pPr>
            <w:r w:rsidRPr="00806024">
              <w:rPr>
                <w:b/>
                <w:sz w:val="18"/>
                <w:szCs w:val="18"/>
              </w:rPr>
              <w:t>Tour operators and guides</w:t>
            </w:r>
            <w:r w:rsidRPr="00806024">
              <w:rPr>
                <w:sz w:val="18"/>
                <w:szCs w:val="18"/>
              </w:rPr>
              <w:t xml:space="preserve"> (and or their private sector associations) and hotels based in Ouagadougou</w:t>
            </w:r>
          </w:p>
        </w:tc>
        <w:tc>
          <w:tcPr>
            <w:tcW w:w="7305" w:type="dxa"/>
            <w:vMerge w:val="restart"/>
            <w:shd w:val="clear" w:color="auto" w:fill="auto"/>
          </w:tcPr>
          <w:p w14:paraId="0E378ECF" w14:textId="77777777" w:rsidR="00302BFE" w:rsidRPr="00806024" w:rsidRDefault="00302BFE" w:rsidP="00243B15">
            <w:pPr>
              <w:spacing w:after="40"/>
              <w:rPr>
                <w:sz w:val="18"/>
                <w:szCs w:val="18"/>
              </w:rPr>
            </w:pPr>
            <w:r w:rsidRPr="00806024">
              <w:rPr>
                <w:sz w:val="18"/>
                <w:szCs w:val="18"/>
              </w:rPr>
              <w:t xml:space="preserve">Market potential for providing package tours within PONASI.  </w:t>
            </w:r>
          </w:p>
          <w:p w14:paraId="046E62FC" w14:textId="77777777" w:rsidR="00302BFE" w:rsidRPr="00806024" w:rsidRDefault="00302BFE" w:rsidP="00243B15">
            <w:pPr>
              <w:spacing w:after="40"/>
              <w:rPr>
                <w:sz w:val="18"/>
                <w:szCs w:val="18"/>
              </w:rPr>
            </w:pPr>
            <w:r w:rsidRPr="00806024">
              <w:rPr>
                <w:sz w:val="18"/>
                <w:szCs w:val="18"/>
              </w:rPr>
              <w:t>Identify existing tourism circuits that the PONASI attractions could fit into.</w:t>
            </w:r>
          </w:p>
          <w:p w14:paraId="19D8117A" w14:textId="77777777" w:rsidR="00302BFE" w:rsidRPr="00806024" w:rsidRDefault="00302BFE" w:rsidP="00243B15">
            <w:pPr>
              <w:spacing w:after="40"/>
              <w:rPr>
                <w:b/>
                <w:sz w:val="18"/>
                <w:szCs w:val="18"/>
              </w:rPr>
            </w:pPr>
            <w:r w:rsidRPr="00806024">
              <w:rPr>
                <w:sz w:val="18"/>
                <w:szCs w:val="18"/>
              </w:rPr>
              <w:t>Note: Some of the international and domestic operators may wish to provide mentoring to trainees and/or may be involved in market access activities. later in the process</w:t>
            </w:r>
          </w:p>
        </w:tc>
      </w:tr>
      <w:tr w:rsidR="00302BFE" w:rsidRPr="00BF343C" w14:paraId="415DB100" w14:textId="77777777" w:rsidTr="00243B15">
        <w:trPr>
          <w:jc w:val="center"/>
        </w:trPr>
        <w:tc>
          <w:tcPr>
            <w:tcW w:w="3027" w:type="dxa"/>
            <w:shd w:val="clear" w:color="auto" w:fill="auto"/>
          </w:tcPr>
          <w:p w14:paraId="0C2BD3EF" w14:textId="77777777" w:rsidR="00302BFE" w:rsidRPr="00806024" w:rsidRDefault="00302BFE" w:rsidP="00243B15">
            <w:pPr>
              <w:spacing w:after="40"/>
              <w:rPr>
                <w:b/>
                <w:sz w:val="18"/>
                <w:szCs w:val="18"/>
              </w:rPr>
            </w:pPr>
            <w:r w:rsidRPr="00806024">
              <w:rPr>
                <w:b/>
                <w:sz w:val="18"/>
                <w:szCs w:val="18"/>
              </w:rPr>
              <w:t>International operators</w:t>
            </w:r>
          </w:p>
          <w:p w14:paraId="086E21F0" w14:textId="77777777" w:rsidR="00302BFE" w:rsidRPr="00806024" w:rsidRDefault="00302BFE" w:rsidP="00243B15">
            <w:pPr>
              <w:spacing w:after="40"/>
              <w:rPr>
                <w:b/>
                <w:sz w:val="18"/>
                <w:szCs w:val="18"/>
              </w:rPr>
            </w:pPr>
            <w:r w:rsidRPr="00806024">
              <w:rPr>
                <w:sz w:val="18"/>
                <w:szCs w:val="18"/>
              </w:rPr>
              <w:t>promoting community-oriented protected area tourism</w:t>
            </w:r>
          </w:p>
        </w:tc>
        <w:tc>
          <w:tcPr>
            <w:tcW w:w="7305" w:type="dxa"/>
            <w:vMerge/>
            <w:shd w:val="clear" w:color="auto" w:fill="auto"/>
          </w:tcPr>
          <w:p w14:paraId="0418AAD0" w14:textId="77777777" w:rsidR="00302BFE" w:rsidRPr="00806024" w:rsidRDefault="00302BFE" w:rsidP="00243B15">
            <w:pPr>
              <w:spacing w:after="40"/>
              <w:rPr>
                <w:sz w:val="18"/>
                <w:szCs w:val="18"/>
              </w:rPr>
            </w:pPr>
          </w:p>
        </w:tc>
      </w:tr>
      <w:tr w:rsidR="00302BFE" w:rsidRPr="00BF343C" w14:paraId="348DEBFC" w14:textId="77777777" w:rsidTr="00243B15">
        <w:trPr>
          <w:jc w:val="center"/>
        </w:trPr>
        <w:tc>
          <w:tcPr>
            <w:tcW w:w="3027" w:type="dxa"/>
            <w:shd w:val="clear" w:color="auto" w:fill="auto"/>
          </w:tcPr>
          <w:p w14:paraId="425C12C2" w14:textId="77777777" w:rsidR="00302BFE" w:rsidRPr="00806024" w:rsidRDefault="00302BFE" w:rsidP="00243B15">
            <w:pPr>
              <w:rPr>
                <w:b/>
                <w:sz w:val="18"/>
                <w:szCs w:val="18"/>
              </w:rPr>
            </w:pPr>
            <w:r w:rsidRPr="00806024">
              <w:rPr>
                <w:b/>
                <w:sz w:val="18"/>
                <w:szCs w:val="18"/>
              </w:rPr>
              <w:t>Visitors in the protected areas</w:t>
            </w:r>
          </w:p>
        </w:tc>
        <w:tc>
          <w:tcPr>
            <w:tcW w:w="7305" w:type="dxa"/>
            <w:shd w:val="clear" w:color="auto" w:fill="auto"/>
          </w:tcPr>
          <w:p w14:paraId="61487A6F" w14:textId="77777777" w:rsidR="00302BFE" w:rsidRPr="00806024" w:rsidRDefault="00302BFE" w:rsidP="00243B15">
            <w:pPr>
              <w:spacing w:after="40"/>
              <w:rPr>
                <w:sz w:val="18"/>
                <w:szCs w:val="18"/>
              </w:rPr>
            </w:pPr>
            <w:r w:rsidRPr="00806024">
              <w:rPr>
                <w:sz w:val="18"/>
                <w:szCs w:val="18"/>
              </w:rPr>
              <w:t xml:space="preserve">Their interest and willingness to pay for the range of tourism product options. Include willingness to pay, return visitation. Note for domestic tourists based in Ouagadougou, there may be potential for weekend and day trips, or adding on 1-2 days for visitors already staying at existing accommodation facilities. </w:t>
            </w:r>
          </w:p>
        </w:tc>
      </w:tr>
      <w:tr w:rsidR="00302BFE" w:rsidRPr="00BF343C" w14:paraId="2B45C320" w14:textId="77777777" w:rsidTr="00243B15">
        <w:trPr>
          <w:jc w:val="center"/>
        </w:trPr>
        <w:tc>
          <w:tcPr>
            <w:tcW w:w="3027" w:type="dxa"/>
            <w:shd w:val="clear" w:color="auto" w:fill="auto"/>
          </w:tcPr>
          <w:p w14:paraId="43A2FF75" w14:textId="77777777" w:rsidR="00302BFE" w:rsidRPr="00806024" w:rsidRDefault="00302BFE" w:rsidP="00243B15">
            <w:pPr>
              <w:rPr>
                <w:b/>
                <w:sz w:val="18"/>
                <w:szCs w:val="18"/>
              </w:rPr>
            </w:pPr>
            <w:r w:rsidRPr="00806024">
              <w:rPr>
                <w:b/>
                <w:sz w:val="18"/>
                <w:szCs w:val="18"/>
              </w:rPr>
              <w:t xml:space="preserve">Schools </w:t>
            </w:r>
            <w:r w:rsidRPr="00806024">
              <w:rPr>
                <w:sz w:val="18"/>
                <w:szCs w:val="18"/>
              </w:rPr>
              <w:t>in the PONASI landscape</w:t>
            </w:r>
          </w:p>
        </w:tc>
        <w:tc>
          <w:tcPr>
            <w:tcW w:w="7305" w:type="dxa"/>
            <w:shd w:val="clear" w:color="auto" w:fill="auto"/>
          </w:tcPr>
          <w:p w14:paraId="5F2F0E55" w14:textId="77777777" w:rsidR="00302BFE" w:rsidRPr="00806024" w:rsidRDefault="00302BFE" w:rsidP="00243B15">
            <w:pPr>
              <w:spacing w:after="40"/>
              <w:rPr>
                <w:sz w:val="18"/>
                <w:szCs w:val="18"/>
              </w:rPr>
            </w:pPr>
            <w:r w:rsidRPr="00806024">
              <w:rPr>
                <w:sz w:val="18"/>
                <w:szCs w:val="18"/>
              </w:rPr>
              <w:t>Local educational tours, focusing on conservation and culture. (Note that this cohort of visitors will not generate much revenue within the system, but the educational component is important).</w:t>
            </w:r>
          </w:p>
        </w:tc>
      </w:tr>
    </w:tbl>
    <w:p w14:paraId="2E5B59D9" w14:textId="77777777" w:rsidR="00302BFE" w:rsidRPr="00BC6B71"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rPr>
      </w:pPr>
      <w:r w:rsidRPr="00BC6B71">
        <w:rPr>
          <w:rFonts w:ascii="Calibri" w:hAnsi="Calibri"/>
          <w:sz w:val="20"/>
          <w:szCs w:val="20"/>
          <w:u w:val="single"/>
        </w:rPr>
        <w:lastRenderedPageBreak/>
        <w:t>c) Supply analysis</w:t>
      </w:r>
      <w:r w:rsidRPr="00BC6B71">
        <w:rPr>
          <w:rFonts w:ascii="Calibri" w:hAnsi="Calibri"/>
          <w:sz w:val="20"/>
          <w:szCs w:val="20"/>
        </w:rPr>
        <w:t>: This analysis will include an inventory and mapping of existing tourism attractions and assets across the PONASI landscape, within and outside protected areas. This inventory could be produced on Google Maps to ensure that it is easily shared with tourists and tour operators. The inventory will include (i) Name description, location (GPS coordinates and village identification), price, access, opening hours, contact details for information and bookings if relevant; (ii) Improvement required (infrastructure and equipment) / capacity building needed; (iii) Natural and cultural attractions within and outside protected areas such as waterholes/viewpoints, sacred sites, historical sites, festivals, events).</w:t>
      </w:r>
    </w:p>
    <w:p w14:paraId="0192AEA8" w14:textId="77777777" w:rsidR="00302BFE" w:rsidRPr="00BC6B71"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rPr>
      </w:pPr>
      <w:r w:rsidRPr="00BC6B71">
        <w:rPr>
          <w:rFonts w:ascii="Calibri" w:hAnsi="Calibri"/>
          <w:sz w:val="20"/>
          <w:szCs w:val="20"/>
        </w:rPr>
        <w:t>Identification of attractions and products that need improvement will include specific natural and cultural attractions, tours and circuits that complement the existing wildlife products in the protected areas, using information collected through the inventory on their improvement requirements. Attractions and products will be prioritised based on market potential/demand and the level of interest and commitment of the owner, manager or concessionaire. Based on relatively low occupancies currently in the park, and that they are mainly for hunting, joint venture partnerships are not recommended at this time. The project will rather support management/promotional contracts for smaller scale, easier enterprises and linkages to market. Improvements such as maintenance, upgrades, interpretation, signage, visitor facilities (e.g. public toilets, reception, etc.) will be considered.</w:t>
      </w:r>
    </w:p>
    <w:p w14:paraId="734307D1" w14:textId="77777777" w:rsidR="00302BFE" w:rsidRPr="00BC6B71"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rPr>
      </w:pPr>
      <w:r w:rsidRPr="00BC6B71">
        <w:rPr>
          <w:rFonts w:ascii="Calibri" w:hAnsi="Calibri"/>
          <w:sz w:val="20"/>
          <w:szCs w:val="20"/>
        </w:rPr>
        <w:t>Product development or improvement options could include:</w:t>
      </w:r>
    </w:p>
    <w:p w14:paraId="6D8FE43F" w14:textId="77777777" w:rsidR="00302BFE" w:rsidRPr="005F3825" w:rsidRDefault="00302BFE" w:rsidP="00C46720">
      <w:pPr>
        <w:pStyle w:val="Paragraphedeliste"/>
        <w:numPr>
          <w:ilvl w:val="0"/>
          <w:numId w:val="24"/>
        </w:numPr>
        <w:spacing w:before="120" w:after="120"/>
        <w:contextualSpacing/>
        <w:jc w:val="both"/>
        <w:rPr>
          <w:rFonts w:ascii="Calibri" w:hAnsi="Calibri" w:cs="Calibri Light"/>
          <w:sz w:val="20"/>
          <w:szCs w:val="20"/>
        </w:rPr>
      </w:pPr>
      <w:r w:rsidRPr="005F3825">
        <w:rPr>
          <w:rFonts w:ascii="Calibri" w:hAnsi="Calibri"/>
          <w:sz w:val="20"/>
          <w:szCs w:val="20"/>
          <w:u w:val="single"/>
        </w:rPr>
        <w:t>Historical sites outside the protected areas</w:t>
      </w:r>
      <w:r w:rsidRPr="005F3825">
        <w:rPr>
          <w:rFonts w:ascii="Calibri" w:hAnsi="Calibri"/>
          <w:sz w:val="20"/>
          <w:szCs w:val="20"/>
        </w:rPr>
        <w:t xml:space="preserve">: </w:t>
      </w:r>
      <w:r w:rsidRPr="005F3825">
        <w:rPr>
          <w:rFonts w:ascii="Calibri" w:hAnsi="Calibri" w:cs="Calibri Light"/>
          <w:sz w:val="20"/>
          <w:szCs w:val="20"/>
        </w:rPr>
        <w:t xml:space="preserve">Binger's Tiakane hut, the Noriyida mosque, the Naba Bilgo weavers' workshop, the Yennenga forge, or the Kollo granite rock are sites that tell the story of human occupation </w:t>
      </w:r>
    </w:p>
    <w:p w14:paraId="44342BEA" w14:textId="77777777" w:rsidR="00302BFE" w:rsidRPr="005F3825" w:rsidRDefault="00302BFE" w:rsidP="00C46720">
      <w:pPr>
        <w:pStyle w:val="Paragraphedeliste"/>
        <w:numPr>
          <w:ilvl w:val="0"/>
          <w:numId w:val="24"/>
        </w:numPr>
        <w:spacing w:before="120" w:after="120"/>
        <w:contextualSpacing/>
        <w:jc w:val="both"/>
        <w:rPr>
          <w:rFonts w:ascii="Calibri" w:hAnsi="Calibri" w:cs="Calibri Light"/>
          <w:sz w:val="20"/>
          <w:szCs w:val="20"/>
        </w:rPr>
      </w:pPr>
      <w:r w:rsidRPr="005F3825">
        <w:rPr>
          <w:rFonts w:ascii="Calibri" w:hAnsi="Calibri" w:cs="Calibri Light"/>
          <w:sz w:val="20"/>
          <w:szCs w:val="20"/>
          <w:u w:val="single"/>
        </w:rPr>
        <w:t>Artistic and cultural events</w:t>
      </w:r>
      <w:r w:rsidRPr="005F3825">
        <w:rPr>
          <w:rFonts w:ascii="Calibri" w:hAnsi="Calibri" w:cs="Calibri Light"/>
          <w:sz w:val="20"/>
          <w:szCs w:val="20"/>
        </w:rPr>
        <w:t>: Electronic diary of events taking place. Establish whether any require support to improve visitor management/promotion (e.g. Saponé hat; painting of royal courts; storytelling)</w:t>
      </w:r>
    </w:p>
    <w:p w14:paraId="2085808F" w14:textId="77777777" w:rsidR="00302BFE" w:rsidRPr="005F3825" w:rsidRDefault="00302BFE" w:rsidP="00C46720">
      <w:pPr>
        <w:pStyle w:val="Paragraphedeliste"/>
        <w:numPr>
          <w:ilvl w:val="0"/>
          <w:numId w:val="24"/>
        </w:numPr>
        <w:spacing w:before="120" w:after="120"/>
        <w:contextualSpacing/>
        <w:jc w:val="both"/>
        <w:rPr>
          <w:rFonts w:ascii="Calibri" w:hAnsi="Calibri" w:cs="Calibri Light"/>
          <w:sz w:val="20"/>
          <w:szCs w:val="20"/>
        </w:rPr>
      </w:pPr>
      <w:r w:rsidRPr="005F3825">
        <w:rPr>
          <w:rFonts w:ascii="Calibri" w:hAnsi="Calibri" w:cs="Calibri Light"/>
          <w:sz w:val="20"/>
          <w:szCs w:val="20"/>
          <w:u w:val="single"/>
        </w:rPr>
        <w:t>Hiking tours</w:t>
      </w:r>
      <w:r w:rsidRPr="005F3825">
        <w:rPr>
          <w:rFonts w:ascii="Calibri" w:hAnsi="Calibri" w:cs="Calibri Light"/>
          <w:b/>
          <w:sz w:val="20"/>
          <w:szCs w:val="20"/>
        </w:rPr>
        <w:t xml:space="preserve">: </w:t>
      </w:r>
      <w:r w:rsidRPr="005F3825">
        <w:rPr>
          <w:rFonts w:ascii="Calibri" w:hAnsi="Calibri" w:cs="Calibri Light"/>
          <w:sz w:val="20"/>
          <w:szCs w:val="20"/>
        </w:rPr>
        <w:t>Both guided, and self</w:t>
      </w:r>
      <w:r>
        <w:rPr>
          <w:rFonts w:ascii="Calibri" w:hAnsi="Calibri" w:cs="Calibri Light"/>
          <w:sz w:val="20"/>
          <w:szCs w:val="20"/>
        </w:rPr>
        <w:t>-</w:t>
      </w:r>
      <w:r w:rsidRPr="005F3825">
        <w:rPr>
          <w:rFonts w:ascii="Calibri" w:hAnsi="Calibri" w:cs="Calibri Light"/>
          <w:sz w:val="20"/>
          <w:szCs w:val="20"/>
        </w:rPr>
        <w:t>guided.</w:t>
      </w:r>
    </w:p>
    <w:p w14:paraId="3CA1AB8A" w14:textId="77777777" w:rsidR="00302BFE" w:rsidRPr="005F3825" w:rsidRDefault="00302BFE" w:rsidP="00C46720">
      <w:pPr>
        <w:pStyle w:val="Paragraphedeliste"/>
        <w:numPr>
          <w:ilvl w:val="0"/>
          <w:numId w:val="24"/>
        </w:numPr>
        <w:spacing w:before="120" w:after="120"/>
        <w:contextualSpacing/>
        <w:jc w:val="both"/>
        <w:rPr>
          <w:rFonts w:ascii="Calibri" w:hAnsi="Calibri" w:cs="Calibri Light"/>
          <w:sz w:val="20"/>
          <w:szCs w:val="20"/>
        </w:rPr>
      </w:pPr>
      <w:r w:rsidRPr="005F3825">
        <w:rPr>
          <w:rFonts w:ascii="Calibri" w:hAnsi="Calibri" w:cs="Calibri Light"/>
          <w:sz w:val="20"/>
          <w:szCs w:val="20"/>
          <w:u w:val="single"/>
        </w:rPr>
        <w:t>Boat and canoe trips</w:t>
      </w:r>
      <w:r w:rsidRPr="005F3825">
        <w:rPr>
          <w:rFonts w:ascii="Calibri" w:hAnsi="Calibri" w:cs="Calibri Light"/>
          <w:sz w:val="20"/>
          <w:szCs w:val="20"/>
        </w:rPr>
        <w:t xml:space="preserve"> on Nazinon River.</w:t>
      </w:r>
    </w:p>
    <w:p w14:paraId="213EB2D0" w14:textId="77777777" w:rsidR="00302BFE" w:rsidRPr="005F3825" w:rsidRDefault="00302BFE" w:rsidP="00C46720">
      <w:pPr>
        <w:pStyle w:val="Paragraphedeliste"/>
        <w:numPr>
          <w:ilvl w:val="0"/>
          <w:numId w:val="24"/>
        </w:numPr>
        <w:spacing w:before="120" w:after="120"/>
        <w:contextualSpacing/>
        <w:jc w:val="both"/>
        <w:rPr>
          <w:rFonts w:ascii="Calibri" w:hAnsi="Calibri" w:cs="Calibri Light"/>
          <w:sz w:val="20"/>
          <w:szCs w:val="20"/>
        </w:rPr>
      </w:pPr>
      <w:r w:rsidRPr="005F3825">
        <w:rPr>
          <w:rFonts w:ascii="Calibri" w:hAnsi="Calibri" w:cs="Calibri Light"/>
          <w:sz w:val="20"/>
          <w:szCs w:val="20"/>
          <w:u w:val="single"/>
        </w:rPr>
        <w:t>Homestays and village-based eateries</w:t>
      </w:r>
      <w:r w:rsidRPr="005F3825">
        <w:rPr>
          <w:rFonts w:ascii="Calibri" w:hAnsi="Calibri" w:cs="Calibri Light"/>
          <w:b/>
          <w:sz w:val="20"/>
          <w:szCs w:val="20"/>
        </w:rPr>
        <w:t xml:space="preserve"> </w:t>
      </w:r>
      <w:r w:rsidRPr="005F3825">
        <w:rPr>
          <w:rFonts w:ascii="Calibri" w:hAnsi="Calibri" w:cs="Calibri Light"/>
          <w:sz w:val="20"/>
          <w:szCs w:val="20"/>
        </w:rPr>
        <w:t>serving traditional meals and beverages using local products</w:t>
      </w:r>
      <w:r w:rsidRPr="005F3825">
        <w:rPr>
          <w:rFonts w:ascii="Calibri" w:hAnsi="Calibri" w:cs="Calibri Light"/>
          <w:b/>
          <w:sz w:val="20"/>
          <w:szCs w:val="20"/>
        </w:rPr>
        <w:t xml:space="preserve"> </w:t>
      </w:r>
      <w:r w:rsidRPr="005F3825">
        <w:rPr>
          <w:rFonts w:ascii="Calibri" w:hAnsi="Calibri" w:cs="Calibri Light"/>
          <w:sz w:val="20"/>
          <w:szCs w:val="20"/>
        </w:rPr>
        <w:t>e.g. juice processing (such as ginger juice, bissap, tamarind, liane goïne)</w:t>
      </w:r>
      <w:r w:rsidRPr="005F3825">
        <w:rPr>
          <w:rFonts w:ascii="Calibri" w:hAnsi="Calibri" w:cs="Calibri Light"/>
          <w:b/>
          <w:sz w:val="20"/>
          <w:szCs w:val="20"/>
        </w:rPr>
        <w:t xml:space="preserve">: </w:t>
      </w:r>
      <w:r w:rsidRPr="005F3825">
        <w:rPr>
          <w:rFonts w:ascii="Calibri" w:hAnsi="Calibri" w:cs="Calibri Light"/>
          <w:sz w:val="20"/>
          <w:szCs w:val="20"/>
        </w:rPr>
        <w:t>Support will include a review of existing facilities and merit-based grants for upgrading infrastructure to improve suitability for national and international tourists (including ecological toilets, coolers, fire extinguishers, etc).</w:t>
      </w:r>
      <w:r w:rsidRPr="005F3825">
        <w:rPr>
          <w:rFonts w:ascii="Calibri" w:hAnsi="Calibri" w:cs="Calibri Light"/>
          <w:b/>
          <w:sz w:val="20"/>
          <w:szCs w:val="20"/>
        </w:rPr>
        <w:t xml:space="preserve"> </w:t>
      </w:r>
    </w:p>
    <w:p w14:paraId="7D5E9BB1" w14:textId="77777777" w:rsidR="00302BFE" w:rsidRPr="005F3825" w:rsidRDefault="00302BFE" w:rsidP="00C46720">
      <w:pPr>
        <w:pStyle w:val="Paragraphedeliste"/>
        <w:numPr>
          <w:ilvl w:val="0"/>
          <w:numId w:val="24"/>
        </w:numPr>
        <w:spacing w:before="120" w:after="120"/>
        <w:contextualSpacing/>
        <w:jc w:val="both"/>
        <w:rPr>
          <w:rFonts w:ascii="Calibri" w:hAnsi="Calibri" w:cs="Calibri Light"/>
          <w:sz w:val="20"/>
          <w:szCs w:val="20"/>
          <w:u w:val="single"/>
        </w:rPr>
      </w:pPr>
      <w:r w:rsidRPr="005F3825">
        <w:rPr>
          <w:rFonts w:ascii="Calibri" w:hAnsi="Calibri" w:cs="Calibri Light"/>
          <w:sz w:val="20"/>
          <w:szCs w:val="20"/>
          <w:u w:val="single"/>
        </w:rPr>
        <w:t>Construction and maintenance</w:t>
      </w:r>
    </w:p>
    <w:p w14:paraId="3187D61B" w14:textId="77777777" w:rsidR="00302BFE" w:rsidRPr="005F3825" w:rsidRDefault="00302BFE" w:rsidP="00C46720">
      <w:pPr>
        <w:pStyle w:val="Paragraphedeliste"/>
        <w:numPr>
          <w:ilvl w:val="0"/>
          <w:numId w:val="24"/>
        </w:numPr>
        <w:spacing w:before="120" w:after="120"/>
        <w:ind w:left="714" w:hanging="357"/>
        <w:jc w:val="both"/>
        <w:rPr>
          <w:rFonts w:ascii="Calibri" w:hAnsi="Calibri" w:cs="Calibri Light"/>
          <w:sz w:val="20"/>
          <w:szCs w:val="20"/>
        </w:rPr>
      </w:pPr>
      <w:r w:rsidRPr="005F3825">
        <w:rPr>
          <w:rFonts w:ascii="Calibri" w:hAnsi="Calibri" w:cs="Calibri Light"/>
          <w:sz w:val="20"/>
          <w:szCs w:val="20"/>
          <w:u w:val="single"/>
        </w:rPr>
        <w:t>Handicraft production</w:t>
      </w:r>
      <w:r w:rsidRPr="005F3825">
        <w:rPr>
          <w:rFonts w:ascii="Calibri" w:hAnsi="Calibri" w:cs="Calibri Light"/>
          <w:sz w:val="20"/>
          <w:szCs w:val="20"/>
        </w:rPr>
        <w:t xml:space="preserve"> made by local people to furnish tourism facilities. </w:t>
      </w:r>
    </w:p>
    <w:p w14:paraId="432D8693" w14:textId="77777777" w:rsidR="00302BFE" w:rsidRPr="005F382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rPr>
      </w:pPr>
      <w:r w:rsidRPr="005F3825">
        <w:rPr>
          <w:rFonts w:ascii="Calibri" w:hAnsi="Calibri" w:cs="Calibri Light"/>
          <w:sz w:val="20"/>
          <w:szCs w:val="20"/>
        </w:rPr>
        <w:t xml:space="preserve">d) </w:t>
      </w:r>
      <w:r w:rsidRPr="005F3825">
        <w:rPr>
          <w:rFonts w:ascii="Calibri" w:hAnsi="Calibri" w:cs="Calibri Light"/>
          <w:sz w:val="20"/>
          <w:szCs w:val="20"/>
          <w:u w:val="single"/>
        </w:rPr>
        <w:t>Human Resources</w:t>
      </w:r>
      <w:r w:rsidRPr="005F3825">
        <w:rPr>
          <w:rFonts w:ascii="Calibri" w:hAnsi="Calibri" w:cs="Calibri Light"/>
          <w:sz w:val="20"/>
          <w:szCs w:val="20"/>
        </w:rPr>
        <w:t>:</w:t>
      </w:r>
      <w:r w:rsidRPr="005F3825">
        <w:rPr>
          <w:rFonts w:ascii="Calibri" w:hAnsi="Calibri" w:cs="Calibri Light"/>
          <w:b/>
          <w:sz w:val="20"/>
          <w:szCs w:val="20"/>
        </w:rPr>
        <w:t xml:space="preserve"> </w:t>
      </w:r>
      <w:r w:rsidRPr="005F3825">
        <w:rPr>
          <w:rFonts w:ascii="Calibri" w:hAnsi="Calibri" w:cs="Calibri Light"/>
          <w:sz w:val="20"/>
          <w:szCs w:val="20"/>
        </w:rPr>
        <w:t>This will include an assessment of the status of current human resources for tourism and visitor management in the area (both within the protected areas and in communities within the PONASI landscape), identification of available training and capacity building materials and institutions in Burkina Faso, and gaps and requirements. Potential training institutions will be asked to bid for the subsequent capacity building program.</w:t>
      </w:r>
    </w:p>
    <w:p w14:paraId="44909B28" w14:textId="77777777" w:rsidR="00302BFE" w:rsidRPr="005F3825" w:rsidRDefault="00302BFE" w:rsidP="00C46720">
      <w:pPr>
        <w:pStyle w:val="Paragraphedeliste"/>
        <w:numPr>
          <w:ilvl w:val="0"/>
          <w:numId w:val="14"/>
        </w:numPr>
        <w:tabs>
          <w:tab w:val="left" w:pos="284"/>
        </w:tabs>
        <w:spacing w:before="120" w:after="120"/>
        <w:ind w:left="0" w:firstLine="0"/>
        <w:jc w:val="both"/>
        <w:rPr>
          <w:rFonts w:ascii="Calibri" w:hAnsi="Calibri" w:cs="Calibri Light"/>
          <w:sz w:val="20"/>
          <w:szCs w:val="20"/>
        </w:rPr>
      </w:pPr>
      <w:r w:rsidRPr="005F3825">
        <w:rPr>
          <w:rFonts w:ascii="Calibri" w:hAnsi="Calibri" w:cs="Calibri Light"/>
          <w:sz w:val="20"/>
          <w:szCs w:val="20"/>
        </w:rPr>
        <w:t xml:space="preserve">e) </w:t>
      </w:r>
      <w:r w:rsidRPr="005F3825">
        <w:rPr>
          <w:rFonts w:ascii="Calibri" w:hAnsi="Calibri" w:cs="Calibri Light"/>
          <w:sz w:val="20"/>
          <w:szCs w:val="20"/>
          <w:u w:val="single"/>
        </w:rPr>
        <w:t>Enabling factors</w:t>
      </w:r>
      <w:r w:rsidRPr="005F3825">
        <w:rPr>
          <w:rFonts w:ascii="Calibri" w:hAnsi="Calibri" w:cs="Calibri Light"/>
          <w:sz w:val="20"/>
          <w:szCs w:val="20"/>
        </w:rPr>
        <w:t>:</w:t>
      </w:r>
      <w:r w:rsidRPr="005F3825">
        <w:rPr>
          <w:rFonts w:ascii="Calibri" w:hAnsi="Calibri" w:cs="Calibri Light"/>
          <w:b/>
          <w:sz w:val="20"/>
          <w:szCs w:val="20"/>
        </w:rPr>
        <w:t xml:space="preserve"> </w:t>
      </w:r>
      <w:r w:rsidRPr="005F3825">
        <w:rPr>
          <w:rFonts w:ascii="Calibri" w:hAnsi="Calibri"/>
          <w:sz w:val="20"/>
          <w:szCs w:val="20"/>
        </w:rPr>
        <w:t xml:space="preserve">Because of security risks in the country (see </w:t>
      </w:r>
      <w:r w:rsidRPr="00A93827">
        <w:rPr>
          <w:rFonts w:ascii="Calibri" w:hAnsi="Calibri"/>
          <w:sz w:val="20"/>
          <w:szCs w:val="20"/>
        </w:rPr>
        <w:t>Figure 3</w:t>
      </w:r>
      <w:r w:rsidRPr="005F3825">
        <w:rPr>
          <w:rFonts w:ascii="Calibri" w:hAnsi="Calibri"/>
          <w:sz w:val="20"/>
          <w:szCs w:val="20"/>
        </w:rPr>
        <w:t xml:space="preserve">), the project will initially look at domestic travel (including from expatriates) and business travelers (who want an add-on tour) from Ouagadougou and existing visitors (e.g. hunters and their entourage; people staying for elephant viewing). Transportation linkages to the PONASI complex and plans for road improvement are described within the </w:t>
      </w:r>
      <w:r w:rsidRPr="005F3825">
        <w:rPr>
          <w:rFonts w:ascii="Calibri" w:hAnsi="Calibri"/>
          <w:i/>
          <w:sz w:val="20"/>
          <w:szCs w:val="20"/>
        </w:rPr>
        <w:t>Schéma National d’Aménagement et de Développement Durable du Territoire</w:t>
      </w:r>
      <w:r w:rsidRPr="005F3825">
        <w:rPr>
          <w:rFonts w:ascii="Calibri" w:hAnsi="Calibri"/>
          <w:sz w:val="20"/>
          <w:szCs w:val="20"/>
        </w:rPr>
        <w:t>. Local safety and security issues in the PONASI landscape will be identified and assessed, as well as the need for additional support (e.g. tourism police).</w:t>
      </w:r>
    </w:p>
    <w:tbl>
      <w:tblPr>
        <w:tblpPr w:leftFromText="180" w:rightFromText="180" w:vertAnchor="text" w:tblpXSpec="right" w:tblpY="1"/>
        <w:tblOverlap w:val="never"/>
        <w:tblW w:w="0" w:type="auto"/>
        <w:jc w:val="right"/>
        <w:tblLook w:val="04A0" w:firstRow="1" w:lastRow="0" w:firstColumn="1" w:lastColumn="0" w:noHBand="0" w:noVBand="1"/>
      </w:tblPr>
      <w:tblGrid>
        <w:gridCol w:w="4026"/>
      </w:tblGrid>
      <w:tr w:rsidR="00302BFE" w:rsidRPr="00C3794E" w14:paraId="78138F2A" w14:textId="77777777" w:rsidTr="00243B15">
        <w:trPr>
          <w:trHeight w:val="2977"/>
          <w:jc w:val="right"/>
        </w:trPr>
        <w:tc>
          <w:tcPr>
            <w:tcW w:w="3372" w:type="dxa"/>
            <w:shd w:val="clear" w:color="auto" w:fill="auto"/>
          </w:tcPr>
          <w:p w14:paraId="7A9D1AA1" w14:textId="32A4C0A7" w:rsidR="00302BFE" w:rsidRPr="00C3794E" w:rsidRDefault="008F0CCA" w:rsidP="00243B15">
            <w:pPr>
              <w:rPr>
                <w:sz w:val="14"/>
                <w:szCs w:val="14"/>
                <w:lang w:val="en-CA"/>
              </w:rPr>
            </w:pPr>
            <w:r w:rsidRPr="00A63E29">
              <w:rPr>
                <w:b/>
                <w:noProof/>
                <w:szCs w:val="20"/>
                <w:highlight w:val="yellow"/>
              </w:rPr>
              <w:drawing>
                <wp:anchor distT="0" distB="0" distL="114300" distR="114300" simplePos="0" relativeHeight="251658752" behindDoc="0" locked="0" layoutInCell="1" allowOverlap="1" wp14:anchorId="23364946" wp14:editId="74A5BA06">
                  <wp:simplePos x="0" y="0"/>
                  <wp:positionH relativeFrom="column">
                    <wp:posOffset>87630</wp:posOffset>
                  </wp:positionH>
                  <wp:positionV relativeFrom="paragraph">
                    <wp:posOffset>24130</wp:posOffset>
                  </wp:positionV>
                  <wp:extent cx="2383790" cy="1786890"/>
                  <wp:effectExtent l="19050" t="19050" r="16510" b="22860"/>
                  <wp:wrapSquare wrapText="bothSides"/>
                  <wp:docPr id="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3790" cy="1786890"/>
                          </a:xfrm>
                          <a:prstGeom prst="rect">
                            <a:avLst/>
                          </a:prstGeom>
                          <a:noFill/>
                          <a:ln w="9525">
                            <a:solidFill>
                              <a:srgbClr val="4472C4"/>
                            </a:solidFill>
                            <a:miter lim="800000"/>
                            <a:headEnd/>
                            <a:tailEnd/>
                          </a:ln>
                        </pic:spPr>
                      </pic:pic>
                    </a:graphicData>
                  </a:graphic>
                  <wp14:sizeRelH relativeFrom="margin">
                    <wp14:pctWidth>0</wp14:pctWidth>
                  </wp14:sizeRelH>
                  <wp14:sizeRelV relativeFrom="margin">
                    <wp14:pctHeight>0</wp14:pctHeight>
                  </wp14:sizeRelV>
                </wp:anchor>
              </w:drawing>
            </w:r>
            <w:r w:rsidRPr="00A63E29">
              <w:rPr>
                <w:b/>
                <w:szCs w:val="20"/>
                <w:highlight w:val="yellow"/>
                <w:lang w:val="en-CA"/>
              </w:rPr>
              <w:t>Map</w:t>
            </w:r>
            <w:r w:rsidRPr="00875BF2">
              <w:rPr>
                <w:b/>
                <w:szCs w:val="20"/>
                <w:lang w:val="en-CA"/>
              </w:rPr>
              <w:t xml:space="preserve"> </w:t>
            </w:r>
            <w:r w:rsidR="00302BFE" w:rsidRPr="00875BF2">
              <w:rPr>
                <w:b/>
                <w:szCs w:val="20"/>
                <w:lang w:val="en-CA"/>
              </w:rPr>
              <w:t>3. Security situation in Burkina Faso in February 2019</w:t>
            </w:r>
            <w:r w:rsidR="00302BFE" w:rsidRPr="00875BF2">
              <w:rPr>
                <w:sz w:val="14"/>
                <w:szCs w:val="14"/>
                <w:lang w:val="en-CA"/>
              </w:rPr>
              <w:t xml:space="preserve"> </w:t>
            </w:r>
            <w:r w:rsidR="00302BFE" w:rsidRPr="00875BF2">
              <w:rPr>
                <w:sz w:val="16"/>
                <w:szCs w:val="16"/>
                <w:lang w:val="en-CA"/>
              </w:rPr>
              <w:t>- Source: https://www.gov.uk/foreign-travel-advice/burkina-faso</w:t>
            </w:r>
            <w:r w:rsidR="00302BFE" w:rsidRPr="00C3794E">
              <w:rPr>
                <w:noProof/>
                <w:sz w:val="14"/>
                <w:szCs w:val="14"/>
                <w:lang w:val="en-CA"/>
              </w:rPr>
              <w:t xml:space="preserve"> </w:t>
            </w:r>
          </w:p>
        </w:tc>
      </w:tr>
    </w:tbl>
    <w:p w14:paraId="2168480E" w14:textId="013E90AB" w:rsidR="00302BFE" w:rsidRDefault="00302BFE" w:rsidP="00302BFE">
      <w:pPr>
        <w:rPr>
          <w:i/>
          <w:color w:val="4472C4"/>
          <w:szCs w:val="20"/>
          <w:lang w:val="en-GB"/>
        </w:rPr>
      </w:pPr>
      <w:r w:rsidRPr="00BF343C">
        <w:rPr>
          <w:i/>
          <w:color w:val="4472C4"/>
          <w:szCs w:val="20"/>
          <w:lang w:val="en-GB"/>
        </w:rPr>
        <w:t>3.4.2: Establish and support a PONASI destination management organisation</w:t>
      </w:r>
    </w:p>
    <w:p w14:paraId="58409EBA" w14:textId="65A31D92" w:rsidR="003C3F01" w:rsidRPr="00BE65D5" w:rsidRDefault="003C3F01" w:rsidP="00BE65D5">
      <w:pPr>
        <w:spacing w:before="120" w:after="120"/>
        <w:rPr>
          <w:iCs/>
          <w:color w:val="4472C4"/>
          <w:szCs w:val="20"/>
          <w:lang w:val="en-GB"/>
        </w:rPr>
      </w:pPr>
      <w:r w:rsidRPr="003F4704">
        <w:rPr>
          <w:iCs/>
          <w:color w:val="4472C4"/>
          <w:szCs w:val="20"/>
          <w:highlight w:val="green"/>
          <w:lang w:val="en-GB"/>
        </w:rPr>
        <w:t>For this activity, the FPIC (Free, Prior and Informed Consent) process has to be ensured</w:t>
      </w:r>
    </w:p>
    <w:p w14:paraId="38A0F610" w14:textId="77777777" w:rsidR="00302BFE" w:rsidRPr="005F3825" w:rsidRDefault="00302BFE" w:rsidP="00C46720">
      <w:pPr>
        <w:pStyle w:val="Paragraphedeliste"/>
        <w:numPr>
          <w:ilvl w:val="0"/>
          <w:numId w:val="14"/>
        </w:numPr>
        <w:tabs>
          <w:tab w:val="left" w:pos="284"/>
        </w:tabs>
        <w:spacing w:before="120" w:after="120"/>
        <w:ind w:left="0" w:firstLine="0"/>
        <w:jc w:val="both"/>
        <w:rPr>
          <w:rFonts w:ascii="Calibri" w:hAnsi="Calibri" w:cs="Calibri Light"/>
          <w:sz w:val="20"/>
          <w:szCs w:val="20"/>
        </w:rPr>
      </w:pPr>
      <w:r w:rsidRPr="005F3825">
        <w:rPr>
          <w:rFonts w:ascii="Calibri" w:hAnsi="Calibri" w:cs="Calibri Light"/>
          <w:sz w:val="20"/>
          <w:szCs w:val="20"/>
        </w:rPr>
        <w:t>A PONASI destination management organization will be established as a collaboration between government, private sector and small, medium and micro enterprises, and civil society associations linked to tourism. This will be established at the start of the process involving people who participated in the strategy development and will evolve during the implementation process. This could be based within the authorities at commune level and led by the officer in charge of tourism to ensure the long-term sustainability of the trainings and that implementation of the strategy is in line with the national development plans.</w:t>
      </w:r>
    </w:p>
    <w:p w14:paraId="120C8767" w14:textId="3DB2649F" w:rsidR="00302BFE" w:rsidRDefault="00302BFE" w:rsidP="00302BFE">
      <w:pPr>
        <w:spacing w:before="120" w:after="120"/>
        <w:rPr>
          <w:i/>
          <w:color w:val="4472C4"/>
          <w:szCs w:val="20"/>
          <w:lang w:val="en-GB"/>
        </w:rPr>
      </w:pPr>
      <w:r w:rsidRPr="00BF343C">
        <w:rPr>
          <w:i/>
          <w:color w:val="4472C4"/>
          <w:szCs w:val="20"/>
          <w:lang w:val="en-GB"/>
        </w:rPr>
        <w:t>3.4.3 Tourism and hospitality capacity building and training program</w:t>
      </w:r>
    </w:p>
    <w:p w14:paraId="7FCB07E4" w14:textId="6F683FC0" w:rsidR="003C3F01" w:rsidRPr="00BE65D5" w:rsidRDefault="003C3F01" w:rsidP="00302BFE">
      <w:pPr>
        <w:spacing w:before="120" w:after="120"/>
        <w:rPr>
          <w:iCs/>
          <w:color w:val="4472C4"/>
          <w:szCs w:val="20"/>
          <w:lang w:val="en-GB"/>
        </w:rPr>
      </w:pPr>
      <w:r w:rsidRPr="003F4704">
        <w:rPr>
          <w:iCs/>
          <w:color w:val="4472C4"/>
          <w:szCs w:val="20"/>
          <w:highlight w:val="green"/>
          <w:lang w:val="en-GB"/>
        </w:rPr>
        <w:t>For this activity, the FPIC (Free, Prior and Informed Consent) process has to be ensured</w:t>
      </w:r>
    </w:p>
    <w:p w14:paraId="05B327C1" w14:textId="77777777" w:rsidR="00302BFE" w:rsidRPr="005F3825" w:rsidRDefault="00302BFE" w:rsidP="00C46720">
      <w:pPr>
        <w:pStyle w:val="Paragraphedeliste"/>
        <w:numPr>
          <w:ilvl w:val="0"/>
          <w:numId w:val="14"/>
        </w:numPr>
        <w:tabs>
          <w:tab w:val="left" w:pos="284"/>
        </w:tabs>
        <w:spacing w:before="120" w:after="120"/>
        <w:ind w:left="0" w:firstLine="0"/>
        <w:jc w:val="both"/>
        <w:rPr>
          <w:rFonts w:ascii="Calibri" w:hAnsi="Calibri" w:cs="Calibri Light"/>
          <w:sz w:val="20"/>
          <w:szCs w:val="20"/>
        </w:rPr>
      </w:pPr>
      <w:r w:rsidRPr="005F3825">
        <w:rPr>
          <w:rFonts w:ascii="Calibri" w:hAnsi="Calibri"/>
          <w:sz w:val="20"/>
          <w:szCs w:val="20"/>
          <w:u w:val="single"/>
        </w:rPr>
        <w:t>Identification of a service provider</w:t>
      </w:r>
      <w:r w:rsidRPr="005F3825">
        <w:rPr>
          <w:rFonts w:ascii="Calibri" w:hAnsi="Calibri"/>
          <w:sz w:val="20"/>
          <w:szCs w:val="20"/>
        </w:rPr>
        <w:t xml:space="preserve">. The project will contract an existing hospitality institution to provide an institutional home and trainers for tourism capacity building and training. </w:t>
      </w:r>
      <w:r w:rsidRPr="005F3825">
        <w:rPr>
          <w:rFonts w:ascii="Calibri" w:hAnsi="Calibri"/>
          <w:sz w:val="20"/>
          <w:szCs w:val="20"/>
          <w:lang w:val="fr-CA"/>
        </w:rPr>
        <w:t xml:space="preserve">Such institutions could include </w:t>
      </w:r>
      <w:r w:rsidRPr="005F3825">
        <w:rPr>
          <w:rFonts w:ascii="Calibri" w:hAnsi="Calibri"/>
          <w:i/>
          <w:sz w:val="20"/>
          <w:szCs w:val="20"/>
          <w:lang w:val="fr-CA"/>
        </w:rPr>
        <w:t xml:space="preserve">Centre d'Initiation et de Formation </w:t>
      </w:r>
      <w:r w:rsidRPr="005F3825">
        <w:rPr>
          <w:rFonts w:ascii="Calibri" w:hAnsi="Calibri"/>
          <w:i/>
          <w:sz w:val="20"/>
          <w:szCs w:val="20"/>
          <w:lang w:val="fr-CA"/>
        </w:rPr>
        <w:lastRenderedPageBreak/>
        <w:t>Professionnelle en Restauration</w:t>
      </w:r>
      <w:r w:rsidRPr="005F3825">
        <w:rPr>
          <w:rFonts w:ascii="Calibri" w:hAnsi="Calibri"/>
          <w:sz w:val="20"/>
          <w:szCs w:val="20"/>
          <w:lang w:val="fr-CA"/>
        </w:rPr>
        <w:t xml:space="preserve"> based in Ouagadougou, </w:t>
      </w:r>
      <w:hyperlink r:id="rId23" w:history="1">
        <w:r w:rsidRPr="005F3825">
          <w:rPr>
            <w:rFonts w:ascii="Calibri" w:hAnsi="Calibri"/>
            <w:i/>
            <w:sz w:val="20"/>
            <w:szCs w:val="20"/>
            <w:lang w:val="fr-CA"/>
          </w:rPr>
          <w:t>Centre de Formation Professionnel Valba</w:t>
        </w:r>
      </w:hyperlink>
      <w:r w:rsidRPr="005F3825">
        <w:rPr>
          <w:rFonts w:ascii="Calibri" w:hAnsi="Calibri"/>
          <w:bCs/>
          <w:sz w:val="20"/>
          <w:szCs w:val="20"/>
          <w:lang w:val="fr-CA"/>
        </w:rPr>
        <w:t xml:space="preserve">, and/or </w:t>
      </w:r>
      <w:r w:rsidRPr="005F3825">
        <w:rPr>
          <w:rFonts w:ascii="Calibri" w:hAnsi="Calibri"/>
          <w:i/>
          <w:sz w:val="20"/>
          <w:szCs w:val="20"/>
          <w:lang w:val="fr-CA"/>
        </w:rPr>
        <w:t>Ecole professionnelle tourisme, cuisine, hôtellerie</w:t>
      </w:r>
      <w:r w:rsidRPr="005F3825">
        <w:rPr>
          <w:rFonts w:ascii="Calibri" w:hAnsi="Calibri"/>
          <w:sz w:val="20"/>
          <w:szCs w:val="20"/>
          <w:lang w:val="fr-CA"/>
        </w:rPr>
        <w:t xml:space="preserve">, based in Ouagadougou. </w:t>
      </w:r>
      <w:r w:rsidRPr="005F3825">
        <w:rPr>
          <w:rFonts w:ascii="Calibri" w:hAnsi="Calibri"/>
          <w:sz w:val="20"/>
          <w:szCs w:val="20"/>
          <w:lang w:val="en-CA"/>
        </w:rPr>
        <w:t>By working with an existing institution, the project will build a local institutional knowledge and a sustainable ‘home’ for training materials and trainers that can be used in the long term. If needed, the contract will allow the institution to contract-in international training support for the assignment.</w:t>
      </w:r>
    </w:p>
    <w:p w14:paraId="4508C678" w14:textId="77777777" w:rsidR="00302BFE" w:rsidRPr="005F3825" w:rsidRDefault="00302BFE" w:rsidP="00C46720">
      <w:pPr>
        <w:pStyle w:val="Paragraphedeliste"/>
        <w:numPr>
          <w:ilvl w:val="0"/>
          <w:numId w:val="14"/>
        </w:numPr>
        <w:tabs>
          <w:tab w:val="left" w:pos="284"/>
        </w:tabs>
        <w:spacing w:before="120" w:after="120"/>
        <w:ind w:left="0" w:firstLine="0"/>
        <w:jc w:val="both"/>
        <w:rPr>
          <w:rFonts w:ascii="Calibri" w:hAnsi="Calibri" w:cs="Calibri Light"/>
          <w:sz w:val="20"/>
          <w:szCs w:val="20"/>
        </w:rPr>
      </w:pPr>
      <w:r w:rsidRPr="005F3825">
        <w:rPr>
          <w:rFonts w:ascii="Calibri" w:hAnsi="Calibri"/>
          <w:sz w:val="20"/>
          <w:szCs w:val="20"/>
          <w:u w:val="single"/>
          <w:lang w:val="en-CA"/>
        </w:rPr>
        <w:t>Development and/or improvement of training and tourism capacity building materials</w:t>
      </w:r>
      <w:r w:rsidRPr="005F3825">
        <w:rPr>
          <w:rFonts w:ascii="Calibri" w:hAnsi="Calibri"/>
          <w:sz w:val="20"/>
          <w:szCs w:val="20"/>
          <w:lang w:val="en-CA"/>
        </w:rPr>
        <w:t xml:space="preserve"> for </w:t>
      </w:r>
      <w:r w:rsidRPr="005F3825">
        <w:rPr>
          <w:rFonts w:ascii="Calibri" w:hAnsi="Calibri"/>
          <w:sz w:val="20"/>
          <w:szCs w:val="20"/>
        </w:rPr>
        <w:t>tourism and hospitality.</w:t>
      </w:r>
      <w:r w:rsidRPr="005F3825">
        <w:rPr>
          <w:rFonts w:ascii="Calibri" w:hAnsi="Calibri"/>
        </w:rPr>
        <w:t xml:space="preserve"> </w:t>
      </w:r>
      <w:r w:rsidRPr="005F3825">
        <w:rPr>
          <w:rFonts w:ascii="Calibri" w:hAnsi="Calibri"/>
          <w:sz w:val="20"/>
          <w:szCs w:val="20"/>
        </w:rPr>
        <w:t xml:space="preserve">The trainings will focus on the following topics: catering to the type of products in the PONASI landscape and the market demand for new products (e.g. business planning, access to finance, </w:t>
      </w:r>
      <w:r w:rsidRPr="005F3825">
        <w:rPr>
          <w:rFonts w:ascii="Calibri" w:hAnsi="Calibri" w:cs="Calibri Light"/>
          <w:sz w:val="20"/>
          <w:szCs w:val="20"/>
        </w:rPr>
        <w:t xml:space="preserve">reception of tourists, health precautions, safety, food preparation and catering, maintenance and cleanliness, tourist guiding (both natural and cultural), market access, marketing and promotion (including social media), homestay management, market access, peer-to-peer platforms (e.g. Airbnb; booking.com etc.), driving. </w:t>
      </w:r>
      <w:r w:rsidRPr="005F3825">
        <w:rPr>
          <w:rFonts w:ascii="Calibri" w:hAnsi="Calibri"/>
          <w:sz w:val="20"/>
          <w:szCs w:val="20"/>
        </w:rPr>
        <w:t>Training materials will be available in French and local language</w:t>
      </w:r>
      <w:r w:rsidRPr="005F3825">
        <w:rPr>
          <w:rFonts w:ascii="Calibri" w:eastAsia="Times New Roman" w:hAnsi="Calibri"/>
          <w:sz w:val="20"/>
          <w:szCs w:val="20"/>
        </w:rPr>
        <w:t>, depending on local population needs</w:t>
      </w:r>
      <w:r w:rsidRPr="005F3825">
        <w:rPr>
          <w:rFonts w:ascii="Calibri" w:hAnsi="Calibri"/>
          <w:sz w:val="20"/>
          <w:szCs w:val="20"/>
        </w:rPr>
        <w:t>. Training material will be developed and/or improved for trainers (including source materials, power point materials with scripts) and handouts / tests and assignments for students. Due to electricity and internet connectivity constraints, materials should focus on being low-tech. Within the training program, option will be created for trainees to access internships with existing businesses to gain experience.</w:t>
      </w:r>
    </w:p>
    <w:p w14:paraId="7CB2BBA3" w14:textId="77777777" w:rsidR="00302BFE" w:rsidRPr="005F3825" w:rsidRDefault="00302BFE" w:rsidP="00C46720">
      <w:pPr>
        <w:pStyle w:val="Paragraphedeliste"/>
        <w:numPr>
          <w:ilvl w:val="0"/>
          <w:numId w:val="14"/>
        </w:numPr>
        <w:tabs>
          <w:tab w:val="left" w:pos="284"/>
        </w:tabs>
        <w:spacing w:before="120" w:after="120"/>
        <w:ind w:left="0" w:firstLine="0"/>
        <w:jc w:val="both"/>
        <w:rPr>
          <w:rFonts w:ascii="Calibri" w:hAnsi="Calibri" w:cs="Calibri Light"/>
          <w:sz w:val="20"/>
          <w:szCs w:val="20"/>
        </w:rPr>
      </w:pPr>
      <w:r w:rsidRPr="005F3825">
        <w:rPr>
          <w:rFonts w:ascii="Calibri" w:hAnsi="Calibri"/>
          <w:sz w:val="20"/>
          <w:szCs w:val="20"/>
          <w:u w:val="single"/>
        </w:rPr>
        <w:t>Implementation of the trainings</w:t>
      </w:r>
      <w:r w:rsidRPr="005F3825">
        <w:rPr>
          <w:rFonts w:ascii="Calibri" w:hAnsi="Calibri"/>
          <w:sz w:val="20"/>
          <w:szCs w:val="20"/>
        </w:rPr>
        <w:t>. The project will first support the training of trainers at the hospitality institutions to deliver the materials. For the training of other beneficiaries, the project will e</w:t>
      </w:r>
      <w:r w:rsidRPr="005F3825">
        <w:rPr>
          <w:rFonts w:ascii="Calibri" w:hAnsi="Calibri" w:cs="Calibri Light"/>
          <w:sz w:val="20"/>
          <w:szCs w:val="20"/>
        </w:rPr>
        <w:t xml:space="preserve">stablish an application process for trainee candidates and provide access based on merit/potential of villagers and entrepreneurs. The selection of training beneficiaries will prioritize women candidates to reach the target ratio of 70% of women receiving support in the tourism sector, and may include former poachers. </w:t>
      </w:r>
      <w:r w:rsidRPr="005F3825">
        <w:rPr>
          <w:rFonts w:ascii="Calibri" w:hAnsi="Calibri"/>
          <w:sz w:val="20"/>
          <w:szCs w:val="20"/>
        </w:rPr>
        <w:t>At least 100 trainees within the PONASI landscape will be trained though a series of local training workshops. For efficiency, specific trainings addressing the needs/interests of beneficiaries that have similar needs (e.g. homestay owners; tour guides; cultural attraction managers etc.) will be grouped together and sessions will be facilitated by 1-2 trainers. School classrooms within the PONASI landscape will be identified and used for training facilities (or Nahouri Safari in Nazinga Game Ranch has a room that can hold 100 people for meetings that could be hired). Following successful completion of the training, the project will facilitate linkages between trainees and jobs identified in the strategy.</w:t>
      </w:r>
    </w:p>
    <w:p w14:paraId="6FD55872" w14:textId="77777777" w:rsidR="00302BFE" w:rsidRPr="005F3825" w:rsidRDefault="00302BFE" w:rsidP="00C46720">
      <w:pPr>
        <w:pStyle w:val="Paragraphedeliste"/>
        <w:numPr>
          <w:ilvl w:val="0"/>
          <w:numId w:val="14"/>
        </w:numPr>
        <w:tabs>
          <w:tab w:val="left" w:pos="284"/>
        </w:tabs>
        <w:spacing w:before="120" w:after="120"/>
        <w:ind w:left="0" w:firstLine="0"/>
        <w:jc w:val="both"/>
        <w:rPr>
          <w:rFonts w:ascii="Calibri" w:hAnsi="Calibri" w:cs="Calibri Light"/>
          <w:sz w:val="20"/>
          <w:szCs w:val="20"/>
        </w:rPr>
      </w:pPr>
      <w:r w:rsidRPr="005F3825">
        <w:rPr>
          <w:rFonts w:ascii="Calibri" w:hAnsi="Calibri"/>
          <w:sz w:val="20"/>
          <w:szCs w:val="20"/>
        </w:rPr>
        <w:t>The project will support</w:t>
      </w:r>
      <w:r w:rsidRPr="005F3825">
        <w:rPr>
          <w:rFonts w:ascii="Calibri" w:hAnsi="Calibri"/>
          <w:b/>
          <w:sz w:val="20"/>
          <w:szCs w:val="20"/>
        </w:rPr>
        <w:t xml:space="preserve"> </w:t>
      </w:r>
      <w:r w:rsidRPr="005F3825">
        <w:rPr>
          <w:rFonts w:ascii="Calibri" w:hAnsi="Calibri"/>
          <w:sz w:val="20"/>
          <w:szCs w:val="20"/>
          <w:u w:val="single"/>
        </w:rPr>
        <w:t>initiation of a local community tourism association</w:t>
      </w:r>
      <w:r w:rsidRPr="005F3825">
        <w:rPr>
          <w:rFonts w:ascii="Calibri" w:hAnsi="Calibri"/>
          <w:sz w:val="20"/>
          <w:szCs w:val="20"/>
        </w:rPr>
        <w:t xml:space="preserve"> with the trainees, if possible linked to existing structures, including the establishment of an online presence for the entity (e.g. social media site). This association would gather those who have participated in the process and others as interested and could help with peer-to-peer support in the long term.</w:t>
      </w:r>
    </w:p>
    <w:p w14:paraId="66AEED8C" w14:textId="0D62A463" w:rsidR="00302BFE" w:rsidRDefault="00302BFE" w:rsidP="00302BFE">
      <w:pPr>
        <w:spacing w:before="120" w:after="120"/>
        <w:rPr>
          <w:i/>
          <w:color w:val="4472C4"/>
          <w:szCs w:val="20"/>
          <w:lang w:val="en-GB"/>
        </w:rPr>
      </w:pPr>
      <w:r w:rsidRPr="00B71BE1">
        <w:rPr>
          <w:i/>
          <w:color w:val="4472C4"/>
          <w:szCs w:val="20"/>
          <w:lang w:val="en-GB"/>
        </w:rPr>
        <w:t xml:space="preserve">3.4.4 Tourism product development and improvement </w:t>
      </w:r>
    </w:p>
    <w:p w14:paraId="1C49125B" w14:textId="7192DFC7" w:rsidR="003C3F01" w:rsidRPr="00BE65D5" w:rsidRDefault="003C3F01" w:rsidP="00302BFE">
      <w:pPr>
        <w:spacing w:before="120" w:after="120"/>
        <w:rPr>
          <w:iCs/>
          <w:color w:val="4472C4"/>
          <w:szCs w:val="20"/>
          <w:lang w:val="en-GB"/>
        </w:rPr>
      </w:pPr>
      <w:r w:rsidRPr="003F4704">
        <w:rPr>
          <w:iCs/>
          <w:color w:val="4472C4"/>
          <w:szCs w:val="20"/>
          <w:highlight w:val="green"/>
          <w:lang w:val="en-GB"/>
        </w:rPr>
        <w:t>For this activity, the FPIC (Free, Prior and Informed Consent) process has to be ensured</w:t>
      </w:r>
    </w:p>
    <w:p w14:paraId="5FDBEF7F" w14:textId="77777777" w:rsidR="00302BFE" w:rsidRPr="00A93827"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u w:val="single"/>
        </w:rPr>
      </w:pPr>
      <w:r w:rsidRPr="00A93827">
        <w:rPr>
          <w:rFonts w:ascii="Calibri" w:hAnsi="Calibri"/>
          <w:sz w:val="20"/>
          <w:szCs w:val="20"/>
        </w:rPr>
        <w:t>A business concept competition will be offered to trainees / entrepreneurs living around protected areas in the PONASI landscape who showed promise during the capacity building/training (but open to others too). The project will advertise, offer, and award up to 40 small grants or low interest loans (based on a preliminary agreement with an existing local finance enterprise) to the winners (e.g. up to USD 2,500 depending on specific needs). These grants will be implemented in accordance with UNDP guidelines for low-value grants. Criteria for what can be funded (e.g. short-term training, computer equipment, website design, vehicles, catering equipment, furniture, solar power, water storage, communications, feasibility studies for specific attractions, etc.) will be defined on a participatory basis with the participation of local authorities. Support will be provided to develop small business plans where products exist but require improvement/promotion (e.g. training for the entrepreneur to develop them). Categories for support may include direct tourism entities (e.g. homestay, tour guide, attractions, café, etc.) and indirect tourism businesses (e.g. poultry farm; organic vegetable garden, transport/transfers, juice manufacturers).</w:t>
      </w:r>
    </w:p>
    <w:p w14:paraId="137FBA99" w14:textId="77777777" w:rsidR="00302BFE" w:rsidRPr="00CE7CB6"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u w:val="single"/>
        </w:rPr>
      </w:pPr>
      <w:r w:rsidRPr="00CE7CB6">
        <w:rPr>
          <w:rFonts w:ascii="Calibri" w:hAnsi="Calibri"/>
          <w:sz w:val="20"/>
          <w:szCs w:val="20"/>
        </w:rPr>
        <w:t>If awards are provided as grants, budgets will be managed and monitored by the project coordination unit (PCU). Disbursement processes could take one of two routes: (i) direct payment for the equipment/training requested by the beneficiary which allows easier financial monitoring by the project, ensures that funds go where they are supposed to, but requires considerable effort for quotations etc. from the PCU, and that beneficiaries are kept aware of how much of their grant has been used; (ii) disbursement of the grant funds to the beneficiaries who are requested to send receipts/payment schedules to the PCU, which can lead to challenges if the funds are misallocated, receipts are not submitted, or incorrect procurement processes are followed. In both cases, the project will monitor progress of beneficiaries and assess results at least at midterm and end of project (e.g. numbers of customers and revenue before and after support is provided). These grants will be implemented in accordance with UNDP guidelines for low-value grants</w:t>
      </w:r>
    </w:p>
    <w:p w14:paraId="262642CB" w14:textId="2A9FB8CD" w:rsidR="00302BFE" w:rsidRDefault="00302BFE" w:rsidP="00302BFE">
      <w:pPr>
        <w:spacing w:before="120" w:after="120"/>
        <w:rPr>
          <w:i/>
          <w:color w:val="4472C4"/>
          <w:szCs w:val="20"/>
          <w:lang w:val="en-GB"/>
        </w:rPr>
      </w:pPr>
      <w:r w:rsidRPr="00B71BE1">
        <w:rPr>
          <w:i/>
          <w:color w:val="4472C4"/>
          <w:szCs w:val="20"/>
          <w:lang w:val="en-GB"/>
        </w:rPr>
        <w:t xml:space="preserve">3.4.5 Promotion and improved market access. </w:t>
      </w:r>
    </w:p>
    <w:p w14:paraId="4C814C57" w14:textId="0698A16D" w:rsidR="003C3F01" w:rsidRPr="00BE65D5" w:rsidRDefault="003C3F01" w:rsidP="00302BFE">
      <w:pPr>
        <w:spacing w:before="120" w:after="120"/>
        <w:rPr>
          <w:iCs/>
          <w:color w:val="4472C4"/>
          <w:szCs w:val="20"/>
          <w:lang w:val="en-GB"/>
        </w:rPr>
      </w:pPr>
      <w:r w:rsidRPr="003F4704">
        <w:rPr>
          <w:iCs/>
          <w:color w:val="4472C4"/>
          <w:szCs w:val="20"/>
          <w:highlight w:val="green"/>
          <w:lang w:val="en-GB"/>
        </w:rPr>
        <w:t>For this activity, the FPIC (Free, Prior and Informed Consent) process has to be ensured</w:t>
      </w:r>
    </w:p>
    <w:p w14:paraId="24DD3CF7" w14:textId="77777777" w:rsidR="00302BFE" w:rsidRPr="005F382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rPr>
      </w:pPr>
      <w:r w:rsidRPr="005F3825">
        <w:rPr>
          <w:rFonts w:ascii="Calibri" w:hAnsi="Calibri"/>
          <w:sz w:val="20"/>
          <w:szCs w:val="20"/>
        </w:rPr>
        <w:t>Based on the market study and the inventory and map of attractions, including places to stay and things to do developed under activity 3.1.1 (c),</w:t>
      </w:r>
      <w:r w:rsidRPr="005F3825">
        <w:rPr>
          <w:rFonts w:ascii="Calibri" w:hAnsi="Calibri"/>
          <w:b/>
          <w:sz w:val="20"/>
          <w:szCs w:val="20"/>
        </w:rPr>
        <w:t xml:space="preserve"> </w:t>
      </w:r>
      <w:r w:rsidRPr="005F3825">
        <w:rPr>
          <w:rFonts w:ascii="Calibri" w:hAnsi="Calibri"/>
          <w:sz w:val="20"/>
          <w:szCs w:val="20"/>
          <w:u w:val="single"/>
        </w:rPr>
        <w:t>tour circuits / networks of attractions will be developed</w:t>
      </w:r>
      <w:r w:rsidRPr="005F3825">
        <w:rPr>
          <w:rFonts w:ascii="Calibri" w:hAnsi="Calibri"/>
          <w:b/>
          <w:sz w:val="20"/>
          <w:szCs w:val="20"/>
        </w:rPr>
        <w:t xml:space="preserve"> </w:t>
      </w:r>
      <w:r w:rsidRPr="005F3825">
        <w:rPr>
          <w:rFonts w:ascii="Calibri" w:hAnsi="Calibri"/>
          <w:sz w:val="20"/>
          <w:szCs w:val="20"/>
        </w:rPr>
        <w:t xml:space="preserve">that can be offered to (a) guides/tour operator itineraries, (b) tourists visiting existing products in the area, and (c) visitors from the capital. The products/activities would be offered </w:t>
      </w:r>
      <w:r w:rsidRPr="005F3825">
        <w:rPr>
          <w:rFonts w:ascii="Calibri" w:hAnsi="Calibri"/>
          <w:sz w:val="20"/>
          <w:szCs w:val="20"/>
        </w:rPr>
        <w:lastRenderedPageBreak/>
        <w:t xml:space="preserve">to visitors at existing accommodation facilities in the area, and also to business travelers/international tourists/domestic tourists (including expatriates) travelling out of Ouagadougou (based on market research above). </w:t>
      </w:r>
      <w:r w:rsidRPr="005F3825">
        <w:rPr>
          <w:rFonts w:ascii="Calibri" w:hAnsi="Calibri"/>
          <w:sz w:val="20"/>
          <w:szCs w:val="20"/>
          <w:u w:val="single"/>
        </w:rPr>
        <w:t>Improvement of visitor infrastructure</w:t>
      </w:r>
      <w:r w:rsidRPr="005F3825">
        <w:rPr>
          <w:rFonts w:ascii="Calibri" w:hAnsi="Calibri"/>
          <w:b/>
          <w:sz w:val="20"/>
          <w:szCs w:val="20"/>
        </w:rPr>
        <w:t xml:space="preserve"> </w:t>
      </w:r>
      <w:r w:rsidRPr="005F3825">
        <w:rPr>
          <w:rFonts w:ascii="Calibri" w:hAnsi="Calibri"/>
          <w:sz w:val="20"/>
          <w:szCs w:val="20"/>
        </w:rPr>
        <w:t>will include direction and attraction signage, mainly on access roads and public toilets at key rest points. Needs and interventions will be based on the inventory created within the strategy. A</w:t>
      </w:r>
      <w:r w:rsidRPr="005F3825">
        <w:rPr>
          <w:rFonts w:ascii="Calibri" w:hAnsi="Calibri"/>
          <w:b/>
          <w:sz w:val="20"/>
          <w:szCs w:val="20"/>
        </w:rPr>
        <w:t xml:space="preserve"> </w:t>
      </w:r>
      <w:r w:rsidRPr="005F3825">
        <w:rPr>
          <w:rFonts w:ascii="Calibri" w:hAnsi="Calibri"/>
          <w:sz w:val="20"/>
          <w:szCs w:val="20"/>
        </w:rPr>
        <w:t xml:space="preserve">web-based destination platform will be established to </w:t>
      </w:r>
      <w:r w:rsidRPr="005F3825">
        <w:rPr>
          <w:rFonts w:ascii="Calibri" w:hAnsi="Calibri"/>
          <w:sz w:val="20"/>
          <w:szCs w:val="20"/>
          <w:u w:val="single"/>
        </w:rPr>
        <w:t>promote attractions online</w:t>
      </w:r>
      <w:r w:rsidRPr="005F3825">
        <w:rPr>
          <w:rFonts w:ascii="Calibri" w:hAnsi="Calibri"/>
          <w:sz w:val="20"/>
          <w:szCs w:val="20"/>
        </w:rPr>
        <w:t xml:space="preserve"> and provide booking information. To</w:t>
      </w:r>
      <w:r w:rsidRPr="005F3825">
        <w:rPr>
          <w:rFonts w:ascii="Calibri" w:hAnsi="Calibri"/>
          <w:b/>
          <w:sz w:val="20"/>
          <w:szCs w:val="20"/>
        </w:rPr>
        <w:t xml:space="preserve"> </w:t>
      </w:r>
      <w:r w:rsidRPr="005F3825">
        <w:rPr>
          <w:rFonts w:ascii="Calibri" w:hAnsi="Calibri"/>
          <w:sz w:val="20"/>
          <w:szCs w:val="20"/>
          <w:u w:val="single"/>
        </w:rPr>
        <w:t>improve market access</w:t>
      </w:r>
      <w:r w:rsidRPr="005F3825">
        <w:rPr>
          <w:rFonts w:ascii="Calibri" w:hAnsi="Calibri"/>
          <w:b/>
          <w:sz w:val="20"/>
          <w:szCs w:val="20"/>
        </w:rPr>
        <w:t xml:space="preserve">, </w:t>
      </w:r>
      <w:r w:rsidRPr="005F3825">
        <w:rPr>
          <w:rFonts w:ascii="Calibri" w:hAnsi="Calibri"/>
          <w:sz w:val="20"/>
          <w:szCs w:val="20"/>
        </w:rPr>
        <w:t>the project will further support:</w:t>
      </w:r>
      <w:r w:rsidRPr="005F3825">
        <w:rPr>
          <w:rFonts w:ascii="Calibri" w:hAnsi="Calibri"/>
          <w:b/>
          <w:sz w:val="20"/>
          <w:szCs w:val="20"/>
        </w:rPr>
        <w:t xml:space="preserve"> </w:t>
      </w:r>
      <w:r w:rsidRPr="005F3825">
        <w:rPr>
          <w:rFonts w:ascii="Calibri" w:hAnsi="Calibri"/>
          <w:sz w:val="20"/>
          <w:szCs w:val="20"/>
        </w:rPr>
        <w:t>(i)</w:t>
      </w:r>
      <w:r w:rsidRPr="005F3825">
        <w:rPr>
          <w:rFonts w:ascii="Calibri" w:hAnsi="Calibri"/>
          <w:b/>
          <w:sz w:val="20"/>
          <w:szCs w:val="20"/>
        </w:rPr>
        <w:t xml:space="preserve"> </w:t>
      </w:r>
      <w:r w:rsidRPr="005F3825">
        <w:rPr>
          <w:rFonts w:ascii="Calibri" w:hAnsi="Calibri"/>
          <w:sz w:val="20"/>
          <w:szCs w:val="20"/>
        </w:rPr>
        <w:t>Capacity building to link local attractions to online platforms (e.g. Airbnb and other Peer-to-Peer platforms), (ii) Familiarization trip for tour operators/guides in Ouagadougou to the attractions around the protected area, (iii) Market linkage – building relationships/contracts between local attractions and local guides/tour operators/accommodation facilities, (iv) Liaison with international operators interested in marketing/supporting networks of community-based tourism products.</w:t>
      </w:r>
    </w:p>
    <w:p w14:paraId="567893B0" w14:textId="28757E0F" w:rsidR="00302BFE" w:rsidRDefault="00302BFE" w:rsidP="00302BFE">
      <w:pPr>
        <w:spacing w:before="120" w:after="120"/>
        <w:rPr>
          <w:i/>
          <w:color w:val="4472C4"/>
          <w:szCs w:val="20"/>
          <w:lang w:val="en-GB"/>
        </w:rPr>
      </w:pPr>
      <w:r w:rsidRPr="00B71BE1">
        <w:rPr>
          <w:i/>
          <w:color w:val="4472C4"/>
          <w:szCs w:val="20"/>
          <w:lang w:val="en-GB"/>
        </w:rPr>
        <w:t xml:space="preserve">3.4.6 Tourism infrastructure improvements for the Kaboré-Tambi National Park. </w:t>
      </w:r>
    </w:p>
    <w:p w14:paraId="3E71C66A" w14:textId="75FB2C46" w:rsidR="003C3F01" w:rsidRPr="00BE65D5" w:rsidRDefault="003C3F01" w:rsidP="00302BFE">
      <w:pPr>
        <w:spacing w:before="120" w:after="120"/>
        <w:rPr>
          <w:iCs/>
          <w:color w:val="4472C4"/>
          <w:szCs w:val="20"/>
          <w:lang w:val="en-GB"/>
        </w:rPr>
      </w:pPr>
      <w:r w:rsidRPr="003F4704">
        <w:rPr>
          <w:iCs/>
          <w:color w:val="4472C4"/>
          <w:szCs w:val="20"/>
          <w:highlight w:val="green"/>
          <w:lang w:val="en-GB"/>
        </w:rPr>
        <w:t>For this activity, the FPIC (Free, Prior and Informed Consent) process has to be ensured</w:t>
      </w:r>
    </w:p>
    <w:p w14:paraId="6AC6BD79" w14:textId="77777777" w:rsidR="00302BFE" w:rsidRPr="005F382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rPr>
      </w:pPr>
      <w:r w:rsidRPr="005F3825">
        <w:rPr>
          <w:rFonts w:ascii="Calibri" w:hAnsi="Calibri"/>
          <w:sz w:val="20"/>
          <w:szCs w:val="20"/>
        </w:rPr>
        <w:t>The project will support the development of visitor infrastructure. To promote local involvement, tender documents will request that local labour/materials are used wherever possible. Within and outside the park, and in line with the legal provisions regarding national parks and the park management plan, the project will support establishment of:</w:t>
      </w:r>
    </w:p>
    <w:p w14:paraId="655FB26E" w14:textId="77777777" w:rsidR="00302BFE" w:rsidRPr="00DA06FB" w:rsidRDefault="00302BFE" w:rsidP="00C46720">
      <w:pPr>
        <w:pStyle w:val="Paragraphedeliste"/>
        <w:numPr>
          <w:ilvl w:val="0"/>
          <w:numId w:val="27"/>
        </w:numPr>
        <w:spacing w:before="120" w:after="120"/>
        <w:ind w:left="142" w:hanging="153"/>
        <w:contextualSpacing/>
        <w:jc w:val="both"/>
        <w:rPr>
          <w:rFonts w:ascii="Calibri" w:hAnsi="Calibri" w:cs="Calibri Light"/>
          <w:b/>
          <w:sz w:val="20"/>
          <w:szCs w:val="20"/>
        </w:rPr>
      </w:pPr>
      <w:r w:rsidRPr="00DA06FB">
        <w:rPr>
          <w:rFonts w:ascii="Calibri" w:hAnsi="Calibri" w:cs="Calibri Light"/>
          <w:sz w:val="20"/>
          <w:szCs w:val="20"/>
          <w:u w:val="single"/>
        </w:rPr>
        <w:t xml:space="preserve">A visitor complex at </w:t>
      </w:r>
      <w:r w:rsidRPr="00DA06FB">
        <w:rPr>
          <w:rFonts w:ascii="Calibri" w:hAnsi="Calibri"/>
          <w:sz w:val="20"/>
          <w:szCs w:val="20"/>
          <w:lang w:val="en-CA"/>
        </w:rPr>
        <w:t>PNKT</w:t>
      </w:r>
      <w:r w:rsidRPr="00DA06FB">
        <w:rPr>
          <w:rFonts w:ascii="Calibri" w:hAnsi="Calibri" w:cs="Calibri Light"/>
          <w:b/>
          <w:sz w:val="20"/>
          <w:szCs w:val="20"/>
        </w:rPr>
        <w:t xml:space="preserve">: </w:t>
      </w:r>
      <w:r w:rsidRPr="00DA06FB">
        <w:rPr>
          <w:rFonts w:ascii="Calibri" w:hAnsi="Calibri" w:cs="Calibri Light"/>
          <w:sz w:val="20"/>
          <w:szCs w:val="20"/>
        </w:rPr>
        <w:t xml:space="preserve">Located at the park entrance (outside the park boundaries to be consistent with legal constraints) including an office for the park manager and tourist facilities (e.g. visitor reception, park presentation; interpretation; public toilets ‘Ecosan’ type, space for 10-15 stalls for craft sales, tour/trail/guide bookings, local food &amp; beverage using local produce). Once operational, the centre should offer: (i) Self-guided maps and </w:t>
      </w:r>
      <w:r w:rsidRPr="00DA06FB">
        <w:rPr>
          <w:rFonts w:ascii="Calibri" w:eastAsia="Times New Roman" w:hAnsi="Calibri" w:cs="Arial"/>
          <w:color w:val="222222"/>
          <w:sz w:val="20"/>
          <w:szCs w:val="20"/>
          <w:shd w:val="clear" w:color="auto" w:fill="FFFFFF"/>
          <w:lang w:val="en-CA"/>
        </w:rPr>
        <w:t xml:space="preserve">explanatory panels, (ii) A map of tourism circuits within the </w:t>
      </w:r>
      <w:r w:rsidRPr="00DA06FB">
        <w:rPr>
          <w:rFonts w:ascii="Calibri" w:hAnsi="Calibri"/>
          <w:sz w:val="20"/>
          <w:szCs w:val="20"/>
          <w:lang w:val="en-CA"/>
        </w:rPr>
        <w:t>PNKT</w:t>
      </w:r>
      <w:r w:rsidRPr="00DA06FB">
        <w:rPr>
          <w:rFonts w:ascii="Calibri" w:eastAsia="Times New Roman" w:hAnsi="Calibri" w:cs="Arial"/>
          <w:color w:val="222222"/>
          <w:sz w:val="20"/>
          <w:szCs w:val="20"/>
          <w:shd w:val="clear" w:color="auto" w:fill="FFFFFF"/>
          <w:lang w:val="en-CA"/>
        </w:rPr>
        <w:t xml:space="preserve">, and other tourism attractions in the </w:t>
      </w:r>
      <w:r w:rsidRPr="00DA06FB">
        <w:rPr>
          <w:rFonts w:ascii="Calibri" w:hAnsi="Calibri"/>
          <w:sz w:val="20"/>
          <w:szCs w:val="20"/>
        </w:rPr>
        <w:t>PONASI</w:t>
      </w:r>
      <w:r w:rsidRPr="00DA06FB">
        <w:rPr>
          <w:rFonts w:ascii="Calibri" w:eastAsia="Times New Roman" w:hAnsi="Calibri" w:cs="Arial"/>
          <w:color w:val="222222"/>
          <w:sz w:val="20"/>
          <w:szCs w:val="20"/>
          <w:shd w:val="clear" w:color="auto" w:fill="FFFFFF"/>
          <w:lang w:val="en-CA"/>
        </w:rPr>
        <w:t xml:space="preserve"> landscape, (iii) Leases to local tourism/support enterprises for stalls to sell wares (craft, food, décor) and services (tours, etc.). </w:t>
      </w:r>
      <w:r w:rsidRPr="00DA06FB">
        <w:rPr>
          <w:rFonts w:ascii="Calibri" w:hAnsi="Calibri" w:cs="Calibri Light"/>
          <w:sz w:val="20"/>
          <w:szCs w:val="20"/>
        </w:rPr>
        <w:t>The visitor complex will be strategically located regarding visitors access to the main attractions, entrance gates and access route, and the building architecture and surrounding landscape will be designed following sustainable design principles. This will include furniture, equipment, electrification with solar panels and natural cooling systems, water provision including through water harvesting and grey-water recycling. The establishment of the visitor complex will be preceded by the elaboration of a feasibility study and a business plan – and if required an environmental impact assessment.</w:t>
      </w:r>
    </w:p>
    <w:p w14:paraId="234D2052" w14:textId="77777777" w:rsidR="00302BFE" w:rsidRPr="005F3825" w:rsidRDefault="00302BFE" w:rsidP="00C46720">
      <w:pPr>
        <w:pStyle w:val="Paragraphedeliste"/>
        <w:numPr>
          <w:ilvl w:val="0"/>
          <w:numId w:val="27"/>
        </w:numPr>
        <w:spacing w:before="120" w:after="120"/>
        <w:ind w:left="142" w:hanging="153"/>
        <w:contextualSpacing/>
        <w:jc w:val="both"/>
        <w:rPr>
          <w:rFonts w:ascii="Calibri" w:hAnsi="Calibri" w:cs="Calibri Light"/>
          <w:sz w:val="20"/>
          <w:szCs w:val="20"/>
          <w:lang w:val="en-CA"/>
        </w:rPr>
      </w:pPr>
      <w:r w:rsidRPr="005F3825">
        <w:rPr>
          <w:rFonts w:ascii="Calibri" w:hAnsi="Calibri" w:cs="Calibri Light"/>
          <w:sz w:val="20"/>
          <w:szCs w:val="20"/>
          <w:u w:val="single"/>
        </w:rPr>
        <w:t>Trail development and improvement</w:t>
      </w:r>
      <w:r w:rsidRPr="005F3825">
        <w:rPr>
          <w:rFonts w:ascii="Calibri" w:hAnsi="Calibri" w:cs="Calibri Light"/>
          <w:sz w:val="20"/>
          <w:szCs w:val="20"/>
        </w:rPr>
        <w:t xml:space="preserve"> will include driving and hiking routes, and involve clearing new and existing trails, mapping trails, setting up visitor signage and interpretation boards regarding notable species/ecosystems</w:t>
      </w:r>
      <w:r w:rsidRPr="005F3825">
        <w:rPr>
          <w:rFonts w:ascii="Calibri" w:hAnsi="Calibri" w:cs="Calibri Light"/>
          <w:sz w:val="20"/>
          <w:szCs w:val="20"/>
          <w:lang w:val="en-CA"/>
        </w:rPr>
        <w:t xml:space="preserve">. </w:t>
      </w:r>
    </w:p>
    <w:p w14:paraId="60DDB504" w14:textId="77777777" w:rsidR="00302BFE" w:rsidRPr="005F3825" w:rsidRDefault="00302BFE" w:rsidP="00C46720">
      <w:pPr>
        <w:pStyle w:val="Paragraphedeliste"/>
        <w:numPr>
          <w:ilvl w:val="0"/>
          <w:numId w:val="27"/>
        </w:numPr>
        <w:spacing w:before="120" w:after="120"/>
        <w:ind w:left="142" w:hanging="153"/>
        <w:contextualSpacing/>
        <w:jc w:val="both"/>
        <w:rPr>
          <w:rFonts w:ascii="Calibri" w:hAnsi="Calibri" w:cs="Calibri Light"/>
          <w:sz w:val="20"/>
          <w:szCs w:val="20"/>
        </w:rPr>
      </w:pPr>
      <w:r w:rsidRPr="005F3825">
        <w:rPr>
          <w:rFonts w:ascii="Calibri" w:hAnsi="Calibri"/>
          <w:sz w:val="20"/>
          <w:szCs w:val="20"/>
          <w:u w:val="single"/>
          <w:lang w:val="en-CA"/>
        </w:rPr>
        <w:t>Observation platforms</w:t>
      </w:r>
      <w:r w:rsidRPr="005F3825">
        <w:rPr>
          <w:rFonts w:ascii="Calibri" w:hAnsi="Calibri"/>
          <w:sz w:val="20"/>
          <w:szCs w:val="20"/>
          <w:lang w:val="en-CA"/>
        </w:rPr>
        <w:t xml:space="preserve"> at view points </w:t>
      </w:r>
      <w:r w:rsidRPr="005F3825">
        <w:rPr>
          <w:rFonts w:ascii="Calibri" w:hAnsi="Calibri" w:cs="Calibri Light"/>
          <w:sz w:val="20"/>
          <w:szCs w:val="20"/>
        </w:rPr>
        <w:t xml:space="preserve">(e.g. on a waterbody, in forest canopy, </w:t>
      </w:r>
      <w:r w:rsidRPr="005F3825">
        <w:rPr>
          <w:rFonts w:ascii="Calibri" w:hAnsi="Calibri"/>
          <w:sz w:val="20"/>
          <w:szCs w:val="20"/>
          <w:lang w:val="en-CA"/>
        </w:rPr>
        <w:t>near wetlands) built</w:t>
      </w:r>
      <w:r w:rsidRPr="005F3825">
        <w:rPr>
          <w:rFonts w:ascii="Calibri" w:hAnsi="Calibri"/>
          <w:bCs/>
          <w:iCs/>
          <w:color w:val="000000"/>
          <w:sz w:val="20"/>
          <w:szCs w:val="20"/>
        </w:rPr>
        <w:t xml:space="preserve"> from locally sourced (as far as possible) durable materials</w:t>
      </w:r>
      <w:r w:rsidRPr="005F3825">
        <w:rPr>
          <w:rFonts w:ascii="Calibri" w:hAnsi="Calibri"/>
          <w:sz w:val="20"/>
          <w:szCs w:val="20"/>
          <w:lang w:val="en-CA"/>
        </w:rPr>
        <w:t xml:space="preserve">. Decision regarding their locations will take into account the location of watchtowers suggested in the </w:t>
      </w:r>
      <w:r w:rsidRPr="005F3825">
        <w:rPr>
          <w:rFonts w:ascii="Calibri" w:hAnsi="Calibri"/>
          <w:bCs/>
          <w:i/>
          <w:iCs/>
          <w:color w:val="000000"/>
          <w:sz w:val="20"/>
          <w:szCs w:val="20"/>
          <w:lang w:val="en-CA"/>
        </w:rPr>
        <w:t>Plan d’aménagement et de gestion participative du Parc National Kaboré Tambi</w:t>
      </w:r>
      <w:r w:rsidRPr="005F3825">
        <w:rPr>
          <w:rFonts w:ascii="Calibri" w:hAnsi="Calibri"/>
          <w:bCs/>
          <w:iCs/>
          <w:color w:val="000000"/>
          <w:sz w:val="20"/>
          <w:szCs w:val="20"/>
          <w:lang w:val="en-CA"/>
        </w:rPr>
        <w:t>).</w:t>
      </w:r>
    </w:p>
    <w:p w14:paraId="34764261" w14:textId="77777777" w:rsidR="00302BFE" w:rsidRPr="005F3825" w:rsidRDefault="00302BFE" w:rsidP="00C46720">
      <w:pPr>
        <w:pStyle w:val="Paragraphedeliste"/>
        <w:numPr>
          <w:ilvl w:val="0"/>
          <w:numId w:val="27"/>
        </w:numPr>
        <w:spacing w:before="120" w:after="120"/>
        <w:ind w:left="142" w:hanging="153"/>
        <w:contextualSpacing/>
        <w:jc w:val="both"/>
        <w:rPr>
          <w:rFonts w:ascii="Calibri" w:hAnsi="Calibri" w:cs="Calibri Light"/>
          <w:sz w:val="20"/>
          <w:szCs w:val="20"/>
        </w:rPr>
      </w:pPr>
      <w:r w:rsidRPr="005F3825">
        <w:rPr>
          <w:rFonts w:ascii="Calibri" w:hAnsi="Calibri"/>
          <w:sz w:val="20"/>
          <w:szCs w:val="20"/>
          <w:u w:val="single"/>
        </w:rPr>
        <w:t>Public toilets</w:t>
      </w:r>
      <w:r w:rsidRPr="005F3825">
        <w:rPr>
          <w:rFonts w:ascii="Calibri" w:hAnsi="Calibri"/>
          <w:sz w:val="20"/>
          <w:szCs w:val="20"/>
        </w:rPr>
        <w:t xml:space="preserve"> at key locations in protected areas.</w:t>
      </w:r>
    </w:p>
    <w:p w14:paraId="37DD5A9B" w14:textId="77777777" w:rsidR="00302BFE" w:rsidRDefault="00302BFE" w:rsidP="00302BFE">
      <w:pPr>
        <w:spacing w:after="0"/>
        <w:jc w:val="center"/>
        <w:rPr>
          <w:rFonts w:ascii="Calibri Light" w:hAnsi="Calibri Light"/>
          <w:noProof/>
          <w:szCs w:val="20"/>
        </w:rPr>
      </w:pPr>
      <w:r w:rsidRPr="005F3825">
        <w:rPr>
          <w:rFonts w:ascii="Calibri Light" w:hAnsi="Calibri Light"/>
          <w:noProof/>
          <w:szCs w:val="20"/>
        </w:rPr>
        <w:drawing>
          <wp:inline distT="0" distB="0" distL="0" distR="0" wp14:anchorId="0327012B" wp14:editId="0A648FAA">
            <wp:extent cx="3212465" cy="2268220"/>
            <wp:effectExtent l="0" t="0" r="6985" b="0"/>
            <wp:docPr id="11" name="Image 11" descr="Carte des amena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te des amenagement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12465" cy="2268220"/>
                    </a:xfrm>
                    <a:prstGeom prst="rect">
                      <a:avLst/>
                    </a:prstGeom>
                    <a:noFill/>
                    <a:ln>
                      <a:noFill/>
                    </a:ln>
                  </pic:spPr>
                </pic:pic>
              </a:graphicData>
            </a:graphic>
          </wp:inline>
        </w:drawing>
      </w:r>
    </w:p>
    <w:p w14:paraId="41E9BE35" w14:textId="045947E1" w:rsidR="00302BFE" w:rsidRPr="000B09F8" w:rsidRDefault="008F0CCA" w:rsidP="00302BFE">
      <w:pPr>
        <w:spacing w:after="0"/>
        <w:jc w:val="center"/>
        <w:rPr>
          <w:sz w:val="16"/>
          <w:szCs w:val="16"/>
          <w:lang w:val="fr-CA"/>
        </w:rPr>
      </w:pPr>
      <w:r w:rsidRPr="00A63E29">
        <w:rPr>
          <w:b/>
          <w:szCs w:val="20"/>
          <w:highlight w:val="yellow"/>
          <w:lang w:val="fr-CA"/>
        </w:rPr>
        <w:t>Map</w:t>
      </w:r>
      <w:r w:rsidR="00302BFE" w:rsidRPr="00243B15">
        <w:rPr>
          <w:b/>
          <w:szCs w:val="20"/>
          <w:lang w:val="fr-CA"/>
        </w:rPr>
        <w:t xml:space="preserve"> 4. </w:t>
      </w:r>
      <w:r w:rsidR="00302BFE" w:rsidRPr="000B09F8">
        <w:rPr>
          <w:b/>
          <w:szCs w:val="20"/>
          <w:lang w:val="fr-CA"/>
        </w:rPr>
        <w:t xml:space="preserve">Provisional map of planned developments at PNKT </w:t>
      </w:r>
      <w:r w:rsidR="00302BFE" w:rsidRPr="000B09F8">
        <w:rPr>
          <w:sz w:val="16"/>
          <w:szCs w:val="16"/>
          <w:lang w:val="fr-CA"/>
        </w:rPr>
        <w:t xml:space="preserve">(Source: Plan d’aménagement </w:t>
      </w:r>
      <w:r w:rsidR="00302BFE" w:rsidRPr="00805CFF">
        <w:rPr>
          <w:sz w:val="16"/>
          <w:szCs w:val="16"/>
          <w:lang w:val="fr-CA"/>
        </w:rPr>
        <w:t xml:space="preserve">et de gestion </w:t>
      </w:r>
      <w:r w:rsidR="00302BFE" w:rsidRPr="000B09F8">
        <w:rPr>
          <w:sz w:val="16"/>
          <w:szCs w:val="16"/>
          <w:lang w:val="fr-CA"/>
        </w:rPr>
        <w:t>participative du Parc National KaboréTambi)</w:t>
      </w:r>
    </w:p>
    <w:p w14:paraId="3F32BF2F" w14:textId="77777777" w:rsidR="00302BFE" w:rsidRPr="00805CFF" w:rsidRDefault="00302BFE" w:rsidP="00302BFE">
      <w:pPr>
        <w:rPr>
          <w:rFonts w:ascii="Calibri Light" w:hAnsi="Calibri Light"/>
          <w:szCs w:val="20"/>
          <w:lang w:val="fr-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8"/>
      </w:tblGrid>
      <w:tr w:rsidR="00302BFE" w:rsidRPr="009B00F0" w14:paraId="4FCF9174" w14:textId="77777777" w:rsidTr="00243B15">
        <w:trPr>
          <w:jc w:val="center"/>
        </w:trPr>
        <w:tc>
          <w:tcPr>
            <w:tcW w:w="10188" w:type="dxa"/>
            <w:shd w:val="clear" w:color="auto" w:fill="auto"/>
          </w:tcPr>
          <w:p w14:paraId="18DD564D" w14:textId="77777777" w:rsidR="00302BFE" w:rsidRPr="00806024" w:rsidRDefault="00302BFE" w:rsidP="00243B15">
            <w:pPr>
              <w:spacing w:before="60"/>
              <w:rPr>
                <w:rFonts w:ascii="Calibri Light" w:hAnsi="Calibri Light" w:cs="Calibri Light"/>
                <w:b/>
                <w:sz w:val="18"/>
                <w:szCs w:val="18"/>
              </w:rPr>
            </w:pPr>
            <w:r w:rsidRPr="00806024">
              <w:rPr>
                <w:rFonts w:ascii="Calibri Light" w:hAnsi="Calibri Light" w:cs="Calibri Light"/>
                <w:sz w:val="18"/>
                <w:szCs w:val="18"/>
              </w:rPr>
              <w:t>Under the Forestry Code,</w:t>
            </w:r>
            <w:r w:rsidRPr="00806024">
              <w:rPr>
                <w:rFonts w:ascii="Calibri Light" w:hAnsi="Calibri Light" w:cs="Calibri Light"/>
                <w:b/>
                <w:sz w:val="18"/>
                <w:szCs w:val="18"/>
              </w:rPr>
              <w:t xml:space="preserve"> </w:t>
            </w:r>
            <w:r w:rsidRPr="00806024">
              <w:rPr>
                <w:rFonts w:ascii="Calibri Light" w:hAnsi="Calibri Light"/>
                <w:sz w:val="18"/>
                <w:szCs w:val="18"/>
              </w:rPr>
              <w:t>National Parks such as the Kaboré-Tambi have rules/restrictions on tourism development as follows:</w:t>
            </w:r>
          </w:p>
          <w:p w14:paraId="7E4494D8" w14:textId="77777777" w:rsidR="00302BFE" w:rsidRPr="00806024" w:rsidRDefault="00302BFE" w:rsidP="00243B15">
            <w:pPr>
              <w:pStyle w:val="Commentaire"/>
              <w:spacing w:before="60"/>
              <w:rPr>
                <w:rFonts w:ascii="Calibri Light" w:hAnsi="Calibri Light"/>
                <w:sz w:val="18"/>
                <w:szCs w:val="18"/>
                <w:lang w:val="en-CA"/>
              </w:rPr>
            </w:pPr>
            <w:r w:rsidRPr="00806024">
              <w:rPr>
                <w:rFonts w:ascii="Calibri Light" w:hAnsi="Calibri Light"/>
                <w:sz w:val="18"/>
                <w:szCs w:val="18"/>
                <w:u w:val="single"/>
                <w:lang w:val="en-CA"/>
              </w:rPr>
              <w:t>Article 89</w:t>
            </w:r>
            <w:r w:rsidRPr="00806024">
              <w:rPr>
                <w:rFonts w:ascii="Calibri Light" w:hAnsi="Calibri Light"/>
                <w:sz w:val="18"/>
                <w:szCs w:val="18"/>
                <w:lang w:val="en-CA"/>
              </w:rPr>
              <w:t>: Except in exceptional circumstances and subject to the provisions of the constitution text and requirements of the development plan, national parks are exempt from any right of use.</w:t>
            </w:r>
          </w:p>
          <w:p w14:paraId="280F309C" w14:textId="77777777" w:rsidR="00302BFE" w:rsidRPr="00806024" w:rsidRDefault="00302BFE" w:rsidP="00243B15">
            <w:pPr>
              <w:pStyle w:val="Commentaire"/>
              <w:spacing w:before="60"/>
              <w:rPr>
                <w:rFonts w:ascii="Calibri Light" w:hAnsi="Calibri Light"/>
                <w:sz w:val="18"/>
                <w:szCs w:val="18"/>
                <w:lang w:val="en-CA"/>
              </w:rPr>
            </w:pPr>
            <w:r w:rsidRPr="00806024">
              <w:rPr>
                <w:rFonts w:ascii="Calibri Light" w:hAnsi="Calibri Light"/>
                <w:sz w:val="18"/>
                <w:szCs w:val="18"/>
                <w:u w:val="single"/>
                <w:lang w:val="en-CA"/>
              </w:rPr>
              <w:t>Article 90</w:t>
            </w:r>
            <w:r w:rsidRPr="00806024">
              <w:rPr>
                <w:rFonts w:ascii="Calibri Light" w:hAnsi="Calibri Light"/>
                <w:sz w:val="18"/>
                <w:szCs w:val="18"/>
                <w:lang w:val="en-CA"/>
              </w:rPr>
              <w:t xml:space="preserve">: Within the boundaries of national parks, grazing, clearing, hunting, farming, forestry or mining, waste disposal, polluting activities, uncontrolled fires and, in general, are prohibited, any action incompatible with the conservation and protection of the environment. </w:t>
            </w:r>
          </w:p>
          <w:p w14:paraId="69C89A2D" w14:textId="77777777" w:rsidR="00302BFE" w:rsidRPr="00806024" w:rsidRDefault="00302BFE" w:rsidP="00243B15">
            <w:pPr>
              <w:spacing w:before="60"/>
              <w:rPr>
                <w:rFonts w:ascii="Calibri Light" w:hAnsi="Calibri Light"/>
                <w:szCs w:val="20"/>
                <w:lang w:val="en-CA"/>
              </w:rPr>
            </w:pPr>
            <w:r w:rsidRPr="00806024">
              <w:rPr>
                <w:rFonts w:ascii="Calibri Light" w:hAnsi="Calibri Light"/>
                <w:sz w:val="18"/>
                <w:szCs w:val="18"/>
                <w:u w:val="single"/>
                <w:lang w:val="en-CA"/>
              </w:rPr>
              <w:lastRenderedPageBreak/>
              <w:t>Article 92</w:t>
            </w:r>
            <w:r w:rsidRPr="00806024">
              <w:rPr>
                <w:rFonts w:ascii="Calibri Light" w:hAnsi="Calibri Light"/>
                <w:sz w:val="18"/>
                <w:szCs w:val="18"/>
                <w:lang w:val="en-CA"/>
              </w:rPr>
              <w:t>: Memorandums of understanding (</w:t>
            </w:r>
            <w:r w:rsidRPr="00806024">
              <w:rPr>
                <w:rFonts w:ascii="Calibri Light" w:hAnsi="Calibri Light"/>
                <w:i/>
                <w:sz w:val="18"/>
                <w:szCs w:val="18"/>
                <w:lang w:val="en-CA"/>
              </w:rPr>
              <w:t>protocoles d’accord</w:t>
            </w:r>
            <w:r w:rsidRPr="00806024">
              <w:rPr>
                <w:rFonts w:ascii="Calibri Light" w:hAnsi="Calibri Light"/>
                <w:sz w:val="18"/>
                <w:szCs w:val="18"/>
                <w:lang w:val="en-CA"/>
              </w:rPr>
              <w:t>) may be concluded between the State and natural or legal persons of private law for the development and management (</w:t>
            </w:r>
            <w:r w:rsidRPr="00806024">
              <w:rPr>
                <w:rFonts w:ascii="Calibri Light" w:hAnsi="Calibri Light"/>
                <w:i/>
                <w:sz w:val="18"/>
                <w:szCs w:val="18"/>
                <w:lang w:val="en-CA"/>
              </w:rPr>
              <w:t>aménagement et valorisation</w:t>
            </w:r>
            <w:r w:rsidRPr="00806024">
              <w:rPr>
                <w:rFonts w:ascii="Calibri Light" w:hAnsi="Calibri Light"/>
                <w:sz w:val="18"/>
                <w:szCs w:val="18"/>
                <w:lang w:val="en-CA"/>
              </w:rPr>
              <w:t>) of national parks for tourism and cultural purposes.</w:t>
            </w:r>
          </w:p>
        </w:tc>
      </w:tr>
    </w:tbl>
    <w:bookmarkEnd w:id="17"/>
    <w:p w14:paraId="6EAAD234" w14:textId="77777777" w:rsidR="00302BFE" w:rsidRPr="00ED1ADC" w:rsidRDefault="00302BFE" w:rsidP="00302BFE">
      <w:pPr>
        <w:spacing w:before="240" w:after="120"/>
        <w:rPr>
          <w:b/>
          <w:szCs w:val="20"/>
          <w:lang w:val="en-CA"/>
        </w:rPr>
      </w:pPr>
      <w:r w:rsidRPr="00ED1ADC">
        <w:rPr>
          <w:b/>
          <w:szCs w:val="20"/>
          <w:lang w:val="en-CA"/>
        </w:rPr>
        <w:lastRenderedPageBreak/>
        <w:t>Component 4: Gender mainstreaming, and knowledge and learning management</w:t>
      </w:r>
    </w:p>
    <w:p w14:paraId="2A4F0AAE" w14:textId="77777777" w:rsidR="00302BFE" w:rsidRPr="008D40A3" w:rsidRDefault="00302BFE" w:rsidP="00302BFE">
      <w:pPr>
        <w:spacing w:before="120" w:after="120"/>
        <w:ind w:left="284"/>
        <w:rPr>
          <w:b/>
          <w:szCs w:val="20"/>
          <w:lang w:val="en-GB"/>
        </w:rPr>
      </w:pPr>
      <w:r w:rsidRPr="008D40A3">
        <w:rPr>
          <w:b/>
          <w:szCs w:val="20"/>
          <w:lang w:val="en-GB"/>
        </w:rPr>
        <w:t>Outcome 4.1: Increased opportunities for women to benefit from the sustainable management of natural resources and value chains related to PAs within the PONASI landscape</w:t>
      </w:r>
    </w:p>
    <w:p w14:paraId="35597D5E" w14:textId="77777777" w:rsidR="00302BFE" w:rsidRPr="008D40A3" w:rsidRDefault="00302BFE" w:rsidP="00302BFE">
      <w:pPr>
        <w:spacing w:before="120" w:after="120"/>
        <w:ind w:left="284"/>
        <w:rPr>
          <w:b/>
          <w:szCs w:val="20"/>
          <w:lang w:val="en-GB"/>
        </w:rPr>
      </w:pPr>
      <w:r w:rsidRPr="008D40A3">
        <w:rPr>
          <w:b/>
          <w:szCs w:val="20"/>
          <w:lang w:val="en-GB"/>
        </w:rPr>
        <w:t>Outcome 4.2: Appropriation of the knowledge developed in the project by the actors within the PONASI landscape and in Burkina Faso</w:t>
      </w:r>
    </w:p>
    <w:p w14:paraId="452B55EA" w14:textId="77777777" w:rsidR="00302BFE" w:rsidRPr="00806024"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rPr>
      </w:pPr>
      <w:r w:rsidRPr="00806024">
        <w:rPr>
          <w:rFonts w:ascii="Calibri" w:hAnsi="Calibri" w:cs="Calibri"/>
          <w:sz w:val="20"/>
          <w:szCs w:val="20"/>
          <w:lang w:val="en-CA"/>
        </w:rPr>
        <w:t>This component will be the lever on which the project will build to expand and replicate interventions and impacts across the landscape, based on learning from pilot sites and dissemination at landscape and country level. This will require</w:t>
      </w:r>
      <w:r w:rsidRPr="00806024">
        <w:rPr>
          <w:rFonts w:ascii="Calibri" w:eastAsia="Calibri" w:hAnsi="Calibri" w:cs="Calibri"/>
          <w:sz w:val="20"/>
          <w:szCs w:val="20"/>
          <w:lang w:val="en-CA"/>
        </w:rPr>
        <w:t xml:space="preserve"> that knowledge is effectively collected and managed in support of the conservation of BD and ecosystem services in productive landscapes through </w:t>
      </w:r>
      <w:r w:rsidRPr="00806024">
        <w:rPr>
          <w:rFonts w:ascii="Calibri" w:hAnsi="Calibri" w:cs="Calibri"/>
          <w:sz w:val="20"/>
          <w:szCs w:val="20"/>
          <w:lang w:val="en-CA"/>
        </w:rPr>
        <w:t xml:space="preserve">the monitoring systems implemented under other project components, </w:t>
      </w:r>
      <w:r w:rsidRPr="00806024">
        <w:rPr>
          <w:rFonts w:ascii="Calibri" w:eastAsia="Calibri" w:hAnsi="Calibri" w:cs="Calibri"/>
          <w:sz w:val="20"/>
          <w:szCs w:val="20"/>
          <w:lang w:val="en-CA"/>
        </w:rPr>
        <w:t>in particular for monitoring the implementation of the Landscape Master Plan and its effects (</w:t>
      </w:r>
      <w:r>
        <w:rPr>
          <w:rFonts w:ascii="Calibri" w:eastAsia="Calibri" w:hAnsi="Calibri" w:cs="Calibri"/>
          <w:sz w:val="20"/>
          <w:szCs w:val="20"/>
          <w:lang w:val="en-CA"/>
        </w:rPr>
        <w:t>output</w:t>
      </w:r>
      <w:r w:rsidRPr="00806024">
        <w:rPr>
          <w:rFonts w:ascii="Calibri" w:eastAsia="Calibri" w:hAnsi="Calibri" w:cs="Calibri"/>
          <w:sz w:val="20"/>
          <w:szCs w:val="20"/>
          <w:lang w:val="en-CA"/>
        </w:rPr>
        <w:t xml:space="preserve"> 1.5.2), monitoring of compliance to the Master Plan and grievances recorded by stakeholders (</w:t>
      </w:r>
      <w:r>
        <w:rPr>
          <w:rFonts w:ascii="Calibri" w:eastAsia="Calibri" w:hAnsi="Calibri" w:cs="Calibri"/>
          <w:sz w:val="20"/>
          <w:szCs w:val="20"/>
          <w:lang w:val="en-CA"/>
        </w:rPr>
        <w:t>output</w:t>
      </w:r>
      <w:r w:rsidRPr="00806024">
        <w:rPr>
          <w:rFonts w:ascii="Calibri" w:eastAsia="Calibri" w:hAnsi="Calibri" w:cs="Calibri"/>
          <w:sz w:val="20"/>
          <w:szCs w:val="20"/>
          <w:lang w:val="en-CA"/>
        </w:rPr>
        <w:t xml:space="preserve"> 1.5.4), carbon stocks estimations (</w:t>
      </w:r>
      <w:r>
        <w:rPr>
          <w:rFonts w:ascii="Calibri" w:eastAsia="Calibri" w:hAnsi="Calibri" w:cs="Calibri"/>
          <w:sz w:val="20"/>
          <w:szCs w:val="20"/>
          <w:lang w:val="en-CA"/>
        </w:rPr>
        <w:t>output</w:t>
      </w:r>
      <w:r w:rsidRPr="00806024">
        <w:rPr>
          <w:rFonts w:ascii="Calibri" w:eastAsia="Calibri" w:hAnsi="Calibri" w:cs="Calibri"/>
          <w:sz w:val="20"/>
          <w:szCs w:val="20"/>
          <w:lang w:val="en-CA"/>
        </w:rPr>
        <w:t xml:space="preserve"> 1.3), the monitoring of biodiversity in PAs (</w:t>
      </w:r>
      <w:r>
        <w:rPr>
          <w:rFonts w:ascii="Calibri" w:eastAsia="Calibri" w:hAnsi="Calibri" w:cs="Calibri"/>
          <w:sz w:val="20"/>
          <w:szCs w:val="20"/>
          <w:lang w:val="en-CA"/>
        </w:rPr>
        <w:t>output</w:t>
      </w:r>
      <w:r w:rsidRPr="00806024">
        <w:rPr>
          <w:rFonts w:ascii="Calibri" w:eastAsia="Calibri" w:hAnsi="Calibri" w:cs="Calibri"/>
          <w:sz w:val="20"/>
          <w:szCs w:val="20"/>
          <w:lang w:val="en-CA"/>
        </w:rPr>
        <w:t xml:space="preserve"> 2.1.2) and the monitoring of human-wildlife conflicts (</w:t>
      </w:r>
      <w:r>
        <w:rPr>
          <w:rFonts w:ascii="Calibri" w:eastAsia="Calibri" w:hAnsi="Calibri" w:cs="Calibri"/>
          <w:sz w:val="20"/>
          <w:szCs w:val="20"/>
          <w:lang w:val="en-CA"/>
        </w:rPr>
        <w:t>output</w:t>
      </w:r>
      <w:r w:rsidRPr="00806024">
        <w:rPr>
          <w:rFonts w:ascii="Calibri" w:eastAsia="Calibri" w:hAnsi="Calibri" w:cs="Calibri"/>
          <w:sz w:val="20"/>
          <w:szCs w:val="20"/>
          <w:lang w:val="en-CA"/>
        </w:rPr>
        <w:t xml:space="preserve"> 2.4.1) and the implementation of the action plan to mitigate them. This component will build on the gender-disaggregated data collected by these monitoring systems to develop gender-sensitive knowledge products, as well as on the communication and dissemination of lessons learned and experiences gained in pilot sites, to incite and support the widespread </w:t>
      </w:r>
      <w:r w:rsidRPr="00806024">
        <w:rPr>
          <w:rFonts w:ascii="Calibri" w:hAnsi="Calibri" w:cs="Calibri"/>
          <w:sz w:val="20"/>
          <w:szCs w:val="20"/>
          <w:lang w:val="en-CA"/>
        </w:rPr>
        <w:t xml:space="preserve">replication </w:t>
      </w:r>
      <w:r w:rsidRPr="00806024">
        <w:rPr>
          <w:rFonts w:ascii="Calibri" w:eastAsia="Calibri" w:hAnsi="Calibri" w:cs="Calibri"/>
          <w:sz w:val="20"/>
          <w:szCs w:val="20"/>
          <w:lang w:val="en-CA"/>
        </w:rPr>
        <w:t xml:space="preserve">and </w:t>
      </w:r>
      <w:r w:rsidRPr="00806024">
        <w:rPr>
          <w:rFonts w:ascii="Calibri" w:hAnsi="Calibri" w:cs="Calibri"/>
          <w:sz w:val="20"/>
          <w:szCs w:val="20"/>
          <w:lang w:val="en-CA"/>
        </w:rPr>
        <w:t>scaling-up</w:t>
      </w:r>
      <w:r w:rsidRPr="00806024">
        <w:rPr>
          <w:rFonts w:ascii="Calibri" w:eastAsia="Calibri" w:hAnsi="Calibri" w:cs="Calibri"/>
          <w:sz w:val="20"/>
          <w:szCs w:val="20"/>
          <w:lang w:val="en-CA"/>
        </w:rPr>
        <w:t xml:space="preserve"> of sustainable agro-sylvo-pastoral, SLM and biodiversity conservation practices. </w:t>
      </w:r>
      <w:r w:rsidRPr="00806024">
        <w:rPr>
          <w:rFonts w:ascii="Calibri" w:hAnsi="Calibri" w:cs="Calibri"/>
          <w:sz w:val="20"/>
          <w:szCs w:val="20"/>
          <w:lang w:val="en-CA"/>
        </w:rPr>
        <w:t>Monitoring and evaluation of project progress towards intended outcomes and outputs will integrate the information generated enable the adoption of an adaptive management approach to ensure the project effectively reaches outlined goals and objectives.</w:t>
      </w:r>
    </w:p>
    <w:p w14:paraId="2A8BD8E3" w14:textId="3FDE64BA" w:rsidR="00302BFE" w:rsidRDefault="00302BFE" w:rsidP="00302BFE">
      <w:pPr>
        <w:spacing w:before="120" w:after="120"/>
        <w:rPr>
          <w:b/>
          <w:szCs w:val="20"/>
          <w:lang w:val="en-CA"/>
        </w:rPr>
      </w:pPr>
      <w:r w:rsidRPr="004E4BF5">
        <w:rPr>
          <w:b/>
          <w:szCs w:val="20"/>
          <w:lang w:val="en-CA"/>
        </w:rPr>
        <w:t>Output 4.1 Gender Action plan implemented, monitored and evaluated</w:t>
      </w:r>
    </w:p>
    <w:p w14:paraId="51CB119B" w14:textId="5E3586B3" w:rsidR="003C3F01" w:rsidRPr="00BE65D5" w:rsidRDefault="003C3F01" w:rsidP="00302BFE">
      <w:pPr>
        <w:spacing w:before="120" w:after="120"/>
        <w:rPr>
          <w:iCs/>
          <w:color w:val="4472C4"/>
          <w:szCs w:val="20"/>
          <w:lang w:val="en-GB"/>
        </w:rPr>
      </w:pPr>
      <w:r w:rsidRPr="003F4704">
        <w:rPr>
          <w:iCs/>
          <w:color w:val="4472C4"/>
          <w:szCs w:val="20"/>
          <w:highlight w:val="green"/>
          <w:lang w:val="en-GB"/>
        </w:rPr>
        <w:t>For this Output, the FPIC (Free, Prior and Informed Consent) process has to be ensured</w:t>
      </w:r>
    </w:p>
    <w:p w14:paraId="520C3F00" w14:textId="2BA15B4A" w:rsidR="00302BFE" w:rsidRPr="008F0CCA" w:rsidRDefault="00302BFE" w:rsidP="00C46720">
      <w:pPr>
        <w:pStyle w:val="Paragraphedeliste"/>
        <w:numPr>
          <w:ilvl w:val="0"/>
          <w:numId w:val="14"/>
        </w:numPr>
        <w:tabs>
          <w:tab w:val="left" w:pos="284"/>
        </w:tabs>
        <w:spacing w:before="120" w:after="120"/>
        <w:ind w:left="0" w:firstLine="0"/>
        <w:jc w:val="both"/>
        <w:rPr>
          <w:rFonts w:ascii="Calibri" w:hAnsi="Calibri" w:cs="Calibri"/>
          <w:sz w:val="20"/>
          <w:szCs w:val="20"/>
          <w:lang w:val="en-CA"/>
        </w:rPr>
      </w:pPr>
      <w:r w:rsidRPr="00806024">
        <w:rPr>
          <w:rFonts w:ascii="Calibri" w:hAnsi="Calibri"/>
          <w:bCs/>
          <w:sz w:val="20"/>
          <w:szCs w:val="20"/>
          <w:lang w:val="en-CA"/>
        </w:rPr>
        <w:t xml:space="preserve">Women are disproportionately affected by the degradation of land and natural resources on which they depend for their livelihoods and living conditions because of inequities in access to and use of resources. However, women are not systematically consulted and integrated into development projects which are nevertheless </w:t>
      </w:r>
      <w:r w:rsidRPr="00806024">
        <w:rPr>
          <w:rFonts w:ascii="Calibri" w:hAnsi="Calibri"/>
          <w:sz w:val="20"/>
          <w:szCs w:val="20"/>
          <w:shd w:val="clear" w:color="auto" w:fill="FFFFFF"/>
          <w:lang w:val="en-CA"/>
        </w:rPr>
        <w:t>likely</w:t>
      </w:r>
      <w:r w:rsidRPr="00806024">
        <w:rPr>
          <w:rFonts w:ascii="Calibri" w:hAnsi="Calibri"/>
          <w:bCs/>
          <w:sz w:val="20"/>
          <w:szCs w:val="20"/>
          <w:lang w:val="en-CA"/>
        </w:rPr>
        <w:t xml:space="preserve"> to improve the sustainability of natural resources and ecosystem services and reduce their workload. In addition to being subject to insidious discrimination in their access to resources needed for socio-economic development, they are disadvantaged in access to support services. Indeed, microcredit, extension, input and seed supply services generally meet the needs of male heads of households</w:t>
      </w:r>
      <w:r w:rsidRPr="008F0CCA">
        <w:rPr>
          <w:rFonts w:ascii="Calibri" w:hAnsi="Calibri"/>
          <w:bCs/>
          <w:sz w:val="20"/>
          <w:szCs w:val="20"/>
          <w:lang w:val="en-CA"/>
        </w:rPr>
        <w:t>.</w:t>
      </w:r>
      <w:r w:rsidR="00D5205E" w:rsidRPr="008F0CCA">
        <w:rPr>
          <w:rFonts w:ascii="Calibri" w:hAnsi="Calibri"/>
          <w:bCs/>
          <w:sz w:val="20"/>
          <w:szCs w:val="20"/>
          <w:lang w:val="en-CA"/>
        </w:rPr>
        <w:t xml:space="preserve"> </w:t>
      </w:r>
      <w:r w:rsidR="00D5205E" w:rsidRPr="00A63E29">
        <w:rPr>
          <w:rFonts w:ascii="Calibri" w:hAnsi="Calibri"/>
          <w:bCs/>
          <w:sz w:val="20"/>
          <w:szCs w:val="20"/>
          <w:lang w:val="en-CA"/>
        </w:rPr>
        <w:t>Women are also disproportionally affected by the COVID crisis, often being victims of domestic violence during lock-downs and suffering from restrictive measures placed on informal marketing activities.</w:t>
      </w:r>
      <w:r w:rsidR="00D5205E" w:rsidRPr="008F0CCA">
        <w:rPr>
          <w:rFonts w:ascii="Calibri" w:hAnsi="Calibri"/>
          <w:bCs/>
          <w:sz w:val="20"/>
          <w:szCs w:val="20"/>
          <w:lang w:val="en-CA"/>
        </w:rPr>
        <w:t xml:space="preserve"> </w:t>
      </w:r>
    </w:p>
    <w:p w14:paraId="3AD9C83B" w14:textId="77777777" w:rsidR="00302BFE" w:rsidRPr="00806024" w:rsidRDefault="00302BFE" w:rsidP="00C46720">
      <w:pPr>
        <w:pStyle w:val="Paragraphedeliste"/>
        <w:numPr>
          <w:ilvl w:val="0"/>
          <w:numId w:val="14"/>
        </w:numPr>
        <w:tabs>
          <w:tab w:val="left" w:pos="284"/>
        </w:tabs>
        <w:spacing w:before="120" w:after="120"/>
        <w:ind w:left="0" w:firstLine="0"/>
        <w:jc w:val="both"/>
        <w:rPr>
          <w:rFonts w:ascii="Calibri" w:hAnsi="Calibri" w:cs="Calibri"/>
          <w:sz w:val="20"/>
          <w:szCs w:val="20"/>
          <w:lang w:val="en-CA"/>
        </w:rPr>
      </w:pPr>
      <w:r w:rsidRPr="00806024">
        <w:rPr>
          <w:rFonts w:ascii="Calibri" w:hAnsi="Calibri"/>
          <w:bCs/>
          <w:sz w:val="20"/>
          <w:szCs w:val="20"/>
          <w:lang w:val="en-CA"/>
        </w:rPr>
        <w:t xml:space="preserve">The project will strive to address such gaps through the implementation of the gender action plan which </w:t>
      </w:r>
      <w:r w:rsidRPr="00806024">
        <w:rPr>
          <w:rFonts w:ascii="Calibri" w:hAnsi="Calibri" w:cs="Calibri"/>
          <w:sz w:val="20"/>
          <w:szCs w:val="20"/>
          <w:lang w:val="en-CA"/>
        </w:rPr>
        <w:t xml:space="preserve">breaks down project outputs into concrete gender related outputs and activities, to ensure that they are well integrated into the annual workplan and budget. </w:t>
      </w:r>
      <w:r w:rsidRPr="00806024">
        <w:rPr>
          <w:rFonts w:ascii="Calibri" w:hAnsi="Calibri"/>
          <w:bCs/>
          <w:sz w:val="20"/>
          <w:szCs w:val="20"/>
          <w:lang w:val="en-CA"/>
        </w:rPr>
        <w:t>The project will take into account the gender issue by collecting socio-economic sex-disaggregated data in baseline surveys, and by adopting gender-sensitive indicators to monitor the project specific impact on women.</w:t>
      </w:r>
    </w:p>
    <w:p w14:paraId="4FE3421E" w14:textId="77777777" w:rsidR="00302BFE" w:rsidRPr="00806024" w:rsidRDefault="00302BFE" w:rsidP="00C46720">
      <w:pPr>
        <w:pStyle w:val="Paragraphedeliste"/>
        <w:numPr>
          <w:ilvl w:val="0"/>
          <w:numId w:val="14"/>
        </w:numPr>
        <w:tabs>
          <w:tab w:val="left" w:pos="284"/>
        </w:tabs>
        <w:spacing w:before="120" w:after="120"/>
        <w:ind w:left="0" w:firstLine="0"/>
        <w:jc w:val="both"/>
        <w:rPr>
          <w:rFonts w:ascii="Calibri" w:hAnsi="Calibri" w:cs="Calibri"/>
          <w:sz w:val="20"/>
          <w:szCs w:val="20"/>
          <w:lang w:val="en-CA"/>
        </w:rPr>
      </w:pPr>
      <w:r w:rsidRPr="00806024">
        <w:rPr>
          <w:rFonts w:ascii="Calibri" w:hAnsi="Calibri"/>
          <w:sz w:val="20"/>
          <w:szCs w:val="20"/>
          <w:lang w:val="en-CA"/>
        </w:rPr>
        <w:t xml:space="preserve">The project will seek to strengthen women's participation in project i) by adopting a specific communication approach </w:t>
      </w:r>
      <w:r w:rsidRPr="00806024">
        <w:rPr>
          <w:rFonts w:ascii="Calibri" w:hAnsi="Calibri"/>
          <w:bCs/>
          <w:sz w:val="20"/>
          <w:szCs w:val="20"/>
          <w:lang w:val="en-CA"/>
        </w:rPr>
        <w:t>that specifically target women</w:t>
      </w:r>
      <w:r w:rsidRPr="00806024">
        <w:rPr>
          <w:rFonts w:ascii="Calibri" w:hAnsi="Calibri"/>
          <w:sz w:val="20"/>
          <w:szCs w:val="20"/>
          <w:lang w:val="en-CA"/>
        </w:rPr>
        <w:t xml:space="preserve"> to ensure that messages reach them and that their concerns and priorities are heard and addressed; ii) by consulting them to find ways to facilitate their participation in activities and reconcile it with their schedule and domestic chores; iii) by involving them in every local planning and implementation stage regarding the location and identification of SLM practices, identification of techniques for the </w:t>
      </w:r>
      <w:r w:rsidRPr="00806024">
        <w:rPr>
          <w:rFonts w:ascii="Calibri" w:hAnsi="Calibri"/>
          <w:bCs/>
          <w:sz w:val="20"/>
          <w:szCs w:val="20"/>
          <w:lang w:val="en-CA"/>
        </w:rPr>
        <w:t>IGAs (as part of the value chains) adapted to them and meeting their needs</w:t>
      </w:r>
      <w:r w:rsidRPr="00806024">
        <w:rPr>
          <w:rFonts w:ascii="Calibri" w:hAnsi="Calibri"/>
          <w:sz w:val="20"/>
          <w:szCs w:val="20"/>
          <w:lang w:val="en-CA"/>
        </w:rPr>
        <w:t xml:space="preserve"> and capacities</w:t>
      </w:r>
      <w:r w:rsidRPr="00806024">
        <w:rPr>
          <w:rFonts w:ascii="Calibri" w:hAnsi="Calibri"/>
          <w:bCs/>
          <w:sz w:val="20"/>
          <w:szCs w:val="20"/>
          <w:lang w:val="en-CA"/>
        </w:rPr>
        <w:t xml:space="preserve">, and every aspect likely to reduce their daily burden; iv) by involving them in the design, dissemination and marketing of products in the value chains, v) by developing training </w:t>
      </w:r>
      <w:r w:rsidRPr="00806024">
        <w:rPr>
          <w:rFonts w:ascii="Calibri" w:hAnsi="Calibri"/>
          <w:sz w:val="20"/>
          <w:szCs w:val="20"/>
          <w:lang w:val="en-CA"/>
        </w:rPr>
        <w:t>programs</w:t>
      </w:r>
      <w:r w:rsidRPr="00806024">
        <w:rPr>
          <w:rFonts w:ascii="Calibri" w:hAnsi="Calibri"/>
          <w:bCs/>
          <w:sz w:val="20"/>
          <w:szCs w:val="20"/>
          <w:lang w:val="en-CA"/>
        </w:rPr>
        <w:t xml:space="preserve"> targeting women’s specific activities and fostering their involvement in new activities such as composting and seed collection; vi) by facilitating their access to</w:t>
      </w:r>
      <w:r w:rsidRPr="00806024">
        <w:rPr>
          <w:rFonts w:ascii="Calibri" w:hAnsi="Calibri"/>
          <w:sz w:val="20"/>
          <w:szCs w:val="20"/>
          <w:lang w:val="en-CA"/>
        </w:rPr>
        <w:t xml:space="preserve"> locally managed credit facilities for their specific activities</w:t>
      </w:r>
      <w:r w:rsidRPr="00806024">
        <w:rPr>
          <w:rFonts w:ascii="Calibri" w:hAnsi="Calibri"/>
          <w:bCs/>
          <w:sz w:val="20"/>
          <w:szCs w:val="20"/>
          <w:lang w:val="en-CA"/>
        </w:rPr>
        <w:t xml:space="preserve">. The project will pay special attention to securing women’s </w:t>
      </w:r>
      <w:r w:rsidRPr="00806024">
        <w:rPr>
          <w:rFonts w:ascii="Calibri" w:hAnsi="Calibri"/>
          <w:sz w:val="20"/>
          <w:szCs w:val="20"/>
          <w:lang w:val="en-CA"/>
        </w:rPr>
        <w:t>access and rights to resources and land, and especially so for female-headed households.</w:t>
      </w:r>
    </w:p>
    <w:p w14:paraId="5C6C6C10" w14:textId="77777777" w:rsidR="00302BFE" w:rsidRPr="00806024" w:rsidRDefault="00302BFE" w:rsidP="00C46720">
      <w:pPr>
        <w:pStyle w:val="Paragraphedeliste"/>
        <w:numPr>
          <w:ilvl w:val="0"/>
          <w:numId w:val="14"/>
        </w:numPr>
        <w:tabs>
          <w:tab w:val="left" w:pos="284"/>
        </w:tabs>
        <w:spacing w:before="120" w:after="120"/>
        <w:ind w:left="0" w:firstLine="0"/>
        <w:jc w:val="both"/>
        <w:rPr>
          <w:rFonts w:ascii="Calibri" w:hAnsi="Calibri" w:cs="Calibri"/>
          <w:sz w:val="20"/>
          <w:szCs w:val="20"/>
          <w:lang w:val="en-CA"/>
        </w:rPr>
      </w:pPr>
      <w:r w:rsidRPr="00806024">
        <w:rPr>
          <w:rFonts w:ascii="Calibri" w:hAnsi="Calibri" w:cs="Calibri"/>
          <w:bCs/>
          <w:iCs/>
          <w:sz w:val="20"/>
          <w:szCs w:val="20"/>
          <w:lang w:val="en-CA"/>
        </w:rPr>
        <w:t>The assessment of the project contribution to increase women’s benefits linked to improved environmental management through gender mainstreaming will require further analytical thinking such as the project impact on obstacles to be lifted at all levels, ranging from women's perceptions of their empowerment, to the sharing of benefits within households, the actual use of income generated through support targeted at women, constraints on access to means of production, including land and microcredit, and policy and legislative frameworks and their local implementation.</w:t>
      </w:r>
    </w:p>
    <w:p w14:paraId="467A829F" w14:textId="77777777" w:rsidR="00302BFE" w:rsidRPr="00806024" w:rsidRDefault="00302BFE" w:rsidP="00C46720">
      <w:pPr>
        <w:pStyle w:val="Paragraphedeliste"/>
        <w:numPr>
          <w:ilvl w:val="0"/>
          <w:numId w:val="14"/>
        </w:numPr>
        <w:tabs>
          <w:tab w:val="left" w:pos="284"/>
        </w:tabs>
        <w:spacing w:before="120" w:after="120"/>
        <w:ind w:left="0" w:firstLine="0"/>
        <w:jc w:val="both"/>
        <w:rPr>
          <w:rFonts w:ascii="Calibri" w:hAnsi="Calibri" w:cs="Calibri"/>
          <w:sz w:val="20"/>
          <w:szCs w:val="20"/>
          <w:lang w:val="en-CA"/>
        </w:rPr>
      </w:pPr>
      <w:r w:rsidRPr="00806024">
        <w:rPr>
          <w:rFonts w:ascii="Calibri" w:hAnsi="Calibri" w:cs="Calibri"/>
          <w:bCs/>
          <w:iCs/>
          <w:sz w:val="20"/>
          <w:szCs w:val="20"/>
          <w:lang w:val="en-CA"/>
        </w:rPr>
        <w:t xml:space="preserve">The documentation of these themes will be based on the systematic monitoring of women's participation to every project activity and the effects of the project on them using gender-disaggregated indicators, complemented by socio-economic surveys conducted at mid-term and in the last year of the project (before the terminal evaluation). Use of gender sensitive indicators will help </w:t>
      </w:r>
      <w:r w:rsidRPr="00806024">
        <w:rPr>
          <w:rFonts w:ascii="Calibri" w:hAnsi="Calibri" w:cs="Calibri"/>
          <w:bCs/>
          <w:iCs/>
          <w:sz w:val="20"/>
          <w:szCs w:val="20"/>
          <w:lang w:val="en-CA"/>
        </w:rPr>
        <w:lastRenderedPageBreak/>
        <w:t xml:space="preserve">to reveal barriers to achieving success, and to make the case for action by highlighting key issues, backed up with statistics and other evidence. Surveys will assess how effectively the gender mainstreaming approach adopted by the project has contributed to improving the lives of women and their families, how the support for women has contributed to improving environmental sustainability in the PONASI landscape and will formulate recommendations. </w:t>
      </w:r>
      <w:r w:rsidRPr="00806024">
        <w:rPr>
          <w:rFonts w:ascii="Calibri" w:hAnsi="Calibri"/>
          <w:sz w:val="20"/>
          <w:szCs w:val="20"/>
          <w:lang w:val="en-CA"/>
        </w:rPr>
        <w:t xml:space="preserve">Women groups will assist in sharing and analyzing lessons learned and experiences related to gender mainstreaming. </w:t>
      </w:r>
      <w:r w:rsidRPr="00806024">
        <w:rPr>
          <w:rFonts w:ascii="Calibri" w:hAnsi="Calibri" w:cs="Calibri"/>
          <w:bCs/>
          <w:iCs/>
          <w:sz w:val="20"/>
          <w:szCs w:val="20"/>
          <w:lang w:val="en-CA"/>
        </w:rPr>
        <w:t>The dissemination of the results of such an analysis conducted in collaboration by the Gender Expert and the Communication and Knowledge Management Expert will target academic and administrative audiences and will take the form of an electronic and printed publication. A culturally sensitive simplified version will be prepared for rural populations to highlight the benefits of gender mainstreaming in sustainable environmental management and empowering women.</w:t>
      </w:r>
    </w:p>
    <w:p w14:paraId="64F1DB50" w14:textId="0BB09395" w:rsidR="00302BFE" w:rsidRDefault="00302BFE" w:rsidP="00302BFE">
      <w:pPr>
        <w:spacing w:before="120" w:after="120"/>
        <w:rPr>
          <w:b/>
          <w:szCs w:val="20"/>
          <w:lang w:val="en-CA"/>
        </w:rPr>
      </w:pPr>
      <w:r w:rsidRPr="004E4BF5">
        <w:rPr>
          <w:b/>
          <w:szCs w:val="20"/>
          <w:lang w:val="en-CA"/>
        </w:rPr>
        <w:t xml:space="preserve">Output 4.2: Technical knowledge and lessons learned from the project's experiences are compiled, assessed and translated into knowledge products that contribute to building the capacity of all actors in sustainable </w:t>
      </w:r>
      <w:r w:rsidRPr="00806024">
        <w:rPr>
          <w:b/>
          <w:szCs w:val="20"/>
          <w:lang w:val="en-CA"/>
        </w:rPr>
        <w:t xml:space="preserve">environmental management. </w:t>
      </w:r>
    </w:p>
    <w:p w14:paraId="6270B233" w14:textId="77777777" w:rsidR="00087970" w:rsidRPr="003F4704" w:rsidRDefault="00087970" w:rsidP="00087970">
      <w:pPr>
        <w:spacing w:after="0"/>
        <w:contextualSpacing/>
        <w:rPr>
          <w:bCs/>
          <w:szCs w:val="20"/>
          <w:highlight w:val="green"/>
          <w:lang w:val="en-GB"/>
        </w:rPr>
      </w:pPr>
      <w:r w:rsidRPr="003F4704">
        <w:rPr>
          <w:bCs/>
          <w:szCs w:val="20"/>
          <w:highlight w:val="green"/>
          <w:lang w:val="en-GB"/>
        </w:rPr>
        <w:t>To assess and manage the impacts of this Output, as indicated in the SESP – in attachment to the ProDoc – the following assessment and management processes will be put in place, to comply with UNDP SES:</w:t>
      </w:r>
    </w:p>
    <w:p w14:paraId="18714A3D" w14:textId="77777777" w:rsidR="00087970" w:rsidRPr="003F4704" w:rsidRDefault="00087970" w:rsidP="00087970">
      <w:pPr>
        <w:spacing w:after="0"/>
        <w:contextualSpacing/>
        <w:rPr>
          <w:bCs/>
          <w:szCs w:val="20"/>
          <w:highlight w:val="green"/>
          <w:u w:val="single"/>
          <w:lang w:val="en-GB"/>
        </w:rPr>
      </w:pPr>
      <w:r w:rsidRPr="003F4704">
        <w:rPr>
          <w:bCs/>
          <w:szCs w:val="20"/>
          <w:highlight w:val="green"/>
          <w:u w:val="single"/>
          <w:lang w:val="en-GB"/>
        </w:rPr>
        <w:t>Assessments:</w:t>
      </w:r>
    </w:p>
    <w:p w14:paraId="591DC0E8" w14:textId="77777777" w:rsidR="00087970" w:rsidRPr="003F4704" w:rsidRDefault="00087970" w:rsidP="00087970">
      <w:pPr>
        <w:spacing w:after="0"/>
        <w:contextualSpacing/>
        <w:rPr>
          <w:bCs/>
          <w:szCs w:val="20"/>
          <w:highlight w:val="green"/>
          <w:lang w:val="en-GB"/>
        </w:rPr>
      </w:pPr>
      <w:r w:rsidRPr="003F4704">
        <w:rPr>
          <w:bCs/>
          <w:szCs w:val="20"/>
          <w:highlight w:val="green"/>
          <w:lang w:val="en-GB"/>
        </w:rPr>
        <w:t xml:space="preserve">SESA </w:t>
      </w:r>
    </w:p>
    <w:p w14:paraId="5AB0583A" w14:textId="2E0035D4" w:rsidR="00087970" w:rsidRPr="00BE65D5" w:rsidRDefault="00087970" w:rsidP="00087970">
      <w:pPr>
        <w:spacing w:after="0"/>
        <w:contextualSpacing/>
        <w:rPr>
          <w:bCs/>
          <w:szCs w:val="20"/>
          <w:highlight w:val="green"/>
          <w:lang w:val="en-GB"/>
        </w:rPr>
      </w:pPr>
      <w:r w:rsidRPr="003F4704">
        <w:rPr>
          <w:bCs/>
          <w:szCs w:val="20"/>
          <w:highlight w:val="green"/>
          <w:u w:val="single"/>
          <w:lang w:val="en-GB"/>
        </w:rPr>
        <w:t>Management:</w:t>
      </w:r>
    </w:p>
    <w:p w14:paraId="7D46D91E" w14:textId="421CCF71" w:rsidR="003C3F01" w:rsidRPr="003F4704" w:rsidRDefault="00087970" w:rsidP="00087970">
      <w:pPr>
        <w:spacing w:after="0"/>
        <w:contextualSpacing/>
        <w:rPr>
          <w:bCs/>
          <w:szCs w:val="20"/>
          <w:highlight w:val="green"/>
          <w:lang w:val="en-GB"/>
        </w:rPr>
      </w:pPr>
      <w:r w:rsidRPr="003F4704">
        <w:rPr>
          <w:bCs/>
          <w:szCs w:val="20"/>
          <w:highlight w:val="green"/>
          <w:lang w:val="en-GB"/>
        </w:rPr>
        <w:t xml:space="preserve">SESA report and recommendations (Actions Matrix) </w:t>
      </w:r>
    </w:p>
    <w:p w14:paraId="101A77C0" w14:textId="47E5488B" w:rsidR="00087970" w:rsidRPr="00BE65D5" w:rsidRDefault="003C3F01" w:rsidP="00302BFE">
      <w:pPr>
        <w:spacing w:before="120" w:after="120"/>
        <w:rPr>
          <w:iCs/>
          <w:color w:val="4472C4"/>
          <w:szCs w:val="20"/>
          <w:lang w:val="en-GB"/>
        </w:rPr>
      </w:pPr>
      <w:r w:rsidRPr="003F4704">
        <w:rPr>
          <w:iCs/>
          <w:color w:val="4472C4"/>
          <w:szCs w:val="20"/>
          <w:highlight w:val="green"/>
          <w:lang w:val="en-GB"/>
        </w:rPr>
        <w:t>For this Output, the FPIC (Free, Prior and Informed Consent) process has to be ensured</w:t>
      </w:r>
    </w:p>
    <w:p w14:paraId="2D7765D4" w14:textId="77777777" w:rsidR="00302BFE" w:rsidRPr="00B93DBA" w:rsidRDefault="00302BFE" w:rsidP="00C46720">
      <w:pPr>
        <w:pStyle w:val="Paragraphedeliste"/>
        <w:numPr>
          <w:ilvl w:val="0"/>
          <w:numId w:val="14"/>
        </w:numPr>
        <w:tabs>
          <w:tab w:val="left" w:pos="284"/>
        </w:tabs>
        <w:spacing w:before="120" w:after="120"/>
        <w:ind w:left="0" w:firstLine="0"/>
        <w:jc w:val="both"/>
        <w:rPr>
          <w:rFonts w:ascii="Calibri" w:hAnsi="Calibri"/>
          <w:bCs/>
          <w:sz w:val="20"/>
          <w:szCs w:val="20"/>
          <w:lang w:val="en-CA"/>
        </w:rPr>
      </w:pPr>
      <w:r w:rsidRPr="00806024">
        <w:rPr>
          <w:rFonts w:ascii="Calibri" w:hAnsi="Calibri"/>
          <w:sz w:val="20"/>
          <w:szCs w:val="20"/>
          <w:lang w:val="en-CA"/>
        </w:rPr>
        <w:t xml:space="preserve">M&amp;E of the project’s implementation will be conducted following GEF and UNDP guidelines and according to the M&amp;E plan described in Section VII of this project document. The main tasks of the M&amp;E plan include an inception workshop, annual monitoring of indicators in project results framework, annual project implementation reports, annual audits, continuous monitoring of environmental and social risks, continuous monitoring of the Stakeholder Engagement Plan and the Gender Action Plan, </w:t>
      </w:r>
      <w:r>
        <w:rPr>
          <w:rFonts w:ascii="Calibri" w:hAnsi="Calibri"/>
          <w:sz w:val="20"/>
          <w:szCs w:val="20"/>
          <w:lang w:val="en-CA"/>
        </w:rPr>
        <w:t>Project Consultation/Dialogue Framework</w:t>
      </w:r>
      <w:r w:rsidRPr="00806024">
        <w:rPr>
          <w:rFonts w:ascii="Calibri" w:hAnsi="Calibri"/>
          <w:sz w:val="20"/>
          <w:szCs w:val="20"/>
          <w:lang w:val="en-CA"/>
        </w:rPr>
        <w:t xml:space="preserve"> meetings, meetings of the landscape co-governance platform, oversight mission by the UNDP-GEF team, mid-term and end-of-project updates of the GEF-7 core indicators, and an Independent Mid-term Review and an Independent Terminal Evaluation.</w:t>
      </w:r>
    </w:p>
    <w:p w14:paraId="588A40B8" w14:textId="77777777" w:rsidR="00302BFE" w:rsidRPr="00A93827" w:rsidRDefault="00302BFE" w:rsidP="00C46720">
      <w:pPr>
        <w:pStyle w:val="Paragraphedeliste"/>
        <w:numPr>
          <w:ilvl w:val="0"/>
          <w:numId w:val="14"/>
        </w:numPr>
        <w:tabs>
          <w:tab w:val="left" w:pos="284"/>
        </w:tabs>
        <w:spacing w:before="120" w:after="120"/>
        <w:ind w:left="0" w:firstLine="0"/>
        <w:jc w:val="both"/>
        <w:rPr>
          <w:rFonts w:ascii="Calibri" w:hAnsi="Calibri"/>
          <w:bCs/>
          <w:sz w:val="20"/>
          <w:szCs w:val="20"/>
          <w:lang w:val="en-CA"/>
        </w:rPr>
      </w:pPr>
      <w:r w:rsidRPr="00A93827">
        <w:rPr>
          <w:rFonts w:ascii="Calibri" w:hAnsi="Calibri"/>
          <w:bCs/>
          <w:sz w:val="20"/>
          <w:szCs w:val="20"/>
          <w:lang w:val="en-CA"/>
        </w:rPr>
        <w:t xml:space="preserve">In addition, as part of the project M&amp;E activities, an Environmental and Social Impact Assessment Specialist will be recruited in the first year of the project to prepare an </w:t>
      </w:r>
      <w:r w:rsidRPr="00A93827">
        <w:rPr>
          <w:rFonts w:ascii="Calibri" w:hAnsi="Calibri"/>
          <w:sz w:val="20"/>
          <w:szCs w:val="20"/>
        </w:rPr>
        <w:t>Environmental and Social Management Plan (ESMP) to ensure the PONASI Landscape Project is consistent with UNDP’s Social and Environmental Standards (SES) (</w:t>
      </w:r>
      <w:hyperlink r:id="rId25" w:history="1">
        <w:r w:rsidRPr="00A93827">
          <w:rPr>
            <w:rStyle w:val="Lienhypertexte"/>
            <w:rFonts w:ascii="Calibri" w:hAnsi="Calibri"/>
            <w:sz w:val="20"/>
            <w:szCs w:val="20"/>
          </w:rPr>
          <w:t>www.undp.org/ses</w:t>
        </w:r>
      </w:hyperlink>
      <w:r w:rsidRPr="00A93827">
        <w:rPr>
          <w:rFonts w:ascii="Calibri" w:hAnsi="Calibri"/>
          <w:sz w:val="20"/>
          <w:szCs w:val="20"/>
        </w:rPr>
        <w:t xml:space="preserve">). The SES require that all UNDP projects consider the potential environmental and social opportunities that a project may generate and ensure that adverse social and environmental risks and impacts are avoided, minimized, mitigated and managed. </w:t>
      </w:r>
      <w:r w:rsidRPr="00A93827">
        <w:rPr>
          <w:rFonts w:ascii="Calibri" w:hAnsi="Calibri"/>
          <w:sz w:val="20"/>
          <w:szCs w:val="20"/>
          <w:lang w:val="en-CA"/>
        </w:rPr>
        <w:t xml:space="preserve">The overall objective of the ESMP is to assist in minimizing the impacts to the environment and the surrounding communities and reach a set of environmental and social objectives. The ESMP ensures that the environmental and social objectives of the projects are met through monitoring in order to avoid or mitigate adverse effects on the environment. An outline of the ESMP is provided with the TORs for the </w:t>
      </w:r>
      <w:r w:rsidRPr="00A93827">
        <w:rPr>
          <w:rFonts w:ascii="Calibri" w:hAnsi="Calibri"/>
          <w:bCs/>
          <w:sz w:val="20"/>
          <w:szCs w:val="20"/>
          <w:lang w:val="en-CA"/>
        </w:rPr>
        <w:t>Environmental and Social Impact Assessment Specialist</w:t>
      </w:r>
      <w:r w:rsidRPr="00A93827">
        <w:rPr>
          <w:rFonts w:ascii="Calibri" w:hAnsi="Calibri"/>
          <w:sz w:val="20"/>
          <w:szCs w:val="20"/>
          <w:lang w:val="en-CA"/>
        </w:rPr>
        <w:t xml:space="preserve"> in Annex </w:t>
      </w:r>
      <w:r w:rsidR="009523FE" w:rsidRPr="00A93827">
        <w:rPr>
          <w:rFonts w:ascii="Calibri" w:hAnsi="Calibri"/>
          <w:sz w:val="20"/>
          <w:szCs w:val="20"/>
          <w:lang w:val="en-CA"/>
        </w:rPr>
        <w:t>C</w:t>
      </w:r>
      <w:r w:rsidRPr="00A93827">
        <w:rPr>
          <w:rFonts w:ascii="Calibri" w:hAnsi="Calibri"/>
          <w:sz w:val="20"/>
          <w:szCs w:val="20"/>
          <w:lang w:val="en-CA"/>
        </w:rPr>
        <w:t>.</w:t>
      </w:r>
    </w:p>
    <w:p w14:paraId="4AE1B05B" w14:textId="77777777" w:rsidR="00302BFE" w:rsidRPr="00B93DBA" w:rsidRDefault="00302BFE" w:rsidP="00C46720">
      <w:pPr>
        <w:pStyle w:val="Paragraphedeliste"/>
        <w:numPr>
          <w:ilvl w:val="0"/>
          <w:numId w:val="32"/>
        </w:numPr>
        <w:tabs>
          <w:tab w:val="left" w:pos="284"/>
        </w:tabs>
        <w:spacing w:before="120" w:after="120"/>
        <w:ind w:left="0" w:firstLine="0"/>
        <w:jc w:val="both"/>
        <w:rPr>
          <w:rFonts w:ascii="Calibri" w:hAnsi="Calibri" w:cs="Segoe UI"/>
          <w:color w:val="000000"/>
          <w:sz w:val="20"/>
          <w:szCs w:val="20"/>
        </w:rPr>
      </w:pPr>
      <w:r w:rsidRPr="00B93DBA">
        <w:rPr>
          <w:rFonts w:ascii="Calibri" w:hAnsi="Calibri"/>
          <w:sz w:val="20"/>
          <w:szCs w:val="20"/>
        </w:rPr>
        <w:t>The ESMP will cover all activities to be implemented by the PONASI landscape project and likely to affect the social and environmental elements of the landscape, according to indications provided in the Project Document, including, but not limited to: formalizing the creation of a wildlife corridor, strengthening capacities for monitoring and surveillance in protected areas through training and equipment for eco-guards and rangers, building infrastructure for the Kaboré-Tambi National Park (PNKT) and observation platforms in PNKT, Sissili CF and Nazinga Game Ranch, maintenance of firebreaks and perimeter tracks, developing NTFP value chains, developing PA-related tourism, improving agro-silvo-pastoral systems including through sustainable land management practices, assisted natural regeneration, and agroforestry.</w:t>
      </w:r>
    </w:p>
    <w:p w14:paraId="4F3760E9" w14:textId="77777777" w:rsidR="00302BFE" w:rsidRPr="00806024" w:rsidRDefault="00302BFE" w:rsidP="00C46720">
      <w:pPr>
        <w:pStyle w:val="Paragraphedeliste"/>
        <w:numPr>
          <w:ilvl w:val="0"/>
          <w:numId w:val="14"/>
        </w:numPr>
        <w:tabs>
          <w:tab w:val="left" w:pos="284"/>
        </w:tabs>
        <w:spacing w:before="120" w:after="120"/>
        <w:ind w:left="0" w:firstLine="0"/>
        <w:jc w:val="both"/>
        <w:rPr>
          <w:rFonts w:ascii="Calibri" w:hAnsi="Calibri"/>
          <w:bCs/>
          <w:sz w:val="20"/>
          <w:szCs w:val="20"/>
          <w:lang w:val="en-CA"/>
        </w:rPr>
      </w:pPr>
      <w:r w:rsidRPr="00806024">
        <w:rPr>
          <w:rFonts w:ascii="Calibri" w:hAnsi="Calibri"/>
          <w:sz w:val="20"/>
          <w:szCs w:val="20"/>
          <w:lang w:val="en-CA"/>
        </w:rPr>
        <w:t>Monitoring systems will be established to learn from the landscape management approach, and biodiversity conservation interventions implemented by the project and to measure progress made through management and conservation measures.</w:t>
      </w:r>
      <w:r>
        <w:rPr>
          <w:rFonts w:ascii="Calibri" w:hAnsi="Calibri"/>
          <w:sz w:val="20"/>
          <w:szCs w:val="20"/>
          <w:lang w:val="en-CA"/>
        </w:rPr>
        <w:t xml:space="preserve"> </w:t>
      </w:r>
      <w:r w:rsidRPr="00806024">
        <w:rPr>
          <w:rFonts w:ascii="Calibri" w:hAnsi="Calibri" w:cs="Calibri"/>
          <w:sz w:val="20"/>
          <w:szCs w:val="20"/>
          <w:lang w:val="en-CA"/>
        </w:rPr>
        <w:t xml:space="preserve">The identification of relevant experiences and lessons learned will be carried out on a yearly basis, coupled with the annual review, and will be used internally to inform the project management team, the relevant departments under the </w:t>
      </w:r>
      <w:r>
        <w:rPr>
          <w:rFonts w:ascii="Calibri" w:hAnsi="Calibri" w:cs="Calibri"/>
          <w:sz w:val="20"/>
          <w:szCs w:val="20"/>
          <w:lang w:val="en-CA"/>
        </w:rPr>
        <w:t>MEGECC</w:t>
      </w:r>
      <w:r w:rsidRPr="00806024">
        <w:rPr>
          <w:rFonts w:ascii="Calibri" w:hAnsi="Calibri" w:cs="Calibri"/>
          <w:sz w:val="20"/>
          <w:szCs w:val="20"/>
          <w:lang w:val="en-CA"/>
        </w:rPr>
        <w:t>, male and female beneficiaries at local level, and other project stakeholders on the project’s progress. The lessons learnt will be input to the project iterative management process and the necessary adjustments made to the project’s design, as necessary, to reflect the lessons learnt.</w:t>
      </w:r>
      <w:r w:rsidRPr="00806024">
        <w:rPr>
          <w:rFonts w:ascii="Calibri" w:hAnsi="Calibri"/>
          <w:sz w:val="20"/>
          <w:szCs w:val="20"/>
          <w:lang w:val="en-CA"/>
        </w:rPr>
        <w:t xml:space="preserve"> Lessons learned and good practices in PA and landscape collaborative management, including SLM, forestry, pasture and climate-smart agriculture, and gender mainstreaming, will be systematically identified by the Project Coordinator, the M&amp;E expert, the </w:t>
      </w:r>
      <w:r>
        <w:rPr>
          <w:rFonts w:ascii="Calibri" w:hAnsi="Calibri"/>
          <w:sz w:val="20"/>
          <w:szCs w:val="20"/>
          <w:lang w:val="en-CA"/>
        </w:rPr>
        <w:t>Project Consultation/Dialogue Framework</w:t>
      </w:r>
      <w:r w:rsidRPr="00806024">
        <w:rPr>
          <w:rFonts w:ascii="Calibri" w:hAnsi="Calibri"/>
          <w:sz w:val="20"/>
          <w:szCs w:val="20"/>
          <w:lang w:val="en-CA"/>
        </w:rPr>
        <w:t>, and key project stakeholders, including local community members participating in the project, as part of the participatory annual review, reporting and planning of the project. The project’s Communication and Knowledge Management Expert will collate these learnings and develop knowledge products designed for specific audiences and different purposes.</w:t>
      </w:r>
    </w:p>
    <w:p w14:paraId="1A8D99EC" w14:textId="77777777" w:rsidR="00302BFE" w:rsidRPr="005D2DFE" w:rsidRDefault="00302BFE" w:rsidP="00C46720">
      <w:pPr>
        <w:pStyle w:val="Paragraphedeliste"/>
        <w:numPr>
          <w:ilvl w:val="0"/>
          <w:numId w:val="14"/>
        </w:numPr>
        <w:tabs>
          <w:tab w:val="left" w:pos="284"/>
        </w:tabs>
        <w:spacing w:before="120" w:after="120"/>
        <w:ind w:left="0" w:firstLine="0"/>
        <w:jc w:val="both"/>
        <w:rPr>
          <w:rFonts w:ascii="Calibri" w:hAnsi="Calibri"/>
          <w:bCs/>
          <w:sz w:val="20"/>
          <w:szCs w:val="20"/>
          <w:lang w:val="en-CA"/>
        </w:rPr>
      </w:pPr>
      <w:r w:rsidRPr="005D2DFE">
        <w:rPr>
          <w:rFonts w:ascii="Calibri" w:hAnsi="Calibri" w:cs="Calibri"/>
          <w:sz w:val="20"/>
          <w:szCs w:val="20"/>
          <w:lang w:val="en-CA"/>
        </w:rPr>
        <w:lastRenderedPageBreak/>
        <w:t xml:space="preserve">The project will support the collation of documentation and knowledge products to support institutional capacity building for continued institutional and private sector development. The project will contribute to develop curriculum and training material in various fields related to PA management (output 2.1), including anti-poaching operations (output 2.4), and tourism development (output 3.4). Tutorials will be developed from training programmes accessible from IUCN website on PA management and on anti-poaching, and websites on PA-related tourism and integrated in the Curricula of the </w:t>
      </w:r>
      <w:r w:rsidRPr="005D2DFE">
        <w:rPr>
          <w:rFonts w:ascii="Calibri" w:hAnsi="Calibri" w:cs="Calibri"/>
          <w:i/>
          <w:sz w:val="20"/>
          <w:szCs w:val="20"/>
          <w:lang w:val="en-CA"/>
        </w:rPr>
        <w:t>École Nationale des Eaux et Forêts</w:t>
      </w:r>
      <w:r w:rsidRPr="005D2DFE">
        <w:rPr>
          <w:rFonts w:ascii="Calibri" w:hAnsi="Calibri" w:cs="Calibri"/>
          <w:sz w:val="20"/>
          <w:szCs w:val="20"/>
          <w:lang w:val="en-CA"/>
        </w:rPr>
        <w:t xml:space="preserve"> that targets government personnel and of the school for tourism and will integrate lessons learned through the project experience.</w:t>
      </w:r>
    </w:p>
    <w:p w14:paraId="4556ACF4" w14:textId="77777777" w:rsidR="00302BFE" w:rsidRPr="00112AF4" w:rsidRDefault="00302BFE" w:rsidP="00C46720">
      <w:pPr>
        <w:pStyle w:val="Paragraphedeliste"/>
        <w:numPr>
          <w:ilvl w:val="0"/>
          <w:numId w:val="14"/>
        </w:numPr>
        <w:tabs>
          <w:tab w:val="left" w:pos="284"/>
        </w:tabs>
        <w:spacing w:before="120" w:after="120"/>
        <w:ind w:left="0" w:firstLine="0"/>
        <w:jc w:val="both"/>
        <w:rPr>
          <w:rFonts w:ascii="Calibri" w:hAnsi="Calibri"/>
          <w:bCs/>
          <w:sz w:val="20"/>
          <w:szCs w:val="20"/>
          <w:lang w:val="en-CA"/>
        </w:rPr>
      </w:pPr>
      <w:r w:rsidRPr="00831652">
        <w:rPr>
          <w:rFonts w:ascii="Calibri" w:hAnsi="Calibri" w:cs="Calibri"/>
          <w:bCs/>
          <w:iCs/>
          <w:sz w:val="20"/>
          <w:szCs w:val="20"/>
          <w:lang w:val="en-CA"/>
        </w:rPr>
        <w:t>Knowledge on climate-smart agro-sylvo-pastoral practices</w:t>
      </w:r>
      <w:r w:rsidRPr="00831652">
        <w:rPr>
          <w:rFonts w:ascii="Calibri" w:hAnsi="Calibri" w:cs="Calibri"/>
          <w:sz w:val="20"/>
          <w:szCs w:val="20"/>
          <w:lang w:val="en-CA"/>
        </w:rPr>
        <w:t xml:space="preserve">, establishment of value chains based on sustainable use of NTFP, PA-related tourism development to benefit local communities, and collaborative management of PAs </w:t>
      </w:r>
      <w:r w:rsidRPr="00831652">
        <w:rPr>
          <w:rFonts w:ascii="Calibri" w:hAnsi="Calibri" w:cs="Calibri"/>
          <w:bCs/>
          <w:iCs/>
          <w:sz w:val="20"/>
          <w:szCs w:val="20"/>
          <w:lang w:val="en-CA"/>
        </w:rPr>
        <w:t xml:space="preserve">will be presented as technical sheets for relevant technical services in forestry, agriculture and pastoralism and as simplified and accessible learning papers in practical formats and translated in local languages for local beneficiaries. </w:t>
      </w:r>
      <w:r w:rsidRPr="00831652">
        <w:rPr>
          <w:rFonts w:ascii="Calibri" w:hAnsi="Calibri"/>
          <w:sz w:val="20"/>
          <w:szCs w:val="20"/>
          <w:lang w:val="en-CA"/>
        </w:rPr>
        <w:t xml:space="preserve">Case studies and thematic reports will target the decentralized technical staff of the Ministry of Agriculture and Hydro-Agricultural Infrastructure, and the Ministry of Environment, Green Economy and Climate Change, producer associations, CSOs, and environmental NGOs. Printed and electronic documents will be developed and disseminated to all the governmental and other technical stakeholders. </w:t>
      </w:r>
      <w:r w:rsidRPr="00831652">
        <w:rPr>
          <w:rFonts w:ascii="Calibri" w:hAnsi="Calibri" w:cs="Calibri"/>
          <w:bCs/>
          <w:iCs/>
          <w:sz w:val="20"/>
          <w:szCs w:val="20"/>
          <w:lang w:val="en-CA"/>
        </w:rPr>
        <w:t>Other themes may require further analytical thinking such as the issue of gender mainstreaming, which is addressed under output 4.1, and progress made in the adoption of the collaborative approach to protected area management.</w:t>
      </w:r>
    </w:p>
    <w:p w14:paraId="2935EBA7" w14:textId="664EFECF" w:rsidR="00302BFE" w:rsidRDefault="00302BFE" w:rsidP="00302BFE">
      <w:pPr>
        <w:spacing w:before="120" w:after="120"/>
        <w:rPr>
          <w:rFonts w:eastAsia="Times New Roman" w:cs="Calibri"/>
          <w:b/>
          <w:szCs w:val="20"/>
          <w:lang w:val="en-CA"/>
        </w:rPr>
      </w:pPr>
      <w:r w:rsidRPr="00884BA2">
        <w:rPr>
          <w:rFonts w:eastAsia="Times New Roman" w:cs="Calibri"/>
          <w:b/>
          <w:szCs w:val="20"/>
          <w:lang w:val="en-CA"/>
        </w:rPr>
        <w:t>Output 4.3. Learnings are disseminated through the project communication plan to enable their widespread adoption by women and men across the PONASI landscape and in Burkina Faso.</w:t>
      </w:r>
    </w:p>
    <w:p w14:paraId="7F924674" w14:textId="580E7EF6" w:rsidR="003C3F01" w:rsidRPr="00BE65D5" w:rsidRDefault="003C3F01" w:rsidP="00302BFE">
      <w:pPr>
        <w:spacing w:before="120" w:after="120"/>
        <w:rPr>
          <w:iCs/>
          <w:color w:val="4472C4"/>
          <w:szCs w:val="20"/>
          <w:lang w:val="en-GB"/>
        </w:rPr>
      </w:pPr>
      <w:r w:rsidRPr="003F4704">
        <w:rPr>
          <w:iCs/>
          <w:color w:val="4472C4"/>
          <w:szCs w:val="20"/>
          <w:highlight w:val="green"/>
          <w:lang w:val="en-GB"/>
        </w:rPr>
        <w:t>For this Output, the FPIC (Free, Prior and Informed Consent) process has to be ensured</w:t>
      </w:r>
    </w:p>
    <w:p w14:paraId="149E256F" w14:textId="799C4611" w:rsidR="00302BFE" w:rsidRPr="00806024" w:rsidRDefault="00302BFE" w:rsidP="00C46720">
      <w:pPr>
        <w:pStyle w:val="Paragraphedeliste"/>
        <w:numPr>
          <w:ilvl w:val="0"/>
          <w:numId w:val="14"/>
        </w:numPr>
        <w:tabs>
          <w:tab w:val="left" w:pos="284"/>
        </w:tabs>
        <w:spacing w:before="120" w:after="120"/>
        <w:ind w:left="0" w:firstLine="0"/>
        <w:jc w:val="both"/>
        <w:rPr>
          <w:rFonts w:ascii="Calibri" w:hAnsi="Calibri" w:cs="Calibri"/>
          <w:bCs/>
          <w:iCs/>
          <w:sz w:val="20"/>
          <w:szCs w:val="20"/>
          <w:lang w:val="en-CA"/>
        </w:rPr>
      </w:pPr>
      <w:r w:rsidRPr="00806024">
        <w:rPr>
          <w:rFonts w:ascii="Calibri" w:eastAsia="Times New Roman" w:hAnsi="Calibri" w:cs="Calibri"/>
          <w:sz w:val="20"/>
          <w:szCs w:val="20"/>
          <w:lang w:val="en-CA"/>
        </w:rPr>
        <w:t xml:space="preserve">Knowledge will be mainly disseminated through technical learning papers, radio programmes, web platform, television, exchange site visits by local communities involved in the project </w:t>
      </w:r>
      <w:r w:rsidRPr="008F0CCA">
        <w:rPr>
          <w:rFonts w:ascii="Calibri" w:eastAsia="Times New Roman" w:hAnsi="Calibri" w:cs="Calibri"/>
          <w:sz w:val="20"/>
          <w:szCs w:val="20"/>
          <w:lang w:val="en-CA"/>
        </w:rPr>
        <w:t>activities</w:t>
      </w:r>
      <w:r w:rsidR="00D5205E" w:rsidRPr="008F0CCA">
        <w:rPr>
          <w:rFonts w:ascii="Calibri" w:eastAsia="Times New Roman" w:hAnsi="Calibri" w:cs="Calibri"/>
          <w:sz w:val="20"/>
          <w:szCs w:val="20"/>
          <w:lang w:val="en-CA"/>
        </w:rPr>
        <w:t xml:space="preserve"> (</w:t>
      </w:r>
      <w:r w:rsidR="00D5205E" w:rsidRPr="00A63E29">
        <w:rPr>
          <w:rFonts w:ascii="Calibri" w:eastAsia="Times New Roman" w:hAnsi="Calibri" w:cs="Calibri"/>
          <w:sz w:val="20"/>
          <w:szCs w:val="20"/>
          <w:lang w:val="en-CA"/>
        </w:rPr>
        <w:t xml:space="preserve">the evolving </w:t>
      </w:r>
      <w:r w:rsidR="00D5205E" w:rsidRPr="00A63E29">
        <w:rPr>
          <w:rFonts w:ascii="Calibri" w:eastAsia="Times New Roman" w:hAnsi="Calibri" w:cs="Calibri"/>
          <w:sz w:val="20"/>
          <w:szCs w:val="20"/>
          <w:highlight w:val="yellow"/>
          <w:lang w:val="en-CA"/>
        </w:rPr>
        <w:t>COVID</w:t>
      </w:r>
      <w:r w:rsidR="008F0CCA" w:rsidRPr="00A63E29">
        <w:rPr>
          <w:rFonts w:ascii="Calibri" w:eastAsia="Times New Roman" w:hAnsi="Calibri" w:cs="Calibri"/>
          <w:sz w:val="20"/>
          <w:szCs w:val="20"/>
          <w:highlight w:val="yellow"/>
          <w:lang w:val="en-CA"/>
        </w:rPr>
        <w:t xml:space="preserve"> 19</w:t>
      </w:r>
      <w:r w:rsidR="00D5205E" w:rsidRPr="00A63E29">
        <w:rPr>
          <w:rFonts w:ascii="Calibri" w:eastAsia="Times New Roman" w:hAnsi="Calibri" w:cs="Calibri"/>
          <w:sz w:val="20"/>
          <w:szCs w:val="20"/>
          <w:lang w:val="en-CA"/>
        </w:rPr>
        <w:t xml:space="preserve"> situation permitting</w:t>
      </w:r>
      <w:r w:rsidR="00D5205E" w:rsidRPr="008F0CCA">
        <w:rPr>
          <w:rFonts w:ascii="Calibri" w:eastAsia="Times New Roman" w:hAnsi="Calibri" w:cs="Calibri"/>
          <w:sz w:val="20"/>
          <w:szCs w:val="20"/>
          <w:lang w:val="en-CA"/>
        </w:rPr>
        <w:t>)</w:t>
      </w:r>
      <w:r w:rsidRPr="008F0CCA">
        <w:rPr>
          <w:rFonts w:ascii="Calibri" w:eastAsia="Times New Roman" w:hAnsi="Calibri" w:cs="Calibri"/>
          <w:sz w:val="20"/>
          <w:szCs w:val="20"/>
          <w:lang w:val="en-CA"/>
        </w:rPr>
        <w:t>.</w:t>
      </w:r>
      <w:r w:rsidRPr="008F0CCA">
        <w:rPr>
          <w:rFonts w:ascii="Calibri" w:eastAsia="Times New Roman" w:hAnsi="Calibri" w:cs="Calibri"/>
          <w:szCs w:val="20"/>
          <w:lang w:val="en-CA"/>
        </w:rPr>
        <w:t xml:space="preserve"> </w:t>
      </w:r>
      <w:r w:rsidRPr="008F0CCA">
        <w:rPr>
          <w:rFonts w:ascii="Calibri" w:hAnsi="Calibri" w:cs="Calibri"/>
          <w:sz w:val="20"/>
          <w:szCs w:val="20"/>
          <w:lang w:val="en-CA"/>
        </w:rPr>
        <w:t>T</w:t>
      </w:r>
      <w:r w:rsidRPr="00806024">
        <w:rPr>
          <w:rFonts w:ascii="Calibri" w:hAnsi="Calibri" w:cs="Calibri"/>
          <w:sz w:val="20"/>
          <w:szCs w:val="20"/>
          <w:lang w:val="en-CA"/>
        </w:rPr>
        <w:t>he information collected through the socio-economic surveys conducted in the 1</w:t>
      </w:r>
      <w:r w:rsidRPr="00806024">
        <w:rPr>
          <w:rFonts w:ascii="Calibri" w:hAnsi="Calibri" w:cs="Calibri"/>
          <w:sz w:val="20"/>
          <w:szCs w:val="20"/>
          <w:vertAlign w:val="superscript"/>
          <w:lang w:val="en-CA"/>
        </w:rPr>
        <w:t>st</w:t>
      </w:r>
      <w:r w:rsidRPr="00806024">
        <w:rPr>
          <w:rFonts w:ascii="Calibri" w:hAnsi="Calibri" w:cs="Calibri"/>
          <w:sz w:val="20"/>
          <w:szCs w:val="20"/>
          <w:lang w:val="en-CA"/>
        </w:rPr>
        <w:t xml:space="preserve"> year of the project will guide the development of targeted communication and awareness strategies and provide inputs into the development of audience appropriate knowledge materials. Communication materials from other relevant projects will be reviewed for possible use and/or adaptation in the development of communication materials for the PONASI project.</w:t>
      </w:r>
    </w:p>
    <w:p w14:paraId="120EDCE8" w14:textId="77777777" w:rsidR="00302BFE" w:rsidRPr="00806024" w:rsidRDefault="00302BFE" w:rsidP="00C46720">
      <w:pPr>
        <w:pStyle w:val="Paragraphedeliste"/>
        <w:numPr>
          <w:ilvl w:val="0"/>
          <w:numId w:val="14"/>
        </w:numPr>
        <w:tabs>
          <w:tab w:val="left" w:pos="284"/>
        </w:tabs>
        <w:spacing w:before="120" w:after="120"/>
        <w:ind w:left="0" w:firstLine="0"/>
        <w:jc w:val="both"/>
        <w:rPr>
          <w:rFonts w:ascii="Calibri" w:hAnsi="Calibri" w:cs="Calibri"/>
          <w:bCs/>
          <w:iCs/>
          <w:sz w:val="20"/>
          <w:szCs w:val="20"/>
          <w:lang w:val="en-CA"/>
        </w:rPr>
      </w:pPr>
      <w:r w:rsidRPr="00806024">
        <w:rPr>
          <w:rFonts w:ascii="Calibri" w:hAnsi="Calibri" w:cs="Calibri"/>
          <w:sz w:val="20"/>
          <w:szCs w:val="20"/>
          <w:lang w:val="en-CA"/>
        </w:rPr>
        <w:t xml:space="preserve">Community awareness campaigns will target women and men in the communes of the PONASI landscape and in the wide public in Burkina Faso, to raise awareness and to foster appropriation of the project proposals in the local communities. </w:t>
      </w:r>
      <w:r w:rsidRPr="00806024">
        <w:rPr>
          <w:rFonts w:ascii="Calibri" w:hAnsi="Calibri"/>
          <w:sz w:val="20"/>
          <w:szCs w:val="20"/>
          <w:lang w:val="en-CA"/>
        </w:rPr>
        <w:t xml:space="preserve">Media products for radio and television broadcasting will be developed, with the help of community groups and NGOs, to ensure their relevance to community stakeholders. In the PONASI area, radio is the most popular medium and the one that reaches the largest number of rural listeners. </w:t>
      </w:r>
      <w:r w:rsidRPr="00806024">
        <w:rPr>
          <w:rFonts w:ascii="Calibri" w:hAnsi="Calibri" w:cs="Calibri"/>
          <w:sz w:val="20"/>
          <w:szCs w:val="20"/>
          <w:lang w:val="en-CA"/>
        </w:rPr>
        <w:t xml:space="preserve">The messages will link the project activities to the community development and the aim of building sustainable communities including improving the livelihood and economic status of the communities directly or indirectly. </w:t>
      </w:r>
      <w:r w:rsidRPr="00806024">
        <w:rPr>
          <w:rFonts w:ascii="Calibri" w:hAnsi="Calibri"/>
          <w:sz w:val="20"/>
          <w:szCs w:val="20"/>
          <w:lang w:val="en-CA"/>
        </w:rPr>
        <w:t xml:space="preserve">This information will also be captured in printed forms, such as brochures and flyers in French and local languages, and short videos and documentaries in jargon-free language and using local expressions. All these products will serve to enhance community awareness and foster appropriation of the project proposals. </w:t>
      </w:r>
      <w:r w:rsidRPr="00806024">
        <w:rPr>
          <w:rFonts w:ascii="Calibri" w:hAnsi="Calibri" w:cs="Calibri"/>
          <w:color w:val="000000"/>
          <w:sz w:val="20"/>
          <w:szCs w:val="20"/>
          <w:lang w:val="en-CA"/>
        </w:rPr>
        <w:t xml:space="preserve">To foster widespread dissemination and adoption of good practices, the project will also support the organization of fairs, community-to-community visits and sharing of experiences and information on what works best for them, including lessons learned on appropriate approaches to </w:t>
      </w:r>
      <w:r w:rsidRPr="00806024">
        <w:rPr>
          <w:rFonts w:ascii="Calibri" w:hAnsi="Calibri"/>
          <w:bCs/>
          <w:iCs/>
          <w:sz w:val="20"/>
          <w:szCs w:val="20"/>
          <w:lang w:val="en-CA"/>
        </w:rPr>
        <w:t>ensure benefits reach women and vulnerable groups.</w:t>
      </w:r>
    </w:p>
    <w:p w14:paraId="5F3D71FE" w14:textId="77777777" w:rsidR="00302BFE" w:rsidRPr="00806024" w:rsidRDefault="00302BFE" w:rsidP="00C46720">
      <w:pPr>
        <w:pStyle w:val="Paragraphedeliste"/>
        <w:numPr>
          <w:ilvl w:val="0"/>
          <w:numId w:val="14"/>
        </w:numPr>
        <w:tabs>
          <w:tab w:val="left" w:pos="284"/>
        </w:tabs>
        <w:spacing w:before="120" w:after="120"/>
        <w:ind w:left="0" w:firstLine="0"/>
        <w:jc w:val="both"/>
        <w:rPr>
          <w:rFonts w:ascii="Calibri" w:hAnsi="Calibri" w:cs="Calibri"/>
          <w:bCs/>
          <w:iCs/>
          <w:sz w:val="20"/>
          <w:szCs w:val="20"/>
          <w:lang w:val="en-CA"/>
        </w:rPr>
      </w:pPr>
      <w:r w:rsidRPr="00806024">
        <w:rPr>
          <w:rFonts w:ascii="Calibri" w:eastAsia="Times New Roman" w:hAnsi="Calibri" w:cs="Calibri"/>
          <w:sz w:val="20"/>
          <w:szCs w:val="20"/>
          <w:lang w:val="en-CA"/>
        </w:rPr>
        <w:t>Knowledge products will include information specific for school-aged children on the importance of engaging in biodiversity conservation in Burkina Faso and in the PONASI landscape</w:t>
      </w:r>
      <w:r w:rsidRPr="00806024">
        <w:rPr>
          <w:rFonts w:ascii="Calibri" w:hAnsi="Calibri" w:cs="Calibri"/>
          <w:sz w:val="20"/>
          <w:szCs w:val="20"/>
          <w:lang w:val="en-CA"/>
        </w:rPr>
        <w:t>. The dissemination of these products will take place primarily in schools of local communities adjacent to the protected areas of the PONASI complex and could be linked to visits to protected areas.</w:t>
      </w:r>
    </w:p>
    <w:p w14:paraId="534B0293" w14:textId="208ED508" w:rsidR="00302BFE" w:rsidRPr="001D3D46" w:rsidRDefault="00302BFE" w:rsidP="00C46720">
      <w:pPr>
        <w:pStyle w:val="Paragraphedeliste"/>
        <w:numPr>
          <w:ilvl w:val="0"/>
          <w:numId w:val="14"/>
        </w:numPr>
        <w:tabs>
          <w:tab w:val="left" w:pos="284"/>
        </w:tabs>
        <w:spacing w:before="120" w:after="120"/>
        <w:ind w:left="0" w:firstLine="0"/>
        <w:jc w:val="both"/>
        <w:rPr>
          <w:rFonts w:ascii="Calibri" w:hAnsi="Calibri" w:cs="Calibri"/>
          <w:bCs/>
          <w:iCs/>
          <w:sz w:val="20"/>
          <w:szCs w:val="20"/>
          <w:lang w:val="en-CA"/>
        </w:rPr>
      </w:pPr>
      <w:r w:rsidRPr="00806024">
        <w:rPr>
          <w:rFonts w:ascii="Calibri" w:hAnsi="Calibri" w:cs="Calibri"/>
          <w:sz w:val="20"/>
          <w:szCs w:val="20"/>
          <w:lang w:val="en-CA"/>
        </w:rPr>
        <w:t xml:space="preserve">Information products will be developed by the posting of information on project activities through a Facebook page and a Web site for the project partners and the public in urban centers. </w:t>
      </w:r>
      <w:r w:rsidRPr="00806024">
        <w:rPr>
          <w:rFonts w:ascii="Calibri" w:hAnsi="Calibri"/>
          <w:sz w:val="20"/>
          <w:szCs w:val="20"/>
          <w:lang w:val="en-CA"/>
        </w:rPr>
        <w:t xml:space="preserve">Space will be sought on the </w:t>
      </w:r>
      <w:r>
        <w:rPr>
          <w:rFonts w:ascii="Calibri" w:hAnsi="Calibri"/>
          <w:sz w:val="20"/>
          <w:szCs w:val="20"/>
          <w:lang w:val="en-CA"/>
        </w:rPr>
        <w:t>MEGECC</w:t>
      </w:r>
      <w:r w:rsidRPr="00806024">
        <w:rPr>
          <w:rFonts w:ascii="Calibri" w:hAnsi="Calibri"/>
          <w:sz w:val="20"/>
          <w:szCs w:val="20"/>
          <w:lang w:val="en-CA"/>
        </w:rPr>
        <w:t xml:space="preserve"> website for the online storage and dissemination of thematic reports and case studies. A Facebook page dedicated to the project will be created and updated on an ongoing basis to disseminate information on the organization of activities, special events related to the environment and biodiversity, and to raise public and community awareness about issues addressed by the project. Community and/or NGOs will assist in sharing knowledge and lessons learned in coordination with the project Communication and Knowledge Management Expert.</w:t>
      </w:r>
    </w:p>
    <w:p w14:paraId="7BC441F8" w14:textId="2437F9B4" w:rsidR="00207001" w:rsidRPr="00A63E29" w:rsidRDefault="00BE0735" w:rsidP="00C46720">
      <w:pPr>
        <w:pStyle w:val="Paragraphedeliste"/>
        <w:numPr>
          <w:ilvl w:val="0"/>
          <w:numId w:val="14"/>
        </w:numPr>
        <w:tabs>
          <w:tab w:val="left" w:pos="284"/>
        </w:tabs>
        <w:spacing w:before="120" w:after="120"/>
        <w:ind w:left="0" w:firstLine="0"/>
        <w:rPr>
          <w:rFonts w:ascii="Calibri" w:hAnsi="Calibri"/>
          <w:sz w:val="20"/>
          <w:szCs w:val="20"/>
          <w:highlight w:val="yellow"/>
          <w:lang w:val="en-CA"/>
        </w:rPr>
      </w:pPr>
      <w:r w:rsidRPr="00A63E29">
        <w:rPr>
          <w:rFonts w:ascii="Calibri" w:hAnsi="Calibri"/>
          <w:sz w:val="20"/>
          <w:szCs w:val="20"/>
          <w:highlight w:val="yellow"/>
          <w:lang w:val="en-CA"/>
        </w:rPr>
        <w:t>Duration of the project</w:t>
      </w:r>
      <w:r w:rsidR="003759A1" w:rsidRPr="003759A1">
        <w:rPr>
          <w:rFonts w:ascii="Calibri" w:hAnsi="Calibri"/>
          <w:sz w:val="20"/>
          <w:szCs w:val="20"/>
          <w:highlight w:val="yellow"/>
          <w:lang w:val="en-CA"/>
        </w:rPr>
        <w:t xml:space="preserve">: </w:t>
      </w:r>
      <w:r w:rsidR="003759A1">
        <w:rPr>
          <w:rFonts w:ascii="Calibri" w:hAnsi="Calibri"/>
          <w:sz w:val="20"/>
          <w:szCs w:val="20"/>
          <w:highlight w:val="yellow"/>
          <w:lang w:val="en-CA"/>
        </w:rPr>
        <w:t>t</w:t>
      </w:r>
      <w:r w:rsidRPr="00A63E29">
        <w:rPr>
          <w:rFonts w:ascii="Calibri" w:hAnsi="Calibri"/>
          <w:sz w:val="20"/>
          <w:szCs w:val="20"/>
          <w:highlight w:val="yellow"/>
          <w:lang w:val="en-CA"/>
        </w:rPr>
        <w:t>he project is</w:t>
      </w:r>
      <w:r w:rsidR="0047331C" w:rsidRPr="00A63E29">
        <w:rPr>
          <w:rFonts w:ascii="Calibri" w:hAnsi="Calibri"/>
          <w:sz w:val="20"/>
          <w:szCs w:val="20"/>
          <w:highlight w:val="yellow"/>
          <w:lang w:val="en-CA"/>
        </w:rPr>
        <w:t xml:space="preserve"> scheduled to run for 6 years, from January 1, 2023 to December 31, 2028</w:t>
      </w:r>
      <w:r w:rsidR="0047331C" w:rsidRPr="00A63E29">
        <w:rPr>
          <w:rFonts w:ascii="Calibri" w:hAnsi="Calibri"/>
          <w:sz w:val="20"/>
          <w:szCs w:val="20"/>
          <w:highlight w:val="yellow"/>
          <w:lang w:val="en-CA"/>
        </w:rPr>
        <w:tab/>
      </w:r>
    </w:p>
    <w:p w14:paraId="4CCC048A" w14:textId="70272F18" w:rsidR="00BE0735" w:rsidRPr="00A63E29" w:rsidRDefault="0047331C" w:rsidP="00302BFE">
      <w:pPr>
        <w:spacing w:before="120" w:after="120"/>
        <w:jc w:val="left"/>
        <w:rPr>
          <w:szCs w:val="20"/>
          <w:highlight w:val="yellow"/>
          <w:lang w:val="en-CA"/>
        </w:rPr>
      </w:pPr>
      <w:r w:rsidRPr="00A63E29">
        <w:rPr>
          <w:rFonts w:ascii="Times New Roman" w:hAnsi="Times New Roman" w:cs="Calibri"/>
          <w:bCs/>
          <w:iCs/>
          <w:sz w:val="22"/>
          <w:szCs w:val="18"/>
          <w:highlight w:val="yellow"/>
          <w:lang w:val="en-CA"/>
        </w:rPr>
        <w:t xml:space="preserve">Project intervention </w:t>
      </w:r>
      <w:r w:rsidRPr="00A63E29">
        <w:rPr>
          <w:szCs w:val="20"/>
          <w:highlight w:val="yellow"/>
          <w:lang w:val="en-CA"/>
        </w:rPr>
        <w:t>area</w:t>
      </w:r>
      <w:r w:rsidR="003759A1" w:rsidRPr="003759A1">
        <w:rPr>
          <w:szCs w:val="20"/>
          <w:highlight w:val="yellow"/>
          <w:lang w:val="en-CA"/>
        </w:rPr>
        <w:t xml:space="preserve">: </w:t>
      </w:r>
      <w:r w:rsidRPr="00A63E29">
        <w:rPr>
          <w:szCs w:val="20"/>
          <w:highlight w:val="yellow"/>
          <w:lang w:val="en-CA"/>
        </w:rPr>
        <w:t>The project will be implemented in the South Central, East Central and West Central regions and will cover state and community protected areas in the PONASI landscape.</w:t>
      </w:r>
    </w:p>
    <w:p w14:paraId="7FAEB16B" w14:textId="28BF4522" w:rsidR="00302BFE" w:rsidRPr="00A63E29" w:rsidRDefault="00302BFE" w:rsidP="00302BFE">
      <w:pPr>
        <w:spacing w:before="120" w:after="120"/>
        <w:jc w:val="left"/>
        <w:rPr>
          <w:i/>
          <w:szCs w:val="20"/>
          <w:highlight w:val="yellow"/>
        </w:rPr>
      </w:pPr>
      <w:r w:rsidRPr="00A63E29">
        <w:rPr>
          <w:szCs w:val="20"/>
          <w:highlight w:val="yellow"/>
          <w:u w:val="single"/>
        </w:rPr>
        <w:t>Partnerships</w:t>
      </w:r>
      <w:r w:rsidRPr="00A63E29">
        <w:rPr>
          <w:szCs w:val="20"/>
          <w:highlight w:val="yellow"/>
        </w:rPr>
        <w:t>:</w:t>
      </w:r>
    </w:p>
    <w:p w14:paraId="409FED58" w14:textId="626D2AAA" w:rsidR="00B0796A" w:rsidRPr="00A63E29" w:rsidRDefault="00F253A7" w:rsidP="00C46720">
      <w:pPr>
        <w:pStyle w:val="Paragraphedeliste"/>
        <w:numPr>
          <w:ilvl w:val="0"/>
          <w:numId w:val="14"/>
        </w:numPr>
        <w:tabs>
          <w:tab w:val="left" w:pos="284"/>
        </w:tabs>
        <w:spacing w:before="120" w:after="120"/>
        <w:ind w:left="0" w:firstLine="0"/>
        <w:jc w:val="both"/>
        <w:rPr>
          <w:rFonts w:ascii="Calibri" w:hAnsi="Calibri" w:cs="Calibri"/>
          <w:sz w:val="20"/>
          <w:szCs w:val="20"/>
          <w:highlight w:val="yellow"/>
          <w:lang w:val="en-CA"/>
        </w:rPr>
      </w:pPr>
      <w:r w:rsidRPr="00A63E29">
        <w:rPr>
          <w:rFonts w:ascii="Calibri" w:hAnsi="Calibri" w:cs="Calibri"/>
          <w:sz w:val="20"/>
          <w:szCs w:val="20"/>
          <w:highlight w:val="yellow"/>
          <w:lang w:val="en-CA"/>
        </w:rPr>
        <w:t>The beneficiary of the project</w:t>
      </w:r>
    </w:p>
    <w:p w14:paraId="110A94B3" w14:textId="51A14A1F" w:rsidR="00B83A4A" w:rsidRPr="00A63E29" w:rsidRDefault="00066EBD" w:rsidP="00A63E29">
      <w:pPr>
        <w:pStyle w:val="Paragraphedeliste"/>
        <w:tabs>
          <w:tab w:val="left" w:pos="284"/>
        </w:tabs>
        <w:spacing w:before="120" w:after="120"/>
        <w:ind w:left="0"/>
        <w:jc w:val="both"/>
        <w:rPr>
          <w:rFonts w:ascii="Calibri" w:hAnsi="Calibri" w:cs="Calibri"/>
          <w:sz w:val="20"/>
          <w:szCs w:val="20"/>
          <w:highlight w:val="yellow"/>
          <w:lang w:val="en-CA"/>
        </w:rPr>
      </w:pPr>
      <w:r w:rsidRPr="00A63E29">
        <w:rPr>
          <w:rFonts w:ascii="Calibri" w:hAnsi="Calibri" w:cs="Calibri"/>
          <w:sz w:val="20"/>
          <w:szCs w:val="20"/>
          <w:highlight w:val="yellow"/>
          <w:lang w:val="en-CA"/>
        </w:rPr>
        <w:lastRenderedPageBreak/>
        <w:t>The direct beneficiaries of the project are the animal populations of the state and community protected areas in the PONASI landscape located in the South Central, East Central and West Central regions. The central and deconcentrated technical services as well as the local populations of these PAs constitute the indirect beneficiaries of this project.</w:t>
      </w:r>
    </w:p>
    <w:p w14:paraId="6BD944EA" w14:textId="748AF590" w:rsidR="00302BFE" w:rsidRDefault="00302BFE" w:rsidP="00C46720">
      <w:pPr>
        <w:pStyle w:val="Paragraphedeliste"/>
        <w:numPr>
          <w:ilvl w:val="0"/>
          <w:numId w:val="14"/>
        </w:numPr>
        <w:tabs>
          <w:tab w:val="left" w:pos="284"/>
        </w:tabs>
        <w:spacing w:before="120" w:after="120"/>
        <w:ind w:left="0" w:firstLine="0"/>
        <w:jc w:val="both"/>
        <w:rPr>
          <w:rFonts w:ascii="Calibri" w:hAnsi="Calibri" w:cs="Calibri"/>
          <w:sz w:val="20"/>
          <w:szCs w:val="20"/>
          <w:lang w:val="en-CA"/>
        </w:rPr>
      </w:pPr>
      <w:r w:rsidRPr="00831652">
        <w:rPr>
          <w:rFonts w:ascii="Calibri" w:hAnsi="Calibri" w:cs="Calibri"/>
          <w:sz w:val="20"/>
          <w:szCs w:val="20"/>
          <w:lang w:val="en-CA"/>
        </w:rPr>
        <w:t>The partnerships essential to the implementation of the project and the achievement of its development results are mainly those that the project will establish with the beneficiaries and stakeholders targeted by the interventions: (i) local communities, including populations of the villages adjacent to PAs and in the pilot sites located in the peripheral terroirs within the landscape</w:t>
      </w:r>
      <w:r w:rsidR="0002365A">
        <w:rPr>
          <w:rFonts w:ascii="Calibri" w:hAnsi="Calibri" w:cs="Calibri"/>
          <w:sz w:val="20"/>
          <w:szCs w:val="20"/>
          <w:lang w:val="en-CA"/>
        </w:rPr>
        <w:t xml:space="preserve"> </w:t>
      </w:r>
      <w:r w:rsidR="0002365A" w:rsidRPr="003F4704">
        <w:rPr>
          <w:rFonts w:ascii="Calibri" w:hAnsi="Calibri" w:cs="Calibri"/>
          <w:sz w:val="20"/>
          <w:szCs w:val="20"/>
          <w:highlight w:val="green"/>
          <w:lang w:val="en-CA"/>
        </w:rPr>
        <w:t>and including indigenous peoples or any vulnerable groups</w:t>
      </w:r>
      <w:r w:rsidRPr="00831652">
        <w:rPr>
          <w:rFonts w:ascii="Calibri" w:hAnsi="Calibri" w:cs="Calibri"/>
          <w:sz w:val="20"/>
          <w:szCs w:val="20"/>
          <w:lang w:val="en-CA"/>
        </w:rPr>
        <w:t>; (ii) local and regional authorities at regional and commune levels; (iii) State actors (ministries in charge of environment, agriculture and livestock) and their decentralized structures; (iv) civil society (producer associations, user groups, NGOs) and academic and scientific institutions; (v) and the private sector (hunting and tourism concessionaires, and agrobusinessmen).</w:t>
      </w:r>
    </w:p>
    <w:p w14:paraId="11FB9285" w14:textId="1C58C82C" w:rsidR="006C2A67" w:rsidRPr="00831652" w:rsidRDefault="006C2A67" w:rsidP="00BE65D5">
      <w:pPr>
        <w:pStyle w:val="Paragraphedeliste"/>
        <w:tabs>
          <w:tab w:val="left" w:pos="284"/>
        </w:tabs>
        <w:spacing w:before="120" w:after="120"/>
        <w:ind w:left="0"/>
        <w:jc w:val="both"/>
        <w:rPr>
          <w:rFonts w:ascii="Calibri" w:hAnsi="Calibri" w:cs="Calibri"/>
          <w:sz w:val="20"/>
          <w:szCs w:val="20"/>
          <w:lang w:val="en-CA"/>
        </w:rPr>
      </w:pPr>
      <w:r w:rsidRPr="003F4704">
        <w:rPr>
          <w:rFonts w:ascii="Calibri" w:hAnsi="Calibri" w:cs="Calibri"/>
          <w:sz w:val="20"/>
          <w:szCs w:val="20"/>
          <w:highlight w:val="green"/>
          <w:lang w:val="en-CA"/>
        </w:rPr>
        <w:t xml:space="preserve">The partnership process will be in line with the Comprehensive Stakeholder Engagement Plan, that will be developed by the first </w:t>
      </w:r>
      <w:r w:rsidR="00A11840" w:rsidRPr="003F4704">
        <w:rPr>
          <w:rFonts w:ascii="Calibri" w:hAnsi="Calibri" w:cs="Calibri"/>
          <w:sz w:val="20"/>
          <w:szCs w:val="20"/>
          <w:highlight w:val="green"/>
          <w:lang w:val="en-CA"/>
        </w:rPr>
        <w:t xml:space="preserve">six </w:t>
      </w:r>
      <w:r w:rsidRPr="003F4704">
        <w:rPr>
          <w:rFonts w:ascii="Calibri" w:hAnsi="Calibri" w:cs="Calibri"/>
          <w:sz w:val="20"/>
          <w:szCs w:val="20"/>
          <w:highlight w:val="green"/>
          <w:lang w:val="en-CA"/>
        </w:rPr>
        <w:t>months of the project.</w:t>
      </w:r>
    </w:p>
    <w:p w14:paraId="0935A658" w14:textId="17F5FAEE" w:rsidR="00302BFE" w:rsidRPr="002B255F" w:rsidRDefault="00302BFE" w:rsidP="00C46720">
      <w:pPr>
        <w:pStyle w:val="Paragraphedeliste"/>
        <w:numPr>
          <w:ilvl w:val="0"/>
          <w:numId w:val="14"/>
        </w:numPr>
        <w:tabs>
          <w:tab w:val="left" w:pos="284"/>
        </w:tabs>
        <w:spacing w:before="120" w:after="120"/>
        <w:ind w:left="0" w:firstLine="0"/>
        <w:jc w:val="both"/>
        <w:rPr>
          <w:rFonts w:ascii="Calibri" w:hAnsi="Calibri" w:cs="Calibri"/>
          <w:sz w:val="20"/>
          <w:szCs w:val="20"/>
          <w:lang w:val="en-CA"/>
        </w:rPr>
      </w:pPr>
      <w:bookmarkStart w:id="18" w:name="_Hlk8831341"/>
      <w:r w:rsidRPr="002B255F">
        <w:rPr>
          <w:rFonts w:ascii="Calibri" w:hAnsi="Calibri" w:cs="Segoe UI"/>
          <w:color w:val="000000"/>
          <w:sz w:val="20"/>
          <w:szCs w:val="20"/>
        </w:rPr>
        <w:t xml:space="preserve">Under the component 1 (output 1.3), the PONASI project </w:t>
      </w:r>
      <w:r w:rsidR="00207C13" w:rsidRPr="00A63E29">
        <w:rPr>
          <w:rFonts w:ascii="Calibri" w:hAnsi="Calibri" w:cs="Segoe UI"/>
          <w:color w:val="000000"/>
          <w:sz w:val="20"/>
          <w:szCs w:val="20"/>
          <w:highlight w:val="yellow"/>
        </w:rPr>
        <w:t xml:space="preserve">was planned to </w:t>
      </w:r>
      <w:r w:rsidRPr="00A63E29">
        <w:rPr>
          <w:rFonts w:ascii="Calibri" w:hAnsi="Calibri" w:cs="Segoe UI"/>
          <w:color w:val="000000"/>
          <w:sz w:val="20"/>
          <w:szCs w:val="20"/>
          <w:highlight w:val="yellow"/>
        </w:rPr>
        <w:t>work</w:t>
      </w:r>
      <w:r w:rsidRPr="002B255F">
        <w:rPr>
          <w:rFonts w:ascii="Calibri" w:hAnsi="Calibri" w:cs="Segoe UI"/>
          <w:color w:val="000000"/>
          <w:sz w:val="20"/>
          <w:szCs w:val="20"/>
        </w:rPr>
        <w:t xml:space="preserve"> in collaboration with the “Participatory Management of Classified Forests Project for REDD+”</w:t>
      </w:r>
      <w:r w:rsidR="00213C1A">
        <w:rPr>
          <w:rFonts w:ascii="Calibri" w:hAnsi="Calibri" w:cs="Segoe UI"/>
          <w:color w:val="000000"/>
          <w:sz w:val="20"/>
          <w:szCs w:val="20"/>
        </w:rPr>
        <w:t xml:space="preserve"> </w:t>
      </w:r>
      <w:r w:rsidR="0047566F" w:rsidRPr="00A63E29">
        <w:rPr>
          <w:rFonts w:ascii="Calibri" w:hAnsi="Calibri" w:cs="Segoe UI"/>
          <w:color w:val="000000"/>
          <w:sz w:val="20"/>
          <w:szCs w:val="20"/>
          <w:highlight w:val="yellow"/>
        </w:rPr>
        <w:t>(currently in closure</w:t>
      </w:r>
      <w:r w:rsidR="00213C1A" w:rsidRPr="00A63E29">
        <w:rPr>
          <w:rFonts w:ascii="Calibri" w:hAnsi="Calibri" w:cs="Segoe UI"/>
          <w:color w:val="000000"/>
          <w:sz w:val="20"/>
          <w:szCs w:val="20"/>
          <w:highlight w:val="yellow"/>
        </w:rPr>
        <w:t>)</w:t>
      </w:r>
      <w:r w:rsidRPr="002B255F">
        <w:rPr>
          <w:rFonts w:ascii="Calibri" w:hAnsi="Calibri" w:cs="Segoe UI"/>
          <w:color w:val="000000"/>
          <w:sz w:val="20"/>
          <w:szCs w:val="20"/>
        </w:rPr>
        <w:t xml:space="preserve"> funded by AfDB as part of the Forestry Investment Program for the implementation of the MRV approach and improvement of forest governance for REDD+, securing and managing classified forests, and setting up socio-economic infrastructures for the benefit of neighboring communes. This project </w:t>
      </w:r>
      <w:r w:rsidR="00FD17A6" w:rsidRPr="00A63E29">
        <w:rPr>
          <w:rFonts w:ascii="Calibri" w:hAnsi="Calibri" w:cs="Segoe UI"/>
          <w:color w:val="000000"/>
          <w:sz w:val="20"/>
          <w:szCs w:val="20"/>
          <w:highlight w:val="yellow"/>
        </w:rPr>
        <w:t>was</w:t>
      </w:r>
      <w:r w:rsidR="00FD17A6" w:rsidRPr="002B255F">
        <w:rPr>
          <w:rFonts w:ascii="Calibri" w:hAnsi="Calibri" w:cs="Segoe UI"/>
          <w:color w:val="000000"/>
          <w:sz w:val="20"/>
          <w:szCs w:val="20"/>
        </w:rPr>
        <w:t xml:space="preserve"> </w:t>
      </w:r>
      <w:r w:rsidRPr="002B255F">
        <w:rPr>
          <w:rFonts w:ascii="Calibri" w:hAnsi="Calibri" w:cs="Segoe UI"/>
          <w:color w:val="000000"/>
          <w:sz w:val="20"/>
          <w:szCs w:val="20"/>
        </w:rPr>
        <w:t>implemented in 12 classified forests including in the Nazinon CF which is part of the PONASI landscape. The project will harmonize approaches and adopt tools and methodologies to implement the MRV approach throughout the PONASI landscape to integrate the national REDD+ strategy. The project is ending in 2019 but technical and financial partners have agreed to extend it beyond 2019 to allow for the development and implementation of operational plan of the national REDD+ strategy.</w:t>
      </w:r>
    </w:p>
    <w:p w14:paraId="6A3B2FA5" w14:textId="77777777" w:rsidR="00302BFE" w:rsidRDefault="00302BFE" w:rsidP="00C46720">
      <w:pPr>
        <w:pStyle w:val="Paragraphedeliste"/>
        <w:numPr>
          <w:ilvl w:val="0"/>
          <w:numId w:val="14"/>
        </w:numPr>
        <w:tabs>
          <w:tab w:val="left" w:pos="284"/>
        </w:tabs>
        <w:spacing w:before="120" w:after="120"/>
        <w:ind w:left="0" w:firstLine="0"/>
        <w:jc w:val="both"/>
        <w:rPr>
          <w:rFonts w:ascii="Calibri" w:hAnsi="Calibri" w:cs="Segoe UI"/>
          <w:color w:val="000000"/>
          <w:sz w:val="20"/>
          <w:szCs w:val="20"/>
        </w:rPr>
      </w:pPr>
      <w:r w:rsidRPr="008D40A3">
        <w:rPr>
          <w:rFonts w:ascii="Calibri" w:hAnsi="Calibri" w:cs="Segoe UI"/>
          <w:color w:val="000000"/>
          <w:sz w:val="20"/>
          <w:szCs w:val="20"/>
        </w:rPr>
        <w:t xml:space="preserve">Under Component 3, for the establishment of a rapid diagnostic of land degradation in each pilot site and of the technical responses to implement SLM, the project will make the most of the detailed diagnostic presented in the Integrated Ecosystem Management Plan for the </w:t>
      </w:r>
      <w:r>
        <w:rPr>
          <w:rFonts w:ascii="Calibri" w:hAnsi="Calibri" w:cs="Segoe UI"/>
          <w:color w:val="000000"/>
          <w:sz w:val="20"/>
          <w:szCs w:val="20"/>
        </w:rPr>
        <w:t>r</w:t>
      </w:r>
      <w:r w:rsidRPr="008D40A3">
        <w:rPr>
          <w:rFonts w:ascii="Calibri" w:hAnsi="Calibri" w:cs="Segoe UI"/>
          <w:color w:val="000000"/>
          <w:sz w:val="20"/>
          <w:szCs w:val="20"/>
        </w:rPr>
        <w:t xml:space="preserve">iparian </w:t>
      </w:r>
      <w:r>
        <w:rPr>
          <w:rFonts w:ascii="Calibri" w:hAnsi="Calibri" w:cs="Segoe UI"/>
          <w:color w:val="000000"/>
          <w:sz w:val="20"/>
          <w:szCs w:val="20"/>
        </w:rPr>
        <w:t>c</w:t>
      </w:r>
      <w:r w:rsidRPr="008D40A3">
        <w:rPr>
          <w:rFonts w:ascii="Calibri" w:hAnsi="Calibri" w:cs="Segoe UI"/>
          <w:color w:val="000000"/>
          <w:sz w:val="20"/>
          <w:szCs w:val="20"/>
        </w:rPr>
        <w:t xml:space="preserve">ommunes of the PONASI </w:t>
      </w:r>
      <w:r>
        <w:rPr>
          <w:rFonts w:ascii="Calibri" w:hAnsi="Calibri" w:cs="Segoe UI"/>
          <w:color w:val="000000"/>
          <w:sz w:val="20"/>
          <w:szCs w:val="20"/>
        </w:rPr>
        <w:t>e</w:t>
      </w:r>
      <w:r w:rsidRPr="008D40A3">
        <w:rPr>
          <w:rFonts w:ascii="Calibri" w:hAnsi="Calibri" w:cs="Segoe UI"/>
          <w:color w:val="000000"/>
          <w:sz w:val="20"/>
          <w:szCs w:val="20"/>
        </w:rPr>
        <w:t xml:space="preserve">cological </w:t>
      </w:r>
      <w:r>
        <w:rPr>
          <w:rFonts w:ascii="Calibri" w:hAnsi="Calibri" w:cs="Segoe UI"/>
          <w:color w:val="000000"/>
          <w:sz w:val="20"/>
          <w:szCs w:val="20"/>
        </w:rPr>
        <w:t>c</w:t>
      </w:r>
      <w:r w:rsidRPr="008D40A3">
        <w:rPr>
          <w:rFonts w:ascii="Calibri" w:hAnsi="Calibri" w:cs="Segoe UI"/>
          <w:color w:val="000000"/>
          <w:sz w:val="20"/>
          <w:szCs w:val="20"/>
        </w:rPr>
        <w:t>omplex carried out in 2016 as part of the PNGT-2-3.</w:t>
      </w:r>
    </w:p>
    <w:p w14:paraId="7B9FB730" w14:textId="77777777" w:rsidR="00302BFE" w:rsidRPr="00A15B2D" w:rsidRDefault="00302BFE" w:rsidP="00C46720">
      <w:pPr>
        <w:pStyle w:val="Paragraphedeliste"/>
        <w:numPr>
          <w:ilvl w:val="0"/>
          <w:numId w:val="14"/>
        </w:numPr>
        <w:tabs>
          <w:tab w:val="left" w:pos="284"/>
        </w:tabs>
        <w:spacing w:before="120" w:after="120"/>
        <w:ind w:left="0" w:firstLine="0"/>
        <w:jc w:val="both"/>
        <w:rPr>
          <w:rFonts w:ascii="Calibri" w:hAnsi="Calibri" w:cs="Calibri"/>
          <w:sz w:val="20"/>
          <w:szCs w:val="20"/>
        </w:rPr>
      </w:pPr>
      <w:r w:rsidRPr="002F71E0">
        <w:rPr>
          <w:rFonts w:ascii="Calibri" w:hAnsi="Calibri" w:cs="Calibri"/>
          <w:sz w:val="20"/>
          <w:szCs w:val="20"/>
        </w:rPr>
        <w:t>For components 1 (Output 1.3) and 3 (Output 3.2), and especially in the communes of the South-Center, t</w:t>
      </w:r>
      <w:r w:rsidRPr="002F71E0">
        <w:rPr>
          <w:rFonts w:ascii="Calibri" w:hAnsi="Calibri" w:cs="Calibri"/>
          <w:sz w:val="20"/>
          <w:szCs w:val="20"/>
          <w:lang w:val="en-CA"/>
        </w:rPr>
        <w:t xml:space="preserve">he project will work in collaboration and build on the achievements of the 'Local Forest Resources Governance' project, including community awareness on forest governance and the strengthening of communes and communities in consensual forest management as well as related management tools (local conventions and community management plans) implemented by Tree Aid through funding from SIDA (Switzerland). </w:t>
      </w:r>
      <w:r w:rsidRPr="002F71E0">
        <w:rPr>
          <w:rFonts w:ascii="Calibri" w:hAnsi="Calibri" w:cs="Calibri"/>
          <w:sz w:val="20"/>
          <w:szCs w:val="20"/>
        </w:rPr>
        <w:t xml:space="preserve">Component 1 will benefit from the results of the 'Economic Growth Program in the Agricultural Sector' implemented by the Ministry of Agriculture and Water Resources Development and financed by DANIDA which will contribute to the capacity building of economic actors and to the optimizing the rural setting and the role of master work of local authorities. </w:t>
      </w:r>
      <w:r w:rsidRPr="00A15B2D">
        <w:rPr>
          <w:rFonts w:ascii="Calibri" w:hAnsi="Calibri" w:cs="Arial"/>
          <w:sz w:val="20"/>
          <w:szCs w:val="20"/>
        </w:rPr>
        <w:t xml:space="preserve">To support achievement of output 1.3, the project will also work with the “Forest Dependent Populations Support Project” implemented by IUCN Burkina Faso which is </w:t>
      </w:r>
      <w:r w:rsidRPr="00A15B2D">
        <w:rPr>
          <w:rFonts w:ascii="Calibri" w:hAnsi="Calibri"/>
          <w:color w:val="000000"/>
          <w:sz w:val="20"/>
          <w:szCs w:val="20"/>
        </w:rPr>
        <w:t>developing the capacity of local communities living around forests to enhance their participation in the REDD + process at the local level. Other initiatives as part of this project aim to develop forest knowledge and capacities of local actors for reducing deforestation and forest degradation and for reducing poverty of forest-dependent populations will contribute to the project outputs 3.1 and 3.2 related to improved forestry practices and livelihoods, and 4.2 related to knowledge on improved practices.</w:t>
      </w:r>
    </w:p>
    <w:p w14:paraId="39439C02" w14:textId="37E8D038" w:rsidR="00302BFE" w:rsidRPr="003F4704" w:rsidRDefault="00302BFE" w:rsidP="00C46720">
      <w:pPr>
        <w:pStyle w:val="Paragraphedeliste"/>
        <w:numPr>
          <w:ilvl w:val="0"/>
          <w:numId w:val="14"/>
        </w:numPr>
        <w:tabs>
          <w:tab w:val="left" w:pos="284"/>
        </w:tabs>
        <w:spacing w:before="120" w:after="120"/>
        <w:ind w:left="0" w:firstLine="0"/>
        <w:jc w:val="both"/>
        <w:rPr>
          <w:rFonts w:ascii="Calibri" w:hAnsi="Calibri" w:cs="Calibri"/>
          <w:sz w:val="20"/>
          <w:szCs w:val="20"/>
          <w:highlight w:val="green"/>
        </w:rPr>
      </w:pPr>
      <w:r w:rsidRPr="00A15B2D">
        <w:rPr>
          <w:rFonts w:ascii="Calibri" w:hAnsi="Calibri" w:cs="Calibri"/>
          <w:sz w:val="20"/>
          <w:szCs w:val="20"/>
        </w:rPr>
        <w:t xml:space="preserve">The project will collaborate with GA Mo Wiya Association which is building producers’ capacities on several themes related to climate change including GHG </w:t>
      </w:r>
      <w:r w:rsidRPr="00A15B2D">
        <w:rPr>
          <w:rFonts w:ascii="Calibri" w:hAnsi="Calibri"/>
          <w:color w:val="000000"/>
          <w:sz w:val="20"/>
          <w:szCs w:val="20"/>
        </w:rPr>
        <w:t xml:space="preserve">surveys </w:t>
      </w:r>
      <w:r w:rsidRPr="00A15B2D">
        <w:rPr>
          <w:rFonts w:ascii="Calibri" w:hAnsi="Calibri" w:cs="Calibri"/>
          <w:sz w:val="20"/>
          <w:szCs w:val="20"/>
        </w:rPr>
        <w:t xml:space="preserve">in the PONASI landscape and a </w:t>
      </w:r>
      <w:r w:rsidRPr="00A15B2D">
        <w:rPr>
          <w:rFonts w:ascii="Calibri" w:hAnsi="Calibri"/>
          <w:color w:val="000000"/>
          <w:sz w:val="20"/>
          <w:szCs w:val="20"/>
        </w:rPr>
        <w:t xml:space="preserve">study of community perceptions and resilience to CC, </w:t>
      </w:r>
      <w:r w:rsidRPr="00A15B2D">
        <w:rPr>
          <w:rFonts w:ascii="Calibri" w:hAnsi="Calibri" w:cs="Calibri"/>
          <w:sz w:val="20"/>
          <w:szCs w:val="20"/>
        </w:rPr>
        <w:t xml:space="preserve">which will contribute to output 1.3 aiming at estimating carbon stocks. As part of these interventions, this association is also providing </w:t>
      </w:r>
      <w:r w:rsidRPr="00A15B2D">
        <w:rPr>
          <w:rFonts w:ascii="Calibri" w:hAnsi="Calibri"/>
          <w:color w:val="000000"/>
          <w:sz w:val="20"/>
          <w:szCs w:val="20"/>
        </w:rPr>
        <w:t xml:space="preserve">improved seeds, building capacity in SLM including compost production, and supporting restoration including the production of seedlings which will contribute to outputs 3.1 and 3.2 related to implementation of SLM practices by local communities and natural resource management in forest and pasture areas. Throughout these interventions, the association is promoting gender equity which will support the gender mainstreaming purpose under output 4.1. </w:t>
      </w:r>
      <w:r w:rsidR="00B44D35" w:rsidRPr="003F4704">
        <w:rPr>
          <w:rFonts w:ascii="Calibri" w:hAnsi="Calibri"/>
          <w:color w:val="000000"/>
          <w:sz w:val="20"/>
          <w:szCs w:val="20"/>
          <w:highlight w:val="green"/>
        </w:rPr>
        <w:t>These interventions will be in line with the Gender Action Plan, developed as Safeguards mitigation measure.</w:t>
      </w:r>
    </w:p>
    <w:p w14:paraId="71C4BE08" w14:textId="77777777" w:rsidR="00302BFE" w:rsidRPr="00A15B2D" w:rsidRDefault="00302BFE" w:rsidP="00C46720">
      <w:pPr>
        <w:pStyle w:val="Paragraphedeliste"/>
        <w:numPr>
          <w:ilvl w:val="0"/>
          <w:numId w:val="14"/>
        </w:numPr>
        <w:tabs>
          <w:tab w:val="left" w:pos="284"/>
        </w:tabs>
        <w:spacing w:before="120" w:after="120"/>
        <w:ind w:left="0" w:firstLine="0"/>
        <w:jc w:val="both"/>
        <w:rPr>
          <w:rFonts w:ascii="Calibri" w:hAnsi="Calibri" w:cs="Calibri"/>
          <w:sz w:val="20"/>
          <w:szCs w:val="20"/>
        </w:rPr>
      </w:pPr>
      <w:r w:rsidRPr="00A15B2D">
        <w:rPr>
          <w:rFonts w:ascii="Calibri" w:hAnsi="Calibri" w:cs="Calibri"/>
          <w:sz w:val="20"/>
          <w:szCs w:val="20"/>
        </w:rPr>
        <w:t xml:space="preserve">Under Component 2, for achieving outputs 2.1 and 2.2, the project will work in close collaboration with the Association NATUDEV who is working to gazette the elephant Corridor #1 in the PONASI complex, through involving communities in its management and sustainable development, which is in line with the approach put forward by the project for the Corridor #2. This intervention aims to </w:t>
      </w:r>
      <w:r w:rsidRPr="00A15B2D">
        <w:rPr>
          <w:rFonts w:ascii="Calibri" w:hAnsi="Calibri"/>
          <w:color w:val="000000"/>
          <w:sz w:val="20"/>
          <w:szCs w:val="20"/>
        </w:rPr>
        <w:t>formalize the delegation of Corridor #1 management to local communities for their full participation in conservation, management and sharing of economic, environmental and social benefits and will build capacities of local authorities adjacent to corridor #1, achieve the delimitation and signaling of the perimeter road, develop a corridor management framework, implement assisted natural regeneration on the periphery of the corridor and support shea and beekeeping value chains for local communities, in line with activities planned under output 3.3.</w:t>
      </w:r>
    </w:p>
    <w:p w14:paraId="23BB39C9" w14:textId="77777777" w:rsidR="00302BFE" w:rsidRPr="00A15B2D" w:rsidRDefault="00302BFE" w:rsidP="00C46720">
      <w:pPr>
        <w:pStyle w:val="Paragraphedeliste"/>
        <w:numPr>
          <w:ilvl w:val="0"/>
          <w:numId w:val="14"/>
        </w:numPr>
        <w:tabs>
          <w:tab w:val="left" w:pos="284"/>
        </w:tabs>
        <w:spacing w:before="120" w:after="120"/>
        <w:ind w:left="0" w:firstLine="0"/>
        <w:jc w:val="both"/>
        <w:rPr>
          <w:rFonts w:ascii="Calibri" w:hAnsi="Calibri" w:cs="Calibri"/>
          <w:sz w:val="20"/>
          <w:szCs w:val="20"/>
        </w:rPr>
      </w:pPr>
      <w:r w:rsidRPr="00A15B2D">
        <w:rPr>
          <w:rFonts w:ascii="Calibri" w:hAnsi="Calibri" w:cs="Calibri"/>
          <w:sz w:val="20"/>
          <w:szCs w:val="20"/>
        </w:rPr>
        <w:t xml:space="preserve">The project will collaborate with NATURAMA Foundation who is implementing several projects, namely in and around the PNKT, “Shared resources and common solutions program for Burkina Faso”, “Building resilient landscapes and livelihoods in BF's shea </w:t>
      </w:r>
      <w:r w:rsidRPr="00A15B2D">
        <w:rPr>
          <w:rFonts w:ascii="Calibri" w:hAnsi="Calibri" w:cs="Calibri"/>
          <w:sz w:val="20"/>
          <w:szCs w:val="20"/>
        </w:rPr>
        <w:lastRenderedPageBreak/>
        <w:t>parklands”, “Monitoring the success of bird management interventions in shea parks in the BF”. These projects include various interventions that will benefit the PONASI project such as collecting and sharing knowledge on carbon stocks (in line with output 1.3), developing sustainable management of agroforestry parks for PNKT riparian villages, improving habitat, pollination and livelihoods, training of producers, training on certification of shea butter (that can be used to contribute to output 3.3), and collecting and archiving data on birds and habitats which will contribute to output 2.2 to produce identification tools for biodiversity monitoring.</w:t>
      </w:r>
    </w:p>
    <w:p w14:paraId="60A497AE" w14:textId="6AE22B98" w:rsidR="00302BFE" w:rsidRDefault="00302BFE" w:rsidP="00C46720">
      <w:pPr>
        <w:pStyle w:val="Paragraphedeliste"/>
        <w:numPr>
          <w:ilvl w:val="0"/>
          <w:numId w:val="14"/>
        </w:numPr>
        <w:tabs>
          <w:tab w:val="left" w:pos="284"/>
        </w:tabs>
        <w:spacing w:before="120" w:after="120"/>
        <w:ind w:left="0" w:firstLine="0"/>
        <w:jc w:val="both"/>
        <w:rPr>
          <w:rFonts w:ascii="Calibri" w:hAnsi="Calibri" w:cs="Calibri"/>
          <w:sz w:val="20"/>
          <w:szCs w:val="20"/>
        </w:rPr>
      </w:pPr>
      <w:r>
        <w:rPr>
          <w:rFonts w:ascii="Calibri" w:hAnsi="Calibri" w:cs="Calibri"/>
          <w:sz w:val="20"/>
          <w:szCs w:val="20"/>
        </w:rPr>
        <w:t>Under Component 3, the project will build from interventions under the project “</w:t>
      </w:r>
      <w:r w:rsidRPr="0087426C">
        <w:rPr>
          <w:rFonts w:ascii="Calibri" w:hAnsi="Calibri" w:cs="Arial"/>
          <w:sz w:val="20"/>
          <w:szCs w:val="20"/>
        </w:rPr>
        <w:t>Local governance of forest resources</w:t>
      </w:r>
      <w:r>
        <w:rPr>
          <w:rFonts w:ascii="Calibri" w:hAnsi="Calibri" w:cs="Arial"/>
          <w:sz w:val="20"/>
          <w:szCs w:val="20"/>
        </w:rPr>
        <w:t>”</w:t>
      </w:r>
      <w:r>
        <w:rPr>
          <w:rFonts w:ascii="Calibri" w:hAnsi="Calibri" w:cs="Calibri"/>
          <w:sz w:val="20"/>
          <w:szCs w:val="20"/>
        </w:rPr>
        <w:t xml:space="preserve"> conducted by the NGO Tree Aid for raising a</w:t>
      </w:r>
      <w:r w:rsidRPr="0087426C">
        <w:rPr>
          <w:rFonts w:ascii="Calibri" w:hAnsi="Calibri" w:cs="Calibri"/>
          <w:sz w:val="20"/>
          <w:szCs w:val="20"/>
        </w:rPr>
        <w:t>wareness of local communities on forest governance and poverty reduction, develop</w:t>
      </w:r>
      <w:r>
        <w:rPr>
          <w:rFonts w:ascii="Calibri" w:hAnsi="Calibri" w:cs="Calibri"/>
          <w:sz w:val="20"/>
          <w:szCs w:val="20"/>
        </w:rPr>
        <w:t>ing</w:t>
      </w:r>
      <w:r w:rsidRPr="0087426C">
        <w:rPr>
          <w:rFonts w:ascii="Calibri" w:hAnsi="Calibri" w:cs="Calibri"/>
          <w:sz w:val="20"/>
          <w:szCs w:val="20"/>
        </w:rPr>
        <w:t xml:space="preserve"> capacit</w:t>
      </w:r>
      <w:r>
        <w:rPr>
          <w:rFonts w:ascii="Calibri" w:hAnsi="Calibri" w:cs="Calibri"/>
          <w:sz w:val="20"/>
          <w:szCs w:val="20"/>
        </w:rPr>
        <w:t>ies</w:t>
      </w:r>
      <w:r w:rsidRPr="0087426C">
        <w:rPr>
          <w:rFonts w:ascii="Calibri" w:hAnsi="Calibri" w:cs="Calibri"/>
          <w:sz w:val="20"/>
          <w:szCs w:val="20"/>
        </w:rPr>
        <w:t xml:space="preserve"> of communes and communities in forest management, develop</w:t>
      </w:r>
      <w:r>
        <w:rPr>
          <w:rFonts w:ascii="Calibri" w:hAnsi="Calibri" w:cs="Calibri"/>
          <w:sz w:val="20"/>
          <w:szCs w:val="20"/>
        </w:rPr>
        <w:t>ing</w:t>
      </w:r>
      <w:r w:rsidRPr="0087426C">
        <w:rPr>
          <w:rFonts w:ascii="Calibri" w:hAnsi="Calibri" w:cs="Calibri"/>
          <w:sz w:val="20"/>
          <w:szCs w:val="20"/>
        </w:rPr>
        <w:t xml:space="preserve"> of tools for sustainable and consensual management of forest resources (output</w:t>
      </w:r>
      <w:r>
        <w:rPr>
          <w:rFonts w:ascii="Calibri" w:hAnsi="Calibri" w:cs="Calibri"/>
          <w:sz w:val="20"/>
          <w:szCs w:val="20"/>
        </w:rPr>
        <w:t>s</w:t>
      </w:r>
      <w:r w:rsidRPr="0087426C">
        <w:rPr>
          <w:rFonts w:ascii="Calibri" w:hAnsi="Calibri" w:cs="Calibri"/>
          <w:sz w:val="20"/>
          <w:szCs w:val="20"/>
        </w:rPr>
        <w:t xml:space="preserve"> 3.1, 3.2)</w:t>
      </w:r>
      <w:r>
        <w:rPr>
          <w:rFonts w:ascii="Calibri" w:hAnsi="Calibri" w:cs="Calibri"/>
          <w:sz w:val="20"/>
          <w:szCs w:val="20"/>
        </w:rPr>
        <w:t xml:space="preserve">. </w:t>
      </w:r>
      <w:r w:rsidR="00554FA7" w:rsidRPr="003F4704">
        <w:rPr>
          <w:rFonts w:ascii="Calibri" w:hAnsi="Calibri" w:cs="Calibri"/>
          <w:sz w:val="20"/>
          <w:szCs w:val="20"/>
          <w:highlight w:val="green"/>
        </w:rPr>
        <w:t xml:space="preserve">These interventions will ensure the analysis of the local </w:t>
      </w:r>
      <w:r w:rsidR="00003F71" w:rsidRPr="003F4704">
        <w:rPr>
          <w:rFonts w:ascii="Calibri" w:hAnsi="Calibri" w:cs="Calibri"/>
          <w:sz w:val="20"/>
          <w:szCs w:val="20"/>
          <w:highlight w:val="green"/>
        </w:rPr>
        <w:t>socio-cultural</w:t>
      </w:r>
      <w:r w:rsidR="00554FA7" w:rsidRPr="003F4704">
        <w:rPr>
          <w:rFonts w:ascii="Calibri" w:hAnsi="Calibri" w:cs="Calibri"/>
          <w:sz w:val="20"/>
          <w:szCs w:val="20"/>
          <w:highlight w:val="green"/>
        </w:rPr>
        <w:t xml:space="preserve"> context and the involvement of Indigenous Peoples present in the areas, in line with the Indigenous Peoples Plan that will be developed during the first year of the project.</w:t>
      </w:r>
      <w:r w:rsidR="00554FA7">
        <w:rPr>
          <w:rFonts w:ascii="Calibri" w:hAnsi="Calibri" w:cs="Calibri"/>
          <w:sz w:val="20"/>
          <w:szCs w:val="20"/>
        </w:rPr>
        <w:t xml:space="preserve"> </w:t>
      </w:r>
      <w:r>
        <w:rPr>
          <w:rFonts w:ascii="Calibri" w:hAnsi="Calibri" w:cs="Calibri"/>
          <w:sz w:val="20"/>
          <w:szCs w:val="20"/>
        </w:rPr>
        <w:t>The project will adapt m</w:t>
      </w:r>
      <w:r w:rsidRPr="0087426C">
        <w:rPr>
          <w:rFonts w:ascii="Calibri" w:hAnsi="Calibri" w:cs="Calibri"/>
          <w:sz w:val="20"/>
          <w:szCs w:val="20"/>
        </w:rPr>
        <w:t xml:space="preserve">anagement tools for pastoral areas, conflict mitigation, </w:t>
      </w:r>
      <w:r>
        <w:rPr>
          <w:rFonts w:ascii="Calibri" w:hAnsi="Calibri" w:cs="Calibri"/>
          <w:sz w:val="20"/>
          <w:szCs w:val="20"/>
        </w:rPr>
        <w:t xml:space="preserve">and </w:t>
      </w:r>
      <w:r w:rsidRPr="0087426C">
        <w:rPr>
          <w:rFonts w:ascii="Calibri" w:hAnsi="Calibri" w:cs="Calibri"/>
          <w:sz w:val="20"/>
          <w:szCs w:val="20"/>
        </w:rPr>
        <w:t>management of degraded pastures</w:t>
      </w:r>
      <w:r>
        <w:rPr>
          <w:rFonts w:ascii="Calibri" w:hAnsi="Calibri" w:cs="Calibri"/>
          <w:sz w:val="20"/>
          <w:szCs w:val="20"/>
        </w:rPr>
        <w:t xml:space="preserve"> </w:t>
      </w:r>
      <w:r w:rsidRPr="0087426C">
        <w:rPr>
          <w:rFonts w:ascii="Calibri" w:hAnsi="Calibri" w:cs="Calibri"/>
          <w:sz w:val="20"/>
          <w:szCs w:val="20"/>
        </w:rPr>
        <w:t>(output 3.2)</w:t>
      </w:r>
      <w:r>
        <w:rPr>
          <w:rFonts w:ascii="Calibri" w:hAnsi="Calibri" w:cs="Calibri"/>
          <w:sz w:val="20"/>
          <w:szCs w:val="20"/>
        </w:rPr>
        <w:t xml:space="preserve"> and will benefit from enhanced c</w:t>
      </w:r>
      <w:r w:rsidRPr="0087426C">
        <w:rPr>
          <w:rFonts w:ascii="Calibri" w:hAnsi="Calibri" w:cs="Calibri"/>
          <w:sz w:val="20"/>
          <w:szCs w:val="20"/>
        </w:rPr>
        <w:t>apacit</w:t>
      </w:r>
      <w:r>
        <w:rPr>
          <w:rFonts w:ascii="Calibri" w:hAnsi="Calibri" w:cs="Calibri"/>
          <w:sz w:val="20"/>
          <w:szCs w:val="20"/>
        </w:rPr>
        <w:t>ies</w:t>
      </w:r>
      <w:r w:rsidRPr="0087426C">
        <w:rPr>
          <w:rFonts w:ascii="Calibri" w:hAnsi="Calibri" w:cs="Calibri"/>
          <w:sz w:val="20"/>
          <w:szCs w:val="20"/>
        </w:rPr>
        <w:t xml:space="preserve"> </w:t>
      </w:r>
      <w:r>
        <w:rPr>
          <w:rFonts w:ascii="Calibri" w:hAnsi="Calibri" w:cs="Calibri"/>
          <w:sz w:val="20"/>
          <w:szCs w:val="20"/>
        </w:rPr>
        <w:t>of</w:t>
      </w:r>
      <w:r w:rsidRPr="0087426C">
        <w:rPr>
          <w:rFonts w:ascii="Calibri" w:hAnsi="Calibri" w:cs="Calibri"/>
          <w:sz w:val="20"/>
          <w:szCs w:val="20"/>
        </w:rPr>
        <w:t xml:space="preserve"> devolved technical services (output 3.2)</w:t>
      </w:r>
      <w:r>
        <w:rPr>
          <w:rFonts w:ascii="Calibri" w:hAnsi="Calibri" w:cs="Calibri"/>
          <w:sz w:val="20"/>
          <w:szCs w:val="20"/>
        </w:rPr>
        <w:t xml:space="preserve"> as part of projects implemented under the </w:t>
      </w:r>
      <w:r w:rsidRPr="0087426C">
        <w:rPr>
          <w:rFonts w:ascii="Calibri" w:hAnsi="Calibri" w:cs="Calibri"/>
          <w:sz w:val="20"/>
          <w:szCs w:val="20"/>
        </w:rPr>
        <w:t>Ministry of Animal and Fisheries Resources</w:t>
      </w:r>
      <w:r>
        <w:rPr>
          <w:rFonts w:ascii="Calibri" w:hAnsi="Calibri" w:cs="Calibri"/>
          <w:sz w:val="20"/>
          <w:szCs w:val="20"/>
        </w:rPr>
        <w:t xml:space="preserve"> </w:t>
      </w:r>
      <w:r w:rsidRPr="0087426C">
        <w:rPr>
          <w:rFonts w:ascii="Calibri" w:hAnsi="Calibri" w:cs="Calibri"/>
          <w:sz w:val="20"/>
          <w:szCs w:val="20"/>
        </w:rPr>
        <w:t>(Sahel Regional Support Project for Pastoralism, Livestock Development Support Project in Burkina Faso, Support for the Valorisation of NTFP-2)</w:t>
      </w:r>
      <w:r>
        <w:rPr>
          <w:rFonts w:ascii="Calibri" w:hAnsi="Calibri" w:cs="Calibri"/>
          <w:sz w:val="20"/>
          <w:szCs w:val="20"/>
        </w:rPr>
        <w:t>.</w:t>
      </w:r>
      <w:r w:rsidR="00003F71">
        <w:rPr>
          <w:rFonts w:ascii="Calibri" w:hAnsi="Calibri" w:cs="Calibri"/>
          <w:sz w:val="20"/>
          <w:szCs w:val="20"/>
        </w:rPr>
        <w:t xml:space="preserve"> </w:t>
      </w:r>
      <w:r w:rsidR="00003F71" w:rsidRPr="003F4704">
        <w:rPr>
          <w:rFonts w:ascii="Calibri" w:hAnsi="Calibri" w:cs="Calibri"/>
          <w:sz w:val="20"/>
          <w:szCs w:val="20"/>
          <w:highlight w:val="green"/>
        </w:rPr>
        <w:t>Regarding conflict mitigation interventions, they will take into consideration the findings of the Conflict Analysis and Assessment that will be developed as part of the ESIA (Environmental and Social Impact Assessment).</w:t>
      </w:r>
      <w:r>
        <w:rPr>
          <w:rFonts w:ascii="Calibri" w:hAnsi="Calibri" w:cs="Calibri"/>
          <w:sz w:val="20"/>
          <w:szCs w:val="20"/>
        </w:rPr>
        <w:t xml:space="preserve"> The projects </w:t>
      </w:r>
      <w:r w:rsidR="00272CB2">
        <w:rPr>
          <w:rFonts w:ascii="Calibri" w:hAnsi="Calibri" w:cs="Calibri"/>
          <w:sz w:val="20"/>
          <w:szCs w:val="20"/>
        </w:rPr>
        <w:t xml:space="preserve">indicated above </w:t>
      </w:r>
      <w:r>
        <w:rPr>
          <w:rFonts w:ascii="Calibri" w:hAnsi="Calibri" w:cs="Calibri"/>
          <w:sz w:val="20"/>
          <w:szCs w:val="20"/>
        </w:rPr>
        <w:t>also contribute to the d</w:t>
      </w:r>
      <w:r w:rsidRPr="0087426C">
        <w:rPr>
          <w:rFonts w:ascii="Calibri" w:hAnsi="Calibri" w:cs="Calibri"/>
          <w:sz w:val="20"/>
          <w:szCs w:val="20"/>
        </w:rPr>
        <w:t xml:space="preserve">evelopment of legislative, regulatory and institutional frameworks </w:t>
      </w:r>
      <w:r>
        <w:rPr>
          <w:rFonts w:ascii="Calibri" w:hAnsi="Calibri" w:cs="Calibri"/>
          <w:sz w:val="20"/>
          <w:szCs w:val="20"/>
        </w:rPr>
        <w:t>to enable</w:t>
      </w:r>
      <w:r w:rsidRPr="0087426C">
        <w:rPr>
          <w:rFonts w:ascii="Calibri" w:hAnsi="Calibri" w:cs="Calibri"/>
          <w:sz w:val="20"/>
          <w:szCs w:val="20"/>
        </w:rPr>
        <w:t xml:space="preserve"> the sustainable management of natural resources and the development of value chains related to NTFPs (outputs 3.2, 3.3)</w:t>
      </w:r>
      <w:r>
        <w:rPr>
          <w:rFonts w:ascii="Calibri" w:hAnsi="Calibri" w:cs="Calibri"/>
          <w:sz w:val="20"/>
          <w:szCs w:val="20"/>
        </w:rPr>
        <w:t xml:space="preserve">. For the development of NTFP value chains (output 3.3), the project will work in collaboration and learn from interventions implemented by the </w:t>
      </w:r>
      <w:r w:rsidRPr="00690605">
        <w:rPr>
          <w:rFonts w:ascii="Calibri" w:hAnsi="Calibri" w:cs="Arial"/>
          <w:sz w:val="20"/>
          <w:szCs w:val="20"/>
        </w:rPr>
        <w:t>Ministry of Agriculture and Hydraulic Installations</w:t>
      </w:r>
      <w:r>
        <w:rPr>
          <w:rFonts w:ascii="Calibri" w:hAnsi="Calibri" w:cs="Arial"/>
          <w:sz w:val="20"/>
          <w:szCs w:val="20"/>
        </w:rPr>
        <w:t>, “</w:t>
      </w:r>
      <w:r w:rsidRPr="00690605">
        <w:rPr>
          <w:rFonts w:ascii="Calibri" w:hAnsi="Calibri" w:cs="Arial"/>
          <w:sz w:val="20"/>
          <w:szCs w:val="20"/>
          <w:lang w:val="en-CA"/>
        </w:rPr>
        <w:t>Agricultural Productivity and Food Security Improvement Project</w:t>
      </w:r>
      <w:r w:rsidRPr="00690605">
        <w:rPr>
          <w:rFonts w:ascii="Calibri" w:hAnsi="Calibri" w:cs="Calibri"/>
          <w:sz w:val="20"/>
          <w:szCs w:val="20"/>
        </w:rPr>
        <w:t>” which is developing technologies</w:t>
      </w:r>
      <w:r w:rsidRPr="00690605">
        <w:rPr>
          <w:rFonts w:ascii="Calibri" w:hAnsi="Calibri"/>
          <w:color w:val="000000"/>
          <w:sz w:val="20"/>
          <w:szCs w:val="20"/>
        </w:rPr>
        <w:t xml:space="preserve"> for NTFP valorization and IGA development for local communities neighboring PNKT and Nazinga PAs (output 3.3)</w:t>
      </w:r>
      <w:r>
        <w:rPr>
          <w:rFonts w:ascii="Calibri" w:hAnsi="Calibri"/>
          <w:color w:val="000000"/>
          <w:sz w:val="20"/>
          <w:szCs w:val="20"/>
        </w:rPr>
        <w:t xml:space="preserve">. This project has also made contributions to </w:t>
      </w:r>
      <w:r w:rsidRPr="00690605">
        <w:rPr>
          <w:rFonts w:ascii="Calibri" w:hAnsi="Calibri"/>
          <w:color w:val="000000"/>
          <w:sz w:val="20"/>
          <w:szCs w:val="20"/>
        </w:rPr>
        <w:t xml:space="preserve">update management and development plans for PNKT and Nazinga PAs </w:t>
      </w:r>
      <w:r>
        <w:rPr>
          <w:rFonts w:ascii="Calibri" w:hAnsi="Calibri"/>
          <w:color w:val="000000"/>
          <w:sz w:val="20"/>
          <w:szCs w:val="20"/>
        </w:rPr>
        <w:t xml:space="preserve">which the project will integrate for activities under </w:t>
      </w:r>
      <w:r w:rsidRPr="00690605">
        <w:rPr>
          <w:rFonts w:ascii="Calibri" w:hAnsi="Calibri"/>
          <w:color w:val="000000"/>
          <w:sz w:val="20"/>
          <w:szCs w:val="20"/>
        </w:rPr>
        <w:t>output 2.2</w:t>
      </w:r>
      <w:r>
        <w:rPr>
          <w:rFonts w:ascii="Calibri" w:hAnsi="Calibri"/>
          <w:color w:val="000000"/>
          <w:sz w:val="20"/>
          <w:szCs w:val="20"/>
        </w:rPr>
        <w:t>.</w:t>
      </w:r>
    </w:p>
    <w:bookmarkEnd w:id="18"/>
    <w:p w14:paraId="274C6639" w14:textId="43B80429" w:rsidR="00EF289E" w:rsidRDefault="00302BFE" w:rsidP="00C46720">
      <w:pPr>
        <w:pStyle w:val="Paragraphedeliste"/>
        <w:numPr>
          <w:ilvl w:val="0"/>
          <w:numId w:val="14"/>
        </w:numPr>
        <w:tabs>
          <w:tab w:val="left" w:pos="284"/>
        </w:tabs>
        <w:spacing w:before="120" w:after="120"/>
        <w:ind w:left="0" w:firstLine="0"/>
        <w:jc w:val="both"/>
        <w:rPr>
          <w:rFonts w:ascii="Calibri" w:hAnsi="Calibri" w:cs="Calibri"/>
          <w:sz w:val="20"/>
          <w:szCs w:val="20"/>
          <w:lang w:val="en-CA"/>
        </w:rPr>
      </w:pPr>
      <w:r w:rsidRPr="00E61001">
        <w:rPr>
          <w:rFonts w:ascii="Calibri" w:hAnsi="Calibri"/>
          <w:sz w:val="20"/>
          <w:szCs w:val="20"/>
          <w:u w:val="single"/>
        </w:rPr>
        <w:t>Risks and Assumptions.</w:t>
      </w:r>
      <w:r w:rsidRPr="00E61001">
        <w:rPr>
          <w:rFonts w:ascii="Calibri" w:hAnsi="Calibri" w:cs="Calibri"/>
          <w:sz w:val="20"/>
          <w:szCs w:val="20"/>
          <w:lang w:val="en-CA"/>
        </w:rPr>
        <w:t xml:space="preserve"> </w:t>
      </w:r>
      <w:r w:rsidRPr="00AE277D">
        <w:rPr>
          <w:rFonts w:ascii="Calibri" w:hAnsi="Calibri" w:cs="Calibri"/>
          <w:sz w:val="20"/>
          <w:szCs w:val="20"/>
          <w:lang w:val="en-CA"/>
        </w:rPr>
        <w:t xml:space="preserve">As per standard UNDP requirements, the Project </w:t>
      </w:r>
      <w:r w:rsidR="00320AF9" w:rsidRPr="00A63E29">
        <w:rPr>
          <w:rFonts w:ascii="Calibri" w:hAnsi="Calibri" w:cs="Calibri"/>
          <w:sz w:val="20"/>
          <w:szCs w:val="20"/>
          <w:highlight w:val="yellow"/>
          <w:lang w:val="en-CA"/>
        </w:rPr>
        <w:t>Coordinator</w:t>
      </w:r>
      <w:r w:rsidR="00320AF9" w:rsidRPr="00AE277D">
        <w:rPr>
          <w:rFonts w:ascii="Calibri" w:hAnsi="Calibri" w:cs="Calibri"/>
          <w:sz w:val="20"/>
          <w:szCs w:val="20"/>
          <w:lang w:val="en-CA"/>
        </w:rPr>
        <w:t xml:space="preserve"> </w:t>
      </w:r>
      <w:r w:rsidRPr="00AE277D">
        <w:rPr>
          <w:rFonts w:ascii="Calibri" w:hAnsi="Calibri" w:cs="Calibri"/>
          <w:sz w:val="20"/>
          <w:szCs w:val="20"/>
          <w:lang w:val="en-CA"/>
        </w:rPr>
        <w:t xml:space="preserve">will monitor risks quarterly and report on the status of risks to the UNDP Country Office. The UNDP Country Office will record progress in the UNDP ATLAS risk log. </w:t>
      </w:r>
      <w:r w:rsidR="004F6F9D" w:rsidRPr="003F4704">
        <w:rPr>
          <w:rFonts w:ascii="Calibri" w:hAnsi="Calibri" w:cs="Calibri"/>
          <w:sz w:val="20"/>
          <w:szCs w:val="20"/>
          <w:highlight w:val="green"/>
          <w:lang w:val="en-CA"/>
        </w:rPr>
        <w:t>The ATLAS risk log has been updated in October 2022, based on the updated SESP (Social and Environmental Screening Procedure).</w:t>
      </w:r>
      <w:r w:rsidR="004F6F9D">
        <w:rPr>
          <w:rFonts w:ascii="Calibri" w:hAnsi="Calibri" w:cs="Calibri"/>
          <w:sz w:val="20"/>
          <w:szCs w:val="20"/>
          <w:lang w:val="en-CA"/>
        </w:rPr>
        <w:t xml:space="preserve"> </w:t>
      </w:r>
      <w:r w:rsidRPr="00AE277D">
        <w:rPr>
          <w:rFonts w:ascii="Calibri" w:hAnsi="Calibri" w:cs="Calibri"/>
          <w:sz w:val="20"/>
          <w:szCs w:val="20"/>
          <w:lang w:val="en-CA"/>
        </w:rPr>
        <w:t xml:space="preserve">Risks will be reported as critical when the impact and probability are high (i.e., when impact is rated as 5, and when impact is rated as 4 and probability is rated at 3 or higher). Management responses to critical risks will also be reported to the GEF in the annual PIR. </w:t>
      </w:r>
    </w:p>
    <w:p w14:paraId="0584683F" w14:textId="13160D31" w:rsidR="00EF289E" w:rsidRPr="00EF289E" w:rsidRDefault="00EF289E" w:rsidP="00BE65D5">
      <w:pPr>
        <w:pStyle w:val="Paragraphedeliste"/>
        <w:tabs>
          <w:tab w:val="left" w:pos="284"/>
        </w:tabs>
        <w:spacing w:before="120" w:after="120"/>
        <w:ind w:left="0"/>
        <w:jc w:val="both"/>
        <w:rPr>
          <w:rFonts w:ascii="Calibri" w:hAnsi="Calibri" w:cs="Calibri"/>
          <w:sz w:val="20"/>
          <w:szCs w:val="20"/>
          <w:lang w:val="en-CA"/>
        </w:rPr>
      </w:pPr>
      <w:r w:rsidRPr="003F4704">
        <w:rPr>
          <w:rFonts w:ascii="Calibri" w:hAnsi="Calibri"/>
          <w:sz w:val="20"/>
          <w:szCs w:val="20"/>
          <w:highlight w:val="green"/>
          <w:u w:val="single"/>
        </w:rPr>
        <w:t>Considering the updated SES, the social and environmental risks are rated as Low, Moderate, Substantial and High, based on the analysis of Impact and Likelihood.</w:t>
      </w:r>
      <w:r w:rsidRPr="003F4704">
        <w:rPr>
          <w:rFonts w:ascii="Calibri" w:hAnsi="Calibri" w:cs="Calibri"/>
          <w:sz w:val="20"/>
          <w:szCs w:val="20"/>
          <w:highlight w:val="green"/>
          <w:lang w:val="en-CA"/>
        </w:rPr>
        <w:t xml:space="preserve"> </w:t>
      </w:r>
      <w:r w:rsidRPr="003F4704">
        <w:rPr>
          <w:rFonts w:ascii="Calibri" w:hAnsi="Calibri"/>
          <w:sz w:val="20"/>
          <w:szCs w:val="20"/>
          <w:highlight w:val="green"/>
          <w:u w:val="single"/>
        </w:rPr>
        <w:t>Social and environmental risks are reported as critical when the rate is Substantial or High.</w:t>
      </w:r>
      <w:r>
        <w:rPr>
          <w:rFonts w:ascii="Calibri" w:hAnsi="Calibri"/>
          <w:sz w:val="20"/>
          <w:szCs w:val="20"/>
          <w:u w:val="single"/>
        </w:rPr>
        <w:t xml:space="preserve"> </w:t>
      </w:r>
    </w:p>
    <w:p w14:paraId="4D360AF9" w14:textId="77777777" w:rsidR="00302BFE" w:rsidRPr="00CF512D" w:rsidRDefault="00302BFE" w:rsidP="00C46720">
      <w:pPr>
        <w:pStyle w:val="Paragraphedeliste"/>
        <w:numPr>
          <w:ilvl w:val="0"/>
          <w:numId w:val="14"/>
        </w:numPr>
        <w:tabs>
          <w:tab w:val="left" w:pos="284"/>
        </w:tabs>
        <w:spacing w:before="120" w:after="120"/>
        <w:ind w:left="0" w:firstLine="0"/>
        <w:jc w:val="both"/>
        <w:rPr>
          <w:rFonts w:ascii="Calibri" w:hAnsi="Calibri" w:cs="Calibri"/>
          <w:sz w:val="20"/>
          <w:szCs w:val="20"/>
          <w:lang w:val="en-CA"/>
        </w:rPr>
      </w:pPr>
      <w:r w:rsidRPr="00CF512D">
        <w:rPr>
          <w:rFonts w:ascii="Calibri" w:hAnsi="Calibri" w:cs="Calibri"/>
          <w:sz w:val="20"/>
          <w:szCs w:val="20"/>
          <w:lang w:val="en-CA"/>
        </w:rPr>
        <w:t xml:space="preserve">Key project </w:t>
      </w:r>
      <w:r w:rsidRPr="00CF512D">
        <w:rPr>
          <w:rFonts w:ascii="Calibri" w:hAnsi="Calibri" w:cs="Calibri"/>
          <w:b/>
          <w:sz w:val="20"/>
          <w:szCs w:val="20"/>
          <w:lang w:val="en-CA"/>
        </w:rPr>
        <w:t>assumptions</w:t>
      </w:r>
      <w:r w:rsidRPr="00CF512D">
        <w:rPr>
          <w:rFonts w:ascii="Calibri" w:hAnsi="Calibri" w:cs="Calibri"/>
          <w:sz w:val="20"/>
          <w:szCs w:val="20"/>
          <w:lang w:val="en-CA"/>
        </w:rPr>
        <w:t xml:space="preserve"> are as follows: a) </w:t>
      </w:r>
      <w:r w:rsidRPr="00CF512D">
        <w:rPr>
          <w:rFonts w:ascii="Calibri" w:hAnsi="Calibri"/>
          <w:sz w:val="20"/>
          <w:szCs w:val="20"/>
          <w:u w:val="single"/>
          <w:lang w:val="en-CA"/>
        </w:rPr>
        <w:t>Values, perceptions, attitudes</w:t>
      </w:r>
      <w:r w:rsidRPr="00CF512D">
        <w:rPr>
          <w:rFonts w:ascii="Calibri" w:hAnsi="Calibri"/>
          <w:sz w:val="20"/>
          <w:szCs w:val="20"/>
          <w:lang w:val="en-CA"/>
        </w:rPr>
        <w:t>. The preservation of biodiversity and ecosystem services is a priority for regional authorities and local governments who agree to participate in the planning of land and resource use within the landscape and to mobilize the necessary co-financing for its implementation</w:t>
      </w:r>
      <w:r w:rsidRPr="00CF512D">
        <w:rPr>
          <w:rFonts w:ascii="Calibri" w:hAnsi="Calibri" w:cs="Calibri"/>
          <w:sz w:val="20"/>
          <w:szCs w:val="20"/>
          <w:lang w:val="en-CA"/>
        </w:rPr>
        <w:t xml:space="preserve">; </w:t>
      </w:r>
      <w:r w:rsidRPr="00CF512D">
        <w:rPr>
          <w:rFonts w:ascii="Calibri" w:hAnsi="Calibri"/>
          <w:bCs/>
          <w:sz w:val="20"/>
          <w:szCs w:val="20"/>
          <w:lang w:val="en-CA"/>
        </w:rPr>
        <w:t xml:space="preserve">Enhanced awareness of environmental degradation trends and their impact, as well as strengthened capacities and institutional framework, lead to increased adoption of sustainable land and natural resource management practices and their effective implementation; </w:t>
      </w:r>
      <w:r w:rsidRPr="00CF512D">
        <w:rPr>
          <w:rFonts w:ascii="Calibri" w:hAnsi="Calibri"/>
          <w:sz w:val="20"/>
          <w:szCs w:val="20"/>
          <w:lang w:val="en-CA"/>
        </w:rPr>
        <w:t xml:space="preserve">PA stakeholders (local populations and authorities, OFINAP, DGEF, technical services, private concessionaires) commit to the objective of improving PA management and to adopting a collaborative approach; Men and women in local communities are willing to adapt their practices and to adopt improved and more sustainable production schemes. </w:t>
      </w:r>
      <w:r w:rsidRPr="00CF512D">
        <w:rPr>
          <w:rFonts w:ascii="Calibri" w:hAnsi="Calibri" w:cs="Calibri"/>
          <w:sz w:val="20"/>
          <w:szCs w:val="20"/>
          <w:lang w:val="en-CA"/>
        </w:rPr>
        <w:t xml:space="preserve">b) </w:t>
      </w:r>
      <w:r w:rsidRPr="00CF512D">
        <w:rPr>
          <w:rFonts w:ascii="Calibri" w:hAnsi="Calibri"/>
          <w:sz w:val="20"/>
          <w:szCs w:val="20"/>
          <w:u w:val="single"/>
          <w:lang w:val="en-CA"/>
        </w:rPr>
        <w:t>Governance</w:t>
      </w:r>
      <w:r w:rsidRPr="00CF512D">
        <w:rPr>
          <w:rFonts w:ascii="Calibri" w:hAnsi="Calibri"/>
          <w:sz w:val="20"/>
          <w:szCs w:val="20"/>
          <w:lang w:val="en-CA"/>
        </w:rPr>
        <w:t>. Central Government effectively transfers resources for natural resource management to regional and commune-level communities (</w:t>
      </w:r>
      <w:r w:rsidRPr="00CF512D">
        <w:rPr>
          <w:rFonts w:ascii="Calibri" w:hAnsi="Calibri"/>
          <w:i/>
          <w:sz w:val="20"/>
          <w:szCs w:val="20"/>
          <w:lang w:val="en-CA"/>
        </w:rPr>
        <w:t>collectivités</w:t>
      </w:r>
      <w:r w:rsidRPr="00CF512D">
        <w:rPr>
          <w:rFonts w:ascii="Calibri" w:hAnsi="Calibri"/>
          <w:sz w:val="20"/>
          <w:szCs w:val="20"/>
          <w:lang w:val="en-CA"/>
        </w:rPr>
        <w:t xml:space="preserve">). </w:t>
      </w:r>
      <w:r w:rsidRPr="00CF512D">
        <w:rPr>
          <w:rFonts w:ascii="Calibri" w:hAnsi="Calibri" w:cs="Calibri"/>
          <w:sz w:val="20"/>
          <w:szCs w:val="20"/>
          <w:lang w:val="en-CA"/>
        </w:rPr>
        <w:t xml:space="preserve">c) </w:t>
      </w:r>
      <w:r w:rsidRPr="00CF512D">
        <w:rPr>
          <w:rFonts w:ascii="Calibri" w:hAnsi="Calibri"/>
          <w:sz w:val="20"/>
          <w:szCs w:val="20"/>
          <w:u w:val="single"/>
          <w:lang w:val="en-CA"/>
        </w:rPr>
        <w:t>Institutional capacities</w:t>
      </w:r>
      <w:r w:rsidRPr="00CF512D">
        <w:rPr>
          <w:rFonts w:ascii="Calibri" w:hAnsi="Calibri"/>
          <w:sz w:val="20"/>
          <w:szCs w:val="20"/>
          <w:lang w:val="en-CA"/>
        </w:rPr>
        <w:t xml:space="preserve">. Regional and communal authorities have adequate capacities to mobilize the resources necessary to implement the landscape management plan and its prescriptions. The Government allocates adequate resources (staff and operational budget) to ensure the effective management of all State PAs in the PONASI landscape. </w:t>
      </w:r>
      <w:r w:rsidRPr="00CF512D">
        <w:rPr>
          <w:rFonts w:ascii="Calibri" w:hAnsi="Calibri" w:cs="Calibri"/>
          <w:sz w:val="20"/>
          <w:szCs w:val="20"/>
          <w:lang w:val="en-CA"/>
        </w:rPr>
        <w:t xml:space="preserve">d) </w:t>
      </w:r>
      <w:r w:rsidRPr="00CF512D">
        <w:rPr>
          <w:rFonts w:ascii="Calibri" w:hAnsi="Calibri"/>
          <w:sz w:val="20"/>
          <w:szCs w:val="20"/>
          <w:u w:val="single"/>
          <w:lang w:val="en-CA"/>
        </w:rPr>
        <w:t>Legislative</w:t>
      </w:r>
      <w:r w:rsidRPr="00CF512D">
        <w:rPr>
          <w:rFonts w:ascii="Calibri" w:hAnsi="Calibri"/>
          <w:sz w:val="20"/>
          <w:szCs w:val="20"/>
          <w:lang w:val="en-CA"/>
        </w:rPr>
        <w:t xml:space="preserve">. The revision of the texts related to the distribution of income generated by the management of natural resources is complete and effective. Poachers arrests are followed by appropriate legal action and prosecution as provided for in the law, to serve as an effective disincentive to poaching. e) </w:t>
      </w:r>
      <w:r w:rsidRPr="00CF512D">
        <w:rPr>
          <w:rFonts w:ascii="Calibri" w:hAnsi="Calibri"/>
          <w:sz w:val="20"/>
          <w:szCs w:val="20"/>
          <w:u w:val="single"/>
          <w:lang w:val="en-CA"/>
        </w:rPr>
        <w:t>Financial resources</w:t>
      </w:r>
      <w:r w:rsidRPr="00CF512D">
        <w:rPr>
          <w:rFonts w:ascii="Calibri" w:hAnsi="Calibri"/>
          <w:sz w:val="20"/>
          <w:szCs w:val="20"/>
          <w:lang w:val="en-CA"/>
        </w:rPr>
        <w:t xml:space="preserve">. Effective mobilization of co-financing to ensure the implementation of the master landscape management plan. f) </w:t>
      </w:r>
      <w:r w:rsidRPr="00CF512D">
        <w:rPr>
          <w:rFonts w:ascii="Calibri" w:hAnsi="Calibri"/>
          <w:bCs/>
          <w:sz w:val="20"/>
          <w:szCs w:val="20"/>
          <w:u w:val="single"/>
          <w:lang w:val="en-CA"/>
        </w:rPr>
        <w:t>Social</w:t>
      </w:r>
      <w:r w:rsidRPr="00CF512D">
        <w:rPr>
          <w:rFonts w:ascii="Calibri" w:hAnsi="Calibri"/>
          <w:bCs/>
          <w:sz w:val="20"/>
          <w:szCs w:val="20"/>
          <w:lang w:val="en-CA"/>
        </w:rPr>
        <w:t xml:space="preserve">. Ongoing efforts by the Government and its partners have significantly reduced the encroachment of Corridor # 1 by agricultural and pastoral activities and thus ensure security for elephant movement. g) </w:t>
      </w:r>
      <w:r w:rsidRPr="00CF512D">
        <w:rPr>
          <w:rFonts w:ascii="Calibri" w:hAnsi="Calibri"/>
          <w:sz w:val="20"/>
          <w:szCs w:val="20"/>
          <w:u w:val="single"/>
          <w:lang w:val="en-CA"/>
        </w:rPr>
        <w:t>Gender</w:t>
      </w:r>
      <w:r w:rsidRPr="00CF512D">
        <w:rPr>
          <w:rFonts w:ascii="Calibri" w:hAnsi="Calibri"/>
          <w:sz w:val="20"/>
          <w:szCs w:val="20"/>
          <w:lang w:val="en-CA"/>
        </w:rPr>
        <w:t xml:space="preserve">. Each structure represented in the </w:t>
      </w:r>
      <w:r w:rsidRPr="00831652">
        <w:rPr>
          <w:rFonts w:ascii="Calibri" w:hAnsi="Calibri"/>
          <w:sz w:val="20"/>
          <w:szCs w:val="20"/>
          <w:lang w:val="en-CA"/>
        </w:rPr>
        <w:t>landscape</w:t>
      </w:r>
      <w:r>
        <w:rPr>
          <w:rFonts w:ascii="Calibri" w:hAnsi="Calibri"/>
          <w:sz w:val="20"/>
          <w:szCs w:val="20"/>
          <w:lang w:val="en-CA"/>
        </w:rPr>
        <w:t xml:space="preserve"> </w:t>
      </w:r>
      <w:r w:rsidRPr="00CF512D">
        <w:rPr>
          <w:rFonts w:ascii="Calibri" w:hAnsi="Calibri"/>
          <w:sz w:val="20"/>
          <w:szCs w:val="20"/>
          <w:lang w:val="en-CA"/>
        </w:rPr>
        <w:t>consultation framework encourages the participation of women in the consultation framework for the integrated management of the PONASI landscape and has the possibility of proposing one or more women.</w:t>
      </w:r>
    </w:p>
    <w:p w14:paraId="0DF17DA3" w14:textId="4250F9A2" w:rsidR="00BD2CF6" w:rsidRPr="00755BF9" w:rsidRDefault="00302BFE" w:rsidP="00C46720">
      <w:pPr>
        <w:pStyle w:val="Paragraphedeliste"/>
        <w:numPr>
          <w:ilvl w:val="0"/>
          <w:numId w:val="14"/>
        </w:numPr>
        <w:tabs>
          <w:tab w:val="left" w:pos="284"/>
        </w:tabs>
        <w:spacing w:before="120" w:after="120"/>
        <w:ind w:left="0" w:firstLine="0"/>
        <w:jc w:val="both"/>
        <w:rPr>
          <w:rFonts w:asciiTheme="minorHAnsi" w:hAnsiTheme="minorHAnsi" w:cstheme="minorHAnsi"/>
          <w:sz w:val="18"/>
          <w:szCs w:val="18"/>
          <w:highlight w:val="green"/>
        </w:rPr>
      </w:pPr>
      <w:r w:rsidRPr="00E82849">
        <w:rPr>
          <w:rFonts w:ascii="Calibri" w:hAnsi="Calibri" w:cs="Segoe UI"/>
          <w:color w:val="000000"/>
          <w:sz w:val="20"/>
          <w:szCs w:val="20"/>
        </w:rPr>
        <w:t xml:space="preserve">Key project </w:t>
      </w:r>
      <w:r w:rsidRPr="00E82849">
        <w:rPr>
          <w:rFonts w:ascii="Calibri" w:hAnsi="Calibri" w:cs="Segoe UI"/>
          <w:b/>
          <w:color w:val="000000"/>
          <w:sz w:val="20"/>
          <w:szCs w:val="20"/>
        </w:rPr>
        <w:t>risks</w:t>
      </w:r>
      <w:r w:rsidRPr="00E82849">
        <w:rPr>
          <w:rFonts w:ascii="Calibri" w:hAnsi="Calibri" w:cs="Segoe UI"/>
          <w:color w:val="000000"/>
          <w:sz w:val="20"/>
          <w:szCs w:val="20"/>
        </w:rPr>
        <w:t xml:space="preserve"> and related mitigation measures are presented in the following table</w:t>
      </w:r>
      <w:r w:rsidR="00FD31BB">
        <w:rPr>
          <w:rFonts w:ascii="Calibri" w:hAnsi="Calibri" w:cs="Segoe UI"/>
          <w:color w:val="000000"/>
          <w:sz w:val="20"/>
          <w:szCs w:val="20"/>
        </w:rPr>
        <w:t>, updated in October 2022</w:t>
      </w:r>
      <w:r w:rsidRPr="00E82849">
        <w:rPr>
          <w:rFonts w:ascii="Calibri" w:hAnsi="Calibri" w:cs="Segoe UI"/>
          <w:color w:val="000000"/>
          <w:sz w:val="20"/>
          <w:szCs w:val="20"/>
        </w:rPr>
        <w:t xml:space="preserve">. Given these risks, the security situation in the country, insufficient capacity on several levels, and the nature of the project involving enforcement, the project is considered to be high risk. </w:t>
      </w:r>
      <w:r w:rsidR="00BD2CF6" w:rsidRPr="003F4704">
        <w:rPr>
          <w:rFonts w:ascii="Calibri" w:hAnsi="Calibri" w:cs="Segoe UI"/>
          <w:color w:val="000000"/>
          <w:sz w:val="20"/>
          <w:szCs w:val="20"/>
          <w:highlight w:val="green"/>
        </w:rPr>
        <w:t xml:space="preserve">Based on the SES and the updated SESP, the project is rated as Substantial. </w:t>
      </w:r>
      <w:r w:rsidRPr="003F4704">
        <w:rPr>
          <w:rFonts w:ascii="Calibri" w:hAnsi="Calibri" w:cs="Segoe UI"/>
          <w:color w:val="000000"/>
          <w:sz w:val="20"/>
          <w:szCs w:val="20"/>
          <w:highlight w:val="green"/>
        </w:rPr>
        <w:t>Such a situation requires</w:t>
      </w:r>
      <w:r w:rsidR="00BD2CF6" w:rsidRPr="003F4704">
        <w:rPr>
          <w:rFonts w:ascii="Calibri" w:hAnsi="Calibri" w:cs="Segoe UI"/>
          <w:color w:val="000000"/>
          <w:sz w:val="20"/>
          <w:szCs w:val="20"/>
          <w:highlight w:val="green"/>
        </w:rPr>
        <w:t xml:space="preserve"> the following Assessments and the related Management plans: </w:t>
      </w:r>
      <w:r w:rsidR="00BD2CF6" w:rsidRPr="00BE65D5">
        <w:rPr>
          <w:rFonts w:asciiTheme="minorHAnsi" w:hAnsiTheme="minorHAnsi" w:cstheme="minorHAnsi"/>
          <w:sz w:val="20"/>
          <w:szCs w:val="20"/>
          <w:highlight w:val="green"/>
        </w:rPr>
        <w:t xml:space="preserve">the following have been prepared: (1) Environmental and Social Management Framework (ESMF), including an Indigenous Peoples Planning Framework (IPPF); (2) Stakeholder Engagement Plan; (3) Gender Analysis and Gender Action Plan. To mitigate the identified risks: An </w:t>
      </w:r>
      <w:r w:rsidR="00BD2CF6" w:rsidRPr="00755BF9">
        <w:rPr>
          <w:rFonts w:asciiTheme="minorHAnsi" w:hAnsiTheme="minorHAnsi" w:cstheme="minorHAnsi"/>
          <w:sz w:val="20"/>
          <w:szCs w:val="20"/>
          <w:highlight w:val="green"/>
        </w:rPr>
        <w:t>ESIA (Environmental and Social Impact Assessment) will be developed within the first 6 months of the project. Including a</w:t>
      </w:r>
      <w:r w:rsidR="005979FD" w:rsidRPr="003F4704">
        <w:rPr>
          <w:rFonts w:asciiTheme="minorHAnsi" w:hAnsiTheme="minorHAnsi" w:cstheme="minorHAnsi"/>
          <w:sz w:val="20"/>
          <w:szCs w:val="20"/>
          <w:highlight w:val="green"/>
        </w:rPr>
        <w:t>n</w:t>
      </w:r>
      <w:r w:rsidR="00BD2CF6" w:rsidRPr="00755BF9">
        <w:rPr>
          <w:rFonts w:asciiTheme="minorHAnsi" w:hAnsiTheme="minorHAnsi" w:cstheme="minorHAnsi"/>
          <w:sz w:val="20"/>
          <w:szCs w:val="20"/>
          <w:highlight w:val="green"/>
        </w:rPr>
        <w:t xml:space="preserve"> Economic Displacement Risk Assessment and a </w:t>
      </w:r>
      <w:r w:rsidR="00BD2CF6" w:rsidRPr="00755BF9">
        <w:rPr>
          <w:rFonts w:asciiTheme="minorHAnsi" w:hAnsiTheme="minorHAnsi" w:cstheme="minorHAnsi"/>
          <w:sz w:val="20"/>
          <w:szCs w:val="20"/>
          <w:highlight w:val="green"/>
        </w:rPr>
        <w:lastRenderedPageBreak/>
        <w:t>Conflict Analysis and Assessment, based on an Environmental and Social Baseline Analysis that will enhance the knowledge of the local context. The information collected through the baseline analysis will be included in the Stakeholder Analysis, as part of the Comprehensive Stakeholder Engagement Plan. Th Stakeholder analysis will be developed during the first 6 months of the project, starting from the Stakeholder List/Engagement Plan attached to the ProDoc. The policies and models management framework level will be assessed following the SESA process, that will be developed by the first 6 months of the project. The SESA will focus on the following outcomes and outputs: Outcome 3.3; Outputs 1.1, 1.4, 1.5, 2.2, 2.3, 3.2, 3.4, 4.2. A Comprehensive Stakeholder Engagement Plan will be developed by the first 6 months of the project, including the Stakeholder Analysis. An ESMP (Environmental and Social Management Plan) will be developed by the first year of project implementation, including the Livelihood Action Plan, if needed. An Indigenous Peoples Plan will be developed by the first year of the project, ensuring the involvement and engagement, including the FPIC process, of any indigenous peoples groups, tribes or ethnic minorities who can be consulted. A Grievance Redress Mechanism (GRM) will be developed by the first 3 months of the project. This mechanism will ensure stakeholder (including indigenous peoples and/or minorities) can have access to a feedback mechanism ensuring their meaningful participation to project activities.</w:t>
      </w:r>
      <w:r w:rsidR="00C30523" w:rsidRPr="003F4704">
        <w:rPr>
          <w:rFonts w:asciiTheme="minorHAnsi" w:hAnsiTheme="minorHAnsi" w:cstheme="minorHAnsi"/>
          <w:sz w:val="20"/>
          <w:szCs w:val="20"/>
          <w:highlight w:val="green"/>
        </w:rPr>
        <w:t xml:space="preserve"> </w:t>
      </w:r>
      <w:r w:rsidR="00BD2CF6" w:rsidRPr="00755BF9">
        <w:rPr>
          <w:rFonts w:asciiTheme="minorHAnsi" w:hAnsiTheme="minorHAnsi" w:cstheme="minorHAnsi"/>
          <w:sz w:val="20"/>
          <w:szCs w:val="20"/>
          <w:highlight w:val="green"/>
        </w:rPr>
        <w:t>The SESA findings will be included in an Action Matrix.</w:t>
      </w:r>
    </w:p>
    <w:p w14:paraId="2D4FC4E1" w14:textId="15D7CA86" w:rsidR="00302BFE" w:rsidRPr="007263B4" w:rsidRDefault="007D0B29" w:rsidP="00755BF9">
      <w:pPr>
        <w:pStyle w:val="Paragraphedeliste"/>
        <w:tabs>
          <w:tab w:val="left" w:pos="284"/>
        </w:tabs>
        <w:spacing w:before="120" w:after="120"/>
        <w:ind w:left="0"/>
        <w:jc w:val="both"/>
        <w:rPr>
          <w:rFonts w:ascii="Calibri" w:hAnsi="Calibri" w:cs="Segoe UI"/>
          <w:color w:val="000000"/>
          <w:sz w:val="20"/>
          <w:szCs w:val="20"/>
        </w:rPr>
      </w:pPr>
      <w:r w:rsidRPr="00A63E29">
        <w:rPr>
          <w:rFonts w:ascii="Calibri" w:hAnsi="Calibri" w:cs="Calibri"/>
          <w:sz w:val="20"/>
          <w:szCs w:val="20"/>
          <w:lang w:val="en-CA"/>
        </w:rPr>
        <w:t>Key risks related to the COVID crisis are addressed at the end of this section.</w:t>
      </w:r>
    </w:p>
    <w:p w14:paraId="6840BE15" w14:textId="32837EE1" w:rsidR="00302BFE" w:rsidRPr="00893DD1" w:rsidRDefault="00302BFE" w:rsidP="00C46720">
      <w:pPr>
        <w:pStyle w:val="Paragraphedeliste"/>
        <w:numPr>
          <w:ilvl w:val="0"/>
          <w:numId w:val="14"/>
        </w:numPr>
        <w:tabs>
          <w:tab w:val="left" w:pos="284"/>
        </w:tabs>
        <w:spacing w:before="120" w:after="120"/>
        <w:ind w:left="0" w:firstLine="0"/>
        <w:jc w:val="both"/>
        <w:rPr>
          <w:rFonts w:ascii="Calibri" w:hAnsi="Calibri" w:cs="Segoe UI"/>
          <w:color w:val="000000"/>
          <w:sz w:val="20"/>
          <w:szCs w:val="20"/>
        </w:rPr>
      </w:pPr>
      <w:r w:rsidRPr="00893DD1">
        <w:rPr>
          <w:rFonts w:ascii="Calibri" w:hAnsi="Calibri"/>
          <w:sz w:val="20"/>
          <w:szCs w:val="20"/>
        </w:rPr>
        <w:t xml:space="preserve">The SES require that all UNDP projects consider the potential environmental and social opportunities that a project may generate and ensure that adverse social and environmental risks and impacts are avoided, minimized, mitigated and managed. </w:t>
      </w:r>
      <w:r w:rsidRPr="00893DD1">
        <w:rPr>
          <w:rFonts w:ascii="Calibri" w:hAnsi="Calibri"/>
          <w:sz w:val="20"/>
          <w:szCs w:val="20"/>
          <w:lang w:val="en-CA"/>
        </w:rPr>
        <w:t>The overall objective of the ESMP is to assist in minimizing the impacts to the environment and the surrounding communities and reach a set of environmental and social objectives. The ESMP ensures that the environmental and social objectives of the projects are met through monitoring in order to avoid or mitigate adverse effects on the environment.</w:t>
      </w:r>
    </w:p>
    <w:p w14:paraId="16C91D5F" w14:textId="711296AE" w:rsidR="00302BFE" w:rsidRPr="00755BF9" w:rsidRDefault="00302BFE" w:rsidP="00C46720">
      <w:pPr>
        <w:pStyle w:val="Paragraphedeliste"/>
        <w:numPr>
          <w:ilvl w:val="0"/>
          <w:numId w:val="14"/>
        </w:numPr>
        <w:tabs>
          <w:tab w:val="left" w:pos="284"/>
        </w:tabs>
        <w:spacing w:before="120" w:after="120"/>
        <w:ind w:left="0" w:firstLine="0"/>
        <w:jc w:val="both"/>
        <w:rPr>
          <w:rFonts w:ascii="Calibri" w:hAnsi="Calibri" w:cs="Segoe UI"/>
          <w:color w:val="000000"/>
          <w:sz w:val="20"/>
          <w:szCs w:val="20"/>
        </w:rPr>
      </w:pPr>
      <w:r w:rsidRPr="00893DD1">
        <w:rPr>
          <w:rFonts w:ascii="Calibri" w:hAnsi="Calibri"/>
          <w:sz w:val="20"/>
          <w:szCs w:val="20"/>
        </w:rPr>
        <w:t>The ESMP will cover all activities to be implemented by the PONASI landscape project and likely to affect the social and environmental elements of the landscape, according to indications provided in the Project Document, including, but not limited to: formalizing the creation of a wildlife corridor, strengthening capacities for monitoring and surveillance in protected areas through training and equipment for eco-guards and rangers, building infrastructure for the Kaboré-Tambi National Park (PNKT) and observation platforms in PNKT, Sissili CF and Nazinga Game Ranch, maintenance of firebreaks and perimeter tracks, developing NTFP value chains, developing PA-related tourism, improving agro-silvo-pastoral systems including through sustainable land management practices, assisted natural regeneration, and agroforestry.</w:t>
      </w:r>
    </w:p>
    <w:p w14:paraId="712B8A4B" w14:textId="045EBBE2" w:rsidR="00773DC3" w:rsidRPr="00893DD1" w:rsidRDefault="00773DC3" w:rsidP="00755BF9">
      <w:pPr>
        <w:pStyle w:val="Paragraphedeliste"/>
        <w:tabs>
          <w:tab w:val="left" w:pos="284"/>
        </w:tabs>
        <w:spacing w:before="120" w:after="120"/>
        <w:ind w:left="0"/>
        <w:jc w:val="both"/>
        <w:rPr>
          <w:rFonts w:ascii="Calibri" w:hAnsi="Calibri" w:cs="Segoe UI"/>
          <w:color w:val="000000"/>
          <w:sz w:val="20"/>
          <w:szCs w:val="20"/>
        </w:rPr>
      </w:pPr>
      <w:r w:rsidRPr="003F4704">
        <w:rPr>
          <w:rFonts w:ascii="Calibri" w:hAnsi="Calibri"/>
          <w:color w:val="000000"/>
          <w:sz w:val="20"/>
          <w:szCs w:val="20"/>
          <w:highlight w:val="green"/>
        </w:rPr>
        <w:t xml:space="preserve">The ESMP will </w:t>
      </w:r>
      <w:r w:rsidR="005979FD" w:rsidRPr="003F4704">
        <w:rPr>
          <w:rFonts w:ascii="Calibri" w:hAnsi="Calibri"/>
          <w:color w:val="000000"/>
          <w:sz w:val="20"/>
          <w:szCs w:val="20"/>
          <w:highlight w:val="green"/>
        </w:rPr>
        <w:t>integrate</w:t>
      </w:r>
      <w:r w:rsidRPr="003F4704">
        <w:rPr>
          <w:rFonts w:ascii="Calibri" w:hAnsi="Calibri"/>
          <w:color w:val="000000"/>
          <w:sz w:val="20"/>
          <w:szCs w:val="20"/>
          <w:highlight w:val="green"/>
        </w:rPr>
        <w:t xml:space="preserve"> the other Management Plans identified in the SESP and listed above (point 306)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2231"/>
        <w:gridCol w:w="1761"/>
        <w:gridCol w:w="5508"/>
      </w:tblGrid>
      <w:tr w:rsidR="00302BFE" w:rsidRPr="006E490C" w14:paraId="7C7A641F" w14:textId="77777777" w:rsidTr="00755BF9">
        <w:trPr>
          <w:cantSplit/>
          <w:tblHeader/>
        </w:trPr>
        <w:tc>
          <w:tcPr>
            <w:tcW w:w="1290" w:type="dxa"/>
            <w:shd w:val="clear" w:color="auto" w:fill="auto"/>
          </w:tcPr>
          <w:p w14:paraId="3C789503" w14:textId="77777777" w:rsidR="00302BFE" w:rsidRPr="006E490C" w:rsidRDefault="00302BFE" w:rsidP="00243B15">
            <w:pPr>
              <w:rPr>
                <w:rFonts w:cs="Segoe UI"/>
                <w:b/>
                <w:color w:val="000000"/>
                <w:sz w:val="18"/>
                <w:szCs w:val="18"/>
              </w:rPr>
            </w:pPr>
            <w:r w:rsidRPr="006E490C">
              <w:rPr>
                <w:rFonts w:cs="Segoe UI"/>
                <w:b/>
                <w:color w:val="000000"/>
                <w:sz w:val="18"/>
                <w:szCs w:val="18"/>
              </w:rPr>
              <w:t>Type of risk</w:t>
            </w:r>
          </w:p>
        </w:tc>
        <w:tc>
          <w:tcPr>
            <w:tcW w:w="2231" w:type="dxa"/>
            <w:shd w:val="clear" w:color="auto" w:fill="auto"/>
          </w:tcPr>
          <w:p w14:paraId="78F96336" w14:textId="77777777" w:rsidR="00302BFE" w:rsidRPr="006E490C" w:rsidRDefault="00302BFE" w:rsidP="00243B15">
            <w:pPr>
              <w:rPr>
                <w:rFonts w:cs="Segoe UI"/>
                <w:b/>
                <w:color w:val="000000"/>
                <w:sz w:val="18"/>
                <w:szCs w:val="18"/>
                <w:lang w:val="en-CA"/>
              </w:rPr>
            </w:pPr>
            <w:r w:rsidRPr="006E490C">
              <w:rPr>
                <w:rFonts w:cs="Segoe UI"/>
                <w:b/>
                <w:color w:val="000000"/>
                <w:sz w:val="18"/>
                <w:szCs w:val="18"/>
                <w:lang w:val="en-CA"/>
              </w:rPr>
              <w:t>Risk</w:t>
            </w:r>
          </w:p>
        </w:tc>
        <w:tc>
          <w:tcPr>
            <w:tcW w:w="1761" w:type="dxa"/>
            <w:shd w:val="clear" w:color="auto" w:fill="auto"/>
          </w:tcPr>
          <w:p w14:paraId="126007A1" w14:textId="77777777" w:rsidR="00302BFE" w:rsidRPr="006E490C" w:rsidRDefault="00302BFE" w:rsidP="00243B15">
            <w:pPr>
              <w:rPr>
                <w:b/>
                <w:sz w:val="18"/>
                <w:szCs w:val="18"/>
              </w:rPr>
            </w:pPr>
            <w:r w:rsidRPr="006E490C">
              <w:rPr>
                <w:b/>
                <w:sz w:val="18"/>
                <w:szCs w:val="18"/>
              </w:rPr>
              <w:t>Risk level</w:t>
            </w:r>
          </w:p>
        </w:tc>
        <w:tc>
          <w:tcPr>
            <w:tcW w:w="5508" w:type="dxa"/>
            <w:shd w:val="clear" w:color="auto" w:fill="auto"/>
          </w:tcPr>
          <w:p w14:paraId="09116C74" w14:textId="77777777" w:rsidR="00302BFE" w:rsidRPr="006E490C" w:rsidRDefault="00302BFE" w:rsidP="00243B15">
            <w:pPr>
              <w:rPr>
                <w:b/>
                <w:sz w:val="18"/>
                <w:szCs w:val="18"/>
              </w:rPr>
            </w:pPr>
            <w:r w:rsidRPr="006E490C">
              <w:rPr>
                <w:b/>
                <w:sz w:val="18"/>
                <w:szCs w:val="18"/>
              </w:rPr>
              <w:t>Mitigation measures</w:t>
            </w:r>
          </w:p>
        </w:tc>
      </w:tr>
      <w:tr w:rsidR="00302BFE" w:rsidRPr="006E490C" w14:paraId="274F93A7" w14:textId="77777777" w:rsidTr="00755BF9">
        <w:tc>
          <w:tcPr>
            <w:tcW w:w="1290" w:type="dxa"/>
            <w:vMerge w:val="restart"/>
            <w:shd w:val="clear" w:color="auto" w:fill="auto"/>
          </w:tcPr>
          <w:p w14:paraId="7E5FEC20" w14:textId="77777777" w:rsidR="00302BFE" w:rsidRPr="006E490C" w:rsidRDefault="00302BFE" w:rsidP="00243B15">
            <w:pPr>
              <w:rPr>
                <w:sz w:val="18"/>
                <w:szCs w:val="18"/>
              </w:rPr>
            </w:pPr>
            <w:r w:rsidRPr="006E490C">
              <w:rPr>
                <w:rFonts w:cs="Segoe UI"/>
                <w:color w:val="000000"/>
                <w:sz w:val="18"/>
                <w:szCs w:val="18"/>
              </w:rPr>
              <w:t>National socio-political-economic context</w:t>
            </w:r>
          </w:p>
        </w:tc>
        <w:tc>
          <w:tcPr>
            <w:tcW w:w="2231" w:type="dxa"/>
            <w:shd w:val="clear" w:color="auto" w:fill="auto"/>
          </w:tcPr>
          <w:p w14:paraId="40F272FF" w14:textId="197A7336" w:rsidR="00302BFE" w:rsidRPr="006E490C" w:rsidRDefault="00302BFE" w:rsidP="00243B15">
            <w:pPr>
              <w:jc w:val="left"/>
              <w:rPr>
                <w:sz w:val="18"/>
                <w:szCs w:val="18"/>
              </w:rPr>
            </w:pPr>
            <w:r w:rsidRPr="006E490C">
              <w:rPr>
                <w:rFonts w:cs="Segoe UI"/>
                <w:color w:val="000000"/>
                <w:sz w:val="18"/>
                <w:szCs w:val="18"/>
                <w:lang w:val="en-CA"/>
              </w:rPr>
              <w:t xml:space="preserve">An unstable socio-economic </w:t>
            </w:r>
            <w:r w:rsidR="003A0ADA">
              <w:rPr>
                <w:rFonts w:cs="Segoe UI"/>
                <w:color w:val="000000"/>
                <w:sz w:val="18"/>
                <w:szCs w:val="18"/>
                <w:lang w:val="en-CA"/>
              </w:rPr>
              <w:t xml:space="preserve">context </w:t>
            </w:r>
            <w:r w:rsidRPr="006E490C">
              <w:rPr>
                <w:rFonts w:cs="Segoe UI"/>
                <w:color w:val="000000"/>
                <w:sz w:val="18"/>
                <w:szCs w:val="18"/>
                <w:lang w:val="en-CA"/>
              </w:rPr>
              <w:t xml:space="preserve">and increasing insecurity in the country could undermine the emergence of environmental </w:t>
            </w:r>
            <w:r>
              <w:rPr>
                <w:rFonts w:cs="Segoe UI"/>
                <w:color w:val="000000"/>
                <w:sz w:val="18"/>
                <w:szCs w:val="18"/>
                <w:lang w:val="en-CA"/>
              </w:rPr>
              <w:t>awareness</w:t>
            </w:r>
            <w:r w:rsidRPr="006E490C">
              <w:rPr>
                <w:rFonts w:cs="Segoe UI"/>
                <w:color w:val="000000"/>
                <w:sz w:val="18"/>
                <w:szCs w:val="18"/>
                <w:lang w:val="en-CA"/>
              </w:rPr>
              <w:t xml:space="preserve"> among the population who would not be </w:t>
            </w:r>
            <w:r w:rsidR="003A0ADA">
              <w:rPr>
                <w:rFonts w:cs="Segoe UI"/>
                <w:color w:val="000000"/>
                <w:sz w:val="18"/>
                <w:szCs w:val="18"/>
                <w:lang w:val="en-CA"/>
              </w:rPr>
              <w:t>willing</w:t>
            </w:r>
            <w:r w:rsidRPr="006E490C">
              <w:rPr>
                <w:rFonts w:cs="Segoe UI"/>
                <w:color w:val="000000"/>
                <w:sz w:val="18"/>
                <w:szCs w:val="18"/>
                <w:lang w:val="en-CA"/>
              </w:rPr>
              <w:t xml:space="preserve"> to change their unsustainable uses of natural resources and adhere to the requirements of the Integrated Landscape Management Framework</w:t>
            </w:r>
            <w:r>
              <w:rPr>
                <w:rFonts w:cs="Segoe UI"/>
                <w:color w:val="000000"/>
                <w:sz w:val="18"/>
                <w:szCs w:val="18"/>
                <w:lang w:val="en-CA"/>
              </w:rPr>
              <w:t>.</w:t>
            </w:r>
          </w:p>
        </w:tc>
        <w:tc>
          <w:tcPr>
            <w:tcW w:w="1761" w:type="dxa"/>
            <w:shd w:val="clear" w:color="auto" w:fill="auto"/>
          </w:tcPr>
          <w:p w14:paraId="303285B7" w14:textId="77777777" w:rsidR="00302BFE" w:rsidRPr="006E490C" w:rsidRDefault="00302BFE" w:rsidP="00243B15">
            <w:pPr>
              <w:rPr>
                <w:rFonts w:cs="Segoe UI"/>
                <w:color w:val="000000"/>
                <w:sz w:val="18"/>
                <w:szCs w:val="18"/>
                <w:lang w:val="en-CA"/>
              </w:rPr>
            </w:pPr>
            <w:r>
              <w:rPr>
                <w:rFonts w:eastAsia="Cambria"/>
                <w:sz w:val="18"/>
                <w:szCs w:val="18"/>
                <w:lang w:val="en-GB"/>
              </w:rPr>
              <w:t>High</w:t>
            </w:r>
          </w:p>
        </w:tc>
        <w:tc>
          <w:tcPr>
            <w:tcW w:w="5508" w:type="dxa"/>
            <w:shd w:val="clear" w:color="auto" w:fill="auto"/>
          </w:tcPr>
          <w:p w14:paraId="1D409899" w14:textId="77777777" w:rsidR="00302BFE" w:rsidRDefault="00302BFE" w:rsidP="00243B15">
            <w:pPr>
              <w:jc w:val="left"/>
              <w:rPr>
                <w:rFonts w:cs="Segoe UI"/>
                <w:color w:val="000000"/>
                <w:sz w:val="18"/>
                <w:szCs w:val="18"/>
                <w:lang w:val="en-CA"/>
              </w:rPr>
            </w:pPr>
            <w:r>
              <w:rPr>
                <w:rFonts w:cs="Segoe UI"/>
                <w:color w:val="000000"/>
                <w:sz w:val="18"/>
                <w:szCs w:val="18"/>
                <w:lang w:val="en-CA"/>
              </w:rPr>
              <w:t xml:space="preserve">This risk is rated as high despite the fact that the communes in the PONASI area have not been </w:t>
            </w:r>
            <w:r w:rsidRPr="00835A34">
              <w:rPr>
                <w:rFonts w:cs="Segoe UI"/>
                <w:color w:val="000000"/>
                <w:sz w:val="18"/>
                <w:szCs w:val="18"/>
                <w:lang w:val="en-CA"/>
              </w:rPr>
              <w:t>the scene of violent acts</w:t>
            </w:r>
            <w:r>
              <w:rPr>
                <w:rFonts w:cs="Segoe UI"/>
                <w:color w:val="000000"/>
                <w:sz w:val="18"/>
                <w:szCs w:val="18"/>
                <w:lang w:val="en-CA"/>
              </w:rPr>
              <w:t xml:space="preserve">, because of the increasingly worrying situation in other parts of the country, due to expanding terrorism and crime. </w:t>
            </w:r>
          </w:p>
          <w:p w14:paraId="522AD443" w14:textId="77777777" w:rsidR="00302BFE" w:rsidRDefault="00302BFE" w:rsidP="00243B15">
            <w:pPr>
              <w:jc w:val="left"/>
              <w:rPr>
                <w:sz w:val="18"/>
                <w:szCs w:val="18"/>
              </w:rPr>
            </w:pPr>
            <w:r w:rsidRPr="006E490C">
              <w:rPr>
                <w:rFonts w:cs="Segoe UI"/>
                <w:color w:val="000000"/>
                <w:sz w:val="18"/>
                <w:szCs w:val="18"/>
                <w:lang w:val="en-CA"/>
              </w:rPr>
              <w:t>The early stages of the participatory process to develop the PONASI Landscape Management Master Plan will involve a comprehensive campaign to raise awareness on</w:t>
            </w:r>
            <w:r w:rsidRPr="006E490C">
              <w:rPr>
                <w:sz w:val="18"/>
                <w:szCs w:val="18"/>
              </w:rPr>
              <w:t xml:space="preserve"> current environmental status and recent degradation trends, on related impacts on their quality of life and livelihoods, and on the urgency to halt this degradation. A project communication specialist will support communication and awareness activities throughout the project implementation to maintain alertness about the local and national benefits to be derived from tackling priority environmental issues. </w:t>
            </w:r>
          </w:p>
          <w:p w14:paraId="501DEE66" w14:textId="77777777" w:rsidR="00302BFE" w:rsidRPr="006E490C" w:rsidRDefault="00302BFE" w:rsidP="00243B15">
            <w:pPr>
              <w:jc w:val="left"/>
              <w:rPr>
                <w:sz w:val="18"/>
                <w:szCs w:val="18"/>
              </w:rPr>
            </w:pPr>
            <w:r>
              <w:rPr>
                <w:sz w:val="18"/>
                <w:szCs w:val="18"/>
              </w:rPr>
              <w:t>N</w:t>
            </w:r>
            <w:r w:rsidRPr="000B096C">
              <w:rPr>
                <w:sz w:val="18"/>
                <w:szCs w:val="18"/>
              </w:rPr>
              <w:t>onetheless, should the level of security worsen including in the PONASI area, the project will take measures so as not to increase stakeholders, staff or consultant's exposure to any danger of any kind.</w:t>
            </w:r>
          </w:p>
        </w:tc>
      </w:tr>
      <w:tr w:rsidR="00302BFE" w:rsidRPr="006E490C" w14:paraId="09542E8C" w14:textId="77777777" w:rsidTr="00755BF9">
        <w:tc>
          <w:tcPr>
            <w:tcW w:w="1290" w:type="dxa"/>
            <w:vMerge/>
            <w:shd w:val="clear" w:color="auto" w:fill="auto"/>
          </w:tcPr>
          <w:p w14:paraId="32E023EB" w14:textId="77777777" w:rsidR="00302BFE" w:rsidRPr="006E490C" w:rsidRDefault="00302BFE" w:rsidP="00243B15">
            <w:pPr>
              <w:rPr>
                <w:rFonts w:cs="Segoe UI"/>
                <w:color w:val="000000"/>
                <w:sz w:val="18"/>
                <w:szCs w:val="18"/>
                <w:lang w:val="en-CA"/>
              </w:rPr>
            </w:pPr>
          </w:p>
        </w:tc>
        <w:tc>
          <w:tcPr>
            <w:tcW w:w="2231" w:type="dxa"/>
            <w:shd w:val="clear" w:color="auto" w:fill="auto"/>
          </w:tcPr>
          <w:p w14:paraId="5BCEB554" w14:textId="13B52EA9" w:rsidR="00302BFE" w:rsidRPr="00A93827" w:rsidRDefault="00302BFE" w:rsidP="003A0ADA">
            <w:pPr>
              <w:spacing w:before="40" w:after="40"/>
              <w:jc w:val="left"/>
              <w:rPr>
                <w:rFonts w:eastAsia="Times New Roman" w:cs="Segoe UI"/>
                <w:color w:val="000000"/>
                <w:sz w:val="18"/>
                <w:szCs w:val="18"/>
                <w:lang w:val="en-CA"/>
              </w:rPr>
            </w:pPr>
            <w:r w:rsidRPr="00A93827">
              <w:rPr>
                <w:rFonts w:eastAsia="Times New Roman" w:cs="Segoe UI"/>
                <w:color w:val="000000"/>
                <w:sz w:val="18"/>
                <w:szCs w:val="18"/>
                <w:lang w:val="en-CA"/>
              </w:rPr>
              <w:t xml:space="preserve">An unstable socio-economic </w:t>
            </w:r>
            <w:r w:rsidR="003A0ADA">
              <w:rPr>
                <w:rFonts w:eastAsia="Times New Roman" w:cs="Segoe UI"/>
                <w:color w:val="000000"/>
                <w:sz w:val="18"/>
                <w:szCs w:val="18"/>
                <w:lang w:val="en-CA"/>
              </w:rPr>
              <w:t xml:space="preserve">context </w:t>
            </w:r>
            <w:r w:rsidRPr="00A93827">
              <w:rPr>
                <w:rFonts w:eastAsia="Times New Roman" w:cs="Segoe UI"/>
                <w:color w:val="000000"/>
                <w:sz w:val="18"/>
                <w:szCs w:val="18"/>
                <w:lang w:val="en-CA"/>
              </w:rPr>
              <w:t>and increasing insecurity in the country could reduce the attractiveness of PONASI sites for international tourists.</w:t>
            </w:r>
          </w:p>
          <w:p w14:paraId="240F31E2" w14:textId="77777777" w:rsidR="00302BFE" w:rsidRPr="00A93827" w:rsidRDefault="00302BFE" w:rsidP="00243B15">
            <w:pPr>
              <w:jc w:val="left"/>
              <w:rPr>
                <w:rFonts w:cs="Segoe UI"/>
                <w:color w:val="000000"/>
                <w:sz w:val="18"/>
                <w:szCs w:val="18"/>
                <w:lang w:val="en-CA"/>
              </w:rPr>
            </w:pPr>
            <w:r w:rsidRPr="00A93827">
              <w:rPr>
                <w:rFonts w:eastAsia="Times New Roman"/>
                <w:sz w:val="18"/>
                <w:szCs w:val="18"/>
                <w:lang w:val="en-CA"/>
              </w:rPr>
              <w:t xml:space="preserve">Should the government's efforts to counter terrorism be successful and the security climate restored, the PONASI area </w:t>
            </w:r>
            <w:r w:rsidRPr="00A93827">
              <w:rPr>
                <w:rFonts w:eastAsia="Times New Roman"/>
                <w:sz w:val="18"/>
                <w:szCs w:val="18"/>
              </w:rPr>
              <w:lastRenderedPageBreak/>
              <w:t>has a real potential for tourism;</w:t>
            </w:r>
            <w:r w:rsidRPr="00A93827">
              <w:rPr>
                <w:rFonts w:eastAsia="Times New Roman"/>
                <w:sz w:val="18"/>
                <w:szCs w:val="18"/>
                <w:lang w:val="en-CA"/>
              </w:rPr>
              <w:t xml:space="preserve"> it is accessible within 2-hour</w:t>
            </w:r>
            <w:r w:rsidRPr="00A93827">
              <w:rPr>
                <w:rFonts w:eastAsia="Times New Roman"/>
                <w:sz w:val="18"/>
                <w:szCs w:val="18"/>
              </w:rPr>
              <w:t xml:space="preserve"> drive from the capital city and, provided it is supported along a coherent strategy for the whole landscape that integrates cultural as well as natural assets, as proposed under output 3.4. However, w</w:t>
            </w:r>
            <w:r w:rsidRPr="00A93827">
              <w:rPr>
                <w:rFonts w:eastAsia="Times New Roman"/>
                <w:sz w:val="18"/>
                <w:szCs w:val="18"/>
                <w:lang w:val="en-CA"/>
              </w:rPr>
              <w:t>hile the PONASI area has not seen any incident and is considered as being safe, the security situation in some areas of the country and in the region is a cause for concern and is likely to deter foreign tourists to travel to Burkina Faso, which would in turn reduce benefits for local communities and incentives for conservation and sustainable management of resources.</w:t>
            </w:r>
          </w:p>
        </w:tc>
        <w:tc>
          <w:tcPr>
            <w:tcW w:w="1761" w:type="dxa"/>
            <w:shd w:val="clear" w:color="auto" w:fill="auto"/>
          </w:tcPr>
          <w:p w14:paraId="75F960D2" w14:textId="77777777" w:rsidR="00302BFE" w:rsidRPr="006E490C" w:rsidRDefault="00302BFE" w:rsidP="00243B15">
            <w:pPr>
              <w:rPr>
                <w:rFonts w:eastAsia="Times New Roman" w:cs="Calibri"/>
                <w:sz w:val="18"/>
                <w:szCs w:val="18"/>
                <w:lang w:val="en-CA"/>
              </w:rPr>
            </w:pPr>
            <w:r>
              <w:rPr>
                <w:rFonts w:eastAsia="Cambria"/>
                <w:sz w:val="18"/>
                <w:szCs w:val="18"/>
                <w:lang w:val="en-GB"/>
              </w:rPr>
              <w:lastRenderedPageBreak/>
              <w:t>High</w:t>
            </w:r>
          </w:p>
        </w:tc>
        <w:tc>
          <w:tcPr>
            <w:tcW w:w="5508" w:type="dxa"/>
            <w:shd w:val="clear" w:color="auto" w:fill="auto"/>
          </w:tcPr>
          <w:p w14:paraId="7B04618E" w14:textId="77777777" w:rsidR="00302BFE" w:rsidRPr="00A93827" w:rsidRDefault="00302BFE" w:rsidP="00243B15">
            <w:pPr>
              <w:pStyle w:val="Commentaire"/>
              <w:spacing w:before="40" w:after="40"/>
              <w:rPr>
                <w:sz w:val="18"/>
                <w:szCs w:val="18"/>
                <w:lang w:val="en-CA"/>
              </w:rPr>
            </w:pPr>
            <w:r w:rsidRPr="00A93827">
              <w:rPr>
                <w:rFonts w:eastAsia="Times New Roman"/>
                <w:sz w:val="18"/>
                <w:szCs w:val="18"/>
                <w:lang w:val="en-CA"/>
              </w:rPr>
              <w:t>Two measures were included in the project to mitigate the risk of increased insecurity:</w:t>
            </w:r>
          </w:p>
          <w:p w14:paraId="721F7BCB" w14:textId="77777777" w:rsidR="00302BFE" w:rsidRPr="00A93827" w:rsidRDefault="00302BFE" w:rsidP="00243B15">
            <w:pPr>
              <w:spacing w:before="40" w:after="40"/>
              <w:rPr>
                <w:rFonts w:eastAsia="Times New Roman"/>
                <w:sz w:val="18"/>
                <w:szCs w:val="18"/>
                <w:lang w:val="en-CA"/>
              </w:rPr>
            </w:pPr>
            <w:r w:rsidRPr="00A93827">
              <w:rPr>
                <w:sz w:val="18"/>
                <w:szCs w:val="18"/>
                <w:lang w:val="en-CA"/>
              </w:rPr>
              <w:t xml:space="preserve">- </w:t>
            </w:r>
            <w:r w:rsidRPr="00A93827">
              <w:rPr>
                <w:rFonts w:eastAsia="Times New Roman"/>
                <w:sz w:val="18"/>
                <w:szCs w:val="18"/>
                <w:lang w:val="en-CA"/>
              </w:rPr>
              <w:t xml:space="preserve">Given the risk of lower attractiveness of Burkina Faso to foreign tourists, the </w:t>
            </w:r>
            <w:r w:rsidRPr="00A93827">
              <w:rPr>
                <w:sz w:val="18"/>
                <w:szCs w:val="18"/>
                <w:lang w:val="en-CA"/>
              </w:rPr>
              <w:t>project (</w:t>
            </w:r>
            <w:r w:rsidRPr="00A93827">
              <w:rPr>
                <w:rFonts w:eastAsia="Times New Roman"/>
                <w:sz w:val="18"/>
                <w:szCs w:val="18"/>
                <w:lang w:val="en-CA"/>
              </w:rPr>
              <w:t>output 3.4</w:t>
            </w:r>
            <w:r w:rsidRPr="00A93827">
              <w:rPr>
                <w:sz w:val="18"/>
                <w:szCs w:val="18"/>
                <w:lang w:val="en-CA"/>
              </w:rPr>
              <w:t xml:space="preserve"> </w:t>
            </w:r>
            <w:r w:rsidRPr="00A93827">
              <w:rPr>
                <w:rFonts w:eastAsia="Times New Roman"/>
                <w:sz w:val="18"/>
                <w:szCs w:val="18"/>
                <w:lang w:val="en-CA"/>
              </w:rPr>
              <w:t>on tourism</w:t>
            </w:r>
            <w:r w:rsidRPr="00A93827">
              <w:rPr>
                <w:sz w:val="18"/>
                <w:szCs w:val="18"/>
                <w:lang w:val="en-CA"/>
              </w:rPr>
              <w:t>) will initially</w:t>
            </w:r>
            <w:r w:rsidRPr="00A93827">
              <w:rPr>
                <w:rFonts w:eastAsia="Times New Roman"/>
                <w:sz w:val="18"/>
                <w:szCs w:val="18"/>
                <w:lang w:val="en-CA"/>
              </w:rPr>
              <w:t xml:space="preserve"> focus on tourism products targeting tourists who already visit Burkina Faso rather than attracting new categories of tourists</w:t>
            </w:r>
            <w:r w:rsidRPr="00A93827">
              <w:rPr>
                <w:sz w:val="18"/>
                <w:szCs w:val="18"/>
                <w:lang w:val="en-CA"/>
              </w:rPr>
              <w:t xml:space="preserve"> from outside, including expatriates, and business travelers from Ouagadougou and existing visitors (e.g. hunters and their entourage; people staying for elephant viewing). </w:t>
            </w:r>
            <w:r w:rsidRPr="00A93827">
              <w:rPr>
                <w:rFonts w:eastAsia="Times New Roman"/>
                <w:sz w:val="18"/>
                <w:szCs w:val="18"/>
                <w:lang w:val="en-CA"/>
              </w:rPr>
              <w:t xml:space="preserve">A series of interventions will take place to improve tourism attractions and products in the area, both by improving visitor facilities at existing attractions and improving the capacity of local people to provide tourism products and services. Support will be provided to develop small business plans where </w:t>
            </w:r>
            <w:r w:rsidRPr="00A93827">
              <w:rPr>
                <w:rFonts w:eastAsia="Times New Roman"/>
                <w:sz w:val="18"/>
                <w:szCs w:val="18"/>
                <w:lang w:val="en-CA"/>
              </w:rPr>
              <w:lastRenderedPageBreak/>
              <w:t>products exist but require improvement/promotion (e.g. training for the entrepreneur to develop them). Categories for support may include direct tourism entities (e.g. homestay, tour guide, attractions, café, etc.) and indirect tourism businesses (e.g. poultry farm; organic vegetable garden, transport/transfers, juice manufacturers)</w:t>
            </w:r>
          </w:p>
          <w:p w14:paraId="3CDD1AA6" w14:textId="77777777" w:rsidR="00302BFE" w:rsidRPr="00A93827" w:rsidRDefault="00302BFE" w:rsidP="00243B15">
            <w:pPr>
              <w:pStyle w:val="Paragraphedeliste"/>
              <w:tabs>
                <w:tab w:val="left" w:pos="284"/>
              </w:tabs>
              <w:spacing w:before="40" w:after="40"/>
              <w:ind w:left="0"/>
              <w:rPr>
                <w:rFonts w:ascii="Calibri" w:eastAsia="Times New Roman" w:hAnsi="Calibri"/>
                <w:sz w:val="18"/>
                <w:szCs w:val="18"/>
                <w:lang w:val="en-CA"/>
              </w:rPr>
            </w:pPr>
            <w:r w:rsidRPr="00A93827">
              <w:rPr>
                <w:rFonts w:ascii="Calibri" w:eastAsia="Times New Roman" w:hAnsi="Calibri"/>
                <w:sz w:val="18"/>
                <w:szCs w:val="18"/>
                <w:lang w:val="en-CA"/>
              </w:rPr>
              <w:t xml:space="preserve">- A new livelihood output has been included and supported by the </w:t>
            </w:r>
            <w:r w:rsidRPr="00A93827">
              <w:rPr>
                <w:rFonts w:ascii="Calibri" w:eastAsia="Times New Roman" w:hAnsi="Calibri" w:cs="Calibri"/>
                <w:sz w:val="18"/>
                <w:szCs w:val="18"/>
                <w:lang w:val="en-CA"/>
              </w:rPr>
              <w:t xml:space="preserve">Project Result Framework </w:t>
            </w:r>
            <w:r w:rsidRPr="00A93827">
              <w:rPr>
                <w:rFonts w:ascii="Calibri" w:eastAsia="Times New Roman" w:hAnsi="Calibri"/>
                <w:sz w:val="18"/>
                <w:szCs w:val="18"/>
                <w:lang w:val="en-CA"/>
              </w:rPr>
              <w:t xml:space="preserve">validation workshop. This output aims at developing three promising value chains based on the sustainable use of NTFP, targeting mainly women as beneficiaries, and putting in place the conditions for sustainability: Output 3.3 </w:t>
            </w:r>
            <w:r w:rsidRPr="00A93827">
              <w:rPr>
                <w:rFonts w:ascii="Calibri" w:eastAsia="Times New Roman" w:hAnsi="Calibri"/>
                <w:sz w:val="18"/>
                <w:szCs w:val="18"/>
                <w:lang w:val="en-GB"/>
              </w:rPr>
              <w:t xml:space="preserve">Sustainable local forest products processing enterprises are established, providing livelihoods and generating sustained income, especially for women and vulnerable people. </w:t>
            </w:r>
            <w:r w:rsidRPr="00A93827">
              <w:rPr>
                <w:rFonts w:ascii="Calibri" w:eastAsia="Times New Roman" w:hAnsi="Calibri"/>
                <w:sz w:val="18"/>
                <w:szCs w:val="18"/>
                <w:lang w:val="en-CA"/>
              </w:rPr>
              <w:t>This addition allows to have a more diversified strategy for the development of sustainable livelihoods linked to PAs and to the sustainable use of forest products.</w:t>
            </w:r>
          </w:p>
        </w:tc>
      </w:tr>
      <w:tr w:rsidR="00302BFE" w:rsidRPr="006E490C" w14:paraId="4A06BD14" w14:textId="77777777" w:rsidTr="00755BF9">
        <w:tc>
          <w:tcPr>
            <w:tcW w:w="1290" w:type="dxa"/>
            <w:vMerge w:val="restart"/>
            <w:shd w:val="clear" w:color="auto" w:fill="auto"/>
          </w:tcPr>
          <w:p w14:paraId="7D8A54F9" w14:textId="77777777" w:rsidR="00302BFE" w:rsidRPr="006E490C" w:rsidRDefault="00302BFE" w:rsidP="00243B15">
            <w:pPr>
              <w:rPr>
                <w:sz w:val="18"/>
                <w:szCs w:val="18"/>
              </w:rPr>
            </w:pPr>
            <w:r w:rsidRPr="006E490C">
              <w:rPr>
                <w:rFonts w:cs="Segoe UI"/>
                <w:color w:val="000000"/>
                <w:sz w:val="18"/>
                <w:szCs w:val="18"/>
              </w:rPr>
              <w:lastRenderedPageBreak/>
              <w:t>Stakeholders involvement</w:t>
            </w:r>
          </w:p>
        </w:tc>
        <w:tc>
          <w:tcPr>
            <w:tcW w:w="2231" w:type="dxa"/>
            <w:shd w:val="clear" w:color="auto" w:fill="auto"/>
          </w:tcPr>
          <w:p w14:paraId="3EEAC36D" w14:textId="77777777" w:rsidR="00302BFE" w:rsidRPr="006E490C" w:rsidRDefault="00302BFE" w:rsidP="00243B15">
            <w:pPr>
              <w:jc w:val="left"/>
              <w:rPr>
                <w:sz w:val="18"/>
                <w:szCs w:val="18"/>
              </w:rPr>
            </w:pPr>
            <w:r w:rsidRPr="006E490C">
              <w:rPr>
                <w:rFonts w:cs="Segoe UI"/>
                <w:color w:val="000000"/>
                <w:sz w:val="18"/>
                <w:szCs w:val="18"/>
                <w:lang w:val="en-CA"/>
              </w:rPr>
              <w:t>Lack of local stakeholders buy-in or adherence to biodiversity conservation and sustainable natural resource and land management measures identified in the integrated landscape management master plan would seriously limit the project impacts.</w:t>
            </w:r>
          </w:p>
        </w:tc>
        <w:tc>
          <w:tcPr>
            <w:tcW w:w="1761" w:type="dxa"/>
            <w:shd w:val="clear" w:color="auto" w:fill="auto"/>
          </w:tcPr>
          <w:p w14:paraId="4F5806E3" w14:textId="77777777" w:rsidR="00302BFE" w:rsidRPr="006E490C" w:rsidRDefault="00302BFE" w:rsidP="00243B15">
            <w:pPr>
              <w:rPr>
                <w:rFonts w:cs="Segoe UI"/>
                <w:color w:val="000000"/>
                <w:sz w:val="18"/>
                <w:szCs w:val="18"/>
                <w:lang w:val="en-CA"/>
              </w:rPr>
            </w:pPr>
            <w:r w:rsidRPr="006E490C">
              <w:rPr>
                <w:rFonts w:cs="Segoe UI"/>
                <w:color w:val="000000"/>
                <w:sz w:val="18"/>
                <w:szCs w:val="18"/>
                <w:lang w:val="en-CA"/>
              </w:rPr>
              <w:t>Low</w:t>
            </w:r>
          </w:p>
        </w:tc>
        <w:tc>
          <w:tcPr>
            <w:tcW w:w="5508" w:type="dxa"/>
            <w:shd w:val="clear" w:color="auto" w:fill="auto"/>
          </w:tcPr>
          <w:p w14:paraId="7F0D0794" w14:textId="77777777" w:rsidR="00302BFE" w:rsidRPr="006E490C" w:rsidRDefault="00302BFE" w:rsidP="00243B15">
            <w:pPr>
              <w:jc w:val="left"/>
              <w:rPr>
                <w:sz w:val="18"/>
                <w:szCs w:val="18"/>
              </w:rPr>
            </w:pPr>
            <w:r w:rsidRPr="006E490C">
              <w:rPr>
                <w:rFonts w:cs="Segoe UI"/>
                <w:color w:val="000000"/>
                <w:sz w:val="18"/>
                <w:szCs w:val="18"/>
                <w:lang w:val="en-CA"/>
              </w:rPr>
              <w:t>The early stages of the participatory process to develop the PONASI Landscape Management Master Plan will involve a comprehensive campaign to raise awareness on</w:t>
            </w:r>
            <w:r w:rsidRPr="006E490C">
              <w:rPr>
                <w:sz w:val="18"/>
                <w:szCs w:val="18"/>
              </w:rPr>
              <w:t xml:space="preserve"> current environmental status and recent degradation trends, on related impacts on their quality of life and livelihoods, and on the urgency to halt this degradation. </w:t>
            </w:r>
          </w:p>
          <w:p w14:paraId="31E8C628" w14:textId="77777777" w:rsidR="00302BFE" w:rsidRPr="006E490C" w:rsidRDefault="00302BFE" w:rsidP="00243B15">
            <w:pPr>
              <w:jc w:val="left"/>
              <w:rPr>
                <w:sz w:val="18"/>
                <w:szCs w:val="18"/>
              </w:rPr>
            </w:pPr>
            <w:r w:rsidRPr="006E490C">
              <w:rPr>
                <w:sz w:val="18"/>
                <w:szCs w:val="18"/>
              </w:rPr>
              <w:t>A project communication specialist will support communication and awareness activities throughout the project implementation to maintain alertness about the local and national benefits to be derived from tackling priority environmental issues.</w:t>
            </w:r>
          </w:p>
        </w:tc>
      </w:tr>
      <w:tr w:rsidR="00302BFE" w:rsidRPr="006E490C" w14:paraId="15620C0A" w14:textId="77777777" w:rsidTr="00755BF9">
        <w:tc>
          <w:tcPr>
            <w:tcW w:w="1290" w:type="dxa"/>
            <w:vMerge/>
            <w:shd w:val="clear" w:color="auto" w:fill="auto"/>
          </w:tcPr>
          <w:p w14:paraId="7F908C37" w14:textId="77777777" w:rsidR="00302BFE" w:rsidRPr="006E490C" w:rsidRDefault="00302BFE" w:rsidP="00243B15">
            <w:pPr>
              <w:rPr>
                <w:sz w:val="18"/>
                <w:szCs w:val="18"/>
              </w:rPr>
            </w:pPr>
          </w:p>
        </w:tc>
        <w:tc>
          <w:tcPr>
            <w:tcW w:w="2231" w:type="dxa"/>
            <w:shd w:val="clear" w:color="auto" w:fill="auto"/>
          </w:tcPr>
          <w:p w14:paraId="67602605" w14:textId="77777777" w:rsidR="00302BFE" w:rsidRPr="006E490C" w:rsidRDefault="00302BFE" w:rsidP="00243B15">
            <w:pPr>
              <w:jc w:val="left"/>
              <w:rPr>
                <w:sz w:val="18"/>
                <w:szCs w:val="18"/>
              </w:rPr>
            </w:pPr>
            <w:r w:rsidRPr="006E490C">
              <w:rPr>
                <w:rFonts w:cs="Segoe UI"/>
                <w:color w:val="000000"/>
                <w:sz w:val="18"/>
                <w:szCs w:val="18"/>
                <w:lang w:val="en-CA"/>
              </w:rPr>
              <w:t>Land-use conflicts related to the occupation of corridor # 2 and the use of its resources could also create obstacles to its gazettement and protection</w:t>
            </w:r>
          </w:p>
        </w:tc>
        <w:tc>
          <w:tcPr>
            <w:tcW w:w="1761" w:type="dxa"/>
            <w:shd w:val="clear" w:color="auto" w:fill="auto"/>
          </w:tcPr>
          <w:p w14:paraId="6E9F7A63" w14:textId="77777777" w:rsidR="00302BFE" w:rsidRPr="006E490C" w:rsidRDefault="00302BFE" w:rsidP="00243B15">
            <w:pPr>
              <w:rPr>
                <w:sz w:val="18"/>
                <w:szCs w:val="18"/>
                <w:lang w:val="en-GB"/>
              </w:rPr>
            </w:pPr>
            <w:r w:rsidRPr="00A93827">
              <w:rPr>
                <w:sz w:val="18"/>
                <w:szCs w:val="18"/>
                <w:lang w:val="en-GB"/>
              </w:rPr>
              <w:t>Medium</w:t>
            </w:r>
          </w:p>
        </w:tc>
        <w:tc>
          <w:tcPr>
            <w:tcW w:w="5508" w:type="dxa"/>
            <w:shd w:val="clear" w:color="auto" w:fill="auto"/>
          </w:tcPr>
          <w:p w14:paraId="7727095E" w14:textId="77777777" w:rsidR="00302BFE" w:rsidRDefault="00302BFE" w:rsidP="00243B15">
            <w:pPr>
              <w:jc w:val="left"/>
              <w:rPr>
                <w:sz w:val="18"/>
                <w:szCs w:val="18"/>
                <w:lang w:val="en-GB"/>
              </w:rPr>
            </w:pPr>
            <w:r w:rsidRPr="006E490C">
              <w:rPr>
                <w:sz w:val="18"/>
                <w:szCs w:val="18"/>
                <w:lang w:val="en-GB"/>
              </w:rPr>
              <w:t>To restore movement of elephants within the PONASI Protected Area Complex and between the complex and adjacent areas, particularly those in northern Ghana, the PAGEN project delineat</w:t>
            </w:r>
            <w:r>
              <w:rPr>
                <w:sz w:val="18"/>
                <w:szCs w:val="18"/>
                <w:lang w:val="en-GB"/>
              </w:rPr>
              <w:t>ed</w:t>
            </w:r>
            <w:r w:rsidRPr="006E490C">
              <w:rPr>
                <w:sz w:val="18"/>
                <w:szCs w:val="18"/>
                <w:lang w:val="en-GB"/>
              </w:rPr>
              <w:t xml:space="preserve"> two corridors: corridor no. 1, linking the </w:t>
            </w:r>
            <w:r w:rsidRPr="006E490C">
              <w:rPr>
                <w:sz w:val="18"/>
                <w:szCs w:val="18"/>
                <w:lang w:val="en-CA"/>
              </w:rPr>
              <w:t>PNKT</w:t>
            </w:r>
            <w:r w:rsidRPr="006E490C">
              <w:rPr>
                <w:sz w:val="18"/>
                <w:szCs w:val="18"/>
                <w:lang w:val="en-GB"/>
              </w:rPr>
              <w:t xml:space="preserve"> to the Nazinga Game Ranch, covering an area of 4,500 ha, and Corridor No. 2, connecting the south-east of the </w:t>
            </w:r>
            <w:r w:rsidRPr="006E490C">
              <w:rPr>
                <w:sz w:val="18"/>
                <w:szCs w:val="18"/>
                <w:lang w:val="en-CA"/>
              </w:rPr>
              <w:t>PNKT</w:t>
            </w:r>
            <w:r w:rsidRPr="006E490C">
              <w:rPr>
                <w:sz w:val="18"/>
                <w:szCs w:val="18"/>
                <w:lang w:val="en-GB"/>
              </w:rPr>
              <w:t xml:space="preserve"> to northern Ghana, covering an area of 33,000 ha. </w:t>
            </w:r>
            <w:r w:rsidRPr="006E490C">
              <w:rPr>
                <w:sz w:val="18"/>
                <w:szCs w:val="18"/>
                <w:lang w:val="en-CA"/>
              </w:rPr>
              <w:t xml:space="preserve">The delineation and physical delimitation of the </w:t>
            </w:r>
            <w:r>
              <w:rPr>
                <w:sz w:val="18"/>
                <w:szCs w:val="18"/>
                <w:lang w:val="en-CA"/>
              </w:rPr>
              <w:t>two</w:t>
            </w:r>
            <w:r w:rsidRPr="006E490C">
              <w:rPr>
                <w:sz w:val="18"/>
                <w:szCs w:val="18"/>
                <w:lang w:val="en-CA"/>
              </w:rPr>
              <w:t xml:space="preserve"> corridor</w:t>
            </w:r>
            <w:r>
              <w:rPr>
                <w:sz w:val="18"/>
                <w:szCs w:val="18"/>
                <w:lang w:val="en-CA"/>
              </w:rPr>
              <w:t>s</w:t>
            </w:r>
            <w:r w:rsidRPr="006E490C">
              <w:rPr>
                <w:sz w:val="18"/>
                <w:szCs w:val="18"/>
                <w:lang w:val="en-CA"/>
              </w:rPr>
              <w:t xml:space="preserve"> was done through negotiations with the local communities and involving administrative officials, mayors, and traditional leaders. Local communities agreed to leave the areas voluntarily. </w:t>
            </w:r>
            <w:r w:rsidRPr="006E490C">
              <w:rPr>
                <w:sz w:val="18"/>
                <w:szCs w:val="18"/>
              </w:rPr>
              <w:t xml:space="preserve">The draft statutes were drawn up and submitted to the competent authority for adoption. </w:t>
            </w:r>
            <w:r w:rsidRPr="006E490C">
              <w:rPr>
                <w:sz w:val="18"/>
                <w:szCs w:val="18"/>
                <w:lang w:val="en-CA"/>
              </w:rPr>
              <w:t xml:space="preserve">However, </w:t>
            </w:r>
            <w:r w:rsidRPr="006E490C">
              <w:rPr>
                <w:sz w:val="18"/>
                <w:szCs w:val="18"/>
                <w:lang w:val="en-GB"/>
              </w:rPr>
              <w:t>the texts formalizing the creation of the corridors</w:t>
            </w:r>
            <w:r>
              <w:rPr>
                <w:sz w:val="18"/>
                <w:szCs w:val="18"/>
                <w:lang w:val="en-GB"/>
              </w:rPr>
              <w:t xml:space="preserve"> have never been adopted</w:t>
            </w:r>
            <w:r w:rsidRPr="006E490C">
              <w:rPr>
                <w:sz w:val="18"/>
                <w:szCs w:val="18"/>
                <w:lang w:val="en-GB"/>
              </w:rPr>
              <w:t xml:space="preserve">, leaving the adjacent communities in an ambiguous situation </w:t>
            </w:r>
            <w:r>
              <w:rPr>
                <w:sz w:val="18"/>
                <w:szCs w:val="18"/>
                <w:lang w:val="en-GB"/>
              </w:rPr>
              <w:t xml:space="preserve">regarding land and resource use in these areas </w:t>
            </w:r>
            <w:r w:rsidRPr="006E490C">
              <w:rPr>
                <w:sz w:val="18"/>
                <w:szCs w:val="18"/>
                <w:lang w:val="en-GB"/>
              </w:rPr>
              <w:t xml:space="preserve">which is now threatening the </w:t>
            </w:r>
            <w:r>
              <w:rPr>
                <w:sz w:val="18"/>
                <w:szCs w:val="18"/>
                <w:lang w:val="en-GB"/>
              </w:rPr>
              <w:t>ecological integrity</w:t>
            </w:r>
            <w:r w:rsidRPr="006E490C">
              <w:rPr>
                <w:sz w:val="18"/>
                <w:szCs w:val="18"/>
                <w:lang w:val="en-GB"/>
              </w:rPr>
              <w:t xml:space="preserve"> of the corridor</w:t>
            </w:r>
            <w:r>
              <w:rPr>
                <w:sz w:val="18"/>
                <w:szCs w:val="18"/>
                <w:lang w:val="en-GB"/>
              </w:rPr>
              <w:t>s</w:t>
            </w:r>
            <w:r w:rsidRPr="006E490C">
              <w:rPr>
                <w:sz w:val="18"/>
                <w:szCs w:val="18"/>
                <w:lang w:val="en-GB"/>
              </w:rPr>
              <w:t xml:space="preserve">. </w:t>
            </w:r>
          </w:p>
          <w:p w14:paraId="2F9F6072" w14:textId="72D7BDF8" w:rsidR="00302BFE" w:rsidRPr="00A93827" w:rsidRDefault="00302BFE" w:rsidP="00243B15">
            <w:pPr>
              <w:jc w:val="left"/>
              <w:rPr>
                <w:sz w:val="18"/>
                <w:szCs w:val="18"/>
                <w:lang w:val="en-GB"/>
              </w:rPr>
            </w:pPr>
            <w:r w:rsidRPr="00A93827">
              <w:rPr>
                <w:sz w:val="18"/>
                <w:szCs w:val="18"/>
                <w:lang w:val="en-GB"/>
              </w:rPr>
              <w:t>After the decision to establish the two biological corridors within the PONASI, 2,697 people were resettled from within to outside the borders of the Kaboré-Tambi NP-Nazinga GR corridor. A Mitigation Plan identified 2,697 people affected by the creation of the corridors and proposed compensation measures. However, because the risk of involuntary resettlement was not adequately assessed during project design, the project resources were not sufficient to be reallocated to cover the proposed mitigation measures.</w:t>
            </w:r>
            <w:r w:rsidRPr="00A93827">
              <w:rPr>
                <w:sz w:val="18"/>
                <w:szCs w:val="18"/>
                <w:lang w:val="en-CA"/>
              </w:rPr>
              <w:t xml:space="preserve"> New land was provided, CFA</w:t>
            </w:r>
            <w:r w:rsidR="005E13EB">
              <w:rPr>
                <w:sz w:val="18"/>
                <w:szCs w:val="18"/>
                <w:lang w:val="en-CA"/>
              </w:rPr>
              <w:t xml:space="preserve"> </w:t>
            </w:r>
            <w:r w:rsidR="005E13EB">
              <w:rPr>
                <w:sz w:val="18"/>
                <w:szCs w:val="18"/>
                <w:lang w:val="en-CA"/>
              </w:rPr>
              <w:lastRenderedPageBreak/>
              <w:t>francs</w:t>
            </w:r>
            <w:r w:rsidRPr="00A93827">
              <w:rPr>
                <w:sz w:val="18"/>
                <w:szCs w:val="18"/>
                <w:lang w:val="en-CA"/>
              </w:rPr>
              <w:t xml:space="preserve"> 46,000,000</w:t>
            </w:r>
            <w:r w:rsidRPr="00A93827">
              <w:rPr>
                <w:rStyle w:val="Appelnotedebasdep"/>
                <w:szCs w:val="18"/>
              </w:rPr>
              <w:footnoteReference w:id="66"/>
            </w:r>
            <w:r w:rsidRPr="00A93827">
              <w:rPr>
                <w:sz w:val="18"/>
                <w:szCs w:val="18"/>
                <w:lang w:val="en-CA"/>
              </w:rPr>
              <w:t xml:space="preserve"> was paid to 1,764 people</w:t>
            </w:r>
            <w:r w:rsidRPr="00A93827">
              <w:rPr>
                <w:sz w:val="18"/>
                <w:szCs w:val="18"/>
                <w:lang w:val="en-GB"/>
              </w:rPr>
              <w:t xml:space="preserve"> </w:t>
            </w:r>
            <w:r w:rsidRPr="00A93827">
              <w:rPr>
                <w:sz w:val="18"/>
                <w:szCs w:val="18"/>
                <w:lang w:val="en-CA"/>
              </w:rPr>
              <w:t xml:space="preserve">(65% </w:t>
            </w:r>
            <w:r w:rsidRPr="00A93827">
              <w:rPr>
                <w:sz w:val="18"/>
                <w:szCs w:val="18"/>
                <w:lang w:val="en-GB"/>
              </w:rPr>
              <w:t xml:space="preserve">of the 2,697 occupants) </w:t>
            </w:r>
            <w:r w:rsidRPr="00A93827">
              <w:rPr>
                <w:sz w:val="18"/>
                <w:szCs w:val="18"/>
                <w:lang w:val="en-CA"/>
              </w:rPr>
              <w:t>for their resettlement, and 5 boreholes were drilled in the reception areas for a total value of about CFA</w:t>
            </w:r>
            <w:r w:rsidR="005E13EB">
              <w:rPr>
                <w:sz w:val="18"/>
                <w:szCs w:val="18"/>
                <w:lang w:val="en-CA"/>
              </w:rPr>
              <w:t xml:space="preserve"> francs</w:t>
            </w:r>
            <w:r w:rsidRPr="00A93827">
              <w:rPr>
                <w:sz w:val="18"/>
                <w:szCs w:val="18"/>
                <w:lang w:val="en-CA"/>
              </w:rPr>
              <w:t xml:space="preserve"> 30 million (about US$</w:t>
            </w:r>
            <w:r w:rsidRPr="00A93827">
              <w:t> </w:t>
            </w:r>
            <w:r w:rsidRPr="00A93827">
              <w:rPr>
                <w:sz w:val="18"/>
                <w:szCs w:val="18"/>
                <w:lang w:val="en-CA"/>
              </w:rPr>
              <w:t xml:space="preserve">65,000) as a form of compensation, and new land was allocated to the 770 producers who illegally occupied the banks of the river. The decision to support micro-projects (US$ 325,000) through the project was also taken to provide an additional form of compensation to local communities. Overall, the total compensation provided to displaced communities is significantly lower than that suggested in the Mitigation Plan (CFA </w:t>
            </w:r>
            <w:r w:rsidR="005E13EB">
              <w:rPr>
                <w:sz w:val="18"/>
                <w:szCs w:val="18"/>
                <w:lang w:val="en-CA"/>
              </w:rPr>
              <w:t xml:space="preserve">francs </w:t>
            </w:r>
            <w:r w:rsidRPr="00A93827">
              <w:rPr>
                <w:sz w:val="18"/>
                <w:szCs w:val="18"/>
                <w:lang w:val="en-CA"/>
              </w:rPr>
              <w:t>245,740,000). The fact that no formal complaints were received on how the resettlement was handled, suggests that undertaken measures and compensation provided were satisfactory</w:t>
            </w:r>
            <w:r w:rsidRPr="00A93827">
              <w:rPr>
                <w:rStyle w:val="Appelnotedebasdep"/>
                <w:szCs w:val="18"/>
                <w:lang w:val="en-CA"/>
              </w:rPr>
              <w:footnoteReference w:id="67"/>
            </w:r>
            <w:r w:rsidRPr="00A93827">
              <w:rPr>
                <w:sz w:val="18"/>
                <w:szCs w:val="18"/>
                <w:lang w:val="en-CA"/>
              </w:rPr>
              <w:t xml:space="preserve">. </w:t>
            </w:r>
            <w:r w:rsidRPr="00A93827">
              <w:rPr>
                <w:bCs/>
                <w:sz w:val="18"/>
                <w:szCs w:val="18"/>
                <w:lang w:val="en-CA"/>
              </w:rPr>
              <w:t>However, among the major difficulties that affected the implementation of the PAGEN project</w:t>
            </w:r>
            <w:r w:rsidRPr="00A93827">
              <w:rPr>
                <w:rStyle w:val="Appelnotedebasdep"/>
                <w:bCs/>
                <w:szCs w:val="18"/>
                <w:lang w:val="fr-CA"/>
              </w:rPr>
              <w:footnoteReference w:id="68"/>
            </w:r>
            <w:r w:rsidRPr="00A93827">
              <w:rPr>
                <w:bCs/>
                <w:sz w:val="18"/>
                <w:szCs w:val="18"/>
                <w:lang w:val="en-CA"/>
              </w:rPr>
              <w:t>, the final evaluation report by the Government emphasizes that the support measures for those affected by the creation of corridors were not up to their expectations.</w:t>
            </w:r>
          </w:p>
          <w:p w14:paraId="1043D4A7" w14:textId="77777777" w:rsidR="00302BFE" w:rsidRPr="006E490C" w:rsidRDefault="00302BFE" w:rsidP="00243B15">
            <w:pPr>
              <w:jc w:val="left"/>
              <w:rPr>
                <w:sz w:val="18"/>
                <w:szCs w:val="18"/>
                <w:lang w:val="en-GB"/>
              </w:rPr>
            </w:pPr>
            <w:r w:rsidRPr="006E490C">
              <w:rPr>
                <w:sz w:val="18"/>
                <w:szCs w:val="18"/>
                <w:lang w:val="en-GB"/>
              </w:rPr>
              <w:t>The project will resume the process, building on past achievements and working closely with the NGO Natudev who is pursuing parallel objectives in Corridor #1, and will follow the steps described under the Output 2.2.1:</w:t>
            </w:r>
          </w:p>
          <w:p w14:paraId="1541B8FA" w14:textId="77777777" w:rsidR="00302BFE" w:rsidRPr="006E490C" w:rsidRDefault="00302BFE" w:rsidP="00243B15">
            <w:pPr>
              <w:spacing w:before="60"/>
              <w:jc w:val="left"/>
              <w:rPr>
                <w:sz w:val="18"/>
                <w:szCs w:val="18"/>
                <w:lang w:val="en-GB"/>
              </w:rPr>
            </w:pPr>
            <w:r w:rsidRPr="006E490C">
              <w:rPr>
                <w:sz w:val="18"/>
                <w:szCs w:val="18"/>
                <w:lang w:val="en-GB"/>
              </w:rPr>
              <w:t xml:space="preserve">The formalization of the status of Corridor # 2 south-east of </w:t>
            </w:r>
            <w:r w:rsidRPr="006E490C">
              <w:rPr>
                <w:sz w:val="18"/>
                <w:szCs w:val="18"/>
                <w:lang w:val="en-CA"/>
              </w:rPr>
              <w:t>PNKT</w:t>
            </w:r>
            <w:r w:rsidRPr="006E490C">
              <w:rPr>
                <w:sz w:val="18"/>
                <w:szCs w:val="18"/>
                <w:lang w:val="en-GB"/>
              </w:rPr>
              <w:t xml:space="preserve"> linking the national park to northern Ghana will involve a sequence of steps that ensure that all potential conflicts are known, considered and addressed: a) Conducting preliminary socio-economic surveys to verify the perceptions of local communities and the actual impacts of corridor establishment in the framework of the PAGEN project to check if compensation measures are required; b) Prior sensitization of communities along the corridor on the concept of co-management as described in the steps prior to the negotiation of voluntary agreements in output 2.2.3; c) An assessment of the state of habitats and natural resources essential for the conservation of elephants and large and medium-sized mammals during their movements and the identification of interventions required for the restoration of essential ecosystem services; d) Participatory definition and validation of conservation objectives and the delineation of Corridor # 2 (should revisions be required) by involving all concerned and affected stakeholders and the signing of voluntary agreements by neighbouring communities regarding their commitment to get involved in the collaborative management of the corridor; e) The submission and adoption of the text formalizing the creation of the corridor and its dissemination to relevant stakeholders, especially the neighbouring communities, and the general public; f) The demarcation of boundaries by the installation of clearly visible landmarks, involving local communities as workers.</w:t>
            </w:r>
          </w:p>
        </w:tc>
      </w:tr>
      <w:tr w:rsidR="00302BFE" w:rsidRPr="006E490C" w14:paraId="299AA5C5" w14:textId="77777777" w:rsidTr="00755BF9">
        <w:tc>
          <w:tcPr>
            <w:tcW w:w="1290" w:type="dxa"/>
            <w:shd w:val="clear" w:color="auto" w:fill="auto"/>
          </w:tcPr>
          <w:p w14:paraId="6D749E77" w14:textId="77777777" w:rsidR="00302BFE" w:rsidRPr="006E490C" w:rsidRDefault="00302BFE" w:rsidP="00243B15">
            <w:pPr>
              <w:rPr>
                <w:sz w:val="18"/>
                <w:szCs w:val="18"/>
              </w:rPr>
            </w:pPr>
            <w:r w:rsidRPr="006E490C">
              <w:rPr>
                <w:rFonts w:cs="Segoe UI"/>
                <w:color w:val="000000"/>
                <w:sz w:val="18"/>
                <w:szCs w:val="18"/>
              </w:rPr>
              <w:lastRenderedPageBreak/>
              <w:t>Financial</w:t>
            </w:r>
          </w:p>
        </w:tc>
        <w:tc>
          <w:tcPr>
            <w:tcW w:w="2231" w:type="dxa"/>
            <w:shd w:val="clear" w:color="auto" w:fill="auto"/>
          </w:tcPr>
          <w:p w14:paraId="2DF03C55" w14:textId="77777777" w:rsidR="00302BFE" w:rsidRPr="006E490C" w:rsidRDefault="00302BFE" w:rsidP="00243B15">
            <w:pPr>
              <w:jc w:val="left"/>
              <w:rPr>
                <w:sz w:val="18"/>
                <w:szCs w:val="18"/>
              </w:rPr>
            </w:pPr>
            <w:r w:rsidRPr="006E490C">
              <w:rPr>
                <w:rFonts w:cs="Segoe UI"/>
                <w:color w:val="000000"/>
                <w:sz w:val="18"/>
                <w:szCs w:val="18"/>
                <w:lang w:val="en-CA"/>
              </w:rPr>
              <w:t>Local authorities could be reluctant or unable to allocate adequate resources for the operation of the collaborative management platform and to implement the landscape management plan</w:t>
            </w:r>
          </w:p>
        </w:tc>
        <w:tc>
          <w:tcPr>
            <w:tcW w:w="1761" w:type="dxa"/>
            <w:shd w:val="clear" w:color="auto" w:fill="auto"/>
          </w:tcPr>
          <w:p w14:paraId="74476184" w14:textId="77777777" w:rsidR="00302BFE" w:rsidRPr="006E490C" w:rsidRDefault="00302BFE" w:rsidP="00243B15">
            <w:pPr>
              <w:rPr>
                <w:sz w:val="18"/>
                <w:szCs w:val="18"/>
                <w:lang w:val="en-GB"/>
              </w:rPr>
            </w:pPr>
            <w:r w:rsidRPr="006E490C">
              <w:rPr>
                <w:rFonts w:eastAsia="Cambria"/>
                <w:sz w:val="18"/>
                <w:szCs w:val="18"/>
                <w:lang w:val="en-GB"/>
              </w:rPr>
              <w:t>Moderate</w:t>
            </w:r>
          </w:p>
        </w:tc>
        <w:tc>
          <w:tcPr>
            <w:tcW w:w="5508" w:type="dxa"/>
            <w:shd w:val="clear" w:color="auto" w:fill="auto"/>
          </w:tcPr>
          <w:p w14:paraId="71750095" w14:textId="77777777" w:rsidR="00302BFE" w:rsidRPr="006E490C" w:rsidRDefault="00302BFE" w:rsidP="00243B15">
            <w:pPr>
              <w:jc w:val="left"/>
              <w:rPr>
                <w:sz w:val="18"/>
                <w:szCs w:val="18"/>
                <w:lang w:val="en-GB"/>
              </w:rPr>
            </w:pPr>
            <w:r w:rsidRPr="006E490C">
              <w:rPr>
                <w:sz w:val="18"/>
                <w:szCs w:val="18"/>
                <w:lang w:val="en-GB"/>
              </w:rPr>
              <w:t>The co-governance mechanism of the PONASI landscape will be set up by a decree of the Minister in charge of Local Authorities on the creation, composition, responsibilities and operation of the said mechanism. The missions, the composition and the operation of the "PONASI Landscape co-governance mechanism" will integrate the fact that the PONASI landscape extends over 3 Regions (inter-regional platform). It is proposed that the mechanism be chaired by the Chairman of the South-Central Regional Council, assisted by the other two Chairs of Regional Councils as Vice-chairpersons who will then be in a position to invest the required resources in the planning process from the regional budget for planning, and to channel funds from partners and donors for the implementation of the Landscape Master Plan. (Output 1.1.2)</w:t>
            </w:r>
          </w:p>
          <w:p w14:paraId="30A4493E" w14:textId="77777777" w:rsidR="00302BFE" w:rsidRPr="006E490C" w:rsidRDefault="00302BFE" w:rsidP="00243B15">
            <w:pPr>
              <w:jc w:val="left"/>
              <w:rPr>
                <w:sz w:val="18"/>
                <w:szCs w:val="18"/>
                <w:lang w:val="en-GB"/>
              </w:rPr>
            </w:pPr>
            <w:r w:rsidRPr="006E490C">
              <w:rPr>
                <w:sz w:val="18"/>
                <w:szCs w:val="18"/>
                <w:lang w:val="en-GB"/>
              </w:rPr>
              <w:lastRenderedPageBreak/>
              <w:t>The project will recruit an international expert on land use planning to, among other tasks, consult with concerned parties, consider/analyse past experiences and propose operating rules for the mechanism to ensure that it can adequately fulfil its missions, including the identification of the financial needs necessary for its autonomous operation (operational budget), the mobilization of the required resources, and its articulation with the management committees of the various land units (PA co-management committees, ZOVIC wildlife management committees and unions, CAF management committees, groups, cooperatives or forest management committees of communal and village forests as provided for under local charters and development and management plans). (Output 1.1.2)</w:t>
            </w:r>
          </w:p>
        </w:tc>
      </w:tr>
      <w:tr w:rsidR="00731D85" w:rsidRPr="006E490C" w14:paraId="1CF48098" w14:textId="77777777" w:rsidTr="00755BF9">
        <w:tc>
          <w:tcPr>
            <w:tcW w:w="1290" w:type="dxa"/>
            <w:vMerge w:val="restart"/>
            <w:shd w:val="clear" w:color="auto" w:fill="auto"/>
          </w:tcPr>
          <w:p w14:paraId="2CD62CAB" w14:textId="77777777" w:rsidR="00731D85" w:rsidRPr="006E490C" w:rsidRDefault="00731D85" w:rsidP="00243B15">
            <w:pPr>
              <w:rPr>
                <w:sz w:val="18"/>
                <w:szCs w:val="18"/>
              </w:rPr>
            </w:pPr>
            <w:r w:rsidRPr="006E490C">
              <w:rPr>
                <w:rFonts w:cs="Segoe UI"/>
                <w:color w:val="000000"/>
                <w:sz w:val="18"/>
                <w:szCs w:val="18"/>
              </w:rPr>
              <w:lastRenderedPageBreak/>
              <w:t>Institutional capacities</w:t>
            </w:r>
          </w:p>
        </w:tc>
        <w:tc>
          <w:tcPr>
            <w:tcW w:w="2231" w:type="dxa"/>
            <w:shd w:val="clear" w:color="auto" w:fill="auto"/>
          </w:tcPr>
          <w:p w14:paraId="2F7C5525" w14:textId="77777777" w:rsidR="00731D85" w:rsidRPr="006E490C" w:rsidRDefault="00731D85" w:rsidP="00243B15">
            <w:pPr>
              <w:jc w:val="left"/>
              <w:rPr>
                <w:sz w:val="18"/>
                <w:szCs w:val="18"/>
              </w:rPr>
            </w:pPr>
            <w:r w:rsidRPr="006E490C">
              <w:rPr>
                <w:rFonts w:cs="Segoe UI"/>
                <w:color w:val="000000"/>
                <w:sz w:val="18"/>
                <w:szCs w:val="18"/>
                <w:lang w:val="en-CA"/>
              </w:rPr>
              <w:t>Difficulties in recruiting the necessary staff within OFINAP and DGEF to perform the essential functions of PA management due to limited financial resources and insufficient resources allocated to surveillance (staff, equipment, logistics) could hinder the effectiveness of management improvements brought by the project. Inter-institutional staff mobility could reduce the relevance and impact of the trainings provided by the project.</w:t>
            </w:r>
          </w:p>
        </w:tc>
        <w:tc>
          <w:tcPr>
            <w:tcW w:w="1761" w:type="dxa"/>
            <w:shd w:val="clear" w:color="auto" w:fill="auto"/>
          </w:tcPr>
          <w:p w14:paraId="4FDB28AF" w14:textId="77777777" w:rsidR="00731D85" w:rsidRPr="006E490C" w:rsidRDefault="00731D85" w:rsidP="00243B15">
            <w:pPr>
              <w:rPr>
                <w:sz w:val="18"/>
                <w:szCs w:val="18"/>
              </w:rPr>
            </w:pPr>
            <w:r w:rsidRPr="006E490C">
              <w:rPr>
                <w:rFonts w:eastAsia="Cambria"/>
                <w:sz w:val="18"/>
                <w:szCs w:val="18"/>
                <w:lang w:val="en-GB"/>
              </w:rPr>
              <w:t>Moderate</w:t>
            </w:r>
          </w:p>
        </w:tc>
        <w:tc>
          <w:tcPr>
            <w:tcW w:w="5508" w:type="dxa"/>
            <w:shd w:val="clear" w:color="auto" w:fill="auto"/>
          </w:tcPr>
          <w:p w14:paraId="25B49CEA" w14:textId="77777777" w:rsidR="00731D85" w:rsidRPr="006E490C" w:rsidRDefault="00731D85" w:rsidP="00243B15">
            <w:pPr>
              <w:jc w:val="left"/>
              <w:rPr>
                <w:sz w:val="18"/>
                <w:szCs w:val="18"/>
              </w:rPr>
            </w:pPr>
            <w:r w:rsidRPr="006E490C">
              <w:rPr>
                <w:sz w:val="18"/>
                <w:szCs w:val="18"/>
              </w:rPr>
              <w:t xml:space="preserve">Preliminary discussions with these institutions and information collected during the participatory capacity assessment (using UNDP’s capacity development scorecard – </w:t>
            </w:r>
            <w:r w:rsidRPr="00A93827">
              <w:rPr>
                <w:sz w:val="18"/>
                <w:szCs w:val="18"/>
              </w:rPr>
              <w:t xml:space="preserve">Annex </w:t>
            </w:r>
            <w:r w:rsidR="009523FE" w:rsidRPr="00A93827">
              <w:rPr>
                <w:sz w:val="18"/>
                <w:szCs w:val="18"/>
              </w:rPr>
              <w:t>Q</w:t>
            </w:r>
            <w:r w:rsidRPr="006E490C">
              <w:rPr>
                <w:sz w:val="18"/>
                <w:szCs w:val="18"/>
              </w:rPr>
              <w:t>) indicate that human resources are not a limiting factor for all protected areas. Besides, under output 2.1.1, the project will support an analysis of the institutional structures in charge of protected areas within the PONASI complex to elaborate proposals aiming at enhancing cost-effectiveness and developing better synergies between the different units. The issue of staff mobility among different units will be raised to ensure that trainings gradually build up institutional capacities and effectiveness of specialized operations in protected areas. Finally, one of the activities under this output, t</w:t>
            </w:r>
            <w:r w:rsidRPr="006E490C">
              <w:rPr>
                <w:sz w:val="18"/>
                <w:szCs w:val="18"/>
                <w:lang w:val="en-GB"/>
              </w:rPr>
              <w:t>he project will support advocacy with the MEGECC authorities for the assignment of additional staff to ensure adequate surveillance of PAs and update of biodiversity monitoring and surveillance databases.</w:t>
            </w:r>
          </w:p>
        </w:tc>
      </w:tr>
      <w:tr w:rsidR="00731D85" w:rsidRPr="006E490C" w14:paraId="28368F75" w14:textId="77777777" w:rsidTr="00755BF9">
        <w:tc>
          <w:tcPr>
            <w:tcW w:w="1290" w:type="dxa"/>
            <w:vMerge/>
            <w:shd w:val="clear" w:color="auto" w:fill="auto"/>
          </w:tcPr>
          <w:p w14:paraId="6AF61AE9" w14:textId="77777777" w:rsidR="00731D85" w:rsidRPr="006E490C" w:rsidRDefault="00731D85" w:rsidP="00243B15">
            <w:pPr>
              <w:rPr>
                <w:rFonts w:cs="Segoe UI"/>
                <w:color w:val="000000"/>
                <w:sz w:val="18"/>
                <w:szCs w:val="18"/>
              </w:rPr>
            </w:pPr>
          </w:p>
        </w:tc>
        <w:tc>
          <w:tcPr>
            <w:tcW w:w="2231" w:type="dxa"/>
            <w:shd w:val="clear" w:color="auto" w:fill="auto"/>
          </w:tcPr>
          <w:p w14:paraId="7E7358B9" w14:textId="77777777" w:rsidR="00731D85" w:rsidRPr="00A93827" w:rsidRDefault="00731D85" w:rsidP="00243B15">
            <w:pPr>
              <w:jc w:val="left"/>
              <w:rPr>
                <w:rFonts w:asciiTheme="minorHAnsi" w:hAnsiTheme="minorHAnsi" w:cs="Segoe UI"/>
                <w:color w:val="000000"/>
                <w:sz w:val="18"/>
                <w:szCs w:val="18"/>
                <w:lang w:val="en-CA"/>
              </w:rPr>
            </w:pPr>
            <w:r w:rsidRPr="00A93827">
              <w:rPr>
                <w:rFonts w:asciiTheme="minorHAnsi" w:eastAsia="Times New Roman" w:hAnsiTheme="minorHAnsi" w:cs="Segoe UI"/>
                <w:color w:val="000000"/>
                <w:sz w:val="18"/>
                <w:szCs w:val="18"/>
                <w:lang w:val="en-CA"/>
              </w:rPr>
              <w:t>Low delivery risk due to insufficient capacity of stakeholders involved in project implementation including UNDP CO</w:t>
            </w:r>
          </w:p>
        </w:tc>
        <w:tc>
          <w:tcPr>
            <w:tcW w:w="1761" w:type="dxa"/>
            <w:shd w:val="clear" w:color="auto" w:fill="auto"/>
          </w:tcPr>
          <w:p w14:paraId="2A1FA99E" w14:textId="77777777" w:rsidR="00731D85" w:rsidRPr="00731D85" w:rsidRDefault="00731D85" w:rsidP="00243B15">
            <w:pPr>
              <w:rPr>
                <w:rFonts w:asciiTheme="minorHAnsi" w:eastAsia="Cambria" w:hAnsiTheme="minorHAnsi"/>
                <w:sz w:val="18"/>
                <w:szCs w:val="18"/>
                <w:lang w:val="en-GB"/>
              </w:rPr>
            </w:pPr>
            <w:r w:rsidRPr="00A93827">
              <w:rPr>
                <w:rFonts w:asciiTheme="minorHAnsi" w:eastAsia="Cambria" w:hAnsiTheme="minorHAnsi"/>
                <w:sz w:val="18"/>
                <w:szCs w:val="18"/>
                <w:lang w:val="en-GB"/>
              </w:rPr>
              <w:t>Moderate</w:t>
            </w:r>
          </w:p>
        </w:tc>
        <w:tc>
          <w:tcPr>
            <w:tcW w:w="5508" w:type="dxa"/>
            <w:shd w:val="clear" w:color="auto" w:fill="auto"/>
          </w:tcPr>
          <w:p w14:paraId="1BBAE858" w14:textId="77777777" w:rsidR="00731D85" w:rsidRPr="00A93827" w:rsidRDefault="00731D85" w:rsidP="00731D85">
            <w:pPr>
              <w:spacing w:after="0"/>
              <w:rPr>
                <w:rFonts w:asciiTheme="minorHAnsi" w:eastAsia="Times New Roman" w:hAnsiTheme="minorHAnsi"/>
                <w:sz w:val="18"/>
                <w:szCs w:val="18"/>
              </w:rPr>
            </w:pPr>
            <w:r w:rsidRPr="00A93827">
              <w:rPr>
                <w:rFonts w:asciiTheme="minorHAnsi" w:eastAsia="Times New Roman" w:hAnsiTheme="minorHAnsi"/>
                <w:sz w:val="18"/>
                <w:szCs w:val="18"/>
              </w:rPr>
              <w:t>The project budget provides adequate resources for the recruitment of national consultants, international experts and service providers with a high level of expertise.</w:t>
            </w:r>
          </w:p>
          <w:p w14:paraId="6C70388E" w14:textId="77777777" w:rsidR="00731D85" w:rsidRPr="00731D85" w:rsidRDefault="00731D85" w:rsidP="00731D85">
            <w:pPr>
              <w:jc w:val="left"/>
              <w:rPr>
                <w:rFonts w:asciiTheme="minorHAnsi" w:hAnsiTheme="minorHAnsi"/>
                <w:sz w:val="18"/>
                <w:szCs w:val="18"/>
              </w:rPr>
            </w:pPr>
            <w:r w:rsidRPr="00A93827">
              <w:rPr>
                <w:rFonts w:asciiTheme="minorHAnsi" w:eastAsia="Times New Roman" w:hAnsiTheme="minorHAnsi"/>
                <w:sz w:val="18"/>
                <w:szCs w:val="18"/>
              </w:rPr>
              <w:t>The project organization structure involves a three-tier project assurance including UNDP regional and global levels to provide adequate technical and managerial supervision and guidance.</w:t>
            </w:r>
          </w:p>
        </w:tc>
      </w:tr>
      <w:tr w:rsidR="00302BFE" w:rsidRPr="006E490C" w14:paraId="5DEFCE19" w14:textId="77777777" w:rsidTr="00755BF9">
        <w:tc>
          <w:tcPr>
            <w:tcW w:w="1290" w:type="dxa"/>
            <w:shd w:val="clear" w:color="auto" w:fill="auto"/>
          </w:tcPr>
          <w:p w14:paraId="502A3652" w14:textId="77777777" w:rsidR="00302BFE" w:rsidRPr="003F4704" w:rsidRDefault="00302BFE" w:rsidP="00243B15">
            <w:pPr>
              <w:rPr>
                <w:rFonts w:cs="Segoe UI"/>
                <w:color w:val="000000"/>
                <w:sz w:val="18"/>
                <w:szCs w:val="18"/>
                <w:highlight w:val="green"/>
              </w:rPr>
            </w:pPr>
            <w:r w:rsidRPr="003F4704">
              <w:rPr>
                <w:rFonts w:cs="Segoe UI"/>
                <w:color w:val="000000"/>
                <w:sz w:val="18"/>
                <w:szCs w:val="18"/>
                <w:highlight w:val="green"/>
              </w:rPr>
              <w:t>Social</w:t>
            </w:r>
          </w:p>
        </w:tc>
        <w:tc>
          <w:tcPr>
            <w:tcW w:w="2231" w:type="dxa"/>
            <w:shd w:val="clear" w:color="auto" w:fill="auto"/>
          </w:tcPr>
          <w:p w14:paraId="7E72D82E" w14:textId="5E5320F3" w:rsidR="00302BFE" w:rsidRPr="003F4704" w:rsidRDefault="0074142F" w:rsidP="00243B15">
            <w:pPr>
              <w:pStyle w:val="PIFPara"/>
              <w:numPr>
                <w:ilvl w:val="0"/>
                <w:numId w:val="0"/>
              </w:numPr>
              <w:spacing w:after="40"/>
              <w:jc w:val="left"/>
              <w:rPr>
                <w:rFonts w:ascii="Calibri" w:eastAsia="Cambria" w:hAnsi="Calibri"/>
                <w:sz w:val="18"/>
                <w:szCs w:val="18"/>
                <w:highlight w:val="green"/>
                <w:lang w:val="en-GB"/>
              </w:rPr>
            </w:pPr>
            <w:r w:rsidRPr="003F4704">
              <w:rPr>
                <w:rFonts w:ascii="Calibri" w:hAnsi="Calibri"/>
                <w:sz w:val="18"/>
                <w:szCs w:val="18"/>
                <w:highlight w:val="green"/>
                <w:lang w:val="en-CA" w:eastAsia="ja-JP"/>
              </w:rPr>
              <w:t xml:space="preserve">Capacity building of Eco guards and rangers as part of the surveillance program for the protected areas of the PONASI complex, for strengthening anti-poaching measures could possibly lead to human rights abuses against vulnerable local communities. </w:t>
            </w:r>
          </w:p>
        </w:tc>
        <w:tc>
          <w:tcPr>
            <w:tcW w:w="1761" w:type="dxa"/>
            <w:shd w:val="clear" w:color="auto" w:fill="auto"/>
          </w:tcPr>
          <w:p w14:paraId="16DC483C" w14:textId="77777777" w:rsidR="00302BFE" w:rsidRPr="003F4704" w:rsidRDefault="00302BFE" w:rsidP="00243B15">
            <w:pPr>
              <w:rPr>
                <w:rFonts w:eastAsia="Cambria"/>
                <w:sz w:val="18"/>
                <w:szCs w:val="18"/>
                <w:highlight w:val="green"/>
                <w:lang w:val="en-GB"/>
              </w:rPr>
            </w:pPr>
            <w:r w:rsidRPr="003F4704">
              <w:rPr>
                <w:rFonts w:eastAsia="Cambria"/>
                <w:sz w:val="18"/>
                <w:szCs w:val="18"/>
                <w:highlight w:val="green"/>
                <w:lang w:val="en-GB"/>
              </w:rPr>
              <w:t>Moderate</w:t>
            </w:r>
          </w:p>
        </w:tc>
        <w:tc>
          <w:tcPr>
            <w:tcW w:w="5508" w:type="dxa"/>
            <w:shd w:val="clear" w:color="auto" w:fill="auto"/>
          </w:tcPr>
          <w:p w14:paraId="5CBEE492" w14:textId="77777777" w:rsidR="0074142F" w:rsidRPr="003F4704" w:rsidRDefault="0074142F" w:rsidP="0074142F">
            <w:pPr>
              <w:spacing w:before="40" w:after="40"/>
              <w:jc w:val="left"/>
              <w:rPr>
                <w:rFonts w:eastAsia="Cambria"/>
                <w:sz w:val="18"/>
                <w:szCs w:val="18"/>
                <w:highlight w:val="green"/>
                <w:lang w:val="en-GB"/>
              </w:rPr>
            </w:pPr>
            <w:r w:rsidRPr="003F4704">
              <w:rPr>
                <w:rFonts w:eastAsia="Cambria"/>
                <w:sz w:val="18"/>
                <w:szCs w:val="18"/>
                <w:highlight w:val="green"/>
                <w:lang w:val="en-GB"/>
              </w:rPr>
              <w:t>The risk will be managed through: a Comprehensive Stakeholder Engagement Plan, that will be developed during the first 6 months of the project, including the Stakeholder Analysis, the ESMF (Environmental and Social Management Framework), that has been developed during PPG (including an IPPF (Indigenous People Planning Framework and an ESMP (Environmental and Social Management Plan), that will be developed by the first year of project implementation, based on the ESIA findings.</w:t>
            </w:r>
          </w:p>
          <w:p w14:paraId="22538C08" w14:textId="77777777" w:rsidR="0074142F" w:rsidRPr="003F4704" w:rsidRDefault="0074142F" w:rsidP="0074142F">
            <w:pPr>
              <w:spacing w:before="40" w:after="40"/>
              <w:jc w:val="left"/>
              <w:rPr>
                <w:rFonts w:eastAsia="Cambria"/>
                <w:sz w:val="18"/>
                <w:szCs w:val="18"/>
                <w:highlight w:val="green"/>
                <w:lang w:val="en-GB"/>
              </w:rPr>
            </w:pPr>
            <w:r w:rsidRPr="003F4704">
              <w:rPr>
                <w:rFonts w:eastAsia="Cambria"/>
                <w:sz w:val="18"/>
                <w:szCs w:val="18"/>
                <w:highlight w:val="green"/>
                <w:lang w:val="en-GB"/>
              </w:rPr>
              <w:t>This risk will be managed also through an Indigenous Peoples Plan, that will be developed by the first year of the project, ensuring the involvement and engagement, including the FPIC process, of any indigenous peoples groups, tribes or ethnic minorities who can be involved in the data collection and analysis.</w:t>
            </w:r>
          </w:p>
          <w:p w14:paraId="7A2FE452" w14:textId="77777777" w:rsidR="0074142F" w:rsidRPr="003F4704" w:rsidRDefault="0074142F" w:rsidP="0074142F">
            <w:pPr>
              <w:spacing w:before="40" w:after="40"/>
              <w:jc w:val="left"/>
              <w:rPr>
                <w:rFonts w:eastAsia="Cambria"/>
                <w:sz w:val="18"/>
                <w:szCs w:val="18"/>
                <w:highlight w:val="green"/>
                <w:lang w:val="en-GB"/>
              </w:rPr>
            </w:pPr>
            <w:r w:rsidRPr="003F4704">
              <w:rPr>
                <w:rFonts w:eastAsia="Cambria"/>
                <w:sz w:val="18"/>
                <w:szCs w:val="18"/>
                <w:highlight w:val="green"/>
                <w:lang w:val="en-GB"/>
              </w:rPr>
              <w:t>The Gender Action Plan will be updated by the first year of the project, based on the Comprehensive Stakeholder Engagement Plan</w:t>
            </w:r>
          </w:p>
          <w:p w14:paraId="1A5720B1" w14:textId="77777777" w:rsidR="0074142F" w:rsidRPr="003F4704" w:rsidRDefault="0074142F" w:rsidP="0074142F">
            <w:pPr>
              <w:spacing w:before="40" w:after="40"/>
              <w:jc w:val="left"/>
              <w:rPr>
                <w:rFonts w:eastAsia="Cambria"/>
                <w:sz w:val="18"/>
                <w:szCs w:val="18"/>
                <w:highlight w:val="green"/>
                <w:lang w:val="en-GB"/>
              </w:rPr>
            </w:pPr>
            <w:r w:rsidRPr="003F4704">
              <w:rPr>
                <w:rFonts w:eastAsia="Cambria"/>
                <w:sz w:val="18"/>
                <w:szCs w:val="18"/>
                <w:highlight w:val="green"/>
                <w:lang w:val="en-GB"/>
              </w:rPr>
              <w:t>A Grievance Redress Mechanism will be developed by the first 3 months of the project. This mechanism will ensure stakeholder (especially the most vulnerable) can have access to a feedback mechanism ensuring their meaningful participation to project activities.</w:t>
            </w:r>
          </w:p>
          <w:p w14:paraId="6EAAF2C0" w14:textId="77777777" w:rsidR="0074142F" w:rsidRPr="003F4704" w:rsidRDefault="0074142F" w:rsidP="0074142F">
            <w:pPr>
              <w:spacing w:before="40" w:after="40"/>
              <w:jc w:val="left"/>
              <w:rPr>
                <w:rFonts w:eastAsia="Cambria"/>
                <w:sz w:val="18"/>
                <w:szCs w:val="18"/>
                <w:highlight w:val="green"/>
                <w:lang w:val="en-GB"/>
              </w:rPr>
            </w:pPr>
            <w:r w:rsidRPr="003F4704">
              <w:rPr>
                <w:rFonts w:eastAsia="Cambria"/>
                <w:sz w:val="18"/>
                <w:szCs w:val="18"/>
                <w:highlight w:val="green"/>
                <w:lang w:val="en-GB"/>
              </w:rPr>
              <w:t xml:space="preserve">The FPIC will be ensured during project implementation with the aim of achieving initial consent from the specific rights-holders, in line with Standard 6 requirements. FPIC will be applied to all project-affected groups and communities with respect to project activities and plans, </w:t>
            </w:r>
            <w:r w:rsidRPr="003F4704">
              <w:rPr>
                <w:rFonts w:eastAsia="Cambria"/>
                <w:sz w:val="18"/>
                <w:szCs w:val="18"/>
                <w:highlight w:val="green"/>
                <w:lang w:val="en-GB"/>
              </w:rPr>
              <w:lastRenderedPageBreak/>
              <w:t>and the principles and key concepts of Standard 6 will be fully reflected in the ESMF/ESMP, and the approach to Stakeholder Engagement.</w:t>
            </w:r>
          </w:p>
          <w:p w14:paraId="7A20F8A5" w14:textId="316D2C0D" w:rsidR="00302BFE" w:rsidRPr="00B53AE4" w:rsidRDefault="00302BFE" w:rsidP="00243B15">
            <w:pPr>
              <w:spacing w:before="40" w:after="40"/>
              <w:jc w:val="left"/>
              <w:rPr>
                <w:sz w:val="18"/>
                <w:szCs w:val="18"/>
                <w:lang w:val="en-CA"/>
              </w:rPr>
            </w:pPr>
          </w:p>
        </w:tc>
      </w:tr>
      <w:tr w:rsidR="00302BFE" w:rsidRPr="006E490C" w14:paraId="35BC1BC0" w14:textId="77777777" w:rsidTr="00755BF9">
        <w:tc>
          <w:tcPr>
            <w:tcW w:w="1290" w:type="dxa"/>
            <w:shd w:val="clear" w:color="auto" w:fill="auto"/>
          </w:tcPr>
          <w:p w14:paraId="53C26E2C" w14:textId="77777777" w:rsidR="00302BFE" w:rsidRPr="003F4704" w:rsidRDefault="00302BFE" w:rsidP="00243B15">
            <w:pPr>
              <w:rPr>
                <w:sz w:val="18"/>
                <w:szCs w:val="18"/>
                <w:highlight w:val="green"/>
              </w:rPr>
            </w:pPr>
            <w:r w:rsidRPr="003F4704">
              <w:rPr>
                <w:rFonts w:cs="Segoe UI"/>
                <w:color w:val="000000"/>
                <w:sz w:val="18"/>
                <w:szCs w:val="18"/>
                <w:highlight w:val="green"/>
              </w:rPr>
              <w:lastRenderedPageBreak/>
              <w:t>Gender</w:t>
            </w:r>
          </w:p>
        </w:tc>
        <w:tc>
          <w:tcPr>
            <w:tcW w:w="2231" w:type="dxa"/>
            <w:shd w:val="clear" w:color="auto" w:fill="auto"/>
          </w:tcPr>
          <w:p w14:paraId="650966B3" w14:textId="52F829B8" w:rsidR="00302BFE" w:rsidRPr="003F4704" w:rsidRDefault="001B5648" w:rsidP="00243B15">
            <w:pPr>
              <w:jc w:val="left"/>
              <w:rPr>
                <w:sz w:val="18"/>
                <w:szCs w:val="18"/>
                <w:highlight w:val="green"/>
              </w:rPr>
            </w:pPr>
            <w:r w:rsidRPr="003F4704">
              <w:rPr>
                <w:rFonts w:cs="Segoe UI"/>
                <w:color w:val="000000"/>
                <w:sz w:val="18"/>
                <w:szCs w:val="18"/>
                <w:highlight w:val="green"/>
                <w:lang w:val="en-CA"/>
              </w:rPr>
              <w:t>The project activities implemented by local population can lead to impact on gender balance and on traditional social roles in the local communities.</w:t>
            </w:r>
          </w:p>
        </w:tc>
        <w:tc>
          <w:tcPr>
            <w:tcW w:w="1761" w:type="dxa"/>
            <w:shd w:val="clear" w:color="auto" w:fill="auto"/>
          </w:tcPr>
          <w:p w14:paraId="34B5BD44" w14:textId="156546D2" w:rsidR="00302BFE" w:rsidRPr="003F4704" w:rsidRDefault="001B5648" w:rsidP="00243B15">
            <w:pPr>
              <w:rPr>
                <w:sz w:val="18"/>
                <w:szCs w:val="18"/>
                <w:highlight w:val="green"/>
              </w:rPr>
            </w:pPr>
            <w:r w:rsidRPr="003F4704">
              <w:rPr>
                <w:rFonts w:eastAsia="Cambria"/>
                <w:sz w:val="18"/>
                <w:szCs w:val="18"/>
                <w:highlight w:val="green"/>
                <w:lang w:val="en-GB"/>
              </w:rPr>
              <w:t>Substantial</w:t>
            </w:r>
          </w:p>
        </w:tc>
        <w:tc>
          <w:tcPr>
            <w:tcW w:w="5508" w:type="dxa"/>
            <w:shd w:val="clear" w:color="auto" w:fill="auto"/>
          </w:tcPr>
          <w:p w14:paraId="7800E938" w14:textId="77777777" w:rsidR="001B5648" w:rsidRPr="003F4704" w:rsidRDefault="001B5648" w:rsidP="001B5648">
            <w:pPr>
              <w:spacing w:after="0"/>
              <w:jc w:val="left"/>
              <w:rPr>
                <w:sz w:val="18"/>
                <w:szCs w:val="18"/>
                <w:highlight w:val="green"/>
              </w:rPr>
            </w:pPr>
            <w:r w:rsidRPr="003F4704">
              <w:rPr>
                <w:sz w:val="18"/>
                <w:szCs w:val="18"/>
                <w:highlight w:val="green"/>
              </w:rPr>
              <w:t>The mitigations measures, developed also in the Gender Action Plan, will be included in the ESMP. This risk will be managed also through the Indigenous Peoples Plan and through the implementation of the Comprehensive Stakeholder Engagement Plan.</w:t>
            </w:r>
          </w:p>
          <w:p w14:paraId="5600037A" w14:textId="77777777" w:rsidR="001B5648" w:rsidRPr="003F4704" w:rsidRDefault="001B5648" w:rsidP="001B5648">
            <w:pPr>
              <w:spacing w:after="0"/>
              <w:jc w:val="left"/>
              <w:rPr>
                <w:sz w:val="18"/>
                <w:szCs w:val="18"/>
                <w:highlight w:val="green"/>
              </w:rPr>
            </w:pPr>
          </w:p>
          <w:p w14:paraId="2E3B586D" w14:textId="0B2EEAAE" w:rsidR="00302BFE" w:rsidRPr="006E490C" w:rsidRDefault="001B5648" w:rsidP="00243B15">
            <w:pPr>
              <w:pStyle w:val="PIFPara"/>
              <w:numPr>
                <w:ilvl w:val="0"/>
                <w:numId w:val="0"/>
              </w:numPr>
              <w:spacing w:after="40"/>
              <w:jc w:val="left"/>
              <w:rPr>
                <w:rFonts w:ascii="Calibri" w:eastAsia="Calibri" w:hAnsi="Calibri"/>
                <w:sz w:val="18"/>
                <w:szCs w:val="18"/>
                <w:lang w:val="en-US"/>
              </w:rPr>
            </w:pPr>
            <w:r w:rsidRPr="003F4704">
              <w:rPr>
                <w:sz w:val="18"/>
                <w:szCs w:val="18"/>
                <w:highlight w:val="green"/>
              </w:rPr>
              <w:t>The Grievance Redress mechanism that will take into consideration the local grievance mechanism already in place will be implemented during the project’s implementation and will support the mitigation of the identified risk.</w:t>
            </w:r>
          </w:p>
        </w:tc>
      </w:tr>
      <w:tr w:rsidR="00302BFE" w:rsidRPr="006E490C" w14:paraId="6951F249" w14:textId="77777777" w:rsidTr="00755BF9">
        <w:tc>
          <w:tcPr>
            <w:tcW w:w="1290" w:type="dxa"/>
            <w:shd w:val="clear" w:color="auto" w:fill="auto"/>
          </w:tcPr>
          <w:p w14:paraId="0C81598A" w14:textId="77777777" w:rsidR="00302BFE" w:rsidRPr="006E490C" w:rsidRDefault="00302BFE" w:rsidP="00243B15">
            <w:pPr>
              <w:rPr>
                <w:sz w:val="18"/>
                <w:szCs w:val="18"/>
              </w:rPr>
            </w:pPr>
            <w:r w:rsidRPr="006E490C">
              <w:rPr>
                <w:sz w:val="18"/>
                <w:szCs w:val="18"/>
              </w:rPr>
              <w:t>Economic</w:t>
            </w:r>
          </w:p>
        </w:tc>
        <w:tc>
          <w:tcPr>
            <w:tcW w:w="2231" w:type="dxa"/>
            <w:shd w:val="clear" w:color="auto" w:fill="auto"/>
          </w:tcPr>
          <w:p w14:paraId="5954ACDE" w14:textId="77777777" w:rsidR="00302BFE" w:rsidRPr="006E490C" w:rsidRDefault="00302BFE" w:rsidP="00243B15">
            <w:pPr>
              <w:jc w:val="left"/>
              <w:rPr>
                <w:sz w:val="18"/>
                <w:szCs w:val="18"/>
                <w:lang w:val="en-CA"/>
              </w:rPr>
            </w:pPr>
            <w:r w:rsidRPr="006E490C">
              <w:rPr>
                <w:rFonts w:cs="Segoe UI"/>
                <w:color w:val="000000"/>
                <w:sz w:val="18"/>
                <w:szCs w:val="18"/>
                <w:lang w:val="en-CA"/>
              </w:rPr>
              <w:t xml:space="preserve">Falling market prices for products developed by the value chains could reduce the benefits to the local communities involved. </w:t>
            </w:r>
          </w:p>
        </w:tc>
        <w:tc>
          <w:tcPr>
            <w:tcW w:w="1761" w:type="dxa"/>
            <w:shd w:val="clear" w:color="auto" w:fill="auto"/>
          </w:tcPr>
          <w:p w14:paraId="2078A129" w14:textId="77777777" w:rsidR="00302BFE" w:rsidRPr="006E490C" w:rsidRDefault="00302BFE" w:rsidP="00243B15">
            <w:pPr>
              <w:rPr>
                <w:sz w:val="18"/>
                <w:szCs w:val="18"/>
              </w:rPr>
            </w:pPr>
            <w:r w:rsidRPr="006E490C">
              <w:rPr>
                <w:sz w:val="18"/>
                <w:szCs w:val="18"/>
              </w:rPr>
              <w:t>Low</w:t>
            </w:r>
          </w:p>
        </w:tc>
        <w:tc>
          <w:tcPr>
            <w:tcW w:w="5508" w:type="dxa"/>
            <w:shd w:val="clear" w:color="auto" w:fill="auto"/>
          </w:tcPr>
          <w:p w14:paraId="4ECB5392" w14:textId="77777777" w:rsidR="00302BFE" w:rsidRPr="006E490C" w:rsidRDefault="00302BFE" w:rsidP="00243B15">
            <w:pPr>
              <w:jc w:val="left"/>
              <w:rPr>
                <w:sz w:val="18"/>
                <w:szCs w:val="18"/>
              </w:rPr>
            </w:pPr>
            <w:r w:rsidRPr="006E490C">
              <w:rPr>
                <w:sz w:val="18"/>
                <w:szCs w:val="18"/>
                <w:lang w:val="en-GB"/>
              </w:rPr>
              <w:t xml:space="preserve">Under Output 3.3, the project will support the development of sustainable value chains, focus on three promising value chains whose potential in the PONASI landscape has been recently highlighted (Naturama, 2016). The Output 3.3.1 – </w:t>
            </w:r>
            <w:r w:rsidRPr="006E490C">
              <w:rPr>
                <w:i/>
                <w:sz w:val="18"/>
                <w:szCs w:val="18"/>
                <w:lang w:val="en-GB"/>
              </w:rPr>
              <w:t>Market studies for the three non-timber forest products value chains</w:t>
            </w:r>
            <w:r w:rsidRPr="006E490C">
              <w:rPr>
                <w:sz w:val="18"/>
                <w:szCs w:val="18"/>
                <w:lang w:val="en-GB"/>
              </w:rPr>
              <w:t xml:space="preserve"> will ensure that a market assessment is conducted for each product to reduce uncertainties and risks and to know the chances of success before generating hope and engaging local communities. These market studies will have to be based on existing and recent data, supplemented as necessary by the search for additional information in the field. Studies should focus at a minimum on the analysis of supply for these products throughout the PONASI landscape and in the rest of the country, and the analysis of demand by a market study at national, sub-regional (Mali, Ivory Coast, Ghana, Niger, Togo, Senegal) levels for goine liana juice and honey) and international (for organic shea butter).</w:t>
            </w:r>
          </w:p>
        </w:tc>
      </w:tr>
      <w:tr w:rsidR="003A0ADA" w:rsidRPr="00EC2466" w14:paraId="2A1292FB" w14:textId="77777777" w:rsidTr="00755BF9">
        <w:tc>
          <w:tcPr>
            <w:tcW w:w="1290" w:type="dxa"/>
            <w:shd w:val="clear" w:color="auto" w:fill="auto"/>
          </w:tcPr>
          <w:p w14:paraId="35055B27" w14:textId="62C0C7B9" w:rsidR="00DC7D98" w:rsidRPr="0099310D" w:rsidRDefault="003A0ADA" w:rsidP="00243B15">
            <w:pPr>
              <w:rPr>
                <w:sz w:val="18"/>
                <w:szCs w:val="18"/>
              </w:rPr>
            </w:pPr>
            <w:r w:rsidRPr="0099310D">
              <w:rPr>
                <w:sz w:val="18"/>
                <w:szCs w:val="18"/>
              </w:rPr>
              <w:t>Economic</w:t>
            </w:r>
          </w:p>
        </w:tc>
        <w:tc>
          <w:tcPr>
            <w:tcW w:w="2231" w:type="dxa"/>
            <w:shd w:val="clear" w:color="auto" w:fill="auto"/>
          </w:tcPr>
          <w:p w14:paraId="2986A450" w14:textId="2EF8D36E" w:rsidR="00896FAA" w:rsidRPr="0099310D" w:rsidRDefault="00896FAA" w:rsidP="00896FAA">
            <w:pPr>
              <w:jc w:val="left"/>
              <w:rPr>
                <w:rFonts w:cs="Segoe UI"/>
                <w:color w:val="000000"/>
                <w:sz w:val="18"/>
                <w:szCs w:val="18"/>
                <w:lang w:val="en-CA"/>
              </w:rPr>
            </w:pPr>
            <w:r w:rsidRPr="0099310D">
              <w:rPr>
                <w:rFonts w:cs="Segoe UI"/>
                <w:color w:val="000000"/>
                <w:sz w:val="18"/>
                <w:szCs w:val="18"/>
                <w:lang w:val="en-CA"/>
              </w:rPr>
              <w:t xml:space="preserve">The possibility of the temporary closure of hunting </w:t>
            </w:r>
            <w:r w:rsidRPr="0099310D">
              <w:rPr>
                <w:sz w:val="18"/>
                <w:szCs w:val="18"/>
                <w:lang w:val="en-CA"/>
              </w:rPr>
              <w:t xml:space="preserve">in the RGN, Sissili CF and ZOVICs </w:t>
            </w:r>
            <w:r w:rsidRPr="0099310D">
              <w:rPr>
                <w:rFonts w:cs="Segoe UI"/>
                <w:color w:val="000000"/>
                <w:sz w:val="18"/>
                <w:szCs w:val="18"/>
                <w:lang w:val="en-CA"/>
              </w:rPr>
              <w:t>will result in short-term loss of income for concessionaires and the Government and the loss of a subsistence activity and source of income for local communities.</w:t>
            </w:r>
          </w:p>
        </w:tc>
        <w:tc>
          <w:tcPr>
            <w:tcW w:w="1761" w:type="dxa"/>
            <w:shd w:val="clear" w:color="auto" w:fill="auto"/>
          </w:tcPr>
          <w:p w14:paraId="2D5A4CEF" w14:textId="0F695EE2" w:rsidR="003A0ADA" w:rsidRPr="0099310D" w:rsidRDefault="003A0ADA" w:rsidP="00243B15">
            <w:pPr>
              <w:rPr>
                <w:sz w:val="18"/>
                <w:szCs w:val="18"/>
                <w:lang w:val="fr-CA"/>
              </w:rPr>
            </w:pPr>
            <w:r w:rsidRPr="0099310D">
              <w:rPr>
                <w:sz w:val="18"/>
                <w:szCs w:val="18"/>
                <w:lang w:val="fr-CA"/>
              </w:rPr>
              <w:t>High</w:t>
            </w:r>
          </w:p>
        </w:tc>
        <w:tc>
          <w:tcPr>
            <w:tcW w:w="5508" w:type="dxa"/>
            <w:shd w:val="clear" w:color="auto" w:fill="auto"/>
          </w:tcPr>
          <w:p w14:paraId="7C462551" w14:textId="1371E9E4" w:rsidR="00EC2466" w:rsidRPr="0099310D" w:rsidRDefault="00EB1E6E" w:rsidP="00896FAA">
            <w:pPr>
              <w:rPr>
                <w:sz w:val="18"/>
                <w:szCs w:val="18"/>
                <w:lang w:val="en-CA"/>
              </w:rPr>
            </w:pPr>
            <w:r w:rsidRPr="0099310D">
              <w:rPr>
                <w:sz w:val="18"/>
                <w:szCs w:val="18"/>
                <w:lang w:val="en-CA"/>
              </w:rPr>
              <w:t>Under Output 2.2.2, a comprehensive review of the management of wild game hunting in the RGN, Sissili CF and ZOVICs since their creation will document the socio-economic impacts and the status of game populations. This study will document the costs and benefits for the various stakeholders, i.e. the Government, the concessionaires and the local populations, and will thus allow predicting the socio-economic consequences of a possible closure of hunting in these sites.</w:t>
            </w:r>
            <w:r w:rsidR="00C6121E" w:rsidRPr="0099310D">
              <w:rPr>
                <w:sz w:val="18"/>
                <w:szCs w:val="18"/>
                <w:lang w:val="en-CA"/>
              </w:rPr>
              <w:t xml:space="preserve"> The decision to close the hunting will be based on the recognition of the unsustainability of hunting as currently managed and the inability of game populations to withstand the pressure of hunting due to a worrying decline in populations. Observations in the last decade indicate that local communities now derive little benefits from hunting activities and would therefore experience little short-term impact from a hunting closure.</w:t>
            </w:r>
            <w:r w:rsidR="00EC2466" w:rsidRPr="0099310D">
              <w:rPr>
                <w:sz w:val="18"/>
                <w:szCs w:val="18"/>
                <w:lang w:val="en-CA"/>
              </w:rPr>
              <w:t xml:space="preserve"> A decrease in game populations will affect the revenues of the Government and the concessionaires in the medium and long term, so that the impact of the closure of the hunting will only negatively affect them in the short term, while all stakeholders will benefit from a medium-term closure by avoiding a permanent loss of the resources that support this activity. The project will support various projects that will allow a diversification of sources of income for local populations, which will help to alleviate the effects of the closure of hunting in ZOVICs.</w:t>
            </w:r>
          </w:p>
        </w:tc>
      </w:tr>
      <w:tr w:rsidR="00FB7FE9" w:rsidRPr="006E490C" w14:paraId="17748AD2" w14:textId="77777777" w:rsidTr="00644322">
        <w:tc>
          <w:tcPr>
            <w:tcW w:w="1290" w:type="dxa"/>
            <w:vMerge w:val="restart"/>
            <w:shd w:val="clear" w:color="auto" w:fill="auto"/>
          </w:tcPr>
          <w:p w14:paraId="07C8CA17" w14:textId="77777777" w:rsidR="00FB7FE9" w:rsidRPr="003F4704" w:rsidRDefault="00FB7FE9" w:rsidP="00243B15">
            <w:pPr>
              <w:spacing w:after="0"/>
              <w:jc w:val="left"/>
              <w:rPr>
                <w:rFonts w:cs="Segoe UI"/>
                <w:color w:val="000000"/>
                <w:sz w:val="18"/>
                <w:szCs w:val="18"/>
                <w:highlight w:val="green"/>
                <w:lang w:val="en-CA"/>
              </w:rPr>
            </w:pPr>
            <w:r w:rsidRPr="003F4704">
              <w:rPr>
                <w:rFonts w:cs="Segoe UI"/>
                <w:color w:val="000000"/>
                <w:sz w:val="18"/>
                <w:szCs w:val="18"/>
                <w:highlight w:val="green"/>
                <w:lang w:val="en-CA"/>
              </w:rPr>
              <w:t>Environmental</w:t>
            </w:r>
          </w:p>
        </w:tc>
        <w:tc>
          <w:tcPr>
            <w:tcW w:w="2231" w:type="dxa"/>
            <w:shd w:val="clear" w:color="auto" w:fill="auto"/>
          </w:tcPr>
          <w:p w14:paraId="491BC9CE" w14:textId="77777777" w:rsidR="00FB7FE9" w:rsidRPr="00755BF9" w:rsidRDefault="00FB7FE9" w:rsidP="00755BF9">
            <w:pPr>
              <w:ind w:right="72"/>
              <w:rPr>
                <w:rFonts w:cs="Segoe UI"/>
                <w:color w:val="000000"/>
                <w:sz w:val="18"/>
                <w:szCs w:val="18"/>
                <w:highlight w:val="green"/>
                <w:lang w:val="en-CA"/>
              </w:rPr>
            </w:pPr>
            <w:r w:rsidRPr="00755BF9">
              <w:rPr>
                <w:rFonts w:cs="Segoe UI"/>
                <w:color w:val="000000"/>
                <w:sz w:val="18"/>
                <w:szCs w:val="18"/>
                <w:highlight w:val="green"/>
                <w:lang w:val="en-CA"/>
              </w:rPr>
              <w:t>The project can, directly or indirectly lead to increased exploitation of natural resources and ecosystems/biodiversity, considering that project activities are located in or near critical habitats and / or ecologically sensitive areas, including legally protected areas (eg nature reserve, national park).</w:t>
            </w:r>
          </w:p>
          <w:p w14:paraId="3CFD9997" w14:textId="21EDDDF8" w:rsidR="00FB7FE9" w:rsidRPr="003F4704" w:rsidRDefault="00FB7FE9" w:rsidP="00243B15">
            <w:pPr>
              <w:jc w:val="left"/>
              <w:rPr>
                <w:rFonts w:cs="Segoe UI"/>
                <w:color w:val="000000"/>
                <w:sz w:val="18"/>
                <w:szCs w:val="18"/>
                <w:highlight w:val="green"/>
                <w:lang w:val="en-CA"/>
              </w:rPr>
            </w:pPr>
          </w:p>
        </w:tc>
        <w:tc>
          <w:tcPr>
            <w:tcW w:w="1761" w:type="dxa"/>
            <w:shd w:val="clear" w:color="auto" w:fill="auto"/>
          </w:tcPr>
          <w:p w14:paraId="67FA0966" w14:textId="3D6934E2" w:rsidR="00FB7FE9" w:rsidRPr="003F4704" w:rsidRDefault="00FB7FE9" w:rsidP="00243B15">
            <w:pPr>
              <w:rPr>
                <w:sz w:val="18"/>
                <w:szCs w:val="18"/>
                <w:highlight w:val="green"/>
              </w:rPr>
            </w:pPr>
            <w:r w:rsidRPr="003F4704">
              <w:rPr>
                <w:sz w:val="18"/>
                <w:szCs w:val="18"/>
                <w:highlight w:val="green"/>
              </w:rPr>
              <w:lastRenderedPageBreak/>
              <w:t>Substantial</w:t>
            </w:r>
          </w:p>
        </w:tc>
        <w:tc>
          <w:tcPr>
            <w:tcW w:w="5508" w:type="dxa"/>
            <w:shd w:val="clear" w:color="auto" w:fill="auto"/>
          </w:tcPr>
          <w:p w14:paraId="40D1CD73" w14:textId="77777777" w:rsidR="00FB7FE9" w:rsidRPr="003F4704" w:rsidRDefault="00FB7FE9" w:rsidP="00087B9C">
            <w:pPr>
              <w:rPr>
                <w:sz w:val="18"/>
                <w:szCs w:val="18"/>
                <w:highlight w:val="green"/>
              </w:rPr>
            </w:pPr>
            <w:r w:rsidRPr="003F4704">
              <w:rPr>
                <w:sz w:val="18"/>
                <w:szCs w:val="18"/>
                <w:highlight w:val="green"/>
              </w:rPr>
              <w:t>The management of this risk will be included into the ESMP, based on ESIA findings.</w:t>
            </w:r>
          </w:p>
          <w:p w14:paraId="4BC3986E" w14:textId="77777777" w:rsidR="00FB7FE9" w:rsidRPr="003F4704" w:rsidRDefault="00FB7FE9" w:rsidP="00087B9C">
            <w:pPr>
              <w:rPr>
                <w:sz w:val="18"/>
                <w:szCs w:val="18"/>
                <w:highlight w:val="green"/>
              </w:rPr>
            </w:pPr>
          </w:p>
          <w:p w14:paraId="29BBA421" w14:textId="77777777" w:rsidR="00FB7FE9" w:rsidRPr="003F4704" w:rsidRDefault="00FB7FE9" w:rsidP="00087B9C">
            <w:pPr>
              <w:rPr>
                <w:sz w:val="18"/>
                <w:szCs w:val="18"/>
                <w:highlight w:val="green"/>
              </w:rPr>
            </w:pPr>
            <w:r w:rsidRPr="003F4704">
              <w:rPr>
                <w:sz w:val="18"/>
                <w:szCs w:val="18"/>
                <w:highlight w:val="green"/>
              </w:rPr>
              <w:t xml:space="preserve">The project will ensure that the safeguards requirements are reflected in the emerging management framework over the course of the project. </w:t>
            </w:r>
          </w:p>
          <w:p w14:paraId="006B8508" w14:textId="77777777" w:rsidR="00FB7FE9" w:rsidRPr="003F4704" w:rsidRDefault="00FB7FE9" w:rsidP="00087B9C">
            <w:pPr>
              <w:rPr>
                <w:sz w:val="18"/>
                <w:szCs w:val="18"/>
                <w:highlight w:val="green"/>
              </w:rPr>
            </w:pPr>
            <w:r w:rsidRPr="003F4704">
              <w:rPr>
                <w:sz w:val="18"/>
                <w:szCs w:val="18"/>
                <w:highlight w:val="green"/>
              </w:rPr>
              <w:t>In replication efforts, which are linked to knowledge management under the project, care will be given to highlight the lessons learnt on risks.</w:t>
            </w:r>
          </w:p>
          <w:p w14:paraId="362A6AAD" w14:textId="77777777" w:rsidR="00FB7FE9" w:rsidRPr="003F4704" w:rsidRDefault="00FB7FE9" w:rsidP="00087B9C">
            <w:pPr>
              <w:rPr>
                <w:sz w:val="18"/>
                <w:szCs w:val="18"/>
                <w:highlight w:val="green"/>
              </w:rPr>
            </w:pPr>
          </w:p>
          <w:p w14:paraId="4A124C9C" w14:textId="131D365C" w:rsidR="00FB7FE9" w:rsidRPr="003F4704" w:rsidRDefault="00FB7FE9" w:rsidP="00087B9C">
            <w:pPr>
              <w:rPr>
                <w:sz w:val="18"/>
                <w:szCs w:val="18"/>
                <w:highlight w:val="green"/>
              </w:rPr>
            </w:pPr>
            <w:r w:rsidRPr="003F4704">
              <w:rPr>
                <w:sz w:val="18"/>
                <w:szCs w:val="18"/>
                <w:highlight w:val="green"/>
              </w:rPr>
              <w:t>The identified measures will mitigate also the risk related to t</w:t>
            </w:r>
            <w:r w:rsidRPr="003F4704">
              <w:rPr>
                <w:rFonts w:cs="Segoe UI"/>
                <w:color w:val="000000"/>
                <w:sz w:val="18"/>
                <w:szCs w:val="18"/>
                <w:highlight w:val="green"/>
                <w:lang w:val="en-CA"/>
              </w:rPr>
              <w:t>he presence of barriers to elephant movements that could cause local overload of critical habitat.</w:t>
            </w:r>
          </w:p>
          <w:p w14:paraId="35BE3881" w14:textId="77777777" w:rsidR="00FB7FE9" w:rsidRPr="003F4704" w:rsidRDefault="00FB7FE9" w:rsidP="00087B9C">
            <w:pPr>
              <w:rPr>
                <w:sz w:val="18"/>
                <w:szCs w:val="18"/>
                <w:highlight w:val="green"/>
              </w:rPr>
            </w:pPr>
          </w:p>
          <w:p w14:paraId="7E477C32" w14:textId="022969B3" w:rsidR="00FB7FE9" w:rsidRPr="006E490C" w:rsidRDefault="00FB7FE9" w:rsidP="00087B9C">
            <w:pPr>
              <w:rPr>
                <w:sz w:val="18"/>
                <w:szCs w:val="18"/>
              </w:rPr>
            </w:pPr>
          </w:p>
        </w:tc>
      </w:tr>
      <w:tr w:rsidR="00FB7FE9" w:rsidRPr="006E490C" w14:paraId="4CCA5EB5" w14:textId="77777777" w:rsidTr="00644322">
        <w:tc>
          <w:tcPr>
            <w:tcW w:w="1290" w:type="dxa"/>
            <w:vMerge/>
            <w:shd w:val="clear" w:color="auto" w:fill="auto"/>
          </w:tcPr>
          <w:p w14:paraId="6CFE491E" w14:textId="77777777" w:rsidR="00FB7FE9" w:rsidRPr="006E490C" w:rsidRDefault="00FB7FE9" w:rsidP="00243B15">
            <w:pPr>
              <w:rPr>
                <w:sz w:val="18"/>
                <w:szCs w:val="18"/>
              </w:rPr>
            </w:pPr>
          </w:p>
        </w:tc>
        <w:tc>
          <w:tcPr>
            <w:tcW w:w="2231" w:type="dxa"/>
            <w:shd w:val="clear" w:color="auto" w:fill="auto"/>
          </w:tcPr>
          <w:p w14:paraId="7247F1E4" w14:textId="09C8A9A2" w:rsidR="00FB7FE9" w:rsidRPr="003F4704" w:rsidRDefault="00FB7FE9" w:rsidP="00243B15">
            <w:pPr>
              <w:jc w:val="left"/>
              <w:rPr>
                <w:sz w:val="18"/>
                <w:szCs w:val="18"/>
                <w:highlight w:val="green"/>
              </w:rPr>
            </w:pPr>
            <w:r w:rsidRPr="003F4704">
              <w:rPr>
                <w:rFonts w:cs="Segoe UI"/>
                <w:color w:val="000000"/>
                <w:sz w:val="18"/>
                <w:szCs w:val="18"/>
                <w:highlight w:val="green"/>
                <w:lang w:val="en-CA"/>
              </w:rPr>
              <w:t>Project’s activities increase the vulnerabilities of populations (especially women living in rural areas) to the effects of climate change.</w:t>
            </w:r>
          </w:p>
        </w:tc>
        <w:tc>
          <w:tcPr>
            <w:tcW w:w="1761" w:type="dxa"/>
            <w:shd w:val="clear" w:color="auto" w:fill="auto"/>
          </w:tcPr>
          <w:p w14:paraId="4D17AA8B" w14:textId="77777777" w:rsidR="00FB7FE9" w:rsidRPr="003F4704" w:rsidRDefault="00FB7FE9" w:rsidP="00243B15">
            <w:pPr>
              <w:rPr>
                <w:sz w:val="18"/>
                <w:szCs w:val="18"/>
                <w:highlight w:val="green"/>
              </w:rPr>
            </w:pPr>
            <w:r w:rsidRPr="003F4704">
              <w:rPr>
                <w:rFonts w:eastAsia="Cambria"/>
                <w:sz w:val="18"/>
                <w:szCs w:val="18"/>
                <w:highlight w:val="green"/>
                <w:lang w:val="en-GB"/>
              </w:rPr>
              <w:t>Moderate</w:t>
            </w:r>
          </w:p>
        </w:tc>
        <w:tc>
          <w:tcPr>
            <w:tcW w:w="5508" w:type="dxa"/>
            <w:shd w:val="clear" w:color="auto" w:fill="auto"/>
          </w:tcPr>
          <w:p w14:paraId="1FF673EF" w14:textId="2DBE2CE8" w:rsidR="00FB7FE9" w:rsidRPr="003F4704" w:rsidRDefault="00FB7FE9" w:rsidP="00243B15">
            <w:pPr>
              <w:jc w:val="left"/>
              <w:rPr>
                <w:sz w:val="18"/>
                <w:szCs w:val="18"/>
                <w:highlight w:val="green"/>
              </w:rPr>
            </w:pPr>
            <w:r w:rsidRPr="003F4704">
              <w:rPr>
                <w:sz w:val="18"/>
                <w:szCs w:val="18"/>
                <w:highlight w:val="green"/>
              </w:rPr>
              <w:t>This risk has been managed through the design of the project and will be further examined in the course of the ESIA, based on the ESMF, and included in the ESMP as determined necessary.</w:t>
            </w:r>
          </w:p>
        </w:tc>
      </w:tr>
      <w:tr w:rsidR="00FB7FE9" w:rsidRPr="006E490C" w14:paraId="5C6D1DF6" w14:textId="77777777" w:rsidTr="001B5648">
        <w:tc>
          <w:tcPr>
            <w:tcW w:w="1290" w:type="dxa"/>
            <w:vMerge/>
            <w:shd w:val="clear" w:color="auto" w:fill="auto"/>
          </w:tcPr>
          <w:p w14:paraId="1CD7E7E8" w14:textId="77777777" w:rsidR="00FB7FE9" w:rsidRPr="006E490C" w:rsidRDefault="00FB7FE9" w:rsidP="00243B15">
            <w:pPr>
              <w:rPr>
                <w:sz w:val="18"/>
                <w:szCs w:val="18"/>
              </w:rPr>
            </w:pPr>
          </w:p>
        </w:tc>
        <w:tc>
          <w:tcPr>
            <w:tcW w:w="2231" w:type="dxa"/>
            <w:shd w:val="clear" w:color="auto" w:fill="auto"/>
          </w:tcPr>
          <w:p w14:paraId="21E8703F" w14:textId="7A44724B" w:rsidR="00FB7FE9" w:rsidRPr="003F4704" w:rsidRDefault="00FB7FE9" w:rsidP="00243B15">
            <w:pPr>
              <w:jc w:val="left"/>
              <w:rPr>
                <w:rFonts w:cs="Segoe UI"/>
                <w:color w:val="000000"/>
                <w:sz w:val="18"/>
                <w:szCs w:val="18"/>
                <w:highlight w:val="green"/>
                <w:lang w:val="en-CA"/>
              </w:rPr>
            </w:pPr>
            <w:r w:rsidRPr="003F4704">
              <w:rPr>
                <w:rFonts w:cs="Segoe UI"/>
                <w:color w:val="000000"/>
                <w:sz w:val="18"/>
                <w:szCs w:val="18"/>
                <w:highlight w:val="green"/>
                <w:lang w:val="en-CA"/>
              </w:rPr>
              <w:t>The project may pose the risk of introducing invasive alien species as part of support to agroforestry systems, that can have a negative impact on ecosystems.</w:t>
            </w:r>
          </w:p>
        </w:tc>
        <w:tc>
          <w:tcPr>
            <w:tcW w:w="1761" w:type="dxa"/>
            <w:shd w:val="clear" w:color="auto" w:fill="auto"/>
          </w:tcPr>
          <w:p w14:paraId="6D26E6DE" w14:textId="131C2166" w:rsidR="00FB7FE9" w:rsidRPr="003F4704" w:rsidRDefault="00FB7FE9" w:rsidP="00243B15">
            <w:pPr>
              <w:rPr>
                <w:rFonts w:eastAsia="Cambria"/>
                <w:sz w:val="18"/>
                <w:szCs w:val="18"/>
                <w:highlight w:val="green"/>
                <w:lang w:val="en-GB"/>
              </w:rPr>
            </w:pPr>
            <w:r w:rsidRPr="003F4704">
              <w:rPr>
                <w:rFonts w:eastAsia="Cambria"/>
                <w:sz w:val="18"/>
                <w:szCs w:val="18"/>
                <w:highlight w:val="green"/>
                <w:lang w:val="en-GB"/>
              </w:rPr>
              <w:t>Moderate</w:t>
            </w:r>
          </w:p>
        </w:tc>
        <w:tc>
          <w:tcPr>
            <w:tcW w:w="5508" w:type="dxa"/>
            <w:shd w:val="clear" w:color="auto" w:fill="auto"/>
          </w:tcPr>
          <w:p w14:paraId="2D75CCF5" w14:textId="77777777" w:rsidR="00FB7FE9" w:rsidRPr="003F4704" w:rsidRDefault="00FB7FE9" w:rsidP="00FB7FE9">
            <w:pPr>
              <w:jc w:val="left"/>
              <w:rPr>
                <w:sz w:val="18"/>
                <w:szCs w:val="18"/>
                <w:highlight w:val="green"/>
              </w:rPr>
            </w:pPr>
            <w:r w:rsidRPr="003F4704">
              <w:rPr>
                <w:sz w:val="18"/>
                <w:szCs w:val="18"/>
                <w:highlight w:val="green"/>
              </w:rPr>
              <w:t>The management of this risk will be included into the ESMP, based on ESIA findings.</w:t>
            </w:r>
          </w:p>
          <w:p w14:paraId="32F59FAB" w14:textId="77777777" w:rsidR="00FB7FE9" w:rsidRPr="003F4704" w:rsidRDefault="00FB7FE9" w:rsidP="00FB7FE9">
            <w:pPr>
              <w:jc w:val="left"/>
              <w:rPr>
                <w:sz w:val="18"/>
                <w:szCs w:val="18"/>
                <w:highlight w:val="green"/>
              </w:rPr>
            </w:pPr>
            <w:r w:rsidRPr="003F4704">
              <w:rPr>
                <w:sz w:val="18"/>
                <w:szCs w:val="18"/>
                <w:highlight w:val="green"/>
              </w:rPr>
              <w:t xml:space="preserve">To restore land resources (biodiversity, soil, land) in the village terroirs of the pilot sites, the project will support the participatory planning and implementation of SLM measures to counter erosion and restore degraded lands through various approaches including agroforestry and introduction of climate adapted seed varieties and using primarily indigenous species. </w:t>
            </w:r>
          </w:p>
          <w:p w14:paraId="0873C584" w14:textId="13FB44FB" w:rsidR="00FB7FE9" w:rsidRPr="003F4704" w:rsidRDefault="00FB7FE9" w:rsidP="00FB7FE9">
            <w:pPr>
              <w:jc w:val="left"/>
              <w:rPr>
                <w:sz w:val="18"/>
                <w:szCs w:val="18"/>
                <w:highlight w:val="green"/>
              </w:rPr>
            </w:pPr>
            <w:r w:rsidRPr="003F4704">
              <w:rPr>
                <w:sz w:val="18"/>
                <w:szCs w:val="18"/>
                <w:highlight w:val="green"/>
              </w:rPr>
              <w:t>The Forest Ecology Specialist will provide the required expertise to ensure that none of the selected agroforestry and climate-adapted species is likely to pose a risk as an invasive alien species.</w:t>
            </w:r>
          </w:p>
        </w:tc>
      </w:tr>
      <w:tr w:rsidR="00077D48" w:rsidRPr="006E490C" w14:paraId="771F377F" w14:textId="77777777" w:rsidTr="001B5648">
        <w:tc>
          <w:tcPr>
            <w:tcW w:w="1290" w:type="dxa"/>
            <w:vMerge w:val="restart"/>
            <w:shd w:val="clear" w:color="auto" w:fill="auto"/>
          </w:tcPr>
          <w:p w14:paraId="2F567FDA" w14:textId="6975ED68" w:rsidR="00077D48" w:rsidRPr="006E490C" w:rsidRDefault="00077D48" w:rsidP="00243B15">
            <w:pPr>
              <w:rPr>
                <w:sz w:val="18"/>
                <w:szCs w:val="18"/>
              </w:rPr>
            </w:pPr>
            <w:r>
              <w:rPr>
                <w:sz w:val="18"/>
                <w:szCs w:val="18"/>
              </w:rPr>
              <w:t>Social and cultural</w:t>
            </w:r>
          </w:p>
        </w:tc>
        <w:tc>
          <w:tcPr>
            <w:tcW w:w="2231" w:type="dxa"/>
            <w:shd w:val="clear" w:color="auto" w:fill="auto"/>
          </w:tcPr>
          <w:p w14:paraId="247388DE" w14:textId="28FDC1FA" w:rsidR="00077D48" w:rsidRPr="003F4704" w:rsidRDefault="00077D48" w:rsidP="00243B15">
            <w:pPr>
              <w:jc w:val="left"/>
              <w:rPr>
                <w:rFonts w:cs="Segoe UI"/>
                <w:color w:val="000000"/>
                <w:sz w:val="18"/>
                <w:szCs w:val="18"/>
                <w:highlight w:val="green"/>
                <w:lang w:val="en-CA"/>
              </w:rPr>
            </w:pPr>
            <w:r w:rsidRPr="003F4704">
              <w:rPr>
                <w:sz w:val="18"/>
                <w:szCs w:val="18"/>
                <w:highlight w:val="green"/>
              </w:rPr>
              <w:t>The project can lead to economic displacement in some parts of the population including women and indigenous peoples, considering that the project is expected to catalyze more sustainable land use and natural resource exploitation, which could curtail access to traditional natural resources and harm local livelihoods.</w:t>
            </w:r>
          </w:p>
        </w:tc>
        <w:tc>
          <w:tcPr>
            <w:tcW w:w="1761" w:type="dxa"/>
            <w:shd w:val="clear" w:color="auto" w:fill="auto"/>
          </w:tcPr>
          <w:p w14:paraId="7F5668BD" w14:textId="7781B264" w:rsidR="00077D48" w:rsidRPr="003F4704" w:rsidRDefault="00077D48" w:rsidP="00243B15">
            <w:pPr>
              <w:rPr>
                <w:rFonts w:eastAsia="Cambria"/>
                <w:sz w:val="18"/>
                <w:szCs w:val="18"/>
                <w:highlight w:val="green"/>
                <w:lang w:val="en-GB"/>
              </w:rPr>
            </w:pPr>
            <w:r w:rsidRPr="003F4704">
              <w:rPr>
                <w:rFonts w:eastAsia="Cambria"/>
                <w:sz w:val="18"/>
                <w:szCs w:val="18"/>
                <w:highlight w:val="green"/>
                <w:lang w:val="en-GB"/>
              </w:rPr>
              <w:t>Substantial</w:t>
            </w:r>
          </w:p>
        </w:tc>
        <w:tc>
          <w:tcPr>
            <w:tcW w:w="5508" w:type="dxa"/>
            <w:shd w:val="clear" w:color="auto" w:fill="auto"/>
          </w:tcPr>
          <w:p w14:paraId="7B980A96" w14:textId="77777777" w:rsidR="00077D48" w:rsidRPr="003F4704" w:rsidRDefault="00077D48" w:rsidP="00FB7FE9">
            <w:pPr>
              <w:jc w:val="left"/>
              <w:rPr>
                <w:sz w:val="18"/>
                <w:szCs w:val="18"/>
                <w:highlight w:val="green"/>
              </w:rPr>
            </w:pPr>
            <w:r w:rsidRPr="003F4704">
              <w:rPr>
                <w:sz w:val="18"/>
                <w:szCs w:val="18"/>
                <w:highlight w:val="green"/>
              </w:rPr>
              <w:t xml:space="preserve">The risk will be managed through the ESMP, the Action Matrix and Stakeholder consultations, in line with the Comprehensive Stakeholder Engagement Plan and the Indigenous Peoples Plan, ensuring that livelihoods are not adversely impacted by the project. </w:t>
            </w:r>
          </w:p>
          <w:p w14:paraId="30FD0E6D" w14:textId="12DB14C1" w:rsidR="00077D48" w:rsidRPr="003F4704" w:rsidRDefault="00077D48" w:rsidP="00FB7FE9">
            <w:pPr>
              <w:jc w:val="left"/>
              <w:rPr>
                <w:sz w:val="18"/>
                <w:szCs w:val="18"/>
                <w:highlight w:val="green"/>
              </w:rPr>
            </w:pPr>
            <w:r w:rsidRPr="003F4704">
              <w:rPr>
                <w:sz w:val="18"/>
                <w:szCs w:val="18"/>
                <w:highlight w:val="green"/>
              </w:rPr>
              <w:t>The impact assessment will identify any economic displacement, and strategies will be included to avoid, minimize or manage any such impacts. Where necessary, a Livelihood Action Plan will be produced to ensure that any such impacts are appropriately managed.</w:t>
            </w:r>
          </w:p>
        </w:tc>
      </w:tr>
      <w:tr w:rsidR="00077D48" w:rsidRPr="006E490C" w14:paraId="68A85ED4" w14:textId="77777777" w:rsidTr="001B5648">
        <w:tc>
          <w:tcPr>
            <w:tcW w:w="1290" w:type="dxa"/>
            <w:vMerge/>
            <w:shd w:val="clear" w:color="auto" w:fill="auto"/>
          </w:tcPr>
          <w:p w14:paraId="2493A79F" w14:textId="77777777" w:rsidR="00077D48" w:rsidRPr="006E490C" w:rsidRDefault="00077D48" w:rsidP="00243B15">
            <w:pPr>
              <w:rPr>
                <w:sz w:val="18"/>
                <w:szCs w:val="18"/>
              </w:rPr>
            </w:pPr>
          </w:p>
        </w:tc>
        <w:tc>
          <w:tcPr>
            <w:tcW w:w="2231" w:type="dxa"/>
            <w:shd w:val="clear" w:color="auto" w:fill="auto"/>
          </w:tcPr>
          <w:p w14:paraId="4F923E13" w14:textId="7AE8B268" w:rsidR="00077D48" w:rsidRPr="003F4704" w:rsidRDefault="00077D48" w:rsidP="00243B15">
            <w:pPr>
              <w:jc w:val="left"/>
              <w:rPr>
                <w:rFonts w:cs="Segoe UI"/>
                <w:color w:val="000000"/>
                <w:sz w:val="18"/>
                <w:szCs w:val="18"/>
                <w:highlight w:val="green"/>
                <w:lang w:val="en-CA"/>
              </w:rPr>
            </w:pPr>
            <w:r w:rsidRPr="003F4704">
              <w:rPr>
                <w:sz w:val="18"/>
                <w:szCs w:val="18"/>
                <w:highlight w:val="green"/>
              </w:rPr>
              <w:t>The project affects the development priorities and cultural heritage or natural features with cultural significance of some indigenous peoples, considering that the project is expected to catalyze more sustainable land use, natural resource exploitation and ecosystem management, which could curtail access to traditional natural resources and harm local livelihoods</w:t>
            </w:r>
          </w:p>
        </w:tc>
        <w:tc>
          <w:tcPr>
            <w:tcW w:w="1761" w:type="dxa"/>
            <w:shd w:val="clear" w:color="auto" w:fill="auto"/>
          </w:tcPr>
          <w:p w14:paraId="38644B66" w14:textId="1FA99B25" w:rsidR="00077D48" w:rsidRPr="003F4704" w:rsidRDefault="00077D48" w:rsidP="00243B15">
            <w:pPr>
              <w:rPr>
                <w:rFonts w:eastAsia="Cambria"/>
                <w:sz w:val="18"/>
                <w:szCs w:val="18"/>
                <w:highlight w:val="green"/>
                <w:lang w:val="en-GB"/>
              </w:rPr>
            </w:pPr>
            <w:r w:rsidRPr="003F4704">
              <w:rPr>
                <w:rFonts w:eastAsia="Cambria"/>
                <w:sz w:val="18"/>
                <w:szCs w:val="18"/>
                <w:highlight w:val="green"/>
                <w:lang w:val="en-GB"/>
              </w:rPr>
              <w:t>Substantial</w:t>
            </w:r>
          </w:p>
        </w:tc>
        <w:tc>
          <w:tcPr>
            <w:tcW w:w="5508" w:type="dxa"/>
            <w:shd w:val="clear" w:color="auto" w:fill="auto"/>
          </w:tcPr>
          <w:p w14:paraId="380248DD" w14:textId="77777777" w:rsidR="00077D48" w:rsidRPr="003F4704" w:rsidRDefault="00077D48" w:rsidP="00BD55E9">
            <w:pPr>
              <w:jc w:val="left"/>
              <w:rPr>
                <w:sz w:val="18"/>
                <w:szCs w:val="18"/>
                <w:highlight w:val="green"/>
              </w:rPr>
            </w:pPr>
            <w:r w:rsidRPr="003F4704">
              <w:rPr>
                <w:sz w:val="18"/>
                <w:szCs w:val="18"/>
                <w:highlight w:val="green"/>
              </w:rPr>
              <w:t>Further FPIC consultations will be on-going and followed during project implementation, following the measures summarized in the ESMF, in the Indigenous Peoples Planning Framework (as IPPF) and in the Indigenous Peoples Plan that will be prepared as part of the subsequent ESMP as required by ESIA assessment reports.</w:t>
            </w:r>
          </w:p>
          <w:p w14:paraId="4AB21975" w14:textId="77777777" w:rsidR="00077D48" w:rsidRPr="003F4704" w:rsidRDefault="00077D48" w:rsidP="00BD55E9">
            <w:pPr>
              <w:jc w:val="left"/>
              <w:rPr>
                <w:sz w:val="18"/>
                <w:szCs w:val="18"/>
                <w:highlight w:val="green"/>
              </w:rPr>
            </w:pPr>
            <w:r w:rsidRPr="003F4704">
              <w:rPr>
                <w:sz w:val="18"/>
                <w:szCs w:val="18"/>
                <w:highlight w:val="green"/>
              </w:rPr>
              <w:t xml:space="preserve">The Comprehensive Stakeholder Engagement Plan - in which inputs from the Indigenous Peoples Plan will be considered - will include consultations with stakeholders involved in cultural heritage management. </w:t>
            </w:r>
          </w:p>
          <w:p w14:paraId="7AAD627D" w14:textId="1E0DEFF5" w:rsidR="00077D48" w:rsidRPr="003F4704" w:rsidRDefault="00077D48" w:rsidP="00BD55E9">
            <w:pPr>
              <w:jc w:val="left"/>
              <w:rPr>
                <w:sz w:val="18"/>
                <w:szCs w:val="18"/>
                <w:highlight w:val="green"/>
              </w:rPr>
            </w:pPr>
            <w:r w:rsidRPr="003F4704">
              <w:rPr>
                <w:sz w:val="18"/>
                <w:szCs w:val="18"/>
                <w:highlight w:val="green"/>
              </w:rPr>
              <w:t>The management of this risk will be included into the ESMP, based on ESIA findings.</w:t>
            </w:r>
          </w:p>
        </w:tc>
      </w:tr>
      <w:tr w:rsidR="00077D48" w:rsidRPr="006E490C" w14:paraId="697E668D" w14:textId="77777777" w:rsidTr="001B5648">
        <w:tc>
          <w:tcPr>
            <w:tcW w:w="1290" w:type="dxa"/>
            <w:vMerge/>
            <w:shd w:val="clear" w:color="auto" w:fill="auto"/>
          </w:tcPr>
          <w:p w14:paraId="004702D9" w14:textId="77777777" w:rsidR="00077D48" w:rsidRPr="006E490C" w:rsidRDefault="00077D48" w:rsidP="00243B15">
            <w:pPr>
              <w:rPr>
                <w:sz w:val="18"/>
                <w:szCs w:val="18"/>
              </w:rPr>
            </w:pPr>
          </w:p>
        </w:tc>
        <w:tc>
          <w:tcPr>
            <w:tcW w:w="2231" w:type="dxa"/>
            <w:shd w:val="clear" w:color="auto" w:fill="auto"/>
          </w:tcPr>
          <w:p w14:paraId="3F44FE39" w14:textId="55EF5C02" w:rsidR="00077D48" w:rsidRPr="00755BF9" w:rsidRDefault="00077D48" w:rsidP="00755BF9">
            <w:pPr>
              <w:ind w:right="72"/>
              <w:rPr>
                <w:sz w:val="18"/>
                <w:szCs w:val="18"/>
                <w:highlight w:val="green"/>
              </w:rPr>
            </w:pPr>
            <w:r w:rsidRPr="003F4704">
              <w:rPr>
                <w:sz w:val="18"/>
                <w:szCs w:val="18"/>
                <w:highlight w:val="green"/>
              </w:rPr>
              <w:t xml:space="preserve">Rights-holders do not have the capacity to claim relevant rights, especially amongst less educated rural populations, some of which are indigenous peoples/local communities. </w:t>
            </w:r>
          </w:p>
        </w:tc>
        <w:tc>
          <w:tcPr>
            <w:tcW w:w="1761" w:type="dxa"/>
            <w:shd w:val="clear" w:color="auto" w:fill="auto"/>
          </w:tcPr>
          <w:p w14:paraId="54D99DCF" w14:textId="0C85BEE9" w:rsidR="00077D48" w:rsidRPr="003F4704" w:rsidRDefault="00077D48" w:rsidP="00243B15">
            <w:pPr>
              <w:rPr>
                <w:rFonts w:eastAsia="Cambria"/>
                <w:sz w:val="18"/>
                <w:szCs w:val="18"/>
                <w:highlight w:val="green"/>
                <w:lang w:val="en-GB"/>
              </w:rPr>
            </w:pPr>
            <w:r w:rsidRPr="003F4704">
              <w:rPr>
                <w:rFonts w:eastAsia="Cambria"/>
                <w:sz w:val="18"/>
                <w:szCs w:val="18"/>
                <w:highlight w:val="green"/>
                <w:lang w:val="en-GB"/>
              </w:rPr>
              <w:t>Substantial</w:t>
            </w:r>
          </w:p>
        </w:tc>
        <w:tc>
          <w:tcPr>
            <w:tcW w:w="5508" w:type="dxa"/>
            <w:shd w:val="clear" w:color="auto" w:fill="auto"/>
          </w:tcPr>
          <w:p w14:paraId="4249F9FC" w14:textId="77777777" w:rsidR="00077D48" w:rsidRPr="003F4704" w:rsidRDefault="00077D48" w:rsidP="009176E5">
            <w:pPr>
              <w:jc w:val="left"/>
              <w:rPr>
                <w:sz w:val="18"/>
                <w:szCs w:val="18"/>
                <w:highlight w:val="green"/>
              </w:rPr>
            </w:pPr>
            <w:r w:rsidRPr="003F4704">
              <w:rPr>
                <w:sz w:val="18"/>
                <w:szCs w:val="18"/>
                <w:highlight w:val="green"/>
              </w:rPr>
              <w:t>During the PPG, a Stakeholder Engagement Plan and a Gender Action Plan have been developed and will ensure local communities and vulnerable people, such as women, are involved in project implementation and can have access to a feedback mechanism ensuring their meaningful participation to project activities.</w:t>
            </w:r>
          </w:p>
          <w:p w14:paraId="2B081BAE" w14:textId="77777777" w:rsidR="00077D48" w:rsidRPr="003F4704" w:rsidRDefault="00077D48" w:rsidP="009176E5">
            <w:pPr>
              <w:jc w:val="left"/>
              <w:rPr>
                <w:sz w:val="18"/>
                <w:szCs w:val="18"/>
                <w:highlight w:val="green"/>
              </w:rPr>
            </w:pPr>
            <w:r w:rsidRPr="003F4704">
              <w:rPr>
                <w:sz w:val="18"/>
                <w:szCs w:val="18"/>
                <w:highlight w:val="green"/>
              </w:rPr>
              <w:t>A Comprehensive Stakeholder Engagement Plan will be developed during the first 6 months of the project, including the Stakeholder Analysis</w:t>
            </w:r>
          </w:p>
          <w:p w14:paraId="711AA199" w14:textId="77777777" w:rsidR="00077D48" w:rsidRPr="003F4704" w:rsidRDefault="00077D48" w:rsidP="009176E5">
            <w:pPr>
              <w:jc w:val="left"/>
              <w:rPr>
                <w:sz w:val="18"/>
                <w:szCs w:val="18"/>
                <w:highlight w:val="green"/>
              </w:rPr>
            </w:pPr>
            <w:r w:rsidRPr="003F4704">
              <w:rPr>
                <w:sz w:val="18"/>
                <w:szCs w:val="18"/>
                <w:highlight w:val="green"/>
              </w:rPr>
              <w:t xml:space="preserve">An ESMF (Environmental and Social Management Framework) (including an IPPF (Indigenous People Planning Framework) is developed during PPG and an ESMP (Environmental and Social </w:t>
            </w:r>
            <w:r w:rsidRPr="003F4704">
              <w:rPr>
                <w:sz w:val="18"/>
                <w:szCs w:val="18"/>
                <w:highlight w:val="green"/>
              </w:rPr>
              <w:lastRenderedPageBreak/>
              <w:t>Management Plan) will be developed by the first year of project implementation, based on the ESIA findings.</w:t>
            </w:r>
          </w:p>
          <w:p w14:paraId="25B65E0C" w14:textId="32B8D86B" w:rsidR="00077D48" w:rsidRPr="003F4704" w:rsidRDefault="00077D48" w:rsidP="009176E5">
            <w:pPr>
              <w:jc w:val="left"/>
              <w:rPr>
                <w:sz w:val="18"/>
                <w:szCs w:val="18"/>
                <w:highlight w:val="green"/>
              </w:rPr>
            </w:pPr>
            <w:r w:rsidRPr="003F4704">
              <w:rPr>
                <w:sz w:val="18"/>
                <w:szCs w:val="18"/>
                <w:highlight w:val="green"/>
              </w:rPr>
              <w:t>An Indigenous Peoples Plan will be developed by the first year of the project, ensuring the involvement and engagement, including the FPIC process, of any indigenous peoples’ groups, tribes or ethnic minorities who can be involved in the data collection and analysis.</w:t>
            </w:r>
          </w:p>
          <w:p w14:paraId="6042C8C0" w14:textId="77777777" w:rsidR="00077D48" w:rsidRPr="003F4704" w:rsidRDefault="00077D48" w:rsidP="009176E5">
            <w:pPr>
              <w:jc w:val="left"/>
              <w:rPr>
                <w:sz w:val="18"/>
                <w:szCs w:val="18"/>
                <w:highlight w:val="green"/>
              </w:rPr>
            </w:pPr>
            <w:r w:rsidRPr="003F4704">
              <w:rPr>
                <w:sz w:val="18"/>
                <w:szCs w:val="18"/>
                <w:highlight w:val="green"/>
              </w:rPr>
              <w:t>The Gender Action Plan will be updated by the first year of the project, based on the Comprehensive Stakeholder Engagement Plan</w:t>
            </w:r>
          </w:p>
          <w:p w14:paraId="7D1C5825" w14:textId="77777777" w:rsidR="00077D48" w:rsidRPr="003F4704" w:rsidRDefault="00077D48" w:rsidP="009176E5">
            <w:pPr>
              <w:jc w:val="left"/>
              <w:rPr>
                <w:sz w:val="18"/>
                <w:szCs w:val="18"/>
                <w:highlight w:val="green"/>
              </w:rPr>
            </w:pPr>
            <w:r w:rsidRPr="003F4704">
              <w:rPr>
                <w:sz w:val="18"/>
                <w:szCs w:val="18"/>
                <w:highlight w:val="green"/>
              </w:rPr>
              <w:t>A Grievance Redress Mechanism will be developed by the first 3 months of the project. This mechanism will ensure stakeholder (especially the most vulnerable) can have access to a feedback mechanism ensuring their meaningful participation to project activities.</w:t>
            </w:r>
          </w:p>
          <w:p w14:paraId="436E80F2" w14:textId="77777777" w:rsidR="00077D48" w:rsidRPr="003F4704" w:rsidRDefault="00077D48" w:rsidP="009176E5">
            <w:pPr>
              <w:jc w:val="left"/>
              <w:rPr>
                <w:sz w:val="18"/>
                <w:szCs w:val="18"/>
                <w:highlight w:val="green"/>
              </w:rPr>
            </w:pPr>
            <w:r w:rsidRPr="003F4704">
              <w:rPr>
                <w:sz w:val="18"/>
                <w:szCs w:val="18"/>
                <w:highlight w:val="green"/>
              </w:rPr>
              <w:t>The FPIC will be ensured during project implementation with the aim of achieving initial consent from the specific rights-holders, in line with Standard 6 requirements. FPIC will be applied to all project-affected groups and communities with respect to project activities and plans, and the principles and key concepts of Standard 6 will be fully reflected in the ESMF/ESMP, and the approach to Stakeholder Engagement.</w:t>
            </w:r>
          </w:p>
          <w:p w14:paraId="3B87F2E7" w14:textId="77777777" w:rsidR="00077D48" w:rsidRPr="003F4704" w:rsidRDefault="00077D48" w:rsidP="00243B15">
            <w:pPr>
              <w:jc w:val="left"/>
              <w:rPr>
                <w:sz w:val="18"/>
                <w:szCs w:val="18"/>
                <w:highlight w:val="green"/>
              </w:rPr>
            </w:pPr>
          </w:p>
        </w:tc>
      </w:tr>
      <w:tr w:rsidR="00077D48" w:rsidRPr="006E490C" w14:paraId="5BBB2BF0" w14:textId="77777777" w:rsidTr="00606652">
        <w:trPr>
          <w:trHeight w:val="3808"/>
        </w:trPr>
        <w:tc>
          <w:tcPr>
            <w:tcW w:w="1290" w:type="dxa"/>
            <w:vMerge/>
            <w:shd w:val="clear" w:color="auto" w:fill="auto"/>
          </w:tcPr>
          <w:p w14:paraId="2420E119" w14:textId="77777777" w:rsidR="00077D48" w:rsidRPr="006E490C" w:rsidRDefault="00077D48" w:rsidP="00243B15">
            <w:pPr>
              <w:rPr>
                <w:sz w:val="18"/>
                <w:szCs w:val="18"/>
              </w:rPr>
            </w:pPr>
          </w:p>
        </w:tc>
        <w:tc>
          <w:tcPr>
            <w:tcW w:w="2231" w:type="dxa"/>
            <w:shd w:val="clear" w:color="auto" w:fill="auto"/>
          </w:tcPr>
          <w:p w14:paraId="1C683375" w14:textId="7101877B" w:rsidR="00077D48" w:rsidRPr="003F4704" w:rsidRDefault="00077D48" w:rsidP="00243B15">
            <w:pPr>
              <w:jc w:val="left"/>
              <w:rPr>
                <w:rFonts w:cs="Segoe UI"/>
                <w:color w:val="000000"/>
                <w:sz w:val="18"/>
                <w:szCs w:val="18"/>
                <w:highlight w:val="green"/>
                <w:lang w:val="en-CA"/>
              </w:rPr>
            </w:pPr>
            <w:r w:rsidRPr="003F4704">
              <w:rPr>
                <w:sz w:val="18"/>
                <w:szCs w:val="18"/>
                <w:highlight w:val="green"/>
              </w:rPr>
              <w:t>Duty-bearers (government and private sector partners) do not have the capacity to meet their obligations in respecting and protecting the human rights of affected populations</w:t>
            </w:r>
          </w:p>
        </w:tc>
        <w:tc>
          <w:tcPr>
            <w:tcW w:w="1761" w:type="dxa"/>
            <w:shd w:val="clear" w:color="auto" w:fill="auto"/>
          </w:tcPr>
          <w:p w14:paraId="648ACBE5" w14:textId="04A1C650" w:rsidR="00077D48" w:rsidRPr="003F4704" w:rsidRDefault="00077D48" w:rsidP="00243B15">
            <w:pPr>
              <w:rPr>
                <w:rFonts w:eastAsia="Cambria"/>
                <w:sz w:val="18"/>
                <w:szCs w:val="18"/>
                <w:highlight w:val="green"/>
                <w:lang w:val="en-GB"/>
              </w:rPr>
            </w:pPr>
            <w:r w:rsidRPr="003F4704">
              <w:rPr>
                <w:rFonts w:eastAsia="Cambria"/>
                <w:sz w:val="18"/>
                <w:szCs w:val="18"/>
                <w:highlight w:val="green"/>
                <w:lang w:val="en-GB"/>
              </w:rPr>
              <w:t>Moderate</w:t>
            </w:r>
          </w:p>
        </w:tc>
        <w:tc>
          <w:tcPr>
            <w:tcW w:w="5508" w:type="dxa"/>
            <w:shd w:val="clear" w:color="auto" w:fill="auto"/>
          </w:tcPr>
          <w:p w14:paraId="569133C7" w14:textId="77777777" w:rsidR="00077D48" w:rsidRPr="003F4704" w:rsidRDefault="00077D48" w:rsidP="00474894">
            <w:pPr>
              <w:jc w:val="left"/>
              <w:rPr>
                <w:sz w:val="18"/>
                <w:szCs w:val="18"/>
                <w:highlight w:val="green"/>
              </w:rPr>
            </w:pPr>
            <w:r w:rsidRPr="003F4704">
              <w:rPr>
                <w:sz w:val="18"/>
                <w:szCs w:val="18"/>
                <w:highlight w:val="green"/>
              </w:rPr>
              <w:t>The risk will be managed through:</w:t>
            </w:r>
          </w:p>
          <w:p w14:paraId="6ACCC3B1" w14:textId="77777777" w:rsidR="005979FD" w:rsidRPr="003F4704" w:rsidRDefault="005979FD" w:rsidP="00C46720">
            <w:pPr>
              <w:pStyle w:val="Paragraphedeliste"/>
              <w:numPr>
                <w:ilvl w:val="0"/>
                <w:numId w:val="62"/>
              </w:numPr>
              <w:rPr>
                <w:rFonts w:asciiTheme="minorHAnsi" w:hAnsiTheme="minorHAnsi" w:cstheme="minorHAnsi"/>
                <w:sz w:val="18"/>
                <w:szCs w:val="18"/>
                <w:highlight w:val="green"/>
              </w:rPr>
            </w:pPr>
            <w:r w:rsidRPr="003F4704">
              <w:rPr>
                <w:rFonts w:asciiTheme="minorHAnsi" w:hAnsiTheme="minorHAnsi" w:cstheme="minorHAnsi"/>
                <w:sz w:val="18"/>
                <w:szCs w:val="18"/>
                <w:highlight w:val="green"/>
              </w:rPr>
              <w:t>The Action Matrix, as report of SESA findings</w:t>
            </w:r>
          </w:p>
          <w:p w14:paraId="1B7C3648" w14:textId="5357CFD3" w:rsidR="00077D48" w:rsidRPr="00755BF9" w:rsidRDefault="00077D48" w:rsidP="00C46720">
            <w:pPr>
              <w:pStyle w:val="Paragraphedeliste"/>
              <w:numPr>
                <w:ilvl w:val="0"/>
                <w:numId w:val="62"/>
              </w:numPr>
              <w:rPr>
                <w:rFonts w:asciiTheme="minorHAnsi" w:hAnsiTheme="minorHAnsi" w:cstheme="minorHAnsi"/>
                <w:sz w:val="18"/>
                <w:szCs w:val="18"/>
                <w:highlight w:val="green"/>
              </w:rPr>
            </w:pPr>
            <w:r w:rsidRPr="00755BF9">
              <w:rPr>
                <w:rFonts w:asciiTheme="minorHAnsi" w:hAnsiTheme="minorHAnsi" w:cstheme="minorHAnsi"/>
                <w:sz w:val="18"/>
                <w:szCs w:val="18"/>
                <w:highlight w:val="green"/>
              </w:rPr>
              <w:t>The Stakeholder Engagement Plan and the Gender Action Plan, that have been developed during PPG.</w:t>
            </w:r>
          </w:p>
          <w:p w14:paraId="073B2B98" w14:textId="36AC3905" w:rsidR="00077D48" w:rsidRPr="00755BF9" w:rsidRDefault="00077D48" w:rsidP="00C46720">
            <w:pPr>
              <w:pStyle w:val="Paragraphedeliste"/>
              <w:numPr>
                <w:ilvl w:val="0"/>
                <w:numId w:val="62"/>
              </w:numPr>
              <w:rPr>
                <w:rFonts w:asciiTheme="minorHAnsi" w:hAnsiTheme="minorHAnsi" w:cstheme="minorHAnsi"/>
                <w:sz w:val="18"/>
                <w:szCs w:val="18"/>
                <w:highlight w:val="green"/>
              </w:rPr>
            </w:pPr>
            <w:r w:rsidRPr="00755BF9">
              <w:rPr>
                <w:rFonts w:asciiTheme="minorHAnsi" w:hAnsiTheme="minorHAnsi" w:cstheme="minorHAnsi"/>
                <w:sz w:val="18"/>
                <w:szCs w:val="18"/>
                <w:highlight w:val="green"/>
              </w:rPr>
              <w:t>The Comprehensive Stakeholder Engagement Plan, that will be developed during the first 6 months of the project, including the Stakeholder Analysis</w:t>
            </w:r>
          </w:p>
          <w:p w14:paraId="04042BFB" w14:textId="57103003" w:rsidR="00077D48" w:rsidRPr="00755BF9" w:rsidRDefault="00077D48" w:rsidP="00C46720">
            <w:pPr>
              <w:pStyle w:val="Paragraphedeliste"/>
              <w:numPr>
                <w:ilvl w:val="0"/>
                <w:numId w:val="62"/>
              </w:numPr>
              <w:rPr>
                <w:rFonts w:asciiTheme="minorHAnsi" w:hAnsiTheme="minorHAnsi" w:cstheme="minorHAnsi"/>
                <w:sz w:val="18"/>
                <w:szCs w:val="18"/>
                <w:highlight w:val="green"/>
              </w:rPr>
            </w:pPr>
            <w:r w:rsidRPr="00755BF9">
              <w:rPr>
                <w:rFonts w:asciiTheme="minorHAnsi" w:hAnsiTheme="minorHAnsi" w:cstheme="minorHAnsi"/>
                <w:sz w:val="18"/>
                <w:szCs w:val="18"/>
                <w:highlight w:val="green"/>
              </w:rPr>
              <w:t>The ESMP (Environmental and Social Management Plan), that will be developed by the first year of project implementation, based on the ESIA findings.</w:t>
            </w:r>
          </w:p>
          <w:p w14:paraId="2F17F3C8" w14:textId="279CC7C1" w:rsidR="00077D48" w:rsidRPr="00755BF9" w:rsidRDefault="00077D48" w:rsidP="00C46720">
            <w:pPr>
              <w:pStyle w:val="Paragraphedeliste"/>
              <w:numPr>
                <w:ilvl w:val="0"/>
                <w:numId w:val="62"/>
              </w:numPr>
              <w:rPr>
                <w:rFonts w:asciiTheme="minorHAnsi" w:hAnsiTheme="minorHAnsi" w:cstheme="minorHAnsi"/>
                <w:sz w:val="18"/>
                <w:szCs w:val="18"/>
                <w:highlight w:val="green"/>
              </w:rPr>
            </w:pPr>
            <w:r w:rsidRPr="00755BF9">
              <w:rPr>
                <w:rFonts w:asciiTheme="minorHAnsi" w:hAnsiTheme="minorHAnsi" w:cstheme="minorHAnsi"/>
                <w:sz w:val="18"/>
                <w:szCs w:val="18"/>
                <w:highlight w:val="green"/>
              </w:rPr>
              <w:t>An Indigenous Peoples Plan, that will be developed by the first year of the project</w:t>
            </w:r>
          </w:p>
          <w:p w14:paraId="44F010F4" w14:textId="2018931A" w:rsidR="00077D48" w:rsidRPr="00755BF9" w:rsidRDefault="00077D48" w:rsidP="00C46720">
            <w:pPr>
              <w:pStyle w:val="Paragraphedeliste"/>
              <w:numPr>
                <w:ilvl w:val="0"/>
                <w:numId w:val="62"/>
              </w:numPr>
              <w:rPr>
                <w:rFonts w:asciiTheme="minorHAnsi" w:hAnsiTheme="minorHAnsi" w:cstheme="minorHAnsi"/>
                <w:sz w:val="18"/>
                <w:szCs w:val="18"/>
                <w:highlight w:val="green"/>
              </w:rPr>
            </w:pPr>
            <w:r w:rsidRPr="00755BF9">
              <w:rPr>
                <w:rFonts w:asciiTheme="minorHAnsi" w:hAnsiTheme="minorHAnsi" w:cstheme="minorHAnsi"/>
                <w:sz w:val="18"/>
                <w:szCs w:val="18"/>
                <w:highlight w:val="green"/>
              </w:rPr>
              <w:t>The Gender Action Plan updated by the first year of the project, based on the Comprehensive Stakeholder Engagement Plan</w:t>
            </w:r>
          </w:p>
          <w:p w14:paraId="3BBCF977" w14:textId="3AC5C3BF" w:rsidR="00077D48" w:rsidRPr="00755BF9" w:rsidRDefault="00077D48" w:rsidP="00C46720">
            <w:pPr>
              <w:pStyle w:val="Paragraphedeliste"/>
              <w:numPr>
                <w:ilvl w:val="0"/>
                <w:numId w:val="62"/>
              </w:numPr>
              <w:rPr>
                <w:sz w:val="18"/>
                <w:szCs w:val="18"/>
                <w:highlight w:val="green"/>
              </w:rPr>
            </w:pPr>
            <w:r w:rsidRPr="00755BF9">
              <w:rPr>
                <w:rFonts w:asciiTheme="minorHAnsi" w:hAnsiTheme="minorHAnsi" w:cstheme="minorHAnsi"/>
                <w:sz w:val="18"/>
                <w:szCs w:val="18"/>
                <w:highlight w:val="green"/>
              </w:rPr>
              <w:t>A Grievance Redress Mechanism, that will be developed by the first 3 months of the project</w:t>
            </w:r>
          </w:p>
        </w:tc>
      </w:tr>
      <w:tr w:rsidR="00077D48" w:rsidRPr="006E490C" w14:paraId="484DF26F" w14:textId="77777777" w:rsidTr="00755BF9">
        <w:trPr>
          <w:trHeight w:val="1118"/>
        </w:trPr>
        <w:tc>
          <w:tcPr>
            <w:tcW w:w="1290" w:type="dxa"/>
            <w:vMerge/>
            <w:shd w:val="clear" w:color="auto" w:fill="auto"/>
          </w:tcPr>
          <w:p w14:paraId="7AAC0689" w14:textId="77777777" w:rsidR="00077D48" w:rsidRPr="006E490C" w:rsidRDefault="00077D48" w:rsidP="00243B15">
            <w:pPr>
              <w:rPr>
                <w:sz w:val="18"/>
                <w:szCs w:val="18"/>
              </w:rPr>
            </w:pPr>
          </w:p>
        </w:tc>
        <w:tc>
          <w:tcPr>
            <w:tcW w:w="2231" w:type="dxa"/>
            <w:shd w:val="clear" w:color="auto" w:fill="auto"/>
          </w:tcPr>
          <w:p w14:paraId="3483B2AD" w14:textId="785CF764" w:rsidR="00077D48" w:rsidRPr="003F4704" w:rsidRDefault="00077D48" w:rsidP="00243B15">
            <w:pPr>
              <w:jc w:val="left"/>
              <w:rPr>
                <w:sz w:val="18"/>
                <w:szCs w:val="18"/>
                <w:highlight w:val="green"/>
              </w:rPr>
            </w:pPr>
            <w:bookmarkStart w:id="19" w:name="_Hlk104648522"/>
            <w:r w:rsidRPr="003F4704">
              <w:rPr>
                <w:sz w:val="18"/>
                <w:szCs w:val="18"/>
                <w:highlight w:val="green"/>
                <w:lang w:val="en-GB"/>
              </w:rPr>
              <w:t>Project support directly or indirectly linked to rural livelihoods lead to child labour (boys and girls).</w:t>
            </w:r>
            <w:bookmarkEnd w:id="19"/>
          </w:p>
        </w:tc>
        <w:tc>
          <w:tcPr>
            <w:tcW w:w="1761" w:type="dxa"/>
            <w:shd w:val="clear" w:color="auto" w:fill="auto"/>
          </w:tcPr>
          <w:p w14:paraId="3B6A68E5" w14:textId="5D0C8356" w:rsidR="00077D48" w:rsidRPr="003F4704" w:rsidRDefault="00077D48" w:rsidP="00243B15">
            <w:pPr>
              <w:rPr>
                <w:rFonts w:eastAsia="Cambria"/>
                <w:sz w:val="18"/>
                <w:szCs w:val="18"/>
                <w:highlight w:val="green"/>
                <w:lang w:val="en-GB"/>
              </w:rPr>
            </w:pPr>
            <w:r w:rsidRPr="003F4704">
              <w:rPr>
                <w:rFonts w:eastAsia="Cambria"/>
                <w:sz w:val="18"/>
                <w:szCs w:val="18"/>
                <w:highlight w:val="green"/>
                <w:lang w:val="en-GB"/>
              </w:rPr>
              <w:t>Moderate</w:t>
            </w:r>
          </w:p>
        </w:tc>
        <w:tc>
          <w:tcPr>
            <w:tcW w:w="5508" w:type="dxa"/>
            <w:shd w:val="clear" w:color="auto" w:fill="auto"/>
          </w:tcPr>
          <w:p w14:paraId="7C46EF0E" w14:textId="27752B0A" w:rsidR="00077D48" w:rsidRPr="003F4704" w:rsidRDefault="00077D48" w:rsidP="00474894">
            <w:pPr>
              <w:jc w:val="left"/>
              <w:rPr>
                <w:sz w:val="18"/>
                <w:szCs w:val="18"/>
                <w:highlight w:val="green"/>
              </w:rPr>
            </w:pPr>
            <w:r w:rsidRPr="003F4704">
              <w:rPr>
                <w:sz w:val="18"/>
                <w:szCs w:val="18"/>
                <w:highlight w:val="green"/>
              </w:rPr>
              <w:t>This risk will be managed with the ESMP, and the Action Matrix based on ESIA and SESA findings.</w:t>
            </w:r>
          </w:p>
        </w:tc>
      </w:tr>
      <w:tr w:rsidR="00474894" w:rsidRPr="006E490C" w14:paraId="2DEBE976" w14:textId="77777777" w:rsidTr="00474894">
        <w:trPr>
          <w:trHeight w:val="3808"/>
        </w:trPr>
        <w:tc>
          <w:tcPr>
            <w:tcW w:w="1290" w:type="dxa"/>
            <w:shd w:val="clear" w:color="auto" w:fill="auto"/>
          </w:tcPr>
          <w:p w14:paraId="22B45336" w14:textId="77777777" w:rsidR="00474894" w:rsidRPr="006E490C" w:rsidRDefault="00474894" w:rsidP="00243B15">
            <w:pPr>
              <w:rPr>
                <w:sz w:val="18"/>
                <w:szCs w:val="18"/>
              </w:rPr>
            </w:pPr>
          </w:p>
        </w:tc>
        <w:tc>
          <w:tcPr>
            <w:tcW w:w="2231" w:type="dxa"/>
            <w:shd w:val="clear" w:color="auto" w:fill="auto"/>
          </w:tcPr>
          <w:p w14:paraId="7AE90B0A" w14:textId="7C911A80" w:rsidR="00474894" w:rsidRPr="003F4704" w:rsidRDefault="00474894" w:rsidP="00243B15">
            <w:pPr>
              <w:jc w:val="left"/>
              <w:rPr>
                <w:sz w:val="18"/>
                <w:szCs w:val="18"/>
                <w:highlight w:val="green"/>
              </w:rPr>
            </w:pPr>
            <w:r w:rsidRPr="003F4704">
              <w:rPr>
                <w:rFonts w:cstheme="minorHAnsi"/>
                <w:sz w:val="18"/>
                <w:highlight w:val="green"/>
                <w:lang w:val="en-GB"/>
              </w:rPr>
              <w:t xml:space="preserve">Project implementation can indirectly lead to </w:t>
            </w:r>
            <w:r w:rsidRPr="003F4704">
              <w:rPr>
                <w:sz w:val="18"/>
                <w:highlight w:val="green"/>
                <w:lang w:val="en-GB"/>
              </w:rPr>
              <w:t>discriminatory working conditions and/or lack of equal</w:t>
            </w:r>
            <w:r w:rsidRPr="003F4704">
              <w:rPr>
                <w:spacing w:val="-6"/>
                <w:sz w:val="18"/>
                <w:highlight w:val="green"/>
                <w:lang w:val="en-GB"/>
              </w:rPr>
              <w:t xml:space="preserve"> </w:t>
            </w:r>
            <w:r w:rsidRPr="003F4704">
              <w:rPr>
                <w:sz w:val="18"/>
                <w:highlight w:val="green"/>
                <w:lang w:val="en-GB"/>
              </w:rPr>
              <w:t>opportunity</w:t>
            </w:r>
          </w:p>
        </w:tc>
        <w:tc>
          <w:tcPr>
            <w:tcW w:w="1761" w:type="dxa"/>
            <w:shd w:val="clear" w:color="auto" w:fill="auto"/>
          </w:tcPr>
          <w:p w14:paraId="59598953" w14:textId="0707EF74" w:rsidR="00474894" w:rsidRPr="003F4704" w:rsidRDefault="00474894" w:rsidP="00243B15">
            <w:pPr>
              <w:rPr>
                <w:rFonts w:eastAsia="Cambria"/>
                <w:sz w:val="18"/>
                <w:szCs w:val="18"/>
                <w:highlight w:val="green"/>
                <w:lang w:val="en-GB"/>
              </w:rPr>
            </w:pPr>
            <w:r w:rsidRPr="003F4704">
              <w:rPr>
                <w:rFonts w:eastAsia="Cambria"/>
                <w:sz w:val="18"/>
                <w:szCs w:val="18"/>
                <w:highlight w:val="green"/>
                <w:lang w:val="en-GB"/>
              </w:rPr>
              <w:t>Substantial</w:t>
            </w:r>
          </w:p>
        </w:tc>
        <w:tc>
          <w:tcPr>
            <w:tcW w:w="5508" w:type="dxa"/>
            <w:shd w:val="clear" w:color="auto" w:fill="auto"/>
          </w:tcPr>
          <w:p w14:paraId="4A21D663" w14:textId="77777777" w:rsidR="00474894" w:rsidRPr="003F4704" w:rsidRDefault="00474894" w:rsidP="00474894">
            <w:pPr>
              <w:jc w:val="left"/>
              <w:rPr>
                <w:sz w:val="18"/>
                <w:szCs w:val="18"/>
                <w:highlight w:val="green"/>
              </w:rPr>
            </w:pPr>
            <w:r w:rsidRPr="003F4704">
              <w:rPr>
                <w:sz w:val="18"/>
                <w:szCs w:val="18"/>
                <w:highlight w:val="green"/>
              </w:rPr>
              <w:t xml:space="preserve">The following are the management measures to mitigate this risk:  </w:t>
            </w:r>
          </w:p>
          <w:p w14:paraId="0F2A67F6" w14:textId="626BB50A" w:rsidR="00474894" w:rsidRPr="00755BF9" w:rsidRDefault="00474894" w:rsidP="00C46720">
            <w:pPr>
              <w:pStyle w:val="Paragraphedeliste"/>
              <w:numPr>
                <w:ilvl w:val="0"/>
                <w:numId w:val="63"/>
              </w:numPr>
              <w:rPr>
                <w:rFonts w:asciiTheme="minorHAnsi" w:hAnsiTheme="minorHAnsi" w:cstheme="minorHAnsi"/>
                <w:sz w:val="18"/>
                <w:szCs w:val="18"/>
                <w:highlight w:val="green"/>
              </w:rPr>
            </w:pPr>
            <w:r w:rsidRPr="00755BF9">
              <w:rPr>
                <w:rFonts w:asciiTheme="minorHAnsi" w:hAnsiTheme="minorHAnsi" w:cstheme="minorHAnsi"/>
                <w:sz w:val="18"/>
                <w:szCs w:val="18"/>
                <w:highlight w:val="green"/>
              </w:rPr>
              <w:t>The Indigenous Peoples Plan will include the Gender approach, considering the differences among groups/communities.</w:t>
            </w:r>
          </w:p>
          <w:p w14:paraId="68E31398" w14:textId="590D287B" w:rsidR="00474894" w:rsidRPr="00755BF9" w:rsidRDefault="00474894" w:rsidP="00C46720">
            <w:pPr>
              <w:pStyle w:val="Paragraphedeliste"/>
              <w:numPr>
                <w:ilvl w:val="0"/>
                <w:numId w:val="63"/>
              </w:numPr>
              <w:rPr>
                <w:rFonts w:asciiTheme="minorHAnsi" w:hAnsiTheme="minorHAnsi" w:cstheme="minorHAnsi"/>
                <w:sz w:val="18"/>
                <w:szCs w:val="18"/>
                <w:highlight w:val="green"/>
              </w:rPr>
            </w:pPr>
            <w:r w:rsidRPr="00755BF9">
              <w:rPr>
                <w:rFonts w:asciiTheme="minorHAnsi" w:hAnsiTheme="minorHAnsi" w:cstheme="minorHAnsi"/>
                <w:sz w:val="18"/>
                <w:szCs w:val="18"/>
                <w:highlight w:val="green"/>
              </w:rPr>
              <w:t>The consultation of women and girls will be ensured during project implementation, especially in planning, monitoring and reporting processes.</w:t>
            </w:r>
          </w:p>
          <w:p w14:paraId="6A739624" w14:textId="1860046F" w:rsidR="00474894" w:rsidRPr="00755BF9" w:rsidRDefault="00474894" w:rsidP="00C46720">
            <w:pPr>
              <w:pStyle w:val="Paragraphedeliste"/>
              <w:numPr>
                <w:ilvl w:val="0"/>
                <w:numId w:val="63"/>
              </w:numPr>
              <w:rPr>
                <w:rFonts w:asciiTheme="minorHAnsi" w:hAnsiTheme="minorHAnsi" w:cstheme="minorHAnsi"/>
                <w:sz w:val="18"/>
                <w:szCs w:val="18"/>
                <w:highlight w:val="green"/>
              </w:rPr>
            </w:pPr>
            <w:r w:rsidRPr="00755BF9">
              <w:rPr>
                <w:rFonts w:asciiTheme="minorHAnsi" w:hAnsiTheme="minorHAnsi" w:cstheme="minorHAnsi"/>
                <w:sz w:val="18"/>
                <w:szCs w:val="18"/>
                <w:highlight w:val="green"/>
              </w:rPr>
              <w:t xml:space="preserve">Informed by the Gender Analysis, the Gender Action Plan has been developed – and will be updated - to actively promote the role of women and girls in the project and will be updated by the first year of the project. </w:t>
            </w:r>
          </w:p>
          <w:p w14:paraId="6F53E0CE" w14:textId="54CAEC7C" w:rsidR="00474894" w:rsidRPr="00755BF9" w:rsidRDefault="00474894" w:rsidP="00C46720">
            <w:pPr>
              <w:pStyle w:val="Paragraphedeliste"/>
              <w:numPr>
                <w:ilvl w:val="0"/>
                <w:numId w:val="63"/>
              </w:numPr>
              <w:rPr>
                <w:rFonts w:asciiTheme="minorHAnsi" w:hAnsiTheme="minorHAnsi" w:cstheme="minorHAnsi"/>
                <w:sz w:val="18"/>
                <w:szCs w:val="18"/>
                <w:highlight w:val="green"/>
              </w:rPr>
            </w:pPr>
            <w:r w:rsidRPr="00755BF9">
              <w:rPr>
                <w:rFonts w:asciiTheme="minorHAnsi" w:hAnsiTheme="minorHAnsi" w:cstheme="minorHAnsi"/>
                <w:sz w:val="18"/>
                <w:szCs w:val="18"/>
                <w:highlight w:val="green"/>
              </w:rPr>
              <w:t>The Comprehensive Stakeholder Engagement Plan will also include women’s engagement in project related activities.</w:t>
            </w:r>
          </w:p>
          <w:p w14:paraId="7FE43718" w14:textId="18A24AF3" w:rsidR="00474894" w:rsidRPr="00755BF9" w:rsidRDefault="00474894" w:rsidP="00C46720">
            <w:pPr>
              <w:pStyle w:val="Paragraphedeliste"/>
              <w:numPr>
                <w:ilvl w:val="0"/>
                <w:numId w:val="63"/>
              </w:numPr>
              <w:rPr>
                <w:rFonts w:asciiTheme="minorHAnsi" w:hAnsiTheme="minorHAnsi" w:cstheme="minorHAnsi"/>
                <w:sz w:val="18"/>
                <w:szCs w:val="18"/>
                <w:highlight w:val="green"/>
              </w:rPr>
            </w:pPr>
            <w:r w:rsidRPr="00755BF9">
              <w:rPr>
                <w:rFonts w:asciiTheme="minorHAnsi" w:hAnsiTheme="minorHAnsi" w:cstheme="minorHAnsi"/>
                <w:sz w:val="18"/>
                <w:szCs w:val="18"/>
                <w:highlight w:val="green"/>
              </w:rPr>
              <w:t>As Stakeholders and as project beneficiaries, women will have access to the project Grievance Redress Mechanism.</w:t>
            </w:r>
          </w:p>
          <w:p w14:paraId="53E57543" w14:textId="501A0846" w:rsidR="00474894" w:rsidRPr="00755BF9" w:rsidRDefault="00474894" w:rsidP="00C46720">
            <w:pPr>
              <w:pStyle w:val="Paragraphedeliste"/>
              <w:numPr>
                <w:ilvl w:val="0"/>
                <w:numId w:val="63"/>
              </w:numPr>
              <w:rPr>
                <w:rFonts w:asciiTheme="minorHAnsi" w:hAnsiTheme="minorHAnsi" w:cstheme="minorHAnsi"/>
                <w:sz w:val="18"/>
                <w:szCs w:val="18"/>
                <w:highlight w:val="green"/>
              </w:rPr>
            </w:pPr>
            <w:r w:rsidRPr="00755BF9">
              <w:rPr>
                <w:rFonts w:asciiTheme="minorHAnsi" w:hAnsiTheme="minorHAnsi" w:cstheme="minorHAnsi"/>
                <w:sz w:val="18"/>
                <w:szCs w:val="18"/>
                <w:highlight w:val="green"/>
              </w:rPr>
              <w:t xml:space="preserve">The SESA findings will be included in the Action Matrix </w:t>
            </w:r>
          </w:p>
          <w:p w14:paraId="24D05B24" w14:textId="77777777" w:rsidR="00474894" w:rsidRPr="003F4704" w:rsidRDefault="00474894" w:rsidP="00474894">
            <w:pPr>
              <w:jc w:val="left"/>
              <w:rPr>
                <w:sz w:val="18"/>
                <w:szCs w:val="18"/>
                <w:highlight w:val="green"/>
              </w:rPr>
            </w:pPr>
            <w:r w:rsidRPr="003F4704">
              <w:rPr>
                <w:sz w:val="18"/>
                <w:szCs w:val="18"/>
                <w:highlight w:val="green"/>
              </w:rPr>
              <w:t>An analysis of gender-specific issues was carried out and a gender-specific project integration plan developed during project development.</w:t>
            </w:r>
          </w:p>
          <w:p w14:paraId="684538B6" w14:textId="77777777" w:rsidR="00474894" w:rsidRPr="003F4704" w:rsidRDefault="00474894" w:rsidP="00474894">
            <w:pPr>
              <w:jc w:val="left"/>
              <w:rPr>
                <w:sz w:val="18"/>
                <w:szCs w:val="18"/>
                <w:highlight w:val="green"/>
              </w:rPr>
            </w:pPr>
            <w:r w:rsidRPr="003F4704">
              <w:rPr>
                <w:sz w:val="18"/>
                <w:szCs w:val="18"/>
                <w:highlight w:val="green"/>
              </w:rPr>
              <w:lastRenderedPageBreak/>
              <w:t>In line with the principles of support for the most vulnerable, gender equality and women's empowerment, and that of not doing conservation at the expense of the poorest, the project will ensure, with the support of traditional authorities and identification of those segments of the population who are negatively affected by project interventions, including the loss or reduction of access to resources through enhanced access rules to corridors and protected areas, as well as respect a male-to-female ratio of 40-60 for all beneficiaries.</w:t>
            </w:r>
          </w:p>
          <w:p w14:paraId="429D86A4" w14:textId="77777777" w:rsidR="00474894" w:rsidRPr="003F4704" w:rsidRDefault="00474894" w:rsidP="00474894">
            <w:pPr>
              <w:jc w:val="left"/>
              <w:rPr>
                <w:sz w:val="18"/>
                <w:szCs w:val="18"/>
                <w:highlight w:val="green"/>
              </w:rPr>
            </w:pPr>
            <w:r w:rsidRPr="003F4704">
              <w:rPr>
                <w:sz w:val="18"/>
                <w:szCs w:val="18"/>
                <w:highlight w:val="green"/>
              </w:rPr>
              <w:t>The project will support the identification and delimitation of production areas in corridors 1 and 2, the development of agreements and specifications to secure access to resources for members of the cooperative, supervise activities and ensure their sustainability.</w:t>
            </w:r>
          </w:p>
          <w:p w14:paraId="5AF61762" w14:textId="30432A54" w:rsidR="00474894" w:rsidRPr="003F4704" w:rsidRDefault="00474894" w:rsidP="00474894">
            <w:pPr>
              <w:jc w:val="left"/>
              <w:rPr>
                <w:sz w:val="18"/>
                <w:szCs w:val="18"/>
                <w:highlight w:val="green"/>
              </w:rPr>
            </w:pPr>
            <w:r w:rsidRPr="003F4704">
              <w:rPr>
                <w:sz w:val="18"/>
                <w:szCs w:val="18"/>
                <w:highlight w:val="green"/>
              </w:rPr>
              <w:t>Production areas will be negotiated with the local authorities (village chief, chief of land), demarcated and certified for the production of organic shea for the benefit of the groups of women involved.</w:t>
            </w:r>
          </w:p>
        </w:tc>
      </w:tr>
      <w:tr w:rsidR="00474894" w:rsidRPr="006E490C" w14:paraId="17D35F78" w14:textId="77777777" w:rsidTr="00755BF9">
        <w:trPr>
          <w:trHeight w:val="1260"/>
        </w:trPr>
        <w:tc>
          <w:tcPr>
            <w:tcW w:w="1290" w:type="dxa"/>
            <w:shd w:val="clear" w:color="auto" w:fill="auto"/>
          </w:tcPr>
          <w:p w14:paraId="2F67F1D4" w14:textId="77777777" w:rsidR="00474894" w:rsidRPr="006E490C" w:rsidRDefault="00474894" w:rsidP="00243B15">
            <w:pPr>
              <w:rPr>
                <w:sz w:val="18"/>
                <w:szCs w:val="18"/>
              </w:rPr>
            </w:pPr>
          </w:p>
        </w:tc>
        <w:tc>
          <w:tcPr>
            <w:tcW w:w="2231" w:type="dxa"/>
            <w:shd w:val="clear" w:color="auto" w:fill="auto"/>
          </w:tcPr>
          <w:p w14:paraId="41B52629" w14:textId="142582AC" w:rsidR="00474894" w:rsidRPr="003F4704" w:rsidRDefault="00474894" w:rsidP="00243B15">
            <w:pPr>
              <w:jc w:val="left"/>
              <w:rPr>
                <w:rFonts w:cstheme="minorHAnsi"/>
                <w:sz w:val="18"/>
                <w:highlight w:val="green"/>
                <w:lang w:val="en-GB"/>
              </w:rPr>
            </w:pPr>
            <w:r w:rsidRPr="003F4704">
              <w:rPr>
                <w:rFonts w:cstheme="minorHAnsi"/>
                <w:sz w:val="18"/>
                <w:highlight w:val="green"/>
                <w:lang w:val="en-GB"/>
              </w:rPr>
              <w:t>Given the prevailing cultural context, groups marginalised for socio-economic, tribal (especially indigenous peoples) or gender (especially women) reasons are not duly consulted and involved in the project, do not benefit equally, and that the project and its stakeholders reproduce established discriminations, potentially leading to inadvertent harm.</w:t>
            </w:r>
          </w:p>
        </w:tc>
        <w:tc>
          <w:tcPr>
            <w:tcW w:w="1761" w:type="dxa"/>
            <w:shd w:val="clear" w:color="auto" w:fill="auto"/>
          </w:tcPr>
          <w:p w14:paraId="5D85CC0F" w14:textId="14B1DEFF" w:rsidR="00474894" w:rsidRPr="003F4704" w:rsidRDefault="00474894" w:rsidP="00243B15">
            <w:pPr>
              <w:rPr>
                <w:rFonts w:eastAsia="Cambria"/>
                <w:sz w:val="18"/>
                <w:szCs w:val="18"/>
                <w:highlight w:val="green"/>
                <w:lang w:val="en-GB"/>
              </w:rPr>
            </w:pPr>
            <w:r w:rsidRPr="003F4704">
              <w:rPr>
                <w:rFonts w:eastAsia="Cambria"/>
                <w:sz w:val="18"/>
                <w:szCs w:val="18"/>
                <w:highlight w:val="green"/>
                <w:lang w:val="en-GB"/>
              </w:rPr>
              <w:t>Substantial</w:t>
            </w:r>
          </w:p>
        </w:tc>
        <w:tc>
          <w:tcPr>
            <w:tcW w:w="5508" w:type="dxa"/>
            <w:shd w:val="clear" w:color="auto" w:fill="auto"/>
          </w:tcPr>
          <w:p w14:paraId="3938578F" w14:textId="77777777" w:rsidR="00474894" w:rsidRPr="003F4704" w:rsidRDefault="00474894" w:rsidP="00474894">
            <w:pPr>
              <w:jc w:val="left"/>
              <w:rPr>
                <w:sz w:val="18"/>
                <w:szCs w:val="18"/>
                <w:highlight w:val="green"/>
              </w:rPr>
            </w:pPr>
            <w:r w:rsidRPr="003F4704">
              <w:rPr>
                <w:sz w:val="18"/>
                <w:szCs w:val="18"/>
                <w:highlight w:val="green"/>
              </w:rPr>
              <w:t>The risk will be managed through the Comprehensive Stakeholder Engagement Plan, and the Indigenous Peoples Plan and the Gender Action Plan, as support to support the stakeholder engagement process.</w:t>
            </w:r>
          </w:p>
          <w:p w14:paraId="4183DEBE" w14:textId="77777777" w:rsidR="00474894" w:rsidRPr="003F4704" w:rsidRDefault="00474894" w:rsidP="00474894">
            <w:pPr>
              <w:jc w:val="left"/>
              <w:rPr>
                <w:sz w:val="18"/>
                <w:szCs w:val="18"/>
                <w:highlight w:val="green"/>
              </w:rPr>
            </w:pPr>
            <w:r w:rsidRPr="003F4704">
              <w:rPr>
                <w:sz w:val="18"/>
                <w:szCs w:val="18"/>
                <w:highlight w:val="green"/>
              </w:rPr>
              <w:t>The ESMP will include the aspects regarding stakeholder consultation and engagement process.</w:t>
            </w:r>
          </w:p>
          <w:p w14:paraId="7B04F809" w14:textId="77777777" w:rsidR="00474894" w:rsidRPr="003F4704" w:rsidRDefault="00474894" w:rsidP="00474894">
            <w:pPr>
              <w:jc w:val="left"/>
              <w:rPr>
                <w:sz w:val="18"/>
                <w:szCs w:val="18"/>
                <w:highlight w:val="green"/>
              </w:rPr>
            </w:pPr>
          </w:p>
          <w:p w14:paraId="08AC6962" w14:textId="77777777" w:rsidR="00474894" w:rsidRPr="003F4704" w:rsidRDefault="00474894" w:rsidP="00474894">
            <w:pPr>
              <w:jc w:val="left"/>
              <w:rPr>
                <w:sz w:val="18"/>
                <w:szCs w:val="18"/>
                <w:highlight w:val="green"/>
              </w:rPr>
            </w:pPr>
            <w:r w:rsidRPr="003F4704">
              <w:rPr>
                <w:sz w:val="18"/>
                <w:szCs w:val="18"/>
                <w:highlight w:val="green"/>
              </w:rPr>
              <w:t>Stakeholders will have access to a project Grievance Redress Mechanism</w:t>
            </w:r>
          </w:p>
          <w:p w14:paraId="59538EAB" w14:textId="77777777" w:rsidR="00474894" w:rsidRPr="003F4704" w:rsidRDefault="00474894" w:rsidP="00474894">
            <w:pPr>
              <w:jc w:val="left"/>
              <w:rPr>
                <w:sz w:val="18"/>
                <w:szCs w:val="18"/>
                <w:highlight w:val="green"/>
              </w:rPr>
            </w:pPr>
          </w:p>
          <w:p w14:paraId="70F23B21" w14:textId="75952D8E" w:rsidR="00474894" w:rsidRPr="003F4704" w:rsidRDefault="00474894" w:rsidP="00474894">
            <w:pPr>
              <w:jc w:val="left"/>
              <w:rPr>
                <w:sz w:val="18"/>
                <w:szCs w:val="18"/>
                <w:highlight w:val="green"/>
              </w:rPr>
            </w:pPr>
            <w:r w:rsidRPr="003F4704">
              <w:rPr>
                <w:sz w:val="18"/>
                <w:szCs w:val="18"/>
                <w:highlight w:val="green"/>
              </w:rPr>
              <w:t>Project-affected peoples will be informed about the existence of these processes and mechanisms.</w:t>
            </w:r>
          </w:p>
        </w:tc>
      </w:tr>
      <w:tr w:rsidR="00474894" w:rsidRPr="006E490C" w14:paraId="45886CE4" w14:textId="77777777" w:rsidTr="00755BF9">
        <w:trPr>
          <w:trHeight w:val="1961"/>
        </w:trPr>
        <w:tc>
          <w:tcPr>
            <w:tcW w:w="1290" w:type="dxa"/>
            <w:shd w:val="clear" w:color="auto" w:fill="auto"/>
          </w:tcPr>
          <w:p w14:paraId="1F36C8E1" w14:textId="77777777" w:rsidR="00474894" w:rsidRPr="006E490C" w:rsidRDefault="00474894" w:rsidP="00243B15">
            <w:pPr>
              <w:rPr>
                <w:sz w:val="18"/>
                <w:szCs w:val="18"/>
              </w:rPr>
            </w:pPr>
          </w:p>
        </w:tc>
        <w:tc>
          <w:tcPr>
            <w:tcW w:w="2231" w:type="dxa"/>
            <w:shd w:val="clear" w:color="auto" w:fill="auto"/>
          </w:tcPr>
          <w:p w14:paraId="13C5342F" w14:textId="6BBEE6C4" w:rsidR="00474894" w:rsidRPr="003F4704" w:rsidRDefault="00474894" w:rsidP="00243B15">
            <w:pPr>
              <w:jc w:val="left"/>
              <w:rPr>
                <w:rFonts w:cstheme="minorHAnsi"/>
                <w:sz w:val="18"/>
                <w:highlight w:val="green"/>
                <w:lang w:val="en-GB"/>
              </w:rPr>
            </w:pPr>
            <w:r w:rsidRPr="003F4704">
              <w:rPr>
                <w:rFonts w:cstheme="minorHAnsi"/>
                <w:sz w:val="18"/>
                <w:highlight w:val="green"/>
                <w:lang w:val="en-GB"/>
              </w:rPr>
              <w:t>Involvement of the private sector has an impact on respect of Safeguards standards (respect of Human Rights, Gender balance, etc…)</w:t>
            </w:r>
          </w:p>
        </w:tc>
        <w:tc>
          <w:tcPr>
            <w:tcW w:w="1761" w:type="dxa"/>
            <w:shd w:val="clear" w:color="auto" w:fill="auto"/>
          </w:tcPr>
          <w:p w14:paraId="0F6FBDC1" w14:textId="463F3D0D" w:rsidR="00474894" w:rsidRPr="003F4704" w:rsidRDefault="00474894" w:rsidP="00243B15">
            <w:pPr>
              <w:rPr>
                <w:rFonts w:eastAsia="Cambria"/>
                <w:sz w:val="18"/>
                <w:szCs w:val="18"/>
                <w:highlight w:val="green"/>
                <w:lang w:val="en-GB"/>
              </w:rPr>
            </w:pPr>
            <w:r w:rsidRPr="003F4704">
              <w:rPr>
                <w:rFonts w:eastAsia="Cambria"/>
                <w:sz w:val="18"/>
                <w:szCs w:val="18"/>
                <w:highlight w:val="green"/>
                <w:lang w:val="en-GB"/>
              </w:rPr>
              <w:t>Substantial</w:t>
            </w:r>
          </w:p>
        </w:tc>
        <w:tc>
          <w:tcPr>
            <w:tcW w:w="5508" w:type="dxa"/>
            <w:shd w:val="clear" w:color="auto" w:fill="auto"/>
          </w:tcPr>
          <w:p w14:paraId="0590E21A" w14:textId="739A485A" w:rsidR="00474894" w:rsidRPr="003F4704" w:rsidRDefault="00474894" w:rsidP="00474894">
            <w:pPr>
              <w:jc w:val="left"/>
              <w:rPr>
                <w:sz w:val="18"/>
                <w:szCs w:val="18"/>
                <w:highlight w:val="green"/>
              </w:rPr>
            </w:pPr>
            <w:r w:rsidRPr="003F4704">
              <w:rPr>
                <w:sz w:val="18"/>
                <w:szCs w:val="18"/>
                <w:highlight w:val="green"/>
              </w:rPr>
              <w:t>The risk will be managed through the Gender Action Plan, the Indigenous Peoples Plan and the ESMP, that will be developed through a strong participatory approach and the main findings and concerns will be shared also with private sector actors.</w:t>
            </w:r>
          </w:p>
          <w:p w14:paraId="223EA489" w14:textId="77777777" w:rsidR="00474894" w:rsidRPr="003F4704" w:rsidRDefault="00474894" w:rsidP="00474894">
            <w:pPr>
              <w:jc w:val="left"/>
              <w:rPr>
                <w:sz w:val="18"/>
                <w:szCs w:val="18"/>
                <w:highlight w:val="green"/>
              </w:rPr>
            </w:pPr>
            <w:r w:rsidRPr="003F4704">
              <w:rPr>
                <w:sz w:val="18"/>
                <w:szCs w:val="18"/>
                <w:highlight w:val="green"/>
              </w:rPr>
              <w:t>The Comprehensive Stakeholder Engagement Plan will support the mitigation of the identified risk.</w:t>
            </w:r>
          </w:p>
          <w:p w14:paraId="4CCF3DF3" w14:textId="583AF23C" w:rsidR="00474894" w:rsidRPr="003F4704" w:rsidRDefault="00474894" w:rsidP="00474894">
            <w:pPr>
              <w:jc w:val="left"/>
              <w:rPr>
                <w:sz w:val="18"/>
                <w:szCs w:val="18"/>
                <w:highlight w:val="green"/>
              </w:rPr>
            </w:pPr>
            <w:r w:rsidRPr="003F4704">
              <w:rPr>
                <w:sz w:val="18"/>
                <w:szCs w:val="18"/>
                <w:highlight w:val="green"/>
              </w:rPr>
              <w:t>In the ESMP a specific focus will be on private sector involvement in the project</w:t>
            </w:r>
          </w:p>
        </w:tc>
      </w:tr>
      <w:tr w:rsidR="00474894" w:rsidRPr="006E490C" w14:paraId="66D4E06F" w14:textId="77777777" w:rsidTr="00755BF9">
        <w:trPr>
          <w:trHeight w:val="2963"/>
        </w:trPr>
        <w:tc>
          <w:tcPr>
            <w:tcW w:w="1290" w:type="dxa"/>
            <w:shd w:val="clear" w:color="auto" w:fill="auto"/>
          </w:tcPr>
          <w:p w14:paraId="7889FD87" w14:textId="77777777" w:rsidR="00474894" w:rsidRPr="006E490C" w:rsidRDefault="00474894" w:rsidP="00243B15">
            <w:pPr>
              <w:rPr>
                <w:sz w:val="18"/>
                <w:szCs w:val="18"/>
              </w:rPr>
            </w:pPr>
          </w:p>
        </w:tc>
        <w:tc>
          <w:tcPr>
            <w:tcW w:w="2231" w:type="dxa"/>
            <w:shd w:val="clear" w:color="auto" w:fill="auto"/>
          </w:tcPr>
          <w:p w14:paraId="60D011A9" w14:textId="627F2F6A" w:rsidR="00474894" w:rsidRPr="003F4704" w:rsidRDefault="00474894" w:rsidP="00243B15">
            <w:pPr>
              <w:jc w:val="left"/>
              <w:rPr>
                <w:rFonts w:cstheme="minorHAnsi"/>
                <w:sz w:val="18"/>
                <w:highlight w:val="green"/>
                <w:lang w:val="en-GB"/>
              </w:rPr>
            </w:pPr>
            <w:r w:rsidRPr="003F4704">
              <w:rPr>
                <w:rFonts w:cstheme="minorHAnsi"/>
                <w:sz w:val="18"/>
                <w:highlight w:val="green"/>
                <w:lang w:val="en-GB"/>
              </w:rPr>
              <w:t>Access to economic resources and natural resources facilitated through interventions create or exacerbate conflicts between groups or increase the risk of violence between project-affected communities and individuals.</w:t>
            </w:r>
          </w:p>
        </w:tc>
        <w:tc>
          <w:tcPr>
            <w:tcW w:w="1761" w:type="dxa"/>
            <w:shd w:val="clear" w:color="auto" w:fill="auto"/>
          </w:tcPr>
          <w:p w14:paraId="294276B5" w14:textId="0FE5AB24" w:rsidR="00474894" w:rsidRPr="003F4704" w:rsidRDefault="00474894" w:rsidP="00243B15">
            <w:pPr>
              <w:rPr>
                <w:rFonts w:eastAsia="Cambria"/>
                <w:sz w:val="18"/>
                <w:szCs w:val="18"/>
                <w:highlight w:val="green"/>
                <w:lang w:val="en-GB"/>
              </w:rPr>
            </w:pPr>
            <w:r w:rsidRPr="003F4704">
              <w:rPr>
                <w:rFonts w:eastAsia="Cambria"/>
                <w:sz w:val="18"/>
                <w:szCs w:val="18"/>
                <w:highlight w:val="green"/>
                <w:lang w:val="en-GB"/>
              </w:rPr>
              <w:t>Substantial</w:t>
            </w:r>
          </w:p>
        </w:tc>
        <w:tc>
          <w:tcPr>
            <w:tcW w:w="5508" w:type="dxa"/>
            <w:shd w:val="clear" w:color="auto" w:fill="auto"/>
          </w:tcPr>
          <w:p w14:paraId="10247755" w14:textId="4A9EDAA0" w:rsidR="00474894" w:rsidRPr="003F4704" w:rsidRDefault="00474894" w:rsidP="00474894">
            <w:pPr>
              <w:jc w:val="left"/>
              <w:rPr>
                <w:sz w:val="18"/>
                <w:szCs w:val="18"/>
                <w:highlight w:val="green"/>
              </w:rPr>
            </w:pPr>
            <w:r w:rsidRPr="003F4704">
              <w:rPr>
                <w:sz w:val="18"/>
                <w:szCs w:val="18"/>
                <w:highlight w:val="green"/>
              </w:rPr>
              <w:t>This risk will be managed through an Indigenous Peoples Plan and through the implementation of the Comprehensive Stakeholder Engagement Plan, integrating the findings of the conflict assessment/ESIA.</w:t>
            </w:r>
          </w:p>
          <w:p w14:paraId="6202C25B" w14:textId="4B361746" w:rsidR="00474894" w:rsidRPr="003F4704" w:rsidRDefault="00474894" w:rsidP="00474894">
            <w:pPr>
              <w:jc w:val="left"/>
              <w:rPr>
                <w:sz w:val="18"/>
                <w:szCs w:val="18"/>
                <w:highlight w:val="green"/>
              </w:rPr>
            </w:pPr>
            <w:r w:rsidRPr="003F4704">
              <w:rPr>
                <w:sz w:val="18"/>
                <w:szCs w:val="18"/>
                <w:highlight w:val="green"/>
              </w:rPr>
              <w:t>A Grievance Redress mechanism, that will take into consideration the local grievance mechanism already in place, will be implemented during the project’s implementation.</w:t>
            </w:r>
          </w:p>
          <w:p w14:paraId="1EE70C08" w14:textId="7527A886" w:rsidR="00474894" w:rsidRPr="003F4704" w:rsidRDefault="00474894" w:rsidP="00474894">
            <w:pPr>
              <w:jc w:val="left"/>
              <w:rPr>
                <w:sz w:val="18"/>
                <w:szCs w:val="18"/>
                <w:highlight w:val="green"/>
              </w:rPr>
            </w:pPr>
            <w:r w:rsidRPr="003F4704">
              <w:rPr>
                <w:sz w:val="18"/>
                <w:szCs w:val="18"/>
                <w:highlight w:val="green"/>
              </w:rPr>
              <w:t xml:space="preserve">Where necessary, inter-groups stakeholder consultations will be held to resolve “territorial” disputes relating to resource use. </w:t>
            </w:r>
          </w:p>
          <w:p w14:paraId="75D0D052" w14:textId="0D79238E" w:rsidR="00474894" w:rsidRPr="003F4704" w:rsidRDefault="00474894" w:rsidP="00474894">
            <w:pPr>
              <w:jc w:val="left"/>
              <w:rPr>
                <w:sz w:val="18"/>
                <w:szCs w:val="18"/>
                <w:highlight w:val="green"/>
              </w:rPr>
            </w:pPr>
            <w:r w:rsidRPr="003F4704">
              <w:rPr>
                <w:sz w:val="18"/>
                <w:szCs w:val="18"/>
                <w:highlight w:val="green"/>
              </w:rPr>
              <w:t>An ESMP will be prepared and will include mitigation measures based on ESIA findings, including the ones identified through the conflict assessment.</w:t>
            </w:r>
          </w:p>
        </w:tc>
      </w:tr>
    </w:tbl>
    <w:p w14:paraId="71D4CB2E" w14:textId="5166B770" w:rsidR="007D0B29" w:rsidRDefault="007D0B29" w:rsidP="007D0B29">
      <w:pPr>
        <w:shd w:val="clear" w:color="auto" w:fill="FFFFFF"/>
        <w:outlineLvl w:val="0"/>
        <w:rPr>
          <w:b/>
          <w:bCs/>
          <w:color w:val="000000"/>
          <w:sz w:val="22"/>
          <w:szCs w:val="22"/>
        </w:rPr>
      </w:pPr>
    </w:p>
    <w:p w14:paraId="6C9823BE" w14:textId="23A02AFC" w:rsidR="0055563B" w:rsidRDefault="0055563B" w:rsidP="007D0B29">
      <w:pPr>
        <w:shd w:val="clear" w:color="auto" w:fill="FFFFFF"/>
        <w:outlineLvl w:val="0"/>
        <w:rPr>
          <w:b/>
          <w:bCs/>
          <w:color w:val="000000"/>
          <w:sz w:val="22"/>
          <w:szCs w:val="22"/>
        </w:rPr>
      </w:pPr>
    </w:p>
    <w:p w14:paraId="529DBBDE" w14:textId="77777777" w:rsidR="0055563B" w:rsidRDefault="0055563B" w:rsidP="007D0B29">
      <w:pPr>
        <w:shd w:val="clear" w:color="auto" w:fill="FFFFFF"/>
        <w:outlineLvl w:val="0"/>
        <w:rPr>
          <w:b/>
          <w:bCs/>
          <w:color w:val="000000"/>
          <w:sz w:val="22"/>
          <w:szCs w:val="22"/>
        </w:rPr>
      </w:pPr>
    </w:p>
    <w:p w14:paraId="79239642" w14:textId="01AA0029" w:rsidR="007D0B29" w:rsidRPr="00A63E29" w:rsidRDefault="007D0B29" w:rsidP="007D0B29">
      <w:pPr>
        <w:shd w:val="clear" w:color="auto" w:fill="FFFFFF"/>
        <w:outlineLvl w:val="0"/>
        <w:rPr>
          <w:b/>
          <w:bCs/>
          <w:color w:val="000000"/>
          <w:sz w:val="22"/>
          <w:szCs w:val="22"/>
        </w:rPr>
      </w:pPr>
      <w:bookmarkStart w:id="20" w:name="_Hlk53039608"/>
      <w:r w:rsidRPr="00A63E29">
        <w:rPr>
          <w:b/>
          <w:bCs/>
          <w:color w:val="000000"/>
          <w:sz w:val="22"/>
          <w:szCs w:val="22"/>
        </w:rPr>
        <w:t>Summary analysis and project implications/opportunities for COVID-19</w:t>
      </w:r>
    </w:p>
    <w:p w14:paraId="243BF86C" w14:textId="2FE54364" w:rsidR="007D0B29" w:rsidRPr="00A63E29" w:rsidRDefault="007D0B29" w:rsidP="007D0B29">
      <w:pPr>
        <w:shd w:val="clear" w:color="auto" w:fill="FFFFFF"/>
        <w:rPr>
          <w:color w:val="000000"/>
          <w:sz w:val="22"/>
          <w:szCs w:val="22"/>
        </w:rPr>
      </w:pPr>
      <w:r w:rsidRPr="00A63E29">
        <w:rPr>
          <w:color w:val="000000"/>
          <w:sz w:val="22"/>
          <w:szCs w:val="22"/>
        </w:rPr>
        <w:lastRenderedPageBreak/>
        <w:t xml:space="preserve">Covid-19 implications have been built into the proposal and addressed in several sections throughout this document. The tables below summarize the risks and opportunities. The overarching ecological perspective of the project is that the rehabilitation of intact, well-managed production landscape, where wildlife harvest is done in an ecologically sound manner, healthy wildlife populations are protected, and as the more intact landscape develops over time, the possibility of zoonoses </w:t>
      </w:r>
      <w:r w:rsidR="00646674" w:rsidRPr="00A63E29">
        <w:rPr>
          <w:color w:val="000000"/>
          <w:sz w:val="22"/>
          <w:szCs w:val="22"/>
        </w:rPr>
        <w:t>will be</w:t>
      </w:r>
      <w:r w:rsidRPr="00A63E29">
        <w:rPr>
          <w:color w:val="000000"/>
          <w:sz w:val="22"/>
          <w:szCs w:val="22"/>
        </w:rPr>
        <w:t xml:space="preserve"> substantially reduced.  </w:t>
      </w:r>
    </w:p>
    <w:p w14:paraId="0EF24727" w14:textId="77777777" w:rsidR="007D0B29" w:rsidRPr="00A63E29" w:rsidRDefault="007D0B29" w:rsidP="007D0B29">
      <w:pPr>
        <w:shd w:val="clear" w:color="auto" w:fill="FFFFFF"/>
        <w:rPr>
          <w:color w:val="201F1E"/>
          <w:szCs w:val="20"/>
          <w:u w:val="single"/>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4A0" w:firstRow="1" w:lastRow="0" w:firstColumn="1" w:lastColumn="0" w:noHBand="0" w:noVBand="1"/>
      </w:tblPr>
      <w:tblGrid>
        <w:gridCol w:w="1415"/>
        <w:gridCol w:w="2977"/>
        <w:gridCol w:w="992"/>
        <w:gridCol w:w="5386"/>
      </w:tblGrid>
      <w:tr w:rsidR="003C1387" w:rsidRPr="007263B4" w14:paraId="37227B84" w14:textId="77777777" w:rsidTr="00926889">
        <w:trPr>
          <w:trHeight w:val="418"/>
        </w:trPr>
        <w:tc>
          <w:tcPr>
            <w:tcW w:w="1415" w:type="dxa"/>
            <w:shd w:val="clear" w:color="auto" w:fill="auto"/>
            <w:tcMar>
              <w:top w:w="0" w:type="dxa"/>
              <w:left w:w="108" w:type="dxa"/>
              <w:bottom w:w="0" w:type="dxa"/>
              <w:right w:w="108" w:type="dxa"/>
            </w:tcMar>
            <w:vAlign w:val="center"/>
            <w:hideMark/>
          </w:tcPr>
          <w:p w14:paraId="466ABB21" w14:textId="77777777" w:rsidR="003C1387" w:rsidRPr="00A63E29" w:rsidRDefault="003C1387" w:rsidP="003C1387">
            <w:pPr>
              <w:rPr>
                <w:color w:val="201F1E"/>
                <w:szCs w:val="20"/>
              </w:rPr>
            </w:pPr>
            <w:r w:rsidRPr="00A63E29">
              <w:rPr>
                <w:b/>
                <w:bCs/>
                <w:color w:val="201F1E"/>
                <w:szCs w:val="20"/>
              </w:rPr>
              <w:t>Risk category</w:t>
            </w:r>
          </w:p>
        </w:tc>
        <w:tc>
          <w:tcPr>
            <w:tcW w:w="2977" w:type="dxa"/>
            <w:vAlign w:val="center"/>
          </w:tcPr>
          <w:p w14:paraId="47D13281" w14:textId="3D660906" w:rsidR="003C1387" w:rsidRPr="00A63E29" w:rsidRDefault="003C1387" w:rsidP="003C1387">
            <w:pPr>
              <w:rPr>
                <w:b/>
                <w:bCs/>
                <w:color w:val="201F1E"/>
                <w:szCs w:val="20"/>
              </w:rPr>
            </w:pPr>
            <w:r w:rsidRPr="00A63E29">
              <w:rPr>
                <w:b/>
                <w:bCs/>
                <w:color w:val="201F1E"/>
                <w:szCs w:val="20"/>
              </w:rPr>
              <w:t>Potential Risk</w:t>
            </w:r>
          </w:p>
        </w:tc>
        <w:tc>
          <w:tcPr>
            <w:tcW w:w="992" w:type="dxa"/>
            <w:shd w:val="clear" w:color="auto" w:fill="auto"/>
            <w:tcMar>
              <w:top w:w="0" w:type="dxa"/>
              <w:left w:w="108" w:type="dxa"/>
              <w:bottom w:w="0" w:type="dxa"/>
              <w:right w:w="108" w:type="dxa"/>
            </w:tcMar>
            <w:vAlign w:val="center"/>
            <w:hideMark/>
          </w:tcPr>
          <w:p w14:paraId="0799B955" w14:textId="76BDAE72" w:rsidR="003C1387" w:rsidRPr="00A63E29" w:rsidRDefault="003C1387" w:rsidP="003C1387">
            <w:pPr>
              <w:rPr>
                <w:color w:val="201F1E"/>
                <w:szCs w:val="20"/>
              </w:rPr>
            </w:pPr>
            <w:r w:rsidRPr="00A63E29">
              <w:rPr>
                <w:b/>
                <w:bCs/>
                <w:color w:val="201F1E"/>
                <w:szCs w:val="20"/>
              </w:rPr>
              <w:t>Risk level</w:t>
            </w:r>
          </w:p>
        </w:tc>
        <w:tc>
          <w:tcPr>
            <w:tcW w:w="5386" w:type="dxa"/>
            <w:shd w:val="clear" w:color="auto" w:fill="auto"/>
            <w:tcMar>
              <w:top w:w="0" w:type="dxa"/>
              <w:left w:w="108" w:type="dxa"/>
              <w:bottom w:w="0" w:type="dxa"/>
              <w:right w:w="108" w:type="dxa"/>
            </w:tcMar>
            <w:vAlign w:val="center"/>
            <w:hideMark/>
          </w:tcPr>
          <w:p w14:paraId="2F67AB46" w14:textId="77777777" w:rsidR="003C1387" w:rsidRPr="00A63E29" w:rsidRDefault="003C1387" w:rsidP="003C1387">
            <w:pPr>
              <w:rPr>
                <w:color w:val="201F1E"/>
                <w:szCs w:val="20"/>
              </w:rPr>
            </w:pPr>
            <w:r w:rsidRPr="00A63E29">
              <w:rPr>
                <w:b/>
                <w:bCs/>
                <w:color w:val="201F1E"/>
                <w:szCs w:val="20"/>
              </w:rPr>
              <w:t>Mitigations and Plans</w:t>
            </w:r>
          </w:p>
        </w:tc>
      </w:tr>
      <w:tr w:rsidR="003C1387" w:rsidRPr="007263B4" w14:paraId="6AFA6A68" w14:textId="77777777" w:rsidTr="00926889">
        <w:tc>
          <w:tcPr>
            <w:tcW w:w="1415" w:type="dxa"/>
            <w:vMerge w:val="restart"/>
            <w:shd w:val="clear" w:color="auto" w:fill="FFFFFF"/>
            <w:tcMar>
              <w:top w:w="0" w:type="dxa"/>
              <w:left w:w="108" w:type="dxa"/>
              <w:bottom w:w="0" w:type="dxa"/>
              <w:right w:w="108" w:type="dxa"/>
            </w:tcMar>
            <w:hideMark/>
          </w:tcPr>
          <w:p w14:paraId="40E93DB0" w14:textId="77777777" w:rsidR="003C1387" w:rsidRPr="00A63E29" w:rsidRDefault="003C1387" w:rsidP="003C1387">
            <w:pPr>
              <w:jc w:val="left"/>
              <w:rPr>
                <w:color w:val="201F1E"/>
                <w:sz w:val="18"/>
                <w:szCs w:val="18"/>
              </w:rPr>
            </w:pPr>
            <w:r w:rsidRPr="00A63E29">
              <w:rPr>
                <w:color w:val="201F1E"/>
                <w:sz w:val="18"/>
                <w:szCs w:val="18"/>
              </w:rPr>
              <w:t>Availability of technical expertise and capacity and changes in timelines</w:t>
            </w:r>
          </w:p>
        </w:tc>
        <w:tc>
          <w:tcPr>
            <w:tcW w:w="2977" w:type="dxa"/>
            <w:shd w:val="clear" w:color="auto" w:fill="FFFFFF"/>
          </w:tcPr>
          <w:p w14:paraId="0E74F6A3" w14:textId="281C1106" w:rsidR="003C1387" w:rsidRPr="00A63E29" w:rsidRDefault="003C1387" w:rsidP="003C1387">
            <w:pPr>
              <w:jc w:val="left"/>
              <w:rPr>
                <w:color w:val="201F1E"/>
                <w:sz w:val="18"/>
                <w:szCs w:val="18"/>
              </w:rPr>
            </w:pPr>
            <w:r w:rsidRPr="00A63E29">
              <w:rPr>
                <w:color w:val="201F1E"/>
                <w:sz w:val="18"/>
                <w:szCs w:val="18"/>
              </w:rPr>
              <w:t>Continued or renewed efforts in COVID-19 containment are likely over the course of project development and possibly into implementation</w:t>
            </w:r>
          </w:p>
          <w:p w14:paraId="62B3C215" w14:textId="38267B52" w:rsidR="003C1387" w:rsidRPr="00A63E29" w:rsidRDefault="003C1387" w:rsidP="003C1387">
            <w:pPr>
              <w:jc w:val="left"/>
              <w:rPr>
                <w:color w:val="201F1E"/>
                <w:sz w:val="18"/>
                <w:szCs w:val="18"/>
              </w:rPr>
            </w:pPr>
            <w:r w:rsidRPr="00A63E29">
              <w:rPr>
                <w:color w:val="201F1E"/>
                <w:sz w:val="18"/>
                <w:szCs w:val="18"/>
              </w:rPr>
              <w:t> </w:t>
            </w:r>
          </w:p>
        </w:tc>
        <w:tc>
          <w:tcPr>
            <w:tcW w:w="992" w:type="dxa"/>
            <w:shd w:val="clear" w:color="auto" w:fill="FFFFFF"/>
            <w:tcMar>
              <w:top w:w="0" w:type="dxa"/>
              <w:left w:w="108" w:type="dxa"/>
              <w:bottom w:w="0" w:type="dxa"/>
              <w:right w:w="108" w:type="dxa"/>
            </w:tcMar>
          </w:tcPr>
          <w:p w14:paraId="73FC6123" w14:textId="44341E03" w:rsidR="003C1387" w:rsidRPr="00A63E29" w:rsidRDefault="00E82387" w:rsidP="003C1387">
            <w:pPr>
              <w:jc w:val="left"/>
              <w:rPr>
                <w:color w:val="201F1E"/>
                <w:sz w:val="18"/>
                <w:szCs w:val="18"/>
              </w:rPr>
            </w:pPr>
            <w:r w:rsidRPr="00A63E29">
              <w:rPr>
                <w:color w:val="201F1E"/>
                <w:sz w:val="18"/>
                <w:szCs w:val="18"/>
              </w:rPr>
              <w:t>Medium</w:t>
            </w:r>
          </w:p>
        </w:tc>
        <w:tc>
          <w:tcPr>
            <w:tcW w:w="5386" w:type="dxa"/>
            <w:shd w:val="clear" w:color="auto" w:fill="FFFFFF"/>
            <w:tcMar>
              <w:top w:w="0" w:type="dxa"/>
              <w:left w:w="108" w:type="dxa"/>
              <w:bottom w:w="0" w:type="dxa"/>
              <w:right w:w="108" w:type="dxa"/>
            </w:tcMar>
            <w:hideMark/>
          </w:tcPr>
          <w:p w14:paraId="342783DC" w14:textId="6EE231B2" w:rsidR="003C1387" w:rsidRPr="00A63E29" w:rsidRDefault="003C1387" w:rsidP="003C1387">
            <w:pPr>
              <w:jc w:val="left"/>
              <w:rPr>
                <w:color w:val="201F1E"/>
                <w:sz w:val="18"/>
                <w:szCs w:val="18"/>
              </w:rPr>
            </w:pPr>
            <w:r w:rsidRPr="00A63E29">
              <w:rPr>
                <w:color w:val="201F1E"/>
                <w:sz w:val="18"/>
                <w:szCs w:val="18"/>
              </w:rPr>
              <w:t xml:space="preserve">The project development work plan and team will be built with this in mind, for example, maximizing experts in country. However, if the </w:t>
            </w:r>
            <w:r w:rsidR="00E82387" w:rsidRPr="00A63E29">
              <w:rPr>
                <w:color w:val="201F1E"/>
                <w:sz w:val="18"/>
                <w:szCs w:val="18"/>
              </w:rPr>
              <w:t xml:space="preserve">number of </w:t>
            </w:r>
            <w:r w:rsidRPr="00A63E29">
              <w:rPr>
                <w:color w:val="201F1E"/>
                <w:sz w:val="18"/>
                <w:szCs w:val="18"/>
              </w:rPr>
              <w:t xml:space="preserve">COVID19 </w:t>
            </w:r>
            <w:r w:rsidR="00E82387" w:rsidRPr="00A63E29">
              <w:rPr>
                <w:color w:val="201F1E"/>
                <w:sz w:val="18"/>
                <w:szCs w:val="18"/>
              </w:rPr>
              <w:t>cases increases beyond the currently low numbers and is not e</w:t>
            </w:r>
            <w:r w:rsidRPr="00A63E29">
              <w:rPr>
                <w:color w:val="201F1E"/>
                <w:sz w:val="18"/>
                <w:szCs w:val="18"/>
              </w:rPr>
              <w:t>ffectively contained, project start-up and implementation could be delayed. Methods for biosecure implementation will be needed, such as increased use of remote communication, use of PPE, etc.</w:t>
            </w:r>
          </w:p>
        </w:tc>
      </w:tr>
      <w:tr w:rsidR="00926889" w:rsidRPr="007263B4" w14:paraId="0A9CCD05" w14:textId="77777777" w:rsidTr="00926889">
        <w:tc>
          <w:tcPr>
            <w:tcW w:w="1415" w:type="dxa"/>
            <w:vMerge/>
            <w:shd w:val="clear" w:color="auto" w:fill="FFFFFF"/>
            <w:vAlign w:val="center"/>
            <w:hideMark/>
          </w:tcPr>
          <w:p w14:paraId="23D10FAB" w14:textId="77777777" w:rsidR="00926889" w:rsidRPr="00A63E29" w:rsidRDefault="00926889" w:rsidP="003C1387">
            <w:pPr>
              <w:jc w:val="left"/>
              <w:rPr>
                <w:color w:val="201F1E"/>
                <w:sz w:val="18"/>
                <w:szCs w:val="18"/>
              </w:rPr>
            </w:pPr>
          </w:p>
        </w:tc>
        <w:tc>
          <w:tcPr>
            <w:tcW w:w="2977" w:type="dxa"/>
            <w:vMerge w:val="restart"/>
            <w:shd w:val="clear" w:color="auto" w:fill="FFFFFF"/>
          </w:tcPr>
          <w:p w14:paraId="46927AD2" w14:textId="67BC5AB4" w:rsidR="00926889" w:rsidRPr="00A63E29" w:rsidRDefault="00926889" w:rsidP="003C1387">
            <w:pPr>
              <w:jc w:val="left"/>
              <w:rPr>
                <w:color w:val="201F1E"/>
                <w:sz w:val="18"/>
                <w:szCs w:val="18"/>
              </w:rPr>
            </w:pPr>
            <w:r w:rsidRPr="00A63E29">
              <w:rPr>
                <w:color w:val="201F1E"/>
                <w:sz w:val="18"/>
                <w:szCs w:val="18"/>
              </w:rPr>
              <w:t>Limited capacity for remote work and interactions in Burkina Faso</w:t>
            </w:r>
          </w:p>
        </w:tc>
        <w:tc>
          <w:tcPr>
            <w:tcW w:w="992" w:type="dxa"/>
            <w:vMerge w:val="restart"/>
            <w:shd w:val="clear" w:color="auto" w:fill="FFFFFF"/>
            <w:tcMar>
              <w:top w:w="0" w:type="dxa"/>
              <w:left w:w="108" w:type="dxa"/>
              <w:bottom w:w="0" w:type="dxa"/>
              <w:right w:w="108" w:type="dxa"/>
            </w:tcMar>
          </w:tcPr>
          <w:p w14:paraId="2652DE93" w14:textId="2518F8A0" w:rsidR="00926889" w:rsidRPr="00A63E29" w:rsidRDefault="00926889" w:rsidP="003C1387">
            <w:pPr>
              <w:jc w:val="left"/>
              <w:rPr>
                <w:color w:val="201F1E"/>
                <w:sz w:val="18"/>
                <w:szCs w:val="18"/>
              </w:rPr>
            </w:pPr>
            <w:r w:rsidRPr="00A63E29">
              <w:rPr>
                <w:color w:val="201F1E"/>
                <w:sz w:val="18"/>
                <w:szCs w:val="18"/>
              </w:rPr>
              <w:t>Medium</w:t>
            </w:r>
          </w:p>
        </w:tc>
        <w:tc>
          <w:tcPr>
            <w:tcW w:w="5386" w:type="dxa"/>
            <w:shd w:val="clear" w:color="auto" w:fill="FFFFFF"/>
            <w:tcMar>
              <w:top w:w="0" w:type="dxa"/>
              <w:left w:w="108" w:type="dxa"/>
              <w:bottom w:w="0" w:type="dxa"/>
              <w:right w:w="108" w:type="dxa"/>
            </w:tcMar>
            <w:hideMark/>
          </w:tcPr>
          <w:p w14:paraId="543183DE" w14:textId="1C1F9B1F" w:rsidR="00926889" w:rsidRPr="00A63E29" w:rsidRDefault="00926889" w:rsidP="003C1387">
            <w:pPr>
              <w:jc w:val="left"/>
              <w:rPr>
                <w:color w:val="201F1E"/>
                <w:sz w:val="18"/>
                <w:szCs w:val="18"/>
              </w:rPr>
            </w:pPr>
            <w:r w:rsidRPr="00A63E29">
              <w:rPr>
                <w:color w:val="201F1E"/>
                <w:sz w:val="18"/>
                <w:szCs w:val="18"/>
              </w:rPr>
              <w:t>The rural areas of Burkina Faso are not well equipped for remote work, in terms of wifi availability.  The project will attempt to hold consultations in halls or open spaces, and taking advantage of the cell network for connectivity, other than by observing government safety protocols.</w:t>
            </w:r>
          </w:p>
        </w:tc>
      </w:tr>
      <w:tr w:rsidR="00926889" w:rsidRPr="007263B4" w14:paraId="428AB59B" w14:textId="77777777" w:rsidTr="00926889">
        <w:tc>
          <w:tcPr>
            <w:tcW w:w="1415" w:type="dxa"/>
            <w:vMerge/>
            <w:shd w:val="clear" w:color="auto" w:fill="FFFFFF"/>
            <w:vAlign w:val="center"/>
            <w:hideMark/>
          </w:tcPr>
          <w:p w14:paraId="3C71E579" w14:textId="77777777" w:rsidR="00926889" w:rsidRPr="00A63E29" w:rsidRDefault="00926889" w:rsidP="003C1387">
            <w:pPr>
              <w:jc w:val="left"/>
              <w:rPr>
                <w:color w:val="201F1E"/>
                <w:sz w:val="18"/>
                <w:szCs w:val="18"/>
              </w:rPr>
            </w:pPr>
          </w:p>
        </w:tc>
        <w:tc>
          <w:tcPr>
            <w:tcW w:w="2977" w:type="dxa"/>
            <w:vMerge/>
            <w:shd w:val="clear" w:color="auto" w:fill="FFFFFF"/>
          </w:tcPr>
          <w:p w14:paraId="22B5E8CA" w14:textId="77777777" w:rsidR="00926889" w:rsidRPr="00A63E29" w:rsidRDefault="00926889" w:rsidP="003C1387">
            <w:pPr>
              <w:jc w:val="left"/>
              <w:rPr>
                <w:color w:val="201F1E"/>
                <w:sz w:val="18"/>
                <w:szCs w:val="18"/>
              </w:rPr>
            </w:pPr>
          </w:p>
        </w:tc>
        <w:tc>
          <w:tcPr>
            <w:tcW w:w="992" w:type="dxa"/>
            <w:vMerge/>
            <w:shd w:val="clear" w:color="auto" w:fill="FFFFFF"/>
            <w:tcMar>
              <w:top w:w="0" w:type="dxa"/>
              <w:left w:w="108" w:type="dxa"/>
              <w:bottom w:w="0" w:type="dxa"/>
              <w:right w:w="108" w:type="dxa"/>
            </w:tcMar>
          </w:tcPr>
          <w:p w14:paraId="787D36AF" w14:textId="7C7EACBE" w:rsidR="00926889" w:rsidRPr="00A63E29" w:rsidRDefault="00926889" w:rsidP="003C1387">
            <w:pPr>
              <w:jc w:val="left"/>
              <w:rPr>
                <w:color w:val="201F1E"/>
                <w:sz w:val="18"/>
                <w:szCs w:val="18"/>
              </w:rPr>
            </w:pPr>
          </w:p>
        </w:tc>
        <w:tc>
          <w:tcPr>
            <w:tcW w:w="5386" w:type="dxa"/>
            <w:shd w:val="clear" w:color="auto" w:fill="FFFFFF"/>
            <w:tcMar>
              <w:top w:w="0" w:type="dxa"/>
              <w:left w:w="108" w:type="dxa"/>
              <w:bottom w:w="0" w:type="dxa"/>
              <w:right w:w="108" w:type="dxa"/>
            </w:tcMar>
            <w:hideMark/>
          </w:tcPr>
          <w:p w14:paraId="2B21962B" w14:textId="128EB664" w:rsidR="00926889" w:rsidRPr="00A63E29" w:rsidRDefault="00926889" w:rsidP="003C1387">
            <w:pPr>
              <w:jc w:val="left"/>
              <w:rPr>
                <w:color w:val="201F1E"/>
                <w:sz w:val="18"/>
                <w:szCs w:val="18"/>
              </w:rPr>
            </w:pPr>
            <w:r w:rsidRPr="00A63E29">
              <w:rPr>
                <w:color w:val="201F1E"/>
                <w:sz w:val="18"/>
                <w:szCs w:val="18"/>
              </w:rPr>
              <w:t xml:space="preserve">Availability of international personnel on-site will depend on working in a post-pandemic scenario.  However, if the pandemic persists, experience in Burkina Faso and elsewhere to date indicates that remote video training modules can be developed and that planning work can be accommodated in this manner at halls and offices where wifi is available. </w:t>
            </w:r>
          </w:p>
        </w:tc>
      </w:tr>
      <w:tr w:rsidR="003C1387" w:rsidRPr="007263B4" w14:paraId="71AF5575" w14:textId="77777777" w:rsidTr="00926889">
        <w:tc>
          <w:tcPr>
            <w:tcW w:w="1415" w:type="dxa"/>
            <w:shd w:val="clear" w:color="auto" w:fill="FFFFFF"/>
            <w:tcMar>
              <w:top w:w="0" w:type="dxa"/>
              <w:left w:w="108" w:type="dxa"/>
              <w:bottom w:w="0" w:type="dxa"/>
              <w:right w:w="108" w:type="dxa"/>
            </w:tcMar>
            <w:hideMark/>
          </w:tcPr>
          <w:p w14:paraId="5E65C7CF" w14:textId="5D044DFA" w:rsidR="003C1387" w:rsidRPr="00A63E29" w:rsidRDefault="003C1387" w:rsidP="003C1387">
            <w:pPr>
              <w:jc w:val="left"/>
              <w:rPr>
                <w:color w:val="201F1E"/>
                <w:sz w:val="18"/>
                <w:szCs w:val="18"/>
              </w:rPr>
            </w:pPr>
            <w:r w:rsidRPr="00A63E29">
              <w:rPr>
                <w:color w:val="201F1E"/>
                <w:sz w:val="18"/>
                <w:szCs w:val="18"/>
              </w:rPr>
              <w:t>Difficulties of implementing community engagement activities</w:t>
            </w:r>
          </w:p>
        </w:tc>
        <w:tc>
          <w:tcPr>
            <w:tcW w:w="2977" w:type="dxa"/>
            <w:shd w:val="clear" w:color="auto" w:fill="FFFFFF"/>
          </w:tcPr>
          <w:p w14:paraId="035E1F70" w14:textId="7050D605" w:rsidR="003C1387" w:rsidRPr="00A63E29" w:rsidRDefault="003C1387" w:rsidP="003C1387">
            <w:pPr>
              <w:jc w:val="left"/>
              <w:rPr>
                <w:color w:val="201F1E"/>
                <w:sz w:val="18"/>
                <w:szCs w:val="18"/>
              </w:rPr>
            </w:pPr>
            <w:r w:rsidRPr="00A63E29">
              <w:rPr>
                <w:color w:val="201F1E"/>
                <w:sz w:val="18"/>
                <w:szCs w:val="18"/>
              </w:rPr>
              <w:t>Depending on the development of the pandemic in-country, it may be difficult to do community-level consultations</w:t>
            </w:r>
          </w:p>
        </w:tc>
        <w:tc>
          <w:tcPr>
            <w:tcW w:w="992" w:type="dxa"/>
            <w:shd w:val="clear" w:color="auto" w:fill="FFFFFF"/>
            <w:tcMar>
              <w:top w:w="0" w:type="dxa"/>
              <w:left w:w="108" w:type="dxa"/>
              <w:bottom w:w="0" w:type="dxa"/>
              <w:right w:w="108" w:type="dxa"/>
            </w:tcMar>
          </w:tcPr>
          <w:p w14:paraId="67F25140" w14:textId="30CE40D1" w:rsidR="003C1387" w:rsidRPr="00A63E29" w:rsidRDefault="00926889" w:rsidP="003C1387">
            <w:pPr>
              <w:jc w:val="left"/>
              <w:rPr>
                <w:color w:val="201F1E"/>
                <w:sz w:val="18"/>
                <w:szCs w:val="18"/>
              </w:rPr>
            </w:pPr>
            <w:r w:rsidRPr="00A63E29">
              <w:rPr>
                <w:color w:val="201F1E"/>
                <w:sz w:val="18"/>
                <w:szCs w:val="18"/>
              </w:rPr>
              <w:t>Medium</w:t>
            </w:r>
          </w:p>
        </w:tc>
        <w:tc>
          <w:tcPr>
            <w:tcW w:w="5386" w:type="dxa"/>
            <w:shd w:val="clear" w:color="auto" w:fill="FFFFFF"/>
            <w:tcMar>
              <w:top w:w="0" w:type="dxa"/>
              <w:left w:w="108" w:type="dxa"/>
              <w:bottom w:w="0" w:type="dxa"/>
              <w:right w:w="108" w:type="dxa"/>
            </w:tcMar>
            <w:hideMark/>
          </w:tcPr>
          <w:p w14:paraId="4FB519E5" w14:textId="1204D749" w:rsidR="003C1387" w:rsidRPr="00A63E29" w:rsidRDefault="003C1387" w:rsidP="00926889">
            <w:pPr>
              <w:jc w:val="left"/>
              <w:rPr>
                <w:color w:val="201F1E"/>
                <w:sz w:val="18"/>
                <w:szCs w:val="18"/>
              </w:rPr>
            </w:pPr>
            <w:r w:rsidRPr="00A63E29">
              <w:rPr>
                <w:color w:val="201F1E"/>
                <w:sz w:val="18"/>
                <w:szCs w:val="18"/>
              </w:rPr>
              <w:t>Local level consultation will comply with government guidelines and UNDP-CO guidelines. For example, it is likely that teams for field visits and consultations will be small, and they will likely meet and consult with small group sizes (under 50 people or per local guidelines). Additionally, COVID protocol will be developed and followed, such as testing, and supply of sanitizer and masks. In any case where either party is not comfortable to engage in discussions, it will not proceed. As much as possible, remote connections will be sought, for example via local government offices visiting communities. </w:t>
            </w:r>
          </w:p>
        </w:tc>
      </w:tr>
      <w:tr w:rsidR="003C1387" w:rsidRPr="007263B4" w14:paraId="063FC68B" w14:textId="77777777" w:rsidTr="00926889">
        <w:tc>
          <w:tcPr>
            <w:tcW w:w="1415" w:type="dxa"/>
            <w:shd w:val="clear" w:color="auto" w:fill="FFFFFF"/>
            <w:tcMar>
              <w:top w:w="0" w:type="dxa"/>
              <w:left w:w="108" w:type="dxa"/>
              <w:bottom w:w="0" w:type="dxa"/>
              <w:right w:w="108" w:type="dxa"/>
            </w:tcMar>
            <w:hideMark/>
          </w:tcPr>
          <w:p w14:paraId="2D95458C" w14:textId="77777777" w:rsidR="003C1387" w:rsidRPr="00A63E29" w:rsidRDefault="003C1387" w:rsidP="003C1387">
            <w:pPr>
              <w:jc w:val="left"/>
              <w:rPr>
                <w:color w:val="201F1E"/>
                <w:sz w:val="18"/>
                <w:szCs w:val="18"/>
              </w:rPr>
            </w:pPr>
            <w:r w:rsidRPr="00A63E29">
              <w:rPr>
                <w:color w:val="201F1E"/>
                <w:sz w:val="18"/>
                <w:szCs w:val="18"/>
              </w:rPr>
              <w:t>Stakeholder engagement process</w:t>
            </w:r>
          </w:p>
        </w:tc>
        <w:tc>
          <w:tcPr>
            <w:tcW w:w="2977" w:type="dxa"/>
            <w:shd w:val="clear" w:color="auto" w:fill="FFFFFF"/>
          </w:tcPr>
          <w:p w14:paraId="17CC8200" w14:textId="38C38619" w:rsidR="003C1387" w:rsidRPr="00A63E29" w:rsidRDefault="003C1387" w:rsidP="003C1387">
            <w:pPr>
              <w:jc w:val="left"/>
              <w:rPr>
                <w:color w:val="201F1E"/>
                <w:sz w:val="18"/>
                <w:szCs w:val="18"/>
              </w:rPr>
            </w:pPr>
            <w:r w:rsidRPr="00A63E29">
              <w:rPr>
                <w:color w:val="201F1E"/>
                <w:sz w:val="18"/>
                <w:szCs w:val="18"/>
              </w:rPr>
              <w:t>Government may be too occupied with COVID issues to deal with regular business</w:t>
            </w:r>
          </w:p>
        </w:tc>
        <w:tc>
          <w:tcPr>
            <w:tcW w:w="992" w:type="dxa"/>
            <w:shd w:val="clear" w:color="auto" w:fill="FFFFFF"/>
            <w:tcMar>
              <w:top w:w="0" w:type="dxa"/>
              <w:left w:w="108" w:type="dxa"/>
              <w:bottom w:w="0" w:type="dxa"/>
              <w:right w:w="108" w:type="dxa"/>
            </w:tcMar>
          </w:tcPr>
          <w:p w14:paraId="5299C567" w14:textId="0F5991CD" w:rsidR="003C1387" w:rsidRPr="00A63E29" w:rsidRDefault="00926889" w:rsidP="003C1387">
            <w:pPr>
              <w:jc w:val="left"/>
              <w:rPr>
                <w:color w:val="201F1E"/>
                <w:sz w:val="18"/>
                <w:szCs w:val="18"/>
              </w:rPr>
            </w:pPr>
            <w:r w:rsidRPr="00A63E29">
              <w:rPr>
                <w:color w:val="201F1E"/>
                <w:sz w:val="18"/>
                <w:szCs w:val="18"/>
              </w:rPr>
              <w:t>Medium</w:t>
            </w:r>
          </w:p>
        </w:tc>
        <w:tc>
          <w:tcPr>
            <w:tcW w:w="5386" w:type="dxa"/>
            <w:shd w:val="clear" w:color="auto" w:fill="FFFFFF"/>
            <w:tcMar>
              <w:top w:w="0" w:type="dxa"/>
              <w:left w:w="108" w:type="dxa"/>
              <w:bottom w:w="0" w:type="dxa"/>
              <w:right w:w="108" w:type="dxa"/>
            </w:tcMar>
            <w:hideMark/>
          </w:tcPr>
          <w:p w14:paraId="7036ED70" w14:textId="77C93FC8" w:rsidR="003C1387" w:rsidRPr="00A63E29" w:rsidRDefault="003C1387" w:rsidP="003C1387">
            <w:pPr>
              <w:jc w:val="left"/>
              <w:rPr>
                <w:color w:val="201F1E"/>
                <w:sz w:val="18"/>
                <w:szCs w:val="18"/>
              </w:rPr>
            </w:pPr>
            <w:r w:rsidRPr="00A63E29">
              <w:rPr>
                <w:color w:val="201F1E"/>
                <w:sz w:val="18"/>
                <w:szCs w:val="18"/>
              </w:rPr>
              <w:t xml:space="preserve">At the national level, Government has its protocols in place for staff, and is requiring a full normal workload.  Meetings are being conducted in small groups and via video.  Unless there is a major increase in the pandemic, the risk is considered medium to low. </w:t>
            </w:r>
          </w:p>
        </w:tc>
      </w:tr>
      <w:tr w:rsidR="003C1387" w:rsidRPr="007263B4" w14:paraId="10240490" w14:textId="77777777" w:rsidTr="00926889">
        <w:tc>
          <w:tcPr>
            <w:tcW w:w="1415" w:type="dxa"/>
            <w:shd w:val="clear" w:color="auto" w:fill="FFFFFF"/>
            <w:tcMar>
              <w:top w:w="0" w:type="dxa"/>
              <w:left w:w="108" w:type="dxa"/>
              <w:bottom w:w="0" w:type="dxa"/>
              <w:right w:w="108" w:type="dxa"/>
            </w:tcMar>
            <w:hideMark/>
          </w:tcPr>
          <w:p w14:paraId="57B088DA" w14:textId="77777777" w:rsidR="003C1387" w:rsidRPr="00A63E29" w:rsidRDefault="003C1387" w:rsidP="003C1387">
            <w:pPr>
              <w:jc w:val="left"/>
              <w:rPr>
                <w:color w:val="201F1E"/>
                <w:sz w:val="18"/>
                <w:szCs w:val="18"/>
              </w:rPr>
            </w:pPr>
            <w:r w:rsidRPr="00A63E29">
              <w:rPr>
                <w:color w:val="201F1E"/>
                <w:sz w:val="18"/>
                <w:szCs w:val="18"/>
              </w:rPr>
              <w:t>Enabling environment</w:t>
            </w:r>
          </w:p>
        </w:tc>
        <w:tc>
          <w:tcPr>
            <w:tcW w:w="2977" w:type="dxa"/>
            <w:shd w:val="clear" w:color="auto" w:fill="FFFFFF"/>
          </w:tcPr>
          <w:p w14:paraId="7EEAC42C" w14:textId="50ABAAD9" w:rsidR="003C1387" w:rsidRPr="00A63E29" w:rsidRDefault="003C1387" w:rsidP="003C1387">
            <w:pPr>
              <w:jc w:val="left"/>
              <w:rPr>
                <w:color w:val="201F1E"/>
                <w:sz w:val="18"/>
                <w:szCs w:val="18"/>
              </w:rPr>
            </w:pPr>
            <w:r w:rsidRPr="00A63E29">
              <w:rPr>
                <w:color w:val="201F1E"/>
                <w:sz w:val="18"/>
                <w:szCs w:val="18"/>
              </w:rPr>
              <w:t>Impacts on co-financing could result</w:t>
            </w:r>
          </w:p>
        </w:tc>
        <w:tc>
          <w:tcPr>
            <w:tcW w:w="992" w:type="dxa"/>
            <w:shd w:val="clear" w:color="auto" w:fill="FFFFFF"/>
            <w:tcMar>
              <w:top w:w="0" w:type="dxa"/>
              <w:left w:w="108" w:type="dxa"/>
              <w:bottom w:w="0" w:type="dxa"/>
              <w:right w:w="108" w:type="dxa"/>
            </w:tcMar>
          </w:tcPr>
          <w:p w14:paraId="2A7F028A" w14:textId="3270A20A" w:rsidR="003C1387" w:rsidRPr="00A63E29" w:rsidRDefault="00926889" w:rsidP="003C1387">
            <w:pPr>
              <w:jc w:val="left"/>
              <w:rPr>
                <w:color w:val="201F1E"/>
                <w:sz w:val="18"/>
                <w:szCs w:val="18"/>
              </w:rPr>
            </w:pPr>
            <w:r w:rsidRPr="00A63E29">
              <w:rPr>
                <w:color w:val="201F1E"/>
                <w:sz w:val="18"/>
                <w:szCs w:val="18"/>
              </w:rPr>
              <w:t>Medium</w:t>
            </w:r>
          </w:p>
        </w:tc>
        <w:tc>
          <w:tcPr>
            <w:tcW w:w="5386" w:type="dxa"/>
            <w:shd w:val="clear" w:color="auto" w:fill="FFFFFF"/>
            <w:tcMar>
              <w:top w:w="0" w:type="dxa"/>
              <w:left w:w="108" w:type="dxa"/>
              <w:bottom w:w="0" w:type="dxa"/>
              <w:right w:w="108" w:type="dxa"/>
            </w:tcMar>
            <w:hideMark/>
          </w:tcPr>
          <w:p w14:paraId="65913ED3" w14:textId="77777777" w:rsidR="003C1387" w:rsidRPr="00A63E29" w:rsidRDefault="003C1387" w:rsidP="003C1387">
            <w:pPr>
              <w:jc w:val="left"/>
              <w:rPr>
                <w:color w:val="201F1E"/>
                <w:sz w:val="18"/>
                <w:szCs w:val="18"/>
              </w:rPr>
            </w:pPr>
            <w:r w:rsidRPr="00A63E29">
              <w:rPr>
                <w:color w:val="201F1E"/>
                <w:sz w:val="18"/>
                <w:szCs w:val="18"/>
              </w:rPr>
              <w:t>The availability of co-financing could be affected by changes in government fiscal priorities and exchange rates. Methods for safe implementation will be needed, such as increased use of remote communication, use of PPE, limited meetings.  Government is, however, fully supportive of the project.</w:t>
            </w:r>
          </w:p>
        </w:tc>
      </w:tr>
      <w:tr w:rsidR="003C1387" w:rsidRPr="007263B4" w14:paraId="40BFEA74" w14:textId="77777777" w:rsidTr="00926889">
        <w:tc>
          <w:tcPr>
            <w:tcW w:w="1415" w:type="dxa"/>
            <w:shd w:val="clear" w:color="auto" w:fill="FFFFFF"/>
            <w:tcMar>
              <w:top w:w="0" w:type="dxa"/>
              <w:left w:w="108" w:type="dxa"/>
              <w:bottom w:w="0" w:type="dxa"/>
              <w:right w:w="108" w:type="dxa"/>
            </w:tcMar>
          </w:tcPr>
          <w:p w14:paraId="50CFCEF8" w14:textId="77777777" w:rsidR="003C1387" w:rsidRPr="00A63E29" w:rsidRDefault="003C1387" w:rsidP="003C1387">
            <w:pPr>
              <w:jc w:val="left"/>
              <w:rPr>
                <w:color w:val="201F1E"/>
                <w:sz w:val="18"/>
                <w:szCs w:val="18"/>
              </w:rPr>
            </w:pPr>
            <w:r w:rsidRPr="00A63E29">
              <w:rPr>
                <w:color w:val="201F1E"/>
                <w:sz w:val="18"/>
                <w:szCs w:val="18"/>
              </w:rPr>
              <w:t>Travel by tourists</w:t>
            </w:r>
          </w:p>
        </w:tc>
        <w:tc>
          <w:tcPr>
            <w:tcW w:w="2977" w:type="dxa"/>
            <w:shd w:val="clear" w:color="auto" w:fill="FFFFFF"/>
          </w:tcPr>
          <w:p w14:paraId="0F5F9876" w14:textId="4B886FB1" w:rsidR="003C1387" w:rsidRPr="00A63E29" w:rsidRDefault="003C1387" w:rsidP="003C1387">
            <w:pPr>
              <w:jc w:val="left"/>
              <w:rPr>
                <w:color w:val="201F1E"/>
                <w:sz w:val="18"/>
                <w:szCs w:val="18"/>
              </w:rPr>
            </w:pPr>
            <w:r w:rsidRPr="00A63E29">
              <w:rPr>
                <w:color w:val="201F1E"/>
                <w:sz w:val="18"/>
                <w:szCs w:val="18"/>
              </w:rPr>
              <w:t>Lack of tourists as a result of covid reduces livelihood options</w:t>
            </w:r>
          </w:p>
        </w:tc>
        <w:tc>
          <w:tcPr>
            <w:tcW w:w="992" w:type="dxa"/>
            <w:shd w:val="clear" w:color="auto" w:fill="FFFFFF"/>
            <w:tcMar>
              <w:top w:w="0" w:type="dxa"/>
              <w:left w:w="108" w:type="dxa"/>
              <w:bottom w:w="0" w:type="dxa"/>
              <w:right w:w="108" w:type="dxa"/>
            </w:tcMar>
          </w:tcPr>
          <w:p w14:paraId="4F43E4F2" w14:textId="057B1B38" w:rsidR="003C1387" w:rsidRPr="00A63E29" w:rsidRDefault="00926889" w:rsidP="003C1387">
            <w:pPr>
              <w:jc w:val="left"/>
              <w:rPr>
                <w:color w:val="201F1E"/>
                <w:sz w:val="18"/>
                <w:szCs w:val="18"/>
              </w:rPr>
            </w:pPr>
            <w:r w:rsidRPr="00A63E29">
              <w:rPr>
                <w:color w:val="201F1E"/>
                <w:sz w:val="18"/>
                <w:szCs w:val="18"/>
              </w:rPr>
              <w:t>High</w:t>
            </w:r>
          </w:p>
        </w:tc>
        <w:tc>
          <w:tcPr>
            <w:tcW w:w="5386" w:type="dxa"/>
            <w:shd w:val="clear" w:color="auto" w:fill="FFFFFF"/>
            <w:tcMar>
              <w:top w:w="0" w:type="dxa"/>
              <w:left w:w="108" w:type="dxa"/>
              <w:bottom w:w="0" w:type="dxa"/>
              <w:right w:w="108" w:type="dxa"/>
            </w:tcMar>
          </w:tcPr>
          <w:p w14:paraId="7AB3047B" w14:textId="3FBE0AC1" w:rsidR="003C1387" w:rsidRPr="00A63E29" w:rsidRDefault="003C1387" w:rsidP="003C1387">
            <w:pPr>
              <w:jc w:val="left"/>
              <w:rPr>
                <w:color w:val="201F1E"/>
                <w:sz w:val="18"/>
                <w:szCs w:val="18"/>
              </w:rPr>
            </w:pPr>
            <w:r w:rsidRPr="00A63E29">
              <w:rPr>
                <w:color w:val="201F1E"/>
                <w:sz w:val="18"/>
                <w:szCs w:val="18"/>
              </w:rPr>
              <w:t xml:space="preserve">The project will assess the potential for recovery of the tourism market and to identify specific disease risk mitigation/prevention measures for a post-Covid19 recovery of the tourism industry. </w:t>
            </w:r>
          </w:p>
        </w:tc>
      </w:tr>
      <w:tr w:rsidR="003C1387" w:rsidRPr="007263B4" w14:paraId="4A611043" w14:textId="77777777" w:rsidTr="00926889">
        <w:trPr>
          <w:trHeight w:val="1129"/>
        </w:trPr>
        <w:tc>
          <w:tcPr>
            <w:tcW w:w="1415" w:type="dxa"/>
            <w:shd w:val="clear" w:color="auto" w:fill="FFFFFF"/>
            <w:tcMar>
              <w:top w:w="0" w:type="dxa"/>
              <w:left w:w="108" w:type="dxa"/>
              <w:bottom w:w="0" w:type="dxa"/>
              <w:right w:w="108" w:type="dxa"/>
            </w:tcMar>
            <w:hideMark/>
          </w:tcPr>
          <w:p w14:paraId="1D924314" w14:textId="77777777" w:rsidR="003C1387" w:rsidRPr="00A63E29" w:rsidRDefault="003C1387" w:rsidP="003C1387">
            <w:pPr>
              <w:jc w:val="left"/>
              <w:rPr>
                <w:color w:val="201F1E"/>
                <w:sz w:val="18"/>
                <w:szCs w:val="18"/>
              </w:rPr>
            </w:pPr>
            <w:r w:rsidRPr="00A63E29">
              <w:rPr>
                <w:color w:val="201F1E"/>
                <w:sz w:val="18"/>
                <w:szCs w:val="18"/>
              </w:rPr>
              <w:t>Future zoonoses</w:t>
            </w:r>
          </w:p>
        </w:tc>
        <w:tc>
          <w:tcPr>
            <w:tcW w:w="2977" w:type="dxa"/>
            <w:shd w:val="clear" w:color="auto" w:fill="FFFFFF"/>
          </w:tcPr>
          <w:p w14:paraId="08516CFA" w14:textId="09A34DA7" w:rsidR="003C1387" w:rsidRPr="00A63E29" w:rsidRDefault="003C1387" w:rsidP="003C1387">
            <w:pPr>
              <w:jc w:val="left"/>
              <w:rPr>
                <w:color w:val="201F1E"/>
                <w:sz w:val="18"/>
                <w:szCs w:val="18"/>
              </w:rPr>
            </w:pPr>
            <w:r w:rsidRPr="00A63E29">
              <w:rPr>
                <w:color w:val="201F1E"/>
                <w:sz w:val="18"/>
                <w:szCs w:val="18"/>
              </w:rPr>
              <w:t>Potential for adverse impacts that might contribute to future pandemics, for example, there will be no focus on increasing the human-wildlife interface or any actions that cause degradation</w:t>
            </w:r>
          </w:p>
        </w:tc>
        <w:tc>
          <w:tcPr>
            <w:tcW w:w="992" w:type="dxa"/>
            <w:shd w:val="clear" w:color="auto" w:fill="FFFFFF"/>
            <w:tcMar>
              <w:top w:w="0" w:type="dxa"/>
              <w:left w:w="108" w:type="dxa"/>
              <w:bottom w:w="0" w:type="dxa"/>
              <w:right w:w="108" w:type="dxa"/>
            </w:tcMar>
          </w:tcPr>
          <w:p w14:paraId="0F240F11" w14:textId="7A2282ED" w:rsidR="003C1387" w:rsidRPr="00A63E29" w:rsidRDefault="00926889" w:rsidP="003C1387">
            <w:pPr>
              <w:jc w:val="left"/>
              <w:rPr>
                <w:color w:val="201F1E"/>
                <w:sz w:val="18"/>
                <w:szCs w:val="18"/>
              </w:rPr>
            </w:pPr>
            <w:r w:rsidRPr="00A63E29">
              <w:rPr>
                <w:color w:val="201F1E"/>
                <w:sz w:val="18"/>
                <w:szCs w:val="18"/>
              </w:rPr>
              <w:t>Medium</w:t>
            </w:r>
          </w:p>
        </w:tc>
        <w:tc>
          <w:tcPr>
            <w:tcW w:w="5386" w:type="dxa"/>
            <w:shd w:val="clear" w:color="auto" w:fill="FFFFFF"/>
            <w:tcMar>
              <w:top w:w="0" w:type="dxa"/>
              <w:left w:w="108" w:type="dxa"/>
              <w:bottom w:w="0" w:type="dxa"/>
              <w:right w:w="108" w:type="dxa"/>
            </w:tcMar>
            <w:hideMark/>
          </w:tcPr>
          <w:p w14:paraId="3A077004" w14:textId="0474167A" w:rsidR="003C1387" w:rsidRPr="007263B4" w:rsidRDefault="003C1387" w:rsidP="00926889">
            <w:pPr>
              <w:ind w:hanging="1"/>
              <w:jc w:val="left"/>
              <w:rPr>
                <w:color w:val="201F1E"/>
                <w:sz w:val="18"/>
                <w:szCs w:val="18"/>
              </w:rPr>
            </w:pPr>
            <w:r w:rsidRPr="00A63E29">
              <w:rPr>
                <w:color w:val="201F1E"/>
                <w:sz w:val="18"/>
                <w:szCs w:val="18"/>
              </w:rPr>
              <w:t>The project will proactively work to reduce risky human-wildlife interface, towards reducing the risk of future pandemics, while over the long-term promoting an intact landscape with healthy wildlife populations.</w:t>
            </w:r>
            <w:r w:rsidRPr="007263B4">
              <w:rPr>
                <w:color w:val="201F1E"/>
                <w:sz w:val="18"/>
                <w:szCs w:val="18"/>
              </w:rPr>
              <w:t xml:space="preserve">  </w:t>
            </w:r>
          </w:p>
        </w:tc>
      </w:tr>
      <w:tr w:rsidR="00F16B92" w:rsidRPr="007263B4" w14:paraId="61EBAC07" w14:textId="77777777" w:rsidTr="00755BF9">
        <w:trPr>
          <w:trHeight w:val="259"/>
        </w:trPr>
        <w:tc>
          <w:tcPr>
            <w:tcW w:w="10770" w:type="dxa"/>
            <w:gridSpan w:val="4"/>
            <w:shd w:val="clear" w:color="auto" w:fill="FFFFFF"/>
            <w:tcMar>
              <w:top w:w="0" w:type="dxa"/>
              <w:left w:w="108" w:type="dxa"/>
              <w:bottom w:w="0" w:type="dxa"/>
              <w:right w:w="108" w:type="dxa"/>
            </w:tcMar>
          </w:tcPr>
          <w:p w14:paraId="6290A3E0" w14:textId="5646C8B5" w:rsidR="00F16B92" w:rsidRPr="00A63E29" w:rsidRDefault="00F16B92" w:rsidP="00926889">
            <w:pPr>
              <w:ind w:hanging="1"/>
              <w:jc w:val="left"/>
              <w:rPr>
                <w:color w:val="201F1E"/>
                <w:sz w:val="18"/>
                <w:szCs w:val="18"/>
              </w:rPr>
            </w:pPr>
            <w:r>
              <w:rPr>
                <w:color w:val="201F1E"/>
                <w:sz w:val="18"/>
                <w:szCs w:val="18"/>
              </w:rPr>
              <w:t>Social and Environmental risks</w:t>
            </w:r>
          </w:p>
        </w:tc>
      </w:tr>
      <w:tr w:rsidR="00F16B92" w:rsidRPr="007263B4" w14:paraId="11FE54EA" w14:textId="77777777" w:rsidTr="00926889">
        <w:trPr>
          <w:trHeight w:val="1129"/>
        </w:trPr>
        <w:tc>
          <w:tcPr>
            <w:tcW w:w="1415" w:type="dxa"/>
            <w:shd w:val="clear" w:color="auto" w:fill="FFFFFF"/>
            <w:tcMar>
              <w:top w:w="0" w:type="dxa"/>
              <w:left w:w="108" w:type="dxa"/>
              <w:bottom w:w="0" w:type="dxa"/>
              <w:right w:w="108" w:type="dxa"/>
            </w:tcMar>
          </w:tcPr>
          <w:p w14:paraId="28FBE545" w14:textId="748E9B39" w:rsidR="00F16B92" w:rsidRPr="003F4704" w:rsidRDefault="00F16B92" w:rsidP="003C1387">
            <w:pPr>
              <w:jc w:val="left"/>
              <w:rPr>
                <w:color w:val="201F1E"/>
                <w:sz w:val="18"/>
                <w:szCs w:val="18"/>
                <w:highlight w:val="green"/>
              </w:rPr>
            </w:pPr>
            <w:r w:rsidRPr="003F4704">
              <w:rPr>
                <w:color w:val="201F1E"/>
                <w:sz w:val="18"/>
                <w:szCs w:val="18"/>
                <w:highlight w:val="green"/>
              </w:rPr>
              <w:t xml:space="preserve">Occupational risk </w:t>
            </w:r>
          </w:p>
        </w:tc>
        <w:tc>
          <w:tcPr>
            <w:tcW w:w="2977" w:type="dxa"/>
            <w:shd w:val="clear" w:color="auto" w:fill="FFFFFF"/>
          </w:tcPr>
          <w:p w14:paraId="62975BE9" w14:textId="1DA78993" w:rsidR="00F16B92" w:rsidRPr="003F4704" w:rsidRDefault="00F16B92" w:rsidP="003C1387">
            <w:pPr>
              <w:jc w:val="left"/>
              <w:rPr>
                <w:color w:val="201F1E"/>
                <w:sz w:val="18"/>
                <w:szCs w:val="18"/>
                <w:highlight w:val="green"/>
              </w:rPr>
            </w:pPr>
            <w:r w:rsidRPr="003F4704">
              <w:rPr>
                <w:color w:val="201F1E"/>
                <w:sz w:val="18"/>
                <w:szCs w:val="18"/>
                <w:highlight w:val="green"/>
              </w:rPr>
              <w:t>Participation in project activities could pose a potential risk of increased exposure to COVID-19 and other occupational risks.</w:t>
            </w:r>
          </w:p>
        </w:tc>
        <w:tc>
          <w:tcPr>
            <w:tcW w:w="992" w:type="dxa"/>
            <w:shd w:val="clear" w:color="auto" w:fill="FFFFFF"/>
            <w:tcMar>
              <w:top w:w="0" w:type="dxa"/>
              <w:left w:w="108" w:type="dxa"/>
              <w:bottom w:w="0" w:type="dxa"/>
              <w:right w:w="108" w:type="dxa"/>
            </w:tcMar>
          </w:tcPr>
          <w:p w14:paraId="63ADDD4C" w14:textId="3D3695D0" w:rsidR="00F16B92" w:rsidRPr="003F4704" w:rsidRDefault="00F16B92" w:rsidP="003C1387">
            <w:pPr>
              <w:jc w:val="left"/>
              <w:rPr>
                <w:color w:val="201F1E"/>
                <w:sz w:val="18"/>
                <w:szCs w:val="18"/>
                <w:highlight w:val="green"/>
              </w:rPr>
            </w:pPr>
            <w:r w:rsidRPr="003F4704">
              <w:rPr>
                <w:color w:val="201F1E"/>
                <w:sz w:val="18"/>
                <w:szCs w:val="18"/>
                <w:highlight w:val="green"/>
              </w:rPr>
              <w:t>Moderate</w:t>
            </w:r>
          </w:p>
        </w:tc>
        <w:tc>
          <w:tcPr>
            <w:tcW w:w="5386" w:type="dxa"/>
            <w:shd w:val="clear" w:color="auto" w:fill="FFFFFF"/>
            <w:tcMar>
              <w:top w:w="0" w:type="dxa"/>
              <w:left w:w="108" w:type="dxa"/>
              <w:bottom w:w="0" w:type="dxa"/>
              <w:right w:w="108" w:type="dxa"/>
            </w:tcMar>
          </w:tcPr>
          <w:p w14:paraId="0C378BF5" w14:textId="77777777" w:rsidR="00F16B92" w:rsidRPr="003F4704" w:rsidRDefault="00F16B92" w:rsidP="00F16B92">
            <w:pPr>
              <w:ind w:hanging="1"/>
              <w:jc w:val="left"/>
              <w:rPr>
                <w:color w:val="201F1E"/>
                <w:sz w:val="18"/>
                <w:szCs w:val="18"/>
                <w:highlight w:val="green"/>
              </w:rPr>
            </w:pPr>
            <w:r w:rsidRPr="003F4704">
              <w:rPr>
                <w:color w:val="201F1E"/>
                <w:sz w:val="18"/>
                <w:szCs w:val="18"/>
                <w:highlight w:val="green"/>
              </w:rPr>
              <w:t>This risk will be managed on the basis of the national regulations from the Health Authority to combat the COVID 19.</w:t>
            </w:r>
          </w:p>
          <w:p w14:paraId="200F9CC8" w14:textId="4A00FADD" w:rsidR="00F16B92" w:rsidRPr="00A63E29" w:rsidRDefault="00F16B92" w:rsidP="00F16B92">
            <w:pPr>
              <w:ind w:hanging="1"/>
              <w:jc w:val="left"/>
              <w:rPr>
                <w:color w:val="201F1E"/>
                <w:sz w:val="18"/>
                <w:szCs w:val="18"/>
              </w:rPr>
            </w:pPr>
            <w:r w:rsidRPr="003F4704">
              <w:rPr>
                <w:color w:val="201F1E"/>
                <w:sz w:val="18"/>
                <w:szCs w:val="18"/>
                <w:highlight w:val="green"/>
              </w:rPr>
              <w:t xml:space="preserve">The design of the project interventions will take into account the specific measures necessary to mitigate any potential risk of exposure during implementation. Consistent with current health constraints associated with the COVID-19 pandemic, project preparation and </w:t>
            </w:r>
            <w:r w:rsidRPr="003F4704">
              <w:rPr>
                <w:color w:val="201F1E"/>
                <w:sz w:val="18"/>
                <w:szCs w:val="18"/>
                <w:highlight w:val="green"/>
              </w:rPr>
              <w:lastRenderedPageBreak/>
              <w:t>implementation will employ videoconferencing equipment for virtual meetings and workshops, where necessary; adjust the work plan to allow some field or ongoing consultation-related activities to be conducted in virtual mode, as needed; and/or provide personal protective equipment (PPE) to prevent exposure to stakeholders and project participants.</w:t>
            </w:r>
          </w:p>
        </w:tc>
      </w:tr>
    </w:tbl>
    <w:p w14:paraId="41B85334" w14:textId="67621D1A" w:rsidR="007D0B29" w:rsidRPr="007263B4" w:rsidRDefault="007D0B29" w:rsidP="003C1387">
      <w:pPr>
        <w:shd w:val="clear" w:color="auto" w:fill="FFFFFF"/>
        <w:ind w:left="2" w:hanging="2"/>
        <w:jc w:val="left"/>
        <w:rPr>
          <w:color w:val="201F1E"/>
          <w:sz w:val="18"/>
          <w:szCs w:val="18"/>
          <w:bdr w:val="none" w:sz="0" w:space="0" w:color="auto" w:frame="1"/>
        </w:rPr>
      </w:pPr>
      <w:r w:rsidRPr="007263B4">
        <w:rPr>
          <w:color w:val="201F1E"/>
          <w:sz w:val="18"/>
          <w:szCs w:val="18"/>
          <w:bdr w:val="none" w:sz="0" w:space="0" w:color="auto" w:frame="1"/>
        </w:rPr>
        <w:lastRenderedPageBreak/>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3681"/>
        <w:gridCol w:w="1276"/>
        <w:gridCol w:w="5811"/>
      </w:tblGrid>
      <w:tr w:rsidR="00374EF3" w:rsidRPr="007263B4" w14:paraId="0A79090D" w14:textId="77777777" w:rsidTr="00374EF3">
        <w:tc>
          <w:tcPr>
            <w:tcW w:w="3681" w:type="dxa"/>
            <w:shd w:val="clear" w:color="auto" w:fill="FFFFFF"/>
            <w:tcMar>
              <w:top w:w="0" w:type="dxa"/>
              <w:left w:w="108" w:type="dxa"/>
              <w:bottom w:w="0" w:type="dxa"/>
              <w:right w:w="108" w:type="dxa"/>
            </w:tcMar>
            <w:hideMark/>
          </w:tcPr>
          <w:p w14:paraId="57DDF93A" w14:textId="77777777" w:rsidR="00374EF3" w:rsidRPr="00A63E29" w:rsidRDefault="00374EF3" w:rsidP="00374EF3">
            <w:pPr>
              <w:rPr>
                <w:color w:val="201F1E"/>
                <w:szCs w:val="20"/>
              </w:rPr>
            </w:pPr>
            <w:r w:rsidRPr="00A63E29">
              <w:rPr>
                <w:b/>
                <w:bCs/>
                <w:color w:val="201F1E"/>
                <w:szCs w:val="20"/>
              </w:rPr>
              <w:t>Opportunity Category</w:t>
            </w:r>
          </w:p>
        </w:tc>
        <w:tc>
          <w:tcPr>
            <w:tcW w:w="1276" w:type="dxa"/>
            <w:shd w:val="clear" w:color="auto" w:fill="FFFFFF"/>
            <w:tcMar>
              <w:top w:w="0" w:type="dxa"/>
              <w:left w:w="108" w:type="dxa"/>
              <w:bottom w:w="0" w:type="dxa"/>
              <w:right w:w="108" w:type="dxa"/>
            </w:tcMar>
            <w:hideMark/>
          </w:tcPr>
          <w:p w14:paraId="79AF17BC" w14:textId="7D03E2F7" w:rsidR="00374EF3" w:rsidRPr="00A63E29" w:rsidRDefault="00374EF3" w:rsidP="00374EF3">
            <w:pPr>
              <w:rPr>
                <w:color w:val="201F1E"/>
                <w:szCs w:val="20"/>
              </w:rPr>
            </w:pPr>
            <w:r w:rsidRPr="00A63E29">
              <w:rPr>
                <w:b/>
                <w:bCs/>
                <w:color w:val="201F1E"/>
                <w:szCs w:val="20"/>
              </w:rPr>
              <w:t>Potential</w:t>
            </w:r>
          </w:p>
        </w:tc>
        <w:tc>
          <w:tcPr>
            <w:tcW w:w="5811" w:type="dxa"/>
            <w:shd w:val="clear" w:color="auto" w:fill="FFFFFF"/>
            <w:tcMar>
              <w:top w:w="0" w:type="dxa"/>
              <w:left w:w="108" w:type="dxa"/>
              <w:bottom w:w="0" w:type="dxa"/>
              <w:right w:w="108" w:type="dxa"/>
            </w:tcMar>
            <w:hideMark/>
          </w:tcPr>
          <w:p w14:paraId="4D2E7631" w14:textId="77777777" w:rsidR="00374EF3" w:rsidRPr="00A63E29" w:rsidRDefault="00374EF3" w:rsidP="00374EF3">
            <w:pPr>
              <w:rPr>
                <w:color w:val="201F1E"/>
                <w:szCs w:val="20"/>
              </w:rPr>
            </w:pPr>
            <w:r w:rsidRPr="00A63E29">
              <w:rPr>
                <w:b/>
                <w:bCs/>
                <w:color w:val="201F1E"/>
                <w:szCs w:val="20"/>
              </w:rPr>
              <w:t>Project Plans</w:t>
            </w:r>
          </w:p>
        </w:tc>
      </w:tr>
      <w:tr w:rsidR="00374EF3" w:rsidRPr="007263B4" w14:paraId="41AB071E" w14:textId="77777777" w:rsidTr="00374EF3">
        <w:tc>
          <w:tcPr>
            <w:tcW w:w="3681" w:type="dxa"/>
            <w:shd w:val="clear" w:color="auto" w:fill="FFFFFF"/>
            <w:tcMar>
              <w:top w:w="0" w:type="dxa"/>
              <w:left w:w="108" w:type="dxa"/>
              <w:bottom w:w="0" w:type="dxa"/>
              <w:right w:w="108" w:type="dxa"/>
            </w:tcMar>
            <w:hideMark/>
          </w:tcPr>
          <w:p w14:paraId="605CE3A1" w14:textId="77777777" w:rsidR="00374EF3" w:rsidRPr="00A63E29" w:rsidRDefault="00374EF3" w:rsidP="00374EF3">
            <w:pPr>
              <w:rPr>
                <w:color w:val="201F1E"/>
                <w:sz w:val="18"/>
                <w:szCs w:val="18"/>
              </w:rPr>
            </w:pPr>
            <w:r w:rsidRPr="00A63E29">
              <w:rPr>
                <w:color w:val="201F1E"/>
                <w:sz w:val="18"/>
                <w:szCs w:val="18"/>
              </w:rPr>
              <w:t>Can the project do more to protect and restore natural systems and their ecological functionality?</w:t>
            </w:r>
          </w:p>
        </w:tc>
        <w:tc>
          <w:tcPr>
            <w:tcW w:w="1276" w:type="dxa"/>
            <w:shd w:val="clear" w:color="auto" w:fill="FFFFFF"/>
            <w:tcMar>
              <w:top w:w="0" w:type="dxa"/>
              <w:left w:w="108" w:type="dxa"/>
              <w:bottom w:w="0" w:type="dxa"/>
              <w:right w:w="108" w:type="dxa"/>
            </w:tcMar>
            <w:hideMark/>
          </w:tcPr>
          <w:p w14:paraId="66958242" w14:textId="31D0B774" w:rsidR="00374EF3" w:rsidRPr="00A63E29" w:rsidRDefault="00374EF3" w:rsidP="00374EF3">
            <w:pPr>
              <w:rPr>
                <w:color w:val="201F1E"/>
                <w:sz w:val="18"/>
                <w:szCs w:val="18"/>
              </w:rPr>
            </w:pPr>
            <w:r w:rsidRPr="00A63E29">
              <w:rPr>
                <w:color w:val="201F1E"/>
                <w:sz w:val="18"/>
                <w:szCs w:val="18"/>
              </w:rPr>
              <w:t>High</w:t>
            </w:r>
          </w:p>
        </w:tc>
        <w:tc>
          <w:tcPr>
            <w:tcW w:w="5811" w:type="dxa"/>
            <w:shd w:val="clear" w:color="auto" w:fill="FFFFFF"/>
            <w:tcMar>
              <w:top w:w="0" w:type="dxa"/>
              <w:left w:w="108" w:type="dxa"/>
              <w:bottom w:w="0" w:type="dxa"/>
              <w:right w:w="108" w:type="dxa"/>
            </w:tcMar>
          </w:tcPr>
          <w:p w14:paraId="10B317F7" w14:textId="74CB46EC" w:rsidR="00374EF3" w:rsidRPr="00A63E29" w:rsidRDefault="00374EF3" w:rsidP="00374EF3">
            <w:pPr>
              <w:rPr>
                <w:color w:val="201F1E"/>
                <w:sz w:val="18"/>
                <w:szCs w:val="18"/>
              </w:rPr>
            </w:pPr>
            <w:r w:rsidRPr="00A63E29">
              <w:rPr>
                <w:color w:val="201F1E"/>
                <w:sz w:val="18"/>
                <w:szCs w:val="18"/>
              </w:rPr>
              <w:t>The project has been designed to ensure the long-term integrity, conservation and sustainable use of its target landscape and its ecosystem functions. Reducing encroachment of human land uses and fragmentation of ecosystems will also contribute to reducing the risk of future zoonoses.</w:t>
            </w:r>
          </w:p>
        </w:tc>
      </w:tr>
      <w:tr w:rsidR="00374EF3" w:rsidRPr="007263B4" w14:paraId="1574FC5C" w14:textId="77777777" w:rsidTr="00374EF3">
        <w:tc>
          <w:tcPr>
            <w:tcW w:w="3681" w:type="dxa"/>
            <w:shd w:val="clear" w:color="auto" w:fill="FFFFFF"/>
            <w:tcMar>
              <w:top w:w="0" w:type="dxa"/>
              <w:left w:w="108" w:type="dxa"/>
              <w:bottom w:w="0" w:type="dxa"/>
              <w:right w:w="108" w:type="dxa"/>
            </w:tcMar>
            <w:hideMark/>
          </w:tcPr>
          <w:p w14:paraId="593CE011" w14:textId="28902C7A" w:rsidR="00374EF3" w:rsidRPr="00A63E29" w:rsidRDefault="00374EF3" w:rsidP="00374EF3">
            <w:pPr>
              <w:rPr>
                <w:color w:val="201F1E"/>
                <w:sz w:val="18"/>
                <w:szCs w:val="18"/>
              </w:rPr>
            </w:pPr>
            <w:r w:rsidRPr="00A63E29">
              <w:rPr>
                <w:color w:val="201F1E"/>
                <w:sz w:val="18"/>
                <w:szCs w:val="18"/>
              </w:rPr>
              <w:t xml:space="preserve">Can </w:t>
            </w:r>
            <w:r w:rsidR="007B469A" w:rsidRPr="00A63E29">
              <w:rPr>
                <w:color w:val="201F1E"/>
                <w:sz w:val="18"/>
                <w:szCs w:val="18"/>
              </w:rPr>
              <w:t xml:space="preserve">the </w:t>
            </w:r>
            <w:r w:rsidRPr="00A63E29">
              <w:rPr>
                <w:color w:val="201F1E"/>
                <w:sz w:val="18"/>
                <w:szCs w:val="18"/>
              </w:rPr>
              <w:t xml:space="preserve">project regulate </w:t>
            </w:r>
            <w:r w:rsidR="007B469A" w:rsidRPr="00A63E29">
              <w:rPr>
                <w:color w:val="201F1E"/>
                <w:sz w:val="18"/>
                <w:szCs w:val="18"/>
              </w:rPr>
              <w:t xml:space="preserve">the </w:t>
            </w:r>
            <w:r w:rsidRPr="00A63E29">
              <w:rPr>
                <w:color w:val="201F1E"/>
                <w:sz w:val="18"/>
                <w:szCs w:val="18"/>
              </w:rPr>
              <w:t xml:space="preserve">consumption </w:t>
            </w:r>
            <w:r w:rsidR="007B469A" w:rsidRPr="00A63E29">
              <w:rPr>
                <w:color w:val="201F1E"/>
                <w:sz w:val="18"/>
                <w:szCs w:val="18"/>
              </w:rPr>
              <w:t xml:space="preserve">and trade </w:t>
            </w:r>
            <w:r w:rsidRPr="00A63E29">
              <w:rPr>
                <w:color w:val="201F1E"/>
                <w:sz w:val="18"/>
                <w:szCs w:val="18"/>
              </w:rPr>
              <w:t>of wildlife?</w:t>
            </w:r>
          </w:p>
        </w:tc>
        <w:tc>
          <w:tcPr>
            <w:tcW w:w="1276" w:type="dxa"/>
            <w:shd w:val="clear" w:color="auto" w:fill="FFFFFF"/>
            <w:tcMar>
              <w:top w:w="0" w:type="dxa"/>
              <w:left w:w="108" w:type="dxa"/>
              <w:bottom w:w="0" w:type="dxa"/>
              <w:right w:w="108" w:type="dxa"/>
            </w:tcMar>
            <w:hideMark/>
          </w:tcPr>
          <w:p w14:paraId="0F6CC1AC" w14:textId="51329B31" w:rsidR="00374EF3" w:rsidRPr="00A63E29" w:rsidRDefault="007B469A" w:rsidP="00374EF3">
            <w:pPr>
              <w:rPr>
                <w:color w:val="201F1E"/>
                <w:sz w:val="18"/>
                <w:szCs w:val="18"/>
              </w:rPr>
            </w:pPr>
            <w:r w:rsidRPr="00A63E29">
              <w:rPr>
                <w:color w:val="201F1E"/>
                <w:sz w:val="18"/>
                <w:szCs w:val="18"/>
              </w:rPr>
              <w:t>High</w:t>
            </w:r>
          </w:p>
        </w:tc>
        <w:tc>
          <w:tcPr>
            <w:tcW w:w="5811" w:type="dxa"/>
            <w:shd w:val="clear" w:color="auto" w:fill="FFFFFF"/>
            <w:tcMar>
              <w:top w:w="0" w:type="dxa"/>
              <w:left w:w="108" w:type="dxa"/>
              <w:bottom w:w="0" w:type="dxa"/>
              <w:right w:w="108" w:type="dxa"/>
            </w:tcMar>
            <w:hideMark/>
          </w:tcPr>
          <w:p w14:paraId="5A4EA0A0" w14:textId="3978312C" w:rsidR="00374EF3" w:rsidRPr="00A63E29" w:rsidRDefault="00374EF3" w:rsidP="00374EF3">
            <w:pPr>
              <w:rPr>
                <w:color w:val="201F1E"/>
                <w:sz w:val="18"/>
                <w:szCs w:val="18"/>
              </w:rPr>
            </w:pPr>
            <w:r w:rsidRPr="00A63E29">
              <w:rPr>
                <w:color w:val="201F1E"/>
                <w:sz w:val="18"/>
                <w:szCs w:val="18"/>
              </w:rPr>
              <w:t xml:space="preserve">The project </w:t>
            </w:r>
            <w:r w:rsidR="007B469A" w:rsidRPr="00A63E29">
              <w:rPr>
                <w:color w:val="201F1E"/>
                <w:sz w:val="18"/>
                <w:szCs w:val="18"/>
              </w:rPr>
              <w:t xml:space="preserve">will reduce unregulated hunting and trade of wildlife / wild meat in the target area by strengthening the management of protected areas and promoting alternatives to hunting. Where controlled hunting for tourism is permitted, the opportunities for veterinary control is much greater than is the case for uncontrolled and illegal hunting and therefore the risk of the spread of zoonoses is reduced. </w:t>
            </w:r>
          </w:p>
        </w:tc>
      </w:tr>
      <w:tr w:rsidR="00374EF3" w:rsidRPr="007263B4" w14:paraId="3BB615AE" w14:textId="77777777" w:rsidTr="00374EF3">
        <w:tc>
          <w:tcPr>
            <w:tcW w:w="3681" w:type="dxa"/>
            <w:shd w:val="clear" w:color="auto" w:fill="FFFFFF"/>
            <w:tcMar>
              <w:top w:w="0" w:type="dxa"/>
              <w:left w:w="108" w:type="dxa"/>
              <w:bottom w:w="0" w:type="dxa"/>
              <w:right w:w="108" w:type="dxa"/>
            </w:tcMar>
            <w:hideMark/>
          </w:tcPr>
          <w:p w14:paraId="44020DEB" w14:textId="77777777" w:rsidR="00374EF3" w:rsidRPr="00A63E29" w:rsidRDefault="00374EF3" w:rsidP="00374EF3">
            <w:pPr>
              <w:rPr>
                <w:color w:val="201F1E"/>
                <w:sz w:val="18"/>
                <w:szCs w:val="18"/>
              </w:rPr>
            </w:pPr>
            <w:r w:rsidRPr="00A63E29">
              <w:rPr>
                <w:color w:val="201F1E"/>
                <w:sz w:val="18"/>
                <w:szCs w:val="18"/>
              </w:rPr>
              <w:t>Can the project include a focus on production landscapes and land use practices within them to decrease the risk of human/nature conflicts?</w:t>
            </w:r>
          </w:p>
        </w:tc>
        <w:tc>
          <w:tcPr>
            <w:tcW w:w="1276" w:type="dxa"/>
            <w:shd w:val="clear" w:color="auto" w:fill="FFFFFF"/>
            <w:tcMar>
              <w:top w:w="0" w:type="dxa"/>
              <w:left w:w="108" w:type="dxa"/>
              <w:bottom w:w="0" w:type="dxa"/>
              <w:right w:w="108" w:type="dxa"/>
            </w:tcMar>
            <w:hideMark/>
          </w:tcPr>
          <w:p w14:paraId="1DDCC890" w14:textId="2655A504" w:rsidR="00374EF3" w:rsidRPr="00A63E29" w:rsidRDefault="002C6C50" w:rsidP="00374EF3">
            <w:pPr>
              <w:rPr>
                <w:color w:val="201F1E"/>
                <w:sz w:val="18"/>
                <w:szCs w:val="18"/>
              </w:rPr>
            </w:pPr>
            <w:r w:rsidRPr="00A63E29">
              <w:rPr>
                <w:color w:val="201F1E"/>
                <w:sz w:val="18"/>
                <w:szCs w:val="18"/>
              </w:rPr>
              <w:t>H</w:t>
            </w:r>
            <w:r w:rsidR="00374EF3" w:rsidRPr="00A63E29">
              <w:rPr>
                <w:color w:val="201F1E"/>
                <w:sz w:val="18"/>
                <w:szCs w:val="18"/>
              </w:rPr>
              <w:t>igh</w:t>
            </w:r>
          </w:p>
        </w:tc>
        <w:tc>
          <w:tcPr>
            <w:tcW w:w="5811" w:type="dxa"/>
            <w:shd w:val="clear" w:color="auto" w:fill="FFFFFF"/>
            <w:tcMar>
              <w:top w:w="0" w:type="dxa"/>
              <w:left w:w="108" w:type="dxa"/>
              <w:bottom w:w="0" w:type="dxa"/>
              <w:right w:w="108" w:type="dxa"/>
            </w:tcMar>
            <w:hideMark/>
          </w:tcPr>
          <w:p w14:paraId="3A070E23" w14:textId="17361997" w:rsidR="00374EF3" w:rsidRPr="00A63E29" w:rsidRDefault="00374EF3" w:rsidP="00374EF3">
            <w:pPr>
              <w:rPr>
                <w:color w:val="201F1E"/>
                <w:sz w:val="18"/>
                <w:szCs w:val="18"/>
              </w:rPr>
            </w:pPr>
            <w:r w:rsidRPr="00A63E29">
              <w:rPr>
                <w:color w:val="201F1E"/>
                <w:sz w:val="18"/>
                <w:szCs w:val="18"/>
              </w:rPr>
              <w:t xml:space="preserve">The </w:t>
            </w:r>
            <w:r w:rsidR="007B469A" w:rsidRPr="00A63E29">
              <w:rPr>
                <w:color w:val="201F1E"/>
                <w:sz w:val="18"/>
                <w:szCs w:val="18"/>
              </w:rPr>
              <w:t xml:space="preserve">project focuses on the PONASI landscape as a mosaic of various protected areas of different categories, wildlife corridors and the surrounding production landscape. Its objective is to ensure the sustainable management of both protected and surrounding areas. Reducing human-wildlife conflict (here mostly related to elephants) is one of its objectives. Another key objective is to reduce or prevent the encroachment of human land uses (agriculture, pastoralism) into protected areas which results in their fragmentation and increased risk of human-wildlife conflicts with negative impacts for both sides. </w:t>
            </w:r>
          </w:p>
        </w:tc>
      </w:tr>
      <w:tr w:rsidR="00374EF3" w:rsidRPr="007263B4" w14:paraId="7CF4241E" w14:textId="77777777" w:rsidTr="00374EF3">
        <w:tc>
          <w:tcPr>
            <w:tcW w:w="3681" w:type="dxa"/>
            <w:shd w:val="clear" w:color="auto" w:fill="FFFFFF"/>
            <w:tcMar>
              <w:top w:w="0" w:type="dxa"/>
              <w:left w:w="108" w:type="dxa"/>
              <w:bottom w:w="0" w:type="dxa"/>
              <w:right w:w="108" w:type="dxa"/>
            </w:tcMar>
            <w:hideMark/>
          </w:tcPr>
          <w:p w14:paraId="536A7A31" w14:textId="77777777" w:rsidR="00374EF3" w:rsidRPr="00A63E29" w:rsidRDefault="00374EF3" w:rsidP="00374EF3">
            <w:pPr>
              <w:rPr>
                <w:color w:val="201F1E"/>
                <w:sz w:val="18"/>
                <w:szCs w:val="18"/>
              </w:rPr>
            </w:pPr>
            <w:r w:rsidRPr="00A63E29">
              <w:rPr>
                <w:color w:val="201F1E"/>
                <w:sz w:val="18"/>
                <w:szCs w:val="18"/>
              </w:rPr>
              <w:t>Can the project promote circular solutions to reduce unsustainable resource extraction and environmental degradation?</w:t>
            </w:r>
          </w:p>
        </w:tc>
        <w:tc>
          <w:tcPr>
            <w:tcW w:w="1276" w:type="dxa"/>
            <w:shd w:val="clear" w:color="auto" w:fill="FFFFFF"/>
            <w:tcMar>
              <w:top w:w="0" w:type="dxa"/>
              <w:left w:w="108" w:type="dxa"/>
              <w:bottom w:w="0" w:type="dxa"/>
              <w:right w:w="108" w:type="dxa"/>
            </w:tcMar>
            <w:hideMark/>
          </w:tcPr>
          <w:p w14:paraId="36DE9CAB" w14:textId="0683B17C" w:rsidR="00374EF3" w:rsidRPr="00A63E29" w:rsidRDefault="007B469A" w:rsidP="00374EF3">
            <w:pPr>
              <w:rPr>
                <w:color w:val="201F1E"/>
                <w:sz w:val="18"/>
                <w:szCs w:val="18"/>
              </w:rPr>
            </w:pPr>
            <w:r w:rsidRPr="00A63E29">
              <w:rPr>
                <w:color w:val="201F1E"/>
                <w:sz w:val="18"/>
                <w:szCs w:val="18"/>
              </w:rPr>
              <w:t>H</w:t>
            </w:r>
            <w:r w:rsidR="00374EF3" w:rsidRPr="00A63E29">
              <w:rPr>
                <w:color w:val="201F1E"/>
                <w:sz w:val="18"/>
                <w:szCs w:val="18"/>
              </w:rPr>
              <w:t>igh</w:t>
            </w:r>
          </w:p>
        </w:tc>
        <w:tc>
          <w:tcPr>
            <w:tcW w:w="5811" w:type="dxa"/>
            <w:shd w:val="clear" w:color="auto" w:fill="FFFFFF"/>
            <w:tcMar>
              <w:top w:w="0" w:type="dxa"/>
              <w:left w:w="108" w:type="dxa"/>
              <w:bottom w:w="0" w:type="dxa"/>
              <w:right w:w="108" w:type="dxa"/>
            </w:tcMar>
            <w:hideMark/>
          </w:tcPr>
          <w:p w14:paraId="152D110F" w14:textId="7774BE2B" w:rsidR="00374EF3" w:rsidRPr="00A63E29" w:rsidRDefault="00374EF3" w:rsidP="00374EF3">
            <w:pPr>
              <w:rPr>
                <w:color w:val="201F1E"/>
                <w:sz w:val="18"/>
                <w:szCs w:val="18"/>
              </w:rPr>
            </w:pPr>
            <w:r w:rsidRPr="00A63E29">
              <w:rPr>
                <w:color w:val="201F1E"/>
                <w:sz w:val="18"/>
                <w:szCs w:val="18"/>
              </w:rPr>
              <w:t xml:space="preserve">The project </w:t>
            </w:r>
            <w:r w:rsidR="00E82387" w:rsidRPr="00A63E29">
              <w:rPr>
                <w:color w:val="201F1E"/>
                <w:sz w:val="18"/>
                <w:szCs w:val="18"/>
              </w:rPr>
              <w:t xml:space="preserve">will </w:t>
            </w:r>
            <w:r w:rsidRPr="00A63E29">
              <w:rPr>
                <w:color w:val="201F1E"/>
                <w:sz w:val="18"/>
                <w:szCs w:val="18"/>
              </w:rPr>
              <w:t>ensure sustainable procurement, careful waste management</w:t>
            </w:r>
            <w:r w:rsidR="007B469A" w:rsidRPr="00A63E29">
              <w:rPr>
                <w:color w:val="201F1E"/>
                <w:sz w:val="18"/>
                <w:szCs w:val="18"/>
              </w:rPr>
              <w:t>,</w:t>
            </w:r>
            <w:r w:rsidRPr="00A63E29">
              <w:rPr>
                <w:color w:val="201F1E"/>
                <w:sz w:val="18"/>
                <w:szCs w:val="18"/>
              </w:rPr>
              <w:t xml:space="preserve"> avoidance of contribution to POPs </w:t>
            </w:r>
            <w:r w:rsidR="007B469A" w:rsidRPr="00A63E29">
              <w:rPr>
                <w:color w:val="201F1E"/>
                <w:sz w:val="18"/>
                <w:szCs w:val="18"/>
              </w:rPr>
              <w:t xml:space="preserve">(eg by reducing the use of pesticides including unauthorized ones in and around the target landscape) </w:t>
            </w:r>
            <w:r w:rsidRPr="00A63E29">
              <w:rPr>
                <w:color w:val="201F1E"/>
                <w:sz w:val="18"/>
                <w:szCs w:val="18"/>
              </w:rPr>
              <w:t>and GHG emissions</w:t>
            </w:r>
            <w:r w:rsidR="002C6C50" w:rsidRPr="00A63E29">
              <w:rPr>
                <w:color w:val="201F1E"/>
                <w:sz w:val="18"/>
                <w:szCs w:val="18"/>
              </w:rPr>
              <w:t xml:space="preserve"> (through forest conservation and restoration)</w:t>
            </w:r>
            <w:r w:rsidRPr="00A63E29">
              <w:rPr>
                <w:color w:val="201F1E"/>
                <w:sz w:val="18"/>
                <w:szCs w:val="18"/>
              </w:rPr>
              <w:t xml:space="preserve">. </w:t>
            </w:r>
            <w:r w:rsidR="002C6C50" w:rsidRPr="00A63E29">
              <w:rPr>
                <w:color w:val="201F1E"/>
                <w:sz w:val="18"/>
                <w:szCs w:val="18"/>
              </w:rPr>
              <w:t>Landscape p</w:t>
            </w:r>
            <w:r w:rsidRPr="00A63E29">
              <w:rPr>
                <w:color w:val="201F1E"/>
                <w:sz w:val="18"/>
                <w:szCs w:val="18"/>
              </w:rPr>
              <w:t xml:space="preserve">lanning </w:t>
            </w:r>
            <w:r w:rsidR="002C6C50" w:rsidRPr="00A63E29">
              <w:rPr>
                <w:color w:val="201F1E"/>
                <w:sz w:val="18"/>
                <w:szCs w:val="18"/>
              </w:rPr>
              <w:t xml:space="preserve">will contribute to recovery of the natural vegetation and enhanced landscape connectivity and carbon storage. </w:t>
            </w:r>
          </w:p>
        </w:tc>
      </w:tr>
      <w:tr w:rsidR="00374EF3" w:rsidRPr="007263B4" w14:paraId="5856AAA1" w14:textId="77777777" w:rsidTr="00374EF3">
        <w:tc>
          <w:tcPr>
            <w:tcW w:w="3681" w:type="dxa"/>
            <w:shd w:val="clear" w:color="auto" w:fill="FFFFFF"/>
            <w:tcMar>
              <w:top w:w="0" w:type="dxa"/>
              <w:left w:w="108" w:type="dxa"/>
              <w:bottom w:w="0" w:type="dxa"/>
              <w:right w:w="108" w:type="dxa"/>
            </w:tcMar>
          </w:tcPr>
          <w:p w14:paraId="3D1A9187" w14:textId="77777777" w:rsidR="00374EF3" w:rsidRPr="00A63E29" w:rsidRDefault="00374EF3" w:rsidP="00374EF3">
            <w:pPr>
              <w:rPr>
                <w:color w:val="201F1E"/>
                <w:sz w:val="18"/>
                <w:szCs w:val="18"/>
              </w:rPr>
            </w:pPr>
            <w:r w:rsidRPr="00A63E29">
              <w:rPr>
                <w:color w:val="201F1E"/>
                <w:sz w:val="18"/>
                <w:szCs w:val="18"/>
              </w:rPr>
              <w:t>Short-term opportunity to support Covid economic recovery</w:t>
            </w:r>
          </w:p>
        </w:tc>
        <w:tc>
          <w:tcPr>
            <w:tcW w:w="1276" w:type="dxa"/>
            <w:shd w:val="clear" w:color="auto" w:fill="FFFFFF"/>
            <w:tcMar>
              <w:top w:w="0" w:type="dxa"/>
              <w:left w:w="108" w:type="dxa"/>
              <w:bottom w:w="0" w:type="dxa"/>
              <w:right w:w="108" w:type="dxa"/>
            </w:tcMar>
          </w:tcPr>
          <w:p w14:paraId="3F4DC0FC" w14:textId="6031283D" w:rsidR="00374EF3" w:rsidRPr="00A63E29" w:rsidRDefault="00374EF3" w:rsidP="00374EF3">
            <w:pPr>
              <w:rPr>
                <w:color w:val="201F1E"/>
                <w:sz w:val="18"/>
                <w:szCs w:val="18"/>
              </w:rPr>
            </w:pPr>
            <w:r w:rsidRPr="00A63E29">
              <w:rPr>
                <w:color w:val="201F1E"/>
                <w:sz w:val="18"/>
                <w:szCs w:val="18"/>
              </w:rPr>
              <w:t>High</w:t>
            </w:r>
          </w:p>
        </w:tc>
        <w:tc>
          <w:tcPr>
            <w:tcW w:w="5811" w:type="dxa"/>
            <w:shd w:val="clear" w:color="auto" w:fill="FFFFFF"/>
            <w:tcMar>
              <w:top w:w="0" w:type="dxa"/>
              <w:left w:w="108" w:type="dxa"/>
              <w:bottom w:w="0" w:type="dxa"/>
              <w:right w:w="108" w:type="dxa"/>
            </w:tcMar>
          </w:tcPr>
          <w:p w14:paraId="24F14E54" w14:textId="41F85D45" w:rsidR="00374EF3" w:rsidRPr="00A63E29" w:rsidRDefault="00374EF3" w:rsidP="00374EF3">
            <w:pPr>
              <w:rPr>
                <w:color w:val="201F1E"/>
                <w:sz w:val="18"/>
                <w:szCs w:val="18"/>
              </w:rPr>
            </w:pPr>
            <w:r w:rsidRPr="00A63E29">
              <w:rPr>
                <w:color w:val="201F1E"/>
                <w:sz w:val="18"/>
                <w:szCs w:val="18"/>
              </w:rPr>
              <w:t xml:space="preserve">The </w:t>
            </w:r>
            <w:r w:rsidR="002C6C50" w:rsidRPr="00A63E29">
              <w:rPr>
                <w:color w:val="201F1E"/>
                <w:sz w:val="18"/>
                <w:szCs w:val="18"/>
              </w:rPr>
              <w:t>promotion of sustainable agriculture</w:t>
            </w:r>
            <w:r w:rsidR="008F2091" w:rsidRPr="00A63E29">
              <w:rPr>
                <w:color w:val="201F1E"/>
                <w:sz w:val="18"/>
                <w:szCs w:val="18"/>
              </w:rPr>
              <w:t xml:space="preserve"> (129,678 ha under improved practices)</w:t>
            </w:r>
            <w:r w:rsidR="002C6C50" w:rsidRPr="00A63E29">
              <w:rPr>
                <w:color w:val="201F1E"/>
                <w:sz w:val="18"/>
                <w:szCs w:val="18"/>
              </w:rPr>
              <w:t xml:space="preserve">, agroforestry </w:t>
            </w:r>
            <w:r w:rsidR="008F2091" w:rsidRPr="00A63E29">
              <w:rPr>
                <w:color w:val="201F1E"/>
                <w:sz w:val="18"/>
                <w:szCs w:val="18"/>
              </w:rPr>
              <w:t xml:space="preserve">(11,000 ha restored land) </w:t>
            </w:r>
            <w:r w:rsidR="002C6C50" w:rsidRPr="00A63E29">
              <w:rPr>
                <w:color w:val="201F1E"/>
                <w:sz w:val="18"/>
                <w:szCs w:val="18"/>
              </w:rPr>
              <w:t xml:space="preserve">and use of </w:t>
            </w:r>
            <w:r w:rsidR="003E12E6" w:rsidRPr="00A63E29">
              <w:rPr>
                <w:color w:val="201F1E"/>
                <w:sz w:val="18"/>
                <w:szCs w:val="18"/>
              </w:rPr>
              <w:t>non-timber</w:t>
            </w:r>
            <w:r w:rsidR="002C6C50" w:rsidRPr="00A63E29">
              <w:rPr>
                <w:color w:val="201F1E"/>
                <w:sz w:val="18"/>
                <w:szCs w:val="18"/>
              </w:rPr>
              <w:t xml:space="preserve"> forest products in and around the target landscapes, as well as sustainable tourism in the protected areas, will all contribute to income generation and the recovery of the local economy. All </w:t>
            </w:r>
            <w:r w:rsidRPr="00A63E29">
              <w:rPr>
                <w:color w:val="201F1E"/>
                <w:sz w:val="18"/>
                <w:szCs w:val="18"/>
              </w:rPr>
              <w:t xml:space="preserve">alternative livelihoods </w:t>
            </w:r>
            <w:r w:rsidR="002C6C50" w:rsidRPr="00A63E29">
              <w:rPr>
                <w:color w:val="201F1E"/>
                <w:sz w:val="18"/>
                <w:szCs w:val="18"/>
              </w:rPr>
              <w:t xml:space="preserve">activities are intended towards </w:t>
            </w:r>
            <w:r w:rsidRPr="00A63E29">
              <w:rPr>
                <w:color w:val="201F1E"/>
                <w:sz w:val="18"/>
                <w:szCs w:val="18"/>
              </w:rPr>
              <w:t xml:space="preserve">green growth </w:t>
            </w:r>
            <w:r w:rsidR="002C6C50" w:rsidRPr="00A63E29">
              <w:rPr>
                <w:color w:val="201F1E"/>
                <w:sz w:val="18"/>
                <w:szCs w:val="18"/>
              </w:rPr>
              <w:t xml:space="preserve">models </w:t>
            </w:r>
            <w:r w:rsidRPr="00A63E29">
              <w:rPr>
                <w:color w:val="201F1E"/>
                <w:sz w:val="18"/>
                <w:szCs w:val="18"/>
              </w:rPr>
              <w:t xml:space="preserve">and a circular economy by focusing on business models </w:t>
            </w:r>
            <w:r w:rsidR="002C6C50" w:rsidRPr="00A63E29">
              <w:rPr>
                <w:color w:val="201F1E"/>
                <w:sz w:val="18"/>
                <w:szCs w:val="18"/>
              </w:rPr>
              <w:t xml:space="preserve">and land uses </w:t>
            </w:r>
            <w:r w:rsidRPr="00A63E29">
              <w:rPr>
                <w:color w:val="201F1E"/>
                <w:sz w:val="18"/>
                <w:szCs w:val="18"/>
              </w:rPr>
              <w:t>that incorporate climate, biodiversity and sustainability.</w:t>
            </w:r>
          </w:p>
        </w:tc>
      </w:tr>
      <w:tr w:rsidR="00374EF3" w:rsidRPr="009B2C29" w14:paraId="15639577" w14:textId="77777777" w:rsidTr="00374EF3">
        <w:tc>
          <w:tcPr>
            <w:tcW w:w="3681" w:type="dxa"/>
            <w:shd w:val="clear" w:color="auto" w:fill="FFFFFF"/>
            <w:tcMar>
              <w:top w:w="0" w:type="dxa"/>
              <w:left w:w="108" w:type="dxa"/>
              <w:bottom w:w="0" w:type="dxa"/>
              <w:right w:w="108" w:type="dxa"/>
            </w:tcMar>
            <w:hideMark/>
          </w:tcPr>
          <w:p w14:paraId="0FDCD296" w14:textId="77777777" w:rsidR="00374EF3" w:rsidRPr="00A63E29" w:rsidRDefault="00374EF3" w:rsidP="00374EF3">
            <w:pPr>
              <w:rPr>
                <w:color w:val="201F1E"/>
                <w:sz w:val="18"/>
                <w:szCs w:val="18"/>
              </w:rPr>
            </w:pPr>
            <w:r w:rsidRPr="00A63E29">
              <w:rPr>
                <w:color w:val="201F1E"/>
                <w:sz w:val="18"/>
                <w:szCs w:val="18"/>
              </w:rPr>
              <w:t>Can the project innovate in climate change mitigation and engaging with the private sector?</w:t>
            </w:r>
          </w:p>
        </w:tc>
        <w:tc>
          <w:tcPr>
            <w:tcW w:w="1276" w:type="dxa"/>
            <w:shd w:val="clear" w:color="auto" w:fill="FFFFFF"/>
            <w:tcMar>
              <w:top w:w="0" w:type="dxa"/>
              <w:left w:w="108" w:type="dxa"/>
              <w:bottom w:w="0" w:type="dxa"/>
              <w:right w:w="108" w:type="dxa"/>
            </w:tcMar>
            <w:hideMark/>
          </w:tcPr>
          <w:p w14:paraId="25876DC8" w14:textId="1FBCCF52" w:rsidR="00374EF3" w:rsidRPr="00A63E29" w:rsidRDefault="00374EF3" w:rsidP="00374EF3">
            <w:pPr>
              <w:rPr>
                <w:color w:val="201F1E"/>
                <w:sz w:val="18"/>
                <w:szCs w:val="18"/>
              </w:rPr>
            </w:pPr>
            <w:r w:rsidRPr="00A63E29">
              <w:rPr>
                <w:color w:val="201F1E"/>
                <w:sz w:val="18"/>
                <w:szCs w:val="18"/>
              </w:rPr>
              <w:t>High</w:t>
            </w:r>
          </w:p>
        </w:tc>
        <w:tc>
          <w:tcPr>
            <w:tcW w:w="5811" w:type="dxa"/>
            <w:shd w:val="clear" w:color="auto" w:fill="FFFFFF"/>
            <w:tcMar>
              <w:top w:w="0" w:type="dxa"/>
              <w:left w:w="108" w:type="dxa"/>
              <w:bottom w:w="0" w:type="dxa"/>
              <w:right w:w="108" w:type="dxa"/>
            </w:tcMar>
            <w:hideMark/>
          </w:tcPr>
          <w:p w14:paraId="578B485A" w14:textId="0C5BD130" w:rsidR="00374EF3" w:rsidRPr="00374EF3" w:rsidRDefault="002C6C50" w:rsidP="00374EF3">
            <w:pPr>
              <w:rPr>
                <w:color w:val="201F1E"/>
                <w:sz w:val="18"/>
                <w:szCs w:val="18"/>
              </w:rPr>
            </w:pPr>
            <w:r w:rsidRPr="00A63E29">
              <w:rPr>
                <w:color w:val="201F1E"/>
                <w:sz w:val="18"/>
                <w:szCs w:val="18"/>
              </w:rPr>
              <w:t>A large p</w:t>
            </w:r>
            <w:r w:rsidR="00374EF3" w:rsidRPr="00A63E29">
              <w:rPr>
                <w:color w:val="201F1E"/>
                <w:sz w:val="18"/>
                <w:szCs w:val="18"/>
              </w:rPr>
              <w:t xml:space="preserve">art of the project involves working with local communities to mainstream climate mitigation and biodiversity into </w:t>
            </w:r>
            <w:r w:rsidRPr="00A63E29">
              <w:rPr>
                <w:color w:val="201F1E"/>
                <w:sz w:val="18"/>
                <w:szCs w:val="18"/>
              </w:rPr>
              <w:t>their land uses</w:t>
            </w:r>
            <w:r w:rsidR="00374EF3" w:rsidRPr="00A63E29">
              <w:rPr>
                <w:color w:val="201F1E"/>
                <w:sz w:val="18"/>
                <w:szCs w:val="18"/>
              </w:rPr>
              <w:t xml:space="preserve">. Under the agro-forest aspects, increased carbon sequestration in agro-forests on what would be otherwise </w:t>
            </w:r>
            <w:r w:rsidRPr="00A63E29">
              <w:rPr>
                <w:color w:val="201F1E"/>
                <w:sz w:val="18"/>
                <w:szCs w:val="18"/>
              </w:rPr>
              <w:t xml:space="preserve">degraded </w:t>
            </w:r>
            <w:r w:rsidR="00374EF3" w:rsidRPr="00A63E29">
              <w:rPr>
                <w:color w:val="201F1E"/>
                <w:sz w:val="18"/>
                <w:szCs w:val="18"/>
              </w:rPr>
              <w:t xml:space="preserve">lands, will increase climate mitigation aspects. </w:t>
            </w:r>
            <w:r w:rsidR="00F4463C" w:rsidRPr="00A63E29">
              <w:rPr>
                <w:color w:val="201F1E"/>
                <w:sz w:val="18"/>
                <w:szCs w:val="18"/>
              </w:rPr>
              <w:t xml:space="preserve">The project will mitigate the emissions of 5,448,924 </w:t>
            </w:r>
            <w:r w:rsidR="00F4463C" w:rsidRPr="00A63E29">
              <w:rPr>
                <w:rFonts w:ascii="Times New Roman" w:hAnsi="Times New Roman"/>
              </w:rPr>
              <w:t>metric tons of CO</w:t>
            </w:r>
            <w:r w:rsidR="00F4463C" w:rsidRPr="00A63E29">
              <w:rPr>
                <w:rFonts w:ascii="Times New Roman" w:hAnsi="Times New Roman"/>
                <w:vertAlign w:val="subscript"/>
              </w:rPr>
              <w:t>2</w:t>
            </w:r>
            <w:r w:rsidR="00F4463C" w:rsidRPr="00A63E29">
              <w:rPr>
                <w:rFonts w:ascii="Times New Roman" w:hAnsi="Times New Roman"/>
              </w:rPr>
              <w:t>e.</w:t>
            </w:r>
            <w:r w:rsidR="00F4463C">
              <w:rPr>
                <w:rFonts w:ascii="Times New Roman" w:hAnsi="Times New Roman"/>
              </w:rPr>
              <w:t xml:space="preserve"> </w:t>
            </w:r>
          </w:p>
        </w:tc>
      </w:tr>
    </w:tbl>
    <w:bookmarkEnd w:id="20"/>
    <w:p w14:paraId="09C25AC6" w14:textId="6A8084D5" w:rsidR="00302BFE" w:rsidRDefault="00302BFE" w:rsidP="00C46720">
      <w:pPr>
        <w:pStyle w:val="Paragraphedeliste"/>
        <w:numPr>
          <w:ilvl w:val="0"/>
          <w:numId w:val="14"/>
        </w:numPr>
        <w:tabs>
          <w:tab w:val="left" w:pos="284"/>
        </w:tabs>
        <w:spacing w:before="240" w:after="120"/>
        <w:ind w:left="0" w:firstLine="0"/>
        <w:jc w:val="both"/>
        <w:rPr>
          <w:rFonts w:ascii="Calibri" w:hAnsi="Calibri" w:cs="Segoe UI"/>
          <w:color w:val="000000"/>
          <w:sz w:val="20"/>
          <w:szCs w:val="20"/>
        </w:rPr>
      </w:pPr>
      <w:r w:rsidRPr="00B81C30">
        <w:rPr>
          <w:rFonts w:ascii="Calibri" w:hAnsi="Calibri" w:cs="Segoe UI"/>
          <w:color w:val="000000"/>
          <w:sz w:val="20"/>
          <w:szCs w:val="20"/>
          <w:u w:val="single"/>
        </w:rPr>
        <w:t>Stakeholder engagement plan</w:t>
      </w:r>
      <w:r w:rsidRPr="00B81C30">
        <w:rPr>
          <w:rFonts w:ascii="Calibri" w:hAnsi="Calibri" w:cs="Segoe UI"/>
          <w:color w:val="000000"/>
          <w:sz w:val="20"/>
          <w:szCs w:val="20"/>
        </w:rPr>
        <w:t xml:space="preserve">: A project stakeholder engagement plan is included in </w:t>
      </w:r>
      <w:r w:rsidRPr="00A93827">
        <w:rPr>
          <w:rFonts w:ascii="Calibri" w:hAnsi="Calibri" w:cs="Segoe UI"/>
          <w:color w:val="000000"/>
          <w:sz w:val="20"/>
          <w:szCs w:val="20"/>
        </w:rPr>
        <w:t xml:space="preserve">Annex </w:t>
      </w:r>
      <w:r w:rsidR="009523FE" w:rsidRPr="00A93827">
        <w:rPr>
          <w:rFonts w:ascii="Calibri" w:hAnsi="Calibri" w:cs="Segoe UI"/>
          <w:color w:val="000000"/>
          <w:sz w:val="20"/>
          <w:szCs w:val="20"/>
        </w:rPr>
        <w:t>E</w:t>
      </w:r>
      <w:r w:rsidRPr="00B81C30">
        <w:rPr>
          <w:rFonts w:ascii="Calibri" w:hAnsi="Calibri" w:cs="Segoe UI"/>
          <w:color w:val="000000"/>
          <w:sz w:val="20"/>
          <w:szCs w:val="20"/>
        </w:rPr>
        <w:t xml:space="preserve">. </w:t>
      </w:r>
      <w:r w:rsidR="00E07615" w:rsidRPr="003F4704">
        <w:rPr>
          <w:rFonts w:ascii="Calibri" w:hAnsi="Calibri" w:cs="Segoe UI"/>
          <w:color w:val="000000"/>
          <w:sz w:val="20"/>
          <w:szCs w:val="20"/>
          <w:highlight w:val="green"/>
        </w:rPr>
        <w:t>A Comprehensive Stakeholder Engagement Plan, based on the Stakeholder Analysis, will be developed during the first six months of the project.</w:t>
      </w:r>
      <w:r w:rsidR="00E07615">
        <w:rPr>
          <w:rFonts w:ascii="Calibri" w:hAnsi="Calibri" w:cs="Segoe UI"/>
          <w:color w:val="000000"/>
          <w:sz w:val="20"/>
          <w:szCs w:val="20"/>
        </w:rPr>
        <w:t xml:space="preserve"> </w:t>
      </w:r>
      <w:r w:rsidRPr="00B81C30">
        <w:rPr>
          <w:rFonts w:ascii="Calibri" w:hAnsi="Calibri" w:cs="Segoe UI"/>
          <w:color w:val="000000"/>
          <w:sz w:val="20"/>
          <w:szCs w:val="20"/>
        </w:rPr>
        <w:t xml:space="preserve">The successful implementation of the project will largely depend on the effective communication and coordination with the multiple project stakeholders and the implementation of mechanisms to ensure these stakeholders’ participation. The project will work with key national and regional State actors including the Ministries in charge of environment, agriculture, livestock and water. These actors are represented at the local level through their regional, provincial and communal departments. Within the Ministry of Environment, Green Economy and Climate Change, the National Office of Protected Areas (OFINAP) manages the Nazinga Game Ranch, and the Directorate General of Water and Forests (DGEF), through its technical services, manages the PNKT and Sissili CF. </w:t>
      </w:r>
    </w:p>
    <w:p w14:paraId="002110CF" w14:textId="1D1DE5B8" w:rsidR="00302BFE" w:rsidRPr="00AD629D" w:rsidRDefault="00302BFE" w:rsidP="00C46720">
      <w:pPr>
        <w:pStyle w:val="Paragraphedeliste"/>
        <w:numPr>
          <w:ilvl w:val="0"/>
          <w:numId w:val="14"/>
        </w:numPr>
        <w:tabs>
          <w:tab w:val="left" w:pos="284"/>
        </w:tabs>
        <w:spacing w:before="120" w:after="120"/>
        <w:ind w:left="0" w:firstLine="0"/>
        <w:jc w:val="both"/>
        <w:rPr>
          <w:rFonts w:ascii="Calibri" w:hAnsi="Calibri" w:cs="Segoe UI"/>
          <w:color w:val="000000"/>
          <w:sz w:val="20"/>
          <w:szCs w:val="20"/>
        </w:rPr>
      </w:pPr>
      <w:r w:rsidRPr="00AD629D">
        <w:rPr>
          <w:rFonts w:ascii="Calibri" w:hAnsi="Calibri" w:cs="Segoe UI"/>
          <w:sz w:val="20"/>
          <w:szCs w:val="20"/>
        </w:rPr>
        <w:t xml:space="preserve">At the local level, the most relevant stakeholders are the local communities and natural resource users who will be involved in </w:t>
      </w:r>
      <w:r w:rsidRPr="00AD629D">
        <w:rPr>
          <w:rFonts w:ascii="Calibri" w:eastAsia="Calibri" w:hAnsi="Calibri"/>
          <w:sz w:val="20"/>
          <w:szCs w:val="20"/>
          <w:lang w:val="en-CA"/>
        </w:rPr>
        <w:t xml:space="preserve">livelihood development based on agriculture, livestock and natural resource exploitation, who will contribute to improve their land </w:t>
      </w:r>
      <w:r w:rsidRPr="00AD629D">
        <w:rPr>
          <w:rFonts w:ascii="Calibri" w:eastAsia="Calibri" w:hAnsi="Calibri"/>
          <w:sz w:val="20"/>
          <w:szCs w:val="20"/>
          <w:lang w:val="en-CA"/>
        </w:rPr>
        <w:lastRenderedPageBreak/>
        <w:t>through soil and water conservation and soil defen</w:t>
      </w:r>
      <w:r w:rsidR="00CB2536">
        <w:rPr>
          <w:rFonts w:ascii="Calibri" w:eastAsia="Calibri" w:hAnsi="Calibri"/>
          <w:sz w:val="20"/>
          <w:szCs w:val="20"/>
          <w:lang w:val="en-CA"/>
        </w:rPr>
        <w:t>c</w:t>
      </w:r>
      <w:r w:rsidRPr="00AD629D">
        <w:rPr>
          <w:rFonts w:ascii="Calibri" w:eastAsia="Calibri" w:hAnsi="Calibri"/>
          <w:sz w:val="20"/>
          <w:szCs w:val="20"/>
          <w:lang w:val="en-CA"/>
        </w:rPr>
        <w:t>e and restoration techniques,</w:t>
      </w:r>
      <w:r w:rsidRPr="00AD629D">
        <w:rPr>
          <w:rFonts w:ascii="Calibri" w:hAnsi="Calibri" w:cs="Segoe UI"/>
          <w:sz w:val="20"/>
          <w:szCs w:val="20"/>
        </w:rPr>
        <w:t xml:space="preserve"> including management groups for hunting areas (ZOVICs), </w:t>
      </w:r>
      <w:r w:rsidRPr="00AD629D">
        <w:rPr>
          <w:rFonts w:ascii="Calibri" w:hAnsi="Calibri"/>
          <w:sz w:val="20"/>
          <w:szCs w:val="20"/>
          <w:lang w:val="en-GB"/>
        </w:rPr>
        <w:t>NTFP</w:t>
      </w:r>
      <w:r w:rsidRPr="00AD629D">
        <w:rPr>
          <w:rFonts w:ascii="Calibri" w:hAnsi="Calibri" w:cs="Segoe UI"/>
          <w:sz w:val="20"/>
          <w:szCs w:val="20"/>
        </w:rPr>
        <w:t xml:space="preserve"> user groups and women groups, </w:t>
      </w:r>
      <w:r w:rsidRPr="00AD629D">
        <w:rPr>
          <w:rFonts w:ascii="Calibri" w:eastAsia="Calibri" w:hAnsi="Calibri"/>
          <w:sz w:val="20"/>
          <w:szCs w:val="20"/>
          <w:lang w:val="en-CA"/>
        </w:rPr>
        <w:t xml:space="preserve">user groups in charge of managing forest worksites (CAF), </w:t>
      </w:r>
      <w:r w:rsidRPr="00AD629D">
        <w:rPr>
          <w:rFonts w:ascii="Calibri" w:hAnsi="Calibri"/>
          <w:sz w:val="20"/>
          <w:szCs w:val="20"/>
          <w:lang w:val="en-CA"/>
        </w:rPr>
        <w:t xml:space="preserve">village and communal forests, and woodlands, and supervisors, ecoguards and trackers involved in PA monitoring and surveillance. Throughout components 1 and 3, the project will work with </w:t>
      </w:r>
      <w:r w:rsidRPr="00AD629D">
        <w:rPr>
          <w:rFonts w:ascii="Calibri" w:eastAsia="Calibri" w:hAnsi="Calibri"/>
          <w:bCs/>
          <w:sz w:val="20"/>
          <w:szCs w:val="20"/>
          <w:lang w:eastAsia="de-DE" w:bidi="as-IN"/>
        </w:rPr>
        <w:t>local authorities (</w:t>
      </w:r>
      <w:r w:rsidRPr="00AD629D">
        <w:rPr>
          <w:rFonts w:ascii="Calibri" w:eastAsia="Calibri" w:hAnsi="Calibri"/>
          <w:bCs/>
          <w:i/>
          <w:sz w:val="20"/>
          <w:szCs w:val="20"/>
          <w:lang w:eastAsia="de-DE" w:bidi="as-IN"/>
        </w:rPr>
        <w:t>collectivités</w:t>
      </w:r>
      <w:r w:rsidRPr="00AD629D">
        <w:rPr>
          <w:rFonts w:ascii="Calibri" w:eastAsia="Calibri" w:hAnsi="Calibri"/>
          <w:bCs/>
          <w:sz w:val="20"/>
          <w:szCs w:val="20"/>
          <w:lang w:eastAsia="de-DE" w:bidi="as-IN"/>
        </w:rPr>
        <w:t>) at commune and regional levels in accordance with t</w:t>
      </w:r>
      <w:r w:rsidRPr="00AD629D">
        <w:rPr>
          <w:rFonts w:ascii="Calibri" w:hAnsi="Calibri"/>
          <w:sz w:val="20"/>
          <w:szCs w:val="20"/>
          <w:lang w:val="en-CA"/>
        </w:rPr>
        <w:t xml:space="preserve">he General Code of Local Authorities which gives communes and regions the power to draw up and implement their development policies and plans in accordance with the guidelines of the State. In this respect, local authorities elaborate and implement regional development plans and communal development plans in which the sustainable management of land, forests and the environment and the development of livelihoods occupy an important place. The </w:t>
      </w:r>
      <w:r w:rsidRPr="00AD629D">
        <w:rPr>
          <w:rFonts w:ascii="Calibri" w:hAnsi="Calibri" w:cs="Segoe UI"/>
          <w:sz w:val="20"/>
          <w:szCs w:val="20"/>
        </w:rPr>
        <w:t xml:space="preserve">nine communes include </w:t>
      </w:r>
      <w:r w:rsidRPr="00AD629D">
        <w:rPr>
          <w:rFonts w:ascii="Calibri" w:eastAsia="Calibri" w:hAnsi="Calibri"/>
          <w:bCs/>
          <w:sz w:val="20"/>
          <w:szCs w:val="20"/>
        </w:rPr>
        <w:t>Zabré, Zoaga, Guiaro, Pô, Toecé, Doulougou, Biéha, Sapouy, and Nobéré</w:t>
      </w:r>
      <w:r w:rsidRPr="00AD629D">
        <w:rPr>
          <w:rFonts w:ascii="Calibri" w:hAnsi="Calibri" w:cs="Segoe UI"/>
          <w:sz w:val="20"/>
          <w:szCs w:val="20"/>
        </w:rPr>
        <w:t xml:space="preserve">. </w:t>
      </w:r>
      <w:r w:rsidRPr="00AD629D">
        <w:rPr>
          <w:rFonts w:ascii="Calibri" w:eastAsia="Calibri" w:hAnsi="Calibri"/>
          <w:sz w:val="20"/>
          <w:szCs w:val="20"/>
          <w:lang w:val="en-CA" w:eastAsia="de-DE" w:bidi="as-IN"/>
        </w:rPr>
        <w:t>The NGOs, foundation and associations such as NATURAMA, TREE AID, NATUDEV, IUCN, and Ga Mo Wigna, engaged in the management of protected areas, forests, wildlife, fish resources, and land, and in the development of livelihood for communities, will be involved and provide support in their own field of expertise including</w:t>
      </w:r>
      <w:r w:rsidRPr="00AD629D">
        <w:rPr>
          <w:rFonts w:ascii="Calibri" w:eastAsia="Calibri" w:hAnsi="Calibri"/>
          <w:sz w:val="20"/>
          <w:szCs w:val="20"/>
          <w:shd w:val="clear" w:color="auto" w:fill="FFFFFF"/>
          <w:lang w:val="en-CA"/>
        </w:rPr>
        <w:t xml:space="preserve"> ecological monitoring (birds and mammals), development and implementation of management plans and participatory management of conservation areas, development plans and management charters of pastoral areas, promotion of good practices of sustainable land management- local governance of forest resources, </w:t>
      </w:r>
      <w:r w:rsidRPr="00AD629D">
        <w:rPr>
          <w:rFonts w:ascii="Calibri" w:eastAsia="Calibri" w:hAnsi="Calibri"/>
          <w:sz w:val="20"/>
          <w:szCs w:val="20"/>
          <w:shd w:val="clear" w:color="auto" w:fill="FFFFFF"/>
        </w:rPr>
        <w:t xml:space="preserve">development of value chains, research, and </w:t>
      </w:r>
      <w:r w:rsidRPr="00AD629D">
        <w:rPr>
          <w:rFonts w:ascii="Calibri" w:eastAsia="Calibri" w:hAnsi="Calibri"/>
          <w:sz w:val="20"/>
          <w:szCs w:val="20"/>
          <w:shd w:val="clear" w:color="auto" w:fill="FFFFFF"/>
          <w:lang w:val="en-CA"/>
        </w:rPr>
        <w:t xml:space="preserve">drawing up cross-border agreements related to elephant conservation. </w:t>
      </w:r>
      <w:r w:rsidRPr="00AD629D">
        <w:rPr>
          <w:rFonts w:ascii="Calibri" w:eastAsia="Calibri" w:hAnsi="Calibri"/>
          <w:sz w:val="20"/>
          <w:szCs w:val="20"/>
          <w:lang w:val="en-CA" w:eastAsia="de-DE" w:bidi="as-IN"/>
        </w:rPr>
        <w:t xml:space="preserve">The private sector includes hunting concessionaires Nahouri Safari and Safari Sissili, to whom the Nazinga Game Ranch and FC Sissili have been licensed. They carry out activities in the areas of development of wildlife, silvicultural and fisheries productions and their development, the development of Nazinga, tourism and community mobilization. </w:t>
      </w:r>
      <w:r w:rsidRPr="00AD629D">
        <w:rPr>
          <w:rFonts w:ascii="Calibri" w:hAnsi="Calibri" w:cs="Segoe UI"/>
          <w:sz w:val="20"/>
          <w:szCs w:val="20"/>
          <w:lang w:val="en-CA"/>
        </w:rPr>
        <w:t>P</w:t>
      </w:r>
      <w:r w:rsidRPr="00AD629D">
        <w:rPr>
          <w:rFonts w:ascii="Calibri" w:hAnsi="Calibri" w:cs="Segoe UI"/>
          <w:sz w:val="20"/>
          <w:szCs w:val="20"/>
        </w:rPr>
        <w:t>rivate landowners or a</w:t>
      </w:r>
      <w:r w:rsidRPr="00AD629D">
        <w:rPr>
          <w:rFonts w:ascii="Calibri" w:eastAsia="Calibri" w:hAnsi="Calibri"/>
          <w:sz w:val="20"/>
          <w:szCs w:val="20"/>
          <w:lang w:val="en-CA" w:eastAsia="de-DE" w:bidi="as-IN"/>
        </w:rPr>
        <w:t>grobusinessmen are important actors involved in agricultural production.</w:t>
      </w:r>
    </w:p>
    <w:p w14:paraId="0F8E957E" w14:textId="5F74C847" w:rsidR="00302BFE" w:rsidRPr="00755BF9" w:rsidRDefault="00302BFE" w:rsidP="00C46720">
      <w:pPr>
        <w:pStyle w:val="Paragraphedeliste"/>
        <w:numPr>
          <w:ilvl w:val="0"/>
          <w:numId w:val="14"/>
        </w:numPr>
        <w:tabs>
          <w:tab w:val="left" w:pos="284"/>
        </w:tabs>
        <w:spacing w:before="120" w:after="120"/>
        <w:ind w:left="0" w:firstLine="0"/>
        <w:jc w:val="both"/>
        <w:rPr>
          <w:rFonts w:ascii="Calibri" w:eastAsia="Calibri" w:hAnsi="Calibri"/>
          <w:sz w:val="20"/>
          <w:szCs w:val="20"/>
          <w:shd w:val="clear" w:color="auto" w:fill="FFFFFF"/>
          <w:lang w:val="en-CA"/>
        </w:rPr>
      </w:pPr>
      <w:r w:rsidRPr="00A93827">
        <w:rPr>
          <w:rFonts w:ascii="Calibri" w:hAnsi="Calibri" w:cs="Segoe UI"/>
          <w:color w:val="000000"/>
          <w:sz w:val="20"/>
          <w:szCs w:val="20"/>
        </w:rPr>
        <w:t xml:space="preserve">The project’s Stakeholder Engagement Plan in Annex </w:t>
      </w:r>
      <w:r w:rsidR="009523FE" w:rsidRPr="00A93827">
        <w:rPr>
          <w:rFonts w:ascii="Calibri" w:hAnsi="Calibri" w:cs="Segoe UI"/>
          <w:color w:val="000000"/>
          <w:sz w:val="20"/>
          <w:szCs w:val="20"/>
        </w:rPr>
        <w:t>E</w:t>
      </w:r>
      <w:r w:rsidRPr="00A93827">
        <w:rPr>
          <w:rFonts w:ascii="Calibri" w:hAnsi="Calibri" w:cs="Segoe UI"/>
          <w:color w:val="000000"/>
          <w:sz w:val="20"/>
          <w:szCs w:val="20"/>
        </w:rPr>
        <w:t xml:space="preserve"> includes information summarizing the PPG participatory process. A list </w:t>
      </w:r>
      <w:r w:rsidRPr="00755BF9">
        <w:rPr>
          <w:rFonts w:ascii="Calibri" w:eastAsia="Calibri" w:hAnsi="Calibri"/>
          <w:sz w:val="20"/>
          <w:szCs w:val="20"/>
          <w:shd w:val="clear" w:color="auto" w:fill="FFFFFF"/>
          <w:lang w:val="en-CA"/>
        </w:rPr>
        <w:t xml:space="preserve">of people consulted during project development is included in Annex </w:t>
      </w:r>
      <w:r w:rsidR="009523FE" w:rsidRPr="00755BF9">
        <w:rPr>
          <w:rFonts w:ascii="Calibri" w:eastAsia="Calibri" w:hAnsi="Calibri"/>
          <w:sz w:val="20"/>
          <w:szCs w:val="20"/>
          <w:shd w:val="clear" w:color="auto" w:fill="FFFFFF"/>
          <w:lang w:val="en-CA"/>
        </w:rPr>
        <w:t>M</w:t>
      </w:r>
      <w:r w:rsidRPr="00755BF9">
        <w:rPr>
          <w:rFonts w:ascii="Calibri" w:eastAsia="Calibri" w:hAnsi="Calibri"/>
          <w:sz w:val="20"/>
          <w:szCs w:val="20"/>
          <w:shd w:val="clear" w:color="auto" w:fill="FFFFFF"/>
          <w:lang w:val="en-CA"/>
        </w:rPr>
        <w:t>.</w:t>
      </w:r>
    </w:p>
    <w:p w14:paraId="5654EF87" w14:textId="30D9F1E8" w:rsidR="00E07615" w:rsidRPr="00755BF9" w:rsidRDefault="00E07615" w:rsidP="00E07615">
      <w:pPr>
        <w:pStyle w:val="Paragraphedeliste"/>
        <w:tabs>
          <w:tab w:val="left" w:pos="284"/>
        </w:tabs>
        <w:spacing w:before="120" w:after="120"/>
        <w:ind w:left="0"/>
        <w:jc w:val="both"/>
        <w:rPr>
          <w:rFonts w:ascii="Calibri" w:eastAsia="Calibri" w:hAnsi="Calibri"/>
          <w:sz w:val="20"/>
          <w:szCs w:val="20"/>
          <w:highlight w:val="green"/>
          <w:shd w:val="clear" w:color="auto" w:fill="FFFFFF"/>
          <w:lang w:val="en-CA"/>
        </w:rPr>
      </w:pPr>
      <w:r w:rsidRPr="00755BF9">
        <w:rPr>
          <w:rFonts w:ascii="Calibri" w:eastAsia="Calibri" w:hAnsi="Calibri"/>
          <w:sz w:val="20"/>
          <w:szCs w:val="20"/>
          <w:highlight w:val="green"/>
          <w:shd w:val="clear" w:color="auto" w:fill="FFFFFF"/>
          <w:lang w:val="en-CA"/>
        </w:rPr>
        <w:t>Considering the presence, among the stakeholders, of Indigenous Peoples, an Indigenous Peoples Plan will be developed during the first year of the project, based on the Indigenous Peoples Planning Framework included in the ESMF, in annex to the ProDoC.</w:t>
      </w:r>
    </w:p>
    <w:p w14:paraId="34222CC5" w14:textId="4972FE07" w:rsidR="00E07615" w:rsidRPr="00755BF9" w:rsidRDefault="00E07615" w:rsidP="00E07615">
      <w:pPr>
        <w:pStyle w:val="Paragraphedeliste"/>
        <w:tabs>
          <w:tab w:val="left" w:pos="284"/>
        </w:tabs>
        <w:spacing w:before="120" w:after="120"/>
        <w:ind w:left="0"/>
        <w:jc w:val="both"/>
        <w:rPr>
          <w:rFonts w:ascii="Calibri" w:eastAsia="Calibri" w:hAnsi="Calibri"/>
          <w:sz w:val="20"/>
          <w:szCs w:val="20"/>
          <w:highlight w:val="green"/>
          <w:shd w:val="clear" w:color="auto" w:fill="FFFFFF"/>
          <w:lang w:val="en-CA"/>
        </w:rPr>
      </w:pPr>
      <w:r w:rsidRPr="00755BF9">
        <w:rPr>
          <w:rFonts w:ascii="Calibri" w:eastAsia="Calibri" w:hAnsi="Calibri"/>
          <w:sz w:val="20"/>
          <w:szCs w:val="20"/>
          <w:highlight w:val="green"/>
          <w:shd w:val="clear" w:color="auto" w:fill="FFFFFF"/>
          <w:lang w:val="en-CA"/>
        </w:rPr>
        <w:t>The IPP will be part of the ESMP that will be developed during the first year of the project.</w:t>
      </w:r>
    </w:p>
    <w:p w14:paraId="5B882D48" w14:textId="09076097" w:rsidR="00B66ED6" w:rsidRPr="00755BF9" w:rsidRDefault="00B66ED6" w:rsidP="00E07615">
      <w:pPr>
        <w:pStyle w:val="Paragraphedeliste"/>
        <w:tabs>
          <w:tab w:val="left" w:pos="284"/>
        </w:tabs>
        <w:spacing w:before="120" w:after="120"/>
        <w:ind w:left="0"/>
        <w:jc w:val="both"/>
        <w:rPr>
          <w:rFonts w:ascii="Calibri" w:eastAsia="Calibri" w:hAnsi="Calibri"/>
          <w:sz w:val="20"/>
          <w:szCs w:val="20"/>
          <w:highlight w:val="green"/>
          <w:shd w:val="clear" w:color="auto" w:fill="FFFFFF"/>
          <w:lang w:val="en-CA"/>
        </w:rPr>
      </w:pPr>
      <w:r w:rsidRPr="00755BF9">
        <w:rPr>
          <w:rFonts w:ascii="Calibri" w:eastAsia="Calibri" w:hAnsi="Calibri"/>
          <w:sz w:val="20"/>
          <w:szCs w:val="20"/>
          <w:highlight w:val="green"/>
          <w:shd w:val="clear" w:color="auto" w:fill="FFFFFF"/>
          <w:lang w:val="en-CA"/>
        </w:rPr>
        <w:t>Stakeholders’ consultations will be developed ensuring FPIC – as indicated in the IPPF.</w:t>
      </w:r>
    </w:p>
    <w:p w14:paraId="7B113F31" w14:textId="196EA9AA" w:rsidR="00BC088C" w:rsidRPr="00755BF9" w:rsidRDefault="00BC088C" w:rsidP="00755BF9">
      <w:pPr>
        <w:pStyle w:val="Paragraphedeliste"/>
        <w:tabs>
          <w:tab w:val="left" w:pos="284"/>
        </w:tabs>
        <w:spacing w:before="120" w:after="120"/>
        <w:ind w:left="0"/>
        <w:jc w:val="both"/>
        <w:rPr>
          <w:rFonts w:ascii="Calibri" w:eastAsia="Calibri" w:hAnsi="Calibri"/>
          <w:sz w:val="20"/>
          <w:szCs w:val="20"/>
          <w:shd w:val="clear" w:color="auto" w:fill="FFFFFF"/>
          <w:lang w:val="en-CA"/>
        </w:rPr>
      </w:pPr>
      <w:r w:rsidRPr="00755BF9">
        <w:rPr>
          <w:rFonts w:ascii="Calibri" w:eastAsia="Calibri" w:hAnsi="Calibri"/>
          <w:sz w:val="20"/>
          <w:szCs w:val="20"/>
          <w:highlight w:val="green"/>
          <w:shd w:val="clear" w:color="auto" w:fill="FFFFFF"/>
          <w:lang w:val="en-CA"/>
        </w:rPr>
        <w:t xml:space="preserve">The Stakeholder Engagement process will be reinforced by the Grievance Redress </w:t>
      </w:r>
      <w:r w:rsidR="00653542" w:rsidRPr="003F4704">
        <w:rPr>
          <w:rFonts w:ascii="Calibri" w:eastAsia="Calibri" w:hAnsi="Calibri"/>
          <w:sz w:val="20"/>
          <w:szCs w:val="20"/>
          <w:highlight w:val="green"/>
          <w:shd w:val="clear" w:color="auto" w:fill="FFFFFF"/>
          <w:lang w:val="en-CA"/>
        </w:rPr>
        <w:t>Mechanism</w:t>
      </w:r>
      <w:r w:rsidRPr="00755BF9">
        <w:rPr>
          <w:rFonts w:ascii="Calibri" w:eastAsia="Calibri" w:hAnsi="Calibri"/>
          <w:sz w:val="20"/>
          <w:szCs w:val="20"/>
          <w:highlight w:val="green"/>
          <w:shd w:val="clear" w:color="auto" w:fill="FFFFFF"/>
          <w:lang w:val="en-CA"/>
        </w:rPr>
        <w:t xml:space="preserve"> that will be developed during the first three months of the project.</w:t>
      </w:r>
    </w:p>
    <w:p w14:paraId="6C09B067" w14:textId="77777777" w:rsidR="00302BFE" w:rsidRPr="001F7890" w:rsidRDefault="00302BFE" w:rsidP="00C46720">
      <w:pPr>
        <w:pStyle w:val="Paragraphedeliste"/>
        <w:numPr>
          <w:ilvl w:val="0"/>
          <w:numId w:val="14"/>
        </w:numPr>
        <w:tabs>
          <w:tab w:val="left" w:pos="284"/>
        </w:tabs>
        <w:spacing w:before="120" w:after="120"/>
        <w:ind w:left="0" w:firstLine="0"/>
        <w:jc w:val="both"/>
        <w:rPr>
          <w:rFonts w:ascii="Calibri" w:hAnsi="Calibri" w:cs="Calibri"/>
          <w:sz w:val="20"/>
          <w:szCs w:val="20"/>
          <w:lang w:val="en-CA"/>
        </w:rPr>
      </w:pPr>
      <w:r w:rsidRPr="009E2DD5">
        <w:rPr>
          <w:rFonts w:ascii="Calibri" w:hAnsi="Calibri"/>
          <w:sz w:val="20"/>
          <w:szCs w:val="20"/>
          <w:u w:val="single"/>
        </w:rPr>
        <w:t>Gender equality and empowering women</w:t>
      </w:r>
      <w:r w:rsidRPr="009E2DD5">
        <w:rPr>
          <w:rFonts w:ascii="Calibri" w:hAnsi="Calibri"/>
          <w:sz w:val="20"/>
          <w:szCs w:val="20"/>
        </w:rPr>
        <w:t xml:space="preserve">: </w:t>
      </w:r>
      <w:r w:rsidRPr="009E2DD5">
        <w:rPr>
          <w:rFonts w:ascii="Calibri" w:hAnsi="Calibri"/>
          <w:bCs/>
          <w:sz w:val="20"/>
          <w:szCs w:val="20"/>
        </w:rPr>
        <w:t>According</w:t>
      </w:r>
      <w:r w:rsidRPr="009E2DD5">
        <w:rPr>
          <w:rFonts w:ascii="Calibri" w:hAnsi="Calibri"/>
          <w:sz w:val="20"/>
          <w:szCs w:val="20"/>
        </w:rPr>
        <w:t xml:space="preserve"> to the UNDP Gender Marker Rating, the project is categorized as GEN2: gender equality as a significant objective. During the PPG, a gender analysis for the prioritized landscape and a detailed Gender Action Plan (included as </w:t>
      </w:r>
      <w:r w:rsidRPr="00A93827">
        <w:rPr>
          <w:rFonts w:ascii="Calibri" w:hAnsi="Calibri"/>
          <w:sz w:val="20"/>
          <w:szCs w:val="20"/>
        </w:rPr>
        <w:t xml:space="preserve">Annex </w:t>
      </w:r>
      <w:r w:rsidR="009523FE" w:rsidRPr="00A93827">
        <w:rPr>
          <w:rFonts w:ascii="Calibri" w:hAnsi="Calibri"/>
          <w:sz w:val="20"/>
          <w:szCs w:val="20"/>
        </w:rPr>
        <w:t>F</w:t>
      </w:r>
      <w:r w:rsidRPr="009E2DD5">
        <w:rPr>
          <w:rFonts w:ascii="Calibri" w:hAnsi="Calibri"/>
          <w:sz w:val="20"/>
          <w:szCs w:val="20"/>
        </w:rPr>
        <w:t xml:space="preserve">) were developed to ensure gender mainstreaming in the project; specific gender-disaggregated indicators will be used for monitoring and a gender specialist will be part of the </w:t>
      </w:r>
      <w:r w:rsidRPr="009E2DD5">
        <w:rPr>
          <w:rFonts w:ascii="Calibri" w:hAnsi="Calibri" w:cs="Calibri"/>
          <w:sz w:val="20"/>
          <w:szCs w:val="20"/>
        </w:rPr>
        <w:t>Project Management Unit (PMU)</w:t>
      </w:r>
      <w:r w:rsidRPr="009E2DD5">
        <w:rPr>
          <w:rFonts w:ascii="Calibri" w:hAnsi="Calibri"/>
          <w:sz w:val="20"/>
          <w:szCs w:val="20"/>
        </w:rPr>
        <w:t xml:space="preserve"> to facilitate improvements to gender equality and women’s empowerment.</w:t>
      </w:r>
      <w:r>
        <w:rPr>
          <w:rFonts w:ascii="Calibri" w:hAnsi="Calibri"/>
          <w:sz w:val="20"/>
          <w:szCs w:val="20"/>
        </w:rPr>
        <w:t xml:space="preserve"> </w:t>
      </w:r>
    </w:p>
    <w:p w14:paraId="4AC15F60" w14:textId="77777777" w:rsidR="00302BFE" w:rsidRDefault="00302BFE" w:rsidP="00C46720">
      <w:pPr>
        <w:pStyle w:val="Paragraphedeliste"/>
        <w:numPr>
          <w:ilvl w:val="0"/>
          <w:numId w:val="14"/>
        </w:numPr>
        <w:tabs>
          <w:tab w:val="left" w:pos="284"/>
        </w:tabs>
        <w:spacing w:before="120" w:after="120"/>
        <w:ind w:left="0" w:firstLine="0"/>
        <w:jc w:val="both"/>
        <w:rPr>
          <w:rFonts w:ascii="Calibri" w:hAnsi="Calibri" w:cs="Calibri"/>
          <w:sz w:val="20"/>
          <w:szCs w:val="20"/>
          <w:lang w:val="en-CA"/>
        </w:rPr>
      </w:pPr>
      <w:r>
        <w:rPr>
          <w:rFonts w:ascii="Calibri" w:hAnsi="Calibri" w:cs="Calibri"/>
          <w:sz w:val="20"/>
          <w:szCs w:val="20"/>
          <w:lang w:val="en-CA"/>
        </w:rPr>
        <w:t>The g</w:t>
      </w:r>
      <w:r w:rsidRPr="001F7890">
        <w:rPr>
          <w:rFonts w:ascii="Calibri" w:hAnsi="Calibri" w:cs="Calibri"/>
          <w:sz w:val="20"/>
          <w:szCs w:val="20"/>
          <w:lang w:val="en-CA"/>
        </w:rPr>
        <w:t xml:space="preserve">ender analysis has identified a number of factors that </w:t>
      </w:r>
      <w:r>
        <w:rPr>
          <w:rFonts w:ascii="Calibri" w:hAnsi="Calibri" w:cs="Calibri"/>
          <w:sz w:val="20"/>
          <w:szCs w:val="20"/>
          <w:lang w:val="en-CA"/>
        </w:rPr>
        <w:t xml:space="preserve">hinder </w:t>
      </w:r>
      <w:r w:rsidRPr="001F7890">
        <w:rPr>
          <w:rFonts w:ascii="Calibri" w:hAnsi="Calibri" w:cs="Calibri"/>
          <w:sz w:val="20"/>
          <w:szCs w:val="20"/>
          <w:lang w:val="en-CA"/>
        </w:rPr>
        <w:t>the effective participation of women in the protection of protected areas and adjacent lands. The factors identified include: The low level of income generated from the exploitation of forest resources, the low level of participation in the control of the forest resources they exploit, the low level of access to financial services for the development of forest resources. income-generating activities and to support the development of value chains, the low level of representativeness in the coordination and management bodies of forest resources, and the degradation of the plant resources they exploit.</w:t>
      </w:r>
    </w:p>
    <w:p w14:paraId="7774D0F2" w14:textId="77D75AE3" w:rsidR="00302BFE" w:rsidRDefault="00302BFE" w:rsidP="00C46720">
      <w:pPr>
        <w:pStyle w:val="Paragraphedeliste"/>
        <w:numPr>
          <w:ilvl w:val="0"/>
          <w:numId w:val="14"/>
        </w:numPr>
        <w:tabs>
          <w:tab w:val="left" w:pos="284"/>
        </w:tabs>
        <w:spacing w:before="120" w:after="120"/>
        <w:ind w:left="0" w:firstLine="0"/>
        <w:jc w:val="both"/>
        <w:rPr>
          <w:rFonts w:ascii="Calibri" w:hAnsi="Calibri" w:cs="Calibri"/>
          <w:sz w:val="20"/>
          <w:szCs w:val="20"/>
          <w:lang w:val="en-CA"/>
        </w:rPr>
      </w:pPr>
      <w:r w:rsidRPr="001F7890">
        <w:rPr>
          <w:rFonts w:ascii="Calibri" w:hAnsi="Calibri" w:cs="Calibri"/>
          <w:sz w:val="20"/>
          <w:szCs w:val="20"/>
          <w:lang w:val="en-CA"/>
        </w:rPr>
        <w:t>The project includes specific actions to alleviate these constraints and promote specific support for women through all the interventions in the pilot sites, and to encourage their active involvement in participatory decision-making processes. It will support the development of promising value chains based on the exploitation of forest resources, particularly non-timber forest products (</w:t>
      </w:r>
      <w:r w:rsidRPr="00831652">
        <w:rPr>
          <w:rFonts w:ascii="Calibri" w:hAnsi="Calibri"/>
          <w:sz w:val="20"/>
          <w:szCs w:val="20"/>
          <w:lang w:val="en-GB"/>
        </w:rPr>
        <w:t>NTFP</w:t>
      </w:r>
      <w:r w:rsidRPr="00831652">
        <w:rPr>
          <w:rFonts w:ascii="Calibri" w:hAnsi="Calibri" w:cs="Calibri"/>
          <w:sz w:val="20"/>
          <w:szCs w:val="20"/>
          <w:lang w:val="en-CA"/>
        </w:rPr>
        <w:t>s</w:t>
      </w:r>
      <w:r w:rsidRPr="001F7890">
        <w:rPr>
          <w:rFonts w:ascii="Calibri" w:hAnsi="Calibri" w:cs="Calibri"/>
          <w:sz w:val="20"/>
          <w:szCs w:val="20"/>
          <w:lang w:val="en-CA"/>
        </w:rPr>
        <w:t>), where they are the majority. Their increased presence in the participatory platforms that will be set up under the project will also promote gender mainstreaming in the development and implementation of resource and land management plans.</w:t>
      </w:r>
      <w:r>
        <w:rPr>
          <w:rFonts w:ascii="Calibri" w:hAnsi="Calibri" w:cs="Calibri"/>
          <w:sz w:val="20"/>
          <w:szCs w:val="20"/>
          <w:lang w:val="en-CA"/>
        </w:rPr>
        <w:t xml:space="preserve"> </w:t>
      </w:r>
      <w:r w:rsidRPr="001F7890">
        <w:rPr>
          <w:rFonts w:ascii="Calibri" w:hAnsi="Calibri" w:cs="Calibri"/>
          <w:sz w:val="20"/>
          <w:szCs w:val="20"/>
          <w:lang w:val="en-CA"/>
        </w:rPr>
        <w:t>The main actions will focus on: i) the representativeness of women in the concerted governance mechanism and participating in the decision-making process on the use of land and resources; ii) contribution to a better knowledge and integration of the concept of gender and development in the PONASI landscape; (iii) empowering women and improving their capacity to develop viable forest enterprises; iv) the empowerment of women in the management of woodlands in order to develop promising value chains.</w:t>
      </w:r>
      <w:r w:rsidR="00BC088C">
        <w:rPr>
          <w:rFonts w:ascii="Calibri" w:hAnsi="Calibri" w:cs="Calibri"/>
          <w:sz w:val="20"/>
          <w:szCs w:val="20"/>
          <w:lang w:val="en-CA"/>
        </w:rPr>
        <w:t xml:space="preserve"> </w:t>
      </w:r>
    </w:p>
    <w:p w14:paraId="1BC6A057" w14:textId="4A8FEC48" w:rsidR="00BC088C" w:rsidRPr="003F4704" w:rsidRDefault="00BC088C" w:rsidP="00BC088C">
      <w:pPr>
        <w:pStyle w:val="Paragraphedeliste"/>
        <w:tabs>
          <w:tab w:val="left" w:pos="284"/>
        </w:tabs>
        <w:spacing w:before="120" w:after="120"/>
        <w:ind w:left="0"/>
        <w:jc w:val="both"/>
        <w:rPr>
          <w:rFonts w:ascii="Calibri" w:hAnsi="Calibri" w:cs="Calibri"/>
          <w:sz w:val="20"/>
          <w:szCs w:val="20"/>
          <w:highlight w:val="green"/>
          <w:lang w:val="en-CA"/>
        </w:rPr>
      </w:pPr>
      <w:r w:rsidRPr="003F4704">
        <w:rPr>
          <w:rFonts w:ascii="Calibri" w:hAnsi="Calibri" w:cs="Calibri"/>
          <w:sz w:val="20"/>
          <w:szCs w:val="20"/>
          <w:highlight w:val="green"/>
          <w:lang w:val="en-CA"/>
        </w:rPr>
        <w:t>The Gender Action Plan will be updated at project inception phase and will include consideration on indigenous women.</w:t>
      </w:r>
    </w:p>
    <w:p w14:paraId="0E686073" w14:textId="2952A8C5" w:rsidR="00BC088C" w:rsidRDefault="00BC088C" w:rsidP="00BC088C">
      <w:pPr>
        <w:pStyle w:val="Paragraphedeliste"/>
        <w:tabs>
          <w:tab w:val="left" w:pos="284"/>
        </w:tabs>
        <w:spacing w:before="120" w:after="120"/>
        <w:ind w:left="0"/>
        <w:jc w:val="both"/>
        <w:rPr>
          <w:rFonts w:ascii="Calibri" w:hAnsi="Calibri" w:cs="Calibri"/>
          <w:sz w:val="20"/>
          <w:szCs w:val="20"/>
          <w:lang w:val="en-CA"/>
        </w:rPr>
      </w:pPr>
      <w:r w:rsidRPr="003F4704">
        <w:rPr>
          <w:rFonts w:ascii="Calibri" w:hAnsi="Calibri" w:cs="Calibri"/>
          <w:sz w:val="20"/>
          <w:szCs w:val="20"/>
          <w:highlight w:val="green"/>
          <w:lang w:val="en-CA"/>
        </w:rPr>
        <w:t>Additional details regarding Stakeholder Engagement process and Gender Analysis and Action Plan are included in the SESP, in attachment to the ProDoc.</w:t>
      </w:r>
      <w:r>
        <w:rPr>
          <w:rFonts w:ascii="Calibri" w:hAnsi="Calibri" w:cs="Calibri"/>
          <w:sz w:val="20"/>
          <w:szCs w:val="20"/>
          <w:lang w:val="en-CA"/>
        </w:rPr>
        <w:t xml:space="preserve"> </w:t>
      </w:r>
    </w:p>
    <w:p w14:paraId="4591E4E8" w14:textId="77777777" w:rsidR="00BC088C" w:rsidRPr="00E05C4F" w:rsidRDefault="00BC088C" w:rsidP="00755BF9">
      <w:pPr>
        <w:pStyle w:val="Paragraphedeliste"/>
        <w:tabs>
          <w:tab w:val="left" w:pos="284"/>
        </w:tabs>
        <w:spacing w:before="120" w:after="120"/>
        <w:ind w:left="0"/>
        <w:jc w:val="both"/>
        <w:rPr>
          <w:rFonts w:ascii="Calibri" w:hAnsi="Calibri" w:cs="Calibri"/>
          <w:sz w:val="20"/>
          <w:szCs w:val="20"/>
          <w:lang w:val="en-CA"/>
        </w:rPr>
      </w:pPr>
    </w:p>
    <w:p w14:paraId="5780C368" w14:textId="77777777" w:rsidR="00302BFE" w:rsidRPr="00711332" w:rsidRDefault="00302BFE" w:rsidP="00C46720">
      <w:pPr>
        <w:pStyle w:val="Paragraphedeliste"/>
        <w:numPr>
          <w:ilvl w:val="0"/>
          <w:numId w:val="14"/>
        </w:numPr>
        <w:tabs>
          <w:tab w:val="left" w:pos="284"/>
        </w:tabs>
        <w:spacing w:before="120" w:after="120"/>
        <w:ind w:left="0" w:firstLine="0"/>
        <w:jc w:val="both"/>
        <w:rPr>
          <w:rFonts w:ascii="Calibri" w:hAnsi="Calibri" w:cs="Calibri"/>
          <w:sz w:val="20"/>
          <w:szCs w:val="20"/>
          <w:lang w:val="en-CA"/>
        </w:rPr>
      </w:pPr>
      <w:r w:rsidRPr="00E61001">
        <w:rPr>
          <w:rFonts w:ascii="Calibri" w:hAnsi="Calibri"/>
          <w:sz w:val="20"/>
          <w:szCs w:val="20"/>
          <w:u w:val="single"/>
        </w:rPr>
        <w:lastRenderedPageBreak/>
        <w:t>South-South and Triangular Cooperation (SSTrC)</w:t>
      </w:r>
      <w:r w:rsidRPr="00E61001">
        <w:rPr>
          <w:rFonts w:ascii="Calibri" w:hAnsi="Calibri"/>
          <w:sz w:val="20"/>
          <w:szCs w:val="20"/>
        </w:rPr>
        <w:t xml:space="preserve">. </w:t>
      </w:r>
      <w:r w:rsidRPr="00711332">
        <w:rPr>
          <w:rFonts w:ascii="Calibri" w:hAnsi="Calibri" w:cs="Calibri"/>
          <w:sz w:val="20"/>
          <w:szCs w:val="20"/>
          <w:lang w:val="en-CA"/>
        </w:rPr>
        <w:t>The project will promote south-south cooperation with the other countries in the region that are implementing similar initiatives; this will be achieved through exchanges with the Country Offices and UNDP's Regional Service Centre for Africa. Technically qualified staff and groups of experts in the issues addressed by the project from these countries will have many opportunities to exchange experiences and knowledge. Finally, successful experiences will have a prominent place in the lessons learned that would be disseminated to ensure their widespread adoption and replication in other African countries.</w:t>
      </w:r>
    </w:p>
    <w:p w14:paraId="01D5516A" w14:textId="77777777" w:rsidR="00302BFE" w:rsidRDefault="00302BFE" w:rsidP="00C46720">
      <w:pPr>
        <w:pStyle w:val="Paragraphedeliste"/>
        <w:numPr>
          <w:ilvl w:val="0"/>
          <w:numId w:val="14"/>
        </w:numPr>
        <w:tabs>
          <w:tab w:val="left" w:pos="284"/>
        </w:tabs>
        <w:spacing w:before="120" w:after="120"/>
        <w:ind w:left="0" w:firstLine="0"/>
        <w:jc w:val="both"/>
        <w:rPr>
          <w:rFonts w:ascii="Calibri" w:hAnsi="Calibri" w:cs="Calibri"/>
          <w:sz w:val="20"/>
          <w:szCs w:val="20"/>
          <w:lang w:val="en-CA"/>
        </w:rPr>
      </w:pPr>
      <w:r w:rsidRPr="00E61001">
        <w:rPr>
          <w:rFonts w:ascii="Calibri" w:hAnsi="Calibri" w:cs="Calibri"/>
          <w:sz w:val="20"/>
          <w:szCs w:val="20"/>
          <w:u w:val="single"/>
        </w:rPr>
        <w:t xml:space="preserve">Sustainability and </w:t>
      </w:r>
      <w:r w:rsidRPr="00F75F6C">
        <w:rPr>
          <w:rFonts w:ascii="Calibri" w:hAnsi="Calibri" w:cs="Calibri"/>
          <w:sz w:val="20"/>
          <w:szCs w:val="20"/>
          <w:u w:val="single"/>
        </w:rPr>
        <w:t>Scaling Up</w:t>
      </w:r>
      <w:r w:rsidRPr="00E61001">
        <w:rPr>
          <w:rFonts w:ascii="Calibri" w:hAnsi="Calibri" w:cs="Calibri"/>
          <w:sz w:val="20"/>
          <w:szCs w:val="20"/>
          <w:lang w:val="en-CA"/>
        </w:rPr>
        <w:t xml:space="preserve"> </w:t>
      </w:r>
      <w:r w:rsidRPr="00711332">
        <w:rPr>
          <w:rFonts w:ascii="Calibri" w:hAnsi="Calibri" w:cs="Calibri"/>
          <w:sz w:val="20"/>
          <w:szCs w:val="20"/>
          <w:lang w:val="en-CA"/>
        </w:rPr>
        <w:t xml:space="preserve">The environmental, social, and financial aspects of sustainability are closely related and will be addressed through an integrated project design combining </w:t>
      </w:r>
      <w:r>
        <w:rPr>
          <w:rFonts w:ascii="Calibri" w:hAnsi="Calibri" w:cs="Calibri"/>
          <w:sz w:val="20"/>
          <w:szCs w:val="20"/>
          <w:lang w:val="en-CA"/>
        </w:rPr>
        <w:t xml:space="preserve">multi-level </w:t>
      </w:r>
      <w:r w:rsidRPr="00711332">
        <w:rPr>
          <w:rFonts w:ascii="Calibri" w:hAnsi="Calibri" w:cs="Calibri"/>
          <w:sz w:val="20"/>
          <w:szCs w:val="20"/>
          <w:lang w:val="en-CA"/>
        </w:rPr>
        <w:t xml:space="preserve">institutional </w:t>
      </w:r>
      <w:r>
        <w:rPr>
          <w:rFonts w:ascii="Calibri" w:hAnsi="Calibri" w:cs="Calibri"/>
          <w:sz w:val="20"/>
          <w:szCs w:val="20"/>
          <w:lang w:val="en-CA"/>
        </w:rPr>
        <w:t xml:space="preserve">and individual </w:t>
      </w:r>
      <w:r w:rsidRPr="00711332">
        <w:rPr>
          <w:rFonts w:ascii="Calibri" w:hAnsi="Calibri" w:cs="Calibri"/>
          <w:sz w:val="20"/>
          <w:szCs w:val="20"/>
          <w:lang w:val="en-CA"/>
        </w:rPr>
        <w:t xml:space="preserve">capacity-building </w:t>
      </w:r>
      <w:r>
        <w:rPr>
          <w:rFonts w:ascii="Calibri" w:hAnsi="Calibri" w:cs="Calibri"/>
          <w:sz w:val="20"/>
          <w:szCs w:val="20"/>
          <w:lang w:val="en-CA"/>
        </w:rPr>
        <w:t>for the major stakeholders targeted by the project interventions</w:t>
      </w:r>
      <w:r w:rsidRPr="00711332">
        <w:rPr>
          <w:rFonts w:ascii="Calibri" w:hAnsi="Calibri" w:cs="Calibri"/>
          <w:sz w:val="20"/>
          <w:szCs w:val="20"/>
          <w:lang w:val="en-CA"/>
        </w:rPr>
        <w:t xml:space="preserve">. </w:t>
      </w:r>
    </w:p>
    <w:p w14:paraId="6FA100CF" w14:textId="248F9D33" w:rsidR="00302BFE" w:rsidRPr="00D64F48" w:rsidRDefault="00302BFE" w:rsidP="00C46720">
      <w:pPr>
        <w:pStyle w:val="Paragraphedeliste"/>
        <w:numPr>
          <w:ilvl w:val="0"/>
          <w:numId w:val="14"/>
        </w:numPr>
        <w:tabs>
          <w:tab w:val="left" w:pos="284"/>
        </w:tabs>
        <w:spacing w:before="120" w:after="120"/>
        <w:ind w:left="0" w:firstLine="0"/>
        <w:jc w:val="both"/>
        <w:rPr>
          <w:rFonts w:ascii="Calibri" w:hAnsi="Calibri" w:cs="Calibri"/>
          <w:sz w:val="20"/>
          <w:szCs w:val="20"/>
          <w:lang w:val="en-CA"/>
        </w:rPr>
      </w:pPr>
      <w:r w:rsidRPr="006F6155">
        <w:rPr>
          <w:rFonts w:ascii="Calibri" w:hAnsi="Calibri" w:cs="Calibri"/>
          <w:b/>
          <w:sz w:val="20"/>
          <w:szCs w:val="20"/>
          <w:lang w:val="en-CA"/>
        </w:rPr>
        <w:t>Environmental sustainability</w:t>
      </w:r>
      <w:r w:rsidRPr="006F6155">
        <w:rPr>
          <w:rFonts w:ascii="Calibri" w:hAnsi="Calibri" w:cs="Calibri"/>
          <w:sz w:val="20"/>
          <w:szCs w:val="20"/>
          <w:lang w:val="en-CA"/>
        </w:rPr>
        <w:t xml:space="preserve"> will be ensured through strengthening government capacities in land use and biodiversity conservation planning, information management, and monitoring/evaluation tools and practices; through integrating sustainable land management, climate change mitigation and biodiversity conservation principles in landscape-level planning and management of landscape units; through strengthening PA management effectiveness in State and community PAs; and through introducing a set of climate-resilient and sustainable land and resource use practices at producer’s level that will support soil, water, and biodiversity conservation in village and commune lands that surround PAs. The project´s focus on improving sustainable agro-silvo-pastoral practices with inherent biodiversity and soil and conservation benefits, including organic certification for forest areas where NTFP support the development of value chains, will also contribute to environmental sustainability. </w:t>
      </w:r>
      <w:r w:rsidRPr="00E61001">
        <w:rPr>
          <w:rFonts w:ascii="Calibri" w:hAnsi="Calibri" w:cs="Calibri"/>
          <w:sz w:val="20"/>
          <w:szCs w:val="20"/>
          <w:lang w:val="en-CA"/>
        </w:rPr>
        <w:t xml:space="preserve">The landscape approach adopted by the project will allow tackling jointly all environmental stressors including from local communities whose livelihoods mostly depend on natural resources, smallholder farms, hunting and tourism enterprises, and resource-based enterprises such as agriculture, pastoralism, forestry and mining which all impose their own set of pressures on land and resources, while generating </w:t>
      </w:r>
      <w:r w:rsidRPr="00E61001">
        <w:rPr>
          <w:rFonts w:ascii="Calibri" w:hAnsi="Calibri"/>
          <w:sz w:val="20"/>
          <w:szCs w:val="20"/>
          <w:lang w:val="en-CA"/>
        </w:rPr>
        <w:t xml:space="preserve">multiple global and local benefits to support the sustainability </w:t>
      </w:r>
      <w:r w:rsidRPr="00D64F48">
        <w:rPr>
          <w:rFonts w:ascii="Calibri" w:hAnsi="Calibri"/>
          <w:sz w:val="20"/>
          <w:szCs w:val="20"/>
          <w:lang w:val="en-CA"/>
        </w:rPr>
        <w:t>cycle.</w:t>
      </w:r>
      <w:r w:rsidR="00D92E82" w:rsidRPr="00D64F48">
        <w:rPr>
          <w:rFonts w:ascii="Calibri" w:hAnsi="Calibri"/>
          <w:sz w:val="20"/>
          <w:szCs w:val="20"/>
          <w:lang w:val="en-CA"/>
        </w:rPr>
        <w:t xml:space="preserve"> </w:t>
      </w:r>
      <w:r w:rsidR="00D92E82" w:rsidRPr="00A63E29">
        <w:rPr>
          <w:rFonts w:ascii="Calibri" w:hAnsi="Calibri"/>
          <w:sz w:val="20"/>
          <w:szCs w:val="20"/>
          <w:lang w:val="en-CA"/>
        </w:rPr>
        <w:t>The focus on conserving and rehabilitating healthy ecosystems at the landscape scale is also intended to reduce the risk of future zoonoses by limiting uncontrolled encroachment of human activities into natural habitat, habitat fragmentation, and the uncontrolled consumption of wild meat.</w:t>
      </w:r>
      <w:r w:rsidR="00D92E82" w:rsidRPr="00D64F48">
        <w:rPr>
          <w:rFonts w:ascii="Calibri" w:hAnsi="Calibri"/>
          <w:sz w:val="20"/>
          <w:szCs w:val="20"/>
          <w:lang w:val="en-CA"/>
        </w:rPr>
        <w:t xml:space="preserve"> </w:t>
      </w:r>
    </w:p>
    <w:p w14:paraId="0EA8F2FA" w14:textId="54FF6450" w:rsidR="00302BFE" w:rsidRPr="00A3352F" w:rsidRDefault="00302BFE" w:rsidP="00C46720">
      <w:pPr>
        <w:pStyle w:val="Paragraphedeliste"/>
        <w:numPr>
          <w:ilvl w:val="0"/>
          <w:numId w:val="14"/>
        </w:numPr>
        <w:tabs>
          <w:tab w:val="left" w:pos="284"/>
        </w:tabs>
        <w:spacing w:before="120" w:after="120"/>
        <w:ind w:left="0" w:firstLine="0"/>
        <w:jc w:val="both"/>
        <w:rPr>
          <w:rFonts w:ascii="Calibri" w:hAnsi="Calibri" w:cs="Calibri"/>
          <w:sz w:val="20"/>
          <w:szCs w:val="20"/>
          <w:lang w:val="en-CA"/>
        </w:rPr>
      </w:pPr>
      <w:r w:rsidRPr="00E61001">
        <w:rPr>
          <w:rFonts w:ascii="Calibri" w:hAnsi="Calibri" w:cs="Calibri"/>
          <w:b/>
          <w:sz w:val="20"/>
          <w:szCs w:val="20"/>
          <w:lang w:val="en-CA"/>
        </w:rPr>
        <w:t>Social sustainability</w:t>
      </w:r>
      <w:r w:rsidRPr="00E61001">
        <w:rPr>
          <w:rFonts w:ascii="Calibri" w:hAnsi="Calibri" w:cs="Calibri"/>
          <w:sz w:val="20"/>
          <w:szCs w:val="20"/>
          <w:lang w:val="en-CA"/>
        </w:rPr>
        <w:t xml:space="preserve"> will be pursued through </w:t>
      </w:r>
      <w:r>
        <w:rPr>
          <w:rFonts w:ascii="Calibri" w:hAnsi="Calibri" w:cs="Calibri"/>
          <w:sz w:val="20"/>
          <w:szCs w:val="20"/>
          <w:lang w:val="en-CA"/>
        </w:rPr>
        <w:t xml:space="preserve">implementing effective </w:t>
      </w:r>
      <w:r w:rsidRPr="00E61001">
        <w:rPr>
          <w:rFonts w:ascii="Calibri" w:hAnsi="Calibri"/>
          <w:sz w:val="20"/>
          <w:szCs w:val="20"/>
          <w:lang w:val="en-CA"/>
        </w:rPr>
        <w:t xml:space="preserve">participatory processes </w:t>
      </w:r>
      <w:r w:rsidRPr="00E61001">
        <w:rPr>
          <w:rFonts w:ascii="Calibri" w:hAnsi="Calibri" w:cs="Calibri"/>
          <w:sz w:val="20"/>
          <w:szCs w:val="20"/>
          <w:lang w:val="en-CA"/>
        </w:rPr>
        <w:t xml:space="preserve">with a gender focus </w:t>
      </w:r>
      <w:r w:rsidRPr="00E61001">
        <w:rPr>
          <w:rFonts w:ascii="Calibri" w:hAnsi="Calibri"/>
          <w:sz w:val="20"/>
          <w:szCs w:val="20"/>
          <w:lang w:val="en-CA"/>
        </w:rPr>
        <w:t xml:space="preserve">involving local users, technical services and authorities at all levels, for assessments, negotiations, decision-making, implementation, monitoring and evaluations, including </w:t>
      </w:r>
      <w:r w:rsidRPr="00E61001">
        <w:rPr>
          <w:rFonts w:ascii="Calibri" w:hAnsi="Calibri" w:cs="Calibri"/>
          <w:sz w:val="20"/>
          <w:szCs w:val="20"/>
          <w:lang w:val="en-CA"/>
        </w:rPr>
        <w:t xml:space="preserve">extensive involvement of stakeholders at all levels for the participatory Environmental Land Use Planning process. </w:t>
      </w:r>
      <w:r w:rsidRPr="00A3352F">
        <w:rPr>
          <w:rFonts w:ascii="Calibri" w:hAnsi="Calibri" w:cs="Calibri"/>
          <w:sz w:val="20"/>
          <w:szCs w:val="20"/>
          <w:lang w:val="en-CA"/>
        </w:rPr>
        <w:t xml:space="preserve">It is expected that local actors will have better ownership of the decisions and planning made through </w:t>
      </w:r>
      <w:r>
        <w:rPr>
          <w:rFonts w:ascii="Calibri" w:hAnsi="Calibri" w:cs="Calibri"/>
          <w:sz w:val="20"/>
          <w:szCs w:val="20"/>
          <w:lang w:val="en-CA"/>
        </w:rPr>
        <w:t xml:space="preserve">a transparent and </w:t>
      </w:r>
      <w:r w:rsidRPr="00A3352F">
        <w:rPr>
          <w:rFonts w:ascii="Calibri" w:hAnsi="Calibri" w:cs="Calibri"/>
          <w:sz w:val="20"/>
          <w:szCs w:val="20"/>
          <w:lang w:val="en-CA"/>
        </w:rPr>
        <w:t>participatory approach.</w:t>
      </w:r>
      <w:r>
        <w:rPr>
          <w:rFonts w:ascii="Calibri" w:hAnsi="Calibri" w:cs="Calibri"/>
          <w:sz w:val="20"/>
          <w:szCs w:val="20"/>
          <w:lang w:val="en-CA"/>
        </w:rPr>
        <w:t xml:space="preserve"> </w:t>
      </w:r>
      <w:r w:rsidRPr="009E2DD5">
        <w:rPr>
          <w:rFonts w:ascii="Calibri" w:hAnsi="Calibri"/>
          <w:sz w:val="20"/>
          <w:szCs w:val="20"/>
          <w:lang w:val="en-CA"/>
        </w:rPr>
        <w:t>Greater involvement of local communities</w:t>
      </w:r>
      <w:r w:rsidR="00DF3306">
        <w:rPr>
          <w:rFonts w:ascii="Calibri" w:hAnsi="Calibri"/>
          <w:sz w:val="20"/>
          <w:szCs w:val="20"/>
          <w:lang w:val="en-CA"/>
        </w:rPr>
        <w:t xml:space="preserve"> (including Indigenous Peoples and vulnerable groups)</w:t>
      </w:r>
      <w:r w:rsidRPr="009E2DD5">
        <w:rPr>
          <w:rFonts w:ascii="Calibri" w:hAnsi="Calibri"/>
          <w:sz w:val="20"/>
          <w:szCs w:val="20"/>
          <w:lang w:val="en-CA"/>
        </w:rPr>
        <w:t xml:space="preserve"> and equity of revenue and benefit sharing from biodiversity conservation and sustainable management of natural resources and ecosystem services will be cross-cutting elements of interventions under each component. </w:t>
      </w:r>
    </w:p>
    <w:p w14:paraId="027E08E9" w14:textId="77777777" w:rsidR="00302BFE" w:rsidRDefault="00302BFE" w:rsidP="00C46720">
      <w:pPr>
        <w:pStyle w:val="Paragraphedeliste"/>
        <w:numPr>
          <w:ilvl w:val="0"/>
          <w:numId w:val="14"/>
        </w:numPr>
        <w:tabs>
          <w:tab w:val="left" w:pos="284"/>
        </w:tabs>
        <w:spacing w:before="120" w:after="120"/>
        <w:ind w:left="0" w:firstLine="0"/>
        <w:jc w:val="both"/>
        <w:rPr>
          <w:rFonts w:ascii="Calibri" w:hAnsi="Calibri" w:cs="Calibri"/>
          <w:sz w:val="20"/>
          <w:szCs w:val="20"/>
          <w:lang w:val="en-CA"/>
        </w:rPr>
      </w:pPr>
      <w:r w:rsidRPr="00E61001">
        <w:rPr>
          <w:rFonts w:ascii="Calibri" w:hAnsi="Calibri" w:cs="Calibri"/>
          <w:sz w:val="20"/>
          <w:szCs w:val="20"/>
          <w:lang w:val="en-CA"/>
        </w:rPr>
        <w:t xml:space="preserve">Namely, for improving PA management effectiveness, the project will </w:t>
      </w:r>
      <w:r w:rsidRPr="009E2DD5">
        <w:rPr>
          <w:rFonts w:ascii="Calibri" w:hAnsi="Calibri" w:cs="Calibri"/>
          <w:sz w:val="20"/>
          <w:szCs w:val="20"/>
          <w:lang w:val="en-CA"/>
        </w:rPr>
        <w:t xml:space="preserve">implement a collaborative management approach through developing tools, processes and capacities for technical services as well as for local communities to </w:t>
      </w:r>
      <w:r>
        <w:rPr>
          <w:rFonts w:ascii="Calibri" w:hAnsi="Calibri" w:cs="Calibri"/>
          <w:sz w:val="20"/>
          <w:szCs w:val="20"/>
          <w:lang w:val="en-CA"/>
        </w:rPr>
        <w:t xml:space="preserve">build trust between PA institutions and adjacent communities and to </w:t>
      </w:r>
      <w:r w:rsidRPr="009E2DD5">
        <w:rPr>
          <w:rFonts w:ascii="Calibri" w:hAnsi="Calibri" w:cs="Calibri"/>
          <w:sz w:val="20"/>
          <w:szCs w:val="20"/>
          <w:lang w:val="en-CA"/>
        </w:rPr>
        <w:t xml:space="preserve">ensure their effective involvement and enhance their perception of the benefits resulting from the ecosystem services provided by PAs. </w:t>
      </w:r>
      <w:r>
        <w:rPr>
          <w:rFonts w:ascii="Calibri" w:hAnsi="Calibri" w:cs="Calibri"/>
          <w:sz w:val="20"/>
          <w:szCs w:val="20"/>
          <w:lang w:val="en-CA"/>
        </w:rPr>
        <w:t>The project will conduct a prior information process</w:t>
      </w:r>
      <w:r w:rsidRPr="00A3352F">
        <w:rPr>
          <w:rFonts w:ascii="Calibri" w:hAnsi="Calibri" w:cs="Calibri"/>
          <w:sz w:val="20"/>
          <w:szCs w:val="20"/>
          <w:lang w:val="en-CA"/>
        </w:rPr>
        <w:t xml:space="preserve"> </w:t>
      </w:r>
      <w:r>
        <w:rPr>
          <w:rFonts w:ascii="Calibri" w:hAnsi="Calibri" w:cs="Calibri"/>
          <w:sz w:val="20"/>
          <w:szCs w:val="20"/>
          <w:lang w:val="en-CA"/>
        </w:rPr>
        <w:t xml:space="preserve">with adjacent communities in order to obtain their voluntary consent to get involved in the project activities to establish collaborative management of PAs. </w:t>
      </w:r>
    </w:p>
    <w:p w14:paraId="38288CF1" w14:textId="64B82C19" w:rsidR="00302BFE" w:rsidRDefault="00302BFE" w:rsidP="00C46720">
      <w:pPr>
        <w:pStyle w:val="Paragraphedeliste"/>
        <w:numPr>
          <w:ilvl w:val="0"/>
          <w:numId w:val="14"/>
        </w:numPr>
        <w:tabs>
          <w:tab w:val="left" w:pos="284"/>
        </w:tabs>
        <w:spacing w:before="120" w:after="120"/>
        <w:ind w:left="0" w:firstLine="0"/>
        <w:jc w:val="both"/>
        <w:rPr>
          <w:rFonts w:ascii="Calibri" w:hAnsi="Calibri" w:cs="Calibri"/>
          <w:sz w:val="20"/>
          <w:szCs w:val="20"/>
          <w:lang w:val="en-CA"/>
        </w:rPr>
      </w:pPr>
      <w:r w:rsidRPr="009E2DD5">
        <w:rPr>
          <w:rFonts w:ascii="Calibri" w:hAnsi="Calibri" w:cs="Calibri"/>
          <w:sz w:val="20"/>
          <w:szCs w:val="20"/>
          <w:lang w:val="en-CA"/>
        </w:rPr>
        <w:t xml:space="preserve">Furthermore, social sustainability will be improved through reviewing and improving the management and governance arrangements for the various land and resource use units within the PONASI landscape (including pastoral, forest and agricultural lands) to ensure a fair and equitable sharing of the benefits </w:t>
      </w:r>
      <w:r w:rsidRPr="009E2DD5">
        <w:rPr>
          <w:rFonts w:ascii="Calibri" w:hAnsi="Calibri"/>
          <w:sz w:val="20"/>
          <w:szCs w:val="20"/>
          <w:lang w:val="en-CA"/>
        </w:rPr>
        <w:t>generated among</w:t>
      </w:r>
      <w:r w:rsidRPr="009E2DD5">
        <w:rPr>
          <w:rFonts w:ascii="Calibri" w:hAnsi="Calibri" w:cs="Calibri"/>
          <w:sz w:val="20"/>
          <w:szCs w:val="20"/>
          <w:lang w:val="en-CA"/>
        </w:rPr>
        <w:t xml:space="preserve"> all stakeholders, </w:t>
      </w:r>
      <w:r w:rsidRPr="009E2DD5">
        <w:rPr>
          <w:rFonts w:ascii="Calibri" w:hAnsi="Calibri"/>
          <w:sz w:val="20"/>
          <w:szCs w:val="20"/>
          <w:lang w:val="en-CA"/>
        </w:rPr>
        <w:t>including local communities,</w:t>
      </w:r>
      <w:r w:rsidRPr="009E2DD5">
        <w:rPr>
          <w:rFonts w:ascii="Calibri" w:hAnsi="Calibri" w:cs="Calibri"/>
          <w:sz w:val="20"/>
          <w:szCs w:val="20"/>
          <w:lang w:val="en-CA"/>
        </w:rPr>
        <w:t xml:space="preserve"> which will serve as an incentive to adopt and maintain sustainable land and resource use practices. Sustainability of the training programmes will be supported through the systematic capturing, analysis, and dissemination of the technical documentation, experiences and learnings, and integration of training material into the curricula of training institutions. </w:t>
      </w:r>
    </w:p>
    <w:p w14:paraId="0880AF86" w14:textId="74CF7D45" w:rsidR="00DF3306" w:rsidRPr="009E2DD5" w:rsidRDefault="00DF3306" w:rsidP="00755BF9">
      <w:pPr>
        <w:pStyle w:val="Paragraphedeliste"/>
        <w:tabs>
          <w:tab w:val="left" w:pos="284"/>
        </w:tabs>
        <w:spacing w:before="120" w:after="120"/>
        <w:ind w:left="0"/>
        <w:jc w:val="both"/>
        <w:rPr>
          <w:rFonts w:ascii="Calibri" w:hAnsi="Calibri" w:cs="Calibri"/>
          <w:sz w:val="20"/>
          <w:szCs w:val="20"/>
          <w:lang w:val="en-CA"/>
        </w:rPr>
      </w:pPr>
      <w:r w:rsidRPr="003F4704">
        <w:rPr>
          <w:rFonts w:ascii="Calibri" w:hAnsi="Calibri" w:cs="Calibri"/>
          <w:sz w:val="20"/>
          <w:szCs w:val="20"/>
          <w:highlight w:val="green"/>
          <w:lang w:val="en-CA"/>
        </w:rPr>
        <w:t>All the aspects related to Environmental and Social sustainability have been further assessed through the SESP (in attachment to the ProDoc) and management measures for social and environmental impacts have been identified in the SESP and in the ESMF (attached to the ProDoc). These management measures will strengthen the social and environmental sustainability of the project.</w:t>
      </w:r>
    </w:p>
    <w:p w14:paraId="06B3B92C" w14:textId="77777777" w:rsidR="00302BFE" w:rsidRDefault="00302BFE" w:rsidP="00C46720">
      <w:pPr>
        <w:pStyle w:val="Paragraphedeliste"/>
        <w:numPr>
          <w:ilvl w:val="0"/>
          <w:numId w:val="14"/>
        </w:numPr>
        <w:tabs>
          <w:tab w:val="left" w:pos="284"/>
        </w:tabs>
        <w:spacing w:before="120" w:after="120"/>
        <w:ind w:left="0" w:firstLine="0"/>
        <w:jc w:val="both"/>
        <w:rPr>
          <w:rFonts w:ascii="Calibri" w:hAnsi="Calibri" w:cs="Calibri"/>
          <w:sz w:val="20"/>
          <w:szCs w:val="20"/>
          <w:lang w:val="en-CA"/>
        </w:rPr>
      </w:pPr>
      <w:r w:rsidRPr="009E2DD5">
        <w:rPr>
          <w:rFonts w:ascii="Calibri" w:hAnsi="Calibri" w:cs="Calibri"/>
          <w:b/>
          <w:sz w:val="20"/>
          <w:szCs w:val="20"/>
          <w:lang w:val="en-CA"/>
        </w:rPr>
        <w:t>Financial sustainability</w:t>
      </w:r>
      <w:r w:rsidRPr="00286184">
        <w:rPr>
          <w:rFonts w:ascii="Calibri" w:hAnsi="Calibri" w:cs="Calibri"/>
          <w:sz w:val="20"/>
          <w:szCs w:val="20"/>
          <w:lang w:val="en-CA"/>
        </w:rPr>
        <w:t xml:space="preserve"> will be ensured through establishing a collaborative governance platform involving regional authorities who are responsible for mobilizing, channeling and investing financial resources allocated by the Government and other donors, and who will participate in the development of a business plan for the long-term implementation of the integrated Management Master Plan for the PONASI Landscape.</w:t>
      </w:r>
      <w:r w:rsidRPr="00E61001">
        <w:rPr>
          <w:rFonts w:ascii="Calibri" w:hAnsi="Calibri"/>
          <w:sz w:val="20"/>
          <w:szCs w:val="20"/>
          <w:lang w:val="en-CA"/>
        </w:rPr>
        <w:t xml:space="preserve"> </w:t>
      </w:r>
      <w:r w:rsidRPr="00286184">
        <w:rPr>
          <w:rFonts w:ascii="Calibri" w:hAnsi="Calibri"/>
          <w:sz w:val="20"/>
          <w:szCs w:val="20"/>
          <w:lang w:val="en-CA"/>
        </w:rPr>
        <w:t xml:space="preserve">The effective mobilization of financial resources from governments at all levels (national, regional and commune) and from development partners will ensure the effectiveness and sustainability of the planning process and of the implementation of the landscape management master plan. Financial sustainability will also be improved through the development of a business plan for the PONASI PA system, as part of the PA management and development plans. </w:t>
      </w:r>
      <w:r w:rsidRPr="00B141D7">
        <w:rPr>
          <w:rFonts w:ascii="Calibri" w:hAnsi="Calibri" w:cs="Calibri"/>
          <w:sz w:val="20"/>
          <w:szCs w:val="20"/>
          <w:lang w:val="en-CA"/>
        </w:rPr>
        <w:t xml:space="preserve">It will be essential that the various land and resource management regimes within the landscape generate sufficient benefits at all levels for local communities to perceive tangible, short- and medium-term interests resulting from the adoption of improved and sustainable practices, and for the communal and regional authorities to agree to allocate the necessary resources for the planning and </w:t>
      </w:r>
      <w:r w:rsidRPr="00B141D7">
        <w:rPr>
          <w:rFonts w:ascii="Calibri" w:hAnsi="Calibri" w:cs="Calibri"/>
          <w:sz w:val="20"/>
          <w:szCs w:val="20"/>
          <w:lang w:val="en-CA"/>
        </w:rPr>
        <w:lastRenderedPageBreak/>
        <w:t>implementation of management prescriptions as well as the technical staff required to supervise and monitor local actors in the implementation of management plans.</w:t>
      </w:r>
    </w:p>
    <w:p w14:paraId="37D37945" w14:textId="77777777" w:rsidR="00302BFE" w:rsidRPr="00F75F6C" w:rsidRDefault="00302BFE" w:rsidP="00C46720">
      <w:pPr>
        <w:pStyle w:val="Paragraphedeliste"/>
        <w:numPr>
          <w:ilvl w:val="0"/>
          <w:numId w:val="14"/>
        </w:numPr>
        <w:tabs>
          <w:tab w:val="left" w:pos="284"/>
        </w:tabs>
        <w:spacing w:before="120" w:after="360"/>
        <w:ind w:left="0" w:firstLine="0"/>
        <w:jc w:val="both"/>
        <w:rPr>
          <w:rFonts w:ascii="Calibri" w:hAnsi="Calibri" w:cs="Calibri"/>
          <w:sz w:val="20"/>
          <w:szCs w:val="20"/>
          <w:lang w:val="en-CA"/>
        </w:rPr>
      </w:pPr>
      <w:r w:rsidRPr="00F75F6C">
        <w:rPr>
          <w:rFonts w:ascii="Calibri" w:hAnsi="Calibri" w:cs="Calibri"/>
          <w:b/>
          <w:sz w:val="20"/>
          <w:szCs w:val="20"/>
          <w:lang w:val="en-CA"/>
        </w:rPr>
        <w:t>Scaling up</w:t>
      </w:r>
      <w:r w:rsidRPr="00F75F6C">
        <w:rPr>
          <w:rFonts w:ascii="Calibri" w:hAnsi="Calibri" w:cs="Calibri"/>
          <w:sz w:val="20"/>
          <w:szCs w:val="20"/>
          <w:lang w:val="en-CA"/>
        </w:rPr>
        <w:t xml:space="preserve">. The project includes all the elements necessary for scaling-up its outputs and outcomes, first within the PONASI landscape and also at the national level. Replication elements include i) developing a common vision shared by the landscape stakeholders at all levels (output 1.1), including actors who will implement the master plan at local levels, technical services within local authorities (communes and regions), and national institutions, ii) involving all actors in decision-making, planning, monitoring, evaluating and learning, iii) building capacities at all levels to ensure effective participation and implementation of recommended solutions by all stakeholders, including women, iv) strengthening capacities of the technical services and setting up demonstration sites to provide support and supervision to new stakeholders outside pilot sites, and </w:t>
      </w:r>
      <w:r w:rsidR="00A93827">
        <w:rPr>
          <w:rFonts w:ascii="Calibri" w:hAnsi="Calibri" w:cs="Calibri"/>
          <w:sz w:val="20"/>
          <w:szCs w:val="20"/>
          <w:lang w:val="en-CA"/>
        </w:rPr>
        <w:t xml:space="preserve">v) </w:t>
      </w:r>
      <w:r w:rsidRPr="00F75F6C">
        <w:rPr>
          <w:rFonts w:ascii="Calibri" w:hAnsi="Calibri" w:cs="Calibri"/>
          <w:sz w:val="20"/>
          <w:szCs w:val="20"/>
          <w:lang w:val="en-CA"/>
        </w:rPr>
        <w:t xml:space="preserve">collecting and managing knowledge throughout the planning and implementation stages to use it for replication in other sites. The pilot sites for the interventions of component 3 and 4 were identified with the participation of all stakeholders on the basis of the predefined criteria (see </w:t>
      </w:r>
      <w:r w:rsidR="00A93827">
        <w:rPr>
          <w:rFonts w:ascii="Calibri" w:hAnsi="Calibri" w:cs="Calibri"/>
          <w:sz w:val="20"/>
          <w:szCs w:val="20"/>
          <w:lang w:val="en-CA"/>
        </w:rPr>
        <w:t>A</w:t>
      </w:r>
      <w:r w:rsidRPr="00A93827">
        <w:rPr>
          <w:rFonts w:ascii="Calibri" w:hAnsi="Calibri" w:cs="Calibri"/>
          <w:sz w:val="20"/>
          <w:szCs w:val="20"/>
          <w:lang w:val="en-CA"/>
        </w:rPr>
        <w:t xml:space="preserve">nnex </w:t>
      </w:r>
      <w:r w:rsidR="009523FE" w:rsidRPr="00A93827">
        <w:rPr>
          <w:rFonts w:ascii="Calibri" w:hAnsi="Calibri" w:cs="Calibri"/>
          <w:sz w:val="20"/>
          <w:szCs w:val="20"/>
          <w:lang w:val="en-CA"/>
        </w:rPr>
        <w:t>I</w:t>
      </w:r>
      <w:r w:rsidRPr="00F75F6C">
        <w:rPr>
          <w:rFonts w:ascii="Calibri" w:hAnsi="Calibri" w:cs="Calibri"/>
          <w:sz w:val="20"/>
          <w:szCs w:val="20"/>
          <w:lang w:val="en-CA"/>
        </w:rPr>
        <w:t xml:space="preserve"> for details) to ensure their representativeness in order to scale up the effective practices developed within these sites. The fourth component, especially output 4.2 which focuses on collecting, managing and disseminating knowledge in support of the conservation of BD and ecosystem services in productive landscapes through the monitoring systems implemented under the other project components provides the lever that enable the project to expand and replicate interventions and impacts across the landscape, based on learning from pilot sites and dissemination at landscape and country level. </w:t>
      </w:r>
    </w:p>
    <w:p w14:paraId="46E00CF4" w14:textId="77777777" w:rsidR="00302BFE" w:rsidRPr="008644B7" w:rsidRDefault="00302BFE" w:rsidP="00302BFE">
      <w:pPr>
        <w:pStyle w:val="Titre1"/>
        <w:spacing w:before="0" w:after="0"/>
        <w:rPr>
          <w:rFonts w:ascii="Calibri" w:hAnsi="Calibri"/>
          <w:szCs w:val="28"/>
        </w:rPr>
      </w:pPr>
      <w:bookmarkStart w:id="21" w:name="_Toc9961792"/>
      <w:bookmarkStart w:id="22" w:name="_Toc207800912"/>
      <w:r>
        <w:rPr>
          <w:rFonts w:ascii="Calibri" w:hAnsi="Calibri"/>
          <w:szCs w:val="28"/>
        </w:rPr>
        <w:t>Project Management</w:t>
      </w:r>
      <w:bookmarkEnd w:id="21"/>
    </w:p>
    <w:p w14:paraId="1C5DD205" w14:textId="77777777" w:rsidR="00302BFE" w:rsidRPr="00D61C93" w:rsidRDefault="00302BFE" w:rsidP="00C46720">
      <w:pPr>
        <w:pStyle w:val="Paragraphedeliste"/>
        <w:numPr>
          <w:ilvl w:val="0"/>
          <w:numId w:val="14"/>
        </w:numPr>
        <w:tabs>
          <w:tab w:val="left" w:pos="284"/>
        </w:tabs>
        <w:spacing w:before="120" w:after="120"/>
        <w:ind w:left="0" w:firstLine="0"/>
        <w:jc w:val="both"/>
        <w:rPr>
          <w:rFonts w:ascii="Calibri" w:hAnsi="Calibri" w:cs="Calibri"/>
          <w:sz w:val="20"/>
          <w:szCs w:val="20"/>
          <w:lang w:val="en-CA"/>
        </w:rPr>
      </w:pPr>
      <w:r w:rsidRPr="00FD05B2">
        <w:rPr>
          <w:rFonts w:ascii="Calibri" w:hAnsi="Calibri" w:cs="Arial"/>
          <w:noProof/>
          <w:sz w:val="20"/>
          <w:szCs w:val="20"/>
          <w:u w:val="single"/>
          <w:lang w:eastAsia="zh-CN"/>
        </w:rPr>
        <w:t>Cost efficiency and effectiveness</w:t>
      </w:r>
      <w:r w:rsidRPr="00FD05B2">
        <w:rPr>
          <w:rFonts w:ascii="Calibri" w:hAnsi="Calibri" w:cs="Arial"/>
          <w:i/>
          <w:noProof/>
          <w:sz w:val="20"/>
          <w:szCs w:val="20"/>
          <w:lang w:eastAsia="zh-CN"/>
        </w:rPr>
        <w:t xml:space="preserve">: </w:t>
      </w:r>
      <w:r w:rsidRPr="00FD05B2">
        <w:rPr>
          <w:rFonts w:ascii="Calibri" w:hAnsi="Calibri" w:cs="Calibri"/>
          <w:sz w:val="20"/>
          <w:szCs w:val="20"/>
        </w:rPr>
        <w:t xml:space="preserve">Cost efficiency of the project will be achieved through various means, including close </w:t>
      </w:r>
      <w:r w:rsidRPr="00D61C93">
        <w:rPr>
          <w:rFonts w:ascii="Calibri" w:hAnsi="Calibri" w:cs="Calibri"/>
          <w:sz w:val="20"/>
          <w:szCs w:val="20"/>
        </w:rPr>
        <w:t xml:space="preserve">collaboration and partnerships with ongoing initiatives in the PONASI landscape. These partnerships are presented in section IV. In addition, </w:t>
      </w:r>
      <w:r w:rsidR="0057587F" w:rsidRPr="00D61C93">
        <w:rPr>
          <w:rFonts w:ascii="Calibri" w:hAnsi="Calibri" w:cs="Calibri"/>
          <w:sz w:val="20"/>
          <w:szCs w:val="20"/>
        </w:rPr>
        <w:t>baseline</w:t>
      </w:r>
      <w:r w:rsidRPr="00D61C93">
        <w:rPr>
          <w:rFonts w:ascii="Calibri" w:hAnsi="Calibri" w:cs="Calibri"/>
          <w:sz w:val="20"/>
          <w:szCs w:val="20"/>
        </w:rPr>
        <w:t xml:space="preserve"> co-financing has been secured from the Government of Burkina Faso and development partners, which will increase the cost efficiency and impact of the project.</w:t>
      </w:r>
    </w:p>
    <w:p w14:paraId="564EDA70" w14:textId="77777777" w:rsidR="00302BFE" w:rsidRPr="00D61C93" w:rsidRDefault="00302BFE" w:rsidP="00C46720">
      <w:pPr>
        <w:pStyle w:val="Paragraphedeliste"/>
        <w:numPr>
          <w:ilvl w:val="0"/>
          <w:numId w:val="14"/>
        </w:numPr>
        <w:tabs>
          <w:tab w:val="left" w:pos="284"/>
        </w:tabs>
        <w:spacing w:before="120" w:after="120"/>
        <w:ind w:left="0" w:firstLine="0"/>
        <w:jc w:val="both"/>
        <w:rPr>
          <w:rFonts w:ascii="Calibri" w:hAnsi="Calibri" w:cs="Calibri"/>
          <w:sz w:val="20"/>
          <w:szCs w:val="20"/>
          <w:lang w:val="en-CA"/>
        </w:rPr>
      </w:pPr>
      <w:r w:rsidRPr="00D61C93">
        <w:rPr>
          <w:rFonts w:ascii="Calibri" w:hAnsi="Calibri"/>
          <w:sz w:val="20"/>
          <w:szCs w:val="20"/>
          <w:lang w:val="en-CA"/>
        </w:rPr>
        <w:t xml:space="preserve">For components 1, 2 and 3, the project will build on the main achievements of the PONASI project financed by the European Union relating to i) the establishment of a co-governance mechanism for the PONASI complex involving village communities, public authorities and private operators, and ii) the development of the complex's natural resources to contribute to its economic viability. Although the project has not been able to set up a functional co-governance system for the PONASI complex involving village communities, public authorities and private operators, village general assemblies held in eighty-eight (88) villages bordering the Kaboré Tambi National Park, the Nazinga Game Ranch and the Sissili Classified Forest, and many other exchange meetings mostly held in villages, have put the actors at the same level of information. These outreach activities have laid a foundation on which the project will build for the development of a collaborative management of PAs with local communities under component 2. As regards development of natural resources, the project provided equipment and training for beekeepers of the communes of Guiaro and Bieha, and the reinforcement of modern processing units for </w:t>
      </w:r>
      <w:r w:rsidRPr="00D61C93">
        <w:rPr>
          <w:rFonts w:ascii="Calibri" w:hAnsi="Calibri"/>
          <w:sz w:val="20"/>
          <w:szCs w:val="20"/>
          <w:lang w:val="en-GB"/>
        </w:rPr>
        <w:t>NTFP</w:t>
      </w:r>
      <w:r w:rsidRPr="00D61C93">
        <w:rPr>
          <w:rFonts w:ascii="Calibri" w:hAnsi="Calibri"/>
          <w:sz w:val="20"/>
          <w:szCs w:val="20"/>
          <w:lang w:val="en-CA"/>
        </w:rPr>
        <w:t xml:space="preserve"> in the commune of Po. These investments and experience and the study on the </w:t>
      </w:r>
      <w:r w:rsidRPr="00D61C93">
        <w:rPr>
          <w:rFonts w:ascii="Calibri" w:hAnsi="Calibri"/>
          <w:sz w:val="20"/>
          <w:szCs w:val="20"/>
          <w:lang w:val="en-GB"/>
        </w:rPr>
        <w:t>NTFP</w:t>
      </w:r>
      <w:r w:rsidRPr="00D61C93">
        <w:rPr>
          <w:rFonts w:ascii="Calibri" w:hAnsi="Calibri"/>
          <w:sz w:val="20"/>
          <w:szCs w:val="20"/>
          <w:lang w:val="en-CA"/>
        </w:rPr>
        <w:t xml:space="preserve"> supply chains in the area of the PONASI complex are useful achievements that the project has built upon to design the tasks under Output 3.3 and that will be useful during implementation.</w:t>
      </w:r>
    </w:p>
    <w:p w14:paraId="2A1EE59D" w14:textId="77777777" w:rsidR="00302BFE" w:rsidRPr="00D61C93" w:rsidRDefault="00302BFE" w:rsidP="00C46720">
      <w:pPr>
        <w:pStyle w:val="Paragraphedeliste"/>
        <w:numPr>
          <w:ilvl w:val="0"/>
          <w:numId w:val="14"/>
        </w:numPr>
        <w:tabs>
          <w:tab w:val="left" w:pos="284"/>
        </w:tabs>
        <w:spacing w:before="120" w:after="120"/>
        <w:ind w:left="0" w:firstLine="0"/>
        <w:jc w:val="both"/>
        <w:rPr>
          <w:rFonts w:ascii="Calibri" w:hAnsi="Calibri" w:cs="Calibri"/>
          <w:sz w:val="20"/>
          <w:szCs w:val="20"/>
          <w:lang w:val="en-CA"/>
        </w:rPr>
      </w:pPr>
      <w:r w:rsidRPr="00D61C93">
        <w:rPr>
          <w:rFonts w:ascii="Calibri" w:hAnsi="Calibri"/>
          <w:sz w:val="20"/>
          <w:szCs w:val="20"/>
          <w:lang w:val="en-CA"/>
        </w:rPr>
        <w:t>The design of the framework for integrated management of the PONASI landscape rests on lessons learned from UNDP-GEF projects under the Country Partnership Program for SLM. According to the evaluations and stakeholders of these projects, establishing partnerships at the regional level was key to their successful achievements. These partnerships have led to greater openness and collaboration, and even sharing of actions and resources, thus leading to changes in the methods and operational strategies of rural development projects and programs that previously had a tendency to work in silo and improved the capacity of institutions and actors to understand SLM and integrate it into planning tools and local development strategies. The project tasks under Output 1.1 have integrated other significant learnings from these projects related to the establishment of a landscape co-governance platform to enable joint decision-making on land use within the landscape: Demonstrating the evolution of land degradation in recent decades, using map illustrations, has proven to be an effective and cost-effective approach to raise stakeholders’ awareness on the urgency to halt environmental degradation and to encourage them to get involved and participate in actions proposed by the project. These visual demonstrations served as a reference for debates on the underlying causes of land degradation and helped to change the perceptions and attitudes of institutional actors as well as users of land and resources.</w:t>
      </w:r>
    </w:p>
    <w:p w14:paraId="7E5B733A" w14:textId="77777777" w:rsidR="00302BFE" w:rsidRPr="00D61C93" w:rsidRDefault="00302BFE" w:rsidP="00C46720">
      <w:pPr>
        <w:pStyle w:val="Paragraphedeliste"/>
        <w:numPr>
          <w:ilvl w:val="0"/>
          <w:numId w:val="14"/>
        </w:numPr>
        <w:tabs>
          <w:tab w:val="left" w:pos="284"/>
        </w:tabs>
        <w:spacing w:before="120" w:after="120"/>
        <w:ind w:left="0" w:firstLine="0"/>
        <w:jc w:val="both"/>
        <w:rPr>
          <w:rFonts w:ascii="Calibri" w:hAnsi="Calibri" w:cs="Calibri"/>
          <w:sz w:val="20"/>
          <w:szCs w:val="20"/>
          <w:lang w:val="en-CA"/>
        </w:rPr>
      </w:pPr>
      <w:r w:rsidRPr="00D61C93">
        <w:rPr>
          <w:rFonts w:ascii="Calibri" w:hAnsi="Calibri" w:cs="Arial"/>
          <w:sz w:val="20"/>
          <w:szCs w:val="20"/>
          <w:lang w:eastAsia="es-ES"/>
        </w:rPr>
        <w:t>Under Component 1, the project will provide an inclusive training program for all stakeholders involved in environmental land use planning to ensure their effective contribution to decision-making in this planning exercise, which will build capacities to support recurrent planning and update exercises. To make full economic and social use of the potential of the forest areas of the PONASI landscape, the project will integrate the ongoing REDD+ process under the Forest Investment Program and will work closely with the Participatory Forest Management Project for REDD +, funded by the AfDB by using the same approaches and tools they have developed for the MRV process.</w:t>
      </w:r>
    </w:p>
    <w:p w14:paraId="156064F2" w14:textId="77777777" w:rsidR="00302BFE" w:rsidRPr="00D61C93" w:rsidRDefault="00302BFE" w:rsidP="00C46720">
      <w:pPr>
        <w:pStyle w:val="Paragraphedeliste"/>
        <w:numPr>
          <w:ilvl w:val="0"/>
          <w:numId w:val="14"/>
        </w:numPr>
        <w:tabs>
          <w:tab w:val="left" w:pos="284"/>
        </w:tabs>
        <w:spacing w:before="120" w:after="120"/>
        <w:ind w:left="0" w:firstLine="0"/>
        <w:jc w:val="both"/>
        <w:rPr>
          <w:rFonts w:ascii="Calibri" w:hAnsi="Calibri" w:cs="Calibri"/>
          <w:sz w:val="20"/>
          <w:szCs w:val="20"/>
          <w:lang w:val="en-CA"/>
        </w:rPr>
      </w:pPr>
      <w:r w:rsidRPr="00D61C93">
        <w:rPr>
          <w:rFonts w:ascii="Calibri" w:hAnsi="Calibri" w:cs="Calibri"/>
          <w:sz w:val="20"/>
          <w:szCs w:val="20"/>
          <w:lang w:val="en-CA"/>
        </w:rPr>
        <w:lastRenderedPageBreak/>
        <w:t xml:space="preserve">Capacity building activities are integrated under each component in relation to their specific focus, and targeting actors at all levels. By building this capacity, this project investment will prove to be cost-effective over the long run as supervisory and implementing capacities will be readily available in-country to support future CSA, SLM, and biodiversity conservation initiatives and for the replication of project’s good practices and experiences. </w:t>
      </w:r>
    </w:p>
    <w:p w14:paraId="2E0D488B" w14:textId="77777777" w:rsidR="00302BFE" w:rsidRPr="00D61C93" w:rsidRDefault="00302BFE" w:rsidP="00C46720">
      <w:pPr>
        <w:pStyle w:val="Paragraphedeliste"/>
        <w:numPr>
          <w:ilvl w:val="0"/>
          <w:numId w:val="14"/>
        </w:numPr>
        <w:tabs>
          <w:tab w:val="left" w:pos="284"/>
        </w:tabs>
        <w:spacing w:before="120" w:after="120"/>
        <w:ind w:left="0" w:firstLine="0"/>
        <w:jc w:val="both"/>
        <w:rPr>
          <w:rFonts w:ascii="Calibri" w:hAnsi="Calibri" w:cs="Calibri"/>
          <w:sz w:val="20"/>
          <w:szCs w:val="20"/>
          <w:lang w:val="en-CA"/>
        </w:rPr>
      </w:pPr>
      <w:r w:rsidRPr="00D61C93">
        <w:rPr>
          <w:rFonts w:ascii="Calibri" w:hAnsi="Calibri" w:cs="Calibri"/>
          <w:sz w:val="20"/>
          <w:szCs w:val="20"/>
          <w:lang w:val="en-CA"/>
        </w:rPr>
        <w:t xml:space="preserve">During implementation, the project will seek to maximize the financial resources made available for project activities. All activities will be included in AWPs, which will be discussed and approved by the Project Consultation/Dialogue Framework to ensure that proposed actions are relevant and necessary, and to identify potential synergies with ongoing or planned actions under other projects and interventions. Cost-effectiveness will be considered throughout project implementation without compromising the quality of the outputs. When hiring third-party consultants/service providers, the project will follow standard UNDP recruitment and advertising processes to have at least three competitors for each advertised position. Selection will be based on the applicant’s qualifications, technical and operational experience, and the cost-effectiveness of the financial proposals, to facilitate hiring the best consultants (individuals or organizations). Expenses will be accounted for according to UNDP rules and in line with GEF policy. </w:t>
      </w:r>
    </w:p>
    <w:p w14:paraId="4EA4D1EA" w14:textId="48EC689B" w:rsidR="00302BFE" w:rsidRPr="00D61C93" w:rsidRDefault="00302BFE" w:rsidP="00C46720">
      <w:pPr>
        <w:pStyle w:val="Paragraphedeliste"/>
        <w:numPr>
          <w:ilvl w:val="0"/>
          <w:numId w:val="14"/>
        </w:numPr>
        <w:tabs>
          <w:tab w:val="left" w:pos="284"/>
        </w:tabs>
        <w:spacing w:before="120" w:after="120"/>
        <w:ind w:left="0" w:firstLine="0"/>
        <w:jc w:val="both"/>
        <w:rPr>
          <w:rFonts w:ascii="Calibri" w:hAnsi="Calibri" w:cs="Calibri"/>
          <w:sz w:val="20"/>
          <w:szCs w:val="20"/>
          <w:lang w:val="en-CA"/>
        </w:rPr>
      </w:pPr>
      <w:r w:rsidRPr="00D61C93">
        <w:rPr>
          <w:rFonts w:ascii="Calibri" w:hAnsi="Calibri" w:cs="Calibri"/>
          <w:sz w:val="20"/>
          <w:szCs w:val="20"/>
          <w:u w:val="single"/>
          <w:lang w:val="en-CA"/>
        </w:rPr>
        <w:t>Project management</w:t>
      </w:r>
      <w:r w:rsidRPr="00D61C93">
        <w:rPr>
          <w:rFonts w:ascii="Calibri" w:hAnsi="Calibri" w:cs="Calibri"/>
          <w:sz w:val="20"/>
          <w:szCs w:val="20"/>
          <w:lang w:val="en-CA"/>
        </w:rPr>
        <w:t xml:space="preserve">. The Project Coordination Unit (PCU) will be based in Pô which is situated in the center of the intervention area and easily accessible from Ouagadougou by the main road at less than 150 km. From this base, project staff and consultants will easily travel to prioritized pilot sites and throughout the PONASI landscape area and will be able to maintain close contact with local stakeholders, communities and authorities, which will be essential to enable the extensive mobilization required for this project. The PCU will oversee the day-to-day </w:t>
      </w:r>
      <w:r w:rsidR="00193614" w:rsidRPr="00D61C93">
        <w:rPr>
          <w:rFonts w:ascii="Calibri" w:hAnsi="Calibri" w:cs="Calibri"/>
          <w:sz w:val="20"/>
          <w:szCs w:val="20"/>
          <w:lang w:val="en-CA"/>
        </w:rPr>
        <w:t>implementation</w:t>
      </w:r>
      <w:r w:rsidRPr="00D61C93">
        <w:rPr>
          <w:rFonts w:ascii="Calibri" w:hAnsi="Calibri" w:cs="Calibri"/>
          <w:sz w:val="20"/>
          <w:szCs w:val="20"/>
          <w:lang w:val="en-CA"/>
        </w:rPr>
        <w:t xml:space="preserve"> of project activities and will have responsibility for, among others: a) operational planning, managing, and </w:t>
      </w:r>
      <w:r w:rsidR="0056396B" w:rsidRPr="00D61C93">
        <w:rPr>
          <w:rFonts w:ascii="Calibri" w:hAnsi="Calibri" w:cs="Calibri"/>
          <w:sz w:val="20"/>
          <w:szCs w:val="20"/>
          <w:lang w:val="en-CA"/>
        </w:rPr>
        <w:t>implementing</w:t>
      </w:r>
      <w:r w:rsidRPr="00D61C93">
        <w:rPr>
          <w:rFonts w:ascii="Calibri" w:hAnsi="Calibri" w:cs="Calibri"/>
          <w:sz w:val="20"/>
          <w:szCs w:val="20"/>
          <w:lang w:val="en-CA"/>
        </w:rPr>
        <w:t xml:space="preserve"> the project, including the direct supervision of project activities sub-contracted to specialists and other institutions; b) coordinating the management of financial resources and procurement; c) reporting on the application of resources and results achieved; d) preparing reports and any proposals for adaptive management of the project, if required, and based on inputs from the project M&amp;E plan; e) promoting inter-institutional synergies; </w:t>
      </w:r>
      <w:r w:rsidR="00C64B8C" w:rsidRPr="003F4704">
        <w:rPr>
          <w:rFonts w:ascii="Calibri" w:hAnsi="Calibri" w:cs="Calibri"/>
          <w:sz w:val="20"/>
          <w:szCs w:val="20"/>
          <w:highlight w:val="green"/>
          <w:lang w:val="en-CA"/>
        </w:rPr>
        <w:t>f) ensuring the implementation of the ESMF and related Management Plan;</w:t>
      </w:r>
      <w:r w:rsidR="00C64B8C">
        <w:rPr>
          <w:rFonts w:ascii="Calibri" w:hAnsi="Calibri" w:cs="Calibri"/>
          <w:sz w:val="20"/>
          <w:szCs w:val="20"/>
          <w:lang w:val="en-CA"/>
        </w:rPr>
        <w:t xml:space="preserve"> </w:t>
      </w:r>
      <w:r w:rsidRPr="00D61C93">
        <w:rPr>
          <w:rFonts w:ascii="Calibri" w:hAnsi="Calibri" w:cs="Calibri"/>
          <w:sz w:val="20"/>
          <w:szCs w:val="20"/>
          <w:lang w:val="en-CA"/>
        </w:rPr>
        <w:t>and f) disseminating project results. An administrative/financial assistant will be hired to provide operational support.</w:t>
      </w:r>
    </w:p>
    <w:p w14:paraId="2415DA8C" w14:textId="4667E8E9" w:rsidR="00302BFE" w:rsidRPr="00D61C93" w:rsidRDefault="00302BFE" w:rsidP="00C46720">
      <w:pPr>
        <w:pStyle w:val="Paragraphedeliste"/>
        <w:numPr>
          <w:ilvl w:val="0"/>
          <w:numId w:val="14"/>
        </w:numPr>
        <w:tabs>
          <w:tab w:val="left" w:pos="284"/>
        </w:tabs>
        <w:spacing w:before="120" w:after="120"/>
        <w:ind w:left="0" w:firstLine="0"/>
        <w:jc w:val="both"/>
        <w:rPr>
          <w:rFonts w:ascii="Calibri" w:hAnsi="Calibri" w:cs="Calibri"/>
          <w:sz w:val="20"/>
          <w:szCs w:val="20"/>
          <w:lang w:val="en-CA"/>
        </w:rPr>
      </w:pPr>
      <w:r w:rsidRPr="00D61C93">
        <w:rPr>
          <w:rFonts w:ascii="Calibri" w:hAnsi="Calibri" w:cs="Calibri"/>
          <w:sz w:val="20"/>
          <w:szCs w:val="20"/>
          <w:lang w:val="en-CA"/>
        </w:rPr>
        <w:t xml:space="preserve">The PCU will liaise regularly with technical staff based in the </w:t>
      </w:r>
      <w:r w:rsidR="00CF65C6" w:rsidRPr="00342675">
        <w:rPr>
          <w:rFonts w:ascii="Calibri" w:hAnsi="Calibri" w:cs="Calibri"/>
          <w:sz w:val="20"/>
          <w:szCs w:val="20"/>
          <w:highlight w:val="green"/>
          <w:lang w:val="en-CA"/>
        </w:rPr>
        <w:t>SP Conseil Nation Devel Durabl under the Ministry in charge of the Environment</w:t>
      </w:r>
      <w:r w:rsidRPr="00D61C93">
        <w:rPr>
          <w:rFonts w:ascii="Calibri" w:hAnsi="Calibri" w:cs="Calibri"/>
          <w:sz w:val="20"/>
          <w:szCs w:val="20"/>
          <w:lang w:val="en-CA"/>
        </w:rPr>
        <w:t xml:space="preserve">, especially with OFINAP and DGEF, and with the Ministry of Agriculture and Hydro-Agricultural Facilities and other key ministries, and with their decentralized directorates in the Center-South, Center-East and Center-West regions, and will therefore benefit from their expertise and time contribution. </w:t>
      </w:r>
    </w:p>
    <w:p w14:paraId="756DECD8" w14:textId="77777777" w:rsidR="00302BFE" w:rsidRPr="00D61C93" w:rsidRDefault="00302BFE" w:rsidP="00C46720">
      <w:pPr>
        <w:pStyle w:val="Paragraphedeliste"/>
        <w:numPr>
          <w:ilvl w:val="0"/>
          <w:numId w:val="14"/>
        </w:numPr>
        <w:tabs>
          <w:tab w:val="left" w:pos="284"/>
        </w:tabs>
        <w:spacing w:before="120" w:after="120"/>
        <w:ind w:left="0" w:firstLine="0"/>
        <w:jc w:val="both"/>
        <w:rPr>
          <w:rFonts w:ascii="Calibri" w:hAnsi="Calibri" w:cs="Calibri"/>
          <w:sz w:val="20"/>
          <w:szCs w:val="20"/>
          <w:lang w:val="en-CA"/>
        </w:rPr>
      </w:pPr>
      <w:r w:rsidRPr="00D61C93">
        <w:rPr>
          <w:rFonts w:ascii="Calibri" w:hAnsi="Calibri" w:cs="Calibri"/>
          <w:sz w:val="20"/>
          <w:szCs w:val="20"/>
          <w:u w:val="single"/>
          <w:lang w:val="en-CA"/>
        </w:rPr>
        <w:t>Agreement on intellectual property rights and use of logo on the project’s deliverables and disclosure of information</w:t>
      </w:r>
      <w:r w:rsidRPr="00D61C93">
        <w:rPr>
          <w:rFonts w:ascii="Calibri" w:hAnsi="Calibri" w:cs="Calibri"/>
          <w:sz w:val="20"/>
          <w:szCs w:val="20"/>
          <w:lang w:val="en-CA"/>
        </w:rPr>
        <w:t>:  To accord proper acknowledgement to the GEF for providing grant funding, the GEF logo will appear together with the UNDP logo on all promotional materials, other written materials like publications developed by the project, and project hardware. Any citation on publications regarding projects funded by the GEF will also accord proper acknowledgement to the GEF. Information will be disclosed in accordance with relevant policies notably the UNDP Disclosure Policy</w:t>
      </w:r>
      <w:r w:rsidRPr="00D61C93">
        <w:rPr>
          <w:rFonts w:ascii="Calibri" w:hAnsi="Calibri" w:cs="Calibri"/>
          <w:sz w:val="20"/>
          <w:vertAlign w:val="superscript"/>
          <w:lang w:val="en-CA"/>
        </w:rPr>
        <w:footnoteReference w:id="69"/>
      </w:r>
      <w:r w:rsidRPr="00D61C93">
        <w:rPr>
          <w:rFonts w:ascii="Calibri" w:hAnsi="Calibri" w:cs="Calibri"/>
          <w:sz w:val="20"/>
          <w:szCs w:val="20"/>
          <w:lang w:val="en-CA"/>
        </w:rPr>
        <w:t xml:space="preserve"> and the GEF policy on public involvement</w:t>
      </w:r>
      <w:r w:rsidRPr="00D61C93">
        <w:rPr>
          <w:rFonts w:ascii="Calibri" w:hAnsi="Calibri" w:cs="Calibri"/>
          <w:sz w:val="20"/>
          <w:vertAlign w:val="superscript"/>
          <w:lang w:val="en-CA"/>
        </w:rPr>
        <w:footnoteReference w:id="70"/>
      </w:r>
      <w:r w:rsidRPr="00D61C93">
        <w:rPr>
          <w:rFonts w:ascii="Calibri" w:hAnsi="Calibri" w:cs="Calibri"/>
          <w:sz w:val="20"/>
          <w:szCs w:val="20"/>
          <w:lang w:val="en-CA"/>
        </w:rPr>
        <w:t>.</w:t>
      </w:r>
    </w:p>
    <w:p w14:paraId="15241F52" w14:textId="77777777" w:rsidR="00302BFE" w:rsidRDefault="00302BFE" w:rsidP="00302BFE">
      <w:pPr>
        <w:spacing w:before="120" w:after="120"/>
        <w:jc w:val="left"/>
        <w:rPr>
          <w:rFonts w:cs="Arial"/>
          <w:noProof/>
          <w:szCs w:val="20"/>
          <w:u w:val="single"/>
          <w:lang w:eastAsia="zh-CN"/>
        </w:rPr>
      </w:pPr>
    </w:p>
    <w:p w14:paraId="25D24237" w14:textId="77777777" w:rsidR="00302BFE" w:rsidRPr="0003763F" w:rsidRDefault="00302BFE" w:rsidP="00302BFE">
      <w:pPr>
        <w:pStyle w:val="Paragraphedeliste"/>
        <w:spacing w:after="60"/>
        <w:ind w:left="1080"/>
        <w:contextualSpacing/>
        <w:rPr>
          <w:rFonts w:cs="Segoe UI"/>
          <w:color w:val="000000"/>
          <w:szCs w:val="20"/>
        </w:rPr>
        <w:sectPr w:rsidR="00302BFE" w:rsidRPr="0003763F" w:rsidSect="00243B15">
          <w:pgSz w:w="12240" w:h="15840" w:code="1"/>
          <w:pgMar w:top="720" w:right="720" w:bottom="720" w:left="720" w:header="720" w:footer="432" w:gutter="0"/>
          <w:cols w:space="708"/>
          <w:titlePg/>
          <w:docGrid w:linePitch="360"/>
        </w:sectPr>
      </w:pPr>
    </w:p>
    <w:p w14:paraId="0E42FF04" w14:textId="77777777" w:rsidR="00302BFE" w:rsidRPr="0003763F" w:rsidRDefault="00302BFE" w:rsidP="00302BFE">
      <w:pPr>
        <w:pStyle w:val="Titre1"/>
        <w:spacing w:before="0" w:after="60"/>
        <w:rPr>
          <w:rFonts w:ascii="Calibri" w:hAnsi="Calibri"/>
          <w:szCs w:val="28"/>
        </w:rPr>
      </w:pPr>
      <w:bookmarkStart w:id="23" w:name="_Toc9961793"/>
      <w:r w:rsidRPr="0003763F">
        <w:rPr>
          <w:rFonts w:ascii="Calibri" w:hAnsi="Calibri"/>
          <w:szCs w:val="28"/>
        </w:rPr>
        <w:lastRenderedPageBreak/>
        <w:t>Project Results Framework</w:t>
      </w:r>
      <w:bookmarkEnd w:id="23"/>
    </w:p>
    <w:p w14:paraId="3B3DF76C" w14:textId="77777777" w:rsidR="00302BFE" w:rsidRDefault="00302BFE" w:rsidP="00302BFE">
      <w:pPr>
        <w:jc w:val="left"/>
        <w:rPr>
          <w:i/>
          <w:szCs w:val="20"/>
        </w:rPr>
      </w:pPr>
    </w:p>
    <w:tbl>
      <w:tblPr>
        <w:tblW w:w="1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06"/>
        <w:gridCol w:w="3016"/>
        <w:gridCol w:w="1552"/>
        <w:gridCol w:w="1552"/>
        <w:gridCol w:w="1552"/>
        <w:gridCol w:w="4712"/>
      </w:tblGrid>
      <w:tr w:rsidR="00302BFE" w:rsidRPr="006E490C" w14:paraId="4FAC01CF" w14:textId="77777777" w:rsidTr="00243B15">
        <w:tc>
          <w:tcPr>
            <w:tcW w:w="14390" w:type="dxa"/>
            <w:gridSpan w:val="6"/>
            <w:tcBorders>
              <w:top w:val="single" w:sz="4" w:space="0" w:color="auto"/>
              <w:left w:val="single" w:sz="4" w:space="0" w:color="auto"/>
              <w:bottom w:val="single" w:sz="4" w:space="0" w:color="auto"/>
              <w:right w:val="single" w:sz="4" w:space="0" w:color="auto"/>
            </w:tcBorders>
            <w:shd w:val="pct12" w:color="auto" w:fill="auto"/>
          </w:tcPr>
          <w:p w14:paraId="5349C233" w14:textId="77777777" w:rsidR="00302BFE" w:rsidRPr="006E490C" w:rsidRDefault="00302BFE" w:rsidP="00243B15">
            <w:pPr>
              <w:rPr>
                <w:i/>
                <w:iCs/>
                <w:sz w:val="18"/>
                <w:szCs w:val="18"/>
              </w:rPr>
            </w:pPr>
            <w:bookmarkStart w:id="24" w:name="_Hlk7883088"/>
            <w:r w:rsidRPr="006E490C">
              <w:rPr>
                <w:b/>
                <w:sz w:val="18"/>
                <w:szCs w:val="18"/>
              </w:rPr>
              <w:t xml:space="preserve">This project will contribute to the following Sustainable Development Goal (s): </w:t>
            </w:r>
            <w:r w:rsidRPr="006E490C">
              <w:rPr>
                <w:i/>
                <w:iCs/>
                <w:sz w:val="18"/>
                <w:szCs w:val="18"/>
              </w:rPr>
              <w:t xml:space="preserve">Goal 1 – End poverty in all its forms everywhere; Goal 2 – </w:t>
            </w:r>
            <w:r w:rsidRPr="006E490C">
              <w:rPr>
                <w:i/>
                <w:sz w:val="18"/>
                <w:szCs w:val="18"/>
                <w:lang w:val="en-CA"/>
              </w:rPr>
              <w:t>End hunger, achieve food security and improved nutrition and promote sustainable agriculture</w:t>
            </w:r>
            <w:r w:rsidRPr="006E490C">
              <w:rPr>
                <w:i/>
                <w:iCs/>
                <w:sz w:val="18"/>
                <w:szCs w:val="18"/>
              </w:rPr>
              <w:t xml:space="preserve">; Goal 5 – Achieve gender equality and empower all women and girls; Goal 6 – </w:t>
            </w:r>
            <w:r w:rsidRPr="006E490C">
              <w:rPr>
                <w:i/>
                <w:sz w:val="18"/>
                <w:szCs w:val="18"/>
                <w:lang w:val="en-CA"/>
              </w:rPr>
              <w:t>Ensure availability and sustainable management of water and sanitation for all</w:t>
            </w:r>
            <w:r w:rsidRPr="006E490C">
              <w:rPr>
                <w:i/>
                <w:iCs/>
                <w:sz w:val="18"/>
                <w:szCs w:val="18"/>
              </w:rPr>
              <w:t xml:space="preserve">; Goal 8 – </w:t>
            </w:r>
            <w:r w:rsidRPr="006E490C">
              <w:rPr>
                <w:i/>
                <w:sz w:val="18"/>
                <w:szCs w:val="18"/>
                <w:lang w:val="en-CA"/>
              </w:rPr>
              <w:t>Promote sustained, inclusive and sustainable economic growth, full and productive employment and decent work for all</w:t>
            </w:r>
            <w:r w:rsidRPr="006E490C">
              <w:rPr>
                <w:i/>
                <w:iCs/>
                <w:sz w:val="18"/>
                <w:szCs w:val="18"/>
              </w:rPr>
              <w:t xml:space="preserve">; Goal 12 – </w:t>
            </w:r>
            <w:r w:rsidRPr="006E490C">
              <w:rPr>
                <w:i/>
                <w:sz w:val="18"/>
                <w:szCs w:val="18"/>
                <w:lang w:val="en-CA"/>
              </w:rPr>
              <w:t>Ensure sustainable consumption and production patterns</w:t>
            </w:r>
            <w:r w:rsidRPr="006E490C">
              <w:rPr>
                <w:i/>
                <w:iCs/>
                <w:sz w:val="18"/>
                <w:szCs w:val="18"/>
              </w:rPr>
              <w:t xml:space="preserve">; Goal 13 – Take urgent action to combat climate change and its impacts; and Goal 15 – </w:t>
            </w:r>
            <w:r w:rsidRPr="006E490C">
              <w:rPr>
                <w:bCs/>
                <w:i/>
                <w:iCs/>
                <w:sz w:val="18"/>
                <w:szCs w:val="18"/>
              </w:rPr>
              <w:t>Protect, restore and promote sustainable use of terrestrial ecosystems, sustainably manage forests, combat desertification, and halt and reverse land degradation and halt biodiversity loss</w:t>
            </w:r>
          </w:p>
        </w:tc>
      </w:tr>
      <w:tr w:rsidR="00302BFE" w:rsidRPr="006E490C" w14:paraId="450212E7" w14:textId="77777777" w:rsidTr="00243B15">
        <w:tc>
          <w:tcPr>
            <w:tcW w:w="14390" w:type="dxa"/>
            <w:gridSpan w:val="6"/>
            <w:tcBorders>
              <w:top w:val="single" w:sz="4" w:space="0" w:color="auto"/>
              <w:left w:val="single" w:sz="4" w:space="0" w:color="auto"/>
              <w:bottom w:val="single" w:sz="4" w:space="0" w:color="auto"/>
              <w:right w:val="single" w:sz="4" w:space="0" w:color="auto"/>
            </w:tcBorders>
            <w:shd w:val="pct12" w:color="auto" w:fill="auto"/>
          </w:tcPr>
          <w:p w14:paraId="14CE2F87" w14:textId="77777777" w:rsidR="00302BFE" w:rsidRPr="006E490C" w:rsidRDefault="00302BFE" w:rsidP="00243B15">
            <w:pPr>
              <w:rPr>
                <w:b/>
                <w:szCs w:val="20"/>
              </w:rPr>
            </w:pPr>
            <w:r w:rsidRPr="006E490C">
              <w:rPr>
                <w:b/>
                <w:bCs/>
                <w:sz w:val="18"/>
                <w:szCs w:val="18"/>
              </w:rPr>
              <w:t xml:space="preserve">This project will contribute to the following country outcome included in the UNDAF/Country Programme Document: </w:t>
            </w:r>
            <w:r w:rsidRPr="006E490C">
              <w:rPr>
                <w:i/>
                <w:iCs/>
                <w:sz w:val="18"/>
                <w:szCs w:val="18"/>
              </w:rPr>
              <w:t>Outcome 3.2 – By the end of 2020, populations, especially young people and women in intervention areas (urban/rural), increase their income, adopt sustainable production and consumption patterns, and improve their food security</w:t>
            </w:r>
          </w:p>
        </w:tc>
      </w:tr>
      <w:tr w:rsidR="00302BFE" w:rsidRPr="006E490C" w14:paraId="2A91E5EF" w14:textId="77777777" w:rsidTr="00243B15">
        <w:tc>
          <w:tcPr>
            <w:tcW w:w="14390" w:type="dxa"/>
            <w:gridSpan w:val="6"/>
            <w:tcBorders>
              <w:top w:val="single" w:sz="4" w:space="0" w:color="auto"/>
              <w:left w:val="single" w:sz="4" w:space="0" w:color="auto"/>
              <w:bottom w:val="single" w:sz="4" w:space="0" w:color="auto"/>
              <w:right w:val="single" w:sz="4" w:space="0" w:color="auto"/>
            </w:tcBorders>
            <w:shd w:val="pct12" w:color="auto" w:fill="auto"/>
            <w:hideMark/>
          </w:tcPr>
          <w:p w14:paraId="7B9BFEFB" w14:textId="77777777" w:rsidR="00302BFE" w:rsidRPr="006E490C" w:rsidRDefault="00302BFE" w:rsidP="00243B15">
            <w:pPr>
              <w:jc w:val="left"/>
              <w:rPr>
                <w:rFonts w:cs="Arial"/>
                <w:sz w:val="18"/>
                <w:szCs w:val="18"/>
                <w:lang w:val="en-CA"/>
              </w:rPr>
            </w:pPr>
            <w:r w:rsidRPr="006E490C">
              <w:rPr>
                <w:b/>
                <w:bCs/>
                <w:sz w:val="18"/>
                <w:szCs w:val="18"/>
                <w:lang w:val="en-CA"/>
              </w:rPr>
              <w:t xml:space="preserve">This project will be linked to the following results of the UNDP strategic plan: </w:t>
            </w:r>
            <w:r w:rsidRPr="006E490C">
              <w:rPr>
                <w:rFonts w:cs="Arial"/>
                <w:i/>
                <w:sz w:val="18"/>
                <w:szCs w:val="18"/>
                <w:lang w:val="en-CA"/>
              </w:rPr>
              <w:t>Output 1.4.1: Scaled-up solutions for the sustainable management of natural resources, including sustainable commodities and ecological and inclusive value chains</w:t>
            </w:r>
          </w:p>
        </w:tc>
      </w:tr>
      <w:tr w:rsidR="00302BFE" w:rsidRPr="006E490C" w14:paraId="5CBD1911" w14:textId="77777777" w:rsidTr="00243B15">
        <w:tc>
          <w:tcPr>
            <w:tcW w:w="2006" w:type="dxa"/>
            <w:tcBorders>
              <w:top w:val="single" w:sz="4" w:space="0" w:color="auto"/>
              <w:left w:val="single" w:sz="4" w:space="0" w:color="auto"/>
              <w:bottom w:val="single" w:sz="4" w:space="0" w:color="auto"/>
              <w:right w:val="single" w:sz="4" w:space="0" w:color="auto"/>
            </w:tcBorders>
            <w:shd w:val="pct12" w:color="auto" w:fill="auto"/>
          </w:tcPr>
          <w:p w14:paraId="3A2EDA51" w14:textId="77777777" w:rsidR="00302BFE" w:rsidRPr="006E490C" w:rsidRDefault="00302BFE" w:rsidP="00243B15">
            <w:pPr>
              <w:jc w:val="center"/>
              <w:rPr>
                <w:rFonts w:ascii="Times New Roman" w:hAnsi="Times New Roman"/>
                <w:b/>
                <w:bCs/>
                <w:sz w:val="18"/>
                <w:szCs w:val="18"/>
                <w:lang w:val="en-CA"/>
              </w:rPr>
            </w:pPr>
          </w:p>
        </w:tc>
        <w:tc>
          <w:tcPr>
            <w:tcW w:w="3016" w:type="dxa"/>
            <w:tcBorders>
              <w:top w:val="single" w:sz="4" w:space="0" w:color="auto"/>
              <w:left w:val="single" w:sz="4" w:space="0" w:color="auto"/>
              <w:bottom w:val="single" w:sz="4" w:space="0" w:color="auto"/>
              <w:right w:val="single" w:sz="4" w:space="0" w:color="auto"/>
            </w:tcBorders>
            <w:shd w:val="pct12" w:color="auto" w:fill="auto"/>
            <w:hideMark/>
          </w:tcPr>
          <w:p w14:paraId="327A1CC2" w14:textId="77777777" w:rsidR="00302BFE" w:rsidRPr="006E490C" w:rsidRDefault="00302BFE" w:rsidP="00243B15">
            <w:pPr>
              <w:jc w:val="center"/>
              <w:rPr>
                <w:b/>
                <w:bCs/>
                <w:sz w:val="18"/>
                <w:szCs w:val="18"/>
                <w:lang w:val="fr-CA"/>
              </w:rPr>
            </w:pPr>
            <w:r w:rsidRPr="006E490C">
              <w:rPr>
                <w:b/>
                <w:bCs/>
                <w:sz w:val="18"/>
                <w:szCs w:val="18"/>
                <w:lang w:val="fr-CA"/>
              </w:rPr>
              <w:t>Objective and Outcome Indicators</w:t>
            </w:r>
          </w:p>
        </w:tc>
        <w:tc>
          <w:tcPr>
            <w:tcW w:w="1552" w:type="dxa"/>
            <w:tcBorders>
              <w:top w:val="single" w:sz="4" w:space="0" w:color="auto"/>
              <w:left w:val="single" w:sz="4" w:space="0" w:color="auto"/>
              <w:bottom w:val="single" w:sz="4" w:space="0" w:color="auto"/>
              <w:right w:val="single" w:sz="4" w:space="0" w:color="auto"/>
            </w:tcBorders>
            <w:shd w:val="pct12" w:color="auto" w:fill="auto"/>
          </w:tcPr>
          <w:p w14:paraId="11AE1552" w14:textId="77777777" w:rsidR="00302BFE" w:rsidRPr="006E490C" w:rsidRDefault="00302BFE" w:rsidP="00243B15">
            <w:pPr>
              <w:jc w:val="center"/>
              <w:rPr>
                <w:b/>
                <w:bCs/>
                <w:sz w:val="18"/>
                <w:szCs w:val="18"/>
              </w:rPr>
            </w:pPr>
            <w:r w:rsidRPr="006E490C">
              <w:rPr>
                <w:b/>
                <w:bCs/>
                <w:sz w:val="18"/>
                <w:szCs w:val="18"/>
              </w:rPr>
              <w:t>Baseline</w:t>
            </w:r>
          </w:p>
        </w:tc>
        <w:tc>
          <w:tcPr>
            <w:tcW w:w="1552" w:type="dxa"/>
            <w:tcBorders>
              <w:top w:val="single" w:sz="4" w:space="0" w:color="auto"/>
              <w:left w:val="single" w:sz="4" w:space="0" w:color="auto"/>
              <w:bottom w:val="single" w:sz="4" w:space="0" w:color="auto"/>
              <w:right w:val="single" w:sz="4" w:space="0" w:color="auto"/>
            </w:tcBorders>
            <w:shd w:val="pct12" w:color="auto" w:fill="auto"/>
          </w:tcPr>
          <w:p w14:paraId="5E74B245" w14:textId="77777777" w:rsidR="00302BFE" w:rsidRPr="006E490C" w:rsidRDefault="00302BFE" w:rsidP="00243B15">
            <w:pPr>
              <w:jc w:val="center"/>
              <w:rPr>
                <w:b/>
                <w:bCs/>
                <w:sz w:val="18"/>
                <w:szCs w:val="18"/>
              </w:rPr>
            </w:pPr>
            <w:r w:rsidRPr="006E490C">
              <w:rPr>
                <w:b/>
                <w:bCs/>
                <w:sz w:val="18"/>
                <w:szCs w:val="18"/>
              </w:rPr>
              <w:t>Mid-term target</w:t>
            </w:r>
          </w:p>
        </w:tc>
        <w:tc>
          <w:tcPr>
            <w:tcW w:w="1552" w:type="dxa"/>
            <w:tcBorders>
              <w:top w:val="single" w:sz="4" w:space="0" w:color="auto"/>
              <w:left w:val="single" w:sz="4" w:space="0" w:color="auto"/>
              <w:bottom w:val="single" w:sz="4" w:space="0" w:color="auto"/>
              <w:right w:val="single" w:sz="4" w:space="0" w:color="auto"/>
            </w:tcBorders>
            <w:shd w:val="pct12" w:color="auto" w:fill="auto"/>
          </w:tcPr>
          <w:p w14:paraId="3DE7E5D8" w14:textId="77777777" w:rsidR="00302BFE" w:rsidRPr="006E490C" w:rsidRDefault="00302BFE" w:rsidP="00243B15">
            <w:pPr>
              <w:jc w:val="center"/>
              <w:rPr>
                <w:b/>
                <w:bCs/>
                <w:sz w:val="18"/>
                <w:szCs w:val="18"/>
                <w:lang w:val="fr-CA"/>
              </w:rPr>
            </w:pPr>
            <w:r w:rsidRPr="006E490C">
              <w:rPr>
                <w:b/>
                <w:bCs/>
                <w:sz w:val="18"/>
                <w:szCs w:val="18"/>
                <w:lang w:val="fr-CA"/>
              </w:rPr>
              <w:t>End of project target</w:t>
            </w:r>
          </w:p>
        </w:tc>
        <w:tc>
          <w:tcPr>
            <w:tcW w:w="4712" w:type="dxa"/>
            <w:tcBorders>
              <w:top w:val="single" w:sz="4" w:space="0" w:color="auto"/>
              <w:left w:val="single" w:sz="4" w:space="0" w:color="auto"/>
              <w:bottom w:val="single" w:sz="4" w:space="0" w:color="auto"/>
              <w:right w:val="single" w:sz="4" w:space="0" w:color="auto"/>
            </w:tcBorders>
            <w:shd w:val="pct12" w:color="auto" w:fill="auto"/>
          </w:tcPr>
          <w:p w14:paraId="04697513" w14:textId="77777777" w:rsidR="00302BFE" w:rsidRPr="006E490C" w:rsidRDefault="00302BFE" w:rsidP="00243B15">
            <w:pPr>
              <w:jc w:val="center"/>
              <w:rPr>
                <w:b/>
                <w:bCs/>
                <w:sz w:val="18"/>
                <w:szCs w:val="18"/>
                <w:lang w:val="en-CA"/>
              </w:rPr>
            </w:pPr>
            <w:r w:rsidRPr="006E490C">
              <w:rPr>
                <w:b/>
                <w:bCs/>
                <w:sz w:val="18"/>
                <w:szCs w:val="18"/>
                <w:lang w:val="en-CA"/>
              </w:rPr>
              <w:t>Methods of Data Collection and Risks / Assumptions</w:t>
            </w:r>
          </w:p>
        </w:tc>
      </w:tr>
      <w:tr w:rsidR="00302BFE" w:rsidRPr="006E490C" w14:paraId="3DBD4EA5" w14:textId="77777777" w:rsidTr="00243B15">
        <w:tc>
          <w:tcPr>
            <w:tcW w:w="2006" w:type="dxa"/>
            <w:vMerge w:val="restart"/>
            <w:tcBorders>
              <w:top w:val="single" w:sz="4" w:space="0" w:color="auto"/>
              <w:left w:val="single" w:sz="4" w:space="0" w:color="auto"/>
              <w:right w:val="single" w:sz="4" w:space="0" w:color="auto"/>
            </w:tcBorders>
            <w:shd w:val="pct12" w:color="auto" w:fill="auto"/>
          </w:tcPr>
          <w:p w14:paraId="5D777FBC" w14:textId="77777777" w:rsidR="00302BFE" w:rsidRPr="006E490C" w:rsidRDefault="00302BFE" w:rsidP="00243B15">
            <w:pPr>
              <w:rPr>
                <w:b/>
                <w:bCs/>
                <w:szCs w:val="20"/>
                <w:lang w:val="en-CA"/>
              </w:rPr>
            </w:pPr>
            <w:r w:rsidRPr="006E490C">
              <w:rPr>
                <w:rFonts w:ascii="Times New Roman" w:hAnsi="Times New Roman"/>
                <w:b/>
                <w:bCs/>
                <w:sz w:val="18"/>
                <w:szCs w:val="18"/>
                <w:lang w:val="en-CA"/>
              </w:rPr>
              <w:t xml:space="preserve"> </w:t>
            </w:r>
            <w:r w:rsidRPr="006E490C">
              <w:rPr>
                <w:b/>
                <w:bCs/>
                <w:szCs w:val="20"/>
                <w:lang w:val="en-CA"/>
              </w:rPr>
              <w:t>Project Objective:</w:t>
            </w:r>
          </w:p>
          <w:p w14:paraId="4C6C31FA" w14:textId="77777777" w:rsidR="00302BFE" w:rsidRPr="006E490C" w:rsidRDefault="00302BFE" w:rsidP="00243B15">
            <w:pPr>
              <w:jc w:val="left"/>
              <w:rPr>
                <w:rFonts w:ascii="Times New Roman" w:hAnsi="Times New Roman"/>
                <w:b/>
                <w:bCs/>
                <w:sz w:val="18"/>
                <w:szCs w:val="18"/>
                <w:lang w:val="en-CA"/>
              </w:rPr>
            </w:pPr>
            <w:r w:rsidRPr="006E490C">
              <w:rPr>
                <w:bCs/>
                <w:szCs w:val="20"/>
                <w:lang w:val="en-CA"/>
              </w:rPr>
              <w:t>To safeguard critical wildlife habitat, biodiversity and ecosystem services in the PONASI Protected Area complex through integrated landscape management, generating multiple benefits for sustainable development in the southern central Burkina Faso.</w:t>
            </w:r>
          </w:p>
        </w:tc>
        <w:tc>
          <w:tcPr>
            <w:tcW w:w="3016" w:type="dxa"/>
            <w:tcBorders>
              <w:top w:val="single" w:sz="4" w:space="0" w:color="auto"/>
              <w:left w:val="single" w:sz="4" w:space="0" w:color="auto"/>
              <w:bottom w:val="single" w:sz="4" w:space="0" w:color="auto"/>
              <w:right w:val="single" w:sz="4" w:space="0" w:color="auto"/>
            </w:tcBorders>
            <w:hideMark/>
          </w:tcPr>
          <w:p w14:paraId="6DC62620" w14:textId="77777777" w:rsidR="00302BFE" w:rsidRPr="006E490C" w:rsidRDefault="00302BFE" w:rsidP="00243B15">
            <w:pPr>
              <w:spacing w:after="0"/>
              <w:jc w:val="left"/>
              <w:rPr>
                <w:color w:val="000000"/>
                <w:sz w:val="18"/>
                <w:szCs w:val="18"/>
              </w:rPr>
            </w:pPr>
            <w:r w:rsidRPr="006E490C">
              <w:rPr>
                <w:b/>
                <w:color w:val="000000"/>
                <w:sz w:val="18"/>
                <w:szCs w:val="18"/>
                <w:u w:val="single"/>
              </w:rPr>
              <w:t>Mandatory indicator 1 (from the IRRF)</w:t>
            </w:r>
            <w:r w:rsidRPr="006E490C">
              <w:rPr>
                <w:color w:val="000000"/>
                <w:sz w:val="18"/>
                <w:szCs w:val="18"/>
              </w:rPr>
              <w:t>:</w:t>
            </w:r>
          </w:p>
          <w:p w14:paraId="65B17F73" w14:textId="77777777" w:rsidR="00302BFE" w:rsidRPr="006E490C" w:rsidRDefault="00302BFE" w:rsidP="00243B15">
            <w:pPr>
              <w:spacing w:after="0"/>
              <w:jc w:val="left"/>
              <w:rPr>
                <w:color w:val="000000"/>
                <w:sz w:val="18"/>
                <w:szCs w:val="18"/>
              </w:rPr>
            </w:pPr>
            <w:r w:rsidRPr="006E490C">
              <w:rPr>
                <w:color w:val="000000"/>
                <w:sz w:val="18"/>
                <w:szCs w:val="18"/>
              </w:rPr>
              <w:t>Natural resources that are managed under a sustainable use, conservation, access and benefit-sharing regime:</w:t>
            </w:r>
          </w:p>
          <w:p w14:paraId="65735948" w14:textId="77777777" w:rsidR="00302BFE" w:rsidRPr="006E490C" w:rsidRDefault="00302BFE" w:rsidP="00243B15">
            <w:pPr>
              <w:spacing w:after="0"/>
              <w:jc w:val="left"/>
              <w:rPr>
                <w:bCs/>
                <w:sz w:val="18"/>
                <w:szCs w:val="18"/>
                <w:lang w:val="en-CA"/>
              </w:rPr>
            </w:pPr>
            <w:r w:rsidRPr="006E490C">
              <w:rPr>
                <w:bCs/>
                <w:sz w:val="18"/>
                <w:szCs w:val="18"/>
                <w:lang w:val="en-CA"/>
              </w:rPr>
              <w:t>a) Area of terrestrial habitat under (new) protection (hectares) (ref indicator 8b)</w:t>
            </w:r>
          </w:p>
          <w:p w14:paraId="15351EB0" w14:textId="77777777" w:rsidR="00302BFE" w:rsidRPr="006E490C" w:rsidRDefault="00302BFE" w:rsidP="00243B15">
            <w:pPr>
              <w:spacing w:after="0"/>
              <w:jc w:val="left"/>
              <w:rPr>
                <w:bCs/>
                <w:sz w:val="18"/>
                <w:szCs w:val="18"/>
                <w:lang w:val="en-CA"/>
              </w:rPr>
            </w:pPr>
            <w:r w:rsidRPr="006E490C">
              <w:rPr>
                <w:bCs/>
                <w:sz w:val="18"/>
                <w:szCs w:val="18"/>
                <w:lang w:val="en-CA"/>
              </w:rPr>
              <w:t>b) Area of existing protected area under improved management (hectares) (ref indicator 8a)</w:t>
            </w:r>
          </w:p>
          <w:p w14:paraId="31E6FF42" w14:textId="77777777" w:rsidR="00302BFE" w:rsidRPr="006E490C" w:rsidRDefault="00302BFE" w:rsidP="00243B15">
            <w:pPr>
              <w:spacing w:after="0"/>
              <w:jc w:val="left"/>
              <w:rPr>
                <w:bCs/>
                <w:sz w:val="18"/>
                <w:szCs w:val="18"/>
                <w:lang w:val="en-CA"/>
              </w:rPr>
            </w:pPr>
            <w:r w:rsidRPr="006E490C">
              <w:rPr>
                <w:bCs/>
                <w:sz w:val="18"/>
                <w:szCs w:val="18"/>
                <w:lang w:val="en-CA"/>
              </w:rPr>
              <w:t>c) Area under sustainable forest management (hectares)</w:t>
            </w:r>
          </w:p>
          <w:p w14:paraId="05DB5F19" w14:textId="77777777" w:rsidR="00302BFE" w:rsidRPr="006E490C" w:rsidRDefault="00302BFE" w:rsidP="00243B15">
            <w:pPr>
              <w:spacing w:after="0"/>
              <w:jc w:val="left"/>
              <w:rPr>
                <w:bCs/>
                <w:sz w:val="18"/>
                <w:szCs w:val="18"/>
                <w:lang w:val="en-CA"/>
              </w:rPr>
            </w:pPr>
            <w:r w:rsidRPr="006E490C">
              <w:rPr>
                <w:bCs/>
                <w:sz w:val="18"/>
                <w:szCs w:val="18"/>
                <w:lang w:val="en-CA"/>
              </w:rPr>
              <w:t>d) Land area devoted to sustainable practices of pastoral management or climate-smart agriculture within pilot sites</w:t>
            </w:r>
          </w:p>
        </w:tc>
        <w:tc>
          <w:tcPr>
            <w:tcW w:w="1552" w:type="dxa"/>
            <w:tcBorders>
              <w:top w:val="single" w:sz="4" w:space="0" w:color="auto"/>
              <w:left w:val="single" w:sz="4" w:space="0" w:color="auto"/>
              <w:bottom w:val="single" w:sz="4" w:space="0" w:color="auto"/>
              <w:right w:val="single" w:sz="4" w:space="0" w:color="auto"/>
            </w:tcBorders>
            <w:hideMark/>
          </w:tcPr>
          <w:p w14:paraId="4BDBE692" w14:textId="77777777" w:rsidR="00302BFE" w:rsidRPr="00243B15" w:rsidRDefault="00302BFE" w:rsidP="00243B15">
            <w:pPr>
              <w:jc w:val="left"/>
              <w:rPr>
                <w:bCs/>
                <w:sz w:val="18"/>
                <w:szCs w:val="18"/>
                <w:lang w:val="en-CA"/>
              </w:rPr>
            </w:pPr>
            <w:r w:rsidRPr="00243B15">
              <w:rPr>
                <w:bCs/>
                <w:sz w:val="18"/>
                <w:szCs w:val="18"/>
                <w:lang w:val="en-CA"/>
              </w:rPr>
              <w:t>a) 0 ha</w:t>
            </w:r>
          </w:p>
          <w:p w14:paraId="4E295A7C" w14:textId="77777777" w:rsidR="00302BFE" w:rsidRPr="00243B15" w:rsidRDefault="00302BFE" w:rsidP="00243B15">
            <w:pPr>
              <w:jc w:val="left"/>
              <w:rPr>
                <w:bCs/>
                <w:sz w:val="18"/>
                <w:szCs w:val="18"/>
                <w:lang w:val="en-CA"/>
              </w:rPr>
            </w:pPr>
            <w:r w:rsidRPr="00243B15">
              <w:rPr>
                <w:bCs/>
                <w:sz w:val="18"/>
                <w:szCs w:val="18"/>
                <w:lang w:val="en-CA"/>
              </w:rPr>
              <w:t>b) 0 ha</w:t>
            </w:r>
          </w:p>
          <w:p w14:paraId="23813305" w14:textId="77777777" w:rsidR="00302BFE" w:rsidRPr="006E490C" w:rsidRDefault="00302BFE" w:rsidP="00243B15">
            <w:pPr>
              <w:jc w:val="left"/>
              <w:rPr>
                <w:bCs/>
                <w:sz w:val="18"/>
                <w:szCs w:val="18"/>
                <w:lang w:val="en-CA"/>
              </w:rPr>
            </w:pPr>
            <w:r w:rsidRPr="006E490C">
              <w:rPr>
                <w:bCs/>
                <w:sz w:val="18"/>
                <w:szCs w:val="18"/>
                <w:lang w:val="en-CA"/>
              </w:rPr>
              <w:t>c) t.b.d in 1</w:t>
            </w:r>
            <w:r w:rsidRPr="006E490C">
              <w:rPr>
                <w:bCs/>
                <w:sz w:val="18"/>
                <w:szCs w:val="18"/>
                <w:vertAlign w:val="superscript"/>
                <w:lang w:val="en-CA"/>
              </w:rPr>
              <w:t>st</w:t>
            </w:r>
            <w:r w:rsidRPr="006E490C">
              <w:rPr>
                <w:bCs/>
                <w:sz w:val="18"/>
                <w:szCs w:val="18"/>
                <w:lang w:val="en-CA"/>
              </w:rPr>
              <w:t xml:space="preserve"> year</w:t>
            </w:r>
          </w:p>
          <w:p w14:paraId="2E8F16D7" w14:textId="77777777" w:rsidR="00302BFE" w:rsidRPr="00243B15" w:rsidRDefault="00302BFE" w:rsidP="00243B15">
            <w:pPr>
              <w:jc w:val="left"/>
              <w:rPr>
                <w:bCs/>
                <w:sz w:val="18"/>
                <w:szCs w:val="18"/>
                <w:lang w:val="en-CA"/>
              </w:rPr>
            </w:pPr>
            <w:r w:rsidRPr="00243B15">
              <w:rPr>
                <w:bCs/>
                <w:sz w:val="18"/>
                <w:szCs w:val="18"/>
                <w:lang w:val="en-CA"/>
              </w:rPr>
              <w:t>d) 0 ha</w:t>
            </w:r>
          </w:p>
          <w:p w14:paraId="426C0FA5" w14:textId="77777777" w:rsidR="00302BFE" w:rsidRPr="00243B15" w:rsidRDefault="00302BFE" w:rsidP="00243B15">
            <w:pPr>
              <w:jc w:val="left"/>
              <w:rPr>
                <w:bCs/>
                <w:sz w:val="18"/>
                <w:szCs w:val="18"/>
                <w:lang w:val="en-CA"/>
              </w:rPr>
            </w:pPr>
          </w:p>
          <w:p w14:paraId="46A1091A" w14:textId="77777777" w:rsidR="00302BFE" w:rsidRPr="006E490C" w:rsidRDefault="00302BFE" w:rsidP="00243B15">
            <w:pPr>
              <w:jc w:val="left"/>
              <w:rPr>
                <w:bCs/>
                <w:i/>
                <w:sz w:val="18"/>
                <w:szCs w:val="18"/>
                <w:lang w:val="en-CA"/>
              </w:rPr>
            </w:pPr>
            <w:r w:rsidRPr="006E490C">
              <w:rPr>
                <w:bCs/>
                <w:sz w:val="18"/>
                <w:szCs w:val="18"/>
              </w:rPr>
              <w:t>(the project has not started yet)</w:t>
            </w:r>
          </w:p>
        </w:tc>
        <w:tc>
          <w:tcPr>
            <w:tcW w:w="1552" w:type="dxa"/>
            <w:tcBorders>
              <w:top w:val="single" w:sz="4" w:space="0" w:color="auto"/>
              <w:left w:val="single" w:sz="4" w:space="0" w:color="auto"/>
              <w:bottom w:val="single" w:sz="4" w:space="0" w:color="auto"/>
              <w:right w:val="single" w:sz="4" w:space="0" w:color="auto"/>
            </w:tcBorders>
            <w:hideMark/>
          </w:tcPr>
          <w:p w14:paraId="2AE71452" w14:textId="77777777" w:rsidR="00302BFE" w:rsidRPr="006E490C" w:rsidRDefault="00302BFE" w:rsidP="00243B15">
            <w:pPr>
              <w:jc w:val="left"/>
              <w:rPr>
                <w:bCs/>
                <w:sz w:val="18"/>
                <w:szCs w:val="18"/>
                <w:lang w:val="fr-CA"/>
              </w:rPr>
            </w:pPr>
            <w:r w:rsidRPr="006E490C">
              <w:rPr>
                <w:bCs/>
                <w:sz w:val="18"/>
                <w:szCs w:val="18"/>
                <w:lang w:val="fr-CA"/>
              </w:rPr>
              <w:t>a) 0 ha</w:t>
            </w:r>
          </w:p>
          <w:p w14:paraId="7E035A83" w14:textId="77777777" w:rsidR="00302BFE" w:rsidRPr="006E490C" w:rsidRDefault="00302BFE" w:rsidP="00243B15">
            <w:pPr>
              <w:jc w:val="left"/>
              <w:rPr>
                <w:bCs/>
                <w:sz w:val="18"/>
                <w:szCs w:val="18"/>
                <w:lang w:val="fr-CA"/>
              </w:rPr>
            </w:pPr>
            <w:r w:rsidRPr="006E490C">
              <w:rPr>
                <w:bCs/>
                <w:sz w:val="18"/>
                <w:szCs w:val="18"/>
                <w:lang w:val="fr-CA"/>
              </w:rPr>
              <w:t>b) 91,300 ha (Nazinga)</w:t>
            </w:r>
          </w:p>
          <w:p w14:paraId="61B453CA" w14:textId="77777777" w:rsidR="00302BFE" w:rsidRPr="006E490C" w:rsidRDefault="00302BFE" w:rsidP="00243B15">
            <w:pPr>
              <w:jc w:val="left"/>
              <w:rPr>
                <w:bCs/>
                <w:sz w:val="18"/>
                <w:szCs w:val="18"/>
                <w:lang w:val="en-CA"/>
              </w:rPr>
            </w:pPr>
            <w:r w:rsidRPr="006E490C">
              <w:rPr>
                <w:bCs/>
                <w:sz w:val="18"/>
                <w:szCs w:val="18"/>
                <w:lang w:val="en-CA"/>
              </w:rPr>
              <w:t>c) 28,438 ha</w:t>
            </w:r>
          </w:p>
          <w:p w14:paraId="5DFF647E" w14:textId="77777777" w:rsidR="00302BFE" w:rsidRPr="006E490C" w:rsidRDefault="00302BFE" w:rsidP="00243B15">
            <w:pPr>
              <w:jc w:val="left"/>
              <w:rPr>
                <w:bCs/>
                <w:sz w:val="18"/>
                <w:szCs w:val="18"/>
                <w:lang w:val="en-CA"/>
              </w:rPr>
            </w:pPr>
            <w:r w:rsidRPr="006E490C">
              <w:rPr>
                <w:bCs/>
                <w:sz w:val="18"/>
                <w:szCs w:val="18"/>
                <w:lang w:val="en-CA"/>
              </w:rPr>
              <w:t>d) 0 ha</w:t>
            </w:r>
          </w:p>
          <w:p w14:paraId="29BF1622" w14:textId="77777777" w:rsidR="00302BFE" w:rsidRPr="006E490C" w:rsidRDefault="00302BFE" w:rsidP="00243B15">
            <w:pPr>
              <w:spacing w:before="120"/>
              <w:jc w:val="left"/>
              <w:rPr>
                <w:bCs/>
                <w:sz w:val="16"/>
                <w:szCs w:val="16"/>
                <w:lang w:val="en-CA"/>
              </w:rPr>
            </w:pPr>
            <w:r w:rsidRPr="006E490C">
              <w:rPr>
                <w:bCs/>
                <w:sz w:val="16"/>
                <w:szCs w:val="16"/>
                <w:lang w:val="en-CA"/>
              </w:rPr>
              <w:t>(planning and capacity development stage, implementation not sufficiently advanced to measure areas under sustainable practices)</w:t>
            </w:r>
          </w:p>
        </w:tc>
        <w:tc>
          <w:tcPr>
            <w:tcW w:w="1552" w:type="dxa"/>
            <w:tcBorders>
              <w:top w:val="single" w:sz="4" w:space="0" w:color="auto"/>
              <w:left w:val="single" w:sz="4" w:space="0" w:color="auto"/>
              <w:bottom w:val="single" w:sz="4" w:space="0" w:color="auto"/>
              <w:right w:val="single" w:sz="4" w:space="0" w:color="auto"/>
            </w:tcBorders>
            <w:hideMark/>
          </w:tcPr>
          <w:p w14:paraId="22C0E075" w14:textId="77777777" w:rsidR="00302BFE" w:rsidRPr="00CD48B7" w:rsidRDefault="00302BFE" w:rsidP="00243B15">
            <w:pPr>
              <w:jc w:val="left"/>
              <w:rPr>
                <w:bCs/>
                <w:sz w:val="18"/>
                <w:szCs w:val="18"/>
                <w:lang w:val="pt-PT"/>
              </w:rPr>
            </w:pPr>
            <w:r w:rsidRPr="00CD48B7">
              <w:rPr>
                <w:bCs/>
                <w:sz w:val="18"/>
                <w:szCs w:val="18"/>
                <w:lang w:val="pt-PT"/>
              </w:rPr>
              <w:t>a) 33,000 ha (corridor 2)</w:t>
            </w:r>
          </w:p>
          <w:p w14:paraId="5C6FB4A1" w14:textId="77777777" w:rsidR="00302BFE" w:rsidRPr="00CD48B7" w:rsidRDefault="00302BFE" w:rsidP="00243B15">
            <w:pPr>
              <w:jc w:val="left"/>
              <w:rPr>
                <w:bCs/>
                <w:sz w:val="18"/>
                <w:szCs w:val="18"/>
                <w:lang w:val="pt-PT"/>
              </w:rPr>
            </w:pPr>
            <w:r w:rsidRPr="00CD48B7">
              <w:rPr>
                <w:bCs/>
                <w:sz w:val="18"/>
                <w:szCs w:val="18"/>
                <w:lang w:val="pt-PT"/>
              </w:rPr>
              <w:t>b) 321,781 ha (Nazinga, Sissili, PNKT, ZOVICs, corridor 1)</w:t>
            </w:r>
          </w:p>
          <w:p w14:paraId="4471734F" w14:textId="77777777" w:rsidR="00302BFE" w:rsidRPr="006E490C" w:rsidRDefault="00302BFE" w:rsidP="00243B15">
            <w:pPr>
              <w:jc w:val="left"/>
              <w:rPr>
                <w:bCs/>
                <w:sz w:val="18"/>
                <w:szCs w:val="18"/>
                <w:lang w:val="en-CA"/>
              </w:rPr>
            </w:pPr>
            <w:r w:rsidRPr="006E490C">
              <w:rPr>
                <w:bCs/>
                <w:sz w:val="18"/>
                <w:szCs w:val="18"/>
                <w:lang w:val="en-CA"/>
              </w:rPr>
              <w:t>c) 85,314 ha (= 75% of CAF, forest massifs, commune and village forests areas)</w:t>
            </w:r>
          </w:p>
          <w:p w14:paraId="4F6169FA" w14:textId="77777777" w:rsidR="00302BFE" w:rsidRPr="006E490C" w:rsidRDefault="00302BFE" w:rsidP="00243B15">
            <w:pPr>
              <w:jc w:val="left"/>
              <w:rPr>
                <w:bCs/>
                <w:i/>
                <w:sz w:val="18"/>
                <w:szCs w:val="18"/>
                <w:lang w:val="en-CA"/>
              </w:rPr>
            </w:pPr>
            <w:r w:rsidRPr="006E490C">
              <w:rPr>
                <w:bCs/>
                <w:sz w:val="18"/>
                <w:szCs w:val="18"/>
                <w:lang w:val="en-CA"/>
              </w:rPr>
              <w:t>d) 39,664 ha (=75% of pastoral areas) and 4,500 ha under climate-smart agriculture in pilot site lands</w:t>
            </w:r>
          </w:p>
        </w:tc>
        <w:tc>
          <w:tcPr>
            <w:tcW w:w="4712" w:type="dxa"/>
            <w:tcBorders>
              <w:top w:val="single" w:sz="4" w:space="0" w:color="auto"/>
              <w:left w:val="single" w:sz="4" w:space="0" w:color="auto"/>
              <w:right w:val="single" w:sz="4" w:space="0" w:color="auto"/>
            </w:tcBorders>
            <w:hideMark/>
          </w:tcPr>
          <w:p w14:paraId="672B7236" w14:textId="77777777" w:rsidR="00302BFE" w:rsidRPr="006E490C" w:rsidRDefault="00302BFE" w:rsidP="00243B15">
            <w:pPr>
              <w:jc w:val="left"/>
              <w:rPr>
                <w:sz w:val="18"/>
                <w:szCs w:val="18"/>
                <w:lang w:val="en-CA"/>
              </w:rPr>
            </w:pPr>
            <w:r w:rsidRPr="006E490C">
              <w:rPr>
                <w:bCs/>
                <w:i/>
                <w:sz w:val="18"/>
                <w:szCs w:val="18"/>
                <w:lang w:val="en-CA"/>
              </w:rPr>
              <w:t>Data collection source / method</w:t>
            </w:r>
            <w:r w:rsidRPr="006E490C">
              <w:rPr>
                <w:bCs/>
                <w:i/>
                <w:sz w:val="18"/>
                <w:szCs w:val="18"/>
                <w:lang w:val="en-CA"/>
              </w:rPr>
              <w:br/>
            </w:r>
            <w:r w:rsidRPr="006E490C">
              <w:rPr>
                <w:sz w:val="18"/>
                <w:szCs w:val="18"/>
                <w:lang w:val="en-CA"/>
              </w:rPr>
              <w:t>a) Ref indicator 8b</w:t>
            </w:r>
          </w:p>
          <w:p w14:paraId="08C96C05" w14:textId="77777777" w:rsidR="00302BFE" w:rsidRPr="006E490C" w:rsidRDefault="00302BFE" w:rsidP="00243B15">
            <w:pPr>
              <w:jc w:val="left"/>
              <w:rPr>
                <w:sz w:val="18"/>
                <w:szCs w:val="18"/>
                <w:lang w:val="en-CA"/>
              </w:rPr>
            </w:pPr>
            <w:r w:rsidRPr="006E490C">
              <w:rPr>
                <w:sz w:val="18"/>
                <w:szCs w:val="18"/>
                <w:lang w:val="en-CA"/>
              </w:rPr>
              <w:t>b) Ref indicator 8a</w:t>
            </w:r>
          </w:p>
          <w:p w14:paraId="3241AC99" w14:textId="77777777" w:rsidR="00302BFE" w:rsidRPr="006E490C" w:rsidRDefault="00302BFE" w:rsidP="00243B15">
            <w:pPr>
              <w:jc w:val="left"/>
              <w:rPr>
                <w:sz w:val="18"/>
                <w:szCs w:val="18"/>
                <w:lang w:val="en-CA"/>
              </w:rPr>
            </w:pPr>
            <w:r w:rsidRPr="006E490C">
              <w:rPr>
                <w:sz w:val="18"/>
                <w:szCs w:val="18"/>
                <w:lang w:val="en-CA"/>
              </w:rPr>
              <w:t>c) Annual multi-stakeholder reports prepared by the Project Management Unit with technical support from AP PONASI's Landscape Co-management Platform Technical Core</w:t>
            </w:r>
          </w:p>
          <w:p w14:paraId="1C872693" w14:textId="77777777" w:rsidR="00302BFE" w:rsidRPr="006E490C" w:rsidRDefault="00302BFE" w:rsidP="00243B15">
            <w:pPr>
              <w:jc w:val="left"/>
              <w:rPr>
                <w:i/>
                <w:sz w:val="18"/>
                <w:szCs w:val="18"/>
                <w:lang w:val="en-CA"/>
              </w:rPr>
            </w:pPr>
            <w:r w:rsidRPr="006E490C">
              <w:rPr>
                <w:sz w:val="18"/>
                <w:szCs w:val="18"/>
                <w:lang w:val="en-CA"/>
              </w:rPr>
              <w:t xml:space="preserve">d) Annual multi-stakeholder reports prepared by the Project Management Unit with technical support from AP PONASI's Landscape Co-management Platform Technical Core. </w:t>
            </w:r>
            <w:r w:rsidRPr="006E490C">
              <w:rPr>
                <w:bCs/>
                <w:sz w:val="18"/>
                <w:szCs w:val="18"/>
                <w:lang w:val="en-CA"/>
              </w:rPr>
              <w:t>The area of farmland managed according to climate-smart practices in other villages in the project area and financed by other stakeholders will be followed by the platform</w:t>
            </w:r>
          </w:p>
          <w:p w14:paraId="07DFA9B3" w14:textId="77777777" w:rsidR="00302BFE" w:rsidRPr="006E490C" w:rsidRDefault="00302BFE" w:rsidP="00243B15">
            <w:pPr>
              <w:jc w:val="left"/>
              <w:rPr>
                <w:sz w:val="18"/>
                <w:szCs w:val="18"/>
                <w:lang w:val="en-CA"/>
              </w:rPr>
            </w:pPr>
            <w:r w:rsidRPr="006E490C">
              <w:rPr>
                <w:i/>
                <w:sz w:val="18"/>
                <w:szCs w:val="18"/>
                <w:lang w:val="en-CA"/>
              </w:rPr>
              <w:t>Risks</w:t>
            </w:r>
            <w:r w:rsidRPr="006E490C">
              <w:rPr>
                <w:sz w:val="18"/>
                <w:szCs w:val="18"/>
                <w:lang w:val="en-CA"/>
              </w:rPr>
              <w:t>: An unstable socio-economic and security context undermines the emergence of environmental sensitivity among the population who are not ready to change their unsustainable use of natural resources and adhere to the requirements of the Integrated Landscape Management Framework.</w:t>
            </w:r>
          </w:p>
          <w:p w14:paraId="2A7DF8C4" w14:textId="77777777" w:rsidR="00302BFE" w:rsidRPr="006E490C" w:rsidRDefault="00302BFE" w:rsidP="00243B15">
            <w:pPr>
              <w:jc w:val="left"/>
              <w:rPr>
                <w:bCs/>
                <w:i/>
                <w:sz w:val="18"/>
                <w:szCs w:val="18"/>
                <w:lang w:val="en-CA"/>
              </w:rPr>
            </w:pPr>
            <w:r w:rsidRPr="006E490C">
              <w:rPr>
                <w:i/>
                <w:sz w:val="18"/>
                <w:szCs w:val="18"/>
                <w:lang w:val="en-CA"/>
              </w:rPr>
              <w:t>Assumption</w:t>
            </w:r>
            <w:r w:rsidRPr="006E490C">
              <w:rPr>
                <w:sz w:val="18"/>
                <w:szCs w:val="18"/>
                <w:lang w:val="en-CA"/>
              </w:rPr>
              <w:t>: The preservation of biodiversity and ecosystem services is a priority for regional authorities and local governments who agree to participate in the planning of land and resource use within the landscape and to mobilize the necessary co-financing for its implementation</w:t>
            </w:r>
          </w:p>
        </w:tc>
      </w:tr>
      <w:tr w:rsidR="00302BFE" w:rsidRPr="006E490C" w14:paraId="1B7903F1" w14:textId="77777777" w:rsidTr="00243B15">
        <w:tc>
          <w:tcPr>
            <w:tcW w:w="2006" w:type="dxa"/>
            <w:vMerge/>
            <w:tcBorders>
              <w:left w:val="single" w:sz="4" w:space="0" w:color="auto"/>
              <w:right w:val="single" w:sz="4" w:space="0" w:color="auto"/>
            </w:tcBorders>
            <w:vAlign w:val="center"/>
            <w:hideMark/>
          </w:tcPr>
          <w:p w14:paraId="227EE8CF" w14:textId="77777777" w:rsidR="00302BFE" w:rsidRPr="006E490C" w:rsidRDefault="00302BFE" w:rsidP="00243B15">
            <w:pPr>
              <w:spacing w:after="0"/>
              <w:jc w:val="left"/>
              <w:rPr>
                <w:rFonts w:ascii="Times New Roman" w:hAnsi="Times New Roman"/>
                <w:b/>
                <w:bCs/>
                <w:i/>
                <w:sz w:val="18"/>
                <w:szCs w:val="18"/>
                <w:lang w:val="en-CA"/>
              </w:rPr>
            </w:pPr>
          </w:p>
        </w:tc>
        <w:tc>
          <w:tcPr>
            <w:tcW w:w="3016" w:type="dxa"/>
            <w:vMerge w:val="restart"/>
            <w:tcBorders>
              <w:top w:val="single" w:sz="4" w:space="0" w:color="auto"/>
              <w:left w:val="single" w:sz="4" w:space="0" w:color="auto"/>
              <w:bottom w:val="single" w:sz="4" w:space="0" w:color="auto"/>
              <w:right w:val="single" w:sz="4" w:space="0" w:color="auto"/>
            </w:tcBorders>
            <w:hideMark/>
          </w:tcPr>
          <w:p w14:paraId="79B61102" w14:textId="77777777" w:rsidR="00302BFE" w:rsidRPr="006E490C" w:rsidRDefault="00302BFE" w:rsidP="00243B15">
            <w:pPr>
              <w:jc w:val="left"/>
              <w:rPr>
                <w:bCs/>
                <w:sz w:val="18"/>
                <w:szCs w:val="18"/>
                <w:lang w:val="en-CA"/>
              </w:rPr>
            </w:pPr>
            <w:r w:rsidRPr="006E490C">
              <w:rPr>
                <w:bCs/>
                <w:sz w:val="18"/>
                <w:szCs w:val="18"/>
                <w:u w:val="single"/>
                <w:lang w:val="en-CA"/>
              </w:rPr>
              <w:t>Mandatory indicator 2</w:t>
            </w:r>
            <w:r w:rsidRPr="006E490C">
              <w:rPr>
                <w:bCs/>
                <w:sz w:val="18"/>
                <w:szCs w:val="18"/>
                <w:lang w:val="en-CA"/>
              </w:rPr>
              <w:t xml:space="preserve">: Number of direct beneficiaries of the project (men and women farmers, forest and agricultural labourers / herders, men and women in value chains and tourism activities), benefiting from livelihoods created or improved in relation to </w:t>
            </w:r>
            <w:r w:rsidRPr="006E490C">
              <w:rPr>
                <w:bCs/>
                <w:sz w:val="18"/>
                <w:szCs w:val="18"/>
                <w:lang w:val="en-CA"/>
              </w:rPr>
              <w:lastRenderedPageBreak/>
              <w:t>sustainable management of natural resources and ecosystem services within the PONASI landscape, disaggregated by sex.</w:t>
            </w:r>
          </w:p>
          <w:p w14:paraId="58B76253" w14:textId="77777777" w:rsidR="00302BFE" w:rsidRPr="006E490C" w:rsidRDefault="00302BFE" w:rsidP="00243B15">
            <w:pPr>
              <w:jc w:val="left"/>
              <w:rPr>
                <w:bCs/>
                <w:sz w:val="18"/>
                <w:szCs w:val="18"/>
                <w:lang w:val="en-CA"/>
              </w:rPr>
            </w:pPr>
            <w:r w:rsidRPr="006E490C">
              <w:rPr>
                <w:bCs/>
                <w:sz w:val="18"/>
                <w:szCs w:val="18"/>
                <w:lang w:val="en-CA"/>
              </w:rPr>
              <w:t>(</w:t>
            </w:r>
            <w:r w:rsidRPr="006E490C">
              <w:rPr>
                <w:b/>
                <w:bCs/>
                <w:sz w:val="18"/>
                <w:szCs w:val="18"/>
                <w:lang w:val="en-CA"/>
              </w:rPr>
              <w:t>GEF-7 Core indicator 11</w:t>
            </w:r>
            <w:r w:rsidRPr="006E490C">
              <w:rPr>
                <w:bCs/>
                <w:sz w:val="18"/>
                <w:szCs w:val="18"/>
                <w:lang w:val="en-CA"/>
              </w:rPr>
              <w:t>)</w:t>
            </w:r>
          </w:p>
        </w:tc>
        <w:tc>
          <w:tcPr>
            <w:tcW w:w="1552" w:type="dxa"/>
            <w:vMerge w:val="restart"/>
            <w:tcBorders>
              <w:top w:val="single" w:sz="4" w:space="0" w:color="auto"/>
              <w:left w:val="single" w:sz="4" w:space="0" w:color="auto"/>
              <w:bottom w:val="single" w:sz="4" w:space="0" w:color="auto"/>
              <w:right w:val="single" w:sz="4" w:space="0" w:color="auto"/>
            </w:tcBorders>
            <w:hideMark/>
          </w:tcPr>
          <w:p w14:paraId="0E43F9E0" w14:textId="77777777" w:rsidR="00302BFE" w:rsidRPr="006E490C" w:rsidRDefault="00302BFE" w:rsidP="00243B15">
            <w:pPr>
              <w:jc w:val="left"/>
              <w:rPr>
                <w:bCs/>
                <w:i/>
                <w:sz w:val="18"/>
                <w:szCs w:val="18"/>
              </w:rPr>
            </w:pPr>
            <w:r w:rsidRPr="006E490C">
              <w:rPr>
                <w:bCs/>
                <w:sz w:val="18"/>
                <w:szCs w:val="18"/>
              </w:rPr>
              <w:lastRenderedPageBreak/>
              <w:t>0 (the project has not started yet)</w:t>
            </w:r>
          </w:p>
        </w:tc>
        <w:tc>
          <w:tcPr>
            <w:tcW w:w="1552" w:type="dxa"/>
            <w:vMerge w:val="restart"/>
            <w:tcBorders>
              <w:top w:val="single" w:sz="4" w:space="0" w:color="auto"/>
              <w:left w:val="single" w:sz="4" w:space="0" w:color="auto"/>
              <w:bottom w:val="single" w:sz="4" w:space="0" w:color="auto"/>
              <w:right w:val="single" w:sz="4" w:space="0" w:color="auto"/>
            </w:tcBorders>
            <w:hideMark/>
          </w:tcPr>
          <w:p w14:paraId="60D5B32E" w14:textId="77777777" w:rsidR="00302BFE" w:rsidRPr="006E490C" w:rsidRDefault="00302BFE" w:rsidP="00243B15">
            <w:pPr>
              <w:jc w:val="left"/>
              <w:rPr>
                <w:bCs/>
                <w:sz w:val="18"/>
                <w:szCs w:val="18"/>
              </w:rPr>
            </w:pPr>
            <w:r w:rsidRPr="006E490C">
              <w:rPr>
                <w:bCs/>
                <w:sz w:val="18"/>
                <w:szCs w:val="18"/>
              </w:rPr>
              <w:t>8,095 with 60% women overall</w:t>
            </w:r>
            <w:r w:rsidRPr="006E490C">
              <w:rPr>
                <w:bCs/>
                <w:sz w:val="18"/>
                <w:szCs w:val="18"/>
              </w:rPr>
              <w:br/>
              <w:t>a) 90 men in CAFs</w:t>
            </w:r>
            <w:r w:rsidRPr="006E490C">
              <w:rPr>
                <w:bCs/>
                <w:sz w:val="18"/>
                <w:szCs w:val="18"/>
              </w:rPr>
              <w:br/>
              <w:t>b) 1600 men and women in pastoral activities</w:t>
            </w:r>
            <w:r w:rsidRPr="006E490C">
              <w:rPr>
                <w:bCs/>
                <w:sz w:val="18"/>
                <w:szCs w:val="18"/>
              </w:rPr>
              <w:br/>
              <w:t xml:space="preserve">c) 300 men and </w:t>
            </w:r>
            <w:r w:rsidRPr="006E490C">
              <w:rPr>
                <w:bCs/>
                <w:sz w:val="18"/>
                <w:szCs w:val="18"/>
              </w:rPr>
              <w:lastRenderedPageBreak/>
              <w:t>women in climate-smart agriculture activities –</w:t>
            </w:r>
            <w:r w:rsidRPr="006E490C">
              <w:rPr>
                <w:bCs/>
                <w:i/>
                <w:sz w:val="18"/>
                <w:szCs w:val="18"/>
              </w:rPr>
              <w:t>terroirs</w:t>
            </w:r>
            <w:r w:rsidRPr="006E490C">
              <w:rPr>
                <w:bCs/>
                <w:sz w:val="18"/>
                <w:szCs w:val="18"/>
              </w:rPr>
              <w:br/>
              <w:t>d) 5,100 men and women in communal and village forests (other than PAs and CAFs)</w:t>
            </w:r>
            <w:r w:rsidRPr="006E490C">
              <w:rPr>
                <w:bCs/>
                <w:sz w:val="18"/>
                <w:szCs w:val="18"/>
              </w:rPr>
              <w:br/>
              <w:t>e) 50 men and 155 women in non-timber forest products value chains</w:t>
            </w:r>
          </w:p>
          <w:p w14:paraId="0147DD62" w14:textId="77777777" w:rsidR="00302BFE" w:rsidRPr="006E490C" w:rsidRDefault="00302BFE" w:rsidP="00243B15">
            <w:pPr>
              <w:jc w:val="left"/>
              <w:rPr>
                <w:bCs/>
                <w:sz w:val="18"/>
                <w:szCs w:val="18"/>
                <w:lang w:val="en-CA"/>
              </w:rPr>
            </w:pPr>
            <w:r w:rsidRPr="006E490C">
              <w:rPr>
                <w:bCs/>
                <w:sz w:val="18"/>
                <w:szCs w:val="18"/>
                <w:lang w:val="en-CA"/>
              </w:rPr>
              <w:t>[</w:t>
            </w:r>
            <w:r w:rsidRPr="006E490C">
              <w:rPr>
                <w:bCs/>
                <w:sz w:val="16"/>
                <w:szCs w:val="16"/>
                <w:lang w:val="en-CA"/>
              </w:rPr>
              <w:t>honey VC: 50 men, 50 women)</w:t>
            </w:r>
            <w:r w:rsidRPr="006E490C">
              <w:rPr>
                <w:bCs/>
                <w:sz w:val="16"/>
                <w:szCs w:val="16"/>
                <w:lang w:val="en-CA"/>
              </w:rPr>
              <w:br/>
              <w:t>shea VC: 75 women</w:t>
            </w:r>
            <w:r w:rsidRPr="006E490C">
              <w:rPr>
                <w:bCs/>
                <w:sz w:val="16"/>
                <w:szCs w:val="16"/>
                <w:lang w:val="en-CA"/>
              </w:rPr>
              <w:br/>
              <w:t>liane goïne VC: 30 women]</w:t>
            </w:r>
          </w:p>
          <w:p w14:paraId="3D049AC5" w14:textId="77777777" w:rsidR="00302BFE" w:rsidRPr="006E490C" w:rsidRDefault="00302BFE" w:rsidP="00243B15">
            <w:pPr>
              <w:jc w:val="left"/>
              <w:rPr>
                <w:bCs/>
                <w:sz w:val="18"/>
                <w:szCs w:val="18"/>
                <w:lang w:val="en-CA"/>
              </w:rPr>
            </w:pPr>
            <w:r w:rsidRPr="006E490C">
              <w:rPr>
                <w:bCs/>
                <w:sz w:val="18"/>
                <w:szCs w:val="18"/>
                <w:lang w:val="en-CA"/>
              </w:rPr>
              <w:t xml:space="preserve">f) 15 men and 35 women in tourism </w:t>
            </w:r>
            <w:r w:rsidRPr="006E490C">
              <w:rPr>
                <w:bCs/>
                <w:sz w:val="18"/>
                <w:szCs w:val="18"/>
                <w:lang w:val="en-CA"/>
              </w:rPr>
              <w:br/>
              <w:t>g) 375 men and 375 women - paid work (opening of trails, opening and maintenance of firebreaks, management of early fires, rehabilitation of corridor # 2, etc.)</w:t>
            </w:r>
          </w:p>
        </w:tc>
        <w:tc>
          <w:tcPr>
            <w:tcW w:w="1552" w:type="dxa"/>
            <w:vMerge w:val="restart"/>
            <w:tcBorders>
              <w:top w:val="single" w:sz="4" w:space="0" w:color="auto"/>
              <w:left w:val="single" w:sz="4" w:space="0" w:color="auto"/>
              <w:bottom w:val="single" w:sz="4" w:space="0" w:color="auto"/>
              <w:right w:val="single" w:sz="4" w:space="0" w:color="auto"/>
            </w:tcBorders>
            <w:hideMark/>
          </w:tcPr>
          <w:p w14:paraId="74B24ACF" w14:textId="77777777" w:rsidR="00302BFE" w:rsidRPr="006E490C" w:rsidRDefault="00302BFE" w:rsidP="00243B15">
            <w:pPr>
              <w:jc w:val="left"/>
              <w:rPr>
                <w:bCs/>
                <w:sz w:val="18"/>
                <w:szCs w:val="18"/>
                <w:lang w:val="en-CA"/>
              </w:rPr>
            </w:pPr>
            <w:bookmarkStart w:id="25" w:name="_Hlk9253838"/>
            <w:r w:rsidRPr="006E490C">
              <w:rPr>
                <w:bCs/>
                <w:sz w:val="18"/>
                <w:szCs w:val="18"/>
                <w:lang w:val="en-CA"/>
              </w:rPr>
              <w:lastRenderedPageBreak/>
              <w:t>30,885 with 60% women overall</w:t>
            </w:r>
            <w:r w:rsidRPr="006E490C">
              <w:rPr>
                <w:bCs/>
                <w:sz w:val="18"/>
                <w:szCs w:val="18"/>
                <w:lang w:val="en-CA"/>
              </w:rPr>
              <w:br/>
              <w:t>a) 365 men in CAFs</w:t>
            </w:r>
            <w:r w:rsidRPr="006E490C">
              <w:rPr>
                <w:bCs/>
                <w:sz w:val="18"/>
                <w:szCs w:val="18"/>
                <w:lang w:val="en-CA"/>
              </w:rPr>
              <w:br/>
              <w:t xml:space="preserve">b) 6400 </w:t>
            </w:r>
            <w:r w:rsidRPr="006E490C">
              <w:rPr>
                <w:bCs/>
                <w:sz w:val="18"/>
                <w:szCs w:val="18"/>
              </w:rPr>
              <w:t>men and women in pastoral activities</w:t>
            </w:r>
            <w:r w:rsidRPr="006E490C">
              <w:rPr>
                <w:bCs/>
                <w:sz w:val="18"/>
                <w:szCs w:val="18"/>
                <w:lang w:val="en-CA"/>
              </w:rPr>
              <w:br/>
              <w:t xml:space="preserve">c) 1,200 men and </w:t>
            </w:r>
            <w:r w:rsidRPr="006E490C">
              <w:rPr>
                <w:bCs/>
                <w:sz w:val="18"/>
                <w:szCs w:val="18"/>
                <w:lang w:val="en-CA"/>
              </w:rPr>
              <w:lastRenderedPageBreak/>
              <w:t xml:space="preserve">women in climate-smart agriculture activities - </w:t>
            </w:r>
            <w:r w:rsidRPr="006E490C">
              <w:rPr>
                <w:bCs/>
                <w:i/>
                <w:sz w:val="18"/>
                <w:szCs w:val="18"/>
                <w:lang w:val="en-CA"/>
              </w:rPr>
              <w:t>terroirs</w:t>
            </w:r>
            <w:r w:rsidRPr="006E490C">
              <w:rPr>
                <w:bCs/>
                <w:sz w:val="18"/>
                <w:szCs w:val="18"/>
                <w:lang w:val="en-CA"/>
              </w:rPr>
              <w:br/>
              <w:t xml:space="preserve">d) 20,400 </w:t>
            </w:r>
            <w:r w:rsidRPr="006E490C">
              <w:rPr>
                <w:bCs/>
                <w:sz w:val="18"/>
                <w:szCs w:val="18"/>
              </w:rPr>
              <w:t>men and women in communal and village forests (other than PAs and CAFs)</w:t>
            </w:r>
            <w:r w:rsidRPr="006E490C">
              <w:rPr>
                <w:bCs/>
                <w:sz w:val="18"/>
                <w:szCs w:val="18"/>
                <w:lang w:val="en-CA"/>
              </w:rPr>
              <w:br/>
              <w:t xml:space="preserve">e) 200 </w:t>
            </w:r>
            <w:r w:rsidRPr="006E490C">
              <w:rPr>
                <w:bCs/>
                <w:sz w:val="18"/>
                <w:szCs w:val="18"/>
              </w:rPr>
              <w:t xml:space="preserve">men and </w:t>
            </w:r>
            <w:r w:rsidRPr="006E490C">
              <w:rPr>
                <w:bCs/>
                <w:sz w:val="18"/>
                <w:szCs w:val="18"/>
                <w:lang w:val="en-CA"/>
              </w:rPr>
              <w:t xml:space="preserve">620 </w:t>
            </w:r>
            <w:r w:rsidRPr="006E490C">
              <w:rPr>
                <w:bCs/>
                <w:sz w:val="18"/>
                <w:szCs w:val="18"/>
              </w:rPr>
              <w:t>women in non-timber forest products value chains</w:t>
            </w:r>
          </w:p>
          <w:p w14:paraId="76ECEB4B" w14:textId="77777777" w:rsidR="00302BFE" w:rsidRPr="006E490C" w:rsidRDefault="00302BFE" w:rsidP="00243B15">
            <w:pPr>
              <w:jc w:val="left"/>
              <w:rPr>
                <w:bCs/>
                <w:sz w:val="16"/>
                <w:szCs w:val="16"/>
                <w:lang w:val="en-CA"/>
              </w:rPr>
            </w:pPr>
            <w:r w:rsidRPr="006E490C">
              <w:rPr>
                <w:bCs/>
                <w:sz w:val="16"/>
                <w:szCs w:val="16"/>
                <w:lang w:val="en-CA"/>
              </w:rPr>
              <w:t>honey VC: 200 men, 200 women)</w:t>
            </w:r>
            <w:r w:rsidRPr="006E490C">
              <w:rPr>
                <w:bCs/>
                <w:sz w:val="16"/>
                <w:szCs w:val="16"/>
                <w:lang w:val="en-CA"/>
              </w:rPr>
              <w:br/>
              <w:t>shea VC: 300 women</w:t>
            </w:r>
            <w:r w:rsidRPr="006E490C">
              <w:rPr>
                <w:bCs/>
                <w:sz w:val="16"/>
                <w:szCs w:val="16"/>
                <w:lang w:val="en-CA"/>
              </w:rPr>
              <w:br/>
              <w:t>liane goïne VC: 120 women]</w:t>
            </w:r>
          </w:p>
          <w:p w14:paraId="7A0BA570" w14:textId="77777777" w:rsidR="00302BFE" w:rsidRPr="006E490C" w:rsidRDefault="00302BFE" w:rsidP="00243B15">
            <w:pPr>
              <w:jc w:val="left"/>
              <w:rPr>
                <w:bCs/>
                <w:sz w:val="18"/>
                <w:szCs w:val="18"/>
                <w:lang w:val="en-CA"/>
              </w:rPr>
            </w:pPr>
            <w:r w:rsidRPr="006E490C">
              <w:rPr>
                <w:bCs/>
                <w:sz w:val="18"/>
                <w:szCs w:val="18"/>
                <w:lang w:val="en-CA"/>
              </w:rPr>
              <w:t>f) 60 men and 140 women in tourism</w:t>
            </w:r>
            <w:r w:rsidRPr="006E490C">
              <w:rPr>
                <w:bCs/>
                <w:sz w:val="18"/>
                <w:szCs w:val="18"/>
                <w:lang w:val="en-CA"/>
              </w:rPr>
              <w:br/>
              <w:t>g) 750 men and 750 women - paid work (opening of trails, opening and maintenance of firebreaks, management of early fires, rehabilitation of corridor # 2, etc.)</w:t>
            </w:r>
            <w:bookmarkEnd w:id="25"/>
          </w:p>
        </w:tc>
        <w:tc>
          <w:tcPr>
            <w:tcW w:w="4712" w:type="dxa"/>
            <w:tcBorders>
              <w:top w:val="single" w:sz="4" w:space="0" w:color="auto"/>
              <w:left w:val="single" w:sz="4" w:space="0" w:color="auto"/>
              <w:bottom w:val="single" w:sz="4" w:space="0" w:color="auto"/>
              <w:right w:val="single" w:sz="4" w:space="0" w:color="auto"/>
            </w:tcBorders>
            <w:hideMark/>
          </w:tcPr>
          <w:p w14:paraId="2BD6AA02" w14:textId="77777777" w:rsidR="00302BFE" w:rsidRPr="006E490C" w:rsidRDefault="00302BFE" w:rsidP="00243B15">
            <w:pPr>
              <w:jc w:val="left"/>
              <w:rPr>
                <w:bCs/>
                <w:sz w:val="18"/>
                <w:szCs w:val="18"/>
                <w:lang w:val="en-CA"/>
              </w:rPr>
            </w:pPr>
            <w:r w:rsidRPr="006E490C">
              <w:rPr>
                <w:bCs/>
                <w:i/>
                <w:sz w:val="18"/>
                <w:szCs w:val="18"/>
                <w:lang w:val="en-CA"/>
              </w:rPr>
              <w:lastRenderedPageBreak/>
              <w:t>Data collection source / method</w:t>
            </w:r>
            <w:r w:rsidRPr="006E490C">
              <w:rPr>
                <w:bCs/>
                <w:sz w:val="18"/>
                <w:szCs w:val="18"/>
                <w:lang w:val="en-CA"/>
              </w:rPr>
              <w:t xml:space="preserve">: </w:t>
            </w:r>
          </w:p>
          <w:p w14:paraId="6544CCFD" w14:textId="77777777" w:rsidR="00302BFE" w:rsidRPr="006E490C" w:rsidRDefault="00302BFE" w:rsidP="00243B15">
            <w:pPr>
              <w:jc w:val="left"/>
              <w:rPr>
                <w:bCs/>
                <w:i/>
                <w:szCs w:val="20"/>
                <w:lang w:val="en-CA"/>
              </w:rPr>
            </w:pPr>
            <w:r w:rsidRPr="006E490C">
              <w:rPr>
                <w:bCs/>
                <w:sz w:val="18"/>
                <w:szCs w:val="18"/>
                <w:lang w:val="en-CA"/>
              </w:rPr>
              <w:t>Household surveys conducted in the project intervention sites at project start, midterm and end.</w:t>
            </w:r>
          </w:p>
        </w:tc>
      </w:tr>
      <w:tr w:rsidR="00302BFE" w:rsidRPr="006E490C" w14:paraId="04E07BC7" w14:textId="77777777" w:rsidTr="00243B15">
        <w:tc>
          <w:tcPr>
            <w:tcW w:w="2006" w:type="dxa"/>
            <w:vMerge/>
            <w:tcBorders>
              <w:left w:val="single" w:sz="4" w:space="0" w:color="auto"/>
              <w:right w:val="single" w:sz="4" w:space="0" w:color="auto"/>
            </w:tcBorders>
            <w:vAlign w:val="center"/>
            <w:hideMark/>
          </w:tcPr>
          <w:p w14:paraId="0C98FBF6" w14:textId="77777777" w:rsidR="00302BFE" w:rsidRPr="006E490C" w:rsidRDefault="00302BFE" w:rsidP="00243B15">
            <w:pPr>
              <w:spacing w:after="0"/>
              <w:jc w:val="left"/>
              <w:rPr>
                <w:rFonts w:ascii="Times New Roman" w:hAnsi="Times New Roman"/>
                <w:b/>
                <w:bCs/>
                <w:i/>
                <w:sz w:val="18"/>
                <w:szCs w:val="18"/>
                <w:lang w:val="en-CA"/>
              </w:rPr>
            </w:pPr>
          </w:p>
        </w:tc>
        <w:tc>
          <w:tcPr>
            <w:tcW w:w="3016" w:type="dxa"/>
            <w:vMerge/>
            <w:tcBorders>
              <w:top w:val="single" w:sz="4" w:space="0" w:color="auto"/>
              <w:left w:val="single" w:sz="4" w:space="0" w:color="auto"/>
              <w:bottom w:val="single" w:sz="4" w:space="0" w:color="auto"/>
              <w:right w:val="single" w:sz="4" w:space="0" w:color="auto"/>
            </w:tcBorders>
            <w:vAlign w:val="center"/>
            <w:hideMark/>
          </w:tcPr>
          <w:p w14:paraId="6406C3D0" w14:textId="77777777" w:rsidR="00302BFE" w:rsidRPr="006E490C" w:rsidRDefault="00302BFE" w:rsidP="00243B15">
            <w:pPr>
              <w:spacing w:after="0"/>
              <w:jc w:val="left"/>
              <w:rPr>
                <w:bCs/>
                <w:sz w:val="18"/>
                <w:szCs w:val="18"/>
                <w:lang w:val="en-CA"/>
              </w:rPr>
            </w:pPr>
          </w:p>
        </w:tc>
        <w:tc>
          <w:tcPr>
            <w:tcW w:w="1552" w:type="dxa"/>
            <w:vMerge/>
            <w:tcBorders>
              <w:top w:val="single" w:sz="4" w:space="0" w:color="auto"/>
              <w:left w:val="single" w:sz="4" w:space="0" w:color="auto"/>
              <w:bottom w:val="single" w:sz="4" w:space="0" w:color="auto"/>
              <w:right w:val="single" w:sz="4" w:space="0" w:color="auto"/>
            </w:tcBorders>
            <w:vAlign w:val="center"/>
            <w:hideMark/>
          </w:tcPr>
          <w:p w14:paraId="7292EC49" w14:textId="77777777" w:rsidR="00302BFE" w:rsidRPr="006E490C" w:rsidRDefault="00302BFE" w:rsidP="00243B15">
            <w:pPr>
              <w:spacing w:after="0"/>
              <w:jc w:val="left"/>
              <w:rPr>
                <w:bCs/>
                <w:i/>
                <w:sz w:val="18"/>
                <w:szCs w:val="18"/>
                <w:lang w:val="en-CA"/>
              </w:rPr>
            </w:pPr>
          </w:p>
        </w:tc>
        <w:tc>
          <w:tcPr>
            <w:tcW w:w="1552" w:type="dxa"/>
            <w:vMerge/>
            <w:tcBorders>
              <w:top w:val="single" w:sz="4" w:space="0" w:color="auto"/>
              <w:left w:val="single" w:sz="4" w:space="0" w:color="auto"/>
              <w:bottom w:val="single" w:sz="4" w:space="0" w:color="auto"/>
              <w:right w:val="single" w:sz="4" w:space="0" w:color="auto"/>
            </w:tcBorders>
            <w:vAlign w:val="center"/>
            <w:hideMark/>
          </w:tcPr>
          <w:p w14:paraId="097F91AD" w14:textId="77777777" w:rsidR="00302BFE" w:rsidRPr="006E490C" w:rsidRDefault="00302BFE" w:rsidP="00243B15">
            <w:pPr>
              <w:spacing w:after="0"/>
              <w:jc w:val="left"/>
              <w:rPr>
                <w:bCs/>
                <w:i/>
                <w:sz w:val="18"/>
                <w:szCs w:val="18"/>
                <w:lang w:val="en-CA"/>
              </w:rPr>
            </w:pPr>
          </w:p>
        </w:tc>
        <w:tc>
          <w:tcPr>
            <w:tcW w:w="1552" w:type="dxa"/>
            <w:vMerge/>
            <w:tcBorders>
              <w:top w:val="single" w:sz="4" w:space="0" w:color="auto"/>
              <w:left w:val="single" w:sz="4" w:space="0" w:color="auto"/>
              <w:bottom w:val="single" w:sz="4" w:space="0" w:color="auto"/>
              <w:right w:val="single" w:sz="4" w:space="0" w:color="auto"/>
            </w:tcBorders>
            <w:vAlign w:val="center"/>
            <w:hideMark/>
          </w:tcPr>
          <w:p w14:paraId="7E0455B6" w14:textId="77777777" w:rsidR="00302BFE" w:rsidRPr="006E490C" w:rsidRDefault="00302BFE" w:rsidP="00243B15">
            <w:pPr>
              <w:spacing w:after="0"/>
              <w:jc w:val="left"/>
              <w:rPr>
                <w:bCs/>
                <w:i/>
                <w:sz w:val="18"/>
                <w:szCs w:val="18"/>
                <w:lang w:val="en-CA"/>
              </w:rPr>
            </w:pPr>
          </w:p>
        </w:tc>
        <w:tc>
          <w:tcPr>
            <w:tcW w:w="4712" w:type="dxa"/>
            <w:tcBorders>
              <w:top w:val="single" w:sz="4" w:space="0" w:color="auto"/>
              <w:left w:val="single" w:sz="4" w:space="0" w:color="auto"/>
              <w:bottom w:val="single" w:sz="4" w:space="0" w:color="auto"/>
              <w:right w:val="single" w:sz="4" w:space="0" w:color="auto"/>
            </w:tcBorders>
          </w:tcPr>
          <w:p w14:paraId="07592C58" w14:textId="77777777" w:rsidR="00302BFE" w:rsidRPr="006E490C" w:rsidRDefault="00302BFE" w:rsidP="00243B15">
            <w:pPr>
              <w:jc w:val="left"/>
              <w:rPr>
                <w:sz w:val="18"/>
                <w:szCs w:val="18"/>
                <w:lang w:val="en-CA"/>
              </w:rPr>
            </w:pPr>
            <w:r w:rsidRPr="006E490C">
              <w:rPr>
                <w:i/>
                <w:sz w:val="18"/>
                <w:szCs w:val="18"/>
                <w:lang w:val="en-CA"/>
              </w:rPr>
              <w:t>Risks</w:t>
            </w:r>
            <w:r w:rsidRPr="006E490C">
              <w:rPr>
                <w:sz w:val="18"/>
                <w:szCs w:val="18"/>
                <w:lang w:val="en-CA"/>
              </w:rPr>
              <w:t xml:space="preserve">: Lack of local stakeholder buy-in on biodiversity conservation and sustainable natural resource management </w:t>
            </w:r>
            <w:r w:rsidRPr="006E490C">
              <w:rPr>
                <w:sz w:val="18"/>
                <w:szCs w:val="18"/>
                <w:lang w:val="en-CA"/>
              </w:rPr>
              <w:lastRenderedPageBreak/>
              <w:t>measures proposed in the integrated landscape management framework</w:t>
            </w:r>
          </w:p>
          <w:p w14:paraId="0306DDF3" w14:textId="77777777" w:rsidR="00302BFE" w:rsidRPr="006E490C" w:rsidRDefault="00302BFE" w:rsidP="00243B15">
            <w:pPr>
              <w:jc w:val="left"/>
              <w:rPr>
                <w:sz w:val="18"/>
                <w:szCs w:val="18"/>
                <w:lang w:val="en-CA"/>
              </w:rPr>
            </w:pPr>
            <w:r w:rsidRPr="006E490C">
              <w:rPr>
                <w:sz w:val="18"/>
                <w:szCs w:val="18"/>
                <w:lang w:val="en-CA"/>
              </w:rPr>
              <w:t>The lack of securing women's rights to access and use of land and resources limits their benefits related to the conservation and sustainable management of natural resources</w:t>
            </w:r>
          </w:p>
          <w:p w14:paraId="397D6CAC" w14:textId="77777777" w:rsidR="00302BFE" w:rsidRPr="006E490C" w:rsidRDefault="00302BFE" w:rsidP="00243B15">
            <w:pPr>
              <w:jc w:val="left"/>
              <w:rPr>
                <w:bCs/>
                <w:sz w:val="18"/>
                <w:szCs w:val="18"/>
                <w:lang w:val="en-CA"/>
              </w:rPr>
            </w:pPr>
            <w:r w:rsidRPr="006E490C">
              <w:rPr>
                <w:bCs/>
                <w:i/>
                <w:sz w:val="18"/>
                <w:szCs w:val="18"/>
                <w:lang w:val="en-CA"/>
              </w:rPr>
              <w:t>Assumption</w:t>
            </w:r>
            <w:r w:rsidRPr="006E490C">
              <w:rPr>
                <w:bCs/>
                <w:sz w:val="18"/>
                <w:szCs w:val="18"/>
                <w:lang w:val="en-CA"/>
              </w:rPr>
              <w:t xml:space="preserve">: </w:t>
            </w:r>
          </w:p>
          <w:p w14:paraId="1BBEE193" w14:textId="77777777" w:rsidR="00302BFE" w:rsidRPr="006E490C" w:rsidRDefault="00302BFE" w:rsidP="00243B15">
            <w:pPr>
              <w:jc w:val="left"/>
              <w:rPr>
                <w:bCs/>
                <w:sz w:val="18"/>
                <w:szCs w:val="18"/>
                <w:lang w:val="en-CA"/>
              </w:rPr>
            </w:pPr>
            <w:r w:rsidRPr="006E490C">
              <w:rPr>
                <w:bCs/>
                <w:sz w:val="18"/>
                <w:szCs w:val="18"/>
                <w:lang w:val="en-CA"/>
              </w:rPr>
              <w:t>Enhanced awareness of environmental degradation trends and their impact, as well as strengthened capacities and institutional framework, lead to increased adoption of sustainable land and natural resource management practices and their effective implementation</w:t>
            </w:r>
          </w:p>
        </w:tc>
      </w:tr>
      <w:tr w:rsidR="00302BFE" w:rsidRPr="006E490C" w14:paraId="4373AE6A" w14:textId="77777777" w:rsidTr="00243B15">
        <w:tc>
          <w:tcPr>
            <w:tcW w:w="2006" w:type="dxa"/>
            <w:vMerge/>
            <w:tcBorders>
              <w:left w:val="single" w:sz="4" w:space="0" w:color="auto"/>
              <w:right w:val="single" w:sz="4" w:space="0" w:color="auto"/>
            </w:tcBorders>
            <w:vAlign w:val="center"/>
            <w:hideMark/>
          </w:tcPr>
          <w:p w14:paraId="32F93DB0" w14:textId="77777777" w:rsidR="00302BFE" w:rsidRPr="006E490C" w:rsidRDefault="00302BFE" w:rsidP="00243B15">
            <w:pPr>
              <w:spacing w:after="0"/>
              <w:jc w:val="left"/>
              <w:rPr>
                <w:rFonts w:ascii="Times New Roman" w:hAnsi="Times New Roman"/>
                <w:b/>
                <w:bCs/>
                <w:i/>
                <w:sz w:val="18"/>
                <w:szCs w:val="18"/>
                <w:lang w:val="en-CA"/>
              </w:rPr>
            </w:pPr>
          </w:p>
        </w:tc>
        <w:tc>
          <w:tcPr>
            <w:tcW w:w="3016" w:type="dxa"/>
            <w:vMerge w:val="restart"/>
            <w:tcBorders>
              <w:top w:val="single" w:sz="4" w:space="0" w:color="auto"/>
              <w:left w:val="single" w:sz="4" w:space="0" w:color="auto"/>
              <w:bottom w:val="single" w:sz="4" w:space="0" w:color="auto"/>
              <w:right w:val="single" w:sz="4" w:space="0" w:color="auto"/>
            </w:tcBorders>
            <w:hideMark/>
          </w:tcPr>
          <w:p w14:paraId="1EC04BDA" w14:textId="77777777" w:rsidR="00302BFE" w:rsidRPr="006E490C" w:rsidRDefault="00302BFE" w:rsidP="00243B15">
            <w:pPr>
              <w:jc w:val="left"/>
              <w:rPr>
                <w:bCs/>
                <w:i/>
                <w:sz w:val="18"/>
                <w:szCs w:val="18"/>
                <w:u w:val="single"/>
                <w:lang w:val="en-CA"/>
              </w:rPr>
            </w:pPr>
            <w:r w:rsidRPr="006E490C">
              <w:rPr>
                <w:bCs/>
                <w:i/>
                <w:sz w:val="18"/>
                <w:szCs w:val="18"/>
                <w:u w:val="single"/>
                <w:lang w:val="en-CA"/>
              </w:rPr>
              <w:t>Indicator 3:</w:t>
            </w:r>
          </w:p>
          <w:p w14:paraId="522AA58A" w14:textId="77777777" w:rsidR="00302BFE" w:rsidRPr="006E490C" w:rsidRDefault="00302BFE" w:rsidP="00DC7D98">
            <w:pPr>
              <w:jc w:val="left"/>
              <w:rPr>
                <w:bCs/>
                <w:sz w:val="18"/>
                <w:szCs w:val="18"/>
                <w:lang w:val="en-CA"/>
              </w:rPr>
            </w:pPr>
            <w:r w:rsidRPr="006E490C">
              <w:rPr>
                <w:bCs/>
                <w:sz w:val="18"/>
                <w:szCs w:val="18"/>
                <w:lang w:val="en-CA"/>
              </w:rPr>
              <w:t>Statistically significant trend in elephant population size in the PONASI landscape</w:t>
            </w:r>
          </w:p>
        </w:tc>
        <w:tc>
          <w:tcPr>
            <w:tcW w:w="1552" w:type="dxa"/>
            <w:vMerge w:val="restart"/>
            <w:tcBorders>
              <w:top w:val="single" w:sz="4" w:space="0" w:color="auto"/>
              <w:left w:val="single" w:sz="4" w:space="0" w:color="auto"/>
              <w:bottom w:val="single" w:sz="4" w:space="0" w:color="auto"/>
              <w:right w:val="single" w:sz="4" w:space="0" w:color="auto"/>
            </w:tcBorders>
          </w:tcPr>
          <w:p w14:paraId="491D7394" w14:textId="77777777" w:rsidR="00302BFE" w:rsidRPr="006E490C" w:rsidRDefault="00302BFE" w:rsidP="00243B15">
            <w:pPr>
              <w:jc w:val="left"/>
              <w:rPr>
                <w:bCs/>
                <w:sz w:val="18"/>
                <w:szCs w:val="18"/>
                <w:lang w:val="en-CA"/>
              </w:rPr>
            </w:pPr>
            <w:r w:rsidRPr="006E490C">
              <w:rPr>
                <w:bCs/>
                <w:sz w:val="18"/>
                <w:szCs w:val="18"/>
                <w:lang w:val="en-CA"/>
              </w:rPr>
              <w:t>Baseline to be determined during first year of project implementation</w:t>
            </w:r>
          </w:p>
        </w:tc>
        <w:tc>
          <w:tcPr>
            <w:tcW w:w="1552" w:type="dxa"/>
            <w:vMerge w:val="restart"/>
            <w:tcBorders>
              <w:top w:val="single" w:sz="4" w:space="0" w:color="auto"/>
              <w:left w:val="single" w:sz="4" w:space="0" w:color="auto"/>
              <w:bottom w:val="single" w:sz="4" w:space="0" w:color="auto"/>
              <w:right w:val="single" w:sz="4" w:space="0" w:color="auto"/>
            </w:tcBorders>
          </w:tcPr>
          <w:p w14:paraId="09E7C372" w14:textId="77777777" w:rsidR="00302BFE" w:rsidRPr="006E490C" w:rsidRDefault="00302BFE" w:rsidP="00243B15">
            <w:pPr>
              <w:jc w:val="left"/>
              <w:rPr>
                <w:bCs/>
                <w:sz w:val="18"/>
                <w:szCs w:val="18"/>
                <w:lang w:val="fr-CA"/>
              </w:rPr>
            </w:pPr>
            <w:r w:rsidRPr="006E490C">
              <w:rPr>
                <w:bCs/>
                <w:sz w:val="18"/>
                <w:szCs w:val="18"/>
                <w:lang w:val="fr-CA"/>
              </w:rPr>
              <w:t>No decrease</w:t>
            </w:r>
          </w:p>
        </w:tc>
        <w:tc>
          <w:tcPr>
            <w:tcW w:w="1552" w:type="dxa"/>
            <w:vMerge w:val="restart"/>
            <w:tcBorders>
              <w:top w:val="single" w:sz="4" w:space="0" w:color="auto"/>
              <w:left w:val="single" w:sz="4" w:space="0" w:color="auto"/>
              <w:bottom w:val="single" w:sz="4" w:space="0" w:color="auto"/>
              <w:right w:val="single" w:sz="4" w:space="0" w:color="auto"/>
            </w:tcBorders>
          </w:tcPr>
          <w:p w14:paraId="1B419541" w14:textId="77777777" w:rsidR="00302BFE" w:rsidRPr="006E490C" w:rsidRDefault="00302BFE" w:rsidP="00243B15">
            <w:pPr>
              <w:jc w:val="left"/>
              <w:rPr>
                <w:bCs/>
                <w:sz w:val="18"/>
                <w:szCs w:val="18"/>
                <w:lang w:val="fr-CA"/>
              </w:rPr>
            </w:pPr>
            <w:r w:rsidRPr="006E490C">
              <w:rPr>
                <w:bCs/>
                <w:sz w:val="18"/>
                <w:szCs w:val="18"/>
                <w:lang w:val="fr-CA"/>
              </w:rPr>
              <w:t>No decrease</w:t>
            </w:r>
          </w:p>
        </w:tc>
        <w:tc>
          <w:tcPr>
            <w:tcW w:w="4712" w:type="dxa"/>
            <w:tcBorders>
              <w:top w:val="single" w:sz="4" w:space="0" w:color="auto"/>
              <w:left w:val="single" w:sz="4" w:space="0" w:color="auto"/>
              <w:bottom w:val="single" w:sz="4" w:space="0" w:color="auto"/>
              <w:right w:val="single" w:sz="4" w:space="0" w:color="auto"/>
            </w:tcBorders>
            <w:hideMark/>
          </w:tcPr>
          <w:p w14:paraId="3E0791DD" w14:textId="77777777" w:rsidR="00302BFE" w:rsidRPr="006E490C" w:rsidRDefault="00302BFE" w:rsidP="00243B15">
            <w:pPr>
              <w:jc w:val="left"/>
              <w:rPr>
                <w:bCs/>
                <w:sz w:val="18"/>
                <w:szCs w:val="18"/>
                <w:lang w:val="en-CA"/>
              </w:rPr>
            </w:pPr>
            <w:r w:rsidRPr="006E490C">
              <w:rPr>
                <w:bCs/>
                <w:i/>
                <w:sz w:val="18"/>
                <w:szCs w:val="18"/>
                <w:lang w:val="en-CA"/>
              </w:rPr>
              <w:t>Data collection source / method</w:t>
            </w:r>
            <w:r w:rsidRPr="006E490C">
              <w:rPr>
                <w:bCs/>
                <w:sz w:val="18"/>
                <w:szCs w:val="18"/>
                <w:lang w:val="en-CA"/>
              </w:rPr>
              <w:t xml:space="preserve">: Annual estimate, during the peak of the dry season, of the density of elephant dung along permanent transects following the methodology of Hedges and Lawson (2006) presented in Hema </w:t>
            </w:r>
            <w:r w:rsidRPr="006E490C">
              <w:rPr>
                <w:bCs/>
                <w:i/>
                <w:sz w:val="18"/>
                <w:szCs w:val="18"/>
                <w:lang w:val="en-CA"/>
              </w:rPr>
              <w:t>et al</w:t>
            </w:r>
            <w:r w:rsidRPr="006E490C">
              <w:rPr>
                <w:bCs/>
                <w:sz w:val="18"/>
                <w:szCs w:val="18"/>
                <w:lang w:val="en-CA"/>
              </w:rPr>
              <w:t xml:space="preserve">. (2013) Elephants or excrements? Comparison of the power of two survey methods for elephants in West African savanna. </w:t>
            </w:r>
            <w:r w:rsidRPr="006E490C">
              <w:rPr>
                <w:bCs/>
                <w:i/>
                <w:sz w:val="18"/>
                <w:szCs w:val="18"/>
                <w:lang w:val="en-CA"/>
              </w:rPr>
              <w:t>Environment and Pollution</w:t>
            </w:r>
            <w:r w:rsidRPr="006E490C">
              <w:rPr>
                <w:bCs/>
                <w:sz w:val="18"/>
                <w:szCs w:val="18"/>
                <w:lang w:val="en-CA"/>
              </w:rPr>
              <w:t xml:space="preserve"> 2: 14-24.</w:t>
            </w:r>
          </w:p>
        </w:tc>
      </w:tr>
      <w:tr w:rsidR="00302BFE" w:rsidRPr="006E490C" w14:paraId="36780041" w14:textId="77777777" w:rsidTr="00243B15">
        <w:tc>
          <w:tcPr>
            <w:tcW w:w="2006" w:type="dxa"/>
            <w:vMerge/>
            <w:tcBorders>
              <w:left w:val="single" w:sz="4" w:space="0" w:color="auto"/>
              <w:right w:val="single" w:sz="4" w:space="0" w:color="auto"/>
            </w:tcBorders>
            <w:vAlign w:val="center"/>
            <w:hideMark/>
          </w:tcPr>
          <w:p w14:paraId="47F6FE43" w14:textId="77777777" w:rsidR="00302BFE" w:rsidRPr="006E490C" w:rsidRDefault="00302BFE" w:rsidP="00243B15">
            <w:pPr>
              <w:spacing w:after="0"/>
              <w:jc w:val="left"/>
              <w:rPr>
                <w:rFonts w:ascii="Times New Roman" w:hAnsi="Times New Roman"/>
                <w:b/>
                <w:bCs/>
                <w:i/>
                <w:sz w:val="18"/>
                <w:szCs w:val="18"/>
                <w:lang w:val="en-CA"/>
              </w:rPr>
            </w:pPr>
          </w:p>
        </w:tc>
        <w:tc>
          <w:tcPr>
            <w:tcW w:w="3016" w:type="dxa"/>
            <w:vMerge/>
            <w:tcBorders>
              <w:top w:val="single" w:sz="4" w:space="0" w:color="auto"/>
              <w:left w:val="single" w:sz="4" w:space="0" w:color="auto"/>
              <w:bottom w:val="single" w:sz="4" w:space="0" w:color="auto"/>
              <w:right w:val="single" w:sz="4" w:space="0" w:color="auto"/>
            </w:tcBorders>
            <w:vAlign w:val="center"/>
            <w:hideMark/>
          </w:tcPr>
          <w:p w14:paraId="69851D70" w14:textId="77777777" w:rsidR="00302BFE" w:rsidRPr="006E490C" w:rsidRDefault="00302BFE" w:rsidP="00243B15">
            <w:pPr>
              <w:spacing w:after="0"/>
              <w:jc w:val="left"/>
              <w:rPr>
                <w:bCs/>
                <w:i/>
                <w:sz w:val="18"/>
                <w:szCs w:val="18"/>
                <w:lang w:val="en-CA"/>
              </w:rPr>
            </w:pPr>
          </w:p>
        </w:tc>
        <w:tc>
          <w:tcPr>
            <w:tcW w:w="1552" w:type="dxa"/>
            <w:vMerge/>
            <w:tcBorders>
              <w:top w:val="single" w:sz="4" w:space="0" w:color="auto"/>
              <w:left w:val="single" w:sz="4" w:space="0" w:color="auto"/>
              <w:bottom w:val="single" w:sz="4" w:space="0" w:color="auto"/>
              <w:right w:val="single" w:sz="4" w:space="0" w:color="auto"/>
            </w:tcBorders>
            <w:vAlign w:val="center"/>
          </w:tcPr>
          <w:p w14:paraId="32C74E5F" w14:textId="77777777" w:rsidR="00302BFE" w:rsidRPr="006E490C" w:rsidRDefault="00302BFE" w:rsidP="00243B15">
            <w:pPr>
              <w:spacing w:after="0"/>
              <w:jc w:val="left"/>
              <w:rPr>
                <w:bCs/>
                <w:i/>
                <w:sz w:val="18"/>
                <w:szCs w:val="18"/>
                <w:lang w:val="en-CA"/>
              </w:rPr>
            </w:pPr>
          </w:p>
        </w:tc>
        <w:tc>
          <w:tcPr>
            <w:tcW w:w="1552" w:type="dxa"/>
            <w:vMerge/>
            <w:tcBorders>
              <w:top w:val="single" w:sz="4" w:space="0" w:color="auto"/>
              <w:left w:val="single" w:sz="4" w:space="0" w:color="auto"/>
              <w:bottom w:val="single" w:sz="4" w:space="0" w:color="auto"/>
              <w:right w:val="single" w:sz="4" w:space="0" w:color="auto"/>
            </w:tcBorders>
            <w:vAlign w:val="center"/>
          </w:tcPr>
          <w:p w14:paraId="23164F95" w14:textId="77777777" w:rsidR="00302BFE" w:rsidRPr="006E490C" w:rsidRDefault="00302BFE" w:rsidP="00243B15">
            <w:pPr>
              <w:spacing w:after="0"/>
              <w:jc w:val="left"/>
              <w:rPr>
                <w:bCs/>
                <w:i/>
                <w:sz w:val="18"/>
                <w:szCs w:val="18"/>
                <w:lang w:val="en-CA"/>
              </w:rPr>
            </w:pPr>
          </w:p>
        </w:tc>
        <w:tc>
          <w:tcPr>
            <w:tcW w:w="1552" w:type="dxa"/>
            <w:vMerge/>
            <w:tcBorders>
              <w:top w:val="single" w:sz="4" w:space="0" w:color="auto"/>
              <w:left w:val="single" w:sz="4" w:space="0" w:color="auto"/>
              <w:bottom w:val="single" w:sz="4" w:space="0" w:color="auto"/>
              <w:right w:val="single" w:sz="4" w:space="0" w:color="auto"/>
            </w:tcBorders>
            <w:vAlign w:val="center"/>
          </w:tcPr>
          <w:p w14:paraId="29F7BC08" w14:textId="77777777" w:rsidR="00302BFE" w:rsidRPr="006E490C" w:rsidRDefault="00302BFE" w:rsidP="00243B15">
            <w:pPr>
              <w:spacing w:after="0"/>
              <w:jc w:val="left"/>
              <w:rPr>
                <w:bCs/>
                <w:i/>
                <w:sz w:val="18"/>
                <w:szCs w:val="18"/>
                <w:lang w:val="en-CA"/>
              </w:rPr>
            </w:pPr>
          </w:p>
        </w:tc>
        <w:tc>
          <w:tcPr>
            <w:tcW w:w="4712" w:type="dxa"/>
            <w:tcBorders>
              <w:top w:val="single" w:sz="4" w:space="0" w:color="auto"/>
              <w:left w:val="single" w:sz="4" w:space="0" w:color="auto"/>
              <w:bottom w:val="single" w:sz="4" w:space="0" w:color="auto"/>
              <w:right w:val="single" w:sz="4" w:space="0" w:color="auto"/>
            </w:tcBorders>
          </w:tcPr>
          <w:p w14:paraId="1FF53B87" w14:textId="77777777" w:rsidR="00302BFE" w:rsidRPr="006E490C" w:rsidRDefault="00302BFE" w:rsidP="00243B15">
            <w:pPr>
              <w:jc w:val="left"/>
              <w:rPr>
                <w:sz w:val="18"/>
                <w:szCs w:val="18"/>
                <w:lang w:val="en-CA"/>
              </w:rPr>
            </w:pPr>
            <w:r w:rsidRPr="006E490C">
              <w:rPr>
                <w:i/>
                <w:sz w:val="18"/>
                <w:szCs w:val="18"/>
                <w:lang w:val="en-CA"/>
              </w:rPr>
              <w:t>Risks</w:t>
            </w:r>
            <w:r w:rsidRPr="006E490C">
              <w:rPr>
                <w:sz w:val="18"/>
                <w:szCs w:val="18"/>
                <w:lang w:val="en-CA"/>
              </w:rPr>
              <w:t>: The presence of barriers to elephant movements causes local overload of critical habitat</w:t>
            </w:r>
          </w:p>
          <w:p w14:paraId="1DF95B80" w14:textId="77777777" w:rsidR="00302BFE" w:rsidRPr="006E490C" w:rsidRDefault="00302BFE" w:rsidP="00243B15">
            <w:pPr>
              <w:jc w:val="left"/>
              <w:rPr>
                <w:sz w:val="18"/>
                <w:szCs w:val="18"/>
                <w:lang w:val="en-CA"/>
              </w:rPr>
            </w:pPr>
            <w:r w:rsidRPr="006E490C">
              <w:rPr>
                <w:sz w:val="18"/>
                <w:szCs w:val="18"/>
                <w:lang w:val="en-CA"/>
              </w:rPr>
              <w:t>The effect of climate change intensifies the seasonal water scarcity in protected areas and corridors</w:t>
            </w:r>
          </w:p>
          <w:p w14:paraId="0237EC7C" w14:textId="77777777" w:rsidR="00302BFE" w:rsidRPr="006E490C" w:rsidRDefault="00302BFE" w:rsidP="00243B15">
            <w:pPr>
              <w:jc w:val="left"/>
              <w:rPr>
                <w:bCs/>
                <w:sz w:val="18"/>
                <w:szCs w:val="18"/>
                <w:lang w:val="en-CA"/>
              </w:rPr>
            </w:pPr>
            <w:r w:rsidRPr="006E490C">
              <w:rPr>
                <w:bCs/>
                <w:i/>
                <w:sz w:val="18"/>
                <w:szCs w:val="18"/>
                <w:lang w:val="en-CA"/>
              </w:rPr>
              <w:t xml:space="preserve">Assumption: </w:t>
            </w:r>
            <w:r w:rsidRPr="006E490C">
              <w:rPr>
                <w:bCs/>
                <w:sz w:val="18"/>
                <w:szCs w:val="18"/>
                <w:lang w:val="en-CA"/>
              </w:rPr>
              <w:t xml:space="preserve">Ongoing efforts by the Government and its partners have significantly reduced the encroachment of </w:t>
            </w:r>
            <w:r w:rsidRPr="006E490C">
              <w:rPr>
                <w:bCs/>
                <w:sz w:val="18"/>
                <w:szCs w:val="18"/>
                <w:lang w:val="en-CA"/>
              </w:rPr>
              <w:lastRenderedPageBreak/>
              <w:t>Corridor # 1 by agricultural and pastoral activities and thus ensure security for elephant movement.</w:t>
            </w:r>
          </w:p>
        </w:tc>
      </w:tr>
      <w:tr w:rsidR="00302BFE" w:rsidRPr="006E490C" w14:paraId="1E65879D" w14:textId="77777777" w:rsidTr="00243B15">
        <w:tc>
          <w:tcPr>
            <w:tcW w:w="2006" w:type="dxa"/>
            <w:vMerge/>
            <w:tcBorders>
              <w:left w:val="single" w:sz="4" w:space="0" w:color="auto"/>
              <w:right w:val="single" w:sz="4" w:space="0" w:color="auto"/>
            </w:tcBorders>
            <w:vAlign w:val="center"/>
          </w:tcPr>
          <w:p w14:paraId="34AE81BA" w14:textId="77777777" w:rsidR="00302BFE" w:rsidRPr="006E490C" w:rsidRDefault="00302BFE" w:rsidP="00243B15">
            <w:pPr>
              <w:spacing w:after="0"/>
              <w:jc w:val="left"/>
              <w:rPr>
                <w:rFonts w:ascii="Times New Roman" w:hAnsi="Times New Roman"/>
                <w:b/>
                <w:bCs/>
                <w:i/>
                <w:sz w:val="18"/>
                <w:szCs w:val="18"/>
                <w:lang w:val="en-CA"/>
              </w:rPr>
            </w:pPr>
          </w:p>
        </w:tc>
        <w:tc>
          <w:tcPr>
            <w:tcW w:w="3016" w:type="dxa"/>
            <w:vMerge w:val="restart"/>
            <w:tcBorders>
              <w:top w:val="single" w:sz="4" w:space="0" w:color="auto"/>
              <w:left w:val="single" w:sz="4" w:space="0" w:color="auto"/>
              <w:right w:val="single" w:sz="4" w:space="0" w:color="auto"/>
            </w:tcBorders>
          </w:tcPr>
          <w:p w14:paraId="25B38B52" w14:textId="77777777" w:rsidR="00302BFE" w:rsidRPr="006E490C" w:rsidRDefault="00302BFE" w:rsidP="00243B15">
            <w:pPr>
              <w:spacing w:after="0"/>
              <w:jc w:val="left"/>
              <w:rPr>
                <w:sz w:val="18"/>
                <w:szCs w:val="18"/>
                <w:u w:val="single"/>
                <w:lang w:val="en-CA"/>
              </w:rPr>
            </w:pPr>
            <w:r w:rsidRPr="006E490C">
              <w:rPr>
                <w:i/>
                <w:sz w:val="18"/>
                <w:szCs w:val="18"/>
                <w:u w:val="single"/>
                <w:lang w:val="en-CA"/>
              </w:rPr>
              <w:t>Indicator 4</w:t>
            </w:r>
            <w:r w:rsidRPr="006E490C">
              <w:rPr>
                <w:sz w:val="18"/>
                <w:szCs w:val="18"/>
                <w:u w:val="single"/>
                <w:lang w:val="en-CA"/>
              </w:rPr>
              <w:t>:</w:t>
            </w:r>
          </w:p>
          <w:p w14:paraId="73F49EF4" w14:textId="77777777" w:rsidR="00302BFE" w:rsidRPr="006E490C" w:rsidRDefault="00302BFE" w:rsidP="00243B15">
            <w:pPr>
              <w:spacing w:after="0"/>
              <w:jc w:val="left"/>
              <w:rPr>
                <w:sz w:val="18"/>
                <w:szCs w:val="18"/>
                <w:lang w:val="en-CA"/>
              </w:rPr>
            </w:pPr>
            <w:r w:rsidRPr="006E490C">
              <w:rPr>
                <w:sz w:val="18"/>
                <w:szCs w:val="18"/>
                <w:lang w:val="en-CA"/>
              </w:rPr>
              <w:t>GHG emissions avoided by an integrated landscape management by reducing the rate of deforestation in forest landscapes and restoring natural habitats</w:t>
            </w:r>
          </w:p>
          <w:p w14:paraId="0A82F280" w14:textId="77777777" w:rsidR="00302BFE" w:rsidRPr="006E490C" w:rsidRDefault="00302BFE" w:rsidP="00243B15">
            <w:pPr>
              <w:spacing w:after="0"/>
              <w:jc w:val="left"/>
              <w:rPr>
                <w:b/>
                <w:bCs/>
                <w:sz w:val="18"/>
                <w:szCs w:val="18"/>
                <w:lang w:val="en-CA"/>
              </w:rPr>
            </w:pPr>
            <w:r w:rsidRPr="006E490C">
              <w:rPr>
                <w:b/>
                <w:bCs/>
                <w:sz w:val="18"/>
                <w:szCs w:val="18"/>
                <w:lang w:val="en-CA"/>
              </w:rPr>
              <w:t>(GEF-7 Core indicator 6 – Greenhouse gas emissions mitigated (metric tons of carbon dioxide equivalent)</w:t>
            </w:r>
          </w:p>
        </w:tc>
        <w:tc>
          <w:tcPr>
            <w:tcW w:w="1552" w:type="dxa"/>
            <w:vMerge w:val="restart"/>
            <w:tcBorders>
              <w:top w:val="single" w:sz="4" w:space="0" w:color="auto"/>
              <w:left w:val="single" w:sz="4" w:space="0" w:color="auto"/>
              <w:right w:val="single" w:sz="4" w:space="0" w:color="auto"/>
            </w:tcBorders>
          </w:tcPr>
          <w:p w14:paraId="5C9DD5B7" w14:textId="77777777" w:rsidR="00302BFE" w:rsidRPr="006E490C" w:rsidRDefault="00302BFE" w:rsidP="00243B15">
            <w:pPr>
              <w:spacing w:after="0"/>
              <w:jc w:val="left"/>
              <w:rPr>
                <w:bCs/>
                <w:i/>
                <w:sz w:val="18"/>
                <w:szCs w:val="18"/>
                <w:lang w:val="en-CA"/>
              </w:rPr>
            </w:pPr>
            <w:r w:rsidRPr="006E490C">
              <w:rPr>
                <w:bCs/>
                <w:sz w:val="18"/>
                <w:szCs w:val="18"/>
              </w:rPr>
              <w:t>0 (the project has not started yet)</w:t>
            </w:r>
          </w:p>
        </w:tc>
        <w:tc>
          <w:tcPr>
            <w:tcW w:w="1552" w:type="dxa"/>
            <w:vMerge w:val="restart"/>
            <w:tcBorders>
              <w:top w:val="single" w:sz="4" w:space="0" w:color="auto"/>
              <w:left w:val="single" w:sz="4" w:space="0" w:color="auto"/>
              <w:right w:val="single" w:sz="4" w:space="0" w:color="auto"/>
            </w:tcBorders>
          </w:tcPr>
          <w:p w14:paraId="2E1CB6AE" w14:textId="77777777" w:rsidR="00302BFE" w:rsidRPr="00D61C93" w:rsidRDefault="00302BFE" w:rsidP="00243B15">
            <w:pPr>
              <w:spacing w:after="0"/>
              <w:jc w:val="left"/>
              <w:rPr>
                <w:bCs/>
                <w:i/>
                <w:sz w:val="18"/>
                <w:szCs w:val="18"/>
                <w:lang w:val="fr-CA"/>
              </w:rPr>
            </w:pPr>
            <w:r w:rsidRPr="00D61C93">
              <w:rPr>
                <w:bCs/>
                <w:i/>
                <w:sz w:val="18"/>
                <w:szCs w:val="18"/>
                <w:lang w:val="fr-CA"/>
              </w:rPr>
              <w:t>---</w:t>
            </w:r>
          </w:p>
        </w:tc>
        <w:tc>
          <w:tcPr>
            <w:tcW w:w="1552" w:type="dxa"/>
            <w:vMerge w:val="restart"/>
            <w:tcBorders>
              <w:top w:val="single" w:sz="4" w:space="0" w:color="auto"/>
              <w:left w:val="single" w:sz="4" w:space="0" w:color="auto"/>
              <w:right w:val="single" w:sz="4" w:space="0" w:color="auto"/>
            </w:tcBorders>
          </w:tcPr>
          <w:p w14:paraId="1E990BF4" w14:textId="77777777" w:rsidR="00302BFE" w:rsidRPr="00D61C93" w:rsidRDefault="00CD025C" w:rsidP="00243B15">
            <w:pPr>
              <w:spacing w:after="0"/>
              <w:jc w:val="left"/>
              <w:rPr>
                <w:bCs/>
                <w:sz w:val="18"/>
                <w:szCs w:val="18"/>
                <w:lang w:val="en-CA"/>
              </w:rPr>
            </w:pPr>
            <w:r w:rsidRPr="00D61C93">
              <w:rPr>
                <w:bCs/>
                <w:sz w:val="18"/>
                <w:szCs w:val="18"/>
                <w:lang w:val="en-CA"/>
              </w:rPr>
              <w:t>5</w:t>
            </w:r>
            <w:r w:rsidR="00302BFE" w:rsidRPr="00D61C93">
              <w:rPr>
                <w:bCs/>
                <w:sz w:val="18"/>
                <w:szCs w:val="18"/>
                <w:lang w:val="en-CA"/>
              </w:rPr>
              <w:t>,</w:t>
            </w:r>
            <w:r w:rsidRPr="00D61C93">
              <w:rPr>
                <w:bCs/>
                <w:sz w:val="18"/>
                <w:szCs w:val="18"/>
                <w:lang w:val="en-CA"/>
              </w:rPr>
              <w:t>44</w:t>
            </w:r>
            <w:r w:rsidR="00DD5172" w:rsidRPr="00D61C93">
              <w:rPr>
                <w:bCs/>
                <w:sz w:val="18"/>
                <w:szCs w:val="18"/>
                <w:lang w:val="en-CA"/>
              </w:rPr>
              <w:t>8</w:t>
            </w:r>
            <w:r w:rsidR="00302BFE" w:rsidRPr="00D61C93">
              <w:rPr>
                <w:bCs/>
                <w:sz w:val="18"/>
                <w:szCs w:val="18"/>
                <w:lang w:val="en-CA"/>
              </w:rPr>
              <w:t>,</w:t>
            </w:r>
            <w:r w:rsidRPr="00D61C93">
              <w:rPr>
                <w:bCs/>
                <w:sz w:val="18"/>
                <w:szCs w:val="18"/>
                <w:lang w:val="en-CA"/>
              </w:rPr>
              <w:t>9</w:t>
            </w:r>
            <w:r w:rsidR="00DD5172" w:rsidRPr="00D61C93">
              <w:rPr>
                <w:bCs/>
                <w:sz w:val="18"/>
                <w:szCs w:val="18"/>
                <w:lang w:val="en-CA"/>
              </w:rPr>
              <w:t>24</w:t>
            </w:r>
            <w:r w:rsidR="00302BFE" w:rsidRPr="00D61C93">
              <w:rPr>
                <w:bCs/>
                <w:sz w:val="18"/>
                <w:szCs w:val="18"/>
                <w:lang w:val="en-CA"/>
              </w:rPr>
              <w:t xml:space="preserve"> tCO</w:t>
            </w:r>
            <w:r w:rsidR="00302BFE" w:rsidRPr="00D61C93">
              <w:rPr>
                <w:bCs/>
                <w:sz w:val="18"/>
                <w:szCs w:val="18"/>
                <w:vertAlign w:val="subscript"/>
                <w:lang w:val="en-CA"/>
              </w:rPr>
              <w:t>2</w:t>
            </w:r>
            <w:r w:rsidR="00302BFE" w:rsidRPr="00D61C93">
              <w:rPr>
                <w:bCs/>
                <w:sz w:val="18"/>
                <w:szCs w:val="18"/>
                <w:lang w:val="en-CA"/>
              </w:rPr>
              <w:t xml:space="preserve">eq of GHG corresponding to a </w:t>
            </w:r>
            <w:r w:rsidRPr="00D61C93">
              <w:rPr>
                <w:bCs/>
                <w:sz w:val="18"/>
                <w:szCs w:val="18"/>
                <w:lang w:val="en-CA"/>
              </w:rPr>
              <w:t xml:space="preserve">50% </w:t>
            </w:r>
            <w:r w:rsidR="00302BFE" w:rsidRPr="00D61C93">
              <w:rPr>
                <w:bCs/>
                <w:sz w:val="18"/>
                <w:szCs w:val="18"/>
                <w:lang w:val="en-CA"/>
              </w:rPr>
              <w:t xml:space="preserve">reduction in deforestation rate over </w:t>
            </w:r>
            <w:r w:rsidRPr="00D61C93">
              <w:rPr>
                <w:bCs/>
                <w:sz w:val="18"/>
                <w:szCs w:val="18"/>
                <w:lang w:val="en-CA"/>
              </w:rPr>
              <w:t>394</w:t>
            </w:r>
            <w:r w:rsidR="00302BFE" w:rsidRPr="00D61C93">
              <w:rPr>
                <w:bCs/>
                <w:sz w:val="18"/>
                <w:szCs w:val="18"/>
                <w:lang w:val="en-CA"/>
              </w:rPr>
              <w:t>,5</w:t>
            </w:r>
            <w:r w:rsidRPr="00D61C93">
              <w:rPr>
                <w:bCs/>
                <w:sz w:val="18"/>
                <w:szCs w:val="18"/>
                <w:lang w:val="en-CA"/>
              </w:rPr>
              <w:t>64</w:t>
            </w:r>
            <w:r w:rsidR="00302BFE" w:rsidRPr="00D61C93">
              <w:rPr>
                <w:bCs/>
                <w:sz w:val="18"/>
                <w:szCs w:val="18"/>
                <w:lang w:val="en-CA"/>
              </w:rPr>
              <w:t xml:space="preserve"> ha (protected areas and forest landscapes) and restoration of 11,000 ha of agroforestry ecosystems</w:t>
            </w:r>
          </w:p>
        </w:tc>
        <w:tc>
          <w:tcPr>
            <w:tcW w:w="4712" w:type="dxa"/>
            <w:tcBorders>
              <w:top w:val="single" w:sz="4" w:space="0" w:color="auto"/>
              <w:left w:val="single" w:sz="4" w:space="0" w:color="auto"/>
              <w:bottom w:val="single" w:sz="4" w:space="0" w:color="auto"/>
              <w:right w:val="single" w:sz="4" w:space="0" w:color="auto"/>
            </w:tcBorders>
          </w:tcPr>
          <w:p w14:paraId="706C41D7" w14:textId="77777777" w:rsidR="00302BFE" w:rsidRPr="00D61C93" w:rsidRDefault="00302BFE" w:rsidP="00243B15">
            <w:pPr>
              <w:jc w:val="left"/>
              <w:rPr>
                <w:bCs/>
                <w:i/>
                <w:sz w:val="18"/>
                <w:szCs w:val="18"/>
                <w:lang w:val="en-CA"/>
              </w:rPr>
            </w:pPr>
            <w:r w:rsidRPr="00D61C93">
              <w:rPr>
                <w:bCs/>
                <w:i/>
                <w:sz w:val="18"/>
                <w:szCs w:val="18"/>
                <w:lang w:val="en-CA"/>
              </w:rPr>
              <w:t>Data collection source / method</w:t>
            </w:r>
          </w:p>
          <w:p w14:paraId="0426C9C6" w14:textId="77777777" w:rsidR="00302BFE" w:rsidRPr="00D61C93" w:rsidRDefault="00302BFE" w:rsidP="00243B15">
            <w:pPr>
              <w:jc w:val="left"/>
              <w:rPr>
                <w:sz w:val="18"/>
                <w:szCs w:val="18"/>
                <w:lang w:val="en-CA"/>
              </w:rPr>
            </w:pPr>
            <w:r w:rsidRPr="00D61C93">
              <w:rPr>
                <w:sz w:val="18"/>
                <w:szCs w:val="18"/>
                <w:lang w:val="en-CA"/>
              </w:rPr>
              <w:t>Updated FAO Ex-Ante Carbon Balance Tool (EX-ACT) on the basis of area of habitat restored and area where deforestation is reduced.</w:t>
            </w:r>
          </w:p>
          <w:p w14:paraId="5F175D5C" w14:textId="77777777" w:rsidR="001274DA" w:rsidRPr="00D61C93" w:rsidRDefault="00302BFE" w:rsidP="00243B15">
            <w:pPr>
              <w:jc w:val="left"/>
              <w:rPr>
                <w:sz w:val="16"/>
                <w:szCs w:val="16"/>
                <w:lang w:val="en-GB"/>
              </w:rPr>
            </w:pPr>
            <w:r w:rsidRPr="00D61C93">
              <w:rPr>
                <w:sz w:val="16"/>
                <w:szCs w:val="16"/>
                <w:lang w:val="en-GB"/>
              </w:rPr>
              <w:t xml:space="preserve">The carbon sequestration estimates have been computed using the Ex-Ante Carbon-Balance Tool (EX-ACT) Tier Standard Edition, developed by FAO. The forest-type selected for the calculations is Tropical Dry Forest, building on a baseline of degraded land in a Dry Tropical climate. The soil-type generally consists of fertile Low Activity Clay loams derived from a basaltic substrate, albeit highly degraded through prior deforestation activity and subsequent over-grazing/agriculture. The </w:t>
            </w:r>
            <w:r w:rsidR="00CD025C" w:rsidRPr="00D61C93">
              <w:rPr>
                <w:sz w:val="16"/>
                <w:szCs w:val="16"/>
                <w:lang w:val="en-GB"/>
              </w:rPr>
              <w:t xml:space="preserve">annual </w:t>
            </w:r>
            <w:r w:rsidRPr="00D61C93">
              <w:rPr>
                <w:sz w:val="16"/>
                <w:szCs w:val="16"/>
                <w:lang w:val="en-GB"/>
              </w:rPr>
              <w:t xml:space="preserve">deforestation rate used is </w:t>
            </w:r>
            <w:r w:rsidR="00CD025C" w:rsidRPr="00D61C93">
              <w:rPr>
                <w:sz w:val="16"/>
                <w:szCs w:val="16"/>
                <w:lang w:val="en-GB"/>
              </w:rPr>
              <w:t>1</w:t>
            </w:r>
            <w:r w:rsidRPr="00D61C93">
              <w:rPr>
                <w:sz w:val="16"/>
                <w:szCs w:val="16"/>
                <w:lang w:val="en-GB"/>
              </w:rPr>
              <w:t xml:space="preserve">%. The project involves a </w:t>
            </w:r>
            <w:r w:rsidR="00CD025C" w:rsidRPr="00D61C93">
              <w:rPr>
                <w:sz w:val="16"/>
                <w:szCs w:val="16"/>
                <w:lang w:val="en-GB"/>
              </w:rPr>
              <w:t xml:space="preserve">50% </w:t>
            </w:r>
            <w:r w:rsidRPr="00D61C93">
              <w:rPr>
                <w:sz w:val="16"/>
                <w:szCs w:val="16"/>
                <w:lang w:val="en-GB"/>
              </w:rPr>
              <w:t>reduction of the deforestation rate o</w:t>
            </w:r>
            <w:r w:rsidR="00CD025C" w:rsidRPr="00D61C93">
              <w:rPr>
                <w:sz w:val="16"/>
                <w:szCs w:val="16"/>
                <w:lang w:val="en-GB"/>
              </w:rPr>
              <w:t>ver</w:t>
            </w:r>
            <w:r w:rsidRPr="00D61C93">
              <w:rPr>
                <w:sz w:val="16"/>
                <w:szCs w:val="16"/>
                <w:lang w:val="en-GB"/>
              </w:rPr>
              <w:t xml:space="preserve"> </w:t>
            </w:r>
            <w:r w:rsidR="00CD025C" w:rsidRPr="00D61C93">
              <w:rPr>
                <w:sz w:val="16"/>
                <w:szCs w:val="16"/>
                <w:lang w:val="en-GB"/>
              </w:rPr>
              <w:t>394,564</w:t>
            </w:r>
            <w:r w:rsidRPr="00D61C93">
              <w:rPr>
                <w:sz w:val="16"/>
                <w:szCs w:val="16"/>
                <w:lang w:val="en-GB"/>
              </w:rPr>
              <w:t xml:space="preserve"> ha and the restoration of 11,000 ha of agroforestry ecosystems using indigenous species. </w:t>
            </w:r>
            <w:r w:rsidR="001274DA" w:rsidRPr="00D61C93">
              <w:rPr>
                <w:sz w:val="16"/>
                <w:szCs w:val="16"/>
                <w:lang w:val="en-GB"/>
              </w:rPr>
              <w:t xml:space="preserve">Conservatively, instead of the entire 952,000 ha of the PONASI landscape, 394,564 ha were used in the calculation, which corresponds to 354,781 ha of State and community protected areas, including corridors, and 39,783 ha of forests (38,891 ha of large forests, 127 ha commune forests and 765 ha village forests) where improved management effectiveness will reduce deforestation. </w:t>
            </w:r>
            <w:r w:rsidRPr="00D61C93">
              <w:rPr>
                <w:sz w:val="16"/>
                <w:szCs w:val="16"/>
                <w:lang w:val="en-GB"/>
              </w:rPr>
              <w:t xml:space="preserve">Over a period of </w:t>
            </w:r>
            <w:r w:rsidR="00CD025C" w:rsidRPr="00D61C93">
              <w:rPr>
                <w:sz w:val="16"/>
                <w:szCs w:val="16"/>
                <w:lang w:val="en-GB"/>
              </w:rPr>
              <w:t>2</w:t>
            </w:r>
            <w:r w:rsidRPr="00D61C93">
              <w:rPr>
                <w:sz w:val="16"/>
                <w:szCs w:val="16"/>
                <w:lang w:val="en-GB"/>
              </w:rPr>
              <w:t xml:space="preserve">0 years, approximately </w:t>
            </w:r>
            <w:r w:rsidR="00CD025C" w:rsidRPr="00D61C93">
              <w:rPr>
                <w:sz w:val="16"/>
                <w:szCs w:val="16"/>
                <w:lang w:val="en-GB"/>
              </w:rPr>
              <w:t>5</w:t>
            </w:r>
            <w:r w:rsidRPr="00D61C93">
              <w:rPr>
                <w:sz w:val="16"/>
                <w:szCs w:val="16"/>
                <w:lang w:val="en-GB"/>
              </w:rPr>
              <w:t>.</w:t>
            </w:r>
            <w:r w:rsidR="00CD025C" w:rsidRPr="00D61C93">
              <w:rPr>
                <w:sz w:val="16"/>
                <w:szCs w:val="16"/>
                <w:lang w:val="en-GB"/>
              </w:rPr>
              <w:t>4</w:t>
            </w:r>
            <w:r w:rsidRPr="00D61C93">
              <w:rPr>
                <w:sz w:val="16"/>
                <w:szCs w:val="16"/>
                <w:lang w:val="en-GB"/>
              </w:rPr>
              <w:t xml:space="preserve"> million tCO</w:t>
            </w:r>
            <w:r w:rsidRPr="00D61C93">
              <w:rPr>
                <w:sz w:val="16"/>
                <w:szCs w:val="16"/>
                <w:vertAlign w:val="subscript"/>
                <w:lang w:val="en-GB"/>
              </w:rPr>
              <w:t>2</w:t>
            </w:r>
            <w:r w:rsidR="001274DA" w:rsidRPr="00D61C93">
              <w:rPr>
                <w:sz w:val="16"/>
                <w:szCs w:val="16"/>
                <w:vertAlign w:val="subscript"/>
                <w:lang w:val="en-GB"/>
              </w:rPr>
              <w:t>eq</w:t>
            </w:r>
            <w:r w:rsidRPr="00D61C93">
              <w:rPr>
                <w:sz w:val="16"/>
                <w:szCs w:val="16"/>
                <w:lang w:val="en-GB"/>
              </w:rPr>
              <w:t xml:space="preserve"> will be sequestered through the project’s intervention. FAO EXACT result sheet is attached in Annex </w:t>
            </w:r>
            <w:r w:rsidR="005453A0" w:rsidRPr="00D61C93">
              <w:rPr>
                <w:sz w:val="16"/>
                <w:szCs w:val="16"/>
                <w:lang w:val="en-GB"/>
              </w:rPr>
              <w:t>O</w:t>
            </w:r>
            <w:r w:rsidRPr="00D61C93">
              <w:rPr>
                <w:sz w:val="16"/>
                <w:szCs w:val="16"/>
                <w:lang w:val="en-GB"/>
              </w:rPr>
              <w:t>.</w:t>
            </w:r>
          </w:p>
        </w:tc>
      </w:tr>
      <w:tr w:rsidR="00302BFE" w:rsidRPr="006E490C" w14:paraId="1BEB06C5" w14:textId="77777777" w:rsidTr="00243B15">
        <w:tc>
          <w:tcPr>
            <w:tcW w:w="2006" w:type="dxa"/>
            <w:vMerge/>
            <w:tcBorders>
              <w:left w:val="single" w:sz="4" w:space="0" w:color="auto"/>
              <w:right w:val="single" w:sz="4" w:space="0" w:color="auto"/>
            </w:tcBorders>
            <w:vAlign w:val="center"/>
          </w:tcPr>
          <w:p w14:paraId="381048CF" w14:textId="77777777" w:rsidR="00302BFE" w:rsidRPr="006E490C" w:rsidRDefault="00302BFE" w:rsidP="00243B15">
            <w:pPr>
              <w:spacing w:after="0"/>
              <w:jc w:val="left"/>
              <w:rPr>
                <w:rFonts w:ascii="Times New Roman" w:hAnsi="Times New Roman"/>
                <w:b/>
                <w:bCs/>
                <w:i/>
                <w:sz w:val="18"/>
                <w:szCs w:val="18"/>
                <w:lang w:val="en-CA"/>
              </w:rPr>
            </w:pPr>
          </w:p>
        </w:tc>
        <w:tc>
          <w:tcPr>
            <w:tcW w:w="3016" w:type="dxa"/>
            <w:vMerge/>
            <w:tcBorders>
              <w:left w:val="single" w:sz="4" w:space="0" w:color="auto"/>
              <w:bottom w:val="single" w:sz="4" w:space="0" w:color="auto"/>
              <w:right w:val="single" w:sz="4" w:space="0" w:color="auto"/>
            </w:tcBorders>
            <w:vAlign w:val="center"/>
          </w:tcPr>
          <w:p w14:paraId="63C5FE92" w14:textId="77777777" w:rsidR="00302BFE" w:rsidRPr="006E490C" w:rsidRDefault="00302BFE" w:rsidP="00243B15">
            <w:pPr>
              <w:spacing w:after="0"/>
              <w:jc w:val="left"/>
              <w:rPr>
                <w:bCs/>
                <w:i/>
                <w:sz w:val="18"/>
                <w:szCs w:val="18"/>
                <w:lang w:val="en-CA"/>
              </w:rPr>
            </w:pPr>
          </w:p>
        </w:tc>
        <w:tc>
          <w:tcPr>
            <w:tcW w:w="1552" w:type="dxa"/>
            <w:vMerge/>
            <w:tcBorders>
              <w:left w:val="single" w:sz="4" w:space="0" w:color="auto"/>
              <w:bottom w:val="single" w:sz="4" w:space="0" w:color="auto"/>
              <w:right w:val="single" w:sz="4" w:space="0" w:color="auto"/>
            </w:tcBorders>
            <w:vAlign w:val="center"/>
          </w:tcPr>
          <w:p w14:paraId="3DC40AEB" w14:textId="77777777" w:rsidR="00302BFE" w:rsidRPr="006E490C" w:rsidRDefault="00302BFE" w:rsidP="00243B15">
            <w:pPr>
              <w:spacing w:after="0"/>
              <w:jc w:val="left"/>
              <w:rPr>
                <w:bCs/>
                <w:i/>
                <w:sz w:val="18"/>
                <w:szCs w:val="18"/>
                <w:lang w:val="en-CA"/>
              </w:rPr>
            </w:pPr>
          </w:p>
        </w:tc>
        <w:tc>
          <w:tcPr>
            <w:tcW w:w="1552" w:type="dxa"/>
            <w:vMerge/>
            <w:tcBorders>
              <w:left w:val="single" w:sz="4" w:space="0" w:color="auto"/>
              <w:bottom w:val="single" w:sz="4" w:space="0" w:color="auto"/>
              <w:right w:val="single" w:sz="4" w:space="0" w:color="auto"/>
            </w:tcBorders>
            <w:vAlign w:val="center"/>
          </w:tcPr>
          <w:p w14:paraId="24E3B815" w14:textId="77777777" w:rsidR="00302BFE" w:rsidRPr="006E490C" w:rsidRDefault="00302BFE" w:rsidP="00243B15">
            <w:pPr>
              <w:spacing w:after="0"/>
              <w:jc w:val="left"/>
              <w:rPr>
                <w:bCs/>
                <w:i/>
                <w:sz w:val="18"/>
                <w:szCs w:val="18"/>
                <w:lang w:val="en-CA"/>
              </w:rPr>
            </w:pPr>
          </w:p>
        </w:tc>
        <w:tc>
          <w:tcPr>
            <w:tcW w:w="1552" w:type="dxa"/>
            <w:vMerge/>
            <w:tcBorders>
              <w:left w:val="single" w:sz="4" w:space="0" w:color="auto"/>
              <w:bottom w:val="single" w:sz="4" w:space="0" w:color="auto"/>
              <w:right w:val="single" w:sz="4" w:space="0" w:color="auto"/>
            </w:tcBorders>
            <w:vAlign w:val="center"/>
          </w:tcPr>
          <w:p w14:paraId="4F19C7E2" w14:textId="77777777" w:rsidR="00302BFE" w:rsidRPr="006E490C" w:rsidRDefault="00302BFE" w:rsidP="00243B15">
            <w:pPr>
              <w:spacing w:after="0"/>
              <w:jc w:val="left"/>
              <w:rPr>
                <w:bCs/>
                <w:i/>
                <w:sz w:val="18"/>
                <w:szCs w:val="18"/>
                <w:lang w:val="en-CA"/>
              </w:rPr>
            </w:pPr>
          </w:p>
        </w:tc>
        <w:tc>
          <w:tcPr>
            <w:tcW w:w="4712" w:type="dxa"/>
            <w:tcBorders>
              <w:top w:val="single" w:sz="4" w:space="0" w:color="auto"/>
              <w:left w:val="single" w:sz="4" w:space="0" w:color="auto"/>
              <w:right w:val="single" w:sz="4" w:space="0" w:color="auto"/>
            </w:tcBorders>
          </w:tcPr>
          <w:p w14:paraId="2B16032B" w14:textId="77777777" w:rsidR="00302BFE" w:rsidRPr="006E490C" w:rsidRDefault="00302BFE" w:rsidP="00243B15">
            <w:pPr>
              <w:jc w:val="left"/>
              <w:rPr>
                <w:sz w:val="18"/>
                <w:szCs w:val="18"/>
                <w:lang w:val="en-CA"/>
              </w:rPr>
            </w:pPr>
            <w:r w:rsidRPr="006E490C">
              <w:rPr>
                <w:i/>
                <w:sz w:val="18"/>
                <w:szCs w:val="18"/>
                <w:lang w:val="en-CA"/>
              </w:rPr>
              <w:t>Risks</w:t>
            </w:r>
            <w:r w:rsidRPr="006E490C">
              <w:rPr>
                <w:sz w:val="18"/>
                <w:szCs w:val="18"/>
                <w:lang w:val="en-CA"/>
              </w:rPr>
              <w:t>: Lack of stakeholder buy-in to the measures advocated in the landscape management master plan</w:t>
            </w:r>
          </w:p>
          <w:p w14:paraId="068448D7" w14:textId="77777777" w:rsidR="00302BFE" w:rsidRPr="006E490C" w:rsidRDefault="00302BFE" w:rsidP="00243B15">
            <w:pPr>
              <w:jc w:val="left"/>
              <w:rPr>
                <w:sz w:val="18"/>
                <w:szCs w:val="18"/>
                <w:lang w:val="en-CA"/>
              </w:rPr>
            </w:pPr>
            <w:r w:rsidRPr="006E490C">
              <w:rPr>
                <w:i/>
                <w:sz w:val="18"/>
                <w:szCs w:val="18"/>
                <w:lang w:val="en-CA"/>
              </w:rPr>
              <w:t>Assumptions</w:t>
            </w:r>
            <w:r w:rsidRPr="006E490C">
              <w:rPr>
                <w:sz w:val="18"/>
                <w:szCs w:val="18"/>
                <w:lang w:val="en-CA"/>
              </w:rPr>
              <w:t>: Environmental variability is within normal ranges</w:t>
            </w:r>
          </w:p>
        </w:tc>
      </w:tr>
      <w:tr w:rsidR="00302BFE" w:rsidRPr="006E490C" w14:paraId="67D04DE6" w14:textId="77777777" w:rsidTr="00243B15">
        <w:trPr>
          <w:trHeight w:val="719"/>
        </w:trPr>
        <w:tc>
          <w:tcPr>
            <w:tcW w:w="2006" w:type="dxa"/>
            <w:vMerge w:val="restart"/>
            <w:tcBorders>
              <w:top w:val="single" w:sz="4" w:space="0" w:color="auto"/>
              <w:left w:val="single" w:sz="4" w:space="0" w:color="auto"/>
              <w:bottom w:val="single" w:sz="4" w:space="0" w:color="auto"/>
              <w:right w:val="single" w:sz="4" w:space="0" w:color="auto"/>
            </w:tcBorders>
            <w:shd w:val="pct12" w:color="auto" w:fill="auto"/>
          </w:tcPr>
          <w:p w14:paraId="226F82EB" w14:textId="77777777" w:rsidR="00302BFE" w:rsidRPr="006E490C" w:rsidRDefault="00302BFE" w:rsidP="00243B15">
            <w:pPr>
              <w:jc w:val="left"/>
              <w:rPr>
                <w:b/>
                <w:bCs/>
                <w:sz w:val="18"/>
                <w:szCs w:val="18"/>
                <w:lang w:val="en-CA"/>
              </w:rPr>
            </w:pPr>
            <w:r w:rsidRPr="006E490C">
              <w:rPr>
                <w:b/>
                <w:bCs/>
                <w:sz w:val="18"/>
                <w:szCs w:val="18"/>
                <w:lang w:val="en-CA"/>
              </w:rPr>
              <w:t>Component/ Outcome 1</w:t>
            </w:r>
          </w:p>
          <w:p w14:paraId="2AFE328F" w14:textId="77777777" w:rsidR="00302BFE" w:rsidRPr="006E490C" w:rsidRDefault="00302BFE" w:rsidP="00243B15">
            <w:pPr>
              <w:jc w:val="left"/>
              <w:rPr>
                <w:szCs w:val="20"/>
                <w:lang w:val="en-CA"/>
              </w:rPr>
            </w:pPr>
            <w:r w:rsidRPr="006E490C">
              <w:rPr>
                <w:szCs w:val="20"/>
                <w:lang w:val="en-CA"/>
              </w:rPr>
              <w:t>Framework for Integrated Landscape Management of PONASI with sustainable financing for its operation</w:t>
            </w:r>
          </w:p>
          <w:p w14:paraId="74E672D6" w14:textId="77777777" w:rsidR="00302BFE" w:rsidRPr="006E490C" w:rsidRDefault="00302BFE" w:rsidP="00243B15">
            <w:pPr>
              <w:jc w:val="left"/>
              <w:rPr>
                <w:szCs w:val="20"/>
                <w:lang w:val="en-CA"/>
              </w:rPr>
            </w:pPr>
            <w:r w:rsidRPr="006E490C">
              <w:rPr>
                <w:szCs w:val="20"/>
                <w:lang w:val="en-CA"/>
              </w:rPr>
              <w:t xml:space="preserve">1.1 Updated, strengthened and operationalized PONASI landscape co-governance framework to ensure concerted, integrated and equitable management of land and resource use within the 952,000 </w:t>
            </w:r>
            <w:r w:rsidRPr="006E490C">
              <w:rPr>
                <w:szCs w:val="20"/>
                <w:lang w:val="en-CA"/>
              </w:rPr>
              <w:lastRenderedPageBreak/>
              <w:t>ha landscape and to maximize environmental and socio-economic benefits.</w:t>
            </w:r>
          </w:p>
        </w:tc>
        <w:tc>
          <w:tcPr>
            <w:tcW w:w="3016" w:type="dxa"/>
            <w:vMerge w:val="restart"/>
            <w:tcBorders>
              <w:top w:val="single" w:sz="4" w:space="0" w:color="auto"/>
              <w:left w:val="single" w:sz="4" w:space="0" w:color="auto"/>
              <w:bottom w:val="single" w:sz="4" w:space="0" w:color="auto"/>
              <w:right w:val="single" w:sz="4" w:space="0" w:color="auto"/>
            </w:tcBorders>
          </w:tcPr>
          <w:p w14:paraId="47D0623E" w14:textId="77777777" w:rsidR="00302BFE" w:rsidRPr="006E490C" w:rsidRDefault="00302BFE" w:rsidP="00243B15">
            <w:pPr>
              <w:rPr>
                <w:bCs/>
                <w:i/>
                <w:sz w:val="18"/>
                <w:szCs w:val="18"/>
                <w:u w:val="single"/>
                <w:lang w:val="en-CA"/>
              </w:rPr>
            </w:pPr>
            <w:r w:rsidRPr="006E490C">
              <w:rPr>
                <w:bCs/>
                <w:i/>
                <w:sz w:val="18"/>
                <w:szCs w:val="18"/>
                <w:u w:val="single"/>
                <w:lang w:val="en-CA"/>
              </w:rPr>
              <w:lastRenderedPageBreak/>
              <w:t>Indicator 5:</w:t>
            </w:r>
          </w:p>
          <w:p w14:paraId="2055D0F2" w14:textId="77777777" w:rsidR="00302BFE" w:rsidRPr="006E490C" w:rsidRDefault="00302BFE" w:rsidP="00DC7D98">
            <w:pPr>
              <w:spacing w:after="0"/>
              <w:jc w:val="left"/>
              <w:rPr>
                <w:bCs/>
                <w:sz w:val="18"/>
                <w:szCs w:val="18"/>
                <w:lang w:val="en-CA"/>
              </w:rPr>
            </w:pPr>
            <w:r w:rsidRPr="006E490C">
              <w:rPr>
                <w:sz w:val="18"/>
                <w:szCs w:val="18"/>
                <w:lang w:val="en-CA"/>
              </w:rPr>
              <w:t>Area of the PONASI landscape that is effectively managed in accordance with the landscape management master plan</w:t>
            </w:r>
          </w:p>
        </w:tc>
        <w:tc>
          <w:tcPr>
            <w:tcW w:w="1552" w:type="dxa"/>
            <w:vMerge w:val="restart"/>
            <w:tcBorders>
              <w:top w:val="single" w:sz="4" w:space="0" w:color="auto"/>
              <w:left w:val="single" w:sz="4" w:space="0" w:color="auto"/>
              <w:bottom w:val="single" w:sz="4" w:space="0" w:color="auto"/>
              <w:right w:val="single" w:sz="4" w:space="0" w:color="auto"/>
            </w:tcBorders>
          </w:tcPr>
          <w:p w14:paraId="173DA763" w14:textId="77777777" w:rsidR="00302BFE" w:rsidRPr="006E490C" w:rsidRDefault="00302BFE" w:rsidP="00243B15">
            <w:pPr>
              <w:jc w:val="left"/>
              <w:rPr>
                <w:bCs/>
                <w:sz w:val="18"/>
                <w:szCs w:val="18"/>
                <w:lang w:val="en-CA"/>
              </w:rPr>
            </w:pPr>
            <w:r w:rsidRPr="006E490C">
              <w:rPr>
                <w:bCs/>
                <w:sz w:val="18"/>
                <w:szCs w:val="18"/>
              </w:rPr>
              <w:t>0 (the project has not started yet)</w:t>
            </w:r>
          </w:p>
        </w:tc>
        <w:tc>
          <w:tcPr>
            <w:tcW w:w="1552" w:type="dxa"/>
            <w:vMerge w:val="restart"/>
            <w:tcBorders>
              <w:top w:val="single" w:sz="4" w:space="0" w:color="auto"/>
              <w:left w:val="single" w:sz="4" w:space="0" w:color="auto"/>
              <w:bottom w:val="single" w:sz="4" w:space="0" w:color="auto"/>
              <w:right w:val="single" w:sz="4" w:space="0" w:color="auto"/>
            </w:tcBorders>
          </w:tcPr>
          <w:p w14:paraId="334B41C7" w14:textId="77777777" w:rsidR="00302BFE" w:rsidRPr="006E490C" w:rsidRDefault="00302BFE" w:rsidP="00243B15">
            <w:pPr>
              <w:jc w:val="left"/>
              <w:rPr>
                <w:bCs/>
                <w:sz w:val="18"/>
                <w:szCs w:val="18"/>
                <w:lang w:val="en-CA"/>
              </w:rPr>
            </w:pPr>
            <w:r w:rsidRPr="006E490C">
              <w:rPr>
                <w:bCs/>
                <w:sz w:val="18"/>
                <w:szCs w:val="18"/>
                <w:lang w:val="en-CA"/>
              </w:rPr>
              <w:t>354,781 ha corresponding to the areas of Nazinga, PNKT, Sissili, corridors # 1 and # 2 and ZOVICs</w:t>
            </w:r>
          </w:p>
        </w:tc>
        <w:tc>
          <w:tcPr>
            <w:tcW w:w="1552" w:type="dxa"/>
            <w:vMerge w:val="restart"/>
            <w:tcBorders>
              <w:top w:val="single" w:sz="4" w:space="0" w:color="auto"/>
              <w:left w:val="single" w:sz="4" w:space="0" w:color="auto"/>
              <w:bottom w:val="single" w:sz="4" w:space="0" w:color="auto"/>
              <w:right w:val="single" w:sz="4" w:space="0" w:color="auto"/>
            </w:tcBorders>
          </w:tcPr>
          <w:p w14:paraId="69274DB3" w14:textId="77777777" w:rsidR="00302BFE" w:rsidRPr="006E490C" w:rsidRDefault="00302BFE" w:rsidP="00243B15">
            <w:pPr>
              <w:jc w:val="left"/>
              <w:rPr>
                <w:bCs/>
                <w:sz w:val="18"/>
                <w:szCs w:val="18"/>
                <w:lang w:val="en-CA"/>
              </w:rPr>
            </w:pPr>
            <w:r w:rsidRPr="006E490C">
              <w:rPr>
                <w:bCs/>
                <w:sz w:val="18"/>
                <w:szCs w:val="18"/>
                <w:lang w:val="en-CA"/>
              </w:rPr>
              <w:t>952,000 ha corresponding to the total area of the PONASI landscape</w:t>
            </w:r>
          </w:p>
        </w:tc>
        <w:tc>
          <w:tcPr>
            <w:tcW w:w="4712" w:type="dxa"/>
            <w:tcBorders>
              <w:top w:val="single" w:sz="4" w:space="0" w:color="auto"/>
              <w:left w:val="single" w:sz="4" w:space="0" w:color="auto"/>
              <w:bottom w:val="single" w:sz="4" w:space="0" w:color="auto"/>
              <w:right w:val="single" w:sz="4" w:space="0" w:color="auto"/>
            </w:tcBorders>
          </w:tcPr>
          <w:p w14:paraId="23DCC723" w14:textId="77777777" w:rsidR="00302BFE" w:rsidRPr="006E490C" w:rsidRDefault="00302BFE" w:rsidP="00243B15">
            <w:pPr>
              <w:jc w:val="left"/>
              <w:rPr>
                <w:sz w:val="18"/>
                <w:szCs w:val="18"/>
                <w:lang w:val="en-CA"/>
              </w:rPr>
            </w:pPr>
            <w:r w:rsidRPr="006E490C">
              <w:rPr>
                <w:bCs/>
                <w:i/>
                <w:sz w:val="18"/>
                <w:szCs w:val="18"/>
                <w:lang w:val="en-CA"/>
              </w:rPr>
              <w:t>Data collection source / method</w:t>
            </w:r>
            <w:r w:rsidRPr="006E490C">
              <w:rPr>
                <w:bCs/>
                <w:i/>
                <w:sz w:val="18"/>
                <w:szCs w:val="18"/>
                <w:lang w:val="en-CA"/>
              </w:rPr>
              <w:br/>
            </w:r>
            <w:r w:rsidRPr="006E490C">
              <w:rPr>
                <w:sz w:val="18"/>
                <w:szCs w:val="18"/>
                <w:lang w:val="en-CA"/>
              </w:rPr>
              <w:t>National Observatory for Sustainable Development, Regional Directorates for the Environment</w:t>
            </w:r>
          </w:p>
        </w:tc>
      </w:tr>
      <w:tr w:rsidR="00302BFE" w:rsidRPr="006E490C" w14:paraId="2E736BC5" w14:textId="77777777" w:rsidTr="00243B15">
        <w:tc>
          <w:tcPr>
            <w:tcW w:w="2006" w:type="dxa"/>
            <w:vMerge/>
            <w:tcBorders>
              <w:left w:val="single" w:sz="4" w:space="0" w:color="auto"/>
              <w:right w:val="single" w:sz="4" w:space="0" w:color="auto"/>
            </w:tcBorders>
            <w:vAlign w:val="center"/>
            <w:hideMark/>
          </w:tcPr>
          <w:p w14:paraId="3D4955A2" w14:textId="77777777" w:rsidR="00302BFE" w:rsidRPr="006E490C" w:rsidRDefault="00302BFE" w:rsidP="00243B15">
            <w:pPr>
              <w:spacing w:after="0"/>
              <w:jc w:val="left"/>
              <w:rPr>
                <w:rFonts w:ascii="Times New Roman" w:hAnsi="Times New Roman"/>
                <w:bCs/>
                <w:i/>
                <w:sz w:val="18"/>
                <w:szCs w:val="18"/>
                <w:lang w:val="en-CA"/>
              </w:rPr>
            </w:pPr>
          </w:p>
        </w:tc>
        <w:tc>
          <w:tcPr>
            <w:tcW w:w="3016" w:type="dxa"/>
            <w:vMerge/>
            <w:tcBorders>
              <w:left w:val="single" w:sz="4" w:space="0" w:color="auto"/>
              <w:bottom w:val="single" w:sz="4" w:space="0" w:color="auto"/>
              <w:right w:val="single" w:sz="4" w:space="0" w:color="auto"/>
            </w:tcBorders>
            <w:vAlign w:val="center"/>
            <w:hideMark/>
          </w:tcPr>
          <w:p w14:paraId="416702F7" w14:textId="77777777" w:rsidR="00302BFE" w:rsidRPr="006E490C" w:rsidRDefault="00302BFE" w:rsidP="00243B15">
            <w:pPr>
              <w:spacing w:after="0"/>
              <w:jc w:val="left"/>
              <w:rPr>
                <w:sz w:val="18"/>
                <w:szCs w:val="18"/>
                <w:lang w:val="en-CA"/>
              </w:rPr>
            </w:pPr>
          </w:p>
        </w:tc>
        <w:tc>
          <w:tcPr>
            <w:tcW w:w="1552" w:type="dxa"/>
            <w:vMerge/>
            <w:tcBorders>
              <w:left w:val="single" w:sz="4" w:space="0" w:color="auto"/>
              <w:bottom w:val="single" w:sz="4" w:space="0" w:color="auto"/>
              <w:right w:val="single" w:sz="4" w:space="0" w:color="auto"/>
            </w:tcBorders>
            <w:vAlign w:val="center"/>
          </w:tcPr>
          <w:p w14:paraId="27E992C7" w14:textId="77777777" w:rsidR="00302BFE" w:rsidRPr="006E490C" w:rsidRDefault="00302BFE" w:rsidP="00243B15">
            <w:pPr>
              <w:spacing w:after="0"/>
              <w:jc w:val="left"/>
              <w:rPr>
                <w:bCs/>
                <w:i/>
                <w:sz w:val="18"/>
                <w:szCs w:val="18"/>
                <w:lang w:val="en-CA"/>
              </w:rPr>
            </w:pPr>
          </w:p>
        </w:tc>
        <w:tc>
          <w:tcPr>
            <w:tcW w:w="1552" w:type="dxa"/>
            <w:vMerge/>
            <w:tcBorders>
              <w:left w:val="single" w:sz="4" w:space="0" w:color="auto"/>
              <w:bottom w:val="single" w:sz="4" w:space="0" w:color="auto"/>
              <w:right w:val="single" w:sz="4" w:space="0" w:color="auto"/>
            </w:tcBorders>
            <w:vAlign w:val="center"/>
          </w:tcPr>
          <w:p w14:paraId="46B095FD" w14:textId="77777777" w:rsidR="00302BFE" w:rsidRPr="006E490C" w:rsidRDefault="00302BFE" w:rsidP="00243B15">
            <w:pPr>
              <w:spacing w:after="0"/>
              <w:jc w:val="left"/>
              <w:rPr>
                <w:bCs/>
                <w:i/>
                <w:sz w:val="18"/>
                <w:szCs w:val="18"/>
                <w:lang w:val="en-CA"/>
              </w:rPr>
            </w:pPr>
          </w:p>
        </w:tc>
        <w:tc>
          <w:tcPr>
            <w:tcW w:w="1552" w:type="dxa"/>
            <w:vMerge/>
            <w:tcBorders>
              <w:left w:val="single" w:sz="4" w:space="0" w:color="auto"/>
              <w:bottom w:val="single" w:sz="4" w:space="0" w:color="auto"/>
              <w:right w:val="single" w:sz="4" w:space="0" w:color="auto"/>
            </w:tcBorders>
            <w:vAlign w:val="center"/>
          </w:tcPr>
          <w:p w14:paraId="7F76DF80" w14:textId="77777777" w:rsidR="00302BFE" w:rsidRPr="006E490C" w:rsidRDefault="00302BFE" w:rsidP="00243B15">
            <w:pPr>
              <w:spacing w:after="0"/>
              <w:jc w:val="left"/>
              <w:rPr>
                <w:bCs/>
                <w:i/>
                <w:sz w:val="18"/>
                <w:szCs w:val="18"/>
                <w:lang w:val="en-CA"/>
              </w:rPr>
            </w:pPr>
          </w:p>
        </w:tc>
        <w:tc>
          <w:tcPr>
            <w:tcW w:w="4712" w:type="dxa"/>
            <w:tcBorders>
              <w:top w:val="single" w:sz="4" w:space="0" w:color="auto"/>
              <w:left w:val="single" w:sz="4" w:space="0" w:color="auto"/>
              <w:right w:val="single" w:sz="4" w:space="0" w:color="auto"/>
            </w:tcBorders>
          </w:tcPr>
          <w:p w14:paraId="0E69347A" w14:textId="77777777" w:rsidR="00302BFE" w:rsidRPr="006E490C" w:rsidRDefault="00302BFE" w:rsidP="00243B15">
            <w:pPr>
              <w:jc w:val="left"/>
              <w:rPr>
                <w:sz w:val="18"/>
                <w:szCs w:val="18"/>
                <w:lang w:val="en-CA"/>
              </w:rPr>
            </w:pPr>
            <w:r w:rsidRPr="006E490C">
              <w:rPr>
                <w:i/>
                <w:sz w:val="18"/>
                <w:szCs w:val="18"/>
                <w:lang w:val="en-CA"/>
              </w:rPr>
              <w:t>Risks</w:t>
            </w:r>
            <w:r w:rsidRPr="006E490C">
              <w:rPr>
                <w:sz w:val="18"/>
                <w:szCs w:val="18"/>
                <w:lang w:val="en-CA"/>
              </w:rPr>
              <w:t>: Stakeholders have different priorities than conservation and sustainable management of land and natural resources and do not adhere to the landscape management master plan</w:t>
            </w:r>
          </w:p>
          <w:p w14:paraId="750EF346" w14:textId="77777777" w:rsidR="00302BFE" w:rsidRPr="006E490C" w:rsidRDefault="00302BFE" w:rsidP="00243B15">
            <w:pPr>
              <w:jc w:val="left"/>
              <w:rPr>
                <w:sz w:val="18"/>
                <w:szCs w:val="18"/>
                <w:lang w:val="en-CA"/>
              </w:rPr>
            </w:pPr>
            <w:r w:rsidRPr="006E490C">
              <w:rPr>
                <w:sz w:val="18"/>
                <w:szCs w:val="18"/>
                <w:lang w:val="en-CA"/>
              </w:rPr>
              <w:t>Insufficient resources to implement the landscape management plan</w:t>
            </w:r>
          </w:p>
          <w:p w14:paraId="5997C528" w14:textId="77777777" w:rsidR="00302BFE" w:rsidRPr="006E490C" w:rsidRDefault="00302BFE" w:rsidP="00243B15">
            <w:pPr>
              <w:jc w:val="left"/>
              <w:rPr>
                <w:sz w:val="18"/>
                <w:szCs w:val="18"/>
                <w:lang w:val="en-CA"/>
              </w:rPr>
            </w:pPr>
            <w:r w:rsidRPr="006E490C">
              <w:rPr>
                <w:i/>
                <w:sz w:val="18"/>
                <w:szCs w:val="18"/>
                <w:lang w:val="en-CA"/>
              </w:rPr>
              <w:t>Assumptions</w:t>
            </w:r>
            <w:r w:rsidRPr="006E490C">
              <w:rPr>
                <w:sz w:val="18"/>
                <w:szCs w:val="18"/>
                <w:lang w:val="en-CA"/>
              </w:rPr>
              <w:t>: Regional and communal authorities have adequate capacities to mobilize the resources necessary to implement the landscape management plan and its prescriptions</w:t>
            </w:r>
          </w:p>
        </w:tc>
      </w:tr>
      <w:tr w:rsidR="00302BFE" w:rsidRPr="006E490C" w14:paraId="35F22C55" w14:textId="77777777" w:rsidTr="00243B15">
        <w:tc>
          <w:tcPr>
            <w:tcW w:w="2006" w:type="dxa"/>
            <w:vMerge w:val="restart"/>
            <w:tcBorders>
              <w:top w:val="single" w:sz="4" w:space="0" w:color="auto"/>
              <w:left w:val="single" w:sz="4" w:space="0" w:color="auto"/>
              <w:right w:val="single" w:sz="4" w:space="0" w:color="auto"/>
            </w:tcBorders>
            <w:shd w:val="pct12" w:color="auto" w:fill="auto"/>
          </w:tcPr>
          <w:p w14:paraId="1CFA2F0C" w14:textId="77777777" w:rsidR="00302BFE" w:rsidRPr="006E490C" w:rsidRDefault="00302BFE" w:rsidP="00243B15">
            <w:pPr>
              <w:jc w:val="left"/>
              <w:rPr>
                <w:b/>
                <w:bCs/>
                <w:sz w:val="18"/>
                <w:szCs w:val="18"/>
                <w:lang w:val="en-CA"/>
              </w:rPr>
            </w:pPr>
            <w:r w:rsidRPr="006E490C">
              <w:rPr>
                <w:b/>
                <w:bCs/>
                <w:sz w:val="18"/>
                <w:szCs w:val="18"/>
                <w:lang w:val="en-CA"/>
              </w:rPr>
              <w:t>Component/ Outcome 2</w:t>
            </w:r>
          </w:p>
          <w:p w14:paraId="44EBA7F7" w14:textId="77777777" w:rsidR="00302BFE" w:rsidRPr="006E490C" w:rsidRDefault="00302BFE" w:rsidP="00243B15">
            <w:pPr>
              <w:jc w:val="left"/>
              <w:rPr>
                <w:rFonts w:eastAsia="Calibri"/>
                <w:lang w:val="en-CA"/>
              </w:rPr>
            </w:pPr>
            <w:r w:rsidRPr="006E490C">
              <w:rPr>
                <w:rFonts w:eastAsia="Calibri"/>
                <w:lang w:val="en-CA"/>
              </w:rPr>
              <w:t>Strengthening the PONASI Protected Area System</w:t>
            </w:r>
          </w:p>
          <w:p w14:paraId="1F9788F2" w14:textId="77777777" w:rsidR="00302BFE" w:rsidRPr="006E490C" w:rsidRDefault="00302BFE" w:rsidP="00243B15">
            <w:pPr>
              <w:jc w:val="left"/>
              <w:rPr>
                <w:rFonts w:eastAsia="Calibri"/>
                <w:lang w:val="en-CA"/>
              </w:rPr>
            </w:pPr>
            <w:r w:rsidRPr="006E490C">
              <w:rPr>
                <w:rFonts w:eastAsia="Calibri"/>
                <w:lang w:val="en-CA"/>
              </w:rPr>
              <w:t>2.1 Increased institutional capacity of protected area management agencies (OFINAP and DGEF) and of the 3 relevant DREEVCCs to manage knowledge and design rules for the use and development of natural resources</w:t>
            </w:r>
          </w:p>
          <w:p w14:paraId="136D7A11" w14:textId="77777777" w:rsidR="00302BFE" w:rsidRPr="006E490C" w:rsidRDefault="00302BFE" w:rsidP="00243B15">
            <w:pPr>
              <w:jc w:val="left"/>
              <w:rPr>
                <w:rFonts w:eastAsia="Calibri"/>
                <w:lang w:val="en-CA"/>
              </w:rPr>
            </w:pPr>
            <w:r w:rsidRPr="006E490C">
              <w:rPr>
                <w:rFonts w:eastAsia="Calibri"/>
                <w:lang w:val="en-CA"/>
              </w:rPr>
              <w:t>2.2 Increased effectiveness of PA management over 354,781 ha including State protected areas, community protected areas and wildlife corridors within the PONASI complex</w:t>
            </w:r>
          </w:p>
        </w:tc>
        <w:tc>
          <w:tcPr>
            <w:tcW w:w="3016" w:type="dxa"/>
            <w:vMerge w:val="restart"/>
            <w:tcBorders>
              <w:top w:val="single" w:sz="4" w:space="0" w:color="auto"/>
              <w:left w:val="single" w:sz="4" w:space="0" w:color="auto"/>
              <w:bottom w:val="single" w:sz="4" w:space="0" w:color="auto"/>
              <w:right w:val="single" w:sz="4" w:space="0" w:color="auto"/>
            </w:tcBorders>
            <w:hideMark/>
          </w:tcPr>
          <w:p w14:paraId="69F0A2F5" w14:textId="77777777" w:rsidR="00302BFE" w:rsidRPr="006E490C" w:rsidRDefault="00302BFE" w:rsidP="00243B15">
            <w:pPr>
              <w:jc w:val="left"/>
              <w:rPr>
                <w:bCs/>
                <w:i/>
                <w:sz w:val="18"/>
                <w:szCs w:val="18"/>
                <w:u w:val="single"/>
                <w:lang w:val="en-CA"/>
              </w:rPr>
            </w:pPr>
            <w:r w:rsidRPr="006E490C">
              <w:rPr>
                <w:bCs/>
                <w:i/>
                <w:sz w:val="18"/>
                <w:szCs w:val="18"/>
                <w:u w:val="single"/>
                <w:lang w:val="en-CA"/>
              </w:rPr>
              <w:t>Indicator 6:</w:t>
            </w:r>
          </w:p>
          <w:p w14:paraId="4FA88777" w14:textId="77777777" w:rsidR="00302BFE" w:rsidRPr="006E490C" w:rsidRDefault="00302BFE" w:rsidP="00243B15">
            <w:pPr>
              <w:jc w:val="left"/>
              <w:rPr>
                <w:bCs/>
                <w:sz w:val="18"/>
                <w:szCs w:val="18"/>
                <w:lang w:val="en-CA"/>
              </w:rPr>
            </w:pPr>
            <w:r w:rsidRPr="006E490C">
              <w:rPr>
                <w:bCs/>
                <w:sz w:val="18"/>
                <w:szCs w:val="18"/>
                <w:lang w:val="en-CA"/>
              </w:rPr>
              <w:t>Change in institutional capacity of protected areas management agencies, as measured by the UNDP Capacity Development scorecard for GEF projects:</w:t>
            </w:r>
          </w:p>
          <w:p w14:paraId="0F61C0BE" w14:textId="77777777" w:rsidR="00302BFE" w:rsidRPr="006E490C" w:rsidRDefault="00302BFE" w:rsidP="00243B15">
            <w:pPr>
              <w:jc w:val="left"/>
              <w:rPr>
                <w:bCs/>
                <w:sz w:val="18"/>
                <w:szCs w:val="18"/>
                <w:lang w:val="en-CA"/>
              </w:rPr>
            </w:pPr>
            <w:r w:rsidRPr="006E490C">
              <w:rPr>
                <w:bCs/>
                <w:sz w:val="18"/>
                <w:szCs w:val="18"/>
                <w:lang w:val="en-CA"/>
              </w:rPr>
              <w:t>1: Capacities for engagement</w:t>
            </w:r>
            <w:r w:rsidRPr="006E490C">
              <w:rPr>
                <w:bCs/>
                <w:sz w:val="18"/>
                <w:szCs w:val="18"/>
                <w:lang w:val="en-CA"/>
              </w:rPr>
              <w:br/>
              <w:t>2: Capacities to generate, access and use information and knowledge</w:t>
            </w:r>
            <w:r w:rsidRPr="006E490C">
              <w:rPr>
                <w:bCs/>
                <w:sz w:val="18"/>
                <w:szCs w:val="18"/>
                <w:lang w:val="en-CA"/>
              </w:rPr>
              <w:br/>
              <w:t>3: Capabilities for strategy, policy and legislation development</w:t>
            </w:r>
            <w:r w:rsidRPr="006E490C">
              <w:rPr>
                <w:bCs/>
                <w:sz w:val="18"/>
                <w:szCs w:val="18"/>
                <w:lang w:val="en-CA"/>
              </w:rPr>
              <w:br/>
              <w:t>4: Capacities for management and implementation</w:t>
            </w:r>
            <w:r w:rsidRPr="006E490C">
              <w:rPr>
                <w:bCs/>
                <w:sz w:val="18"/>
                <w:szCs w:val="18"/>
                <w:lang w:val="en-CA"/>
              </w:rPr>
              <w:br/>
              <w:t>5: Capabilities to monitor and evaluate</w:t>
            </w:r>
          </w:p>
        </w:tc>
        <w:tc>
          <w:tcPr>
            <w:tcW w:w="1552" w:type="dxa"/>
            <w:vMerge w:val="restart"/>
            <w:tcBorders>
              <w:top w:val="single" w:sz="4" w:space="0" w:color="auto"/>
              <w:left w:val="single" w:sz="4" w:space="0" w:color="auto"/>
              <w:bottom w:val="single" w:sz="4" w:space="0" w:color="auto"/>
              <w:right w:val="single" w:sz="4" w:space="0" w:color="auto"/>
            </w:tcBorders>
          </w:tcPr>
          <w:p w14:paraId="342BEAB4" w14:textId="77777777" w:rsidR="00302BFE" w:rsidRPr="006E490C" w:rsidRDefault="00302BFE" w:rsidP="00243B15">
            <w:pPr>
              <w:jc w:val="left"/>
              <w:rPr>
                <w:rFonts w:eastAsia="Calibri"/>
                <w:sz w:val="18"/>
                <w:szCs w:val="18"/>
                <w:lang w:val="en-CA"/>
              </w:rPr>
            </w:pPr>
            <w:r w:rsidRPr="006E490C">
              <w:rPr>
                <w:bCs/>
                <w:i/>
                <w:sz w:val="18"/>
                <w:szCs w:val="18"/>
                <w:lang w:val="en-CA"/>
              </w:rPr>
              <w:t>Scores assessed during PPG for OFINAP and DGEF:</w:t>
            </w:r>
            <w:r w:rsidRPr="006E490C">
              <w:rPr>
                <w:bCs/>
                <w:i/>
                <w:sz w:val="18"/>
                <w:szCs w:val="18"/>
                <w:lang w:val="en-CA"/>
              </w:rPr>
              <w:br/>
            </w:r>
            <w:r w:rsidRPr="006E490C">
              <w:rPr>
                <w:rFonts w:eastAsia="Calibri"/>
                <w:sz w:val="18"/>
                <w:szCs w:val="18"/>
                <w:lang w:val="en-CA"/>
              </w:rPr>
              <w:t>1 : 67%</w:t>
            </w:r>
          </w:p>
          <w:p w14:paraId="13D7BF47" w14:textId="77777777" w:rsidR="00302BFE" w:rsidRPr="006E490C" w:rsidRDefault="00302BFE" w:rsidP="00243B15">
            <w:pPr>
              <w:jc w:val="left"/>
              <w:rPr>
                <w:rFonts w:eastAsia="Calibri"/>
                <w:sz w:val="18"/>
                <w:szCs w:val="18"/>
                <w:lang w:val="en-CA"/>
              </w:rPr>
            </w:pPr>
            <w:r w:rsidRPr="006E490C">
              <w:rPr>
                <w:rFonts w:eastAsia="Calibri"/>
                <w:sz w:val="18"/>
                <w:szCs w:val="18"/>
                <w:lang w:val="en-CA"/>
              </w:rPr>
              <w:t>2 : 40%</w:t>
            </w:r>
          </w:p>
          <w:p w14:paraId="56D1CFFF" w14:textId="77777777" w:rsidR="00302BFE" w:rsidRPr="006E490C" w:rsidRDefault="00302BFE" w:rsidP="00243B15">
            <w:pPr>
              <w:jc w:val="left"/>
              <w:rPr>
                <w:rFonts w:eastAsia="Calibri"/>
                <w:sz w:val="18"/>
                <w:szCs w:val="18"/>
                <w:lang w:val="en-CA"/>
              </w:rPr>
            </w:pPr>
            <w:r w:rsidRPr="006E490C">
              <w:rPr>
                <w:rFonts w:eastAsia="Calibri"/>
                <w:sz w:val="18"/>
                <w:szCs w:val="18"/>
                <w:lang w:val="en-CA"/>
              </w:rPr>
              <w:t>3 : 56%</w:t>
            </w:r>
          </w:p>
          <w:p w14:paraId="4A25553C" w14:textId="77777777" w:rsidR="00302BFE" w:rsidRPr="006E490C" w:rsidRDefault="00302BFE" w:rsidP="00243B15">
            <w:pPr>
              <w:jc w:val="left"/>
              <w:rPr>
                <w:rFonts w:eastAsia="Calibri"/>
                <w:sz w:val="18"/>
                <w:szCs w:val="18"/>
                <w:lang w:val="en-CA"/>
              </w:rPr>
            </w:pPr>
            <w:r w:rsidRPr="006E490C">
              <w:rPr>
                <w:rFonts w:eastAsia="Calibri"/>
                <w:sz w:val="18"/>
                <w:szCs w:val="18"/>
                <w:lang w:val="en-CA"/>
              </w:rPr>
              <w:t>4 : 50%</w:t>
            </w:r>
          </w:p>
          <w:p w14:paraId="1543B258" w14:textId="77777777" w:rsidR="00302BFE" w:rsidRPr="006E490C" w:rsidRDefault="00302BFE" w:rsidP="00243B15">
            <w:pPr>
              <w:jc w:val="left"/>
              <w:rPr>
                <w:rFonts w:eastAsia="Calibri"/>
                <w:sz w:val="18"/>
                <w:szCs w:val="18"/>
                <w:lang w:val="en-CA"/>
              </w:rPr>
            </w:pPr>
            <w:r w:rsidRPr="006E490C">
              <w:rPr>
                <w:rFonts w:eastAsia="Calibri"/>
                <w:sz w:val="18"/>
                <w:szCs w:val="18"/>
                <w:lang w:val="en-CA"/>
              </w:rPr>
              <w:t>5 : 17%</w:t>
            </w:r>
          </w:p>
        </w:tc>
        <w:tc>
          <w:tcPr>
            <w:tcW w:w="1552" w:type="dxa"/>
            <w:vMerge w:val="restart"/>
            <w:tcBorders>
              <w:top w:val="single" w:sz="4" w:space="0" w:color="auto"/>
              <w:left w:val="single" w:sz="4" w:space="0" w:color="auto"/>
              <w:bottom w:val="single" w:sz="4" w:space="0" w:color="auto"/>
              <w:right w:val="single" w:sz="4" w:space="0" w:color="auto"/>
            </w:tcBorders>
          </w:tcPr>
          <w:p w14:paraId="611DA1C0" w14:textId="77777777" w:rsidR="00302BFE" w:rsidRPr="006E490C" w:rsidRDefault="00302BFE" w:rsidP="00243B15">
            <w:pPr>
              <w:jc w:val="left"/>
              <w:rPr>
                <w:bCs/>
                <w:i/>
                <w:sz w:val="18"/>
                <w:szCs w:val="18"/>
                <w:lang w:val="fr-CA"/>
              </w:rPr>
            </w:pPr>
            <w:r w:rsidRPr="006E490C">
              <w:rPr>
                <w:bCs/>
                <w:i/>
                <w:sz w:val="18"/>
                <w:szCs w:val="18"/>
                <w:lang w:val="fr-CA"/>
              </w:rPr>
              <w:t>n.a.</w:t>
            </w:r>
          </w:p>
        </w:tc>
        <w:tc>
          <w:tcPr>
            <w:tcW w:w="1552" w:type="dxa"/>
            <w:vMerge w:val="restart"/>
            <w:tcBorders>
              <w:top w:val="single" w:sz="4" w:space="0" w:color="auto"/>
              <w:left w:val="single" w:sz="4" w:space="0" w:color="auto"/>
              <w:bottom w:val="single" w:sz="4" w:space="0" w:color="auto"/>
              <w:right w:val="single" w:sz="4" w:space="0" w:color="auto"/>
            </w:tcBorders>
          </w:tcPr>
          <w:p w14:paraId="48D31D0A" w14:textId="77777777" w:rsidR="00302BFE" w:rsidRPr="006E490C" w:rsidRDefault="00302BFE" w:rsidP="00243B15">
            <w:pPr>
              <w:jc w:val="left"/>
              <w:rPr>
                <w:bCs/>
                <w:i/>
                <w:sz w:val="18"/>
                <w:szCs w:val="18"/>
                <w:lang w:val="en-CA"/>
              </w:rPr>
            </w:pPr>
            <w:r w:rsidRPr="006E490C">
              <w:rPr>
                <w:bCs/>
                <w:i/>
                <w:sz w:val="18"/>
                <w:szCs w:val="18"/>
                <w:lang w:val="en-CA"/>
              </w:rPr>
              <w:t>Scores assessed at end of project for OFINAP and DGEF:</w:t>
            </w:r>
          </w:p>
          <w:p w14:paraId="660DDDC0" w14:textId="77777777" w:rsidR="00302BFE" w:rsidRPr="006E490C" w:rsidRDefault="00302BFE" w:rsidP="00243B15">
            <w:pPr>
              <w:jc w:val="left"/>
              <w:rPr>
                <w:rFonts w:eastAsia="Calibri"/>
                <w:sz w:val="18"/>
                <w:szCs w:val="18"/>
                <w:lang w:val="fr-CA"/>
              </w:rPr>
            </w:pPr>
            <w:r w:rsidRPr="006E490C">
              <w:rPr>
                <w:rFonts w:eastAsia="Calibri"/>
                <w:sz w:val="18"/>
                <w:szCs w:val="18"/>
                <w:lang w:val="fr-CA"/>
              </w:rPr>
              <w:t>1 : 89%</w:t>
            </w:r>
          </w:p>
          <w:p w14:paraId="3D00F5C7" w14:textId="77777777" w:rsidR="00302BFE" w:rsidRPr="006E490C" w:rsidRDefault="00302BFE" w:rsidP="00243B15">
            <w:pPr>
              <w:jc w:val="left"/>
              <w:rPr>
                <w:rFonts w:eastAsia="Calibri"/>
                <w:sz w:val="18"/>
                <w:szCs w:val="18"/>
                <w:lang w:val="fr-CA"/>
              </w:rPr>
            </w:pPr>
            <w:r w:rsidRPr="006E490C">
              <w:rPr>
                <w:rFonts w:eastAsia="Calibri"/>
                <w:sz w:val="18"/>
                <w:szCs w:val="18"/>
                <w:lang w:val="fr-CA"/>
              </w:rPr>
              <w:t>2 : 80%</w:t>
            </w:r>
          </w:p>
          <w:p w14:paraId="68E1A3C4" w14:textId="77777777" w:rsidR="00302BFE" w:rsidRPr="006E490C" w:rsidRDefault="00302BFE" w:rsidP="00243B15">
            <w:pPr>
              <w:jc w:val="left"/>
              <w:rPr>
                <w:rFonts w:eastAsia="Calibri"/>
                <w:sz w:val="18"/>
                <w:szCs w:val="18"/>
                <w:lang w:val="fr-CA"/>
              </w:rPr>
            </w:pPr>
            <w:r w:rsidRPr="006E490C">
              <w:rPr>
                <w:rFonts w:eastAsia="Calibri"/>
                <w:sz w:val="18"/>
                <w:szCs w:val="18"/>
                <w:lang w:val="fr-CA"/>
              </w:rPr>
              <w:t>3 : 67%</w:t>
            </w:r>
          </w:p>
          <w:p w14:paraId="33547331" w14:textId="77777777" w:rsidR="00302BFE" w:rsidRPr="006E490C" w:rsidRDefault="00302BFE" w:rsidP="00243B15">
            <w:pPr>
              <w:jc w:val="left"/>
              <w:rPr>
                <w:rFonts w:eastAsia="Calibri"/>
                <w:sz w:val="18"/>
                <w:szCs w:val="18"/>
                <w:lang w:val="fr-CA"/>
              </w:rPr>
            </w:pPr>
            <w:r w:rsidRPr="006E490C">
              <w:rPr>
                <w:rFonts w:eastAsia="Calibri"/>
                <w:sz w:val="18"/>
                <w:szCs w:val="18"/>
                <w:lang w:val="fr-CA"/>
              </w:rPr>
              <w:t>4 : 67%</w:t>
            </w:r>
          </w:p>
          <w:p w14:paraId="49D3E23C" w14:textId="77777777" w:rsidR="00302BFE" w:rsidRPr="006E490C" w:rsidRDefault="00302BFE" w:rsidP="00243B15">
            <w:pPr>
              <w:jc w:val="left"/>
              <w:rPr>
                <w:rFonts w:eastAsia="Calibri"/>
                <w:sz w:val="18"/>
                <w:szCs w:val="18"/>
                <w:lang w:val="fr-CA"/>
              </w:rPr>
            </w:pPr>
            <w:r w:rsidRPr="006E490C">
              <w:rPr>
                <w:rFonts w:eastAsia="Calibri"/>
                <w:sz w:val="18"/>
                <w:szCs w:val="18"/>
                <w:lang w:val="fr-CA"/>
              </w:rPr>
              <w:t>5 : 67%</w:t>
            </w:r>
          </w:p>
        </w:tc>
        <w:tc>
          <w:tcPr>
            <w:tcW w:w="4712" w:type="dxa"/>
            <w:tcBorders>
              <w:top w:val="single" w:sz="4" w:space="0" w:color="auto"/>
              <w:left w:val="single" w:sz="4" w:space="0" w:color="auto"/>
              <w:bottom w:val="single" w:sz="4" w:space="0" w:color="auto"/>
              <w:right w:val="single" w:sz="4" w:space="0" w:color="auto"/>
            </w:tcBorders>
            <w:hideMark/>
          </w:tcPr>
          <w:p w14:paraId="609B03EB" w14:textId="77777777" w:rsidR="00302BFE" w:rsidRPr="006E490C" w:rsidRDefault="00302BFE" w:rsidP="00243B15">
            <w:pPr>
              <w:jc w:val="left"/>
              <w:rPr>
                <w:sz w:val="18"/>
                <w:szCs w:val="18"/>
                <w:lang w:val="en-CA"/>
              </w:rPr>
            </w:pPr>
            <w:r w:rsidRPr="006E490C">
              <w:rPr>
                <w:bCs/>
                <w:i/>
                <w:sz w:val="18"/>
                <w:szCs w:val="18"/>
                <w:lang w:val="en-CA"/>
              </w:rPr>
              <w:t>Data collection source / method</w:t>
            </w:r>
            <w:r w:rsidRPr="006E490C">
              <w:rPr>
                <w:sz w:val="18"/>
                <w:szCs w:val="18"/>
                <w:lang w:val="en-CA"/>
              </w:rPr>
              <w:t xml:space="preserve"> </w:t>
            </w:r>
            <w:r w:rsidRPr="006E490C">
              <w:rPr>
                <w:sz w:val="18"/>
                <w:szCs w:val="18"/>
                <w:lang w:val="en-CA"/>
              </w:rPr>
              <w:br/>
              <w:t>Participatory assessment involving concerned stakeholders, using the UNDP Capacity Development Scorecard for GEF Projects at the end of the project</w:t>
            </w:r>
          </w:p>
        </w:tc>
      </w:tr>
      <w:tr w:rsidR="00302BFE" w:rsidRPr="006E490C" w14:paraId="5005B036" w14:textId="77777777" w:rsidTr="00243B15">
        <w:tc>
          <w:tcPr>
            <w:tcW w:w="2006" w:type="dxa"/>
            <w:vMerge/>
            <w:tcBorders>
              <w:left w:val="single" w:sz="4" w:space="0" w:color="auto"/>
              <w:right w:val="single" w:sz="4" w:space="0" w:color="auto"/>
            </w:tcBorders>
            <w:vAlign w:val="center"/>
            <w:hideMark/>
          </w:tcPr>
          <w:p w14:paraId="269B8A2E" w14:textId="77777777" w:rsidR="00302BFE" w:rsidRPr="006E490C" w:rsidRDefault="00302BFE" w:rsidP="00243B15">
            <w:pPr>
              <w:spacing w:after="0"/>
              <w:jc w:val="left"/>
              <w:rPr>
                <w:rFonts w:ascii="Times New Roman" w:hAnsi="Times New Roman"/>
                <w:b/>
                <w:bCs/>
                <w:sz w:val="18"/>
                <w:szCs w:val="18"/>
                <w:lang w:val="en-CA"/>
              </w:rPr>
            </w:pPr>
          </w:p>
        </w:tc>
        <w:tc>
          <w:tcPr>
            <w:tcW w:w="3016" w:type="dxa"/>
            <w:vMerge/>
            <w:tcBorders>
              <w:top w:val="single" w:sz="4" w:space="0" w:color="auto"/>
              <w:left w:val="single" w:sz="4" w:space="0" w:color="auto"/>
              <w:bottom w:val="single" w:sz="4" w:space="0" w:color="auto"/>
              <w:right w:val="single" w:sz="4" w:space="0" w:color="auto"/>
            </w:tcBorders>
            <w:vAlign w:val="center"/>
            <w:hideMark/>
          </w:tcPr>
          <w:p w14:paraId="3810BD42" w14:textId="77777777" w:rsidR="00302BFE" w:rsidRPr="006E490C" w:rsidRDefault="00302BFE" w:rsidP="00243B15">
            <w:pPr>
              <w:spacing w:after="0"/>
              <w:jc w:val="left"/>
              <w:rPr>
                <w:bCs/>
                <w:i/>
                <w:sz w:val="18"/>
                <w:szCs w:val="18"/>
                <w:lang w:val="en-CA"/>
              </w:rPr>
            </w:pPr>
          </w:p>
        </w:tc>
        <w:tc>
          <w:tcPr>
            <w:tcW w:w="1552" w:type="dxa"/>
            <w:vMerge/>
            <w:tcBorders>
              <w:top w:val="single" w:sz="4" w:space="0" w:color="auto"/>
              <w:left w:val="single" w:sz="4" w:space="0" w:color="auto"/>
              <w:bottom w:val="single" w:sz="4" w:space="0" w:color="auto"/>
              <w:right w:val="single" w:sz="4" w:space="0" w:color="auto"/>
            </w:tcBorders>
            <w:vAlign w:val="center"/>
          </w:tcPr>
          <w:p w14:paraId="75396FCE" w14:textId="77777777" w:rsidR="00302BFE" w:rsidRPr="006E490C" w:rsidRDefault="00302BFE" w:rsidP="00243B15">
            <w:pPr>
              <w:spacing w:after="0"/>
              <w:jc w:val="left"/>
              <w:rPr>
                <w:bCs/>
                <w:i/>
                <w:sz w:val="18"/>
                <w:szCs w:val="18"/>
                <w:lang w:val="en-CA"/>
              </w:rPr>
            </w:pPr>
          </w:p>
        </w:tc>
        <w:tc>
          <w:tcPr>
            <w:tcW w:w="1552" w:type="dxa"/>
            <w:vMerge/>
            <w:tcBorders>
              <w:top w:val="single" w:sz="4" w:space="0" w:color="auto"/>
              <w:left w:val="single" w:sz="4" w:space="0" w:color="auto"/>
              <w:bottom w:val="single" w:sz="4" w:space="0" w:color="auto"/>
              <w:right w:val="single" w:sz="4" w:space="0" w:color="auto"/>
            </w:tcBorders>
            <w:vAlign w:val="center"/>
          </w:tcPr>
          <w:p w14:paraId="37832214" w14:textId="77777777" w:rsidR="00302BFE" w:rsidRPr="006E490C" w:rsidRDefault="00302BFE" w:rsidP="00243B15">
            <w:pPr>
              <w:spacing w:after="0"/>
              <w:jc w:val="left"/>
              <w:rPr>
                <w:bCs/>
                <w:i/>
                <w:sz w:val="18"/>
                <w:szCs w:val="18"/>
                <w:lang w:val="en-CA"/>
              </w:rPr>
            </w:pPr>
          </w:p>
        </w:tc>
        <w:tc>
          <w:tcPr>
            <w:tcW w:w="1552" w:type="dxa"/>
            <w:vMerge/>
            <w:tcBorders>
              <w:top w:val="single" w:sz="4" w:space="0" w:color="auto"/>
              <w:left w:val="single" w:sz="4" w:space="0" w:color="auto"/>
              <w:bottom w:val="single" w:sz="4" w:space="0" w:color="auto"/>
              <w:right w:val="single" w:sz="4" w:space="0" w:color="auto"/>
            </w:tcBorders>
            <w:vAlign w:val="center"/>
          </w:tcPr>
          <w:p w14:paraId="3CBF3700" w14:textId="77777777" w:rsidR="00302BFE" w:rsidRPr="006E490C" w:rsidRDefault="00302BFE" w:rsidP="00243B15">
            <w:pPr>
              <w:spacing w:after="0"/>
              <w:jc w:val="left"/>
              <w:rPr>
                <w:bCs/>
                <w:i/>
                <w:sz w:val="18"/>
                <w:szCs w:val="18"/>
                <w:lang w:val="en-CA"/>
              </w:rPr>
            </w:pPr>
          </w:p>
        </w:tc>
        <w:tc>
          <w:tcPr>
            <w:tcW w:w="4712" w:type="dxa"/>
            <w:tcBorders>
              <w:top w:val="single" w:sz="4" w:space="0" w:color="auto"/>
              <w:left w:val="single" w:sz="4" w:space="0" w:color="auto"/>
              <w:bottom w:val="single" w:sz="4" w:space="0" w:color="auto"/>
              <w:right w:val="single" w:sz="4" w:space="0" w:color="auto"/>
            </w:tcBorders>
          </w:tcPr>
          <w:p w14:paraId="0EADDDC2" w14:textId="77777777" w:rsidR="00302BFE" w:rsidRPr="006E490C" w:rsidRDefault="00302BFE" w:rsidP="00243B15">
            <w:pPr>
              <w:jc w:val="left"/>
              <w:rPr>
                <w:sz w:val="18"/>
                <w:szCs w:val="18"/>
                <w:lang w:val="en-CA"/>
              </w:rPr>
            </w:pPr>
            <w:r w:rsidRPr="006E490C">
              <w:rPr>
                <w:i/>
                <w:sz w:val="18"/>
                <w:szCs w:val="18"/>
                <w:lang w:val="en-CA"/>
              </w:rPr>
              <w:t>Risks</w:t>
            </w:r>
            <w:r w:rsidRPr="006E490C">
              <w:rPr>
                <w:sz w:val="18"/>
                <w:szCs w:val="18"/>
                <w:lang w:val="en-CA"/>
              </w:rPr>
              <w:t>:</w:t>
            </w:r>
            <w:r w:rsidRPr="006E490C">
              <w:rPr>
                <w:sz w:val="18"/>
                <w:szCs w:val="18"/>
                <w:lang w:val="en-CA"/>
              </w:rPr>
              <w:br/>
              <w:t>Inter-institutional mobility of training beneficiaries</w:t>
            </w:r>
          </w:p>
          <w:p w14:paraId="3F211E63" w14:textId="77777777" w:rsidR="00302BFE" w:rsidRPr="006E490C" w:rsidRDefault="00302BFE" w:rsidP="00243B15">
            <w:pPr>
              <w:jc w:val="left"/>
              <w:rPr>
                <w:sz w:val="18"/>
                <w:szCs w:val="18"/>
                <w:lang w:val="en-CA"/>
              </w:rPr>
            </w:pPr>
            <w:r w:rsidRPr="006E490C">
              <w:rPr>
                <w:sz w:val="18"/>
                <w:szCs w:val="18"/>
                <w:lang w:val="en-CA"/>
              </w:rPr>
              <w:t>Difficulties in recruiting the required staff within OFINAP and DGEF due to limited financial resources</w:t>
            </w:r>
          </w:p>
          <w:p w14:paraId="74979DAB" w14:textId="77777777" w:rsidR="00302BFE" w:rsidRPr="006E490C" w:rsidRDefault="00302BFE" w:rsidP="00243B15">
            <w:pPr>
              <w:jc w:val="left"/>
              <w:rPr>
                <w:sz w:val="18"/>
                <w:szCs w:val="18"/>
                <w:lang w:val="en-CA"/>
              </w:rPr>
            </w:pPr>
            <w:r w:rsidRPr="006E490C">
              <w:rPr>
                <w:i/>
                <w:sz w:val="18"/>
                <w:szCs w:val="18"/>
                <w:lang w:val="en-CA"/>
              </w:rPr>
              <w:t>Assumptions</w:t>
            </w:r>
            <w:r w:rsidRPr="006E490C">
              <w:rPr>
                <w:sz w:val="18"/>
                <w:szCs w:val="18"/>
                <w:lang w:val="en-CA"/>
              </w:rPr>
              <w:t>:</w:t>
            </w:r>
            <w:r w:rsidRPr="006E490C">
              <w:rPr>
                <w:sz w:val="18"/>
                <w:szCs w:val="18"/>
                <w:lang w:val="en-CA"/>
              </w:rPr>
              <w:br/>
              <w:t>All stakeholders including OFINAP and DGEF commit to the capacity building objectives of PAs in the PONASI landscape</w:t>
            </w:r>
          </w:p>
          <w:p w14:paraId="7788A3ED" w14:textId="77777777" w:rsidR="00302BFE" w:rsidRPr="006E490C" w:rsidRDefault="00302BFE" w:rsidP="00243B15">
            <w:pPr>
              <w:jc w:val="left"/>
              <w:rPr>
                <w:sz w:val="18"/>
                <w:szCs w:val="18"/>
                <w:lang w:val="en-CA"/>
              </w:rPr>
            </w:pPr>
            <w:r w:rsidRPr="006E490C">
              <w:rPr>
                <w:sz w:val="18"/>
                <w:szCs w:val="18"/>
                <w:lang w:val="en-CA"/>
              </w:rPr>
              <w:t>The Government allocates adequate resources (staff and operational budget) to ensure the effective management of all State PAs in the PONASI landscape</w:t>
            </w:r>
          </w:p>
        </w:tc>
      </w:tr>
      <w:tr w:rsidR="00302BFE" w:rsidRPr="006E490C" w14:paraId="19652202" w14:textId="77777777" w:rsidTr="00243B15">
        <w:tc>
          <w:tcPr>
            <w:tcW w:w="2006" w:type="dxa"/>
            <w:vMerge/>
            <w:tcBorders>
              <w:left w:val="single" w:sz="4" w:space="0" w:color="auto"/>
              <w:right w:val="single" w:sz="4" w:space="0" w:color="auto"/>
            </w:tcBorders>
            <w:vAlign w:val="center"/>
            <w:hideMark/>
          </w:tcPr>
          <w:p w14:paraId="0545DDDD" w14:textId="77777777" w:rsidR="00302BFE" w:rsidRPr="006E490C" w:rsidRDefault="00302BFE" w:rsidP="00243B15">
            <w:pPr>
              <w:spacing w:after="0"/>
              <w:jc w:val="left"/>
              <w:rPr>
                <w:rFonts w:ascii="Times New Roman" w:hAnsi="Times New Roman"/>
                <w:b/>
                <w:bCs/>
                <w:sz w:val="18"/>
                <w:szCs w:val="18"/>
                <w:lang w:val="en-CA"/>
              </w:rPr>
            </w:pPr>
          </w:p>
        </w:tc>
        <w:tc>
          <w:tcPr>
            <w:tcW w:w="3016" w:type="dxa"/>
            <w:vMerge w:val="restart"/>
            <w:tcBorders>
              <w:top w:val="single" w:sz="4" w:space="0" w:color="auto"/>
              <w:left w:val="single" w:sz="4" w:space="0" w:color="auto"/>
              <w:bottom w:val="single" w:sz="4" w:space="0" w:color="auto"/>
              <w:right w:val="single" w:sz="4" w:space="0" w:color="auto"/>
            </w:tcBorders>
            <w:hideMark/>
          </w:tcPr>
          <w:p w14:paraId="645D1D62" w14:textId="77777777" w:rsidR="00302BFE" w:rsidRPr="006E490C" w:rsidRDefault="00302BFE" w:rsidP="00243B15">
            <w:pPr>
              <w:jc w:val="left"/>
              <w:rPr>
                <w:i/>
                <w:sz w:val="18"/>
                <w:szCs w:val="18"/>
                <w:u w:val="single"/>
                <w:lang w:val="en-CA"/>
              </w:rPr>
            </w:pPr>
            <w:r w:rsidRPr="006E490C">
              <w:rPr>
                <w:i/>
                <w:sz w:val="18"/>
                <w:szCs w:val="18"/>
                <w:u w:val="single"/>
                <w:lang w:val="en-CA"/>
              </w:rPr>
              <w:t>Indicator 7:</w:t>
            </w:r>
          </w:p>
          <w:p w14:paraId="633D17FC" w14:textId="77777777" w:rsidR="00302BFE" w:rsidRPr="006E490C" w:rsidRDefault="00302BFE" w:rsidP="00C46720">
            <w:pPr>
              <w:pStyle w:val="Paragraphedeliste"/>
              <w:numPr>
                <w:ilvl w:val="0"/>
                <w:numId w:val="9"/>
              </w:numPr>
              <w:spacing w:after="60"/>
              <w:ind w:left="258" w:hanging="178"/>
              <w:contextualSpacing/>
              <w:rPr>
                <w:rFonts w:ascii="Calibri" w:hAnsi="Calibri"/>
                <w:sz w:val="18"/>
                <w:szCs w:val="18"/>
                <w:lang w:val="en-CA"/>
              </w:rPr>
            </w:pPr>
            <w:r w:rsidRPr="006E490C">
              <w:rPr>
                <w:rFonts w:ascii="Calibri" w:eastAsia="Calibri" w:hAnsi="Calibri"/>
                <w:sz w:val="18"/>
                <w:szCs w:val="18"/>
                <w:lang w:val="en-CA"/>
              </w:rPr>
              <w:t>Area of terrestrial protected areas whose management effectiveness has been improved as evidenced by the evolution of METT scores of existing protected areas from the following reference values: PNKT (39), Sissili (47), Nazinga (75), corridor # 1 (31), ZOVICs Bieha (36) and ZOVICs Guiaro and Po (55) (</w:t>
            </w:r>
            <w:r w:rsidRPr="006E490C">
              <w:rPr>
                <w:rFonts w:ascii="Calibri" w:eastAsia="Calibri" w:hAnsi="Calibri"/>
                <w:b/>
                <w:sz w:val="18"/>
                <w:szCs w:val="18"/>
                <w:lang w:val="en-CA"/>
              </w:rPr>
              <w:t>GEF-7 Core indicator 1.2</w:t>
            </w:r>
            <w:r w:rsidRPr="006E490C">
              <w:rPr>
                <w:rFonts w:ascii="Calibri" w:eastAsia="Calibri" w:hAnsi="Calibri"/>
                <w:sz w:val="18"/>
                <w:szCs w:val="18"/>
                <w:lang w:val="en-CA"/>
              </w:rPr>
              <w:t>)</w:t>
            </w:r>
          </w:p>
          <w:p w14:paraId="39CE0127" w14:textId="77777777" w:rsidR="00302BFE" w:rsidRPr="006E490C" w:rsidRDefault="00302BFE" w:rsidP="00C46720">
            <w:pPr>
              <w:pStyle w:val="Paragraphedeliste"/>
              <w:numPr>
                <w:ilvl w:val="0"/>
                <w:numId w:val="9"/>
              </w:numPr>
              <w:spacing w:after="60"/>
              <w:ind w:left="258" w:hanging="178"/>
              <w:contextualSpacing/>
              <w:rPr>
                <w:sz w:val="18"/>
                <w:szCs w:val="18"/>
                <w:lang w:val="en-CA"/>
              </w:rPr>
            </w:pPr>
            <w:r w:rsidRPr="006E490C">
              <w:rPr>
                <w:rFonts w:ascii="Calibri" w:hAnsi="Calibri"/>
                <w:sz w:val="18"/>
                <w:szCs w:val="18"/>
                <w:lang w:val="en-CA"/>
              </w:rPr>
              <w:t>Area of newly created protected area (Corridor # 2) (</w:t>
            </w:r>
            <w:r w:rsidRPr="006E490C">
              <w:rPr>
                <w:rFonts w:ascii="Calibri" w:hAnsi="Calibri"/>
                <w:b/>
                <w:sz w:val="18"/>
                <w:szCs w:val="18"/>
                <w:lang w:val="en-CA"/>
              </w:rPr>
              <w:t>GEF-7 Core indicator 1.1</w:t>
            </w:r>
            <w:r w:rsidRPr="006E490C">
              <w:rPr>
                <w:rFonts w:ascii="Calibri" w:hAnsi="Calibri"/>
                <w:sz w:val="18"/>
                <w:szCs w:val="18"/>
                <w:lang w:val="en-CA"/>
              </w:rPr>
              <w:t>)</w:t>
            </w:r>
          </w:p>
        </w:tc>
        <w:tc>
          <w:tcPr>
            <w:tcW w:w="1552" w:type="dxa"/>
            <w:vMerge w:val="restart"/>
            <w:tcBorders>
              <w:top w:val="single" w:sz="4" w:space="0" w:color="auto"/>
              <w:left w:val="single" w:sz="4" w:space="0" w:color="auto"/>
              <w:bottom w:val="single" w:sz="4" w:space="0" w:color="auto"/>
              <w:right w:val="single" w:sz="4" w:space="0" w:color="auto"/>
            </w:tcBorders>
          </w:tcPr>
          <w:p w14:paraId="2F0F1082" w14:textId="77777777" w:rsidR="00302BFE" w:rsidRPr="006E490C" w:rsidRDefault="00302BFE" w:rsidP="00243B15">
            <w:pPr>
              <w:jc w:val="left"/>
              <w:rPr>
                <w:bCs/>
                <w:sz w:val="18"/>
                <w:szCs w:val="18"/>
              </w:rPr>
            </w:pPr>
            <w:r w:rsidRPr="006E490C">
              <w:rPr>
                <w:bCs/>
                <w:sz w:val="18"/>
                <w:szCs w:val="18"/>
              </w:rPr>
              <w:t>a) 0 (the project has not started yet)</w:t>
            </w:r>
          </w:p>
          <w:p w14:paraId="6FF90ECF" w14:textId="77777777" w:rsidR="00302BFE" w:rsidRPr="006E490C" w:rsidRDefault="00302BFE" w:rsidP="00243B15">
            <w:pPr>
              <w:jc w:val="left"/>
              <w:rPr>
                <w:bCs/>
                <w:sz w:val="18"/>
                <w:szCs w:val="18"/>
              </w:rPr>
            </w:pPr>
          </w:p>
          <w:p w14:paraId="40BA1542" w14:textId="77777777" w:rsidR="00302BFE" w:rsidRPr="006E490C" w:rsidRDefault="00302BFE" w:rsidP="00243B15">
            <w:pPr>
              <w:jc w:val="left"/>
              <w:rPr>
                <w:bCs/>
                <w:sz w:val="18"/>
                <w:szCs w:val="18"/>
              </w:rPr>
            </w:pPr>
          </w:p>
          <w:p w14:paraId="3DCE5AC5" w14:textId="77777777" w:rsidR="00302BFE" w:rsidRPr="006E490C" w:rsidRDefault="00302BFE" w:rsidP="00243B15">
            <w:pPr>
              <w:jc w:val="left"/>
              <w:rPr>
                <w:bCs/>
                <w:sz w:val="18"/>
                <w:szCs w:val="18"/>
              </w:rPr>
            </w:pPr>
          </w:p>
          <w:p w14:paraId="307D1095" w14:textId="77777777" w:rsidR="00302BFE" w:rsidRPr="006E490C" w:rsidRDefault="00302BFE" w:rsidP="00243B15">
            <w:pPr>
              <w:jc w:val="left"/>
              <w:rPr>
                <w:rFonts w:ascii="Times New Roman" w:hAnsi="Times New Roman"/>
                <w:bCs/>
                <w:i/>
                <w:sz w:val="18"/>
                <w:szCs w:val="18"/>
                <w:lang w:val="en-CA"/>
              </w:rPr>
            </w:pPr>
            <w:r w:rsidRPr="006E490C">
              <w:rPr>
                <w:bCs/>
                <w:sz w:val="18"/>
                <w:szCs w:val="18"/>
              </w:rPr>
              <w:t>b) 0 (the project has not started yet)</w:t>
            </w:r>
          </w:p>
        </w:tc>
        <w:tc>
          <w:tcPr>
            <w:tcW w:w="1552" w:type="dxa"/>
            <w:vMerge w:val="restart"/>
            <w:tcBorders>
              <w:top w:val="single" w:sz="4" w:space="0" w:color="auto"/>
              <w:left w:val="single" w:sz="4" w:space="0" w:color="auto"/>
              <w:bottom w:val="single" w:sz="4" w:space="0" w:color="auto"/>
              <w:right w:val="single" w:sz="4" w:space="0" w:color="auto"/>
            </w:tcBorders>
          </w:tcPr>
          <w:p w14:paraId="48F1F5E0" w14:textId="77777777" w:rsidR="00302BFE" w:rsidRPr="00CD48B7" w:rsidRDefault="00302BFE" w:rsidP="00243B15">
            <w:pPr>
              <w:jc w:val="left"/>
              <w:rPr>
                <w:bCs/>
                <w:sz w:val="18"/>
                <w:szCs w:val="18"/>
                <w:lang w:val="pt-PT"/>
              </w:rPr>
            </w:pPr>
            <w:r w:rsidRPr="00CD48B7">
              <w:rPr>
                <w:bCs/>
                <w:sz w:val="18"/>
                <w:szCs w:val="18"/>
                <w:lang w:val="pt-PT"/>
              </w:rPr>
              <w:t>a) 91,300 ha (Nazinga area)</w:t>
            </w:r>
          </w:p>
          <w:p w14:paraId="057272BD" w14:textId="77777777" w:rsidR="00302BFE" w:rsidRPr="00CD48B7" w:rsidRDefault="00302BFE" w:rsidP="00243B15">
            <w:pPr>
              <w:jc w:val="left"/>
              <w:rPr>
                <w:bCs/>
                <w:sz w:val="18"/>
                <w:szCs w:val="18"/>
                <w:lang w:val="pt-PT"/>
              </w:rPr>
            </w:pPr>
          </w:p>
          <w:p w14:paraId="12A86067" w14:textId="77777777" w:rsidR="00302BFE" w:rsidRPr="00CD48B7" w:rsidRDefault="00302BFE" w:rsidP="00243B15">
            <w:pPr>
              <w:jc w:val="left"/>
              <w:rPr>
                <w:bCs/>
                <w:sz w:val="18"/>
                <w:szCs w:val="18"/>
                <w:lang w:val="pt-PT"/>
              </w:rPr>
            </w:pPr>
          </w:p>
          <w:p w14:paraId="60871B8B" w14:textId="77777777" w:rsidR="00302BFE" w:rsidRPr="00CD48B7" w:rsidRDefault="00302BFE" w:rsidP="00243B15">
            <w:pPr>
              <w:jc w:val="left"/>
              <w:rPr>
                <w:bCs/>
                <w:sz w:val="18"/>
                <w:szCs w:val="18"/>
                <w:lang w:val="pt-PT"/>
              </w:rPr>
            </w:pPr>
          </w:p>
          <w:p w14:paraId="3A389251" w14:textId="77777777" w:rsidR="00302BFE" w:rsidRPr="00CD48B7" w:rsidRDefault="00302BFE" w:rsidP="00243B15">
            <w:pPr>
              <w:jc w:val="left"/>
              <w:rPr>
                <w:rFonts w:ascii="Times New Roman" w:hAnsi="Times New Roman"/>
                <w:bCs/>
                <w:i/>
                <w:sz w:val="18"/>
                <w:szCs w:val="18"/>
                <w:lang w:val="pt-PT"/>
              </w:rPr>
            </w:pPr>
            <w:r w:rsidRPr="00CD48B7">
              <w:rPr>
                <w:bCs/>
                <w:sz w:val="18"/>
                <w:szCs w:val="18"/>
                <w:lang w:val="pt-PT"/>
              </w:rPr>
              <w:t>b) 0 ha</w:t>
            </w:r>
          </w:p>
        </w:tc>
        <w:tc>
          <w:tcPr>
            <w:tcW w:w="1552" w:type="dxa"/>
            <w:vMerge w:val="restart"/>
            <w:tcBorders>
              <w:top w:val="single" w:sz="4" w:space="0" w:color="auto"/>
              <w:left w:val="single" w:sz="4" w:space="0" w:color="auto"/>
              <w:bottom w:val="single" w:sz="4" w:space="0" w:color="auto"/>
              <w:right w:val="single" w:sz="4" w:space="0" w:color="auto"/>
            </w:tcBorders>
          </w:tcPr>
          <w:p w14:paraId="2751F9B4" w14:textId="77777777" w:rsidR="00302BFE" w:rsidRPr="006E490C" w:rsidRDefault="00302BFE" w:rsidP="00243B15">
            <w:pPr>
              <w:jc w:val="left"/>
              <w:rPr>
                <w:bCs/>
                <w:sz w:val="18"/>
                <w:szCs w:val="18"/>
                <w:lang w:val="en-CA"/>
              </w:rPr>
            </w:pPr>
            <w:r w:rsidRPr="006E490C">
              <w:rPr>
                <w:bCs/>
                <w:sz w:val="18"/>
                <w:szCs w:val="18"/>
                <w:lang w:val="en-CA"/>
              </w:rPr>
              <w:t>a) 321 781 ha (total area for PNKT, Sissili, Nazinga, ZOVICs and corridor #1)</w:t>
            </w:r>
          </w:p>
          <w:p w14:paraId="0EE544C9" w14:textId="77777777" w:rsidR="00302BFE" w:rsidRPr="006E490C" w:rsidRDefault="00302BFE" w:rsidP="00243B15">
            <w:pPr>
              <w:jc w:val="left"/>
              <w:rPr>
                <w:bCs/>
                <w:sz w:val="18"/>
                <w:szCs w:val="18"/>
              </w:rPr>
            </w:pPr>
          </w:p>
          <w:p w14:paraId="0C8C970F" w14:textId="77777777" w:rsidR="00302BFE" w:rsidRPr="006E490C" w:rsidRDefault="00302BFE" w:rsidP="00243B15">
            <w:pPr>
              <w:jc w:val="left"/>
              <w:rPr>
                <w:rFonts w:ascii="Times New Roman" w:hAnsi="Times New Roman"/>
                <w:bCs/>
                <w:i/>
                <w:sz w:val="18"/>
                <w:szCs w:val="18"/>
                <w:lang w:val="en-CA"/>
              </w:rPr>
            </w:pPr>
            <w:r w:rsidRPr="006E490C">
              <w:rPr>
                <w:bCs/>
                <w:sz w:val="18"/>
                <w:szCs w:val="18"/>
              </w:rPr>
              <w:t>b) 33,000 ha</w:t>
            </w:r>
          </w:p>
        </w:tc>
        <w:tc>
          <w:tcPr>
            <w:tcW w:w="4712" w:type="dxa"/>
            <w:tcBorders>
              <w:top w:val="single" w:sz="4" w:space="0" w:color="auto"/>
              <w:left w:val="single" w:sz="4" w:space="0" w:color="auto"/>
              <w:bottom w:val="single" w:sz="4" w:space="0" w:color="auto"/>
              <w:right w:val="single" w:sz="4" w:space="0" w:color="auto"/>
            </w:tcBorders>
            <w:hideMark/>
          </w:tcPr>
          <w:p w14:paraId="088BCB3B" w14:textId="77777777" w:rsidR="00302BFE" w:rsidRPr="006E490C" w:rsidRDefault="00302BFE" w:rsidP="00243B15">
            <w:pPr>
              <w:jc w:val="left"/>
              <w:rPr>
                <w:bCs/>
                <w:i/>
                <w:sz w:val="18"/>
                <w:szCs w:val="18"/>
                <w:lang w:val="en-CA"/>
              </w:rPr>
            </w:pPr>
            <w:r w:rsidRPr="006E490C">
              <w:rPr>
                <w:bCs/>
                <w:i/>
                <w:sz w:val="18"/>
                <w:szCs w:val="18"/>
                <w:lang w:val="en-CA"/>
              </w:rPr>
              <w:t>Data collection source / method</w:t>
            </w:r>
          </w:p>
          <w:p w14:paraId="7600536C" w14:textId="77777777" w:rsidR="00302BFE" w:rsidRPr="006E490C" w:rsidRDefault="00302BFE" w:rsidP="00243B15">
            <w:pPr>
              <w:jc w:val="left"/>
              <w:rPr>
                <w:sz w:val="18"/>
                <w:szCs w:val="18"/>
                <w:lang w:val="en-CA"/>
              </w:rPr>
            </w:pPr>
            <w:r w:rsidRPr="006E490C">
              <w:rPr>
                <w:sz w:val="18"/>
                <w:szCs w:val="18"/>
                <w:lang w:val="en-CA"/>
              </w:rPr>
              <w:t>a) Assessment of changes in PA management effectiveness based on the GEF BD METT score applied at mid-term and end of project</w:t>
            </w:r>
          </w:p>
          <w:p w14:paraId="058D50E5" w14:textId="77777777" w:rsidR="00302BFE" w:rsidRPr="006E490C" w:rsidRDefault="00302BFE" w:rsidP="00243B15">
            <w:pPr>
              <w:jc w:val="left"/>
              <w:rPr>
                <w:sz w:val="18"/>
                <w:szCs w:val="18"/>
                <w:lang w:val="en-CA"/>
              </w:rPr>
            </w:pPr>
            <w:r w:rsidRPr="006E490C">
              <w:rPr>
                <w:sz w:val="18"/>
                <w:szCs w:val="18"/>
                <w:lang w:val="en-CA"/>
              </w:rPr>
              <w:t>b) Decree for gazetting corridor # 2</w:t>
            </w:r>
          </w:p>
        </w:tc>
      </w:tr>
      <w:tr w:rsidR="00302BFE" w:rsidRPr="006E490C" w14:paraId="457AF92A" w14:textId="77777777" w:rsidTr="00243B15">
        <w:tc>
          <w:tcPr>
            <w:tcW w:w="2006" w:type="dxa"/>
            <w:vMerge/>
            <w:tcBorders>
              <w:left w:val="single" w:sz="4" w:space="0" w:color="auto"/>
              <w:right w:val="single" w:sz="4" w:space="0" w:color="auto"/>
            </w:tcBorders>
            <w:vAlign w:val="center"/>
            <w:hideMark/>
          </w:tcPr>
          <w:p w14:paraId="57D65EC6" w14:textId="77777777" w:rsidR="00302BFE" w:rsidRPr="006E490C" w:rsidRDefault="00302BFE" w:rsidP="00243B15">
            <w:pPr>
              <w:spacing w:after="0"/>
              <w:jc w:val="left"/>
              <w:rPr>
                <w:rFonts w:ascii="Times New Roman" w:hAnsi="Times New Roman"/>
                <w:b/>
                <w:bCs/>
                <w:sz w:val="18"/>
                <w:szCs w:val="18"/>
                <w:lang w:val="en-CA"/>
              </w:rPr>
            </w:pPr>
          </w:p>
        </w:tc>
        <w:tc>
          <w:tcPr>
            <w:tcW w:w="3016" w:type="dxa"/>
            <w:vMerge/>
            <w:tcBorders>
              <w:top w:val="single" w:sz="4" w:space="0" w:color="auto"/>
              <w:left w:val="single" w:sz="4" w:space="0" w:color="auto"/>
              <w:bottom w:val="single" w:sz="4" w:space="0" w:color="auto"/>
              <w:right w:val="single" w:sz="4" w:space="0" w:color="auto"/>
            </w:tcBorders>
            <w:vAlign w:val="center"/>
            <w:hideMark/>
          </w:tcPr>
          <w:p w14:paraId="55FEA6AC" w14:textId="77777777" w:rsidR="00302BFE" w:rsidRPr="006E490C" w:rsidRDefault="00302BFE" w:rsidP="00243B15">
            <w:pPr>
              <w:spacing w:after="0"/>
              <w:jc w:val="left"/>
              <w:rPr>
                <w:sz w:val="18"/>
                <w:szCs w:val="18"/>
                <w:lang w:val="en-CA"/>
              </w:rPr>
            </w:pPr>
          </w:p>
        </w:tc>
        <w:tc>
          <w:tcPr>
            <w:tcW w:w="1552" w:type="dxa"/>
            <w:vMerge/>
            <w:tcBorders>
              <w:top w:val="single" w:sz="4" w:space="0" w:color="auto"/>
              <w:left w:val="single" w:sz="4" w:space="0" w:color="auto"/>
              <w:bottom w:val="single" w:sz="4" w:space="0" w:color="auto"/>
              <w:right w:val="single" w:sz="4" w:space="0" w:color="auto"/>
            </w:tcBorders>
            <w:vAlign w:val="center"/>
          </w:tcPr>
          <w:p w14:paraId="254CFF09" w14:textId="77777777" w:rsidR="00302BFE" w:rsidRPr="006E490C" w:rsidRDefault="00302BFE" w:rsidP="00243B15">
            <w:pPr>
              <w:spacing w:after="0"/>
              <w:jc w:val="left"/>
              <w:rPr>
                <w:rFonts w:ascii="Times New Roman" w:hAnsi="Times New Roman"/>
                <w:bCs/>
                <w:i/>
                <w:sz w:val="18"/>
                <w:szCs w:val="18"/>
                <w:lang w:val="en-CA"/>
              </w:rPr>
            </w:pPr>
          </w:p>
        </w:tc>
        <w:tc>
          <w:tcPr>
            <w:tcW w:w="1552" w:type="dxa"/>
            <w:vMerge/>
            <w:tcBorders>
              <w:top w:val="single" w:sz="4" w:space="0" w:color="auto"/>
              <w:left w:val="single" w:sz="4" w:space="0" w:color="auto"/>
              <w:bottom w:val="single" w:sz="4" w:space="0" w:color="auto"/>
              <w:right w:val="single" w:sz="4" w:space="0" w:color="auto"/>
            </w:tcBorders>
            <w:vAlign w:val="center"/>
          </w:tcPr>
          <w:p w14:paraId="15E0BAFD" w14:textId="77777777" w:rsidR="00302BFE" w:rsidRPr="006E490C" w:rsidRDefault="00302BFE" w:rsidP="00243B15">
            <w:pPr>
              <w:spacing w:after="0"/>
              <w:jc w:val="left"/>
              <w:rPr>
                <w:rFonts w:ascii="Times New Roman" w:hAnsi="Times New Roman"/>
                <w:bCs/>
                <w:i/>
                <w:sz w:val="18"/>
                <w:szCs w:val="18"/>
                <w:lang w:val="en-CA"/>
              </w:rPr>
            </w:pPr>
          </w:p>
        </w:tc>
        <w:tc>
          <w:tcPr>
            <w:tcW w:w="1552" w:type="dxa"/>
            <w:vMerge/>
            <w:tcBorders>
              <w:top w:val="single" w:sz="4" w:space="0" w:color="auto"/>
              <w:left w:val="single" w:sz="4" w:space="0" w:color="auto"/>
              <w:bottom w:val="single" w:sz="4" w:space="0" w:color="auto"/>
              <w:right w:val="single" w:sz="4" w:space="0" w:color="auto"/>
            </w:tcBorders>
            <w:vAlign w:val="center"/>
          </w:tcPr>
          <w:p w14:paraId="697230A8" w14:textId="77777777" w:rsidR="00302BFE" w:rsidRPr="006E490C" w:rsidRDefault="00302BFE" w:rsidP="00243B15">
            <w:pPr>
              <w:spacing w:after="0"/>
              <w:jc w:val="left"/>
              <w:rPr>
                <w:rFonts w:ascii="Times New Roman" w:hAnsi="Times New Roman"/>
                <w:bCs/>
                <w:i/>
                <w:sz w:val="18"/>
                <w:szCs w:val="18"/>
                <w:lang w:val="en-CA"/>
              </w:rPr>
            </w:pPr>
          </w:p>
        </w:tc>
        <w:tc>
          <w:tcPr>
            <w:tcW w:w="4712" w:type="dxa"/>
            <w:tcBorders>
              <w:top w:val="single" w:sz="4" w:space="0" w:color="auto"/>
              <w:left w:val="single" w:sz="4" w:space="0" w:color="auto"/>
              <w:bottom w:val="single" w:sz="4" w:space="0" w:color="auto"/>
              <w:right w:val="single" w:sz="4" w:space="0" w:color="auto"/>
            </w:tcBorders>
          </w:tcPr>
          <w:p w14:paraId="5CC19870" w14:textId="77777777" w:rsidR="00302BFE" w:rsidRPr="006E490C" w:rsidRDefault="00302BFE" w:rsidP="00243B15">
            <w:pPr>
              <w:jc w:val="left"/>
              <w:rPr>
                <w:sz w:val="18"/>
                <w:szCs w:val="18"/>
                <w:lang w:val="en-CA"/>
              </w:rPr>
            </w:pPr>
            <w:r w:rsidRPr="006E490C">
              <w:rPr>
                <w:i/>
                <w:sz w:val="18"/>
                <w:szCs w:val="18"/>
                <w:lang w:val="en-CA"/>
              </w:rPr>
              <w:t>Risks</w:t>
            </w:r>
            <w:r w:rsidRPr="006E490C">
              <w:rPr>
                <w:sz w:val="18"/>
                <w:szCs w:val="18"/>
                <w:lang w:val="en-CA"/>
              </w:rPr>
              <w:t>:</w:t>
            </w:r>
          </w:p>
          <w:p w14:paraId="0A01E0C0" w14:textId="77777777" w:rsidR="00302BFE" w:rsidRPr="006E490C" w:rsidRDefault="00302BFE" w:rsidP="00243B15">
            <w:pPr>
              <w:jc w:val="left"/>
              <w:rPr>
                <w:sz w:val="18"/>
                <w:szCs w:val="18"/>
                <w:lang w:val="en-CA"/>
              </w:rPr>
            </w:pPr>
            <w:r w:rsidRPr="006E490C">
              <w:rPr>
                <w:sz w:val="18"/>
                <w:szCs w:val="18"/>
                <w:lang w:val="en-CA"/>
              </w:rPr>
              <w:t>Difficulties in recruiting the necessary staff to perform the essential functions of PA management</w:t>
            </w:r>
          </w:p>
          <w:p w14:paraId="0517D3FC" w14:textId="77777777" w:rsidR="00302BFE" w:rsidRPr="006E490C" w:rsidRDefault="00302BFE" w:rsidP="00243B15">
            <w:pPr>
              <w:jc w:val="left"/>
              <w:rPr>
                <w:sz w:val="18"/>
                <w:szCs w:val="18"/>
                <w:lang w:val="en-CA"/>
              </w:rPr>
            </w:pPr>
            <w:r w:rsidRPr="006E490C">
              <w:rPr>
                <w:sz w:val="18"/>
                <w:szCs w:val="18"/>
                <w:lang w:val="en-CA"/>
              </w:rPr>
              <w:t>Conflicts related to the occupation of corridor # 2 and the use of its resources are obstacles to its gazettement and protection</w:t>
            </w:r>
          </w:p>
          <w:p w14:paraId="7E2C20CB" w14:textId="77777777" w:rsidR="00302BFE" w:rsidRPr="006E490C" w:rsidRDefault="00302BFE" w:rsidP="00243B15">
            <w:pPr>
              <w:jc w:val="left"/>
              <w:rPr>
                <w:sz w:val="18"/>
                <w:szCs w:val="18"/>
                <w:lang w:val="en-CA"/>
              </w:rPr>
            </w:pPr>
            <w:r w:rsidRPr="006E490C">
              <w:rPr>
                <w:i/>
                <w:sz w:val="18"/>
                <w:szCs w:val="18"/>
                <w:lang w:val="en-CA"/>
              </w:rPr>
              <w:t>Assumption</w:t>
            </w:r>
            <w:r w:rsidRPr="006E490C">
              <w:rPr>
                <w:sz w:val="18"/>
                <w:szCs w:val="18"/>
                <w:lang w:val="en-CA"/>
              </w:rPr>
              <w:t>:</w:t>
            </w:r>
          </w:p>
          <w:p w14:paraId="7DF2F910" w14:textId="77777777" w:rsidR="00302BFE" w:rsidRPr="006E490C" w:rsidRDefault="00302BFE" w:rsidP="00243B15">
            <w:pPr>
              <w:jc w:val="left"/>
              <w:rPr>
                <w:sz w:val="18"/>
                <w:szCs w:val="18"/>
                <w:lang w:val="en-CA"/>
              </w:rPr>
            </w:pPr>
            <w:r w:rsidRPr="006E490C">
              <w:rPr>
                <w:sz w:val="18"/>
                <w:szCs w:val="18"/>
                <w:lang w:val="en-CA"/>
              </w:rPr>
              <w:t>Commitment of stakeholders (local populations and authorities, OFINAP, DGEF, technical services, private concessionaires) to the objective of improving PA management</w:t>
            </w:r>
          </w:p>
          <w:p w14:paraId="6D49DB9D" w14:textId="77777777" w:rsidR="00302BFE" w:rsidRPr="006E490C" w:rsidRDefault="00302BFE" w:rsidP="00243B15">
            <w:pPr>
              <w:jc w:val="left"/>
              <w:rPr>
                <w:sz w:val="18"/>
                <w:szCs w:val="18"/>
                <w:lang w:val="en-CA"/>
              </w:rPr>
            </w:pPr>
            <w:r w:rsidRPr="006E490C">
              <w:rPr>
                <w:sz w:val="18"/>
                <w:szCs w:val="18"/>
                <w:lang w:val="en-CA"/>
              </w:rPr>
              <w:t>The gazettement of corridor # 2 is a priority on the agenda of the Legislative Assembly</w:t>
            </w:r>
          </w:p>
        </w:tc>
      </w:tr>
      <w:tr w:rsidR="00302BFE" w:rsidRPr="006E490C" w14:paraId="18991FE5" w14:textId="77777777" w:rsidTr="00243B15">
        <w:tc>
          <w:tcPr>
            <w:tcW w:w="2006" w:type="dxa"/>
            <w:vMerge/>
            <w:tcBorders>
              <w:left w:val="single" w:sz="4" w:space="0" w:color="auto"/>
              <w:right w:val="single" w:sz="4" w:space="0" w:color="auto"/>
            </w:tcBorders>
            <w:vAlign w:val="center"/>
            <w:hideMark/>
          </w:tcPr>
          <w:p w14:paraId="19B5A617" w14:textId="77777777" w:rsidR="00302BFE" w:rsidRPr="006E490C" w:rsidRDefault="00302BFE" w:rsidP="00243B15">
            <w:pPr>
              <w:spacing w:after="0"/>
              <w:jc w:val="left"/>
              <w:rPr>
                <w:rFonts w:ascii="Times New Roman" w:hAnsi="Times New Roman"/>
                <w:b/>
                <w:bCs/>
                <w:sz w:val="18"/>
                <w:szCs w:val="18"/>
                <w:lang w:val="en-CA"/>
              </w:rPr>
            </w:pPr>
          </w:p>
        </w:tc>
        <w:tc>
          <w:tcPr>
            <w:tcW w:w="3016" w:type="dxa"/>
            <w:vMerge w:val="restart"/>
            <w:tcBorders>
              <w:top w:val="single" w:sz="4" w:space="0" w:color="auto"/>
              <w:left w:val="single" w:sz="4" w:space="0" w:color="auto"/>
              <w:bottom w:val="single" w:sz="4" w:space="0" w:color="auto"/>
              <w:right w:val="single" w:sz="4" w:space="0" w:color="auto"/>
            </w:tcBorders>
            <w:hideMark/>
          </w:tcPr>
          <w:p w14:paraId="68B16E0F" w14:textId="77777777" w:rsidR="00302BFE" w:rsidRPr="006E490C" w:rsidRDefault="00302BFE" w:rsidP="00243B15">
            <w:pPr>
              <w:rPr>
                <w:bCs/>
                <w:i/>
                <w:sz w:val="18"/>
                <w:szCs w:val="18"/>
                <w:u w:val="single"/>
                <w:lang w:val="en-CA"/>
              </w:rPr>
            </w:pPr>
            <w:r w:rsidRPr="006E490C">
              <w:rPr>
                <w:bCs/>
                <w:i/>
                <w:sz w:val="18"/>
                <w:szCs w:val="18"/>
                <w:u w:val="single"/>
                <w:lang w:val="en-CA"/>
              </w:rPr>
              <w:t xml:space="preserve">Indicator 8: </w:t>
            </w:r>
          </w:p>
          <w:p w14:paraId="79D82E01" w14:textId="77777777" w:rsidR="00302BFE" w:rsidRPr="006E490C" w:rsidRDefault="00302BFE" w:rsidP="00DC7D98">
            <w:pPr>
              <w:jc w:val="left"/>
              <w:rPr>
                <w:bCs/>
                <w:sz w:val="18"/>
                <w:szCs w:val="18"/>
                <w:lang w:val="en-CA"/>
              </w:rPr>
            </w:pPr>
            <w:r w:rsidRPr="006E490C">
              <w:rPr>
                <w:bCs/>
                <w:sz w:val="18"/>
                <w:szCs w:val="18"/>
                <w:lang w:val="en-CA"/>
              </w:rPr>
              <w:t>Annual number of human-wildlife conflict cases in hotspots (identified in the first year through the SAFE Systems rapid assessment) including Mantoingo, Zerboko, Yougoudri, Saro, Sia, Natiédougou, Boissa and Boala villages</w:t>
            </w:r>
          </w:p>
        </w:tc>
        <w:tc>
          <w:tcPr>
            <w:tcW w:w="1552" w:type="dxa"/>
            <w:vMerge w:val="restart"/>
            <w:tcBorders>
              <w:top w:val="single" w:sz="4" w:space="0" w:color="auto"/>
              <w:left w:val="single" w:sz="4" w:space="0" w:color="auto"/>
              <w:bottom w:val="single" w:sz="4" w:space="0" w:color="auto"/>
              <w:right w:val="single" w:sz="4" w:space="0" w:color="auto"/>
            </w:tcBorders>
          </w:tcPr>
          <w:p w14:paraId="7569E687" w14:textId="77777777" w:rsidR="00302BFE" w:rsidRPr="006E490C" w:rsidRDefault="00302BFE" w:rsidP="00243B15">
            <w:pPr>
              <w:jc w:val="left"/>
              <w:rPr>
                <w:rFonts w:ascii="Times New Roman" w:hAnsi="Times New Roman"/>
                <w:bCs/>
                <w:sz w:val="18"/>
                <w:szCs w:val="18"/>
                <w:lang w:val="en-CA"/>
              </w:rPr>
            </w:pPr>
            <w:r w:rsidRPr="006E490C">
              <w:rPr>
                <w:bCs/>
                <w:sz w:val="18"/>
                <w:szCs w:val="18"/>
                <w:lang w:val="en-CA"/>
              </w:rPr>
              <w:t xml:space="preserve">List of human-wildlife conflict hotspots to be confirmed and reference value of the indicator to be determined in the </w:t>
            </w:r>
            <w:r w:rsidRPr="006E490C">
              <w:rPr>
                <w:bCs/>
                <w:sz w:val="18"/>
                <w:szCs w:val="18"/>
                <w:lang w:val="en-CA"/>
              </w:rPr>
              <w:lastRenderedPageBreak/>
              <w:t>first year of the project</w:t>
            </w:r>
          </w:p>
        </w:tc>
        <w:tc>
          <w:tcPr>
            <w:tcW w:w="1552" w:type="dxa"/>
            <w:vMerge w:val="restart"/>
            <w:tcBorders>
              <w:top w:val="single" w:sz="4" w:space="0" w:color="auto"/>
              <w:left w:val="single" w:sz="4" w:space="0" w:color="auto"/>
              <w:bottom w:val="single" w:sz="4" w:space="0" w:color="auto"/>
              <w:right w:val="single" w:sz="4" w:space="0" w:color="auto"/>
            </w:tcBorders>
          </w:tcPr>
          <w:p w14:paraId="7ABDC725" w14:textId="77777777" w:rsidR="00302BFE" w:rsidRPr="006E490C" w:rsidRDefault="00302BFE" w:rsidP="00243B15">
            <w:pPr>
              <w:jc w:val="left"/>
              <w:rPr>
                <w:rFonts w:ascii="Times New Roman" w:hAnsi="Times New Roman"/>
                <w:bCs/>
                <w:i/>
                <w:sz w:val="18"/>
                <w:szCs w:val="18"/>
                <w:lang w:val="fr-CA"/>
              </w:rPr>
            </w:pPr>
            <w:r w:rsidRPr="006E490C">
              <w:rPr>
                <w:bCs/>
                <w:i/>
                <w:sz w:val="18"/>
                <w:szCs w:val="18"/>
                <w:lang w:val="fr-CA"/>
              </w:rPr>
              <w:lastRenderedPageBreak/>
              <w:t>Decrease in conflicts by 30%</w:t>
            </w:r>
          </w:p>
        </w:tc>
        <w:tc>
          <w:tcPr>
            <w:tcW w:w="1552" w:type="dxa"/>
            <w:vMerge w:val="restart"/>
            <w:tcBorders>
              <w:top w:val="single" w:sz="4" w:space="0" w:color="auto"/>
              <w:left w:val="single" w:sz="4" w:space="0" w:color="auto"/>
              <w:bottom w:val="single" w:sz="4" w:space="0" w:color="auto"/>
              <w:right w:val="single" w:sz="4" w:space="0" w:color="auto"/>
            </w:tcBorders>
          </w:tcPr>
          <w:p w14:paraId="5D8DCB41" w14:textId="77777777" w:rsidR="00302BFE" w:rsidRPr="006E490C" w:rsidRDefault="00302BFE" w:rsidP="00243B15">
            <w:pPr>
              <w:jc w:val="left"/>
              <w:rPr>
                <w:rFonts w:ascii="Times New Roman" w:hAnsi="Times New Roman"/>
                <w:bCs/>
                <w:i/>
                <w:sz w:val="18"/>
                <w:szCs w:val="18"/>
                <w:lang w:val="fr-CA"/>
              </w:rPr>
            </w:pPr>
            <w:r w:rsidRPr="006E490C">
              <w:rPr>
                <w:bCs/>
                <w:i/>
                <w:sz w:val="18"/>
                <w:szCs w:val="18"/>
                <w:lang w:val="fr-CA"/>
              </w:rPr>
              <w:t>Decrease in conflicts by 70%</w:t>
            </w:r>
          </w:p>
        </w:tc>
        <w:tc>
          <w:tcPr>
            <w:tcW w:w="4712" w:type="dxa"/>
            <w:tcBorders>
              <w:top w:val="single" w:sz="4" w:space="0" w:color="auto"/>
              <w:left w:val="single" w:sz="4" w:space="0" w:color="auto"/>
              <w:bottom w:val="single" w:sz="4" w:space="0" w:color="auto"/>
              <w:right w:val="single" w:sz="4" w:space="0" w:color="auto"/>
            </w:tcBorders>
            <w:hideMark/>
          </w:tcPr>
          <w:p w14:paraId="23BB5D59" w14:textId="77777777" w:rsidR="00302BFE" w:rsidRPr="006E490C" w:rsidRDefault="00302BFE" w:rsidP="00243B15">
            <w:pPr>
              <w:jc w:val="left"/>
              <w:rPr>
                <w:bCs/>
                <w:i/>
                <w:sz w:val="18"/>
                <w:szCs w:val="18"/>
                <w:lang w:val="en-CA"/>
              </w:rPr>
            </w:pPr>
            <w:r w:rsidRPr="006E490C">
              <w:rPr>
                <w:bCs/>
                <w:i/>
                <w:sz w:val="18"/>
                <w:szCs w:val="18"/>
                <w:lang w:val="en-CA"/>
              </w:rPr>
              <w:t>Data collection source / method</w:t>
            </w:r>
          </w:p>
          <w:p w14:paraId="65F8E5EA" w14:textId="77777777" w:rsidR="00302BFE" w:rsidRPr="006E490C" w:rsidRDefault="00302BFE" w:rsidP="00243B15">
            <w:pPr>
              <w:jc w:val="left"/>
              <w:rPr>
                <w:sz w:val="18"/>
                <w:szCs w:val="18"/>
                <w:lang w:val="en-CA"/>
              </w:rPr>
            </w:pPr>
            <w:r w:rsidRPr="006E490C">
              <w:rPr>
                <w:sz w:val="18"/>
                <w:szCs w:val="18"/>
                <w:lang w:val="en-CA"/>
              </w:rPr>
              <w:t>Activity report of the management structure of the PONASI complex</w:t>
            </w:r>
          </w:p>
        </w:tc>
      </w:tr>
      <w:tr w:rsidR="00302BFE" w:rsidRPr="006E490C" w14:paraId="38F6A738" w14:textId="77777777" w:rsidTr="00243B15">
        <w:tc>
          <w:tcPr>
            <w:tcW w:w="2006" w:type="dxa"/>
            <w:vMerge/>
            <w:tcBorders>
              <w:left w:val="single" w:sz="4" w:space="0" w:color="auto"/>
              <w:right w:val="single" w:sz="4" w:space="0" w:color="auto"/>
            </w:tcBorders>
            <w:vAlign w:val="center"/>
            <w:hideMark/>
          </w:tcPr>
          <w:p w14:paraId="45695E85" w14:textId="77777777" w:rsidR="00302BFE" w:rsidRPr="006E490C" w:rsidRDefault="00302BFE" w:rsidP="00243B15">
            <w:pPr>
              <w:spacing w:after="0"/>
              <w:jc w:val="left"/>
              <w:rPr>
                <w:rFonts w:ascii="Times New Roman" w:hAnsi="Times New Roman"/>
                <w:b/>
                <w:bCs/>
                <w:sz w:val="18"/>
                <w:szCs w:val="18"/>
                <w:lang w:val="en-CA"/>
              </w:rPr>
            </w:pPr>
          </w:p>
        </w:tc>
        <w:tc>
          <w:tcPr>
            <w:tcW w:w="3016" w:type="dxa"/>
            <w:vMerge/>
            <w:tcBorders>
              <w:top w:val="single" w:sz="4" w:space="0" w:color="auto"/>
              <w:left w:val="single" w:sz="4" w:space="0" w:color="auto"/>
              <w:bottom w:val="single" w:sz="4" w:space="0" w:color="auto"/>
              <w:right w:val="single" w:sz="4" w:space="0" w:color="auto"/>
            </w:tcBorders>
            <w:vAlign w:val="center"/>
            <w:hideMark/>
          </w:tcPr>
          <w:p w14:paraId="765BF558" w14:textId="77777777" w:rsidR="00302BFE" w:rsidRPr="006E490C" w:rsidRDefault="00302BFE" w:rsidP="00243B15">
            <w:pPr>
              <w:spacing w:after="0"/>
              <w:jc w:val="left"/>
              <w:rPr>
                <w:rFonts w:ascii="Times New Roman" w:hAnsi="Times New Roman"/>
                <w:bCs/>
                <w:i/>
                <w:sz w:val="18"/>
                <w:szCs w:val="18"/>
                <w:lang w:val="en-CA"/>
              </w:rPr>
            </w:pPr>
          </w:p>
        </w:tc>
        <w:tc>
          <w:tcPr>
            <w:tcW w:w="1552" w:type="dxa"/>
            <w:vMerge/>
            <w:tcBorders>
              <w:top w:val="single" w:sz="4" w:space="0" w:color="auto"/>
              <w:left w:val="single" w:sz="4" w:space="0" w:color="auto"/>
              <w:bottom w:val="single" w:sz="4" w:space="0" w:color="auto"/>
              <w:right w:val="single" w:sz="4" w:space="0" w:color="auto"/>
            </w:tcBorders>
            <w:vAlign w:val="center"/>
          </w:tcPr>
          <w:p w14:paraId="40E039CA" w14:textId="77777777" w:rsidR="00302BFE" w:rsidRPr="006E490C" w:rsidRDefault="00302BFE" w:rsidP="00243B15">
            <w:pPr>
              <w:spacing w:after="0"/>
              <w:jc w:val="left"/>
              <w:rPr>
                <w:rFonts w:ascii="Times New Roman" w:hAnsi="Times New Roman"/>
                <w:bCs/>
                <w:i/>
                <w:sz w:val="18"/>
                <w:szCs w:val="18"/>
                <w:lang w:val="en-CA"/>
              </w:rPr>
            </w:pPr>
          </w:p>
        </w:tc>
        <w:tc>
          <w:tcPr>
            <w:tcW w:w="1552" w:type="dxa"/>
            <w:vMerge/>
            <w:tcBorders>
              <w:top w:val="single" w:sz="4" w:space="0" w:color="auto"/>
              <w:left w:val="single" w:sz="4" w:space="0" w:color="auto"/>
              <w:bottom w:val="single" w:sz="4" w:space="0" w:color="auto"/>
              <w:right w:val="single" w:sz="4" w:space="0" w:color="auto"/>
            </w:tcBorders>
            <w:vAlign w:val="center"/>
          </w:tcPr>
          <w:p w14:paraId="7515C7EE" w14:textId="77777777" w:rsidR="00302BFE" w:rsidRPr="006E490C" w:rsidRDefault="00302BFE" w:rsidP="00243B15">
            <w:pPr>
              <w:spacing w:after="0"/>
              <w:jc w:val="left"/>
              <w:rPr>
                <w:rFonts w:ascii="Times New Roman" w:hAnsi="Times New Roman"/>
                <w:bCs/>
                <w:i/>
                <w:sz w:val="18"/>
                <w:szCs w:val="18"/>
                <w:lang w:val="en-CA"/>
              </w:rPr>
            </w:pPr>
          </w:p>
        </w:tc>
        <w:tc>
          <w:tcPr>
            <w:tcW w:w="1552" w:type="dxa"/>
            <w:vMerge/>
            <w:tcBorders>
              <w:top w:val="single" w:sz="4" w:space="0" w:color="auto"/>
              <w:left w:val="single" w:sz="4" w:space="0" w:color="auto"/>
              <w:bottom w:val="single" w:sz="4" w:space="0" w:color="auto"/>
              <w:right w:val="single" w:sz="4" w:space="0" w:color="auto"/>
            </w:tcBorders>
            <w:vAlign w:val="center"/>
          </w:tcPr>
          <w:p w14:paraId="5FA3F596" w14:textId="77777777" w:rsidR="00302BFE" w:rsidRPr="006E490C" w:rsidRDefault="00302BFE" w:rsidP="00243B15">
            <w:pPr>
              <w:spacing w:after="0"/>
              <w:jc w:val="left"/>
              <w:rPr>
                <w:rFonts w:ascii="Times New Roman" w:hAnsi="Times New Roman"/>
                <w:bCs/>
                <w:i/>
                <w:sz w:val="18"/>
                <w:szCs w:val="18"/>
                <w:lang w:val="en-CA"/>
              </w:rPr>
            </w:pPr>
          </w:p>
        </w:tc>
        <w:tc>
          <w:tcPr>
            <w:tcW w:w="4712" w:type="dxa"/>
            <w:tcBorders>
              <w:top w:val="single" w:sz="4" w:space="0" w:color="auto"/>
              <w:left w:val="single" w:sz="4" w:space="0" w:color="auto"/>
              <w:bottom w:val="single" w:sz="4" w:space="0" w:color="auto"/>
              <w:right w:val="single" w:sz="4" w:space="0" w:color="auto"/>
            </w:tcBorders>
          </w:tcPr>
          <w:p w14:paraId="30116CB6" w14:textId="77777777" w:rsidR="00302BFE" w:rsidRPr="006E490C" w:rsidRDefault="00302BFE" w:rsidP="00243B15">
            <w:pPr>
              <w:jc w:val="left"/>
              <w:rPr>
                <w:sz w:val="18"/>
                <w:szCs w:val="18"/>
                <w:lang w:val="en-CA"/>
              </w:rPr>
            </w:pPr>
            <w:r w:rsidRPr="006E490C">
              <w:rPr>
                <w:i/>
                <w:sz w:val="18"/>
                <w:szCs w:val="18"/>
                <w:lang w:val="en-CA"/>
              </w:rPr>
              <w:t>Risks</w:t>
            </w:r>
            <w:r w:rsidRPr="006E490C">
              <w:rPr>
                <w:sz w:val="18"/>
                <w:szCs w:val="18"/>
                <w:lang w:val="en-CA"/>
              </w:rPr>
              <w:t>:</w:t>
            </w:r>
          </w:p>
          <w:p w14:paraId="27844734" w14:textId="77777777" w:rsidR="00302BFE" w:rsidRPr="006E490C" w:rsidRDefault="00302BFE" w:rsidP="00243B15">
            <w:pPr>
              <w:jc w:val="left"/>
              <w:rPr>
                <w:sz w:val="18"/>
                <w:szCs w:val="18"/>
                <w:lang w:val="en-CA"/>
              </w:rPr>
            </w:pPr>
            <w:r w:rsidRPr="006E490C">
              <w:rPr>
                <w:sz w:val="18"/>
                <w:szCs w:val="18"/>
                <w:lang w:val="en-CA"/>
              </w:rPr>
              <w:t>Insufficient financial resources to implement the human-wildlife conflict reduction strategy</w:t>
            </w:r>
          </w:p>
          <w:p w14:paraId="18AC5B80" w14:textId="77777777" w:rsidR="00302BFE" w:rsidRPr="006E490C" w:rsidRDefault="00302BFE" w:rsidP="00243B15">
            <w:pPr>
              <w:jc w:val="left"/>
              <w:rPr>
                <w:sz w:val="18"/>
                <w:szCs w:val="18"/>
                <w:lang w:val="en-CA"/>
              </w:rPr>
            </w:pPr>
            <w:r w:rsidRPr="006E490C">
              <w:rPr>
                <w:i/>
                <w:sz w:val="18"/>
                <w:szCs w:val="18"/>
                <w:lang w:val="en-CA"/>
              </w:rPr>
              <w:lastRenderedPageBreak/>
              <w:t>Assumptions</w:t>
            </w:r>
            <w:r w:rsidRPr="006E490C">
              <w:rPr>
                <w:sz w:val="18"/>
                <w:szCs w:val="18"/>
                <w:lang w:val="en-CA"/>
              </w:rPr>
              <w:t>:</w:t>
            </w:r>
          </w:p>
          <w:p w14:paraId="273F0D86" w14:textId="77777777" w:rsidR="00302BFE" w:rsidRPr="006E490C" w:rsidRDefault="00302BFE" w:rsidP="00243B15">
            <w:pPr>
              <w:jc w:val="left"/>
              <w:rPr>
                <w:sz w:val="18"/>
                <w:szCs w:val="18"/>
                <w:lang w:val="en-CA"/>
              </w:rPr>
            </w:pPr>
            <w:r w:rsidRPr="006E490C">
              <w:rPr>
                <w:sz w:val="18"/>
                <w:szCs w:val="18"/>
                <w:lang w:val="en-CA"/>
              </w:rPr>
              <w:t>Commitment of stakeholders and especially local communities to the SAFE Systems approach and to identify and implement solutions to reduce human-wildlife conflicts</w:t>
            </w:r>
          </w:p>
        </w:tc>
      </w:tr>
      <w:tr w:rsidR="00302BFE" w:rsidRPr="006E490C" w14:paraId="5CA5871F" w14:textId="77777777" w:rsidTr="00243B15">
        <w:tc>
          <w:tcPr>
            <w:tcW w:w="2006" w:type="dxa"/>
            <w:vMerge/>
            <w:tcBorders>
              <w:left w:val="single" w:sz="4" w:space="0" w:color="auto"/>
              <w:right w:val="single" w:sz="4" w:space="0" w:color="auto"/>
            </w:tcBorders>
            <w:vAlign w:val="center"/>
          </w:tcPr>
          <w:p w14:paraId="6979EB81" w14:textId="77777777" w:rsidR="00302BFE" w:rsidRPr="006E490C" w:rsidRDefault="00302BFE" w:rsidP="00243B15">
            <w:pPr>
              <w:spacing w:after="0"/>
              <w:jc w:val="left"/>
              <w:rPr>
                <w:rFonts w:ascii="Times New Roman" w:hAnsi="Times New Roman"/>
                <w:b/>
                <w:bCs/>
                <w:sz w:val="18"/>
                <w:szCs w:val="18"/>
                <w:lang w:val="en-CA"/>
              </w:rPr>
            </w:pPr>
          </w:p>
        </w:tc>
        <w:tc>
          <w:tcPr>
            <w:tcW w:w="3016" w:type="dxa"/>
            <w:vMerge w:val="restart"/>
            <w:tcBorders>
              <w:top w:val="single" w:sz="4" w:space="0" w:color="auto"/>
              <w:left w:val="single" w:sz="4" w:space="0" w:color="auto"/>
              <w:right w:val="single" w:sz="4" w:space="0" w:color="auto"/>
            </w:tcBorders>
            <w:vAlign w:val="center"/>
          </w:tcPr>
          <w:p w14:paraId="054C9DBE" w14:textId="77777777" w:rsidR="00302BFE" w:rsidRPr="006E490C" w:rsidRDefault="00302BFE" w:rsidP="00243B15">
            <w:pPr>
              <w:spacing w:after="0"/>
              <w:jc w:val="left"/>
              <w:rPr>
                <w:bCs/>
                <w:i/>
                <w:sz w:val="18"/>
                <w:szCs w:val="18"/>
                <w:u w:val="single"/>
                <w:lang w:val="en-CA"/>
              </w:rPr>
            </w:pPr>
            <w:r w:rsidRPr="006E490C">
              <w:rPr>
                <w:bCs/>
                <w:i/>
                <w:sz w:val="18"/>
                <w:szCs w:val="18"/>
                <w:u w:val="single"/>
                <w:lang w:val="en-CA"/>
              </w:rPr>
              <w:t>Indicator 9:</w:t>
            </w:r>
          </w:p>
          <w:p w14:paraId="674C2862" w14:textId="77777777" w:rsidR="00302BFE" w:rsidRPr="006E490C" w:rsidRDefault="00302BFE" w:rsidP="00243B15">
            <w:pPr>
              <w:spacing w:after="0"/>
              <w:jc w:val="left"/>
              <w:rPr>
                <w:bCs/>
                <w:sz w:val="18"/>
                <w:szCs w:val="18"/>
                <w:lang w:val="en-CA"/>
              </w:rPr>
            </w:pPr>
            <w:r w:rsidRPr="006E490C">
              <w:rPr>
                <w:bCs/>
                <w:sz w:val="18"/>
                <w:szCs w:val="18"/>
                <w:lang w:val="en-CA"/>
              </w:rPr>
              <w:t xml:space="preserve">Average annual number of direct and indirect indications (evidence) of illicit activities recorded per patrol outing, including carcasses, snares, visual encounters and arrests of poachers </w:t>
            </w:r>
          </w:p>
        </w:tc>
        <w:tc>
          <w:tcPr>
            <w:tcW w:w="1552" w:type="dxa"/>
            <w:vMerge w:val="restart"/>
            <w:tcBorders>
              <w:top w:val="single" w:sz="4" w:space="0" w:color="auto"/>
              <w:left w:val="single" w:sz="4" w:space="0" w:color="auto"/>
              <w:right w:val="single" w:sz="4" w:space="0" w:color="auto"/>
            </w:tcBorders>
          </w:tcPr>
          <w:p w14:paraId="6FB637CD" w14:textId="77777777" w:rsidR="00302BFE" w:rsidRPr="006E490C" w:rsidRDefault="00302BFE" w:rsidP="00243B15">
            <w:pPr>
              <w:spacing w:after="0"/>
              <w:jc w:val="left"/>
              <w:rPr>
                <w:bCs/>
                <w:i/>
                <w:sz w:val="18"/>
                <w:szCs w:val="18"/>
                <w:lang w:val="en-CA"/>
              </w:rPr>
            </w:pPr>
            <w:r w:rsidRPr="006E490C">
              <w:rPr>
                <w:bCs/>
                <w:sz w:val="18"/>
                <w:szCs w:val="18"/>
                <w:lang w:val="en-CA"/>
              </w:rPr>
              <w:t>To be determined during the 1</w:t>
            </w:r>
            <w:r w:rsidRPr="006E490C">
              <w:rPr>
                <w:bCs/>
                <w:sz w:val="18"/>
                <w:szCs w:val="18"/>
                <w:vertAlign w:val="superscript"/>
                <w:lang w:val="en-CA"/>
              </w:rPr>
              <w:t>st</w:t>
            </w:r>
            <w:r w:rsidRPr="006E490C">
              <w:rPr>
                <w:bCs/>
                <w:sz w:val="18"/>
                <w:szCs w:val="18"/>
                <w:lang w:val="en-CA"/>
              </w:rPr>
              <w:t xml:space="preserve"> year of the project</w:t>
            </w:r>
          </w:p>
        </w:tc>
        <w:tc>
          <w:tcPr>
            <w:tcW w:w="1552" w:type="dxa"/>
            <w:vMerge w:val="restart"/>
            <w:tcBorders>
              <w:top w:val="single" w:sz="4" w:space="0" w:color="auto"/>
              <w:left w:val="single" w:sz="4" w:space="0" w:color="auto"/>
              <w:right w:val="single" w:sz="4" w:space="0" w:color="auto"/>
            </w:tcBorders>
          </w:tcPr>
          <w:p w14:paraId="3C87AB82" w14:textId="77777777" w:rsidR="00302BFE" w:rsidRPr="006E490C" w:rsidRDefault="00302BFE" w:rsidP="00243B15">
            <w:pPr>
              <w:spacing w:after="0"/>
              <w:jc w:val="left"/>
              <w:rPr>
                <w:bCs/>
                <w:sz w:val="18"/>
                <w:szCs w:val="18"/>
                <w:lang w:val="fr-CA"/>
              </w:rPr>
            </w:pPr>
            <w:r w:rsidRPr="006E490C">
              <w:rPr>
                <w:bCs/>
                <w:sz w:val="18"/>
                <w:szCs w:val="18"/>
                <w:lang w:val="fr-CA"/>
              </w:rPr>
              <w:t>20% reduction</w:t>
            </w:r>
          </w:p>
        </w:tc>
        <w:tc>
          <w:tcPr>
            <w:tcW w:w="1552" w:type="dxa"/>
            <w:vMerge w:val="restart"/>
            <w:tcBorders>
              <w:top w:val="single" w:sz="4" w:space="0" w:color="auto"/>
              <w:left w:val="single" w:sz="4" w:space="0" w:color="auto"/>
              <w:right w:val="single" w:sz="4" w:space="0" w:color="auto"/>
            </w:tcBorders>
          </w:tcPr>
          <w:p w14:paraId="3BCB73C4" w14:textId="77777777" w:rsidR="00302BFE" w:rsidRPr="006E490C" w:rsidRDefault="00302BFE" w:rsidP="00243B15">
            <w:pPr>
              <w:spacing w:after="0"/>
              <w:jc w:val="left"/>
              <w:rPr>
                <w:bCs/>
                <w:sz w:val="18"/>
                <w:szCs w:val="18"/>
                <w:lang w:val="fr-CA"/>
              </w:rPr>
            </w:pPr>
            <w:r w:rsidRPr="006E490C">
              <w:rPr>
                <w:bCs/>
                <w:sz w:val="18"/>
                <w:szCs w:val="18"/>
                <w:lang w:val="fr-CA"/>
              </w:rPr>
              <w:t>50% reduction</w:t>
            </w:r>
          </w:p>
        </w:tc>
        <w:tc>
          <w:tcPr>
            <w:tcW w:w="4712" w:type="dxa"/>
            <w:tcBorders>
              <w:top w:val="single" w:sz="4" w:space="0" w:color="auto"/>
              <w:left w:val="single" w:sz="4" w:space="0" w:color="auto"/>
              <w:bottom w:val="single" w:sz="4" w:space="0" w:color="auto"/>
              <w:right w:val="single" w:sz="4" w:space="0" w:color="auto"/>
            </w:tcBorders>
          </w:tcPr>
          <w:p w14:paraId="0725025E" w14:textId="77777777" w:rsidR="00302BFE" w:rsidRPr="006E490C" w:rsidRDefault="00302BFE" w:rsidP="00243B15">
            <w:pPr>
              <w:jc w:val="left"/>
              <w:rPr>
                <w:bCs/>
                <w:i/>
                <w:sz w:val="18"/>
                <w:szCs w:val="18"/>
                <w:lang w:val="en-CA"/>
              </w:rPr>
            </w:pPr>
            <w:r w:rsidRPr="006E490C">
              <w:rPr>
                <w:bCs/>
                <w:i/>
                <w:sz w:val="18"/>
                <w:szCs w:val="18"/>
                <w:lang w:val="en-CA"/>
              </w:rPr>
              <w:t>Data collection source / method</w:t>
            </w:r>
          </w:p>
          <w:p w14:paraId="31D893A9" w14:textId="77777777" w:rsidR="00302BFE" w:rsidRPr="006E490C" w:rsidRDefault="00302BFE" w:rsidP="00243B15">
            <w:pPr>
              <w:jc w:val="left"/>
              <w:rPr>
                <w:sz w:val="18"/>
                <w:szCs w:val="18"/>
                <w:lang w:val="en-CA"/>
              </w:rPr>
            </w:pPr>
            <w:r w:rsidRPr="006E490C">
              <w:rPr>
                <w:sz w:val="18"/>
                <w:szCs w:val="18"/>
                <w:lang w:val="en-CA"/>
              </w:rPr>
              <w:t>SMART reports (Spatial Monitoring and Reporting Tool) of PA surveillance patrols</w:t>
            </w:r>
          </w:p>
        </w:tc>
      </w:tr>
      <w:tr w:rsidR="00302BFE" w:rsidRPr="006E490C" w14:paraId="43FA5798" w14:textId="77777777" w:rsidTr="00243B15">
        <w:tc>
          <w:tcPr>
            <w:tcW w:w="2006" w:type="dxa"/>
            <w:vMerge/>
            <w:tcBorders>
              <w:left w:val="single" w:sz="4" w:space="0" w:color="auto"/>
              <w:right w:val="single" w:sz="4" w:space="0" w:color="auto"/>
            </w:tcBorders>
            <w:vAlign w:val="center"/>
          </w:tcPr>
          <w:p w14:paraId="553D8A1A" w14:textId="77777777" w:rsidR="00302BFE" w:rsidRPr="006E490C" w:rsidRDefault="00302BFE" w:rsidP="00243B15">
            <w:pPr>
              <w:spacing w:after="0"/>
              <w:jc w:val="left"/>
              <w:rPr>
                <w:rFonts w:ascii="Times New Roman" w:hAnsi="Times New Roman"/>
                <w:b/>
                <w:bCs/>
                <w:sz w:val="18"/>
                <w:szCs w:val="18"/>
                <w:lang w:val="en-CA"/>
              </w:rPr>
            </w:pPr>
          </w:p>
        </w:tc>
        <w:tc>
          <w:tcPr>
            <w:tcW w:w="3016" w:type="dxa"/>
            <w:vMerge/>
            <w:tcBorders>
              <w:left w:val="single" w:sz="4" w:space="0" w:color="auto"/>
              <w:bottom w:val="single" w:sz="4" w:space="0" w:color="auto"/>
              <w:right w:val="single" w:sz="4" w:space="0" w:color="auto"/>
            </w:tcBorders>
            <w:vAlign w:val="center"/>
          </w:tcPr>
          <w:p w14:paraId="34E7D91E" w14:textId="77777777" w:rsidR="00302BFE" w:rsidRPr="006E490C" w:rsidRDefault="00302BFE" w:rsidP="00243B15">
            <w:pPr>
              <w:rPr>
                <w:bCs/>
                <w:i/>
                <w:sz w:val="18"/>
                <w:szCs w:val="18"/>
                <w:lang w:val="en-CA"/>
              </w:rPr>
            </w:pPr>
          </w:p>
        </w:tc>
        <w:tc>
          <w:tcPr>
            <w:tcW w:w="1552" w:type="dxa"/>
            <w:vMerge/>
            <w:tcBorders>
              <w:left w:val="single" w:sz="4" w:space="0" w:color="auto"/>
              <w:bottom w:val="single" w:sz="4" w:space="0" w:color="auto"/>
              <w:right w:val="single" w:sz="4" w:space="0" w:color="auto"/>
            </w:tcBorders>
          </w:tcPr>
          <w:p w14:paraId="3D812D4A" w14:textId="77777777" w:rsidR="00302BFE" w:rsidRPr="006E490C" w:rsidRDefault="00302BFE" w:rsidP="00243B15">
            <w:pPr>
              <w:spacing w:after="0"/>
              <w:jc w:val="left"/>
              <w:rPr>
                <w:bCs/>
                <w:i/>
                <w:sz w:val="18"/>
                <w:szCs w:val="18"/>
                <w:lang w:val="en-CA"/>
              </w:rPr>
            </w:pPr>
          </w:p>
        </w:tc>
        <w:tc>
          <w:tcPr>
            <w:tcW w:w="1552" w:type="dxa"/>
            <w:vMerge/>
            <w:tcBorders>
              <w:left w:val="single" w:sz="4" w:space="0" w:color="auto"/>
              <w:bottom w:val="single" w:sz="4" w:space="0" w:color="auto"/>
              <w:right w:val="single" w:sz="4" w:space="0" w:color="auto"/>
            </w:tcBorders>
          </w:tcPr>
          <w:p w14:paraId="1FB33E1C" w14:textId="77777777" w:rsidR="00302BFE" w:rsidRPr="006E490C" w:rsidRDefault="00302BFE" w:rsidP="00243B15">
            <w:pPr>
              <w:spacing w:after="0"/>
              <w:jc w:val="left"/>
              <w:rPr>
                <w:bCs/>
                <w:i/>
                <w:sz w:val="18"/>
                <w:szCs w:val="18"/>
                <w:lang w:val="en-CA"/>
              </w:rPr>
            </w:pPr>
          </w:p>
        </w:tc>
        <w:tc>
          <w:tcPr>
            <w:tcW w:w="1552" w:type="dxa"/>
            <w:vMerge/>
            <w:tcBorders>
              <w:left w:val="single" w:sz="4" w:space="0" w:color="auto"/>
              <w:bottom w:val="single" w:sz="4" w:space="0" w:color="auto"/>
              <w:right w:val="single" w:sz="4" w:space="0" w:color="auto"/>
            </w:tcBorders>
          </w:tcPr>
          <w:p w14:paraId="3A6283ED" w14:textId="77777777" w:rsidR="00302BFE" w:rsidRPr="006E490C" w:rsidRDefault="00302BFE" w:rsidP="00243B15">
            <w:pPr>
              <w:spacing w:after="0"/>
              <w:jc w:val="left"/>
              <w:rPr>
                <w:bCs/>
                <w:i/>
                <w:sz w:val="18"/>
                <w:szCs w:val="18"/>
                <w:lang w:val="en-CA"/>
              </w:rPr>
            </w:pPr>
          </w:p>
        </w:tc>
        <w:tc>
          <w:tcPr>
            <w:tcW w:w="4712" w:type="dxa"/>
            <w:tcBorders>
              <w:top w:val="single" w:sz="4" w:space="0" w:color="auto"/>
              <w:left w:val="single" w:sz="4" w:space="0" w:color="auto"/>
              <w:bottom w:val="single" w:sz="4" w:space="0" w:color="auto"/>
              <w:right w:val="single" w:sz="4" w:space="0" w:color="auto"/>
            </w:tcBorders>
          </w:tcPr>
          <w:p w14:paraId="706BE713" w14:textId="77777777" w:rsidR="00302BFE" w:rsidRPr="006E490C" w:rsidRDefault="00302BFE" w:rsidP="00243B15">
            <w:pPr>
              <w:jc w:val="left"/>
              <w:rPr>
                <w:sz w:val="18"/>
                <w:szCs w:val="18"/>
                <w:lang w:val="en-CA"/>
              </w:rPr>
            </w:pPr>
            <w:r w:rsidRPr="006E490C">
              <w:rPr>
                <w:i/>
                <w:sz w:val="18"/>
                <w:szCs w:val="18"/>
                <w:lang w:val="en-CA"/>
              </w:rPr>
              <w:t>Risks</w:t>
            </w:r>
            <w:r w:rsidRPr="006E490C">
              <w:rPr>
                <w:sz w:val="18"/>
                <w:szCs w:val="18"/>
                <w:lang w:val="en-CA"/>
              </w:rPr>
              <w:t>:</w:t>
            </w:r>
          </w:p>
          <w:p w14:paraId="768CA4C8" w14:textId="77777777" w:rsidR="00302BFE" w:rsidRPr="006E490C" w:rsidRDefault="00302BFE" w:rsidP="00243B15">
            <w:pPr>
              <w:jc w:val="left"/>
              <w:rPr>
                <w:sz w:val="18"/>
                <w:szCs w:val="18"/>
                <w:lang w:val="en-CA"/>
              </w:rPr>
            </w:pPr>
            <w:r w:rsidRPr="006E490C">
              <w:rPr>
                <w:sz w:val="18"/>
                <w:szCs w:val="18"/>
                <w:lang w:val="en-CA"/>
              </w:rPr>
              <w:t>Insufficient resources allocated to surveillance (staff, equipment, logistics) hinders its effectiveness</w:t>
            </w:r>
          </w:p>
          <w:p w14:paraId="0C9A879E" w14:textId="77777777" w:rsidR="00302BFE" w:rsidRPr="006E490C" w:rsidRDefault="00302BFE" w:rsidP="00243B15">
            <w:pPr>
              <w:jc w:val="left"/>
              <w:rPr>
                <w:sz w:val="18"/>
                <w:szCs w:val="18"/>
                <w:lang w:val="en-CA"/>
              </w:rPr>
            </w:pPr>
            <w:r w:rsidRPr="006E490C">
              <w:rPr>
                <w:i/>
                <w:sz w:val="18"/>
                <w:szCs w:val="18"/>
                <w:lang w:val="en-CA"/>
              </w:rPr>
              <w:t>Assumptions</w:t>
            </w:r>
            <w:r w:rsidRPr="006E490C">
              <w:rPr>
                <w:sz w:val="18"/>
                <w:szCs w:val="18"/>
                <w:lang w:val="en-CA"/>
              </w:rPr>
              <w:t>:</w:t>
            </w:r>
          </w:p>
          <w:p w14:paraId="1F516EB9" w14:textId="77777777" w:rsidR="00302BFE" w:rsidRPr="006E490C" w:rsidRDefault="00302BFE" w:rsidP="00243B15">
            <w:pPr>
              <w:jc w:val="left"/>
              <w:rPr>
                <w:sz w:val="18"/>
                <w:szCs w:val="18"/>
                <w:lang w:val="en-CA"/>
              </w:rPr>
            </w:pPr>
            <w:r w:rsidRPr="006E490C">
              <w:rPr>
                <w:sz w:val="18"/>
                <w:szCs w:val="18"/>
                <w:lang w:val="en-CA"/>
              </w:rPr>
              <w:t>The frequency and coverage of surveillance patrols is adequate to provide the information necessary for effective control of poaching activities.</w:t>
            </w:r>
          </w:p>
          <w:p w14:paraId="12117D23" w14:textId="77777777" w:rsidR="00302BFE" w:rsidRPr="006E490C" w:rsidRDefault="00302BFE" w:rsidP="00243B15">
            <w:pPr>
              <w:jc w:val="left"/>
              <w:rPr>
                <w:sz w:val="18"/>
                <w:szCs w:val="18"/>
                <w:lang w:val="en-CA"/>
              </w:rPr>
            </w:pPr>
            <w:r w:rsidRPr="006E490C">
              <w:rPr>
                <w:sz w:val="18"/>
                <w:szCs w:val="18"/>
                <w:lang w:val="en-CA"/>
              </w:rPr>
              <w:t>Poachers arrests are followed by appropriate legal action as provided for in the law.</w:t>
            </w:r>
          </w:p>
        </w:tc>
      </w:tr>
      <w:tr w:rsidR="00302BFE" w:rsidRPr="006E490C" w14:paraId="523F4D53" w14:textId="77777777" w:rsidTr="00243B15">
        <w:tc>
          <w:tcPr>
            <w:tcW w:w="2006" w:type="dxa"/>
            <w:vMerge/>
            <w:tcBorders>
              <w:left w:val="single" w:sz="4" w:space="0" w:color="auto"/>
              <w:bottom w:val="single" w:sz="4" w:space="0" w:color="auto"/>
              <w:right w:val="single" w:sz="4" w:space="0" w:color="auto"/>
            </w:tcBorders>
            <w:vAlign w:val="center"/>
          </w:tcPr>
          <w:p w14:paraId="75FF3EAD" w14:textId="77777777" w:rsidR="00302BFE" w:rsidRPr="006E490C" w:rsidRDefault="00302BFE" w:rsidP="00243B15">
            <w:pPr>
              <w:spacing w:after="0"/>
              <w:jc w:val="left"/>
              <w:rPr>
                <w:rFonts w:ascii="Times New Roman" w:hAnsi="Times New Roman"/>
                <w:b/>
                <w:bCs/>
                <w:sz w:val="18"/>
                <w:szCs w:val="18"/>
                <w:lang w:val="en-CA"/>
              </w:rPr>
            </w:pPr>
          </w:p>
        </w:tc>
        <w:tc>
          <w:tcPr>
            <w:tcW w:w="3016" w:type="dxa"/>
            <w:tcBorders>
              <w:left w:val="single" w:sz="4" w:space="0" w:color="auto"/>
              <w:bottom w:val="single" w:sz="4" w:space="0" w:color="auto"/>
              <w:right w:val="single" w:sz="4" w:space="0" w:color="auto"/>
            </w:tcBorders>
            <w:vAlign w:val="center"/>
          </w:tcPr>
          <w:p w14:paraId="5C147898" w14:textId="77777777" w:rsidR="00302BFE" w:rsidRPr="006E490C" w:rsidRDefault="00302BFE" w:rsidP="00243B15">
            <w:pPr>
              <w:jc w:val="left"/>
              <w:rPr>
                <w:bCs/>
                <w:i/>
                <w:sz w:val="18"/>
                <w:szCs w:val="18"/>
                <w:u w:val="single"/>
                <w:lang w:val="en-CA"/>
              </w:rPr>
            </w:pPr>
            <w:r w:rsidRPr="006E490C">
              <w:rPr>
                <w:bCs/>
                <w:i/>
                <w:sz w:val="18"/>
                <w:szCs w:val="18"/>
                <w:u w:val="single"/>
                <w:lang w:val="en-CA"/>
              </w:rPr>
              <w:t>Indicator 10:</w:t>
            </w:r>
          </w:p>
          <w:p w14:paraId="186341E7" w14:textId="77777777" w:rsidR="00302BFE" w:rsidRPr="006E490C" w:rsidRDefault="00302BFE" w:rsidP="00DC7D98">
            <w:pPr>
              <w:spacing w:after="0"/>
              <w:jc w:val="left"/>
              <w:rPr>
                <w:bCs/>
                <w:sz w:val="18"/>
                <w:szCs w:val="18"/>
                <w:lang w:val="en-CA"/>
              </w:rPr>
            </w:pPr>
            <w:r w:rsidRPr="006E490C">
              <w:rPr>
                <w:bCs/>
                <w:sz w:val="18"/>
                <w:szCs w:val="18"/>
                <w:lang w:val="en-CA"/>
              </w:rPr>
              <w:t>Condition of resources in Protected Areas, Including State Protected Areas, ZOVICs, and Corridors</w:t>
            </w:r>
          </w:p>
          <w:p w14:paraId="32E3F6DD" w14:textId="2957BE6F" w:rsidR="00302BFE" w:rsidRPr="006E490C" w:rsidRDefault="00302BFE" w:rsidP="00C46720">
            <w:pPr>
              <w:pStyle w:val="Paragraphedeliste"/>
              <w:numPr>
                <w:ilvl w:val="0"/>
                <w:numId w:val="12"/>
              </w:numPr>
              <w:ind w:left="260" w:hanging="176"/>
              <w:contextualSpacing/>
              <w:rPr>
                <w:rFonts w:ascii="Calibri" w:hAnsi="Calibri"/>
                <w:bCs/>
                <w:sz w:val="18"/>
                <w:szCs w:val="18"/>
                <w:lang w:val="en-CA"/>
              </w:rPr>
            </w:pPr>
            <w:r w:rsidRPr="006E490C">
              <w:rPr>
                <w:rFonts w:ascii="Calibri" w:hAnsi="Calibri"/>
                <w:bCs/>
                <w:sz w:val="18"/>
                <w:szCs w:val="18"/>
                <w:lang w:val="en-CA"/>
              </w:rPr>
              <w:t xml:space="preserve">Relative abundance of large and medium mammals, including Bushbuck </w:t>
            </w:r>
            <w:r w:rsidRPr="006E490C">
              <w:rPr>
                <w:rFonts w:ascii="Calibri" w:hAnsi="Calibri"/>
                <w:bCs/>
                <w:i/>
                <w:sz w:val="18"/>
                <w:szCs w:val="18"/>
                <w:lang w:val="en-CA"/>
              </w:rPr>
              <w:t>Tragelaphus scriptus</w:t>
            </w:r>
            <w:r w:rsidRPr="006E490C">
              <w:rPr>
                <w:rFonts w:ascii="Calibri" w:hAnsi="Calibri"/>
                <w:bCs/>
                <w:sz w:val="18"/>
                <w:szCs w:val="18"/>
                <w:lang w:val="en-CA"/>
              </w:rPr>
              <w:t xml:space="preserve"> and Bohor Reedbuck </w:t>
            </w:r>
            <w:r w:rsidRPr="006E490C">
              <w:rPr>
                <w:rFonts w:ascii="Calibri" w:hAnsi="Calibri"/>
                <w:bCs/>
                <w:i/>
                <w:sz w:val="18"/>
                <w:szCs w:val="18"/>
                <w:lang w:val="en-CA"/>
              </w:rPr>
              <w:t>Redunca redunca</w:t>
            </w:r>
            <w:r w:rsidRPr="006E490C">
              <w:rPr>
                <w:rFonts w:ascii="Calibri" w:hAnsi="Calibri"/>
                <w:bCs/>
                <w:sz w:val="18"/>
                <w:szCs w:val="18"/>
                <w:lang w:val="en-CA"/>
              </w:rPr>
              <w:t>;</w:t>
            </w:r>
          </w:p>
          <w:p w14:paraId="6E823BBF" w14:textId="77777777" w:rsidR="00302BFE" w:rsidRPr="006E490C" w:rsidRDefault="00302BFE" w:rsidP="00C46720">
            <w:pPr>
              <w:pStyle w:val="Paragraphedeliste"/>
              <w:numPr>
                <w:ilvl w:val="0"/>
                <w:numId w:val="12"/>
              </w:numPr>
              <w:ind w:left="260" w:hanging="176"/>
              <w:contextualSpacing/>
              <w:rPr>
                <w:rFonts w:ascii="Calibri" w:hAnsi="Calibri"/>
                <w:bCs/>
                <w:sz w:val="18"/>
                <w:szCs w:val="18"/>
                <w:lang w:val="en-CA"/>
              </w:rPr>
            </w:pPr>
            <w:r w:rsidRPr="006E490C">
              <w:rPr>
                <w:rFonts w:ascii="Calibri" w:hAnsi="Calibri"/>
                <w:bCs/>
                <w:sz w:val="18"/>
                <w:szCs w:val="18"/>
                <w:lang w:val="en-CA"/>
              </w:rPr>
              <w:t xml:space="preserve">Relative abundance of small game, including </w:t>
            </w:r>
            <w:r w:rsidRPr="006E490C">
              <w:rPr>
                <w:rFonts w:ascii="Calibri" w:hAnsi="Calibri"/>
                <w:sz w:val="18"/>
                <w:szCs w:val="18"/>
                <w:lang w:val="en-CA"/>
              </w:rPr>
              <w:t>Turtledoves (various species), Guinea fowl</w:t>
            </w:r>
            <w:r w:rsidRPr="006E490C">
              <w:rPr>
                <w:rFonts w:ascii="Calibri" w:hAnsi="Calibri"/>
                <w:i/>
                <w:sz w:val="18"/>
                <w:szCs w:val="18"/>
                <w:lang w:val="en-CA"/>
              </w:rPr>
              <w:t xml:space="preserve"> (Numida meleagris), </w:t>
            </w:r>
            <w:r w:rsidRPr="006E490C">
              <w:rPr>
                <w:rFonts w:ascii="Calibri" w:hAnsi="Calibri"/>
                <w:sz w:val="18"/>
                <w:szCs w:val="18"/>
                <w:lang w:val="en-CA"/>
              </w:rPr>
              <w:t>and Francolin</w:t>
            </w:r>
            <w:r w:rsidRPr="006E490C">
              <w:rPr>
                <w:rFonts w:ascii="Calibri" w:hAnsi="Calibri"/>
                <w:i/>
                <w:sz w:val="18"/>
                <w:szCs w:val="18"/>
                <w:lang w:val="en-CA"/>
              </w:rPr>
              <w:t xml:space="preserve"> (Francolinus bicalcaratus);</w:t>
            </w:r>
          </w:p>
          <w:p w14:paraId="153B08D3" w14:textId="77777777" w:rsidR="00302BFE" w:rsidRPr="006E490C" w:rsidRDefault="00302BFE" w:rsidP="00C46720">
            <w:pPr>
              <w:pStyle w:val="Paragraphedeliste"/>
              <w:numPr>
                <w:ilvl w:val="0"/>
                <w:numId w:val="12"/>
              </w:numPr>
              <w:ind w:left="260" w:hanging="176"/>
              <w:contextualSpacing/>
              <w:rPr>
                <w:rFonts w:ascii="Calibri" w:hAnsi="Calibri"/>
                <w:bCs/>
                <w:sz w:val="18"/>
                <w:szCs w:val="18"/>
                <w:lang w:val="en-CA"/>
              </w:rPr>
            </w:pPr>
            <w:r w:rsidRPr="006E490C">
              <w:rPr>
                <w:rFonts w:ascii="Calibri" w:hAnsi="Calibri"/>
                <w:bCs/>
                <w:sz w:val="18"/>
                <w:szCs w:val="18"/>
                <w:lang w:val="en-CA"/>
              </w:rPr>
              <w:t>Invasion level of PAs by domestic livestock</w:t>
            </w:r>
          </w:p>
        </w:tc>
        <w:tc>
          <w:tcPr>
            <w:tcW w:w="1552" w:type="dxa"/>
            <w:tcBorders>
              <w:left w:val="single" w:sz="4" w:space="0" w:color="auto"/>
              <w:bottom w:val="single" w:sz="4" w:space="0" w:color="auto"/>
              <w:right w:val="single" w:sz="4" w:space="0" w:color="auto"/>
            </w:tcBorders>
          </w:tcPr>
          <w:p w14:paraId="14CE32A3" w14:textId="77777777" w:rsidR="00302BFE" w:rsidRPr="006E490C" w:rsidRDefault="00302BFE" w:rsidP="00243B15">
            <w:pPr>
              <w:spacing w:after="0"/>
              <w:jc w:val="left"/>
              <w:rPr>
                <w:bCs/>
                <w:sz w:val="18"/>
                <w:szCs w:val="18"/>
                <w:lang w:val="en-CA"/>
              </w:rPr>
            </w:pPr>
            <w:r w:rsidRPr="006E490C">
              <w:rPr>
                <w:bCs/>
                <w:sz w:val="18"/>
                <w:szCs w:val="18"/>
                <w:lang w:val="en-CA"/>
              </w:rPr>
              <w:t>a. To be determined during the first year of implementation of the project</w:t>
            </w:r>
          </w:p>
          <w:p w14:paraId="45796298" w14:textId="77777777" w:rsidR="00302BFE" w:rsidRPr="006E490C" w:rsidRDefault="00302BFE" w:rsidP="00243B15">
            <w:pPr>
              <w:spacing w:after="0"/>
              <w:jc w:val="left"/>
              <w:rPr>
                <w:bCs/>
                <w:sz w:val="18"/>
                <w:szCs w:val="18"/>
                <w:lang w:val="en-CA"/>
              </w:rPr>
            </w:pPr>
            <w:r w:rsidRPr="006E490C">
              <w:rPr>
                <w:bCs/>
                <w:sz w:val="18"/>
                <w:szCs w:val="18"/>
                <w:lang w:val="en-CA"/>
              </w:rPr>
              <w:t>b. To be determined during the first year of implementation of the project</w:t>
            </w:r>
          </w:p>
          <w:p w14:paraId="5CC830B7" w14:textId="77777777" w:rsidR="00302BFE" w:rsidRPr="006E490C" w:rsidRDefault="00302BFE" w:rsidP="00243B15">
            <w:pPr>
              <w:spacing w:after="0"/>
              <w:jc w:val="left"/>
              <w:rPr>
                <w:bCs/>
                <w:i/>
                <w:sz w:val="18"/>
                <w:szCs w:val="18"/>
                <w:lang w:val="en-CA"/>
              </w:rPr>
            </w:pPr>
            <w:r w:rsidRPr="006E490C">
              <w:rPr>
                <w:bCs/>
                <w:sz w:val="18"/>
                <w:szCs w:val="18"/>
                <w:lang w:val="en-CA"/>
              </w:rPr>
              <w:t>c. To be determined during the first year of implementation of the project</w:t>
            </w:r>
          </w:p>
        </w:tc>
        <w:tc>
          <w:tcPr>
            <w:tcW w:w="1552" w:type="dxa"/>
            <w:tcBorders>
              <w:left w:val="single" w:sz="4" w:space="0" w:color="auto"/>
              <w:bottom w:val="single" w:sz="4" w:space="0" w:color="auto"/>
              <w:right w:val="single" w:sz="4" w:space="0" w:color="auto"/>
            </w:tcBorders>
          </w:tcPr>
          <w:p w14:paraId="0701D1F9" w14:textId="77777777" w:rsidR="00302BFE" w:rsidRPr="006E490C" w:rsidRDefault="00302BFE" w:rsidP="00243B15">
            <w:pPr>
              <w:spacing w:after="0"/>
              <w:jc w:val="left"/>
              <w:rPr>
                <w:bCs/>
                <w:sz w:val="18"/>
                <w:szCs w:val="18"/>
                <w:lang w:val="en-CA"/>
              </w:rPr>
            </w:pPr>
            <w:r w:rsidRPr="006E490C">
              <w:rPr>
                <w:bCs/>
                <w:sz w:val="18"/>
                <w:szCs w:val="18"/>
                <w:lang w:val="en-CA"/>
              </w:rPr>
              <w:t>a. No decrease</w:t>
            </w:r>
          </w:p>
          <w:p w14:paraId="6BE0E9BD" w14:textId="77777777" w:rsidR="00302BFE" w:rsidRPr="006E490C" w:rsidRDefault="00302BFE" w:rsidP="00243B15">
            <w:pPr>
              <w:spacing w:after="0"/>
              <w:jc w:val="left"/>
              <w:rPr>
                <w:bCs/>
                <w:sz w:val="18"/>
                <w:szCs w:val="18"/>
                <w:lang w:val="en-CA"/>
              </w:rPr>
            </w:pPr>
            <w:r w:rsidRPr="006E490C">
              <w:rPr>
                <w:bCs/>
                <w:sz w:val="18"/>
                <w:szCs w:val="18"/>
                <w:lang w:val="en-CA"/>
              </w:rPr>
              <w:t>b. No decrease</w:t>
            </w:r>
          </w:p>
          <w:p w14:paraId="2E73DEEA" w14:textId="77777777" w:rsidR="00302BFE" w:rsidRPr="006E490C" w:rsidRDefault="00302BFE" w:rsidP="00243B15">
            <w:pPr>
              <w:spacing w:after="0"/>
              <w:jc w:val="left"/>
              <w:rPr>
                <w:bCs/>
                <w:i/>
                <w:sz w:val="18"/>
                <w:szCs w:val="18"/>
                <w:lang w:val="en-CA"/>
              </w:rPr>
            </w:pPr>
            <w:r w:rsidRPr="006E490C">
              <w:rPr>
                <w:bCs/>
                <w:sz w:val="18"/>
                <w:szCs w:val="18"/>
                <w:lang w:val="en-CA"/>
              </w:rPr>
              <w:t>c. 20% decrease</w:t>
            </w:r>
          </w:p>
        </w:tc>
        <w:tc>
          <w:tcPr>
            <w:tcW w:w="1552" w:type="dxa"/>
            <w:tcBorders>
              <w:left w:val="single" w:sz="4" w:space="0" w:color="auto"/>
              <w:bottom w:val="single" w:sz="4" w:space="0" w:color="auto"/>
              <w:right w:val="single" w:sz="4" w:space="0" w:color="auto"/>
            </w:tcBorders>
          </w:tcPr>
          <w:p w14:paraId="2E3B762C" w14:textId="77777777" w:rsidR="00302BFE" w:rsidRPr="006E490C" w:rsidRDefault="00302BFE" w:rsidP="00243B15">
            <w:pPr>
              <w:spacing w:after="0"/>
              <w:jc w:val="left"/>
              <w:rPr>
                <w:bCs/>
                <w:sz w:val="18"/>
                <w:szCs w:val="18"/>
                <w:lang w:val="en-CA"/>
              </w:rPr>
            </w:pPr>
            <w:r w:rsidRPr="006E490C">
              <w:rPr>
                <w:bCs/>
                <w:sz w:val="18"/>
                <w:szCs w:val="18"/>
                <w:lang w:val="en-CA"/>
              </w:rPr>
              <w:t>a. No decrease</w:t>
            </w:r>
          </w:p>
          <w:p w14:paraId="3A31548B" w14:textId="77777777" w:rsidR="00302BFE" w:rsidRPr="006E490C" w:rsidRDefault="00302BFE" w:rsidP="00243B15">
            <w:pPr>
              <w:spacing w:after="0"/>
              <w:jc w:val="left"/>
              <w:rPr>
                <w:bCs/>
                <w:sz w:val="18"/>
                <w:szCs w:val="18"/>
                <w:lang w:val="en-CA"/>
              </w:rPr>
            </w:pPr>
            <w:r w:rsidRPr="006E490C">
              <w:rPr>
                <w:bCs/>
                <w:sz w:val="18"/>
                <w:szCs w:val="18"/>
                <w:lang w:val="en-CA"/>
              </w:rPr>
              <w:t>b. No decrease</w:t>
            </w:r>
          </w:p>
          <w:p w14:paraId="11853B2E" w14:textId="77777777" w:rsidR="00302BFE" w:rsidRPr="006E490C" w:rsidRDefault="00302BFE" w:rsidP="00243B15">
            <w:pPr>
              <w:spacing w:after="0"/>
              <w:jc w:val="left"/>
              <w:rPr>
                <w:bCs/>
                <w:i/>
                <w:sz w:val="18"/>
                <w:szCs w:val="18"/>
                <w:lang w:val="en-CA"/>
              </w:rPr>
            </w:pPr>
            <w:r w:rsidRPr="006E490C">
              <w:rPr>
                <w:bCs/>
                <w:sz w:val="18"/>
                <w:szCs w:val="18"/>
                <w:lang w:val="en-CA"/>
              </w:rPr>
              <w:t>c. 50% decrease</w:t>
            </w:r>
          </w:p>
        </w:tc>
        <w:tc>
          <w:tcPr>
            <w:tcW w:w="4712" w:type="dxa"/>
            <w:tcBorders>
              <w:top w:val="single" w:sz="4" w:space="0" w:color="auto"/>
              <w:left w:val="single" w:sz="4" w:space="0" w:color="auto"/>
              <w:bottom w:val="single" w:sz="4" w:space="0" w:color="auto"/>
              <w:right w:val="single" w:sz="4" w:space="0" w:color="auto"/>
            </w:tcBorders>
          </w:tcPr>
          <w:p w14:paraId="3F3C0FA7" w14:textId="77777777" w:rsidR="00302BFE" w:rsidRPr="006E490C" w:rsidRDefault="00302BFE" w:rsidP="00243B15">
            <w:pPr>
              <w:jc w:val="left"/>
              <w:rPr>
                <w:sz w:val="18"/>
                <w:szCs w:val="18"/>
                <w:lang w:val="en-CA"/>
              </w:rPr>
            </w:pPr>
            <w:r w:rsidRPr="006E490C">
              <w:rPr>
                <w:sz w:val="18"/>
                <w:szCs w:val="18"/>
                <w:lang w:val="en-CA"/>
              </w:rPr>
              <w:t>Field surveys of target natural resources in intervention sites conducted in the first year, at mid-term and at end of project:</w:t>
            </w:r>
          </w:p>
          <w:p w14:paraId="7E315F7E" w14:textId="32D4A652" w:rsidR="00302BFE" w:rsidRPr="006E490C" w:rsidRDefault="00302BFE" w:rsidP="00C46720">
            <w:pPr>
              <w:pStyle w:val="Paragraphedeliste"/>
              <w:numPr>
                <w:ilvl w:val="0"/>
                <w:numId w:val="11"/>
              </w:numPr>
              <w:ind w:left="237" w:hanging="199"/>
              <w:contextualSpacing/>
              <w:rPr>
                <w:rFonts w:ascii="Calibri" w:hAnsi="Calibri"/>
                <w:bCs/>
                <w:sz w:val="18"/>
                <w:szCs w:val="18"/>
                <w:lang w:val="en-CA"/>
              </w:rPr>
            </w:pPr>
            <w:r w:rsidRPr="006E490C">
              <w:rPr>
                <w:rFonts w:ascii="Calibri" w:hAnsi="Calibri"/>
                <w:bCs/>
                <w:sz w:val="18"/>
                <w:szCs w:val="18"/>
                <w:lang w:val="en-CA"/>
              </w:rPr>
              <w:t>Relative abundance of medium and large mammals per km</w:t>
            </w:r>
            <w:r w:rsidRPr="006E490C">
              <w:rPr>
                <w:rFonts w:ascii="Calibri" w:hAnsi="Calibri"/>
                <w:bCs/>
                <w:sz w:val="18"/>
                <w:szCs w:val="18"/>
                <w:vertAlign w:val="superscript"/>
                <w:lang w:val="en-CA"/>
              </w:rPr>
              <w:t>2</w:t>
            </w:r>
            <w:r w:rsidRPr="006E490C">
              <w:rPr>
                <w:rFonts w:ascii="Calibri" w:hAnsi="Calibri"/>
                <w:bCs/>
                <w:sz w:val="18"/>
                <w:szCs w:val="18"/>
                <w:lang w:val="en-CA"/>
              </w:rPr>
              <w:t xml:space="preserve"> or IKA, namely for Bushbuck </w:t>
            </w:r>
            <w:r w:rsidRPr="006E490C">
              <w:rPr>
                <w:rFonts w:ascii="Calibri" w:hAnsi="Calibri"/>
                <w:bCs/>
                <w:i/>
                <w:sz w:val="18"/>
                <w:szCs w:val="18"/>
                <w:lang w:val="en-CA"/>
              </w:rPr>
              <w:t>Tragelaphus scriptus</w:t>
            </w:r>
            <w:r w:rsidRPr="006E490C">
              <w:rPr>
                <w:rFonts w:ascii="Calibri" w:hAnsi="Calibri"/>
                <w:bCs/>
                <w:sz w:val="18"/>
                <w:szCs w:val="18"/>
                <w:lang w:val="en-CA"/>
              </w:rPr>
              <w:t xml:space="preserve"> and Bohor Reedbuck </w:t>
            </w:r>
            <w:r w:rsidRPr="006E490C">
              <w:rPr>
                <w:rFonts w:ascii="Calibri" w:hAnsi="Calibri"/>
                <w:bCs/>
                <w:i/>
                <w:sz w:val="18"/>
                <w:szCs w:val="18"/>
                <w:lang w:val="en-CA"/>
              </w:rPr>
              <w:t>Redunca redunca</w:t>
            </w:r>
            <w:r w:rsidRPr="006E490C">
              <w:rPr>
                <w:rFonts w:ascii="Calibri" w:hAnsi="Calibri"/>
                <w:bCs/>
                <w:sz w:val="18"/>
                <w:szCs w:val="18"/>
                <w:lang w:val="en-CA"/>
              </w:rPr>
              <w:t>;</w:t>
            </w:r>
            <w:r w:rsidR="00DC7D98">
              <w:rPr>
                <w:rFonts w:ascii="Calibri" w:hAnsi="Calibri"/>
                <w:bCs/>
                <w:sz w:val="18"/>
                <w:szCs w:val="18"/>
                <w:lang w:val="en-CA"/>
              </w:rPr>
              <w:t xml:space="preserve"> </w:t>
            </w:r>
          </w:p>
          <w:p w14:paraId="47295F35" w14:textId="77777777" w:rsidR="00302BFE" w:rsidRPr="006E490C" w:rsidRDefault="00302BFE" w:rsidP="00C46720">
            <w:pPr>
              <w:pStyle w:val="Paragraphedeliste"/>
              <w:numPr>
                <w:ilvl w:val="0"/>
                <w:numId w:val="11"/>
              </w:numPr>
              <w:ind w:left="237" w:hanging="199"/>
              <w:contextualSpacing/>
              <w:rPr>
                <w:rFonts w:ascii="Calibri" w:hAnsi="Calibri"/>
                <w:bCs/>
                <w:sz w:val="18"/>
                <w:szCs w:val="18"/>
                <w:lang w:val="en-CA"/>
              </w:rPr>
            </w:pPr>
            <w:r w:rsidRPr="006E490C">
              <w:rPr>
                <w:rFonts w:ascii="Calibri" w:hAnsi="Calibri"/>
                <w:sz w:val="18"/>
                <w:szCs w:val="18"/>
                <w:lang w:val="en-CA"/>
              </w:rPr>
              <w:t>Kilometric index (numbers of observed birds per covered kilometre) along ecological monitoring transect for Turtledoves (various species), Guinea fowl</w:t>
            </w:r>
            <w:r w:rsidRPr="006E490C">
              <w:rPr>
                <w:rFonts w:ascii="Calibri" w:hAnsi="Calibri"/>
                <w:i/>
                <w:sz w:val="18"/>
                <w:szCs w:val="18"/>
                <w:lang w:val="en-CA"/>
              </w:rPr>
              <w:t xml:space="preserve"> (Numida meleagris), </w:t>
            </w:r>
            <w:r w:rsidRPr="006E490C">
              <w:rPr>
                <w:rFonts w:ascii="Calibri" w:hAnsi="Calibri"/>
                <w:sz w:val="18"/>
                <w:szCs w:val="18"/>
                <w:lang w:val="en-CA"/>
              </w:rPr>
              <w:t>and Francolin</w:t>
            </w:r>
            <w:r w:rsidRPr="006E490C">
              <w:rPr>
                <w:rFonts w:ascii="Calibri" w:hAnsi="Calibri"/>
                <w:i/>
                <w:sz w:val="18"/>
                <w:szCs w:val="18"/>
                <w:lang w:val="en-CA"/>
              </w:rPr>
              <w:t xml:space="preserve"> (Francolinus bicalcaratus);</w:t>
            </w:r>
          </w:p>
          <w:p w14:paraId="1936469A" w14:textId="77777777" w:rsidR="00302BFE" w:rsidRPr="006E490C" w:rsidRDefault="00302BFE" w:rsidP="00C46720">
            <w:pPr>
              <w:pStyle w:val="Paragraphedeliste"/>
              <w:numPr>
                <w:ilvl w:val="0"/>
                <w:numId w:val="11"/>
              </w:numPr>
              <w:ind w:left="237" w:hanging="199"/>
              <w:contextualSpacing/>
              <w:rPr>
                <w:rFonts w:ascii="Calibri" w:hAnsi="Calibri"/>
                <w:bCs/>
                <w:sz w:val="18"/>
                <w:szCs w:val="18"/>
                <w:lang w:val="en-CA"/>
              </w:rPr>
            </w:pPr>
            <w:r w:rsidRPr="006E490C">
              <w:rPr>
                <w:rFonts w:ascii="Calibri" w:hAnsi="Calibri"/>
                <w:sz w:val="18"/>
                <w:szCs w:val="18"/>
                <w:lang w:val="en-CA"/>
              </w:rPr>
              <w:t>Level of invasion of PAs by livestock, determined by the average depth of encroachment within the PA.</w:t>
            </w:r>
          </w:p>
        </w:tc>
      </w:tr>
      <w:tr w:rsidR="00302BFE" w:rsidRPr="006E490C" w14:paraId="1837FB6A" w14:textId="77777777" w:rsidTr="00243B15">
        <w:tc>
          <w:tcPr>
            <w:tcW w:w="2006" w:type="dxa"/>
            <w:vMerge w:val="restart"/>
            <w:tcBorders>
              <w:top w:val="single" w:sz="4" w:space="0" w:color="auto"/>
              <w:left w:val="single" w:sz="4" w:space="0" w:color="auto"/>
              <w:right w:val="single" w:sz="4" w:space="0" w:color="auto"/>
            </w:tcBorders>
            <w:shd w:val="pct12" w:color="auto" w:fill="auto"/>
          </w:tcPr>
          <w:p w14:paraId="618638A6" w14:textId="77777777" w:rsidR="00302BFE" w:rsidRPr="006E490C" w:rsidRDefault="00302BFE" w:rsidP="00243B15">
            <w:pPr>
              <w:jc w:val="left"/>
              <w:rPr>
                <w:b/>
                <w:bCs/>
                <w:sz w:val="18"/>
                <w:szCs w:val="18"/>
                <w:lang w:val="en-CA"/>
              </w:rPr>
            </w:pPr>
            <w:r w:rsidRPr="006E490C">
              <w:rPr>
                <w:b/>
                <w:bCs/>
                <w:sz w:val="18"/>
                <w:szCs w:val="18"/>
                <w:lang w:val="en-CA"/>
              </w:rPr>
              <w:t>Component/ Outcome 3</w:t>
            </w:r>
          </w:p>
          <w:p w14:paraId="75382DCA" w14:textId="77777777" w:rsidR="00302BFE" w:rsidRPr="006E490C" w:rsidRDefault="00302BFE" w:rsidP="00243B15">
            <w:pPr>
              <w:jc w:val="left"/>
              <w:rPr>
                <w:rFonts w:eastAsia="Calibri"/>
                <w:lang w:val="en-CA"/>
              </w:rPr>
            </w:pPr>
            <w:r w:rsidRPr="006E490C">
              <w:rPr>
                <w:rFonts w:eastAsia="Calibri"/>
                <w:lang w:val="en-CA"/>
              </w:rPr>
              <w:t>3. Sustainable land management and livelihood diversification</w:t>
            </w:r>
          </w:p>
          <w:p w14:paraId="07419765" w14:textId="77777777" w:rsidR="00302BFE" w:rsidRPr="006E490C" w:rsidRDefault="00302BFE" w:rsidP="00243B15">
            <w:pPr>
              <w:jc w:val="left"/>
              <w:rPr>
                <w:rFonts w:eastAsia="Calibri"/>
                <w:lang w:val="en-CA"/>
              </w:rPr>
            </w:pPr>
            <w:r w:rsidRPr="006E490C">
              <w:rPr>
                <w:rFonts w:eastAsia="Calibri"/>
                <w:lang w:val="en-CA"/>
              </w:rPr>
              <w:t>3.1 Increased adoption of effective agri-silvo-pastoral integrated management of natural and agricultural resources, and climate-</w:t>
            </w:r>
            <w:r w:rsidRPr="006E490C">
              <w:rPr>
                <w:rFonts w:eastAsia="Calibri"/>
                <w:lang w:val="en-CA"/>
              </w:rPr>
              <w:lastRenderedPageBreak/>
              <w:t>smart agriculture by local communities within the PONASI landscape.</w:t>
            </w:r>
          </w:p>
          <w:p w14:paraId="7A59BEA7" w14:textId="77777777" w:rsidR="00302BFE" w:rsidRPr="006E490C" w:rsidRDefault="00302BFE" w:rsidP="00243B15">
            <w:pPr>
              <w:jc w:val="left"/>
              <w:rPr>
                <w:rFonts w:ascii="Times New Roman" w:hAnsi="Times New Roman"/>
                <w:b/>
                <w:bCs/>
                <w:sz w:val="18"/>
                <w:szCs w:val="18"/>
                <w:lang w:val="en-CA"/>
              </w:rPr>
            </w:pPr>
            <w:r w:rsidRPr="006E490C">
              <w:rPr>
                <w:rFonts w:eastAsia="Calibri"/>
                <w:lang w:val="en-CA"/>
              </w:rPr>
              <w:t xml:space="preserve">3.2 Diversified livelihoods of local communities related to tourism development and value chains based on forest products- </w:t>
            </w:r>
          </w:p>
        </w:tc>
        <w:tc>
          <w:tcPr>
            <w:tcW w:w="3016" w:type="dxa"/>
            <w:vMerge w:val="restart"/>
            <w:tcBorders>
              <w:top w:val="single" w:sz="4" w:space="0" w:color="auto"/>
              <w:left w:val="single" w:sz="4" w:space="0" w:color="auto"/>
              <w:bottom w:val="single" w:sz="4" w:space="0" w:color="auto"/>
              <w:right w:val="single" w:sz="4" w:space="0" w:color="auto"/>
            </w:tcBorders>
            <w:hideMark/>
          </w:tcPr>
          <w:p w14:paraId="5FF3F903" w14:textId="77777777" w:rsidR="00302BFE" w:rsidRPr="006E490C" w:rsidRDefault="00302BFE" w:rsidP="00243B15">
            <w:pPr>
              <w:jc w:val="left"/>
              <w:rPr>
                <w:bCs/>
                <w:i/>
                <w:sz w:val="18"/>
                <w:szCs w:val="18"/>
                <w:u w:val="single"/>
                <w:lang w:val="en-CA"/>
              </w:rPr>
            </w:pPr>
            <w:r w:rsidRPr="006E490C">
              <w:rPr>
                <w:bCs/>
                <w:i/>
                <w:sz w:val="18"/>
                <w:szCs w:val="18"/>
                <w:u w:val="single"/>
                <w:lang w:val="en-CA"/>
              </w:rPr>
              <w:lastRenderedPageBreak/>
              <w:t>Indicator 11:</w:t>
            </w:r>
          </w:p>
          <w:p w14:paraId="2DA4DB1B" w14:textId="77777777" w:rsidR="00302BFE" w:rsidRPr="006E490C" w:rsidRDefault="00302BFE" w:rsidP="00243B15">
            <w:pPr>
              <w:jc w:val="left"/>
              <w:rPr>
                <w:bCs/>
                <w:sz w:val="18"/>
                <w:szCs w:val="18"/>
                <w:lang w:val="en-CA"/>
              </w:rPr>
            </w:pPr>
            <w:r w:rsidRPr="006E490C">
              <w:rPr>
                <w:bCs/>
                <w:sz w:val="18"/>
                <w:szCs w:val="18"/>
                <w:lang w:val="en-CA"/>
              </w:rPr>
              <w:t>Land area under improved agri-silvo-pastoral management practices, and climate-smart agriculture) including:</w:t>
            </w:r>
          </w:p>
          <w:p w14:paraId="28766DAE" w14:textId="77777777" w:rsidR="00302BFE" w:rsidRPr="006E490C" w:rsidRDefault="00302BFE" w:rsidP="00243B15">
            <w:pPr>
              <w:jc w:val="left"/>
              <w:rPr>
                <w:bCs/>
                <w:sz w:val="18"/>
                <w:szCs w:val="18"/>
                <w:lang w:val="en-CA"/>
              </w:rPr>
            </w:pPr>
            <w:r w:rsidRPr="006E490C">
              <w:rPr>
                <w:bCs/>
                <w:sz w:val="18"/>
                <w:szCs w:val="18"/>
                <w:lang w:val="en-CA"/>
              </w:rPr>
              <w:t>a) area of developed agro-pastoral land (total area: 6000 ha within pilot sites)</w:t>
            </w:r>
          </w:p>
          <w:p w14:paraId="625A8201" w14:textId="77777777" w:rsidR="00302BFE" w:rsidRPr="006E490C" w:rsidRDefault="00302BFE" w:rsidP="00243B15">
            <w:pPr>
              <w:jc w:val="left"/>
              <w:rPr>
                <w:bCs/>
                <w:sz w:val="18"/>
                <w:szCs w:val="18"/>
                <w:lang w:val="en-CA"/>
              </w:rPr>
            </w:pPr>
            <w:r w:rsidRPr="006E490C">
              <w:rPr>
                <w:bCs/>
                <w:sz w:val="18"/>
                <w:szCs w:val="18"/>
                <w:lang w:val="en-CA"/>
              </w:rPr>
              <w:t>b) communal and village forests and massif forest areas (total area: 39,783 ha)</w:t>
            </w:r>
            <w:r w:rsidRPr="006E490C">
              <w:rPr>
                <w:bCs/>
                <w:sz w:val="18"/>
                <w:szCs w:val="18"/>
                <w:lang w:val="en-CA"/>
              </w:rPr>
              <w:br/>
              <w:t>c) pasture areas subject to consensual management tools (total area: 52,886 ha)</w:t>
            </w:r>
            <w:r w:rsidRPr="006E490C">
              <w:rPr>
                <w:bCs/>
                <w:sz w:val="18"/>
                <w:szCs w:val="18"/>
                <w:lang w:val="en-CA"/>
              </w:rPr>
              <w:br/>
            </w:r>
            <w:r w:rsidRPr="006E490C">
              <w:rPr>
                <w:bCs/>
                <w:sz w:val="18"/>
                <w:szCs w:val="18"/>
                <w:lang w:val="en-CA"/>
              </w:rPr>
              <w:lastRenderedPageBreak/>
              <w:t>d) forest management areas (</w:t>
            </w:r>
            <w:r w:rsidRPr="006E490C">
              <w:rPr>
                <w:bCs/>
                <w:i/>
                <w:sz w:val="18"/>
                <w:szCs w:val="18"/>
                <w:lang w:val="en-CA"/>
              </w:rPr>
              <w:t>Chantiers d’Aménagement Forestier</w:t>
            </w:r>
            <w:r w:rsidRPr="006E490C">
              <w:rPr>
                <w:bCs/>
                <w:sz w:val="18"/>
                <w:szCs w:val="18"/>
                <w:lang w:val="en-CA"/>
              </w:rPr>
              <w:t>) whose model is evaluated, revised and implemented (total area: 73,969 ha)</w:t>
            </w:r>
          </w:p>
          <w:p w14:paraId="453A3961" w14:textId="77777777" w:rsidR="00302BFE" w:rsidRPr="006E490C" w:rsidRDefault="00302BFE" w:rsidP="00243B15">
            <w:pPr>
              <w:jc w:val="left"/>
              <w:rPr>
                <w:bCs/>
                <w:i/>
                <w:sz w:val="18"/>
                <w:szCs w:val="18"/>
                <w:lang w:val="en-CA"/>
              </w:rPr>
            </w:pPr>
            <w:r w:rsidRPr="006E490C">
              <w:rPr>
                <w:rFonts w:eastAsia="Calibri"/>
                <w:b/>
                <w:sz w:val="18"/>
                <w:szCs w:val="18"/>
                <w:lang w:val="en-CA"/>
              </w:rPr>
              <w:t>(GEF-7 Core indicator 4)</w:t>
            </w:r>
          </w:p>
        </w:tc>
        <w:tc>
          <w:tcPr>
            <w:tcW w:w="1552" w:type="dxa"/>
            <w:vMerge w:val="restart"/>
            <w:tcBorders>
              <w:top w:val="single" w:sz="4" w:space="0" w:color="auto"/>
              <w:left w:val="single" w:sz="4" w:space="0" w:color="auto"/>
              <w:bottom w:val="single" w:sz="4" w:space="0" w:color="auto"/>
              <w:right w:val="single" w:sz="4" w:space="0" w:color="auto"/>
            </w:tcBorders>
          </w:tcPr>
          <w:p w14:paraId="65B80FFC" w14:textId="77777777" w:rsidR="00302BFE" w:rsidRPr="006E490C" w:rsidRDefault="00302BFE" w:rsidP="00243B15">
            <w:pPr>
              <w:jc w:val="left"/>
              <w:rPr>
                <w:bCs/>
                <w:sz w:val="18"/>
                <w:szCs w:val="18"/>
                <w:lang w:val="en-CA"/>
              </w:rPr>
            </w:pPr>
            <w:r w:rsidRPr="006E490C">
              <w:rPr>
                <w:bCs/>
                <w:sz w:val="18"/>
                <w:szCs w:val="18"/>
              </w:rPr>
              <w:lastRenderedPageBreak/>
              <w:t>0 (the project has not started yet)</w:t>
            </w:r>
          </w:p>
        </w:tc>
        <w:tc>
          <w:tcPr>
            <w:tcW w:w="1552" w:type="dxa"/>
            <w:vMerge w:val="restart"/>
            <w:tcBorders>
              <w:top w:val="single" w:sz="4" w:space="0" w:color="auto"/>
              <w:left w:val="single" w:sz="4" w:space="0" w:color="auto"/>
              <w:bottom w:val="single" w:sz="4" w:space="0" w:color="auto"/>
              <w:right w:val="single" w:sz="4" w:space="0" w:color="auto"/>
            </w:tcBorders>
          </w:tcPr>
          <w:p w14:paraId="614A16E7" w14:textId="77777777" w:rsidR="00302BFE" w:rsidRPr="006E490C" w:rsidRDefault="00302BFE" w:rsidP="00243B15">
            <w:pPr>
              <w:jc w:val="left"/>
              <w:rPr>
                <w:bCs/>
                <w:sz w:val="18"/>
                <w:szCs w:val="18"/>
                <w:lang w:val="en-CA"/>
              </w:rPr>
            </w:pPr>
            <w:r w:rsidRPr="006E490C">
              <w:rPr>
                <w:bCs/>
                <w:sz w:val="18"/>
                <w:szCs w:val="18"/>
                <w:lang w:val="en-CA"/>
              </w:rPr>
              <w:t>25% of the areas targeted for each land use category:</w:t>
            </w:r>
          </w:p>
          <w:p w14:paraId="725D8C62" w14:textId="77777777" w:rsidR="00302BFE" w:rsidRPr="006E490C" w:rsidRDefault="00302BFE" w:rsidP="00243B15">
            <w:pPr>
              <w:jc w:val="left"/>
              <w:rPr>
                <w:bCs/>
                <w:sz w:val="18"/>
                <w:szCs w:val="18"/>
                <w:lang w:val="fr-CA"/>
              </w:rPr>
            </w:pPr>
            <w:r w:rsidRPr="006E490C">
              <w:rPr>
                <w:bCs/>
                <w:sz w:val="18"/>
                <w:szCs w:val="18"/>
                <w:lang w:val="fr-CA"/>
              </w:rPr>
              <w:t>a) 1,500 ha</w:t>
            </w:r>
          </w:p>
          <w:p w14:paraId="09DF7E18" w14:textId="77777777" w:rsidR="00302BFE" w:rsidRPr="006E490C" w:rsidRDefault="00302BFE" w:rsidP="00243B15">
            <w:pPr>
              <w:jc w:val="left"/>
              <w:rPr>
                <w:bCs/>
                <w:sz w:val="18"/>
                <w:szCs w:val="18"/>
                <w:lang w:val="fr-CA"/>
              </w:rPr>
            </w:pPr>
            <w:r w:rsidRPr="006E490C">
              <w:rPr>
                <w:bCs/>
                <w:sz w:val="18"/>
                <w:szCs w:val="18"/>
                <w:lang w:val="fr-CA"/>
              </w:rPr>
              <w:t>b) 9,946 ha</w:t>
            </w:r>
          </w:p>
          <w:p w14:paraId="5DF5272C" w14:textId="77777777" w:rsidR="00302BFE" w:rsidRPr="006E490C" w:rsidRDefault="00302BFE" w:rsidP="00243B15">
            <w:pPr>
              <w:jc w:val="left"/>
              <w:rPr>
                <w:bCs/>
                <w:sz w:val="18"/>
                <w:szCs w:val="18"/>
                <w:lang w:val="fr-CA"/>
              </w:rPr>
            </w:pPr>
            <w:r w:rsidRPr="006E490C">
              <w:rPr>
                <w:bCs/>
                <w:sz w:val="18"/>
                <w:szCs w:val="18"/>
                <w:lang w:val="fr-CA"/>
              </w:rPr>
              <w:t>c) 13,221 ha</w:t>
            </w:r>
          </w:p>
          <w:p w14:paraId="20ECB5A0" w14:textId="77777777" w:rsidR="00302BFE" w:rsidRPr="006E490C" w:rsidRDefault="00302BFE" w:rsidP="00243B15">
            <w:pPr>
              <w:jc w:val="left"/>
              <w:rPr>
                <w:bCs/>
                <w:sz w:val="18"/>
                <w:szCs w:val="18"/>
                <w:lang w:val="fr-CA"/>
              </w:rPr>
            </w:pPr>
            <w:r w:rsidRPr="006E490C">
              <w:rPr>
                <w:bCs/>
                <w:sz w:val="18"/>
                <w:szCs w:val="18"/>
                <w:lang w:val="fr-CA"/>
              </w:rPr>
              <w:t>d) 18,492 ha</w:t>
            </w:r>
          </w:p>
          <w:p w14:paraId="34009185" w14:textId="77777777" w:rsidR="00302BFE" w:rsidRPr="006E490C" w:rsidRDefault="00302BFE" w:rsidP="00243B15">
            <w:pPr>
              <w:jc w:val="left"/>
              <w:rPr>
                <w:bCs/>
                <w:sz w:val="18"/>
                <w:szCs w:val="18"/>
                <w:lang w:val="fr-CA"/>
              </w:rPr>
            </w:pPr>
            <w:r w:rsidRPr="006E490C">
              <w:rPr>
                <w:bCs/>
                <w:sz w:val="18"/>
                <w:szCs w:val="18"/>
                <w:lang w:val="fr-CA"/>
              </w:rPr>
              <w:t>totaling 43,159 ha</w:t>
            </w:r>
          </w:p>
        </w:tc>
        <w:tc>
          <w:tcPr>
            <w:tcW w:w="1552" w:type="dxa"/>
            <w:vMerge w:val="restart"/>
            <w:tcBorders>
              <w:top w:val="single" w:sz="4" w:space="0" w:color="auto"/>
              <w:left w:val="single" w:sz="4" w:space="0" w:color="auto"/>
              <w:bottom w:val="single" w:sz="4" w:space="0" w:color="auto"/>
              <w:right w:val="single" w:sz="4" w:space="0" w:color="auto"/>
            </w:tcBorders>
          </w:tcPr>
          <w:p w14:paraId="14DB5F5B" w14:textId="77777777" w:rsidR="00302BFE" w:rsidRPr="006E490C" w:rsidRDefault="00302BFE" w:rsidP="00243B15">
            <w:pPr>
              <w:jc w:val="left"/>
              <w:rPr>
                <w:bCs/>
                <w:sz w:val="18"/>
                <w:szCs w:val="18"/>
                <w:lang w:val="en-CA"/>
              </w:rPr>
            </w:pPr>
            <w:r w:rsidRPr="006E490C">
              <w:rPr>
                <w:bCs/>
                <w:sz w:val="18"/>
                <w:szCs w:val="18"/>
                <w:lang w:val="en-CA"/>
              </w:rPr>
              <w:t>75% of the areas targeted for each land use category:</w:t>
            </w:r>
          </w:p>
          <w:p w14:paraId="3EE5D6D6" w14:textId="77777777" w:rsidR="00302BFE" w:rsidRPr="006E490C" w:rsidRDefault="00302BFE" w:rsidP="00243B15">
            <w:pPr>
              <w:jc w:val="left"/>
              <w:rPr>
                <w:bCs/>
                <w:sz w:val="18"/>
                <w:szCs w:val="18"/>
                <w:lang w:val="fr-CA"/>
              </w:rPr>
            </w:pPr>
            <w:r w:rsidRPr="006E490C">
              <w:rPr>
                <w:bCs/>
                <w:sz w:val="18"/>
                <w:szCs w:val="18"/>
                <w:lang w:val="fr-CA"/>
              </w:rPr>
              <w:t>a) 4,500 ha</w:t>
            </w:r>
          </w:p>
          <w:p w14:paraId="126FB31A" w14:textId="77777777" w:rsidR="00302BFE" w:rsidRPr="006E490C" w:rsidRDefault="00302BFE" w:rsidP="00243B15">
            <w:pPr>
              <w:jc w:val="left"/>
              <w:rPr>
                <w:bCs/>
                <w:sz w:val="18"/>
                <w:szCs w:val="18"/>
                <w:lang w:val="fr-CA"/>
              </w:rPr>
            </w:pPr>
            <w:r w:rsidRPr="006E490C">
              <w:rPr>
                <w:bCs/>
                <w:sz w:val="18"/>
                <w:szCs w:val="18"/>
                <w:lang w:val="fr-CA"/>
              </w:rPr>
              <w:t>b) 29,837 ha</w:t>
            </w:r>
          </w:p>
          <w:p w14:paraId="62369A60" w14:textId="77777777" w:rsidR="00302BFE" w:rsidRPr="006E490C" w:rsidRDefault="00302BFE" w:rsidP="00243B15">
            <w:pPr>
              <w:jc w:val="left"/>
              <w:rPr>
                <w:bCs/>
                <w:sz w:val="18"/>
                <w:szCs w:val="18"/>
                <w:lang w:val="fr-CA"/>
              </w:rPr>
            </w:pPr>
            <w:r w:rsidRPr="006E490C">
              <w:rPr>
                <w:bCs/>
                <w:sz w:val="18"/>
                <w:szCs w:val="18"/>
                <w:lang w:val="fr-CA"/>
              </w:rPr>
              <w:t>c) 39,664 ha</w:t>
            </w:r>
          </w:p>
          <w:p w14:paraId="63CD3BF9" w14:textId="77777777" w:rsidR="00302BFE" w:rsidRPr="006E490C" w:rsidRDefault="00302BFE" w:rsidP="00243B15">
            <w:pPr>
              <w:jc w:val="left"/>
              <w:rPr>
                <w:bCs/>
                <w:sz w:val="18"/>
                <w:szCs w:val="18"/>
                <w:lang w:val="fr-CA"/>
              </w:rPr>
            </w:pPr>
            <w:r w:rsidRPr="006E490C">
              <w:rPr>
                <w:bCs/>
                <w:sz w:val="18"/>
                <w:szCs w:val="18"/>
                <w:lang w:val="fr-CA"/>
              </w:rPr>
              <w:t>d) 55,477 ha</w:t>
            </w:r>
          </w:p>
          <w:p w14:paraId="5382BD43" w14:textId="77777777" w:rsidR="00302BFE" w:rsidRPr="006E490C" w:rsidRDefault="00302BFE" w:rsidP="00243B15">
            <w:pPr>
              <w:jc w:val="left"/>
              <w:rPr>
                <w:bCs/>
                <w:sz w:val="18"/>
                <w:szCs w:val="18"/>
                <w:lang w:val="fr-CA"/>
              </w:rPr>
            </w:pPr>
            <w:r w:rsidRPr="006E490C">
              <w:rPr>
                <w:bCs/>
                <w:sz w:val="18"/>
                <w:szCs w:val="18"/>
                <w:lang w:val="fr-CA"/>
              </w:rPr>
              <w:t>totaling 129,478 ha</w:t>
            </w:r>
          </w:p>
        </w:tc>
        <w:tc>
          <w:tcPr>
            <w:tcW w:w="4712" w:type="dxa"/>
            <w:tcBorders>
              <w:top w:val="single" w:sz="4" w:space="0" w:color="auto"/>
              <w:left w:val="single" w:sz="4" w:space="0" w:color="auto"/>
              <w:bottom w:val="single" w:sz="4" w:space="0" w:color="auto"/>
              <w:right w:val="single" w:sz="4" w:space="0" w:color="auto"/>
            </w:tcBorders>
            <w:hideMark/>
          </w:tcPr>
          <w:p w14:paraId="59A38C34" w14:textId="77777777" w:rsidR="00302BFE" w:rsidRPr="006E490C" w:rsidRDefault="00302BFE" w:rsidP="00243B15">
            <w:pPr>
              <w:jc w:val="left"/>
              <w:rPr>
                <w:bCs/>
                <w:i/>
                <w:sz w:val="18"/>
                <w:szCs w:val="18"/>
                <w:lang w:val="en-CA"/>
              </w:rPr>
            </w:pPr>
            <w:r w:rsidRPr="006E490C">
              <w:rPr>
                <w:bCs/>
                <w:i/>
                <w:sz w:val="18"/>
                <w:szCs w:val="18"/>
                <w:lang w:val="en-CA"/>
              </w:rPr>
              <w:t>Data collection source / method</w:t>
            </w:r>
          </w:p>
          <w:p w14:paraId="72469110" w14:textId="77777777" w:rsidR="00302BFE" w:rsidRPr="006E490C" w:rsidRDefault="00302BFE" w:rsidP="00243B15">
            <w:pPr>
              <w:jc w:val="left"/>
              <w:rPr>
                <w:sz w:val="18"/>
                <w:szCs w:val="18"/>
                <w:lang w:val="en-CA"/>
              </w:rPr>
            </w:pPr>
            <w:r w:rsidRPr="006E490C">
              <w:rPr>
                <w:sz w:val="18"/>
                <w:szCs w:val="18"/>
                <w:lang w:val="en-CA"/>
              </w:rPr>
              <w:t>Annual reports of the co-governance system</w:t>
            </w:r>
          </w:p>
        </w:tc>
      </w:tr>
      <w:tr w:rsidR="00302BFE" w:rsidRPr="006E490C" w14:paraId="33F4CFFE" w14:textId="77777777" w:rsidTr="00243B15">
        <w:tc>
          <w:tcPr>
            <w:tcW w:w="2006" w:type="dxa"/>
            <w:vMerge/>
            <w:tcBorders>
              <w:left w:val="single" w:sz="4" w:space="0" w:color="auto"/>
              <w:right w:val="single" w:sz="4" w:space="0" w:color="auto"/>
            </w:tcBorders>
            <w:vAlign w:val="center"/>
            <w:hideMark/>
          </w:tcPr>
          <w:p w14:paraId="36B4DADD" w14:textId="77777777" w:rsidR="00302BFE" w:rsidRPr="006E490C" w:rsidRDefault="00302BFE" w:rsidP="00243B15">
            <w:pPr>
              <w:spacing w:after="0"/>
              <w:jc w:val="left"/>
              <w:rPr>
                <w:rFonts w:ascii="Times New Roman" w:hAnsi="Times New Roman"/>
                <w:b/>
                <w:bCs/>
                <w:sz w:val="18"/>
                <w:szCs w:val="18"/>
                <w:lang w:val="en-CA"/>
              </w:rPr>
            </w:pPr>
          </w:p>
        </w:tc>
        <w:tc>
          <w:tcPr>
            <w:tcW w:w="3016" w:type="dxa"/>
            <w:vMerge/>
            <w:tcBorders>
              <w:top w:val="single" w:sz="4" w:space="0" w:color="auto"/>
              <w:left w:val="single" w:sz="4" w:space="0" w:color="auto"/>
              <w:bottom w:val="single" w:sz="4" w:space="0" w:color="auto"/>
              <w:right w:val="single" w:sz="4" w:space="0" w:color="auto"/>
            </w:tcBorders>
            <w:vAlign w:val="center"/>
            <w:hideMark/>
          </w:tcPr>
          <w:p w14:paraId="533D2374" w14:textId="77777777" w:rsidR="00302BFE" w:rsidRPr="006E490C" w:rsidRDefault="00302BFE" w:rsidP="00243B15">
            <w:pPr>
              <w:spacing w:after="0"/>
              <w:jc w:val="left"/>
              <w:rPr>
                <w:bCs/>
                <w:i/>
                <w:sz w:val="18"/>
                <w:szCs w:val="18"/>
                <w:lang w:val="en-CA"/>
              </w:rPr>
            </w:pPr>
          </w:p>
        </w:tc>
        <w:tc>
          <w:tcPr>
            <w:tcW w:w="1552" w:type="dxa"/>
            <w:vMerge/>
            <w:tcBorders>
              <w:top w:val="single" w:sz="4" w:space="0" w:color="auto"/>
              <w:left w:val="single" w:sz="4" w:space="0" w:color="auto"/>
              <w:bottom w:val="single" w:sz="4" w:space="0" w:color="auto"/>
              <w:right w:val="single" w:sz="4" w:space="0" w:color="auto"/>
            </w:tcBorders>
            <w:vAlign w:val="center"/>
          </w:tcPr>
          <w:p w14:paraId="6B860ACE" w14:textId="77777777" w:rsidR="00302BFE" w:rsidRPr="006E490C" w:rsidRDefault="00302BFE" w:rsidP="00243B15">
            <w:pPr>
              <w:spacing w:after="0"/>
              <w:jc w:val="left"/>
              <w:rPr>
                <w:bCs/>
                <w:i/>
                <w:sz w:val="18"/>
                <w:szCs w:val="18"/>
                <w:lang w:val="en-CA"/>
              </w:rPr>
            </w:pPr>
          </w:p>
        </w:tc>
        <w:tc>
          <w:tcPr>
            <w:tcW w:w="1552" w:type="dxa"/>
            <w:vMerge/>
            <w:tcBorders>
              <w:top w:val="single" w:sz="4" w:space="0" w:color="auto"/>
              <w:left w:val="single" w:sz="4" w:space="0" w:color="auto"/>
              <w:bottom w:val="single" w:sz="4" w:space="0" w:color="auto"/>
              <w:right w:val="single" w:sz="4" w:space="0" w:color="auto"/>
            </w:tcBorders>
            <w:vAlign w:val="center"/>
          </w:tcPr>
          <w:p w14:paraId="10596FBC" w14:textId="77777777" w:rsidR="00302BFE" w:rsidRPr="006E490C" w:rsidRDefault="00302BFE" w:rsidP="00243B15">
            <w:pPr>
              <w:spacing w:after="0"/>
              <w:jc w:val="left"/>
              <w:rPr>
                <w:bCs/>
                <w:i/>
                <w:sz w:val="18"/>
                <w:szCs w:val="18"/>
                <w:lang w:val="en-CA"/>
              </w:rPr>
            </w:pPr>
          </w:p>
        </w:tc>
        <w:tc>
          <w:tcPr>
            <w:tcW w:w="1552" w:type="dxa"/>
            <w:vMerge/>
            <w:tcBorders>
              <w:top w:val="single" w:sz="4" w:space="0" w:color="auto"/>
              <w:left w:val="single" w:sz="4" w:space="0" w:color="auto"/>
              <w:bottom w:val="single" w:sz="4" w:space="0" w:color="auto"/>
              <w:right w:val="single" w:sz="4" w:space="0" w:color="auto"/>
            </w:tcBorders>
            <w:vAlign w:val="center"/>
          </w:tcPr>
          <w:p w14:paraId="52202C2E" w14:textId="77777777" w:rsidR="00302BFE" w:rsidRPr="006E490C" w:rsidRDefault="00302BFE" w:rsidP="00243B15">
            <w:pPr>
              <w:spacing w:after="0"/>
              <w:jc w:val="left"/>
              <w:rPr>
                <w:bCs/>
                <w:i/>
                <w:sz w:val="18"/>
                <w:szCs w:val="18"/>
                <w:lang w:val="en-CA"/>
              </w:rPr>
            </w:pPr>
          </w:p>
        </w:tc>
        <w:tc>
          <w:tcPr>
            <w:tcW w:w="4712" w:type="dxa"/>
            <w:tcBorders>
              <w:top w:val="single" w:sz="4" w:space="0" w:color="auto"/>
              <w:left w:val="single" w:sz="4" w:space="0" w:color="auto"/>
              <w:bottom w:val="single" w:sz="4" w:space="0" w:color="auto"/>
              <w:right w:val="single" w:sz="4" w:space="0" w:color="auto"/>
            </w:tcBorders>
          </w:tcPr>
          <w:p w14:paraId="374BB2FC" w14:textId="77777777" w:rsidR="00302BFE" w:rsidRPr="006E490C" w:rsidRDefault="00302BFE" w:rsidP="00243B15">
            <w:pPr>
              <w:jc w:val="left"/>
              <w:rPr>
                <w:sz w:val="18"/>
                <w:szCs w:val="18"/>
                <w:lang w:val="en-CA"/>
              </w:rPr>
            </w:pPr>
            <w:r w:rsidRPr="006E490C">
              <w:rPr>
                <w:i/>
                <w:sz w:val="18"/>
                <w:szCs w:val="18"/>
                <w:lang w:val="en-CA"/>
              </w:rPr>
              <w:t>Risks</w:t>
            </w:r>
            <w:r w:rsidRPr="006E490C">
              <w:rPr>
                <w:sz w:val="18"/>
                <w:szCs w:val="18"/>
                <w:lang w:val="en-CA"/>
              </w:rPr>
              <w:t>:</w:t>
            </w:r>
          </w:p>
          <w:p w14:paraId="6E1E31F4" w14:textId="77777777" w:rsidR="00302BFE" w:rsidRPr="006E490C" w:rsidRDefault="00302BFE" w:rsidP="00243B15">
            <w:pPr>
              <w:jc w:val="left"/>
              <w:rPr>
                <w:sz w:val="18"/>
                <w:szCs w:val="18"/>
                <w:lang w:val="en-CA"/>
              </w:rPr>
            </w:pPr>
            <w:r w:rsidRPr="006E490C">
              <w:rPr>
                <w:sz w:val="18"/>
                <w:szCs w:val="18"/>
                <w:lang w:val="en-CA"/>
              </w:rPr>
              <w:t>Lack of stakeholder buy-in to the measures prescribed in the Landscape Management Master Plan</w:t>
            </w:r>
          </w:p>
          <w:p w14:paraId="176F57A0" w14:textId="77777777" w:rsidR="00302BFE" w:rsidRPr="006E490C" w:rsidRDefault="00302BFE" w:rsidP="00243B15">
            <w:pPr>
              <w:jc w:val="left"/>
              <w:rPr>
                <w:sz w:val="18"/>
                <w:szCs w:val="18"/>
                <w:lang w:val="en-CA"/>
              </w:rPr>
            </w:pPr>
            <w:r w:rsidRPr="006E490C">
              <w:rPr>
                <w:i/>
                <w:sz w:val="18"/>
                <w:szCs w:val="18"/>
                <w:lang w:val="en-CA"/>
              </w:rPr>
              <w:t>Assumptions</w:t>
            </w:r>
            <w:r w:rsidRPr="006E490C">
              <w:rPr>
                <w:sz w:val="18"/>
                <w:szCs w:val="18"/>
                <w:lang w:val="en-CA"/>
              </w:rPr>
              <w:t>:</w:t>
            </w:r>
          </w:p>
          <w:p w14:paraId="258163E0" w14:textId="77777777" w:rsidR="00302BFE" w:rsidRPr="006E490C" w:rsidRDefault="00302BFE" w:rsidP="00243B15">
            <w:pPr>
              <w:jc w:val="left"/>
              <w:rPr>
                <w:sz w:val="18"/>
                <w:szCs w:val="18"/>
                <w:lang w:val="en-CA"/>
              </w:rPr>
            </w:pPr>
            <w:r w:rsidRPr="006E490C">
              <w:rPr>
                <w:sz w:val="18"/>
                <w:szCs w:val="18"/>
                <w:lang w:val="en-CA"/>
              </w:rPr>
              <w:t xml:space="preserve">Effective mobilization of co-financing to ensure the implementation of the master landscape management plan </w:t>
            </w:r>
          </w:p>
          <w:p w14:paraId="6FE15E8A" w14:textId="77777777" w:rsidR="00302BFE" w:rsidRPr="006E490C" w:rsidRDefault="00302BFE" w:rsidP="00243B15">
            <w:pPr>
              <w:jc w:val="left"/>
              <w:rPr>
                <w:sz w:val="18"/>
                <w:szCs w:val="18"/>
                <w:lang w:val="en-CA"/>
              </w:rPr>
            </w:pPr>
            <w:r w:rsidRPr="006E490C">
              <w:rPr>
                <w:sz w:val="18"/>
                <w:szCs w:val="18"/>
                <w:lang w:val="en-CA"/>
              </w:rPr>
              <w:t>Men and women stakeholders’ willingness to adapt their practices and to adopt improved and more sustainable production schemes</w:t>
            </w:r>
          </w:p>
        </w:tc>
      </w:tr>
      <w:tr w:rsidR="00302BFE" w:rsidRPr="006E490C" w14:paraId="78F4ABC1" w14:textId="77777777" w:rsidTr="00243B15">
        <w:tc>
          <w:tcPr>
            <w:tcW w:w="2006" w:type="dxa"/>
            <w:vMerge/>
            <w:tcBorders>
              <w:left w:val="single" w:sz="4" w:space="0" w:color="auto"/>
              <w:right w:val="single" w:sz="4" w:space="0" w:color="auto"/>
            </w:tcBorders>
            <w:vAlign w:val="center"/>
            <w:hideMark/>
          </w:tcPr>
          <w:p w14:paraId="51DC007D" w14:textId="77777777" w:rsidR="00302BFE" w:rsidRPr="006E490C" w:rsidRDefault="00302BFE" w:rsidP="00243B15">
            <w:pPr>
              <w:spacing w:after="0"/>
              <w:jc w:val="left"/>
              <w:rPr>
                <w:rFonts w:ascii="Times New Roman" w:hAnsi="Times New Roman"/>
                <w:b/>
                <w:bCs/>
                <w:sz w:val="18"/>
                <w:szCs w:val="18"/>
                <w:lang w:val="en-CA"/>
              </w:rPr>
            </w:pPr>
          </w:p>
        </w:tc>
        <w:tc>
          <w:tcPr>
            <w:tcW w:w="3016" w:type="dxa"/>
            <w:vMerge w:val="restart"/>
            <w:tcBorders>
              <w:top w:val="single" w:sz="4" w:space="0" w:color="auto"/>
              <w:left w:val="single" w:sz="4" w:space="0" w:color="auto"/>
              <w:bottom w:val="single" w:sz="4" w:space="0" w:color="auto"/>
              <w:right w:val="single" w:sz="4" w:space="0" w:color="auto"/>
            </w:tcBorders>
            <w:hideMark/>
          </w:tcPr>
          <w:p w14:paraId="000BA49D" w14:textId="77777777" w:rsidR="00302BFE" w:rsidRPr="006E490C" w:rsidRDefault="00302BFE" w:rsidP="00243B15">
            <w:pPr>
              <w:rPr>
                <w:bCs/>
                <w:i/>
                <w:sz w:val="18"/>
                <w:szCs w:val="18"/>
                <w:u w:val="single"/>
                <w:lang w:val="en-CA"/>
              </w:rPr>
            </w:pPr>
            <w:r w:rsidRPr="006E490C">
              <w:rPr>
                <w:bCs/>
                <w:i/>
                <w:sz w:val="18"/>
                <w:szCs w:val="18"/>
                <w:u w:val="single"/>
                <w:lang w:val="en-CA"/>
              </w:rPr>
              <w:t>Indicator 12:</w:t>
            </w:r>
          </w:p>
          <w:p w14:paraId="59B6CF69" w14:textId="77777777" w:rsidR="00302BFE" w:rsidRPr="006E490C" w:rsidRDefault="00302BFE" w:rsidP="00DC7D98">
            <w:pPr>
              <w:jc w:val="left"/>
              <w:rPr>
                <w:rFonts w:eastAsia="Calibri"/>
                <w:sz w:val="18"/>
                <w:szCs w:val="18"/>
                <w:lang w:val="en-CA"/>
              </w:rPr>
            </w:pPr>
            <w:r w:rsidRPr="006E490C">
              <w:rPr>
                <w:rFonts w:eastAsia="Calibri"/>
                <w:sz w:val="18"/>
                <w:szCs w:val="18"/>
                <w:lang w:val="en-CA"/>
              </w:rPr>
              <w:t>Average annual individual income in local communities and number of direct beneficiaries (disaggregated by sex) from employment in NTFP and tourism value chains</w:t>
            </w:r>
          </w:p>
          <w:p w14:paraId="553FC7B6" w14:textId="77777777" w:rsidR="00302BFE" w:rsidRPr="006E490C" w:rsidRDefault="00302BFE" w:rsidP="00DC7D98">
            <w:pPr>
              <w:jc w:val="left"/>
              <w:rPr>
                <w:rFonts w:eastAsia="Calibri"/>
                <w:sz w:val="18"/>
                <w:szCs w:val="18"/>
                <w:lang w:val="en-CA"/>
              </w:rPr>
            </w:pPr>
            <w:r w:rsidRPr="006E490C">
              <w:rPr>
                <w:rFonts w:eastAsia="Calibri"/>
                <w:sz w:val="18"/>
                <w:szCs w:val="18"/>
                <w:lang w:val="en-CA"/>
              </w:rPr>
              <w:t>a. from tourism related to protected areas</w:t>
            </w:r>
          </w:p>
          <w:p w14:paraId="0ADD6D0F" w14:textId="77777777" w:rsidR="00302BFE" w:rsidRPr="006E490C" w:rsidRDefault="00302BFE" w:rsidP="00DC7D98">
            <w:pPr>
              <w:jc w:val="left"/>
              <w:rPr>
                <w:rFonts w:eastAsia="Calibri"/>
                <w:sz w:val="18"/>
                <w:szCs w:val="18"/>
                <w:lang w:val="en-CA"/>
              </w:rPr>
            </w:pPr>
            <w:r w:rsidRPr="006E490C">
              <w:rPr>
                <w:rFonts w:eastAsia="Calibri"/>
                <w:sz w:val="18"/>
                <w:szCs w:val="18"/>
                <w:lang w:val="en-CA"/>
              </w:rPr>
              <w:t>b. from the shea, liane goïne and honey value chains</w:t>
            </w:r>
          </w:p>
        </w:tc>
        <w:tc>
          <w:tcPr>
            <w:tcW w:w="1552" w:type="dxa"/>
            <w:vMerge w:val="restart"/>
            <w:tcBorders>
              <w:top w:val="single" w:sz="4" w:space="0" w:color="auto"/>
              <w:left w:val="single" w:sz="4" w:space="0" w:color="auto"/>
              <w:bottom w:val="single" w:sz="4" w:space="0" w:color="auto"/>
              <w:right w:val="single" w:sz="4" w:space="0" w:color="auto"/>
            </w:tcBorders>
          </w:tcPr>
          <w:p w14:paraId="6BAD870D" w14:textId="77777777" w:rsidR="00302BFE" w:rsidRPr="006E490C" w:rsidRDefault="00302BFE" w:rsidP="00243B15">
            <w:pPr>
              <w:jc w:val="left"/>
              <w:rPr>
                <w:bCs/>
                <w:sz w:val="18"/>
                <w:szCs w:val="18"/>
                <w:lang w:val="en-CA"/>
              </w:rPr>
            </w:pPr>
            <w:r w:rsidRPr="006E490C">
              <w:rPr>
                <w:bCs/>
                <w:sz w:val="18"/>
                <w:szCs w:val="18"/>
                <w:lang w:val="en-CA"/>
              </w:rPr>
              <w:t>a) Reference situation on income and number of direct beneficiaries to be determined in the first year of the project</w:t>
            </w:r>
          </w:p>
          <w:p w14:paraId="7B22FD2C" w14:textId="77777777" w:rsidR="00302BFE" w:rsidRPr="006E490C" w:rsidRDefault="00302BFE" w:rsidP="00243B15">
            <w:pPr>
              <w:jc w:val="left"/>
              <w:rPr>
                <w:bCs/>
                <w:sz w:val="18"/>
                <w:szCs w:val="18"/>
                <w:lang w:val="en-CA"/>
              </w:rPr>
            </w:pPr>
            <w:r w:rsidRPr="006E490C">
              <w:rPr>
                <w:bCs/>
                <w:sz w:val="18"/>
                <w:szCs w:val="18"/>
                <w:lang w:val="en-CA"/>
              </w:rPr>
              <w:t>b) Reference situation on income and number of direct beneficiaries to be determined in the first year of the project</w:t>
            </w:r>
          </w:p>
        </w:tc>
        <w:tc>
          <w:tcPr>
            <w:tcW w:w="1552" w:type="dxa"/>
            <w:vMerge w:val="restart"/>
            <w:tcBorders>
              <w:top w:val="single" w:sz="4" w:space="0" w:color="auto"/>
              <w:left w:val="single" w:sz="4" w:space="0" w:color="auto"/>
              <w:bottom w:val="single" w:sz="4" w:space="0" w:color="auto"/>
              <w:right w:val="single" w:sz="4" w:space="0" w:color="auto"/>
            </w:tcBorders>
          </w:tcPr>
          <w:p w14:paraId="08578024" w14:textId="77777777" w:rsidR="00302BFE" w:rsidRPr="006E490C" w:rsidRDefault="00302BFE" w:rsidP="00243B15">
            <w:pPr>
              <w:jc w:val="left"/>
              <w:rPr>
                <w:bCs/>
                <w:sz w:val="18"/>
                <w:szCs w:val="18"/>
                <w:lang w:val="en-CA"/>
              </w:rPr>
            </w:pPr>
            <w:r w:rsidRPr="006E490C">
              <w:rPr>
                <w:bCs/>
                <w:sz w:val="18"/>
                <w:szCs w:val="18"/>
                <w:lang w:val="en-CA"/>
              </w:rPr>
              <w:t>a) No significant change expected mid-term (training stage)</w:t>
            </w:r>
          </w:p>
          <w:p w14:paraId="1FDBA1FF" w14:textId="77777777" w:rsidR="00302BFE" w:rsidRPr="006E490C" w:rsidRDefault="00302BFE" w:rsidP="00243B15">
            <w:pPr>
              <w:jc w:val="left"/>
              <w:rPr>
                <w:bCs/>
                <w:sz w:val="18"/>
                <w:szCs w:val="18"/>
                <w:lang w:val="en-CA"/>
              </w:rPr>
            </w:pPr>
            <w:r w:rsidRPr="006E490C">
              <w:rPr>
                <w:bCs/>
                <w:sz w:val="18"/>
                <w:szCs w:val="18"/>
                <w:lang w:val="en-CA"/>
              </w:rPr>
              <w:t>b) No significant change expected mid-term (training stage)</w:t>
            </w:r>
          </w:p>
        </w:tc>
        <w:tc>
          <w:tcPr>
            <w:tcW w:w="1552" w:type="dxa"/>
            <w:vMerge w:val="restart"/>
            <w:tcBorders>
              <w:top w:val="single" w:sz="4" w:space="0" w:color="auto"/>
              <w:left w:val="single" w:sz="4" w:space="0" w:color="auto"/>
              <w:bottom w:val="single" w:sz="4" w:space="0" w:color="auto"/>
              <w:right w:val="single" w:sz="4" w:space="0" w:color="auto"/>
            </w:tcBorders>
          </w:tcPr>
          <w:p w14:paraId="47E280F6" w14:textId="77777777" w:rsidR="00302BFE" w:rsidRPr="006E490C" w:rsidRDefault="00302BFE" w:rsidP="00243B15">
            <w:pPr>
              <w:jc w:val="left"/>
              <w:rPr>
                <w:bCs/>
                <w:sz w:val="18"/>
                <w:szCs w:val="18"/>
                <w:lang w:val="en-CA"/>
              </w:rPr>
            </w:pPr>
            <w:r w:rsidRPr="006E490C">
              <w:rPr>
                <w:bCs/>
                <w:sz w:val="18"/>
                <w:szCs w:val="18"/>
                <w:lang w:val="en-CA"/>
              </w:rPr>
              <w:t>a) Revenues increased by 30% for 200 direct beneficiaries of tourism small enterprises (60 men - 140 women)</w:t>
            </w:r>
          </w:p>
          <w:p w14:paraId="577A4897" w14:textId="77777777" w:rsidR="00302BFE" w:rsidRPr="006E490C" w:rsidRDefault="00302BFE" w:rsidP="00243B15">
            <w:pPr>
              <w:spacing w:after="0"/>
              <w:jc w:val="left"/>
              <w:rPr>
                <w:bCs/>
                <w:sz w:val="18"/>
                <w:szCs w:val="18"/>
                <w:lang w:val="en-CA"/>
              </w:rPr>
            </w:pPr>
            <w:r w:rsidRPr="006E490C">
              <w:rPr>
                <w:bCs/>
                <w:sz w:val="18"/>
                <w:szCs w:val="18"/>
                <w:lang w:val="en-CA"/>
              </w:rPr>
              <w:t>b) Increased income for 820 direct beneficiaries (200 men, 620 women) of NTFP value chains, including:</w:t>
            </w:r>
          </w:p>
          <w:p w14:paraId="093F9FED" w14:textId="77777777" w:rsidR="00302BFE" w:rsidRPr="006E490C" w:rsidRDefault="00302BFE" w:rsidP="00243B15">
            <w:pPr>
              <w:spacing w:after="0"/>
              <w:jc w:val="left"/>
              <w:rPr>
                <w:bCs/>
                <w:sz w:val="18"/>
                <w:szCs w:val="18"/>
                <w:lang w:val="en-CA"/>
              </w:rPr>
            </w:pPr>
            <w:r w:rsidRPr="006E490C">
              <w:rPr>
                <w:bCs/>
                <w:sz w:val="18"/>
                <w:szCs w:val="18"/>
                <w:lang w:val="en-CA"/>
              </w:rPr>
              <w:t>- shea value chain: revenues increased by 20% for 300 women</w:t>
            </w:r>
          </w:p>
          <w:p w14:paraId="68E6FD1E" w14:textId="77777777" w:rsidR="00302BFE" w:rsidRPr="006E490C" w:rsidRDefault="00302BFE" w:rsidP="00243B15">
            <w:pPr>
              <w:spacing w:after="0"/>
              <w:jc w:val="left"/>
              <w:rPr>
                <w:bCs/>
                <w:sz w:val="18"/>
                <w:szCs w:val="18"/>
                <w:lang w:val="en-CA"/>
              </w:rPr>
            </w:pPr>
            <w:r w:rsidRPr="006E490C">
              <w:rPr>
                <w:bCs/>
                <w:sz w:val="18"/>
                <w:szCs w:val="18"/>
                <w:lang w:val="en-CA"/>
              </w:rPr>
              <w:t xml:space="preserve">- liane goine value chain: increased revenues by 50% for 120 women </w:t>
            </w:r>
          </w:p>
          <w:p w14:paraId="008966AE" w14:textId="77777777" w:rsidR="00302BFE" w:rsidRPr="006E490C" w:rsidRDefault="00302BFE" w:rsidP="00243B15">
            <w:pPr>
              <w:jc w:val="left"/>
              <w:rPr>
                <w:bCs/>
                <w:sz w:val="18"/>
                <w:szCs w:val="18"/>
                <w:lang w:val="en-CA"/>
              </w:rPr>
            </w:pPr>
            <w:r w:rsidRPr="006E490C">
              <w:rPr>
                <w:bCs/>
                <w:sz w:val="18"/>
                <w:szCs w:val="18"/>
                <w:lang w:val="en-CA"/>
              </w:rPr>
              <w:t>- honey value chain: increased revenues by 20% for 200 men and 200 women</w:t>
            </w:r>
          </w:p>
        </w:tc>
        <w:tc>
          <w:tcPr>
            <w:tcW w:w="4712" w:type="dxa"/>
            <w:tcBorders>
              <w:top w:val="single" w:sz="4" w:space="0" w:color="auto"/>
              <w:left w:val="single" w:sz="4" w:space="0" w:color="auto"/>
              <w:bottom w:val="single" w:sz="4" w:space="0" w:color="auto"/>
              <w:right w:val="single" w:sz="4" w:space="0" w:color="auto"/>
            </w:tcBorders>
            <w:hideMark/>
          </w:tcPr>
          <w:p w14:paraId="3234E193" w14:textId="77777777" w:rsidR="00302BFE" w:rsidRPr="006E490C" w:rsidRDefault="00302BFE" w:rsidP="00243B15">
            <w:pPr>
              <w:jc w:val="left"/>
              <w:rPr>
                <w:bCs/>
                <w:i/>
                <w:sz w:val="18"/>
                <w:szCs w:val="18"/>
                <w:lang w:val="en-CA"/>
              </w:rPr>
            </w:pPr>
            <w:r w:rsidRPr="006E490C">
              <w:rPr>
                <w:bCs/>
                <w:i/>
                <w:sz w:val="18"/>
                <w:szCs w:val="18"/>
                <w:lang w:val="en-CA"/>
              </w:rPr>
              <w:t>Data collection source / method</w:t>
            </w:r>
          </w:p>
          <w:p w14:paraId="31BE9F5E" w14:textId="77777777" w:rsidR="00302BFE" w:rsidRPr="006E490C" w:rsidRDefault="00302BFE" w:rsidP="00243B15">
            <w:pPr>
              <w:jc w:val="left"/>
              <w:rPr>
                <w:sz w:val="18"/>
                <w:szCs w:val="18"/>
                <w:lang w:val="en-CA"/>
              </w:rPr>
            </w:pPr>
            <w:r w:rsidRPr="006E490C">
              <w:rPr>
                <w:sz w:val="18"/>
                <w:szCs w:val="18"/>
                <w:lang w:val="en-CA"/>
              </w:rPr>
              <w:t>Participatory surveys on household income in intervention sites conducted in the first year and at end of project</w:t>
            </w:r>
          </w:p>
        </w:tc>
      </w:tr>
      <w:tr w:rsidR="00302BFE" w:rsidRPr="006E490C" w14:paraId="2B44481D" w14:textId="77777777" w:rsidTr="00243B15">
        <w:tc>
          <w:tcPr>
            <w:tcW w:w="2006" w:type="dxa"/>
            <w:vMerge/>
            <w:tcBorders>
              <w:left w:val="single" w:sz="4" w:space="0" w:color="auto"/>
              <w:right w:val="single" w:sz="4" w:space="0" w:color="auto"/>
            </w:tcBorders>
            <w:vAlign w:val="center"/>
            <w:hideMark/>
          </w:tcPr>
          <w:p w14:paraId="5D6E020F" w14:textId="77777777" w:rsidR="00302BFE" w:rsidRPr="006E490C" w:rsidRDefault="00302BFE" w:rsidP="00243B15">
            <w:pPr>
              <w:spacing w:after="0"/>
              <w:jc w:val="left"/>
              <w:rPr>
                <w:rFonts w:ascii="Times New Roman" w:hAnsi="Times New Roman"/>
                <w:b/>
                <w:bCs/>
                <w:sz w:val="18"/>
                <w:szCs w:val="18"/>
                <w:lang w:val="en-CA"/>
              </w:rPr>
            </w:pPr>
          </w:p>
        </w:tc>
        <w:tc>
          <w:tcPr>
            <w:tcW w:w="3016" w:type="dxa"/>
            <w:vMerge/>
            <w:tcBorders>
              <w:top w:val="single" w:sz="4" w:space="0" w:color="auto"/>
              <w:left w:val="single" w:sz="4" w:space="0" w:color="auto"/>
              <w:bottom w:val="single" w:sz="4" w:space="0" w:color="auto"/>
              <w:right w:val="single" w:sz="4" w:space="0" w:color="auto"/>
            </w:tcBorders>
            <w:vAlign w:val="center"/>
            <w:hideMark/>
          </w:tcPr>
          <w:p w14:paraId="6051F41B" w14:textId="77777777" w:rsidR="00302BFE" w:rsidRPr="006E490C" w:rsidRDefault="00302BFE" w:rsidP="00243B15">
            <w:pPr>
              <w:spacing w:after="0"/>
              <w:jc w:val="left"/>
              <w:rPr>
                <w:bCs/>
                <w:i/>
                <w:sz w:val="18"/>
                <w:szCs w:val="18"/>
                <w:lang w:val="en-CA"/>
              </w:rPr>
            </w:pPr>
          </w:p>
        </w:tc>
        <w:tc>
          <w:tcPr>
            <w:tcW w:w="1552" w:type="dxa"/>
            <w:vMerge/>
            <w:tcBorders>
              <w:top w:val="single" w:sz="4" w:space="0" w:color="auto"/>
              <w:left w:val="single" w:sz="4" w:space="0" w:color="auto"/>
              <w:bottom w:val="single" w:sz="4" w:space="0" w:color="auto"/>
              <w:right w:val="single" w:sz="4" w:space="0" w:color="auto"/>
            </w:tcBorders>
            <w:vAlign w:val="center"/>
          </w:tcPr>
          <w:p w14:paraId="430E96E9" w14:textId="77777777" w:rsidR="00302BFE" w:rsidRPr="006E490C" w:rsidRDefault="00302BFE" w:rsidP="00243B15">
            <w:pPr>
              <w:spacing w:after="0"/>
              <w:jc w:val="left"/>
              <w:rPr>
                <w:bCs/>
                <w:i/>
                <w:sz w:val="18"/>
                <w:szCs w:val="18"/>
                <w:lang w:val="en-CA"/>
              </w:rPr>
            </w:pPr>
          </w:p>
        </w:tc>
        <w:tc>
          <w:tcPr>
            <w:tcW w:w="1552" w:type="dxa"/>
            <w:vMerge/>
            <w:tcBorders>
              <w:top w:val="single" w:sz="4" w:space="0" w:color="auto"/>
              <w:left w:val="single" w:sz="4" w:space="0" w:color="auto"/>
              <w:bottom w:val="single" w:sz="4" w:space="0" w:color="auto"/>
              <w:right w:val="single" w:sz="4" w:space="0" w:color="auto"/>
            </w:tcBorders>
            <w:vAlign w:val="center"/>
          </w:tcPr>
          <w:p w14:paraId="21C04017" w14:textId="77777777" w:rsidR="00302BFE" w:rsidRPr="006E490C" w:rsidRDefault="00302BFE" w:rsidP="00243B15">
            <w:pPr>
              <w:spacing w:after="0"/>
              <w:jc w:val="left"/>
              <w:rPr>
                <w:bCs/>
                <w:i/>
                <w:sz w:val="18"/>
                <w:szCs w:val="18"/>
                <w:lang w:val="en-CA"/>
              </w:rPr>
            </w:pPr>
          </w:p>
        </w:tc>
        <w:tc>
          <w:tcPr>
            <w:tcW w:w="1552" w:type="dxa"/>
            <w:vMerge/>
            <w:tcBorders>
              <w:top w:val="single" w:sz="4" w:space="0" w:color="auto"/>
              <w:left w:val="single" w:sz="4" w:space="0" w:color="auto"/>
              <w:bottom w:val="single" w:sz="4" w:space="0" w:color="auto"/>
              <w:right w:val="single" w:sz="4" w:space="0" w:color="auto"/>
            </w:tcBorders>
            <w:vAlign w:val="center"/>
          </w:tcPr>
          <w:p w14:paraId="676764DB" w14:textId="77777777" w:rsidR="00302BFE" w:rsidRPr="006E490C" w:rsidRDefault="00302BFE" w:rsidP="00243B15">
            <w:pPr>
              <w:spacing w:after="0"/>
              <w:jc w:val="left"/>
              <w:rPr>
                <w:bCs/>
                <w:i/>
                <w:sz w:val="18"/>
                <w:szCs w:val="18"/>
                <w:lang w:val="en-CA"/>
              </w:rPr>
            </w:pPr>
          </w:p>
        </w:tc>
        <w:tc>
          <w:tcPr>
            <w:tcW w:w="4712" w:type="dxa"/>
            <w:tcBorders>
              <w:top w:val="single" w:sz="4" w:space="0" w:color="auto"/>
              <w:left w:val="single" w:sz="4" w:space="0" w:color="auto"/>
              <w:bottom w:val="single" w:sz="4" w:space="0" w:color="auto"/>
              <w:right w:val="single" w:sz="4" w:space="0" w:color="auto"/>
            </w:tcBorders>
          </w:tcPr>
          <w:p w14:paraId="04950FBC" w14:textId="77777777" w:rsidR="00302BFE" w:rsidRPr="006E490C" w:rsidRDefault="00302BFE" w:rsidP="00243B15">
            <w:pPr>
              <w:jc w:val="left"/>
              <w:rPr>
                <w:sz w:val="18"/>
                <w:szCs w:val="18"/>
                <w:lang w:val="en-CA"/>
              </w:rPr>
            </w:pPr>
            <w:r w:rsidRPr="006E490C">
              <w:rPr>
                <w:i/>
                <w:sz w:val="18"/>
                <w:szCs w:val="18"/>
                <w:lang w:val="en-CA"/>
              </w:rPr>
              <w:t>Risks</w:t>
            </w:r>
            <w:r w:rsidRPr="006E490C">
              <w:rPr>
                <w:sz w:val="18"/>
                <w:szCs w:val="18"/>
                <w:lang w:val="en-CA"/>
              </w:rPr>
              <w:t>:</w:t>
            </w:r>
          </w:p>
          <w:p w14:paraId="65896188" w14:textId="77777777" w:rsidR="00302BFE" w:rsidRPr="006E490C" w:rsidRDefault="00302BFE" w:rsidP="00243B15">
            <w:pPr>
              <w:jc w:val="left"/>
              <w:rPr>
                <w:sz w:val="18"/>
                <w:szCs w:val="18"/>
                <w:lang w:val="en-CA"/>
              </w:rPr>
            </w:pPr>
            <w:r w:rsidRPr="006E490C">
              <w:rPr>
                <w:sz w:val="18"/>
                <w:szCs w:val="18"/>
                <w:lang w:val="en-CA"/>
              </w:rPr>
              <w:t>Falling market prices for products developed by the value chains</w:t>
            </w:r>
          </w:p>
          <w:p w14:paraId="626F8E1F" w14:textId="77777777" w:rsidR="00302BFE" w:rsidRPr="006E490C" w:rsidRDefault="00302BFE" w:rsidP="00243B15">
            <w:pPr>
              <w:jc w:val="left"/>
              <w:rPr>
                <w:sz w:val="18"/>
                <w:szCs w:val="18"/>
                <w:lang w:val="en-CA"/>
              </w:rPr>
            </w:pPr>
            <w:r w:rsidRPr="006E490C">
              <w:rPr>
                <w:sz w:val="18"/>
                <w:szCs w:val="18"/>
                <w:lang w:val="en-CA"/>
              </w:rPr>
              <w:t>Increasing level of insecurity in the country reduces the attractiveness of PONASI sites for international tourists</w:t>
            </w:r>
          </w:p>
          <w:p w14:paraId="6CAC34CB" w14:textId="77777777" w:rsidR="00302BFE" w:rsidRPr="006E490C" w:rsidRDefault="00302BFE" w:rsidP="00243B15">
            <w:pPr>
              <w:jc w:val="left"/>
              <w:rPr>
                <w:sz w:val="18"/>
                <w:szCs w:val="18"/>
                <w:lang w:val="en-CA"/>
              </w:rPr>
            </w:pPr>
            <w:r w:rsidRPr="006E490C">
              <w:rPr>
                <w:i/>
                <w:sz w:val="18"/>
                <w:szCs w:val="18"/>
                <w:lang w:val="en-CA"/>
              </w:rPr>
              <w:t>Assumptions</w:t>
            </w:r>
            <w:r w:rsidRPr="006E490C">
              <w:rPr>
                <w:sz w:val="18"/>
                <w:szCs w:val="18"/>
                <w:lang w:val="en-CA"/>
              </w:rPr>
              <w:t>:</w:t>
            </w:r>
          </w:p>
          <w:p w14:paraId="2572416A" w14:textId="77777777" w:rsidR="00302BFE" w:rsidRPr="006E490C" w:rsidRDefault="00302BFE" w:rsidP="00243B15">
            <w:pPr>
              <w:jc w:val="left"/>
              <w:rPr>
                <w:sz w:val="18"/>
                <w:szCs w:val="18"/>
                <w:lang w:val="en-CA"/>
              </w:rPr>
            </w:pPr>
            <w:r w:rsidRPr="006E490C">
              <w:rPr>
                <w:sz w:val="18"/>
                <w:szCs w:val="18"/>
                <w:lang w:val="en-CA"/>
              </w:rPr>
              <w:t>Stakeholders’ willingness to adapt their practices and adopt improved and more sustainable production schemes</w:t>
            </w:r>
          </w:p>
        </w:tc>
      </w:tr>
      <w:tr w:rsidR="00302BFE" w:rsidRPr="006E490C" w14:paraId="5A7EFA48" w14:textId="77777777" w:rsidTr="00243B15">
        <w:tc>
          <w:tcPr>
            <w:tcW w:w="2006" w:type="dxa"/>
            <w:vMerge/>
            <w:tcBorders>
              <w:left w:val="single" w:sz="4" w:space="0" w:color="auto"/>
              <w:right w:val="single" w:sz="4" w:space="0" w:color="auto"/>
            </w:tcBorders>
            <w:vAlign w:val="center"/>
          </w:tcPr>
          <w:p w14:paraId="758F5ABF" w14:textId="77777777" w:rsidR="00302BFE" w:rsidRPr="006E490C" w:rsidRDefault="00302BFE" w:rsidP="00243B15">
            <w:pPr>
              <w:spacing w:after="0"/>
              <w:jc w:val="left"/>
              <w:rPr>
                <w:rFonts w:ascii="Times New Roman" w:hAnsi="Times New Roman"/>
                <w:b/>
                <w:bCs/>
                <w:sz w:val="18"/>
                <w:szCs w:val="18"/>
                <w:lang w:val="en-CA"/>
              </w:rPr>
            </w:pPr>
          </w:p>
        </w:tc>
        <w:tc>
          <w:tcPr>
            <w:tcW w:w="3016" w:type="dxa"/>
            <w:vMerge w:val="restart"/>
            <w:tcBorders>
              <w:top w:val="single" w:sz="4" w:space="0" w:color="auto"/>
              <w:left w:val="single" w:sz="4" w:space="0" w:color="auto"/>
              <w:right w:val="single" w:sz="4" w:space="0" w:color="auto"/>
            </w:tcBorders>
            <w:vAlign w:val="center"/>
          </w:tcPr>
          <w:p w14:paraId="179945E7" w14:textId="77777777" w:rsidR="00302BFE" w:rsidRPr="006E490C" w:rsidRDefault="00302BFE" w:rsidP="00243B15">
            <w:pPr>
              <w:jc w:val="left"/>
              <w:rPr>
                <w:bCs/>
                <w:i/>
                <w:sz w:val="18"/>
                <w:szCs w:val="18"/>
                <w:u w:val="single"/>
                <w:lang w:val="en-CA"/>
              </w:rPr>
            </w:pPr>
            <w:r w:rsidRPr="006E490C">
              <w:rPr>
                <w:bCs/>
                <w:i/>
                <w:sz w:val="18"/>
                <w:szCs w:val="18"/>
                <w:u w:val="single"/>
                <w:lang w:val="en-CA"/>
              </w:rPr>
              <w:t>Indicator 13:</w:t>
            </w:r>
          </w:p>
          <w:p w14:paraId="6E1B73C6" w14:textId="77777777" w:rsidR="00302BFE" w:rsidRPr="006E490C" w:rsidRDefault="00302BFE" w:rsidP="00243B15">
            <w:pPr>
              <w:spacing w:after="0"/>
              <w:jc w:val="left"/>
              <w:rPr>
                <w:bCs/>
                <w:sz w:val="18"/>
                <w:szCs w:val="18"/>
                <w:lang w:val="en-CA"/>
              </w:rPr>
            </w:pPr>
            <w:r w:rsidRPr="006E490C">
              <w:rPr>
                <w:bCs/>
                <w:sz w:val="18"/>
                <w:szCs w:val="18"/>
                <w:lang w:val="en-CA"/>
              </w:rPr>
              <w:t>Condition of resources in:</w:t>
            </w:r>
          </w:p>
          <w:p w14:paraId="2E35705C" w14:textId="77777777" w:rsidR="00302BFE" w:rsidRPr="006E490C" w:rsidRDefault="00302BFE" w:rsidP="00C46720">
            <w:pPr>
              <w:pStyle w:val="Paragraphedeliste"/>
              <w:numPr>
                <w:ilvl w:val="0"/>
                <w:numId w:val="10"/>
              </w:numPr>
              <w:ind w:left="258" w:hanging="178"/>
              <w:contextualSpacing/>
              <w:rPr>
                <w:rFonts w:ascii="Calibri" w:hAnsi="Calibri"/>
                <w:bCs/>
                <w:sz w:val="18"/>
                <w:szCs w:val="18"/>
                <w:lang w:val="en-CA"/>
              </w:rPr>
            </w:pPr>
            <w:r w:rsidRPr="006E490C">
              <w:rPr>
                <w:rFonts w:ascii="Calibri" w:hAnsi="Calibri"/>
                <w:bCs/>
                <w:sz w:val="18"/>
                <w:szCs w:val="18"/>
                <w:lang w:val="en-CA"/>
              </w:rPr>
              <w:t>Forest areas including Forest Management Areas (CAF), communes and village forests</w:t>
            </w:r>
          </w:p>
          <w:p w14:paraId="532455F5" w14:textId="77777777" w:rsidR="00302BFE" w:rsidRPr="006E490C" w:rsidRDefault="00302BFE" w:rsidP="00C46720">
            <w:pPr>
              <w:pStyle w:val="Paragraphedeliste"/>
              <w:numPr>
                <w:ilvl w:val="0"/>
                <w:numId w:val="10"/>
              </w:numPr>
              <w:ind w:left="258" w:hanging="178"/>
              <w:contextualSpacing/>
              <w:rPr>
                <w:rFonts w:ascii="Calibri" w:hAnsi="Calibri"/>
                <w:bCs/>
                <w:sz w:val="18"/>
                <w:szCs w:val="18"/>
                <w:lang w:val="en-CA"/>
              </w:rPr>
            </w:pPr>
            <w:r w:rsidRPr="006E490C">
              <w:rPr>
                <w:rFonts w:ascii="Calibri" w:hAnsi="Calibri"/>
                <w:bCs/>
                <w:sz w:val="18"/>
                <w:szCs w:val="18"/>
                <w:lang w:val="en-CA"/>
              </w:rPr>
              <w:t>Pasture areas</w:t>
            </w:r>
          </w:p>
        </w:tc>
        <w:tc>
          <w:tcPr>
            <w:tcW w:w="1552" w:type="dxa"/>
            <w:vMerge w:val="restart"/>
            <w:tcBorders>
              <w:top w:val="single" w:sz="4" w:space="0" w:color="auto"/>
              <w:left w:val="single" w:sz="4" w:space="0" w:color="auto"/>
              <w:right w:val="single" w:sz="4" w:space="0" w:color="auto"/>
            </w:tcBorders>
            <w:vAlign w:val="center"/>
          </w:tcPr>
          <w:p w14:paraId="34027E5B" w14:textId="77777777" w:rsidR="00302BFE" w:rsidRPr="006E490C" w:rsidRDefault="00302BFE" w:rsidP="00243B15">
            <w:pPr>
              <w:spacing w:after="0"/>
              <w:jc w:val="left"/>
              <w:rPr>
                <w:bCs/>
                <w:sz w:val="18"/>
                <w:szCs w:val="18"/>
                <w:lang w:val="en-CA"/>
              </w:rPr>
            </w:pPr>
            <w:r w:rsidRPr="006E490C">
              <w:rPr>
                <w:bCs/>
                <w:sz w:val="18"/>
                <w:szCs w:val="18"/>
                <w:lang w:val="en-CA"/>
              </w:rPr>
              <w:t>To be determined in the 1</w:t>
            </w:r>
            <w:r w:rsidRPr="006E490C">
              <w:rPr>
                <w:bCs/>
                <w:sz w:val="18"/>
                <w:szCs w:val="18"/>
                <w:vertAlign w:val="superscript"/>
                <w:lang w:val="en-CA"/>
              </w:rPr>
              <w:t>st</w:t>
            </w:r>
            <w:r w:rsidRPr="006E490C">
              <w:rPr>
                <w:bCs/>
                <w:sz w:val="18"/>
                <w:szCs w:val="18"/>
                <w:lang w:val="en-CA"/>
              </w:rPr>
              <w:t xml:space="preserve"> year of the project</w:t>
            </w:r>
          </w:p>
        </w:tc>
        <w:tc>
          <w:tcPr>
            <w:tcW w:w="1552" w:type="dxa"/>
            <w:vMerge w:val="restart"/>
            <w:tcBorders>
              <w:top w:val="single" w:sz="4" w:space="0" w:color="auto"/>
              <w:left w:val="single" w:sz="4" w:space="0" w:color="auto"/>
              <w:right w:val="single" w:sz="4" w:space="0" w:color="auto"/>
            </w:tcBorders>
            <w:vAlign w:val="center"/>
          </w:tcPr>
          <w:p w14:paraId="5EB6478B" w14:textId="77777777" w:rsidR="00302BFE" w:rsidRPr="006E490C" w:rsidRDefault="00302BFE" w:rsidP="00243B15">
            <w:pPr>
              <w:spacing w:after="0"/>
              <w:jc w:val="left"/>
              <w:rPr>
                <w:bCs/>
                <w:i/>
                <w:sz w:val="18"/>
                <w:szCs w:val="18"/>
                <w:lang w:val="fr-CA"/>
              </w:rPr>
            </w:pPr>
            <w:r w:rsidRPr="006E490C">
              <w:rPr>
                <w:bCs/>
                <w:sz w:val="18"/>
                <w:szCs w:val="18"/>
                <w:lang w:val="fr-CA"/>
              </w:rPr>
              <w:t>Maintaining or improving values</w:t>
            </w:r>
          </w:p>
        </w:tc>
        <w:tc>
          <w:tcPr>
            <w:tcW w:w="1552" w:type="dxa"/>
            <w:vMerge w:val="restart"/>
            <w:tcBorders>
              <w:top w:val="single" w:sz="4" w:space="0" w:color="auto"/>
              <w:left w:val="single" w:sz="4" w:space="0" w:color="auto"/>
              <w:right w:val="single" w:sz="4" w:space="0" w:color="auto"/>
            </w:tcBorders>
            <w:vAlign w:val="center"/>
          </w:tcPr>
          <w:p w14:paraId="11E37B36" w14:textId="77777777" w:rsidR="00302BFE" w:rsidRPr="006E490C" w:rsidRDefault="00302BFE" w:rsidP="00243B15">
            <w:pPr>
              <w:spacing w:after="0"/>
              <w:jc w:val="left"/>
              <w:rPr>
                <w:bCs/>
                <w:i/>
                <w:sz w:val="18"/>
                <w:szCs w:val="18"/>
                <w:lang w:val="fr-CA"/>
              </w:rPr>
            </w:pPr>
            <w:r w:rsidRPr="006E490C">
              <w:rPr>
                <w:bCs/>
                <w:sz w:val="18"/>
                <w:szCs w:val="18"/>
                <w:lang w:val="fr-CA"/>
              </w:rPr>
              <w:t>Maintaining or improving values</w:t>
            </w:r>
          </w:p>
        </w:tc>
        <w:tc>
          <w:tcPr>
            <w:tcW w:w="4712" w:type="dxa"/>
            <w:tcBorders>
              <w:top w:val="single" w:sz="4" w:space="0" w:color="auto"/>
              <w:left w:val="single" w:sz="4" w:space="0" w:color="auto"/>
              <w:bottom w:val="single" w:sz="4" w:space="0" w:color="auto"/>
              <w:right w:val="single" w:sz="4" w:space="0" w:color="auto"/>
            </w:tcBorders>
          </w:tcPr>
          <w:p w14:paraId="5EFA86AE" w14:textId="77777777" w:rsidR="00302BFE" w:rsidRPr="006E490C" w:rsidRDefault="00302BFE" w:rsidP="00243B15">
            <w:pPr>
              <w:jc w:val="left"/>
              <w:rPr>
                <w:bCs/>
                <w:i/>
                <w:sz w:val="18"/>
                <w:szCs w:val="18"/>
                <w:lang w:val="en-CA"/>
              </w:rPr>
            </w:pPr>
            <w:r w:rsidRPr="006E490C">
              <w:rPr>
                <w:bCs/>
                <w:i/>
                <w:sz w:val="18"/>
                <w:szCs w:val="18"/>
                <w:lang w:val="en-CA"/>
              </w:rPr>
              <w:t>Data collection source / method</w:t>
            </w:r>
          </w:p>
          <w:p w14:paraId="4C0DA6AA" w14:textId="77777777" w:rsidR="00302BFE" w:rsidRPr="006E490C" w:rsidRDefault="00302BFE" w:rsidP="00243B15">
            <w:pPr>
              <w:jc w:val="left"/>
              <w:rPr>
                <w:sz w:val="18"/>
                <w:szCs w:val="18"/>
                <w:lang w:val="en-CA"/>
              </w:rPr>
            </w:pPr>
            <w:r w:rsidRPr="006E490C">
              <w:rPr>
                <w:sz w:val="18"/>
                <w:szCs w:val="18"/>
                <w:lang w:val="en-CA"/>
              </w:rPr>
              <w:t>Field surveys of target natural resources in intervention sites conducted in the first year, at mid-term and at end of project:</w:t>
            </w:r>
          </w:p>
          <w:p w14:paraId="42BF9F59" w14:textId="77777777" w:rsidR="00302BFE" w:rsidRPr="006E490C" w:rsidRDefault="00302BFE" w:rsidP="00C46720">
            <w:pPr>
              <w:pStyle w:val="Paragraphedeliste"/>
              <w:numPr>
                <w:ilvl w:val="0"/>
                <w:numId w:val="13"/>
              </w:numPr>
              <w:spacing w:after="60"/>
              <w:ind w:left="237" w:hanging="199"/>
              <w:contextualSpacing/>
              <w:rPr>
                <w:rFonts w:ascii="Calibri" w:hAnsi="Calibri"/>
                <w:bCs/>
                <w:sz w:val="18"/>
                <w:szCs w:val="18"/>
                <w:lang w:val="en-CA"/>
              </w:rPr>
            </w:pPr>
            <w:r w:rsidRPr="006E490C">
              <w:rPr>
                <w:rFonts w:ascii="Calibri" w:hAnsi="Calibri"/>
                <w:bCs/>
                <w:sz w:val="18"/>
                <w:szCs w:val="18"/>
                <w:lang w:val="en-CA"/>
              </w:rPr>
              <w:t>Forest inventories: forest cover, species composition and vegetation structure</w:t>
            </w:r>
          </w:p>
          <w:p w14:paraId="4C510022" w14:textId="77777777" w:rsidR="00302BFE" w:rsidRPr="006E490C" w:rsidRDefault="00302BFE" w:rsidP="00C46720">
            <w:pPr>
              <w:pStyle w:val="Paragraphedeliste"/>
              <w:numPr>
                <w:ilvl w:val="0"/>
                <w:numId w:val="13"/>
              </w:numPr>
              <w:spacing w:after="60"/>
              <w:ind w:left="237" w:hanging="199"/>
              <w:contextualSpacing/>
              <w:rPr>
                <w:rFonts w:ascii="Calibri" w:hAnsi="Calibri"/>
                <w:bCs/>
                <w:sz w:val="18"/>
                <w:szCs w:val="18"/>
                <w:lang w:val="en-CA"/>
              </w:rPr>
            </w:pPr>
            <w:r w:rsidRPr="006E490C">
              <w:rPr>
                <w:rFonts w:ascii="Calibri" w:hAnsi="Calibri"/>
                <w:bCs/>
                <w:sz w:val="18"/>
                <w:szCs w:val="18"/>
                <w:lang w:val="en-CA"/>
              </w:rPr>
              <w:t>Annual fodder balance to ensure the right balance between stocks and needs</w:t>
            </w:r>
          </w:p>
        </w:tc>
      </w:tr>
      <w:tr w:rsidR="00302BFE" w:rsidRPr="006E490C" w14:paraId="42C63BB5" w14:textId="77777777" w:rsidTr="00243B15">
        <w:tc>
          <w:tcPr>
            <w:tcW w:w="2006" w:type="dxa"/>
            <w:vMerge/>
            <w:tcBorders>
              <w:left w:val="single" w:sz="4" w:space="0" w:color="auto"/>
              <w:right w:val="single" w:sz="4" w:space="0" w:color="auto"/>
            </w:tcBorders>
            <w:vAlign w:val="center"/>
          </w:tcPr>
          <w:p w14:paraId="54548581" w14:textId="77777777" w:rsidR="00302BFE" w:rsidRPr="006E490C" w:rsidRDefault="00302BFE" w:rsidP="00243B15">
            <w:pPr>
              <w:spacing w:after="0"/>
              <w:jc w:val="left"/>
              <w:rPr>
                <w:rFonts w:ascii="Times New Roman" w:hAnsi="Times New Roman"/>
                <w:b/>
                <w:bCs/>
                <w:sz w:val="18"/>
                <w:szCs w:val="18"/>
                <w:lang w:val="en-CA"/>
              </w:rPr>
            </w:pPr>
          </w:p>
        </w:tc>
        <w:tc>
          <w:tcPr>
            <w:tcW w:w="3016" w:type="dxa"/>
            <w:vMerge/>
            <w:tcBorders>
              <w:left w:val="single" w:sz="4" w:space="0" w:color="auto"/>
              <w:bottom w:val="single" w:sz="4" w:space="0" w:color="auto"/>
              <w:right w:val="single" w:sz="4" w:space="0" w:color="auto"/>
            </w:tcBorders>
            <w:vAlign w:val="center"/>
          </w:tcPr>
          <w:p w14:paraId="49928E8A" w14:textId="77777777" w:rsidR="00302BFE" w:rsidRPr="006E490C" w:rsidRDefault="00302BFE" w:rsidP="00243B15">
            <w:pPr>
              <w:spacing w:after="0"/>
              <w:jc w:val="left"/>
              <w:rPr>
                <w:bCs/>
                <w:i/>
                <w:sz w:val="18"/>
                <w:szCs w:val="18"/>
                <w:lang w:val="en-CA"/>
              </w:rPr>
            </w:pPr>
          </w:p>
        </w:tc>
        <w:tc>
          <w:tcPr>
            <w:tcW w:w="1552" w:type="dxa"/>
            <w:vMerge/>
            <w:tcBorders>
              <w:left w:val="single" w:sz="4" w:space="0" w:color="auto"/>
              <w:bottom w:val="single" w:sz="4" w:space="0" w:color="auto"/>
              <w:right w:val="single" w:sz="4" w:space="0" w:color="auto"/>
            </w:tcBorders>
            <w:vAlign w:val="center"/>
          </w:tcPr>
          <w:p w14:paraId="16731475" w14:textId="77777777" w:rsidR="00302BFE" w:rsidRPr="006E490C" w:rsidRDefault="00302BFE" w:rsidP="00243B15">
            <w:pPr>
              <w:spacing w:after="0"/>
              <w:jc w:val="left"/>
              <w:rPr>
                <w:bCs/>
                <w:i/>
                <w:sz w:val="18"/>
                <w:szCs w:val="18"/>
                <w:lang w:val="en-CA"/>
              </w:rPr>
            </w:pPr>
          </w:p>
        </w:tc>
        <w:tc>
          <w:tcPr>
            <w:tcW w:w="1552" w:type="dxa"/>
            <w:vMerge/>
            <w:tcBorders>
              <w:left w:val="single" w:sz="4" w:space="0" w:color="auto"/>
              <w:bottom w:val="single" w:sz="4" w:space="0" w:color="auto"/>
              <w:right w:val="single" w:sz="4" w:space="0" w:color="auto"/>
            </w:tcBorders>
            <w:vAlign w:val="center"/>
          </w:tcPr>
          <w:p w14:paraId="57E49B8D" w14:textId="77777777" w:rsidR="00302BFE" w:rsidRPr="006E490C" w:rsidRDefault="00302BFE" w:rsidP="00243B15">
            <w:pPr>
              <w:spacing w:after="0"/>
              <w:jc w:val="left"/>
              <w:rPr>
                <w:bCs/>
                <w:i/>
                <w:sz w:val="18"/>
                <w:szCs w:val="18"/>
                <w:lang w:val="en-CA"/>
              </w:rPr>
            </w:pPr>
          </w:p>
        </w:tc>
        <w:tc>
          <w:tcPr>
            <w:tcW w:w="1552" w:type="dxa"/>
            <w:vMerge/>
            <w:tcBorders>
              <w:left w:val="single" w:sz="4" w:space="0" w:color="auto"/>
              <w:bottom w:val="single" w:sz="4" w:space="0" w:color="auto"/>
              <w:right w:val="single" w:sz="4" w:space="0" w:color="auto"/>
            </w:tcBorders>
            <w:vAlign w:val="center"/>
          </w:tcPr>
          <w:p w14:paraId="78306243" w14:textId="77777777" w:rsidR="00302BFE" w:rsidRPr="006E490C" w:rsidRDefault="00302BFE" w:rsidP="00243B15">
            <w:pPr>
              <w:spacing w:after="0"/>
              <w:jc w:val="left"/>
              <w:rPr>
                <w:bCs/>
                <w:i/>
                <w:sz w:val="18"/>
                <w:szCs w:val="18"/>
                <w:lang w:val="en-CA"/>
              </w:rPr>
            </w:pPr>
          </w:p>
        </w:tc>
        <w:tc>
          <w:tcPr>
            <w:tcW w:w="4712" w:type="dxa"/>
            <w:tcBorders>
              <w:top w:val="single" w:sz="4" w:space="0" w:color="auto"/>
              <w:left w:val="single" w:sz="4" w:space="0" w:color="auto"/>
              <w:bottom w:val="single" w:sz="4" w:space="0" w:color="auto"/>
              <w:right w:val="single" w:sz="4" w:space="0" w:color="auto"/>
            </w:tcBorders>
          </w:tcPr>
          <w:p w14:paraId="73368FB6" w14:textId="77777777" w:rsidR="00302BFE" w:rsidRPr="006E490C" w:rsidRDefault="00302BFE" w:rsidP="00243B15">
            <w:pPr>
              <w:jc w:val="left"/>
              <w:rPr>
                <w:sz w:val="18"/>
                <w:szCs w:val="18"/>
                <w:lang w:val="en-CA"/>
              </w:rPr>
            </w:pPr>
            <w:r w:rsidRPr="006E490C">
              <w:rPr>
                <w:i/>
                <w:sz w:val="18"/>
                <w:szCs w:val="18"/>
                <w:lang w:val="en-CA"/>
              </w:rPr>
              <w:t>Risks</w:t>
            </w:r>
            <w:r w:rsidRPr="006E490C">
              <w:rPr>
                <w:sz w:val="18"/>
                <w:szCs w:val="18"/>
                <w:lang w:val="en-CA"/>
              </w:rPr>
              <w:t>: Lack of stakeholder buy-in to the measures prescribed in the Landscape Management Master Plan</w:t>
            </w:r>
          </w:p>
          <w:p w14:paraId="0F341E33" w14:textId="77777777" w:rsidR="00302BFE" w:rsidRPr="006E490C" w:rsidRDefault="00302BFE" w:rsidP="00243B15">
            <w:pPr>
              <w:jc w:val="left"/>
              <w:rPr>
                <w:sz w:val="18"/>
                <w:szCs w:val="18"/>
                <w:lang w:val="en-CA"/>
              </w:rPr>
            </w:pPr>
            <w:r w:rsidRPr="006E490C">
              <w:rPr>
                <w:i/>
                <w:sz w:val="18"/>
                <w:szCs w:val="18"/>
                <w:lang w:val="en-CA"/>
              </w:rPr>
              <w:t>Assumptions</w:t>
            </w:r>
            <w:r w:rsidRPr="006E490C">
              <w:rPr>
                <w:sz w:val="18"/>
                <w:szCs w:val="18"/>
                <w:lang w:val="en-CA"/>
              </w:rPr>
              <w:t xml:space="preserve">: Effective mobilization of co-financing to ensure the implementation of the master landscape management plan </w:t>
            </w:r>
          </w:p>
          <w:p w14:paraId="5D773F5A" w14:textId="77777777" w:rsidR="00302BFE" w:rsidRPr="006E490C" w:rsidRDefault="00302BFE" w:rsidP="00243B15">
            <w:pPr>
              <w:jc w:val="left"/>
              <w:rPr>
                <w:sz w:val="18"/>
                <w:szCs w:val="18"/>
                <w:lang w:val="en-CA"/>
              </w:rPr>
            </w:pPr>
            <w:r w:rsidRPr="006E490C">
              <w:rPr>
                <w:sz w:val="18"/>
                <w:szCs w:val="18"/>
                <w:lang w:val="en-CA"/>
              </w:rPr>
              <w:t xml:space="preserve">Stakeholders’ willingness to adapt their practices and adopt improved and more sustainable production schemes </w:t>
            </w:r>
          </w:p>
        </w:tc>
      </w:tr>
      <w:tr w:rsidR="00302BFE" w:rsidRPr="006E490C" w14:paraId="7B2A8833" w14:textId="77777777" w:rsidTr="00243B15">
        <w:tc>
          <w:tcPr>
            <w:tcW w:w="2006" w:type="dxa"/>
            <w:vMerge w:val="restart"/>
            <w:tcBorders>
              <w:top w:val="single" w:sz="4" w:space="0" w:color="auto"/>
              <w:left w:val="single" w:sz="4" w:space="0" w:color="auto"/>
              <w:right w:val="single" w:sz="4" w:space="0" w:color="auto"/>
            </w:tcBorders>
            <w:shd w:val="pct12" w:color="auto" w:fill="auto"/>
            <w:hideMark/>
          </w:tcPr>
          <w:p w14:paraId="49ED6AB1" w14:textId="77777777" w:rsidR="00302BFE" w:rsidRPr="006E490C" w:rsidRDefault="00302BFE" w:rsidP="00243B15">
            <w:pPr>
              <w:jc w:val="left"/>
              <w:rPr>
                <w:b/>
                <w:bCs/>
                <w:sz w:val="18"/>
                <w:szCs w:val="18"/>
                <w:lang w:val="en-CA"/>
              </w:rPr>
            </w:pPr>
            <w:r w:rsidRPr="006E490C">
              <w:rPr>
                <w:b/>
                <w:bCs/>
                <w:sz w:val="18"/>
                <w:szCs w:val="18"/>
                <w:lang w:val="en-CA"/>
              </w:rPr>
              <w:t>Component/ Outcome 4</w:t>
            </w:r>
          </w:p>
          <w:p w14:paraId="3422DD45" w14:textId="77777777" w:rsidR="00302BFE" w:rsidRPr="006E490C" w:rsidRDefault="00302BFE" w:rsidP="00243B15">
            <w:pPr>
              <w:jc w:val="left"/>
              <w:rPr>
                <w:szCs w:val="20"/>
                <w:lang w:val="en-CA"/>
              </w:rPr>
            </w:pPr>
            <w:r w:rsidRPr="006E490C">
              <w:rPr>
                <w:szCs w:val="20"/>
                <w:lang w:val="en-CA"/>
              </w:rPr>
              <w:lastRenderedPageBreak/>
              <w:t>4. Gender mainstreaming, and knowledge management and learning</w:t>
            </w:r>
          </w:p>
          <w:p w14:paraId="388F7928" w14:textId="77777777" w:rsidR="00302BFE" w:rsidRPr="006E490C" w:rsidRDefault="00302BFE" w:rsidP="00243B15">
            <w:pPr>
              <w:jc w:val="left"/>
              <w:rPr>
                <w:szCs w:val="20"/>
                <w:lang w:val="en-CA"/>
              </w:rPr>
            </w:pPr>
            <w:r w:rsidRPr="006E490C">
              <w:rPr>
                <w:szCs w:val="20"/>
                <w:lang w:val="en-CA"/>
              </w:rPr>
              <w:t>4.1 Increased opportunities for women to benefit from the sustainable management of natural resources and PA-related value chains within the PONASI landscape</w:t>
            </w:r>
          </w:p>
          <w:p w14:paraId="7327CC3E" w14:textId="77777777" w:rsidR="00302BFE" w:rsidRPr="006E490C" w:rsidRDefault="00302BFE" w:rsidP="00243B15">
            <w:pPr>
              <w:jc w:val="left"/>
              <w:rPr>
                <w:szCs w:val="20"/>
                <w:lang w:val="en-CA"/>
              </w:rPr>
            </w:pPr>
            <w:r w:rsidRPr="006E490C">
              <w:rPr>
                <w:szCs w:val="20"/>
                <w:lang w:val="en-CA"/>
              </w:rPr>
              <w:t>4.2 Appropriation of the knowledge developed in the PONASI project by the various actors within the PONASI landscape and in Burkina Faso</w:t>
            </w:r>
          </w:p>
        </w:tc>
        <w:tc>
          <w:tcPr>
            <w:tcW w:w="3016" w:type="dxa"/>
            <w:vMerge w:val="restart"/>
            <w:tcBorders>
              <w:top w:val="single" w:sz="4" w:space="0" w:color="auto"/>
              <w:left w:val="single" w:sz="4" w:space="0" w:color="auto"/>
              <w:bottom w:val="single" w:sz="4" w:space="0" w:color="auto"/>
              <w:right w:val="single" w:sz="4" w:space="0" w:color="auto"/>
            </w:tcBorders>
            <w:hideMark/>
          </w:tcPr>
          <w:p w14:paraId="58D3691F" w14:textId="77777777" w:rsidR="00302BFE" w:rsidRPr="006E490C" w:rsidRDefault="00302BFE" w:rsidP="00243B15">
            <w:pPr>
              <w:rPr>
                <w:rFonts w:eastAsia="Calibri"/>
                <w:sz w:val="18"/>
                <w:szCs w:val="18"/>
                <w:u w:val="single"/>
                <w:lang w:val="en-CA"/>
              </w:rPr>
            </w:pPr>
            <w:r w:rsidRPr="006E490C">
              <w:rPr>
                <w:rFonts w:eastAsia="Calibri"/>
                <w:i/>
                <w:sz w:val="18"/>
                <w:szCs w:val="18"/>
                <w:u w:val="single"/>
                <w:lang w:val="en-CA"/>
              </w:rPr>
              <w:lastRenderedPageBreak/>
              <w:t>Indicator 14</w:t>
            </w:r>
            <w:r w:rsidRPr="006E490C">
              <w:rPr>
                <w:rFonts w:eastAsia="Calibri"/>
                <w:sz w:val="18"/>
                <w:szCs w:val="18"/>
                <w:u w:val="single"/>
                <w:lang w:val="en-CA"/>
              </w:rPr>
              <w:t>:</w:t>
            </w:r>
          </w:p>
          <w:p w14:paraId="4174BB2E" w14:textId="77777777" w:rsidR="00302BFE" w:rsidRPr="006E490C" w:rsidRDefault="00302BFE" w:rsidP="00DC7D98">
            <w:pPr>
              <w:jc w:val="left"/>
              <w:rPr>
                <w:rFonts w:eastAsia="Calibri"/>
                <w:sz w:val="18"/>
                <w:szCs w:val="18"/>
                <w:lang w:val="en-CA"/>
              </w:rPr>
            </w:pPr>
            <w:r w:rsidRPr="006E490C">
              <w:rPr>
                <w:rFonts w:eastAsia="Calibri"/>
                <w:sz w:val="18"/>
                <w:szCs w:val="18"/>
                <w:lang w:val="en-CA"/>
              </w:rPr>
              <w:lastRenderedPageBreak/>
              <w:t>Representativeness of women in the collaborative governance arrangement and participating in decision making on land and resource use</w:t>
            </w:r>
          </w:p>
        </w:tc>
        <w:tc>
          <w:tcPr>
            <w:tcW w:w="1552" w:type="dxa"/>
            <w:vMerge w:val="restart"/>
            <w:tcBorders>
              <w:top w:val="single" w:sz="4" w:space="0" w:color="auto"/>
              <w:left w:val="single" w:sz="4" w:space="0" w:color="auto"/>
              <w:bottom w:val="single" w:sz="4" w:space="0" w:color="auto"/>
              <w:right w:val="single" w:sz="4" w:space="0" w:color="auto"/>
            </w:tcBorders>
          </w:tcPr>
          <w:p w14:paraId="363DA349" w14:textId="77777777" w:rsidR="00302BFE" w:rsidRPr="006E490C" w:rsidRDefault="00302BFE" w:rsidP="00243B15">
            <w:pPr>
              <w:jc w:val="left"/>
              <w:rPr>
                <w:bCs/>
                <w:i/>
                <w:sz w:val="18"/>
                <w:szCs w:val="18"/>
                <w:lang w:val="en-CA"/>
              </w:rPr>
            </w:pPr>
            <w:r w:rsidRPr="006E490C">
              <w:rPr>
                <w:bCs/>
                <w:i/>
                <w:sz w:val="18"/>
                <w:szCs w:val="18"/>
                <w:lang w:val="en-CA"/>
              </w:rPr>
              <w:lastRenderedPageBreak/>
              <w:t>n.a.</w:t>
            </w:r>
          </w:p>
          <w:p w14:paraId="75ADFD9C" w14:textId="77777777" w:rsidR="00302BFE" w:rsidRPr="006E490C" w:rsidRDefault="00302BFE" w:rsidP="00243B15">
            <w:pPr>
              <w:jc w:val="left"/>
              <w:rPr>
                <w:bCs/>
                <w:i/>
                <w:sz w:val="18"/>
                <w:szCs w:val="18"/>
                <w:lang w:val="en-CA"/>
              </w:rPr>
            </w:pPr>
            <w:r w:rsidRPr="006E490C">
              <w:rPr>
                <w:bCs/>
                <w:sz w:val="18"/>
                <w:szCs w:val="18"/>
              </w:rPr>
              <w:lastRenderedPageBreak/>
              <w:t xml:space="preserve"> (the project has not started yet)</w:t>
            </w:r>
          </w:p>
        </w:tc>
        <w:tc>
          <w:tcPr>
            <w:tcW w:w="1552" w:type="dxa"/>
            <w:vMerge w:val="restart"/>
            <w:tcBorders>
              <w:top w:val="single" w:sz="4" w:space="0" w:color="auto"/>
              <w:left w:val="single" w:sz="4" w:space="0" w:color="auto"/>
              <w:bottom w:val="single" w:sz="4" w:space="0" w:color="auto"/>
              <w:right w:val="single" w:sz="4" w:space="0" w:color="auto"/>
            </w:tcBorders>
          </w:tcPr>
          <w:p w14:paraId="2EE73E90" w14:textId="77777777" w:rsidR="00302BFE" w:rsidRPr="006E490C" w:rsidRDefault="00302BFE" w:rsidP="00243B15">
            <w:pPr>
              <w:jc w:val="left"/>
              <w:rPr>
                <w:bCs/>
                <w:sz w:val="18"/>
                <w:szCs w:val="18"/>
                <w:lang w:val="fr-CA"/>
              </w:rPr>
            </w:pPr>
            <w:r w:rsidRPr="006E490C">
              <w:rPr>
                <w:bCs/>
                <w:sz w:val="18"/>
                <w:szCs w:val="18"/>
                <w:lang w:val="fr-CA"/>
              </w:rPr>
              <w:lastRenderedPageBreak/>
              <w:t>30%</w:t>
            </w:r>
          </w:p>
        </w:tc>
        <w:tc>
          <w:tcPr>
            <w:tcW w:w="1552" w:type="dxa"/>
            <w:vMerge w:val="restart"/>
            <w:tcBorders>
              <w:top w:val="single" w:sz="4" w:space="0" w:color="auto"/>
              <w:left w:val="single" w:sz="4" w:space="0" w:color="auto"/>
              <w:bottom w:val="single" w:sz="4" w:space="0" w:color="auto"/>
              <w:right w:val="single" w:sz="4" w:space="0" w:color="auto"/>
            </w:tcBorders>
          </w:tcPr>
          <w:p w14:paraId="7857DB92" w14:textId="77777777" w:rsidR="00302BFE" w:rsidRPr="006E490C" w:rsidRDefault="00302BFE" w:rsidP="00243B15">
            <w:pPr>
              <w:jc w:val="left"/>
              <w:rPr>
                <w:bCs/>
                <w:sz w:val="18"/>
                <w:szCs w:val="18"/>
                <w:lang w:val="en-CA"/>
              </w:rPr>
            </w:pPr>
            <w:r w:rsidRPr="006E490C">
              <w:rPr>
                <w:bCs/>
                <w:sz w:val="18"/>
                <w:szCs w:val="18"/>
                <w:lang w:val="en-CA"/>
              </w:rPr>
              <w:t>30%</w:t>
            </w:r>
            <w:r w:rsidRPr="006E490C">
              <w:rPr>
                <w:bCs/>
                <w:sz w:val="18"/>
                <w:szCs w:val="18"/>
                <w:lang w:val="en-CA"/>
              </w:rPr>
              <w:br/>
              <w:t>(Corresponding to the national women representation quota)</w:t>
            </w:r>
          </w:p>
        </w:tc>
        <w:tc>
          <w:tcPr>
            <w:tcW w:w="4712" w:type="dxa"/>
            <w:tcBorders>
              <w:top w:val="single" w:sz="4" w:space="0" w:color="auto"/>
              <w:left w:val="single" w:sz="4" w:space="0" w:color="auto"/>
              <w:bottom w:val="single" w:sz="4" w:space="0" w:color="auto"/>
              <w:right w:val="single" w:sz="4" w:space="0" w:color="auto"/>
            </w:tcBorders>
            <w:hideMark/>
          </w:tcPr>
          <w:p w14:paraId="5D8F7842" w14:textId="77777777" w:rsidR="00302BFE" w:rsidRPr="006E490C" w:rsidRDefault="00302BFE" w:rsidP="00243B15">
            <w:pPr>
              <w:jc w:val="left"/>
              <w:rPr>
                <w:bCs/>
                <w:i/>
                <w:sz w:val="18"/>
                <w:szCs w:val="18"/>
                <w:lang w:val="en-CA"/>
              </w:rPr>
            </w:pPr>
            <w:r w:rsidRPr="006E490C">
              <w:rPr>
                <w:bCs/>
                <w:i/>
                <w:sz w:val="18"/>
                <w:szCs w:val="18"/>
                <w:lang w:val="en-CA"/>
              </w:rPr>
              <w:t>Data collection source / method</w:t>
            </w:r>
          </w:p>
          <w:p w14:paraId="64055E81" w14:textId="77777777" w:rsidR="00302BFE" w:rsidRPr="006E490C" w:rsidRDefault="00302BFE" w:rsidP="00243B15">
            <w:pPr>
              <w:jc w:val="left"/>
              <w:rPr>
                <w:sz w:val="18"/>
                <w:szCs w:val="18"/>
                <w:lang w:val="en-CA"/>
              </w:rPr>
            </w:pPr>
            <w:r w:rsidRPr="006E490C">
              <w:rPr>
                <w:sz w:val="18"/>
                <w:szCs w:val="18"/>
                <w:lang w:val="en-CA"/>
              </w:rPr>
              <w:lastRenderedPageBreak/>
              <w:t>Attendance records of the meetings of the PONASI landscape consultation frameworks</w:t>
            </w:r>
          </w:p>
          <w:p w14:paraId="3D077599" w14:textId="77777777" w:rsidR="00302BFE" w:rsidRPr="006E490C" w:rsidRDefault="00302BFE" w:rsidP="00243B15">
            <w:pPr>
              <w:jc w:val="left"/>
              <w:rPr>
                <w:sz w:val="18"/>
                <w:szCs w:val="18"/>
                <w:lang w:val="en-CA"/>
              </w:rPr>
            </w:pPr>
            <w:r w:rsidRPr="006E490C">
              <w:rPr>
                <w:sz w:val="18"/>
                <w:szCs w:val="18"/>
                <w:lang w:val="en-CA"/>
              </w:rPr>
              <w:t>Updated Action Plan on Gender</w:t>
            </w:r>
          </w:p>
          <w:p w14:paraId="62373649" w14:textId="77777777" w:rsidR="00302BFE" w:rsidRPr="006E490C" w:rsidRDefault="00302BFE" w:rsidP="00243B15">
            <w:pPr>
              <w:jc w:val="left"/>
              <w:rPr>
                <w:sz w:val="18"/>
                <w:szCs w:val="18"/>
                <w:lang w:val="en-CA"/>
              </w:rPr>
            </w:pPr>
            <w:r w:rsidRPr="006E490C">
              <w:rPr>
                <w:sz w:val="18"/>
                <w:szCs w:val="18"/>
                <w:lang w:val="en-CA"/>
              </w:rPr>
              <w:t>Project Progress Reports</w:t>
            </w:r>
          </w:p>
        </w:tc>
      </w:tr>
      <w:tr w:rsidR="00302BFE" w:rsidRPr="006E490C" w14:paraId="2E8BB390" w14:textId="77777777" w:rsidTr="00243B15">
        <w:tc>
          <w:tcPr>
            <w:tcW w:w="2006" w:type="dxa"/>
            <w:vMerge/>
            <w:tcBorders>
              <w:left w:val="single" w:sz="4" w:space="0" w:color="auto"/>
              <w:right w:val="single" w:sz="4" w:space="0" w:color="auto"/>
            </w:tcBorders>
            <w:vAlign w:val="center"/>
            <w:hideMark/>
          </w:tcPr>
          <w:p w14:paraId="29B80C22" w14:textId="77777777" w:rsidR="00302BFE" w:rsidRPr="006E490C" w:rsidRDefault="00302BFE" w:rsidP="00243B15">
            <w:pPr>
              <w:spacing w:after="0"/>
              <w:jc w:val="left"/>
              <w:rPr>
                <w:rFonts w:ascii="Times New Roman" w:hAnsi="Times New Roman"/>
                <w:b/>
                <w:bCs/>
                <w:sz w:val="18"/>
                <w:szCs w:val="18"/>
                <w:lang w:val="en-CA"/>
              </w:rPr>
            </w:pPr>
          </w:p>
        </w:tc>
        <w:tc>
          <w:tcPr>
            <w:tcW w:w="3016" w:type="dxa"/>
            <w:vMerge/>
            <w:tcBorders>
              <w:top w:val="single" w:sz="4" w:space="0" w:color="auto"/>
              <w:left w:val="single" w:sz="4" w:space="0" w:color="auto"/>
              <w:bottom w:val="single" w:sz="4" w:space="0" w:color="auto"/>
              <w:right w:val="single" w:sz="4" w:space="0" w:color="auto"/>
            </w:tcBorders>
            <w:vAlign w:val="center"/>
            <w:hideMark/>
          </w:tcPr>
          <w:p w14:paraId="14B634B8" w14:textId="77777777" w:rsidR="00302BFE" w:rsidRPr="006E490C" w:rsidRDefault="00302BFE" w:rsidP="00243B15">
            <w:pPr>
              <w:spacing w:after="0"/>
              <w:jc w:val="left"/>
              <w:rPr>
                <w:bCs/>
                <w:i/>
                <w:sz w:val="18"/>
                <w:szCs w:val="18"/>
                <w:lang w:val="en-CA"/>
              </w:rPr>
            </w:pPr>
          </w:p>
        </w:tc>
        <w:tc>
          <w:tcPr>
            <w:tcW w:w="1552" w:type="dxa"/>
            <w:vMerge/>
            <w:tcBorders>
              <w:top w:val="single" w:sz="4" w:space="0" w:color="auto"/>
              <w:left w:val="single" w:sz="4" w:space="0" w:color="auto"/>
              <w:bottom w:val="single" w:sz="4" w:space="0" w:color="auto"/>
              <w:right w:val="single" w:sz="4" w:space="0" w:color="auto"/>
            </w:tcBorders>
            <w:vAlign w:val="center"/>
          </w:tcPr>
          <w:p w14:paraId="2D112B72" w14:textId="77777777" w:rsidR="00302BFE" w:rsidRPr="006E490C" w:rsidRDefault="00302BFE" w:rsidP="00243B15">
            <w:pPr>
              <w:spacing w:after="0"/>
              <w:jc w:val="left"/>
              <w:rPr>
                <w:bCs/>
                <w:i/>
                <w:sz w:val="18"/>
                <w:szCs w:val="18"/>
                <w:lang w:val="en-CA"/>
              </w:rPr>
            </w:pPr>
          </w:p>
        </w:tc>
        <w:tc>
          <w:tcPr>
            <w:tcW w:w="1552" w:type="dxa"/>
            <w:vMerge/>
            <w:tcBorders>
              <w:top w:val="single" w:sz="4" w:space="0" w:color="auto"/>
              <w:left w:val="single" w:sz="4" w:space="0" w:color="auto"/>
              <w:bottom w:val="single" w:sz="4" w:space="0" w:color="auto"/>
              <w:right w:val="single" w:sz="4" w:space="0" w:color="auto"/>
            </w:tcBorders>
            <w:vAlign w:val="center"/>
          </w:tcPr>
          <w:p w14:paraId="06BC7B86" w14:textId="77777777" w:rsidR="00302BFE" w:rsidRPr="006E490C" w:rsidRDefault="00302BFE" w:rsidP="00243B15">
            <w:pPr>
              <w:spacing w:after="0"/>
              <w:jc w:val="left"/>
              <w:rPr>
                <w:bCs/>
                <w:i/>
                <w:sz w:val="18"/>
                <w:szCs w:val="18"/>
                <w:lang w:val="en-CA"/>
              </w:rPr>
            </w:pPr>
          </w:p>
        </w:tc>
        <w:tc>
          <w:tcPr>
            <w:tcW w:w="1552" w:type="dxa"/>
            <w:vMerge/>
            <w:tcBorders>
              <w:top w:val="single" w:sz="4" w:space="0" w:color="auto"/>
              <w:left w:val="single" w:sz="4" w:space="0" w:color="auto"/>
              <w:bottom w:val="single" w:sz="4" w:space="0" w:color="auto"/>
              <w:right w:val="single" w:sz="4" w:space="0" w:color="auto"/>
            </w:tcBorders>
            <w:vAlign w:val="center"/>
          </w:tcPr>
          <w:p w14:paraId="07DB859F" w14:textId="77777777" w:rsidR="00302BFE" w:rsidRPr="006E490C" w:rsidRDefault="00302BFE" w:rsidP="00243B15">
            <w:pPr>
              <w:spacing w:after="0"/>
              <w:jc w:val="left"/>
              <w:rPr>
                <w:bCs/>
                <w:i/>
                <w:sz w:val="18"/>
                <w:szCs w:val="18"/>
                <w:lang w:val="en-CA"/>
              </w:rPr>
            </w:pPr>
          </w:p>
        </w:tc>
        <w:tc>
          <w:tcPr>
            <w:tcW w:w="4712" w:type="dxa"/>
            <w:tcBorders>
              <w:top w:val="single" w:sz="4" w:space="0" w:color="auto"/>
              <w:left w:val="single" w:sz="4" w:space="0" w:color="auto"/>
              <w:bottom w:val="single" w:sz="4" w:space="0" w:color="auto"/>
              <w:right w:val="single" w:sz="4" w:space="0" w:color="auto"/>
            </w:tcBorders>
          </w:tcPr>
          <w:p w14:paraId="0BA1D23F" w14:textId="77777777" w:rsidR="00302BFE" w:rsidRPr="006E490C" w:rsidRDefault="00302BFE" w:rsidP="00243B15">
            <w:pPr>
              <w:jc w:val="left"/>
              <w:rPr>
                <w:sz w:val="18"/>
                <w:szCs w:val="18"/>
                <w:lang w:val="en-CA"/>
              </w:rPr>
            </w:pPr>
            <w:r w:rsidRPr="006E490C">
              <w:rPr>
                <w:i/>
                <w:sz w:val="18"/>
                <w:szCs w:val="18"/>
                <w:lang w:val="en-CA"/>
              </w:rPr>
              <w:t>Risks</w:t>
            </w:r>
            <w:r w:rsidRPr="006E490C">
              <w:rPr>
                <w:sz w:val="18"/>
                <w:szCs w:val="18"/>
                <w:lang w:val="en-CA"/>
              </w:rPr>
              <w:t>:</w:t>
            </w:r>
          </w:p>
          <w:p w14:paraId="5A0B782D" w14:textId="77777777" w:rsidR="00302BFE" w:rsidRPr="006E490C" w:rsidRDefault="00302BFE" w:rsidP="00243B15">
            <w:pPr>
              <w:jc w:val="left"/>
              <w:rPr>
                <w:sz w:val="18"/>
                <w:szCs w:val="18"/>
                <w:lang w:val="en-CA"/>
              </w:rPr>
            </w:pPr>
            <w:r w:rsidRPr="006E490C">
              <w:rPr>
                <w:sz w:val="18"/>
                <w:szCs w:val="18"/>
                <w:lang w:val="en-CA"/>
              </w:rPr>
              <w:t>Socio-cultural constraints within certain ethnic groups may limit women's participation and increase their vulnerability to face risks</w:t>
            </w:r>
          </w:p>
          <w:p w14:paraId="050E4685" w14:textId="77777777" w:rsidR="00302BFE" w:rsidRPr="006E490C" w:rsidRDefault="00302BFE" w:rsidP="00243B15">
            <w:pPr>
              <w:jc w:val="left"/>
              <w:rPr>
                <w:sz w:val="18"/>
                <w:szCs w:val="18"/>
                <w:lang w:val="en-CA"/>
              </w:rPr>
            </w:pPr>
            <w:r w:rsidRPr="006E490C">
              <w:rPr>
                <w:sz w:val="18"/>
                <w:szCs w:val="18"/>
                <w:lang w:val="en-CA"/>
              </w:rPr>
              <w:t>The financial vulnerability of women and the difficulty of accessing credit are a hindrance to their participation in the implementation of project proposals</w:t>
            </w:r>
          </w:p>
          <w:p w14:paraId="0FB40C93" w14:textId="77777777" w:rsidR="00302BFE" w:rsidRPr="006E490C" w:rsidRDefault="00302BFE" w:rsidP="00243B15">
            <w:pPr>
              <w:jc w:val="left"/>
              <w:rPr>
                <w:sz w:val="18"/>
                <w:szCs w:val="18"/>
                <w:lang w:val="en-CA"/>
              </w:rPr>
            </w:pPr>
            <w:r w:rsidRPr="006E490C">
              <w:rPr>
                <w:sz w:val="18"/>
                <w:szCs w:val="18"/>
                <w:lang w:val="en-CA"/>
              </w:rPr>
              <w:t>The lack of securing women's rights to access and use of land and resources limits their benefits related to the conservation and sustainable management of natural resources</w:t>
            </w:r>
          </w:p>
          <w:p w14:paraId="095315FC" w14:textId="77777777" w:rsidR="00302BFE" w:rsidRPr="006E490C" w:rsidRDefault="00302BFE" w:rsidP="00243B15">
            <w:pPr>
              <w:jc w:val="left"/>
              <w:rPr>
                <w:sz w:val="18"/>
                <w:szCs w:val="18"/>
                <w:lang w:val="en-CA"/>
              </w:rPr>
            </w:pPr>
            <w:r w:rsidRPr="006E490C">
              <w:rPr>
                <w:i/>
                <w:sz w:val="18"/>
                <w:szCs w:val="18"/>
                <w:lang w:val="en-CA"/>
              </w:rPr>
              <w:t>Assumptions</w:t>
            </w:r>
            <w:r w:rsidRPr="006E490C">
              <w:rPr>
                <w:sz w:val="18"/>
                <w:szCs w:val="18"/>
                <w:lang w:val="en-CA"/>
              </w:rPr>
              <w:t>:</w:t>
            </w:r>
          </w:p>
          <w:p w14:paraId="537F08F6" w14:textId="77777777" w:rsidR="00302BFE" w:rsidRPr="006E490C" w:rsidRDefault="00302BFE" w:rsidP="00243B15">
            <w:pPr>
              <w:jc w:val="left"/>
              <w:rPr>
                <w:sz w:val="18"/>
                <w:szCs w:val="18"/>
                <w:lang w:val="en-CA"/>
              </w:rPr>
            </w:pPr>
            <w:r w:rsidRPr="006E490C">
              <w:rPr>
                <w:sz w:val="18"/>
                <w:szCs w:val="18"/>
                <w:lang w:val="en-CA"/>
              </w:rPr>
              <w:t>Continued interest of women to participate in the project</w:t>
            </w:r>
          </w:p>
          <w:p w14:paraId="4B87A9D8" w14:textId="77777777" w:rsidR="00302BFE" w:rsidRPr="006E490C" w:rsidRDefault="00302BFE" w:rsidP="00243B15">
            <w:pPr>
              <w:jc w:val="left"/>
              <w:rPr>
                <w:sz w:val="18"/>
                <w:szCs w:val="18"/>
                <w:lang w:val="en-CA"/>
              </w:rPr>
            </w:pPr>
            <w:r w:rsidRPr="006E490C">
              <w:rPr>
                <w:sz w:val="18"/>
                <w:szCs w:val="18"/>
                <w:lang w:val="en-CA"/>
              </w:rPr>
              <w:t>Each structure represented in the consultation framework encourages the participation of women in the consultation framework for the integrated management of the PONASI landscape and has the possibility of proposing one or more women</w:t>
            </w:r>
          </w:p>
        </w:tc>
      </w:tr>
      <w:tr w:rsidR="00302BFE" w:rsidRPr="006E490C" w14:paraId="23389E5D" w14:textId="77777777" w:rsidTr="00243B15">
        <w:tc>
          <w:tcPr>
            <w:tcW w:w="2006" w:type="dxa"/>
            <w:vMerge/>
            <w:tcBorders>
              <w:left w:val="single" w:sz="4" w:space="0" w:color="auto"/>
              <w:right w:val="single" w:sz="4" w:space="0" w:color="auto"/>
            </w:tcBorders>
            <w:vAlign w:val="center"/>
            <w:hideMark/>
          </w:tcPr>
          <w:p w14:paraId="40746AF6" w14:textId="77777777" w:rsidR="00302BFE" w:rsidRPr="006E490C" w:rsidRDefault="00302BFE" w:rsidP="00243B15">
            <w:pPr>
              <w:spacing w:after="0"/>
              <w:jc w:val="left"/>
              <w:rPr>
                <w:rFonts w:ascii="Times New Roman" w:hAnsi="Times New Roman"/>
                <w:b/>
                <w:bCs/>
                <w:sz w:val="18"/>
                <w:szCs w:val="18"/>
                <w:lang w:val="en-CA"/>
              </w:rPr>
            </w:pPr>
          </w:p>
        </w:tc>
        <w:tc>
          <w:tcPr>
            <w:tcW w:w="3016" w:type="dxa"/>
            <w:vMerge w:val="restart"/>
            <w:tcBorders>
              <w:top w:val="single" w:sz="4" w:space="0" w:color="auto"/>
              <w:left w:val="single" w:sz="4" w:space="0" w:color="auto"/>
              <w:bottom w:val="single" w:sz="4" w:space="0" w:color="auto"/>
              <w:right w:val="single" w:sz="4" w:space="0" w:color="auto"/>
            </w:tcBorders>
            <w:hideMark/>
          </w:tcPr>
          <w:p w14:paraId="4D383C6D" w14:textId="77777777" w:rsidR="00302BFE" w:rsidRPr="006E490C" w:rsidRDefault="00302BFE" w:rsidP="00243B15">
            <w:pPr>
              <w:rPr>
                <w:sz w:val="18"/>
                <w:szCs w:val="18"/>
                <w:u w:val="single"/>
                <w:lang w:val="en-CA"/>
              </w:rPr>
            </w:pPr>
            <w:r w:rsidRPr="006E490C">
              <w:rPr>
                <w:i/>
                <w:sz w:val="18"/>
                <w:szCs w:val="18"/>
                <w:u w:val="single"/>
                <w:lang w:val="en-CA"/>
              </w:rPr>
              <w:t>Indicator 15</w:t>
            </w:r>
            <w:r w:rsidRPr="006E490C">
              <w:rPr>
                <w:sz w:val="18"/>
                <w:szCs w:val="18"/>
                <w:u w:val="single"/>
                <w:lang w:val="en-CA"/>
              </w:rPr>
              <w:t>:</w:t>
            </w:r>
          </w:p>
          <w:p w14:paraId="0173125E" w14:textId="77777777" w:rsidR="00302BFE" w:rsidRPr="006E490C" w:rsidRDefault="00302BFE" w:rsidP="00DC7D98">
            <w:pPr>
              <w:jc w:val="left"/>
              <w:rPr>
                <w:sz w:val="18"/>
                <w:szCs w:val="18"/>
                <w:lang w:val="en-CA"/>
              </w:rPr>
            </w:pPr>
            <w:r w:rsidRPr="006E490C">
              <w:rPr>
                <w:sz w:val="18"/>
                <w:szCs w:val="18"/>
                <w:lang w:val="en-CA"/>
              </w:rPr>
              <w:t>Proportion of village groups / associations that apply knowledge shared through the project, outside the pilot intervention sites</w:t>
            </w:r>
          </w:p>
        </w:tc>
        <w:tc>
          <w:tcPr>
            <w:tcW w:w="1552" w:type="dxa"/>
            <w:vMerge w:val="restart"/>
            <w:tcBorders>
              <w:top w:val="single" w:sz="4" w:space="0" w:color="auto"/>
              <w:left w:val="single" w:sz="4" w:space="0" w:color="auto"/>
              <w:bottom w:val="single" w:sz="4" w:space="0" w:color="auto"/>
              <w:right w:val="single" w:sz="4" w:space="0" w:color="auto"/>
            </w:tcBorders>
          </w:tcPr>
          <w:p w14:paraId="369461C9" w14:textId="77777777" w:rsidR="00302BFE" w:rsidRPr="006E490C" w:rsidRDefault="00302BFE" w:rsidP="00243B15">
            <w:pPr>
              <w:jc w:val="left"/>
              <w:rPr>
                <w:bCs/>
                <w:i/>
                <w:sz w:val="18"/>
                <w:szCs w:val="18"/>
                <w:lang w:val="en-CA"/>
              </w:rPr>
            </w:pPr>
            <w:r w:rsidRPr="006E490C">
              <w:rPr>
                <w:bCs/>
                <w:sz w:val="18"/>
                <w:szCs w:val="18"/>
              </w:rPr>
              <w:t>0% (the project has not started yet)</w:t>
            </w:r>
          </w:p>
        </w:tc>
        <w:tc>
          <w:tcPr>
            <w:tcW w:w="1552" w:type="dxa"/>
            <w:vMerge w:val="restart"/>
            <w:tcBorders>
              <w:top w:val="single" w:sz="4" w:space="0" w:color="auto"/>
              <w:left w:val="single" w:sz="4" w:space="0" w:color="auto"/>
              <w:bottom w:val="single" w:sz="4" w:space="0" w:color="auto"/>
              <w:right w:val="single" w:sz="4" w:space="0" w:color="auto"/>
            </w:tcBorders>
          </w:tcPr>
          <w:p w14:paraId="75783A5A" w14:textId="77777777" w:rsidR="00302BFE" w:rsidRPr="006E490C" w:rsidRDefault="00302BFE" w:rsidP="00243B15">
            <w:pPr>
              <w:jc w:val="left"/>
              <w:rPr>
                <w:bCs/>
                <w:sz w:val="18"/>
                <w:szCs w:val="18"/>
                <w:lang w:val="fr-CA"/>
              </w:rPr>
            </w:pPr>
            <w:r w:rsidRPr="006E490C">
              <w:rPr>
                <w:bCs/>
                <w:sz w:val="18"/>
                <w:szCs w:val="18"/>
                <w:lang w:val="fr-CA"/>
              </w:rPr>
              <w:t>20%</w:t>
            </w:r>
          </w:p>
        </w:tc>
        <w:tc>
          <w:tcPr>
            <w:tcW w:w="1552" w:type="dxa"/>
            <w:vMerge w:val="restart"/>
            <w:tcBorders>
              <w:top w:val="single" w:sz="4" w:space="0" w:color="auto"/>
              <w:left w:val="single" w:sz="4" w:space="0" w:color="auto"/>
              <w:bottom w:val="single" w:sz="4" w:space="0" w:color="auto"/>
              <w:right w:val="single" w:sz="4" w:space="0" w:color="auto"/>
            </w:tcBorders>
          </w:tcPr>
          <w:p w14:paraId="20638E4D" w14:textId="77777777" w:rsidR="00302BFE" w:rsidRPr="006E490C" w:rsidRDefault="00302BFE" w:rsidP="00243B15">
            <w:pPr>
              <w:jc w:val="left"/>
              <w:rPr>
                <w:bCs/>
                <w:sz w:val="18"/>
                <w:szCs w:val="18"/>
                <w:lang w:val="en-CA"/>
              </w:rPr>
            </w:pPr>
            <w:r w:rsidRPr="006E490C">
              <w:rPr>
                <w:bCs/>
                <w:sz w:val="18"/>
                <w:szCs w:val="18"/>
                <w:lang w:val="en-CA"/>
              </w:rPr>
              <w:t>80%</w:t>
            </w:r>
          </w:p>
        </w:tc>
        <w:tc>
          <w:tcPr>
            <w:tcW w:w="4712" w:type="dxa"/>
            <w:tcBorders>
              <w:top w:val="single" w:sz="4" w:space="0" w:color="auto"/>
              <w:left w:val="single" w:sz="4" w:space="0" w:color="auto"/>
              <w:bottom w:val="single" w:sz="4" w:space="0" w:color="auto"/>
              <w:right w:val="single" w:sz="4" w:space="0" w:color="auto"/>
            </w:tcBorders>
            <w:hideMark/>
          </w:tcPr>
          <w:p w14:paraId="2656E057" w14:textId="77777777" w:rsidR="00302BFE" w:rsidRPr="006E490C" w:rsidRDefault="00302BFE" w:rsidP="00243B15">
            <w:pPr>
              <w:jc w:val="left"/>
              <w:rPr>
                <w:bCs/>
                <w:i/>
                <w:sz w:val="18"/>
                <w:szCs w:val="18"/>
                <w:lang w:val="en-CA"/>
              </w:rPr>
            </w:pPr>
            <w:r w:rsidRPr="006E490C">
              <w:rPr>
                <w:bCs/>
                <w:i/>
                <w:sz w:val="18"/>
                <w:szCs w:val="18"/>
                <w:lang w:val="en-CA"/>
              </w:rPr>
              <w:t>Data collection source / method</w:t>
            </w:r>
          </w:p>
          <w:p w14:paraId="6DE91E34" w14:textId="77777777" w:rsidR="00302BFE" w:rsidRPr="006E490C" w:rsidRDefault="00302BFE" w:rsidP="00243B15">
            <w:pPr>
              <w:jc w:val="left"/>
              <w:rPr>
                <w:sz w:val="18"/>
                <w:szCs w:val="18"/>
                <w:lang w:val="en-CA"/>
              </w:rPr>
            </w:pPr>
            <w:r w:rsidRPr="006E490C">
              <w:rPr>
                <w:sz w:val="18"/>
                <w:szCs w:val="18"/>
                <w:lang w:val="en-CA"/>
              </w:rPr>
              <w:t>Survey reports covering the entire PONASI landscape, including village communities outside pilot intervention sites</w:t>
            </w:r>
          </w:p>
        </w:tc>
      </w:tr>
      <w:tr w:rsidR="00302BFE" w:rsidRPr="00445ECE" w14:paraId="6A432382" w14:textId="77777777" w:rsidTr="00243B15">
        <w:tc>
          <w:tcPr>
            <w:tcW w:w="2006" w:type="dxa"/>
            <w:vMerge/>
            <w:tcBorders>
              <w:left w:val="single" w:sz="4" w:space="0" w:color="auto"/>
              <w:right w:val="single" w:sz="4" w:space="0" w:color="auto"/>
            </w:tcBorders>
            <w:vAlign w:val="center"/>
            <w:hideMark/>
          </w:tcPr>
          <w:p w14:paraId="4E2017CC" w14:textId="77777777" w:rsidR="00302BFE" w:rsidRPr="006E490C" w:rsidRDefault="00302BFE" w:rsidP="00243B15">
            <w:pPr>
              <w:spacing w:after="0"/>
              <w:jc w:val="left"/>
              <w:rPr>
                <w:rFonts w:ascii="Times New Roman" w:hAnsi="Times New Roman"/>
                <w:b/>
                <w:bCs/>
                <w:sz w:val="18"/>
                <w:szCs w:val="18"/>
                <w:lang w:val="en-CA"/>
              </w:rPr>
            </w:pPr>
          </w:p>
        </w:tc>
        <w:tc>
          <w:tcPr>
            <w:tcW w:w="3016" w:type="dxa"/>
            <w:vMerge/>
            <w:tcBorders>
              <w:top w:val="single" w:sz="4" w:space="0" w:color="auto"/>
              <w:left w:val="single" w:sz="4" w:space="0" w:color="auto"/>
              <w:bottom w:val="single" w:sz="4" w:space="0" w:color="auto"/>
              <w:right w:val="single" w:sz="4" w:space="0" w:color="auto"/>
            </w:tcBorders>
            <w:vAlign w:val="center"/>
            <w:hideMark/>
          </w:tcPr>
          <w:p w14:paraId="403DC7EC" w14:textId="77777777" w:rsidR="00302BFE" w:rsidRPr="006E490C" w:rsidRDefault="00302BFE" w:rsidP="00243B15">
            <w:pPr>
              <w:spacing w:after="0"/>
              <w:jc w:val="left"/>
              <w:rPr>
                <w:sz w:val="18"/>
                <w:szCs w:val="18"/>
                <w:lang w:val="en-CA"/>
              </w:rPr>
            </w:pPr>
          </w:p>
        </w:tc>
        <w:tc>
          <w:tcPr>
            <w:tcW w:w="1552" w:type="dxa"/>
            <w:vMerge/>
            <w:tcBorders>
              <w:top w:val="single" w:sz="4" w:space="0" w:color="auto"/>
              <w:left w:val="single" w:sz="4" w:space="0" w:color="auto"/>
              <w:bottom w:val="single" w:sz="4" w:space="0" w:color="auto"/>
              <w:right w:val="single" w:sz="4" w:space="0" w:color="auto"/>
            </w:tcBorders>
            <w:vAlign w:val="center"/>
          </w:tcPr>
          <w:p w14:paraId="1D2B8845" w14:textId="77777777" w:rsidR="00302BFE" w:rsidRPr="006E490C" w:rsidRDefault="00302BFE" w:rsidP="00243B15">
            <w:pPr>
              <w:spacing w:after="0"/>
              <w:jc w:val="left"/>
              <w:rPr>
                <w:bCs/>
                <w:i/>
                <w:sz w:val="18"/>
                <w:szCs w:val="18"/>
                <w:lang w:val="en-CA"/>
              </w:rPr>
            </w:pPr>
          </w:p>
        </w:tc>
        <w:tc>
          <w:tcPr>
            <w:tcW w:w="1552" w:type="dxa"/>
            <w:vMerge/>
            <w:tcBorders>
              <w:top w:val="single" w:sz="4" w:space="0" w:color="auto"/>
              <w:left w:val="single" w:sz="4" w:space="0" w:color="auto"/>
              <w:bottom w:val="single" w:sz="4" w:space="0" w:color="auto"/>
              <w:right w:val="single" w:sz="4" w:space="0" w:color="auto"/>
            </w:tcBorders>
            <w:vAlign w:val="center"/>
          </w:tcPr>
          <w:p w14:paraId="2A17893F" w14:textId="77777777" w:rsidR="00302BFE" w:rsidRPr="006E490C" w:rsidRDefault="00302BFE" w:rsidP="00243B15">
            <w:pPr>
              <w:spacing w:after="0"/>
              <w:jc w:val="left"/>
              <w:rPr>
                <w:bCs/>
                <w:i/>
                <w:sz w:val="18"/>
                <w:szCs w:val="18"/>
                <w:lang w:val="en-CA"/>
              </w:rPr>
            </w:pPr>
          </w:p>
        </w:tc>
        <w:tc>
          <w:tcPr>
            <w:tcW w:w="1552" w:type="dxa"/>
            <w:vMerge/>
            <w:tcBorders>
              <w:top w:val="single" w:sz="4" w:space="0" w:color="auto"/>
              <w:left w:val="single" w:sz="4" w:space="0" w:color="auto"/>
              <w:bottom w:val="single" w:sz="4" w:space="0" w:color="auto"/>
              <w:right w:val="single" w:sz="4" w:space="0" w:color="auto"/>
            </w:tcBorders>
            <w:vAlign w:val="center"/>
          </w:tcPr>
          <w:p w14:paraId="63F908FB" w14:textId="77777777" w:rsidR="00302BFE" w:rsidRPr="006E490C" w:rsidRDefault="00302BFE" w:rsidP="00243B15">
            <w:pPr>
              <w:spacing w:after="0"/>
              <w:jc w:val="left"/>
              <w:rPr>
                <w:bCs/>
                <w:i/>
                <w:sz w:val="18"/>
                <w:szCs w:val="18"/>
                <w:lang w:val="en-CA"/>
              </w:rPr>
            </w:pPr>
          </w:p>
        </w:tc>
        <w:tc>
          <w:tcPr>
            <w:tcW w:w="4712" w:type="dxa"/>
            <w:tcBorders>
              <w:top w:val="single" w:sz="4" w:space="0" w:color="auto"/>
              <w:left w:val="single" w:sz="4" w:space="0" w:color="auto"/>
              <w:bottom w:val="single" w:sz="4" w:space="0" w:color="auto"/>
              <w:right w:val="single" w:sz="4" w:space="0" w:color="auto"/>
            </w:tcBorders>
          </w:tcPr>
          <w:p w14:paraId="63DA6FE1" w14:textId="77777777" w:rsidR="00302BFE" w:rsidRPr="006E490C" w:rsidRDefault="00302BFE" w:rsidP="00243B15">
            <w:pPr>
              <w:jc w:val="left"/>
              <w:rPr>
                <w:sz w:val="18"/>
                <w:szCs w:val="18"/>
                <w:lang w:val="en-CA"/>
              </w:rPr>
            </w:pPr>
            <w:r w:rsidRPr="006E490C">
              <w:rPr>
                <w:i/>
                <w:sz w:val="18"/>
                <w:szCs w:val="18"/>
                <w:lang w:val="en-CA"/>
              </w:rPr>
              <w:t>Risks</w:t>
            </w:r>
            <w:r w:rsidRPr="006E490C">
              <w:rPr>
                <w:sz w:val="18"/>
                <w:szCs w:val="18"/>
                <w:lang w:val="en-CA"/>
              </w:rPr>
              <w:t>:</w:t>
            </w:r>
          </w:p>
          <w:p w14:paraId="4E02FDC1" w14:textId="77777777" w:rsidR="00302BFE" w:rsidRPr="006E490C" w:rsidRDefault="00302BFE" w:rsidP="00243B15">
            <w:pPr>
              <w:jc w:val="left"/>
              <w:rPr>
                <w:sz w:val="18"/>
                <w:szCs w:val="18"/>
                <w:lang w:val="en-CA"/>
              </w:rPr>
            </w:pPr>
            <w:r w:rsidRPr="006E490C">
              <w:rPr>
                <w:sz w:val="18"/>
                <w:szCs w:val="18"/>
                <w:lang w:val="en-CA"/>
              </w:rPr>
              <w:t>Lack of stakeholder buy-in of knowledge generated by the project and of the measures recommended in the landscape management master plan</w:t>
            </w:r>
          </w:p>
          <w:p w14:paraId="63CDA7FB" w14:textId="77777777" w:rsidR="00302BFE" w:rsidRPr="006E490C" w:rsidRDefault="00302BFE" w:rsidP="00243B15">
            <w:pPr>
              <w:jc w:val="left"/>
              <w:rPr>
                <w:sz w:val="18"/>
                <w:szCs w:val="18"/>
                <w:lang w:val="en-CA"/>
              </w:rPr>
            </w:pPr>
            <w:r w:rsidRPr="006E490C">
              <w:rPr>
                <w:sz w:val="18"/>
                <w:szCs w:val="18"/>
                <w:lang w:val="en-CA"/>
              </w:rPr>
              <w:t>Insufficient financial resources to implement the landscape management master plan</w:t>
            </w:r>
          </w:p>
          <w:p w14:paraId="63B24457" w14:textId="77777777" w:rsidR="00302BFE" w:rsidRPr="006E490C" w:rsidRDefault="00302BFE" w:rsidP="00243B15">
            <w:pPr>
              <w:jc w:val="left"/>
              <w:rPr>
                <w:sz w:val="18"/>
                <w:szCs w:val="18"/>
                <w:lang w:val="en-CA"/>
              </w:rPr>
            </w:pPr>
            <w:r w:rsidRPr="006E490C">
              <w:rPr>
                <w:i/>
                <w:sz w:val="18"/>
                <w:szCs w:val="18"/>
                <w:lang w:val="en-CA"/>
              </w:rPr>
              <w:t>Assumptions</w:t>
            </w:r>
            <w:r w:rsidRPr="006E490C">
              <w:rPr>
                <w:sz w:val="18"/>
                <w:szCs w:val="18"/>
                <w:lang w:val="en-CA"/>
              </w:rPr>
              <w:t>:</w:t>
            </w:r>
          </w:p>
          <w:p w14:paraId="48F4969F" w14:textId="77777777" w:rsidR="00302BFE" w:rsidRPr="00D15CBD" w:rsidRDefault="00302BFE" w:rsidP="00243B15">
            <w:pPr>
              <w:jc w:val="left"/>
              <w:rPr>
                <w:sz w:val="18"/>
                <w:szCs w:val="18"/>
                <w:lang w:val="en-CA"/>
              </w:rPr>
            </w:pPr>
            <w:r w:rsidRPr="006E490C">
              <w:rPr>
                <w:sz w:val="18"/>
                <w:szCs w:val="18"/>
                <w:lang w:val="en-CA"/>
              </w:rPr>
              <w:t>Each group / association is able to mobilize resources for knowledge translation and implementation of the measures recommended in the landscape management master plan</w:t>
            </w:r>
          </w:p>
        </w:tc>
      </w:tr>
      <w:bookmarkEnd w:id="24"/>
    </w:tbl>
    <w:p w14:paraId="2CB61296" w14:textId="77777777" w:rsidR="00302BFE" w:rsidRDefault="00302BFE" w:rsidP="00302BFE">
      <w:pPr>
        <w:jc w:val="left"/>
        <w:rPr>
          <w:i/>
          <w:szCs w:val="20"/>
        </w:rPr>
      </w:pPr>
    </w:p>
    <w:p w14:paraId="5FF3CE98" w14:textId="77777777" w:rsidR="00302BFE" w:rsidRPr="0003763F" w:rsidRDefault="00302BFE" w:rsidP="00302BFE">
      <w:pPr>
        <w:jc w:val="left"/>
        <w:rPr>
          <w:i/>
          <w:szCs w:val="20"/>
        </w:rPr>
      </w:pPr>
    </w:p>
    <w:p w14:paraId="27498FB6" w14:textId="77777777" w:rsidR="00302BFE" w:rsidRPr="0003763F" w:rsidRDefault="00302BFE" w:rsidP="00302BFE">
      <w:pPr>
        <w:sectPr w:rsidR="00302BFE" w:rsidRPr="0003763F" w:rsidSect="00243B15">
          <w:pgSz w:w="15840" w:h="12240" w:orient="landscape" w:code="1"/>
          <w:pgMar w:top="720" w:right="720" w:bottom="720" w:left="720" w:header="720" w:footer="432" w:gutter="0"/>
          <w:cols w:space="708"/>
          <w:titlePg/>
          <w:docGrid w:linePitch="360"/>
        </w:sectPr>
      </w:pPr>
    </w:p>
    <w:p w14:paraId="4C1B0193" w14:textId="77777777" w:rsidR="00302BFE" w:rsidRPr="0003763F" w:rsidRDefault="00302BFE" w:rsidP="00302BFE">
      <w:pPr>
        <w:pStyle w:val="Titre1"/>
        <w:spacing w:before="0" w:after="60"/>
        <w:rPr>
          <w:rFonts w:ascii="Calibri" w:hAnsi="Calibri"/>
          <w:szCs w:val="28"/>
        </w:rPr>
      </w:pPr>
      <w:bookmarkStart w:id="26" w:name="_Toc9961794"/>
      <w:bookmarkStart w:id="27" w:name="_Toc207800914"/>
      <w:bookmarkStart w:id="28" w:name="_Toc407785522"/>
      <w:bookmarkEnd w:id="22"/>
      <w:r w:rsidRPr="0003763F">
        <w:rPr>
          <w:rFonts w:ascii="Calibri" w:hAnsi="Calibri"/>
          <w:szCs w:val="28"/>
        </w:rPr>
        <w:lastRenderedPageBreak/>
        <w:t>Monitoring and Evaluation (M&amp;E) Plan</w:t>
      </w:r>
      <w:bookmarkEnd w:id="26"/>
    </w:p>
    <w:p w14:paraId="22B40B10" w14:textId="77777777" w:rsidR="0071360F" w:rsidRPr="00966EF0" w:rsidRDefault="0071360F" w:rsidP="0071360F">
      <w:pPr>
        <w:spacing w:after="0"/>
        <w:rPr>
          <w:rFonts w:cs="Calibri"/>
          <w:b/>
          <w:color w:val="0000FF"/>
          <w:szCs w:val="20"/>
          <w:u w:val="single"/>
        </w:rPr>
      </w:pPr>
      <w:r w:rsidRPr="00966EF0">
        <w:rPr>
          <w:rFonts w:cs="Calibri"/>
          <w:szCs w:val="20"/>
        </w:rPr>
        <w:t xml:space="preserve">Project-level monitoring and evaluation will be undertaken in compliance with UNDP requirements as outlined in the </w:t>
      </w:r>
      <w:hyperlink r:id="rId26" w:history="1">
        <w:r w:rsidRPr="00966EF0">
          <w:rPr>
            <w:rFonts w:cs="Calibri"/>
            <w:color w:val="0000FF"/>
            <w:szCs w:val="20"/>
            <w:u w:val="single"/>
          </w:rPr>
          <w:t>UNDP POPP</w:t>
        </w:r>
      </w:hyperlink>
      <w:r w:rsidRPr="00966EF0">
        <w:rPr>
          <w:rFonts w:cs="Calibri"/>
          <w:color w:val="0000FF"/>
          <w:szCs w:val="20"/>
          <w:u w:val="single"/>
        </w:rPr>
        <w:t xml:space="preserve"> (including guidance on GEF project revisions) and </w:t>
      </w:r>
      <w:hyperlink r:id="rId27" w:history="1">
        <w:r w:rsidRPr="00966EF0">
          <w:rPr>
            <w:rFonts w:cs="Calibri"/>
            <w:color w:val="0000FF"/>
            <w:szCs w:val="20"/>
            <w:u w:val="single"/>
          </w:rPr>
          <w:t>UNDP Evaluation Policy</w:t>
        </w:r>
      </w:hyperlink>
      <w:r w:rsidRPr="00966EF0">
        <w:rPr>
          <w:rFonts w:cs="Calibri"/>
          <w:color w:val="0000FF"/>
          <w:szCs w:val="20"/>
          <w:u w:val="single"/>
        </w:rPr>
        <w:t xml:space="preserve"> </w:t>
      </w:r>
      <w:r w:rsidRPr="00966EF0">
        <w:rPr>
          <w:rFonts w:cs="Calibri"/>
          <w:b/>
          <w:color w:val="0000FF"/>
          <w:szCs w:val="20"/>
          <w:u w:val="single"/>
        </w:rPr>
        <w:t xml:space="preserve">The UNDP Country Office is responsible for ensuring full compliance with all UNDP project </w:t>
      </w:r>
      <w:r w:rsidRPr="00966EF0">
        <w:rPr>
          <w:rFonts w:cs="Calibri"/>
          <w:b/>
          <w:bCs/>
          <w:color w:val="0000FF"/>
          <w:szCs w:val="20"/>
          <w:u w:val="single"/>
        </w:rPr>
        <w:t xml:space="preserve">M&amp;E requirements including project </w:t>
      </w:r>
      <w:r w:rsidRPr="00966EF0">
        <w:rPr>
          <w:rFonts w:cs="Calibri"/>
          <w:b/>
          <w:color w:val="0000FF"/>
          <w:szCs w:val="20"/>
          <w:u w:val="single"/>
        </w:rPr>
        <w:t xml:space="preserve">monitoring, UNDP quality assurance requirements, quarterly risk management, and evaluation requirements. </w:t>
      </w:r>
    </w:p>
    <w:p w14:paraId="70191D15" w14:textId="77777777" w:rsidR="0071360F" w:rsidRPr="00966EF0" w:rsidRDefault="0071360F" w:rsidP="0071360F">
      <w:pPr>
        <w:spacing w:after="0"/>
        <w:rPr>
          <w:rFonts w:cs="Calibri"/>
          <w:szCs w:val="20"/>
        </w:rPr>
      </w:pPr>
    </w:p>
    <w:p w14:paraId="0E7D9848" w14:textId="77777777" w:rsidR="0071360F" w:rsidRPr="00966EF0" w:rsidRDefault="0071360F" w:rsidP="0071360F">
      <w:pPr>
        <w:spacing w:after="0"/>
        <w:rPr>
          <w:rFonts w:cs="Calibri"/>
          <w:szCs w:val="20"/>
        </w:rPr>
      </w:pPr>
      <w:r w:rsidRPr="00966EF0">
        <w:rPr>
          <w:rFonts w:cs="Calibri"/>
          <w:szCs w:val="20"/>
        </w:rPr>
        <w:t xml:space="preserve">Additional mandatory GEF-specific M&amp;E requirements will be undertaken in accordance with the </w:t>
      </w:r>
      <w:hyperlink r:id="rId28" w:history="1">
        <w:r w:rsidRPr="00966EF0">
          <w:rPr>
            <w:rFonts w:cs="Calibri"/>
            <w:color w:val="0000FF"/>
            <w:szCs w:val="20"/>
            <w:u w:val="single"/>
          </w:rPr>
          <w:t>GEF Monitoring Policy</w:t>
        </w:r>
      </w:hyperlink>
      <w:r w:rsidRPr="00966EF0">
        <w:rPr>
          <w:rFonts w:cs="Calibri"/>
          <w:szCs w:val="20"/>
        </w:rPr>
        <w:t xml:space="preserve"> and the </w:t>
      </w:r>
      <w:hyperlink r:id="rId29" w:history="1">
        <w:r w:rsidRPr="00966EF0">
          <w:rPr>
            <w:rFonts w:cs="Calibri"/>
            <w:color w:val="0000FF"/>
            <w:szCs w:val="20"/>
            <w:u w:val="single"/>
          </w:rPr>
          <w:t>GEF Evaluation Policy</w:t>
        </w:r>
      </w:hyperlink>
      <w:r w:rsidRPr="00966EF0">
        <w:rPr>
          <w:rFonts w:cs="Calibri"/>
          <w:szCs w:val="20"/>
        </w:rPr>
        <w:t xml:space="preserve"> and other </w:t>
      </w:r>
      <w:hyperlink r:id="rId30" w:history="1">
        <w:r w:rsidRPr="00966EF0">
          <w:rPr>
            <w:rFonts w:cs="Calibri"/>
            <w:color w:val="0000FF"/>
            <w:szCs w:val="20"/>
            <w:u w:val="single"/>
          </w:rPr>
          <w:t>relevant GEF policies</w:t>
        </w:r>
      </w:hyperlink>
      <w:r w:rsidRPr="00966EF0">
        <w:rPr>
          <w:rFonts w:ascii="Arial" w:hAnsi="Arial"/>
          <w:sz w:val="18"/>
          <w:szCs w:val="20"/>
          <w:vertAlign w:val="superscript"/>
        </w:rPr>
        <w:footnoteReference w:id="71"/>
      </w:r>
      <w:r w:rsidRPr="00966EF0">
        <w:rPr>
          <w:rFonts w:cs="Calibri"/>
          <w:szCs w:val="20"/>
        </w:rPr>
        <w:t>. The M&amp;E plan and budget included below will guide the GEF-specific M&amp;E activities to be undertaken by this project.</w:t>
      </w:r>
    </w:p>
    <w:p w14:paraId="0347BA22" w14:textId="77777777" w:rsidR="0071360F" w:rsidRPr="00966EF0" w:rsidRDefault="0071360F" w:rsidP="0071360F">
      <w:pPr>
        <w:spacing w:after="0"/>
        <w:rPr>
          <w:rFonts w:cs="Calibri"/>
          <w:szCs w:val="20"/>
        </w:rPr>
      </w:pPr>
    </w:p>
    <w:p w14:paraId="71BC51C3" w14:textId="77777777" w:rsidR="0071360F" w:rsidRPr="00966EF0" w:rsidRDefault="0071360F" w:rsidP="0071360F">
      <w:pPr>
        <w:spacing w:after="0"/>
        <w:rPr>
          <w:rFonts w:cs="Calibri"/>
          <w:szCs w:val="20"/>
        </w:rPr>
      </w:pPr>
      <w:r w:rsidRPr="00966EF0">
        <w:rPr>
          <w:rFonts w:cs="Calibri"/>
          <w:szCs w:val="20"/>
        </w:rPr>
        <w:t xml:space="preserve">In addition to these mandatory UNDP and GEF M&amp;E requirements, other M&amp;E activities deemed necessary to support project-level adaptive management will be agreed – including during the Project Inception Workshop - and will be detailed in the Inception Report. </w:t>
      </w:r>
    </w:p>
    <w:p w14:paraId="60999482" w14:textId="77777777" w:rsidR="0071360F" w:rsidRPr="00966EF0" w:rsidRDefault="0071360F" w:rsidP="0071360F">
      <w:pPr>
        <w:spacing w:after="0"/>
        <w:rPr>
          <w:rFonts w:cs="Calibri"/>
          <w:szCs w:val="20"/>
        </w:rPr>
      </w:pPr>
    </w:p>
    <w:p w14:paraId="7EE33AEE" w14:textId="77777777" w:rsidR="0071360F" w:rsidRPr="00966EF0" w:rsidRDefault="0071360F" w:rsidP="0071360F">
      <w:pPr>
        <w:spacing w:after="0"/>
        <w:rPr>
          <w:i/>
          <w:szCs w:val="20"/>
        </w:rPr>
      </w:pPr>
      <w:r w:rsidRPr="00966EF0">
        <w:rPr>
          <w:rFonts w:cs="Calibri"/>
          <w:b/>
          <w:szCs w:val="20"/>
        </w:rPr>
        <w:t>Minimum project monitoring and reporting requirements as required by the GEF:</w:t>
      </w:r>
      <w:r w:rsidRPr="00966EF0">
        <w:rPr>
          <w:i/>
          <w:szCs w:val="20"/>
          <w:highlight w:val="magenta"/>
        </w:rPr>
        <w:t xml:space="preserve"> </w:t>
      </w:r>
    </w:p>
    <w:p w14:paraId="6E58B864" w14:textId="77777777" w:rsidR="0071360F" w:rsidRPr="00966EF0" w:rsidRDefault="0071360F" w:rsidP="0071360F">
      <w:pPr>
        <w:spacing w:after="0"/>
        <w:rPr>
          <w:rFonts w:cs="Calibri"/>
          <w:szCs w:val="20"/>
          <w:u w:val="single"/>
        </w:rPr>
      </w:pPr>
    </w:p>
    <w:p w14:paraId="5CA6BEF3" w14:textId="77777777" w:rsidR="0071360F" w:rsidRPr="00966EF0" w:rsidRDefault="0071360F" w:rsidP="0071360F">
      <w:pPr>
        <w:spacing w:after="0"/>
        <w:rPr>
          <w:rFonts w:cs="Calibri"/>
          <w:szCs w:val="20"/>
        </w:rPr>
      </w:pPr>
      <w:r w:rsidRPr="00966EF0">
        <w:rPr>
          <w:rFonts w:cs="Calibri"/>
          <w:szCs w:val="20"/>
          <w:u w:val="single"/>
        </w:rPr>
        <w:t>Inception Workshop and Report</w:t>
      </w:r>
      <w:r w:rsidRPr="00966EF0">
        <w:rPr>
          <w:rFonts w:cs="Calibri"/>
          <w:szCs w:val="20"/>
        </w:rPr>
        <w:t xml:space="preserve">:  A project inception workshop will be held within 2 months from the First disbursement date, with the aim to: </w:t>
      </w:r>
    </w:p>
    <w:p w14:paraId="03F85C67" w14:textId="77777777" w:rsidR="0071360F" w:rsidRPr="00966EF0" w:rsidRDefault="0071360F" w:rsidP="00C46720">
      <w:pPr>
        <w:numPr>
          <w:ilvl w:val="0"/>
          <w:numId w:val="69"/>
        </w:numPr>
        <w:spacing w:after="0"/>
        <w:rPr>
          <w:rFonts w:ascii="Times New Roman" w:hAnsi="Times New Roman" w:cs="Calibri"/>
          <w:sz w:val="24"/>
          <w:szCs w:val="20"/>
        </w:rPr>
      </w:pPr>
      <w:r w:rsidRPr="00966EF0">
        <w:rPr>
          <w:rFonts w:cs="Calibri"/>
          <w:szCs w:val="20"/>
        </w:rPr>
        <w:t xml:space="preserve">Familiarize key stakeholders with the detailed project strategy and discuss any changes that may have taken place in the overall context since the project idea was initially conceptualized that may influence its strategy and implementation. </w:t>
      </w:r>
    </w:p>
    <w:p w14:paraId="69FD9303" w14:textId="77777777" w:rsidR="0071360F" w:rsidRPr="00966EF0" w:rsidRDefault="0071360F" w:rsidP="00C46720">
      <w:pPr>
        <w:numPr>
          <w:ilvl w:val="0"/>
          <w:numId w:val="69"/>
        </w:numPr>
        <w:spacing w:after="0"/>
        <w:rPr>
          <w:rFonts w:ascii="Times New Roman" w:hAnsi="Times New Roman" w:cs="Calibri"/>
          <w:sz w:val="24"/>
          <w:szCs w:val="20"/>
        </w:rPr>
      </w:pPr>
      <w:r w:rsidRPr="00966EF0">
        <w:rPr>
          <w:rFonts w:cs="Calibri"/>
          <w:szCs w:val="20"/>
        </w:rPr>
        <w:t xml:space="preserve">Discuss the roles and responsibilities of the project team, including reporting lines, stakeholder engagement strategies and conflict resolution mechanisms. </w:t>
      </w:r>
    </w:p>
    <w:p w14:paraId="3FFDD1C0" w14:textId="77777777" w:rsidR="0071360F" w:rsidRPr="00966EF0" w:rsidRDefault="0071360F" w:rsidP="00C46720">
      <w:pPr>
        <w:numPr>
          <w:ilvl w:val="0"/>
          <w:numId w:val="69"/>
        </w:numPr>
        <w:spacing w:after="0"/>
        <w:rPr>
          <w:rFonts w:ascii="Times New Roman" w:hAnsi="Times New Roman" w:cs="Calibri"/>
          <w:sz w:val="24"/>
          <w:szCs w:val="20"/>
        </w:rPr>
      </w:pPr>
      <w:r w:rsidRPr="00966EF0">
        <w:rPr>
          <w:rFonts w:cs="Calibri"/>
          <w:szCs w:val="20"/>
        </w:rPr>
        <w:t xml:space="preserve">Review the results framework and monitoring plan. </w:t>
      </w:r>
    </w:p>
    <w:p w14:paraId="07648FAA" w14:textId="77777777" w:rsidR="0071360F" w:rsidRPr="00966EF0" w:rsidRDefault="0071360F" w:rsidP="00C46720">
      <w:pPr>
        <w:numPr>
          <w:ilvl w:val="0"/>
          <w:numId w:val="69"/>
        </w:numPr>
        <w:spacing w:after="0"/>
        <w:rPr>
          <w:rFonts w:cs="Calibri"/>
          <w:szCs w:val="20"/>
        </w:rPr>
      </w:pPr>
      <w:r w:rsidRPr="00966EF0">
        <w:rPr>
          <w:szCs w:val="20"/>
        </w:rPr>
        <w:t>Discuss reporting, monitoring and evaluation roles and responsibilities and finalize the M&amp;E budget; identify national/regional institutes to be involved in project-level M&amp;E; discuss the role of the GEF OFP and other stakeholders in project-level M&amp;E.</w:t>
      </w:r>
    </w:p>
    <w:p w14:paraId="37E8293A" w14:textId="77777777" w:rsidR="0071360F" w:rsidRPr="00966EF0" w:rsidRDefault="0071360F" w:rsidP="00C46720">
      <w:pPr>
        <w:numPr>
          <w:ilvl w:val="0"/>
          <w:numId w:val="69"/>
        </w:numPr>
        <w:spacing w:after="0"/>
        <w:rPr>
          <w:szCs w:val="20"/>
        </w:rPr>
      </w:pPr>
      <w:r w:rsidRPr="00966EF0">
        <w:rPr>
          <w:szCs w:val="20"/>
        </w:rPr>
        <w:t>Update and review responsibilities for monitoring project strategies, including the risk log; SESP report, Social and Environmental Management Framework (where relevant) and other safeguard requirements; project grievance mechanisms; gender strategy; knowledge management strategy, and other relevant management strategies.</w:t>
      </w:r>
    </w:p>
    <w:p w14:paraId="60825FF3" w14:textId="77777777" w:rsidR="0071360F" w:rsidRPr="00966EF0" w:rsidRDefault="0071360F" w:rsidP="00C46720">
      <w:pPr>
        <w:numPr>
          <w:ilvl w:val="0"/>
          <w:numId w:val="69"/>
        </w:numPr>
        <w:spacing w:after="0"/>
        <w:rPr>
          <w:szCs w:val="20"/>
        </w:rPr>
      </w:pPr>
      <w:r w:rsidRPr="00966EF0">
        <w:rPr>
          <w:szCs w:val="20"/>
        </w:rPr>
        <w:t xml:space="preserve">Review financial reporting procedures and budget monitoring and other mandatory requirements and agree on the arrangements for the annual audit. </w:t>
      </w:r>
    </w:p>
    <w:p w14:paraId="04A7CADE" w14:textId="77777777" w:rsidR="0071360F" w:rsidRPr="00966EF0" w:rsidRDefault="0071360F" w:rsidP="00C46720">
      <w:pPr>
        <w:numPr>
          <w:ilvl w:val="0"/>
          <w:numId w:val="69"/>
        </w:numPr>
        <w:spacing w:after="0"/>
        <w:rPr>
          <w:szCs w:val="20"/>
        </w:rPr>
      </w:pPr>
      <w:r w:rsidRPr="00966EF0">
        <w:rPr>
          <w:szCs w:val="20"/>
        </w:rPr>
        <w:t>Plan and schedule Project Board meetings and finalize the first-year annual work plan.  Finalize the TOR of the Project Board.</w:t>
      </w:r>
    </w:p>
    <w:p w14:paraId="341E551B" w14:textId="77777777" w:rsidR="0071360F" w:rsidRPr="00966EF0" w:rsidRDefault="0071360F" w:rsidP="00C46720">
      <w:pPr>
        <w:numPr>
          <w:ilvl w:val="0"/>
          <w:numId w:val="69"/>
        </w:numPr>
        <w:spacing w:after="0"/>
        <w:rPr>
          <w:szCs w:val="20"/>
        </w:rPr>
      </w:pPr>
      <w:r w:rsidRPr="00966EF0">
        <w:rPr>
          <w:szCs w:val="20"/>
        </w:rPr>
        <w:t>Formally launch the Project.</w:t>
      </w:r>
    </w:p>
    <w:p w14:paraId="0AB3B7F7" w14:textId="77777777" w:rsidR="0071360F" w:rsidRPr="00966EF0" w:rsidRDefault="0071360F" w:rsidP="0071360F">
      <w:pPr>
        <w:spacing w:after="0"/>
        <w:rPr>
          <w:rFonts w:cs="Calibri"/>
          <w:szCs w:val="20"/>
          <w:u w:val="single"/>
        </w:rPr>
      </w:pPr>
    </w:p>
    <w:p w14:paraId="2BA53953" w14:textId="31CEB1ED" w:rsidR="0071360F" w:rsidRPr="00966EF0" w:rsidRDefault="0071360F" w:rsidP="0071360F">
      <w:pPr>
        <w:spacing w:after="0"/>
        <w:rPr>
          <w:i/>
          <w:szCs w:val="20"/>
        </w:rPr>
      </w:pPr>
      <w:r w:rsidRPr="00966EF0">
        <w:rPr>
          <w:rFonts w:cs="Calibri"/>
          <w:szCs w:val="20"/>
          <w:u w:val="single"/>
        </w:rPr>
        <w:t>GEF Project Implementation Report (PIR</w:t>
      </w:r>
      <w:r w:rsidRPr="00966EF0">
        <w:rPr>
          <w:rFonts w:cs="Calibri"/>
          <w:szCs w:val="20"/>
        </w:rPr>
        <w:t>):</w:t>
      </w:r>
    </w:p>
    <w:p w14:paraId="7C9500A3" w14:textId="77777777" w:rsidR="0071360F" w:rsidRPr="00966EF0" w:rsidRDefault="0071360F" w:rsidP="0071360F">
      <w:pPr>
        <w:spacing w:after="0"/>
        <w:rPr>
          <w:rFonts w:cs="Calibri"/>
          <w:szCs w:val="20"/>
        </w:rPr>
      </w:pPr>
      <w:r w:rsidRPr="00966EF0">
        <w:rPr>
          <w:rFonts w:cs="Calibri"/>
          <w:szCs w:val="20"/>
        </w:rPr>
        <w:t xml:space="preserve">The annual GEF PIR covering the reporting period July (previous year) to June (current year) will be completed for each year of project implementation. UNDP will undertake quality assurance of the PIR before submission to the GEF. The PIR submitted to the GEF will be shared with the Project Board. UNDP will conduct a quality review of the PIR, and this quality review and feedback will be used to inform the preparation of the subsequent annual PIR.  </w:t>
      </w:r>
    </w:p>
    <w:p w14:paraId="7B466519" w14:textId="77777777" w:rsidR="0071360F" w:rsidRPr="00966EF0" w:rsidRDefault="0071360F" w:rsidP="0071360F">
      <w:pPr>
        <w:spacing w:after="0"/>
        <w:rPr>
          <w:rFonts w:cs="Calibri"/>
          <w:szCs w:val="20"/>
          <w:u w:val="single"/>
          <w:lang w:val="en-GB"/>
        </w:rPr>
      </w:pPr>
    </w:p>
    <w:p w14:paraId="08358B1A" w14:textId="77821430" w:rsidR="0071360F" w:rsidRPr="00966EF0" w:rsidRDefault="0071360F" w:rsidP="0071360F">
      <w:pPr>
        <w:spacing w:after="0"/>
        <w:rPr>
          <w:rFonts w:cs="Calibri"/>
          <w:szCs w:val="20"/>
          <w:lang w:val="en-GB"/>
        </w:rPr>
      </w:pPr>
      <w:r w:rsidRPr="0042658C">
        <w:rPr>
          <w:rFonts w:cs="Calibri"/>
          <w:szCs w:val="20"/>
          <w:u w:val="single"/>
          <w:lang w:val="en-GB"/>
        </w:rPr>
        <w:t>GEF and/or LDCF Core</w:t>
      </w:r>
      <w:r w:rsidRPr="00966EF0">
        <w:rPr>
          <w:rFonts w:cs="Calibri"/>
          <w:szCs w:val="20"/>
          <w:u w:val="single"/>
          <w:lang w:val="en-GB"/>
        </w:rPr>
        <w:t xml:space="preserve"> Indicators</w:t>
      </w:r>
      <w:r w:rsidRPr="00966EF0">
        <w:rPr>
          <w:rFonts w:cs="Calibri"/>
          <w:szCs w:val="20"/>
          <w:lang w:val="en-GB"/>
        </w:rPr>
        <w:t xml:space="preserve">: </w:t>
      </w:r>
      <w:r w:rsidRPr="00966EF0">
        <w:rPr>
          <w:rFonts w:cs="Calibri"/>
          <w:b/>
          <w:szCs w:val="20"/>
        </w:rPr>
        <w:t xml:space="preserve"> </w:t>
      </w:r>
      <w:r w:rsidRPr="0042658C">
        <w:rPr>
          <w:rFonts w:cs="Calibri"/>
          <w:szCs w:val="20"/>
          <w:lang w:val="en-GB"/>
        </w:rPr>
        <w:t>The GEF and/or LDCF</w:t>
      </w:r>
      <w:r w:rsidRPr="00966EF0">
        <w:rPr>
          <w:rFonts w:cs="Calibri"/>
          <w:szCs w:val="20"/>
          <w:lang w:val="en-GB"/>
        </w:rPr>
        <w:t xml:space="preserve"> Core indicators included as Annex will be used to monitor global environmental benefits and will be updated for reporting to the GEF prior to MTR and TE. Note that the project team is responsible for updating the indicator status. The updated monitoring data should be shared with MTR/TE consultants </w:t>
      </w:r>
      <w:r w:rsidRPr="00966EF0">
        <w:rPr>
          <w:rFonts w:cs="Calibri"/>
          <w:szCs w:val="20"/>
          <w:u w:val="single"/>
          <w:lang w:val="en-GB"/>
        </w:rPr>
        <w:t>prior</w:t>
      </w:r>
      <w:r w:rsidRPr="00966EF0">
        <w:rPr>
          <w:rFonts w:cs="Calibri"/>
          <w:szCs w:val="20"/>
          <w:lang w:val="en-GB"/>
        </w:rPr>
        <w:t xml:space="preserve"> to required evaluation missions, so these can be used for subsequent groundtruthing. The methodologies to be used in data collection have been defined by the GEF and are available on the GEF </w:t>
      </w:r>
      <w:hyperlink r:id="rId31" w:history="1">
        <w:r w:rsidRPr="00966EF0">
          <w:rPr>
            <w:rFonts w:cs="Calibri"/>
            <w:color w:val="0000FF"/>
            <w:szCs w:val="20"/>
            <w:u w:val="single"/>
            <w:lang w:val="en-GB"/>
          </w:rPr>
          <w:t>website</w:t>
        </w:r>
      </w:hyperlink>
      <w:r w:rsidR="00274460">
        <w:rPr>
          <w:rFonts w:cs="Calibri"/>
          <w:szCs w:val="20"/>
          <w:lang w:val="en-GB"/>
        </w:rPr>
        <w:t>.</w:t>
      </w:r>
      <w:r w:rsidRPr="00966EF0">
        <w:rPr>
          <w:rFonts w:cs="Calibri"/>
          <w:szCs w:val="20"/>
          <w:lang w:val="en-GB"/>
        </w:rPr>
        <w:t xml:space="preserve"> </w:t>
      </w:r>
    </w:p>
    <w:p w14:paraId="0926100F" w14:textId="77777777" w:rsidR="0071360F" w:rsidRPr="00966EF0" w:rsidRDefault="0071360F" w:rsidP="0071360F">
      <w:pPr>
        <w:spacing w:after="0"/>
        <w:rPr>
          <w:rFonts w:cs="Calibri"/>
          <w:szCs w:val="20"/>
          <w:lang w:val="en-GB"/>
        </w:rPr>
      </w:pPr>
    </w:p>
    <w:p w14:paraId="33D32DEC" w14:textId="4335F58A" w:rsidR="0071360F" w:rsidRPr="008358DF" w:rsidRDefault="0071360F" w:rsidP="0071360F">
      <w:pPr>
        <w:spacing w:after="0"/>
        <w:rPr>
          <w:rFonts w:cs="Calibri"/>
          <w:szCs w:val="20"/>
        </w:rPr>
      </w:pPr>
      <w:r w:rsidRPr="008358DF">
        <w:rPr>
          <w:rFonts w:cs="Calibri"/>
          <w:iCs/>
          <w:szCs w:val="20"/>
          <w:u w:val="single"/>
        </w:rPr>
        <w:lastRenderedPageBreak/>
        <w:t>Independent Mid-term Review (MTR)</w:t>
      </w:r>
      <w:r w:rsidRPr="008358DF">
        <w:rPr>
          <w:rFonts w:cs="Calibri"/>
          <w:iCs/>
          <w:szCs w:val="20"/>
        </w:rPr>
        <w:t>:</w:t>
      </w:r>
      <w:r w:rsidR="008358DF" w:rsidRPr="008358DF">
        <w:rPr>
          <w:rFonts w:cs="Calibri"/>
          <w:i/>
          <w:szCs w:val="20"/>
        </w:rPr>
        <w:t xml:space="preserve"> </w:t>
      </w:r>
      <w:r w:rsidRPr="008358DF">
        <w:rPr>
          <w:rFonts w:cs="Calibri"/>
          <w:szCs w:val="20"/>
        </w:rPr>
        <w:t xml:space="preserve">The terms of reference, the review process and the final MTR report will follow the standard UNDP templates and UNDP guidance for GEF-financed projects available on the </w:t>
      </w:r>
      <w:hyperlink r:id="rId32" w:anchor="gef" w:history="1">
        <w:r w:rsidRPr="008358DF">
          <w:rPr>
            <w:rFonts w:cs="Calibri"/>
            <w:color w:val="0000FF"/>
            <w:szCs w:val="20"/>
            <w:u w:val="single"/>
          </w:rPr>
          <w:t>UNDP Evaluation Resource Center</w:t>
        </w:r>
      </w:hyperlink>
      <w:r w:rsidRPr="008358DF">
        <w:rPr>
          <w:rFonts w:cs="Calibri"/>
          <w:color w:val="0000FF"/>
          <w:szCs w:val="20"/>
          <w:u w:val="single"/>
        </w:rPr>
        <w:t xml:space="preserve"> (ERC).</w:t>
      </w:r>
      <w:r w:rsidRPr="008358DF">
        <w:rPr>
          <w:rFonts w:cs="Calibri"/>
          <w:szCs w:val="20"/>
        </w:rPr>
        <w:t xml:space="preserve"> </w:t>
      </w:r>
    </w:p>
    <w:p w14:paraId="479574A0" w14:textId="77777777" w:rsidR="0071360F" w:rsidRPr="00966EF0" w:rsidRDefault="0071360F" w:rsidP="0071360F">
      <w:pPr>
        <w:spacing w:after="0"/>
        <w:rPr>
          <w:highlight w:val="yellow"/>
        </w:rPr>
      </w:pPr>
    </w:p>
    <w:p w14:paraId="4BA7F950" w14:textId="77777777" w:rsidR="0071360F" w:rsidRPr="00966EF0" w:rsidRDefault="0071360F" w:rsidP="0071360F">
      <w:r w:rsidRPr="008358DF">
        <w:t xml:space="preserve">The evaluation will be ‘independent, impartial and rigorous’. The evaluators that UNDP will hire to undertake the assignment will be independent from organizations that were involved in designing, executing or advising on the project to be evaluated. Equally, the evaluators should not be in a position where there may be the possibility of future contracts regarding the project under review. </w:t>
      </w:r>
    </w:p>
    <w:p w14:paraId="06144E14" w14:textId="77777777" w:rsidR="0071360F" w:rsidRPr="00966EF0" w:rsidRDefault="0071360F" w:rsidP="0071360F">
      <w:pPr>
        <w:rPr>
          <w:rFonts w:eastAsia="Calibri" w:cs="Arial"/>
        </w:rPr>
      </w:pPr>
    </w:p>
    <w:p w14:paraId="54040AD7" w14:textId="77777777" w:rsidR="0071360F" w:rsidRPr="00C03999" w:rsidRDefault="0071360F" w:rsidP="0071360F">
      <w:pPr>
        <w:spacing w:after="0"/>
        <w:rPr>
          <w:rFonts w:cs="Calibri"/>
          <w:szCs w:val="20"/>
        </w:rPr>
      </w:pPr>
      <w:r w:rsidRPr="00C03999">
        <w:t xml:space="preserve">The GEF Operational Focal Point and other stakeholders will be actively involved and consulted during the evaluation process. </w:t>
      </w:r>
      <w:r w:rsidRPr="00C03999">
        <w:rPr>
          <w:rFonts w:cs="Calibri"/>
          <w:szCs w:val="20"/>
        </w:rPr>
        <w:t>Additional quality assurance support is available from the BPPS/NCE-VF Directorate.</w:t>
      </w:r>
    </w:p>
    <w:p w14:paraId="3A20AF13" w14:textId="77777777" w:rsidR="0071360F" w:rsidRPr="00966EF0" w:rsidRDefault="0071360F" w:rsidP="0071360F">
      <w:pPr>
        <w:spacing w:after="0"/>
        <w:rPr>
          <w:rFonts w:cs="Calibri"/>
          <w:szCs w:val="20"/>
          <w:highlight w:val="yellow"/>
        </w:rPr>
      </w:pPr>
    </w:p>
    <w:p w14:paraId="12E944FF" w14:textId="6749AC61" w:rsidR="0071360F" w:rsidRPr="00B77E76" w:rsidRDefault="0071360F" w:rsidP="0071360F">
      <w:pPr>
        <w:spacing w:after="0"/>
        <w:rPr>
          <w:rFonts w:cs="Calibri"/>
          <w:i/>
          <w:color w:val="FF0000"/>
          <w:szCs w:val="20"/>
        </w:rPr>
      </w:pPr>
      <w:r w:rsidRPr="00B77E76">
        <w:rPr>
          <w:rFonts w:cs="Calibri"/>
          <w:szCs w:val="20"/>
        </w:rPr>
        <w:t xml:space="preserve">The </w:t>
      </w:r>
      <w:r w:rsidRPr="00626E02">
        <w:rPr>
          <w:rFonts w:cs="Calibri"/>
          <w:szCs w:val="20"/>
        </w:rPr>
        <w:t>final MTR report and MTR TOR will be publicly available in English and will be posted on the UNDP ERC by</w:t>
      </w:r>
      <w:r w:rsidR="00B77E76" w:rsidRPr="00626E02">
        <w:rPr>
          <w:rFonts w:cs="Calibri"/>
          <w:szCs w:val="20"/>
        </w:rPr>
        <w:t xml:space="preserve"> </w:t>
      </w:r>
      <w:r w:rsidR="00B77E76" w:rsidRPr="00626E02">
        <w:t>1</w:t>
      </w:r>
      <w:r w:rsidR="00AF66F2">
        <w:t>9</w:t>
      </w:r>
      <w:r w:rsidR="00B77E76" w:rsidRPr="00626E02">
        <w:rPr>
          <w:vertAlign w:val="superscript"/>
        </w:rPr>
        <w:t>th</w:t>
      </w:r>
      <w:r w:rsidR="00B77E76" w:rsidRPr="00626E02">
        <w:t xml:space="preserve"> </w:t>
      </w:r>
      <w:r w:rsidR="00AF66F2">
        <w:t>Jan</w:t>
      </w:r>
      <w:r w:rsidR="00B77E76" w:rsidRPr="00626E02">
        <w:t>uary 2026</w:t>
      </w:r>
      <w:r w:rsidR="00626E02" w:rsidRPr="00626E02">
        <w:rPr>
          <w:rFonts w:cs="Calibri"/>
          <w:szCs w:val="20"/>
        </w:rPr>
        <w:t>.</w:t>
      </w:r>
      <w:r w:rsidR="00626E02">
        <w:rPr>
          <w:rFonts w:cs="Calibri"/>
          <w:szCs w:val="20"/>
        </w:rPr>
        <w:t xml:space="preserve"> </w:t>
      </w:r>
      <w:r w:rsidRPr="00B77E76">
        <w:rPr>
          <w:rFonts w:cs="Calibri"/>
          <w:szCs w:val="20"/>
        </w:rPr>
        <w:t>A management response to MTR recommendations will be posted in the ERC within six weeks of the MTR report’s completion.</w:t>
      </w:r>
    </w:p>
    <w:p w14:paraId="1A089CFE" w14:textId="77777777" w:rsidR="0071360F" w:rsidRPr="00966EF0" w:rsidRDefault="0071360F" w:rsidP="0071360F">
      <w:pPr>
        <w:rPr>
          <w:rFonts w:cs="Calibri"/>
          <w:szCs w:val="20"/>
          <w:u w:val="single"/>
        </w:rPr>
      </w:pPr>
    </w:p>
    <w:p w14:paraId="35D6E649" w14:textId="15720C73" w:rsidR="0071360F" w:rsidRPr="00966EF0" w:rsidRDefault="0071360F" w:rsidP="0071360F">
      <w:pPr>
        <w:spacing w:after="0"/>
        <w:rPr>
          <w:rFonts w:cs="Calibri"/>
        </w:rPr>
      </w:pPr>
      <w:r w:rsidRPr="00966EF0">
        <w:rPr>
          <w:rFonts w:cs="Calibri"/>
          <w:szCs w:val="20"/>
          <w:u w:val="single"/>
        </w:rPr>
        <w:t>Terminal Evaluation (TE)</w:t>
      </w:r>
      <w:r w:rsidRPr="00966EF0">
        <w:rPr>
          <w:rFonts w:cs="Calibri"/>
          <w:szCs w:val="20"/>
        </w:rPr>
        <w:t xml:space="preserve">: </w:t>
      </w:r>
      <w:r w:rsidRPr="00966EF0">
        <w:rPr>
          <w:rFonts w:cs="Calibri"/>
        </w:rPr>
        <w:t xml:space="preserve">An independent terminal evaluation (TE) will take place upon completion of all major project outputs and activities. The terms of reference, the evaluation process and the final TE report will follow the standard templates and guidance for GEF-financed projects available on the </w:t>
      </w:r>
      <w:hyperlink r:id="rId33" w:anchor="gef">
        <w:r w:rsidRPr="00966EF0">
          <w:rPr>
            <w:rFonts w:cs="Calibri"/>
            <w:color w:val="0000FF"/>
            <w:u w:val="single"/>
          </w:rPr>
          <w:t>UNDP Evaluation Resource Center</w:t>
        </w:r>
      </w:hyperlink>
      <w:r w:rsidRPr="00966EF0">
        <w:rPr>
          <w:rFonts w:cs="Calibri"/>
          <w:color w:val="0000FF"/>
          <w:u w:val="single"/>
        </w:rPr>
        <w:t>.</w:t>
      </w:r>
      <w:r w:rsidRPr="00966EF0">
        <w:rPr>
          <w:rFonts w:cs="Calibri"/>
        </w:rPr>
        <w:t xml:space="preserve"> TE should be completed 3 months before the estimated operational closure date, set from the signature of the ProDoc and according to the duration of the project. Provisions should be taken to complete the TE in due time to avoid delay in project closure. Therefore, TE must start no later than 6 months to the expected date of completion of the TE (or 9 months prior to the estimated operational closure date). </w:t>
      </w:r>
    </w:p>
    <w:p w14:paraId="104D4721" w14:textId="77777777" w:rsidR="0071360F" w:rsidRPr="00966EF0" w:rsidRDefault="0071360F" w:rsidP="0071360F">
      <w:pPr>
        <w:spacing w:after="0"/>
      </w:pPr>
    </w:p>
    <w:p w14:paraId="7FAE70D6" w14:textId="77777777" w:rsidR="0071360F" w:rsidRPr="00966EF0" w:rsidRDefault="0071360F" w:rsidP="0071360F">
      <w:r w:rsidRPr="00966EF0">
        <w:t xml:space="preserve">The evaluation will be ‘independent, impartial and rigorous’. The evaluators that UNDP will hire to undertake the assignment will be independent from organizations that were involved in designing, executing or advising on the project to be evaluated. Equally, the evaluators should not be in a position where there may be the possibility of future contracts regarding the project being evaluated. </w:t>
      </w:r>
    </w:p>
    <w:p w14:paraId="622BB641" w14:textId="77777777" w:rsidR="0071360F" w:rsidRPr="00966EF0" w:rsidRDefault="0071360F" w:rsidP="0071360F">
      <w:pPr>
        <w:spacing w:after="0"/>
      </w:pPr>
    </w:p>
    <w:p w14:paraId="41FBC6D6" w14:textId="77777777" w:rsidR="0071360F" w:rsidRPr="00966EF0" w:rsidRDefault="0071360F" w:rsidP="0071360F">
      <w:pPr>
        <w:spacing w:after="0"/>
        <w:rPr>
          <w:rFonts w:cs="Calibri"/>
          <w:szCs w:val="20"/>
        </w:rPr>
      </w:pPr>
      <w:r w:rsidRPr="00966EF0">
        <w:t xml:space="preserve">The GEF Operational Focal Point and other stakeholders will be actively involved and consulted during the terminal evaluation process. </w:t>
      </w:r>
      <w:r w:rsidRPr="00966EF0">
        <w:rPr>
          <w:rFonts w:cs="Calibri"/>
          <w:szCs w:val="20"/>
        </w:rPr>
        <w:t xml:space="preserve">Additional quality assurance support is available from the BPPS/NCE-VF Directorate. </w:t>
      </w:r>
    </w:p>
    <w:p w14:paraId="7307D6CE" w14:textId="77777777" w:rsidR="0071360F" w:rsidRPr="00966EF0" w:rsidRDefault="0071360F" w:rsidP="0071360F">
      <w:pPr>
        <w:spacing w:after="0"/>
        <w:rPr>
          <w:rFonts w:cs="Calibri"/>
          <w:szCs w:val="20"/>
        </w:rPr>
      </w:pPr>
    </w:p>
    <w:p w14:paraId="0EC89F97" w14:textId="52CCB549" w:rsidR="0071360F" w:rsidRPr="00966EF0" w:rsidRDefault="0071360F" w:rsidP="0071360F">
      <w:pPr>
        <w:spacing w:after="0"/>
        <w:rPr>
          <w:rFonts w:cs="Calibri"/>
          <w:szCs w:val="20"/>
        </w:rPr>
      </w:pPr>
      <w:r w:rsidRPr="00966EF0">
        <w:rPr>
          <w:rFonts w:cs="Calibri"/>
          <w:szCs w:val="20"/>
        </w:rPr>
        <w:t>The final TE report and TE TOR will be publicly available in English and posted on the UNDP ERC by</w:t>
      </w:r>
      <w:r w:rsidR="009B782F">
        <w:rPr>
          <w:rFonts w:cs="Calibri"/>
          <w:szCs w:val="20"/>
        </w:rPr>
        <w:t xml:space="preserve"> </w:t>
      </w:r>
      <w:bookmarkStart w:id="29" w:name="_Hlk111152617"/>
      <w:r w:rsidR="00AF66F2">
        <w:rPr>
          <w:rFonts w:cs="Calibri"/>
          <w:szCs w:val="20"/>
        </w:rPr>
        <w:t>20</w:t>
      </w:r>
      <w:r w:rsidR="009B782F" w:rsidRPr="009B782F">
        <w:rPr>
          <w:vertAlign w:val="superscript"/>
        </w:rPr>
        <w:t>th</w:t>
      </w:r>
      <w:r w:rsidR="009B782F" w:rsidRPr="009B782F">
        <w:t xml:space="preserve"> </w:t>
      </w:r>
      <w:r w:rsidR="00AF66F2">
        <w:t>Octob</w:t>
      </w:r>
      <w:r w:rsidR="009B782F" w:rsidRPr="009B782F">
        <w:t>er 202</w:t>
      </w:r>
      <w:bookmarkEnd w:id="29"/>
      <w:r w:rsidR="009B782F" w:rsidRPr="009B782F">
        <w:t>8</w:t>
      </w:r>
      <w:r w:rsidR="009B782F">
        <w:rPr>
          <w:rFonts w:cs="Calibri"/>
          <w:szCs w:val="20"/>
        </w:rPr>
        <w:t xml:space="preserve">. </w:t>
      </w:r>
      <w:r w:rsidRPr="00966EF0">
        <w:rPr>
          <w:rFonts w:cs="Calibri"/>
          <w:szCs w:val="20"/>
        </w:rPr>
        <w:t>A management response to the TE recommendations will be posted to the ERC within six weeks of the TE report’s completion.</w:t>
      </w:r>
    </w:p>
    <w:p w14:paraId="419F15FC" w14:textId="77777777" w:rsidR="0071360F" w:rsidRPr="00966EF0" w:rsidRDefault="0071360F" w:rsidP="0071360F">
      <w:pPr>
        <w:spacing w:after="0"/>
        <w:rPr>
          <w:rFonts w:cs="Calibri"/>
          <w:szCs w:val="20"/>
          <w:u w:val="single"/>
        </w:rPr>
      </w:pPr>
    </w:p>
    <w:p w14:paraId="206F2D95" w14:textId="4D2ACF92" w:rsidR="0071360F" w:rsidRPr="00966EF0" w:rsidRDefault="0071360F" w:rsidP="0071360F">
      <w:pPr>
        <w:spacing w:after="0"/>
        <w:rPr>
          <w:rFonts w:cs="Calibri"/>
          <w:szCs w:val="20"/>
        </w:rPr>
      </w:pPr>
      <w:r w:rsidRPr="00966EF0">
        <w:rPr>
          <w:rFonts w:cs="Calibri"/>
          <w:szCs w:val="20"/>
          <w:u w:val="single"/>
        </w:rPr>
        <w:t>Final Report</w:t>
      </w:r>
      <w:r w:rsidRPr="00966EF0">
        <w:rPr>
          <w:rFonts w:cs="Calibri"/>
          <w:szCs w:val="20"/>
        </w:rPr>
        <w:t>:</w:t>
      </w:r>
      <w:r w:rsidR="009B782F">
        <w:rPr>
          <w:rFonts w:cs="Calibri"/>
          <w:szCs w:val="20"/>
        </w:rPr>
        <w:t xml:space="preserve"> </w:t>
      </w:r>
      <w:r w:rsidRPr="00966EF0">
        <w:rPr>
          <w:rFonts w:cs="Calibri"/>
          <w:szCs w:val="20"/>
        </w:rPr>
        <w:t xml:space="preserve">The project’s terminal GEF PIR along with the terminal evaluation (TE) report and corresponding management response will serve as the final project report package. The final project report package shall be discussed with the Project Board during an end-of-project review meeting to discuss lesson learned and opportunities for scaling up.    </w:t>
      </w:r>
    </w:p>
    <w:p w14:paraId="6434749C" w14:textId="77777777" w:rsidR="0071360F" w:rsidRPr="00966EF0" w:rsidRDefault="0071360F" w:rsidP="0071360F">
      <w:pPr>
        <w:spacing w:after="0"/>
        <w:rPr>
          <w:rFonts w:cs="Calibri"/>
          <w:szCs w:val="20"/>
        </w:rPr>
      </w:pPr>
    </w:p>
    <w:p w14:paraId="4B6A6973" w14:textId="77777777" w:rsidR="0071360F" w:rsidRPr="00966EF0" w:rsidRDefault="0071360F" w:rsidP="0071360F">
      <w:pPr>
        <w:spacing w:after="0"/>
        <w:rPr>
          <w:rFonts w:cs="Segoe UI"/>
          <w:color w:val="000000"/>
          <w:szCs w:val="20"/>
        </w:rPr>
      </w:pPr>
      <w:r w:rsidRPr="00966EF0">
        <w:rPr>
          <w:szCs w:val="20"/>
          <w:u w:val="single"/>
        </w:rPr>
        <w:t>Agreement on intellectual property rights and use of logo on the project’s deliverables and disclosure of information</w:t>
      </w:r>
      <w:r w:rsidRPr="00966EF0">
        <w:rPr>
          <w:b/>
          <w:szCs w:val="20"/>
        </w:rPr>
        <w:t xml:space="preserve">:  </w:t>
      </w:r>
      <w:r w:rsidRPr="00966EF0">
        <w:rPr>
          <w:szCs w:val="20"/>
        </w:rPr>
        <w:t>T</w:t>
      </w:r>
      <w:r w:rsidRPr="00966EF0">
        <w:rPr>
          <w:rFonts w:cs="Calibri"/>
          <w:szCs w:val="20"/>
        </w:rPr>
        <w:t>o accord proper acknowledgement to the GEF for providing grant funding, the GEF logo will appear together with the UNDP logo on all promotional materials, other written materials like publications developed by the project, and project hardware. Any citation on publications regarding projects funded by the GEF will also accord proper acknowledgement to the GEF. Information will be disclosed in accordance with relevant policies notably the UNDP Disclosure Policy</w:t>
      </w:r>
      <w:r w:rsidRPr="00966EF0">
        <w:rPr>
          <w:rFonts w:ascii="Arial" w:hAnsi="Arial"/>
          <w:sz w:val="18"/>
          <w:szCs w:val="20"/>
          <w:vertAlign w:val="superscript"/>
        </w:rPr>
        <w:footnoteReference w:id="72"/>
      </w:r>
      <w:r w:rsidRPr="00966EF0">
        <w:rPr>
          <w:rFonts w:cs="Calibri"/>
          <w:szCs w:val="20"/>
        </w:rPr>
        <w:t xml:space="preserve"> and</w:t>
      </w:r>
      <w:r w:rsidRPr="00966EF0">
        <w:rPr>
          <w:rFonts w:cs="Segoe UI"/>
          <w:color w:val="000000"/>
          <w:szCs w:val="20"/>
        </w:rPr>
        <w:t xml:space="preserve"> the GEF policy on public involvement</w:t>
      </w:r>
      <w:r w:rsidRPr="00966EF0">
        <w:rPr>
          <w:rFonts w:ascii="Arial" w:hAnsi="Arial"/>
          <w:color w:val="000000"/>
          <w:sz w:val="18"/>
          <w:szCs w:val="20"/>
          <w:vertAlign w:val="superscript"/>
        </w:rPr>
        <w:footnoteReference w:id="73"/>
      </w:r>
      <w:r w:rsidRPr="00966EF0">
        <w:rPr>
          <w:rFonts w:cs="Segoe UI"/>
          <w:color w:val="000000"/>
          <w:szCs w:val="20"/>
        </w:rPr>
        <w:t xml:space="preserve">. </w:t>
      </w:r>
    </w:p>
    <w:p w14:paraId="4C5C4661" w14:textId="77777777" w:rsidR="0071360F" w:rsidRPr="00966EF0" w:rsidRDefault="0071360F" w:rsidP="0071360F">
      <w:pPr>
        <w:spacing w:after="0"/>
        <w:rPr>
          <w:rFonts w:cs="Arial"/>
          <w:noProof/>
          <w:szCs w:val="20"/>
          <w:u w:val="single"/>
          <w:lang w:eastAsia="zh-CN"/>
        </w:rPr>
      </w:pPr>
    </w:p>
    <w:p w14:paraId="0B04DCC5" w14:textId="77777777" w:rsidR="0071360F" w:rsidRPr="00966EF0" w:rsidRDefault="0071360F" w:rsidP="0071360F">
      <w:pPr>
        <w:spacing w:after="0"/>
        <w:rPr>
          <w:rFonts w:cs="Calibri"/>
          <w:szCs w:val="20"/>
        </w:rPr>
      </w:pPr>
    </w:p>
    <w:p w14:paraId="1699D0A0" w14:textId="77777777" w:rsidR="0071360F" w:rsidRPr="00966EF0" w:rsidRDefault="0071360F" w:rsidP="0071360F">
      <w:pPr>
        <w:rPr>
          <w:lang w:val="en-GB"/>
        </w:rPr>
        <w:sectPr w:rsidR="0071360F" w:rsidRPr="00966EF0" w:rsidSect="006353F2">
          <w:headerReference w:type="default" r:id="rId34"/>
          <w:footerReference w:type="default" r:id="rId35"/>
          <w:pgSz w:w="12240" w:h="15840" w:code="1"/>
          <w:pgMar w:top="1440" w:right="1440" w:bottom="1440" w:left="1440" w:header="720" w:footer="432" w:gutter="0"/>
          <w:cols w:space="708"/>
          <w:titlePg/>
          <w:docGrid w:linePitch="360"/>
        </w:sectPr>
      </w:pPr>
    </w:p>
    <w:p w14:paraId="25E54997" w14:textId="77777777" w:rsidR="0071360F" w:rsidRPr="00966EF0" w:rsidRDefault="0071360F" w:rsidP="0071360F">
      <w:pPr>
        <w:spacing w:after="0"/>
        <w:rPr>
          <w:rFonts w:cs="Calibri"/>
          <w:szCs w:val="20"/>
        </w:rPr>
      </w:pPr>
      <w:bookmarkStart w:id="30" w:name="_Toc10449648"/>
      <w:r w:rsidRPr="00966EF0">
        <w:rPr>
          <w:b/>
          <w:bCs/>
        </w:rPr>
        <w:lastRenderedPageBreak/>
        <w:t>Monitoring Plan:</w:t>
      </w:r>
      <w:bookmarkEnd w:id="30"/>
      <w:r w:rsidRPr="00966EF0">
        <w:rPr>
          <w:b/>
          <w:bCs/>
        </w:rPr>
        <w:t xml:space="preserve">  </w:t>
      </w:r>
      <w:r w:rsidRPr="00966EF0">
        <w:rPr>
          <w:rFonts w:cs="Calibri"/>
          <w:szCs w:val="20"/>
        </w:rPr>
        <w:t xml:space="preserve"> The project results, corresponding indicators and mid-term and end-of-project targets in the project results framework will be monitored by the Project Management Unit annually, and will be reported in the GEF PIR every year, and will be evaluated periodically during project implementation. If baseline data for some of the results indicators is not yet available, it will be collected during the first year of project implementation. Project risks, as outlined in the risk register, will be monitored quarterly.</w:t>
      </w:r>
    </w:p>
    <w:p w14:paraId="04BEB201" w14:textId="77777777" w:rsidR="00302BFE" w:rsidRPr="0003763F" w:rsidRDefault="00302BFE" w:rsidP="00302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rPr>
          <w:rFonts w:cs="Calibri"/>
          <w:b/>
          <w:szCs w:val="20"/>
        </w:rPr>
      </w:pPr>
      <w:r w:rsidRPr="0003763F">
        <w:rPr>
          <w:rFonts w:cs="Calibri"/>
          <w:b/>
          <w:szCs w:val="20"/>
        </w:rPr>
        <w:t xml:space="preserve">Mandatory GEF M&amp;E Requirements and M&amp;E Budget:  </w:t>
      </w: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
        <w:gridCol w:w="3239"/>
        <w:gridCol w:w="2409"/>
        <w:gridCol w:w="1811"/>
        <w:gridCol w:w="1451"/>
        <w:gridCol w:w="1854"/>
      </w:tblGrid>
      <w:tr w:rsidR="00302BFE" w:rsidRPr="006E490C" w14:paraId="5FE10476" w14:textId="77777777" w:rsidTr="000E4F17">
        <w:trPr>
          <w:gridBefore w:val="1"/>
          <w:wBefore w:w="9" w:type="dxa"/>
          <w:tblHeader/>
          <w:jc w:val="center"/>
        </w:trPr>
        <w:tc>
          <w:tcPr>
            <w:tcW w:w="3239" w:type="dxa"/>
            <w:shd w:val="clear" w:color="auto" w:fill="BFBFBF"/>
          </w:tcPr>
          <w:p w14:paraId="22BF7AB3" w14:textId="77777777" w:rsidR="00302BFE" w:rsidRPr="006E490C" w:rsidRDefault="00302BFE" w:rsidP="00243B15">
            <w:pPr>
              <w:jc w:val="center"/>
              <w:rPr>
                <w:rFonts w:cs="Calibri"/>
                <w:b/>
                <w:szCs w:val="20"/>
              </w:rPr>
            </w:pPr>
            <w:r w:rsidRPr="006E490C">
              <w:rPr>
                <w:rFonts w:cs="Calibri"/>
                <w:b/>
                <w:szCs w:val="20"/>
              </w:rPr>
              <w:t>GEF M&amp;E requirements</w:t>
            </w:r>
          </w:p>
          <w:p w14:paraId="26D2F08F" w14:textId="77777777" w:rsidR="00302BFE" w:rsidRPr="006E490C" w:rsidRDefault="00302BFE" w:rsidP="00243B15">
            <w:pPr>
              <w:jc w:val="center"/>
              <w:rPr>
                <w:rFonts w:cs="Calibri"/>
                <w:b/>
                <w:szCs w:val="20"/>
              </w:rPr>
            </w:pPr>
          </w:p>
        </w:tc>
        <w:tc>
          <w:tcPr>
            <w:tcW w:w="2409" w:type="dxa"/>
            <w:vMerge w:val="restart"/>
            <w:shd w:val="clear" w:color="auto" w:fill="BFBFBF"/>
          </w:tcPr>
          <w:p w14:paraId="05635507" w14:textId="77777777" w:rsidR="00302BFE" w:rsidRPr="006E490C" w:rsidRDefault="00302BFE" w:rsidP="00243B15">
            <w:pPr>
              <w:jc w:val="center"/>
              <w:rPr>
                <w:rFonts w:cs="Calibri"/>
                <w:b/>
                <w:szCs w:val="20"/>
              </w:rPr>
            </w:pPr>
            <w:r w:rsidRPr="006E490C">
              <w:rPr>
                <w:rFonts w:cs="Calibri"/>
                <w:b/>
                <w:szCs w:val="20"/>
              </w:rPr>
              <w:t>Primary responsibility</w:t>
            </w:r>
          </w:p>
        </w:tc>
        <w:tc>
          <w:tcPr>
            <w:tcW w:w="3262" w:type="dxa"/>
            <w:gridSpan w:val="2"/>
            <w:shd w:val="clear" w:color="auto" w:fill="BFBFBF"/>
          </w:tcPr>
          <w:p w14:paraId="4EC18E10" w14:textId="77777777" w:rsidR="00302BFE" w:rsidRPr="006E490C" w:rsidRDefault="00302BFE" w:rsidP="00243B15">
            <w:pPr>
              <w:jc w:val="center"/>
              <w:rPr>
                <w:rFonts w:cs="Calibri"/>
                <w:b/>
                <w:szCs w:val="20"/>
              </w:rPr>
            </w:pPr>
            <w:r w:rsidRPr="006E490C">
              <w:rPr>
                <w:rFonts w:cs="Calibri"/>
                <w:b/>
                <w:szCs w:val="20"/>
              </w:rPr>
              <w:t>Indicative costs to be charged to the Project Budget</w:t>
            </w:r>
            <w:r w:rsidRPr="006E490C">
              <w:rPr>
                <w:rStyle w:val="Appelnotedebasdep"/>
                <w:b/>
                <w:szCs w:val="20"/>
              </w:rPr>
              <w:footnoteReference w:id="74"/>
            </w:r>
            <w:r w:rsidRPr="006E490C">
              <w:rPr>
                <w:rFonts w:cs="Calibri"/>
                <w:b/>
                <w:szCs w:val="20"/>
              </w:rPr>
              <w:t xml:space="preserve">  (US$)</w:t>
            </w:r>
          </w:p>
        </w:tc>
        <w:tc>
          <w:tcPr>
            <w:tcW w:w="1854" w:type="dxa"/>
            <w:vMerge w:val="restart"/>
            <w:shd w:val="clear" w:color="auto" w:fill="BFBFBF"/>
          </w:tcPr>
          <w:p w14:paraId="7273CF34" w14:textId="77777777" w:rsidR="00302BFE" w:rsidRPr="006E490C" w:rsidRDefault="00302BFE" w:rsidP="00243B15">
            <w:pPr>
              <w:jc w:val="center"/>
              <w:rPr>
                <w:rFonts w:cs="Calibri"/>
                <w:b/>
                <w:szCs w:val="20"/>
              </w:rPr>
            </w:pPr>
            <w:r w:rsidRPr="006E490C">
              <w:rPr>
                <w:rFonts w:cs="Calibri"/>
                <w:b/>
                <w:szCs w:val="20"/>
              </w:rPr>
              <w:t>Time frame</w:t>
            </w:r>
          </w:p>
        </w:tc>
      </w:tr>
      <w:tr w:rsidR="00302BFE" w:rsidRPr="006E490C" w14:paraId="579B25B8" w14:textId="77777777" w:rsidTr="000E4F17">
        <w:trPr>
          <w:tblHeader/>
          <w:jc w:val="center"/>
        </w:trPr>
        <w:tc>
          <w:tcPr>
            <w:tcW w:w="3248" w:type="dxa"/>
            <w:gridSpan w:val="2"/>
            <w:shd w:val="clear" w:color="auto" w:fill="BFBFBF"/>
          </w:tcPr>
          <w:p w14:paraId="56750566" w14:textId="77777777" w:rsidR="00302BFE" w:rsidRPr="006E490C" w:rsidRDefault="00302BFE" w:rsidP="00243B15">
            <w:pPr>
              <w:jc w:val="left"/>
              <w:rPr>
                <w:rFonts w:cs="Calibri"/>
                <w:b/>
                <w:szCs w:val="20"/>
              </w:rPr>
            </w:pPr>
          </w:p>
        </w:tc>
        <w:tc>
          <w:tcPr>
            <w:tcW w:w="2409" w:type="dxa"/>
            <w:vMerge/>
            <w:shd w:val="clear" w:color="auto" w:fill="BFBFBF"/>
          </w:tcPr>
          <w:p w14:paraId="625CEE6C" w14:textId="77777777" w:rsidR="00302BFE" w:rsidRPr="006E490C" w:rsidRDefault="00302BFE" w:rsidP="00243B15">
            <w:pPr>
              <w:jc w:val="left"/>
              <w:rPr>
                <w:rFonts w:cs="Calibri"/>
                <w:b/>
                <w:szCs w:val="20"/>
              </w:rPr>
            </w:pPr>
          </w:p>
        </w:tc>
        <w:tc>
          <w:tcPr>
            <w:tcW w:w="1811" w:type="dxa"/>
            <w:shd w:val="clear" w:color="auto" w:fill="BFBFBF"/>
          </w:tcPr>
          <w:p w14:paraId="2233934E" w14:textId="77777777" w:rsidR="00302BFE" w:rsidRPr="006E490C" w:rsidRDefault="00302BFE" w:rsidP="00243B15">
            <w:pPr>
              <w:jc w:val="left"/>
              <w:rPr>
                <w:rFonts w:cs="Calibri"/>
                <w:b/>
                <w:szCs w:val="20"/>
              </w:rPr>
            </w:pPr>
            <w:r w:rsidRPr="006E490C">
              <w:rPr>
                <w:rFonts w:cs="Calibri"/>
                <w:b/>
                <w:szCs w:val="20"/>
              </w:rPr>
              <w:t>GEF grant</w:t>
            </w:r>
          </w:p>
        </w:tc>
        <w:tc>
          <w:tcPr>
            <w:tcW w:w="1451" w:type="dxa"/>
            <w:shd w:val="clear" w:color="auto" w:fill="BFBFBF"/>
          </w:tcPr>
          <w:p w14:paraId="2FA6EAA8" w14:textId="77777777" w:rsidR="00302BFE" w:rsidRPr="006E490C" w:rsidRDefault="00302BFE" w:rsidP="00243B15">
            <w:pPr>
              <w:jc w:val="left"/>
              <w:rPr>
                <w:rFonts w:cs="Calibri"/>
                <w:b/>
                <w:szCs w:val="20"/>
              </w:rPr>
            </w:pPr>
            <w:r w:rsidRPr="006E490C">
              <w:rPr>
                <w:rFonts w:cs="Calibri"/>
                <w:b/>
                <w:szCs w:val="20"/>
              </w:rPr>
              <w:t>Co-financing</w:t>
            </w:r>
          </w:p>
        </w:tc>
        <w:tc>
          <w:tcPr>
            <w:tcW w:w="1854" w:type="dxa"/>
            <w:vMerge/>
            <w:shd w:val="clear" w:color="auto" w:fill="BFBFBF"/>
          </w:tcPr>
          <w:p w14:paraId="31850846" w14:textId="77777777" w:rsidR="00302BFE" w:rsidRPr="006E490C" w:rsidRDefault="00302BFE" w:rsidP="00243B15">
            <w:pPr>
              <w:jc w:val="left"/>
              <w:rPr>
                <w:rFonts w:cs="Calibri"/>
                <w:b/>
                <w:szCs w:val="20"/>
              </w:rPr>
            </w:pPr>
          </w:p>
        </w:tc>
      </w:tr>
      <w:tr w:rsidR="00302BFE" w:rsidRPr="006E490C" w14:paraId="45995150" w14:textId="77777777" w:rsidTr="000E4F17">
        <w:trPr>
          <w:gridBefore w:val="1"/>
          <w:wBefore w:w="9" w:type="dxa"/>
          <w:jc w:val="center"/>
        </w:trPr>
        <w:tc>
          <w:tcPr>
            <w:tcW w:w="3239" w:type="dxa"/>
          </w:tcPr>
          <w:p w14:paraId="7602D7D6" w14:textId="77777777" w:rsidR="00302BFE" w:rsidRPr="006E490C" w:rsidRDefault="00302BFE" w:rsidP="00243B15">
            <w:pPr>
              <w:jc w:val="left"/>
              <w:rPr>
                <w:rFonts w:cs="Calibri"/>
                <w:b/>
                <w:sz w:val="18"/>
                <w:szCs w:val="18"/>
              </w:rPr>
            </w:pPr>
            <w:r w:rsidRPr="006E490C">
              <w:rPr>
                <w:rFonts w:cs="Calibri"/>
                <w:b/>
                <w:sz w:val="18"/>
                <w:szCs w:val="18"/>
              </w:rPr>
              <w:t xml:space="preserve">Inception Workshop </w:t>
            </w:r>
          </w:p>
        </w:tc>
        <w:tc>
          <w:tcPr>
            <w:tcW w:w="2409" w:type="dxa"/>
          </w:tcPr>
          <w:p w14:paraId="661F1E55" w14:textId="77777777" w:rsidR="00302BFE" w:rsidRPr="006E490C" w:rsidRDefault="00302BFE" w:rsidP="00243B15">
            <w:pPr>
              <w:jc w:val="left"/>
              <w:rPr>
                <w:rFonts w:cs="Calibri"/>
                <w:sz w:val="18"/>
                <w:szCs w:val="18"/>
              </w:rPr>
            </w:pPr>
            <w:r w:rsidRPr="006E490C">
              <w:rPr>
                <w:rFonts w:cs="Calibri"/>
                <w:sz w:val="18"/>
                <w:szCs w:val="18"/>
              </w:rPr>
              <w:t xml:space="preserve">UNDP Country Office </w:t>
            </w:r>
          </w:p>
        </w:tc>
        <w:tc>
          <w:tcPr>
            <w:tcW w:w="1811" w:type="dxa"/>
          </w:tcPr>
          <w:p w14:paraId="52DB8ACE" w14:textId="77777777" w:rsidR="00302BFE" w:rsidRPr="006E490C" w:rsidRDefault="00302BFE" w:rsidP="00243B15">
            <w:pPr>
              <w:jc w:val="left"/>
              <w:rPr>
                <w:rFonts w:cs="Calibri"/>
                <w:sz w:val="18"/>
                <w:szCs w:val="18"/>
              </w:rPr>
            </w:pPr>
            <w:r w:rsidRPr="006E490C">
              <w:rPr>
                <w:rFonts w:cs="Calibri"/>
                <w:sz w:val="18"/>
                <w:szCs w:val="18"/>
              </w:rPr>
              <w:t>USD 5,000</w:t>
            </w:r>
          </w:p>
        </w:tc>
        <w:tc>
          <w:tcPr>
            <w:tcW w:w="1451" w:type="dxa"/>
          </w:tcPr>
          <w:p w14:paraId="4B68D834" w14:textId="77777777" w:rsidR="00302BFE" w:rsidRPr="006E490C" w:rsidRDefault="00302BFE" w:rsidP="00243B15">
            <w:pPr>
              <w:jc w:val="left"/>
              <w:rPr>
                <w:rFonts w:cs="Calibri"/>
                <w:sz w:val="18"/>
                <w:szCs w:val="18"/>
              </w:rPr>
            </w:pPr>
            <w:r w:rsidRPr="006E490C">
              <w:rPr>
                <w:rFonts w:cs="Calibri"/>
                <w:sz w:val="18"/>
                <w:szCs w:val="18"/>
              </w:rPr>
              <w:t>USD 3,500</w:t>
            </w:r>
          </w:p>
        </w:tc>
        <w:tc>
          <w:tcPr>
            <w:tcW w:w="1854" w:type="dxa"/>
          </w:tcPr>
          <w:p w14:paraId="103B14CA" w14:textId="77777777" w:rsidR="00302BFE" w:rsidRPr="006E490C" w:rsidRDefault="00302BFE" w:rsidP="00243B15">
            <w:pPr>
              <w:jc w:val="left"/>
              <w:rPr>
                <w:rFonts w:cs="Calibri"/>
                <w:sz w:val="18"/>
                <w:szCs w:val="18"/>
              </w:rPr>
            </w:pPr>
            <w:r w:rsidRPr="006E490C">
              <w:rPr>
                <w:rFonts w:cs="Calibri"/>
                <w:sz w:val="18"/>
                <w:szCs w:val="18"/>
              </w:rPr>
              <w:t xml:space="preserve">Within two months of project document signature </w:t>
            </w:r>
          </w:p>
        </w:tc>
      </w:tr>
      <w:tr w:rsidR="00302BFE" w:rsidRPr="006E490C" w14:paraId="28A9A3E6" w14:textId="77777777" w:rsidTr="000E4F17">
        <w:trPr>
          <w:gridBefore w:val="1"/>
          <w:wBefore w:w="9" w:type="dxa"/>
          <w:jc w:val="center"/>
        </w:trPr>
        <w:tc>
          <w:tcPr>
            <w:tcW w:w="3239" w:type="dxa"/>
          </w:tcPr>
          <w:p w14:paraId="25D1524A" w14:textId="77777777" w:rsidR="00302BFE" w:rsidRPr="006E490C" w:rsidRDefault="00302BFE" w:rsidP="00243B15">
            <w:pPr>
              <w:jc w:val="left"/>
              <w:rPr>
                <w:rFonts w:cs="Calibri"/>
                <w:b/>
                <w:sz w:val="18"/>
                <w:szCs w:val="18"/>
              </w:rPr>
            </w:pPr>
            <w:r w:rsidRPr="006E490C">
              <w:rPr>
                <w:rFonts w:cs="Calibri"/>
                <w:b/>
                <w:sz w:val="18"/>
                <w:szCs w:val="18"/>
              </w:rPr>
              <w:t>Inception Report</w:t>
            </w:r>
          </w:p>
        </w:tc>
        <w:tc>
          <w:tcPr>
            <w:tcW w:w="2409" w:type="dxa"/>
          </w:tcPr>
          <w:p w14:paraId="6A4EADC2" w14:textId="77777777" w:rsidR="00302BFE" w:rsidRPr="006E490C" w:rsidRDefault="00302BFE" w:rsidP="00243B15">
            <w:pPr>
              <w:jc w:val="left"/>
              <w:rPr>
                <w:rFonts w:cs="Calibri"/>
                <w:sz w:val="18"/>
                <w:szCs w:val="18"/>
              </w:rPr>
            </w:pPr>
            <w:r w:rsidRPr="006E490C">
              <w:rPr>
                <w:rFonts w:cs="Calibri"/>
                <w:sz w:val="18"/>
                <w:szCs w:val="18"/>
              </w:rPr>
              <w:t>Project Manager</w:t>
            </w:r>
          </w:p>
        </w:tc>
        <w:tc>
          <w:tcPr>
            <w:tcW w:w="1811" w:type="dxa"/>
          </w:tcPr>
          <w:p w14:paraId="676CD340" w14:textId="77777777" w:rsidR="00302BFE" w:rsidRPr="006E490C" w:rsidRDefault="00302BFE" w:rsidP="00243B15">
            <w:pPr>
              <w:jc w:val="left"/>
              <w:rPr>
                <w:rFonts w:cs="Calibri"/>
                <w:sz w:val="18"/>
                <w:szCs w:val="18"/>
              </w:rPr>
            </w:pPr>
            <w:r w:rsidRPr="006E490C">
              <w:rPr>
                <w:rFonts w:cs="Calibri"/>
                <w:sz w:val="18"/>
                <w:szCs w:val="18"/>
              </w:rPr>
              <w:t>None</w:t>
            </w:r>
          </w:p>
        </w:tc>
        <w:tc>
          <w:tcPr>
            <w:tcW w:w="1451" w:type="dxa"/>
          </w:tcPr>
          <w:p w14:paraId="54F12E0B" w14:textId="77777777" w:rsidR="00302BFE" w:rsidRPr="006E490C" w:rsidRDefault="00302BFE" w:rsidP="00243B15">
            <w:pPr>
              <w:jc w:val="left"/>
              <w:rPr>
                <w:rFonts w:cs="Calibri"/>
                <w:sz w:val="18"/>
                <w:szCs w:val="18"/>
              </w:rPr>
            </w:pPr>
            <w:r w:rsidRPr="006E490C">
              <w:rPr>
                <w:rFonts w:cs="Calibri"/>
                <w:sz w:val="18"/>
                <w:szCs w:val="18"/>
              </w:rPr>
              <w:t>None</w:t>
            </w:r>
          </w:p>
        </w:tc>
        <w:tc>
          <w:tcPr>
            <w:tcW w:w="1854" w:type="dxa"/>
          </w:tcPr>
          <w:p w14:paraId="43803623" w14:textId="77777777" w:rsidR="00302BFE" w:rsidRPr="006E490C" w:rsidRDefault="00302BFE" w:rsidP="00243B15">
            <w:pPr>
              <w:jc w:val="left"/>
              <w:rPr>
                <w:rFonts w:cs="Calibri"/>
                <w:sz w:val="18"/>
                <w:szCs w:val="18"/>
              </w:rPr>
            </w:pPr>
            <w:r w:rsidRPr="006E490C">
              <w:rPr>
                <w:rFonts w:cs="Calibri"/>
                <w:sz w:val="18"/>
                <w:szCs w:val="18"/>
              </w:rPr>
              <w:t>Within two weeks of inception workshop</w:t>
            </w:r>
          </w:p>
        </w:tc>
      </w:tr>
      <w:tr w:rsidR="00302BFE" w:rsidRPr="006E490C" w14:paraId="11F2C734" w14:textId="77777777" w:rsidTr="000E4F17">
        <w:trPr>
          <w:gridBefore w:val="1"/>
          <w:wBefore w:w="9" w:type="dxa"/>
          <w:jc w:val="center"/>
        </w:trPr>
        <w:tc>
          <w:tcPr>
            <w:tcW w:w="3239" w:type="dxa"/>
          </w:tcPr>
          <w:p w14:paraId="0F017777" w14:textId="77777777" w:rsidR="00302BFE" w:rsidRPr="006E490C" w:rsidRDefault="00302BFE" w:rsidP="00243B15">
            <w:pPr>
              <w:jc w:val="left"/>
              <w:rPr>
                <w:rFonts w:cs="Calibri"/>
                <w:b/>
                <w:sz w:val="18"/>
                <w:szCs w:val="18"/>
              </w:rPr>
            </w:pPr>
            <w:r w:rsidRPr="006E490C">
              <w:rPr>
                <w:rFonts w:cs="Calibri"/>
                <w:b/>
                <w:sz w:val="18"/>
                <w:szCs w:val="18"/>
              </w:rPr>
              <w:t xml:space="preserve">Standard UNDP monitoring and reporting requirements as outlined in the UNDP POPP </w:t>
            </w:r>
          </w:p>
        </w:tc>
        <w:tc>
          <w:tcPr>
            <w:tcW w:w="2409" w:type="dxa"/>
          </w:tcPr>
          <w:p w14:paraId="4650B997" w14:textId="77777777" w:rsidR="00302BFE" w:rsidRPr="006E490C" w:rsidRDefault="00302BFE" w:rsidP="00243B15">
            <w:pPr>
              <w:jc w:val="left"/>
              <w:rPr>
                <w:rFonts w:cs="Calibri"/>
                <w:sz w:val="18"/>
                <w:szCs w:val="18"/>
              </w:rPr>
            </w:pPr>
            <w:r w:rsidRPr="006E490C">
              <w:rPr>
                <w:rFonts w:cs="Calibri"/>
                <w:sz w:val="18"/>
                <w:szCs w:val="18"/>
              </w:rPr>
              <w:t>UNDP Country Office</w:t>
            </w:r>
          </w:p>
          <w:p w14:paraId="21ECB9E3" w14:textId="77777777" w:rsidR="00302BFE" w:rsidRPr="006E490C" w:rsidRDefault="00302BFE" w:rsidP="00243B15">
            <w:pPr>
              <w:jc w:val="left"/>
              <w:rPr>
                <w:rFonts w:cs="Calibri"/>
                <w:b/>
                <w:sz w:val="18"/>
                <w:szCs w:val="18"/>
              </w:rPr>
            </w:pPr>
          </w:p>
        </w:tc>
        <w:tc>
          <w:tcPr>
            <w:tcW w:w="1811" w:type="dxa"/>
          </w:tcPr>
          <w:p w14:paraId="11A3FFC0" w14:textId="77777777" w:rsidR="00302BFE" w:rsidRPr="006E490C" w:rsidRDefault="00302BFE" w:rsidP="00243B15">
            <w:pPr>
              <w:jc w:val="left"/>
              <w:rPr>
                <w:rFonts w:cs="Calibri"/>
                <w:sz w:val="18"/>
                <w:szCs w:val="18"/>
              </w:rPr>
            </w:pPr>
            <w:r w:rsidRPr="006E490C">
              <w:rPr>
                <w:rFonts w:cs="Calibri"/>
                <w:sz w:val="18"/>
                <w:szCs w:val="18"/>
              </w:rPr>
              <w:t>None</w:t>
            </w:r>
          </w:p>
        </w:tc>
        <w:tc>
          <w:tcPr>
            <w:tcW w:w="1451" w:type="dxa"/>
          </w:tcPr>
          <w:p w14:paraId="5B972AC3" w14:textId="77777777" w:rsidR="00302BFE" w:rsidRPr="006E490C" w:rsidRDefault="00302BFE" w:rsidP="00243B15">
            <w:pPr>
              <w:jc w:val="left"/>
              <w:rPr>
                <w:rFonts w:cs="Calibri"/>
                <w:sz w:val="18"/>
                <w:szCs w:val="18"/>
              </w:rPr>
            </w:pPr>
            <w:r w:rsidRPr="006E490C">
              <w:rPr>
                <w:rFonts w:cs="Calibri"/>
                <w:sz w:val="18"/>
                <w:szCs w:val="18"/>
              </w:rPr>
              <w:t>None</w:t>
            </w:r>
          </w:p>
        </w:tc>
        <w:tc>
          <w:tcPr>
            <w:tcW w:w="1854" w:type="dxa"/>
          </w:tcPr>
          <w:p w14:paraId="515055A7" w14:textId="77777777" w:rsidR="00302BFE" w:rsidRPr="006E490C" w:rsidRDefault="00302BFE" w:rsidP="00243B15">
            <w:pPr>
              <w:jc w:val="left"/>
              <w:rPr>
                <w:rFonts w:cs="Calibri"/>
                <w:sz w:val="18"/>
                <w:szCs w:val="18"/>
              </w:rPr>
            </w:pPr>
            <w:r w:rsidRPr="006E490C">
              <w:rPr>
                <w:rFonts w:cs="Calibri"/>
                <w:sz w:val="18"/>
                <w:szCs w:val="18"/>
              </w:rPr>
              <w:t>Quarterly, annually</w:t>
            </w:r>
          </w:p>
        </w:tc>
      </w:tr>
      <w:tr w:rsidR="00302BFE" w:rsidRPr="006E490C" w14:paraId="1838813A" w14:textId="77777777" w:rsidTr="000E4F17">
        <w:trPr>
          <w:gridBefore w:val="1"/>
          <w:wBefore w:w="9" w:type="dxa"/>
          <w:jc w:val="center"/>
        </w:trPr>
        <w:tc>
          <w:tcPr>
            <w:tcW w:w="3239" w:type="dxa"/>
          </w:tcPr>
          <w:p w14:paraId="29D0E012" w14:textId="77777777" w:rsidR="00302BFE" w:rsidRPr="006E490C" w:rsidRDefault="00302BFE" w:rsidP="00243B15">
            <w:pPr>
              <w:jc w:val="left"/>
              <w:rPr>
                <w:rFonts w:cs="Calibri"/>
                <w:b/>
                <w:sz w:val="18"/>
                <w:szCs w:val="18"/>
              </w:rPr>
            </w:pPr>
            <w:r w:rsidRPr="006E490C">
              <w:rPr>
                <w:rFonts w:cs="Calibri"/>
                <w:b/>
                <w:sz w:val="18"/>
                <w:szCs w:val="18"/>
              </w:rPr>
              <w:t>Risk management</w:t>
            </w:r>
          </w:p>
        </w:tc>
        <w:tc>
          <w:tcPr>
            <w:tcW w:w="2409" w:type="dxa"/>
          </w:tcPr>
          <w:p w14:paraId="4D30E5A2" w14:textId="77777777" w:rsidR="00302BFE" w:rsidRPr="006E490C" w:rsidRDefault="00302BFE" w:rsidP="00243B15">
            <w:pPr>
              <w:jc w:val="left"/>
              <w:rPr>
                <w:rFonts w:cs="Calibri"/>
                <w:sz w:val="18"/>
                <w:szCs w:val="18"/>
              </w:rPr>
            </w:pPr>
            <w:r w:rsidRPr="006E490C">
              <w:rPr>
                <w:rFonts w:cs="Calibri"/>
                <w:sz w:val="18"/>
                <w:szCs w:val="18"/>
              </w:rPr>
              <w:t>Project Manager</w:t>
            </w:r>
          </w:p>
          <w:p w14:paraId="67E6628C" w14:textId="77777777" w:rsidR="00302BFE" w:rsidRPr="006E490C" w:rsidRDefault="00302BFE" w:rsidP="00243B15">
            <w:pPr>
              <w:jc w:val="left"/>
              <w:rPr>
                <w:rFonts w:cs="Calibri"/>
                <w:sz w:val="18"/>
                <w:szCs w:val="18"/>
              </w:rPr>
            </w:pPr>
            <w:r w:rsidRPr="006E490C">
              <w:rPr>
                <w:rFonts w:cs="Calibri"/>
                <w:sz w:val="18"/>
                <w:szCs w:val="18"/>
              </w:rPr>
              <w:t>Country Office</w:t>
            </w:r>
          </w:p>
        </w:tc>
        <w:tc>
          <w:tcPr>
            <w:tcW w:w="1811" w:type="dxa"/>
          </w:tcPr>
          <w:p w14:paraId="0C5F87E1" w14:textId="77777777" w:rsidR="00302BFE" w:rsidRPr="006E490C" w:rsidRDefault="00302BFE" w:rsidP="00243B15">
            <w:pPr>
              <w:jc w:val="left"/>
              <w:rPr>
                <w:rFonts w:cs="Calibri"/>
                <w:sz w:val="18"/>
                <w:szCs w:val="18"/>
              </w:rPr>
            </w:pPr>
            <w:r w:rsidRPr="006E490C">
              <w:rPr>
                <w:rFonts w:cs="Calibri"/>
                <w:sz w:val="18"/>
                <w:szCs w:val="18"/>
              </w:rPr>
              <w:t>None</w:t>
            </w:r>
          </w:p>
        </w:tc>
        <w:tc>
          <w:tcPr>
            <w:tcW w:w="1451" w:type="dxa"/>
          </w:tcPr>
          <w:p w14:paraId="47EC6F3F" w14:textId="77777777" w:rsidR="00302BFE" w:rsidRPr="006E490C" w:rsidRDefault="00302BFE" w:rsidP="00243B15">
            <w:pPr>
              <w:jc w:val="left"/>
              <w:rPr>
                <w:rFonts w:cs="Calibri"/>
                <w:sz w:val="18"/>
                <w:szCs w:val="18"/>
              </w:rPr>
            </w:pPr>
            <w:r w:rsidRPr="006E490C">
              <w:rPr>
                <w:rFonts w:cs="Calibri"/>
                <w:sz w:val="18"/>
                <w:szCs w:val="18"/>
              </w:rPr>
              <w:t>None</w:t>
            </w:r>
          </w:p>
        </w:tc>
        <w:tc>
          <w:tcPr>
            <w:tcW w:w="1854" w:type="dxa"/>
          </w:tcPr>
          <w:p w14:paraId="547499AE" w14:textId="77777777" w:rsidR="00302BFE" w:rsidRPr="006E490C" w:rsidRDefault="00302BFE" w:rsidP="00243B15">
            <w:pPr>
              <w:jc w:val="left"/>
              <w:rPr>
                <w:rFonts w:cs="Calibri"/>
                <w:sz w:val="18"/>
                <w:szCs w:val="18"/>
              </w:rPr>
            </w:pPr>
            <w:r w:rsidRPr="006E490C">
              <w:rPr>
                <w:rFonts w:cs="Calibri"/>
                <w:sz w:val="18"/>
                <w:szCs w:val="18"/>
              </w:rPr>
              <w:t>Quarterly, annually</w:t>
            </w:r>
          </w:p>
        </w:tc>
      </w:tr>
      <w:tr w:rsidR="00302BFE" w:rsidRPr="006E490C" w14:paraId="14D6A6D4" w14:textId="77777777" w:rsidTr="000E4F17">
        <w:trPr>
          <w:gridBefore w:val="1"/>
          <w:wBefore w:w="9" w:type="dxa"/>
          <w:jc w:val="center"/>
        </w:trPr>
        <w:tc>
          <w:tcPr>
            <w:tcW w:w="3239" w:type="dxa"/>
          </w:tcPr>
          <w:p w14:paraId="4AC25FD1" w14:textId="77777777" w:rsidR="00302BFE" w:rsidRPr="006E490C" w:rsidRDefault="00302BFE" w:rsidP="00243B15">
            <w:pPr>
              <w:jc w:val="left"/>
              <w:rPr>
                <w:rFonts w:cs="Calibri"/>
                <w:b/>
                <w:sz w:val="18"/>
                <w:szCs w:val="18"/>
              </w:rPr>
            </w:pPr>
            <w:r w:rsidRPr="006E490C">
              <w:rPr>
                <w:rFonts w:cs="Calibri"/>
                <w:b/>
                <w:sz w:val="18"/>
                <w:szCs w:val="18"/>
              </w:rPr>
              <w:t>Monitoring of indicators in project results framework</w:t>
            </w:r>
          </w:p>
        </w:tc>
        <w:tc>
          <w:tcPr>
            <w:tcW w:w="2409" w:type="dxa"/>
          </w:tcPr>
          <w:p w14:paraId="1DE2B549" w14:textId="77777777" w:rsidR="00302BFE" w:rsidRPr="006E490C" w:rsidRDefault="00302BFE" w:rsidP="00243B15">
            <w:pPr>
              <w:jc w:val="left"/>
              <w:rPr>
                <w:rFonts w:cs="Calibri"/>
                <w:sz w:val="18"/>
                <w:szCs w:val="18"/>
              </w:rPr>
            </w:pPr>
            <w:r w:rsidRPr="006E490C">
              <w:rPr>
                <w:rFonts w:cs="Calibri"/>
                <w:sz w:val="18"/>
                <w:szCs w:val="18"/>
              </w:rPr>
              <w:t>Project Manager</w:t>
            </w:r>
          </w:p>
          <w:p w14:paraId="1D517BA0" w14:textId="77777777" w:rsidR="00302BFE" w:rsidRPr="006E490C" w:rsidRDefault="00302BFE" w:rsidP="00243B15">
            <w:pPr>
              <w:jc w:val="left"/>
              <w:rPr>
                <w:rFonts w:cs="Calibri"/>
                <w:sz w:val="18"/>
                <w:szCs w:val="18"/>
              </w:rPr>
            </w:pPr>
            <w:r w:rsidRPr="006E490C">
              <w:rPr>
                <w:rFonts w:cs="Calibri"/>
                <w:sz w:val="18"/>
                <w:szCs w:val="18"/>
              </w:rPr>
              <w:t>M&amp;E/Safeguards expert</w:t>
            </w:r>
          </w:p>
        </w:tc>
        <w:tc>
          <w:tcPr>
            <w:tcW w:w="1811" w:type="dxa"/>
          </w:tcPr>
          <w:p w14:paraId="5A007540" w14:textId="77777777" w:rsidR="00302BFE" w:rsidRPr="006E490C" w:rsidRDefault="00302BFE" w:rsidP="00243B15">
            <w:pPr>
              <w:pStyle w:val="BodyText23"/>
              <w:widowControl/>
              <w:tabs>
                <w:tab w:val="clear" w:pos="547"/>
              </w:tabs>
              <w:spacing w:after="60"/>
              <w:rPr>
                <w:rFonts w:ascii="Calibri" w:hAnsi="Calibri" w:cs="Calibri"/>
                <w:snapToGrid/>
                <w:sz w:val="18"/>
                <w:szCs w:val="18"/>
                <w:lang w:val="en-GB"/>
              </w:rPr>
            </w:pPr>
            <w:r w:rsidRPr="006E490C">
              <w:rPr>
                <w:rFonts w:ascii="Calibri" w:hAnsi="Calibri" w:cs="Calibri"/>
                <w:snapToGrid/>
                <w:sz w:val="18"/>
                <w:szCs w:val="18"/>
                <w:lang w:val="en-GB"/>
              </w:rPr>
              <w:t>Paid through Components 1, 2, 3 and 4</w:t>
            </w:r>
          </w:p>
        </w:tc>
        <w:tc>
          <w:tcPr>
            <w:tcW w:w="1451" w:type="dxa"/>
          </w:tcPr>
          <w:p w14:paraId="5E9F0711" w14:textId="77777777" w:rsidR="00302BFE" w:rsidRPr="006E490C" w:rsidRDefault="00302BFE" w:rsidP="00243B15">
            <w:pPr>
              <w:pStyle w:val="BodyText23"/>
              <w:widowControl/>
              <w:tabs>
                <w:tab w:val="clear" w:pos="547"/>
              </w:tabs>
              <w:rPr>
                <w:rFonts w:ascii="Calibri" w:hAnsi="Calibri" w:cs="Calibri"/>
                <w:sz w:val="18"/>
                <w:szCs w:val="18"/>
              </w:rPr>
            </w:pPr>
            <w:r w:rsidRPr="006E490C">
              <w:rPr>
                <w:rFonts w:ascii="Calibri" w:hAnsi="Calibri" w:cs="Calibri"/>
                <w:sz w:val="18"/>
                <w:szCs w:val="18"/>
              </w:rPr>
              <w:t>USD 5,000</w:t>
            </w:r>
          </w:p>
          <w:p w14:paraId="15DF09D2" w14:textId="77777777" w:rsidR="00302BFE" w:rsidRPr="006E490C" w:rsidRDefault="00302BFE" w:rsidP="00243B15">
            <w:pPr>
              <w:pStyle w:val="BodyText23"/>
              <w:widowControl/>
              <w:tabs>
                <w:tab w:val="clear" w:pos="547"/>
              </w:tabs>
              <w:rPr>
                <w:rFonts w:ascii="Calibri" w:hAnsi="Calibri" w:cs="Calibri"/>
                <w:snapToGrid/>
                <w:sz w:val="18"/>
                <w:szCs w:val="18"/>
                <w:lang w:val="en-GB"/>
              </w:rPr>
            </w:pPr>
            <w:r w:rsidRPr="006E490C">
              <w:rPr>
                <w:rFonts w:ascii="Calibri" w:hAnsi="Calibri" w:cs="Calibri"/>
                <w:sz w:val="18"/>
                <w:szCs w:val="18"/>
              </w:rPr>
              <w:t>(</w:t>
            </w:r>
            <w:r w:rsidRPr="006E490C">
              <w:rPr>
                <w:rFonts w:ascii="Calibri" w:hAnsi="Calibri" w:cs="Calibri"/>
                <w:sz w:val="16"/>
                <w:szCs w:val="16"/>
              </w:rPr>
              <w:t>Gov. contribution /staff time)</w:t>
            </w:r>
          </w:p>
        </w:tc>
        <w:tc>
          <w:tcPr>
            <w:tcW w:w="1854" w:type="dxa"/>
          </w:tcPr>
          <w:p w14:paraId="28886D52" w14:textId="77777777" w:rsidR="00302BFE" w:rsidRPr="006E490C" w:rsidRDefault="00302BFE" w:rsidP="00243B15">
            <w:pPr>
              <w:jc w:val="left"/>
              <w:rPr>
                <w:rFonts w:cs="Calibri"/>
                <w:sz w:val="18"/>
                <w:szCs w:val="18"/>
              </w:rPr>
            </w:pPr>
            <w:r w:rsidRPr="006E490C">
              <w:rPr>
                <w:rFonts w:cs="Calibri"/>
                <w:sz w:val="18"/>
                <w:szCs w:val="18"/>
              </w:rPr>
              <w:t>Annually before PIR</w:t>
            </w:r>
          </w:p>
        </w:tc>
      </w:tr>
      <w:tr w:rsidR="00302BFE" w:rsidRPr="006E490C" w14:paraId="111CD719" w14:textId="77777777" w:rsidTr="000E4F17">
        <w:trPr>
          <w:gridBefore w:val="1"/>
          <w:wBefore w:w="9" w:type="dxa"/>
          <w:jc w:val="center"/>
        </w:trPr>
        <w:tc>
          <w:tcPr>
            <w:tcW w:w="3239" w:type="dxa"/>
          </w:tcPr>
          <w:p w14:paraId="09CAC3CC" w14:textId="77777777" w:rsidR="00302BFE" w:rsidRPr="006E490C" w:rsidRDefault="00302BFE" w:rsidP="00243B15">
            <w:pPr>
              <w:jc w:val="left"/>
              <w:rPr>
                <w:rFonts w:cs="Calibri"/>
                <w:b/>
                <w:sz w:val="18"/>
                <w:szCs w:val="18"/>
              </w:rPr>
            </w:pPr>
            <w:r w:rsidRPr="006E490C">
              <w:rPr>
                <w:rFonts w:cs="Calibri"/>
                <w:b/>
                <w:sz w:val="18"/>
                <w:szCs w:val="18"/>
              </w:rPr>
              <w:t xml:space="preserve">GEF Project Implementation Report (PIR) </w:t>
            </w:r>
          </w:p>
        </w:tc>
        <w:tc>
          <w:tcPr>
            <w:tcW w:w="2409" w:type="dxa"/>
          </w:tcPr>
          <w:p w14:paraId="42C6261A" w14:textId="77777777" w:rsidR="00302BFE" w:rsidRPr="006E490C" w:rsidRDefault="00302BFE" w:rsidP="00243B15">
            <w:pPr>
              <w:jc w:val="left"/>
              <w:rPr>
                <w:rFonts w:cs="Calibri"/>
                <w:sz w:val="18"/>
                <w:szCs w:val="18"/>
              </w:rPr>
            </w:pPr>
            <w:r w:rsidRPr="006E490C">
              <w:rPr>
                <w:rFonts w:cs="Calibri"/>
                <w:sz w:val="18"/>
                <w:szCs w:val="18"/>
              </w:rPr>
              <w:t>Project Manager and UNDP Country Office and UNDP-GEF team</w:t>
            </w:r>
          </w:p>
        </w:tc>
        <w:tc>
          <w:tcPr>
            <w:tcW w:w="1811" w:type="dxa"/>
          </w:tcPr>
          <w:p w14:paraId="46B087BD" w14:textId="77777777" w:rsidR="00302BFE" w:rsidRPr="006E490C" w:rsidRDefault="00302BFE" w:rsidP="00243B15">
            <w:pPr>
              <w:pStyle w:val="BodyText23"/>
              <w:widowControl/>
              <w:tabs>
                <w:tab w:val="clear" w:pos="547"/>
              </w:tabs>
              <w:spacing w:after="60"/>
              <w:rPr>
                <w:rFonts w:ascii="Calibri" w:hAnsi="Calibri" w:cs="Calibri"/>
                <w:snapToGrid/>
                <w:sz w:val="18"/>
                <w:szCs w:val="18"/>
                <w:lang w:val="en-GB"/>
              </w:rPr>
            </w:pPr>
            <w:r w:rsidRPr="006E490C">
              <w:rPr>
                <w:rFonts w:ascii="Calibri" w:hAnsi="Calibri" w:cs="Calibri"/>
                <w:snapToGrid/>
                <w:sz w:val="18"/>
                <w:szCs w:val="18"/>
                <w:lang w:val="en-GB"/>
              </w:rPr>
              <w:t>None</w:t>
            </w:r>
          </w:p>
        </w:tc>
        <w:tc>
          <w:tcPr>
            <w:tcW w:w="1451" w:type="dxa"/>
          </w:tcPr>
          <w:p w14:paraId="7D5444C2" w14:textId="77777777" w:rsidR="00302BFE" w:rsidRPr="006E490C" w:rsidRDefault="00302BFE" w:rsidP="00243B15">
            <w:pPr>
              <w:pStyle w:val="BodyText23"/>
              <w:widowControl/>
              <w:tabs>
                <w:tab w:val="clear" w:pos="547"/>
              </w:tabs>
              <w:spacing w:after="60"/>
              <w:rPr>
                <w:rFonts w:ascii="Calibri" w:hAnsi="Calibri" w:cs="Calibri"/>
                <w:snapToGrid/>
                <w:sz w:val="18"/>
                <w:szCs w:val="18"/>
                <w:lang w:val="en-GB"/>
              </w:rPr>
            </w:pPr>
            <w:r w:rsidRPr="006E490C">
              <w:rPr>
                <w:rFonts w:ascii="Calibri" w:hAnsi="Calibri" w:cs="Calibri"/>
                <w:snapToGrid/>
                <w:sz w:val="18"/>
                <w:szCs w:val="18"/>
                <w:lang w:val="en-GB"/>
              </w:rPr>
              <w:t>None</w:t>
            </w:r>
          </w:p>
        </w:tc>
        <w:tc>
          <w:tcPr>
            <w:tcW w:w="1854" w:type="dxa"/>
          </w:tcPr>
          <w:p w14:paraId="24DEC448" w14:textId="77777777" w:rsidR="00302BFE" w:rsidRPr="006E490C" w:rsidRDefault="00302BFE" w:rsidP="00243B15">
            <w:pPr>
              <w:jc w:val="left"/>
              <w:rPr>
                <w:rFonts w:cs="Calibri"/>
                <w:sz w:val="18"/>
                <w:szCs w:val="18"/>
              </w:rPr>
            </w:pPr>
            <w:r w:rsidRPr="006E490C">
              <w:rPr>
                <w:rFonts w:cs="Calibri"/>
                <w:sz w:val="18"/>
                <w:szCs w:val="18"/>
              </w:rPr>
              <w:t xml:space="preserve">Annually </w:t>
            </w:r>
          </w:p>
        </w:tc>
      </w:tr>
      <w:tr w:rsidR="00302BFE" w:rsidRPr="006E490C" w14:paraId="50F423D3" w14:textId="77777777" w:rsidTr="000E4F17">
        <w:trPr>
          <w:gridBefore w:val="1"/>
          <w:wBefore w:w="9" w:type="dxa"/>
          <w:jc w:val="center"/>
        </w:trPr>
        <w:tc>
          <w:tcPr>
            <w:tcW w:w="3239" w:type="dxa"/>
          </w:tcPr>
          <w:p w14:paraId="79B97B3E" w14:textId="77777777" w:rsidR="00302BFE" w:rsidRPr="006E490C" w:rsidRDefault="00302BFE" w:rsidP="00243B15">
            <w:pPr>
              <w:jc w:val="left"/>
              <w:rPr>
                <w:rFonts w:cs="Calibri"/>
                <w:b/>
                <w:sz w:val="18"/>
                <w:szCs w:val="18"/>
              </w:rPr>
            </w:pPr>
            <w:r w:rsidRPr="006E490C">
              <w:rPr>
                <w:rFonts w:cs="Calibri"/>
                <w:b/>
                <w:sz w:val="18"/>
                <w:szCs w:val="18"/>
              </w:rPr>
              <w:t>Lessons learned and knowledge generation</w:t>
            </w:r>
          </w:p>
        </w:tc>
        <w:tc>
          <w:tcPr>
            <w:tcW w:w="2409" w:type="dxa"/>
          </w:tcPr>
          <w:p w14:paraId="5BB9FE38" w14:textId="77777777" w:rsidR="00302BFE" w:rsidRPr="006E490C" w:rsidRDefault="00302BFE" w:rsidP="00243B15">
            <w:pPr>
              <w:jc w:val="left"/>
              <w:rPr>
                <w:rFonts w:cs="Calibri"/>
                <w:sz w:val="18"/>
                <w:szCs w:val="18"/>
              </w:rPr>
            </w:pPr>
            <w:r w:rsidRPr="006E490C">
              <w:rPr>
                <w:rFonts w:cs="Calibri"/>
                <w:sz w:val="18"/>
                <w:szCs w:val="18"/>
              </w:rPr>
              <w:t>Project Manager</w:t>
            </w:r>
          </w:p>
          <w:p w14:paraId="095A9E90" w14:textId="77777777" w:rsidR="00302BFE" w:rsidRPr="006E490C" w:rsidRDefault="00302BFE" w:rsidP="00243B15">
            <w:pPr>
              <w:jc w:val="left"/>
              <w:rPr>
                <w:rFonts w:cs="Calibri"/>
                <w:sz w:val="18"/>
                <w:szCs w:val="18"/>
              </w:rPr>
            </w:pPr>
            <w:r w:rsidRPr="006E490C">
              <w:rPr>
                <w:rFonts w:cs="Calibri"/>
                <w:sz w:val="18"/>
                <w:szCs w:val="18"/>
              </w:rPr>
              <w:t>Communication / KM expert</w:t>
            </w:r>
          </w:p>
        </w:tc>
        <w:tc>
          <w:tcPr>
            <w:tcW w:w="1811" w:type="dxa"/>
          </w:tcPr>
          <w:p w14:paraId="7481A338" w14:textId="77777777" w:rsidR="00302BFE" w:rsidRPr="006E490C" w:rsidRDefault="00302BFE" w:rsidP="00243B15">
            <w:pPr>
              <w:jc w:val="left"/>
              <w:rPr>
                <w:rFonts w:cs="Calibri"/>
                <w:sz w:val="18"/>
                <w:szCs w:val="18"/>
              </w:rPr>
            </w:pPr>
            <w:r w:rsidRPr="006E490C">
              <w:rPr>
                <w:rFonts w:cs="Calibri"/>
                <w:sz w:val="18"/>
                <w:szCs w:val="18"/>
                <w:lang w:val="en-GB"/>
              </w:rPr>
              <w:t>Paid through Components 1, 2, 3 and 4</w:t>
            </w:r>
          </w:p>
        </w:tc>
        <w:tc>
          <w:tcPr>
            <w:tcW w:w="1451" w:type="dxa"/>
          </w:tcPr>
          <w:p w14:paraId="2C5FA24B" w14:textId="77777777" w:rsidR="00302BFE" w:rsidRPr="006E490C" w:rsidRDefault="00302BFE" w:rsidP="00243B15">
            <w:pPr>
              <w:jc w:val="left"/>
              <w:rPr>
                <w:rFonts w:cs="Calibri"/>
                <w:sz w:val="18"/>
                <w:szCs w:val="18"/>
              </w:rPr>
            </w:pPr>
            <w:r w:rsidRPr="006E490C">
              <w:rPr>
                <w:rFonts w:cs="Calibri"/>
                <w:sz w:val="18"/>
                <w:szCs w:val="18"/>
              </w:rPr>
              <w:t>USD 10,000</w:t>
            </w:r>
          </w:p>
        </w:tc>
        <w:tc>
          <w:tcPr>
            <w:tcW w:w="1854" w:type="dxa"/>
          </w:tcPr>
          <w:p w14:paraId="6BE1CFF7" w14:textId="77777777" w:rsidR="00302BFE" w:rsidRPr="006E490C" w:rsidRDefault="00302BFE" w:rsidP="00243B15">
            <w:pPr>
              <w:jc w:val="left"/>
              <w:rPr>
                <w:rFonts w:cs="Calibri"/>
                <w:sz w:val="18"/>
                <w:szCs w:val="18"/>
              </w:rPr>
            </w:pPr>
            <w:r w:rsidRPr="006E490C">
              <w:rPr>
                <w:rFonts w:cs="Calibri"/>
                <w:sz w:val="18"/>
                <w:szCs w:val="18"/>
              </w:rPr>
              <w:t>Annually</w:t>
            </w:r>
          </w:p>
        </w:tc>
      </w:tr>
      <w:tr w:rsidR="00302BFE" w:rsidRPr="006E490C" w14:paraId="24250150" w14:textId="77777777" w:rsidTr="000E4F17">
        <w:trPr>
          <w:gridBefore w:val="1"/>
          <w:wBefore w:w="9" w:type="dxa"/>
          <w:jc w:val="center"/>
        </w:trPr>
        <w:tc>
          <w:tcPr>
            <w:tcW w:w="3239" w:type="dxa"/>
          </w:tcPr>
          <w:p w14:paraId="410F4179" w14:textId="77777777" w:rsidR="00302BFE" w:rsidRPr="00E753E6" w:rsidRDefault="00302BFE" w:rsidP="00243B15">
            <w:pPr>
              <w:jc w:val="left"/>
              <w:rPr>
                <w:rFonts w:cs="Calibri"/>
                <w:b/>
                <w:sz w:val="18"/>
                <w:szCs w:val="18"/>
              </w:rPr>
            </w:pPr>
            <w:r w:rsidRPr="00E753E6">
              <w:rPr>
                <w:rFonts w:cs="Calibri"/>
                <w:b/>
                <w:sz w:val="18"/>
                <w:szCs w:val="18"/>
              </w:rPr>
              <w:t>Monitoring of environmental and social risks, and corresponding management plans as relevant</w:t>
            </w:r>
          </w:p>
        </w:tc>
        <w:tc>
          <w:tcPr>
            <w:tcW w:w="2409" w:type="dxa"/>
          </w:tcPr>
          <w:p w14:paraId="014FA769" w14:textId="77777777" w:rsidR="00302BFE" w:rsidRPr="006E490C" w:rsidRDefault="00302BFE" w:rsidP="00243B15">
            <w:pPr>
              <w:jc w:val="left"/>
              <w:rPr>
                <w:rFonts w:cs="Calibri"/>
                <w:sz w:val="18"/>
                <w:szCs w:val="18"/>
              </w:rPr>
            </w:pPr>
            <w:r w:rsidRPr="006E490C">
              <w:rPr>
                <w:rFonts w:cs="Calibri"/>
                <w:sz w:val="18"/>
                <w:szCs w:val="18"/>
              </w:rPr>
              <w:t>Project Manager</w:t>
            </w:r>
          </w:p>
          <w:p w14:paraId="67D62290" w14:textId="77777777" w:rsidR="00302BFE" w:rsidRPr="006E490C" w:rsidRDefault="00302BFE" w:rsidP="00243B15">
            <w:pPr>
              <w:jc w:val="left"/>
              <w:rPr>
                <w:rFonts w:cs="Calibri"/>
                <w:sz w:val="18"/>
                <w:szCs w:val="18"/>
              </w:rPr>
            </w:pPr>
            <w:r w:rsidRPr="006E490C">
              <w:rPr>
                <w:rFonts w:cs="Calibri"/>
                <w:sz w:val="18"/>
                <w:szCs w:val="18"/>
              </w:rPr>
              <w:t>UNDP Country Office</w:t>
            </w:r>
          </w:p>
          <w:p w14:paraId="1CF8C9BB" w14:textId="77777777" w:rsidR="00302BFE" w:rsidRPr="006E490C" w:rsidRDefault="00302BFE" w:rsidP="00243B15">
            <w:pPr>
              <w:jc w:val="left"/>
              <w:rPr>
                <w:rFonts w:cs="Calibri"/>
                <w:sz w:val="18"/>
                <w:szCs w:val="18"/>
              </w:rPr>
            </w:pPr>
            <w:r w:rsidRPr="006E490C">
              <w:rPr>
                <w:rFonts w:cs="Calibri"/>
                <w:sz w:val="18"/>
                <w:szCs w:val="18"/>
              </w:rPr>
              <w:t>M&amp;E/Safeguards expert</w:t>
            </w:r>
          </w:p>
        </w:tc>
        <w:tc>
          <w:tcPr>
            <w:tcW w:w="1811" w:type="dxa"/>
          </w:tcPr>
          <w:p w14:paraId="0F5FBA97" w14:textId="77777777" w:rsidR="00302BFE" w:rsidRPr="006E490C" w:rsidRDefault="00302BFE" w:rsidP="00243B15">
            <w:pPr>
              <w:jc w:val="left"/>
              <w:rPr>
                <w:rFonts w:cs="Calibri"/>
                <w:i/>
                <w:sz w:val="18"/>
                <w:szCs w:val="18"/>
              </w:rPr>
            </w:pPr>
            <w:r w:rsidRPr="006E490C">
              <w:rPr>
                <w:rFonts w:cs="Calibri"/>
                <w:sz w:val="18"/>
                <w:szCs w:val="18"/>
                <w:lang w:val="en-GB"/>
              </w:rPr>
              <w:t>Paid through Components 1, 2, 3 and 4</w:t>
            </w:r>
          </w:p>
        </w:tc>
        <w:tc>
          <w:tcPr>
            <w:tcW w:w="1451" w:type="dxa"/>
          </w:tcPr>
          <w:p w14:paraId="6685FA69" w14:textId="77777777" w:rsidR="00302BFE" w:rsidRPr="006E490C" w:rsidRDefault="00302BFE" w:rsidP="00243B15">
            <w:pPr>
              <w:jc w:val="left"/>
              <w:rPr>
                <w:rFonts w:cs="Calibri"/>
                <w:sz w:val="18"/>
                <w:szCs w:val="18"/>
              </w:rPr>
            </w:pPr>
            <w:r w:rsidRPr="006E490C">
              <w:rPr>
                <w:rFonts w:cs="Calibri"/>
                <w:sz w:val="18"/>
                <w:szCs w:val="18"/>
              </w:rPr>
              <w:t>None</w:t>
            </w:r>
          </w:p>
        </w:tc>
        <w:tc>
          <w:tcPr>
            <w:tcW w:w="1854" w:type="dxa"/>
          </w:tcPr>
          <w:p w14:paraId="3CE479E4" w14:textId="77777777" w:rsidR="00302BFE" w:rsidRPr="006E490C" w:rsidRDefault="00302BFE" w:rsidP="00243B15">
            <w:pPr>
              <w:jc w:val="left"/>
              <w:rPr>
                <w:rFonts w:cs="Calibri"/>
                <w:sz w:val="18"/>
                <w:szCs w:val="18"/>
              </w:rPr>
            </w:pPr>
            <w:r w:rsidRPr="006E490C">
              <w:rPr>
                <w:rFonts w:cs="Calibri"/>
                <w:sz w:val="18"/>
                <w:szCs w:val="18"/>
              </w:rPr>
              <w:t>On-going</w:t>
            </w:r>
          </w:p>
        </w:tc>
      </w:tr>
      <w:tr w:rsidR="000E4F17" w:rsidRPr="006E490C" w14:paraId="126D8038" w14:textId="77777777" w:rsidTr="000E4F17">
        <w:trPr>
          <w:gridBefore w:val="1"/>
          <w:wBefore w:w="9" w:type="dxa"/>
          <w:jc w:val="center"/>
        </w:trPr>
        <w:tc>
          <w:tcPr>
            <w:tcW w:w="3239" w:type="dxa"/>
          </w:tcPr>
          <w:p w14:paraId="3AB0199A" w14:textId="44EFD0DB" w:rsidR="000E4F17" w:rsidRPr="00E753E6" w:rsidRDefault="00EC08CA" w:rsidP="000E4F17">
            <w:pPr>
              <w:jc w:val="left"/>
              <w:rPr>
                <w:rFonts w:cs="Calibri"/>
                <w:b/>
                <w:sz w:val="18"/>
                <w:szCs w:val="18"/>
              </w:rPr>
            </w:pPr>
            <w:r w:rsidRPr="00A63E29">
              <w:rPr>
                <w:rFonts w:cs="Calibri"/>
                <w:b/>
                <w:sz w:val="18"/>
                <w:szCs w:val="18"/>
              </w:rPr>
              <w:t xml:space="preserve">Monitoring of implementation of </w:t>
            </w:r>
            <w:r w:rsidR="000E4F17" w:rsidRPr="00A63E29">
              <w:rPr>
                <w:rFonts w:cs="Calibri"/>
                <w:b/>
                <w:sz w:val="18"/>
                <w:szCs w:val="18"/>
              </w:rPr>
              <w:t>Stakeholder Engagement Plan</w:t>
            </w:r>
          </w:p>
        </w:tc>
        <w:tc>
          <w:tcPr>
            <w:tcW w:w="2409" w:type="dxa"/>
          </w:tcPr>
          <w:p w14:paraId="10D303FD" w14:textId="77777777" w:rsidR="000E4F17" w:rsidRPr="00E753E6" w:rsidRDefault="000E4F17" w:rsidP="000E4F17">
            <w:pPr>
              <w:rPr>
                <w:rFonts w:cs="Calibri"/>
                <w:sz w:val="18"/>
                <w:szCs w:val="18"/>
              </w:rPr>
            </w:pPr>
            <w:r w:rsidRPr="00E753E6">
              <w:rPr>
                <w:rFonts w:cs="Calibri"/>
                <w:sz w:val="18"/>
                <w:szCs w:val="18"/>
              </w:rPr>
              <w:t>Project Manager</w:t>
            </w:r>
          </w:p>
          <w:p w14:paraId="0A4CA8A0" w14:textId="77777777" w:rsidR="000E4F17" w:rsidRPr="00E753E6" w:rsidRDefault="000E4F17" w:rsidP="000E4F17">
            <w:pPr>
              <w:rPr>
                <w:rFonts w:cs="Calibri"/>
                <w:sz w:val="18"/>
                <w:szCs w:val="18"/>
              </w:rPr>
            </w:pPr>
            <w:r w:rsidRPr="00E753E6">
              <w:rPr>
                <w:rFonts w:cs="Calibri"/>
                <w:sz w:val="18"/>
                <w:szCs w:val="18"/>
              </w:rPr>
              <w:t>UNDP Country Office</w:t>
            </w:r>
          </w:p>
          <w:p w14:paraId="39EDBFF1" w14:textId="77777777" w:rsidR="000E4F17" w:rsidRPr="00E753E6" w:rsidRDefault="000E4F17" w:rsidP="000E4F17">
            <w:pPr>
              <w:rPr>
                <w:rFonts w:cs="Calibri"/>
                <w:sz w:val="18"/>
                <w:szCs w:val="18"/>
              </w:rPr>
            </w:pPr>
            <w:r w:rsidRPr="00E753E6">
              <w:rPr>
                <w:rFonts w:cs="Calibri"/>
                <w:sz w:val="18"/>
                <w:szCs w:val="18"/>
              </w:rPr>
              <w:t>Community mobilization specialist</w:t>
            </w:r>
          </w:p>
        </w:tc>
        <w:tc>
          <w:tcPr>
            <w:tcW w:w="1811" w:type="dxa"/>
          </w:tcPr>
          <w:p w14:paraId="70E954C4" w14:textId="6201A5BE" w:rsidR="000E4F17" w:rsidRPr="00A63E29" w:rsidRDefault="000E4F17" w:rsidP="000E4F17">
            <w:pPr>
              <w:jc w:val="left"/>
              <w:rPr>
                <w:rFonts w:cs="Calibri"/>
                <w:i/>
                <w:sz w:val="18"/>
                <w:szCs w:val="18"/>
              </w:rPr>
            </w:pPr>
            <w:r w:rsidRPr="00A63E29">
              <w:rPr>
                <w:rFonts w:cs="Calibri"/>
                <w:sz w:val="18"/>
                <w:szCs w:val="18"/>
              </w:rPr>
              <w:t xml:space="preserve">Total USD 10,000 - USD 2,000 per year </w:t>
            </w:r>
            <w:r w:rsidR="00EC08CA" w:rsidRPr="00A63E29">
              <w:rPr>
                <w:rFonts w:cs="Calibri"/>
                <w:sz w:val="18"/>
                <w:szCs w:val="18"/>
              </w:rPr>
              <w:t xml:space="preserve">in </w:t>
            </w:r>
            <w:r w:rsidRPr="00A63E29">
              <w:rPr>
                <w:rFonts w:cs="Calibri"/>
                <w:sz w:val="18"/>
                <w:szCs w:val="18"/>
              </w:rPr>
              <w:t>year</w:t>
            </w:r>
            <w:r w:rsidR="00EC08CA" w:rsidRPr="00A63E29">
              <w:rPr>
                <w:rFonts w:cs="Calibri"/>
                <w:sz w:val="18"/>
                <w:szCs w:val="18"/>
              </w:rPr>
              <w:t>s</w:t>
            </w:r>
            <w:r w:rsidRPr="00A63E29">
              <w:rPr>
                <w:rFonts w:cs="Calibri"/>
                <w:sz w:val="18"/>
                <w:szCs w:val="18"/>
              </w:rPr>
              <w:t xml:space="preserve"> 2</w:t>
            </w:r>
            <w:r w:rsidR="00EC08CA" w:rsidRPr="00A63E29">
              <w:rPr>
                <w:rFonts w:cs="Calibri"/>
                <w:sz w:val="18"/>
                <w:szCs w:val="18"/>
              </w:rPr>
              <w:t>-5</w:t>
            </w:r>
          </w:p>
        </w:tc>
        <w:tc>
          <w:tcPr>
            <w:tcW w:w="1451" w:type="dxa"/>
          </w:tcPr>
          <w:p w14:paraId="4265E9B3" w14:textId="77777777" w:rsidR="000E4F17" w:rsidRPr="006E490C" w:rsidRDefault="000E4F17" w:rsidP="000E4F17">
            <w:pPr>
              <w:jc w:val="left"/>
              <w:rPr>
                <w:rFonts w:cs="Calibri"/>
                <w:i/>
                <w:sz w:val="18"/>
                <w:szCs w:val="18"/>
              </w:rPr>
            </w:pPr>
            <w:r w:rsidRPr="006E490C">
              <w:rPr>
                <w:rFonts w:cs="Calibri"/>
                <w:sz w:val="18"/>
                <w:szCs w:val="18"/>
              </w:rPr>
              <w:t>None</w:t>
            </w:r>
          </w:p>
        </w:tc>
        <w:tc>
          <w:tcPr>
            <w:tcW w:w="1854" w:type="dxa"/>
          </w:tcPr>
          <w:p w14:paraId="5AC353AA" w14:textId="77777777" w:rsidR="000E4F17" w:rsidRPr="006E490C" w:rsidRDefault="000E4F17" w:rsidP="000E4F17">
            <w:pPr>
              <w:jc w:val="left"/>
              <w:rPr>
                <w:rFonts w:cs="Calibri"/>
                <w:sz w:val="18"/>
                <w:szCs w:val="18"/>
              </w:rPr>
            </w:pPr>
            <w:r w:rsidRPr="006E490C">
              <w:rPr>
                <w:rFonts w:cs="Calibri"/>
                <w:sz w:val="18"/>
                <w:szCs w:val="18"/>
              </w:rPr>
              <w:t>On-going</w:t>
            </w:r>
          </w:p>
        </w:tc>
      </w:tr>
      <w:tr w:rsidR="00EC08CA" w:rsidRPr="006E490C" w14:paraId="70D81C30" w14:textId="77777777" w:rsidTr="000E4F17">
        <w:trPr>
          <w:gridBefore w:val="1"/>
          <w:wBefore w:w="9" w:type="dxa"/>
          <w:jc w:val="center"/>
        </w:trPr>
        <w:tc>
          <w:tcPr>
            <w:tcW w:w="3239" w:type="dxa"/>
          </w:tcPr>
          <w:p w14:paraId="0DDCA78F" w14:textId="65D9CCB3" w:rsidR="00EC08CA" w:rsidRPr="00A63E29" w:rsidRDefault="00EC08CA" w:rsidP="00EC08CA">
            <w:pPr>
              <w:jc w:val="left"/>
              <w:rPr>
                <w:rFonts w:cs="Calibri"/>
                <w:b/>
                <w:sz w:val="18"/>
                <w:szCs w:val="18"/>
              </w:rPr>
            </w:pPr>
            <w:r w:rsidRPr="00A63E29">
              <w:rPr>
                <w:rFonts w:cs="Calibri"/>
                <w:b/>
                <w:sz w:val="18"/>
                <w:szCs w:val="18"/>
              </w:rPr>
              <w:t>Monitoring of implementation of Gender Action Plan</w:t>
            </w:r>
          </w:p>
        </w:tc>
        <w:tc>
          <w:tcPr>
            <w:tcW w:w="2409" w:type="dxa"/>
          </w:tcPr>
          <w:p w14:paraId="6514C9CD" w14:textId="77777777" w:rsidR="00EC08CA" w:rsidRPr="00E753E6" w:rsidRDefault="00EC08CA" w:rsidP="00EC08CA">
            <w:pPr>
              <w:rPr>
                <w:rFonts w:cs="Calibri"/>
                <w:sz w:val="18"/>
                <w:szCs w:val="18"/>
              </w:rPr>
            </w:pPr>
            <w:r w:rsidRPr="00E753E6">
              <w:rPr>
                <w:rFonts w:cs="Calibri"/>
                <w:sz w:val="18"/>
                <w:szCs w:val="18"/>
              </w:rPr>
              <w:t>Project Manager</w:t>
            </w:r>
          </w:p>
          <w:p w14:paraId="698EA7CB" w14:textId="77777777" w:rsidR="00EC08CA" w:rsidRPr="00E753E6" w:rsidRDefault="00EC08CA" w:rsidP="00EC08CA">
            <w:r w:rsidRPr="00E753E6">
              <w:rPr>
                <w:rFonts w:cs="Calibri"/>
                <w:sz w:val="18"/>
                <w:szCs w:val="18"/>
              </w:rPr>
              <w:t>Gender Specialist</w:t>
            </w:r>
          </w:p>
        </w:tc>
        <w:tc>
          <w:tcPr>
            <w:tcW w:w="1811" w:type="dxa"/>
          </w:tcPr>
          <w:p w14:paraId="20C80D49" w14:textId="3B54646C" w:rsidR="00EC08CA" w:rsidRPr="00A63E29" w:rsidRDefault="00EC08CA" w:rsidP="00EC08CA">
            <w:pPr>
              <w:jc w:val="left"/>
              <w:rPr>
                <w:rFonts w:cs="Calibri"/>
                <w:sz w:val="18"/>
                <w:szCs w:val="18"/>
              </w:rPr>
            </w:pPr>
            <w:r w:rsidRPr="00A63E29">
              <w:rPr>
                <w:rFonts w:cs="Calibri"/>
                <w:sz w:val="18"/>
                <w:szCs w:val="18"/>
              </w:rPr>
              <w:t>Total USD 10,000 - USD 2,000 per year in years 2-5</w:t>
            </w:r>
          </w:p>
        </w:tc>
        <w:tc>
          <w:tcPr>
            <w:tcW w:w="1451" w:type="dxa"/>
          </w:tcPr>
          <w:p w14:paraId="35B26AA2" w14:textId="18B7B05B" w:rsidR="00EC08CA" w:rsidRPr="00E753E6" w:rsidRDefault="00EC08CA" w:rsidP="00EC08CA">
            <w:pPr>
              <w:jc w:val="left"/>
              <w:rPr>
                <w:rFonts w:cs="Calibri"/>
                <w:sz w:val="18"/>
                <w:szCs w:val="18"/>
              </w:rPr>
            </w:pPr>
            <w:r w:rsidRPr="00A63E29">
              <w:rPr>
                <w:rFonts w:cs="Calibri"/>
                <w:sz w:val="18"/>
                <w:szCs w:val="18"/>
              </w:rPr>
              <w:t>None</w:t>
            </w:r>
          </w:p>
        </w:tc>
        <w:tc>
          <w:tcPr>
            <w:tcW w:w="1854" w:type="dxa"/>
          </w:tcPr>
          <w:p w14:paraId="18B19CC6" w14:textId="77777777" w:rsidR="00EC08CA" w:rsidRPr="006E490C" w:rsidRDefault="00EC08CA" w:rsidP="00EC08CA">
            <w:pPr>
              <w:jc w:val="left"/>
              <w:rPr>
                <w:rFonts w:cs="Calibri"/>
                <w:sz w:val="18"/>
                <w:szCs w:val="18"/>
              </w:rPr>
            </w:pPr>
            <w:r w:rsidRPr="006E490C">
              <w:rPr>
                <w:rFonts w:cs="Calibri"/>
                <w:sz w:val="18"/>
                <w:szCs w:val="18"/>
              </w:rPr>
              <w:t>On-going</w:t>
            </w:r>
          </w:p>
        </w:tc>
      </w:tr>
      <w:tr w:rsidR="00302BFE" w:rsidRPr="006E490C" w14:paraId="16B242CC" w14:textId="77777777" w:rsidTr="000E4F17">
        <w:trPr>
          <w:gridBefore w:val="1"/>
          <w:wBefore w:w="9" w:type="dxa"/>
          <w:jc w:val="center"/>
        </w:trPr>
        <w:tc>
          <w:tcPr>
            <w:tcW w:w="3239" w:type="dxa"/>
          </w:tcPr>
          <w:p w14:paraId="2DBE497C" w14:textId="77777777" w:rsidR="00302BFE" w:rsidRPr="00E753E6" w:rsidRDefault="00302BFE" w:rsidP="00243B15">
            <w:pPr>
              <w:jc w:val="left"/>
              <w:rPr>
                <w:rFonts w:cs="Calibri"/>
                <w:b/>
                <w:sz w:val="18"/>
                <w:szCs w:val="18"/>
              </w:rPr>
            </w:pPr>
            <w:r w:rsidRPr="00E753E6">
              <w:rPr>
                <w:rFonts w:cs="Calibri"/>
                <w:b/>
                <w:sz w:val="18"/>
                <w:szCs w:val="18"/>
              </w:rPr>
              <w:t>Addressing environmental and social grievances</w:t>
            </w:r>
          </w:p>
        </w:tc>
        <w:tc>
          <w:tcPr>
            <w:tcW w:w="2409" w:type="dxa"/>
          </w:tcPr>
          <w:p w14:paraId="7815F12F" w14:textId="77777777" w:rsidR="00302BFE" w:rsidRPr="006E490C" w:rsidRDefault="00302BFE" w:rsidP="00243B15">
            <w:pPr>
              <w:jc w:val="left"/>
              <w:rPr>
                <w:rFonts w:cs="Calibri"/>
                <w:sz w:val="18"/>
                <w:szCs w:val="18"/>
              </w:rPr>
            </w:pPr>
            <w:r w:rsidRPr="006E490C">
              <w:rPr>
                <w:rFonts w:cs="Calibri"/>
                <w:sz w:val="18"/>
                <w:szCs w:val="18"/>
              </w:rPr>
              <w:t>Project Manager</w:t>
            </w:r>
          </w:p>
          <w:p w14:paraId="7CD2A1CA" w14:textId="77777777" w:rsidR="00302BFE" w:rsidRPr="006E490C" w:rsidRDefault="00302BFE" w:rsidP="00243B15">
            <w:pPr>
              <w:jc w:val="left"/>
              <w:rPr>
                <w:rFonts w:cs="Calibri"/>
                <w:sz w:val="18"/>
                <w:szCs w:val="18"/>
              </w:rPr>
            </w:pPr>
            <w:r w:rsidRPr="006E490C">
              <w:rPr>
                <w:rFonts w:cs="Calibri"/>
                <w:sz w:val="18"/>
                <w:szCs w:val="18"/>
              </w:rPr>
              <w:t>M&amp;E/Safeguards expert</w:t>
            </w:r>
          </w:p>
          <w:p w14:paraId="3795BD31" w14:textId="77777777" w:rsidR="00302BFE" w:rsidRPr="006E490C" w:rsidRDefault="00302BFE" w:rsidP="00243B15">
            <w:pPr>
              <w:jc w:val="left"/>
              <w:rPr>
                <w:rFonts w:cs="Calibri"/>
                <w:sz w:val="18"/>
                <w:szCs w:val="18"/>
              </w:rPr>
            </w:pPr>
            <w:r w:rsidRPr="006E490C">
              <w:rPr>
                <w:rFonts w:cs="Calibri"/>
                <w:sz w:val="18"/>
                <w:szCs w:val="18"/>
              </w:rPr>
              <w:t>UNDP Country Office</w:t>
            </w:r>
          </w:p>
        </w:tc>
        <w:tc>
          <w:tcPr>
            <w:tcW w:w="1811" w:type="dxa"/>
          </w:tcPr>
          <w:p w14:paraId="0687CF8E" w14:textId="77777777" w:rsidR="00302BFE" w:rsidRPr="00E753E6" w:rsidRDefault="00302BFE" w:rsidP="00243B15">
            <w:pPr>
              <w:jc w:val="left"/>
              <w:rPr>
                <w:rFonts w:cs="Calibri"/>
                <w:sz w:val="18"/>
                <w:szCs w:val="18"/>
              </w:rPr>
            </w:pPr>
            <w:r w:rsidRPr="00E753E6">
              <w:rPr>
                <w:rFonts w:cs="Calibri"/>
                <w:sz w:val="18"/>
                <w:szCs w:val="18"/>
              </w:rPr>
              <w:t>USD 32,400</w:t>
            </w:r>
            <w:r w:rsidRPr="00E753E6">
              <w:rPr>
                <w:rStyle w:val="Appelnotedebasdep"/>
                <w:szCs w:val="18"/>
              </w:rPr>
              <w:footnoteReference w:id="75"/>
            </w:r>
          </w:p>
        </w:tc>
        <w:tc>
          <w:tcPr>
            <w:tcW w:w="1451" w:type="dxa"/>
          </w:tcPr>
          <w:p w14:paraId="23322A64" w14:textId="77777777" w:rsidR="00302BFE" w:rsidRPr="00E753E6" w:rsidRDefault="00302BFE" w:rsidP="00243B15">
            <w:pPr>
              <w:jc w:val="left"/>
              <w:rPr>
                <w:rFonts w:cs="Calibri"/>
                <w:sz w:val="18"/>
                <w:szCs w:val="18"/>
              </w:rPr>
            </w:pPr>
            <w:r w:rsidRPr="00E753E6">
              <w:rPr>
                <w:rFonts w:cs="Calibri"/>
                <w:sz w:val="18"/>
                <w:szCs w:val="18"/>
              </w:rPr>
              <w:t>None</w:t>
            </w:r>
          </w:p>
        </w:tc>
        <w:tc>
          <w:tcPr>
            <w:tcW w:w="1854" w:type="dxa"/>
          </w:tcPr>
          <w:p w14:paraId="569113D2" w14:textId="77777777" w:rsidR="00302BFE" w:rsidRPr="006E490C" w:rsidRDefault="00302BFE" w:rsidP="00243B15">
            <w:pPr>
              <w:jc w:val="left"/>
              <w:rPr>
                <w:rFonts w:cs="Calibri"/>
                <w:sz w:val="18"/>
                <w:szCs w:val="18"/>
              </w:rPr>
            </w:pPr>
            <w:r w:rsidRPr="006E490C">
              <w:rPr>
                <w:rFonts w:cs="Calibri"/>
                <w:sz w:val="18"/>
                <w:szCs w:val="18"/>
              </w:rPr>
              <w:t>On-going</w:t>
            </w:r>
          </w:p>
        </w:tc>
      </w:tr>
      <w:tr w:rsidR="00302BFE" w:rsidRPr="006E490C" w14:paraId="3858022F" w14:textId="77777777" w:rsidTr="000E4F17">
        <w:trPr>
          <w:gridBefore w:val="1"/>
          <w:wBefore w:w="9" w:type="dxa"/>
          <w:jc w:val="center"/>
        </w:trPr>
        <w:tc>
          <w:tcPr>
            <w:tcW w:w="3239" w:type="dxa"/>
          </w:tcPr>
          <w:p w14:paraId="4FB947FA" w14:textId="77777777" w:rsidR="00302BFE" w:rsidRPr="006E490C" w:rsidRDefault="00302BFE" w:rsidP="00243B15">
            <w:pPr>
              <w:jc w:val="left"/>
              <w:rPr>
                <w:rFonts w:cs="Calibri"/>
                <w:b/>
                <w:sz w:val="18"/>
                <w:szCs w:val="18"/>
              </w:rPr>
            </w:pPr>
            <w:r w:rsidRPr="006E490C">
              <w:rPr>
                <w:rFonts w:cs="Calibri"/>
                <w:b/>
                <w:sz w:val="18"/>
                <w:szCs w:val="18"/>
              </w:rPr>
              <w:t>Project Consultation/Dialogue Framework meetings</w:t>
            </w:r>
          </w:p>
        </w:tc>
        <w:tc>
          <w:tcPr>
            <w:tcW w:w="2409" w:type="dxa"/>
          </w:tcPr>
          <w:p w14:paraId="120B20AF" w14:textId="77777777" w:rsidR="00302BFE" w:rsidRPr="006E490C" w:rsidRDefault="00302BFE" w:rsidP="00243B15">
            <w:pPr>
              <w:jc w:val="left"/>
              <w:rPr>
                <w:rFonts w:cs="Calibri"/>
                <w:sz w:val="18"/>
                <w:szCs w:val="18"/>
              </w:rPr>
            </w:pPr>
            <w:r w:rsidRPr="006E490C">
              <w:rPr>
                <w:rFonts w:cs="Calibri"/>
                <w:sz w:val="18"/>
                <w:szCs w:val="18"/>
              </w:rPr>
              <w:t>Project Consultation/Dialogue Framework</w:t>
            </w:r>
          </w:p>
          <w:p w14:paraId="4FF18B67" w14:textId="77777777" w:rsidR="00302BFE" w:rsidRPr="006E490C" w:rsidRDefault="00302BFE" w:rsidP="00243B15">
            <w:pPr>
              <w:jc w:val="left"/>
              <w:rPr>
                <w:rFonts w:cs="Calibri"/>
                <w:sz w:val="18"/>
                <w:szCs w:val="18"/>
              </w:rPr>
            </w:pPr>
            <w:r w:rsidRPr="006E490C">
              <w:rPr>
                <w:rFonts w:cs="Calibri"/>
                <w:sz w:val="18"/>
                <w:szCs w:val="18"/>
              </w:rPr>
              <w:t>UNDP Country Office</w:t>
            </w:r>
          </w:p>
          <w:p w14:paraId="007DC03E" w14:textId="77777777" w:rsidR="00302BFE" w:rsidRPr="006E490C" w:rsidRDefault="00302BFE" w:rsidP="00243B15">
            <w:pPr>
              <w:jc w:val="left"/>
              <w:rPr>
                <w:rFonts w:cs="Calibri"/>
                <w:sz w:val="18"/>
                <w:szCs w:val="18"/>
              </w:rPr>
            </w:pPr>
            <w:r w:rsidRPr="006E490C">
              <w:rPr>
                <w:rFonts w:cs="Calibri"/>
                <w:sz w:val="18"/>
                <w:szCs w:val="18"/>
              </w:rPr>
              <w:t>Project Manager</w:t>
            </w:r>
          </w:p>
        </w:tc>
        <w:tc>
          <w:tcPr>
            <w:tcW w:w="1811" w:type="dxa"/>
          </w:tcPr>
          <w:p w14:paraId="7344CB7C" w14:textId="77777777" w:rsidR="00302BFE" w:rsidRPr="006E490C" w:rsidRDefault="00302BFE" w:rsidP="00243B15">
            <w:pPr>
              <w:jc w:val="left"/>
              <w:rPr>
                <w:rFonts w:cs="Calibri"/>
                <w:sz w:val="18"/>
                <w:szCs w:val="18"/>
              </w:rPr>
            </w:pPr>
            <w:r w:rsidRPr="006E490C">
              <w:rPr>
                <w:rFonts w:cs="Calibri"/>
                <w:sz w:val="18"/>
                <w:szCs w:val="18"/>
              </w:rPr>
              <w:t>USD 3,000 (Per year: USD 500)</w:t>
            </w:r>
          </w:p>
        </w:tc>
        <w:tc>
          <w:tcPr>
            <w:tcW w:w="1451" w:type="dxa"/>
          </w:tcPr>
          <w:p w14:paraId="313F4065" w14:textId="77777777" w:rsidR="00302BFE" w:rsidRPr="006E490C" w:rsidRDefault="00302BFE" w:rsidP="00243B15">
            <w:pPr>
              <w:jc w:val="left"/>
              <w:rPr>
                <w:rFonts w:cs="Calibri"/>
                <w:sz w:val="18"/>
                <w:szCs w:val="18"/>
              </w:rPr>
            </w:pPr>
            <w:r w:rsidRPr="006E490C">
              <w:rPr>
                <w:rFonts w:cs="Calibri"/>
                <w:sz w:val="18"/>
                <w:szCs w:val="18"/>
              </w:rPr>
              <w:t>USD 6,000 (Per year: USD 1,000)</w:t>
            </w:r>
          </w:p>
        </w:tc>
        <w:tc>
          <w:tcPr>
            <w:tcW w:w="1854" w:type="dxa"/>
          </w:tcPr>
          <w:p w14:paraId="62963ABB" w14:textId="77777777" w:rsidR="00302BFE" w:rsidRPr="006E490C" w:rsidRDefault="00302BFE" w:rsidP="00243B15">
            <w:pPr>
              <w:jc w:val="left"/>
              <w:rPr>
                <w:rFonts w:cs="Calibri"/>
                <w:sz w:val="18"/>
                <w:szCs w:val="18"/>
              </w:rPr>
            </w:pPr>
            <w:r w:rsidRPr="006E490C">
              <w:rPr>
                <w:rFonts w:cs="Calibri"/>
                <w:sz w:val="18"/>
                <w:szCs w:val="18"/>
              </w:rPr>
              <w:t>At minimum annually</w:t>
            </w:r>
          </w:p>
        </w:tc>
      </w:tr>
      <w:tr w:rsidR="00302BFE" w:rsidRPr="006E490C" w14:paraId="4F78E668" w14:textId="77777777" w:rsidTr="000E4F17">
        <w:trPr>
          <w:gridBefore w:val="1"/>
          <w:wBefore w:w="9" w:type="dxa"/>
          <w:jc w:val="center"/>
        </w:trPr>
        <w:tc>
          <w:tcPr>
            <w:tcW w:w="3239" w:type="dxa"/>
          </w:tcPr>
          <w:p w14:paraId="23588E48" w14:textId="77777777" w:rsidR="00302BFE" w:rsidRPr="006E490C" w:rsidRDefault="00302BFE" w:rsidP="00243B15">
            <w:pPr>
              <w:jc w:val="left"/>
              <w:rPr>
                <w:rFonts w:cs="Calibri"/>
                <w:b/>
                <w:sz w:val="18"/>
                <w:szCs w:val="18"/>
              </w:rPr>
            </w:pPr>
            <w:r w:rsidRPr="006E490C">
              <w:rPr>
                <w:rFonts w:cs="Calibri"/>
                <w:b/>
                <w:sz w:val="18"/>
                <w:szCs w:val="18"/>
              </w:rPr>
              <w:t>Supervision missions</w:t>
            </w:r>
          </w:p>
        </w:tc>
        <w:tc>
          <w:tcPr>
            <w:tcW w:w="2409" w:type="dxa"/>
          </w:tcPr>
          <w:p w14:paraId="17572565" w14:textId="77777777" w:rsidR="00302BFE" w:rsidRPr="006E490C" w:rsidRDefault="00302BFE" w:rsidP="00243B15">
            <w:pPr>
              <w:jc w:val="left"/>
              <w:rPr>
                <w:rFonts w:cs="Calibri"/>
                <w:b/>
                <w:sz w:val="18"/>
                <w:szCs w:val="18"/>
              </w:rPr>
            </w:pPr>
            <w:r w:rsidRPr="006E490C">
              <w:rPr>
                <w:rFonts w:cs="Calibri"/>
                <w:sz w:val="18"/>
                <w:szCs w:val="18"/>
              </w:rPr>
              <w:t>UNDP Country Office</w:t>
            </w:r>
          </w:p>
        </w:tc>
        <w:tc>
          <w:tcPr>
            <w:tcW w:w="1811" w:type="dxa"/>
          </w:tcPr>
          <w:p w14:paraId="054240E1" w14:textId="77777777" w:rsidR="00302BFE" w:rsidRPr="006E490C" w:rsidRDefault="00302BFE" w:rsidP="00243B15">
            <w:pPr>
              <w:pStyle w:val="BodyText23"/>
              <w:widowControl/>
              <w:tabs>
                <w:tab w:val="clear" w:pos="547"/>
              </w:tabs>
              <w:spacing w:after="60"/>
              <w:rPr>
                <w:rFonts w:ascii="Calibri" w:hAnsi="Calibri" w:cs="Calibri"/>
                <w:snapToGrid/>
                <w:sz w:val="18"/>
                <w:szCs w:val="18"/>
                <w:lang w:val="en-GB"/>
              </w:rPr>
            </w:pPr>
            <w:r w:rsidRPr="006E490C">
              <w:rPr>
                <w:rFonts w:ascii="Calibri" w:hAnsi="Calibri" w:cs="Calibri"/>
                <w:snapToGrid/>
                <w:sz w:val="18"/>
                <w:szCs w:val="18"/>
                <w:lang w:val="en-GB"/>
              </w:rPr>
              <w:t>None</w:t>
            </w:r>
            <w:bookmarkStart w:id="31" w:name="_Ref434335281"/>
            <w:r w:rsidRPr="006E490C">
              <w:rPr>
                <w:rStyle w:val="Appelnotedebasdep"/>
                <w:rFonts w:ascii="Calibri" w:hAnsi="Calibri"/>
                <w:b/>
                <w:szCs w:val="18"/>
              </w:rPr>
              <w:footnoteReference w:id="76"/>
            </w:r>
            <w:bookmarkEnd w:id="31"/>
          </w:p>
        </w:tc>
        <w:tc>
          <w:tcPr>
            <w:tcW w:w="1451" w:type="dxa"/>
          </w:tcPr>
          <w:p w14:paraId="59BF9928" w14:textId="77777777" w:rsidR="00302BFE" w:rsidRPr="006E490C" w:rsidRDefault="00302BFE" w:rsidP="00243B15">
            <w:pPr>
              <w:pStyle w:val="BodyText23"/>
              <w:widowControl/>
              <w:tabs>
                <w:tab w:val="clear" w:pos="547"/>
              </w:tabs>
              <w:spacing w:after="60"/>
              <w:rPr>
                <w:rFonts w:ascii="Calibri" w:hAnsi="Calibri" w:cs="Calibri"/>
                <w:snapToGrid/>
                <w:sz w:val="18"/>
                <w:szCs w:val="18"/>
                <w:lang w:val="en-GB"/>
              </w:rPr>
            </w:pPr>
            <w:r w:rsidRPr="006E490C">
              <w:rPr>
                <w:rFonts w:ascii="Calibri" w:hAnsi="Calibri" w:cs="Calibri"/>
                <w:sz w:val="18"/>
                <w:szCs w:val="18"/>
              </w:rPr>
              <w:t>None</w:t>
            </w:r>
          </w:p>
        </w:tc>
        <w:tc>
          <w:tcPr>
            <w:tcW w:w="1854" w:type="dxa"/>
          </w:tcPr>
          <w:p w14:paraId="26636DD2" w14:textId="77777777" w:rsidR="00302BFE" w:rsidRPr="006E490C" w:rsidRDefault="00302BFE" w:rsidP="00243B15">
            <w:pPr>
              <w:jc w:val="left"/>
              <w:rPr>
                <w:rFonts w:cs="Calibri"/>
                <w:sz w:val="18"/>
                <w:szCs w:val="18"/>
              </w:rPr>
            </w:pPr>
            <w:r w:rsidRPr="006E490C">
              <w:rPr>
                <w:rFonts w:cs="Calibri"/>
                <w:sz w:val="18"/>
                <w:szCs w:val="18"/>
              </w:rPr>
              <w:t>Annually</w:t>
            </w:r>
          </w:p>
        </w:tc>
      </w:tr>
      <w:tr w:rsidR="00302BFE" w:rsidRPr="006E490C" w14:paraId="4C958F08" w14:textId="77777777" w:rsidTr="000E4F17">
        <w:trPr>
          <w:gridBefore w:val="1"/>
          <w:wBefore w:w="9" w:type="dxa"/>
          <w:jc w:val="center"/>
        </w:trPr>
        <w:tc>
          <w:tcPr>
            <w:tcW w:w="3239" w:type="dxa"/>
          </w:tcPr>
          <w:p w14:paraId="6C2C0ACE" w14:textId="77777777" w:rsidR="00302BFE" w:rsidRPr="006E490C" w:rsidRDefault="00302BFE" w:rsidP="00243B15">
            <w:pPr>
              <w:jc w:val="left"/>
              <w:rPr>
                <w:rFonts w:cs="Calibri"/>
                <w:b/>
                <w:sz w:val="18"/>
                <w:szCs w:val="18"/>
              </w:rPr>
            </w:pPr>
            <w:r w:rsidRPr="006E490C">
              <w:rPr>
                <w:rFonts w:cs="Calibri"/>
                <w:b/>
                <w:sz w:val="18"/>
                <w:szCs w:val="18"/>
              </w:rPr>
              <w:t>Oversight missions</w:t>
            </w:r>
          </w:p>
        </w:tc>
        <w:tc>
          <w:tcPr>
            <w:tcW w:w="2409" w:type="dxa"/>
          </w:tcPr>
          <w:p w14:paraId="70A777AB" w14:textId="77777777" w:rsidR="00302BFE" w:rsidRPr="006E490C" w:rsidRDefault="00302BFE" w:rsidP="00243B15">
            <w:pPr>
              <w:jc w:val="left"/>
              <w:rPr>
                <w:rFonts w:cs="Calibri"/>
                <w:b/>
                <w:sz w:val="18"/>
                <w:szCs w:val="18"/>
              </w:rPr>
            </w:pPr>
            <w:r w:rsidRPr="006E490C">
              <w:rPr>
                <w:rFonts w:cs="Calibri"/>
                <w:sz w:val="18"/>
                <w:szCs w:val="18"/>
              </w:rPr>
              <w:t>UNDP-GEF team</w:t>
            </w:r>
          </w:p>
        </w:tc>
        <w:tc>
          <w:tcPr>
            <w:tcW w:w="1811" w:type="dxa"/>
          </w:tcPr>
          <w:p w14:paraId="63A6DE9E" w14:textId="011743B9" w:rsidR="00302BFE" w:rsidRPr="006E490C" w:rsidRDefault="00302BFE" w:rsidP="00243B15">
            <w:pPr>
              <w:pStyle w:val="BodyText23"/>
              <w:widowControl/>
              <w:tabs>
                <w:tab w:val="clear" w:pos="547"/>
              </w:tabs>
              <w:spacing w:after="60"/>
              <w:rPr>
                <w:rFonts w:ascii="Calibri" w:hAnsi="Calibri" w:cs="Calibri"/>
                <w:snapToGrid/>
                <w:sz w:val="18"/>
                <w:szCs w:val="18"/>
                <w:lang w:val="en-GB"/>
              </w:rPr>
            </w:pPr>
            <w:r w:rsidRPr="006E490C">
              <w:rPr>
                <w:rFonts w:ascii="Calibri" w:hAnsi="Calibri" w:cs="Calibri"/>
                <w:snapToGrid/>
                <w:sz w:val="18"/>
                <w:szCs w:val="18"/>
                <w:lang w:val="en-GB"/>
              </w:rPr>
              <w:t>None</w:t>
            </w:r>
            <w:r w:rsidRPr="006E490C">
              <w:rPr>
                <w:rFonts w:ascii="Calibri" w:hAnsi="Calibri" w:cs="Calibri"/>
                <w:snapToGrid/>
                <w:sz w:val="18"/>
                <w:szCs w:val="18"/>
                <w:lang w:val="en-GB"/>
              </w:rPr>
              <w:fldChar w:fldCharType="begin"/>
            </w:r>
            <w:r w:rsidRPr="006E490C">
              <w:rPr>
                <w:rFonts w:ascii="Calibri" w:hAnsi="Calibri" w:cs="Calibri"/>
                <w:snapToGrid/>
                <w:sz w:val="18"/>
                <w:szCs w:val="18"/>
                <w:lang w:val="en-GB"/>
              </w:rPr>
              <w:instrText xml:space="preserve"> NOTEREF _Ref434335281 \f \h </w:instrText>
            </w:r>
            <w:r>
              <w:rPr>
                <w:rFonts w:ascii="Calibri" w:hAnsi="Calibri" w:cs="Calibri"/>
                <w:snapToGrid/>
                <w:sz w:val="18"/>
                <w:szCs w:val="18"/>
                <w:lang w:val="en-GB"/>
              </w:rPr>
              <w:instrText xml:space="preserve"> \* MERGEFORMAT </w:instrText>
            </w:r>
            <w:r w:rsidRPr="006E490C">
              <w:rPr>
                <w:rFonts w:ascii="Calibri" w:hAnsi="Calibri" w:cs="Calibri"/>
                <w:snapToGrid/>
                <w:sz w:val="18"/>
                <w:szCs w:val="18"/>
                <w:lang w:val="en-GB"/>
              </w:rPr>
            </w:r>
            <w:r w:rsidRPr="006E490C">
              <w:rPr>
                <w:rFonts w:ascii="Calibri" w:hAnsi="Calibri" w:cs="Calibri"/>
                <w:snapToGrid/>
                <w:sz w:val="18"/>
                <w:szCs w:val="18"/>
                <w:lang w:val="en-GB"/>
              </w:rPr>
              <w:fldChar w:fldCharType="separate"/>
            </w:r>
            <w:r w:rsidR="00EB5F3C" w:rsidRPr="00EB5F3C">
              <w:rPr>
                <w:rStyle w:val="Appelnotedebasdep"/>
              </w:rPr>
              <w:t>76</w:t>
            </w:r>
            <w:r w:rsidRPr="006E490C">
              <w:rPr>
                <w:rFonts w:ascii="Calibri" w:hAnsi="Calibri" w:cs="Calibri"/>
                <w:snapToGrid/>
                <w:sz w:val="18"/>
                <w:szCs w:val="18"/>
                <w:lang w:val="en-GB"/>
              </w:rPr>
              <w:fldChar w:fldCharType="end"/>
            </w:r>
          </w:p>
        </w:tc>
        <w:tc>
          <w:tcPr>
            <w:tcW w:w="1451" w:type="dxa"/>
          </w:tcPr>
          <w:p w14:paraId="13B74B36" w14:textId="77777777" w:rsidR="00302BFE" w:rsidRPr="006E490C" w:rsidRDefault="00302BFE" w:rsidP="00243B15">
            <w:pPr>
              <w:pStyle w:val="BodyText23"/>
              <w:widowControl/>
              <w:tabs>
                <w:tab w:val="clear" w:pos="547"/>
              </w:tabs>
              <w:spacing w:after="60"/>
              <w:rPr>
                <w:rFonts w:ascii="Calibri" w:hAnsi="Calibri" w:cs="Calibri"/>
                <w:snapToGrid/>
                <w:sz w:val="18"/>
                <w:szCs w:val="18"/>
                <w:lang w:val="en-GB"/>
              </w:rPr>
            </w:pPr>
            <w:r w:rsidRPr="006E490C">
              <w:rPr>
                <w:rFonts w:ascii="Calibri" w:hAnsi="Calibri" w:cs="Calibri"/>
                <w:sz w:val="18"/>
                <w:szCs w:val="18"/>
              </w:rPr>
              <w:t>None</w:t>
            </w:r>
          </w:p>
        </w:tc>
        <w:tc>
          <w:tcPr>
            <w:tcW w:w="1854" w:type="dxa"/>
          </w:tcPr>
          <w:p w14:paraId="79CD1B19" w14:textId="77777777" w:rsidR="00302BFE" w:rsidRPr="006E490C" w:rsidRDefault="00302BFE" w:rsidP="00243B15">
            <w:pPr>
              <w:jc w:val="left"/>
              <w:rPr>
                <w:rFonts w:cs="Calibri"/>
                <w:sz w:val="18"/>
                <w:szCs w:val="18"/>
              </w:rPr>
            </w:pPr>
            <w:r w:rsidRPr="006E490C">
              <w:rPr>
                <w:rFonts w:cs="Calibri"/>
                <w:sz w:val="18"/>
                <w:szCs w:val="18"/>
              </w:rPr>
              <w:t>Troubleshooting as needed</w:t>
            </w:r>
          </w:p>
        </w:tc>
      </w:tr>
      <w:tr w:rsidR="00302BFE" w:rsidRPr="006E490C" w14:paraId="5931C191" w14:textId="77777777" w:rsidTr="000E4F17">
        <w:trPr>
          <w:gridBefore w:val="1"/>
          <w:wBefore w:w="9" w:type="dxa"/>
          <w:jc w:val="center"/>
        </w:trPr>
        <w:tc>
          <w:tcPr>
            <w:tcW w:w="3239" w:type="dxa"/>
          </w:tcPr>
          <w:p w14:paraId="209D16FA" w14:textId="77777777" w:rsidR="00302BFE" w:rsidRPr="006E490C" w:rsidRDefault="00302BFE" w:rsidP="00243B15">
            <w:pPr>
              <w:jc w:val="left"/>
              <w:rPr>
                <w:rFonts w:cs="Calibri"/>
                <w:b/>
                <w:sz w:val="18"/>
                <w:szCs w:val="18"/>
              </w:rPr>
            </w:pPr>
            <w:r w:rsidRPr="006E490C">
              <w:rPr>
                <w:rFonts w:cs="Calibri"/>
                <w:b/>
                <w:sz w:val="18"/>
                <w:szCs w:val="18"/>
              </w:rPr>
              <w:lastRenderedPageBreak/>
              <w:t xml:space="preserve">GEF Secretariat learning missions/site visits </w:t>
            </w:r>
          </w:p>
        </w:tc>
        <w:tc>
          <w:tcPr>
            <w:tcW w:w="2409" w:type="dxa"/>
          </w:tcPr>
          <w:p w14:paraId="45872BF8" w14:textId="77777777" w:rsidR="00302BFE" w:rsidRPr="006E490C" w:rsidRDefault="00302BFE" w:rsidP="00243B15">
            <w:pPr>
              <w:jc w:val="left"/>
              <w:rPr>
                <w:rFonts w:cs="Calibri"/>
                <w:sz w:val="18"/>
                <w:szCs w:val="18"/>
              </w:rPr>
            </w:pPr>
            <w:r w:rsidRPr="006E490C">
              <w:rPr>
                <w:rFonts w:cs="Calibri"/>
                <w:sz w:val="18"/>
                <w:szCs w:val="18"/>
              </w:rPr>
              <w:t>UNDP Country Office and Project Manager and UNDP-GEF team</w:t>
            </w:r>
          </w:p>
        </w:tc>
        <w:tc>
          <w:tcPr>
            <w:tcW w:w="1811" w:type="dxa"/>
          </w:tcPr>
          <w:p w14:paraId="6DAE96F1" w14:textId="77777777" w:rsidR="00302BFE" w:rsidRPr="006E490C" w:rsidRDefault="00302BFE" w:rsidP="00243B15">
            <w:pPr>
              <w:pStyle w:val="BodyText23"/>
              <w:widowControl/>
              <w:tabs>
                <w:tab w:val="clear" w:pos="547"/>
              </w:tabs>
              <w:spacing w:after="60"/>
              <w:rPr>
                <w:rFonts w:ascii="Calibri" w:hAnsi="Calibri" w:cs="Calibri"/>
                <w:snapToGrid/>
                <w:sz w:val="18"/>
                <w:szCs w:val="18"/>
                <w:lang w:val="en-GB"/>
              </w:rPr>
            </w:pPr>
            <w:r w:rsidRPr="006E490C">
              <w:rPr>
                <w:rFonts w:ascii="Calibri" w:hAnsi="Calibri" w:cs="Calibri"/>
                <w:snapToGrid/>
                <w:sz w:val="18"/>
                <w:szCs w:val="18"/>
                <w:lang w:val="en-GB"/>
              </w:rPr>
              <w:t>None</w:t>
            </w:r>
          </w:p>
        </w:tc>
        <w:tc>
          <w:tcPr>
            <w:tcW w:w="1451" w:type="dxa"/>
          </w:tcPr>
          <w:p w14:paraId="5DE19130" w14:textId="77777777" w:rsidR="00302BFE" w:rsidRPr="006E490C" w:rsidRDefault="00302BFE" w:rsidP="00243B15">
            <w:pPr>
              <w:pStyle w:val="BodyText23"/>
              <w:widowControl/>
              <w:tabs>
                <w:tab w:val="clear" w:pos="547"/>
              </w:tabs>
              <w:spacing w:after="60"/>
              <w:rPr>
                <w:rFonts w:ascii="Calibri" w:hAnsi="Calibri" w:cs="Calibri"/>
                <w:snapToGrid/>
                <w:sz w:val="18"/>
                <w:szCs w:val="18"/>
                <w:lang w:val="en-GB"/>
              </w:rPr>
            </w:pPr>
            <w:r w:rsidRPr="006E490C">
              <w:rPr>
                <w:rFonts w:ascii="Calibri" w:hAnsi="Calibri" w:cs="Calibri"/>
                <w:sz w:val="18"/>
                <w:szCs w:val="18"/>
              </w:rPr>
              <w:t>None</w:t>
            </w:r>
          </w:p>
        </w:tc>
        <w:tc>
          <w:tcPr>
            <w:tcW w:w="1854" w:type="dxa"/>
          </w:tcPr>
          <w:p w14:paraId="318BBF2C" w14:textId="77777777" w:rsidR="00302BFE" w:rsidRPr="006E490C" w:rsidRDefault="00302BFE" w:rsidP="00243B15">
            <w:pPr>
              <w:jc w:val="left"/>
              <w:rPr>
                <w:rFonts w:cs="Calibri"/>
                <w:sz w:val="18"/>
                <w:szCs w:val="18"/>
              </w:rPr>
            </w:pPr>
            <w:r w:rsidRPr="006E490C">
              <w:rPr>
                <w:rFonts w:cs="Calibri"/>
                <w:sz w:val="18"/>
                <w:szCs w:val="18"/>
              </w:rPr>
              <w:t>To be determined.</w:t>
            </w:r>
          </w:p>
        </w:tc>
      </w:tr>
      <w:tr w:rsidR="00302BFE" w:rsidRPr="006E490C" w14:paraId="673062A0" w14:textId="77777777" w:rsidTr="000E4F17">
        <w:trPr>
          <w:gridBefore w:val="1"/>
          <w:wBefore w:w="9" w:type="dxa"/>
          <w:jc w:val="center"/>
        </w:trPr>
        <w:tc>
          <w:tcPr>
            <w:tcW w:w="3239" w:type="dxa"/>
          </w:tcPr>
          <w:p w14:paraId="64DBB58F" w14:textId="77777777" w:rsidR="00302BFE" w:rsidRPr="006E490C" w:rsidRDefault="00302BFE" w:rsidP="00243B15">
            <w:pPr>
              <w:jc w:val="left"/>
              <w:rPr>
                <w:rFonts w:cs="Calibri"/>
                <w:b/>
                <w:sz w:val="18"/>
                <w:szCs w:val="18"/>
              </w:rPr>
            </w:pPr>
            <w:r w:rsidRPr="006E490C">
              <w:rPr>
                <w:rFonts w:cs="Calibri"/>
                <w:b/>
                <w:sz w:val="18"/>
                <w:szCs w:val="18"/>
              </w:rPr>
              <w:t>Evaluation of missing baseline values for the project indicators in the Project Result Framework</w:t>
            </w:r>
          </w:p>
        </w:tc>
        <w:tc>
          <w:tcPr>
            <w:tcW w:w="2409" w:type="dxa"/>
          </w:tcPr>
          <w:p w14:paraId="5BD11FA4" w14:textId="77777777" w:rsidR="00302BFE" w:rsidRPr="006E490C" w:rsidRDefault="00302BFE" w:rsidP="00243B15">
            <w:pPr>
              <w:jc w:val="left"/>
              <w:rPr>
                <w:rFonts w:cs="Calibri"/>
                <w:sz w:val="18"/>
                <w:szCs w:val="18"/>
              </w:rPr>
            </w:pPr>
            <w:r w:rsidRPr="006E490C">
              <w:rPr>
                <w:rFonts w:cs="Calibri"/>
                <w:sz w:val="18"/>
                <w:szCs w:val="18"/>
              </w:rPr>
              <w:t>Monitoring and Evaluation/Safeguards Expert</w:t>
            </w:r>
          </w:p>
          <w:p w14:paraId="00B7B79D" w14:textId="77777777" w:rsidR="00302BFE" w:rsidRPr="006E490C" w:rsidRDefault="00302BFE" w:rsidP="00243B15">
            <w:pPr>
              <w:jc w:val="left"/>
              <w:rPr>
                <w:rFonts w:cs="Calibri"/>
                <w:sz w:val="18"/>
                <w:szCs w:val="18"/>
              </w:rPr>
            </w:pPr>
            <w:r w:rsidRPr="006E490C">
              <w:rPr>
                <w:rFonts w:cs="Calibri"/>
                <w:sz w:val="18"/>
                <w:szCs w:val="18"/>
              </w:rPr>
              <w:t>With support of other project staff and consultants</w:t>
            </w:r>
          </w:p>
        </w:tc>
        <w:tc>
          <w:tcPr>
            <w:tcW w:w="1811" w:type="dxa"/>
          </w:tcPr>
          <w:p w14:paraId="230BBE21" w14:textId="77777777" w:rsidR="00302BFE" w:rsidRPr="006E490C" w:rsidRDefault="00302BFE" w:rsidP="00243B15">
            <w:pPr>
              <w:pStyle w:val="BodyText23"/>
              <w:widowControl/>
              <w:tabs>
                <w:tab w:val="clear" w:pos="547"/>
              </w:tabs>
              <w:spacing w:after="60"/>
              <w:rPr>
                <w:rFonts w:ascii="Calibri" w:hAnsi="Calibri" w:cs="Calibri"/>
                <w:snapToGrid/>
                <w:sz w:val="18"/>
                <w:szCs w:val="18"/>
                <w:lang w:val="en-GB"/>
              </w:rPr>
            </w:pPr>
            <w:r w:rsidRPr="006E490C">
              <w:rPr>
                <w:rFonts w:ascii="Calibri" w:hAnsi="Calibri" w:cs="Calibri"/>
                <w:snapToGrid/>
                <w:sz w:val="18"/>
                <w:szCs w:val="18"/>
                <w:lang w:val="en-GB"/>
              </w:rPr>
              <w:t>USD 18,500</w:t>
            </w:r>
            <w:r w:rsidRPr="006E490C">
              <w:rPr>
                <w:rStyle w:val="Appelnotedebasdep"/>
                <w:snapToGrid/>
                <w:szCs w:val="18"/>
                <w:lang w:val="en-GB"/>
              </w:rPr>
              <w:footnoteReference w:id="77"/>
            </w:r>
          </w:p>
        </w:tc>
        <w:tc>
          <w:tcPr>
            <w:tcW w:w="1451" w:type="dxa"/>
          </w:tcPr>
          <w:p w14:paraId="1489C565" w14:textId="77777777" w:rsidR="00302BFE" w:rsidRPr="006E490C" w:rsidRDefault="00302BFE" w:rsidP="00243B15">
            <w:pPr>
              <w:pStyle w:val="BodyText23"/>
              <w:widowControl/>
              <w:tabs>
                <w:tab w:val="clear" w:pos="547"/>
              </w:tabs>
              <w:spacing w:after="60"/>
              <w:rPr>
                <w:rFonts w:ascii="Calibri" w:hAnsi="Calibri" w:cs="Calibri"/>
                <w:sz w:val="18"/>
                <w:szCs w:val="18"/>
              </w:rPr>
            </w:pPr>
            <w:r w:rsidRPr="006E490C">
              <w:rPr>
                <w:rFonts w:ascii="Calibri" w:hAnsi="Calibri" w:cs="Calibri"/>
                <w:sz w:val="18"/>
                <w:szCs w:val="18"/>
              </w:rPr>
              <w:t>USD 5,000</w:t>
            </w:r>
          </w:p>
        </w:tc>
        <w:tc>
          <w:tcPr>
            <w:tcW w:w="1854" w:type="dxa"/>
          </w:tcPr>
          <w:p w14:paraId="046664A9" w14:textId="77777777" w:rsidR="00302BFE" w:rsidRPr="006E490C" w:rsidRDefault="00302BFE" w:rsidP="00243B15">
            <w:pPr>
              <w:jc w:val="left"/>
              <w:rPr>
                <w:rFonts w:cs="Calibri"/>
                <w:sz w:val="18"/>
                <w:szCs w:val="18"/>
              </w:rPr>
            </w:pPr>
            <w:r w:rsidRPr="006E490C">
              <w:rPr>
                <w:rFonts w:cs="Calibri"/>
                <w:sz w:val="18"/>
                <w:szCs w:val="18"/>
              </w:rPr>
              <w:t>First year of the project</w:t>
            </w:r>
          </w:p>
        </w:tc>
      </w:tr>
      <w:tr w:rsidR="00302BFE" w:rsidRPr="006E490C" w14:paraId="32CF5C67" w14:textId="77777777" w:rsidTr="000E4F17">
        <w:trPr>
          <w:gridBefore w:val="1"/>
          <w:wBefore w:w="9" w:type="dxa"/>
          <w:jc w:val="center"/>
        </w:trPr>
        <w:tc>
          <w:tcPr>
            <w:tcW w:w="3239" w:type="dxa"/>
          </w:tcPr>
          <w:p w14:paraId="4644714C" w14:textId="77777777" w:rsidR="00302BFE" w:rsidRPr="006E490C" w:rsidRDefault="00302BFE" w:rsidP="00243B15">
            <w:pPr>
              <w:jc w:val="left"/>
              <w:rPr>
                <w:rFonts w:cs="Calibri"/>
                <w:b/>
                <w:sz w:val="18"/>
                <w:szCs w:val="18"/>
              </w:rPr>
            </w:pPr>
            <w:r w:rsidRPr="006E490C">
              <w:rPr>
                <w:rFonts w:cs="Segoe UI"/>
                <w:b/>
                <w:color w:val="000000"/>
                <w:sz w:val="18"/>
                <w:szCs w:val="18"/>
              </w:rPr>
              <w:t xml:space="preserve">Development of an Environmental and Social Management </w:t>
            </w:r>
            <w:r>
              <w:rPr>
                <w:rFonts w:cs="Segoe UI"/>
                <w:b/>
                <w:color w:val="000000"/>
                <w:sz w:val="18"/>
                <w:szCs w:val="18"/>
              </w:rPr>
              <w:t>Plan</w:t>
            </w:r>
            <w:r w:rsidRPr="006E490C">
              <w:rPr>
                <w:rFonts w:cs="Segoe UI"/>
                <w:b/>
                <w:color w:val="000000"/>
                <w:sz w:val="18"/>
                <w:szCs w:val="18"/>
              </w:rPr>
              <w:t xml:space="preserve"> (ESM</w:t>
            </w:r>
            <w:r>
              <w:rPr>
                <w:rFonts w:cs="Segoe UI"/>
                <w:b/>
                <w:color w:val="000000"/>
                <w:sz w:val="18"/>
                <w:szCs w:val="18"/>
              </w:rPr>
              <w:t>P</w:t>
            </w:r>
            <w:r w:rsidRPr="006E490C">
              <w:rPr>
                <w:rFonts w:cs="Segoe UI"/>
                <w:b/>
                <w:color w:val="000000"/>
                <w:sz w:val="18"/>
                <w:szCs w:val="18"/>
              </w:rPr>
              <w:t>) and monitoring its implementation</w:t>
            </w:r>
          </w:p>
        </w:tc>
        <w:tc>
          <w:tcPr>
            <w:tcW w:w="2409" w:type="dxa"/>
          </w:tcPr>
          <w:p w14:paraId="4ABB589C" w14:textId="77777777" w:rsidR="00302BFE" w:rsidRPr="006E490C" w:rsidRDefault="00302BFE" w:rsidP="00243B15">
            <w:pPr>
              <w:jc w:val="left"/>
              <w:rPr>
                <w:rFonts w:cs="Calibri"/>
                <w:sz w:val="18"/>
                <w:szCs w:val="18"/>
              </w:rPr>
            </w:pPr>
            <w:r w:rsidRPr="006E490C">
              <w:rPr>
                <w:rFonts w:cs="Calibri"/>
                <w:sz w:val="18"/>
                <w:szCs w:val="18"/>
              </w:rPr>
              <w:t>Monitoring and Evaluation/Safeguards Expert</w:t>
            </w:r>
            <w:r>
              <w:rPr>
                <w:rFonts w:cs="Calibri"/>
                <w:sz w:val="18"/>
                <w:szCs w:val="18"/>
              </w:rPr>
              <w:t xml:space="preserve"> </w:t>
            </w:r>
            <w:r w:rsidRPr="006E490C">
              <w:rPr>
                <w:rFonts w:cs="Calibri"/>
                <w:sz w:val="18"/>
                <w:szCs w:val="18"/>
              </w:rPr>
              <w:t>with support of an ESM</w:t>
            </w:r>
            <w:r>
              <w:rPr>
                <w:rFonts w:cs="Calibri"/>
                <w:sz w:val="18"/>
                <w:szCs w:val="18"/>
              </w:rPr>
              <w:t>P</w:t>
            </w:r>
            <w:r w:rsidRPr="006E490C">
              <w:rPr>
                <w:rFonts w:cs="Calibri"/>
                <w:sz w:val="18"/>
                <w:szCs w:val="18"/>
              </w:rPr>
              <w:t xml:space="preserve"> consultant</w:t>
            </w:r>
          </w:p>
        </w:tc>
        <w:tc>
          <w:tcPr>
            <w:tcW w:w="1811" w:type="dxa"/>
          </w:tcPr>
          <w:p w14:paraId="10433703" w14:textId="77777777" w:rsidR="00302BFE" w:rsidRPr="006E490C" w:rsidRDefault="00302BFE" w:rsidP="00243B15">
            <w:pPr>
              <w:pStyle w:val="BodyText23"/>
              <w:widowControl/>
              <w:tabs>
                <w:tab w:val="clear" w:pos="547"/>
              </w:tabs>
              <w:spacing w:after="60"/>
              <w:rPr>
                <w:rFonts w:ascii="Calibri" w:hAnsi="Calibri" w:cs="Calibri"/>
                <w:snapToGrid/>
                <w:sz w:val="18"/>
                <w:szCs w:val="18"/>
                <w:lang w:val="en-GB"/>
              </w:rPr>
            </w:pPr>
            <w:r w:rsidRPr="006E490C">
              <w:rPr>
                <w:rFonts w:ascii="Calibri" w:hAnsi="Calibri" w:cs="Calibri"/>
                <w:snapToGrid/>
                <w:sz w:val="18"/>
                <w:szCs w:val="18"/>
                <w:lang w:val="en-GB"/>
              </w:rPr>
              <w:t xml:space="preserve">USD </w:t>
            </w:r>
            <w:r>
              <w:rPr>
                <w:rFonts w:ascii="Calibri" w:hAnsi="Calibri" w:cs="Calibri"/>
                <w:snapToGrid/>
                <w:sz w:val="18"/>
                <w:szCs w:val="18"/>
                <w:lang w:val="en-GB"/>
              </w:rPr>
              <w:t>30</w:t>
            </w:r>
            <w:r w:rsidRPr="006E490C">
              <w:rPr>
                <w:rFonts w:ascii="Calibri" w:hAnsi="Calibri" w:cs="Calibri"/>
                <w:snapToGrid/>
                <w:sz w:val="18"/>
                <w:szCs w:val="18"/>
                <w:lang w:val="en-GB"/>
              </w:rPr>
              <w:t>,500</w:t>
            </w:r>
            <w:r w:rsidRPr="006E490C">
              <w:rPr>
                <w:rStyle w:val="Appelnotedebasdep"/>
                <w:snapToGrid/>
                <w:szCs w:val="18"/>
                <w:lang w:val="en-GB"/>
              </w:rPr>
              <w:footnoteReference w:id="78"/>
            </w:r>
          </w:p>
        </w:tc>
        <w:tc>
          <w:tcPr>
            <w:tcW w:w="1451" w:type="dxa"/>
          </w:tcPr>
          <w:p w14:paraId="7DA21580" w14:textId="77777777" w:rsidR="00302BFE" w:rsidRPr="006E490C" w:rsidRDefault="00302BFE" w:rsidP="00243B15">
            <w:pPr>
              <w:pStyle w:val="BodyText23"/>
              <w:widowControl/>
              <w:tabs>
                <w:tab w:val="clear" w:pos="547"/>
              </w:tabs>
              <w:spacing w:after="60"/>
              <w:rPr>
                <w:rFonts w:ascii="Calibri" w:hAnsi="Calibri" w:cs="Calibri"/>
                <w:sz w:val="18"/>
                <w:szCs w:val="18"/>
              </w:rPr>
            </w:pPr>
            <w:r w:rsidRPr="006E490C">
              <w:rPr>
                <w:rFonts w:ascii="Calibri" w:hAnsi="Calibri" w:cs="Calibri"/>
                <w:sz w:val="18"/>
                <w:szCs w:val="18"/>
              </w:rPr>
              <w:t>USD 5,000</w:t>
            </w:r>
          </w:p>
        </w:tc>
        <w:tc>
          <w:tcPr>
            <w:tcW w:w="1854" w:type="dxa"/>
          </w:tcPr>
          <w:p w14:paraId="4E1FBE2B" w14:textId="77777777" w:rsidR="00302BFE" w:rsidRPr="006E490C" w:rsidRDefault="00302BFE" w:rsidP="00243B15">
            <w:pPr>
              <w:jc w:val="left"/>
              <w:rPr>
                <w:rFonts w:cs="Calibri"/>
                <w:sz w:val="18"/>
                <w:szCs w:val="18"/>
              </w:rPr>
            </w:pPr>
            <w:r w:rsidRPr="006E490C">
              <w:rPr>
                <w:rFonts w:cs="Calibri"/>
                <w:sz w:val="18"/>
                <w:szCs w:val="18"/>
              </w:rPr>
              <w:t>First year of the project</w:t>
            </w:r>
          </w:p>
        </w:tc>
      </w:tr>
      <w:tr w:rsidR="00302BFE" w:rsidRPr="006E490C" w14:paraId="50299E1E" w14:textId="77777777" w:rsidTr="000E4F17">
        <w:trPr>
          <w:gridBefore w:val="1"/>
          <w:wBefore w:w="9" w:type="dxa"/>
          <w:jc w:val="center"/>
        </w:trPr>
        <w:tc>
          <w:tcPr>
            <w:tcW w:w="3239" w:type="dxa"/>
          </w:tcPr>
          <w:p w14:paraId="58189AA8" w14:textId="77777777" w:rsidR="00302BFE" w:rsidRPr="006E490C" w:rsidRDefault="00302BFE" w:rsidP="00243B15">
            <w:pPr>
              <w:jc w:val="left"/>
              <w:rPr>
                <w:rFonts w:cs="Calibri"/>
                <w:b/>
                <w:sz w:val="18"/>
                <w:szCs w:val="18"/>
              </w:rPr>
            </w:pPr>
            <w:r w:rsidRPr="006E490C">
              <w:rPr>
                <w:rFonts w:cs="Calibri"/>
                <w:b/>
                <w:sz w:val="18"/>
                <w:szCs w:val="18"/>
              </w:rPr>
              <w:t xml:space="preserve">Mid-term GEF Core Indicators and GEF Tracking Tools to be updated by </w:t>
            </w:r>
            <w:r w:rsidRPr="006E490C">
              <w:rPr>
                <w:rFonts w:cs="Calibri"/>
                <w:sz w:val="18"/>
                <w:szCs w:val="18"/>
              </w:rPr>
              <w:t>the Monitoring and Evaluation/Safeguards Expert with the support of the Forest Engineer/ REDD+ specialist and Expert in PA Management</w:t>
            </w:r>
          </w:p>
        </w:tc>
        <w:tc>
          <w:tcPr>
            <w:tcW w:w="2409" w:type="dxa"/>
          </w:tcPr>
          <w:p w14:paraId="42F2048F" w14:textId="77777777" w:rsidR="00302BFE" w:rsidRPr="006E490C" w:rsidRDefault="00302BFE" w:rsidP="00243B15">
            <w:pPr>
              <w:jc w:val="left"/>
              <w:rPr>
                <w:rFonts w:cs="Calibri"/>
                <w:sz w:val="18"/>
                <w:szCs w:val="18"/>
              </w:rPr>
            </w:pPr>
            <w:r w:rsidRPr="006E490C">
              <w:rPr>
                <w:rFonts w:cs="Calibri"/>
                <w:sz w:val="18"/>
                <w:szCs w:val="18"/>
              </w:rPr>
              <w:t>Project Manager</w:t>
            </w:r>
          </w:p>
          <w:p w14:paraId="59A5C082" w14:textId="77777777" w:rsidR="00302BFE" w:rsidRPr="006E490C" w:rsidRDefault="00302BFE" w:rsidP="00243B15">
            <w:pPr>
              <w:jc w:val="left"/>
              <w:rPr>
                <w:rFonts w:cs="Calibri"/>
                <w:sz w:val="18"/>
                <w:szCs w:val="18"/>
              </w:rPr>
            </w:pPr>
            <w:r w:rsidRPr="006E490C">
              <w:rPr>
                <w:rFonts w:cs="Calibri"/>
                <w:sz w:val="18"/>
                <w:szCs w:val="18"/>
              </w:rPr>
              <w:t>Monitoring and Evaluation/Safeguards Expert</w:t>
            </w:r>
          </w:p>
          <w:p w14:paraId="46D71DE8" w14:textId="77777777" w:rsidR="00302BFE" w:rsidRPr="006E490C" w:rsidRDefault="00302BFE" w:rsidP="00243B15">
            <w:pPr>
              <w:jc w:val="left"/>
              <w:rPr>
                <w:rFonts w:cs="Calibri"/>
                <w:sz w:val="18"/>
                <w:szCs w:val="18"/>
              </w:rPr>
            </w:pPr>
            <w:r w:rsidRPr="006E490C">
              <w:rPr>
                <w:rFonts w:cs="Calibri"/>
                <w:sz w:val="18"/>
                <w:szCs w:val="18"/>
              </w:rPr>
              <w:t>With support of other project staff</w:t>
            </w:r>
          </w:p>
        </w:tc>
        <w:tc>
          <w:tcPr>
            <w:tcW w:w="1811" w:type="dxa"/>
          </w:tcPr>
          <w:p w14:paraId="45A32F96" w14:textId="77777777" w:rsidR="00302BFE" w:rsidRPr="006E490C" w:rsidRDefault="00302BFE" w:rsidP="00243B15">
            <w:pPr>
              <w:jc w:val="left"/>
              <w:rPr>
                <w:rFonts w:cs="Calibri"/>
                <w:sz w:val="18"/>
                <w:szCs w:val="18"/>
              </w:rPr>
            </w:pPr>
            <w:r w:rsidRPr="006E490C">
              <w:rPr>
                <w:rFonts w:cs="Calibri"/>
                <w:sz w:val="18"/>
                <w:szCs w:val="18"/>
              </w:rPr>
              <w:t>USD 10,000</w:t>
            </w:r>
          </w:p>
        </w:tc>
        <w:tc>
          <w:tcPr>
            <w:tcW w:w="1451" w:type="dxa"/>
          </w:tcPr>
          <w:p w14:paraId="20657352" w14:textId="77777777" w:rsidR="00302BFE" w:rsidRPr="006E490C" w:rsidRDefault="00302BFE" w:rsidP="00243B15">
            <w:pPr>
              <w:jc w:val="left"/>
              <w:rPr>
                <w:rFonts w:cs="Calibri"/>
                <w:i/>
                <w:sz w:val="18"/>
                <w:szCs w:val="18"/>
              </w:rPr>
            </w:pPr>
            <w:r w:rsidRPr="006E490C">
              <w:rPr>
                <w:rFonts w:cs="Calibri"/>
                <w:sz w:val="18"/>
                <w:szCs w:val="18"/>
              </w:rPr>
              <w:t>USD 6,000 (Per year for years 1, 2, 3: USD 2,000)</w:t>
            </w:r>
          </w:p>
        </w:tc>
        <w:tc>
          <w:tcPr>
            <w:tcW w:w="1854" w:type="dxa"/>
          </w:tcPr>
          <w:p w14:paraId="6F05E4DB" w14:textId="77777777" w:rsidR="00302BFE" w:rsidRPr="006E490C" w:rsidRDefault="00302BFE" w:rsidP="00243B15">
            <w:pPr>
              <w:jc w:val="left"/>
              <w:rPr>
                <w:rFonts w:cs="Calibri"/>
                <w:sz w:val="18"/>
                <w:szCs w:val="18"/>
              </w:rPr>
            </w:pPr>
            <w:r w:rsidRPr="006E490C">
              <w:rPr>
                <w:rFonts w:cs="Calibri"/>
                <w:sz w:val="18"/>
                <w:szCs w:val="18"/>
              </w:rPr>
              <w:t>Before mid-term review mission takes place.</w:t>
            </w:r>
          </w:p>
        </w:tc>
      </w:tr>
      <w:tr w:rsidR="00302BFE" w:rsidRPr="006E490C" w14:paraId="17035B71" w14:textId="77777777" w:rsidTr="000E4F17">
        <w:trPr>
          <w:gridBefore w:val="1"/>
          <w:wBefore w:w="9" w:type="dxa"/>
          <w:jc w:val="center"/>
        </w:trPr>
        <w:tc>
          <w:tcPr>
            <w:tcW w:w="3239" w:type="dxa"/>
          </w:tcPr>
          <w:p w14:paraId="67A3C8C7" w14:textId="77777777" w:rsidR="00302BFE" w:rsidRPr="006E490C" w:rsidRDefault="00302BFE" w:rsidP="00243B15">
            <w:pPr>
              <w:jc w:val="left"/>
              <w:rPr>
                <w:rFonts w:cs="Calibri"/>
                <w:b/>
                <w:sz w:val="18"/>
                <w:szCs w:val="18"/>
              </w:rPr>
            </w:pPr>
            <w:r w:rsidRPr="006E490C">
              <w:rPr>
                <w:rFonts w:cs="Calibri"/>
                <w:b/>
                <w:sz w:val="18"/>
                <w:szCs w:val="18"/>
              </w:rPr>
              <w:t xml:space="preserve">Independent Mid-term Review (MTR) and management response </w:t>
            </w:r>
          </w:p>
        </w:tc>
        <w:tc>
          <w:tcPr>
            <w:tcW w:w="2409" w:type="dxa"/>
          </w:tcPr>
          <w:p w14:paraId="115A5901" w14:textId="77777777" w:rsidR="00302BFE" w:rsidRPr="006E490C" w:rsidRDefault="00302BFE" w:rsidP="00243B15">
            <w:pPr>
              <w:jc w:val="left"/>
              <w:rPr>
                <w:rFonts w:cs="Calibri"/>
                <w:sz w:val="18"/>
                <w:szCs w:val="18"/>
              </w:rPr>
            </w:pPr>
            <w:r w:rsidRPr="006E490C">
              <w:rPr>
                <w:rFonts w:cs="Calibri"/>
                <w:sz w:val="18"/>
                <w:szCs w:val="18"/>
              </w:rPr>
              <w:t>UNDP Country Office and Project team and UNDP-GEF team</w:t>
            </w:r>
          </w:p>
        </w:tc>
        <w:tc>
          <w:tcPr>
            <w:tcW w:w="1811" w:type="dxa"/>
          </w:tcPr>
          <w:p w14:paraId="5215459E" w14:textId="77777777" w:rsidR="00302BFE" w:rsidRPr="006E490C" w:rsidRDefault="00302BFE" w:rsidP="00243B15">
            <w:pPr>
              <w:jc w:val="left"/>
              <w:rPr>
                <w:rFonts w:cs="Calibri"/>
                <w:i/>
                <w:sz w:val="18"/>
                <w:szCs w:val="18"/>
              </w:rPr>
            </w:pPr>
            <w:r w:rsidRPr="006E490C">
              <w:rPr>
                <w:rFonts w:cs="Calibri"/>
                <w:sz w:val="18"/>
                <w:szCs w:val="18"/>
              </w:rPr>
              <w:t>USD 30,000</w:t>
            </w:r>
          </w:p>
        </w:tc>
        <w:tc>
          <w:tcPr>
            <w:tcW w:w="1451" w:type="dxa"/>
          </w:tcPr>
          <w:p w14:paraId="151C9877" w14:textId="77777777" w:rsidR="00302BFE" w:rsidRPr="006E490C" w:rsidRDefault="00302BFE" w:rsidP="00243B15">
            <w:pPr>
              <w:jc w:val="left"/>
              <w:rPr>
                <w:rFonts w:cs="Calibri"/>
                <w:i/>
                <w:sz w:val="18"/>
                <w:szCs w:val="18"/>
              </w:rPr>
            </w:pPr>
            <w:r w:rsidRPr="006E490C">
              <w:rPr>
                <w:rFonts w:cs="Calibri"/>
                <w:sz w:val="18"/>
                <w:szCs w:val="18"/>
              </w:rPr>
              <w:t>USD 7,500</w:t>
            </w:r>
          </w:p>
        </w:tc>
        <w:tc>
          <w:tcPr>
            <w:tcW w:w="1854" w:type="dxa"/>
          </w:tcPr>
          <w:p w14:paraId="0511CD73" w14:textId="77777777" w:rsidR="00302BFE" w:rsidRPr="006E490C" w:rsidRDefault="00302BFE" w:rsidP="00243B15">
            <w:pPr>
              <w:jc w:val="left"/>
              <w:rPr>
                <w:rFonts w:cs="Calibri"/>
                <w:sz w:val="18"/>
                <w:szCs w:val="18"/>
              </w:rPr>
            </w:pPr>
            <w:r w:rsidRPr="006E490C">
              <w:rPr>
                <w:rFonts w:cs="Calibri"/>
                <w:sz w:val="18"/>
                <w:szCs w:val="18"/>
              </w:rPr>
              <w:t>Between 2</w:t>
            </w:r>
            <w:r w:rsidRPr="006E490C">
              <w:rPr>
                <w:rFonts w:cs="Calibri"/>
                <w:sz w:val="18"/>
                <w:szCs w:val="18"/>
                <w:vertAlign w:val="superscript"/>
              </w:rPr>
              <w:t>nd</w:t>
            </w:r>
            <w:r w:rsidRPr="006E490C">
              <w:rPr>
                <w:rFonts w:cs="Calibri"/>
                <w:sz w:val="18"/>
                <w:szCs w:val="18"/>
              </w:rPr>
              <w:t xml:space="preserve"> and 3</w:t>
            </w:r>
            <w:r w:rsidRPr="006E490C">
              <w:rPr>
                <w:rFonts w:cs="Calibri"/>
                <w:sz w:val="18"/>
                <w:szCs w:val="18"/>
                <w:vertAlign w:val="superscript"/>
              </w:rPr>
              <w:t>rd</w:t>
            </w:r>
            <w:r w:rsidRPr="006E490C">
              <w:rPr>
                <w:rFonts w:cs="Calibri"/>
                <w:sz w:val="18"/>
                <w:szCs w:val="18"/>
              </w:rPr>
              <w:t xml:space="preserve"> PIR.  </w:t>
            </w:r>
          </w:p>
        </w:tc>
      </w:tr>
      <w:tr w:rsidR="00302BFE" w:rsidRPr="006E490C" w14:paraId="2F7E33C3" w14:textId="77777777" w:rsidTr="000E4F17">
        <w:trPr>
          <w:gridBefore w:val="1"/>
          <w:wBefore w:w="9" w:type="dxa"/>
          <w:jc w:val="center"/>
        </w:trPr>
        <w:tc>
          <w:tcPr>
            <w:tcW w:w="3239" w:type="dxa"/>
          </w:tcPr>
          <w:p w14:paraId="76D7CD66" w14:textId="77777777" w:rsidR="00302BFE" w:rsidRPr="006E490C" w:rsidRDefault="00302BFE" w:rsidP="00243B15">
            <w:pPr>
              <w:jc w:val="left"/>
              <w:rPr>
                <w:rFonts w:cs="Calibri"/>
                <w:b/>
                <w:sz w:val="18"/>
                <w:szCs w:val="18"/>
              </w:rPr>
            </w:pPr>
            <w:r w:rsidRPr="006E490C">
              <w:rPr>
                <w:rFonts w:cs="Calibri"/>
                <w:b/>
                <w:sz w:val="18"/>
                <w:szCs w:val="18"/>
              </w:rPr>
              <w:t xml:space="preserve">Terminal GEF Core Indicators and GEF Tracking Tool to be updated by </w:t>
            </w:r>
            <w:r w:rsidRPr="006E490C">
              <w:rPr>
                <w:rFonts w:cs="Calibri"/>
                <w:sz w:val="18"/>
                <w:szCs w:val="18"/>
              </w:rPr>
              <w:t>the Monitoring and Evaluation/Safeguards Expert with the support of the Forest Engineer/ REDD+ specialist and Expert in PA Management</w:t>
            </w:r>
          </w:p>
        </w:tc>
        <w:tc>
          <w:tcPr>
            <w:tcW w:w="2409" w:type="dxa"/>
          </w:tcPr>
          <w:p w14:paraId="4FEFA99B" w14:textId="77777777" w:rsidR="00302BFE" w:rsidRPr="006E490C" w:rsidRDefault="00302BFE" w:rsidP="00243B15">
            <w:pPr>
              <w:jc w:val="left"/>
              <w:rPr>
                <w:rFonts w:cs="Calibri"/>
                <w:sz w:val="18"/>
                <w:szCs w:val="18"/>
              </w:rPr>
            </w:pPr>
            <w:r w:rsidRPr="006E490C">
              <w:rPr>
                <w:rFonts w:cs="Calibri"/>
                <w:sz w:val="18"/>
                <w:szCs w:val="18"/>
              </w:rPr>
              <w:t xml:space="preserve">Project Manager </w:t>
            </w:r>
          </w:p>
          <w:p w14:paraId="384A7A59" w14:textId="77777777" w:rsidR="00302BFE" w:rsidRPr="006E490C" w:rsidRDefault="00302BFE" w:rsidP="00243B15">
            <w:pPr>
              <w:jc w:val="left"/>
              <w:rPr>
                <w:rFonts w:cs="Calibri"/>
                <w:sz w:val="18"/>
                <w:szCs w:val="18"/>
              </w:rPr>
            </w:pPr>
            <w:r w:rsidRPr="006E490C">
              <w:rPr>
                <w:rFonts w:cs="Calibri"/>
                <w:sz w:val="18"/>
                <w:szCs w:val="18"/>
              </w:rPr>
              <w:t>Monitoring and Evaluation/Safeguards Expert</w:t>
            </w:r>
          </w:p>
          <w:p w14:paraId="1C447669" w14:textId="77777777" w:rsidR="00302BFE" w:rsidRPr="006E490C" w:rsidRDefault="00302BFE" w:rsidP="00243B15">
            <w:pPr>
              <w:jc w:val="left"/>
              <w:rPr>
                <w:rFonts w:cs="Calibri"/>
                <w:sz w:val="18"/>
                <w:szCs w:val="18"/>
              </w:rPr>
            </w:pPr>
            <w:r w:rsidRPr="006E490C">
              <w:rPr>
                <w:rFonts w:cs="Calibri"/>
                <w:sz w:val="18"/>
                <w:szCs w:val="18"/>
              </w:rPr>
              <w:t>With support of other project staff</w:t>
            </w:r>
          </w:p>
        </w:tc>
        <w:tc>
          <w:tcPr>
            <w:tcW w:w="1811" w:type="dxa"/>
          </w:tcPr>
          <w:p w14:paraId="097F57F7" w14:textId="77777777" w:rsidR="00302BFE" w:rsidRPr="006E490C" w:rsidRDefault="00302BFE" w:rsidP="00243B15">
            <w:pPr>
              <w:jc w:val="left"/>
              <w:rPr>
                <w:rFonts w:cs="Calibri"/>
                <w:sz w:val="18"/>
                <w:szCs w:val="18"/>
              </w:rPr>
            </w:pPr>
            <w:r w:rsidRPr="006E490C">
              <w:rPr>
                <w:rFonts w:cs="Calibri"/>
                <w:sz w:val="18"/>
                <w:szCs w:val="18"/>
              </w:rPr>
              <w:t xml:space="preserve">USD 10,000 </w:t>
            </w:r>
          </w:p>
        </w:tc>
        <w:tc>
          <w:tcPr>
            <w:tcW w:w="1451" w:type="dxa"/>
          </w:tcPr>
          <w:p w14:paraId="755E4C95" w14:textId="77777777" w:rsidR="00302BFE" w:rsidRPr="006E490C" w:rsidRDefault="00302BFE" w:rsidP="00243B15">
            <w:pPr>
              <w:jc w:val="left"/>
              <w:rPr>
                <w:rFonts w:cs="Calibri"/>
                <w:sz w:val="18"/>
                <w:szCs w:val="18"/>
              </w:rPr>
            </w:pPr>
            <w:r w:rsidRPr="006E490C">
              <w:rPr>
                <w:rFonts w:cs="Calibri"/>
                <w:sz w:val="18"/>
                <w:szCs w:val="18"/>
              </w:rPr>
              <w:t>USD 6,000 (Per year for years 4, 5, 6: USD 2,000)</w:t>
            </w:r>
          </w:p>
        </w:tc>
        <w:tc>
          <w:tcPr>
            <w:tcW w:w="1854" w:type="dxa"/>
          </w:tcPr>
          <w:p w14:paraId="3DACF6A0" w14:textId="77777777" w:rsidR="00302BFE" w:rsidRPr="006E490C" w:rsidRDefault="00302BFE" w:rsidP="00243B15">
            <w:pPr>
              <w:jc w:val="left"/>
              <w:rPr>
                <w:rFonts w:cs="Calibri"/>
                <w:sz w:val="18"/>
                <w:szCs w:val="18"/>
              </w:rPr>
            </w:pPr>
            <w:r w:rsidRPr="006E490C">
              <w:rPr>
                <w:rFonts w:cs="Calibri"/>
                <w:sz w:val="18"/>
                <w:szCs w:val="18"/>
              </w:rPr>
              <w:t>Before terminal evaluation mission takes place</w:t>
            </w:r>
          </w:p>
        </w:tc>
      </w:tr>
      <w:tr w:rsidR="00302BFE" w:rsidRPr="006E490C" w14:paraId="2B067CF2" w14:textId="77777777" w:rsidTr="000E4F17">
        <w:trPr>
          <w:gridBefore w:val="1"/>
          <w:wBefore w:w="9" w:type="dxa"/>
          <w:jc w:val="center"/>
        </w:trPr>
        <w:tc>
          <w:tcPr>
            <w:tcW w:w="3239" w:type="dxa"/>
          </w:tcPr>
          <w:p w14:paraId="17949F4D" w14:textId="77777777" w:rsidR="00302BFE" w:rsidRPr="006E490C" w:rsidRDefault="00302BFE" w:rsidP="00243B15">
            <w:pPr>
              <w:jc w:val="left"/>
              <w:rPr>
                <w:rFonts w:cs="Calibri"/>
                <w:b/>
                <w:sz w:val="18"/>
                <w:szCs w:val="18"/>
              </w:rPr>
            </w:pPr>
            <w:r w:rsidRPr="006E490C">
              <w:rPr>
                <w:rFonts w:cs="Calibri"/>
                <w:b/>
                <w:sz w:val="18"/>
                <w:szCs w:val="18"/>
              </w:rPr>
              <w:t>Independent Terminal Evaluation (TE) included in UNDP evaluation plan, and management response</w:t>
            </w:r>
          </w:p>
        </w:tc>
        <w:tc>
          <w:tcPr>
            <w:tcW w:w="2409" w:type="dxa"/>
          </w:tcPr>
          <w:p w14:paraId="3BB0102F" w14:textId="77777777" w:rsidR="00302BFE" w:rsidRPr="006E490C" w:rsidRDefault="00302BFE" w:rsidP="00243B15">
            <w:pPr>
              <w:jc w:val="left"/>
              <w:rPr>
                <w:rFonts w:cs="Calibri"/>
                <w:sz w:val="18"/>
                <w:szCs w:val="18"/>
              </w:rPr>
            </w:pPr>
            <w:r w:rsidRPr="006E490C">
              <w:rPr>
                <w:rFonts w:cs="Calibri"/>
                <w:sz w:val="18"/>
                <w:szCs w:val="18"/>
              </w:rPr>
              <w:t>UNDP Country Office and Project team and UNDP-GEF team</w:t>
            </w:r>
          </w:p>
        </w:tc>
        <w:tc>
          <w:tcPr>
            <w:tcW w:w="1811" w:type="dxa"/>
          </w:tcPr>
          <w:p w14:paraId="6C69B24A" w14:textId="77777777" w:rsidR="00302BFE" w:rsidRPr="006E490C" w:rsidRDefault="00302BFE" w:rsidP="00243B15">
            <w:pPr>
              <w:jc w:val="left"/>
              <w:rPr>
                <w:rFonts w:cs="Calibri"/>
                <w:sz w:val="18"/>
                <w:szCs w:val="18"/>
              </w:rPr>
            </w:pPr>
            <w:r w:rsidRPr="006E490C">
              <w:rPr>
                <w:rFonts w:cs="Calibri"/>
                <w:sz w:val="18"/>
                <w:szCs w:val="18"/>
              </w:rPr>
              <w:t>USD 35,000</w:t>
            </w:r>
          </w:p>
        </w:tc>
        <w:tc>
          <w:tcPr>
            <w:tcW w:w="1451" w:type="dxa"/>
          </w:tcPr>
          <w:p w14:paraId="2DE9AB35" w14:textId="77777777" w:rsidR="00302BFE" w:rsidRPr="006E490C" w:rsidRDefault="00302BFE" w:rsidP="00243B15">
            <w:pPr>
              <w:tabs>
                <w:tab w:val="center" w:pos="1216"/>
              </w:tabs>
              <w:jc w:val="left"/>
              <w:rPr>
                <w:rFonts w:cs="Calibri"/>
                <w:sz w:val="18"/>
                <w:szCs w:val="18"/>
              </w:rPr>
            </w:pPr>
            <w:r w:rsidRPr="006E490C">
              <w:rPr>
                <w:rFonts w:cs="Calibri"/>
                <w:sz w:val="18"/>
                <w:szCs w:val="18"/>
              </w:rPr>
              <w:t>USD 6,000</w:t>
            </w:r>
          </w:p>
        </w:tc>
        <w:tc>
          <w:tcPr>
            <w:tcW w:w="1854" w:type="dxa"/>
          </w:tcPr>
          <w:p w14:paraId="7859E080" w14:textId="77777777" w:rsidR="00302BFE" w:rsidRPr="006E490C" w:rsidRDefault="00302BFE" w:rsidP="00243B15">
            <w:pPr>
              <w:jc w:val="left"/>
              <w:rPr>
                <w:rFonts w:cs="Calibri"/>
                <w:sz w:val="18"/>
                <w:szCs w:val="18"/>
              </w:rPr>
            </w:pPr>
            <w:r w:rsidRPr="006E490C">
              <w:rPr>
                <w:rFonts w:cs="Calibri"/>
                <w:sz w:val="18"/>
                <w:szCs w:val="18"/>
              </w:rPr>
              <w:t>At least three months before operational closure</w:t>
            </w:r>
          </w:p>
        </w:tc>
      </w:tr>
      <w:tr w:rsidR="00302BFE" w:rsidRPr="006E490C" w14:paraId="6583D907" w14:textId="77777777" w:rsidTr="000E4F17">
        <w:trPr>
          <w:gridBefore w:val="1"/>
          <w:wBefore w:w="9" w:type="dxa"/>
          <w:jc w:val="center"/>
        </w:trPr>
        <w:tc>
          <w:tcPr>
            <w:tcW w:w="3239" w:type="dxa"/>
          </w:tcPr>
          <w:p w14:paraId="32F41FDD" w14:textId="77777777" w:rsidR="00302BFE" w:rsidRPr="006E490C" w:rsidRDefault="00302BFE" w:rsidP="00243B15">
            <w:pPr>
              <w:jc w:val="left"/>
              <w:rPr>
                <w:rFonts w:cs="Calibri"/>
                <w:b/>
                <w:sz w:val="18"/>
                <w:szCs w:val="18"/>
              </w:rPr>
            </w:pPr>
            <w:r w:rsidRPr="006E490C">
              <w:rPr>
                <w:rFonts w:cs="Calibri"/>
                <w:b/>
                <w:sz w:val="18"/>
                <w:szCs w:val="18"/>
              </w:rPr>
              <w:t>Translation of MTR and TE reports into English</w:t>
            </w:r>
          </w:p>
        </w:tc>
        <w:tc>
          <w:tcPr>
            <w:tcW w:w="2409" w:type="dxa"/>
          </w:tcPr>
          <w:p w14:paraId="5A7733DB" w14:textId="77777777" w:rsidR="00302BFE" w:rsidRPr="006E490C" w:rsidRDefault="00302BFE" w:rsidP="00243B15">
            <w:pPr>
              <w:jc w:val="left"/>
              <w:rPr>
                <w:rFonts w:cs="Calibri"/>
                <w:sz w:val="18"/>
                <w:szCs w:val="18"/>
              </w:rPr>
            </w:pPr>
            <w:r w:rsidRPr="006E490C">
              <w:rPr>
                <w:rFonts w:cs="Calibri"/>
                <w:sz w:val="18"/>
                <w:szCs w:val="18"/>
              </w:rPr>
              <w:t>UNDP Country Office</w:t>
            </w:r>
          </w:p>
        </w:tc>
        <w:tc>
          <w:tcPr>
            <w:tcW w:w="1811" w:type="dxa"/>
          </w:tcPr>
          <w:p w14:paraId="2A0D38D8" w14:textId="77777777" w:rsidR="00302BFE" w:rsidRPr="006E490C" w:rsidRDefault="00302BFE" w:rsidP="00243B15">
            <w:pPr>
              <w:jc w:val="left"/>
              <w:rPr>
                <w:rFonts w:cs="Calibri"/>
                <w:sz w:val="18"/>
                <w:szCs w:val="18"/>
              </w:rPr>
            </w:pPr>
            <w:r w:rsidRPr="006E490C">
              <w:rPr>
                <w:rFonts w:cs="Calibri"/>
                <w:sz w:val="18"/>
                <w:szCs w:val="18"/>
              </w:rPr>
              <w:t>USD 10,000 (USD 5,000 / report)</w:t>
            </w:r>
          </w:p>
        </w:tc>
        <w:tc>
          <w:tcPr>
            <w:tcW w:w="1451" w:type="dxa"/>
          </w:tcPr>
          <w:p w14:paraId="584A799A" w14:textId="77777777" w:rsidR="00302BFE" w:rsidRPr="006E490C" w:rsidRDefault="00302BFE" w:rsidP="00243B15">
            <w:pPr>
              <w:jc w:val="left"/>
              <w:rPr>
                <w:rFonts w:cs="Calibri"/>
                <w:sz w:val="18"/>
                <w:szCs w:val="18"/>
              </w:rPr>
            </w:pPr>
            <w:r w:rsidRPr="006E490C">
              <w:rPr>
                <w:rFonts w:cs="Calibri"/>
                <w:sz w:val="18"/>
                <w:szCs w:val="18"/>
              </w:rPr>
              <w:t>None</w:t>
            </w:r>
          </w:p>
        </w:tc>
        <w:tc>
          <w:tcPr>
            <w:tcW w:w="1854" w:type="dxa"/>
          </w:tcPr>
          <w:p w14:paraId="3C27FF8F" w14:textId="77777777" w:rsidR="00302BFE" w:rsidRPr="006E490C" w:rsidRDefault="00302BFE" w:rsidP="00243B15">
            <w:pPr>
              <w:jc w:val="left"/>
              <w:rPr>
                <w:rFonts w:cs="Calibri"/>
                <w:sz w:val="18"/>
                <w:szCs w:val="18"/>
              </w:rPr>
            </w:pPr>
            <w:r w:rsidRPr="006E490C">
              <w:rPr>
                <w:rFonts w:cs="Calibri"/>
                <w:sz w:val="18"/>
                <w:szCs w:val="18"/>
              </w:rPr>
              <w:t>As required.  GEF will only accept reports in English.</w:t>
            </w:r>
          </w:p>
        </w:tc>
      </w:tr>
      <w:tr w:rsidR="00272066" w:rsidRPr="0003763F" w14:paraId="337B9B42" w14:textId="77777777" w:rsidTr="000E4F17">
        <w:trPr>
          <w:gridBefore w:val="1"/>
          <w:wBefore w:w="9" w:type="dxa"/>
          <w:cantSplit/>
          <w:trHeight w:val="710"/>
          <w:jc w:val="center"/>
        </w:trPr>
        <w:tc>
          <w:tcPr>
            <w:tcW w:w="5648" w:type="dxa"/>
            <w:gridSpan w:val="2"/>
            <w:shd w:val="clear" w:color="auto" w:fill="E6E6E6"/>
          </w:tcPr>
          <w:p w14:paraId="0E29D7B5" w14:textId="77777777" w:rsidR="00272066" w:rsidRPr="006E490C" w:rsidRDefault="00272066" w:rsidP="00272066">
            <w:pPr>
              <w:jc w:val="left"/>
              <w:rPr>
                <w:rFonts w:cs="Calibri"/>
                <w:b/>
                <w:sz w:val="18"/>
                <w:szCs w:val="18"/>
              </w:rPr>
            </w:pPr>
            <w:r w:rsidRPr="006E490C">
              <w:rPr>
                <w:rFonts w:cs="Calibri"/>
                <w:b/>
                <w:sz w:val="18"/>
                <w:szCs w:val="18"/>
              </w:rPr>
              <w:t xml:space="preserve">TOTAL indicative COST </w:t>
            </w:r>
          </w:p>
          <w:p w14:paraId="7644FF63" w14:textId="77777777" w:rsidR="00272066" w:rsidRPr="006E490C" w:rsidRDefault="00272066" w:rsidP="00272066">
            <w:pPr>
              <w:jc w:val="left"/>
              <w:rPr>
                <w:rFonts w:cs="Calibri"/>
                <w:sz w:val="18"/>
                <w:szCs w:val="18"/>
              </w:rPr>
            </w:pPr>
            <w:r w:rsidRPr="006E490C">
              <w:rPr>
                <w:rFonts w:cs="Calibri"/>
                <w:sz w:val="18"/>
                <w:szCs w:val="18"/>
              </w:rPr>
              <w:t xml:space="preserve">Excluding project team staff time, and UNDP staff and travel expenses </w:t>
            </w:r>
          </w:p>
        </w:tc>
        <w:tc>
          <w:tcPr>
            <w:tcW w:w="1811" w:type="dxa"/>
            <w:shd w:val="clear" w:color="auto" w:fill="E6E6E6"/>
          </w:tcPr>
          <w:p w14:paraId="5006617D" w14:textId="77777777" w:rsidR="00272066" w:rsidRPr="0027290A" w:rsidRDefault="00272066" w:rsidP="00272066">
            <w:pPr>
              <w:jc w:val="left"/>
              <w:rPr>
                <w:rFonts w:cs="Calibri"/>
                <w:sz w:val="18"/>
                <w:szCs w:val="18"/>
              </w:rPr>
            </w:pPr>
            <w:r w:rsidRPr="006E490C">
              <w:rPr>
                <w:rFonts w:cs="Calibri"/>
                <w:sz w:val="18"/>
                <w:szCs w:val="18"/>
              </w:rPr>
              <w:t xml:space="preserve">USD </w:t>
            </w:r>
            <w:r>
              <w:rPr>
                <w:rFonts w:cs="Calibri"/>
                <w:sz w:val="18"/>
                <w:szCs w:val="18"/>
              </w:rPr>
              <w:t>204</w:t>
            </w:r>
            <w:r w:rsidRPr="006E490C">
              <w:rPr>
                <w:rFonts w:cs="Calibri"/>
                <w:sz w:val="18"/>
                <w:szCs w:val="18"/>
              </w:rPr>
              <w:t>,400</w:t>
            </w:r>
          </w:p>
        </w:tc>
        <w:tc>
          <w:tcPr>
            <w:tcW w:w="1451" w:type="dxa"/>
            <w:shd w:val="clear" w:color="auto" w:fill="E6E6E6"/>
          </w:tcPr>
          <w:p w14:paraId="1FD6E13D" w14:textId="4BCFC25F" w:rsidR="00272066" w:rsidRPr="006E490C" w:rsidRDefault="00272066" w:rsidP="00272066">
            <w:pPr>
              <w:jc w:val="left"/>
              <w:rPr>
                <w:rFonts w:cs="Calibri"/>
                <w:sz w:val="18"/>
                <w:szCs w:val="18"/>
              </w:rPr>
            </w:pPr>
            <w:r w:rsidRPr="006E490C">
              <w:rPr>
                <w:rFonts w:cs="Calibri"/>
                <w:sz w:val="18"/>
                <w:szCs w:val="18"/>
              </w:rPr>
              <w:t>USD 60,000</w:t>
            </w:r>
          </w:p>
        </w:tc>
        <w:tc>
          <w:tcPr>
            <w:tcW w:w="1854" w:type="dxa"/>
            <w:shd w:val="clear" w:color="auto" w:fill="E6E6E6"/>
          </w:tcPr>
          <w:p w14:paraId="118B990F" w14:textId="77777777" w:rsidR="00272066" w:rsidRPr="006E490C" w:rsidRDefault="00272066" w:rsidP="00272066">
            <w:pPr>
              <w:jc w:val="left"/>
              <w:rPr>
                <w:rFonts w:cs="Calibri"/>
                <w:sz w:val="18"/>
                <w:szCs w:val="18"/>
              </w:rPr>
            </w:pPr>
          </w:p>
        </w:tc>
      </w:tr>
    </w:tbl>
    <w:p w14:paraId="27FFFF68" w14:textId="77777777" w:rsidR="00302BFE" w:rsidRDefault="00302BFE" w:rsidP="00302BFE">
      <w:pPr>
        <w:spacing w:before="240"/>
        <w:rPr>
          <w:rFonts w:cs="Arial"/>
          <w:b/>
          <w:bCs/>
          <w:szCs w:val="20"/>
        </w:rPr>
      </w:pPr>
    </w:p>
    <w:p w14:paraId="22F5F6C0" w14:textId="77777777" w:rsidR="00302BFE" w:rsidRPr="0003763F" w:rsidRDefault="00302BFE" w:rsidP="00302BFE">
      <w:pPr>
        <w:pStyle w:val="Titre1"/>
        <w:spacing w:before="0" w:after="0"/>
        <w:rPr>
          <w:rFonts w:ascii="Calibri" w:hAnsi="Calibri"/>
        </w:rPr>
      </w:pPr>
      <w:bookmarkStart w:id="32" w:name="_Toc9961795"/>
      <w:bookmarkStart w:id="33" w:name="_Hlk8383377"/>
      <w:r w:rsidRPr="0003763F">
        <w:rPr>
          <w:rFonts w:ascii="Calibri" w:hAnsi="Calibri"/>
        </w:rPr>
        <w:t>Governance and Management Arrangements</w:t>
      </w:r>
      <w:bookmarkEnd w:id="32"/>
      <w:r w:rsidRPr="0003763F">
        <w:rPr>
          <w:rFonts w:ascii="Calibri" w:hAnsi="Calibri"/>
        </w:rPr>
        <w:t xml:space="preserve"> </w:t>
      </w:r>
    </w:p>
    <w:p w14:paraId="5107DF8B" w14:textId="4C3B08B7" w:rsidR="00302BFE" w:rsidRPr="00755BF9" w:rsidRDefault="00302BFE" w:rsidP="00C46720">
      <w:pPr>
        <w:pStyle w:val="Paragraphedeliste"/>
        <w:numPr>
          <w:ilvl w:val="0"/>
          <w:numId w:val="14"/>
        </w:numPr>
        <w:tabs>
          <w:tab w:val="left" w:pos="284"/>
        </w:tabs>
        <w:spacing w:before="120" w:after="120"/>
        <w:ind w:left="0" w:firstLine="0"/>
        <w:jc w:val="both"/>
        <w:rPr>
          <w:rFonts w:ascii="Calibri" w:hAnsi="Calibri" w:cs="Calibri"/>
          <w:sz w:val="20"/>
          <w:szCs w:val="20"/>
          <w:u w:val="single"/>
        </w:rPr>
      </w:pPr>
      <w:r w:rsidRPr="005B1365">
        <w:rPr>
          <w:rFonts w:ascii="Calibri" w:hAnsi="Calibri" w:cs="Arial"/>
          <w:noProof/>
          <w:sz w:val="20"/>
          <w:szCs w:val="20"/>
          <w:u w:val="single"/>
          <w:lang w:eastAsia="zh-CN"/>
        </w:rPr>
        <w:t>Roles and responsibilities of the project’s governance mechanism</w:t>
      </w:r>
      <w:r w:rsidRPr="005B1365">
        <w:rPr>
          <w:rFonts w:ascii="Calibri" w:hAnsi="Calibri" w:cs="Arial"/>
          <w:noProof/>
          <w:sz w:val="20"/>
          <w:szCs w:val="20"/>
          <w:lang w:eastAsia="zh-CN"/>
        </w:rPr>
        <w:t>: The project will be implemented following UNDP’s national implementation modality,</w:t>
      </w:r>
      <w:r w:rsidRPr="005B1365">
        <w:rPr>
          <w:rFonts w:ascii="Calibri" w:hAnsi="Calibri" w:cs="Arial"/>
          <w:sz w:val="20"/>
          <w:szCs w:val="20"/>
        </w:rPr>
        <w:t xml:space="preserve"> according to the Standard Basic Assistance Agreement between UNDP and the Government of Burkina Faso</w:t>
      </w:r>
      <w:r w:rsidRPr="005B1365">
        <w:rPr>
          <w:rFonts w:ascii="Calibri" w:hAnsi="Calibri" w:cs="Arial"/>
          <w:i/>
          <w:sz w:val="20"/>
          <w:szCs w:val="20"/>
        </w:rPr>
        <w:t>,</w:t>
      </w:r>
      <w:r w:rsidRPr="005B1365">
        <w:rPr>
          <w:rFonts w:ascii="Calibri" w:hAnsi="Calibri" w:cs="Arial"/>
          <w:sz w:val="20"/>
          <w:szCs w:val="20"/>
        </w:rPr>
        <w:t xml:space="preserve"> and the Country Programme</w:t>
      </w:r>
      <w:r w:rsidRPr="005B1365">
        <w:rPr>
          <w:rFonts w:ascii="Calibri" w:hAnsi="Calibri" w:cs="Arial"/>
          <w:i/>
          <w:sz w:val="20"/>
          <w:szCs w:val="20"/>
        </w:rPr>
        <w:t>.</w:t>
      </w:r>
    </w:p>
    <w:p w14:paraId="0FCA32BE" w14:textId="16B88DEB" w:rsidR="00A8560F" w:rsidRPr="00FF0FBB" w:rsidRDefault="00A8560F" w:rsidP="00755BF9">
      <w:pPr>
        <w:pStyle w:val="Paragraphedeliste"/>
        <w:tabs>
          <w:tab w:val="left" w:pos="284"/>
        </w:tabs>
        <w:spacing w:before="120" w:after="120"/>
        <w:ind w:left="0"/>
        <w:jc w:val="both"/>
        <w:rPr>
          <w:rFonts w:ascii="Calibri" w:hAnsi="Calibri" w:cs="Calibri"/>
          <w:sz w:val="20"/>
          <w:szCs w:val="20"/>
          <w:u w:val="single"/>
        </w:rPr>
      </w:pPr>
      <w:r w:rsidRPr="003F4704">
        <w:rPr>
          <w:rFonts w:ascii="Calibri" w:hAnsi="Calibri" w:cs="Arial"/>
          <w:noProof/>
          <w:sz w:val="20"/>
          <w:szCs w:val="20"/>
          <w:highlight w:val="green"/>
          <w:u w:val="single"/>
          <w:lang w:eastAsia="zh-CN"/>
        </w:rPr>
        <w:t>Roles and responsibilities in terms of compliance with SES are detailed in the ESMF, in attachment to the ProDoc.</w:t>
      </w:r>
    </w:p>
    <w:p w14:paraId="3617AF63" w14:textId="77777777" w:rsidR="00302BFE" w:rsidRPr="00810670" w:rsidRDefault="00302BFE" w:rsidP="00C46720">
      <w:pPr>
        <w:pStyle w:val="Paragraphedeliste"/>
        <w:numPr>
          <w:ilvl w:val="0"/>
          <w:numId w:val="14"/>
        </w:numPr>
        <w:tabs>
          <w:tab w:val="left" w:pos="284"/>
        </w:tabs>
        <w:spacing w:before="120" w:after="120"/>
        <w:ind w:left="0" w:firstLine="0"/>
        <w:jc w:val="both"/>
        <w:rPr>
          <w:rFonts w:ascii="Calibri" w:hAnsi="Calibri" w:cs="Calibri"/>
          <w:sz w:val="20"/>
          <w:szCs w:val="20"/>
          <w:u w:val="single"/>
        </w:rPr>
      </w:pPr>
      <w:r w:rsidRPr="00810670">
        <w:rPr>
          <w:rFonts w:ascii="Calibri" w:hAnsi="Calibri"/>
          <w:sz w:val="20"/>
          <w:szCs w:val="20"/>
        </w:rPr>
        <w:t>In application of Articles 6 and 7 of Decree No. 2018-0092/PRES/PM/MINEFID of 15 February 2018 regulating development projects and programs implemented in Burkina Faso, the project is attached to the budget program "Environmental Governance and Sustainable Development (GEDD)"</w:t>
      </w:r>
      <w:r w:rsidR="006E6BBB">
        <w:rPr>
          <w:rFonts w:ascii="Calibri" w:hAnsi="Calibri"/>
          <w:sz w:val="20"/>
          <w:szCs w:val="20"/>
        </w:rPr>
        <w:t xml:space="preserve"> </w:t>
      </w:r>
      <w:r w:rsidRPr="00810670">
        <w:rPr>
          <w:rFonts w:ascii="Calibri" w:hAnsi="Calibri"/>
          <w:sz w:val="20"/>
          <w:szCs w:val="20"/>
        </w:rPr>
        <w:t xml:space="preserve">of the Ministry of Environment, Green Economy and Climate Change (MEEVCC) which </w:t>
      </w:r>
      <w:r w:rsidR="006E6BBB">
        <w:rPr>
          <w:rFonts w:ascii="Calibri" w:hAnsi="Calibri"/>
          <w:sz w:val="20"/>
          <w:szCs w:val="20"/>
        </w:rPr>
        <w:t>provides the</w:t>
      </w:r>
      <w:r w:rsidRPr="00810670">
        <w:rPr>
          <w:rFonts w:ascii="Calibri" w:hAnsi="Calibri"/>
          <w:sz w:val="20"/>
          <w:szCs w:val="20"/>
        </w:rPr>
        <w:t xml:space="preserve"> </w:t>
      </w:r>
      <w:r w:rsidRPr="00810670">
        <w:rPr>
          <w:rFonts w:ascii="Calibri" w:hAnsi="Calibri"/>
          <w:sz w:val="20"/>
          <w:szCs w:val="20"/>
        </w:rPr>
        <w:lastRenderedPageBreak/>
        <w:t>technical supervision. Financial supervision is provided by the Ministry of the Economy, Finance and Development (MINEFID) in accordance with Article 8 of the Decree.</w:t>
      </w:r>
    </w:p>
    <w:p w14:paraId="45B04547" w14:textId="77777777" w:rsidR="00302BFE" w:rsidRPr="00810670" w:rsidRDefault="00302BFE" w:rsidP="00C46720">
      <w:pPr>
        <w:pStyle w:val="Paragraphedeliste"/>
        <w:numPr>
          <w:ilvl w:val="0"/>
          <w:numId w:val="14"/>
        </w:numPr>
        <w:tabs>
          <w:tab w:val="left" w:pos="284"/>
        </w:tabs>
        <w:spacing w:before="120" w:after="120"/>
        <w:ind w:left="0" w:firstLine="0"/>
        <w:jc w:val="both"/>
        <w:rPr>
          <w:rFonts w:ascii="Calibri" w:hAnsi="Calibri" w:cs="Calibri"/>
          <w:sz w:val="20"/>
          <w:szCs w:val="20"/>
          <w:u w:val="single"/>
        </w:rPr>
      </w:pPr>
      <w:r w:rsidRPr="00810670">
        <w:rPr>
          <w:rFonts w:ascii="Calibri" w:hAnsi="Calibri"/>
          <w:sz w:val="20"/>
          <w:szCs w:val="20"/>
        </w:rPr>
        <w:t>The PONASI project is a pilot project for the restoration of forest landscapes. Forest landscape restoration is an integrative land-use framework to ensure that key ecosystem functions and conditions to meet social demands are maintained or strengthened. It is an application of the implementation of several international commitments including the 15</w:t>
      </w:r>
      <w:r w:rsidRPr="00810670">
        <w:rPr>
          <w:rFonts w:ascii="Calibri" w:hAnsi="Calibri"/>
          <w:sz w:val="20"/>
          <w:szCs w:val="20"/>
          <w:vertAlign w:val="superscript"/>
        </w:rPr>
        <w:t>th</w:t>
      </w:r>
      <w:r w:rsidRPr="00810670">
        <w:rPr>
          <w:rFonts w:ascii="Calibri" w:hAnsi="Calibri"/>
          <w:sz w:val="20"/>
          <w:szCs w:val="20"/>
        </w:rPr>
        <w:t xml:space="preserve"> Aichi Target of the Convention on Biological Diversity, the REDD+ goal of the United Nations Framework Convention on Climate Change, the Rio+ target 20 on land degradation and Goal 15 of the Sustainable Development Goals.</w:t>
      </w:r>
    </w:p>
    <w:p w14:paraId="165E863E" w14:textId="77777777" w:rsidR="00302BFE" w:rsidRPr="00D61C93" w:rsidRDefault="00302BFE" w:rsidP="00C46720">
      <w:pPr>
        <w:pStyle w:val="Paragraphedeliste"/>
        <w:numPr>
          <w:ilvl w:val="0"/>
          <w:numId w:val="14"/>
        </w:numPr>
        <w:tabs>
          <w:tab w:val="left" w:pos="284"/>
        </w:tabs>
        <w:spacing w:before="120" w:after="120"/>
        <w:ind w:left="0" w:firstLine="0"/>
        <w:jc w:val="both"/>
        <w:rPr>
          <w:rFonts w:ascii="Calibri" w:hAnsi="Calibri" w:cs="Calibri"/>
          <w:sz w:val="20"/>
          <w:szCs w:val="20"/>
          <w:u w:val="single"/>
        </w:rPr>
      </w:pPr>
      <w:r w:rsidRPr="00810670">
        <w:rPr>
          <w:rFonts w:ascii="Calibri" w:hAnsi="Calibri"/>
          <w:sz w:val="20"/>
          <w:szCs w:val="20"/>
        </w:rPr>
        <w:t xml:space="preserve">The GEDD budget program is responsible for developing tools and instruments for managing and steering environmental governance and promoting sustainable development for stakeholders. This program is also in charge of coordinating consultation </w:t>
      </w:r>
      <w:r w:rsidRPr="00D61C93">
        <w:rPr>
          <w:rFonts w:ascii="Calibri" w:hAnsi="Calibri"/>
          <w:sz w:val="20"/>
          <w:szCs w:val="20"/>
        </w:rPr>
        <w:t xml:space="preserve">frameworks both at national and local levels, as well as monitoring vegetation, wildlife and informing sustainable development indicators through </w:t>
      </w:r>
      <w:r w:rsidR="006E6BBB" w:rsidRPr="00D61C93">
        <w:rPr>
          <w:rFonts w:ascii="Calibri" w:hAnsi="Calibri"/>
          <w:sz w:val="20"/>
          <w:szCs w:val="20"/>
          <w:lang w:val="en-CA"/>
        </w:rPr>
        <w:t xml:space="preserve">the </w:t>
      </w:r>
      <w:r w:rsidR="006E6BBB" w:rsidRPr="00D61C93">
        <w:rPr>
          <w:rFonts w:ascii="Calibri" w:hAnsi="Calibri"/>
          <w:sz w:val="20"/>
          <w:szCs w:val="20"/>
        </w:rPr>
        <w:t>National Observatory of the Environment and Sustainable Development (ONEDD)</w:t>
      </w:r>
      <w:r w:rsidRPr="00D61C93">
        <w:rPr>
          <w:rFonts w:ascii="Calibri" w:hAnsi="Calibri"/>
          <w:sz w:val="20"/>
          <w:szCs w:val="20"/>
        </w:rPr>
        <w:t>.</w:t>
      </w:r>
    </w:p>
    <w:p w14:paraId="4350BD02" w14:textId="588357C8" w:rsidR="00910E2B" w:rsidRPr="00D61C93" w:rsidRDefault="00302BFE" w:rsidP="00C46720">
      <w:pPr>
        <w:pStyle w:val="Paragraphedeliste"/>
        <w:numPr>
          <w:ilvl w:val="0"/>
          <w:numId w:val="14"/>
        </w:numPr>
        <w:tabs>
          <w:tab w:val="left" w:pos="284"/>
        </w:tabs>
        <w:spacing w:before="120" w:after="120"/>
        <w:ind w:left="0" w:firstLine="0"/>
        <w:jc w:val="both"/>
        <w:rPr>
          <w:rFonts w:ascii="Calibri" w:hAnsi="Calibri" w:cs="Calibri"/>
          <w:sz w:val="20"/>
          <w:szCs w:val="20"/>
          <w:u w:val="single"/>
        </w:rPr>
      </w:pPr>
      <w:r w:rsidRPr="00D61C93">
        <w:rPr>
          <w:rFonts w:ascii="Calibri" w:hAnsi="Calibri"/>
          <w:sz w:val="20"/>
          <w:szCs w:val="20"/>
        </w:rPr>
        <w:t xml:space="preserve">The landscape management approach implies that it is imperative to establish multisectoral consultation platforms for integrating the sustainable management of conservation areas into local development planning through local charters and regional development plans and communal development plans (art 12 of law 008-2014 / AN of 8 April 2014 on the sustainable development orientation law in Burkina Faso). </w:t>
      </w:r>
      <w:r w:rsidR="00A300D7" w:rsidRPr="00D61C93">
        <w:rPr>
          <w:rFonts w:ascii="Calibri" w:hAnsi="Calibri"/>
          <w:sz w:val="20"/>
          <w:szCs w:val="20"/>
        </w:rPr>
        <w:t>A</w:t>
      </w:r>
      <w:r w:rsidRPr="00D61C93">
        <w:rPr>
          <w:rFonts w:ascii="Calibri" w:hAnsi="Calibri"/>
          <w:sz w:val="20"/>
          <w:szCs w:val="20"/>
        </w:rPr>
        <w:t xml:space="preserve">s such, the </w:t>
      </w:r>
      <w:r w:rsidR="00CF65C6" w:rsidRPr="00342675">
        <w:rPr>
          <w:rFonts w:ascii="Calibri" w:hAnsi="Calibri"/>
          <w:sz w:val="20"/>
          <w:szCs w:val="20"/>
          <w:highlight w:val="green"/>
        </w:rPr>
        <w:t>SP CONSEIL NATION DEVEL DURABL UNDER THE MINISTRY IN CHARGE OF THE ENVIRONMENT</w:t>
      </w:r>
      <w:r w:rsidR="00342675">
        <w:rPr>
          <w:rFonts w:ascii="Calibri" w:hAnsi="Calibri"/>
          <w:sz w:val="20"/>
          <w:szCs w:val="20"/>
        </w:rPr>
        <w:t xml:space="preserve"> </w:t>
      </w:r>
      <w:r w:rsidRPr="00D61C93">
        <w:rPr>
          <w:rFonts w:ascii="Calibri" w:hAnsi="Calibri"/>
          <w:sz w:val="20"/>
          <w:szCs w:val="20"/>
        </w:rPr>
        <w:t>which is the steering body for environmental governance and sustainable development</w:t>
      </w:r>
      <w:r w:rsidR="00910E2B" w:rsidRPr="00D61C93">
        <w:rPr>
          <w:rFonts w:ascii="Calibri" w:hAnsi="Calibri"/>
          <w:sz w:val="20"/>
          <w:szCs w:val="20"/>
        </w:rPr>
        <w:t>, is the designated body to support the operationalization of these development tools</w:t>
      </w:r>
      <w:r w:rsidRPr="00D61C93">
        <w:rPr>
          <w:rFonts w:ascii="Calibri" w:hAnsi="Calibri"/>
          <w:sz w:val="20"/>
          <w:szCs w:val="20"/>
        </w:rPr>
        <w:t xml:space="preserve"> </w:t>
      </w:r>
      <w:r w:rsidR="00910E2B" w:rsidRPr="00D61C93">
        <w:rPr>
          <w:rFonts w:ascii="Calibri" w:hAnsi="Calibri"/>
          <w:sz w:val="20"/>
          <w:szCs w:val="20"/>
        </w:rPr>
        <w:t>in support of local authorities.</w:t>
      </w:r>
    </w:p>
    <w:p w14:paraId="0B6FD052" w14:textId="77777777" w:rsidR="00302BFE" w:rsidRPr="00D61C93" w:rsidRDefault="00302BFE" w:rsidP="00C46720">
      <w:pPr>
        <w:pStyle w:val="Paragraphedeliste"/>
        <w:numPr>
          <w:ilvl w:val="0"/>
          <w:numId w:val="14"/>
        </w:numPr>
        <w:tabs>
          <w:tab w:val="left" w:pos="284"/>
        </w:tabs>
        <w:spacing w:before="120" w:after="120"/>
        <w:ind w:left="0" w:firstLine="0"/>
        <w:jc w:val="both"/>
        <w:rPr>
          <w:rFonts w:ascii="Calibri" w:hAnsi="Calibri" w:cs="Calibri"/>
          <w:sz w:val="20"/>
          <w:szCs w:val="20"/>
          <w:u w:val="single"/>
        </w:rPr>
      </w:pPr>
      <w:r w:rsidRPr="00D61C93">
        <w:rPr>
          <w:rFonts w:ascii="Calibri" w:hAnsi="Calibri"/>
          <w:sz w:val="20"/>
          <w:szCs w:val="20"/>
        </w:rPr>
        <w:t>The review of the project's results framework shows that its implementation involves the budget programs "Sustainable Management of Forest and Fauna Resources", "Green Economy and Climate Change" as well as other budgetary programs of the Ministries in charge of Agriculture and Animal Resources.</w:t>
      </w:r>
      <w:r w:rsidRPr="00D61C93">
        <w:rPr>
          <w:szCs w:val="20"/>
        </w:rPr>
        <w:t xml:space="preserve"> </w:t>
      </w:r>
      <w:r w:rsidRPr="00D61C93">
        <w:rPr>
          <w:rFonts w:ascii="Calibri" w:hAnsi="Calibri"/>
          <w:sz w:val="20"/>
          <w:szCs w:val="20"/>
        </w:rPr>
        <w:t>As a result, the composition of the committee for the review of the budget programs involved must be revised to take into account this PONASI project in accordance with the provisions of Article 16 paragraph 2 of Decree 2018-092.</w:t>
      </w:r>
    </w:p>
    <w:p w14:paraId="5B977E0E" w14:textId="77777777" w:rsidR="00302BFE" w:rsidRPr="00D61C93" w:rsidRDefault="00302BFE" w:rsidP="00C46720">
      <w:pPr>
        <w:pStyle w:val="Paragraphedeliste"/>
        <w:numPr>
          <w:ilvl w:val="0"/>
          <w:numId w:val="14"/>
        </w:numPr>
        <w:tabs>
          <w:tab w:val="left" w:pos="284"/>
        </w:tabs>
        <w:spacing w:before="120" w:after="120"/>
        <w:ind w:left="0" w:firstLine="0"/>
        <w:jc w:val="both"/>
        <w:rPr>
          <w:rFonts w:ascii="Calibri" w:hAnsi="Calibri" w:cs="Calibri"/>
          <w:sz w:val="20"/>
          <w:szCs w:val="20"/>
          <w:u w:val="single"/>
        </w:rPr>
      </w:pPr>
      <w:r w:rsidRPr="00D61C93">
        <w:rPr>
          <w:rFonts w:ascii="Calibri" w:hAnsi="Calibri"/>
          <w:sz w:val="20"/>
          <w:szCs w:val="20"/>
        </w:rPr>
        <w:t>In accordance with Article 12 of the new general regulations on development projects and programs mentioned above, and in consultation with the Ministry of the Environment, Green Economy and Climate Change (MEEVCC), it was decided that the project "Integrated and Sustainable Management of the PONASI Protected Area Landscape" should be considered as a "Category 1" project. Category 1 projects or programs include all projects carried out directly by the public administration, including local authorities, state-owned companies, semi-public companies and state-owned public institutions. Category 1 programs and projects are under the coordination of the Head of the attached Budgetary Program. In accordance with Article 53 of Decree 2018-092, a management</w:t>
      </w:r>
      <w:r w:rsidR="00011708" w:rsidRPr="00D61C93">
        <w:rPr>
          <w:rFonts w:ascii="Calibri" w:hAnsi="Calibri"/>
          <w:sz w:val="20"/>
          <w:szCs w:val="20"/>
        </w:rPr>
        <w:t xml:space="preserve"> </w:t>
      </w:r>
      <w:r w:rsidRPr="00D61C93">
        <w:rPr>
          <w:rFonts w:ascii="Calibri" w:hAnsi="Calibri"/>
          <w:sz w:val="20"/>
          <w:szCs w:val="20"/>
        </w:rPr>
        <w:t xml:space="preserve">unit will be set up within the </w:t>
      </w:r>
      <w:r w:rsidR="00A300D7" w:rsidRPr="00D61C93">
        <w:rPr>
          <w:rFonts w:ascii="Calibri" w:hAnsi="Calibri"/>
          <w:sz w:val="20"/>
          <w:szCs w:val="20"/>
        </w:rPr>
        <w:t xml:space="preserve">Environmental Governance and Sustainable Development </w:t>
      </w:r>
      <w:r w:rsidRPr="00D61C93">
        <w:rPr>
          <w:rFonts w:ascii="Calibri" w:hAnsi="Calibri"/>
          <w:sz w:val="20"/>
          <w:szCs w:val="20"/>
        </w:rPr>
        <w:t>program for the implementation of the project. This management unit includes the staff assigned by the State and the staff recruited by the project (Article 59 of Decree 2018-092).</w:t>
      </w:r>
    </w:p>
    <w:p w14:paraId="5DCBB5A0" w14:textId="77777777" w:rsidR="00302BFE" w:rsidRPr="00D61C93" w:rsidRDefault="00302BFE" w:rsidP="00C46720">
      <w:pPr>
        <w:pStyle w:val="Paragraphedeliste"/>
        <w:numPr>
          <w:ilvl w:val="0"/>
          <w:numId w:val="14"/>
        </w:numPr>
        <w:tabs>
          <w:tab w:val="left" w:pos="284"/>
        </w:tabs>
        <w:spacing w:before="120" w:after="120"/>
        <w:ind w:left="0" w:firstLine="0"/>
        <w:jc w:val="both"/>
        <w:rPr>
          <w:rFonts w:ascii="Calibri" w:hAnsi="Calibri" w:cs="Calibri"/>
          <w:sz w:val="20"/>
          <w:szCs w:val="20"/>
          <w:u w:val="single"/>
        </w:rPr>
      </w:pPr>
      <w:r w:rsidRPr="00D61C93">
        <w:rPr>
          <w:rFonts w:ascii="Calibri" w:hAnsi="Calibri"/>
          <w:sz w:val="20"/>
          <w:szCs w:val="20"/>
        </w:rPr>
        <w:t>Pursuant to the aforementioned provisions of the Decree, the implementation of activities will be entrusted to the Ministry of Environment, Green Economy and Climate Change and the beneficiary local authorities in accordance with the work plan and the results framework. Expenses will be settled according to the procedures corresponding to the national execution modality.</w:t>
      </w:r>
    </w:p>
    <w:p w14:paraId="6B03B375" w14:textId="77777777" w:rsidR="00302BFE" w:rsidRPr="00D61C93" w:rsidRDefault="00302BFE" w:rsidP="00C46720">
      <w:pPr>
        <w:pStyle w:val="Paragraphedeliste"/>
        <w:numPr>
          <w:ilvl w:val="0"/>
          <w:numId w:val="14"/>
        </w:numPr>
        <w:tabs>
          <w:tab w:val="left" w:pos="284"/>
        </w:tabs>
        <w:spacing w:before="120" w:after="120"/>
        <w:ind w:left="0" w:firstLine="0"/>
        <w:jc w:val="both"/>
        <w:rPr>
          <w:rFonts w:ascii="Calibri" w:hAnsi="Calibri" w:cs="Calibri"/>
          <w:sz w:val="20"/>
          <w:szCs w:val="20"/>
          <w:u w:val="single"/>
        </w:rPr>
      </w:pPr>
      <w:r w:rsidRPr="00D61C93">
        <w:rPr>
          <w:rFonts w:ascii="Calibri" w:hAnsi="Calibri"/>
          <w:sz w:val="20"/>
          <w:szCs w:val="20"/>
        </w:rPr>
        <w:t xml:space="preserve">The monitoring / evaluation mechanism that will be implemented under this project will provide the required information to the Manager of the Budget Program ‘Environmental Governance and Sustainable Development’ of </w:t>
      </w:r>
      <w:r w:rsidRPr="00D61C93">
        <w:rPr>
          <w:rFonts w:ascii="Calibri" w:hAnsi="Calibri"/>
          <w:sz w:val="20"/>
          <w:szCs w:val="20"/>
          <w:lang w:val="en-CA"/>
        </w:rPr>
        <w:t xml:space="preserve">MEEVCC to </w:t>
      </w:r>
      <w:r w:rsidRPr="00D61C93">
        <w:rPr>
          <w:rFonts w:ascii="Calibri" w:hAnsi="Calibri"/>
          <w:sz w:val="20"/>
          <w:szCs w:val="20"/>
        </w:rPr>
        <w:t>which it is attached, for the preparation of the Review Committee, in accordance with the new general regulations on development projects and programs.</w:t>
      </w:r>
    </w:p>
    <w:p w14:paraId="080884C5" w14:textId="77777777" w:rsidR="00302BFE" w:rsidRPr="00965566" w:rsidRDefault="00302BFE" w:rsidP="00C46720">
      <w:pPr>
        <w:pStyle w:val="Paragraphedeliste"/>
        <w:numPr>
          <w:ilvl w:val="0"/>
          <w:numId w:val="14"/>
        </w:numPr>
        <w:tabs>
          <w:tab w:val="left" w:pos="284"/>
        </w:tabs>
        <w:spacing w:before="120" w:after="120"/>
        <w:ind w:left="0" w:firstLine="0"/>
        <w:jc w:val="both"/>
        <w:rPr>
          <w:rFonts w:ascii="Calibri" w:hAnsi="Calibri" w:cs="Calibri"/>
          <w:sz w:val="20"/>
          <w:szCs w:val="20"/>
          <w:u w:val="single"/>
        </w:rPr>
      </w:pPr>
      <w:r w:rsidRPr="00D61C93">
        <w:rPr>
          <w:rFonts w:ascii="Calibri" w:hAnsi="Calibri"/>
          <w:sz w:val="20"/>
          <w:szCs w:val="20"/>
          <w:lang w:val="en-CA"/>
        </w:rPr>
        <w:t xml:space="preserve">According to the Basic Assistance Agreement of 19 July 1976 between the Government of Burkina Faso and the United Nations Development Program, the </w:t>
      </w:r>
      <w:r w:rsidR="006E6BBB" w:rsidRPr="00D61C93">
        <w:rPr>
          <w:rFonts w:ascii="Calibri" w:hAnsi="Calibri"/>
          <w:b/>
          <w:sz w:val="20"/>
          <w:szCs w:val="20"/>
          <w:lang w:val="en-CA"/>
        </w:rPr>
        <w:t>implementing</w:t>
      </w:r>
      <w:r w:rsidR="00B1386C" w:rsidRPr="00D61C93">
        <w:rPr>
          <w:rFonts w:ascii="Calibri" w:hAnsi="Calibri"/>
          <w:b/>
          <w:sz w:val="20"/>
          <w:szCs w:val="20"/>
          <w:lang w:val="en-CA"/>
        </w:rPr>
        <w:t xml:space="preserve"> partner</w:t>
      </w:r>
      <w:r w:rsidR="00B1386C" w:rsidRPr="00D61C93">
        <w:rPr>
          <w:rFonts w:ascii="Calibri" w:hAnsi="Calibri"/>
          <w:sz w:val="20"/>
          <w:szCs w:val="20"/>
          <w:lang w:val="en-CA"/>
        </w:rPr>
        <w:t xml:space="preserve"> </w:t>
      </w:r>
      <w:r w:rsidRPr="00D61C93">
        <w:rPr>
          <w:rFonts w:ascii="Calibri" w:hAnsi="Calibri"/>
          <w:sz w:val="20"/>
          <w:szCs w:val="20"/>
          <w:lang w:val="en-CA"/>
        </w:rPr>
        <w:t>in the host country will be the Ministry of Environment, Green Economy and Climate Change. The implementing partner is responsible and accountable for managing this project, including the monitoring and evaluation of project interventions, achieving project outcomes, and for the effective use of UNDP resources. Taking into account the above, the responsibility for the safety and security of the implementing partner, its staff and assets, and the UNDP assets managed by the implementing partner is the responsibility of the implementing partner</w:t>
      </w:r>
      <w:r w:rsidRPr="005B1365">
        <w:rPr>
          <w:rFonts w:ascii="Calibri" w:hAnsi="Calibri"/>
          <w:sz w:val="20"/>
          <w:szCs w:val="20"/>
          <w:lang w:val="en-CA"/>
        </w:rPr>
        <w:t>. It will have to: i) set up an appropriate security plan, ii) update the plan taking into account the security situation in the country, iii) assume all the risks related to the security of the implementing partner and the full implementation of the security plan. UNDP reserves the right to verify the implementation of the security plan and to suggest modifications if necessary.</w:t>
      </w:r>
    </w:p>
    <w:p w14:paraId="49DA3762" w14:textId="77777777" w:rsidR="00302BFE" w:rsidRDefault="00302BFE" w:rsidP="00C46720">
      <w:pPr>
        <w:pStyle w:val="Paragraphedeliste"/>
        <w:numPr>
          <w:ilvl w:val="0"/>
          <w:numId w:val="14"/>
        </w:numPr>
        <w:tabs>
          <w:tab w:val="left" w:pos="284"/>
        </w:tabs>
        <w:spacing w:before="120"/>
        <w:ind w:left="0" w:firstLine="0"/>
        <w:jc w:val="both"/>
        <w:rPr>
          <w:rFonts w:ascii="Calibri" w:hAnsi="Calibri" w:cs="Calibri"/>
          <w:sz w:val="20"/>
          <w:szCs w:val="20"/>
        </w:rPr>
      </w:pPr>
      <w:r w:rsidRPr="00965566">
        <w:rPr>
          <w:rFonts w:ascii="Calibri" w:hAnsi="Calibri" w:cs="Calibri"/>
          <w:sz w:val="20"/>
          <w:szCs w:val="20"/>
        </w:rPr>
        <w:t>The implementing partner is responsible for</w:t>
      </w:r>
      <w:r>
        <w:rPr>
          <w:rFonts w:ascii="Calibri" w:hAnsi="Calibri" w:cs="Calibri"/>
          <w:sz w:val="20"/>
          <w:szCs w:val="20"/>
        </w:rPr>
        <w:t>:</w:t>
      </w:r>
    </w:p>
    <w:p w14:paraId="538B7ED2" w14:textId="77777777" w:rsidR="00302BFE" w:rsidRDefault="00302BFE" w:rsidP="00C46720">
      <w:pPr>
        <w:pStyle w:val="Paragraphedeliste"/>
        <w:numPr>
          <w:ilvl w:val="0"/>
          <w:numId w:val="52"/>
        </w:numPr>
        <w:tabs>
          <w:tab w:val="left" w:pos="284"/>
        </w:tabs>
        <w:ind w:left="714" w:hanging="357"/>
        <w:jc w:val="both"/>
        <w:rPr>
          <w:rFonts w:ascii="Calibri" w:hAnsi="Calibri" w:cs="Calibri"/>
          <w:sz w:val="20"/>
          <w:szCs w:val="20"/>
        </w:rPr>
      </w:pPr>
      <w:r>
        <w:rPr>
          <w:rFonts w:ascii="Calibri" w:hAnsi="Calibri" w:cs="Calibri"/>
          <w:sz w:val="20"/>
          <w:szCs w:val="20"/>
        </w:rPr>
        <w:t>Approving and signing the multiyear workplan;</w:t>
      </w:r>
    </w:p>
    <w:p w14:paraId="298D1E6C" w14:textId="77777777" w:rsidR="00302BFE" w:rsidRDefault="00302BFE" w:rsidP="00C46720">
      <w:pPr>
        <w:pStyle w:val="Paragraphedeliste"/>
        <w:numPr>
          <w:ilvl w:val="0"/>
          <w:numId w:val="52"/>
        </w:numPr>
        <w:tabs>
          <w:tab w:val="left" w:pos="284"/>
        </w:tabs>
        <w:ind w:left="714" w:hanging="357"/>
        <w:jc w:val="both"/>
        <w:rPr>
          <w:rFonts w:ascii="Calibri" w:hAnsi="Calibri" w:cs="Calibri"/>
          <w:sz w:val="20"/>
          <w:szCs w:val="20"/>
        </w:rPr>
      </w:pPr>
      <w:r>
        <w:rPr>
          <w:rFonts w:ascii="Calibri" w:hAnsi="Calibri" w:cs="Calibri"/>
          <w:sz w:val="20"/>
          <w:szCs w:val="20"/>
        </w:rPr>
        <w:t>Approving and signing the combined delivery report at the end of the year; and,</w:t>
      </w:r>
    </w:p>
    <w:p w14:paraId="25D4F0CC" w14:textId="77777777" w:rsidR="00302BFE" w:rsidRPr="00965566" w:rsidRDefault="00302BFE" w:rsidP="00C46720">
      <w:pPr>
        <w:pStyle w:val="Paragraphedeliste"/>
        <w:numPr>
          <w:ilvl w:val="0"/>
          <w:numId w:val="52"/>
        </w:numPr>
        <w:tabs>
          <w:tab w:val="left" w:pos="284"/>
        </w:tabs>
        <w:ind w:left="714" w:hanging="357"/>
        <w:jc w:val="both"/>
        <w:rPr>
          <w:rFonts w:ascii="Calibri" w:hAnsi="Calibri" w:cs="Calibri"/>
          <w:sz w:val="20"/>
          <w:szCs w:val="20"/>
        </w:rPr>
      </w:pPr>
      <w:r>
        <w:rPr>
          <w:rFonts w:ascii="Calibri" w:hAnsi="Calibri" w:cs="Calibri"/>
          <w:sz w:val="20"/>
          <w:szCs w:val="20"/>
        </w:rPr>
        <w:t>Signing the financial report of the funding authorization and certificate of expenditures.</w:t>
      </w:r>
    </w:p>
    <w:p w14:paraId="75269A99" w14:textId="77777777" w:rsidR="00302BFE" w:rsidRPr="00810670" w:rsidRDefault="00302BFE" w:rsidP="00C46720">
      <w:pPr>
        <w:pStyle w:val="Paragraphedeliste"/>
        <w:numPr>
          <w:ilvl w:val="0"/>
          <w:numId w:val="14"/>
        </w:numPr>
        <w:tabs>
          <w:tab w:val="left" w:pos="284"/>
        </w:tabs>
        <w:spacing w:before="120" w:after="120"/>
        <w:ind w:left="0" w:firstLine="0"/>
        <w:jc w:val="both"/>
        <w:rPr>
          <w:rFonts w:ascii="Calibri" w:hAnsi="Calibri" w:cs="Calibri"/>
          <w:sz w:val="20"/>
          <w:szCs w:val="20"/>
          <w:u w:val="single"/>
        </w:rPr>
      </w:pPr>
      <w:r w:rsidRPr="00810670">
        <w:rPr>
          <w:rFonts w:ascii="Calibri" w:hAnsi="Calibri"/>
          <w:sz w:val="20"/>
          <w:szCs w:val="20"/>
        </w:rPr>
        <w:lastRenderedPageBreak/>
        <w:t xml:space="preserve">In accordance with the provisions of this new regulation, the </w:t>
      </w:r>
      <w:r w:rsidRPr="00965566">
        <w:rPr>
          <w:rFonts w:ascii="Calibri" w:hAnsi="Calibri"/>
          <w:b/>
          <w:sz w:val="20"/>
          <w:szCs w:val="20"/>
        </w:rPr>
        <w:t>Manager</w:t>
      </w:r>
      <w:r w:rsidRPr="00810670">
        <w:rPr>
          <w:rFonts w:ascii="Calibri" w:hAnsi="Calibri"/>
          <w:sz w:val="20"/>
          <w:szCs w:val="20"/>
        </w:rPr>
        <w:t xml:space="preserve"> (or coordinator) of the Project "Integrated and Sustainable Management of the PONASI Protected Area Landscape" attends the meetings of the budget program review committee "Environmental Governance and Sustainable Development". </w:t>
      </w:r>
      <w:r w:rsidRPr="00810670">
        <w:rPr>
          <w:rFonts w:ascii="Calibri" w:hAnsi="Calibri"/>
          <w:sz w:val="20"/>
          <w:szCs w:val="20"/>
          <w:lang w:val="en-CA"/>
        </w:rPr>
        <w:t>This Review Committee meets twice (2) a year in ordinary session, i.e. once a semester (December and July at the latest). It may meet in extraordinary session if necessary. Its main missions are to:</w:t>
      </w:r>
    </w:p>
    <w:p w14:paraId="6505CD46" w14:textId="77777777" w:rsidR="00302BFE" w:rsidRPr="00876A18" w:rsidRDefault="00302BFE" w:rsidP="00C46720">
      <w:pPr>
        <w:pStyle w:val="Paragraphedeliste"/>
        <w:numPr>
          <w:ilvl w:val="0"/>
          <w:numId w:val="30"/>
        </w:numPr>
        <w:ind w:left="714" w:hanging="357"/>
        <w:jc w:val="both"/>
        <w:rPr>
          <w:rFonts w:ascii="Calibri" w:hAnsi="Calibri"/>
          <w:sz w:val="20"/>
          <w:szCs w:val="20"/>
          <w:lang w:val="en-CA"/>
        </w:rPr>
      </w:pPr>
      <w:r w:rsidRPr="00876A18">
        <w:rPr>
          <w:rFonts w:ascii="Calibri" w:hAnsi="Calibri"/>
          <w:sz w:val="20"/>
          <w:szCs w:val="20"/>
          <w:lang w:val="en-CA"/>
        </w:rPr>
        <w:t>review and adopt the project implementation plan;</w:t>
      </w:r>
    </w:p>
    <w:p w14:paraId="2AA0F3A3" w14:textId="77777777" w:rsidR="00302BFE" w:rsidRPr="00876A18" w:rsidRDefault="00302BFE" w:rsidP="00C46720">
      <w:pPr>
        <w:pStyle w:val="Paragraphedeliste"/>
        <w:numPr>
          <w:ilvl w:val="0"/>
          <w:numId w:val="30"/>
        </w:numPr>
        <w:ind w:left="714" w:hanging="357"/>
        <w:jc w:val="both"/>
        <w:rPr>
          <w:rFonts w:ascii="Calibri" w:hAnsi="Calibri"/>
          <w:sz w:val="20"/>
          <w:szCs w:val="20"/>
          <w:lang w:val="en-CA"/>
        </w:rPr>
      </w:pPr>
      <w:r w:rsidRPr="00876A18">
        <w:rPr>
          <w:rFonts w:ascii="Calibri" w:hAnsi="Calibri"/>
          <w:sz w:val="20"/>
          <w:szCs w:val="20"/>
          <w:lang w:val="en-CA"/>
        </w:rPr>
        <w:t>review and adopt the various project evaluation reports;</w:t>
      </w:r>
    </w:p>
    <w:p w14:paraId="7BAF7BB1" w14:textId="77777777" w:rsidR="00302BFE" w:rsidRPr="00876A18" w:rsidRDefault="00302BFE" w:rsidP="00C46720">
      <w:pPr>
        <w:pStyle w:val="Paragraphedeliste"/>
        <w:numPr>
          <w:ilvl w:val="0"/>
          <w:numId w:val="30"/>
        </w:numPr>
        <w:ind w:left="714" w:hanging="357"/>
        <w:jc w:val="both"/>
        <w:rPr>
          <w:rFonts w:ascii="Calibri" w:hAnsi="Calibri"/>
          <w:sz w:val="20"/>
          <w:szCs w:val="20"/>
          <w:lang w:val="en-CA"/>
        </w:rPr>
      </w:pPr>
      <w:r w:rsidRPr="00876A18">
        <w:rPr>
          <w:rFonts w:ascii="Calibri" w:hAnsi="Calibri"/>
          <w:sz w:val="20"/>
          <w:szCs w:val="20"/>
          <w:lang w:val="en-CA"/>
        </w:rPr>
        <w:t>review and adopt periodic activity and financial reports;</w:t>
      </w:r>
    </w:p>
    <w:p w14:paraId="16294072" w14:textId="77777777" w:rsidR="00302BFE" w:rsidRPr="00876A18" w:rsidRDefault="00302BFE" w:rsidP="00C46720">
      <w:pPr>
        <w:pStyle w:val="Paragraphedeliste"/>
        <w:numPr>
          <w:ilvl w:val="0"/>
          <w:numId w:val="30"/>
        </w:numPr>
        <w:ind w:left="714" w:hanging="357"/>
        <w:jc w:val="both"/>
        <w:rPr>
          <w:rFonts w:ascii="Calibri" w:hAnsi="Calibri"/>
          <w:sz w:val="20"/>
          <w:szCs w:val="20"/>
          <w:lang w:val="en-CA"/>
        </w:rPr>
      </w:pPr>
      <w:r w:rsidRPr="00876A18">
        <w:rPr>
          <w:rFonts w:ascii="Calibri" w:hAnsi="Calibri"/>
          <w:sz w:val="20"/>
          <w:szCs w:val="20"/>
          <w:lang w:val="en-CA"/>
        </w:rPr>
        <w:t>review and adopt the multiyear workplan, budgets and procurement plans;</w:t>
      </w:r>
    </w:p>
    <w:p w14:paraId="479A14BA" w14:textId="77777777" w:rsidR="00302BFE" w:rsidRPr="00876A18" w:rsidRDefault="00302BFE" w:rsidP="00C46720">
      <w:pPr>
        <w:pStyle w:val="Paragraphedeliste"/>
        <w:numPr>
          <w:ilvl w:val="0"/>
          <w:numId w:val="30"/>
        </w:numPr>
        <w:ind w:left="714" w:hanging="357"/>
        <w:jc w:val="both"/>
        <w:rPr>
          <w:rFonts w:ascii="Calibri" w:hAnsi="Calibri"/>
          <w:sz w:val="20"/>
          <w:szCs w:val="20"/>
          <w:lang w:val="en-CA"/>
        </w:rPr>
      </w:pPr>
      <w:r w:rsidRPr="00876A18">
        <w:rPr>
          <w:rFonts w:ascii="Calibri" w:hAnsi="Calibri"/>
          <w:sz w:val="20"/>
          <w:szCs w:val="20"/>
          <w:lang w:val="en-CA"/>
        </w:rPr>
        <w:t>review, approve and sign the combined delivery report at the end of the year;</w:t>
      </w:r>
    </w:p>
    <w:p w14:paraId="7D1A1010" w14:textId="77777777" w:rsidR="00302BFE" w:rsidRPr="00876A18" w:rsidRDefault="00302BFE" w:rsidP="00C46720">
      <w:pPr>
        <w:pStyle w:val="Paragraphedeliste"/>
        <w:numPr>
          <w:ilvl w:val="0"/>
          <w:numId w:val="30"/>
        </w:numPr>
        <w:ind w:left="714" w:hanging="357"/>
        <w:jc w:val="both"/>
        <w:rPr>
          <w:rFonts w:ascii="Calibri" w:hAnsi="Calibri"/>
          <w:sz w:val="20"/>
          <w:szCs w:val="20"/>
          <w:lang w:val="en-CA"/>
        </w:rPr>
      </w:pPr>
      <w:r w:rsidRPr="00876A18">
        <w:rPr>
          <w:rFonts w:ascii="Calibri" w:hAnsi="Calibri"/>
          <w:sz w:val="20"/>
          <w:szCs w:val="20"/>
          <w:lang w:val="en-CA"/>
        </w:rPr>
        <w:t>ensure the implementation of the recommendations of its sessions, evaluation and monitoring missions, projects or programs meetings, portfolio reviews and various audits;</w:t>
      </w:r>
    </w:p>
    <w:p w14:paraId="6BE7369D" w14:textId="77777777" w:rsidR="00302BFE" w:rsidRPr="00876A18" w:rsidRDefault="00302BFE" w:rsidP="00C46720">
      <w:pPr>
        <w:pStyle w:val="Paragraphedeliste"/>
        <w:numPr>
          <w:ilvl w:val="0"/>
          <w:numId w:val="30"/>
        </w:numPr>
        <w:ind w:left="714" w:hanging="357"/>
        <w:jc w:val="both"/>
        <w:rPr>
          <w:rFonts w:ascii="Calibri" w:hAnsi="Calibri"/>
          <w:sz w:val="20"/>
          <w:szCs w:val="20"/>
          <w:lang w:val="en-CA"/>
        </w:rPr>
      </w:pPr>
      <w:r w:rsidRPr="00876A18">
        <w:rPr>
          <w:rFonts w:ascii="Calibri" w:hAnsi="Calibri"/>
          <w:sz w:val="20"/>
          <w:szCs w:val="20"/>
          <w:lang w:val="en-CA"/>
        </w:rPr>
        <w:t>evaluate the performance of the Budget Program Officer in accordance with his mission statement;</w:t>
      </w:r>
    </w:p>
    <w:p w14:paraId="2027082B" w14:textId="77777777" w:rsidR="00302BFE" w:rsidRPr="00876A18" w:rsidRDefault="00302BFE" w:rsidP="00C46720">
      <w:pPr>
        <w:pStyle w:val="Paragraphedeliste"/>
        <w:numPr>
          <w:ilvl w:val="0"/>
          <w:numId w:val="30"/>
        </w:numPr>
        <w:ind w:left="714" w:hanging="357"/>
        <w:jc w:val="both"/>
        <w:rPr>
          <w:rFonts w:ascii="Calibri" w:hAnsi="Calibri"/>
          <w:sz w:val="20"/>
          <w:szCs w:val="20"/>
          <w:lang w:val="en-CA"/>
        </w:rPr>
      </w:pPr>
      <w:r w:rsidRPr="00876A18">
        <w:rPr>
          <w:rFonts w:ascii="Calibri" w:hAnsi="Calibri"/>
          <w:sz w:val="20"/>
          <w:szCs w:val="20"/>
          <w:lang w:val="en-CA"/>
        </w:rPr>
        <w:t>make recommendations to the attention of the project coordination and various partners in the project life;</w:t>
      </w:r>
    </w:p>
    <w:p w14:paraId="14711917" w14:textId="77777777" w:rsidR="00302BFE" w:rsidRPr="00876A18" w:rsidRDefault="00302BFE" w:rsidP="00C46720">
      <w:pPr>
        <w:pStyle w:val="Paragraphedeliste"/>
        <w:numPr>
          <w:ilvl w:val="0"/>
          <w:numId w:val="30"/>
        </w:numPr>
        <w:ind w:left="714" w:hanging="357"/>
        <w:jc w:val="both"/>
        <w:rPr>
          <w:rFonts w:ascii="Calibri" w:hAnsi="Calibri"/>
          <w:sz w:val="20"/>
          <w:szCs w:val="20"/>
          <w:lang w:val="en-CA"/>
        </w:rPr>
      </w:pPr>
      <w:r w:rsidRPr="00876A18">
        <w:rPr>
          <w:rFonts w:ascii="Calibri" w:hAnsi="Calibri"/>
          <w:sz w:val="20"/>
          <w:szCs w:val="20"/>
          <w:lang w:val="en-CA"/>
        </w:rPr>
        <w:t>approve the financial statements of the project and sign the certificate of expenditure;</w:t>
      </w:r>
    </w:p>
    <w:p w14:paraId="51DC3510" w14:textId="77777777" w:rsidR="00302BFE" w:rsidRPr="00876A18" w:rsidRDefault="00302BFE" w:rsidP="00C46720">
      <w:pPr>
        <w:pStyle w:val="Paragraphedeliste"/>
        <w:numPr>
          <w:ilvl w:val="0"/>
          <w:numId w:val="30"/>
        </w:numPr>
        <w:ind w:left="714" w:hanging="357"/>
        <w:jc w:val="both"/>
        <w:rPr>
          <w:rFonts w:ascii="Calibri" w:hAnsi="Calibri"/>
          <w:sz w:val="20"/>
          <w:szCs w:val="20"/>
          <w:lang w:val="en-CA"/>
        </w:rPr>
      </w:pPr>
      <w:r w:rsidRPr="00876A18">
        <w:rPr>
          <w:rFonts w:ascii="Calibri" w:hAnsi="Calibri"/>
          <w:sz w:val="20"/>
          <w:szCs w:val="20"/>
          <w:lang w:val="en-CA"/>
        </w:rPr>
        <w:t>approve the inventory report of the project assets;</w:t>
      </w:r>
    </w:p>
    <w:p w14:paraId="07EC7903" w14:textId="77777777" w:rsidR="00302BFE" w:rsidRPr="00876A18" w:rsidRDefault="00302BFE" w:rsidP="00C46720">
      <w:pPr>
        <w:pStyle w:val="Paragraphedeliste"/>
        <w:numPr>
          <w:ilvl w:val="0"/>
          <w:numId w:val="30"/>
        </w:numPr>
        <w:ind w:left="714" w:hanging="357"/>
        <w:jc w:val="both"/>
        <w:rPr>
          <w:rFonts w:ascii="Calibri" w:hAnsi="Calibri"/>
          <w:sz w:val="20"/>
          <w:szCs w:val="20"/>
          <w:lang w:val="en-CA"/>
        </w:rPr>
      </w:pPr>
      <w:r w:rsidRPr="00876A18">
        <w:rPr>
          <w:rFonts w:ascii="Calibri" w:hAnsi="Calibri"/>
          <w:sz w:val="20"/>
          <w:szCs w:val="20"/>
          <w:lang w:val="en-CA"/>
        </w:rPr>
        <w:t>examine and adopt any file submitted to it.</w:t>
      </w:r>
    </w:p>
    <w:p w14:paraId="15EB2589" w14:textId="77777777" w:rsidR="00302BFE" w:rsidRPr="00810670" w:rsidRDefault="00302BFE" w:rsidP="00C46720">
      <w:pPr>
        <w:pStyle w:val="Paragraphedeliste"/>
        <w:numPr>
          <w:ilvl w:val="0"/>
          <w:numId w:val="14"/>
        </w:numPr>
        <w:tabs>
          <w:tab w:val="left" w:pos="284"/>
        </w:tabs>
        <w:spacing w:before="120" w:after="120"/>
        <w:ind w:left="0" w:firstLine="0"/>
        <w:jc w:val="both"/>
        <w:rPr>
          <w:rFonts w:ascii="Calibri" w:hAnsi="Calibri" w:cs="Calibri"/>
          <w:sz w:val="20"/>
          <w:szCs w:val="20"/>
          <w:u w:val="single"/>
        </w:rPr>
      </w:pPr>
      <w:r w:rsidRPr="005B1365">
        <w:rPr>
          <w:rFonts w:ascii="Calibri" w:hAnsi="Calibri"/>
          <w:sz w:val="20"/>
          <w:szCs w:val="20"/>
          <w:lang w:val="en-CA"/>
        </w:rPr>
        <w:t xml:space="preserve">The implementation of the project requires ongoing consultation with all stakeholders to ensure the effectiveness of strategies and the </w:t>
      </w:r>
      <w:r w:rsidRPr="00810670">
        <w:rPr>
          <w:rFonts w:ascii="Calibri" w:hAnsi="Calibri"/>
          <w:sz w:val="20"/>
          <w:szCs w:val="20"/>
          <w:lang w:val="en-CA"/>
        </w:rPr>
        <w:t xml:space="preserve">relevance of technical and financial means to implement to achieve the intended results. In order to ensure this consultation and the active participation of all key stakeholders (Beneficiaries, Executive, Suppliers), a "Consultation </w:t>
      </w:r>
      <w:r w:rsidR="006E6BBB">
        <w:rPr>
          <w:rFonts w:ascii="Calibri" w:hAnsi="Calibri"/>
          <w:sz w:val="20"/>
          <w:szCs w:val="20"/>
          <w:lang w:val="en-CA"/>
        </w:rPr>
        <w:t>and</w:t>
      </w:r>
      <w:r w:rsidRPr="00810670">
        <w:rPr>
          <w:rFonts w:ascii="Calibri" w:hAnsi="Calibri"/>
          <w:sz w:val="20"/>
          <w:szCs w:val="20"/>
          <w:lang w:val="en-CA"/>
        </w:rPr>
        <w:t xml:space="preserve"> Dialogue framework" will be set up as part of the management of this project, which will involve the representatives of the various stakeholders concerned. The role of this </w:t>
      </w:r>
      <w:r w:rsidR="006E6BBB">
        <w:rPr>
          <w:rFonts w:ascii="Calibri" w:hAnsi="Calibri"/>
          <w:sz w:val="20"/>
          <w:szCs w:val="20"/>
          <w:lang w:val="en-CA"/>
        </w:rPr>
        <w:t>C</w:t>
      </w:r>
      <w:r w:rsidRPr="00810670">
        <w:rPr>
          <w:rFonts w:ascii="Calibri" w:hAnsi="Calibri"/>
          <w:sz w:val="20"/>
          <w:szCs w:val="20"/>
          <w:lang w:val="en-CA"/>
        </w:rPr>
        <w:t>onsultation or Dialogue framework will be to contribute to the review of the implementation of the project and to suggest directions for the optimal achievement of the expected results. The reflections and contributions of this consultation /dialogue framework will also help to prepare sufficiently "objective" activity reports to be made available to the MEGECC Budget Program Manager “Environmental Governance and Sustainable Development”. This arrangement will not only facilitate the monitoring of the project by the budget program manager but will also enable him to better prepare his participation in the Review Committee sessions instituted under the program and project regulation.</w:t>
      </w:r>
    </w:p>
    <w:p w14:paraId="790BAA25" w14:textId="77777777" w:rsidR="00302BFE" w:rsidRPr="00810670" w:rsidRDefault="00302BFE" w:rsidP="00C46720">
      <w:pPr>
        <w:pStyle w:val="Paragraphedeliste"/>
        <w:numPr>
          <w:ilvl w:val="0"/>
          <w:numId w:val="14"/>
        </w:numPr>
        <w:tabs>
          <w:tab w:val="left" w:pos="284"/>
        </w:tabs>
        <w:spacing w:before="120"/>
        <w:ind w:left="0" w:firstLine="0"/>
        <w:jc w:val="both"/>
        <w:rPr>
          <w:rFonts w:ascii="Calibri" w:hAnsi="Calibri" w:cs="Calibri"/>
          <w:sz w:val="20"/>
          <w:szCs w:val="20"/>
          <w:u w:val="single"/>
        </w:rPr>
      </w:pPr>
      <w:r w:rsidRPr="00810670">
        <w:rPr>
          <w:rFonts w:ascii="Calibri" w:hAnsi="Calibri"/>
          <w:sz w:val="20"/>
          <w:szCs w:val="20"/>
          <w:lang w:val="en-CA"/>
        </w:rPr>
        <w:t>The operational mechanism of the project will be organized around the following organs:</w:t>
      </w:r>
    </w:p>
    <w:p w14:paraId="4F8B422E" w14:textId="77777777" w:rsidR="00302BFE" w:rsidRPr="00810670" w:rsidRDefault="00302BFE" w:rsidP="00C46720">
      <w:pPr>
        <w:pStyle w:val="Paragraphedeliste"/>
        <w:numPr>
          <w:ilvl w:val="0"/>
          <w:numId w:val="29"/>
        </w:numPr>
        <w:ind w:left="714" w:hanging="357"/>
        <w:jc w:val="both"/>
        <w:rPr>
          <w:rFonts w:ascii="Calibri" w:hAnsi="Calibri"/>
          <w:sz w:val="20"/>
          <w:szCs w:val="20"/>
          <w:lang w:val="en-CA"/>
        </w:rPr>
      </w:pPr>
      <w:r w:rsidRPr="00810670">
        <w:rPr>
          <w:rFonts w:ascii="Calibri" w:hAnsi="Calibri"/>
          <w:sz w:val="20"/>
          <w:szCs w:val="20"/>
          <w:lang w:val="en-CA"/>
        </w:rPr>
        <w:t>The consultation framework or dialogue framework,</w:t>
      </w:r>
    </w:p>
    <w:p w14:paraId="2C76B88D" w14:textId="77777777" w:rsidR="00302BFE" w:rsidRPr="005B1365" w:rsidRDefault="00302BFE" w:rsidP="00C46720">
      <w:pPr>
        <w:pStyle w:val="Paragraphedeliste"/>
        <w:numPr>
          <w:ilvl w:val="0"/>
          <w:numId w:val="29"/>
        </w:numPr>
        <w:ind w:left="714" w:hanging="357"/>
        <w:jc w:val="both"/>
        <w:rPr>
          <w:rFonts w:ascii="Calibri" w:hAnsi="Calibri"/>
          <w:sz w:val="20"/>
          <w:szCs w:val="20"/>
          <w:lang w:val="en-CA"/>
        </w:rPr>
      </w:pPr>
      <w:r w:rsidRPr="005B1365">
        <w:rPr>
          <w:rFonts w:ascii="Calibri" w:hAnsi="Calibri"/>
          <w:sz w:val="20"/>
          <w:szCs w:val="20"/>
          <w:lang w:val="en-CA"/>
        </w:rPr>
        <w:t>The coordination of the project.</w:t>
      </w:r>
    </w:p>
    <w:p w14:paraId="6192CAE5" w14:textId="77777777" w:rsidR="00302BFE" w:rsidRPr="00810670" w:rsidRDefault="00302BFE" w:rsidP="00302BFE">
      <w:pPr>
        <w:spacing w:before="120" w:after="120"/>
        <w:rPr>
          <w:b/>
          <w:bCs/>
          <w:szCs w:val="20"/>
          <w:lang w:val="en-CA"/>
        </w:rPr>
      </w:pPr>
      <w:r w:rsidRPr="005B1365">
        <w:rPr>
          <w:b/>
          <w:bCs/>
          <w:szCs w:val="20"/>
          <w:lang w:val="en-CA"/>
        </w:rPr>
        <w:t xml:space="preserve">The </w:t>
      </w:r>
      <w:r w:rsidRPr="005B1365">
        <w:rPr>
          <w:rFonts w:cs="Arial"/>
          <w:b/>
          <w:noProof/>
          <w:szCs w:val="20"/>
          <w:lang w:eastAsia="zh-CN"/>
        </w:rPr>
        <w:t xml:space="preserve">Project </w:t>
      </w:r>
      <w:r w:rsidRPr="005B1365">
        <w:rPr>
          <w:b/>
          <w:bCs/>
          <w:szCs w:val="20"/>
          <w:lang w:val="en-CA"/>
        </w:rPr>
        <w:t xml:space="preserve">Consultation </w:t>
      </w:r>
      <w:r w:rsidR="006E6BBB">
        <w:rPr>
          <w:b/>
          <w:szCs w:val="20"/>
          <w:lang w:val="en-CA"/>
        </w:rPr>
        <w:t>/</w:t>
      </w:r>
      <w:r w:rsidRPr="00810670">
        <w:rPr>
          <w:b/>
          <w:szCs w:val="20"/>
          <w:lang w:val="en-CA"/>
        </w:rPr>
        <w:t xml:space="preserve"> Dialogue framework</w:t>
      </w:r>
      <w:r>
        <w:rPr>
          <w:b/>
          <w:szCs w:val="20"/>
          <w:lang w:val="en-CA"/>
        </w:rPr>
        <w:t xml:space="preserve"> </w:t>
      </w:r>
      <w:r w:rsidRPr="00810670">
        <w:rPr>
          <w:szCs w:val="20"/>
          <w:lang w:val="en-CA"/>
        </w:rPr>
        <w:t>(previously called Project Board or Project Steering Committee)</w:t>
      </w:r>
    </w:p>
    <w:p w14:paraId="577E8C94" w14:textId="77777777" w:rsidR="00302BFE" w:rsidRPr="00810670"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CA"/>
        </w:rPr>
      </w:pPr>
      <w:r w:rsidRPr="00810670">
        <w:rPr>
          <w:rFonts w:ascii="Calibri" w:hAnsi="Calibri"/>
          <w:sz w:val="20"/>
          <w:szCs w:val="20"/>
          <w:lang w:val="en-CA"/>
        </w:rPr>
        <w:t xml:space="preserve">In order to ensure UNDP’s ultimate accountability, Project Consultation/Dialogue Framework’s decisions should be made in accordance with standards that shall ensure management for development results, best value money, fairness, integrity, transparency and effective international competition. In case a consensus cannot be reached within the Board, final decision shall rest with the UNDP Programme Manager. </w:t>
      </w:r>
    </w:p>
    <w:p w14:paraId="2CE3FE5B" w14:textId="77777777" w:rsidR="00302BFE" w:rsidRPr="00816870"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CA"/>
        </w:rPr>
      </w:pPr>
      <w:r w:rsidRPr="00810670">
        <w:rPr>
          <w:rFonts w:ascii="Calibri" w:hAnsi="Calibri"/>
          <w:sz w:val="20"/>
          <w:szCs w:val="20"/>
          <w:lang w:val="en-CA"/>
        </w:rPr>
        <w:t xml:space="preserve">The Project Consultation Framework or Dialogue framework (previously called Project Board or Project Steering Committee) is responsible for making </w:t>
      </w:r>
      <w:r w:rsidR="006E6BBB" w:rsidRPr="00810670">
        <w:rPr>
          <w:rFonts w:ascii="Calibri" w:hAnsi="Calibri"/>
          <w:sz w:val="20"/>
          <w:szCs w:val="20"/>
          <w:lang w:val="en-CA"/>
        </w:rPr>
        <w:t xml:space="preserve">management decisions </w:t>
      </w:r>
      <w:r w:rsidRPr="00810670">
        <w:rPr>
          <w:rFonts w:ascii="Calibri" w:hAnsi="Calibri"/>
          <w:sz w:val="20"/>
          <w:szCs w:val="20"/>
          <w:lang w:val="en-CA"/>
        </w:rPr>
        <w:t>by consensus, when guidance is required by the Project Manager, including recommendations for approval of project</w:t>
      </w:r>
      <w:r w:rsidRPr="005B1365">
        <w:rPr>
          <w:rFonts w:ascii="Calibri" w:hAnsi="Calibri"/>
          <w:sz w:val="20"/>
          <w:szCs w:val="20"/>
          <w:lang w:val="en-CA"/>
        </w:rPr>
        <w:t xml:space="preserve"> plans and revisions, and addressing any project level grievances. The </w:t>
      </w:r>
      <w:r>
        <w:rPr>
          <w:rFonts w:ascii="Calibri" w:hAnsi="Calibri"/>
          <w:sz w:val="20"/>
          <w:szCs w:val="20"/>
          <w:lang w:val="en-CA"/>
        </w:rPr>
        <w:t>Project Consultation/Dialogue Framework</w:t>
      </w:r>
      <w:r w:rsidRPr="005B1365">
        <w:rPr>
          <w:rFonts w:ascii="Calibri" w:hAnsi="Calibri"/>
          <w:sz w:val="20"/>
          <w:szCs w:val="20"/>
          <w:lang w:val="en-CA"/>
        </w:rPr>
        <w:t xml:space="preserve"> will contribute to the implementation of the project through the review of results and activities. It will formulate suggestions and directions for the optimal achievement of the expected results. To this end, the main responsibilities of the </w:t>
      </w:r>
      <w:r>
        <w:rPr>
          <w:rFonts w:ascii="Calibri" w:hAnsi="Calibri"/>
          <w:sz w:val="20"/>
          <w:szCs w:val="20"/>
          <w:lang w:val="en-CA"/>
        </w:rPr>
        <w:t>Project Consultation/Dialogue Framework</w:t>
      </w:r>
      <w:r w:rsidRPr="005B1365">
        <w:rPr>
          <w:rFonts w:ascii="Calibri" w:hAnsi="Calibri"/>
          <w:sz w:val="20"/>
          <w:szCs w:val="20"/>
          <w:lang w:val="en-CA"/>
        </w:rPr>
        <w:t xml:space="preserve"> will be to:</w:t>
      </w:r>
    </w:p>
    <w:p w14:paraId="41A1B4D0" w14:textId="77777777" w:rsidR="00302BFE" w:rsidRPr="005B1365" w:rsidRDefault="00302BFE" w:rsidP="00C46720">
      <w:pPr>
        <w:pStyle w:val="Paragraphedeliste"/>
        <w:numPr>
          <w:ilvl w:val="0"/>
          <w:numId w:val="30"/>
        </w:numPr>
        <w:ind w:left="714" w:hanging="357"/>
        <w:jc w:val="both"/>
        <w:rPr>
          <w:rFonts w:ascii="Calibri" w:hAnsi="Calibri"/>
          <w:sz w:val="20"/>
          <w:szCs w:val="20"/>
          <w:lang w:val="en-CA"/>
        </w:rPr>
      </w:pPr>
      <w:r w:rsidRPr="005B1365">
        <w:rPr>
          <w:rFonts w:ascii="Calibri" w:hAnsi="Calibri"/>
          <w:sz w:val="20"/>
          <w:szCs w:val="20"/>
          <w:lang w:val="en-CA"/>
        </w:rPr>
        <w:t>review the project implementation plan,</w:t>
      </w:r>
    </w:p>
    <w:p w14:paraId="73A25B89" w14:textId="77777777" w:rsidR="00302BFE" w:rsidRPr="005B1365" w:rsidRDefault="00302BFE" w:rsidP="00C46720">
      <w:pPr>
        <w:pStyle w:val="Paragraphedeliste"/>
        <w:numPr>
          <w:ilvl w:val="0"/>
          <w:numId w:val="30"/>
        </w:numPr>
        <w:ind w:left="714" w:hanging="357"/>
        <w:jc w:val="both"/>
        <w:rPr>
          <w:rFonts w:ascii="Calibri" w:hAnsi="Calibri"/>
          <w:sz w:val="20"/>
          <w:szCs w:val="20"/>
          <w:lang w:val="en-CA"/>
        </w:rPr>
      </w:pPr>
      <w:r w:rsidRPr="005B1365">
        <w:rPr>
          <w:rFonts w:ascii="Calibri" w:hAnsi="Calibri"/>
          <w:sz w:val="20"/>
          <w:szCs w:val="20"/>
          <w:lang w:val="en-CA"/>
        </w:rPr>
        <w:t>examine the various project evaluation reports,</w:t>
      </w:r>
    </w:p>
    <w:p w14:paraId="369E9E04" w14:textId="77777777" w:rsidR="00302BFE" w:rsidRPr="005B1365" w:rsidRDefault="00302BFE" w:rsidP="00C46720">
      <w:pPr>
        <w:pStyle w:val="Paragraphedeliste"/>
        <w:numPr>
          <w:ilvl w:val="0"/>
          <w:numId w:val="30"/>
        </w:numPr>
        <w:ind w:left="714" w:hanging="357"/>
        <w:jc w:val="both"/>
        <w:rPr>
          <w:rFonts w:ascii="Calibri" w:hAnsi="Calibri"/>
          <w:sz w:val="20"/>
          <w:szCs w:val="20"/>
          <w:lang w:val="en-CA"/>
        </w:rPr>
      </w:pPr>
      <w:r w:rsidRPr="005B1365">
        <w:rPr>
          <w:rFonts w:ascii="Calibri" w:hAnsi="Calibri"/>
          <w:sz w:val="20"/>
          <w:szCs w:val="20"/>
          <w:lang w:val="en-CA"/>
        </w:rPr>
        <w:t>review periodic activity and financial reports</w:t>
      </w:r>
    </w:p>
    <w:p w14:paraId="7E20D40B" w14:textId="77777777" w:rsidR="00302BFE" w:rsidRPr="005B1365" w:rsidRDefault="00302BFE" w:rsidP="00C46720">
      <w:pPr>
        <w:pStyle w:val="Paragraphedeliste"/>
        <w:numPr>
          <w:ilvl w:val="0"/>
          <w:numId w:val="30"/>
        </w:numPr>
        <w:ind w:left="714" w:hanging="357"/>
        <w:jc w:val="both"/>
        <w:rPr>
          <w:rFonts w:ascii="Calibri" w:hAnsi="Calibri"/>
          <w:sz w:val="20"/>
          <w:szCs w:val="20"/>
          <w:lang w:val="en-CA"/>
        </w:rPr>
      </w:pPr>
      <w:r w:rsidRPr="005B1365">
        <w:rPr>
          <w:rFonts w:ascii="Calibri" w:hAnsi="Calibri"/>
          <w:sz w:val="20"/>
          <w:szCs w:val="20"/>
          <w:lang w:val="en-CA"/>
        </w:rPr>
        <w:t>review the annual program of activities, the budget and the procurement plan</w:t>
      </w:r>
    </w:p>
    <w:p w14:paraId="4C73ACF8" w14:textId="77777777" w:rsidR="00302BFE" w:rsidRPr="005B1365" w:rsidRDefault="00302BFE" w:rsidP="00C46720">
      <w:pPr>
        <w:pStyle w:val="Paragraphedeliste"/>
        <w:numPr>
          <w:ilvl w:val="0"/>
          <w:numId w:val="30"/>
        </w:numPr>
        <w:ind w:left="714" w:hanging="357"/>
        <w:jc w:val="both"/>
        <w:rPr>
          <w:rFonts w:ascii="Calibri" w:hAnsi="Calibri"/>
          <w:sz w:val="20"/>
          <w:szCs w:val="20"/>
          <w:lang w:val="en-CA"/>
        </w:rPr>
      </w:pPr>
      <w:r w:rsidRPr="005B1365">
        <w:rPr>
          <w:rFonts w:ascii="Calibri" w:hAnsi="Calibri"/>
          <w:sz w:val="20"/>
          <w:szCs w:val="20"/>
          <w:lang w:val="en-CA"/>
        </w:rPr>
        <w:t>ensure the implementation of the recommendations of the Review Committee, supervision and monitoring missions and various audits</w:t>
      </w:r>
    </w:p>
    <w:p w14:paraId="0CBF936B" w14:textId="77777777" w:rsidR="00302BFE" w:rsidRPr="005B1365" w:rsidRDefault="00302BFE" w:rsidP="00C46720">
      <w:pPr>
        <w:pStyle w:val="Paragraphedeliste"/>
        <w:numPr>
          <w:ilvl w:val="0"/>
          <w:numId w:val="30"/>
        </w:numPr>
        <w:ind w:left="714" w:hanging="357"/>
        <w:jc w:val="both"/>
        <w:rPr>
          <w:rFonts w:ascii="Calibri" w:hAnsi="Calibri"/>
          <w:sz w:val="20"/>
          <w:szCs w:val="20"/>
          <w:lang w:val="en-CA"/>
        </w:rPr>
      </w:pPr>
      <w:r w:rsidRPr="005B1365">
        <w:rPr>
          <w:rFonts w:ascii="Calibri" w:hAnsi="Calibri"/>
          <w:sz w:val="20"/>
          <w:szCs w:val="20"/>
          <w:lang w:val="en-CA"/>
        </w:rPr>
        <w:t>make recommendations to the attention of the project coordinator and the various actors involved in the life of the project</w:t>
      </w:r>
    </w:p>
    <w:p w14:paraId="2C8723DF" w14:textId="77777777" w:rsidR="00302BFE" w:rsidRPr="005B1365" w:rsidRDefault="00302BFE" w:rsidP="00C46720">
      <w:pPr>
        <w:pStyle w:val="Paragraphedeliste"/>
        <w:numPr>
          <w:ilvl w:val="0"/>
          <w:numId w:val="30"/>
        </w:numPr>
        <w:spacing w:after="120"/>
        <w:ind w:left="714" w:hanging="357"/>
        <w:jc w:val="both"/>
        <w:rPr>
          <w:rFonts w:ascii="Calibri" w:hAnsi="Calibri"/>
          <w:sz w:val="20"/>
          <w:szCs w:val="20"/>
          <w:lang w:val="en-CA"/>
        </w:rPr>
      </w:pPr>
      <w:r w:rsidRPr="005B1365">
        <w:rPr>
          <w:rFonts w:ascii="Calibri" w:hAnsi="Calibri"/>
          <w:sz w:val="20"/>
          <w:szCs w:val="20"/>
          <w:lang w:val="en-CA"/>
        </w:rPr>
        <w:t>examine any file submitted to it.</w:t>
      </w:r>
    </w:p>
    <w:p w14:paraId="5777FE19" w14:textId="77777777" w:rsidR="00302BFE" w:rsidRPr="005B1365"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CA"/>
        </w:rPr>
      </w:pPr>
      <w:r w:rsidRPr="005B1365">
        <w:rPr>
          <w:rFonts w:ascii="Calibri" w:hAnsi="Calibri"/>
          <w:sz w:val="20"/>
          <w:szCs w:val="20"/>
          <w:lang w:val="en-CA"/>
        </w:rPr>
        <w:t xml:space="preserve">In order to ensure ultimate accountability of UNDP, the decisions of the project's consultative framework should be </w:t>
      </w:r>
      <w:r>
        <w:rPr>
          <w:rFonts w:ascii="Calibri" w:hAnsi="Calibri"/>
          <w:sz w:val="20"/>
          <w:szCs w:val="20"/>
          <w:lang w:val="en-CA"/>
        </w:rPr>
        <w:t>made in accordance</w:t>
      </w:r>
      <w:r w:rsidRPr="005B1365">
        <w:rPr>
          <w:rFonts w:ascii="Calibri" w:hAnsi="Calibri"/>
          <w:sz w:val="20"/>
          <w:szCs w:val="20"/>
          <w:lang w:val="en-CA"/>
        </w:rPr>
        <w:t xml:space="preserve"> with standards that </w:t>
      </w:r>
      <w:r>
        <w:rPr>
          <w:rFonts w:ascii="Calibri" w:hAnsi="Calibri"/>
          <w:sz w:val="20"/>
          <w:szCs w:val="20"/>
          <w:lang w:val="en-CA"/>
        </w:rPr>
        <w:t>shall ensure</w:t>
      </w:r>
      <w:r w:rsidRPr="005B1365">
        <w:rPr>
          <w:rFonts w:ascii="Calibri" w:hAnsi="Calibri"/>
          <w:sz w:val="20"/>
          <w:szCs w:val="20"/>
          <w:lang w:val="en-CA"/>
        </w:rPr>
        <w:t xml:space="preserve"> management of development results, be</w:t>
      </w:r>
      <w:r>
        <w:rPr>
          <w:rFonts w:ascii="Calibri" w:hAnsi="Calibri"/>
          <w:sz w:val="20"/>
          <w:szCs w:val="20"/>
          <w:lang w:val="en-CA"/>
        </w:rPr>
        <w:t>st value money</w:t>
      </w:r>
      <w:r w:rsidRPr="005B1365">
        <w:rPr>
          <w:rFonts w:ascii="Calibri" w:hAnsi="Calibri"/>
          <w:sz w:val="20"/>
          <w:szCs w:val="20"/>
          <w:lang w:val="en-CA"/>
        </w:rPr>
        <w:t xml:space="preserve">, </w:t>
      </w:r>
      <w:r>
        <w:rPr>
          <w:rFonts w:ascii="Calibri" w:hAnsi="Calibri"/>
          <w:sz w:val="20"/>
          <w:szCs w:val="20"/>
          <w:lang w:val="en-CA"/>
        </w:rPr>
        <w:t xml:space="preserve">fairness, </w:t>
      </w:r>
      <w:r w:rsidRPr="005B1365">
        <w:rPr>
          <w:rFonts w:ascii="Calibri" w:hAnsi="Calibri"/>
          <w:sz w:val="20"/>
          <w:szCs w:val="20"/>
          <w:lang w:val="en-CA"/>
        </w:rPr>
        <w:t xml:space="preserve">integrity, transparency </w:t>
      </w:r>
      <w:r w:rsidRPr="005B1365">
        <w:rPr>
          <w:rFonts w:ascii="Calibri" w:hAnsi="Calibri"/>
          <w:sz w:val="20"/>
          <w:szCs w:val="20"/>
          <w:lang w:val="en-CA"/>
        </w:rPr>
        <w:lastRenderedPageBreak/>
        <w:t xml:space="preserve">and effective international competition. In </w:t>
      </w:r>
      <w:r>
        <w:rPr>
          <w:rFonts w:ascii="Calibri" w:hAnsi="Calibri"/>
          <w:sz w:val="20"/>
          <w:szCs w:val="20"/>
          <w:lang w:val="en-CA"/>
        </w:rPr>
        <w:t>case a</w:t>
      </w:r>
      <w:r w:rsidRPr="005B1365">
        <w:rPr>
          <w:rFonts w:ascii="Calibri" w:hAnsi="Calibri"/>
          <w:sz w:val="20"/>
          <w:szCs w:val="20"/>
          <w:lang w:val="en-CA"/>
        </w:rPr>
        <w:t xml:space="preserve"> consensus can</w:t>
      </w:r>
      <w:r>
        <w:rPr>
          <w:rFonts w:ascii="Calibri" w:hAnsi="Calibri"/>
          <w:sz w:val="20"/>
          <w:szCs w:val="20"/>
          <w:lang w:val="en-CA"/>
        </w:rPr>
        <w:t>not</w:t>
      </w:r>
      <w:r w:rsidRPr="005B1365">
        <w:rPr>
          <w:rFonts w:ascii="Calibri" w:hAnsi="Calibri"/>
          <w:sz w:val="20"/>
          <w:szCs w:val="20"/>
          <w:lang w:val="en-CA"/>
        </w:rPr>
        <w:t xml:space="preserve"> be reached within the </w:t>
      </w:r>
      <w:r>
        <w:rPr>
          <w:rFonts w:ascii="Calibri" w:hAnsi="Calibri"/>
          <w:sz w:val="20"/>
          <w:szCs w:val="20"/>
          <w:lang w:val="en-CA"/>
        </w:rPr>
        <w:t>Consultation Framework</w:t>
      </w:r>
      <w:r w:rsidRPr="005B1365">
        <w:rPr>
          <w:rFonts w:ascii="Calibri" w:hAnsi="Calibri"/>
          <w:sz w:val="20"/>
          <w:szCs w:val="20"/>
          <w:lang w:val="en-CA"/>
        </w:rPr>
        <w:t xml:space="preserve">, final decision </w:t>
      </w:r>
      <w:r>
        <w:rPr>
          <w:rFonts w:ascii="Calibri" w:hAnsi="Calibri"/>
          <w:sz w:val="20"/>
          <w:szCs w:val="20"/>
          <w:lang w:val="en-CA"/>
        </w:rPr>
        <w:t>shall rest with</w:t>
      </w:r>
      <w:r w:rsidRPr="005B1365">
        <w:rPr>
          <w:rFonts w:ascii="Calibri" w:hAnsi="Calibri"/>
          <w:sz w:val="20"/>
          <w:szCs w:val="20"/>
          <w:lang w:val="en-CA"/>
        </w:rPr>
        <w:t xml:space="preserve"> the UNDP Program Manager.</w:t>
      </w:r>
    </w:p>
    <w:p w14:paraId="315BE7FD" w14:textId="77777777" w:rsidR="00302BFE" w:rsidRPr="00816870"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CA"/>
        </w:rPr>
      </w:pPr>
      <w:r w:rsidRPr="00816870">
        <w:rPr>
          <w:rFonts w:ascii="Calibri" w:hAnsi="Calibri"/>
          <w:sz w:val="20"/>
          <w:szCs w:val="20"/>
          <w:lang w:val="en-CA"/>
        </w:rPr>
        <w:t>To enable it to fulfill its missions, the composition and operation of the Consultation Framework are as follows:</w:t>
      </w:r>
    </w:p>
    <w:p w14:paraId="2DDFA5C2" w14:textId="77777777" w:rsidR="00302BFE" w:rsidRPr="00810670" w:rsidRDefault="00302BFE" w:rsidP="00302BFE">
      <w:pPr>
        <w:spacing w:before="120" w:after="120"/>
        <w:ind w:left="720"/>
        <w:rPr>
          <w:color w:val="4472C4"/>
          <w:szCs w:val="20"/>
          <w:lang w:val="en-CA"/>
        </w:rPr>
      </w:pPr>
      <w:r w:rsidRPr="00810670">
        <w:rPr>
          <w:color w:val="4472C4"/>
          <w:szCs w:val="20"/>
          <w:lang w:val="en-CA"/>
        </w:rPr>
        <w:t>Membership of the Consultation Framework or Dialogue Framework</w:t>
      </w:r>
    </w:p>
    <w:p w14:paraId="77E6DCF0" w14:textId="77777777" w:rsidR="00302BFE" w:rsidRPr="00810670"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CA"/>
        </w:rPr>
      </w:pPr>
      <w:r w:rsidRPr="00810670">
        <w:rPr>
          <w:rFonts w:ascii="Calibri" w:hAnsi="Calibri"/>
          <w:sz w:val="20"/>
          <w:szCs w:val="20"/>
          <w:lang w:val="en-CA"/>
        </w:rPr>
        <w:t>The Dialogue Framework is composed as follows:</w:t>
      </w:r>
    </w:p>
    <w:p w14:paraId="6EB6DEBE" w14:textId="77777777" w:rsidR="00302BFE" w:rsidRPr="00810670" w:rsidRDefault="00302BFE" w:rsidP="00302BFE">
      <w:pPr>
        <w:spacing w:before="120" w:after="120"/>
        <w:rPr>
          <w:szCs w:val="20"/>
          <w:lang w:val="en-CA"/>
        </w:rPr>
      </w:pPr>
      <w:r w:rsidRPr="00810670">
        <w:rPr>
          <w:szCs w:val="20"/>
          <w:u w:val="single"/>
          <w:lang w:val="en-CA"/>
        </w:rPr>
        <w:t>President</w:t>
      </w:r>
      <w:r w:rsidRPr="00810670">
        <w:rPr>
          <w:szCs w:val="20"/>
          <w:lang w:val="en-CA"/>
        </w:rPr>
        <w:t>: The representative of the Ministry of Environment, Green Economy and Climate Change</w:t>
      </w:r>
    </w:p>
    <w:p w14:paraId="788C0D17" w14:textId="77777777" w:rsidR="00302BFE" w:rsidRPr="00810670" w:rsidRDefault="00302BFE" w:rsidP="00302BFE">
      <w:pPr>
        <w:spacing w:before="120" w:after="120"/>
        <w:rPr>
          <w:szCs w:val="20"/>
          <w:lang w:val="en-CA"/>
        </w:rPr>
      </w:pPr>
      <w:r w:rsidRPr="00810670">
        <w:rPr>
          <w:szCs w:val="20"/>
          <w:u w:val="single"/>
          <w:lang w:val="en-CA"/>
        </w:rPr>
        <w:t>Co-Chair</w:t>
      </w:r>
      <w:r w:rsidRPr="00810670">
        <w:rPr>
          <w:szCs w:val="20"/>
          <w:lang w:val="en-CA"/>
        </w:rPr>
        <w:t>: The UNDP Resident Representative or his/her representative</w:t>
      </w:r>
    </w:p>
    <w:p w14:paraId="2FDF251E" w14:textId="77777777" w:rsidR="00302BFE" w:rsidRPr="00810670" w:rsidRDefault="00302BFE" w:rsidP="00302BFE">
      <w:pPr>
        <w:spacing w:before="120" w:after="120"/>
        <w:rPr>
          <w:szCs w:val="20"/>
          <w:lang w:val="en-CA"/>
        </w:rPr>
      </w:pPr>
      <w:r w:rsidRPr="00810670">
        <w:rPr>
          <w:szCs w:val="20"/>
          <w:u w:val="single"/>
          <w:lang w:val="en-CA"/>
        </w:rPr>
        <w:t>Members</w:t>
      </w:r>
      <w:r w:rsidRPr="00810670">
        <w:rPr>
          <w:szCs w:val="20"/>
          <w:lang w:val="en-CA"/>
        </w:rPr>
        <w:t>:</w:t>
      </w:r>
    </w:p>
    <w:p w14:paraId="1E9FA9D2" w14:textId="77777777" w:rsidR="00302BFE" w:rsidRPr="00810670" w:rsidRDefault="00302BFE" w:rsidP="00302BFE">
      <w:pPr>
        <w:tabs>
          <w:tab w:val="left" w:pos="2921"/>
        </w:tabs>
        <w:spacing w:before="120" w:after="0"/>
        <w:rPr>
          <w:szCs w:val="20"/>
          <w:lang w:val="fr-FR"/>
        </w:rPr>
      </w:pPr>
      <w:r w:rsidRPr="00810670">
        <w:rPr>
          <w:szCs w:val="20"/>
          <w:lang w:val="fr-FR"/>
        </w:rPr>
        <w:t>As implementing actors:</w:t>
      </w:r>
    </w:p>
    <w:p w14:paraId="6E42A06C" w14:textId="77777777" w:rsidR="00302BFE" w:rsidRPr="00810670" w:rsidRDefault="00302BFE" w:rsidP="00C46720">
      <w:pPr>
        <w:numPr>
          <w:ilvl w:val="0"/>
          <w:numId w:val="31"/>
        </w:numPr>
        <w:autoSpaceDN w:val="0"/>
        <w:spacing w:after="0"/>
        <w:ind w:left="714" w:hanging="357"/>
        <w:rPr>
          <w:szCs w:val="20"/>
          <w:lang w:val="en-CA"/>
        </w:rPr>
      </w:pPr>
      <w:r w:rsidRPr="00810670">
        <w:rPr>
          <w:szCs w:val="20"/>
          <w:lang w:val="en-CA"/>
        </w:rPr>
        <w:t>A representative of the Ministry of the Economy of Finance and Development (MINEFID)</w:t>
      </w:r>
    </w:p>
    <w:p w14:paraId="0D1145D9" w14:textId="77777777" w:rsidR="00302BFE" w:rsidRPr="00810670" w:rsidRDefault="00302BFE" w:rsidP="00C46720">
      <w:pPr>
        <w:numPr>
          <w:ilvl w:val="0"/>
          <w:numId w:val="31"/>
        </w:numPr>
        <w:autoSpaceDN w:val="0"/>
        <w:spacing w:after="0"/>
        <w:ind w:left="714" w:hanging="357"/>
        <w:rPr>
          <w:szCs w:val="20"/>
          <w:lang w:val="en-CA"/>
        </w:rPr>
      </w:pPr>
      <w:r w:rsidRPr="00810670">
        <w:rPr>
          <w:szCs w:val="20"/>
          <w:lang w:val="en-CA"/>
        </w:rPr>
        <w:t xml:space="preserve">Four representatives of the Ministry of Environment, Green Economy and Climate Change (Head of the Budget Attachment Program or his/her representative, the Director of Fauna or his/her representative, the Director of OFINAP or his/her representative, and the Director General of Studies and Sectoral Statistics or his/her representative) </w:t>
      </w:r>
    </w:p>
    <w:p w14:paraId="6AB15DFC" w14:textId="77777777" w:rsidR="00302BFE" w:rsidRPr="00810670" w:rsidRDefault="00302BFE" w:rsidP="00302BFE">
      <w:pPr>
        <w:spacing w:before="120" w:after="0"/>
        <w:rPr>
          <w:szCs w:val="20"/>
          <w:lang w:val="en-CA"/>
        </w:rPr>
      </w:pPr>
      <w:r w:rsidRPr="00810670">
        <w:rPr>
          <w:szCs w:val="20"/>
          <w:lang w:val="en-CA"/>
        </w:rPr>
        <w:t>As beneficiaries:</w:t>
      </w:r>
    </w:p>
    <w:p w14:paraId="316F89AE" w14:textId="77777777" w:rsidR="00302BFE" w:rsidRPr="00810670" w:rsidRDefault="00302BFE" w:rsidP="00C46720">
      <w:pPr>
        <w:numPr>
          <w:ilvl w:val="0"/>
          <w:numId w:val="31"/>
        </w:numPr>
        <w:autoSpaceDN w:val="0"/>
        <w:spacing w:after="0"/>
        <w:ind w:left="714" w:hanging="357"/>
        <w:rPr>
          <w:szCs w:val="20"/>
          <w:lang w:val="en-CA"/>
        </w:rPr>
      </w:pPr>
      <w:r w:rsidRPr="00810670">
        <w:rPr>
          <w:szCs w:val="20"/>
          <w:lang w:val="en-CA"/>
        </w:rPr>
        <w:t>A representative of the Directorate General of Waters and Forests</w:t>
      </w:r>
    </w:p>
    <w:p w14:paraId="1F0198BA" w14:textId="77777777" w:rsidR="00302BFE" w:rsidRPr="00810670" w:rsidRDefault="00302BFE" w:rsidP="00C46720">
      <w:pPr>
        <w:numPr>
          <w:ilvl w:val="0"/>
          <w:numId w:val="31"/>
        </w:numPr>
        <w:autoSpaceDN w:val="0"/>
        <w:spacing w:after="0"/>
        <w:ind w:left="714" w:hanging="357"/>
        <w:rPr>
          <w:szCs w:val="20"/>
          <w:lang w:val="en-CA"/>
        </w:rPr>
      </w:pPr>
      <w:r w:rsidRPr="00810670">
        <w:rPr>
          <w:szCs w:val="20"/>
          <w:lang w:val="en-CA"/>
        </w:rPr>
        <w:t>9 representatives of local authorities representing the pilot communes in the PONASI landscape that are involved in this project</w:t>
      </w:r>
    </w:p>
    <w:p w14:paraId="1B4CDA1C" w14:textId="77777777" w:rsidR="00302BFE" w:rsidRPr="00810670" w:rsidRDefault="00302BFE" w:rsidP="00C46720">
      <w:pPr>
        <w:numPr>
          <w:ilvl w:val="0"/>
          <w:numId w:val="31"/>
        </w:numPr>
        <w:autoSpaceDN w:val="0"/>
        <w:spacing w:after="0"/>
        <w:ind w:left="714" w:hanging="357"/>
        <w:rPr>
          <w:szCs w:val="20"/>
          <w:lang w:val="en-CA"/>
        </w:rPr>
      </w:pPr>
      <w:r w:rsidRPr="00810670">
        <w:rPr>
          <w:szCs w:val="20"/>
          <w:lang w:val="en-CA"/>
        </w:rPr>
        <w:t>Three representatives of the regional authorities (Center-South, Center-East and Center-West regions)</w:t>
      </w:r>
    </w:p>
    <w:p w14:paraId="6E582309" w14:textId="77777777" w:rsidR="00302BFE" w:rsidRPr="00816870" w:rsidRDefault="00302BFE" w:rsidP="00302BFE">
      <w:pPr>
        <w:spacing w:before="120" w:after="0"/>
        <w:rPr>
          <w:szCs w:val="20"/>
          <w:lang w:val="fr-FR"/>
        </w:rPr>
      </w:pPr>
      <w:r w:rsidRPr="00816870">
        <w:rPr>
          <w:szCs w:val="20"/>
          <w:lang w:val="fr-FR"/>
        </w:rPr>
        <w:t>As providers :</w:t>
      </w:r>
    </w:p>
    <w:p w14:paraId="4644F952" w14:textId="77777777" w:rsidR="00302BFE" w:rsidRPr="00816870" w:rsidRDefault="00302BFE" w:rsidP="00C46720">
      <w:pPr>
        <w:numPr>
          <w:ilvl w:val="0"/>
          <w:numId w:val="31"/>
        </w:numPr>
        <w:autoSpaceDN w:val="0"/>
        <w:spacing w:after="0"/>
        <w:ind w:left="714" w:hanging="357"/>
        <w:rPr>
          <w:szCs w:val="20"/>
          <w:lang w:val="en-CA"/>
        </w:rPr>
      </w:pPr>
      <w:r w:rsidRPr="00816870">
        <w:rPr>
          <w:szCs w:val="20"/>
          <w:lang w:val="en-CA"/>
        </w:rPr>
        <w:t>A representative of UNDP Resident Representative</w:t>
      </w:r>
    </w:p>
    <w:p w14:paraId="5F1D8BBD" w14:textId="77777777" w:rsidR="00302BFE" w:rsidRPr="00816870" w:rsidRDefault="00302BFE" w:rsidP="00C46720">
      <w:pPr>
        <w:numPr>
          <w:ilvl w:val="0"/>
          <w:numId w:val="31"/>
        </w:numPr>
        <w:autoSpaceDN w:val="0"/>
        <w:spacing w:after="0"/>
        <w:ind w:left="714" w:hanging="357"/>
        <w:rPr>
          <w:szCs w:val="20"/>
          <w:lang w:val="en-CA"/>
        </w:rPr>
      </w:pPr>
      <w:r w:rsidRPr="00816870">
        <w:rPr>
          <w:szCs w:val="20"/>
          <w:lang w:val="en-CA"/>
        </w:rPr>
        <w:t xml:space="preserve">Representatives of partner projects in the intervention zone </w:t>
      </w:r>
    </w:p>
    <w:p w14:paraId="0B86C068" w14:textId="77777777" w:rsidR="00302BFE" w:rsidRPr="00816870" w:rsidRDefault="00302BFE" w:rsidP="00302BFE">
      <w:pPr>
        <w:spacing w:before="120" w:after="0"/>
        <w:rPr>
          <w:szCs w:val="20"/>
          <w:lang w:val="en-CA"/>
        </w:rPr>
      </w:pPr>
      <w:r w:rsidRPr="005B1365">
        <w:rPr>
          <w:szCs w:val="20"/>
          <w:lang w:val="en-CA"/>
        </w:rPr>
        <w:t>Observers and resource persons:</w:t>
      </w:r>
    </w:p>
    <w:p w14:paraId="4B901B17" w14:textId="77777777" w:rsidR="00302BFE" w:rsidRPr="00816870" w:rsidRDefault="00302BFE" w:rsidP="00C46720">
      <w:pPr>
        <w:numPr>
          <w:ilvl w:val="0"/>
          <w:numId w:val="31"/>
        </w:numPr>
        <w:autoSpaceDN w:val="0"/>
        <w:spacing w:after="0"/>
        <w:ind w:left="714" w:hanging="357"/>
        <w:rPr>
          <w:szCs w:val="20"/>
          <w:lang w:val="en-CA"/>
        </w:rPr>
      </w:pPr>
      <w:r w:rsidRPr="00816870">
        <w:rPr>
          <w:szCs w:val="20"/>
          <w:lang w:val="en-CA"/>
        </w:rPr>
        <w:t>UNDP</w:t>
      </w:r>
    </w:p>
    <w:p w14:paraId="726C1BDE" w14:textId="77777777" w:rsidR="00302BFE" w:rsidRPr="00816870" w:rsidRDefault="00302BFE" w:rsidP="00C46720">
      <w:pPr>
        <w:numPr>
          <w:ilvl w:val="0"/>
          <w:numId w:val="31"/>
        </w:numPr>
        <w:autoSpaceDN w:val="0"/>
        <w:spacing w:after="0"/>
        <w:ind w:left="714" w:hanging="357"/>
        <w:rPr>
          <w:szCs w:val="20"/>
          <w:lang w:val="en-CA"/>
        </w:rPr>
      </w:pPr>
      <w:r w:rsidRPr="00816870">
        <w:rPr>
          <w:szCs w:val="20"/>
          <w:lang w:val="en-CA"/>
        </w:rPr>
        <w:t>Technical Ministries</w:t>
      </w:r>
    </w:p>
    <w:p w14:paraId="3875FDAC" w14:textId="77777777" w:rsidR="00302BFE" w:rsidRPr="00816870" w:rsidRDefault="00302BFE" w:rsidP="00C46720">
      <w:pPr>
        <w:numPr>
          <w:ilvl w:val="0"/>
          <w:numId w:val="31"/>
        </w:numPr>
        <w:autoSpaceDN w:val="0"/>
        <w:spacing w:after="0"/>
        <w:ind w:left="714" w:hanging="357"/>
        <w:rPr>
          <w:szCs w:val="20"/>
          <w:lang w:val="en-CA"/>
        </w:rPr>
      </w:pPr>
      <w:r w:rsidRPr="00816870">
        <w:rPr>
          <w:szCs w:val="20"/>
          <w:lang w:val="en-CA"/>
        </w:rPr>
        <w:t>Other technical and financial partners</w:t>
      </w:r>
    </w:p>
    <w:p w14:paraId="21918A3A" w14:textId="77777777" w:rsidR="00302BFE" w:rsidRPr="00810670"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CA"/>
        </w:rPr>
      </w:pPr>
      <w:r w:rsidRPr="00816870">
        <w:rPr>
          <w:rFonts w:ascii="Calibri" w:hAnsi="Calibri"/>
          <w:sz w:val="20"/>
          <w:szCs w:val="20"/>
          <w:lang w:val="en-CA"/>
        </w:rPr>
        <w:t xml:space="preserve">As part of the execution of </w:t>
      </w:r>
      <w:r w:rsidR="00193614">
        <w:rPr>
          <w:rFonts w:ascii="Calibri" w:hAnsi="Calibri"/>
          <w:sz w:val="20"/>
          <w:szCs w:val="20"/>
          <w:lang w:val="en-CA"/>
        </w:rPr>
        <w:t>his/her</w:t>
      </w:r>
      <w:r w:rsidRPr="00816870">
        <w:rPr>
          <w:rFonts w:ascii="Calibri" w:hAnsi="Calibri"/>
          <w:sz w:val="20"/>
          <w:szCs w:val="20"/>
          <w:lang w:val="en-CA"/>
        </w:rPr>
        <w:t xml:space="preserve"> mission, the Chairman of the Consultation Framework may, if necessary, invite any other person to the work of the </w:t>
      </w:r>
      <w:r w:rsidRPr="00810670">
        <w:rPr>
          <w:rFonts w:ascii="Calibri" w:hAnsi="Calibri"/>
          <w:sz w:val="20"/>
          <w:szCs w:val="20"/>
          <w:lang w:val="en-CA"/>
        </w:rPr>
        <w:t>consultation/dialogue framework of the project.</w:t>
      </w:r>
    </w:p>
    <w:p w14:paraId="67708545" w14:textId="77777777" w:rsidR="00302BFE" w:rsidRPr="00810670" w:rsidRDefault="00302BFE" w:rsidP="00302BFE">
      <w:pPr>
        <w:pStyle w:val="Paragraphedeliste"/>
        <w:spacing w:before="120" w:after="120"/>
        <w:jc w:val="both"/>
        <w:rPr>
          <w:rFonts w:ascii="Calibri" w:hAnsi="Calibri"/>
          <w:color w:val="4472C4"/>
          <w:sz w:val="20"/>
          <w:szCs w:val="20"/>
          <w:lang w:val="en-CA"/>
        </w:rPr>
      </w:pPr>
      <w:r w:rsidRPr="00810670">
        <w:rPr>
          <w:rFonts w:ascii="Calibri" w:hAnsi="Calibri"/>
          <w:color w:val="4472C4"/>
          <w:sz w:val="20"/>
          <w:szCs w:val="20"/>
          <w:lang w:val="en-CA"/>
        </w:rPr>
        <w:t>Operation of the Consultation or Dialogue Framework</w:t>
      </w:r>
    </w:p>
    <w:p w14:paraId="62B59CBA" w14:textId="77777777" w:rsidR="00302BFE"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CA"/>
        </w:rPr>
      </w:pPr>
      <w:r w:rsidRPr="00810670">
        <w:rPr>
          <w:rFonts w:ascii="Calibri" w:hAnsi="Calibri"/>
          <w:sz w:val="20"/>
          <w:szCs w:val="20"/>
          <w:lang w:val="en-CA"/>
        </w:rPr>
        <w:t>The Chairman of the Dialogue Framework facilitates and coordinates the activities. He/she decides on the agenda of the sessions on proposal of the project supervisor and signs any act relating to the exercise of the missions of the dialogue framework</w:t>
      </w:r>
      <w:r w:rsidRPr="005B1365">
        <w:rPr>
          <w:rFonts w:ascii="Calibri" w:hAnsi="Calibri"/>
          <w:sz w:val="20"/>
          <w:szCs w:val="20"/>
          <w:lang w:val="en-CA"/>
        </w:rPr>
        <w:t xml:space="preserve">. The Consultation Framework meets twice a year at the </w:t>
      </w:r>
      <w:r w:rsidRPr="00810670">
        <w:rPr>
          <w:rFonts w:ascii="Calibri" w:hAnsi="Calibri"/>
          <w:sz w:val="20"/>
          <w:szCs w:val="20"/>
          <w:lang w:val="en-CA"/>
        </w:rPr>
        <w:t xml:space="preserve">invitation of its Chairman. However, it may meet in special session if necessary. The project coordinator is </w:t>
      </w:r>
      <w:r w:rsidR="00A300D7">
        <w:rPr>
          <w:rFonts w:ascii="Calibri" w:hAnsi="Calibri"/>
          <w:sz w:val="20"/>
          <w:szCs w:val="20"/>
          <w:lang w:val="en-CA"/>
        </w:rPr>
        <w:t>responsible for</w:t>
      </w:r>
      <w:r w:rsidRPr="00810670">
        <w:rPr>
          <w:rFonts w:ascii="Calibri" w:hAnsi="Calibri"/>
          <w:sz w:val="20"/>
          <w:szCs w:val="20"/>
          <w:lang w:val="en-CA"/>
        </w:rPr>
        <w:t xml:space="preserve"> the secretariat of the Dialogue Framework. The cost</w:t>
      </w:r>
      <w:r w:rsidR="00A300D7">
        <w:rPr>
          <w:rFonts w:ascii="Calibri" w:hAnsi="Calibri"/>
          <w:sz w:val="20"/>
          <w:szCs w:val="20"/>
          <w:lang w:val="en-CA"/>
        </w:rPr>
        <w:t>s</w:t>
      </w:r>
      <w:r w:rsidRPr="00810670">
        <w:rPr>
          <w:rFonts w:ascii="Calibri" w:hAnsi="Calibri"/>
          <w:sz w:val="20"/>
          <w:szCs w:val="20"/>
          <w:lang w:val="en-CA"/>
        </w:rPr>
        <w:t xml:space="preserve"> of organizing the Dialogue Framework sessions are supported by the project on the contributions from financial partners.</w:t>
      </w:r>
    </w:p>
    <w:p w14:paraId="6C4A84A7" w14:textId="77777777" w:rsidR="00302BFE"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CA"/>
        </w:rPr>
      </w:pPr>
      <w:r>
        <w:rPr>
          <w:rFonts w:ascii="Calibri" w:hAnsi="Calibri"/>
          <w:sz w:val="20"/>
          <w:szCs w:val="20"/>
          <w:lang w:val="en-CA"/>
        </w:rPr>
        <w:t>Specific responsibilities of the Project Consultative/Dialogue Framework include:</w:t>
      </w:r>
    </w:p>
    <w:p w14:paraId="01CFE8E4" w14:textId="77777777" w:rsidR="00302BFE" w:rsidRPr="002021FE" w:rsidRDefault="00302BFE" w:rsidP="00C46720">
      <w:pPr>
        <w:pStyle w:val="Paragraphedeliste"/>
        <w:numPr>
          <w:ilvl w:val="0"/>
          <w:numId w:val="53"/>
        </w:numPr>
        <w:tabs>
          <w:tab w:val="left" w:pos="284"/>
        </w:tabs>
        <w:jc w:val="both"/>
        <w:rPr>
          <w:rFonts w:ascii="Calibri" w:hAnsi="Calibri"/>
          <w:sz w:val="20"/>
          <w:szCs w:val="20"/>
        </w:rPr>
      </w:pPr>
      <w:r w:rsidRPr="002021FE">
        <w:rPr>
          <w:rFonts w:ascii="Calibri" w:hAnsi="Calibri"/>
          <w:sz w:val="20"/>
          <w:szCs w:val="20"/>
        </w:rPr>
        <w:t>Provide overall guidance and direction to the project, ensuring it remains within any specified constraints;</w:t>
      </w:r>
    </w:p>
    <w:p w14:paraId="20262DCD" w14:textId="77777777" w:rsidR="00302BFE" w:rsidRPr="002021FE" w:rsidRDefault="00302BFE" w:rsidP="00C46720">
      <w:pPr>
        <w:pStyle w:val="Paragraphedeliste"/>
        <w:numPr>
          <w:ilvl w:val="0"/>
          <w:numId w:val="53"/>
        </w:numPr>
        <w:tabs>
          <w:tab w:val="left" w:pos="284"/>
        </w:tabs>
        <w:jc w:val="both"/>
        <w:rPr>
          <w:rFonts w:ascii="Calibri" w:hAnsi="Calibri"/>
          <w:sz w:val="20"/>
          <w:szCs w:val="20"/>
        </w:rPr>
      </w:pPr>
      <w:r w:rsidRPr="002021FE">
        <w:rPr>
          <w:rFonts w:ascii="Calibri" w:hAnsi="Calibri"/>
          <w:sz w:val="20"/>
          <w:szCs w:val="20"/>
        </w:rPr>
        <w:t>Address project issues as raised by the project manager;</w:t>
      </w:r>
    </w:p>
    <w:p w14:paraId="73B7C313" w14:textId="77777777" w:rsidR="00302BFE" w:rsidRPr="002021FE" w:rsidRDefault="00302BFE" w:rsidP="00C46720">
      <w:pPr>
        <w:pStyle w:val="Paragraphedeliste"/>
        <w:numPr>
          <w:ilvl w:val="0"/>
          <w:numId w:val="53"/>
        </w:numPr>
        <w:tabs>
          <w:tab w:val="left" w:pos="284"/>
        </w:tabs>
        <w:jc w:val="both"/>
        <w:rPr>
          <w:rFonts w:ascii="Calibri" w:hAnsi="Calibri"/>
          <w:sz w:val="20"/>
          <w:szCs w:val="20"/>
        </w:rPr>
      </w:pPr>
      <w:r w:rsidRPr="002021FE">
        <w:rPr>
          <w:rFonts w:ascii="Calibri" w:hAnsi="Calibri"/>
          <w:sz w:val="20"/>
          <w:szCs w:val="20"/>
        </w:rPr>
        <w:t xml:space="preserve">Provide guidance on new project risks, and agree on possible countermeasures and management actions to address specific risks; </w:t>
      </w:r>
    </w:p>
    <w:p w14:paraId="6BC3AA2F" w14:textId="77777777" w:rsidR="00302BFE" w:rsidRPr="002021FE" w:rsidRDefault="00302BFE" w:rsidP="00C46720">
      <w:pPr>
        <w:pStyle w:val="Paragraphedeliste"/>
        <w:numPr>
          <w:ilvl w:val="0"/>
          <w:numId w:val="53"/>
        </w:numPr>
        <w:tabs>
          <w:tab w:val="left" w:pos="284"/>
        </w:tabs>
        <w:jc w:val="both"/>
        <w:rPr>
          <w:rFonts w:ascii="Calibri" w:hAnsi="Calibri"/>
          <w:sz w:val="20"/>
          <w:szCs w:val="20"/>
        </w:rPr>
      </w:pPr>
      <w:r w:rsidRPr="002021FE">
        <w:rPr>
          <w:rFonts w:ascii="Calibri" w:hAnsi="Calibri"/>
          <w:sz w:val="20"/>
          <w:szCs w:val="20"/>
        </w:rPr>
        <w:t>Agree on project manager’s tolerances as required;</w:t>
      </w:r>
    </w:p>
    <w:p w14:paraId="4C64B7B2" w14:textId="77777777" w:rsidR="00302BFE" w:rsidRPr="002021FE" w:rsidRDefault="00302BFE" w:rsidP="00C46720">
      <w:pPr>
        <w:pStyle w:val="Paragraphedeliste"/>
        <w:numPr>
          <w:ilvl w:val="0"/>
          <w:numId w:val="53"/>
        </w:numPr>
        <w:tabs>
          <w:tab w:val="left" w:pos="284"/>
        </w:tabs>
        <w:jc w:val="both"/>
        <w:rPr>
          <w:rFonts w:ascii="Calibri" w:hAnsi="Calibri"/>
          <w:sz w:val="20"/>
          <w:szCs w:val="20"/>
        </w:rPr>
      </w:pPr>
      <w:r w:rsidRPr="002021FE">
        <w:rPr>
          <w:rFonts w:ascii="Calibri" w:hAnsi="Calibri"/>
          <w:sz w:val="20"/>
          <w:szCs w:val="20"/>
        </w:rPr>
        <w:t>Review the project progress, and provide direction and recommendations to ensure that the agreed deliverables are produced satisfactorily according to plans;</w:t>
      </w:r>
    </w:p>
    <w:p w14:paraId="4EE813C9" w14:textId="77777777" w:rsidR="00302BFE" w:rsidRPr="002021FE" w:rsidRDefault="00302BFE" w:rsidP="00C46720">
      <w:pPr>
        <w:pStyle w:val="Paragraphedeliste"/>
        <w:numPr>
          <w:ilvl w:val="0"/>
          <w:numId w:val="53"/>
        </w:numPr>
        <w:tabs>
          <w:tab w:val="left" w:pos="284"/>
        </w:tabs>
        <w:jc w:val="both"/>
        <w:rPr>
          <w:rFonts w:ascii="Calibri" w:hAnsi="Calibri"/>
          <w:sz w:val="20"/>
          <w:szCs w:val="20"/>
        </w:rPr>
      </w:pPr>
      <w:r w:rsidRPr="002021FE">
        <w:rPr>
          <w:rFonts w:ascii="Calibri" w:hAnsi="Calibri"/>
          <w:sz w:val="20"/>
          <w:szCs w:val="20"/>
        </w:rPr>
        <w:t xml:space="preserve">Appraise the annual project implementation report, including the quality assessment rating report; make recommendations for the workplan; </w:t>
      </w:r>
    </w:p>
    <w:p w14:paraId="384BE3FB" w14:textId="77777777" w:rsidR="00302BFE" w:rsidRPr="002021FE" w:rsidRDefault="00302BFE" w:rsidP="00C46720">
      <w:pPr>
        <w:pStyle w:val="Paragraphedeliste"/>
        <w:numPr>
          <w:ilvl w:val="0"/>
          <w:numId w:val="53"/>
        </w:numPr>
        <w:tabs>
          <w:tab w:val="left" w:pos="284"/>
        </w:tabs>
        <w:jc w:val="both"/>
        <w:rPr>
          <w:rFonts w:ascii="Calibri" w:hAnsi="Calibri"/>
          <w:sz w:val="20"/>
          <w:szCs w:val="20"/>
        </w:rPr>
      </w:pPr>
      <w:r w:rsidRPr="002021FE">
        <w:rPr>
          <w:rFonts w:ascii="Calibri" w:hAnsi="Calibri"/>
          <w:sz w:val="20"/>
          <w:szCs w:val="20"/>
        </w:rPr>
        <w:t xml:space="preserve">Provide ad hoc direction and advice for exceptional situations when the project manager’s tolerances are exceeded; and </w:t>
      </w:r>
    </w:p>
    <w:p w14:paraId="5275E57B" w14:textId="77777777" w:rsidR="00302BFE" w:rsidRDefault="00302BFE" w:rsidP="00C46720">
      <w:pPr>
        <w:pStyle w:val="Paragraphedeliste"/>
        <w:numPr>
          <w:ilvl w:val="0"/>
          <w:numId w:val="53"/>
        </w:numPr>
        <w:tabs>
          <w:tab w:val="left" w:pos="284"/>
        </w:tabs>
        <w:jc w:val="both"/>
        <w:rPr>
          <w:rFonts w:ascii="Calibri" w:hAnsi="Calibri"/>
          <w:sz w:val="20"/>
          <w:szCs w:val="20"/>
        </w:rPr>
      </w:pPr>
      <w:r w:rsidRPr="002021FE">
        <w:rPr>
          <w:rFonts w:ascii="Calibri" w:hAnsi="Calibri"/>
          <w:sz w:val="20"/>
          <w:szCs w:val="20"/>
        </w:rPr>
        <w:t>Assess and decide to proceed on project changes through appropriate revisions.</w:t>
      </w:r>
    </w:p>
    <w:p w14:paraId="0FF17C99" w14:textId="77777777" w:rsidR="00302BFE"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CA"/>
        </w:rPr>
      </w:pPr>
      <w:r>
        <w:rPr>
          <w:rFonts w:ascii="Calibri" w:hAnsi="Calibri"/>
          <w:sz w:val="20"/>
          <w:szCs w:val="20"/>
          <w:lang w:val="en-CA"/>
        </w:rPr>
        <w:t>The composition of the Project Consultative/Dialogue Framework must include the following role:</w:t>
      </w:r>
    </w:p>
    <w:p w14:paraId="3E45B60D" w14:textId="77777777" w:rsidR="00302BFE" w:rsidRPr="00D61C93"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CA"/>
        </w:rPr>
      </w:pPr>
      <w:r w:rsidRPr="00893DD1">
        <w:rPr>
          <w:rFonts w:ascii="Calibri" w:hAnsi="Calibri"/>
          <w:sz w:val="20"/>
          <w:szCs w:val="20"/>
          <w:u w:val="single"/>
          <w:lang w:val="en-IN"/>
        </w:rPr>
        <w:lastRenderedPageBreak/>
        <w:t>Executive</w:t>
      </w:r>
      <w:r w:rsidRPr="00893DD1">
        <w:rPr>
          <w:rFonts w:ascii="Calibri" w:hAnsi="Calibri"/>
          <w:sz w:val="20"/>
          <w:szCs w:val="20"/>
          <w:lang w:val="en-IN"/>
        </w:rPr>
        <w:t xml:space="preserve">: The Executive is an individual who represents ownership of the project who will chair the Project </w:t>
      </w:r>
      <w:r w:rsidRPr="00D61C93">
        <w:rPr>
          <w:rFonts w:ascii="Calibri" w:hAnsi="Calibri"/>
          <w:sz w:val="20"/>
          <w:szCs w:val="20"/>
          <w:lang w:val="en-CA"/>
        </w:rPr>
        <w:t>Consultative/Dialogue Framework</w:t>
      </w:r>
      <w:r w:rsidRPr="00D61C93">
        <w:rPr>
          <w:rFonts w:ascii="Calibri" w:hAnsi="Calibri"/>
          <w:sz w:val="20"/>
          <w:szCs w:val="20"/>
          <w:lang w:val="en-IN"/>
        </w:rPr>
        <w:t xml:space="preserve">. This role can be held by a representative from the Government Cooperating Agency. The Executive is </w:t>
      </w:r>
      <w:r w:rsidRPr="00D61C93">
        <w:rPr>
          <w:rFonts w:ascii="Calibri" w:hAnsi="Calibri"/>
          <w:sz w:val="20"/>
          <w:szCs w:val="20"/>
          <w:lang w:val="en-CA"/>
        </w:rPr>
        <w:t>the representative of the Ministry of Environment, Green Economy and Climate Change, who is</w:t>
      </w:r>
      <w:r w:rsidRPr="00D61C93">
        <w:rPr>
          <w:rFonts w:ascii="Calibri" w:hAnsi="Calibri"/>
          <w:sz w:val="20"/>
          <w:szCs w:val="20"/>
          <w:lang w:val="en-IN"/>
        </w:rPr>
        <w:t xml:space="preserve"> the President of the Project </w:t>
      </w:r>
      <w:r w:rsidRPr="00D61C93">
        <w:rPr>
          <w:rFonts w:ascii="Calibri" w:hAnsi="Calibri"/>
          <w:sz w:val="20"/>
          <w:szCs w:val="20"/>
          <w:lang w:val="en-CA"/>
        </w:rPr>
        <w:t>Consultative/Dialogue Framework</w:t>
      </w:r>
      <w:r w:rsidRPr="00D61C93">
        <w:rPr>
          <w:rFonts w:ascii="Calibri" w:hAnsi="Calibri"/>
          <w:i/>
          <w:iCs/>
          <w:sz w:val="20"/>
          <w:szCs w:val="20"/>
          <w:lang w:val="en-IN"/>
        </w:rPr>
        <w:t>.</w:t>
      </w:r>
    </w:p>
    <w:p w14:paraId="1365DA9B" w14:textId="77777777" w:rsidR="00302BFE" w:rsidRPr="00D61C93"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CA"/>
        </w:rPr>
      </w:pPr>
      <w:r w:rsidRPr="00D61C93">
        <w:rPr>
          <w:rFonts w:ascii="Calibri" w:hAnsi="Calibri"/>
          <w:sz w:val="20"/>
          <w:szCs w:val="20"/>
          <w:lang w:val="en-CA"/>
        </w:rPr>
        <w:t xml:space="preserve">The Executive is ultimately responsible for the project, supported by the Senior Beneficiary and Senior Supplier.  The Executive’s role is to ensure that the project is focused throughout its life cycle on achieving its objectives and delivering outputs that will contribute to higher level outcomes. The executive has to ensure that the project gives value for money, ensuring cost-conscious approach to the project, balancing the demands of beneficiary and suppler.  </w:t>
      </w:r>
    </w:p>
    <w:p w14:paraId="45802388" w14:textId="77777777" w:rsidR="00302BFE" w:rsidRPr="00A86576"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CA"/>
        </w:rPr>
      </w:pPr>
      <w:r w:rsidRPr="00A86576">
        <w:rPr>
          <w:rFonts w:ascii="Calibri" w:hAnsi="Calibri"/>
          <w:sz w:val="20"/>
          <w:szCs w:val="20"/>
          <w:lang w:val="en-CA"/>
        </w:rPr>
        <w:t xml:space="preserve">Specific Responsibilities: (as part of the above responsibilities for the Project </w:t>
      </w:r>
      <w:r>
        <w:rPr>
          <w:rFonts w:ascii="Calibri" w:hAnsi="Calibri"/>
          <w:sz w:val="20"/>
          <w:szCs w:val="20"/>
          <w:lang w:val="en-CA"/>
        </w:rPr>
        <w:t>Consultative/Dialogue Framework</w:t>
      </w:r>
      <w:r w:rsidRPr="00A86576">
        <w:rPr>
          <w:rFonts w:ascii="Calibri" w:hAnsi="Calibri"/>
          <w:sz w:val="20"/>
          <w:szCs w:val="20"/>
          <w:lang w:val="en-CA"/>
        </w:rPr>
        <w:t>)</w:t>
      </w:r>
    </w:p>
    <w:p w14:paraId="5FDFED39" w14:textId="77777777" w:rsidR="00302BFE" w:rsidRPr="00A86576" w:rsidRDefault="00302BFE" w:rsidP="00C46720">
      <w:pPr>
        <w:numPr>
          <w:ilvl w:val="0"/>
          <w:numId w:val="54"/>
        </w:numPr>
        <w:spacing w:after="0"/>
        <w:rPr>
          <w:rFonts w:eastAsia="Times New Roman"/>
          <w:lang w:val="en-IN"/>
        </w:rPr>
      </w:pPr>
      <w:r w:rsidRPr="00A86576">
        <w:rPr>
          <w:rFonts w:eastAsia="Times New Roman"/>
          <w:lang w:val="en-IN"/>
        </w:rPr>
        <w:t>Ensure that there is a coherent project organisation structure and logical set of plans;</w:t>
      </w:r>
    </w:p>
    <w:p w14:paraId="2C9C953A" w14:textId="77777777" w:rsidR="00302BFE" w:rsidRPr="00A86576" w:rsidRDefault="00302BFE" w:rsidP="00C46720">
      <w:pPr>
        <w:numPr>
          <w:ilvl w:val="0"/>
          <w:numId w:val="54"/>
        </w:numPr>
        <w:spacing w:after="0"/>
        <w:rPr>
          <w:rFonts w:eastAsia="Times New Roman"/>
          <w:lang w:val="en-IN"/>
        </w:rPr>
      </w:pPr>
      <w:r w:rsidRPr="00A86576">
        <w:rPr>
          <w:rFonts w:eastAsia="Times New Roman"/>
          <w:lang w:val="en-IN"/>
        </w:rPr>
        <w:t>Set tolerances in the AWP and other plans as required for the Project Manager;</w:t>
      </w:r>
    </w:p>
    <w:p w14:paraId="0E158CAB" w14:textId="77777777" w:rsidR="00302BFE" w:rsidRPr="00A86576" w:rsidRDefault="00302BFE" w:rsidP="00C46720">
      <w:pPr>
        <w:numPr>
          <w:ilvl w:val="0"/>
          <w:numId w:val="54"/>
        </w:numPr>
        <w:spacing w:after="0"/>
        <w:rPr>
          <w:rFonts w:eastAsia="Times New Roman"/>
          <w:lang w:val="en-IN"/>
        </w:rPr>
      </w:pPr>
      <w:r w:rsidRPr="00A86576">
        <w:rPr>
          <w:rFonts w:eastAsia="Times New Roman"/>
          <w:lang w:val="en-IN"/>
        </w:rPr>
        <w:t>Monitor and control the progress of the project at a strategic level;</w:t>
      </w:r>
    </w:p>
    <w:p w14:paraId="6BC2313E" w14:textId="77777777" w:rsidR="00302BFE" w:rsidRPr="00A86576" w:rsidRDefault="00302BFE" w:rsidP="00C46720">
      <w:pPr>
        <w:numPr>
          <w:ilvl w:val="0"/>
          <w:numId w:val="54"/>
        </w:numPr>
        <w:spacing w:after="0"/>
        <w:rPr>
          <w:rFonts w:eastAsia="Times New Roman"/>
          <w:lang w:val="en-IN"/>
        </w:rPr>
      </w:pPr>
      <w:r w:rsidRPr="00A86576">
        <w:rPr>
          <w:rFonts w:eastAsia="Times New Roman"/>
          <w:lang w:val="en-IN"/>
        </w:rPr>
        <w:t>Ensure that risks are being tracked and mitigated as effectively as possible;</w:t>
      </w:r>
    </w:p>
    <w:p w14:paraId="13E80F69" w14:textId="77777777" w:rsidR="00302BFE" w:rsidRPr="00A86576" w:rsidRDefault="00302BFE" w:rsidP="00C46720">
      <w:pPr>
        <w:numPr>
          <w:ilvl w:val="0"/>
          <w:numId w:val="54"/>
        </w:numPr>
        <w:spacing w:after="0"/>
        <w:rPr>
          <w:rFonts w:eastAsia="Times New Roman"/>
          <w:lang w:val="en-IN"/>
        </w:rPr>
      </w:pPr>
      <w:r w:rsidRPr="00A86576">
        <w:rPr>
          <w:rFonts w:eastAsia="Times New Roman"/>
          <w:lang w:val="en-IN"/>
        </w:rPr>
        <w:t>Brief relevant stakeholders about project progress;</w:t>
      </w:r>
    </w:p>
    <w:p w14:paraId="48A3FA99" w14:textId="77777777" w:rsidR="00302BFE" w:rsidRPr="00A86576" w:rsidRDefault="00302BFE" w:rsidP="00C46720">
      <w:pPr>
        <w:numPr>
          <w:ilvl w:val="0"/>
          <w:numId w:val="54"/>
        </w:numPr>
        <w:spacing w:after="0"/>
        <w:rPr>
          <w:rFonts w:eastAsia="Times New Roman"/>
          <w:lang w:val="en-IN"/>
        </w:rPr>
      </w:pPr>
      <w:r w:rsidRPr="00A86576">
        <w:rPr>
          <w:rFonts w:eastAsia="Times New Roman"/>
          <w:lang w:val="en-IN"/>
        </w:rPr>
        <w:t>Organise and chair Project Board meetings.</w:t>
      </w:r>
    </w:p>
    <w:p w14:paraId="55D1960C" w14:textId="77777777" w:rsidR="00302BFE" w:rsidRPr="00810670" w:rsidRDefault="00302BFE" w:rsidP="00302BFE">
      <w:pPr>
        <w:spacing w:before="120" w:after="120"/>
        <w:rPr>
          <w:b/>
          <w:szCs w:val="20"/>
        </w:rPr>
      </w:pPr>
      <w:r w:rsidRPr="00810670">
        <w:rPr>
          <w:b/>
          <w:szCs w:val="20"/>
        </w:rPr>
        <w:t>Coordination of the project</w:t>
      </w:r>
    </w:p>
    <w:p w14:paraId="64763BB9" w14:textId="77777777" w:rsidR="00302BFE" w:rsidRPr="00810670"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CA"/>
        </w:rPr>
      </w:pPr>
      <w:r w:rsidRPr="00810670">
        <w:rPr>
          <w:rFonts w:ascii="Calibri" w:hAnsi="Calibri"/>
          <w:b/>
          <w:sz w:val="20"/>
          <w:szCs w:val="20"/>
          <w:lang w:val="en-CA"/>
        </w:rPr>
        <w:t>Responsibilities</w:t>
      </w:r>
      <w:r w:rsidRPr="00810670">
        <w:rPr>
          <w:rFonts w:ascii="Calibri" w:hAnsi="Calibri"/>
          <w:sz w:val="20"/>
          <w:szCs w:val="20"/>
          <w:lang w:val="en-CA"/>
        </w:rPr>
        <w:t xml:space="preserve">. To manage the implementation of the project, UNDP will establish an </w:t>
      </w:r>
      <w:r w:rsidR="006E6BBB">
        <w:rPr>
          <w:rFonts w:ascii="Calibri" w:hAnsi="Calibri"/>
          <w:sz w:val="20"/>
          <w:szCs w:val="20"/>
          <w:lang w:val="en-CA"/>
        </w:rPr>
        <w:t>executing</w:t>
      </w:r>
      <w:r w:rsidRPr="00810670">
        <w:rPr>
          <w:rFonts w:ascii="Calibri" w:hAnsi="Calibri"/>
          <w:sz w:val="20"/>
          <w:szCs w:val="20"/>
          <w:lang w:val="en-CA"/>
        </w:rPr>
        <w:t xml:space="preserve"> and monitoring body. Under the responsibility of a coordinator, this body is responsible for:</w:t>
      </w:r>
    </w:p>
    <w:p w14:paraId="26DE2198" w14:textId="77777777" w:rsidR="00302BFE" w:rsidRPr="00810670" w:rsidRDefault="00302BFE" w:rsidP="00C46720">
      <w:pPr>
        <w:pStyle w:val="Paragraphedeliste"/>
        <w:numPr>
          <w:ilvl w:val="0"/>
          <w:numId w:val="30"/>
        </w:numPr>
        <w:ind w:left="714" w:hanging="357"/>
        <w:jc w:val="both"/>
        <w:rPr>
          <w:rFonts w:ascii="Calibri" w:hAnsi="Calibri"/>
          <w:sz w:val="20"/>
          <w:szCs w:val="20"/>
          <w:lang w:val="en-CA"/>
        </w:rPr>
      </w:pPr>
      <w:r w:rsidRPr="00810670">
        <w:rPr>
          <w:rFonts w:ascii="Calibri" w:hAnsi="Calibri"/>
          <w:sz w:val="20"/>
          <w:szCs w:val="20"/>
          <w:lang w:val="en-CA"/>
        </w:rPr>
        <w:t>ensuring the technical, administrative and financial execution of the project</w:t>
      </w:r>
    </w:p>
    <w:p w14:paraId="32BB8196" w14:textId="77777777" w:rsidR="00302BFE" w:rsidRPr="00810670" w:rsidRDefault="00302BFE" w:rsidP="00C46720">
      <w:pPr>
        <w:pStyle w:val="Paragraphedeliste"/>
        <w:numPr>
          <w:ilvl w:val="0"/>
          <w:numId w:val="30"/>
        </w:numPr>
        <w:ind w:left="714" w:hanging="357"/>
        <w:jc w:val="both"/>
        <w:rPr>
          <w:rFonts w:ascii="Calibri" w:hAnsi="Calibri"/>
          <w:sz w:val="20"/>
          <w:szCs w:val="20"/>
          <w:lang w:val="en-CA"/>
        </w:rPr>
      </w:pPr>
      <w:r w:rsidRPr="00810670">
        <w:rPr>
          <w:rFonts w:ascii="Calibri" w:hAnsi="Calibri"/>
          <w:sz w:val="20"/>
          <w:szCs w:val="20"/>
          <w:lang w:val="en-CA"/>
        </w:rPr>
        <w:t>developing the annual project implementation plan</w:t>
      </w:r>
    </w:p>
    <w:p w14:paraId="5E672843" w14:textId="77777777" w:rsidR="00302BFE" w:rsidRPr="00810670" w:rsidRDefault="00302BFE" w:rsidP="00C46720">
      <w:pPr>
        <w:pStyle w:val="Paragraphedeliste"/>
        <w:numPr>
          <w:ilvl w:val="0"/>
          <w:numId w:val="30"/>
        </w:numPr>
        <w:ind w:left="714" w:hanging="357"/>
        <w:jc w:val="both"/>
        <w:rPr>
          <w:rFonts w:ascii="Calibri" w:hAnsi="Calibri"/>
          <w:sz w:val="20"/>
          <w:szCs w:val="20"/>
          <w:lang w:val="en-CA"/>
        </w:rPr>
      </w:pPr>
      <w:r w:rsidRPr="00810670">
        <w:rPr>
          <w:rFonts w:ascii="Calibri" w:hAnsi="Calibri"/>
          <w:sz w:val="20"/>
          <w:szCs w:val="20"/>
          <w:lang w:val="en-CA"/>
        </w:rPr>
        <w:t>reporting on the state of execution of the project to the Dialogue framework and the supervisory authorities</w:t>
      </w:r>
    </w:p>
    <w:p w14:paraId="36808B33" w14:textId="77777777" w:rsidR="00302BFE" w:rsidRPr="00810670" w:rsidRDefault="00302BFE" w:rsidP="00C46720">
      <w:pPr>
        <w:pStyle w:val="Paragraphedeliste"/>
        <w:numPr>
          <w:ilvl w:val="0"/>
          <w:numId w:val="30"/>
        </w:numPr>
        <w:ind w:left="714" w:hanging="357"/>
        <w:jc w:val="both"/>
        <w:rPr>
          <w:rFonts w:ascii="Calibri" w:hAnsi="Calibri"/>
          <w:sz w:val="20"/>
          <w:szCs w:val="20"/>
          <w:lang w:val="en-CA"/>
        </w:rPr>
      </w:pPr>
      <w:r w:rsidRPr="00810670">
        <w:rPr>
          <w:rFonts w:ascii="Calibri" w:hAnsi="Calibri"/>
          <w:sz w:val="20"/>
          <w:szCs w:val="20"/>
          <w:lang w:val="en-CA"/>
        </w:rPr>
        <w:t>ensuring the proper use of the goods made available to the project</w:t>
      </w:r>
    </w:p>
    <w:p w14:paraId="7C68FCD7" w14:textId="77777777" w:rsidR="00302BFE" w:rsidRPr="00810670" w:rsidRDefault="00302BFE" w:rsidP="00C46720">
      <w:pPr>
        <w:pStyle w:val="Paragraphedeliste"/>
        <w:numPr>
          <w:ilvl w:val="0"/>
          <w:numId w:val="30"/>
        </w:numPr>
        <w:ind w:left="714" w:hanging="357"/>
        <w:jc w:val="both"/>
        <w:rPr>
          <w:rFonts w:ascii="Calibri" w:hAnsi="Calibri"/>
          <w:sz w:val="20"/>
          <w:szCs w:val="20"/>
          <w:lang w:val="en-CA"/>
        </w:rPr>
      </w:pPr>
      <w:r w:rsidRPr="00810670">
        <w:rPr>
          <w:rFonts w:ascii="Calibri" w:hAnsi="Calibri"/>
          <w:sz w:val="20"/>
          <w:szCs w:val="20"/>
          <w:lang w:val="en-CA"/>
        </w:rPr>
        <w:t>preparing the initial and periodic inventory of project assets</w:t>
      </w:r>
    </w:p>
    <w:p w14:paraId="62B8B1B9" w14:textId="77777777" w:rsidR="00302BFE" w:rsidRPr="00810670" w:rsidRDefault="00302BFE" w:rsidP="00C46720">
      <w:pPr>
        <w:pStyle w:val="Paragraphedeliste"/>
        <w:numPr>
          <w:ilvl w:val="0"/>
          <w:numId w:val="30"/>
        </w:numPr>
        <w:ind w:left="714" w:hanging="357"/>
        <w:jc w:val="both"/>
        <w:rPr>
          <w:rFonts w:ascii="Calibri" w:hAnsi="Calibri"/>
          <w:sz w:val="20"/>
          <w:szCs w:val="20"/>
          <w:lang w:val="en-CA"/>
        </w:rPr>
      </w:pPr>
      <w:r w:rsidRPr="00810670">
        <w:rPr>
          <w:rFonts w:ascii="Calibri" w:hAnsi="Calibri"/>
          <w:sz w:val="20"/>
          <w:szCs w:val="20"/>
          <w:lang w:val="en-CA"/>
        </w:rPr>
        <w:t>ensuring the implementation of the recommendations of the Dialogue framework, the review committee for the evaluation and monitoring missions and the various audits</w:t>
      </w:r>
    </w:p>
    <w:p w14:paraId="6286FC84" w14:textId="77777777" w:rsidR="00302BFE" w:rsidRPr="00810670" w:rsidRDefault="00302BFE" w:rsidP="00C46720">
      <w:pPr>
        <w:pStyle w:val="Paragraphedeliste"/>
        <w:numPr>
          <w:ilvl w:val="0"/>
          <w:numId w:val="30"/>
        </w:numPr>
        <w:ind w:left="714" w:hanging="357"/>
        <w:jc w:val="both"/>
        <w:rPr>
          <w:rFonts w:ascii="Calibri" w:hAnsi="Calibri"/>
          <w:sz w:val="20"/>
          <w:szCs w:val="20"/>
          <w:lang w:val="en-CA"/>
        </w:rPr>
      </w:pPr>
      <w:r w:rsidRPr="00810670">
        <w:rPr>
          <w:rFonts w:ascii="Calibri" w:hAnsi="Calibri"/>
          <w:sz w:val="20"/>
          <w:szCs w:val="20"/>
          <w:lang w:val="en-CA"/>
        </w:rPr>
        <w:t>writing the project's periodic and end-of-mission reports.</w:t>
      </w:r>
    </w:p>
    <w:p w14:paraId="6F924CE3" w14:textId="77777777" w:rsidR="00302BFE" w:rsidRPr="00816870"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CA"/>
        </w:rPr>
      </w:pPr>
      <w:r w:rsidRPr="00816870">
        <w:rPr>
          <w:rFonts w:ascii="Calibri" w:hAnsi="Calibri"/>
          <w:sz w:val="20"/>
          <w:szCs w:val="20"/>
          <w:lang w:val="en-CA"/>
        </w:rPr>
        <w:t>The project organisation structure is as follows:</w:t>
      </w:r>
    </w:p>
    <w:p w14:paraId="5A9C80BF" w14:textId="77777777" w:rsidR="00302BFE" w:rsidRPr="004032F1" w:rsidRDefault="00302BFE" w:rsidP="00302BFE">
      <w:pPr>
        <w:shd w:val="clear" w:color="auto" w:fill="FFFFFF"/>
        <w:jc w:val="left"/>
        <w:textAlignment w:val="top"/>
        <w:rPr>
          <w:rFonts w:cs="Arial"/>
          <w:noProof/>
          <w:sz w:val="24"/>
          <w:szCs w:val="20"/>
          <w:lang w:eastAsia="zh-CN"/>
        </w:rPr>
      </w:pPr>
      <w:r>
        <w:rPr>
          <w:rFonts w:ascii="Times New Roman" w:hAnsi="Times New Roman"/>
          <w:noProof/>
          <w:sz w:val="24"/>
        </w:rPr>
        <w:lastRenderedPageBreak/>
        <mc:AlternateContent>
          <mc:Choice Requires="wpc">
            <w:drawing>
              <wp:inline distT="0" distB="0" distL="0" distR="0" wp14:anchorId="4EE81359" wp14:editId="76FFC51B">
                <wp:extent cx="5943600" cy="4705985"/>
                <wp:effectExtent l="0" t="0" r="76200" b="0"/>
                <wp:docPr id="73" name="Zone de dessin 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5" name="Rectangle 342"/>
                        <wps:cNvSpPr>
                          <a:spLocks noChangeArrowheads="1"/>
                        </wps:cNvSpPr>
                        <wps:spPr bwMode="auto">
                          <a:xfrm>
                            <a:off x="2071600" y="3646666"/>
                            <a:ext cx="1602800" cy="928417"/>
                          </a:xfrm>
                          <a:prstGeom prst="rect">
                            <a:avLst/>
                          </a:prstGeom>
                          <a:solidFill>
                            <a:srgbClr val="FFCC99"/>
                          </a:solidFill>
                          <a:ln w="9525">
                            <a:solidFill>
                              <a:srgbClr val="000000"/>
                            </a:solidFill>
                            <a:miter lim="800000"/>
                            <a:headEnd/>
                            <a:tailEnd/>
                          </a:ln>
                          <a:effectLst>
                            <a:outerShdw dist="63500" dir="2700000" algn="tl" rotWithShape="0">
                              <a:srgbClr val="000000">
                                <a:alpha val="39999"/>
                              </a:srgbClr>
                            </a:outerShdw>
                          </a:effectLst>
                        </wps:spPr>
                        <wps:txbx>
                          <w:txbxContent>
                            <w:p w14:paraId="6682A854" w14:textId="77777777" w:rsidR="00ED1ADA" w:rsidRPr="00816870" w:rsidRDefault="00ED1ADA" w:rsidP="00302BFE">
                              <w:pPr>
                                <w:spacing w:after="0"/>
                                <w:jc w:val="center"/>
                                <w:rPr>
                                  <w:sz w:val="16"/>
                                  <w:szCs w:val="16"/>
                                </w:rPr>
                              </w:pPr>
                              <w:r w:rsidRPr="00816870">
                                <w:rPr>
                                  <w:b/>
                                  <w:sz w:val="18"/>
                                  <w:szCs w:val="18"/>
                                </w:rPr>
                                <w:t xml:space="preserve">Project </w:t>
                              </w:r>
                              <w:r>
                                <w:rPr>
                                  <w:b/>
                                  <w:sz w:val="18"/>
                                  <w:szCs w:val="18"/>
                                </w:rPr>
                                <w:t>Coordination</w:t>
                              </w:r>
                              <w:r w:rsidRPr="00816870">
                                <w:rPr>
                                  <w:b/>
                                  <w:sz w:val="18"/>
                                  <w:szCs w:val="18"/>
                                </w:rPr>
                                <w:t xml:space="preserve"> Unit</w:t>
                              </w:r>
                              <w:r w:rsidRPr="00816870">
                                <w:rPr>
                                  <w:b/>
                                  <w:sz w:val="16"/>
                                  <w:szCs w:val="16"/>
                                </w:rPr>
                                <w:t xml:space="preserve"> </w:t>
                              </w:r>
                              <w:r w:rsidRPr="00816870">
                                <w:rPr>
                                  <w:sz w:val="16"/>
                                  <w:szCs w:val="16"/>
                                </w:rPr>
                                <w:t>(National Coordinator, Financial/Administrative Assistant, M&amp;E and Safeguards expert, Communication/KM expert, and Gender expert)</w:t>
                              </w:r>
                            </w:p>
                          </w:txbxContent>
                        </wps:txbx>
                        <wps:bodyPr rot="0" vert="horz" wrap="square" lIns="91440" tIns="45720" rIns="91440" bIns="45720" anchor="t" anchorCtr="0" upright="1">
                          <a:noAutofit/>
                        </wps:bodyPr>
                      </wps:wsp>
                      <wps:wsp>
                        <wps:cNvPr id="56" name="Rectangle 343"/>
                        <wps:cNvSpPr>
                          <a:spLocks noChangeArrowheads="1"/>
                        </wps:cNvSpPr>
                        <wps:spPr bwMode="auto">
                          <a:xfrm>
                            <a:off x="863900" y="2371743"/>
                            <a:ext cx="4173700" cy="293305"/>
                          </a:xfrm>
                          <a:prstGeom prst="rect">
                            <a:avLst/>
                          </a:prstGeom>
                          <a:solidFill>
                            <a:srgbClr val="FF9900"/>
                          </a:solidFill>
                          <a:ln w="9525">
                            <a:solidFill>
                              <a:srgbClr val="000000"/>
                            </a:solidFill>
                            <a:miter lim="800000"/>
                            <a:headEnd/>
                            <a:tailEnd/>
                          </a:ln>
                          <a:effectLst>
                            <a:outerShdw dist="63500" dir="2700000" algn="tl" rotWithShape="0">
                              <a:srgbClr val="000000">
                                <a:alpha val="39999"/>
                              </a:srgbClr>
                            </a:outerShdw>
                          </a:effectLst>
                        </wps:spPr>
                        <wps:txbx>
                          <w:txbxContent>
                            <w:p w14:paraId="087E5FBB" w14:textId="77777777" w:rsidR="00ED1ADA" w:rsidRPr="00816870" w:rsidRDefault="00ED1ADA" w:rsidP="00302BFE">
                              <w:pPr>
                                <w:spacing w:after="0"/>
                                <w:jc w:val="center"/>
                                <w:rPr>
                                  <w:b/>
                                </w:rPr>
                              </w:pPr>
                              <w:r w:rsidRPr="00816870">
                                <w:rPr>
                                  <w:b/>
                                </w:rPr>
                                <w:t xml:space="preserve">Project Consultation </w:t>
                              </w:r>
                              <w:r>
                                <w:rPr>
                                  <w:b/>
                                </w:rPr>
                                <w:t xml:space="preserve">Framework </w:t>
                              </w:r>
                              <w:r w:rsidRPr="00810670">
                                <w:rPr>
                                  <w:b/>
                                </w:rPr>
                                <w:t>/ Dialogue Framework</w:t>
                              </w:r>
                            </w:p>
                          </w:txbxContent>
                        </wps:txbx>
                        <wps:bodyPr rot="0" vert="horz" wrap="square" lIns="91440" tIns="45720" rIns="91440" bIns="45720" anchor="t" anchorCtr="0" upright="1">
                          <a:noAutofit/>
                        </wps:bodyPr>
                      </wps:wsp>
                      <wps:wsp>
                        <wps:cNvPr id="57" name="Rectangle 344"/>
                        <wps:cNvSpPr>
                          <a:spLocks noChangeArrowheads="1"/>
                        </wps:cNvSpPr>
                        <wps:spPr bwMode="auto">
                          <a:xfrm>
                            <a:off x="863900" y="2675048"/>
                            <a:ext cx="1102300" cy="610711"/>
                          </a:xfrm>
                          <a:prstGeom prst="rect">
                            <a:avLst/>
                          </a:prstGeom>
                          <a:solidFill>
                            <a:srgbClr val="FFCC00"/>
                          </a:solidFill>
                          <a:ln w="9525">
                            <a:solidFill>
                              <a:srgbClr val="000000"/>
                            </a:solidFill>
                            <a:miter lim="800000"/>
                            <a:headEnd/>
                            <a:tailEnd/>
                          </a:ln>
                          <a:effectLst>
                            <a:outerShdw dist="63500" dir="2700000" algn="tl" rotWithShape="0">
                              <a:srgbClr val="000000">
                                <a:alpha val="39999"/>
                              </a:srgbClr>
                            </a:outerShdw>
                          </a:effectLst>
                        </wps:spPr>
                        <wps:txbx>
                          <w:txbxContent>
                            <w:p w14:paraId="5A74B3F0" w14:textId="77777777" w:rsidR="00ED1ADA" w:rsidRPr="00816870" w:rsidRDefault="00ED1ADA" w:rsidP="00302BFE">
                              <w:pPr>
                                <w:spacing w:after="0"/>
                                <w:jc w:val="center"/>
                                <w:rPr>
                                  <w:b/>
                                  <w:bCs/>
                                  <w:sz w:val="18"/>
                                  <w:szCs w:val="18"/>
                                </w:rPr>
                              </w:pPr>
                              <w:r w:rsidRPr="00816870">
                                <w:rPr>
                                  <w:b/>
                                  <w:bCs/>
                                  <w:sz w:val="18"/>
                                  <w:szCs w:val="18"/>
                                </w:rPr>
                                <w:t>Senior Beneficiary:</w:t>
                              </w:r>
                            </w:p>
                            <w:p w14:paraId="4A27F267" w14:textId="77777777" w:rsidR="00ED1ADA" w:rsidRPr="00816870" w:rsidRDefault="00ED1ADA" w:rsidP="00302BFE">
                              <w:pPr>
                                <w:spacing w:after="0"/>
                                <w:jc w:val="center"/>
                                <w:rPr>
                                  <w:b/>
                                  <w:bCs/>
                                  <w:sz w:val="18"/>
                                  <w:szCs w:val="18"/>
                                </w:rPr>
                              </w:pPr>
                              <w:r w:rsidRPr="00810670">
                                <w:rPr>
                                  <w:bCs/>
                                  <w:sz w:val="18"/>
                                  <w:szCs w:val="18"/>
                                </w:rPr>
                                <w:t>MEGECC</w:t>
                              </w:r>
                            </w:p>
                          </w:txbxContent>
                        </wps:txbx>
                        <wps:bodyPr rot="0" vert="horz" wrap="square" lIns="91440" tIns="45720" rIns="91440" bIns="45720" anchor="ctr" anchorCtr="0" upright="1">
                          <a:noAutofit/>
                        </wps:bodyPr>
                      </wps:wsp>
                      <wps:wsp>
                        <wps:cNvPr id="58" name="Rectangle 345"/>
                        <wps:cNvSpPr>
                          <a:spLocks noChangeArrowheads="1"/>
                        </wps:cNvSpPr>
                        <wps:spPr bwMode="auto">
                          <a:xfrm>
                            <a:off x="2077800" y="2675348"/>
                            <a:ext cx="1750300" cy="639076"/>
                          </a:xfrm>
                          <a:prstGeom prst="rect">
                            <a:avLst/>
                          </a:prstGeom>
                          <a:solidFill>
                            <a:srgbClr val="FFCC00"/>
                          </a:solidFill>
                          <a:ln w="9525">
                            <a:solidFill>
                              <a:srgbClr val="000000"/>
                            </a:solidFill>
                            <a:miter lim="800000"/>
                            <a:headEnd/>
                            <a:tailEnd/>
                          </a:ln>
                          <a:effectLst>
                            <a:outerShdw dist="63500" dir="2700000" algn="tl" rotWithShape="0">
                              <a:srgbClr val="000000">
                                <a:alpha val="39999"/>
                              </a:srgbClr>
                            </a:outerShdw>
                          </a:effectLst>
                        </wps:spPr>
                        <wps:txbx>
                          <w:txbxContent>
                            <w:p w14:paraId="6AA4EEE2" w14:textId="77777777" w:rsidR="00ED1ADA" w:rsidRPr="009758C4" w:rsidRDefault="00ED1ADA" w:rsidP="00302BFE">
                              <w:pPr>
                                <w:spacing w:after="0"/>
                                <w:jc w:val="center"/>
                                <w:rPr>
                                  <w:b/>
                                  <w:sz w:val="18"/>
                                  <w:szCs w:val="18"/>
                                  <w:highlight w:val="yellow"/>
                                </w:rPr>
                              </w:pPr>
                              <w:r w:rsidRPr="009758C4">
                                <w:rPr>
                                  <w:b/>
                                  <w:sz w:val="18"/>
                                  <w:szCs w:val="18"/>
                                  <w:highlight w:val="yellow"/>
                                </w:rPr>
                                <w:t>Executive:</w:t>
                              </w:r>
                            </w:p>
                            <w:p w14:paraId="546D332F" w14:textId="01093F57" w:rsidR="00ED1ADA" w:rsidRPr="00816870" w:rsidRDefault="004628A2" w:rsidP="00302BFE">
                              <w:pPr>
                                <w:spacing w:after="0"/>
                                <w:jc w:val="center"/>
                                <w:rPr>
                                  <w:b/>
                                  <w:sz w:val="18"/>
                                  <w:szCs w:val="18"/>
                                </w:rPr>
                              </w:pPr>
                              <w:r w:rsidRPr="004628A2">
                                <w:rPr>
                                  <w:sz w:val="18"/>
                                  <w:szCs w:val="18"/>
                                  <w:highlight w:val="green"/>
                                </w:rPr>
                                <w:t>SP Conseil Nation Devel Durabl under the Ministry in charge of the Environment</w:t>
                              </w:r>
                              <w:r w:rsidR="00ED1ADA" w:rsidRPr="00816870">
                                <w:rPr>
                                  <w:sz w:val="18"/>
                                  <w:szCs w:val="18"/>
                                  <w:lang w:val="en-CA"/>
                                </w:rPr>
                                <w:t xml:space="preserve"> </w:t>
                              </w:r>
                            </w:p>
                          </w:txbxContent>
                        </wps:txbx>
                        <wps:bodyPr rot="0" vert="horz" wrap="square" lIns="91440" tIns="45720" rIns="91440" bIns="45720" anchor="ctr" anchorCtr="0" upright="1">
                          <a:noAutofit/>
                        </wps:bodyPr>
                      </wps:wsp>
                      <wps:wsp>
                        <wps:cNvPr id="59" name="Rectangle 346"/>
                        <wps:cNvSpPr>
                          <a:spLocks noChangeArrowheads="1"/>
                        </wps:cNvSpPr>
                        <wps:spPr bwMode="auto">
                          <a:xfrm>
                            <a:off x="3954900" y="2665048"/>
                            <a:ext cx="1082700" cy="588711"/>
                          </a:xfrm>
                          <a:prstGeom prst="rect">
                            <a:avLst/>
                          </a:prstGeom>
                          <a:solidFill>
                            <a:srgbClr val="FFCC00"/>
                          </a:solidFill>
                          <a:ln w="9525">
                            <a:solidFill>
                              <a:srgbClr val="000000"/>
                            </a:solidFill>
                            <a:miter lim="800000"/>
                            <a:headEnd/>
                            <a:tailEnd/>
                          </a:ln>
                          <a:effectLst>
                            <a:outerShdw dist="63500" dir="2700000" algn="tl" rotWithShape="0">
                              <a:srgbClr val="000000">
                                <a:alpha val="39999"/>
                              </a:srgbClr>
                            </a:outerShdw>
                          </a:effectLst>
                        </wps:spPr>
                        <wps:txbx>
                          <w:txbxContent>
                            <w:p w14:paraId="5D888071" w14:textId="77777777" w:rsidR="00ED1ADA" w:rsidRDefault="00ED1ADA" w:rsidP="00302BFE">
                              <w:pPr>
                                <w:spacing w:after="0"/>
                                <w:jc w:val="center"/>
                                <w:rPr>
                                  <w:b/>
                                  <w:bCs/>
                                  <w:sz w:val="18"/>
                                  <w:szCs w:val="18"/>
                                </w:rPr>
                              </w:pPr>
                              <w:r>
                                <w:rPr>
                                  <w:b/>
                                  <w:bCs/>
                                  <w:sz w:val="18"/>
                                  <w:szCs w:val="18"/>
                                </w:rPr>
                                <w:t>Senior Supplier:</w:t>
                              </w:r>
                            </w:p>
                            <w:p w14:paraId="58B45793" w14:textId="77777777" w:rsidR="00ED1ADA" w:rsidRDefault="00ED1ADA" w:rsidP="00302BFE">
                              <w:pPr>
                                <w:spacing w:after="0"/>
                                <w:jc w:val="center"/>
                                <w:rPr>
                                  <w:sz w:val="18"/>
                                  <w:szCs w:val="18"/>
                                </w:rPr>
                              </w:pPr>
                              <w:r>
                                <w:rPr>
                                  <w:sz w:val="18"/>
                                  <w:szCs w:val="18"/>
                                </w:rPr>
                                <w:t>UNDP CO in Burkina Faso</w:t>
                              </w:r>
                            </w:p>
                          </w:txbxContent>
                        </wps:txbx>
                        <wps:bodyPr rot="0" vert="horz" wrap="square" lIns="91440" tIns="45720" rIns="91440" bIns="45720" anchor="ctr" anchorCtr="0" upright="1">
                          <a:noAutofit/>
                        </wps:bodyPr>
                      </wps:wsp>
                      <wps:wsp>
                        <wps:cNvPr id="60" name="AutoShape 347"/>
                        <wps:cNvCnPr>
                          <a:cxnSpLocks noChangeShapeType="1"/>
                          <a:stCxn id="56" idx="3"/>
                          <a:endCxn id="56" idx="3"/>
                        </wps:cNvCnPr>
                        <wps:spPr bwMode="auto">
                          <a:xfrm>
                            <a:off x="5037500" y="2518445"/>
                            <a:ext cx="100" cy="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Rectangle 348"/>
                        <wps:cNvSpPr>
                          <a:spLocks noChangeArrowheads="1"/>
                        </wps:cNvSpPr>
                        <wps:spPr bwMode="auto">
                          <a:xfrm>
                            <a:off x="55600" y="3606065"/>
                            <a:ext cx="1816900" cy="930317"/>
                          </a:xfrm>
                          <a:prstGeom prst="rect">
                            <a:avLst/>
                          </a:prstGeom>
                          <a:solidFill>
                            <a:srgbClr val="FFCC00"/>
                          </a:solidFill>
                          <a:ln w="9525">
                            <a:solidFill>
                              <a:srgbClr val="000000"/>
                            </a:solidFill>
                            <a:miter lim="800000"/>
                            <a:headEnd/>
                            <a:tailEnd/>
                          </a:ln>
                          <a:effectLst>
                            <a:outerShdw dist="63500" dir="2700000" algn="tl" rotWithShape="0">
                              <a:srgbClr val="000000">
                                <a:alpha val="39999"/>
                              </a:srgbClr>
                            </a:outerShdw>
                          </a:effectLst>
                        </wps:spPr>
                        <wps:txbx>
                          <w:txbxContent>
                            <w:p w14:paraId="59372E75" w14:textId="77777777" w:rsidR="00ED1ADA" w:rsidRPr="00816870" w:rsidRDefault="00ED1ADA" w:rsidP="00302BFE">
                              <w:pPr>
                                <w:spacing w:after="0"/>
                                <w:jc w:val="center"/>
                                <w:rPr>
                                  <w:b/>
                                  <w:sz w:val="18"/>
                                  <w:szCs w:val="18"/>
                                </w:rPr>
                              </w:pPr>
                              <w:r w:rsidRPr="00816870">
                                <w:rPr>
                                  <w:b/>
                                  <w:sz w:val="18"/>
                                  <w:szCs w:val="18"/>
                                </w:rPr>
                                <w:t>Three Tier Project Assurance (country, regional and global)</w:t>
                              </w:r>
                            </w:p>
                            <w:p w14:paraId="34FE2FCC" w14:textId="77777777" w:rsidR="00ED1ADA" w:rsidRPr="00816870" w:rsidRDefault="00ED1ADA" w:rsidP="00302BFE">
                              <w:pPr>
                                <w:spacing w:after="0"/>
                                <w:jc w:val="center"/>
                                <w:rPr>
                                  <w:bCs/>
                                  <w:sz w:val="18"/>
                                  <w:szCs w:val="18"/>
                                  <w:lang w:val="en-CA"/>
                                </w:rPr>
                              </w:pPr>
                              <w:r w:rsidRPr="00816870">
                                <w:rPr>
                                  <w:bCs/>
                                  <w:sz w:val="18"/>
                                  <w:szCs w:val="18"/>
                                </w:rPr>
                                <w:t xml:space="preserve">UNDP Country Office Programme Officer; Regional Technical Advisor; </w:t>
                              </w:r>
                              <w:r w:rsidRPr="00816870">
                                <w:rPr>
                                  <w:sz w:val="18"/>
                                  <w:szCs w:val="18"/>
                                  <w:lang w:val="en-CA"/>
                                </w:rPr>
                                <w:t>Head: Ecosystems and Biodiversity, UNDP-GEF Unit</w:t>
                              </w:r>
                            </w:p>
                            <w:p w14:paraId="167C712A" w14:textId="77777777" w:rsidR="00ED1ADA" w:rsidRDefault="00ED1ADA" w:rsidP="00302BFE">
                              <w:pPr>
                                <w:jc w:val="center"/>
                                <w:rPr>
                                  <w:rFonts w:ascii="Times New Roman" w:hAnsi="Times New Roman"/>
                                  <w:i/>
                                  <w:sz w:val="18"/>
                                  <w:szCs w:val="18"/>
                                  <w:lang w:val="en-CA"/>
                                </w:rPr>
                              </w:pPr>
                            </w:p>
                            <w:p w14:paraId="3F0E19BF" w14:textId="77777777" w:rsidR="00ED1ADA" w:rsidRDefault="00ED1ADA" w:rsidP="00302BFE">
                              <w:pPr>
                                <w:pStyle w:val="NormalWeb"/>
                                <w:jc w:val="center"/>
                                <w:rPr>
                                  <w:b/>
                                  <w:bCs/>
                                  <w:sz w:val="20"/>
                                  <w:szCs w:val="20"/>
                                </w:rPr>
                              </w:pPr>
                            </w:p>
                          </w:txbxContent>
                        </wps:txbx>
                        <wps:bodyPr rot="0" vert="horz" wrap="square" lIns="91440" tIns="45720" rIns="91440" bIns="45720" anchor="t" anchorCtr="0" upright="1">
                          <a:noAutofit/>
                        </wps:bodyPr>
                      </wps:wsp>
                      <wps:wsp>
                        <wps:cNvPr id="62" name="Rectangle 349"/>
                        <wps:cNvSpPr>
                          <a:spLocks noChangeArrowheads="1"/>
                        </wps:cNvSpPr>
                        <wps:spPr bwMode="auto">
                          <a:xfrm>
                            <a:off x="3886200" y="3664666"/>
                            <a:ext cx="1543000" cy="818215"/>
                          </a:xfrm>
                          <a:prstGeom prst="rect">
                            <a:avLst/>
                          </a:prstGeom>
                          <a:solidFill>
                            <a:srgbClr val="FFCC99"/>
                          </a:solidFill>
                          <a:ln w="9525">
                            <a:solidFill>
                              <a:srgbClr val="000000"/>
                            </a:solidFill>
                            <a:miter lim="800000"/>
                            <a:headEnd/>
                            <a:tailEnd/>
                          </a:ln>
                          <a:effectLst>
                            <a:outerShdw dist="63500" dir="2700000" algn="tl" rotWithShape="0">
                              <a:srgbClr val="000000">
                                <a:alpha val="39999"/>
                              </a:srgbClr>
                            </a:outerShdw>
                          </a:effectLst>
                        </wps:spPr>
                        <wps:txbx>
                          <w:txbxContent>
                            <w:p w14:paraId="3138E90A" w14:textId="77777777" w:rsidR="00ED1ADA" w:rsidRPr="00816870" w:rsidRDefault="00ED1ADA" w:rsidP="00302BFE">
                              <w:pPr>
                                <w:spacing w:after="0"/>
                                <w:jc w:val="center"/>
                                <w:rPr>
                                  <w:b/>
                                  <w:sz w:val="18"/>
                                  <w:szCs w:val="18"/>
                                </w:rPr>
                              </w:pPr>
                              <w:r w:rsidRPr="00816870">
                                <w:rPr>
                                  <w:b/>
                                  <w:sz w:val="18"/>
                                  <w:szCs w:val="18"/>
                                </w:rPr>
                                <w:t xml:space="preserve">Project Technical and Financial Support </w:t>
                              </w:r>
                            </w:p>
                            <w:p w14:paraId="6F50EC30" w14:textId="77777777" w:rsidR="00ED1ADA" w:rsidRPr="00816870" w:rsidRDefault="00ED1ADA" w:rsidP="00302BFE">
                              <w:pPr>
                                <w:spacing w:after="0"/>
                                <w:jc w:val="center"/>
                                <w:rPr>
                                  <w:sz w:val="18"/>
                                  <w:szCs w:val="18"/>
                                </w:rPr>
                              </w:pPr>
                              <w:r w:rsidRPr="00816870">
                                <w:rPr>
                                  <w:sz w:val="18"/>
                                  <w:szCs w:val="18"/>
                                </w:rPr>
                                <w:t>(Technical consultants hired for specific roles and deliverables)</w:t>
                              </w:r>
                            </w:p>
                            <w:p w14:paraId="0E81D930" w14:textId="77777777" w:rsidR="00ED1ADA" w:rsidRDefault="00ED1ADA" w:rsidP="00302BFE">
                              <w:pPr>
                                <w:spacing w:before="120"/>
                                <w:jc w:val="center"/>
                                <w:rPr>
                                  <w:rFonts w:ascii="Times New Roman" w:hAnsi="Times New Roman"/>
                                  <w:sz w:val="18"/>
                                  <w:szCs w:val="18"/>
                                </w:rPr>
                              </w:pPr>
                              <w:r>
                                <w:rPr>
                                  <w:sz w:val="18"/>
                                  <w:szCs w:val="18"/>
                                </w:rPr>
                                <w:t>WWF?</w:t>
                              </w:r>
                            </w:p>
                          </w:txbxContent>
                        </wps:txbx>
                        <wps:bodyPr rot="0" vert="horz" wrap="square" lIns="91440" tIns="45720" rIns="91440" bIns="45720" anchor="t" anchorCtr="0" upright="1">
                          <a:noAutofit/>
                        </wps:bodyPr>
                      </wps:wsp>
                      <wps:wsp>
                        <wps:cNvPr id="63" name="AutoShape 350"/>
                        <wps:cNvCnPr>
                          <a:cxnSpLocks noChangeShapeType="1"/>
                        </wps:cNvCnPr>
                        <wps:spPr bwMode="auto">
                          <a:xfrm>
                            <a:off x="3681300" y="4029073"/>
                            <a:ext cx="204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351"/>
                        <wps:cNvSpPr>
                          <a:spLocks noChangeArrowheads="1"/>
                        </wps:cNvSpPr>
                        <wps:spPr bwMode="auto">
                          <a:xfrm>
                            <a:off x="438400" y="57101"/>
                            <a:ext cx="4914900" cy="295305"/>
                          </a:xfrm>
                          <a:prstGeom prst="roundRect">
                            <a:avLst>
                              <a:gd name="adj" fmla="val 16667"/>
                            </a:avLst>
                          </a:prstGeom>
                          <a:solidFill>
                            <a:srgbClr val="99CCFF"/>
                          </a:solidFill>
                          <a:ln w="9525">
                            <a:solidFill>
                              <a:srgbClr val="000000"/>
                            </a:solidFill>
                            <a:round/>
                            <a:headEnd/>
                            <a:tailEnd/>
                          </a:ln>
                        </wps:spPr>
                        <wps:txbx>
                          <w:txbxContent>
                            <w:p w14:paraId="0E950A3C" w14:textId="77777777" w:rsidR="00ED1ADA" w:rsidRPr="009758C4" w:rsidRDefault="00ED1ADA" w:rsidP="00302BFE">
                              <w:pPr>
                                <w:spacing w:after="0"/>
                                <w:jc w:val="center"/>
                                <w:rPr>
                                  <w:b/>
                                  <w:sz w:val="24"/>
                                </w:rPr>
                              </w:pPr>
                              <w:r w:rsidRPr="009758C4">
                                <w:rPr>
                                  <w:b/>
                                  <w:sz w:val="24"/>
                                </w:rPr>
                                <w:t>Project Organisation Structure</w:t>
                              </w:r>
                            </w:p>
                          </w:txbxContent>
                        </wps:txbx>
                        <wps:bodyPr rot="0" vert="horz" wrap="square" lIns="91440" tIns="45720" rIns="91440" bIns="45720" anchor="t" anchorCtr="0" upright="1">
                          <a:noAutofit/>
                        </wps:bodyPr>
                      </wps:wsp>
                      <wps:wsp>
                        <wps:cNvPr id="65" name="AutoShape 358"/>
                        <wps:cNvCnPr>
                          <a:cxnSpLocks noChangeShapeType="1"/>
                          <a:endCxn id="58" idx="2"/>
                        </wps:cNvCnPr>
                        <wps:spPr bwMode="auto">
                          <a:xfrm flipV="1">
                            <a:off x="964600" y="3314424"/>
                            <a:ext cx="1988350" cy="123438"/>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6" name="Connecteur droit 38"/>
                        <wps:cNvCnPr>
                          <a:cxnSpLocks noChangeShapeType="1"/>
                          <a:endCxn id="61" idx="0"/>
                        </wps:cNvCnPr>
                        <wps:spPr bwMode="auto">
                          <a:xfrm>
                            <a:off x="957600" y="3438562"/>
                            <a:ext cx="7000" cy="167603"/>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67" name="AutoShape 351"/>
                        <wps:cNvSpPr>
                          <a:spLocks noChangeArrowheads="1"/>
                        </wps:cNvSpPr>
                        <wps:spPr bwMode="auto">
                          <a:xfrm flipV="1">
                            <a:off x="1276300" y="409507"/>
                            <a:ext cx="3346100" cy="304806"/>
                          </a:xfrm>
                          <a:prstGeom prst="roundRect">
                            <a:avLst>
                              <a:gd name="adj" fmla="val 0"/>
                            </a:avLst>
                          </a:prstGeom>
                          <a:solidFill>
                            <a:srgbClr val="FF9900"/>
                          </a:solidFill>
                          <a:ln w="9525">
                            <a:solidFill>
                              <a:srgbClr val="000000"/>
                            </a:solidFill>
                            <a:round/>
                            <a:headEnd/>
                            <a:tailEnd/>
                          </a:ln>
                          <a:effectLst>
                            <a:outerShdw dist="63500" dir="2700000" algn="tl" rotWithShape="0">
                              <a:srgbClr val="000000">
                                <a:alpha val="39999"/>
                              </a:srgbClr>
                            </a:outerShdw>
                          </a:effectLst>
                        </wps:spPr>
                        <wps:txbx>
                          <w:txbxContent>
                            <w:p w14:paraId="1A974243" w14:textId="2782C261" w:rsidR="00ED1ADA" w:rsidRPr="00816870" w:rsidRDefault="00157582" w:rsidP="00302BFE">
                              <w:pPr>
                                <w:pStyle w:val="NormalWeb"/>
                                <w:spacing w:before="0" w:beforeAutospacing="0" w:after="0" w:afterAutospacing="0"/>
                                <w:jc w:val="center"/>
                                <w:rPr>
                                  <w:rFonts w:ascii="Calibri" w:eastAsia="Times New Roman" w:hAnsi="Calibri"/>
                                  <w:b/>
                                  <w:lang w:val="fr-CA" w:eastAsia="fr-CA"/>
                                </w:rPr>
                              </w:pPr>
                              <w:r w:rsidRPr="009667E6">
                                <w:rPr>
                                  <w:rFonts w:ascii="Calibri" w:eastAsia="Times New Roman" w:hAnsi="Calibri"/>
                                  <w:b/>
                                  <w:lang w:val="en-CA" w:eastAsia="fr-CA"/>
                                </w:rPr>
                                <w:t xml:space="preserve">Steering </w:t>
                              </w:r>
                              <w:r w:rsidR="00ED1ADA" w:rsidRPr="009667E6">
                                <w:rPr>
                                  <w:rFonts w:ascii="Calibri" w:eastAsia="Times New Roman" w:hAnsi="Calibri"/>
                                  <w:b/>
                                  <w:lang w:val="en-CA" w:eastAsia="fr-CA"/>
                                </w:rPr>
                                <w:t>Committee</w:t>
                              </w:r>
                            </w:p>
                          </w:txbxContent>
                        </wps:txbx>
                        <wps:bodyPr rot="0" vert="horz" wrap="square" lIns="91440" tIns="45720" rIns="91440" bIns="45720" anchor="t" anchorCtr="0" upright="1">
                          <a:noAutofit/>
                        </wps:bodyPr>
                      </wps:wsp>
                      <wps:wsp>
                        <wps:cNvPr id="68" name="AutoShape 351"/>
                        <wps:cNvSpPr>
                          <a:spLocks noChangeArrowheads="1"/>
                        </wps:cNvSpPr>
                        <wps:spPr bwMode="auto">
                          <a:xfrm flipV="1">
                            <a:off x="1276400" y="771514"/>
                            <a:ext cx="3345800" cy="1357625"/>
                          </a:xfrm>
                          <a:prstGeom prst="roundRect">
                            <a:avLst>
                              <a:gd name="adj" fmla="val 0"/>
                            </a:avLst>
                          </a:prstGeom>
                          <a:solidFill>
                            <a:srgbClr val="FFC000"/>
                          </a:solidFill>
                          <a:ln w="9525">
                            <a:solidFill>
                              <a:srgbClr val="000000"/>
                            </a:solidFill>
                            <a:round/>
                            <a:headEnd/>
                            <a:tailEnd/>
                          </a:ln>
                          <a:effectLst>
                            <a:outerShdw dist="63500" dir="2700000" algn="tl" rotWithShape="0">
                              <a:srgbClr val="000000">
                                <a:alpha val="39999"/>
                              </a:srgbClr>
                            </a:outerShdw>
                          </a:effectLst>
                        </wps:spPr>
                        <wps:txbx>
                          <w:txbxContent>
                            <w:p w14:paraId="1D7818E9" w14:textId="77777777" w:rsidR="00ED1ADA" w:rsidRPr="00816870" w:rsidRDefault="00ED1ADA" w:rsidP="00302BFE">
                              <w:pPr>
                                <w:pStyle w:val="NormalWeb"/>
                                <w:spacing w:before="0" w:beforeAutospacing="0" w:after="0" w:afterAutospacing="0"/>
                                <w:jc w:val="center"/>
                                <w:rPr>
                                  <w:rFonts w:ascii="Calibri" w:eastAsia="Times New Roman" w:hAnsi="Calibri"/>
                                  <w:sz w:val="16"/>
                                  <w:szCs w:val="16"/>
                                  <w:u w:val="single"/>
                                  <w:lang w:val="en-CA" w:eastAsia="fr-CA"/>
                                </w:rPr>
                              </w:pPr>
                              <w:r w:rsidRPr="00816870">
                                <w:rPr>
                                  <w:rFonts w:ascii="Calibri" w:eastAsia="Times New Roman" w:hAnsi="Calibri"/>
                                  <w:sz w:val="16"/>
                                  <w:szCs w:val="16"/>
                                  <w:u w:val="single"/>
                                  <w:lang w:val="en-CA" w:eastAsia="fr-CA"/>
                                </w:rPr>
                                <w:t>President</w:t>
                              </w:r>
                            </w:p>
                            <w:p w14:paraId="2360602A" w14:textId="77777777" w:rsidR="00ED1ADA" w:rsidRPr="00810670" w:rsidRDefault="00ED1ADA" w:rsidP="00302BFE">
                              <w:pPr>
                                <w:pStyle w:val="NormalWeb"/>
                                <w:spacing w:before="0" w:beforeAutospacing="0" w:after="0" w:afterAutospacing="0"/>
                                <w:jc w:val="center"/>
                                <w:rPr>
                                  <w:rFonts w:ascii="Calibri" w:eastAsia="Times New Roman" w:hAnsi="Calibri"/>
                                  <w:sz w:val="16"/>
                                  <w:szCs w:val="16"/>
                                  <w:lang w:val="en-CA" w:eastAsia="fr-CA"/>
                                </w:rPr>
                              </w:pPr>
                              <w:r w:rsidRPr="00810670">
                                <w:rPr>
                                  <w:rFonts w:ascii="Calibri" w:hAnsi="Calibri"/>
                                  <w:sz w:val="16"/>
                                  <w:szCs w:val="16"/>
                                </w:rPr>
                                <w:t xml:space="preserve">Secretary </w:t>
                              </w:r>
                              <w:r w:rsidRPr="00810670">
                                <w:rPr>
                                  <w:rFonts w:ascii="Calibri" w:hAnsi="Calibri"/>
                                  <w:sz w:val="16"/>
                                  <w:szCs w:val="16"/>
                                  <w:lang w:val="en-CA"/>
                                </w:rPr>
                                <w:t>General Ministry of Environment Green Economy Climate Change</w:t>
                              </w:r>
                            </w:p>
                            <w:p w14:paraId="4355E39B" w14:textId="77777777" w:rsidR="00ED1ADA" w:rsidRPr="00810670" w:rsidRDefault="00ED1ADA" w:rsidP="00302BFE">
                              <w:pPr>
                                <w:pStyle w:val="NormalWeb"/>
                                <w:spacing w:before="0" w:beforeAutospacing="0" w:after="0" w:afterAutospacing="0"/>
                                <w:jc w:val="center"/>
                                <w:rPr>
                                  <w:rFonts w:ascii="Calibri" w:eastAsia="Times New Roman" w:hAnsi="Calibri"/>
                                  <w:sz w:val="16"/>
                                  <w:szCs w:val="16"/>
                                  <w:u w:val="single"/>
                                  <w:lang w:val="en-CA" w:eastAsia="fr-CA"/>
                                </w:rPr>
                              </w:pPr>
                              <w:r w:rsidRPr="00810670">
                                <w:rPr>
                                  <w:rFonts w:ascii="Calibri" w:eastAsia="Times New Roman" w:hAnsi="Calibri"/>
                                  <w:sz w:val="16"/>
                                  <w:szCs w:val="16"/>
                                  <w:u w:val="single"/>
                                  <w:lang w:val="en-CA" w:eastAsia="fr-CA"/>
                                </w:rPr>
                                <w:t>Members</w:t>
                              </w:r>
                            </w:p>
                            <w:p w14:paraId="51097B90" w14:textId="77777777" w:rsidR="00ED1ADA" w:rsidRPr="00810670" w:rsidRDefault="00ED1ADA" w:rsidP="00302BFE">
                              <w:pPr>
                                <w:pStyle w:val="NormalWeb"/>
                                <w:spacing w:before="0" w:beforeAutospacing="0" w:after="0" w:afterAutospacing="0"/>
                                <w:jc w:val="center"/>
                                <w:rPr>
                                  <w:rFonts w:ascii="Calibri" w:eastAsia="Times New Roman" w:hAnsi="Calibri"/>
                                  <w:sz w:val="16"/>
                                  <w:szCs w:val="16"/>
                                  <w:lang w:val="en-CA" w:eastAsia="fr-CA"/>
                                </w:rPr>
                              </w:pPr>
                              <w:r w:rsidRPr="00810670">
                                <w:rPr>
                                  <w:rFonts w:ascii="Calibri" w:eastAsia="Times New Roman" w:hAnsi="Calibri"/>
                                  <w:sz w:val="16"/>
                                  <w:szCs w:val="16"/>
                                  <w:lang w:val="en-CA" w:eastAsia="fr-CA"/>
                                </w:rPr>
                                <w:t>Executive representatives of ministries, national institutions, and authorities of regions and communes involved in the project</w:t>
                              </w:r>
                            </w:p>
                            <w:p w14:paraId="73D61D60" w14:textId="77777777" w:rsidR="00ED1ADA" w:rsidRPr="00810670" w:rsidRDefault="00ED1ADA" w:rsidP="00302BFE">
                              <w:pPr>
                                <w:pStyle w:val="NormalWeb"/>
                                <w:spacing w:before="0" w:beforeAutospacing="0" w:after="0" w:afterAutospacing="0"/>
                                <w:jc w:val="center"/>
                                <w:rPr>
                                  <w:rFonts w:ascii="Calibri" w:eastAsia="Times New Roman" w:hAnsi="Calibri"/>
                                  <w:sz w:val="16"/>
                                  <w:szCs w:val="16"/>
                                  <w:u w:val="single"/>
                                  <w:lang w:val="en-CA" w:eastAsia="fr-CA"/>
                                </w:rPr>
                              </w:pPr>
                              <w:r w:rsidRPr="00810670">
                                <w:rPr>
                                  <w:rFonts w:ascii="Calibri" w:eastAsia="Times New Roman" w:hAnsi="Calibri"/>
                                  <w:sz w:val="16"/>
                                  <w:szCs w:val="16"/>
                                  <w:u w:val="single"/>
                                  <w:lang w:val="en-CA" w:eastAsia="fr-CA"/>
                                </w:rPr>
                                <w:t>Secretariat</w:t>
                              </w:r>
                            </w:p>
                            <w:p w14:paraId="7831D273" w14:textId="77777777" w:rsidR="00ED1ADA" w:rsidRPr="00810670" w:rsidRDefault="00ED1ADA" w:rsidP="00302BFE">
                              <w:pPr>
                                <w:pStyle w:val="NormalWeb"/>
                                <w:spacing w:before="0" w:beforeAutospacing="0" w:after="0" w:afterAutospacing="0"/>
                                <w:jc w:val="center"/>
                                <w:rPr>
                                  <w:rFonts w:ascii="Calibri" w:eastAsia="Times New Roman" w:hAnsi="Calibri"/>
                                  <w:sz w:val="16"/>
                                  <w:szCs w:val="16"/>
                                  <w:lang w:val="en-CA" w:eastAsia="fr-CA"/>
                                </w:rPr>
                              </w:pPr>
                              <w:r w:rsidRPr="00810670">
                                <w:rPr>
                                  <w:rFonts w:ascii="Calibri" w:eastAsia="Times New Roman" w:hAnsi="Calibri"/>
                                  <w:sz w:val="16"/>
                                  <w:szCs w:val="16"/>
                                  <w:lang w:val="en-CA" w:eastAsia="fr-CA"/>
                                </w:rPr>
                                <w:t>Responsible for the budget program “Environmental Governance and Sustainable Development” / MEGECC</w:t>
                              </w:r>
                            </w:p>
                            <w:p w14:paraId="2A63793E" w14:textId="77777777" w:rsidR="00ED1ADA" w:rsidRPr="00816870" w:rsidRDefault="00ED1ADA" w:rsidP="00302BFE">
                              <w:pPr>
                                <w:pStyle w:val="NormalWeb"/>
                                <w:spacing w:before="0" w:beforeAutospacing="0" w:after="0" w:afterAutospacing="0"/>
                                <w:jc w:val="center"/>
                                <w:rPr>
                                  <w:rFonts w:ascii="Calibri" w:eastAsia="Times New Roman" w:hAnsi="Calibri"/>
                                  <w:sz w:val="16"/>
                                  <w:szCs w:val="16"/>
                                  <w:u w:val="single"/>
                                  <w:lang w:val="en-CA" w:eastAsia="fr-CA"/>
                                </w:rPr>
                              </w:pPr>
                              <w:r w:rsidRPr="00810670">
                                <w:rPr>
                                  <w:rFonts w:ascii="Calibri" w:eastAsia="Times New Roman" w:hAnsi="Calibri"/>
                                  <w:sz w:val="16"/>
                                  <w:szCs w:val="16"/>
                                  <w:u w:val="single"/>
                                  <w:lang w:val="en-CA" w:eastAsia="fr-CA"/>
                                </w:rPr>
                                <w:t>Observers</w:t>
                              </w:r>
                            </w:p>
                            <w:p w14:paraId="452F15EA" w14:textId="77777777" w:rsidR="00ED1ADA" w:rsidRPr="009758C4" w:rsidRDefault="00ED1ADA" w:rsidP="00302BFE">
                              <w:pPr>
                                <w:pStyle w:val="NormalWeb"/>
                                <w:spacing w:before="0" w:beforeAutospacing="0" w:after="0" w:afterAutospacing="0"/>
                                <w:jc w:val="center"/>
                                <w:rPr>
                                  <w:rFonts w:asciiTheme="minorHAnsi" w:eastAsia="Times New Roman" w:hAnsiTheme="minorHAnsi"/>
                                  <w:sz w:val="18"/>
                                  <w:szCs w:val="18"/>
                                  <w:lang w:val="en-CA" w:eastAsia="fr-CA"/>
                                </w:rPr>
                              </w:pPr>
                              <w:r w:rsidRPr="009758C4">
                                <w:rPr>
                                  <w:rFonts w:asciiTheme="minorHAnsi" w:eastAsia="Times New Roman" w:hAnsiTheme="minorHAnsi"/>
                                  <w:sz w:val="16"/>
                                  <w:szCs w:val="16"/>
                                  <w:lang w:val="en-CA" w:eastAsia="fr-CA"/>
                                </w:rPr>
                                <w:t>UNDP and other technical and financial partners</w:t>
                              </w:r>
                            </w:p>
                          </w:txbxContent>
                        </wps:txbx>
                        <wps:bodyPr rot="0" vert="horz" wrap="square" lIns="91440" tIns="45720" rIns="91440" bIns="45720" anchor="t" anchorCtr="0" upright="1">
                          <a:noAutofit/>
                        </wps:bodyPr>
                      </wps:wsp>
                      <wps:wsp>
                        <wps:cNvPr id="69" name="AutoShape 347"/>
                        <wps:cNvCnPr>
                          <a:cxnSpLocks noChangeShapeType="1"/>
                        </wps:cNvCnPr>
                        <wps:spPr bwMode="auto">
                          <a:xfrm>
                            <a:off x="2949400" y="2173139"/>
                            <a:ext cx="1300" cy="1986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Rectangle 40"/>
                        <wps:cNvSpPr>
                          <a:spLocks noChangeArrowheads="1"/>
                        </wps:cNvSpPr>
                        <wps:spPr bwMode="auto">
                          <a:xfrm>
                            <a:off x="5306600" y="2493545"/>
                            <a:ext cx="637000" cy="768514"/>
                          </a:xfrm>
                          <a:prstGeom prst="rect">
                            <a:avLst/>
                          </a:prstGeom>
                          <a:solidFill>
                            <a:srgbClr val="FFCC00"/>
                          </a:solidFill>
                          <a:ln w="9525">
                            <a:solidFill>
                              <a:srgbClr val="000000"/>
                            </a:solidFill>
                            <a:miter lim="800000"/>
                            <a:headEnd/>
                            <a:tailEnd/>
                          </a:ln>
                          <a:effectLst>
                            <a:outerShdw dist="63500" dir="2700000" algn="tl" rotWithShape="0">
                              <a:srgbClr val="000000">
                                <a:alpha val="39999"/>
                              </a:srgbClr>
                            </a:outerShdw>
                          </a:effectLst>
                        </wps:spPr>
                        <wps:txbx>
                          <w:txbxContent>
                            <w:p w14:paraId="5A4518EC" w14:textId="77777777" w:rsidR="00ED1ADA" w:rsidRPr="00816870" w:rsidRDefault="00ED1ADA" w:rsidP="00302BFE">
                              <w:pPr>
                                <w:pStyle w:val="NormalWeb"/>
                                <w:spacing w:after="0"/>
                                <w:jc w:val="center"/>
                                <w:rPr>
                                  <w:rFonts w:ascii="Calibri" w:eastAsia="Times New Roman" w:hAnsi="Calibri"/>
                                  <w:sz w:val="17"/>
                                  <w:szCs w:val="17"/>
                                  <w:lang w:val="en-CA" w:eastAsia="fr-CA"/>
                                </w:rPr>
                              </w:pPr>
                              <w:r w:rsidRPr="00816870">
                                <w:rPr>
                                  <w:rFonts w:ascii="Calibri" w:eastAsia="Times New Roman" w:hAnsi="Calibri"/>
                                  <w:sz w:val="17"/>
                                  <w:szCs w:val="17"/>
                                  <w:lang w:val="en-CA" w:eastAsia="fr-CA"/>
                                </w:rPr>
                                <w:t>Partner projects in the intervention area</w:t>
                              </w:r>
                            </w:p>
                          </w:txbxContent>
                        </wps:txbx>
                        <wps:bodyPr rot="0" vert="horz" wrap="square" lIns="91440" tIns="45720" rIns="91440" bIns="45720" anchor="t" anchorCtr="0" upright="1">
                          <a:noAutofit/>
                        </wps:bodyPr>
                      </wps:wsp>
                      <wps:wsp>
                        <wps:cNvPr id="71" name="AutoShape 347"/>
                        <wps:cNvCnPr>
                          <a:cxnSpLocks noChangeShapeType="1"/>
                          <a:endCxn id="56" idx="3"/>
                        </wps:cNvCnPr>
                        <wps:spPr bwMode="auto">
                          <a:xfrm flipH="1" flipV="1">
                            <a:off x="5037600" y="2518345"/>
                            <a:ext cx="263600" cy="989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350"/>
                        <wps:cNvCnPr>
                          <a:cxnSpLocks noChangeShapeType="1"/>
                        </wps:cNvCnPr>
                        <wps:spPr bwMode="auto">
                          <a:xfrm flipV="1">
                            <a:off x="2962300" y="3304560"/>
                            <a:ext cx="100" cy="3118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EE81359" id="Zone de dessin 73" o:spid="_x0000_s1082" editas="canvas" style="width:468pt;height:370.55pt;mso-position-horizontal-relative:char;mso-position-vertical-relative:line" coordsize="59436,47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">
                <v:shape id="_x0000_s1083" type="#_x0000_t75" style="position:absolute;width:59436;height:47059;visibility:visible;mso-wrap-style:square">
                  <v:fill o:detectmouseclick="t"/>
                  <v:path o:connecttype="none"/>
                </v:shape>
                <v:rect id="Rectangle 342" o:spid="_x0000_s1084" style="position:absolute;left:20716;top:36466;width:16028;height:9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" fillcolor="#fc9">
                  <v:shadow on="t" color="black" opacity="26213f" origin="-.5,-.5" offset="1.24725mm,1.24725mm"/>
                  <v:textbox>
                    <w:txbxContent>
                      <w:p w14:paraId="6682A854" w14:textId="77777777" w:rsidR="00ED1ADA" w:rsidRPr="00816870" w:rsidRDefault="00ED1ADA" w:rsidP="00302BFE">
                        <w:pPr>
                          <w:spacing w:after="0"/>
                          <w:jc w:val="center"/>
                          <w:rPr>
                            <w:sz w:val="16"/>
                            <w:szCs w:val="16"/>
                          </w:rPr>
                        </w:pPr>
                        <w:r w:rsidRPr="00816870">
                          <w:rPr>
                            <w:b/>
                            <w:sz w:val="18"/>
                            <w:szCs w:val="18"/>
                          </w:rPr>
                          <w:t xml:space="preserve">Project </w:t>
                        </w:r>
                        <w:r>
                          <w:rPr>
                            <w:b/>
                            <w:sz w:val="18"/>
                            <w:szCs w:val="18"/>
                          </w:rPr>
                          <w:t>Coordination</w:t>
                        </w:r>
                        <w:r w:rsidRPr="00816870">
                          <w:rPr>
                            <w:b/>
                            <w:sz w:val="18"/>
                            <w:szCs w:val="18"/>
                          </w:rPr>
                          <w:t xml:space="preserve"> Unit</w:t>
                        </w:r>
                        <w:r w:rsidRPr="00816870">
                          <w:rPr>
                            <w:b/>
                            <w:sz w:val="16"/>
                            <w:szCs w:val="16"/>
                          </w:rPr>
                          <w:t xml:space="preserve"> </w:t>
                        </w:r>
                        <w:r w:rsidRPr="00816870">
                          <w:rPr>
                            <w:sz w:val="16"/>
                            <w:szCs w:val="16"/>
                          </w:rPr>
                          <w:t>(National Coordinator, Financial/Administrative Assistant, M&amp;E and Safeguards expert, Communication/KM expert, and Gender expert)</w:t>
                        </w:r>
                      </w:p>
                    </w:txbxContent>
                  </v:textbox>
                </v:rect>
                <v:rect id="Rectangle 343" o:spid="_x0000_s1085" style="position:absolute;left:8639;top:23717;width:41737;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" fillcolor="#f90">
                  <v:shadow on="t" color="black" opacity="26213f" origin="-.5,-.5" offset="1.24725mm,1.24725mm"/>
                  <v:textbox>
                    <w:txbxContent>
                      <w:p w14:paraId="087E5FBB" w14:textId="77777777" w:rsidR="00ED1ADA" w:rsidRPr="00816870" w:rsidRDefault="00ED1ADA" w:rsidP="00302BFE">
                        <w:pPr>
                          <w:spacing w:after="0"/>
                          <w:jc w:val="center"/>
                          <w:rPr>
                            <w:b/>
                          </w:rPr>
                        </w:pPr>
                        <w:r w:rsidRPr="00816870">
                          <w:rPr>
                            <w:b/>
                          </w:rPr>
                          <w:t xml:space="preserve">Project Consultation </w:t>
                        </w:r>
                        <w:r>
                          <w:rPr>
                            <w:b/>
                          </w:rPr>
                          <w:t xml:space="preserve">Framework </w:t>
                        </w:r>
                        <w:r w:rsidRPr="00810670">
                          <w:rPr>
                            <w:b/>
                          </w:rPr>
                          <w:t>/ Dialogue Framework</w:t>
                        </w:r>
                      </w:p>
                    </w:txbxContent>
                  </v:textbox>
                </v:rect>
                <v:rect id="Rectangle 344" o:spid="_x0000_s1086" style="position:absolute;left:8639;top:26750;width:11023;height:6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" fillcolor="#fc0">
                  <v:shadow on="t" color="black" opacity="26213f" origin="-.5,-.5" offset="1.24725mm,1.24725mm"/>
                  <v:textbox>
                    <w:txbxContent>
                      <w:p w14:paraId="5A74B3F0" w14:textId="77777777" w:rsidR="00ED1ADA" w:rsidRPr="00816870" w:rsidRDefault="00ED1ADA" w:rsidP="00302BFE">
                        <w:pPr>
                          <w:spacing w:after="0"/>
                          <w:jc w:val="center"/>
                          <w:rPr>
                            <w:b/>
                            <w:bCs/>
                            <w:sz w:val="18"/>
                            <w:szCs w:val="18"/>
                          </w:rPr>
                        </w:pPr>
                        <w:r w:rsidRPr="00816870">
                          <w:rPr>
                            <w:b/>
                            <w:bCs/>
                            <w:sz w:val="18"/>
                            <w:szCs w:val="18"/>
                          </w:rPr>
                          <w:t>Senior Beneficiary:</w:t>
                        </w:r>
                      </w:p>
                      <w:p w14:paraId="4A27F267" w14:textId="77777777" w:rsidR="00ED1ADA" w:rsidRPr="00816870" w:rsidRDefault="00ED1ADA" w:rsidP="00302BFE">
                        <w:pPr>
                          <w:spacing w:after="0"/>
                          <w:jc w:val="center"/>
                          <w:rPr>
                            <w:b/>
                            <w:bCs/>
                            <w:sz w:val="18"/>
                            <w:szCs w:val="18"/>
                          </w:rPr>
                        </w:pPr>
                        <w:r w:rsidRPr="00810670">
                          <w:rPr>
                            <w:bCs/>
                            <w:sz w:val="18"/>
                            <w:szCs w:val="18"/>
                          </w:rPr>
                          <w:t>MEGECC</w:t>
                        </w:r>
                      </w:p>
                    </w:txbxContent>
                  </v:textbox>
                </v:rect>
                <v:rect id="Rectangle 345" o:spid="_x0000_s1087" style="position:absolute;left:20778;top:26753;width:17503;height:6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" fillcolor="#fc0">
                  <v:shadow on="t" color="black" opacity="26213f" origin="-.5,-.5" offset="1.24725mm,1.24725mm"/>
                  <v:textbox>
                    <w:txbxContent>
                      <w:p w14:paraId="6AA4EEE2" w14:textId="77777777" w:rsidR="00ED1ADA" w:rsidRPr="009758C4" w:rsidRDefault="00ED1ADA" w:rsidP="00302BFE">
                        <w:pPr>
                          <w:spacing w:after="0"/>
                          <w:jc w:val="center"/>
                          <w:rPr>
                            <w:b/>
                            <w:sz w:val="18"/>
                            <w:szCs w:val="18"/>
                            <w:highlight w:val="yellow"/>
                          </w:rPr>
                        </w:pPr>
                        <w:r w:rsidRPr="009758C4">
                          <w:rPr>
                            <w:b/>
                            <w:sz w:val="18"/>
                            <w:szCs w:val="18"/>
                            <w:highlight w:val="yellow"/>
                          </w:rPr>
                          <w:t>Executive:</w:t>
                        </w:r>
                      </w:p>
                      <w:p w14:paraId="546D332F" w14:textId="01093F57" w:rsidR="00ED1ADA" w:rsidRPr="00816870" w:rsidRDefault="004628A2" w:rsidP="00302BFE">
                        <w:pPr>
                          <w:spacing w:after="0"/>
                          <w:jc w:val="center"/>
                          <w:rPr>
                            <w:b/>
                            <w:sz w:val="18"/>
                            <w:szCs w:val="18"/>
                          </w:rPr>
                        </w:pPr>
                        <w:r w:rsidRPr="004628A2">
                          <w:rPr>
                            <w:sz w:val="18"/>
                            <w:szCs w:val="18"/>
                            <w:highlight w:val="green"/>
                          </w:rPr>
                          <w:t>SP Conseil Nation Devel Durabl under the Ministry in charge of the Environment</w:t>
                        </w:r>
                        <w:r w:rsidR="00ED1ADA" w:rsidRPr="00816870">
                          <w:rPr>
                            <w:sz w:val="18"/>
                            <w:szCs w:val="18"/>
                            <w:lang w:val="en-CA"/>
                          </w:rPr>
                          <w:t xml:space="preserve"> </w:t>
                        </w:r>
                      </w:p>
                    </w:txbxContent>
                  </v:textbox>
                </v:rect>
                <v:rect id="Rectangle 346" o:spid="_x0000_s1088" style="position:absolute;left:39549;top:26650;width:10827;height:5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" fillcolor="#fc0">
                  <v:shadow on="t" color="black" opacity="26213f" origin="-.5,-.5" offset="1.24725mm,1.24725mm"/>
                  <v:textbox>
                    <w:txbxContent>
                      <w:p w14:paraId="5D888071" w14:textId="77777777" w:rsidR="00ED1ADA" w:rsidRDefault="00ED1ADA" w:rsidP="00302BFE">
                        <w:pPr>
                          <w:spacing w:after="0"/>
                          <w:jc w:val="center"/>
                          <w:rPr>
                            <w:b/>
                            <w:bCs/>
                            <w:sz w:val="18"/>
                            <w:szCs w:val="18"/>
                          </w:rPr>
                        </w:pPr>
                        <w:r>
                          <w:rPr>
                            <w:b/>
                            <w:bCs/>
                            <w:sz w:val="18"/>
                            <w:szCs w:val="18"/>
                          </w:rPr>
                          <w:t>Senior Supplier:</w:t>
                        </w:r>
                      </w:p>
                      <w:p w14:paraId="58B45793" w14:textId="77777777" w:rsidR="00ED1ADA" w:rsidRDefault="00ED1ADA" w:rsidP="00302BFE">
                        <w:pPr>
                          <w:spacing w:after="0"/>
                          <w:jc w:val="center"/>
                          <w:rPr>
                            <w:sz w:val="18"/>
                            <w:szCs w:val="18"/>
                          </w:rPr>
                        </w:pPr>
                        <w:r>
                          <w:rPr>
                            <w:sz w:val="18"/>
                            <w:szCs w:val="18"/>
                          </w:rPr>
                          <w:t>UNDP CO in Burkina Faso</w:t>
                        </w:r>
                      </w:p>
                    </w:txbxContent>
                  </v:textbox>
                </v:rect>
                <v:shapetype id="_x0000_t32" coordsize="21600,21600" o:spt="32" o:oned="t" path="m,l21600,21600e" filled="f">
                  <v:path arrowok="t" fillok="f" o:connecttype="none"/>
                  <o:lock v:ext="edit" shapetype="t"/>
                </v:shapetype>
                <v:shape id="AutoShape 347" o:spid="_x0000_s1089" type="#_x0000_t32" style="position:absolute;left:50375;top:25184;width: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"/>
                <v:rect id="Rectangle 348" o:spid="_x0000_s1090" style="position:absolute;left:556;top:36060;width:18169;height:9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" fillcolor="#fc0">
                  <v:shadow on="t" color="black" opacity="26213f" origin="-.5,-.5" offset="1.24725mm,1.24725mm"/>
                  <v:textbox>
                    <w:txbxContent>
                      <w:p w14:paraId="59372E75" w14:textId="77777777" w:rsidR="00ED1ADA" w:rsidRPr="00816870" w:rsidRDefault="00ED1ADA" w:rsidP="00302BFE">
                        <w:pPr>
                          <w:spacing w:after="0"/>
                          <w:jc w:val="center"/>
                          <w:rPr>
                            <w:b/>
                            <w:sz w:val="18"/>
                            <w:szCs w:val="18"/>
                          </w:rPr>
                        </w:pPr>
                        <w:r w:rsidRPr="00816870">
                          <w:rPr>
                            <w:b/>
                            <w:sz w:val="18"/>
                            <w:szCs w:val="18"/>
                          </w:rPr>
                          <w:t>Three Tier Project Assurance (country, regional and global)</w:t>
                        </w:r>
                      </w:p>
                      <w:p w14:paraId="34FE2FCC" w14:textId="77777777" w:rsidR="00ED1ADA" w:rsidRPr="00816870" w:rsidRDefault="00ED1ADA" w:rsidP="00302BFE">
                        <w:pPr>
                          <w:spacing w:after="0"/>
                          <w:jc w:val="center"/>
                          <w:rPr>
                            <w:bCs/>
                            <w:sz w:val="18"/>
                            <w:szCs w:val="18"/>
                            <w:lang w:val="en-CA"/>
                          </w:rPr>
                        </w:pPr>
                        <w:r w:rsidRPr="00816870">
                          <w:rPr>
                            <w:bCs/>
                            <w:sz w:val="18"/>
                            <w:szCs w:val="18"/>
                          </w:rPr>
                          <w:t xml:space="preserve">UNDP Country Office Programme Officer; Regional Technical Advisor; </w:t>
                        </w:r>
                        <w:r w:rsidRPr="00816870">
                          <w:rPr>
                            <w:sz w:val="18"/>
                            <w:szCs w:val="18"/>
                            <w:lang w:val="en-CA"/>
                          </w:rPr>
                          <w:t>Head: Ecosystems and Biodiversity, UNDP-GEF Unit</w:t>
                        </w:r>
                      </w:p>
                      <w:p w14:paraId="167C712A" w14:textId="77777777" w:rsidR="00ED1ADA" w:rsidRDefault="00ED1ADA" w:rsidP="00302BFE">
                        <w:pPr>
                          <w:jc w:val="center"/>
                          <w:rPr>
                            <w:rFonts w:ascii="Times New Roman" w:hAnsi="Times New Roman"/>
                            <w:i/>
                            <w:sz w:val="18"/>
                            <w:szCs w:val="18"/>
                            <w:lang w:val="en-CA"/>
                          </w:rPr>
                        </w:pPr>
                      </w:p>
                      <w:p w14:paraId="3F0E19BF" w14:textId="77777777" w:rsidR="00ED1ADA" w:rsidRDefault="00ED1ADA" w:rsidP="00302BFE">
                        <w:pPr>
                          <w:pStyle w:val="NormalWeb"/>
                          <w:jc w:val="center"/>
                          <w:rPr>
                            <w:b/>
                            <w:bCs/>
                            <w:sz w:val="20"/>
                            <w:szCs w:val="20"/>
                          </w:rPr>
                        </w:pPr>
                      </w:p>
                    </w:txbxContent>
                  </v:textbox>
                </v:rect>
                <v:rect id="Rectangle 349" o:spid="_x0000_s1091" style="position:absolute;left:38862;top:36646;width:15430;height:8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" fillcolor="#fc9">
                  <v:shadow on="t" color="black" opacity="26213f" origin="-.5,-.5" offset="1.24725mm,1.24725mm"/>
                  <v:textbox>
                    <w:txbxContent>
                      <w:p w14:paraId="3138E90A" w14:textId="77777777" w:rsidR="00ED1ADA" w:rsidRPr="00816870" w:rsidRDefault="00ED1ADA" w:rsidP="00302BFE">
                        <w:pPr>
                          <w:spacing w:after="0"/>
                          <w:jc w:val="center"/>
                          <w:rPr>
                            <w:b/>
                            <w:sz w:val="18"/>
                            <w:szCs w:val="18"/>
                          </w:rPr>
                        </w:pPr>
                        <w:r w:rsidRPr="00816870">
                          <w:rPr>
                            <w:b/>
                            <w:sz w:val="18"/>
                            <w:szCs w:val="18"/>
                          </w:rPr>
                          <w:t xml:space="preserve">Project Technical and Financial Support </w:t>
                        </w:r>
                      </w:p>
                      <w:p w14:paraId="6F50EC30" w14:textId="77777777" w:rsidR="00ED1ADA" w:rsidRPr="00816870" w:rsidRDefault="00ED1ADA" w:rsidP="00302BFE">
                        <w:pPr>
                          <w:spacing w:after="0"/>
                          <w:jc w:val="center"/>
                          <w:rPr>
                            <w:sz w:val="18"/>
                            <w:szCs w:val="18"/>
                          </w:rPr>
                        </w:pPr>
                        <w:r w:rsidRPr="00816870">
                          <w:rPr>
                            <w:sz w:val="18"/>
                            <w:szCs w:val="18"/>
                          </w:rPr>
                          <w:t>(Technical consultants hired for specific roles and deliverables)</w:t>
                        </w:r>
                      </w:p>
                      <w:p w14:paraId="0E81D930" w14:textId="77777777" w:rsidR="00ED1ADA" w:rsidRDefault="00ED1ADA" w:rsidP="00302BFE">
                        <w:pPr>
                          <w:spacing w:before="120"/>
                          <w:jc w:val="center"/>
                          <w:rPr>
                            <w:rFonts w:ascii="Times New Roman" w:hAnsi="Times New Roman"/>
                            <w:sz w:val="18"/>
                            <w:szCs w:val="18"/>
                          </w:rPr>
                        </w:pPr>
                        <w:r>
                          <w:rPr>
                            <w:sz w:val="18"/>
                            <w:szCs w:val="18"/>
                          </w:rPr>
                          <w:t>WWF?</w:t>
                        </w:r>
                      </w:p>
                    </w:txbxContent>
                  </v:textbox>
                </v:rect>
                <v:shape id="AutoShape 350" o:spid="_x0000_s1092" type="#_x0000_t32" style="position:absolute;left:36813;top:40290;width:20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"/>
                <v:roundrect id="AutoShape 351" o:spid="_x0000_s1093" style="position:absolute;left:4384;top:571;width:49149;height:29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" fillcolor="#9cf">
                  <v:textbox>
                    <w:txbxContent>
                      <w:p w14:paraId="0E950A3C" w14:textId="77777777" w:rsidR="00ED1ADA" w:rsidRPr="009758C4" w:rsidRDefault="00ED1ADA" w:rsidP="00302BFE">
                        <w:pPr>
                          <w:spacing w:after="0"/>
                          <w:jc w:val="center"/>
                          <w:rPr>
                            <w:b/>
                            <w:sz w:val="24"/>
                          </w:rPr>
                        </w:pPr>
                        <w:r w:rsidRPr="009758C4">
                          <w:rPr>
                            <w:b/>
                            <w:sz w:val="24"/>
                          </w:rPr>
                          <w:t>Project Organisation Structure</w:t>
                        </w:r>
                      </w:p>
                    </w:txbxContent>
                  </v:textbox>
                </v:roundrect>
                <v:shapetype id="_x0000_t33" coordsize="21600,21600" o:spt="33" o:oned="t" path="m,l21600,r,21600e" filled="f">
                  <v:stroke joinstyle="miter"/>
                  <v:path arrowok="t" fillok="f" o:connecttype="none"/>
                  <o:lock v:ext="edit" shapetype="t"/>
                </v:shapetype>
                <v:shape id="AutoShape 358" o:spid="_x0000_s1094" type="#_x0000_t33" style="position:absolute;left:9646;top:33144;width:19883;height:123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"/>
                <v:line id="Connecteur droit 38" o:spid="_x0000_s1095" style="position:absolute;visibility:visible;mso-wrap-style:square" from="9576,34385" to="9646,36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" strokeweight=".5pt">
                  <v:stroke joinstyle="miter"/>
                </v:line>
                <v:roundrect id="AutoShape 351" o:spid="_x0000_s1096" style="position:absolute;left:12763;top:4095;width:33461;height:3048;flip:y;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" fillcolor="#f90">
                  <v:shadow on="t" color="black" opacity="26213f" origin="-.5,-.5" offset="1.24725mm,1.24725mm"/>
                  <v:textbox>
                    <w:txbxContent>
                      <w:p w14:paraId="1A974243" w14:textId="2782C261" w:rsidR="00ED1ADA" w:rsidRPr="00816870" w:rsidRDefault="00157582" w:rsidP="00302BFE">
                        <w:pPr>
                          <w:pStyle w:val="NormalWeb"/>
                          <w:spacing w:before="0" w:beforeAutospacing="0" w:after="0" w:afterAutospacing="0"/>
                          <w:jc w:val="center"/>
                          <w:rPr>
                            <w:rFonts w:ascii="Calibri" w:eastAsia="Times New Roman" w:hAnsi="Calibri"/>
                            <w:b/>
                            <w:lang w:val="fr-CA" w:eastAsia="fr-CA"/>
                          </w:rPr>
                        </w:pPr>
                        <w:r w:rsidRPr="009667E6">
                          <w:rPr>
                            <w:rFonts w:ascii="Calibri" w:eastAsia="Times New Roman" w:hAnsi="Calibri"/>
                            <w:b/>
                            <w:lang w:val="en-CA" w:eastAsia="fr-CA"/>
                          </w:rPr>
                          <w:t xml:space="preserve">Steering </w:t>
                        </w:r>
                        <w:r w:rsidR="00ED1ADA" w:rsidRPr="009667E6">
                          <w:rPr>
                            <w:rFonts w:ascii="Calibri" w:eastAsia="Times New Roman" w:hAnsi="Calibri"/>
                            <w:b/>
                            <w:lang w:val="en-CA" w:eastAsia="fr-CA"/>
                          </w:rPr>
                          <w:t>Committee</w:t>
                        </w:r>
                      </w:p>
                    </w:txbxContent>
                  </v:textbox>
                </v:roundrect>
                <v:roundrect id="AutoShape 351" o:spid="_x0000_s1097" style="position:absolute;left:12764;top:7715;width:33458;height:13576;flip:y;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" fillcolor="#ffc000">
                  <v:shadow on="t" color="black" opacity="26213f" origin="-.5,-.5" offset="1.24725mm,1.24725mm"/>
                  <v:textbox>
                    <w:txbxContent>
                      <w:p w14:paraId="1D7818E9" w14:textId="77777777" w:rsidR="00ED1ADA" w:rsidRPr="00816870" w:rsidRDefault="00ED1ADA" w:rsidP="00302BFE">
                        <w:pPr>
                          <w:pStyle w:val="NormalWeb"/>
                          <w:spacing w:before="0" w:beforeAutospacing="0" w:after="0" w:afterAutospacing="0"/>
                          <w:jc w:val="center"/>
                          <w:rPr>
                            <w:rFonts w:ascii="Calibri" w:eastAsia="Times New Roman" w:hAnsi="Calibri"/>
                            <w:sz w:val="16"/>
                            <w:szCs w:val="16"/>
                            <w:u w:val="single"/>
                            <w:lang w:val="en-CA" w:eastAsia="fr-CA"/>
                          </w:rPr>
                        </w:pPr>
                        <w:r w:rsidRPr="00816870">
                          <w:rPr>
                            <w:rFonts w:ascii="Calibri" w:eastAsia="Times New Roman" w:hAnsi="Calibri"/>
                            <w:sz w:val="16"/>
                            <w:szCs w:val="16"/>
                            <w:u w:val="single"/>
                            <w:lang w:val="en-CA" w:eastAsia="fr-CA"/>
                          </w:rPr>
                          <w:t>President</w:t>
                        </w:r>
                      </w:p>
                      <w:p w14:paraId="2360602A" w14:textId="77777777" w:rsidR="00ED1ADA" w:rsidRPr="00810670" w:rsidRDefault="00ED1ADA" w:rsidP="00302BFE">
                        <w:pPr>
                          <w:pStyle w:val="NormalWeb"/>
                          <w:spacing w:before="0" w:beforeAutospacing="0" w:after="0" w:afterAutospacing="0"/>
                          <w:jc w:val="center"/>
                          <w:rPr>
                            <w:rFonts w:ascii="Calibri" w:eastAsia="Times New Roman" w:hAnsi="Calibri"/>
                            <w:sz w:val="16"/>
                            <w:szCs w:val="16"/>
                            <w:lang w:val="en-CA" w:eastAsia="fr-CA"/>
                          </w:rPr>
                        </w:pPr>
                        <w:r w:rsidRPr="00810670">
                          <w:rPr>
                            <w:rFonts w:ascii="Calibri" w:hAnsi="Calibri"/>
                            <w:sz w:val="16"/>
                            <w:szCs w:val="16"/>
                          </w:rPr>
                          <w:t xml:space="preserve">Secretary </w:t>
                        </w:r>
                        <w:r w:rsidRPr="00810670">
                          <w:rPr>
                            <w:rFonts w:ascii="Calibri" w:hAnsi="Calibri"/>
                            <w:sz w:val="16"/>
                            <w:szCs w:val="16"/>
                            <w:lang w:val="en-CA"/>
                          </w:rPr>
                          <w:t>General Ministry of Environment Green Economy Climate Change</w:t>
                        </w:r>
                      </w:p>
                      <w:p w14:paraId="4355E39B" w14:textId="77777777" w:rsidR="00ED1ADA" w:rsidRPr="00810670" w:rsidRDefault="00ED1ADA" w:rsidP="00302BFE">
                        <w:pPr>
                          <w:pStyle w:val="NormalWeb"/>
                          <w:spacing w:before="0" w:beforeAutospacing="0" w:after="0" w:afterAutospacing="0"/>
                          <w:jc w:val="center"/>
                          <w:rPr>
                            <w:rFonts w:ascii="Calibri" w:eastAsia="Times New Roman" w:hAnsi="Calibri"/>
                            <w:sz w:val="16"/>
                            <w:szCs w:val="16"/>
                            <w:u w:val="single"/>
                            <w:lang w:val="en-CA" w:eastAsia="fr-CA"/>
                          </w:rPr>
                        </w:pPr>
                        <w:r w:rsidRPr="00810670">
                          <w:rPr>
                            <w:rFonts w:ascii="Calibri" w:eastAsia="Times New Roman" w:hAnsi="Calibri"/>
                            <w:sz w:val="16"/>
                            <w:szCs w:val="16"/>
                            <w:u w:val="single"/>
                            <w:lang w:val="en-CA" w:eastAsia="fr-CA"/>
                          </w:rPr>
                          <w:t>Members</w:t>
                        </w:r>
                      </w:p>
                      <w:p w14:paraId="51097B90" w14:textId="77777777" w:rsidR="00ED1ADA" w:rsidRPr="00810670" w:rsidRDefault="00ED1ADA" w:rsidP="00302BFE">
                        <w:pPr>
                          <w:pStyle w:val="NormalWeb"/>
                          <w:spacing w:before="0" w:beforeAutospacing="0" w:after="0" w:afterAutospacing="0"/>
                          <w:jc w:val="center"/>
                          <w:rPr>
                            <w:rFonts w:ascii="Calibri" w:eastAsia="Times New Roman" w:hAnsi="Calibri"/>
                            <w:sz w:val="16"/>
                            <w:szCs w:val="16"/>
                            <w:lang w:val="en-CA" w:eastAsia="fr-CA"/>
                          </w:rPr>
                        </w:pPr>
                        <w:r w:rsidRPr="00810670">
                          <w:rPr>
                            <w:rFonts w:ascii="Calibri" w:eastAsia="Times New Roman" w:hAnsi="Calibri"/>
                            <w:sz w:val="16"/>
                            <w:szCs w:val="16"/>
                            <w:lang w:val="en-CA" w:eastAsia="fr-CA"/>
                          </w:rPr>
                          <w:t>Executive representatives of ministries, national institutions, and authorities of regions and communes involved in the project</w:t>
                        </w:r>
                      </w:p>
                      <w:p w14:paraId="73D61D60" w14:textId="77777777" w:rsidR="00ED1ADA" w:rsidRPr="00810670" w:rsidRDefault="00ED1ADA" w:rsidP="00302BFE">
                        <w:pPr>
                          <w:pStyle w:val="NormalWeb"/>
                          <w:spacing w:before="0" w:beforeAutospacing="0" w:after="0" w:afterAutospacing="0"/>
                          <w:jc w:val="center"/>
                          <w:rPr>
                            <w:rFonts w:ascii="Calibri" w:eastAsia="Times New Roman" w:hAnsi="Calibri"/>
                            <w:sz w:val="16"/>
                            <w:szCs w:val="16"/>
                            <w:u w:val="single"/>
                            <w:lang w:val="en-CA" w:eastAsia="fr-CA"/>
                          </w:rPr>
                        </w:pPr>
                        <w:r w:rsidRPr="00810670">
                          <w:rPr>
                            <w:rFonts w:ascii="Calibri" w:eastAsia="Times New Roman" w:hAnsi="Calibri"/>
                            <w:sz w:val="16"/>
                            <w:szCs w:val="16"/>
                            <w:u w:val="single"/>
                            <w:lang w:val="en-CA" w:eastAsia="fr-CA"/>
                          </w:rPr>
                          <w:t>Secretariat</w:t>
                        </w:r>
                      </w:p>
                      <w:p w14:paraId="7831D273" w14:textId="77777777" w:rsidR="00ED1ADA" w:rsidRPr="00810670" w:rsidRDefault="00ED1ADA" w:rsidP="00302BFE">
                        <w:pPr>
                          <w:pStyle w:val="NormalWeb"/>
                          <w:spacing w:before="0" w:beforeAutospacing="0" w:after="0" w:afterAutospacing="0"/>
                          <w:jc w:val="center"/>
                          <w:rPr>
                            <w:rFonts w:ascii="Calibri" w:eastAsia="Times New Roman" w:hAnsi="Calibri"/>
                            <w:sz w:val="16"/>
                            <w:szCs w:val="16"/>
                            <w:lang w:val="en-CA" w:eastAsia="fr-CA"/>
                          </w:rPr>
                        </w:pPr>
                        <w:r w:rsidRPr="00810670">
                          <w:rPr>
                            <w:rFonts w:ascii="Calibri" w:eastAsia="Times New Roman" w:hAnsi="Calibri"/>
                            <w:sz w:val="16"/>
                            <w:szCs w:val="16"/>
                            <w:lang w:val="en-CA" w:eastAsia="fr-CA"/>
                          </w:rPr>
                          <w:t>Responsible for the budget program “Environmental Governance and Sustainable Development” / MEGECC</w:t>
                        </w:r>
                      </w:p>
                      <w:p w14:paraId="2A63793E" w14:textId="77777777" w:rsidR="00ED1ADA" w:rsidRPr="00816870" w:rsidRDefault="00ED1ADA" w:rsidP="00302BFE">
                        <w:pPr>
                          <w:pStyle w:val="NormalWeb"/>
                          <w:spacing w:before="0" w:beforeAutospacing="0" w:after="0" w:afterAutospacing="0"/>
                          <w:jc w:val="center"/>
                          <w:rPr>
                            <w:rFonts w:ascii="Calibri" w:eastAsia="Times New Roman" w:hAnsi="Calibri"/>
                            <w:sz w:val="16"/>
                            <w:szCs w:val="16"/>
                            <w:u w:val="single"/>
                            <w:lang w:val="en-CA" w:eastAsia="fr-CA"/>
                          </w:rPr>
                        </w:pPr>
                        <w:r w:rsidRPr="00810670">
                          <w:rPr>
                            <w:rFonts w:ascii="Calibri" w:eastAsia="Times New Roman" w:hAnsi="Calibri"/>
                            <w:sz w:val="16"/>
                            <w:szCs w:val="16"/>
                            <w:u w:val="single"/>
                            <w:lang w:val="en-CA" w:eastAsia="fr-CA"/>
                          </w:rPr>
                          <w:t>Observers</w:t>
                        </w:r>
                      </w:p>
                      <w:p w14:paraId="452F15EA" w14:textId="77777777" w:rsidR="00ED1ADA" w:rsidRPr="009758C4" w:rsidRDefault="00ED1ADA" w:rsidP="00302BFE">
                        <w:pPr>
                          <w:pStyle w:val="NormalWeb"/>
                          <w:spacing w:before="0" w:beforeAutospacing="0" w:after="0" w:afterAutospacing="0"/>
                          <w:jc w:val="center"/>
                          <w:rPr>
                            <w:rFonts w:asciiTheme="minorHAnsi" w:eastAsia="Times New Roman" w:hAnsiTheme="minorHAnsi"/>
                            <w:sz w:val="18"/>
                            <w:szCs w:val="18"/>
                            <w:lang w:val="en-CA" w:eastAsia="fr-CA"/>
                          </w:rPr>
                        </w:pPr>
                        <w:r w:rsidRPr="009758C4">
                          <w:rPr>
                            <w:rFonts w:asciiTheme="minorHAnsi" w:eastAsia="Times New Roman" w:hAnsiTheme="minorHAnsi"/>
                            <w:sz w:val="16"/>
                            <w:szCs w:val="16"/>
                            <w:lang w:val="en-CA" w:eastAsia="fr-CA"/>
                          </w:rPr>
                          <w:t>UNDP and other technical and financial partners</w:t>
                        </w:r>
                      </w:p>
                    </w:txbxContent>
                  </v:textbox>
                </v:roundrect>
                <v:shape id="AutoShape 347" o:spid="_x0000_s1098" type="#_x0000_t32" style="position:absolute;left:29494;top:21731;width:13;height:19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"/>
                <v:rect id="Rectangle 40" o:spid="_x0000_s1099" style="position:absolute;left:53066;top:24935;width:6370;height:7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" fillcolor="#fc0">
                  <v:shadow on="t" color="black" opacity="26213f" origin="-.5,-.5" offset="1.24725mm,1.24725mm"/>
                  <v:textbox>
                    <w:txbxContent>
                      <w:p w14:paraId="5A4518EC" w14:textId="77777777" w:rsidR="00ED1ADA" w:rsidRPr="00816870" w:rsidRDefault="00ED1ADA" w:rsidP="00302BFE">
                        <w:pPr>
                          <w:pStyle w:val="NormalWeb"/>
                          <w:spacing w:after="0"/>
                          <w:jc w:val="center"/>
                          <w:rPr>
                            <w:rFonts w:ascii="Calibri" w:eastAsia="Times New Roman" w:hAnsi="Calibri"/>
                            <w:sz w:val="17"/>
                            <w:szCs w:val="17"/>
                            <w:lang w:val="en-CA" w:eastAsia="fr-CA"/>
                          </w:rPr>
                        </w:pPr>
                        <w:r w:rsidRPr="00816870">
                          <w:rPr>
                            <w:rFonts w:ascii="Calibri" w:eastAsia="Times New Roman" w:hAnsi="Calibri"/>
                            <w:sz w:val="17"/>
                            <w:szCs w:val="17"/>
                            <w:lang w:val="en-CA" w:eastAsia="fr-CA"/>
                          </w:rPr>
                          <w:t>Partner projects in the intervention area</w:t>
                        </w:r>
                      </w:p>
                    </w:txbxContent>
                  </v:textbox>
                </v:rect>
                <v:shape id="AutoShape 347" o:spid="_x0000_s1100" type="#_x0000_t32" style="position:absolute;left:50376;top:25183;width:2636;height:98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"/>
                <v:shape id="AutoShape 350" o:spid="_x0000_s1101" type="#_x0000_t32" style="position:absolute;left:29623;top:33045;width:1;height:31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"/>
                <w10:anchorlock/>
              </v:group>
            </w:pict>
          </mc:Fallback>
        </mc:AlternateContent>
      </w:r>
    </w:p>
    <w:p w14:paraId="410408F6" w14:textId="77777777" w:rsidR="00302BFE" w:rsidRPr="00816870" w:rsidRDefault="00302BFE" w:rsidP="00302BFE">
      <w:pPr>
        <w:shd w:val="clear" w:color="auto" w:fill="FFFFFF"/>
        <w:spacing w:before="120" w:after="120"/>
        <w:jc w:val="left"/>
        <w:rPr>
          <w:rFonts w:cs="Arial"/>
          <w:noProof/>
          <w:szCs w:val="20"/>
          <w:lang w:eastAsia="zh-CN"/>
        </w:rPr>
      </w:pPr>
    </w:p>
    <w:p w14:paraId="52D89C95" w14:textId="77777777" w:rsidR="00302BFE" w:rsidRPr="00816870"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CA"/>
        </w:rPr>
      </w:pPr>
      <w:r w:rsidRPr="00876A18">
        <w:rPr>
          <w:rFonts w:ascii="Calibri" w:hAnsi="Calibri"/>
          <w:sz w:val="20"/>
          <w:szCs w:val="20"/>
          <w:u w:val="single"/>
          <w:lang w:val="en-CA"/>
        </w:rPr>
        <w:t>Senior Supplier</w:t>
      </w:r>
      <w:r w:rsidRPr="00816870">
        <w:rPr>
          <w:rFonts w:ascii="Calibri" w:hAnsi="Calibri"/>
          <w:sz w:val="20"/>
          <w:szCs w:val="20"/>
          <w:lang w:val="en-CA"/>
        </w:rPr>
        <w:t>: The Senior Supplier is an individual or group representing the interests of the parties concerned which provide funding and/or technical expertise to the project (designing, developing, facilitating, procuring, implementing). The Senior Supplier’s primary function within the Board is to provide guidance regarding the technical feasibility of the project. The Senior Supplier role must have the authority to commit or acquire supplier resources required. If necessary, more than one person may be required for this role. Typically, the implementing partner, UNDP and/or donor(s) would be represented under this role. The Senior Supplier is the UNDP Country Office in Burkina Faso.</w:t>
      </w:r>
    </w:p>
    <w:p w14:paraId="5AFBEA73" w14:textId="77777777" w:rsidR="00302BFE" w:rsidRPr="00810670"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CA"/>
        </w:rPr>
      </w:pPr>
      <w:r w:rsidRPr="00816870">
        <w:rPr>
          <w:rFonts w:ascii="Calibri" w:hAnsi="Calibri"/>
          <w:sz w:val="20"/>
          <w:szCs w:val="20"/>
          <w:lang w:val="en-CA"/>
        </w:rPr>
        <w:t xml:space="preserve">Specific Responsibilities (as part of the above responsibilities for the </w:t>
      </w:r>
      <w:r w:rsidRPr="00810670">
        <w:rPr>
          <w:rFonts w:ascii="Calibri" w:hAnsi="Calibri"/>
          <w:sz w:val="20"/>
          <w:szCs w:val="20"/>
          <w:lang w:val="en-CA"/>
        </w:rPr>
        <w:t>Project Consultation Framework/Dialogue Framework):</w:t>
      </w:r>
    </w:p>
    <w:p w14:paraId="0D5E3451" w14:textId="77777777" w:rsidR="00302BFE" w:rsidRPr="00810670" w:rsidRDefault="00302BFE" w:rsidP="00C46720">
      <w:pPr>
        <w:pStyle w:val="Paragraphedeliste"/>
        <w:numPr>
          <w:ilvl w:val="0"/>
          <w:numId w:val="30"/>
        </w:numPr>
        <w:ind w:left="714" w:hanging="357"/>
        <w:jc w:val="both"/>
        <w:rPr>
          <w:rFonts w:ascii="Calibri" w:hAnsi="Calibri"/>
          <w:sz w:val="20"/>
          <w:szCs w:val="20"/>
          <w:lang w:val="en-CA"/>
        </w:rPr>
      </w:pPr>
      <w:r w:rsidRPr="00810670">
        <w:rPr>
          <w:rFonts w:ascii="Calibri" w:hAnsi="Calibri"/>
          <w:sz w:val="20"/>
          <w:szCs w:val="20"/>
          <w:lang w:val="en-CA"/>
        </w:rPr>
        <w:t>Make sure that progress towards the outputs remains consistent from the supplier perspective;</w:t>
      </w:r>
    </w:p>
    <w:p w14:paraId="7209C889" w14:textId="77777777" w:rsidR="00302BFE" w:rsidRPr="00810670" w:rsidRDefault="00302BFE" w:rsidP="00C46720">
      <w:pPr>
        <w:pStyle w:val="Paragraphedeliste"/>
        <w:numPr>
          <w:ilvl w:val="0"/>
          <w:numId w:val="30"/>
        </w:numPr>
        <w:ind w:left="714" w:hanging="357"/>
        <w:jc w:val="both"/>
        <w:rPr>
          <w:rFonts w:ascii="Calibri" w:hAnsi="Calibri"/>
          <w:sz w:val="20"/>
          <w:szCs w:val="20"/>
          <w:lang w:val="en-CA"/>
        </w:rPr>
      </w:pPr>
      <w:r w:rsidRPr="00810670">
        <w:rPr>
          <w:rFonts w:ascii="Calibri" w:hAnsi="Calibri"/>
          <w:sz w:val="20"/>
          <w:szCs w:val="20"/>
          <w:lang w:val="en-CA"/>
        </w:rPr>
        <w:t>Promote and maintain focus on the expected project output(s) from the point of view of supplier management;</w:t>
      </w:r>
    </w:p>
    <w:p w14:paraId="7C5F2A0D" w14:textId="77777777" w:rsidR="00302BFE" w:rsidRPr="00810670" w:rsidRDefault="00302BFE" w:rsidP="00C46720">
      <w:pPr>
        <w:pStyle w:val="Paragraphedeliste"/>
        <w:numPr>
          <w:ilvl w:val="0"/>
          <w:numId w:val="30"/>
        </w:numPr>
        <w:ind w:left="714" w:hanging="357"/>
        <w:jc w:val="both"/>
        <w:rPr>
          <w:rFonts w:ascii="Calibri" w:hAnsi="Calibri"/>
          <w:sz w:val="20"/>
          <w:szCs w:val="20"/>
          <w:lang w:val="en-CA"/>
        </w:rPr>
      </w:pPr>
      <w:r w:rsidRPr="00810670">
        <w:rPr>
          <w:rFonts w:ascii="Calibri" w:hAnsi="Calibri"/>
          <w:sz w:val="20"/>
          <w:szCs w:val="20"/>
          <w:lang w:val="en-CA"/>
        </w:rPr>
        <w:t>Ensure that the supplier resources required for the project are made available;</w:t>
      </w:r>
    </w:p>
    <w:p w14:paraId="69DD1F58" w14:textId="77777777" w:rsidR="00302BFE" w:rsidRPr="00810670" w:rsidRDefault="00302BFE" w:rsidP="00C46720">
      <w:pPr>
        <w:pStyle w:val="Paragraphedeliste"/>
        <w:numPr>
          <w:ilvl w:val="0"/>
          <w:numId w:val="30"/>
        </w:numPr>
        <w:ind w:left="714" w:hanging="357"/>
        <w:jc w:val="both"/>
        <w:rPr>
          <w:rFonts w:ascii="Calibri" w:hAnsi="Calibri"/>
          <w:sz w:val="20"/>
          <w:szCs w:val="20"/>
          <w:lang w:val="en-CA"/>
        </w:rPr>
      </w:pPr>
      <w:r w:rsidRPr="00810670">
        <w:rPr>
          <w:rFonts w:ascii="Calibri" w:hAnsi="Calibri"/>
          <w:sz w:val="20"/>
          <w:szCs w:val="20"/>
          <w:lang w:val="en-CA"/>
        </w:rPr>
        <w:t>Contribute supplier opinions on Project Consultation/Dialogue Framework decisions on whether to implement recommendations on proposed changes;</w:t>
      </w:r>
    </w:p>
    <w:p w14:paraId="63085F17" w14:textId="77777777" w:rsidR="00302BFE" w:rsidRPr="00810670" w:rsidRDefault="00302BFE" w:rsidP="00C46720">
      <w:pPr>
        <w:pStyle w:val="Paragraphedeliste"/>
        <w:numPr>
          <w:ilvl w:val="0"/>
          <w:numId w:val="30"/>
        </w:numPr>
        <w:ind w:left="714" w:hanging="357"/>
        <w:jc w:val="both"/>
        <w:rPr>
          <w:rFonts w:ascii="Calibri" w:hAnsi="Calibri"/>
          <w:sz w:val="20"/>
          <w:szCs w:val="20"/>
          <w:lang w:val="en-CA"/>
        </w:rPr>
      </w:pPr>
      <w:r w:rsidRPr="00810670">
        <w:rPr>
          <w:rFonts w:ascii="Calibri" w:hAnsi="Calibri"/>
          <w:sz w:val="20"/>
          <w:szCs w:val="20"/>
          <w:lang w:val="en-CA"/>
        </w:rPr>
        <w:t>Arbitrate on, and ensure resolution of, any supplier priority or resource conflicts.</w:t>
      </w:r>
    </w:p>
    <w:p w14:paraId="5334D351" w14:textId="01B308B5" w:rsidR="00302BFE" w:rsidRPr="00816870"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CA"/>
        </w:rPr>
      </w:pPr>
      <w:r w:rsidRPr="00810670">
        <w:rPr>
          <w:rFonts w:ascii="Calibri" w:hAnsi="Calibri"/>
          <w:sz w:val="20"/>
          <w:szCs w:val="20"/>
          <w:u w:val="single"/>
          <w:lang w:val="en-CA"/>
        </w:rPr>
        <w:t>Senior Beneficiary</w:t>
      </w:r>
      <w:r w:rsidRPr="00810670">
        <w:rPr>
          <w:rFonts w:ascii="Calibri" w:hAnsi="Calibri"/>
          <w:sz w:val="20"/>
          <w:szCs w:val="20"/>
          <w:lang w:val="en-CA"/>
        </w:rPr>
        <w:t xml:space="preserve">: The Senior Beneficiary is an individual or group of individuals representing the interests of those who will ultimately benefit from the project. The Senior Beneficiary’s primary function within the Board is to ensure the realization of project results from the perspective of project beneficiaries. The Senior Beneficiary role is held by a representative of the government or civil society. The Senior Beneficiaries are </w:t>
      </w:r>
      <w:r w:rsidR="00DD5BA3" w:rsidRPr="00342675">
        <w:rPr>
          <w:rFonts w:ascii="Calibri" w:hAnsi="Calibri"/>
          <w:sz w:val="20"/>
          <w:szCs w:val="20"/>
          <w:highlight w:val="green"/>
          <w:lang w:val="en-CA"/>
        </w:rPr>
        <w:t>SP CONSEIL NATION DEVEL DURABL UNDER THE MINISTRY IN CHARGE OF THE ENVIRONMENT</w:t>
      </w:r>
      <w:r w:rsidRPr="00810670">
        <w:rPr>
          <w:rFonts w:ascii="Calibri" w:hAnsi="Calibri"/>
          <w:sz w:val="20"/>
          <w:szCs w:val="20"/>
          <w:lang w:val="en-CA"/>
        </w:rPr>
        <w:t>, DGEF, OFINAP</w:t>
      </w:r>
      <w:r w:rsidRPr="00816870">
        <w:rPr>
          <w:rFonts w:ascii="Calibri" w:hAnsi="Calibri"/>
          <w:sz w:val="20"/>
          <w:szCs w:val="20"/>
          <w:lang w:val="en-CA"/>
        </w:rPr>
        <w:t xml:space="preserve"> and the relevant DREEVCC under the </w:t>
      </w:r>
      <w:r>
        <w:rPr>
          <w:rFonts w:ascii="Calibri" w:hAnsi="Calibri"/>
          <w:sz w:val="20"/>
          <w:szCs w:val="20"/>
          <w:lang w:val="en-CA"/>
        </w:rPr>
        <w:t>MEGECC</w:t>
      </w:r>
      <w:r w:rsidRPr="00816870">
        <w:rPr>
          <w:rFonts w:ascii="Calibri" w:hAnsi="Calibri"/>
          <w:sz w:val="20"/>
          <w:szCs w:val="20"/>
          <w:lang w:val="en-CA"/>
        </w:rPr>
        <w:t>, the local communities, their representatives at the commune level and the private sector.</w:t>
      </w:r>
    </w:p>
    <w:p w14:paraId="2C9B9BB9" w14:textId="77777777" w:rsidR="00302BFE" w:rsidRPr="00816870"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CA"/>
        </w:rPr>
      </w:pPr>
      <w:r w:rsidRPr="00816870">
        <w:rPr>
          <w:rFonts w:ascii="Calibri" w:hAnsi="Calibri"/>
          <w:sz w:val="20"/>
          <w:szCs w:val="20"/>
          <w:lang w:val="en-CA"/>
        </w:rPr>
        <w:lastRenderedPageBreak/>
        <w:t>The Senior Beneficiary is responsible for validating the needs and for monitoring that the solution will meet those needs within the constraints of the project. The Senior Beneficiary role monitors progress against targets and quality criteria. This role may require more than one person to cover all the beneficiary interests. For the sake of effectiveness, the role should not be split between too many people.</w:t>
      </w:r>
    </w:p>
    <w:p w14:paraId="68B1E51E" w14:textId="77777777" w:rsidR="00302BFE" w:rsidRPr="00816870"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CA"/>
        </w:rPr>
      </w:pPr>
      <w:r w:rsidRPr="00816870">
        <w:rPr>
          <w:rFonts w:ascii="Calibri" w:hAnsi="Calibri"/>
          <w:sz w:val="20"/>
          <w:szCs w:val="20"/>
          <w:lang w:val="en-CA"/>
        </w:rPr>
        <w:t>Specific Responsibilities (as part of the above responsibilities for the Project Consultation</w:t>
      </w:r>
      <w:r>
        <w:rPr>
          <w:rFonts w:ascii="Calibri" w:hAnsi="Calibri"/>
          <w:sz w:val="20"/>
          <w:szCs w:val="20"/>
          <w:lang w:val="en-CA"/>
        </w:rPr>
        <w:t>/</w:t>
      </w:r>
      <w:r w:rsidRPr="00810670">
        <w:rPr>
          <w:rFonts w:ascii="Calibri" w:hAnsi="Calibri"/>
          <w:sz w:val="20"/>
          <w:szCs w:val="20"/>
          <w:lang w:val="en-CA"/>
        </w:rPr>
        <w:t>Dialogue</w:t>
      </w:r>
      <w:r w:rsidRPr="00816870">
        <w:rPr>
          <w:rFonts w:ascii="Calibri" w:hAnsi="Calibri"/>
          <w:sz w:val="20"/>
          <w:szCs w:val="20"/>
          <w:lang w:val="en-CA"/>
        </w:rPr>
        <w:t xml:space="preserve"> Framework):</w:t>
      </w:r>
    </w:p>
    <w:p w14:paraId="0BAF92BB" w14:textId="77777777" w:rsidR="00302BFE" w:rsidRPr="00816870" w:rsidRDefault="00302BFE" w:rsidP="00C46720">
      <w:pPr>
        <w:pStyle w:val="Paragraphedeliste"/>
        <w:numPr>
          <w:ilvl w:val="0"/>
          <w:numId w:val="30"/>
        </w:numPr>
        <w:ind w:left="714" w:hanging="357"/>
        <w:jc w:val="both"/>
        <w:rPr>
          <w:rFonts w:ascii="Calibri" w:hAnsi="Calibri"/>
          <w:sz w:val="20"/>
          <w:szCs w:val="20"/>
          <w:lang w:val="en-CA"/>
        </w:rPr>
      </w:pPr>
      <w:r w:rsidRPr="00816870">
        <w:rPr>
          <w:rFonts w:ascii="Calibri" w:hAnsi="Calibri"/>
          <w:sz w:val="20"/>
          <w:szCs w:val="20"/>
          <w:lang w:val="en-CA"/>
        </w:rPr>
        <w:t xml:space="preserve">Prioritize and contribute beneficiaries’ opinions on </w:t>
      </w:r>
      <w:r>
        <w:rPr>
          <w:rFonts w:ascii="Calibri" w:hAnsi="Calibri"/>
          <w:sz w:val="20"/>
          <w:szCs w:val="20"/>
          <w:lang w:val="en-CA"/>
        </w:rPr>
        <w:t>Project Consultation/Dialogue Framework</w:t>
      </w:r>
      <w:r w:rsidRPr="00816870">
        <w:rPr>
          <w:rFonts w:ascii="Calibri" w:hAnsi="Calibri"/>
          <w:sz w:val="20"/>
          <w:szCs w:val="20"/>
          <w:lang w:val="en-CA"/>
        </w:rPr>
        <w:t xml:space="preserve"> decisions on whether to implement recommendations on proposed changes;</w:t>
      </w:r>
    </w:p>
    <w:p w14:paraId="699CD9D0" w14:textId="77777777" w:rsidR="00302BFE" w:rsidRPr="00816870" w:rsidRDefault="00302BFE" w:rsidP="00C46720">
      <w:pPr>
        <w:pStyle w:val="Paragraphedeliste"/>
        <w:numPr>
          <w:ilvl w:val="0"/>
          <w:numId w:val="30"/>
        </w:numPr>
        <w:ind w:left="714" w:hanging="357"/>
        <w:jc w:val="both"/>
        <w:rPr>
          <w:rFonts w:ascii="Calibri" w:hAnsi="Calibri"/>
          <w:sz w:val="20"/>
          <w:szCs w:val="20"/>
          <w:lang w:val="en-CA"/>
        </w:rPr>
      </w:pPr>
      <w:r w:rsidRPr="00816870">
        <w:rPr>
          <w:rFonts w:ascii="Calibri" w:hAnsi="Calibri"/>
          <w:sz w:val="20"/>
          <w:szCs w:val="20"/>
          <w:lang w:val="en-CA"/>
        </w:rPr>
        <w:t>Specification of the Beneficiary’s needs is accurate, complete and unambiguous;</w:t>
      </w:r>
    </w:p>
    <w:p w14:paraId="415CDE26" w14:textId="77777777" w:rsidR="00302BFE" w:rsidRPr="00816870" w:rsidRDefault="00302BFE" w:rsidP="00C46720">
      <w:pPr>
        <w:pStyle w:val="Paragraphedeliste"/>
        <w:numPr>
          <w:ilvl w:val="0"/>
          <w:numId w:val="30"/>
        </w:numPr>
        <w:ind w:left="714" w:hanging="357"/>
        <w:jc w:val="both"/>
        <w:rPr>
          <w:rFonts w:ascii="Calibri" w:hAnsi="Calibri"/>
          <w:sz w:val="20"/>
          <w:szCs w:val="20"/>
          <w:lang w:val="en-CA"/>
        </w:rPr>
      </w:pPr>
      <w:r w:rsidRPr="00816870">
        <w:rPr>
          <w:rFonts w:ascii="Calibri" w:hAnsi="Calibri"/>
          <w:sz w:val="20"/>
          <w:szCs w:val="20"/>
          <w:lang w:val="en-CA"/>
        </w:rPr>
        <w:t>Implementation of activities at all stages is monitored to ensure that they will meet the beneficiary’s needs and are progressing towards that target;</w:t>
      </w:r>
    </w:p>
    <w:p w14:paraId="22C32CA0" w14:textId="77777777" w:rsidR="00302BFE" w:rsidRPr="00816870" w:rsidRDefault="00302BFE" w:rsidP="00C46720">
      <w:pPr>
        <w:pStyle w:val="Paragraphedeliste"/>
        <w:numPr>
          <w:ilvl w:val="0"/>
          <w:numId w:val="30"/>
        </w:numPr>
        <w:ind w:left="714" w:hanging="357"/>
        <w:jc w:val="both"/>
        <w:rPr>
          <w:rFonts w:ascii="Calibri" w:hAnsi="Calibri"/>
          <w:sz w:val="20"/>
          <w:szCs w:val="20"/>
          <w:lang w:val="en-CA"/>
        </w:rPr>
      </w:pPr>
      <w:r w:rsidRPr="00816870">
        <w:rPr>
          <w:rFonts w:ascii="Calibri" w:hAnsi="Calibri"/>
          <w:sz w:val="20"/>
          <w:szCs w:val="20"/>
          <w:lang w:val="en-CA"/>
        </w:rPr>
        <w:t>Impact of potential changes is evaluated from the beneficiary point of view;</w:t>
      </w:r>
    </w:p>
    <w:p w14:paraId="3493C147" w14:textId="77777777" w:rsidR="00302BFE" w:rsidRPr="00816870" w:rsidRDefault="00302BFE" w:rsidP="00C46720">
      <w:pPr>
        <w:pStyle w:val="Paragraphedeliste"/>
        <w:numPr>
          <w:ilvl w:val="0"/>
          <w:numId w:val="30"/>
        </w:numPr>
        <w:ind w:left="714" w:hanging="357"/>
        <w:jc w:val="both"/>
        <w:rPr>
          <w:rFonts w:ascii="Calibri" w:hAnsi="Calibri"/>
          <w:sz w:val="20"/>
          <w:szCs w:val="20"/>
          <w:lang w:val="en-CA"/>
        </w:rPr>
      </w:pPr>
      <w:r w:rsidRPr="00816870">
        <w:rPr>
          <w:rFonts w:ascii="Calibri" w:hAnsi="Calibri"/>
          <w:sz w:val="20"/>
          <w:szCs w:val="20"/>
          <w:lang w:val="en-CA"/>
        </w:rPr>
        <w:t>Risks to the beneficiaries are frequently monitored.</w:t>
      </w:r>
    </w:p>
    <w:p w14:paraId="236AA1C1" w14:textId="77777777" w:rsidR="00302BFE" w:rsidRPr="00BD7A41"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CA"/>
        </w:rPr>
      </w:pPr>
      <w:r w:rsidRPr="00816870">
        <w:rPr>
          <w:rFonts w:ascii="Calibri" w:hAnsi="Calibri"/>
          <w:sz w:val="20"/>
          <w:szCs w:val="20"/>
          <w:lang w:val="en-CA"/>
        </w:rPr>
        <w:t xml:space="preserve">The </w:t>
      </w:r>
      <w:r w:rsidRPr="002C0466">
        <w:rPr>
          <w:rFonts w:ascii="Calibri" w:hAnsi="Calibri"/>
          <w:sz w:val="20"/>
          <w:szCs w:val="20"/>
          <w:lang w:val="en-CA"/>
        </w:rPr>
        <w:t xml:space="preserve">Permanent Secretary of the National Council for </w:t>
      </w:r>
      <w:r>
        <w:rPr>
          <w:rFonts w:ascii="Calibri" w:hAnsi="Calibri"/>
          <w:sz w:val="20"/>
          <w:szCs w:val="20"/>
          <w:lang w:val="en-CA"/>
        </w:rPr>
        <w:t xml:space="preserve">Sustainable </w:t>
      </w:r>
      <w:r w:rsidRPr="002C0466">
        <w:rPr>
          <w:rFonts w:ascii="Calibri" w:hAnsi="Calibri"/>
          <w:sz w:val="20"/>
          <w:szCs w:val="20"/>
          <w:lang w:val="en-CA"/>
        </w:rPr>
        <w:t>Development</w:t>
      </w:r>
      <w:r w:rsidRPr="00816870">
        <w:rPr>
          <w:rFonts w:ascii="Calibri" w:hAnsi="Calibri"/>
          <w:sz w:val="20"/>
          <w:szCs w:val="20"/>
          <w:lang w:val="en-CA"/>
        </w:rPr>
        <w:t xml:space="preserve"> is the Project Director. As such, he authorizes expenditures on the project budget. The Project Director ensures the overall implementation of the activities and ensures the coherence of the project actions with the project document, and with the policies and strategic orientations of the UNDP.</w:t>
      </w:r>
    </w:p>
    <w:p w14:paraId="4CCC1E3D" w14:textId="77777777" w:rsidR="00302BFE"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CA"/>
        </w:rPr>
      </w:pPr>
      <w:r w:rsidRPr="00BD7A41">
        <w:rPr>
          <w:rFonts w:ascii="Calibri" w:hAnsi="Calibri"/>
          <w:sz w:val="20"/>
          <w:szCs w:val="20"/>
          <w:u w:val="single"/>
          <w:lang w:val="en-CA"/>
        </w:rPr>
        <w:t>Project Manager/Coordinator</w:t>
      </w:r>
      <w:r w:rsidRPr="00816870">
        <w:rPr>
          <w:rFonts w:ascii="Calibri" w:hAnsi="Calibri"/>
          <w:sz w:val="20"/>
          <w:szCs w:val="20"/>
          <w:lang w:val="en-CA"/>
        </w:rPr>
        <w:t xml:space="preserve">: The Project Manager has the responsibility to run the project on a day-to-day basis on behalf of the </w:t>
      </w:r>
      <w:r>
        <w:rPr>
          <w:rFonts w:ascii="Calibri" w:hAnsi="Calibri"/>
          <w:sz w:val="20"/>
          <w:szCs w:val="20"/>
          <w:lang w:val="en-CA"/>
        </w:rPr>
        <w:t>Project Consultation/Dialogue Framework</w:t>
      </w:r>
      <w:r w:rsidRPr="00816870">
        <w:rPr>
          <w:rFonts w:ascii="Calibri" w:hAnsi="Calibri"/>
          <w:sz w:val="20"/>
          <w:szCs w:val="20"/>
          <w:lang w:val="en-CA"/>
        </w:rPr>
        <w:t xml:space="preserve"> within the constraints it lays down. The Project Manager is responsible for day-to-day management and decision-making for the project. The Project Manager’s prime responsibility is to ensure that the project produces the results specified in the project document, to the required standard of quality and within the specified constraints of time and cost. The Project Coordinator is also responsible for timely and quality production of the various reports (quarterly, annual, review reports) of its component, as well as the organization and delivery of the project monitoring missions and the production of related reports. The Project Director and Coordinator jointly implement the operational activities at both the central and decentralized levels and are jointly responsible for the quality of the results and concrete impacts of the project. They are accountable for the efficient and effective use of resources, as well as for the rational use of goods and equipment acquired under this project, in accordance with UNDP procedures.</w:t>
      </w:r>
    </w:p>
    <w:p w14:paraId="4DB0DBAE" w14:textId="77777777" w:rsidR="00302BFE" w:rsidRPr="00816870"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CA"/>
        </w:rPr>
      </w:pPr>
      <w:r w:rsidRPr="00816870">
        <w:rPr>
          <w:rFonts w:ascii="Calibri" w:hAnsi="Calibri"/>
          <w:sz w:val="20"/>
          <w:szCs w:val="20"/>
          <w:lang w:val="en-CA"/>
        </w:rPr>
        <w:t>Specific responsibilities include:</w:t>
      </w:r>
    </w:p>
    <w:p w14:paraId="14E89408" w14:textId="77777777" w:rsidR="00302BFE" w:rsidRPr="00816870" w:rsidRDefault="00302BFE" w:rsidP="00C46720">
      <w:pPr>
        <w:pStyle w:val="Paragraphedeliste"/>
        <w:numPr>
          <w:ilvl w:val="0"/>
          <w:numId w:val="30"/>
        </w:numPr>
        <w:ind w:left="714" w:hanging="357"/>
        <w:jc w:val="both"/>
        <w:rPr>
          <w:rFonts w:ascii="Calibri" w:hAnsi="Calibri"/>
          <w:sz w:val="20"/>
          <w:szCs w:val="20"/>
          <w:lang w:val="en-CA"/>
        </w:rPr>
      </w:pPr>
      <w:r w:rsidRPr="00816870">
        <w:rPr>
          <w:rFonts w:ascii="Calibri" w:hAnsi="Calibri"/>
          <w:sz w:val="20"/>
          <w:szCs w:val="20"/>
          <w:lang w:val="en-CA"/>
        </w:rPr>
        <w:t>Provide direction and guidance to project team(s)/ responsible party (ies);</w:t>
      </w:r>
    </w:p>
    <w:p w14:paraId="3983A703" w14:textId="77777777" w:rsidR="00302BFE" w:rsidRPr="00816870" w:rsidRDefault="00302BFE" w:rsidP="00C46720">
      <w:pPr>
        <w:pStyle w:val="Paragraphedeliste"/>
        <w:numPr>
          <w:ilvl w:val="0"/>
          <w:numId w:val="30"/>
        </w:numPr>
        <w:ind w:left="714" w:hanging="357"/>
        <w:jc w:val="both"/>
        <w:rPr>
          <w:rFonts w:ascii="Calibri" w:hAnsi="Calibri"/>
          <w:sz w:val="20"/>
          <w:szCs w:val="20"/>
          <w:lang w:val="en-CA"/>
        </w:rPr>
      </w:pPr>
      <w:r w:rsidRPr="00816870">
        <w:rPr>
          <w:rFonts w:ascii="Calibri" w:hAnsi="Calibri"/>
          <w:sz w:val="20"/>
          <w:szCs w:val="20"/>
          <w:lang w:val="en-CA"/>
        </w:rPr>
        <w:t xml:space="preserve">Liaise with the </w:t>
      </w:r>
      <w:r>
        <w:rPr>
          <w:rFonts w:ascii="Calibri" w:hAnsi="Calibri"/>
          <w:sz w:val="20"/>
          <w:szCs w:val="20"/>
          <w:lang w:val="en-CA"/>
        </w:rPr>
        <w:t>Project Consultation/Dialogue Framework</w:t>
      </w:r>
      <w:r w:rsidRPr="00816870">
        <w:rPr>
          <w:rFonts w:ascii="Calibri" w:hAnsi="Calibri"/>
          <w:sz w:val="20"/>
          <w:szCs w:val="20"/>
          <w:lang w:val="en-CA"/>
        </w:rPr>
        <w:t xml:space="preserve"> to assure the overall direction and integrity of the project;</w:t>
      </w:r>
    </w:p>
    <w:p w14:paraId="0AAAE919" w14:textId="77777777" w:rsidR="00302BFE" w:rsidRPr="00816870" w:rsidRDefault="00302BFE" w:rsidP="00C46720">
      <w:pPr>
        <w:pStyle w:val="Paragraphedeliste"/>
        <w:numPr>
          <w:ilvl w:val="0"/>
          <w:numId w:val="30"/>
        </w:numPr>
        <w:ind w:left="714" w:hanging="357"/>
        <w:jc w:val="both"/>
        <w:rPr>
          <w:rFonts w:ascii="Calibri" w:hAnsi="Calibri"/>
          <w:sz w:val="20"/>
          <w:szCs w:val="20"/>
          <w:lang w:val="en-CA"/>
        </w:rPr>
      </w:pPr>
      <w:r w:rsidRPr="00816870">
        <w:rPr>
          <w:rFonts w:ascii="Calibri" w:hAnsi="Calibri"/>
          <w:sz w:val="20"/>
          <w:szCs w:val="20"/>
          <w:lang w:val="en-CA"/>
        </w:rPr>
        <w:t>Identify and obtain any support and advice required for the management, planning and control of the project;</w:t>
      </w:r>
    </w:p>
    <w:p w14:paraId="59BD10BD" w14:textId="77777777" w:rsidR="00302BFE" w:rsidRPr="00816870" w:rsidRDefault="00302BFE" w:rsidP="00C46720">
      <w:pPr>
        <w:pStyle w:val="Paragraphedeliste"/>
        <w:numPr>
          <w:ilvl w:val="0"/>
          <w:numId w:val="30"/>
        </w:numPr>
        <w:ind w:left="714" w:hanging="357"/>
        <w:jc w:val="both"/>
        <w:rPr>
          <w:rFonts w:ascii="Calibri" w:hAnsi="Calibri"/>
          <w:sz w:val="20"/>
          <w:szCs w:val="20"/>
          <w:lang w:val="en-CA"/>
        </w:rPr>
      </w:pPr>
      <w:r w:rsidRPr="00816870">
        <w:rPr>
          <w:rFonts w:ascii="Calibri" w:hAnsi="Calibri"/>
          <w:sz w:val="20"/>
          <w:szCs w:val="20"/>
          <w:lang w:val="en-CA"/>
        </w:rPr>
        <w:t>Responsible for project administration;</w:t>
      </w:r>
    </w:p>
    <w:p w14:paraId="45380664" w14:textId="77777777" w:rsidR="00302BFE" w:rsidRPr="00816870" w:rsidRDefault="00302BFE" w:rsidP="00C46720">
      <w:pPr>
        <w:pStyle w:val="Paragraphedeliste"/>
        <w:numPr>
          <w:ilvl w:val="0"/>
          <w:numId w:val="30"/>
        </w:numPr>
        <w:ind w:left="714" w:hanging="357"/>
        <w:jc w:val="both"/>
        <w:rPr>
          <w:rFonts w:ascii="Calibri" w:hAnsi="Calibri"/>
          <w:sz w:val="20"/>
          <w:szCs w:val="20"/>
          <w:lang w:val="en-CA"/>
        </w:rPr>
      </w:pPr>
      <w:r w:rsidRPr="00816870">
        <w:rPr>
          <w:rFonts w:ascii="Calibri" w:hAnsi="Calibri"/>
          <w:sz w:val="20"/>
          <w:szCs w:val="20"/>
          <w:lang w:val="en-CA"/>
        </w:rPr>
        <w:t>Plan the activities of the project and monitor progress against the project results framework and the approved annual workplan;</w:t>
      </w:r>
    </w:p>
    <w:p w14:paraId="1159FB1B" w14:textId="77777777" w:rsidR="00302BFE" w:rsidRPr="00816870" w:rsidRDefault="00302BFE" w:rsidP="00C46720">
      <w:pPr>
        <w:pStyle w:val="Paragraphedeliste"/>
        <w:numPr>
          <w:ilvl w:val="0"/>
          <w:numId w:val="30"/>
        </w:numPr>
        <w:ind w:left="714" w:hanging="357"/>
        <w:jc w:val="both"/>
        <w:rPr>
          <w:rFonts w:ascii="Calibri" w:hAnsi="Calibri"/>
          <w:sz w:val="20"/>
          <w:szCs w:val="20"/>
          <w:lang w:val="en-CA"/>
        </w:rPr>
      </w:pPr>
      <w:r w:rsidRPr="00816870">
        <w:rPr>
          <w:rFonts w:ascii="Calibri" w:hAnsi="Calibri"/>
          <w:sz w:val="20"/>
          <w:szCs w:val="20"/>
          <w:lang w:val="en-CA"/>
        </w:rPr>
        <w:t>Mobilize personnel, goods and services, training and micro-capital grants to initiative activities, including drafting terms of reference and work specifications, and overseeing all contractors’ work;</w:t>
      </w:r>
    </w:p>
    <w:p w14:paraId="4402E6F1" w14:textId="77777777" w:rsidR="00302BFE" w:rsidRPr="00816870" w:rsidRDefault="00302BFE" w:rsidP="00C46720">
      <w:pPr>
        <w:pStyle w:val="Paragraphedeliste"/>
        <w:numPr>
          <w:ilvl w:val="0"/>
          <w:numId w:val="30"/>
        </w:numPr>
        <w:ind w:left="714" w:hanging="357"/>
        <w:jc w:val="both"/>
        <w:rPr>
          <w:rFonts w:ascii="Calibri" w:hAnsi="Calibri"/>
          <w:sz w:val="20"/>
          <w:szCs w:val="20"/>
          <w:lang w:val="en-CA"/>
        </w:rPr>
      </w:pPr>
      <w:r w:rsidRPr="00816870">
        <w:rPr>
          <w:rFonts w:ascii="Calibri" w:hAnsi="Calibri"/>
          <w:sz w:val="20"/>
          <w:szCs w:val="20"/>
          <w:lang w:val="en-CA"/>
        </w:rPr>
        <w:t>Monitor events as determined in the project monitoring schedule plan/timetable, and update the plan as required;</w:t>
      </w:r>
    </w:p>
    <w:p w14:paraId="3E6284DE" w14:textId="77777777" w:rsidR="00302BFE" w:rsidRPr="00816870" w:rsidRDefault="00302BFE" w:rsidP="00C46720">
      <w:pPr>
        <w:pStyle w:val="Paragraphedeliste"/>
        <w:numPr>
          <w:ilvl w:val="0"/>
          <w:numId w:val="30"/>
        </w:numPr>
        <w:ind w:left="714" w:hanging="357"/>
        <w:jc w:val="both"/>
        <w:rPr>
          <w:rFonts w:ascii="Calibri" w:hAnsi="Calibri"/>
          <w:sz w:val="20"/>
          <w:szCs w:val="20"/>
          <w:lang w:val="en-CA"/>
        </w:rPr>
      </w:pPr>
      <w:r w:rsidRPr="00816870">
        <w:rPr>
          <w:rFonts w:ascii="Calibri" w:hAnsi="Calibri"/>
          <w:sz w:val="20"/>
          <w:szCs w:val="20"/>
          <w:lang w:val="en-CA"/>
        </w:rPr>
        <w:t>Manage requests for the provision of financial resources by UNDP, through advance of funds, direct payments or reimbursement using the fund authorization and certificate of expenditures;</w:t>
      </w:r>
    </w:p>
    <w:p w14:paraId="648FFFE7" w14:textId="77777777" w:rsidR="00302BFE" w:rsidRPr="00816870" w:rsidRDefault="00302BFE" w:rsidP="00C46720">
      <w:pPr>
        <w:pStyle w:val="Paragraphedeliste"/>
        <w:numPr>
          <w:ilvl w:val="0"/>
          <w:numId w:val="30"/>
        </w:numPr>
        <w:ind w:left="714" w:hanging="357"/>
        <w:jc w:val="both"/>
        <w:rPr>
          <w:rFonts w:ascii="Calibri" w:hAnsi="Calibri"/>
          <w:sz w:val="20"/>
          <w:szCs w:val="20"/>
          <w:lang w:val="en-CA"/>
        </w:rPr>
      </w:pPr>
      <w:r w:rsidRPr="00816870">
        <w:rPr>
          <w:rFonts w:ascii="Calibri" w:hAnsi="Calibri"/>
          <w:sz w:val="20"/>
          <w:szCs w:val="20"/>
          <w:lang w:val="en-CA"/>
        </w:rPr>
        <w:t>Monitor financial resources and accounting to ensure the accuracy and reliability of financial reports;</w:t>
      </w:r>
    </w:p>
    <w:p w14:paraId="03593729" w14:textId="77777777" w:rsidR="00302BFE" w:rsidRPr="00816870" w:rsidRDefault="00302BFE" w:rsidP="00C46720">
      <w:pPr>
        <w:pStyle w:val="Paragraphedeliste"/>
        <w:numPr>
          <w:ilvl w:val="0"/>
          <w:numId w:val="30"/>
        </w:numPr>
        <w:ind w:left="714" w:hanging="357"/>
        <w:jc w:val="both"/>
        <w:rPr>
          <w:rFonts w:ascii="Calibri" w:hAnsi="Calibri"/>
          <w:sz w:val="20"/>
          <w:szCs w:val="20"/>
          <w:lang w:val="en-CA"/>
        </w:rPr>
      </w:pPr>
      <w:r w:rsidRPr="00816870">
        <w:rPr>
          <w:rFonts w:ascii="Calibri" w:hAnsi="Calibri"/>
          <w:sz w:val="20"/>
          <w:szCs w:val="20"/>
          <w:lang w:val="en-CA"/>
        </w:rPr>
        <w:t>Be responsible for preparing and submitting financial reports to UNDP on a quarterly basis;</w:t>
      </w:r>
    </w:p>
    <w:p w14:paraId="10A5C523" w14:textId="77777777" w:rsidR="00302BFE" w:rsidRPr="00816870" w:rsidRDefault="00302BFE" w:rsidP="00C46720">
      <w:pPr>
        <w:pStyle w:val="Paragraphedeliste"/>
        <w:numPr>
          <w:ilvl w:val="0"/>
          <w:numId w:val="30"/>
        </w:numPr>
        <w:ind w:left="714" w:hanging="357"/>
        <w:jc w:val="both"/>
        <w:rPr>
          <w:rFonts w:ascii="Calibri" w:hAnsi="Calibri"/>
          <w:sz w:val="20"/>
          <w:szCs w:val="20"/>
          <w:lang w:val="en-CA"/>
        </w:rPr>
      </w:pPr>
      <w:r w:rsidRPr="00816870">
        <w:rPr>
          <w:rFonts w:ascii="Calibri" w:hAnsi="Calibri"/>
          <w:sz w:val="20"/>
          <w:szCs w:val="20"/>
          <w:lang w:val="en-CA"/>
        </w:rPr>
        <w:t xml:space="preserve">Manage and monitor the project risks initially identified and submit new risks to the </w:t>
      </w:r>
      <w:r>
        <w:rPr>
          <w:rFonts w:ascii="Calibri" w:hAnsi="Calibri"/>
          <w:sz w:val="20"/>
          <w:szCs w:val="20"/>
          <w:lang w:val="en-CA"/>
        </w:rPr>
        <w:t>Project Consultation/Dialogue Framework</w:t>
      </w:r>
      <w:r w:rsidRPr="00816870">
        <w:rPr>
          <w:rFonts w:ascii="Calibri" w:hAnsi="Calibri"/>
          <w:sz w:val="20"/>
          <w:szCs w:val="20"/>
          <w:lang w:val="en-CA"/>
        </w:rPr>
        <w:t xml:space="preserve"> for consideration and decision on possible actions if required; update the status of these risks by maintaining the project risks log;</w:t>
      </w:r>
    </w:p>
    <w:p w14:paraId="42888DC1" w14:textId="77777777" w:rsidR="00302BFE" w:rsidRPr="00816870" w:rsidRDefault="00302BFE" w:rsidP="00C46720">
      <w:pPr>
        <w:pStyle w:val="Paragraphedeliste"/>
        <w:numPr>
          <w:ilvl w:val="0"/>
          <w:numId w:val="30"/>
        </w:numPr>
        <w:ind w:left="714" w:hanging="357"/>
        <w:jc w:val="both"/>
        <w:rPr>
          <w:rFonts w:ascii="Calibri" w:hAnsi="Calibri"/>
          <w:sz w:val="20"/>
          <w:szCs w:val="20"/>
          <w:lang w:val="en-CA"/>
        </w:rPr>
      </w:pPr>
      <w:r w:rsidRPr="00816870">
        <w:rPr>
          <w:rFonts w:ascii="Calibri" w:hAnsi="Calibri"/>
          <w:sz w:val="20"/>
          <w:szCs w:val="20"/>
          <w:lang w:val="en-CA"/>
        </w:rPr>
        <w:t xml:space="preserve">Capture lessons learned during project implementation; </w:t>
      </w:r>
    </w:p>
    <w:p w14:paraId="0BB30E3E" w14:textId="77777777" w:rsidR="00302BFE" w:rsidRPr="00810670" w:rsidRDefault="00302BFE" w:rsidP="00C46720">
      <w:pPr>
        <w:pStyle w:val="Paragraphedeliste"/>
        <w:numPr>
          <w:ilvl w:val="0"/>
          <w:numId w:val="30"/>
        </w:numPr>
        <w:ind w:left="714" w:hanging="357"/>
        <w:jc w:val="both"/>
        <w:rPr>
          <w:rFonts w:ascii="Calibri" w:hAnsi="Calibri"/>
          <w:sz w:val="20"/>
          <w:szCs w:val="20"/>
          <w:lang w:val="en-CA"/>
        </w:rPr>
      </w:pPr>
      <w:r w:rsidRPr="00810670">
        <w:rPr>
          <w:rFonts w:ascii="Calibri" w:hAnsi="Calibri"/>
          <w:sz w:val="20"/>
          <w:szCs w:val="20"/>
          <w:lang w:val="en-CA"/>
        </w:rPr>
        <w:t>Prepare the annual workplan for the following year; and update the Atlas Project Management module if external access is made available;</w:t>
      </w:r>
    </w:p>
    <w:p w14:paraId="6F360DED" w14:textId="77777777" w:rsidR="00302BFE" w:rsidRPr="00810670" w:rsidRDefault="00302BFE" w:rsidP="00C46720">
      <w:pPr>
        <w:pStyle w:val="Paragraphedeliste"/>
        <w:numPr>
          <w:ilvl w:val="0"/>
          <w:numId w:val="30"/>
        </w:numPr>
        <w:ind w:left="714" w:hanging="357"/>
        <w:jc w:val="both"/>
        <w:rPr>
          <w:rFonts w:ascii="Calibri" w:hAnsi="Calibri"/>
          <w:sz w:val="20"/>
          <w:szCs w:val="20"/>
          <w:lang w:val="en-CA"/>
        </w:rPr>
      </w:pPr>
      <w:r w:rsidRPr="00810670">
        <w:rPr>
          <w:rFonts w:ascii="Calibri" w:hAnsi="Calibri"/>
          <w:sz w:val="20"/>
          <w:szCs w:val="20"/>
          <w:lang w:val="en-CA"/>
        </w:rPr>
        <w:t>Prepare the GEF PIR and submit the final report to the Project Consultation/Dialogue Framework;</w:t>
      </w:r>
    </w:p>
    <w:p w14:paraId="07C14027" w14:textId="77777777" w:rsidR="00302BFE" w:rsidRPr="00810670" w:rsidRDefault="00302BFE" w:rsidP="00C46720">
      <w:pPr>
        <w:pStyle w:val="Paragraphedeliste"/>
        <w:numPr>
          <w:ilvl w:val="0"/>
          <w:numId w:val="30"/>
        </w:numPr>
        <w:ind w:left="714" w:hanging="357"/>
        <w:jc w:val="both"/>
        <w:rPr>
          <w:rFonts w:ascii="Calibri" w:hAnsi="Calibri"/>
          <w:sz w:val="20"/>
          <w:szCs w:val="20"/>
          <w:lang w:val="en-CA"/>
        </w:rPr>
      </w:pPr>
      <w:r w:rsidRPr="00810670">
        <w:rPr>
          <w:rFonts w:ascii="Calibri" w:hAnsi="Calibri"/>
          <w:sz w:val="20"/>
          <w:szCs w:val="20"/>
          <w:lang w:val="en-CA"/>
        </w:rPr>
        <w:t>Based on the GEF PIR and the Project Consultation/Dialogue Framework review, prepare the AWP for the following year;</w:t>
      </w:r>
    </w:p>
    <w:p w14:paraId="1BC6BFCF" w14:textId="77777777" w:rsidR="00302BFE" w:rsidRPr="00810670" w:rsidRDefault="00302BFE" w:rsidP="00C46720">
      <w:pPr>
        <w:pStyle w:val="Paragraphedeliste"/>
        <w:numPr>
          <w:ilvl w:val="0"/>
          <w:numId w:val="30"/>
        </w:numPr>
        <w:ind w:left="714" w:hanging="357"/>
        <w:jc w:val="both"/>
        <w:rPr>
          <w:rFonts w:ascii="Calibri" w:hAnsi="Calibri"/>
          <w:sz w:val="20"/>
          <w:szCs w:val="20"/>
          <w:lang w:val="en-CA"/>
        </w:rPr>
      </w:pPr>
      <w:r w:rsidRPr="00810670">
        <w:rPr>
          <w:rFonts w:ascii="Calibri" w:hAnsi="Calibri"/>
          <w:sz w:val="20"/>
          <w:szCs w:val="20"/>
          <w:lang w:val="en-CA"/>
        </w:rPr>
        <w:t>Ensure the mid-term review process is undertaken as per the UNDP guidance, and submit the final MTR report to the Project Consultation/Dialogue Framework;</w:t>
      </w:r>
    </w:p>
    <w:p w14:paraId="32B91F0C" w14:textId="77777777" w:rsidR="00302BFE" w:rsidRPr="00810670" w:rsidRDefault="00302BFE" w:rsidP="00C46720">
      <w:pPr>
        <w:pStyle w:val="Paragraphedeliste"/>
        <w:numPr>
          <w:ilvl w:val="0"/>
          <w:numId w:val="30"/>
        </w:numPr>
        <w:ind w:left="714" w:hanging="357"/>
        <w:jc w:val="both"/>
        <w:rPr>
          <w:rFonts w:ascii="Calibri" w:hAnsi="Calibri"/>
          <w:sz w:val="20"/>
          <w:szCs w:val="20"/>
          <w:lang w:val="en-CA"/>
        </w:rPr>
      </w:pPr>
      <w:r w:rsidRPr="00810670">
        <w:rPr>
          <w:rFonts w:ascii="Calibri" w:hAnsi="Calibri"/>
          <w:sz w:val="20"/>
          <w:szCs w:val="20"/>
          <w:lang w:val="en-CA"/>
        </w:rPr>
        <w:t>Identify follow-on actions and submit them for consideration to the Project Consultation/Dialogue Framework;</w:t>
      </w:r>
    </w:p>
    <w:p w14:paraId="02E8E7B4" w14:textId="77777777" w:rsidR="00302BFE" w:rsidRPr="00810670" w:rsidRDefault="00302BFE" w:rsidP="00C46720">
      <w:pPr>
        <w:pStyle w:val="Paragraphedeliste"/>
        <w:numPr>
          <w:ilvl w:val="0"/>
          <w:numId w:val="30"/>
        </w:numPr>
        <w:spacing w:after="120"/>
        <w:ind w:left="714" w:hanging="357"/>
        <w:jc w:val="both"/>
        <w:rPr>
          <w:rFonts w:ascii="Calibri" w:hAnsi="Calibri"/>
          <w:sz w:val="20"/>
          <w:szCs w:val="20"/>
          <w:lang w:val="en-CA"/>
        </w:rPr>
      </w:pPr>
      <w:r w:rsidRPr="00810670">
        <w:rPr>
          <w:rFonts w:ascii="Calibri" w:hAnsi="Calibri"/>
          <w:sz w:val="20"/>
          <w:szCs w:val="20"/>
          <w:lang w:val="en-CA"/>
        </w:rPr>
        <w:t>Ensure the terminal evaluation process is undertaken as per the UNDP guidance, and submit the final TE report to the Project Consultation/Dialogue Framework.</w:t>
      </w:r>
    </w:p>
    <w:p w14:paraId="3C0D9DC9" w14:textId="77777777" w:rsidR="00302BFE" w:rsidRPr="00816870"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CA"/>
        </w:rPr>
      </w:pPr>
      <w:r w:rsidRPr="00810670">
        <w:rPr>
          <w:rFonts w:ascii="Calibri" w:hAnsi="Calibri"/>
          <w:b/>
          <w:sz w:val="20"/>
          <w:szCs w:val="20"/>
          <w:lang w:val="en-CA"/>
        </w:rPr>
        <w:lastRenderedPageBreak/>
        <w:t>Project Assurance</w:t>
      </w:r>
      <w:r w:rsidRPr="00810670">
        <w:rPr>
          <w:rFonts w:ascii="Calibri" w:hAnsi="Calibri"/>
          <w:sz w:val="20"/>
          <w:szCs w:val="20"/>
          <w:lang w:val="en-CA"/>
        </w:rPr>
        <w:t>:  UNDP provides a three – tier supervision, oversight and quality assurance role – funded by the GEF agency fee – involving UNDP staff in Country Offices and at regional and headquarters levels. Project Assurance must be totally independent of the Project Management function. The quality assurance role supports the Project Consultation/Dialogue Framework and Project Coordination Unit by carrying</w:t>
      </w:r>
      <w:r w:rsidRPr="00816870">
        <w:rPr>
          <w:rFonts w:ascii="Calibri" w:hAnsi="Calibri"/>
          <w:sz w:val="20"/>
          <w:szCs w:val="20"/>
          <w:lang w:val="en-CA"/>
        </w:rPr>
        <w:t xml:space="preserve"> out objective and independent project oversight and monitoring functions. This role ensures appropriate project management milestones are managed and completed. </w:t>
      </w:r>
    </w:p>
    <w:p w14:paraId="716B071A" w14:textId="77777777" w:rsidR="00302BFE" w:rsidRPr="00816870" w:rsidRDefault="00302BFE" w:rsidP="00302BFE">
      <w:pPr>
        <w:spacing w:before="120" w:after="120"/>
        <w:jc w:val="left"/>
        <w:rPr>
          <w:b/>
          <w:szCs w:val="20"/>
        </w:rPr>
      </w:pPr>
      <w:r w:rsidRPr="00816870">
        <w:rPr>
          <w:b/>
          <w:szCs w:val="20"/>
        </w:rPr>
        <w:t>Governance role for project target groups:</w:t>
      </w:r>
    </w:p>
    <w:p w14:paraId="31FC748C" w14:textId="77777777" w:rsidR="00302BFE" w:rsidRPr="00D61C93"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CA"/>
        </w:rPr>
      </w:pPr>
      <w:r w:rsidRPr="00D61C93">
        <w:rPr>
          <w:rFonts w:ascii="Calibri" w:hAnsi="Calibri"/>
          <w:b/>
          <w:sz w:val="20"/>
          <w:szCs w:val="20"/>
          <w:lang w:val="en-CA"/>
        </w:rPr>
        <w:t>Local project committees</w:t>
      </w:r>
      <w:r w:rsidRPr="00D61C93">
        <w:rPr>
          <w:rFonts w:ascii="Calibri" w:hAnsi="Calibri"/>
          <w:sz w:val="20"/>
          <w:szCs w:val="20"/>
          <w:lang w:val="en-CA"/>
        </w:rPr>
        <w:t xml:space="preserve"> will be established at the commune level where the project interventions will take place. Through these committees, local partners will have the opportunity to participate in decision making regarding project management, including implementation of plans and project reviews /evaluation, and also to provide guidance on technical aspects of the project, including to consultants. </w:t>
      </w:r>
    </w:p>
    <w:p w14:paraId="3D0FDB54" w14:textId="77777777" w:rsidR="00302BFE" w:rsidRPr="00D61C93"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CA"/>
        </w:rPr>
      </w:pPr>
      <w:r w:rsidRPr="00D61C93">
        <w:rPr>
          <w:rFonts w:ascii="Calibri" w:hAnsi="Calibri"/>
          <w:sz w:val="20"/>
          <w:szCs w:val="20"/>
          <w:lang w:val="en-CA"/>
        </w:rPr>
        <w:t>In addition, at the local level, communities, local organizations, and the private sector will have an effective participation in decision-making as part of the landscape-level planning, in the development and negotiation of agreements, and dialogue for the development, promotion and implementation of practices for the sustainable management of protected areas and natural resources and environmentally sound production practices and biodiversity-friendly value chains in the PONASI landscape.</w:t>
      </w:r>
    </w:p>
    <w:p w14:paraId="245DEF66" w14:textId="77777777" w:rsidR="00302BFE" w:rsidRPr="00D61C93"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CA"/>
        </w:rPr>
      </w:pPr>
      <w:r w:rsidRPr="00D61C93">
        <w:rPr>
          <w:rFonts w:ascii="Calibri" w:hAnsi="Calibri"/>
          <w:sz w:val="20"/>
          <w:szCs w:val="20"/>
          <w:lang w:val="en-CA"/>
        </w:rPr>
        <w:t>These committees will ensure the contribution of traditional knowledge in determining sustainable natural resource management measures as well as taking into account local rights, priorities and needs of communities in decision-making and planning processes. They will ensure the contribution of local actors to document / inform the outcome indicators that affect them. These committees will play a central role in the process of prior dissemination of information regarding the project's interventions with local communities and the obtaining of consent agreements to participate in them, as well as in the reporting mechanism of incidents and grievances.</w:t>
      </w:r>
    </w:p>
    <w:p w14:paraId="42B5D347" w14:textId="77777777" w:rsidR="00302BFE" w:rsidRPr="00D61C93" w:rsidRDefault="00302BFE" w:rsidP="00302BFE">
      <w:pPr>
        <w:pStyle w:val="Paragraphedeliste"/>
        <w:tabs>
          <w:tab w:val="left" w:pos="284"/>
        </w:tabs>
        <w:spacing w:before="120" w:after="120"/>
        <w:ind w:left="0"/>
        <w:jc w:val="both"/>
        <w:rPr>
          <w:rFonts w:ascii="Calibri" w:hAnsi="Calibri"/>
          <w:b/>
          <w:sz w:val="20"/>
          <w:szCs w:val="20"/>
          <w:lang w:val="en-CA"/>
        </w:rPr>
      </w:pPr>
      <w:bookmarkStart w:id="34" w:name="_Toc508200045"/>
      <w:bookmarkStart w:id="35" w:name="_Toc487470633"/>
      <w:r w:rsidRPr="00D61C93">
        <w:rPr>
          <w:rFonts w:ascii="Calibri" w:hAnsi="Calibri"/>
          <w:b/>
          <w:sz w:val="20"/>
          <w:szCs w:val="20"/>
          <w:lang w:val="en-CA"/>
        </w:rPr>
        <w:t xml:space="preserve">Composition and operation of the </w:t>
      </w:r>
      <w:r w:rsidR="00094C08" w:rsidRPr="00D61C93">
        <w:rPr>
          <w:rFonts w:ascii="Calibri" w:hAnsi="Calibri"/>
          <w:b/>
          <w:sz w:val="20"/>
          <w:szCs w:val="20"/>
          <w:lang w:val="en-CA"/>
        </w:rPr>
        <w:t xml:space="preserve">project coordination unit </w:t>
      </w:r>
    </w:p>
    <w:p w14:paraId="54771F9C" w14:textId="77777777" w:rsidR="00302BFE" w:rsidRPr="00D61C93"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CA"/>
        </w:rPr>
      </w:pPr>
      <w:r w:rsidRPr="00D61C93">
        <w:rPr>
          <w:rFonts w:ascii="Calibri" w:hAnsi="Calibri"/>
          <w:sz w:val="20"/>
          <w:szCs w:val="20"/>
          <w:lang w:val="en-CA"/>
        </w:rPr>
        <w:t xml:space="preserve">The role of the </w:t>
      </w:r>
      <w:r w:rsidR="0056396B" w:rsidRPr="00D61C93">
        <w:rPr>
          <w:rFonts w:ascii="Calibri" w:hAnsi="Calibri"/>
          <w:sz w:val="20"/>
          <w:szCs w:val="20"/>
          <w:lang w:val="en-CA"/>
        </w:rPr>
        <w:t>project coordination unit</w:t>
      </w:r>
      <w:r w:rsidR="00094C08" w:rsidRPr="00D61C93">
        <w:rPr>
          <w:rFonts w:ascii="Calibri" w:hAnsi="Calibri"/>
          <w:sz w:val="20"/>
          <w:szCs w:val="20"/>
          <w:lang w:val="en-CA"/>
        </w:rPr>
        <w:t>,</w:t>
      </w:r>
      <w:r w:rsidRPr="00D61C93">
        <w:rPr>
          <w:rFonts w:ascii="Calibri" w:hAnsi="Calibri"/>
          <w:sz w:val="20"/>
          <w:szCs w:val="20"/>
          <w:lang w:val="en-CA"/>
        </w:rPr>
        <w:t xml:space="preserve"> </w:t>
      </w:r>
      <w:r w:rsidR="00094C08" w:rsidRPr="00D61C93">
        <w:rPr>
          <w:rFonts w:ascii="Calibri" w:hAnsi="Calibri"/>
          <w:sz w:val="20"/>
          <w:szCs w:val="20"/>
          <w:lang w:val="en-CA"/>
        </w:rPr>
        <w:t>or executing body as per Government designation,</w:t>
      </w:r>
      <w:r w:rsidR="00094C08" w:rsidRPr="00D61C93">
        <w:rPr>
          <w:rFonts w:ascii="Calibri" w:hAnsi="Calibri"/>
          <w:b/>
          <w:sz w:val="20"/>
          <w:szCs w:val="20"/>
          <w:lang w:val="en-CA"/>
        </w:rPr>
        <w:t xml:space="preserve"> </w:t>
      </w:r>
      <w:r w:rsidRPr="00D61C93">
        <w:rPr>
          <w:rFonts w:ascii="Calibri" w:hAnsi="Calibri"/>
          <w:sz w:val="20"/>
          <w:szCs w:val="20"/>
          <w:lang w:val="en-CA"/>
        </w:rPr>
        <w:t>is to coordinate the activities of the project, to ensure the mobilization and proper management of resources, to ensure the accountability of the beneficiaries, and to ensure the Secretariat of the consultation/dialogue framework of the project.</w:t>
      </w:r>
    </w:p>
    <w:p w14:paraId="7904952F" w14:textId="77777777" w:rsidR="00302BFE" w:rsidRPr="00D61C93"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CA"/>
        </w:rPr>
      </w:pPr>
      <w:r w:rsidRPr="00D61C93">
        <w:rPr>
          <w:rFonts w:ascii="Calibri" w:hAnsi="Calibri"/>
          <w:sz w:val="20"/>
          <w:szCs w:val="20"/>
          <w:lang w:val="en-CA"/>
        </w:rPr>
        <w:t xml:space="preserve">Under the direction of the Coordinator, the </w:t>
      </w:r>
      <w:r w:rsidR="0056396B" w:rsidRPr="00D61C93">
        <w:rPr>
          <w:rFonts w:ascii="Calibri" w:hAnsi="Calibri"/>
          <w:sz w:val="20"/>
          <w:szCs w:val="20"/>
          <w:lang w:val="en-CA"/>
        </w:rPr>
        <w:t xml:space="preserve">project coordination unit </w:t>
      </w:r>
      <w:r w:rsidRPr="00D61C93">
        <w:rPr>
          <w:rFonts w:ascii="Calibri" w:hAnsi="Calibri"/>
          <w:sz w:val="20"/>
          <w:szCs w:val="20"/>
          <w:lang w:val="en-CA"/>
        </w:rPr>
        <w:t>is composed as follows:</w:t>
      </w:r>
    </w:p>
    <w:bookmarkEnd w:id="34"/>
    <w:bookmarkEnd w:id="35"/>
    <w:p w14:paraId="3FDC3365" w14:textId="77777777" w:rsidR="0056396B" w:rsidRPr="00D61C93" w:rsidRDefault="00302BFE" w:rsidP="00C46720">
      <w:pPr>
        <w:pStyle w:val="Paragraphedeliste"/>
        <w:numPr>
          <w:ilvl w:val="0"/>
          <w:numId w:val="33"/>
        </w:numPr>
        <w:rPr>
          <w:rFonts w:ascii="Calibri" w:hAnsi="Calibri"/>
          <w:sz w:val="20"/>
          <w:szCs w:val="20"/>
          <w:lang w:val="en-CA"/>
        </w:rPr>
      </w:pPr>
      <w:r w:rsidRPr="00D61C93">
        <w:rPr>
          <w:rFonts w:ascii="Calibri" w:hAnsi="Calibri"/>
          <w:sz w:val="20"/>
          <w:szCs w:val="20"/>
          <w:lang w:val="en-CA"/>
        </w:rPr>
        <w:t>a</w:t>
      </w:r>
      <w:r w:rsidR="006E6BBB" w:rsidRPr="00D61C93">
        <w:rPr>
          <w:rFonts w:ascii="Calibri" w:hAnsi="Calibri"/>
          <w:sz w:val="20"/>
          <w:szCs w:val="20"/>
          <w:lang w:val="en-CA"/>
        </w:rPr>
        <w:t xml:space="preserve"> full-time</w:t>
      </w:r>
      <w:r w:rsidRPr="00D61C93">
        <w:rPr>
          <w:rFonts w:ascii="Calibri" w:hAnsi="Calibri"/>
          <w:sz w:val="20"/>
          <w:szCs w:val="20"/>
          <w:lang w:val="en-CA"/>
        </w:rPr>
        <w:t xml:space="preserve"> administrative and financial assistant;</w:t>
      </w:r>
    </w:p>
    <w:p w14:paraId="7DAC8553" w14:textId="42D51CBA" w:rsidR="00302BFE" w:rsidRPr="00D61C93" w:rsidRDefault="00094C08" w:rsidP="00C46720">
      <w:pPr>
        <w:pStyle w:val="Paragraphedeliste"/>
        <w:numPr>
          <w:ilvl w:val="0"/>
          <w:numId w:val="33"/>
        </w:numPr>
        <w:rPr>
          <w:rFonts w:ascii="Calibri" w:hAnsi="Calibri"/>
          <w:sz w:val="20"/>
          <w:szCs w:val="20"/>
          <w:lang w:val="en-CA"/>
        </w:rPr>
      </w:pPr>
      <w:r w:rsidRPr="00D61C93">
        <w:rPr>
          <w:rFonts w:ascii="Calibri" w:hAnsi="Calibri"/>
          <w:sz w:val="20"/>
          <w:szCs w:val="20"/>
          <w:lang w:val="en-CA"/>
        </w:rPr>
        <w:t xml:space="preserve">a </w:t>
      </w:r>
      <w:r w:rsidR="006E6BBB" w:rsidRPr="00D61C93">
        <w:rPr>
          <w:rFonts w:ascii="Calibri" w:hAnsi="Calibri"/>
          <w:sz w:val="20"/>
          <w:szCs w:val="20"/>
          <w:lang w:val="en-CA"/>
        </w:rPr>
        <w:t xml:space="preserve">full-time </w:t>
      </w:r>
      <w:r w:rsidR="009218D4" w:rsidRPr="00D61C93">
        <w:rPr>
          <w:rFonts w:ascii="Calibri" w:hAnsi="Calibri"/>
          <w:sz w:val="20"/>
          <w:szCs w:val="20"/>
          <w:lang w:val="en-CA"/>
        </w:rPr>
        <w:t>procurement specialist</w:t>
      </w:r>
      <w:r w:rsidR="006E6BBB" w:rsidRPr="00D61C93">
        <w:rPr>
          <w:rFonts w:ascii="Calibri" w:hAnsi="Calibri"/>
          <w:sz w:val="20"/>
          <w:szCs w:val="20"/>
          <w:lang w:val="en-CA"/>
        </w:rPr>
        <w:t xml:space="preserve"> for the three first years</w:t>
      </w:r>
      <w:r w:rsidR="004708C8" w:rsidRPr="00D61C93">
        <w:rPr>
          <w:rFonts w:ascii="Calibri" w:hAnsi="Calibri"/>
          <w:sz w:val="20"/>
          <w:szCs w:val="20"/>
          <w:lang w:val="en-CA"/>
        </w:rPr>
        <w:t xml:space="preserve"> of the project</w:t>
      </w:r>
      <w:r w:rsidR="00BC5CDF" w:rsidRPr="00D61C93">
        <w:rPr>
          <w:rFonts w:ascii="Calibri" w:hAnsi="Calibri"/>
          <w:sz w:val="20"/>
          <w:szCs w:val="20"/>
          <w:lang w:val="en-CA"/>
        </w:rPr>
        <w:t xml:space="preserve"> (procurement functions will be taken over by the administrative and financial assistant in the following years</w:t>
      </w:r>
      <w:r w:rsidRPr="00D61C93">
        <w:rPr>
          <w:rFonts w:ascii="Calibri" w:hAnsi="Calibri"/>
          <w:sz w:val="20"/>
          <w:szCs w:val="20"/>
          <w:lang w:val="en-CA"/>
        </w:rPr>
        <w:t>;</w:t>
      </w:r>
    </w:p>
    <w:p w14:paraId="5E83C6F9" w14:textId="77777777" w:rsidR="00302BFE" w:rsidRPr="00D61C93" w:rsidRDefault="00302BFE" w:rsidP="00C46720">
      <w:pPr>
        <w:pStyle w:val="Paragraphedeliste"/>
        <w:numPr>
          <w:ilvl w:val="0"/>
          <w:numId w:val="33"/>
        </w:numPr>
        <w:rPr>
          <w:rFonts w:ascii="Calibri" w:hAnsi="Calibri"/>
          <w:sz w:val="20"/>
          <w:szCs w:val="20"/>
          <w:lang w:val="fr-FR"/>
        </w:rPr>
      </w:pPr>
      <w:r w:rsidRPr="00D61C93">
        <w:rPr>
          <w:rFonts w:ascii="Calibri" w:hAnsi="Calibri"/>
          <w:sz w:val="20"/>
          <w:szCs w:val="20"/>
          <w:lang w:val="fr-FR"/>
        </w:rPr>
        <w:t>a driver-logistician;</w:t>
      </w:r>
    </w:p>
    <w:p w14:paraId="0075282F" w14:textId="77777777" w:rsidR="00302BFE" w:rsidRPr="00D61C93" w:rsidRDefault="00302BFE" w:rsidP="00C46720">
      <w:pPr>
        <w:pStyle w:val="Paragraphedeliste"/>
        <w:numPr>
          <w:ilvl w:val="0"/>
          <w:numId w:val="33"/>
        </w:numPr>
        <w:rPr>
          <w:rFonts w:ascii="Calibri" w:hAnsi="Calibri"/>
          <w:sz w:val="20"/>
          <w:szCs w:val="20"/>
          <w:lang w:val="en-CA"/>
        </w:rPr>
      </w:pPr>
      <w:r w:rsidRPr="00D61C93">
        <w:rPr>
          <w:rFonts w:ascii="Calibri" w:hAnsi="Calibri"/>
          <w:sz w:val="20"/>
          <w:szCs w:val="20"/>
          <w:lang w:val="en-CA"/>
        </w:rPr>
        <w:t>a full-time expert responsible for monitoring and evaluation and safeguards;</w:t>
      </w:r>
    </w:p>
    <w:p w14:paraId="299351DE" w14:textId="77777777" w:rsidR="00302BFE" w:rsidRPr="00D61C93" w:rsidRDefault="00302BFE" w:rsidP="00C46720">
      <w:pPr>
        <w:pStyle w:val="Paragraphedeliste"/>
        <w:numPr>
          <w:ilvl w:val="0"/>
          <w:numId w:val="33"/>
        </w:numPr>
        <w:rPr>
          <w:rFonts w:ascii="Calibri" w:hAnsi="Calibri"/>
          <w:sz w:val="20"/>
          <w:szCs w:val="20"/>
          <w:lang w:val="en-CA"/>
        </w:rPr>
      </w:pPr>
      <w:r w:rsidRPr="00D61C93">
        <w:rPr>
          <w:rFonts w:ascii="Calibri" w:hAnsi="Calibri"/>
          <w:sz w:val="20"/>
          <w:szCs w:val="20"/>
          <w:lang w:val="en-CA"/>
        </w:rPr>
        <w:t>an expert on gender issues on a part-time basis;</w:t>
      </w:r>
    </w:p>
    <w:p w14:paraId="13B86D5F" w14:textId="77777777" w:rsidR="00302BFE" w:rsidRPr="00D61C93" w:rsidRDefault="00302BFE" w:rsidP="00C46720">
      <w:pPr>
        <w:pStyle w:val="Paragraphedeliste"/>
        <w:numPr>
          <w:ilvl w:val="0"/>
          <w:numId w:val="33"/>
        </w:numPr>
        <w:rPr>
          <w:rFonts w:ascii="Calibri" w:hAnsi="Calibri"/>
          <w:sz w:val="20"/>
          <w:szCs w:val="20"/>
          <w:lang w:val="en-CA"/>
        </w:rPr>
      </w:pPr>
      <w:r w:rsidRPr="00D61C93">
        <w:rPr>
          <w:rFonts w:ascii="Calibri" w:hAnsi="Calibri"/>
          <w:sz w:val="20"/>
          <w:szCs w:val="20"/>
          <w:lang w:val="en-CA"/>
        </w:rPr>
        <w:t>an expert in communication and knowledge management on a part-time basis.</w:t>
      </w:r>
    </w:p>
    <w:p w14:paraId="25488B93" w14:textId="77777777" w:rsidR="00302BFE" w:rsidRPr="00D61C93"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lang w:val="en-CA"/>
        </w:rPr>
      </w:pPr>
      <w:r w:rsidRPr="00D61C93">
        <w:rPr>
          <w:rFonts w:ascii="Calibri" w:eastAsia="Times New Roman" w:hAnsi="Calibri"/>
          <w:color w:val="000000"/>
          <w:sz w:val="20"/>
          <w:szCs w:val="20"/>
        </w:rPr>
        <w:t xml:space="preserve">This project covers many different areas of work, from the REDD+ components; elephant and ecological monitoring; small grants; capacity development; infrastructural improvements; sustainable livelihoods, cross-boundary cooperation with Ghana; land-use issues, rangers; HWC; organic and fair certifications; ecosystem valuation; marketing strategy, label and brand development; tourism development. It will be essential to ensure solid capacity within the project management unit to be able to implement this complex project in Burkina </w:t>
      </w:r>
      <w:r w:rsidR="0056396B" w:rsidRPr="00D61C93">
        <w:rPr>
          <w:rFonts w:ascii="Calibri" w:eastAsia="Times New Roman" w:hAnsi="Calibri"/>
          <w:color w:val="000000"/>
          <w:sz w:val="20"/>
          <w:szCs w:val="20"/>
        </w:rPr>
        <w:t xml:space="preserve">Faso’s </w:t>
      </w:r>
      <w:r w:rsidRPr="00D61C93">
        <w:rPr>
          <w:rFonts w:ascii="Calibri" w:eastAsia="Times New Roman" w:hAnsi="Calibri"/>
          <w:color w:val="000000"/>
          <w:sz w:val="20"/>
          <w:szCs w:val="20"/>
        </w:rPr>
        <w:t>context.</w:t>
      </w:r>
    </w:p>
    <w:p w14:paraId="6B1F4F1E" w14:textId="77777777" w:rsidR="00302BFE" w:rsidRPr="00D61C93" w:rsidRDefault="00302BFE" w:rsidP="00C46720">
      <w:pPr>
        <w:pStyle w:val="Paragraphedeliste"/>
        <w:numPr>
          <w:ilvl w:val="0"/>
          <w:numId w:val="14"/>
        </w:numPr>
        <w:tabs>
          <w:tab w:val="left" w:pos="284"/>
        </w:tabs>
        <w:spacing w:before="120" w:after="360"/>
        <w:ind w:left="0" w:firstLine="0"/>
        <w:jc w:val="both"/>
        <w:rPr>
          <w:rFonts w:ascii="Calibri" w:hAnsi="Calibri"/>
          <w:sz w:val="20"/>
          <w:szCs w:val="20"/>
          <w:lang w:val="en-CA"/>
        </w:rPr>
      </w:pPr>
      <w:r w:rsidRPr="00D61C93">
        <w:rPr>
          <w:rFonts w:ascii="Calibri" w:hAnsi="Calibri"/>
          <w:sz w:val="20"/>
          <w:szCs w:val="20"/>
          <w:lang w:val="en-CA"/>
        </w:rPr>
        <w:t>The PCU will be located in the city of Pô, Burkina Faso and housed in the DREEVCC. It will include a Project Coordinator, an Administrative and Financial Assistant, a full time M&amp;E and Safeguards Expert, and part-time Gender Expert and Communications and Knowledge Management Expert.</w:t>
      </w:r>
    </w:p>
    <w:p w14:paraId="2B2B29BF" w14:textId="77777777" w:rsidR="00302BFE" w:rsidRPr="00D57400" w:rsidRDefault="00302BFE" w:rsidP="00302BFE">
      <w:pPr>
        <w:pStyle w:val="Titre1"/>
        <w:spacing w:before="0" w:after="0"/>
        <w:rPr>
          <w:rFonts w:ascii="Calibri" w:hAnsi="Calibri"/>
        </w:rPr>
      </w:pPr>
      <w:bookmarkStart w:id="36" w:name="_Toc9961796"/>
      <w:bookmarkEnd w:id="33"/>
      <w:r w:rsidRPr="00D57400">
        <w:rPr>
          <w:rFonts w:ascii="Calibri" w:hAnsi="Calibri"/>
        </w:rPr>
        <w:t>Financial Planning and Management</w:t>
      </w:r>
      <w:bookmarkEnd w:id="36"/>
      <w:r w:rsidRPr="00D57400">
        <w:rPr>
          <w:rFonts w:ascii="Calibri" w:hAnsi="Calibri"/>
        </w:rPr>
        <w:t xml:space="preserve"> </w:t>
      </w:r>
    </w:p>
    <w:p w14:paraId="31ED5F93" w14:textId="7C62735C" w:rsidR="00302BFE" w:rsidRPr="00D57400" w:rsidRDefault="00D266F2" w:rsidP="00C46720">
      <w:pPr>
        <w:pStyle w:val="Paragraphedeliste"/>
        <w:numPr>
          <w:ilvl w:val="0"/>
          <w:numId w:val="14"/>
        </w:numPr>
        <w:tabs>
          <w:tab w:val="left" w:pos="284"/>
        </w:tabs>
        <w:spacing w:before="120" w:after="120"/>
        <w:ind w:left="0" w:firstLine="0"/>
        <w:jc w:val="both"/>
        <w:rPr>
          <w:rFonts w:ascii="Calibri" w:hAnsi="Calibri"/>
          <w:sz w:val="20"/>
          <w:szCs w:val="20"/>
          <w:lang w:val="en-CA"/>
        </w:rPr>
      </w:pPr>
      <w:r w:rsidRPr="00D57400">
        <w:rPr>
          <w:rFonts w:ascii="Calibri" w:hAnsi="Calibri"/>
          <w:sz w:val="20"/>
          <w:szCs w:val="20"/>
          <w:lang w:val="en-CA"/>
        </w:rPr>
        <w:t xml:space="preserve">The total cost of the project is USD 27,619,303. This is financed through a GEF grant of USD 5,279,452, USD 270,000 in cash co-financing to be administered by UNDP and </w:t>
      </w:r>
      <w:r w:rsidR="007B5025" w:rsidRPr="00D57400">
        <w:rPr>
          <w:rFonts w:ascii="Calibri" w:hAnsi="Calibri"/>
          <w:sz w:val="20"/>
          <w:szCs w:val="20"/>
          <w:lang w:val="en-CA"/>
        </w:rPr>
        <w:t>USD 22,069,851 in baseline co-financing</w:t>
      </w:r>
      <w:r w:rsidRPr="00D57400">
        <w:rPr>
          <w:rFonts w:ascii="Calibri" w:hAnsi="Calibri"/>
          <w:sz w:val="20"/>
          <w:szCs w:val="20"/>
          <w:lang w:val="en-CA"/>
        </w:rPr>
        <w:t>.  UNDP, as the GEF Implementing Agency, is responsible for the execution of the GEF resources and the cash co-financing transferred to UNDP bank account only.</w:t>
      </w:r>
    </w:p>
    <w:p w14:paraId="7A786669" w14:textId="77777777" w:rsidR="00302BFE" w:rsidRPr="00D57400" w:rsidRDefault="0057587F" w:rsidP="00C46720">
      <w:pPr>
        <w:pStyle w:val="Paragraphedeliste"/>
        <w:numPr>
          <w:ilvl w:val="0"/>
          <w:numId w:val="14"/>
        </w:numPr>
        <w:tabs>
          <w:tab w:val="left" w:pos="284"/>
        </w:tabs>
        <w:spacing w:before="120" w:after="120"/>
        <w:ind w:left="0" w:firstLine="0"/>
        <w:jc w:val="both"/>
        <w:rPr>
          <w:rFonts w:ascii="Calibri" w:hAnsi="Calibri"/>
          <w:sz w:val="20"/>
          <w:szCs w:val="20"/>
          <w:lang w:val="en-CA"/>
        </w:rPr>
      </w:pPr>
      <w:r w:rsidRPr="00D57400">
        <w:rPr>
          <w:rFonts w:ascii="Calibri" w:hAnsi="Calibri"/>
          <w:sz w:val="20"/>
          <w:szCs w:val="20"/>
          <w:u w:val="single"/>
        </w:rPr>
        <w:t>Baseline</w:t>
      </w:r>
      <w:r w:rsidR="00302BFE" w:rsidRPr="00D57400">
        <w:rPr>
          <w:rFonts w:ascii="Calibri" w:hAnsi="Calibri"/>
          <w:sz w:val="20"/>
          <w:szCs w:val="20"/>
          <w:u w:val="single"/>
        </w:rPr>
        <w:t xml:space="preserve"> co-financing</w:t>
      </w:r>
      <w:r w:rsidR="00302BFE" w:rsidRPr="00D57400">
        <w:rPr>
          <w:rFonts w:ascii="Calibri" w:hAnsi="Calibri"/>
          <w:sz w:val="20"/>
          <w:szCs w:val="20"/>
        </w:rPr>
        <w:t xml:space="preserve">:  The actual realization of project co-financing will be monitored during the mid-term review and terminal evaluation process and will be reported to the GEF. The planned </w:t>
      </w:r>
      <w:r w:rsidRPr="00D57400">
        <w:rPr>
          <w:rFonts w:ascii="Calibri" w:hAnsi="Calibri"/>
          <w:sz w:val="20"/>
          <w:szCs w:val="20"/>
        </w:rPr>
        <w:t>baseline</w:t>
      </w:r>
      <w:r w:rsidR="00302BFE" w:rsidRPr="00D57400">
        <w:rPr>
          <w:rFonts w:ascii="Calibri" w:hAnsi="Calibri"/>
          <w:sz w:val="20"/>
          <w:szCs w:val="20"/>
        </w:rPr>
        <w:t xml:space="preserve"> co-financing will be used as follows:</w:t>
      </w:r>
    </w:p>
    <w:p w14:paraId="77FDCC71" w14:textId="77777777" w:rsidR="00302BFE" w:rsidRPr="00D57400" w:rsidRDefault="00302BFE" w:rsidP="00302BFE">
      <w:pPr>
        <w:autoSpaceDE w:val="0"/>
        <w:autoSpaceDN w:val="0"/>
        <w:adjustRightInd w:val="0"/>
        <w:spacing w:after="0"/>
        <w:jc w:val="left"/>
        <w:rPr>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993"/>
        <w:gridCol w:w="1275"/>
        <w:gridCol w:w="2966"/>
        <w:gridCol w:w="720"/>
        <w:gridCol w:w="1399"/>
      </w:tblGrid>
      <w:tr w:rsidR="003759A1" w:rsidRPr="00D57400" w14:paraId="69E52A9D" w14:textId="77777777" w:rsidTr="00243B15">
        <w:trPr>
          <w:jc w:val="center"/>
        </w:trPr>
        <w:tc>
          <w:tcPr>
            <w:tcW w:w="2223" w:type="dxa"/>
            <w:shd w:val="clear" w:color="auto" w:fill="auto"/>
          </w:tcPr>
          <w:p w14:paraId="5E990675" w14:textId="77777777" w:rsidR="00302BFE" w:rsidRPr="00D57400" w:rsidRDefault="00302BFE" w:rsidP="00243B15">
            <w:pPr>
              <w:autoSpaceDE w:val="0"/>
              <w:autoSpaceDN w:val="0"/>
              <w:adjustRightInd w:val="0"/>
              <w:spacing w:after="0"/>
              <w:jc w:val="center"/>
              <w:rPr>
                <w:b/>
                <w:sz w:val="18"/>
                <w:szCs w:val="18"/>
              </w:rPr>
            </w:pPr>
            <w:r w:rsidRPr="00D57400">
              <w:rPr>
                <w:b/>
                <w:sz w:val="18"/>
                <w:szCs w:val="18"/>
              </w:rPr>
              <w:t>Co-financing source</w:t>
            </w:r>
          </w:p>
        </w:tc>
        <w:tc>
          <w:tcPr>
            <w:tcW w:w="993" w:type="dxa"/>
            <w:shd w:val="clear" w:color="auto" w:fill="auto"/>
          </w:tcPr>
          <w:p w14:paraId="2F9996A3" w14:textId="77777777" w:rsidR="00302BFE" w:rsidRPr="00D57400" w:rsidRDefault="00302BFE" w:rsidP="00243B15">
            <w:pPr>
              <w:autoSpaceDE w:val="0"/>
              <w:autoSpaceDN w:val="0"/>
              <w:adjustRightInd w:val="0"/>
              <w:spacing w:after="0"/>
              <w:jc w:val="center"/>
              <w:rPr>
                <w:b/>
                <w:sz w:val="18"/>
                <w:szCs w:val="18"/>
              </w:rPr>
            </w:pPr>
            <w:r w:rsidRPr="00D57400">
              <w:rPr>
                <w:b/>
                <w:sz w:val="18"/>
                <w:szCs w:val="18"/>
              </w:rPr>
              <w:t>Co-financing type</w:t>
            </w:r>
          </w:p>
        </w:tc>
        <w:tc>
          <w:tcPr>
            <w:tcW w:w="1275" w:type="dxa"/>
            <w:shd w:val="clear" w:color="auto" w:fill="auto"/>
          </w:tcPr>
          <w:p w14:paraId="3234C6C7" w14:textId="77777777" w:rsidR="00302BFE" w:rsidRPr="00D57400" w:rsidRDefault="00302BFE" w:rsidP="00243B15">
            <w:pPr>
              <w:autoSpaceDE w:val="0"/>
              <w:autoSpaceDN w:val="0"/>
              <w:adjustRightInd w:val="0"/>
              <w:spacing w:after="0"/>
              <w:jc w:val="center"/>
              <w:rPr>
                <w:b/>
                <w:sz w:val="18"/>
                <w:szCs w:val="18"/>
              </w:rPr>
            </w:pPr>
            <w:r w:rsidRPr="00D57400">
              <w:rPr>
                <w:b/>
                <w:sz w:val="18"/>
                <w:szCs w:val="18"/>
              </w:rPr>
              <w:t>Co-financing amount (USD)</w:t>
            </w:r>
          </w:p>
        </w:tc>
        <w:tc>
          <w:tcPr>
            <w:tcW w:w="2966" w:type="dxa"/>
            <w:shd w:val="clear" w:color="auto" w:fill="auto"/>
          </w:tcPr>
          <w:p w14:paraId="2DBA98C9" w14:textId="77777777" w:rsidR="00302BFE" w:rsidRPr="00D57400" w:rsidRDefault="00302BFE" w:rsidP="00243B15">
            <w:pPr>
              <w:autoSpaceDE w:val="0"/>
              <w:autoSpaceDN w:val="0"/>
              <w:adjustRightInd w:val="0"/>
              <w:spacing w:after="0"/>
              <w:jc w:val="center"/>
              <w:rPr>
                <w:b/>
                <w:sz w:val="18"/>
                <w:szCs w:val="18"/>
              </w:rPr>
            </w:pPr>
            <w:r w:rsidRPr="00D57400">
              <w:rPr>
                <w:b/>
                <w:sz w:val="18"/>
                <w:szCs w:val="18"/>
              </w:rPr>
              <w:t>Planned Activities/Outputs</w:t>
            </w:r>
          </w:p>
        </w:tc>
        <w:tc>
          <w:tcPr>
            <w:tcW w:w="720" w:type="dxa"/>
            <w:shd w:val="clear" w:color="auto" w:fill="auto"/>
          </w:tcPr>
          <w:p w14:paraId="6A841E59" w14:textId="77777777" w:rsidR="00302BFE" w:rsidRPr="00D57400" w:rsidRDefault="00302BFE" w:rsidP="00243B15">
            <w:pPr>
              <w:autoSpaceDE w:val="0"/>
              <w:autoSpaceDN w:val="0"/>
              <w:adjustRightInd w:val="0"/>
              <w:spacing w:after="0"/>
              <w:jc w:val="center"/>
              <w:rPr>
                <w:b/>
                <w:sz w:val="18"/>
                <w:szCs w:val="18"/>
              </w:rPr>
            </w:pPr>
            <w:r w:rsidRPr="00D57400">
              <w:rPr>
                <w:b/>
                <w:sz w:val="18"/>
                <w:szCs w:val="18"/>
              </w:rPr>
              <w:t>Risks</w:t>
            </w:r>
          </w:p>
        </w:tc>
        <w:tc>
          <w:tcPr>
            <w:tcW w:w="1399" w:type="dxa"/>
            <w:shd w:val="clear" w:color="auto" w:fill="auto"/>
          </w:tcPr>
          <w:p w14:paraId="698D3989" w14:textId="77777777" w:rsidR="00302BFE" w:rsidRPr="00D57400" w:rsidRDefault="00302BFE" w:rsidP="00243B15">
            <w:pPr>
              <w:autoSpaceDE w:val="0"/>
              <w:autoSpaceDN w:val="0"/>
              <w:adjustRightInd w:val="0"/>
              <w:spacing w:after="0"/>
              <w:jc w:val="center"/>
              <w:rPr>
                <w:b/>
                <w:sz w:val="18"/>
                <w:szCs w:val="18"/>
              </w:rPr>
            </w:pPr>
            <w:r w:rsidRPr="00D57400">
              <w:rPr>
                <w:b/>
                <w:sz w:val="18"/>
                <w:szCs w:val="18"/>
              </w:rPr>
              <w:t>Risk Mitigation Measures</w:t>
            </w:r>
          </w:p>
        </w:tc>
      </w:tr>
      <w:tr w:rsidR="003759A1" w:rsidRPr="00D57400" w14:paraId="4F11668B" w14:textId="77777777" w:rsidTr="00243B15">
        <w:trPr>
          <w:jc w:val="center"/>
        </w:trPr>
        <w:tc>
          <w:tcPr>
            <w:tcW w:w="2223" w:type="dxa"/>
            <w:shd w:val="clear" w:color="auto" w:fill="auto"/>
          </w:tcPr>
          <w:p w14:paraId="17A0ADD1" w14:textId="77777777" w:rsidR="00302BFE" w:rsidRPr="00D57400" w:rsidRDefault="00302BFE" w:rsidP="00243B15">
            <w:pPr>
              <w:autoSpaceDE w:val="0"/>
              <w:autoSpaceDN w:val="0"/>
              <w:adjustRightInd w:val="0"/>
              <w:spacing w:after="0"/>
              <w:jc w:val="left"/>
              <w:rPr>
                <w:i/>
                <w:sz w:val="18"/>
                <w:szCs w:val="18"/>
              </w:rPr>
            </w:pPr>
            <w:r w:rsidRPr="00D57400">
              <w:rPr>
                <w:rFonts w:cs="Arial"/>
                <w:sz w:val="18"/>
                <w:szCs w:val="18"/>
              </w:rPr>
              <w:t>UNDP</w:t>
            </w:r>
          </w:p>
        </w:tc>
        <w:tc>
          <w:tcPr>
            <w:tcW w:w="993" w:type="dxa"/>
            <w:shd w:val="clear" w:color="auto" w:fill="auto"/>
          </w:tcPr>
          <w:p w14:paraId="0A38EA2B" w14:textId="77777777" w:rsidR="00302BFE" w:rsidRPr="00D57400" w:rsidRDefault="00302BFE" w:rsidP="00243B15">
            <w:pPr>
              <w:autoSpaceDE w:val="0"/>
              <w:autoSpaceDN w:val="0"/>
              <w:adjustRightInd w:val="0"/>
              <w:spacing w:after="0"/>
              <w:jc w:val="left"/>
              <w:rPr>
                <w:i/>
                <w:sz w:val="18"/>
                <w:szCs w:val="18"/>
              </w:rPr>
            </w:pPr>
            <w:r w:rsidRPr="00D57400">
              <w:rPr>
                <w:sz w:val="18"/>
                <w:szCs w:val="18"/>
              </w:rPr>
              <w:t>Grant</w:t>
            </w:r>
          </w:p>
        </w:tc>
        <w:tc>
          <w:tcPr>
            <w:tcW w:w="1275" w:type="dxa"/>
            <w:shd w:val="clear" w:color="auto" w:fill="auto"/>
          </w:tcPr>
          <w:p w14:paraId="447C32C9" w14:textId="77777777" w:rsidR="00302BFE" w:rsidRPr="00D57400" w:rsidRDefault="00302BFE" w:rsidP="00243B15">
            <w:pPr>
              <w:autoSpaceDE w:val="0"/>
              <w:autoSpaceDN w:val="0"/>
              <w:adjustRightInd w:val="0"/>
              <w:spacing w:after="0"/>
              <w:jc w:val="left"/>
              <w:rPr>
                <w:sz w:val="18"/>
                <w:szCs w:val="18"/>
              </w:rPr>
            </w:pPr>
            <w:r w:rsidRPr="00D57400">
              <w:rPr>
                <w:sz w:val="18"/>
                <w:szCs w:val="18"/>
              </w:rPr>
              <w:t>270,000</w:t>
            </w:r>
          </w:p>
        </w:tc>
        <w:tc>
          <w:tcPr>
            <w:tcW w:w="2966" w:type="dxa"/>
            <w:shd w:val="clear" w:color="auto" w:fill="auto"/>
          </w:tcPr>
          <w:p w14:paraId="6BB52794" w14:textId="77777777" w:rsidR="00302BFE" w:rsidRPr="00D57400" w:rsidRDefault="00302BFE" w:rsidP="00243B15">
            <w:pPr>
              <w:autoSpaceDE w:val="0"/>
              <w:autoSpaceDN w:val="0"/>
              <w:adjustRightInd w:val="0"/>
              <w:spacing w:after="0"/>
              <w:jc w:val="left"/>
              <w:rPr>
                <w:i/>
                <w:sz w:val="18"/>
                <w:szCs w:val="18"/>
                <w:lang w:val="en-CA"/>
              </w:rPr>
            </w:pPr>
            <w:r w:rsidRPr="00D57400">
              <w:rPr>
                <w:sz w:val="18"/>
                <w:szCs w:val="18"/>
              </w:rPr>
              <w:t>Staff costs and general operation expenses for quality assurance and oversight and support to NIM functions</w:t>
            </w:r>
          </w:p>
        </w:tc>
        <w:tc>
          <w:tcPr>
            <w:tcW w:w="720" w:type="dxa"/>
            <w:shd w:val="clear" w:color="auto" w:fill="auto"/>
          </w:tcPr>
          <w:p w14:paraId="1FBC3B73" w14:textId="77777777" w:rsidR="00302BFE" w:rsidRPr="00D57400" w:rsidRDefault="00302BFE" w:rsidP="00243B15">
            <w:pPr>
              <w:autoSpaceDE w:val="0"/>
              <w:autoSpaceDN w:val="0"/>
              <w:adjustRightInd w:val="0"/>
              <w:spacing w:after="0"/>
              <w:jc w:val="left"/>
              <w:rPr>
                <w:sz w:val="18"/>
                <w:szCs w:val="18"/>
              </w:rPr>
            </w:pPr>
            <w:r w:rsidRPr="00D57400">
              <w:rPr>
                <w:sz w:val="18"/>
                <w:szCs w:val="18"/>
              </w:rPr>
              <w:t>Low</w:t>
            </w:r>
          </w:p>
        </w:tc>
        <w:tc>
          <w:tcPr>
            <w:tcW w:w="1399" w:type="dxa"/>
            <w:shd w:val="clear" w:color="auto" w:fill="auto"/>
          </w:tcPr>
          <w:p w14:paraId="134166CC" w14:textId="77777777" w:rsidR="00302BFE" w:rsidRPr="00D57400" w:rsidRDefault="00302BFE" w:rsidP="00243B15">
            <w:pPr>
              <w:autoSpaceDE w:val="0"/>
              <w:autoSpaceDN w:val="0"/>
              <w:adjustRightInd w:val="0"/>
              <w:spacing w:after="0"/>
              <w:jc w:val="left"/>
              <w:rPr>
                <w:sz w:val="18"/>
                <w:szCs w:val="18"/>
              </w:rPr>
            </w:pPr>
            <w:r w:rsidRPr="00D57400">
              <w:rPr>
                <w:sz w:val="18"/>
                <w:szCs w:val="18"/>
              </w:rPr>
              <w:t>N.A.</w:t>
            </w:r>
          </w:p>
        </w:tc>
      </w:tr>
      <w:tr w:rsidR="003759A1" w:rsidRPr="00D57400" w14:paraId="0EB7FBE3" w14:textId="77777777" w:rsidTr="00243B15">
        <w:trPr>
          <w:jc w:val="center"/>
        </w:trPr>
        <w:tc>
          <w:tcPr>
            <w:tcW w:w="2223" w:type="dxa"/>
            <w:shd w:val="clear" w:color="auto" w:fill="auto"/>
          </w:tcPr>
          <w:p w14:paraId="6997B271" w14:textId="2A65CC17" w:rsidR="00302BFE" w:rsidRPr="00D57400" w:rsidRDefault="00CF65C6" w:rsidP="00243B15">
            <w:pPr>
              <w:autoSpaceDE w:val="0"/>
              <w:autoSpaceDN w:val="0"/>
              <w:adjustRightInd w:val="0"/>
              <w:spacing w:after="0"/>
              <w:jc w:val="left"/>
              <w:rPr>
                <w:rFonts w:cs="Arial"/>
                <w:sz w:val="18"/>
                <w:szCs w:val="18"/>
              </w:rPr>
            </w:pPr>
            <w:r w:rsidRPr="00342675">
              <w:rPr>
                <w:rFonts w:cs="Arial"/>
                <w:sz w:val="18"/>
                <w:szCs w:val="18"/>
                <w:highlight w:val="green"/>
              </w:rPr>
              <w:t>SP Conseil Nation Devel Durabl under the Ministry in charge of the Environment</w:t>
            </w:r>
          </w:p>
          <w:p w14:paraId="7BA591FB" w14:textId="77777777" w:rsidR="00302BFE" w:rsidRPr="00D57400" w:rsidRDefault="00302BFE" w:rsidP="00243B15">
            <w:pPr>
              <w:autoSpaceDE w:val="0"/>
              <w:autoSpaceDN w:val="0"/>
              <w:adjustRightInd w:val="0"/>
              <w:spacing w:after="0"/>
              <w:jc w:val="left"/>
              <w:rPr>
                <w:sz w:val="18"/>
                <w:szCs w:val="18"/>
                <w:lang w:val="en-CA"/>
              </w:rPr>
            </w:pPr>
            <w:r w:rsidRPr="00D57400">
              <w:rPr>
                <w:sz w:val="18"/>
                <w:szCs w:val="18"/>
                <w:lang w:val="en-CA"/>
              </w:rPr>
              <w:t>(Participatory management of classified forests for REDD+; Project to mitigate the effects of water stress on large fauna; Support for the sustainable management of forest resources; Decentralized Management of Forests and Woodlands Project)</w:t>
            </w:r>
          </w:p>
        </w:tc>
        <w:tc>
          <w:tcPr>
            <w:tcW w:w="993" w:type="dxa"/>
            <w:shd w:val="clear" w:color="auto" w:fill="auto"/>
          </w:tcPr>
          <w:p w14:paraId="19DE50D5" w14:textId="77777777" w:rsidR="00302BFE" w:rsidRPr="00D57400" w:rsidRDefault="00302BFE" w:rsidP="00243B15">
            <w:pPr>
              <w:autoSpaceDE w:val="0"/>
              <w:autoSpaceDN w:val="0"/>
              <w:adjustRightInd w:val="0"/>
              <w:spacing w:after="0"/>
              <w:jc w:val="left"/>
              <w:rPr>
                <w:sz w:val="18"/>
                <w:szCs w:val="18"/>
              </w:rPr>
            </w:pPr>
            <w:r w:rsidRPr="00D57400">
              <w:rPr>
                <w:sz w:val="18"/>
                <w:szCs w:val="18"/>
              </w:rPr>
              <w:t>Grant</w:t>
            </w:r>
          </w:p>
        </w:tc>
        <w:tc>
          <w:tcPr>
            <w:tcW w:w="1275" w:type="dxa"/>
            <w:shd w:val="clear" w:color="auto" w:fill="auto"/>
          </w:tcPr>
          <w:p w14:paraId="00CFBE98" w14:textId="77777777" w:rsidR="00302BFE" w:rsidRPr="00D57400" w:rsidRDefault="00302BFE" w:rsidP="00243B15">
            <w:pPr>
              <w:autoSpaceDE w:val="0"/>
              <w:autoSpaceDN w:val="0"/>
              <w:adjustRightInd w:val="0"/>
              <w:spacing w:after="0"/>
              <w:jc w:val="left"/>
              <w:rPr>
                <w:sz w:val="18"/>
                <w:szCs w:val="18"/>
              </w:rPr>
            </w:pPr>
            <w:r w:rsidRPr="00D57400">
              <w:rPr>
                <w:rFonts w:cs="Arial"/>
                <w:sz w:val="18"/>
                <w:szCs w:val="18"/>
              </w:rPr>
              <w:t>10,318,111</w:t>
            </w:r>
          </w:p>
        </w:tc>
        <w:tc>
          <w:tcPr>
            <w:tcW w:w="2966" w:type="dxa"/>
            <w:shd w:val="clear" w:color="auto" w:fill="auto"/>
          </w:tcPr>
          <w:p w14:paraId="3CCF7E13" w14:textId="77777777" w:rsidR="00302BFE" w:rsidRPr="00D57400" w:rsidRDefault="00302BFE" w:rsidP="00243B15">
            <w:pPr>
              <w:autoSpaceDE w:val="0"/>
              <w:autoSpaceDN w:val="0"/>
              <w:adjustRightInd w:val="0"/>
              <w:spacing w:after="0"/>
              <w:jc w:val="left"/>
              <w:rPr>
                <w:sz w:val="18"/>
                <w:szCs w:val="18"/>
              </w:rPr>
            </w:pPr>
            <w:r w:rsidRPr="00D57400">
              <w:rPr>
                <w:sz w:val="18"/>
                <w:szCs w:val="18"/>
              </w:rPr>
              <w:t>Implementation of MRV system, improvement of forest governance for REDD+ (output 1.3);</w:t>
            </w:r>
          </w:p>
          <w:p w14:paraId="7F2462DC" w14:textId="77777777" w:rsidR="00302BFE" w:rsidRPr="00D57400" w:rsidRDefault="00302BFE" w:rsidP="00243B15">
            <w:pPr>
              <w:autoSpaceDE w:val="0"/>
              <w:autoSpaceDN w:val="0"/>
              <w:adjustRightInd w:val="0"/>
              <w:spacing w:after="0"/>
              <w:jc w:val="left"/>
              <w:rPr>
                <w:sz w:val="18"/>
                <w:szCs w:val="18"/>
              </w:rPr>
            </w:pPr>
            <w:r w:rsidRPr="00D57400">
              <w:rPr>
                <w:sz w:val="18"/>
                <w:szCs w:val="18"/>
              </w:rPr>
              <w:t>Support for the management of water resources, HWC mitigation, and collaborative management involving adjacent communities in Nazinga and Sissili PAs (outputs 2.2, 2.4);</w:t>
            </w:r>
          </w:p>
          <w:p w14:paraId="31F193EC" w14:textId="77777777" w:rsidR="00302BFE" w:rsidRPr="00D57400" w:rsidRDefault="00302BFE" w:rsidP="00243B15">
            <w:pPr>
              <w:autoSpaceDE w:val="0"/>
              <w:autoSpaceDN w:val="0"/>
              <w:adjustRightInd w:val="0"/>
              <w:spacing w:after="0"/>
              <w:jc w:val="left"/>
              <w:rPr>
                <w:sz w:val="18"/>
                <w:szCs w:val="18"/>
              </w:rPr>
            </w:pPr>
            <w:r w:rsidRPr="00D57400">
              <w:rPr>
                <w:sz w:val="18"/>
                <w:szCs w:val="18"/>
              </w:rPr>
              <w:t>Support to forest products value chains, protection and management of forest resources, capacity development for environment actors (outputs 3.1, 3.2, 3.3);</w:t>
            </w:r>
          </w:p>
          <w:p w14:paraId="1BC4A445" w14:textId="77777777" w:rsidR="00302BFE" w:rsidRPr="00D57400" w:rsidRDefault="00302BFE" w:rsidP="00243B15">
            <w:pPr>
              <w:autoSpaceDE w:val="0"/>
              <w:autoSpaceDN w:val="0"/>
              <w:adjustRightInd w:val="0"/>
              <w:spacing w:after="0"/>
              <w:jc w:val="left"/>
              <w:rPr>
                <w:sz w:val="18"/>
                <w:szCs w:val="18"/>
              </w:rPr>
            </w:pPr>
            <w:r w:rsidRPr="00D57400">
              <w:rPr>
                <w:sz w:val="18"/>
                <w:szCs w:val="18"/>
              </w:rPr>
              <w:t xml:space="preserve">improved </w:t>
            </w:r>
            <w:r w:rsidRPr="00D57400">
              <w:rPr>
                <w:szCs w:val="20"/>
                <w:lang w:val="en-GB"/>
              </w:rPr>
              <w:t>NTFP</w:t>
            </w:r>
            <w:r w:rsidRPr="00D57400">
              <w:rPr>
                <w:sz w:val="18"/>
                <w:szCs w:val="18"/>
              </w:rPr>
              <w:t xml:space="preserve"> value chains, sustainable management of community forests, enhanced livelihoods based on improved management of agro-silvo-pastoral practices (outputs 3.1, 3.2, 3.3)</w:t>
            </w:r>
          </w:p>
        </w:tc>
        <w:tc>
          <w:tcPr>
            <w:tcW w:w="720" w:type="dxa"/>
            <w:shd w:val="clear" w:color="auto" w:fill="auto"/>
          </w:tcPr>
          <w:p w14:paraId="61DEB53E" w14:textId="77777777" w:rsidR="00302BFE" w:rsidRPr="00D57400" w:rsidRDefault="00302BFE" w:rsidP="00243B15">
            <w:pPr>
              <w:autoSpaceDE w:val="0"/>
              <w:autoSpaceDN w:val="0"/>
              <w:adjustRightInd w:val="0"/>
              <w:spacing w:after="0"/>
              <w:jc w:val="left"/>
              <w:rPr>
                <w:sz w:val="18"/>
                <w:szCs w:val="18"/>
              </w:rPr>
            </w:pPr>
            <w:r w:rsidRPr="00D57400">
              <w:rPr>
                <w:sz w:val="18"/>
                <w:szCs w:val="18"/>
              </w:rPr>
              <w:t>Low</w:t>
            </w:r>
          </w:p>
        </w:tc>
        <w:tc>
          <w:tcPr>
            <w:tcW w:w="1399" w:type="dxa"/>
            <w:shd w:val="clear" w:color="auto" w:fill="auto"/>
          </w:tcPr>
          <w:p w14:paraId="37DC04FC" w14:textId="77777777" w:rsidR="00302BFE" w:rsidRPr="00D57400" w:rsidRDefault="00302BFE" w:rsidP="00243B15">
            <w:pPr>
              <w:autoSpaceDE w:val="0"/>
              <w:autoSpaceDN w:val="0"/>
              <w:adjustRightInd w:val="0"/>
              <w:spacing w:after="0"/>
              <w:jc w:val="left"/>
              <w:rPr>
                <w:sz w:val="18"/>
                <w:szCs w:val="18"/>
              </w:rPr>
            </w:pPr>
            <w:r w:rsidRPr="00D57400">
              <w:rPr>
                <w:sz w:val="18"/>
                <w:szCs w:val="18"/>
              </w:rPr>
              <w:t>The UNDP Country Office will monitor the co-financing contributions to the project</w:t>
            </w:r>
          </w:p>
        </w:tc>
      </w:tr>
      <w:tr w:rsidR="003759A1" w:rsidRPr="00D57400" w14:paraId="03C0AFE2" w14:textId="77777777" w:rsidTr="00243B15">
        <w:trPr>
          <w:jc w:val="center"/>
        </w:trPr>
        <w:tc>
          <w:tcPr>
            <w:tcW w:w="2223" w:type="dxa"/>
            <w:shd w:val="clear" w:color="auto" w:fill="auto"/>
          </w:tcPr>
          <w:p w14:paraId="4346D9C1" w14:textId="77777777" w:rsidR="00302BFE" w:rsidRPr="00D57400" w:rsidRDefault="00302BFE" w:rsidP="00243B15">
            <w:pPr>
              <w:autoSpaceDE w:val="0"/>
              <w:autoSpaceDN w:val="0"/>
              <w:adjustRightInd w:val="0"/>
              <w:spacing w:after="0"/>
              <w:jc w:val="left"/>
              <w:rPr>
                <w:rFonts w:cs="Arial"/>
                <w:sz w:val="18"/>
                <w:szCs w:val="18"/>
              </w:rPr>
            </w:pPr>
            <w:r w:rsidRPr="00D57400">
              <w:rPr>
                <w:rFonts w:cs="Arial"/>
                <w:sz w:val="18"/>
                <w:szCs w:val="18"/>
              </w:rPr>
              <w:t>Ministry of Agriculture and Hydro-agricultural Infrastructure</w:t>
            </w:r>
          </w:p>
          <w:p w14:paraId="101C93FD" w14:textId="77777777" w:rsidR="00302BFE" w:rsidRPr="00D57400" w:rsidRDefault="00302BFE" w:rsidP="00243B15">
            <w:pPr>
              <w:autoSpaceDE w:val="0"/>
              <w:autoSpaceDN w:val="0"/>
              <w:adjustRightInd w:val="0"/>
              <w:spacing w:after="0"/>
              <w:jc w:val="left"/>
              <w:rPr>
                <w:rFonts w:cs="Arial"/>
                <w:sz w:val="18"/>
                <w:szCs w:val="18"/>
                <w:lang w:val="en-CA"/>
              </w:rPr>
            </w:pPr>
            <w:r w:rsidRPr="00D57400">
              <w:rPr>
                <w:rFonts w:cs="Arial"/>
                <w:sz w:val="18"/>
                <w:szCs w:val="18"/>
                <w:lang w:val="en-CA"/>
              </w:rPr>
              <w:t>(Agricultural Economic Growth Program, Agricultural Productivity and Food Security Improvement Project, Lowland Development)</w:t>
            </w:r>
          </w:p>
        </w:tc>
        <w:tc>
          <w:tcPr>
            <w:tcW w:w="993" w:type="dxa"/>
            <w:shd w:val="clear" w:color="auto" w:fill="auto"/>
          </w:tcPr>
          <w:p w14:paraId="33660057" w14:textId="77777777" w:rsidR="00302BFE" w:rsidRPr="00D57400" w:rsidRDefault="00302BFE" w:rsidP="00243B15">
            <w:pPr>
              <w:autoSpaceDE w:val="0"/>
              <w:autoSpaceDN w:val="0"/>
              <w:adjustRightInd w:val="0"/>
              <w:spacing w:after="0"/>
              <w:jc w:val="left"/>
              <w:rPr>
                <w:sz w:val="18"/>
                <w:szCs w:val="18"/>
              </w:rPr>
            </w:pPr>
            <w:r w:rsidRPr="00D57400">
              <w:rPr>
                <w:sz w:val="18"/>
                <w:szCs w:val="18"/>
              </w:rPr>
              <w:t>Grant</w:t>
            </w:r>
          </w:p>
        </w:tc>
        <w:tc>
          <w:tcPr>
            <w:tcW w:w="1275" w:type="dxa"/>
            <w:shd w:val="clear" w:color="auto" w:fill="auto"/>
          </w:tcPr>
          <w:p w14:paraId="6B27E29E" w14:textId="77777777" w:rsidR="00302BFE" w:rsidRPr="00D57400" w:rsidRDefault="00302BFE" w:rsidP="00243B15">
            <w:pPr>
              <w:autoSpaceDE w:val="0"/>
              <w:autoSpaceDN w:val="0"/>
              <w:adjustRightInd w:val="0"/>
              <w:spacing w:after="0"/>
              <w:jc w:val="left"/>
              <w:rPr>
                <w:rFonts w:cs="Arial"/>
                <w:sz w:val="18"/>
                <w:szCs w:val="18"/>
              </w:rPr>
            </w:pPr>
            <w:r w:rsidRPr="00D57400">
              <w:rPr>
                <w:rFonts w:cs="Arial"/>
                <w:sz w:val="18"/>
                <w:szCs w:val="18"/>
              </w:rPr>
              <w:t>6,780,945</w:t>
            </w:r>
          </w:p>
        </w:tc>
        <w:tc>
          <w:tcPr>
            <w:tcW w:w="2966" w:type="dxa"/>
            <w:shd w:val="clear" w:color="auto" w:fill="auto"/>
          </w:tcPr>
          <w:p w14:paraId="742DBF81" w14:textId="77777777" w:rsidR="00302BFE" w:rsidRPr="00D57400" w:rsidRDefault="00302BFE" w:rsidP="00243B15">
            <w:pPr>
              <w:autoSpaceDE w:val="0"/>
              <w:autoSpaceDN w:val="0"/>
              <w:adjustRightInd w:val="0"/>
              <w:spacing w:after="0"/>
              <w:jc w:val="left"/>
              <w:rPr>
                <w:sz w:val="18"/>
                <w:szCs w:val="18"/>
              </w:rPr>
            </w:pPr>
            <w:r w:rsidRPr="00D57400">
              <w:rPr>
                <w:sz w:val="18"/>
                <w:szCs w:val="18"/>
              </w:rPr>
              <w:t>Capacity development of local authorities (output 1.1);</w:t>
            </w:r>
          </w:p>
          <w:p w14:paraId="1A18BEA9" w14:textId="77777777" w:rsidR="00302BFE" w:rsidRPr="00D57400" w:rsidRDefault="00302BFE" w:rsidP="00243B15">
            <w:pPr>
              <w:autoSpaceDE w:val="0"/>
              <w:autoSpaceDN w:val="0"/>
              <w:adjustRightInd w:val="0"/>
              <w:spacing w:after="0"/>
              <w:jc w:val="left"/>
              <w:rPr>
                <w:sz w:val="18"/>
                <w:szCs w:val="18"/>
              </w:rPr>
            </w:pPr>
            <w:r w:rsidRPr="00D57400">
              <w:rPr>
                <w:sz w:val="18"/>
                <w:szCs w:val="18"/>
              </w:rPr>
              <w:t>Technologies for NTFP valorization and IGA development for local communities neighboring PNKT and Nazinga PAs (output 3.3), update and validation of management and development plans for PNKT and Nazinga PAs (output 2.2);</w:t>
            </w:r>
          </w:p>
          <w:p w14:paraId="42572A8B" w14:textId="77777777" w:rsidR="00302BFE" w:rsidRPr="00D57400" w:rsidRDefault="00302BFE" w:rsidP="00243B15">
            <w:pPr>
              <w:autoSpaceDE w:val="0"/>
              <w:autoSpaceDN w:val="0"/>
              <w:adjustRightInd w:val="0"/>
              <w:spacing w:after="0"/>
              <w:jc w:val="left"/>
              <w:rPr>
                <w:sz w:val="18"/>
                <w:szCs w:val="18"/>
              </w:rPr>
            </w:pPr>
            <w:r w:rsidRPr="00D57400">
              <w:rPr>
                <w:sz w:val="18"/>
                <w:szCs w:val="18"/>
              </w:rPr>
              <w:t>Support to development of shea value chains (output 3.3);</w:t>
            </w:r>
          </w:p>
          <w:p w14:paraId="2507E579" w14:textId="77777777" w:rsidR="00302BFE" w:rsidRPr="00D57400" w:rsidRDefault="00302BFE" w:rsidP="00243B15">
            <w:pPr>
              <w:autoSpaceDE w:val="0"/>
              <w:autoSpaceDN w:val="0"/>
              <w:adjustRightInd w:val="0"/>
              <w:spacing w:after="0"/>
              <w:jc w:val="left"/>
              <w:rPr>
                <w:sz w:val="18"/>
                <w:szCs w:val="18"/>
              </w:rPr>
            </w:pPr>
            <w:r w:rsidRPr="00D57400">
              <w:rPr>
                <w:sz w:val="18"/>
                <w:szCs w:val="18"/>
              </w:rPr>
              <w:t>SLM in lowlands (output 3.1)</w:t>
            </w:r>
          </w:p>
        </w:tc>
        <w:tc>
          <w:tcPr>
            <w:tcW w:w="720" w:type="dxa"/>
            <w:shd w:val="clear" w:color="auto" w:fill="auto"/>
          </w:tcPr>
          <w:p w14:paraId="3AFB17AB" w14:textId="77777777" w:rsidR="00302BFE" w:rsidRPr="00D57400" w:rsidRDefault="00302BFE" w:rsidP="00243B15">
            <w:pPr>
              <w:autoSpaceDE w:val="0"/>
              <w:autoSpaceDN w:val="0"/>
              <w:adjustRightInd w:val="0"/>
              <w:spacing w:after="0"/>
              <w:jc w:val="left"/>
              <w:rPr>
                <w:sz w:val="18"/>
                <w:szCs w:val="18"/>
              </w:rPr>
            </w:pPr>
            <w:r w:rsidRPr="00D57400">
              <w:rPr>
                <w:sz w:val="18"/>
                <w:szCs w:val="18"/>
              </w:rPr>
              <w:t>Low</w:t>
            </w:r>
          </w:p>
        </w:tc>
        <w:tc>
          <w:tcPr>
            <w:tcW w:w="1399" w:type="dxa"/>
            <w:shd w:val="clear" w:color="auto" w:fill="auto"/>
          </w:tcPr>
          <w:p w14:paraId="4DC7C440" w14:textId="77777777" w:rsidR="00302BFE" w:rsidRPr="00D57400" w:rsidRDefault="00302BFE" w:rsidP="00243B15">
            <w:pPr>
              <w:autoSpaceDE w:val="0"/>
              <w:autoSpaceDN w:val="0"/>
              <w:adjustRightInd w:val="0"/>
              <w:spacing w:after="0"/>
              <w:jc w:val="left"/>
              <w:rPr>
                <w:sz w:val="18"/>
                <w:szCs w:val="18"/>
              </w:rPr>
            </w:pPr>
            <w:r w:rsidRPr="00D57400">
              <w:rPr>
                <w:sz w:val="18"/>
                <w:szCs w:val="18"/>
              </w:rPr>
              <w:t>The UNDP Country Office will monitor the co-financing contributions to the project</w:t>
            </w:r>
          </w:p>
        </w:tc>
      </w:tr>
      <w:tr w:rsidR="003759A1" w:rsidRPr="00D57400" w14:paraId="0F4C2A10" w14:textId="77777777" w:rsidTr="00243B15">
        <w:trPr>
          <w:jc w:val="center"/>
        </w:trPr>
        <w:tc>
          <w:tcPr>
            <w:tcW w:w="2223" w:type="dxa"/>
            <w:shd w:val="clear" w:color="auto" w:fill="auto"/>
          </w:tcPr>
          <w:p w14:paraId="12282268" w14:textId="77777777" w:rsidR="00302BFE" w:rsidRPr="00D57400" w:rsidRDefault="00302BFE" w:rsidP="00243B15">
            <w:pPr>
              <w:autoSpaceDE w:val="0"/>
              <w:autoSpaceDN w:val="0"/>
              <w:adjustRightInd w:val="0"/>
              <w:spacing w:after="0"/>
              <w:jc w:val="left"/>
              <w:rPr>
                <w:rFonts w:cs="Arial"/>
                <w:sz w:val="18"/>
                <w:szCs w:val="18"/>
              </w:rPr>
            </w:pPr>
            <w:r w:rsidRPr="00D57400">
              <w:rPr>
                <w:rFonts w:cs="Arial"/>
                <w:sz w:val="18"/>
                <w:szCs w:val="18"/>
              </w:rPr>
              <w:t>Ministry of Animal and Fisheries Resources</w:t>
            </w:r>
          </w:p>
          <w:p w14:paraId="28BCB731" w14:textId="77777777" w:rsidR="00302BFE" w:rsidRPr="00D57400" w:rsidRDefault="00302BFE" w:rsidP="00243B15">
            <w:pPr>
              <w:autoSpaceDE w:val="0"/>
              <w:autoSpaceDN w:val="0"/>
              <w:adjustRightInd w:val="0"/>
              <w:spacing w:after="0"/>
              <w:jc w:val="left"/>
              <w:rPr>
                <w:rFonts w:cs="Arial"/>
                <w:sz w:val="18"/>
                <w:szCs w:val="18"/>
                <w:lang w:val="en-CA"/>
              </w:rPr>
            </w:pPr>
            <w:r w:rsidRPr="00D57400">
              <w:rPr>
                <w:rFonts w:cs="Arial"/>
                <w:sz w:val="18"/>
                <w:szCs w:val="18"/>
                <w:lang w:val="en-CA"/>
              </w:rPr>
              <w:t>(Sahel Regional Support Project for Pastoralism, Livestock Development Support Project in Burkina Faso, Support for the Valorisation of NTFP-2)</w:t>
            </w:r>
          </w:p>
        </w:tc>
        <w:tc>
          <w:tcPr>
            <w:tcW w:w="993" w:type="dxa"/>
            <w:shd w:val="clear" w:color="auto" w:fill="auto"/>
          </w:tcPr>
          <w:p w14:paraId="6ACC8A3F" w14:textId="77777777" w:rsidR="00302BFE" w:rsidRPr="00D57400" w:rsidRDefault="00302BFE" w:rsidP="00243B15">
            <w:pPr>
              <w:autoSpaceDE w:val="0"/>
              <w:autoSpaceDN w:val="0"/>
              <w:adjustRightInd w:val="0"/>
              <w:spacing w:after="0"/>
              <w:jc w:val="left"/>
              <w:rPr>
                <w:sz w:val="18"/>
                <w:szCs w:val="18"/>
              </w:rPr>
            </w:pPr>
            <w:r w:rsidRPr="00D57400">
              <w:rPr>
                <w:sz w:val="18"/>
                <w:szCs w:val="18"/>
              </w:rPr>
              <w:t>Grant</w:t>
            </w:r>
          </w:p>
        </w:tc>
        <w:tc>
          <w:tcPr>
            <w:tcW w:w="1275" w:type="dxa"/>
            <w:shd w:val="clear" w:color="auto" w:fill="auto"/>
          </w:tcPr>
          <w:p w14:paraId="43E07C9C" w14:textId="77777777" w:rsidR="00302BFE" w:rsidRPr="00D57400" w:rsidRDefault="00302BFE" w:rsidP="00243B15">
            <w:pPr>
              <w:autoSpaceDE w:val="0"/>
              <w:autoSpaceDN w:val="0"/>
              <w:adjustRightInd w:val="0"/>
              <w:spacing w:after="0"/>
              <w:jc w:val="left"/>
              <w:rPr>
                <w:rFonts w:cs="Arial"/>
                <w:sz w:val="18"/>
                <w:szCs w:val="18"/>
              </w:rPr>
            </w:pPr>
            <w:r w:rsidRPr="00D57400">
              <w:rPr>
                <w:rFonts w:cs="Arial"/>
                <w:sz w:val="18"/>
                <w:szCs w:val="18"/>
              </w:rPr>
              <w:t>1,500,000</w:t>
            </w:r>
          </w:p>
        </w:tc>
        <w:tc>
          <w:tcPr>
            <w:tcW w:w="2966" w:type="dxa"/>
            <w:shd w:val="clear" w:color="auto" w:fill="auto"/>
          </w:tcPr>
          <w:p w14:paraId="161951E7" w14:textId="77777777" w:rsidR="00302BFE" w:rsidRPr="00D57400" w:rsidRDefault="00302BFE" w:rsidP="00243B15">
            <w:pPr>
              <w:autoSpaceDE w:val="0"/>
              <w:autoSpaceDN w:val="0"/>
              <w:adjustRightInd w:val="0"/>
              <w:spacing w:after="0"/>
              <w:jc w:val="left"/>
              <w:rPr>
                <w:sz w:val="18"/>
                <w:szCs w:val="18"/>
              </w:rPr>
            </w:pPr>
            <w:r w:rsidRPr="00D57400">
              <w:rPr>
                <w:sz w:val="18"/>
                <w:szCs w:val="18"/>
              </w:rPr>
              <w:t>Management tools for pastoral areas, conflict mitigation, management of degraded pastures, legal status of pastoral areas (output 3.2);</w:t>
            </w:r>
          </w:p>
          <w:p w14:paraId="6467CD9A" w14:textId="77777777" w:rsidR="00302BFE" w:rsidRPr="00D57400" w:rsidRDefault="00302BFE" w:rsidP="00243B15">
            <w:pPr>
              <w:autoSpaceDE w:val="0"/>
              <w:autoSpaceDN w:val="0"/>
              <w:adjustRightInd w:val="0"/>
              <w:spacing w:after="0"/>
              <w:jc w:val="left"/>
              <w:rPr>
                <w:sz w:val="18"/>
                <w:szCs w:val="18"/>
              </w:rPr>
            </w:pPr>
            <w:r w:rsidRPr="00D57400">
              <w:rPr>
                <w:sz w:val="18"/>
                <w:szCs w:val="18"/>
              </w:rPr>
              <w:t>Capacity development for devolved technical services (output 3.2);</w:t>
            </w:r>
          </w:p>
          <w:p w14:paraId="7D47801B" w14:textId="77777777" w:rsidR="00302BFE" w:rsidRPr="00D57400" w:rsidRDefault="00302BFE" w:rsidP="00243B15">
            <w:pPr>
              <w:autoSpaceDE w:val="0"/>
              <w:autoSpaceDN w:val="0"/>
              <w:adjustRightInd w:val="0"/>
              <w:spacing w:after="0"/>
              <w:jc w:val="left"/>
              <w:rPr>
                <w:sz w:val="18"/>
                <w:szCs w:val="18"/>
                <w:lang w:val="en-CA"/>
              </w:rPr>
            </w:pPr>
            <w:r w:rsidRPr="00D57400">
              <w:rPr>
                <w:sz w:val="18"/>
                <w:szCs w:val="18"/>
                <w:lang w:val="en-CA"/>
              </w:rPr>
              <w:t>Development of legislative, regulatory and institutional frameworks for the sustainable management of natural resources and the development of value chains related to NTFPs (outputs 3.2, 3.3)</w:t>
            </w:r>
          </w:p>
        </w:tc>
        <w:tc>
          <w:tcPr>
            <w:tcW w:w="720" w:type="dxa"/>
            <w:shd w:val="clear" w:color="auto" w:fill="auto"/>
          </w:tcPr>
          <w:p w14:paraId="3B0A92FB" w14:textId="77777777" w:rsidR="00302BFE" w:rsidRPr="00D57400" w:rsidRDefault="00302BFE" w:rsidP="00243B15">
            <w:pPr>
              <w:autoSpaceDE w:val="0"/>
              <w:autoSpaceDN w:val="0"/>
              <w:adjustRightInd w:val="0"/>
              <w:spacing w:after="0"/>
              <w:jc w:val="left"/>
              <w:rPr>
                <w:sz w:val="18"/>
                <w:szCs w:val="18"/>
              </w:rPr>
            </w:pPr>
            <w:r w:rsidRPr="00D57400">
              <w:rPr>
                <w:sz w:val="18"/>
                <w:szCs w:val="18"/>
              </w:rPr>
              <w:t>Low</w:t>
            </w:r>
          </w:p>
        </w:tc>
        <w:tc>
          <w:tcPr>
            <w:tcW w:w="1399" w:type="dxa"/>
            <w:shd w:val="clear" w:color="auto" w:fill="auto"/>
          </w:tcPr>
          <w:p w14:paraId="1FB574BD" w14:textId="77777777" w:rsidR="00302BFE" w:rsidRPr="00D57400" w:rsidRDefault="00302BFE" w:rsidP="00243B15">
            <w:pPr>
              <w:autoSpaceDE w:val="0"/>
              <w:autoSpaceDN w:val="0"/>
              <w:adjustRightInd w:val="0"/>
              <w:spacing w:after="0"/>
              <w:jc w:val="left"/>
              <w:rPr>
                <w:sz w:val="18"/>
                <w:szCs w:val="18"/>
              </w:rPr>
            </w:pPr>
            <w:r w:rsidRPr="00D57400">
              <w:rPr>
                <w:sz w:val="18"/>
                <w:szCs w:val="18"/>
              </w:rPr>
              <w:t>The UNDP Country Office will monitor the co-financing contributions to the project</w:t>
            </w:r>
          </w:p>
        </w:tc>
      </w:tr>
      <w:tr w:rsidR="003759A1" w:rsidRPr="00D57400" w14:paraId="21E5870C" w14:textId="77777777" w:rsidTr="00243B15">
        <w:trPr>
          <w:jc w:val="center"/>
        </w:trPr>
        <w:tc>
          <w:tcPr>
            <w:tcW w:w="2223" w:type="dxa"/>
            <w:shd w:val="clear" w:color="auto" w:fill="auto"/>
          </w:tcPr>
          <w:p w14:paraId="77F67283" w14:textId="77777777" w:rsidR="00302BFE" w:rsidRPr="00D57400" w:rsidRDefault="00302BFE" w:rsidP="00243B15">
            <w:pPr>
              <w:autoSpaceDE w:val="0"/>
              <w:autoSpaceDN w:val="0"/>
              <w:adjustRightInd w:val="0"/>
              <w:spacing w:after="0"/>
              <w:jc w:val="left"/>
              <w:rPr>
                <w:rFonts w:cs="Arial"/>
                <w:sz w:val="18"/>
                <w:szCs w:val="18"/>
              </w:rPr>
            </w:pPr>
            <w:r w:rsidRPr="00D57400">
              <w:rPr>
                <w:rFonts w:cs="Arial"/>
                <w:sz w:val="18"/>
                <w:szCs w:val="18"/>
              </w:rPr>
              <w:t>Tree Aid</w:t>
            </w:r>
          </w:p>
          <w:p w14:paraId="44940F77" w14:textId="77777777" w:rsidR="00302BFE" w:rsidRPr="00D57400" w:rsidRDefault="00302BFE" w:rsidP="00243B15">
            <w:pPr>
              <w:autoSpaceDE w:val="0"/>
              <w:autoSpaceDN w:val="0"/>
              <w:adjustRightInd w:val="0"/>
              <w:spacing w:after="0"/>
              <w:jc w:val="left"/>
              <w:rPr>
                <w:rFonts w:cs="Arial"/>
                <w:sz w:val="18"/>
                <w:szCs w:val="18"/>
              </w:rPr>
            </w:pPr>
            <w:r w:rsidRPr="00D57400">
              <w:rPr>
                <w:rFonts w:cs="Arial"/>
                <w:sz w:val="18"/>
                <w:szCs w:val="18"/>
              </w:rPr>
              <w:t>(Local governance of forest resources)</w:t>
            </w:r>
          </w:p>
        </w:tc>
        <w:tc>
          <w:tcPr>
            <w:tcW w:w="993" w:type="dxa"/>
            <w:shd w:val="clear" w:color="auto" w:fill="auto"/>
          </w:tcPr>
          <w:p w14:paraId="7F221614" w14:textId="77777777" w:rsidR="00302BFE" w:rsidRPr="00D57400" w:rsidRDefault="00302BFE" w:rsidP="00243B15">
            <w:pPr>
              <w:autoSpaceDE w:val="0"/>
              <w:autoSpaceDN w:val="0"/>
              <w:adjustRightInd w:val="0"/>
              <w:spacing w:after="0"/>
              <w:jc w:val="left"/>
              <w:rPr>
                <w:sz w:val="18"/>
                <w:szCs w:val="18"/>
              </w:rPr>
            </w:pPr>
            <w:r w:rsidRPr="00D57400">
              <w:rPr>
                <w:sz w:val="18"/>
                <w:szCs w:val="18"/>
              </w:rPr>
              <w:t>Grant</w:t>
            </w:r>
          </w:p>
        </w:tc>
        <w:tc>
          <w:tcPr>
            <w:tcW w:w="1275" w:type="dxa"/>
            <w:shd w:val="clear" w:color="auto" w:fill="auto"/>
          </w:tcPr>
          <w:p w14:paraId="59B5F2E7" w14:textId="77777777" w:rsidR="00302BFE" w:rsidRPr="00D57400" w:rsidRDefault="00302BFE" w:rsidP="00243B15">
            <w:pPr>
              <w:autoSpaceDE w:val="0"/>
              <w:autoSpaceDN w:val="0"/>
              <w:adjustRightInd w:val="0"/>
              <w:spacing w:after="0"/>
              <w:jc w:val="left"/>
              <w:rPr>
                <w:rFonts w:cs="Arial"/>
                <w:sz w:val="18"/>
                <w:szCs w:val="18"/>
              </w:rPr>
            </w:pPr>
            <w:r w:rsidRPr="00D57400">
              <w:rPr>
                <w:rFonts w:cs="Arial"/>
                <w:sz w:val="18"/>
                <w:szCs w:val="18"/>
              </w:rPr>
              <w:t>1,198,840</w:t>
            </w:r>
          </w:p>
        </w:tc>
        <w:tc>
          <w:tcPr>
            <w:tcW w:w="2966" w:type="dxa"/>
            <w:shd w:val="clear" w:color="auto" w:fill="auto"/>
          </w:tcPr>
          <w:p w14:paraId="343468A7" w14:textId="77777777" w:rsidR="00302BFE" w:rsidRPr="00D57400" w:rsidRDefault="00302BFE" w:rsidP="00243B15">
            <w:pPr>
              <w:autoSpaceDE w:val="0"/>
              <w:autoSpaceDN w:val="0"/>
              <w:adjustRightInd w:val="0"/>
              <w:spacing w:after="0"/>
              <w:jc w:val="left"/>
              <w:rPr>
                <w:sz w:val="18"/>
                <w:szCs w:val="18"/>
              </w:rPr>
            </w:pPr>
            <w:r w:rsidRPr="00D57400">
              <w:rPr>
                <w:sz w:val="18"/>
                <w:szCs w:val="18"/>
              </w:rPr>
              <w:t xml:space="preserve">Awareness of local communities on forest governance and poverty reduction, capacity development of communes and communities in forest management, development of tools for sustainable and consensual </w:t>
            </w:r>
            <w:r w:rsidRPr="00D57400">
              <w:rPr>
                <w:sz w:val="18"/>
                <w:szCs w:val="18"/>
              </w:rPr>
              <w:lastRenderedPageBreak/>
              <w:t>management of forest resources (output 3.1, 3.2)</w:t>
            </w:r>
          </w:p>
        </w:tc>
        <w:tc>
          <w:tcPr>
            <w:tcW w:w="720" w:type="dxa"/>
            <w:shd w:val="clear" w:color="auto" w:fill="auto"/>
          </w:tcPr>
          <w:p w14:paraId="599F9540" w14:textId="77777777" w:rsidR="00302BFE" w:rsidRPr="00D57400" w:rsidRDefault="00302BFE" w:rsidP="00243B15">
            <w:pPr>
              <w:autoSpaceDE w:val="0"/>
              <w:autoSpaceDN w:val="0"/>
              <w:adjustRightInd w:val="0"/>
              <w:spacing w:after="0"/>
              <w:jc w:val="left"/>
              <w:rPr>
                <w:sz w:val="18"/>
                <w:szCs w:val="18"/>
              </w:rPr>
            </w:pPr>
            <w:r w:rsidRPr="00D57400">
              <w:rPr>
                <w:sz w:val="18"/>
                <w:szCs w:val="18"/>
              </w:rPr>
              <w:lastRenderedPageBreak/>
              <w:t>Low</w:t>
            </w:r>
          </w:p>
        </w:tc>
        <w:tc>
          <w:tcPr>
            <w:tcW w:w="1399" w:type="dxa"/>
            <w:shd w:val="clear" w:color="auto" w:fill="auto"/>
          </w:tcPr>
          <w:p w14:paraId="5A2D9622" w14:textId="77777777" w:rsidR="00302BFE" w:rsidRPr="00D57400" w:rsidRDefault="00302BFE" w:rsidP="00243B15">
            <w:pPr>
              <w:autoSpaceDE w:val="0"/>
              <w:autoSpaceDN w:val="0"/>
              <w:adjustRightInd w:val="0"/>
              <w:spacing w:after="0"/>
              <w:jc w:val="left"/>
              <w:rPr>
                <w:sz w:val="18"/>
                <w:szCs w:val="18"/>
              </w:rPr>
            </w:pPr>
            <w:r w:rsidRPr="00D57400">
              <w:rPr>
                <w:sz w:val="18"/>
                <w:szCs w:val="18"/>
              </w:rPr>
              <w:t>The UNDP Country Office will monitor the co-financing contributions to the project</w:t>
            </w:r>
          </w:p>
        </w:tc>
      </w:tr>
      <w:tr w:rsidR="003759A1" w:rsidRPr="00D57400" w14:paraId="641B99CC" w14:textId="77777777" w:rsidTr="00243B15">
        <w:trPr>
          <w:jc w:val="center"/>
        </w:trPr>
        <w:tc>
          <w:tcPr>
            <w:tcW w:w="2223" w:type="dxa"/>
            <w:shd w:val="clear" w:color="auto" w:fill="auto"/>
          </w:tcPr>
          <w:p w14:paraId="7D7A9206" w14:textId="77777777" w:rsidR="00302BFE" w:rsidRPr="00D57400" w:rsidRDefault="00302BFE" w:rsidP="00243B15">
            <w:pPr>
              <w:autoSpaceDE w:val="0"/>
              <w:autoSpaceDN w:val="0"/>
              <w:adjustRightInd w:val="0"/>
              <w:spacing w:after="0"/>
              <w:jc w:val="left"/>
              <w:rPr>
                <w:rFonts w:cs="Arial"/>
                <w:sz w:val="18"/>
                <w:szCs w:val="18"/>
              </w:rPr>
            </w:pPr>
            <w:r w:rsidRPr="00D57400">
              <w:rPr>
                <w:rFonts w:cs="Arial"/>
                <w:sz w:val="18"/>
                <w:szCs w:val="18"/>
              </w:rPr>
              <w:t>IUCN Burkina Faso</w:t>
            </w:r>
          </w:p>
          <w:p w14:paraId="6240F8FF" w14:textId="77777777" w:rsidR="00302BFE" w:rsidRPr="00D57400" w:rsidRDefault="00302BFE" w:rsidP="00243B15">
            <w:pPr>
              <w:autoSpaceDE w:val="0"/>
              <w:autoSpaceDN w:val="0"/>
              <w:adjustRightInd w:val="0"/>
              <w:spacing w:after="0"/>
              <w:jc w:val="left"/>
              <w:rPr>
                <w:rFonts w:cs="Arial"/>
                <w:sz w:val="18"/>
                <w:szCs w:val="18"/>
              </w:rPr>
            </w:pPr>
            <w:r w:rsidRPr="00D57400">
              <w:rPr>
                <w:rFonts w:cs="Arial"/>
                <w:sz w:val="18"/>
                <w:szCs w:val="18"/>
              </w:rPr>
              <w:t>(Forest Dependent Populations Support Project)</w:t>
            </w:r>
          </w:p>
        </w:tc>
        <w:tc>
          <w:tcPr>
            <w:tcW w:w="993" w:type="dxa"/>
            <w:shd w:val="clear" w:color="auto" w:fill="auto"/>
          </w:tcPr>
          <w:p w14:paraId="719D428C" w14:textId="77777777" w:rsidR="00302BFE" w:rsidRPr="00D57400" w:rsidRDefault="00302BFE" w:rsidP="00243B15">
            <w:pPr>
              <w:autoSpaceDE w:val="0"/>
              <w:autoSpaceDN w:val="0"/>
              <w:adjustRightInd w:val="0"/>
              <w:spacing w:after="0"/>
              <w:jc w:val="left"/>
              <w:rPr>
                <w:sz w:val="18"/>
                <w:szCs w:val="18"/>
              </w:rPr>
            </w:pPr>
            <w:r w:rsidRPr="00D57400">
              <w:rPr>
                <w:sz w:val="18"/>
                <w:szCs w:val="18"/>
              </w:rPr>
              <w:t>Grant</w:t>
            </w:r>
          </w:p>
        </w:tc>
        <w:tc>
          <w:tcPr>
            <w:tcW w:w="1275" w:type="dxa"/>
            <w:shd w:val="clear" w:color="auto" w:fill="auto"/>
          </w:tcPr>
          <w:p w14:paraId="390EF4FD" w14:textId="77777777" w:rsidR="00302BFE" w:rsidRPr="00D57400" w:rsidRDefault="00302BFE" w:rsidP="00243B15">
            <w:pPr>
              <w:autoSpaceDE w:val="0"/>
              <w:autoSpaceDN w:val="0"/>
              <w:adjustRightInd w:val="0"/>
              <w:spacing w:after="0"/>
              <w:jc w:val="left"/>
              <w:rPr>
                <w:rFonts w:cs="Arial"/>
                <w:sz w:val="18"/>
                <w:szCs w:val="18"/>
              </w:rPr>
            </w:pPr>
            <w:r w:rsidRPr="00D57400">
              <w:rPr>
                <w:rFonts w:cs="Arial"/>
                <w:sz w:val="18"/>
                <w:szCs w:val="18"/>
              </w:rPr>
              <w:t>720,000</w:t>
            </w:r>
          </w:p>
        </w:tc>
        <w:tc>
          <w:tcPr>
            <w:tcW w:w="2966" w:type="dxa"/>
            <w:shd w:val="clear" w:color="auto" w:fill="auto"/>
          </w:tcPr>
          <w:p w14:paraId="0DD958C4" w14:textId="77777777" w:rsidR="00302BFE" w:rsidRPr="00D57400" w:rsidRDefault="00302BFE" w:rsidP="00243B15">
            <w:pPr>
              <w:autoSpaceDE w:val="0"/>
              <w:autoSpaceDN w:val="0"/>
              <w:adjustRightInd w:val="0"/>
              <w:spacing w:after="0"/>
              <w:jc w:val="left"/>
              <w:rPr>
                <w:sz w:val="18"/>
                <w:szCs w:val="18"/>
              </w:rPr>
            </w:pPr>
            <w:r w:rsidRPr="00D57400">
              <w:rPr>
                <w:sz w:val="18"/>
                <w:szCs w:val="18"/>
              </w:rPr>
              <w:t>Developing the capacity of local communities living around forests and enhancing their participation in the REDD + process at the local level; initiatives to reduce deforestation and forest degradation; poverty reduction of forest-dependent populations; forest knowledge and capacity building of local actors (outputs 1.3, 3.1, 3.2, 4.2)</w:t>
            </w:r>
          </w:p>
        </w:tc>
        <w:tc>
          <w:tcPr>
            <w:tcW w:w="720" w:type="dxa"/>
            <w:shd w:val="clear" w:color="auto" w:fill="auto"/>
          </w:tcPr>
          <w:p w14:paraId="662F1C49" w14:textId="77777777" w:rsidR="00302BFE" w:rsidRPr="00D57400" w:rsidRDefault="00302BFE" w:rsidP="00243B15">
            <w:pPr>
              <w:autoSpaceDE w:val="0"/>
              <w:autoSpaceDN w:val="0"/>
              <w:adjustRightInd w:val="0"/>
              <w:spacing w:after="0"/>
              <w:jc w:val="left"/>
              <w:rPr>
                <w:sz w:val="18"/>
                <w:szCs w:val="18"/>
              </w:rPr>
            </w:pPr>
            <w:r w:rsidRPr="00D57400">
              <w:rPr>
                <w:sz w:val="18"/>
                <w:szCs w:val="18"/>
              </w:rPr>
              <w:t>Low</w:t>
            </w:r>
          </w:p>
        </w:tc>
        <w:tc>
          <w:tcPr>
            <w:tcW w:w="1399" w:type="dxa"/>
            <w:shd w:val="clear" w:color="auto" w:fill="auto"/>
          </w:tcPr>
          <w:p w14:paraId="385D087E" w14:textId="77777777" w:rsidR="00302BFE" w:rsidRPr="00D57400" w:rsidRDefault="00302BFE" w:rsidP="00243B15">
            <w:pPr>
              <w:autoSpaceDE w:val="0"/>
              <w:autoSpaceDN w:val="0"/>
              <w:adjustRightInd w:val="0"/>
              <w:spacing w:after="0"/>
              <w:jc w:val="left"/>
              <w:rPr>
                <w:sz w:val="18"/>
                <w:szCs w:val="18"/>
              </w:rPr>
            </w:pPr>
            <w:r w:rsidRPr="00D57400">
              <w:rPr>
                <w:sz w:val="18"/>
                <w:szCs w:val="18"/>
              </w:rPr>
              <w:t>The UNDP Country Office will monitor the co-financing contributions to the project</w:t>
            </w:r>
          </w:p>
        </w:tc>
      </w:tr>
      <w:tr w:rsidR="003759A1" w:rsidRPr="00D57400" w14:paraId="22848AA6" w14:textId="77777777" w:rsidTr="00243B15">
        <w:trPr>
          <w:jc w:val="center"/>
        </w:trPr>
        <w:tc>
          <w:tcPr>
            <w:tcW w:w="2223" w:type="dxa"/>
            <w:shd w:val="clear" w:color="auto" w:fill="auto"/>
          </w:tcPr>
          <w:p w14:paraId="11E800A7" w14:textId="77777777" w:rsidR="00302BFE" w:rsidRPr="00D57400" w:rsidRDefault="00302BFE" w:rsidP="00243B15">
            <w:pPr>
              <w:autoSpaceDE w:val="0"/>
              <w:autoSpaceDN w:val="0"/>
              <w:adjustRightInd w:val="0"/>
              <w:spacing w:after="0"/>
              <w:jc w:val="left"/>
              <w:rPr>
                <w:sz w:val="18"/>
                <w:szCs w:val="18"/>
                <w:lang w:val="fr-CA"/>
              </w:rPr>
            </w:pPr>
            <w:r w:rsidRPr="00D57400">
              <w:rPr>
                <w:sz w:val="18"/>
                <w:szCs w:val="18"/>
                <w:lang w:val="fr-CA"/>
              </w:rPr>
              <w:t>Agence Pour la Promotion de la Petite et Moyenne Entreprise/Agriculture et Artisanat (APME.2A)</w:t>
            </w:r>
          </w:p>
          <w:p w14:paraId="0C6DBC78" w14:textId="77777777" w:rsidR="00302BFE" w:rsidRPr="00D57400" w:rsidRDefault="00302BFE" w:rsidP="00243B15">
            <w:pPr>
              <w:autoSpaceDE w:val="0"/>
              <w:autoSpaceDN w:val="0"/>
              <w:adjustRightInd w:val="0"/>
              <w:spacing w:after="0"/>
              <w:jc w:val="left"/>
              <w:rPr>
                <w:rFonts w:cs="Arial"/>
                <w:sz w:val="18"/>
                <w:szCs w:val="18"/>
              </w:rPr>
            </w:pPr>
            <w:r w:rsidRPr="00D57400">
              <w:rPr>
                <w:rFonts w:cs="Arial"/>
                <w:sz w:val="18"/>
                <w:szCs w:val="18"/>
              </w:rPr>
              <w:t>(Value chain governance and inclusion of the cowpea, milk and NTFP sectors)</w:t>
            </w:r>
          </w:p>
        </w:tc>
        <w:tc>
          <w:tcPr>
            <w:tcW w:w="993" w:type="dxa"/>
            <w:shd w:val="clear" w:color="auto" w:fill="auto"/>
          </w:tcPr>
          <w:p w14:paraId="68E40B1A" w14:textId="77777777" w:rsidR="00302BFE" w:rsidRPr="00D57400" w:rsidRDefault="00302BFE" w:rsidP="00243B15">
            <w:pPr>
              <w:autoSpaceDE w:val="0"/>
              <w:autoSpaceDN w:val="0"/>
              <w:adjustRightInd w:val="0"/>
              <w:spacing w:after="0"/>
              <w:jc w:val="left"/>
              <w:rPr>
                <w:sz w:val="18"/>
                <w:szCs w:val="18"/>
              </w:rPr>
            </w:pPr>
            <w:r w:rsidRPr="00D57400">
              <w:rPr>
                <w:sz w:val="18"/>
                <w:szCs w:val="18"/>
              </w:rPr>
              <w:t>Grant</w:t>
            </w:r>
          </w:p>
        </w:tc>
        <w:tc>
          <w:tcPr>
            <w:tcW w:w="1275" w:type="dxa"/>
            <w:shd w:val="clear" w:color="auto" w:fill="auto"/>
          </w:tcPr>
          <w:p w14:paraId="0F8AD78A" w14:textId="77777777" w:rsidR="00302BFE" w:rsidRPr="00D57400" w:rsidRDefault="00302BFE" w:rsidP="00243B15">
            <w:pPr>
              <w:autoSpaceDE w:val="0"/>
              <w:autoSpaceDN w:val="0"/>
              <w:adjustRightInd w:val="0"/>
              <w:spacing w:after="0"/>
              <w:jc w:val="left"/>
              <w:rPr>
                <w:rFonts w:cs="Arial"/>
                <w:sz w:val="18"/>
                <w:szCs w:val="18"/>
              </w:rPr>
            </w:pPr>
            <w:r w:rsidRPr="00D57400">
              <w:rPr>
                <w:rFonts w:cs="Arial"/>
                <w:sz w:val="18"/>
                <w:szCs w:val="18"/>
              </w:rPr>
              <w:t>719,505</w:t>
            </w:r>
          </w:p>
        </w:tc>
        <w:tc>
          <w:tcPr>
            <w:tcW w:w="2966" w:type="dxa"/>
            <w:shd w:val="clear" w:color="auto" w:fill="auto"/>
          </w:tcPr>
          <w:p w14:paraId="5C7B7C9B" w14:textId="77777777" w:rsidR="00302BFE" w:rsidRPr="00D57400" w:rsidRDefault="00302BFE" w:rsidP="00243B15">
            <w:pPr>
              <w:autoSpaceDE w:val="0"/>
              <w:autoSpaceDN w:val="0"/>
              <w:adjustRightInd w:val="0"/>
              <w:spacing w:after="0"/>
              <w:jc w:val="left"/>
              <w:rPr>
                <w:sz w:val="18"/>
                <w:szCs w:val="18"/>
              </w:rPr>
            </w:pPr>
            <w:r w:rsidRPr="00D57400">
              <w:rPr>
                <w:sz w:val="18"/>
                <w:szCs w:val="18"/>
              </w:rPr>
              <w:t>Support to 3 strategic sectors including NTFPs (in the Center-East and Center-West regions); inclusion of small family farms and small and medium agribusinesses in sustainable value chains (output 3.3)</w:t>
            </w:r>
          </w:p>
        </w:tc>
        <w:tc>
          <w:tcPr>
            <w:tcW w:w="720" w:type="dxa"/>
            <w:shd w:val="clear" w:color="auto" w:fill="auto"/>
          </w:tcPr>
          <w:p w14:paraId="08683E59" w14:textId="77777777" w:rsidR="00302BFE" w:rsidRPr="00D57400" w:rsidRDefault="00302BFE" w:rsidP="00243B15">
            <w:pPr>
              <w:autoSpaceDE w:val="0"/>
              <w:autoSpaceDN w:val="0"/>
              <w:adjustRightInd w:val="0"/>
              <w:spacing w:after="0"/>
              <w:jc w:val="left"/>
              <w:rPr>
                <w:sz w:val="18"/>
                <w:szCs w:val="18"/>
              </w:rPr>
            </w:pPr>
            <w:r w:rsidRPr="00D57400">
              <w:rPr>
                <w:sz w:val="18"/>
                <w:szCs w:val="18"/>
              </w:rPr>
              <w:t>Low</w:t>
            </w:r>
          </w:p>
        </w:tc>
        <w:tc>
          <w:tcPr>
            <w:tcW w:w="1399" w:type="dxa"/>
            <w:shd w:val="clear" w:color="auto" w:fill="auto"/>
          </w:tcPr>
          <w:p w14:paraId="222C8F5C" w14:textId="77777777" w:rsidR="00302BFE" w:rsidRPr="00D57400" w:rsidRDefault="00302BFE" w:rsidP="00243B15">
            <w:pPr>
              <w:autoSpaceDE w:val="0"/>
              <w:autoSpaceDN w:val="0"/>
              <w:adjustRightInd w:val="0"/>
              <w:spacing w:after="0"/>
              <w:jc w:val="left"/>
              <w:rPr>
                <w:sz w:val="18"/>
                <w:szCs w:val="18"/>
              </w:rPr>
            </w:pPr>
            <w:r w:rsidRPr="00D57400">
              <w:rPr>
                <w:sz w:val="18"/>
                <w:szCs w:val="18"/>
              </w:rPr>
              <w:t>The UNDP Country Office will monitor the co-financing contributions to the project</w:t>
            </w:r>
          </w:p>
        </w:tc>
      </w:tr>
      <w:tr w:rsidR="003759A1" w:rsidRPr="00D57400" w14:paraId="22E56124" w14:textId="77777777" w:rsidTr="00243B15">
        <w:trPr>
          <w:jc w:val="center"/>
        </w:trPr>
        <w:tc>
          <w:tcPr>
            <w:tcW w:w="2223" w:type="dxa"/>
            <w:shd w:val="clear" w:color="auto" w:fill="auto"/>
          </w:tcPr>
          <w:p w14:paraId="51C7CE0E" w14:textId="77777777" w:rsidR="00302BFE" w:rsidRPr="00D57400" w:rsidRDefault="00302BFE" w:rsidP="00243B15">
            <w:pPr>
              <w:autoSpaceDE w:val="0"/>
              <w:autoSpaceDN w:val="0"/>
              <w:adjustRightInd w:val="0"/>
              <w:spacing w:after="0"/>
              <w:jc w:val="left"/>
              <w:rPr>
                <w:rFonts w:cs="Arial"/>
                <w:sz w:val="18"/>
                <w:szCs w:val="18"/>
              </w:rPr>
            </w:pPr>
            <w:r w:rsidRPr="00D57400">
              <w:rPr>
                <w:rFonts w:cs="Arial"/>
                <w:sz w:val="18"/>
                <w:szCs w:val="18"/>
              </w:rPr>
              <w:t>Nahouri Safari</w:t>
            </w:r>
          </w:p>
          <w:p w14:paraId="7938E16C" w14:textId="77777777" w:rsidR="00302BFE" w:rsidRPr="00D57400" w:rsidRDefault="00302BFE" w:rsidP="00243B15">
            <w:pPr>
              <w:autoSpaceDE w:val="0"/>
              <w:autoSpaceDN w:val="0"/>
              <w:adjustRightInd w:val="0"/>
              <w:spacing w:after="0"/>
              <w:jc w:val="left"/>
              <w:rPr>
                <w:rFonts w:cs="Arial"/>
                <w:sz w:val="18"/>
                <w:szCs w:val="18"/>
                <w:lang w:val="en-CA"/>
              </w:rPr>
            </w:pPr>
            <w:r w:rsidRPr="00D57400">
              <w:rPr>
                <w:rFonts w:cs="Arial"/>
                <w:sz w:val="18"/>
                <w:szCs w:val="18"/>
                <w:lang w:val="en-CA"/>
              </w:rPr>
              <w:t>(Capacity building and equipment for village patrollers and guides; Capacity building and equipment for ecoguards)</w:t>
            </w:r>
          </w:p>
        </w:tc>
        <w:tc>
          <w:tcPr>
            <w:tcW w:w="993" w:type="dxa"/>
            <w:shd w:val="clear" w:color="auto" w:fill="auto"/>
          </w:tcPr>
          <w:p w14:paraId="162CF37C" w14:textId="77777777" w:rsidR="00302BFE" w:rsidRPr="00D57400" w:rsidRDefault="00302BFE" w:rsidP="00243B15">
            <w:pPr>
              <w:autoSpaceDE w:val="0"/>
              <w:autoSpaceDN w:val="0"/>
              <w:adjustRightInd w:val="0"/>
              <w:spacing w:after="0"/>
              <w:jc w:val="left"/>
              <w:rPr>
                <w:sz w:val="18"/>
                <w:szCs w:val="18"/>
              </w:rPr>
            </w:pPr>
            <w:r w:rsidRPr="00D57400">
              <w:rPr>
                <w:sz w:val="18"/>
                <w:szCs w:val="18"/>
              </w:rPr>
              <w:t>Grant</w:t>
            </w:r>
          </w:p>
        </w:tc>
        <w:tc>
          <w:tcPr>
            <w:tcW w:w="1275" w:type="dxa"/>
            <w:shd w:val="clear" w:color="auto" w:fill="auto"/>
          </w:tcPr>
          <w:p w14:paraId="55858A47" w14:textId="77777777" w:rsidR="00302BFE" w:rsidRPr="00D57400" w:rsidRDefault="00302BFE" w:rsidP="00243B15">
            <w:pPr>
              <w:autoSpaceDE w:val="0"/>
              <w:autoSpaceDN w:val="0"/>
              <w:adjustRightInd w:val="0"/>
              <w:spacing w:after="0"/>
              <w:jc w:val="left"/>
              <w:rPr>
                <w:rFonts w:cs="Arial"/>
                <w:sz w:val="18"/>
                <w:szCs w:val="18"/>
              </w:rPr>
            </w:pPr>
            <w:r w:rsidRPr="00D57400">
              <w:rPr>
                <w:rFonts w:cs="Arial"/>
                <w:sz w:val="18"/>
                <w:szCs w:val="18"/>
              </w:rPr>
              <w:t>429,649</w:t>
            </w:r>
          </w:p>
        </w:tc>
        <w:tc>
          <w:tcPr>
            <w:tcW w:w="2966" w:type="dxa"/>
            <w:shd w:val="clear" w:color="auto" w:fill="auto"/>
          </w:tcPr>
          <w:p w14:paraId="7F16A267" w14:textId="77777777" w:rsidR="00302BFE" w:rsidRPr="00D57400" w:rsidRDefault="00302BFE" w:rsidP="00243B15">
            <w:pPr>
              <w:autoSpaceDE w:val="0"/>
              <w:autoSpaceDN w:val="0"/>
              <w:adjustRightInd w:val="0"/>
              <w:spacing w:after="0"/>
              <w:jc w:val="left"/>
              <w:rPr>
                <w:sz w:val="18"/>
                <w:szCs w:val="18"/>
              </w:rPr>
            </w:pPr>
            <w:r w:rsidRPr="00D57400">
              <w:rPr>
                <w:sz w:val="18"/>
                <w:szCs w:val="18"/>
              </w:rPr>
              <w:t>Providing training and equipment to 20 village patrollers, 10 guides, and 45 ecoguards</w:t>
            </w:r>
          </w:p>
        </w:tc>
        <w:tc>
          <w:tcPr>
            <w:tcW w:w="720" w:type="dxa"/>
            <w:shd w:val="clear" w:color="auto" w:fill="auto"/>
          </w:tcPr>
          <w:p w14:paraId="226136BE" w14:textId="77777777" w:rsidR="00302BFE" w:rsidRPr="00D57400" w:rsidRDefault="00302BFE" w:rsidP="00243B15">
            <w:pPr>
              <w:autoSpaceDE w:val="0"/>
              <w:autoSpaceDN w:val="0"/>
              <w:adjustRightInd w:val="0"/>
              <w:spacing w:after="0"/>
              <w:jc w:val="left"/>
              <w:rPr>
                <w:sz w:val="18"/>
                <w:szCs w:val="18"/>
              </w:rPr>
            </w:pPr>
            <w:r w:rsidRPr="00D57400">
              <w:rPr>
                <w:sz w:val="18"/>
                <w:szCs w:val="18"/>
              </w:rPr>
              <w:t>Low</w:t>
            </w:r>
          </w:p>
        </w:tc>
        <w:tc>
          <w:tcPr>
            <w:tcW w:w="1399" w:type="dxa"/>
            <w:shd w:val="clear" w:color="auto" w:fill="auto"/>
          </w:tcPr>
          <w:p w14:paraId="067DCB1A" w14:textId="77777777" w:rsidR="00302BFE" w:rsidRPr="00D57400" w:rsidRDefault="00302BFE" w:rsidP="00243B15">
            <w:pPr>
              <w:autoSpaceDE w:val="0"/>
              <w:autoSpaceDN w:val="0"/>
              <w:adjustRightInd w:val="0"/>
              <w:spacing w:after="0"/>
              <w:jc w:val="left"/>
              <w:rPr>
                <w:sz w:val="18"/>
                <w:szCs w:val="18"/>
              </w:rPr>
            </w:pPr>
            <w:r w:rsidRPr="00D57400">
              <w:rPr>
                <w:sz w:val="18"/>
                <w:szCs w:val="18"/>
              </w:rPr>
              <w:t>The UNDP Country Office will monitor the co-financing contributions to the project</w:t>
            </w:r>
          </w:p>
        </w:tc>
      </w:tr>
      <w:tr w:rsidR="003759A1" w:rsidRPr="00D57400" w14:paraId="3C2498FB" w14:textId="77777777" w:rsidTr="00243B15">
        <w:trPr>
          <w:jc w:val="center"/>
        </w:trPr>
        <w:tc>
          <w:tcPr>
            <w:tcW w:w="2223" w:type="dxa"/>
            <w:shd w:val="clear" w:color="auto" w:fill="auto"/>
          </w:tcPr>
          <w:p w14:paraId="54CC5A80" w14:textId="77777777" w:rsidR="00302BFE" w:rsidRPr="00D57400" w:rsidRDefault="00302BFE" w:rsidP="00243B15">
            <w:pPr>
              <w:autoSpaceDE w:val="0"/>
              <w:autoSpaceDN w:val="0"/>
              <w:adjustRightInd w:val="0"/>
              <w:spacing w:after="0"/>
              <w:jc w:val="left"/>
              <w:rPr>
                <w:rFonts w:cs="Arial"/>
                <w:sz w:val="18"/>
                <w:szCs w:val="18"/>
              </w:rPr>
            </w:pPr>
            <w:r w:rsidRPr="00D57400">
              <w:rPr>
                <w:rFonts w:cs="Arial"/>
                <w:sz w:val="18"/>
                <w:szCs w:val="18"/>
              </w:rPr>
              <w:t>NATURAMA Foundation</w:t>
            </w:r>
          </w:p>
          <w:p w14:paraId="3EB8B1B9" w14:textId="77777777" w:rsidR="00302BFE" w:rsidRPr="00D57400" w:rsidRDefault="00302BFE" w:rsidP="00243B15">
            <w:pPr>
              <w:autoSpaceDE w:val="0"/>
              <w:autoSpaceDN w:val="0"/>
              <w:adjustRightInd w:val="0"/>
              <w:spacing w:after="0"/>
              <w:jc w:val="left"/>
              <w:rPr>
                <w:rFonts w:cs="Arial"/>
                <w:sz w:val="18"/>
                <w:szCs w:val="18"/>
              </w:rPr>
            </w:pPr>
            <w:r w:rsidRPr="00D57400">
              <w:rPr>
                <w:rFonts w:cs="Arial"/>
                <w:sz w:val="18"/>
                <w:szCs w:val="18"/>
              </w:rPr>
              <w:t>(Shared resources and common solutions program for Burkina Faso, Building resilient landscapes and livelihoods in BF's shea parklands, Monitoring the success of bird management interventions in shea parks in the BF (neighboring PNKT communes)</w:t>
            </w:r>
          </w:p>
        </w:tc>
        <w:tc>
          <w:tcPr>
            <w:tcW w:w="993" w:type="dxa"/>
            <w:shd w:val="clear" w:color="auto" w:fill="auto"/>
          </w:tcPr>
          <w:p w14:paraId="4E86DC26" w14:textId="77777777" w:rsidR="00302BFE" w:rsidRPr="00D57400" w:rsidRDefault="00302BFE" w:rsidP="00243B15">
            <w:pPr>
              <w:autoSpaceDE w:val="0"/>
              <w:autoSpaceDN w:val="0"/>
              <w:adjustRightInd w:val="0"/>
              <w:spacing w:after="0"/>
              <w:jc w:val="left"/>
              <w:rPr>
                <w:sz w:val="18"/>
                <w:szCs w:val="18"/>
              </w:rPr>
            </w:pPr>
            <w:r w:rsidRPr="00D57400">
              <w:rPr>
                <w:sz w:val="18"/>
                <w:szCs w:val="18"/>
              </w:rPr>
              <w:t>Grant</w:t>
            </w:r>
          </w:p>
        </w:tc>
        <w:tc>
          <w:tcPr>
            <w:tcW w:w="1275" w:type="dxa"/>
            <w:shd w:val="clear" w:color="auto" w:fill="auto"/>
          </w:tcPr>
          <w:p w14:paraId="26B884C2" w14:textId="77777777" w:rsidR="00302BFE" w:rsidRPr="00D57400" w:rsidRDefault="00302BFE" w:rsidP="00243B15">
            <w:pPr>
              <w:autoSpaceDE w:val="0"/>
              <w:autoSpaceDN w:val="0"/>
              <w:adjustRightInd w:val="0"/>
              <w:spacing w:after="0"/>
              <w:jc w:val="left"/>
              <w:rPr>
                <w:rFonts w:cs="Arial"/>
                <w:sz w:val="18"/>
                <w:szCs w:val="18"/>
              </w:rPr>
            </w:pPr>
            <w:r w:rsidRPr="00D57400">
              <w:rPr>
                <w:rFonts w:cs="Arial"/>
                <w:sz w:val="18"/>
                <w:szCs w:val="18"/>
              </w:rPr>
              <w:t>164,036</w:t>
            </w:r>
          </w:p>
        </w:tc>
        <w:tc>
          <w:tcPr>
            <w:tcW w:w="2966" w:type="dxa"/>
            <w:shd w:val="clear" w:color="auto" w:fill="auto"/>
          </w:tcPr>
          <w:p w14:paraId="0FC9CFFC" w14:textId="77777777" w:rsidR="00302BFE" w:rsidRPr="00D57400" w:rsidRDefault="00302BFE" w:rsidP="00243B15">
            <w:pPr>
              <w:autoSpaceDE w:val="0"/>
              <w:autoSpaceDN w:val="0"/>
              <w:adjustRightInd w:val="0"/>
              <w:spacing w:after="0"/>
              <w:jc w:val="left"/>
              <w:rPr>
                <w:sz w:val="18"/>
                <w:szCs w:val="18"/>
              </w:rPr>
            </w:pPr>
            <w:r w:rsidRPr="00D57400">
              <w:rPr>
                <w:sz w:val="18"/>
                <w:szCs w:val="18"/>
              </w:rPr>
              <w:t>Collecting and sharing knowledge on carbon stocks, sustainable management of agroforestry parks for PNKT riparian villages, habitat improvement, pollination and livelihoods, training of producers, training on certification of shea butter, data collected and archived on birds and habitats (outputs 1.3, 2.2, 3.3)</w:t>
            </w:r>
          </w:p>
        </w:tc>
        <w:tc>
          <w:tcPr>
            <w:tcW w:w="720" w:type="dxa"/>
            <w:shd w:val="clear" w:color="auto" w:fill="auto"/>
          </w:tcPr>
          <w:p w14:paraId="4C3CB14A" w14:textId="77777777" w:rsidR="00302BFE" w:rsidRPr="00D57400" w:rsidRDefault="00302BFE" w:rsidP="00243B15">
            <w:pPr>
              <w:autoSpaceDE w:val="0"/>
              <w:autoSpaceDN w:val="0"/>
              <w:adjustRightInd w:val="0"/>
              <w:spacing w:after="0"/>
              <w:jc w:val="left"/>
              <w:rPr>
                <w:sz w:val="18"/>
                <w:szCs w:val="18"/>
              </w:rPr>
            </w:pPr>
            <w:r w:rsidRPr="00D57400">
              <w:rPr>
                <w:sz w:val="18"/>
                <w:szCs w:val="18"/>
              </w:rPr>
              <w:t>Low</w:t>
            </w:r>
          </w:p>
        </w:tc>
        <w:tc>
          <w:tcPr>
            <w:tcW w:w="1399" w:type="dxa"/>
            <w:shd w:val="clear" w:color="auto" w:fill="auto"/>
          </w:tcPr>
          <w:p w14:paraId="4F6A4D4E" w14:textId="77777777" w:rsidR="00302BFE" w:rsidRPr="00D57400" w:rsidRDefault="00302BFE" w:rsidP="00243B15">
            <w:pPr>
              <w:autoSpaceDE w:val="0"/>
              <w:autoSpaceDN w:val="0"/>
              <w:adjustRightInd w:val="0"/>
              <w:spacing w:after="0"/>
              <w:jc w:val="left"/>
              <w:rPr>
                <w:sz w:val="18"/>
                <w:szCs w:val="18"/>
              </w:rPr>
            </w:pPr>
            <w:r w:rsidRPr="00D57400">
              <w:rPr>
                <w:sz w:val="18"/>
                <w:szCs w:val="18"/>
              </w:rPr>
              <w:t>The UNDP Country Office will monitor the co-financing contributions to the project</w:t>
            </w:r>
          </w:p>
        </w:tc>
      </w:tr>
      <w:tr w:rsidR="003759A1" w:rsidRPr="00D57400" w14:paraId="0D5E6F55" w14:textId="77777777" w:rsidTr="00243B15">
        <w:trPr>
          <w:jc w:val="center"/>
        </w:trPr>
        <w:tc>
          <w:tcPr>
            <w:tcW w:w="2223" w:type="dxa"/>
            <w:shd w:val="clear" w:color="auto" w:fill="auto"/>
          </w:tcPr>
          <w:p w14:paraId="630DA162" w14:textId="77777777" w:rsidR="00302BFE" w:rsidRPr="00D57400" w:rsidRDefault="00302BFE" w:rsidP="00243B15">
            <w:pPr>
              <w:autoSpaceDE w:val="0"/>
              <w:autoSpaceDN w:val="0"/>
              <w:adjustRightInd w:val="0"/>
              <w:spacing w:after="0"/>
              <w:jc w:val="left"/>
              <w:rPr>
                <w:rFonts w:cs="Arial"/>
                <w:sz w:val="18"/>
                <w:szCs w:val="18"/>
              </w:rPr>
            </w:pPr>
            <w:r w:rsidRPr="00D57400">
              <w:rPr>
                <w:rFonts w:cs="Arial"/>
                <w:sz w:val="18"/>
                <w:szCs w:val="18"/>
              </w:rPr>
              <w:t>GA Mo Wiya Association</w:t>
            </w:r>
          </w:p>
          <w:p w14:paraId="1CF52264" w14:textId="77777777" w:rsidR="00302BFE" w:rsidRPr="00D57400" w:rsidRDefault="00302BFE" w:rsidP="00243B15">
            <w:pPr>
              <w:autoSpaceDE w:val="0"/>
              <w:autoSpaceDN w:val="0"/>
              <w:adjustRightInd w:val="0"/>
              <w:spacing w:after="0"/>
              <w:jc w:val="left"/>
              <w:rPr>
                <w:rFonts w:cs="Arial"/>
                <w:sz w:val="18"/>
                <w:szCs w:val="18"/>
              </w:rPr>
            </w:pPr>
            <w:r w:rsidRPr="00D57400">
              <w:rPr>
                <w:rFonts w:cs="Arial"/>
                <w:sz w:val="18"/>
                <w:szCs w:val="18"/>
              </w:rPr>
              <w:t>(Capacity building for producers on several themes related to climate change)</w:t>
            </w:r>
          </w:p>
        </w:tc>
        <w:tc>
          <w:tcPr>
            <w:tcW w:w="993" w:type="dxa"/>
            <w:shd w:val="clear" w:color="auto" w:fill="auto"/>
          </w:tcPr>
          <w:p w14:paraId="03351E7D" w14:textId="77777777" w:rsidR="00302BFE" w:rsidRPr="00D57400" w:rsidRDefault="00302BFE" w:rsidP="00243B15">
            <w:pPr>
              <w:autoSpaceDE w:val="0"/>
              <w:autoSpaceDN w:val="0"/>
              <w:adjustRightInd w:val="0"/>
              <w:spacing w:after="0"/>
              <w:jc w:val="left"/>
              <w:rPr>
                <w:sz w:val="18"/>
                <w:szCs w:val="18"/>
              </w:rPr>
            </w:pPr>
            <w:r w:rsidRPr="00D57400">
              <w:rPr>
                <w:sz w:val="18"/>
                <w:szCs w:val="18"/>
              </w:rPr>
              <w:t>Grant</w:t>
            </w:r>
          </w:p>
        </w:tc>
        <w:tc>
          <w:tcPr>
            <w:tcW w:w="1275" w:type="dxa"/>
            <w:shd w:val="clear" w:color="auto" w:fill="auto"/>
          </w:tcPr>
          <w:p w14:paraId="27DF51D1" w14:textId="77777777" w:rsidR="00302BFE" w:rsidRPr="00D57400" w:rsidRDefault="00302BFE" w:rsidP="00243B15">
            <w:pPr>
              <w:autoSpaceDE w:val="0"/>
              <w:autoSpaceDN w:val="0"/>
              <w:adjustRightInd w:val="0"/>
              <w:spacing w:after="0"/>
              <w:jc w:val="left"/>
              <w:rPr>
                <w:rFonts w:cs="Arial"/>
                <w:sz w:val="18"/>
                <w:szCs w:val="18"/>
              </w:rPr>
            </w:pPr>
            <w:r w:rsidRPr="00D57400">
              <w:rPr>
                <w:rFonts w:cs="Arial"/>
                <w:sz w:val="18"/>
                <w:szCs w:val="18"/>
              </w:rPr>
              <w:t>136,026</w:t>
            </w:r>
          </w:p>
        </w:tc>
        <w:tc>
          <w:tcPr>
            <w:tcW w:w="2966" w:type="dxa"/>
            <w:shd w:val="clear" w:color="auto" w:fill="auto"/>
          </w:tcPr>
          <w:p w14:paraId="3D527F71" w14:textId="77777777" w:rsidR="00302BFE" w:rsidRPr="00D57400" w:rsidRDefault="00302BFE" w:rsidP="00243B15">
            <w:pPr>
              <w:autoSpaceDE w:val="0"/>
              <w:autoSpaceDN w:val="0"/>
              <w:adjustRightInd w:val="0"/>
              <w:spacing w:after="0"/>
              <w:jc w:val="left"/>
              <w:rPr>
                <w:sz w:val="18"/>
                <w:szCs w:val="18"/>
              </w:rPr>
            </w:pPr>
            <w:r w:rsidRPr="00D57400">
              <w:rPr>
                <w:sz w:val="18"/>
                <w:szCs w:val="18"/>
              </w:rPr>
              <w:t>Study of GHG in the PONASI, Equipment for IGAs; provision of improved seeds, capacity building in SLM including compost production; Restoration including the production of seedlings; Promoting improved stoves to reduce deforestation and GHGs, Promoting gender equity, GHG surveys in PONASI, Study of community perceptions and resilience to CC (outputs 1.3, 2.3, 3.1, 4.1)</w:t>
            </w:r>
          </w:p>
        </w:tc>
        <w:tc>
          <w:tcPr>
            <w:tcW w:w="720" w:type="dxa"/>
            <w:shd w:val="clear" w:color="auto" w:fill="auto"/>
          </w:tcPr>
          <w:p w14:paraId="20EFEB98" w14:textId="77777777" w:rsidR="00302BFE" w:rsidRPr="00D57400" w:rsidRDefault="00302BFE" w:rsidP="00243B15">
            <w:pPr>
              <w:autoSpaceDE w:val="0"/>
              <w:autoSpaceDN w:val="0"/>
              <w:adjustRightInd w:val="0"/>
              <w:spacing w:after="0"/>
              <w:jc w:val="left"/>
              <w:rPr>
                <w:sz w:val="18"/>
                <w:szCs w:val="18"/>
              </w:rPr>
            </w:pPr>
            <w:r w:rsidRPr="00D57400">
              <w:rPr>
                <w:sz w:val="18"/>
                <w:szCs w:val="18"/>
              </w:rPr>
              <w:t>Low</w:t>
            </w:r>
          </w:p>
        </w:tc>
        <w:tc>
          <w:tcPr>
            <w:tcW w:w="1399" w:type="dxa"/>
            <w:shd w:val="clear" w:color="auto" w:fill="auto"/>
          </w:tcPr>
          <w:p w14:paraId="2F2DDC05" w14:textId="77777777" w:rsidR="00302BFE" w:rsidRPr="00D57400" w:rsidRDefault="00302BFE" w:rsidP="00243B15">
            <w:pPr>
              <w:autoSpaceDE w:val="0"/>
              <w:autoSpaceDN w:val="0"/>
              <w:adjustRightInd w:val="0"/>
              <w:spacing w:after="0"/>
              <w:jc w:val="left"/>
              <w:rPr>
                <w:sz w:val="18"/>
                <w:szCs w:val="18"/>
              </w:rPr>
            </w:pPr>
            <w:r w:rsidRPr="00D57400">
              <w:rPr>
                <w:sz w:val="18"/>
                <w:szCs w:val="18"/>
              </w:rPr>
              <w:t>The UNDP Country Office will monitor the co-financing contributions to the project</w:t>
            </w:r>
          </w:p>
        </w:tc>
      </w:tr>
      <w:tr w:rsidR="003759A1" w:rsidRPr="00D57400" w14:paraId="0051887A" w14:textId="77777777" w:rsidTr="00243B15">
        <w:trPr>
          <w:jc w:val="center"/>
        </w:trPr>
        <w:tc>
          <w:tcPr>
            <w:tcW w:w="2223" w:type="dxa"/>
            <w:shd w:val="clear" w:color="auto" w:fill="auto"/>
          </w:tcPr>
          <w:p w14:paraId="7AE1B63D" w14:textId="77777777" w:rsidR="00302BFE" w:rsidRPr="00D57400" w:rsidRDefault="00302BFE" w:rsidP="00243B15">
            <w:pPr>
              <w:autoSpaceDE w:val="0"/>
              <w:autoSpaceDN w:val="0"/>
              <w:adjustRightInd w:val="0"/>
              <w:spacing w:after="0"/>
              <w:jc w:val="left"/>
              <w:rPr>
                <w:rFonts w:cs="Arial"/>
                <w:sz w:val="18"/>
                <w:szCs w:val="18"/>
                <w:lang w:val="en-CA"/>
              </w:rPr>
            </w:pPr>
            <w:r w:rsidRPr="00D57400">
              <w:rPr>
                <w:rFonts w:cs="Arial"/>
                <w:sz w:val="18"/>
                <w:szCs w:val="18"/>
                <w:lang w:val="en-CA"/>
              </w:rPr>
              <w:t>Ministry of Mines and Quarries (Mining Sector Support Project)</w:t>
            </w:r>
          </w:p>
        </w:tc>
        <w:tc>
          <w:tcPr>
            <w:tcW w:w="993" w:type="dxa"/>
            <w:shd w:val="clear" w:color="auto" w:fill="auto"/>
          </w:tcPr>
          <w:p w14:paraId="4019425D" w14:textId="77777777" w:rsidR="00302BFE" w:rsidRPr="00D57400" w:rsidRDefault="00302BFE" w:rsidP="00243B15">
            <w:pPr>
              <w:autoSpaceDE w:val="0"/>
              <w:autoSpaceDN w:val="0"/>
              <w:adjustRightInd w:val="0"/>
              <w:spacing w:after="0"/>
              <w:jc w:val="left"/>
              <w:rPr>
                <w:sz w:val="18"/>
                <w:szCs w:val="18"/>
              </w:rPr>
            </w:pPr>
            <w:r w:rsidRPr="00D57400">
              <w:rPr>
                <w:sz w:val="18"/>
                <w:szCs w:val="18"/>
              </w:rPr>
              <w:t>Grant</w:t>
            </w:r>
          </w:p>
        </w:tc>
        <w:tc>
          <w:tcPr>
            <w:tcW w:w="1275" w:type="dxa"/>
            <w:shd w:val="clear" w:color="auto" w:fill="auto"/>
          </w:tcPr>
          <w:p w14:paraId="2413BB89" w14:textId="77777777" w:rsidR="00302BFE" w:rsidRPr="00D57400" w:rsidRDefault="00302BFE" w:rsidP="00243B15">
            <w:pPr>
              <w:autoSpaceDE w:val="0"/>
              <w:autoSpaceDN w:val="0"/>
              <w:adjustRightInd w:val="0"/>
              <w:spacing w:after="0"/>
              <w:jc w:val="left"/>
              <w:rPr>
                <w:rFonts w:cs="Arial"/>
                <w:sz w:val="18"/>
                <w:szCs w:val="18"/>
              </w:rPr>
            </w:pPr>
            <w:r w:rsidRPr="00D57400">
              <w:rPr>
                <w:rFonts w:cs="Arial"/>
                <w:sz w:val="18"/>
                <w:szCs w:val="18"/>
              </w:rPr>
              <w:t>102,739</w:t>
            </w:r>
          </w:p>
        </w:tc>
        <w:tc>
          <w:tcPr>
            <w:tcW w:w="2966" w:type="dxa"/>
            <w:shd w:val="clear" w:color="auto" w:fill="auto"/>
          </w:tcPr>
          <w:p w14:paraId="240E30C4" w14:textId="77777777" w:rsidR="00302BFE" w:rsidRPr="00D57400" w:rsidRDefault="00302BFE" w:rsidP="00243B15">
            <w:pPr>
              <w:autoSpaceDE w:val="0"/>
              <w:autoSpaceDN w:val="0"/>
              <w:adjustRightInd w:val="0"/>
              <w:spacing w:after="0"/>
              <w:jc w:val="left"/>
              <w:rPr>
                <w:sz w:val="18"/>
                <w:szCs w:val="18"/>
                <w:lang w:val="en-CA"/>
              </w:rPr>
            </w:pPr>
            <w:r w:rsidRPr="00D57400">
              <w:rPr>
                <w:sz w:val="18"/>
                <w:szCs w:val="18"/>
                <w:lang w:val="en-CA"/>
              </w:rPr>
              <w:t>Drafting of guidelines for the protection of the environment in the artisanal exploitation permit sites and for the exploitation in the forest and other sensitive areas as well as the delimitation of PAs to remove them from the mining cadastre</w:t>
            </w:r>
          </w:p>
        </w:tc>
        <w:tc>
          <w:tcPr>
            <w:tcW w:w="720" w:type="dxa"/>
            <w:shd w:val="clear" w:color="auto" w:fill="auto"/>
          </w:tcPr>
          <w:p w14:paraId="4F71994E" w14:textId="77777777" w:rsidR="00302BFE" w:rsidRPr="00D57400" w:rsidRDefault="00302BFE" w:rsidP="00243B15">
            <w:pPr>
              <w:autoSpaceDE w:val="0"/>
              <w:autoSpaceDN w:val="0"/>
              <w:adjustRightInd w:val="0"/>
              <w:spacing w:after="0"/>
              <w:jc w:val="left"/>
              <w:rPr>
                <w:sz w:val="18"/>
                <w:szCs w:val="18"/>
              </w:rPr>
            </w:pPr>
            <w:r w:rsidRPr="00D57400">
              <w:rPr>
                <w:sz w:val="18"/>
                <w:szCs w:val="18"/>
              </w:rPr>
              <w:t>Low</w:t>
            </w:r>
          </w:p>
        </w:tc>
        <w:tc>
          <w:tcPr>
            <w:tcW w:w="1399" w:type="dxa"/>
            <w:shd w:val="clear" w:color="auto" w:fill="auto"/>
          </w:tcPr>
          <w:p w14:paraId="541337D3" w14:textId="77777777" w:rsidR="00302BFE" w:rsidRPr="00D57400" w:rsidRDefault="00302BFE" w:rsidP="00243B15">
            <w:pPr>
              <w:autoSpaceDE w:val="0"/>
              <w:autoSpaceDN w:val="0"/>
              <w:adjustRightInd w:val="0"/>
              <w:spacing w:after="0"/>
              <w:jc w:val="left"/>
              <w:rPr>
                <w:sz w:val="18"/>
                <w:szCs w:val="18"/>
              </w:rPr>
            </w:pPr>
            <w:r w:rsidRPr="00D57400">
              <w:rPr>
                <w:sz w:val="18"/>
                <w:szCs w:val="18"/>
              </w:rPr>
              <w:t>The UNDP Country Office will monitor the co-financing contributions to the project</w:t>
            </w:r>
          </w:p>
        </w:tc>
      </w:tr>
    </w:tbl>
    <w:p w14:paraId="52ED563C" w14:textId="77777777" w:rsidR="00302BFE" w:rsidRPr="00D57400" w:rsidRDefault="00302BFE" w:rsidP="00302BFE">
      <w:pPr>
        <w:autoSpaceDE w:val="0"/>
        <w:autoSpaceDN w:val="0"/>
        <w:adjustRightInd w:val="0"/>
        <w:spacing w:after="0"/>
        <w:jc w:val="left"/>
        <w:rPr>
          <w:sz w:val="10"/>
          <w:szCs w:val="10"/>
        </w:rPr>
      </w:pPr>
    </w:p>
    <w:p w14:paraId="66A2F652" w14:textId="77777777" w:rsidR="00E34E6F" w:rsidRPr="00966EF0" w:rsidRDefault="00E34E6F" w:rsidP="00E34E6F">
      <w:pPr>
        <w:spacing w:after="0"/>
        <w:rPr>
          <w:szCs w:val="20"/>
        </w:rPr>
      </w:pPr>
      <w:r w:rsidRPr="00966EF0">
        <w:rPr>
          <w:b/>
          <w:bCs/>
          <w:szCs w:val="20"/>
          <w:u w:val="single"/>
        </w:rPr>
        <w:t>Budget Revision and Tolerance</w:t>
      </w:r>
      <w:r w:rsidRPr="00966EF0">
        <w:rPr>
          <w:szCs w:val="20"/>
        </w:rPr>
        <w:t>: As per UNDP POPP, the project board may agree with the project manager on a tolerance level for each detailed plan under the overall multi-year workplan.</w:t>
      </w:r>
      <w:r w:rsidRPr="00966EF0">
        <w:rPr>
          <w:rFonts w:ascii="Times New Roman" w:hAnsi="Times New Roman"/>
          <w:sz w:val="24"/>
        </w:rPr>
        <w:t xml:space="preserve"> </w:t>
      </w:r>
      <w:r w:rsidRPr="00966EF0">
        <w:rPr>
          <w:szCs w:val="20"/>
        </w:rPr>
        <w:t xml:space="preserve">The agreed tolerance should be written in the project document or approved </w:t>
      </w:r>
      <w:r w:rsidRPr="00966EF0">
        <w:rPr>
          <w:szCs w:val="20"/>
        </w:rPr>
        <w:lastRenderedPageBreak/>
        <w:t xml:space="preserve">project board meeting minutes. It should normally not exceed 10 percent of the agreed annual budget at the activity level, but within the overall approved multi-year workplan at the activity level. Within the agreed tolerances, the project manager can operate without intervention from the project board. Restrictions apply as follows: </w:t>
      </w:r>
    </w:p>
    <w:p w14:paraId="14D0914B" w14:textId="77777777" w:rsidR="00E34E6F" w:rsidRPr="00966EF0" w:rsidRDefault="00E34E6F" w:rsidP="00E34E6F">
      <w:pPr>
        <w:spacing w:after="0"/>
        <w:rPr>
          <w:szCs w:val="20"/>
        </w:rPr>
      </w:pPr>
    </w:p>
    <w:p w14:paraId="20629422" w14:textId="77777777" w:rsidR="00E34E6F" w:rsidRPr="00966EF0" w:rsidRDefault="00E34E6F" w:rsidP="00E34E6F">
      <w:pPr>
        <w:rPr>
          <w:szCs w:val="20"/>
        </w:rPr>
      </w:pPr>
      <w:r w:rsidRPr="00966EF0">
        <w:rPr>
          <w:szCs w:val="20"/>
        </w:rPr>
        <w:t xml:space="preserve">Should the following deviations occur, the Project Manager/IP through UNDP Country Office will seek the approval of the BPPS/NCE-VF team to ensure accurate reporting to the GEF.  It is </w:t>
      </w:r>
      <w:r w:rsidRPr="00966EF0">
        <w:rPr>
          <w:b/>
          <w:bCs/>
          <w:szCs w:val="20"/>
        </w:rPr>
        <w:t>strongly encouraged</w:t>
      </w:r>
      <w:r w:rsidRPr="00966EF0">
        <w:rPr>
          <w:szCs w:val="20"/>
        </w:rPr>
        <w:t xml:space="preserve"> to maintain the expenditures within the approved budget at the budgetary account and at the component level:</w:t>
      </w:r>
    </w:p>
    <w:p w14:paraId="00D9A470" w14:textId="77777777" w:rsidR="00E34E6F" w:rsidRPr="00966EF0" w:rsidRDefault="00E34E6F" w:rsidP="00E34E6F">
      <w:pPr>
        <w:spacing w:after="0"/>
        <w:rPr>
          <w:szCs w:val="20"/>
        </w:rPr>
      </w:pPr>
    </w:p>
    <w:p w14:paraId="38860620" w14:textId="77777777" w:rsidR="00E34E6F" w:rsidRPr="00966EF0" w:rsidRDefault="00E34E6F" w:rsidP="00E34E6F">
      <w:pPr>
        <w:numPr>
          <w:ilvl w:val="0"/>
          <w:numId w:val="70"/>
        </w:numPr>
        <w:spacing w:after="0"/>
        <w:rPr>
          <w:szCs w:val="20"/>
        </w:rPr>
      </w:pPr>
      <w:r w:rsidRPr="00966EF0">
        <w:rPr>
          <w:szCs w:val="20"/>
        </w:rPr>
        <w:t>Budget reallocations must prove that the suggested changes in the budget will not lead to material changes in the results to be achieved by the project. A strong justification is required and will be approved on an exceptional basis.  Budget re-allocations among the components (including PMC) of the approved Total Budget and Work Plans (TBWP) that represent a value greater than 10% of the total GEF grant.</w:t>
      </w:r>
    </w:p>
    <w:p w14:paraId="08A5BE44" w14:textId="77777777" w:rsidR="00E34E6F" w:rsidRPr="00966EF0" w:rsidRDefault="00E34E6F" w:rsidP="00E34E6F">
      <w:pPr>
        <w:numPr>
          <w:ilvl w:val="0"/>
          <w:numId w:val="70"/>
        </w:numPr>
        <w:spacing w:after="0"/>
        <w:rPr>
          <w:szCs w:val="20"/>
        </w:rPr>
      </w:pPr>
      <w:r w:rsidRPr="00966EF0">
        <w:rPr>
          <w:szCs w:val="20"/>
        </w:rPr>
        <w:t>Introduction of new outputs/activities (i.e. budget items)</w:t>
      </w:r>
      <w:r w:rsidRPr="00966EF0">
        <w:rPr>
          <w:rFonts w:ascii="Times New Roman" w:hAnsi="Times New Roman"/>
          <w:sz w:val="24"/>
        </w:rPr>
        <w:t xml:space="preserve"> </w:t>
      </w:r>
      <w:r w:rsidRPr="00966EF0">
        <w:rPr>
          <w:szCs w:val="20"/>
        </w:rPr>
        <w:t xml:space="preserve">that were not part of the agreed project document and TBWP that represent a value greater than 5% of the total GEF grant. The new budget items must be eligible as per the </w:t>
      </w:r>
      <w:hyperlink r:id="rId36" w:history="1">
        <w:r w:rsidRPr="00966EF0">
          <w:rPr>
            <w:color w:val="0000FF"/>
            <w:szCs w:val="20"/>
            <w:u w:val="single"/>
          </w:rPr>
          <w:t>GEF and UNDP  policies</w:t>
        </w:r>
      </w:hyperlink>
      <w:r w:rsidRPr="00966EF0">
        <w:rPr>
          <w:szCs w:val="20"/>
        </w:rPr>
        <w:t xml:space="preserve">. </w:t>
      </w:r>
    </w:p>
    <w:p w14:paraId="5980DDF7" w14:textId="77777777" w:rsidR="00E34E6F" w:rsidRPr="00966EF0" w:rsidRDefault="00E34E6F" w:rsidP="00E34E6F">
      <w:pPr>
        <w:numPr>
          <w:ilvl w:val="0"/>
          <w:numId w:val="70"/>
        </w:numPr>
        <w:spacing w:after="0"/>
        <w:rPr>
          <w:szCs w:val="20"/>
        </w:rPr>
      </w:pPr>
      <w:r w:rsidRPr="00966EF0">
        <w:rPr>
          <w:szCs w:val="20"/>
        </w:rPr>
        <w:t>Project management cost (PMC): budget under PMC component is capped and cannot be increased.</w:t>
      </w:r>
    </w:p>
    <w:p w14:paraId="3FD02D77" w14:textId="77777777" w:rsidR="00E34E6F" w:rsidRPr="00966EF0" w:rsidRDefault="00E34E6F" w:rsidP="00E34E6F">
      <w:pPr>
        <w:spacing w:after="0"/>
        <w:rPr>
          <w:sz w:val="24"/>
          <w:szCs w:val="20"/>
        </w:rPr>
      </w:pPr>
    </w:p>
    <w:p w14:paraId="306CF4D0" w14:textId="77777777" w:rsidR="00E34E6F" w:rsidRPr="00966EF0" w:rsidRDefault="00E34E6F" w:rsidP="00E34E6F">
      <w:pPr>
        <w:spacing w:after="0"/>
        <w:rPr>
          <w:szCs w:val="20"/>
          <w:u w:val="single"/>
        </w:rPr>
      </w:pPr>
      <w:r w:rsidRPr="00966EF0">
        <w:rPr>
          <w:szCs w:val="20"/>
        </w:rPr>
        <w:t>Any over expenditure incurred beyond the available GEF grant amount must be absorbed by non-GEF resources (e.g. UNDP TRAC or cash co-financing).</w:t>
      </w:r>
      <w:r w:rsidRPr="00966EF0">
        <w:rPr>
          <w:szCs w:val="20"/>
          <w:u w:val="single"/>
        </w:rPr>
        <w:t xml:space="preserve"> </w:t>
      </w:r>
    </w:p>
    <w:p w14:paraId="5EF8AD72" w14:textId="77777777" w:rsidR="00E34E6F" w:rsidRPr="00966EF0" w:rsidRDefault="00E34E6F" w:rsidP="00E34E6F">
      <w:pPr>
        <w:spacing w:after="0"/>
        <w:rPr>
          <w:szCs w:val="20"/>
          <w:u w:val="single"/>
        </w:rPr>
      </w:pPr>
    </w:p>
    <w:p w14:paraId="0522DF1C" w14:textId="77777777" w:rsidR="00E34E6F" w:rsidRPr="00966EF0" w:rsidRDefault="00E34E6F" w:rsidP="00E34E6F">
      <w:pPr>
        <w:spacing w:after="0"/>
      </w:pPr>
      <w:r w:rsidRPr="00966EF0">
        <w:rPr>
          <w:rFonts w:cs="Arial"/>
          <w:b/>
          <w:bCs/>
          <w:noProof/>
          <w:u w:val="single"/>
          <w:lang w:val="en-GB" w:eastAsia="zh-CN"/>
        </w:rPr>
        <w:t>Project extensions</w:t>
      </w:r>
      <w:r w:rsidRPr="00966EF0">
        <w:rPr>
          <w:rFonts w:cs="Arial"/>
          <w:b/>
          <w:bCs/>
          <w:noProof/>
          <w:lang w:val="en-GB" w:eastAsia="zh-CN"/>
        </w:rPr>
        <w:t xml:space="preserve">: </w:t>
      </w:r>
      <w:r w:rsidRPr="00966EF0">
        <w:rPr>
          <w:rFonts w:cs="Arial"/>
          <w:noProof/>
          <w:lang w:val="en-GB" w:eastAsia="zh-CN"/>
        </w:rPr>
        <w:t>The UNDP Resident Representative and the UNDP-GEF Executive Coordinator must approve all project extension requests. Note that all extensions incur costs and the GEF project budget cannot be increased. A single extension may be granted on an exceptional basis and subject to the conditions and maximum durations set out in the UNDP POPP; the project management costs during the extension period must remain within the originally approved amount, and any increase in PMC costs will be covered by non-GEF resources; the additional UNDP oversight costs during the extension period must be covered by non-GEF resources, in accordance with UNDP’s guidance set out in UNDP POPP.</w:t>
      </w:r>
      <w:r w:rsidRPr="00966EF0">
        <w:t xml:space="preserve"> </w:t>
      </w:r>
    </w:p>
    <w:p w14:paraId="25D5EFD8" w14:textId="77777777" w:rsidR="00E34E6F" w:rsidRPr="00966EF0" w:rsidRDefault="00E34E6F" w:rsidP="00E34E6F">
      <w:pPr>
        <w:spacing w:after="0"/>
        <w:rPr>
          <w:rFonts w:cs="Arial"/>
          <w:noProof/>
          <w:szCs w:val="20"/>
          <w:lang w:val="en-GB" w:eastAsia="zh-CN"/>
        </w:rPr>
      </w:pPr>
    </w:p>
    <w:p w14:paraId="1B5EED90" w14:textId="7A0FC20D" w:rsidR="00E34E6F" w:rsidRPr="00966EF0" w:rsidRDefault="00E34E6F" w:rsidP="00E34E6F">
      <w:pPr>
        <w:spacing w:after="0"/>
        <w:rPr>
          <w:rFonts w:cs="Calibri"/>
        </w:rPr>
      </w:pPr>
      <w:r w:rsidRPr="00966EF0">
        <w:rPr>
          <w:rFonts w:cs="Calibri"/>
          <w:u w:val="single"/>
        </w:rPr>
        <w:t>Audit</w:t>
      </w:r>
      <w:r w:rsidRPr="00966EF0">
        <w:rPr>
          <w:rFonts w:cs="Calibri"/>
        </w:rPr>
        <w:t>: The project will be audited as per UNDP Financial Regulations and Rules and applicable audit policies. Audit cycle and process must be discussed during the Inception workshop. If the Implementing Partner is an UN Agency, the project will be audited according to that Agencies applicable audit policies.</w:t>
      </w:r>
      <w:r w:rsidRPr="00966EF0">
        <w:rPr>
          <w:rFonts w:cs="Calibri"/>
          <w:i/>
        </w:rPr>
        <w:t xml:space="preserve"> </w:t>
      </w:r>
    </w:p>
    <w:p w14:paraId="23CC7AB7" w14:textId="77777777" w:rsidR="00E34E6F" w:rsidRPr="00966EF0" w:rsidRDefault="00E34E6F" w:rsidP="00E34E6F">
      <w:pPr>
        <w:spacing w:after="0"/>
        <w:rPr>
          <w:szCs w:val="20"/>
          <w:u w:val="single"/>
        </w:rPr>
      </w:pPr>
    </w:p>
    <w:p w14:paraId="768C8A4E" w14:textId="77777777" w:rsidR="00E34E6F" w:rsidRPr="00966EF0" w:rsidRDefault="00E34E6F" w:rsidP="00E34E6F">
      <w:pPr>
        <w:spacing w:after="0"/>
        <w:rPr>
          <w:rFonts w:cs="Calibri"/>
          <w:szCs w:val="20"/>
        </w:rPr>
      </w:pPr>
      <w:r w:rsidRPr="00966EF0">
        <w:rPr>
          <w:b/>
          <w:bCs/>
          <w:szCs w:val="20"/>
          <w:u w:val="single"/>
        </w:rPr>
        <w:t>Project Closure</w:t>
      </w:r>
      <w:r w:rsidRPr="00966EF0">
        <w:rPr>
          <w:szCs w:val="20"/>
        </w:rPr>
        <w:t>: Project closure will be conducted as per UNDP requirements outlined in the UNDP POPP. All c</w:t>
      </w:r>
      <w:r w:rsidRPr="00966EF0">
        <w:rPr>
          <w:rFonts w:cs="Calibri"/>
          <w:szCs w:val="20"/>
        </w:rPr>
        <w:t xml:space="preserve">osts incurred to close the project must be included in the project closure budget and reported as final project commitments presented to the Project Board during the final project review. The only costs a project may incur following the final project review are those included in the project closure budget. </w:t>
      </w:r>
    </w:p>
    <w:p w14:paraId="08A2CBA6" w14:textId="77777777" w:rsidR="00E34E6F" w:rsidRPr="00966EF0" w:rsidRDefault="00E34E6F" w:rsidP="00E34E6F">
      <w:pPr>
        <w:spacing w:after="0"/>
        <w:rPr>
          <w:szCs w:val="20"/>
          <w:u w:val="single"/>
        </w:rPr>
      </w:pPr>
    </w:p>
    <w:p w14:paraId="686B55C7" w14:textId="77777777" w:rsidR="00E34E6F" w:rsidRPr="00966EF0" w:rsidRDefault="00E34E6F" w:rsidP="00E34E6F">
      <w:pPr>
        <w:spacing w:after="0"/>
      </w:pPr>
      <w:r w:rsidRPr="00966EF0">
        <w:rPr>
          <w:b/>
          <w:bCs/>
          <w:u w:val="single"/>
        </w:rPr>
        <w:t>Operational completion</w:t>
      </w:r>
      <w:r w:rsidRPr="00966EF0">
        <w:t xml:space="preserve">: The project will be operationally completed when the last UNDP-financed inputs have been provided and the related activities have been completed. This includes the final clearance of the Terminal Evaluation Report (that will be available in English) and the corresponding management response, and the end-of-project review Project Board meeting. </w:t>
      </w:r>
      <w:r w:rsidRPr="00966EF0">
        <w:rPr>
          <w:b/>
        </w:rPr>
        <w:t xml:space="preserve">Operational closure must happen at the end date calculated by the approved duration after the Project Document signature or at the revised operational closure date as approved in the project extension.  Any expected activity after the operational date requires project extension approval. </w:t>
      </w:r>
      <w:r w:rsidRPr="00966EF0">
        <w:t xml:space="preserve"> The Implementing Partner through a Project Board decision will notify the UNDP Country Office when operational closure has been completed. At this time, the project should have completed the transfer or disposal of any equipment that is still the property of UNDP. </w:t>
      </w:r>
    </w:p>
    <w:p w14:paraId="78C68F27" w14:textId="77777777" w:rsidR="00E34E6F" w:rsidRPr="00966EF0" w:rsidRDefault="00E34E6F" w:rsidP="00E34E6F">
      <w:pPr>
        <w:spacing w:after="0"/>
        <w:rPr>
          <w:szCs w:val="20"/>
          <w:u w:val="single"/>
        </w:rPr>
      </w:pPr>
    </w:p>
    <w:p w14:paraId="746EBF87" w14:textId="77777777" w:rsidR="00E34E6F" w:rsidRPr="00966EF0" w:rsidRDefault="00E34E6F" w:rsidP="00E34E6F">
      <w:pPr>
        <w:rPr>
          <w:szCs w:val="20"/>
        </w:rPr>
      </w:pPr>
      <w:r w:rsidRPr="00966EF0">
        <w:rPr>
          <w:b/>
          <w:bCs/>
          <w:szCs w:val="20"/>
          <w:u w:val="single"/>
        </w:rPr>
        <w:t>Transfer or disposal of assets</w:t>
      </w:r>
      <w:r w:rsidRPr="00966EF0">
        <w:rPr>
          <w:szCs w:val="20"/>
        </w:rPr>
        <w:t>: In consultation with the Implementing Partner and other parties of the project, UNDP is responsible for deciding on the transfer or other disposal of assets. Transfer or disposal of assets is recommended to be reviewed and endorsed by the project board following UNDP rules and regulations. Assets may be transferred to the government for project activities managed by a national institution at any time during the life of a project (it is strongly encouraged to be done before the operational closure date). In all cases of transfer, a transfer document must be prepared and kept on file</w:t>
      </w:r>
      <w:r w:rsidRPr="00966EF0">
        <w:rPr>
          <w:sz w:val="18"/>
          <w:szCs w:val="20"/>
          <w:vertAlign w:val="superscript"/>
        </w:rPr>
        <w:footnoteReference w:id="79"/>
      </w:r>
      <w:r w:rsidRPr="00966EF0">
        <w:rPr>
          <w:szCs w:val="20"/>
        </w:rPr>
        <w:t>. The transfer should be done before Project Management Unit complete their assignments.</w:t>
      </w:r>
    </w:p>
    <w:p w14:paraId="57B6A1B1" w14:textId="77777777" w:rsidR="00E34E6F" w:rsidRPr="00966EF0" w:rsidRDefault="00E34E6F" w:rsidP="00E34E6F">
      <w:pPr>
        <w:spacing w:after="0"/>
        <w:rPr>
          <w:szCs w:val="20"/>
          <w:u w:val="single"/>
        </w:rPr>
      </w:pPr>
    </w:p>
    <w:p w14:paraId="1465E2B0" w14:textId="77777777" w:rsidR="00E34E6F" w:rsidRPr="00966EF0" w:rsidRDefault="00E34E6F" w:rsidP="00E34E6F">
      <w:pPr>
        <w:spacing w:after="0"/>
        <w:rPr>
          <w:szCs w:val="20"/>
        </w:rPr>
      </w:pPr>
      <w:r w:rsidRPr="00966EF0">
        <w:rPr>
          <w:b/>
          <w:bCs/>
          <w:szCs w:val="20"/>
          <w:u w:val="single"/>
        </w:rPr>
        <w:t>Financial completion (closure)</w:t>
      </w:r>
      <w:r w:rsidRPr="00966EF0">
        <w:rPr>
          <w:b/>
          <w:bCs/>
          <w:szCs w:val="20"/>
        </w:rPr>
        <w:t>:</w:t>
      </w:r>
      <w:r w:rsidRPr="00966EF0">
        <w:rPr>
          <w:szCs w:val="20"/>
        </w:rPr>
        <w:t xml:space="preserve">  The project will be financially closed when the following conditions have been met: a) the project is operationally completed or has been cancelled; b) the Implementing Partner has reported all financial transactions to UNDP; c) UNDP has closed the accounts for the project; d) UNDP and the Implementing Partner have certified a final Combined Delivery Report (which serves as final budget revision). </w:t>
      </w:r>
    </w:p>
    <w:p w14:paraId="23B6362F" w14:textId="77777777" w:rsidR="00E34E6F" w:rsidRPr="00966EF0" w:rsidRDefault="00E34E6F" w:rsidP="00E34E6F">
      <w:pPr>
        <w:spacing w:after="0"/>
        <w:rPr>
          <w:szCs w:val="20"/>
        </w:rPr>
      </w:pPr>
    </w:p>
    <w:p w14:paraId="20495E0D" w14:textId="77777777" w:rsidR="00E34E6F" w:rsidRPr="00966EF0" w:rsidRDefault="00E34E6F" w:rsidP="00E34E6F">
      <w:pPr>
        <w:spacing w:after="0"/>
      </w:pPr>
      <w:r w:rsidRPr="00966EF0">
        <w:t xml:space="preserve">The project will be financially completed </w:t>
      </w:r>
      <w:r w:rsidRPr="00966EF0">
        <w:rPr>
          <w:b/>
        </w:rPr>
        <w:t>within 6 months of operational closure or after the date of cancellation</w:t>
      </w:r>
      <w:r w:rsidRPr="00966EF0">
        <w:t xml:space="preserve">. If Operational Closure is delayed for any justified and approved reason, the Country Office should do all efforts to Financially Close the project within 9 months after TE is completed.  Between operational and financial closure, the implementing partner will identify and settle all financial obligations and prepare a final expenditure report. The UNDP Country Office will send the final signed closure documents including confirmation of final cumulative expenditure and unspent balance to the BPPS/NCE-VF Unit for confirmation before the project will be financially closed in Atlas by the UNDP Country Office. </w:t>
      </w:r>
    </w:p>
    <w:p w14:paraId="39A9DC4F" w14:textId="77777777" w:rsidR="00E34E6F" w:rsidRPr="00966EF0" w:rsidRDefault="00E34E6F" w:rsidP="00E34E6F">
      <w:pPr>
        <w:spacing w:after="0"/>
        <w:rPr>
          <w:szCs w:val="20"/>
        </w:rPr>
      </w:pPr>
    </w:p>
    <w:p w14:paraId="44759665" w14:textId="77777777" w:rsidR="00E34E6F" w:rsidRPr="00966EF0" w:rsidRDefault="00E34E6F" w:rsidP="00E34E6F">
      <w:pPr>
        <w:spacing w:after="0"/>
        <w:rPr>
          <w:szCs w:val="20"/>
        </w:rPr>
      </w:pPr>
      <w:r w:rsidRPr="00966EF0">
        <w:rPr>
          <w:szCs w:val="20"/>
          <w:u w:val="single"/>
        </w:rPr>
        <w:t>Refund to GEF:</w:t>
      </w:r>
      <w:r w:rsidRPr="00966EF0">
        <w:rPr>
          <w:szCs w:val="20"/>
        </w:rPr>
        <w:t xml:space="preserve">  Should a refund of unspent funds to the GEF be necessary, this will be managed directly by the BPPS/NCE-VF Directorate in New York. No action is required by the UNDP Country Office on the actual refund from UNDP project to the GEF Trustee.</w:t>
      </w:r>
    </w:p>
    <w:p w14:paraId="6E177668" w14:textId="77777777" w:rsidR="00E34E6F" w:rsidRPr="00966EF0" w:rsidRDefault="00E34E6F" w:rsidP="00E34E6F">
      <w:pPr>
        <w:spacing w:after="0"/>
        <w:rPr>
          <w:szCs w:val="20"/>
          <w:u w:val="single"/>
        </w:rPr>
      </w:pPr>
    </w:p>
    <w:p w14:paraId="15266C32" w14:textId="77777777" w:rsidR="00E34E6F" w:rsidRPr="00966EF0" w:rsidRDefault="00E34E6F" w:rsidP="00E34E6F">
      <w:pPr>
        <w:spacing w:after="0"/>
        <w:rPr>
          <w:szCs w:val="20"/>
          <w:u w:val="single"/>
        </w:rPr>
      </w:pPr>
    </w:p>
    <w:p w14:paraId="7E1169BD" w14:textId="77777777" w:rsidR="00E34E6F" w:rsidRPr="00966EF0" w:rsidRDefault="00E34E6F" w:rsidP="00E34E6F">
      <w:pPr>
        <w:rPr>
          <w:szCs w:val="20"/>
        </w:rPr>
      </w:pPr>
    </w:p>
    <w:p w14:paraId="6A703D1F" w14:textId="77777777" w:rsidR="00302BFE" w:rsidRPr="00A63E29" w:rsidRDefault="00302BFE" w:rsidP="00302BFE">
      <w:pPr>
        <w:spacing w:after="0"/>
        <w:jc w:val="left"/>
        <w:rPr>
          <w:b/>
          <w:smallCaps/>
          <w:spacing w:val="-2"/>
          <w:sz w:val="28"/>
          <w:szCs w:val="28"/>
        </w:rPr>
        <w:sectPr w:rsidR="00302BFE" w:rsidRPr="00A63E29" w:rsidSect="00243B15">
          <w:headerReference w:type="default" r:id="rId37"/>
          <w:footerReference w:type="default" r:id="rId38"/>
          <w:pgSz w:w="12240" w:h="15840" w:code="1"/>
          <w:pgMar w:top="720" w:right="720" w:bottom="720" w:left="720" w:header="720" w:footer="432" w:gutter="0"/>
          <w:cols w:space="708"/>
          <w:titlePg/>
          <w:docGrid w:linePitch="360"/>
        </w:sectPr>
      </w:pPr>
    </w:p>
    <w:p w14:paraId="6EE5AFBE" w14:textId="77777777" w:rsidR="00302BFE" w:rsidRPr="003F6286" w:rsidRDefault="00302BFE" w:rsidP="00302BFE">
      <w:pPr>
        <w:pStyle w:val="Titre1"/>
        <w:spacing w:before="0" w:after="60"/>
        <w:rPr>
          <w:rFonts w:ascii="Calibri" w:hAnsi="Calibri"/>
          <w:sz w:val="22"/>
          <w:szCs w:val="22"/>
        </w:rPr>
      </w:pPr>
      <w:bookmarkStart w:id="37" w:name="_Toc9961797"/>
      <w:r w:rsidRPr="003F6286">
        <w:rPr>
          <w:rFonts w:ascii="Calibri" w:hAnsi="Calibri"/>
          <w:sz w:val="22"/>
          <w:szCs w:val="22"/>
        </w:rPr>
        <w:lastRenderedPageBreak/>
        <w:t>Total Budget and Work Plan</w:t>
      </w:r>
      <w:bookmarkEnd w:id="37"/>
    </w:p>
    <w:p w14:paraId="7C93F1EC" w14:textId="77777777" w:rsidR="00302BFE" w:rsidRPr="00EC508B" w:rsidRDefault="00302BFE" w:rsidP="00302BFE">
      <w:pPr>
        <w:spacing w:after="0"/>
        <w:rPr>
          <w:rFonts w:cs="Arial"/>
          <w:i/>
          <w:noProof/>
          <w:sz w:val="12"/>
          <w:szCs w:val="12"/>
          <w:lang w:eastAsia="zh-CN"/>
        </w:rPr>
      </w:pPr>
    </w:p>
    <w:tbl>
      <w:tblPr>
        <w:tblW w:w="13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1"/>
        <w:gridCol w:w="3946"/>
        <w:gridCol w:w="3949"/>
        <w:gridCol w:w="1189"/>
      </w:tblGrid>
      <w:tr w:rsidR="00302BFE" w:rsidRPr="007603E7" w14:paraId="01D3C8DF" w14:textId="77777777" w:rsidTr="00243B15">
        <w:trPr>
          <w:cantSplit/>
          <w:jc w:val="center"/>
        </w:trPr>
        <w:tc>
          <w:tcPr>
            <w:tcW w:w="13495" w:type="dxa"/>
            <w:gridSpan w:val="4"/>
            <w:tcBorders>
              <w:top w:val="single" w:sz="4" w:space="0" w:color="auto"/>
              <w:left w:val="single" w:sz="4" w:space="0" w:color="auto"/>
              <w:bottom w:val="single" w:sz="4" w:space="0" w:color="auto"/>
              <w:right w:val="single" w:sz="4" w:space="0" w:color="auto"/>
            </w:tcBorders>
            <w:noWrap/>
            <w:vAlign w:val="bottom"/>
            <w:hideMark/>
          </w:tcPr>
          <w:p w14:paraId="52B4EC22" w14:textId="77777777" w:rsidR="00302BFE" w:rsidRPr="003F6286" w:rsidRDefault="00302BFE" w:rsidP="00243B15">
            <w:pPr>
              <w:spacing w:after="0"/>
              <w:rPr>
                <w:b/>
                <w:bCs/>
                <w:sz w:val="18"/>
                <w:szCs w:val="18"/>
                <w:lang w:val="en-CA" w:eastAsia="es-CL"/>
              </w:rPr>
            </w:pPr>
            <w:r w:rsidRPr="003F6286">
              <w:rPr>
                <w:b/>
                <w:bCs/>
                <w:sz w:val="18"/>
                <w:szCs w:val="18"/>
                <w:lang w:val="en-CA" w:eastAsia="es-CL"/>
              </w:rPr>
              <w:t xml:space="preserve">Total Budget and Work Plan </w:t>
            </w:r>
          </w:p>
        </w:tc>
      </w:tr>
      <w:tr w:rsidR="00302BFE" w14:paraId="45343B7F" w14:textId="77777777" w:rsidTr="00243B15">
        <w:trPr>
          <w:trHeight w:val="70"/>
          <w:jc w:val="center"/>
        </w:trPr>
        <w:tc>
          <w:tcPr>
            <w:tcW w:w="4411" w:type="dxa"/>
            <w:tcBorders>
              <w:top w:val="single" w:sz="4" w:space="0" w:color="auto"/>
              <w:left w:val="single" w:sz="4" w:space="0" w:color="auto"/>
              <w:bottom w:val="single" w:sz="4" w:space="0" w:color="auto"/>
              <w:right w:val="single" w:sz="4" w:space="0" w:color="auto"/>
            </w:tcBorders>
            <w:noWrap/>
            <w:vAlign w:val="center"/>
            <w:hideMark/>
          </w:tcPr>
          <w:p w14:paraId="34CDB16F" w14:textId="77777777" w:rsidR="00302BFE" w:rsidRPr="003F6286" w:rsidRDefault="00302BFE" w:rsidP="00243B15">
            <w:pPr>
              <w:spacing w:after="0"/>
              <w:rPr>
                <w:bCs/>
                <w:sz w:val="18"/>
                <w:szCs w:val="18"/>
                <w:lang w:eastAsia="zh-CN"/>
              </w:rPr>
            </w:pPr>
            <w:r w:rsidRPr="003F6286">
              <w:rPr>
                <w:bCs/>
                <w:sz w:val="18"/>
                <w:szCs w:val="18"/>
                <w:lang w:val="en-CA" w:eastAsia="zh-CN"/>
              </w:rPr>
              <w:t xml:space="preserve">Atlas Proposal or Award </w:t>
            </w:r>
            <w:r w:rsidRPr="003F6286">
              <w:rPr>
                <w:bCs/>
                <w:sz w:val="18"/>
                <w:szCs w:val="18"/>
                <w:lang w:eastAsia="zh-CN"/>
              </w:rPr>
              <w:t>ID:</w:t>
            </w:r>
          </w:p>
        </w:tc>
        <w:tc>
          <w:tcPr>
            <w:tcW w:w="3946" w:type="dxa"/>
            <w:tcBorders>
              <w:top w:val="single" w:sz="4" w:space="0" w:color="auto"/>
              <w:left w:val="nil"/>
              <w:bottom w:val="single" w:sz="4" w:space="0" w:color="auto"/>
              <w:right w:val="single" w:sz="4" w:space="0" w:color="000000"/>
            </w:tcBorders>
            <w:noWrap/>
            <w:vAlign w:val="center"/>
          </w:tcPr>
          <w:p w14:paraId="521CBF6D" w14:textId="77777777" w:rsidR="00302BFE" w:rsidRPr="003F6286" w:rsidRDefault="00302BFE" w:rsidP="00243B15">
            <w:pPr>
              <w:spacing w:after="0"/>
              <w:rPr>
                <w:bCs/>
                <w:sz w:val="18"/>
                <w:szCs w:val="18"/>
                <w:lang w:eastAsia="zh-CN"/>
              </w:rPr>
            </w:pPr>
            <w:r w:rsidRPr="003F6286">
              <w:rPr>
                <w:bCs/>
                <w:sz w:val="18"/>
                <w:szCs w:val="18"/>
                <w:lang w:eastAsia="zh-CN"/>
              </w:rPr>
              <w:t>00090370</w:t>
            </w:r>
          </w:p>
        </w:tc>
        <w:tc>
          <w:tcPr>
            <w:tcW w:w="3949" w:type="dxa"/>
            <w:tcBorders>
              <w:top w:val="single" w:sz="4" w:space="0" w:color="auto"/>
              <w:left w:val="nil"/>
              <w:bottom w:val="single" w:sz="4" w:space="0" w:color="auto"/>
              <w:right w:val="single" w:sz="4" w:space="0" w:color="000000"/>
            </w:tcBorders>
            <w:vAlign w:val="center"/>
            <w:hideMark/>
          </w:tcPr>
          <w:p w14:paraId="33E889BF" w14:textId="77777777" w:rsidR="00302BFE" w:rsidRPr="003F6286" w:rsidRDefault="00302BFE" w:rsidP="00243B15">
            <w:pPr>
              <w:spacing w:after="0"/>
              <w:rPr>
                <w:bCs/>
                <w:sz w:val="18"/>
                <w:szCs w:val="18"/>
                <w:lang w:val="en-CA" w:eastAsia="zh-CN"/>
              </w:rPr>
            </w:pPr>
            <w:r w:rsidRPr="003F6286">
              <w:rPr>
                <w:bCs/>
                <w:sz w:val="18"/>
                <w:szCs w:val="18"/>
                <w:lang w:val="en-CA" w:eastAsia="zh-CN"/>
              </w:rPr>
              <w:t>Atlas Primary Output Project ID:</w:t>
            </w:r>
          </w:p>
        </w:tc>
        <w:tc>
          <w:tcPr>
            <w:tcW w:w="1189" w:type="dxa"/>
            <w:tcBorders>
              <w:top w:val="single" w:sz="4" w:space="0" w:color="auto"/>
              <w:left w:val="nil"/>
              <w:bottom w:val="single" w:sz="4" w:space="0" w:color="auto"/>
              <w:right w:val="single" w:sz="4" w:space="0" w:color="000000"/>
            </w:tcBorders>
            <w:vAlign w:val="center"/>
            <w:hideMark/>
          </w:tcPr>
          <w:p w14:paraId="7AF9335C" w14:textId="77777777" w:rsidR="00302BFE" w:rsidRPr="003F6286" w:rsidRDefault="00302BFE" w:rsidP="00243B15">
            <w:pPr>
              <w:spacing w:after="0"/>
              <w:rPr>
                <w:bCs/>
                <w:sz w:val="18"/>
                <w:szCs w:val="18"/>
                <w:lang w:eastAsia="zh-CN"/>
              </w:rPr>
            </w:pPr>
            <w:r w:rsidRPr="003F6286">
              <w:rPr>
                <w:bCs/>
                <w:sz w:val="18"/>
                <w:szCs w:val="18"/>
                <w:lang w:eastAsia="zh-CN"/>
              </w:rPr>
              <w:t>00096170</w:t>
            </w:r>
          </w:p>
        </w:tc>
      </w:tr>
      <w:tr w:rsidR="00302BFE" w:rsidRPr="00C10C3B" w14:paraId="4F45DF6F" w14:textId="77777777" w:rsidTr="00243B15">
        <w:trPr>
          <w:trHeight w:val="77"/>
          <w:jc w:val="center"/>
        </w:trPr>
        <w:tc>
          <w:tcPr>
            <w:tcW w:w="4411" w:type="dxa"/>
            <w:tcBorders>
              <w:top w:val="nil"/>
              <w:left w:val="single" w:sz="4" w:space="0" w:color="auto"/>
              <w:bottom w:val="single" w:sz="4" w:space="0" w:color="auto"/>
              <w:right w:val="single" w:sz="4" w:space="0" w:color="auto"/>
            </w:tcBorders>
            <w:noWrap/>
            <w:vAlign w:val="center"/>
            <w:hideMark/>
          </w:tcPr>
          <w:p w14:paraId="7FDB4057" w14:textId="77777777" w:rsidR="00302BFE" w:rsidRPr="003F6286" w:rsidRDefault="00302BFE" w:rsidP="00243B15">
            <w:pPr>
              <w:spacing w:after="0"/>
              <w:rPr>
                <w:bCs/>
                <w:sz w:val="18"/>
                <w:szCs w:val="18"/>
                <w:lang w:val="en-CA" w:eastAsia="zh-CN"/>
              </w:rPr>
            </w:pPr>
            <w:r w:rsidRPr="003F6286">
              <w:rPr>
                <w:bCs/>
                <w:sz w:val="18"/>
                <w:szCs w:val="18"/>
                <w:lang w:val="en-CA" w:eastAsia="zh-CN"/>
              </w:rPr>
              <w:t>Atlas Proposal or Award Title:</w:t>
            </w:r>
          </w:p>
        </w:tc>
        <w:tc>
          <w:tcPr>
            <w:tcW w:w="9084" w:type="dxa"/>
            <w:gridSpan w:val="3"/>
            <w:tcBorders>
              <w:top w:val="single" w:sz="4" w:space="0" w:color="auto"/>
              <w:left w:val="nil"/>
              <w:bottom w:val="single" w:sz="4" w:space="0" w:color="auto"/>
              <w:right w:val="single" w:sz="4" w:space="0" w:color="000000"/>
            </w:tcBorders>
            <w:noWrap/>
            <w:vAlign w:val="center"/>
            <w:hideMark/>
          </w:tcPr>
          <w:p w14:paraId="19403535" w14:textId="77777777" w:rsidR="00302BFE" w:rsidRPr="003F6286" w:rsidRDefault="00302BFE" w:rsidP="00243B15">
            <w:pPr>
              <w:spacing w:after="0"/>
              <w:rPr>
                <w:bCs/>
                <w:sz w:val="18"/>
                <w:szCs w:val="18"/>
                <w:lang w:val="en-CA" w:eastAsia="zh-CN"/>
              </w:rPr>
            </w:pPr>
            <w:r w:rsidRPr="003F6286">
              <w:rPr>
                <w:rFonts w:cs="Arial"/>
                <w:sz w:val="18"/>
                <w:szCs w:val="18"/>
                <w:lang w:val="en-CA"/>
              </w:rPr>
              <w:t>Integrated and Sustainable Management of PONASI Protected Area Landscape</w:t>
            </w:r>
          </w:p>
        </w:tc>
      </w:tr>
      <w:tr w:rsidR="00302BFE" w14:paraId="061B7F39" w14:textId="77777777" w:rsidTr="00243B15">
        <w:trPr>
          <w:trHeight w:val="77"/>
          <w:jc w:val="center"/>
        </w:trPr>
        <w:tc>
          <w:tcPr>
            <w:tcW w:w="4411" w:type="dxa"/>
            <w:tcBorders>
              <w:top w:val="nil"/>
              <w:left w:val="single" w:sz="4" w:space="0" w:color="auto"/>
              <w:bottom w:val="single" w:sz="4" w:space="0" w:color="auto"/>
              <w:right w:val="single" w:sz="4" w:space="0" w:color="auto"/>
            </w:tcBorders>
            <w:noWrap/>
            <w:vAlign w:val="center"/>
            <w:hideMark/>
          </w:tcPr>
          <w:p w14:paraId="46999378" w14:textId="77777777" w:rsidR="00302BFE" w:rsidRPr="003F6286" w:rsidRDefault="00302BFE" w:rsidP="00243B15">
            <w:pPr>
              <w:spacing w:after="0"/>
              <w:rPr>
                <w:bCs/>
                <w:sz w:val="18"/>
                <w:szCs w:val="18"/>
                <w:lang w:val="fr-CA" w:eastAsia="zh-CN"/>
              </w:rPr>
            </w:pPr>
            <w:r w:rsidRPr="003F6286">
              <w:rPr>
                <w:bCs/>
                <w:sz w:val="18"/>
                <w:szCs w:val="18"/>
                <w:lang w:val="fr-CA" w:eastAsia="zh-CN"/>
              </w:rPr>
              <w:t>Atlas Business Unit</w:t>
            </w:r>
          </w:p>
        </w:tc>
        <w:tc>
          <w:tcPr>
            <w:tcW w:w="9084" w:type="dxa"/>
            <w:gridSpan w:val="3"/>
            <w:tcBorders>
              <w:top w:val="single" w:sz="4" w:space="0" w:color="auto"/>
              <w:left w:val="nil"/>
              <w:bottom w:val="single" w:sz="4" w:space="0" w:color="auto"/>
              <w:right w:val="single" w:sz="4" w:space="0" w:color="000000"/>
            </w:tcBorders>
            <w:noWrap/>
            <w:vAlign w:val="center"/>
            <w:hideMark/>
          </w:tcPr>
          <w:p w14:paraId="0CBB3CE3" w14:textId="77777777" w:rsidR="00302BFE" w:rsidRPr="003F6286" w:rsidRDefault="00302BFE" w:rsidP="00243B15">
            <w:pPr>
              <w:spacing w:after="0"/>
              <w:rPr>
                <w:bCs/>
                <w:iCs/>
                <w:sz w:val="18"/>
                <w:szCs w:val="18"/>
                <w:lang w:eastAsia="zh-CN"/>
              </w:rPr>
            </w:pPr>
            <w:r w:rsidRPr="003F6286">
              <w:rPr>
                <w:bCs/>
                <w:iCs/>
                <w:sz w:val="18"/>
                <w:szCs w:val="18"/>
                <w:lang w:eastAsia="zh-CN"/>
              </w:rPr>
              <w:t>BFA10</w:t>
            </w:r>
          </w:p>
        </w:tc>
      </w:tr>
      <w:tr w:rsidR="00302BFE" w:rsidRPr="00C10C3B" w14:paraId="2FA65A89" w14:textId="77777777" w:rsidTr="00243B15">
        <w:trPr>
          <w:trHeight w:val="77"/>
          <w:jc w:val="center"/>
        </w:trPr>
        <w:tc>
          <w:tcPr>
            <w:tcW w:w="4411" w:type="dxa"/>
            <w:tcBorders>
              <w:top w:val="nil"/>
              <w:left w:val="single" w:sz="4" w:space="0" w:color="auto"/>
              <w:bottom w:val="single" w:sz="4" w:space="0" w:color="auto"/>
              <w:right w:val="single" w:sz="4" w:space="0" w:color="auto"/>
            </w:tcBorders>
            <w:noWrap/>
            <w:vAlign w:val="center"/>
            <w:hideMark/>
          </w:tcPr>
          <w:p w14:paraId="67EC6E5E" w14:textId="77777777" w:rsidR="00302BFE" w:rsidRPr="003F6286" w:rsidRDefault="00302BFE" w:rsidP="00243B15">
            <w:pPr>
              <w:spacing w:after="0"/>
              <w:ind w:left="75" w:hanging="75"/>
              <w:rPr>
                <w:bCs/>
                <w:sz w:val="18"/>
                <w:szCs w:val="18"/>
                <w:lang w:val="en-CA" w:eastAsia="zh-CN"/>
              </w:rPr>
            </w:pPr>
            <w:r w:rsidRPr="003F6286">
              <w:rPr>
                <w:bCs/>
                <w:sz w:val="18"/>
                <w:szCs w:val="18"/>
                <w:lang w:val="en-CA" w:eastAsia="zh-CN"/>
              </w:rPr>
              <w:t>Atlas Primary Output Project Title</w:t>
            </w:r>
          </w:p>
        </w:tc>
        <w:tc>
          <w:tcPr>
            <w:tcW w:w="9084" w:type="dxa"/>
            <w:gridSpan w:val="3"/>
            <w:tcBorders>
              <w:top w:val="single" w:sz="4" w:space="0" w:color="auto"/>
              <w:left w:val="nil"/>
              <w:bottom w:val="single" w:sz="4" w:space="0" w:color="auto"/>
              <w:right w:val="single" w:sz="4" w:space="0" w:color="000000"/>
            </w:tcBorders>
            <w:noWrap/>
            <w:vAlign w:val="center"/>
            <w:hideMark/>
          </w:tcPr>
          <w:p w14:paraId="745302FB" w14:textId="77777777" w:rsidR="00302BFE" w:rsidRPr="003F6286" w:rsidRDefault="00302BFE" w:rsidP="00243B15">
            <w:pPr>
              <w:spacing w:after="0"/>
              <w:rPr>
                <w:bCs/>
                <w:sz w:val="18"/>
                <w:szCs w:val="18"/>
                <w:lang w:val="en-CA" w:eastAsia="zh-CN"/>
              </w:rPr>
            </w:pPr>
            <w:r w:rsidRPr="003F6286">
              <w:rPr>
                <w:rFonts w:cs="Arial"/>
                <w:sz w:val="18"/>
                <w:szCs w:val="18"/>
                <w:lang w:val="en-CA"/>
              </w:rPr>
              <w:t>Integrated and Sustainable Management of PONASI Protected Area Landscape</w:t>
            </w:r>
          </w:p>
        </w:tc>
      </w:tr>
      <w:tr w:rsidR="00302BFE" w14:paraId="5C16DAF0" w14:textId="77777777" w:rsidTr="00243B15">
        <w:trPr>
          <w:trHeight w:val="77"/>
          <w:jc w:val="center"/>
        </w:trPr>
        <w:tc>
          <w:tcPr>
            <w:tcW w:w="4411" w:type="dxa"/>
            <w:tcBorders>
              <w:top w:val="nil"/>
              <w:left w:val="single" w:sz="4" w:space="0" w:color="auto"/>
              <w:bottom w:val="single" w:sz="4" w:space="0" w:color="auto"/>
              <w:right w:val="single" w:sz="4" w:space="0" w:color="auto"/>
            </w:tcBorders>
            <w:noWrap/>
            <w:vAlign w:val="center"/>
            <w:hideMark/>
          </w:tcPr>
          <w:p w14:paraId="1BEBFD48" w14:textId="77777777" w:rsidR="00302BFE" w:rsidRPr="003F6286" w:rsidRDefault="00302BFE" w:rsidP="00243B15">
            <w:pPr>
              <w:spacing w:after="0"/>
              <w:rPr>
                <w:bCs/>
                <w:sz w:val="18"/>
                <w:szCs w:val="18"/>
                <w:lang w:eastAsia="zh-CN"/>
              </w:rPr>
            </w:pPr>
            <w:r w:rsidRPr="003F6286">
              <w:rPr>
                <w:bCs/>
                <w:sz w:val="18"/>
                <w:szCs w:val="18"/>
                <w:lang w:eastAsia="zh-CN"/>
              </w:rPr>
              <w:t>UNDP-GEF PIMS No.</w:t>
            </w:r>
          </w:p>
        </w:tc>
        <w:tc>
          <w:tcPr>
            <w:tcW w:w="9084" w:type="dxa"/>
            <w:gridSpan w:val="3"/>
            <w:tcBorders>
              <w:top w:val="single" w:sz="4" w:space="0" w:color="auto"/>
              <w:left w:val="nil"/>
              <w:bottom w:val="single" w:sz="4" w:space="0" w:color="auto"/>
              <w:right w:val="single" w:sz="4" w:space="0" w:color="auto"/>
            </w:tcBorders>
            <w:noWrap/>
            <w:vAlign w:val="center"/>
            <w:hideMark/>
          </w:tcPr>
          <w:p w14:paraId="47607FE2" w14:textId="77777777" w:rsidR="00302BFE" w:rsidRPr="003F6286" w:rsidRDefault="00302BFE" w:rsidP="00243B15">
            <w:pPr>
              <w:spacing w:after="0"/>
              <w:rPr>
                <w:bCs/>
                <w:sz w:val="18"/>
                <w:szCs w:val="18"/>
                <w:lang w:eastAsia="zh-CN"/>
              </w:rPr>
            </w:pPr>
            <w:r w:rsidRPr="003F6286">
              <w:rPr>
                <w:bCs/>
                <w:sz w:val="18"/>
                <w:szCs w:val="18"/>
                <w:lang w:eastAsia="zh-CN"/>
              </w:rPr>
              <w:t>5938</w:t>
            </w:r>
          </w:p>
        </w:tc>
      </w:tr>
      <w:tr w:rsidR="00302BFE" w:rsidRPr="006D61EE" w14:paraId="3E4ECA62" w14:textId="77777777" w:rsidTr="00243B15">
        <w:trPr>
          <w:trHeight w:val="77"/>
          <w:jc w:val="center"/>
        </w:trPr>
        <w:tc>
          <w:tcPr>
            <w:tcW w:w="4411" w:type="dxa"/>
            <w:tcBorders>
              <w:top w:val="nil"/>
              <w:left w:val="single" w:sz="4" w:space="0" w:color="auto"/>
              <w:bottom w:val="single" w:sz="4" w:space="0" w:color="auto"/>
              <w:right w:val="single" w:sz="4" w:space="0" w:color="auto"/>
            </w:tcBorders>
            <w:hideMark/>
          </w:tcPr>
          <w:p w14:paraId="73DA2138" w14:textId="77777777" w:rsidR="00302BFE" w:rsidRPr="003F6286" w:rsidRDefault="00302BFE" w:rsidP="00243B15">
            <w:pPr>
              <w:spacing w:after="0"/>
              <w:rPr>
                <w:bCs/>
                <w:sz w:val="18"/>
                <w:szCs w:val="18"/>
                <w:lang w:eastAsia="zh-CN"/>
              </w:rPr>
            </w:pPr>
            <w:r w:rsidRPr="003F6286">
              <w:rPr>
                <w:bCs/>
                <w:sz w:val="18"/>
                <w:szCs w:val="18"/>
                <w:lang w:eastAsia="zh-CN"/>
              </w:rPr>
              <w:t>Executing Agency</w:t>
            </w:r>
          </w:p>
        </w:tc>
        <w:tc>
          <w:tcPr>
            <w:tcW w:w="9084" w:type="dxa"/>
            <w:gridSpan w:val="3"/>
            <w:tcBorders>
              <w:top w:val="single" w:sz="4" w:space="0" w:color="auto"/>
              <w:left w:val="nil"/>
              <w:bottom w:val="single" w:sz="4" w:space="0" w:color="auto"/>
              <w:right w:val="single" w:sz="4" w:space="0" w:color="000000"/>
            </w:tcBorders>
            <w:noWrap/>
            <w:vAlign w:val="center"/>
          </w:tcPr>
          <w:p w14:paraId="1239611A" w14:textId="19BD6944" w:rsidR="00302BFE" w:rsidRPr="003F6286" w:rsidRDefault="00E34E6F" w:rsidP="00243B15">
            <w:pPr>
              <w:spacing w:after="0"/>
              <w:rPr>
                <w:bCs/>
                <w:sz w:val="18"/>
                <w:szCs w:val="18"/>
                <w:lang w:val="en-CA" w:eastAsia="zh-CN"/>
              </w:rPr>
            </w:pPr>
            <w:r>
              <w:rPr>
                <w:rFonts w:cs="Arial"/>
                <w:szCs w:val="20"/>
                <w:highlight w:val="green"/>
              </w:rPr>
              <w:t>SP Conseil Nation Devel Durabl under the Ministry in charge of the Environment</w:t>
            </w:r>
          </w:p>
        </w:tc>
      </w:tr>
    </w:tbl>
    <w:p w14:paraId="6FB6E452" w14:textId="6CB75BEE" w:rsidR="00302BFE" w:rsidRDefault="00302BFE" w:rsidP="00302BFE">
      <w:pPr>
        <w:spacing w:after="0"/>
        <w:rPr>
          <w:rFonts w:ascii="Times New Roman" w:hAnsi="Times New Roman"/>
          <w:sz w:val="12"/>
          <w:szCs w:val="12"/>
          <w:lang w:val="en-CA"/>
        </w:rPr>
      </w:pPr>
    </w:p>
    <w:tbl>
      <w:tblPr>
        <w:tblW w:w="13940" w:type="dxa"/>
        <w:tblInd w:w="440" w:type="dxa"/>
        <w:tblLook w:val="04A0" w:firstRow="1" w:lastRow="0" w:firstColumn="1" w:lastColumn="0" w:noHBand="0" w:noVBand="1"/>
      </w:tblPr>
      <w:tblGrid>
        <w:gridCol w:w="1353"/>
        <w:gridCol w:w="1267"/>
        <w:gridCol w:w="622"/>
        <w:gridCol w:w="632"/>
        <w:gridCol w:w="901"/>
        <w:gridCol w:w="1186"/>
        <w:gridCol w:w="1155"/>
        <w:gridCol w:w="1010"/>
        <w:gridCol w:w="938"/>
        <w:gridCol w:w="938"/>
        <w:gridCol w:w="938"/>
        <w:gridCol w:w="938"/>
        <w:gridCol w:w="1372"/>
        <w:gridCol w:w="690"/>
      </w:tblGrid>
      <w:tr w:rsidR="001F7EF7" w:rsidRPr="00913CCF" w14:paraId="178F5D64" w14:textId="77777777" w:rsidTr="004205FD">
        <w:trPr>
          <w:trHeight w:val="848"/>
        </w:trPr>
        <w:tc>
          <w:tcPr>
            <w:tcW w:w="1354"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6D2C249A" w14:textId="77777777" w:rsidR="004320B0" w:rsidRPr="00913CCF" w:rsidRDefault="004320B0" w:rsidP="004320B0">
            <w:pPr>
              <w:spacing w:after="0"/>
              <w:jc w:val="center"/>
              <w:rPr>
                <w:rFonts w:eastAsia="Times New Roman" w:cs="Calibri"/>
                <w:b/>
                <w:bCs/>
                <w:color w:val="000000"/>
                <w:sz w:val="18"/>
                <w:szCs w:val="18"/>
              </w:rPr>
            </w:pPr>
            <w:bookmarkStart w:id="38" w:name="RANGE!A1"/>
            <w:r w:rsidRPr="00913CCF">
              <w:rPr>
                <w:rFonts w:eastAsia="Times New Roman" w:cs="Calibri"/>
                <w:b/>
                <w:bCs/>
                <w:color w:val="000000"/>
                <w:sz w:val="18"/>
                <w:szCs w:val="18"/>
              </w:rPr>
              <w:t>GEF Component/ Atlas Activity</w:t>
            </w:r>
            <w:bookmarkEnd w:id="38"/>
          </w:p>
        </w:tc>
        <w:tc>
          <w:tcPr>
            <w:tcW w:w="1266" w:type="dxa"/>
            <w:tcBorders>
              <w:top w:val="single" w:sz="8" w:space="0" w:color="auto"/>
              <w:left w:val="nil"/>
              <w:bottom w:val="nil"/>
              <w:right w:val="single" w:sz="8" w:space="0" w:color="auto"/>
            </w:tcBorders>
            <w:shd w:val="clear" w:color="auto" w:fill="auto"/>
            <w:vAlign w:val="center"/>
            <w:hideMark/>
          </w:tcPr>
          <w:p w14:paraId="51851078" w14:textId="77777777" w:rsidR="004320B0" w:rsidRPr="00913CCF" w:rsidRDefault="004320B0" w:rsidP="004320B0">
            <w:pPr>
              <w:spacing w:after="0"/>
              <w:jc w:val="center"/>
              <w:rPr>
                <w:rFonts w:eastAsia="Times New Roman" w:cs="Calibri"/>
                <w:b/>
                <w:bCs/>
                <w:color w:val="000000"/>
                <w:sz w:val="16"/>
                <w:szCs w:val="16"/>
              </w:rPr>
            </w:pPr>
            <w:r w:rsidRPr="00913CCF">
              <w:rPr>
                <w:rFonts w:eastAsia="Times New Roman" w:cs="Calibri"/>
                <w:b/>
                <w:bCs/>
                <w:color w:val="000000"/>
                <w:sz w:val="16"/>
                <w:szCs w:val="16"/>
              </w:rPr>
              <w:t>Responsible Party/ (Atlas Implementing Agent)</w:t>
            </w:r>
          </w:p>
        </w:tc>
        <w:tc>
          <w:tcPr>
            <w:tcW w:w="622" w:type="dxa"/>
            <w:tcBorders>
              <w:top w:val="single" w:sz="8" w:space="0" w:color="auto"/>
              <w:left w:val="nil"/>
              <w:bottom w:val="single" w:sz="8" w:space="0" w:color="000000"/>
              <w:right w:val="single" w:sz="8" w:space="0" w:color="auto"/>
            </w:tcBorders>
            <w:shd w:val="clear" w:color="auto" w:fill="auto"/>
            <w:vAlign w:val="center"/>
            <w:hideMark/>
          </w:tcPr>
          <w:p w14:paraId="78D5B46A" w14:textId="77777777" w:rsidR="004320B0" w:rsidRPr="00913CCF" w:rsidRDefault="004320B0" w:rsidP="004320B0">
            <w:pPr>
              <w:spacing w:after="0"/>
              <w:jc w:val="center"/>
              <w:rPr>
                <w:rFonts w:eastAsia="Times New Roman" w:cs="Calibri"/>
                <w:b/>
                <w:bCs/>
                <w:color w:val="000000"/>
                <w:sz w:val="16"/>
                <w:szCs w:val="16"/>
              </w:rPr>
            </w:pPr>
            <w:r w:rsidRPr="00913CCF">
              <w:rPr>
                <w:rFonts w:eastAsia="Times New Roman" w:cs="Calibri"/>
                <w:b/>
                <w:bCs/>
                <w:color w:val="000000"/>
                <w:sz w:val="16"/>
                <w:szCs w:val="16"/>
              </w:rPr>
              <w:t>Fund ID</w:t>
            </w:r>
          </w:p>
        </w:tc>
        <w:tc>
          <w:tcPr>
            <w:tcW w:w="632" w:type="dxa"/>
            <w:tcBorders>
              <w:top w:val="single" w:sz="8" w:space="0" w:color="auto"/>
              <w:left w:val="nil"/>
              <w:bottom w:val="single" w:sz="8" w:space="0" w:color="000000"/>
              <w:right w:val="single" w:sz="8" w:space="0" w:color="auto"/>
            </w:tcBorders>
            <w:shd w:val="clear" w:color="auto" w:fill="auto"/>
            <w:vAlign w:val="center"/>
            <w:hideMark/>
          </w:tcPr>
          <w:p w14:paraId="39774B22" w14:textId="77777777" w:rsidR="004320B0" w:rsidRPr="00913CCF" w:rsidRDefault="004320B0" w:rsidP="004320B0">
            <w:pPr>
              <w:spacing w:after="0"/>
              <w:jc w:val="center"/>
              <w:rPr>
                <w:rFonts w:eastAsia="Times New Roman" w:cs="Calibri"/>
                <w:b/>
                <w:bCs/>
                <w:color w:val="000000"/>
                <w:sz w:val="16"/>
                <w:szCs w:val="16"/>
              </w:rPr>
            </w:pPr>
            <w:r w:rsidRPr="00913CCF">
              <w:rPr>
                <w:rFonts w:eastAsia="Times New Roman" w:cs="Calibri"/>
                <w:b/>
                <w:bCs/>
                <w:color w:val="000000"/>
                <w:sz w:val="16"/>
                <w:szCs w:val="16"/>
              </w:rPr>
              <w:t>Donor Name</w:t>
            </w:r>
          </w:p>
        </w:tc>
        <w:tc>
          <w:tcPr>
            <w:tcW w:w="901" w:type="dxa"/>
            <w:tcBorders>
              <w:top w:val="single" w:sz="8" w:space="0" w:color="auto"/>
              <w:left w:val="nil"/>
              <w:bottom w:val="single" w:sz="8" w:space="0" w:color="000000"/>
              <w:right w:val="single" w:sz="8" w:space="0" w:color="auto"/>
            </w:tcBorders>
            <w:shd w:val="clear" w:color="auto" w:fill="auto"/>
            <w:vAlign w:val="center"/>
            <w:hideMark/>
          </w:tcPr>
          <w:p w14:paraId="308A1E4F" w14:textId="77777777" w:rsidR="004320B0" w:rsidRPr="00913CCF" w:rsidRDefault="004320B0" w:rsidP="004320B0">
            <w:pPr>
              <w:spacing w:after="0"/>
              <w:jc w:val="center"/>
              <w:rPr>
                <w:rFonts w:eastAsia="Times New Roman" w:cs="Calibri"/>
                <w:b/>
                <w:bCs/>
                <w:color w:val="000000"/>
                <w:sz w:val="16"/>
                <w:szCs w:val="16"/>
              </w:rPr>
            </w:pPr>
            <w:r w:rsidRPr="00913CCF">
              <w:rPr>
                <w:rFonts w:eastAsia="Times New Roman" w:cs="Calibri"/>
                <w:b/>
                <w:bCs/>
                <w:color w:val="000000"/>
                <w:sz w:val="16"/>
                <w:szCs w:val="16"/>
              </w:rPr>
              <w:t>Atlas Budgetary Account Code</w:t>
            </w:r>
          </w:p>
        </w:tc>
        <w:tc>
          <w:tcPr>
            <w:tcW w:w="1186" w:type="dxa"/>
            <w:tcBorders>
              <w:top w:val="single" w:sz="8" w:space="0" w:color="auto"/>
              <w:left w:val="nil"/>
              <w:bottom w:val="single" w:sz="8" w:space="0" w:color="000000"/>
              <w:right w:val="single" w:sz="8" w:space="0" w:color="auto"/>
            </w:tcBorders>
            <w:shd w:val="clear" w:color="auto" w:fill="auto"/>
            <w:vAlign w:val="center"/>
            <w:hideMark/>
          </w:tcPr>
          <w:p w14:paraId="3DB99710" w14:textId="77777777" w:rsidR="004320B0" w:rsidRPr="00913CCF" w:rsidRDefault="004320B0" w:rsidP="004320B0">
            <w:pPr>
              <w:spacing w:after="0"/>
              <w:jc w:val="left"/>
              <w:rPr>
                <w:rFonts w:eastAsia="Times New Roman" w:cs="Calibri"/>
                <w:b/>
                <w:bCs/>
                <w:color w:val="000000"/>
                <w:sz w:val="16"/>
                <w:szCs w:val="16"/>
              </w:rPr>
            </w:pPr>
            <w:r w:rsidRPr="00913CCF">
              <w:rPr>
                <w:rFonts w:eastAsia="Times New Roman" w:cs="Calibri"/>
                <w:b/>
                <w:bCs/>
                <w:color w:val="000000"/>
                <w:sz w:val="16"/>
                <w:szCs w:val="16"/>
              </w:rPr>
              <w:t>ATLAS Budget Description</w:t>
            </w:r>
          </w:p>
        </w:tc>
        <w:tc>
          <w:tcPr>
            <w:tcW w:w="1155" w:type="dxa"/>
            <w:tcBorders>
              <w:top w:val="single" w:sz="8" w:space="0" w:color="auto"/>
              <w:left w:val="nil"/>
              <w:bottom w:val="single" w:sz="8" w:space="0" w:color="000000"/>
              <w:right w:val="single" w:sz="8" w:space="0" w:color="auto"/>
            </w:tcBorders>
            <w:shd w:val="clear" w:color="auto" w:fill="auto"/>
            <w:vAlign w:val="center"/>
            <w:hideMark/>
          </w:tcPr>
          <w:p w14:paraId="13E51CE7" w14:textId="77777777" w:rsidR="004320B0" w:rsidRPr="00913CCF" w:rsidRDefault="004320B0" w:rsidP="004320B0">
            <w:pPr>
              <w:spacing w:after="0"/>
              <w:jc w:val="center"/>
              <w:rPr>
                <w:rFonts w:eastAsia="Times New Roman" w:cs="Calibri"/>
                <w:b/>
                <w:bCs/>
                <w:color w:val="000000"/>
                <w:sz w:val="16"/>
                <w:szCs w:val="16"/>
              </w:rPr>
            </w:pPr>
            <w:r w:rsidRPr="00913CCF">
              <w:rPr>
                <w:rFonts w:eastAsia="Times New Roman" w:cs="Calibri"/>
                <w:b/>
                <w:bCs/>
                <w:color w:val="000000"/>
                <w:sz w:val="16"/>
                <w:szCs w:val="16"/>
              </w:rPr>
              <w:t>Amount Year 1 (USD)</w:t>
            </w:r>
          </w:p>
        </w:tc>
        <w:tc>
          <w:tcPr>
            <w:tcW w:w="1010" w:type="dxa"/>
            <w:tcBorders>
              <w:top w:val="single" w:sz="8" w:space="0" w:color="auto"/>
              <w:left w:val="nil"/>
              <w:bottom w:val="single" w:sz="8" w:space="0" w:color="000000"/>
              <w:right w:val="single" w:sz="8" w:space="0" w:color="auto"/>
            </w:tcBorders>
            <w:shd w:val="clear" w:color="auto" w:fill="auto"/>
            <w:vAlign w:val="center"/>
            <w:hideMark/>
          </w:tcPr>
          <w:p w14:paraId="57928675" w14:textId="77777777" w:rsidR="004320B0" w:rsidRPr="00913CCF" w:rsidRDefault="004320B0" w:rsidP="004320B0">
            <w:pPr>
              <w:spacing w:after="0"/>
              <w:jc w:val="center"/>
              <w:rPr>
                <w:rFonts w:eastAsia="Times New Roman" w:cs="Calibri"/>
                <w:b/>
                <w:bCs/>
                <w:color w:val="000000"/>
                <w:sz w:val="16"/>
                <w:szCs w:val="16"/>
              </w:rPr>
            </w:pPr>
            <w:r w:rsidRPr="00913CCF">
              <w:rPr>
                <w:rFonts w:eastAsia="Times New Roman" w:cs="Calibri"/>
                <w:b/>
                <w:bCs/>
                <w:color w:val="000000"/>
                <w:sz w:val="16"/>
                <w:szCs w:val="16"/>
              </w:rPr>
              <w:t>Amount Year 2 (USD)</w:t>
            </w:r>
          </w:p>
        </w:tc>
        <w:tc>
          <w:tcPr>
            <w:tcW w:w="938" w:type="dxa"/>
            <w:tcBorders>
              <w:top w:val="single" w:sz="8" w:space="0" w:color="auto"/>
              <w:left w:val="nil"/>
              <w:bottom w:val="single" w:sz="8" w:space="0" w:color="000000"/>
              <w:right w:val="single" w:sz="8" w:space="0" w:color="auto"/>
            </w:tcBorders>
            <w:shd w:val="clear" w:color="auto" w:fill="auto"/>
            <w:vAlign w:val="center"/>
            <w:hideMark/>
          </w:tcPr>
          <w:p w14:paraId="2B3D2DB7" w14:textId="77777777" w:rsidR="004320B0" w:rsidRPr="00913CCF" w:rsidRDefault="004320B0" w:rsidP="004320B0">
            <w:pPr>
              <w:spacing w:after="0"/>
              <w:jc w:val="center"/>
              <w:rPr>
                <w:rFonts w:eastAsia="Times New Roman" w:cs="Calibri"/>
                <w:b/>
                <w:bCs/>
                <w:color w:val="000000"/>
                <w:sz w:val="16"/>
                <w:szCs w:val="16"/>
              </w:rPr>
            </w:pPr>
            <w:r w:rsidRPr="00913CCF">
              <w:rPr>
                <w:rFonts w:eastAsia="Times New Roman" w:cs="Calibri"/>
                <w:b/>
                <w:bCs/>
                <w:color w:val="000000"/>
                <w:sz w:val="16"/>
                <w:szCs w:val="16"/>
              </w:rPr>
              <w:t>Amount Year 3 (USD)</w:t>
            </w:r>
          </w:p>
        </w:tc>
        <w:tc>
          <w:tcPr>
            <w:tcW w:w="938" w:type="dxa"/>
            <w:tcBorders>
              <w:top w:val="single" w:sz="8" w:space="0" w:color="auto"/>
              <w:left w:val="nil"/>
              <w:bottom w:val="single" w:sz="8" w:space="0" w:color="000000"/>
              <w:right w:val="single" w:sz="8" w:space="0" w:color="auto"/>
            </w:tcBorders>
            <w:shd w:val="clear" w:color="auto" w:fill="auto"/>
            <w:vAlign w:val="center"/>
            <w:hideMark/>
          </w:tcPr>
          <w:p w14:paraId="650F9EF1" w14:textId="77777777" w:rsidR="004320B0" w:rsidRPr="00913CCF" w:rsidRDefault="004320B0" w:rsidP="004320B0">
            <w:pPr>
              <w:spacing w:after="0"/>
              <w:jc w:val="center"/>
              <w:rPr>
                <w:rFonts w:eastAsia="Times New Roman" w:cs="Calibri"/>
                <w:b/>
                <w:bCs/>
                <w:color w:val="000000"/>
                <w:sz w:val="16"/>
                <w:szCs w:val="16"/>
              </w:rPr>
            </w:pPr>
            <w:r w:rsidRPr="00913CCF">
              <w:rPr>
                <w:rFonts w:eastAsia="Times New Roman" w:cs="Calibri"/>
                <w:b/>
                <w:bCs/>
                <w:color w:val="000000"/>
                <w:sz w:val="16"/>
                <w:szCs w:val="16"/>
              </w:rPr>
              <w:t>Amount Year 4 (USD))</w:t>
            </w:r>
          </w:p>
        </w:tc>
        <w:tc>
          <w:tcPr>
            <w:tcW w:w="938" w:type="dxa"/>
            <w:tcBorders>
              <w:top w:val="single" w:sz="8" w:space="0" w:color="auto"/>
              <w:left w:val="nil"/>
              <w:bottom w:val="single" w:sz="8" w:space="0" w:color="000000"/>
              <w:right w:val="single" w:sz="8" w:space="0" w:color="auto"/>
            </w:tcBorders>
            <w:shd w:val="clear" w:color="auto" w:fill="auto"/>
            <w:vAlign w:val="center"/>
            <w:hideMark/>
          </w:tcPr>
          <w:p w14:paraId="23517F1C" w14:textId="77777777" w:rsidR="004320B0" w:rsidRPr="00913CCF" w:rsidRDefault="004320B0" w:rsidP="004320B0">
            <w:pPr>
              <w:spacing w:after="0"/>
              <w:jc w:val="center"/>
              <w:rPr>
                <w:rFonts w:eastAsia="Times New Roman" w:cs="Calibri"/>
                <w:b/>
                <w:bCs/>
                <w:color w:val="000000"/>
                <w:sz w:val="16"/>
                <w:szCs w:val="16"/>
              </w:rPr>
            </w:pPr>
            <w:r w:rsidRPr="00913CCF">
              <w:rPr>
                <w:rFonts w:eastAsia="Times New Roman" w:cs="Calibri"/>
                <w:b/>
                <w:bCs/>
                <w:color w:val="000000"/>
                <w:sz w:val="16"/>
                <w:szCs w:val="16"/>
              </w:rPr>
              <w:t>Amount Year 5 (USD)</w:t>
            </w:r>
          </w:p>
        </w:tc>
        <w:tc>
          <w:tcPr>
            <w:tcW w:w="938" w:type="dxa"/>
            <w:tcBorders>
              <w:top w:val="single" w:sz="8" w:space="0" w:color="auto"/>
              <w:left w:val="nil"/>
              <w:bottom w:val="nil"/>
              <w:right w:val="single" w:sz="8" w:space="0" w:color="auto"/>
            </w:tcBorders>
            <w:shd w:val="clear" w:color="auto" w:fill="auto"/>
            <w:vAlign w:val="center"/>
            <w:hideMark/>
          </w:tcPr>
          <w:p w14:paraId="08861CCF" w14:textId="77777777" w:rsidR="004320B0" w:rsidRPr="00913CCF" w:rsidRDefault="004320B0" w:rsidP="004320B0">
            <w:pPr>
              <w:spacing w:after="0"/>
              <w:jc w:val="center"/>
              <w:rPr>
                <w:rFonts w:eastAsia="Times New Roman" w:cs="Calibri"/>
                <w:b/>
                <w:bCs/>
                <w:color w:val="000000"/>
                <w:sz w:val="16"/>
                <w:szCs w:val="16"/>
              </w:rPr>
            </w:pPr>
            <w:r w:rsidRPr="00913CCF">
              <w:rPr>
                <w:rFonts w:eastAsia="Times New Roman" w:cs="Calibri"/>
                <w:b/>
                <w:bCs/>
                <w:color w:val="000000"/>
                <w:sz w:val="16"/>
                <w:szCs w:val="16"/>
              </w:rPr>
              <w:t>Amount Year 6 (USD)</w:t>
            </w:r>
          </w:p>
        </w:tc>
        <w:tc>
          <w:tcPr>
            <w:tcW w:w="1372" w:type="dxa"/>
            <w:tcBorders>
              <w:top w:val="single" w:sz="8" w:space="0" w:color="auto"/>
              <w:left w:val="nil"/>
              <w:bottom w:val="single" w:sz="8" w:space="0" w:color="000000"/>
              <w:right w:val="single" w:sz="8" w:space="0" w:color="auto"/>
            </w:tcBorders>
            <w:shd w:val="clear" w:color="auto" w:fill="auto"/>
            <w:noWrap/>
            <w:vAlign w:val="center"/>
            <w:hideMark/>
          </w:tcPr>
          <w:p w14:paraId="1C0BD731" w14:textId="77777777" w:rsidR="004320B0" w:rsidRPr="00913CCF" w:rsidRDefault="004320B0" w:rsidP="004320B0">
            <w:pPr>
              <w:spacing w:after="0"/>
              <w:jc w:val="center"/>
              <w:rPr>
                <w:rFonts w:eastAsia="Times New Roman" w:cs="Calibri"/>
                <w:b/>
                <w:bCs/>
                <w:color w:val="000000"/>
                <w:sz w:val="16"/>
                <w:szCs w:val="16"/>
              </w:rPr>
            </w:pPr>
            <w:r w:rsidRPr="00913CCF">
              <w:rPr>
                <w:rFonts w:eastAsia="Times New Roman" w:cs="Calibri"/>
                <w:b/>
                <w:bCs/>
                <w:color w:val="000000"/>
                <w:sz w:val="16"/>
                <w:szCs w:val="16"/>
              </w:rPr>
              <w:t>Total (USD)</w:t>
            </w:r>
          </w:p>
        </w:tc>
        <w:tc>
          <w:tcPr>
            <w:tcW w:w="690" w:type="dxa"/>
            <w:tcBorders>
              <w:top w:val="single" w:sz="8" w:space="0" w:color="auto"/>
              <w:left w:val="nil"/>
              <w:bottom w:val="single" w:sz="8" w:space="0" w:color="000000"/>
              <w:right w:val="single" w:sz="8" w:space="0" w:color="auto"/>
            </w:tcBorders>
            <w:shd w:val="clear" w:color="auto" w:fill="auto"/>
            <w:vAlign w:val="center"/>
            <w:hideMark/>
          </w:tcPr>
          <w:p w14:paraId="0D4B29CD" w14:textId="77777777" w:rsidR="004320B0" w:rsidRPr="00913CCF" w:rsidRDefault="004320B0" w:rsidP="004320B0">
            <w:pPr>
              <w:spacing w:after="0"/>
              <w:jc w:val="center"/>
              <w:rPr>
                <w:rFonts w:eastAsia="Times New Roman" w:cs="Calibri"/>
                <w:b/>
                <w:bCs/>
                <w:color w:val="000000"/>
                <w:sz w:val="16"/>
                <w:szCs w:val="16"/>
              </w:rPr>
            </w:pPr>
            <w:r w:rsidRPr="00913CCF">
              <w:rPr>
                <w:rFonts w:eastAsia="Times New Roman" w:cs="Calibri"/>
                <w:b/>
                <w:bCs/>
                <w:color w:val="000000"/>
                <w:sz w:val="16"/>
                <w:szCs w:val="16"/>
              </w:rPr>
              <w:t>See Budget Note:</w:t>
            </w:r>
          </w:p>
        </w:tc>
      </w:tr>
      <w:tr w:rsidR="001F45CE" w:rsidRPr="00913CCF" w14:paraId="323993A5" w14:textId="77777777" w:rsidTr="004205FD">
        <w:trPr>
          <w:cantSplit/>
          <w:trHeight w:val="243"/>
        </w:trPr>
        <w:tc>
          <w:tcPr>
            <w:tcW w:w="1354" w:type="dxa"/>
            <w:vMerge w:val="restart"/>
            <w:tcBorders>
              <w:top w:val="nil"/>
              <w:left w:val="single" w:sz="8" w:space="0" w:color="auto"/>
              <w:bottom w:val="double" w:sz="6" w:space="0" w:color="000000"/>
              <w:right w:val="single" w:sz="8" w:space="0" w:color="auto"/>
            </w:tcBorders>
            <w:shd w:val="clear" w:color="auto" w:fill="auto"/>
            <w:vAlign w:val="center"/>
            <w:hideMark/>
          </w:tcPr>
          <w:p w14:paraId="71FE767A"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 xml:space="preserve">COMPONENT / OUTCOME 1: </w:t>
            </w:r>
          </w:p>
        </w:tc>
        <w:tc>
          <w:tcPr>
            <w:tcW w:w="1266" w:type="dxa"/>
            <w:vMerge w:val="restart"/>
            <w:tcBorders>
              <w:top w:val="double" w:sz="6" w:space="0" w:color="auto"/>
              <w:left w:val="single" w:sz="8" w:space="0" w:color="auto"/>
              <w:bottom w:val="double" w:sz="6" w:space="0" w:color="000000"/>
              <w:right w:val="single" w:sz="8" w:space="0" w:color="auto"/>
            </w:tcBorders>
            <w:shd w:val="clear" w:color="auto" w:fill="auto"/>
            <w:vAlign w:val="center"/>
            <w:hideMark/>
          </w:tcPr>
          <w:p w14:paraId="4A142C84" w14:textId="12EF0B2F" w:rsidR="001F45CE" w:rsidRPr="00913CCF" w:rsidRDefault="001F45CE" w:rsidP="001F45CE">
            <w:pPr>
              <w:spacing w:after="0"/>
              <w:rPr>
                <w:rFonts w:eastAsia="Times New Roman" w:cs="Calibri"/>
                <w:b/>
                <w:bCs/>
                <w:color w:val="000000"/>
                <w:sz w:val="16"/>
                <w:szCs w:val="16"/>
              </w:rPr>
            </w:pPr>
            <w:r>
              <w:rPr>
                <w:rFonts w:cs="Arial"/>
                <w:szCs w:val="20"/>
                <w:highlight w:val="green"/>
              </w:rPr>
              <w:t>SP Conseil Nation Devel Durabl under the Ministry in charge of the Environment</w:t>
            </w:r>
          </w:p>
        </w:tc>
        <w:tc>
          <w:tcPr>
            <w:tcW w:w="622" w:type="dxa"/>
            <w:vMerge w:val="restart"/>
            <w:tcBorders>
              <w:top w:val="nil"/>
              <w:left w:val="single" w:sz="8" w:space="0" w:color="auto"/>
              <w:bottom w:val="double" w:sz="6" w:space="0" w:color="000000"/>
              <w:right w:val="single" w:sz="8" w:space="0" w:color="auto"/>
            </w:tcBorders>
            <w:shd w:val="clear" w:color="auto" w:fill="auto"/>
            <w:vAlign w:val="center"/>
            <w:hideMark/>
          </w:tcPr>
          <w:p w14:paraId="02FCAA16"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62000</w:t>
            </w:r>
          </w:p>
        </w:tc>
        <w:tc>
          <w:tcPr>
            <w:tcW w:w="632" w:type="dxa"/>
            <w:vMerge w:val="restart"/>
            <w:tcBorders>
              <w:top w:val="nil"/>
              <w:left w:val="single" w:sz="8" w:space="0" w:color="auto"/>
              <w:bottom w:val="double" w:sz="6" w:space="0" w:color="000000"/>
              <w:right w:val="single" w:sz="8" w:space="0" w:color="auto"/>
            </w:tcBorders>
            <w:shd w:val="clear" w:color="auto" w:fill="auto"/>
            <w:vAlign w:val="center"/>
            <w:hideMark/>
          </w:tcPr>
          <w:p w14:paraId="3215B136"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GEF</w:t>
            </w:r>
          </w:p>
        </w:tc>
        <w:tc>
          <w:tcPr>
            <w:tcW w:w="901" w:type="dxa"/>
            <w:tcBorders>
              <w:top w:val="nil"/>
              <w:left w:val="nil"/>
              <w:bottom w:val="single" w:sz="8" w:space="0" w:color="auto"/>
              <w:right w:val="single" w:sz="8" w:space="0" w:color="auto"/>
            </w:tcBorders>
            <w:shd w:val="clear" w:color="auto" w:fill="auto"/>
            <w:noWrap/>
            <w:vAlign w:val="center"/>
            <w:hideMark/>
          </w:tcPr>
          <w:p w14:paraId="053C2656"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71200</w:t>
            </w:r>
          </w:p>
        </w:tc>
        <w:tc>
          <w:tcPr>
            <w:tcW w:w="1186" w:type="dxa"/>
            <w:tcBorders>
              <w:top w:val="nil"/>
              <w:left w:val="nil"/>
              <w:bottom w:val="single" w:sz="8" w:space="0" w:color="auto"/>
              <w:right w:val="single" w:sz="8" w:space="0" w:color="auto"/>
            </w:tcBorders>
            <w:shd w:val="clear" w:color="auto" w:fill="auto"/>
            <w:vAlign w:val="center"/>
            <w:hideMark/>
          </w:tcPr>
          <w:p w14:paraId="6F9760D2" w14:textId="77777777" w:rsidR="001F45CE" w:rsidRPr="00913CCF" w:rsidRDefault="001F45CE" w:rsidP="001F45CE">
            <w:pPr>
              <w:spacing w:after="0"/>
              <w:jc w:val="left"/>
              <w:rPr>
                <w:rFonts w:eastAsia="Times New Roman" w:cs="Calibri"/>
                <w:color w:val="000000"/>
                <w:sz w:val="16"/>
                <w:szCs w:val="16"/>
              </w:rPr>
            </w:pPr>
            <w:r w:rsidRPr="00913CCF">
              <w:rPr>
                <w:rFonts w:eastAsia="Times New Roman" w:cs="Calibri"/>
                <w:color w:val="000000"/>
                <w:sz w:val="16"/>
                <w:szCs w:val="16"/>
              </w:rPr>
              <w:t>International Cons</w:t>
            </w:r>
          </w:p>
        </w:tc>
        <w:tc>
          <w:tcPr>
            <w:tcW w:w="1155" w:type="dxa"/>
            <w:tcBorders>
              <w:top w:val="nil"/>
              <w:left w:val="nil"/>
              <w:bottom w:val="single" w:sz="8" w:space="0" w:color="auto"/>
              <w:right w:val="single" w:sz="8" w:space="0" w:color="auto"/>
            </w:tcBorders>
            <w:shd w:val="clear" w:color="auto" w:fill="auto"/>
            <w:noWrap/>
            <w:vAlign w:val="center"/>
            <w:hideMark/>
          </w:tcPr>
          <w:p w14:paraId="1D6A3F3E"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31,000</w:t>
            </w:r>
          </w:p>
        </w:tc>
        <w:tc>
          <w:tcPr>
            <w:tcW w:w="1010" w:type="dxa"/>
            <w:tcBorders>
              <w:top w:val="nil"/>
              <w:left w:val="nil"/>
              <w:bottom w:val="single" w:sz="8" w:space="0" w:color="auto"/>
              <w:right w:val="single" w:sz="8" w:space="0" w:color="auto"/>
            </w:tcBorders>
            <w:shd w:val="clear" w:color="auto" w:fill="auto"/>
            <w:noWrap/>
            <w:vAlign w:val="center"/>
            <w:hideMark/>
          </w:tcPr>
          <w:p w14:paraId="1008F72E"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48,000</w:t>
            </w:r>
          </w:p>
        </w:tc>
        <w:tc>
          <w:tcPr>
            <w:tcW w:w="938" w:type="dxa"/>
            <w:tcBorders>
              <w:top w:val="nil"/>
              <w:left w:val="nil"/>
              <w:bottom w:val="single" w:sz="8" w:space="0" w:color="auto"/>
              <w:right w:val="single" w:sz="8" w:space="0" w:color="auto"/>
            </w:tcBorders>
            <w:shd w:val="clear" w:color="auto" w:fill="auto"/>
            <w:noWrap/>
            <w:vAlign w:val="center"/>
            <w:hideMark/>
          </w:tcPr>
          <w:p w14:paraId="42FF6864"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14,000</w:t>
            </w:r>
          </w:p>
        </w:tc>
        <w:tc>
          <w:tcPr>
            <w:tcW w:w="938" w:type="dxa"/>
            <w:tcBorders>
              <w:top w:val="nil"/>
              <w:left w:val="nil"/>
              <w:bottom w:val="single" w:sz="8" w:space="0" w:color="auto"/>
              <w:right w:val="single" w:sz="8" w:space="0" w:color="auto"/>
            </w:tcBorders>
            <w:shd w:val="clear" w:color="auto" w:fill="auto"/>
            <w:noWrap/>
            <w:vAlign w:val="center"/>
            <w:hideMark/>
          </w:tcPr>
          <w:p w14:paraId="5B54A582"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7,000</w:t>
            </w:r>
          </w:p>
        </w:tc>
        <w:tc>
          <w:tcPr>
            <w:tcW w:w="938" w:type="dxa"/>
            <w:tcBorders>
              <w:top w:val="nil"/>
              <w:left w:val="nil"/>
              <w:bottom w:val="single" w:sz="8" w:space="0" w:color="auto"/>
              <w:right w:val="single" w:sz="8" w:space="0" w:color="auto"/>
            </w:tcBorders>
            <w:shd w:val="clear" w:color="auto" w:fill="auto"/>
            <w:noWrap/>
            <w:vAlign w:val="center"/>
            <w:hideMark/>
          </w:tcPr>
          <w:p w14:paraId="595E5C9E"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938" w:type="dxa"/>
            <w:tcBorders>
              <w:top w:val="double" w:sz="6" w:space="0" w:color="auto"/>
              <w:left w:val="nil"/>
              <w:bottom w:val="single" w:sz="8" w:space="0" w:color="auto"/>
              <w:right w:val="single" w:sz="8" w:space="0" w:color="auto"/>
            </w:tcBorders>
            <w:shd w:val="clear" w:color="auto" w:fill="auto"/>
            <w:vAlign w:val="center"/>
            <w:hideMark/>
          </w:tcPr>
          <w:p w14:paraId="141404EC"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0</w:t>
            </w:r>
          </w:p>
        </w:tc>
        <w:tc>
          <w:tcPr>
            <w:tcW w:w="1372" w:type="dxa"/>
            <w:tcBorders>
              <w:top w:val="nil"/>
              <w:left w:val="nil"/>
              <w:bottom w:val="single" w:sz="8" w:space="0" w:color="auto"/>
              <w:right w:val="single" w:sz="8" w:space="0" w:color="auto"/>
            </w:tcBorders>
            <w:shd w:val="clear" w:color="auto" w:fill="auto"/>
            <w:noWrap/>
            <w:vAlign w:val="center"/>
            <w:hideMark/>
          </w:tcPr>
          <w:p w14:paraId="5F0D9E4F"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100,000</w:t>
            </w:r>
          </w:p>
        </w:tc>
        <w:tc>
          <w:tcPr>
            <w:tcW w:w="690" w:type="dxa"/>
            <w:tcBorders>
              <w:top w:val="nil"/>
              <w:left w:val="nil"/>
              <w:bottom w:val="single" w:sz="8" w:space="0" w:color="auto"/>
              <w:right w:val="single" w:sz="8" w:space="0" w:color="auto"/>
            </w:tcBorders>
            <w:shd w:val="clear" w:color="auto" w:fill="auto"/>
            <w:vAlign w:val="center"/>
            <w:hideMark/>
          </w:tcPr>
          <w:p w14:paraId="287F2EF7"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1</w:t>
            </w:r>
          </w:p>
        </w:tc>
      </w:tr>
      <w:tr w:rsidR="001F45CE" w:rsidRPr="00913CCF" w14:paraId="0D323607" w14:textId="77777777" w:rsidTr="004205FD">
        <w:trPr>
          <w:trHeight w:val="225"/>
        </w:trPr>
        <w:tc>
          <w:tcPr>
            <w:tcW w:w="1354" w:type="dxa"/>
            <w:vMerge/>
            <w:tcBorders>
              <w:top w:val="nil"/>
              <w:left w:val="single" w:sz="8" w:space="0" w:color="auto"/>
              <w:bottom w:val="double" w:sz="6" w:space="0" w:color="000000"/>
              <w:right w:val="single" w:sz="8" w:space="0" w:color="auto"/>
            </w:tcBorders>
            <w:shd w:val="clear" w:color="auto" w:fill="auto"/>
            <w:vAlign w:val="center"/>
            <w:hideMark/>
          </w:tcPr>
          <w:p w14:paraId="65E1F994"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double" w:sz="6" w:space="0" w:color="auto"/>
              <w:left w:val="single" w:sz="8" w:space="0" w:color="auto"/>
              <w:bottom w:val="double" w:sz="6" w:space="0" w:color="000000"/>
              <w:right w:val="single" w:sz="8" w:space="0" w:color="auto"/>
            </w:tcBorders>
            <w:shd w:val="clear" w:color="auto" w:fill="auto"/>
            <w:vAlign w:val="center"/>
            <w:hideMark/>
          </w:tcPr>
          <w:p w14:paraId="29309E66"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49397DA7"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3D965E43"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single" w:sz="8" w:space="0" w:color="auto"/>
              <w:right w:val="single" w:sz="8" w:space="0" w:color="auto"/>
            </w:tcBorders>
            <w:shd w:val="clear" w:color="auto" w:fill="auto"/>
            <w:noWrap/>
            <w:vAlign w:val="center"/>
            <w:hideMark/>
          </w:tcPr>
          <w:p w14:paraId="4CAB0E13"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71300</w:t>
            </w:r>
          </w:p>
        </w:tc>
        <w:tc>
          <w:tcPr>
            <w:tcW w:w="1186" w:type="dxa"/>
            <w:tcBorders>
              <w:top w:val="nil"/>
              <w:left w:val="nil"/>
              <w:bottom w:val="single" w:sz="8" w:space="0" w:color="auto"/>
              <w:right w:val="single" w:sz="8" w:space="0" w:color="auto"/>
            </w:tcBorders>
            <w:shd w:val="clear" w:color="auto" w:fill="auto"/>
            <w:vAlign w:val="center"/>
            <w:hideMark/>
          </w:tcPr>
          <w:p w14:paraId="5947D1A8" w14:textId="77777777" w:rsidR="001F45CE" w:rsidRPr="00913CCF" w:rsidRDefault="001F45CE" w:rsidP="001F45CE">
            <w:pPr>
              <w:spacing w:after="0"/>
              <w:jc w:val="left"/>
              <w:rPr>
                <w:rFonts w:eastAsia="Times New Roman" w:cs="Calibri"/>
                <w:color w:val="000000"/>
                <w:sz w:val="16"/>
                <w:szCs w:val="16"/>
              </w:rPr>
            </w:pPr>
            <w:r w:rsidRPr="00913CCF">
              <w:rPr>
                <w:rFonts w:eastAsia="Times New Roman" w:cs="Calibri"/>
                <w:color w:val="000000"/>
                <w:sz w:val="16"/>
                <w:szCs w:val="16"/>
              </w:rPr>
              <w:t>Local Consultants</w:t>
            </w:r>
          </w:p>
        </w:tc>
        <w:tc>
          <w:tcPr>
            <w:tcW w:w="1155" w:type="dxa"/>
            <w:tcBorders>
              <w:top w:val="nil"/>
              <w:left w:val="nil"/>
              <w:bottom w:val="single" w:sz="8" w:space="0" w:color="auto"/>
              <w:right w:val="single" w:sz="8" w:space="0" w:color="auto"/>
            </w:tcBorders>
            <w:shd w:val="clear" w:color="auto" w:fill="auto"/>
            <w:noWrap/>
            <w:vAlign w:val="center"/>
            <w:hideMark/>
          </w:tcPr>
          <w:p w14:paraId="3343034E"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14,750</w:t>
            </w:r>
          </w:p>
        </w:tc>
        <w:tc>
          <w:tcPr>
            <w:tcW w:w="1010" w:type="dxa"/>
            <w:tcBorders>
              <w:top w:val="nil"/>
              <w:left w:val="nil"/>
              <w:bottom w:val="single" w:sz="8" w:space="0" w:color="auto"/>
              <w:right w:val="single" w:sz="8" w:space="0" w:color="auto"/>
            </w:tcBorders>
            <w:shd w:val="clear" w:color="auto" w:fill="auto"/>
            <w:noWrap/>
            <w:vAlign w:val="center"/>
            <w:hideMark/>
          </w:tcPr>
          <w:p w14:paraId="2CE2A90B"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37,750</w:t>
            </w:r>
          </w:p>
        </w:tc>
        <w:tc>
          <w:tcPr>
            <w:tcW w:w="938" w:type="dxa"/>
            <w:tcBorders>
              <w:top w:val="nil"/>
              <w:left w:val="nil"/>
              <w:bottom w:val="single" w:sz="8" w:space="0" w:color="auto"/>
              <w:right w:val="single" w:sz="8" w:space="0" w:color="auto"/>
            </w:tcBorders>
            <w:shd w:val="clear" w:color="auto" w:fill="auto"/>
            <w:noWrap/>
            <w:vAlign w:val="center"/>
            <w:hideMark/>
          </w:tcPr>
          <w:p w14:paraId="0E7BDF72"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16,500</w:t>
            </w:r>
          </w:p>
        </w:tc>
        <w:tc>
          <w:tcPr>
            <w:tcW w:w="938" w:type="dxa"/>
            <w:tcBorders>
              <w:top w:val="nil"/>
              <w:left w:val="nil"/>
              <w:bottom w:val="single" w:sz="8" w:space="0" w:color="auto"/>
              <w:right w:val="single" w:sz="8" w:space="0" w:color="auto"/>
            </w:tcBorders>
            <w:shd w:val="clear" w:color="auto" w:fill="auto"/>
            <w:noWrap/>
            <w:vAlign w:val="center"/>
            <w:hideMark/>
          </w:tcPr>
          <w:p w14:paraId="4137C0BA"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938" w:type="dxa"/>
            <w:tcBorders>
              <w:top w:val="nil"/>
              <w:left w:val="nil"/>
              <w:bottom w:val="single" w:sz="8" w:space="0" w:color="auto"/>
              <w:right w:val="single" w:sz="8" w:space="0" w:color="auto"/>
            </w:tcBorders>
            <w:shd w:val="clear" w:color="auto" w:fill="auto"/>
            <w:noWrap/>
            <w:vAlign w:val="center"/>
            <w:hideMark/>
          </w:tcPr>
          <w:p w14:paraId="12E96EC6"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938" w:type="dxa"/>
            <w:tcBorders>
              <w:top w:val="nil"/>
              <w:left w:val="nil"/>
              <w:bottom w:val="single" w:sz="8" w:space="0" w:color="auto"/>
              <w:right w:val="single" w:sz="8" w:space="0" w:color="auto"/>
            </w:tcBorders>
            <w:shd w:val="clear" w:color="auto" w:fill="auto"/>
            <w:vAlign w:val="center"/>
            <w:hideMark/>
          </w:tcPr>
          <w:p w14:paraId="204B552F"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9,500</w:t>
            </w:r>
          </w:p>
        </w:tc>
        <w:tc>
          <w:tcPr>
            <w:tcW w:w="1372" w:type="dxa"/>
            <w:tcBorders>
              <w:top w:val="nil"/>
              <w:left w:val="nil"/>
              <w:bottom w:val="single" w:sz="8" w:space="0" w:color="auto"/>
              <w:right w:val="single" w:sz="8" w:space="0" w:color="auto"/>
            </w:tcBorders>
            <w:shd w:val="clear" w:color="auto" w:fill="auto"/>
            <w:noWrap/>
            <w:vAlign w:val="center"/>
            <w:hideMark/>
          </w:tcPr>
          <w:p w14:paraId="050FA8D8"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78,500</w:t>
            </w:r>
          </w:p>
        </w:tc>
        <w:tc>
          <w:tcPr>
            <w:tcW w:w="690" w:type="dxa"/>
            <w:tcBorders>
              <w:top w:val="nil"/>
              <w:left w:val="nil"/>
              <w:bottom w:val="single" w:sz="8" w:space="0" w:color="auto"/>
              <w:right w:val="single" w:sz="8" w:space="0" w:color="auto"/>
            </w:tcBorders>
            <w:shd w:val="clear" w:color="auto" w:fill="auto"/>
            <w:vAlign w:val="center"/>
            <w:hideMark/>
          </w:tcPr>
          <w:p w14:paraId="44CD25DC"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2</w:t>
            </w:r>
          </w:p>
        </w:tc>
      </w:tr>
      <w:tr w:rsidR="001F45CE" w:rsidRPr="00913CCF" w14:paraId="7F660569" w14:textId="77777777" w:rsidTr="004205FD">
        <w:trPr>
          <w:trHeight w:val="225"/>
        </w:trPr>
        <w:tc>
          <w:tcPr>
            <w:tcW w:w="1354" w:type="dxa"/>
            <w:vMerge/>
            <w:tcBorders>
              <w:top w:val="nil"/>
              <w:left w:val="single" w:sz="8" w:space="0" w:color="auto"/>
              <w:bottom w:val="double" w:sz="6" w:space="0" w:color="000000"/>
              <w:right w:val="single" w:sz="8" w:space="0" w:color="auto"/>
            </w:tcBorders>
            <w:shd w:val="clear" w:color="auto" w:fill="auto"/>
            <w:vAlign w:val="center"/>
            <w:hideMark/>
          </w:tcPr>
          <w:p w14:paraId="5A4F5A7F"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double" w:sz="6" w:space="0" w:color="auto"/>
              <w:left w:val="single" w:sz="8" w:space="0" w:color="auto"/>
              <w:bottom w:val="double" w:sz="6" w:space="0" w:color="000000"/>
              <w:right w:val="single" w:sz="8" w:space="0" w:color="auto"/>
            </w:tcBorders>
            <w:shd w:val="clear" w:color="auto" w:fill="auto"/>
            <w:vAlign w:val="center"/>
            <w:hideMark/>
          </w:tcPr>
          <w:p w14:paraId="314F9D91"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565C9EF0"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3A4A402B"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single" w:sz="8" w:space="0" w:color="auto"/>
              <w:right w:val="single" w:sz="8" w:space="0" w:color="auto"/>
            </w:tcBorders>
            <w:shd w:val="clear" w:color="auto" w:fill="auto"/>
            <w:noWrap/>
            <w:vAlign w:val="center"/>
            <w:hideMark/>
          </w:tcPr>
          <w:p w14:paraId="4D8C8970"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71400</w:t>
            </w:r>
          </w:p>
        </w:tc>
        <w:tc>
          <w:tcPr>
            <w:tcW w:w="1186" w:type="dxa"/>
            <w:tcBorders>
              <w:top w:val="nil"/>
              <w:left w:val="nil"/>
              <w:bottom w:val="single" w:sz="8" w:space="0" w:color="auto"/>
              <w:right w:val="single" w:sz="8" w:space="0" w:color="auto"/>
            </w:tcBorders>
            <w:shd w:val="clear" w:color="auto" w:fill="auto"/>
            <w:vAlign w:val="center"/>
            <w:hideMark/>
          </w:tcPr>
          <w:p w14:paraId="23816308" w14:textId="77777777" w:rsidR="001F45CE" w:rsidRPr="00913CCF" w:rsidRDefault="001F45CE" w:rsidP="001F45CE">
            <w:pPr>
              <w:spacing w:after="0"/>
              <w:jc w:val="left"/>
              <w:rPr>
                <w:rFonts w:eastAsia="Times New Roman" w:cs="Calibri"/>
                <w:color w:val="000000"/>
                <w:sz w:val="16"/>
                <w:szCs w:val="16"/>
              </w:rPr>
            </w:pPr>
            <w:r w:rsidRPr="00913CCF">
              <w:rPr>
                <w:rFonts w:eastAsia="Times New Roman" w:cs="Calibri"/>
                <w:color w:val="000000"/>
                <w:sz w:val="16"/>
                <w:szCs w:val="16"/>
              </w:rPr>
              <w:t>Contr. serv. Ind.</w:t>
            </w:r>
          </w:p>
        </w:tc>
        <w:tc>
          <w:tcPr>
            <w:tcW w:w="1155" w:type="dxa"/>
            <w:tcBorders>
              <w:top w:val="nil"/>
              <w:left w:val="nil"/>
              <w:bottom w:val="single" w:sz="8" w:space="0" w:color="auto"/>
              <w:right w:val="single" w:sz="8" w:space="0" w:color="auto"/>
            </w:tcBorders>
            <w:shd w:val="clear" w:color="auto" w:fill="auto"/>
            <w:noWrap/>
            <w:vAlign w:val="center"/>
            <w:hideMark/>
          </w:tcPr>
          <w:p w14:paraId="35C0FF7A"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14,025</w:t>
            </w:r>
          </w:p>
        </w:tc>
        <w:tc>
          <w:tcPr>
            <w:tcW w:w="1010" w:type="dxa"/>
            <w:tcBorders>
              <w:top w:val="nil"/>
              <w:left w:val="nil"/>
              <w:bottom w:val="single" w:sz="8" w:space="0" w:color="auto"/>
              <w:right w:val="single" w:sz="8" w:space="0" w:color="auto"/>
            </w:tcBorders>
            <w:shd w:val="clear" w:color="auto" w:fill="auto"/>
            <w:noWrap/>
            <w:vAlign w:val="center"/>
            <w:hideMark/>
          </w:tcPr>
          <w:p w14:paraId="4815AF6E"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14,400</w:t>
            </w:r>
          </w:p>
        </w:tc>
        <w:tc>
          <w:tcPr>
            <w:tcW w:w="938" w:type="dxa"/>
            <w:tcBorders>
              <w:top w:val="nil"/>
              <w:left w:val="nil"/>
              <w:bottom w:val="single" w:sz="8" w:space="0" w:color="auto"/>
              <w:right w:val="single" w:sz="8" w:space="0" w:color="auto"/>
            </w:tcBorders>
            <w:shd w:val="clear" w:color="auto" w:fill="auto"/>
            <w:noWrap/>
            <w:vAlign w:val="center"/>
            <w:hideMark/>
          </w:tcPr>
          <w:p w14:paraId="02F7ED13"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14,400</w:t>
            </w:r>
          </w:p>
        </w:tc>
        <w:tc>
          <w:tcPr>
            <w:tcW w:w="938" w:type="dxa"/>
            <w:tcBorders>
              <w:top w:val="nil"/>
              <w:left w:val="nil"/>
              <w:bottom w:val="single" w:sz="8" w:space="0" w:color="auto"/>
              <w:right w:val="single" w:sz="8" w:space="0" w:color="auto"/>
            </w:tcBorders>
            <w:shd w:val="clear" w:color="auto" w:fill="auto"/>
            <w:noWrap/>
            <w:vAlign w:val="center"/>
            <w:hideMark/>
          </w:tcPr>
          <w:p w14:paraId="7C4EAAC5"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14,400</w:t>
            </w:r>
          </w:p>
        </w:tc>
        <w:tc>
          <w:tcPr>
            <w:tcW w:w="938" w:type="dxa"/>
            <w:tcBorders>
              <w:top w:val="nil"/>
              <w:left w:val="nil"/>
              <w:bottom w:val="single" w:sz="8" w:space="0" w:color="auto"/>
              <w:right w:val="single" w:sz="8" w:space="0" w:color="auto"/>
            </w:tcBorders>
            <w:shd w:val="clear" w:color="auto" w:fill="auto"/>
            <w:noWrap/>
            <w:vAlign w:val="center"/>
            <w:hideMark/>
          </w:tcPr>
          <w:p w14:paraId="70FA4299"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14,400</w:t>
            </w:r>
          </w:p>
        </w:tc>
        <w:tc>
          <w:tcPr>
            <w:tcW w:w="938" w:type="dxa"/>
            <w:tcBorders>
              <w:top w:val="nil"/>
              <w:left w:val="nil"/>
              <w:bottom w:val="single" w:sz="8" w:space="0" w:color="auto"/>
              <w:right w:val="single" w:sz="8" w:space="0" w:color="auto"/>
            </w:tcBorders>
            <w:shd w:val="clear" w:color="auto" w:fill="auto"/>
            <w:vAlign w:val="center"/>
            <w:hideMark/>
          </w:tcPr>
          <w:p w14:paraId="4BD9E23D"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14,400</w:t>
            </w:r>
          </w:p>
        </w:tc>
        <w:tc>
          <w:tcPr>
            <w:tcW w:w="1372" w:type="dxa"/>
            <w:tcBorders>
              <w:top w:val="nil"/>
              <w:left w:val="nil"/>
              <w:bottom w:val="single" w:sz="8" w:space="0" w:color="auto"/>
              <w:right w:val="single" w:sz="8" w:space="0" w:color="auto"/>
            </w:tcBorders>
            <w:shd w:val="clear" w:color="auto" w:fill="auto"/>
            <w:noWrap/>
            <w:vAlign w:val="center"/>
            <w:hideMark/>
          </w:tcPr>
          <w:p w14:paraId="00C92557"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86,025</w:t>
            </w:r>
          </w:p>
        </w:tc>
        <w:tc>
          <w:tcPr>
            <w:tcW w:w="690" w:type="dxa"/>
            <w:tcBorders>
              <w:top w:val="nil"/>
              <w:left w:val="nil"/>
              <w:bottom w:val="single" w:sz="8" w:space="0" w:color="auto"/>
              <w:right w:val="single" w:sz="8" w:space="0" w:color="auto"/>
            </w:tcBorders>
            <w:shd w:val="clear" w:color="auto" w:fill="auto"/>
            <w:vAlign w:val="center"/>
            <w:hideMark/>
          </w:tcPr>
          <w:p w14:paraId="3FAA32A7"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3</w:t>
            </w:r>
          </w:p>
        </w:tc>
      </w:tr>
      <w:tr w:rsidR="001F45CE" w:rsidRPr="00913CCF" w14:paraId="15A7838F" w14:textId="77777777" w:rsidTr="004205FD">
        <w:trPr>
          <w:trHeight w:val="225"/>
        </w:trPr>
        <w:tc>
          <w:tcPr>
            <w:tcW w:w="1354" w:type="dxa"/>
            <w:vMerge/>
            <w:tcBorders>
              <w:top w:val="nil"/>
              <w:left w:val="single" w:sz="8" w:space="0" w:color="auto"/>
              <w:bottom w:val="double" w:sz="6" w:space="0" w:color="000000"/>
              <w:right w:val="single" w:sz="8" w:space="0" w:color="auto"/>
            </w:tcBorders>
            <w:shd w:val="clear" w:color="auto" w:fill="auto"/>
            <w:vAlign w:val="center"/>
            <w:hideMark/>
          </w:tcPr>
          <w:p w14:paraId="07EA8329"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double" w:sz="6" w:space="0" w:color="auto"/>
              <w:left w:val="single" w:sz="8" w:space="0" w:color="auto"/>
              <w:bottom w:val="double" w:sz="6" w:space="0" w:color="000000"/>
              <w:right w:val="single" w:sz="8" w:space="0" w:color="auto"/>
            </w:tcBorders>
            <w:shd w:val="clear" w:color="auto" w:fill="auto"/>
            <w:vAlign w:val="center"/>
            <w:hideMark/>
          </w:tcPr>
          <w:p w14:paraId="4AB672AB"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5459DB7E"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164654A8"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single" w:sz="8" w:space="0" w:color="auto"/>
              <w:right w:val="single" w:sz="8" w:space="0" w:color="auto"/>
            </w:tcBorders>
            <w:shd w:val="clear" w:color="auto" w:fill="auto"/>
            <w:noWrap/>
            <w:vAlign w:val="center"/>
            <w:hideMark/>
          </w:tcPr>
          <w:p w14:paraId="232A6961"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71600</w:t>
            </w:r>
          </w:p>
        </w:tc>
        <w:tc>
          <w:tcPr>
            <w:tcW w:w="1186" w:type="dxa"/>
            <w:tcBorders>
              <w:top w:val="nil"/>
              <w:left w:val="nil"/>
              <w:bottom w:val="single" w:sz="8" w:space="0" w:color="auto"/>
              <w:right w:val="single" w:sz="8" w:space="0" w:color="auto"/>
            </w:tcBorders>
            <w:shd w:val="clear" w:color="auto" w:fill="auto"/>
            <w:vAlign w:val="center"/>
            <w:hideMark/>
          </w:tcPr>
          <w:p w14:paraId="2D19787E" w14:textId="77777777" w:rsidR="001F45CE" w:rsidRPr="00913CCF" w:rsidRDefault="001F45CE" w:rsidP="001F45CE">
            <w:pPr>
              <w:spacing w:after="0"/>
              <w:jc w:val="left"/>
              <w:rPr>
                <w:rFonts w:eastAsia="Times New Roman" w:cs="Calibri"/>
                <w:color w:val="000000"/>
                <w:sz w:val="16"/>
                <w:szCs w:val="16"/>
              </w:rPr>
            </w:pPr>
            <w:r w:rsidRPr="00913CCF">
              <w:rPr>
                <w:rFonts w:eastAsia="Times New Roman" w:cs="Calibri"/>
                <w:color w:val="000000"/>
                <w:sz w:val="16"/>
                <w:szCs w:val="16"/>
              </w:rPr>
              <w:t>Travel</w:t>
            </w:r>
          </w:p>
        </w:tc>
        <w:tc>
          <w:tcPr>
            <w:tcW w:w="1155" w:type="dxa"/>
            <w:tcBorders>
              <w:top w:val="nil"/>
              <w:left w:val="nil"/>
              <w:bottom w:val="single" w:sz="8" w:space="0" w:color="auto"/>
              <w:right w:val="single" w:sz="8" w:space="0" w:color="auto"/>
            </w:tcBorders>
            <w:shd w:val="clear" w:color="auto" w:fill="auto"/>
            <w:noWrap/>
            <w:vAlign w:val="center"/>
            <w:hideMark/>
          </w:tcPr>
          <w:p w14:paraId="453053D6"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16,400</w:t>
            </w:r>
          </w:p>
        </w:tc>
        <w:tc>
          <w:tcPr>
            <w:tcW w:w="1010" w:type="dxa"/>
            <w:tcBorders>
              <w:top w:val="nil"/>
              <w:left w:val="nil"/>
              <w:bottom w:val="single" w:sz="8" w:space="0" w:color="auto"/>
              <w:right w:val="single" w:sz="8" w:space="0" w:color="auto"/>
            </w:tcBorders>
            <w:shd w:val="clear" w:color="auto" w:fill="auto"/>
            <w:noWrap/>
            <w:vAlign w:val="center"/>
            <w:hideMark/>
          </w:tcPr>
          <w:p w14:paraId="6A0D1F51"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18,400</w:t>
            </w:r>
          </w:p>
        </w:tc>
        <w:tc>
          <w:tcPr>
            <w:tcW w:w="938" w:type="dxa"/>
            <w:tcBorders>
              <w:top w:val="nil"/>
              <w:left w:val="nil"/>
              <w:bottom w:val="single" w:sz="8" w:space="0" w:color="auto"/>
              <w:right w:val="single" w:sz="8" w:space="0" w:color="auto"/>
            </w:tcBorders>
            <w:shd w:val="clear" w:color="auto" w:fill="auto"/>
            <w:noWrap/>
            <w:vAlign w:val="center"/>
            <w:hideMark/>
          </w:tcPr>
          <w:p w14:paraId="147759D1"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7,900</w:t>
            </w:r>
          </w:p>
        </w:tc>
        <w:tc>
          <w:tcPr>
            <w:tcW w:w="938" w:type="dxa"/>
            <w:tcBorders>
              <w:top w:val="nil"/>
              <w:left w:val="nil"/>
              <w:bottom w:val="single" w:sz="8" w:space="0" w:color="auto"/>
              <w:right w:val="single" w:sz="8" w:space="0" w:color="auto"/>
            </w:tcBorders>
            <w:shd w:val="clear" w:color="auto" w:fill="auto"/>
            <w:noWrap/>
            <w:vAlign w:val="center"/>
            <w:hideMark/>
          </w:tcPr>
          <w:p w14:paraId="41BD7646"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6,300</w:t>
            </w:r>
          </w:p>
        </w:tc>
        <w:tc>
          <w:tcPr>
            <w:tcW w:w="938" w:type="dxa"/>
            <w:tcBorders>
              <w:top w:val="nil"/>
              <w:left w:val="nil"/>
              <w:bottom w:val="single" w:sz="8" w:space="0" w:color="auto"/>
              <w:right w:val="single" w:sz="8" w:space="0" w:color="auto"/>
            </w:tcBorders>
            <w:shd w:val="clear" w:color="auto" w:fill="auto"/>
            <w:noWrap/>
            <w:vAlign w:val="center"/>
            <w:hideMark/>
          </w:tcPr>
          <w:p w14:paraId="1C6F42FC"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1,500</w:t>
            </w:r>
          </w:p>
        </w:tc>
        <w:tc>
          <w:tcPr>
            <w:tcW w:w="938" w:type="dxa"/>
            <w:tcBorders>
              <w:top w:val="nil"/>
              <w:left w:val="nil"/>
              <w:bottom w:val="single" w:sz="8" w:space="0" w:color="auto"/>
              <w:right w:val="single" w:sz="8" w:space="0" w:color="auto"/>
            </w:tcBorders>
            <w:shd w:val="clear" w:color="auto" w:fill="auto"/>
            <w:vAlign w:val="center"/>
            <w:hideMark/>
          </w:tcPr>
          <w:p w14:paraId="73697212"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bCs/>
                <w:color w:val="000000"/>
                <w:sz w:val="16"/>
                <w:szCs w:val="16"/>
              </w:rPr>
              <w:t>3,100</w:t>
            </w:r>
          </w:p>
        </w:tc>
        <w:tc>
          <w:tcPr>
            <w:tcW w:w="1372" w:type="dxa"/>
            <w:tcBorders>
              <w:top w:val="nil"/>
              <w:left w:val="nil"/>
              <w:bottom w:val="single" w:sz="8" w:space="0" w:color="auto"/>
              <w:right w:val="single" w:sz="8" w:space="0" w:color="auto"/>
            </w:tcBorders>
            <w:shd w:val="clear" w:color="auto" w:fill="auto"/>
            <w:noWrap/>
            <w:vAlign w:val="center"/>
            <w:hideMark/>
          </w:tcPr>
          <w:p w14:paraId="2F4A030B"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53,600</w:t>
            </w:r>
          </w:p>
        </w:tc>
        <w:tc>
          <w:tcPr>
            <w:tcW w:w="690" w:type="dxa"/>
            <w:tcBorders>
              <w:top w:val="nil"/>
              <w:left w:val="nil"/>
              <w:bottom w:val="single" w:sz="8" w:space="0" w:color="auto"/>
              <w:right w:val="single" w:sz="8" w:space="0" w:color="auto"/>
            </w:tcBorders>
            <w:shd w:val="clear" w:color="auto" w:fill="auto"/>
            <w:vAlign w:val="center"/>
            <w:hideMark/>
          </w:tcPr>
          <w:p w14:paraId="4563830E"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4</w:t>
            </w:r>
          </w:p>
        </w:tc>
      </w:tr>
      <w:tr w:rsidR="001F45CE" w:rsidRPr="00913CCF" w14:paraId="50A8474C" w14:textId="77777777" w:rsidTr="004205FD">
        <w:trPr>
          <w:trHeight w:val="180"/>
        </w:trPr>
        <w:tc>
          <w:tcPr>
            <w:tcW w:w="1354" w:type="dxa"/>
            <w:vMerge/>
            <w:tcBorders>
              <w:top w:val="nil"/>
              <w:left w:val="single" w:sz="8" w:space="0" w:color="auto"/>
              <w:bottom w:val="double" w:sz="6" w:space="0" w:color="000000"/>
              <w:right w:val="single" w:sz="8" w:space="0" w:color="auto"/>
            </w:tcBorders>
            <w:shd w:val="clear" w:color="auto" w:fill="auto"/>
            <w:vAlign w:val="center"/>
            <w:hideMark/>
          </w:tcPr>
          <w:p w14:paraId="566EC5C3"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double" w:sz="6" w:space="0" w:color="auto"/>
              <w:left w:val="single" w:sz="8" w:space="0" w:color="auto"/>
              <w:bottom w:val="double" w:sz="6" w:space="0" w:color="000000"/>
              <w:right w:val="single" w:sz="8" w:space="0" w:color="auto"/>
            </w:tcBorders>
            <w:shd w:val="clear" w:color="auto" w:fill="auto"/>
            <w:vAlign w:val="center"/>
            <w:hideMark/>
          </w:tcPr>
          <w:p w14:paraId="72A5A83F"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583473FE"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6F52C1E5"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single" w:sz="8" w:space="0" w:color="auto"/>
              <w:right w:val="single" w:sz="8" w:space="0" w:color="auto"/>
            </w:tcBorders>
            <w:shd w:val="clear" w:color="auto" w:fill="auto"/>
            <w:noWrap/>
            <w:vAlign w:val="center"/>
            <w:hideMark/>
          </w:tcPr>
          <w:p w14:paraId="54E55A3D" w14:textId="71CA5CD9"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72200</w:t>
            </w:r>
          </w:p>
        </w:tc>
        <w:tc>
          <w:tcPr>
            <w:tcW w:w="1186" w:type="dxa"/>
            <w:tcBorders>
              <w:top w:val="nil"/>
              <w:left w:val="nil"/>
              <w:bottom w:val="single" w:sz="8" w:space="0" w:color="auto"/>
              <w:right w:val="single" w:sz="8" w:space="0" w:color="auto"/>
            </w:tcBorders>
            <w:shd w:val="clear" w:color="auto" w:fill="auto"/>
            <w:vAlign w:val="center"/>
            <w:hideMark/>
          </w:tcPr>
          <w:p w14:paraId="7DC3AD4C" w14:textId="77777777" w:rsidR="001F45CE" w:rsidRPr="00913CCF" w:rsidRDefault="001F45CE" w:rsidP="001F45CE">
            <w:pPr>
              <w:spacing w:after="0"/>
              <w:jc w:val="left"/>
              <w:rPr>
                <w:rFonts w:eastAsia="Times New Roman" w:cs="Calibri"/>
                <w:color w:val="000000"/>
                <w:sz w:val="16"/>
                <w:szCs w:val="16"/>
              </w:rPr>
            </w:pPr>
            <w:r w:rsidRPr="00913CCF">
              <w:rPr>
                <w:rFonts w:eastAsia="Times New Roman" w:cs="Calibri"/>
                <w:color w:val="000000"/>
                <w:sz w:val="16"/>
                <w:szCs w:val="16"/>
              </w:rPr>
              <w:t>Equip. Furniture</w:t>
            </w:r>
          </w:p>
        </w:tc>
        <w:tc>
          <w:tcPr>
            <w:tcW w:w="1155" w:type="dxa"/>
            <w:tcBorders>
              <w:top w:val="nil"/>
              <w:left w:val="nil"/>
              <w:bottom w:val="single" w:sz="8" w:space="0" w:color="auto"/>
              <w:right w:val="single" w:sz="8" w:space="0" w:color="auto"/>
            </w:tcBorders>
            <w:shd w:val="clear" w:color="auto" w:fill="auto"/>
            <w:noWrap/>
            <w:vAlign w:val="center"/>
            <w:hideMark/>
          </w:tcPr>
          <w:p w14:paraId="56DC4654" w14:textId="2E5F5F5E" w:rsidR="001F45CE" w:rsidRPr="00EF6D8E" w:rsidRDefault="001F45CE" w:rsidP="001F45CE">
            <w:pPr>
              <w:spacing w:after="0"/>
              <w:jc w:val="center"/>
              <w:rPr>
                <w:rFonts w:eastAsia="Times New Roman" w:cs="Calibri"/>
                <w:color w:val="000000"/>
                <w:sz w:val="16"/>
                <w:szCs w:val="16"/>
              </w:rPr>
            </w:pPr>
            <w:r w:rsidRPr="00EF6D8E">
              <w:rPr>
                <w:rFonts w:eastAsia="Times New Roman" w:cs="Calibri"/>
                <w:color w:val="000000"/>
                <w:sz w:val="16"/>
                <w:szCs w:val="16"/>
              </w:rPr>
              <w:t>0</w:t>
            </w:r>
          </w:p>
        </w:tc>
        <w:tc>
          <w:tcPr>
            <w:tcW w:w="1010" w:type="dxa"/>
            <w:tcBorders>
              <w:top w:val="nil"/>
              <w:left w:val="nil"/>
              <w:bottom w:val="single" w:sz="8" w:space="0" w:color="auto"/>
              <w:right w:val="single" w:sz="8" w:space="0" w:color="auto"/>
            </w:tcBorders>
            <w:shd w:val="clear" w:color="auto" w:fill="auto"/>
            <w:noWrap/>
            <w:vAlign w:val="center"/>
            <w:hideMark/>
          </w:tcPr>
          <w:p w14:paraId="5B82D8F5"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 </w:t>
            </w:r>
          </w:p>
        </w:tc>
        <w:tc>
          <w:tcPr>
            <w:tcW w:w="938" w:type="dxa"/>
            <w:tcBorders>
              <w:top w:val="nil"/>
              <w:left w:val="nil"/>
              <w:bottom w:val="single" w:sz="8" w:space="0" w:color="auto"/>
              <w:right w:val="single" w:sz="8" w:space="0" w:color="auto"/>
            </w:tcBorders>
            <w:shd w:val="clear" w:color="auto" w:fill="auto"/>
            <w:noWrap/>
            <w:vAlign w:val="center"/>
            <w:hideMark/>
          </w:tcPr>
          <w:p w14:paraId="45CA240B"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 </w:t>
            </w:r>
          </w:p>
        </w:tc>
        <w:tc>
          <w:tcPr>
            <w:tcW w:w="938" w:type="dxa"/>
            <w:tcBorders>
              <w:top w:val="nil"/>
              <w:left w:val="nil"/>
              <w:bottom w:val="single" w:sz="8" w:space="0" w:color="auto"/>
              <w:right w:val="single" w:sz="8" w:space="0" w:color="auto"/>
            </w:tcBorders>
            <w:shd w:val="clear" w:color="auto" w:fill="auto"/>
            <w:noWrap/>
            <w:vAlign w:val="center"/>
            <w:hideMark/>
          </w:tcPr>
          <w:p w14:paraId="76D58931"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 </w:t>
            </w:r>
          </w:p>
        </w:tc>
        <w:tc>
          <w:tcPr>
            <w:tcW w:w="938" w:type="dxa"/>
            <w:tcBorders>
              <w:top w:val="nil"/>
              <w:left w:val="nil"/>
              <w:bottom w:val="single" w:sz="8" w:space="0" w:color="auto"/>
              <w:right w:val="single" w:sz="8" w:space="0" w:color="auto"/>
            </w:tcBorders>
            <w:shd w:val="clear" w:color="auto" w:fill="auto"/>
            <w:noWrap/>
            <w:vAlign w:val="center"/>
            <w:hideMark/>
          </w:tcPr>
          <w:p w14:paraId="78FD1CC6"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 </w:t>
            </w:r>
          </w:p>
        </w:tc>
        <w:tc>
          <w:tcPr>
            <w:tcW w:w="938" w:type="dxa"/>
            <w:tcBorders>
              <w:top w:val="nil"/>
              <w:left w:val="nil"/>
              <w:bottom w:val="single" w:sz="8" w:space="0" w:color="auto"/>
              <w:right w:val="single" w:sz="8" w:space="0" w:color="auto"/>
            </w:tcBorders>
            <w:shd w:val="clear" w:color="auto" w:fill="auto"/>
            <w:vAlign w:val="center"/>
            <w:hideMark/>
          </w:tcPr>
          <w:p w14:paraId="2145E16D"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 </w:t>
            </w:r>
          </w:p>
        </w:tc>
        <w:tc>
          <w:tcPr>
            <w:tcW w:w="1372" w:type="dxa"/>
            <w:tcBorders>
              <w:top w:val="nil"/>
              <w:left w:val="nil"/>
              <w:bottom w:val="single" w:sz="8" w:space="0" w:color="auto"/>
              <w:right w:val="single" w:sz="8" w:space="0" w:color="auto"/>
            </w:tcBorders>
            <w:shd w:val="clear" w:color="auto" w:fill="auto"/>
            <w:noWrap/>
            <w:vAlign w:val="center"/>
            <w:hideMark/>
          </w:tcPr>
          <w:p w14:paraId="10E5D211" w14:textId="1BDA71CB" w:rsidR="001F45CE" w:rsidRPr="00EF6D8E"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0</w:t>
            </w:r>
          </w:p>
        </w:tc>
        <w:tc>
          <w:tcPr>
            <w:tcW w:w="690" w:type="dxa"/>
            <w:tcBorders>
              <w:top w:val="nil"/>
              <w:left w:val="nil"/>
              <w:bottom w:val="single" w:sz="8" w:space="0" w:color="auto"/>
              <w:right w:val="single" w:sz="8" w:space="0" w:color="auto"/>
            </w:tcBorders>
            <w:shd w:val="clear" w:color="auto" w:fill="auto"/>
            <w:vAlign w:val="center"/>
            <w:hideMark/>
          </w:tcPr>
          <w:p w14:paraId="5BB883E1" w14:textId="77777777" w:rsidR="001F45CE" w:rsidRPr="00EF6D8E" w:rsidRDefault="001F45CE" w:rsidP="001F45CE">
            <w:pPr>
              <w:spacing w:after="0"/>
              <w:jc w:val="center"/>
              <w:rPr>
                <w:rFonts w:eastAsia="Times New Roman" w:cs="Calibri"/>
                <w:i/>
                <w:iCs/>
                <w:color w:val="000000"/>
                <w:sz w:val="16"/>
                <w:szCs w:val="16"/>
              </w:rPr>
            </w:pPr>
            <w:r w:rsidRPr="00EF6D8E">
              <w:rPr>
                <w:rFonts w:eastAsia="Times New Roman" w:cs="Calibri"/>
                <w:i/>
                <w:iCs/>
                <w:color w:val="000000"/>
                <w:sz w:val="16"/>
                <w:szCs w:val="16"/>
              </w:rPr>
              <w:t>5</w:t>
            </w:r>
          </w:p>
        </w:tc>
      </w:tr>
      <w:tr w:rsidR="001F45CE" w:rsidRPr="00913CCF" w14:paraId="7FEA093B" w14:textId="77777777" w:rsidTr="004205FD">
        <w:trPr>
          <w:trHeight w:val="207"/>
        </w:trPr>
        <w:tc>
          <w:tcPr>
            <w:tcW w:w="1354" w:type="dxa"/>
            <w:vMerge/>
            <w:tcBorders>
              <w:top w:val="nil"/>
              <w:left w:val="single" w:sz="8" w:space="0" w:color="auto"/>
              <w:bottom w:val="double" w:sz="6" w:space="0" w:color="000000"/>
              <w:right w:val="single" w:sz="8" w:space="0" w:color="auto"/>
            </w:tcBorders>
            <w:shd w:val="clear" w:color="auto" w:fill="auto"/>
            <w:vAlign w:val="center"/>
            <w:hideMark/>
          </w:tcPr>
          <w:p w14:paraId="62C41269"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double" w:sz="6" w:space="0" w:color="auto"/>
              <w:left w:val="single" w:sz="8" w:space="0" w:color="auto"/>
              <w:bottom w:val="double" w:sz="6" w:space="0" w:color="000000"/>
              <w:right w:val="single" w:sz="8" w:space="0" w:color="auto"/>
            </w:tcBorders>
            <w:shd w:val="clear" w:color="auto" w:fill="auto"/>
            <w:vAlign w:val="center"/>
            <w:hideMark/>
          </w:tcPr>
          <w:p w14:paraId="17034440"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735E199F"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7C09E8D0"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single" w:sz="8" w:space="0" w:color="auto"/>
              <w:right w:val="single" w:sz="8" w:space="0" w:color="auto"/>
            </w:tcBorders>
            <w:shd w:val="clear" w:color="auto" w:fill="auto"/>
            <w:noWrap/>
            <w:vAlign w:val="center"/>
            <w:hideMark/>
          </w:tcPr>
          <w:p w14:paraId="23355DBD"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72100</w:t>
            </w:r>
          </w:p>
        </w:tc>
        <w:tc>
          <w:tcPr>
            <w:tcW w:w="1186" w:type="dxa"/>
            <w:tcBorders>
              <w:top w:val="nil"/>
              <w:left w:val="nil"/>
              <w:bottom w:val="single" w:sz="8" w:space="0" w:color="auto"/>
              <w:right w:val="single" w:sz="8" w:space="0" w:color="auto"/>
            </w:tcBorders>
            <w:shd w:val="clear" w:color="auto" w:fill="auto"/>
            <w:vAlign w:val="center"/>
            <w:hideMark/>
          </w:tcPr>
          <w:p w14:paraId="5159DDF9" w14:textId="77777777" w:rsidR="001F45CE" w:rsidRPr="00913CCF" w:rsidRDefault="001F45CE" w:rsidP="001F45CE">
            <w:pPr>
              <w:spacing w:after="0"/>
              <w:jc w:val="left"/>
              <w:rPr>
                <w:rFonts w:eastAsia="Times New Roman" w:cs="Calibri"/>
                <w:color w:val="000000"/>
                <w:sz w:val="16"/>
                <w:szCs w:val="16"/>
              </w:rPr>
            </w:pPr>
            <w:r w:rsidRPr="00913CCF">
              <w:rPr>
                <w:rFonts w:eastAsia="Times New Roman" w:cs="Calibri"/>
                <w:color w:val="000000"/>
                <w:sz w:val="16"/>
                <w:szCs w:val="16"/>
              </w:rPr>
              <w:t>Contr. serv. cies</w:t>
            </w:r>
          </w:p>
        </w:tc>
        <w:tc>
          <w:tcPr>
            <w:tcW w:w="1155" w:type="dxa"/>
            <w:tcBorders>
              <w:top w:val="nil"/>
              <w:left w:val="nil"/>
              <w:bottom w:val="single" w:sz="8" w:space="0" w:color="auto"/>
              <w:right w:val="single" w:sz="8" w:space="0" w:color="auto"/>
            </w:tcBorders>
            <w:shd w:val="clear" w:color="auto" w:fill="auto"/>
            <w:noWrap/>
            <w:vAlign w:val="center"/>
            <w:hideMark/>
          </w:tcPr>
          <w:p w14:paraId="7FA569C7"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1010" w:type="dxa"/>
            <w:tcBorders>
              <w:top w:val="nil"/>
              <w:left w:val="nil"/>
              <w:bottom w:val="single" w:sz="8" w:space="0" w:color="auto"/>
              <w:right w:val="single" w:sz="8" w:space="0" w:color="auto"/>
            </w:tcBorders>
            <w:shd w:val="clear" w:color="auto" w:fill="auto"/>
            <w:noWrap/>
            <w:vAlign w:val="center"/>
            <w:hideMark/>
          </w:tcPr>
          <w:p w14:paraId="07D7ECB6"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98,000</w:t>
            </w:r>
          </w:p>
        </w:tc>
        <w:tc>
          <w:tcPr>
            <w:tcW w:w="938" w:type="dxa"/>
            <w:tcBorders>
              <w:top w:val="nil"/>
              <w:left w:val="nil"/>
              <w:bottom w:val="single" w:sz="8" w:space="0" w:color="auto"/>
              <w:right w:val="single" w:sz="8" w:space="0" w:color="auto"/>
            </w:tcBorders>
            <w:shd w:val="clear" w:color="auto" w:fill="auto"/>
            <w:noWrap/>
            <w:vAlign w:val="center"/>
            <w:hideMark/>
          </w:tcPr>
          <w:p w14:paraId="01A0A783"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938" w:type="dxa"/>
            <w:tcBorders>
              <w:top w:val="nil"/>
              <w:left w:val="nil"/>
              <w:bottom w:val="single" w:sz="8" w:space="0" w:color="auto"/>
              <w:right w:val="single" w:sz="8" w:space="0" w:color="auto"/>
            </w:tcBorders>
            <w:shd w:val="clear" w:color="auto" w:fill="auto"/>
            <w:noWrap/>
            <w:vAlign w:val="center"/>
            <w:hideMark/>
          </w:tcPr>
          <w:p w14:paraId="0B46F235"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938" w:type="dxa"/>
            <w:tcBorders>
              <w:top w:val="nil"/>
              <w:left w:val="nil"/>
              <w:bottom w:val="single" w:sz="8" w:space="0" w:color="auto"/>
              <w:right w:val="single" w:sz="8" w:space="0" w:color="auto"/>
            </w:tcBorders>
            <w:shd w:val="clear" w:color="auto" w:fill="auto"/>
            <w:noWrap/>
            <w:vAlign w:val="center"/>
            <w:hideMark/>
          </w:tcPr>
          <w:p w14:paraId="3BC695C6"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938" w:type="dxa"/>
            <w:tcBorders>
              <w:top w:val="nil"/>
              <w:left w:val="nil"/>
              <w:bottom w:val="single" w:sz="8" w:space="0" w:color="auto"/>
              <w:right w:val="single" w:sz="8" w:space="0" w:color="auto"/>
            </w:tcBorders>
            <w:shd w:val="clear" w:color="auto" w:fill="auto"/>
            <w:vAlign w:val="center"/>
            <w:hideMark/>
          </w:tcPr>
          <w:p w14:paraId="4C6CACF3"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1372" w:type="dxa"/>
            <w:tcBorders>
              <w:top w:val="nil"/>
              <w:left w:val="nil"/>
              <w:bottom w:val="single" w:sz="8" w:space="0" w:color="auto"/>
              <w:right w:val="single" w:sz="8" w:space="0" w:color="auto"/>
            </w:tcBorders>
            <w:shd w:val="clear" w:color="auto" w:fill="auto"/>
            <w:noWrap/>
            <w:vAlign w:val="center"/>
            <w:hideMark/>
          </w:tcPr>
          <w:p w14:paraId="0033CA89"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98,000</w:t>
            </w:r>
          </w:p>
        </w:tc>
        <w:tc>
          <w:tcPr>
            <w:tcW w:w="690" w:type="dxa"/>
            <w:tcBorders>
              <w:top w:val="nil"/>
              <w:left w:val="nil"/>
              <w:bottom w:val="single" w:sz="8" w:space="0" w:color="auto"/>
              <w:right w:val="single" w:sz="8" w:space="0" w:color="auto"/>
            </w:tcBorders>
            <w:shd w:val="clear" w:color="auto" w:fill="auto"/>
            <w:vAlign w:val="center"/>
            <w:hideMark/>
          </w:tcPr>
          <w:p w14:paraId="5DED9E98"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6</w:t>
            </w:r>
          </w:p>
        </w:tc>
      </w:tr>
      <w:tr w:rsidR="001F45CE" w:rsidRPr="00913CCF" w14:paraId="6706286C" w14:textId="77777777" w:rsidTr="004205FD">
        <w:trPr>
          <w:trHeight w:val="35"/>
        </w:trPr>
        <w:tc>
          <w:tcPr>
            <w:tcW w:w="1354" w:type="dxa"/>
            <w:vMerge/>
            <w:tcBorders>
              <w:top w:val="nil"/>
              <w:left w:val="single" w:sz="8" w:space="0" w:color="auto"/>
              <w:bottom w:val="double" w:sz="6" w:space="0" w:color="000000"/>
              <w:right w:val="single" w:sz="8" w:space="0" w:color="auto"/>
            </w:tcBorders>
            <w:shd w:val="clear" w:color="auto" w:fill="auto"/>
            <w:vAlign w:val="center"/>
            <w:hideMark/>
          </w:tcPr>
          <w:p w14:paraId="507106C2"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double" w:sz="6" w:space="0" w:color="auto"/>
              <w:left w:val="single" w:sz="8" w:space="0" w:color="auto"/>
              <w:bottom w:val="double" w:sz="6" w:space="0" w:color="000000"/>
              <w:right w:val="single" w:sz="8" w:space="0" w:color="auto"/>
            </w:tcBorders>
            <w:shd w:val="clear" w:color="auto" w:fill="auto"/>
            <w:vAlign w:val="center"/>
            <w:hideMark/>
          </w:tcPr>
          <w:p w14:paraId="1B1D10BA"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451777A7"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30561178"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single" w:sz="8" w:space="0" w:color="auto"/>
              <w:right w:val="single" w:sz="8" w:space="0" w:color="auto"/>
            </w:tcBorders>
            <w:shd w:val="clear" w:color="auto" w:fill="auto"/>
            <w:noWrap/>
            <w:vAlign w:val="center"/>
            <w:hideMark/>
          </w:tcPr>
          <w:p w14:paraId="70E8ED3A"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72800</w:t>
            </w:r>
          </w:p>
        </w:tc>
        <w:tc>
          <w:tcPr>
            <w:tcW w:w="1186" w:type="dxa"/>
            <w:tcBorders>
              <w:top w:val="nil"/>
              <w:left w:val="nil"/>
              <w:bottom w:val="single" w:sz="8" w:space="0" w:color="auto"/>
              <w:right w:val="single" w:sz="8" w:space="0" w:color="auto"/>
            </w:tcBorders>
            <w:shd w:val="clear" w:color="auto" w:fill="auto"/>
            <w:vAlign w:val="center"/>
            <w:hideMark/>
          </w:tcPr>
          <w:p w14:paraId="32E1B299" w14:textId="77777777" w:rsidR="001F45CE" w:rsidRPr="00913CCF" w:rsidRDefault="001F45CE" w:rsidP="001F45CE">
            <w:pPr>
              <w:spacing w:after="0"/>
              <w:jc w:val="left"/>
              <w:rPr>
                <w:rFonts w:eastAsia="Times New Roman" w:cs="Calibri"/>
                <w:color w:val="000000"/>
                <w:sz w:val="16"/>
                <w:szCs w:val="16"/>
              </w:rPr>
            </w:pPr>
            <w:r w:rsidRPr="00913CCF">
              <w:rPr>
                <w:rFonts w:eastAsia="Times New Roman" w:cs="Calibri"/>
                <w:color w:val="000000"/>
                <w:sz w:val="16"/>
                <w:szCs w:val="16"/>
              </w:rPr>
              <w:t>Info. Tech. Equip</w:t>
            </w:r>
          </w:p>
        </w:tc>
        <w:tc>
          <w:tcPr>
            <w:tcW w:w="1155" w:type="dxa"/>
            <w:tcBorders>
              <w:top w:val="nil"/>
              <w:left w:val="nil"/>
              <w:bottom w:val="single" w:sz="8" w:space="0" w:color="auto"/>
              <w:right w:val="single" w:sz="8" w:space="0" w:color="auto"/>
            </w:tcBorders>
            <w:shd w:val="clear" w:color="auto" w:fill="auto"/>
            <w:noWrap/>
            <w:vAlign w:val="center"/>
            <w:hideMark/>
          </w:tcPr>
          <w:p w14:paraId="178D5A0C"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lang w:val="fr-CA"/>
              </w:rPr>
              <w:t>8,500</w:t>
            </w:r>
          </w:p>
        </w:tc>
        <w:tc>
          <w:tcPr>
            <w:tcW w:w="1010" w:type="dxa"/>
            <w:tcBorders>
              <w:top w:val="nil"/>
              <w:left w:val="nil"/>
              <w:bottom w:val="single" w:sz="8" w:space="0" w:color="auto"/>
              <w:right w:val="single" w:sz="8" w:space="0" w:color="auto"/>
            </w:tcBorders>
            <w:shd w:val="clear" w:color="auto" w:fill="auto"/>
            <w:noWrap/>
            <w:vAlign w:val="center"/>
            <w:hideMark/>
          </w:tcPr>
          <w:p w14:paraId="24C43642"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938" w:type="dxa"/>
            <w:tcBorders>
              <w:top w:val="nil"/>
              <w:left w:val="nil"/>
              <w:bottom w:val="single" w:sz="8" w:space="0" w:color="auto"/>
              <w:right w:val="single" w:sz="8" w:space="0" w:color="auto"/>
            </w:tcBorders>
            <w:shd w:val="clear" w:color="auto" w:fill="auto"/>
            <w:noWrap/>
            <w:vAlign w:val="center"/>
            <w:hideMark/>
          </w:tcPr>
          <w:p w14:paraId="166248C9"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938" w:type="dxa"/>
            <w:tcBorders>
              <w:top w:val="nil"/>
              <w:left w:val="nil"/>
              <w:bottom w:val="single" w:sz="8" w:space="0" w:color="auto"/>
              <w:right w:val="single" w:sz="8" w:space="0" w:color="auto"/>
            </w:tcBorders>
            <w:shd w:val="clear" w:color="auto" w:fill="auto"/>
            <w:noWrap/>
            <w:vAlign w:val="center"/>
            <w:hideMark/>
          </w:tcPr>
          <w:p w14:paraId="538F1372"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938" w:type="dxa"/>
            <w:tcBorders>
              <w:top w:val="nil"/>
              <w:left w:val="nil"/>
              <w:bottom w:val="single" w:sz="8" w:space="0" w:color="auto"/>
              <w:right w:val="single" w:sz="8" w:space="0" w:color="auto"/>
            </w:tcBorders>
            <w:shd w:val="clear" w:color="auto" w:fill="auto"/>
            <w:noWrap/>
            <w:vAlign w:val="center"/>
            <w:hideMark/>
          </w:tcPr>
          <w:p w14:paraId="32E9E0BF"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938" w:type="dxa"/>
            <w:tcBorders>
              <w:top w:val="nil"/>
              <w:left w:val="nil"/>
              <w:bottom w:val="single" w:sz="8" w:space="0" w:color="auto"/>
              <w:right w:val="single" w:sz="8" w:space="0" w:color="auto"/>
            </w:tcBorders>
            <w:shd w:val="clear" w:color="auto" w:fill="auto"/>
            <w:vAlign w:val="center"/>
            <w:hideMark/>
          </w:tcPr>
          <w:p w14:paraId="515FBB2E"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7,500</w:t>
            </w:r>
          </w:p>
        </w:tc>
        <w:tc>
          <w:tcPr>
            <w:tcW w:w="1372" w:type="dxa"/>
            <w:tcBorders>
              <w:top w:val="nil"/>
              <w:left w:val="nil"/>
              <w:bottom w:val="single" w:sz="8" w:space="0" w:color="auto"/>
              <w:right w:val="single" w:sz="8" w:space="0" w:color="auto"/>
            </w:tcBorders>
            <w:shd w:val="clear" w:color="auto" w:fill="auto"/>
            <w:noWrap/>
            <w:vAlign w:val="center"/>
            <w:hideMark/>
          </w:tcPr>
          <w:p w14:paraId="609CAB9A"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16,000</w:t>
            </w:r>
          </w:p>
        </w:tc>
        <w:tc>
          <w:tcPr>
            <w:tcW w:w="690" w:type="dxa"/>
            <w:tcBorders>
              <w:top w:val="nil"/>
              <w:left w:val="nil"/>
              <w:bottom w:val="single" w:sz="8" w:space="0" w:color="auto"/>
              <w:right w:val="single" w:sz="8" w:space="0" w:color="auto"/>
            </w:tcBorders>
            <w:shd w:val="clear" w:color="auto" w:fill="auto"/>
            <w:vAlign w:val="center"/>
            <w:hideMark/>
          </w:tcPr>
          <w:p w14:paraId="75700F41"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7</w:t>
            </w:r>
          </w:p>
        </w:tc>
      </w:tr>
      <w:tr w:rsidR="001F45CE" w:rsidRPr="00913CCF" w14:paraId="4F7494F0" w14:textId="77777777" w:rsidTr="004205FD">
        <w:trPr>
          <w:trHeight w:val="293"/>
        </w:trPr>
        <w:tc>
          <w:tcPr>
            <w:tcW w:w="1354" w:type="dxa"/>
            <w:vMerge/>
            <w:tcBorders>
              <w:top w:val="nil"/>
              <w:left w:val="single" w:sz="8" w:space="0" w:color="auto"/>
              <w:bottom w:val="double" w:sz="6" w:space="0" w:color="000000"/>
              <w:right w:val="single" w:sz="8" w:space="0" w:color="auto"/>
            </w:tcBorders>
            <w:shd w:val="clear" w:color="auto" w:fill="auto"/>
            <w:vAlign w:val="center"/>
            <w:hideMark/>
          </w:tcPr>
          <w:p w14:paraId="7249A228"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double" w:sz="6" w:space="0" w:color="auto"/>
              <w:left w:val="single" w:sz="8" w:space="0" w:color="auto"/>
              <w:bottom w:val="double" w:sz="6" w:space="0" w:color="000000"/>
              <w:right w:val="single" w:sz="8" w:space="0" w:color="auto"/>
            </w:tcBorders>
            <w:shd w:val="clear" w:color="auto" w:fill="auto"/>
            <w:vAlign w:val="center"/>
            <w:hideMark/>
          </w:tcPr>
          <w:p w14:paraId="0DDEBA17"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3495CB04"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719A16F1"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single" w:sz="8" w:space="0" w:color="auto"/>
              <w:right w:val="single" w:sz="8" w:space="0" w:color="auto"/>
            </w:tcBorders>
            <w:shd w:val="clear" w:color="auto" w:fill="auto"/>
            <w:noWrap/>
            <w:vAlign w:val="center"/>
            <w:hideMark/>
          </w:tcPr>
          <w:p w14:paraId="3F6F081F"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74200</w:t>
            </w:r>
          </w:p>
        </w:tc>
        <w:tc>
          <w:tcPr>
            <w:tcW w:w="1186" w:type="dxa"/>
            <w:tcBorders>
              <w:top w:val="nil"/>
              <w:left w:val="nil"/>
              <w:bottom w:val="single" w:sz="8" w:space="0" w:color="auto"/>
              <w:right w:val="single" w:sz="8" w:space="0" w:color="auto"/>
            </w:tcBorders>
            <w:shd w:val="clear" w:color="auto" w:fill="auto"/>
            <w:vAlign w:val="center"/>
            <w:hideMark/>
          </w:tcPr>
          <w:p w14:paraId="21976EBF" w14:textId="77777777" w:rsidR="001F45CE" w:rsidRPr="00913CCF" w:rsidRDefault="001F45CE" w:rsidP="001F45CE">
            <w:pPr>
              <w:spacing w:after="0"/>
              <w:jc w:val="left"/>
              <w:rPr>
                <w:rFonts w:eastAsia="Times New Roman" w:cs="Calibri"/>
                <w:color w:val="000000"/>
                <w:sz w:val="16"/>
                <w:szCs w:val="16"/>
              </w:rPr>
            </w:pPr>
            <w:r w:rsidRPr="00913CCF">
              <w:rPr>
                <w:rFonts w:eastAsia="Times New Roman" w:cs="Calibri"/>
                <w:color w:val="000000"/>
                <w:sz w:val="16"/>
                <w:szCs w:val="16"/>
                <w:lang w:val="fr-CA"/>
              </w:rPr>
              <w:t>Audiov. print prod.</w:t>
            </w:r>
          </w:p>
        </w:tc>
        <w:tc>
          <w:tcPr>
            <w:tcW w:w="1155" w:type="dxa"/>
            <w:tcBorders>
              <w:top w:val="nil"/>
              <w:left w:val="nil"/>
              <w:bottom w:val="single" w:sz="8" w:space="0" w:color="auto"/>
              <w:right w:val="single" w:sz="8" w:space="0" w:color="auto"/>
            </w:tcBorders>
            <w:shd w:val="clear" w:color="auto" w:fill="auto"/>
            <w:noWrap/>
            <w:vAlign w:val="center"/>
            <w:hideMark/>
          </w:tcPr>
          <w:p w14:paraId="498054ED"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1,000</w:t>
            </w:r>
          </w:p>
        </w:tc>
        <w:tc>
          <w:tcPr>
            <w:tcW w:w="1010" w:type="dxa"/>
            <w:tcBorders>
              <w:top w:val="nil"/>
              <w:left w:val="nil"/>
              <w:bottom w:val="single" w:sz="8" w:space="0" w:color="auto"/>
              <w:right w:val="single" w:sz="8" w:space="0" w:color="auto"/>
            </w:tcBorders>
            <w:shd w:val="clear" w:color="auto" w:fill="auto"/>
            <w:noWrap/>
            <w:vAlign w:val="center"/>
            <w:hideMark/>
          </w:tcPr>
          <w:p w14:paraId="5B46E322"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4,000</w:t>
            </w:r>
          </w:p>
        </w:tc>
        <w:tc>
          <w:tcPr>
            <w:tcW w:w="938" w:type="dxa"/>
            <w:tcBorders>
              <w:top w:val="nil"/>
              <w:left w:val="nil"/>
              <w:bottom w:val="single" w:sz="8" w:space="0" w:color="auto"/>
              <w:right w:val="single" w:sz="8" w:space="0" w:color="auto"/>
            </w:tcBorders>
            <w:shd w:val="clear" w:color="auto" w:fill="auto"/>
            <w:noWrap/>
            <w:vAlign w:val="center"/>
            <w:hideMark/>
          </w:tcPr>
          <w:p w14:paraId="498483CA"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938" w:type="dxa"/>
            <w:tcBorders>
              <w:top w:val="nil"/>
              <w:left w:val="nil"/>
              <w:bottom w:val="single" w:sz="8" w:space="0" w:color="auto"/>
              <w:right w:val="single" w:sz="8" w:space="0" w:color="auto"/>
            </w:tcBorders>
            <w:shd w:val="clear" w:color="auto" w:fill="auto"/>
            <w:noWrap/>
            <w:vAlign w:val="center"/>
            <w:hideMark/>
          </w:tcPr>
          <w:p w14:paraId="7BC0C08F"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938" w:type="dxa"/>
            <w:tcBorders>
              <w:top w:val="nil"/>
              <w:left w:val="nil"/>
              <w:bottom w:val="single" w:sz="8" w:space="0" w:color="auto"/>
              <w:right w:val="single" w:sz="8" w:space="0" w:color="auto"/>
            </w:tcBorders>
            <w:shd w:val="clear" w:color="auto" w:fill="auto"/>
            <w:noWrap/>
            <w:vAlign w:val="center"/>
            <w:hideMark/>
          </w:tcPr>
          <w:p w14:paraId="2CA82889"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938" w:type="dxa"/>
            <w:tcBorders>
              <w:top w:val="nil"/>
              <w:left w:val="nil"/>
              <w:bottom w:val="single" w:sz="8" w:space="0" w:color="auto"/>
              <w:right w:val="single" w:sz="8" w:space="0" w:color="auto"/>
            </w:tcBorders>
            <w:shd w:val="clear" w:color="auto" w:fill="auto"/>
            <w:vAlign w:val="center"/>
            <w:hideMark/>
          </w:tcPr>
          <w:p w14:paraId="4A27C98A"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1372" w:type="dxa"/>
            <w:tcBorders>
              <w:top w:val="nil"/>
              <w:left w:val="nil"/>
              <w:bottom w:val="single" w:sz="8" w:space="0" w:color="auto"/>
              <w:right w:val="single" w:sz="8" w:space="0" w:color="auto"/>
            </w:tcBorders>
            <w:shd w:val="clear" w:color="auto" w:fill="auto"/>
            <w:noWrap/>
            <w:vAlign w:val="center"/>
            <w:hideMark/>
          </w:tcPr>
          <w:p w14:paraId="736B8EB1"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5,000</w:t>
            </w:r>
          </w:p>
        </w:tc>
        <w:tc>
          <w:tcPr>
            <w:tcW w:w="690" w:type="dxa"/>
            <w:tcBorders>
              <w:top w:val="nil"/>
              <w:left w:val="nil"/>
              <w:bottom w:val="single" w:sz="8" w:space="0" w:color="auto"/>
              <w:right w:val="single" w:sz="8" w:space="0" w:color="auto"/>
            </w:tcBorders>
            <w:shd w:val="clear" w:color="auto" w:fill="auto"/>
            <w:vAlign w:val="center"/>
            <w:hideMark/>
          </w:tcPr>
          <w:p w14:paraId="004E1B29"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8</w:t>
            </w:r>
          </w:p>
        </w:tc>
      </w:tr>
      <w:tr w:rsidR="001F45CE" w:rsidRPr="00913CCF" w14:paraId="1501E98A" w14:textId="77777777" w:rsidTr="004205FD">
        <w:trPr>
          <w:trHeight w:val="153"/>
        </w:trPr>
        <w:tc>
          <w:tcPr>
            <w:tcW w:w="1354" w:type="dxa"/>
            <w:vMerge/>
            <w:tcBorders>
              <w:top w:val="nil"/>
              <w:left w:val="single" w:sz="8" w:space="0" w:color="auto"/>
              <w:bottom w:val="double" w:sz="6" w:space="0" w:color="000000"/>
              <w:right w:val="single" w:sz="8" w:space="0" w:color="auto"/>
            </w:tcBorders>
            <w:shd w:val="clear" w:color="auto" w:fill="auto"/>
            <w:vAlign w:val="center"/>
            <w:hideMark/>
          </w:tcPr>
          <w:p w14:paraId="46829900"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double" w:sz="6" w:space="0" w:color="auto"/>
              <w:left w:val="single" w:sz="8" w:space="0" w:color="auto"/>
              <w:bottom w:val="double" w:sz="6" w:space="0" w:color="000000"/>
              <w:right w:val="single" w:sz="8" w:space="0" w:color="auto"/>
            </w:tcBorders>
            <w:shd w:val="clear" w:color="auto" w:fill="auto"/>
            <w:vAlign w:val="center"/>
            <w:hideMark/>
          </w:tcPr>
          <w:p w14:paraId="1B3466C0"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44568DBF"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4788A27E"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single" w:sz="8" w:space="0" w:color="auto"/>
              <w:right w:val="single" w:sz="8" w:space="0" w:color="auto"/>
            </w:tcBorders>
            <w:shd w:val="clear" w:color="auto" w:fill="auto"/>
            <w:noWrap/>
            <w:vAlign w:val="center"/>
            <w:hideMark/>
          </w:tcPr>
          <w:p w14:paraId="5FCE87E6"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74500</w:t>
            </w:r>
          </w:p>
        </w:tc>
        <w:tc>
          <w:tcPr>
            <w:tcW w:w="1186" w:type="dxa"/>
            <w:tcBorders>
              <w:top w:val="nil"/>
              <w:left w:val="nil"/>
              <w:bottom w:val="single" w:sz="8" w:space="0" w:color="auto"/>
              <w:right w:val="single" w:sz="8" w:space="0" w:color="auto"/>
            </w:tcBorders>
            <w:shd w:val="clear" w:color="auto" w:fill="auto"/>
            <w:vAlign w:val="center"/>
            <w:hideMark/>
          </w:tcPr>
          <w:p w14:paraId="11407160" w14:textId="77777777" w:rsidR="001F45CE" w:rsidRPr="00913CCF" w:rsidRDefault="001F45CE" w:rsidP="001F45CE">
            <w:pPr>
              <w:spacing w:after="0"/>
              <w:jc w:val="left"/>
              <w:rPr>
                <w:rFonts w:eastAsia="Times New Roman" w:cs="Calibri"/>
                <w:color w:val="000000"/>
                <w:sz w:val="16"/>
                <w:szCs w:val="16"/>
              </w:rPr>
            </w:pPr>
            <w:r w:rsidRPr="00913CCF">
              <w:rPr>
                <w:rFonts w:eastAsia="Times New Roman" w:cs="Calibri"/>
                <w:color w:val="000000"/>
                <w:sz w:val="16"/>
                <w:szCs w:val="16"/>
              </w:rPr>
              <w:t>Miscellaneous</w:t>
            </w:r>
          </w:p>
        </w:tc>
        <w:tc>
          <w:tcPr>
            <w:tcW w:w="1155" w:type="dxa"/>
            <w:tcBorders>
              <w:top w:val="nil"/>
              <w:left w:val="nil"/>
              <w:bottom w:val="single" w:sz="8" w:space="0" w:color="auto"/>
              <w:right w:val="single" w:sz="8" w:space="0" w:color="auto"/>
            </w:tcBorders>
            <w:shd w:val="clear" w:color="auto" w:fill="auto"/>
            <w:noWrap/>
            <w:vAlign w:val="center"/>
            <w:hideMark/>
          </w:tcPr>
          <w:p w14:paraId="704A3C26"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10,000</w:t>
            </w:r>
          </w:p>
        </w:tc>
        <w:tc>
          <w:tcPr>
            <w:tcW w:w="1010" w:type="dxa"/>
            <w:tcBorders>
              <w:top w:val="nil"/>
              <w:left w:val="nil"/>
              <w:bottom w:val="single" w:sz="8" w:space="0" w:color="auto"/>
              <w:right w:val="single" w:sz="8" w:space="0" w:color="auto"/>
            </w:tcBorders>
            <w:shd w:val="clear" w:color="auto" w:fill="auto"/>
            <w:noWrap/>
            <w:vAlign w:val="center"/>
            <w:hideMark/>
          </w:tcPr>
          <w:p w14:paraId="6AF27A8F"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10,000</w:t>
            </w:r>
          </w:p>
        </w:tc>
        <w:tc>
          <w:tcPr>
            <w:tcW w:w="938" w:type="dxa"/>
            <w:tcBorders>
              <w:top w:val="nil"/>
              <w:left w:val="nil"/>
              <w:bottom w:val="single" w:sz="8" w:space="0" w:color="auto"/>
              <w:right w:val="single" w:sz="8" w:space="0" w:color="auto"/>
            </w:tcBorders>
            <w:shd w:val="clear" w:color="auto" w:fill="auto"/>
            <w:noWrap/>
            <w:vAlign w:val="center"/>
            <w:hideMark/>
          </w:tcPr>
          <w:p w14:paraId="7354AA6B"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10,000</w:t>
            </w:r>
          </w:p>
        </w:tc>
        <w:tc>
          <w:tcPr>
            <w:tcW w:w="938" w:type="dxa"/>
            <w:tcBorders>
              <w:top w:val="nil"/>
              <w:left w:val="nil"/>
              <w:bottom w:val="single" w:sz="8" w:space="0" w:color="auto"/>
              <w:right w:val="single" w:sz="8" w:space="0" w:color="auto"/>
            </w:tcBorders>
            <w:shd w:val="clear" w:color="auto" w:fill="auto"/>
            <w:noWrap/>
            <w:vAlign w:val="center"/>
            <w:hideMark/>
          </w:tcPr>
          <w:p w14:paraId="121ACF6C"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10,000</w:t>
            </w:r>
          </w:p>
        </w:tc>
        <w:tc>
          <w:tcPr>
            <w:tcW w:w="938" w:type="dxa"/>
            <w:tcBorders>
              <w:top w:val="nil"/>
              <w:left w:val="nil"/>
              <w:bottom w:val="single" w:sz="8" w:space="0" w:color="auto"/>
              <w:right w:val="single" w:sz="8" w:space="0" w:color="auto"/>
            </w:tcBorders>
            <w:shd w:val="clear" w:color="auto" w:fill="auto"/>
            <w:noWrap/>
            <w:vAlign w:val="center"/>
            <w:hideMark/>
          </w:tcPr>
          <w:p w14:paraId="29942226"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10,000</w:t>
            </w:r>
          </w:p>
        </w:tc>
        <w:tc>
          <w:tcPr>
            <w:tcW w:w="938" w:type="dxa"/>
            <w:tcBorders>
              <w:top w:val="nil"/>
              <w:left w:val="nil"/>
              <w:bottom w:val="single" w:sz="8" w:space="0" w:color="auto"/>
              <w:right w:val="single" w:sz="8" w:space="0" w:color="auto"/>
            </w:tcBorders>
            <w:shd w:val="clear" w:color="auto" w:fill="auto"/>
            <w:vAlign w:val="center"/>
            <w:hideMark/>
          </w:tcPr>
          <w:p w14:paraId="32EEE352"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10,000</w:t>
            </w:r>
          </w:p>
        </w:tc>
        <w:tc>
          <w:tcPr>
            <w:tcW w:w="1372" w:type="dxa"/>
            <w:tcBorders>
              <w:top w:val="nil"/>
              <w:left w:val="nil"/>
              <w:bottom w:val="single" w:sz="8" w:space="0" w:color="auto"/>
              <w:right w:val="single" w:sz="8" w:space="0" w:color="auto"/>
            </w:tcBorders>
            <w:shd w:val="clear" w:color="auto" w:fill="auto"/>
            <w:noWrap/>
            <w:vAlign w:val="center"/>
            <w:hideMark/>
          </w:tcPr>
          <w:p w14:paraId="1193A0A0"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60,000</w:t>
            </w:r>
          </w:p>
        </w:tc>
        <w:tc>
          <w:tcPr>
            <w:tcW w:w="690" w:type="dxa"/>
            <w:tcBorders>
              <w:top w:val="nil"/>
              <w:left w:val="nil"/>
              <w:bottom w:val="single" w:sz="8" w:space="0" w:color="auto"/>
              <w:right w:val="single" w:sz="8" w:space="0" w:color="auto"/>
            </w:tcBorders>
            <w:shd w:val="clear" w:color="auto" w:fill="auto"/>
            <w:vAlign w:val="center"/>
            <w:hideMark/>
          </w:tcPr>
          <w:p w14:paraId="6785D9D0"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9</w:t>
            </w:r>
          </w:p>
        </w:tc>
      </w:tr>
      <w:tr w:rsidR="001F45CE" w:rsidRPr="00913CCF" w14:paraId="7FBEFD1C" w14:textId="77777777" w:rsidTr="004205FD">
        <w:trPr>
          <w:trHeight w:val="293"/>
        </w:trPr>
        <w:tc>
          <w:tcPr>
            <w:tcW w:w="1354" w:type="dxa"/>
            <w:vMerge/>
            <w:tcBorders>
              <w:top w:val="nil"/>
              <w:left w:val="single" w:sz="8" w:space="0" w:color="auto"/>
              <w:bottom w:val="double" w:sz="6" w:space="0" w:color="000000"/>
              <w:right w:val="single" w:sz="8" w:space="0" w:color="auto"/>
            </w:tcBorders>
            <w:shd w:val="clear" w:color="auto" w:fill="auto"/>
            <w:vAlign w:val="center"/>
            <w:hideMark/>
          </w:tcPr>
          <w:p w14:paraId="056918F8"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double" w:sz="6" w:space="0" w:color="auto"/>
              <w:left w:val="single" w:sz="8" w:space="0" w:color="auto"/>
              <w:bottom w:val="double" w:sz="6" w:space="0" w:color="000000"/>
              <w:right w:val="single" w:sz="8" w:space="0" w:color="auto"/>
            </w:tcBorders>
            <w:shd w:val="clear" w:color="auto" w:fill="auto"/>
            <w:vAlign w:val="center"/>
            <w:hideMark/>
          </w:tcPr>
          <w:p w14:paraId="2BEFA0A9"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22F34093"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6900FE53"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double" w:sz="6" w:space="0" w:color="auto"/>
              <w:right w:val="single" w:sz="8" w:space="0" w:color="auto"/>
            </w:tcBorders>
            <w:shd w:val="clear" w:color="auto" w:fill="auto"/>
            <w:noWrap/>
            <w:vAlign w:val="center"/>
            <w:hideMark/>
          </w:tcPr>
          <w:p w14:paraId="66299576"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75700</w:t>
            </w:r>
          </w:p>
        </w:tc>
        <w:tc>
          <w:tcPr>
            <w:tcW w:w="1186" w:type="dxa"/>
            <w:tcBorders>
              <w:top w:val="nil"/>
              <w:left w:val="nil"/>
              <w:bottom w:val="double" w:sz="6" w:space="0" w:color="auto"/>
              <w:right w:val="single" w:sz="8" w:space="0" w:color="auto"/>
            </w:tcBorders>
            <w:shd w:val="clear" w:color="auto" w:fill="auto"/>
            <w:vAlign w:val="center"/>
            <w:hideMark/>
          </w:tcPr>
          <w:p w14:paraId="6457AB81" w14:textId="77777777" w:rsidR="001F45CE" w:rsidRPr="00913CCF" w:rsidRDefault="001F45CE" w:rsidP="001F45CE">
            <w:pPr>
              <w:spacing w:after="0"/>
              <w:jc w:val="left"/>
              <w:rPr>
                <w:rFonts w:eastAsia="Times New Roman" w:cs="Calibri"/>
                <w:color w:val="000000"/>
                <w:sz w:val="16"/>
                <w:szCs w:val="16"/>
              </w:rPr>
            </w:pPr>
            <w:r w:rsidRPr="00913CCF">
              <w:rPr>
                <w:rFonts w:eastAsia="Times New Roman" w:cs="Calibri"/>
                <w:color w:val="000000"/>
                <w:sz w:val="16"/>
                <w:szCs w:val="16"/>
              </w:rPr>
              <w:t>Train worksh conf</w:t>
            </w:r>
          </w:p>
        </w:tc>
        <w:tc>
          <w:tcPr>
            <w:tcW w:w="1155" w:type="dxa"/>
            <w:tcBorders>
              <w:top w:val="nil"/>
              <w:left w:val="nil"/>
              <w:bottom w:val="double" w:sz="6" w:space="0" w:color="auto"/>
              <w:right w:val="single" w:sz="8" w:space="0" w:color="auto"/>
            </w:tcBorders>
            <w:shd w:val="clear" w:color="auto" w:fill="auto"/>
            <w:noWrap/>
            <w:vAlign w:val="center"/>
            <w:hideMark/>
          </w:tcPr>
          <w:p w14:paraId="125B5353"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6,100</w:t>
            </w:r>
          </w:p>
        </w:tc>
        <w:tc>
          <w:tcPr>
            <w:tcW w:w="1010" w:type="dxa"/>
            <w:tcBorders>
              <w:top w:val="nil"/>
              <w:left w:val="nil"/>
              <w:bottom w:val="double" w:sz="6" w:space="0" w:color="auto"/>
              <w:right w:val="single" w:sz="8" w:space="0" w:color="auto"/>
            </w:tcBorders>
            <w:shd w:val="clear" w:color="auto" w:fill="auto"/>
            <w:noWrap/>
            <w:vAlign w:val="center"/>
            <w:hideMark/>
          </w:tcPr>
          <w:p w14:paraId="54985A5D"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8,700</w:t>
            </w:r>
          </w:p>
        </w:tc>
        <w:tc>
          <w:tcPr>
            <w:tcW w:w="938" w:type="dxa"/>
            <w:tcBorders>
              <w:top w:val="nil"/>
              <w:left w:val="nil"/>
              <w:bottom w:val="double" w:sz="6" w:space="0" w:color="auto"/>
              <w:right w:val="single" w:sz="8" w:space="0" w:color="auto"/>
            </w:tcBorders>
            <w:shd w:val="clear" w:color="auto" w:fill="auto"/>
            <w:noWrap/>
            <w:vAlign w:val="center"/>
            <w:hideMark/>
          </w:tcPr>
          <w:p w14:paraId="73CF7900"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3,200</w:t>
            </w:r>
          </w:p>
        </w:tc>
        <w:tc>
          <w:tcPr>
            <w:tcW w:w="938" w:type="dxa"/>
            <w:tcBorders>
              <w:top w:val="nil"/>
              <w:left w:val="nil"/>
              <w:bottom w:val="double" w:sz="6" w:space="0" w:color="auto"/>
              <w:right w:val="single" w:sz="8" w:space="0" w:color="auto"/>
            </w:tcBorders>
            <w:shd w:val="clear" w:color="auto" w:fill="auto"/>
            <w:noWrap/>
            <w:vAlign w:val="center"/>
            <w:hideMark/>
          </w:tcPr>
          <w:p w14:paraId="7961DF52"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2,200</w:t>
            </w:r>
          </w:p>
        </w:tc>
        <w:tc>
          <w:tcPr>
            <w:tcW w:w="938" w:type="dxa"/>
            <w:tcBorders>
              <w:top w:val="nil"/>
              <w:left w:val="nil"/>
              <w:bottom w:val="double" w:sz="6" w:space="0" w:color="auto"/>
              <w:right w:val="single" w:sz="8" w:space="0" w:color="auto"/>
            </w:tcBorders>
            <w:shd w:val="clear" w:color="auto" w:fill="auto"/>
            <w:noWrap/>
            <w:vAlign w:val="center"/>
            <w:hideMark/>
          </w:tcPr>
          <w:p w14:paraId="3AC14367"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2,200</w:t>
            </w:r>
          </w:p>
        </w:tc>
        <w:tc>
          <w:tcPr>
            <w:tcW w:w="938" w:type="dxa"/>
            <w:tcBorders>
              <w:top w:val="nil"/>
              <w:left w:val="nil"/>
              <w:bottom w:val="double" w:sz="6" w:space="0" w:color="auto"/>
              <w:right w:val="single" w:sz="8" w:space="0" w:color="auto"/>
            </w:tcBorders>
            <w:shd w:val="clear" w:color="auto" w:fill="auto"/>
            <w:vAlign w:val="center"/>
            <w:hideMark/>
          </w:tcPr>
          <w:p w14:paraId="23438E93"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2,200</w:t>
            </w:r>
          </w:p>
        </w:tc>
        <w:tc>
          <w:tcPr>
            <w:tcW w:w="1372" w:type="dxa"/>
            <w:tcBorders>
              <w:top w:val="nil"/>
              <w:left w:val="nil"/>
              <w:bottom w:val="double" w:sz="6" w:space="0" w:color="auto"/>
              <w:right w:val="single" w:sz="8" w:space="0" w:color="auto"/>
            </w:tcBorders>
            <w:shd w:val="clear" w:color="auto" w:fill="auto"/>
            <w:noWrap/>
            <w:vAlign w:val="center"/>
            <w:hideMark/>
          </w:tcPr>
          <w:p w14:paraId="71C1742B"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24,600</w:t>
            </w:r>
          </w:p>
        </w:tc>
        <w:tc>
          <w:tcPr>
            <w:tcW w:w="690" w:type="dxa"/>
            <w:tcBorders>
              <w:top w:val="nil"/>
              <w:left w:val="nil"/>
              <w:bottom w:val="single" w:sz="8" w:space="0" w:color="auto"/>
              <w:right w:val="single" w:sz="8" w:space="0" w:color="auto"/>
            </w:tcBorders>
            <w:shd w:val="clear" w:color="auto" w:fill="auto"/>
            <w:vAlign w:val="center"/>
            <w:hideMark/>
          </w:tcPr>
          <w:p w14:paraId="25927C80"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10</w:t>
            </w:r>
          </w:p>
        </w:tc>
      </w:tr>
      <w:tr w:rsidR="001F45CE" w:rsidRPr="00913CCF" w14:paraId="69DA5836" w14:textId="77777777" w:rsidTr="004205FD">
        <w:trPr>
          <w:trHeight w:val="300"/>
        </w:trPr>
        <w:tc>
          <w:tcPr>
            <w:tcW w:w="1354" w:type="dxa"/>
            <w:vMerge/>
            <w:tcBorders>
              <w:top w:val="nil"/>
              <w:left w:val="single" w:sz="8" w:space="0" w:color="auto"/>
              <w:bottom w:val="double" w:sz="6" w:space="0" w:color="000000"/>
              <w:right w:val="single" w:sz="8" w:space="0" w:color="auto"/>
            </w:tcBorders>
            <w:shd w:val="clear" w:color="auto" w:fill="auto"/>
            <w:vAlign w:val="center"/>
            <w:hideMark/>
          </w:tcPr>
          <w:p w14:paraId="5D01075E"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double" w:sz="6" w:space="0" w:color="auto"/>
              <w:left w:val="single" w:sz="8" w:space="0" w:color="auto"/>
              <w:bottom w:val="double" w:sz="6" w:space="0" w:color="000000"/>
              <w:right w:val="single" w:sz="8" w:space="0" w:color="auto"/>
            </w:tcBorders>
            <w:shd w:val="clear" w:color="auto" w:fill="auto"/>
            <w:vAlign w:val="center"/>
            <w:hideMark/>
          </w:tcPr>
          <w:p w14:paraId="0B848615"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76187A70"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241E1E57"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double" w:sz="6" w:space="0" w:color="auto"/>
              <w:right w:val="single" w:sz="8" w:space="0" w:color="auto"/>
            </w:tcBorders>
            <w:shd w:val="clear" w:color="auto" w:fill="auto"/>
            <w:noWrap/>
            <w:vAlign w:val="center"/>
            <w:hideMark/>
          </w:tcPr>
          <w:p w14:paraId="327EA8A1"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 </w:t>
            </w:r>
          </w:p>
        </w:tc>
        <w:tc>
          <w:tcPr>
            <w:tcW w:w="1186" w:type="dxa"/>
            <w:tcBorders>
              <w:top w:val="nil"/>
              <w:left w:val="nil"/>
              <w:bottom w:val="double" w:sz="6" w:space="0" w:color="auto"/>
              <w:right w:val="single" w:sz="8" w:space="0" w:color="auto"/>
            </w:tcBorders>
            <w:shd w:val="clear" w:color="auto" w:fill="auto"/>
            <w:vAlign w:val="center"/>
            <w:hideMark/>
          </w:tcPr>
          <w:p w14:paraId="4017E4BB" w14:textId="77777777" w:rsidR="001F45CE" w:rsidRPr="00913CCF" w:rsidRDefault="001F45CE" w:rsidP="001F45CE">
            <w:pPr>
              <w:spacing w:after="0"/>
              <w:jc w:val="left"/>
              <w:rPr>
                <w:rFonts w:eastAsia="Times New Roman" w:cs="Calibri"/>
                <w:b/>
                <w:bCs/>
                <w:color w:val="000000"/>
                <w:sz w:val="15"/>
                <w:szCs w:val="15"/>
              </w:rPr>
            </w:pPr>
            <w:r w:rsidRPr="00913CCF">
              <w:rPr>
                <w:rFonts w:eastAsia="Times New Roman" w:cs="Calibri"/>
                <w:b/>
                <w:bCs/>
                <w:color w:val="000000"/>
                <w:sz w:val="15"/>
                <w:szCs w:val="15"/>
              </w:rPr>
              <w:t>Sub-total Outcome 1</w:t>
            </w:r>
          </w:p>
        </w:tc>
        <w:tc>
          <w:tcPr>
            <w:tcW w:w="1155" w:type="dxa"/>
            <w:tcBorders>
              <w:top w:val="nil"/>
              <w:left w:val="nil"/>
              <w:bottom w:val="double" w:sz="6" w:space="0" w:color="auto"/>
              <w:right w:val="single" w:sz="8" w:space="0" w:color="auto"/>
            </w:tcBorders>
            <w:shd w:val="clear" w:color="auto" w:fill="auto"/>
            <w:noWrap/>
            <w:vAlign w:val="center"/>
            <w:hideMark/>
          </w:tcPr>
          <w:p w14:paraId="6FAEB545" w14:textId="264C27A7" w:rsidR="001F45CE" w:rsidRPr="00EF6D8E"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101,775</w:t>
            </w:r>
          </w:p>
        </w:tc>
        <w:tc>
          <w:tcPr>
            <w:tcW w:w="1010" w:type="dxa"/>
            <w:tcBorders>
              <w:top w:val="nil"/>
              <w:left w:val="nil"/>
              <w:bottom w:val="double" w:sz="6" w:space="0" w:color="auto"/>
              <w:right w:val="single" w:sz="8" w:space="0" w:color="auto"/>
            </w:tcBorders>
            <w:shd w:val="clear" w:color="auto" w:fill="auto"/>
            <w:noWrap/>
            <w:vAlign w:val="center"/>
            <w:hideMark/>
          </w:tcPr>
          <w:p w14:paraId="1C6D0204"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239,250</w:t>
            </w:r>
          </w:p>
        </w:tc>
        <w:tc>
          <w:tcPr>
            <w:tcW w:w="938" w:type="dxa"/>
            <w:tcBorders>
              <w:top w:val="nil"/>
              <w:left w:val="nil"/>
              <w:bottom w:val="double" w:sz="6" w:space="0" w:color="auto"/>
              <w:right w:val="single" w:sz="8" w:space="0" w:color="auto"/>
            </w:tcBorders>
            <w:shd w:val="clear" w:color="auto" w:fill="auto"/>
            <w:noWrap/>
            <w:vAlign w:val="center"/>
            <w:hideMark/>
          </w:tcPr>
          <w:p w14:paraId="1CF3274D"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66,000</w:t>
            </w:r>
          </w:p>
        </w:tc>
        <w:tc>
          <w:tcPr>
            <w:tcW w:w="938" w:type="dxa"/>
            <w:tcBorders>
              <w:top w:val="nil"/>
              <w:left w:val="nil"/>
              <w:bottom w:val="double" w:sz="6" w:space="0" w:color="auto"/>
              <w:right w:val="single" w:sz="8" w:space="0" w:color="auto"/>
            </w:tcBorders>
            <w:shd w:val="clear" w:color="auto" w:fill="auto"/>
            <w:noWrap/>
            <w:vAlign w:val="center"/>
            <w:hideMark/>
          </w:tcPr>
          <w:p w14:paraId="37377244"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39,900</w:t>
            </w:r>
          </w:p>
        </w:tc>
        <w:tc>
          <w:tcPr>
            <w:tcW w:w="938" w:type="dxa"/>
            <w:tcBorders>
              <w:top w:val="nil"/>
              <w:left w:val="nil"/>
              <w:bottom w:val="double" w:sz="6" w:space="0" w:color="auto"/>
              <w:right w:val="single" w:sz="8" w:space="0" w:color="auto"/>
            </w:tcBorders>
            <w:shd w:val="clear" w:color="auto" w:fill="auto"/>
            <w:noWrap/>
            <w:vAlign w:val="center"/>
            <w:hideMark/>
          </w:tcPr>
          <w:p w14:paraId="65276481"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28,100</w:t>
            </w:r>
          </w:p>
        </w:tc>
        <w:tc>
          <w:tcPr>
            <w:tcW w:w="938" w:type="dxa"/>
            <w:tcBorders>
              <w:top w:val="nil"/>
              <w:left w:val="nil"/>
              <w:bottom w:val="double" w:sz="6" w:space="0" w:color="auto"/>
              <w:right w:val="single" w:sz="8" w:space="0" w:color="auto"/>
            </w:tcBorders>
            <w:shd w:val="clear" w:color="auto" w:fill="auto"/>
            <w:vAlign w:val="center"/>
            <w:hideMark/>
          </w:tcPr>
          <w:p w14:paraId="3347A5D8"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46,700</w:t>
            </w:r>
          </w:p>
        </w:tc>
        <w:tc>
          <w:tcPr>
            <w:tcW w:w="1372" w:type="dxa"/>
            <w:tcBorders>
              <w:top w:val="nil"/>
              <w:left w:val="nil"/>
              <w:bottom w:val="double" w:sz="6" w:space="0" w:color="auto"/>
              <w:right w:val="single" w:sz="8" w:space="0" w:color="auto"/>
            </w:tcBorders>
            <w:shd w:val="clear" w:color="auto" w:fill="auto"/>
            <w:noWrap/>
            <w:vAlign w:val="center"/>
            <w:hideMark/>
          </w:tcPr>
          <w:p w14:paraId="5EB22868" w14:textId="529A0044" w:rsidR="001F45CE" w:rsidRPr="00EF6D8E"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521,725</w:t>
            </w:r>
          </w:p>
        </w:tc>
        <w:tc>
          <w:tcPr>
            <w:tcW w:w="690" w:type="dxa"/>
            <w:tcBorders>
              <w:top w:val="nil"/>
              <w:left w:val="nil"/>
              <w:bottom w:val="double" w:sz="6" w:space="0" w:color="auto"/>
              <w:right w:val="single" w:sz="8" w:space="0" w:color="auto"/>
            </w:tcBorders>
            <w:shd w:val="clear" w:color="auto" w:fill="auto"/>
            <w:vAlign w:val="center"/>
            <w:hideMark/>
          </w:tcPr>
          <w:p w14:paraId="73C50EEC" w14:textId="77777777" w:rsidR="001F45CE" w:rsidRPr="00913CCF" w:rsidRDefault="001F45CE" w:rsidP="001F45CE">
            <w:pPr>
              <w:spacing w:after="0"/>
              <w:jc w:val="left"/>
              <w:rPr>
                <w:rFonts w:eastAsia="Times New Roman" w:cs="Calibri"/>
                <w:color w:val="000000"/>
                <w:sz w:val="22"/>
                <w:szCs w:val="22"/>
              </w:rPr>
            </w:pPr>
            <w:r w:rsidRPr="00913CCF">
              <w:rPr>
                <w:rFonts w:eastAsia="Times New Roman" w:cs="Calibri"/>
                <w:color w:val="000000"/>
                <w:sz w:val="22"/>
                <w:szCs w:val="22"/>
              </w:rPr>
              <w:t> </w:t>
            </w:r>
          </w:p>
        </w:tc>
      </w:tr>
      <w:tr w:rsidR="001F45CE" w:rsidRPr="00913CCF" w14:paraId="5326BB4F" w14:textId="77777777" w:rsidTr="004205FD">
        <w:trPr>
          <w:trHeight w:val="207"/>
        </w:trPr>
        <w:tc>
          <w:tcPr>
            <w:tcW w:w="1354" w:type="dxa"/>
            <w:vMerge/>
            <w:tcBorders>
              <w:top w:val="nil"/>
              <w:left w:val="single" w:sz="8" w:space="0" w:color="auto"/>
              <w:bottom w:val="double" w:sz="6" w:space="0" w:color="000000"/>
              <w:right w:val="single" w:sz="8" w:space="0" w:color="auto"/>
            </w:tcBorders>
            <w:shd w:val="clear" w:color="auto" w:fill="auto"/>
            <w:vAlign w:val="center"/>
            <w:hideMark/>
          </w:tcPr>
          <w:p w14:paraId="7876FFC8" w14:textId="77777777" w:rsidR="001F45CE" w:rsidRPr="00913CCF" w:rsidRDefault="001F45CE" w:rsidP="001F45CE">
            <w:pPr>
              <w:spacing w:after="0"/>
              <w:jc w:val="left"/>
              <w:rPr>
                <w:rFonts w:eastAsia="Times New Roman" w:cs="Calibri"/>
                <w:b/>
                <w:bCs/>
                <w:color w:val="000000"/>
                <w:sz w:val="16"/>
                <w:szCs w:val="16"/>
              </w:rPr>
            </w:pPr>
          </w:p>
        </w:tc>
        <w:tc>
          <w:tcPr>
            <w:tcW w:w="1266" w:type="dxa"/>
            <w:vMerge w:val="restart"/>
            <w:tcBorders>
              <w:top w:val="nil"/>
              <w:left w:val="single" w:sz="8" w:space="0" w:color="auto"/>
              <w:bottom w:val="double" w:sz="6" w:space="0" w:color="000000"/>
              <w:right w:val="single" w:sz="8" w:space="0" w:color="auto"/>
            </w:tcBorders>
            <w:shd w:val="clear" w:color="auto" w:fill="auto"/>
            <w:vAlign w:val="center"/>
            <w:hideMark/>
          </w:tcPr>
          <w:p w14:paraId="083F98A4"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UNDP</w:t>
            </w:r>
          </w:p>
        </w:tc>
        <w:tc>
          <w:tcPr>
            <w:tcW w:w="622" w:type="dxa"/>
            <w:vMerge w:val="restart"/>
            <w:tcBorders>
              <w:top w:val="nil"/>
              <w:left w:val="single" w:sz="8" w:space="0" w:color="auto"/>
              <w:bottom w:val="double" w:sz="6" w:space="0" w:color="000000"/>
              <w:right w:val="single" w:sz="8" w:space="0" w:color="auto"/>
            </w:tcBorders>
            <w:shd w:val="clear" w:color="auto" w:fill="auto"/>
            <w:vAlign w:val="center"/>
            <w:hideMark/>
          </w:tcPr>
          <w:p w14:paraId="0ACF7E29" w14:textId="67F32F94"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04000</w:t>
            </w:r>
          </w:p>
        </w:tc>
        <w:tc>
          <w:tcPr>
            <w:tcW w:w="632" w:type="dxa"/>
            <w:vMerge w:val="restart"/>
            <w:tcBorders>
              <w:top w:val="nil"/>
              <w:left w:val="single" w:sz="8" w:space="0" w:color="auto"/>
              <w:bottom w:val="double" w:sz="6" w:space="0" w:color="000000"/>
              <w:right w:val="single" w:sz="8" w:space="0" w:color="auto"/>
            </w:tcBorders>
            <w:shd w:val="clear" w:color="auto" w:fill="auto"/>
            <w:vAlign w:val="center"/>
            <w:hideMark/>
          </w:tcPr>
          <w:p w14:paraId="55278F4F"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TRAC</w:t>
            </w:r>
          </w:p>
        </w:tc>
        <w:tc>
          <w:tcPr>
            <w:tcW w:w="901" w:type="dxa"/>
            <w:tcBorders>
              <w:top w:val="nil"/>
              <w:left w:val="nil"/>
              <w:bottom w:val="single" w:sz="8" w:space="0" w:color="auto"/>
              <w:right w:val="single" w:sz="8" w:space="0" w:color="auto"/>
            </w:tcBorders>
            <w:shd w:val="clear" w:color="auto" w:fill="auto"/>
            <w:noWrap/>
            <w:vAlign w:val="center"/>
            <w:hideMark/>
          </w:tcPr>
          <w:p w14:paraId="69B1AE2D"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71600</w:t>
            </w:r>
          </w:p>
        </w:tc>
        <w:tc>
          <w:tcPr>
            <w:tcW w:w="1186" w:type="dxa"/>
            <w:tcBorders>
              <w:top w:val="nil"/>
              <w:left w:val="nil"/>
              <w:bottom w:val="single" w:sz="8" w:space="0" w:color="auto"/>
              <w:right w:val="single" w:sz="8" w:space="0" w:color="auto"/>
            </w:tcBorders>
            <w:shd w:val="clear" w:color="auto" w:fill="auto"/>
            <w:vAlign w:val="center"/>
            <w:hideMark/>
          </w:tcPr>
          <w:p w14:paraId="6073E470" w14:textId="77777777" w:rsidR="001F45CE" w:rsidRPr="00913CCF" w:rsidRDefault="001F45CE" w:rsidP="001F45CE">
            <w:pPr>
              <w:spacing w:after="0"/>
              <w:jc w:val="left"/>
              <w:rPr>
                <w:rFonts w:eastAsia="Times New Roman" w:cs="Calibri"/>
                <w:color w:val="000000"/>
                <w:sz w:val="16"/>
                <w:szCs w:val="16"/>
              </w:rPr>
            </w:pPr>
            <w:r w:rsidRPr="00913CCF">
              <w:rPr>
                <w:rFonts w:eastAsia="Times New Roman" w:cs="Calibri"/>
                <w:bCs/>
                <w:color w:val="000000"/>
                <w:sz w:val="16"/>
                <w:szCs w:val="16"/>
              </w:rPr>
              <w:t>Travel</w:t>
            </w:r>
          </w:p>
        </w:tc>
        <w:tc>
          <w:tcPr>
            <w:tcW w:w="1155" w:type="dxa"/>
            <w:tcBorders>
              <w:top w:val="nil"/>
              <w:left w:val="nil"/>
              <w:bottom w:val="single" w:sz="8" w:space="0" w:color="auto"/>
              <w:right w:val="single" w:sz="8" w:space="0" w:color="auto"/>
            </w:tcBorders>
            <w:shd w:val="clear" w:color="auto" w:fill="auto"/>
            <w:noWrap/>
            <w:vAlign w:val="center"/>
            <w:hideMark/>
          </w:tcPr>
          <w:p w14:paraId="590F92B3"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2,000</w:t>
            </w:r>
          </w:p>
        </w:tc>
        <w:tc>
          <w:tcPr>
            <w:tcW w:w="1010" w:type="dxa"/>
            <w:tcBorders>
              <w:top w:val="nil"/>
              <w:left w:val="nil"/>
              <w:bottom w:val="single" w:sz="8" w:space="0" w:color="auto"/>
              <w:right w:val="single" w:sz="8" w:space="0" w:color="auto"/>
            </w:tcBorders>
            <w:shd w:val="clear" w:color="auto" w:fill="auto"/>
            <w:noWrap/>
            <w:vAlign w:val="center"/>
            <w:hideMark/>
          </w:tcPr>
          <w:p w14:paraId="457BBA17"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2,000</w:t>
            </w:r>
          </w:p>
        </w:tc>
        <w:tc>
          <w:tcPr>
            <w:tcW w:w="938" w:type="dxa"/>
            <w:tcBorders>
              <w:top w:val="nil"/>
              <w:left w:val="nil"/>
              <w:bottom w:val="single" w:sz="8" w:space="0" w:color="auto"/>
              <w:right w:val="single" w:sz="8" w:space="0" w:color="auto"/>
            </w:tcBorders>
            <w:shd w:val="clear" w:color="auto" w:fill="auto"/>
            <w:noWrap/>
            <w:vAlign w:val="center"/>
            <w:hideMark/>
          </w:tcPr>
          <w:p w14:paraId="369ECEC3"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2,000</w:t>
            </w:r>
          </w:p>
        </w:tc>
        <w:tc>
          <w:tcPr>
            <w:tcW w:w="938" w:type="dxa"/>
            <w:tcBorders>
              <w:top w:val="nil"/>
              <w:left w:val="nil"/>
              <w:bottom w:val="single" w:sz="8" w:space="0" w:color="auto"/>
              <w:right w:val="single" w:sz="8" w:space="0" w:color="auto"/>
            </w:tcBorders>
            <w:shd w:val="clear" w:color="auto" w:fill="auto"/>
            <w:noWrap/>
            <w:vAlign w:val="center"/>
            <w:hideMark/>
          </w:tcPr>
          <w:p w14:paraId="056ED07B"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2,000</w:t>
            </w:r>
          </w:p>
        </w:tc>
        <w:tc>
          <w:tcPr>
            <w:tcW w:w="938" w:type="dxa"/>
            <w:tcBorders>
              <w:top w:val="nil"/>
              <w:left w:val="nil"/>
              <w:bottom w:val="single" w:sz="8" w:space="0" w:color="auto"/>
              <w:right w:val="single" w:sz="8" w:space="0" w:color="auto"/>
            </w:tcBorders>
            <w:shd w:val="clear" w:color="auto" w:fill="auto"/>
            <w:noWrap/>
            <w:vAlign w:val="center"/>
            <w:hideMark/>
          </w:tcPr>
          <w:p w14:paraId="0740B6A9"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2,000</w:t>
            </w:r>
          </w:p>
        </w:tc>
        <w:tc>
          <w:tcPr>
            <w:tcW w:w="938" w:type="dxa"/>
            <w:tcBorders>
              <w:top w:val="nil"/>
              <w:left w:val="nil"/>
              <w:bottom w:val="single" w:sz="8" w:space="0" w:color="auto"/>
              <w:right w:val="single" w:sz="8" w:space="0" w:color="auto"/>
            </w:tcBorders>
            <w:shd w:val="clear" w:color="auto" w:fill="auto"/>
            <w:vAlign w:val="center"/>
            <w:hideMark/>
          </w:tcPr>
          <w:p w14:paraId="58AC18CE"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2,000</w:t>
            </w:r>
          </w:p>
        </w:tc>
        <w:tc>
          <w:tcPr>
            <w:tcW w:w="1372" w:type="dxa"/>
            <w:tcBorders>
              <w:top w:val="nil"/>
              <w:left w:val="nil"/>
              <w:bottom w:val="single" w:sz="8" w:space="0" w:color="auto"/>
              <w:right w:val="single" w:sz="8" w:space="0" w:color="auto"/>
            </w:tcBorders>
            <w:shd w:val="clear" w:color="auto" w:fill="auto"/>
            <w:noWrap/>
            <w:vAlign w:val="center"/>
            <w:hideMark/>
          </w:tcPr>
          <w:p w14:paraId="5D408581"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12,000</w:t>
            </w:r>
          </w:p>
        </w:tc>
        <w:tc>
          <w:tcPr>
            <w:tcW w:w="690" w:type="dxa"/>
            <w:tcBorders>
              <w:top w:val="nil"/>
              <w:left w:val="nil"/>
              <w:bottom w:val="single" w:sz="8" w:space="0" w:color="auto"/>
              <w:right w:val="single" w:sz="8" w:space="0" w:color="auto"/>
            </w:tcBorders>
            <w:shd w:val="clear" w:color="auto" w:fill="auto"/>
            <w:vAlign w:val="center"/>
            <w:hideMark/>
          </w:tcPr>
          <w:p w14:paraId="0F4E8A92"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11</w:t>
            </w:r>
          </w:p>
        </w:tc>
      </w:tr>
      <w:tr w:rsidR="001F45CE" w:rsidRPr="00913CCF" w14:paraId="176AA18A" w14:textId="77777777" w:rsidTr="004205FD">
        <w:trPr>
          <w:trHeight w:val="135"/>
        </w:trPr>
        <w:tc>
          <w:tcPr>
            <w:tcW w:w="1354" w:type="dxa"/>
            <w:vMerge/>
            <w:tcBorders>
              <w:top w:val="nil"/>
              <w:left w:val="single" w:sz="8" w:space="0" w:color="auto"/>
              <w:bottom w:val="double" w:sz="6" w:space="0" w:color="000000"/>
              <w:right w:val="single" w:sz="8" w:space="0" w:color="auto"/>
            </w:tcBorders>
            <w:shd w:val="clear" w:color="auto" w:fill="auto"/>
            <w:vAlign w:val="center"/>
            <w:hideMark/>
          </w:tcPr>
          <w:p w14:paraId="0FECAF5A"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nil"/>
              <w:left w:val="single" w:sz="8" w:space="0" w:color="auto"/>
              <w:bottom w:val="double" w:sz="6" w:space="0" w:color="000000"/>
              <w:right w:val="single" w:sz="8" w:space="0" w:color="auto"/>
            </w:tcBorders>
            <w:shd w:val="clear" w:color="auto" w:fill="auto"/>
            <w:vAlign w:val="center"/>
            <w:hideMark/>
          </w:tcPr>
          <w:p w14:paraId="060FC785"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2665F928"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31144415"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single" w:sz="8" w:space="0" w:color="auto"/>
              <w:right w:val="single" w:sz="8" w:space="0" w:color="auto"/>
            </w:tcBorders>
            <w:shd w:val="clear" w:color="auto" w:fill="auto"/>
            <w:noWrap/>
            <w:vAlign w:val="center"/>
            <w:hideMark/>
          </w:tcPr>
          <w:p w14:paraId="71849738"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71400</w:t>
            </w:r>
          </w:p>
        </w:tc>
        <w:tc>
          <w:tcPr>
            <w:tcW w:w="1186" w:type="dxa"/>
            <w:tcBorders>
              <w:top w:val="nil"/>
              <w:left w:val="nil"/>
              <w:bottom w:val="single" w:sz="8" w:space="0" w:color="auto"/>
              <w:right w:val="single" w:sz="8" w:space="0" w:color="auto"/>
            </w:tcBorders>
            <w:shd w:val="clear" w:color="auto" w:fill="auto"/>
            <w:vAlign w:val="center"/>
            <w:hideMark/>
          </w:tcPr>
          <w:p w14:paraId="06AA2506" w14:textId="77777777" w:rsidR="001F45CE" w:rsidRPr="00913CCF" w:rsidRDefault="001F45CE" w:rsidP="001F45CE">
            <w:pPr>
              <w:spacing w:after="0"/>
              <w:jc w:val="left"/>
              <w:rPr>
                <w:rFonts w:eastAsia="Times New Roman" w:cs="Calibri"/>
                <w:color w:val="000000"/>
                <w:sz w:val="16"/>
                <w:szCs w:val="16"/>
              </w:rPr>
            </w:pPr>
            <w:r w:rsidRPr="00913CCF">
              <w:rPr>
                <w:rFonts w:eastAsia="Times New Roman" w:cs="Calibri"/>
                <w:color w:val="000000"/>
                <w:sz w:val="16"/>
                <w:szCs w:val="16"/>
              </w:rPr>
              <w:t>Contr. serv. Ind.</w:t>
            </w:r>
          </w:p>
        </w:tc>
        <w:tc>
          <w:tcPr>
            <w:tcW w:w="1155" w:type="dxa"/>
            <w:tcBorders>
              <w:top w:val="nil"/>
              <w:left w:val="nil"/>
              <w:bottom w:val="single" w:sz="8" w:space="0" w:color="auto"/>
              <w:right w:val="single" w:sz="8" w:space="0" w:color="auto"/>
            </w:tcBorders>
            <w:shd w:val="clear" w:color="auto" w:fill="auto"/>
            <w:noWrap/>
            <w:vAlign w:val="center"/>
            <w:hideMark/>
          </w:tcPr>
          <w:p w14:paraId="485B1D63"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1010" w:type="dxa"/>
            <w:tcBorders>
              <w:top w:val="nil"/>
              <w:left w:val="nil"/>
              <w:bottom w:val="single" w:sz="8" w:space="0" w:color="auto"/>
              <w:right w:val="single" w:sz="8" w:space="0" w:color="auto"/>
            </w:tcBorders>
            <w:shd w:val="clear" w:color="auto" w:fill="auto"/>
            <w:noWrap/>
            <w:vAlign w:val="center"/>
            <w:hideMark/>
          </w:tcPr>
          <w:p w14:paraId="6A83405F"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7,500</w:t>
            </w:r>
          </w:p>
        </w:tc>
        <w:tc>
          <w:tcPr>
            <w:tcW w:w="938" w:type="dxa"/>
            <w:tcBorders>
              <w:top w:val="nil"/>
              <w:left w:val="nil"/>
              <w:bottom w:val="single" w:sz="8" w:space="0" w:color="auto"/>
              <w:right w:val="single" w:sz="8" w:space="0" w:color="auto"/>
            </w:tcBorders>
            <w:shd w:val="clear" w:color="auto" w:fill="auto"/>
            <w:noWrap/>
            <w:vAlign w:val="center"/>
            <w:hideMark/>
          </w:tcPr>
          <w:p w14:paraId="48495B72"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7,500</w:t>
            </w:r>
          </w:p>
        </w:tc>
        <w:tc>
          <w:tcPr>
            <w:tcW w:w="938" w:type="dxa"/>
            <w:tcBorders>
              <w:top w:val="nil"/>
              <w:left w:val="nil"/>
              <w:bottom w:val="single" w:sz="8" w:space="0" w:color="auto"/>
              <w:right w:val="single" w:sz="8" w:space="0" w:color="auto"/>
            </w:tcBorders>
            <w:shd w:val="clear" w:color="auto" w:fill="auto"/>
            <w:noWrap/>
            <w:vAlign w:val="center"/>
            <w:hideMark/>
          </w:tcPr>
          <w:p w14:paraId="41460393"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7,500</w:t>
            </w:r>
          </w:p>
        </w:tc>
        <w:tc>
          <w:tcPr>
            <w:tcW w:w="938" w:type="dxa"/>
            <w:tcBorders>
              <w:top w:val="nil"/>
              <w:left w:val="nil"/>
              <w:bottom w:val="single" w:sz="8" w:space="0" w:color="auto"/>
              <w:right w:val="single" w:sz="8" w:space="0" w:color="auto"/>
            </w:tcBorders>
            <w:shd w:val="clear" w:color="auto" w:fill="auto"/>
            <w:noWrap/>
            <w:vAlign w:val="center"/>
            <w:hideMark/>
          </w:tcPr>
          <w:p w14:paraId="3603EC1B"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7,500</w:t>
            </w:r>
          </w:p>
        </w:tc>
        <w:tc>
          <w:tcPr>
            <w:tcW w:w="938" w:type="dxa"/>
            <w:tcBorders>
              <w:top w:val="nil"/>
              <w:left w:val="nil"/>
              <w:bottom w:val="single" w:sz="8" w:space="0" w:color="auto"/>
              <w:right w:val="single" w:sz="8" w:space="0" w:color="auto"/>
            </w:tcBorders>
            <w:shd w:val="clear" w:color="auto" w:fill="auto"/>
            <w:vAlign w:val="center"/>
            <w:hideMark/>
          </w:tcPr>
          <w:p w14:paraId="4F858925"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7,500</w:t>
            </w:r>
          </w:p>
        </w:tc>
        <w:tc>
          <w:tcPr>
            <w:tcW w:w="1372" w:type="dxa"/>
            <w:tcBorders>
              <w:top w:val="nil"/>
              <w:left w:val="nil"/>
              <w:bottom w:val="single" w:sz="8" w:space="0" w:color="auto"/>
              <w:right w:val="single" w:sz="8" w:space="0" w:color="auto"/>
            </w:tcBorders>
            <w:shd w:val="clear" w:color="auto" w:fill="auto"/>
            <w:noWrap/>
            <w:vAlign w:val="center"/>
            <w:hideMark/>
          </w:tcPr>
          <w:p w14:paraId="50EB3944"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37,500</w:t>
            </w:r>
          </w:p>
        </w:tc>
        <w:tc>
          <w:tcPr>
            <w:tcW w:w="690" w:type="dxa"/>
            <w:tcBorders>
              <w:top w:val="nil"/>
              <w:left w:val="nil"/>
              <w:bottom w:val="single" w:sz="8" w:space="0" w:color="auto"/>
              <w:right w:val="single" w:sz="8" w:space="0" w:color="auto"/>
            </w:tcBorders>
            <w:shd w:val="clear" w:color="auto" w:fill="auto"/>
            <w:vAlign w:val="center"/>
            <w:hideMark/>
          </w:tcPr>
          <w:p w14:paraId="6B00C3F6"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12</w:t>
            </w:r>
          </w:p>
        </w:tc>
      </w:tr>
      <w:tr w:rsidR="001F45CE" w:rsidRPr="00913CCF" w14:paraId="6884DC99" w14:textId="77777777" w:rsidTr="004205FD">
        <w:trPr>
          <w:trHeight w:val="162"/>
        </w:trPr>
        <w:tc>
          <w:tcPr>
            <w:tcW w:w="1354" w:type="dxa"/>
            <w:vMerge/>
            <w:tcBorders>
              <w:top w:val="nil"/>
              <w:left w:val="single" w:sz="8" w:space="0" w:color="auto"/>
              <w:bottom w:val="double" w:sz="6" w:space="0" w:color="000000"/>
              <w:right w:val="single" w:sz="8" w:space="0" w:color="auto"/>
            </w:tcBorders>
            <w:shd w:val="clear" w:color="auto" w:fill="auto"/>
            <w:vAlign w:val="center"/>
            <w:hideMark/>
          </w:tcPr>
          <w:p w14:paraId="70C3F7A2"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nil"/>
              <w:left w:val="single" w:sz="8" w:space="0" w:color="auto"/>
              <w:bottom w:val="double" w:sz="6" w:space="0" w:color="000000"/>
              <w:right w:val="single" w:sz="8" w:space="0" w:color="auto"/>
            </w:tcBorders>
            <w:shd w:val="clear" w:color="auto" w:fill="auto"/>
            <w:vAlign w:val="center"/>
            <w:hideMark/>
          </w:tcPr>
          <w:p w14:paraId="28FFED27"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7D39A8D6"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280F185F"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double" w:sz="6" w:space="0" w:color="auto"/>
              <w:right w:val="single" w:sz="8" w:space="0" w:color="auto"/>
            </w:tcBorders>
            <w:shd w:val="clear" w:color="auto" w:fill="auto"/>
            <w:noWrap/>
            <w:vAlign w:val="center"/>
            <w:hideMark/>
          </w:tcPr>
          <w:p w14:paraId="6626CD73"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72200</w:t>
            </w:r>
          </w:p>
        </w:tc>
        <w:tc>
          <w:tcPr>
            <w:tcW w:w="1186" w:type="dxa"/>
            <w:tcBorders>
              <w:top w:val="nil"/>
              <w:left w:val="nil"/>
              <w:bottom w:val="double" w:sz="6" w:space="0" w:color="auto"/>
              <w:right w:val="single" w:sz="8" w:space="0" w:color="auto"/>
            </w:tcBorders>
            <w:shd w:val="clear" w:color="auto" w:fill="auto"/>
            <w:vAlign w:val="center"/>
            <w:hideMark/>
          </w:tcPr>
          <w:p w14:paraId="79A4A5EA" w14:textId="77777777" w:rsidR="001F45CE" w:rsidRPr="00913CCF" w:rsidRDefault="001F45CE" w:rsidP="001F45CE">
            <w:pPr>
              <w:spacing w:after="0"/>
              <w:jc w:val="left"/>
              <w:rPr>
                <w:rFonts w:eastAsia="Times New Roman" w:cs="Calibri"/>
                <w:color w:val="000000"/>
                <w:sz w:val="16"/>
                <w:szCs w:val="16"/>
              </w:rPr>
            </w:pPr>
            <w:r w:rsidRPr="00913CCF">
              <w:rPr>
                <w:rFonts w:eastAsia="Times New Roman" w:cs="Calibri"/>
                <w:color w:val="000000"/>
                <w:sz w:val="16"/>
                <w:szCs w:val="16"/>
              </w:rPr>
              <w:t>Equip. Furniture</w:t>
            </w:r>
          </w:p>
        </w:tc>
        <w:tc>
          <w:tcPr>
            <w:tcW w:w="1155" w:type="dxa"/>
            <w:tcBorders>
              <w:top w:val="nil"/>
              <w:left w:val="nil"/>
              <w:bottom w:val="double" w:sz="6" w:space="0" w:color="auto"/>
              <w:right w:val="single" w:sz="8" w:space="0" w:color="auto"/>
            </w:tcBorders>
            <w:shd w:val="clear" w:color="auto" w:fill="auto"/>
            <w:noWrap/>
            <w:vAlign w:val="center"/>
            <w:hideMark/>
          </w:tcPr>
          <w:p w14:paraId="3C7E0CDA" w14:textId="79091F4B" w:rsidR="001F45CE" w:rsidRPr="00EF6D8E" w:rsidRDefault="001F45CE" w:rsidP="001F45CE">
            <w:pPr>
              <w:spacing w:after="0"/>
              <w:jc w:val="center"/>
              <w:rPr>
                <w:rFonts w:eastAsia="Times New Roman" w:cs="Calibri"/>
                <w:color w:val="000000"/>
                <w:sz w:val="16"/>
                <w:szCs w:val="16"/>
              </w:rPr>
            </w:pPr>
            <w:r w:rsidRPr="00EF6D8E">
              <w:rPr>
                <w:rFonts w:eastAsia="Times New Roman" w:cs="Calibri"/>
                <w:color w:val="000000"/>
                <w:sz w:val="16"/>
                <w:szCs w:val="16"/>
              </w:rPr>
              <w:t>16,000</w:t>
            </w:r>
          </w:p>
        </w:tc>
        <w:tc>
          <w:tcPr>
            <w:tcW w:w="1010" w:type="dxa"/>
            <w:tcBorders>
              <w:top w:val="nil"/>
              <w:left w:val="nil"/>
              <w:bottom w:val="double" w:sz="6" w:space="0" w:color="auto"/>
              <w:right w:val="single" w:sz="8" w:space="0" w:color="auto"/>
            </w:tcBorders>
            <w:shd w:val="clear" w:color="auto" w:fill="auto"/>
            <w:noWrap/>
            <w:vAlign w:val="center"/>
            <w:hideMark/>
          </w:tcPr>
          <w:p w14:paraId="4ABFD100" w14:textId="6E028458" w:rsidR="001F45CE" w:rsidRPr="00EF6D8E" w:rsidRDefault="001F45CE" w:rsidP="001F45CE">
            <w:pPr>
              <w:spacing w:after="0"/>
              <w:jc w:val="center"/>
              <w:rPr>
                <w:rFonts w:eastAsia="Times New Roman" w:cs="Calibri"/>
                <w:color w:val="000000"/>
                <w:sz w:val="16"/>
                <w:szCs w:val="16"/>
              </w:rPr>
            </w:pPr>
            <w:r w:rsidRPr="00EF6D8E">
              <w:rPr>
                <w:rFonts w:eastAsia="Times New Roman" w:cs="Calibri"/>
                <w:color w:val="000000"/>
                <w:sz w:val="16"/>
                <w:szCs w:val="16"/>
              </w:rPr>
              <w:t>2,000</w:t>
            </w:r>
          </w:p>
        </w:tc>
        <w:tc>
          <w:tcPr>
            <w:tcW w:w="938" w:type="dxa"/>
            <w:tcBorders>
              <w:top w:val="nil"/>
              <w:left w:val="nil"/>
              <w:bottom w:val="double" w:sz="6" w:space="0" w:color="auto"/>
              <w:right w:val="single" w:sz="8" w:space="0" w:color="auto"/>
            </w:tcBorders>
            <w:shd w:val="clear" w:color="auto" w:fill="auto"/>
            <w:noWrap/>
            <w:vAlign w:val="center"/>
            <w:hideMark/>
          </w:tcPr>
          <w:p w14:paraId="3BC1C39E" w14:textId="719C06CC" w:rsidR="001F45CE" w:rsidRPr="00EF6D8E" w:rsidRDefault="001F45CE" w:rsidP="001F45CE">
            <w:pPr>
              <w:spacing w:after="0"/>
              <w:jc w:val="center"/>
              <w:rPr>
                <w:rFonts w:eastAsia="Times New Roman" w:cs="Calibri"/>
                <w:color w:val="000000"/>
                <w:sz w:val="16"/>
                <w:szCs w:val="16"/>
              </w:rPr>
            </w:pPr>
            <w:r w:rsidRPr="00EF6D8E">
              <w:rPr>
                <w:rFonts w:eastAsia="Times New Roman" w:cs="Calibri"/>
                <w:color w:val="000000"/>
                <w:sz w:val="16"/>
                <w:szCs w:val="16"/>
              </w:rPr>
              <w:t>0</w:t>
            </w:r>
          </w:p>
        </w:tc>
        <w:tc>
          <w:tcPr>
            <w:tcW w:w="938" w:type="dxa"/>
            <w:tcBorders>
              <w:top w:val="nil"/>
              <w:left w:val="nil"/>
              <w:bottom w:val="double" w:sz="6" w:space="0" w:color="auto"/>
              <w:right w:val="single" w:sz="8" w:space="0" w:color="auto"/>
            </w:tcBorders>
            <w:shd w:val="clear" w:color="auto" w:fill="auto"/>
            <w:noWrap/>
            <w:vAlign w:val="center"/>
            <w:hideMark/>
          </w:tcPr>
          <w:p w14:paraId="137A5D57" w14:textId="09BDB06E" w:rsidR="001F45CE" w:rsidRPr="00EF6D8E" w:rsidRDefault="001F45CE" w:rsidP="001F45CE">
            <w:pPr>
              <w:spacing w:after="0"/>
              <w:jc w:val="center"/>
              <w:rPr>
                <w:rFonts w:eastAsia="Times New Roman" w:cs="Calibri"/>
                <w:color w:val="000000"/>
                <w:sz w:val="16"/>
                <w:szCs w:val="16"/>
              </w:rPr>
            </w:pPr>
            <w:r w:rsidRPr="00EF6D8E">
              <w:rPr>
                <w:rFonts w:eastAsia="Times New Roman" w:cs="Calibri"/>
                <w:color w:val="000000"/>
                <w:sz w:val="16"/>
                <w:szCs w:val="16"/>
              </w:rPr>
              <w:t>0</w:t>
            </w:r>
          </w:p>
        </w:tc>
        <w:tc>
          <w:tcPr>
            <w:tcW w:w="938" w:type="dxa"/>
            <w:tcBorders>
              <w:top w:val="nil"/>
              <w:left w:val="nil"/>
              <w:bottom w:val="double" w:sz="6" w:space="0" w:color="auto"/>
              <w:right w:val="single" w:sz="8" w:space="0" w:color="auto"/>
            </w:tcBorders>
            <w:shd w:val="clear" w:color="auto" w:fill="auto"/>
            <w:noWrap/>
            <w:vAlign w:val="center"/>
            <w:hideMark/>
          </w:tcPr>
          <w:p w14:paraId="585B9D62" w14:textId="4D262A3A" w:rsidR="001F45CE" w:rsidRPr="00EF6D8E" w:rsidRDefault="001F45CE" w:rsidP="001F45CE">
            <w:pPr>
              <w:spacing w:after="0"/>
              <w:jc w:val="center"/>
              <w:rPr>
                <w:rFonts w:eastAsia="Times New Roman" w:cs="Calibri"/>
                <w:color w:val="000000"/>
                <w:sz w:val="16"/>
                <w:szCs w:val="16"/>
              </w:rPr>
            </w:pPr>
            <w:r w:rsidRPr="00EF6D8E">
              <w:rPr>
                <w:rFonts w:eastAsia="Times New Roman" w:cs="Calibri"/>
                <w:color w:val="000000"/>
                <w:sz w:val="16"/>
                <w:szCs w:val="16"/>
              </w:rPr>
              <w:t>0</w:t>
            </w:r>
          </w:p>
        </w:tc>
        <w:tc>
          <w:tcPr>
            <w:tcW w:w="938" w:type="dxa"/>
            <w:tcBorders>
              <w:top w:val="nil"/>
              <w:left w:val="nil"/>
              <w:bottom w:val="double" w:sz="6" w:space="0" w:color="auto"/>
              <w:right w:val="single" w:sz="8" w:space="0" w:color="auto"/>
            </w:tcBorders>
            <w:shd w:val="clear" w:color="auto" w:fill="auto"/>
            <w:vAlign w:val="center"/>
            <w:hideMark/>
          </w:tcPr>
          <w:p w14:paraId="4DB19D14" w14:textId="4C2ECABC" w:rsidR="001F45CE" w:rsidRPr="00EF6D8E" w:rsidRDefault="001F45CE" w:rsidP="001F45CE">
            <w:pPr>
              <w:spacing w:after="0"/>
              <w:jc w:val="center"/>
              <w:rPr>
                <w:rFonts w:eastAsia="Times New Roman" w:cs="Calibri"/>
                <w:color w:val="000000"/>
                <w:sz w:val="16"/>
                <w:szCs w:val="16"/>
              </w:rPr>
            </w:pPr>
            <w:r w:rsidRPr="00EF6D8E">
              <w:rPr>
                <w:rFonts w:eastAsia="Times New Roman" w:cs="Calibri"/>
                <w:color w:val="000000"/>
                <w:sz w:val="16"/>
                <w:szCs w:val="16"/>
              </w:rPr>
              <w:t>0</w:t>
            </w:r>
          </w:p>
        </w:tc>
        <w:tc>
          <w:tcPr>
            <w:tcW w:w="1372" w:type="dxa"/>
            <w:tcBorders>
              <w:top w:val="nil"/>
              <w:left w:val="nil"/>
              <w:bottom w:val="double" w:sz="6" w:space="0" w:color="auto"/>
              <w:right w:val="single" w:sz="8" w:space="0" w:color="auto"/>
            </w:tcBorders>
            <w:shd w:val="clear" w:color="auto" w:fill="auto"/>
            <w:noWrap/>
            <w:vAlign w:val="center"/>
            <w:hideMark/>
          </w:tcPr>
          <w:p w14:paraId="31E3F85C"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18,000</w:t>
            </w:r>
          </w:p>
        </w:tc>
        <w:tc>
          <w:tcPr>
            <w:tcW w:w="690" w:type="dxa"/>
            <w:tcBorders>
              <w:top w:val="nil"/>
              <w:left w:val="nil"/>
              <w:bottom w:val="single" w:sz="8" w:space="0" w:color="auto"/>
              <w:right w:val="single" w:sz="8" w:space="0" w:color="auto"/>
            </w:tcBorders>
            <w:shd w:val="clear" w:color="auto" w:fill="auto"/>
            <w:vAlign w:val="center"/>
            <w:hideMark/>
          </w:tcPr>
          <w:p w14:paraId="11BBB113"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13</w:t>
            </w:r>
          </w:p>
        </w:tc>
      </w:tr>
      <w:tr w:rsidR="001F45CE" w:rsidRPr="00913CCF" w14:paraId="450B0084" w14:textId="77777777" w:rsidTr="004205FD">
        <w:trPr>
          <w:trHeight w:val="300"/>
        </w:trPr>
        <w:tc>
          <w:tcPr>
            <w:tcW w:w="1354" w:type="dxa"/>
            <w:vMerge/>
            <w:tcBorders>
              <w:top w:val="nil"/>
              <w:left w:val="single" w:sz="8" w:space="0" w:color="auto"/>
              <w:bottom w:val="double" w:sz="6" w:space="0" w:color="000000"/>
              <w:right w:val="single" w:sz="8" w:space="0" w:color="auto"/>
            </w:tcBorders>
            <w:shd w:val="clear" w:color="auto" w:fill="auto"/>
            <w:vAlign w:val="center"/>
            <w:hideMark/>
          </w:tcPr>
          <w:p w14:paraId="4C0FCA59"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nil"/>
              <w:left w:val="single" w:sz="8" w:space="0" w:color="auto"/>
              <w:bottom w:val="double" w:sz="6" w:space="0" w:color="000000"/>
              <w:right w:val="single" w:sz="8" w:space="0" w:color="auto"/>
            </w:tcBorders>
            <w:shd w:val="clear" w:color="auto" w:fill="auto"/>
            <w:vAlign w:val="center"/>
            <w:hideMark/>
          </w:tcPr>
          <w:p w14:paraId="14D2A056"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6F5DBB36"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79E3FAC1"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double" w:sz="6" w:space="0" w:color="auto"/>
              <w:right w:val="single" w:sz="8" w:space="0" w:color="auto"/>
            </w:tcBorders>
            <w:shd w:val="clear" w:color="auto" w:fill="auto"/>
            <w:noWrap/>
            <w:vAlign w:val="center"/>
            <w:hideMark/>
          </w:tcPr>
          <w:p w14:paraId="3A17ACEF"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 </w:t>
            </w:r>
          </w:p>
        </w:tc>
        <w:tc>
          <w:tcPr>
            <w:tcW w:w="1186" w:type="dxa"/>
            <w:tcBorders>
              <w:top w:val="nil"/>
              <w:left w:val="nil"/>
              <w:bottom w:val="double" w:sz="6" w:space="0" w:color="auto"/>
              <w:right w:val="single" w:sz="8" w:space="0" w:color="auto"/>
            </w:tcBorders>
            <w:shd w:val="clear" w:color="auto" w:fill="auto"/>
            <w:vAlign w:val="center"/>
            <w:hideMark/>
          </w:tcPr>
          <w:p w14:paraId="3952192D" w14:textId="77777777" w:rsidR="001F45CE" w:rsidRPr="00913CCF" w:rsidRDefault="001F45CE" w:rsidP="001F45CE">
            <w:pPr>
              <w:spacing w:after="0"/>
              <w:jc w:val="left"/>
              <w:rPr>
                <w:rFonts w:eastAsia="Times New Roman" w:cs="Calibri"/>
                <w:b/>
                <w:bCs/>
                <w:color w:val="000000"/>
                <w:sz w:val="15"/>
                <w:szCs w:val="15"/>
              </w:rPr>
            </w:pPr>
            <w:r w:rsidRPr="00913CCF">
              <w:rPr>
                <w:rFonts w:eastAsia="Times New Roman" w:cs="Calibri"/>
                <w:b/>
                <w:bCs/>
                <w:color w:val="000000"/>
                <w:sz w:val="15"/>
                <w:szCs w:val="15"/>
              </w:rPr>
              <w:t>Sub-total Outcome 1</w:t>
            </w:r>
          </w:p>
        </w:tc>
        <w:tc>
          <w:tcPr>
            <w:tcW w:w="1155" w:type="dxa"/>
            <w:tcBorders>
              <w:top w:val="nil"/>
              <w:left w:val="nil"/>
              <w:bottom w:val="double" w:sz="6" w:space="0" w:color="auto"/>
              <w:right w:val="single" w:sz="8" w:space="0" w:color="auto"/>
            </w:tcBorders>
            <w:shd w:val="clear" w:color="auto" w:fill="auto"/>
            <w:noWrap/>
            <w:vAlign w:val="center"/>
            <w:hideMark/>
          </w:tcPr>
          <w:p w14:paraId="1D9CB0B6" w14:textId="3A247C11" w:rsidR="001F45CE" w:rsidRPr="00EF6D8E"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18,000</w:t>
            </w:r>
          </w:p>
        </w:tc>
        <w:tc>
          <w:tcPr>
            <w:tcW w:w="1010" w:type="dxa"/>
            <w:tcBorders>
              <w:top w:val="nil"/>
              <w:left w:val="nil"/>
              <w:bottom w:val="double" w:sz="6" w:space="0" w:color="auto"/>
              <w:right w:val="single" w:sz="8" w:space="0" w:color="auto"/>
            </w:tcBorders>
            <w:shd w:val="clear" w:color="auto" w:fill="auto"/>
            <w:noWrap/>
            <w:vAlign w:val="center"/>
            <w:hideMark/>
          </w:tcPr>
          <w:p w14:paraId="1F33F609" w14:textId="24B875FD" w:rsidR="001F45CE" w:rsidRPr="00EF6D8E"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11,500</w:t>
            </w:r>
          </w:p>
        </w:tc>
        <w:tc>
          <w:tcPr>
            <w:tcW w:w="938" w:type="dxa"/>
            <w:tcBorders>
              <w:top w:val="nil"/>
              <w:left w:val="nil"/>
              <w:bottom w:val="double" w:sz="6" w:space="0" w:color="auto"/>
              <w:right w:val="single" w:sz="8" w:space="0" w:color="auto"/>
            </w:tcBorders>
            <w:shd w:val="clear" w:color="auto" w:fill="auto"/>
            <w:noWrap/>
            <w:vAlign w:val="center"/>
            <w:hideMark/>
          </w:tcPr>
          <w:p w14:paraId="2772686D" w14:textId="53932E45" w:rsidR="001F45CE" w:rsidRPr="00EF6D8E"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9,500</w:t>
            </w:r>
          </w:p>
        </w:tc>
        <w:tc>
          <w:tcPr>
            <w:tcW w:w="938" w:type="dxa"/>
            <w:tcBorders>
              <w:top w:val="nil"/>
              <w:left w:val="nil"/>
              <w:bottom w:val="double" w:sz="6" w:space="0" w:color="auto"/>
              <w:right w:val="single" w:sz="8" w:space="0" w:color="auto"/>
            </w:tcBorders>
            <w:shd w:val="clear" w:color="auto" w:fill="auto"/>
            <w:noWrap/>
            <w:vAlign w:val="center"/>
            <w:hideMark/>
          </w:tcPr>
          <w:p w14:paraId="6B1CD711" w14:textId="5062F238" w:rsidR="001F45CE" w:rsidRPr="00EF6D8E"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9,500</w:t>
            </w:r>
          </w:p>
        </w:tc>
        <w:tc>
          <w:tcPr>
            <w:tcW w:w="938" w:type="dxa"/>
            <w:tcBorders>
              <w:top w:val="nil"/>
              <w:left w:val="nil"/>
              <w:bottom w:val="double" w:sz="6" w:space="0" w:color="auto"/>
              <w:right w:val="single" w:sz="8" w:space="0" w:color="auto"/>
            </w:tcBorders>
            <w:shd w:val="clear" w:color="auto" w:fill="auto"/>
            <w:noWrap/>
            <w:vAlign w:val="center"/>
            <w:hideMark/>
          </w:tcPr>
          <w:p w14:paraId="4C738D3A" w14:textId="7EF3306C" w:rsidR="001F45CE" w:rsidRPr="00EF6D8E"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9,500</w:t>
            </w:r>
          </w:p>
        </w:tc>
        <w:tc>
          <w:tcPr>
            <w:tcW w:w="938" w:type="dxa"/>
            <w:tcBorders>
              <w:top w:val="nil"/>
              <w:left w:val="nil"/>
              <w:bottom w:val="double" w:sz="6" w:space="0" w:color="auto"/>
              <w:right w:val="single" w:sz="8" w:space="0" w:color="auto"/>
            </w:tcBorders>
            <w:shd w:val="clear" w:color="auto" w:fill="auto"/>
            <w:vAlign w:val="center"/>
            <w:hideMark/>
          </w:tcPr>
          <w:p w14:paraId="07FDD333" w14:textId="52959685" w:rsidR="001F45CE" w:rsidRPr="00EF6D8E"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9,500</w:t>
            </w:r>
          </w:p>
        </w:tc>
        <w:tc>
          <w:tcPr>
            <w:tcW w:w="1372" w:type="dxa"/>
            <w:tcBorders>
              <w:top w:val="nil"/>
              <w:left w:val="nil"/>
              <w:bottom w:val="double" w:sz="6" w:space="0" w:color="auto"/>
              <w:right w:val="single" w:sz="8" w:space="0" w:color="auto"/>
            </w:tcBorders>
            <w:shd w:val="clear" w:color="auto" w:fill="auto"/>
            <w:noWrap/>
            <w:vAlign w:val="center"/>
            <w:hideMark/>
          </w:tcPr>
          <w:p w14:paraId="2F9BF8EF"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67,500</w:t>
            </w:r>
          </w:p>
        </w:tc>
        <w:tc>
          <w:tcPr>
            <w:tcW w:w="690" w:type="dxa"/>
            <w:tcBorders>
              <w:top w:val="nil"/>
              <w:left w:val="nil"/>
              <w:bottom w:val="double" w:sz="6" w:space="0" w:color="auto"/>
              <w:right w:val="single" w:sz="8" w:space="0" w:color="auto"/>
            </w:tcBorders>
            <w:shd w:val="clear" w:color="auto" w:fill="auto"/>
            <w:vAlign w:val="center"/>
            <w:hideMark/>
          </w:tcPr>
          <w:p w14:paraId="0DA9C584" w14:textId="77777777" w:rsidR="001F45CE" w:rsidRPr="00913CCF" w:rsidRDefault="001F45CE" w:rsidP="001F45CE">
            <w:pPr>
              <w:spacing w:after="0"/>
              <w:jc w:val="center"/>
              <w:rPr>
                <w:rFonts w:eastAsia="Times New Roman" w:cs="Calibri"/>
                <w:color w:val="000000"/>
                <w:sz w:val="14"/>
                <w:szCs w:val="14"/>
              </w:rPr>
            </w:pPr>
            <w:r w:rsidRPr="00913CCF">
              <w:rPr>
                <w:rFonts w:eastAsia="Times New Roman" w:cs="Calibri"/>
                <w:color w:val="000000"/>
                <w:sz w:val="14"/>
                <w:szCs w:val="14"/>
              </w:rPr>
              <w:t> </w:t>
            </w:r>
          </w:p>
        </w:tc>
      </w:tr>
      <w:tr w:rsidR="001F45CE" w:rsidRPr="00913CCF" w14:paraId="7CCF44ED" w14:textId="77777777" w:rsidTr="004205FD">
        <w:trPr>
          <w:trHeight w:val="300"/>
        </w:trPr>
        <w:tc>
          <w:tcPr>
            <w:tcW w:w="1354" w:type="dxa"/>
            <w:vMerge/>
            <w:tcBorders>
              <w:top w:val="nil"/>
              <w:left w:val="single" w:sz="8" w:space="0" w:color="auto"/>
              <w:bottom w:val="double" w:sz="6" w:space="0" w:color="000000"/>
              <w:right w:val="single" w:sz="8" w:space="0" w:color="auto"/>
            </w:tcBorders>
            <w:shd w:val="clear" w:color="auto" w:fill="auto"/>
            <w:vAlign w:val="center"/>
            <w:hideMark/>
          </w:tcPr>
          <w:p w14:paraId="521F9E32" w14:textId="77777777" w:rsidR="001F45CE" w:rsidRPr="00913CCF" w:rsidRDefault="001F45CE" w:rsidP="001F45CE">
            <w:pPr>
              <w:spacing w:after="0"/>
              <w:jc w:val="left"/>
              <w:rPr>
                <w:rFonts w:eastAsia="Times New Roman" w:cs="Calibri"/>
                <w:b/>
                <w:bCs/>
                <w:color w:val="000000"/>
                <w:sz w:val="16"/>
                <w:szCs w:val="16"/>
              </w:rPr>
            </w:pPr>
          </w:p>
        </w:tc>
        <w:tc>
          <w:tcPr>
            <w:tcW w:w="1266" w:type="dxa"/>
            <w:tcBorders>
              <w:top w:val="nil"/>
              <w:left w:val="nil"/>
              <w:bottom w:val="double" w:sz="6" w:space="0" w:color="000000"/>
              <w:right w:val="single" w:sz="8" w:space="0" w:color="auto"/>
            </w:tcBorders>
            <w:shd w:val="clear" w:color="auto" w:fill="auto"/>
            <w:vAlign w:val="center"/>
            <w:hideMark/>
          </w:tcPr>
          <w:p w14:paraId="2204C0A1" w14:textId="77777777" w:rsidR="001F45CE" w:rsidRPr="00913CCF" w:rsidRDefault="001F45CE" w:rsidP="001F45CE">
            <w:pPr>
              <w:spacing w:after="0"/>
              <w:jc w:val="left"/>
              <w:rPr>
                <w:rFonts w:eastAsia="Times New Roman" w:cs="Calibri"/>
                <w:b/>
                <w:bCs/>
                <w:color w:val="000000"/>
                <w:sz w:val="16"/>
                <w:szCs w:val="16"/>
              </w:rPr>
            </w:pPr>
            <w:r w:rsidRPr="00913CCF">
              <w:rPr>
                <w:rFonts w:eastAsia="Times New Roman" w:cs="Calibri"/>
                <w:b/>
                <w:bCs/>
                <w:color w:val="000000"/>
                <w:sz w:val="16"/>
                <w:szCs w:val="16"/>
              </w:rPr>
              <w:t> </w:t>
            </w:r>
          </w:p>
        </w:tc>
        <w:tc>
          <w:tcPr>
            <w:tcW w:w="622" w:type="dxa"/>
            <w:tcBorders>
              <w:top w:val="nil"/>
              <w:left w:val="nil"/>
              <w:bottom w:val="double" w:sz="6" w:space="0" w:color="auto"/>
              <w:right w:val="single" w:sz="8" w:space="0" w:color="auto"/>
            </w:tcBorders>
            <w:shd w:val="clear" w:color="auto" w:fill="auto"/>
            <w:vAlign w:val="center"/>
            <w:hideMark/>
          </w:tcPr>
          <w:p w14:paraId="2B5E9983"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 </w:t>
            </w:r>
          </w:p>
        </w:tc>
        <w:tc>
          <w:tcPr>
            <w:tcW w:w="632" w:type="dxa"/>
            <w:tcBorders>
              <w:top w:val="nil"/>
              <w:left w:val="nil"/>
              <w:bottom w:val="double" w:sz="6" w:space="0" w:color="auto"/>
              <w:right w:val="single" w:sz="8" w:space="0" w:color="auto"/>
            </w:tcBorders>
            <w:shd w:val="clear" w:color="auto" w:fill="auto"/>
            <w:vAlign w:val="center"/>
            <w:hideMark/>
          </w:tcPr>
          <w:p w14:paraId="6733F2D5"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 </w:t>
            </w:r>
          </w:p>
        </w:tc>
        <w:tc>
          <w:tcPr>
            <w:tcW w:w="901" w:type="dxa"/>
            <w:tcBorders>
              <w:top w:val="nil"/>
              <w:left w:val="nil"/>
              <w:bottom w:val="double" w:sz="6" w:space="0" w:color="auto"/>
              <w:right w:val="single" w:sz="8" w:space="0" w:color="auto"/>
            </w:tcBorders>
            <w:shd w:val="clear" w:color="auto" w:fill="auto"/>
            <w:noWrap/>
            <w:vAlign w:val="center"/>
            <w:hideMark/>
          </w:tcPr>
          <w:p w14:paraId="4EF7B0B7"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 </w:t>
            </w:r>
          </w:p>
        </w:tc>
        <w:tc>
          <w:tcPr>
            <w:tcW w:w="1186" w:type="dxa"/>
            <w:tcBorders>
              <w:top w:val="nil"/>
              <w:left w:val="nil"/>
              <w:bottom w:val="double" w:sz="6" w:space="0" w:color="auto"/>
              <w:right w:val="single" w:sz="8" w:space="0" w:color="auto"/>
            </w:tcBorders>
            <w:shd w:val="clear" w:color="auto" w:fill="auto"/>
            <w:vAlign w:val="center"/>
            <w:hideMark/>
          </w:tcPr>
          <w:p w14:paraId="0F43466F" w14:textId="77777777" w:rsidR="001F45CE" w:rsidRPr="00913CCF" w:rsidRDefault="001F45CE" w:rsidP="001F45CE">
            <w:pPr>
              <w:spacing w:after="0"/>
              <w:jc w:val="left"/>
              <w:rPr>
                <w:rFonts w:eastAsia="Times New Roman" w:cs="Calibri"/>
                <w:b/>
                <w:bCs/>
                <w:color w:val="000000"/>
                <w:sz w:val="16"/>
                <w:szCs w:val="16"/>
              </w:rPr>
            </w:pPr>
            <w:r w:rsidRPr="00913CCF">
              <w:rPr>
                <w:rFonts w:eastAsia="Times New Roman" w:cs="Calibri"/>
                <w:b/>
                <w:bCs/>
                <w:color w:val="000000"/>
                <w:sz w:val="16"/>
                <w:szCs w:val="16"/>
              </w:rPr>
              <w:t>Total Outcome 1</w:t>
            </w:r>
          </w:p>
        </w:tc>
        <w:tc>
          <w:tcPr>
            <w:tcW w:w="1155" w:type="dxa"/>
            <w:tcBorders>
              <w:top w:val="nil"/>
              <w:left w:val="nil"/>
              <w:bottom w:val="double" w:sz="6" w:space="0" w:color="auto"/>
              <w:right w:val="single" w:sz="8" w:space="0" w:color="auto"/>
            </w:tcBorders>
            <w:shd w:val="clear" w:color="auto" w:fill="auto"/>
            <w:noWrap/>
            <w:vAlign w:val="center"/>
            <w:hideMark/>
          </w:tcPr>
          <w:p w14:paraId="22F1BDA8"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119,775</w:t>
            </w:r>
          </w:p>
        </w:tc>
        <w:tc>
          <w:tcPr>
            <w:tcW w:w="1010" w:type="dxa"/>
            <w:tcBorders>
              <w:top w:val="nil"/>
              <w:left w:val="nil"/>
              <w:bottom w:val="double" w:sz="6" w:space="0" w:color="auto"/>
              <w:right w:val="single" w:sz="8" w:space="0" w:color="auto"/>
            </w:tcBorders>
            <w:shd w:val="clear" w:color="auto" w:fill="auto"/>
            <w:noWrap/>
            <w:vAlign w:val="center"/>
            <w:hideMark/>
          </w:tcPr>
          <w:p w14:paraId="2F05ABC0" w14:textId="4FBC4CC0" w:rsidR="001F45CE" w:rsidRPr="00EF6D8E"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250,750</w:t>
            </w:r>
          </w:p>
        </w:tc>
        <w:tc>
          <w:tcPr>
            <w:tcW w:w="938" w:type="dxa"/>
            <w:tcBorders>
              <w:top w:val="nil"/>
              <w:left w:val="nil"/>
              <w:bottom w:val="double" w:sz="6" w:space="0" w:color="auto"/>
              <w:right w:val="single" w:sz="8" w:space="0" w:color="auto"/>
            </w:tcBorders>
            <w:shd w:val="clear" w:color="auto" w:fill="auto"/>
            <w:noWrap/>
            <w:vAlign w:val="center"/>
            <w:hideMark/>
          </w:tcPr>
          <w:p w14:paraId="079AB6CD" w14:textId="05D932D4" w:rsidR="001F45CE" w:rsidRPr="00EF6D8E"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75,500</w:t>
            </w:r>
          </w:p>
        </w:tc>
        <w:tc>
          <w:tcPr>
            <w:tcW w:w="938" w:type="dxa"/>
            <w:tcBorders>
              <w:top w:val="nil"/>
              <w:left w:val="nil"/>
              <w:bottom w:val="double" w:sz="6" w:space="0" w:color="auto"/>
              <w:right w:val="single" w:sz="8" w:space="0" w:color="auto"/>
            </w:tcBorders>
            <w:shd w:val="clear" w:color="auto" w:fill="auto"/>
            <w:noWrap/>
            <w:vAlign w:val="center"/>
            <w:hideMark/>
          </w:tcPr>
          <w:p w14:paraId="556385FA" w14:textId="787F90A8" w:rsidR="001F45CE" w:rsidRPr="00EF6D8E"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49,400</w:t>
            </w:r>
          </w:p>
        </w:tc>
        <w:tc>
          <w:tcPr>
            <w:tcW w:w="938" w:type="dxa"/>
            <w:tcBorders>
              <w:top w:val="nil"/>
              <w:left w:val="nil"/>
              <w:bottom w:val="double" w:sz="6" w:space="0" w:color="auto"/>
              <w:right w:val="single" w:sz="8" w:space="0" w:color="auto"/>
            </w:tcBorders>
            <w:shd w:val="clear" w:color="auto" w:fill="auto"/>
            <w:noWrap/>
            <w:vAlign w:val="center"/>
            <w:hideMark/>
          </w:tcPr>
          <w:p w14:paraId="6617A7CD" w14:textId="50DD6C39" w:rsidR="001F45CE" w:rsidRPr="00EF6D8E"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37,600</w:t>
            </w:r>
          </w:p>
        </w:tc>
        <w:tc>
          <w:tcPr>
            <w:tcW w:w="938" w:type="dxa"/>
            <w:tcBorders>
              <w:top w:val="nil"/>
              <w:left w:val="nil"/>
              <w:bottom w:val="double" w:sz="6" w:space="0" w:color="auto"/>
              <w:right w:val="single" w:sz="8" w:space="0" w:color="auto"/>
            </w:tcBorders>
            <w:shd w:val="clear" w:color="auto" w:fill="auto"/>
            <w:noWrap/>
            <w:vAlign w:val="center"/>
            <w:hideMark/>
          </w:tcPr>
          <w:p w14:paraId="348D5776" w14:textId="598DB5D3" w:rsidR="001F45CE" w:rsidRPr="00EF6D8E"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56,200</w:t>
            </w:r>
          </w:p>
        </w:tc>
        <w:tc>
          <w:tcPr>
            <w:tcW w:w="1372" w:type="dxa"/>
            <w:tcBorders>
              <w:top w:val="nil"/>
              <w:left w:val="nil"/>
              <w:bottom w:val="double" w:sz="6" w:space="0" w:color="auto"/>
              <w:right w:val="single" w:sz="8" w:space="0" w:color="auto"/>
            </w:tcBorders>
            <w:shd w:val="clear" w:color="auto" w:fill="auto"/>
            <w:noWrap/>
            <w:vAlign w:val="center"/>
            <w:hideMark/>
          </w:tcPr>
          <w:p w14:paraId="2D612A9A" w14:textId="2C8547CE" w:rsidR="001F45CE" w:rsidRPr="00EF6D8E"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589,225</w:t>
            </w:r>
          </w:p>
        </w:tc>
        <w:tc>
          <w:tcPr>
            <w:tcW w:w="690" w:type="dxa"/>
            <w:tcBorders>
              <w:top w:val="nil"/>
              <w:left w:val="nil"/>
              <w:bottom w:val="double" w:sz="6" w:space="0" w:color="auto"/>
              <w:right w:val="single" w:sz="8" w:space="0" w:color="auto"/>
            </w:tcBorders>
            <w:shd w:val="clear" w:color="auto" w:fill="auto"/>
            <w:vAlign w:val="center"/>
            <w:hideMark/>
          </w:tcPr>
          <w:p w14:paraId="03AC1C88" w14:textId="77777777" w:rsidR="001F45CE" w:rsidRPr="00913CCF" w:rsidRDefault="001F45CE" w:rsidP="001F45CE">
            <w:pPr>
              <w:spacing w:after="0"/>
              <w:jc w:val="center"/>
              <w:rPr>
                <w:rFonts w:eastAsia="Times New Roman" w:cs="Calibri"/>
                <w:color w:val="000000"/>
                <w:sz w:val="14"/>
                <w:szCs w:val="14"/>
              </w:rPr>
            </w:pPr>
            <w:r w:rsidRPr="00913CCF">
              <w:rPr>
                <w:rFonts w:eastAsia="Times New Roman" w:cs="Calibri"/>
                <w:color w:val="000000"/>
                <w:sz w:val="14"/>
                <w:szCs w:val="14"/>
              </w:rPr>
              <w:t> </w:t>
            </w:r>
          </w:p>
        </w:tc>
      </w:tr>
      <w:tr w:rsidR="001F45CE" w:rsidRPr="00913CCF" w14:paraId="57DF6D55" w14:textId="77777777" w:rsidTr="004205FD">
        <w:trPr>
          <w:trHeight w:val="225"/>
        </w:trPr>
        <w:tc>
          <w:tcPr>
            <w:tcW w:w="1354" w:type="dxa"/>
            <w:vMerge w:val="restart"/>
            <w:tcBorders>
              <w:top w:val="nil"/>
              <w:left w:val="single" w:sz="8" w:space="0" w:color="auto"/>
              <w:bottom w:val="double" w:sz="6" w:space="0" w:color="000000"/>
              <w:right w:val="single" w:sz="8" w:space="0" w:color="auto"/>
            </w:tcBorders>
            <w:shd w:val="clear" w:color="auto" w:fill="auto"/>
            <w:noWrap/>
            <w:vAlign w:val="center"/>
            <w:hideMark/>
          </w:tcPr>
          <w:p w14:paraId="369428CA"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 xml:space="preserve">COMPONENT / OUTCOME 2: </w:t>
            </w:r>
          </w:p>
        </w:tc>
        <w:tc>
          <w:tcPr>
            <w:tcW w:w="1266" w:type="dxa"/>
            <w:vMerge w:val="restart"/>
            <w:tcBorders>
              <w:top w:val="nil"/>
              <w:left w:val="single" w:sz="8" w:space="0" w:color="auto"/>
              <w:bottom w:val="double" w:sz="6" w:space="0" w:color="000000"/>
              <w:right w:val="single" w:sz="8" w:space="0" w:color="auto"/>
            </w:tcBorders>
            <w:shd w:val="clear" w:color="auto" w:fill="auto"/>
            <w:vAlign w:val="center"/>
            <w:hideMark/>
          </w:tcPr>
          <w:p w14:paraId="6CEDAE6A" w14:textId="0AAB257F" w:rsidR="001F45CE" w:rsidRPr="00913CCF" w:rsidRDefault="001F45CE" w:rsidP="001F45CE">
            <w:pPr>
              <w:spacing w:after="0"/>
              <w:jc w:val="center"/>
              <w:rPr>
                <w:rFonts w:eastAsia="Times New Roman" w:cs="Calibri"/>
                <w:b/>
                <w:bCs/>
                <w:color w:val="000000"/>
                <w:sz w:val="16"/>
                <w:szCs w:val="16"/>
              </w:rPr>
            </w:pPr>
            <w:r>
              <w:rPr>
                <w:rFonts w:cs="Arial"/>
                <w:szCs w:val="20"/>
                <w:highlight w:val="green"/>
              </w:rPr>
              <w:t xml:space="preserve">SP Conseil Nation Devel Durabl </w:t>
            </w:r>
            <w:r>
              <w:rPr>
                <w:rFonts w:cs="Arial"/>
                <w:szCs w:val="20"/>
                <w:highlight w:val="green"/>
              </w:rPr>
              <w:lastRenderedPageBreak/>
              <w:t>under the Ministry in charge of the Environment</w:t>
            </w:r>
          </w:p>
        </w:tc>
        <w:tc>
          <w:tcPr>
            <w:tcW w:w="622" w:type="dxa"/>
            <w:vMerge w:val="restart"/>
            <w:tcBorders>
              <w:top w:val="nil"/>
              <w:left w:val="single" w:sz="8" w:space="0" w:color="auto"/>
              <w:bottom w:val="double" w:sz="6" w:space="0" w:color="000000"/>
              <w:right w:val="single" w:sz="8" w:space="0" w:color="auto"/>
            </w:tcBorders>
            <w:shd w:val="clear" w:color="auto" w:fill="auto"/>
            <w:vAlign w:val="center"/>
            <w:hideMark/>
          </w:tcPr>
          <w:p w14:paraId="7548FAF6"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lastRenderedPageBreak/>
              <w:t>62000</w:t>
            </w:r>
          </w:p>
        </w:tc>
        <w:tc>
          <w:tcPr>
            <w:tcW w:w="632" w:type="dxa"/>
            <w:vMerge w:val="restart"/>
            <w:tcBorders>
              <w:top w:val="nil"/>
              <w:left w:val="single" w:sz="8" w:space="0" w:color="auto"/>
              <w:bottom w:val="double" w:sz="6" w:space="0" w:color="000000"/>
              <w:right w:val="single" w:sz="8" w:space="0" w:color="auto"/>
            </w:tcBorders>
            <w:shd w:val="clear" w:color="auto" w:fill="auto"/>
            <w:vAlign w:val="center"/>
            <w:hideMark/>
          </w:tcPr>
          <w:p w14:paraId="0BD0A349"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GEF</w:t>
            </w:r>
          </w:p>
        </w:tc>
        <w:tc>
          <w:tcPr>
            <w:tcW w:w="901" w:type="dxa"/>
            <w:tcBorders>
              <w:top w:val="nil"/>
              <w:left w:val="nil"/>
              <w:bottom w:val="single" w:sz="8" w:space="0" w:color="auto"/>
              <w:right w:val="single" w:sz="8" w:space="0" w:color="auto"/>
            </w:tcBorders>
            <w:shd w:val="clear" w:color="auto" w:fill="auto"/>
            <w:noWrap/>
            <w:vAlign w:val="center"/>
            <w:hideMark/>
          </w:tcPr>
          <w:p w14:paraId="5E14DAFE"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71200</w:t>
            </w:r>
          </w:p>
        </w:tc>
        <w:tc>
          <w:tcPr>
            <w:tcW w:w="1186" w:type="dxa"/>
            <w:tcBorders>
              <w:top w:val="nil"/>
              <w:left w:val="nil"/>
              <w:bottom w:val="single" w:sz="8" w:space="0" w:color="auto"/>
              <w:right w:val="single" w:sz="8" w:space="0" w:color="auto"/>
            </w:tcBorders>
            <w:shd w:val="clear" w:color="auto" w:fill="auto"/>
            <w:vAlign w:val="center"/>
            <w:hideMark/>
          </w:tcPr>
          <w:p w14:paraId="61223A4F" w14:textId="77777777" w:rsidR="001F45CE" w:rsidRPr="00913CCF" w:rsidRDefault="001F45CE" w:rsidP="001F45CE">
            <w:pPr>
              <w:spacing w:after="0"/>
              <w:jc w:val="left"/>
              <w:rPr>
                <w:rFonts w:eastAsia="Times New Roman" w:cs="Calibri"/>
                <w:color w:val="000000"/>
                <w:sz w:val="16"/>
                <w:szCs w:val="16"/>
              </w:rPr>
            </w:pPr>
            <w:r w:rsidRPr="00913CCF">
              <w:rPr>
                <w:rFonts w:eastAsia="Times New Roman" w:cs="Calibri"/>
                <w:color w:val="000000"/>
                <w:sz w:val="16"/>
                <w:szCs w:val="16"/>
              </w:rPr>
              <w:t>International Cons</w:t>
            </w:r>
          </w:p>
        </w:tc>
        <w:tc>
          <w:tcPr>
            <w:tcW w:w="1155" w:type="dxa"/>
            <w:tcBorders>
              <w:top w:val="nil"/>
              <w:left w:val="nil"/>
              <w:bottom w:val="single" w:sz="8" w:space="0" w:color="auto"/>
              <w:right w:val="single" w:sz="8" w:space="0" w:color="auto"/>
            </w:tcBorders>
            <w:shd w:val="clear" w:color="auto" w:fill="auto"/>
            <w:noWrap/>
            <w:vAlign w:val="center"/>
            <w:hideMark/>
          </w:tcPr>
          <w:p w14:paraId="7923C216"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86,000</w:t>
            </w:r>
          </w:p>
        </w:tc>
        <w:tc>
          <w:tcPr>
            <w:tcW w:w="1010" w:type="dxa"/>
            <w:tcBorders>
              <w:top w:val="nil"/>
              <w:left w:val="nil"/>
              <w:bottom w:val="single" w:sz="8" w:space="0" w:color="auto"/>
              <w:right w:val="single" w:sz="8" w:space="0" w:color="auto"/>
            </w:tcBorders>
            <w:shd w:val="clear" w:color="auto" w:fill="auto"/>
            <w:noWrap/>
            <w:vAlign w:val="center"/>
            <w:hideMark/>
          </w:tcPr>
          <w:p w14:paraId="6BD9BA94"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64,000</w:t>
            </w:r>
          </w:p>
        </w:tc>
        <w:tc>
          <w:tcPr>
            <w:tcW w:w="938" w:type="dxa"/>
            <w:tcBorders>
              <w:top w:val="nil"/>
              <w:left w:val="nil"/>
              <w:bottom w:val="single" w:sz="8" w:space="0" w:color="auto"/>
              <w:right w:val="single" w:sz="8" w:space="0" w:color="auto"/>
            </w:tcBorders>
            <w:shd w:val="clear" w:color="auto" w:fill="auto"/>
            <w:noWrap/>
            <w:vAlign w:val="center"/>
            <w:hideMark/>
          </w:tcPr>
          <w:p w14:paraId="1AD7B1E2"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72,000</w:t>
            </w:r>
          </w:p>
        </w:tc>
        <w:tc>
          <w:tcPr>
            <w:tcW w:w="938" w:type="dxa"/>
            <w:tcBorders>
              <w:top w:val="nil"/>
              <w:left w:val="nil"/>
              <w:bottom w:val="single" w:sz="8" w:space="0" w:color="auto"/>
              <w:right w:val="single" w:sz="8" w:space="0" w:color="auto"/>
            </w:tcBorders>
            <w:shd w:val="clear" w:color="auto" w:fill="auto"/>
            <w:noWrap/>
            <w:vAlign w:val="center"/>
            <w:hideMark/>
          </w:tcPr>
          <w:p w14:paraId="5FCFF727"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20,000</w:t>
            </w:r>
          </w:p>
        </w:tc>
        <w:tc>
          <w:tcPr>
            <w:tcW w:w="938" w:type="dxa"/>
            <w:tcBorders>
              <w:top w:val="nil"/>
              <w:left w:val="nil"/>
              <w:bottom w:val="single" w:sz="8" w:space="0" w:color="auto"/>
              <w:right w:val="single" w:sz="8" w:space="0" w:color="auto"/>
            </w:tcBorders>
            <w:shd w:val="clear" w:color="auto" w:fill="auto"/>
            <w:noWrap/>
            <w:vAlign w:val="center"/>
            <w:hideMark/>
          </w:tcPr>
          <w:p w14:paraId="48497B05"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938" w:type="dxa"/>
            <w:tcBorders>
              <w:top w:val="nil"/>
              <w:left w:val="nil"/>
              <w:bottom w:val="single" w:sz="8" w:space="0" w:color="auto"/>
              <w:right w:val="single" w:sz="8" w:space="0" w:color="auto"/>
            </w:tcBorders>
            <w:shd w:val="clear" w:color="auto" w:fill="auto"/>
            <w:vAlign w:val="center"/>
            <w:hideMark/>
          </w:tcPr>
          <w:p w14:paraId="46013F37"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bCs/>
                <w:color w:val="000000"/>
                <w:sz w:val="16"/>
                <w:szCs w:val="16"/>
              </w:rPr>
              <w:t>0</w:t>
            </w:r>
          </w:p>
        </w:tc>
        <w:tc>
          <w:tcPr>
            <w:tcW w:w="1372" w:type="dxa"/>
            <w:tcBorders>
              <w:top w:val="nil"/>
              <w:left w:val="nil"/>
              <w:bottom w:val="single" w:sz="8" w:space="0" w:color="auto"/>
              <w:right w:val="single" w:sz="8" w:space="0" w:color="auto"/>
            </w:tcBorders>
            <w:shd w:val="clear" w:color="auto" w:fill="auto"/>
            <w:noWrap/>
            <w:vAlign w:val="center"/>
            <w:hideMark/>
          </w:tcPr>
          <w:p w14:paraId="38E2F700"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242,000</w:t>
            </w:r>
          </w:p>
        </w:tc>
        <w:tc>
          <w:tcPr>
            <w:tcW w:w="690" w:type="dxa"/>
            <w:tcBorders>
              <w:top w:val="nil"/>
              <w:left w:val="nil"/>
              <w:bottom w:val="single" w:sz="8" w:space="0" w:color="auto"/>
              <w:right w:val="single" w:sz="8" w:space="0" w:color="auto"/>
            </w:tcBorders>
            <w:shd w:val="clear" w:color="auto" w:fill="auto"/>
            <w:vAlign w:val="center"/>
            <w:hideMark/>
          </w:tcPr>
          <w:p w14:paraId="762A828E"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14</w:t>
            </w:r>
          </w:p>
        </w:tc>
      </w:tr>
      <w:tr w:rsidR="001F45CE" w:rsidRPr="00913CCF" w14:paraId="48822602" w14:textId="77777777" w:rsidTr="004205FD">
        <w:trPr>
          <w:trHeight w:val="135"/>
        </w:trPr>
        <w:tc>
          <w:tcPr>
            <w:tcW w:w="1354" w:type="dxa"/>
            <w:vMerge/>
            <w:tcBorders>
              <w:top w:val="nil"/>
              <w:left w:val="single" w:sz="8" w:space="0" w:color="auto"/>
              <w:bottom w:val="double" w:sz="6" w:space="0" w:color="000000"/>
              <w:right w:val="single" w:sz="8" w:space="0" w:color="auto"/>
            </w:tcBorders>
            <w:shd w:val="clear" w:color="auto" w:fill="auto"/>
            <w:vAlign w:val="center"/>
            <w:hideMark/>
          </w:tcPr>
          <w:p w14:paraId="31723783"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nil"/>
              <w:left w:val="single" w:sz="8" w:space="0" w:color="auto"/>
              <w:bottom w:val="double" w:sz="6" w:space="0" w:color="000000"/>
              <w:right w:val="single" w:sz="8" w:space="0" w:color="auto"/>
            </w:tcBorders>
            <w:shd w:val="clear" w:color="auto" w:fill="auto"/>
            <w:vAlign w:val="center"/>
            <w:hideMark/>
          </w:tcPr>
          <w:p w14:paraId="05C86A12"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7499E0F8"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4E587F48"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single" w:sz="8" w:space="0" w:color="auto"/>
              <w:right w:val="single" w:sz="8" w:space="0" w:color="auto"/>
            </w:tcBorders>
            <w:shd w:val="clear" w:color="auto" w:fill="auto"/>
            <w:noWrap/>
            <w:vAlign w:val="center"/>
            <w:hideMark/>
          </w:tcPr>
          <w:p w14:paraId="3417CA4B"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71300</w:t>
            </w:r>
          </w:p>
        </w:tc>
        <w:tc>
          <w:tcPr>
            <w:tcW w:w="1186" w:type="dxa"/>
            <w:tcBorders>
              <w:top w:val="nil"/>
              <w:left w:val="nil"/>
              <w:bottom w:val="single" w:sz="8" w:space="0" w:color="auto"/>
              <w:right w:val="single" w:sz="8" w:space="0" w:color="auto"/>
            </w:tcBorders>
            <w:shd w:val="clear" w:color="auto" w:fill="auto"/>
            <w:vAlign w:val="center"/>
            <w:hideMark/>
          </w:tcPr>
          <w:p w14:paraId="0FB8709F" w14:textId="77777777" w:rsidR="001F45CE" w:rsidRPr="00913CCF" w:rsidRDefault="001F45CE" w:rsidP="001F45CE">
            <w:pPr>
              <w:spacing w:after="0"/>
              <w:jc w:val="left"/>
              <w:rPr>
                <w:rFonts w:eastAsia="Times New Roman" w:cs="Calibri"/>
                <w:color w:val="000000"/>
                <w:sz w:val="16"/>
                <w:szCs w:val="16"/>
              </w:rPr>
            </w:pPr>
            <w:r w:rsidRPr="00913CCF">
              <w:rPr>
                <w:rFonts w:eastAsia="Times New Roman" w:cs="Calibri"/>
                <w:color w:val="000000"/>
                <w:sz w:val="16"/>
                <w:szCs w:val="16"/>
              </w:rPr>
              <w:t>Local Consultants</w:t>
            </w:r>
          </w:p>
        </w:tc>
        <w:tc>
          <w:tcPr>
            <w:tcW w:w="1155" w:type="dxa"/>
            <w:tcBorders>
              <w:top w:val="nil"/>
              <w:left w:val="nil"/>
              <w:bottom w:val="single" w:sz="8" w:space="0" w:color="auto"/>
              <w:right w:val="single" w:sz="8" w:space="0" w:color="auto"/>
            </w:tcBorders>
            <w:shd w:val="clear" w:color="auto" w:fill="auto"/>
            <w:noWrap/>
            <w:vAlign w:val="center"/>
            <w:hideMark/>
          </w:tcPr>
          <w:p w14:paraId="31C54147"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49,800</w:t>
            </w:r>
          </w:p>
        </w:tc>
        <w:tc>
          <w:tcPr>
            <w:tcW w:w="1010" w:type="dxa"/>
            <w:tcBorders>
              <w:top w:val="nil"/>
              <w:left w:val="nil"/>
              <w:bottom w:val="single" w:sz="8" w:space="0" w:color="auto"/>
              <w:right w:val="single" w:sz="8" w:space="0" w:color="auto"/>
            </w:tcBorders>
            <w:shd w:val="clear" w:color="auto" w:fill="auto"/>
            <w:noWrap/>
            <w:vAlign w:val="center"/>
            <w:hideMark/>
          </w:tcPr>
          <w:p w14:paraId="77661F80"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57,800</w:t>
            </w:r>
          </w:p>
        </w:tc>
        <w:tc>
          <w:tcPr>
            <w:tcW w:w="938" w:type="dxa"/>
            <w:tcBorders>
              <w:top w:val="nil"/>
              <w:left w:val="nil"/>
              <w:bottom w:val="single" w:sz="8" w:space="0" w:color="auto"/>
              <w:right w:val="single" w:sz="8" w:space="0" w:color="auto"/>
            </w:tcBorders>
            <w:shd w:val="clear" w:color="auto" w:fill="auto"/>
            <w:noWrap/>
            <w:vAlign w:val="center"/>
            <w:hideMark/>
          </w:tcPr>
          <w:p w14:paraId="23D3621F"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51,050</w:t>
            </w:r>
          </w:p>
        </w:tc>
        <w:tc>
          <w:tcPr>
            <w:tcW w:w="938" w:type="dxa"/>
            <w:tcBorders>
              <w:top w:val="nil"/>
              <w:left w:val="nil"/>
              <w:bottom w:val="single" w:sz="8" w:space="0" w:color="auto"/>
              <w:right w:val="single" w:sz="8" w:space="0" w:color="auto"/>
            </w:tcBorders>
            <w:shd w:val="clear" w:color="auto" w:fill="auto"/>
            <w:noWrap/>
            <w:vAlign w:val="center"/>
            <w:hideMark/>
          </w:tcPr>
          <w:p w14:paraId="7F67F309"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30,800</w:t>
            </w:r>
          </w:p>
        </w:tc>
        <w:tc>
          <w:tcPr>
            <w:tcW w:w="938" w:type="dxa"/>
            <w:tcBorders>
              <w:top w:val="nil"/>
              <w:left w:val="nil"/>
              <w:bottom w:val="single" w:sz="8" w:space="0" w:color="auto"/>
              <w:right w:val="single" w:sz="8" w:space="0" w:color="auto"/>
            </w:tcBorders>
            <w:shd w:val="clear" w:color="auto" w:fill="auto"/>
            <w:noWrap/>
            <w:vAlign w:val="center"/>
            <w:hideMark/>
          </w:tcPr>
          <w:p w14:paraId="51E38DD0"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37,800</w:t>
            </w:r>
          </w:p>
        </w:tc>
        <w:tc>
          <w:tcPr>
            <w:tcW w:w="938" w:type="dxa"/>
            <w:tcBorders>
              <w:top w:val="nil"/>
              <w:left w:val="nil"/>
              <w:bottom w:val="single" w:sz="8" w:space="0" w:color="auto"/>
              <w:right w:val="single" w:sz="8" w:space="0" w:color="auto"/>
            </w:tcBorders>
            <w:shd w:val="clear" w:color="auto" w:fill="auto"/>
            <w:vAlign w:val="center"/>
            <w:hideMark/>
          </w:tcPr>
          <w:p w14:paraId="21C453FC"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1372" w:type="dxa"/>
            <w:tcBorders>
              <w:top w:val="nil"/>
              <w:left w:val="nil"/>
              <w:bottom w:val="single" w:sz="8" w:space="0" w:color="auto"/>
              <w:right w:val="single" w:sz="8" w:space="0" w:color="auto"/>
            </w:tcBorders>
            <w:shd w:val="clear" w:color="auto" w:fill="auto"/>
            <w:noWrap/>
            <w:vAlign w:val="center"/>
            <w:hideMark/>
          </w:tcPr>
          <w:p w14:paraId="03D6A1D9"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227,250</w:t>
            </w:r>
          </w:p>
        </w:tc>
        <w:tc>
          <w:tcPr>
            <w:tcW w:w="690" w:type="dxa"/>
            <w:tcBorders>
              <w:top w:val="nil"/>
              <w:left w:val="nil"/>
              <w:bottom w:val="single" w:sz="8" w:space="0" w:color="auto"/>
              <w:right w:val="single" w:sz="8" w:space="0" w:color="auto"/>
            </w:tcBorders>
            <w:shd w:val="clear" w:color="auto" w:fill="auto"/>
            <w:vAlign w:val="center"/>
            <w:hideMark/>
          </w:tcPr>
          <w:p w14:paraId="5C0BB741"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15</w:t>
            </w:r>
          </w:p>
        </w:tc>
      </w:tr>
      <w:tr w:rsidR="001F45CE" w:rsidRPr="00913CCF" w14:paraId="2C7E1E88" w14:textId="77777777" w:rsidTr="004205FD">
        <w:trPr>
          <w:trHeight w:val="162"/>
        </w:trPr>
        <w:tc>
          <w:tcPr>
            <w:tcW w:w="1354" w:type="dxa"/>
            <w:vMerge/>
            <w:tcBorders>
              <w:top w:val="nil"/>
              <w:left w:val="single" w:sz="8" w:space="0" w:color="auto"/>
              <w:bottom w:val="double" w:sz="6" w:space="0" w:color="000000"/>
              <w:right w:val="single" w:sz="8" w:space="0" w:color="auto"/>
            </w:tcBorders>
            <w:shd w:val="clear" w:color="auto" w:fill="auto"/>
            <w:vAlign w:val="center"/>
            <w:hideMark/>
          </w:tcPr>
          <w:p w14:paraId="43F8FC0F"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nil"/>
              <w:left w:val="single" w:sz="8" w:space="0" w:color="auto"/>
              <w:bottom w:val="double" w:sz="6" w:space="0" w:color="000000"/>
              <w:right w:val="single" w:sz="8" w:space="0" w:color="auto"/>
            </w:tcBorders>
            <w:shd w:val="clear" w:color="auto" w:fill="auto"/>
            <w:vAlign w:val="center"/>
            <w:hideMark/>
          </w:tcPr>
          <w:p w14:paraId="41EAA36A"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618BFCC9"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526D9EB5"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single" w:sz="8" w:space="0" w:color="auto"/>
              <w:right w:val="single" w:sz="8" w:space="0" w:color="auto"/>
            </w:tcBorders>
            <w:shd w:val="clear" w:color="auto" w:fill="auto"/>
            <w:noWrap/>
            <w:vAlign w:val="center"/>
            <w:hideMark/>
          </w:tcPr>
          <w:p w14:paraId="526E70FA"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71400</w:t>
            </w:r>
          </w:p>
        </w:tc>
        <w:tc>
          <w:tcPr>
            <w:tcW w:w="1186" w:type="dxa"/>
            <w:tcBorders>
              <w:top w:val="nil"/>
              <w:left w:val="nil"/>
              <w:bottom w:val="single" w:sz="8" w:space="0" w:color="auto"/>
              <w:right w:val="single" w:sz="8" w:space="0" w:color="auto"/>
            </w:tcBorders>
            <w:shd w:val="clear" w:color="auto" w:fill="auto"/>
            <w:vAlign w:val="center"/>
            <w:hideMark/>
          </w:tcPr>
          <w:p w14:paraId="71F0FDE2" w14:textId="77777777" w:rsidR="001F45CE" w:rsidRPr="00913CCF" w:rsidRDefault="001F45CE" w:rsidP="001F45CE">
            <w:pPr>
              <w:spacing w:after="0"/>
              <w:jc w:val="left"/>
              <w:rPr>
                <w:rFonts w:eastAsia="Times New Roman" w:cs="Calibri"/>
                <w:color w:val="000000"/>
                <w:sz w:val="16"/>
                <w:szCs w:val="16"/>
              </w:rPr>
            </w:pPr>
            <w:r w:rsidRPr="00913CCF">
              <w:rPr>
                <w:rFonts w:eastAsia="Times New Roman" w:cs="Calibri"/>
                <w:color w:val="000000"/>
                <w:sz w:val="16"/>
                <w:szCs w:val="16"/>
              </w:rPr>
              <w:t>Contr. serv. Ind.</w:t>
            </w:r>
          </w:p>
        </w:tc>
        <w:tc>
          <w:tcPr>
            <w:tcW w:w="1155" w:type="dxa"/>
            <w:tcBorders>
              <w:top w:val="nil"/>
              <w:left w:val="nil"/>
              <w:bottom w:val="single" w:sz="8" w:space="0" w:color="auto"/>
              <w:right w:val="single" w:sz="8" w:space="0" w:color="auto"/>
            </w:tcBorders>
            <w:shd w:val="clear" w:color="auto" w:fill="auto"/>
            <w:noWrap/>
            <w:vAlign w:val="center"/>
            <w:hideMark/>
          </w:tcPr>
          <w:p w14:paraId="4548C9DA"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34,025</w:t>
            </w:r>
          </w:p>
        </w:tc>
        <w:tc>
          <w:tcPr>
            <w:tcW w:w="1010" w:type="dxa"/>
            <w:tcBorders>
              <w:top w:val="nil"/>
              <w:left w:val="nil"/>
              <w:bottom w:val="single" w:sz="8" w:space="0" w:color="auto"/>
              <w:right w:val="single" w:sz="8" w:space="0" w:color="auto"/>
            </w:tcBorders>
            <w:shd w:val="clear" w:color="auto" w:fill="auto"/>
            <w:noWrap/>
            <w:vAlign w:val="center"/>
            <w:hideMark/>
          </w:tcPr>
          <w:p w14:paraId="147488B0"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62,400</w:t>
            </w:r>
          </w:p>
        </w:tc>
        <w:tc>
          <w:tcPr>
            <w:tcW w:w="938" w:type="dxa"/>
            <w:tcBorders>
              <w:top w:val="nil"/>
              <w:left w:val="nil"/>
              <w:bottom w:val="single" w:sz="8" w:space="0" w:color="auto"/>
              <w:right w:val="single" w:sz="8" w:space="0" w:color="auto"/>
            </w:tcBorders>
            <w:shd w:val="clear" w:color="auto" w:fill="auto"/>
            <w:noWrap/>
            <w:vAlign w:val="center"/>
            <w:hideMark/>
          </w:tcPr>
          <w:p w14:paraId="55AC8F45"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70,400</w:t>
            </w:r>
          </w:p>
        </w:tc>
        <w:tc>
          <w:tcPr>
            <w:tcW w:w="938" w:type="dxa"/>
            <w:tcBorders>
              <w:top w:val="nil"/>
              <w:left w:val="nil"/>
              <w:bottom w:val="single" w:sz="8" w:space="0" w:color="auto"/>
              <w:right w:val="single" w:sz="8" w:space="0" w:color="auto"/>
            </w:tcBorders>
            <w:shd w:val="clear" w:color="auto" w:fill="auto"/>
            <w:noWrap/>
            <w:vAlign w:val="center"/>
            <w:hideMark/>
          </w:tcPr>
          <w:p w14:paraId="580120E8"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50,400</w:t>
            </w:r>
          </w:p>
        </w:tc>
        <w:tc>
          <w:tcPr>
            <w:tcW w:w="938" w:type="dxa"/>
            <w:tcBorders>
              <w:top w:val="nil"/>
              <w:left w:val="nil"/>
              <w:bottom w:val="single" w:sz="8" w:space="0" w:color="auto"/>
              <w:right w:val="single" w:sz="8" w:space="0" w:color="auto"/>
            </w:tcBorders>
            <w:shd w:val="clear" w:color="auto" w:fill="auto"/>
            <w:noWrap/>
            <w:vAlign w:val="center"/>
            <w:hideMark/>
          </w:tcPr>
          <w:p w14:paraId="3E585220"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14,400</w:t>
            </w:r>
          </w:p>
        </w:tc>
        <w:tc>
          <w:tcPr>
            <w:tcW w:w="938" w:type="dxa"/>
            <w:tcBorders>
              <w:top w:val="nil"/>
              <w:left w:val="nil"/>
              <w:bottom w:val="single" w:sz="8" w:space="0" w:color="auto"/>
              <w:right w:val="single" w:sz="8" w:space="0" w:color="auto"/>
            </w:tcBorders>
            <w:shd w:val="clear" w:color="auto" w:fill="auto"/>
            <w:vAlign w:val="center"/>
            <w:hideMark/>
          </w:tcPr>
          <w:p w14:paraId="5D537A67"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22,400</w:t>
            </w:r>
          </w:p>
        </w:tc>
        <w:tc>
          <w:tcPr>
            <w:tcW w:w="1372" w:type="dxa"/>
            <w:tcBorders>
              <w:top w:val="nil"/>
              <w:left w:val="nil"/>
              <w:bottom w:val="single" w:sz="8" w:space="0" w:color="auto"/>
              <w:right w:val="single" w:sz="8" w:space="0" w:color="auto"/>
            </w:tcBorders>
            <w:shd w:val="clear" w:color="auto" w:fill="auto"/>
            <w:noWrap/>
            <w:vAlign w:val="center"/>
            <w:hideMark/>
          </w:tcPr>
          <w:p w14:paraId="668BA705"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254,025</w:t>
            </w:r>
          </w:p>
        </w:tc>
        <w:tc>
          <w:tcPr>
            <w:tcW w:w="690" w:type="dxa"/>
            <w:tcBorders>
              <w:top w:val="nil"/>
              <w:left w:val="nil"/>
              <w:bottom w:val="single" w:sz="8" w:space="0" w:color="auto"/>
              <w:right w:val="single" w:sz="8" w:space="0" w:color="auto"/>
            </w:tcBorders>
            <w:shd w:val="clear" w:color="auto" w:fill="auto"/>
            <w:vAlign w:val="center"/>
            <w:hideMark/>
          </w:tcPr>
          <w:p w14:paraId="16935059"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16</w:t>
            </w:r>
          </w:p>
        </w:tc>
      </w:tr>
      <w:tr w:rsidR="001F45CE" w:rsidRPr="00913CCF" w14:paraId="0E986F1E" w14:textId="77777777" w:rsidTr="004205FD">
        <w:trPr>
          <w:trHeight w:val="198"/>
        </w:trPr>
        <w:tc>
          <w:tcPr>
            <w:tcW w:w="1354" w:type="dxa"/>
            <w:vMerge/>
            <w:tcBorders>
              <w:top w:val="nil"/>
              <w:left w:val="single" w:sz="8" w:space="0" w:color="auto"/>
              <w:bottom w:val="double" w:sz="6" w:space="0" w:color="000000"/>
              <w:right w:val="single" w:sz="8" w:space="0" w:color="auto"/>
            </w:tcBorders>
            <w:shd w:val="clear" w:color="auto" w:fill="auto"/>
            <w:vAlign w:val="center"/>
            <w:hideMark/>
          </w:tcPr>
          <w:p w14:paraId="7D6603B8"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nil"/>
              <w:left w:val="single" w:sz="8" w:space="0" w:color="auto"/>
              <w:bottom w:val="double" w:sz="6" w:space="0" w:color="000000"/>
              <w:right w:val="single" w:sz="8" w:space="0" w:color="auto"/>
            </w:tcBorders>
            <w:shd w:val="clear" w:color="auto" w:fill="auto"/>
            <w:vAlign w:val="center"/>
            <w:hideMark/>
          </w:tcPr>
          <w:p w14:paraId="4DA9B283"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0232316C"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5A9EA9F0"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single" w:sz="8" w:space="0" w:color="auto"/>
              <w:right w:val="single" w:sz="8" w:space="0" w:color="auto"/>
            </w:tcBorders>
            <w:shd w:val="clear" w:color="auto" w:fill="auto"/>
            <w:noWrap/>
            <w:vAlign w:val="center"/>
            <w:hideMark/>
          </w:tcPr>
          <w:p w14:paraId="13EA54C1"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71600</w:t>
            </w:r>
          </w:p>
        </w:tc>
        <w:tc>
          <w:tcPr>
            <w:tcW w:w="1186" w:type="dxa"/>
            <w:tcBorders>
              <w:top w:val="nil"/>
              <w:left w:val="nil"/>
              <w:bottom w:val="single" w:sz="8" w:space="0" w:color="auto"/>
              <w:right w:val="single" w:sz="8" w:space="0" w:color="auto"/>
            </w:tcBorders>
            <w:shd w:val="clear" w:color="auto" w:fill="auto"/>
            <w:vAlign w:val="center"/>
            <w:hideMark/>
          </w:tcPr>
          <w:p w14:paraId="1FC21E32" w14:textId="77777777" w:rsidR="001F45CE" w:rsidRPr="00913CCF" w:rsidRDefault="001F45CE" w:rsidP="001F45CE">
            <w:pPr>
              <w:spacing w:after="0"/>
              <w:jc w:val="left"/>
              <w:rPr>
                <w:rFonts w:eastAsia="Times New Roman" w:cs="Calibri"/>
                <w:color w:val="000000"/>
                <w:sz w:val="16"/>
                <w:szCs w:val="16"/>
              </w:rPr>
            </w:pPr>
            <w:r w:rsidRPr="00913CCF">
              <w:rPr>
                <w:rFonts w:eastAsia="Times New Roman" w:cs="Calibri"/>
                <w:color w:val="000000"/>
                <w:sz w:val="16"/>
                <w:szCs w:val="16"/>
              </w:rPr>
              <w:t>Travel</w:t>
            </w:r>
          </w:p>
        </w:tc>
        <w:tc>
          <w:tcPr>
            <w:tcW w:w="1155" w:type="dxa"/>
            <w:tcBorders>
              <w:top w:val="nil"/>
              <w:left w:val="nil"/>
              <w:bottom w:val="single" w:sz="8" w:space="0" w:color="auto"/>
              <w:right w:val="single" w:sz="8" w:space="0" w:color="auto"/>
            </w:tcBorders>
            <w:shd w:val="clear" w:color="auto" w:fill="auto"/>
            <w:noWrap/>
            <w:vAlign w:val="center"/>
            <w:hideMark/>
          </w:tcPr>
          <w:p w14:paraId="750D32D6"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20,360</w:t>
            </w:r>
          </w:p>
        </w:tc>
        <w:tc>
          <w:tcPr>
            <w:tcW w:w="1010" w:type="dxa"/>
            <w:tcBorders>
              <w:top w:val="nil"/>
              <w:left w:val="nil"/>
              <w:bottom w:val="single" w:sz="8" w:space="0" w:color="auto"/>
              <w:right w:val="single" w:sz="8" w:space="0" w:color="auto"/>
            </w:tcBorders>
            <w:shd w:val="clear" w:color="auto" w:fill="auto"/>
            <w:noWrap/>
            <w:vAlign w:val="center"/>
            <w:hideMark/>
          </w:tcPr>
          <w:p w14:paraId="1664314F"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31,820</w:t>
            </w:r>
          </w:p>
        </w:tc>
        <w:tc>
          <w:tcPr>
            <w:tcW w:w="938" w:type="dxa"/>
            <w:tcBorders>
              <w:top w:val="nil"/>
              <w:left w:val="nil"/>
              <w:bottom w:val="single" w:sz="8" w:space="0" w:color="auto"/>
              <w:right w:val="single" w:sz="8" w:space="0" w:color="auto"/>
            </w:tcBorders>
            <w:shd w:val="clear" w:color="auto" w:fill="auto"/>
            <w:noWrap/>
            <w:vAlign w:val="center"/>
            <w:hideMark/>
          </w:tcPr>
          <w:p w14:paraId="1CC45707"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33,780</w:t>
            </w:r>
          </w:p>
        </w:tc>
        <w:tc>
          <w:tcPr>
            <w:tcW w:w="938" w:type="dxa"/>
            <w:tcBorders>
              <w:top w:val="nil"/>
              <w:left w:val="nil"/>
              <w:bottom w:val="single" w:sz="8" w:space="0" w:color="auto"/>
              <w:right w:val="single" w:sz="8" w:space="0" w:color="auto"/>
            </w:tcBorders>
            <w:shd w:val="clear" w:color="auto" w:fill="auto"/>
            <w:noWrap/>
            <w:vAlign w:val="center"/>
            <w:hideMark/>
          </w:tcPr>
          <w:p w14:paraId="334B6B47"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25,500</w:t>
            </w:r>
          </w:p>
        </w:tc>
        <w:tc>
          <w:tcPr>
            <w:tcW w:w="938" w:type="dxa"/>
            <w:tcBorders>
              <w:top w:val="nil"/>
              <w:left w:val="nil"/>
              <w:bottom w:val="single" w:sz="8" w:space="0" w:color="auto"/>
              <w:right w:val="single" w:sz="8" w:space="0" w:color="auto"/>
            </w:tcBorders>
            <w:shd w:val="clear" w:color="auto" w:fill="auto"/>
            <w:noWrap/>
            <w:vAlign w:val="center"/>
            <w:hideMark/>
          </w:tcPr>
          <w:p w14:paraId="6F5F646C"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11,500</w:t>
            </w:r>
          </w:p>
        </w:tc>
        <w:tc>
          <w:tcPr>
            <w:tcW w:w="938" w:type="dxa"/>
            <w:tcBorders>
              <w:top w:val="nil"/>
              <w:left w:val="nil"/>
              <w:bottom w:val="single" w:sz="8" w:space="0" w:color="auto"/>
              <w:right w:val="single" w:sz="8" w:space="0" w:color="auto"/>
            </w:tcBorders>
            <w:shd w:val="clear" w:color="auto" w:fill="auto"/>
            <w:vAlign w:val="center"/>
            <w:hideMark/>
          </w:tcPr>
          <w:p w14:paraId="399C7713"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1,500</w:t>
            </w:r>
          </w:p>
        </w:tc>
        <w:tc>
          <w:tcPr>
            <w:tcW w:w="1372" w:type="dxa"/>
            <w:tcBorders>
              <w:top w:val="nil"/>
              <w:left w:val="nil"/>
              <w:bottom w:val="single" w:sz="8" w:space="0" w:color="auto"/>
              <w:right w:val="single" w:sz="8" w:space="0" w:color="auto"/>
            </w:tcBorders>
            <w:shd w:val="clear" w:color="auto" w:fill="auto"/>
            <w:noWrap/>
            <w:vAlign w:val="center"/>
            <w:hideMark/>
          </w:tcPr>
          <w:p w14:paraId="4290E6D9"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124,460</w:t>
            </w:r>
          </w:p>
        </w:tc>
        <w:tc>
          <w:tcPr>
            <w:tcW w:w="690" w:type="dxa"/>
            <w:tcBorders>
              <w:top w:val="nil"/>
              <w:left w:val="nil"/>
              <w:bottom w:val="single" w:sz="8" w:space="0" w:color="auto"/>
              <w:right w:val="single" w:sz="8" w:space="0" w:color="auto"/>
            </w:tcBorders>
            <w:shd w:val="clear" w:color="auto" w:fill="auto"/>
            <w:vAlign w:val="center"/>
            <w:hideMark/>
          </w:tcPr>
          <w:p w14:paraId="4BF4EF98"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17</w:t>
            </w:r>
          </w:p>
        </w:tc>
      </w:tr>
      <w:tr w:rsidR="001F45CE" w:rsidRPr="00913CCF" w14:paraId="09CBAF8B" w14:textId="77777777" w:rsidTr="004205FD">
        <w:trPr>
          <w:trHeight w:val="225"/>
        </w:trPr>
        <w:tc>
          <w:tcPr>
            <w:tcW w:w="1354" w:type="dxa"/>
            <w:vMerge/>
            <w:tcBorders>
              <w:top w:val="nil"/>
              <w:left w:val="single" w:sz="8" w:space="0" w:color="auto"/>
              <w:bottom w:val="double" w:sz="6" w:space="0" w:color="000000"/>
              <w:right w:val="single" w:sz="8" w:space="0" w:color="auto"/>
            </w:tcBorders>
            <w:shd w:val="clear" w:color="auto" w:fill="auto"/>
            <w:vAlign w:val="center"/>
            <w:hideMark/>
          </w:tcPr>
          <w:p w14:paraId="08EB7DA9"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nil"/>
              <w:left w:val="single" w:sz="8" w:space="0" w:color="auto"/>
              <w:bottom w:val="double" w:sz="6" w:space="0" w:color="000000"/>
              <w:right w:val="single" w:sz="8" w:space="0" w:color="auto"/>
            </w:tcBorders>
            <w:shd w:val="clear" w:color="auto" w:fill="auto"/>
            <w:vAlign w:val="center"/>
            <w:hideMark/>
          </w:tcPr>
          <w:p w14:paraId="4D4072DE"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3C838A83"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1D659198"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single" w:sz="8" w:space="0" w:color="auto"/>
              <w:right w:val="single" w:sz="8" w:space="0" w:color="auto"/>
            </w:tcBorders>
            <w:shd w:val="clear" w:color="auto" w:fill="auto"/>
            <w:noWrap/>
            <w:vAlign w:val="center"/>
            <w:hideMark/>
          </w:tcPr>
          <w:p w14:paraId="5C8F2B11"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72100</w:t>
            </w:r>
          </w:p>
        </w:tc>
        <w:tc>
          <w:tcPr>
            <w:tcW w:w="1186" w:type="dxa"/>
            <w:tcBorders>
              <w:top w:val="nil"/>
              <w:left w:val="nil"/>
              <w:bottom w:val="single" w:sz="8" w:space="0" w:color="auto"/>
              <w:right w:val="single" w:sz="8" w:space="0" w:color="auto"/>
            </w:tcBorders>
            <w:shd w:val="clear" w:color="auto" w:fill="auto"/>
            <w:vAlign w:val="center"/>
            <w:hideMark/>
          </w:tcPr>
          <w:p w14:paraId="7B740383" w14:textId="77777777" w:rsidR="001F45CE" w:rsidRPr="00913CCF" w:rsidRDefault="001F45CE" w:rsidP="001F45CE">
            <w:pPr>
              <w:spacing w:after="0"/>
              <w:jc w:val="left"/>
              <w:rPr>
                <w:rFonts w:eastAsia="Times New Roman" w:cs="Calibri"/>
                <w:color w:val="000000"/>
                <w:sz w:val="16"/>
                <w:szCs w:val="16"/>
              </w:rPr>
            </w:pPr>
            <w:r w:rsidRPr="00913CCF">
              <w:rPr>
                <w:rFonts w:eastAsia="Times New Roman" w:cs="Calibri"/>
                <w:color w:val="000000"/>
                <w:sz w:val="16"/>
                <w:szCs w:val="16"/>
              </w:rPr>
              <w:t>Contr. serv. cies</w:t>
            </w:r>
          </w:p>
        </w:tc>
        <w:tc>
          <w:tcPr>
            <w:tcW w:w="1155" w:type="dxa"/>
            <w:tcBorders>
              <w:top w:val="nil"/>
              <w:left w:val="nil"/>
              <w:bottom w:val="single" w:sz="8" w:space="0" w:color="auto"/>
              <w:right w:val="single" w:sz="8" w:space="0" w:color="auto"/>
            </w:tcBorders>
            <w:shd w:val="clear" w:color="auto" w:fill="auto"/>
            <w:noWrap/>
            <w:vAlign w:val="center"/>
            <w:hideMark/>
          </w:tcPr>
          <w:p w14:paraId="2CB7BEB7"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40,000</w:t>
            </w:r>
          </w:p>
        </w:tc>
        <w:tc>
          <w:tcPr>
            <w:tcW w:w="1010" w:type="dxa"/>
            <w:tcBorders>
              <w:top w:val="nil"/>
              <w:left w:val="nil"/>
              <w:bottom w:val="single" w:sz="8" w:space="0" w:color="auto"/>
              <w:right w:val="single" w:sz="8" w:space="0" w:color="auto"/>
            </w:tcBorders>
            <w:shd w:val="clear" w:color="auto" w:fill="auto"/>
            <w:noWrap/>
            <w:vAlign w:val="center"/>
            <w:hideMark/>
          </w:tcPr>
          <w:p w14:paraId="201C2B5A"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40,000</w:t>
            </w:r>
          </w:p>
        </w:tc>
        <w:tc>
          <w:tcPr>
            <w:tcW w:w="938" w:type="dxa"/>
            <w:tcBorders>
              <w:top w:val="nil"/>
              <w:left w:val="nil"/>
              <w:bottom w:val="single" w:sz="8" w:space="0" w:color="auto"/>
              <w:right w:val="single" w:sz="8" w:space="0" w:color="auto"/>
            </w:tcBorders>
            <w:shd w:val="clear" w:color="auto" w:fill="auto"/>
            <w:noWrap/>
            <w:vAlign w:val="center"/>
            <w:hideMark/>
          </w:tcPr>
          <w:p w14:paraId="73B7F05D"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260,000</w:t>
            </w:r>
          </w:p>
        </w:tc>
        <w:tc>
          <w:tcPr>
            <w:tcW w:w="938" w:type="dxa"/>
            <w:tcBorders>
              <w:top w:val="nil"/>
              <w:left w:val="nil"/>
              <w:bottom w:val="single" w:sz="8" w:space="0" w:color="auto"/>
              <w:right w:val="single" w:sz="8" w:space="0" w:color="auto"/>
            </w:tcBorders>
            <w:shd w:val="clear" w:color="auto" w:fill="auto"/>
            <w:noWrap/>
            <w:vAlign w:val="center"/>
            <w:hideMark/>
          </w:tcPr>
          <w:p w14:paraId="728D035D"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72,000</w:t>
            </w:r>
          </w:p>
        </w:tc>
        <w:tc>
          <w:tcPr>
            <w:tcW w:w="938" w:type="dxa"/>
            <w:tcBorders>
              <w:top w:val="nil"/>
              <w:left w:val="nil"/>
              <w:bottom w:val="single" w:sz="8" w:space="0" w:color="auto"/>
              <w:right w:val="single" w:sz="8" w:space="0" w:color="auto"/>
            </w:tcBorders>
            <w:shd w:val="clear" w:color="auto" w:fill="auto"/>
            <w:noWrap/>
            <w:vAlign w:val="center"/>
            <w:hideMark/>
          </w:tcPr>
          <w:p w14:paraId="26C6F010"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938" w:type="dxa"/>
            <w:tcBorders>
              <w:top w:val="nil"/>
              <w:left w:val="nil"/>
              <w:bottom w:val="single" w:sz="8" w:space="0" w:color="auto"/>
              <w:right w:val="single" w:sz="8" w:space="0" w:color="auto"/>
            </w:tcBorders>
            <w:shd w:val="clear" w:color="auto" w:fill="auto"/>
            <w:vAlign w:val="center"/>
            <w:hideMark/>
          </w:tcPr>
          <w:p w14:paraId="38F4513B"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10,000</w:t>
            </w:r>
          </w:p>
        </w:tc>
        <w:tc>
          <w:tcPr>
            <w:tcW w:w="1372" w:type="dxa"/>
            <w:tcBorders>
              <w:top w:val="nil"/>
              <w:left w:val="nil"/>
              <w:bottom w:val="single" w:sz="8" w:space="0" w:color="auto"/>
              <w:right w:val="single" w:sz="8" w:space="0" w:color="auto"/>
            </w:tcBorders>
            <w:shd w:val="clear" w:color="auto" w:fill="auto"/>
            <w:noWrap/>
            <w:vAlign w:val="center"/>
            <w:hideMark/>
          </w:tcPr>
          <w:p w14:paraId="0FDD1FD9"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422,000</w:t>
            </w:r>
          </w:p>
        </w:tc>
        <w:tc>
          <w:tcPr>
            <w:tcW w:w="690" w:type="dxa"/>
            <w:tcBorders>
              <w:top w:val="nil"/>
              <w:left w:val="nil"/>
              <w:bottom w:val="single" w:sz="8" w:space="0" w:color="auto"/>
              <w:right w:val="single" w:sz="8" w:space="0" w:color="auto"/>
            </w:tcBorders>
            <w:shd w:val="clear" w:color="auto" w:fill="auto"/>
            <w:vAlign w:val="center"/>
            <w:hideMark/>
          </w:tcPr>
          <w:p w14:paraId="311B9263"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18</w:t>
            </w:r>
          </w:p>
        </w:tc>
      </w:tr>
      <w:tr w:rsidR="001F45CE" w:rsidRPr="00913CCF" w14:paraId="1C35AA60" w14:textId="77777777" w:rsidTr="004205FD">
        <w:trPr>
          <w:trHeight w:val="225"/>
        </w:trPr>
        <w:tc>
          <w:tcPr>
            <w:tcW w:w="1354" w:type="dxa"/>
            <w:vMerge/>
            <w:tcBorders>
              <w:top w:val="nil"/>
              <w:left w:val="single" w:sz="8" w:space="0" w:color="auto"/>
              <w:bottom w:val="double" w:sz="6" w:space="0" w:color="000000"/>
              <w:right w:val="single" w:sz="8" w:space="0" w:color="auto"/>
            </w:tcBorders>
            <w:shd w:val="clear" w:color="auto" w:fill="auto"/>
            <w:vAlign w:val="center"/>
            <w:hideMark/>
          </w:tcPr>
          <w:p w14:paraId="661A1739"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nil"/>
              <w:left w:val="single" w:sz="8" w:space="0" w:color="auto"/>
              <w:bottom w:val="double" w:sz="6" w:space="0" w:color="000000"/>
              <w:right w:val="single" w:sz="8" w:space="0" w:color="auto"/>
            </w:tcBorders>
            <w:shd w:val="clear" w:color="auto" w:fill="auto"/>
            <w:vAlign w:val="center"/>
            <w:hideMark/>
          </w:tcPr>
          <w:p w14:paraId="11F9DA99"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3943E0D8"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7C15A052"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single" w:sz="8" w:space="0" w:color="auto"/>
              <w:right w:val="single" w:sz="8" w:space="0" w:color="auto"/>
            </w:tcBorders>
            <w:shd w:val="clear" w:color="auto" w:fill="auto"/>
            <w:noWrap/>
            <w:vAlign w:val="center"/>
            <w:hideMark/>
          </w:tcPr>
          <w:p w14:paraId="64B47288"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72200</w:t>
            </w:r>
          </w:p>
        </w:tc>
        <w:tc>
          <w:tcPr>
            <w:tcW w:w="1186" w:type="dxa"/>
            <w:tcBorders>
              <w:top w:val="nil"/>
              <w:left w:val="nil"/>
              <w:bottom w:val="single" w:sz="8" w:space="0" w:color="auto"/>
              <w:right w:val="single" w:sz="8" w:space="0" w:color="auto"/>
            </w:tcBorders>
            <w:shd w:val="clear" w:color="auto" w:fill="auto"/>
            <w:vAlign w:val="center"/>
            <w:hideMark/>
          </w:tcPr>
          <w:p w14:paraId="799AB846" w14:textId="77777777" w:rsidR="001F45CE" w:rsidRPr="00913CCF" w:rsidRDefault="001F45CE" w:rsidP="001F45CE">
            <w:pPr>
              <w:spacing w:after="0"/>
              <w:jc w:val="left"/>
              <w:rPr>
                <w:rFonts w:eastAsia="Times New Roman" w:cs="Calibri"/>
                <w:color w:val="000000"/>
                <w:sz w:val="16"/>
                <w:szCs w:val="16"/>
              </w:rPr>
            </w:pPr>
            <w:r w:rsidRPr="00913CCF">
              <w:rPr>
                <w:rFonts w:eastAsia="Times New Roman" w:cs="Calibri"/>
                <w:color w:val="000000"/>
                <w:sz w:val="16"/>
                <w:szCs w:val="16"/>
              </w:rPr>
              <w:t>Equip. Furniture</w:t>
            </w:r>
          </w:p>
        </w:tc>
        <w:tc>
          <w:tcPr>
            <w:tcW w:w="1155" w:type="dxa"/>
            <w:tcBorders>
              <w:top w:val="nil"/>
              <w:left w:val="nil"/>
              <w:bottom w:val="single" w:sz="8" w:space="0" w:color="auto"/>
              <w:right w:val="single" w:sz="8" w:space="0" w:color="auto"/>
            </w:tcBorders>
            <w:shd w:val="clear" w:color="auto" w:fill="auto"/>
            <w:noWrap/>
            <w:vAlign w:val="center"/>
            <w:hideMark/>
          </w:tcPr>
          <w:p w14:paraId="3F9C52B6" w14:textId="10206FBF" w:rsidR="001F45CE" w:rsidRPr="00EF6D8E" w:rsidRDefault="001F45CE" w:rsidP="001F45CE">
            <w:pPr>
              <w:spacing w:after="0"/>
              <w:jc w:val="center"/>
              <w:rPr>
                <w:rFonts w:eastAsia="Times New Roman" w:cs="Calibri"/>
                <w:color w:val="000000"/>
                <w:sz w:val="16"/>
                <w:szCs w:val="16"/>
              </w:rPr>
            </w:pPr>
            <w:r w:rsidRPr="00EF6D8E">
              <w:rPr>
                <w:rFonts w:eastAsia="Times New Roman" w:cs="Calibri"/>
                <w:color w:val="000000"/>
                <w:sz w:val="16"/>
                <w:szCs w:val="16"/>
              </w:rPr>
              <w:t>161,200</w:t>
            </w:r>
          </w:p>
        </w:tc>
        <w:tc>
          <w:tcPr>
            <w:tcW w:w="1010" w:type="dxa"/>
            <w:tcBorders>
              <w:top w:val="nil"/>
              <w:left w:val="nil"/>
              <w:bottom w:val="single" w:sz="8" w:space="0" w:color="auto"/>
              <w:right w:val="single" w:sz="8" w:space="0" w:color="auto"/>
            </w:tcBorders>
            <w:shd w:val="clear" w:color="auto" w:fill="auto"/>
            <w:noWrap/>
            <w:vAlign w:val="center"/>
            <w:hideMark/>
          </w:tcPr>
          <w:p w14:paraId="6B1DDE91"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4,000</w:t>
            </w:r>
          </w:p>
        </w:tc>
        <w:tc>
          <w:tcPr>
            <w:tcW w:w="938" w:type="dxa"/>
            <w:tcBorders>
              <w:top w:val="nil"/>
              <w:left w:val="nil"/>
              <w:bottom w:val="single" w:sz="8" w:space="0" w:color="auto"/>
              <w:right w:val="single" w:sz="8" w:space="0" w:color="auto"/>
            </w:tcBorders>
            <w:shd w:val="clear" w:color="auto" w:fill="auto"/>
            <w:noWrap/>
            <w:vAlign w:val="center"/>
            <w:hideMark/>
          </w:tcPr>
          <w:p w14:paraId="73F04155"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215,400</w:t>
            </w:r>
          </w:p>
        </w:tc>
        <w:tc>
          <w:tcPr>
            <w:tcW w:w="938" w:type="dxa"/>
            <w:tcBorders>
              <w:top w:val="nil"/>
              <w:left w:val="nil"/>
              <w:bottom w:val="single" w:sz="8" w:space="0" w:color="auto"/>
              <w:right w:val="single" w:sz="8" w:space="0" w:color="auto"/>
            </w:tcBorders>
            <w:shd w:val="clear" w:color="auto" w:fill="auto"/>
            <w:noWrap/>
            <w:vAlign w:val="center"/>
            <w:hideMark/>
          </w:tcPr>
          <w:p w14:paraId="63074001"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104,000</w:t>
            </w:r>
          </w:p>
        </w:tc>
        <w:tc>
          <w:tcPr>
            <w:tcW w:w="938" w:type="dxa"/>
            <w:tcBorders>
              <w:top w:val="nil"/>
              <w:left w:val="nil"/>
              <w:bottom w:val="single" w:sz="8" w:space="0" w:color="auto"/>
              <w:right w:val="single" w:sz="8" w:space="0" w:color="auto"/>
            </w:tcBorders>
            <w:shd w:val="clear" w:color="auto" w:fill="auto"/>
            <w:noWrap/>
            <w:vAlign w:val="center"/>
            <w:hideMark/>
          </w:tcPr>
          <w:p w14:paraId="282F5662"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4,000</w:t>
            </w:r>
          </w:p>
        </w:tc>
        <w:tc>
          <w:tcPr>
            <w:tcW w:w="938" w:type="dxa"/>
            <w:tcBorders>
              <w:top w:val="nil"/>
              <w:left w:val="nil"/>
              <w:bottom w:val="single" w:sz="8" w:space="0" w:color="auto"/>
              <w:right w:val="single" w:sz="8" w:space="0" w:color="auto"/>
            </w:tcBorders>
            <w:shd w:val="clear" w:color="auto" w:fill="auto"/>
            <w:vAlign w:val="center"/>
            <w:hideMark/>
          </w:tcPr>
          <w:p w14:paraId="3B11B648"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4,000</w:t>
            </w:r>
          </w:p>
        </w:tc>
        <w:tc>
          <w:tcPr>
            <w:tcW w:w="1372" w:type="dxa"/>
            <w:tcBorders>
              <w:top w:val="nil"/>
              <w:left w:val="nil"/>
              <w:bottom w:val="single" w:sz="8" w:space="0" w:color="auto"/>
              <w:right w:val="single" w:sz="8" w:space="0" w:color="auto"/>
            </w:tcBorders>
            <w:shd w:val="clear" w:color="auto" w:fill="auto"/>
            <w:noWrap/>
            <w:vAlign w:val="center"/>
            <w:hideMark/>
          </w:tcPr>
          <w:p w14:paraId="318AC957" w14:textId="476BB7EC" w:rsidR="001F45CE" w:rsidRPr="00EF6D8E"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492,600</w:t>
            </w:r>
          </w:p>
        </w:tc>
        <w:tc>
          <w:tcPr>
            <w:tcW w:w="690" w:type="dxa"/>
            <w:tcBorders>
              <w:top w:val="nil"/>
              <w:left w:val="nil"/>
              <w:bottom w:val="single" w:sz="8" w:space="0" w:color="auto"/>
              <w:right w:val="single" w:sz="8" w:space="0" w:color="auto"/>
            </w:tcBorders>
            <w:shd w:val="clear" w:color="auto" w:fill="auto"/>
            <w:vAlign w:val="center"/>
            <w:hideMark/>
          </w:tcPr>
          <w:p w14:paraId="345AD8A3"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19</w:t>
            </w:r>
          </w:p>
        </w:tc>
      </w:tr>
      <w:tr w:rsidR="001F45CE" w:rsidRPr="00913CCF" w14:paraId="64D15F12" w14:textId="77777777" w:rsidTr="004205FD">
        <w:trPr>
          <w:trHeight w:val="135"/>
        </w:trPr>
        <w:tc>
          <w:tcPr>
            <w:tcW w:w="1354" w:type="dxa"/>
            <w:vMerge/>
            <w:tcBorders>
              <w:top w:val="nil"/>
              <w:left w:val="single" w:sz="8" w:space="0" w:color="auto"/>
              <w:bottom w:val="double" w:sz="6" w:space="0" w:color="000000"/>
              <w:right w:val="single" w:sz="8" w:space="0" w:color="auto"/>
            </w:tcBorders>
            <w:shd w:val="clear" w:color="auto" w:fill="auto"/>
            <w:vAlign w:val="center"/>
            <w:hideMark/>
          </w:tcPr>
          <w:p w14:paraId="51D5F173"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nil"/>
              <w:left w:val="single" w:sz="8" w:space="0" w:color="auto"/>
              <w:bottom w:val="double" w:sz="6" w:space="0" w:color="000000"/>
              <w:right w:val="single" w:sz="8" w:space="0" w:color="auto"/>
            </w:tcBorders>
            <w:shd w:val="clear" w:color="auto" w:fill="auto"/>
            <w:vAlign w:val="center"/>
            <w:hideMark/>
          </w:tcPr>
          <w:p w14:paraId="179CBB0C"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72C06EE8"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5B6BB949"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single" w:sz="8" w:space="0" w:color="auto"/>
              <w:right w:val="single" w:sz="8" w:space="0" w:color="auto"/>
            </w:tcBorders>
            <w:shd w:val="clear" w:color="auto" w:fill="auto"/>
            <w:noWrap/>
            <w:vAlign w:val="center"/>
            <w:hideMark/>
          </w:tcPr>
          <w:p w14:paraId="4EAFFADD"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72300</w:t>
            </w:r>
          </w:p>
        </w:tc>
        <w:tc>
          <w:tcPr>
            <w:tcW w:w="1186" w:type="dxa"/>
            <w:tcBorders>
              <w:top w:val="nil"/>
              <w:left w:val="nil"/>
              <w:bottom w:val="single" w:sz="8" w:space="0" w:color="auto"/>
              <w:right w:val="single" w:sz="8" w:space="0" w:color="auto"/>
            </w:tcBorders>
            <w:shd w:val="clear" w:color="auto" w:fill="auto"/>
            <w:vAlign w:val="center"/>
            <w:hideMark/>
          </w:tcPr>
          <w:p w14:paraId="5037C5DA" w14:textId="77777777" w:rsidR="001F45CE" w:rsidRPr="00913CCF" w:rsidRDefault="001F45CE" w:rsidP="001F45CE">
            <w:pPr>
              <w:spacing w:after="0"/>
              <w:jc w:val="left"/>
              <w:rPr>
                <w:rFonts w:eastAsia="Times New Roman" w:cs="Calibri"/>
                <w:color w:val="000000"/>
                <w:sz w:val="16"/>
                <w:szCs w:val="16"/>
              </w:rPr>
            </w:pPr>
            <w:r w:rsidRPr="00913CCF">
              <w:rPr>
                <w:rFonts w:eastAsia="Times New Roman" w:cs="Calibri"/>
                <w:color w:val="000000"/>
                <w:sz w:val="16"/>
                <w:szCs w:val="16"/>
              </w:rPr>
              <w:t>Material &amp; Goods</w:t>
            </w:r>
          </w:p>
        </w:tc>
        <w:tc>
          <w:tcPr>
            <w:tcW w:w="1155" w:type="dxa"/>
            <w:tcBorders>
              <w:top w:val="nil"/>
              <w:left w:val="nil"/>
              <w:bottom w:val="single" w:sz="8" w:space="0" w:color="auto"/>
              <w:right w:val="single" w:sz="8" w:space="0" w:color="auto"/>
            </w:tcBorders>
            <w:shd w:val="clear" w:color="auto" w:fill="auto"/>
            <w:noWrap/>
            <w:vAlign w:val="center"/>
            <w:hideMark/>
          </w:tcPr>
          <w:p w14:paraId="06AE26AC"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1010" w:type="dxa"/>
            <w:tcBorders>
              <w:top w:val="nil"/>
              <w:left w:val="nil"/>
              <w:bottom w:val="single" w:sz="8" w:space="0" w:color="auto"/>
              <w:right w:val="single" w:sz="8" w:space="0" w:color="auto"/>
            </w:tcBorders>
            <w:shd w:val="clear" w:color="auto" w:fill="auto"/>
            <w:noWrap/>
            <w:vAlign w:val="center"/>
            <w:hideMark/>
          </w:tcPr>
          <w:p w14:paraId="620E4C3B"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35,000</w:t>
            </w:r>
          </w:p>
        </w:tc>
        <w:tc>
          <w:tcPr>
            <w:tcW w:w="938" w:type="dxa"/>
            <w:tcBorders>
              <w:top w:val="nil"/>
              <w:left w:val="nil"/>
              <w:bottom w:val="single" w:sz="8" w:space="0" w:color="auto"/>
              <w:right w:val="single" w:sz="8" w:space="0" w:color="auto"/>
            </w:tcBorders>
            <w:shd w:val="clear" w:color="auto" w:fill="auto"/>
            <w:noWrap/>
            <w:vAlign w:val="center"/>
            <w:hideMark/>
          </w:tcPr>
          <w:p w14:paraId="598F52AB"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155,000</w:t>
            </w:r>
          </w:p>
        </w:tc>
        <w:tc>
          <w:tcPr>
            <w:tcW w:w="938" w:type="dxa"/>
            <w:tcBorders>
              <w:top w:val="nil"/>
              <w:left w:val="nil"/>
              <w:bottom w:val="single" w:sz="8" w:space="0" w:color="auto"/>
              <w:right w:val="single" w:sz="8" w:space="0" w:color="auto"/>
            </w:tcBorders>
            <w:shd w:val="clear" w:color="auto" w:fill="auto"/>
            <w:noWrap/>
            <w:vAlign w:val="center"/>
            <w:hideMark/>
          </w:tcPr>
          <w:p w14:paraId="6A633ECA"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145,000</w:t>
            </w:r>
          </w:p>
        </w:tc>
        <w:tc>
          <w:tcPr>
            <w:tcW w:w="938" w:type="dxa"/>
            <w:tcBorders>
              <w:top w:val="nil"/>
              <w:left w:val="nil"/>
              <w:bottom w:val="single" w:sz="8" w:space="0" w:color="auto"/>
              <w:right w:val="single" w:sz="8" w:space="0" w:color="auto"/>
            </w:tcBorders>
            <w:shd w:val="clear" w:color="auto" w:fill="auto"/>
            <w:noWrap/>
            <w:vAlign w:val="center"/>
            <w:hideMark/>
          </w:tcPr>
          <w:p w14:paraId="7C6CAEF6"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145,000</w:t>
            </w:r>
          </w:p>
        </w:tc>
        <w:tc>
          <w:tcPr>
            <w:tcW w:w="938" w:type="dxa"/>
            <w:tcBorders>
              <w:top w:val="nil"/>
              <w:left w:val="nil"/>
              <w:bottom w:val="single" w:sz="8" w:space="0" w:color="auto"/>
              <w:right w:val="single" w:sz="8" w:space="0" w:color="auto"/>
            </w:tcBorders>
            <w:shd w:val="clear" w:color="auto" w:fill="auto"/>
            <w:vAlign w:val="center"/>
            <w:hideMark/>
          </w:tcPr>
          <w:p w14:paraId="7080FC90"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1372" w:type="dxa"/>
            <w:tcBorders>
              <w:top w:val="nil"/>
              <w:left w:val="nil"/>
              <w:bottom w:val="single" w:sz="8" w:space="0" w:color="auto"/>
              <w:right w:val="single" w:sz="8" w:space="0" w:color="auto"/>
            </w:tcBorders>
            <w:shd w:val="clear" w:color="auto" w:fill="auto"/>
            <w:noWrap/>
            <w:vAlign w:val="center"/>
            <w:hideMark/>
          </w:tcPr>
          <w:p w14:paraId="1F66216B"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480,000</w:t>
            </w:r>
          </w:p>
        </w:tc>
        <w:tc>
          <w:tcPr>
            <w:tcW w:w="690" w:type="dxa"/>
            <w:tcBorders>
              <w:top w:val="nil"/>
              <w:left w:val="nil"/>
              <w:bottom w:val="single" w:sz="8" w:space="0" w:color="auto"/>
              <w:right w:val="single" w:sz="8" w:space="0" w:color="auto"/>
            </w:tcBorders>
            <w:shd w:val="clear" w:color="auto" w:fill="auto"/>
            <w:vAlign w:val="center"/>
            <w:hideMark/>
          </w:tcPr>
          <w:p w14:paraId="2C1CB826"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20</w:t>
            </w:r>
          </w:p>
        </w:tc>
      </w:tr>
      <w:tr w:rsidR="001F45CE" w:rsidRPr="00913CCF" w14:paraId="79E64621" w14:textId="77777777" w:rsidTr="004205FD">
        <w:trPr>
          <w:trHeight w:val="162"/>
        </w:trPr>
        <w:tc>
          <w:tcPr>
            <w:tcW w:w="1354" w:type="dxa"/>
            <w:vMerge/>
            <w:tcBorders>
              <w:top w:val="nil"/>
              <w:left w:val="single" w:sz="8" w:space="0" w:color="auto"/>
              <w:bottom w:val="double" w:sz="6" w:space="0" w:color="000000"/>
              <w:right w:val="single" w:sz="8" w:space="0" w:color="auto"/>
            </w:tcBorders>
            <w:shd w:val="clear" w:color="auto" w:fill="auto"/>
            <w:vAlign w:val="center"/>
            <w:hideMark/>
          </w:tcPr>
          <w:p w14:paraId="4F392A80"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nil"/>
              <w:left w:val="single" w:sz="8" w:space="0" w:color="auto"/>
              <w:bottom w:val="double" w:sz="6" w:space="0" w:color="000000"/>
              <w:right w:val="single" w:sz="8" w:space="0" w:color="auto"/>
            </w:tcBorders>
            <w:shd w:val="clear" w:color="auto" w:fill="auto"/>
            <w:vAlign w:val="center"/>
            <w:hideMark/>
          </w:tcPr>
          <w:p w14:paraId="5F205F18"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77ECF973"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592AB9E5"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single" w:sz="8" w:space="0" w:color="auto"/>
              <w:right w:val="single" w:sz="8" w:space="0" w:color="auto"/>
            </w:tcBorders>
            <w:shd w:val="clear" w:color="auto" w:fill="auto"/>
            <w:noWrap/>
            <w:vAlign w:val="center"/>
            <w:hideMark/>
          </w:tcPr>
          <w:p w14:paraId="572A6F9D"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72800</w:t>
            </w:r>
          </w:p>
        </w:tc>
        <w:tc>
          <w:tcPr>
            <w:tcW w:w="1186" w:type="dxa"/>
            <w:tcBorders>
              <w:top w:val="nil"/>
              <w:left w:val="nil"/>
              <w:bottom w:val="single" w:sz="8" w:space="0" w:color="auto"/>
              <w:right w:val="single" w:sz="8" w:space="0" w:color="auto"/>
            </w:tcBorders>
            <w:shd w:val="clear" w:color="auto" w:fill="auto"/>
            <w:vAlign w:val="center"/>
            <w:hideMark/>
          </w:tcPr>
          <w:p w14:paraId="1208C9AE" w14:textId="77777777" w:rsidR="001F45CE" w:rsidRPr="00913CCF" w:rsidRDefault="001F45CE" w:rsidP="001F45CE">
            <w:pPr>
              <w:spacing w:after="0"/>
              <w:jc w:val="left"/>
              <w:rPr>
                <w:rFonts w:eastAsia="Times New Roman" w:cs="Calibri"/>
                <w:color w:val="000000"/>
                <w:sz w:val="16"/>
                <w:szCs w:val="16"/>
              </w:rPr>
            </w:pPr>
            <w:r w:rsidRPr="00913CCF">
              <w:rPr>
                <w:rFonts w:eastAsia="Times New Roman" w:cs="Calibri"/>
                <w:color w:val="000000"/>
                <w:sz w:val="16"/>
                <w:szCs w:val="16"/>
              </w:rPr>
              <w:t>Info. Tech. Equip</w:t>
            </w:r>
          </w:p>
        </w:tc>
        <w:tc>
          <w:tcPr>
            <w:tcW w:w="1155" w:type="dxa"/>
            <w:tcBorders>
              <w:top w:val="nil"/>
              <w:left w:val="nil"/>
              <w:bottom w:val="single" w:sz="8" w:space="0" w:color="auto"/>
              <w:right w:val="single" w:sz="8" w:space="0" w:color="auto"/>
            </w:tcBorders>
            <w:shd w:val="clear" w:color="auto" w:fill="auto"/>
            <w:noWrap/>
            <w:vAlign w:val="center"/>
            <w:hideMark/>
          </w:tcPr>
          <w:p w14:paraId="762DE469"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100,000</w:t>
            </w:r>
          </w:p>
        </w:tc>
        <w:tc>
          <w:tcPr>
            <w:tcW w:w="1010" w:type="dxa"/>
            <w:tcBorders>
              <w:top w:val="nil"/>
              <w:left w:val="nil"/>
              <w:bottom w:val="single" w:sz="8" w:space="0" w:color="auto"/>
              <w:right w:val="single" w:sz="8" w:space="0" w:color="auto"/>
            </w:tcBorders>
            <w:shd w:val="clear" w:color="auto" w:fill="auto"/>
            <w:noWrap/>
            <w:vAlign w:val="center"/>
            <w:hideMark/>
          </w:tcPr>
          <w:p w14:paraId="59A085EE"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938" w:type="dxa"/>
            <w:tcBorders>
              <w:top w:val="nil"/>
              <w:left w:val="nil"/>
              <w:bottom w:val="single" w:sz="8" w:space="0" w:color="auto"/>
              <w:right w:val="single" w:sz="8" w:space="0" w:color="auto"/>
            </w:tcBorders>
            <w:shd w:val="clear" w:color="auto" w:fill="auto"/>
            <w:noWrap/>
            <w:vAlign w:val="center"/>
            <w:hideMark/>
          </w:tcPr>
          <w:p w14:paraId="7E3EE9FA"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938" w:type="dxa"/>
            <w:tcBorders>
              <w:top w:val="nil"/>
              <w:left w:val="nil"/>
              <w:bottom w:val="single" w:sz="8" w:space="0" w:color="auto"/>
              <w:right w:val="single" w:sz="8" w:space="0" w:color="auto"/>
            </w:tcBorders>
            <w:shd w:val="clear" w:color="auto" w:fill="auto"/>
            <w:noWrap/>
            <w:vAlign w:val="center"/>
            <w:hideMark/>
          </w:tcPr>
          <w:p w14:paraId="4EA318F3"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938" w:type="dxa"/>
            <w:tcBorders>
              <w:top w:val="nil"/>
              <w:left w:val="nil"/>
              <w:bottom w:val="single" w:sz="8" w:space="0" w:color="auto"/>
              <w:right w:val="single" w:sz="8" w:space="0" w:color="auto"/>
            </w:tcBorders>
            <w:shd w:val="clear" w:color="auto" w:fill="auto"/>
            <w:noWrap/>
            <w:vAlign w:val="center"/>
            <w:hideMark/>
          </w:tcPr>
          <w:p w14:paraId="6201094D"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938" w:type="dxa"/>
            <w:tcBorders>
              <w:top w:val="nil"/>
              <w:left w:val="nil"/>
              <w:bottom w:val="single" w:sz="8" w:space="0" w:color="auto"/>
              <w:right w:val="single" w:sz="8" w:space="0" w:color="auto"/>
            </w:tcBorders>
            <w:shd w:val="clear" w:color="auto" w:fill="auto"/>
            <w:vAlign w:val="center"/>
            <w:hideMark/>
          </w:tcPr>
          <w:p w14:paraId="5CCEC5CF"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1372" w:type="dxa"/>
            <w:tcBorders>
              <w:top w:val="nil"/>
              <w:left w:val="nil"/>
              <w:bottom w:val="single" w:sz="8" w:space="0" w:color="auto"/>
              <w:right w:val="single" w:sz="8" w:space="0" w:color="auto"/>
            </w:tcBorders>
            <w:shd w:val="clear" w:color="auto" w:fill="auto"/>
            <w:noWrap/>
            <w:vAlign w:val="center"/>
            <w:hideMark/>
          </w:tcPr>
          <w:p w14:paraId="03877330"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100,000</w:t>
            </w:r>
          </w:p>
        </w:tc>
        <w:tc>
          <w:tcPr>
            <w:tcW w:w="690" w:type="dxa"/>
            <w:tcBorders>
              <w:top w:val="nil"/>
              <w:left w:val="nil"/>
              <w:bottom w:val="single" w:sz="8" w:space="0" w:color="auto"/>
              <w:right w:val="single" w:sz="8" w:space="0" w:color="auto"/>
            </w:tcBorders>
            <w:shd w:val="clear" w:color="auto" w:fill="auto"/>
            <w:vAlign w:val="center"/>
            <w:hideMark/>
          </w:tcPr>
          <w:p w14:paraId="7E5ABBDF"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21</w:t>
            </w:r>
          </w:p>
        </w:tc>
      </w:tr>
      <w:tr w:rsidR="001F45CE" w:rsidRPr="00913CCF" w14:paraId="31ED753B" w14:textId="77777777" w:rsidTr="004205FD">
        <w:trPr>
          <w:trHeight w:val="198"/>
        </w:trPr>
        <w:tc>
          <w:tcPr>
            <w:tcW w:w="1354" w:type="dxa"/>
            <w:vMerge/>
            <w:tcBorders>
              <w:top w:val="nil"/>
              <w:left w:val="single" w:sz="8" w:space="0" w:color="auto"/>
              <w:bottom w:val="double" w:sz="6" w:space="0" w:color="000000"/>
              <w:right w:val="single" w:sz="8" w:space="0" w:color="auto"/>
            </w:tcBorders>
            <w:shd w:val="clear" w:color="auto" w:fill="auto"/>
            <w:vAlign w:val="center"/>
            <w:hideMark/>
          </w:tcPr>
          <w:p w14:paraId="121D6464"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nil"/>
              <w:left w:val="single" w:sz="8" w:space="0" w:color="auto"/>
              <w:bottom w:val="double" w:sz="6" w:space="0" w:color="000000"/>
              <w:right w:val="single" w:sz="8" w:space="0" w:color="auto"/>
            </w:tcBorders>
            <w:shd w:val="clear" w:color="auto" w:fill="auto"/>
            <w:vAlign w:val="center"/>
            <w:hideMark/>
          </w:tcPr>
          <w:p w14:paraId="0CA1024F"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17E24A19"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5F4159CD"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single" w:sz="8" w:space="0" w:color="auto"/>
              <w:right w:val="single" w:sz="8" w:space="0" w:color="auto"/>
            </w:tcBorders>
            <w:shd w:val="clear" w:color="auto" w:fill="auto"/>
            <w:noWrap/>
            <w:vAlign w:val="center"/>
            <w:hideMark/>
          </w:tcPr>
          <w:p w14:paraId="691EFA91"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74200</w:t>
            </w:r>
          </w:p>
        </w:tc>
        <w:tc>
          <w:tcPr>
            <w:tcW w:w="1186" w:type="dxa"/>
            <w:tcBorders>
              <w:top w:val="nil"/>
              <w:left w:val="nil"/>
              <w:bottom w:val="single" w:sz="8" w:space="0" w:color="auto"/>
              <w:right w:val="single" w:sz="8" w:space="0" w:color="auto"/>
            </w:tcBorders>
            <w:shd w:val="clear" w:color="auto" w:fill="auto"/>
            <w:vAlign w:val="center"/>
            <w:hideMark/>
          </w:tcPr>
          <w:p w14:paraId="647F787F" w14:textId="77777777" w:rsidR="001F45CE" w:rsidRPr="00913CCF" w:rsidRDefault="001F45CE" w:rsidP="001F45CE">
            <w:pPr>
              <w:spacing w:after="0"/>
              <w:jc w:val="left"/>
              <w:rPr>
                <w:rFonts w:eastAsia="Times New Roman" w:cs="Calibri"/>
                <w:color w:val="000000"/>
                <w:sz w:val="16"/>
                <w:szCs w:val="16"/>
              </w:rPr>
            </w:pPr>
            <w:r w:rsidRPr="00913CCF">
              <w:rPr>
                <w:rFonts w:eastAsia="Times New Roman" w:cs="Calibri"/>
                <w:color w:val="000000"/>
                <w:sz w:val="16"/>
                <w:szCs w:val="16"/>
                <w:lang w:val="fr-CA"/>
              </w:rPr>
              <w:t>Audiov. print prod.</w:t>
            </w:r>
          </w:p>
        </w:tc>
        <w:tc>
          <w:tcPr>
            <w:tcW w:w="1155" w:type="dxa"/>
            <w:tcBorders>
              <w:top w:val="nil"/>
              <w:left w:val="nil"/>
              <w:bottom w:val="single" w:sz="8" w:space="0" w:color="auto"/>
              <w:right w:val="single" w:sz="8" w:space="0" w:color="auto"/>
            </w:tcBorders>
            <w:shd w:val="clear" w:color="auto" w:fill="auto"/>
            <w:noWrap/>
            <w:vAlign w:val="center"/>
            <w:hideMark/>
          </w:tcPr>
          <w:p w14:paraId="093E8897"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lang w:val="fr-CA"/>
              </w:rPr>
              <w:t>0</w:t>
            </w:r>
          </w:p>
        </w:tc>
        <w:tc>
          <w:tcPr>
            <w:tcW w:w="1010" w:type="dxa"/>
            <w:tcBorders>
              <w:top w:val="nil"/>
              <w:left w:val="nil"/>
              <w:bottom w:val="single" w:sz="8" w:space="0" w:color="auto"/>
              <w:right w:val="single" w:sz="8" w:space="0" w:color="auto"/>
            </w:tcBorders>
            <w:shd w:val="clear" w:color="auto" w:fill="auto"/>
            <w:noWrap/>
            <w:vAlign w:val="center"/>
            <w:hideMark/>
          </w:tcPr>
          <w:p w14:paraId="3F0AC446"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lang w:val="fr-CA"/>
              </w:rPr>
              <w:t>10,000</w:t>
            </w:r>
          </w:p>
        </w:tc>
        <w:tc>
          <w:tcPr>
            <w:tcW w:w="938" w:type="dxa"/>
            <w:tcBorders>
              <w:top w:val="nil"/>
              <w:left w:val="nil"/>
              <w:bottom w:val="single" w:sz="8" w:space="0" w:color="auto"/>
              <w:right w:val="single" w:sz="8" w:space="0" w:color="auto"/>
            </w:tcBorders>
            <w:shd w:val="clear" w:color="auto" w:fill="auto"/>
            <w:noWrap/>
            <w:vAlign w:val="center"/>
            <w:hideMark/>
          </w:tcPr>
          <w:p w14:paraId="1B188CD8"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lang w:val="fr-CA"/>
              </w:rPr>
              <w:t>0</w:t>
            </w:r>
          </w:p>
        </w:tc>
        <w:tc>
          <w:tcPr>
            <w:tcW w:w="938" w:type="dxa"/>
            <w:tcBorders>
              <w:top w:val="nil"/>
              <w:left w:val="nil"/>
              <w:bottom w:val="single" w:sz="8" w:space="0" w:color="auto"/>
              <w:right w:val="single" w:sz="8" w:space="0" w:color="auto"/>
            </w:tcBorders>
            <w:shd w:val="clear" w:color="auto" w:fill="auto"/>
            <w:noWrap/>
            <w:vAlign w:val="center"/>
            <w:hideMark/>
          </w:tcPr>
          <w:p w14:paraId="17E00506"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lang w:val="fr-CA"/>
              </w:rPr>
              <w:t>20,000</w:t>
            </w:r>
          </w:p>
        </w:tc>
        <w:tc>
          <w:tcPr>
            <w:tcW w:w="938" w:type="dxa"/>
            <w:tcBorders>
              <w:top w:val="nil"/>
              <w:left w:val="nil"/>
              <w:bottom w:val="single" w:sz="8" w:space="0" w:color="auto"/>
              <w:right w:val="single" w:sz="8" w:space="0" w:color="auto"/>
            </w:tcBorders>
            <w:shd w:val="clear" w:color="auto" w:fill="auto"/>
            <w:noWrap/>
            <w:vAlign w:val="center"/>
            <w:hideMark/>
          </w:tcPr>
          <w:p w14:paraId="082D86C2"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lang w:val="fr-CA"/>
              </w:rPr>
              <w:t>20,000</w:t>
            </w:r>
          </w:p>
        </w:tc>
        <w:tc>
          <w:tcPr>
            <w:tcW w:w="938" w:type="dxa"/>
            <w:tcBorders>
              <w:top w:val="nil"/>
              <w:left w:val="nil"/>
              <w:bottom w:val="single" w:sz="8" w:space="0" w:color="auto"/>
              <w:right w:val="single" w:sz="8" w:space="0" w:color="auto"/>
            </w:tcBorders>
            <w:shd w:val="clear" w:color="auto" w:fill="auto"/>
            <w:vAlign w:val="center"/>
            <w:hideMark/>
          </w:tcPr>
          <w:p w14:paraId="55977034"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lang w:val="fr-CA"/>
              </w:rPr>
              <w:t>0</w:t>
            </w:r>
          </w:p>
        </w:tc>
        <w:tc>
          <w:tcPr>
            <w:tcW w:w="1372" w:type="dxa"/>
            <w:tcBorders>
              <w:top w:val="nil"/>
              <w:left w:val="nil"/>
              <w:bottom w:val="single" w:sz="8" w:space="0" w:color="auto"/>
              <w:right w:val="single" w:sz="8" w:space="0" w:color="auto"/>
            </w:tcBorders>
            <w:shd w:val="clear" w:color="auto" w:fill="auto"/>
            <w:noWrap/>
            <w:vAlign w:val="center"/>
            <w:hideMark/>
          </w:tcPr>
          <w:p w14:paraId="2DB86FC8"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50,000</w:t>
            </w:r>
          </w:p>
        </w:tc>
        <w:tc>
          <w:tcPr>
            <w:tcW w:w="690" w:type="dxa"/>
            <w:tcBorders>
              <w:top w:val="nil"/>
              <w:left w:val="nil"/>
              <w:bottom w:val="single" w:sz="8" w:space="0" w:color="auto"/>
              <w:right w:val="single" w:sz="8" w:space="0" w:color="auto"/>
            </w:tcBorders>
            <w:shd w:val="clear" w:color="auto" w:fill="auto"/>
            <w:vAlign w:val="center"/>
            <w:hideMark/>
          </w:tcPr>
          <w:p w14:paraId="17A50CEC"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22</w:t>
            </w:r>
          </w:p>
        </w:tc>
      </w:tr>
      <w:tr w:rsidR="001F45CE" w:rsidRPr="00913CCF" w14:paraId="4CAEFED0" w14:textId="77777777" w:rsidTr="004205FD">
        <w:trPr>
          <w:trHeight w:val="293"/>
        </w:trPr>
        <w:tc>
          <w:tcPr>
            <w:tcW w:w="1354" w:type="dxa"/>
            <w:vMerge/>
            <w:tcBorders>
              <w:top w:val="nil"/>
              <w:left w:val="single" w:sz="8" w:space="0" w:color="auto"/>
              <w:bottom w:val="double" w:sz="6" w:space="0" w:color="000000"/>
              <w:right w:val="single" w:sz="8" w:space="0" w:color="auto"/>
            </w:tcBorders>
            <w:shd w:val="clear" w:color="auto" w:fill="auto"/>
            <w:vAlign w:val="center"/>
            <w:hideMark/>
          </w:tcPr>
          <w:p w14:paraId="7DB71473"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nil"/>
              <w:left w:val="single" w:sz="8" w:space="0" w:color="auto"/>
              <w:bottom w:val="double" w:sz="6" w:space="0" w:color="000000"/>
              <w:right w:val="single" w:sz="8" w:space="0" w:color="auto"/>
            </w:tcBorders>
            <w:shd w:val="clear" w:color="auto" w:fill="auto"/>
            <w:vAlign w:val="center"/>
            <w:hideMark/>
          </w:tcPr>
          <w:p w14:paraId="73986C92"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398A135A"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01153658"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single" w:sz="8" w:space="0" w:color="auto"/>
              <w:right w:val="single" w:sz="8" w:space="0" w:color="auto"/>
            </w:tcBorders>
            <w:shd w:val="clear" w:color="auto" w:fill="auto"/>
            <w:noWrap/>
            <w:vAlign w:val="center"/>
            <w:hideMark/>
          </w:tcPr>
          <w:p w14:paraId="25D28EDC"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74500</w:t>
            </w:r>
          </w:p>
        </w:tc>
        <w:tc>
          <w:tcPr>
            <w:tcW w:w="1186" w:type="dxa"/>
            <w:tcBorders>
              <w:top w:val="nil"/>
              <w:left w:val="nil"/>
              <w:bottom w:val="single" w:sz="8" w:space="0" w:color="auto"/>
              <w:right w:val="single" w:sz="8" w:space="0" w:color="auto"/>
            </w:tcBorders>
            <w:shd w:val="clear" w:color="auto" w:fill="auto"/>
            <w:vAlign w:val="center"/>
            <w:hideMark/>
          </w:tcPr>
          <w:p w14:paraId="19BF4CF1" w14:textId="77777777" w:rsidR="001F45CE" w:rsidRPr="00913CCF" w:rsidRDefault="001F45CE" w:rsidP="001F45CE">
            <w:pPr>
              <w:spacing w:after="0"/>
              <w:jc w:val="left"/>
              <w:rPr>
                <w:rFonts w:eastAsia="Times New Roman" w:cs="Calibri"/>
                <w:color w:val="000000"/>
                <w:sz w:val="16"/>
                <w:szCs w:val="16"/>
              </w:rPr>
            </w:pPr>
            <w:r w:rsidRPr="00913CCF">
              <w:rPr>
                <w:rFonts w:eastAsia="Times New Roman" w:cs="Calibri"/>
                <w:color w:val="000000"/>
                <w:sz w:val="16"/>
                <w:szCs w:val="16"/>
              </w:rPr>
              <w:t>Miscellaneous</w:t>
            </w:r>
          </w:p>
        </w:tc>
        <w:tc>
          <w:tcPr>
            <w:tcW w:w="1155" w:type="dxa"/>
            <w:tcBorders>
              <w:top w:val="nil"/>
              <w:left w:val="nil"/>
              <w:bottom w:val="single" w:sz="8" w:space="0" w:color="auto"/>
              <w:right w:val="single" w:sz="8" w:space="0" w:color="auto"/>
            </w:tcBorders>
            <w:shd w:val="clear" w:color="auto" w:fill="auto"/>
            <w:noWrap/>
            <w:vAlign w:val="center"/>
            <w:hideMark/>
          </w:tcPr>
          <w:p w14:paraId="5AF76F4F"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17,220</w:t>
            </w:r>
          </w:p>
        </w:tc>
        <w:tc>
          <w:tcPr>
            <w:tcW w:w="1010" w:type="dxa"/>
            <w:tcBorders>
              <w:top w:val="nil"/>
              <w:left w:val="nil"/>
              <w:bottom w:val="single" w:sz="8" w:space="0" w:color="auto"/>
              <w:right w:val="single" w:sz="8" w:space="0" w:color="auto"/>
            </w:tcBorders>
            <w:shd w:val="clear" w:color="auto" w:fill="auto"/>
            <w:noWrap/>
            <w:vAlign w:val="center"/>
            <w:hideMark/>
          </w:tcPr>
          <w:p w14:paraId="61762345"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13,000</w:t>
            </w:r>
          </w:p>
        </w:tc>
        <w:tc>
          <w:tcPr>
            <w:tcW w:w="938" w:type="dxa"/>
            <w:tcBorders>
              <w:top w:val="nil"/>
              <w:left w:val="nil"/>
              <w:bottom w:val="single" w:sz="8" w:space="0" w:color="auto"/>
              <w:right w:val="single" w:sz="8" w:space="0" w:color="auto"/>
            </w:tcBorders>
            <w:shd w:val="clear" w:color="auto" w:fill="auto"/>
            <w:noWrap/>
            <w:vAlign w:val="center"/>
            <w:hideMark/>
          </w:tcPr>
          <w:p w14:paraId="0C33F013"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13,000</w:t>
            </w:r>
          </w:p>
        </w:tc>
        <w:tc>
          <w:tcPr>
            <w:tcW w:w="938" w:type="dxa"/>
            <w:tcBorders>
              <w:top w:val="nil"/>
              <w:left w:val="nil"/>
              <w:bottom w:val="single" w:sz="8" w:space="0" w:color="auto"/>
              <w:right w:val="single" w:sz="8" w:space="0" w:color="auto"/>
            </w:tcBorders>
            <w:shd w:val="clear" w:color="auto" w:fill="auto"/>
            <w:noWrap/>
            <w:vAlign w:val="center"/>
            <w:hideMark/>
          </w:tcPr>
          <w:p w14:paraId="3F8DD2DB"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13,000</w:t>
            </w:r>
          </w:p>
        </w:tc>
        <w:tc>
          <w:tcPr>
            <w:tcW w:w="938" w:type="dxa"/>
            <w:tcBorders>
              <w:top w:val="nil"/>
              <w:left w:val="nil"/>
              <w:bottom w:val="single" w:sz="8" w:space="0" w:color="auto"/>
              <w:right w:val="single" w:sz="8" w:space="0" w:color="auto"/>
            </w:tcBorders>
            <w:shd w:val="clear" w:color="auto" w:fill="auto"/>
            <w:noWrap/>
            <w:vAlign w:val="center"/>
            <w:hideMark/>
          </w:tcPr>
          <w:p w14:paraId="3EDF001D"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13,000</w:t>
            </w:r>
          </w:p>
        </w:tc>
        <w:tc>
          <w:tcPr>
            <w:tcW w:w="938" w:type="dxa"/>
            <w:tcBorders>
              <w:top w:val="nil"/>
              <w:left w:val="nil"/>
              <w:bottom w:val="single" w:sz="8" w:space="0" w:color="auto"/>
              <w:right w:val="single" w:sz="8" w:space="0" w:color="auto"/>
            </w:tcBorders>
            <w:shd w:val="clear" w:color="auto" w:fill="auto"/>
            <w:vAlign w:val="center"/>
            <w:hideMark/>
          </w:tcPr>
          <w:p w14:paraId="0C14293D"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13,000</w:t>
            </w:r>
          </w:p>
        </w:tc>
        <w:tc>
          <w:tcPr>
            <w:tcW w:w="1372" w:type="dxa"/>
            <w:tcBorders>
              <w:top w:val="nil"/>
              <w:left w:val="nil"/>
              <w:bottom w:val="single" w:sz="8" w:space="0" w:color="auto"/>
              <w:right w:val="single" w:sz="8" w:space="0" w:color="auto"/>
            </w:tcBorders>
            <w:shd w:val="clear" w:color="auto" w:fill="auto"/>
            <w:noWrap/>
            <w:vAlign w:val="center"/>
            <w:hideMark/>
          </w:tcPr>
          <w:p w14:paraId="7C7EAE52"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82,220</w:t>
            </w:r>
          </w:p>
        </w:tc>
        <w:tc>
          <w:tcPr>
            <w:tcW w:w="690" w:type="dxa"/>
            <w:tcBorders>
              <w:top w:val="nil"/>
              <w:left w:val="nil"/>
              <w:bottom w:val="single" w:sz="8" w:space="0" w:color="auto"/>
              <w:right w:val="single" w:sz="8" w:space="0" w:color="auto"/>
            </w:tcBorders>
            <w:shd w:val="clear" w:color="auto" w:fill="auto"/>
            <w:vAlign w:val="center"/>
            <w:hideMark/>
          </w:tcPr>
          <w:p w14:paraId="22F28397"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23</w:t>
            </w:r>
          </w:p>
        </w:tc>
      </w:tr>
      <w:tr w:rsidR="001F45CE" w:rsidRPr="00913CCF" w14:paraId="6590B5C2" w14:textId="77777777" w:rsidTr="004205FD">
        <w:trPr>
          <w:trHeight w:val="293"/>
        </w:trPr>
        <w:tc>
          <w:tcPr>
            <w:tcW w:w="1354" w:type="dxa"/>
            <w:vMerge/>
            <w:tcBorders>
              <w:top w:val="nil"/>
              <w:left w:val="single" w:sz="8" w:space="0" w:color="auto"/>
              <w:bottom w:val="double" w:sz="6" w:space="0" w:color="000000"/>
              <w:right w:val="single" w:sz="8" w:space="0" w:color="auto"/>
            </w:tcBorders>
            <w:shd w:val="clear" w:color="auto" w:fill="auto"/>
            <w:vAlign w:val="center"/>
            <w:hideMark/>
          </w:tcPr>
          <w:p w14:paraId="70724BEC"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nil"/>
              <w:left w:val="single" w:sz="8" w:space="0" w:color="auto"/>
              <w:bottom w:val="double" w:sz="6" w:space="0" w:color="000000"/>
              <w:right w:val="single" w:sz="8" w:space="0" w:color="auto"/>
            </w:tcBorders>
            <w:shd w:val="clear" w:color="auto" w:fill="auto"/>
            <w:vAlign w:val="center"/>
            <w:hideMark/>
          </w:tcPr>
          <w:p w14:paraId="6BD79F2F"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4A02B10E"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644F3DFA"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single" w:sz="8" w:space="0" w:color="auto"/>
              <w:right w:val="single" w:sz="8" w:space="0" w:color="auto"/>
            </w:tcBorders>
            <w:shd w:val="clear" w:color="auto" w:fill="auto"/>
            <w:noWrap/>
            <w:vAlign w:val="center"/>
            <w:hideMark/>
          </w:tcPr>
          <w:p w14:paraId="4F097C22"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75700</w:t>
            </w:r>
          </w:p>
        </w:tc>
        <w:tc>
          <w:tcPr>
            <w:tcW w:w="1186" w:type="dxa"/>
            <w:tcBorders>
              <w:top w:val="nil"/>
              <w:left w:val="nil"/>
              <w:bottom w:val="single" w:sz="8" w:space="0" w:color="auto"/>
              <w:right w:val="single" w:sz="8" w:space="0" w:color="auto"/>
            </w:tcBorders>
            <w:shd w:val="clear" w:color="auto" w:fill="auto"/>
            <w:vAlign w:val="center"/>
            <w:hideMark/>
          </w:tcPr>
          <w:p w14:paraId="39EBF5CD" w14:textId="77777777" w:rsidR="001F45CE" w:rsidRPr="00913CCF" w:rsidRDefault="001F45CE" w:rsidP="001F45CE">
            <w:pPr>
              <w:spacing w:after="0"/>
              <w:jc w:val="left"/>
              <w:rPr>
                <w:rFonts w:eastAsia="Times New Roman" w:cs="Calibri"/>
                <w:color w:val="000000"/>
                <w:sz w:val="16"/>
                <w:szCs w:val="16"/>
              </w:rPr>
            </w:pPr>
            <w:r w:rsidRPr="00913CCF">
              <w:rPr>
                <w:rFonts w:eastAsia="Times New Roman" w:cs="Calibri"/>
                <w:color w:val="000000"/>
                <w:sz w:val="16"/>
                <w:szCs w:val="16"/>
              </w:rPr>
              <w:t>Train. worksh conf</w:t>
            </w:r>
          </w:p>
        </w:tc>
        <w:tc>
          <w:tcPr>
            <w:tcW w:w="1155" w:type="dxa"/>
            <w:tcBorders>
              <w:top w:val="nil"/>
              <w:left w:val="nil"/>
              <w:bottom w:val="single" w:sz="8" w:space="0" w:color="auto"/>
              <w:right w:val="single" w:sz="8" w:space="0" w:color="auto"/>
            </w:tcBorders>
            <w:shd w:val="clear" w:color="auto" w:fill="auto"/>
            <w:noWrap/>
            <w:vAlign w:val="center"/>
            <w:hideMark/>
          </w:tcPr>
          <w:p w14:paraId="2C417DF5"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4,000</w:t>
            </w:r>
          </w:p>
        </w:tc>
        <w:tc>
          <w:tcPr>
            <w:tcW w:w="1010" w:type="dxa"/>
            <w:tcBorders>
              <w:top w:val="nil"/>
              <w:left w:val="nil"/>
              <w:bottom w:val="single" w:sz="8" w:space="0" w:color="auto"/>
              <w:right w:val="single" w:sz="8" w:space="0" w:color="auto"/>
            </w:tcBorders>
            <w:shd w:val="clear" w:color="auto" w:fill="auto"/>
            <w:noWrap/>
            <w:vAlign w:val="center"/>
            <w:hideMark/>
          </w:tcPr>
          <w:p w14:paraId="6789FA97"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95,000</w:t>
            </w:r>
          </w:p>
        </w:tc>
        <w:tc>
          <w:tcPr>
            <w:tcW w:w="938" w:type="dxa"/>
            <w:tcBorders>
              <w:top w:val="nil"/>
              <w:left w:val="nil"/>
              <w:bottom w:val="single" w:sz="8" w:space="0" w:color="auto"/>
              <w:right w:val="single" w:sz="8" w:space="0" w:color="auto"/>
            </w:tcBorders>
            <w:shd w:val="clear" w:color="auto" w:fill="auto"/>
            <w:noWrap/>
            <w:vAlign w:val="center"/>
            <w:hideMark/>
          </w:tcPr>
          <w:p w14:paraId="335F63D9"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55,000</w:t>
            </w:r>
          </w:p>
        </w:tc>
        <w:tc>
          <w:tcPr>
            <w:tcW w:w="938" w:type="dxa"/>
            <w:tcBorders>
              <w:top w:val="nil"/>
              <w:left w:val="nil"/>
              <w:bottom w:val="single" w:sz="8" w:space="0" w:color="auto"/>
              <w:right w:val="single" w:sz="8" w:space="0" w:color="auto"/>
            </w:tcBorders>
            <w:shd w:val="clear" w:color="auto" w:fill="auto"/>
            <w:noWrap/>
            <w:vAlign w:val="center"/>
            <w:hideMark/>
          </w:tcPr>
          <w:p w14:paraId="6D86525F"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65,000</w:t>
            </w:r>
          </w:p>
        </w:tc>
        <w:tc>
          <w:tcPr>
            <w:tcW w:w="938" w:type="dxa"/>
            <w:tcBorders>
              <w:top w:val="nil"/>
              <w:left w:val="nil"/>
              <w:bottom w:val="single" w:sz="8" w:space="0" w:color="auto"/>
              <w:right w:val="single" w:sz="8" w:space="0" w:color="auto"/>
            </w:tcBorders>
            <w:shd w:val="clear" w:color="auto" w:fill="auto"/>
            <w:noWrap/>
            <w:vAlign w:val="center"/>
            <w:hideMark/>
          </w:tcPr>
          <w:p w14:paraId="5512FED8"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5,000</w:t>
            </w:r>
          </w:p>
        </w:tc>
        <w:tc>
          <w:tcPr>
            <w:tcW w:w="938" w:type="dxa"/>
            <w:tcBorders>
              <w:top w:val="nil"/>
              <w:left w:val="nil"/>
              <w:bottom w:val="double" w:sz="6" w:space="0" w:color="auto"/>
              <w:right w:val="single" w:sz="8" w:space="0" w:color="auto"/>
            </w:tcBorders>
            <w:shd w:val="clear" w:color="auto" w:fill="auto"/>
            <w:vAlign w:val="center"/>
            <w:hideMark/>
          </w:tcPr>
          <w:p w14:paraId="54C799E1"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5,000</w:t>
            </w:r>
          </w:p>
        </w:tc>
        <w:tc>
          <w:tcPr>
            <w:tcW w:w="1372" w:type="dxa"/>
            <w:tcBorders>
              <w:top w:val="nil"/>
              <w:left w:val="nil"/>
              <w:bottom w:val="double" w:sz="6" w:space="0" w:color="auto"/>
              <w:right w:val="single" w:sz="8" w:space="0" w:color="auto"/>
            </w:tcBorders>
            <w:shd w:val="clear" w:color="auto" w:fill="auto"/>
            <w:noWrap/>
            <w:vAlign w:val="center"/>
            <w:hideMark/>
          </w:tcPr>
          <w:p w14:paraId="08673EC8"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229,000</w:t>
            </w:r>
          </w:p>
        </w:tc>
        <w:tc>
          <w:tcPr>
            <w:tcW w:w="690" w:type="dxa"/>
            <w:tcBorders>
              <w:top w:val="nil"/>
              <w:left w:val="nil"/>
              <w:bottom w:val="single" w:sz="8" w:space="0" w:color="auto"/>
              <w:right w:val="single" w:sz="8" w:space="0" w:color="auto"/>
            </w:tcBorders>
            <w:shd w:val="clear" w:color="auto" w:fill="auto"/>
            <w:vAlign w:val="center"/>
            <w:hideMark/>
          </w:tcPr>
          <w:p w14:paraId="7BE043A9"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24</w:t>
            </w:r>
          </w:p>
        </w:tc>
      </w:tr>
      <w:tr w:rsidR="001F45CE" w:rsidRPr="00913CCF" w14:paraId="03DC3550" w14:textId="77777777" w:rsidTr="004205FD">
        <w:trPr>
          <w:trHeight w:val="293"/>
        </w:trPr>
        <w:tc>
          <w:tcPr>
            <w:tcW w:w="1354" w:type="dxa"/>
            <w:vMerge/>
            <w:tcBorders>
              <w:top w:val="nil"/>
              <w:left w:val="single" w:sz="8" w:space="0" w:color="auto"/>
              <w:bottom w:val="double" w:sz="6" w:space="0" w:color="000000"/>
              <w:right w:val="single" w:sz="8" w:space="0" w:color="auto"/>
            </w:tcBorders>
            <w:shd w:val="clear" w:color="auto" w:fill="auto"/>
            <w:vAlign w:val="center"/>
            <w:hideMark/>
          </w:tcPr>
          <w:p w14:paraId="7B99CDFB"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nil"/>
              <w:left w:val="single" w:sz="8" w:space="0" w:color="auto"/>
              <w:bottom w:val="double" w:sz="6" w:space="0" w:color="000000"/>
              <w:right w:val="single" w:sz="8" w:space="0" w:color="auto"/>
            </w:tcBorders>
            <w:shd w:val="clear" w:color="auto" w:fill="auto"/>
            <w:vAlign w:val="center"/>
            <w:hideMark/>
          </w:tcPr>
          <w:p w14:paraId="568015B6"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0ACDC6F4"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13563E55"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double" w:sz="6" w:space="0" w:color="auto"/>
              <w:right w:val="single" w:sz="8" w:space="0" w:color="auto"/>
            </w:tcBorders>
            <w:shd w:val="clear" w:color="auto" w:fill="auto"/>
            <w:noWrap/>
            <w:vAlign w:val="center"/>
            <w:hideMark/>
          </w:tcPr>
          <w:p w14:paraId="6EA2057D"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 </w:t>
            </w:r>
          </w:p>
        </w:tc>
        <w:tc>
          <w:tcPr>
            <w:tcW w:w="1186" w:type="dxa"/>
            <w:tcBorders>
              <w:top w:val="nil"/>
              <w:left w:val="nil"/>
              <w:bottom w:val="double" w:sz="6" w:space="0" w:color="auto"/>
              <w:right w:val="single" w:sz="8" w:space="0" w:color="auto"/>
            </w:tcBorders>
            <w:shd w:val="clear" w:color="auto" w:fill="auto"/>
            <w:vAlign w:val="center"/>
            <w:hideMark/>
          </w:tcPr>
          <w:p w14:paraId="58B9789B" w14:textId="77777777" w:rsidR="001F45CE" w:rsidRPr="00913CCF" w:rsidRDefault="001F45CE" w:rsidP="001F45CE">
            <w:pPr>
              <w:spacing w:after="0"/>
              <w:jc w:val="left"/>
              <w:rPr>
                <w:rFonts w:eastAsia="Times New Roman" w:cs="Calibri"/>
                <w:b/>
                <w:bCs/>
                <w:color w:val="000000"/>
                <w:sz w:val="15"/>
                <w:szCs w:val="15"/>
              </w:rPr>
            </w:pPr>
            <w:r w:rsidRPr="00913CCF">
              <w:rPr>
                <w:rFonts w:eastAsia="Times New Roman" w:cs="Calibri"/>
                <w:b/>
                <w:bCs/>
                <w:color w:val="000000"/>
                <w:sz w:val="15"/>
                <w:szCs w:val="15"/>
              </w:rPr>
              <w:t>Sub-total Outcome 2</w:t>
            </w:r>
          </w:p>
        </w:tc>
        <w:tc>
          <w:tcPr>
            <w:tcW w:w="1155" w:type="dxa"/>
            <w:tcBorders>
              <w:top w:val="nil"/>
              <w:left w:val="nil"/>
              <w:bottom w:val="double" w:sz="6" w:space="0" w:color="auto"/>
              <w:right w:val="single" w:sz="8" w:space="0" w:color="auto"/>
            </w:tcBorders>
            <w:shd w:val="clear" w:color="auto" w:fill="auto"/>
            <w:noWrap/>
            <w:vAlign w:val="center"/>
            <w:hideMark/>
          </w:tcPr>
          <w:p w14:paraId="5E54B73C" w14:textId="0A7BA1CB" w:rsidR="001F45CE" w:rsidRPr="00EF6D8E"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512,605</w:t>
            </w:r>
          </w:p>
        </w:tc>
        <w:tc>
          <w:tcPr>
            <w:tcW w:w="1010" w:type="dxa"/>
            <w:tcBorders>
              <w:top w:val="nil"/>
              <w:left w:val="nil"/>
              <w:bottom w:val="double" w:sz="6" w:space="0" w:color="auto"/>
              <w:right w:val="single" w:sz="8" w:space="0" w:color="auto"/>
            </w:tcBorders>
            <w:shd w:val="clear" w:color="auto" w:fill="auto"/>
            <w:noWrap/>
            <w:vAlign w:val="center"/>
            <w:hideMark/>
          </w:tcPr>
          <w:p w14:paraId="73066C55"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413,020</w:t>
            </w:r>
          </w:p>
        </w:tc>
        <w:tc>
          <w:tcPr>
            <w:tcW w:w="938" w:type="dxa"/>
            <w:tcBorders>
              <w:top w:val="nil"/>
              <w:left w:val="nil"/>
              <w:bottom w:val="double" w:sz="6" w:space="0" w:color="auto"/>
              <w:right w:val="single" w:sz="8" w:space="0" w:color="auto"/>
            </w:tcBorders>
            <w:shd w:val="clear" w:color="auto" w:fill="auto"/>
            <w:noWrap/>
            <w:vAlign w:val="center"/>
            <w:hideMark/>
          </w:tcPr>
          <w:p w14:paraId="5876FC87"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925,630</w:t>
            </w:r>
          </w:p>
        </w:tc>
        <w:tc>
          <w:tcPr>
            <w:tcW w:w="938" w:type="dxa"/>
            <w:tcBorders>
              <w:top w:val="nil"/>
              <w:left w:val="nil"/>
              <w:bottom w:val="double" w:sz="6" w:space="0" w:color="auto"/>
              <w:right w:val="single" w:sz="8" w:space="0" w:color="auto"/>
            </w:tcBorders>
            <w:shd w:val="clear" w:color="auto" w:fill="auto"/>
            <w:noWrap/>
            <w:vAlign w:val="center"/>
            <w:hideMark/>
          </w:tcPr>
          <w:p w14:paraId="67C2A66D"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545,700</w:t>
            </w:r>
          </w:p>
        </w:tc>
        <w:tc>
          <w:tcPr>
            <w:tcW w:w="938" w:type="dxa"/>
            <w:tcBorders>
              <w:top w:val="nil"/>
              <w:left w:val="nil"/>
              <w:bottom w:val="double" w:sz="6" w:space="0" w:color="auto"/>
              <w:right w:val="single" w:sz="8" w:space="0" w:color="auto"/>
            </w:tcBorders>
            <w:shd w:val="clear" w:color="auto" w:fill="auto"/>
            <w:noWrap/>
            <w:vAlign w:val="center"/>
            <w:hideMark/>
          </w:tcPr>
          <w:p w14:paraId="31778634"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250,700</w:t>
            </w:r>
          </w:p>
        </w:tc>
        <w:tc>
          <w:tcPr>
            <w:tcW w:w="938" w:type="dxa"/>
            <w:tcBorders>
              <w:top w:val="nil"/>
              <w:left w:val="nil"/>
              <w:bottom w:val="double" w:sz="6" w:space="0" w:color="auto"/>
              <w:right w:val="single" w:sz="8" w:space="0" w:color="auto"/>
            </w:tcBorders>
            <w:shd w:val="clear" w:color="auto" w:fill="auto"/>
            <w:vAlign w:val="center"/>
            <w:hideMark/>
          </w:tcPr>
          <w:p w14:paraId="5164543A"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55,900</w:t>
            </w:r>
          </w:p>
        </w:tc>
        <w:tc>
          <w:tcPr>
            <w:tcW w:w="1372" w:type="dxa"/>
            <w:tcBorders>
              <w:top w:val="nil"/>
              <w:left w:val="nil"/>
              <w:bottom w:val="double" w:sz="6" w:space="0" w:color="auto"/>
              <w:right w:val="single" w:sz="8" w:space="0" w:color="auto"/>
            </w:tcBorders>
            <w:shd w:val="clear" w:color="auto" w:fill="auto"/>
            <w:noWrap/>
            <w:vAlign w:val="center"/>
            <w:hideMark/>
          </w:tcPr>
          <w:p w14:paraId="11001F06" w14:textId="43FAA00B" w:rsidR="001F45CE" w:rsidRPr="00EF6D8E"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2,703,555</w:t>
            </w:r>
          </w:p>
        </w:tc>
        <w:tc>
          <w:tcPr>
            <w:tcW w:w="690" w:type="dxa"/>
            <w:tcBorders>
              <w:top w:val="nil"/>
              <w:left w:val="nil"/>
              <w:bottom w:val="double" w:sz="6" w:space="0" w:color="auto"/>
              <w:right w:val="single" w:sz="8" w:space="0" w:color="auto"/>
            </w:tcBorders>
            <w:shd w:val="clear" w:color="auto" w:fill="auto"/>
            <w:noWrap/>
            <w:vAlign w:val="center"/>
            <w:hideMark/>
          </w:tcPr>
          <w:p w14:paraId="4CB2D683" w14:textId="77777777" w:rsidR="001F45CE" w:rsidRPr="00913CCF" w:rsidRDefault="001F45CE" w:rsidP="001F45CE">
            <w:pPr>
              <w:spacing w:after="0"/>
              <w:jc w:val="left"/>
              <w:rPr>
                <w:rFonts w:eastAsia="Times New Roman" w:cs="Calibri"/>
                <w:color w:val="000000"/>
                <w:sz w:val="22"/>
                <w:szCs w:val="22"/>
              </w:rPr>
            </w:pPr>
            <w:r w:rsidRPr="00913CCF">
              <w:rPr>
                <w:rFonts w:eastAsia="Times New Roman" w:cs="Calibri"/>
                <w:color w:val="000000"/>
                <w:sz w:val="22"/>
                <w:szCs w:val="22"/>
              </w:rPr>
              <w:t> </w:t>
            </w:r>
          </w:p>
        </w:tc>
      </w:tr>
      <w:tr w:rsidR="001F45CE" w:rsidRPr="00913CCF" w14:paraId="6BD3023E" w14:textId="77777777" w:rsidTr="004205FD">
        <w:trPr>
          <w:trHeight w:val="198"/>
        </w:trPr>
        <w:tc>
          <w:tcPr>
            <w:tcW w:w="1354" w:type="dxa"/>
            <w:vMerge/>
            <w:tcBorders>
              <w:top w:val="nil"/>
              <w:left w:val="single" w:sz="8" w:space="0" w:color="auto"/>
              <w:bottom w:val="double" w:sz="6" w:space="0" w:color="000000"/>
              <w:right w:val="single" w:sz="8" w:space="0" w:color="auto"/>
            </w:tcBorders>
            <w:shd w:val="clear" w:color="auto" w:fill="auto"/>
            <w:vAlign w:val="center"/>
            <w:hideMark/>
          </w:tcPr>
          <w:p w14:paraId="31F5E9BF" w14:textId="77777777" w:rsidR="001F45CE" w:rsidRPr="00913CCF" w:rsidRDefault="001F45CE" w:rsidP="001F45CE">
            <w:pPr>
              <w:spacing w:after="0"/>
              <w:jc w:val="left"/>
              <w:rPr>
                <w:rFonts w:eastAsia="Times New Roman" w:cs="Calibri"/>
                <w:b/>
                <w:bCs/>
                <w:color w:val="000000"/>
                <w:sz w:val="16"/>
                <w:szCs w:val="16"/>
              </w:rPr>
            </w:pPr>
          </w:p>
        </w:tc>
        <w:tc>
          <w:tcPr>
            <w:tcW w:w="1266" w:type="dxa"/>
            <w:vMerge w:val="restart"/>
            <w:tcBorders>
              <w:top w:val="nil"/>
              <w:left w:val="single" w:sz="8" w:space="0" w:color="auto"/>
              <w:bottom w:val="double" w:sz="6" w:space="0" w:color="000000"/>
              <w:right w:val="single" w:sz="8" w:space="0" w:color="auto"/>
            </w:tcBorders>
            <w:shd w:val="clear" w:color="auto" w:fill="auto"/>
            <w:vAlign w:val="center"/>
            <w:hideMark/>
          </w:tcPr>
          <w:p w14:paraId="42151A41"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UNDP</w:t>
            </w:r>
          </w:p>
        </w:tc>
        <w:tc>
          <w:tcPr>
            <w:tcW w:w="622" w:type="dxa"/>
            <w:vMerge w:val="restart"/>
            <w:tcBorders>
              <w:top w:val="nil"/>
              <w:left w:val="single" w:sz="8" w:space="0" w:color="auto"/>
              <w:bottom w:val="double" w:sz="6" w:space="0" w:color="000000"/>
              <w:right w:val="single" w:sz="8" w:space="0" w:color="auto"/>
            </w:tcBorders>
            <w:shd w:val="clear" w:color="auto" w:fill="auto"/>
            <w:vAlign w:val="center"/>
            <w:hideMark/>
          </w:tcPr>
          <w:p w14:paraId="3E9D0F99" w14:textId="7045CEB6"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04000</w:t>
            </w:r>
          </w:p>
        </w:tc>
        <w:tc>
          <w:tcPr>
            <w:tcW w:w="632" w:type="dxa"/>
            <w:vMerge w:val="restart"/>
            <w:tcBorders>
              <w:top w:val="nil"/>
              <w:left w:val="single" w:sz="8" w:space="0" w:color="auto"/>
              <w:bottom w:val="double" w:sz="6" w:space="0" w:color="000000"/>
              <w:right w:val="single" w:sz="8" w:space="0" w:color="auto"/>
            </w:tcBorders>
            <w:shd w:val="clear" w:color="auto" w:fill="auto"/>
            <w:vAlign w:val="center"/>
            <w:hideMark/>
          </w:tcPr>
          <w:p w14:paraId="2A6C2E36"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TRAC</w:t>
            </w:r>
          </w:p>
        </w:tc>
        <w:tc>
          <w:tcPr>
            <w:tcW w:w="901" w:type="dxa"/>
            <w:tcBorders>
              <w:top w:val="nil"/>
              <w:left w:val="nil"/>
              <w:bottom w:val="single" w:sz="8" w:space="0" w:color="auto"/>
              <w:right w:val="single" w:sz="8" w:space="0" w:color="auto"/>
            </w:tcBorders>
            <w:shd w:val="clear" w:color="auto" w:fill="auto"/>
            <w:noWrap/>
            <w:vAlign w:val="center"/>
            <w:hideMark/>
          </w:tcPr>
          <w:p w14:paraId="133587FD"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bCs/>
                <w:color w:val="000000"/>
                <w:sz w:val="16"/>
                <w:szCs w:val="16"/>
              </w:rPr>
              <w:t>71600</w:t>
            </w:r>
          </w:p>
        </w:tc>
        <w:tc>
          <w:tcPr>
            <w:tcW w:w="1186" w:type="dxa"/>
            <w:tcBorders>
              <w:top w:val="nil"/>
              <w:left w:val="nil"/>
              <w:bottom w:val="single" w:sz="8" w:space="0" w:color="auto"/>
              <w:right w:val="single" w:sz="8" w:space="0" w:color="auto"/>
            </w:tcBorders>
            <w:shd w:val="clear" w:color="auto" w:fill="auto"/>
            <w:vAlign w:val="center"/>
            <w:hideMark/>
          </w:tcPr>
          <w:p w14:paraId="07AEBB7F" w14:textId="77777777" w:rsidR="001F45CE" w:rsidRPr="00913CCF" w:rsidRDefault="001F45CE" w:rsidP="001F45CE">
            <w:pPr>
              <w:spacing w:after="0"/>
              <w:jc w:val="left"/>
              <w:rPr>
                <w:rFonts w:eastAsia="Times New Roman" w:cs="Calibri"/>
                <w:color w:val="000000"/>
                <w:sz w:val="16"/>
                <w:szCs w:val="16"/>
              </w:rPr>
            </w:pPr>
            <w:r w:rsidRPr="00913CCF">
              <w:rPr>
                <w:rFonts w:eastAsia="Times New Roman" w:cs="Calibri"/>
                <w:bCs/>
                <w:color w:val="000000"/>
                <w:sz w:val="16"/>
                <w:szCs w:val="16"/>
              </w:rPr>
              <w:t>Travel</w:t>
            </w:r>
          </w:p>
        </w:tc>
        <w:tc>
          <w:tcPr>
            <w:tcW w:w="1155" w:type="dxa"/>
            <w:tcBorders>
              <w:top w:val="nil"/>
              <w:left w:val="nil"/>
              <w:bottom w:val="single" w:sz="8" w:space="0" w:color="auto"/>
              <w:right w:val="single" w:sz="8" w:space="0" w:color="auto"/>
            </w:tcBorders>
            <w:shd w:val="clear" w:color="auto" w:fill="auto"/>
            <w:noWrap/>
            <w:vAlign w:val="center"/>
            <w:hideMark/>
          </w:tcPr>
          <w:p w14:paraId="555BAEA8"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2,000</w:t>
            </w:r>
          </w:p>
        </w:tc>
        <w:tc>
          <w:tcPr>
            <w:tcW w:w="1010" w:type="dxa"/>
            <w:tcBorders>
              <w:top w:val="nil"/>
              <w:left w:val="nil"/>
              <w:bottom w:val="single" w:sz="8" w:space="0" w:color="auto"/>
              <w:right w:val="single" w:sz="8" w:space="0" w:color="auto"/>
            </w:tcBorders>
            <w:shd w:val="clear" w:color="auto" w:fill="auto"/>
            <w:noWrap/>
            <w:vAlign w:val="center"/>
            <w:hideMark/>
          </w:tcPr>
          <w:p w14:paraId="394853B9"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2,000</w:t>
            </w:r>
          </w:p>
        </w:tc>
        <w:tc>
          <w:tcPr>
            <w:tcW w:w="938" w:type="dxa"/>
            <w:tcBorders>
              <w:top w:val="nil"/>
              <w:left w:val="nil"/>
              <w:bottom w:val="single" w:sz="8" w:space="0" w:color="auto"/>
              <w:right w:val="single" w:sz="8" w:space="0" w:color="auto"/>
            </w:tcBorders>
            <w:shd w:val="clear" w:color="auto" w:fill="auto"/>
            <w:noWrap/>
            <w:vAlign w:val="center"/>
            <w:hideMark/>
          </w:tcPr>
          <w:p w14:paraId="26C0C13E"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2,000</w:t>
            </w:r>
          </w:p>
        </w:tc>
        <w:tc>
          <w:tcPr>
            <w:tcW w:w="938" w:type="dxa"/>
            <w:tcBorders>
              <w:top w:val="nil"/>
              <w:left w:val="nil"/>
              <w:bottom w:val="single" w:sz="8" w:space="0" w:color="auto"/>
              <w:right w:val="single" w:sz="8" w:space="0" w:color="auto"/>
            </w:tcBorders>
            <w:shd w:val="clear" w:color="auto" w:fill="auto"/>
            <w:noWrap/>
            <w:vAlign w:val="center"/>
            <w:hideMark/>
          </w:tcPr>
          <w:p w14:paraId="4BC2239E"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2,000</w:t>
            </w:r>
          </w:p>
        </w:tc>
        <w:tc>
          <w:tcPr>
            <w:tcW w:w="938" w:type="dxa"/>
            <w:tcBorders>
              <w:top w:val="nil"/>
              <w:left w:val="nil"/>
              <w:bottom w:val="single" w:sz="8" w:space="0" w:color="auto"/>
              <w:right w:val="single" w:sz="8" w:space="0" w:color="auto"/>
            </w:tcBorders>
            <w:shd w:val="clear" w:color="auto" w:fill="auto"/>
            <w:noWrap/>
            <w:vAlign w:val="center"/>
            <w:hideMark/>
          </w:tcPr>
          <w:p w14:paraId="71DD31CC"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2,000</w:t>
            </w:r>
          </w:p>
        </w:tc>
        <w:tc>
          <w:tcPr>
            <w:tcW w:w="938" w:type="dxa"/>
            <w:tcBorders>
              <w:top w:val="nil"/>
              <w:left w:val="nil"/>
              <w:bottom w:val="single" w:sz="8" w:space="0" w:color="auto"/>
              <w:right w:val="single" w:sz="8" w:space="0" w:color="auto"/>
            </w:tcBorders>
            <w:shd w:val="clear" w:color="auto" w:fill="auto"/>
            <w:vAlign w:val="center"/>
            <w:hideMark/>
          </w:tcPr>
          <w:p w14:paraId="4DCC514D"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2,000</w:t>
            </w:r>
          </w:p>
        </w:tc>
        <w:tc>
          <w:tcPr>
            <w:tcW w:w="1372" w:type="dxa"/>
            <w:tcBorders>
              <w:top w:val="nil"/>
              <w:left w:val="nil"/>
              <w:bottom w:val="single" w:sz="8" w:space="0" w:color="auto"/>
              <w:right w:val="single" w:sz="8" w:space="0" w:color="auto"/>
            </w:tcBorders>
            <w:shd w:val="clear" w:color="auto" w:fill="auto"/>
            <w:noWrap/>
            <w:vAlign w:val="center"/>
            <w:hideMark/>
          </w:tcPr>
          <w:p w14:paraId="3257C9EB"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12,000</w:t>
            </w:r>
          </w:p>
        </w:tc>
        <w:tc>
          <w:tcPr>
            <w:tcW w:w="690" w:type="dxa"/>
            <w:tcBorders>
              <w:top w:val="nil"/>
              <w:left w:val="nil"/>
              <w:bottom w:val="single" w:sz="8" w:space="0" w:color="auto"/>
              <w:right w:val="single" w:sz="8" w:space="0" w:color="auto"/>
            </w:tcBorders>
            <w:shd w:val="clear" w:color="auto" w:fill="auto"/>
            <w:noWrap/>
            <w:vAlign w:val="center"/>
            <w:hideMark/>
          </w:tcPr>
          <w:p w14:paraId="6CEA1921"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25</w:t>
            </w:r>
          </w:p>
        </w:tc>
      </w:tr>
      <w:tr w:rsidR="001F45CE" w:rsidRPr="00913CCF" w14:paraId="02E80944" w14:textId="77777777" w:rsidTr="004205FD">
        <w:trPr>
          <w:trHeight w:val="225"/>
        </w:trPr>
        <w:tc>
          <w:tcPr>
            <w:tcW w:w="1354" w:type="dxa"/>
            <w:vMerge/>
            <w:tcBorders>
              <w:top w:val="nil"/>
              <w:left w:val="single" w:sz="8" w:space="0" w:color="auto"/>
              <w:bottom w:val="double" w:sz="6" w:space="0" w:color="000000"/>
              <w:right w:val="single" w:sz="8" w:space="0" w:color="auto"/>
            </w:tcBorders>
            <w:shd w:val="clear" w:color="auto" w:fill="auto"/>
            <w:vAlign w:val="center"/>
            <w:hideMark/>
          </w:tcPr>
          <w:p w14:paraId="1909FD16"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nil"/>
              <w:left w:val="single" w:sz="8" w:space="0" w:color="auto"/>
              <w:bottom w:val="double" w:sz="6" w:space="0" w:color="000000"/>
              <w:right w:val="single" w:sz="8" w:space="0" w:color="auto"/>
            </w:tcBorders>
            <w:shd w:val="clear" w:color="auto" w:fill="auto"/>
            <w:vAlign w:val="center"/>
            <w:hideMark/>
          </w:tcPr>
          <w:p w14:paraId="2F3EF282"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1CEA43F0"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623D1871"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single" w:sz="8" w:space="0" w:color="auto"/>
              <w:right w:val="single" w:sz="8" w:space="0" w:color="auto"/>
            </w:tcBorders>
            <w:shd w:val="clear" w:color="auto" w:fill="auto"/>
            <w:noWrap/>
            <w:vAlign w:val="center"/>
            <w:hideMark/>
          </w:tcPr>
          <w:p w14:paraId="5CDF811D"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bCs/>
                <w:color w:val="000000"/>
                <w:sz w:val="16"/>
                <w:szCs w:val="16"/>
              </w:rPr>
              <w:t>71400</w:t>
            </w:r>
          </w:p>
        </w:tc>
        <w:tc>
          <w:tcPr>
            <w:tcW w:w="1186" w:type="dxa"/>
            <w:tcBorders>
              <w:top w:val="nil"/>
              <w:left w:val="nil"/>
              <w:bottom w:val="single" w:sz="8" w:space="0" w:color="auto"/>
              <w:right w:val="single" w:sz="8" w:space="0" w:color="auto"/>
            </w:tcBorders>
            <w:shd w:val="clear" w:color="auto" w:fill="auto"/>
            <w:vAlign w:val="center"/>
            <w:hideMark/>
          </w:tcPr>
          <w:p w14:paraId="05691C1E" w14:textId="77777777" w:rsidR="001F45CE" w:rsidRPr="00913CCF" w:rsidRDefault="001F45CE" w:rsidP="001F45CE">
            <w:pPr>
              <w:spacing w:after="0"/>
              <w:jc w:val="left"/>
              <w:rPr>
                <w:rFonts w:eastAsia="Times New Roman" w:cs="Calibri"/>
                <w:color w:val="000000"/>
                <w:sz w:val="16"/>
                <w:szCs w:val="16"/>
              </w:rPr>
            </w:pPr>
            <w:r w:rsidRPr="00913CCF">
              <w:rPr>
                <w:rFonts w:eastAsia="Times New Roman" w:cs="Calibri"/>
                <w:color w:val="000000"/>
                <w:sz w:val="16"/>
                <w:szCs w:val="16"/>
              </w:rPr>
              <w:t>Contr. serv. Ind.</w:t>
            </w:r>
          </w:p>
        </w:tc>
        <w:tc>
          <w:tcPr>
            <w:tcW w:w="1155" w:type="dxa"/>
            <w:tcBorders>
              <w:top w:val="nil"/>
              <w:left w:val="nil"/>
              <w:bottom w:val="single" w:sz="8" w:space="0" w:color="auto"/>
              <w:right w:val="single" w:sz="8" w:space="0" w:color="auto"/>
            </w:tcBorders>
            <w:shd w:val="clear" w:color="auto" w:fill="auto"/>
            <w:noWrap/>
            <w:vAlign w:val="center"/>
            <w:hideMark/>
          </w:tcPr>
          <w:p w14:paraId="2C685190"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1010" w:type="dxa"/>
            <w:tcBorders>
              <w:top w:val="nil"/>
              <w:left w:val="nil"/>
              <w:bottom w:val="single" w:sz="8" w:space="0" w:color="auto"/>
              <w:right w:val="single" w:sz="8" w:space="0" w:color="auto"/>
            </w:tcBorders>
            <w:shd w:val="clear" w:color="auto" w:fill="auto"/>
            <w:noWrap/>
            <w:vAlign w:val="center"/>
            <w:hideMark/>
          </w:tcPr>
          <w:p w14:paraId="390DD0AA"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7,500</w:t>
            </w:r>
          </w:p>
        </w:tc>
        <w:tc>
          <w:tcPr>
            <w:tcW w:w="938" w:type="dxa"/>
            <w:tcBorders>
              <w:top w:val="nil"/>
              <w:left w:val="nil"/>
              <w:bottom w:val="single" w:sz="8" w:space="0" w:color="auto"/>
              <w:right w:val="single" w:sz="8" w:space="0" w:color="auto"/>
            </w:tcBorders>
            <w:shd w:val="clear" w:color="auto" w:fill="auto"/>
            <w:noWrap/>
            <w:vAlign w:val="center"/>
            <w:hideMark/>
          </w:tcPr>
          <w:p w14:paraId="620ACAF2"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7,500</w:t>
            </w:r>
          </w:p>
        </w:tc>
        <w:tc>
          <w:tcPr>
            <w:tcW w:w="938" w:type="dxa"/>
            <w:tcBorders>
              <w:top w:val="nil"/>
              <w:left w:val="nil"/>
              <w:bottom w:val="single" w:sz="8" w:space="0" w:color="auto"/>
              <w:right w:val="single" w:sz="8" w:space="0" w:color="auto"/>
            </w:tcBorders>
            <w:shd w:val="clear" w:color="auto" w:fill="auto"/>
            <w:noWrap/>
            <w:vAlign w:val="center"/>
            <w:hideMark/>
          </w:tcPr>
          <w:p w14:paraId="531880CD"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7,500</w:t>
            </w:r>
          </w:p>
        </w:tc>
        <w:tc>
          <w:tcPr>
            <w:tcW w:w="938" w:type="dxa"/>
            <w:tcBorders>
              <w:top w:val="nil"/>
              <w:left w:val="nil"/>
              <w:bottom w:val="single" w:sz="8" w:space="0" w:color="auto"/>
              <w:right w:val="single" w:sz="8" w:space="0" w:color="auto"/>
            </w:tcBorders>
            <w:shd w:val="clear" w:color="auto" w:fill="auto"/>
            <w:noWrap/>
            <w:vAlign w:val="center"/>
            <w:hideMark/>
          </w:tcPr>
          <w:p w14:paraId="6E121EF9"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7,500</w:t>
            </w:r>
          </w:p>
        </w:tc>
        <w:tc>
          <w:tcPr>
            <w:tcW w:w="938" w:type="dxa"/>
            <w:tcBorders>
              <w:top w:val="nil"/>
              <w:left w:val="nil"/>
              <w:bottom w:val="single" w:sz="8" w:space="0" w:color="auto"/>
              <w:right w:val="single" w:sz="8" w:space="0" w:color="auto"/>
            </w:tcBorders>
            <w:shd w:val="clear" w:color="auto" w:fill="auto"/>
            <w:vAlign w:val="center"/>
            <w:hideMark/>
          </w:tcPr>
          <w:p w14:paraId="483B22E1"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7,500</w:t>
            </w:r>
          </w:p>
        </w:tc>
        <w:tc>
          <w:tcPr>
            <w:tcW w:w="1372" w:type="dxa"/>
            <w:tcBorders>
              <w:top w:val="nil"/>
              <w:left w:val="nil"/>
              <w:bottom w:val="single" w:sz="8" w:space="0" w:color="auto"/>
              <w:right w:val="single" w:sz="8" w:space="0" w:color="auto"/>
            </w:tcBorders>
            <w:shd w:val="clear" w:color="auto" w:fill="auto"/>
            <w:noWrap/>
            <w:vAlign w:val="center"/>
            <w:hideMark/>
          </w:tcPr>
          <w:p w14:paraId="1FB5E549"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37,500</w:t>
            </w:r>
          </w:p>
        </w:tc>
        <w:tc>
          <w:tcPr>
            <w:tcW w:w="690" w:type="dxa"/>
            <w:tcBorders>
              <w:top w:val="nil"/>
              <w:left w:val="nil"/>
              <w:bottom w:val="single" w:sz="8" w:space="0" w:color="auto"/>
              <w:right w:val="single" w:sz="8" w:space="0" w:color="auto"/>
            </w:tcBorders>
            <w:shd w:val="clear" w:color="auto" w:fill="auto"/>
            <w:noWrap/>
            <w:vAlign w:val="center"/>
            <w:hideMark/>
          </w:tcPr>
          <w:p w14:paraId="2029E94E"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26</w:t>
            </w:r>
          </w:p>
        </w:tc>
      </w:tr>
      <w:tr w:rsidR="001F45CE" w:rsidRPr="00913CCF" w14:paraId="2856D31F" w14:textId="77777777" w:rsidTr="004205FD">
        <w:trPr>
          <w:trHeight w:val="225"/>
        </w:trPr>
        <w:tc>
          <w:tcPr>
            <w:tcW w:w="1354" w:type="dxa"/>
            <w:vMerge/>
            <w:tcBorders>
              <w:top w:val="nil"/>
              <w:left w:val="single" w:sz="8" w:space="0" w:color="auto"/>
              <w:bottom w:val="double" w:sz="6" w:space="0" w:color="000000"/>
              <w:right w:val="single" w:sz="8" w:space="0" w:color="auto"/>
            </w:tcBorders>
            <w:shd w:val="clear" w:color="auto" w:fill="auto"/>
            <w:vAlign w:val="center"/>
            <w:hideMark/>
          </w:tcPr>
          <w:p w14:paraId="1AB82476"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nil"/>
              <w:left w:val="single" w:sz="8" w:space="0" w:color="auto"/>
              <w:bottom w:val="double" w:sz="6" w:space="0" w:color="000000"/>
              <w:right w:val="single" w:sz="8" w:space="0" w:color="auto"/>
            </w:tcBorders>
            <w:shd w:val="clear" w:color="auto" w:fill="auto"/>
            <w:vAlign w:val="center"/>
            <w:hideMark/>
          </w:tcPr>
          <w:p w14:paraId="255B8389"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42D1DFE2"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0886B506"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double" w:sz="6" w:space="0" w:color="auto"/>
              <w:right w:val="single" w:sz="8" w:space="0" w:color="auto"/>
            </w:tcBorders>
            <w:shd w:val="clear" w:color="auto" w:fill="auto"/>
            <w:noWrap/>
            <w:vAlign w:val="center"/>
            <w:hideMark/>
          </w:tcPr>
          <w:p w14:paraId="32DB6B71"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bCs/>
                <w:color w:val="000000"/>
                <w:sz w:val="16"/>
                <w:szCs w:val="16"/>
              </w:rPr>
              <w:t>72200</w:t>
            </w:r>
          </w:p>
        </w:tc>
        <w:tc>
          <w:tcPr>
            <w:tcW w:w="1186" w:type="dxa"/>
            <w:tcBorders>
              <w:top w:val="nil"/>
              <w:left w:val="nil"/>
              <w:bottom w:val="double" w:sz="6" w:space="0" w:color="auto"/>
              <w:right w:val="single" w:sz="8" w:space="0" w:color="auto"/>
            </w:tcBorders>
            <w:shd w:val="clear" w:color="auto" w:fill="auto"/>
            <w:vAlign w:val="center"/>
            <w:hideMark/>
          </w:tcPr>
          <w:p w14:paraId="26B593BC" w14:textId="77777777" w:rsidR="001F45CE" w:rsidRPr="00913CCF" w:rsidRDefault="001F45CE" w:rsidP="001F45CE">
            <w:pPr>
              <w:spacing w:after="0"/>
              <w:jc w:val="left"/>
              <w:rPr>
                <w:rFonts w:eastAsia="Times New Roman" w:cs="Calibri"/>
                <w:color w:val="000000"/>
                <w:sz w:val="16"/>
                <w:szCs w:val="16"/>
              </w:rPr>
            </w:pPr>
            <w:r w:rsidRPr="00913CCF">
              <w:rPr>
                <w:rFonts w:eastAsia="Times New Roman" w:cs="Calibri"/>
                <w:color w:val="000000"/>
                <w:sz w:val="16"/>
                <w:szCs w:val="16"/>
              </w:rPr>
              <w:t>Equip. Furniture</w:t>
            </w:r>
          </w:p>
        </w:tc>
        <w:tc>
          <w:tcPr>
            <w:tcW w:w="1155" w:type="dxa"/>
            <w:tcBorders>
              <w:top w:val="nil"/>
              <w:left w:val="nil"/>
              <w:bottom w:val="double" w:sz="6" w:space="0" w:color="auto"/>
              <w:right w:val="single" w:sz="8" w:space="0" w:color="auto"/>
            </w:tcBorders>
            <w:shd w:val="clear" w:color="auto" w:fill="auto"/>
            <w:noWrap/>
            <w:vAlign w:val="center"/>
            <w:hideMark/>
          </w:tcPr>
          <w:p w14:paraId="1EF16A4A" w14:textId="00DAA1CA" w:rsidR="001F45CE" w:rsidRPr="00913CCF" w:rsidRDefault="001F45CE" w:rsidP="001F45CE">
            <w:pPr>
              <w:spacing w:after="0"/>
              <w:jc w:val="center"/>
              <w:rPr>
                <w:rFonts w:eastAsia="Times New Roman" w:cs="Calibri"/>
                <w:color w:val="000000"/>
                <w:sz w:val="16"/>
                <w:szCs w:val="16"/>
              </w:rPr>
            </w:pPr>
            <w:r w:rsidRPr="00EF6D8E">
              <w:rPr>
                <w:rFonts w:eastAsia="Times New Roman" w:cs="Calibri"/>
                <w:color w:val="000000"/>
                <w:sz w:val="16"/>
                <w:szCs w:val="16"/>
              </w:rPr>
              <w:t>16,000</w:t>
            </w:r>
          </w:p>
        </w:tc>
        <w:tc>
          <w:tcPr>
            <w:tcW w:w="1010" w:type="dxa"/>
            <w:tcBorders>
              <w:top w:val="nil"/>
              <w:left w:val="nil"/>
              <w:bottom w:val="double" w:sz="6" w:space="0" w:color="auto"/>
              <w:right w:val="single" w:sz="8" w:space="0" w:color="auto"/>
            </w:tcBorders>
            <w:shd w:val="clear" w:color="auto" w:fill="auto"/>
            <w:noWrap/>
            <w:vAlign w:val="center"/>
            <w:hideMark/>
          </w:tcPr>
          <w:p w14:paraId="2E876E4D" w14:textId="5E7D630D" w:rsidR="001F45CE" w:rsidRPr="00913CCF" w:rsidRDefault="001F45CE" w:rsidP="001F45CE">
            <w:pPr>
              <w:spacing w:after="0"/>
              <w:jc w:val="center"/>
              <w:rPr>
                <w:rFonts w:eastAsia="Times New Roman" w:cs="Calibri"/>
                <w:color w:val="000000"/>
                <w:sz w:val="16"/>
                <w:szCs w:val="16"/>
              </w:rPr>
            </w:pPr>
            <w:r w:rsidRPr="00EF6D8E">
              <w:rPr>
                <w:rFonts w:eastAsia="Times New Roman" w:cs="Calibri"/>
                <w:color w:val="000000"/>
                <w:sz w:val="16"/>
                <w:szCs w:val="16"/>
              </w:rPr>
              <w:t>2,000</w:t>
            </w:r>
          </w:p>
        </w:tc>
        <w:tc>
          <w:tcPr>
            <w:tcW w:w="938" w:type="dxa"/>
            <w:tcBorders>
              <w:top w:val="nil"/>
              <w:left w:val="nil"/>
              <w:bottom w:val="double" w:sz="6" w:space="0" w:color="auto"/>
              <w:right w:val="single" w:sz="8" w:space="0" w:color="auto"/>
            </w:tcBorders>
            <w:shd w:val="clear" w:color="auto" w:fill="auto"/>
            <w:noWrap/>
            <w:vAlign w:val="center"/>
            <w:hideMark/>
          </w:tcPr>
          <w:p w14:paraId="1C9F5C83" w14:textId="0B4DCB0F" w:rsidR="001F45CE" w:rsidRPr="00913CCF" w:rsidRDefault="001F45CE" w:rsidP="001F45CE">
            <w:pPr>
              <w:spacing w:after="0"/>
              <w:jc w:val="center"/>
              <w:rPr>
                <w:rFonts w:eastAsia="Times New Roman" w:cs="Calibri"/>
                <w:color w:val="000000"/>
                <w:sz w:val="16"/>
                <w:szCs w:val="16"/>
              </w:rPr>
            </w:pPr>
            <w:r w:rsidRPr="00EF6D8E">
              <w:rPr>
                <w:rFonts w:eastAsia="Times New Roman" w:cs="Calibri"/>
                <w:color w:val="000000"/>
                <w:sz w:val="16"/>
                <w:szCs w:val="16"/>
              </w:rPr>
              <w:t>0</w:t>
            </w:r>
          </w:p>
        </w:tc>
        <w:tc>
          <w:tcPr>
            <w:tcW w:w="938" w:type="dxa"/>
            <w:tcBorders>
              <w:top w:val="nil"/>
              <w:left w:val="nil"/>
              <w:bottom w:val="double" w:sz="6" w:space="0" w:color="auto"/>
              <w:right w:val="single" w:sz="8" w:space="0" w:color="auto"/>
            </w:tcBorders>
            <w:shd w:val="clear" w:color="auto" w:fill="auto"/>
            <w:noWrap/>
            <w:vAlign w:val="center"/>
            <w:hideMark/>
          </w:tcPr>
          <w:p w14:paraId="28ACCD95" w14:textId="4273BB84" w:rsidR="001F45CE" w:rsidRPr="00913CCF" w:rsidRDefault="001F45CE" w:rsidP="001F45CE">
            <w:pPr>
              <w:spacing w:after="0"/>
              <w:jc w:val="center"/>
              <w:rPr>
                <w:rFonts w:eastAsia="Times New Roman" w:cs="Calibri"/>
                <w:color w:val="000000"/>
                <w:sz w:val="16"/>
                <w:szCs w:val="16"/>
              </w:rPr>
            </w:pPr>
            <w:r w:rsidRPr="00EF6D8E">
              <w:rPr>
                <w:rFonts w:eastAsia="Times New Roman" w:cs="Calibri"/>
                <w:color w:val="000000"/>
                <w:sz w:val="16"/>
                <w:szCs w:val="16"/>
              </w:rPr>
              <w:t>0</w:t>
            </w:r>
          </w:p>
        </w:tc>
        <w:tc>
          <w:tcPr>
            <w:tcW w:w="938" w:type="dxa"/>
            <w:tcBorders>
              <w:top w:val="nil"/>
              <w:left w:val="nil"/>
              <w:bottom w:val="double" w:sz="6" w:space="0" w:color="auto"/>
              <w:right w:val="single" w:sz="8" w:space="0" w:color="auto"/>
            </w:tcBorders>
            <w:shd w:val="clear" w:color="auto" w:fill="auto"/>
            <w:noWrap/>
            <w:vAlign w:val="center"/>
            <w:hideMark/>
          </w:tcPr>
          <w:p w14:paraId="08578541" w14:textId="6CED9237" w:rsidR="001F45CE" w:rsidRPr="00913CCF" w:rsidRDefault="001F45CE" w:rsidP="001F45CE">
            <w:pPr>
              <w:spacing w:after="0"/>
              <w:jc w:val="center"/>
              <w:rPr>
                <w:rFonts w:eastAsia="Times New Roman" w:cs="Calibri"/>
                <w:color w:val="000000"/>
                <w:sz w:val="16"/>
                <w:szCs w:val="16"/>
              </w:rPr>
            </w:pPr>
            <w:r w:rsidRPr="00EF6D8E">
              <w:rPr>
                <w:rFonts w:eastAsia="Times New Roman" w:cs="Calibri"/>
                <w:color w:val="000000"/>
                <w:sz w:val="16"/>
                <w:szCs w:val="16"/>
              </w:rPr>
              <w:t>0</w:t>
            </w:r>
          </w:p>
        </w:tc>
        <w:tc>
          <w:tcPr>
            <w:tcW w:w="938" w:type="dxa"/>
            <w:tcBorders>
              <w:top w:val="nil"/>
              <w:left w:val="nil"/>
              <w:bottom w:val="double" w:sz="6" w:space="0" w:color="auto"/>
              <w:right w:val="single" w:sz="8" w:space="0" w:color="auto"/>
            </w:tcBorders>
            <w:shd w:val="clear" w:color="auto" w:fill="auto"/>
            <w:vAlign w:val="center"/>
            <w:hideMark/>
          </w:tcPr>
          <w:p w14:paraId="209FC3F7" w14:textId="710F2AF5" w:rsidR="001F45CE" w:rsidRPr="00913CCF" w:rsidRDefault="001F45CE" w:rsidP="001F45CE">
            <w:pPr>
              <w:spacing w:after="0"/>
              <w:jc w:val="center"/>
              <w:rPr>
                <w:rFonts w:eastAsia="Times New Roman" w:cs="Calibri"/>
                <w:color w:val="000000"/>
                <w:sz w:val="16"/>
                <w:szCs w:val="16"/>
              </w:rPr>
            </w:pPr>
            <w:r w:rsidRPr="00EF6D8E">
              <w:rPr>
                <w:rFonts w:eastAsia="Times New Roman" w:cs="Calibri"/>
                <w:color w:val="000000"/>
                <w:sz w:val="16"/>
                <w:szCs w:val="16"/>
              </w:rPr>
              <w:t>0</w:t>
            </w:r>
          </w:p>
        </w:tc>
        <w:tc>
          <w:tcPr>
            <w:tcW w:w="1372" w:type="dxa"/>
            <w:tcBorders>
              <w:top w:val="nil"/>
              <w:left w:val="nil"/>
              <w:bottom w:val="double" w:sz="6" w:space="0" w:color="auto"/>
              <w:right w:val="single" w:sz="8" w:space="0" w:color="auto"/>
            </w:tcBorders>
            <w:shd w:val="clear" w:color="auto" w:fill="auto"/>
            <w:noWrap/>
            <w:vAlign w:val="center"/>
            <w:hideMark/>
          </w:tcPr>
          <w:p w14:paraId="2C2D9ACC"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18,000</w:t>
            </w:r>
          </w:p>
        </w:tc>
        <w:tc>
          <w:tcPr>
            <w:tcW w:w="690" w:type="dxa"/>
            <w:tcBorders>
              <w:top w:val="nil"/>
              <w:left w:val="nil"/>
              <w:bottom w:val="double" w:sz="6" w:space="0" w:color="auto"/>
              <w:right w:val="single" w:sz="8" w:space="0" w:color="auto"/>
            </w:tcBorders>
            <w:shd w:val="clear" w:color="auto" w:fill="auto"/>
            <w:noWrap/>
            <w:vAlign w:val="center"/>
            <w:hideMark/>
          </w:tcPr>
          <w:p w14:paraId="6C984332"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27</w:t>
            </w:r>
          </w:p>
        </w:tc>
      </w:tr>
      <w:tr w:rsidR="001F45CE" w:rsidRPr="00913CCF" w14:paraId="2F478BFC" w14:textId="77777777" w:rsidTr="004205FD">
        <w:trPr>
          <w:trHeight w:val="300"/>
        </w:trPr>
        <w:tc>
          <w:tcPr>
            <w:tcW w:w="1354" w:type="dxa"/>
            <w:vMerge/>
            <w:tcBorders>
              <w:top w:val="nil"/>
              <w:left w:val="single" w:sz="8" w:space="0" w:color="auto"/>
              <w:bottom w:val="double" w:sz="6" w:space="0" w:color="000000"/>
              <w:right w:val="single" w:sz="8" w:space="0" w:color="auto"/>
            </w:tcBorders>
            <w:shd w:val="clear" w:color="auto" w:fill="auto"/>
            <w:vAlign w:val="center"/>
            <w:hideMark/>
          </w:tcPr>
          <w:p w14:paraId="25EE0CC7"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nil"/>
              <w:left w:val="single" w:sz="8" w:space="0" w:color="auto"/>
              <w:bottom w:val="double" w:sz="6" w:space="0" w:color="000000"/>
              <w:right w:val="single" w:sz="8" w:space="0" w:color="auto"/>
            </w:tcBorders>
            <w:shd w:val="clear" w:color="auto" w:fill="auto"/>
            <w:vAlign w:val="center"/>
            <w:hideMark/>
          </w:tcPr>
          <w:p w14:paraId="386CF0D5"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465FDA3E"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66446592"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double" w:sz="6" w:space="0" w:color="auto"/>
              <w:right w:val="single" w:sz="8" w:space="0" w:color="auto"/>
            </w:tcBorders>
            <w:shd w:val="clear" w:color="auto" w:fill="auto"/>
            <w:noWrap/>
            <w:vAlign w:val="center"/>
            <w:hideMark/>
          </w:tcPr>
          <w:p w14:paraId="68F98534"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 </w:t>
            </w:r>
          </w:p>
        </w:tc>
        <w:tc>
          <w:tcPr>
            <w:tcW w:w="1186" w:type="dxa"/>
            <w:tcBorders>
              <w:top w:val="nil"/>
              <w:left w:val="nil"/>
              <w:bottom w:val="double" w:sz="6" w:space="0" w:color="auto"/>
              <w:right w:val="single" w:sz="8" w:space="0" w:color="auto"/>
            </w:tcBorders>
            <w:shd w:val="clear" w:color="auto" w:fill="auto"/>
            <w:vAlign w:val="center"/>
            <w:hideMark/>
          </w:tcPr>
          <w:p w14:paraId="4777FCB3" w14:textId="77777777" w:rsidR="001F45CE" w:rsidRPr="00913CCF" w:rsidRDefault="001F45CE" w:rsidP="001F45CE">
            <w:pPr>
              <w:spacing w:after="0"/>
              <w:jc w:val="left"/>
              <w:rPr>
                <w:rFonts w:eastAsia="Times New Roman" w:cs="Calibri"/>
                <w:b/>
                <w:bCs/>
                <w:color w:val="000000"/>
                <w:sz w:val="15"/>
                <w:szCs w:val="15"/>
              </w:rPr>
            </w:pPr>
            <w:r w:rsidRPr="00913CCF">
              <w:rPr>
                <w:rFonts w:eastAsia="Times New Roman" w:cs="Calibri"/>
                <w:b/>
                <w:bCs/>
                <w:color w:val="000000"/>
                <w:sz w:val="15"/>
                <w:szCs w:val="15"/>
              </w:rPr>
              <w:t>Sub-total Outcome 2</w:t>
            </w:r>
          </w:p>
        </w:tc>
        <w:tc>
          <w:tcPr>
            <w:tcW w:w="1155" w:type="dxa"/>
            <w:tcBorders>
              <w:top w:val="nil"/>
              <w:left w:val="nil"/>
              <w:bottom w:val="double" w:sz="6" w:space="0" w:color="auto"/>
              <w:right w:val="single" w:sz="8" w:space="0" w:color="auto"/>
            </w:tcBorders>
            <w:shd w:val="clear" w:color="auto" w:fill="auto"/>
            <w:noWrap/>
            <w:vAlign w:val="center"/>
            <w:hideMark/>
          </w:tcPr>
          <w:p w14:paraId="61262C94" w14:textId="6DEFF741" w:rsidR="001F45CE" w:rsidRPr="00913CCF"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18,000</w:t>
            </w:r>
          </w:p>
        </w:tc>
        <w:tc>
          <w:tcPr>
            <w:tcW w:w="1010" w:type="dxa"/>
            <w:tcBorders>
              <w:top w:val="nil"/>
              <w:left w:val="nil"/>
              <w:bottom w:val="double" w:sz="6" w:space="0" w:color="auto"/>
              <w:right w:val="single" w:sz="8" w:space="0" w:color="auto"/>
            </w:tcBorders>
            <w:shd w:val="clear" w:color="auto" w:fill="auto"/>
            <w:noWrap/>
            <w:vAlign w:val="center"/>
            <w:hideMark/>
          </w:tcPr>
          <w:p w14:paraId="10890388" w14:textId="29ED7B5D" w:rsidR="001F45CE" w:rsidRPr="00913CCF"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11,500</w:t>
            </w:r>
          </w:p>
        </w:tc>
        <w:tc>
          <w:tcPr>
            <w:tcW w:w="938" w:type="dxa"/>
            <w:tcBorders>
              <w:top w:val="nil"/>
              <w:left w:val="nil"/>
              <w:bottom w:val="double" w:sz="6" w:space="0" w:color="auto"/>
              <w:right w:val="single" w:sz="8" w:space="0" w:color="auto"/>
            </w:tcBorders>
            <w:shd w:val="clear" w:color="auto" w:fill="auto"/>
            <w:noWrap/>
            <w:vAlign w:val="center"/>
            <w:hideMark/>
          </w:tcPr>
          <w:p w14:paraId="7359431B" w14:textId="16A27747" w:rsidR="001F45CE" w:rsidRPr="00913CCF"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9,500</w:t>
            </w:r>
          </w:p>
        </w:tc>
        <w:tc>
          <w:tcPr>
            <w:tcW w:w="938" w:type="dxa"/>
            <w:tcBorders>
              <w:top w:val="nil"/>
              <w:left w:val="nil"/>
              <w:bottom w:val="double" w:sz="6" w:space="0" w:color="auto"/>
              <w:right w:val="single" w:sz="8" w:space="0" w:color="auto"/>
            </w:tcBorders>
            <w:shd w:val="clear" w:color="auto" w:fill="auto"/>
            <w:noWrap/>
            <w:vAlign w:val="center"/>
            <w:hideMark/>
          </w:tcPr>
          <w:p w14:paraId="427066AF" w14:textId="71C6A61F" w:rsidR="001F45CE" w:rsidRPr="00913CCF"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9,500</w:t>
            </w:r>
          </w:p>
        </w:tc>
        <w:tc>
          <w:tcPr>
            <w:tcW w:w="938" w:type="dxa"/>
            <w:tcBorders>
              <w:top w:val="nil"/>
              <w:left w:val="nil"/>
              <w:bottom w:val="double" w:sz="6" w:space="0" w:color="auto"/>
              <w:right w:val="single" w:sz="8" w:space="0" w:color="auto"/>
            </w:tcBorders>
            <w:shd w:val="clear" w:color="auto" w:fill="auto"/>
            <w:noWrap/>
            <w:vAlign w:val="center"/>
            <w:hideMark/>
          </w:tcPr>
          <w:p w14:paraId="6D20156C" w14:textId="6CDFF077" w:rsidR="001F45CE" w:rsidRPr="00913CCF"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9,500</w:t>
            </w:r>
          </w:p>
        </w:tc>
        <w:tc>
          <w:tcPr>
            <w:tcW w:w="938" w:type="dxa"/>
            <w:tcBorders>
              <w:top w:val="nil"/>
              <w:left w:val="nil"/>
              <w:bottom w:val="double" w:sz="6" w:space="0" w:color="auto"/>
              <w:right w:val="single" w:sz="8" w:space="0" w:color="auto"/>
            </w:tcBorders>
            <w:shd w:val="clear" w:color="auto" w:fill="auto"/>
            <w:vAlign w:val="center"/>
            <w:hideMark/>
          </w:tcPr>
          <w:p w14:paraId="02E2C5E0" w14:textId="6618F326" w:rsidR="001F45CE" w:rsidRPr="00913CCF"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9,500</w:t>
            </w:r>
          </w:p>
        </w:tc>
        <w:tc>
          <w:tcPr>
            <w:tcW w:w="1372" w:type="dxa"/>
            <w:tcBorders>
              <w:top w:val="nil"/>
              <w:left w:val="nil"/>
              <w:bottom w:val="double" w:sz="6" w:space="0" w:color="auto"/>
              <w:right w:val="single" w:sz="8" w:space="0" w:color="auto"/>
            </w:tcBorders>
            <w:shd w:val="clear" w:color="auto" w:fill="auto"/>
            <w:noWrap/>
            <w:vAlign w:val="center"/>
            <w:hideMark/>
          </w:tcPr>
          <w:p w14:paraId="50CDDCBE"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67,500</w:t>
            </w:r>
          </w:p>
        </w:tc>
        <w:tc>
          <w:tcPr>
            <w:tcW w:w="690" w:type="dxa"/>
            <w:tcBorders>
              <w:top w:val="nil"/>
              <w:left w:val="nil"/>
              <w:bottom w:val="double" w:sz="6" w:space="0" w:color="auto"/>
              <w:right w:val="single" w:sz="8" w:space="0" w:color="auto"/>
            </w:tcBorders>
            <w:shd w:val="clear" w:color="auto" w:fill="auto"/>
            <w:noWrap/>
            <w:vAlign w:val="center"/>
            <w:hideMark/>
          </w:tcPr>
          <w:p w14:paraId="049A51FA" w14:textId="77777777" w:rsidR="001F45CE" w:rsidRPr="00913CCF" w:rsidRDefault="001F45CE" w:rsidP="001F45CE">
            <w:pPr>
              <w:spacing w:after="0"/>
              <w:rPr>
                <w:rFonts w:eastAsia="Times New Roman" w:cs="Calibri"/>
                <w:color w:val="000000"/>
                <w:sz w:val="14"/>
                <w:szCs w:val="14"/>
              </w:rPr>
            </w:pPr>
            <w:r w:rsidRPr="00913CCF">
              <w:rPr>
                <w:rFonts w:eastAsia="Times New Roman" w:cs="Calibri"/>
                <w:color w:val="000000"/>
                <w:sz w:val="14"/>
                <w:szCs w:val="14"/>
              </w:rPr>
              <w:t> </w:t>
            </w:r>
          </w:p>
        </w:tc>
      </w:tr>
      <w:tr w:rsidR="001F45CE" w:rsidRPr="00913CCF" w14:paraId="0460B2B2" w14:textId="77777777" w:rsidTr="004205FD">
        <w:trPr>
          <w:trHeight w:val="300"/>
        </w:trPr>
        <w:tc>
          <w:tcPr>
            <w:tcW w:w="1354" w:type="dxa"/>
            <w:vMerge/>
            <w:tcBorders>
              <w:top w:val="nil"/>
              <w:left w:val="single" w:sz="8" w:space="0" w:color="auto"/>
              <w:bottom w:val="double" w:sz="6" w:space="0" w:color="000000"/>
              <w:right w:val="single" w:sz="8" w:space="0" w:color="auto"/>
            </w:tcBorders>
            <w:shd w:val="clear" w:color="auto" w:fill="auto"/>
            <w:vAlign w:val="center"/>
            <w:hideMark/>
          </w:tcPr>
          <w:p w14:paraId="66D203CF" w14:textId="77777777" w:rsidR="001F45CE" w:rsidRPr="00913CCF" w:rsidRDefault="001F45CE" w:rsidP="001F45CE">
            <w:pPr>
              <w:spacing w:after="0"/>
              <w:jc w:val="left"/>
              <w:rPr>
                <w:rFonts w:eastAsia="Times New Roman" w:cs="Calibri"/>
                <w:b/>
                <w:bCs/>
                <w:color w:val="000000"/>
                <w:sz w:val="16"/>
                <w:szCs w:val="16"/>
              </w:rPr>
            </w:pPr>
          </w:p>
        </w:tc>
        <w:tc>
          <w:tcPr>
            <w:tcW w:w="1266" w:type="dxa"/>
            <w:tcBorders>
              <w:top w:val="nil"/>
              <w:left w:val="nil"/>
              <w:bottom w:val="double" w:sz="6" w:space="0" w:color="000000"/>
              <w:right w:val="single" w:sz="8" w:space="0" w:color="auto"/>
            </w:tcBorders>
            <w:shd w:val="clear" w:color="auto" w:fill="auto"/>
            <w:vAlign w:val="center"/>
            <w:hideMark/>
          </w:tcPr>
          <w:p w14:paraId="21E8FE0F" w14:textId="77777777" w:rsidR="001F45CE" w:rsidRPr="00913CCF" w:rsidRDefault="001F45CE" w:rsidP="001F45CE">
            <w:pPr>
              <w:spacing w:after="0"/>
              <w:jc w:val="left"/>
              <w:rPr>
                <w:rFonts w:eastAsia="Times New Roman" w:cs="Calibri"/>
                <w:b/>
                <w:bCs/>
                <w:color w:val="000000"/>
                <w:sz w:val="16"/>
                <w:szCs w:val="16"/>
              </w:rPr>
            </w:pPr>
            <w:r w:rsidRPr="00913CCF">
              <w:rPr>
                <w:rFonts w:eastAsia="Times New Roman" w:cs="Calibri"/>
                <w:b/>
                <w:bCs/>
                <w:color w:val="000000"/>
                <w:sz w:val="16"/>
                <w:szCs w:val="16"/>
              </w:rPr>
              <w:t> </w:t>
            </w:r>
          </w:p>
        </w:tc>
        <w:tc>
          <w:tcPr>
            <w:tcW w:w="622" w:type="dxa"/>
            <w:tcBorders>
              <w:top w:val="nil"/>
              <w:left w:val="nil"/>
              <w:bottom w:val="double" w:sz="6" w:space="0" w:color="auto"/>
              <w:right w:val="single" w:sz="8" w:space="0" w:color="auto"/>
            </w:tcBorders>
            <w:shd w:val="clear" w:color="auto" w:fill="auto"/>
            <w:vAlign w:val="center"/>
            <w:hideMark/>
          </w:tcPr>
          <w:p w14:paraId="02674179"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 </w:t>
            </w:r>
          </w:p>
        </w:tc>
        <w:tc>
          <w:tcPr>
            <w:tcW w:w="632" w:type="dxa"/>
            <w:tcBorders>
              <w:top w:val="nil"/>
              <w:left w:val="nil"/>
              <w:bottom w:val="double" w:sz="6" w:space="0" w:color="auto"/>
              <w:right w:val="single" w:sz="8" w:space="0" w:color="auto"/>
            </w:tcBorders>
            <w:shd w:val="clear" w:color="auto" w:fill="auto"/>
            <w:vAlign w:val="center"/>
            <w:hideMark/>
          </w:tcPr>
          <w:p w14:paraId="4E475F07"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 </w:t>
            </w:r>
          </w:p>
        </w:tc>
        <w:tc>
          <w:tcPr>
            <w:tcW w:w="901" w:type="dxa"/>
            <w:tcBorders>
              <w:top w:val="nil"/>
              <w:left w:val="nil"/>
              <w:bottom w:val="double" w:sz="6" w:space="0" w:color="auto"/>
              <w:right w:val="single" w:sz="8" w:space="0" w:color="auto"/>
            </w:tcBorders>
            <w:shd w:val="clear" w:color="auto" w:fill="auto"/>
            <w:noWrap/>
            <w:vAlign w:val="center"/>
            <w:hideMark/>
          </w:tcPr>
          <w:p w14:paraId="23155F7F"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 </w:t>
            </w:r>
          </w:p>
        </w:tc>
        <w:tc>
          <w:tcPr>
            <w:tcW w:w="1186" w:type="dxa"/>
            <w:tcBorders>
              <w:top w:val="nil"/>
              <w:left w:val="nil"/>
              <w:bottom w:val="double" w:sz="6" w:space="0" w:color="auto"/>
              <w:right w:val="single" w:sz="8" w:space="0" w:color="auto"/>
            </w:tcBorders>
            <w:shd w:val="clear" w:color="auto" w:fill="auto"/>
            <w:vAlign w:val="center"/>
            <w:hideMark/>
          </w:tcPr>
          <w:p w14:paraId="05FD4E5A" w14:textId="77777777" w:rsidR="001F45CE" w:rsidRPr="00913CCF" w:rsidRDefault="001F45CE" w:rsidP="001F45CE">
            <w:pPr>
              <w:spacing w:after="0"/>
              <w:jc w:val="left"/>
              <w:rPr>
                <w:rFonts w:eastAsia="Times New Roman" w:cs="Calibri"/>
                <w:b/>
                <w:bCs/>
                <w:color w:val="000000"/>
                <w:sz w:val="16"/>
                <w:szCs w:val="16"/>
              </w:rPr>
            </w:pPr>
            <w:r w:rsidRPr="00913CCF">
              <w:rPr>
                <w:rFonts w:eastAsia="Times New Roman" w:cs="Calibri"/>
                <w:b/>
                <w:bCs/>
                <w:color w:val="000000"/>
                <w:sz w:val="16"/>
                <w:szCs w:val="16"/>
              </w:rPr>
              <w:t>Total Outcome 2</w:t>
            </w:r>
          </w:p>
        </w:tc>
        <w:tc>
          <w:tcPr>
            <w:tcW w:w="1155" w:type="dxa"/>
            <w:tcBorders>
              <w:top w:val="nil"/>
              <w:left w:val="nil"/>
              <w:bottom w:val="double" w:sz="6" w:space="0" w:color="auto"/>
              <w:right w:val="single" w:sz="8" w:space="0" w:color="auto"/>
            </w:tcBorders>
            <w:shd w:val="clear" w:color="auto" w:fill="auto"/>
            <w:noWrap/>
            <w:vAlign w:val="center"/>
            <w:hideMark/>
          </w:tcPr>
          <w:p w14:paraId="61B3838C" w14:textId="77777777" w:rsidR="001F45CE" w:rsidRPr="00EF6D8E"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530,605</w:t>
            </w:r>
          </w:p>
        </w:tc>
        <w:tc>
          <w:tcPr>
            <w:tcW w:w="1010" w:type="dxa"/>
            <w:tcBorders>
              <w:top w:val="nil"/>
              <w:left w:val="nil"/>
              <w:bottom w:val="double" w:sz="6" w:space="0" w:color="auto"/>
              <w:right w:val="single" w:sz="8" w:space="0" w:color="auto"/>
            </w:tcBorders>
            <w:shd w:val="clear" w:color="auto" w:fill="auto"/>
            <w:noWrap/>
            <w:vAlign w:val="center"/>
            <w:hideMark/>
          </w:tcPr>
          <w:p w14:paraId="3ECA7C2F" w14:textId="6634E4A0" w:rsidR="001F45CE" w:rsidRPr="00EF6D8E"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424,520</w:t>
            </w:r>
          </w:p>
        </w:tc>
        <w:tc>
          <w:tcPr>
            <w:tcW w:w="938" w:type="dxa"/>
            <w:tcBorders>
              <w:top w:val="nil"/>
              <w:left w:val="nil"/>
              <w:bottom w:val="double" w:sz="6" w:space="0" w:color="auto"/>
              <w:right w:val="single" w:sz="8" w:space="0" w:color="auto"/>
            </w:tcBorders>
            <w:shd w:val="clear" w:color="auto" w:fill="auto"/>
            <w:noWrap/>
            <w:vAlign w:val="center"/>
            <w:hideMark/>
          </w:tcPr>
          <w:p w14:paraId="790AE73F" w14:textId="1633B694" w:rsidR="001F45CE" w:rsidRPr="00EF6D8E"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935,130</w:t>
            </w:r>
          </w:p>
        </w:tc>
        <w:tc>
          <w:tcPr>
            <w:tcW w:w="938" w:type="dxa"/>
            <w:tcBorders>
              <w:top w:val="nil"/>
              <w:left w:val="nil"/>
              <w:bottom w:val="double" w:sz="6" w:space="0" w:color="auto"/>
              <w:right w:val="single" w:sz="8" w:space="0" w:color="auto"/>
            </w:tcBorders>
            <w:shd w:val="clear" w:color="auto" w:fill="auto"/>
            <w:noWrap/>
            <w:vAlign w:val="center"/>
            <w:hideMark/>
          </w:tcPr>
          <w:p w14:paraId="3256435D" w14:textId="58F0072F" w:rsidR="001F45CE" w:rsidRPr="00EF6D8E"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555,200</w:t>
            </w:r>
          </w:p>
        </w:tc>
        <w:tc>
          <w:tcPr>
            <w:tcW w:w="938" w:type="dxa"/>
            <w:tcBorders>
              <w:top w:val="nil"/>
              <w:left w:val="nil"/>
              <w:bottom w:val="double" w:sz="6" w:space="0" w:color="auto"/>
              <w:right w:val="single" w:sz="8" w:space="0" w:color="auto"/>
            </w:tcBorders>
            <w:shd w:val="clear" w:color="auto" w:fill="auto"/>
            <w:noWrap/>
            <w:vAlign w:val="center"/>
            <w:hideMark/>
          </w:tcPr>
          <w:p w14:paraId="32631AC8" w14:textId="0B50717E" w:rsidR="001F45CE" w:rsidRPr="00EF6D8E"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260,200</w:t>
            </w:r>
          </w:p>
        </w:tc>
        <w:tc>
          <w:tcPr>
            <w:tcW w:w="938" w:type="dxa"/>
            <w:tcBorders>
              <w:top w:val="nil"/>
              <w:left w:val="nil"/>
              <w:bottom w:val="double" w:sz="6" w:space="0" w:color="auto"/>
              <w:right w:val="single" w:sz="8" w:space="0" w:color="auto"/>
            </w:tcBorders>
            <w:shd w:val="clear" w:color="auto" w:fill="auto"/>
            <w:noWrap/>
            <w:vAlign w:val="center"/>
            <w:hideMark/>
          </w:tcPr>
          <w:p w14:paraId="1F0735E3" w14:textId="281E92F7" w:rsidR="001F45CE" w:rsidRPr="00EF6D8E"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65,400</w:t>
            </w:r>
          </w:p>
        </w:tc>
        <w:tc>
          <w:tcPr>
            <w:tcW w:w="1372" w:type="dxa"/>
            <w:tcBorders>
              <w:top w:val="nil"/>
              <w:left w:val="nil"/>
              <w:bottom w:val="double" w:sz="6" w:space="0" w:color="auto"/>
              <w:right w:val="single" w:sz="8" w:space="0" w:color="auto"/>
            </w:tcBorders>
            <w:shd w:val="clear" w:color="auto" w:fill="auto"/>
            <w:noWrap/>
            <w:vAlign w:val="center"/>
            <w:hideMark/>
          </w:tcPr>
          <w:p w14:paraId="72AB0706" w14:textId="37F8DD4E" w:rsidR="001F45CE" w:rsidRPr="00913CCF"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2,771,055</w:t>
            </w:r>
          </w:p>
        </w:tc>
        <w:tc>
          <w:tcPr>
            <w:tcW w:w="690" w:type="dxa"/>
            <w:tcBorders>
              <w:top w:val="nil"/>
              <w:left w:val="nil"/>
              <w:bottom w:val="double" w:sz="6" w:space="0" w:color="auto"/>
              <w:right w:val="single" w:sz="8" w:space="0" w:color="auto"/>
            </w:tcBorders>
            <w:shd w:val="clear" w:color="auto" w:fill="auto"/>
            <w:noWrap/>
            <w:vAlign w:val="center"/>
            <w:hideMark/>
          </w:tcPr>
          <w:p w14:paraId="26396EE9" w14:textId="77777777" w:rsidR="001F45CE" w:rsidRPr="00913CCF" w:rsidRDefault="001F45CE" w:rsidP="001F45CE">
            <w:pPr>
              <w:spacing w:after="0"/>
              <w:rPr>
                <w:rFonts w:eastAsia="Times New Roman" w:cs="Calibri"/>
                <w:color w:val="000000"/>
                <w:sz w:val="14"/>
                <w:szCs w:val="14"/>
              </w:rPr>
            </w:pPr>
            <w:r w:rsidRPr="00913CCF">
              <w:rPr>
                <w:rFonts w:eastAsia="Times New Roman" w:cs="Calibri"/>
                <w:color w:val="000000"/>
                <w:sz w:val="14"/>
                <w:szCs w:val="14"/>
              </w:rPr>
              <w:t> </w:t>
            </w:r>
          </w:p>
        </w:tc>
      </w:tr>
      <w:tr w:rsidR="001F45CE" w:rsidRPr="00913CCF" w14:paraId="74233F1B" w14:textId="77777777" w:rsidTr="004205FD">
        <w:trPr>
          <w:trHeight w:val="252"/>
        </w:trPr>
        <w:tc>
          <w:tcPr>
            <w:tcW w:w="1354" w:type="dxa"/>
            <w:vMerge w:val="restart"/>
            <w:tcBorders>
              <w:top w:val="nil"/>
              <w:left w:val="single" w:sz="8" w:space="0" w:color="000000"/>
              <w:bottom w:val="double" w:sz="6" w:space="0" w:color="000000"/>
              <w:right w:val="single" w:sz="8" w:space="0" w:color="auto"/>
            </w:tcBorders>
            <w:shd w:val="clear" w:color="auto" w:fill="auto"/>
            <w:vAlign w:val="center"/>
            <w:hideMark/>
          </w:tcPr>
          <w:p w14:paraId="0CB4062C"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COMPONENT / OUTCOME 3:</w:t>
            </w:r>
          </w:p>
        </w:tc>
        <w:tc>
          <w:tcPr>
            <w:tcW w:w="1266" w:type="dxa"/>
            <w:vMerge w:val="restart"/>
            <w:tcBorders>
              <w:top w:val="nil"/>
              <w:left w:val="single" w:sz="8" w:space="0" w:color="auto"/>
              <w:bottom w:val="double" w:sz="6" w:space="0" w:color="000000"/>
              <w:right w:val="single" w:sz="8" w:space="0" w:color="auto"/>
            </w:tcBorders>
            <w:shd w:val="clear" w:color="auto" w:fill="auto"/>
            <w:vAlign w:val="center"/>
            <w:hideMark/>
          </w:tcPr>
          <w:p w14:paraId="715D7F9A" w14:textId="66F2B26F" w:rsidR="001F45CE" w:rsidRPr="00913CCF" w:rsidRDefault="001F45CE" w:rsidP="001F45CE">
            <w:pPr>
              <w:spacing w:after="0"/>
              <w:jc w:val="center"/>
              <w:rPr>
                <w:rFonts w:eastAsia="Times New Roman" w:cs="Calibri"/>
                <w:b/>
                <w:bCs/>
                <w:color w:val="000000"/>
                <w:sz w:val="16"/>
                <w:szCs w:val="16"/>
              </w:rPr>
            </w:pPr>
            <w:r>
              <w:rPr>
                <w:rFonts w:cs="Arial"/>
                <w:szCs w:val="20"/>
                <w:highlight w:val="green"/>
              </w:rPr>
              <w:t>SP Conseil Nation Devel Durabl under the Ministry in charge of the Environment</w:t>
            </w:r>
          </w:p>
        </w:tc>
        <w:tc>
          <w:tcPr>
            <w:tcW w:w="622" w:type="dxa"/>
            <w:vMerge w:val="restart"/>
            <w:tcBorders>
              <w:top w:val="nil"/>
              <w:left w:val="single" w:sz="8" w:space="0" w:color="auto"/>
              <w:bottom w:val="double" w:sz="6" w:space="0" w:color="000000"/>
              <w:right w:val="single" w:sz="8" w:space="0" w:color="auto"/>
            </w:tcBorders>
            <w:shd w:val="clear" w:color="auto" w:fill="auto"/>
            <w:vAlign w:val="center"/>
            <w:hideMark/>
          </w:tcPr>
          <w:p w14:paraId="2AF52AF0"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62000</w:t>
            </w:r>
          </w:p>
        </w:tc>
        <w:tc>
          <w:tcPr>
            <w:tcW w:w="632" w:type="dxa"/>
            <w:vMerge w:val="restart"/>
            <w:tcBorders>
              <w:top w:val="nil"/>
              <w:left w:val="single" w:sz="8" w:space="0" w:color="auto"/>
              <w:bottom w:val="double" w:sz="6" w:space="0" w:color="000000"/>
              <w:right w:val="single" w:sz="8" w:space="0" w:color="auto"/>
            </w:tcBorders>
            <w:shd w:val="clear" w:color="auto" w:fill="auto"/>
            <w:vAlign w:val="center"/>
            <w:hideMark/>
          </w:tcPr>
          <w:p w14:paraId="1A7CF38F"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GEF</w:t>
            </w:r>
          </w:p>
        </w:tc>
        <w:tc>
          <w:tcPr>
            <w:tcW w:w="901" w:type="dxa"/>
            <w:tcBorders>
              <w:top w:val="nil"/>
              <w:left w:val="nil"/>
              <w:bottom w:val="single" w:sz="8" w:space="0" w:color="auto"/>
              <w:right w:val="single" w:sz="8" w:space="0" w:color="auto"/>
            </w:tcBorders>
            <w:shd w:val="clear" w:color="auto" w:fill="auto"/>
            <w:noWrap/>
            <w:vAlign w:val="center"/>
            <w:hideMark/>
          </w:tcPr>
          <w:p w14:paraId="46987B88"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71200</w:t>
            </w:r>
          </w:p>
        </w:tc>
        <w:tc>
          <w:tcPr>
            <w:tcW w:w="1186" w:type="dxa"/>
            <w:tcBorders>
              <w:top w:val="nil"/>
              <w:left w:val="nil"/>
              <w:bottom w:val="single" w:sz="8" w:space="0" w:color="auto"/>
              <w:right w:val="single" w:sz="8" w:space="0" w:color="auto"/>
            </w:tcBorders>
            <w:shd w:val="clear" w:color="auto" w:fill="auto"/>
            <w:vAlign w:val="center"/>
            <w:hideMark/>
          </w:tcPr>
          <w:p w14:paraId="62C7EE4A" w14:textId="77777777" w:rsidR="001F45CE" w:rsidRPr="00913CCF" w:rsidRDefault="001F45CE" w:rsidP="001F45CE">
            <w:pPr>
              <w:spacing w:after="0"/>
              <w:jc w:val="left"/>
              <w:rPr>
                <w:rFonts w:eastAsia="Times New Roman" w:cs="Calibri"/>
                <w:color w:val="000000"/>
                <w:sz w:val="16"/>
                <w:szCs w:val="16"/>
              </w:rPr>
            </w:pPr>
            <w:r w:rsidRPr="00913CCF">
              <w:rPr>
                <w:rFonts w:eastAsia="Times New Roman" w:cs="Calibri"/>
                <w:color w:val="000000"/>
                <w:sz w:val="16"/>
                <w:szCs w:val="16"/>
              </w:rPr>
              <w:t>International Cons</w:t>
            </w:r>
          </w:p>
        </w:tc>
        <w:tc>
          <w:tcPr>
            <w:tcW w:w="1155" w:type="dxa"/>
            <w:tcBorders>
              <w:top w:val="nil"/>
              <w:left w:val="nil"/>
              <w:bottom w:val="single" w:sz="8" w:space="0" w:color="auto"/>
              <w:right w:val="single" w:sz="8" w:space="0" w:color="auto"/>
            </w:tcBorders>
            <w:shd w:val="clear" w:color="auto" w:fill="auto"/>
            <w:noWrap/>
            <w:vAlign w:val="center"/>
            <w:hideMark/>
          </w:tcPr>
          <w:p w14:paraId="2B0D7D94"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1010" w:type="dxa"/>
            <w:tcBorders>
              <w:top w:val="nil"/>
              <w:left w:val="nil"/>
              <w:bottom w:val="single" w:sz="8" w:space="0" w:color="auto"/>
              <w:right w:val="single" w:sz="8" w:space="0" w:color="auto"/>
            </w:tcBorders>
            <w:shd w:val="clear" w:color="auto" w:fill="auto"/>
            <w:noWrap/>
            <w:vAlign w:val="center"/>
            <w:hideMark/>
          </w:tcPr>
          <w:p w14:paraId="3F97516F"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14,000</w:t>
            </w:r>
          </w:p>
        </w:tc>
        <w:tc>
          <w:tcPr>
            <w:tcW w:w="938" w:type="dxa"/>
            <w:tcBorders>
              <w:top w:val="nil"/>
              <w:left w:val="nil"/>
              <w:bottom w:val="single" w:sz="8" w:space="0" w:color="auto"/>
              <w:right w:val="single" w:sz="8" w:space="0" w:color="auto"/>
            </w:tcBorders>
            <w:shd w:val="clear" w:color="auto" w:fill="auto"/>
            <w:noWrap/>
            <w:vAlign w:val="center"/>
            <w:hideMark/>
          </w:tcPr>
          <w:p w14:paraId="2B1BF1C8"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14,000</w:t>
            </w:r>
          </w:p>
        </w:tc>
        <w:tc>
          <w:tcPr>
            <w:tcW w:w="938" w:type="dxa"/>
            <w:tcBorders>
              <w:top w:val="nil"/>
              <w:left w:val="nil"/>
              <w:bottom w:val="single" w:sz="8" w:space="0" w:color="auto"/>
              <w:right w:val="single" w:sz="8" w:space="0" w:color="auto"/>
            </w:tcBorders>
            <w:shd w:val="clear" w:color="auto" w:fill="auto"/>
            <w:noWrap/>
            <w:vAlign w:val="center"/>
            <w:hideMark/>
          </w:tcPr>
          <w:p w14:paraId="6A17530E"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24,500</w:t>
            </w:r>
          </w:p>
        </w:tc>
        <w:tc>
          <w:tcPr>
            <w:tcW w:w="938" w:type="dxa"/>
            <w:tcBorders>
              <w:top w:val="nil"/>
              <w:left w:val="nil"/>
              <w:bottom w:val="single" w:sz="8" w:space="0" w:color="auto"/>
              <w:right w:val="single" w:sz="8" w:space="0" w:color="auto"/>
            </w:tcBorders>
            <w:shd w:val="clear" w:color="auto" w:fill="auto"/>
            <w:noWrap/>
            <w:vAlign w:val="center"/>
            <w:hideMark/>
          </w:tcPr>
          <w:p w14:paraId="1BDA3247"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938" w:type="dxa"/>
            <w:tcBorders>
              <w:top w:val="nil"/>
              <w:left w:val="nil"/>
              <w:bottom w:val="single" w:sz="8" w:space="0" w:color="auto"/>
              <w:right w:val="single" w:sz="8" w:space="0" w:color="auto"/>
            </w:tcBorders>
            <w:shd w:val="clear" w:color="auto" w:fill="auto"/>
            <w:vAlign w:val="center"/>
            <w:hideMark/>
          </w:tcPr>
          <w:p w14:paraId="1CC7A0BE"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1372" w:type="dxa"/>
            <w:tcBorders>
              <w:top w:val="nil"/>
              <w:left w:val="nil"/>
              <w:bottom w:val="single" w:sz="8" w:space="0" w:color="auto"/>
              <w:right w:val="single" w:sz="8" w:space="0" w:color="auto"/>
            </w:tcBorders>
            <w:shd w:val="clear" w:color="auto" w:fill="auto"/>
            <w:noWrap/>
            <w:vAlign w:val="center"/>
            <w:hideMark/>
          </w:tcPr>
          <w:p w14:paraId="316E4F6C"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52,500</w:t>
            </w:r>
          </w:p>
        </w:tc>
        <w:tc>
          <w:tcPr>
            <w:tcW w:w="690" w:type="dxa"/>
            <w:tcBorders>
              <w:top w:val="nil"/>
              <w:left w:val="nil"/>
              <w:bottom w:val="single" w:sz="8" w:space="0" w:color="auto"/>
              <w:right w:val="single" w:sz="8" w:space="0" w:color="auto"/>
            </w:tcBorders>
            <w:shd w:val="clear" w:color="auto" w:fill="auto"/>
            <w:vAlign w:val="center"/>
            <w:hideMark/>
          </w:tcPr>
          <w:p w14:paraId="6FE9B720"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28</w:t>
            </w:r>
          </w:p>
        </w:tc>
      </w:tr>
      <w:tr w:rsidR="001F45CE" w:rsidRPr="00913CCF" w14:paraId="2BE0855B" w14:textId="77777777" w:rsidTr="004205FD">
        <w:trPr>
          <w:trHeight w:val="225"/>
        </w:trPr>
        <w:tc>
          <w:tcPr>
            <w:tcW w:w="1354" w:type="dxa"/>
            <w:vMerge/>
            <w:tcBorders>
              <w:top w:val="nil"/>
              <w:left w:val="single" w:sz="8" w:space="0" w:color="000000"/>
              <w:bottom w:val="double" w:sz="6" w:space="0" w:color="000000"/>
              <w:right w:val="single" w:sz="8" w:space="0" w:color="auto"/>
            </w:tcBorders>
            <w:shd w:val="clear" w:color="auto" w:fill="auto"/>
            <w:vAlign w:val="center"/>
            <w:hideMark/>
          </w:tcPr>
          <w:p w14:paraId="0738F203"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nil"/>
              <w:left w:val="single" w:sz="8" w:space="0" w:color="auto"/>
              <w:bottom w:val="double" w:sz="6" w:space="0" w:color="000000"/>
              <w:right w:val="single" w:sz="8" w:space="0" w:color="auto"/>
            </w:tcBorders>
            <w:shd w:val="clear" w:color="auto" w:fill="auto"/>
            <w:vAlign w:val="center"/>
            <w:hideMark/>
          </w:tcPr>
          <w:p w14:paraId="2EA912AA"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273DD8BA"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0AB030AA"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single" w:sz="8" w:space="0" w:color="auto"/>
              <w:right w:val="single" w:sz="8" w:space="0" w:color="auto"/>
            </w:tcBorders>
            <w:shd w:val="clear" w:color="auto" w:fill="auto"/>
            <w:noWrap/>
            <w:vAlign w:val="center"/>
            <w:hideMark/>
          </w:tcPr>
          <w:p w14:paraId="24479C1D"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71300</w:t>
            </w:r>
          </w:p>
        </w:tc>
        <w:tc>
          <w:tcPr>
            <w:tcW w:w="1186" w:type="dxa"/>
            <w:tcBorders>
              <w:top w:val="nil"/>
              <w:left w:val="nil"/>
              <w:bottom w:val="single" w:sz="8" w:space="0" w:color="auto"/>
              <w:right w:val="single" w:sz="8" w:space="0" w:color="auto"/>
            </w:tcBorders>
            <w:shd w:val="clear" w:color="auto" w:fill="auto"/>
            <w:vAlign w:val="center"/>
            <w:hideMark/>
          </w:tcPr>
          <w:p w14:paraId="6A3CBA68" w14:textId="77777777" w:rsidR="001F45CE" w:rsidRPr="00913CCF" w:rsidRDefault="001F45CE" w:rsidP="001F45CE">
            <w:pPr>
              <w:spacing w:after="0"/>
              <w:jc w:val="left"/>
              <w:rPr>
                <w:rFonts w:eastAsia="Times New Roman" w:cs="Calibri"/>
                <w:color w:val="000000"/>
                <w:sz w:val="16"/>
                <w:szCs w:val="16"/>
              </w:rPr>
            </w:pPr>
            <w:r w:rsidRPr="00913CCF">
              <w:rPr>
                <w:rFonts w:eastAsia="Times New Roman" w:cs="Calibri"/>
                <w:color w:val="000000"/>
                <w:sz w:val="16"/>
                <w:szCs w:val="16"/>
              </w:rPr>
              <w:t>Local Consultants</w:t>
            </w:r>
          </w:p>
        </w:tc>
        <w:tc>
          <w:tcPr>
            <w:tcW w:w="1155" w:type="dxa"/>
            <w:tcBorders>
              <w:top w:val="nil"/>
              <w:left w:val="nil"/>
              <w:bottom w:val="single" w:sz="8" w:space="0" w:color="auto"/>
              <w:right w:val="single" w:sz="8" w:space="0" w:color="auto"/>
            </w:tcBorders>
            <w:shd w:val="clear" w:color="auto" w:fill="auto"/>
            <w:noWrap/>
            <w:vAlign w:val="center"/>
            <w:hideMark/>
          </w:tcPr>
          <w:p w14:paraId="36C818A0"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1010" w:type="dxa"/>
            <w:tcBorders>
              <w:top w:val="nil"/>
              <w:left w:val="nil"/>
              <w:bottom w:val="single" w:sz="8" w:space="0" w:color="auto"/>
              <w:right w:val="single" w:sz="8" w:space="0" w:color="auto"/>
            </w:tcBorders>
            <w:shd w:val="clear" w:color="auto" w:fill="auto"/>
            <w:noWrap/>
            <w:vAlign w:val="center"/>
            <w:hideMark/>
          </w:tcPr>
          <w:p w14:paraId="35657ABB"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54,000</w:t>
            </w:r>
          </w:p>
        </w:tc>
        <w:tc>
          <w:tcPr>
            <w:tcW w:w="938" w:type="dxa"/>
            <w:tcBorders>
              <w:top w:val="nil"/>
              <w:left w:val="nil"/>
              <w:bottom w:val="single" w:sz="8" w:space="0" w:color="auto"/>
              <w:right w:val="single" w:sz="8" w:space="0" w:color="auto"/>
            </w:tcBorders>
            <w:shd w:val="clear" w:color="auto" w:fill="auto"/>
            <w:noWrap/>
            <w:vAlign w:val="center"/>
            <w:hideMark/>
          </w:tcPr>
          <w:p w14:paraId="11223227"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32,000</w:t>
            </w:r>
          </w:p>
        </w:tc>
        <w:tc>
          <w:tcPr>
            <w:tcW w:w="938" w:type="dxa"/>
            <w:tcBorders>
              <w:top w:val="nil"/>
              <w:left w:val="nil"/>
              <w:bottom w:val="single" w:sz="8" w:space="0" w:color="auto"/>
              <w:right w:val="single" w:sz="8" w:space="0" w:color="auto"/>
            </w:tcBorders>
            <w:shd w:val="clear" w:color="auto" w:fill="auto"/>
            <w:noWrap/>
            <w:vAlign w:val="center"/>
            <w:hideMark/>
          </w:tcPr>
          <w:p w14:paraId="67EAA9F4"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20,000</w:t>
            </w:r>
          </w:p>
        </w:tc>
        <w:tc>
          <w:tcPr>
            <w:tcW w:w="938" w:type="dxa"/>
            <w:tcBorders>
              <w:top w:val="nil"/>
              <w:left w:val="nil"/>
              <w:bottom w:val="single" w:sz="8" w:space="0" w:color="auto"/>
              <w:right w:val="single" w:sz="8" w:space="0" w:color="auto"/>
            </w:tcBorders>
            <w:shd w:val="clear" w:color="auto" w:fill="auto"/>
            <w:noWrap/>
            <w:vAlign w:val="center"/>
            <w:hideMark/>
          </w:tcPr>
          <w:p w14:paraId="3086E0CA"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20,000</w:t>
            </w:r>
          </w:p>
        </w:tc>
        <w:tc>
          <w:tcPr>
            <w:tcW w:w="938" w:type="dxa"/>
            <w:tcBorders>
              <w:top w:val="nil"/>
              <w:left w:val="nil"/>
              <w:bottom w:val="single" w:sz="8" w:space="0" w:color="auto"/>
              <w:right w:val="single" w:sz="8" w:space="0" w:color="auto"/>
            </w:tcBorders>
            <w:shd w:val="clear" w:color="auto" w:fill="auto"/>
            <w:vAlign w:val="center"/>
            <w:hideMark/>
          </w:tcPr>
          <w:p w14:paraId="416A757B"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1372" w:type="dxa"/>
            <w:tcBorders>
              <w:top w:val="nil"/>
              <w:left w:val="nil"/>
              <w:bottom w:val="single" w:sz="8" w:space="0" w:color="auto"/>
              <w:right w:val="single" w:sz="8" w:space="0" w:color="auto"/>
            </w:tcBorders>
            <w:shd w:val="clear" w:color="auto" w:fill="auto"/>
            <w:noWrap/>
            <w:vAlign w:val="center"/>
            <w:hideMark/>
          </w:tcPr>
          <w:p w14:paraId="2C29D031"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126,000</w:t>
            </w:r>
          </w:p>
        </w:tc>
        <w:tc>
          <w:tcPr>
            <w:tcW w:w="690" w:type="dxa"/>
            <w:tcBorders>
              <w:top w:val="nil"/>
              <w:left w:val="nil"/>
              <w:bottom w:val="single" w:sz="8" w:space="0" w:color="auto"/>
              <w:right w:val="single" w:sz="8" w:space="0" w:color="auto"/>
            </w:tcBorders>
            <w:shd w:val="clear" w:color="auto" w:fill="auto"/>
            <w:vAlign w:val="center"/>
            <w:hideMark/>
          </w:tcPr>
          <w:p w14:paraId="5B24BFD7"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29</w:t>
            </w:r>
          </w:p>
        </w:tc>
      </w:tr>
      <w:tr w:rsidR="001F45CE" w:rsidRPr="00913CCF" w14:paraId="2B2B81F3" w14:textId="77777777" w:rsidTr="004205FD">
        <w:trPr>
          <w:trHeight w:val="225"/>
        </w:trPr>
        <w:tc>
          <w:tcPr>
            <w:tcW w:w="1354" w:type="dxa"/>
            <w:vMerge/>
            <w:tcBorders>
              <w:top w:val="nil"/>
              <w:left w:val="single" w:sz="8" w:space="0" w:color="000000"/>
              <w:bottom w:val="double" w:sz="6" w:space="0" w:color="000000"/>
              <w:right w:val="single" w:sz="8" w:space="0" w:color="auto"/>
            </w:tcBorders>
            <w:shd w:val="clear" w:color="auto" w:fill="auto"/>
            <w:vAlign w:val="center"/>
            <w:hideMark/>
          </w:tcPr>
          <w:p w14:paraId="5F68BD43"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nil"/>
              <w:left w:val="single" w:sz="8" w:space="0" w:color="auto"/>
              <w:bottom w:val="double" w:sz="6" w:space="0" w:color="000000"/>
              <w:right w:val="single" w:sz="8" w:space="0" w:color="auto"/>
            </w:tcBorders>
            <w:shd w:val="clear" w:color="auto" w:fill="auto"/>
            <w:vAlign w:val="center"/>
            <w:hideMark/>
          </w:tcPr>
          <w:p w14:paraId="50319EF0"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1AAB30BC"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34796414"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single" w:sz="8" w:space="0" w:color="auto"/>
              <w:right w:val="single" w:sz="8" w:space="0" w:color="auto"/>
            </w:tcBorders>
            <w:shd w:val="clear" w:color="auto" w:fill="auto"/>
            <w:noWrap/>
            <w:vAlign w:val="center"/>
            <w:hideMark/>
          </w:tcPr>
          <w:p w14:paraId="30012D8E"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71400</w:t>
            </w:r>
          </w:p>
        </w:tc>
        <w:tc>
          <w:tcPr>
            <w:tcW w:w="1186" w:type="dxa"/>
            <w:tcBorders>
              <w:top w:val="nil"/>
              <w:left w:val="nil"/>
              <w:bottom w:val="single" w:sz="8" w:space="0" w:color="auto"/>
              <w:right w:val="single" w:sz="8" w:space="0" w:color="auto"/>
            </w:tcBorders>
            <w:shd w:val="clear" w:color="auto" w:fill="auto"/>
            <w:vAlign w:val="center"/>
            <w:hideMark/>
          </w:tcPr>
          <w:p w14:paraId="383D75B5" w14:textId="77777777" w:rsidR="001F45CE" w:rsidRPr="00913CCF" w:rsidRDefault="001F45CE" w:rsidP="001F45CE">
            <w:pPr>
              <w:spacing w:after="0"/>
              <w:jc w:val="left"/>
              <w:rPr>
                <w:rFonts w:eastAsia="Times New Roman" w:cs="Calibri"/>
                <w:color w:val="000000"/>
                <w:sz w:val="16"/>
                <w:szCs w:val="16"/>
              </w:rPr>
            </w:pPr>
            <w:r w:rsidRPr="00913CCF">
              <w:rPr>
                <w:rFonts w:eastAsia="Times New Roman" w:cs="Calibri"/>
                <w:color w:val="000000"/>
                <w:sz w:val="16"/>
                <w:szCs w:val="16"/>
              </w:rPr>
              <w:t>Serv. Contract. Ind.</w:t>
            </w:r>
          </w:p>
        </w:tc>
        <w:tc>
          <w:tcPr>
            <w:tcW w:w="1155" w:type="dxa"/>
            <w:tcBorders>
              <w:top w:val="nil"/>
              <w:left w:val="nil"/>
              <w:bottom w:val="single" w:sz="8" w:space="0" w:color="auto"/>
              <w:right w:val="single" w:sz="8" w:space="0" w:color="auto"/>
            </w:tcBorders>
            <w:shd w:val="clear" w:color="auto" w:fill="auto"/>
            <w:noWrap/>
            <w:vAlign w:val="center"/>
            <w:hideMark/>
          </w:tcPr>
          <w:p w14:paraId="28D9616B"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8,775</w:t>
            </w:r>
          </w:p>
        </w:tc>
        <w:tc>
          <w:tcPr>
            <w:tcW w:w="1010" w:type="dxa"/>
            <w:tcBorders>
              <w:top w:val="nil"/>
              <w:left w:val="nil"/>
              <w:bottom w:val="single" w:sz="8" w:space="0" w:color="auto"/>
              <w:right w:val="single" w:sz="8" w:space="0" w:color="auto"/>
            </w:tcBorders>
            <w:shd w:val="clear" w:color="auto" w:fill="auto"/>
            <w:noWrap/>
            <w:vAlign w:val="center"/>
            <w:hideMark/>
          </w:tcPr>
          <w:p w14:paraId="367B1658"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39,150</w:t>
            </w:r>
          </w:p>
        </w:tc>
        <w:tc>
          <w:tcPr>
            <w:tcW w:w="938" w:type="dxa"/>
            <w:tcBorders>
              <w:top w:val="nil"/>
              <w:left w:val="nil"/>
              <w:bottom w:val="single" w:sz="8" w:space="0" w:color="auto"/>
              <w:right w:val="single" w:sz="8" w:space="0" w:color="auto"/>
            </w:tcBorders>
            <w:shd w:val="clear" w:color="auto" w:fill="auto"/>
            <w:noWrap/>
            <w:vAlign w:val="center"/>
            <w:hideMark/>
          </w:tcPr>
          <w:p w14:paraId="2B150AF5"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39,150</w:t>
            </w:r>
          </w:p>
        </w:tc>
        <w:tc>
          <w:tcPr>
            <w:tcW w:w="938" w:type="dxa"/>
            <w:tcBorders>
              <w:top w:val="nil"/>
              <w:left w:val="nil"/>
              <w:bottom w:val="single" w:sz="8" w:space="0" w:color="auto"/>
              <w:right w:val="single" w:sz="8" w:space="0" w:color="auto"/>
            </w:tcBorders>
            <w:shd w:val="clear" w:color="auto" w:fill="auto"/>
            <w:noWrap/>
            <w:vAlign w:val="center"/>
            <w:hideMark/>
          </w:tcPr>
          <w:p w14:paraId="61521C70"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46,650</w:t>
            </w:r>
          </w:p>
        </w:tc>
        <w:tc>
          <w:tcPr>
            <w:tcW w:w="938" w:type="dxa"/>
            <w:tcBorders>
              <w:top w:val="nil"/>
              <w:left w:val="nil"/>
              <w:bottom w:val="single" w:sz="8" w:space="0" w:color="auto"/>
              <w:right w:val="single" w:sz="8" w:space="0" w:color="auto"/>
            </w:tcBorders>
            <w:shd w:val="clear" w:color="auto" w:fill="auto"/>
            <w:noWrap/>
            <w:vAlign w:val="center"/>
            <w:hideMark/>
          </w:tcPr>
          <w:p w14:paraId="2619E0D0"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27,150</w:t>
            </w:r>
          </w:p>
        </w:tc>
        <w:tc>
          <w:tcPr>
            <w:tcW w:w="938" w:type="dxa"/>
            <w:tcBorders>
              <w:top w:val="nil"/>
              <w:left w:val="nil"/>
              <w:bottom w:val="single" w:sz="8" w:space="0" w:color="auto"/>
              <w:right w:val="single" w:sz="8" w:space="0" w:color="auto"/>
            </w:tcBorders>
            <w:shd w:val="clear" w:color="auto" w:fill="auto"/>
            <w:vAlign w:val="center"/>
            <w:hideMark/>
          </w:tcPr>
          <w:p w14:paraId="49D24329"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9,150</w:t>
            </w:r>
          </w:p>
        </w:tc>
        <w:tc>
          <w:tcPr>
            <w:tcW w:w="1372" w:type="dxa"/>
            <w:tcBorders>
              <w:top w:val="nil"/>
              <w:left w:val="nil"/>
              <w:bottom w:val="single" w:sz="8" w:space="0" w:color="auto"/>
              <w:right w:val="single" w:sz="8" w:space="0" w:color="auto"/>
            </w:tcBorders>
            <w:shd w:val="clear" w:color="auto" w:fill="auto"/>
            <w:noWrap/>
            <w:vAlign w:val="center"/>
            <w:hideMark/>
          </w:tcPr>
          <w:p w14:paraId="22674D32"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170,025</w:t>
            </w:r>
          </w:p>
        </w:tc>
        <w:tc>
          <w:tcPr>
            <w:tcW w:w="690" w:type="dxa"/>
            <w:tcBorders>
              <w:top w:val="nil"/>
              <w:left w:val="nil"/>
              <w:bottom w:val="single" w:sz="8" w:space="0" w:color="auto"/>
              <w:right w:val="single" w:sz="8" w:space="0" w:color="auto"/>
            </w:tcBorders>
            <w:shd w:val="clear" w:color="auto" w:fill="auto"/>
            <w:vAlign w:val="center"/>
            <w:hideMark/>
          </w:tcPr>
          <w:p w14:paraId="70092DB6"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30</w:t>
            </w:r>
          </w:p>
        </w:tc>
      </w:tr>
      <w:tr w:rsidR="001F45CE" w:rsidRPr="00913CCF" w14:paraId="29A4F66D" w14:textId="77777777" w:rsidTr="004205FD">
        <w:trPr>
          <w:trHeight w:val="225"/>
        </w:trPr>
        <w:tc>
          <w:tcPr>
            <w:tcW w:w="1354" w:type="dxa"/>
            <w:vMerge/>
            <w:tcBorders>
              <w:top w:val="nil"/>
              <w:left w:val="single" w:sz="8" w:space="0" w:color="000000"/>
              <w:bottom w:val="double" w:sz="6" w:space="0" w:color="000000"/>
              <w:right w:val="single" w:sz="8" w:space="0" w:color="auto"/>
            </w:tcBorders>
            <w:shd w:val="clear" w:color="auto" w:fill="auto"/>
            <w:vAlign w:val="center"/>
            <w:hideMark/>
          </w:tcPr>
          <w:p w14:paraId="3F25113B"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nil"/>
              <w:left w:val="single" w:sz="8" w:space="0" w:color="auto"/>
              <w:bottom w:val="double" w:sz="6" w:space="0" w:color="000000"/>
              <w:right w:val="single" w:sz="8" w:space="0" w:color="auto"/>
            </w:tcBorders>
            <w:shd w:val="clear" w:color="auto" w:fill="auto"/>
            <w:vAlign w:val="center"/>
            <w:hideMark/>
          </w:tcPr>
          <w:p w14:paraId="0C12E8FE"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4C81029C"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0C4DE634"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single" w:sz="8" w:space="0" w:color="auto"/>
              <w:right w:val="single" w:sz="8" w:space="0" w:color="auto"/>
            </w:tcBorders>
            <w:shd w:val="clear" w:color="auto" w:fill="auto"/>
            <w:noWrap/>
            <w:vAlign w:val="center"/>
            <w:hideMark/>
          </w:tcPr>
          <w:p w14:paraId="23850FF7"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71600</w:t>
            </w:r>
          </w:p>
        </w:tc>
        <w:tc>
          <w:tcPr>
            <w:tcW w:w="1186" w:type="dxa"/>
            <w:tcBorders>
              <w:top w:val="nil"/>
              <w:left w:val="nil"/>
              <w:bottom w:val="single" w:sz="8" w:space="0" w:color="auto"/>
              <w:right w:val="single" w:sz="8" w:space="0" w:color="auto"/>
            </w:tcBorders>
            <w:shd w:val="clear" w:color="auto" w:fill="auto"/>
            <w:vAlign w:val="center"/>
            <w:hideMark/>
          </w:tcPr>
          <w:p w14:paraId="42C23D9D" w14:textId="77777777" w:rsidR="001F45CE" w:rsidRPr="00913CCF" w:rsidRDefault="001F45CE" w:rsidP="001F45CE">
            <w:pPr>
              <w:spacing w:after="0"/>
              <w:jc w:val="left"/>
              <w:rPr>
                <w:rFonts w:eastAsia="Times New Roman" w:cs="Calibri"/>
                <w:color w:val="000000"/>
                <w:sz w:val="16"/>
                <w:szCs w:val="16"/>
              </w:rPr>
            </w:pPr>
            <w:r w:rsidRPr="00913CCF">
              <w:rPr>
                <w:rFonts w:eastAsia="Times New Roman" w:cs="Calibri"/>
                <w:color w:val="000000"/>
                <w:sz w:val="16"/>
                <w:szCs w:val="16"/>
              </w:rPr>
              <w:t>Travel</w:t>
            </w:r>
          </w:p>
        </w:tc>
        <w:tc>
          <w:tcPr>
            <w:tcW w:w="1155" w:type="dxa"/>
            <w:tcBorders>
              <w:top w:val="nil"/>
              <w:left w:val="nil"/>
              <w:bottom w:val="single" w:sz="8" w:space="0" w:color="auto"/>
              <w:right w:val="single" w:sz="8" w:space="0" w:color="auto"/>
            </w:tcBorders>
            <w:shd w:val="clear" w:color="auto" w:fill="auto"/>
            <w:noWrap/>
            <w:vAlign w:val="center"/>
            <w:hideMark/>
          </w:tcPr>
          <w:p w14:paraId="30C2836E"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3,700</w:t>
            </w:r>
          </w:p>
        </w:tc>
        <w:tc>
          <w:tcPr>
            <w:tcW w:w="1010" w:type="dxa"/>
            <w:tcBorders>
              <w:top w:val="nil"/>
              <w:left w:val="nil"/>
              <w:bottom w:val="single" w:sz="8" w:space="0" w:color="auto"/>
              <w:right w:val="single" w:sz="8" w:space="0" w:color="auto"/>
            </w:tcBorders>
            <w:shd w:val="clear" w:color="auto" w:fill="auto"/>
            <w:noWrap/>
            <w:vAlign w:val="center"/>
            <w:hideMark/>
          </w:tcPr>
          <w:p w14:paraId="3138F32C"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25,320</w:t>
            </w:r>
          </w:p>
        </w:tc>
        <w:tc>
          <w:tcPr>
            <w:tcW w:w="938" w:type="dxa"/>
            <w:tcBorders>
              <w:top w:val="nil"/>
              <w:left w:val="nil"/>
              <w:bottom w:val="single" w:sz="8" w:space="0" w:color="auto"/>
              <w:right w:val="single" w:sz="8" w:space="0" w:color="auto"/>
            </w:tcBorders>
            <w:shd w:val="clear" w:color="auto" w:fill="auto"/>
            <w:noWrap/>
            <w:vAlign w:val="center"/>
            <w:hideMark/>
          </w:tcPr>
          <w:p w14:paraId="70D59B26"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1,500</w:t>
            </w:r>
          </w:p>
        </w:tc>
        <w:tc>
          <w:tcPr>
            <w:tcW w:w="938" w:type="dxa"/>
            <w:tcBorders>
              <w:top w:val="nil"/>
              <w:left w:val="nil"/>
              <w:bottom w:val="single" w:sz="8" w:space="0" w:color="auto"/>
              <w:right w:val="single" w:sz="8" w:space="0" w:color="auto"/>
            </w:tcBorders>
            <w:shd w:val="clear" w:color="auto" w:fill="auto"/>
            <w:noWrap/>
            <w:vAlign w:val="center"/>
            <w:hideMark/>
          </w:tcPr>
          <w:p w14:paraId="4DADFB89"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7,880</w:t>
            </w:r>
          </w:p>
        </w:tc>
        <w:tc>
          <w:tcPr>
            <w:tcW w:w="938" w:type="dxa"/>
            <w:tcBorders>
              <w:top w:val="nil"/>
              <w:left w:val="nil"/>
              <w:bottom w:val="single" w:sz="8" w:space="0" w:color="auto"/>
              <w:right w:val="single" w:sz="8" w:space="0" w:color="auto"/>
            </w:tcBorders>
            <w:shd w:val="clear" w:color="auto" w:fill="auto"/>
            <w:noWrap/>
            <w:vAlign w:val="center"/>
            <w:hideMark/>
          </w:tcPr>
          <w:p w14:paraId="2697A4FE"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3,740</w:t>
            </w:r>
          </w:p>
        </w:tc>
        <w:tc>
          <w:tcPr>
            <w:tcW w:w="938" w:type="dxa"/>
            <w:tcBorders>
              <w:top w:val="nil"/>
              <w:left w:val="nil"/>
              <w:bottom w:val="single" w:sz="8" w:space="0" w:color="auto"/>
              <w:right w:val="single" w:sz="8" w:space="0" w:color="auto"/>
            </w:tcBorders>
            <w:shd w:val="clear" w:color="auto" w:fill="auto"/>
            <w:vAlign w:val="center"/>
            <w:hideMark/>
          </w:tcPr>
          <w:p w14:paraId="22A15F2B"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1,500</w:t>
            </w:r>
          </w:p>
        </w:tc>
        <w:tc>
          <w:tcPr>
            <w:tcW w:w="1372" w:type="dxa"/>
            <w:tcBorders>
              <w:top w:val="nil"/>
              <w:left w:val="nil"/>
              <w:bottom w:val="single" w:sz="8" w:space="0" w:color="auto"/>
              <w:right w:val="single" w:sz="8" w:space="0" w:color="auto"/>
            </w:tcBorders>
            <w:shd w:val="clear" w:color="auto" w:fill="auto"/>
            <w:noWrap/>
            <w:vAlign w:val="center"/>
            <w:hideMark/>
          </w:tcPr>
          <w:p w14:paraId="23CCC59F"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43,640</w:t>
            </w:r>
          </w:p>
        </w:tc>
        <w:tc>
          <w:tcPr>
            <w:tcW w:w="690" w:type="dxa"/>
            <w:tcBorders>
              <w:top w:val="nil"/>
              <w:left w:val="nil"/>
              <w:bottom w:val="single" w:sz="8" w:space="0" w:color="auto"/>
              <w:right w:val="single" w:sz="8" w:space="0" w:color="auto"/>
            </w:tcBorders>
            <w:shd w:val="clear" w:color="auto" w:fill="auto"/>
            <w:vAlign w:val="center"/>
            <w:hideMark/>
          </w:tcPr>
          <w:p w14:paraId="01C625CE"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31</w:t>
            </w:r>
          </w:p>
        </w:tc>
      </w:tr>
      <w:tr w:rsidR="001F45CE" w:rsidRPr="00913CCF" w14:paraId="10FE4F20" w14:textId="77777777" w:rsidTr="004205FD">
        <w:trPr>
          <w:trHeight w:val="225"/>
        </w:trPr>
        <w:tc>
          <w:tcPr>
            <w:tcW w:w="1354" w:type="dxa"/>
            <w:vMerge/>
            <w:tcBorders>
              <w:top w:val="nil"/>
              <w:left w:val="single" w:sz="8" w:space="0" w:color="000000"/>
              <w:bottom w:val="double" w:sz="6" w:space="0" w:color="000000"/>
              <w:right w:val="single" w:sz="8" w:space="0" w:color="auto"/>
            </w:tcBorders>
            <w:shd w:val="clear" w:color="auto" w:fill="auto"/>
            <w:vAlign w:val="center"/>
            <w:hideMark/>
          </w:tcPr>
          <w:p w14:paraId="388E7BFB"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nil"/>
              <w:left w:val="single" w:sz="8" w:space="0" w:color="auto"/>
              <w:bottom w:val="double" w:sz="6" w:space="0" w:color="000000"/>
              <w:right w:val="single" w:sz="8" w:space="0" w:color="auto"/>
            </w:tcBorders>
            <w:shd w:val="clear" w:color="auto" w:fill="auto"/>
            <w:vAlign w:val="center"/>
            <w:hideMark/>
          </w:tcPr>
          <w:p w14:paraId="4D37287F"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58196195"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60C17BFA"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single" w:sz="8" w:space="0" w:color="auto"/>
              <w:right w:val="single" w:sz="8" w:space="0" w:color="auto"/>
            </w:tcBorders>
            <w:shd w:val="clear" w:color="auto" w:fill="auto"/>
            <w:noWrap/>
            <w:vAlign w:val="center"/>
            <w:hideMark/>
          </w:tcPr>
          <w:p w14:paraId="79BE0068"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72100</w:t>
            </w:r>
          </w:p>
        </w:tc>
        <w:tc>
          <w:tcPr>
            <w:tcW w:w="1186" w:type="dxa"/>
            <w:tcBorders>
              <w:top w:val="nil"/>
              <w:left w:val="nil"/>
              <w:bottom w:val="single" w:sz="8" w:space="0" w:color="auto"/>
              <w:right w:val="single" w:sz="8" w:space="0" w:color="auto"/>
            </w:tcBorders>
            <w:shd w:val="clear" w:color="auto" w:fill="auto"/>
            <w:vAlign w:val="center"/>
            <w:hideMark/>
          </w:tcPr>
          <w:p w14:paraId="092286C7" w14:textId="77777777" w:rsidR="001F45CE" w:rsidRPr="00913CCF" w:rsidRDefault="001F45CE" w:rsidP="001F45CE">
            <w:pPr>
              <w:spacing w:after="0"/>
              <w:jc w:val="left"/>
              <w:rPr>
                <w:rFonts w:eastAsia="Times New Roman" w:cs="Calibri"/>
                <w:color w:val="000000"/>
                <w:sz w:val="16"/>
                <w:szCs w:val="16"/>
              </w:rPr>
            </w:pPr>
            <w:r w:rsidRPr="00913CCF">
              <w:rPr>
                <w:rFonts w:eastAsia="Times New Roman" w:cs="Calibri"/>
                <w:color w:val="000000"/>
                <w:sz w:val="16"/>
                <w:szCs w:val="16"/>
              </w:rPr>
              <w:t>Contr services cies</w:t>
            </w:r>
          </w:p>
        </w:tc>
        <w:tc>
          <w:tcPr>
            <w:tcW w:w="1155" w:type="dxa"/>
            <w:tcBorders>
              <w:top w:val="nil"/>
              <w:left w:val="nil"/>
              <w:bottom w:val="single" w:sz="8" w:space="0" w:color="auto"/>
              <w:right w:val="single" w:sz="8" w:space="0" w:color="auto"/>
            </w:tcBorders>
            <w:shd w:val="clear" w:color="auto" w:fill="auto"/>
            <w:noWrap/>
            <w:vAlign w:val="center"/>
            <w:hideMark/>
          </w:tcPr>
          <w:p w14:paraId="0C99307A"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1010" w:type="dxa"/>
            <w:tcBorders>
              <w:top w:val="nil"/>
              <w:left w:val="nil"/>
              <w:bottom w:val="single" w:sz="8" w:space="0" w:color="auto"/>
              <w:right w:val="single" w:sz="8" w:space="0" w:color="auto"/>
            </w:tcBorders>
            <w:shd w:val="clear" w:color="auto" w:fill="auto"/>
            <w:noWrap/>
            <w:vAlign w:val="center"/>
            <w:hideMark/>
          </w:tcPr>
          <w:p w14:paraId="6BE563ED"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938" w:type="dxa"/>
            <w:tcBorders>
              <w:top w:val="nil"/>
              <w:left w:val="nil"/>
              <w:bottom w:val="single" w:sz="8" w:space="0" w:color="auto"/>
              <w:right w:val="single" w:sz="8" w:space="0" w:color="auto"/>
            </w:tcBorders>
            <w:shd w:val="clear" w:color="auto" w:fill="auto"/>
            <w:noWrap/>
            <w:vAlign w:val="center"/>
            <w:hideMark/>
          </w:tcPr>
          <w:p w14:paraId="5A37705C"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162,000</w:t>
            </w:r>
          </w:p>
        </w:tc>
        <w:tc>
          <w:tcPr>
            <w:tcW w:w="938" w:type="dxa"/>
            <w:tcBorders>
              <w:top w:val="nil"/>
              <w:left w:val="nil"/>
              <w:bottom w:val="single" w:sz="8" w:space="0" w:color="auto"/>
              <w:right w:val="single" w:sz="8" w:space="0" w:color="auto"/>
            </w:tcBorders>
            <w:shd w:val="clear" w:color="auto" w:fill="auto"/>
            <w:noWrap/>
            <w:vAlign w:val="center"/>
            <w:hideMark/>
          </w:tcPr>
          <w:p w14:paraId="1BDE5D9B"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25,000</w:t>
            </w:r>
          </w:p>
        </w:tc>
        <w:tc>
          <w:tcPr>
            <w:tcW w:w="938" w:type="dxa"/>
            <w:tcBorders>
              <w:top w:val="nil"/>
              <w:left w:val="nil"/>
              <w:bottom w:val="single" w:sz="8" w:space="0" w:color="auto"/>
              <w:right w:val="single" w:sz="8" w:space="0" w:color="auto"/>
            </w:tcBorders>
            <w:shd w:val="clear" w:color="auto" w:fill="auto"/>
            <w:noWrap/>
            <w:vAlign w:val="center"/>
            <w:hideMark/>
          </w:tcPr>
          <w:p w14:paraId="3CB9B12A"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938" w:type="dxa"/>
            <w:tcBorders>
              <w:top w:val="nil"/>
              <w:left w:val="nil"/>
              <w:bottom w:val="single" w:sz="8" w:space="0" w:color="auto"/>
              <w:right w:val="single" w:sz="8" w:space="0" w:color="auto"/>
            </w:tcBorders>
            <w:shd w:val="clear" w:color="auto" w:fill="auto"/>
            <w:vAlign w:val="center"/>
            <w:hideMark/>
          </w:tcPr>
          <w:p w14:paraId="3ACE7864"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1372" w:type="dxa"/>
            <w:tcBorders>
              <w:top w:val="nil"/>
              <w:left w:val="nil"/>
              <w:bottom w:val="single" w:sz="8" w:space="0" w:color="auto"/>
              <w:right w:val="single" w:sz="8" w:space="0" w:color="auto"/>
            </w:tcBorders>
            <w:shd w:val="clear" w:color="auto" w:fill="auto"/>
            <w:noWrap/>
            <w:vAlign w:val="center"/>
            <w:hideMark/>
          </w:tcPr>
          <w:p w14:paraId="1DED6FE5"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187,000</w:t>
            </w:r>
          </w:p>
        </w:tc>
        <w:tc>
          <w:tcPr>
            <w:tcW w:w="690" w:type="dxa"/>
            <w:tcBorders>
              <w:top w:val="nil"/>
              <w:left w:val="nil"/>
              <w:bottom w:val="single" w:sz="8" w:space="0" w:color="auto"/>
              <w:right w:val="single" w:sz="8" w:space="0" w:color="auto"/>
            </w:tcBorders>
            <w:shd w:val="clear" w:color="auto" w:fill="auto"/>
            <w:vAlign w:val="center"/>
            <w:hideMark/>
          </w:tcPr>
          <w:p w14:paraId="38EA5652"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32</w:t>
            </w:r>
          </w:p>
        </w:tc>
      </w:tr>
      <w:tr w:rsidR="001F45CE" w:rsidRPr="00913CCF" w14:paraId="61CBA8D5" w14:textId="77777777" w:rsidTr="004205FD">
        <w:trPr>
          <w:trHeight w:val="225"/>
        </w:trPr>
        <w:tc>
          <w:tcPr>
            <w:tcW w:w="1354" w:type="dxa"/>
            <w:vMerge/>
            <w:tcBorders>
              <w:top w:val="nil"/>
              <w:left w:val="single" w:sz="8" w:space="0" w:color="000000"/>
              <w:bottom w:val="double" w:sz="6" w:space="0" w:color="000000"/>
              <w:right w:val="single" w:sz="8" w:space="0" w:color="auto"/>
            </w:tcBorders>
            <w:shd w:val="clear" w:color="auto" w:fill="auto"/>
            <w:vAlign w:val="center"/>
            <w:hideMark/>
          </w:tcPr>
          <w:p w14:paraId="072E2F1B"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nil"/>
              <w:left w:val="single" w:sz="8" w:space="0" w:color="auto"/>
              <w:bottom w:val="double" w:sz="6" w:space="0" w:color="000000"/>
              <w:right w:val="single" w:sz="8" w:space="0" w:color="auto"/>
            </w:tcBorders>
            <w:shd w:val="clear" w:color="auto" w:fill="auto"/>
            <w:vAlign w:val="center"/>
            <w:hideMark/>
          </w:tcPr>
          <w:p w14:paraId="11D1E64B"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3C7C89A9"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10B9FE00"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single" w:sz="8" w:space="0" w:color="auto"/>
              <w:right w:val="single" w:sz="8" w:space="0" w:color="auto"/>
            </w:tcBorders>
            <w:shd w:val="clear" w:color="auto" w:fill="auto"/>
            <w:noWrap/>
            <w:vAlign w:val="center"/>
            <w:hideMark/>
          </w:tcPr>
          <w:p w14:paraId="4A52052A"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72200</w:t>
            </w:r>
          </w:p>
        </w:tc>
        <w:tc>
          <w:tcPr>
            <w:tcW w:w="1186" w:type="dxa"/>
            <w:tcBorders>
              <w:top w:val="nil"/>
              <w:left w:val="nil"/>
              <w:bottom w:val="single" w:sz="8" w:space="0" w:color="auto"/>
              <w:right w:val="single" w:sz="8" w:space="0" w:color="auto"/>
            </w:tcBorders>
            <w:shd w:val="clear" w:color="auto" w:fill="auto"/>
            <w:vAlign w:val="center"/>
            <w:hideMark/>
          </w:tcPr>
          <w:p w14:paraId="479CFAD1" w14:textId="77777777" w:rsidR="001F45CE" w:rsidRPr="00913CCF" w:rsidRDefault="001F45CE" w:rsidP="001F45CE">
            <w:pPr>
              <w:spacing w:after="0"/>
              <w:jc w:val="left"/>
              <w:rPr>
                <w:rFonts w:eastAsia="Times New Roman" w:cs="Calibri"/>
                <w:color w:val="000000"/>
                <w:sz w:val="16"/>
                <w:szCs w:val="16"/>
              </w:rPr>
            </w:pPr>
            <w:r w:rsidRPr="00913CCF">
              <w:rPr>
                <w:rFonts w:eastAsia="Times New Roman" w:cs="Calibri"/>
                <w:color w:val="000000"/>
                <w:sz w:val="16"/>
                <w:szCs w:val="16"/>
              </w:rPr>
              <w:t>Equip. Furniture</w:t>
            </w:r>
          </w:p>
        </w:tc>
        <w:tc>
          <w:tcPr>
            <w:tcW w:w="1155" w:type="dxa"/>
            <w:tcBorders>
              <w:top w:val="nil"/>
              <w:left w:val="nil"/>
              <w:bottom w:val="single" w:sz="8" w:space="0" w:color="auto"/>
              <w:right w:val="single" w:sz="8" w:space="0" w:color="auto"/>
            </w:tcBorders>
            <w:shd w:val="clear" w:color="auto" w:fill="auto"/>
            <w:noWrap/>
            <w:vAlign w:val="center"/>
            <w:hideMark/>
          </w:tcPr>
          <w:p w14:paraId="6C4F069B" w14:textId="614ECF6D" w:rsidR="001F45CE" w:rsidRPr="00EF6D8E" w:rsidRDefault="001F45CE" w:rsidP="001F45CE">
            <w:pPr>
              <w:spacing w:after="0"/>
              <w:jc w:val="center"/>
              <w:rPr>
                <w:rFonts w:eastAsia="Times New Roman" w:cs="Calibri"/>
                <w:color w:val="000000"/>
                <w:sz w:val="16"/>
                <w:szCs w:val="16"/>
              </w:rPr>
            </w:pPr>
            <w:r w:rsidRPr="00EF6D8E">
              <w:rPr>
                <w:rFonts w:eastAsia="Times New Roman" w:cs="Calibri"/>
                <w:color w:val="000000"/>
                <w:sz w:val="16"/>
                <w:szCs w:val="16"/>
              </w:rPr>
              <w:t>9,200</w:t>
            </w:r>
          </w:p>
        </w:tc>
        <w:tc>
          <w:tcPr>
            <w:tcW w:w="1010" w:type="dxa"/>
            <w:tcBorders>
              <w:top w:val="nil"/>
              <w:left w:val="nil"/>
              <w:bottom w:val="single" w:sz="8" w:space="0" w:color="auto"/>
              <w:right w:val="single" w:sz="8" w:space="0" w:color="auto"/>
            </w:tcBorders>
            <w:shd w:val="clear" w:color="auto" w:fill="auto"/>
            <w:noWrap/>
            <w:vAlign w:val="center"/>
            <w:hideMark/>
          </w:tcPr>
          <w:p w14:paraId="2EBD4A9E"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15,000</w:t>
            </w:r>
          </w:p>
        </w:tc>
        <w:tc>
          <w:tcPr>
            <w:tcW w:w="938" w:type="dxa"/>
            <w:tcBorders>
              <w:top w:val="nil"/>
              <w:left w:val="nil"/>
              <w:bottom w:val="single" w:sz="8" w:space="0" w:color="auto"/>
              <w:right w:val="single" w:sz="8" w:space="0" w:color="auto"/>
            </w:tcBorders>
            <w:shd w:val="clear" w:color="auto" w:fill="auto"/>
            <w:noWrap/>
            <w:vAlign w:val="center"/>
            <w:hideMark/>
          </w:tcPr>
          <w:p w14:paraId="2EE44EDD"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129,800</w:t>
            </w:r>
          </w:p>
        </w:tc>
        <w:tc>
          <w:tcPr>
            <w:tcW w:w="938" w:type="dxa"/>
            <w:tcBorders>
              <w:top w:val="nil"/>
              <w:left w:val="nil"/>
              <w:bottom w:val="single" w:sz="8" w:space="0" w:color="auto"/>
              <w:right w:val="single" w:sz="8" w:space="0" w:color="auto"/>
            </w:tcBorders>
            <w:shd w:val="clear" w:color="auto" w:fill="auto"/>
            <w:noWrap/>
            <w:vAlign w:val="center"/>
            <w:hideMark/>
          </w:tcPr>
          <w:p w14:paraId="07B2485C"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938" w:type="dxa"/>
            <w:tcBorders>
              <w:top w:val="nil"/>
              <w:left w:val="nil"/>
              <w:bottom w:val="single" w:sz="8" w:space="0" w:color="auto"/>
              <w:right w:val="single" w:sz="8" w:space="0" w:color="auto"/>
            </w:tcBorders>
            <w:shd w:val="clear" w:color="auto" w:fill="auto"/>
            <w:noWrap/>
            <w:vAlign w:val="center"/>
            <w:hideMark/>
          </w:tcPr>
          <w:p w14:paraId="5D8E9D41"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938" w:type="dxa"/>
            <w:tcBorders>
              <w:top w:val="nil"/>
              <w:left w:val="nil"/>
              <w:bottom w:val="single" w:sz="8" w:space="0" w:color="auto"/>
              <w:right w:val="single" w:sz="8" w:space="0" w:color="auto"/>
            </w:tcBorders>
            <w:shd w:val="clear" w:color="auto" w:fill="auto"/>
            <w:vAlign w:val="center"/>
            <w:hideMark/>
          </w:tcPr>
          <w:p w14:paraId="4333AA6B"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1372" w:type="dxa"/>
            <w:tcBorders>
              <w:top w:val="nil"/>
              <w:left w:val="nil"/>
              <w:bottom w:val="single" w:sz="8" w:space="0" w:color="auto"/>
              <w:right w:val="single" w:sz="8" w:space="0" w:color="auto"/>
            </w:tcBorders>
            <w:shd w:val="clear" w:color="auto" w:fill="auto"/>
            <w:noWrap/>
            <w:vAlign w:val="center"/>
            <w:hideMark/>
          </w:tcPr>
          <w:p w14:paraId="301DA29D" w14:textId="27787D7D" w:rsidR="001F45CE" w:rsidRPr="00EF6D8E"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154,000</w:t>
            </w:r>
          </w:p>
        </w:tc>
        <w:tc>
          <w:tcPr>
            <w:tcW w:w="690" w:type="dxa"/>
            <w:tcBorders>
              <w:top w:val="nil"/>
              <w:left w:val="nil"/>
              <w:bottom w:val="single" w:sz="8" w:space="0" w:color="auto"/>
              <w:right w:val="single" w:sz="8" w:space="0" w:color="auto"/>
            </w:tcBorders>
            <w:shd w:val="clear" w:color="auto" w:fill="auto"/>
            <w:vAlign w:val="center"/>
            <w:hideMark/>
          </w:tcPr>
          <w:p w14:paraId="7BF42F68"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33</w:t>
            </w:r>
          </w:p>
        </w:tc>
      </w:tr>
      <w:tr w:rsidR="001F45CE" w:rsidRPr="00913CCF" w14:paraId="6C312687" w14:textId="77777777" w:rsidTr="004205FD">
        <w:trPr>
          <w:trHeight w:val="225"/>
        </w:trPr>
        <w:tc>
          <w:tcPr>
            <w:tcW w:w="1354" w:type="dxa"/>
            <w:vMerge/>
            <w:tcBorders>
              <w:top w:val="nil"/>
              <w:left w:val="single" w:sz="8" w:space="0" w:color="000000"/>
              <w:bottom w:val="double" w:sz="6" w:space="0" w:color="000000"/>
              <w:right w:val="single" w:sz="8" w:space="0" w:color="auto"/>
            </w:tcBorders>
            <w:shd w:val="clear" w:color="auto" w:fill="auto"/>
            <w:vAlign w:val="center"/>
            <w:hideMark/>
          </w:tcPr>
          <w:p w14:paraId="5D18DD8D"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nil"/>
              <w:left w:val="single" w:sz="8" w:space="0" w:color="auto"/>
              <w:bottom w:val="double" w:sz="6" w:space="0" w:color="000000"/>
              <w:right w:val="single" w:sz="8" w:space="0" w:color="auto"/>
            </w:tcBorders>
            <w:shd w:val="clear" w:color="auto" w:fill="auto"/>
            <w:vAlign w:val="center"/>
            <w:hideMark/>
          </w:tcPr>
          <w:p w14:paraId="1DF852D3"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5A8E3201"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1C2149E6"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single" w:sz="8" w:space="0" w:color="auto"/>
              <w:right w:val="single" w:sz="8" w:space="0" w:color="auto"/>
            </w:tcBorders>
            <w:shd w:val="clear" w:color="auto" w:fill="auto"/>
            <w:noWrap/>
            <w:vAlign w:val="center"/>
            <w:hideMark/>
          </w:tcPr>
          <w:p w14:paraId="441CC7DC"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72600</w:t>
            </w:r>
          </w:p>
        </w:tc>
        <w:tc>
          <w:tcPr>
            <w:tcW w:w="1186" w:type="dxa"/>
            <w:tcBorders>
              <w:top w:val="nil"/>
              <w:left w:val="nil"/>
              <w:bottom w:val="single" w:sz="8" w:space="0" w:color="auto"/>
              <w:right w:val="single" w:sz="8" w:space="0" w:color="auto"/>
            </w:tcBorders>
            <w:shd w:val="clear" w:color="auto" w:fill="auto"/>
            <w:vAlign w:val="center"/>
            <w:hideMark/>
          </w:tcPr>
          <w:p w14:paraId="1F2C0B74" w14:textId="77777777" w:rsidR="001F45CE" w:rsidRPr="00913CCF" w:rsidRDefault="001F45CE" w:rsidP="001F45CE">
            <w:pPr>
              <w:spacing w:after="0"/>
              <w:jc w:val="left"/>
              <w:rPr>
                <w:rFonts w:eastAsia="Times New Roman" w:cs="Calibri"/>
                <w:color w:val="000000"/>
                <w:sz w:val="16"/>
                <w:szCs w:val="16"/>
              </w:rPr>
            </w:pPr>
            <w:r w:rsidRPr="00913CCF">
              <w:rPr>
                <w:rFonts w:eastAsia="Times New Roman" w:cs="Calibri"/>
                <w:color w:val="000000"/>
                <w:sz w:val="16"/>
                <w:szCs w:val="16"/>
              </w:rPr>
              <w:t>Grants</w:t>
            </w:r>
          </w:p>
        </w:tc>
        <w:tc>
          <w:tcPr>
            <w:tcW w:w="1155" w:type="dxa"/>
            <w:tcBorders>
              <w:top w:val="nil"/>
              <w:left w:val="nil"/>
              <w:bottom w:val="single" w:sz="8" w:space="0" w:color="auto"/>
              <w:right w:val="single" w:sz="8" w:space="0" w:color="auto"/>
            </w:tcBorders>
            <w:shd w:val="clear" w:color="auto" w:fill="auto"/>
            <w:noWrap/>
            <w:vAlign w:val="center"/>
            <w:hideMark/>
          </w:tcPr>
          <w:p w14:paraId="77C03462"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1010" w:type="dxa"/>
            <w:tcBorders>
              <w:top w:val="nil"/>
              <w:left w:val="nil"/>
              <w:bottom w:val="single" w:sz="8" w:space="0" w:color="auto"/>
              <w:right w:val="single" w:sz="8" w:space="0" w:color="auto"/>
            </w:tcBorders>
            <w:shd w:val="clear" w:color="auto" w:fill="auto"/>
            <w:noWrap/>
            <w:vAlign w:val="center"/>
            <w:hideMark/>
          </w:tcPr>
          <w:p w14:paraId="23A68C3D"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938" w:type="dxa"/>
            <w:tcBorders>
              <w:top w:val="nil"/>
              <w:left w:val="nil"/>
              <w:bottom w:val="single" w:sz="8" w:space="0" w:color="auto"/>
              <w:right w:val="single" w:sz="8" w:space="0" w:color="auto"/>
            </w:tcBorders>
            <w:shd w:val="clear" w:color="auto" w:fill="auto"/>
            <w:noWrap/>
            <w:vAlign w:val="center"/>
            <w:hideMark/>
          </w:tcPr>
          <w:p w14:paraId="475EC4B8"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100,000</w:t>
            </w:r>
          </w:p>
        </w:tc>
        <w:tc>
          <w:tcPr>
            <w:tcW w:w="938" w:type="dxa"/>
            <w:tcBorders>
              <w:top w:val="nil"/>
              <w:left w:val="nil"/>
              <w:bottom w:val="single" w:sz="8" w:space="0" w:color="auto"/>
              <w:right w:val="single" w:sz="8" w:space="0" w:color="auto"/>
            </w:tcBorders>
            <w:shd w:val="clear" w:color="auto" w:fill="auto"/>
            <w:noWrap/>
            <w:vAlign w:val="center"/>
            <w:hideMark/>
          </w:tcPr>
          <w:p w14:paraId="19ADA867"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200,000</w:t>
            </w:r>
          </w:p>
        </w:tc>
        <w:tc>
          <w:tcPr>
            <w:tcW w:w="938" w:type="dxa"/>
            <w:tcBorders>
              <w:top w:val="nil"/>
              <w:left w:val="nil"/>
              <w:bottom w:val="single" w:sz="8" w:space="0" w:color="auto"/>
              <w:right w:val="single" w:sz="8" w:space="0" w:color="auto"/>
            </w:tcBorders>
            <w:shd w:val="clear" w:color="auto" w:fill="auto"/>
            <w:noWrap/>
            <w:vAlign w:val="center"/>
            <w:hideMark/>
          </w:tcPr>
          <w:p w14:paraId="36223DED"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100,000</w:t>
            </w:r>
          </w:p>
        </w:tc>
        <w:tc>
          <w:tcPr>
            <w:tcW w:w="938" w:type="dxa"/>
            <w:tcBorders>
              <w:top w:val="nil"/>
              <w:left w:val="nil"/>
              <w:bottom w:val="single" w:sz="8" w:space="0" w:color="auto"/>
              <w:right w:val="single" w:sz="8" w:space="0" w:color="auto"/>
            </w:tcBorders>
            <w:shd w:val="clear" w:color="auto" w:fill="auto"/>
            <w:vAlign w:val="center"/>
            <w:hideMark/>
          </w:tcPr>
          <w:p w14:paraId="5AAE8403"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1372" w:type="dxa"/>
            <w:tcBorders>
              <w:top w:val="nil"/>
              <w:left w:val="nil"/>
              <w:bottom w:val="single" w:sz="8" w:space="0" w:color="auto"/>
              <w:right w:val="single" w:sz="8" w:space="0" w:color="auto"/>
            </w:tcBorders>
            <w:shd w:val="clear" w:color="auto" w:fill="auto"/>
            <w:noWrap/>
            <w:vAlign w:val="center"/>
            <w:hideMark/>
          </w:tcPr>
          <w:p w14:paraId="740B5BE6"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400,000</w:t>
            </w:r>
          </w:p>
        </w:tc>
        <w:tc>
          <w:tcPr>
            <w:tcW w:w="690" w:type="dxa"/>
            <w:tcBorders>
              <w:top w:val="nil"/>
              <w:left w:val="nil"/>
              <w:bottom w:val="single" w:sz="8" w:space="0" w:color="auto"/>
              <w:right w:val="single" w:sz="8" w:space="0" w:color="auto"/>
            </w:tcBorders>
            <w:shd w:val="clear" w:color="auto" w:fill="auto"/>
            <w:vAlign w:val="center"/>
            <w:hideMark/>
          </w:tcPr>
          <w:p w14:paraId="72D18D93"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34</w:t>
            </w:r>
          </w:p>
        </w:tc>
      </w:tr>
      <w:tr w:rsidR="001F45CE" w:rsidRPr="00913CCF" w14:paraId="5CE9CD0E" w14:textId="77777777" w:rsidTr="004205FD">
        <w:trPr>
          <w:trHeight w:val="225"/>
        </w:trPr>
        <w:tc>
          <w:tcPr>
            <w:tcW w:w="1354" w:type="dxa"/>
            <w:vMerge/>
            <w:tcBorders>
              <w:top w:val="nil"/>
              <w:left w:val="single" w:sz="8" w:space="0" w:color="000000"/>
              <w:bottom w:val="double" w:sz="6" w:space="0" w:color="000000"/>
              <w:right w:val="single" w:sz="8" w:space="0" w:color="auto"/>
            </w:tcBorders>
            <w:shd w:val="clear" w:color="auto" w:fill="auto"/>
            <w:vAlign w:val="center"/>
            <w:hideMark/>
          </w:tcPr>
          <w:p w14:paraId="349FF910"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nil"/>
              <w:left w:val="single" w:sz="8" w:space="0" w:color="auto"/>
              <w:bottom w:val="double" w:sz="6" w:space="0" w:color="000000"/>
              <w:right w:val="single" w:sz="8" w:space="0" w:color="auto"/>
            </w:tcBorders>
            <w:shd w:val="clear" w:color="auto" w:fill="auto"/>
            <w:vAlign w:val="center"/>
            <w:hideMark/>
          </w:tcPr>
          <w:p w14:paraId="7822A391"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63E9D9D3"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1D566013"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single" w:sz="8" w:space="0" w:color="auto"/>
              <w:right w:val="single" w:sz="8" w:space="0" w:color="auto"/>
            </w:tcBorders>
            <w:shd w:val="clear" w:color="auto" w:fill="auto"/>
            <w:noWrap/>
            <w:vAlign w:val="center"/>
            <w:hideMark/>
          </w:tcPr>
          <w:p w14:paraId="15B08C60"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74200</w:t>
            </w:r>
          </w:p>
        </w:tc>
        <w:tc>
          <w:tcPr>
            <w:tcW w:w="1186" w:type="dxa"/>
            <w:tcBorders>
              <w:top w:val="nil"/>
              <w:left w:val="nil"/>
              <w:bottom w:val="single" w:sz="8" w:space="0" w:color="auto"/>
              <w:right w:val="single" w:sz="8" w:space="0" w:color="auto"/>
            </w:tcBorders>
            <w:shd w:val="clear" w:color="auto" w:fill="auto"/>
            <w:vAlign w:val="center"/>
            <w:hideMark/>
          </w:tcPr>
          <w:p w14:paraId="3105FFB0" w14:textId="6F8E03CD" w:rsidR="001F45CE" w:rsidRPr="00913CCF" w:rsidRDefault="001F45CE" w:rsidP="001F45CE">
            <w:pPr>
              <w:spacing w:after="0"/>
              <w:jc w:val="left"/>
              <w:rPr>
                <w:rFonts w:eastAsia="Times New Roman" w:cs="Calibri"/>
                <w:color w:val="000000"/>
                <w:sz w:val="16"/>
                <w:szCs w:val="16"/>
              </w:rPr>
            </w:pPr>
            <w:r w:rsidRPr="00913CCF">
              <w:rPr>
                <w:rFonts w:eastAsia="Times New Roman" w:cs="Calibri"/>
                <w:color w:val="000000"/>
                <w:sz w:val="16"/>
                <w:szCs w:val="16"/>
                <w:lang w:val="fr-CA"/>
              </w:rPr>
              <w:t>Audio. print prod.</w:t>
            </w:r>
          </w:p>
        </w:tc>
        <w:tc>
          <w:tcPr>
            <w:tcW w:w="1155" w:type="dxa"/>
            <w:tcBorders>
              <w:top w:val="nil"/>
              <w:left w:val="nil"/>
              <w:bottom w:val="single" w:sz="8" w:space="0" w:color="auto"/>
              <w:right w:val="single" w:sz="8" w:space="0" w:color="auto"/>
            </w:tcBorders>
            <w:shd w:val="clear" w:color="auto" w:fill="auto"/>
            <w:noWrap/>
            <w:vAlign w:val="center"/>
            <w:hideMark/>
          </w:tcPr>
          <w:p w14:paraId="4E2EE159"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lang w:val="fr-CA"/>
              </w:rPr>
              <w:t>0</w:t>
            </w:r>
          </w:p>
        </w:tc>
        <w:tc>
          <w:tcPr>
            <w:tcW w:w="1010" w:type="dxa"/>
            <w:tcBorders>
              <w:top w:val="nil"/>
              <w:left w:val="nil"/>
              <w:bottom w:val="single" w:sz="8" w:space="0" w:color="auto"/>
              <w:right w:val="single" w:sz="8" w:space="0" w:color="auto"/>
            </w:tcBorders>
            <w:shd w:val="clear" w:color="auto" w:fill="auto"/>
            <w:noWrap/>
            <w:vAlign w:val="center"/>
            <w:hideMark/>
          </w:tcPr>
          <w:p w14:paraId="7787E813"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lang w:val="fr-CA"/>
              </w:rPr>
              <w:t>0</w:t>
            </w:r>
          </w:p>
        </w:tc>
        <w:tc>
          <w:tcPr>
            <w:tcW w:w="938" w:type="dxa"/>
            <w:tcBorders>
              <w:top w:val="nil"/>
              <w:left w:val="nil"/>
              <w:bottom w:val="single" w:sz="8" w:space="0" w:color="auto"/>
              <w:right w:val="single" w:sz="8" w:space="0" w:color="auto"/>
            </w:tcBorders>
            <w:shd w:val="clear" w:color="auto" w:fill="auto"/>
            <w:noWrap/>
            <w:vAlign w:val="center"/>
            <w:hideMark/>
          </w:tcPr>
          <w:p w14:paraId="33DF0B74"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lang w:val="fr-CA"/>
              </w:rPr>
              <w:t>15,000</w:t>
            </w:r>
          </w:p>
        </w:tc>
        <w:tc>
          <w:tcPr>
            <w:tcW w:w="938" w:type="dxa"/>
            <w:tcBorders>
              <w:top w:val="nil"/>
              <w:left w:val="nil"/>
              <w:bottom w:val="single" w:sz="8" w:space="0" w:color="auto"/>
              <w:right w:val="single" w:sz="8" w:space="0" w:color="auto"/>
            </w:tcBorders>
            <w:shd w:val="clear" w:color="auto" w:fill="auto"/>
            <w:noWrap/>
            <w:vAlign w:val="center"/>
            <w:hideMark/>
          </w:tcPr>
          <w:p w14:paraId="0EC72002"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lang w:val="fr-CA"/>
              </w:rPr>
              <w:t>15,000</w:t>
            </w:r>
          </w:p>
        </w:tc>
        <w:tc>
          <w:tcPr>
            <w:tcW w:w="938" w:type="dxa"/>
            <w:tcBorders>
              <w:top w:val="nil"/>
              <w:left w:val="nil"/>
              <w:bottom w:val="single" w:sz="8" w:space="0" w:color="auto"/>
              <w:right w:val="single" w:sz="8" w:space="0" w:color="auto"/>
            </w:tcBorders>
            <w:shd w:val="clear" w:color="auto" w:fill="auto"/>
            <w:noWrap/>
            <w:vAlign w:val="center"/>
            <w:hideMark/>
          </w:tcPr>
          <w:p w14:paraId="0823AF6B"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lang w:val="fr-CA"/>
              </w:rPr>
              <w:t>10,000</w:t>
            </w:r>
          </w:p>
        </w:tc>
        <w:tc>
          <w:tcPr>
            <w:tcW w:w="938" w:type="dxa"/>
            <w:tcBorders>
              <w:top w:val="nil"/>
              <w:left w:val="nil"/>
              <w:bottom w:val="single" w:sz="8" w:space="0" w:color="auto"/>
              <w:right w:val="single" w:sz="8" w:space="0" w:color="auto"/>
            </w:tcBorders>
            <w:shd w:val="clear" w:color="auto" w:fill="auto"/>
            <w:vAlign w:val="center"/>
            <w:hideMark/>
          </w:tcPr>
          <w:p w14:paraId="5C0D424F"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lang w:val="fr-CA"/>
              </w:rPr>
              <w:t>0</w:t>
            </w:r>
          </w:p>
        </w:tc>
        <w:tc>
          <w:tcPr>
            <w:tcW w:w="1372" w:type="dxa"/>
            <w:tcBorders>
              <w:top w:val="nil"/>
              <w:left w:val="nil"/>
              <w:bottom w:val="single" w:sz="8" w:space="0" w:color="auto"/>
              <w:right w:val="single" w:sz="8" w:space="0" w:color="auto"/>
            </w:tcBorders>
            <w:shd w:val="clear" w:color="auto" w:fill="auto"/>
            <w:noWrap/>
            <w:vAlign w:val="center"/>
            <w:hideMark/>
          </w:tcPr>
          <w:p w14:paraId="03B5B183"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40,000</w:t>
            </w:r>
          </w:p>
        </w:tc>
        <w:tc>
          <w:tcPr>
            <w:tcW w:w="690" w:type="dxa"/>
            <w:tcBorders>
              <w:top w:val="nil"/>
              <w:left w:val="nil"/>
              <w:bottom w:val="single" w:sz="8" w:space="0" w:color="auto"/>
              <w:right w:val="single" w:sz="8" w:space="0" w:color="auto"/>
            </w:tcBorders>
            <w:shd w:val="clear" w:color="auto" w:fill="auto"/>
            <w:vAlign w:val="center"/>
            <w:hideMark/>
          </w:tcPr>
          <w:p w14:paraId="6C6795C6"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35</w:t>
            </w:r>
          </w:p>
        </w:tc>
      </w:tr>
      <w:tr w:rsidR="001F45CE" w:rsidRPr="00913CCF" w14:paraId="5E1B836A" w14:textId="77777777" w:rsidTr="004205FD">
        <w:trPr>
          <w:trHeight w:val="225"/>
        </w:trPr>
        <w:tc>
          <w:tcPr>
            <w:tcW w:w="1354" w:type="dxa"/>
            <w:vMerge/>
            <w:tcBorders>
              <w:top w:val="nil"/>
              <w:left w:val="single" w:sz="8" w:space="0" w:color="000000"/>
              <w:bottom w:val="double" w:sz="6" w:space="0" w:color="000000"/>
              <w:right w:val="single" w:sz="8" w:space="0" w:color="auto"/>
            </w:tcBorders>
            <w:shd w:val="clear" w:color="auto" w:fill="auto"/>
            <w:vAlign w:val="center"/>
            <w:hideMark/>
          </w:tcPr>
          <w:p w14:paraId="106C834E"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nil"/>
              <w:left w:val="single" w:sz="8" w:space="0" w:color="auto"/>
              <w:bottom w:val="double" w:sz="6" w:space="0" w:color="000000"/>
              <w:right w:val="single" w:sz="8" w:space="0" w:color="auto"/>
            </w:tcBorders>
            <w:shd w:val="clear" w:color="auto" w:fill="auto"/>
            <w:vAlign w:val="center"/>
            <w:hideMark/>
          </w:tcPr>
          <w:p w14:paraId="2DF60C6C"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534750D8"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71F53E7D"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single" w:sz="8" w:space="0" w:color="auto"/>
              <w:right w:val="single" w:sz="8" w:space="0" w:color="auto"/>
            </w:tcBorders>
            <w:shd w:val="clear" w:color="auto" w:fill="auto"/>
            <w:noWrap/>
            <w:vAlign w:val="center"/>
            <w:hideMark/>
          </w:tcPr>
          <w:p w14:paraId="686B4150"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74500</w:t>
            </w:r>
          </w:p>
        </w:tc>
        <w:tc>
          <w:tcPr>
            <w:tcW w:w="1186" w:type="dxa"/>
            <w:tcBorders>
              <w:top w:val="nil"/>
              <w:left w:val="nil"/>
              <w:bottom w:val="single" w:sz="8" w:space="0" w:color="auto"/>
              <w:right w:val="single" w:sz="8" w:space="0" w:color="auto"/>
            </w:tcBorders>
            <w:shd w:val="clear" w:color="auto" w:fill="auto"/>
            <w:vAlign w:val="center"/>
            <w:hideMark/>
          </w:tcPr>
          <w:p w14:paraId="75B5764C" w14:textId="77777777" w:rsidR="001F45CE" w:rsidRPr="00913CCF" w:rsidRDefault="001F45CE" w:rsidP="001F45CE">
            <w:pPr>
              <w:spacing w:after="0"/>
              <w:jc w:val="left"/>
              <w:rPr>
                <w:rFonts w:eastAsia="Times New Roman" w:cs="Calibri"/>
                <w:color w:val="000000"/>
                <w:sz w:val="16"/>
                <w:szCs w:val="16"/>
              </w:rPr>
            </w:pPr>
            <w:r w:rsidRPr="00913CCF">
              <w:rPr>
                <w:rFonts w:eastAsia="Times New Roman" w:cs="Calibri"/>
                <w:color w:val="000000"/>
                <w:sz w:val="16"/>
                <w:szCs w:val="16"/>
              </w:rPr>
              <w:t>Miscellaneous</w:t>
            </w:r>
          </w:p>
        </w:tc>
        <w:tc>
          <w:tcPr>
            <w:tcW w:w="1155" w:type="dxa"/>
            <w:tcBorders>
              <w:top w:val="nil"/>
              <w:left w:val="nil"/>
              <w:bottom w:val="single" w:sz="8" w:space="0" w:color="auto"/>
              <w:right w:val="single" w:sz="8" w:space="0" w:color="auto"/>
            </w:tcBorders>
            <w:shd w:val="clear" w:color="auto" w:fill="auto"/>
            <w:noWrap/>
            <w:vAlign w:val="center"/>
            <w:hideMark/>
          </w:tcPr>
          <w:p w14:paraId="4D883273"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20,000</w:t>
            </w:r>
          </w:p>
        </w:tc>
        <w:tc>
          <w:tcPr>
            <w:tcW w:w="1010" w:type="dxa"/>
            <w:tcBorders>
              <w:top w:val="nil"/>
              <w:left w:val="nil"/>
              <w:bottom w:val="single" w:sz="8" w:space="0" w:color="auto"/>
              <w:right w:val="single" w:sz="8" w:space="0" w:color="auto"/>
            </w:tcBorders>
            <w:shd w:val="clear" w:color="auto" w:fill="auto"/>
            <w:noWrap/>
            <w:vAlign w:val="center"/>
            <w:hideMark/>
          </w:tcPr>
          <w:p w14:paraId="7D0454E5"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16,000</w:t>
            </w:r>
          </w:p>
        </w:tc>
        <w:tc>
          <w:tcPr>
            <w:tcW w:w="938" w:type="dxa"/>
            <w:tcBorders>
              <w:top w:val="nil"/>
              <w:left w:val="nil"/>
              <w:bottom w:val="single" w:sz="8" w:space="0" w:color="auto"/>
              <w:right w:val="single" w:sz="8" w:space="0" w:color="auto"/>
            </w:tcBorders>
            <w:shd w:val="clear" w:color="auto" w:fill="auto"/>
            <w:noWrap/>
            <w:vAlign w:val="center"/>
            <w:hideMark/>
          </w:tcPr>
          <w:p w14:paraId="2A39BD58"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16,000</w:t>
            </w:r>
          </w:p>
        </w:tc>
        <w:tc>
          <w:tcPr>
            <w:tcW w:w="938" w:type="dxa"/>
            <w:tcBorders>
              <w:top w:val="nil"/>
              <w:left w:val="nil"/>
              <w:bottom w:val="single" w:sz="8" w:space="0" w:color="auto"/>
              <w:right w:val="single" w:sz="8" w:space="0" w:color="auto"/>
            </w:tcBorders>
            <w:shd w:val="clear" w:color="auto" w:fill="auto"/>
            <w:noWrap/>
            <w:vAlign w:val="center"/>
            <w:hideMark/>
          </w:tcPr>
          <w:p w14:paraId="04219F08"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16,000</w:t>
            </w:r>
          </w:p>
        </w:tc>
        <w:tc>
          <w:tcPr>
            <w:tcW w:w="938" w:type="dxa"/>
            <w:tcBorders>
              <w:top w:val="nil"/>
              <w:left w:val="nil"/>
              <w:bottom w:val="single" w:sz="8" w:space="0" w:color="auto"/>
              <w:right w:val="single" w:sz="8" w:space="0" w:color="auto"/>
            </w:tcBorders>
            <w:shd w:val="clear" w:color="auto" w:fill="auto"/>
            <w:noWrap/>
            <w:vAlign w:val="center"/>
            <w:hideMark/>
          </w:tcPr>
          <w:p w14:paraId="18DEA304"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16,000</w:t>
            </w:r>
          </w:p>
        </w:tc>
        <w:tc>
          <w:tcPr>
            <w:tcW w:w="938" w:type="dxa"/>
            <w:tcBorders>
              <w:top w:val="nil"/>
              <w:left w:val="nil"/>
              <w:bottom w:val="single" w:sz="8" w:space="0" w:color="auto"/>
              <w:right w:val="single" w:sz="8" w:space="0" w:color="auto"/>
            </w:tcBorders>
            <w:shd w:val="clear" w:color="auto" w:fill="auto"/>
            <w:vAlign w:val="center"/>
            <w:hideMark/>
          </w:tcPr>
          <w:p w14:paraId="30209144"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14,582</w:t>
            </w:r>
          </w:p>
        </w:tc>
        <w:tc>
          <w:tcPr>
            <w:tcW w:w="1372" w:type="dxa"/>
            <w:tcBorders>
              <w:top w:val="nil"/>
              <w:left w:val="nil"/>
              <w:bottom w:val="single" w:sz="8" w:space="0" w:color="auto"/>
              <w:right w:val="single" w:sz="8" w:space="0" w:color="auto"/>
            </w:tcBorders>
            <w:shd w:val="clear" w:color="auto" w:fill="auto"/>
            <w:noWrap/>
            <w:vAlign w:val="center"/>
            <w:hideMark/>
          </w:tcPr>
          <w:p w14:paraId="6C71BC1C"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98,582</w:t>
            </w:r>
          </w:p>
        </w:tc>
        <w:tc>
          <w:tcPr>
            <w:tcW w:w="690" w:type="dxa"/>
            <w:tcBorders>
              <w:top w:val="nil"/>
              <w:left w:val="nil"/>
              <w:bottom w:val="single" w:sz="8" w:space="0" w:color="auto"/>
              <w:right w:val="single" w:sz="8" w:space="0" w:color="auto"/>
            </w:tcBorders>
            <w:shd w:val="clear" w:color="auto" w:fill="auto"/>
            <w:vAlign w:val="center"/>
            <w:hideMark/>
          </w:tcPr>
          <w:p w14:paraId="624A7947"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36</w:t>
            </w:r>
          </w:p>
        </w:tc>
      </w:tr>
      <w:tr w:rsidR="001F45CE" w:rsidRPr="00913CCF" w14:paraId="590D5C03" w14:textId="77777777" w:rsidTr="004205FD">
        <w:trPr>
          <w:trHeight w:val="225"/>
        </w:trPr>
        <w:tc>
          <w:tcPr>
            <w:tcW w:w="1354" w:type="dxa"/>
            <w:vMerge/>
            <w:tcBorders>
              <w:top w:val="nil"/>
              <w:left w:val="single" w:sz="8" w:space="0" w:color="000000"/>
              <w:bottom w:val="double" w:sz="6" w:space="0" w:color="000000"/>
              <w:right w:val="single" w:sz="8" w:space="0" w:color="auto"/>
            </w:tcBorders>
            <w:shd w:val="clear" w:color="auto" w:fill="auto"/>
            <w:vAlign w:val="center"/>
            <w:hideMark/>
          </w:tcPr>
          <w:p w14:paraId="608D658E"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nil"/>
              <w:left w:val="single" w:sz="8" w:space="0" w:color="auto"/>
              <w:bottom w:val="double" w:sz="6" w:space="0" w:color="000000"/>
              <w:right w:val="single" w:sz="8" w:space="0" w:color="auto"/>
            </w:tcBorders>
            <w:shd w:val="clear" w:color="auto" w:fill="auto"/>
            <w:vAlign w:val="center"/>
            <w:hideMark/>
          </w:tcPr>
          <w:p w14:paraId="2B7DCF94"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14913630"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21D8859D"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double" w:sz="6" w:space="0" w:color="auto"/>
              <w:right w:val="single" w:sz="8" w:space="0" w:color="auto"/>
            </w:tcBorders>
            <w:shd w:val="clear" w:color="auto" w:fill="auto"/>
            <w:noWrap/>
            <w:vAlign w:val="center"/>
            <w:hideMark/>
          </w:tcPr>
          <w:p w14:paraId="0A8A9807"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75700</w:t>
            </w:r>
          </w:p>
        </w:tc>
        <w:tc>
          <w:tcPr>
            <w:tcW w:w="1186" w:type="dxa"/>
            <w:tcBorders>
              <w:top w:val="nil"/>
              <w:left w:val="nil"/>
              <w:bottom w:val="double" w:sz="6" w:space="0" w:color="auto"/>
              <w:right w:val="single" w:sz="8" w:space="0" w:color="auto"/>
            </w:tcBorders>
            <w:shd w:val="clear" w:color="auto" w:fill="auto"/>
            <w:vAlign w:val="center"/>
            <w:hideMark/>
          </w:tcPr>
          <w:p w14:paraId="01F6FCAB" w14:textId="77777777" w:rsidR="001F45CE" w:rsidRPr="00913CCF" w:rsidRDefault="001F45CE" w:rsidP="001F45CE">
            <w:pPr>
              <w:spacing w:after="0"/>
              <w:jc w:val="left"/>
              <w:rPr>
                <w:rFonts w:eastAsia="Times New Roman" w:cs="Calibri"/>
                <w:color w:val="000000"/>
                <w:sz w:val="16"/>
                <w:szCs w:val="16"/>
              </w:rPr>
            </w:pPr>
            <w:r w:rsidRPr="00913CCF">
              <w:rPr>
                <w:rFonts w:eastAsia="Times New Roman" w:cs="Calibri"/>
                <w:color w:val="000000"/>
                <w:sz w:val="16"/>
                <w:szCs w:val="16"/>
              </w:rPr>
              <w:t>Train. worksh conf</w:t>
            </w:r>
          </w:p>
        </w:tc>
        <w:tc>
          <w:tcPr>
            <w:tcW w:w="1155" w:type="dxa"/>
            <w:tcBorders>
              <w:top w:val="nil"/>
              <w:left w:val="nil"/>
              <w:bottom w:val="double" w:sz="6" w:space="0" w:color="auto"/>
              <w:right w:val="single" w:sz="8" w:space="0" w:color="auto"/>
            </w:tcBorders>
            <w:shd w:val="clear" w:color="auto" w:fill="auto"/>
            <w:noWrap/>
            <w:vAlign w:val="center"/>
            <w:hideMark/>
          </w:tcPr>
          <w:p w14:paraId="7B47E177"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1010" w:type="dxa"/>
            <w:tcBorders>
              <w:top w:val="nil"/>
              <w:left w:val="nil"/>
              <w:bottom w:val="double" w:sz="6" w:space="0" w:color="auto"/>
              <w:right w:val="single" w:sz="8" w:space="0" w:color="auto"/>
            </w:tcBorders>
            <w:shd w:val="clear" w:color="auto" w:fill="auto"/>
            <w:noWrap/>
            <w:vAlign w:val="center"/>
            <w:hideMark/>
          </w:tcPr>
          <w:p w14:paraId="0FA19F07"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1,200</w:t>
            </w:r>
          </w:p>
        </w:tc>
        <w:tc>
          <w:tcPr>
            <w:tcW w:w="938" w:type="dxa"/>
            <w:tcBorders>
              <w:top w:val="nil"/>
              <w:left w:val="nil"/>
              <w:bottom w:val="double" w:sz="6" w:space="0" w:color="auto"/>
              <w:right w:val="single" w:sz="8" w:space="0" w:color="auto"/>
            </w:tcBorders>
            <w:shd w:val="clear" w:color="auto" w:fill="auto"/>
            <w:noWrap/>
            <w:vAlign w:val="center"/>
            <w:hideMark/>
          </w:tcPr>
          <w:p w14:paraId="465E7F46"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938" w:type="dxa"/>
            <w:tcBorders>
              <w:top w:val="nil"/>
              <w:left w:val="nil"/>
              <w:bottom w:val="double" w:sz="6" w:space="0" w:color="auto"/>
              <w:right w:val="single" w:sz="8" w:space="0" w:color="auto"/>
            </w:tcBorders>
            <w:shd w:val="clear" w:color="auto" w:fill="auto"/>
            <w:noWrap/>
            <w:vAlign w:val="center"/>
            <w:hideMark/>
          </w:tcPr>
          <w:p w14:paraId="32456EF5"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938" w:type="dxa"/>
            <w:tcBorders>
              <w:top w:val="nil"/>
              <w:left w:val="nil"/>
              <w:bottom w:val="double" w:sz="6" w:space="0" w:color="auto"/>
              <w:right w:val="single" w:sz="8" w:space="0" w:color="auto"/>
            </w:tcBorders>
            <w:shd w:val="clear" w:color="auto" w:fill="auto"/>
            <w:noWrap/>
            <w:vAlign w:val="center"/>
            <w:hideMark/>
          </w:tcPr>
          <w:p w14:paraId="2CBE6E45"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938" w:type="dxa"/>
            <w:tcBorders>
              <w:top w:val="nil"/>
              <w:left w:val="nil"/>
              <w:bottom w:val="double" w:sz="6" w:space="0" w:color="auto"/>
              <w:right w:val="single" w:sz="8" w:space="0" w:color="auto"/>
            </w:tcBorders>
            <w:shd w:val="clear" w:color="auto" w:fill="auto"/>
            <w:vAlign w:val="center"/>
            <w:hideMark/>
          </w:tcPr>
          <w:p w14:paraId="20990890"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1372" w:type="dxa"/>
            <w:tcBorders>
              <w:top w:val="nil"/>
              <w:left w:val="nil"/>
              <w:bottom w:val="double" w:sz="6" w:space="0" w:color="auto"/>
              <w:right w:val="single" w:sz="8" w:space="0" w:color="auto"/>
            </w:tcBorders>
            <w:shd w:val="clear" w:color="auto" w:fill="auto"/>
            <w:noWrap/>
            <w:vAlign w:val="center"/>
            <w:hideMark/>
          </w:tcPr>
          <w:p w14:paraId="29EA3855"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1,200</w:t>
            </w:r>
          </w:p>
        </w:tc>
        <w:tc>
          <w:tcPr>
            <w:tcW w:w="690" w:type="dxa"/>
            <w:tcBorders>
              <w:top w:val="nil"/>
              <w:left w:val="nil"/>
              <w:bottom w:val="single" w:sz="8" w:space="0" w:color="auto"/>
              <w:right w:val="single" w:sz="8" w:space="0" w:color="auto"/>
            </w:tcBorders>
            <w:shd w:val="clear" w:color="auto" w:fill="auto"/>
            <w:vAlign w:val="center"/>
            <w:hideMark/>
          </w:tcPr>
          <w:p w14:paraId="197FDB50"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37</w:t>
            </w:r>
          </w:p>
        </w:tc>
      </w:tr>
      <w:tr w:rsidR="001F45CE" w:rsidRPr="00913CCF" w14:paraId="66DD73FE" w14:textId="77777777" w:rsidTr="004205FD">
        <w:trPr>
          <w:trHeight w:val="300"/>
        </w:trPr>
        <w:tc>
          <w:tcPr>
            <w:tcW w:w="1354" w:type="dxa"/>
            <w:vMerge/>
            <w:tcBorders>
              <w:top w:val="nil"/>
              <w:left w:val="single" w:sz="8" w:space="0" w:color="000000"/>
              <w:bottom w:val="double" w:sz="6" w:space="0" w:color="000000"/>
              <w:right w:val="single" w:sz="8" w:space="0" w:color="auto"/>
            </w:tcBorders>
            <w:shd w:val="clear" w:color="auto" w:fill="auto"/>
            <w:vAlign w:val="center"/>
            <w:hideMark/>
          </w:tcPr>
          <w:p w14:paraId="708FB1A8"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nil"/>
              <w:left w:val="single" w:sz="8" w:space="0" w:color="auto"/>
              <w:bottom w:val="double" w:sz="6" w:space="0" w:color="000000"/>
              <w:right w:val="single" w:sz="8" w:space="0" w:color="auto"/>
            </w:tcBorders>
            <w:shd w:val="clear" w:color="auto" w:fill="auto"/>
            <w:vAlign w:val="center"/>
            <w:hideMark/>
          </w:tcPr>
          <w:p w14:paraId="539F80AD" w14:textId="77777777" w:rsidR="001F45CE" w:rsidRPr="00913CCF" w:rsidRDefault="001F45CE" w:rsidP="001F45CE">
            <w:pPr>
              <w:spacing w:after="0"/>
              <w:jc w:val="left"/>
              <w:rPr>
                <w:rFonts w:eastAsia="Times New Roman" w:cs="Calibri"/>
                <w:b/>
                <w:bCs/>
                <w:color w:val="000000"/>
                <w:sz w:val="16"/>
                <w:szCs w:val="16"/>
              </w:rPr>
            </w:pPr>
          </w:p>
        </w:tc>
        <w:tc>
          <w:tcPr>
            <w:tcW w:w="622" w:type="dxa"/>
            <w:tcBorders>
              <w:top w:val="nil"/>
              <w:left w:val="nil"/>
              <w:bottom w:val="double" w:sz="6" w:space="0" w:color="auto"/>
              <w:right w:val="single" w:sz="8" w:space="0" w:color="auto"/>
            </w:tcBorders>
            <w:shd w:val="clear" w:color="auto" w:fill="auto"/>
            <w:vAlign w:val="center"/>
            <w:hideMark/>
          </w:tcPr>
          <w:p w14:paraId="2918566C"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 </w:t>
            </w:r>
          </w:p>
        </w:tc>
        <w:tc>
          <w:tcPr>
            <w:tcW w:w="632" w:type="dxa"/>
            <w:tcBorders>
              <w:top w:val="nil"/>
              <w:left w:val="nil"/>
              <w:bottom w:val="double" w:sz="6" w:space="0" w:color="auto"/>
              <w:right w:val="single" w:sz="8" w:space="0" w:color="auto"/>
            </w:tcBorders>
            <w:shd w:val="clear" w:color="auto" w:fill="auto"/>
            <w:vAlign w:val="center"/>
            <w:hideMark/>
          </w:tcPr>
          <w:p w14:paraId="25B84474"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 </w:t>
            </w:r>
          </w:p>
        </w:tc>
        <w:tc>
          <w:tcPr>
            <w:tcW w:w="901" w:type="dxa"/>
            <w:tcBorders>
              <w:top w:val="nil"/>
              <w:left w:val="nil"/>
              <w:bottom w:val="double" w:sz="6" w:space="0" w:color="auto"/>
              <w:right w:val="single" w:sz="8" w:space="0" w:color="auto"/>
            </w:tcBorders>
            <w:shd w:val="clear" w:color="auto" w:fill="auto"/>
            <w:noWrap/>
            <w:vAlign w:val="center"/>
            <w:hideMark/>
          </w:tcPr>
          <w:p w14:paraId="2926DA1A"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 </w:t>
            </w:r>
          </w:p>
        </w:tc>
        <w:tc>
          <w:tcPr>
            <w:tcW w:w="1186" w:type="dxa"/>
            <w:tcBorders>
              <w:top w:val="nil"/>
              <w:left w:val="nil"/>
              <w:bottom w:val="double" w:sz="6" w:space="0" w:color="auto"/>
              <w:right w:val="single" w:sz="8" w:space="0" w:color="auto"/>
            </w:tcBorders>
            <w:shd w:val="clear" w:color="auto" w:fill="auto"/>
            <w:vAlign w:val="center"/>
            <w:hideMark/>
          </w:tcPr>
          <w:p w14:paraId="5289E79E" w14:textId="77777777" w:rsidR="001F45CE" w:rsidRPr="00913CCF" w:rsidRDefault="001F45CE" w:rsidP="001F45CE">
            <w:pPr>
              <w:spacing w:after="0"/>
              <w:jc w:val="left"/>
              <w:rPr>
                <w:rFonts w:eastAsia="Times New Roman" w:cs="Calibri"/>
                <w:b/>
                <w:bCs/>
                <w:color w:val="000000"/>
                <w:sz w:val="15"/>
                <w:szCs w:val="15"/>
              </w:rPr>
            </w:pPr>
            <w:r w:rsidRPr="00913CCF">
              <w:rPr>
                <w:rFonts w:eastAsia="Times New Roman" w:cs="Calibri"/>
                <w:b/>
                <w:bCs/>
                <w:color w:val="000000"/>
                <w:sz w:val="15"/>
                <w:szCs w:val="15"/>
              </w:rPr>
              <w:t>Sub-total Outcome 3</w:t>
            </w:r>
          </w:p>
        </w:tc>
        <w:tc>
          <w:tcPr>
            <w:tcW w:w="1155" w:type="dxa"/>
            <w:tcBorders>
              <w:top w:val="nil"/>
              <w:left w:val="nil"/>
              <w:bottom w:val="double" w:sz="6" w:space="0" w:color="auto"/>
              <w:right w:val="single" w:sz="8" w:space="0" w:color="auto"/>
            </w:tcBorders>
            <w:shd w:val="clear" w:color="auto" w:fill="auto"/>
            <w:noWrap/>
            <w:vAlign w:val="center"/>
            <w:hideMark/>
          </w:tcPr>
          <w:p w14:paraId="0F877FE1" w14:textId="5472E5AC" w:rsidR="001F45CE" w:rsidRPr="00EF6D8E"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41,675</w:t>
            </w:r>
          </w:p>
        </w:tc>
        <w:tc>
          <w:tcPr>
            <w:tcW w:w="1010" w:type="dxa"/>
            <w:tcBorders>
              <w:top w:val="nil"/>
              <w:left w:val="nil"/>
              <w:bottom w:val="double" w:sz="6" w:space="0" w:color="auto"/>
              <w:right w:val="single" w:sz="8" w:space="0" w:color="auto"/>
            </w:tcBorders>
            <w:shd w:val="clear" w:color="auto" w:fill="auto"/>
            <w:noWrap/>
            <w:vAlign w:val="center"/>
            <w:hideMark/>
          </w:tcPr>
          <w:p w14:paraId="5C41884B"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164,670</w:t>
            </w:r>
          </w:p>
        </w:tc>
        <w:tc>
          <w:tcPr>
            <w:tcW w:w="938" w:type="dxa"/>
            <w:tcBorders>
              <w:top w:val="nil"/>
              <w:left w:val="nil"/>
              <w:bottom w:val="double" w:sz="6" w:space="0" w:color="auto"/>
              <w:right w:val="single" w:sz="8" w:space="0" w:color="auto"/>
            </w:tcBorders>
            <w:shd w:val="clear" w:color="auto" w:fill="auto"/>
            <w:noWrap/>
            <w:vAlign w:val="center"/>
            <w:hideMark/>
          </w:tcPr>
          <w:p w14:paraId="59168FDE"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509,450</w:t>
            </w:r>
          </w:p>
        </w:tc>
        <w:tc>
          <w:tcPr>
            <w:tcW w:w="938" w:type="dxa"/>
            <w:tcBorders>
              <w:top w:val="nil"/>
              <w:left w:val="nil"/>
              <w:bottom w:val="double" w:sz="6" w:space="0" w:color="auto"/>
              <w:right w:val="single" w:sz="8" w:space="0" w:color="auto"/>
            </w:tcBorders>
            <w:shd w:val="clear" w:color="auto" w:fill="auto"/>
            <w:noWrap/>
            <w:vAlign w:val="center"/>
            <w:hideMark/>
          </w:tcPr>
          <w:p w14:paraId="519A23B2"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355,030</w:t>
            </w:r>
          </w:p>
        </w:tc>
        <w:tc>
          <w:tcPr>
            <w:tcW w:w="938" w:type="dxa"/>
            <w:tcBorders>
              <w:top w:val="nil"/>
              <w:left w:val="nil"/>
              <w:bottom w:val="double" w:sz="6" w:space="0" w:color="auto"/>
              <w:right w:val="single" w:sz="8" w:space="0" w:color="auto"/>
            </w:tcBorders>
            <w:shd w:val="clear" w:color="auto" w:fill="auto"/>
            <w:noWrap/>
            <w:vAlign w:val="center"/>
            <w:hideMark/>
          </w:tcPr>
          <w:p w14:paraId="21583AA8"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176,890</w:t>
            </w:r>
          </w:p>
        </w:tc>
        <w:tc>
          <w:tcPr>
            <w:tcW w:w="938" w:type="dxa"/>
            <w:tcBorders>
              <w:top w:val="nil"/>
              <w:left w:val="nil"/>
              <w:bottom w:val="double" w:sz="6" w:space="0" w:color="auto"/>
              <w:right w:val="single" w:sz="8" w:space="0" w:color="auto"/>
            </w:tcBorders>
            <w:shd w:val="clear" w:color="auto" w:fill="auto"/>
            <w:vAlign w:val="center"/>
            <w:hideMark/>
          </w:tcPr>
          <w:p w14:paraId="50CF1473"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25,232</w:t>
            </w:r>
          </w:p>
        </w:tc>
        <w:tc>
          <w:tcPr>
            <w:tcW w:w="1372" w:type="dxa"/>
            <w:tcBorders>
              <w:top w:val="nil"/>
              <w:left w:val="nil"/>
              <w:bottom w:val="double" w:sz="6" w:space="0" w:color="auto"/>
              <w:right w:val="single" w:sz="8" w:space="0" w:color="auto"/>
            </w:tcBorders>
            <w:shd w:val="clear" w:color="auto" w:fill="auto"/>
            <w:noWrap/>
            <w:vAlign w:val="center"/>
            <w:hideMark/>
          </w:tcPr>
          <w:p w14:paraId="33505C51" w14:textId="56E1D957" w:rsidR="001F45CE" w:rsidRPr="00EF6D8E"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1,272,947</w:t>
            </w:r>
          </w:p>
        </w:tc>
        <w:tc>
          <w:tcPr>
            <w:tcW w:w="690" w:type="dxa"/>
            <w:tcBorders>
              <w:top w:val="nil"/>
              <w:left w:val="nil"/>
              <w:bottom w:val="double" w:sz="6" w:space="0" w:color="auto"/>
              <w:right w:val="single" w:sz="8" w:space="0" w:color="auto"/>
            </w:tcBorders>
            <w:shd w:val="clear" w:color="auto" w:fill="auto"/>
            <w:vAlign w:val="center"/>
            <w:hideMark/>
          </w:tcPr>
          <w:p w14:paraId="2CF24F6B" w14:textId="77777777" w:rsidR="001F45CE" w:rsidRPr="00913CCF" w:rsidRDefault="001F45CE" w:rsidP="001F45CE">
            <w:pPr>
              <w:spacing w:after="0"/>
              <w:jc w:val="left"/>
              <w:rPr>
                <w:rFonts w:eastAsia="Times New Roman" w:cs="Calibri"/>
                <w:color w:val="000000"/>
                <w:sz w:val="22"/>
                <w:szCs w:val="22"/>
              </w:rPr>
            </w:pPr>
            <w:r w:rsidRPr="00913CCF">
              <w:rPr>
                <w:rFonts w:eastAsia="Times New Roman" w:cs="Calibri"/>
                <w:color w:val="000000"/>
                <w:sz w:val="22"/>
                <w:szCs w:val="22"/>
              </w:rPr>
              <w:t> </w:t>
            </w:r>
          </w:p>
        </w:tc>
      </w:tr>
      <w:tr w:rsidR="001F45CE" w:rsidRPr="00913CCF" w14:paraId="1CFDE22A" w14:textId="77777777" w:rsidTr="004205FD">
        <w:trPr>
          <w:trHeight w:val="243"/>
        </w:trPr>
        <w:tc>
          <w:tcPr>
            <w:tcW w:w="1354" w:type="dxa"/>
            <w:vMerge/>
            <w:tcBorders>
              <w:top w:val="nil"/>
              <w:left w:val="single" w:sz="8" w:space="0" w:color="000000"/>
              <w:bottom w:val="double" w:sz="6" w:space="0" w:color="000000"/>
              <w:right w:val="single" w:sz="8" w:space="0" w:color="auto"/>
            </w:tcBorders>
            <w:shd w:val="clear" w:color="auto" w:fill="auto"/>
            <w:vAlign w:val="center"/>
            <w:hideMark/>
          </w:tcPr>
          <w:p w14:paraId="58B7B2FC" w14:textId="77777777" w:rsidR="001F45CE" w:rsidRPr="00913CCF" w:rsidRDefault="001F45CE" w:rsidP="001F45CE">
            <w:pPr>
              <w:spacing w:after="0"/>
              <w:jc w:val="left"/>
              <w:rPr>
                <w:rFonts w:eastAsia="Times New Roman" w:cs="Calibri"/>
                <w:b/>
                <w:bCs/>
                <w:color w:val="000000"/>
                <w:sz w:val="16"/>
                <w:szCs w:val="16"/>
              </w:rPr>
            </w:pPr>
          </w:p>
        </w:tc>
        <w:tc>
          <w:tcPr>
            <w:tcW w:w="1266" w:type="dxa"/>
            <w:vMerge w:val="restart"/>
            <w:tcBorders>
              <w:top w:val="nil"/>
              <w:left w:val="single" w:sz="8" w:space="0" w:color="auto"/>
              <w:bottom w:val="double" w:sz="6" w:space="0" w:color="000000"/>
              <w:right w:val="single" w:sz="8" w:space="0" w:color="auto"/>
            </w:tcBorders>
            <w:shd w:val="clear" w:color="auto" w:fill="auto"/>
            <w:vAlign w:val="center"/>
            <w:hideMark/>
          </w:tcPr>
          <w:p w14:paraId="1A5A53FA"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UNDP</w:t>
            </w:r>
          </w:p>
        </w:tc>
        <w:tc>
          <w:tcPr>
            <w:tcW w:w="622" w:type="dxa"/>
            <w:vMerge w:val="restart"/>
            <w:tcBorders>
              <w:top w:val="nil"/>
              <w:left w:val="single" w:sz="8" w:space="0" w:color="auto"/>
              <w:bottom w:val="double" w:sz="6" w:space="0" w:color="000000"/>
              <w:right w:val="single" w:sz="8" w:space="0" w:color="auto"/>
            </w:tcBorders>
            <w:shd w:val="clear" w:color="auto" w:fill="auto"/>
            <w:vAlign w:val="center"/>
            <w:hideMark/>
          </w:tcPr>
          <w:p w14:paraId="16545CEA" w14:textId="6AC66D76"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04000</w:t>
            </w:r>
          </w:p>
        </w:tc>
        <w:tc>
          <w:tcPr>
            <w:tcW w:w="632" w:type="dxa"/>
            <w:vMerge w:val="restart"/>
            <w:tcBorders>
              <w:top w:val="nil"/>
              <w:left w:val="single" w:sz="8" w:space="0" w:color="auto"/>
              <w:bottom w:val="double" w:sz="6" w:space="0" w:color="000000"/>
              <w:right w:val="single" w:sz="8" w:space="0" w:color="auto"/>
            </w:tcBorders>
            <w:shd w:val="clear" w:color="auto" w:fill="auto"/>
            <w:vAlign w:val="center"/>
            <w:hideMark/>
          </w:tcPr>
          <w:p w14:paraId="3D7D2E3C"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TRAC</w:t>
            </w:r>
          </w:p>
        </w:tc>
        <w:tc>
          <w:tcPr>
            <w:tcW w:w="901" w:type="dxa"/>
            <w:tcBorders>
              <w:top w:val="nil"/>
              <w:left w:val="nil"/>
              <w:bottom w:val="single" w:sz="8" w:space="0" w:color="auto"/>
              <w:right w:val="single" w:sz="8" w:space="0" w:color="auto"/>
            </w:tcBorders>
            <w:shd w:val="clear" w:color="auto" w:fill="auto"/>
            <w:noWrap/>
            <w:vAlign w:val="center"/>
            <w:hideMark/>
          </w:tcPr>
          <w:p w14:paraId="06639A9A"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bCs/>
                <w:color w:val="000000"/>
                <w:sz w:val="16"/>
                <w:szCs w:val="16"/>
              </w:rPr>
              <w:t>71600</w:t>
            </w:r>
          </w:p>
        </w:tc>
        <w:tc>
          <w:tcPr>
            <w:tcW w:w="1186" w:type="dxa"/>
            <w:tcBorders>
              <w:top w:val="nil"/>
              <w:left w:val="nil"/>
              <w:bottom w:val="single" w:sz="8" w:space="0" w:color="auto"/>
              <w:right w:val="single" w:sz="8" w:space="0" w:color="auto"/>
            </w:tcBorders>
            <w:shd w:val="clear" w:color="auto" w:fill="auto"/>
            <w:vAlign w:val="center"/>
            <w:hideMark/>
          </w:tcPr>
          <w:p w14:paraId="362EC184" w14:textId="77777777" w:rsidR="001F45CE" w:rsidRPr="00913CCF" w:rsidRDefault="001F45CE" w:rsidP="001F45CE">
            <w:pPr>
              <w:spacing w:after="0"/>
              <w:jc w:val="left"/>
              <w:rPr>
                <w:rFonts w:eastAsia="Times New Roman" w:cs="Calibri"/>
                <w:color w:val="000000"/>
                <w:sz w:val="16"/>
                <w:szCs w:val="16"/>
              </w:rPr>
            </w:pPr>
            <w:r w:rsidRPr="00913CCF">
              <w:rPr>
                <w:rFonts w:eastAsia="Times New Roman" w:cs="Calibri"/>
                <w:bCs/>
                <w:color w:val="000000"/>
                <w:sz w:val="16"/>
                <w:szCs w:val="16"/>
              </w:rPr>
              <w:t>Travel</w:t>
            </w:r>
          </w:p>
        </w:tc>
        <w:tc>
          <w:tcPr>
            <w:tcW w:w="1155" w:type="dxa"/>
            <w:tcBorders>
              <w:top w:val="nil"/>
              <w:left w:val="nil"/>
              <w:bottom w:val="single" w:sz="8" w:space="0" w:color="auto"/>
              <w:right w:val="single" w:sz="8" w:space="0" w:color="auto"/>
            </w:tcBorders>
            <w:shd w:val="clear" w:color="auto" w:fill="auto"/>
            <w:noWrap/>
            <w:vAlign w:val="center"/>
            <w:hideMark/>
          </w:tcPr>
          <w:p w14:paraId="3AC2A7F1"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2,000</w:t>
            </w:r>
          </w:p>
        </w:tc>
        <w:tc>
          <w:tcPr>
            <w:tcW w:w="1010" w:type="dxa"/>
            <w:tcBorders>
              <w:top w:val="nil"/>
              <w:left w:val="nil"/>
              <w:bottom w:val="single" w:sz="8" w:space="0" w:color="auto"/>
              <w:right w:val="single" w:sz="8" w:space="0" w:color="auto"/>
            </w:tcBorders>
            <w:shd w:val="clear" w:color="auto" w:fill="auto"/>
            <w:noWrap/>
            <w:vAlign w:val="center"/>
            <w:hideMark/>
          </w:tcPr>
          <w:p w14:paraId="58B18ADC"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2,000</w:t>
            </w:r>
          </w:p>
        </w:tc>
        <w:tc>
          <w:tcPr>
            <w:tcW w:w="938" w:type="dxa"/>
            <w:tcBorders>
              <w:top w:val="nil"/>
              <w:left w:val="nil"/>
              <w:bottom w:val="single" w:sz="8" w:space="0" w:color="auto"/>
              <w:right w:val="single" w:sz="8" w:space="0" w:color="auto"/>
            </w:tcBorders>
            <w:shd w:val="clear" w:color="auto" w:fill="auto"/>
            <w:noWrap/>
            <w:vAlign w:val="center"/>
            <w:hideMark/>
          </w:tcPr>
          <w:p w14:paraId="2E29109C"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2,000</w:t>
            </w:r>
          </w:p>
        </w:tc>
        <w:tc>
          <w:tcPr>
            <w:tcW w:w="938" w:type="dxa"/>
            <w:tcBorders>
              <w:top w:val="nil"/>
              <w:left w:val="nil"/>
              <w:bottom w:val="single" w:sz="8" w:space="0" w:color="auto"/>
              <w:right w:val="single" w:sz="8" w:space="0" w:color="auto"/>
            </w:tcBorders>
            <w:shd w:val="clear" w:color="auto" w:fill="auto"/>
            <w:noWrap/>
            <w:vAlign w:val="center"/>
            <w:hideMark/>
          </w:tcPr>
          <w:p w14:paraId="786EFFB8"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2,000</w:t>
            </w:r>
          </w:p>
        </w:tc>
        <w:tc>
          <w:tcPr>
            <w:tcW w:w="938" w:type="dxa"/>
            <w:tcBorders>
              <w:top w:val="nil"/>
              <w:left w:val="nil"/>
              <w:bottom w:val="single" w:sz="8" w:space="0" w:color="auto"/>
              <w:right w:val="single" w:sz="8" w:space="0" w:color="auto"/>
            </w:tcBorders>
            <w:shd w:val="clear" w:color="auto" w:fill="auto"/>
            <w:noWrap/>
            <w:vAlign w:val="center"/>
            <w:hideMark/>
          </w:tcPr>
          <w:p w14:paraId="555527E2"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2,000</w:t>
            </w:r>
          </w:p>
        </w:tc>
        <w:tc>
          <w:tcPr>
            <w:tcW w:w="938" w:type="dxa"/>
            <w:tcBorders>
              <w:top w:val="nil"/>
              <w:left w:val="nil"/>
              <w:bottom w:val="single" w:sz="8" w:space="0" w:color="auto"/>
              <w:right w:val="single" w:sz="8" w:space="0" w:color="auto"/>
            </w:tcBorders>
            <w:shd w:val="clear" w:color="auto" w:fill="auto"/>
            <w:vAlign w:val="center"/>
            <w:hideMark/>
          </w:tcPr>
          <w:p w14:paraId="3EE7F4A0"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2,000</w:t>
            </w:r>
          </w:p>
        </w:tc>
        <w:tc>
          <w:tcPr>
            <w:tcW w:w="1372" w:type="dxa"/>
            <w:tcBorders>
              <w:top w:val="nil"/>
              <w:left w:val="nil"/>
              <w:bottom w:val="single" w:sz="8" w:space="0" w:color="auto"/>
              <w:right w:val="single" w:sz="8" w:space="0" w:color="auto"/>
            </w:tcBorders>
            <w:shd w:val="clear" w:color="auto" w:fill="auto"/>
            <w:noWrap/>
            <w:vAlign w:val="center"/>
            <w:hideMark/>
          </w:tcPr>
          <w:p w14:paraId="63A06AB3"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12,000</w:t>
            </w:r>
          </w:p>
        </w:tc>
        <w:tc>
          <w:tcPr>
            <w:tcW w:w="690" w:type="dxa"/>
            <w:tcBorders>
              <w:top w:val="nil"/>
              <w:left w:val="nil"/>
              <w:bottom w:val="single" w:sz="8" w:space="0" w:color="auto"/>
              <w:right w:val="single" w:sz="8" w:space="0" w:color="auto"/>
            </w:tcBorders>
            <w:shd w:val="clear" w:color="auto" w:fill="auto"/>
            <w:vAlign w:val="center"/>
            <w:hideMark/>
          </w:tcPr>
          <w:p w14:paraId="1C2A474C"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38</w:t>
            </w:r>
          </w:p>
        </w:tc>
      </w:tr>
      <w:tr w:rsidR="001F45CE" w:rsidRPr="00913CCF" w14:paraId="1E4A475B" w14:textId="77777777" w:rsidTr="004205FD">
        <w:trPr>
          <w:trHeight w:val="225"/>
        </w:trPr>
        <w:tc>
          <w:tcPr>
            <w:tcW w:w="1354" w:type="dxa"/>
            <w:vMerge/>
            <w:tcBorders>
              <w:top w:val="nil"/>
              <w:left w:val="single" w:sz="8" w:space="0" w:color="000000"/>
              <w:bottom w:val="double" w:sz="6" w:space="0" w:color="000000"/>
              <w:right w:val="single" w:sz="8" w:space="0" w:color="auto"/>
            </w:tcBorders>
            <w:shd w:val="clear" w:color="auto" w:fill="auto"/>
            <w:vAlign w:val="center"/>
            <w:hideMark/>
          </w:tcPr>
          <w:p w14:paraId="52DA1789"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nil"/>
              <w:left w:val="single" w:sz="8" w:space="0" w:color="auto"/>
              <w:bottom w:val="double" w:sz="6" w:space="0" w:color="000000"/>
              <w:right w:val="single" w:sz="8" w:space="0" w:color="auto"/>
            </w:tcBorders>
            <w:shd w:val="clear" w:color="auto" w:fill="auto"/>
            <w:vAlign w:val="center"/>
            <w:hideMark/>
          </w:tcPr>
          <w:p w14:paraId="13C5B80A"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2332263C"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55F19407"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single" w:sz="8" w:space="0" w:color="auto"/>
              <w:right w:val="single" w:sz="8" w:space="0" w:color="auto"/>
            </w:tcBorders>
            <w:shd w:val="clear" w:color="auto" w:fill="auto"/>
            <w:noWrap/>
            <w:vAlign w:val="center"/>
            <w:hideMark/>
          </w:tcPr>
          <w:p w14:paraId="2FC8AE48"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bCs/>
                <w:color w:val="000000"/>
                <w:sz w:val="16"/>
                <w:szCs w:val="16"/>
              </w:rPr>
              <w:t>71400</w:t>
            </w:r>
          </w:p>
        </w:tc>
        <w:tc>
          <w:tcPr>
            <w:tcW w:w="1186" w:type="dxa"/>
            <w:tcBorders>
              <w:top w:val="nil"/>
              <w:left w:val="nil"/>
              <w:bottom w:val="single" w:sz="8" w:space="0" w:color="auto"/>
              <w:right w:val="single" w:sz="8" w:space="0" w:color="auto"/>
            </w:tcBorders>
            <w:shd w:val="clear" w:color="auto" w:fill="auto"/>
            <w:vAlign w:val="center"/>
            <w:hideMark/>
          </w:tcPr>
          <w:p w14:paraId="40D2BC8C" w14:textId="77777777" w:rsidR="001F45CE" w:rsidRPr="00913CCF" w:rsidRDefault="001F45CE" w:rsidP="001F45CE">
            <w:pPr>
              <w:spacing w:after="0"/>
              <w:jc w:val="left"/>
              <w:rPr>
                <w:rFonts w:eastAsia="Times New Roman" w:cs="Calibri"/>
                <w:color w:val="000000"/>
                <w:sz w:val="16"/>
                <w:szCs w:val="16"/>
              </w:rPr>
            </w:pPr>
            <w:r w:rsidRPr="00913CCF">
              <w:rPr>
                <w:rFonts w:eastAsia="Times New Roman" w:cs="Calibri"/>
                <w:color w:val="000000"/>
                <w:sz w:val="16"/>
                <w:szCs w:val="16"/>
              </w:rPr>
              <w:t>Contr. serv. Ind.</w:t>
            </w:r>
          </w:p>
        </w:tc>
        <w:tc>
          <w:tcPr>
            <w:tcW w:w="1155" w:type="dxa"/>
            <w:tcBorders>
              <w:top w:val="nil"/>
              <w:left w:val="nil"/>
              <w:bottom w:val="single" w:sz="8" w:space="0" w:color="auto"/>
              <w:right w:val="single" w:sz="8" w:space="0" w:color="auto"/>
            </w:tcBorders>
            <w:shd w:val="clear" w:color="auto" w:fill="auto"/>
            <w:noWrap/>
            <w:vAlign w:val="center"/>
            <w:hideMark/>
          </w:tcPr>
          <w:p w14:paraId="6F983022"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1010" w:type="dxa"/>
            <w:tcBorders>
              <w:top w:val="nil"/>
              <w:left w:val="nil"/>
              <w:bottom w:val="single" w:sz="8" w:space="0" w:color="auto"/>
              <w:right w:val="single" w:sz="8" w:space="0" w:color="auto"/>
            </w:tcBorders>
            <w:shd w:val="clear" w:color="auto" w:fill="auto"/>
            <w:noWrap/>
            <w:vAlign w:val="center"/>
            <w:hideMark/>
          </w:tcPr>
          <w:p w14:paraId="3C7B6A0F"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7,500</w:t>
            </w:r>
          </w:p>
        </w:tc>
        <w:tc>
          <w:tcPr>
            <w:tcW w:w="938" w:type="dxa"/>
            <w:tcBorders>
              <w:top w:val="nil"/>
              <w:left w:val="nil"/>
              <w:bottom w:val="single" w:sz="8" w:space="0" w:color="auto"/>
              <w:right w:val="single" w:sz="8" w:space="0" w:color="auto"/>
            </w:tcBorders>
            <w:shd w:val="clear" w:color="auto" w:fill="auto"/>
            <w:noWrap/>
            <w:vAlign w:val="center"/>
            <w:hideMark/>
          </w:tcPr>
          <w:p w14:paraId="65A095E4"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7,500</w:t>
            </w:r>
          </w:p>
        </w:tc>
        <w:tc>
          <w:tcPr>
            <w:tcW w:w="938" w:type="dxa"/>
            <w:tcBorders>
              <w:top w:val="nil"/>
              <w:left w:val="nil"/>
              <w:bottom w:val="single" w:sz="8" w:space="0" w:color="auto"/>
              <w:right w:val="single" w:sz="8" w:space="0" w:color="auto"/>
            </w:tcBorders>
            <w:shd w:val="clear" w:color="auto" w:fill="auto"/>
            <w:noWrap/>
            <w:vAlign w:val="center"/>
            <w:hideMark/>
          </w:tcPr>
          <w:p w14:paraId="5CA340DD"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7,500</w:t>
            </w:r>
          </w:p>
        </w:tc>
        <w:tc>
          <w:tcPr>
            <w:tcW w:w="938" w:type="dxa"/>
            <w:tcBorders>
              <w:top w:val="nil"/>
              <w:left w:val="nil"/>
              <w:bottom w:val="single" w:sz="8" w:space="0" w:color="auto"/>
              <w:right w:val="single" w:sz="8" w:space="0" w:color="auto"/>
            </w:tcBorders>
            <w:shd w:val="clear" w:color="auto" w:fill="auto"/>
            <w:noWrap/>
            <w:vAlign w:val="center"/>
            <w:hideMark/>
          </w:tcPr>
          <w:p w14:paraId="7DFC53D8"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7,500</w:t>
            </w:r>
          </w:p>
        </w:tc>
        <w:tc>
          <w:tcPr>
            <w:tcW w:w="938" w:type="dxa"/>
            <w:tcBorders>
              <w:top w:val="nil"/>
              <w:left w:val="nil"/>
              <w:bottom w:val="single" w:sz="8" w:space="0" w:color="auto"/>
              <w:right w:val="single" w:sz="8" w:space="0" w:color="auto"/>
            </w:tcBorders>
            <w:shd w:val="clear" w:color="auto" w:fill="auto"/>
            <w:vAlign w:val="center"/>
            <w:hideMark/>
          </w:tcPr>
          <w:p w14:paraId="54298572"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7,500</w:t>
            </w:r>
          </w:p>
        </w:tc>
        <w:tc>
          <w:tcPr>
            <w:tcW w:w="1372" w:type="dxa"/>
            <w:tcBorders>
              <w:top w:val="nil"/>
              <w:left w:val="nil"/>
              <w:bottom w:val="single" w:sz="8" w:space="0" w:color="auto"/>
              <w:right w:val="single" w:sz="8" w:space="0" w:color="auto"/>
            </w:tcBorders>
            <w:shd w:val="clear" w:color="auto" w:fill="auto"/>
            <w:noWrap/>
            <w:vAlign w:val="center"/>
            <w:hideMark/>
          </w:tcPr>
          <w:p w14:paraId="57F1498B"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37,500</w:t>
            </w:r>
          </w:p>
        </w:tc>
        <w:tc>
          <w:tcPr>
            <w:tcW w:w="690" w:type="dxa"/>
            <w:tcBorders>
              <w:top w:val="nil"/>
              <w:left w:val="nil"/>
              <w:bottom w:val="single" w:sz="8" w:space="0" w:color="auto"/>
              <w:right w:val="single" w:sz="8" w:space="0" w:color="auto"/>
            </w:tcBorders>
            <w:shd w:val="clear" w:color="auto" w:fill="auto"/>
            <w:vAlign w:val="center"/>
            <w:hideMark/>
          </w:tcPr>
          <w:p w14:paraId="5E9F3F3F"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39</w:t>
            </w:r>
          </w:p>
        </w:tc>
      </w:tr>
      <w:tr w:rsidR="001F45CE" w:rsidRPr="00913CCF" w14:paraId="5D45A5D6" w14:textId="77777777" w:rsidTr="004205FD">
        <w:trPr>
          <w:trHeight w:val="293"/>
        </w:trPr>
        <w:tc>
          <w:tcPr>
            <w:tcW w:w="1354" w:type="dxa"/>
            <w:vMerge/>
            <w:tcBorders>
              <w:top w:val="nil"/>
              <w:left w:val="single" w:sz="8" w:space="0" w:color="000000"/>
              <w:bottom w:val="double" w:sz="6" w:space="0" w:color="000000"/>
              <w:right w:val="single" w:sz="8" w:space="0" w:color="auto"/>
            </w:tcBorders>
            <w:shd w:val="clear" w:color="auto" w:fill="auto"/>
            <w:vAlign w:val="center"/>
            <w:hideMark/>
          </w:tcPr>
          <w:p w14:paraId="22A01E04"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nil"/>
              <w:left w:val="single" w:sz="8" w:space="0" w:color="auto"/>
              <w:bottom w:val="double" w:sz="6" w:space="0" w:color="000000"/>
              <w:right w:val="single" w:sz="8" w:space="0" w:color="auto"/>
            </w:tcBorders>
            <w:shd w:val="clear" w:color="auto" w:fill="auto"/>
            <w:vAlign w:val="center"/>
            <w:hideMark/>
          </w:tcPr>
          <w:p w14:paraId="73AC3C84"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319A9595"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126931E6"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double" w:sz="6" w:space="0" w:color="auto"/>
              <w:right w:val="single" w:sz="8" w:space="0" w:color="auto"/>
            </w:tcBorders>
            <w:shd w:val="clear" w:color="auto" w:fill="auto"/>
            <w:noWrap/>
            <w:vAlign w:val="center"/>
            <w:hideMark/>
          </w:tcPr>
          <w:p w14:paraId="68AC03F1"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bCs/>
                <w:color w:val="000000"/>
                <w:sz w:val="16"/>
                <w:szCs w:val="16"/>
              </w:rPr>
              <w:t>72200</w:t>
            </w:r>
          </w:p>
        </w:tc>
        <w:tc>
          <w:tcPr>
            <w:tcW w:w="1186" w:type="dxa"/>
            <w:tcBorders>
              <w:top w:val="nil"/>
              <w:left w:val="nil"/>
              <w:bottom w:val="double" w:sz="6" w:space="0" w:color="auto"/>
              <w:right w:val="single" w:sz="8" w:space="0" w:color="auto"/>
            </w:tcBorders>
            <w:shd w:val="clear" w:color="auto" w:fill="auto"/>
            <w:vAlign w:val="center"/>
            <w:hideMark/>
          </w:tcPr>
          <w:p w14:paraId="2A202804" w14:textId="77777777" w:rsidR="001F45CE" w:rsidRPr="00913CCF" w:rsidRDefault="001F45CE" w:rsidP="001F45CE">
            <w:pPr>
              <w:spacing w:after="0"/>
              <w:jc w:val="left"/>
              <w:rPr>
                <w:rFonts w:eastAsia="Times New Roman" w:cs="Calibri"/>
                <w:color w:val="000000"/>
                <w:sz w:val="16"/>
                <w:szCs w:val="16"/>
              </w:rPr>
            </w:pPr>
            <w:r w:rsidRPr="00913CCF">
              <w:rPr>
                <w:rFonts w:eastAsia="Times New Roman" w:cs="Calibri"/>
                <w:color w:val="000000"/>
                <w:sz w:val="16"/>
                <w:szCs w:val="16"/>
              </w:rPr>
              <w:t>Equip. Furniture</w:t>
            </w:r>
          </w:p>
        </w:tc>
        <w:tc>
          <w:tcPr>
            <w:tcW w:w="1155" w:type="dxa"/>
            <w:tcBorders>
              <w:top w:val="nil"/>
              <w:left w:val="nil"/>
              <w:bottom w:val="double" w:sz="6" w:space="0" w:color="auto"/>
              <w:right w:val="single" w:sz="8" w:space="0" w:color="auto"/>
            </w:tcBorders>
            <w:shd w:val="clear" w:color="auto" w:fill="auto"/>
            <w:noWrap/>
            <w:vAlign w:val="center"/>
            <w:hideMark/>
          </w:tcPr>
          <w:p w14:paraId="2EABF7C6" w14:textId="315BC0FD" w:rsidR="001F45CE" w:rsidRPr="00913CCF" w:rsidRDefault="001F45CE" w:rsidP="001F45CE">
            <w:pPr>
              <w:spacing w:after="0"/>
              <w:jc w:val="center"/>
              <w:rPr>
                <w:rFonts w:eastAsia="Times New Roman" w:cs="Calibri"/>
                <w:color w:val="000000"/>
                <w:sz w:val="16"/>
                <w:szCs w:val="16"/>
              </w:rPr>
            </w:pPr>
            <w:r w:rsidRPr="00EF6D8E">
              <w:rPr>
                <w:rFonts w:eastAsia="Times New Roman" w:cs="Calibri"/>
                <w:color w:val="000000"/>
                <w:sz w:val="16"/>
                <w:szCs w:val="16"/>
              </w:rPr>
              <w:t>16,000</w:t>
            </w:r>
          </w:p>
        </w:tc>
        <w:tc>
          <w:tcPr>
            <w:tcW w:w="1010" w:type="dxa"/>
            <w:tcBorders>
              <w:top w:val="nil"/>
              <w:left w:val="nil"/>
              <w:bottom w:val="double" w:sz="6" w:space="0" w:color="auto"/>
              <w:right w:val="single" w:sz="8" w:space="0" w:color="auto"/>
            </w:tcBorders>
            <w:shd w:val="clear" w:color="auto" w:fill="auto"/>
            <w:noWrap/>
            <w:vAlign w:val="center"/>
            <w:hideMark/>
          </w:tcPr>
          <w:p w14:paraId="164D2400" w14:textId="28077058" w:rsidR="001F45CE" w:rsidRPr="00913CCF" w:rsidRDefault="001F45CE" w:rsidP="001F45CE">
            <w:pPr>
              <w:spacing w:after="0"/>
              <w:jc w:val="center"/>
              <w:rPr>
                <w:rFonts w:eastAsia="Times New Roman" w:cs="Calibri"/>
                <w:color w:val="000000"/>
                <w:sz w:val="16"/>
                <w:szCs w:val="16"/>
              </w:rPr>
            </w:pPr>
            <w:r w:rsidRPr="00EF6D8E">
              <w:rPr>
                <w:rFonts w:eastAsia="Times New Roman" w:cs="Calibri"/>
                <w:color w:val="000000"/>
                <w:sz w:val="16"/>
                <w:szCs w:val="16"/>
              </w:rPr>
              <w:t>2,000</w:t>
            </w:r>
          </w:p>
        </w:tc>
        <w:tc>
          <w:tcPr>
            <w:tcW w:w="938" w:type="dxa"/>
            <w:tcBorders>
              <w:top w:val="nil"/>
              <w:left w:val="nil"/>
              <w:bottom w:val="double" w:sz="6" w:space="0" w:color="auto"/>
              <w:right w:val="single" w:sz="8" w:space="0" w:color="auto"/>
            </w:tcBorders>
            <w:shd w:val="clear" w:color="auto" w:fill="auto"/>
            <w:noWrap/>
            <w:vAlign w:val="center"/>
            <w:hideMark/>
          </w:tcPr>
          <w:p w14:paraId="286AC8E7" w14:textId="406DAFEB" w:rsidR="001F45CE" w:rsidRPr="00913CCF" w:rsidRDefault="001F45CE" w:rsidP="001F45CE">
            <w:pPr>
              <w:spacing w:after="0"/>
              <w:jc w:val="center"/>
              <w:rPr>
                <w:rFonts w:eastAsia="Times New Roman" w:cs="Calibri"/>
                <w:color w:val="000000"/>
                <w:sz w:val="16"/>
                <w:szCs w:val="16"/>
              </w:rPr>
            </w:pPr>
            <w:r w:rsidRPr="00EF6D8E">
              <w:rPr>
                <w:rFonts w:eastAsia="Times New Roman" w:cs="Calibri"/>
                <w:color w:val="000000"/>
                <w:sz w:val="16"/>
                <w:szCs w:val="16"/>
              </w:rPr>
              <w:t>0</w:t>
            </w:r>
          </w:p>
        </w:tc>
        <w:tc>
          <w:tcPr>
            <w:tcW w:w="938" w:type="dxa"/>
            <w:tcBorders>
              <w:top w:val="nil"/>
              <w:left w:val="nil"/>
              <w:bottom w:val="double" w:sz="6" w:space="0" w:color="auto"/>
              <w:right w:val="single" w:sz="8" w:space="0" w:color="auto"/>
            </w:tcBorders>
            <w:shd w:val="clear" w:color="auto" w:fill="auto"/>
            <w:noWrap/>
            <w:vAlign w:val="center"/>
            <w:hideMark/>
          </w:tcPr>
          <w:p w14:paraId="23AA0289" w14:textId="4B029CF1" w:rsidR="001F45CE" w:rsidRPr="00913CCF" w:rsidRDefault="001F45CE" w:rsidP="001F45CE">
            <w:pPr>
              <w:spacing w:after="0"/>
              <w:jc w:val="center"/>
              <w:rPr>
                <w:rFonts w:eastAsia="Times New Roman" w:cs="Calibri"/>
                <w:color w:val="000000"/>
                <w:sz w:val="16"/>
                <w:szCs w:val="16"/>
              </w:rPr>
            </w:pPr>
            <w:r w:rsidRPr="00EF6D8E">
              <w:rPr>
                <w:rFonts w:eastAsia="Times New Roman" w:cs="Calibri"/>
                <w:color w:val="000000"/>
                <w:sz w:val="16"/>
                <w:szCs w:val="16"/>
              </w:rPr>
              <w:t>0</w:t>
            </w:r>
          </w:p>
        </w:tc>
        <w:tc>
          <w:tcPr>
            <w:tcW w:w="938" w:type="dxa"/>
            <w:tcBorders>
              <w:top w:val="nil"/>
              <w:left w:val="nil"/>
              <w:bottom w:val="double" w:sz="6" w:space="0" w:color="auto"/>
              <w:right w:val="single" w:sz="8" w:space="0" w:color="auto"/>
            </w:tcBorders>
            <w:shd w:val="clear" w:color="auto" w:fill="auto"/>
            <w:noWrap/>
            <w:vAlign w:val="center"/>
            <w:hideMark/>
          </w:tcPr>
          <w:p w14:paraId="4C301996" w14:textId="3E4BA9D6" w:rsidR="001F45CE" w:rsidRPr="00913CCF" w:rsidRDefault="001F45CE" w:rsidP="001F45CE">
            <w:pPr>
              <w:spacing w:after="0"/>
              <w:jc w:val="center"/>
              <w:rPr>
                <w:rFonts w:eastAsia="Times New Roman" w:cs="Calibri"/>
                <w:color w:val="000000"/>
                <w:sz w:val="16"/>
                <w:szCs w:val="16"/>
              </w:rPr>
            </w:pPr>
            <w:r w:rsidRPr="00EF6D8E">
              <w:rPr>
                <w:rFonts w:eastAsia="Times New Roman" w:cs="Calibri"/>
                <w:color w:val="000000"/>
                <w:sz w:val="16"/>
                <w:szCs w:val="16"/>
              </w:rPr>
              <w:t>0</w:t>
            </w:r>
          </w:p>
        </w:tc>
        <w:tc>
          <w:tcPr>
            <w:tcW w:w="938" w:type="dxa"/>
            <w:tcBorders>
              <w:top w:val="nil"/>
              <w:left w:val="nil"/>
              <w:bottom w:val="double" w:sz="6" w:space="0" w:color="auto"/>
              <w:right w:val="single" w:sz="8" w:space="0" w:color="auto"/>
            </w:tcBorders>
            <w:shd w:val="clear" w:color="auto" w:fill="auto"/>
            <w:vAlign w:val="center"/>
            <w:hideMark/>
          </w:tcPr>
          <w:p w14:paraId="6C5264D5" w14:textId="77BF39E0" w:rsidR="001F45CE" w:rsidRPr="00913CCF" w:rsidRDefault="001F45CE" w:rsidP="001F45CE">
            <w:pPr>
              <w:spacing w:after="0"/>
              <w:jc w:val="center"/>
              <w:rPr>
                <w:rFonts w:eastAsia="Times New Roman" w:cs="Calibri"/>
                <w:color w:val="000000"/>
                <w:sz w:val="16"/>
                <w:szCs w:val="16"/>
              </w:rPr>
            </w:pPr>
            <w:r w:rsidRPr="00EF6D8E">
              <w:rPr>
                <w:rFonts w:eastAsia="Times New Roman" w:cs="Calibri"/>
                <w:color w:val="000000"/>
                <w:sz w:val="16"/>
                <w:szCs w:val="16"/>
              </w:rPr>
              <w:t>0</w:t>
            </w:r>
          </w:p>
        </w:tc>
        <w:tc>
          <w:tcPr>
            <w:tcW w:w="1372" w:type="dxa"/>
            <w:tcBorders>
              <w:top w:val="nil"/>
              <w:left w:val="nil"/>
              <w:bottom w:val="double" w:sz="6" w:space="0" w:color="auto"/>
              <w:right w:val="single" w:sz="8" w:space="0" w:color="auto"/>
            </w:tcBorders>
            <w:shd w:val="clear" w:color="auto" w:fill="auto"/>
            <w:noWrap/>
            <w:vAlign w:val="center"/>
            <w:hideMark/>
          </w:tcPr>
          <w:p w14:paraId="2FF33B50"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18,000</w:t>
            </w:r>
          </w:p>
        </w:tc>
        <w:tc>
          <w:tcPr>
            <w:tcW w:w="690" w:type="dxa"/>
            <w:tcBorders>
              <w:top w:val="nil"/>
              <w:left w:val="nil"/>
              <w:bottom w:val="single" w:sz="8" w:space="0" w:color="auto"/>
              <w:right w:val="single" w:sz="8" w:space="0" w:color="auto"/>
            </w:tcBorders>
            <w:shd w:val="clear" w:color="auto" w:fill="auto"/>
            <w:vAlign w:val="center"/>
            <w:hideMark/>
          </w:tcPr>
          <w:p w14:paraId="21373053"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40</w:t>
            </w:r>
          </w:p>
        </w:tc>
      </w:tr>
      <w:tr w:rsidR="001F45CE" w:rsidRPr="00913CCF" w14:paraId="0248C4E5" w14:textId="77777777" w:rsidTr="004205FD">
        <w:trPr>
          <w:trHeight w:val="300"/>
        </w:trPr>
        <w:tc>
          <w:tcPr>
            <w:tcW w:w="1354" w:type="dxa"/>
            <w:vMerge/>
            <w:tcBorders>
              <w:top w:val="nil"/>
              <w:left w:val="single" w:sz="8" w:space="0" w:color="000000"/>
              <w:bottom w:val="double" w:sz="6" w:space="0" w:color="000000"/>
              <w:right w:val="single" w:sz="8" w:space="0" w:color="auto"/>
            </w:tcBorders>
            <w:shd w:val="clear" w:color="auto" w:fill="auto"/>
            <w:vAlign w:val="center"/>
            <w:hideMark/>
          </w:tcPr>
          <w:p w14:paraId="53F7D9BC"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nil"/>
              <w:left w:val="single" w:sz="8" w:space="0" w:color="auto"/>
              <w:bottom w:val="double" w:sz="6" w:space="0" w:color="000000"/>
              <w:right w:val="single" w:sz="8" w:space="0" w:color="auto"/>
            </w:tcBorders>
            <w:shd w:val="clear" w:color="auto" w:fill="auto"/>
            <w:vAlign w:val="center"/>
            <w:hideMark/>
          </w:tcPr>
          <w:p w14:paraId="6668D6B7"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5F020704"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6BD40ACE"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double" w:sz="6" w:space="0" w:color="auto"/>
              <w:right w:val="single" w:sz="8" w:space="0" w:color="auto"/>
            </w:tcBorders>
            <w:shd w:val="clear" w:color="auto" w:fill="auto"/>
            <w:noWrap/>
            <w:vAlign w:val="center"/>
            <w:hideMark/>
          </w:tcPr>
          <w:p w14:paraId="40AF5F52"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 </w:t>
            </w:r>
          </w:p>
        </w:tc>
        <w:tc>
          <w:tcPr>
            <w:tcW w:w="1186" w:type="dxa"/>
            <w:tcBorders>
              <w:top w:val="nil"/>
              <w:left w:val="nil"/>
              <w:bottom w:val="double" w:sz="6" w:space="0" w:color="auto"/>
              <w:right w:val="single" w:sz="8" w:space="0" w:color="auto"/>
            </w:tcBorders>
            <w:shd w:val="clear" w:color="auto" w:fill="auto"/>
            <w:vAlign w:val="center"/>
            <w:hideMark/>
          </w:tcPr>
          <w:p w14:paraId="22E8A894" w14:textId="77777777" w:rsidR="001F45CE" w:rsidRPr="00913CCF" w:rsidRDefault="001F45CE" w:rsidP="001F45CE">
            <w:pPr>
              <w:spacing w:after="0"/>
              <w:jc w:val="left"/>
              <w:rPr>
                <w:rFonts w:eastAsia="Times New Roman" w:cs="Calibri"/>
                <w:b/>
                <w:bCs/>
                <w:color w:val="000000"/>
                <w:sz w:val="15"/>
                <w:szCs w:val="15"/>
              </w:rPr>
            </w:pPr>
            <w:r w:rsidRPr="00913CCF">
              <w:rPr>
                <w:rFonts w:eastAsia="Times New Roman" w:cs="Calibri"/>
                <w:b/>
                <w:bCs/>
                <w:color w:val="000000"/>
                <w:sz w:val="15"/>
                <w:szCs w:val="15"/>
              </w:rPr>
              <w:t>Sub-total Outcome 3</w:t>
            </w:r>
          </w:p>
        </w:tc>
        <w:tc>
          <w:tcPr>
            <w:tcW w:w="1155" w:type="dxa"/>
            <w:tcBorders>
              <w:top w:val="nil"/>
              <w:left w:val="nil"/>
              <w:bottom w:val="double" w:sz="6" w:space="0" w:color="auto"/>
              <w:right w:val="single" w:sz="8" w:space="0" w:color="auto"/>
            </w:tcBorders>
            <w:shd w:val="clear" w:color="auto" w:fill="auto"/>
            <w:noWrap/>
            <w:vAlign w:val="center"/>
            <w:hideMark/>
          </w:tcPr>
          <w:p w14:paraId="5297FCCC" w14:textId="7E1C3CFC" w:rsidR="001F45CE" w:rsidRPr="00913CCF"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18,000</w:t>
            </w:r>
          </w:p>
        </w:tc>
        <w:tc>
          <w:tcPr>
            <w:tcW w:w="1010" w:type="dxa"/>
            <w:tcBorders>
              <w:top w:val="nil"/>
              <w:left w:val="nil"/>
              <w:bottom w:val="double" w:sz="6" w:space="0" w:color="auto"/>
              <w:right w:val="single" w:sz="8" w:space="0" w:color="auto"/>
            </w:tcBorders>
            <w:shd w:val="clear" w:color="auto" w:fill="auto"/>
            <w:noWrap/>
            <w:vAlign w:val="center"/>
            <w:hideMark/>
          </w:tcPr>
          <w:p w14:paraId="2BC9FF71" w14:textId="1C5C7E12" w:rsidR="001F45CE" w:rsidRPr="00913CCF"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11,500</w:t>
            </w:r>
          </w:p>
        </w:tc>
        <w:tc>
          <w:tcPr>
            <w:tcW w:w="938" w:type="dxa"/>
            <w:tcBorders>
              <w:top w:val="nil"/>
              <w:left w:val="nil"/>
              <w:bottom w:val="double" w:sz="6" w:space="0" w:color="auto"/>
              <w:right w:val="single" w:sz="8" w:space="0" w:color="auto"/>
            </w:tcBorders>
            <w:shd w:val="clear" w:color="auto" w:fill="auto"/>
            <w:noWrap/>
            <w:vAlign w:val="center"/>
            <w:hideMark/>
          </w:tcPr>
          <w:p w14:paraId="7F596A03" w14:textId="235D2905" w:rsidR="001F45CE" w:rsidRPr="00913CCF"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9,500</w:t>
            </w:r>
          </w:p>
        </w:tc>
        <w:tc>
          <w:tcPr>
            <w:tcW w:w="938" w:type="dxa"/>
            <w:tcBorders>
              <w:top w:val="nil"/>
              <w:left w:val="nil"/>
              <w:bottom w:val="double" w:sz="6" w:space="0" w:color="auto"/>
              <w:right w:val="single" w:sz="8" w:space="0" w:color="auto"/>
            </w:tcBorders>
            <w:shd w:val="clear" w:color="auto" w:fill="auto"/>
            <w:noWrap/>
            <w:vAlign w:val="center"/>
            <w:hideMark/>
          </w:tcPr>
          <w:p w14:paraId="2444FEBC" w14:textId="47FB6C4C" w:rsidR="001F45CE" w:rsidRPr="00913CCF"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9,500</w:t>
            </w:r>
          </w:p>
        </w:tc>
        <w:tc>
          <w:tcPr>
            <w:tcW w:w="938" w:type="dxa"/>
            <w:tcBorders>
              <w:top w:val="nil"/>
              <w:left w:val="nil"/>
              <w:bottom w:val="double" w:sz="6" w:space="0" w:color="auto"/>
              <w:right w:val="single" w:sz="8" w:space="0" w:color="auto"/>
            </w:tcBorders>
            <w:shd w:val="clear" w:color="auto" w:fill="auto"/>
            <w:noWrap/>
            <w:vAlign w:val="center"/>
            <w:hideMark/>
          </w:tcPr>
          <w:p w14:paraId="05ED3FB4" w14:textId="13768464" w:rsidR="001F45CE" w:rsidRPr="00913CCF"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9,500</w:t>
            </w:r>
          </w:p>
        </w:tc>
        <w:tc>
          <w:tcPr>
            <w:tcW w:w="938" w:type="dxa"/>
            <w:tcBorders>
              <w:top w:val="nil"/>
              <w:left w:val="nil"/>
              <w:bottom w:val="double" w:sz="6" w:space="0" w:color="auto"/>
              <w:right w:val="single" w:sz="8" w:space="0" w:color="auto"/>
            </w:tcBorders>
            <w:shd w:val="clear" w:color="auto" w:fill="auto"/>
            <w:vAlign w:val="center"/>
            <w:hideMark/>
          </w:tcPr>
          <w:p w14:paraId="79B181DA" w14:textId="44C1AF91" w:rsidR="001F45CE" w:rsidRPr="00913CCF"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9,500</w:t>
            </w:r>
          </w:p>
        </w:tc>
        <w:tc>
          <w:tcPr>
            <w:tcW w:w="1372" w:type="dxa"/>
            <w:tcBorders>
              <w:top w:val="nil"/>
              <w:left w:val="nil"/>
              <w:bottom w:val="double" w:sz="6" w:space="0" w:color="auto"/>
              <w:right w:val="single" w:sz="8" w:space="0" w:color="auto"/>
            </w:tcBorders>
            <w:shd w:val="clear" w:color="auto" w:fill="auto"/>
            <w:noWrap/>
            <w:vAlign w:val="center"/>
            <w:hideMark/>
          </w:tcPr>
          <w:p w14:paraId="29CF8182"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67,500</w:t>
            </w:r>
          </w:p>
        </w:tc>
        <w:tc>
          <w:tcPr>
            <w:tcW w:w="690" w:type="dxa"/>
            <w:tcBorders>
              <w:top w:val="nil"/>
              <w:left w:val="nil"/>
              <w:bottom w:val="double" w:sz="6" w:space="0" w:color="auto"/>
              <w:right w:val="single" w:sz="8" w:space="0" w:color="auto"/>
            </w:tcBorders>
            <w:shd w:val="clear" w:color="auto" w:fill="auto"/>
            <w:vAlign w:val="center"/>
            <w:hideMark/>
          </w:tcPr>
          <w:p w14:paraId="18A80EB4" w14:textId="77777777" w:rsidR="001F45CE" w:rsidRPr="00913CCF" w:rsidRDefault="001F45CE" w:rsidP="001F45CE">
            <w:pPr>
              <w:spacing w:after="0"/>
              <w:jc w:val="center"/>
              <w:rPr>
                <w:rFonts w:eastAsia="Times New Roman" w:cs="Calibri"/>
                <w:color w:val="000000"/>
                <w:sz w:val="14"/>
                <w:szCs w:val="14"/>
              </w:rPr>
            </w:pPr>
            <w:r w:rsidRPr="00913CCF">
              <w:rPr>
                <w:rFonts w:eastAsia="Times New Roman" w:cs="Calibri"/>
                <w:color w:val="000000"/>
                <w:sz w:val="14"/>
                <w:szCs w:val="14"/>
              </w:rPr>
              <w:t> </w:t>
            </w:r>
          </w:p>
        </w:tc>
      </w:tr>
      <w:tr w:rsidR="001F45CE" w:rsidRPr="00913CCF" w14:paraId="22BAE5F7" w14:textId="77777777" w:rsidTr="004205FD">
        <w:trPr>
          <w:trHeight w:val="252"/>
        </w:trPr>
        <w:tc>
          <w:tcPr>
            <w:tcW w:w="1354" w:type="dxa"/>
            <w:vMerge/>
            <w:tcBorders>
              <w:top w:val="nil"/>
              <w:left w:val="single" w:sz="8" w:space="0" w:color="000000"/>
              <w:bottom w:val="double" w:sz="6" w:space="0" w:color="000000"/>
              <w:right w:val="single" w:sz="8" w:space="0" w:color="auto"/>
            </w:tcBorders>
            <w:shd w:val="clear" w:color="auto" w:fill="auto"/>
            <w:vAlign w:val="center"/>
            <w:hideMark/>
          </w:tcPr>
          <w:p w14:paraId="3CB62CD4" w14:textId="77777777" w:rsidR="001F45CE" w:rsidRPr="00913CCF" w:rsidRDefault="001F45CE" w:rsidP="001F45CE">
            <w:pPr>
              <w:spacing w:after="0"/>
              <w:jc w:val="left"/>
              <w:rPr>
                <w:rFonts w:eastAsia="Times New Roman" w:cs="Calibri"/>
                <w:b/>
                <w:bCs/>
                <w:color w:val="000000"/>
                <w:sz w:val="16"/>
                <w:szCs w:val="16"/>
              </w:rPr>
            </w:pPr>
          </w:p>
        </w:tc>
        <w:tc>
          <w:tcPr>
            <w:tcW w:w="1266" w:type="dxa"/>
            <w:tcBorders>
              <w:top w:val="nil"/>
              <w:left w:val="nil"/>
              <w:bottom w:val="double" w:sz="6" w:space="0" w:color="000000"/>
              <w:right w:val="single" w:sz="8" w:space="0" w:color="auto"/>
            </w:tcBorders>
            <w:shd w:val="clear" w:color="auto" w:fill="auto"/>
            <w:vAlign w:val="center"/>
            <w:hideMark/>
          </w:tcPr>
          <w:p w14:paraId="33E29E3B" w14:textId="77777777" w:rsidR="001F45CE" w:rsidRPr="00913CCF" w:rsidRDefault="001F45CE" w:rsidP="001F45CE">
            <w:pPr>
              <w:spacing w:after="0"/>
              <w:jc w:val="left"/>
              <w:rPr>
                <w:rFonts w:eastAsia="Times New Roman" w:cs="Calibri"/>
                <w:b/>
                <w:bCs/>
                <w:color w:val="000000"/>
                <w:sz w:val="16"/>
                <w:szCs w:val="16"/>
              </w:rPr>
            </w:pPr>
            <w:r w:rsidRPr="00913CCF">
              <w:rPr>
                <w:rFonts w:eastAsia="Times New Roman" w:cs="Calibri"/>
                <w:b/>
                <w:bCs/>
                <w:color w:val="000000"/>
                <w:sz w:val="16"/>
                <w:szCs w:val="16"/>
              </w:rPr>
              <w:t> </w:t>
            </w:r>
          </w:p>
        </w:tc>
        <w:tc>
          <w:tcPr>
            <w:tcW w:w="622" w:type="dxa"/>
            <w:tcBorders>
              <w:top w:val="nil"/>
              <w:left w:val="nil"/>
              <w:bottom w:val="double" w:sz="6" w:space="0" w:color="auto"/>
              <w:right w:val="single" w:sz="8" w:space="0" w:color="auto"/>
            </w:tcBorders>
            <w:shd w:val="clear" w:color="auto" w:fill="auto"/>
            <w:vAlign w:val="center"/>
            <w:hideMark/>
          </w:tcPr>
          <w:p w14:paraId="17DD066B"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 </w:t>
            </w:r>
          </w:p>
        </w:tc>
        <w:tc>
          <w:tcPr>
            <w:tcW w:w="632" w:type="dxa"/>
            <w:tcBorders>
              <w:top w:val="nil"/>
              <w:left w:val="nil"/>
              <w:bottom w:val="double" w:sz="6" w:space="0" w:color="auto"/>
              <w:right w:val="single" w:sz="8" w:space="0" w:color="auto"/>
            </w:tcBorders>
            <w:shd w:val="clear" w:color="auto" w:fill="auto"/>
            <w:vAlign w:val="center"/>
            <w:hideMark/>
          </w:tcPr>
          <w:p w14:paraId="154BE734"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 </w:t>
            </w:r>
          </w:p>
        </w:tc>
        <w:tc>
          <w:tcPr>
            <w:tcW w:w="901" w:type="dxa"/>
            <w:tcBorders>
              <w:top w:val="nil"/>
              <w:left w:val="nil"/>
              <w:bottom w:val="double" w:sz="6" w:space="0" w:color="auto"/>
              <w:right w:val="single" w:sz="8" w:space="0" w:color="auto"/>
            </w:tcBorders>
            <w:shd w:val="clear" w:color="auto" w:fill="auto"/>
            <w:noWrap/>
            <w:vAlign w:val="center"/>
            <w:hideMark/>
          </w:tcPr>
          <w:p w14:paraId="1BF16F70"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 </w:t>
            </w:r>
          </w:p>
        </w:tc>
        <w:tc>
          <w:tcPr>
            <w:tcW w:w="1186" w:type="dxa"/>
            <w:tcBorders>
              <w:top w:val="nil"/>
              <w:left w:val="nil"/>
              <w:bottom w:val="double" w:sz="6" w:space="0" w:color="auto"/>
              <w:right w:val="single" w:sz="8" w:space="0" w:color="auto"/>
            </w:tcBorders>
            <w:shd w:val="clear" w:color="auto" w:fill="auto"/>
            <w:vAlign w:val="center"/>
            <w:hideMark/>
          </w:tcPr>
          <w:p w14:paraId="184CE259" w14:textId="77777777" w:rsidR="001F45CE" w:rsidRPr="00913CCF" w:rsidRDefault="001F45CE" w:rsidP="001F45CE">
            <w:pPr>
              <w:spacing w:after="0"/>
              <w:jc w:val="left"/>
              <w:rPr>
                <w:rFonts w:eastAsia="Times New Roman" w:cs="Calibri"/>
                <w:b/>
                <w:bCs/>
                <w:color w:val="000000"/>
                <w:sz w:val="16"/>
                <w:szCs w:val="16"/>
              </w:rPr>
            </w:pPr>
            <w:r w:rsidRPr="00913CCF">
              <w:rPr>
                <w:rFonts w:eastAsia="Times New Roman" w:cs="Calibri"/>
                <w:b/>
                <w:bCs/>
                <w:color w:val="000000"/>
                <w:sz w:val="16"/>
                <w:szCs w:val="16"/>
              </w:rPr>
              <w:t>Total Outcome 3</w:t>
            </w:r>
          </w:p>
        </w:tc>
        <w:tc>
          <w:tcPr>
            <w:tcW w:w="1155" w:type="dxa"/>
            <w:tcBorders>
              <w:top w:val="nil"/>
              <w:left w:val="nil"/>
              <w:bottom w:val="double" w:sz="6" w:space="0" w:color="auto"/>
              <w:right w:val="single" w:sz="8" w:space="0" w:color="auto"/>
            </w:tcBorders>
            <w:shd w:val="clear" w:color="auto" w:fill="auto"/>
            <w:noWrap/>
            <w:vAlign w:val="center"/>
            <w:hideMark/>
          </w:tcPr>
          <w:p w14:paraId="58942ED2"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59,675</w:t>
            </w:r>
          </w:p>
        </w:tc>
        <w:tc>
          <w:tcPr>
            <w:tcW w:w="1010" w:type="dxa"/>
            <w:tcBorders>
              <w:top w:val="nil"/>
              <w:left w:val="nil"/>
              <w:bottom w:val="double" w:sz="6" w:space="0" w:color="auto"/>
              <w:right w:val="single" w:sz="8" w:space="0" w:color="auto"/>
            </w:tcBorders>
            <w:shd w:val="clear" w:color="auto" w:fill="auto"/>
            <w:noWrap/>
            <w:vAlign w:val="center"/>
            <w:hideMark/>
          </w:tcPr>
          <w:p w14:paraId="47D51ADC" w14:textId="55793334" w:rsidR="001F45CE" w:rsidRPr="00EF6D8E"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176,170</w:t>
            </w:r>
          </w:p>
        </w:tc>
        <w:tc>
          <w:tcPr>
            <w:tcW w:w="938" w:type="dxa"/>
            <w:tcBorders>
              <w:top w:val="nil"/>
              <w:left w:val="nil"/>
              <w:bottom w:val="double" w:sz="6" w:space="0" w:color="auto"/>
              <w:right w:val="single" w:sz="8" w:space="0" w:color="auto"/>
            </w:tcBorders>
            <w:shd w:val="clear" w:color="auto" w:fill="auto"/>
            <w:noWrap/>
            <w:vAlign w:val="center"/>
            <w:hideMark/>
          </w:tcPr>
          <w:p w14:paraId="55744B54" w14:textId="25AE3074" w:rsidR="001F45CE" w:rsidRPr="00EF6D8E"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518,950</w:t>
            </w:r>
          </w:p>
        </w:tc>
        <w:tc>
          <w:tcPr>
            <w:tcW w:w="938" w:type="dxa"/>
            <w:tcBorders>
              <w:top w:val="nil"/>
              <w:left w:val="nil"/>
              <w:bottom w:val="double" w:sz="6" w:space="0" w:color="auto"/>
              <w:right w:val="single" w:sz="8" w:space="0" w:color="auto"/>
            </w:tcBorders>
            <w:shd w:val="clear" w:color="auto" w:fill="auto"/>
            <w:noWrap/>
            <w:vAlign w:val="center"/>
            <w:hideMark/>
          </w:tcPr>
          <w:p w14:paraId="697AB473" w14:textId="26858E76" w:rsidR="001F45CE" w:rsidRPr="00EF6D8E"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364,530</w:t>
            </w:r>
          </w:p>
        </w:tc>
        <w:tc>
          <w:tcPr>
            <w:tcW w:w="938" w:type="dxa"/>
            <w:tcBorders>
              <w:top w:val="nil"/>
              <w:left w:val="nil"/>
              <w:bottom w:val="double" w:sz="6" w:space="0" w:color="auto"/>
              <w:right w:val="single" w:sz="8" w:space="0" w:color="auto"/>
            </w:tcBorders>
            <w:shd w:val="clear" w:color="auto" w:fill="auto"/>
            <w:noWrap/>
            <w:vAlign w:val="center"/>
            <w:hideMark/>
          </w:tcPr>
          <w:p w14:paraId="23697EF0" w14:textId="6CB700CF" w:rsidR="001F45CE" w:rsidRPr="00EF6D8E"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186,390</w:t>
            </w:r>
          </w:p>
        </w:tc>
        <w:tc>
          <w:tcPr>
            <w:tcW w:w="938" w:type="dxa"/>
            <w:tcBorders>
              <w:top w:val="nil"/>
              <w:left w:val="nil"/>
              <w:bottom w:val="double" w:sz="6" w:space="0" w:color="auto"/>
              <w:right w:val="single" w:sz="8" w:space="0" w:color="auto"/>
            </w:tcBorders>
            <w:shd w:val="clear" w:color="auto" w:fill="auto"/>
            <w:noWrap/>
            <w:vAlign w:val="center"/>
            <w:hideMark/>
          </w:tcPr>
          <w:p w14:paraId="21378AE4" w14:textId="43A6EB07" w:rsidR="001F45CE" w:rsidRPr="00EF6D8E"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34,732</w:t>
            </w:r>
          </w:p>
        </w:tc>
        <w:tc>
          <w:tcPr>
            <w:tcW w:w="1372" w:type="dxa"/>
            <w:tcBorders>
              <w:top w:val="nil"/>
              <w:left w:val="nil"/>
              <w:bottom w:val="double" w:sz="6" w:space="0" w:color="auto"/>
              <w:right w:val="single" w:sz="8" w:space="0" w:color="auto"/>
            </w:tcBorders>
            <w:shd w:val="clear" w:color="auto" w:fill="auto"/>
            <w:noWrap/>
            <w:vAlign w:val="center"/>
            <w:hideMark/>
          </w:tcPr>
          <w:p w14:paraId="6AD80E2A" w14:textId="75933FAF" w:rsidR="001F45CE" w:rsidRPr="00EF6D8E"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1,340,447</w:t>
            </w:r>
          </w:p>
        </w:tc>
        <w:tc>
          <w:tcPr>
            <w:tcW w:w="690" w:type="dxa"/>
            <w:tcBorders>
              <w:top w:val="nil"/>
              <w:left w:val="nil"/>
              <w:bottom w:val="double" w:sz="6" w:space="0" w:color="auto"/>
              <w:right w:val="single" w:sz="8" w:space="0" w:color="auto"/>
            </w:tcBorders>
            <w:shd w:val="clear" w:color="auto" w:fill="auto"/>
            <w:vAlign w:val="center"/>
            <w:hideMark/>
          </w:tcPr>
          <w:p w14:paraId="7DA44A14" w14:textId="77777777" w:rsidR="001F45CE" w:rsidRPr="00913CCF" w:rsidRDefault="001F45CE" w:rsidP="001F45CE">
            <w:pPr>
              <w:spacing w:after="0"/>
              <w:jc w:val="center"/>
              <w:rPr>
                <w:rFonts w:eastAsia="Times New Roman" w:cs="Calibri"/>
                <w:color w:val="000000"/>
                <w:sz w:val="14"/>
                <w:szCs w:val="14"/>
              </w:rPr>
            </w:pPr>
            <w:r w:rsidRPr="00913CCF">
              <w:rPr>
                <w:rFonts w:eastAsia="Times New Roman" w:cs="Calibri"/>
                <w:color w:val="000000"/>
                <w:sz w:val="14"/>
                <w:szCs w:val="14"/>
              </w:rPr>
              <w:t> </w:t>
            </w:r>
          </w:p>
        </w:tc>
      </w:tr>
      <w:tr w:rsidR="001F45CE" w:rsidRPr="00913CCF" w14:paraId="7211CE7A" w14:textId="77777777" w:rsidTr="004205FD">
        <w:trPr>
          <w:trHeight w:val="300"/>
        </w:trPr>
        <w:tc>
          <w:tcPr>
            <w:tcW w:w="1354" w:type="dxa"/>
            <w:vMerge w:val="restart"/>
            <w:tcBorders>
              <w:top w:val="nil"/>
              <w:left w:val="single" w:sz="8" w:space="0" w:color="000000"/>
              <w:bottom w:val="double" w:sz="6" w:space="0" w:color="000000"/>
              <w:right w:val="single" w:sz="8" w:space="0" w:color="auto"/>
            </w:tcBorders>
            <w:shd w:val="clear" w:color="auto" w:fill="auto"/>
            <w:noWrap/>
            <w:vAlign w:val="center"/>
            <w:hideMark/>
          </w:tcPr>
          <w:p w14:paraId="77150294"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 xml:space="preserve">COMPONENT / OUTCOME 4: </w:t>
            </w:r>
          </w:p>
        </w:tc>
        <w:tc>
          <w:tcPr>
            <w:tcW w:w="1266" w:type="dxa"/>
            <w:vMerge w:val="restart"/>
            <w:tcBorders>
              <w:top w:val="nil"/>
              <w:left w:val="single" w:sz="8" w:space="0" w:color="auto"/>
              <w:bottom w:val="double" w:sz="6" w:space="0" w:color="000000"/>
              <w:right w:val="single" w:sz="8" w:space="0" w:color="auto"/>
            </w:tcBorders>
            <w:shd w:val="clear" w:color="auto" w:fill="auto"/>
            <w:vAlign w:val="center"/>
            <w:hideMark/>
          </w:tcPr>
          <w:p w14:paraId="7C10DD66" w14:textId="0CE94032" w:rsidR="001F45CE" w:rsidRPr="00913CCF" w:rsidRDefault="001F45CE" w:rsidP="001F45CE">
            <w:pPr>
              <w:spacing w:after="0"/>
              <w:jc w:val="center"/>
              <w:rPr>
                <w:rFonts w:eastAsia="Times New Roman" w:cs="Calibri"/>
                <w:b/>
                <w:bCs/>
                <w:color w:val="000000"/>
                <w:sz w:val="16"/>
                <w:szCs w:val="16"/>
              </w:rPr>
            </w:pPr>
            <w:r>
              <w:rPr>
                <w:rFonts w:cs="Arial"/>
                <w:szCs w:val="20"/>
                <w:highlight w:val="green"/>
              </w:rPr>
              <w:t>SP Conseil Nation Devel Durabl under the Ministry in charge of the Environment</w:t>
            </w:r>
          </w:p>
        </w:tc>
        <w:tc>
          <w:tcPr>
            <w:tcW w:w="622" w:type="dxa"/>
            <w:vMerge w:val="restart"/>
            <w:tcBorders>
              <w:top w:val="nil"/>
              <w:left w:val="single" w:sz="8" w:space="0" w:color="auto"/>
              <w:bottom w:val="double" w:sz="6" w:space="0" w:color="000000"/>
              <w:right w:val="single" w:sz="8" w:space="0" w:color="auto"/>
            </w:tcBorders>
            <w:shd w:val="clear" w:color="auto" w:fill="auto"/>
            <w:vAlign w:val="center"/>
            <w:hideMark/>
          </w:tcPr>
          <w:p w14:paraId="2E0A9927"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62000</w:t>
            </w:r>
          </w:p>
        </w:tc>
        <w:tc>
          <w:tcPr>
            <w:tcW w:w="632" w:type="dxa"/>
            <w:vMerge w:val="restart"/>
            <w:tcBorders>
              <w:top w:val="nil"/>
              <w:left w:val="single" w:sz="8" w:space="0" w:color="auto"/>
              <w:bottom w:val="double" w:sz="6" w:space="0" w:color="000000"/>
              <w:right w:val="single" w:sz="8" w:space="0" w:color="auto"/>
            </w:tcBorders>
            <w:shd w:val="clear" w:color="auto" w:fill="auto"/>
            <w:vAlign w:val="center"/>
            <w:hideMark/>
          </w:tcPr>
          <w:p w14:paraId="67A233D3"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GEF</w:t>
            </w:r>
          </w:p>
        </w:tc>
        <w:tc>
          <w:tcPr>
            <w:tcW w:w="901" w:type="dxa"/>
            <w:tcBorders>
              <w:top w:val="nil"/>
              <w:left w:val="nil"/>
              <w:bottom w:val="single" w:sz="8" w:space="0" w:color="auto"/>
              <w:right w:val="single" w:sz="8" w:space="0" w:color="auto"/>
            </w:tcBorders>
            <w:shd w:val="clear" w:color="auto" w:fill="auto"/>
            <w:noWrap/>
            <w:vAlign w:val="center"/>
            <w:hideMark/>
          </w:tcPr>
          <w:p w14:paraId="54AB0A81"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71200</w:t>
            </w:r>
          </w:p>
        </w:tc>
        <w:tc>
          <w:tcPr>
            <w:tcW w:w="1186" w:type="dxa"/>
            <w:tcBorders>
              <w:top w:val="nil"/>
              <w:left w:val="nil"/>
              <w:bottom w:val="single" w:sz="8" w:space="0" w:color="auto"/>
              <w:right w:val="single" w:sz="8" w:space="0" w:color="auto"/>
            </w:tcBorders>
            <w:shd w:val="clear" w:color="auto" w:fill="auto"/>
            <w:vAlign w:val="center"/>
            <w:hideMark/>
          </w:tcPr>
          <w:p w14:paraId="40BEE36F" w14:textId="77777777" w:rsidR="001F45CE" w:rsidRPr="00913CCF" w:rsidRDefault="001F45CE" w:rsidP="001F45CE">
            <w:pPr>
              <w:spacing w:after="0"/>
              <w:jc w:val="left"/>
              <w:rPr>
                <w:rFonts w:eastAsia="Times New Roman" w:cs="Calibri"/>
                <w:color w:val="000000"/>
                <w:sz w:val="16"/>
                <w:szCs w:val="16"/>
              </w:rPr>
            </w:pPr>
            <w:r w:rsidRPr="00913CCF">
              <w:rPr>
                <w:rFonts w:eastAsia="Times New Roman" w:cs="Calibri"/>
                <w:color w:val="000000"/>
                <w:sz w:val="16"/>
                <w:szCs w:val="16"/>
              </w:rPr>
              <w:t>International Cons</w:t>
            </w:r>
          </w:p>
        </w:tc>
        <w:tc>
          <w:tcPr>
            <w:tcW w:w="1155" w:type="dxa"/>
            <w:tcBorders>
              <w:top w:val="nil"/>
              <w:left w:val="nil"/>
              <w:bottom w:val="single" w:sz="8" w:space="0" w:color="auto"/>
              <w:right w:val="single" w:sz="8" w:space="0" w:color="auto"/>
            </w:tcBorders>
            <w:shd w:val="clear" w:color="auto" w:fill="auto"/>
            <w:vAlign w:val="center"/>
            <w:hideMark/>
          </w:tcPr>
          <w:p w14:paraId="7627FABA"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1010" w:type="dxa"/>
            <w:tcBorders>
              <w:top w:val="nil"/>
              <w:left w:val="nil"/>
              <w:bottom w:val="single" w:sz="8" w:space="0" w:color="auto"/>
              <w:right w:val="single" w:sz="8" w:space="0" w:color="auto"/>
            </w:tcBorders>
            <w:shd w:val="clear" w:color="auto" w:fill="auto"/>
            <w:vAlign w:val="center"/>
            <w:hideMark/>
          </w:tcPr>
          <w:p w14:paraId="76CAB6DD"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938" w:type="dxa"/>
            <w:tcBorders>
              <w:top w:val="nil"/>
              <w:left w:val="nil"/>
              <w:bottom w:val="single" w:sz="8" w:space="0" w:color="auto"/>
              <w:right w:val="single" w:sz="8" w:space="0" w:color="auto"/>
            </w:tcBorders>
            <w:shd w:val="clear" w:color="auto" w:fill="auto"/>
            <w:vAlign w:val="center"/>
            <w:hideMark/>
          </w:tcPr>
          <w:p w14:paraId="59D641E2"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16,250</w:t>
            </w:r>
          </w:p>
        </w:tc>
        <w:tc>
          <w:tcPr>
            <w:tcW w:w="938" w:type="dxa"/>
            <w:tcBorders>
              <w:top w:val="nil"/>
              <w:left w:val="nil"/>
              <w:bottom w:val="single" w:sz="8" w:space="0" w:color="auto"/>
              <w:right w:val="single" w:sz="8" w:space="0" w:color="auto"/>
            </w:tcBorders>
            <w:shd w:val="clear" w:color="auto" w:fill="auto"/>
            <w:vAlign w:val="center"/>
            <w:hideMark/>
          </w:tcPr>
          <w:p w14:paraId="0BAA4FD9"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938" w:type="dxa"/>
            <w:tcBorders>
              <w:top w:val="nil"/>
              <w:left w:val="nil"/>
              <w:bottom w:val="single" w:sz="8" w:space="0" w:color="auto"/>
              <w:right w:val="single" w:sz="8" w:space="0" w:color="auto"/>
            </w:tcBorders>
            <w:shd w:val="clear" w:color="auto" w:fill="auto"/>
            <w:vAlign w:val="center"/>
            <w:hideMark/>
          </w:tcPr>
          <w:p w14:paraId="1FC5FC05"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938" w:type="dxa"/>
            <w:tcBorders>
              <w:top w:val="nil"/>
              <w:left w:val="nil"/>
              <w:bottom w:val="single" w:sz="8" w:space="0" w:color="auto"/>
              <w:right w:val="single" w:sz="8" w:space="0" w:color="auto"/>
            </w:tcBorders>
            <w:shd w:val="clear" w:color="auto" w:fill="auto"/>
            <w:vAlign w:val="center"/>
            <w:hideMark/>
          </w:tcPr>
          <w:p w14:paraId="09620A89"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19,600</w:t>
            </w:r>
          </w:p>
        </w:tc>
        <w:tc>
          <w:tcPr>
            <w:tcW w:w="1372" w:type="dxa"/>
            <w:tcBorders>
              <w:top w:val="nil"/>
              <w:left w:val="nil"/>
              <w:bottom w:val="single" w:sz="8" w:space="0" w:color="auto"/>
              <w:right w:val="single" w:sz="8" w:space="0" w:color="auto"/>
            </w:tcBorders>
            <w:shd w:val="clear" w:color="auto" w:fill="auto"/>
            <w:noWrap/>
            <w:vAlign w:val="center"/>
            <w:hideMark/>
          </w:tcPr>
          <w:p w14:paraId="113ADE86"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35,850</w:t>
            </w:r>
          </w:p>
        </w:tc>
        <w:tc>
          <w:tcPr>
            <w:tcW w:w="690" w:type="dxa"/>
            <w:tcBorders>
              <w:top w:val="nil"/>
              <w:left w:val="nil"/>
              <w:bottom w:val="single" w:sz="8" w:space="0" w:color="auto"/>
              <w:right w:val="single" w:sz="8" w:space="0" w:color="auto"/>
            </w:tcBorders>
            <w:shd w:val="clear" w:color="auto" w:fill="auto"/>
            <w:vAlign w:val="center"/>
            <w:hideMark/>
          </w:tcPr>
          <w:p w14:paraId="1A77695D"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41</w:t>
            </w:r>
          </w:p>
        </w:tc>
      </w:tr>
      <w:tr w:rsidR="001F45CE" w:rsidRPr="00913CCF" w14:paraId="79CD3DDF" w14:textId="77777777" w:rsidTr="004205FD">
        <w:trPr>
          <w:trHeight w:val="198"/>
        </w:trPr>
        <w:tc>
          <w:tcPr>
            <w:tcW w:w="1354" w:type="dxa"/>
            <w:vMerge/>
            <w:tcBorders>
              <w:top w:val="nil"/>
              <w:left w:val="single" w:sz="8" w:space="0" w:color="000000"/>
              <w:bottom w:val="double" w:sz="6" w:space="0" w:color="000000"/>
              <w:right w:val="single" w:sz="8" w:space="0" w:color="auto"/>
            </w:tcBorders>
            <w:shd w:val="clear" w:color="auto" w:fill="auto"/>
            <w:vAlign w:val="center"/>
            <w:hideMark/>
          </w:tcPr>
          <w:p w14:paraId="302B1947"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nil"/>
              <w:left w:val="single" w:sz="8" w:space="0" w:color="auto"/>
              <w:bottom w:val="double" w:sz="6" w:space="0" w:color="000000"/>
              <w:right w:val="single" w:sz="8" w:space="0" w:color="auto"/>
            </w:tcBorders>
            <w:shd w:val="clear" w:color="auto" w:fill="auto"/>
            <w:vAlign w:val="center"/>
            <w:hideMark/>
          </w:tcPr>
          <w:p w14:paraId="0075957C"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39F45D9C"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6EB7FFEA"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single" w:sz="8" w:space="0" w:color="auto"/>
              <w:right w:val="single" w:sz="8" w:space="0" w:color="auto"/>
            </w:tcBorders>
            <w:shd w:val="clear" w:color="auto" w:fill="auto"/>
            <w:noWrap/>
            <w:vAlign w:val="center"/>
            <w:hideMark/>
          </w:tcPr>
          <w:p w14:paraId="23E19BEF"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71300</w:t>
            </w:r>
          </w:p>
        </w:tc>
        <w:tc>
          <w:tcPr>
            <w:tcW w:w="1186" w:type="dxa"/>
            <w:tcBorders>
              <w:top w:val="nil"/>
              <w:left w:val="nil"/>
              <w:bottom w:val="single" w:sz="8" w:space="0" w:color="auto"/>
              <w:right w:val="single" w:sz="8" w:space="0" w:color="auto"/>
            </w:tcBorders>
            <w:shd w:val="clear" w:color="auto" w:fill="auto"/>
            <w:vAlign w:val="center"/>
            <w:hideMark/>
          </w:tcPr>
          <w:p w14:paraId="2127F745" w14:textId="77777777" w:rsidR="001F45CE" w:rsidRPr="00913CCF" w:rsidRDefault="001F45CE" w:rsidP="001F45CE">
            <w:pPr>
              <w:spacing w:after="0"/>
              <w:jc w:val="left"/>
              <w:rPr>
                <w:rFonts w:eastAsia="Times New Roman" w:cs="Calibri"/>
                <w:color w:val="000000"/>
                <w:sz w:val="16"/>
                <w:szCs w:val="16"/>
              </w:rPr>
            </w:pPr>
            <w:r w:rsidRPr="00913CCF">
              <w:rPr>
                <w:rFonts w:eastAsia="Times New Roman" w:cs="Calibri"/>
                <w:color w:val="000000"/>
                <w:sz w:val="16"/>
                <w:szCs w:val="16"/>
              </w:rPr>
              <w:t>Local Consultants</w:t>
            </w:r>
          </w:p>
        </w:tc>
        <w:tc>
          <w:tcPr>
            <w:tcW w:w="1155" w:type="dxa"/>
            <w:tcBorders>
              <w:top w:val="nil"/>
              <w:left w:val="nil"/>
              <w:bottom w:val="single" w:sz="8" w:space="0" w:color="auto"/>
              <w:right w:val="single" w:sz="8" w:space="0" w:color="auto"/>
            </w:tcBorders>
            <w:shd w:val="clear" w:color="auto" w:fill="auto"/>
            <w:vAlign w:val="center"/>
            <w:hideMark/>
          </w:tcPr>
          <w:p w14:paraId="1545C492"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1010" w:type="dxa"/>
            <w:tcBorders>
              <w:top w:val="nil"/>
              <w:left w:val="nil"/>
              <w:bottom w:val="single" w:sz="8" w:space="0" w:color="auto"/>
              <w:right w:val="single" w:sz="8" w:space="0" w:color="auto"/>
            </w:tcBorders>
            <w:shd w:val="clear" w:color="auto" w:fill="auto"/>
            <w:vAlign w:val="center"/>
            <w:hideMark/>
          </w:tcPr>
          <w:p w14:paraId="3092D8DA"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938" w:type="dxa"/>
            <w:tcBorders>
              <w:top w:val="nil"/>
              <w:left w:val="nil"/>
              <w:bottom w:val="single" w:sz="8" w:space="0" w:color="auto"/>
              <w:right w:val="single" w:sz="8" w:space="0" w:color="auto"/>
            </w:tcBorders>
            <w:shd w:val="clear" w:color="auto" w:fill="auto"/>
            <w:vAlign w:val="center"/>
            <w:hideMark/>
          </w:tcPr>
          <w:p w14:paraId="0C95E56F"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5,000</w:t>
            </w:r>
          </w:p>
        </w:tc>
        <w:tc>
          <w:tcPr>
            <w:tcW w:w="938" w:type="dxa"/>
            <w:tcBorders>
              <w:top w:val="nil"/>
              <w:left w:val="nil"/>
              <w:bottom w:val="single" w:sz="8" w:space="0" w:color="auto"/>
              <w:right w:val="single" w:sz="8" w:space="0" w:color="auto"/>
            </w:tcBorders>
            <w:shd w:val="clear" w:color="auto" w:fill="auto"/>
            <w:vAlign w:val="center"/>
            <w:hideMark/>
          </w:tcPr>
          <w:p w14:paraId="6D8F9CAD"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938" w:type="dxa"/>
            <w:tcBorders>
              <w:top w:val="nil"/>
              <w:left w:val="nil"/>
              <w:bottom w:val="single" w:sz="8" w:space="0" w:color="auto"/>
              <w:right w:val="single" w:sz="8" w:space="0" w:color="auto"/>
            </w:tcBorders>
            <w:shd w:val="clear" w:color="auto" w:fill="auto"/>
            <w:vAlign w:val="center"/>
            <w:hideMark/>
          </w:tcPr>
          <w:p w14:paraId="397A9262"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938" w:type="dxa"/>
            <w:tcBorders>
              <w:top w:val="nil"/>
              <w:left w:val="nil"/>
              <w:bottom w:val="single" w:sz="8" w:space="0" w:color="auto"/>
              <w:right w:val="single" w:sz="8" w:space="0" w:color="auto"/>
            </w:tcBorders>
            <w:shd w:val="clear" w:color="auto" w:fill="auto"/>
            <w:vAlign w:val="center"/>
            <w:hideMark/>
          </w:tcPr>
          <w:p w14:paraId="2E4E850E"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5,600</w:t>
            </w:r>
          </w:p>
        </w:tc>
        <w:tc>
          <w:tcPr>
            <w:tcW w:w="1372" w:type="dxa"/>
            <w:tcBorders>
              <w:top w:val="nil"/>
              <w:left w:val="nil"/>
              <w:bottom w:val="single" w:sz="8" w:space="0" w:color="auto"/>
              <w:right w:val="single" w:sz="8" w:space="0" w:color="auto"/>
            </w:tcBorders>
            <w:shd w:val="clear" w:color="auto" w:fill="auto"/>
            <w:noWrap/>
            <w:vAlign w:val="center"/>
            <w:hideMark/>
          </w:tcPr>
          <w:p w14:paraId="1553408E"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10,600</w:t>
            </w:r>
          </w:p>
        </w:tc>
        <w:tc>
          <w:tcPr>
            <w:tcW w:w="690" w:type="dxa"/>
            <w:tcBorders>
              <w:top w:val="nil"/>
              <w:left w:val="nil"/>
              <w:bottom w:val="single" w:sz="8" w:space="0" w:color="auto"/>
              <w:right w:val="single" w:sz="8" w:space="0" w:color="auto"/>
            </w:tcBorders>
            <w:shd w:val="clear" w:color="auto" w:fill="auto"/>
            <w:vAlign w:val="center"/>
            <w:hideMark/>
          </w:tcPr>
          <w:p w14:paraId="35E05297"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42</w:t>
            </w:r>
          </w:p>
        </w:tc>
      </w:tr>
      <w:tr w:rsidR="001F45CE" w:rsidRPr="00913CCF" w14:paraId="70AA38CF" w14:textId="77777777" w:rsidTr="004205FD">
        <w:trPr>
          <w:trHeight w:val="225"/>
        </w:trPr>
        <w:tc>
          <w:tcPr>
            <w:tcW w:w="1354" w:type="dxa"/>
            <w:vMerge/>
            <w:tcBorders>
              <w:top w:val="nil"/>
              <w:left w:val="single" w:sz="8" w:space="0" w:color="000000"/>
              <w:bottom w:val="double" w:sz="6" w:space="0" w:color="000000"/>
              <w:right w:val="single" w:sz="8" w:space="0" w:color="auto"/>
            </w:tcBorders>
            <w:shd w:val="clear" w:color="auto" w:fill="auto"/>
            <w:vAlign w:val="center"/>
            <w:hideMark/>
          </w:tcPr>
          <w:p w14:paraId="51CB9E1B"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nil"/>
              <w:left w:val="single" w:sz="8" w:space="0" w:color="auto"/>
              <w:bottom w:val="double" w:sz="6" w:space="0" w:color="000000"/>
              <w:right w:val="single" w:sz="8" w:space="0" w:color="auto"/>
            </w:tcBorders>
            <w:shd w:val="clear" w:color="auto" w:fill="auto"/>
            <w:vAlign w:val="center"/>
            <w:hideMark/>
          </w:tcPr>
          <w:p w14:paraId="0B7D42A9"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5F73007E"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59E6DD54"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single" w:sz="8" w:space="0" w:color="auto"/>
              <w:right w:val="single" w:sz="8" w:space="0" w:color="auto"/>
            </w:tcBorders>
            <w:shd w:val="clear" w:color="auto" w:fill="auto"/>
            <w:noWrap/>
            <w:vAlign w:val="center"/>
            <w:hideMark/>
          </w:tcPr>
          <w:p w14:paraId="08C5CD84"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71400</w:t>
            </w:r>
          </w:p>
        </w:tc>
        <w:tc>
          <w:tcPr>
            <w:tcW w:w="1186" w:type="dxa"/>
            <w:tcBorders>
              <w:top w:val="nil"/>
              <w:left w:val="nil"/>
              <w:bottom w:val="single" w:sz="8" w:space="0" w:color="auto"/>
              <w:right w:val="single" w:sz="8" w:space="0" w:color="auto"/>
            </w:tcBorders>
            <w:shd w:val="clear" w:color="auto" w:fill="auto"/>
            <w:vAlign w:val="center"/>
            <w:hideMark/>
          </w:tcPr>
          <w:p w14:paraId="2769E6F2" w14:textId="77777777" w:rsidR="001F45CE" w:rsidRPr="00913CCF" w:rsidRDefault="001F45CE" w:rsidP="001F45CE">
            <w:pPr>
              <w:spacing w:after="0"/>
              <w:jc w:val="left"/>
              <w:rPr>
                <w:rFonts w:eastAsia="Times New Roman" w:cs="Calibri"/>
                <w:color w:val="000000"/>
                <w:sz w:val="16"/>
                <w:szCs w:val="16"/>
              </w:rPr>
            </w:pPr>
            <w:r w:rsidRPr="00913CCF">
              <w:rPr>
                <w:rFonts w:eastAsia="Times New Roman" w:cs="Calibri"/>
                <w:color w:val="000000"/>
                <w:sz w:val="16"/>
                <w:szCs w:val="16"/>
              </w:rPr>
              <w:t>Contract. Serv. Ind.</w:t>
            </w:r>
          </w:p>
        </w:tc>
        <w:tc>
          <w:tcPr>
            <w:tcW w:w="1155" w:type="dxa"/>
            <w:tcBorders>
              <w:top w:val="nil"/>
              <w:left w:val="nil"/>
              <w:bottom w:val="single" w:sz="8" w:space="0" w:color="auto"/>
              <w:right w:val="single" w:sz="8" w:space="0" w:color="auto"/>
            </w:tcBorders>
            <w:shd w:val="clear" w:color="auto" w:fill="auto"/>
            <w:noWrap/>
            <w:vAlign w:val="center"/>
            <w:hideMark/>
          </w:tcPr>
          <w:p w14:paraId="24CD88EA" w14:textId="3D54ACB9" w:rsidR="001F45CE" w:rsidRPr="00913CCF" w:rsidRDefault="001F45CE" w:rsidP="001F45CE">
            <w:pPr>
              <w:spacing w:after="0"/>
              <w:jc w:val="center"/>
              <w:rPr>
                <w:rFonts w:eastAsia="Times New Roman" w:cs="Calibri"/>
                <w:color w:val="000000"/>
                <w:sz w:val="16"/>
                <w:szCs w:val="16"/>
              </w:rPr>
            </w:pPr>
            <w:r w:rsidRPr="0050079F">
              <w:rPr>
                <w:rFonts w:eastAsia="Times New Roman" w:cs="Calibri"/>
                <w:color w:val="000000"/>
                <w:sz w:val="16"/>
                <w:szCs w:val="16"/>
                <w:highlight w:val="green"/>
              </w:rPr>
              <w:t>91,875</w:t>
            </w:r>
          </w:p>
        </w:tc>
        <w:tc>
          <w:tcPr>
            <w:tcW w:w="1010" w:type="dxa"/>
            <w:tcBorders>
              <w:top w:val="nil"/>
              <w:left w:val="nil"/>
              <w:bottom w:val="single" w:sz="8" w:space="0" w:color="auto"/>
              <w:right w:val="single" w:sz="8" w:space="0" w:color="auto"/>
            </w:tcBorders>
            <w:shd w:val="clear" w:color="auto" w:fill="auto"/>
            <w:noWrap/>
            <w:vAlign w:val="center"/>
            <w:hideMark/>
          </w:tcPr>
          <w:p w14:paraId="7C0A38EB"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32,250</w:t>
            </w:r>
          </w:p>
        </w:tc>
        <w:tc>
          <w:tcPr>
            <w:tcW w:w="938" w:type="dxa"/>
            <w:tcBorders>
              <w:top w:val="nil"/>
              <w:left w:val="nil"/>
              <w:bottom w:val="single" w:sz="8" w:space="0" w:color="auto"/>
              <w:right w:val="single" w:sz="8" w:space="0" w:color="auto"/>
            </w:tcBorders>
            <w:shd w:val="clear" w:color="auto" w:fill="auto"/>
            <w:noWrap/>
            <w:vAlign w:val="center"/>
            <w:hideMark/>
          </w:tcPr>
          <w:p w14:paraId="2F368D41"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32,250</w:t>
            </w:r>
          </w:p>
        </w:tc>
        <w:tc>
          <w:tcPr>
            <w:tcW w:w="938" w:type="dxa"/>
            <w:tcBorders>
              <w:top w:val="nil"/>
              <w:left w:val="nil"/>
              <w:bottom w:val="single" w:sz="8" w:space="0" w:color="auto"/>
              <w:right w:val="single" w:sz="8" w:space="0" w:color="auto"/>
            </w:tcBorders>
            <w:shd w:val="clear" w:color="auto" w:fill="auto"/>
            <w:noWrap/>
            <w:vAlign w:val="center"/>
            <w:hideMark/>
          </w:tcPr>
          <w:p w14:paraId="5AD5B015"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32,250</w:t>
            </w:r>
          </w:p>
        </w:tc>
        <w:tc>
          <w:tcPr>
            <w:tcW w:w="938" w:type="dxa"/>
            <w:tcBorders>
              <w:top w:val="nil"/>
              <w:left w:val="nil"/>
              <w:bottom w:val="single" w:sz="8" w:space="0" w:color="auto"/>
              <w:right w:val="single" w:sz="8" w:space="0" w:color="auto"/>
            </w:tcBorders>
            <w:shd w:val="clear" w:color="auto" w:fill="auto"/>
            <w:noWrap/>
            <w:vAlign w:val="center"/>
            <w:hideMark/>
          </w:tcPr>
          <w:p w14:paraId="52D0FBAE"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32,250</w:t>
            </w:r>
          </w:p>
        </w:tc>
        <w:tc>
          <w:tcPr>
            <w:tcW w:w="938" w:type="dxa"/>
            <w:tcBorders>
              <w:top w:val="nil"/>
              <w:left w:val="nil"/>
              <w:bottom w:val="single" w:sz="8" w:space="0" w:color="auto"/>
              <w:right w:val="single" w:sz="8" w:space="0" w:color="auto"/>
            </w:tcBorders>
            <w:shd w:val="clear" w:color="auto" w:fill="auto"/>
            <w:vAlign w:val="center"/>
            <w:hideMark/>
          </w:tcPr>
          <w:p w14:paraId="36542B30"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32,250</w:t>
            </w:r>
          </w:p>
        </w:tc>
        <w:tc>
          <w:tcPr>
            <w:tcW w:w="1372" w:type="dxa"/>
            <w:tcBorders>
              <w:top w:val="nil"/>
              <w:left w:val="nil"/>
              <w:bottom w:val="single" w:sz="8" w:space="0" w:color="auto"/>
              <w:right w:val="single" w:sz="8" w:space="0" w:color="auto"/>
            </w:tcBorders>
            <w:shd w:val="clear" w:color="auto" w:fill="auto"/>
            <w:noWrap/>
            <w:vAlign w:val="center"/>
            <w:hideMark/>
          </w:tcPr>
          <w:p w14:paraId="56099645" w14:textId="386D5D88" w:rsidR="001F45CE" w:rsidRPr="00913CCF" w:rsidRDefault="001F45CE" w:rsidP="001F45CE">
            <w:pPr>
              <w:spacing w:after="0"/>
              <w:jc w:val="center"/>
              <w:rPr>
                <w:rFonts w:eastAsia="Times New Roman" w:cs="Calibri"/>
                <w:b/>
                <w:bCs/>
                <w:color w:val="000000"/>
                <w:sz w:val="16"/>
                <w:szCs w:val="16"/>
              </w:rPr>
            </w:pPr>
            <w:r w:rsidRPr="002A20CF">
              <w:rPr>
                <w:rFonts w:eastAsia="Times New Roman" w:cs="Calibri"/>
                <w:b/>
                <w:bCs/>
                <w:color w:val="000000"/>
                <w:sz w:val="16"/>
                <w:szCs w:val="16"/>
                <w:highlight w:val="green"/>
              </w:rPr>
              <w:t>253,125</w:t>
            </w:r>
          </w:p>
        </w:tc>
        <w:tc>
          <w:tcPr>
            <w:tcW w:w="690" w:type="dxa"/>
            <w:tcBorders>
              <w:top w:val="nil"/>
              <w:left w:val="nil"/>
              <w:bottom w:val="single" w:sz="8" w:space="0" w:color="auto"/>
              <w:right w:val="single" w:sz="8" w:space="0" w:color="auto"/>
            </w:tcBorders>
            <w:shd w:val="clear" w:color="auto" w:fill="auto"/>
            <w:vAlign w:val="center"/>
            <w:hideMark/>
          </w:tcPr>
          <w:p w14:paraId="48D6B9FF"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43</w:t>
            </w:r>
          </w:p>
        </w:tc>
      </w:tr>
      <w:tr w:rsidR="001F45CE" w:rsidRPr="00913CCF" w14:paraId="0E8EB0BA" w14:textId="77777777" w:rsidTr="004205FD">
        <w:trPr>
          <w:trHeight w:val="135"/>
        </w:trPr>
        <w:tc>
          <w:tcPr>
            <w:tcW w:w="1354" w:type="dxa"/>
            <w:vMerge/>
            <w:tcBorders>
              <w:top w:val="nil"/>
              <w:left w:val="single" w:sz="8" w:space="0" w:color="000000"/>
              <w:bottom w:val="double" w:sz="6" w:space="0" w:color="000000"/>
              <w:right w:val="single" w:sz="8" w:space="0" w:color="auto"/>
            </w:tcBorders>
            <w:shd w:val="clear" w:color="auto" w:fill="auto"/>
            <w:vAlign w:val="center"/>
            <w:hideMark/>
          </w:tcPr>
          <w:p w14:paraId="4D5260D9"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nil"/>
              <w:left w:val="single" w:sz="8" w:space="0" w:color="auto"/>
              <w:bottom w:val="double" w:sz="6" w:space="0" w:color="000000"/>
              <w:right w:val="single" w:sz="8" w:space="0" w:color="auto"/>
            </w:tcBorders>
            <w:shd w:val="clear" w:color="auto" w:fill="auto"/>
            <w:vAlign w:val="center"/>
            <w:hideMark/>
          </w:tcPr>
          <w:p w14:paraId="6C5A4437"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5DF7D496"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07A359D5"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single" w:sz="8" w:space="0" w:color="auto"/>
              <w:right w:val="single" w:sz="8" w:space="0" w:color="auto"/>
            </w:tcBorders>
            <w:shd w:val="clear" w:color="auto" w:fill="auto"/>
            <w:noWrap/>
            <w:vAlign w:val="center"/>
            <w:hideMark/>
          </w:tcPr>
          <w:p w14:paraId="20BA03F7"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71600</w:t>
            </w:r>
          </w:p>
        </w:tc>
        <w:tc>
          <w:tcPr>
            <w:tcW w:w="1186" w:type="dxa"/>
            <w:tcBorders>
              <w:top w:val="nil"/>
              <w:left w:val="nil"/>
              <w:bottom w:val="single" w:sz="8" w:space="0" w:color="auto"/>
              <w:right w:val="single" w:sz="8" w:space="0" w:color="auto"/>
            </w:tcBorders>
            <w:shd w:val="clear" w:color="auto" w:fill="auto"/>
            <w:vAlign w:val="center"/>
            <w:hideMark/>
          </w:tcPr>
          <w:p w14:paraId="1B36EE6E" w14:textId="77777777" w:rsidR="001F45CE" w:rsidRPr="00913CCF" w:rsidRDefault="001F45CE" w:rsidP="001F45CE">
            <w:pPr>
              <w:spacing w:after="0"/>
              <w:jc w:val="left"/>
              <w:rPr>
                <w:rFonts w:eastAsia="Times New Roman" w:cs="Calibri"/>
                <w:color w:val="000000"/>
                <w:sz w:val="16"/>
                <w:szCs w:val="16"/>
              </w:rPr>
            </w:pPr>
            <w:r w:rsidRPr="00913CCF">
              <w:rPr>
                <w:rFonts w:eastAsia="Times New Roman" w:cs="Calibri"/>
                <w:color w:val="000000"/>
                <w:sz w:val="16"/>
                <w:szCs w:val="16"/>
              </w:rPr>
              <w:t>Travel</w:t>
            </w:r>
          </w:p>
        </w:tc>
        <w:tc>
          <w:tcPr>
            <w:tcW w:w="1155" w:type="dxa"/>
            <w:tcBorders>
              <w:top w:val="nil"/>
              <w:left w:val="nil"/>
              <w:bottom w:val="single" w:sz="8" w:space="0" w:color="auto"/>
              <w:right w:val="single" w:sz="8" w:space="0" w:color="auto"/>
            </w:tcBorders>
            <w:shd w:val="clear" w:color="auto" w:fill="auto"/>
            <w:noWrap/>
            <w:vAlign w:val="center"/>
            <w:hideMark/>
          </w:tcPr>
          <w:p w14:paraId="2565A151"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4,500</w:t>
            </w:r>
          </w:p>
        </w:tc>
        <w:tc>
          <w:tcPr>
            <w:tcW w:w="1010" w:type="dxa"/>
            <w:tcBorders>
              <w:top w:val="nil"/>
              <w:left w:val="nil"/>
              <w:bottom w:val="single" w:sz="8" w:space="0" w:color="auto"/>
              <w:right w:val="single" w:sz="8" w:space="0" w:color="auto"/>
            </w:tcBorders>
            <w:shd w:val="clear" w:color="auto" w:fill="auto"/>
            <w:noWrap/>
            <w:vAlign w:val="center"/>
            <w:hideMark/>
          </w:tcPr>
          <w:p w14:paraId="46EA7279"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4,500</w:t>
            </w:r>
          </w:p>
        </w:tc>
        <w:tc>
          <w:tcPr>
            <w:tcW w:w="938" w:type="dxa"/>
            <w:tcBorders>
              <w:top w:val="nil"/>
              <w:left w:val="nil"/>
              <w:bottom w:val="single" w:sz="8" w:space="0" w:color="auto"/>
              <w:right w:val="single" w:sz="8" w:space="0" w:color="auto"/>
            </w:tcBorders>
            <w:shd w:val="clear" w:color="auto" w:fill="auto"/>
            <w:noWrap/>
            <w:vAlign w:val="center"/>
            <w:hideMark/>
          </w:tcPr>
          <w:p w14:paraId="2B3661D4"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16,100</w:t>
            </w:r>
          </w:p>
        </w:tc>
        <w:tc>
          <w:tcPr>
            <w:tcW w:w="938" w:type="dxa"/>
            <w:tcBorders>
              <w:top w:val="nil"/>
              <w:left w:val="nil"/>
              <w:bottom w:val="single" w:sz="8" w:space="0" w:color="auto"/>
              <w:right w:val="single" w:sz="8" w:space="0" w:color="auto"/>
            </w:tcBorders>
            <w:shd w:val="clear" w:color="auto" w:fill="auto"/>
            <w:noWrap/>
            <w:vAlign w:val="center"/>
            <w:hideMark/>
          </w:tcPr>
          <w:p w14:paraId="6053BBA2"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9,500</w:t>
            </w:r>
          </w:p>
        </w:tc>
        <w:tc>
          <w:tcPr>
            <w:tcW w:w="938" w:type="dxa"/>
            <w:tcBorders>
              <w:top w:val="nil"/>
              <w:left w:val="nil"/>
              <w:bottom w:val="single" w:sz="8" w:space="0" w:color="auto"/>
              <w:right w:val="single" w:sz="8" w:space="0" w:color="auto"/>
            </w:tcBorders>
            <w:shd w:val="clear" w:color="auto" w:fill="auto"/>
            <w:noWrap/>
            <w:vAlign w:val="center"/>
            <w:hideMark/>
          </w:tcPr>
          <w:p w14:paraId="075229D8"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9,500</w:t>
            </w:r>
          </w:p>
        </w:tc>
        <w:tc>
          <w:tcPr>
            <w:tcW w:w="938" w:type="dxa"/>
            <w:tcBorders>
              <w:top w:val="nil"/>
              <w:left w:val="nil"/>
              <w:bottom w:val="single" w:sz="8" w:space="0" w:color="auto"/>
              <w:right w:val="single" w:sz="8" w:space="0" w:color="auto"/>
            </w:tcBorders>
            <w:shd w:val="clear" w:color="auto" w:fill="auto"/>
            <w:vAlign w:val="center"/>
            <w:hideMark/>
          </w:tcPr>
          <w:p w14:paraId="761BFDD6"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4,500</w:t>
            </w:r>
          </w:p>
        </w:tc>
        <w:tc>
          <w:tcPr>
            <w:tcW w:w="1372" w:type="dxa"/>
            <w:tcBorders>
              <w:top w:val="nil"/>
              <w:left w:val="nil"/>
              <w:bottom w:val="single" w:sz="8" w:space="0" w:color="auto"/>
              <w:right w:val="single" w:sz="8" w:space="0" w:color="auto"/>
            </w:tcBorders>
            <w:shd w:val="clear" w:color="auto" w:fill="auto"/>
            <w:noWrap/>
            <w:vAlign w:val="center"/>
            <w:hideMark/>
          </w:tcPr>
          <w:p w14:paraId="2AE5E7B1"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48,600</w:t>
            </w:r>
          </w:p>
        </w:tc>
        <w:tc>
          <w:tcPr>
            <w:tcW w:w="690" w:type="dxa"/>
            <w:tcBorders>
              <w:top w:val="nil"/>
              <w:left w:val="nil"/>
              <w:bottom w:val="single" w:sz="8" w:space="0" w:color="auto"/>
              <w:right w:val="single" w:sz="8" w:space="0" w:color="auto"/>
            </w:tcBorders>
            <w:shd w:val="clear" w:color="auto" w:fill="auto"/>
            <w:vAlign w:val="center"/>
            <w:hideMark/>
          </w:tcPr>
          <w:p w14:paraId="50F628F9"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44</w:t>
            </w:r>
          </w:p>
        </w:tc>
      </w:tr>
      <w:tr w:rsidR="001F45CE" w:rsidRPr="00913CCF" w14:paraId="7BA58FD5" w14:textId="77777777" w:rsidTr="004205FD">
        <w:trPr>
          <w:trHeight w:val="225"/>
        </w:trPr>
        <w:tc>
          <w:tcPr>
            <w:tcW w:w="1354" w:type="dxa"/>
            <w:vMerge/>
            <w:tcBorders>
              <w:top w:val="nil"/>
              <w:left w:val="single" w:sz="8" w:space="0" w:color="000000"/>
              <w:bottom w:val="double" w:sz="6" w:space="0" w:color="000000"/>
              <w:right w:val="single" w:sz="8" w:space="0" w:color="auto"/>
            </w:tcBorders>
            <w:shd w:val="clear" w:color="auto" w:fill="auto"/>
            <w:vAlign w:val="center"/>
            <w:hideMark/>
          </w:tcPr>
          <w:p w14:paraId="131E8200"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nil"/>
              <w:left w:val="single" w:sz="8" w:space="0" w:color="auto"/>
              <w:bottom w:val="double" w:sz="6" w:space="0" w:color="000000"/>
              <w:right w:val="single" w:sz="8" w:space="0" w:color="auto"/>
            </w:tcBorders>
            <w:shd w:val="clear" w:color="auto" w:fill="auto"/>
            <w:vAlign w:val="center"/>
            <w:hideMark/>
          </w:tcPr>
          <w:p w14:paraId="146DF6D8"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59A382D3"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70DEC7FE"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single" w:sz="8" w:space="0" w:color="auto"/>
              <w:right w:val="single" w:sz="8" w:space="0" w:color="auto"/>
            </w:tcBorders>
            <w:shd w:val="clear" w:color="auto" w:fill="auto"/>
            <w:noWrap/>
            <w:vAlign w:val="center"/>
            <w:hideMark/>
          </w:tcPr>
          <w:p w14:paraId="2DAB5855"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72100</w:t>
            </w:r>
          </w:p>
        </w:tc>
        <w:tc>
          <w:tcPr>
            <w:tcW w:w="1186" w:type="dxa"/>
            <w:tcBorders>
              <w:top w:val="nil"/>
              <w:left w:val="nil"/>
              <w:bottom w:val="single" w:sz="8" w:space="0" w:color="auto"/>
              <w:right w:val="single" w:sz="8" w:space="0" w:color="auto"/>
            </w:tcBorders>
            <w:shd w:val="clear" w:color="auto" w:fill="auto"/>
            <w:vAlign w:val="center"/>
            <w:hideMark/>
          </w:tcPr>
          <w:p w14:paraId="21686E80" w14:textId="77777777" w:rsidR="001F45CE" w:rsidRPr="00913CCF" w:rsidRDefault="001F45CE" w:rsidP="001F45CE">
            <w:pPr>
              <w:spacing w:after="0"/>
              <w:jc w:val="left"/>
              <w:rPr>
                <w:rFonts w:eastAsia="Times New Roman" w:cs="Calibri"/>
                <w:color w:val="000000"/>
                <w:sz w:val="16"/>
                <w:szCs w:val="16"/>
              </w:rPr>
            </w:pPr>
            <w:r w:rsidRPr="00913CCF">
              <w:rPr>
                <w:rFonts w:eastAsia="Times New Roman" w:cs="Calibri"/>
                <w:color w:val="000000"/>
                <w:sz w:val="16"/>
                <w:szCs w:val="16"/>
              </w:rPr>
              <w:t>Contr serv. cies</w:t>
            </w:r>
          </w:p>
        </w:tc>
        <w:tc>
          <w:tcPr>
            <w:tcW w:w="1155" w:type="dxa"/>
            <w:tcBorders>
              <w:top w:val="nil"/>
              <w:left w:val="nil"/>
              <w:bottom w:val="single" w:sz="8" w:space="0" w:color="auto"/>
              <w:right w:val="single" w:sz="8" w:space="0" w:color="auto"/>
            </w:tcBorders>
            <w:shd w:val="clear" w:color="auto" w:fill="auto"/>
            <w:noWrap/>
            <w:vAlign w:val="center"/>
            <w:hideMark/>
          </w:tcPr>
          <w:p w14:paraId="3E63F220"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10,000</w:t>
            </w:r>
          </w:p>
        </w:tc>
        <w:tc>
          <w:tcPr>
            <w:tcW w:w="1010" w:type="dxa"/>
            <w:tcBorders>
              <w:top w:val="nil"/>
              <w:left w:val="nil"/>
              <w:bottom w:val="single" w:sz="8" w:space="0" w:color="auto"/>
              <w:right w:val="single" w:sz="8" w:space="0" w:color="auto"/>
            </w:tcBorders>
            <w:shd w:val="clear" w:color="auto" w:fill="auto"/>
            <w:noWrap/>
            <w:vAlign w:val="center"/>
            <w:hideMark/>
          </w:tcPr>
          <w:p w14:paraId="1B4C965C"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5,000</w:t>
            </w:r>
          </w:p>
        </w:tc>
        <w:tc>
          <w:tcPr>
            <w:tcW w:w="938" w:type="dxa"/>
            <w:tcBorders>
              <w:top w:val="nil"/>
              <w:left w:val="nil"/>
              <w:bottom w:val="single" w:sz="8" w:space="0" w:color="auto"/>
              <w:right w:val="single" w:sz="8" w:space="0" w:color="auto"/>
            </w:tcBorders>
            <w:shd w:val="clear" w:color="auto" w:fill="auto"/>
            <w:noWrap/>
            <w:vAlign w:val="center"/>
            <w:hideMark/>
          </w:tcPr>
          <w:p w14:paraId="64310E01"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5,000</w:t>
            </w:r>
          </w:p>
        </w:tc>
        <w:tc>
          <w:tcPr>
            <w:tcW w:w="938" w:type="dxa"/>
            <w:tcBorders>
              <w:top w:val="nil"/>
              <w:left w:val="nil"/>
              <w:bottom w:val="single" w:sz="8" w:space="0" w:color="auto"/>
              <w:right w:val="single" w:sz="8" w:space="0" w:color="auto"/>
            </w:tcBorders>
            <w:shd w:val="clear" w:color="auto" w:fill="auto"/>
            <w:noWrap/>
            <w:vAlign w:val="center"/>
            <w:hideMark/>
          </w:tcPr>
          <w:p w14:paraId="48F31A40"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10,000</w:t>
            </w:r>
          </w:p>
        </w:tc>
        <w:tc>
          <w:tcPr>
            <w:tcW w:w="938" w:type="dxa"/>
            <w:tcBorders>
              <w:top w:val="nil"/>
              <w:left w:val="nil"/>
              <w:bottom w:val="single" w:sz="8" w:space="0" w:color="auto"/>
              <w:right w:val="single" w:sz="8" w:space="0" w:color="auto"/>
            </w:tcBorders>
            <w:shd w:val="clear" w:color="auto" w:fill="auto"/>
            <w:noWrap/>
            <w:vAlign w:val="center"/>
            <w:hideMark/>
          </w:tcPr>
          <w:p w14:paraId="3142D395"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15,000</w:t>
            </w:r>
          </w:p>
        </w:tc>
        <w:tc>
          <w:tcPr>
            <w:tcW w:w="938" w:type="dxa"/>
            <w:tcBorders>
              <w:top w:val="nil"/>
              <w:left w:val="nil"/>
              <w:bottom w:val="single" w:sz="8" w:space="0" w:color="auto"/>
              <w:right w:val="single" w:sz="8" w:space="0" w:color="auto"/>
            </w:tcBorders>
            <w:shd w:val="clear" w:color="auto" w:fill="auto"/>
            <w:vAlign w:val="center"/>
            <w:hideMark/>
          </w:tcPr>
          <w:p w14:paraId="6BBBB5CC"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5,000</w:t>
            </w:r>
          </w:p>
        </w:tc>
        <w:tc>
          <w:tcPr>
            <w:tcW w:w="1372" w:type="dxa"/>
            <w:tcBorders>
              <w:top w:val="nil"/>
              <w:left w:val="nil"/>
              <w:bottom w:val="single" w:sz="8" w:space="0" w:color="auto"/>
              <w:right w:val="single" w:sz="8" w:space="0" w:color="auto"/>
            </w:tcBorders>
            <w:shd w:val="clear" w:color="auto" w:fill="auto"/>
            <w:noWrap/>
            <w:vAlign w:val="center"/>
            <w:hideMark/>
          </w:tcPr>
          <w:p w14:paraId="1B3A3591"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50,000</w:t>
            </w:r>
          </w:p>
        </w:tc>
        <w:tc>
          <w:tcPr>
            <w:tcW w:w="690" w:type="dxa"/>
            <w:tcBorders>
              <w:top w:val="nil"/>
              <w:left w:val="nil"/>
              <w:bottom w:val="single" w:sz="8" w:space="0" w:color="auto"/>
              <w:right w:val="single" w:sz="8" w:space="0" w:color="auto"/>
            </w:tcBorders>
            <w:shd w:val="clear" w:color="auto" w:fill="auto"/>
            <w:vAlign w:val="center"/>
            <w:hideMark/>
          </w:tcPr>
          <w:p w14:paraId="2325C93B"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45</w:t>
            </w:r>
          </w:p>
        </w:tc>
      </w:tr>
      <w:tr w:rsidR="001F45CE" w:rsidRPr="00913CCF" w14:paraId="14B70AE6" w14:textId="77777777" w:rsidTr="004205FD">
        <w:trPr>
          <w:trHeight w:val="243"/>
        </w:trPr>
        <w:tc>
          <w:tcPr>
            <w:tcW w:w="1354" w:type="dxa"/>
            <w:vMerge/>
            <w:tcBorders>
              <w:top w:val="nil"/>
              <w:left w:val="single" w:sz="8" w:space="0" w:color="000000"/>
              <w:bottom w:val="double" w:sz="6" w:space="0" w:color="000000"/>
              <w:right w:val="single" w:sz="8" w:space="0" w:color="auto"/>
            </w:tcBorders>
            <w:shd w:val="clear" w:color="auto" w:fill="auto"/>
            <w:vAlign w:val="center"/>
            <w:hideMark/>
          </w:tcPr>
          <w:p w14:paraId="198BCF73"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nil"/>
              <w:left w:val="single" w:sz="8" w:space="0" w:color="auto"/>
              <w:bottom w:val="double" w:sz="6" w:space="0" w:color="000000"/>
              <w:right w:val="single" w:sz="8" w:space="0" w:color="auto"/>
            </w:tcBorders>
            <w:shd w:val="clear" w:color="auto" w:fill="auto"/>
            <w:vAlign w:val="center"/>
            <w:hideMark/>
          </w:tcPr>
          <w:p w14:paraId="23A22600"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1E98A2D2"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60AB1D71"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single" w:sz="8" w:space="0" w:color="auto"/>
              <w:right w:val="single" w:sz="8" w:space="0" w:color="auto"/>
            </w:tcBorders>
            <w:shd w:val="clear" w:color="auto" w:fill="auto"/>
            <w:noWrap/>
            <w:vAlign w:val="center"/>
            <w:hideMark/>
          </w:tcPr>
          <w:p w14:paraId="1F955903"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72200</w:t>
            </w:r>
          </w:p>
        </w:tc>
        <w:tc>
          <w:tcPr>
            <w:tcW w:w="1186" w:type="dxa"/>
            <w:tcBorders>
              <w:top w:val="nil"/>
              <w:left w:val="nil"/>
              <w:bottom w:val="single" w:sz="8" w:space="0" w:color="auto"/>
              <w:right w:val="single" w:sz="8" w:space="0" w:color="auto"/>
            </w:tcBorders>
            <w:shd w:val="clear" w:color="auto" w:fill="auto"/>
            <w:vAlign w:val="center"/>
            <w:hideMark/>
          </w:tcPr>
          <w:p w14:paraId="3F847D37" w14:textId="77777777" w:rsidR="001F45CE" w:rsidRPr="00913CCF" w:rsidRDefault="001F45CE" w:rsidP="001F45CE">
            <w:pPr>
              <w:spacing w:after="0"/>
              <w:jc w:val="left"/>
              <w:rPr>
                <w:rFonts w:eastAsia="Times New Roman" w:cs="Calibri"/>
                <w:color w:val="000000"/>
                <w:sz w:val="16"/>
                <w:szCs w:val="16"/>
              </w:rPr>
            </w:pPr>
            <w:r w:rsidRPr="00913CCF">
              <w:rPr>
                <w:rFonts w:eastAsia="Times New Roman" w:cs="Calibri"/>
                <w:color w:val="000000"/>
                <w:sz w:val="16"/>
                <w:szCs w:val="16"/>
              </w:rPr>
              <w:t>Equip. Furniture</w:t>
            </w:r>
          </w:p>
        </w:tc>
        <w:tc>
          <w:tcPr>
            <w:tcW w:w="1155" w:type="dxa"/>
            <w:tcBorders>
              <w:top w:val="nil"/>
              <w:left w:val="nil"/>
              <w:bottom w:val="single" w:sz="8" w:space="0" w:color="auto"/>
              <w:right w:val="single" w:sz="8" w:space="0" w:color="auto"/>
            </w:tcBorders>
            <w:shd w:val="clear" w:color="auto" w:fill="auto"/>
            <w:noWrap/>
            <w:vAlign w:val="center"/>
            <w:hideMark/>
          </w:tcPr>
          <w:p w14:paraId="58C47880" w14:textId="2CFF1C1B" w:rsidR="001F45CE" w:rsidRPr="00EF6D8E" w:rsidRDefault="001F45CE" w:rsidP="001F45CE">
            <w:pPr>
              <w:spacing w:after="0"/>
              <w:jc w:val="center"/>
              <w:rPr>
                <w:rFonts w:eastAsia="Times New Roman" w:cs="Calibri"/>
                <w:color w:val="000000"/>
                <w:sz w:val="16"/>
                <w:szCs w:val="16"/>
              </w:rPr>
            </w:pPr>
            <w:r w:rsidRPr="00EF6D8E">
              <w:rPr>
                <w:rFonts w:eastAsia="Times New Roman" w:cs="Calibri"/>
                <w:color w:val="000000"/>
                <w:sz w:val="16"/>
                <w:szCs w:val="16"/>
              </w:rPr>
              <w:t>0</w:t>
            </w:r>
          </w:p>
        </w:tc>
        <w:tc>
          <w:tcPr>
            <w:tcW w:w="1010" w:type="dxa"/>
            <w:tcBorders>
              <w:top w:val="nil"/>
              <w:left w:val="nil"/>
              <w:bottom w:val="single" w:sz="8" w:space="0" w:color="auto"/>
              <w:right w:val="single" w:sz="8" w:space="0" w:color="auto"/>
            </w:tcBorders>
            <w:shd w:val="clear" w:color="auto" w:fill="auto"/>
            <w:noWrap/>
            <w:vAlign w:val="center"/>
            <w:hideMark/>
          </w:tcPr>
          <w:p w14:paraId="044FB852"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 </w:t>
            </w:r>
          </w:p>
        </w:tc>
        <w:tc>
          <w:tcPr>
            <w:tcW w:w="938" w:type="dxa"/>
            <w:tcBorders>
              <w:top w:val="nil"/>
              <w:left w:val="nil"/>
              <w:bottom w:val="single" w:sz="8" w:space="0" w:color="auto"/>
              <w:right w:val="single" w:sz="8" w:space="0" w:color="auto"/>
            </w:tcBorders>
            <w:shd w:val="clear" w:color="auto" w:fill="auto"/>
            <w:noWrap/>
            <w:vAlign w:val="center"/>
            <w:hideMark/>
          </w:tcPr>
          <w:p w14:paraId="015ED1E6"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 </w:t>
            </w:r>
          </w:p>
        </w:tc>
        <w:tc>
          <w:tcPr>
            <w:tcW w:w="938" w:type="dxa"/>
            <w:tcBorders>
              <w:top w:val="nil"/>
              <w:left w:val="nil"/>
              <w:bottom w:val="single" w:sz="8" w:space="0" w:color="auto"/>
              <w:right w:val="single" w:sz="8" w:space="0" w:color="auto"/>
            </w:tcBorders>
            <w:shd w:val="clear" w:color="auto" w:fill="auto"/>
            <w:noWrap/>
            <w:vAlign w:val="center"/>
            <w:hideMark/>
          </w:tcPr>
          <w:p w14:paraId="2DA70932"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 </w:t>
            </w:r>
          </w:p>
        </w:tc>
        <w:tc>
          <w:tcPr>
            <w:tcW w:w="938" w:type="dxa"/>
            <w:tcBorders>
              <w:top w:val="nil"/>
              <w:left w:val="nil"/>
              <w:bottom w:val="single" w:sz="8" w:space="0" w:color="auto"/>
              <w:right w:val="single" w:sz="8" w:space="0" w:color="auto"/>
            </w:tcBorders>
            <w:shd w:val="clear" w:color="auto" w:fill="auto"/>
            <w:noWrap/>
            <w:vAlign w:val="center"/>
            <w:hideMark/>
          </w:tcPr>
          <w:p w14:paraId="7C18962F"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 </w:t>
            </w:r>
          </w:p>
        </w:tc>
        <w:tc>
          <w:tcPr>
            <w:tcW w:w="938" w:type="dxa"/>
            <w:tcBorders>
              <w:top w:val="nil"/>
              <w:left w:val="nil"/>
              <w:bottom w:val="single" w:sz="8" w:space="0" w:color="auto"/>
              <w:right w:val="single" w:sz="8" w:space="0" w:color="auto"/>
            </w:tcBorders>
            <w:shd w:val="clear" w:color="auto" w:fill="auto"/>
            <w:vAlign w:val="center"/>
            <w:hideMark/>
          </w:tcPr>
          <w:p w14:paraId="5646784E"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 </w:t>
            </w:r>
          </w:p>
        </w:tc>
        <w:tc>
          <w:tcPr>
            <w:tcW w:w="1372" w:type="dxa"/>
            <w:tcBorders>
              <w:top w:val="nil"/>
              <w:left w:val="nil"/>
              <w:bottom w:val="single" w:sz="8" w:space="0" w:color="auto"/>
              <w:right w:val="single" w:sz="8" w:space="0" w:color="auto"/>
            </w:tcBorders>
            <w:shd w:val="clear" w:color="auto" w:fill="auto"/>
            <w:noWrap/>
            <w:vAlign w:val="center"/>
            <w:hideMark/>
          </w:tcPr>
          <w:p w14:paraId="688227DE" w14:textId="51E5F147" w:rsidR="001F45CE" w:rsidRPr="00EF6D8E"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0</w:t>
            </w:r>
          </w:p>
        </w:tc>
        <w:tc>
          <w:tcPr>
            <w:tcW w:w="690" w:type="dxa"/>
            <w:tcBorders>
              <w:top w:val="nil"/>
              <w:left w:val="nil"/>
              <w:bottom w:val="single" w:sz="8" w:space="0" w:color="auto"/>
              <w:right w:val="single" w:sz="8" w:space="0" w:color="auto"/>
            </w:tcBorders>
            <w:shd w:val="clear" w:color="auto" w:fill="auto"/>
            <w:vAlign w:val="center"/>
            <w:hideMark/>
          </w:tcPr>
          <w:p w14:paraId="64406030"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46</w:t>
            </w:r>
          </w:p>
        </w:tc>
      </w:tr>
      <w:tr w:rsidR="001F45CE" w:rsidRPr="00913CCF" w14:paraId="11964FFA" w14:textId="77777777" w:rsidTr="004205FD">
        <w:trPr>
          <w:trHeight w:val="225"/>
        </w:trPr>
        <w:tc>
          <w:tcPr>
            <w:tcW w:w="1354" w:type="dxa"/>
            <w:vMerge/>
            <w:tcBorders>
              <w:top w:val="nil"/>
              <w:left w:val="single" w:sz="8" w:space="0" w:color="000000"/>
              <w:bottom w:val="double" w:sz="6" w:space="0" w:color="000000"/>
              <w:right w:val="single" w:sz="8" w:space="0" w:color="auto"/>
            </w:tcBorders>
            <w:shd w:val="clear" w:color="auto" w:fill="auto"/>
            <w:vAlign w:val="center"/>
            <w:hideMark/>
          </w:tcPr>
          <w:p w14:paraId="4D29DDE4"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nil"/>
              <w:left w:val="single" w:sz="8" w:space="0" w:color="auto"/>
              <w:bottom w:val="double" w:sz="6" w:space="0" w:color="000000"/>
              <w:right w:val="single" w:sz="8" w:space="0" w:color="auto"/>
            </w:tcBorders>
            <w:shd w:val="clear" w:color="auto" w:fill="auto"/>
            <w:vAlign w:val="center"/>
            <w:hideMark/>
          </w:tcPr>
          <w:p w14:paraId="5A32407A"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54E0818E"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43D6FA61"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single" w:sz="8" w:space="0" w:color="auto"/>
              <w:right w:val="single" w:sz="8" w:space="0" w:color="auto"/>
            </w:tcBorders>
            <w:shd w:val="clear" w:color="auto" w:fill="auto"/>
            <w:noWrap/>
            <w:vAlign w:val="center"/>
            <w:hideMark/>
          </w:tcPr>
          <w:p w14:paraId="29503441"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74100</w:t>
            </w:r>
          </w:p>
        </w:tc>
        <w:tc>
          <w:tcPr>
            <w:tcW w:w="1186" w:type="dxa"/>
            <w:tcBorders>
              <w:top w:val="nil"/>
              <w:left w:val="nil"/>
              <w:bottom w:val="single" w:sz="8" w:space="0" w:color="auto"/>
              <w:right w:val="single" w:sz="8" w:space="0" w:color="auto"/>
            </w:tcBorders>
            <w:shd w:val="clear" w:color="auto" w:fill="auto"/>
            <w:vAlign w:val="center"/>
            <w:hideMark/>
          </w:tcPr>
          <w:p w14:paraId="04F1735D" w14:textId="77777777" w:rsidR="001F45CE" w:rsidRPr="00913CCF" w:rsidRDefault="001F45CE" w:rsidP="001F45CE">
            <w:pPr>
              <w:spacing w:after="0"/>
              <w:jc w:val="left"/>
              <w:rPr>
                <w:rFonts w:eastAsia="Times New Roman" w:cs="Calibri"/>
                <w:color w:val="000000"/>
                <w:sz w:val="16"/>
                <w:szCs w:val="16"/>
              </w:rPr>
            </w:pPr>
            <w:r w:rsidRPr="00913CCF">
              <w:rPr>
                <w:rFonts w:eastAsia="Times New Roman" w:cs="Calibri"/>
                <w:color w:val="000000"/>
                <w:sz w:val="16"/>
                <w:szCs w:val="16"/>
              </w:rPr>
              <w:t xml:space="preserve">Profession. Serv. </w:t>
            </w:r>
          </w:p>
        </w:tc>
        <w:tc>
          <w:tcPr>
            <w:tcW w:w="1155" w:type="dxa"/>
            <w:tcBorders>
              <w:top w:val="nil"/>
              <w:left w:val="nil"/>
              <w:bottom w:val="single" w:sz="8" w:space="0" w:color="auto"/>
              <w:right w:val="single" w:sz="8" w:space="0" w:color="auto"/>
            </w:tcBorders>
            <w:shd w:val="clear" w:color="auto" w:fill="auto"/>
            <w:noWrap/>
            <w:vAlign w:val="center"/>
            <w:hideMark/>
          </w:tcPr>
          <w:p w14:paraId="3DE370C8"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1010" w:type="dxa"/>
            <w:tcBorders>
              <w:top w:val="nil"/>
              <w:left w:val="nil"/>
              <w:bottom w:val="single" w:sz="8" w:space="0" w:color="auto"/>
              <w:right w:val="single" w:sz="8" w:space="0" w:color="auto"/>
            </w:tcBorders>
            <w:shd w:val="clear" w:color="auto" w:fill="auto"/>
            <w:noWrap/>
            <w:vAlign w:val="center"/>
            <w:hideMark/>
          </w:tcPr>
          <w:p w14:paraId="596A72C2"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4,000</w:t>
            </w:r>
          </w:p>
        </w:tc>
        <w:tc>
          <w:tcPr>
            <w:tcW w:w="938" w:type="dxa"/>
            <w:tcBorders>
              <w:top w:val="nil"/>
              <w:left w:val="nil"/>
              <w:bottom w:val="single" w:sz="8" w:space="0" w:color="auto"/>
              <w:right w:val="single" w:sz="8" w:space="0" w:color="auto"/>
            </w:tcBorders>
            <w:shd w:val="clear" w:color="auto" w:fill="auto"/>
            <w:noWrap/>
            <w:vAlign w:val="center"/>
            <w:hideMark/>
          </w:tcPr>
          <w:p w14:paraId="63C16EF7"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9,000</w:t>
            </w:r>
          </w:p>
        </w:tc>
        <w:tc>
          <w:tcPr>
            <w:tcW w:w="938" w:type="dxa"/>
            <w:tcBorders>
              <w:top w:val="nil"/>
              <w:left w:val="nil"/>
              <w:bottom w:val="single" w:sz="8" w:space="0" w:color="auto"/>
              <w:right w:val="single" w:sz="8" w:space="0" w:color="auto"/>
            </w:tcBorders>
            <w:shd w:val="clear" w:color="auto" w:fill="auto"/>
            <w:noWrap/>
            <w:vAlign w:val="center"/>
            <w:hideMark/>
          </w:tcPr>
          <w:p w14:paraId="0ECAE88E"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4,000</w:t>
            </w:r>
          </w:p>
        </w:tc>
        <w:tc>
          <w:tcPr>
            <w:tcW w:w="938" w:type="dxa"/>
            <w:tcBorders>
              <w:top w:val="nil"/>
              <w:left w:val="nil"/>
              <w:bottom w:val="single" w:sz="8" w:space="0" w:color="auto"/>
              <w:right w:val="single" w:sz="8" w:space="0" w:color="auto"/>
            </w:tcBorders>
            <w:shd w:val="clear" w:color="auto" w:fill="auto"/>
            <w:noWrap/>
            <w:vAlign w:val="center"/>
            <w:hideMark/>
          </w:tcPr>
          <w:p w14:paraId="19483581"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4,000</w:t>
            </w:r>
          </w:p>
        </w:tc>
        <w:tc>
          <w:tcPr>
            <w:tcW w:w="938" w:type="dxa"/>
            <w:tcBorders>
              <w:top w:val="nil"/>
              <w:left w:val="nil"/>
              <w:bottom w:val="single" w:sz="8" w:space="0" w:color="auto"/>
              <w:right w:val="single" w:sz="8" w:space="0" w:color="auto"/>
            </w:tcBorders>
            <w:shd w:val="clear" w:color="auto" w:fill="auto"/>
            <w:vAlign w:val="center"/>
            <w:hideMark/>
          </w:tcPr>
          <w:p w14:paraId="023945E5"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9,000</w:t>
            </w:r>
          </w:p>
        </w:tc>
        <w:tc>
          <w:tcPr>
            <w:tcW w:w="1372" w:type="dxa"/>
            <w:tcBorders>
              <w:top w:val="nil"/>
              <w:left w:val="nil"/>
              <w:bottom w:val="single" w:sz="8" w:space="0" w:color="auto"/>
              <w:right w:val="single" w:sz="8" w:space="0" w:color="auto"/>
            </w:tcBorders>
            <w:shd w:val="clear" w:color="auto" w:fill="auto"/>
            <w:noWrap/>
            <w:vAlign w:val="center"/>
            <w:hideMark/>
          </w:tcPr>
          <w:p w14:paraId="6A3B2639"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30,000</w:t>
            </w:r>
          </w:p>
        </w:tc>
        <w:tc>
          <w:tcPr>
            <w:tcW w:w="690" w:type="dxa"/>
            <w:tcBorders>
              <w:top w:val="nil"/>
              <w:left w:val="nil"/>
              <w:bottom w:val="single" w:sz="8" w:space="0" w:color="auto"/>
              <w:right w:val="single" w:sz="8" w:space="0" w:color="auto"/>
            </w:tcBorders>
            <w:shd w:val="clear" w:color="auto" w:fill="auto"/>
            <w:vAlign w:val="center"/>
            <w:hideMark/>
          </w:tcPr>
          <w:p w14:paraId="7A365636"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47</w:t>
            </w:r>
          </w:p>
        </w:tc>
      </w:tr>
      <w:tr w:rsidR="001F45CE" w:rsidRPr="00913CCF" w14:paraId="58AFA68C" w14:textId="77777777" w:rsidTr="004205FD">
        <w:trPr>
          <w:trHeight w:val="225"/>
        </w:trPr>
        <w:tc>
          <w:tcPr>
            <w:tcW w:w="1354" w:type="dxa"/>
            <w:vMerge/>
            <w:tcBorders>
              <w:top w:val="nil"/>
              <w:left w:val="single" w:sz="8" w:space="0" w:color="000000"/>
              <w:bottom w:val="double" w:sz="6" w:space="0" w:color="000000"/>
              <w:right w:val="single" w:sz="8" w:space="0" w:color="auto"/>
            </w:tcBorders>
            <w:shd w:val="clear" w:color="auto" w:fill="auto"/>
            <w:vAlign w:val="center"/>
            <w:hideMark/>
          </w:tcPr>
          <w:p w14:paraId="4E86F51F"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nil"/>
              <w:left w:val="single" w:sz="8" w:space="0" w:color="auto"/>
              <w:bottom w:val="double" w:sz="6" w:space="0" w:color="000000"/>
              <w:right w:val="single" w:sz="8" w:space="0" w:color="auto"/>
            </w:tcBorders>
            <w:shd w:val="clear" w:color="auto" w:fill="auto"/>
            <w:vAlign w:val="center"/>
            <w:hideMark/>
          </w:tcPr>
          <w:p w14:paraId="2A769528"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2244F2C7"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4A228E90"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single" w:sz="8" w:space="0" w:color="auto"/>
              <w:right w:val="single" w:sz="8" w:space="0" w:color="auto"/>
            </w:tcBorders>
            <w:shd w:val="clear" w:color="auto" w:fill="auto"/>
            <w:noWrap/>
            <w:vAlign w:val="center"/>
            <w:hideMark/>
          </w:tcPr>
          <w:p w14:paraId="2AC41516"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74200</w:t>
            </w:r>
          </w:p>
        </w:tc>
        <w:tc>
          <w:tcPr>
            <w:tcW w:w="1186" w:type="dxa"/>
            <w:tcBorders>
              <w:top w:val="nil"/>
              <w:left w:val="nil"/>
              <w:bottom w:val="single" w:sz="8" w:space="0" w:color="auto"/>
              <w:right w:val="single" w:sz="8" w:space="0" w:color="auto"/>
            </w:tcBorders>
            <w:shd w:val="clear" w:color="auto" w:fill="auto"/>
            <w:vAlign w:val="center"/>
            <w:hideMark/>
          </w:tcPr>
          <w:p w14:paraId="3F69C09D" w14:textId="6AB3A7F9" w:rsidR="001F45CE" w:rsidRPr="00913CCF" w:rsidRDefault="001F45CE" w:rsidP="001F45CE">
            <w:pPr>
              <w:spacing w:after="0"/>
              <w:jc w:val="left"/>
              <w:rPr>
                <w:rFonts w:eastAsia="Times New Roman" w:cs="Calibri"/>
                <w:color w:val="000000"/>
                <w:sz w:val="16"/>
                <w:szCs w:val="16"/>
              </w:rPr>
            </w:pPr>
            <w:r w:rsidRPr="00913CCF">
              <w:rPr>
                <w:rFonts w:eastAsia="Times New Roman" w:cs="Calibri"/>
                <w:color w:val="000000"/>
                <w:sz w:val="16"/>
                <w:szCs w:val="16"/>
                <w:lang w:val="fr-CA"/>
              </w:rPr>
              <w:t>Audio. print prod.</w:t>
            </w:r>
          </w:p>
        </w:tc>
        <w:tc>
          <w:tcPr>
            <w:tcW w:w="1155" w:type="dxa"/>
            <w:tcBorders>
              <w:top w:val="nil"/>
              <w:left w:val="nil"/>
              <w:bottom w:val="single" w:sz="8" w:space="0" w:color="auto"/>
              <w:right w:val="single" w:sz="8" w:space="0" w:color="auto"/>
            </w:tcBorders>
            <w:shd w:val="clear" w:color="auto" w:fill="auto"/>
            <w:noWrap/>
            <w:vAlign w:val="center"/>
            <w:hideMark/>
          </w:tcPr>
          <w:p w14:paraId="570F15C9"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lang w:val="fr-CA"/>
              </w:rPr>
              <w:t>8,000</w:t>
            </w:r>
          </w:p>
        </w:tc>
        <w:tc>
          <w:tcPr>
            <w:tcW w:w="1010" w:type="dxa"/>
            <w:tcBorders>
              <w:top w:val="nil"/>
              <w:left w:val="nil"/>
              <w:bottom w:val="single" w:sz="8" w:space="0" w:color="auto"/>
              <w:right w:val="single" w:sz="8" w:space="0" w:color="auto"/>
            </w:tcBorders>
            <w:shd w:val="clear" w:color="auto" w:fill="auto"/>
            <w:noWrap/>
            <w:vAlign w:val="center"/>
            <w:hideMark/>
          </w:tcPr>
          <w:p w14:paraId="78C3962F"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lang w:val="fr-CA"/>
              </w:rPr>
              <w:t>4,000</w:t>
            </w:r>
          </w:p>
        </w:tc>
        <w:tc>
          <w:tcPr>
            <w:tcW w:w="938" w:type="dxa"/>
            <w:tcBorders>
              <w:top w:val="nil"/>
              <w:left w:val="nil"/>
              <w:bottom w:val="single" w:sz="8" w:space="0" w:color="auto"/>
              <w:right w:val="single" w:sz="8" w:space="0" w:color="auto"/>
            </w:tcBorders>
            <w:shd w:val="clear" w:color="auto" w:fill="auto"/>
            <w:noWrap/>
            <w:vAlign w:val="center"/>
            <w:hideMark/>
          </w:tcPr>
          <w:p w14:paraId="026584EF"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lang w:val="fr-CA"/>
              </w:rPr>
              <w:t>4,000</w:t>
            </w:r>
          </w:p>
        </w:tc>
        <w:tc>
          <w:tcPr>
            <w:tcW w:w="938" w:type="dxa"/>
            <w:tcBorders>
              <w:top w:val="nil"/>
              <w:left w:val="nil"/>
              <w:bottom w:val="single" w:sz="8" w:space="0" w:color="auto"/>
              <w:right w:val="single" w:sz="8" w:space="0" w:color="auto"/>
            </w:tcBorders>
            <w:shd w:val="clear" w:color="auto" w:fill="auto"/>
            <w:noWrap/>
            <w:vAlign w:val="center"/>
            <w:hideMark/>
          </w:tcPr>
          <w:p w14:paraId="0BA9820B"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lang w:val="fr-CA"/>
              </w:rPr>
              <w:t>14,000</w:t>
            </w:r>
          </w:p>
        </w:tc>
        <w:tc>
          <w:tcPr>
            <w:tcW w:w="938" w:type="dxa"/>
            <w:tcBorders>
              <w:top w:val="nil"/>
              <w:left w:val="nil"/>
              <w:bottom w:val="single" w:sz="8" w:space="0" w:color="auto"/>
              <w:right w:val="single" w:sz="8" w:space="0" w:color="auto"/>
            </w:tcBorders>
            <w:shd w:val="clear" w:color="auto" w:fill="auto"/>
            <w:noWrap/>
            <w:vAlign w:val="center"/>
            <w:hideMark/>
          </w:tcPr>
          <w:p w14:paraId="00EEA2D7"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lang w:val="fr-CA"/>
              </w:rPr>
              <w:t>14,000</w:t>
            </w:r>
          </w:p>
        </w:tc>
        <w:tc>
          <w:tcPr>
            <w:tcW w:w="938" w:type="dxa"/>
            <w:tcBorders>
              <w:top w:val="nil"/>
              <w:left w:val="nil"/>
              <w:bottom w:val="single" w:sz="8" w:space="0" w:color="auto"/>
              <w:right w:val="single" w:sz="8" w:space="0" w:color="auto"/>
            </w:tcBorders>
            <w:shd w:val="clear" w:color="auto" w:fill="auto"/>
            <w:vAlign w:val="center"/>
            <w:hideMark/>
          </w:tcPr>
          <w:p w14:paraId="5DE9B71C"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lang w:val="fr-CA"/>
              </w:rPr>
              <w:t>14,000</w:t>
            </w:r>
          </w:p>
        </w:tc>
        <w:tc>
          <w:tcPr>
            <w:tcW w:w="1372" w:type="dxa"/>
            <w:tcBorders>
              <w:top w:val="nil"/>
              <w:left w:val="nil"/>
              <w:bottom w:val="single" w:sz="8" w:space="0" w:color="auto"/>
              <w:right w:val="single" w:sz="8" w:space="0" w:color="auto"/>
            </w:tcBorders>
            <w:shd w:val="clear" w:color="auto" w:fill="auto"/>
            <w:noWrap/>
            <w:vAlign w:val="center"/>
            <w:hideMark/>
          </w:tcPr>
          <w:p w14:paraId="6A2293C7"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58,000</w:t>
            </w:r>
          </w:p>
        </w:tc>
        <w:tc>
          <w:tcPr>
            <w:tcW w:w="690" w:type="dxa"/>
            <w:tcBorders>
              <w:top w:val="nil"/>
              <w:left w:val="nil"/>
              <w:bottom w:val="single" w:sz="8" w:space="0" w:color="auto"/>
              <w:right w:val="single" w:sz="8" w:space="0" w:color="auto"/>
            </w:tcBorders>
            <w:shd w:val="clear" w:color="auto" w:fill="auto"/>
            <w:vAlign w:val="center"/>
            <w:hideMark/>
          </w:tcPr>
          <w:p w14:paraId="4B8C1933"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48</w:t>
            </w:r>
          </w:p>
        </w:tc>
      </w:tr>
      <w:tr w:rsidR="001F45CE" w:rsidRPr="00913CCF" w14:paraId="271F04D8" w14:textId="77777777" w:rsidTr="004205FD">
        <w:trPr>
          <w:trHeight w:val="225"/>
        </w:trPr>
        <w:tc>
          <w:tcPr>
            <w:tcW w:w="1354" w:type="dxa"/>
            <w:vMerge/>
            <w:tcBorders>
              <w:top w:val="nil"/>
              <w:left w:val="single" w:sz="8" w:space="0" w:color="000000"/>
              <w:bottom w:val="double" w:sz="6" w:space="0" w:color="000000"/>
              <w:right w:val="single" w:sz="8" w:space="0" w:color="auto"/>
            </w:tcBorders>
            <w:shd w:val="clear" w:color="auto" w:fill="auto"/>
            <w:vAlign w:val="center"/>
            <w:hideMark/>
          </w:tcPr>
          <w:p w14:paraId="65952DB6"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nil"/>
              <w:left w:val="single" w:sz="8" w:space="0" w:color="auto"/>
              <w:bottom w:val="double" w:sz="6" w:space="0" w:color="000000"/>
              <w:right w:val="single" w:sz="8" w:space="0" w:color="auto"/>
            </w:tcBorders>
            <w:shd w:val="clear" w:color="auto" w:fill="auto"/>
            <w:vAlign w:val="center"/>
            <w:hideMark/>
          </w:tcPr>
          <w:p w14:paraId="27078BB1"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6786C058"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378DCEE7"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single" w:sz="8" w:space="0" w:color="auto"/>
              <w:right w:val="single" w:sz="8" w:space="0" w:color="auto"/>
            </w:tcBorders>
            <w:shd w:val="clear" w:color="auto" w:fill="auto"/>
            <w:noWrap/>
            <w:vAlign w:val="center"/>
            <w:hideMark/>
          </w:tcPr>
          <w:p w14:paraId="56475313"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74500</w:t>
            </w:r>
          </w:p>
        </w:tc>
        <w:tc>
          <w:tcPr>
            <w:tcW w:w="1186" w:type="dxa"/>
            <w:tcBorders>
              <w:top w:val="nil"/>
              <w:left w:val="nil"/>
              <w:bottom w:val="single" w:sz="8" w:space="0" w:color="auto"/>
              <w:right w:val="single" w:sz="8" w:space="0" w:color="auto"/>
            </w:tcBorders>
            <w:shd w:val="clear" w:color="auto" w:fill="auto"/>
            <w:vAlign w:val="center"/>
            <w:hideMark/>
          </w:tcPr>
          <w:p w14:paraId="094AF3F8" w14:textId="77777777" w:rsidR="001F45CE" w:rsidRPr="00913CCF" w:rsidRDefault="001F45CE" w:rsidP="001F45CE">
            <w:pPr>
              <w:spacing w:after="0"/>
              <w:jc w:val="left"/>
              <w:rPr>
                <w:rFonts w:eastAsia="Times New Roman" w:cs="Calibri"/>
                <w:color w:val="000000"/>
                <w:sz w:val="16"/>
                <w:szCs w:val="16"/>
              </w:rPr>
            </w:pPr>
            <w:r w:rsidRPr="00913CCF">
              <w:rPr>
                <w:rFonts w:eastAsia="Times New Roman" w:cs="Calibri"/>
                <w:color w:val="000000"/>
                <w:sz w:val="16"/>
                <w:szCs w:val="16"/>
              </w:rPr>
              <w:t>Miscellaneous</w:t>
            </w:r>
          </w:p>
        </w:tc>
        <w:tc>
          <w:tcPr>
            <w:tcW w:w="1155" w:type="dxa"/>
            <w:tcBorders>
              <w:top w:val="nil"/>
              <w:left w:val="nil"/>
              <w:bottom w:val="single" w:sz="8" w:space="0" w:color="auto"/>
              <w:right w:val="single" w:sz="8" w:space="0" w:color="auto"/>
            </w:tcBorders>
            <w:shd w:val="clear" w:color="auto" w:fill="auto"/>
            <w:noWrap/>
            <w:vAlign w:val="center"/>
            <w:hideMark/>
          </w:tcPr>
          <w:p w14:paraId="1B7E326F" w14:textId="7D6616D8" w:rsidR="001F45CE" w:rsidRPr="00EF6D8E" w:rsidRDefault="001F45CE" w:rsidP="001F45CE">
            <w:pPr>
              <w:spacing w:after="0"/>
              <w:jc w:val="center"/>
              <w:rPr>
                <w:rFonts w:eastAsia="Times New Roman" w:cs="Calibri"/>
                <w:color w:val="000000"/>
                <w:sz w:val="16"/>
                <w:szCs w:val="16"/>
              </w:rPr>
            </w:pPr>
            <w:r w:rsidRPr="00EF6D8E">
              <w:rPr>
                <w:rFonts w:eastAsia="Times New Roman" w:cs="Calibri"/>
                <w:color w:val="000000"/>
                <w:sz w:val="16"/>
                <w:szCs w:val="16"/>
                <w:lang w:val="fr-CA"/>
              </w:rPr>
              <w:t>10,498</w:t>
            </w:r>
          </w:p>
        </w:tc>
        <w:tc>
          <w:tcPr>
            <w:tcW w:w="1010" w:type="dxa"/>
            <w:tcBorders>
              <w:top w:val="nil"/>
              <w:left w:val="nil"/>
              <w:bottom w:val="single" w:sz="8" w:space="0" w:color="auto"/>
              <w:right w:val="single" w:sz="8" w:space="0" w:color="auto"/>
            </w:tcBorders>
            <w:shd w:val="clear" w:color="auto" w:fill="auto"/>
            <w:noWrap/>
            <w:vAlign w:val="center"/>
            <w:hideMark/>
          </w:tcPr>
          <w:p w14:paraId="53618EC9" w14:textId="6775D796" w:rsidR="001F45CE" w:rsidRPr="00EF6D8E" w:rsidRDefault="001F45CE" w:rsidP="001F45CE">
            <w:pPr>
              <w:spacing w:after="0"/>
              <w:jc w:val="center"/>
              <w:rPr>
                <w:rFonts w:eastAsia="Times New Roman" w:cs="Calibri"/>
                <w:color w:val="000000"/>
                <w:sz w:val="16"/>
                <w:szCs w:val="16"/>
              </w:rPr>
            </w:pPr>
            <w:r w:rsidRPr="00276497">
              <w:rPr>
                <w:rFonts w:eastAsia="Times New Roman" w:cs="Calibri"/>
                <w:color w:val="000000"/>
                <w:sz w:val="16"/>
                <w:szCs w:val="16"/>
                <w:highlight w:val="green"/>
                <w:lang w:val="fr-CA"/>
              </w:rPr>
              <w:t>3,000</w:t>
            </w:r>
          </w:p>
        </w:tc>
        <w:tc>
          <w:tcPr>
            <w:tcW w:w="938" w:type="dxa"/>
            <w:tcBorders>
              <w:top w:val="nil"/>
              <w:left w:val="nil"/>
              <w:bottom w:val="single" w:sz="8" w:space="0" w:color="auto"/>
              <w:right w:val="single" w:sz="8" w:space="0" w:color="auto"/>
            </w:tcBorders>
            <w:shd w:val="clear" w:color="auto" w:fill="auto"/>
            <w:noWrap/>
            <w:vAlign w:val="center"/>
            <w:hideMark/>
          </w:tcPr>
          <w:p w14:paraId="60AF9347" w14:textId="2EDC9180" w:rsidR="001F45CE" w:rsidRPr="00EF6D8E" w:rsidRDefault="001F45CE" w:rsidP="001F45CE">
            <w:pPr>
              <w:spacing w:after="0"/>
              <w:jc w:val="center"/>
              <w:rPr>
                <w:rFonts w:eastAsia="Times New Roman" w:cs="Calibri"/>
                <w:color w:val="000000"/>
                <w:sz w:val="16"/>
                <w:szCs w:val="16"/>
              </w:rPr>
            </w:pPr>
            <w:r w:rsidRPr="00276497">
              <w:rPr>
                <w:rFonts w:eastAsia="Times New Roman" w:cs="Calibri"/>
                <w:color w:val="000000"/>
                <w:sz w:val="16"/>
                <w:szCs w:val="16"/>
                <w:highlight w:val="green"/>
                <w:lang w:val="fr-CA"/>
              </w:rPr>
              <w:t>3,000</w:t>
            </w:r>
          </w:p>
        </w:tc>
        <w:tc>
          <w:tcPr>
            <w:tcW w:w="938" w:type="dxa"/>
            <w:tcBorders>
              <w:top w:val="nil"/>
              <w:left w:val="nil"/>
              <w:bottom w:val="single" w:sz="8" w:space="0" w:color="auto"/>
              <w:right w:val="single" w:sz="8" w:space="0" w:color="auto"/>
            </w:tcBorders>
            <w:shd w:val="clear" w:color="auto" w:fill="auto"/>
            <w:noWrap/>
            <w:vAlign w:val="center"/>
            <w:hideMark/>
          </w:tcPr>
          <w:p w14:paraId="4AB1F7F7" w14:textId="5EC6A694" w:rsidR="001F45CE" w:rsidRPr="00EF6D8E" w:rsidRDefault="001F45CE" w:rsidP="001F45CE">
            <w:pPr>
              <w:spacing w:after="0"/>
              <w:jc w:val="center"/>
              <w:rPr>
                <w:rFonts w:eastAsia="Times New Roman" w:cs="Calibri"/>
                <w:color w:val="000000"/>
                <w:sz w:val="16"/>
                <w:szCs w:val="16"/>
              </w:rPr>
            </w:pPr>
            <w:r w:rsidRPr="00276497">
              <w:rPr>
                <w:rFonts w:eastAsia="Times New Roman" w:cs="Calibri"/>
                <w:color w:val="000000"/>
                <w:sz w:val="16"/>
                <w:szCs w:val="16"/>
                <w:highlight w:val="green"/>
                <w:lang w:val="fr-CA"/>
              </w:rPr>
              <w:t>3,000</w:t>
            </w:r>
          </w:p>
        </w:tc>
        <w:tc>
          <w:tcPr>
            <w:tcW w:w="938" w:type="dxa"/>
            <w:tcBorders>
              <w:top w:val="nil"/>
              <w:left w:val="nil"/>
              <w:bottom w:val="single" w:sz="8" w:space="0" w:color="auto"/>
              <w:right w:val="single" w:sz="8" w:space="0" w:color="auto"/>
            </w:tcBorders>
            <w:shd w:val="clear" w:color="auto" w:fill="auto"/>
            <w:noWrap/>
            <w:vAlign w:val="center"/>
            <w:hideMark/>
          </w:tcPr>
          <w:p w14:paraId="28828B29" w14:textId="05F155C2" w:rsidR="001F45CE" w:rsidRPr="00EF6D8E" w:rsidRDefault="001F45CE" w:rsidP="001F45CE">
            <w:pPr>
              <w:spacing w:after="0"/>
              <w:jc w:val="center"/>
              <w:rPr>
                <w:rFonts w:eastAsia="Times New Roman" w:cs="Calibri"/>
                <w:color w:val="000000"/>
                <w:sz w:val="16"/>
                <w:szCs w:val="16"/>
              </w:rPr>
            </w:pPr>
            <w:r w:rsidRPr="00276497">
              <w:rPr>
                <w:rFonts w:eastAsia="Times New Roman" w:cs="Calibri"/>
                <w:color w:val="000000"/>
                <w:sz w:val="16"/>
                <w:szCs w:val="16"/>
                <w:highlight w:val="green"/>
                <w:lang w:val="fr-CA"/>
              </w:rPr>
              <w:t>3,000</w:t>
            </w:r>
          </w:p>
        </w:tc>
        <w:tc>
          <w:tcPr>
            <w:tcW w:w="938" w:type="dxa"/>
            <w:tcBorders>
              <w:top w:val="nil"/>
              <w:left w:val="nil"/>
              <w:bottom w:val="single" w:sz="8" w:space="0" w:color="auto"/>
              <w:right w:val="single" w:sz="8" w:space="0" w:color="auto"/>
            </w:tcBorders>
            <w:shd w:val="clear" w:color="auto" w:fill="auto"/>
            <w:vAlign w:val="center"/>
            <w:hideMark/>
          </w:tcPr>
          <w:p w14:paraId="332161DD" w14:textId="5D27AF02" w:rsidR="001F45CE" w:rsidRPr="00EF6D8E" w:rsidRDefault="001F45CE" w:rsidP="001F45CE">
            <w:pPr>
              <w:spacing w:after="0"/>
              <w:jc w:val="center"/>
              <w:rPr>
                <w:rFonts w:eastAsia="Times New Roman" w:cs="Calibri"/>
                <w:color w:val="000000"/>
                <w:sz w:val="16"/>
                <w:szCs w:val="16"/>
              </w:rPr>
            </w:pPr>
            <w:r w:rsidRPr="00EF6D8E">
              <w:rPr>
                <w:rFonts w:eastAsia="Times New Roman" w:cs="Calibri"/>
                <w:color w:val="000000"/>
                <w:sz w:val="16"/>
                <w:szCs w:val="16"/>
                <w:lang w:val="fr-CA"/>
              </w:rPr>
              <w:t>13,000</w:t>
            </w:r>
          </w:p>
        </w:tc>
        <w:tc>
          <w:tcPr>
            <w:tcW w:w="1372" w:type="dxa"/>
            <w:tcBorders>
              <w:top w:val="nil"/>
              <w:left w:val="nil"/>
              <w:bottom w:val="single" w:sz="8" w:space="0" w:color="auto"/>
              <w:right w:val="single" w:sz="8" w:space="0" w:color="auto"/>
            </w:tcBorders>
            <w:shd w:val="clear" w:color="auto" w:fill="auto"/>
            <w:noWrap/>
            <w:vAlign w:val="center"/>
            <w:hideMark/>
          </w:tcPr>
          <w:p w14:paraId="22B41714" w14:textId="6EB6065A" w:rsidR="001F45CE" w:rsidRPr="00EF6D8E" w:rsidRDefault="001F45CE" w:rsidP="001F45CE">
            <w:pPr>
              <w:spacing w:after="0"/>
              <w:jc w:val="center"/>
              <w:rPr>
                <w:rFonts w:eastAsia="Times New Roman" w:cs="Calibri"/>
                <w:b/>
                <w:bCs/>
                <w:color w:val="000000"/>
                <w:sz w:val="16"/>
                <w:szCs w:val="16"/>
              </w:rPr>
            </w:pPr>
            <w:r w:rsidRPr="00276497">
              <w:rPr>
                <w:rFonts w:eastAsia="Times New Roman" w:cs="Calibri"/>
                <w:b/>
                <w:bCs/>
                <w:color w:val="000000"/>
                <w:sz w:val="16"/>
                <w:szCs w:val="16"/>
                <w:highlight w:val="green"/>
              </w:rPr>
              <w:t>35,498</w:t>
            </w:r>
          </w:p>
        </w:tc>
        <w:tc>
          <w:tcPr>
            <w:tcW w:w="690" w:type="dxa"/>
            <w:tcBorders>
              <w:top w:val="nil"/>
              <w:left w:val="nil"/>
              <w:bottom w:val="single" w:sz="8" w:space="0" w:color="auto"/>
              <w:right w:val="single" w:sz="8" w:space="0" w:color="auto"/>
            </w:tcBorders>
            <w:shd w:val="clear" w:color="auto" w:fill="auto"/>
            <w:vAlign w:val="center"/>
            <w:hideMark/>
          </w:tcPr>
          <w:p w14:paraId="71E63227"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49</w:t>
            </w:r>
          </w:p>
        </w:tc>
      </w:tr>
      <w:tr w:rsidR="001F45CE" w:rsidRPr="00913CCF" w14:paraId="30B2DD94" w14:textId="77777777" w:rsidTr="004205FD">
        <w:trPr>
          <w:trHeight w:val="198"/>
        </w:trPr>
        <w:tc>
          <w:tcPr>
            <w:tcW w:w="1354" w:type="dxa"/>
            <w:vMerge/>
            <w:tcBorders>
              <w:top w:val="nil"/>
              <w:left w:val="single" w:sz="8" w:space="0" w:color="000000"/>
              <w:bottom w:val="double" w:sz="6" w:space="0" w:color="000000"/>
              <w:right w:val="single" w:sz="8" w:space="0" w:color="auto"/>
            </w:tcBorders>
            <w:shd w:val="clear" w:color="auto" w:fill="auto"/>
            <w:vAlign w:val="center"/>
            <w:hideMark/>
          </w:tcPr>
          <w:p w14:paraId="6C09A3EA"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nil"/>
              <w:left w:val="single" w:sz="8" w:space="0" w:color="auto"/>
              <w:bottom w:val="double" w:sz="6" w:space="0" w:color="000000"/>
              <w:right w:val="single" w:sz="8" w:space="0" w:color="auto"/>
            </w:tcBorders>
            <w:shd w:val="clear" w:color="auto" w:fill="auto"/>
            <w:vAlign w:val="center"/>
            <w:hideMark/>
          </w:tcPr>
          <w:p w14:paraId="48E232DB"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28C5D64C"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48BAFA2D"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double" w:sz="6" w:space="0" w:color="auto"/>
              <w:right w:val="single" w:sz="8" w:space="0" w:color="auto"/>
            </w:tcBorders>
            <w:shd w:val="clear" w:color="auto" w:fill="auto"/>
            <w:noWrap/>
            <w:vAlign w:val="center"/>
            <w:hideMark/>
          </w:tcPr>
          <w:p w14:paraId="481C5EA6"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75700</w:t>
            </w:r>
          </w:p>
        </w:tc>
        <w:tc>
          <w:tcPr>
            <w:tcW w:w="1186" w:type="dxa"/>
            <w:tcBorders>
              <w:top w:val="nil"/>
              <w:left w:val="nil"/>
              <w:bottom w:val="double" w:sz="6" w:space="0" w:color="auto"/>
              <w:right w:val="single" w:sz="8" w:space="0" w:color="auto"/>
            </w:tcBorders>
            <w:shd w:val="clear" w:color="auto" w:fill="auto"/>
            <w:vAlign w:val="center"/>
            <w:hideMark/>
          </w:tcPr>
          <w:p w14:paraId="0367D908" w14:textId="77777777" w:rsidR="001F45CE" w:rsidRPr="00913CCF" w:rsidRDefault="001F45CE" w:rsidP="001F45CE">
            <w:pPr>
              <w:spacing w:after="0"/>
              <w:jc w:val="left"/>
              <w:rPr>
                <w:rFonts w:eastAsia="Times New Roman" w:cs="Calibri"/>
                <w:color w:val="000000"/>
                <w:sz w:val="16"/>
                <w:szCs w:val="16"/>
              </w:rPr>
            </w:pPr>
            <w:r w:rsidRPr="00913CCF">
              <w:rPr>
                <w:rFonts w:eastAsia="Times New Roman" w:cs="Calibri"/>
                <w:color w:val="000000"/>
                <w:sz w:val="16"/>
                <w:szCs w:val="16"/>
              </w:rPr>
              <w:t>Train. worksh conf</w:t>
            </w:r>
          </w:p>
        </w:tc>
        <w:tc>
          <w:tcPr>
            <w:tcW w:w="1155" w:type="dxa"/>
            <w:tcBorders>
              <w:top w:val="nil"/>
              <w:left w:val="nil"/>
              <w:bottom w:val="double" w:sz="6" w:space="0" w:color="auto"/>
              <w:right w:val="single" w:sz="8" w:space="0" w:color="auto"/>
            </w:tcBorders>
            <w:shd w:val="clear" w:color="auto" w:fill="auto"/>
            <w:noWrap/>
            <w:vAlign w:val="center"/>
            <w:hideMark/>
          </w:tcPr>
          <w:p w14:paraId="41FDA966"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5,500</w:t>
            </w:r>
          </w:p>
        </w:tc>
        <w:tc>
          <w:tcPr>
            <w:tcW w:w="1010" w:type="dxa"/>
            <w:tcBorders>
              <w:top w:val="nil"/>
              <w:left w:val="nil"/>
              <w:bottom w:val="double" w:sz="6" w:space="0" w:color="auto"/>
              <w:right w:val="single" w:sz="8" w:space="0" w:color="auto"/>
            </w:tcBorders>
            <w:shd w:val="clear" w:color="auto" w:fill="auto"/>
            <w:noWrap/>
            <w:vAlign w:val="center"/>
            <w:hideMark/>
          </w:tcPr>
          <w:p w14:paraId="3B588F50"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1,500</w:t>
            </w:r>
          </w:p>
        </w:tc>
        <w:tc>
          <w:tcPr>
            <w:tcW w:w="938" w:type="dxa"/>
            <w:tcBorders>
              <w:top w:val="nil"/>
              <w:left w:val="nil"/>
              <w:bottom w:val="double" w:sz="6" w:space="0" w:color="auto"/>
              <w:right w:val="single" w:sz="8" w:space="0" w:color="auto"/>
            </w:tcBorders>
            <w:shd w:val="clear" w:color="auto" w:fill="auto"/>
            <w:noWrap/>
            <w:vAlign w:val="center"/>
            <w:hideMark/>
          </w:tcPr>
          <w:p w14:paraId="4F7EC10F"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1,500</w:t>
            </w:r>
          </w:p>
        </w:tc>
        <w:tc>
          <w:tcPr>
            <w:tcW w:w="938" w:type="dxa"/>
            <w:tcBorders>
              <w:top w:val="nil"/>
              <w:left w:val="nil"/>
              <w:bottom w:val="double" w:sz="6" w:space="0" w:color="auto"/>
              <w:right w:val="single" w:sz="8" w:space="0" w:color="auto"/>
            </w:tcBorders>
            <w:shd w:val="clear" w:color="auto" w:fill="auto"/>
            <w:noWrap/>
            <w:vAlign w:val="center"/>
            <w:hideMark/>
          </w:tcPr>
          <w:p w14:paraId="4CC143DA"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1,500</w:t>
            </w:r>
          </w:p>
        </w:tc>
        <w:tc>
          <w:tcPr>
            <w:tcW w:w="938" w:type="dxa"/>
            <w:tcBorders>
              <w:top w:val="nil"/>
              <w:left w:val="nil"/>
              <w:bottom w:val="double" w:sz="6" w:space="0" w:color="auto"/>
              <w:right w:val="single" w:sz="8" w:space="0" w:color="auto"/>
            </w:tcBorders>
            <w:shd w:val="clear" w:color="auto" w:fill="auto"/>
            <w:noWrap/>
            <w:vAlign w:val="center"/>
            <w:hideMark/>
          </w:tcPr>
          <w:p w14:paraId="2D54CF26"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1,500</w:t>
            </w:r>
          </w:p>
        </w:tc>
        <w:tc>
          <w:tcPr>
            <w:tcW w:w="938" w:type="dxa"/>
            <w:tcBorders>
              <w:top w:val="nil"/>
              <w:left w:val="nil"/>
              <w:bottom w:val="double" w:sz="6" w:space="0" w:color="auto"/>
              <w:right w:val="single" w:sz="8" w:space="0" w:color="auto"/>
            </w:tcBorders>
            <w:shd w:val="clear" w:color="auto" w:fill="auto"/>
            <w:vAlign w:val="center"/>
            <w:hideMark/>
          </w:tcPr>
          <w:p w14:paraId="299BAD30"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1,500</w:t>
            </w:r>
          </w:p>
        </w:tc>
        <w:tc>
          <w:tcPr>
            <w:tcW w:w="1372" w:type="dxa"/>
            <w:tcBorders>
              <w:top w:val="nil"/>
              <w:left w:val="nil"/>
              <w:bottom w:val="double" w:sz="6" w:space="0" w:color="auto"/>
              <w:right w:val="single" w:sz="8" w:space="0" w:color="auto"/>
            </w:tcBorders>
            <w:shd w:val="clear" w:color="auto" w:fill="auto"/>
            <w:noWrap/>
            <w:vAlign w:val="center"/>
            <w:hideMark/>
          </w:tcPr>
          <w:p w14:paraId="544FCFBF"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13,000</w:t>
            </w:r>
          </w:p>
        </w:tc>
        <w:tc>
          <w:tcPr>
            <w:tcW w:w="690" w:type="dxa"/>
            <w:tcBorders>
              <w:top w:val="nil"/>
              <w:left w:val="nil"/>
              <w:bottom w:val="single" w:sz="8" w:space="0" w:color="auto"/>
              <w:right w:val="single" w:sz="8" w:space="0" w:color="auto"/>
            </w:tcBorders>
            <w:shd w:val="clear" w:color="auto" w:fill="auto"/>
            <w:vAlign w:val="center"/>
            <w:hideMark/>
          </w:tcPr>
          <w:p w14:paraId="14E1ACE7"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50</w:t>
            </w:r>
          </w:p>
        </w:tc>
      </w:tr>
      <w:tr w:rsidR="001F45CE" w:rsidRPr="00913CCF" w14:paraId="6B740AA1" w14:textId="77777777" w:rsidTr="004205FD">
        <w:trPr>
          <w:trHeight w:val="198"/>
        </w:trPr>
        <w:tc>
          <w:tcPr>
            <w:tcW w:w="1354" w:type="dxa"/>
            <w:vMerge/>
            <w:tcBorders>
              <w:top w:val="nil"/>
              <w:left w:val="single" w:sz="8" w:space="0" w:color="000000"/>
              <w:bottom w:val="double" w:sz="6" w:space="0" w:color="000000"/>
              <w:right w:val="single" w:sz="8" w:space="0" w:color="auto"/>
            </w:tcBorders>
            <w:shd w:val="clear" w:color="auto" w:fill="auto"/>
            <w:vAlign w:val="center"/>
            <w:hideMark/>
          </w:tcPr>
          <w:p w14:paraId="58EB516D"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nil"/>
              <w:left w:val="single" w:sz="8" w:space="0" w:color="auto"/>
              <w:bottom w:val="double" w:sz="6" w:space="0" w:color="000000"/>
              <w:right w:val="single" w:sz="8" w:space="0" w:color="auto"/>
            </w:tcBorders>
            <w:shd w:val="clear" w:color="auto" w:fill="auto"/>
            <w:vAlign w:val="center"/>
            <w:hideMark/>
          </w:tcPr>
          <w:p w14:paraId="569FBA8F"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48C4D25F"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41C758DC"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double" w:sz="6" w:space="0" w:color="auto"/>
              <w:right w:val="single" w:sz="8" w:space="0" w:color="auto"/>
            </w:tcBorders>
            <w:shd w:val="clear" w:color="auto" w:fill="auto"/>
            <w:noWrap/>
            <w:vAlign w:val="center"/>
            <w:hideMark/>
          </w:tcPr>
          <w:p w14:paraId="17A8BB4D"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 </w:t>
            </w:r>
          </w:p>
        </w:tc>
        <w:tc>
          <w:tcPr>
            <w:tcW w:w="1186" w:type="dxa"/>
            <w:tcBorders>
              <w:top w:val="nil"/>
              <w:left w:val="nil"/>
              <w:bottom w:val="double" w:sz="6" w:space="0" w:color="auto"/>
              <w:right w:val="single" w:sz="8" w:space="0" w:color="auto"/>
            </w:tcBorders>
            <w:shd w:val="clear" w:color="auto" w:fill="auto"/>
            <w:vAlign w:val="center"/>
            <w:hideMark/>
          </w:tcPr>
          <w:p w14:paraId="3F264879" w14:textId="77777777" w:rsidR="001F45CE" w:rsidRPr="00913CCF" w:rsidRDefault="001F45CE" w:rsidP="001F45CE">
            <w:pPr>
              <w:spacing w:after="0"/>
              <w:jc w:val="left"/>
              <w:rPr>
                <w:rFonts w:eastAsia="Times New Roman" w:cs="Calibri"/>
                <w:b/>
                <w:bCs/>
                <w:color w:val="000000"/>
                <w:sz w:val="15"/>
                <w:szCs w:val="15"/>
              </w:rPr>
            </w:pPr>
            <w:r w:rsidRPr="00913CCF">
              <w:rPr>
                <w:rFonts w:eastAsia="Times New Roman" w:cs="Calibri"/>
                <w:b/>
                <w:bCs/>
                <w:color w:val="000000"/>
                <w:sz w:val="15"/>
                <w:szCs w:val="15"/>
              </w:rPr>
              <w:t>Sub-total Outcome 4</w:t>
            </w:r>
          </w:p>
        </w:tc>
        <w:tc>
          <w:tcPr>
            <w:tcW w:w="1155" w:type="dxa"/>
            <w:tcBorders>
              <w:top w:val="nil"/>
              <w:left w:val="nil"/>
              <w:bottom w:val="double" w:sz="6" w:space="0" w:color="auto"/>
              <w:right w:val="single" w:sz="8" w:space="0" w:color="auto"/>
            </w:tcBorders>
            <w:shd w:val="clear" w:color="auto" w:fill="auto"/>
            <w:noWrap/>
            <w:vAlign w:val="center"/>
            <w:hideMark/>
          </w:tcPr>
          <w:p w14:paraId="3AB71915" w14:textId="5B74F181" w:rsidR="001F45CE" w:rsidRPr="00EF6D8E" w:rsidRDefault="001F45CE" w:rsidP="001F45CE">
            <w:pPr>
              <w:spacing w:after="0"/>
              <w:jc w:val="center"/>
              <w:rPr>
                <w:rFonts w:eastAsia="Times New Roman" w:cs="Calibri"/>
                <w:b/>
                <w:bCs/>
                <w:color w:val="000000"/>
                <w:sz w:val="16"/>
                <w:szCs w:val="16"/>
              </w:rPr>
            </w:pPr>
            <w:r w:rsidRPr="00635845">
              <w:rPr>
                <w:rFonts w:eastAsia="Times New Roman" w:cs="Calibri"/>
                <w:b/>
                <w:bCs/>
                <w:color w:val="000000"/>
                <w:sz w:val="16"/>
                <w:szCs w:val="16"/>
                <w:highlight w:val="green"/>
              </w:rPr>
              <w:t>130,373</w:t>
            </w:r>
          </w:p>
        </w:tc>
        <w:tc>
          <w:tcPr>
            <w:tcW w:w="1010" w:type="dxa"/>
            <w:tcBorders>
              <w:top w:val="nil"/>
              <w:left w:val="nil"/>
              <w:bottom w:val="double" w:sz="6" w:space="0" w:color="auto"/>
              <w:right w:val="single" w:sz="8" w:space="0" w:color="auto"/>
            </w:tcBorders>
            <w:shd w:val="clear" w:color="auto" w:fill="auto"/>
            <w:noWrap/>
            <w:vAlign w:val="center"/>
            <w:hideMark/>
          </w:tcPr>
          <w:p w14:paraId="1D4A0D47" w14:textId="353BE295" w:rsidR="001F45CE" w:rsidRPr="00EF6D8E" w:rsidRDefault="001F45CE" w:rsidP="001F45CE">
            <w:pPr>
              <w:spacing w:after="0"/>
              <w:jc w:val="center"/>
              <w:rPr>
                <w:rFonts w:eastAsia="Times New Roman" w:cs="Calibri"/>
                <w:b/>
                <w:bCs/>
                <w:color w:val="000000"/>
                <w:sz w:val="16"/>
                <w:szCs w:val="16"/>
              </w:rPr>
            </w:pPr>
            <w:r w:rsidRPr="00635845">
              <w:rPr>
                <w:rFonts w:eastAsia="Times New Roman" w:cs="Calibri"/>
                <w:b/>
                <w:bCs/>
                <w:color w:val="000000"/>
                <w:sz w:val="16"/>
                <w:szCs w:val="16"/>
                <w:highlight w:val="green"/>
              </w:rPr>
              <w:t>54,250</w:t>
            </w:r>
          </w:p>
        </w:tc>
        <w:tc>
          <w:tcPr>
            <w:tcW w:w="938" w:type="dxa"/>
            <w:tcBorders>
              <w:top w:val="nil"/>
              <w:left w:val="nil"/>
              <w:bottom w:val="double" w:sz="6" w:space="0" w:color="auto"/>
              <w:right w:val="single" w:sz="8" w:space="0" w:color="auto"/>
            </w:tcBorders>
            <w:shd w:val="clear" w:color="auto" w:fill="auto"/>
            <w:noWrap/>
            <w:vAlign w:val="center"/>
            <w:hideMark/>
          </w:tcPr>
          <w:p w14:paraId="3CEC1DAE" w14:textId="3EACE1F3" w:rsidR="001F45CE" w:rsidRPr="00EF6D8E" w:rsidRDefault="001F45CE" w:rsidP="001F45CE">
            <w:pPr>
              <w:spacing w:after="0"/>
              <w:jc w:val="center"/>
              <w:rPr>
                <w:rFonts w:eastAsia="Times New Roman" w:cs="Calibri"/>
                <w:b/>
                <w:bCs/>
                <w:color w:val="000000"/>
                <w:sz w:val="16"/>
                <w:szCs w:val="16"/>
              </w:rPr>
            </w:pPr>
            <w:r w:rsidRPr="00635845">
              <w:rPr>
                <w:rFonts w:eastAsia="Times New Roman" w:cs="Calibri"/>
                <w:b/>
                <w:bCs/>
                <w:color w:val="000000"/>
                <w:sz w:val="16"/>
                <w:szCs w:val="16"/>
                <w:highlight w:val="green"/>
              </w:rPr>
              <w:t>92,100</w:t>
            </w:r>
          </w:p>
        </w:tc>
        <w:tc>
          <w:tcPr>
            <w:tcW w:w="938" w:type="dxa"/>
            <w:tcBorders>
              <w:top w:val="nil"/>
              <w:left w:val="nil"/>
              <w:bottom w:val="double" w:sz="6" w:space="0" w:color="auto"/>
              <w:right w:val="single" w:sz="8" w:space="0" w:color="auto"/>
            </w:tcBorders>
            <w:shd w:val="clear" w:color="auto" w:fill="auto"/>
            <w:noWrap/>
            <w:vAlign w:val="center"/>
            <w:hideMark/>
          </w:tcPr>
          <w:p w14:paraId="493B8197" w14:textId="042A9F17" w:rsidR="001F45CE" w:rsidRPr="00EF6D8E" w:rsidRDefault="001F45CE" w:rsidP="001F45CE">
            <w:pPr>
              <w:spacing w:after="0"/>
              <w:jc w:val="center"/>
              <w:rPr>
                <w:rFonts w:eastAsia="Times New Roman" w:cs="Calibri"/>
                <w:b/>
                <w:bCs/>
                <w:color w:val="000000"/>
                <w:sz w:val="16"/>
                <w:szCs w:val="16"/>
              </w:rPr>
            </w:pPr>
            <w:r w:rsidRPr="00635845">
              <w:rPr>
                <w:rFonts w:eastAsia="Times New Roman" w:cs="Calibri"/>
                <w:b/>
                <w:bCs/>
                <w:color w:val="000000"/>
                <w:sz w:val="16"/>
                <w:szCs w:val="16"/>
                <w:highlight w:val="green"/>
              </w:rPr>
              <w:t>74,250</w:t>
            </w:r>
          </w:p>
        </w:tc>
        <w:tc>
          <w:tcPr>
            <w:tcW w:w="938" w:type="dxa"/>
            <w:tcBorders>
              <w:top w:val="nil"/>
              <w:left w:val="nil"/>
              <w:bottom w:val="double" w:sz="6" w:space="0" w:color="auto"/>
              <w:right w:val="single" w:sz="8" w:space="0" w:color="auto"/>
            </w:tcBorders>
            <w:shd w:val="clear" w:color="auto" w:fill="auto"/>
            <w:noWrap/>
            <w:vAlign w:val="center"/>
            <w:hideMark/>
          </w:tcPr>
          <w:p w14:paraId="0AE74E7B" w14:textId="3322C7E6" w:rsidR="001F45CE" w:rsidRPr="00EF6D8E" w:rsidRDefault="001F45CE" w:rsidP="001F45CE">
            <w:pPr>
              <w:spacing w:after="0"/>
              <w:jc w:val="center"/>
              <w:rPr>
                <w:rFonts w:eastAsia="Times New Roman" w:cs="Calibri"/>
                <w:b/>
                <w:bCs/>
                <w:color w:val="000000"/>
                <w:sz w:val="16"/>
                <w:szCs w:val="16"/>
              </w:rPr>
            </w:pPr>
            <w:r w:rsidRPr="00635845">
              <w:rPr>
                <w:rFonts w:eastAsia="Times New Roman" w:cs="Calibri"/>
                <w:b/>
                <w:bCs/>
                <w:color w:val="000000"/>
                <w:sz w:val="16"/>
                <w:szCs w:val="16"/>
                <w:highlight w:val="green"/>
              </w:rPr>
              <w:t>79,250</w:t>
            </w:r>
          </w:p>
        </w:tc>
        <w:tc>
          <w:tcPr>
            <w:tcW w:w="938" w:type="dxa"/>
            <w:tcBorders>
              <w:top w:val="nil"/>
              <w:left w:val="nil"/>
              <w:bottom w:val="double" w:sz="6" w:space="0" w:color="auto"/>
              <w:right w:val="single" w:sz="8" w:space="0" w:color="auto"/>
            </w:tcBorders>
            <w:shd w:val="clear" w:color="auto" w:fill="auto"/>
            <w:vAlign w:val="center"/>
            <w:hideMark/>
          </w:tcPr>
          <w:p w14:paraId="66BA893E" w14:textId="2EAE49CA" w:rsidR="001F45CE" w:rsidRPr="00EF6D8E"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104,450</w:t>
            </w:r>
          </w:p>
        </w:tc>
        <w:tc>
          <w:tcPr>
            <w:tcW w:w="1372" w:type="dxa"/>
            <w:tcBorders>
              <w:top w:val="nil"/>
              <w:left w:val="nil"/>
              <w:bottom w:val="double" w:sz="6" w:space="0" w:color="auto"/>
              <w:right w:val="single" w:sz="8" w:space="0" w:color="auto"/>
            </w:tcBorders>
            <w:shd w:val="clear" w:color="auto" w:fill="auto"/>
            <w:noWrap/>
            <w:vAlign w:val="center"/>
            <w:hideMark/>
          </w:tcPr>
          <w:p w14:paraId="1D2FF115" w14:textId="1DA36680" w:rsidR="001F45CE" w:rsidRPr="00EF6D8E"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534,673</w:t>
            </w:r>
          </w:p>
        </w:tc>
        <w:tc>
          <w:tcPr>
            <w:tcW w:w="690" w:type="dxa"/>
            <w:tcBorders>
              <w:top w:val="nil"/>
              <w:left w:val="nil"/>
              <w:bottom w:val="double" w:sz="6" w:space="0" w:color="auto"/>
              <w:right w:val="single" w:sz="8" w:space="0" w:color="auto"/>
            </w:tcBorders>
            <w:shd w:val="clear" w:color="auto" w:fill="auto"/>
            <w:vAlign w:val="center"/>
            <w:hideMark/>
          </w:tcPr>
          <w:p w14:paraId="53407923" w14:textId="77777777" w:rsidR="001F45CE" w:rsidRPr="00913CCF" w:rsidRDefault="001F45CE" w:rsidP="001F45CE">
            <w:pPr>
              <w:spacing w:after="0"/>
              <w:jc w:val="center"/>
              <w:rPr>
                <w:rFonts w:eastAsia="Times New Roman" w:cs="Calibri"/>
                <w:color w:val="000000"/>
                <w:sz w:val="14"/>
                <w:szCs w:val="14"/>
              </w:rPr>
            </w:pPr>
            <w:r w:rsidRPr="00913CCF">
              <w:rPr>
                <w:rFonts w:eastAsia="Times New Roman" w:cs="Calibri"/>
                <w:color w:val="000000"/>
                <w:sz w:val="14"/>
                <w:szCs w:val="14"/>
              </w:rPr>
              <w:t> </w:t>
            </w:r>
          </w:p>
        </w:tc>
      </w:tr>
      <w:tr w:rsidR="001F45CE" w:rsidRPr="00913CCF" w14:paraId="7CECB04E" w14:textId="77777777" w:rsidTr="004205FD">
        <w:trPr>
          <w:trHeight w:val="180"/>
        </w:trPr>
        <w:tc>
          <w:tcPr>
            <w:tcW w:w="1354" w:type="dxa"/>
            <w:vMerge/>
            <w:tcBorders>
              <w:top w:val="nil"/>
              <w:left w:val="single" w:sz="8" w:space="0" w:color="000000"/>
              <w:bottom w:val="double" w:sz="6" w:space="0" w:color="000000"/>
              <w:right w:val="single" w:sz="8" w:space="0" w:color="auto"/>
            </w:tcBorders>
            <w:shd w:val="clear" w:color="auto" w:fill="auto"/>
            <w:vAlign w:val="center"/>
            <w:hideMark/>
          </w:tcPr>
          <w:p w14:paraId="5DC8B74D" w14:textId="77777777" w:rsidR="001F45CE" w:rsidRPr="00913CCF" w:rsidRDefault="001F45CE" w:rsidP="001F45CE">
            <w:pPr>
              <w:spacing w:after="0"/>
              <w:jc w:val="left"/>
              <w:rPr>
                <w:rFonts w:eastAsia="Times New Roman" w:cs="Calibri"/>
                <w:b/>
                <w:bCs/>
                <w:color w:val="000000"/>
                <w:sz w:val="16"/>
                <w:szCs w:val="16"/>
              </w:rPr>
            </w:pPr>
          </w:p>
        </w:tc>
        <w:tc>
          <w:tcPr>
            <w:tcW w:w="1266" w:type="dxa"/>
            <w:vMerge w:val="restart"/>
            <w:tcBorders>
              <w:top w:val="nil"/>
              <w:left w:val="single" w:sz="8" w:space="0" w:color="auto"/>
              <w:bottom w:val="double" w:sz="6" w:space="0" w:color="000000"/>
              <w:right w:val="single" w:sz="8" w:space="0" w:color="auto"/>
            </w:tcBorders>
            <w:shd w:val="clear" w:color="auto" w:fill="auto"/>
            <w:vAlign w:val="center"/>
            <w:hideMark/>
          </w:tcPr>
          <w:p w14:paraId="782CE5B4"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UNDP</w:t>
            </w:r>
          </w:p>
        </w:tc>
        <w:tc>
          <w:tcPr>
            <w:tcW w:w="622" w:type="dxa"/>
            <w:vMerge w:val="restart"/>
            <w:tcBorders>
              <w:top w:val="nil"/>
              <w:left w:val="single" w:sz="8" w:space="0" w:color="auto"/>
              <w:bottom w:val="double" w:sz="6" w:space="0" w:color="000000"/>
              <w:right w:val="single" w:sz="8" w:space="0" w:color="auto"/>
            </w:tcBorders>
            <w:shd w:val="clear" w:color="auto" w:fill="auto"/>
            <w:vAlign w:val="center"/>
            <w:hideMark/>
          </w:tcPr>
          <w:p w14:paraId="6D751755" w14:textId="34CA6989"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04000</w:t>
            </w:r>
          </w:p>
        </w:tc>
        <w:tc>
          <w:tcPr>
            <w:tcW w:w="632" w:type="dxa"/>
            <w:vMerge w:val="restart"/>
            <w:tcBorders>
              <w:top w:val="nil"/>
              <w:left w:val="single" w:sz="8" w:space="0" w:color="auto"/>
              <w:bottom w:val="double" w:sz="6" w:space="0" w:color="000000"/>
              <w:right w:val="single" w:sz="8" w:space="0" w:color="auto"/>
            </w:tcBorders>
            <w:shd w:val="clear" w:color="auto" w:fill="auto"/>
            <w:vAlign w:val="center"/>
            <w:hideMark/>
          </w:tcPr>
          <w:p w14:paraId="400D1C47"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TRAC</w:t>
            </w:r>
          </w:p>
        </w:tc>
        <w:tc>
          <w:tcPr>
            <w:tcW w:w="901" w:type="dxa"/>
            <w:tcBorders>
              <w:top w:val="nil"/>
              <w:left w:val="nil"/>
              <w:bottom w:val="single" w:sz="8" w:space="0" w:color="auto"/>
              <w:right w:val="single" w:sz="8" w:space="0" w:color="auto"/>
            </w:tcBorders>
            <w:shd w:val="clear" w:color="auto" w:fill="auto"/>
            <w:noWrap/>
            <w:vAlign w:val="center"/>
            <w:hideMark/>
          </w:tcPr>
          <w:p w14:paraId="5202A822"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bCs/>
                <w:color w:val="000000"/>
                <w:sz w:val="16"/>
                <w:szCs w:val="16"/>
              </w:rPr>
              <w:t>71600</w:t>
            </w:r>
          </w:p>
        </w:tc>
        <w:tc>
          <w:tcPr>
            <w:tcW w:w="1186" w:type="dxa"/>
            <w:tcBorders>
              <w:top w:val="nil"/>
              <w:left w:val="nil"/>
              <w:bottom w:val="single" w:sz="8" w:space="0" w:color="auto"/>
              <w:right w:val="single" w:sz="8" w:space="0" w:color="auto"/>
            </w:tcBorders>
            <w:shd w:val="clear" w:color="auto" w:fill="auto"/>
            <w:vAlign w:val="center"/>
            <w:hideMark/>
          </w:tcPr>
          <w:p w14:paraId="4AF9001C" w14:textId="77777777" w:rsidR="001F45CE" w:rsidRPr="00913CCF" w:rsidRDefault="001F45CE" w:rsidP="001F45CE">
            <w:pPr>
              <w:spacing w:after="0"/>
              <w:jc w:val="left"/>
              <w:rPr>
                <w:rFonts w:eastAsia="Times New Roman" w:cs="Calibri"/>
                <w:color w:val="000000"/>
                <w:sz w:val="16"/>
                <w:szCs w:val="16"/>
              </w:rPr>
            </w:pPr>
            <w:r w:rsidRPr="00913CCF">
              <w:rPr>
                <w:rFonts w:eastAsia="Times New Roman" w:cs="Calibri"/>
                <w:bCs/>
                <w:color w:val="000000"/>
                <w:sz w:val="16"/>
                <w:szCs w:val="16"/>
              </w:rPr>
              <w:t>Travel</w:t>
            </w:r>
          </w:p>
        </w:tc>
        <w:tc>
          <w:tcPr>
            <w:tcW w:w="1155" w:type="dxa"/>
            <w:tcBorders>
              <w:top w:val="nil"/>
              <w:left w:val="nil"/>
              <w:bottom w:val="single" w:sz="8" w:space="0" w:color="auto"/>
              <w:right w:val="single" w:sz="8" w:space="0" w:color="auto"/>
            </w:tcBorders>
            <w:shd w:val="clear" w:color="auto" w:fill="auto"/>
            <w:noWrap/>
            <w:vAlign w:val="center"/>
            <w:hideMark/>
          </w:tcPr>
          <w:p w14:paraId="4D861141"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2,000</w:t>
            </w:r>
          </w:p>
        </w:tc>
        <w:tc>
          <w:tcPr>
            <w:tcW w:w="1010" w:type="dxa"/>
            <w:tcBorders>
              <w:top w:val="nil"/>
              <w:left w:val="nil"/>
              <w:bottom w:val="single" w:sz="8" w:space="0" w:color="auto"/>
              <w:right w:val="single" w:sz="8" w:space="0" w:color="auto"/>
            </w:tcBorders>
            <w:shd w:val="clear" w:color="auto" w:fill="auto"/>
            <w:noWrap/>
            <w:vAlign w:val="center"/>
            <w:hideMark/>
          </w:tcPr>
          <w:p w14:paraId="2B50D7B6"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2,000</w:t>
            </w:r>
          </w:p>
        </w:tc>
        <w:tc>
          <w:tcPr>
            <w:tcW w:w="938" w:type="dxa"/>
            <w:tcBorders>
              <w:top w:val="nil"/>
              <w:left w:val="nil"/>
              <w:bottom w:val="single" w:sz="8" w:space="0" w:color="auto"/>
              <w:right w:val="single" w:sz="8" w:space="0" w:color="auto"/>
            </w:tcBorders>
            <w:shd w:val="clear" w:color="auto" w:fill="auto"/>
            <w:noWrap/>
            <w:vAlign w:val="center"/>
            <w:hideMark/>
          </w:tcPr>
          <w:p w14:paraId="57702693"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2,000</w:t>
            </w:r>
          </w:p>
        </w:tc>
        <w:tc>
          <w:tcPr>
            <w:tcW w:w="938" w:type="dxa"/>
            <w:tcBorders>
              <w:top w:val="nil"/>
              <w:left w:val="nil"/>
              <w:bottom w:val="single" w:sz="8" w:space="0" w:color="auto"/>
              <w:right w:val="single" w:sz="8" w:space="0" w:color="auto"/>
            </w:tcBorders>
            <w:shd w:val="clear" w:color="auto" w:fill="auto"/>
            <w:noWrap/>
            <w:vAlign w:val="center"/>
            <w:hideMark/>
          </w:tcPr>
          <w:p w14:paraId="0484BDDB"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2,000</w:t>
            </w:r>
          </w:p>
        </w:tc>
        <w:tc>
          <w:tcPr>
            <w:tcW w:w="938" w:type="dxa"/>
            <w:tcBorders>
              <w:top w:val="nil"/>
              <w:left w:val="nil"/>
              <w:bottom w:val="single" w:sz="8" w:space="0" w:color="auto"/>
              <w:right w:val="single" w:sz="8" w:space="0" w:color="auto"/>
            </w:tcBorders>
            <w:shd w:val="clear" w:color="auto" w:fill="auto"/>
            <w:noWrap/>
            <w:vAlign w:val="center"/>
            <w:hideMark/>
          </w:tcPr>
          <w:p w14:paraId="737435F9"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2,000</w:t>
            </w:r>
          </w:p>
        </w:tc>
        <w:tc>
          <w:tcPr>
            <w:tcW w:w="938" w:type="dxa"/>
            <w:tcBorders>
              <w:top w:val="nil"/>
              <w:left w:val="nil"/>
              <w:bottom w:val="single" w:sz="8" w:space="0" w:color="auto"/>
              <w:right w:val="single" w:sz="8" w:space="0" w:color="auto"/>
            </w:tcBorders>
            <w:shd w:val="clear" w:color="auto" w:fill="auto"/>
            <w:vAlign w:val="center"/>
            <w:hideMark/>
          </w:tcPr>
          <w:p w14:paraId="4C47933B"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2,000</w:t>
            </w:r>
          </w:p>
        </w:tc>
        <w:tc>
          <w:tcPr>
            <w:tcW w:w="1372" w:type="dxa"/>
            <w:tcBorders>
              <w:top w:val="nil"/>
              <w:left w:val="nil"/>
              <w:bottom w:val="single" w:sz="8" w:space="0" w:color="auto"/>
              <w:right w:val="single" w:sz="8" w:space="0" w:color="auto"/>
            </w:tcBorders>
            <w:shd w:val="clear" w:color="auto" w:fill="auto"/>
            <w:noWrap/>
            <w:vAlign w:val="center"/>
            <w:hideMark/>
          </w:tcPr>
          <w:p w14:paraId="70E82F59"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12,000</w:t>
            </w:r>
          </w:p>
        </w:tc>
        <w:tc>
          <w:tcPr>
            <w:tcW w:w="690" w:type="dxa"/>
            <w:tcBorders>
              <w:top w:val="nil"/>
              <w:left w:val="nil"/>
              <w:bottom w:val="single" w:sz="8" w:space="0" w:color="auto"/>
              <w:right w:val="single" w:sz="8" w:space="0" w:color="auto"/>
            </w:tcBorders>
            <w:shd w:val="clear" w:color="auto" w:fill="auto"/>
            <w:vAlign w:val="center"/>
            <w:hideMark/>
          </w:tcPr>
          <w:p w14:paraId="166D5F46"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51</w:t>
            </w:r>
          </w:p>
        </w:tc>
      </w:tr>
      <w:tr w:rsidR="001F45CE" w:rsidRPr="00913CCF" w14:paraId="158619BE" w14:textId="77777777" w:rsidTr="004205FD">
        <w:trPr>
          <w:trHeight w:val="198"/>
        </w:trPr>
        <w:tc>
          <w:tcPr>
            <w:tcW w:w="1354" w:type="dxa"/>
            <w:vMerge/>
            <w:tcBorders>
              <w:top w:val="nil"/>
              <w:left w:val="single" w:sz="8" w:space="0" w:color="000000"/>
              <w:bottom w:val="double" w:sz="6" w:space="0" w:color="000000"/>
              <w:right w:val="single" w:sz="8" w:space="0" w:color="auto"/>
            </w:tcBorders>
            <w:shd w:val="clear" w:color="auto" w:fill="auto"/>
            <w:vAlign w:val="center"/>
            <w:hideMark/>
          </w:tcPr>
          <w:p w14:paraId="1F34A32A"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nil"/>
              <w:left w:val="single" w:sz="8" w:space="0" w:color="auto"/>
              <w:bottom w:val="double" w:sz="6" w:space="0" w:color="000000"/>
              <w:right w:val="single" w:sz="8" w:space="0" w:color="auto"/>
            </w:tcBorders>
            <w:shd w:val="clear" w:color="auto" w:fill="auto"/>
            <w:vAlign w:val="center"/>
            <w:hideMark/>
          </w:tcPr>
          <w:p w14:paraId="41643B6E"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3D48B524"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2959F92D"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single" w:sz="8" w:space="0" w:color="auto"/>
              <w:right w:val="single" w:sz="8" w:space="0" w:color="auto"/>
            </w:tcBorders>
            <w:shd w:val="clear" w:color="auto" w:fill="auto"/>
            <w:noWrap/>
            <w:vAlign w:val="center"/>
            <w:hideMark/>
          </w:tcPr>
          <w:p w14:paraId="7BB8F7AE"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bCs/>
                <w:color w:val="000000"/>
                <w:sz w:val="16"/>
                <w:szCs w:val="16"/>
              </w:rPr>
              <w:t>71400</w:t>
            </w:r>
          </w:p>
        </w:tc>
        <w:tc>
          <w:tcPr>
            <w:tcW w:w="1186" w:type="dxa"/>
            <w:tcBorders>
              <w:top w:val="nil"/>
              <w:left w:val="nil"/>
              <w:bottom w:val="single" w:sz="8" w:space="0" w:color="auto"/>
              <w:right w:val="single" w:sz="8" w:space="0" w:color="auto"/>
            </w:tcBorders>
            <w:shd w:val="clear" w:color="auto" w:fill="auto"/>
            <w:vAlign w:val="center"/>
            <w:hideMark/>
          </w:tcPr>
          <w:p w14:paraId="0202C13B" w14:textId="77777777" w:rsidR="001F45CE" w:rsidRPr="00913CCF" w:rsidRDefault="001F45CE" w:rsidP="001F45CE">
            <w:pPr>
              <w:spacing w:after="0"/>
              <w:jc w:val="left"/>
              <w:rPr>
                <w:rFonts w:eastAsia="Times New Roman" w:cs="Calibri"/>
                <w:color w:val="000000"/>
                <w:sz w:val="16"/>
                <w:szCs w:val="16"/>
              </w:rPr>
            </w:pPr>
            <w:r w:rsidRPr="00913CCF">
              <w:rPr>
                <w:rFonts w:eastAsia="Times New Roman" w:cs="Calibri"/>
                <w:color w:val="000000"/>
                <w:sz w:val="16"/>
                <w:szCs w:val="16"/>
              </w:rPr>
              <w:t>Contr. serv. Ind.</w:t>
            </w:r>
          </w:p>
        </w:tc>
        <w:tc>
          <w:tcPr>
            <w:tcW w:w="1155" w:type="dxa"/>
            <w:tcBorders>
              <w:top w:val="nil"/>
              <w:left w:val="nil"/>
              <w:bottom w:val="single" w:sz="8" w:space="0" w:color="auto"/>
              <w:right w:val="single" w:sz="8" w:space="0" w:color="auto"/>
            </w:tcBorders>
            <w:shd w:val="clear" w:color="auto" w:fill="auto"/>
            <w:noWrap/>
            <w:vAlign w:val="center"/>
            <w:hideMark/>
          </w:tcPr>
          <w:p w14:paraId="3EBBA104"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0</w:t>
            </w:r>
          </w:p>
        </w:tc>
        <w:tc>
          <w:tcPr>
            <w:tcW w:w="1010" w:type="dxa"/>
            <w:tcBorders>
              <w:top w:val="nil"/>
              <w:left w:val="nil"/>
              <w:bottom w:val="single" w:sz="8" w:space="0" w:color="auto"/>
              <w:right w:val="single" w:sz="8" w:space="0" w:color="auto"/>
            </w:tcBorders>
            <w:shd w:val="clear" w:color="auto" w:fill="auto"/>
            <w:noWrap/>
            <w:vAlign w:val="center"/>
            <w:hideMark/>
          </w:tcPr>
          <w:p w14:paraId="3F1CF338"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7,500</w:t>
            </w:r>
          </w:p>
        </w:tc>
        <w:tc>
          <w:tcPr>
            <w:tcW w:w="938" w:type="dxa"/>
            <w:tcBorders>
              <w:top w:val="nil"/>
              <w:left w:val="nil"/>
              <w:bottom w:val="single" w:sz="8" w:space="0" w:color="auto"/>
              <w:right w:val="single" w:sz="8" w:space="0" w:color="auto"/>
            </w:tcBorders>
            <w:shd w:val="clear" w:color="auto" w:fill="auto"/>
            <w:noWrap/>
            <w:vAlign w:val="center"/>
            <w:hideMark/>
          </w:tcPr>
          <w:p w14:paraId="54AB70E0"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7,500</w:t>
            </w:r>
          </w:p>
        </w:tc>
        <w:tc>
          <w:tcPr>
            <w:tcW w:w="938" w:type="dxa"/>
            <w:tcBorders>
              <w:top w:val="nil"/>
              <w:left w:val="nil"/>
              <w:bottom w:val="single" w:sz="8" w:space="0" w:color="auto"/>
              <w:right w:val="single" w:sz="8" w:space="0" w:color="auto"/>
            </w:tcBorders>
            <w:shd w:val="clear" w:color="auto" w:fill="auto"/>
            <w:noWrap/>
            <w:vAlign w:val="center"/>
            <w:hideMark/>
          </w:tcPr>
          <w:p w14:paraId="501630CB"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7,500</w:t>
            </w:r>
          </w:p>
        </w:tc>
        <w:tc>
          <w:tcPr>
            <w:tcW w:w="938" w:type="dxa"/>
            <w:tcBorders>
              <w:top w:val="nil"/>
              <w:left w:val="nil"/>
              <w:bottom w:val="single" w:sz="8" w:space="0" w:color="auto"/>
              <w:right w:val="single" w:sz="8" w:space="0" w:color="auto"/>
            </w:tcBorders>
            <w:shd w:val="clear" w:color="auto" w:fill="auto"/>
            <w:noWrap/>
            <w:vAlign w:val="center"/>
            <w:hideMark/>
          </w:tcPr>
          <w:p w14:paraId="7E5AB967"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7,500</w:t>
            </w:r>
          </w:p>
        </w:tc>
        <w:tc>
          <w:tcPr>
            <w:tcW w:w="938" w:type="dxa"/>
            <w:tcBorders>
              <w:top w:val="nil"/>
              <w:left w:val="nil"/>
              <w:bottom w:val="single" w:sz="8" w:space="0" w:color="auto"/>
              <w:right w:val="single" w:sz="8" w:space="0" w:color="auto"/>
            </w:tcBorders>
            <w:shd w:val="clear" w:color="auto" w:fill="auto"/>
            <w:vAlign w:val="center"/>
            <w:hideMark/>
          </w:tcPr>
          <w:p w14:paraId="7987A691"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color w:val="000000"/>
                <w:sz w:val="16"/>
                <w:szCs w:val="16"/>
              </w:rPr>
              <w:t>7,500</w:t>
            </w:r>
          </w:p>
        </w:tc>
        <w:tc>
          <w:tcPr>
            <w:tcW w:w="1372" w:type="dxa"/>
            <w:tcBorders>
              <w:top w:val="nil"/>
              <w:left w:val="nil"/>
              <w:bottom w:val="single" w:sz="8" w:space="0" w:color="auto"/>
              <w:right w:val="single" w:sz="8" w:space="0" w:color="auto"/>
            </w:tcBorders>
            <w:shd w:val="clear" w:color="auto" w:fill="auto"/>
            <w:noWrap/>
            <w:vAlign w:val="center"/>
            <w:hideMark/>
          </w:tcPr>
          <w:p w14:paraId="640DF625"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37,500</w:t>
            </w:r>
          </w:p>
        </w:tc>
        <w:tc>
          <w:tcPr>
            <w:tcW w:w="690" w:type="dxa"/>
            <w:tcBorders>
              <w:top w:val="nil"/>
              <w:left w:val="nil"/>
              <w:bottom w:val="single" w:sz="8" w:space="0" w:color="auto"/>
              <w:right w:val="single" w:sz="8" w:space="0" w:color="auto"/>
            </w:tcBorders>
            <w:shd w:val="clear" w:color="auto" w:fill="auto"/>
            <w:vAlign w:val="center"/>
            <w:hideMark/>
          </w:tcPr>
          <w:p w14:paraId="06A8D1D2"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52</w:t>
            </w:r>
          </w:p>
        </w:tc>
      </w:tr>
      <w:tr w:rsidR="001F45CE" w:rsidRPr="00913CCF" w14:paraId="4253FDDF" w14:textId="77777777" w:rsidTr="004205FD">
        <w:trPr>
          <w:trHeight w:val="207"/>
        </w:trPr>
        <w:tc>
          <w:tcPr>
            <w:tcW w:w="1354" w:type="dxa"/>
            <w:vMerge/>
            <w:tcBorders>
              <w:top w:val="nil"/>
              <w:left w:val="single" w:sz="8" w:space="0" w:color="000000"/>
              <w:bottom w:val="double" w:sz="6" w:space="0" w:color="000000"/>
              <w:right w:val="single" w:sz="8" w:space="0" w:color="auto"/>
            </w:tcBorders>
            <w:shd w:val="clear" w:color="auto" w:fill="auto"/>
            <w:vAlign w:val="center"/>
            <w:hideMark/>
          </w:tcPr>
          <w:p w14:paraId="54964731"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nil"/>
              <w:left w:val="single" w:sz="8" w:space="0" w:color="auto"/>
              <w:bottom w:val="double" w:sz="6" w:space="0" w:color="000000"/>
              <w:right w:val="single" w:sz="8" w:space="0" w:color="auto"/>
            </w:tcBorders>
            <w:shd w:val="clear" w:color="auto" w:fill="auto"/>
            <w:vAlign w:val="center"/>
            <w:hideMark/>
          </w:tcPr>
          <w:p w14:paraId="24361358"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4990EA10"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57705282"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double" w:sz="6" w:space="0" w:color="auto"/>
              <w:right w:val="single" w:sz="8" w:space="0" w:color="auto"/>
            </w:tcBorders>
            <w:shd w:val="clear" w:color="auto" w:fill="auto"/>
            <w:noWrap/>
            <w:vAlign w:val="center"/>
            <w:hideMark/>
          </w:tcPr>
          <w:p w14:paraId="0B1A383F" w14:textId="77777777" w:rsidR="001F45CE" w:rsidRPr="00913CCF" w:rsidRDefault="001F45CE" w:rsidP="001F45CE">
            <w:pPr>
              <w:spacing w:after="0"/>
              <w:jc w:val="center"/>
              <w:rPr>
                <w:rFonts w:eastAsia="Times New Roman" w:cs="Calibri"/>
                <w:color w:val="000000"/>
                <w:sz w:val="16"/>
                <w:szCs w:val="16"/>
              </w:rPr>
            </w:pPr>
            <w:r w:rsidRPr="00913CCF">
              <w:rPr>
                <w:rFonts w:eastAsia="Times New Roman" w:cs="Calibri"/>
                <w:bCs/>
                <w:color w:val="000000"/>
                <w:sz w:val="16"/>
                <w:szCs w:val="16"/>
              </w:rPr>
              <w:t>72200</w:t>
            </w:r>
          </w:p>
        </w:tc>
        <w:tc>
          <w:tcPr>
            <w:tcW w:w="1186" w:type="dxa"/>
            <w:tcBorders>
              <w:top w:val="nil"/>
              <w:left w:val="nil"/>
              <w:bottom w:val="double" w:sz="6" w:space="0" w:color="auto"/>
              <w:right w:val="single" w:sz="8" w:space="0" w:color="auto"/>
            </w:tcBorders>
            <w:shd w:val="clear" w:color="auto" w:fill="auto"/>
            <w:vAlign w:val="center"/>
            <w:hideMark/>
          </w:tcPr>
          <w:p w14:paraId="07EC7566" w14:textId="77777777" w:rsidR="001F45CE" w:rsidRPr="00913CCF" w:rsidRDefault="001F45CE" w:rsidP="001F45CE">
            <w:pPr>
              <w:spacing w:after="0"/>
              <w:jc w:val="left"/>
              <w:rPr>
                <w:rFonts w:eastAsia="Times New Roman" w:cs="Calibri"/>
                <w:color w:val="000000"/>
                <w:sz w:val="16"/>
                <w:szCs w:val="16"/>
              </w:rPr>
            </w:pPr>
            <w:r w:rsidRPr="00913CCF">
              <w:rPr>
                <w:rFonts w:eastAsia="Times New Roman" w:cs="Calibri"/>
                <w:color w:val="000000"/>
                <w:sz w:val="16"/>
                <w:szCs w:val="16"/>
              </w:rPr>
              <w:t>Equip. Furniture</w:t>
            </w:r>
          </w:p>
        </w:tc>
        <w:tc>
          <w:tcPr>
            <w:tcW w:w="1155" w:type="dxa"/>
            <w:tcBorders>
              <w:top w:val="nil"/>
              <w:left w:val="nil"/>
              <w:bottom w:val="double" w:sz="6" w:space="0" w:color="auto"/>
              <w:right w:val="single" w:sz="8" w:space="0" w:color="auto"/>
            </w:tcBorders>
            <w:shd w:val="clear" w:color="auto" w:fill="auto"/>
            <w:noWrap/>
            <w:vAlign w:val="center"/>
            <w:hideMark/>
          </w:tcPr>
          <w:p w14:paraId="1560797D" w14:textId="25BAB990" w:rsidR="001F45CE" w:rsidRPr="00913CCF" w:rsidRDefault="001F45CE" w:rsidP="001F45CE">
            <w:pPr>
              <w:spacing w:after="0"/>
              <w:jc w:val="center"/>
              <w:rPr>
                <w:rFonts w:eastAsia="Times New Roman" w:cs="Calibri"/>
                <w:color w:val="000000"/>
                <w:sz w:val="16"/>
                <w:szCs w:val="16"/>
              </w:rPr>
            </w:pPr>
            <w:r w:rsidRPr="00EF6D8E">
              <w:rPr>
                <w:rFonts w:eastAsia="Times New Roman" w:cs="Calibri"/>
                <w:color w:val="000000"/>
                <w:sz w:val="16"/>
                <w:szCs w:val="16"/>
              </w:rPr>
              <w:t>16,000</w:t>
            </w:r>
          </w:p>
        </w:tc>
        <w:tc>
          <w:tcPr>
            <w:tcW w:w="1010" w:type="dxa"/>
            <w:tcBorders>
              <w:top w:val="nil"/>
              <w:left w:val="nil"/>
              <w:bottom w:val="double" w:sz="6" w:space="0" w:color="auto"/>
              <w:right w:val="single" w:sz="8" w:space="0" w:color="auto"/>
            </w:tcBorders>
            <w:shd w:val="clear" w:color="auto" w:fill="auto"/>
            <w:noWrap/>
            <w:vAlign w:val="center"/>
            <w:hideMark/>
          </w:tcPr>
          <w:p w14:paraId="31216310" w14:textId="076D8D6D" w:rsidR="001F45CE" w:rsidRPr="00913CCF" w:rsidRDefault="001F45CE" w:rsidP="001F45CE">
            <w:pPr>
              <w:spacing w:after="0"/>
              <w:jc w:val="center"/>
              <w:rPr>
                <w:rFonts w:eastAsia="Times New Roman" w:cs="Calibri"/>
                <w:color w:val="000000"/>
                <w:sz w:val="16"/>
                <w:szCs w:val="16"/>
              </w:rPr>
            </w:pPr>
            <w:r w:rsidRPr="00EF6D8E">
              <w:rPr>
                <w:rFonts w:eastAsia="Times New Roman" w:cs="Calibri"/>
                <w:color w:val="000000"/>
                <w:sz w:val="16"/>
                <w:szCs w:val="16"/>
              </w:rPr>
              <w:t>2,000</w:t>
            </w:r>
          </w:p>
        </w:tc>
        <w:tc>
          <w:tcPr>
            <w:tcW w:w="938" w:type="dxa"/>
            <w:tcBorders>
              <w:top w:val="nil"/>
              <w:left w:val="nil"/>
              <w:bottom w:val="double" w:sz="6" w:space="0" w:color="auto"/>
              <w:right w:val="single" w:sz="8" w:space="0" w:color="auto"/>
            </w:tcBorders>
            <w:shd w:val="clear" w:color="auto" w:fill="auto"/>
            <w:noWrap/>
            <w:vAlign w:val="center"/>
            <w:hideMark/>
          </w:tcPr>
          <w:p w14:paraId="68E22E8F" w14:textId="10D74659" w:rsidR="001F45CE" w:rsidRPr="00913CCF" w:rsidRDefault="001F45CE" w:rsidP="001F45CE">
            <w:pPr>
              <w:spacing w:after="0"/>
              <w:jc w:val="center"/>
              <w:rPr>
                <w:rFonts w:eastAsia="Times New Roman" w:cs="Calibri"/>
                <w:color w:val="000000"/>
                <w:sz w:val="16"/>
                <w:szCs w:val="16"/>
              </w:rPr>
            </w:pPr>
            <w:r w:rsidRPr="00EF6D8E">
              <w:rPr>
                <w:rFonts w:eastAsia="Times New Roman" w:cs="Calibri"/>
                <w:color w:val="000000"/>
                <w:sz w:val="16"/>
                <w:szCs w:val="16"/>
              </w:rPr>
              <w:t>0</w:t>
            </w:r>
          </w:p>
        </w:tc>
        <w:tc>
          <w:tcPr>
            <w:tcW w:w="938" w:type="dxa"/>
            <w:tcBorders>
              <w:top w:val="nil"/>
              <w:left w:val="nil"/>
              <w:bottom w:val="double" w:sz="6" w:space="0" w:color="auto"/>
              <w:right w:val="single" w:sz="8" w:space="0" w:color="auto"/>
            </w:tcBorders>
            <w:shd w:val="clear" w:color="auto" w:fill="auto"/>
            <w:noWrap/>
            <w:vAlign w:val="center"/>
            <w:hideMark/>
          </w:tcPr>
          <w:p w14:paraId="4821044F" w14:textId="2DB27D34" w:rsidR="001F45CE" w:rsidRPr="00913CCF" w:rsidRDefault="001F45CE" w:rsidP="001F45CE">
            <w:pPr>
              <w:spacing w:after="0"/>
              <w:jc w:val="center"/>
              <w:rPr>
                <w:rFonts w:eastAsia="Times New Roman" w:cs="Calibri"/>
                <w:color w:val="000000"/>
                <w:sz w:val="16"/>
                <w:szCs w:val="16"/>
              </w:rPr>
            </w:pPr>
            <w:r w:rsidRPr="00EF6D8E">
              <w:rPr>
                <w:rFonts w:eastAsia="Times New Roman" w:cs="Calibri"/>
                <w:color w:val="000000"/>
                <w:sz w:val="16"/>
                <w:szCs w:val="16"/>
              </w:rPr>
              <w:t>0</w:t>
            </w:r>
          </w:p>
        </w:tc>
        <w:tc>
          <w:tcPr>
            <w:tcW w:w="938" w:type="dxa"/>
            <w:tcBorders>
              <w:top w:val="nil"/>
              <w:left w:val="nil"/>
              <w:bottom w:val="double" w:sz="6" w:space="0" w:color="auto"/>
              <w:right w:val="single" w:sz="8" w:space="0" w:color="auto"/>
            </w:tcBorders>
            <w:shd w:val="clear" w:color="auto" w:fill="auto"/>
            <w:noWrap/>
            <w:vAlign w:val="center"/>
            <w:hideMark/>
          </w:tcPr>
          <w:p w14:paraId="35AF14CE" w14:textId="337A0890" w:rsidR="001F45CE" w:rsidRPr="00913CCF" w:rsidRDefault="001F45CE" w:rsidP="001F45CE">
            <w:pPr>
              <w:spacing w:after="0"/>
              <w:jc w:val="center"/>
              <w:rPr>
                <w:rFonts w:eastAsia="Times New Roman" w:cs="Calibri"/>
                <w:color w:val="000000"/>
                <w:sz w:val="16"/>
                <w:szCs w:val="16"/>
              </w:rPr>
            </w:pPr>
            <w:r w:rsidRPr="00EF6D8E">
              <w:rPr>
                <w:rFonts w:eastAsia="Times New Roman" w:cs="Calibri"/>
                <w:color w:val="000000"/>
                <w:sz w:val="16"/>
                <w:szCs w:val="16"/>
              </w:rPr>
              <w:t>0</w:t>
            </w:r>
          </w:p>
        </w:tc>
        <w:tc>
          <w:tcPr>
            <w:tcW w:w="938" w:type="dxa"/>
            <w:tcBorders>
              <w:top w:val="nil"/>
              <w:left w:val="nil"/>
              <w:bottom w:val="double" w:sz="6" w:space="0" w:color="auto"/>
              <w:right w:val="single" w:sz="8" w:space="0" w:color="auto"/>
            </w:tcBorders>
            <w:shd w:val="clear" w:color="auto" w:fill="auto"/>
            <w:vAlign w:val="center"/>
            <w:hideMark/>
          </w:tcPr>
          <w:p w14:paraId="18BDEEF7" w14:textId="6BA73987" w:rsidR="001F45CE" w:rsidRPr="00913CCF" w:rsidRDefault="001F45CE" w:rsidP="001F45CE">
            <w:pPr>
              <w:spacing w:after="0"/>
              <w:jc w:val="center"/>
              <w:rPr>
                <w:rFonts w:eastAsia="Times New Roman" w:cs="Calibri"/>
                <w:color w:val="000000"/>
                <w:sz w:val="16"/>
                <w:szCs w:val="16"/>
              </w:rPr>
            </w:pPr>
            <w:r w:rsidRPr="00EF6D8E">
              <w:rPr>
                <w:rFonts w:eastAsia="Times New Roman" w:cs="Calibri"/>
                <w:color w:val="000000"/>
                <w:sz w:val="16"/>
                <w:szCs w:val="16"/>
              </w:rPr>
              <w:t>0</w:t>
            </w:r>
          </w:p>
        </w:tc>
        <w:tc>
          <w:tcPr>
            <w:tcW w:w="1372" w:type="dxa"/>
            <w:tcBorders>
              <w:top w:val="nil"/>
              <w:left w:val="nil"/>
              <w:bottom w:val="double" w:sz="6" w:space="0" w:color="auto"/>
              <w:right w:val="single" w:sz="8" w:space="0" w:color="auto"/>
            </w:tcBorders>
            <w:shd w:val="clear" w:color="auto" w:fill="auto"/>
            <w:noWrap/>
            <w:vAlign w:val="center"/>
            <w:hideMark/>
          </w:tcPr>
          <w:p w14:paraId="49854230"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18,000</w:t>
            </w:r>
          </w:p>
        </w:tc>
        <w:tc>
          <w:tcPr>
            <w:tcW w:w="690" w:type="dxa"/>
            <w:tcBorders>
              <w:top w:val="nil"/>
              <w:left w:val="nil"/>
              <w:bottom w:val="single" w:sz="8" w:space="0" w:color="auto"/>
              <w:right w:val="single" w:sz="8" w:space="0" w:color="auto"/>
            </w:tcBorders>
            <w:shd w:val="clear" w:color="auto" w:fill="auto"/>
            <w:vAlign w:val="center"/>
            <w:hideMark/>
          </w:tcPr>
          <w:p w14:paraId="1848F7B8" w14:textId="77777777" w:rsidR="001F45CE" w:rsidRPr="00913CCF" w:rsidRDefault="001F45CE" w:rsidP="001F45CE">
            <w:pPr>
              <w:spacing w:after="0"/>
              <w:jc w:val="center"/>
              <w:rPr>
                <w:rFonts w:eastAsia="Times New Roman" w:cs="Calibri"/>
                <w:i/>
                <w:iCs/>
                <w:color w:val="000000"/>
                <w:sz w:val="16"/>
                <w:szCs w:val="16"/>
              </w:rPr>
            </w:pPr>
            <w:r w:rsidRPr="00913CCF">
              <w:rPr>
                <w:rFonts w:eastAsia="Times New Roman" w:cs="Calibri"/>
                <w:i/>
                <w:iCs/>
                <w:color w:val="000000"/>
                <w:sz w:val="16"/>
                <w:szCs w:val="16"/>
              </w:rPr>
              <w:t>53</w:t>
            </w:r>
          </w:p>
        </w:tc>
      </w:tr>
      <w:tr w:rsidR="001F45CE" w:rsidRPr="00913CCF" w14:paraId="3258C7B7" w14:textId="77777777" w:rsidTr="004205FD">
        <w:trPr>
          <w:trHeight w:val="225"/>
        </w:trPr>
        <w:tc>
          <w:tcPr>
            <w:tcW w:w="1354" w:type="dxa"/>
            <w:vMerge/>
            <w:tcBorders>
              <w:top w:val="nil"/>
              <w:left w:val="single" w:sz="8" w:space="0" w:color="000000"/>
              <w:bottom w:val="double" w:sz="6" w:space="0" w:color="000000"/>
              <w:right w:val="single" w:sz="8" w:space="0" w:color="auto"/>
            </w:tcBorders>
            <w:shd w:val="clear" w:color="auto" w:fill="auto"/>
            <w:vAlign w:val="center"/>
            <w:hideMark/>
          </w:tcPr>
          <w:p w14:paraId="2B3F3E69" w14:textId="77777777" w:rsidR="001F45CE" w:rsidRPr="00913CCF" w:rsidRDefault="001F45CE" w:rsidP="001F45CE">
            <w:pPr>
              <w:spacing w:after="0"/>
              <w:jc w:val="left"/>
              <w:rPr>
                <w:rFonts w:eastAsia="Times New Roman" w:cs="Calibri"/>
                <w:b/>
                <w:bCs/>
                <w:color w:val="000000"/>
                <w:sz w:val="16"/>
                <w:szCs w:val="16"/>
              </w:rPr>
            </w:pPr>
          </w:p>
        </w:tc>
        <w:tc>
          <w:tcPr>
            <w:tcW w:w="1266" w:type="dxa"/>
            <w:vMerge/>
            <w:tcBorders>
              <w:top w:val="nil"/>
              <w:left w:val="single" w:sz="8" w:space="0" w:color="auto"/>
              <w:bottom w:val="double" w:sz="6" w:space="0" w:color="000000"/>
              <w:right w:val="single" w:sz="8" w:space="0" w:color="auto"/>
            </w:tcBorders>
            <w:shd w:val="clear" w:color="auto" w:fill="auto"/>
            <w:vAlign w:val="center"/>
            <w:hideMark/>
          </w:tcPr>
          <w:p w14:paraId="344A194A" w14:textId="77777777" w:rsidR="001F45CE" w:rsidRPr="00913CCF" w:rsidRDefault="001F45CE" w:rsidP="001F45CE">
            <w:pPr>
              <w:spacing w:after="0"/>
              <w:jc w:val="left"/>
              <w:rPr>
                <w:rFonts w:eastAsia="Times New Roman" w:cs="Calibri"/>
                <w:b/>
                <w:bCs/>
                <w:color w:val="000000"/>
                <w:sz w:val="16"/>
                <w:szCs w:val="16"/>
              </w:rPr>
            </w:pPr>
          </w:p>
        </w:tc>
        <w:tc>
          <w:tcPr>
            <w:tcW w:w="622" w:type="dxa"/>
            <w:vMerge/>
            <w:tcBorders>
              <w:top w:val="nil"/>
              <w:left w:val="single" w:sz="8" w:space="0" w:color="auto"/>
              <w:bottom w:val="double" w:sz="6" w:space="0" w:color="000000"/>
              <w:right w:val="single" w:sz="8" w:space="0" w:color="auto"/>
            </w:tcBorders>
            <w:shd w:val="clear" w:color="auto" w:fill="auto"/>
            <w:vAlign w:val="center"/>
            <w:hideMark/>
          </w:tcPr>
          <w:p w14:paraId="19B8E8E1" w14:textId="77777777" w:rsidR="001F45CE" w:rsidRPr="00913CCF" w:rsidRDefault="001F45CE" w:rsidP="001F45CE">
            <w:pPr>
              <w:spacing w:after="0"/>
              <w:jc w:val="left"/>
              <w:rPr>
                <w:rFonts w:eastAsia="Times New Roman" w:cs="Calibri"/>
                <w:b/>
                <w:bCs/>
                <w:color w:val="000000"/>
                <w:sz w:val="16"/>
                <w:szCs w:val="16"/>
              </w:rPr>
            </w:pPr>
          </w:p>
        </w:tc>
        <w:tc>
          <w:tcPr>
            <w:tcW w:w="632" w:type="dxa"/>
            <w:vMerge/>
            <w:tcBorders>
              <w:top w:val="nil"/>
              <w:left w:val="single" w:sz="8" w:space="0" w:color="auto"/>
              <w:bottom w:val="double" w:sz="6" w:space="0" w:color="000000"/>
              <w:right w:val="single" w:sz="8" w:space="0" w:color="auto"/>
            </w:tcBorders>
            <w:shd w:val="clear" w:color="auto" w:fill="auto"/>
            <w:vAlign w:val="center"/>
            <w:hideMark/>
          </w:tcPr>
          <w:p w14:paraId="65CAADAB" w14:textId="77777777" w:rsidR="001F45CE" w:rsidRPr="00913CCF" w:rsidRDefault="001F45CE" w:rsidP="001F45CE">
            <w:pPr>
              <w:spacing w:after="0"/>
              <w:jc w:val="left"/>
              <w:rPr>
                <w:rFonts w:eastAsia="Times New Roman" w:cs="Calibri"/>
                <w:b/>
                <w:bCs/>
                <w:color w:val="000000"/>
                <w:sz w:val="16"/>
                <w:szCs w:val="16"/>
              </w:rPr>
            </w:pPr>
          </w:p>
        </w:tc>
        <w:tc>
          <w:tcPr>
            <w:tcW w:w="901" w:type="dxa"/>
            <w:tcBorders>
              <w:top w:val="nil"/>
              <w:left w:val="nil"/>
              <w:bottom w:val="double" w:sz="6" w:space="0" w:color="auto"/>
              <w:right w:val="single" w:sz="8" w:space="0" w:color="auto"/>
            </w:tcBorders>
            <w:shd w:val="clear" w:color="auto" w:fill="auto"/>
            <w:noWrap/>
            <w:vAlign w:val="center"/>
            <w:hideMark/>
          </w:tcPr>
          <w:p w14:paraId="2B756039"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 </w:t>
            </w:r>
          </w:p>
        </w:tc>
        <w:tc>
          <w:tcPr>
            <w:tcW w:w="1186" w:type="dxa"/>
            <w:tcBorders>
              <w:top w:val="nil"/>
              <w:left w:val="nil"/>
              <w:bottom w:val="double" w:sz="6" w:space="0" w:color="auto"/>
              <w:right w:val="single" w:sz="8" w:space="0" w:color="auto"/>
            </w:tcBorders>
            <w:shd w:val="clear" w:color="auto" w:fill="auto"/>
            <w:vAlign w:val="center"/>
            <w:hideMark/>
          </w:tcPr>
          <w:p w14:paraId="50F94226" w14:textId="77777777" w:rsidR="001F45CE" w:rsidRPr="00913CCF" w:rsidRDefault="001F45CE" w:rsidP="001F45CE">
            <w:pPr>
              <w:spacing w:after="0"/>
              <w:jc w:val="left"/>
              <w:rPr>
                <w:rFonts w:eastAsia="Times New Roman" w:cs="Calibri"/>
                <w:b/>
                <w:bCs/>
                <w:color w:val="000000"/>
                <w:sz w:val="15"/>
                <w:szCs w:val="15"/>
              </w:rPr>
            </w:pPr>
            <w:r w:rsidRPr="00913CCF">
              <w:rPr>
                <w:rFonts w:eastAsia="Times New Roman" w:cs="Calibri"/>
                <w:b/>
                <w:bCs/>
                <w:color w:val="000000"/>
                <w:sz w:val="15"/>
                <w:szCs w:val="15"/>
              </w:rPr>
              <w:t>Sub-total Outcome 4</w:t>
            </w:r>
          </w:p>
        </w:tc>
        <w:tc>
          <w:tcPr>
            <w:tcW w:w="1155" w:type="dxa"/>
            <w:tcBorders>
              <w:top w:val="nil"/>
              <w:left w:val="nil"/>
              <w:bottom w:val="double" w:sz="6" w:space="0" w:color="auto"/>
              <w:right w:val="single" w:sz="8" w:space="0" w:color="auto"/>
            </w:tcBorders>
            <w:shd w:val="clear" w:color="auto" w:fill="auto"/>
            <w:noWrap/>
            <w:vAlign w:val="center"/>
            <w:hideMark/>
          </w:tcPr>
          <w:p w14:paraId="056B84AC" w14:textId="0956D93F" w:rsidR="001F45CE" w:rsidRPr="00EF6D8E"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18,000</w:t>
            </w:r>
          </w:p>
        </w:tc>
        <w:tc>
          <w:tcPr>
            <w:tcW w:w="1010" w:type="dxa"/>
            <w:tcBorders>
              <w:top w:val="nil"/>
              <w:left w:val="nil"/>
              <w:bottom w:val="double" w:sz="6" w:space="0" w:color="auto"/>
              <w:right w:val="single" w:sz="8" w:space="0" w:color="auto"/>
            </w:tcBorders>
            <w:shd w:val="clear" w:color="auto" w:fill="auto"/>
            <w:noWrap/>
            <w:vAlign w:val="center"/>
            <w:hideMark/>
          </w:tcPr>
          <w:p w14:paraId="08CD7E4C" w14:textId="63D8FA42" w:rsidR="001F45CE" w:rsidRPr="00EF6D8E"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11,500</w:t>
            </w:r>
          </w:p>
        </w:tc>
        <w:tc>
          <w:tcPr>
            <w:tcW w:w="938" w:type="dxa"/>
            <w:tcBorders>
              <w:top w:val="nil"/>
              <w:left w:val="nil"/>
              <w:bottom w:val="double" w:sz="6" w:space="0" w:color="auto"/>
              <w:right w:val="single" w:sz="8" w:space="0" w:color="auto"/>
            </w:tcBorders>
            <w:shd w:val="clear" w:color="auto" w:fill="auto"/>
            <w:noWrap/>
            <w:vAlign w:val="center"/>
            <w:hideMark/>
          </w:tcPr>
          <w:p w14:paraId="4E72EBD8" w14:textId="1605B4E8" w:rsidR="001F45CE" w:rsidRPr="00EF6D8E"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9,500</w:t>
            </w:r>
          </w:p>
        </w:tc>
        <w:tc>
          <w:tcPr>
            <w:tcW w:w="938" w:type="dxa"/>
            <w:tcBorders>
              <w:top w:val="nil"/>
              <w:left w:val="nil"/>
              <w:bottom w:val="double" w:sz="6" w:space="0" w:color="auto"/>
              <w:right w:val="single" w:sz="8" w:space="0" w:color="auto"/>
            </w:tcBorders>
            <w:shd w:val="clear" w:color="auto" w:fill="auto"/>
            <w:noWrap/>
            <w:vAlign w:val="center"/>
            <w:hideMark/>
          </w:tcPr>
          <w:p w14:paraId="29CEAD30" w14:textId="73F9F694" w:rsidR="001F45CE" w:rsidRPr="00EF6D8E"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9,500</w:t>
            </w:r>
          </w:p>
        </w:tc>
        <w:tc>
          <w:tcPr>
            <w:tcW w:w="938" w:type="dxa"/>
            <w:tcBorders>
              <w:top w:val="nil"/>
              <w:left w:val="nil"/>
              <w:bottom w:val="double" w:sz="6" w:space="0" w:color="auto"/>
              <w:right w:val="single" w:sz="8" w:space="0" w:color="auto"/>
            </w:tcBorders>
            <w:shd w:val="clear" w:color="auto" w:fill="auto"/>
            <w:noWrap/>
            <w:vAlign w:val="center"/>
            <w:hideMark/>
          </w:tcPr>
          <w:p w14:paraId="78D6DD9B" w14:textId="577584D9" w:rsidR="001F45CE" w:rsidRPr="00EF6D8E"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9,500</w:t>
            </w:r>
          </w:p>
        </w:tc>
        <w:tc>
          <w:tcPr>
            <w:tcW w:w="938" w:type="dxa"/>
            <w:tcBorders>
              <w:top w:val="nil"/>
              <w:left w:val="nil"/>
              <w:bottom w:val="double" w:sz="6" w:space="0" w:color="auto"/>
              <w:right w:val="single" w:sz="8" w:space="0" w:color="auto"/>
            </w:tcBorders>
            <w:shd w:val="clear" w:color="auto" w:fill="auto"/>
            <w:vAlign w:val="center"/>
            <w:hideMark/>
          </w:tcPr>
          <w:p w14:paraId="660074F9" w14:textId="5276670D" w:rsidR="001F45CE" w:rsidRPr="00EF6D8E"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9,500</w:t>
            </w:r>
          </w:p>
        </w:tc>
        <w:tc>
          <w:tcPr>
            <w:tcW w:w="1372" w:type="dxa"/>
            <w:tcBorders>
              <w:top w:val="nil"/>
              <w:left w:val="nil"/>
              <w:bottom w:val="double" w:sz="6" w:space="0" w:color="auto"/>
              <w:right w:val="single" w:sz="8" w:space="0" w:color="auto"/>
            </w:tcBorders>
            <w:shd w:val="clear" w:color="auto" w:fill="auto"/>
            <w:noWrap/>
            <w:vAlign w:val="center"/>
            <w:hideMark/>
          </w:tcPr>
          <w:p w14:paraId="3A94636D"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67,500</w:t>
            </w:r>
          </w:p>
        </w:tc>
        <w:tc>
          <w:tcPr>
            <w:tcW w:w="690" w:type="dxa"/>
            <w:tcBorders>
              <w:top w:val="nil"/>
              <w:left w:val="nil"/>
              <w:bottom w:val="double" w:sz="6" w:space="0" w:color="auto"/>
              <w:right w:val="single" w:sz="8" w:space="0" w:color="auto"/>
            </w:tcBorders>
            <w:shd w:val="clear" w:color="auto" w:fill="auto"/>
            <w:vAlign w:val="center"/>
            <w:hideMark/>
          </w:tcPr>
          <w:p w14:paraId="69B726CF" w14:textId="77777777" w:rsidR="001F45CE" w:rsidRPr="00913CCF" w:rsidRDefault="001F45CE" w:rsidP="001F45CE">
            <w:pPr>
              <w:spacing w:after="0"/>
              <w:jc w:val="center"/>
              <w:rPr>
                <w:rFonts w:eastAsia="Times New Roman" w:cs="Calibri"/>
                <w:color w:val="000000"/>
                <w:sz w:val="14"/>
                <w:szCs w:val="14"/>
              </w:rPr>
            </w:pPr>
            <w:r w:rsidRPr="00913CCF">
              <w:rPr>
                <w:rFonts w:eastAsia="Times New Roman" w:cs="Calibri"/>
                <w:color w:val="000000"/>
                <w:sz w:val="14"/>
                <w:szCs w:val="14"/>
              </w:rPr>
              <w:t> </w:t>
            </w:r>
          </w:p>
        </w:tc>
      </w:tr>
      <w:tr w:rsidR="001F45CE" w:rsidRPr="00913CCF" w14:paraId="3567138D" w14:textId="77777777" w:rsidTr="004205FD">
        <w:trPr>
          <w:trHeight w:val="225"/>
        </w:trPr>
        <w:tc>
          <w:tcPr>
            <w:tcW w:w="1354" w:type="dxa"/>
            <w:vMerge/>
            <w:tcBorders>
              <w:top w:val="nil"/>
              <w:left w:val="single" w:sz="8" w:space="0" w:color="000000"/>
              <w:bottom w:val="double" w:sz="6" w:space="0" w:color="000000"/>
              <w:right w:val="single" w:sz="8" w:space="0" w:color="auto"/>
            </w:tcBorders>
            <w:shd w:val="clear" w:color="auto" w:fill="auto"/>
            <w:vAlign w:val="center"/>
            <w:hideMark/>
          </w:tcPr>
          <w:p w14:paraId="12F27C45" w14:textId="77777777" w:rsidR="001F45CE" w:rsidRPr="00913CCF" w:rsidRDefault="001F45CE" w:rsidP="001F45CE">
            <w:pPr>
              <w:spacing w:after="0"/>
              <w:jc w:val="left"/>
              <w:rPr>
                <w:rFonts w:eastAsia="Times New Roman" w:cs="Calibri"/>
                <w:b/>
                <w:bCs/>
                <w:color w:val="000000"/>
                <w:sz w:val="16"/>
                <w:szCs w:val="16"/>
              </w:rPr>
            </w:pPr>
          </w:p>
        </w:tc>
        <w:tc>
          <w:tcPr>
            <w:tcW w:w="1266" w:type="dxa"/>
            <w:tcBorders>
              <w:top w:val="nil"/>
              <w:left w:val="nil"/>
              <w:bottom w:val="double" w:sz="6" w:space="0" w:color="000000"/>
              <w:right w:val="single" w:sz="8" w:space="0" w:color="auto"/>
            </w:tcBorders>
            <w:shd w:val="clear" w:color="auto" w:fill="auto"/>
            <w:vAlign w:val="center"/>
            <w:hideMark/>
          </w:tcPr>
          <w:p w14:paraId="7B960CCC" w14:textId="77777777" w:rsidR="001F45CE" w:rsidRPr="00913CCF" w:rsidRDefault="001F45CE" w:rsidP="001F45CE">
            <w:pPr>
              <w:spacing w:after="0"/>
              <w:jc w:val="left"/>
              <w:rPr>
                <w:rFonts w:eastAsia="Times New Roman" w:cs="Calibri"/>
                <w:b/>
                <w:bCs/>
                <w:color w:val="000000"/>
                <w:sz w:val="16"/>
                <w:szCs w:val="16"/>
              </w:rPr>
            </w:pPr>
            <w:r w:rsidRPr="00913CCF">
              <w:rPr>
                <w:rFonts w:eastAsia="Times New Roman" w:cs="Calibri"/>
                <w:b/>
                <w:bCs/>
                <w:color w:val="000000"/>
                <w:sz w:val="16"/>
                <w:szCs w:val="16"/>
              </w:rPr>
              <w:t> </w:t>
            </w:r>
          </w:p>
        </w:tc>
        <w:tc>
          <w:tcPr>
            <w:tcW w:w="622" w:type="dxa"/>
            <w:tcBorders>
              <w:top w:val="nil"/>
              <w:left w:val="nil"/>
              <w:bottom w:val="double" w:sz="6" w:space="0" w:color="auto"/>
              <w:right w:val="single" w:sz="8" w:space="0" w:color="auto"/>
            </w:tcBorders>
            <w:shd w:val="clear" w:color="auto" w:fill="auto"/>
            <w:vAlign w:val="center"/>
            <w:hideMark/>
          </w:tcPr>
          <w:p w14:paraId="4675F4FB"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 </w:t>
            </w:r>
          </w:p>
        </w:tc>
        <w:tc>
          <w:tcPr>
            <w:tcW w:w="632" w:type="dxa"/>
            <w:tcBorders>
              <w:top w:val="nil"/>
              <w:left w:val="nil"/>
              <w:bottom w:val="double" w:sz="6" w:space="0" w:color="auto"/>
              <w:right w:val="single" w:sz="8" w:space="0" w:color="auto"/>
            </w:tcBorders>
            <w:shd w:val="clear" w:color="auto" w:fill="auto"/>
            <w:vAlign w:val="center"/>
            <w:hideMark/>
          </w:tcPr>
          <w:p w14:paraId="3644193A"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 </w:t>
            </w:r>
          </w:p>
        </w:tc>
        <w:tc>
          <w:tcPr>
            <w:tcW w:w="901" w:type="dxa"/>
            <w:tcBorders>
              <w:top w:val="nil"/>
              <w:left w:val="nil"/>
              <w:bottom w:val="double" w:sz="6" w:space="0" w:color="auto"/>
              <w:right w:val="single" w:sz="8" w:space="0" w:color="auto"/>
            </w:tcBorders>
            <w:shd w:val="clear" w:color="auto" w:fill="auto"/>
            <w:noWrap/>
            <w:vAlign w:val="center"/>
            <w:hideMark/>
          </w:tcPr>
          <w:p w14:paraId="6D8889F4" w14:textId="77777777" w:rsidR="001F45CE" w:rsidRPr="00913CCF" w:rsidRDefault="001F45CE" w:rsidP="001F45CE">
            <w:pPr>
              <w:spacing w:after="0"/>
              <w:jc w:val="center"/>
              <w:rPr>
                <w:rFonts w:eastAsia="Times New Roman" w:cs="Calibri"/>
                <w:b/>
                <w:bCs/>
                <w:color w:val="000000"/>
                <w:sz w:val="16"/>
                <w:szCs w:val="16"/>
              </w:rPr>
            </w:pPr>
            <w:r w:rsidRPr="00913CCF">
              <w:rPr>
                <w:rFonts w:eastAsia="Times New Roman" w:cs="Calibri"/>
                <w:b/>
                <w:bCs/>
                <w:color w:val="000000"/>
                <w:sz w:val="16"/>
                <w:szCs w:val="16"/>
              </w:rPr>
              <w:t> </w:t>
            </w:r>
          </w:p>
        </w:tc>
        <w:tc>
          <w:tcPr>
            <w:tcW w:w="1186" w:type="dxa"/>
            <w:tcBorders>
              <w:top w:val="nil"/>
              <w:left w:val="nil"/>
              <w:bottom w:val="double" w:sz="6" w:space="0" w:color="auto"/>
              <w:right w:val="single" w:sz="8" w:space="0" w:color="auto"/>
            </w:tcBorders>
            <w:shd w:val="clear" w:color="auto" w:fill="auto"/>
            <w:vAlign w:val="center"/>
            <w:hideMark/>
          </w:tcPr>
          <w:p w14:paraId="2A214536" w14:textId="77777777" w:rsidR="001F45CE" w:rsidRPr="00913CCF" w:rsidRDefault="001F45CE" w:rsidP="001F45CE">
            <w:pPr>
              <w:spacing w:after="0"/>
              <w:jc w:val="left"/>
              <w:rPr>
                <w:rFonts w:eastAsia="Times New Roman" w:cs="Calibri"/>
                <w:b/>
                <w:bCs/>
                <w:color w:val="000000"/>
                <w:sz w:val="16"/>
                <w:szCs w:val="16"/>
              </w:rPr>
            </w:pPr>
            <w:r w:rsidRPr="00913CCF">
              <w:rPr>
                <w:rFonts w:eastAsia="Times New Roman" w:cs="Calibri"/>
                <w:b/>
                <w:bCs/>
                <w:color w:val="000000"/>
                <w:sz w:val="16"/>
                <w:szCs w:val="16"/>
              </w:rPr>
              <w:t>Total Outcome 4</w:t>
            </w:r>
          </w:p>
        </w:tc>
        <w:tc>
          <w:tcPr>
            <w:tcW w:w="1155" w:type="dxa"/>
            <w:tcBorders>
              <w:top w:val="nil"/>
              <w:left w:val="nil"/>
              <w:bottom w:val="double" w:sz="6" w:space="0" w:color="auto"/>
              <w:right w:val="single" w:sz="8" w:space="0" w:color="auto"/>
            </w:tcBorders>
            <w:shd w:val="clear" w:color="auto" w:fill="auto"/>
            <w:noWrap/>
            <w:vAlign w:val="center"/>
            <w:hideMark/>
          </w:tcPr>
          <w:p w14:paraId="5968EDED" w14:textId="7D75B103" w:rsidR="001F45CE" w:rsidRPr="00582BDC" w:rsidRDefault="001F45CE" w:rsidP="001F45CE">
            <w:pPr>
              <w:spacing w:after="0"/>
              <w:jc w:val="center"/>
              <w:rPr>
                <w:rFonts w:eastAsia="Times New Roman" w:cs="Calibri"/>
                <w:b/>
                <w:bCs/>
                <w:color w:val="000000"/>
                <w:sz w:val="16"/>
                <w:szCs w:val="16"/>
                <w:highlight w:val="green"/>
              </w:rPr>
            </w:pPr>
            <w:r w:rsidRPr="00582BDC">
              <w:rPr>
                <w:rFonts w:eastAsia="Times New Roman" w:cs="Calibri"/>
                <w:b/>
                <w:bCs/>
                <w:color w:val="000000"/>
                <w:sz w:val="16"/>
                <w:szCs w:val="16"/>
                <w:highlight w:val="green"/>
              </w:rPr>
              <w:t>148,373</w:t>
            </w:r>
          </w:p>
        </w:tc>
        <w:tc>
          <w:tcPr>
            <w:tcW w:w="1010" w:type="dxa"/>
            <w:tcBorders>
              <w:top w:val="nil"/>
              <w:left w:val="nil"/>
              <w:bottom w:val="double" w:sz="6" w:space="0" w:color="auto"/>
              <w:right w:val="single" w:sz="8" w:space="0" w:color="auto"/>
            </w:tcBorders>
            <w:shd w:val="clear" w:color="auto" w:fill="auto"/>
            <w:noWrap/>
            <w:vAlign w:val="center"/>
            <w:hideMark/>
          </w:tcPr>
          <w:p w14:paraId="297C779D" w14:textId="5EA6B715" w:rsidR="001F45CE" w:rsidRPr="00582BDC" w:rsidRDefault="001F45CE" w:rsidP="001F45CE">
            <w:pPr>
              <w:spacing w:after="0"/>
              <w:jc w:val="center"/>
              <w:rPr>
                <w:rFonts w:eastAsia="Times New Roman" w:cs="Calibri"/>
                <w:b/>
                <w:bCs/>
                <w:color w:val="000000"/>
                <w:sz w:val="16"/>
                <w:szCs w:val="16"/>
                <w:highlight w:val="green"/>
              </w:rPr>
            </w:pPr>
            <w:r w:rsidRPr="00582BDC">
              <w:rPr>
                <w:rFonts w:eastAsia="Times New Roman" w:cs="Calibri"/>
                <w:b/>
                <w:bCs/>
                <w:color w:val="000000"/>
                <w:sz w:val="16"/>
                <w:szCs w:val="16"/>
                <w:highlight w:val="green"/>
              </w:rPr>
              <w:t>65,750</w:t>
            </w:r>
          </w:p>
        </w:tc>
        <w:tc>
          <w:tcPr>
            <w:tcW w:w="938" w:type="dxa"/>
            <w:tcBorders>
              <w:top w:val="nil"/>
              <w:left w:val="nil"/>
              <w:bottom w:val="double" w:sz="6" w:space="0" w:color="auto"/>
              <w:right w:val="single" w:sz="8" w:space="0" w:color="auto"/>
            </w:tcBorders>
            <w:shd w:val="clear" w:color="auto" w:fill="auto"/>
            <w:noWrap/>
            <w:vAlign w:val="center"/>
            <w:hideMark/>
          </w:tcPr>
          <w:p w14:paraId="270585B2" w14:textId="417DE019" w:rsidR="001F45CE" w:rsidRPr="00582BDC" w:rsidRDefault="001F45CE" w:rsidP="001F45CE">
            <w:pPr>
              <w:spacing w:after="0"/>
              <w:jc w:val="center"/>
              <w:rPr>
                <w:rFonts w:eastAsia="Times New Roman" w:cs="Calibri"/>
                <w:b/>
                <w:bCs/>
                <w:color w:val="000000"/>
                <w:sz w:val="16"/>
                <w:szCs w:val="16"/>
                <w:highlight w:val="green"/>
              </w:rPr>
            </w:pPr>
            <w:r w:rsidRPr="00582BDC">
              <w:rPr>
                <w:rFonts w:eastAsia="Times New Roman" w:cs="Calibri"/>
                <w:b/>
                <w:bCs/>
                <w:color w:val="000000"/>
                <w:sz w:val="16"/>
                <w:szCs w:val="16"/>
                <w:highlight w:val="green"/>
              </w:rPr>
              <w:t>101,600</w:t>
            </w:r>
          </w:p>
        </w:tc>
        <w:tc>
          <w:tcPr>
            <w:tcW w:w="938" w:type="dxa"/>
            <w:tcBorders>
              <w:top w:val="nil"/>
              <w:left w:val="nil"/>
              <w:bottom w:val="double" w:sz="6" w:space="0" w:color="auto"/>
              <w:right w:val="single" w:sz="8" w:space="0" w:color="auto"/>
            </w:tcBorders>
            <w:shd w:val="clear" w:color="auto" w:fill="auto"/>
            <w:noWrap/>
            <w:vAlign w:val="center"/>
            <w:hideMark/>
          </w:tcPr>
          <w:p w14:paraId="19E6D854" w14:textId="618EE0CF" w:rsidR="001F45CE" w:rsidRPr="00582BDC" w:rsidRDefault="001F45CE" w:rsidP="001F45CE">
            <w:pPr>
              <w:spacing w:after="0"/>
              <w:jc w:val="center"/>
              <w:rPr>
                <w:rFonts w:eastAsia="Times New Roman" w:cs="Calibri"/>
                <w:b/>
                <w:bCs/>
                <w:color w:val="000000"/>
                <w:sz w:val="16"/>
                <w:szCs w:val="16"/>
                <w:highlight w:val="green"/>
              </w:rPr>
            </w:pPr>
            <w:r w:rsidRPr="00582BDC">
              <w:rPr>
                <w:rFonts w:eastAsia="Times New Roman" w:cs="Calibri"/>
                <w:b/>
                <w:bCs/>
                <w:color w:val="000000"/>
                <w:sz w:val="16"/>
                <w:szCs w:val="16"/>
                <w:highlight w:val="green"/>
              </w:rPr>
              <w:t>83,750</w:t>
            </w:r>
          </w:p>
        </w:tc>
        <w:tc>
          <w:tcPr>
            <w:tcW w:w="938" w:type="dxa"/>
            <w:tcBorders>
              <w:top w:val="nil"/>
              <w:left w:val="nil"/>
              <w:bottom w:val="double" w:sz="6" w:space="0" w:color="auto"/>
              <w:right w:val="single" w:sz="8" w:space="0" w:color="auto"/>
            </w:tcBorders>
            <w:shd w:val="clear" w:color="auto" w:fill="auto"/>
            <w:noWrap/>
            <w:vAlign w:val="center"/>
            <w:hideMark/>
          </w:tcPr>
          <w:p w14:paraId="4805E01D" w14:textId="3494728D" w:rsidR="001F45CE" w:rsidRPr="00582BDC" w:rsidRDefault="001F45CE" w:rsidP="001F45CE">
            <w:pPr>
              <w:spacing w:after="0"/>
              <w:jc w:val="center"/>
              <w:rPr>
                <w:rFonts w:eastAsia="Times New Roman" w:cs="Calibri"/>
                <w:b/>
                <w:bCs/>
                <w:color w:val="000000"/>
                <w:sz w:val="16"/>
                <w:szCs w:val="16"/>
                <w:highlight w:val="green"/>
              </w:rPr>
            </w:pPr>
            <w:r w:rsidRPr="00582BDC">
              <w:rPr>
                <w:rFonts w:eastAsia="Times New Roman" w:cs="Calibri"/>
                <w:b/>
                <w:bCs/>
                <w:color w:val="000000"/>
                <w:sz w:val="16"/>
                <w:szCs w:val="16"/>
                <w:highlight w:val="green"/>
              </w:rPr>
              <w:t>78,750</w:t>
            </w:r>
          </w:p>
        </w:tc>
        <w:tc>
          <w:tcPr>
            <w:tcW w:w="938" w:type="dxa"/>
            <w:tcBorders>
              <w:top w:val="nil"/>
              <w:left w:val="nil"/>
              <w:bottom w:val="double" w:sz="6" w:space="0" w:color="auto"/>
              <w:right w:val="single" w:sz="8" w:space="0" w:color="auto"/>
            </w:tcBorders>
            <w:shd w:val="clear" w:color="auto" w:fill="auto"/>
            <w:noWrap/>
            <w:vAlign w:val="center"/>
            <w:hideMark/>
          </w:tcPr>
          <w:p w14:paraId="24738AF5" w14:textId="25F5050F" w:rsidR="001F45CE" w:rsidRPr="00EF6D8E"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113,950</w:t>
            </w:r>
          </w:p>
        </w:tc>
        <w:tc>
          <w:tcPr>
            <w:tcW w:w="1372" w:type="dxa"/>
            <w:tcBorders>
              <w:top w:val="nil"/>
              <w:left w:val="nil"/>
              <w:bottom w:val="double" w:sz="6" w:space="0" w:color="auto"/>
              <w:right w:val="single" w:sz="8" w:space="0" w:color="auto"/>
            </w:tcBorders>
            <w:shd w:val="clear" w:color="auto" w:fill="auto"/>
            <w:noWrap/>
            <w:vAlign w:val="center"/>
            <w:hideMark/>
          </w:tcPr>
          <w:p w14:paraId="7FA6AB59" w14:textId="43CFC499" w:rsidR="001F45CE" w:rsidRPr="00EF6D8E" w:rsidRDefault="001F45CE" w:rsidP="001F45CE">
            <w:pPr>
              <w:spacing w:after="0"/>
              <w:jc w:val="center"/>
              <w:rPr>
                <w:rFonts w:eastAsia="Times New Roman" w:cs="Calibri"/>
                <w:b/>
                <w:bCs/>
                <w:color w:val="000000"/>
                <w:sz w:val="16"/>
                <w:szCs w:val="16"/>
              </w:rPr>
            </w:pPr>
            <w:r w:rsidRPr="00EF6D8E">
              <w:rPr>
                <w:rFonts w:eastAsia="Times New Roman" w:cs="Calibri"/>
                <w:b/>
                <w:bCs/>
                <w:color w:val="000000"/>
                <w:sz w:val="16"/>
                <w:szCs w:val="16"/>
              </w:rPr>
              <w:t>602,173</w:t>
            </w:r>
          </w:p>
        </w:tc>
        <w:tc>
          <w:tcPr>
            <w:tcW w:w="690" w:type="dxa"/>
            <w:tcBorders>
              <w:top w:val="nil"/>
              <w:left w:val="nil"/>
              <w:bottom w:val="double" w:sz="6" w:space="0" w:color="auto"/>
              <w:right w:val="single" w:sz="8" w:space="0" w:color="auto"/>
            </w:tcBorders>
            <w:shd w:val="clear" w:color="auto" w:fill="auto"/>
            <w:vAlign w:val="center"/>
            <w:hideMark/>
          </w:tcPr>
          <w:p w14:paraId="38086713" w14:textId="77777777" w:rsidR="001F45CE" w:rsidRPr="00913CCF" w:rsidRDefault="001F45CE" w:rsidP="001F45CE">
            <w:pPr>
              <w:spacing w:after="0"/>
              <w:jc w:val="center"/>
              <w:rPr>
                <w:rFonts w:eastAsia="Times New Roman" w:cs="Calibri"/>
                <w:color w:val="000000"/>
                <w:sz w:val="14"/>
                <w:szCs w:val="14"/>
              </w:rPr>
            </w:pPr>
            <w:r w:rsidRPr="00913CCF">
              <w:rPr>
                <w:rFonts w:eastAsia="Times New Roman" w:cs="Calibri"/>
                <w:color w:val="000000"/>
                <w:sz w:val="14"/>
                <w:szCs w:val="14"/>
              </w:rPr>
              <w:t> </w:t>
            </w:r>
          </w:p>
        </w:tc>
      </w:tr>
      <w:tr w:rsidR="004205FD" w:rsidRPr="00913CCF" w14:paraId="6F069581" w14:textId="77777777" w:rsidTr="004205FD">
        <w:trPr>
          <w:trHeight w:val="225"/>
        </w:trPr>
        <w:tc>
          <w:tcPr>
            <w:tcW w:w="1354" w:type="dxa"/>
            <w:vMerge w:val="restart"/>
            <w:tcBorders>
              <w:top w:val="nil"/>
              <w:left w:val="double" w:sz="6" w:space="0" w:color="auto"/>
              <w:bottom w:val="double" w:sz="6" w:space="0" w:color="000000"/>
              <w:right w:val="single" w:sz="8" w:space="0" w:color="auto"/>
            </w:tcBorders>
            <w:shd w:val="clear" w:color="auto" w:fill="auto"/>
            <w:vAlign w:val="center"/>
            <w:hideMark/>
          </w:tcPr>
          <w:p w14:paraId="4E65E548" w14:textId="77777777" w:rsidR="004205FD" w:rsidRPr="00913CCF" w:rsidRDefault="004205FD" w:rsidP="004205FD">
            <w:pPr>
              <w:spacing w:after="0"/>
              <w:jc w:val="center"/>
              <w:rPr>
                <w:rFonts w:eastAsia="Times New Roman" w:cs="Calibri"/>
                <w:b/>
                <w:bCs/>
                <w:color w:val="000000"/>
                <w:sz w:val="16"/>
                <w:szCs w:val="16"/>
              </w:rPr>
            </w:pPr>
            <w:r w:rsidRPr="00913CCF">
              <w:rPr>
                <w:rFonts w:eastAsia="Times New Roman" w:cs="Calibri"/>
                <w:b/>
                <w:bCs/>
                <w:color w:val="000000"/>
                <w:sz w:val="16"/>
                <w:szCs w:val="16"/>
                <w:lang w:val="fr-CA"/>
              </w:rPr>
              <w:t>PROJECT MANAGEMENT UNIT</w:t>
            </w:r>
          </w:p>
        </w:tc>
        <w:tc>
          <w:tcPr>
            <w:tcW w:w="1266" w:type="dxa"/>
            <w:vMerge w:val="restart"/>
            <w:tcBorders>
              <w:top w:val="nil"/>
              <w:left w:val="single" w:sz="8" w:space="0" w:color="auto"/>
              <w:bottom w:val="double" w:sz="6" w:space="0" w:color="000000"/>
              <w:right w:val="single" w:sz="8" w:space="0" w:color="auto"/>
            </w:tcBorders>
            <w:shd w:val="clear" w:color="auto" w:fill="auto"/>
            <w:vAlign w:val="center"/>
            <w:hideMark/>
          </w:tcPr>
          <w:p w14:paraId="3619EBED" w14:textId="55099878" w:rsidR="004205FD" w:rsidRPr="00913CCF" w:rsidRDefault="004205FD" w:rsidP="004205FD">
            <w:pPr>
              <w:spacing w:after="0"/>
              <w:rPr>
                <w:rFonts w:eastAsia="Times New Roman" w:cs="Calibri"/>
                <w:b/>
                <w:bCs/>
                <w:color w:val="000000"/>
                <w:sz w:val="16"/>
                <w:szCs w:val="16"/>
              </w:rPr>
            </w:pPr>
            <w:r>
              <w:rPr>
                <w:rFonts w:cs="Arial"/>
                <w:szCs w:val="20"/>
                <w:highlight w:val="green"/>
              </w:rPr>
              <w:t>SP Conseil Nation Devel Durabl under the Ministry in charge of the Environment</w:t>
            </w:r>
          </w:p>
        </w:tc>
        <w:tc>
          <w:tcPr>
            <w:tcW w:w="622" w:type="dxa"/>
            <w:vMerge w:val="restart"/>
            <w:tcBorders>
              <w:top w:val="nil"/>
              <w:left w:val="single" w:sz="8" w:space="0" w:color="auto"/>
              <w:right w:val="single" w:sz="8" w:space="0" w:color="auto"/>
            </w:tcBorders>
            <w:shd w:val="clear" w:color="auto" w:fill="auto"/>
            <w:vAlign w:val="center"/>
            <w:hideMark/>
          </w:tcPr>
          <w:p w14:paraId="1B7CA4BD" w14:textId="77777777" w:rsidR="004205FD" w:rsidRPr="00913CCF" w:rsidRDefault="004205FD" w:rsidP="004205FD">
            <w:pPr>
              <w:spacing w:after="0"/>
              <w:jc w:val="center"/>
              <w:rPr>
                <w:rFonts w:eastAsia="Times New Roman" w:cs="Calibri"/>
                <w:b/>
                <w:bCs/>
                <w:color w:val="000000"/>
                <w:sz w:val="16"/>
                <w:szCs w:val="16"/>
              </w:rPr>
            </w:pPr>
            <w:r w:rsidRPr="00913CCF">
              <w:rPr>
                <w:rFonts w:eastAsia="Times New Roman" w:cs="Calibri"/>
                <w:b/>
                <w:bCs/>
                <w:color w:val="000000"/>
                <w:sz w:val="16"/>
                <w:szCs w:val="16"/>
              </w:rPr>
              <w:t>62000</w:t>
            </w:r>
          </w:p>
        </w:tc>
        <w:tc>
          <w:tcPr>
            <w:tcW w:w="632" w:type="dxa"/>
            <w:vMerge w:val="restart"/>
            <w:tcBorders>
              <w:top w:val="nil"/>
              <w:left w:val="single" w:sz="8" w:space="0" w:color="auto"/>
              <w:right w:val="single" w:sz="8" w:space="0" w:color="auto"/>
            </w:tcBorders>
            <w:shd w:val="clear" w:color="auto" w:fill="auto"/>
            <w:vAlign w:val="center"/>
            <w:hideMark/>
          </w:tcPr>
          <w:p w14:paraId="17C89EA2" w14:textId="77777777" w:rsidR="004205FD" w:rsidRPr="00913CCF" w:rsidRDefault="004205FD" w:rsidP="004205FD">
            <w:pPr>
              <w:spacing w:after="0"/>
              <w:jc w:val="center"/>
              <w:rPr>
                <w:rFonts w:eastAsia="Times New Roman" w:cs="Calibri"/>
                <w:b/>
                <w:bCs/>
                <w:color w:val="000000"/>
                <w:sz w:val="16"/>
                <w:szCs w:val="16"/>
              </w:rPr>
            </w:pPr>
            <w:r w:rsidRPr="00913CCF">
              <w:rPr>
                <w:rFonts w:eastAsia="Times New Roman" w:cs="Calibri"/>
                <w:b/>
                <w:bCs/>
                <w:color w:val="000000"/>
                <w:sz w:val="16"/>
                <w:szCs w:val="16"/>
              </w:rPr>
              <w:t>GEF</w:t>
            </w:r>
          </w:p>
        </w:tc>
        <w:tc>
          <w:tcPr>
            <w:tcW w:w="901" w:type="dxa"/>
            <w:tcBorders>
              <w:top w:val="nil"/>
              <w:left w:val="nil"/>
              <w:bottom w:val="single" w:sz="8" w:space="0" w:color="auto"/>
              <w:right w:val="single" w:sz="8" w:space="0" w:color="auto"/>
            </w:tcBorders>
            <w:shd w:val="clear" w:color="auto" w:fill="auto"/>
            <w:noWrap/>
            <w:vAlign w:val="center"/>
            <w:hideMark/>
          </w:tcPr>
          <w:p w14:paraId="067A7AA2" w14:textId="77777777" w:rsidR="004205FD" w:rsidRPr="00913CCF" w:rsidRDefault="004205FD" w:rsidP="004205FD">
            <w:pPr>
              <w:spacing w:after="0"/>
              <w:jc w:val="center"/>
              <w:rPr>
                <w:rFonts w:eastAsia="Times New Roman" w:cs="Calibri"/>
                <w:color w:val="000000"/>
                <w:sz w:val="16"/>
                <w:szCs w:val="16"/>
              </w:rPr>
            </w:pPr>
            <w:r w:rsidRPr="00913CCF">
              <w:rPr>
                <w:rFonts w:eastAsia="Times New Roman" w:cs="Calibri"/>
                <w:color w:val="000000"/>
                <w:sz w:val="16"/>
                <w:szCs w:val="16"/>
              </w:rPr>
              <w:t>71400</w:t>
            </w:r>
          </w:p>
        </w:tc>
        <w:tc>
          <w:tcPr>
            <w:tcW w:w="1186" w:type="dxa"/>
            <w:tcBorders>
              <w:top w:val="nil"/>
              <w:left w:val="nil"/>
              <w:bottom w:val="single" w:sz="8" w:space="0" w:color="auto"/>
              <w:right w:val="single" w:sz="8" w:space="0" w:color="auto"/>
            </w:tcBorders>
            <w:shd w:val="clear" w:color="auto" w:fill="auto"/>
            <w:vAlign w:val="center"/>
            <w:hideMark/>
          </w:tcPr>
          <w:p w14:paraId="23BF3ACC" w14:textId="77777777" w:rsidR="004205FD" w:rsidRPr="00913CCF" w:rsidRDefault="004205FD" w:rsidP="004205FD">
            <w:pPr>
              <w:spacing w:after="0"/>
              <w:jc w:val="left"/>
              <w:rPr>
                <w:rFonts w:eastAsia="Times New Roman" w:cs="Calibri"/>
                <w:color w:val="000000"/>
                <w:sz w:val="16"/>
                <w:szCs w:val="16"/>
              </w:rPr>
            </w:pPr>
            <w:r w:rsidRPr="00913CCF">
              <w:rPr>
                <w:rFonts w:eastAsia="Times New Roman" w:cs="Calibri"/>
                <w:color w:val="000000"/>
                <w:sz w:val="16"/>
                <w:szCs w:val="16"/>
              </w:rPr>
              <w:t>Serv. Contract. Ind.</w:t>
            </w:r>
          </w:p>
        </w:tc>
        <w:tc>
          <w:tcPr>
            <w:tcW w:w="1155" w:type="dxa"/>
            <w:tcBorders>
              <w:top w:val="nil"/>
              <w:left w:val="nil"/>
              <w:bottom w:val="single" w:sz="8" w:space="0" w:color="auto"/>
              <w:right w:val="single" w:sz="8" w:space="0" w:color="auto"/>
            </w:tcBorders>
            <w:shd w:val="clear" w:color="auto" w:fill="auto"/>
            <w:noWrap/>
            <w:vAlign w:val="center"/>
            <w:hideMark/>
          </w:tcPr>
          <w:p w14:paraId="7A3F6272" w14:textId="77777777" w:rsidR="004205FD" w:rsidRPr="00913CCF" w:rsidRDefault="004205FD" w:rsidP="004205FD">
            <w:pPr>
              <w:spacing w:after="0"/>
              <w:jc w:val="center"/>
              <w:rPr>
                <w:rFonts w:eastAsia="Times New Roman" w:cs="Calibri"/>
                <w:color w:val="000000"/>
                <w:sz w:val="16"/>
                <w:szCs w:val="16"/>
              </w:rPr>
            </w:pPr>
            <w:r w:rsidRPr="00913CCF">
              <w:rPr>
                <w:rFonts w:eastAsia="Times New Roman" w:cs="Calibri"/>
                <w:color w:val="000000"/>
                <w:sz w:val="16"/>
                <w:szCs w:val="16"/>
              </w:rPr>
              <w:t>40,800</w:t>
            </w:r>
          </w:p>
        </w:tc>
        <w:tc>
          <w:tcPr>
            <w:tcW w:w="1010" w:type="dxa"/>
            <w:tcBorders>
              <w:top w:val="nil"/>
              <w:left w:val="nil"/>
              <w:bottom w:val="single" w:sz="8" w:space="0" w:color="auto"/>
              <w:right w:val="single" w:sz="8" w:space="0" w:color="auto"/>
            </w:tcBorders>
            <w:shd w:val="clear" w:color="auto" w:fill="auto"/>
            <w:noWrap/>
            <w:vAlign w:val="center"/>
            <w:hideMark/>
          </w:tcPr>
          <w:p w14:paraId="6CB0B469" w14:textId="77777777" w:rsidR="004205FD" w:rsidRPr="00913CCF" w:rsidRDefault="004205FD" w:rsidP="004205FD">
            <w:pPr>
              <w:spacing w:after="0"/>
              <w:jc w:val="center"/>
              <w:rPr>
                <w:rFonts w:eastAsia="Times New Roman" w:cs="Calibri"/>
                <w:color w:val="000000"/>
                <w:sz w:val="16"/>
                <w:szCs w:val="16"/>
              </w:rPr>
            </w:pPr>
            <w:r w:rsidRPr="00913CCF">
              <w:rPr>
                <w:rFonts w:eastAsia="Times New Roman" w:cs="Calibri"/>
                <w:color w:val="000000"/>
                <w:sz w:val="16"/>
                <w:szCs w:val="16"/>
              </w:rPr>
              <w:t>40,800</w:t>
            </w:r>
          </w:p>
        </w:tc>
        <w:tc>
          <w:tcPr>
            <w:tcW w:w="938" w:type="dxa"/>
            <w:tcBorders>
              <w:top w:val="nil"/>
              <w:left w:val="nil"/>
              <w:bottom w:val="single" w:sz="8" w:space="0" w:color="auto"/>
              <w:right w:val="single" w:sz="8" w:space="0" w:color="auto"/>
            </w:tcBorders>
            <w:shd w:val="clear" w:color="auto" w:fill="auto"/>
            <w:noWrap/>
            <w:vAlign w:val="center"/>
            <w:hideMark/>
          </w:tcPr>
          <w:p w14:paraId="520609DE" w14:textId="77777777" w:rsidR="004205FD" w:rsidRPr="00913CCF" w:rsidRDefault="004205FD" w:rsidP="004205FD">
            <w:pPr>
              <w:spacing w:after="0"/>
              <w:jc w:val="center"/>
              <w:rPr>
                <w:rFonts w:eastAsia="Times New Roman" w:cs="Calibri"/>
                <w:color w:val="000000"/>
                <w:sz w:val="16"/>
                <w:szCs w:val="16"/>
              </w:rPr>
            </w:pPr>
            <w:r w:rsidRPr="00913CCF">
              <w:rPr>
                <w:rFonts w:eastAsia="Times New Roman" w:cs="Calibri"/>
                <w:color w:val="000000"/>
                <w:sz w:val="16"/>
                <w:szCs w:val="16"/>
              </w:rPr>
              <w:t>40,800</w:t>
            </w:r>
          </w:p>
        </w:tc>
        <w:tc>
          <w:tcPr>
            <w:tcW w:w="938" w:type="dxa"/>
            <w:tcBorders>
              <w:top w:val="nil"/>
              <w:left w:val="nil"/>
              <w:bottom w:val="single" w:sz="8" w:space="0" w:color="auto"/>
              <w:right w:val="single" w:sz="8" w:space="0" w:color="auto"/>
            </w:tcBorders>
            <w:shd w:val="clear" w:color="auto" w:fill="auto"/>
            <w:noWrap/>
            <w:vAlign w:val="center"/>
            <w:hideMark/>
          </w:tcPr>
          <w:p w14:paraId="4CB56EE0" w14:textId="77777777" w:rsidR="004205FD" w:rsidRPr="00913CCF" w:rsidRDefault="004205FD" w:rsidP="004205FD">
            <w:pPr>
              <w:spacing w:after="0"/>
              <w:jc w:val="center"/>
              <w:rPr>
                <w:rFonts w:eastAsia="Times New Roman" w:cs="Calibri"/>
                <w:color w:val="000000"/>
                <w:sz w:val="16"/>
                <w:szCs w:val="16"/>
              </w:rPr>
            </w:pPr>
            <w:r w:rsidRPr="00913CCF">
              <w:rPr>
                <w:rFonts w:eastAsia="Times New Roman" w:cs="Calibri"/>
                <w:color w:val="000000"/>
                <w:sz w:val="16"/>
                <w:szCs w:val="16"/>
              </w:rPr>
              <w:t>22,800</w:t>
            </w:r>
          </w:p>
        </w:tc>
        <w:tc>
          <w:tcPr>
            <w:tcW w:w="938" w:type="dxa"/>
            <w:tcBorders>
              <w:top w:val="nil"/>
              <w:left w:val="nil"/>
              <w:bottom w:val="single" w:sz="8" w:space="0" w:color="auto"/>
              <w:right w:val="single" w:sz="8" w:space="0" w:color="auto"/>
            </w:tcBorders>
            <w:shd w:val="clear" w:color="auto" w:fill="auto"/>
            <w:noWrap/>
            <w:vAlign w:val="center"/>
            <w:hideMark/>
          </w:tcPr>
          <w:p w14:paraId="676B706C" w14:textId="77777777" w:rsidR="004205FD" w:rsidRPr="00913CCF" w:rsidRDefault="004205FD" w:rsidP="004205FD">
            <w:pPr>
              <w:spacing w:after="0"/>
              <w:jc w:val="center"/>
              <w:rPr>
                <w:rFonts w:eastAsia="Times New Roman" w:cs="Calibri"/>
                <w:color w:val="000000"/>
                <w:sz w:val="16"/>
                <w:szCs w:val="16"/>
              </w:rPr>
            </w:pPr>
            <w:r w:rsidRPr="00913CCF">
              <w:rPr>
                <w:rFonts w:eastAsia="Times New Roman" w:cs="Calibri"/>
                <w:color w:val="000000"/>
                <w:sz w:val="16"/>
                <w:szCs w:val="16"/>
              </w:rPr>
              <w:t>22,800</w:t>
            </w:r>
          </w:p>
        </w:tc>
        <w:tc>
          <w:tcPr>
            <w:tcW w:w="938" w:type="dxa"/>
            <w:tcBorders>
              <w:top w:val="nil"/>
              <w:left w:val="nil"/>
              <w:bottom w:val="single" w:sz="8" w:space="0" w:color="auto"/>
              <w:right w:val="single" w:sz="8" w:space="0" w:color="auto"/>
            </w:tcBorders>
            <w:shd w:val="clear" w:color="auto" w:fill="auto"/>
            <w:vAlign w:val="center"/>
            <w:hideMark/>
          </w:tcPr>
          <w:p w14:paraId="1FC4D267" w14:textId="2D64F6BD" w:rsidR="004205FD" w:rsidRPr="00913CCF" w:rsidRDefault="004205FD" w:rsidP="004205FD">
            <w:pPr>
              <w:spacing w:after="0"/>
              <w:jc w:val="center"/>
              <w:rPr>
                <w:rFonts w:eastAsia="Times New Roman" w:cs="Calibri"/>
                <w:color w:val="000000"/>
                <w:sz w:val="16"/>
                <w:szCs w:val="16"/>
              </w:rPr>
            </w:pPr>
            <w:r w:rsidRPr="00EF6D8E">
              <w:rPr>
                <w:rFonts w:eastAsia="Times New Roman" w:cs="Calibri"/>
                <w:color w:val="000000"/>
                <w:sz w:val="16"/>
                <w:szCs w:val="16"/>
              </w:rPr>
              <w:t>2,800</w:t>
            </w:r>
          </w:p>
        </w:tc>
        <w:tc>
          <w:tcPr>
            <w:tcW w:w="1372" w:type="dxa"/>
            <w:tcBorders>
              <w:top w:val="nil"/>
              <w:left w:val="nil"/>
              <w:bottom w:val="single" w:sz="8" w:space="0" w:color="auto"/>
              <w:right w:val="single" w:sz="8" w:space="0" w:color="auto"/>
            </w:tcBorders>
            <w:shd w:val="clear" w:color="auto" w:fill="auto"/>
            <w:noWrap/>
            <w:vAlign w:val="center"/>
            <w:hideMark/>
          </w:tcPr>
          <w:p w14:paraId="5CC873DC" w14:textId="4C32B12C" w:rsidR="004205FD" w:rsidRPr="00EF6D8E" w:rsidRDefault="004205FD" w:rsidP="004205FD">
            <w:pPr>
              <w:spacing w:after="0"/>
              <w:jc w:val="center"/>
              <w:rPr>
                <w:rFonts w:eastAsia="Times New Roman" w:cs="Calibri"/>
                <w:b/>
                <w:bCs/>
                <w:color w:val="000000"/>
                <w:sz w:val="16"/>
                <w:szCs w:val="16"/>
              </w:rPr>
            </w:pPr>
            <w:r w:rsidRPr="00EF6D8E">
              <w:rPr>
                <w:rFonts w:eastAsia="Times New Roman" w:cs="Calibri"/>
                <w:b/>
                <w:bCs/>
                <w:color w:val="000000"/>
                <w:sz w:val="16"/>
                <w:szCs w:val="16"/>
              </w:rPr>
              <w:t>170,800</w:t>
            </w:r>
          </w:p>
        </w:tc>
        <w:tc>
          <w:tcPr>
            <w:tcW w:w="690" w:type="dxa"/>
            <w:tcBorders>
              <w:top w:val="nil"/>
              <w:left w:val="nil"/>
              <w:bottom w:val="single" w:sz="8" w:space="0" w:color="auto"/>
              <w:right w:val="single" w:sz="8" w:space="0" w:color="auto"/>
            </w:tcBorders>
            <w:shd w:val="clear" w:color="auto" w:fill="auto"/>
            <w:vAlign w:val="center"/>
            <w:hideMark/>
          </w:tcPr>
          <w:p w14:paraId="1111B2D7" w14:textId="77777777" w:rsidR="004205FD" w:rsidRPr="00913CCF" w:rsidRDefault="004205FD" w:rsidP="004205FD">
            <w:pPr>
              <w:spacing w:after="0"/>
              <w:jc w:val="center"/>
              <w:rPr>
                <w:rFonts w:eastAsia="Times New Roman" w:cs="Calibri"/>
                <w:i/>
                <w:iCs/>
                <w:color w:val="000000"/>
                <w:sz w:val="16"/>
                <w:szCs w:val="16"/>
              </w:rPr>
            </w:pPr>
            <w:r w:rsidRPr="00913CCF">
              <w:rPr>
                <w:rFonts w:eastAsia="Times New Roman" w:cs="Calibri"/>
                <w:i/>
                <w:iCs/>
                <w:color w:val="000000"/>
                <w:sz w:val="16"/>
                <w:szCs w:val="16"/>
              </w:rPr>
              <w:t>54</w:t>
            </w:r>
          </w:p>
        </w:tc>
      </w:tr>
      <w:tr w:rsidR="004205FD" w:rsidRPr="00913CCF" w14:paraId="7E53718B" w14:textId="77777777" w:rsidTr="004205FD">
        <w:trPr>
          <w:trHeight w:val="225"/>
        </w:trPr>
        <w:tc>
          <w:tcPr>
            <w:tcW w:w="1354" w:type="dxa"/>
            <w:vMerge/>
            <w:tcBorders>
              <w:top w:val="nil"/>
              <w:left w:val="double" w:sz="6" w:space="0" w:color="auto"/>
              <w:bottom w:val="double" w:sz="6" w:space="0" w:color="000000"/>
              <w:right w:val="single" w:sz="8" w:space="0" w:color="auto"/>
            </w:tcBorders>
            <w:shd w:val="clear" w:color="auto" w:fill="auto"/>
            <w:vAlign w:val="center"/>
            <w:hideMark/>
          </w:tcPr>
          <w:p w14:paraId="6AA266EE" w14:textId="77777777" w:rsidR="004205FD" w:rsidRPr="00913CCF" w:rsidRDefault="004205FD" w:rsidP="004205FD">
            <w:pPr>
              <w:spacing w:after="0"/>
              <w:jc w:val="left"/>
              <w:rPr>
                <w:rFonts w:eastAsia="Times New Roman" w:cs="Calibri"/>
                <w:b/>
                <w:bCs/>
                <w:color w:val="000000"/>
                <w:sz w:val="16"/>
                <w:szCs w:val="16"/>
              </w:rPr>
            </w:pPr>
          </w:p>
        </w:tc>
        <w:tc>
          <w:tcPr>
            <w:tcW w:w="1266" w:type="dxa"/>
            <w:vMerge/>
            <w:tcBorders>
              <w:top w:val="nil"/>
              <w:left w:val="single" w:sz="8" w:space="0" w:color="auto"/>
              <w:bottom w:val="double" w:sz="6" w:space="0" w:color="000000"/>
              <w:right w:val="single" w:sz="8" w:space="0" w:color="auto"/>
            </w:tcBorders>
            <w:shd w:val="clear" w:color="auto" w:fill="auto"/>
            <w:vAlign w:val="center"/>
            <w:hideMark/>
          </w:tcPr>
          <w:p w14:paraId="7353960B" w14:textId="77777777" w:rsidR="004205FD" w:rsidRPr="00913CCF" w:rsidRDefault="004205FD" w:rsidP="004205FD">
            <w:pPr>
              <w:spacing w:after="0"/>
              <w:jc w:val="left"/>
              <w:rPr>
                <w:rFonts w:eastAsia="Times New Roman" w:cs="Calibri"/>
                <w:b/>
                <w:bCs/>
                <w:color w:val="000000"/>
                <w:sz w:val="16"/>
                <w:szCs w:val="16"/>
              </w:rPr>
            </w:pPr>
          </w:p>
        </w:tc>
        <w:tc>
          <w:tcPr>
            <w:tcW w:w="622" w:type="dxa"/>
            <w:vMerge/>
            <w:tcBorders>
              <w:left w:val="single" w:sz="8" w:space="0" w:color="auto"/>
              <w:right w:val="single" w:sz="8" w:space="0" w:color="auto"/>
            </w:tcBorders>
            <w:shd w:val="clear" w:color="auto" w:fill="auto"/>
            <w:vAlign w:val="center"/>
            <w:hideMark/>
          </w:tcPr>
          <w:p w14:paraId="68B01F2D" w14:textId="77777777" w:rsidR="004205FD" w:rsidRPr="00913CCF" w:rsidRDefault="004205FD" w:rsidP="004205FD">
            <w:pPr>
              <w:spacing w:after="0"/>
              <w:jc w:val="left"/>
              <w:rPr>
                <w:rFonts w:eastAsia="Times New Roman" w:cs="Calibri"/>
                <w:b/>
                <w:bCs/>
                <w:color w:val="000000"/>
                <w:sz w:val="16"/>
                <w:szCs w:val="16"/>
              </w:rPr>
            </w:pPr>
          </w:p>
        </w:tc>
        <w:tc>
          <w:tcPr>
            <w:tcW w:w="632" w:type="dxa"/>
            <w:vMerge/>
            <w:tcBorders>
              <w:left w:val="single" w:sz="8" w:space="0" w:color="auto"/>
              <w:right w:val="single" w:sz="8" w:space="0" w:color="auto"/>
            </w:tcBorders>
            <w:shd w:val="clear" w:color="auto" w:fill="auto"/>
            <w:vAlign w:val="center"/>
            <w:hideMark/>
          </w:tcPr>
          <w:p w14:paraId="47A8F2DD" w14:textId="77777777" w:rsidR="004205FD" w:rsidRPr="00913CCF" w:rsidRDefault="004205FD" w:rsidP="004205FD">
            <w:pPr>
              <w:spacing w:after="0"/>
              <w:jc w:val="left"/>
              <w:rPr>
                <w:rFonts w:eastAsia="Times New Roman" w:cs="Calibri"/>
                <w:b/>
                <w:bCs/>
                <w:color w:val="000000"/>
                <w:sz w:val="16"/>
                <w:szCs w:val="16"/>
              </w:rPr>
            </w:pPr>
          </w:p>
        </w:tc>
        <w:tc>
          <w:tcPr>
            <w:tcW w:w="901" w:type="dxa"/>
            <w:tcBorders>
              <w:top w:val="nil"/>
              <w:left w:val="nil"/>
              <w:bottom w:val="single" w:sz="8" w:space="0" w:color="auto"/>
              <w:right w:val="single" w:sz="8" w:space="0" w:color="auto"/>
            </w:tcBorders>
            <w:shd w:val="clear" w:color="auto" w:fill="auto"/>
            <w:noWrap/>
            <w:vAlign w:val="center"/>
            <w:hideMark/>
          </w:tcPr>
          <w:p w14:paraId="3779E93E" w14:textId="77777777" w:rsidR="004205FD" w:rsidRPr="00913CCF" w:rsidRDefault="004205FD" w:rsidP="004205FD">
            <w:pPr>
              <w:spacing w:after="0"/>
              <w:jc w:val="center"/>
              <w:rPr>
                <w:rFonts w:eastAsia="Times New Roman" w:cs="Calibri"/>
                <w:color w:val="000000"/>
                <w:sz w:val="16"/>
                <w:szCs w:val="16"/>
              </w:rPr>
            </w:pPr>
            <w:r w:rsidRPr="00913CCF">
              <w:rPr>
                <w:rFonts w:eastAsia="Times New Roman" w:cs="Calibri"/>
                <w:color w:val="000000"/>
                <w:sz w:val="16"/>
                <w:szCs w:val="16"/>
              </w:rPr>
              <w:t>71600</w:t>
            </w:r>
          </w:p>
        </w:tc>
        <w:tc>
          <w:tcPr>
            <w:tcW w:w="1186" w:type="dxa"/>
            <w:tcBorders>
              <w:top w:val="nil"/>
              <w:left w:val="nil"/>
              <w:bottom w:val="single" w:sz="8" w:space="0" w:color="auto"/>
              <w:right w:val="single" w:sz="8" w:space="0" w:color="auto"/>
            </w:tcBorders>
            <w:shd w:val="clear" w:color="auto" w:fill="auto"/>
            <w:vAlign w:val="center"/>
            <w:hideMark/>
          </w:tcPr>
          <w:p w14:paraId="5AF5CB02" w14:textId="77777777" w:rsidR="004205FD" w:rsidRPr="00913CCF" w:rsidRDefault="004205FD" w:rsidP="004205FD">
            <w:pPr>
              <w:spacing w:after="0"/>
              <w:jc w:val="left"/>
              <w:rPr>
                <w:rFonts w:eastAsia="Times New Roman" w:cs="Calibri"/>
                <w:color w:val="000000"/>
                <w:sz w:val="16"/>
                <w:szCs w:val="16"/>
              </w:rPr>
            </w:pPr>
            <w:r w:rsidRPr="00913CCF">
              <w:rPr>
                <w:rFonts w:eastAsia="Times New Roman" w:cs="Calibri"/>
                <w:color w:val="000000"/>
                <w:sz w:val="16"/>
                <w:szCs w:val="16"/>
              </w:rPr>
              <w:t>Travel</w:t>
            </w:r>
          </w:p>
        </w:tc>
        <w:tc>
          <w:tcPr>
            <w:tcW w:w="1155" w:type="dxa"/>
            <w:tcBorders>
              <w:top w:val="nil"/>
              <w:left w:val="nil"/>
              <w:bottom w:val="single" w:sz="8" w:space="0" w:color="auto"/>
              <w:right w:val="single" w:sz="8" w:space="0" w:color="auto"/>
            </w:tcBorders>
            <w:shd w:val="clear" w:color="auto" w:fill="auto"/>
            <w:noWrap/>
            <w:vAlign w:val="center"/>
            <w:hideMark/>
          </w:tcPr>
          <w:p w14:paraId="227A039D" w14:textId="77777777" w:rsidR="004205FD" w:rsidRPr="00913CCF" w:rsidRDefault="004205FD" w:rsidP="004205FD">
            <w:pPr>
              <w:spacing w:after="0"/>
              <w:jc w:val="center"/>
              <w:rPr>
                <w:rFonts w:eastAsia="Times New Roman" w:cs="Calibri"/>
                <w:color w:val="000000"/>
                <w:sz w:val="16"/>
                <w:szCs w:val="16"/>
              </w:rPr>
            </w:pPr>
            <w:r w:rsidRPr="00913CCF">
              <w:rPr>
                <w:rFonts w:eastAsia="Times New Roman" w:cs="Calibri"/>
                <w:color w:val="000000"/>
                <w:sz w:val="16"/>
                <w:szCs w:val="16"/>
              </w:rPr>
              <w:t>1,500</w:t>
            </w:r>
          </w:p>
        </w:tc>
        <w:tc>
          <w:tcPr>
            <w:tcW w:w="1010" w:type="dxa"/>
            <w:tcBorders>
              <w:top w:val="nil"/>
              <w:left w:val="nil"/>
              <w:bottom w:val="single" w:sz="8" w:space="0" w:color="auto"/>
              <w:right w:val="single" w:sz="8" w:space="0" w:color="auto"/>
            </w:tcBorders>
            <w:shd w:val="clear" w:color="auto" w:fill="auto"/>
            <w:noWrap/>
            <w:vAlign w:val="center"/>
            <w:hideMark/>
          </w:tcPr>
          <w:p w14:paraId="3DE9697D" w14:textId="77777777" w:rsidR="004205FD" w:rsidRPr="00913CCF" w:rsidRDefault="004205FD" w:rsidP="004205FD">
            <w:pPr>
              <w:spacing w:after="0"/>
              <w:jc w:val="center"/>
              <w:rPr>
                <w:rFonts w:eastAsia="Times New Roman" w:cs="Calibri"/>
                <w:color w:val="000000"/>
                <w:sz w:val="16"/>
                <w:szCs w:val="16"/>
              </w:rPr>
            </w:pPr>
            <w:r w:rsidRPr="00913CCF">
              <w:rPr>
                <w:rFonts w:eastAsia="Times New Roman" w:cs="Calibri"/>
                <w:color w:val="000000"/>
                <w:sz w:val="16"/>
                <w:szCs w:val="16"/>
              </w:rPr>
              <w:t>1,500</w:t>
            </w:r>
          </w:p>
        </w:tc>
        <w:tc>
          <w:tcPr>
            <w:tcW w:w="938" w:type="dxa"/>
            <w:tcBorders>
              <w:top w:val="nil"/>
              <w:left w:val="nil"/>
              <w:bottom w:val="single" w:sz="8" w:space="0" w:color="auto"/>
              <w:right w:val="single" w:sz="8" w:space="0" w:color="auto"/>
            </w:tcBorders>
            <w:shd w:val="clear" w:color="auto" w:fill="auto"/>
            <w:noWrap/>
            <w:vAlign w:val="center"/>
            <w:hideMark/>
          </w:tcPr>
          <w:p w14:paraId="3E80B6E1" w14:textId="77777777" w:rsidR="004205FD" w:rsidRPr="00913CCF" w:rsidRDefault="004205FD" w:rsidP="004205FD">
            <w:pPr>
              <w:spacing w:after="0"/>
              <w:jc w:val="center"/>
              <w:rPr>
                <w:rFonts w:eastAsia="Times New Roman" w:cs="Calibri"/>
                <w:color w:val="000000"/>
                <w:sz w:val="16"/>
                <w:szCs w:val="16"/>
              </w:rPr>
            </w:pPr>
            <w:r w:rsidRPr="00913CCF">
              <w:rPr>
                <w:rFonts w:eastAsia="Times New Roman" w:cs="Calibri"/>
                <w:color w:val="000000"/>
                <w:sz w:val="16"/>
                <w:szCs w:val="16"/>
              </w:rPr>
              <w:t>1,500</w:t>
            </w:r>
          </w:p>
        </w:tc>
        <w:tc>
          <w:tcPr>
            <w:tcW w:w="938" w:type="dxa"/>
            <w:tcBorders>
              <w:top w:val="nil"/>
              <w:left w:val="nil"/>
              <w:bottom w:val="single" w:sz="8" w:space="0" w:color="auto"/>
              <w:right w:val="single" w:sz="8" w:space="0" w:color="auto"/>
            </w:tcBorders>
            <w:shd w:val="clear" w:color="auto" w:fill="auto"/>
            <w:noWrap/>
            <w:vAlign w:val="center"/>
            <w:hideMark/>
          </w:tcPr>
          <w:p w14:paraId="6AF4A0BD" w14:textId="77777777" w:rsidR="004205FD" w:rsidRPr="00913CCF" w:rsidRDefault="004205FD" w:rsidP="004205FD">
            <w:pPr>
              <w:spacing w:after="0"/>
              <w:jc w:val="center"/>
              <w:rPr>
                <w:rFonts w:eastAsia="Times New Roman" w:cs="Calibri"/>
                <w:color w:val="000000"/>
                <w:sz w:val="16"/>
                <w:szCs w:val="16"/>
              </w:rPr>
            </w:pPr>
            <w:r w:rsidRPr="00913CCF">
              <w:rPr>
                <w:rFonts w:eastAsia="Times New Roman" w:cs="Calibri"/>
                <w:color w:val="000000"/>
                <w:sz w:val="16"/>
                <w:szCs w:val="16"/>
              </w:rPr>
              <w:t>1,500</w:t>
            </w:r>
          </w:p>
        </w:tc>
        <w:tc>
          <w:tcPr>
            <w:tcW w:w="938" w:type="dxa"/>
            <w:tcBorders>
              <w:top w:val="nil"/>
              <w:left w:val="nil"/>
              <w:bottom w:val="single" w:sz="8" w:space="0" w:color="auto"/>
              <w:right w:val="single" w:sz="8" w:space="0" w:color="auto"/>
            </w:tcBorders>
            <w:shd w:val="clear" w:color="auto" w:fill="auto"/>
            <w:noWrap/>
            <w:vAlign w:val="center"/>
            <w:hideMark/>
          </w:tcPr>
          <w:p w14:paraId="45C76C0B" w14:textId="77777777" w:rsidR="004205FD" w:rsidRPr="00913CCF" w:rsidRDefault="004205FD" w:rsidP="004205FD">
            <w:pPr>
              <w:spacing w:after="0"/>
              <w:jc w:val="center"/>
              <w:rPr>
                <w:rFonts w:eastAsia="Times New Roman" w:cs="Calibri"/>
                <w:color w:val="000000"/>
                <w:sz w:val="16"/>
                <w:szCs w:val="16"/>
              </w:rPr>
            </w:pPr>
            <w:r w:rsidRPr="00913CCF">
              <w:rPr>
                <w:rFonts w:eastAsia="Times New Roman" w:cs="Calibri"/>
                <w:color w:val="000000"/>
                <w:sz w:val="16"/>
                <w:szCs w:val="16"/>
              </w:rPr>
              <w:t>1,500</w:t>
            </w:r>
          </w:p>
        </w:tc>
        <w:tc>
          <w:tcPr>
            <w:tcW w:w="938" w:type="dxa"/>
            <w:tcBorders>
              <w:top w:val="nil"/>
              <w:left w:val="nil"/>
              <w:bottom w:val="single" w:sz="8" w:space="0" w:color="auto"/>
              <w:right w:val="single" w:sz="8" w:space="0" w:color="auto"/>
            </w:tcBorders>
            <w:shd w:val="clear" w:color="auto" w:fill="auto"/>
            <w:vAlign w:val="center"/>
            <w:hideMark/>
          </w:tcPr>
          <w:p w14:paraId="0E88C5BB" w14:textId="77777777" w:rsidR="004205FD" w:rsidRPr="00913CCF" w:rsidRDefault="004205FD" w:rsidP="004205FD">
            <w:pPr>
              <w:spacing w:after="0"/>
              <w:jc w:val="center"/>
              <w:rPr>
                <w:rFonts w:eastAsia="Times New Roman" w:cs="Calibri"/>
                <w:color w:val="000000"/>
                <w:sz w:val="16"/>
                <w:szCs w:val="16"/>
              </w:rPr>
            </w:pPr>
            <w:r w:rsidRPr="00913CCF">
              <w:rPr>
                <w:rFonts w:eastAsia="Times New Roman" w:cs="Calibri"/>
                <w:color w:val="000000"/>
                <w:sz w:val="16"/>
                <w:szCs w:val="16"/>
              </w:rPr>
              <w:t>1,500</w:t>
            </w:r>
          </w:p>
        </w:tc>
        <w:tc>
          <w:tcPr>
            <w:tcW w:w="1372" w:type="dxa"/>
            <w:tcBorders>
              <w:top w:val="nil"/>
              <w:left w:val="nil"/>
              <w:bottom w:val="single" w:sz="8" w:space="0" w:color="auto"/>
              <w:right w:val="single" w:sz="8" w:space="0" w:color="auto"/>
            </w:tcBorders>
            <w:shd w:val="clear" w:color="auto" w:fill="auto"/>
            <w:noWrap/>
            <w:vAlign w:val="center"/>
            <w:hideMark/>
          </w:tcPr>
          <w:p w14:paraId="30164158" w14:textId="77777777" w:rsidR="004205FD" w:rsidRPr="00913CCF" w:rsidRDefault="004205FD" w:rsidP="004205FD">
            <w:pPr>
              <w:spacing w:after="0"/>
              <w:jc w:val="center"/>
              <w:rPr>
                <w:rFonts w:eastAsia="Times New Roman" w:cs="Calibri"/>
                <w:b/>
                <w:bCs/>
                <w:color w:val="000000"/>
                <w:sz w:val="16"/>
                <w:szCs w:val="16"/>
              </w:rPr>
            </w:pPr>
            <w:r w:rsidRPr="00913CCF">
              <w:rPr>
                <w:rFonts w:eastAsia="Times New Roman" w:cs="Calibri"/>
                <w:b/>
                <w:bCs/>
                <w:color w:val="000000"/>
                <w:sz w:val="16"/>
                <w:szCs w:val="16"/>
              </w:rPr>
              <w:t>9,000</w:t>
            </w:r>
          </w:p>
        </w:tc>
        <w:tc>
          <w:tcPr>
            <w:tcW w:w="690" w:type="dxa"/>
            <w:tcBorders>
              <w:top w:val="nil"/>
              <w:left w:val="nil"/>
              <w:bottom w:val="single" w:sz="8" w:space="0" w:color="auto"/>
              <w:right w:val="single" w:sz="8" w:space="0" w:color="auto"/>
            </w:tcBorders>
            <w:shd w:val="clear" w:color="auto" w:fill="auto"/>
            <w:vAlign w:val="center"/>
            <w:hideMark/>
          </w:tcPr>
          <w:p w14:paraId="60D59F77" w14:textId="77777777" w:rsidR="004205FD" w:rsidRPr="00913CCF" w:rsidRDefault="004205FD" w:rsidP="004205FD">
            <w:pPr>
              <w:spacing w:after="0"/>
              <w:jc w:val="center"/>
              <w:rPr>
                <w:rFonts w:eastAsia="Times New Roman" w:cs="Calibri"/>
                <w:i/>
                <w:iCs/>
                <w:color w:val="000000"/>
                <w:sz w:val="16"/>
                <w:szCs w:val="16"/>
              </w:rPr>
            </w:pPr>
            <w:r w:rsidRPr="00913CCF">
              <w:rPr>
                <w:rFonts w:eastAsia="Times New Roman" w:cs="Calibri"/>
                <w:i/>
                <w:iCs/>
                <w:color w:val="000000"/>
                <w:sz w:val="16"/>
                <w:szCs w:val="16"/>
              </w:rPr>
              <w:t>55</w:t>
            </w:r>
          </w:p>
        </w:tc>
      </w:tr>
      <w:tr w:rsidR="004205FD" w:rsidRPr="00913CCF" w14:paraId="2E133E73" w14:textId="77777777" w:rsidTr="004205FD">
        <w:trPr>
          <w:trHeight w:val="225"/>
        </w:trPr>
        <w:tc>
          <w:tcPr>
            <w:tcW w:w="1354" w:type="dxa"/>
            <w:vMerge/>
            <w:tcBorders>
              <w:top w:val="nil"/>
              <w:left w:val="double" w:sz="6" w:space="0" w:color="auto"/>
              <w:bottom w:val="double" w:sz="6" w:space="0" w:color="000000"/>
              <w:right w:val="single" w:sz="8" w:space="0" w:color="auto"/>
            </w:tcBorders>
            <w:shd w:val="clear" w:color="auto" w:fill="auto"/>
            <w:vAlign w:val="center"/>
            <w:hideMark/>
          </w:tcPr>
          <w:p w14:paraId="6237CF1D" w14:textId="77777777" w:rsidR="004205FD" w:rsidRPr="00913CCF" w:rsidRDefault="004205FD" w:rsidP="004205FD">
            <w:pPr>
              <w:spacing w:after="0"/>
              <w:jc w:val="left"/>
              <w:rPr>
                <w:rFonts w:eastAsia="Times New Roman" w:cs="Calibri"/>
                <w:b/>
                <w:bCs/>
                <w:color w:val="000000"/>
                <w:sz w:val="16"/>
                <w:szCs w:val="16"/>
              </w:rPr>
            </w:pPr>
          </w:p>
        </w:tc>
        <w:tc>
          <w:tcPr>
            <w:tcW w:w="1266" w:type="dxa"/>
            <w:vMerge/>
            <w:tcBorders>
              <w:top w:val="nil"/>
              <w:left w:val="single" w:sz="8" w:space="0" w:color="auto"/>
              <w:bottom w:val="double" w:sz="6" w:space="0" w:color="000000"/>
              <w:right w:val="single" w:sz="8" w:space="0" w:color="auto"/>
            </w:tcBorders>
            <w:shd w:val="clear" w:color="auto" w:fill="auto"/>
            <w:vAlign w:val="center"/>
            <w:hideMark/>
          </w:tcPr>
          <w:p w14:paraId="121181DA" w14:textId="77777777" w:rsidR="004205FD" w:rsidRPr="00913CCF" w:rsidRDefault="004205FD" w:rsidP="004205FD">
            <w:pPr>
              <w:spacing w:after="0"/>
              <w:jc w:val="left"/>
              <w:rPr>
                <w:rFonts w:eastAsia="Times New Roman" w:cs="Calibri"/>
                <w:b/>
                <w:bCs/>
                <w:color w:val="000000"/>
                <w:sz w:val="16"/>
                <w:szCs w:val="16"/>
              </w:rPr>
            </w:pPr>
          </w:p>
        </w:tc>
        <w:tc>
          <w:tcPr>
            <w:tcW w:w="622" w:type="dxa"/>
            <w:vMerge/>
            <w:tcBorders>
              <w:left w:val="single" w:sz="8" w:space="0" w:color="auto"/>
              <w:right w:val="single" w:sz="8" w:space="0" w:color="auto"/>
            </w:tcBorders>
            <w:shd w:val="clear" w:color="auto" w:fill="auto"/>
            <w:vAlign w:val="center"/>
            <w:hideMark/>
          </w:tcPr>
          <w:p w14:paraId="44AF3467" w14:textId="77777777" w:rsidR="004205FD" w:rsidRPr="00913CCF" w:rsidRDefault="004205FD" w:rsidP="004205FD">
            <w:pPr>
              <w:spacing w:after="0"/>
              <w:jc w:val="left"/>
              <w:rPr>
                <w:rFonts w:eastAsia="Times New Roman" w:cs="Calibri"/>
                <w:b/>
                <w:bCs/>
                <w:color w:val="000000"/>
                <w:sz w:val="16"/>
                <w:szCs w:val="16"/>
              </w:rPr>
            </w:pPr>
          </w:p>
        </w:tc>
        <w:tc>
          <w:tcPr>
            <w:tcW w:w="632" w:type="dxa"/>
            <w:vMerge/>
            <w:tcBorders>
              <w:left w:val="single" w:sz="8" w:space="0" w:color="auto"/>
              <w:right w:val="single" w:sz="8" w:space="0" w:color="auto"/>
            </w:tcBorders>
            <w:shd w:val="clear" w:color="auto" w:fill="auto"/>
            <w:vAlign w:val="center"/>
            <w:hideMark/>
          </w:tcPr>
          <w:p w14:paraId="107A33B4" w14:textId="77777777" w:rsidR="004205FD" w:rsidRPr="00913CCF" w:rsidRDefault="004205FD" w:rsidP="004205FD">
            <w:pPr>
              <w:spacing w:after="0"/>
              <w:jc w:val="left"/>
              <w:rPr>
                <w:rFonts w:eastAsia="Times New Roman" w:cs="Calibri"/>
                <w:b/>
                <w:bCs/>
                <w:color w:val="000000"/>
                <w:sz w:val="16"/>
                <w:szCs w:val="16"/>
              </w:rPr>
            </w:pPr>
          </w:p>
        </w:tc>
        <w:tc>
          <w:tcPr>
            <w:tcW w:w="901" w:type="dxa"/>
            <w:tcBorders>
              <w:top w:val="nil"/>
              <w:left w:val="nil"/>
              <w:bottom w:val="single" w:sz="8" w:space="0" w:color="auto"/>
              <w:right w:val="single" w:sz="8" w:space="0" w:color="auto"/>
            </w:tcBorders>
            <w:shd w:val="clear" w:color="auto" w:fill="auto"/>
            <w:noWrap/>
            <w:vAlign w:val="center"/>
            <w:hideMark/>
          </w:tcPr>
          <w:p w14:paraId="3B1E4387" w14:textId="77777777" w:rsidR="004205FD" w:rsidRPr="00913CCF" w:rsidRDefault="004205FD" w:rsidP="004205FD">
            <w:pPr>
              <w:spacing w:after="0"/>
              <w:jc w:val="center"/>
              <w:rPr>
                <w:rFonts w:eastAsia="Times New Roman" w:cs="Calibri"/>
                <w:color w:val="000000"/>
                <w:sz w:val="16"/>
                <w:szCs w:val="16"/>
              </w:rPr>
            </w:pPr>
            <w:r w:rsidRPr="00913CCF">
              <w:rPr>
                <w:rFonts w:eastAsia="Times New Roman" w:cs="Calibri"/>
                <w:color w:val="000000"/>
                <w:sz w:val="16"/>
                <w:szCs w:val="16"/>
              </w:rPr>
              <w:t>72200</w:t>
            </w:r>
          </w:p>
        </w:tc>
        <w:tc>
          <w:tcPr>
            <w:tcW w:w="1186" w:type="dxa"/>
            <w:tcBorders>
              <w:top w:val="nil"/>
              <w:left w:val="nil"/>
              <w:bottom w:val="single" w:sz="8" w:space="0" w:color="auto"/>
              <w:right w:val="single" w:sz="8" w:space="0" w:color="auto"/>
            </w:tcBorders>
            <w:shd w:val="clear" w:color="auto" w:fill="auto"/>
            <w:vAlign w:val="center"/>
            <w:hideMark/>
          </w:tcPr>
          <w:p w14:paraId="1311624B" w14:textId="77777777" w:rsidR="004205FD" w:rsidRPr="00913CCF" w:rsidRDefault="004205FD" w:rsidP="004205FD">
            <w:pPr>
              <w:spacing w:after="0"/>
              <w:jc w:val="left"/>
              <w:rPr>
                <w:rFonts w:eastAsia="Times New Roman" w:cs="Calibri"/>
                <w:color w:val="000000"/>
                <w:sz w:val="16"/>
                <w:szCs w:val="16"/>
              </w:rPr>
            </w:pPr>
            <w:r w:rsidRPr="00913CCF">
              <w:rPr>
                <w:rFonts w:eastAsia="Times New Roman" w:cs="Calibri"/>
                <w:color w:val="000000"/>
                <w:sz w:val="16"/>
                <w:szCs w:val="16"/>
              </w:rPr>
              <w:t>Equip. Furniture</w:t>
            </w:r>
          </w:p>
        </w:tc>
        <w:tc>
          <w:tcPr>
            <w:tcW w:w="1155" w:type="dxa"/>
            <w:tcBorders>
              <w:top w:val="nil"/>
              <w:left w:val="nil"/>
              <w:bottom w:val="single" w:sz="8" w:space="0" w:color="auto"/>
              <w:right w:val="single" w:sz="8" w:space="0" w:color="auto"/>
            </w:tcBorders>
            <w:shd w:val="clear" w:color="auto" w:fill="auto"/>
            <w:noWrap/>
            <w:vAlign w:val="center"/>
            <w:hideMark/>
          </w:tcPr>
          <w:p w14:paraId="1CF49F54" w14:textId="77777777" w:rsidR="004205FD" w:rsidRPr="00913CCF" w:rsidRDefault="004205FD" w:rsidP="004205FD">
            <w:pPr>
              <w:spacing w:after="0"/>
              <w:jc w:val="center"/>
              <w:rPr>
                <w:rFonts w:eastAsia="Times New Roman" w:cs="Calibri"/>
                <w:color w:val="000000"/>
                <w:sz w:val="16"/>
                <w:szCs w:val="16"/>
              </w:rPr>
            </w:pPr>
            <w:r w:rsidRPr="00913CCF">
              <w:rPr>
                <w:rFonts w:eastAsia="Times New Roman" w:cs="Calibri"/>
                <w:color w:val="000000"/>
                <w:sz w:val="16"/>
                <w:szCs w:val="16"/>
              </w:rPr>
              <w:t>8,000</w:t>
            </w:r>
          </w:p>
        </w:tc>
        <w:tc>
          <w:tcPr>
            <w:tcW w:w="1010" w:type="dxa"/>
            <w:tcBorders>
              <w:top w:val="nil"/>
              <w:left w:val="nil"/>
              <w:bottom w:val="single" w:sz="8" w:space="0" w:color="auto"/>
              <w:right w:val="single" w:sz="8" w:space="0" w:color="auto"/>
            </w:tcBorders>
            <w:shd w:val="clear" w:color="auto" w:fill="auto"/>
            <w:noWrap/>
            <w:vAlign w:val="center"/>
            <w:hideMark/>
          </w:tcPr>
          <w:p w14:paraId="6F912950" w14:textId="77777777" w:rsidR="004205FD" w:rsidRPr="00913CCF" w:rsidRDefault="004205FD" w:rsidP="004205FD">
            <w:pPr>
              <w:spacing w:after="0"/>
              <w:jc w:val="center"/>
              <w:rPr>
                <w:rFonts w:eastAsia="Times New Roman" w:cs="Calibri"/>
                <w:color w:val="000000"/>
                <w:sz w:val="16"/>
                <w:szCs w:val="16"/>
              </w:rPr>
            </w:pPr>
            <w:r w:rsidRPr="00913CCF">
              <w:rPr>
                <w:rFonts w:eastAsia="Times New Roman" w:cs="Calibri"/>
                <w:color w:val="000000"/>
                <w:sz w:val="16"/>
                <w:szCs w:val="16"/>
              </w:rPr>
              <w:t>3000</w:t>
            </w:r>
          </w:p>
        </w:tc>
        <w:tc>
          <w:tcPr>
            <w:tcW w:w="938" w:type="dxa"/>
            <w:tcBorders>
              <w:top w:val="nil"/>
              <w:left w:val="nil"/>
              <w:bottom w:val="single" w:sz="8" w:space="0" w:color="auto"/>
              <w:right w:val="single" w:sz="8" w:space="0" w:color="auto"/>
            </w:tcBorders>
            <w:shd w:val="clear" w:color="auto" w:fill="auto"/>
            <w:noWrap/>
            <w:vAlign w:val="center"/>
            <w:hideMark/>
          </w:tcPr>
          <w:p w14:paraId="2EEACD10" w14:textId="77777777" w:rsidR="004205FD" w:rsidRPr="00913CCF" w:rsidRDefault="004205FD" w:rsidP="004205FD">
            <w:pPr>
              <w:spacing w:after="0"/>
              <w:jc w:val="center"/>
              <w:rPr>
                <w:rFonts w:eastAsia="Times New Roman" w:cs="Calibri"/>
                <w:color w:val="000000"/>
                <w:sz w:val="16"/>
                <w:szCs w:val="16"/>
              </w:rPr>
            </w:pPr>
            <w:r w:rsidRPr="00913CCF">
              <w:rPr>
                <w:rFonts w:eastAsia="Times New Roman" w:cs="Calibri"/>
                <w:color w:val="000000"/>
                <w:sz w:val="16"/>
                <w:szCs w:val="16"/>
              </w:rPr>
              <w:t>3000</w:t>
            </w:r>
          </w:p>
        </w:tc>
        <w:tc>
          <w:tcPr>
            <w:tcW w:w="938" w:type="dxa"/>
            <w:tcBorders>
              <w:top w:val="nil"/>
              <w:left w:val="nil"/>
              <w:bottom w:val="single" w:sz="8" w:space="0" w:color="auto"/>
              <w:right w:val="single" w:sz="8" w:space="0" w:color="auto"/>
            </w:tcBorders>
            <w:shd w:val="clear" w:color="auto" w:fill="auto"/>
            <w:noWrap/>
            <w:vAlign w:val="center"/>
            <w:hideMark/>
          </w:tcPr>
          <w:p w14:paraId="00C9A0FA" w14:textId="77777777" w:rsidR="004205FD" w:rsidRPr="00913CCF" w:rsidRDefault="004205FD" w:rsidP="004205FD">
            <w:pPr>
              <w:spacing w:after="0"/>
              <w:jc w:val="center"/>
              <w:rPr>
                <w:rFonts w:eastAsia="Times New Roman" w:cs="Calibri"/>
                <w:color w:val="000000"/>
                <w:sz w:val="16"/>
                <w:szCs w:val="16"/>
              </w:rPr>
            </w:pPr>
            <w:r w:rsidRPr="00913CCF">
              <w:rPr>
                <w:rFonts w:eastAsia="Times New Roman" w:cs="Calibri"/>
                <w:color w:val="000000"/>
                <w:sz w:val="16"/>
                <w:szCs w:val="16"/>
              </w:rPr>
              <w:t>3000</w:t>
            </w:r>
          </w:p>
        </w:tc>
        <w:tc>
          <w:tcPr>
            <w:tcW w:w="938" w:type="dxa"/>
            <w:tcBorders>
              <w:top w:val="nil"/>
              <w:left w:val="nil"/>
              <w:bottom w:val="single" w:sz="8" w:space="0" w:color="auto"/>
              <w:right w:val="single" w:sz="8" w:space="0" w:color="auto"/>
            </w:tcBorders>
            <w:shd w:val="clear" w:color="auto" w:fill="auto"/>
            <w:noWrap/>
            <w:vAlign w:val="center"/>
            <w:hideMark/>
          </w:tcPr>
          <w:p w14:paraId="52315935" w14:textId="77777777" w:rsidR="004205FD" w:rsidRPr="00913CCF" w:rsidRDefault="004205FD" w:rsidP="004205FD">
            <w:pPr>
              <w:spacing w:after="0"/>
              <w:jc w:val="center"/>
              <w:rPr>
                <w:rFonts w:eastAsia="Times New Roman" w:cs="Calibri"/>
                <w:color w:val="000000"/>
                <w:sz w:val="16"/>
                <w:szCs w:val="16"/>
              </w:rPr>
            </w:pPr>
            <w:r w:rsidRPr="00913CCF">
              <w:rPr>
                <w:rFonts w:eastAsia="Times New Roman" w:cs="Calibri"/>
                <w:color w:val="000000"/>
                <w:sz w:val="16"/>
                <w:szCs w:val="16"/>
              </w:rPr>
              <w:t>3000</w:t>
            </w:r>
          </w:p>
        </w:tc>
        <w:tc>
          <w:tcPr>
            <w:tcW w:w="938" w:type="dxa"/>
            <w:tcBorders>
              <w:top w:val="nil"/>
              <w:left w:val="nil"/>
              <w:bottom w:val="single" w:sz="8" w:space="0" w:color="auto"/>
              <w:right w:val="single" w:sz="8" w:space="0" w:color="auto"/>
            </w:tcBorders>
            <w:shd w:val="clear" w:color="auto" w:fill="auto"/>
            <w:vAlign w:val="center"/>
            <w:hideMark/>
          </w:tcPr>
          <w:p w14:paraId="4A381D8C" w14:textId="77777777" w:rsidR="004205FD" w:rsidRPr="00913CCF" w:rsidRDefault="004205FD" w:rsidP="004205FD">
            <w:pPr>
              <w:spacing w:after="0"/>
              <w:jc w:val="center"/>
              <w:rPr>
                <w:rFonts w:eastAsia="Times New Roman" w:cs="Calibri"/>
                <w:color w:val="000000"/>
                <w:sz w:val="16"/>
                <w:szCs w:val="16"/>
              </w:rPr>
            </w:pPr>
            <w:r w:rsidRPr="00913CCF">
              <w:rPr>
                <w:rFonts w:eastAsia="Times New Roman" w:cs="Calibri"/>
                <w:color w:val="000000"/>
                <w:sz w:val="16"/>
                <w:szCs w:val="16"/>
              </w:rPr>
              <w:t>3,000</w:t>
            </w:r>
          </w:p>
        </w:tc>
        <w:tc>
          <w:tcPr>
            <w:tcW w:w="1372" w:type="dxa"/>
            <w:tcBorders>
              <w:top w:val="nil"/>
              <w:left w:val="nil"/>
              <w:bottom w:val="single" w:sz="8" w:space="0" w:color="auto"/>
              <w:right w:val="single" w:sz="8" w:space="0" w:color="auto"/>
            </w:tcBorders>
            <w:shd w:val="clear" w:color="auto" w:fill="auto"/>
            <w:noWrap/>
            <w:vAlign w:val="center"/>
            <w:hideMark/>
          </w:tcPr>
          <w:p w14:paraId="65D25A40" w14:textId="77777777" w:rsidR="004205FD" w:rsidRPr="00913CCF" w:rsidRDefault="004205FD" w:rsidP="004205FD">
            <w:pPr>
              <w:spacing w:after="0"/>
              <w:jc w:val="center"/>
              <w:rPr>
                <w:rFonts w:eastAsia="Times New Roman" w:cs="Calibri"/>
                <w:b/>
                <w:bCs/>
                <w:color w:val="000000"/>
                <w:sz w:val="16"/>
                <w:szCs w:val="16"/>
              </w:rPr>
            </w:pPr>
            <w:r w:rsidRPr="00913CCF">
              <w:rPr>
                <w:rFonts w:eastAsia="Times New Roman" w:cs="Calibri"/>
                <w:b/>
                <w:bCs/>
                <w:color w:val="000000"/>
                <w:sz w:val="16"/>
                <w:szCs w:val="16"/>
              </w:rPr>
              <w:t>23,000</w:t>
            </w:r>
          </w:p>
        </w:tc>
        <w:tc>
          <w:tcPr>
            <w:tcW w:w="690" w:type="dxa"/>
            <w:tcBorders>
              <w:top w:val="nil"/>
              <w:left w:val="nil"/>
              <w:bottom w:val="single" w:sz="8" w:space="0" w:color="auto"/>
              <w:right w:val="single" w:sz="8" w:space="0" w:color="auto"/>
            </w:tcBorders>
            <w:shd w:val="clear" w:color="auto" w:fill="auto"/>
            <w:vAlign w:val="center"/>
            <w:hideMark/>
          </w:tcPr>
          <w:p w14:paraId="51DD33A6" w14:textId="77777777" w:rsidR="004205FD" w:rsidRPr="00913CCF" w:rsidRDefault="004205FD" w:rsidP="004205FD">
            <w:pPr>
              <w:spacing w:after="0"/>
              <w:jc w:val="center"/>
              <w:rPr>
                <w:rFonts w:eastAsia="Times New Roman" w:cs="Calibri"/>
                <w:i/>
                <w:iCs/>
                <w:color w:val="000000"/>
                <w:sz w:val="16"/>
                <w:szCs w:val="16"/>
              </w:rPr>
            </w:pPr>
            <w:r w:rsidRPr="00913CCF">
              <w:rPr>
                <w:rFonts w:eastAsia="Times New Roman" w:cs="Calibri"/>
                <w:i/>
                <w:iCs/>
                <w:color w:val="000000"/>
                <w:sz w:val="16"/>
                <w:szCs w:val="16"/>
              </w:rPr>
              <w:t>56</w:t>
            </w:r>
          </w:p>
        </w:tc>
      </w:tr>
      <w:tr w:rsidR="004205FD" w:rsidRPr="00913CCF" w14:paraId="39895271" w14:textId="77777777" w:rsidTr="004205FD">
        <w:trPr>
          <w:trHeight w:val="225"/>
        </w:trPr>
        <w:tc>
          <w:tcPr>
            <w:tcW w:w="1354" w:type="dxa"/>
            <w:vMerge/>
            <w:tcBorders>
              <w:top w:val="nil"/>
              <w:left w:val="double" w:sz="6" w:space="0" w:color="auto"/>
              <w:bottom w:val="double" w:sz="6" w:space="0" w:color="000000"/>
              <w:right w:val="single" w:sz="8" w:space="0" w:color="auto"/>
            </w:tcBorders>
            <w:shd w:val="clear" w:color="auto" w:fill="auto"/>
            <w:vAlign w:val="center"/>
            <w:hideMark/>
          </w:tcPr>
          <w:p w14:paraId="334F7EC5" w14:textId="77777777" w:rsidR="004205FD" w:rsidRPr="00913CCF" w:rsidRDefault="004205FD" w:rsidP="004205FD">
            <w:pPr>
              <w:spacing w:after="0"/>
              <w:jc w:val="left"/>
              <w:rPr>
                <w:rFonts w:eastAsia="Times New Roman" w:cs="Calibri"/>
                <w:b/>
                <w:bCs/>
                <w:color w:val="000000"/>
                <w:sz w:val="16"/>
                <w:szCs w:val="16"/>
              </w:rPr>
            </w:pPr>
          </w:p>
        </w:tc>
        <w:tc>
          <w:tcPr>
            <w:tcW w:w="1266" w:type="dxa"/>
            <w:vMerge/>
            <w:tcBorders>
              <w:top w:val="nil"/>
              <w:left w:val="single" w:sz="8" w:space="0" w:color="auto"/>
              <w:bottom w:val="double" w:sz="6" w:space="0" w:color="000000"/>
              <w:right w:val="single" w:sz="8" w:space="0" w:color="auto"/>
            </w:tcBorders>
            <w:shd w:val="clear" w:color="auto" w:fill="auto"/>
            <w:vAlign w:val="center"/>
            <w:hideMark/>
          </w:tcPr>
          <w:p w14:paraId="0BBF1FDD" w14:textId="77777777" w:rsidR="004205FD" w:rsidRPr="00913CCF" w:rsidRDefault="004205FD" w:rsidP="004205FD">
            <w:pPr>
              <w:spacing w:after="0"/>
              <w:jc w:val="left"/>
              <w:rPr>
                <w:rFonts w:eastAsia="Times New Roman" w:cs="Calibri"/>
                <w:b/>
                <w:bCs/>
                <w:color w:val="000000"/>
                <w:sz w:val="16"/>
                <w:szCs w:val="16"/>
              </w:rPr>
            </w:pPr>
          </w:p>
        </w:tc>
        <w:tc>
          <w:tcPr>
            <w:tcW w:w="622" w:type="dxa"/>
            <w:vMerge/>
            <w:tcBorders>
              <w:left w:val="single" w:sz="8" w:space="0" w:color="auto"/>
              <w:right w:val="single" w:sz="8" w:space="0" w:color="auto"/>
            </w:tcBorders>
            <w:shd w:val="clear" w:color="auto" w:fill="auto"/>
            <w:vAlign w:val="center"/>
            <w:hideMark/>
          </w:tcPr>
          <w:p w14:paraId="3E362206" w14:textId="77777777" w:rsidR="004205FD" w:rsidRPr="00913CCF" w:rsidRDefault="004205FD" w:rsidP="004205FD">
            <w:pPr>
              <w:spacing w:after="0"/>
              <w:jc w:val="left"/>
              <w:rPr>
                <w:rFonts w:eastAsia="Times New Roman" w:cs="Calibri"/>
                <w:b/>
                <w:bCs/>
                <w:color w:val="000000"/>
                <w:sz w:val="16"/>
                <w:szCs w:val="16"/>
              </w:rPr>
            </w:pPr>
          </w:p>
        </w:tc>
        <w:tc>
          <w:tcPr>
            <w:tcW w:w="632" w:type="dxa"/>
            <w:vMerge/>
            <w:tcBorders>
              <w:left w:val="single" w:sz="8" w:space="0" w:color="auto"/>
              <w:right w:val="single" w:sz="8" w:space="0" w:color="auto"/>
            </w:tcBorders>
            <w:shd w:val="clear" w:color="auto" w:fill="auto"/>
            <w:vAlign w:val="center"/>
            <w:hideMark/>
          </w:tcPr>
          <w:p w14:paraId="3DC4179F" w14:textId="77777777" w:rsidR="004205FD" w:rsidRPr="00913CCF" w:rsidRDefault="004205FD" w:rsidP="004205FD">
            <w:pPr>
              <w:spacing w:after="0"/>
              <w:jc w:val="left"/>
              <w:rPr>
                <w:rFonts w:eastAsia="Times New Roman" w:cs="Calibri"/>
                <w:b/>
                <w:bCs/>
                <w:color w:val="000000"/>
                <w:sz w:val="16"/>
                <w:szCs w:val="16"/>
              </w:rPr>
            </w:pPr>
          </w:p>
        </w:tc>
        <w:tc>
          <w:tcPr>
            <w:tcW w:w="901" w:type="dxa"/>
            <w:tcBorders>
              <w:top w:val="nil"/>
              <w:left w:val="nil"/>
              <w:bottom w:val="single" w:sz="8" w:space="0" w:color="auto"/>
              <w:right w:val="single" w:sz="8" w:space="0" w:color="auto"/>
            </w:tcBorders>
            <w:shd w:val="clear" w:color="auto" w:fill="auto"/>
            <w:noWrap/>
            <w:vAlign w:val="center"/>
            <w:hideMark/>
          </w:tcPr>
          <w:p w14:paraId="26CB07A1" w14:textId="77777777" w:rsidR="004205FD" w:rsidRPr="00913CCF" w:rsidRDefault="004205FD" w:rsidP="004205FD">
            <w:pPr>
              <w:spacing w:after="0"/>
              <w:jc w:val="center"/>
              <w:rPr>
                <w:rFonts w:eastAsia="Times New Roman" w:cs="Calibri"/>
                <w:color w:val="000000"/>
                <w:sz w:val="16"/>
                <w:szCs w:val="16"/>
              </w:rPr>
            </w:pPr>
            <w:r w:rsidRPr="00913CCF">
              <w:rPr>
                <w:rFonts w:eastAsia="Times New Roman" w:cs="Calibri"/>
                <w:color w:val="000000"/>
                <w:sz w:val="16"/>
                <w:szCs w:val="16"/>
              </w:rPr>
              <w:t>72500</w:t>
            </w:r>
          </w:p>
        </w:tc>
        <w:tc>
          <w:tcPr>
            <w:tcW w:w="1186" w:type="dxa"/>
            <w:tcBorders>
              <w:top w:val="nil"/>
              <w:left w:val="nil"/>
              <w:bottom w:val="single" w:sz="8" w:space="0" w:color="auto"/>
              <w:right w:val="single" w:sz="8" w:space="0" w:color="auto"/>
            </w:tcBorders>
            <w:shd w:val="clear" w:color="auto" w:fill="auto"/>
            <w:vAlign w:val="center"/>
            <w:hideMark/>
          </w:tcPr>
          <w:p w14:paraId="55F06F4C" w14:textId="77777777" w:rsidR="004205FD" w:rsidRPr="00913CCF" w:rsidRDefault="004205FD" w:rsidP="004205FD">
            <w:pPr>
              <w:spacing w:after="0"/>
              <w:jc w:val="left"/>
              <w:rPr>
                <w:rFonts w:eastAsia="Times New Roman" w:cs="Calibri"/>
                <w:color w:val="000000"/>
                <w:sz w:val="16"/>
                <w:szCs w:val="16"/>
              </w:rPr>
            </w:pPr>
            <w:r w:rsidRPr="00913CCF">
              <w:rPr>
                <w:rFonts w:eastAsia="Times New Roman" w:cs="Calibri"/>
                <w:color w:val="000000"/>
                <w:sz w:val="16"/>
                <w:szCs w:val="16"/>
              </w:rPr>
              <w:t>Office Supplies</w:t>
            </w:r>
          </w:p>
        </w:tc>
        <w:tc>
          <w:tcPr>
            <w:tcW w:w="1155" w:type="dxa"/>
            <w:tcBorders>
              <w:top w:val="nil"/>
              <w:left w:val="nil"/>
              <w:bottom w:val="single" w:sz="8" w:space="0" w:color="auto"/>
              <w:right w:val="single" w:sz="8" w:space="0" w:color="auto"/>
            </w:tcBorders>
            <w:shd w:val="clear" w:color="auto" w:fill="auto"/>
            <w:noWrap/>
            <w:vAlign w:val="center"/>
            <w:hideMark/>
          </w:tcPr>
          <w:p w14:paraId="03EA9F37" w14:textId="77777777" w:rsidR="004205FD" w:rsidRPr="00913CCF" w:rsidRDefault="004205FD" w:rsidP="004205FD">
            <w:pPr>
              <w:spacing w:after="0"/>
              <w:jc w:val="center"/>
              <w:rPr>
                <w:rFonts w:eastAsia="Times New Roman" w:cs="Calibri"/>
                <w:color w:val="000000"/>
                <w:sz w:val="16"/>
                <w:szCs w:val="16"/>
              </w:rPr>
            </w:pPr>
            <w:r w:rsidRPr="00913CCF">
              <w:rPr>
                <w:rFonts w:eastAsia="Times New Roman" w:cs="Calibri"/>
                <w:color w:val="000000"/>
                <w:sz w:val="16"/>
                <w:szCs w:val="16"/>
              </w:rPr>
              <w:t>3,250</w:t>
            </w:r>
          </w:p>
        </w:tc>
        <w:tc>
          <w:tcPr>
            <w:tcW w:w="1010" w:type="dxa"/>
            <w:tcBorders>
              <w:top w:val="nil"/>
              <w:left w:val="nil"/>
              <w:bottom w:val="single" w:sz="8" w:space="0" w:color="auto"/>
              <w:right w:val="single" w:sz="8" w:space="0" w:color="auto"/>
            </w:tcBorders>
            <w:shd w:val="clear" w:color="auto" w:fill="auto"/>
            <w:noWrap/>
            <w:vAlign w:val="center"/>
            <w:hideMark/>
          </w:tcPr>
          <w:p w14:paraId="5AEAA3F8" w14:textId="77777777" w:rsidR="004205FD" w:rsidRPr="00913CCF" w:rsidRDefault="004205FD" w:rsidP="004205FD">
            <w:pPr>
              <w:spacing w:after="0"/>
              <w:jc w:val="center"/>
              <w:rPr>
                <w:rFonts w:eastAsia="Times New Roman" w:cs="Calibri"/>
                <w:color w:val="000000"/>
                <w:sz w:val="16"/>
                <w:szCs w:val="16"/>
              </w:rPr>
            </w:pPr>
            <w:r w:rsidRPr="00913CCF">
              <w:rPr>
                <w:rFonts w:eastAsia="Times New Roman" w:cs="Calibri"/>
                <w:color w:val="000000"/>
                <w:sz w:val="16"/>
                <w:szCs w:val="16"/>
              </w:rPr>
              <w:t>1,500</w:t>
            </w:r>
          </w:p>
        </w:tc>
        <w:tc>
          <w:tcPr>
            <w:tcW w:w="938" w:type="dxa"/>
            <w:tcBorders>
              <w:top w:val="nil"/>
              <w:left w:val="nil"/>
              <w:bottom w:val="single" w:sz="8" w:space="0" w:color="auto"/>
              <w:right w:val="single" w:sz="8" w:space="0" w:color="auto"/>
            </w:tcBorders>
            <w:shd w:val="clear" w:color="auto" w:fill="auto"/>
            <w:noWrap/>
            <w:vAlign w:val="center"/>
            <w:hideMark/>
          </w:tcPr>
          <w:p w14:paraId="76A15AA0" w14:textId="77777777" w:rsidR="004205FD" w:rsidRPr="00913CCF" w:rsidRDefault="004205FD" w:rsidP="004205FD">
            <w:pPr>
              <w:spacing w:after="0"/>
              <w:jc w:val="center"/>
              <w:rPr>
                <w:rFonts w:eastAsia="Times New Roman" w:cs="Calibri"/>
                <w:color w:val="000000"/>
                <w:sz w:val="16"/>
                <w:szCs w:val="16"/>
              </w:rPr>
            </w:pPr>
            <w:r w:rsidRPr="00913CCF">
              <w:rPr>
                <w:rFonts w:eastAsia="Times New Roman" w:cs="Calibri"/>
                <w:color w:val="000000"/>
                <w:sz w:val="16"/>
                <w:szCs w:val="16"/>
              </w:rPr>
              <w:t>1,500</w:t>
            </w:r>
          </w:p>
        </w:tc>
        <w:tc>
          <w:tcPr>
            <w:tcW w:w="938" w:type="dxa"/>
            <w:tcBorders>
              <w:top w:val="nil"/>
              <w:left w:val="nil"/>
              <w:bottom w:val="single" w:sz="8" w:space="0" w:color="auto"/>
              <w:right w:val="single" w:sz="8" w:space="0" w:color="auto"/>
            </w:tcBorders>
            <w:shd w:val="clear" w:color="auto" w:fill="auto"/>
            <w:noWrap/>
            <w:vAlign w:val="center"/>
            <w:hideMark/>
          </w:tcPr>
          <w:p w14:paraId="271E9DCB" w14:textId="77777777" w:rsidR="004205FD" w:rsidRPr="00913CCF" w:rsidRDefault="004205FD" w:rsidP="004205FD">
            <w:pPr>
              <w:spacing w:after="0"/>
              <w:jc w:val="center"/>
              <w:rPr>
                <w:rFonts w:eastAsia="Times New Roman" w:cs="Calibri"/>
                <w:color w:val="000000"/>
                <w:sz w:val="16"/>
                <w:szCs w:val="16"/>
              </w:rPr>
            </w:pPr>
            <w:r w:rsidRPr="00913CCF">
              <w:rPr>
                <w:rFonts w:eastAsia="Times New Roman" w:cs="Calibri"/>
                <w:color w:val="000000"/>
                <w:sz w:val="16"/>
                <w:szCs w:val="16"/>
              </w:rPr>
              <w:t>1,500</w:t>
            </w:r>
          </w:p>
        </w:tc>
        <w:tc>
          <w:tcPr>
            <w:tcW w:w="938" w:type="dxa"/>
            <w:tcBorders>
              <w:top w:val="nil"/>
              <w:left w:val="nil"/>
              <w:bottom w:val="single" w:sz="8" w:space="0" w:color="auto"/>
              <w:right w:val="single" w:sz="8" w:space="0" w:color="auto"/>
            </w:tcBorders>
            <w:shd w:val="clear" w:color="auto" w:fill="auto"/>
            <w:noWrap/>
            <w:vAlign w:val="center"/>
            <w:hideMark/>
          </w:tcPr>
          <w:p w14:paraId="5C983D5A" w14:textId="77777777" w:rsidR="004205FD" w:rsidRPr="00913CCF" w:rsidRDefault="004205FD" w:rsidP="004205FD">
            <w:pPr>
              <w:spacing w:after="0"/>
              <w:jc w:val="center"/>
              <w:rPr>
                <w:rFonts w:eastAsia="Times New Roman" w:cs="Calibri"/>
                <w:color w:val="000000"/>
                <w:sz w:val="16"/>
                <w:szCs w:val="16"/>
              </w:rPr>
            </w:pPr>
            <w:r w:rsidRPr="00913CCF">
              <w:rPr>
                <w:rFonts w:eastAsia="Times New Roman" w:cs="Calibri"/>
                <w:color w:val="000000"/>
                <w:sz w:val="16"/>
                <w:szCs w:val="16"/>
              </w:rPr>
              <w:t>1,500</w:t>
            </w:r>
          </w:p>
        </w:tc>
        <w:tc>
          <w:tcPr>
            <w:tcW w:w="938" w:type="dxa"/>
            <w:tcBorders>
              <w:top w:val="nil"/>
              <w:left w:val="nil"/>
              <w:bottom w:val="single" w:sz="8" w:space="0" w:color="auto"/>
              <w:right w:val="single" w:sz="8" w:space="0" w:color="auto"/>
            </w:tcBorders>
            <w:shd w:val="clear" w:color="auto" w:fill="auto"/>
            <w:vAlign w:val="center"/>
            <w:hideMark/>
          </w:tcPr>
          <w:p w14:paraId="57767FE8" w14:textId="77777777" w:rsidR="004205FD" w:rsidRPr="00913CCF" w:rsidRDefault="004205FD" w:rsidP="004205FD">
            <w:pPr>
              <w:spacing w:after="0"/>
              <w:jc w:val="center"/>
              <w:rPr>
                <w:rFonts w:eastAsia="Times New Roman" w:cs="Calibri"/>
                <w:color w:val="000000"/>
                <w:sz w:val="16"/>
                <w:szCs w:val="16"/>
              </w:rPr>
            </w:pPr>
            <w:r w:rsidRPr="00913CCF">
              <w:rPr>
                <w:rFonts w:eastAsia="Times New Roman" w:cs="Calibri"/>
                <w:color w:val="000000"/>
                <w:sz w:val="16"/>
                <w:szCs w:val="16"/>
              </w:rPr>
              <w:t>1,500</w:t>
            </w:r>
          </w:p>
        </w:tc>
        <w:tc>
          <w:tcPr>
            <w:tcW w:w="1372" w:type="dxa"/>
            <w:tcBorders>
              <w:top w:val="nil"/>
              <w:left w:val="nil"/>
              <w:bottom w:val="single" w:sz="8" w:space="0" w:color="auto"/>
              <w:right w:val="single" w:sz="8" w:space="0" w:color="auto"/>
            </w:tcBorders>
            <w:shd w:val="clear" w:color="auto" w:fill="auto"/>
            <w:noWrap/>
            <w:vAlign w:val="center"/>
            <w:hideMark/>
          </w:tcPr>
          <w:p w14:paraId="7815DBCB" w14:textId="77777777" w:rsidR="004205FD" w:rsidRPr="00913CCF" w:rsidRDefault="004205FD" w:rsidP="004205FD">
            <w:pPr>
              <w:spacing w:after="0"/>
              <w:jc w:val="center"/>
              <w:rPr>
                <w:rFonts w:eastAsia="Times New Roman" w:cs="Calibri"/>
                <w:b/>
                <w:bCs/>
                <w:color w:val="000000"/>
                <w:sz w:val="16"/>
                <w:szCs w:val="16"/>
              </w:rPr>
            </w:pPr>
            <w:r w:rsidRPr="00913CCF">
              <w:rPr>
                <w:rFonts w:eastAsia="Times New Roman" w:cs="Calibri"/>
                <w:b/>
                <w:bCs/>
                <w:color w:val="000000"/>
                <w:sz w:val="16"/>
                <w:szCs w:val="16"/>
              </w:rPr>
              <w:t>10,750</w:t>
            </w:r>
          </w:p>
        </w:tc>
        <w:tc>
          <w:tcPr>
            <w:tcW w:w="690" w:type="dxa"/>
            <w:tcBorders>
              <w:top w:val="nil"/>
              <w:left w:val="nil"/>
              <w:bottom w:val="single" w:sz="8" w:space="0" w:color="auto"/>
              <w:right w:val="single" w:sz="8" w:space="0" w:color="auto"/>
            </w:tcBorders>
            <w:shd w:val="clear" w:color="auto" w:fill="auto"/>
            <w:vAlign w:val="center"/>
            <w:hideMark/>
          </w:tcPr>
          <w:p w14:paraId="799DE5E4" w14:textId="77777777" w:rsidR="004205FD" w:rsidRPr="00913CCF" w:rsidRDefault="004205FD" w:rsidP="004205FD">
            <w:pPr>
              <w:spacing w:after="0"/>
              <w:jc w:val="center"/>
              <w:rPr>
                <w:rFonts w:eastAsia="Times New Roman" w:cs="Calibri"/>
                <w:i/>
                <w:iCs/>
                <w:color w:val="000000"/>
                <w:sz w:val="16"/>
                <w:szCs w:val="16"/>
              </w:rPr>
            </w:pPr>
            <w:r w:rsidRPr="00913CCF">
              <w:rPr>
                <w:rFonts w:eastAsia="Times New Roman" w:cs="Calibri"/>
                <w:i/>
                <w:iCs/>
                <w:color w:val="000000"/>
                <w:sz w:val="16"/>
                <w:szCs w:val="16"/>
              </w:rPr>
              <w:t>57</w:t>
            </w:r>
          </w:p>
        </w:tc>
      </w:tr>
      <w:tr w:rsidR="004205FD" w:rsidRPr="00913CCF" w14:paraId="5813E453" w14:textId="77777777" w:rsidTr="004205FD">
        <w:trPr>
          <w:trHeight w:val="225"/>
        </w:trPr>
        <w:tc>
          <w:tcPr>
            <w:tcW w:w="1354" w:type="dxa"/>
            <w:vMerge/>
            <w:tcBorders>
              <w:top w:val="nil"/>
              <w:left w:val="double" w:sz="6" w:space="0" w:color="auto"/>
              <w:bottom w:val="double" w:sz="6" w:space="0" w:color="000000"/>
              <w:right w:val="single" w:sz="8" w:space="0" w:color="auto"/>
            </w:tcBorders>
            <w:shd w:val="clear" w:color="auto" w:fill="auto"/>
            <w:vAlign w:val="center"/>
            <w:hideMark/>
          </w:tcPr>
          <w:p w14:paraId="642C8134" w14:textId="77777777" w:rsidR="004205FD" w:rsidRPr="00913CCF" w:rsidRDefault="004205FD" w:rsidP="004205FD">
            <w:pPr>
              <w:spacing w:after="0"/>
              <w:jc w:val="left"/>
              <w:rPr>
                <w:rFonts w:eastAsia="Times New Roman" w:cs="Calibri"/>
                <w:b/>
                <w:bCs/>
                <w:color w:val="000000"/>
                <w:sz w:val="16"/>
                <w:szCs w:val="16"/>
              </w:rPr>
            </w:pPr>
          </w:p>
        </w:tc>
        <w:tc>
          <w:tcPr>
            <w:tcW w:w="1266" w:type="dxa"/>
            <w:vMerge/>
            <w:tcBorders>
              <w:top w:val="nil"/>
              <w:left w:val="single" w:sz="8" w:space="0" w:color="auto"/>
              <w:bottom w:val="double" w:sz="6" w:space="0" w:color="000000"/>
              <w:right w:val="single" w:sz="8" w:space="0" w:color="auto"/>
            </w:tcBorders>
            <w:shd w:val="clear" w:color="auto" w:fill="auto"/>
            <w:vAlign w:val="center"/>
            <w:hideMark/>
          </w:tcPr>
          <w:p w14:paraId="1A65A506" w14:textId="77777777" w:rsidR="004205FD" w:rsidRPr="00913CCF" w:rsidRDefault="004205FD" w:rsidP="004205FD">
            <w:pPr>
              <w:spacing w:after="0"/>
              <w:jc w:val="left"/>
              <w:rPr>
                <w:rFonts w:eastAsia="Times New Roman" w:cs="Calibri"/>
                <w:b/>
                <w:bCs/>
                <w:color w:val="000000"/>
                <w:sz w:val="16"/>
                <w:szCs w:val="16"/>
              </w:rPr>
            </w:pPr>
          </w:p>
        </w:tc>
        <w:tc>
          <w:tcPr>
            <w:tcW w:w="622" w:type="dxa"/>
            <w:vMerge/>
            <w:tcBorders>
              <w:left w:val="single" w:sz="8" w:space="0" w:color="auto"/>
              <w:right w:val="single" w:sz="8" w:space="0" w:color="auto"/>
            </w:tcBorders>
            <w:shd w:val="clear" w:color="auto" w:fill="auto"/>
            <w:vAlign w:val="center"/>
            <w:hideMark/>
          </w:tcPr>
          <w:p w14:paraId="487897B1" w14:textId="77777777" w:rsidR="004205FD" w:rsidRPr="00913CCF" w:rsidRDefault="004205FD" w:rsidP="004205FD">
            <w:pPr>
              <w:spacing w:after="0"/>
              <w:jc w:val="left"/>
              <w:rPr>
                <w:rFonts w:eastAsia="Times New Roman" w:cs="Calibri"/>
                <w:b/>
                <w:bCs/>
                <w:color w:val="000000"/>
                <w:sz w:val="16"/>
                <w:szCs w:val="16"/>
              </w:rPr>
            </w:pPr>
          </w:p>
        </w:tc>
        <w:tc>
          <w:tcPr>
            <w:tcW w:w="632" w:type="dxa"/>
            <w:vMerge/>
            <w:tcBorders>
              <w:left w:val="single" w:sz="8" w:space="0" w:color="auto"/>
              <w:right w:val="single" w:sz="8" w:space="0" w:color="auto"/>
            </w:tcBorders>
            <w:shd w:val="clear" w:color="auto" w:fill="auto"/>
            <w:vAlign w:val="center"/>
            <w:hideMark/>
          </w:tcPr>
          <w:p w14:paraId="55604A33" w14:textId="77777777" w:rsidR="004205FD" w:rsidRPr="00913CCF" w:rsidRDefault="004205FD" w:rsidP="004205FD">
            <w:pPr>
              <w:spacing w:after="0"/>
              <w:jc w:val="left"/>
              <w:rPr>
                <w:rFonts w:eastAsia="Times New Roman" w:cs="Calibri"/>
                <w:b/>
                <w:bCs/>
                <w:color w:val="000000"/>
                <w:sz w:val="16"/>
                <w:szCs w:val="16"/>
              </w:rPr>
            </w:pPr>
          </w:p>
        </w:tc>
        <w:tc>
          <w:tcPr>
            <w:tcW w:w="901" w:type="dxa"/>
            <w:tcBorders>
              <w:top w:val="nil"/>
              <w:left w:val="nil"/>
              <w:bottom w:val="single" w:sz="8" w:space="0" w:color="auto"/>
              <w:right w:val="single" w:sz="8" w:space="0" w:color="auto"/>
            </w:tcBorders>
            <w:shd w:val="clear" w:color="auto" w:fill="auto"/>
            <w:noWrap/>
            <w:vAlign w:val="center"/>
            <w:hideMark/>
          </w:tcPr>
          <w:p w14:paraId="6A0B6BC1" w14:textId="77777777" w:rsidR="004205FD" w:rsidRPr="00913CCF" w:rsidRDefault="004205FD" w:rsidP="004205FD">
            <w:pPr>
              <w:spacing w:after="0"/>
              <w:jc w:val="center"/>
              <w:rPr>
                <w:rFonts w:eastAsia="Times New Roman" w:cs="Calibri"/>
                <w:color w:val="000000"/>
                <w:sz w:val="16"/>
                <w:szCs w:val="16"/>
              </w:rPr>
            </w:pPr>
            <w:r w:rsidRPr="00913CCF">
              <w:rPr>
                <w:rFonts w:eastAsia="Times New Roman" w:cs="Calibri"/>
                <w:color w:val="000000"/>
                <w:sz w:val="16"/>
                <w:szCs w:val="16"/>
              </w:rPr>
              <w:t>72800</w:t>
            </w:r>
          </w:p>
        </w:tc>
        <w:tc>
          <w:tcPr>
            <w:tcW w:w="1186" w:type="dxa"/>
            <w:tcBorders>
              <w:top w:val="nil"/>
              <w:left w:val="nil"/>
              <w:bottom w:val="single" w:sz="8" w:space="0" w:color="auto"/>
              <w:right w:val="single" w:sz="8" w:space="0" w:color="auto"/>
            </w:tcBorders>
            <w:shd w:val="clear" w:color="auto" w:fill="auto"/>
            <w:vAlign w:val="center"/>
            <w:hideMark/>
          </w:tcPr>
          <w:p w14:paraId="5331B429" w14:textId="77777777" w:rsidR="004205FD" w:rsidRPr="00913CCF" w:rsidRDefault="004205FD" w:rsidP="004205FD">
            <w:pPr>
              <w:spacing w:after="0"/>
              <w:jc w:val="left"/>
              <w:rPr>
                <w:rFonts w:eastAsia="Times New Roman" w:cs="Calibri"/>
                <w:color w:val="000000"/>
                <w:sz w:val="16"/>
                <w:szCs w:val="16"/>
              </w:rPr>
            </w:pPr>
            <w:r w:rsidRPr="00913CCF">
              <w:rPr>
                <w:rFonts w:eastAsia="Times New Roman" w:cs="Calibri"/>
                <w:color w:val="000000"/>
                <w:sz w:val="16"/>
                <w:szCs w:val="16"/>
              </w:rPr>
              <w:t>Info. Tech. Equip</w:t>
            </w:r>
          </w:p>
        </w:tc>
        <w:tc>
          <w:tcPr>
            <w:tcW w:w="1155" w:type="dxa"/>
            <w:tcBorders>
              <w:top w:val="nil"/>
              <w:left w:val="nil"/>
              <w:bottom w:val="single" w:sz="8" w:space="0" w:color="auto"/>
              <w:right w:val="single" w:sz="8" w:space="0" w:color="auto"/>
            </w:tcBorders>
            <w:shd w:val="clear" w:color="auto" w:fill="auto"/>
            <w:noWrap/>
            <w:vAlign w:val="center"/>
            <w:hideMark/>
          </w:tcPr>
          <w:p w14:paraId="34D97C0F" w14:textId="77777777" w:rsidR="004205FD" w:rsidRPr="00913CCF" w:rsidRDefault="004205FD" w:rsidP="004205FD">
            <w:pPr>
              <w:spacing w:after="0"/>
              <w:jc w:val="center"/>
              <w:rPr>
                <w:rFonts w:eastAsia="Times New Roman" w:cs="Calibri"/>
                <w:color w:val="000000"/>
                <w:sz w:val="16"/>
                <w:szCs w:val="16"/>
              </w:rPr>
            </w:pPr>
            <w:r w:rsidRPr="00913CCF">
              <w:rPr>
                <w:rFonts w:eastAsia="Times New Roman" w:cs="Calibri"/>
                <w:color w:val="000000"/>
                <w:sz w:val="16"/>
                <w:szCs w:val="16"/>
              </w:rPr>
              <w:t>6,000</w:t>
            </w:r>
          </w:p>
        </w:tc>
        <w:tc>
          <w:tcPr>
            <w:tcW w:w="1010" w:type="dxa"/>
            <w:tcBorders>
              <w:top w:val="nil"/>
              <w:left w:val="nil"/>
              <w:bottom w:val="single" w:sz="8" w:space="0" w:color="auto"/>
              <w:right w:val="single" w:sz="8" w:space="0" w:color="auto"/>
            </w:tcBorders>
            <w:shd w:val="clear" w:color="auto" w:fill="auto"/>
            <w:noWrap/>
            <w:vAlign w:val="center"/>
            <w:hideMark/>
          </w:tcPr>
          <w:p w14:paraId="16792C42" w14:textId="77777777" w:rsidR="004205FD" w:rsidRPr="00913CCF" w:rsidRDefault="004205FD" w:rsidP="004205FD">
            <w:pPr>
              <w:spacing w:after="0"/>
              <w:jc w:val="center"/>
              <w:rPr>
                <w:rFonts w:eastAsia="Times New Roman" w:cs="Calibri"/>
                <w:color w:val="000000"/>
                <w:sz w:val="16"/>
                <w:szCs w:val="16"/>
              </w:rPr>
            </w:pPr>
            <w:r w:rsidRPr="00913CCF">
              <w:rPr>
                <w:rFonts w:eastAsia="Times New Roman" w:cs="Calibri"/>
                <w:color w:val="000000"/>
                <w:sz w:val="16"/>
                <w:szCs w:val="16"/>
              </w:rPr>
              <w:t>300</w:t>
            </w:r>
          </w:p>
        </w:tc>
        <w:tc>
          <w:tcPr>
            <w:tcW w:w="938" w:type="dxa"/>
            <w:tcBorders>
              <w:top w:val="nil"/>
              <w:left w:val="nil"/>
              <w:bottom w:val="single" w:sz="8" w:space="0" w:color="auto"/>
              <w:right w:val="single" w:sz="8" w:space="0" w:color="auto"/>
            </w:tcBorders>
            <w:shd w:val="clear" w:color="auto" w:fill="auto"/>
            <w:noWrap/>
            <w:vAlign w:val="center"/>
            <w:hideMark/>
          </w:tcPr>
          <w:p w14:paraId="41A3AD87" w14:textId="77777777" w:rsidR="004205FD" w:rsidRPr="00913CCF" w:rsidRDefault="004205FD" w:rsidP="004205FD">
            <w:pPr>
              <w:spacing w:after="0"/>
              <w:jc w:val="center"/>
              <w:rPr>
                <w:rFonts w:eastAsia="Times New Roman" w:cs="Calibri"/>
                <w:color w:val="000000"/>
                <w:sz w:val="16"/>
                <w:szCs w:val="16"/>
              </w:rPr>
            </w:pPr>
            <w:r w:rsidRPr="00913CCF">
              <w:rPr>
                <w:rFonts w:eastAsia="Times New Roman" w:cs="Calibri"/>
                <w:color w:val="000000"/>
                <w:sz w:val="16"/>
                <w:szCs w:val="16"/>
              </w:rPr>
              <w:t>300</w:t>
            </w:r>
          </w:p>
        </w:tc>
        <w:tc>
          <w:tcPr>
            <w:tcW w:w="938" w:type="dxa"/>
            <w:tcBorders>
              <w:top w:val="nil"/>
              <w:left w:val="nil"/>
              <w:bottom w:val="single" w:sz="8" w:space="0" w:color="auto"/>
              <w:right w:val="single" w:sz="8" w:space="0" w:color="auto"/>
            </w:tcBorders>
            <w:shd w:val="clear" w:color="auto" w:fill="auto"/>
            <w:noWrap/>
            <w:vAlign w:val="center"/>
            <w:hideMark/>
          </w:tcPr>
          <w:p w14:paraId="3F44EDCF" w14:textId="77777777" w:rsidR="004205FD" w:rsidRPr="00913CCF" w:rsidRDefault="004205FD" w:rsidP="004205FD">
            <w:pPr>
              <w:spacing w:after="0"/>
              <w:jc w:val="center"/>
              <w:rPr>
                <w:rFonts w:eastAsia="Times New Roman" w:cs="Calibri"/>
                <w:color w:val="000000"/>
                <w:sz w:val="16"/>
                <w:szCs w:val="16"/>
              </w:rPr>
            </w:pPr>
            <w:r w:rsidRPr="00913CCF">
              <w:rPr>
                <w:rFonts w:eastAsia="Times New Roman" w:cs="Calibri"/>
                <w:color w:val="000000"/>
                <w:sz w:val="16"/>
                <w:szCs w:val="16"/>
              </w:rPr>
              <w:t>300</w:t>
            </w:r>
          </w:p>
        </w:tc>
        <w:tc>
          <w:tcPr>
            <w:tcW w:w="938" w:type="dxa"/>
            <w:tcBorders>
              <w:top w:val="nil"/>
              <w:left w:val="nil"/>
              <w:bottom w:val="single" w:sz="8" w:space="0" w:color="auto"/>
              <w:right w:val="single" w:sz="8" w:space="0" w:color="auto"/>
            </w:tcBorders>
            <w:shd w:val="clear" w:color="auto" w:fill="auto"/>
            <w:noWrap/>
            <w:vAlign w:val="center"/>
            <w:hideMark/>
          </w:tcPr>
          <w:p w14:paraId="5263E8E7" w14:textId="77777777" w:rsidR="004205FD" w:rsidRPr="00913CCF" w:rsidRDefault="004205FD" w:rsidP="004205FD">
            <w:pPr>
              <w:spacing w:after="0"/>
              <w:jc w:val="center"/>
              <w:rPr>
                <w:rFonts w:eastAsia="Times New Roman" w:cs="Calibri"/>
                <w:color w:val="000000"/>
                <w:sz w:val="16"/>
                <w:szCs w:val="16"/>
              </w:rPr>
            </w:pPr>
            <w:r w:rsidRPr="00913CCF">
              <w:rPr>
                <w:rFonts w:eastAsia="Times New Roman" w:cs="Calibri"/>
                <w:color w:val="000000"/>
                <w:sz w:val="16"/>
                <w:szCs w:val="16"/>
              </w:rPr>
              <w:t>300</w:t>
            </w:r>
          </w:p>
        </w:tc>
        <w:tc>
          <w:tcPr>
            <w:tcW w:w="938" w:type="dxa"/>
            <w:tcBorders>
              <w:top w:val="nil"/>
              <w:left w:val="nil"/>
              <w:bottom w:val="single" w:sz="8" w:space="0" w:color="auto"/>
              <w:right w:val="single" w:sz="8" w:space="0" w:color="auto"/>
            </w:tcBorders>
            <w:shd w:val="clear" w:color="auto" w:fill="auto"/>
            <w:vAlign w:val="center"/>
            <w:hideMark/>
          </w:tcPr>
          <w:p w14:paraId="5DEAC36D" w14:textId="77777777" w:rsidR="004205FD" w:rsidRPr="00913CCF" w:rsidRDefault="004205FD" w:rsidP="004205FD">
            <w:pPr>
              <w:spacing w:after="0"/>
              <w:jc w:val="center"/>
              <w:rPr>
                <w:rFonts w:eastAsia="Times New Roman" w:cs="Calibri"/>
                <w:color w:val="000000"/>
                <w:sz w:val="16"/>
                <w:szCs w:val="16"/>
              </w:rPr>
            </w:pPr>
            <w:r w:rsidRPr="00913CCF">
              <w:rPr>
                <w:rFonts w:eastAsia="Times New Roman" w:cs="Calibri"/>
                <w:color w:val="000000"/>
                <w:sz w:val="16"/>
                <w:szCs w:val="16"/>
              </w:rPr>
              <w:t>300</w:t>
            </w:r>
          </w:p>
        </w:tc>
        <w:tc>
          <w:tcPr>
            <w:tcW w:w="1372" w:type="dxa"/>
            <w:tcBorders>
              <w:top w:val="nil"/>
              <w:left w:val="nil"/>
              <w:bottom w:val="single" w:sz="8" w:space="0" w:color="auto"/>
              <w:right w:val="single" w:sz="8" w:space="0" w:color="auto"/>
            </w:tcBorders>
            <w:shd w:val="clear" w:color="auto" w:fill="auto"/>
            <w:noWrap/>
            <w:vAlign w:val="center"/>
            <w:hideMark/>
          </w:tcPr>
          <w:p w14:paraId="125820D1" w14:textId="77777777" w:rsidR="004205FD" w:rsidRPr="00913CCF" w:rsidRDefault="004205FD" w:rsidP="004205FD">
            <w:pPr>
              <w:spacing w:after="0"/>
              <w:jc w:val="center"/>
              <w:rPr>
                <w:rFonts w:eastAsia="Times New Roman" w:cs="Calibri"/>
                <w:b/>
                <w:bCs/>
                <w:color w:val="000000"/>
                <w:sz w:val="16"/>
                <w:szCs w:val="16"/>
              </w:rPr>
            </w:pPr>
            <w:r w:rsidRPr="00913CCF">
              <w:rPr>
                <w:rFonts w:eastAsia="Times New Roman" w:cs="Calibri"/>
                <w:b/>
                <w:bCs/>
                <w:color w:val="000000"/>
                <w:sz w:val="16"/>
                <w:szCs w:val="16"/>
              </w:rPr>
              <w:t>7,500</w:t>
            </w:r>
          </w:p>
        </w:tc>
        <w:tc>
          <w:tcPr>
            <w:tcW w:w="690" w:type="dxa"/>
            <w:tcBorders>
              <w:top w:val="nil"/>
              <w:left w:val="nil"/>
              <w:bottom w:val="single" w:sz="8" w:space="0" w:color="auto"/>
              <w:right w:val="single" w:sz="8" w:space="0" w:color="auto"/>
            </w:tcBorders>
            <w:shd w:val="clear" w:color="auto" w:fill="auto"/>
            <w:vAlign w:val="center"/>
            <w:hideMark/>
          </w:tcPr>
          <w:p w14:paraId="59EF9AD6" w14:textId="77777777" w:rsidR="004205FD" w:rsidRPr="00913CCF" w:rsidRDefault="004205FD" w:rsidP="004205FD">
            <w:pPr>
              <w:spacing w:after="0"/>
              <w:jc w:val="center"/>
              <w:rPr>
                <w:rFonts w:eastAsia="Times New Roman" w:cs="Calibri"/>
                <w:i/>
                <w:iCs/>
                <w:color w:val="000000"/>
                <w:sz w:val="16"/>
                <w:szCs w:val="16"/>
              </w:rPr>
            </w:pPr>
            <w:r w:rsidRPr="00913CCF">
              <w:rPr>
                <w:rFonts w:eastAsia="Times New Roman" w:cs="Calibri"/>
                <w:i/>
                <w:iCs/>
                <w:color w:val="000000"/>
                <w:sz w:val="16"/>
                <w:szCs w:val="16"/>
              </w:rPr>
              <w:t>58</w:t>
            </w:r>
          </w:p>
        </w:tc>
      </w:tr>
      <w:tr w:rsidR="004205FD" w:rsidRPr="00913CCF" w14:paraId="7D07B8B4" w14:textId="77777777" w:rsidTr="004205FD">
        <w:trPr>
          <w:trHeight w:val="135"/>
        </w:trPr>
        <w:tc>
          <w:tcPr>
            <w:tcW w:w="1354" w:type="dxa"/>
            <w:vMerge/>
            <w:tcBorders>
              <w:top w:val="nil"/>
              <w:left w:val="double" w:sz="6" w:space="0" w:color="auto"/>
              <w:bottom w:val="double" w:sz="6" w:space="0" w:color="000000"/>
              <w:right w:val="single" w:sz="8" w:space="0" w:color="auto"/>
            </w:tcBorders>
            <w:shd w:val="clear" w:color="auto" w:fill="auto"/>
            <w:vAlign w:val="center"/>
            <w:hideMark/>
          </w:tcPr>
          <w:p w14:paraId="0E2B232A" w14:textId="77777777" w:rsidR="004205FD" w:rsidRPr="00913CCF" w:rsidRDefault="004205FD" w:rsidP="004205FD">
            <w:pPr>
              <w:spacing w:after="0"/>
              <w:jc w:val="left"/>
              <w:rPr>
                <w:rFonts w:eastAsia="Times New Roman" w:cs="Calibri"/>
                <w:b/>
                <w:bCs/>
                <w:color w:val="000000"/>
                <w:sz w:val="16"/>
                <w:szCs w:val="16"/>
              </w:rPr>
            </w:pPr>
          </w:p>
        </w:tc>
        <w:tc>
          <w:tcPr>
            <w:tcW w:w="1266" w:type="dxa"/>
            <w:vMerge/>
            <w:tcBorders>
              <w:top w:val="nil"/>
              <w:left w:val="single" w:sz="8" w:space="0" w:color="auto"/>
              <w:bottom w:val="double" w:sz="6" w:space="0" w:color="000000"/>
              <w:right w:val="single" w:sz="8" w:space="0" w:color="auto"/>
            </w:tcBorders>
            <w:shd w:val="clear" w:color="auto" w:fill="auto"/>
            <w:vAlign w:val="center"/>
            <w:hideMark/>
          </w:tcPr>
          <w:p w14:paraId="27F0C206" w14:textId="77777777" w:rsidR="004205FD" w:rsidRPr="00913CCF" w:rsidRDefault="004205FD" w:rsidP="004205FD">
            <w:pPr>
              <w:spacing w:after="0"/>
              <w:jc w:val="left"/>
              <w:rPr>
                <w:rFonts w:eastAsia="Times New Roman" w:cs="Calibri"/>
                <w:b/>
                <w:bCs/>
                <w:color w:val="000000"/>
                <w:sz w:val="16"/>
                <w:szCs w:val="16"/>
              </w:rPr>
            </w:pPr>
          </w:p>
        </w:tc>
        <w:tc>
          <w:tcPr>
            <w:tcW w:w="622" w:type="dxa"/>
            <w:vMerge/>
            <w:tcBorders>
              <w:left w:val="single" w:sz="8" w:space="0" w:color="auto"/>
              <w:right w:val="single" w:sz="8" w:space="0" w:color="auto"/>
            </w:tcBorders>
            <w:shd w:val="clear" w:color="auto" w:fill="auto"/>
            <w:vAlign w:val="center"/>
            <w:hideMark/>
          </w:tcPr>
          <w:p w14:paraId="5A5029C2" w14:textId="77777777" w:rsidR="004205FD" w:rsidRPr="00913CCF" w:rsidRDefault="004205FD" w:rsidP="004205FD">
            <w:pPr>
              <w:spacing w:after="0"/>
              <w:jc w:val="left"/>
              <w:rPr>
                <w:rFonts w:eastAsia="Times New Roman" w:cs="Calibri"/>
                <w:b/>
                <w:bCs/>
                <w:color w:val="000000"/>
                <w:sz w:val="16"/>
                <w:szCs w:val="16"/>
              </w:rPr>
            </w:pPr>
          </w:p>
        </w:tc>
        <w:tc>
          <w:tcPr>
            <w:tcW w:w="632" w:type="dxa"/>
            <w:vMerge/>
            <w:tcBorders>
              <w:left w:val="single" w:sz="8" w:space="0" w:color="auto"/>
              <w:right w:val="single" w:sz="8" w:space="0" w:color="auto"/>
            </w:tcBorders>
            <w:shd w:val="clear" w:color="auto" w:fill="auto"/>
            <w:vAlign w:val="center"/>
            <w:hideMark/>
          </w:tcPr>
          <w:p w14:paraId="505EDF8D" w14:textId="77777777" w:rsidR="004205FD" w:rsidRPr="00913CCF" w:rsidRDefault="004205FD" w:rsidP="004205FD">
            <w:pPr>
              <w:spacing w:after="0"/>
              <w:jc w:val="left"/>
              <w:rPr>
                <w:rFonts w:eastAsia="Times New Roman" w:cs="Calibri"/>
                <w:b/>
                <w:bCs/>
                <w:color w:val="000000"/>
                <w:sz w:val="16"/>
                <w:szCs w:val="16"/>
              </w:rPr>
            </w:pPr>
          </w:p>
        </w:tc>
        <w:tc>
          <w:tcPr>
            <w:tcW w:w="901" w:type="dxa"/>
            <w:tcBorders>
              <w:top w:val="nil"/>
              <w:left w:val="nil"/>
              <w:bottom w:val="single" w:sz="8" w:space="0" w:color="auto"/>
              <w:right w:val="single" w:sz="8" w:space="0" w:color="auto"/>
            </w:tcBorders>
            <w:shd w:val="clear" w:color="auto" w:fill="auto"/>
            <w:noWrap/>
            <w:vAlign w:val="center"/>
            <w:hideMark/>
          </w:tcPr>
          <w:p w14:paraId="62B30986" w14:textId="3767B0DE" w:rsidR="004205FD" w:rsidRPr="00913CCF" w:rsidRDefault="004205FD" w:rsidP="004205FD">
            <w:pPr>
              <w:spacing w:after="0"/>
              <w:jc w:val="center"/>
              <w:rPr>
                <w:rFonts w:eastAsia="Times New Roman" w:cs="Calibri"/>
                <w:color w:val="000000"/>
                <w:sz w:val="16"/>
                <w:szCs w:val="16"/>
              </w:rPr>
            </w:pPr>
            <w:r w:rsidRPr="00913CCF">
              <w:rPr>
                <w:rFonts w:eastAsia="Times New Roman" w:cs="Calibri"/>
                <w:color w:val="000000"/>
                <w:sz w:val="16"/>
                <w:szCs w:val="16"/>
              </w:rPr>
              <w:t>74500</w:t>
            </w:r>
          </w:p>
        </w:tc>
        <w:tc>
          <w:tcPr>
            <w:tcW w:w="1186" w:type="dxa"/>
            <w:tcBorders>
              <w:top w:val="nil"/>
              <w:left w:val="nil"/>
              <w:bottom w:val="double" w:sz="6" w:space="0" w:color="auto"/>
              <w:right w:val="single" w:sz="8" w:space="0" w:color="auto"/>
            </w:tcBorders>
            <w:shd w:val="clear" w:color="auto" w:fill="auto"/>
            <w:vAlign w:val="center"/>
            <w:hideMark/>
          </w:tcPr>
          <w:p w14:paraId="098149B3" w14:textId="2CC82FF6" w:rsidR="004205FD" w:rsidRPr="00913CCF" w:rsidRDefault="004205FD" w:rsidP="004205FD">
            <w:pPr>
              <w:spacing w:after="0"/>
              <w:jc w:val="left"/>
              <w:rPr>
                <w:rFonts w:eastAsia="Times New Roman" w:cs="Calibri"/>
                <w:color w:val="000000"/>
                <w:sz w:val="16"/>
                <w:szCs w:val="16"/>
              </w:rPr>
            </w:pPr>
            <w:r w:rsidRPr="00913CCF">
              <w:rPr>
                <w:rFonts w:eastAsia="Times New Roman" w:cs="Calibri"/>
                <w:color w:val="000000"/>
                <w:sz w:val="16"/>
                <w:szCs w:val="16"/>
              </w:rPr>
              <w:t>Miscellaneous</w:t>
            </w:r>
          </w:p>
        </w:tc>
        <w:tc>
          <w:tcPr>
            <w:tcW w:w="1155" w:type="dxa"/>
            <w:tcBorders>
              <w:top w:val="nil"/>
              <w:left w:val="nil"/>
              <w:bottom w:val="double" w:sz="6" w:space="0" w:color="auto"/>
              <w:right w:val="single" w:sz="8" w:space="0" w:color="auto"/>
            </w:tcBorders>
            <w:shd w:val="clear" w:color="auto" w:fill="auto"/>
            <w:noWrap/>
            <w:vAlign w:val="center"/>
            <w:hideMark/>
          </w:tcPr>
          <w:p w14:paraId="3FF520B5" w14:textId="5DF275AE" w:rsidR="004205FD" w:rsidRPr="00913CCF" w:rsidRDefault="004205FD" w:rsidP="004205FD">
            <w:pPr>
              <w:spacing w:after="0"/>
              <w:jc w:val="center"/>
              <w:rPr>
                <w:rFonts w:eastAsia="Times New Roman" w:cs="Calibri"/>
                <w:color w:val="000000"/>
                <w:sz w:val="16"/>
                <w:szCs w:val="16"/>
              </w:rPr>
            </w:pPr>
            <w:r w:rsidRPr="00913CCF">
              <w:rPr>
                <w:rFonts w:eastAsia="Times New Roman" w:cs="Calibri"/>
                <w:color w:val="000000"/>
                <w:sz w:val="16"/>
                <w:szCs w:val="16"/>
              </w:rPr>
              <w:t>3,000</w:t>
            </w:r>
          </w:p>
        </w:tc>
        <w:tc>
          <w:tcPr>
            <w:tcW w:w="1010" w:type="dxa"/>
            <w:tcBorders>
              <w:top w:val="nil"/>
              <w:left w:val="nil"/>
              <w:bottom w:val="double" w:sz="6" w:space="0" w:color="auto"/>
              <w:right w:val="single" w:sz="8" w:space="0" w:color="auto"/>
            </w:tcBorders>
            <w:shd w:val="clear" w:color="auto" w:fill="auto"/>
            <w:noWrap/>
            <w:vAlign w:val="center"/>
            <w:hideMark/>
          </w:tcPr>
          <w:p w14:paraId="39F4A0F0" w14:textId="50EB7A31" w:rsidR="004205FD" w:rsidRPr="00913CCF" w:rsidRDefault="004205FD" w:rsidP="004205FD">
            <w:pPr>
              <w:spacing w:after="0"/>
              <w:jc w:val="center"/>
              <w:rPr>
                <w:rFonts w:eastAsia="Times New Roman" w:cs="Calibri"/>
                <w:color w:val="000000"/>
                <w:sz w:val="16"/>
                <w:szCs w:val="16"/>
              </w:rPr>
            </w:pPr>
            <w:r w:rsidRPr="00913CCF">
              <w:rPr>
                <w:rFonts w:eastAsia="Times New Roman" w:cs="Calibri"/>
                <w:color w:val="000000"/>
                <w:sz w:val="16"/>
                <w:szCs w:val="16"/>
              </w:rPr>
              <w:t>500</w:t>
            </w:r>
          </w:p>
        </w:tc>
        <w:tc>
          <w:tcPr>
            <w:tcW w:w="938" w:type="dxa"/>
            <w:tcBorders>
              <w:top w:val="nil"/>
              <w:left w:val="nil"/>
              <w:bottom w:val="double" w:sz="6" w:space="0" w:color="auto"/>
              <w:right w:val="single" w:sz="8" w:space="0" w:color="auto"/>
            </w:tcBorders>
            <w:shd w:val="clear" w:color="auto" w:fill="auto"/>
            <w:noWrap/>
            <w:vAlign w:val="center"/>
            <w:hideMark/>
          </w:tcPr>
          <w:p w14:paraId="78CEE137" w14:textId="5A178C57" w:rsidR="004205FD" w:rsidRPr="00913CCF" w:rsidRDefault="004205FD" w:rsidP="004205FD">
            <w:pPr>
              <w:spacing w:after="0"/>
              <w:jc w:val="center"/>
              <w:rPr>
                <w:rFonts w:eastAsia="Times New Roman" w:cs="Calibri"/>
                <w:color w:val="000000"/>
                <w:sz w:val="16"/>
                <w:szCs w:val="16"/>
              </w:rPr>
            </w:pPr>
            <w:r w:rsidRPr="00913CCF">
              <w:rPr>
                <w:rFonts w:eastAsia="Times New Roman" w:cs="Calibri"/>
                <w:color w:val="000000"/>
                <w:sz w:val="16"/>
                <w:szCs w:val="16"/>
              </w:rPr>
              <w:t>500</w:t>
            </w:r>
          </w:p>
        </w:tc>
        <w:tc>
          <w:tcPr>
            <w:tcW w:w="938" w:type="dxa"/>
            <w:tcBorders>
              <w:top w:val="nil"/>
              <w:left w:val="nil"/>
              <w:bottom w:val="double" w:sz="6" w:space="0" w:color="auto"/>
              <w:right w:val="single" w:sz="8" w:space="0" w:color="auto"/>
            </w:tcBorders>
            <w:shd w:val="clear" w:color="auto" w:fill="auto"/>
            <w:noWrap/>
            <w:vAlign w:val="center"/>
            <w:hideMark/>
          </w:tcPr>
          <w:p w14:paraId="33A2E681" w14:textId="6288569D" w:rsidR="004205FD" w:rsidRPr="00913CCF" w:rsidRDefault="004205FD" w:rsidP="004205FD">
            <w:pPr>
              <w:spacing w:after="0"/>
              <w:jc w:val="center"/>
              <w:rPr>
                <w:rFonts w:eastAsia="Times New Roman" w:cs="Calibri"/>
                <w:color w:val="000000"/>
                <w:sz w:val="16"/>
                <w:szCs w:val="16"/>
              </w:rPr>
            </w:pPr>
            <w:r w:rsidRPr="00913CCF">
              <w:rPr>
                <w:rFonts w:eastAsia="Times New Roman" w:cs="Calibri"/>
                <w:color w:val="000000"/>
                <w:sz w:val="16"/>
                <w:szCs w:val="16"/>
              </w:rPr>
              <w:t>500</w:t>
            </w:r>
          </w:p>
        </w:tc>
        <w:tc>
          <w:tcPr>
            <w:tcW w:w="938" w:type="dxa"/>
            <w:tcBorders>
              <w:top w:val="nil"/>
              <w:left w:val="nil"/>
              <w:bottom w:val="double" w:sz="6" w:space="0" w:color="auto"/>
              <w:right w:val="single" w:sz="8" w:space="0" w:color="auto"/>
            </w:tcBorders>
            <w:shd w:val="clear" w:color="auto" w:fill="auto"/>
            <w:noWrap/>
            <w:vAlign w:val="center"/>
            <w:hideMark/>
          </w:tcPr>
          <w:p w14:paraId="0B71AF85" w14:textId="0D87B988" w:rsidR="004205FD" w:rsidRPr="00913CCF" w:rsidRDefault="004205FD" w:rsidP="004205FD">
            <w:pPr>
              <w:spacing w:after="0"/>
              <w:jc w:val="center"/>
              <w:rPr>
                <w:rFonts w:eastAsia="Times New Roman" w:cs="Calibri"/>
                <w:color w:val="000000"/>
                <w:sz w:val="16"/>
                <w:szCs w:val="16"/>
              </w:rPr>
            </w:pPr>
            <w:r w:rsidRPr="00913CCF">
              <w:rPr>
                <w:rFonts w:eastAsia="Times New Roman" w:cs="Calibri"/>
                <w:color w:val="000000"/>
                <w:sz w:val="16"/>
                <w:szCs w:val="16"/>
              </w:rPr>
              <w:t>500</w:t>
            </w:r>
          </w:p>
        </w:tc>
        <w:tc>
          <w:tcPr>
            <w:tcW w:w="938" w:type="dxa"/>
            <w:tcBorders>
              <w:top w:val="nil"/>
              <w:left w:val="nil"/>
              <w:bottom w:val="single" w:sz="8" w:space="0" w:color="auto"/>
              <w:right w:val="single" w:sz="8" w:space="0" w:color="auto"/>
            </w:tcBorders>
            <w:shd w:val="clear" w:color="auto" w:fill="auto"/>
            <w:vAlign w:val="center"/>
            <w:hideMark/>
          </w:tcPr>
          <w:p w14:paraId="23672DD3" w14:textId="39DFEE4F" w:rsidR="004205FD" w:rsidRPr="00913CCF" w:rsidRDefault="004205FD" w:rsidP="004205FD">
            <w:pPr>
              <w:spacing w:after="0"/>
              <w:jc w:val="center"/>
              <w:rPr>
                <w:rFonts w:eastAsia="Times New Roman" w:cs="Calibri"/>
                <w:color w:val="000000"/>
                <w:sz w:val="16"/>
                <w:szCs w:val="16"/>
              </w:rPr>
            </w:pPr>
            <w:r w:rsidRPr="00913CCF">
              <w:rPr>
                <w:rFonts w:eastAsia="Times New Roman" w:cs="Calibri"/>
                <w:color w:val="000000"/>
                <w:sz w:val="16"/>
                <w:szCs w:val="16"/>
              </w:rPr>
              <w:t>502</w:t>
            </w:r>
          </w:p>
        </w:tc>
        <w:tc>
          <w:tcPr>
            <w:tcW w:w="1372" w:type="dxa"/>
            <w:tcBorders>
              <w:top w:val="nil"/>
              <w:left w:val="nil"/>
              <w:bottom w:val="single" w:sz="8" w:space="0" w:color="auto"/>
              <w:right w:val="single" w:sz="8" w:space="0" w:color="auto"/>
            </w:tcBorders>
            <w:shd w:val="clear" w:color="auto" w:fill="auto"/>
            <w:noWrap/>
            <w:vAlign w:val="center"/>
            <w:hideMark/>
          </w:tcPr>
          <w:p w14:paraId="4855CD72" w14:textId="708DE726" w:rsidR="004205FD" w:rsidRPr="00913CCF" w:rsidRDefault="004205FD" w:rsidP="004205FD">
            <w:pPr>
              <w:spacing w:after="0"/>
              <w:jc w:val="center"/>
              <w:rPr>
                <w:rFonts w:eastAsia="Times New Roman" w:cs="Calibri"/>
                <w:b/>
                <w:bCs/>
                <w:color w:val="000000"/>
                <w:sz w:val="16"/>
                <w:szCs w:val="16"/>
              </w:rPr>
            </w:pPr>
            <w:r w:rsidRPr="00913CCF">
              <w:rPr>
                <w:rFonts w:eastAsia="Times New Roman" w:cs="Calibri"/>
                <w:b/>
                <w:bCs/>
                <w:color w:val="000000"/>
                <w:sz w:val="16"/>
                <w:szCs w:val="16"/>
              </w:rPr>
              <w:t>5,502</w:t>
            </w:r>
          </w:p>
        </w:tc>
        <w:tc>
          <w:tcPr>
            <w:tcW w:w="690" w:type="dxa"/>
            <w:tcBorders>
              <w:top w:val="nil"/>
              <w:left w:val="nil"/>
              <w:bottom w:val="single" w:sz="8" w:space="0" w:color="auto"/>
              <w:right w:val="single" w:sz="8" w:space="0" w:color="auto"/>
            </w:tcBorders>
            <w:shd w:val="clear" w:color="auto" w:fill="auto"/>
            <w:vAlign w:val="center"/>
            <w:hideMark/>
          </w:tcPr>
          <w:p w14:paraId="1EB7676E" w14:textId="337864A1" w:rsidR="004205FD" w:rsidRPr="00913CCF" w:rsidRDefault="004205FD" w:rsidP="004205FD">
            <w:pPr>
              <w:spacing w:after="0"/>
              <w:jc w:val="center"/>
              <w:rPr>
                <w:rFonts w:eastAsia="Times New Roman" w:cs="Calibri"/>
                <w:i/>
                <w:iCs/>
                <w:color w:val="000000"/>
                <w:sz w:val="16"/>
                <w:szCs w:val="16"/>
              </w:rPr>
            </w:pPr>
            <w:r w:rsidRPr="00913CCF">
              <w:rPr>
                <w:rFonts w:eastAsia="Times New Roman" w:cs="Calibri"/>
                <w:i/>
                <w:iCs/>
                <w:color w:val="000000"/>
                <w:sz w:val="16"/>
                <w:szCs w:val="16"/>
              </w:rPr>
              <w:t>59</w:t>
            </w:r>
          </w:p>
        </w:tc>
      </w:tr>
      <w:tr w:rsidR="004205FD" w:rsidRPr="00913CCF" w14:paraId="5849BE1F" w14:textId="77777777" w:rsidTr="004205FD">
        <w:trPr>
          <w:trHeight w:val="135"/>
        </w:trPr>
        <w:tc>
          <w:tcPr>
            <w:tcW w:w="1354" w:type="dxa"/>
            <w:vMerge/>
            <w:tcBorders>
              <w:top w:val="nil"/>
              <w:left w:val="double" w:sz="6" w:space="0" w:color="auto"/>
              <w:bottom w:val="double" w:sz="6" w:space="0" w:color="000000"/>
              <w:right w:val="single" w:sz="8" w:space="0" w:color="auto"/>
            </w:tcBorders>
            <w:shd w:val="clear" w:color="auto" w:fill="auto"/>
            <w:vAlign w:val="center"/>
          </w:tcPr>
          <w:p w14:paraId="187A95D2" w14:textId="77777777" w:rsidR="004205FD" w:rsidRPr="00913CCF" w:rsidRDefault="004205FD" w:rsidP="004205FD">
            <w:pPr>
              <w:spacing w:after="0"/>
              <w:jc w:val="left"/>
              <w:rPr>
                <w:rFonts w:eastAsia="Times New Roman" w:cs="Calibri"/>
                <w:b/>
                <w:bCs/>
                <w:color w:val="000000"/>
                <w:sz w:val="16"/>
                <w:szCs w:val="16"/>
              </w:rPr>
            </w:pPr>
          </w:p>
        </w:tc>
        <w:tc>
          <w:tcPr>
            <w:tcW w:w="1266" w:type="dxa"/>
            <w:vMerge/>
            <w:tcBorders>
              <w:top w:val="nil"/>
              <w:left w:val="single" w:sz="8" w:space="0" w:color="auto"/>
              <w:bottom w:val="double" w:sz="6" w:space="0" w:color="000000"/>
              <w:right w:val="single" w:sz="8" w:space="0" w:color="auto"/>
            </w:tcBorders>
            <w:shd w:val="clear" w:color="auto" w:fill="auto"/>
            <w:vAlign w:val="center"/>
          </w:tcPr>
          <w:p w14:paraId="31D2663E" w14:textId="77777777" w:rsidR="004205FD" w:rsidRPr="00913CCF" w:rsidRDefault="004205FD" w:rsidP="004205FD">
            <w:pPr>
              <w:spacing w:after="0"/>
              <w:jc w:val="left"/>
              <w:rPr>
                <w:rFonts w:eastAsia="Times New Roman" w:cs="Calibri"/>
                <w:b/>
                <w:bCs/>
                <w:color w:val="000000"/>
                <w:sz w:val="16"/>
                <w:szCs w:val="16"/>
              </w:rPr>
            </w:pPr>
          </w:p>
        </w:tc>
        <w:tc>
          <w:tcPr>
            <w:tcW w:w="622" w:type="dxa"/>
            <w:vMerge/>
            <w:tcBorders>
              <w:left w:val="single" w:sz="8" w:space="0" w:color="auto"/>
              <w:bottom w:val="double" w:sz="6" w:space="0" w:color="000000"/>
              <w:right w:val="single" w:sz="8" w:space="0" w:color="auto"/>
            </w:tcBorders>
            <w:shd w:val="clear" w:color="auto" w:fill="auto"/>
            <w:vAlign w:val="center"/>
          </w:tcPr>
          <w:p w14:paraId="6FA920E7" w14:textId="77777777" w:rsidR="004205FD" w:rsidRPr="00913CCF" w:rsidRDefault="004205FD" w:rsidP="004205FD">
            <w:pPr>
              <w:spacing w:after="0"/>
              <w:jc w:val="left"/>
              <w:rPr>
                <w:rFonts w:eastAsia="Times New Roman" w:cs="Calibri"/>
                <w:b/>
                <w:bCs/>
                <w:color w:val="000000"/>
                <w:sz w:val="16"/>
                <w:szCs w:val="16"/>
              </w:rPr>
            </w:pPr>
          </w:p>
        </w:tc>
        <w:tc>
          <w:tcPr>
            <w:tcW w:w="632" w:type="dxa"/>
            <w:vMerge/>
            <w:tcBorders>
              <w:left w:val="single" w:sz="8" w:space="0" w:color="auto"/>
              <w:bottom w:val="double" w:sz="6" w:space="0" w:color="000000"/>
              <w:right w:val="single" w:sz="8" w:space="0" w:color="auto"/>
            </w:tcBorders>
            <w:shd w:val="clear" w:color="auto" w:fill="auto"/>
            <w:vAlign w:val="center"/>
          </w:tcPr>
          <w:p w14:paraId="46602997" w14:textId="77777777" w:rsidR="004205FD" w:rsidRPr="00913CCF" w:rsidRDefault="004205FD" w:rsidP="004205FD">
            <w:pPr>
              <w:spacing w:after="0"/>
              <w:jc w:val="left"/>
              <w:rPr>
                <w:rFonts w:eastAsia="Times New Roman" w:cs="Calibri"/>
                <w:b/>
                <w:bCs/>
                <w:color w:val="000000"/>
                <w:sz w:val="16"/>
                <w:szCs w:val="16"/>
              </w:rPr>
            </w:pPr>
          </w:p>
        </w:tc>
        <w:tc>
          <w:tcPr>
            <w:tcW w:w="901" w:type="dxa"/>
            <w:tcBorders>
              <w:top w:val="nil"/>
              <w:left w:val="nil"/>
              <w:bottom w:val="single" w:sz="8" w:space="0" w:color="auto"/>
              <w:right w:val="single" w:sz="8" w:space="0" w:color="auto"/>
            </w:tcBorders>
            <w:shd w:val="clear" w:color="auto" w:fill="auto"/>
            <w:noWrap/>
            <w:vAlign w:val="center"/>
          </w:tcPr>
          <w:p w14:paraId="72286071" w14:textId="7F0F419A" w:rsidR="004205FD" w:rsidRPr="00EF6D8E" w:rsidRDefault="004205FD" w:rsidP="004205FD">
            <w:pPr>
              <w:spacing w:after="0"/>
              <w:jc w:val="center"/>
              <w:rPr>
                <w:rFonts w:eastAsia="Times New Roman" w:cs="Calibri"/>
                <w:color w:val="000000"/>
                <w:sz w:val="16"/>
                <w:szCs w:val="16"/>
              </w:rPr>
            </w:pPr>
            <w:r w:rsidRPr="00EF6D8E">
              <w:rPr>
                <w:rFonts w:eastAsia="Times New Roman" w:cs="Calibri"/>
                <w:color w:val="000000"/>
                <w:sz w:val="16"/>
                <w:szCs w:val="16"/>
              </w:rPr>
              <w:t>74100</w:t>
            </w:r>
          </w:p>
        </w:tc>
        <w:tc>
          <w:tcPr>
            <w:tcW w:w="1186" w:type="dxa"/>
            <w:tcBorders>
              <w:top w:val="nil"/>
              <w:left w:val="nil"/>
              <w:bottom w:val="double" w:sz="6" w:space="0" w:color="auto"/>
              <w:right w:val="single" w:sz="8" w:space="0" w:color="auto"/>
            </w:tcBorders>
            <w:shd w:val="clear" w:color="auto" w:fill="auto"/>
            <w:vAlign w:val="center"/>
          </w:tcPr>
          <w:p w14:paraId="1208C00C" w14:textId="22574587" w:rsidR="004205FD" w:rsidRPr="00EF6D8E" w:rsidRDefault="004205FD" w:rsidP="004205FD">
            <w:pPr>
              <w:spacing w:after="0"/>
              <w:jc w:val="left"/>
              <w:rPr>
                <w:rFonts w:eastAsia="Times New Roman" w:cs="Calibri"/>
                <w:color w:val="000000"/>
                <w:sz w:val="16"/>
                <w:szCs w:val="16"/>
              </w:rPr>
            </w:pPr>
            <w:r w:rsidRPr="00EF6D8E">
              <w:rPr>
                <w:rFonts w:eastAsia="Times New Roman" w:cs="Calibri"/>
                <w:color w:val="000000"/>
                <w:sz w:val="16"/>
                <w:szCs w:val="16"/>
              </w:rPr>
              <w:t>Prof. Services</w:t>
            </w:r>
          </w:p>
        </w:tc>
        <w:tc>
          <w:tcPr>
            <w:tcW w:w="1155" w:type="dxa"/>
            <w:tcBorders>
              <w:top w:val="nil"/>
              <w:left w:val="nil"/>
              <w:bottom w:val="double" w:sz="6" w:space="0" w:color="auto"/>
              <w:right w:val="single" w:sz="8" w:space="0" w:color="auto"/>
            </w:tcBorders>
            <w:shd w:val="clear" w:color="auto" w:fill="auto"/>
            <w:noWrap/>
            <w:vAlign w:val="center"/>
          </w:tcPr>
          <w:p w14:paraId="74BC3C89" w14:textId="2421CD2A" w:rsidR="004205FD" w:rsidRPr="00EF6D8E" w:rsidRDefault="004205FD" w:rsidP="004205FD">
            <w:pPr>
              <w:spacing w:after="0"/>
              <w:jc w:val="center"/>
              <w:rPr>
                <w:rFonts w:eastAsia="Times New Roman" w:cs="Calibri"/>
                <w:color w:val="000000"/>
                <w:sz w:val="16"/>
                <w:szCs w:val="16"/>
              </w:rPr>
            </w:pPr>
            <w:r w:rsidRPr="00EF6D8E">
              <w:rPr>
                <w:rFonts w:eastAsia="Times New Roman" w:cs="Calibri"/>
                <w:color w:val="000000"/>
                <w:sz w:val="16"/>
                <w:szCs w:val="16"/>
              </w:rPr>
              <w:t>0</w:t>
            </w:r>
          </w:p>
        </w:tc>
        <w:tc>
          <w:tcPr>
            <w:tcW w:w="1010" w:type="dxa"/>
            <w:tcBorders>
              <w:top w:val="nil"/>
              <w:left w:val="nil"/>
              <w:bottom w:val="double" w:sz="6" w:space="0" w:color="auto"/>
              <w:right w:val="single" w:sz="8" w:space="0" w:color="auto"/>
            </w:tcBorders>
            <w:shd w:val="clear" w:color="auto" w:fill="auto"/>
            <w:noWrap/>
            <w:vAlign w:val="center"/>
          </w:tcPr>
          <w:p w14:paraId="746B4C1A" w14:textId="619B9122" w:rsidR="004205FD" w:rsidRPr="00EF6D8E" w:rsidRDefault="004205FD" w:rsidP="004205FD">
            <w:pPr>
              <w:spacing w:after="0"/>
              <w:jc w:val="center"/>
              <w:rPr>
                <w:rFonts w:eastAsia="Times New Roman" w:cs="Calibri"/>
                <w:color w:val="000000"/>
                <w:sz w:val="16"/>
                <w:szCs w:val="16"/>
              </w:rPr>
            </w:pPr>
            <w:r w:rsidRPr="00EF6D8E">
              <w:rPr>
                <w:rFonts w:eastAsia="Times New Roman" w:cs="Calibri"/>
                <w:color w:val="000000"/>
                <w:sz w:val="16"/>
                <w:szCs w:val="16"/>
              </w:rPr>
              <w:t>4,000</w:t>
            </w:r>
          </w:p>
        </w:tc>
        <w:tc>
          <w:tcPr>
            <w:tcW w:w="938" w:type="dxa"/>
            <w:tcBorders>
              <w:top w:val="nil"/>
              <w:left w:val="nil"/>
              <w:bottom w:val="double" w:sz="6" w:space="0" w:color="auto"/>
              <w:right w:val="single" w:sz="8" w:space="0" w:color="auto"/>
            </w:tcBorders>
            <w:shd w:val="clear" w:color="auto" w:fill="auto"/>
            <w:noWrap/>
            <w:vAlign w:val="center"/>
          </w:tcPr>
          <w:p w14:paraId="535376DB" w14:textId="468A3F7D" w:rsidR="004205FD" w:rsidRPr="00EF6D8E" w:rsidRDefault="004205FD" w:rsidP="004205FD">
            <w:pPr>
              <w:spacing w:after="0"/>
              <w:jc w:val="center"/>
              <w:rPr>
                <w:rFonts w:eastAsia="Times New Roman" w:cs="Calibri"/>
                <w:color w:val="000000"/>
                <w:sz w:val="16"/>
                <w:szCs w:val="16"/>
              </w:rPr>
            </w:pPr>
            <w:r w:rsidRPr="00EF6D8E">
              <w:rPr>
                <w:rFonts w:eastAsia="Times New Roman" w:cs="Calibri"/>
                <w:color w:val="000000"/>
                <w:sz w:val="16"/>
                <w:szCs w:val="16"/>
              </w:rPr>
              <w:t>4,000</w:t>
            </w:r>
          </w:p>
        </w:tc>
        <w:tc>
          <w:tcPr>
            <w:tcW w:w="938" w:type="dxa"/>
            <w:tcBorders>
              <w:top w:val="nil"/>
              <w:left w:val="nil"/>
              <w:bottom w:val="double" w:sz="6" w:space="0" w:color="auto"/>
              <w:right w:val="single" w:sz="8" w:space="0" w:color="auto"/>
            </w:tcBorders>
            <w:shd w:val="clear" w:color="auto" w:fill="auto"/>
            <w:noWrap/>
            <w:vAlign w:val="center"/>
          </w:tcPr>
          <w:p w14:paraId="4403A1AD" w14:textId="1F102E7D" w:rsidR="004205FD" w:rsidRPr="00EF6D8E" w:rsidRDefault="004205FD" w:rsidP="004205FD">
            <w:pPr>
              <w:spacing w:after="0"/>
              <w:jc w:val="center"/>
              <w:rPr>
                <w:rFonts w:eastAsia="Times New Roman" w:cs="Calibri"/>
                <w:color w:val="000000"/>
                <w:sz w:val="16"/>
                <w:szCs w:val="16"/>
              </w:rPr>
            </w:pPr>
            <w:r w:rsidRPr="00EF6D8E">
              <w:rPr>
                <w:rFonts w:eastAsia="Times New Roman" w:cs="Calibri"/>
                <w:color w:val="000000"/>
                <w:sz w:val="16"/>
                <w:szCs w:val="16"/>
              </w:rPr>
              <w:t>4,000</w:t>
            </w:r>
          </w:p>
        </w:tc>
        <w:tc>
          <w:tcPr>
            <w:tcW w:w="938" w:type="dxa"/>
            <w:tcBorders>
              <w:top w:val="nil"/>
              <w:left w:val="nil"/>
              <w:bottom w:val="double" w:sz="6" w:space="0" w:color="auto"/>
              <w:right w:val="single" w:sz="8" w:space="0" w:color="auto"/>
            </w:tcBorders>
            <w:shd w:val="clear" w:color="auto" w:fill="auto"/>
            <w:noWrap/>
            <w:vAlign w:val="center"/>
          </w:tcPr>
          <w:p w14:paraId="5A5E35D3" w14:textId="2D2AEF20" w:rsidR="004205FD" w:rsidRPr="00EF6D8E" w:rsidRDefault="004205FD" w:rsidP="004205FD">
            <w:pPr>
              <w:spacing w:after="0"/>
              <w:jc w:val="center"/>
              <w:rPr>
                <w:rFonts w:eastAsia="Times New Roman" w:cs="Calibri"/>
                <w:color w:val="000000"/>
                <w:sz w:val="16"/>
                <w:szCs w:val="16"/>
              </w:rPr>
            </w:pPr>
            <w:r w:rsidRPr="00EF6D8E">
              <w:rPr>
                <w:rFonts w:eastAsia="Times New Roman" w:cs="Calibri"/>
                <w:color w:val="000000"/>
                <w:sz w:val="16"/>
                <w:szCs w:val="16"/>
              </w:rPr>
              <w:t>4,000</w:t>
            </w:r>
          </w:p>
        </w:tc>
        <w:tc>
          <w:tcPr>
            <w:tcW w:w="938" w:type="dxa"/>
            <w:tcBorders>
              <w:top w:val="nil"/>
              <w:left w:val="nil"/>
              <w:bottom w:val="single" w:sz="8" w:space="0" w:color="auto"/>
              <w:right w:val="single" w:sz="8" w:space="0" w:color="auto"/>
            </w:tcBorders>
            <w:shd w:val="clear" w:color="auto" w:fill="auto"/>
            <w:vAlign w:val="center"/>
          </w:tcPr>
          <w:p w14:paraId="6B43C088" w14:textId="27BAD86E" w:rsidR="004205FD" w:rsidRPr="00EF6D8E" w:rsidRDefault="004205FD" w:rsidP="004205FD">
            <w:pPr>
              <w:spacing w:after="0"/>
              <w:jc w:val="center"/>
              <w:rPr>
                <w:rFonts w:eastAsia="Times New Roman" w:cs="Calibri"/>
                <w:color w:val="000000"/>
                <w:sz w:val="16"/>
                <w:szCs w:val="16"/>
              </w:rPr>
            </w:pPr>
            <w:r w:rsidRPr="00EF6D8E">
              <w:rPr>
                <w:rFonts w:eastAsia="Times New Roman" w:cs="Calibri"/>
                <w:color w:val="000000"/>
                <w:sz w:val="16"/>
                <w:szCs w:val="16"/>
              </w:rPr>
              <w:t>4,000</w:t>
            </w:r>
          </w:p>
        </w:tc>
        <w:tc>
          <w:tcPr>
            <w:tcW w:w="1372" w:type="dxa"/>
            <w:tcBorders>
              <w:top w:val="nil"/>
              <w:left w:val="nil"/>
              <w:bottom w:val="single" w:sz="8" w:space="0" w:color="auto"/>
              <w:right w:val="single" w:sz="8" w:space="0" w:color="auto"/>
            </w:tcBorders>
            <w:shd w:val="clear" w:color="auto" w:fill="auto"/>
            <w:noWrap/>
            <w:vAlign w:val="center"/>
          </w:tcPr>
          <w:p w14:paraId="213E1C4A" w14:textId="0D35939E" w:rsidR="004205FD" w:rsidRPr="00EF6D8E" w:rsidRDefault="004205FD" w:rsidP="004205FD">
            <w:pPr>
              <w:spacing w:after="0"/>
              <w:jc w:val="center"/>
              <w:rPr>
                <w:rFonts w:eastAsia="Times New Roman" w:cs="Calibri"/>
                <w:b/>
                <w:bCs/>
                <w:color w:val="000000"/>
                <w:sz w:val="16"/>
                <w:szCs w:val="16"/>
              </w:rPr>
            </w:pPr>
            <w:r w:rsidRPr="00EF6D8E">
              <w:rPr>
                <w:rFonts w:eastAsia="Times New Roman" w:cs="Calibri"/>
                <w:b/>
                <w:bCs/>
                <w:color w:val="000000"/>
                <w:sz w:val="16"/>
                <w:szCs w:val="16"/>
              </w:rPr>
              <w:t>20,000</w:t>
            </w:r>
          </w:p>
        </w:tc>
        <w:tc>
          <w:tcPr>
            <w:tcW w:w="690" w:type="dxa"/>
            <w:tcBorders>
              <w:top w:val="nil"/>
              <w:left w:val="nil"/>
              <w:bottom w:val="single" w:sz="8" w:space="0" w:color="auto"/>
              <w:right w:val="single" w:sz="8" w:space="0" w:color="auto"/>
            </w:tcBorders>
            <w:shd w:val="clear" w:color="auto" w:fill="auto"/>
            <w:vAlign w:val="center"/>
          </w:tcPr>
          <w:p w14:paraId="66D01886" w14:textId="75AFFFE4" w:rsidR="004205FD" w:rsidRPr="00EF6D8E" w:rsidRDefault="004205FD" w:rsidP="004205FD">
            <w:pPr>
              <w:spacing w:after="0"/>
              <w:jc w:val="center"/>
              <w:rPr>
                <w:rFonts w:eastAsia="Times New Roman" w:cs="Calibri"/>
                <w:color w:val="000000"/>
                <w:sz w:val="16"/>
                <w:szCs w:val="16"/>
              </w:rPr>
            </w:pPr>
            <w:r w:rsidRPr="00EF6D8E">
              <w:rPr>
                <w:rFonts w:eastAsia="Times New Roman" w:cs="Calibri"/>
                <w:color w:val="000000"/>
                <w:sz w:val="16"/>
                <w:szCs w:val="16"/>
              </w:rPr>
              <w:t>60</w:t>
            </w:r>
          </w:p>
        </w:tc>
      </w:tr>
      <w:tr w:rsidR="004205FD" w:rsidRPr="00913CCF" w14:paraId="5ECF3EEE" w14:textId="77777777" w:rsidTr="004205FD">
        <w:trPr>
          <w:trHeight w:val="300"/>
        </w:trPr>
        <w:tc>
          <w:tcPr>
            <w:tcW w:w="1354" w:type="dxa"/>
            <w:vMerge/>
            <w:tcBorders>
              <w:top w:val="nil"/>
              <w:left w:val="double" w:sz="6" w:space="0" w:color="auto"/>
              <w:bottom w:val="double" w:sz="6" w:space="0" w:color="000000"/>
              <w:right w:val="single" w:sz="8" w:space="0" w:color="auto"/>
            </w:tcBorders>
            <w:shd w:val="clear" w:color="auto" w:fill="auto"/>
            <w:vAlign w:val="center"/>
            <w:hideMark/>
          </w:tcPr>
          <w:p w14:paraId="2C45D81D" w14:textId="77777777" w:rsidR="004205FD" w:rsidRPr="00913CCF" w:rsidRDefault="004205FD" w:rsidP="004205FD">
            <w:pPr>
              <w:spacing w:after="0"/>
              <w:jc w:val="left"/>
              <w:rPr>
                <w:rFonts w:eastAsia="Times New Roman" w:cs="Calibri"/>
                <w:b/>
                <w:bCs/>
                <w:color w:val="000000"/>
                <w:sz w:val="16"/>
                <w:szCs w:val="16"/>
              </w:rPr>
            </w:pPr>
          </w:p>
        </w:tc>
        <w:tc>
          <w:tcPr>
            <w:tcW w:w="1266" w:type="dxa"/>
            <w:vMerge/>
            <w:tcBorders>
              <w:top w:val="nil"/>
              <w:left w:val="single" w:sz="8" w:space="0" w:color="auto"/>
              <w:bottom w:val="double" w:sz="6" w:space="0" w:color="000000"/>
              <w:right w:val="single" w:sz="8" w:space="0" w:color="auto"/>
            </w:tcBorders>
            <w:shd w:val="clear" w:color="auto" w:fill="auto"/>
            <w:vAlign w:val="center"/>
            <w:hideMark/>
          </w:tcPr>
          <w:p w14:paraId="0E809ACB" w14:textId="77777777" w:rsidR="004205FD" w:rsidRPr="00913CCF" w:rsidRDefault="004205FD" w:rsidP="004205FD">
            <w:pPr>
              <w:spacing w:after="0"/>
              <w:jc w:val="left"/>
              <w:rPr>
                <w:rFonts w:eastAsia="Times New Roman" w:cs="Calibri"/>
                <w:b/>
                <w:bCs/>
                <w:color w:val="000000"/>
                <w:sz w:val="16"/>
                <w:szCs w:val="16"/>
              </w:rPr>
            </w:pPr>
          </w:p>
        </w:tc>
        <w:tc>
          <w:tcPr>
            <w:tcW w:w="622" w:type="dxa"/>
            <w:tcBorders>
              <w:top w:val="nil"/>
              <w:left w:val="nil"/>
              <w:bottom w:val="double" w:sz="6" w:space="0" w:color="auto"/>
              <w:right w:val="single" w:sz="8" w:space="0" w:color="auto"/>
            </w:tcBorders>
            <w:shd w:val="clear" w:color="auto" w:fill="auto"/>
            <w:vAlign w:val="center"/>
            <w:hideMark/>
          </w:tcPr>
          <w:p w14:paraId="76BF1172" w14:textId="77777777" w:rsidR="004205FD" w:rsidRPr="00913CCF" w:rsidRDefault="004205FD" w:rsidP="004205FD">
            <w:pPr>
              <w:spacing w:after="0"/>
              <w:jc w:val="center"/>
              <w:rPr>
                <w:rFonts w:eastAsia="Times New Roman" w:cs="Calibri"/>
                <w:b/>
                <w:bCs/>
                <w:color w:val="000000"/>
                <w:sz w:val="16"/>
                <w:szCs w:val="16"/>
              </w:rPr>
            </w:pPr>
            <w:r w:rsidRPr="00913CCF">
              <w:rPr>
                <w:rFonts w:eastAsia="Times New Roman" w:cs="Calibri"/>
                <w:b/>
                <w:bCs/>
                <w:color w:val="000000"/>
                <w:sz w:val="16"/>
                <w:szCs w:val="16"/>
              </w:rPr>
              <w:t> </w:t>
            </w:r>
          </w:p>
        </w:tc>
        <w:tc>
          <w:tcPr>
            <w:tcW w:w="632" w:type="dxa"/>
            <w:tcBorders>
              <w:top w:val="nil"/>
              <w:left w:val="nil"/>
              <w:bottom w:val="double" w:sz="6" w:space="0" w:color="auto"/>
              <w:right w:val="single" w:sz="8" w:space="0" w:color="auto"/>
            </w:tcBorders>
            <w:shd w:val="clear" w:color="auto" w:fill="auto"/>
            <w:vAlign w:val="center"/>
            <w:hideMark/>
          </w:tcPr>
          <w:p w14:paraId="1B0D28FE" w14:textId="77777777" w:rsidR="004205FD" w:rsidRPr="00913CCF" w:rsidRDefault="004205FD" w:rsidP="004205FD">
            <w:pPr>
              <w:spacing w:after="0"/>
              <w:jc w:val="center"/>
              <w:rPr>
                <w:rFonts w:eastAsia="Times New Roman" w:cs="Calibri"/>
                <w:b/>
                <w:bCs/>
                <w:color w:val="000000"/>
                <w:sz w:val="16"/>
                <w:szCs w:val="16"/>
              </w:rPr>
            </w:pPr>
            <w:r w:rsidRPr="00913CCF">
              <w:rPr>
                <w:rFonts w:eastAsia="Times New Roman" w:cs="Calibri"/>
                <w:b/>
                <w:bCs/>
                <w:color w:val="000000"/>
                <w:sz w:val="16"/>
                <w:szCs w:val="16"/>
              </w:rPr>
              <w:t> </w:t>
            </w:r>
          </w:p>
        </w:tc>
        <w:tc>
          <w:tcPr>
            <w:tcW w:w="901" w:type="dxa"/>
            <w:tcBorders>
              <w:top w:val="nil"/>
              <w:left w:val="nil"/>
              <w:bottom w:val="double" w:sz="6" w:space="0" w:color="auto"/>
              <w:right w:val="single" w:sz="8" w:space="0" w:color="auto"/>
            </w:tcBorders>
            <w:shd w:val="clear" w:color="auto" w:fill="auto"/>
            <w:noWrap/>
            <w:vAlign w:val="center"/>
            <w:hideMark/>
          </w:tcPr>
          <w:p w14:paraId="62EA655F" w14:textId="77777777" w:rsidR="004205FD" w:rsidRPr="00913CCF" w:rsidRDefault="004205FD" w:rsidP="004205FD">
            <w:pPr>
              <w:spacing w:after="0"/>
              <w:jc w:val="center"/>
              <w:rPr>
                <w:rFonts w:eastAsia="Times New Roman" w:cs="Calibri"/>
                <w:color w:val="000000"/>
                <w:sz w:val="16"/>
                <w:szCs w:val="16"/>
              </w:rPr>
            </w:pPr>
            <w:r w:rsidRPr="00913CCF">
              <w:rPr>
                <w:rFonts w:eastAsia="Times New Roman" w:cs="Calibri"/>
                <w:color w:val="000000"/>
                <w:sz w:val="16"/>
                <w:szCs w:val="16"/>
              </w:rPr>
              <w:t> </w:t>
            </w:r>
          </w:p>
        </w:tc>
        <w:tc>
          <w:tcPr>
            <w:tcW w:w="1186" w:type="dxa"/>
            <w:tcBorders>
              <w:top w:val="nil"/>
              <w:left w:val="nil"/>
              <w:bottom w:val="double" w:sz="6" w:space="0" w:color="auto"/>
              <w:right w:val="single" w:sz="8" w:space="0" w:color="auto"/>
            </w:tcBorders>
            <w:shd w:val="clear" w:color="auto" w:fill="auto"/>
            <w:vAlign w:val="center"/>
            <w:hideMark/>
          </w:tcPr>
          <w:p w14:paraId="553FEA31" w14:textId="77777777" w:rsidR="004205FD" w:rsidRPr="00913CCF" w:rsidRDefault="004205FD" w:rsidP="004205FD">
            <w:pPr>
              <w:spacing w:after="0"/>
              <w:jc w:val="left"/>
              <w:rPr>
                <w:rFonts w:eastAsia="Times New Roman" w:cs="Calibri"/>
                <w:b/>
                <w:bCs/>
                <w:color w:val="000000"/>
                <w:sz w:val="16"/>
                <w:szCs w:val="16"/>
              </w:rPr>
            </w:pPr>
            <w:r w:rsidRPr="00913CCF">
              <w:rPr>
                <w:rFonts w:eastAsia="Times New Roman" w:cs="Calibri"/>
                <w:b/>
                <w:bCs/>
                <w:color w:val="000000"/>
                <w:sz w:val="16"/>
                <w:szCs w:val="16"/>
              </w:rPr>
              <w:t>Total Management</w:t>
            </w:r>
          </w:p>
        </w:tc>
        <w:tc>
          <w:tcPr>
            <w:tcW w:w="1155" w:type="dxa"/>
            <w:tcBorders>
              <w:top w:val="nil"/>
              <w:left w:val="nil"/>
              <w:bottom w:val="double" w:sz="6" w:space="0" w:color="auto"/>
              <w:right w:val="single" w:sz="8" w:space="0" w:color="auto"/>
            </w:tcBorders>
            <w:shd w:val="clear" w:color="auto" w:fill="auto"/>
            <w:noWrap/>
            <w:vAlign w:val="center"/>
            <w:hideMark/>
          </w:tcPr>
          <w:p w14:paraId="10083D3C" w14:textId="19E50B6D" w:rsidR="004205FD" w:rsidRPr="00EF6D8E" w:rsidRDefault="004205FD" w:rsidP="004205FD">
            <w:pPr>
              <w:spacing w:after="0"/>
              <w:jc w:val="center"/>
              <w:rPr>
                <w:rFonts w:eastAsia="Times New Roman" w:cs="Calibri"/>
                <w:b/>
                <w:bCs/>
                <w:color w:val="000000"/>
                <w:sz w:val="16"/>
                <w:szCs w:val="16"/>
              </w:rPr>
            </w:pPr>
            <w:r w:rsidRPr="00EF6D8E">
              <w:rPr>
                <w:rFonts w:eastAsia="Times New Roman" w:cs="Calibri"/>
                <w:b/>
                <w:bCs/>
                <w:color w:val="000000"/>
                <w:sz w:val="16"/>
                <w:szCs w:val="16"/>
              </w:rPr>
              <w:t>62,550</w:t>
            </w:r>
          </w:p>
        </w:tc>
        <w:tc>
          <w:tcPr>
            <w:tcW w:w="1010" w:type="dxa"/>
            <w:tcBorders>
              <w:top w:val="nil"/>
              <w:left w:val="nil"/>
              <w:bottom w:val="double" w:sz="6" w:space="0" w:color="auto"/>
              <w:right w:val="single" w:sz="8" w:space="0" w:color="auto"/>
            </w:tcBorders>
            <w:shd w:val="clear" w:color="auto" w:fill="auto"/>
            <w:noWrap/>
            <w:vAlign w:val="center"/>
            <w:hideMark/>
          </w:tcPr>
          <w:p w14:paraId="2721DBB3" w14:textId="3D8DFBEE" w:rsidR="004205FD" w:rsidRPr="00EF6D8E" w:rsidRDefault="004205FD" w:rsidP="004205FD">
            <w:pPr>
              <w:spacing w:after="0"/>
              <w:jc w:val="center"/>
              <w:rPr>
                <w:rFonts w:eastAsia="Times New Roman" w:cs="Calibri"/>
                <w:b/>
                <w:bCs/>
                <w:color w:val="000000"/>
                <w:sz w:val="16"/>
                <w:szCs w:val="16"/>
              </w:rPr>
            </w:pPr>
            <w:r w:rsidRPr="00EF6D8E">
              <w:rPr>
                <w:rFonts w:eastAsia="Times New Roman" w:cs="Calibri"/>
                <w:b/>
                <w:bCs/>
                <w:color w:val="000000"/>
                <w:sz w:val="16"/>
                <w:szCs w:val="16"/>
              </w:rPr>
              <w:t>51,600</w:t>
            </w:r>
          </w:p>
        </w:tc>
        <w:tc>
          <w:tcPr>
            <w:tcW w:w="938" w:type="dxa"/>
            <w:tcBorders>
              <w:top w:val="nil"/>
              <w:left w:val="nil"/>
              <w:bottom w:val="double" w:sz="6" w:space="0" w:color="auto"/>
              <w:right w:val="single" w:sz="8" w:space="0" w:color="auto"/>
            </w:tcBorders>
            <w:shd w:val="clear" w:color="auto" w:fill="auto"/>
            <w:noWrap/>
            <w:vAlign w:val="center"/>
            <w:hideMark/>
          </w:tcPr>
          <w:p w14:paraId="58F61EA5" w14:textId="2281EC34" w:rsidR="004205FD" w:rsidRPr="00EF6D8E" w:rsidRDefault="004205FD" w:rsidP="004205FD">
            <w:pPr>
              <w:spacing w:after="0"/>
              <w:jc w:val="center"/>
              <w:rPr>
                <w:rFonts w:eastAsia="Times New Roman" w:cs="Calibri"/>
                <w:b/>
                <w:bCs/>
                <w:color w:val="000000"/>
                <w:sz w:val="16"/>
                <w:szCs w:val="16"/>
              </w:rPr>
            </w:pPr>
            <w:r w:rsidRPr="00EF6D8E">
              <w:rPr>
                <w:rFonts w:eastAsia="Times New Roman" w:cs="Calibri"/>
                <w:b/>
                <w:bCs/>
                <w:color w:val="000000"/>
                <w:sz w:val="16"/>
                <w:szCs w:val="16"/>
              </w:rPr>
              <w:t>51,600</w:t>
            </w:r>
          </w:p>
        </w:tc>
        <w:tc>
          <w:tcPr>
            <w:tcW w:w="938" w:type="dxa"/>
            <w:tcBorders>
              <w:top w:val="nil"/>
              <w:left w:val="nil"/>
              <w:bottom w:val="double" w:sz="6" w:space="0" w:color="auto"/>
              <w:right w:val="single" w:sz="8" w:space="0" w:color="auto"/>
            </w:tcBorders>
            <w:shd w:val="clear" w:color="auto" w:fill="auto"/>
            <w:noWrap/>
            <w:vAlign w:val="center"/>
            <w:hideMark/>
          </w:tcPr>
          <w:p w14:paraId="750277C1" w14:textId="733EF416" w:rsidR="004205FD" w:rsidRPr="00EF6D8E" w:rsidRDefault="004205FD" w:rsidP="004205FD">
            <w:pPr>
              <w:spacing w:after="0"/>
              <w:jc w:val="center"/>
              <w:rPr>
                <w:rFonts w:eastAsia="Times New Roman" w:cs="Calibri"/>
                <w:b/>
                <w:bCs/>
                <w:color w:val="000000"/>
                <w:sz w:val="16"/>
                <w:szCs w:val="16"/>
              </w:rPr>
            </w:pPr>
            <w:r w:rsidRPr="00EF6D8E">
              <w:rPr>
                <w:rFonts w:eastAsia="Times New Roman" w:cs="Calibri"/>
                <w:b/>
                <w:bCs/>
                <w:color w:val="000000"/>
                <w:sz w:val="16"/>
                <w:szCs w:val="16"/>
              </w:rPr>
              <w:t>33,600</w:t>
            </w:r>
          </w:p>
        </w:tc>
        <w:tc>
          <w:tcPr>
            <w:tcW w:w="938" w:type="dxa"/>
            <w:tcBorders>
              <w:top w:val="nil"/>
              <w:left w:val="nil"/>
              <w:bottom w:val="double" w:sz="6" w:space="0" w:color="auto"/>
              <w:right w:val="single" w:sz="8" w:space="0" w:color="auto"/>
            </w:tcBorders>
            <w:shd w:val="clear" w:color="auto" w:fill="auto"/>
            <w:noWrap/>
            <w:vAlign w:val="center"/>
            <w:hideMark/>
          </w:tcPr>
          <w:p w14:paraId="7AB922D1" w14:textId="3F477B4A" w:rsidR="004205FD" w:rsidRPr="00EF6D8E" w:rsidRDefault="004205FD" w:rsidP="004205FD">
            <w:pPr>
              <w:spacing w:after="0"/>
              <w:jc w:val="center"/>
              <w:rPr>
                <w:rFonts w:eastAsia="Times New Roman" w:cs="Calibri"/>
                <w:b/>
                <w:bCs/>
                <w:color w:val="000000"/>
                <w:sz w:val="16"/>
                <w:szCs w:val="16"/>
              </w:rPr>
            </w:pPr>
            <w:r w:rsidRPr="00EF6D8E">
              <w:rPr>
                <w:rFonts w:eastAsia="Times New Roman" w:cs="Calibri"/>
                <w:b/>
                <w:bCs/>
                <w:color w:val="000000"/>
                <w:sz w:val="16"/>
                <w:szCs w:val="16"/>
              </w:rPr>
              <w:t>33,600</w:t>
            </w:r>
          </w:p>
        </w:tc>
        <w:tc>
          <w:tcPr>
            <w:tcW w:w="938" w:type="dxa"/>
            <w:tcBorders>
              <w:top w:val="nil"/>
              <w:left w:val="nil"/>
              <w:bottom w:val="double" w:sz="6" w:space="0" w:color="auto"/>
              <w:right w:val="single" w:sz="8" w:space="0" w:color="auto"/>
            </w:tcBorders>
            <w:shd w:val="clear" w:color="auto" w:fill="auto"/>
            <w:vAlign w:val="center"/>
            <w:hideMark/>
          </w:tcPr>
          <w:p w14:paraId="2B79A7EF" w14:textId="0F50F673" w:rsidR="004205FD" w:rsidRPr="00EF6D8E" w:rsidRDefault="004205FD" w:rsidP="004205FD">
            <w:pPr>
              <w:spacing w:after="0"/>
              <w:jc w:val="center"/>
              <w:rPr>
                <w:rFonts w:eastAsia="Times New Roman" w:cs="Calibri"/>
                <w:b/>
                <w:bCs/>
                <w:color w:val="000000"/>
                <w:sz w:val="16"/>
                <w:szCs w:val="16"/>
              </w:rPr>
            </w:pPr>
            <w:r w:rsidRPr="00EF6D8E">
              <w:rPr>
                <w:rFonts w:eastAsia="Times New Roman" w:cs="Calibri"/>
                <w:b/>
                <w:bCs/>
                <w:color w:val="000000"/>
                <w:sz w:val="16"/>
                <w:szCs w:val="16"/>
              </w:rPr>
              <w:t>13,602</w:t>
            </w:r>
          </w:p>
        </w:tc>
        <w:tc>
          <w:tcPr>
            <w:tcW w:w="1372" w:type="dxa"/>
            <w:tcBorders>
              <w:top w:val="nil"/>
              <w:left w:val="nil"/>
              <w:bottom w:val="double" w:sz="6" w:space="0" w:color="auto"/>
              <w:right w:val="single" w:sz="8" w:space="0" w:color="auto"/>
            </w:tcBorders>
            <w:shd w:val="clear" w:color="auto" w:fill="auto"/>
            <w:noWrap/>
            <w:vAlign w:val="center"/>
            <w:hideMark/>
          </w:tcPr>
          <w:p w14:paraId="752C46F9" w14:textId="77777777" w:rsidR="004205FD" w:rsidRPr="00913CCF" w:rsidRDefault="004205FD" w:rsidP="004205FD">
            <w:pPr>
              <w:spacing w:after="0"/>
              <w:jc w:val="center"/>
              <w:rPr>
                <w:rFonts w:eastAsia="Times New Roman" w:cs="Calibri"/>
                <w:b/>
                <w:bCs/>
                <w:color w:val="000000"/>
                <w:sz w:val="16"/>
                <w:szCs w:val="16"/>
              </w:rPr>
            </w:pPr>
            <w:r w:rsidRPr="00913CCF">
              <w:rPr>
                <w:rFonts w:eastAsia="Times New Roman" w:cs="Calibri"/>
                <w:b/>
                <w:bCs/>
                <w:color w:val="000000"/>
                <w:sz w:val="16"/>
                <w:szCs w:val="16"/>
              </w:rPr>
              <w:t>246,552</w:t>
            </w:r>
          </w:p>
        </w:tc>
        <w:tc>
          <w:tcPr>
            <w:tcW w:w="690" w:type="dxa"/>
            <w:tcBorders>
              <w:top w:val="nil"/>
              <w:left w:val="nil"/>
              <w:bottom w:val="double" w:sz="6" w:space="0" w:color="auto"/>
              <w:right w:val="single" w:sz="8" w:space="0" w:color="auto"/>
            </w:tcBorders>
            <w:shd w:val="clear" w:color="auto" w:fill="auto"/>
            <w:vAlign w:val="center"/>
            <w:hideMark/>
          </w:tcPr>
          <w:p w14:paraId="3EABC5C7" w14:textId="77777777" w:rsidR="004205FD" w:rsidRPr="00913CCF" w:rsidRDefault="004205FD" w:rsidP="004205FD">
            <w:pPr>
              <w:spacing w:after="0"/>
              <w:jc w:val="center"/>
              <w:rPr>
                <w:rFonts w:eastAsia="Times New Roman" w:cs="Calibri"/>
                <w:color w:val="000000"/>
                <w:sz w:val="16"/>
                <w:szCs w:val="16"/>
              </w:rPr>
            </w:pPr>
            <w:r w:rsidRPr="00913CCF">
              <w:rPr>
                <w:rFonts w:eastAsia="Times New Roman" w:cs="Calibri"/>
                <w:color w:val="000000"/>
                <w:sz w:val="16"/>
                <w:szCs w:val="16"/>
              </w:rPr>
              <w:t> </w:t>
            </w:r>
          </w:p>
        </w:tc>
      </w:tr>
      <w:tr w:rsidR="004205FD" w:rsidRPr="004320B0" w14:paraId="61FC43AE" w14:textId="77777777" w:rsidTr="004205FD">
        <w:trPr>
          <w:trHeight w:val="300"/>
        </w:trPr>
        <w:tc>
          <w:tcPr>
            <w:tcW w:w="1354" w:type="dxa"/>
            <w:tcBorders>
              <w:top w:val="nil"/>
              <w:left w:val="double" w:sz="6" w:space="0" w:color="auto"/>
              <w:bottom w:val="double" w:sz="6" w:space="0" w:color="auto"/>
              <w:right w:val="nil"/>
            </w:tcBorders>
            <w:shd w:val="clear" w:color="auto" w:fill="auto"/>
            <w:noWrap/>
            <w:vAlign w:val="center"/>
            <w:hideMark/>
          </w:tcPr>
          <w:p w14:paraId="4FAE0FEB" w14:textId="77777777" w:rsidR="004205FD" w:rsidRPr="00913CCF" w:rsidRDefault="004205FD" w:rsidP="004205FD">
            <w:pPr>
              <w:spacing w:after="0"/>
              <w:rPr>
                <w:rFonts w:eastAsia="Times New Roman" w:cs="Calibri"/>
                <w:color w:val="000000"/>
                <w:sz w:val="16"/>
                <w:szCs w:val="16"/>
              </w:rPr>
            </w:pPr>
            <w:r w:rsidRPr="00913CCF">
              <w:rPr>
                <w:rFonts w:eastAsia="Times New Roman" w:cs="Calibri"/>
                <w:color w:val="000000"/>
                <w:sz w:val="16"/>
                <w:szCs w:val="16"/>
              </w:rPr>
              <w:t> </w:t>
            </w:r>
          </w:p>
        </w:tc>
        <w:tc>
          <w:tcPr>
            <w:tcW w:w="1266" w:type="dxa"/>
            <w:tcBorders>
              <w:top w:val="nil"/>
              <w:left w:val="nil"/>
              <w:bottom w:val="double" w:sz="6" w:space="0" w:color="auto"/>
              <w:right w:val="nil"/>
            </w:tcBorders>
            <w:shd w:val="clear" w:color="auto" w:fill="auto"/>
            <w:vAlign w:val="center"/>
            <w:hideMark/>
          </w:tcPr>
          <w:p w14:paraId="63A593F1" w14:textId="77777777" w:rsidR="004205FD" w:rsidRPr="00913CCF" w:rsidRDefault="004205FD" w:rsidP="004205FD">
            <w:pPr>
              <w:spacing w:after="0"/>
              <w:rPr>
                <w:rFonts w:eastAsia="Times New Roman" w:cs="Calibri"/>
                <w:b/>
                <w:bCs/>
                <w:color w:val="000000"/>
                <w:sz w:val="16"/>
                <w:szCs w:val="16"/>
              </w:rPr>
            </w:pPr>
            <w:r w:rsidRPr="00913CCF">
              <w:rPr>
                <w:rFonts w:eastAsia="Times New Roman" w:cs="Calibri"/>
                <w:b/>
                <w:bCs/>
                <w:color w:val="000000"/>
                <w:sz w:val="16"/>
                <w:szCs w:val="16"/>
              </w:rPr>
              <w:t> </w:t>
            </w:r>
          </w:p>
        </w:tc>
        <w:tc>
          <w:tcPr>
            <w:tcW w:w="622" w:type="dxa"/>
            <w:tcBorders>
              <w:top w:val="nil"/>
              <w:left w:val="nil"/>
              <w:bottom w:val="double" w:sz="6" w:space="0" w:color="auto"/>
              <w:right w:val="nil"/>
            </w:tcBorders>
            <w:shd w:val="clear" w:color="auto" w:fill="auto"/>
            <w:vAlign w:val="center"/>
            <w:hideMark/>
          </w:tcPr>
          <w:p w14:paraId="62298221" w14:textId="77777777" w:rsidR="004205FD" w:rsidRPr="00913CCF" w:rsidRDefault="004205FD" w:rsidP="004205FD">
            <w:pPr>
              <w:spacing w:after="0"/>
              <w:jc w:val="center"/>
              <w:rPr>
                <w:rFonts w:eastAsia="Times New Roman" w:cs="Calibri"/>
                <w:b/>
                <w:bCs/>
                <w:color w:val="000000"/>
                <w:sz w:val="16"/>
                <w:szCs w:val="16"/>
              </w:rPr>
            </w:pPr>
            <w:r w:rsidRPr="00913CCF">
              <w:rPr>
                <w:rFonts w:eastAsia="Times New Roman" w:cs="Calibri"/>
                <w:b/>
                <w:bCs/>
                <w:color w:val="000000"/>
                <w:sz w:val="16"/>
                <w:szCs w:val="16"/>
              </w:rPr>
              <w:t> </w:t>
            </w:r>
          </w:p>
        </w:tc>
        <w:tc>
          <w:tcPr>
            <w:tcW w:w="632" w:type="dxa"/>
            <w:tcBorders>
              <w:top w:val="nil"/>
              <w:left w:val="nil"/>
              <w:bottom w:val="double" w:sz="6" w:space="0" w:color="auto"/>
              <w:right w:val="nil"/>
            </w:tcBorders>
            <w:shd w:val="clear" w:color="auto" w:fill="auto"/>
            <w:vAlign w:val="center"/>
            <w:hideMark/>
          </w:tcPr>
          <w:p w14:paraId="6D72164F" w14:textId="77777777" w:rsidR="004205FD" w:rsidRPr="00913CCF" w:rsidRDefault="004205FD" w:rsidP="004205FD">
            <w:pPr>
              <w:spacing w:after="0"/>
              <w:jc w:val="center"/>
              <w:rPr>
                <w:rFonts w:eastAsia="Times New Roman" w:cs="Calibri"/>
                <w:b/>
                <w:bCs/>
                <w:color w:val="000000"/>
                <w:sz w:val="16"/>
                <w:szCs w:val="16"/>
              </w:rPr>
            </w:pPr>
            <w:r w:rsidRPr="00913CCF">
              <w:rPr>
                <w:rFonts w:eastAsia="Times New Roman" w:cs="Calibri"/>
                <w:b/>
                <w:bCs/>
                <w:color w:val="000000"/>
                <w:sz w:val="16"/>
                <w:szCs w:val="16"/>
              </w:rPr>
              <w:t> </w:t>
            </w:r>
          </w:p>
        </w:tc>
        <w:tc>
          <w:tcPr>
            <w:tcW w:w="2087" w:type="dxa"/>
            <w:gridSpan w:val="2"/>
            <w:tcBorders>
              <w:top w:val="double" w:sz="6" w:space="0" w:color="auto"/>
              <w:left w:val="nil"/>
              <w:bottom w:val="double" w:sz="6" w:space="0" w:color="auto"/>
              <w:right w:val="single" w:sz="8" w:space="0" w:color="000000"/>
            </w:tcBorders>
            <w:shd w:val="clear" w:color="auto" w:fill="auto"/>
            <w:noWrap/>
            <w:vAlign w:val="center"/>
            <w:hideMark/>
          </w:tcPr>
          <w:p w14:paraId="4CCECB3C" w14:textId="77777777" w:rsidR="004205FD" w:rsidRPr="00913CCF" w:rsidRDefault="004205FD" w:rsidP="004205FD">
            <w:pPr>
              <w:spacing w:after="0"/>
              <w:jc w:val="right"/>
              <w:rPr>
                <w:rFonts w:eastAsia="Times New Roman" w:cs="Calibri"/>
                <w:b/>
                <w:bCs/>
                <w:color w:val="000000"/>
                <w:sz w:val="16"/>
                <w:szCs w:val="16"/>
              </w:rPr>
            </w:pPr>
            <w:r w:rsidRPr="00913CCF">
              <w:rPr>
                <w:rFonts w:eastAsia="Times New Roman" w:cs="Calibri"/>
                <w:b/>
                <w:bCs/>
                <w:color w:val="000000"/>
                <w:sz w:val="16"/>
                <w:szCs w:val="16"/>
              </w:rPr>
              <w:t xml:space="preserve">TOTAL PROJECT </w:t>
            </w:r>
          </w:p>
        </w:tc>
        <w:tc>
          <w:tcPr>
            <w:tcW w:w="1155" w:type="dxa"/>
            <w:tcBorders>
              <w:top w:val="nil"/>
              <w:left w:val="nil"/>
              <w:bottom w:val="double" w:sz="6" w:space="0" w:color="auto"/>
              <w:right w:val="single" w:sz="8" w:space="0" w:color="auto"/>
            </w:tcBorders>
            <w:shd w:val="clear" w:color="auto" w:fill="auto"/>
            <w:noWrap/>
            <w:vAlign w:val="center"/>
            <w:hideMark/>
          </w:tcPr>
          <w:p w14:paraId="3457A46C" w14:textId="3F56C454" w:rsidR="004205FD" w:rsidRPr="006835AE" w:rsidRDefault="004205FD" w:rsidP="004205FD">
            <w:pPr>
              <w:spacing w:after="0"/>
              <w:jc w:val="center"/>
              <w:rPr>
                <w:rFonts w:eastAsia="Times New Roman" w:cs="Calibri"/>
                <w:b/>
                <w:bCs/>
                <w:color w:val="000000"/>
                <w:sz w:val="16"/>
                <w:szCs w:val="16"/>
                <w:highlight w:val="green"/>
              </w:rPr>
            </w:pPr>
            <w:r w:rsidRPr="006835AE">
              <w:rPr>
                <w:rFonts w:eastAsia="Times New Roman" w:cs="Calibri"/>
                <w:b/>
                <w:bCs/>
                <w:color w:val="000000"/>
                <w:sz w:val="16"/>
                <w:szCs w:val="16"/>
                <w:highlight w:val="green"/>
              </w:rPr>
              <w:t>920,978</w:t>
            </w:r>
          </w:p>
        </w:tc>
        <w:tc>
          <w:tcPr>
            <w:tcW w:w="1010" w:type="dxa"/>
            <w:tcBorders>
              <w:top w:val="nil"/>
              <w:left w:val="nil"/>
              <w:bottom w:val="double" w:sz="6" w:space="0" w:color="auto"/>
              <w:right w:val="single" w:sz="8" w:space="0" w:color="auto"/>
            </w:tcBorders>
            <w:shd w:val="clear" w:color="auto" w:fill="auto"/>
            <w:noWrap/>
            <w:vAlign w:val="center"/>
            <w:hideMark/>
          </w:tcPr>
          <w:p w14:paraId="214BA518" w14:textId="3CCF6B22" w:rsidR="004205FD" w:rsidRPr="006835AE" w:rsidRDefault="004205FD" w:rsidP="004205FD">
            <w:pPr>
              <w:spacing w:after="0"/>
              <w:jc w:val="center"/>
              <w:rPr>
                <w:rFonts w:eastAsia="Times New Roman" w:cs="Calibri"/>
                <w:b/>
                <w:bCs/>
                <w:color w:val="000000"/>
                <w:sz w:val="16"/>
                <w:szCs w:val="16"/>
                <w:highlight w:val="green"/>
              </w:rPr>
            </w:pPr>
            <w:r w:rsidRPr="006835AE">
              <w:rPr>
                <w:rFonts w:eastAsia="Times New Roman" w:cs="Calibri"/>
                <w:b/>
                <w:bCs/>
                <w:color w:val="000000"/>
                <w:sz w:val="16"/>
                <w:szCs w:val="16"/>
                <w:highlight w:val="green"/>
              </w:rPr>
              <w:t>964,790</w:t>
            </w:r>
          </w:p>
        </w:tc>
        <w:tc>
          <w:tcPr>
            <w:tcW w:w="938" w:type="dxa"/>
            <w:tcBorders>
              <w:top w:val="nil"/>
              <w:left w:val="nil"/>
              <w:bottom w:val="double" w:sz="6" w:space="0" w:color="auto"/>
              <w:right w:val="single" w:sz="8" w:space="0" w:color="auto"/>
            </w:tcBorders>
            <w:shd w:val="clear" w:color="auto" w:fill="auto"/>
            <w:noWrap/>
            <w:vAlign w:val="center"/>
            <w:hideMark/>
          </w:tcPr>
          <w:p w14:paraId="6E0945BC" w14:textId="4DDB3371" w:rsidR="004205FD" w:rsidRPr="006835AE" w:rsidRDefault="004205FD" w:rsidP="004205FD">
            <w:pPr>
              <w:spacing w:after="0"/>
              <w:jc w:val="center"/>
              <w:rPr>
                <w:rFonts w:eastAsia="Times New Roman" w:cs="Calibri"/>
                <w:b/>
                <w:bCs/>
                <w:color w:val="000000"/>
                <w:sz w:val="16"/>
                <w:szCs w:val="16"/>
                <w:highlight w:val="green"/>
              </w:rPr>
            </w:pPr>
            <w:r w:rsidRPr="006835AE">
              <w:rPr>
                <w:rFonts w:eastAsia="Times New Roman" w:cs="Calibri"/>
                <w:b/>
                <w:bCs/>
                <w:color w:val="000000"/>
                <w:sz w:val="16"/>
                <w:szCs w:val="16"/>
                <w:highlight w:val="green"/>
              </w:rPr>
              <w:t>1,678,780</w:t>
            </w:r>
          </w:p>
        </w:tc>
        <w:tc>
          <w:tcPr>
            <w:tcW w:w="938" w:type="dxa"/>
            <w:tcBorders>
              <w:top w:val="nil"/>
              <w:left w:val="nil"/>
              <w:bottom w:val="double" w:sz="6" w:space="0" w:color="auto"/>
              <w:right w:val="single" w:sz="8" w:space="0" w:color="auto"/>
            </w:tcBorders>
            <w:shd w:val="clear" w:color="auto" w:fill="auto"/>
            <w:noWrap/>
            <w:vAlign w:val="center"/>
            <w:hideMark/>
          </w:tcPr>
          <w:p w14:paraId="74C52A17" w14:textId="63C32BE1" w:rsidR="004205FD" w:rsidRPr="006835AE" w:rsidRDefault="004205FD" w:rsidP="004205FD">
            <w:pPr>
              <w:spacing w:after="0"/>
              <w:jc w:val="center"/>
              <w:rPr>
                <w:rFonts w:eastAsia="Times New Roman" w:cs="Calibri"/>
                <w:b/>
                <w:bCs/>
                <w:color w:val="000000"/>
                <w:sz w:val="16"/>
                <w:szCs w:val="16"/>
                <w:highlight w:val="green"/>
              </w:rPr>
            </w:pPr>
            <w:r w:rsidRPr="006835AE">
              <w:rPr>
                <w:rFonts w:eastAsia="Times New Roman" w:cs="Calibri"/>
                <w:b/>
                <w:bCs/>
                <w:color w:val="000000"/>
                <w:sz w:val="16"/>
                <w:szCs w:val="16"/>
                <w:highlight w:val="green"/>
              </w:rPr>
              <w:t>1,082,480</w:t>
            </w:r>
          </w:p>
        </w:tc>
        <w:tc>
          <w:tcPr>
            <w:tcW w:w="938" w:type="dxa"/>
            <w:tcBorders>
              <w:top w:val="nil"/>
              <w:left w:val="nil"/>
              <w:bottom w:val="double" w:sz="6" w:space="0" w:color="auto"/>
              <w:right w:val="single" w:sz="8" w:space="0" w:color="auto"/>
            </w:tcBorders>
            <w:shd w:val="clear" w:color="auto" w:fill="auto"/>
            <w:noWrap/>
            <w:vAlign w:val="center"/>
            <w:hideMark/>
          </w:tcPr>
          <w:p w14:paraId="4AECAAAB" w14:textId="64787078" w:rsidR="004205FD" w:rsidRPr="006835AE" w:rsidRDefault="004205FD" w:rsidP="004205FD">
            <w:pPr>
              <w:spacing w:after="0"/>
              <w:jc w:val="center"/>
              <w:rPr>
                <w:rFonts w:eastAsia="Times New Roman" w:cs="Calibri"/>
                <w:b/>
                <w:bCs/>
                <w:color w:val="000000"/>
                <w:sz w:val="16"/>
                <w:szCs w:val="16"/>
                <w:highlight w:val="green"/>
              </w:rPr>
            </w:pPr>
            <w:r w:rsidRPr="006835AE">
              <w:rPr>
                <w:rFonts w:eastAsia="Times New Roman" w:cs="Calibri"/>
                <w:b/>
                <w:bCs/>
                <w:color w:val="000000"/>
                <w:sz w:val="16"/>
                <w:szCs w:val="16"/>
                <w:highlight w:val="green"/>
              </w:rPr>
              <w:t>602,540</w:t>
            </w:r>
          </w:p>
        </w:tc>
        <w:tc>
          <w:tcPr>
            <w:tcW w:w="938" w:type="dxa"/>
            <w:tcBorders>
              <w:top w:val="nil"/>
              <w:left w:val="nil"/>
              <w:bottom w:val="double" w:sz="6" w:space="0" w:color="auto"/>
              <w:right w:val="single" w:sz="8" w:space="0" w:color="auto"/>
            </w:tcBorders>
            <w:shd w:val="clear" w:color="auto" w:fill="auto"/>
            <w:noWrap/>
            <w:vAlign w:val="center"/>
            <w:hideMark/>
          </w:tcPr>
          <w:p w14:paraId="745C34C4" w14:textId="14297BDC" w:rsidR="004205FD" w:rsidRPr="00EF6D8E" w:rsidRDefault="004205FD" w:rsidP="004205FD">
            <w:pPr>
              <w:spacing w:after="0"/>
              <w:jc w:val="center"/>
              <w:rPr>
                <w:rFonts w:eastAsia="Times New Roman" w:cs="Calibri"/>
                <w:b/>
                <w:bCs/>
                <w:color w:val="000000"/>
                <w:sz w:val="16"/>
                <w:szCs w:val="16"/>
              </w:rPr>
            </w:pPr>
            <w:r w:rsidRPr="00EF6D8E">
              <w:rPr>
                <w:rFonts w:eastAsia="Times New Roman" w:cs="Calibri"/>
                <w:b/>
                <w:bCs/>
                <w:color w:val="000000"/>
                <w:sz w:val="16"/>
                <w:szCs w:val="16"/>
              </w:rPr>
              <w:t>299,884</w:t>
            </w:r>
          </w:p>
        </w:tc>
        <w:tc>
          <w:tcPr>
            <w:tcW w:w="1372" w:type="dxa"/>
            <w:tcBorders>
              <w:top w:val="nil"/>
              <w:left w:val="nil"/>
              <w:bottom w:val="double" w:sz="6" w:space="0" w:color="auto"/>
              <w:right w:val="single" w:sz="8" w:space="0" w:color="auto"/>
            </w:tcBorders>
            <w:shd w:val="clear" w:color="auto" w:fill="auto"/>
            <w:noWrap/>
            <w:vAlign w:val="center"/>
            <w:hideMark/>
          </w:tcPr>
          <w:p w14:paraId="10612A75" w14:textId="77777777" w:rsidR="004205FD" w:rsidRPr="004320B0" w:rsidRDefault="004205FD" w:rsidP="004205FD">
            <w:pPr>
              <w:spacing w:after="0"/>
              <w:jc w:val="center"/>
              <w:rPr>
                <w:rFonts w:eastAsia="Times New Roman" w:cs="Calibri"/>
                <w:b/>
                <w:bCs/>
                <w:color w:val="000000"/>
                <w:sz w:val="16"/>
                <w:szCs w:val="16"/>
              </w:rPr>
            </w:pPr>
            <w:r w:rsidRPr="00913CCF">
              <w:rPr>
                <w:rFonts w:eastAsia="Times New Roman" w:cs="Calibri"/>
                <w:b/>
                <w:bCs/>
                <w:color w:val="000000"/>
                <w:sz w:val="16"/>
                <w:szCs w:val="16"/>
              </w:rPr>
              <w:t>5,549,452</w:t>
            </w:r>
          </w:p>
        </w:tc>
        <w:tc>
          <w:tcPr>
            <w:tcW w:w="690" w:type="dxa"/>
            <w:tcBorders>
              <w:top w:val="nil"/>
              <w:left w:val="nil"/>
              <w:bottom w:val="double" w:sz="6" w:space="0" w:color="auto"/>
              <w:right w:val="single" w:sz="8" w:space="0" w:color="auto"/>
            </w:tcBorders>
            <w:shd w:val="clear" w:color="auto" w:fill="auto"/>
            <w:vAlign w:val="center"/>
            <w:hideMark/>
          </w:tcPr>
          <w:p w14:paraId="7AA689AA" w14:textId="77777777" w:rsidR="004205FD" w:rsidRPr="004320B0" w:rsidRDefault="004205FD" w:rsidP="004205FD">
            <w:pPr>
              <w:spacing w:after="0"/>
              <w:jc w:val="left"/>
              <w:rPr>
                <w:rFonts w:eastAsia="Times New Roman" w:cs="Calibri"/>
                <w:color w:val="000000"/>
                <w:sz w:val="22"/>
                <w:szCs w:val="22"/>
              </w:rPr>
            </w:pPr>
            <w:r w:rsidRPr="004320B0">
              <w:rPr>
                <w:rFonts w:eastAsia="Times New Roman" w:cs="Calibri"/>
                <w:color w:val="000000"/>
                <w:sz w:val="22"/>
                <w:szCs w:val="22"/>
              </w:rPr>
              <w:t> </w:t>
            </w:r>
          </w:p>
        </w:tc>
      </w:tr>
    </w:tbl>
    <w:p w14:paraId="7E2B92F9" w14:textId="162D0E4F" w:rsidR="00302BFE" w:rsidRDefault="00302BFE" w:rsidP="00302BFE">
      <w:pPr>
        <w:rPr>
          <w:rFonts w:ascii="Times New Roman" w:hAnsi="Times New Roman"/>
          <w:sz w:val="18"/>
          <w:szCs w:val="18"/>
        </w:rPr>
      </w:pPr>
    </w:p>
    <w:p w14:paraId="13E796EF" w14:textId="1989C8EC" w:rsidR="004320B0" w:rsidRDefault="004320B0" w:rsidP="00302BFE">
      <w:pPr>
        <w:rPr>
          <w:rFonts w:ascii="Times New Roman" w:hAnsi="Times New Roman"/>
          <w:sz w:val="18"/>
          <w:szCs w:val="18"/>
        </w:rPr>
      </w:pPr>
    </w:p>
    <w:p w14:paraId="55EDCCEA" w14:textId="77777777" w:rsidR="004320B0" w:rsidRDefault="004320B0" w:rsidP="00302BFE">
      <w:pPr>
        <w:rPr>
          <w:rFonts w:ascii="Times New Roman" w:hAnsi="Times New Roman"/>
          <w:sz w:val="18"/>
          <w:szCs w:val="18"/>
        </w:rPr>
      </w:pPr>
    </w:p>
    <w:tbl>
      <w:tblPr>
        <w:tblW w:w="14034" w:type="dxa"/>
        <w:tblInd w:w="-34" w:type="dxa"/>
        <w:tblLayout w:type="fixed"/>
        <w:tblLook w:val="04A0" w:firstRow="1" w:lastRow="0" w:firstColumn="1" w:lastColumn="0" w:noHBand="0" w:noVBand="1"/>
      </w:tblPr>
      <w:tblGrid>
        <w:gridCol w:w="1135"/>
        <w:gridCol w:w="283"/>
        <w:gridCol w:w="4134"/>
        <w:gridCol w:w="1251"/>
        <w:gridCol w:w="1134"/>
        <w:gridCol w:w="1134"/>
        <w:gridCol w:w="1275"/>
        <w:gridCol w:w="1134"/>
        <w:gridCol w:w="1134"/>
        <w:gridCol w:w="1420"/>
      </w:tblGrid>
      <w:tr w:rsidR="00302BFE" w:rsidRPr="00B50655" w14:paraId="5D6603CA" w14:textId="77777777" w:rsidTr="00243B15">
        <w:trPr>
          <w:cantSplit/>
        </w:trPr>
        <w:tc>
          <w:tcPr>
            <w:tcW w:w="1135" w:type="dxa"/>
            <w:noWrap/>
            <w:vAlign w:val="bottom"/>
            <w:hideMark/>
          </w:tcPr>
          <w:p w14:paraId="68B25616" w14:textId="77777777" w:rsidR="00302BFE" w:rsidRPr="00B50655" w:rsidRDefault="00302BFE" w:rsidP="00243B15">
            <w:pPr>
              <w:rPr>
                <w:b/>
                <w:bCs/>
                <w:sz w:val="18"/>
                <w:szCs w:val="18"/>
              </w:rPr>
            </w:pPr>
            <w:bookmarkStart w:id="39" w:name="_Hlk45056117"/>
            <w:r w:rsidRPr="00B50655">
              <w:rPr>
                <w:b/>
                <w:sz w:val="18"/>
                <w:szCs w:val="18"/>
              </w:rPr>
              <w:t>Summary of funds:</w:t>
            </w:r>
            <w:r w:rsidRPr="00B50655">
              <w:rPr>
                <w:rStyle w:val="Appelnotedebasdep"/>
                <w:b/>
                <w:bCs/>
                <w:szCs w:val="18"/>
              </w:rPr>
              <w:t xml:space="preserve"> </w:t>
            </w:r>
            <w:r w:rsidRPr="00B50655">
              <w:rPr>
                <w:rStyle w:val="Appelnotedebasdep"/>
                <w:b/>
                <w:bCs/>
                <w:szCs w:val="18"/>
              </w:rPr>
              <w:footnoteReference w:id="80"/>
            </w:r>
          </w:p>
        </w:tc>
        <w:tc>
          <w:tcPr>
            <w:tcW w:w="4417" w:type="dxa"/>
            <w:gridSpan w:val="2"/>
            <w:vAlign w:val="bottom"/>
          </w:tcPr>
          <w:p w14:paraId="1C9D7F1C" w14:textId="77777777" w:rsidR="00302BFE" w:rsidRPr="00B50655" w:rsidRDefault="00302BFE" w:rsidP="00243B15">
            <w:pPr>
              <w:rPr>
                <w:b/>
                <w:bCs/>
                <w:sz w:val="18"/>
                <w:szCs w:val="18"/>
              </w:rPr>
            </w:pPr>
          </w:p>
        </w:tc>
        <w:tc>
          <w:tcPr>
            <w:tcW w:w="1251" w:type="dxa"/>
            <w:vAlign w:val="bottom"/>
          </w:tcPr>
          <w:p w14:paraId="612204F9" w14:textId="77777777" w:rsidR="00302BFE" w:rsidRPr="00B50655" w:rsidRDefault="00302BFE" w:rsidP="00243B15">
            <w:pPr>
              <w:rPr>
                <w:b/>
                <w:bCs/>
                <w:sz w:val="18"/>
                <w:szCs w:val="18"/>
              </w:rPr>
            </w:pPr>
          </w:p>
        </w:tc>
        <w:tc>
          <w:tcPr>
            <w:tcW w:w="1134" w:type="dxa"/>
            <w:vAlign w:val="bottom"/>
          </w:tcPr>
          <w:p w14:paraId="7125C050" w14:textId="77777777" w:rsidR="00302BFE" w:rsidRPr="00B50655" w:rsidRDefault="00302BFE" w:rsidP="00243B15">
            <w:pPr>
              <w:rPr>
                <w:b/>
                <w:bCs/>
                <w:sz w:val="18"/>
                <w:szCs w:val="18"/>
              </w:rPr>
            </w:pPr>
          </w:p>
        </w:tc>
        <w:tc>
          <w:tcPr>
            <w:tcW w:w="1134" w:type="dxa"/>
            <w:vAlign w:val="bottom"/>
          </w:tcPr>
          <w:p w14:paraId="504FA091" w14:textId="77777777" w:rsidR="00302BFE" w:rsidRPr="00B50655" w:rsidRDefault="00302BFE" w:rsidP="00243B15">
            <w:pPr>
              <w:rPr>
                <w:b/>
                <w:bCs/>
                <w:sz w:val="18"/>
                <w:szCs w:val="18"/>
              </w:rPr>
            </w:pPr>
          </w:p>
        </w:tc>
        <w:tc>
          <w:tcPr>
            <w:tcW w:w="1275" w:type="dxa"/>
          </w:tcPr>
          <w:p w14:paraId="19CFBCE9" w14:textId="77777777" w:rsidR="00302BFE" w:rsidRPr="00B50655" w:rsidRDefault="00302BFE" w:rsidP="00243B15">
            <w:pPr>
              <w:rPr>
                <w:b/>
                <w:bCs/>
                <w:sz w:val="18"/>
                <w:szCs w:val="18"/>
              </w:rPr>
            </w:pPr>
          </w:p>
        </w:tc>
        <w:tc>
          <w:tcPr>
            <w:tcW w:w="1134" w:type="dxa"/>
          </w:tcPr>
          <w:p w14:paraId="518EEF24" w14:textId="77777777" w:rsidR="00302BFE" w:rsidRPr="00B50655" w:rsidRDefault="00302BFE" w:rsidP="00243B15">
            <w:pPr>
              <w:rPr>
                <w:b/>
                <w:bCs/>
                <w:sz w:val="18"/>
                <w:szCs w:val="18"/>
              </w:rPr>
            </w:pPr>
          </w:p>
        </w:tc>
        <w:tc>
          <w:tcPr>
            <w:tcW w:w="1134" w:type="dxa"/>
            <w:vAlign w:val="bottom"/>
          </w:tcPr>
          <w:p w14:paraId="73791044" w14:textId="77777777" w:rsidR="00302BFE" w:rsidRPr="00B50655" w:rsidRDefault="00302BFE" w:rsidP="00243B15">
            <w:pPr>
              <w:rPr>
                <w:b/>
                <w:bCs/>
                <w:sz w:val="18"/>
                <w:szCs w:val="18"/>
              </w:rPr>
            </w:pPr>
          </w:p>
        </w:tc>
        <w:tc>
          <w:tcPr>
            <w:tcW w:w="1420" w:type="dxa"/>
            <w:vAlign w:val="bottom"/>
          </w:tcPr>
          <w:p w14:paraId="0671F8E4" w14:textId="77777777" w:rsidR="00302BFE" w:rsidRPr="00B50655" w:rsidRDefault="00302BFE" w:rsidP="00243B15">
            <w:pPr>
              <w:rPr>
                <w:b/>
                <w:bCs/>
                <w:sz w:val="18"/>
                <w:szCs w:val="18"/>
              </w:rPr>
            </w:pPr>
          </w:p>
        </w:tc>
      </w:tr>
      <w:tr w:rsidR="00302BFE" w:rsidRPr="00B50655" w14:paraId="62FC3A5B" w14:textId="77777777" w:rsidTr="00243B15">
        <w:trPr>
          <w:cantSplit/>
        </w:trPr>
        <w:tc>
          <w:tcPr>
            <w:tcW w:w="1135" w:type="dxa"/>
            <w:noWrap/>
            <w:vAlign w:val="bottom"/>
          </w:tcPr>
          <w:p w14:paraId="2DAC48BB" w14:textId="77777777" w:rsidR="00302BFE" w:rsidRPr="00B50655" w:rsidRDefault="00302BFE" w:rsidP="00243B15">
            <w:pPr>
              <w:rPr>
                <w:sz w:val="18"/>
                <w:szCs w:val="18"/>
              </w:rPr>
            </w:pPr>
          </w:p>
        </w:tc>
        <w:tc>
          <w:tcPr>
            <w:tcW w:w="283" w:type="dxa"/>
            <w:tcBorders>
              <w:top w:val="nil"/>
              <w:left w:val="nil"/>
              <w:bottom w:val="nil"/>
              <w:right w:val="single" w:sz="4" w:space="0" w:color="auto"/>
            </w:tcBorders>
            <w:noWrap/>
            <w:vAlign w:val="bottom"/>
          </w:tcPr>
          <w:p w14:paraId="456EFA6F" w14:textId="77777777" w:rsidR="00302BFE" w:rsidRPr="00B50655" w:rsidRDefault="00302BFE" w:rsidP="00243B15">
            <w:pPr>
              <w:rPr>
                <w:sz w:val="18"/>
                <w:szCs w:val="18"/>
              </w:rPr>
            </w:pPr>
          </w:p>
        </w:tc>
        <w:tc>
          <w:tcPr>
            <w:tcW w:w="4134" w:type="dxa"/>
            <w:tcBorders>
              <w:top w:val="single" w:sz="4" w:space="0" w:color="auto"/>
              <w:left w:val="single" w:sz="4" w:space="0" w:color="auto"/>
              <w:bottom w:val="single" w:sz="4" w:space="0" w:color="auto"/>
              <w:right w:val="single" w:sz="4" w:space="0" w:color="auto"/>
            </w:tcBorders>
            <w:noWrap/>
            <w:vAlign w:val="bottom"/>
          </w:tcPr>
          <w:p w14:paraId="4D8A5F9F" w14:textId="77777777" w:rsidR="00302BFE" w:rsidRPr="00B50655" w:rsidRDefault="00302BFE" w:rsidP="00243B15">
            <w:pPr>
              <w:jc w:val="center"/>
              <w:rPr>
                <w:sz w:val="18"/>
                <w:szCs w:val="18"/>
              </w:rPr>
            </w:pPr>
          </w:p>
        </w:tc>
        <w:tc>
          <w:tcPr>
            <w:tcW w:w="1251" w:type="dxa"/>
            <w:tcBorders>
              <w:top w:val="single" w:sz="4" w:space="0" w:color="auto"/>
              <w:left w:val="single" w:sz="4" w:space="0" w:color="auto"/>
              <w:bottom w:val="single" w:sz="4" w:space="0" w:color="auto"/>
              <w:right w:val="single" w:sz="4" w:space="0" w:color="auto"/>
            </w:tcBorders>
            <w:noWrap/>
            <w:vAlign w:val="bottom"/>
            <w:hideMark/>
          </w:tcPr>
          <w:p w14:paraId="508334CC" w14:textId="77777777" w:rsidR="00302BFE" w:rsidRPr="00B50655" w:rsidRDefault="00302BFE" w:rsidP="00243B15">
            <w:pPr>
              <w:spacing w:after="0"/>
              <w:jc w:val="center"/>
              <w:rPr>
                <w:b/>
                <w:sz w:val="18"/>
                <w:szCs w:val="18"/>
              </w:rPr>
            </w:pPr>
            <w:r w:rsidRPr="00B50655">
              <w:rPr>
                <w:b/>
                <w:sz w:val="18"/>
                <w:szCs w:val="18"/>
              </w:rPr>
              <w:t>Amount</w:t>
            </w:r>
          </w:p>
          <w:p w14:paraId="548D4E60" w14:textId="77777777" w:rsidR="00302BFE" w:rsidRPr="00B50655" w:rsidRDefault="00302BFE" w:rsidP="00243B15">
            <w:pPr>
              <w:spacing w:after="0"/>
              <w:jc w:val="center"/>
              <w:rPr>
                <w:b/>
                <w:sz w:val="18"/>
                <w:szCs w:val="18"/>
              </w:rPr>
            </w:pPr>
            <w:r w:rsidRPr="00B50655">
              <w:rPr>
                <w:b/>
                <w:sz w:val="18"/>
                <w:szCs w:val="18"/>
              </w:rPr>
              <w:t>Year 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4C0491AA" w14:textId="77777777" w:rsidR="00302BFE" w:rsidRPr="00B50655" w:rsidRDefault="00302BFE" w:rsidP="00243B15">
            <w:pPr>
              <w:spacing w:after="0"/>
              <w:jc w:val="center"/>
              <w:rPr>
                <w:b/>
                <w:sz w:val="18"/>
                <w:szCs w:val="18"/>
              </w:rPr>
            </w:pPr>
            <w:r w:rsidRPr="00B50655">
              <w:rPr>
                <w:b/>
                <w:sz w:val="18"/>
                <w:szCs w:val="18"/>
              </w:rPr>
              <w:t>Amount</w:t>
            </w:r>
          </w:p>
          <w:p w14:paraId="665509F6" w14:textId="77777777" w:rsidR="00302BFE" w:rsidRPr="00B50655" w:rsidRDefault="00302BFE" w:rsidP="00243B15">
            <w:pPr>
              <w:spacing w:after="0"/>
              <w:jc w:val="center"/>
              <w:rPr>
                <w:b/>
                <w:sz w:val="18"/>
                <w:szCs w:val="18"/>
              </w:rPr>
            </w:pPr>
            <w:r w:rsidRPr="00B50655">
              <w:rPr>
                <w:b/>
                <w:sz w:val="18"/>
                <w:szCs w:val="18"/>
              </w:rPr>
              <w:t>Year 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76C0F16" w14:textId="77777777" w:rsidR="00302BFE" w:rsidRPr="00B50655" w:rsidRDefault="00302BFE" w:rsidP="00243B15">
            <w:pPr>
              <w:spacing w:after="0"/>
              <w:jc w:val="center"/>
              <w:rPr>
                <w:b/>
                <w:sz w:val="18"/>
                <w:szCs w:val="18"/>
              </w:rPr>
            </w:pPr>
            <w:r w:rsidRPr="00B50655">
              <w:rPr>
                <w:b/>
                <w:sz w:val="18"/>
                <w:szCs w:val="18"/>
              </w:rPr>
              <w:t>Amount</w:t>
            </w:r>
          </w:p>
          <w:p w14:paraId="378BAE56" w14:textId="77777777" w:rsidR="00302BFE" w:rsidRPr="00B50655" w:rsidRDefault="00302BFE" w:rsidP="00243B15">
            <w:pPr>
              <w:spacing w:after="0"/>
              <w:jc w:val="center"/>
              <w:rPr>
                <w:b/>
                <w:sz w:val="18"/>
                <w:szCs w:val="18"/>
              </w:rPr>
            </w:pPr>
            <w:r w:rsidRPr="00B50655">
              <w:rPr>
                <w:b/>
                <w:sz w:val="18"/>
                <w:szCs w:val="18"/>
              </w:rPr>
              <w:t>Year 3</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04ABEFF0" w14:textId="77777777" w:rsidR="00302BFE" w:rsidRPr="00B50655" w:rsidRDefault="00302BFE" w:rsidP="00243B15">
            <w:pPr>
              <w:spacing w:after="0"/>
              <w:jc w:val="center"/>
              <w:rPr>
                <w:b/>
                <w:sz w:val="18"/>
                <w:szCs w:val="18"/>
              </w:rPr>
            </w:pPr>
            <w:r w:rsidRPr="00B50655">
              <w:rPr>
                <w:b/>
                <w:sz w:val="18"/>
                <w:szCs w:val="18"/>
              </w:rPr>
              <w:t>Amount</w:t>
            </w:r>
          </w:p>
          <w:p w14:paraId="532083BB" w14:textId="77777777" w:rsidR="00302BFE" w:rsidRPr="00B50655" w:rsidRDefault="00302BFE" w:rsidP="00243B15">
            <w:pPr>
              <w:spacing w:after="0"/>
              <w:jc w:val="center"/>
              <w:rPr>
                <w:b/>
                <w:sz w:val="18"/>
                <w:szCs w:val="18"/>
              </w:rPr>
            </w:pPr>
            <w:r w:rsidRPr="00B50655">
              <w:rPr>
                <w:b/>
                <w:sz w:val="18"/>
                <w:szCs w:val="18"/>
              </w:rPr>
              <w:t>Year 4</w:t>
            </w:r>
          </w:p>
        </w:tc>
        <w:tc>
          <w:tcPr>
            <w:tcW w:w="1134" w:type="dxa"/>
            <w:tcBorders>
              <w:top w:val="single" w:sz="4" w:space="0" w:color="auto"/>
              <w:left w:val="single" w:sz="4" w:space="0" w:color="auto"/>
              <w:bottom w:val="single" w:sz="4" w:space="0" w:color="auto"/>
              <w:right w:val="single" w:sz="4" w:space="0" w:color="auto"/>
            </w:tcBorders>
            <w:hideMark/>
          </w:tcPr>
          <w:p w14:paraId="216A89F5" w14:textId="77777777" w:rsidR="00302BFE" w:rsidRPr="00B50655" w:rsidRDefault="00302BFE" w:rsidP="00243B15">
            <w:pPr>
              <w:spacing w:after="0"/>
              <w:jc w:val="center"/>
              <w:rPr>
                <w:b/>
                <w:sz w:val="18"/>
                <w:szCs w:val="18"/>
              </w:rPr>
            </w:pPr>
            <w:r w:rsidRPr="00B50655">
              <w:rPr>
                <w:b/>
                <w:sz w:val="18"/>
                <w:szCs w:val="18"/>
              </w:rPr>
              <w:t>Amount</w:t>
            </w:r>
          </w:p>
          <w:p w14:paraId="0F3B3A7F" w14:textId="77777777" w:rsidR="00302BFE" w:rsidRPr="00B50655" w:rsidRDefault="00302BFE" w:rsidP="00243B15">
            <w:pPr>
              <w:spacing w:after="0"/>
              <w:jc w:val="center"/>
              <w:rPr>
                <w:b/>
                <w:sz w:val="18"/>
                <w:szCs w:val="18"/>
              </w:rPr>
            </w:pPr>
            <w:r w:rsidRPr="00B50655">
              <w:rPr>
                <w:b/>
                <w:sz w:val="18"/>
                <w:szCs w:val="18"/>
              </w:rPr>
              <w:t>Year 5</w:t>
            </w:r>
          </w:p>
        </w:tc>
        <w:tc>
          <w:tcPr>
            <w:tcW w:w="1134" w:type="dxa"/>
            <w:tcBorders>
              <w:top w:val="single" w:sz="4" w:space="0" w:color="auto"/>
              <w:left w:val="single" w:sz="4" w:space="0" w:color="auto"/>
              <w:bottom w:val="single" w:sz="4" w:space="0" w:color="auto"/>
              <w:right w:val="single" w:sz="4" w:space="0" w:color="auto"/>
            </w:tcBorders>
            <w:hideMark/>
          </w:tcPr>
          <w:p w14:paraId="6E3FE058" w14:textId="77777777" w:rsidR="00302BFE" w:rsidRPr="00B50655" w:rsidRDefault="00302BFE" w:rsidP="00243B15">
            <w:pPr>
              <w:spacing w:after="0"/>
              <w:jc w:val="center"/>
              <w:rPr>
                <w:b/>
                <w:sz w:val="18"/>
                <w:szCs w:val="18"/>
              </w:rPr>
            </w:pPr>
            <w:r w:rsidRPr="00B50655">
              <w:rPr>
                <w:b/>
                <w:sz w:val="18"/>
                <w:szCs w:val="18"/>
              </w:rPr>
              <w:t>Amount</w:t>
            </w:r>
          </w:p>
          <w:p w14:paraId="238E7161" w14:textId="77777777" w:rsidR="00302BFE" w:rsidRPr="00B50655" w:rsidRDefault="00302BFE" w:rsidP="00243B15">
            <w:pPr>
              <w:spacing w:after="0"/>
              <w:jc w:val="center"/>
              <w:rPr>
                <w:b/>
                <w:sz w:val="18"/>
                <w:szCs w:val="18"/>
              </w:rPr>
            </w:pPr>
            <w:r w:rsidRPr="00B50655">
              <w:rPr>
                <w:b/>
                <w:sz w:val="18"/>
                <w:szCs w:val="18"/>
              </w:rPr>
              <w:t>Year 6</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2AA04ED0" w14:textId="77777777" w:rsidR="00302BFE" w:rsidRPr="00B50655" w:rsidRDefault="00302BFE" w:rsidP="00243B15">
            <w:pPr>
              <w:spacing w:after="0"/>
              <w:jc w:val="center"/>
              <w:rPr>
                <w:b/>
                <w:sz w:val="18"/>
                <w:szCs w:val="18"/>
              </w:rPr>
            </w:pPr>
            <w:r w:rsidRPr="00B50655">
              <w:rPr>
                <w:b/>
                <w:sz w:val="18"/>
                <w:szCs w:val="18"/>
              </w:rPr>
              <w:t>Total</w:t>
            </w:r>
          </w:p>
        </w:tc>
      </w:tr>
      <w:tr w:rsidR="00302BFE" w:rsidRPr="00B50655" w14:paraId="6550B8F0" w14:textId="77777777" w:rsidTr="00243B15">
        <w:trPr>
          <w:cantSplit/>
        </w:trPr>
        <w:tc>
          <w:tcPr>
            <w:tcW w:w="1135" w:type="dxa"/>
            <w:noWrap/>
            <w:vAlign w:val="bottom"/>
          </w:tcPr>
          <w:p w14:paraId="0157A920" w14:textId="77777777" w:rsidR="00302BFE" w:rsidRPr="00B50655" w:rsidRDefault="00302BFE" w:rsidP="00243B15">
            <w:pPr>
              <w:rPr>
                <w:sz w:val="18"/>
                <w:szCs w:val="18"/>
              </w:rPr>
            </w:pPr>
          </w:p>
        </w:tc>
        <w:tc>
          <w:tcPr>
            <w:tcW w:w="283" w:type="dxa"/>
            <w:tcBorders>
              <w:top w:val="nil"/>
              <w:left w:val="nil"/>
              <w:bottom w:val="nil"/>
              <w:right w:val="single" w:sz="4" w:space="0" w:color="auto"/>
            </w:tcBorders>
            <w:noWrap/>
            <w:vAlign w:val="bottom"/>
          </w:tcPr>
          <w:p w14:paraId="1AFFF1F7" w14:textId="77777777" w:rsidR="00302BFE" w:rsidRPr="00B50655" w:rsidRDefault="00302BFE" w:rsidP="00243B15">
            <w:pPr>
              <w:rPr>
                <w:sz w:val="18"/>
                <w:szCs w:val="18"/>
              </w:rPr>
            </w:pPr>
          </w:p>
        </w:tc>
        <w:tc>
          <w:tcPr>
            <w:tcW w:w="4134" w:type="dxa"/>
            <w:tcBorders>
              <w:top w:val="single" w:sz="4" w:space="0" w:color="auto"/>
              <w:left w:val="single" w:sz="4" w:space="0" w:color="auto"/>
              <w:bottom w:val="single" w:sz="4" w:space="0" w:color="auto"/>
              <w:right w:val="single" w:sz="4" w:space="0" w:color="auto"/>
            </w:tcBorders>
            <w:noWrap/>
            <w:vAlign w:val="bottom"/>
            <w:hideMark/>
          </w:tcPr>
          <w:p w14:paraId="67F25331" w14:textId="77777777" w:rsidR="00302BFE" w:rsidRPr="00B50655" w:rsidRDefault="00302BFE" w:rsidP="00243B15">
            <w:pPr>
              <w:jc w:val="right"/>
              <w:rPr>
                <w:sz w:val="18"/>
                <w:szCs w:val="18"/>
              </w:rPr>
            </w:pPr>
            <w:r w:rsidRPr="00B50655">
              <w:rPr>
                <w:b/>
                <w:bCs/>
                <w:sz w:val="18"/>
                <w:szCs w:val="18"/>
              </w:rPr>
              <w:t>GEF</w:t>
            </w:r>
          </w:p>
        </w:tc>
        <w:tc>
          <w:tcPr>
            <w:tcW w:w="1251" w:type="dxa"/>
            <w:tcBorders>
              <w:top w:val="single" w:sz="4" w:space="0" w:color="auto"/>
              <w:left w:val="single" w:sz="4" w:space="0" w:color="auto"/>
              <w:bottom w:val="single" w:sz="4" w:space="0" w:color="auto"/>
              <w:right w:val="single" w:sz="4" w:space="0" w:color="auto"/>
            </w:tcBorders>
            <w:noWrap/>
            <w:vAlign w:val="bottom"/>
            <w:hideMark/>
          </w:tcPr>
          <w:p w14:paraId="566E6890" w14:textId="16815707" w:rsidR="00F83122" w:rsidRPr="00EF6D8E" w:rsidRDefault="00686A8D" w:rsidP="00243B15">
            <w:pPr>
              <w:jc w:val="center"/>
              <w:rPr>
                <w:sz w:val="18"/>
                <w:szCs w:val="18"/>
              </w:rPr>
            </w:pPr>
            <w:r w:rsidRPr="00EF6D8E">
              <w:rPr>
                <w:sz w:val="18"/>
                <w:szCs w:val="18"/>
              </w:rPr>
              <w:t>808</w:t>
            </w:r>
            <w:r w:rsidR="00F83122" w:rsidRPr="00EF6D8E">
              <w:rPr>
                <w:sz w:val="18"/>
                <w:szCs w:val="18"/>
              </w:rPr>
              <w:t>,978</w:t>
            </w:r>
            <w:r w:rsidR="0032232A" w:rsidRPr="00EF6D8E">
              <w:rPr>
                <w:sz w:val="18"/>
                <w:szCs w:val="18"/>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4AE31BB" w14:textId="0EDB37E2" w:rsidR="00F83122" w:rsidRPr="00EF6D8E" w:rsidRDefault="00686A8D" w:rsidP="00243B15">
            <w:pPr>
              <w:jc w:val="center"/>
              <w:rPr>
                <w:sz w:val="18"/>
                <w:szCs w:val="18"/>
              </w:rPr>
            </w:pPr>
            <w:r w:rsidRPr="00EF6D8E">
              <w:rPr>
                <w:sz w:val="18"/>
                <w:szCs w:val="18"/>
              </w:rPr>
              <w:t>928</w:t>
            </w:r>
            <w:r w:rsidR="00F83122" w:rsidRPr="00EF6D8E">
              <w:rPr>
                <w:sz w:val="18"/>
                <w:szCs w:val="18"/>
              </w:rPr>
              <w:t>,790</w:t>
            </w:r>
            <w:r w:rsidR="0032232A" w:rsidRPr="00EF6D8E">
              <w:rPr>
                <w:sz w:val="18"/>
                <w:szCs w:val="18"/>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9B6AF79" w14:textId="0AFB9679" w:rsidR="00F83122" w:rsidRPr="00EF6D8E" w:rsidRDefault="00F83122" w:rsidP="00243B15">
            <w:pPr>
              <w:jc w:val="center"/>
              <w:rPr>
                <w:sz w:val="18"/>
                <w:szCs w:val="18"/>
              </w:rPr>
            </w:pPr>
            <w:r w:rsidRPr="00EF6D8E">
              <w:rPr>
                <w:sz w:val="18"/>
                <w:szCs w:val="18"/>
              </w:rPr>
              <w:t>1,</w:t>
            </w:r>
            <w:r w:rsidR="00686A8D" w:rsidRPr="00EF6D8E">
              <w:rPr>
                <w:sz w:val="18"/>
                <w:szCs w:val="18"/>
              </w:rPr>
              <w:t>650</w:t>
            </w:r>
            <w:r w:rsidRPr="00EF6D8E">
              <w:rPr>
                <w:sz w:val="18"/>
                <w:szCs w:val="18"/>
              </w:rPr>
              <w:t>,780</w:t>
            </w:r>
            <w:r w:rsidR="0032232A" w:rsidRPr="00EF6D8E">
              <w:rPr>
                <w:sz w:val="18"/>
                <w:szCs w:val="18"/>
              </w:rPr>
              <w:t> $</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407674F2" w14:textId="70C84A5D" w:rsidR="00F83122" w:rsidRPr="00EF6D8E" w:rsidRDefault="00F83122" w:rsidP="00243B15">
            <w:pPr>
              <w:jc w:val="center"/>
              <w:rPr>
                <w:sz w:val="18"/>
                <w:szCs w:val="18"/>
              </w:rPr>
            </w:pPr>
            <w:r w:rsidRPr="00EF6D8E">
              <w:rPr>
                <w:sz w:val="18"/>
                <w:szCs w:val="18"/>
              </w:rPr>
              <w:t>1,</w:t>
            </w:r>
            <w:r w:rsidR="00686A8D" w:rsidRPr="00EF6D8E">
              <w:rPr>
                <w:sz w:val="18"/>
                <w:szCs w:val="18"/>
              </w:rPr>
              <w:t>054</w:t>
            </w:r>
            <w:r w:rsidRPr="00EF6D8E">
              <w:rPr>
                <w:sz w:val="18"/>
                <w:szCs w:val="18"/>
              </w:rPr>
              <w:t>,480</w:t>
            </w:r>
            <w:r w:rsidR="0032232A" w:rsidRPr="00EF6D8E">
              <w:rPr>
                <w:sz w:val="18"/>
                <w:szCs w:val="18"/>
              </w:rPr>
              <w:t> $</w:t>
            </w:r>
          </w:p>
        </w:tc>
        <w:tc>
          <w:tcPr>
            <w:tcW w:w="1134" w:type="dxa"/>
            <w:tcBorders>
              <w:top w:val="single" w:sz="4" w:space="0" w:color="auto"/>
              <w:left w:val="single" w:sz="4" w:space="0" w:color="auto"/>
              <w:bottom w:val="single" w:sz="4" w:space="0" w:color="auto"/>
              <w:right w:val="single" w:sz="4" w:space="0" w:color="auto"/>
            </w:tcBorders>
            <w:hideMark/>
          </w:tcPr>
          <w:p w14:paraId="1B714667" w14:textId="143FF555" w:rsidR="00533530" w:rsidRPr="00EF6D8E" w:rsidRDefault="00686A8D" w:rsidP="00243B15">
            <w:pPr>
              <w:jc w:val="center"/>
              <w:rPr>
                <w:sz w:val="18"/>
                <w:szCs w:val="18"/>
              </w:rPr>
            </w:pPr>
            <w:r w:rsidRPr="00EF6D8E">
              <w:rPr>
                <w:sz w:val="18"/>
                <w:szCs w:val="18"/>
              </w:rPr>
              <w:t>574</w:t>
            </w:r>
            <w:r w:rsidR="00AA3181" w:rsidRPr="00EF6D8E">
              <w:rPr>
                <w:sz w:val="18"/>
                <w:szCs w:val="18"/>
              </w:rPr>
              <w:t>,540</w:t>
            </w:r>
            <w:r w:rsidR="003B2480" w:rsidRPr="00EF6D8E">
              <w:rPr>
                <w:sz w:val="18"/>
                <w:szCs w:val="18"/>
              </w:rPr>
              <w:t> </w:t>
            </w:r>
            <w:r w:rsidR="00AA3181" w:rsidRPr="00EF6D8E">
              <w:rPr>
                <w:sz w:val="18"/>
                <w:szCs w:val="18"/>
              </w:rPr>
              <w:t>$</w:t>
            </w:r>
          </w:p>
        </w:tc>
        <w:tc>
          <w:tcPr>
            <w:tcW w:w="1134" w:type="dxa"/>
            <w:tcBorders>
              <w:top w:val="single" w:sz="4" w:space="0" w:color="auto"/>
              <w:left w:val="single" w:sz="4" w:space="0" w:color="auto"/>
              <w:bottom w:val="single" w:sz="4" w:space="0" w:color="auto"/>
              <w:right w:val="single" w:sz="4" w:space="0" w:color="auto"/>
            </w:tcBorders>
            <w:hideMark/>
          </w:tcPr>
          <w:p w14:paraId="63A692C4" w14:textId="74B38C1A" w:rsidR="00533530" w:rsidRPr="00EF6D8E" w:rsidRDefault="00686A8D" w:rsidP="00243B15">
            <w:pPr>
              <w:jc w:val="center"/>
              <w:rPr>
                <w:sz w:val="18"/>
                <w:szCs w:val="18"/>
              </w:rPr>
            </w:pPr>
            <w:r w:rsidRPr="00EF6D8E">
              <w:rPr>
                <w:sz w:val="18"/>
                <w:szCs w:val="18"/>
              </w:rPr>
              <w:t>261</w:t>
            </w:r>
            <w:r w:rsidR="00AA3181" w:rsidRPr="00EF6D8E">
              <w:rPr>
                <w:sz w:val="18"/>
                <w:szCs w:val="18"/>
              </w:rPr>
              <w:t>,</w:t>
            </w:r>
            <w:r w:rsidR="009C3FD8" w:rsidRPr="00EF6D8E">
              <w:rPr>
                <w:sz w:val="18"/>
                <w:szCs w:val="18"/>
              </w:rPr>
              <w:t>884</w:t>
            </w:r>
            <w:r w:rsidR="003B2480" w:rsidRPr="00EF6D8E">
              <w:rPr>
                <w:sz w:val="18"/>
                <w:szCs w:val="18"/>
              </w:rPr>
              <w:t> </w:t>
            </w:r>
            <w:r w:rsidR="00AA3181" w:rsidRPr="00EF6D8E">
              <w:rPr>
                <w:sz w:val="18"/>
                <w:szCs w:val="18"/>
              </w:rPr>
              <w:t>$</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08594FA2" w14:textId="76FCF3A4" w:rsidR="00F83122" w:rsidRPr="00B50655" w:rsidRDefault="00302BFE" w:rsidP="0032232A">
            <w:pPr>
              <w:jc w:val="center"/>
              <w:rPr>
                <w:sz w:val="18"/>
                <w:szCs w:val="18"/>
              </w:rPr>
            </w:pPr>
            <w:r w:rsidRPr="00B50655">
              <w:rPr>
                <w:rFonts w:eastAsia="Times New Roman" w:cs="Calibri"/>
                <w:b/>
                <w:bCs/>
                <w:color w:val="000000"/>
                <w:sz w:val="18"/>
                <w:szCs w:val="18"/>
                <w:lang w:val="fr-CA"/>
              </w:rPr>
              <w:t>5,279,452 </w:t>
            </w:r>
            <w:r w:rsidRPr="00B50655">
              <w:rPr>
                <w:sz w:val="18"/>
                <w:szCs w:val="18"/>
              </w:rPr>
              <w:t>$</w:t>
            </w:r>
          </w:p>
        </w:tc>
      </w:tr>
      <w:tr w:rsidR="00302BFE" w:rsidRPr="00B50655" w14:paraId="4CBAD8AB" w14:textId="77777777" w:rsidTr="00243B15">
        <w:trPr>
          <w:cantSplit/>
        </w:trPr>
        <w:tc>
          <w:tcPr>
            <w:tcW w:w="1135" w:type="dxa"/>
            <w:noWrap/>
            <w:vAlign w:val="bottom"/>
          </w:tcPr>
          <w:p w14:paraId="64D3CD24" w14:textId="77777777" w:rsidR="00302BFE" w:rsidRPr="00B50655" w:rsidRDefault="00302BFE" w:rsidP="00243B15">
            <w:pPr>
              <w:rPr>
                <w:sz w:val="18"/>
                <w:szCs w:val="18"/>
              </w:rPr>
            </w:pPr>
          </w:p>
        </w:tc>
        <w:tc>
          <w:tcPr>
            <w:tcW w:w="283" w:type="dxa"/>
            <w:tcBorders>
              <w:top w:val="nil"/>
              <w:left w:val="nil"/>
              <w:bottom w:val="nil"/>
              <w:right w:val="single" w:sz="4" w:space="0" w:color="auto"/>
            </w:tcBorders>
            <w:noWrap/>
            <w:vAlign w:val="bottom"/>
          </w:tcPr>
          <w:p w14:paraId="2C71C4E2" w14:textId="77777777" w:rsidR="00302BFE" w:rsidRPr="00B50655" w:rsidRDefault="00302BFE" w:rsidP="00243B15">
            <w:pPr>
              <w:rPr>
                <w:sz w:val="18"/>
                <w:szCs w:val="18"/>
              </w:rPr>
            </w:pPr>
          </w:p>
        </w:tc>
        <w:tc>
          <w:tcPr>
            <w:tcW w:w="4134" w:type="dxa"/>
            <w:tcBorders>
              <w:top w:val="single" w:sz="4" w:space="0" w:color="auto"/>
              <w:left w:val="single" w:sz="4" w:space="0" w:color="auto"/>
              <w:bottom w:val="single" w:sz="4" w:space="0" w:color="auto"/>
              <w:right w:val="single" w:sz="4" w:space="0" w:color="auto"/>
            </w:tcBorders>
            <w:noWrap/>
            <w:vAlign w:val="bottom"/>
            <w:hideMark/>
          </w:tcPr>
          <w:p w14:paraId="239ACDAC" w14:textId="77777777" w:rsidR="00302BFE" w:rsidRPr="00B50655" w:rsidRDefault="00302BFE" w:rsidP="00243B15">
            <w:pPr>
              <w:jc w:val="right"/>
              <w:rPr>
                <w:sz w:val="18"/>
                <w:szCs w:val="18"/>
              </w:rPr>
            </w:pPr>
            <w:r w:rsidRPr="00B50655">
              <w:rPr>
                <w:b/>
                <w:bCs/>
                <w:sz w:val="18"/>
                <w:szCs w:val="18"/>
              </w:rPr>
              <w:t>UNDP</w:t>
            </w:r>
          </w:p>
        </w:tc>
        <w:tc>
          <w:tcPr>
            <w:tcW w:w="1251" w:type="dxa"/>
            <w:tcBorders>
              <w:top w:val="single" w:sz="4" w:space="0" w:color="auto"/>
              <w:left w:val="single" w:sz="4" w:space="0" w:color="auto"/>
              <w:bottom w:val="single" w:sz="4" w:space="0" w:color="auto"/>
              <w:right w:val="single" w:sz="4" w:space="0" w:color="auto"/>
            </w:tcBorders>
            <w:noWrap/>
            <w:vAlign w:val="bottom"/>
            <w:hideMark/>
          </w:tcPr>
          <w:p w14:paraId="04D10279" w14:textId="2712B390" w:rsidR="00302BFE" w:rsidRPr="00EF6D8E" w:rsidRDefault="00686A8D" w:rsidP="00243B15">
            <w:pPr>
              <w:jc w:val="center"/>
              <w:rPr>
                <w:sz w:val="18"/>
                <w:szCs w:val="18"/>
              </w:rPr>
            </w:pPr>
            <w:r w:rsidRPr="00EF6D8E">
              <w:rPr>
                <w:sz w:val="18"/>
                <w:szCs w:val="18"/>
              </w:rPr>
              <w:t>72</w:t>
            </w:r>
            <w:r w:rsidR="00302BFE" w:rsidRPr="00EF6D8E">
              <w:rPr>
                <w:sz w:val="18"/>
                <w:szCs w:val="18"/>
              </w:rPr>
              <w:t>,000 $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1589E44" w14:textId="137F675E" w:rsidR="00302BFE" w:rsidRPr="00EF6D8E" w:rsidRDefault="00686A8D" w:rsidP="00243B15">
            <w:pPr>
              <w:jc w:val="center"/>
              <w:rPr>
                <w:sz w:val="18"/>
                <w:szCs w:val="18"/>
              </w:rPr>
            </w:pPr>
            <w:r w:rsidRPr="00EF6D8E">
              <w:rPr>
                <w:sz w:val="18"/>
                <w:szCs w:val="18"/>
              </w:rPr>
              <w:t>46</w:t>
            </w:r>
            <w:r w:rsidR="00302BFE" w:rsidRPr="00EF6D8E">
              <w:rPr>
                <w:sz w:val="18"/>
                <w:szCs w:val="18"/>
              </w:rPr>
              <w:t>,000 $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FBC8D64" w14:textId="19AD42A3" w:rsidR="00302BFE" w:rsidRPr="00EF6D8E" w:rsidRDefault="00686A8D" w:rsidP="00243B15">
            <w:pPr>
              <w:jc w:val="center"/>
              <w:rPr>
                <w:sz w:val="18"/>
                <w:szCs w:val="18"/>
              </w:rPr>
            </w:pPr>
            <w:r w:rsidRPr="00EF6D8E">
              <w:rPr>
                <w:sz w:val="18"/>
                <w:szCs w:val="18"/>
              </w:rPr>
              <w:t>38</w:t>
            </w:r>
            <w:r w:rsidR="00302BFE" w:rsidRPr="00EF6D8E">
              <w:rPr>
                <w:sz w:val="18"/>
                <w:szCs w:val="18"/>
              </w:rPr>
              <w:t>,000 $</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1F890461" w14:textId="26E2379D" w:rsidR="00302BFE" w:rsidRPr="00EF6D8E" w:rsidRDefault="00686A8D" w:rsidP="00243B15">
            <w:pPr>
              <w:jc w:val="center"/>
              <w:rPr>
                <w:sz w:val="18"/>
                <w:szCs w:val="18"/>
              </w:rPr>
            </w:pPr>
            <w:r w:rsidRPr="00EF6D8E">
              <w:rPr>
                <w:sz w:val="18"/>
                <w:szCs w:val="18"/>
              </w:rPr>
              <w:t>38</w:t>
            </w:r>
            <w:r w:rsidR="00302BFE" w:rsidRPr="00EF6D8E">
              <w:rPr>
                <w:sz w:val="18"/>
                <w:szCs w:val="18"/>
              </w:rPr>
              <w:t>,000 $</w:t>
            </w:r>
          </w:p>
        </w:tc>
        <w:tc>
          <w:tcPr>
            <w:tcW w:w="1134" w:type="dxa"/>
            <w:tcBorders>
              <w:top w:val="single" w:sz="4" w:space="0" w:color="auto"/>
              <w:left w:val="single" w:sz="4" w:space="0" w:color="auto"/>
              <w:bottom w:val="single" w:sz="4" w:space="0" w:color="auto"/>
              <w:right w:val="single" w:sz="4" w:space="0" w:color="auto"/>
            </w:tcBorders>
          </w:tcPr>
          <w:p w14:paraId="6679C8EA" w14:textId="4F7C580D" w:rsidR="00302BFE" w:rsidRPr="00EF6D8E" w:rsidRDefault="00686A8D" w:rsidP="00243B15">
            <w:pPr>
              <w:jc w:val="center"/>
              <w:rPr>
                <w:sz w:val="18"/>
                <w:szCs w:val="18"/>
              </w:rPr>
            </w:pPr>
            <w:r w:rsidRPr="00EF6D8E">
              <w:rPr>
                <w:sz w:val="18"/>
                <w:szCs w:val="18"/>
              </w:rPr>
              <w:t>38</w:t>
            </w:r>
            <w:r w:rsidR="00302BFE" w:rsidRPr="00EF6D8E">
              <w:rPr>
                <w:sz w:val="18"/>
                <w:szCs w:val="18"/>
              </w:rPr>
              <w:t>,000 </w:t>
            </w:r>
          </w:p>
        </w:tc>
        <w:tc>
          <w:tcPr>
            <w:tcW w:w="1134" w:type="dxa"/>
            <w:tcBorders>
              <w:top w:val="single" w:sz="4" w:space="0" w:color="auto"/>
              <w:left w:val="single" w:sz="4" w:space="0" w:color="auto"/>
              <w:bottom w:val="single" w:sz="4" w:space="0" w:color="auto"/>
              <w:right w:val="single" w:sz="4" w:space="0" w:color="auto"/>
            </w:tcBorders>
          </w:tcPr>
          <w:p w14:paraId="691DA461" w14:textId="704AD8A4" w:rsidR="00302BFE" w:rsidRPr="00EF6D8E" w:rsidRDefault="00686A8D" w:rsidP="00243B15">
            <w:pPr>
              <w:jc w:val="center"/>
              <w:rPr>
                <w:sz w:val="18"/>
                <w:szCs w:val="18"/>
              </w:rPr>
            </w:pPr>
            <w:r w:rsidRPr="00EF6D8E">
              <w:rPr>
                <w:sz w:val="18"/>
                <w:szCs w:val="18"/>
              </w:rPr>
              <w:t>38</w:t>
            </w:r>
            <w:r w:rsidR="00302BFE" w:rsidRPr="00EF6D8E">
              <w:rPr>
                <w:sz w:val="18"/>
                <w:szCs w:val="18"/>
              </w:rPr>
              <w:t>,000 </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3138023E" w14:textId="77777777" w:rsidR="00302BFE" w:rsidRPr="00B50655" w:rsidRDefault="00302BFE" w:rsidP="00243B15">
            <w:pPr>
              <w:jc w:val="center"/>
              <w:rPr>
                <w:sz w:val="18"/>
                <w:szCs w:val="18"/>
              </w:rPr>
            </w:pPr>
            <w:r w:rsidRPr="00B50655">
              <w:rPr>
                <w:sz w:val="18"/>
                <w:szCs w:val="18"/>
              </w:rPr>
              <w:t>270,000 $</w:t>
            </w:r>
          </w:p>
        </w:tc>
      </w:tr>
      <w:tr w:rsidR="00302BFE" w:rsidRPr="00B50655" w14:paraId="5B0FA9D5" w14:textId="77777777" w:rsidTr="00243B15">
        <w:trPr>
          <w:cantSplit/>
        </w:trPr>
        <w:tc>
          <w:tcPr>
            <w:tcW w:w="1135" w:type="dxa"/>
            <w:noWrap/>
            <w:vAlign w:val="bottom"/>
          </w:tcPr>
          <w:p w14:paraId="3716F149" w14:textId="77777777" w:rsidR="00302BFE" w:rsidRPr="00B50655" w:rsidRDefault="00302BFE" w:rsidP="00243B15">
            <w:pPr>
              <w:rPr>
                <w:sz w:val="18"/>
                <w:szCs w:val="18"/>
              </w:rPr>
            </w:pPr>
          </w:p>
        </w:tc>
        <w:tc>
          <w:tcPr>
            <w:tcW w:w="283" w:type="dxa"/>
            <w:tcBorders>
              <w:top w:val="nil"/>
              <w:left w:val="nil"/>
              <w:bottom w:val="nil"/>
              <w:right w:val="single" w:sz="4" w:space="0" w:color="auto"/>
            </w:tcBorders>
            <w:noWrap/>
            <w:vAlign w:val="bottom"/>
          </w:tcPr>
          <w:p w14:paraId="06335D35" w14:textId="77777777" w:rsidR="00302BFE" w:rsidRPr="00B50655" w:rsidRDefault="00302BFE" w:rsidP="00243B15">
            <w:pPr>
              <w:rPr>
                <w:sz w:val="18"/>
                <w:szCs w:val="18"/>
              </w:rPr>
            </w:pPr>
          </w:p>
        </w:tc>
        <w:tc>
          <w:tcPr>
            <w:tcW w:w="4134" w:type="dxa"/>
            <w:tcBorders>
              <w:top w:val="single" w:sz="4" w:space="0" w:color="auto"/>
              <w:left w:val="single" w:sz="4" w:space="0" w:color="auto"/>
              <w:bottom w:val="single" w:sz="4" w:space="0" w:color="auto"/>
              <w:right w:val="single" w:sz="4" w:space="0" w:color="auto"/>
            </w:tcBorders>
            <w:noWrap/>
            <w:vAlign w:val="bottom"/>
            <w:hideMark/>
          </w:tcPr>
          <w:p w14:paraId="7B8B6C01" w14:textId="77777777" w:rsidR="00302BFE" w:rsidRPr="00B50655" w:rsidRDefault="00302BFE" w:rsidP="00243B15">
            <w:pPr>
              <w:jc w:val="right"/>
              <w:rPr>
                <w:sz w:val="18"/>
                <w:szCs w:val="18"/>
                <w:lang w:val="en-CA"/>
              </w:rPr>
            </w:pPr>
            <w:r w:rsidRPr="00B50655">
              <w:rPr>
                <w:b/>
                <w:bCs/>
                <w:sz w:val="18"/>
                <w:szCs w:val="18"/>
                <w:lang w:val="en-CA"/>
              </w:rPr>
              <w:t>Recipient Government (</w:t>
            </w:r>
            <w:r w:rsidRPr="00B50655">
              <w:rPr>
                <w:sz w:val="18"/>
                <w:szCs w:val="18"/>
                <w:lang w:val="en-CA"/>
              </w:rPr>
              <w:t>Ministry of Environment, Green Economy and Climate Change)</w:t>
            </w:r>
          </w:p>
        </w:tc>
        <w:tc>
          <w:tcPr>
            <w:tcW w:w="1251" w:type="dxa"/>
            <w:tcBorders>
              <w:top w:val="single" w:sz="4" w:space="0" w:color="auto"/>
              <w:left w:val="single" w:sz="4" w:space="0" w:color="auto"/>
              <w:bottom w:val="single" w:sz="4" w:space="0" w:color="auto"/>
              <w:right w:val="single" w:sz="4" w:space="0" w:color="auto"/>
            </w:tcBorders>
            <w:noWrap/>
            <w:vAlign w:val="center"/>
            <w:hideMark/>
          </w:tcPr>
          <w:p w14:paraId="2EBB5395" w14:textId="77777777" w:rsidR="00302BFE" w:rsidRPr="00B50655" w:rsidRDefault="00302BFE" w:rsidP="00243B15">
            <w:pPr>
              <w:jc w:val="center"/>
              <w:rPr>
                <w:sz w:val="18"/>
                <w:szCs w:val="18"/>
              </w:rPr>
            </w:pPr>
            <w:r w:rsidRPr="00B50655">
              <w:rPr>
                <w:sz w:val="18"/>
                <w:szCs w:val="18"/>
              </w:rPr>
              <w:t>1,176,265 $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3824049" w14:textId="77777777" w:rsidR="00302BFE" w:rsidRPr="00B50655" w:rsidRDefault="00302BFE" w:rsidP="00243B15">
            <w:pPr>
              <w:jc w:val="center"/>
              <w:rPr>
                <w:sz w:val="18"/>
                <w:szCs w:val="18"/>
              </w:rPr>
            </w:pPr>
            <w:r w:rsidRPr="00B50655">
              <w:rPr>
                <w:sz w:val="18"/>
                <w:szCs w:val="18"/>
              </w:rPr>
              <w:t>1,805,669 $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6E92376" w14:textId="77777777" w:rsidR="00302BFE" w:rsidRPr="00B50655" w:rsidRDefault="00302BFE" w:rsidP="00243B15">
            <w:pPr>
              <w:jc w:val="center"/>
              <w:rPr>
                <w:sz w:val="18"/>
                <w:szCs w:val="18"/>
              </w:rPr>
            </w:pPr>
            <w:r w:rsidRPr="00B50655">
              <w:rPr>
                <w:sz w:val="18"/>
                <w:szCs w:val="18"/>
              </w:rPr>
              <w:t>3,281,159 $</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0231C6" w14:textId="77777777" w:rsidR="00302BFE" w:rsidRPr="00B50655" w:rsidRDefault="00302BFE" w:rsidP="00243B15">
            <w:pPr>
              <w:jc w:val="center"/>
              <w:rPr>
                <w:sz w:val="18"/>
                <w:szCs w:val="18"/>
              </w:rPr>
            </w:pPr>
            <w:r w:rsidRPr="00B50655">
              <w:rPr>
                <w:sz w:val="18"/>
                <w:szCs w:val="18"/>
              </w:rPr>
              <w:t>2,125,531 $</w:t>
            </w:r>
          </w:p>
        </w:tc>
        <w:tc>
          <w:tcPr>
            <w:tcW w:w="1134" w:type="dxa"/>
            <w:tcBorders>
              <w:top w:val="single" w:sz="4" w:space="0" w:color="auto"/>
              <w:left w:val="single" w:sz="4" w:space="0" w:color="auto"/>
              <w:bottom w:val="single" w:sz="4" w:space="0" w:color="auto"/>
              <w:right w:val="single" w:sz="4" w:space="0" w:color="auto"/>
            </w:tcBorders>
            <w:vAlign w:val="center"/>
          </w:tcPr>
          <w:p w14:paraId="343C2C7B" w14:textId="77777777" w:rsidR="00302BFE" w:rsidRPr="00B50655" w:rsidRDefault="00302BFE" w:rsidP="00243B15">
            <w:pPr>
              <w:jc w:val="center"/>
              <w:rPr>
                <w:sz w:val="18"/>
                <w:szCs w:val="18"/>
              </w:rPr>
            </w:pPr>
            <w:r w:rsidRPr="00B50655">
              <w:rPr>
                <w:sz w:val="18"/>
                <w:szCs w:val="18"/>
              </w:rPr>
              <w:t xml:space="preserve">1,382,627 </w:t>
            </w:r>
            <w:r w:rsidRPr="00B50655">
              <w:rPr>
                <w:sz w:val="18"/>
                <w:szCs w:val="18"/>
                <w:lang w:val="fr-CA"/>
              </w:rPr>
              <w:t>$</w:t>
            </w:r>
          </w:p>
        </w:tc>
        <w:tc>
          <w:tcPr>
            <w:tcW w:w="1134" w:type="dxa"/>
            <w:tcBorders>
              <w:top w:val="single" w:sz="4" w:space="0" w:color="auto"/>
              <w:left w:val="single" w:sz="4" w:space="0" w:color="auto"/>
              <w:bottom w:val="single" w:sz="4" w:space="0" w:color="auto"/>
              <w:right w:val="single" w:sz="4" w:space="0" w:color="auto"/>
            </w:tcBorders>
            <w:vAlign w:val="center"/>
          </w:tcPr>
          <w:p w14:paraId="03834354" w14:textId="77777777" w:rsidR="00302BFE" w:rsidRPr="00B50655" w:rsidRDefault="00302BFE" w:rsidP="00243B15">
            <w:pPr>
              <w:jc w:val="center"/>
              <w:rPr>
                <w:sz w:val="18"/>
                <w:szCs w:val="18"/>
              </w:rPr>
            </w:pPr>
            <w:r w:rsidRPr="00B50655">
              <w:rPr>
                <w:sz w:val="18"/>
                <w:szCs w:val="18"/>
              </w:rPr>
              <w:t>546,860 $</w:t>
            </w:r>
          </w:p>
        </w:tc>
        <w:tc>
          <w:tcPr>
            <w:tcW w:w="1420" w:type="dxa"/>
            <w:tcBorders>
              <w:top w:val="single" w:sz="4" w:space="0" w:color="auto"/>
              <w:left w:val="single" w:sz="4" w:space="0" w:color="auto"/>
              <w:bottom w:val="single" w:sz="4" w:space="0" w:color="auto"/>
              <w:right w:val="single" w:sz="4" w:space="0" w:color="auto"/>
            </w:tcBorders>
            <w:noWrap/>
            <w:vAlign w:val="center"/>
            <w:hideMark/>
          </w:tcPr>
          <w:p w14:paraId="5DBA9C6B" w14:textId="77777777" w:rsidR="00302BFE" w:rsidRPr="00B50655" w:rsidRDefault="00302BFE" w:rsidP="00243B15">
            <w:pPr>
              <w:jc w:val="center"/>
              <w:rPr>
                <w:sz w:val="18"/>
                <w:szCs w:val="18"/>
              </w:rPr>
            </w:pPr>
            <w:r w:rsidRPr="00B50655">
              <w:rPr>
                <w:rFonts w:cs="Calibri"/>
                <w:color w:val="000000"/>
                <w:sz w:val="18"/>
                <w:szCs w:val="18"/>
                <w:lang w:val="fr-CA"/>
              </w:rPr>
              <w:t>10,318,111</w:t>
            </w:r>
            <w:r w:rsidRPr="00B50655">
              <w:rPr>
                <w:sz w:val="18"/>
                <w:szCs w:val="18"/>
                <w:lang w:val="fr-CA"/>
              </w:rPr>
              <w:t> $</w:t>
            </w:r>
          </w:p>
        </w:tc>
      </w:tr>
      <w:tr w:rsidR="00302BFE" w:rsidRPr="00B50655" w14:paraId="6B0E71E6" w14:textId="77777777" w:rsidTr="00243B15">
        <w:trPr>
          <w:cantSplit/>
        </w:trPr>
        <w:tc>
          <w:tcPr>
            <w:tcW w:w="1135" w:type="dxa"/>
            <w:noWrap/>
            <w:vAlign w:val="bottom"/>
          </w:tcPr>
          <w:p w14:paraId="02F33EFA" w14:textId="77777777" w:rsidR="00302BFE" w:rsidRPr="00B50655" w:rsidRDefault="00302BFE" w:rsidP="00243B15">
            <w:pPr>
              <w:rPr>
                <w:sz w:val="18"/>
                <w:szCs w:val="18"/>
              </w:rPr>
            </w:pPr>
          </w:p>
        </w:tc>
        <w:tc>
          <w:tcPr>
            <w:tcW w:w="283" w:type="dxa"/>
            <w:tcBorders>
              <w:top w:val="nil"/>
              <w:left w:val="nil"/>
              <w:bottom w:val="nil"/>
              <w:right w:val="single" w:sz="4" w:space="0" w:color="auto"/>
            </w:tcBorders>
            <w:noWrap/>
            <w:vAlign w:val="bottom"/>
          </w:tcPr>
          <w:p w14:paraId="48C3B431" w14:textId="77777777" w:rsidR="00302BFE" w:rsidRPr="00B50655" w:rsidRDefault="00302BFE" w:rsidP="00243B15">
            <w:pPr>
              <w:rPr>
                <w:sz w:val="18"/>
                <w:szCs w:val="18"/>
              </w:rPr>
            </w:pPr>
          </w:p>
        </w:tc>
        <w:tc>
          <w:tcPr>
            <w:tcW w:w="4134" w:type="dxa"/>
            <w:tcBorders>
              <w:top w:val="single" w:sz="4" w:space="0" w:color="auto"/>
              <w:left w:val="single" w:sz="4" w:space="0" w:color="auto"/>
              <w:bottom w:val="single" w:sz="4" w:space="0" w:color="auto"/>
              <w:right w:val="single" w:sz="4" w:space="0" w:color="auto"/>
            </w:tcBorders>
            <w:noWrap/>
            <w:vAlign w:val="bottom"/>
          </w:tcPr>
          <w:p w14:paraId="16E49E90" w14:textId="77777777" w:rsidR="00302BFE" w:rsidRPr="00B50655" w:rsidRDefault="00302BFE" w:rsidP="00243B15">
            <w:pPr>
              <w:jc w:val="right"/>
              <w:rPr>
                <w:b/>
                <w:bCs/>
                <w:sz w:val="18"/>
                <w:szCs w:val="18"/>
                <w:lang w:val="en-CA"/>
              </w:rPr>
            </w:pPr>
            <w:r w:rsidRPr="00B50655">
              <w:rPr>
                <w:b/>
                <w:bCs/>
                <w:sz w:val="18"/>
                <w:szCs w:val="18"/>
                <w:lang w:val="en-CA"/>
              </w:rPr>
              <w:t>Recipient Government (</w:t>
            </w:r>
            <w:r w:rsidRPr="00B50655">
              <w:rPr>
                <w:sz w:val="18"/>
                <w:szCs w:val="18"/>
                <w:lang w:val="en-CA"/>
              </w:rPr>
              <w:t>Ministry of Agriculture and Hydro-agricultural Infrastructure)</w:t>
            </w:r>
          </w:p>
        </w:tc>
        <w:tc>
          <w:tcPr>
            <w:tcW w:w="1251" w:type="dxa"/>
            <w:tcBorders>
              <w:top w:val="single" w:sz="4" w:space="0" w:color="auto"/>
              <w:left w:val="single" w:sz="4" w:space="0" w:color="auto"/>
              <w:bottom w:val="single" w:sz="4" w:space="0" w:color="auto"/>
              <w:right w:val="single" w:sz="4" w:space="0" w:color="auto"/>
            </w:tcBorders>
            <w:noWrap/>
            <w:vAlign w:val="center"/>
          </w:tcPr>
          <w:p w14:paraId="5BA3ADDD" w14:textId="77777777" w:rsidR="00302BFE" w:rsidRPr="00B50655" w:rsidRDefault="00302BFE" w:rsidP="00243B15">
            <w:pPr>
              <w:jc w:val="center"/>
              <w:rPr>
                <w:sz w:val="18"/>
                <w:szCs w:val="18"/>
                <w:lang w:val="fr-CA"/>
              </w:rPr>
            </w:pPr>
            <w:r w:rsidRPr="00B50655">
              <w:rPr>
                <w:sz w:val="18"/>
                <w:szCs w:val="18"/>
                <w:lang w:val="fr-CA"/>
              </w:rPr>
              <w:t>773,028 $</w:t>
            </w:r>
          </w:p>
        </w:tc>
        <w:tc>
          <w:tcPr>
            <w:tcW w:w="1134" w:type="dxa"/>
            <w:tcBorders>
              <w:top w:val="single" w:sz="4" w:space="0" w:color="auto"/>
              <w:left w:val="single" w:sz="4" w:space="0" w:color="auto"/>
              <w:bottom w:val="single" w:sz="4" w:space="0" w:color="auto"/>
              <w:right w:val="single" w:sz="4" w:space="0" w:color="auto"/>
            </w:tcBorders>
            <w:noWrap/>
            <w:vAlign w:val="center"/>
          </w:tcPr>
          <w:p w14:paraId="3151CFED" w14:textId="77777777" w:rsidR="00302BFE" w:rsidRPr="00B50655" w:rsidRDefault="00302BFE" w:rsidP="00243B15">
            <w:pPr>
              <w:jc w:val="center"/>
              <w:rPr>
                <w:sz w:val="18"/>
                <w:szCs w:val="18"/>
                <w:lang w:val="fr-CA"/>
              </w:rPr>
            </w:pPr>
            <w:r w:rsidRPr="00B50655">
              <w:rPr>
                <w:sz w:val="18"/>
                <w:szCs w:val="18"/>
                <w:lang w:val="fr-CA"/>
              </w:rPr>
              <w:t>1,186,665 $</w:t>
            </w:r>
          </w:p>
        </w:tc>
        <w:tc>
          <w:tcPr>
            <w:tcW w:w="1134" w:type="dxa"/>
            <w:tcBorders>
              <w:top w:val="single" w:sz="4" w:space="0" w:color="auto"/>
              <w:left w:val="single" w:sz="4" w:space="0" w:color="auto"/>
              <w:bottom w:val="single" w:sz="4" w:space="0" w:color="auto"/>
              <w:right w:val="single" w:sz="4" w:space="0" w:color="auto"/>
            </w:tcBorders>
            <w:noWrap/>
            <w:vAlign w:val="center"/>
          </w:tcPr>
          <w:p w14:paraId="2AA28C5E" w14:textId="77777777" w:rsidR="00302BFE" w:rsidRPr="00B50655" w:rsidRDefault="00302BFE" w:rsidP="00243B15">
            <w:pPr>
              <w:jc w:val="center"/>
              <w:rPr>
                <w:sz w:val="18"/>
                <w:szCs w:val="18"/>
                <w:lang w:val="fr-CA"/>
              </w:rPr>
            </w:pPr>
            <w:r w:rsidRPr="00B50655">
              <w:rPr>
                <w:sz w:val="18"/>
                <w:szCs w:val="18"/>
                <w:lang w:val="fr-CA"/>
              </w:rPr>
              <w:t>2,156,340</w:t>
            </w:r>
          </w:p>
        </w:tc>
        <w:tc>
          <w:tcPr>
            <w:tcW w:w="1275" w:type="dxa"/>
            <w:tcBorders>
              <w:top w:val="single" w:sz="4" w:space="0" w:color="auto"/>
              <w:left w:val="single" w:sz="4" w:space="0" w:color="auto"/>
              <w:bottom w:val="single" w:sz="4" w:space="0" w:color="auto"/>
              <w:right w:val="single" w:sz="4" w:space="0" w:color="auto"/>
            </w:tcBorders>
            <w:noWrap/>
            <w:vAlign w:val="center"/>
          </w:tcPr>
          <w:p w14:paraId="38EFC0C0" w14:textId="77777777" w:rsidR="00302BFE" w:rsidRPr="00B50655" w:rsidRDefault="00302BFE" w:rsidP="00243B15">
            <w:pPr>
              <w:jc w:val="center"/>
              <w:rPr>
                <w:sz w:val="18"/>
                <w:szCs w:val="18"/>
                <w:lang w:val="fr-CA"/>
              </w:rPr>
            </w:pPr>
            <w:r w:rsidRPr="00B50655">
              <w:rPr>
                <w:sz w:val="18"/>
                <w:szCs w:val="18"/>
                <w:lang w:val="fr-CA"/>
              </w:rPr>
              <w:t>1,396,875 $</w:t>
            </w:r>
          </w:p>
        </w:tc>
        <w:tc>
          <w:tcPr>
            <w:tcW w:w="1134" w:type="dxa"/>
            <w:tcBorders>
              <w:top w:val="single" w:sz="4" w:space="0" w:color="auto"/>
              <w:left w:val="single" w:sz="4" w:space="0" w:color="auto"/>
              <w:bottom w:val="single" w:sz="4" w:space="0" w:color="auto"/>
              <w:right w:val="single" w:sz="4" w:space="0" w:color="auto"/>
            </w:tcBorders>
            <w:vAlign w:val="center"/>
          </w:tcPr>
          <w:p w14:paraId="60C24DFB" w14:textId="77777777" w:rsidR="00302BFE" w:rsidRPr="00B50655" w:rsidRDefault="00302BFE" w:rsidP="00243B15">
            <w:pPr>
              <w:jc w:val="center"/>
              <w:rPr>
                <w:sz w:val="18"/>
                <w:szCs w:val="18"/>
                <w:lang w:val="fr-CA"/>
              </w:rPr>
            </w:pPr>
            <w:r w:rsidRPr="00B50655">
              <w:rPr>
                <w:sz w:val="18"/>
                <w:szCs w:val="18"/>
                <w:lang w:val="fr-CA"/>
              </w:rPr>
              <w:t>908,647 $</w:t>
            </w:r>
          </w:p>
        </w:tc>
        <w:tc>
          <w:tcPr>
            <w:tcW w:w="1134" w:type="dxa"/>
            <w:tcBorders>
              <w:top w:val="single" w:sz="4" w:space="0" w:color="auto"/>
              <w:left w:val="single" w:sz="4" w:space="0" w:color="auto"/>
              <w:bottom w:val="single" w:sz="4" w:space="0" w:color="auto"/>
              <w:right w:val="single" w:sz="4" w:space="0" w:color="auto"/>
            </w:tcBorders>
            <w:vAlign w:val="center"/>
          </w:tcPr>
          <w:p w14:paraId="193673EC" w14:textId="77777777" w:rsidR="00302BFE" w:rsidRPr="00B50655" w:rsidRDefault="00302BFE" w:rsidP="00243B15">
            <w:pPr>
              <w:jc w:val="center"/>
              <w:rPr>
                <w:sz w:val="18"/>
                <w:szCs w:val="18"/>
                <w:lang w:val="fr-CA"/>
              </w:rPr>
            </w:pPr>
            <w:r w:rsidRPr="00B50655">
              <w:rPr>
                <w:sz w:val="18"/>
                <w:szCs w:val="18"/>
                <w:lang w:val="fr-CA"/>
              </w:rPr>
              <w:t>359,390 $</w:t>
            </w:r>
          </w:p>
        </w:tc>
        <w:tc>
          <w:tcPr>
            <w:tcW w:w="1420" w:type="dxa"/>
            <w:tcBorders>
              <w:top w:val="single" w:sz="4" w:space="0" w:color="auto"/>
              <w:left w:val="single" w:sz="4" w:space="0" w:color="auto"/>
              <w:bottom w:val="single" w:sz="4" w:space="0" w:color="auto"/>
              <w:right w:val="single" w:sz="4" w:space="0" w:color="auto"/>
            </w:tcBorders>
            <w:noWrap/>
            <w:vAlign w:val="center"/>
          </w:tcPr>
          <w:p w14:paraId="5909E120" w14:textId="77777777" w:rsidR="00302BFE" w:rsidRPr="00B50655" w:rsidRDefault="00302BFE" w:rsidP="00243B15">
            <w:pPr>
              <w:jc w:val="center"/>
              <w:rPr>
                <w:sz w:val="18"/>
                <w:szCs w:val="18"/>
                <w:lang w:val="fr-CA"/>
              </w:rPr>
            </w:pPr>
            <w:r w:rsidRPr="00B50655">
              <w:rPr>
                <w:rFonts w:cs="Calibri"/>
                <w:color w:val="000000"/>
                <w:sz w:val="18"/>
                <w:szCs w:val="18"/>
                <w:lang w:val="fr-CA"/>
              </w:rPr>
              <w:t>6,780,945 </w:t>
            </w:r>
            <w:r w:rsidRPr="00B50655">
              <w:rPr>
                <w:sz w:val="18"/>
                <w:szCs w:val="18"/>
                <w:lang w:val="fr-CA"/>
              </w:rPr>
              <w:t>$</w:t>
            </w:r>
          </w:p>
        </w:tc>
      </w:tr>
      <w:tr w:rsidR="00302BFE" w:rsidRPr="00B50655" w14:paraId="45603A47" w14:textId="77777777" w:rsidTr="00243B15">
        <w:trPr>
          <w:cantSplit/>
        </w:trPr>
        <w:tc>
          <w:tcPr>
            <w:tcW w:w="1135" w:type="dxa"/>
            <w:noWrap/>
            <w:vAlign w:val="bottom"/>
          </w:tcPr>
          <w:p w14:paraId="24346643" w14:textId="77777777" w:rsidR="00302BFE" w:rsidRPr="00B50655" w:rsidRDefault="00302BFE" w:rsidP="00243B15">
            <w:pPr>
              <w:rPr>
                <w:sz w:val="18"/>
                <w:szCs w:val="18"/>
                <w:lang w:val="fr-CA"/>
              </w:rPr>
            </w:pPr>
          </w:p>
        </w:tc>
        <w:tc>
          <w:tcPr>
            <w:tcW w:w="283" w:type="dxa"/>
            <w:tcBorders>
              <w:top w:val="nil"/>
              <w:left w:val="nil"/>
              <w:bottom w:val="nil"/>
              <w:right w:val="single" w:sz="4" w:space="0" w:color="auto"/>
            </w:tcBorders>
            <w:noWrap/>
            <w:vAlign w:val="bottom"/>
          </w:tcPr>
          <w:p w14:paraId="0943ECCA" w14:textId="77777777" w:rsidR="00302BFE" w:rsidRPr="00B50655" w:rsidRDefault="00302BFE" w:rsidP="00243B15">
            <w:pPr>
              <w:rPr>
                <w:sz w:val="18"/>
                <w:szCs w:val="18"/>
                <w:lang w:val="fr-CA"/>
              </w:rPr>
            </w:pPr>
          </w:p>
        </w:tc>
        <w:tc>
          <w:tcPr>
            <w:tcW w:w="4134" w:type="dxa"/>
            <w:tcBorders>
              <w:top w:val="single" w:sz="4" w:space="0" w:color="auto"/>
              <w:left w:val="single" w:sz="4" w:space="0" w:color="auto"/>
              <w:bottom w:val="single" w:sz="4" w:space="0" w:color="auto"/>
              <w:right w:val="single" w:sz="4" w:space="0" w:color="auto"/>
            </w:tcBorders>
            <w:noWrap/>
            <w:vAlign w:val="bottom"/>
          </w:tcPr>
          <w:p w14:paraId="0DDFA9B3" w14:textId="77777777" w:rsidR="00302BFE" w:rsidRPr="00B50655" w:rsidRDefault="00302BFE" w:rsidP="00243B15">
            <w:pPr>
              <w:jc w:val="right"/>
              <w:rPr>
                <w:b/>
                <w:bCs/>
                <w:sz w:val="18"/>
                <w:szCs w:val="18"/>
                <w:lang w:val="en-CA"/>
              </w:rPr>
            </w:pPr>
            <w:r w:rsidRPr="00B50655">
              <w:rPr>
                <w:b/>
                <w:bCs/>
                <w:sz w:val="18"/>
                <w:szCs w:val="18"/>
                <w:lang w:val="en-CA"/>
              </w:rPr>
              <w:t>Recipient Government (</w:t>
            </w:r>
            <w:r w:rsidRPr="00B50655">
              <w:rPr>
                <w:sz w:val="18"/>
                <w:szCs w:val="18"/>
                <w:lang w:val="en-CA"/>
              </w:rPr>
              <w:t>Ministry of Animal and Fisheries Resources</w:t>
            </w:r>
            <w:r w:rsidRPr="00B50655">
              <w:rPr>
                <w:rFonts w:cs="Calibri"/>
                <w:sz w:val="18"/>
                <w:szCs w:val="18"/>
                <w:lang w:val="en-CA"/>
              </w:rPr>
              <w:t>)</w:t>
            </w:r>
          </w:p>
        </w:tc>
        <w:tc>
          <w:tcPr>
            <w:tcW w:w="1251" w:type="dxa"/>
            <w:tcBorders>
              <w:top w:val="single" w:sz="4" w:space="0" w:color="auto"/>
              <w:left w:val="single" w:sz="4" w:space="0" w:color="auto"/>
              <w:bottom w:val="single" w:sz="4" w:space="0" w:color="auto"/>
              <w:right w:val="single" w:sz="4" w:space="0" w:color="auto"/>
            </w:tcBorders>
            <w:noWrap/>
            <w:vAlign w:val="center"/>
          </w:tcPr>
          <w:p w14:paraId="587DE0DD" w14:textId="77777777" w:rsidR="00302BFE" w:rsidRPr="00B50655" w:rsidRDefault="00302BFE" w:rsidP="00243B15">
            <w:pPr>
              <w:jc w:val="center"/>
              <w:rPr>
                <w:sz w:val="18"/>
                <w:szCs w:val="18"/>
                <w:lang w:val="fr-CA"/>
              </w:rPr>
            </w:pPr>
            <w:r w:rsidRPr="00B50655">
              <w:rPr>
                <w:sz w:val="18"/>
                <w:szCs w:val="18"/>
                <w:lang w:val="fr-CA"/>
              </w:rPr>
              <w:t>171,000 $</w:t>
            </w:r>
          </w:p>
        </w:tc>
        <w:tc>
          <w:tcPr>
            <w:tcW w:w="1134" w:type="dxa"/>
            <w:tcBorders>
              <w:top w:val="single" w:sz="4" w:space="0" w:color="auto"/>
              <w:left w:val="single" w:sz="4" w:space="0" w:color="auto"/>
              <w:bottom w:val="single" w:sz="4" w:space="0" w:color="auto"/>
              <w:right w:val="single" w:sz="4" w:space="0" w:color="auto"/>
            </w:tcBorders>
            <w:noWrap/>
            <w:vAlign w:val="center"/>
          </w:tcPr>
          <w:p w14:paraId="702857E6" w14:textId="77777777" w:rsidR="00302BFE" w:rsidRPr="00B50655" w:rsidRDefault="00302BFE" w:rsidP="00243B15">
            <w:pPr>
              <w:jc w:val="center"/>
              <w:rPr>
                <w:sz w:val="18"/>
                <w:szCs w:val="18"/>
                <w:lang w:val="fr-CA"/>
              </w:rPr>
            </w:pPr>
            <w:r w:rsidRPr="00B50655">
              <w:rPr>
                <w:sz w:val="18"/>
                <w:szCs w:val="18"/>
                <w:lang w:val="fr-CA"/>
              </w:rPr>
              <w:t>262,500 $</w:t>
            </w:r>
          </w:p>
        </w:tc>
        <w:tc>
          <w:tcPr>
            <w:tcW w:w="1134" w:type="dxa"/>
            <w:tcBorders>
              <w:top w:val="single" w:sz="4" w:space="0" w:color="auto"/>
              <w:left w:val="single" w:sz="4" w:space="0" w:color="auto"/>
              <w:bottom w:val="single" w:sz="4" w:space="0" w:color="auto"/>
              <w:right w:val="single" w:sz="4" w:space="0" w:color="auto"/>
            </w:tcBorders>
            <w:noWrap/>
            <w:vAlign w:val="center"/>
          </w:tcPr>
          <w:p w14:paraId="56C0F5AF" w14:textId="77777777" w:rsidR="00302BFE" w:rsidRPr="00B50655" w:rsidRDefault="00302BFE" w:rsidP="00243B15">
            <w:pPr>
              <w:jc w:val="center"/>
              <w:rPr>
                <w:sz w:val="18"/>
                <w:szCs w:val="18"/>
                <w:lang w:val="fr-CA"/>
              </w:rPr>
            </w:pPr>
            <w:r w:rsidRPr="00B50655">
              <w:rPr>
                <w:sz w:val="18"/>
                <w:szCs w:val="18"/>
                <w:lang w:val="fr-CA"/>
              </w:rPr>
              <w:t>477,000 $</w:t>
            </w:r>
          </w:p>
        </w:tc>
        <w:tc>
          <w:tcPr>
            <w:tcW w:w="1275" w:type="dxa"/>
            <w:tcBorders>
              <w:top w:val="single" w:sz="4" w:space="0" w:color="auto"/>
              <w:left w:val="single" w:sz="4" w:space="0" w:color="auto"/>
              <w:bottom w:val="single" w:sz="4" w:space="0" w:color="auto"/>
              <w:right w:val="single" w:sz="4" w:space="0" w:color="auto"/>
            </w:tcBorders>
            <w:noWrap/>
            <w:vAlign w:val="center"/>
          </w:tcPr>
          <w:p w14:paraId="439E2067" w14:textId="77777777" w:rsidR="00302BFE" w:rsidRPr="00B50655" w:rsidRDefault="00302BFE" w:rsidP="00243B15">
            <w:pPr>
              <w:jc w:val="center"/>
              <w:rPr>
                <w:sz w:val="18"/>
                <w:szCs w:val="18"/>
                <w:lang w:val="fr-CA"/>
              </w:rPr>
            </w:pPr>
            <w:r w:rsidRPr="00B50655">
              <w:rPr>
                <w:sz w:val="18"/>
                <w:szCs w:val="18"/>
                <w:lang w:val="fr-CA"/>
              </w:rPr>
              <w:t>309,000 $</w:t>
            </w:r>
          </w:p>
        </w:tc>
        <w:tc>
          <w:tcPr>
            <w:tcW w:w="1134" w:type="dxa"/>
            <w:tcBorders>
              <w:top w:val="single" w:sz="4" w:space="0" w:color="auto"/>
              <w:left w:val="single" w:sz="4" w:space="0" w:color="auto"/>
              <w:bottom w:val="single" w:sz="4" w:space="0" w:color="auto"/>
              <w:right w:val="single" w:sz="4" w:space="0" w:color="auto"/>
            </w:tcBorders>
            <w:vAlign w:val="center"/>
          </w:tcPr>
          <w:p w14:paraId="244DE37D" w14:textId="77777777" w:rsidR="00302BFE" w:rsidRPr="00B50655" w:rsidRDefault="00302BFE" w:rsidP="00243B15">
            <w:pPr>
              <w:jc w:val="center"/>
              <w:rPr>
                <w:sz w:val="18"/>
                <w:szCs w:val="18"/>
                <w:lang w:val="fr-CA"/>
              </w:rPr>
            </w:pPr>
            <w:r w:rsidRPr="00B50655">
              <w:rPr>
                <w:sz w:val="18"/>
                <w:szCs w:val="18"/>
                <w:lang w:val="fr-CA"/>
              </w:rPr>
              <w:t>201,000 $</w:t>
            </w:r>
          </w:p>
        </w:tc>
        <w:tc>
          <w:tcPr>
            <w:tcW w:w="1134" w:type="dxa"/>
            <w:tcBorders>
              <w:top w:val="single" w:sz="4" w:space="0" w:color="auto"/>
              <w:left w:val="single" w:sz="4" w:space="0" w:color="auto"/>
              <w:bottom w:val="single" w:sz="4" w:space="0" w:color="auto"/>
              <w:right w:val="single" w:sz="4" w:space="0" w:color="auto"/>
            </w:tcBorders>
            <w:vAlign w:val="center"/>
          </w:tcPr>
          <w:p w14:paraId="5B1D049B" w14:textId="77777777" w:rsidR="00302BFE" w:rsidRPr="00B50655" w:rsidRDefault="00302BFE" w:rsidP="00243B15">
            <w:pPr>
              <w:jc w:val="center"/>
              <w:rPr>
                <w:sz w:val="18"/>
                <w:szCs w:val="18"/>
                <w:lang w:val="fr-CA"/>
              </w:rPr>
            </w:pPr>
            <w:r w:rsidRPr="00B50655">
              <w:rPr>
                <w:sz w:val="18"/>
                <w:szCs w:val="18"/>
                <w:lang w:val="fr-CA"/>
              </w:rPr>
              <w:t>79,500 $</w:t>
            </w:r>
          </w:p>
        </w:tc>
        <w:tc>
          <w:tcPr>
            <w:tcW w:w="1420" w:type="dxa"/>
            <w:tcBorders>
              <w:top w:val="single" w:sz="4" w:space="0" w:color="auto"/>
              <w:left w:val="single" w:sz="4" w:space="0" w:color="auto"/>
              <w:bottom w:val="single" w:sz="4" w:space="0" w:color="auto"/>
              <w:right w:val="single" w:sz="4" w:space="0" w:color="auto"/>
            </w:tcBorders>
            <w:noWrap/>
            <w:vAlign w:val="center"/>
          </w:tcPr>
          <w:p w14:paraId="0346921E" w14:textId="77777777" w:rsidR="00302BFE" w:rsidRPr="00B50655" w:rsidRDefault="00302BFE" w:rsidP="00243B15">
            <w:pPr>
              <w:jc w:val="center"/>
              <w:rPr>
                <w:sz w:val="18"/>
                <w:szCs w:val="18"/>
                <w:lang w:val="fr-CA"/>
              </w:rPr>
            </w:pPr>
            <w:r w:rsidRPr="00B50655">
              <w:rPr>
                <w:rFonts w:cs="Calibri"/>
                <w:color w:val="000000"/>
                <w:sz w:val="18"/>
                <w:szCs w:val="18"/>
                <w:lang w:val="fr-CA"/>
              </w:rPr>
              <w:t>1,500,000 </w:t>
            </w:r>
            <w:r w:rsidRPr="00B50655">
              <w:rPr>
                <w:sz w:val="18"/>
                <w:szCs w:val="18"/>
                <w:lang w:val="fr-CA"/>
              </w:rPr>
              <w:t>$</w:t>
            </w:r>
          </w:p>
        </w:tc>
      </w:tr>
      <w:tr w:rsidR="00302BFE" w:rsidRPr="00B50655" w14:paraId="3D7F4E7F" w14:textId="77777777" w:rsidTr="00243B15">
        <w:trPr>
          <w:cantSplit/>
        </w:trPr>
        <w:tc>
          <w:tcPr>
            <w:tcW w:w="1135" w:type="dxa"/>
            <w:noWrap/>
            <w:vAlign w:val="bottom"/>
          </w:tcPr>
          <w:p w14:paraId="17A8842C" w14:textId="77777777" w:rsidR="00302BFE" w:rsidRPr="00B50655" w:rsidRDefault="00302BFE" w:rsidP="00243B15">
            <w:pPr>
              <w:rPr>
                <w:sz w:val="18"/>
                <w:szCs w:val="18"/>
                <w:lang w:val="fr-CA"/>
              </w:rPr>
            </w:pPr>
          </w:p>
        </w:tc>
        <w:tc>
          <w:tcPr>
            <w:tcW w:w="283" w:type="dxa"/>
            <w:tcBorders>
              <w:top w:val="nil"/>
              <w:left w:val="nil"/>
              <w:bottom w:val="nil"/>
              <w:right w:val="single" w:sz="4" w:space="0" w:color="auto"/>
            </w:tcBorders>
            <w:noWrap/>
            <w:vAlign w:val="bottom"/>
          </w:tcPr>
          <w:p w14:paraId="36E35650" w14:textId="77777777" w:rsidR="00302BFE" w:rsidRPr="00B50655" w:rsidRDefault="00302BFE" w:rsidP="00243B15">
            <w:pPr>
              <w:rPr>
                <w:sz w:val="18"/>
                <w:szCs w:val="18"/>
                <w:lang w:val="fr-CA"/>
              </w:rPr>
            </w:pPr>
          </w:p>
        </w:tc>
        <w:tc>
          <w:tcPr>
            <w:tcW w:w="4134" w:type="dxa"/>
            <w:tcBorders>
              <w:top w:val="single" w:sz="4" w:space="0" w:color="auto"/>
              <w:left w:val="single" w:sz="4" w:space="0" w:color="auto"/>
              <w:bottom w:val="single" w:sz="4" w:space="0" w:color="auto"/>
              <w:right w:val="single" w:sz="4" w:space="0" w:color="auto"/>
            </w:tcBorders>
            <w:noWrap/>
            <w:vAlign w:val="bottom"/>
          </w:tcPr>
          <w:p w14:paraId="4A731C18" w14:textId="77777777" w:rsidR="00302BFE" w:rsidRPr="00B50655" w:rsidRDefault="00302BFE" w:rsidP="00243B15">
            <w:pPr>
              <w:jc w:val="right"/>
              <w:rPr>
                <w:b/>
                <w:bCs/>
                <w:sz w:val="18"/>
                <w:szCs w:val="18"/>
                <w:lang w:val="fr-CA"/>
              </w:rPr>
            </w:pPr>
            <w:r w:rsidRPr="00B50655">
              <w:rPr>
                <w:sz w:val="18"/>
                <w:szCs w:val="18"/>
              </w:rPr>
              <w:t>Tree Aid</w:t>
            </w:r>
          </w:p>
        </w:tc>
        <w:tc>
          <w:tcPr>
            <w:tcW w:w="1251" w:type="dxa"/>
            <w:tcBorders>
              <w:top w:val="single" w:sz="4" w:space="0" w:color="auto"/>
              <w:left w:val="single" w:sz="4" w:space="0" w:color="auto"/>
              <w:bottom w:val="single" w:sz="4" w:space="0" w:color="auto"/>
              <w:right w:val="single" w:sz="4" w:space="0" w:color="auto"/>
            </w:tcBorders>
            <w:noWrap/>
            <w:vAlign w:val="center"/>
          </w:tcPr>
          <w:p w14:paraId="3D09A72D" w14:textId="77777777" w:rsidR="00302BFE" w:rsidRPr="00B50655" w:rsidRDefault="00302BFE" w:rsidP="00243B15">
            <w:pPr>
              <w:jc w:val="center"/>
              <w:rPr>
                <w:sz w:val="18"/>
                <w:szCs w:val="18"/>
                <w:lang w:val="fr-CA"/>
              </w:rPr>
            </w:pPr>
            <w:r w:rsidRPr="00B50655">
              <w:rPr>
                <w:sz w:val="18"/>
                <w:szCs w:val="18"/>
                <w:lang w:val="fr-CA"/>
              </w:rPr>
              <w:t>136,668 $</w:t>
            </w:r>
          </w:p>
        </w:tc>
        <w:tc>
          <w:tcPr>
            <w:tcW w:w="1134" w:type="dxa"/>
            <w:tcBorders>
              <w:top w:val="single" w:sz="4" w:space="0" w:color="auto"/>
              <w:left w:val="single" w:sz="4" w:space="0" w:color="auto"/>
              <w:bottom w:val="single" w:sz="4" w:space="0" w:color="auto"/>
              <w:right w:val="single" w:sz="4" w:space="0" w:color="auto"/>
            </w:tcBorders>
            <w:noWrap/>
            <w:vAlign w:val="center"/>
          </w:tcPr>
          <w:p w14:paraId="365F36C0" w14:textId="77777777" w:rsidR="00302BFE" w:rsidRPr="00B50655" w:rsidRDefault="00302BFE" w:rsidP="00243B15">
            <w:pPr>
              <w:jc w:val="center"/>
              <w:rPr>
                <w:sz w:val="18"/>
                <w:szCs w:val="18"/>
                <w:lang w:val="fr-CA"/>
              </w:rPr>
            </w:pPr>
            <w:r w:rsidRPr="00B50655">
              <w:rPr>
                <w:sz w:val="18"/>
                <w:szCs w:val="18"/>
                <w:lang w:val="fr-CA"/>
              </w:rPr>
              <w:t>209,797 $</w:t>
            </w:r>
          </w:p>
        </w:tc>
        <w:tc>
          <w:tcPr>
            <w:tcW w:w="1134" w:type="dxa"/>
            <w:tcBorders>
              <w:top w:val="single" w:sz="4" w:space="0" w:color="auto"/>
              <w:left w:val="single" w:sz="4" w:space="0" w:color="auto"/>
              <w:bottom w:val="single" w:sz="4" w:space="0" w:color="auto"/>
              <w:right w:val="single" w:sz="4" w:space="0" w:color="auto"/>
            </w:tcBorders>
            <w:noWrap/>
            <w:vAlign w:val="center"/>
          </w:tcPr>
          <w:p w14:paraId="7DC42F93" w14:textId="77777777" w:rsidR="00302BFE" w:rsidRPr="00B50655" w:rsidRDefault="00302BFE" w:rsidP="00243B15">
            <w:pPr>
              <w:jc w:val="center"/>
              <w:rPr>
                <w:sz w:val="18"/>
                <w:szCs w:val="18"/>
                <w:lang w:val="fr-CA"/>
              </w:rPr>
            </w:pPr>
            <w:r w:rsidRPr="00B50655">
              <w:rPr>
                <w:sz w:val="18"/>
                <w:szCs w:val="18"/>
                <w:lang w:val="fr-CA"/>
              </w:rPr>
              <w:t>381,231 $</w:t>
            </w:r>
          </w:p>
        </w:tc>
        <w:tc>
          <w:tcPr>
            <w:tcW w:w="1275" w:type="dxa"/>
            <w:tcBorders>
              <w:top w:val="single" w:sz="4" w:space="0" w:color="auto"/>
              <w:left w:val="single" w:sz="4" w:space="0" w:color="auto"/>
              <w:bottom w:val="single" w:sz="4" w:space="0" w:color="auto"/>
              <w:right w:val="single" w:sz="4" w:space="0" w:color="auto"/>
            </w:tcBorders>
            <w:noWrap/>
            <w:vAlign w:val="center"/>
          </w:tcPr>
          <w:p w14:paraId="6A6213B6" w14:textId="77777777" w:rsidR="00302BFE" w:rsidRPr="00B50655" w:rsidRDefault="00302BFE" w:rsidP="00243B15">
            <w:pPr>
              <w:jc w:val="center"/>
              <w:rPr>
                <w:sz w:val="18"/>
                <w:szCs w:val="18"/>
                <w:lang w:val="fr-CA"/>
              </w:rPr>
            </w:pPr>
            <w:r w:rsidRPr="00B50655">
              <w:rPr>
                <w:sz w:val="18"/>
                <w:szCs w:val="18"/>
                <w:lang w:val="fr-CA"/>
              </w:rPr>
              <w:t>246,961 $</w:t>
            </w:r>
          </w:p>
        </w:tc>
        <w:tc>
          <w:tcPr>
            <w:tcW w:w="1134" w:type="dxa"/>
            <w:tcBorders>
              <w:top w:val="single" w:sz="4" w:space="0" w:color="auto"/>
              <w:left w:val="single" w:sz="4" w:space="0" w:color="auto"/>
              <w:bottom w:val="single" w:sz="4" w:space="0" w:color="auto"/>
              <w:right w:val="single" w:sz="4" w:space="0" w:color="auto"/>
            </w:tcBorders>
            <w:vAlign w:val="center"/>
          </w:tcPr>
          <w:p w14:paraId="4F9B09F4" w14:textId="77777777" w:rsidR="00302BFE" w:rsidRPr="00B50655" w:rsidRDefault="00302BFE" w:rsidP="00243B15">
            <w:pPr>
              <w:jc w:val="center"/>
              <w:rPr>
                <w:sz w:val="18"/>
                <w:szCs w:val="18"/>
                <w:lang w:val="fr-CA"/>
              </w:rPr>
            </w:pPr>
            <w:r w:rsidRPr="00B50655">
              <w:rPr>
                <w:sz w:val="18"/>
                <w:szCs w:val="18"/>
                <w:lang w:val="fr-CA"/>
              </w:rPr>
              <w:t>160,645 $</w:t>
            </w:r>
          </w:p>
        </w:tc>
        <w:tc>
          <w:tcPr>
            <w:tcW w:w="1134" w:type="dxa"/>
            <w:tcBorders>
              <w:top w:val="single" w:sz="4" w:space="0" w:color="auto"/>
              <w:left w:val="single" w:sz="4" w:space="0" w:color="auto"/>
              <w:bottom w:val="single" w:sz="4" w:space="0" w:color="auto"/>
              <w:right w:val="single" w:sz="4" w:space="0" w:color="auto"/>
            </w:tcBorders>
            <w:vAlign w:val="center"/>
          </w:tcPr>
          <w:p w14:paraId="09D9B182" w14:textId="77777777" w:rsidR="00302BFE" w:rsidRPr="00B50655" w:rsidRDefault="00302BFE" w:rsidP="00243B15">
            <w:pPr>
              <w:jc w:val="center"/>
              <w:rPr>
                <w:sz w:val="18"/>
                <w:szCs w:val="18"/>
                <w:lang w:val="fr-CA"/>
              </w:rPr>
            </w:pPr>
            <w:r w:rsidRPr="00B50655">
              <w:rPr>
                <w:sz w:val="18"/>
                <w:szCs w:val="18"/>
                <w:lang w:val="fr-CA"/>
              </w:rPr>
              <w:t>63,538 $</w:t>
            </w:r>
          </w:p>
        </w:tc>
        <w:tc>
          <w:tcPr>
            <w:tcW w:w="1420" w:type="dxa"/>
            <w:tcBorders>
              <w:top w:val="single" w:sz="4" w:space="0" w:color="auto"/>
              <w:left w:val="single" w:sz="4" w:space="0" w:color="auto"/>
              <w:bottom w:val="single" w:sz="4" w:space="0" w:color="auto"/>
              <w:right w:val="single" w:sz="4" w:space="0" w:color="auto"/>
            </w:tcBorders>
            <w:noWrap/>
            <w:vAlign w:val="center"/>
          </w:tcPr>
          <w:p w14:paraId="7F7B6FDC" w14:textId="77777777" w:rsidR="00302BFE" w:rsidRPr="00B50655" w:rsidRDefault="00302BFE" w:rsidP="00243B15">
            <w:pPr>
              <w:jc w:val="center"/>
              <w:rPr>
                <w:sz w:val="18"/>
                <w:szCs w:val="18"/>
                <w:lang w:val="fr-CA"/>
              </w:rPr>
            </w:pPr>
            <w:r w:rsidRPr="00B50655">
              <w:rPr>
                <w:rFonts w:cs="Calibri"/>
                <w:sz w:val="18"/>
                <w:szCs w:val="18"/>
              </w:rPr>
              <w:t>1,198,840 </w:t>
            </w:r>
            <w:r w:rsidRPr="00B50655">
              <w:rPr>
                <w:sz w:val="18"/>
                <w:szCs w:val="18"/>
                <w:lang w:val="fr-CA"/>
              </w:rPr>
              <w:t>$</w:t>
            </w:r>
          </w:p>
        </w:tc>
      </w:tr>
      <w:tr w:rsidR="00302BFE" w:rsidRPr="00B50655" w14:paraId="2FF49A41" w14:textId="77777777" w:rsidTr="00243B15">
        <w:trPr>
          <w:cantSplit/>
        </w:trPr>
        <w:tc>
          <w:tcPr>
            <w:tcW w:w="1135" w:type="dxa"/>
            <w:noWrap/>
            <w:vAlign w:val="bottom"/>
          </w:tcPr>
          <w:p w14:paraId="57F3367A" w14:textId="77777777" w:rsidR="00302BFE" w:rsidRPr="00B50655" w:rsidRDefault="00302BFE" w:rsidP="00243B15">
            <w:pPr>
              <w:rPr>
                <w:sz w:val="18"/>
                <w:szCs w:val="18"/>
                <w:lang w:val="fr-CA"/>
              </w:rPr>
            </w:pPr>
          </w:p>
        </w:tc>
        <w:tc>
          <w:tcPr>
            <w:tcW w:w="283" w:type="dxa"/>
            <w:tcBorders>
              <w:top w:val="nil"/>
              <w:left w:val="nil"/>
              <w:bottom w:val="nil"/>
              <w:right w:val="single" w:sz="4" w:space="0" w:color="auto"/>
            </w:tcBorders>
            <w:noWrap/>
            <w:vAlign w:val="bottom"/>
          </w:tcPr>
          <w:p w14:paraId="287DC615" w14:textId="77777777" w:rsidR="00302BFE" w:rsidRPr="00B50655" w:rsidRDefault="00302BFE" w:rsidP="00243B15">
            <w:pPr>
              <w:rPr>
                <w:sz w:val="18"/>
                <w:szCs w:val="18"/>
                <w:lang w:val="fr-CA"/>
              </w:rPr>
            </w:pPr>
          </w:p>
        </w:tc>
        <w:tc>
          <w:tcPr>
            <w:tcW w:w="4134" w:type="dxa"/>
            <w:tcBorders>
              <w:top w:val="single" w:sz="4" w:space="0" w:color="auto"/>
              <w:left w:val="single" w:sz="4" w:space="0" w:color="auto"/>
              <w:bottom w:val="single" w:sz="4" w:space="0" w:color="auto"/>
              <w:right w:val="single" w:sz="4" w:space="0" w:color="auto"/>
            </w:tcBorders>
            <w:noWrap/>
            <w:vAlign w:val="bottom"/>
          </w:tcPr>
          <w:p w14:paraId="7C24CC59" w14:textId="77777777" w:rsidR="00302BFE" w:rsidRPr="00B50655" w:rsidRDefault="00302BFE" w:rsidP="00243B15">
            <w:pPr>
              <w:jc w:val="right"/>
              <w:rPr>
                <w:b/>
                <w:bCs/>
                <w:sz w:val="18"/>
                <w:szCs w:val="18"/>
                <w:lang w:val="fr-CA"/>
              </w:rPr>
            </w:pPr>
            <w:r w:rsidRPr="00B50655">
              <w:rPr>
                <w:sz w:val="18"/>
                <w:szCs w:val="18"/>
                <w:lang w:val="en-CA"/>
              </w:rPr>
              <w:t>IUCN Burkina Faso</w:t>
            </w:r>
          </w:p>
        </w:tc>
        <w:tc>
          <w:tcPr>
            <w:tcW w:w="1251" w:type="dxa"/>
            <w:tcBorders>
              <w:top w:val="single" w:sz="4" w:space="0" w:color="auto"/>
              <w:left w:val="single" w:sz="4" w:space="0" w:color="auto"/>
              <w:bottom w:val="single" w:sz="4" w:space="0" w:color="auto"/>
              <w:right w:val="single" w:sz="4" w:space="0" w:color="auto"/>
            </w:tcBorders>
            <w:noWrap/>
            <w:vAlign w:val="center"/>
          </w:tcPr>
          <w:p w14:paraId="2AC05F6E" w14:textId="77777777" w:rsidR="00302BFE" w:rsidRPr="00B50655" w:rsidRDefault="00302BFE" w:rsidP="00243B15">
            <w:pPr>
              <w:jc w:val="center"/>
              <w:rPr>
                <w:sz w:val="18"/>
                <w:szCs w:val="18"/>
                <w:lang w:val="fr-CA"/>
              </w:rPr>
            </w:pPr>
            <w:r w:rsidRPr="00B50655">
              <w:rPr>
                <w:sz w:val="18"/>
                <w:szCs w:val="18"/>
                <w:lang w:val="fr-CA"/>
              </w:rPr>
              <w:t>82,080 $</w:t>
            </w:r>
          </w:p>
        </w:tc>
        <w:tc>
          <w:tcPr>
            <w:tcW w:w="1134" w:type="dxa"/>
            <w:tcBorders>
              <w:top w:val="single" w:sz="4" w:space="0" w:color="auto"/>
              <w:left w:val="single" w:sz="4" w:space="0" w:color="auto"/>
              <w:bottom w:val="single" w:sz="4" w:space="0" w:color="auto"/>
              <w:right w:val="single" w:sz="4" w:space="0" w:color="auto"/>
            </w:tcBorders>
            <w:noWrap/>
            <w:vAlign w:val="center"/>
          </w:tcPr>
          <w:p w14:paraId="3119C46C" w14:textId="77777777" w:rsidR="00302BFE" w:rsidRPr="00B50655" w:rsidRDefault="00302BFE" w:rsidP="00243B15">
            <w:pPr>
              <w:jc w:val="center"/>
              <w:rPr>
                <w:sz w:val="18"/>
                <w:szCs w:val="18"/>
                <w:lang w:val="fr-CA"/>
              </w:rPr>
            </w:pPr>
            <w:r w:rsidRPr="00B50655">
              <w:rPr>
                <w:sz w:val="18"/>
                <w:szCs w:val="18"/>
                <w:lang w:val="fr-CA"/>
              </w:rPr>
              <w:t>126,000 $</w:t>
            </w:r>
          </w:p>
        </w:tc>
        <w:tc>
          <w:tcPr>
            <w:tcW w:w="1134" w:type="dxa"/>
            <w:tcBorders>
              <w:top w:val="single" w:sz="4" w:space="0" w:color="auto"/>
              <w:left w:val="single" w:sz="4" w:space="0" w:color="auto"/>
              <w:bottom w:val="single" w:sz="4" w:space="0" w:color="auto"/>
              <w:right w:val="single" w:sz="4" w:space="0" w:color="auto"/>
            </w:tcBorders>
            <w:noWrap/>
            <w:vAlign w:val="center"/>
          </w:tcPr>
          <w:p w14:paraId="44912552" w14:textId="77777777" w:rsidR="00302BFE" w:rsidRPr="00B50655" w:rsidRDefault="00302BFE" w:rsidP="00243B15">
            <w:pPr>
              <w:jc w:val="center"/>
              <w:rPr>
                <w:sz w:val="18"/>
                <w:szCs w:val="18"/>
                <w:lang w:val="fr-CA"/>
              </w:rPr>
            </w:pPr>
            <w:r w:rsidRPr="00B50655">
              <w:rPr>
                <w:sz w:val="18"/>
                <w:szCs w:val="18"/>
                <w:lang w:val="fr-CA"/>
              </w:rPr>
              <w:t>228,960 $</w:t>
            </w:r>
          </w:p>
        </w:tc>
        <w:tc>
          <w:tcPr>
            <w:tcW w:w="1275" w:type="dxa"/>
            <w:tcBorders>
              <w:top w:val="single" w:sz="4" w:space="0" w:color="auto"/>
              <w:left w:val="single" w:sz="4" w:space="0" w:color="auto"/>
              <w:bottom w:val="single" w:sz="4" w:space="0" w:color="auto"/>
              <w:right w:val="single" w:sz="4" w:space="0" w:color="auto"/>
            </w:tcBorders>
            <w:noWrap/>
            <w:vAlign w:val="center"/>
          </w:tcPr>
          <w:p w14:paraId="0F519C93" w14:textId="77777777" w:rsidR="00302BFE" w:rsidRPr="00B50655" w:rsidRDefault="00302BFE" w:rsidP="00243B15">
            <w:pPr>
              <w:jc w:val="center"/>
              <w:rPr>
                <w:sz w:val="18"/>
                <w:szCs w:val="18"/>
                <w:lang w:val="fr-CA"/>
              </w:rPr>
            </w:pPr>
            <w:r w:rsidRPr="00B50655">
              <w:rPr>
                <w:sz w:val="18"/>
                <w:szCs w:val="18"/>
                <w:lang w:val="fr-CA"/>
              </w:rPr>
              <w:t>148,320 $</w:t>
            </w:r>
          </w:p>
        </w:tc>
        <w:tc>
          <w:tcPr>
            <w:tcW w:w="1134" w:type="dxa"/>
            <w:tcBorders>
              <w:top w:val="single" w:sz="4" w:space="0" w:color="auto"/>
              <w:left w:val="single" w:sz="4" w:space="0" w:color="auto"/>
              <w:bottom w:val="single" w:sz="4" w:space="0" w:color="auto"/>
              <w:right w:val="single" w:sz="4" w:space="0" w:color="auto"/>
            </w:tcBorders>
            <w:vAlign w:val="center"/>
          </w:tcPr>
          <w:p w14:paraId="48F06874" w14:textId="77777777" w:rsidR="00302BFE" w:rsidRPr="00B50655" w:rsidRDefault="00302BFE" w:rsidP="00243B15">
            <w:pPr>
              <w:jc w:val="center"/>
              <w:rPr>
                <w:sz w:val="18"/>
                <w:szCs w:val="18"/>
                <w:lang w:val="fr-CA"/>
              </w:rPr>
            </w:pPr>
            <w:r w:rsidRPr="00B50655">
              <w:rPr>
                <w:sz w:val="18"/>
                <w:szCs w:val="18"/>
                <w:lang w:val="fr-CA"/>
              </w:rPr>
              <w:t>96,480 $</w:t>
            </w:r>
          </w:p>
        </w:tc>
        <w:tc>
          <w:tcPr>
            <w:tcW w:w="1134" w:type="dxa"/>
            <w:tcBorders>
              <w:top w:val="single" w:sz="4" w:space="0" w:color="auto"/>
              <w:left w:val="single" w:sz="4" w:space="0" w:color="auto"/>
              <w:bottom w:val="single" w:sz="4" w:space="0" w:color="auto"/>
              <w:right w:val="single" w:sz="4" w:space="0" w:color="auto"/>
            </w:tcBorders>
            <w:vAlign w:val="center"/>
          </w:tcPr>
          <w:p w14:paraId="49E3F4B2" w14:textId="77777777" w:rsidR="00302BFE" w:rsidRPr="00B50655" w:rsidRDefault="00302BFE" w:rsidP="00243B15">
            <w:pPr>
              <w:jc w:val="center"/>
              <w:rPr>
                <w:sz w:val="18"/>
                <w:szCs w:val="18"/>
                <w:lang w:val="fr-CA"/>
              </w:rPr>
            </w:pPr>
            <w:r w:rsidRPr="00B50655">
              <w:rPr>
                <w:sz w:val="18"/>
                <w:szCs w:val="18"/>
                <w:lang w:val="fr-CA"/>
              </w:rPr>
              <w:t>38,160 $</w:t>
            </w:r>
          </w:p>
        </w:tc>
        <w:tc>
          <w:tcPr>
            <w:tcW w:w="1420" w:type="dxa"/>
            <w:tcBorders>
              <w:top w:val="single" w:sz="4" w:space="0" w:color="auto"/>
              <w:left w:val="single" w:sz="4" w:space="0" w:color="auto"/>
              <w:bottom w:val="single" w:sz="4" w:space="0" w:color="auto"/>
              <w:right w:val="single" w:sz="4" w:space="0" w:color="auto"/>
            </w:tcBorders>
            <w:noWrap/>
            <w:vAlign w:val="center"/>
          </w:tcPr>
          <w:p w14:paraId="492F203D" w14:textId="77777777" w:rsidR="00302BFE" w:rsidRPr="00B50655" w:rsidRDefault="00302BFE" w:rsidP="00243B15">
            <w:pPr>
              <w:jc w:val="center"/>
              <w:rPr>
                <w:sz w:val="18"/>
                <w:szCs w:val="18"/>
                <w:lang w:val="fr-CA"/>
              </w:rPr>
            </w:pPr>
            <w:r w:rsidRPr="00B50655">
              <w:rPr>
                <w:rFonts w:cs="Calibri"/>
                <w:sz w:val="18"/>
                <w:szCs w:val="18"/>
                <w:lang w:val="en-CA"/>
              </w:rPr>
              <w:t>720,000 </w:t>
            </w:r>
            <w:r w:rsidRPr="00B50655">
              <w:rPr>
                <w:sz w:val="18"/>
                <w:szCs w:val="18"/>
                <w:lang w:val="fr-CA"/>
              </w:rPr>
              <w:t>$</w:t>
            </w:r>
          </w:p>
        </w:tc>
      </w:tr>
      <w:tr w:rsidR="00302BFE" w:rsidRPr="00B50655" w14:paraId="159D617E" w14:textId="77777777" w:rsidTr="00243B15">
        <w:trPr>
          <w:cantSplit/>
        </w:trPr>
        <w:tc>
          <w:tcPr>
            <w:tcW w:w="1135" w:type="dxa"/>
            <w:noWrap/>
            <w:vAlign w:val="bottom"/>
          </w:tcPr>
          <w:p w14:paraId="55CE7E23" w14:textId="77777777" w:rsidR="00302BFE" w:rsidRPr="00B50655" w:rsidRDefault="00302BFE" w:rsidP="00243B15">
            <w:pPr>
              <w:rPr>
                <w:sz w:val="18"/>
                <w:szCs w:val="18"/>
                <w:lang w:val="fr-CA"/>
              </w:rPr>
            </w:pPr>
          </w:p>
        </w:tc>
        <w:tc>
          <w:tcPr>
            <w:tcW w:w="283" w:type="dxa"/>
            <w:tcBorders>
              <w:top w:val="nil"/>
              <w:left w:val="nil"/>
              <w:bottom w:val="nil"/>
              <w:right w:val="single" w:sz="4" w:space="0" w:color="auto"/>
            </w:tcBorders>
            <w:noWrap/>
            <w:vAlign w:val="bottom"/>
          </w:tcPr>
          <w:p w14:paraId="6DC9EC57" w14:textId="77777777" w:rsidR="00302BFE" w:rsidRPr="00B50655" w:rsidRDefault="00302BFE" w:rsidP="00243B15">
            <w:pPr>
              <w:rPr>
                <w:sz w:val="18"/>
                <w:szCs w:val="18"/>
                <w:lang w:val="fr-CA"/>
              </w:rPr>
            </w:pPr>
          </w:p>
        </w:tc>
        <w:tc>
          <w:tcPr>
            <w:tcW w:w="4134" w:type="dxa"/>
            <w:tcBorders>
              <w:top w:val="single" w:sz="4" w:space="0" w:color="auto"/>
              <w:left w:val="single" w:sz="4" w:space="0" w:color="auto"/>
              <w:bottom w:val="single" w:sz="4" w:space="0" w:color="auto"/>
              <w:right w:val="single" w:sz="4" w:space="0" w:color="auto"/>
            </w:tcBorders>
            <w:noWrap/>
            <w:vAlign w:val="bottom"/>
          </w:tcPr>
          <w:p w14:paraId="767CA775" w14:textId="77777777" w:rsidR="00302BFE" w:rsidRPr="00B50655" w:rsidRDefault="00302BFE" w:rsidP="00243B15">
            <w:pPr>
              <w:jc w:val="right"/>
              <w:rPr>
                <w:sz w:val="18"/>
                <w:szCs w:val="18"/>
                <w:lang w:val="fr-CA"/>
              </w:rPr>
            </w:pPr>
            <w:r w:rsidRPr="00B50655">
              <w:rPr>
                <w:sz w:val="18"/>
                <w:szCs w:val="18"/>
                <w:lang w:val="fr-CA"/>
              </w:rPr>
              <w:t>Agence Pour la Promotion de la Petite et Moyenne Entreprise/Agriculture et Artisanat (APME.2A)</w:t>
            </w:r>
          </w:p>
        </w:tc>
        <w:tc>
          <w:tcPr>
            <w:tcW w:w="1251" w:type="dxa"/>
            <w:tcBorders>
              <w:top w:val="single" w:sz="4" w:space="0" w:color="auto"/>
              <w:left w:val="single" w:sz="4" w:space="0" w:color="auto"/>
              <w:bottom w:val="single" w:sz="4" w:space="0" w:color="auto"/>
              <w:right w:val="single" w:sz="4" w:space="0" w:color="auto"/>
            </w:tcBorders>
            <w:noWrap/>
            <w:vAlign w:val="center"/>
          </w:tcPr>
          <w:p w14:paraId="27313C66" w14:textId="77777777" w:rsidR="00302BFE" w:rsidRPr="00B50655" w:rsidRDefault="00302BFE" w:rsidP="00243B15">
            <w:pPr>
              <w:jc w:val="center"/>
              <w:rPr>
                <w:sz w:val="18"/>
                <w:szCs w:val="18"/>
                <w:lang w:val="fr-CA"/>
              </w:rPr>
            </w:pPr>
            <w:r w:rsidRPr="00B50655">
              <w:rPr>
                <w:sz w:val="18"/>
                <w:szCs w:val="18"/>
                <w:lang w:val="fr-CA"/>
              </w:rPr>
              <w:t>82,023 $</w:t>
            </w:r>
          </w:p>
        </w:tc>
        <w:tc>
          <w:tcPr>
            <w:tcW w:w="1134" w:type="dxa"/>
            <w:tcBorders>
              <w:top w:val="single" w:sz="4" w:space="0" w:color="auto"/>
              <w:left w:val="single" w:sz="4" w:space="0" w:color="auto"/>
              <w:bottom w:val="single" w:sz="4" w:space="0" w:color="auto"/>
              <w:right w:val="single" w:sz="4" w:space="0" w:color="auto"/>
            </w:tcBorders>
            <w:noWrap/>
            <w:vAlign w:val="center"/>
          </w:tcPr>
          <w:p w14:paraId="26E6E980" w14:textId="77777777" w:rsidR="00302BFE" w:rsidRPr="00B50655" w:rsidRDefault="00302BFE" w:rsidP="00243B15">
            <w:pPr>
              <w:jc w:val="center"/>
              <w:rPr>
                <w:sz w:val="18"/>
                <w:szCs w:val="18"/>
                <w:lang w:val="fr-CA"/>
              </w:rPr>
            </w:pPr>
            <w:r w:rsidRPr="00B50655">
              <w:rPr>
                <w:sz w:val="18"/>
                <w:szCs w:val="18"/>
                <w:lang w:val="fr-CA"/>
              </w:rPr>
              <w:t>125,913 $</w:t>
            </w:r>
          </w:p>
        </w:tc>
        <w:tc>
          <w:tcPr>
            <w:tcW w:w="1134" w:type="dxa"/>
            <w:tcBorders>
              <w:top w:val="single" w:sz="4" w:space="0" w:color="auto"/>
              <w:left w:val="single" w:sz="4" w:space="0" w:color="auto"/>
              <w:bottom w:val="single" w:sz="4" w:space="0" w:color="auto"/>
              <w:right w:val="single" w:sz="4" w:space="0" w:color="auto"/>
            </w:tcBorders>
            <w:noWrap/>
            <w:vAlign w:val="center"/>
          </w:tcPr>
          <w:p w14:paraId="0398A22E" w14:textId="77777777" w:rsidR="00302BFE" w:rsidRPr="00B50655" w:rsidRDefault="00302BFE" w:rsidP="00243B15">
            <w:pPr>
              <w:jc w:val="center"/>
              <w:rPr>
                <w:sz w:val="18"/>
                <w:szCs w:val="18"/>
                <w:lang w:val="fr-CA"/>
              </w:rPr>
            </w:pPr>
            <w:r w:rsidRPr="00B50655">
              <w:rPr>
                <w:sz w:val="18"/>
                <w:szCs w:val="18"/>
                <w:lang w:val="fr-CA"/>
              </w:rPr>
              <w:t>228,803 $</w:t>
            </w:r>
          </w:p>
        </w:tc>
        <w:tc>
          <w:tcPr>
            <w:tcW w:w="1275" w:type="dxa"/>
            <w:tcBorders>
              <w:top w:val="single" w:sz="4" w:space="0" w:color="auto"/>
              <w:left w:val="single" w:sz="4" w:space="0" w:color="auto"/>
              <w:bottom w:val="single" w:sz="4" w:space="0" w:color="auto"/>
              <w:right w:val="single" w:sz="4" w:space="0" w:color="auto"/>
            </w:tcBorders>
            <w:noWrap/>
            <w:vAlign w:val="center"/>
          </w:tcPr>
          <w:p w14:paraId="1192678D" w14:textId="77777777" w:rsidR="00302BFE" w:rsidRPr="00B50655" w:rsidRDefault="00302BFE" w:rsidP="00243B15">
            <w:pPr>
              <w:jc w:val="center"/>
              <w:rPr>
                <w:sz w:val="18"/>
                <w:szCs w:val="18"/>
                <w:lang w:val="fr-CA"/>
              </w:rPr>
            </w:pPr>
            <w:r w:rsidRPr="00B50655">
              <w:rPr>
                <w:sz w:val="18"/>
                <w:szCs w:val="18"/>
                <w:lang w:val="fr-CA"/>
              </w:rPr>
              <w:t>148,218 $</w:t>
            </w:r>
          </w:p>
        </w:tc>
        <w:tc>
          <w:tcPr>
            <w:tcW w:w="1134" w:type="dxa"/>
            <w:tcBorders>
              <w:top w:val="single" w:sz="4" w:space="0" w:color="auto"/>
              <w:left w:val="single" w:sz="4" w:space="0" w:color="auto"/>
              <w:bottom w:val="single" w:sz="4" w:space="0" w:color="auto"/>
              <w:right w:val="single" w:sz="4" w:space="0" w:color="auto"/>
            </w:tcBorders>
            <w:vAlign w:val="center"/>
          </w:tcPr>
          <w:p w14:paraId="389B3F79" w14:textId="77777777" w:rsidR="00302BFE" w:rsidRPr="00B50655" w:rsidRDefault="00302BFE" w:rsidP="00243B15">
            <w:pPr>
              <w:jc w:val="center"/>
              <w:rPr>
                <w:sz w:val="18"/>
                <w:szCs w:val="18"/>
                <w:lang w:val="fr-CA"/>
              </w:rPr>
            </w:pPr>
            <w:r w:rsidRPr="00B50655">
              <w:rPr>
                <w:sz w:val="18"/>
                <w:szCs w:val="18"/>
                <w:lang w:val="fr-CA"/>
              </w:rPr>
              <w:t>96,414 $</w:t>
            </w:r>
          </w:p>
        </w:tc>
        <w:tc>
          <w:tcPr>
            <w:tcW w:w="1134" w:type="dxa"/>
            <w:tcBorders>
              <w:top w:val="single" w:sz="4" w:space="0" w:color="auto"/>
              <w:left w:val="single" w:sz="4" w:space="0" w:color="auto"/>
              <w:bottom w:val="single" w:sz="4" w:space="0" w:color="auto"/>
              <w:right w:val="single" w:sz="4" w:space="0" w:color="auto"/>
            </w:tcBorders>
            <w:vAlign w:val="center"/>
          </w:tcPr>
          <w:p w14:paraId="36DEE817" w14:textId="77777777" w:rsidR="00302BFE" w:rsidRPr="00B50655" w:rsidRDefault="00302BFE" w:rsidP="00243B15">
            <w:pPr>
              <w:jc w:val="center"/>
              <w:rPr>
                <w:sz w:val="18"/>
                <w:szCs w:val="18"/>
                <w:lang w:val="fr-CA"/>
              </w:rPr>
            </w:pPr>
            <w:r w:rsidRPr="00B50655">
              <w:rPr>
                <w:sz w:val="18"/>
                <w:szCs w:val="18"/>
                <w:lang w:val="fr-CA"/>
              </w:rPr>
              <w:t>38,134 $</w:t>
            </w:r>
          </w:p>
        </w:tc>
        <w:tc>
          <w:tcPr>
            <w:tcW w:w="1420" w:type="dxa"/>
            <w:tcBorders>
              <w:top w:val="single" w:sz="4" w:space="0" w:color="auto"/>
              <w:left w:val="single" w:sz="4" w:space="0" w:color="auto"/>
              <w:bottom w:val="single" w:sz="4" w:space="0" w:color="auto"/>
              <w:right w:val="single" w:sz="4" w:space="0" w:color="auto"/>
            </w:tcBorders>
            <w:noWrap/>
            <w:vAlign w:val="center"/>
          </w:tcPr>
          <w:p w14:paraId="207A79BF" w14:textId="77777777" w:rsidR="00302BFE" w:rsidRPr="00B50655" w:rsidRDefault="00302BFE" w:rsidP="00243B15">
            <w:pPr>
              <w:jc w:val="center"/>
              <w:rPr>
                <w:sz w:val="18"/>
                <w:szCs w:val="18"/>
                <w:lang w:val="fr-CA"/>
              </w:rPr>
            </w:pPr>
            <w:r w:rsidRPr="00B50655">
              <w:rPr>
                <w:rFonts w:cs="Calibri"/>
                <w:sz w:val="18"/>
                <w:szCs w:val="18"/>
                <w:lang w:val="fr-CA"/>
              </w:rPr>
              <w:t>719,505 </w:t>
            </w:r>
            <w:r w:rsidRPr="00B50655">
              <w:rPr>
                <w:sz w:val="18"/>
                <w:szCs w:val="18"/>
                <w:lang w:val="fr-CA"/>
              </w:rPr>
              <w:t>$</w:t>
            </w:r>
          </w:p>
        </w:tc>
      </w:tr>
      <w:tr w:rsidR="00302BFE" w:rsidRPr="00B50655" w14:paraId="13509035" w14:textId="77777777" w:rsidTr="00243B15">
        <w:trPr>
          <w:cantSplit/>
        </w:trPr>
        <w:tc>
          <w:tcPr>
            <w:tcW w:w="1135" w:type="dxa"/>
            <w:noWrap/>
            <w:vAlign w:val="bottom"/>
          </w:tcPr>
          <w:p w14:paraId="51B1CEBA" w14:textId="77777777" w:rsidR="00302BFE" w:rsidRPr="00B50655" w:rsidRDefault="00302BFE" w:rsidP="00243B15">
            <w:pPr>
              <w:rPr>
                <w:sz w:val="18"/>
                <w:szCs w:val="18"/>
                <w:lang w:val="en-CA"/>
              </w:rPr>
            </w:pPr>
          </w:p>
        </w:tc>
        <w:tc>
          <w:tcPr>
            <w:tcW w:w="283" w:type="dxa"/>
            <w:tcBorders>
              <w:top w:val="nil"/>
              <w:left w:val="nil"/>
              <w:bottom w:val="nil"/>
              <w:right w:val="single" w:sz="4" w:space="0" w:color="auto"/>
            </w:tcBorders>
            <w:noWrap/>
            <w:vAlign w:val="bottom"/>
          </w:tcPr>
          <w:p w14:paraId="2D549900" w14:textId="77777777" w:rsidR="00302BFE" w:rsidRPr="00B50655" w:rsidRDefault="00302BFE" w:rsidP="00243B15">
            <w:pPr>
              <w:rPr>
                <w:sz w:val="18"/>
                <w:szCs w:val="18"/>
                <w:lang w:val="en-CA"/>
              </w:rPr>
            </w:pPr>
          </w:p>
        </w:tc>
        <w:tc>
          <w:tcPr>
            <w:tcW w:w="4134" w:type="dxa"/>
            <w:tcBorders>
              <w:top w:val="single" w:sz="4" w:space="0" w:color="auto"/>
              <w:left w:val="single" w:sz="4" w:space="0" w:color="auto"/>
              <w:bottom w:val="single" w:sz="4" w:space="0" w:color="auto"/>
              <w:right w:val="single" w:sz="4" w:space="0" w:color="auto"/>
            </w:tcBorders>
            <w:noWrap/>
            <w:vAlign w:val="bottom"/>
          </w:tcPr>
          <w:p w14:paraId="217E7044" w14:textId="77777777" w:rsidR="00302BFE" w:rsidRPr="00B50655" w:rsidRDefault="00302BFE" w:rsidP="00243B15">
            <w:pPr>
              <w:jc w:val="right"/>
              <w:rPr>
                <w:sz w:val="18"/>
                <w:szCs w:val="18"/>
                <w:lang w:val="fr-CA"/>
              </w:rPr>
            </w:pPr>
            <w:r w:rsidRPr="00B50655">
              <w:rPr>
                <w:sz w:val="18"/>
                <w:szCs w:val="18"/>
                <w:lang w:val="fr-CA"/>
              </w:rPr>
              <w:t>Nahouri Safari</w:t>
            </w:r>
          </w:p>
        </w:tc>
        <w:tc>
          <w:tcPr>
            <w:tcW w:w="1251" w:type="dxa"/>
            <w:tcBorders>
              <w:top w:val="single" w:sz="4" w:space="0" w:color="auto"/>
              <w:left w:val="single" w:sz="4" w:space="0" w:color="auto"/>
              <w:bottom w:val="single" w:sz="4" w:space="0" w:color="auto"/>
              <w:right w:val="single" w:sz="4" w:space="0" w:color="auto"/>
            </w:tcBorders>
            <w:noWrap/>
            <w:vAlign w:val="center"/>
          </w:tcPr>
          <w:p w14:paraId="0AA59D53" w14:textId="77777777" w:rsidR="00302BFE" w:rsidRPr="00B50655" w:rsidRDefault="00302BFE" w:rsidP="00243B15">
            <w:pPr>
              <w:jc w:val="center"/>
              <w:rPr>
                <w:sz w:val="18"/>
                <w:szCs w:val="18"/>
                <w:lang w:val="fr-CA"/>
              </w:rPr>
            </w:pPr>
            <w:r w:rsidRPr="00B50655">
              <w:rPr>
                <w:sz w:val="18"/>
                <w:szCs w:val="18"/>
                <w:lang w:val="fr-CA"/>
              </w:rPr>
              <w:t>48,980 $</w:t>
            </w:r>
          </w:p>
        </w:tc>
        <w:tc>
          <w:tcPr>
            <w:tcW w:w="1134" w:type="dxa"/>
            <w:tcBorders>
              <w:top w:val="single" w:sz="4" w:space="0" w:color="auto"/>
              <w:left w:val="single" w:sz="4" w:space="0" w:color="auto"/>
              <w:bottom w:val="single" w:sz="4" w:space="0" w:color="auto"/>
              <w:right w:val="single" w:sz="4" w:space="0" w:color="auto"/>
            </w:tcBorders>
            <w:noWrap/>
            <w:vAlign w:val="center"/>
          </w:tcPr>
          <w:p w14:paraId="0E912A9C" w14:textId="77777777" w:rsidR="00302BFE" w:rsidRPr="00B50655" w:rsidRDefault="00302BFE" w:rsidP="00243B15">
            <w:pPr>
              <w:jc w:val="center"/>
              <w:rPr>
                <w:sz w:val="18"/>
                <w:szCs w:val="18"/>
                <w:lang w:val="fr-CA"/>
              </w:rPr>
            </w:pPr>
            <w:r w:rsidRPr="00B50655">
              <w:rPr>
                <w:sz w:val="18"/>
                <w:szCs w:val="18"/>
                <w:lang w:val="fr-CA"/>
              </w:rPr>
              <w:t>75,189 $</w:t>
            </w:r>
          </w:p>
        </w:tc>
        <w:tc>
          <w:tcPr>
            <w:tcW w:w="1134" w:type="dxa"/>
            <w:tcBorders>
              <w:top w:val="single" w:sz="4" w:space="0" w:color="auto"/>
              <w:left w:val="single" w:sz="4" w:space="0" w:color="auto"/>
              <w:bottom w:val="single" w:sz="4" w:space="0" w:color="auto"/>
              <w:right w:val="single" w:sz="4" w:space="0" w:color="auto"/>
            </w:tcBorders>
            <w:noWrap/>
            <w:vAlign w:val="center"/>
          </w:tcPr>
          <w:p w14:paraId="721C51A6" w14:textId="77777777" w:rsidR="00302BFE" w:rsidRPr="00B50655" w:rsidRDefault="00302BFE" w:rsidP="00243B15">
            <w:pPr>
              <w:jc w:val="center"/>
              <w:rPr>
                <w:sz w:val="18"/>
                <w:szCs w:val="18"/>
                <w:lang w:val="fr-CA"/>
              </w:rPr>
            </w:pPr>
            <w:r w:rsidRPr="00B50655">
              <w:rPr>
                <w:sz w:val="18"/>
                <w:szCs w:val="18"/>
                <w:lang w:val="fr-CA"/>
              </w:rPr>
              <w:t>136,628 $</w:t>
            </w:r>
          </w:p>
        </w:tc>
        <w:tc>
          <w:tcPr>
            <w:tcW w:w="1275" w:type="dxa"/>
            <w:tcBorders>
              <w:top w:val="single" w:sz="4" w:space="0" w:color="auto"/>
              <w:left w:val="single" w:sz="4" w:space="0" w:color="auto"/>
              <w:bottom w:val="single" w:sz="4" w:space="0" w:color="auto"/>
              <w:right w:val="single" w:sz="4" w:space="0" w:color="auto"/>
            </w:tcBorders>
            <w:noWrap/>
            <w:vAlign w:val="center"/>
          </w:tcPr>
          <w:p w14:paraId="4375493C" w14:textId="77777777" w:rsidR="00302BFE" w:rsidRPr="00B50655" w:rsidRDefault="00302BFE" w:rsidP="00243B15">
            <w:pPr>
              <w:jc w:val="center"/>
              <w:rPr>
                <w:sz w:val="18"/>
                <w:szCs w:val="18"/>
                <w:lang w:val="fr-CA"/>
              </w:rPr>
            </w:pPr>
            <w:r w:rsidRPr="00B50655">
              <w:rPr>
                <w:sz w:val="18"/>
                <w:szCs w:val="18"/>
                <w:lang w:val="fr-CA"/>
              </w:rPr>
              <w:t>88,508 $</w:t>
            </w:r>
          </w:p>
        </w:tc>
        <w:tc>
          <w:tcPr>
            <w:tcW w:w="1134" w:type="dxa"/>
            <w:tcBorders>
              <w:top w:val="single" w:sz="4" w:space="0" w:color="auto"/>
              <w:left w:val="single" w:sz="4" w:space="0" w:color="auto"/>
              <w:bottom w:val="single" w:sz="4" w:space="0" w:color="auto"/>
              <w:right w:val="single" w:sz="4" w:space="0" w:color="auto"/>
            </w:tcBorders>
            <w:vAlign w:val="center"/>
          </w:tcPr>
          <w:p w14:paraId="05876D6C" w14:textId="77777777" w:rsidR="00302BFE" w:rsidRPr="00B50655" w:rsidRDefault="00302BFE" w:rsidP="00243B15">
            <w:pPr>
              <w:jc w:val="center"/>
              <w:rPr>
                <w:sz w:val="18"/>
                <w:szCs w:val="18"/>
                <w:lang w:val="fr-CA"/>
              </w:rPr>
            </w:pPr>
            <w:r w:rsidRPr="00B50655">
              <w:rPr>
                <w:sz w:val="18"/>
                <w:szCs w:val="18"/>
                <w:lang w:val="fr-CA"/>
              </w:rPr>
              <w:t>57,573 $</w:t>
            </w:r>
          </w:p>
        </w:tc>
        <w:tc>
          <w:tcPr>
            <w:tcW w:w="1134" w:type="dxa"/>
            <w:tcBorders>
              <w:top w:val="single" w:sz="4" w:space="0" w:color="auto"/>
              <w:left w:val="single" w:sz="4" w:space="0" w:color="auto"/>
              <w:bottom w:val="single" w:sz="4" w:space="0" w:color="auto"/>
              <w:right w:val="single" w:sz="4" w:space="0" w:color="auto"/>
            </w:tcBorders>
            <w:vAlign w:val="center"/>
          </w:tcPr>
          <w:p w14:paraId="377D8DEB" w14:textId="77777777" w:rsidR="00302BFE" w:rsidRPr="00B50655" w:rsidRDefault="00302BFE" w:rsidP="00243B15">
            <w:pPr>
              <w:jc w:val="center"/>
              <w:rPr>
                <w:sz w:val="18"/>
                <w:szCs w:val="18"/>
                <w:lang w:val="fr-CA"/>
              </w:rPr>
            </w:pPr>
            <w:r w:rsidRPr="00B50655">
              <w:rPr>
                <w:sz w:val="18"/>
                <w:szCs w:val="18"/>
                <w:lang w:val="fr-CA"/>
              </w:rPr>
              <w:t>22,771 $</w:t>
            </w:r>
          </w:p>
        </w:tc>
        <w:tc>
          <w:tcPr>
            <w:tcW w:w="1420" w:type="dxa"/>
            <w:tcBorders>
              <w:top w:val="single" w:sz="4" w:space="0" w:color="auto"/>
              <w:left w:val="single" w:sz="4" w:space="0" w:color="auto"/>
              <w:bottom w:val="single" w:sz="4" w:space="0" w:color="auto"/>
              <w:right w:val="single" w:sz="4" w:space="0" w:color="auto"/>
            </w:tcBorders>
            <w:noWrap/>
            <w:vAlign w:val="center"/>
          </w:tcPr>
          <w:p w14:paraId="66BA475C" w14:textId="77777777" w:rsidR="00302BFE" w:rsidRPr="00B50655" w:rsidRDefault="00302BFE" w:rsidP="00243B15">
            <w:pPr>
              <w:jc w:val="center"/>
              <w:rPr>
                <w:rFonts w:cs="Calibri"/>
                <w:sz w:val="18"/>
                <w:szCs w:val="18"/>
                <w:lang w:val="fr-CA"/>
              </w:rPr>
            </w:pPr>
            <w:r w:rsidRPr="00B50655">
              <w:rPr>
                <w:rFonts w:cs="Calibri"/>
                <w:sz w:val="18"/>
                <w:szCs w:val="18"/>
                <w:lang w:val="fr-CA"/>
              </w:rPr>
              <w:t>429,649 $</w:t>
            </w:r>
          </w:p>
        </w:tc>
      </w:tr>
      <w:tr w:rsidR="00302BFE" w:rsidRPr="00B50655" w14:paraId="6C1090A0" w14:textId="77777777" w:rsidTr="00243B15">
        <w:trPr>
          <w:cantSplit/>
        </w:trPr>
        <w:tc>
          <w:tcPr>
            <w:tcW w:w="1135" w:type="dxa"/>
            <w:noWrap/>
            <w:vAlign w:val="bottom"/>
          </w:tcPr>
          <w:p w14:paraId="14B8F76E" w14:textId="77777777" w:rsidR="00302BFE" w:rsidRPr="00B50655" w:rsidRDefault="00302BFE" w:rsidP="00243B15">
            <w:pPr>
              <w:rPr>
                <w:sz w:val="18"/>
                <w:szCs w:val="18"/>
                <w:lang w:val="fr-CA"/>
              </w:rPr>
            </w:pPr>
          </w:p>
        </w:tc>
        <w:tc>
          <w:tcPr>
            <w:tcW w:w="283" w:type="dxa"/>
            <w:tcBorders>
              <w:top w:val="nil"/>
              <w:left w:val="nil"/>
              <w:bottom w:val="nil"/>
              <w:right w:val="single" w:sz="4" w:space="0" w:color="auto"/>
            </w:tcBorders>
            <w:noWrap/>
            <w:vAlign w:val="bottom"/>
          </w:tcPr>
          <w:p w14:paraId="16F8F6F4" w14:textId="77777777" w:rsidR="00302BFE" w:rsidRPr="00B50655" w:rsidRDefault="00302BFE" w:rsidP="00243B15">
            <w:pPr>
              <w:rPr>
                <w:sz w:val="18"/>
                <w:szCs w:val="18"/>
                <w:lang w:val="fr-CA"/>
              </w:rPr>
            </w:pPr>
          </w:p>
        </w:tc>
        <w:tc>
          <w:tcPr>
            <w:tcW w:w="4134" w:type="dxa"/>
            <w:tcBorders>
              <w:top w:val="single" w:sz="4" w:space="0" w:color="auto"/>
              <w:left w:val="single" w:sz="4" w:space="0" w:color="auto"/>
              <w:bottom w:val="single" w:sz="4" w:space="0" w:color="auto"/>
              <w:right w:val="single" w:sz="4" w:space="0" w:color="auto"/>
            </w:tcBorders>
            <w:noWrap/>
            <w:vAlign w:val="bottom"/>
          </w:tcPr>
          <w:p w14:paraId="6826A6C3" w14:textId="77777777" w:rsidR="00302BFE" w:rsidRPr="00B50655" w:rsidRDefault="00302BFE" w:rsidP="00243B15">
            <w:pPr>
              <w:jc w:val="right"/>
              <w:rPr>
                <w:b/>
                <w:bCs/>
                <w:sz w:val="18"/>
                <w:szCs w:val="18"/>
                <w:lang w:val="fr-CA"/>
              </w:rPr>
            </w:pPr>
            <w:r w:rsidRPr="00B50655">
              <w:rPr>
                <w:sz w:val="18"/>
                <w:szCs w:val="18"/>
                <w:lang w:val="fr-CA"/>
              </w:rPr>
              <w:t>NATURAMA Foundation</w:t>
            </w:r>
          </w:p>
        </w:tc>
        <w:tc>
          <w:tcPr>
            <w:tcW w:w="1251" w:type="dxa"/>
            <w:tcBorders>
              <w:top w:val="single" w:sz="4" w:space="0" w:color="auto"/>
              <w:left w:val="single" w:sz="4" w:space="0" w:color="auto"/>
              <w:bottom w:val="single" w:sz="4" w:space="0" w:color="auto"/>
              <w:right w:val="single" w:sz="4" w:space="0" w:color="auto"/>
            </w:tcBorders>
            <w:noWrap/>
            <w:vAlign w:val="center"/>
          </w:tcPr>
          <w:p w14:paraId="2DD8628E" w14:textId="77777777" w:rsidR="00302BFE" w:rsidRPr="00B50655" w:rsidRDefault="00302BFE" w:rsidP="00243B15">
            <w:pPr>
              <w:jc w:val="center"/>
              <w:rPr>
                <w:sz w:val="18"/>
                <w:szCs w:val="18"/>
                <w:lang w:val="fr-CA"/>
              </w:rPr>
            </w:pPr>
            <w:r w:rsidRPr="00B50655">
              <w:rPr>
                <w:sz w:val="18"/>
                <w:szCs w:val="18"/>
                <w:lang w:val="fr-CA"/>
              </w:rPr>
              <w:t>18,700 $</w:t>
            </w:r>
          </w:p>
        </w:tc>
        <w:tc>
          <w:tcPr>
            <w:tcW w:w="1134" w:type="dxa"/>
            <w:tcBorders>
              <w:top w:val="single" w:sz="4" w:space="0" w:color="auto"/>
              <w:left w:val="single" w:sz="4" w:space="0" w:color="auto"/>
              <w:bottom w:val="single" w:sz="4" w:space="0" w:color="auto"/>
              <w:right w:val="single" w:sz="4" w:space="0" w:color="auto"/>
            </w:tcBorders>
            <w:noWrap/>
            <w:vAlign w:val="center"/>
          </w:tcPr>
          <w:p w14:paraId="6149A1A6" w14:textId="77777777" w:rsidR="00302BFE" w:rsidRPr="00B50655" w:rsidRDefault="00302BFE" w:rsidP="00243B15">
            <w:pPr>
              <w:jc w:val="center"/>
              <w:rPr>
                <w:sz w:val="18"/>
                <w:szCs w:val="18"/>
                <w:lang w:val="fr-CA"/>
              </w:rPr>
            </w:pPr>
            <w:r w:rsidRPr="00B50655">
              <w:rPr>
                <w:sz w:val="18"/>
                <w:szCs w:val="18"/>
                <w:lang w:val="fr-CA"/>
              </w:rPr>
              <w:t>28,706 $</w:t>
            </w:r>
          </w:p>
        </w:tc>
        <w:tc>
          <w:tcPr>
            <w:tcW w:w="1134" w:type="dxa"/>
            <w:tcBorders>
              <w:top w:val="single" w:sz="4" w:space="0" w:color="auto"/>
              <w:left w:val="single" w:sz="4" w:space="0" w:color="auto"/>
              <w:bottom w:val="single" w:sz="4" w:space="0" w:color="auto"/>
              <w:right w:val="single" w:sz="4" w:space="0" w:color="auto"/>
            </w:tcBorders>
            <w:noWrap/>
            <w:vAlign w:val="center"/>
          </w:tcPr>
          <w:p w14:paraId="60CB42C2" w14:textId="77777777" w:rsidR="00302BFE" w:rsidRPr="00B50655" w:rsidRDefault="00302BFE" w:rsidP="00243B15">
            <w:pPr>
              <w:jc w:val="center"/>
              <w:rPr>
                <w:sz w:val="18"/>
                <w:szCs w:val="18"/>
                <w:lang w:val="fr-CA"/>
              </w:rPr>
            </w:pPr>
            <w:r w:rsidRPr="00B50655">
              <w:rPr>
                <w:sz w:val="18"/>
                <w:szCs w:val="18"/>
                <w:lang w:val="fr-CA"/>
              </w:rPr>
              <w:t>52,164 $</w:t>
            </w:r>
          </w:p>
        </w:tc>
        <w:tc>
          <w:tcPr>
            <w:tcW w:w="1275" w:type="dxa"/>
            <w:tcBorders>
              <w:top w:val="single" w:sz="4" w:space="0" w:color="auto"/>
              <w:left w:val="single" w:sz="4" w:space="0" w:color="auto"/>
              <w:bottom w:val="single" w:sz="4" w:space="0" w:color="auto"/>
              <w:right w:val="single" w:sz="4" w:space="0" w:color="auto"/>
            </w:tcBorders>
            <w:noWrap/>
            <w:vAlign w:val="center"/>
          </w:tcPr>
          <w:p w14:paraId="70CCE411" w14:textId="77777777" w:rsidR="00302BFE" w:rsidRPr="00B50655" w:rsidRDefault="00302BFE" w:rsidP="00243B15">
            <w:pPr>
              <w:jc w:val="center"/>
              <w:rPr>
                <w:sz w:val="18"/>
                <w:szCs w:val="18"/>
                <w:lang w:val="fr-CA"/>
              </w:rPr>
            </w:pPr>
            <w:r w:rsidRPr="00B50655">
              <w:rPr>
                <w:sz w:val="18"/>
                <w:szCs w:val="18"/>
                <w:lang w:val="fr-CA"/>
              </w:rPr>
              <w:t>33,791 $</w:t>
            </w:r>
          </w:p>
        </w:tc>
        <w:tc>
          <w:tcPr>
            <w:tcW w:w="1134" w:type="dxa"/>
            <w:tcBorders>
              <w:top w:val="single" w:sz="4" w:space="0" w:color="auto"/>
              <w:left w:val="single" w:sz="4" w:space="0" w:color="auto"/>
              <w:bottom w:val="single" w:sz="4" w:space="0" w:color="auto"/>
              <w:right w:val="single" w:sz="4" w:space="0" w:color="auto"/>
            </w:tcBorders>
            <w:vAlign w:val="center"/>
          </w:tcPr>
          <w:p w14:paraId="7F5646F9" w14:textId="77777777" w:rsidR="00302BFE" w:rsidRPr="00B50655" w:rsidRDefault="00302BFE" w:rsidP="00243B15">
            <w:pPr>
              <w:jc w:val="center"/>
              <w:rPr>
                <w:sz w:val="18"/>
                <w:szCs w:val="18"/>
                <w:lang w:val="fr-CA"/>
              </w:rPr>
            </w:pPr>
            <w:r w:rsidRPr="00B50655">
              <w:rPr>
                <w:sz w:val="18"/>
                <w:szCs w:val="18"/>
                <w:lang w:val="fr-CA"/>
              </w:rPr>
              <w:t>21,981 $</w:t>
            </w:r>
          </w:p>
        </w:tc>
        <w:tc>
          <w:tcPr>
            <w:tcW w:w="1134" w:type="dxa"/>
            <w:tcBorders>
              <w:top w:val="single" w:sz="4" w:space="0" w:color="auto"/>
              <w:left w:val="single" w:sz="4" w:space="0" w:color="auto"/>
              <w:bottom w:val="single" w:sz="4" w:space="0" w:color="auto"/>
              <w:right w:val="single" w:sz="4" w:space="0" w:color="auto"/>
            </w:tcBorders>
            <w:vAlign w:val="center"/>
          </w:tcPr>
          <w:p w14:paraId="2BEDC6C1" w14:textId="77777777" w:rsidR="00302BFE" w:rsidRPr="00B50655" w:rsidRDefault="00302BFE" w:rsidP="00243B15">
            <w:pPr>
              <w:jc w:val="center"/>
              <w:rPr>
                <w:sz w:val="18"/>
                <w:szCs w:val="18"/>
                <w:lang w:val="fr-CA"/>
              </w:rPr>
            </w:pPr>
            <w:r w:rsidRPr="00B50655">
              <w:rPr>
                <w:sz w:val="18"/>
                <w:szCs w:val="18"/>
                <w:lang w:val="fr-CA"/>
              </w:rPr>
              <w:t>8,694 $</w:t>
            </w:r>
          </w:p>
        </w:tc>
        <w:tc>
          <w:tcPr>
            <w:tcW w:w="1420" w:type="dxa"/>
            <w:tcBorders>
              <w:top w:val="single" w:sz="4" w:space="0" w:color="auto"/>
              <w:left w:val="single" w:sz="4" w:space="0" w:color="auto"/>
              <w:bottom w:val="single" w:sz="4" w:space="0" w:color="auto"/>
              <w:right w:val="single" w:sz="4" w:space="0" w:color="auto"/>
            </w:tcBorders>
            <w:noWrap/>
            <w:vAlign w:val="center"/>
          </w:tcPr>
          <w:p w14:paraId="5BEE9D2C" w14:textId="77777777" w:rsidR="00302BFE" w:rsidRPr="00B50655" w:rsidRDefault="00302BFE" w:rsidP="00243B15">
            <w:pPr>
              <w:jc w:val="center"/>
              <w:rPr>
                <w:sz w:val="18"/>
                <w:szCs w:val="18"/>
                <w:lang w:val="fr-CA"/>
              </w:rPr>
            </w:pPr>
            <w:r w:rsidRPr="00B50655">
              <w:rPr>
                <w:rFonts w:cs="Calibri"/>
                <w:color w:val="000000"/>
                <w:sz w:val="18"/>
                <w:szCs w:val="18"/>
                <w:lang w:val="fr-CA"/>
              </w:rPr>
              <w:t>164,036 </w:t>
            </w:r>
            <w:r w:rsidRPr="00B50655">
              <w:rPr>
                <w:sz w:val="18"/>
                <w:szCs w:val="18"/>
                <w:lang w:val="fr-CA"/>
              </w:rPr>
              <w:t>$</w:t>
            </w:r>
          </w:p>
        </w:tc>
      </w:tr>
      <w:tr w:rsidR="00302BFE" w:rsidRPr="00B50655" w14:paraId="7296D68F" w14:textId="77777777" w:rsidTr="00243B15">
        <w:trPr>
          <w:cantSplit/>
        </w:trPr>
        <w:tc>
          <w:tcPr>
            <w:tcW w:w="1135" w:type="dxa"/>
            <w:noWrap/>
            <w:vAlign w:val="bottom"/>
          </w:tcPr>
          <w:p w14:paraId="52893CB1" w14:textId="77777777" w:rsidR="00302BFE" w:rsidRPr="00B50655" w:rsidRDefault="00302BFE" w:rsidP="00243B15">
            <w:pPr>
              <w:rPr>
                <w:sz w:val="18"/>
                <w:szCs w:val="18"/>
                <w:lang w:val="fr-CA"/>
              </w:rPr>
            </w:pPr>
          </w:p>
        </w:tc>
        <w:tc>
          <w:tcPr>
            <w:tcW w:w="283" w:type="dxa"/>
            <w:tcBorders>
              <w:top w:val="nil"/>
              <w:left w:val="nil"/>
              <w:bottom w:val="nil"/>
              <w:right w:val="single" w:sz="4" w:space="0" w:color="auto"/>
            </w:tcBorders>
            <w:noWrap/>
            <w:vAlign w:val="bottom"/>
          </w:tcPr>
          <w:p w14:paraId="75EA21CC" w14:textId="77777777" w:rsidR="00302BFE" w:rsidRPr="00B50655" w:rsidRDefault="00302BFE" w:rsidP="00243B15">
            <w:pPr>
              <w:rPr>
                <w:sz w:val="18"/>
                <w:szCs w:val="18"/>
                <w:lang w:val="fr-CA"/>
              </w:rPr>
            </w:pPr>
          </w:p>
        </w:tc>
        <w:tc>
          <w:tcPr>
            <w:tcW w:w="4134" w:type="dxa"/>
            <w:tcBorders>
              <w:top w:val="single" w:sz="4" w:space="0" w:color="auto"/>
              <w:left w:val="single" w:sz="4" w:space="0" w:color="auto"/>
              <w:bottom w:val="single" w:sz="4" w:space="0" w:color="auto"/>
              <w:right w:val="single" w:sz="4" w:space="0" w:color="auto"/>
            </w:tcBorders>
            <w:noWrap/>
            <w:vAlign w:val="bottom"/>
          </w:tcPr>
          <w:p w14:paraId="321F8499" w14:textId="77777777" w:rsidR="00302BFE" w:rsidRPr="00B50655" w:rsidRDefault="00302BFE" w:rsidP="00243B15">
            <w:pPr>
              <w:jc w:val="right"/>
              <w:rPr>
                <w:sz w:val="18"/>
                <w:szCs w:val="18"/>
                <w:lang w:val="fr-CA"/>
              </w:rPr>
            </w:pPr>
            <w:r w:rsidRPr="00B50655">
              <w:rPr>
                <w:sz w:val="18"/>
                <w:szCs w:val="18"/>
                <w:lang w:val="en-CA"/>
              </w:rPr>
              <w:t>Ga Mo Wiya Association</w:t>
            </w:r>
          </w:p>
        </w:tc>
        <w:tc>
          <w:tcPr>
            <w:tcW w:w="1251" w:type="dxa"/>
            <w:tcBorders>
              <w:top w:val="single" w:sz="4" w:space="0" w:color="auto"/>
              <w:left w:val="single" w:sz="4" w:space="0" w:color="auto"/>
              <w:bottom w:val="single" w:sz="4" w:space="0" w:color="auto"/>
              <w:right w:val="single" w:sz="4" w:space="0" w:color="auto"/>
            </w:tcBorders>
            <w:noWrap/>
            <w:vAlign w:val="center"/>
          </w:tcPr>
          <w:p w14:paraId="7E2EB439" w14:textId="77777777" w:rsidR="00302BFE" w:rsidRPr="00B50655" w:rsidRDefault="00302BFE" w:rsidP="00243B15">
            <w:pPr>
              <w:jc w:val="center"/>
              <w:rPr>
                <w:sz w:val="18"/>
                <w:szCs w:val="18"/>
                <w:lang w:val="fr-CA"/>
              </w:rPr>
            </w:pPr>
            <w:r w:rsidRPr="00B50655">
              <w:rPr>
                <w:sz w:val="18"/>
                <w:szCs w:val="18"/>
                <w:lang w:val="fr-CA"/>
              </w:rPr>
              <w:t>15,507 $</w:t>
            </w:r>
          </w:p>
        </w:tc>
        <w:tc>
          <w:tcPr>
            <w:tcW w:w="1134" w:type="dxa"/>
            <w:tcBorders>
              <w:top w:val="single" w:sz="4" w:space="0" w:color="auto"/>
              <w:left w:val="single" w:sz="4" w:space="0" w:color="auto"/>
              <w:bottom w:val="single" w:sz="4" w:space="0" w:color="auto"/>
              <w:right w:val="single" w:sz="4" w:space="0" w:color="auto"/>
            </w:tcBorders>
            <w:noWrap/>
            <w:vAlign w:val="center"/>
          </w:tcPr>
          <w:p w14:paraId="60C4FC52" w14:textId="77777777" w:rsidR="00302BFE" w:rsidRPr="00B50655" w:rsidRDefault="00302BFE" w:rsidP="00243B15">
            <w:pPr>
              <w:jc w:val="center"/>
              <w:rPr>
                <w:sz w:val="18"/>
                <w:szCs w:val="18"/>
                <w:lang w:val="fr-CA"/>
              </w:rPr>
            </w:pPr>
            <w:r w:rsidRPr="00B50655">
              <w:rPr>
                <w:sz w:val="18"/>
                <w:szCs w:val="18"/>
                <w:lang w:val="fr-CA"/>
              </w:rPr>
              <w:t>23,805 $</w:t>
            </w:r>
          </w:p>
        </w:tc>
        <w:tc>
          <w:tcPr>
            <w:tcW w:w="1134" w:type="dxa"/>
            <w:tcBorders>
              <w:top w:val="single" w:sz="4" w:space="0" w:color="auto"/>
              <w:left w:val="single" w:sz="4" w:space="0" w:color="auto"/>
              <w:bottom w:val="single" w:sz="4" w:space="0" w:color="auto"/>
              <w:right w:val="single" w:sz="4" w:space="0" w:color="auto"/>
            </w:tcBorders>
            <w:noWrap/>
            <w:vAlign w:val="center"/>
          </w:tcPr>
          <w:p w14:paraId="0010BB52" w14:textId="77777777" w:rsidR="00302BFE" w:rsidRPr="00B50655" w:rsidRDefault="00302BFE" w:rsidP="00243B15">
            <w:pPr>
              <w:jc w:val="center"/>
              <w:rPr>
                <w:sz w:val="18"/>
                <w:szCs w:val="18"/>
                <w:lang w:val="fr-CA"/>
              </w:rPr>
            </w:pPr>
            <w:r w:rsidRPr="00B50655">
              <w:rPr>
                <w:sz w:val="18"/>
                <w:szCs w:val="18"/>
                <w:lang w:val="fr-CA"/>
              </w:rPr>
              <w:t>43,257 $</w:t>
            </w:r>
          </w:p>
        </w:tc>
        <w:tc>
          <w:tcPr>
            <w:tcW w:w="1275" w:type="dxa"/>
            <w:tcBorders>
              <w:top w:val="single" w:sz="4" w:space="0" w:color="auto"/>
              <w:left w:val="single" w:sz="4" w:space="0" w:color="auto"/>
              <w:bottom w:val="single" w:sz="4" w:space="0" w:color="auto"/>
              <w:right w:val="single" w:sz="4" w:space="0" w:color="auto"/>
            </w:tcBorders>
            <w:noWrap/>
            <w:vAlign w:val="center"/>
          </w:tcPr>
          <w:p w14:paraId="1CEEF0FD" w14:textId="77777777" w:rsidR="00302BFE" w:rsidRPr="00B50655" w:rsidRDefault="00302BFE" w:rsidP="00243B15">
            <w:pPr>
              <w:jc w:val="center"/>
              <w:rPr>
                <w:sz w:val="18"/>
                <w:szCs w:val="18"/>
                <w:lang w:val="fr-CA"/>
              </w:rPr>
            </w:pPr>
            <w:r w:rsidRPr="00B50655">
              <w:rPr>
                <w:sz w:val="18"/>
                <w:szCs w:val="18"/>
                <w:lang w:val="fr-CA"/>
              </w:rPr>
              <w:t>28,021 $</w:t>
            </w:r>
          </w:p>
        </w:tc>
        <w:tc>
          <w:tcPr>
            <w:tcW w:w="1134" w:type="dxa"/>
            <w:tcBorders>
              <w:top w:val="single" w:sz="4" w:space="0" w:color="auto"/>
              <w:left w:val="single" w:sz="4" w:space="0" w:color="auto"/>
              <w:bottom w:val="single" w:sz="4" w:space="0" w:color="auto"/>
              <w:right w:val="single" w:sz="4" w:space="0" w:color="auto"/>
            </w:tcBorders>
            <w:vAlign w:val="center"/>
          </w:tcPr>
          <w:p w14:paraId="159FD63B" w14:textId="77777777" w:rsidR="00302BFE" w:rsidRPr="00B50655" w:rsidRDefault="00302BFE" w:rsidP="00243B15">
            <w:pPr>
              <w:jc w:val="center"/>
              <w:rPr>
                <w:sz w:val="18"/>
                <w:szCs w:val="18"/>
                <w:lang w:val="fr-CA"/>
              </w:rPr>
            </w:pPr>
            <w:r w:rsidRPr="00B50655">
              <w:rPr>
                <w:sz w:val="18"/>
                <w:szCs w:val="18"/>
                <w:lang w:val="fr-CA"/>
              </w:rPr>
              <w:t>18,227 $</w:t>
            </w:r>
          </w:p>
        </w:tc>
        <w:tc>
          <w:tcPr>
            <w:tcW w:w="1134" w:type="dxa"/>
            <w:tcBorders>
              <w:top w:val="single" w:sz="4" w:space="0" w:color="auto"/>
              <w:left w:val="single" w:sz="4" w:space="0" w:color="auto"/>
              <w:bottom w:val="single" w:sz="4" w:space="0" w:color="auto"/>
              <w:right w:val="single" w:sz="4" w:space="0" w:color="auto"/>
            </w:tcBorders>
            <w:vAlign w:val="center"/>
          </w:tcPr>
          <w:p w14:paraId="2FEA5F04" w14:textId="77777777" w:rsidR="00302BFE" w:rsidRPr="00B50655" w:rsidRDefault="00302BFE" w:rsidP="00243B15">
            <w:pPr>
              <w:jc w:val="center"/>
              <w:rPr>
                <w:sz w:val="18"/>
                <w:szCs w:val="18"/>
                <w:lang w:val="fr-CA"/>
              </w:rPr>
            </w:pPr>
            <w:r w:rsidRPr="00B50655">
              <w:rPr>
                <w:sz w:val="18"/>
                <w:szCs w:val="18"/>
                <w:lang w:val="fr-CA"/>
              </w:rPr>
              <w:t>7,209 $</w:t>
            </w:r>
          </w:p>
        </w:tc>
        <w:tc>
          <w:tcPr>
            <w:tcW w:w="1420" w:type="dxa"/>
            <w:tcBorders>
              <w:top w:val="single" w:sz="4" w:space="0" w:color="auto"/>
              <w:left w:val="single" w:sz="4" w:space="0" w:color="auto"/>
              <w:bottom w:val="single" w:sz="4" w:space="0" w:color="auto"/>
              <w:right w:val="single" w:sz="4" w:space="0" w:color="auto"/>
            </w:tcBorders>
            <w:noWrap/>
            <w:vAlign w:val="center"/>
          </w:tcPr>
          <w:p w14:paraId="4D4BDE2A" w14:textId="77777777" w:rsidR="00302BFE" w:rsidRPr="00B50655" w:rsidRDefault="00302BFE" w:rsidP="00243B15">
            <w:pPr>
              <w:jc w:val="center"/>
              <w:rPr>
                <w:rFonts w:cs="Calibri"/>
                <w:color w:val="000000"/>
                <w:sz w:val="18"/>
                <w:szCs w:val="18"/>
                <w:lang w:val="fr-CA"/>
              </w:rPr>
            </w:pPr>
            <w:r w:rsidRPr="00B50655">
              <w:rPr>
                <w:rFonts w:cs="Calibri"/>
                <w:color w:val="000000"/>
                <w:sz w:val="18"/>
                <w:szCs w:val="18"/>
                <w:lang w:val="en-CA"/>
              </w:rPr>
              <w:t>136,026 </w:t>
            </w:r>
            <w:r w:rsidRPr="00B50655">
              <w:rPr>
                <w:sz w:val="18"/>
                <w:szCs w:val="18"/>
                <w:lang w:val="fr-CA"/>
              </w:rPr>
              <w:t>$</w:t>
            </w:r>
          </w:p>
        </w:tc>
      </w:tr>
      <w:tr w:rsidR="00302BFE" w:rsidRPr="00B50655" w14:paraId="2068BF02" w14:textId="77777777" w:rsidTr="00243B15">
        <w:trPr>
          <w:cantSplit/>
        </w:trPr>
        <w:tc>
          <w:tcPr>
            <w:tcW w:w="1135" w:type="dxa"/>
            <w:noWrap/>
            <w:vAlign w:val="bottom"/>
          </w:tcPr>
          <w:p w14:paraId="1FB21BF8" w14:textId="77777777" w:rsidR="00302BFE" w:rsidRPr="00B50655" w:rsidRDefault="00302BFE" w:rsidP="00243B15">
            <w:pPr>
              <w:rPr>
                <w:sz w:val="18"/>
                <w:szCs w:val="18"/>
                <w:lang w:val="fr-CA"/>
              </w:rPr>
            </w:pPr>
          </w:p>
        </w:tc>
        <w:tc>
          <w:tcPr>
            <w:tcW w:w="283" w:type="dxa"/>
            <w:tcBorders>
              <w:top w:val="nil"/>
              <w:left w:val="nil"/>
              <w:bottom w:val="nil"/>
              <w:right w:val="single" w:sz="4" w:space="0" w:color="auto"/>
            </w:tcBorders>
            <w:noWrap/>
            <w:vAlign w:val="bottom"/>
          </w:tcPr>
          <w:p w14:paraId="0EE7C1DA" w14:textId="77777777" w:rsidR="00302BFE" w:rsidRPr="00B50655" w:rsidRDefault="00302BFE" w:rsidP="00243B15">
            <w:pPr>
              <w:rPr>
                <w:sz w:val="18"/>
                <w:szCs w:val="18"/>
                <w:lang w:val="fr-CA"/>
              </w:rPr>
            </w:pPr>
          </w:p>
        </w:tc>
        <w:tc>
          <w:tcPr>
            <w:tcW w:w="4134" w:type="dxa"/>
            <w:tcBorders>
              <w:top w:val="single" w:sz="4" w:space="0" w:color="auto"/>
              <w:left w:val="single" w:sz="4" w:space="0" w:color="auto"/>
              <w:bottom w:val="single" w:sz="4" w:space="0" w:color="auto"/>
              <w:right w:val="single" w:sz="4" w:space="0" w:color="auto"/>
            </w:tcBorders>
            <w:noWrap/>
            <w:vAlign w:val="bottom"/>
          </w:tcPr>
          <w:p w14:paraId="6C0489FB" w14:textId="77777777" w:rsidR="00302BFE" w:rsidRPr="00B50655" w:rsidRDefault="00302BFE" w:rsidP="00243B15">
            <w:pPr>
              <w:jc w:val="right"/>
              <w:rPr>
                <w:sz w:val="18"/>
                <w:szCs w:val="18"/>
                <w:lang w:val="en-CA"/>
              </w:rPr>
            </w:pPr>
            <w:r w:rsidRPr="00B50655">
              <w:rPr>
                <w:sz w:val="18"/>
                <w:szCs w:val="18"/>
                <w:lang w:val="en-CA"/>
              </w:rPr>
              <w:t>Ministry of Mines and Quarries</w:t>
            </w:r>
          </w:p>
        </w:tc>
        <w:tc>
          <w:tcPr>
            <w:tcW w:w="1251" w:type="dxa"/>
            <w:tcBorders>
              <w:top w:val="single" w:sz="4" w:space="0" w:color="auto"/>
              <w:left w:val="single" w:sz="4" w:space="0" w:color="auto"/>
              <w:bottom w:val="single" w:sz="4" w:space="0" w:color="auto"/>
              <w:right w:val="single" w:sz="4" w:space="0" w:color="auto"/>
            </w:tcBorders>
            <w:noWrap/>
            <w:vAlign w:val="center"/>
          </w:tcPr>
          <w:p w14:paraId="052E4E75" w14:textId="77777777" w:rsidR="00302BFE" w:rsidRPr="00B50655" w:rsidRDefault="00302BFE" w:rsidP="00243B15">
            <w:pPr>
              <w:jc w:val="center"/>
              <w:rPr>
                <w:sz w:val="18"/>
                <w:szCs w:val="18"/>
                <w:lang w:val="en-CA"/>
              </w:rPr>
            </w:pPr>
            <w:r w:rsidRPr="00B50655">
              <w:rPr>
                <w:sz w:val="18"/>
                <w:szCs w:val="18"/>
                <w:lang w:val="en-CA"/>
              </w:rPr>
              <w:t>11,712</w:t>
            </w:r>
          </w:p>
        </w:tc>
        <w:tc>
          <w:tcPr>
            <w:tcW w:w="1134" w:type="dxa"/>
            <w:tcBorders>
              <w:top w:val="single" w:sz="4" w:space="0" w:color="auto"/>
              <w:left w:val="single" w:sz="4" w:space="0" w:color="auto"/>
              <w:bottom w:val="single" w:sz="4" w:space="0" w:color="auto"/>
              <w:right w:val="single" w:sz="4" w:space="0" w:color="auto"/>
            </w:tcBorders>
            <w:noWrap/>
            <w:vAlign w:val="center"/>
          </w:tcPr>
          <w:p w14:paraId="5C84A41C" w14:textId="77777777" w:rsidR="00302BFE" w:rsidRPr="00B50655" w:rsidRDefault="00302BFE" w:rsidP="00243B15">
            <w:pPr>
              <w:jc w:val="center"/>
              <w:rPr>
                <w:sz w:val="18"/>
                <w:szCs w:val="18"/>
                <w:lang w:val="en-CA"/>
              </w:rPr>
            </w:pPr>
            <w:r w:rsidRPr="00B50655">
              <w:rPr>
                <w:sz w:val="18"/>
                <w:szCs w:val="18"/>
                <w:lang w:val="en-CA"/>
              </w:rPr>
              <w:t>17,979</w:t>
            </w:r>
          </w:p>
        </w:tc>
        <w:tc>
          <w:tcPr>
            <w:tcW w:w="1134" w:type="dxa"/>
            <w:tcBorders>
              <w:top w:val="single" w:sz="4" w:space="0" w:color="auto"/>
              <w:left w:val="single" w:sz="4" w:space="0" w:color="auto"/>
              <w:bottom w:val="single" w:sz="4" w:space="0" w:color="auto"/>
              <w:right w:val="single" w:sz="4" w:space="0" w:color="auto"/>
            </w:tcBorders>
            <w:noWrap/>
            <w:vAlign w:val="center"/>
          </w:tcPr>
          <w:p w14:paraId="6798BC8E" w14:textId="77777777" w:rsidR="00302BFE" w:rsidRPr="00B50655" w:rsidRDefault="00302BFE" w:rsidP="00243B15">
            <w:pPr>
              <w:jc w:val="center"/>
              <w:rPr>
                <w:sz w:val="18"/>
                <w:szCs w:val="18"/>
                <w:lang w:val="en-CA"/>
              </w:rPr>
            </w:pPr>
            <w:r w:rsidRPr="00B50655">
              <w:rPr>
                <w:sz w:val="18"/>
                <w:szCs w:val="18"/>
                <w:lang w:val="en-CA"/>
              </w:rPr>
              <w:t>32,671</w:t>
            </w:r>
          </w:p>
        </w:tc>
        <w:tc>
          <w:tcPr>
            <w:tcW w:w="1275" w:type="dxa"/>
            <w:tcBorders>
              <w:top w:val="single" w:sz="4" w:space="0" w:color="auto"/>
              <w:left w:val="single" w:sz="4" w:space="0" w:color="auto"/>
              <w:bottom w:val="single" w:sz="4" w:space="0" w:color="auto"/>
              <w:right w:val="single" w:sz="4" w:space="0" w:color="auto"/>
            </w:tcBorders>
            <w:noWrap/>
            <w:vAlign w:val="center"/>
          </w:tcPr>
          <w:p w14:paraId="6986937C" w14:textId="77777777" w:rsidR="00302BFE" w:rsidRPr="00B50655" w:rsidRDefault="00302BFE" w:rsidP="00243B15">
            <w:pPr>
              <w:jc w:val="center"/>
              <w:rPr>
                <w:sz w:val="18"/>
                <w:szCs w:val="18"/>
                <w:lang w:val="en-CA"/>
              </w:rPr>
            </w:pPr>
            <w:r w:rsidRPr="00B50655">
              <w:rPr>
                <w:sz w:val="18"/>
                <w:szCs w:val="18"/>
                <w:lang w:val="en-CA"/>
              </w:rPr>
              <w:t>21,164</w:t>
            </w:r>
          </w:p>
        </w:tc>
        <w:tc>
          <w:tcPr>
            <w:tcW w:w="1134" w:type="dxa"/>
            <w:tcBorders>
              <w:top w:val="single" w:sz="4" w:space="0" w:color="auto"/>
              <w:left w:val="single" w:sz="4" w:space="0" w:color="auto"/>
              <w:bottom w:val="single" w:sz="4" w:space="0" w:color="auto"/>
              <w:right w:val="single" w:sz="4" w:space="0" w:color="auto"/>
            </w:tcBorders>
            <w:vAlign w:val="center"/>
          </w:tcPr>
          <w:p w14:paraId="6AD4FE92" w14:textId="77777777" w:rsidR="00302BFE" w:rsidRPr="00B50655" w:rsidRDefault="00302BFE" w:rsidP="00243B15">
            <w:pPr>
              <w:jc w:val="center"/>
              <w:rPr>
                <w:sz w:val="18"/>
                <w:szCs w:val="18"/>
                <w:lang w:val="en-CA"/>
              </w:rPr>
            </w:pPr>
            <w:r w:rsidRPr="00B50655">
              <w:rPr>
                <w:sz w:val="18"/>
                <w:szCs w:val="18"/>
                <w:lang w:val="en-CA"/>
              </w:rPr>
              <w:t>13,767</w:t>
            </w:r>
          </w:p>
        </w:tc>
        <w:tc>
          <w:tcPr>
            <w:tcW w:w="1134" w:type="dxa"/>
            <w:tcBorders>
              <w:top w:val="single" w:sz="4" w:space="0" w:color="auto"/>
              <w:left w:val="single" w:sz="4" w:space="0" w:color="auto"/>
              <w:bottom w:val="single" w:sz="4" w:space="0" w:color="auto"/>
              <w:right w:val="single" w:sz="4" w:space="0" w:color="auto"/>
            </w:tcBorders>
            <w:vAlign w:val="center"/>
          </w:tcPr>
          <w:p w14:paraId="083710EB" w14:textId="77777777" w:rsidR="00302BFE" w:rsidRPr="00B50655" w:rsidRDefault="00302BFE" w:rsidP="00243B15">
            <w:pPr>
              <w:jc w:val="center"/>
              <w:rPr>
                <w:sz w:val="18"/>
                <w:szCs w:val="18"/>
                <w:lang w:val="en-CA"/>
              </w:rPr>
            </w:pPr>
            <w:r w:rsidRPr="00B50655">
              <w:rPr>
                <w:sz w:val="18"/>
                <w:szCs w:val="18"/>
                <w:lang w:val="en-CA"/>
              </w:rPr>
              <w:t>5,446</w:t>
            </w:r>
          </w:p>
        </w:tc>
        <w:tc>
          <w:tcPr>
            <w:tcW w:w="1420" w:type="dxa"/>
            <w:tcBorders>
              <w:top w:val="single" w:sz="4" w:space="0" w:color="auto"/>
              <w:left w:val="single" w:sz="4" w:space="0" w:color="auto"/>
              <w:bottom w:val="single" w:sz="4" w:space="0" w:color="auto"/>
              <w:right w:val="single" w:sz="4" w:space="0" w:color="auto"/>
            </w:tcBorders>
            <w:noWrap/>
            <w:vAlign w:val="center"/>
          </w:tcPr>
          <w:p w14:paraId="4390ADCF" w14:textId="77777777" w:rsidR="00302BFE" w:rsidRPr="00B50655" w:rsidRDefault="00302BFE" w:rsidP="00243B15">
            <w:pPr>
              <w:jc w:val="center"/>
              <w:rPr>
                <w:rFonts w:cs="Calibri"/>
                <w:color w:val="000000"/>
                <w:sz w:val="18"/>
                <w:szCs w:val="18"/>
                <w:lang w:val="en-CA"/>
              </w:rPr>
            </w:pPr>
            <w:r w:rsidRPr="00B50655">
              <w:rPr>
                <w:rFonts w:cs="Calibri"/>
                <w:color w:val="000000"/>
                <w:sz w:val="18"/>
                <w:szCs w:val="18"/>
                <w:lang w:val="en-CA"/>
              </w:rPr>
              <w:t>102,739</w:t>
            </w:r>
          </w:p>
        </w:tc>
      </w:tr>
      <w:tr w:rsidR="00302BFE" w:rsidRPr="009300F4" w14:paraId="48F120E6" w14:textId="77777777" w:rsidTr="00243B15">
        <w:trPr>
          <w:cantSplit/>
        </w:trPr>
        <w:tc>
          <w:tcPr>
            <w:tcW w:w="1135" w:type="dxa"/>
            <w:noWrap/>
            <w:vAlign w:val="bottom"/>
          </w:tcPr>
          <w:p w14:paraId="6D747D46" w14:textId="77777777" w:rsidR="00302BFE" w:rsidRPr="00B50655" w:rsidRDefault="00302BFE" w:rsidP="00243B15">
            <w:pPr>
              <w:rPr>
                <w:sz w:val="18"/>
                <w:szCs w:val="18"/>
                <w:lang w:val="en-CA"/>
              </w:rPr>
            </w:pPr>
          </w:p>
        </w:tc>
        <w:tc>
          <w:tcPr>
            <w:tcW w:w="283" w:type="dxa"/>
            <w:tcBorders>
              <w:top w:val="nil"/>
              <w:left w:val="nil"/>
              <w:bottom w:val="nil"/>
              <w:right w:val="single" w:sz="4" w:space="0" w:color="auto"/>
            </w:tcBorders>
            <w:noWrap/>
            <w:vAlign w:val="bottom"/>
          </w:tcPr>
          <w:p w14:paraId="28F6E68F" w14:textId="77777777" w:rsidR="00302BFE" w:rsidRPr="00B50655" w:rsidRDefault="00302BFE" w:rsidP="00243B15">
            <w:pPr>
              <w:rPr>
                <w:sz w:val="18"/>
                <w:szCs w:val="18"/>
                <w:lang w:val="en-CA"/>
              </w:rPr>
            </w:pPr>
          </w:p>
        </w:tc>
        <w:tc>
          <w:tcPr>
            <w:tcW w:w="4134" w:type="dxa"/>
            <w:tcBorders>
              <w:top w:val="double" w:sz="4" w:space="0" w:color="auto"/>
              <w:left w:val="single" w:sz="4" w:space="0" w:color="auto"/>
              <w:bottom w:val="single" w:sz="4" w:space="0" w:color="auto"/>
              <w:right w:val="single" w:sz="4" w:space="0" w:color="auto"/>
            </w:tcBorders>
            <w:noWrap/>
            <w:vAlign w:val="bottom"/>
            <w:hideMark/>
          </w:tcPr>
          <w:p w14:paraId="22F7C6CE" w14:textId="77777777" w:rsidR="00302BFE" w:rsidRPr="00B50655" w:rsidRDefault="00302BFE" w:rsidP="00243B15">
            <w:pPr>
              <w:jc w:val="right"/>
              <w:rPr>
                <w:sz w:val="18"/>
                <w:szCs w:val="18"/>
              </w:rPr>
            </w:pPr>
            <w:r w:rsidRPr="00B50655">
              <w:rPr>
                <w:b/>
                <w:bCs/>
                <w:sz w:val="18"/>
                <w:szCs w:val="18"/>
              </w:rPr>
              <w:t>TOTAL</w:t>
            </w:r>
          </w:p>
        </w:tc>
        <w:tc>
          <w:tcPr>
            <w:tcW w:w="1251" w:type="dxa"/>
            <w:tcBorders>
              <w:top w:val="double" w:sz="4" w:space="0" w:color="auto"/>
              <w:left w:val="single" w:sz="4" w:space="0" w:color="auto"/>
              <w:bottom w:val="single" w:sz="4" w:space="0" w:color="auto"/>
              <w:right w:val="single" w:sz="4" w:space="0" w:color="auto"/>
            </w:tcBorders>
            <w:noWrap/>
            <w:vAlign w:val="bottom"/>
            <w:hideMark/>
          </w:tcPr>
          <w:p w14:paraId="169291EC" w14:textId="0265F754" w:rsidR="00F83122" w:rsidRPr="00EF6D8E" w:rsidRDefault="0032232A" w:rsidP="004F4EA2">
            <w:pPr>
              <w:jc w:val="center"/>
              <w:rPr>
                <w:b/>
                <w:sz w:val="18"/>
                <w:szCs w:val="18"/>
              </w:rPr>
            </w:pPr>
            <w:r w:rsidRPr="00EF6D8E">
              <w:rPr>
                <w:b/>
                <w:sz w:val="18"/>
                <w:szCs w:val="18"/>
              </w:rPr>
              <w:t>3</w:t>
            </w:r>
            <w:r w:rsidR="006211CC" w:rsidRPr="00EF6D8E">
              <w:rPr>
                <w:b/>
                <w:sz w:val="18"/>
                <w:szCs w:val="18"/>
              </w:rPr>
              <w:t>,</w:t>
            </w:r>
            <w:r w:rsidR="0049063A" w:rsidRPr="00EF6D8E">
              <w:rPr>
                <w:b/>
                <w:sz w:val="18"/>
                <w:szCs w:val="18"/>
              </w:rPr>
              <w:t>396</w:t>
            </w:r>
            <w:r w:rsidR="006211CC" w:rsidRPr="00EF6D8E">
              <w:rPr>
                <w:b/>
                <w:sz w:val="18"/>
                <w:szCs w:val="18"/>
              </w:rPr>
              <w:t>,</w:t>
            </w:r>
            <w:r w:rsidRPr="00EF6D8E">
              <w:rPr>
                <w:b/>
                <w:sz w:val="18"/>
                <w:szCs w:val="18"/>
              </w:rPr>
              <w:t>941</w:t>
            </w:r>
          </w:p>
        </w:tc>
        <w:tc>
          <w:tcPr>
            <w:tcW w:w="1134" w:type="dxa"/>
            <w:tcBorders>
              <w:top w:val="double" w:sz="4" w:space="0" w:color="auto"/>
              <w:left w:val="single" w:sz="4" w:space="0" w:color="auto"/>
              <w:bottom w:val="single" w:sz="4" w:space="0" w:color="auto"/>
              <w:right w:val="single" w:sz="4" w:space="0" w:color="auto"/>
            </w:tcBorders>
            <w:noWrap/>
            <w:vAlign w:val="bottom"/>
            <w:hideMark/>
          </w:tcPr>
          <w:p w14:paraId="0FF4D059" w14:textId="1CCE0CC9" w:rsidR="00F83122" w:rsidRPr="00EF6D8E" w:rsidRDefault="0032232A" w:rsidP="004F4EA2">
            <w:pPr>
              <w:jc w:val="center"/>
              <w:rPr>
                <w:b/>
                <w:sz w:val="18"/>
                <w:szCs w:val="18"/>
              </w:rPr>
            </w:pPr>
            <w:r w:rsidRPr="00EF6D8E">
              <w:rPr>
                <w:b/>
                <w:sz w:val="18"/>
                <w:szCs w:val="18"/>
              </w:rPr>
              <w:t>4,</w:t>
            </w:r>
            <w:r w:rsidR="0049063A" w:rsidRPr="00EF6D8E">
              <w:rPr>
                <w:b/>
                <w:sz w:val="18"/>
                <w:szCs w:val="18"/>
              </w:rPr>
              <w:t>787</w:t>
            </w:r>
            <w:r w:rsidRPr="00EF6D8E">
              <w:rPr>
                <w:b/>
                <w:sz w:val="18"/>
                <w:szCs w:val="18"/>
              </w:rPr>
              <w:t>,013</w:t>
            </w:r>
          </w:p>
        </w:tc>
        <w:tc>
          <w:tcPr>
            <w:tcW w:w="1134" w:type="dxa"/>
            <w:tcBorders>
              <w:top w:val="double" w:sz="4" w:space="0" w:color="auto"/>
              <w:left w:val="single" w:sz="4" w:space="0" w:color="auto"/>
              <w:bottom w:val="single" w:sz="4" w:space="0" w:color="auto"/>
              <w:right w:val="single" w:sz="4" w:space="0" w:color="auto"/>
            </w:tcBorders>
            <w:noWrap/>
            <w:vAlign w:val="bottom"/>
            <w:hideMark/>
          </w:tcPr>
          <w:p w14:paraId="3DE98FFE" w14:textId="27CD4880" w:rsidR="00F83122" w:rsidRPr="00EF6D8E" w:rsidRDefault="0032232A" w:rsidP="004F4EA2">
            <w:pPr>
              <w:jc w:val="center"/>
              <w:rPr>
                <w:b/>
                <w:sz w:val="18"/>
                <w:szCs w:val="18"/>
              </w:rPr>
            </w:pPr>
            <w:r w:rsidRPr="00EF6D8E">
              <w:rPr>
                <w:b/>
                <w:sz w:val="18"/>
                <w:szCs w:val="18"/>
              </w:rPr>
              <w:t>8,</w:t>
            </w:r>
            <w:r w:rsidR="0049063A" w:rsidRPr="00EF6D8E">
              <w:rPr>
                <w:b/>
                <w:sz w:val="18"/>
                <w:szCs w:val="18"/>
              </w:rPr>
              <w:t>706</w:t>
            </w:r>
            <w:r w:rsidRPr="00EF6D8E">
              <w:rPr>
                <w:b/>
                <w:sz w:val="18"/>
                <w:szCs w:val="18"/>
              </w:rPr>
              <w:t>,993</w:t>
            </w:r>
          </w:p>
        </w:tc>
        <w:tc>
          <w:tcPr>
            <w:tcW w:w="1275" w:type="dxa"/>
            <w:tcBorders>
              <w:top w:val="double" w:sz="4" w:space="0" w:color="auto"/>
              <w:left w:val="single" w:sz="4" w:space="0" w:color="auto"/>
              <w:bottom w:val="single" w:sz="4" w:space="0" w:color="auto"/>
              <w:right w:val="single" w:sz="4" w:space="0" w:color="auto"/>
            </w:tcBorders>
            <w:noWrap/>
            <w:vAlign w:val="bottom"/>
            <w:hideMark/>
          </w:tcPr>
          <w:p w14:paraId="4445DCD0" w14:textId="096319F0" w:rsidR="00F83122" w:rsidRPr="00EF6D8E" w:rsidRDefault="0032232A" w:rsidP="009C3FD8">
            <w:pPr>
              <w:jc w:val="center"/>
              <w:rPr>
                <w:b/>
                <w:sz w:val="18"/>
                <w:szCs w:val="18"/>
              </w:rPr>
            </w:pPr>
            <w:r w:rsidRPr="00EF6D8E">
              <w:rPr>
                <w:b/>
                <w:sz w:val="18"/>
                <w:szCs w:val="18"/>
              </w:rPr>
              <w:t>5,</w:t>
            </w:r>
            <w:r w:rsidR="0049063A" w:rsidRPr="00EF6D8E">
              <w:rPr>
                <w:b/>
                <w:sz w:val="18"/>
                <w:szCs w:val="18"/>
              </w:rPr>
              <w:t>638</w:t>
            </w:r>
            <w:r w:rsidRPr="00EF6D8E">
              <w:rPr>
                <w:b/>
                <w:sz w:val="18"/>
                <w:szCs w:val="18"/>
              </w:rPr>
              <w:t>,869</w:t>
            </w:r>
          </w:p>
        </w:tc>
        <w:tc>
          <w:tcPr>
            <w:tcW w:w="1134" w:type="dxa"/>
            <w:tcBorders>
              <w:top w:val="double" w:sz="4" w:space="0" w:color="auto"/>
              <w:left w:val="single" w:sz="4" w:space="0" w:color="auto"/>
              <w:bottom w:val="single" w:sz="4" w:space="0" w:color="auto"/>
              <w:right w:val="single" w:sz="4" w:space="0" w:color="auto"/>
            </w:tcBorders>
          </w:tcPr>
          <w:p w14:paraId="4734F3B9" w14:textId="67110EDF" w:rsidR="009C3FD8" w:rsidRPr="00EF6D8E" w:rsidRDefault="00302BFE" w:rsidP="009C3FD8">
            <w:pPr>
              <w:jc w:val="center"/>
              <w:rPr>
                <w:b/>
                <w:sz w:val="18"/>
                <w:szCs w:val="18"/>
              </w:rPr>
            </w:pPr>
            <w:r w:rsidRPr="00EF6D8E">
              <w:rPr>
                <w:b/>
                <w:sz w:val="18"/>
                <w:szCs w:val="18"/>
              </w:rPr>
              <w:t>3,</w:t>
            </w:r>
            <w:r w:rsidR="0049063A" w:rsidRPr="00EF6D8E">
              <w:rPr>
                <w:b/>
                <w:sz w:val="18"/>
                <w:szCs w:val="18"/>
              </w:rPr>
              <w:t>619</w:t>
            </w:r>
            <w:r w:rsidRPr="00EF6D8E">
              <w:rPr>
                <w:b/>
                <w:sz w:val="18"/>
                <w:szCs w:val="18"/>
              </w:rPr>
              <w:t>,</w:t>
            </w:r>
            <w:r w:rsidR="009C3FD8" w:rsidRPr="00EF6D8E">
              <w:rPr>
                <w:b/>
                <w:sz w:val="18"/>
                <w:szCs w:val="18"/>
              </w:rPr>
              <w:t>90</w:t>
            </w:r>
            <w:r w:rsidRPr="00EF6D8E">
              <w:rPr>
                <w:b/>
                <w:sz w:val="18"/>
                <w:szCs w:val="18"/>
              </w:rPr>
              <w:t>1$</w:t>
            </w:r>
          </w:p>
        </w:tc>
        <w:tc>
          <w:tcPr>
            <w:tcW w:w="1134" w:type="dxa"/>
            <w:tcBorders>
              <w:top w:val="double" w:sz="4" w:space="0" w:color="auto"/>
              <w:left w:val="single" w:sz="4" w:space="0" w:color="auto"/>
              <w:bottom w:val="single" w:sz="4" w:space="0" w:color="auto"/>
              <w:right w:val="single" w:sz="4" w:space="0" w:color="auto"/>
            </w:tcBorders>
          </w:tcPr>
          <w:p w14:paraId="5576EA14" w14:textId="53463B65" w:rsidR="009C3FD8" w:rsidRPr="00EF6D8E" w:rsidRDefault="00302BFE" w:rsidP="009C3FD8">
            <w:pPr>
              <w:jc w:val="center"/>
              <w:rPr>
                <w:b/>
                <w:sz w:val="18"/>
                <w:szCs w:val="18"/>
              </w:rPr>
            </w:pPr>
            <w:r w:rsidRPr="00EF6D8E">
              <w:rPr>
                <w:b/>
                <w:sz w:val="18"/>
                <w:szCs w:val="18"/>
              </w:rPr>
              <w:t>1,</w:t>
            </w:r>
            <w:r w:rsidR="0049063A" w:rsidRPr="00EF6D8E">
              <w:rPr>
                <w:b/>
                <w:sz w:val="18"/>
                <w:szCs w:val="18"/>
              </w:rPr>
              <w:t>469</w:t>
            </w:r>
            <w:r w:rsidRPr="00EF6D8E">
              <w:rPr>
                <w:b/>
                <w:sz w:val="18"/>
                <w:szCs w:val="18"/>
              </w:rPr>
              <w:t>,</w:t>
            </w:r>
            <w:r w:rsidR="009C3FD8" w:rsidRPr="00EF6D8E">
              <w:rPr>
                <w:b/>
                <w:sz w:val="18"/>
                <w:szCs w:val="18"/>
              </w:rPr>
              <w:t>58</w:t>
            </w:r>
            <w:r w:rsidRPr="00EF6D8E">
              <w:rPr>
                <w:b/>
                <w:sz w:val="18"/>
                <w:szCs w:val="18"/>
              </w:rPr>
              <w:t>6$</w:t>
            </w:r>
          </w:p>
        </w:tc>
        <w:tc>
          <w:tcPr>
            <w:tcW w:w="1420" w:type="dxa"/>
            <w:tcBorders>
              <w:top w:val="double" w:sz="4" w:space="0" w:color="auto"/>
              <w:left w:val="single" w:sz="4" w:space="0" w:color="auto"/>
              <w:bottom w:val="single" w:sz="4" w:space="0" w:color="auto"/>
              <w:right w:val="single" w:sz="4" w:space="0" w:color="auto"/>
            </w:tcBorders>
            <w:noWrap/>
            <w:vAlign w:val="bottom"/>
            <w:hideMark/>
          </w:tcPr>
          <w:p w14:paraId="4DFEF45B" w14:textId="23F679A8" w:rsidR="009C3FD8" w:rsidRPr="0061566C" w:rsidRDefault="00302BFE" w:rsidP="009C3FD8">
            <w:pPr>
              <w:jc w:val="center"/>
              <w:rPr>
                <w:b/>
                <w:sz w:val="18"/>
                <w:szCs w:val="18"/>
              </w:rPr>
            </w:pPr>
            <w:r w:rsidRPr="00B50655">
              <w:rPr>
                <w:b/>
                <w:sz w:val="18"/>
                <w:szCs w:val="18"/>
              </w:rPr>
              <w:t>27,619,303$</w:t>
            </w:r>
          </w:p>
        </w:tc>
      </w:tr>
      <w:bookmarkEnd w:id="39"/>
    </w:tbl>
    <w:p w14:paraId="6587E939" w14:textId="77777777" w:rsidR="00302BFE" w:rsidRDefault="00302BFE" w:rsidP="00302BFE">
      <w:pPr>
        <w:rPr>
          <w:b/>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703"/>
        <w:gridCol w:w="13687"/>
      </w:tblGrid>
      <w:tr w:rsidR="00302BFE" w:rsidRPr="006E490C" w14:paraId="512CB478"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hideMark/>
          </w:tcPr>
          <w:p w14:paraId="2A0B2F76" w14:textId="77777777" w:rsidR="00302BFE" w:rsidRPr="006E490C" w:rsidRDefault="00302BFE" w:rsidP="00243B15">
            <w:pPr>
              <w:spacing w:before="40" w:after="40"/>
              <w:rPr>
                <w:rFonts w:cs="Calibri"/>
                <w:b/>
                <w:sz w:val="18"/>
                <w:szCs w:val="18"/>
                <w:lang w:val="en-GB"/>
              </w:rPr>
            </w:pPr>
            <w:r>
              <w:rPr>
                <w:lang w:val="en-GB"/>
              </w:rPr>
              <w:lastRenderedPageBreak/>
              <w:br w:type="page"/>
            </w:r>
            <w:r w:rsidRPr="006E490C">
              <w:rPr>
                <w:rFonts w:cs="Calibri"/>
                <w:b/>
                <w:sz w:val="18"/>
                <w:szCs w:val="18"/>
                <w:lang w:val="en-GB"/>
              </w:rPr>
              <w:t>Budget Note</w:t>
            </w:r>
          </w:p>
        </w:tc>
        <w:tc>
          <w:tcPr>
            <w:tcW w:w="13687" w:type="dxa"/>
            <w:tcBorders>
              <w:top w:val="single" w:sz="4" w:space="0" w:color="auto"/>
              <w:left w:val="single" w:sz="4" w:space="0" w:color="auto"/>
              <w:bottom w:val="single" w:sz="4" w:space="0" w:color="auto"/>
              <w:right w:val="single" w:sz="4" w:space="0" w:color="auto"/>
            </w:tcBorders>
            <w:hideMark/>
          </w:tcPr>
          <w:p w14:paraId="0A289019" w14:textId="77777777" w:rsidR="00302BFE" w:rsidRPr="006E490C" w:rsidRDefault="00302BFE" w:rsidP="00243B15">
            <w:pPr>
              <w:spacing w:before="40" w:after="40"/>
              <w:rPr>
                <w:rFonts w:cs="Calibri"/>
                <w:b/>
                <w:sz w:val="18"/>
                <w:szCs w:val="18"/>
                <w:lang w:val="en-GB"/>
              </w:rPr>
            </w:pPr>
            <w:r w:rsidRPr="006E490C">
              <w:rPr>
                <w:rFonts w:cs="Calibri"/>
                <w:b/>
                <w:sz w:val="18"/>
                <w:szCs w:val="18"/>
                <w:lang w:val="en-GB"/>
              </w:rPr>
              <w:t>Comments</w:t>
            </w:r>
          </w:p>
        </w:tc>
      </w:tr>
      <w:tr w:rsidR="00302BFE" w:rsidRPr="006E490C" w14:paraId="15981EB6" w14:textId="77777777" w:rsidTr="004F4EA2">
        <w:trPr>
          <w:trHeight w:val="197"/>
          <w:jc w:val="center"/>
        </w:trPr>
        <w:tc>
          <w:tcPr>
            <w:tcW w:w="14390" w:type="dxa"/>
            <w:gridSpan w:val="2"/>
            <w:tcBorders>
              <w:top w:val="single" w:sz="4" w:space="0" w:color="auto"/>
              <w:left w:val="single" w:sz="4" w:space="0" w:color="auto"/>
              <w:bottom w:val="single" w:sz="4" w:space="0" w:color="auto"/>
              <w:right w:val="single" w:sz="4" w:space="0" w:color="auto"/>
            </w:tcBorders>
            <w:shd w:val="clear" w:color="auto" w:fill="DEEAF6"/>
            <w:hideMark/>
          </w:tcPr>
          <w:p w14:paraId="3B1451EF" w14:textId="77777777" w:rsidR="00302BFE" w:rsidRPr="006E490C" w:rsidRDefault="00302BFE" w:rsidP="00243B15">
            <w:pPr>
              <w:spacing w:before="40" w:after="40"/>
              <w:rPr>
                <w:rFonts w:cs="Calibri"/>
                <w:b/>
                <w:sz w:val="18"/>
                <w:szCs w:val="18"/>
                <w:lang w:val="en-GB"/>
              </w:rPr>
            </w:pPr>
            <w:r w:rsidRPr="006E490C">
              <w:rPr>
                <w:b/>
                <w:sz w:val="18"/>
                <w:szCs w:val="18"/>
                <w:lang w:val="en-GB"/>
              </w:rPr>
              <w:t>Component 1. Framework for the Integrated Management of the Landscape of PONASI</w:t>
            </w:r>
          </w:p>
        </w:tc>
      </w:tr>
      <w:tr w:rsidR="00302BFE" w:rsidRPr="006E490C" w14:paraId="1C541B2D"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hideMark/>
          </w:tcPr>
          <w:p w14:paraId="07DEDA47" w14:textId="77777777" w:rsidR="00302BFE" w:rsidRPr="006E490C" w:rsidRDefault="00302BFE" w:rsidP="00243B15">
            <w:pPr>
              <w:spacing w:before="40" w:after="40"/>
              <w:jc w:val="center"/>
              <w:rPr>
                <w:rFonts w:eastAsia="Times New Roman" w:cs="Calibri"/>
                <w:i/>
                <w:iCs/>
                <w:sz w:val="18"/>
                <w:szCs w:val="18"/>
                <w:lang w:val="en-GB"/>
              </w:rPr>
            </w:pPr>
            <w:r w:rsidRPr="006E490C">
              <w:rPr>
                <w:rFonts w:eastAsia="Times New Roman" w:cs="Calibri"/>
                <w:i/>
                <w:iCs/>
                <w:sz w:val="18"/>
                <w:szCs w:val="18"/>
                <w:lang w:val="en-GB"/>
              </w:rPr>
              <w:t>1</w:t>
            </w:r>
          </w:p>
        </w:tc>
        <w:tc>
          <w:tcPr>
            <w:tcW w:w="13687" w:type="dxa"/>
            <w:tcBorders>
              <w:top w:val="single" w:sz="4" w:space="0" w:color="auto"/>
              <w:left w:val="single" w:sz="4" w:space="0" w:color="auto"/>
              <w:bottom w:val="single" w:sz="4" w:space="0" w:color="auto"/>
              <w:right w:val="single" w:sz="4" w:space="0" w:color="auto"/>
            </w:tcBorders>
            <w:hideMark/>
          </w:tcPr>
          <w:p w14:paraId="0B688514" w14:textId="77777777" w:rsidR="00302BFE" w:rsidRPr="006E490C" w:rsidRDefault="00302BFE" w:rsidP="00243B15">
            <w:pPr>
              <w:spacing w:before="40" w:after="40"/>
              <w:rPr>
                <w:rFonts w:cs="Calibri"/>
                <w:sz w:val="18"/>
                <w:szCs w:val="18"/>
                <w:lang w:val="en-GB"/>
              </w:rPr>
            </w:pPr>
            <w:r w:rsidRPr="006E490C">
              <w:rPr>
                <w:rFonts w:cs="Calibri"/>
                <w:sz w:val="18"/>
                <w:szCs w:val="18"/>
                <w:lang w:val="en-GB"/>
              </w:rPr>
              <w:t>(a) Expert in environmental land-use planning for the provision of technical support and management support for component 1 of the project, including the evaluation of the co-governance mechanism established by NATURAMA in the  framework of a previous project (PONASI); the formulation of recommendations to strengthen it, proposals for composition, missions and operational rules of the co-governance mechanism and its permanent technical core; assessing the capacity building needs of all stakeholders involved in the co-governance mechanism; development of the training program and contribution to the development of guidance and implementation documents; responsible for leading the land use planning process in collaboration with the PCU and members of the permanent technical core; train stakeholders to use the TESSA tool; provide guidance for the identification and adoption of criteria for SLM and the conservation of BD and SE in order to define different scenarios limiting the use of land and resources; for the integration of standards and criteria for SLM, the conservation of BD and ES and PAs in sectoral EIA guidelines and in sectoral programming (including agriculture, forestry, pastoralism and mining); the drafting of the Master Plan and its submission to the permanent technical core for validation; proposing a set of incentives and disincentives to promote compliance and a mechanism for conflict prevention and management; and support the integration of collaborative PA management plans, elephant protection and human-wildlife conflict mitigation plan and sustainable agro-silvo-pastoral management requirements in the Master Plan. Rate: $ 3,500 / week for 20 weeks in years 1, 2, 3 and 4 - Total cost: $ 70,000</w:t>
            </w:r>
          </w:p>
          <w:p w14:paraId="43C5F4FB" w14:textId="77777777" w:rsidR="00302BFE" w:rsidRPr="006E490C" w:rsidRDefault="00302BFE" w:rsidP="00243B15">
            <w:pPr>
              <w:spacing w:before="40" w:after="40"/>
              <w:rPr>
                <w:sz w:val="18"/>
                <w:szCs w:val="18"/>
                <w:lang w:val="en-GB" w:eastAsia="ja-JP"/>
              </w:rPr>
            </w:pPr>
            <w:r w:rsidRPr="006E490C">
              <w:rPr>
                <w:rFonts w:cs="Calibri"/>
                <w:sz w:val="18"/>
                <w:szCs w:val="18"/>
                <w:lang w:val="en-GB"/>
              </w:rPr>
              <w:t>(b) Expert in design and management of data systems to design and develop an information system (Output 1.2), identifying existing databases and information sources, including mapping documents, on biodiversity, forestry, agriculture and pastoralism, as well as other sectors that may have an impact on ecosystem services such as mining in the PONASI landscape; assessment of the reliability and quality of data, and the development of a biodiversity and land use database to support decision-making on environmental land use planning and follow-up on the implementation of the resulting landscaping master plan; design and supervise the implementation of land-use monitoring systems in order to estimate GHG emissions and captures, for the monitoring of biodiversity and human-wildlife conflicts in the PONASI landscape; make recommendations on the institutional anchoring of the information system, the responsibility for management and the financing of operations and their updating to ensure sustainability. The expert is also responsible for training all stakeholders to enable them to consult the information system and contribute to its updating. Lump sum amount based on the deliverables. Total cost: $ 30,000</w:t>
            </w:r>
          </w:p>
        </w:tc>
      </w:tr>
      <w:tr w:rsidR="00302BFE" w:rsidRPr="006E490C" w14:paraId="304C98BF"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hideMark/>
          </w:tcPr>
          <w:p w14:paraId="61A34697" w14:textId="77777777" w:rsidR="00302BFE" w:rsidRPr="006E490C" w:rsidRDefault="00302BFE" w:rsidP="00243B15">
            <w:pPr>
              <w:spacing w:before="40" w:after="40"/>
              <w:jc w:val="center"/>
              <w:rPr>
                <w:rFonts w:eastAsia="Times New Roman" w:cs="Calibri"/>
                <w:i/>
                <w:iCs/>
                <w:sz w:val="18"/>
                <w:szCs w:val="18"/>
                <w:lang w:val="en-GB"/>
              </w:rPr>
            </w:pPr>
            <w:r w:rsidRPr="006E490C">
              <w:rPr>
                <w:rFonts w:eastAsia="Times New Roman" w:cs="Calibri"/>
                <w:i/>
                <w:iCs/>
                <w:sz w:val="18"/>
                <w:szCs w:val="18"/>
                <w:lang w:val="en-GB"/>
              </w:rPr>
              <w:t>2</w:t>
            </w:r>
          </w:p>
        </w:tc>
        <w:tc>
          <w:tcPr>
            <w:tcW w:w="13687" w:type="dxa"/>
            <w:tcBorders>
              <w:top w:val="single" w:sz="4" w:space="0" w:color="auto"/>
              <w:left w:val="single" w:sz="4" w:space="0" w:color="auto"/>
              <w:bottom w:val="single" w:sz="4" w:space="0" w:color="auto"/>
              <w:right w:val="single" w:sz="4" w:space="0" w:color="auto"/>
            </w:tcBorders>
            <w:hideMark/>
          </w:tcPr>
          <w:p w14:paraId="4FD8065E" w14:textId="77777777" w:rsidR="00302BFE" w:rsidRPr="006E490C" w:rsidRDefault="00302BFE" w:rsidP="00243B15">
            <w:pPr>
              <w:spacing w:before="40" w:after="40"/>
              <w:rPr>
                <w:rFonts w:eastAsia="Times New Roman" w:cs="Calibri"/>
                <w:sz w:val="18"/>
                <w:szCs w:val="18"/>
                <w:lang w:val="en-GB"/>
              </w:rPr>
            </w:pPr>
            <w:r w:rsidRPr="006E490C">
              <w:rPr>
                <w:rFonts w:eastAsia="Times New Roman" w:cs="Calibri"/>
                <w:sz w:val="18"/>
                <w:szCs w:val="18"/>
                <w:lang w:val="en-GB"/>
              </w:rPr>
              <w:t xml:space="preserve">(a) Land-use planning specialist to support the international land-use planning expert and the expert in data system design and management in the collection of information and data in all activities related to component 1, including support for consultations at regional and local levels. </w:t>
            </w:r>
            <w:r w:rsidRPr="00683440">
              <w:rPr>
                <w:rFonts w:eastAsia="Times New Roman" w:cs="Calibri"/>
                <w:sz w:val="18"/>
                <w:szCs w:val="18"/>
                <w:lang w:val="en-GB"/>
              </w:rPr>
              <w:t>Rate: $ 1,750 / month for 18 months in years 1, 2 and 3, total cost: $</w:t>
            </w:r>
            <w:r w:rsidRPr="006E490C">
              <w:rPr>
                <w:rFonts w:eastAsia="Times New Roman" w:cs="Calibri"/>
                <w:sz w:val="18"/>
                <w:szCs w:val="18"/>
                <w:lang w:val="en-GB"/>
              </w:rPr>
              <w:t>31,500. (All activities in Outcome 1).</w:t>
            </w:r>
          </w:p>
          <w:p w14:paraId="2D791320" w14:textId="77777777" w:rsidR="00302BFE" w:rsidRPr="006E490C" w:rsidRDefault="00302BFE" w:rsidP="00243B15">
            <w:pPr>
              <w:spacing w:before="40" w:after="40"/>
              <w:rPr>
                <w:rFonts w:eastAsia="Times New Roman" w:cs="Calibri"/>
                <w:sz w:val="18"/>
                <w:szCs w:val="18"/>
                <w:lang w:val="en-GB"/>
              </w:rPr>
            </w:pPr>
            <w:r w:rsidRPr="006E490C">
              <w:rPr>
                <w:rFonts w:eastAsia="Times New Roman" w:cs="Calibri"/>
                <w:sz w:val="18"/>
                <w:szCs w:val="18"/>
                <w:lang w:val="en-GB"/>
              </w:rPr>
              <w:t xml:space="preserve">b) Legal consultant for the validation of the composition and missions of the co-governance mechanism and the permanent technical core; the development of the decree of the minister in charge of local authorities establishing these entities and the verification of the conformity of the master plan with the political and legislative framework in force. </w:t>
            </w:r>
            <w:r w:rsidRPr="00683440">
              <w:rPr>
                <w:rFonts w:eastAsia="Times New Roman" w:cs="Calibri"/>
                <w:sz w:val="18"/>
                <w:szCs w:val="18"/>
                <w:lang w:val="en-GB"/>
              </w:rPr>
              <w:t xml:space="preserve">Rate: $ </w:t>
            </w:r>
            <w:r>
              <w:rPr>
                <w:rFonts w:eastAsia="Times New Roman" w:cs="Calibri"/>
                <w:sz w:val="18"/>
                <w:szCs w:val="18"/>
                <w:lang w:val="en-GB"/>
              </w:rPr>
              <w:t>2</w:t>
            </w:r>
            <w:r w:rsidRPr="00683440">
              <w:rPr>
                <w:rFonts w:eastAsia="Times New Roman" w:cs="Calibri"/>
                <w:sz w:val="18"/>
                <w:szCs w:val="18"/>
                <w:lang w:val="en-GB"/>
              </w:rPr>
              <w:t>,</w:t>
            </w:r>
            <w:r>
              <w:rPr>
                <w:rFonts w:eastAsia="Times New Roman" w:cs="Calibri"/>
                <w:sz w:val="18"/>
                <w:szCs w:val="18"/>
                <w:lang w:val="en-GB"/>
              </w:rPr>
              <w:t>00</w:t>
            </w:r>
            <w:r w:rsidRPr="00683440">
              <w:rPr>
                <w:rFonts w:eastAsia="Times New Roman" w:cs="Calibri"/>
                <w:sz w:val="18"/>
                <w:szCs w:val="18"/>
                <w:lang w:val="en-GB"/>
              </w:rPr>
              <w:t xml:space="preserve">0 / month </w:t>
            </w:r>
            <w:r w:rsidRPr="006E490C">
              <w:rPr>
                <w:rFonts w:eastAsia="Times New Roman" w:cs="Calibri"/>
                <w:sz w:val="18"/>
                <w:szCs w:val="18"/>
                <w:lang w:val="en-GB"/>
              </w:rPr>
              <w:t xml:space="preserve">for 2 months, </w:t>
            </w:r>
            <w:r>
              <w:rPr>
                <w:rFonts w:eastAsia="Times New Roman" w:cs="Calibri"/>
                <w:sz w:val="18"/>
                <w:szCs w:val="18"/>
                <w:lang w:val="en-GB"/>
              </w:rPr>
              <w:t xml:space="preserve">in </w:t>
            </w:r>
            <w:r w:rsidRPr="006E490C">
              <w:rPr>
                <w:rFonts w:eastAsia="Times New Roman" w:cs="Calibri"/>
                <w:sz w:val="18"/>
                <w:szCs w:val="18"/>
                <w:lang w:val="en-GB"/>
              </w:rPr>
              <w:t>year 2</w:t>
            </w:r>
            <w:r>
              <w:rPr>
                <w:rFonts w:eastAsia="Times New Roman" w:cs="Calibri"/>
                <w:sz w:val="18"/>
                <w:szCs w:val="18"/>
                <w:lang w:val="en-GB"/>
              </w:rPr>
              <w:t xml:space="preserve">. </w:t>
            </w:r>
            <w:r w:rsidRPr="006E490C">
              <w:rPr>
                <w:rFonts w:eastAsia="Times New Roman" w:cs="Calibri"/>
                <w:sz w:val="18"/>
                <w:szCs w:val="18"/>
                <w:lang w:val="en-GB"/>
              </w:rPr>
              <w:t xml:space="preserve">Total cost: $ 4,000 </w:t>
            </w:r>
          </w:p>
          <w:p w14:paraId="18DF7756" w14:textId="77777777" w:rsidR="00302BFE" w:rsidRPr="006E490C" w:rsidRDefault="00302BFE" w:rsidP="00243B15">
            <w:pPr>
              <w:spacing w:before="40" w:after="40"/>
              <w:rPr>
                <w:rFonts w:eastAsia="Times New Roman" w:cs="Calibri"/>
                <w:sz w:val="18"/>
                <w:szCs w:val="18"/>
                <w:lang w:val="en-GB"/>
              </w:rPr>
            </w:pPr>
            <w:r w:rsidRPr="006E490C">
              <w:rPr>
                <w:rFonts w:eastAsia="Times New Roman" w:cs="Calibri"/>
                <w:sz w:val="18"/>
                <w:szCs w:val="18"/>
                <w:lang w:val="en-GB"/>
              </w:rPr>
              <w:t>c) Forest engineer / REDD+ specialist to carry out an on-the-ground assessment of carbon stocks in the forest areas of the PONASI landscape; oversee the establishment of baseline situation based on forest inventory data and field verification of land use; develop the sampling plan to track carbon stocks; evaluate carbon emissions and capture based on monitoring system data; supervise the mid-term and end-of-project monitoring of land and forest use changes, in collaboration with the regional and communal forest services, and oversee the documentation of changes in land use and forest use at mid-term and end-of-project (output 1.3) Rates $ 1,750 / month for 12 months in years 1, 2, 3 and 6, total cost: $ 21,000</w:t>
            </w:r>
          </w:p>
          <w:p w14:paraId="4FF1E75F" w14:textId="77777777" w:rsidR="00302BFE" w:rsidRPr="006E490C" w:rsidRDefault="00302BFE" w:rsidP="00243B15">
            <w:pPr>
              <w:spacing w:before="40" w:after="40"/>
              <w:rPr>
                <w:rFonts w:eastAsia="Times New Roman" w:cs="Calibri"/>
                <w:sz w:val="18"/>
                <w:szCs w:val="18"/>
                <w:lang w:val="en-GB"/>
              </w:rPr>
            </w:pPr>
            <w:r w:rsidRPr="006E490C">
              <w:rPr>
                <w:rFonts w:eastAsia="Times New Roman" w:cs="Calibri"/>
                <w:sz w:val="18"/>
                <w:szCs w:val="18"/>
                <w:lang w:val="en-GB"/>
              </w:rPr>
              <w:t>d) GIS specialist to support geo-referencing from satellite images or aerial photographs to plan forest on-the-ground verification surveys (Output 1.3) Rate: $ 1,750 / month for 4 months in Years 1 and 6. Total cost: $ 7,000.</w:t>
            </w:r>
          </w:p>
          <w:p w14:paraId="0E460C25" w14:textId="77777777" w:rsidR="00302BFE" w:rsidRPr="006E490C" w:rsidRDefault="00302BFE" w:rsidP="00243B15">
            <w:pPr>
              <w:spacing w:before="40" w:after="40"/>
              <w:rPr>
                <w:rFonts w:eastAsia="MS Mincho"/>
                <w:noProof/>
                <w:sz w:val="18"/>
                <w:szCs w:val="18"/>
                <w:lang w:val="en-GB" w:eastAsia="ja-JP"/>
              </w:rPr>
            </w:pPr>
            <w:r w:rsidRPr="006E490C">
              <w:rPr>
                <w:rFonts w:eastAsia="Times New Roman" w:cs="Calibri"/>
                <w:sz w:val="18"/>
                <w:szCs w:val="18"/>
                <w:lang w:val="en-GB"/>
              </w:rPr>
              <w:t>e) Field Assistant / Plant Biologist to provide support to the forest engineer in the field assessment of carbon stocks in the forest areas of the PONASI landscape, support the establishment of baseline situation on the basis of forest inventory data and field verification of land use; support monitoring and document changes in land and forest use at the mid-term and end of project (output 1.3). Rate: $ 1,250 / month for 12 months in years 1, 2, 3 and 6, total cost: $ 15,000</w:t>
            </w:r>
          </w:p>
        </w:tc>
      </w:tr>
      <w:tr w:rsidR="00302BFE" w:rsidRPr="006E490C" w14:paraId="7D566AE0"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hideMark/>
          </w:tcPr>
          <w:p w14:paraId="058C9ECC" w14:textId="77777777" w:rsidR="00302BFE" w:rsidRPr="006E490C" w:rsidRDefault="00302BFE" w:rsidP="00243B15">
            <w:pPr>
              <w:spacing w:before="40" w:after="40"/>
              <w:jc w:val="center"/>
              <w:rPr>
                <w:rFonts w:eastAsia="Times New Roman" w:cs="Calibri"/>
                <w:i/>
                <w:iCs/>
                <w:sz w:val="18"/>
                <w:szCs w:val="18"/>
                <w:lang w:val="en-GB"/>
              </w:rPr>
            </w:pPr>
            <w:r w:rsidRPr="006E490C">
              <w:rPr>
                <w:rFonts w:eastAsia="Times New Roman" w:cs="Calibri"/>
                <w:i/>
                <w:iCs/>
                <w:sz w:val="18"/>
                <w:szCs w:val="18"/>
                <w:lang w:val="en-GB"/>
              </w:rPr>
              <w:t>3</w:t>
            </w:r>
          </w:p>
        </w:tc>
        <w:tc>
          <w:tcPr>
            <w:tcW w:w="13687" w:type="dxa"/>
            <w:tcBorders>
              <w:top w:val="single" w:sz="4" w:space="0" w:color="auto"/>
              <w:left w:val="single" w:sz="4" w:space="0" w:color="auto"/>
              <w:bottom w:val="single" w:sz="4" w:space="0" w:color="auto"/>
              <w:right w:val="single" w:sz="4" w:space="0" w:color="auto"/>
            </w:tcBorders>
            <w:hideMark/>
          </w:tcPr>
          <w:p w14:paraId="7EB4AF8E" w14:textId="77777777" w:rsidR="00302BFE" w:rsidRPr="006E490C" w:rsidRDefault="00302BFE" w:rsidP="00243B15">
            <w:pPr>
              <w:spacing w:before="40" w:after="40"/>
              <w:rPr>
                <w:rFonts w:eastAsia="Times New Roman" w:cs="Calibri"/>
                <w:sz w:val="18"/>
                <w:szCs w:val="18"/>
                <w:lang w:val="en-GB"/>
              </w:rPr>
            </w:pPr>
            <w:r w:rsidRPr="006E490C">
              <w:rPr>
                <w:rFonts w:eastAsia="Times New Roman" w:cs="Calibri"/>
                <w:sz w:val="18"/>
                <w:szCs w:val="18"/>
                <w:lang w:val="en-GB"/>
              </w:rPr>
              <w:t xml:space="preserve">a) </w:t>
            </w:r>
            <w:bookmarkStart w:id="40" w:name="_Hlk9509897"/>
            <w:r w:rsidRPr="006E490C">
              <w:rPr>
                <w:rFonts w:eastAsia="Times New Roman" w:cs="Calibri"/>
                <w:sz w:val="18"/>
                <w:szCs w:val="18"/>
                <w:lang w:val="en-GB"/>
              </w:rPr>
              <w:t xml:space="preserve">Project coordinator (20% of time for the component) responsible for providing technical inputs to various outputs under the component 1, especially the outputs 1.1 for the establishment of the PONASI Landscape Co-Governance Mechanism and 1.4 for the development of the PONASI Landscape Management Master Plan. </w:t>
            </w:r>
            <w:r>
              <w:rPr>
                <w:rFonts w:eastAsia="Times New Roman" w:cs="Calibri"/>
                <w:sz w:val="18"/>
                <w:szCs w:val="18"/>
                <w:lang w:val="en-GB"/>
              </w:rPr>
              <w:t xml:space="preserve">Rate: </w:t>
            </w:r>
            <w:r w:rsidRPr="006E490C">
              <w:rPr>
                <w:rFonts w:eastAsia="Times New Roman" w:cs="Calibri"/>
                <w:sz w:val="18"/>
                <w:szCs w:val="18"/>
                <w:lang w:val="en-GB"/>
              </w:rPr>
              <w:t>$400 / month over 6 years. Total cost: $ 28,800.</w:t>
            </w:r>
            <w:bookmarkEnd w:id="40"/>
          </w:p>
          <w:p w14:paraId="74BFC44F" w14:textId="77777777" w:rsidR="00302BFE" w:rsidRPr="006E490C" w:rsidRDefault="00302BFE" w:rsidP="00243B15">
            <w:pPr>
              <w:spacing w:before="40" w:after="40"/>
              <w:rPr>
                <w:rFonts w:eastAsia="Times New Roman" w:cs="Calibri"/>
                <w:sz w:val="18"/>
                <w:szCs w:val="18"/>
                <w:lang w:val="en-GB"/>
              </w:rPr>
            </w:pPr>
            <w:r w:rsidRPr="006E490C">
              <w:rPr>
                <w:rFonts w:eastAsia="Times New Roman" w:cs="Calibri"/>
                <w:sz w:val="18"/>
                <w:szCs w:val="18"/>
                <w:lang w:val="en-GB"/>
              </w:rPr>
              <w:t>b) Project driver / logistician (25% for the component) to support all components of the project @ $ 150 / month for 70 months - Total cost: $ 13,125</w:t>
            </w:r>
          </w:p>
          <w:p w14:paraId="7BDAEFED" w14:textId="77777777" w:rsidR="00302BFE" w:rsidRPr="00E03056" w:rsidRDefault="00302BFE" w:rsidP="00243B15">
            <w:pPr>
              <w:spacing w:before="40" w:after="40"/>
              <w:rPr>
                <w:rFonts w:eastAsia="Times New Roman" w:cs="Calibri"/>
                <w:sz w:val="18"/>
                <w:szCs w:val="18"/>
                <w:lang w:val="en-GB"/>
              </w:rPr>
            </w:pPr>
            <w:r w:rsidRPr="00E03056">
              <w:rPr>
                <w:rFonts w:eastAsia="Times New Roman" w:cs="Calibri"/>
                <w:sz w:val="18"/>
                <w:szCs w:val="18"/>
                <w:lang w:val="en-GB"/>
              </w:rPr>
              <w:t>c) Expert in Monitoring-Evaluation / Safeguards (25% for the component) to oversee the development of databases for monitoring carbon stocks (Output 1.3) and to monitor the implementation of the Master Plan (output 1.5. 2). $ 437.50 / month for 12 months. Annual cost: $ 5,250 in years 1 to 6 total cost: $ 31,500.</w:t>
            </w:r>
          </w:p>
          <w:p w14:paraId="1933403A" w14:textId="77777777" w:rsidR="00302BFE" w:rsidRPr="006E490C" w:rsidRDefault="00302BFE" w:rsidP="00243B15">
            <w:pPr>
              <w:spacing w:before="40" w:after="40"/>
              <w:rPr>
                <w:rFonts w:eastAsia="Times New Roman" w:cs="Calibri"/>
                <w:sz w:val="18"/>
                <w:szCs w:val="18"/>
                <w:lang w:val="en-GB"/>
              </w:rPr>
            </w:pPr>
            <w:r w:rsidRPr="00E03056">
              <w:rPr>
                <w:rFonts w:eastAsia="Times New Roman" w:cs="Calibri"/>
                <w:sz w:val="18"/>
                <w:szCs w:val="18"/>
                <w:lang w:val="en-GB"/>
              </w:rPr>
              <w:lastRenderedPageBreak/>
              <w:t>d) Gender specialist (10% for the component) responsible for overseeing gender mainstreaming in all project components and monitoring the implementation of the gender action plan. Annual cost: $ 1,050 in years 1 to 6 Total cost: $ 6,300</w:t>
            </w:r>
          </w:p>
          <w:p w14:paraId="5E339E8D" w14:textId="77777777" w:rsidR="00302BFE" w:rsidRPr="006E490C" w:rsidRDefault="00302BFE" w:rsidP="00243B15">
            <w:pPr>
              <w:spacing w:before="40" w:after="40"/>
              <w:rPr>
                <w:rFonts w:eastAsia="Times New Roman" w:cs="Calibri"/>
                <w:sz w:val="18"/>
                <w:szCs w:val="18"/>
                <w:lang w:val="en-GB"/>
              </w:rPr>
            </w:pPr>
            <w:r w:rsidRPr="006E490C">
              <w:rPr>
                <w:rFonts w:eastAsia="Times New Roman" w:cs="Calibri"/>
                <w:sz w:val="18"/>
                <w:szCs w:val="18"/>
                <w:lang w:val="en-GB"/>
              </w:rPr>
              <w:t>e) Communication / knowledge management expert (10% for the component) responsible for the development and implementation of the project communication strategy in support of all project components. Annual cost: $ 1,050 in years 1 to 6 Total cost: $ 6,300</w:t>
            </w:r>
          </w:p>
        </w:tc>
      </w:tr>
      <w:tr w:rsidR="00302BFE" w:rsidRPr="006E490C" w14:paraId="3ED41980" w14:textId="77777777" w:rsidTr="002444C5">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hideMark/>
          </w:tcPr>
          <w:p w14:paraId="774F038A" w14:textId="77777777" w:rsidR="00302BFE" w:rsidRPr="002444C5" w:rsidRDefault="00302BFE" w:rsidP="00243B15">
            <w:pPr>
              <w:spacing w:before="40" w:after="40"/>
              <w:jc w:val="center"/>
              <w:rPr>
                <w:rFonts w:eastAsia="Times New Roman" w:cs="Calibri"/>
                <w:i/>
                <w:iCs/>
                <w:sz w:val="18"/>
                <w:szCs w:val="18"/>
                <w:lang w:val="en-GB"/>
              </w:rPr>
            </w:pPr>
            <w:r w:rsidRPr="002444C5">
              <w:rPr>
                <w:rFonts w:eastAsia="Times New Roman" w:cs="Calibri"/>
                <w:i/>
                <w:iCs/>
                <w:sz w:val="18"/>
                <w:szCs w:val="18"/>
                <w:lang w:val="en-GB"/>
              </w:rPr>
              <w:lastRenderedPageBreak/>
              <w:t>4</w:t>
            </w:r>
          </w:p>
        </w:tc>
        <w:tc>
          <w:tcPr>
            <w:tcW w:w="13687" w:type="dxa"/>
            <w:tcBorders>
              <w:top w:val="single" w:sz="4" w:space="0" w:color="auto"/>
              <w:left w:val="single" w:sz="4" w:space="0" w:color="auto"/>
              <w:bottom w:val="single" w:sz="4" w:space="0" w:color="auto"/>
              <w:right w:val="single" w:sz="4" w:space="0" w:color="auto"/>
            </w:tcBorders>
            <w:shd w:val="clear" w:color="auto" w:fill="auto"/>
            <w:hideMark/>
          </w:tcPr>
          <w:p w14:paraId="34F18B6C" w14:textId="1A337AE1" w:rsidR="00302BFE" w:rsidRPr="002444C5" w:rsidRDefault="00A642FE" w:rsidP="00243B15">
            <w:pPr>
              <w:spacing w:before="40" w:after="40"/>
              <w:rPr>
                <w:rFonts w:eastAsia="Times New Roman" w:cs="Calibri"/>
                <w:sz w:val="18"/>
                <w:szCs w:val="18"/>
                <w:lang w:val="en-GB"/>
              </w:rPr>
            </w:pPr>
            <w:r w:rsidRPr="002444C5">
              <w:rPr>
                <w:rFonts w:eastAsia="Times New Roman" w:cs="Calibri"/>
                <w:sz w:val="18"/>
                <w:szCs w:val="18"/>
                <w:lang w:val="en-GB"/>
              </w:rPr>
              <w:t>a</w:t>
            </w:r>
            <w:r w:rsidR="00302BFE" w:rsidRPr="002444C5">
              <w:rPr>
                <w:rFonts w:eastAsia="Times New Roman" w:cs="Calibri"/>
                <w:sz w:val="18"/>
                <w:szCs w:val="18"/>
                <w:lang w:val="en-GB"/>
              </w:rPr>
              <w:t>) Lump sum (shared between all components) for fuel purchase and vehicle maintenance of the Project Coordination Unit to be used for most field missions (consultants and PCU staff) as well as for motorcycles for the travel of technical assistants and community mobilization assistants @ $ 1,500 / year for years 1 to 6. Total cost: $ 9,000</w:t>
            </w:r>
          </w:p>
          <w:p w14:paraId="317E7BDC" w14:textId="788A3610" w:rsidR="00302BFE" w:rsidRPr="002444C5" w:rsidRDefault="00A642FE" w:rsidP="00243B15">
            <w:pPr>
              <w:spacing w:before="40" w:after="40"/>
              <w:rPr>
                <w:rFonts w:eastAsia="Times New Roman" w:cs="Calibri"/>
                <w:sz w:val="18"/>
                <w:szCs w:val="18"/>
                <w:lang w:val="en-GB"/>
              </w:rPr>
            </w:pPr>
            <w:r w:rsidRPr="002444C5">
              <w:rPr>
                <w:rFonts w:eastAsia="Times New Roman" w:cs="Calibri"/>
                <w:sz w:val="18"/>
                <w:szCs w:val="18"/>
                <w:lang w:val="en-GB"/>
              </w:rPr>
              <w:t>b</w:t>
            </w:r>
            <w:r w:rsidR="00302BFE" w:rsidRPr="002444C5">
              <w:rPr>
                <w:rFonts w:eastAsia="Times New Roman" w:cs="Calibri"/>
                <w:sz w:val="18"/>
                <w:szCs w:val="18"/>
                <w:lang w:val="en-GB"/>
              </w:rPr>
              <w:t>) Travel costs for the participatory validation workshop of the composition and missions of the co-governance mechanism and the permanent technical core, as well as criteria for the selection of members, ensuring the participation of women in decisions (Output 1.1). Estimated costs assuming the participation of 75 people from the PONASI region and 10 people from Ouagadougou. Total cost: $ 2,200 in the first year</w:t>
            </w:r>
          </w:p>
          <w:p w14:paraId="5C6287A7" w14:textId="304029CE" w:rsidR="00302BFE" w:rsidRPr="002444C5" w:rsidRDefault="00A642FE" w:rsidP="00243B15">
            <w:pPr>
              <w:spacing w:before="40" w:after="40"/>
              <w:rPr>
                <w:rFonts w:eastAsia="Times New Roman" w:cs="Calibri"/>
                <w:sz w:val="18"/>
                <w:szCs w:val="18"/>
                <w:lang w:val="en-GB"/>
              </w:rPr>
            </w:pPr>
            <w:r w:rsidRPr="002444C5">
              <w:rPr>
                <w:rFonts w:eastAsia="Times New Roman" w:cs="Calibri"/>
                <w:sz w:val="18"/>
                <w:szCs w:val="18"/>
                <w:lang w:val="en-GB"/>
              </w:rPr>
              <w:t>c</w:t>
            </w:r>
            <w:r w:rsidR="00302BFE" w:rsidRPr="002444C5">
              <w:rPr>
                <w:rFonts w:eastAsia="Times New Roman" w:cs="Calibri"/>
                <w:sz w:val="18"/>
                <w:szCs w:val="18"/>
                <w:lang w:val="en-GB"/>
              </w:rPr>
              <w:t>) Travel costs for 10 local workshops / roundtable negotiations to discuss the land use decision process, and criteria / standards for the conservation of biodiversity and SEs, PAs and SLM as a basis for planning, assuming 50 mainly local participants. (Output 1.2). Estimated costs assuming the participation of 50 people from the region @ $1,200 for each workshop. Total cost $ 3,600 in first year</w:t>
            </w:r>
          </w:p>
          <w:p w14:paraId="4AFAFE9D" w14:textId="3BD585E9" w:rsidR="00302BFE" w:rsidRPr="002444C5" w:rsidRDefault="00A642FE" w:rsidP="00243B15">
            <w:pPr>
              <w:spacing w:before="40" w:after="40"/>
              <w:rPr>
                <w:rFonts w:eastAsia="Times New Roman" w:cs="Calibri"/>
                <w:sz w:val="18"/>
                <w:szCs w:val="18"/>
                <w:lang w:val="en-GB"/>
              </w:rPr>
            </w:pPr>
            <w:r w:rsidRPr="002444C5">
              <w:rPr>
                <w:rFonts w:eastAsia="Times New Roman" w:cs="Calibri"/>
                <w:sz w:val="18"/>
                <w:szCs w:val="18"/>
                <w:lang w:val="en-GB"/>
              </w:rPr>
              <w:t>d</w:t>
            </w:r>
            <w:r w:rsidR="00302BFE" w:rsidRPr="002444C5">
              <w:rPr>
                <w:rFonts w:eastAsia="Times New Roman" w:cs="Calibri"/>
                <w:sz w:val="18"/>
                <w:szCs w:val="18"/>
                <w:lang w:val="en-GB"/>
              </w:rPr>
              <w:t>) Reserve for travel costs to ensure the participation of local community members in training provided by the international consultant as part of the environmental land use planning process. (Output 1.1) Total cost $ 3,000</w:t>
            </w:r>
          </w:p>
          <w:p w14:paraId="1A06AAEC" w14:textId="77777777" w:rsidR="00302BFE" w:rsidRPr="002444C5" w:rsidRDefault="00302BFE" w:rsidP="00243B15">
            <w:pPr>
              <w:spacing w:before="40" w:after="40"/>
              <w:rPr>
                <w:rFonts w:eastAsia="Times New Roman" w:cs="Calibri"/>
                <w:sz w:val="18"/>
                <w:szCs w:val="18"/>
                <w:lang w:val="en-GB"/>
              </w:rPr>
            </w:pPr>
            <w:r w:rsidRPr="002444C5">
              <w:rPr>
                <w:rFonts w:eastAsia="Times New Roman" w:cs="Calibri"/>
                <w:sz w:val="18"/>
                <w:szCs w:val="18"/>
                <w:lang w:val="en-GB"/>
              </w:rPr>
              <w:t>f) Travel costs for the participatory validation workshop of the PONASI Landscape Land Use Master Plan (Output 1.4). Estimated costs assuming the participation of 75 people from the PONASI region and 10 people from Ouagadougou. Total cost: $ 2,200 in the first year</w:t>
            </w:r>
          </w:p>
          <w:p w14:paraId="0CD7EA11" w14:textId="1B3A1A32" w:rsidR="00302BFE" w:rsidRPr="002444C5" w:rsidRDefault="00A642FE" w:rsidP="00243B15">
            <w:pPr>
              <w:spacing w:before="40" w:after="40"/>
              <w:rPr>
                <w:rFonts w:eastAsia="Times New Roman" w:cs="Calibri"/>
                <w:sz w:val="18"/>
                <w:szCs w:val="18"/>
                <w:lang w:val="en-GB"/>
              </w:rPr>
            </w:pPr>
            <w:r w:rsidRPr="002444C5">
              <w:rPr>
                <w:rFonts w:eastAsia="Times New Roman" w:cs="Calibri"/>
                <w:sz w:val="18"/>
                <w:szCs w:val="18"/>
                <w:lang w:val="en-GB"/>
              </w:rPr>
              <w:t>e</w:t>
            </w:r>
            <w:r w:rsidR="00302BFE" w:rsidRPr="002444C5">
              <w:rPr>
                <w:rFonts w:eastAsia="Times New Roman" w:cs="Calibri"/>
                <w:sz w:val="18"/>
                <w:szCs w:val="18"/>
                <w:lang w:val="en-GB"/>
              </w:rPr>
              <w:t>) Travel costs for the tasks related to the assessment (years 1 and 2) and monitoring (years 3 and 6) of carbon stocks in the field under output 1.3. Rent a vehicle / driver for 30 days @ $ 200 / day assuming some of the needs will be covered by the project car. Subsistence expenses for the forest engineer for 30 days @ $ 120 / day. Total cost: $ 9,600</w:t>
            </w:r>
          </w:p>
          <w:p w14:paraId="523B48D8" w14:textId="20491172" w:rsidR="00302BFE" w:rsidRPr="002444C5" w:rsidRDefault="00A642FE" w:rsidP="00243B15">
            <w:pPr>
              <w:spacing w:before="40" w:after="40"/>
              <w:rPr>
                <w:rFonts w:eastAsia="Times New Roman" w:cs="Calibri"/>
                <w:sz w:val="18"/>
                <w:szCs w:val="18"/>
                <w:lang w:val="en-GB"/>
              </w:rPr>
            </w:pPr>
            <w:r w:rsidRPr="002444C5">
              <w:rPr>
                <w:rFonts w:eastAsia="Times New Roman" w:cs="Calibri"/>
                <w:sz w:val="18"/>
                <w:szCs w:val="18"/>
                <w:lang w:val="en-GB"/>
              </w:rPr>
              <w:t>f</w:t>
            </w:r>
            <w:r w:rsidR="00302BFE" w:rsidRPr="002444C5">
              <w:rPr>
                <w:rFonts w:eastAsia="Times New Roman" w:cs="Calibri"/>
                <w:sz w:val="18"/>
                <w:szCs w:val="18"/>
                <w:lang w:val="en-GB"/>
              </w:rPr>
              <w:t>) Travel expenses of the international consultant, expert in environmental land use planning, including 4 missions (years 1 to 4) of 10 days on average in Burkina Faso (4 days Ouagadougou, 6 days in the field) and rental of a vehicle / driver ($ 1500 / airline ticket, 3 per diem Ouagadougou @ $ 260, 7 per diem region @ 120, 7 days vehicle @ $ 200 / day). Total cost: $ 19,200</w:t>
            </w:r>
          </w:p>
          <w:p w14:paraId="476668ED" w14:textId="5D1740EB" w:rsidR="00302BFE" w:rsidRPr="002444C5" w:rsidRDefault="00A642FE" w:rsidP="00243B15">
            <w:pPr>
              <w:spacing w:before="40" w:after="40"/>
              <w:rPr>
                <w:rFonts w:cs="Calibri"/>
                <w:sz w:val="18"/>
                <w:szCs w:val="18"/>
                <w:lang w:val="en-GB"/>
              </w:rPr>
            </w:pPr>
            <w:r w:rsidRPr="002444C5">
              <w:rPr>
                <w:rFonts w:eastAsia="Times New Roman" w:cs="Calibri"/>
                <w:sz w:val="18"/>
                <w:szCs w:val="18"/>
                <w:lang w:val="en-GB"/>
              </w:rPr>
              <w:t>g</w:t>
            </w:r>
            <w:r w:rsidR="00302BFE" w:rsidRPr="002444C5">
              <w:rPr>
                <w:rFonts w:eastAsia="Times New Roman" w:cs="Calibri"/>
                <w:sz w:val="18"/>
                <w:szCs w:val="18"/>
                <w:lang w:val="en-GB"/>
              </w:rPr>
              <w:t>) Travel expenses of the international consultant, expert in design and management of data systems (Output 1.5), for 1 mission of 10 days in Burkina Faso (4 days Ouagadougou, 6 days field) and the rental of a vehicle / driver ($ 1500 / airline ticket, 3 per diem Ouagadougou @ $ 260, 7 per diem region @ 120, 7 days vehicle @ $ 200 / day). Total cost: $ 4,800 during the 2</w:t>
            </w:r>
            <w:r w:rsidR="00302BFE" w:rsidRPr="002444C5">
              <w:rPr>
                <w:rFonts w:eastAsia="Times New Roman" w:cs="Calibri"/>
                <w:sz w:val="18"/>
                <w:szCs w:val="18"/>
                <w:vertAlign w:val="superscript"/>
                <w:lang w:val="en-GB"/>
              </w:rPr>
              <w:t>nd</w:t>
            </w:r>
            <w:r w:rsidR="00302BFE" w:rsidRPr="002444C5">
              <w:rPr>
                <w:rFonts w:eastAsia="Times New Roman" w:cs="Calibri"/>
                <w:sz w:val="18"/>
                <w:szCs w:val="18"/>
                <w:lang w:val="en-GB"/>
              </w:rPr>
              <w:t xml:space="preserve"> year</w:t>
            </w:r>
            <w:r w:rsidR="00302BFE" w:rsidRPr="002444C5">
              <w:rPr>
                <w:rFonts w:cs="Calibri"/>
                <w:sz w:val="18"/>
                <w:szCs w:val="18"/>
                <w:lang w:val="en-GB"/>
              </w:rPr>
              <w:t>.</w:t>
            </w:r>
          </w:p>
        </w:tc>
      </w:tr>
      <w:tr w:rsidR="00A642FE" w:rsidRPr="007C230C" w14:paraId="3CAD1DC8" w14:textId="77777777" w:rsidTr="0063211A">
        <w:trPr>
          <w:trHeight w:val="260"/>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14:paraId="6F11276C" w14:textId="2C5431D4" w:rsidR="00A642FE" w:rsidRPr="002444C5" w:rsidRDefault="00A642FE" w:rsidP="00243B15">
            <w:pPr>
              <w:spacing w:before="40" w:after="40"/>
              <w:jc w:val="center"/>
              <w:rPr>
                <w:rFonts w:eastAsia="Times New Roman" w:cs="Calibri"/>
                <w:i/>
                <w:iCs/>
                <w:sz w:val="18"/>
                <w:szCs w:val="18"/>
                <w:lang w:val="en-GB"/>
              </w:rPr>
            </w:pPr>
            <w:r w:rsidRPr="002444C5">
              <w:rPr>
                <w:rFonts w:eastAsia="Times New Roman" w:cs="Calibri"/>
                <w:i/>
                <w:iCs/>
                <w:sz w:val="18"/>
                <w:szCs w:val="18"/>
                <w:lang w:val="en-GB"/>
              </w:rPr>
              <w:t>5</w:t>
            </w:r>
          </w:p>
        </w:tc>
        <w:tc>
          <w:tcPr>
            <w:tcW w:w="13687" w:type="dxa"/>
            <w:tcBorders>
              <w:top w:val="single" w:sz="4" w:space="0" w:color="auto"/>
              <w:left w:val="single" w:sz="4" w:space="0" w:color="auto"/>
              <w:bottom w:val="single" w:sz="4" w:space="0" w:color="auto"/>
              <w:right w:val="single" w:sz="4" w:space="0" w:color="auto"/>
            </w:tcBorders>
            <w:shd w:val="clear" w:color="auto" w:fill="auto"/>
          </w:tcPr>
          <w:p w14:paraId="00223DE5" w14:textId="4351E8E7" w:rsidR="00A642FE" w:rsidRPr="002444C5" w:rsidRDefault="00A642FE" w:rsidP="00243B15">
            <w:pPr>
              <w:spacing w:before="40" w:after="40"/>
              <w:rPr>
                <w:rFonts w:eastAsia="Times New Roman" w:cs="Calibri"/>
                <w:sz w:val="18"/>
                <w:szCs w:val="18"/>
                <w:lang w:val="en-GB"/>
              </w:rPr>
            </w:pPr>
            <w:r w:rsidRPr="002444C5">
              <w:rPr>
                <w:rFonts w:eastAsia="Times New Roman" w:cs="Calibri"/>
                <w:sz w:val="18"/>
                <w:szCs w:val="18"/>
                <w:lang w:val="en-GB"/>
              </w:rPr>
              <w:t xml:space="preserve">Purchase of a 4x4 vehicle for the Project Coordination Unit to support all project activities (25% for Component 1) @ $ 13,000 for </w:t>
            </w:r>
            <w:r w:rsidRPr="00D21D2E">
              <w:rPr>
                <w:rFonts w:eastAsia="Times New Roman" w:cs="Calibri"/>
                <w:sz w:val="18"/>
                <w:szCs w:val="18"/>
                <w:lang w:val="en-GB"/>
              </w:rPr>
              <w:t>Year 1</w:t>
            </w:r>
            <w:r w:rsidR="00AD796F" w:rsidRPr="00D21D2E">
              <w:rPr>
                <w:rFonts w:eastAsia="Times New Roman" w:cs="Calibri"/>
                <w:sz w:val="18"/>
                <w:szCs w:val="18"/>
                <w:lang w:val="en-GB"/>
              </w:rPr>
              <w:t xml:space="preserve"> fully cofunded by UNDP</w:t>
            </w:r>
          </w:p>
        </w:tc>
      </w:tr>
      <w:tr w:rsidR="00302BFE" w:rsidRPr="007C230C" w14:paraId="307F3062" w14:textId="77777777" w:rsidTr="004F4EA2">
        <w:trPr>
          <w:trHeight w:val="485"/>
          <w:jc w:val="center"/>
        </w:trPr>
        <w:tc>
          <w:tcPr>
            <w:tcW w:w="703" w:type="dxa"/>
            <w:tcBorders>
              <w:top w:val="single" w:sz="4" w:space="0" w:color="auto"/>
              <w:left w:val="single" w:sz="4" w:space="0" w:color="auto"/>
              <w:bottom w:val="single" w:sz="4" w:space="0" w:color="auto"/>
              <w:right w:val="single" w:sz="4" w:space="0" w:color="auto"/>
            </w:tcBorders>
            <w:hideMark/>
          </w:tcPr>
          <w:p w14:paraId="69E30F53" w14:textId="3BA2BAE5" w:rsidR="00302BFE" w:rsidRPr="006E490C" w:rsidRDefault="002444C5" w:rsidP="00243B15">
            <w:pPr>
              <w:spacing w:before="40" w:after="40"/>
              <w:jc w:val="center"/>
              <w:rPr>
                <w:rFonts w:eastAsia="Times New Roman" w:cs="Calibri"/>
                <w:i/>
                <w:iCs/>
                <w:sz w:val="18"/>
                <w:szCs w:val="18"/>
                <w:lang w:val="en-GB"/>
              </w:rPr>
            </w:pPr>
            <w:r>
              <w:rPr>
                <w:rFonts w:eastAsia="Times New Roman" w:cs="Calibri"/>
                <w:i/>
                <w:iCs/>
                <w:sz w:val="18"/>
                <w:szCs w:val="18"/>
                <w:lang w:val="en-GB"/>
              </w:rPr>
              <w:t>6</w:t>
            </w:r>
          </w:p>
        </w:tc>
        <w:tc>
          <w:tcPr>
            <w:tcW w:w="13687" w:type="dxa"/>
            <w:tcBorders>
              <w:top w:val="single" w:sz="4" w:space="0" w:color="auto"/>
              <w:left w:val="single" w:sz="4" w:space="0" w:color="auto"/>
              <w:bottom w:val="single" w:sz="4" w:space="0" w:color="auto"/>
              <w:right w:val="single" w:sz="4" w:space="0" w:color="auto"/>
            </w:tcBorders>
            <w:hideMark/>
          </w:tcPr>
          <w:p w14:paraId="46CFDC76" w14:textId="77777777" w:rsidR="00302BFE" w:rsidRDefault="00302BFE" w:rsidP="00243B15">
            <w:pPr>
              <w:spacing w:before="40" w:after="40"/>
              <w:rPr>
                <w:sz w:val="18"/>
                <w:szCs w:val="18"/>
                <w:lang w:val="en-GB" w:eastAsia="ja-JP"/>
              </w:rPr>
            </w:pPr>
            <w:r>
              <w:rPr>
                <w:sz w:val="18"/>
                <w:szCs w:val="18"/>
                <w:lang w:val="en-GB" w:eastAsia="ja-JP"/>
              </w:rPr>
              <w:t xml:space="preserve">a) </w:t>
            </w:r>
            <w:r w:rsidRPr="006E490C">
              <w:rPr>
                <w:sz w:val="18"/>
                <w:szCs w:val="18"/>
                <w:lang w:val="en-GB" w:eastAsia="ja-JP"/>
              </w:rPr>
              <w:t xml:space="preserve">Local environmental NGOs to train local communities, both men and women, to enable them to participate effectively in the collaborative land use planning process in the PONASI landscape. </w:t>
            </w:r>
            <w:r w:rsidRPr="00683440">
              <w:rPr>
                <w:rFonts w:eastAsia="Times New Roman" w:cs="Calibri"/>
                <w:sz w:val="18"/>
                <w:szCs w:val="18"/>
                <w:lang w:val="en-GB"/>
              </w:rPr>
              <w:t xml:space="preserve">Rate: $ </w:t>
            </w:r>
            <w:r>
              <w:rPr>
                <w:rFonts w:eastAsia="Times New Roman" w:cs="Calibri"/>
                <w:sz w:val="18"/>
                <w:szCs w:val="18"/>
                <w:lang w:val="en-GB"/>
              </w:rPr>
              <w:t>6</w:t>
            </w:r>
            <w:r w:rsidRPr="00683440">
              <w:rPr>
                <w:rFonts w:eastAsia="Times New Roman" w:cs="Calibri"/>
                <w:sz w:val="18"/>
                <w:szCs w:val="18"/>
                <w:lang w:val="en-GB"/>
              </w:rPr>
              <w:t>,</w:t>
            </w:r>
            <w:r>
              <w:rPr>
                <w:rFonts w:eastAsia="Times New Roman" w:cs="Calibri"/>
                <w:sz w:val="18"/>
                <w:szCs w:val="18"/>
                <w:lang w:val="en-GB"/>
              </w:rPr>
              <w:t>00</w:t>
            </w:r>
            <w:r w:rsidRPr="00683440">
              <w:rPr>
                <w:rFonts w:eastAsia="Times New Roman" w:cs="Calibri"/>
                <w:sz w:val="18"/>
                <w:szCs w:val="18"/>
                <w:lang w:val="en-GB"/>
              </w:rPr>
              <w:t xml:space="preserve">0 / month </w:t>
            </w:r>
            <w:r>
              <w:rPr>
                <w:rFonts w:eastAsia="Times New Roman" w:cs="Calibri"/>
                <w:sz w:val="18"/>
                <w:szCs w:val="18"/>
                <w:lang w:val="en-GB"/>
              </w:rPr>
              <w:t xml:space="preserve">for </w:t>
            </w:r>
            <w:r w:rsidRPr="006E490C">
              <w:rPr>
                <w:sz w:val="18"/>
                <w:szCs w:val="18"/>
                <w:lang w:val="en-GB" w:eastAsia="ja-JP"/>
              </w:rPr>
              <w:t>3 months in year 2. Total cost: $ 18,000.</w:t>
            </w:r>
          </w:p>
          <w:p w14:paraId="2F4977A1" w14:textId="77777777" w:rsidR="00302BFE" w:rsidRPr="007C230C" w:rsidRDefault="00302BFE" w:rsidP="00243B15">
            <w:pPr>
              <w:spacing w:before="40" w:after="40"/>
              <w:rPr>
                <w:rFonts w:cs="Calibri"/>
                <w:sz w:val="18"/>
                <w:szCs w:val="18"/>
                <w:lang w:val="en-GB"/>
              </w:rPr>
            </w:pPr>
            <w:r w:rsidRPr="004708C8">
              <w:rPr>
                <w:rFonts w:cs="Calibri"/>
                <w:sz w:val="18"/>
                <w:szCs w:val="18"/>
                <w:lang w:val="en-GB"/>
              </w:rPr>
              <w:t>b</w:t>
            </w:r>
            <w:r w:rsidRPr="00363257">
              <w:rPr>
                <w:rFonts w:cs="Calibri"/>
                <w:sz w:val="18"/>
                <w:szCs w:val="18"/>
                <w:lang w:val="en-GB"/>
              </w:rPr>
              <w:t>) Environmental consulting firm to conduct an interdisciplinary assessment / valuation study of key ecosystem services in the PONASI landscape. Rate: $ 80,000 over 12 months in year 2 and paid as a lump sum based on deliverables (Output 1.2.1). Total cost: $ 80,000.</w:t>
            </w:r>
          </w:p>
        </w:tc>
      </w:tr>
      <w:tr w:rsidR="00302BFE" w:rsidRPr="006E490C" w14:paraId="65AC1DEC" w14:textId="77777777" w:rsidTr="004F4EA2">
        <w:trPr>
          <w:trHeight w:val="485"/>
          <w:jc w:val="center"/>
        </w:trPr>
        <w:tc>
          <w:tcPr>
            <w:tcW w:w="703" w:type="dxa"/>
            <w:tcBorders>
              <w:top w:val="single" w:sz="4" w:space="0" w:color="auto"/>
              <w:left w:val="single" w:sz="4" w:space="0" w:color="auto"/>
              <w:bottom w:val="single" w:sz="4" w:space="0" w:color="auto"/>
              <w:right w:val="single" w:sz="4" w:space="0" w:color="auto"/>
            </w:tcBorders>
            <w:hideMark/>
          </w:tcPr>
          <w:p w14:paraId="1A6FF1BA" w14:textId="34B78F76" w:rsidR="00302BFE" w:rsidRPr="006E490C" w:rsidRDefault="002444C5" w:rsidP="00243B15">
            <w:pPr>
              <w:spacing w:before="40" w:after="40"/>
              <w:jc w:val="center"/>
              <w:rPr>
                <w:rFonts w:eastAsia="Times New Roman" w:cs="Calibri"/>
                <w:i/>
                <w:iCs/>
                <w:sz w:val="18"/>
                <w:szCs w:val="18"/>
                <w:lang w:val="en-GB"/>
              </w:rPr>
            </w:pPr>
            <w:r>
              <w:rPr>
                <w:rFonts w:eastAsia="Times New Roman" w:cs="Calibri"/>
                <w:i/>
                <w:iCs/>
                <w:sz w:val="18"/>
                <w:szCs w:val="18"/>
                <w:lang w:val="en-GB"/>
              </w:rPr>
              <w:t>7</w:t>
            </w:r>
          </w:p>
        </w:tc>
        <w:tc>
          <w:tcPr>
            <w:tcW w:w="13687" w:type="dxa"/>
            <w:tcBorders>
              <w:top w:val="single" w:sz="4" w:space="0" w:color="auto"/>
              <w:left w:val="single" w:sz="4" w:space="0" w:color="auto"/>
              <w:bottom w:val="single" w:sz="4" w:space="0" w:color="auto"/>
              <w:right w:val="single" w:sz="4" w:space="0" w:color="auto"/>
            </w:tcBorders>
            <w:hideMark/>
          </w:tcPr>
          <w:p w14:paraId="5399230B" w14:textId="77777777" w:rsidR="00302BFE" w:rsidRPr="006E490C" w:rsidRDefault="00302BFE" w:rsidP="00243B15">
            <w:pPr>
              <w:spacing w:before="40" w:after="40"/>
              <w:rPr>
                <w:rFonts w:cs="Calibri"/>
                <w:sz w:val="18"/>
                <w:szCs w:val="18"/>
                <w:lang w:val="en-GB"/>
              </w:rPr>
            </w:pPr>
            <w:r w:rsidRPr="006E490C">
              <w:rPr>
                <w:rFonts w:cs="Calibri"/>
                <w:sz w:val="18"/>
                <w:szCs w:val="18"/>
                <w:lang w:val="en-GB"/>
              </w:rPr>
              <w:t>a) Forest equipment for carbon stock assessment under Output 1.3 (including a ProLaser Rangefinder / Hypsometer, Garmin GPS, vernier caliper, compass, tape measure) Total cost: $ 1,000 in the first year</w:t>
            </w:r>
          </w:p>
          <w:p w14:paraId="34E238DC" w14:textId="77777777" w:rsidR="00302BFE" w:rsidRPr="006E490C" w:rsidRDefault="00302BFE" w:rsidP="00243B15">
            <w:pPr>
              <w:spacing w:before="40" w:after="40"/>
              <w:rPr>
                <w:rFonts w:cs="Calibri"/>
                <w:sz w:val="18"/>
                <w:szCs w:val="18"/>
                <w:lang w:val="en-GB"/>
              </w:rPr>
            </w:pPr>
            <w:r w:rsidRPr="006E490C">
              <w:rPr>
                <w:rFonts w:cs="Calibri"/>
                <w:sz w:val="18"/>
                <w:szCs w:val="18"/>
                <w:lang w:val="en-GB"/>
              </w:rPr>
              <w:t xml:space="preserve">b) Satellite images / aerial photographs to assess changes in land use and vegetation cover in the priority forest areas of the PONASI landscape and to plan field inventories. Total cost: $ 20,000 in years 1 and 6. (Output 1.3) </w:t>
            </w:r>
          </w:p>
        </w:tc>
      </w:tr>
      <w:tr w:rsidR="00302BFE" w:rsidRPr="006E490C" w14:paraId="59C9E45F"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hideMark/>
          </w:tcPr>
          <w:p w14:paraId="1704C3F3" w14:textId="17E517A2" w:rsidR="00302BFE" w:rsidRPr="006E490C" w:rsidRDefault="002444C5" w:rsidP="00243B15">
            <w:pPr>
              <w:spacing w:before="40" w:after="40"/>
              <w:jc w:val="center"/>
              <w:rPr>
                <w:rFonts w:eastAsia="Times New Roman" w:cs="Calibri"/>
                <w:i/>
                <w:iCs/>
                <w:sz w:val="18"/>
                <w:szCs w:val="18"/>
                <w:lang w:val="en-GB"/>
              </w:rPr>
            </w:pPr>
            <w:r>
              <w:rPr>
                <w:rFonts w:eastAsia="Times New Roman" w:cs="Calibri"/>
                <w:i/>
                <w:iCs/>
                <w:sz w:val="18"/>
                <w:szCs w:val="18"/>
                <w:lang w:val="en-GB"/>
              </w:rPr>
              <w:t>8</w:t>
            </w:r>
          </w:p>
        </w:tc>
        <w:tc>
          <w:tcPr>
            <w:tcW w:w="13687" w:type="dxa"/>
            <w:tcBorders>
              <w:top w:val="single" w:sz="4" w:space="0" w:color="auto"/>
              <w:left w:val="single" w:sz="4" w:space="0" w:color="auto"/>
              <w:bottom w:val="single" w:sz="4" w:space="0" w:color="auto"/>
              <w:right w:val="single" w:sz="4" w:space="0" w:color="auto"/>
            </w:tcBorders>
            <w:hideMark/>
          </w:tcPr>
          <w:p w14:paraId="2CDDF342" w14:textId="77777777" w:rsidR="00302BFE" w:rsidRPr="006E490C" w:rsidRDefault="00302BFE" w:rsidP="00243B15">
            <w:pPr>
              <w:spacing w:before="40" w:after="40"/>
              <w:rPr>
                <w:rFonts w:cs="Calibri"/>
                <w:sz w:val="18"/>
                <w:szCs w:val="18"/>
                <w:lang w:val="en-GB"/>
              </w:rPr>
            </w:pPr>
            <w:r w:rsidRPr="006E490C">
              <w:rPr>
                <w:rFonts w:cs="Calibri"/>
                <w:sz w:val="18"/>
                <w:szCs w:val="18"/>
                <w:lang w:val="en-GB"/>
              </w:rPr>
              <w:t>Printing material for the training offered to the stakeholders of the co-governance mechanism and the permanent technical core Total cost: $ 5,000 during the 1</w:t>
            </w:r>
            <w:r w:rsidRPr="006E490C">
              <w:rPr>
                <w:rFonts w:cs="Calibri"/>
                <w:sz w:val="18"/>
                <w:szCs w:val="18"/>
                <w:vertAlign w:val="superscript"/>
                <w:lang w:val="en-GB"/>
              </w:rPr>
              <w:t>st</w:t>
            </w:r>
            <w:r w:rsidRPr="006E490C">
              <w:rPr>
                <w:rFonts w:cs="Calibri"/>
                <w:sz w:val="18"/>
                <w:szCs w:val="18"/>
                <w:lang w:val="en-GB"/>
              </w:rPr>
              <w:t xml:space="preserve"> and 2</w:t>
            </w:r>
            <w:r w:rsidRPr="006E490C">
              <w:rPr>
                <w:rFonts w:cs="Calibri"/>
                <w:sz w:val="18"/>
                <w:szCs w:val="18"/>
                <w:vertAlign w:val="superscript"/>
                <w:lang w:val="en-GB"/>
              </w:rPr>
              <w:t>nd</w:t>
            </w:r>
            <w:r w:rsidRPr="006E490C">
              <w:rPr>
                <w:rFonts w:cs="Calibri"/>
                <w:sz w:val="18"/>
                <w:szCs w:val="18"/>
                <w:lang w:val="en-GB"/>
              </w:rPr>
              <w:t xml:space="preserve"> year</w:t>
            </w:r>
            <w:r w:rsidRPr="006E490C">
              <w:rPr>
                <w:sz w:val="18"/>
                <w:szCs w:val="18"/>
                <w:lang w:val="en-GB" w:eastAsia="ja-JP"/>
              </w:rPr>
              <w:t>.</w:t>
            </w:r>
          </w:p>
        </w:tc>
      </w:tr>
      <w:tr w:rsidR="00302BFE" w:rsidRPr="006E490C" w14:paraId="1B11F3E3"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hideMark/>
          </w:tcPr>
          <w:p w14:paraId="314AEF99" w14:textId="066C676E" w:rsidR="00302BFE" w:rsidRPr="006E490C" w:rsidRDefault="002444C5" w:rsidP="00243B15">
            <w:pPr>
              <w:spacing w:before="40" w:after="40"/>
              <w:jc w:val="center"/>
              <w:rPr>
                <w:rFonts w:eastAsia="Times New Roman" w:cs="Calibri"/>
                <w:i/>
                <w:iCs/>
                <w:sz w:val="18"/>
                <w:szCs w:val="18"/>
                <w:lang w:val="en-GB"/>
              </w:rPr>
            </w:pPr>
            <w:r>
              <w:rPr>
                <w:rFonts w:eastAsia="Times New Roman" w:cs="Calibri"/>
                <w:i/>
                <w:iCs/>
                <w:sz w:val="18"/>
                <w:szCs w:val="18"/>
                <w:lang w:val="en-GB"/>
              </w:rPr>
              <w:t>9</w:t>
            </w:r>
          </w:p>
        </w:tc>
        <w:tc>
          <w:tcPr>
            <w:tcW w:w="13687" w:type="dxa"/>
            <w:tcBorders>
              <w:top w:val="single" w:sz="4" w:space="0" w:color="auto"/>
              <w:left w:val="single" w:sz="4" w:space="0" w:color="auto"/>
              <w:bottom w:val="single" w:sz="4" w:space="0" w:color="auto"/>
              <w:right w:val="single" w:sz="4" w:space="0" w:color="auto"/>
            </w:tcBorders>
            <w:hideMark/>
          </w:tcPr>
          <w:p w14:paraId="22D68751" w14:textId="77777777" w:rsidR="00302BFE" w:rsidRPr="006E490C" w:rsidRDefault="00302BFE" w:rsidP="00243B15">
            <w:pPr>
              <w:spacing w:before="40" w:after="40"/>
              <w:rPr>
                <w:rFonts w:cs="Calibri"/>
                <w:color w:val="000000"/>
                <w:sz w:val="18"/>
                <w:szCs w:val="18"/>
                <w:lang w:val="en-GB"/>
              </w:rPr>
            </w:pPr>
            <w:r w:rsidRPr="006E490C">
              <w:rPr>
                <w:rFonts w:cs="Calibri"/>
                <w:color w:val="000000"/>
                <w:sz w:val="18"/>
                <w:szCs w:val="18"/>
                <w:lang w:val="en-GB"/>
              </w:rPr>
              <w:t>Incidental costs related to the establishment of a PONASI Integrated Landscape Management Framework. Total cost: $ 60,000 in Years 1-6 (for all outputs in the component).</w:t>
            </w:r>
          </w:p>
        </w:tc>
      </w:tr>
      <w:tr w:rsidR="00302BFE" w:rsidRPr="006E490C" w14:paraId="55DDE846"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hideMark/>
          </w:tcPr>
          <w:p w14:paraId="1AC60D8E" w14:textId="0FBC199B" w:rsidR="00302BFE" w:rsidRPr="006E490C" w:rsidRDefault="002444C5" w:rsidP="00243B15">
            <w:pPr>
              <w:spacing w:before="40" w:after="40"/>
              <w:jc w:val="center"/>
              <w:rPr>
                <w:rFonts w:eastAsia="Times New Roman" w:cs="Calibri"/>
                <w:i/>
                <w:iCs/>
                <w:sz w:val="18"/>
                <w:szCs w:val="18"/>
                <w:lang w:val="en-GB"/>
              </w:rPr>
            </w:pPr>
            <w:r>
              <w:rPr>
                <w:rFonts w:eastAsia="Times New Roman" w:cs="Calibri"/>
                <w:i/>
                <w:iCs/>
                <w:sz w:val="18"/>
                <w:szCs w:val="18"/>
                <w:lang w:val="en-GB"/>
              </w:rPr>
              <w:t>10</w:t>
            </w:r>
          </w:p>
        </w:tc>
        <w:tc>
          <w:tcPr>
            <w:tcW w:w="13687" w:type="dxa"/>
            <w:tcBorders>
              <w:top w:val="single" w:sz="4" w:space="0" w:color="auto"/>
              <w:left w:val="single" w:sz="4" w:space="0" w:color="auto"/>
              <w:bottom w:val="single" w:sz="4" w:space="0" w:color="auto"/>
              <w:right w:val="single" w:sz="4" w:space="0" w:color="auto"/>
            </w:tcBorders>
            <w:hideMark/>
          </w:tcPr>
          <w:p w14:paraId="3B02BC01" w14:textId="77777777" w:rsidR="00302BFE" w:rsidRPr="006E490C" w:rsidRDefault="00302BFE" w:rsidP="00243B15">
            <w:pPr>
              <w:spacing w:before="40" w:after="40"/>
              <w:rPr>
                <w:rFonts w:cs="Calibri"/>
                <w:sz w:val="18"/>
                <w:szCs w:val="18"/>
                <w:lang w:val="en-GB"/>
              </w:rPr>
            </w:pPr>
            <w:r w:rsidRPr="006E490C">
              <w:rPr>
                <w:rFonts w:cs="Calibri"/>
                <w:sz w:val="18"/>
                <w:szCs w:val="18"/>
                <w:lang w:val="en-GB"/>
              </w:rPr>
              <w:t>a) Participatory review and validation workshop on the composition, mission and operational rules of the co-governance mechanism and the permanent technical core, as well as criteria for the selection of members, ensuring women's participation in decisions, assuming 85 participants including 10 from Ouagadougou (Output 1.1). Cost $ 1,000 in first year</w:t>
            </w:r>
          </w:p>
          <w:p w14:paraId="72F34DC6" w14:textId="77777777" w:rsidR="00302BFE" w:rsidRPr="006E490C" w:rsidRDefault="00302BFE" w:rsidP="00243B15">
            <w:pPr>
              <w:spacing w:before="40" w:after="40"/>
              <w:rPr>
                <w:rFonts w:cs="Calibri"/>
                <w:sz w:val="18"/>
                <w:szCs w:val="18"/>
                <w:lang w:val="en-GB"/>
              </w:rPr>
            </w:pPr>
            <w:r w:rsidRPr="006E490C">
              <w:rPr>
                <w:rFonts w:cs="Calibri"/>
                <w:sz w:val="18"/>
                <w:szCs w:val="18"/>
                <w:lang w:val="en-GB"/>
              </w:rPr>
              <w:t>b) Training program on the environmental land use planning process for relevant stakeholders, ensuring meaningful participation of women. Total cost $ 5,000 in 1</w:t>
            </w:r>
            <w:r w:rsidRPr="006E490C">
              <w:rPr>
                <w:rFonts w:cs="Calibri"/>
                <w:sz w:val="18"/>
                <w:szCs w:val="18"/>
                <w:vertAlign w:val="superscript"/>
                <w:lang w:val="en-GB"/>
              </w:rPr>
              <w:t>st</w:t>
            </w:r>
            <w:r w:rsidRPr="006E490C">
              <w:rPr>
                <w:rFonts w:cs="Calibri"/>
                <w:sz w:val="18"/>
                <w:szCs w:val="18"/>
                <w:lang w:val="en-GB"/>
              </w:rPr>
              <w:t xml:space="preserve"> and 2</w:t>
            </w:r>
            <w:r w:rsidRPr="006E490C">
              <w:rPr>
                <w:rFonts w:cs="Calibri"/>
                <w:sz w:val="18"/>
                <w:szCs w:val="18"/>
                <w:vertAlign w:val="superscript"/>
                <w:lang w:val="en-GB"/>
              </w:rPr>
              <w:t>nd</w:t>
            </w:r>
            <w:r w:rsidRPr="006E490C">
              <w:rPr>
                <w:rFonts w:cs="Calibri"/>
                <w:sz w:val="18"/>
                <w:szCs w:val="18"/>
                <w:lang w:val="en-GB"/>
              </w:rPr>
              <w:t xml:space="preserve"> year</w:t>
            </w:r>
          </w:p>
          <w:p w14:paraId="7AFB95D8" w14:textId="77777777" w:rsidR="00302BFE" w:rsidRPr="006E490C" w:rsidRDefault="00302BFE" w:rsidP="00243B15">
            <w:pPr>
              <w:spacing w:before="40" w:after="40"/>
              <w:rPr>
                <w:rFonts w:cs="Calibri"/>
                <w:sz w:val="18"/>
                <w:szCs w:val="18"/>
                <w:lang w:val="en-GB"/>
              </w:rPr>
            </w:pPr>
            <w:r w:rsidRPr="006E490C">
              <w:rPr>
                <w:rFonts w:cs="Calibri"/>
                <w:sz w:val="18"/>
                <w:szCs w:val="18"/>
                <w:lang w:val="en-GB"/>
              </w:rPr>
              <w:t>c) Ten (10) local workshops / roundtable negotiations to discuss the land use decision process, and criteria / standards for the conservation of biodiversity and SEs, PAs and SLM as a basis for planning, assuming 50 mainly local participants. (Output 1.2) Total Cost: $ 5,000 in 1</w:t>
            </w:r>
            <w:r w:rsidRPr="006E490C">
              <w:rPr>
                <w:rFonts w:cs="Calibri"/>
                <w:sz w:val="18"/>
                <w:szCs w:val="18"/>
                <w:vertAlign w:val="superscript"/>
                <w:lang w:val="en-GB"/>
              </w:rPr>
              <w:t>st</w:t>
            </w:r>
            <w:r w:rsidRPr="006E490C">
              <w:rPr>
                <w:rFonts w:cs="Calibri"/>
                <w:sz w:val="18"/>
                <w:szCs w:val="18"/>
                <w:lang w:val="en-GB"/>
              </w:rPr>
              <w:t xml:space="preserve"> and 2</w:t>
            </w:r>
            <w:r w:rsidRPr="006E490C">
              <w:rPr>
                <w:rFonts w:cs="Calibri"/>
                <w:sz w:val="18"/>
                <w:szCs w:val="18"/>
                <w:vertAlign w:val="superscript"/>
                <w:lang w:val="en-GB"/>
              </w:rPr>
              <w:t>nd</w:t>
            </w:r>
            <w:r w:rsidRPr="006E490C">
              <w:rPr>
                <w:rFonts w:cs="Calibri"/>
                <w:sz w:val="18"/>
                <w:szCs w:val="18"/>
                <w:lang w:val="en-GB"/>
              </w:rPr>
              <w:t xml:space="preserve"> year</w:t>
            </w:r>
          </w:p>
          <w:p w14:paraId="20B0757C" w14:textId="77777777" w:rsidR="00302BFE" w:rsidRPr="006E490C" w:rsidRDefault="00302BFE" w:rsidP="00243B15">
            <w:pPr>
              <w:spacing w:before="40" w:after="40"/>
              <w:rPr>
                <w:rFonts w:cs="Calibri"/>
                <w:sz w:val="18"/>
                <w:szCs w:val="18"/>
                <w:lang w:val="en-GB"/>
              </w:rPr>
            </w:pPr>
            <w:r w:rsidRPr="006E490C">
              <w:rPr>
                <w:rFonts w:cs="Calibri"/>
                <w:sz w:val="18"/>
                <w:szCs w:val="18"/>
                <w:lang w:val="en-GB"/>
              </w:rPr>
              <w:lastRenderedPageBreak/>
              <w:t>d) Annual meetings of the co-governance mechanism as part of the planning process @ $ 1000 / meeting. Total cost $ 6,000 (years 1 to 6)</w:t>
            </w:r>
          </w:p>
          <w:p w14:paraId="2C97CCD2" w14:textId="77777777" w:rsidR="00302BFE" w:rsidRPr="006E490C" w:rsidRDefault="00302BFE" w:rsidP="00243B15">
            <w:pPr>
              <w:spacing w:before="40" w:after="40"/>
              <w:rPr>
                <w:rFonts w:cs="Calibri"/>
                <w:sz w:val="18"/>
                <w:szCs w:val="18"/>
                <w:lang w:val="en-GB"/>
              </w:rPr>
            </w:pPr>
            <w:r w:rsidRPr="006E490C">
              <w:rPr>
                <w:rFonts w:cs="Calibri"/>
                <w:sz w:val="18"/>
                <w:szCs w:val="18"/>
                <w:lang w:val="en-GB"/>
              </w:rPr>
              <w:t>e) Quarterly workshops of the permanent technical core to monitor the planning process @ $ 300 / workshop. Total cost: $ 6,600 (years 1 to 6)</w:t>
            </w:r>
          </w:p>
          <w:p w14:paraId="569965A9" w14:textId="77777777" w:rsidR="00302BFE" w:rsidRPr="006E490C" w:rsidRDefault="00302BFE" w:rsidP="00243B15">
            <w:pPr>
              <w:spacing w:before="40" w:after="40"/>
              <w:rPr>
                <w:rFonts w:cs="Calibri"/>
                <w:sz w:val="18"/>
                <w:szCs w:val="18"/>
                <w:lang w:val="en-GB"/>
              </w:rPr>
            </w:pPr>
            <w:r w:rsidRPr="006E490C">
              <w:rPr>
                <w:rFonts w:cs="Calibri"/>
                <w:sz w:val="18"/>
                <w:szCs w:val="18"/>
                <w:lang w:val="en-GB"/>
              </w:rPr>
              <w:t>f) Master Plan Review and Validation Workshop (Output 1.4) Cost $ 1,000 in 3</w:t>
            </w:r>
            <w:r w:rsidRPr="006E490C">
              <w:rPr>
                <w:rFonts w:cs="Calibri"/>
                <w:sz w:val="18"/>
                <w:szCs w:val="18"/>
                <w:vertAlign w:val="superscript"/>
                <w:lang w:val="en-GB"/>
              </w:rPr>
              <w:t>rd</w:t>
            </w:r>
            <w:r w:rsidRPr="006E490C">
              <w:rPr>
                <w:rFonts w:cs="Calibri"/>
                <w:sz w:val="18"/>
                <w:szCs w:val="18"/>
                <w:lang w:val="en-GB"/>
              </w:rPr>
              <w:t xml:space="preserve"> year</w:t>
            </w:r>
          </w:p>
        </w:tc>
      </w:tr>
      <w:tr w:rsidR="00302BFE" w:rsidRPr="006E490C" w14:paraId="0E876DF2"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tcPr>
          <w:p w14:paraId="3D24A424" w14:textId="2FBB05F7" w:rsidR="00302BFE" w:rsidRPr="006E490C" w:rsidRDefault="00302BFE" w:rsidP="00243B15">
            <w:pPr>
              <w:spacing w:before="40" w:after="40"/>
              <w:jc w:val="center"/>
              <w:rPr>
                <w:rFonts w:eastAsia="Times New Roman" w:cs="Calibri"/>
                <w:i/>
                <w:iCs/>
                <w:sz w:val="18"/>
                <w:szCs w:val="18"/>
                <w:lang w:val="en-GB"/>
              </w:rPr>
            </w:pPr>
            <w:r w:rsidRPr="006E490C">
              <w:rPr>
                <w:rFonts w:eastAsia="Times New Roman" w:cs="Calibri"/>
                <w:i/>
                <w:iCs/>
                <w:sz w:val="18"/>
                <w:szCs w:val="18"/>
                <w:lang w:val="en-GB"/>
              </w:rPr>
              <w:lastRenderedPageBreak/>
              <w:t>1</w:t>
            </w:r>
            <w:r w:rsidR="002444C5">
              <w:rPr>
                <w:rFonts w:eastAsia="Times New Roman" w:cs="Calibri"/>
                <w:i/>
                <w:iCs/>
                <w:sz w:val="18"/>
                <w:szCs w:val="18"/>
                <w:lang w:val="en-GB"/>
              </w:rPr>
              <w:t>1</w:t>
            </w:r>
          </w:p>
        </w:tc>
        <w:tc>
          <w:tcPr>
            <w:tcW w:w="13687" w:type="dxa"/>
            <w:tcBorders>
              <w:top w:val="single" w:sz="4" w:space="0" w:color="auto"/>
              <w:left w:val="single" w:sz="4" w:space="0" w:color="auto"/>
              <w:bottom w:val="single" w:sz="4" w:space="0" w:color="auto"/>
              <w:right w:val="single" w:sz="4" w:space="0" w:color="auto"/>
            </w:tcBorders>
          </w:tcPr>
          <w:p w14:paraId="41B9C355" w14:textId="77777777" w:rsidR="00302BFE" w:rsidRPr="006E490C" w:rsidRDefault="00302BFE" w:rsidP="00243B15">
            <w:pPr>
              <w:spacing w:before="40" w:after="40"/>
              <w:rPr>
                <w:rFonts w:cs="Calibri"/>
                <w:sz w:val="18"/>
                <w:szCs w:val="18"/>
                <w:lang w:val="en-CA"/>
              </w:rPr>
            </w:pPr>
            <w:r w:rsidRPr="006E490C">
              <w:rPr>
                <w:rFonts w:cs="Calibri"/>
                <w:sz w:val="18"/>
                <w:szCs w:val="18"/>
                <w:lang w:val="en-CA"/>
              </w:rPr>
              <w:t>Mission expenses / periodic monitoring and technical support for component 1 activities by UNDP staff @ $2,000 / year. Total cost $12,000.</w:t>
            </w:r>
          </w:p>
        </w:tc>
      </w:tr>
      <w:tr w:rsidR="00302BFE" w:rsidRPr="006E490C" w14:paraId="051710CE"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tcPr>
          <w:p w14:paraId="7C919D20" w14:textId="27994B1D" w:rsidR="00302BFE" w:rsidRPr="006E490C" w:rsidRDefault="00302BFE" w:rsidP="00243B15">
            <w:pPr>
              <w:spacing w:before="40" w:after="40"/>
              <w:jc w:val="center"/>
              <w:rPr>
                <w:rFonts w:eastAsia="Times New Roman" w:cs="Calibri"/>
                <w:i/>
                <w:iCs/>
                <w:sz w:val="18"/>
                <w:szCs w:val="18"/>
                <w:lang w:val="en-GB"/>
              </w:rPr>
            </w:pPr>
            <w:r w:rsidRPr="006E490C">
              <w:rPr>
                <w:rFonts w:eastAsia="Times New Roman" w:cs="Calibri"/>
                <w:i/>
                <w:iCs/>
                <w:sz w:val="18"/>
                <w:szCs w:val="18"/>
                <w:lang w:val="en-GB"/>
              </w:rPr>
              <w:t>1</w:t>
            </w:r>
            <w:r w:rsidR="002444C5">
              <w:rPr>
                <w:rFonts w:eastAsia="Times New Roman" w:cs="Calibri"/>
                <w:i/>
                <w:iCs/>
                <w:sz w:val="18"/>
                <w:szCs w:val="18"/>
                <w:lang w:val="en-GB"/>
              </w:rPr>
              <w:t>2</w:t>
            </w:r>
          </w:p>
        </w:tc>
        <w:tc>
          <w:tcPr>
            <w:tcW w:w="13687" w:type="dxa"/>
            <w:tcBorders>
              <w:top w:val="single" w:sz="4" w:space="0" w:color="auto"/>
              <w:left w:val="single" w:sz="4" w:space="0" w:color="auto"/>
              <w:bottom w:val="single" w:sz="4" w:space="0" w:color="auto"/>
              <w:right w:val="single" w:sz="4" w:space="0" w:color="auto"/>
            </w:tcBorders>
          </w:tcPr>
          <w:p w14:paraId="7945C803" w14:textId="77777777" w:rsidR="00302BFE" w:rsidRPr="00E03056" w:rsidRDefault="00302BFE" w:rsidP="00243B15">
            <w:pPr>
              <w:spacing w:before="40" w:after="40"/>
              <w:rPr>
                <w:rFonts w:cs="Calibri"/>
                <w:sz w:val="18"/>
                <w:szCs w:val="18"/>
                <w:lang w:val="en-GB"/>
              </w:rPr>
            </w:pPr>
            <w:r w:rsidRPr="00E03056">
              <w:rPr>
                <w:rFonts w:eastAsia="Times New Roman" w:cs="Calibri"/>
                <w:sz w:val="18"/>
                <w:szCs w:val="18"/>
                <w:lang w:val="en-GB"/>
              </w:rPr>
              <w:t>Budget reserve for possible fee adjustments based on the recruitment method for contracts under component 1 @ $ $7,500/year for years 2 to 6. Total amount $ 37,500</w:t>
            </w:r>
          </w:p>
        </w:tc>
      </w:tr>
      <w:tr w:rsidR="00302BFE" w:rsidRPr="006E490C" w14:paraId="204EE992"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tcPr>
          <w:p w14:paraId="60EC7019" w14:textId="33FD5E84" w:rsidR="00302BFE" w:rsidRPr="006E490C" w:rsidRDefault="00302BFE" w:rsidP="00243B15">
            <w:pPr>
              <w:spacing w:before="40" w:after="40"/>
              <w:jc w:val="center"/>
              <w:rPr>
                <w:rFonts w:eastAsia="Times New Roman" w:cs="Calibri"/>
                <w:i/>
                <w:iCs/>
                <w:sz w:val="18"/>
                <w:szCs w:val="18"/>
                <w:lang w:val="en-GB"/>
              </w:rPr>
            </w:pPr>
            <w:r w:rsidRPr="006E490C">
              <w:rPr>
                <w:rFonts w:eastAsia="Times New Roman" w:cs="Calibri"/>
                <w:i/>
                <w:iCs/>
                <w:sz w:val="18"/>
                <w:szCs w:val="18"/>
                <w:lang w:val="en-GB"/>
              </w:rPr>
              <w:t>1</w:t>
            </w:r>
            <w:r w:rsidR="002444C5">
              <w:rPr>
                <w:rFonts w:eastAsia="Times New Roman" w:cs="Calibri"/>
                <w:i/>
                <w:iCs/>
                <w:sz w:val="18"/>
                <w:szCs w:val="18"/>
                <w:lang w:val="en-GB"/>
              </w:rPr>
              <w:t>3</w:t>
            </w:r>
          </w:p>
        </w:tc>
        <w:tc>
          <w:tcPr>
            <w:tcW w:w="13687" w:type="dxa"/>
            <w:tcBorders>
              <w:top w:val="single" w:sz="4" w:space="0" w:color="auto"/>
              <w:left w:val="single" w:sz="4" w:space="0" w:color="auto"/>
              <w:bottom w:val="single" w:sz="4" w:space="0" w:color="auto"/>
              <w:right w:val="single" w:sz="4" w:space="0" w:color="auto"/>
            </w:tcBorders>
          </w:tcPr>
          <w:p w14:paraId="699550F0" w14:textId="23B74A88" w:rsidR="0091264A" w:rsidRPr="00E03056" w:rsidRDefault="00302BFE" w:rsidP="00243B15">
            <w:pPr>
              <w:spacing w:before="40" w:after="40"/>
              <w:rPr>
                <w:rFonts w:cs="Calibri"/>
                <w:sz w:val="18"/>
                <w:szCs w:val="18"/>
              </w:rPr>
            </w:pPr>
            <w:r w:rsidRPr="00E03056">
              <w:rPr>
                <w:rFonts w:cs="Calibri"/>
                <w:sz w:val="18"/>
                <w:szCs w:val="18"/>
                <w:lang w:val="en-CA"/>
              </w:rPr>
              <w:t xml:space="preserve">Budgetary reserve for possible contribution to the rental of the office of the PCU and to the acquisition of equipment and furniture, necessary for the conduct of the interventions under component 1 @ 3,000 / year for the years 1 to 6. </w:t>
            </w:r>
            <w:r w:rsidRPr="00E03056">
              <w:rPr>
                <w:rFonts w:cs="Calibri"/>
                <w:sz w:val="18"/>
                <w:szCs w:val="18"/>
              </w:rPr>
              <w:t>Total cost: $ 18,000.</w:t>
            </w:r>
          </w:p>
        </w:tc>
      </w:tr>
      <w:tr w:rsidR="00302BFE" w:rsidRPr="006E490C" w14:paraId="12798DE9" w14:textId="77777777" w:rsidTr="004F4EA2">
        <w:trPr>
          <w:jc w:val="center"/>
        </w:trPr>
        <w:tc>
          <w:tcPr>
            <w:tcW w:w="14390" w:type="dxa"/>
            <w:gridSpan w:val="2"/>
            <w:tcBorders>
              <w:top w:val="single" w:sz="4" w:space="0" w:color="auto"/>
              <w:left w:val="single" w:sz="4" w:space="0" w:color="auto"/>
              <w:bottom w:val="single" w:sz="4" w:space="0" w:color="auto"/>
              <w:right w:val="single" w:sz="4" w:space="0" w:color="auto"/>
            </w:tcBorders>
            <w:shd w:val="clear" w:color="auto" w:fill="DEEAF6"/>
            <w:hideMark/>
          </w:tcPr>
          <w:p w14:paraId="0E634C7A" w14:textId="77777777" w:rsidR="00302BFE" w:rsidRPr="006E490C" w:rsidRDefault="00302BFE" w:rsidP="00243B15">
            <w:pPr>
              <w:spacing w:before="40" w:after="40"/>
              <w:ind w:left="-23" w:right="-119"/>
              <w:rPr>
                <w:rFonts w:cs="Calibri"/>
                <w:b/>
                <w:sz w:val="18"/>
                <w:szCs w:val="18"/>
                <w:lang w:val="en-GB"/>
              </w:rPr>
            </w:pPr>
            <w:r w:rsidRPr="006E490C">
              <w:rPr>
                <w:b/>
                <w:sz w:val="18"/>
                <w:szCs w:val="18"/>
                <w:lang w:val="en-GB"/>
              </w:rPr>
              <w:t>Component 2: Strengthening the PONASI Protected Area System</w:t>
            </w:r>
          </w:p>
        </w:tc>
      </w:tr>
      <w:tr w:rsidR="00302BFE" w:rsidRPr="00A504FA" w14:paraId="41AC6B4A"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hideMark/>
          </w:tcPr>
          <w:p w14:paraId="5C45CFDA" w14:textId="508B450E" w:rsidR="00302BFE" w:rsidRPr="006E490C" w:rsidRDefault="00302BFE" w:rsidP="00243B15">
            <w:pPr>
              <w:spacing w:before="40" w:after="40"/>
              <w:jc w:val="center"/>
              <w:rPr>
                <w:rFonts w:eastAsia="Times New Roman" w:cs="Calibri"/>
                <w:i/>
                <w:iCs/>
                <w:sz w:val="18"/>
                <w:szCs w:val="18"/>
                <w:lang w:val="en-GB"/>
              </w:rPr>
            </w:pPr>
            <w:r w:rsidRPr="006E490C">
              <w:rPr>
                <w:rFonts w:eastAsia="Times New Roman" w:cs="Calibri"/>
                <w:i/>
                <w:iCs/>
                <w:sz w:val="18"/>
                <w:szCs w:val="18"/>
                <w:lang w:val="en-GB"/>
              </w:rPr>
              <w:t>1</w:t>
            </w:r>
            <w:r w:rsidR="002444C5">
              <w:rPr>
                <w:rFonts w:eastAsia="Times New Roman" w:cs="Calibri"/>
                <w:i/>
                <w:iCs/>
                <w:sz w:val="18"/>
                <w:szCs w:val="18"/>
                <w:lang w:val="en-GB"/>
              </w:rPr>
              <w:t>4</w:t>
            </w:r>
          </w:p>
        </w:tc>
        <w:tc>
          <w:tcPr>
            <w:tcW w:w="13687" w:type="dxa"/>
            <w:tcBorders>
              <w:top w:val="single" w:sz="4" w:space="0" w:color="auto"/>
              <w:left w:val="single" w:sz="4" w:space="0" w:color="auto"/>
              <w:bottom w:val="single" w:sz="4" w:space="0" w:color="auto"/>
              <w:right w:val="single" w:sz="4" w:space="0" w:color="auto"/>
            </w:tcBorders>
            <w:hideMark/>
          </w:tcPr>
          <w:p w14:paraId="7D43BE7A" w14:textId="77777777" w:rsidR="00302BFE" w:rsidRPr="00363257" w:rsidRDefault="00302BFE" w:rsidP="00243B15">
            <w:pPr>
              <w:spacing w:before="40" w:after="40"/>
              <w:rPr>
                <w:rFonts w:cs="Calibri"/>
                <w:sz w:val="18"/>
                <w:szCs w:val="18"/>
                <w:lang w:val="en-GB"/>
              </w:rPr>
            </w:pPr>
            <w:r w:rsidRPr="00363257">
              <w:rPr>
                <w:rFonts w:cs="Calibri"/>
                <w:sz w:val="18"/>
                <w:szCs w:val="18"/>
                <w:lang w:val="en-GB"/>
              </w:rPr>
              <w:t>a) Sustainable financing consultant to develop a business plan for the PA PONASI system in close collaboration with the PA management expert and the institutions in charge of PAs (OFINAP, DGEF, DREEVCC), including the review of existing funding sources to support PAs, the assessment of financial needs under the baseline and optimal scenarios, and the identification and assessment of the feasibility of potential innovative financing, particularly in relation to the assessment of ecosystem services provided by PAs to the surrounding PONASI landscape (Output 2.2.2) and include these funding mechanisms in the PONASI Landscape Master Plan. Contribution to strengthening the capacity of institutions in charge of PAs on financial planning, the development of a business plan for a PA system and the mobilization of innovative financing. Rate: $ 42,000 paid on a lump sum basis based on deliverables in Year 3. Total cost: $ 42,000.</w:t>
            </w:r>
          </w:p>
          <w:p w14:paraId="2AEF37D2" w14:textId="7BB64406" w:rsidR="00302BFE" w:rsidRPr="00741FCF" w:rsidRDefault="00302BFE" w:rsidP="00243B15">
            <w:pPr>
              <w:spacing w:before="40" w:after="40"/>
              <w:rPr>
                <w:rFonts w:cs="Calibri"/>
                <w:sz w:val="18"/>
                <w:szCs w:val="18"/>
                <w:lang w:val="en-GB"/>
              </w:rPr>
            </w:pPr>
            <w:r w:rsidRPr="00363257">
              <w:rPr>
                <w:rFonts w:cs="Calibri"/>
                <w:sz w:val="18"/>
                <w:szCs w:val="18"/>
                <w:lang w:val="en-GB"/>
              </w:rPr>
              <w:t>(</w:t>
            </w:r>
            <w:r w:rsidRPr="00741FCF">
              <w:rPr>
                <w:rFonts w:cs="Calibri"/>
                <w:sz w:val="18"/>
                <w:szCs w:val="18"/>
                <w:lang w:val="en-GB"/>
              </w:rPr>
              <w:t xml:space="preserve">b) Anti-poaching and enforcement </w:t>
            </w:r>
            <w:r w:rsidR="00AA278E" w:rsidRPr="00741FCF">
              <w:rPr>
                <w:rFonts w:cs="Calibri"/>
                <w:sz w:val="18"/>
                <w:szCs w:val="18"/>
                <w:lang w:val="en-GB"/>
              </w:rPr>
              <w:t xml:space="preserve">expert </w:t>
            </w:r>
            <w:r w:rsidRPr="00741FCF">
              <w:rPr>
                <w:rFonts w:cs="Calibri"/>
                <w:sz w:val="18"/>
                <w:szCs w:val="18"/>
                <w:lang w:val="en-GB"/>
              </w:rPr>
              <w:t xml:space="preserve">to develop a surveillance and anti-poaching strategy and action plan for the PONASI landscape and in collaboration with Ghana, and prepare, organize and deliver training for the institutions in charge of the PAs on the planning anti-poaching strategies at national and regional scales, and for rangers and eco-guards intervening in the PAs of the PONASI complex including the ZOVICs (output 2.2.5). Total cost: $ </w:t>
            </w:r>
            <w:r w:rsidR="006211CC" w:rsidRPr="00741FCF">
              <w:rPr>
                <w:rFonts w:cs="Calibri"/>
                <w:sz w:val="18"/>
                <w:szCs w:val="18"/>
                <w:lang w:val="en-GB"/>
              </w:rPr>
              <w:t>6</w:t>
            </w:r>
            <w:r w:rsidRPr="00741FCF">
              <w:rPr>
                <w:rFonts w:cs="Calibri"/>
                <w:sz w:val="18"/>
                <w:szCs w:val="18"/>
                <w:lang w:val="en-GB"/>
              </w:rPr>
              <w:t>0,000</w:t>
            </w:r>
            <w:r w:rsidR="00B501C4" w:rsidRPr="00741FCF">
              <w:rPr>
                <w:rFonts w:cs="Calibri"/>
                <w:sz w:val="18"/>
                <w:szCs w:val="18"/>
                <w:lang w:val="en-GB"/>
              </w:rPr>
              <w:t xml:space="preserve"> </w:t>
            </w:r>
            <w:r w:rsidRPr="00741FCF">
              <w:rPr>
                <w:rFonts w:cs="Calibri"/>
                <w:sz w:val="18"/>
                <w:szCs w:val="18"/>
                <w:lang w:val="en-GB"/>
              </w:rPr>
              <w:t xml:space="preserve">paid on the basis of deliverables in years </w:t>
            </w:r>
            <w:r w:rsidR="006211CC" w:rsidRPr="00741FCF">
              <w:rPr>
                <w:rFonts w:cs="Calibri"/>
                <w:sz w:val="18"/>
                <w:szCs w:val="18"/>
                <w:lang w:val="en-GB"/>
              </w:rPr>
              <w:t>1</w:t>
            </w:r>
            <w:r w:rsidRPr="00741FCF">
              <w:rPr>
                <w:rFonts w:cs="Calibri"/>
                <w:sz w:val="18"/>
                <w:szCs w:val="18"/>
                <w:lang w:val="en-GB"/>
              </w:rPr>
              <w:t xml:space="preserve"> and </w:t>
            </w:r>
            <w:r w:rsidR="006211CC" w:rsidRPr="00741FCF">
              <w:rPr>
                <w:rFonts w:cs="Calibri"/>
                <w:sz w:val="18"/>
                <w:szCs w:val="18"/>
                <w:lang w:val="en-GB"/>
              </w:rPr>
              <w:t>2</w:t>
            </w:r>
            <w:r w:rsidRPr="00741FCF">
              <w:rPr>
                <w:rFonts w:cs="Calibri"/>
                <w:sz w:val="18"/>
                <w:szCs w:val="18"/>
                <w:lang w:val="en-GB"/>
              </w:rPr>
              <w:t>. Total cost: $</w:t>
            </w:r>
            <w:r w:rsidR="006211CC" w:rsidRPr="00741FCF">
              <w:rPr>
                <w:rFonts w:cs="Calibri"/>
                <w:sz w:val="18"/>
                <w:szCs w:val="18"/>
                <w:lang w:val="en-GB"/>
              </w:rPr>
              <w:t>6</w:t>
            </w:r>
            <w:r w:rsidRPr="00741FCF">
              <w:rPr>
                <w:rFonts w:cs="Calibri"/>
                <w:sz w:val="18"/>
                <w:szCs w:val="18"/>
                <w:lang w:val="en-GB"/>
              </w:rPr>
              <w:t>0,000</w:t>
            </w:r>
          </w:p>
          <w:p w14:paraId="363D438A" w14:textId="755BB5D2" w:rsidR="00302BFE" w:rsidRPr="00741FCF" w:rsidRDefault="00302BFE" w:rsidP="00243B15">
            <w:pPr>
              <w:spacing w:before="40" w:after="40"/>
              <w:rPr>
                <w:rFonts w:cs="Calibri"/>
                <w:sz w:val="18"/>
                <w:szCs w:val="18"/>
                <w:lang w:val="en-GB"/>
              </w:rPr>
            </w:pPr>
            <w:r w:rsidRPr="00741FCF">
              <w:rPr>
                <w:rFonts w:cs="Calibri"/>
                <w:sz w:val="18"/>
                <w:szCs w:val="18"/>
                <w:lang w:val="en-GB"/>
              </w:rPr>
              <w:t xml:space="preserve">c) Ecological monitoring expert for the design of ecological monitoring plans for all PAs (output 2.2.4), identification of appropriate sites for transects and permanent monitoring routes and collaboration with the GIS expert to produce detailed maps identifying these routes; prepare, organize and deliver theoretical and practical training on ecological monitoring planning and techniques and data collection and inputs for institutions in charge of PAs, especially forest rangers and eco-guards; develop training materials; Support the surveys needed to establish baseline values for outcome indicators in the CSR, in collaboration with the project monitoring and evaluation expert. Rate: $ </w:t>
            </w:r>
            <w:r w:rsidR="00BB3BA7" w:rsidRPr="00741FCF">
              <w:rPr>
                <w:rFonts w:cs="Calibri"/>
                <w:sz w:val="18"/>
                <w:szCs w:val="18"/>
                <w:lang w:val="en-GB"/>
              </w:rPr>
              <w:t>4</w:t>
            </w:r>
            <w:r w:rsidRPr="00741FCF">
              <w:rPr>
                <w:rFonts w:cs="Calibri"/>
                <w:sz w:val="18"/>
                <w:szCs w:val="18"/>
                <w:lang w:val="en-GB"/>
              </w:rPr>
              <w:t xml:space="preserve">0,000 paid on a lump sum basis based of deliverables in years </w:t>
            </w:r>
            <w:r w:rsidR="006211CC" w:rsidRPr="00741FCF">
              <w:rPr>
                <w:rFonts w:cs="Calibri"/>
                <w:sz w:val="18"/>
                <w:szCs w:val="18"/>
                <w:lang w:val="en-GB"/>
              </w:rPr>
              <w:t>1</w:t>
            </w:r>
            <w:r w:rsidRPr="00741FCF">
              <w:rPr>
                <w:rFonts w:cs="Calibri"/>
                <w:sz w:val="18"/>
                <w:szCs w:val="18"/>
                <w:lang w:val="en-GB"/>
              </w:rPr>
              <w:t xml:space="preserve"> and </w:t>
            </w:r>
            <w:r w:rsidR="006211CC" w:rsidRPr="00741FCF">
              <w:rPr>
                <w:rFonts w:cs="Calibri"/>
                <w:sz w:val="18"/>
                <w:szCs w:val="18"/>
                <w:lang w:val="en-GB"/>
              </w:rPr>
              <w:t>2</w:t>
            </w:r>
            <w:r w:rsidRPr="00741FCF">
              <w:rPr>
                <w:rFonts w:cs="Calibri"/>
                <w:sz w:val="18"/>
                <w:szCs w:val="18"/>
                <w:lang w:val="en-GB"/>
              </w:rPr>
              <w:t xml:space="preserve">. Total cost: $ </w:t>
            </w:r>
            <w:r w:rsidR="00BB3BA7" w:rsidRPr="00741FCF">
              <w:rPr>
                <w:rFonts w:cs="Calibri"/>
                <w:sz w:val="18"/>
                <w:szCs w:val="18"/>
                <w:lang w:val="en-GB"/>
              </w:rPr>
              <w:t>4</w:t>
            </w:r>
            <w:r w:rsidRPr="00741FCF">
              <w:rPr>
                <w:rFonts w:cs="Calibri"/>
                <w:sz w:val="18"/>
                <w:szCs w:val="18"/>
                <w:lang w:val="en-GB"/>
              </w:rPr>
              <w:t>0,000</w:t>
            </w:r>
          </w:p>
          <w:p w14:paraId="6754CD36" w14:textId="7B56307B" w:rsidR="00302BFE" w:rsidRPr="00741FCF" w:rsidRDefault="00302BFE" w:rsidP="00243B15">
            <w:pPr>
              <w:spacing w:before="40" w:after="40"/>
              <w:rPr>
                <w:rFonts w:cs="Calibri"/>
                <w:sz w:val="18"/>
                <w:szCs w:val="18"/>
                <w:lang w:val="en-GB"/>
              </w:rPr>
            </w:pPr>
            <w:r w:rsidRPr="00741FCF">
              <w:rPr>
                <w:rFonts w:cs="Calibri"/>
                <w:sz w:val="18"/>
                <w:szCs w:val="18"/>
                <w:lang w:val="en-GB"/>
              </w:rPr>
              <w:t>d) Expert in human-wildlife conflict (</w:t>
            </w:r>
            <w:bookmarkStart w:id="41" w:name="OLE_LINK3"/>
            <w:bookmarkStart w:id="42" w:name="OLE_LINK4"/>
            <w:r w:rsidRPr="00741FCF">
              <w:rPr>
                <w:rFonts w:cs="Calibri"/>
                <w:sz w:val="18"/>
                <w:szCs w:val="18"/>
                <w:lang w:val="en-GB"/>
              </w:rPr>
              <w:t>HWC</w:t>
            </w:r>
            <w:bookmarkEnd w:id="41"/>
            <w:bookmarkEnd w:id="42"/>
            <w:r w:rsidRPr="00741FCF">
              <w:rPr>
                <w:rFonts w:cs="Calibri"/>
                <w:sz w:val="18"/>
                <w:szCs w:val="18"/>
                <w:lang w:val="en-GB"/>
              </w:rPr>
              <w:t xml:space="preserve">) to supervise the collection of data on HWC, plan rapid assessments in </w:t>
            </w:r>
            <w:r w:rsidR="009363D6" w:rsidRPr="00741FCF">
              <w:rPr>
                <w:rFonts w:cs="Calibri"/>
                <w:sz w:val="18"/>
                <w:szCs w:val="18"/>
                <w:lang w:val="en-GB"/>
              </w:rPr>
              <w:t>communes</w:t>
            </w:r>
            <w:r w:rsidRPr="00741FCF">
              <w:rPr>
                <w:rFonts w:cs="Calibri"/>
                <w:sz w:val="18"/>
                <w:szCs w:val="18"/>
                <w:lang w:val="en-GB"/>
              </w:rPr>
              <w:t xml:space="preserve"> affected by HWC, contribute to the analysis of results, develop the strategy to mitigate HWC in collaboration with the technical team, ensure the presentation for validation and contribute to strengthening the capacity of institutions in charge of protected areas in the prevention and management of human-wildlife conflicts, and integrate the HWC strategy into the PONASI landscape master plan (output 2.4.1). Lump sum: $</w:t>
            </w:r>
            <w:r w:rsidR="00BB3BA7" w:rsidRPr="00741FCF">
              <w:rPr>
                <w:rFonts w:cs="Calibri"/>
                <w:sz w:val="18"/>
                <w:szCs w:val="18"/>
                <w:lang w:val="en-GB"/>
              </w:rPr>
              <w:t>4</w:t>
            </w:r>
            <w:r w:rsidRPr="00741FCF">
              <w:rPr>
                <w:rFonts w:cs="Calibri"/>
                <w:sz w:val="18"/>
                <w:szCs w:val="18"/>
                <w:lang w:val="en-GB"/>
              </w:rPr>
              <w:t>0,000 paid on the basis of deliverables in years 1</w:t>
            </w:r>
            <w:r w:rsidR="00BB3BA7" w:rsidRPr="00741FCF">
              <w:rPr>
                <w:rFonts w:cs="Calibri"/>
                <w:sz w:val="18"/>
                <w:szCs w:val="18"/>
                <w:lang w:val="en-GB"/>
              </w:rPr>
              <w:t xml:space="preserve"> </w:t>
            </w:r>
            <w:r w:rsidRPr="00741FCF">
              <w:rPr>
                <w:rFonts w:cs="Calibri"/>
                <w:sz w:val="18"/>
                <w:szCs w:val="18"/>
                <w:lang w:val="en-GB"/>
              </w:rPr>
              <w:t xml:space="preserve">and </w:t>
            </w:r>
            <w:r w:rsidR="00BB3BA7" w:rsidRPr="00741FCF">
              <w:rPr>
                <w:rFonts w:cs="Calibri"/>
                <w:sz w:val="18"/>
                <w:szCs w:val="18"/>
                <w:lang w:val="en-GB"/>
              </w:rPr>
              <w:t>2</w:t>
            </w:r>
            <w:r w:rsidRPr="00741FCF">
              <w:rPr>
                <w:rFonts w:cs="Calibri"/>
                <w:sz w:val="18"/>
                <w:szCs w:val="18"/>
                <w:lang w:val="en-GB"/>
              </w:rPr>
              <w:t xml:space="preserve">. Total cost: $ </w:t>
            </w:r>
            <w:r w:rsidR="00BB3BA7" w:rsidRPr="00741FCF">
              <w:rPr>
                <w:rFonts w:cs="Calibri"/>
                <w:sz w:val="18"/>
                <w:szCs w:val="18"/>
                <w:lang w:val="en-GB"/>
              </w:rPr>
              <w:t>4</w:t>
            </w:r>
            <w:r w:rsidRPr="00741FCF">
              <w:rPr>
                <w:rFonts w:cs="Calibri"/>
                <w:sz w:val="18"/>
                <w:szCs w:val="18"/>
                <w:lang w:val="en-GB"/>
              </w:rPr>
              <w:t xml:space="preserve">0,000 </w:t>
            </w:r>
          </w:p>
          <w:p w14:paraId="136F9712" w14:textId="30211836" w:rsidR="00B501C4" w:rsidRPr="00741FCF" w:rsidRDefault="00302BFE" w:rsidP="00243B15">
            <w:pPr>
              <w:spacing w:before="40" w:after="40"/>
              <w:rPr>
                <w:rFonts w:cs="Calibri"/>
                <w:sz w:val="18"/>
                <w:szCs w:val="18"/>
                <w:lang w:val="en-GB"/>
              </w:rPr>
            </w:pPr>
            <w:r w:rsidRPr="00741FCF">
              <w:rPr>
                <w:rFonts w:cs="Calibri"/>
                <w:sz w:val="18"/>
                <w:szCs w:val="18"/>
                <w:lang w:val="en-GB"/>
              </w:rPr>
              <w:t>e) Wildlife expert</w:t>
            </w:r>
            <w:r w:rsidR="0084106F" w:rsidRPr="00741FCF">
              <w:rPr>
                <w:rFonts w:cs="Calibri"/>
                <w:sz w:val="18"/>
                <w:szCs w:val="18"/>
                <w:lang w:val="en-GB"/>
              </w:rPr>
              <w:t xml:space="preserve"> in the 1st year of the project</w:t>
            </w:r>
            <w:r w:rsidRPr="00741FCF">
              <w:rPr>
                <w:rFonts w:cs="Calibri"/>
                <w:sz w:val="18"/>
                <w:szCs w:val="18"/>
                <w:lang w:val="en-GB"/>
              </w:rPr>
              <w:t xml:space="preserve"> </w:t>
            </w:r>
            <w:r w:rsidR="0026329B" w:rsidRPr="00741FCF">
              <w:rPr>
                <w:rFonts w:cs="Calibri"/>
                <w:sz w:val="18"/>
                <w:szCs w:val="18"/>
                <w:lang w:val="en-GB"/>
              </w:rPr>
              <w:t>to compile</w:t>
            </w:r>
            <w:r w:rsidR="0026329B" w:rsidRPr="00741FCF">
              <w:rPr>
                <w:sz w:val="18"/>
                <w:szCs w:val="18"/>
                <w:lang w:val="en-GB"/>
              </w:rPr>
              <w:t xml:space="preserve"> and analyse </w:t>
            </w:r>
            <w:r w:rsidR="0026329B" w:rsidRPr="00741FCF">
              <w:rPr>
                <w:rFonts w:asciiTheme="minorHAnsi" w:hAnsiTheme="minorHAnsi"/>
                <w:sz w:val="18"/>
                <w:szCs w:val="18"/>
                <w:lang w:val="en-CA"/>
              </w:rPr>
              <w:t xml:space="preserve">existing data, publications, conduct interviews, and review impacts of hunting management in the RGN, the Sissili CF and the ZOVICs since their creation against stated objectives in terms of biodiversity conservation and socioeconomic costs and benefits, and </w:t>
            </w:r>
            <w:r w:rsidR="00DD27B3" w:rsidRPr="00741FCF">
              <w:rPr>
                <w:rFonts w:asciiTheme="minorHAnsi" w:hAnsiTheme="minorHAnsi"/>
                <w:sz w:val="18"/>
                <w:szCs w:val="18"/>
                <w:lang w:val="en-CA"/>
              </w:rPr>
              <w:t xml:space="preserve">to </w:t>
            </w:r>
            <w:r w:rsidR="0026329B" w:rsidRPr="00741FCF">
              <w:rPr>
                <w:rFonts w:asciiTheme="minorHAnsi" w:hAnsiTheme="minorHAnsi"/>
                <w:sz w:val="18"/>
                <w:szCs w:val="18"/>
                <w:lang w:val="en-CA"/>
              </w:rPr>
              <w:t xml:space="preserve">facilitate a workshop discuss the report findings with </w:t>
            </w:r>
            <w:r w:rsidR="0026329B" w:rsidRPr="00741FCF">
              <w:rPr>
                <w:sz w:val="18"/>
                <w:szCs w:val="18"/>
                <w:lang w:val="en-GB"/>
              </w:rPr>
              <w:t xml:space="preserve">participants </w:t>
            </w:r>
            <w:r w:rsidR="00DD27B3" w:rsidRPr="00741FCF">
              <w:rPr>
                <w:sz w:val="18"/>
                <w:szCs w:val="18"/>
                <w:lang w:val="en-GB"/>
              </w:rPr>
              <w:t>t</w:t>
            </w:r>
            <w:r w:rsidR="0018302A" w:rsidRPr="00741FCF">
              <w:rPr>
                <w:sz w:val="18"/>
                <w:szCs w:val="18"/>
                <w:lang w:val="en-GB"/>
              </w:rPr>
              <w:t xml:space="preserve">o </w:t>
            </w:r>
            <w:r w:rsidR="00DD27B3" w:rsidRPr="00741FCF">
              <w:rPr>
                <w:sz w:val="18"/>
                <w:szCs w:val="18"/>
                <w:lang w:val="en-GB"/>
              </w:rPr>
              <w:t>ensure they</w:t>
            </w:r>
            <w:r w:rsidR="0026329B" w:rsidRPr="00741FCF">
              <w:rPr>
                <w:sz w:val="18"/>
                <w:szCs w:val="18"/>
                <w:lang w:val="en-GB"/>
              </w:rPr>
              <w:t xml:space="preserve"> </w:t>
            </w:r>
            <w:r w:rsidR="00DD27B3" w:rsidRPr="00741FCF">
              <w:rPr>
                <w:sz w:val="18"/>
                <w:szCs w:val="18"/>
                <w:lang w:val="en-GB"/>
              </w:rPr>
              <w:t xml:space="preserve">clearly </w:t>
            </w:r>
            <w:r w:rsidR="0026329B" w:rsidRPr="00741FCF">
              <w:rPr>
                <w:sz w:val="18"/>
                <w:szCs w:val="18"/>
                <w:lang w:val="en-GB"/>
              </w:rPr>
              <w:t xml:space="preserve">understand the recent population trends </w:t>
            </w:r>
            <w:r w:rsidR="0018302A" w:rsidRPr="00741FCF">
              <w:rPr>
                <w:sz w:val="18"/>
                <w:szCs w:val="18"/>
                <w:lang w:val="en-GB"/>
              </w:rPr>
              <w:t>of</w:t>
            </w:r>
            <w:r w:rsidR="0026329B" w:rsidRPr="00741FCF">
              <w:rPr>
                <w:sz w:val="18"/>
                <w:szCs w:val="18"/>
                <w:lang w:val="en-GB"/>
              </w:rPr>
              <w:t xml:space="preserve"> exploited species</w:t>
            </w:r>
            <w:r w:rsidR="0018302A" w:rsidRPr="00741FCF">
              <w:rPr>
                <w:sz w:val="18"/>
                <w:szCs w:val="18"/>
                <w:lang w:val="en-GB"/>
              </w:rPr>
              <w:t xml:space="preserve"> and </w:t>
            </w:r>
            <w:r w:rsidR="00DD27B3" w:rsidRPr="00741FCF">
              <w:rPr>
                <w:rFonts w:asciiTheme="minorHAnsi" w:hAnsiTheme="minorHAnsi"/>
                <w:sz w:val="18"/>
                <w:szCs w:val="18"/>
                <w:lang w:val="en-CA"/>
              </w:rPr>
              <w:t>the need to</w:t>
            </w:r>
            <w:r w:rsidR="0018302A" w:rsidRPr="00741FCF">
              <w:rPr>
                <w:rFonts w:asciiTheme="minorHAnsi" w:hAnsiTheme="minorHAnsi"/>
                <w:sz w:val="18"/>
                <w:szCs w:val="18"/>
                <w:lang w:val="en-CA"/>
              </w:rPr>
              <w:t xml:space="preserve"> suspen</w:t>
            </w:r>
            <w:r w:rsidR="00DD27B3" w:rsidRPr="00741FCF">
              <w:rPr>
                <w:rFonts w:asciiTheme="minorHAnsi" w:hAnsiTheme="minorHAnsi"/>
                <w:sz w:val="18"/>
                <w:szCs w:val="18"/>
                <w:lang w:val="en-CA"/>
              </w:rPr>
              <w:t>d</w:t>
            </w:r>
            <w:r w:rsidR="0018302A" w:rsidRPr="00741FCF">
              <w:rPr>
                <w:rFonts w:asciiTheme="minorHAnsi" w:hAnsiTheme="minorHAnsi"/>
                <w:sz w:val="18"/>
                <w:szCs w:val="18"/>
                <w:lang w:val="en-CA"/>
              </w:rPr>
              <w:t xml:space="preserve"> hunting activities</w:t>
            </w:r>
            <w:r w:rsidRPr="00741FCF">
              <w:rPr>
                <w:rFonts w:cs="Calibri"/>
                <w:sz w:val="18"/>
                <w:szCs w:val="18"/>
                <w:lang w:val="en-GB"/>
              </w:rPr>
              <w:t xml:space="preserve"> (outputs 2.2.2 and 2.3.2); </w:t>
            </w:r>
            <w:r w:rsidR="0018302A" w:rsidRPr="00741FCF">
              <w:rPr>
                <w:rFonts w:cs="Calibri"/>
                <w:sz w:val="18"/>
                <w:szCs w:val="18"/>
                <w:lang w:val="en-GB"/>
              </w:rPr>
              <w:t xml:space="preserve">If the </w:t>
            </w:r>
            <w:r w:rsidR="0084106F" w:rsidRPr="00741FCF">
              <w:rPr>
                <w:rFonts w:cs="Calibri"/>
                <w:sz w:val="18"/>
                <w:szCs w:val="18"/>
                <w:lang w:val="en-GB"/>
              </w:rPr>
              <w:t xml:space="preserve">third-party </w:t>
            </w:r>
            <w:r w:rsidR="0018302A" w:rsidRPr="00741FCF">
              <w:rPr>
                <w:rFonts w:cs="Calibri"/>
                <w:sz w:val="18"/>
                <w:szCs w:val="18"/>
                <w:lang w:val="en-GB"/>
              </w:rPr>
              <w:t xml:space="preserve">assessment conducted at mid-term concludes that hunting activities can be resumed in a foreseeable future, the consultant will support strengthening </w:t>
            </w:r>
            <w:r w:rsidR="0084106F" w:rsidRPr="00741FCF">
              <w:rPr>
                <w:rFonts w:cs="Calibri"/>
                <w:sz w:val="18"/>
                <w:szCs w:val="18"/>
                <w:lang w:val="en-GB"/>
              </w:rPr>
              <w:t>capacities for</w:t>
            </w:r>
            <w:r w:rsidR="0018302A" w:rsidRPr="00741FCF">
              <w:rPr>
                <w:rFonts w:cs="Calibri"/>
                <w:sz w:val="18"/>
                <w:szCs w:val="18"/>
                <w:lang w:val="en-GB"/>
              </w:rPr>
              <w:t xml:space="preserve"> hunting management, </w:t>
            </w:r>
            <w:r w:rsidRPr="00741FCF">
              <w:rPr>
                <w:rFonts w:cs="Calibri"/>
                <w:sz w:val="18"/>
                <w:szCs w:val="18"/>
                <w:lang w:val="en-GB"/>
              </w:rPr>
              <w:t xml:space="preserve">make recommendations on the conservation objectives for exploited species, sustainable harvest thresholds (quotas), and </w:t>
            </w:r>
            <w:r w:rsidR="0084106F" w:rsidRPr="00741FCF">
              <w:rPr>
                <w:rFonts w:cs="Calibri"/>
                <w:sz w:val="18"/>
                <w:szCs w:val="18"/>
                <w:lang w:val="en-GB"/>
              </w:rPr>
              <w:t>other measures to</w:t>
            </w:r>
            <w:r w:rsidRPr="00741FCF">
              <w:rPr>
                <w:rFonts w:cs="Calibri"/>
                <w:sz w:val="18"/>
                <w:szCs w:val="18"/>
                <w:lang w:val="en-GB"/>
              </w:rPr>
              <w:t xml:space="preserve"> </w:t>
            </w:r>
            <w:r w:rsidR="0084106F" w:rsidRPr="00741FCF">
              <w:rPr>
                <w:rFonts w:cs="Calibri"/>
                <w:sz w:val="18"/>
                <w:szCs w:val="18"/>
                <w:lang w:val="en-GB"/>
              </w:rPr>
              <w:t>ensure</w:t>
            </w:r>
            <w:r w:rsidRPr="00741FCF">
              <w:rPr>
                <w:rFonts w:cs="Calibri"/>
                <w:sz w:val="18"/>
                <w:szCs w:val="18"/>
                <w:lang w:val="en-GB"/>
              </w:rPr>
              <w:t xml:space="preserve"> hunting pressure on </w:t>
            </w:r>
            <w:r w:rsidR="0084106F" w:rsidRPr="00741FCF">
              <w:rPr>
                <w:rFonts w:cs="Calibri"/>
                <w:sz w:val="18"/>
                <w:szCs w:val="18"/>
                <w:lang w:val="en-GB"/>
              </w:rPr>
              <w:t>target</w:t>
            </w:r>
            <w:r w:rsidRPr="00741FCF">
              <w:rPr>
                <w:rFonts w:cs="Calibri"/>
                <w:sz w:val="18"/>
                <w:szCs w:val="18"/>
                <w:lang w:val="en-GB"/>
              </w:rPr>
              <w:t xml:space="preserve"> species </w:t>
            </w:r>
            <w:r w:rsidR="0084106F" w:rsidRPr="00741FCF">
              <w:rPr>
                <w:rFonts w:cs="Calibri"/>
                <w:sz w:val="18"/>
                <w:szCs w:val="18"/>
                <w:lang w:val="en-GB"/>
              </w:rPr>
              <w:t>is sustainable</w:t>
            </w:r>
            <w:r w:rsidRPr="00741FCF">
              <w:rPr>
                <w:rFonts w:cs="Calibri"/>
                <w:sz w:val="18"/>
                <w:szCs w:val="18"/>
                <w:lang w:val="en-GB"/>
              </w:rPr>
              <w:t>; develop guidance documents for the annual updating of management measures. Rate: $</w:t>
            </w:r>
            <w:r w:rsidR="00BB3BA7" w:rsidRPr="00741FCF">
              <w:rPr>
                <w:rFonts w:cs="Calibri"/>
                <w:sz w:val="18"/>
                <w:szCs w:val="18"/>
                <w:lang w:val="en-GB"/>
              </w:rPr>
              <w:t>1</w:t>
            </w:r>
            <w:r w:rsidRPr="00741FCF">
              <w:rPr>
                <w:rFonts w:cs="Calibri"/>
                <w:sz w:val="18"/>
                <w:szCs w:val="18"/>
                <w:lang w:val="en-GB"/>
              </w:rPr>
              <w:t xml:space="preserve">0,000 </w:t>
            </w:r>
            <w:r w:rsidR="00BB3BA7" w:rsidRPr="00741FCF">
              <w:rPr>
                <w:rFonts w:cs="Calibri"/>
                <w:sz w:val="18"/>
                <w:szCs w:val="18"/>
                <w:lang w:val="en-GB"/>
              </w:rPr>
              <w:t xml:space="preserve">and $20,000 </w:t>
            </w:r>
            <w:r w:rsidRPr="00741FCF">
              <w:rPr>
                <w:rFonts w:cs="Calibri"/>
                <w:sz w:val="18"/>
                <w:szCs w:val="18"/>
                <w:lang w:val="en-GB"/>
              </w:rPr>
              <w:t>paid as lump sum</w:t>
            </w:r>
            <w:r w:rsidR="00BB3BA7" w:rsidRPr="00741FCF">
              <w:rPr>
                <w:rFonts w:cs="Calibri"/>
                <w:sz w:val="18"/>
                <w:szCs w:val="18"/>
                <w:lang w:val="en-GB"/>
              </w:rPr>
              <w:t>s</w:t>
            </w:r>
            <w:r w:rsidRPr="00741FCF">
              <w:rPr>
                <w:rFonts w:cs="Calibri"/>
                <w:sz w:val="18"/>
                <w:szCs w:val="18"/>
                <w:lang w:val="en-GB"/>
              </w:rPr>
              <w:t xml:space="preserve"> on the basis of deliverables in the </w:t>
            </w:r>
            <w:r w:rsidR="00BB3BA7" w:rsidRPr="00741FCF">
              <w:rPr>
                <w:rFonts w:cs="Calibri"/>
                <w:sz w:val="18"/>
                <w:szCs w:val="18"/>
                <w:lang w:val="en-GB"/>
              </w:rPr>
              <w:t>1</w:t>
            </w:r>
            <w:r w:rsidR="00BB3BA7" w:rsidRPr="00741FCF">
              <w:rPr>
                <w:rFonts w:cs="Calibri"/>
                <w:sz w:val="18"/>
                <w:szCs w:val="18"/>
                <w:vertAlign w:val="superscript"/>
                <w:lang w:val="en-GB"/>
              </w:rPr>
              <w:t>st</w:t>
            </w:r>
            <w:r w:rsidR="00BB3BA7" w:rsidRPr="00741FCF">
              <w:rPr>
                <w:rFonts w:cs="Calibri"/>
                <w:sz w:val="18"/>
                <w:szCs w:val="18"/>
                <w:lang w:val="en-GB"/>
              </w:rPr>
              <w:t xml:space="preserve"> and 4</w:t>
            </w:r>
            <w:r w:rsidR="00BB3BA7" w:rsidRPr="00741FCF">
              <w:rPr>
                <w:rFonts w:cs="Calibri"/>
                <w:sz w:val="18"/>
                <w:szCs w:val="18"/>
                <w:vertAlign w:val="superscript"/>
                <w:lang w:val="en-GB"/>
              </w:rPr>
              <w:t>th</w:t>
            </w:r>
            <w:r w:rsidR="00BB3BA7" w:rsidRPr="00741FCF">
              <w:rPr>
                <w:rFonts w:cs="Calibri"/>
                <w:sz w:val="18"/>
                <w:szCs w:val="18"/>
                <w:lang w:val="en-GB"/>
              </w:rPr>
              <w:t xml:space="preserve"> </w:t>
            </w:r>
            <w:r w:rsidRPr="00741FCF">
              <w:rPr>
                <w:rFonts w:cs="Calibri"/>
                <w:sz w:val="18"/>
                <w:szCs w:val="18"/>
                <w:lang w:val="en-GB"/>
              </w:rPr>
              <w:t xml:space="preserve">year. Total cost: $ </w:t>
            </w:r>
            <w:r w:rsidR="00BB3BA7" w:rsidRPr="00741FCF">
              <w:rPr>
                <w:rFonts w:cs="Calibri"/>
                <w:sz w:val="18"/>
                <w:szCs w:val="18"/>
                <w:lang w:val="en-GB"/>
              </w:rPr>
              <w:t>3</w:t>
            </w:r>
            <w:r w:rsidRPr="00741FCF">
              <w:rPr>
                <w:rFonts w:cs="Calibri"/>
                <w:sz w:val="18"/>
                <w:szCs w:val="18"/>
                <w:lang w:val="en-GB"/>
              </w:rPr>
              <w:t>0,000.</w:t>
            </w:r>
          </w:p>
          <w:p w14:paraId="3B5186C8" w14:textId="21BCEE51" w:rsidR="00302BFE" w:rsidRPr="00363257" w:rsidRDefault="00B501C4" w:rsidP="00DF2CE4">
            <w:pPr>
              <w:spacing w:before="40" w:after="40"/>
              <w:rPr>
                <w:rFonts w:cs="Calibri"/>
                <w:sz w:val="18"/>
                <w:szCs w:val="18"/>
                <w:lang w:val="en-GB"/>
              </w:rPr>
            </w:pPr>
            <w:r w:rsidRPr="00741FCF">
              <w:rPr>
                <w:rFonts w:cs="Calibri"/>
                <w:sz w:val="18"/>
                <w:szCs w:val="18"/>
                <w:lang w:val="en-GB"/>
              </w:rPr>
              <w:t xml:space="preserve">f) </w:t>
            </w:r>
            <w:r w:rsidR="0084106F" w:rsidRPr="00741FCF">
              <w:rPr>
                <w:rFonts w:asciiTheme="minorHAnsi" w:hAnsiTheme="minorHAnsi"/>
                <w:sz w:val="18"/>
                <w:szCs w:val="18"/>
                <w:lang w:val="en-CA"/>
              </w:rPr>
              <w:t xml:space="preserve">Wildlife and hunting independent or third-party expert, i.e. not engaged in any other activity of the project, and with experience in the country, to assess population’s </w:t>
            </w:r>
            <w:r w:rsidR="00DF2CE4" w:rsidRPr="00741FCF">
              <w:rPr>
                <w:rFonts w:asciiTheme="minorHAnsi" w:hAnsiTheme="minorHAnsi"/>
                <w:sz w:val="18"/>
                <w:szCs w:val="18"/>
                <w:lang w:val="en-CA"/>
              </w:rPr>
              <w:t>status</w:t>
            </w:r>
            <w:r w:rsidR="0084106F" w:rsidRPr="00741FCF">
              <w:rPr>
                <w:rFonts w:asciiTheme="minorHAnsi" w:hAnsiTheme="minorHAnsi"/>
                <w:sz w:val="18"/>
                <w:szCs w:val="18"/>
                <w:lang w:val="en-CA"/>
              </w:rPr>
              <w:t xml:space="preserve"> of game species and </w:t>
            </w:r>
            <w:r w:rsidR="0084106F" w:rsidRPr="00741FCF">
              <w:rPr>
                <w:rFonts w:asciiTheme="minorHAnsi" w:eastAsia="Times New Roman" w:hAnsiTheme="minorHAnsi" w:cs="Arial"/>
                <w:color w:val="212529"/>
                <w:sz w:val="18"/>
                <w:szCs w:val="18"/>
                <w:lang w:val="en-CA" w:eastAsia="en-GB"/>
              </w:rPr>
              <w:t xml:space="preserve">provide a professional opinion on the viability of </w:t>
            </w:r>
            <w:r w:rsidR="00DF2CE4" w:rsidRPr="00741FCF">
              <w:rPr>
                <w:rFonts w:asciiTheme="minorHAnsi" w:eastAsia="Times New Roman" w:hAnsiTheme="minorHAnsi" w:cs="Arial"/>
                <w:color w:val="212529"/>
                <w:sz w:val="18"/>
                <w:szCs w:val="18"/>
                <w:lang w:val="en-CA" w:eastAsia="en-GB"/>
              </w:rPr>
              <w:t>hunting management</w:t>
            </w:r>
            <w:r w:rsidR="0084106F" w:rsidRPr="00741FCF">
              <w:rPr>
                <w:rFonts w:asciiTheme="minorHAnsi" w:eastAsia="Times New Roman" w:hAnsiTheme="minorHAnsi" w:cs="Arial"/>
                <w:color w:val="212529"/>
                <w:sz w:val="18"/>
                <w:szCs w:val="18"/>
                <w:lang w:val="en-CA" w:eastAsia="en-GB"/>
              </w:rPr>
              <w:t xml:space="preserve"> including the proficiency of the concessionaires to manage the areas.</w:t>
            </w:r>
            <w:r w:rsidR="00DF2CE4" w:rsidRPr="00741FCF">
              <w:rPr>
                <w:rFonts w:asciiTheme="minorHAnsi" w:eastAsia="Times New Roman" w:hAnsiTheme="minorHAnsi" w:cs="Arial"/>
                <w:color w:val="212529"/>
                <w:sz w:val="18"/>
                <w:szCs w:val="18"/>
                <w:lang w:val="en-CA" w:eastAsia="en-GB"/>
              </w:rPr>
              <w:t xml:space="preserve"> </w:t>
            </w:r>
            <w:r w:rsidR="00DF2CE4" w:rsidRPr="00741FCF">
              <w:rPr>
                <w:rFonts w:asciiTheme="minorHAnsi" w:hAnsiTheme="minorHAnsi"/>
                <w:sz w:val="18"/>
                <w:szCs w:val="18"/>
                <w:lang w:val="en-CA"/>
              </w:rPr>
              <w:t>The</w:t>
            </w:r>
            <w:r w:rsidR="0084106F" w:rsidRPr="00741FCF">
              <w:rPr>
                <w:rFonts w:asciiTheme="minorHAnsi" w:hAnsiTheme="minorHAnsi"/>
                <w:sz w:val="18"/>
                <w:szCs w:val="18"/>
                <w:lang w:val="en-CA"/>
              </w:rPr>
              <w:t xml:space="preserve"> assessment will analyse population trends for big and small game species, and for other key species that are not targeted by hunting activities</w:t>
            </w:r>
            <w:r w:rsidR="00DF2CE4" w:rsidRPr="00741FCF">
              <w:rPr>
                <w:rFonts w:asciiTheme="minorHAnsi" w:hAnsiTheme="minorHAnsi"/>
                <w:sz w:val="18"/>
                <w:szCs w:val="18"/>
                <w:lang w:val="en-CA"/>
              </w:rPr>
              <w:t>, taking</w:t>
            </w:r>
            <w:r w:rsidR="0084106F" w:rsidRPr="00741FCF">
              <w:rPr>
                <w:rFonts w:asciiTheme="minorHAnsi" w:hAnsiTheme="minorHAnsi"/>
                <w:sz w:val="18"/>
                <w:szCs w:val="18"/>
                <w:lang w:val="en-CA"/>
              </w:rPr>
              <w:t xml:space="preserve"> advantage of the recent data collected during the first 3 years monitoring strengthened with the project support</w:t>
            </w:r>
            <w:r w:rsidR="00DF2CE4" w:rsidRPr="00741FCF">
              <w:rPr>
                <w:rFonts w:asciiTheme="minorHAnsi" w:hAnsiTheme="minorHAnsi"/>
                <w:sz w:val="18"/>
                <w:szCs w:val="18"/>
                <w:lang w:val="en-CA"/>
              </w:rPr>
              <w:t>,</w:t>
            </w:r>
            <w:r w:rsidR="0084106F" w:rsidRPr="00741FCF">
              <w:rPr>
                <w:rFonts w:asciiTheme="minorHAnsi" w:hAnsiTheme="minorHAnsi"/>
                <w:sz w:val="18"/>
                <w:szCs w:val="18"/>
                <w:lang w:val="en-CA"/>
              </w:rPr>
              <w:t xml:space="preserve"> will cover all PAs</w:t>
            </w:r>
            <w:r w:rsidR="00DF2CE4" w:rsidRPr="00741FCF">
              <w:rPr>
                <w:rFonts w:asciiTheme="minorHAnsi" w:hAnsiTheme="minorHAnsi"/>
                <w:sz w:val="18"/>
                <w:szCs w:val="18"/>
                <w:lang w:val="en-CA"/>
              </w:rPr>
              <w:t>. R</w:t>
            </w:r>
            <w:r w:rsidR="0084106F" w:rsidRPr="00741FCF">
              <w:rPr>
                <w:sz w:val="18"/>
                <w:szCs w:val="18"/>
                <w:lang w:val="en-CA"/>
              </w:rPr>
              <w:t xml:space="preserve">ecommendations </w:t>
            </w:r>
            <w:r w:rsidR="0084106F" w:rsidRPr="00741FCF">
              <w:rPr>
                <w:rFonts w:asciiTheme="minorHAnsi" w:hAnsiTheme="minorHAnsi"/>
                <w:sz w:val="18"/>
                <w:szCs w:val="18"/>
                <w:lang w:val="en-CA"/>
              </w:rPr>
              <w:t xml:space="preserve">regarding the capacity of game species populations to withstand hunting pressures will be accompanied by an assessment of the management capacities of the structures responsible for hunting management within the Government, the concessionaires and the village hunting management committees. </w:t>
            </w:r>
            <w:r w:rsidR="00DF2CE4" w:rsidRPr="00741FCF">
              <w:rPr>
                <w:rFonts w:asciiTheme="minorHAnsi" w:hAnsiTheme="minorHAnsi"/>
                <w:sz w:val="18"/>
                <w:szCs w:val="18"/>
                <w:lang w:val="en-CA"/>
              </w:rPr>
              <w:t>T</w:t>
            </w:r>
            <w:r w:rsidR="0084106F" w:rsidRPr="00741FCF">
              <w:rPr>
                <w:rFonts w:asciiTheme="minorHAnsi" w:hAnsiTheme="minorHAnsi"/>
                <w:sz w:val="18"/>
                <w:szCs w:val="18"/>
                <w:lang w:val="en-CA"/>
              </w:rPr>
              <w:t xml:space="preserve">his assessment </w:t>
            </w:r>
            <w:r w:rsidR="00DF2CE4" w:rsidRPr="00741FCF">
              <w:rPr>
                <w:rFonts w:asciiTheme="minorHAnsi" w:hAnsiTheme="minorHAnsi"/>
                <w:sz w:val="18"/>
                <w:szCs w:val="18"/>
                <w:lang w:val="en-CA"/>
              </w:rPr>
              <w:t>will</w:t>
            </w:r>
            <w:r w:rsidR="0084106F" w:rsidRPr="00741FCF">
              <w:rPr>
                <w:rFonts w:asciiTheme="minorHAnsi" w:hAnsiTheme="minorHAnsi"/>
                <w:sz w:val="18"/>
                <w:szCs w:val="18"/>
                <w:lang w:val="en-CA"/>
              </w:rPr>
              <w:t xml:space="preserve"> take place in the </w:t>
            </w:r>
            <w:r w:rsidR="00DF2CE4" w:rsidRPr="00741FCF">
              <w:rPr>
                <w:rFonts w:asciiTheme="minorHAnsi" w:hAnsiTheme="minorHAnsi"/>
                <w:sz w:val="18"/>
                <w:szCs w:val="18"/>
                <w:lang w:val="en-CA"/>
              </w:rPr>
              <w:t>3</w:t>
            </w:r>
            <w:r w:rsidR="00DF2CE4" w:rsidRPr="00741FCF">
              <w:rPr>
                <w:rFonts w:asciiTheme="minorHAnsi" w:hAnsiTheme="minorHAnsi"/>
                <w:sz w:val="18"/>
                <w:szCs w:val="18"/>
                <w:vertAlign w:val="superscript"/>
                <w:lang w:val="en-CA"/>
              </w:rPr>
              <w:t>rd</w:t>
            </w:r>
            <w:r w:rsidR="00DF2CE4" w:rsidRPr="00741FCF">
              <w:rPr>
                <w:rFonts w:asciiTheme="minorHAnsi" w:hAnsiTheme="minorHAnsi"/>
                <w:sz w:val="18"/>
                <w:szCs w:val="18"/>
                <w:lang w:val="en-CA"/>
              </w:rPr>
              <w:t xml:space="preserve"> </w:t>
            </w:r>
            <w:r w:rsidR="0084106F" w:rsidRPr="00741FCF">
              <w:rPr>
                <w:rFonts w:asciiTheme="minorHAnsi" w:hAnsiTheme="minorHAnsi"/>
                <w:sz w:val="18"/>
                <w:szCs w:val="18"/>
                <w:lang w:val="en-CA"/>
              </w:rPr>
              <w:t xml:space="preserve">year of the project </w:t>
            </w:r>
            <w:r w:rsidR="00DF2CE4" w:rsidRPr="00741FCF">
              <w:rPr>
                <w:rFonts w:asciiTheme="minorHAnsi" w:hAnsiTheme="minorHAnsi"/>
                <w:sz w:val="18"/>
                <w:szCs w:val="18"/>
                <w:lang w:val="en-CA"/>
              </w:rPr>
              <w:t xml:space="preserve">before </w:t>
            </w:r>
            <w:r w:rsidR="0084106F" w:rsidRPr="00741FCF">
              <w:rPr>
                <w:rFonts w:asciiTheme="minorHAnsi" w:hAnsiTheme="minorHAnsi"/>
                <w:sz w:val="18"/>
                <w:szCs w:val="18"/>
                <w:lang w:val="en-CA"/>
              </w:rPr>
              <w:t>the project mid-term review.</w:t>
            </w:r>
            <w:r w:rsidR="00DF2CE4" w:rsidRPr="00741FCF">
              <w:rPr>
                <w:rFonts w:asciiTheme="minorHAnsi" w:hAnsiTheme="minorHAnsi"/>
                <w:i/>
                <w:iCs/>
                <w:sz w:val="18"/>
                <w:szCs w:val="18"/>
                <w:lang w:val="en-CA"/>
              </w:rPr>
              <w:t xml:space="preserve"> </w:t>
            </w:r>
            <w:r w:rsidR="0084106F" w:rsidRPr="00741FCF">
              <w:rPr>
                <w:rFonts w:cs="Calibri"/>
                <w:sz w:val="18"/>
                <w:szCs w:val="18"/>
                <w:lang w:val="en-GB"/>
              </w:rPr>
              <w:t>Rate: $30,000 paid as lump sums on the basis of deliverables in the 3</w:t>
            </w:r>
            <w:r w:rsidR="0084106F" w:rsidRPr="00741FCF">
              <w:rPr>
                <w:rFonts w:cs="Calibri"/>
                <w:sz w:val="18"/>
                <w:szCs w:val="18"/>
                <w:vertAlign w:val="superscript"/>
                <w:lang w:val="en-GB"/>
              </w:rPr>
              <w:t>rd</w:t>
            </w:r>
            <w:r w:rsidR="0084106F" w:rsidRPr="00741FCF">
              <w:rPr>
                <w:rFonts w:cs="Calibri"/>
                <w:sz w:val="18"/>
                <w:szCs w:val="18"/>
                <w:lang w:val="en-GB"/>
              </w:rPr>
              <w:t xml:space="preserve"> year. Total cost: $ 30,000.</w:t>
            </w:r>
          </w:p>
        </w:tc>
      </w:tr>
      <w:tr w:rsidR="00302BFE" w:rsidRPr="006E490C" w14:paraId="6667B382"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hideMark/>
          </w:tcPr>
          <w:p w14:paraId="0E9CDE69" w14:textId="32F3DFD7" w:rsidR="00302BFE" w:rsidRPr="006E490C" w:rsidRDefault="00302BFE" w:rsidP="00243B15">
            <w:pPr>
              <w:spacing w:before="40" w:after="40"/>
              <w:jc w:val="center"/>
              <w:rPr>
                <w:rFonts w:eastAsia="Times New Roman" w:cs="Calibri"/>
                <w:i/>
                <w:iCs/>
                <w:sz w:val="18"/>
                <w:szCs w:val="18"/>
                <w:lang w:val="en-GB"/>
              </w:rPr>
            </w:pPr>
            <w:r w:rsidRPr="006E490C">
              <w:rPr>
                <w:rFonts w:eastAsia="Times New Roman" w:cs="Calibri"/>
                <w:i/>
                <w:iCs/>
                <w:sz w:val="18"/>
                <w:szCs w:val="18"/>
                <w:lang w:val="en-GB"/>
              </w:rPr>
              <w:lastRenderedPageBreak/>
              <w:t>1</w:t>
            </w:r>
            <w:r w:rsidR="002444C5">
              <w:rPr>
                <w:rFonts w:eastAsia="Times New Roman" w:cs="Calibri"/>
                <w:i/>
                <w:iCs/>
                <w:sz w:val="18"/>
                <w:szCs w:val="18"/>
                <w:lang w:val="en-GB"/>
              </w:rPr>
              <w:t>5</w:t>
            </w:r>
          </w:p>
        </w:tc>
        <w:tc>
          <w:tcPr>
            <w:tcW w:w="13687" w:type="dxa"/>
            <w:tcBorders>
              <w:top w:val="single" w:sz="4" w:space="0" w:color="auto"/>
              <w:left w:val="single" w:sz="4" w:space="0" w:color="auto"/>
              <w:bottom w:val="single" w:sz="4" w:space="0" w:color="auto"/>
              <w:right w:val="single" w:sz="4" w:space="0" w:color="auto"/>
            </w:tcBorders>
            <w:hideMark/>
          </w:tcPr>
          <w:p w14:paraId="330D2488" w14:textId="003D713D" w:rsidR="00302BFE" w:rsidRPr="00E03056" w:rsidRDefault="00302BFE" w:rsidP="00243B15">
            <w:pPr>
              <w:spacing w:before="40" w:after="40"/>
              <w:rPr>
                <w:rFonts w:cs="Calibri"/>
                <w:sz w:val="18"/>
                <w:szCs w:val="18"/>
                <w:lang w:val="en-GB"/>
              </w:rPr>
            </w:pPr>
            <w:r w:rsidRPr="00E03056">
              <w:rPr>
                <w:rFonts w:cs="Calibri"/>
                <w:sz w:val="18"/>
                <w:szCs w:val="18"/>
                <w:lang w:val="en-GB"/>
              </w:rPr>
              <w:t>a) Community mobilization specialist to oversee and support consultations with local communities, to raise awareness and inform before signing voluntary agreements (Output 2.2.3) with the support of the project gender specialist and community mobilization assistants, to support local communities throughout the process of negotiating PA and corridor co-management agreements, to engage with women representatives of women's organizations to encourage women's participation and ensure that their interests and priorities are taken into account and to support the involvement of local communities in the implementation of management plans in accordance with their co-management agreements. Rate: $ 2,000/month for 37 months in years 1 to 5. Total cost: $ 74,000.</w:t>
            </w:r>
          </w:p>
          <w:p w14:paraId="1A3F4CB3" w14:textId="5B3F3AAD" w:rsidR="00302BFE" w:rsidRPr="00363257" w:rsidRDefault="00302BFE" w:rsidP="00243B15">
            <w:pPr>
              <w:spacing w:before="40" w:after="40"/>
              <w:rPr>
                <w:rFonts w:cs="Calibri"/>
                <w:sz w:val="18"/>
                <w:szCs w:val="18"/>
                <w:lang w:val="en-GB"/>
              </w:rPr>
            </w:pPr>
            <w:r w:rsidRPr="00E03056">
              <w:rPr>
                <w:rFonts w:cs="Calibri"/>
                <w:sz w:val="18"/>
                <w:szCs w:val="18"/>
                <w:lang w:val="en-GB"/>
              </w:rPr>
              <w:t>b) PA management expert responsible for evaluating and making recommendations on the institutional structure of the PAs of the PONASI complex (output 2.1.1); develop a model for a concerted management plan for protected areas and guidance material; develop a collaborative management agreement template (2.2.3) and participatory management plan templates for ZOVICs (output 2.3.2); oversee the participatory development of protected area management plans for all protected areas and their implementation, the formalization of corridors (publication in the Official Gazette), and the delineation of the southern boundary</w:t>
            </w:r>
            <w:r w:rsidRPr="00363257">
              <w:rPr>
                <w:rFonts w:cs="Calibri"/>
                <w:sz w:val="18"/>
                <w:szCs w:val="18"/>
                <w:lang w:val="en-GB"/>
              </w:rPr>
              <w:t xml:space="preserve"> of the Nazinga Game Ranch; evaluate the management, effectiveness and benefits of ZOVICs (output 2.3.2); and oversee negotiations with Ghanaian counterparts to develop transboundary agreements on shared resources, namely elephants (Output 2.4.3). Rate: $ 2,000 /month for 40 months in years 1, 2, 3, 4 and 5. Total cost: $ 80,000.</w:t>
            </w:r>
          </w:p>
          <w:p w14:paraId="096E39F6" w14:textId="77777777" w:rsidR="00302BFE" w:rsidRPr="00363257" w:rsidRDefault="00302BFE" w:rsidP="00243B15">
            <w:pPr>
              <w:spacing w:before="40" w:after="40"/>
              <w:rPr>
                <w:rFonts w:cs="Calibri"/>
                <w:sz w:val="18"/>
                <w:szCs w:val="18"/>
                <w:lang w:val="en-GB"/>
              </w:rPr>
            </w:pPr>
            <w:r w:rsidRPr="00363257">
              <w:rPr>
                <w:rFonts w:cs="Calibri"/>
                <w:sz w:val="18"/>
                <w:szCs w:val="18"/>
                <w:lang w:val="en-GB"/>
              </w:rPr>
              <w:t>c) Assistant Biologist to carry out desk research and gather existing information and printed material on flora and fauna in the PONASI landscape to develop illustrated and user-friendly field guides to assist in the identification and monitoring of biodiversity by PA staff and visitors (output 2.2.4). Rate: $ 1,750 / month over 3 months in the third year. Total cost: $5,250.</w:t>
            </w:r>
          </w:p>
          <w:p w14:paraId="64B2380E" w14:textId="77777777" w:rsidR="00302BFE" w:rsidRPr="00363257" w:rsidRDefault="00302BFE" w:rsidP="00243B15">
            <w:pPr>
              <w:spacing w:before="40" w:after="40"/>
              <w:rPr>
                <w:rFonts w:cs="Calibri"/>
                <w:sz w:val="18"/>
                <w:szCs w:val="18"/>
                <w:lang w:val="en-GB"/>
              </w:rPr>
            </w:pPr>
            <w:r w:rsidRPr="00363257">
              <w:rPr>
                <w:rFonts w:cs="Calibri"/>
                <w:sz w:val="18"/>
                <w:szCs w:val="18"/>
                <w:lang w:val="en-GB"/>
              </w:rPr>
              <w:t>d) Legal consultant to review the statutes of the institutions in charge of the PAs in order to verify the possibility of entrusting the management of all PAs of the PONASI landscape to the same entity, OFINAP (output 2.1.1), and to put in place a legal framework allowing collaborative management of PAs involving neighbouring local communities (output 2.1.1); the drafting and presentation of legal texts to formally create corridors # 1 and # 2 (output 2.2.1); write and submit an amendment to the Nazinga Game Ranch Decree to review its boundaries (output 2.2.1); review the co-management model in close collaboration with the community mobilization specialist to ensure consistency with the legal framework (Output 2.2.3); drafting of transboundary collaboration agreements with Ghanaian counterparts for the protection of shared resources, i.e. elephant populations (output 2.4.3). Rate: $ 28,000 lump sum based on deliverables in years 1, 2, 3, 5. Total cost: $ 28,000.</w:t>
            </w:r>
          </w:p>
          <w:p w14:paraId="241D58F0" w14:textId="77777777" w:rsidR="00302BFE" w:rsidRPr="00363257" w:rsidRDefault="00302BFE" w:rsidP="00243B15">
            <w:pPr>
              <w:spacing w:before="40" w:after="40"/>
              <w:rPr>
                <w:rFonts w:cs="Calibri"/>
                <w:sz w:val="18"/>
                <w:szCs w:val="18"/>
                <w:lang w:val="en-GB"/>
              </w:rPr>
            </w:pPr>
            <w:r w:rsidRPr="00363257">
              <w:rPr>
                <w:rFonts w:cs="Calibri"/>
                <w:sz w:val="18"/>
                <w:szCs w:val="18"/>
                <w:lang w:val="en-GB"/>
              </w:rPr>
              <w:t>e) Human-Wildlife Conflict Specialist for collecting conflict information through desk reviews, meetings with stakeholders and local communities and visits to relevant institutions for planning and conducting rapid assessments in 7 communes where human-wildlife conflicts occur; contribute to the development of the Human-Wildlife Conflict Strategy / Action Plan and oversee the implementation of the Action Plan (Output 2.4.1). Rate: $ 2,000 / month over 12 months, years 1 and 2. Total cost: $ 24,000.</w:t>
            </w:r>
          </w:p>
          <w:p w14:paraId="14E9BF97" w14:textId="77777777" w:rsidR="00302BFE" w:rsidRPr="00363257" w:rsidRDefault="00302BFE" w:rsidP="00243B15">
            <w:pPr>
              <w:spacing w:before="40" w:after="40"/>
              <w:rPr>
                <w:rFonts w:cs="Calibri"/>
                <w:sz w:val="18"/>
                <w:szCs w:val="18"/>
                <w:lang w:val="en-GB"/>
              </w:rPr>
            </w:pPr>
            <w:r w:rsidRPr="00363257">
              <w:rPr>
                <w:rFonts w:cs="Calibri"/>
                <w:sz w:val="18"/>
                <w:szCs w:val="18"/>
                <w:lang w:val="en-GB"/>
              </w:rPr>
              <w:t xml:space="preserve">f) GIS specialist to support the delineation of protected areas, ZOVICs and corridors and the demarcation process (Output 2.2.1 and 2.3.1). Rate: $ 2,000/month over 8 months in years 2 and 3. Total cost: $ 16,000. </w:t>
            </w:r>
          </w:p>
        </w:tc>
      </w:tr>
      <w:tr w:rsidR="00302BFE" w:rsidRPr="006E490C" w14:paraId="1E707064"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hideMark/>
          </w:tcPr>
          <w:p w14:paraId="335E7026" w14:textId="14DDCB82" w:rsidR="00302BFE" w:rsidRPr="006E490C" w:rsidRDefault="00302BFE" w:rsidP="00243B15">
            <w:pPr>
              <w:spacing w:before="40" w:after="40"/>
              <w:jc w:val="center"/>
              <w:rPr>
                <w:rFonts w:eastAsia="Times New Roman" w:cs="Calibri"/>
                <w:i/>
                <w:iCs/>
                <w:sz w:val="18"/>
                <w:szCs w:val="18"/>
                <w:lang w:val="en-GB"/>
              </w:rPr>
            </w:pPr>
            <w:r w:rsidRPr="006E490C">
              <w:rPr>
                <w:rFonts w:eastAsia="Times New Roman" w:cs="Calibri"/>
                <w:i/>
                <w:iCs/>
                <w:sz w:val="18"/>
                <w:szCs w:val="18"/>
                <w:lang w:val="en-GB"/>
              </w:rPr>
              <w:t>1</w:t>
            </w:r>
            <w:r w:rsidR="002444C5">
              <w:rPr>
                <w:rFonts w:eastAsia="Times New Roman" w:cs="Calibri"/>
                <w:i/>
                <w:iCs/>
                <w:sz w:val="18"/>
                <w:szCs w:val="18"/>
                <w:lang w:val="en-GB"/>
              </w:rPr>
              <w:t>6</w:t>
            </w:r>
          </w:p>
        </w:tc>
        <w:tc>
          <w:tcPr>
            <w:tcW w:w="13687" w:type="dxa"/>
            <w:tcBorders>
              <w:top w:val="single" w:sz="4" w:space="0" w:color="auto"/>
              <w:left w:val="single" w:sz="4" w:space="0" w:color="auto"/>
              <w:bottom w:val="single" w:sz="4" w:space="0" w:color="auto"/>
              <w:right w:val="single" w:sz="4" w:space="0" w:color="auto"/>
            </w:tcBorders>
            <w:hideMark/>
          </w:tcPr>
          <w:p w14:paraId="49012730" w14:textId="77777777" w:rsidR="00302BFE" w:rsidRPr="00363257" w:rsidRDefault="00302BFE" w:rsidP="00243B15">
            <w:pPr>
              <w:spacing w:before="40" w:after="40"/>
              <w:rPr>
                <w:rFonts w:eastAsia="Times New Roman" w:cs="Calibri"/>
                <w:sz w:val="18"/>
                <w:szCs w:val="18"/>
                <w:lang w:val="en-GB"/>
              </w:rPr>
            </w:pPr>
            <w:r w:rsidRPr="00363257">
              <w:rPr>
                <w:rFonts w:eastAsia="Times New Roman" w:cs="Calibri"/>
                <w:sz w:val="18"/>
                <w:szCs w:val="18"/>
                <w:lang w:val="en-GB"/>
              </w:rPr>
              <w:t>a) Project coordinator (20% of time for the component) responsible for providing technical inputs to various outputs under the component 2, especially the output 2.1 for the strengthening of individual and institutional capacities, output 2.2 for reinforcing the management effectiveness of the various categories of PAs in the PONASI Landscape and for contributions to the output 2.4 on the development of an elephant protection plan. $400 / month over 6 years. Total cost: $ 28,800.</w:t>
            </w:r>
          </w:p>
          <w:p w14:paraId="4C493DEB" w14:textId="77777777" w:rsidR="00302BFE" w:rsidRPr="00363257" w:rsidRDefault="00302BFE" w:rsidP="00243B15">
            <w:pPr>
              <w:spacing w:before="40" w:after="40"/>
              <w:rPr>
                <w:rFonts w:eastAsia="Times New Roman" w:cs="Calibri"/>
                <w:sz w:val="18"/>
                <w:szCs w:val="18"/>
                <w:lang w:val="en-GB"/>
              </w:rPr>
            </w:pPr>
            <w:r w:rsidRPr="00363257">
              <w:rPr>
                <w:rFonts w:eastAsia="Times New Roman" w:cs="Calibri"/>
                <w:sz w:val="18"/>
                <w:szCs w:val="18"/>
                <w:lang w:val="en-GB"/>
              </w:rPr>
              <w:t>b) Project driver / logistician (25% for the component) to support components of the project @ $ 150 / month for 70 months - Total cost: $ 13,125</w:t>
            </w:r>
          </w:p>
          <w:p w14:paraId="30D94646" w14:textId="77777777" w:rsidR="00302BFE" w:rsidRPr="00E03056" w:rsidRDefault="00302BFE" w:rsidP="00243B15">
            <w:pPr>
              <w:spacing w:before="40" w:after="40"/>
              <w:rPr>
                <w:rFonts w:eastAsia="Times New Roman" w:cs="Calibri"/>
                <w:sz w:val="18"/>
                <w:szCs w:val="18"/>
                <w:lang w:val="en-GB"/>
              </w:rPr>
            </w:pPr>
            <w:r w:rsidRPr="00363257">
              <w:rPr>
                <w:rFonts w:eastAsia="Times New Roman" w:cs="Calibri"/>
                <w:sz w:val="18"/>
                <w:szCs w:val="18"/>
                <w:lang w:val="en-GB"/>
              </w:rPr>
              <w:t xml:space="preserve">c) Expert in Monitoring-Evaluation / Safeguards (25% for the component) responsible for overseeing the identification of indicators for long-term ecological monitoring (Output 2.2.4) and </w:t>
            </w:r>
            <w:r w:rsidRPr="00E03056">
              <w:rPr>
                <w:rFonts w:eastAsia="Times New Roman" w:cs="Calibri"/>
                <w:sz w:val="18"/>
                <w:szCs w:val="18"/>
                <w:lang w:val="en-GB"/>
              </w:rPr>
              <w:t>monitoring of PAs (Output 2.1.2). $ 437.50 / month for 12 months. Annual cost: $ 5,250 in years 1 to 6 total cost: $ 31,500.</w:t>
            </w:r>
          </w:p>
          <w:p w14:paraId="1A69C678" w14:textId="77777777" w:rsidR="00302BFE" w:rsidRPr="00E03056" w:rsidRDefault="00302BFE" w:rsidP="00243B15">
            <w:pPr>
              <w:spacing w:before="40" w:after="40"/>
              <w:rPr>
                <w:rFonts w:eastAsia="Times New Roman" w:cs="Calibri"/>
                <w:sz w:val="18"/>
                <w:szCs w:val="18"/>
                <w:lang w:val="en-GB"/>
              </w:rPr>
            </w:pPr>
            <w:r w:rsidRPr="00E03056">
              <w:rPr>
                <w:rFonts w:eastAsia="Times New Roman" w:cs="Calibri"/>
                <w:sz w:val="18"/>
                <w:szCs w:val="18"/>
                <w:lang w:val="en-GB"/>
              </w:rPr>
              <w:t>d) Gender specialist responsible for overseeing gender mainstreaming in all project components and monitoring the implementation of the gender action plan (10% for the component). Annual cost: $ 1,050 in years 1 to 6 total cost: $ 6,300</w:t>
            </w:r>
          </w:p>
          <w:p w14:paraId="66EFB7AB" w14:textId="77777777" w:rsidR="00302BFE" w:rsidRPr="00E03056" w:rsidRDefault="00302BFE" w:rsidP="00243B15">
            <w:pPr>
              <w:spacing w:before="40" w:after="40"/>
              <w:rPr>
                <w:rFonts w:eastAsia="Times New Roman" w:cs="Calibri"/>
                <w:sz w:val="18"/>
                <w:szCs w:val="18"/>
                <w:lang w:val="en-GB"/>
              </w:rPr>
            </w:pPr>
            <w:r w:rsidRPr="00E03056">
              <w:rPr>
                <w:rFonts w:eastAsia="Times New Roman" w:cs="Calibri"/>
                <w:sz w:val="18"/>
                <w:szCs w:val="18"/>
                <w:lang w:val="en-GB"/>
              </w:rPr>
              <w:t>e) Communication / knowledge management expert (10% for the component) responsible for the development and implementation of the project communication strategy in support of all project components. Annual cost: $ 1,050 in years 1 to 6 total cost: $ 6,300</w:t>
            </w:r>
          </w:p>
          <w:p w14:paraId="1565FF4E" w14:textId="77777777" w:rsidR="00302BFE" w:rsidRPr="00E03056" w:rsidRDefault="00302BFE" w:rsidP="007A6608">
            <w:pPr>
              <w:spacing w:before="40" w:after="40"/>
              <w:rPr>
                <w:rFonts w:eastAsia="Times New Roman" w:cs="Calibri"/>
                <w:sz w:val="18"/>
                <w:szCs w:val="18"/>
                <w:lang w:val="en-GB"/>
              </w:rPr>
            </w:pPr>
            <w:r w:rsidRPr="00E03056">
              <w:rPr>
                <w:rFonts w:eastAsia="Times New Roman" w:cs="Calibri"/>
                <w:sz w:val="18"/>
                <w:szCs w:val="18"/>
                <w:lang w:val="en-GB"/>
              </w:rPr>
              <w:t>f) Community Mobilization Assistants (2) to provide field support to project experts and specialists and participate in activities implemented with local communities under Component 2, particularly to support the process of establishment of a collaborative management of the protected areas (Output 2.2.3), support village-level negotiations to develop collaborative management agreements; and inform and empower local communities to set up anti-poaching pilot teams and encourage them to participate in surveillance activities and the information network. Rate: $ 1,000 / month / person for 36 months over 4 years for 2 assistants. Total cost: $ 72,000</w:t>
            </w:r>
          </w:p>
          <w:p w14:paraId="05000132" w14:textId="77777777" w:rsidR="00302BFE" w:rsidRPr="00363257" w:rsidRDefault="00302BFE" w:rsidP="00243B15">
            <w:pPr>
              <w:spacing w:before="40" w:after="40"/>
              <w:rPr>
                <w:rFonts w:eastAsia="Times New Roman" w:cs="Calibri"/>
                <w:sz w:val="18"/>
                <w:szCs w:val="18"/>
                <w:lang w:val="en-GB"/>
              </w:rPr>
            </w:pPr>
            <w:r w:rsidRPr="00E03056">
              <w:rPr>
                <w:rFonts w:eastAsia="Times New Roman" w:cs="Calibri"/>
                <w:sz w:val="18"/>
                <w:szCs w:val="18"/>
                <w:lang w:val="en-GB"/>
              </w:rPr>
              <w:t>g) Field assistants (2) to provide field support for delineation and demarcation (construction of boundary markers with local community support) of PA boundaries, including ZOVICs, the southern boundary of the game ranch Nazinga and the corridors; assist the ecological monitoring expert to install</w:t>
            </w:r>
            <w:r w:rsidRPr="00363257">
              <w:rPr>
                <w:rFonts w:eastAsia="Times New Roman" w:cs="Calibri"/>
                <w:sz w:val="18"/>
                <w:szCs w:val="18"/>
                <w:lang w:val="en-GB"/>
              </w:rPr>
              <w:t xml:space="preserve"> signage indicating transects and permanent routes (output 2.2.4). Rate: $1000 / month / person for 2 assistants over 36 months in years 2, 3 and 4. Total cost: $ 72,000.</w:t>
            </w:r>
          </w:p>
          <w:p w14:paraId="6C3A94EE" w14:textId="77777777" w:rsidR="00302BFE" w:rsidRPr="00363257" w:rsidRDefault="00302BFE" w:rsidP="00243B15">
            <w:pPr>
              <w:spacing w:before="40" w:after="40"/>
              <w:rPr>
                <w:rFonts w:eastAsia="Times New Roman" w:cs="Calibri"/>
                <w:sz w:val="18"/>
                <w:szCs w:val="18"/>
                <w:lang w:val="en-GB"/>
              </w:rPr>
            </w:pPr>
            <w:r w:rsidRPr="00363257">
              <w:rPr>
                <w:rFonts w:eastAsia="Times New Roman" w:cs="Calibri"/>
                <w:sz w:val="18"/>
                <w:szCs w:val="18"/>
                <w:lang w:val="en-GB"/>
              </w:rPr>
              <w:lastRenderedPageBreak/>
              <w:t>h) Field Assistants (2) to provide support with surveys for the estimation of the elephant population in the PONASI landscape based on the number of excreta of years 1, 3 (medium term) and 6 (end of project) and participate in other surveys and fieldwork as part of the research project (Output 2.4.2). Rate: $ 1,000 / month / person for 12 months years 1, 3, 6. Total cost: $ 24,000.</w:t>
            </w:r>
          </w:p>
        </w:tc>
      </w:tr>
      <w:tr w:rsidR="00302BFE" w:rsidRPr="00A4468A" w14:paraId="20B17C07"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hideMark/>
          </w:tcPr>
          <w:p w14:paraId="5A945E9B" w14:textId="554AC60F" w:rsidR="00302BFE" w:rsidRPr="006E490C" w:rsidRDefault="00302BFE" w:rsidP="00243B15">
            <w:pPr>
              <w:spacing w:before="40" w:after="40"/>
              <w:jc w:val="center"/>
              <w:rPr>
                <w:rFonts w:eastAsia="Times New Roman" w:cs="Calibri"/>
                <w:i/>
                <w:iCs/>
                <w:sz w:val="18"/>
                <w:szCs w:val="18"/>
                <w:lang w:val="en-GB"/>
              </w:rPr>
            </w:pPr>
            <w:r w:rsidRPr="002444C5">
              <w:rPr>
                <w:rFonts w:eastAsia="Times New Roman" w:cs="Calibri"/>
                <w:i/>
                <w:iCs/>
                <w:sz w:val="18"/>
                <w:szCs w:val="18"/>
                <w:lang w:val="en-GB"/>
              </w:rPr>
              <w:lastRenderedPageBreak/>
              <w:t>1</w:t>
            </w:r>
            <w:r w:rsidR="002444C5" w:rsidRPr="002444C5">
              <w:rPr>
                <w:rFonts w:eastAsia="Times New Roman" w:cs="Calibri"/>
                <w:i/>
                <w:iCs/>
                <w:sz w:val="18"/>
                <w:szCs w:val="18"/>
                <w:lang w:val="en-GB"/>
              </w:rPr>
              <w:t>7</w:t>
            </w:r>
          </w:p>
        </w:tc>
        <w:tc>
          <w:tcPr>
            <w:tcW w:w="13687" w:type="dxa"/>
            <w:tcBorders>
              <w:top w:val="single" w:sz="4" w:space="0" w:color="auto"/>
              <w:left w:val="single" w:sz="4" w:space="0" w:color="auto"/>
              <w:bottom w:val="single" w:sz="4" w:space="0" w:color="auto"/>
              <w:right w:val="single" w:sz="4" w:space="0" w:color="auto"/>
            </w:tcBorders>
            <w:hideMark/>
          </w:tcPr>
          <w:p w14:paraId="1B5A3D5E" w14:textId="183DF943" w:rsidR="00302BFE" w:rsidRPr="006E490C" w:rsidRDefault="00A642FE" w:rsidP="00243B15">
            <w:pPr>
              <w:spacing w:before="40" w:after="40"/>
              <w:rPr>
                <w:rFonts w:eastAsia="Times New Roman" w:cs="Calibri"/>
                <w:sz w:val="18"/>
                <w:szCs w:val="18"/>
                <w:lang w:val="en-GB"/>
              </w:rPr>
            </w:pPr>
            <w:r>
              <w:rPr>
                <w:rFonts w:eastAsia="Times New Roman" w:cs="Calibri"/>
                <w:sz w:val="18"/>
                <w:szCs w:val="18"/>
                <w:lang w:val="en-GB"/>
              </w:rPr>
              <w:t>a</w:t>
            </w:r>
            <w:r w:rsidR="00302BFE" w:rsidRPr="006E490C">
              <w:rPr>
                <w:rFonts w:eastAsia="Times New Roman" w:cs="Calibri"/>
                <w:sz w:val="18"/>
                <w:szCs w:val="18"/>
                <w:lang w:val="en-GB"/>
              </w:rPr>
              <w:t>) Lump sum (shared between all components) for fuel purchase and vehicle maintenance of the Project Coordination Unit to be used for most field missions (consultants and PCU staff) as well as for motorcycles for the travel of technical assistants and community mobilization assistants @ $ 1,500 / year. Total cost: $ 9,000</w:t>
            </w:r>
          </w:p>
          <w:p w14:paraId="0CB4F1FA" w14:textId="00970BE4" w:rsidR="00302BFE" w:rsidRPr="00E03056" w:rsidRDefault="0063211A" w:rsidP="00243B15">
            <w:pPr>
              <w:spacing w:before="40" w:after="40"/>
              <w:rPr>
                <w:rFonts w:eastAsia="Times New Roman" w:cs="Calibri"/>
                <w:sz w:val="18"/>
                <w:szCs w:val="18"/>
                <w:lang w:val="en-GB"/>
              </w:rPr>
            </w:pPr>
            <w:r>
              <w:rPr>
                <w:rFonts w:eastAsia="Times New Roman" w:cs="Calibri"/>
                <w:sz w:val="18"/>
                <w:szCs w:val="18"/>
                <w:lang w:val="en-GB"/>
              </w:rPr>
              <w:t>b</w:t>
            </w:r>
            <w:r w:rsidR="00A642FE">
              <w:rPr>
                <w:rFonts w:eastAsia="Times New Roman" w:cs="Calibri"/>
                <w:sz w:val="18"/>
                <w:szCs w:val="18"/>
                <w:lang w:val="en-GB"/>
              </w:rPr>
              <w:t>)</w:t>
            </w:r>
            <w:r w:rsidR="00302BFE" w:rsidRPr="006E490C">
              <w:rPr>
                <w:rFonts w:eastAsia="Times New Roman" w:cs="Calibri"/>
                <w:sz w:val="18"/>
                <w:szCs w:val="18"/>
                <w:lang w:val="en-GB"/>
              </w:rPr>
              <w:t xml:space="preserve"> Travel expenses for the National PA specialist consultant: i) for the establishment of PA collaborative management committees during year 2 (output 2.1.1) (10-day car / driver rental @ $200/day - 50% of the trips made with the project car - per diem 20 days @ 120 $ / day), ii) for the establishment of the forum of consultation of the stakeholders in the PAs during </w:t>
            </w:r>
            <w:r w:rsidR="00302BFE" w:rsidRPr="00E03056">
              <w:rPr>
                <w:rFonts w:eastAsia="Times New Roman" w:cs="Calibri"/>
                <w:sz w:val="18"/>
                <w:szCs w:val="18"/>
                <w:lang w:val="en-GB"/>
              </w:rPr>
              <w:t>year 3 ( output 2.1.1) (rental of vehicle / driver for 4 days @ $ 200 / day - per diem 4 days @ $ 120 / day) Total cost $ 5,680.</w:t>
            </w:r>
          </w:p>
          <w:p w14:paraId="14B3C04A" w14:textId="1FFD5D2C" w:rsidR="00302BFE" w:rsidRPr="00E03056" w:rsidRDefault="0063211A" w:rsidP="00243B15">
            <w:pPr>
              <w:spacing w:before="40" w:after="40"/>
              <w:rPr>
                <w:rFonts w:eastAsia="Times New Roman" w:cs="Calibri"/>
                <w:sz w:val="18"/>
                <w:szCs w:val="18"/>
                <w:lang w:val="en-GB"/>
              </w:rPr>
            </w:pPr>
            <w:r w:rsidRPr="00E03056">
              <w:rPr>
                <w:rFonts w:eastAsia="Times New Roman" w:cs="Calibri"/>
                <w:sz w:val="18"/>
                <w:szCs w:val="18"/>
                <w:lang w:val="en-GB"/>
              </w:rPr>
              <w:t>c</w:t>
            </w:r>
            <w:r w:rsidR="00302BFE" w:rsidRPr="00E03056">
              <w:rPr>
                <w:rFonts w:eastAsia="Times New Roman" w:cs="Calibri"/>
                <w:sz w:val="18"/>
                <w:szCs w:val="18"/>
                <w:lang w:val="en-GB"/>
              </w:rPr>
              <w:t>) Budget reserve for travel expenses of local communities, especially women, to ensure their participation in negotiation and decision-making processes for the preparation of participatory management and planning plans and zoning plans for protected areas, including ZOVICs, and corridors of the PONASI complex (output 2.2.2) in years 1, 2, 3. Total cost: $ 30,000.</w:t>
            </w:r>
          </w:p>
          <w:p w14:paraId="4EE4A0C3" w14:textId="6168D008" w:rsidR="00302BFE" w:rsidRPr="006E490C" w:rsidRDefault="0063211A" w:rsidP="007A6608">
            <w:pPr>
              <w:spacing w:before="40" w:after="40"/>
              <w:rPr>
                <w:rFonts w:eastAsia="Times New Roman" w:cs="Calibri"/>
                <w:sz w:val="18"/>
                <w:szCs w:val="18"/>
                <w:lang w:val="en-GB"/>
              </w:rPr>
            </w:pPr>
            <w:r w:rsidRPr="00E03056">
              <w:rPr>
                <w:rFonts w:eastAsia="Times New Roman" w:cs="Calibri"/>
                <w:sz w:val="18"/>
                <w:szCs w:val="18"/>
                <w:lang w:val="en-GB"/>
              </w:rPr>
              <w:t>d</w:t>
            </w:r>
            <w:r w:rsidR="00302BFE" w:rsidRPr="00E03056">
              <w:rPr>
                <w:rFonts w:eastAsia="Times New Roman" w:cs="Calibri"/>
                <w:sz w:val="18"/>
                <w:szCs w:val="18"/>
                <w:lang w:val="en-GB"/>
              </w:rPr>
              <w:t>) Travel expenses for the international</w:t>
            </w:r>
            <w:r w:rsidR="00302BFE" w:rsidRPr="006E490C">
              <w:rPr>
                <w:rFonts w:eastAsia="Times New Roman" w:cs="Calibri"/>
                <w:sz w:val="18"/>
                <w:szCs w:val="18"/>
                <w:lang w:val="en-GB"/>
              </w:rPr>
              <w:t xml:space="preserve"> consultant expert in sustainable financing of PAs (output 2.2.2) for 2 missions of 10 days in Burkina Faso (6 days Ouagadougou, 4 days field) and the rental of a vehicle / driver ($ 1,500 / airfare, 6 per diem Ouagadougou @ $ 260, 4 per diem region @ $ 120, 4 days vehicle @ $ 200 / day). Total cost: $ 16,000 during the 3</w:t>
            </w:r>
            <w:r w:rsidR="00302BFE" w:rsidRPr="006E490C">
              <w:rPr>
                <w:rFonts w:eastAsia="Times New Roman" w:cs="Calibri"/>
                <w:sz w:val="18"/>
                <w:szCs w:val="18"/>
                <w:vertAlign w:val="superscript"/>
                <w:lang w:val="en-GB"/>
              </w:rPr>
              <w:t>rd</w:t>
            </w:r>
            <w:r w:rsidR="00302BFE" w:rsidRPr="006E490C">
              <w:rPr>
                <w:rFonts w:eastAsia="Times New Roman" w:cs="Calibri"/>
                <w:sz w:val="18"/>
                <w:szCs w:val="18"/>
                <w:lang w:val="en-GB"/>
              </w:rPr>
              <w:t xml:space="preserve"> and 4</w:t>
            </w:r>
            <w:r w:rsidR="00302BFE" w:rsidRPr="006E490C">
              <w:rPr>
                <w:rFonts w:eastAsia="Times New Roman" w:cs="Calibri"/>
                <w:sz w:val="18"/>
                <w:szCs w:val="18"/>
                <w:vertAlign w:val="superscript"/>
                <w:lang w:val="en-GB"/>
              </w:rPr>
              <w:t>th</w:t>
            </w:r>
            <w:r w:rsidR="00302BFE" w:rsidRPr="006E490C">
              <w:rPr>
                <w:rFonts w:eastAsia="Times New Roman" w:cs="Calibri"/>
                <w:sz w:val="18"/>
                <w:szCs w:val="18"/>
                <w:lang w:val="en-GB"/>
              </w:rPr>
              <w:t xml:space="preserve"> years.</w:t>
            </w:r>
          </w:p>
          <w:p w14:paraId="33F8366D" w14:textId="140F043B" w:rsidR="00302BFE" w:rsidRPr="006E490C" w:rsidRDefault="0063211A" w:rsidP="00243B15">
            <w:pPr>
              <w:spacing w:before="40" w:after="40"/>
              <w:rPr>
                <w:rFonts w:eastAsia="Times New Roman" w:cs="Calibri"/>
                <w:sz w:val="18"/>
                <w:szCs w:val="18"/>
                <w:lang w:val="en-GB"/>
              </w:rPr>
            </w:pPr>
            <w:r>
              <w:rPr>
                <w:rFonts w:eastAsia="Times New Roman" w:cs="Calibri"/>
                <w:sz w:val="18"/>
                <w:szCs w:val="18"/>
                <w:lang w:val="en-GB"/>
              </w:rPr>
              <w:t>e</w:t>
            </w:r>
            <w:r w:rsidR="00302BFE" w:rsidRPr="006E490C">
              <w:rPr>
                <w:rFonts w:eastAsia="Times New Roman" w:cs="Calibri"/>
                <w:sz w:val="18"/>
                <w:szCs w:val="18"/>
                <w:lang w:val="en-GB"/>
              </w:rPr>
              <w:t>) Travel expenses for the national consultant specializing in human-wildlife conflicts, accompanied by a field assistant (output 2.4.1) for 2 missions of 10 days and the rental of a vehicle / driver (10 per diem region @ 120 for 2 people, 10 days vehicle @ $ 200 / day). Total cost: $ 14,000 during the 2</w:t>
            </w:r>
            <w:r w:rsidR="00302BFE" w:rsidRPr="006E490C">
              <w:rPr>
                <w:rFonts w:eastAsia="Times New Roman" w:cs="Calibri"/>
                <w:sz w:val="18"/>
                <w:szCs w:val="18"/>
                <w:vertAlign w:val="superscript"/>
                <w:lang w:val="en-GB"/>
              </w:rPr>
              <w:t>nd</w:t>
            </w:r>
            <w:r w:rsidR="00302BFE" w:rsidRPr="006E490C">
              <w:rPr>
                <w:rFonts w:eastAsia="Times New Roman" w:cs="Calibri"/>
                <w:sz w:val="18"/>
                <w:szCs w:val="18"/>
                <w:lang w:val="en-GB"/>
              </w:rPr>
              <w:t xml:space="preserve"> and 3</w:t>
            </w:r>
            <w:r w:rsidR="00302BFE" w:rsidRPr="006E490C">
              <w:rPr>
                <w:rFonts w:eastAsia="Times New Roman" w:cs="Calibri"/>
                <w:sz w:val="18"/>
                <w:szCs w:val="18"/>
                <w:vertAlign w:val="superscript"/>
                <w:lang w:val="en-GB"/>
              </w:rPr>
              <w:t>rd</w:t>
            </w:r>
            <w:r w:rsidR="00302BFE" w:rsidRPr="006E490C">
              <w:rPr>
                <w:rFonts w:eastAsia="Times New Roman" w:cs="Calibri"/>
                <w:sz w:val="18"/>
                <w:szCs w:val="18"/>
                <w:lang w:val="en-GB"/>
              </w:rPr>
              <w:t xml:space="preserve"> years.</w:t>
            </w:r>
          </w:p>
          <w:p w14:paraId="59EDE4EC" w14:textId="7853AA42" w:rsidR="00302BFE" w:rsidRPr="00741FCF" w:rsidRDefault="0063211A" w:rsidP="00243B15">
            <w:pPr>
              <w:spacing w:before="40" w:after="40"/>
              <w:rPr>
                <w:rFonts w:eastAsia="Times New Roman" w:cs="Calibri"/>
                <w:sz w:val="18"/>
                <w:szCs w:val="18"/>
                <w:lang w:val="en-GB"/>
              </w:rPr>
            </w:pPr>
            <w:r>
              <w:rPr>
                <w:rFonts w:eastAsia="Times New Roman" w:cs="Calibri"/>
                <w:sz w:val="18"/>
                <w:szCs w:val="18"/>
                <w:lang w:val="en-GB"/>
              </w:rPr>
              <w:t>f</w:t>
            </w:r>
            <w:r w:rsidR="00302BFE" w:rsidRPr="006E490C">
              <w:rPr>
                <w:rFonts w:eastAsia="Times New Roman" w:cs="Calibri"/>
                <w:sz w:val="18"/>
                <w:szCs w:val="18"/>
                <w:lang w:val="en-GB"/>
              </w:rPr>
              <w:t xml:space="preserve">) Travel costs to Ghana for </w:t>
            </w:r>
            <w:r w:rsidR="00302BFE">
              <w:rPr>
                <w:rFonts w:eastAsia="Times New Roman" w:cs="Calibri"/>
                <w:sz w:val="18"/>
                <w:szCs w:val="18"/>
                <w:lang w:val="en-GB"/>
              </w:rPr>
              <w:t>three (</w:t>
            </w:r>
            <w:r w:rsidR="00302BFE" w:rsidRPr="006E490C">
              <w:rPr>
                <w:rFonts w:eastAsia="Times New Roman" w:cs="Calibri"/>
                <w:sz w:val="18"/>
                <w:szCs w:val="18"/>
                <w:lang w:val="en-GB"/>
              </w:rPr>
              <w:t>3</w:t>
            </w:r>
            <w:r w:rsidR="00302BFE">
              <w:rPr>
                <w:rFonts w:eastAsia="Times New Roman" w:cs="Calibri"/>
                <w:sz w:val="18"/>
                <w:szCs w:val="18"/>
                <w:lang w:val="en-GB"/>
              </w:rPr>
              <w:t>)</w:t>
            </w:r>
            <w:r w:rsidR="00302BFE" w:rsidRPr="006E490C">
              <w:rPr>
                <w:rFonts w:eastAsia="Times New Roman" w:cs="Calibri"/>
                <w:sz w:val="18"/>
                <w:szCs w:val="18"/>
                <w:lang w:val="en-GB"/>
              </w:rPr>
              <w:t xml:space="preserve"> 5-day missions for 4 </w:t>
            </w:r>
            <w:r w:rsidR="00302BFE">
              <w:rPr>
                <w:rFonts w:eastAsia="Times New Roman" w:cs="Calibri"/>
                <w:sz w:val="18"/>
                <w:szCs w:val="18"/>
                <w:lang w:val="en-GB"/>
              </w:rPr>
              <w:t>people</w:t>
            </w:r>
            <w:r w:rsidR="00302BFE" w:rsidRPr="006E490C">
              <w:rPr>
                <w:rFonts w:eastAsia="Times New Roman" w:cs="Calibri"/>
                <w:sz w:val="18"/>
                <w:szCs w:val="18"/>
                <w:lang w:val="en-GB"/>
              </w:rPr>
              <w:t xml:space="preserve"> to negotiate the terms of a transboundary agreement for the protection of shared resources, including elephants, and to design joint surveillance and anti-poaching programs (</w:t>
            </w:r>
            <w:r w:rsidR="00302BFE">
              <w:rPr>
                <w:rFonts w:eastAsia="Times New Roman" w:cs="Calibri"/>
                <w:sz w:val="18"/>
                <w:szCs w:val="18"/>
                <w:lang w:val="en-GB"/>
              </w:rPr>
              <w:t xml:space="preserve">including </w:t>
            </w:r>
            <w:r w:rsidR="00302BFE" w:rsidRPr="006E490C">
              <w:rPr>
                <w:rFonts w:eastAsia="Times New Roman" w:cs="Calibri"/>
                <w:sz w:val="18"/>
                <w:szCs w:val="18"/>
                <w:lang w:val="en-GB"/>
              </w:rPr>
              <w:t xml:space="preserve">per diem </w:t>
            </w:r>
            <w:r w:rsidR="00302BFE">
              <w:rPr>
                <w:rFonts w:eastAsia="Times New Roman" w:cs="Calibri"/>
                <w:sz w:val="18"/>
                <w:szCs w:val="18"/>
                <w:lang w:val="en-GB"/>
              </w:rPr>
              <w:t xml:space="preserve">for </w:t>
            </w:r>
            <w:r w:rsidR="00302BFE" w:rsidRPr="006E490C">
              <w:rPr>
                <w:rFonts w:eastAsia="Times New Roman" w:cs="Calibri"/>
                <w:sz w:val="18"/>
                <w:szCs w:val="18"/>
                <w:lang w:val="en-GB"/>
              </w:rPr>
              <w:t xml:space="preserve">4 people </w:t>
            </w:r>
            <w:r w:rsidR="00302BFE">
              <w:rPr>
                <w:rFonts w:eastAsia="Times New Roman" w:cs="Calibri"/>
                <w:sz w:val="18"/>
                <w:szCs w:val="18"/>
                <w:lang w:val="en-GB"/>
              </w:rPr>
              <w:t xml:space="preserve">in </w:t>
            </w:r>
            <w:r w:rsidR="00302BFE" w:rsidRPr="006E490C">
              <w:rPr>
                <w:rFonts w:eastAsia="Times New Roman" w:cs="Calibri"/>
                <w:sz w:val="18"/>
                <w:szCs w:val="18"/>
                <w:lang w:val="en-GB"/>
              </w:rPr>
              <w:t xml:space="preserve">Ghana region @ $206/day for 5 days, car/driver rent @ $200/day for 5 days </w:t>
            </w:r>
            <w:r w:rsidR="00302BFE">
              <w:rPr>
                <w:rFonts w:eastAsia="Times New Roman" w:cs="Calibri"/>
                <w:sz w:val="18"/>
                <w:szCs w:val="18"/>
                <w:lang w:val="en-GB"/>
              </w:rPr>
              <w:t xml:space="preserve">and extra provision </w:t>
            </w:r>
            <w:r w:rsidR="00302BFE" w:rsidRPr="00741FCF">
              <w:rPr>
                <w:rFonts w:eastAsia="Times New Roman" w:cs="Calibri"/>
                <w:sz w:val="18"/>
                <w:szCs w:val="18"/>
                <w:lang w:val="en-GB"/>
              </w:rPr>
              <w:t>for unforeseen expenses related to these 3 missions to Ghana) (Output 2.4.3). Total cost: $20,000 in years 4 and 5</w:t>
            </w:r>
          </w:p>
          <w:p w14:paraId="6B6ABA47" w14:textId="6C7A83F0" w:rsidR="00AD384B" w:rsidRPr="00741FCF" w:rsidRDefault="0063211A" w:rsidP="00AD384B">
            <w:pPr>
              <w:spacing w:before="40" w:after="40"/>
              <w:rPr>
                <w:rFonts w:eastAsia="Times New Roman" w:cs="Calibri"/>
                <w:sz w:val="18"/>
                <w:szCs w:val="18"/>
                <w:lang w:val="en-GB"/>
              </w:rPr>
            </w:pPr>
            <w:r w:rsidRPr="00741FCF">
              <w:rPr>
                <w:rFonts w:eastAsia="Times New Roman" w:cs="Calibri"/>
                <w:sz w:val="18"/>
                <w:szCs w:val="18"/>
                <w:lang w:val="en-GB"/>
              </w:rPr>
              <w:t>g</w:t>
            </w:r>
            <w:r w:rsidR="00395329" w:rsidRPr="00741FCF">
              <w:rPr>
                <w:rFonts w:eastAsia="Times New Roman" w:cs="Calibri"/>
                <w:sz w:val="18"/>
                <w:szCs w:val="18"/>
                <w:lang w:val="en-GB"/>
              </w:rPr>
              <w:t>)</w:t>
            </w:r>
            <w:r w:rsidR="00AD384B" w:rsidRPr="00741FCF">
              <w:rPr>
                <w:rFonts w:eastAsia="Times New Roman" w:cs="Calibri"/>
                <w:sz w:val="18"/>
                <w:szCs w:val="18"/>
                <w:lang w:val="en-GB"/>
              </w:rPr>
              <w:t xml:space="preserve"> Travel expenses for the international consultant expert in anti-poaching (output 2.2.5) for 1 mission of 10 days in Burkina Faso (4 days Ouagadougou, 6 days field) and the rental of a vehicle / driver ($ 1,500 / airfare, 4 per diem Ouagadougou @ $ 260, 6 per diem region @ $ 120, 6 days vehicle @ $ 200 / day). Total cost: $ 4,460 during the 2</w:t>
            </w:r>
            <w:r w:rsidR="00AD384B" w:rsidRPr="00741FCF">
              <w:rPr>
                <w:rFonts w:eastAsia="Times New Roman" w:cs="Calibri"/>
                <w:sz w:val="18"/>
                <w:szCs w:val="18"/>
                <w:vertAlign w:val="superscript"/>
                <w:lang w:val="en-GB"/>
              </w:rPr>
              <w:t>nd</w:t>
            </w:r>
            <w:r w:rsidR="00AD384B" w:rsidRPr="00741FCF">
              <w:rPr>
                <w:rFonts w:eastAsia="Times New Roman" w:cs="Calibri"/>
                <w:sz w:val="18"/>
                <w:szCs w:val="18"/>
                <w:lang w:val="en-GB"/>
              </w:rPr>
              <w:t xml:space="preserve"> year.</w:t>
            </w:r>
          </w:p>
          <w:p w14:paraId="2523E6A7" w14:textId="17754C5F" w:rsidR="00AD384B" w:rsidRPr="00741FCF" w:rsidRDefault="0063211A" w:rsidP="00AD384B">
            <w:pPr>
              <w:spacing w:before="40" w:after="40"/>
              <w:rPr>
                <w:rFonts w:eastAsia="Times New Roman" w:cs="Calibri"/>
                <w:sz w:val="18"/>
                <w:szCs w:val="18"/>
                <w:lang w:val="en-GB"/>
              </w:rPr>
            </w:pPr>
            <w:r w:rsidRPr="00741FCF">
              <w:rPr>
                <w:rFonts w:eastAsia="Times New Roman" w:cs="Calibri"/>
                <w:sz w:val="18"/>
                <w:szCs w:val="18"/>
                <w:lang w:val="en-GB"/>
              </w:rPr>
              <w:t>k</w:t>
            </w:r>
            <w:r w:rsidR="00AD384B" w:rsidRPr="00741FCF">
              <w:rPr>
                <w:rFonts w:eastAsia="Times New Roman" w:cs="Calibri"/>
                <w:sz w:val="18"/>
                <w:szCs w:val="18"/>
                <w:lang w:val="en-GB"/>
              </w:rPr>
              <w:t xml:space="preserve">) Travel expenses for the international consultant expert in </w:t>
            </w:r>
            <w:r w:rsidR="00E7400E" w:rsidRPr="00741FCF">
              <w:rPr>
                <w:rFonts w:eastAsia="Times New Roman" w:cs="Calibri"/>
                <w:sz w:val="18"/>
                <w:szCs w:val="18"/>
                <w:lang w:val="en-GB"/>
              </w:rPr>
              <w:t>ecological monitoring</w:t>
            </w:r>
            <w:r w:rsidR="00AD384B" w:rsidRPr="00741FCF">
              <w:rPr>
                <w:rFonts w:eastAsia="Times New Roman" w:cs="Calibri"/>
                <w:sz w:val="18"/>
                <w:szCs w:val="18"/>
                <w:lang w:val="en-GB"/>
              </w:rPr>
              <w:t xml:space="preserve"> (output 2.</w:t>
            </w:r>
            <w:r w:rsidR="00E7400E" w:rsidRPr="00741FCF">
              <w:rPr>
                <w:rFonts w:eastAsia="Times New Roman" w:cs="Calibri"/>
                <w:sz w:val="18"/>
                <w:szCs w:val="18"/>
                <w:lang w:val="en-GB"/>
              </w:rPr>
              <w:t>2.4</w:t>
            </w:r>
            <w:r w:rsidR="00AD384B" w:rsidRPr="00741FCF">
              <w:rPr>
                <w:rFonts w:eastAsia="Times New Roman" w:cs="Calibri"/>
                <w:sz w:val="18"/>
                <w:szCs w:val="18"/>
                <w:lang w:val="en-GB"/>
              </w:rPr>
              <w:t xml:space="preserve">) for </w:t>
            </w:r>
            <w:r w:rsidR="00E7400E" w:rsidRPr="00741FCF">
              <w:rPr>
                <w:rFonts w:eastAsia="Times New Roman" w:cs="Calibri"/>
                <w:sz w:val="18"/>
                <w:szCs w:val="18"/>
                <w:lang w:val="en-GB"/>
              </w:rPr>
              <w:t>1</w:t>
            </w:r>
            <w:r w:rsidR="00AD384B" w:rsidRPr="00741FCF">
              <w:rPr>
                <w:rFonts w:eastAsia="Times New Roman" w:cs="Calibri"/>
                <w:sz w:val="18"/>
                <w:szCs w:val="18"/>
                <w:lang w:val="en-GB"/>
              </w:rPr>
              <w:t xml:space="preserve"> mission of </w:t>
            </w:r>
            <w:r w:rsidR="00E7400E" w:rsidRPr="00741FCF">
              <w:rPr>
                <w:rFonts w:eastAsia="Times New Roman" w:cs="Calibri"/>
                <w:sz w:val="18"/>
                <w:szCs w:val="18"/>
                <w:lang w:val="en-GB"/>
              </w:rPr>
              <w:t>20</w:t>
            </w:r>
            <w:r w:rsidR="00AD384B" w:rsidRPr="00741FCF">
              <w:rPr>
                <w:rFonts w:eastAsia="Times New Roman" w:cs="Calibri"/>
                <w:sz w:val="18"/>
                <w:szCs w:val="18"/>
                <w:lang w:val="en-GB"/>
              </w:rPr>
              <w:t xml:space="preserve"> days in Burkina Faso (</w:t>
            </w:r>
            <w:r w:rsidR="00E7400E" w:rsidRPr="00741FCF">
              <w:rPr>
                <w:rFonts w:eastAsia="Times New Roman" w:cs="Calibri"/>
                <w:sz w:val="18"/>
                <w:szCs w:val="18"/>
                <w:lang w:val="en-GB"/>
              </w:rPr>
              <w:t>4</w:t>
            </w:r>
            <w:r w:rsidR="00AD384B" w:rsidRPr="00741FCF">
              <w:rPr>
                <w:rFonts w:eastAsia="Times New Roman" w:cs="Calibri"/>
                <w:sz w:val="18"/>
                <w:szCs w:val="18"/>
                <w:lang w:val="en-GB"/>
              </w:rPr>
              <w:t xml:space="preserve"> days Ouagadougou, </w:t>
            </w:r>
            <w:r w:rsidR="00E7400E" w:rsidRPr="00741FCF">
              <w:rPr>
                <w:rFonts w:eastAsia="Times New Roman" w:cs="Calibri"/>
                <w:sz w:val="18"/>
                <w:szCs w:val="18"/>
                <w:lang w:val="en-GB"/>
              </w:rPr>
              <w:t>16</w:t>
            </w:r>
            <w:r w:rsidR="00AD384B" w:rsidRPr="00741FCF">
              <w:rPr>
                <w:rFonts w:eastAsia="Times New Roman" w:cs="Calibri"/>
                <w:sz w:val="18"/>
                <w:szCs w:val="18"/>
                <w:lang w:val="en-GB"/>
              </w:rPr>
              <w:t xml:space="preserve"> days field) and the rental of a vehicle / driver ($ 1,500 / airfare, </w:t>
            </w:r>
            <w:r w:rsidR="00E7400E" w:rsidRPr="00741FCF">
              <w:rPr>
                <w:rFonts w:eastAsia="Times New Roman" w:cs="Calibri"/>
                <w:sz w:val="18"/>
                <w:szCs w:val="18"/>
                <w:lang w:val="en-GB"/>
              </w:rPr>
              <w:t>4</w:t>
            </w:r>
            <w:r w:rsidR="00AD384B" w:rsidRPr="00741FCF">
              <w:rPr>
                <w:rFonts w:eastAsia="Times New Roman" w:cs="Calibri"/>
                <w:sz w:val="18"/>
                <w:szCs w:val="18"/>
                <w:lang w:val="en-GB"/>
              </w:rPr>
              <w:t xml:space="preserve"> per diem Ouagadougou @ $ 260, </w:t>
            </w:r>
            <w:r w:rsidR="00E7400E" w:rsidRPr="00741FCF">
              <w:rPr>
                <w:rFonts w:eastAsia="Times New Roman" w:cs="Calibri"/>
                <w:sz w:val="18"/>
                <w:szCs w:val="18"/>
                <w:lang w:val="en-GB"/>
              </w:rPr>
              <w:t>16</w:t>
            </w:r>
            <w:r w:rsidR="00AD384B" w:rsidRPr="00741FCF">
              <w:rPr>
                <w:rFonts w:eastAsia="Times New Roman" w:cs="Calibri"/>
                <w:sz w:val="18"/>
                <w:szCs w:val="18"/>
                <w:lang w:val="en-GB"/>
              </w:rPr>
              <w:t xml:space="preserve"> per diem region @ $ 120, </w:t>
            </w:r>
            <w:r w:rsidR="00E7400E" w:rsidRPr="00741FCF">
              <w:rPr>
                <w:rFonts w:eastAsia="Times New Roman" w:cs="Calibri"/>
                <w:sz w:val="18"/>
                <w:szCs w:val="18"/>
                <w:lang w:val="en-GB"/>
              </w:rPr>
              <w:t>8</w:t>
            </w:r>
            <w:r w:rsidR="00AD384B" w:rsidRPr="00741FCF">
              <w:rPr>
                <w:rFonts w:eastAsia="Times New Roman" w:cs="Calibri"/>
                <w:sz w:val="18"/>
                <w:szCs w:val="18"/>
                <w:lang w:val="en-GB"/>
              </w:rPr>
              <w:t xml:space="preserve"> days vehicle @ $ 200 / day). Total cost: $ </w:t>
            </w:r>
            <w:r w:rsidR="00E7400E" w:rsidRPr="00741FCF">
              <w:rPr>
                <w:rFonts w:eastAsia="Times New Roman" w:cs="Calibri"/>
                <w:sz w:val="18"/>
                <w:szCs w:val="18"/>
                <w:lang w:val="en-GB"/>
              </w:rPr>
              <w:t>6</w:t>
            </w:r>
            <w:r w:rsidR="00AD384B" w:rsidRPr="00741FCF">
              <w:rPr>
                <w:rFonts w:eastAsia="Times New Roman" w:cs="Calibri"/>
                <w:sz w:val="18"/>
                <w:szCs w:val="18"/>
                <w:lang w:val="en-GB"/>
              </w:rPr>
              <w:t>,0</w:t>
            </w:r>
            <w:r w:rsidR="00E7400E" w:rsidRPr="00741FCF">
              <w:rPr>
                <w:rFonts w:eastAsia="Times New Roman" w:cs="Calibri"/>
                <w:sz w:val="18"/>
                <w:szCs w:val="18"/>
                <w:lang w:val="en-GB"/>
              </w:rPr>
              <w:t>6</w:t>
            </w:r>
            <w:r w:rsidR="00AD384B" w:rsidRPr="00741FCF">
              <w:rPr>
                <w:rFonts w:eastAsia="Times New Roman" w:cs="Calibri"/>
                <w:sz w:val="18"/>
                <w:szCs w:val="18"/>
                <w:lang w:val="en-GB"/>
              </w:rPr>
              <w:t xml:space="preserve">0 during the </w:t>
            </w:r>
            <w:r w:rsidR="00E7400E" w:rsidRPr="00741FCF">
              <w:rPr>
                <w:rFonts w:eastAsia="Times New Roman" w:cs="Calibri"/>
                <w:sz w:val="18"/>
                <w:szCs w:val="18"/>
                <w:lang w:val="en-GB"/>
              </w:rPr>
              <w:t>1</w:t>
            </w:r>
            <w:r w:rsidR="00E7400E" w:rsidRPr="00741FCF">
              <w:rPr>
                <w:rFonts w:eastAsia="Times New Roman" w:cs="Calibri"/>
                <w:sz w:val="18"/>
                <w:szCs w:val="18"/>
                <w:vertAlign w:val="superscript"/>
                <w:lang w:val="en-GB"/>
              </w:rPr>
              <w:t>st</w:t>
            </w:r>
            <w:r w:rsidR="00E7400E" w:rsidRPr="00741FCF">
              <w:rPr>
                <w:rFonts w:eastAsia="Times New Roman" w:cs="Calibri"/>
                <w:sz w:val="18"/>
                <w:szCs w:val="18"/>
                <w:lang w:val="en-GB"/>
              </w:rPr>
              <w:t xml:space="preserve"> </w:t>
            </w:r>
            <w:r w:rsidR="00AD384B" w:rsidRPr="00741FCF">
              <w:rPr>
                <w:rFonts w:eastAsia="Times New Roman" w:cs="Calibri"/>
                <w:sz w:val="18"/>
                <w:szCs w:val="18"/>
                <w:lang w:val="en-GB"/>
              </w:rPr>
              <w:t>year.</w:t>
            </w:r>
          </w:p>
          <w:p w14:paraId="40EBF829" w14:textId="2ADE23C4" w:rsidR="00395329" w:rsidRPr="00741FCF" w:rsidRDefault="0063211A" w:rsidP="00243B15">
            <w:pPr>
              <w:spacing w:before="40" w:after="40"/>
              <w:rPr>
                <w:rFonts w:eastAsia="Times New Roman" w:cs="Calibri"/>
                <w:sz w:val="18"/>
                <w:szCs w:val="18"/>
                <w:lang w:val="en-GB"/>
              </w:rPr>
            </w:pPr>
            <w:r w:rsidRPr="00741FCF">
              <w:rPr>
                <w:rFonts w:eastAsia="Times New Roman" w:cs="Calibri"/>
                <w:sz w:val="18"/>
                <w:szCs w:val="18"/>
                <w:lang w:val="en-GB"/>
              </w:rPr>
              <w:t>l</w:t>
            </w:r>
            <w:r w:rsidR="00AD384B" w:rsidRPr="00741FCF">
              <w:rPr>
                <w:rFonts w:eastAsia="Times New Roman" w:cs="Calibri"/>
                <w:sz w:val="18"/>
                <w:szCs w:val="18"/>
                <w:lang w:val="en-GB"/>
              </w:rPr>
              <w:t xml:space="preserve">) Travel expenses for the international consultant expert in </w:t>
            </w:r>
            <w:r w:rsidR="00E7400E" w:rsidRPr="00741FCF">
              <w:rPr>
                <w:rFonts w:eastAsia="Times New Roman" w:cs="Calibri"/>
                <w:sz w:val="18"/>
                <w:szCs w:val="18"/>
                <w:lang w:val="en-GB"/>
              </w:rPr>
              <w:t>HWC</w:t>
            </w:r>
            <w:r w:rsidR="00AD384B" w:rsidRPr="00741FCF">
              <w:rPr>
                <w:rFonts w:eastAsia="Times New Roman" w:cs="Calibri"/>
                <w:sz w:val="18"/>
                <w:szCs w:val="18"/>
                <w:lang w:val="en-GB"/>
              </w:rPr>
              <w:t xml:space="preserve"> (output 2.</w:t>
            </w:r>
            <w:r w:rsidR="00E7400E" w:rsidRPr="00741FCF">
              <w:rPr>
                <w:rFonts w:eastAsia="Times New Roman" w:cs="Calibri"/>
                <w:sz w:val="18"/>
                <w:szCs w:val="18"/>
                <w:lang w:val="en-GB"/>
              </w:rPr>
              <w:t>4.1</w:t>
            </w:r>
            <w:r w:rsidR="00AD384B" w:rsidRPr="00741FCF">
              <w:rPr>
                <w:rFonts w:eastAsia="Times New Roman" w:cs="Calibri"/>
                <w:sz w:val="18"/>
                <w:szCs w:val="18"/>
                <w:lang w:val="en-GB"/>
              </w:rPr>
              <w:t xml:space="preserve">) for </w:t>
            </w:r>
            <w:r w:rsidR="00E7400E" w:rsidRPr="00741FCF">
              <w:rPr>
                <w:rFonts w:eastAsia="Times New Roman" w:cs="Calibri"/>
                <w:sz w:val="18"/>
                <w:szCs w:val="18"/>
                <w:lang w:val="en-GB"/>
              </w:rPr>
              <w:t>1</w:t>
            </w:r>
            <w:r w:rsidR="00AD384B" w:rsidRPr="00741FCF">
              <w:rPr>
                <w:rFonts w:eastAsia="Times New Roman" w:cs="Calibri"/>
                <w:sz w:val="18"/>
                <w:szCs w:val="18"/>
                <w:lang w:val="en-GB"/>
              </w:rPr>
              <w:t xml:space="preserve"> mission of </w:t>
            </w:r>
            <w:r w:rsidR="00E7400E" w:rsidRPr="00741FCF">
              <w:rPr>
                <w:rFonts w:eastAsia="Times New Roman" w:cs="Calibri"/>
                <w:sz w:val="18"/>
                <w:szCs w:val="18"/>
                <w:lang w:val="en-GB"/>
              </w:rPr>
              <w:t>10</w:t>
            </w:r>
            <w:r w:rsidR="00AD384B" w:rsidRPr="00741FCF">
              <w:rPr>
                <w:rFonts w:eastAsia="Times New Roman" w:cs="Calibri"/>
                <w:sz w:val="18"/>
                <w:szCs w:val="18"/>
                <w:lang w:val="en-GB"/>
              </w:rPr>
              <w:t xml:space="preserve"> days in Burkina Faso (</w:t>
            </w:r>
            <w:r w:rsidR="00E7400E" w:rsidRPr="00741FCF">
              <w:rPr>
                <w:rFonts w:eastAsia="Times New Roman" w:cs="Calibri"/>
                <w:sz w:val="18"/>
                <w:szCs w:val="18"/>
                <w:lang w:val="en-GB"/>
              </w:rPr>
              <w:t>4</w:t>
            </w:r>
            <w:r w:rsidR="00AD384B" w:rsidRPr="00741FCF">
              <w:rPr>
                <w:rFonts w:eastAsia="Times New Roman" w:cs="Calibri"/>
                <w:sz w:val="18"/>
                <w:szCs w:val="18"/>
                <w:lang w:val="en-GB"/>
              </w:rPr>
              <w:t xml:space="preserve"> days Ouagadougou, </w:t>
            </w:r>
            <w:r w:rsidR="00E7400E" w:rsidRPr="00741FCF">
              <w:rPr>
                <w:rFonts w:eastAsia="Times New Roman" w:cs="Calibri"/>
                <w:sz w:val="18"/>
                <w:szCs w:val="18"/>
                <w:lang w:val="en-GB"/>
              </w:rPr>
              <w:t>6</w:t>
            </w:r>
            <w:r w:rsidR="00AD384B" w:rsidRPr="00741FCF">
              <w:rPr>
                <w:rFonts w:eastAsia="Times New Roman" w:cs="Calibri"/>
                <w:sz w:val="18"/>
                <w:szCs w:val="18"/>
                <w:lang w:val="en-GB"/>
              </w:rPr>
              <w:t xml:space="preserve"> days field) and the rental of a vehicle / driver ($ 1,500 / airfare, </w:t>
            </w:r>
            <w:r w:rsidR="00E7400E" w:rsidRPr="00741FCF">
              <w:rPr>
                <w:rFonts w:eastAsia="Times New Roman" w:cs="Calibri"/>
                <w:sz w:val="18"/>
                <w:szCs w:val="18"/>
                <w:lang w:val="en-GB"/>
              </w:rPr>
              <w:t>4</w:t>
            </w:r>
            <w:r w:rsidR="00AD384B" w:rsidRPr="00741FCF">
              <w:rPr>
                <w:rFonts w:eastAsia="Times New Roman" w:cs="Calibri"/>
                <w:sz w:val="18"/>
                <w:szCs w:val="18"/>
                <w:lang w:val="en-GB"/>
              </w:rPr>
              <w:t xml:space="preserve"> per diem Ouagadougou @ $ 260, </w:t>
            </w:r>
            <w:r w:rsidR="00E7400E" w:rsidRPr="00741FCF">
              <w:rPr>
                <w:rFonts w:eastAsia="Times New Roman" w:cs="Calibri"/>
                <w:sz w:val="18"/>
                <w:szCs w:val="18"/>
                <w:lang w:val="en-GB"/>
              </w:rPr>
              <w:t>6</w:t>
            </w:r>
            <w:r w:rsidR="00AD384B" w:rsidRPr="00741FCF">
              <w:rPr>
                <w:rFonts w:eastAsia="Times New Roman" w:cs="Calibri"/>
                <w:sz w:val="18"/>
                <w:szCs w:val="18"/>
                <w:lang w:val="en-GB"/>
              </w:rPr>
              <w:t xml:space="preserve"> per diem region @ $ 120,</w:t>
            </w:r>
            <w:r w:rsidR="00E7400E" w:rsidRPr="00741FCF">
              <w:rPr>
                <w:rFonts w:eastAsia="Times New Roman" w:cs="Calibri"/>
                <w:sz w:val="18"/>
                <w:szCs w:val="18"/>
                <w:lang w:val="en-GB"/>
              </w:rPr>
              <w:t xml:space="preserve"> </w:t>
            </w:r>
            <w:r w:rsidR="001C3883" w:rsidRPr="00741FCF">
              <w:rPr>
                <w:rFonts w:eastAsia="Times New Roman" w:cs="Calibri"/>
                <w:sz w:val="18"/>
                <w:szCs w:val="18"/>
                <w:lang w:val="en-GB"/>
              </w:rPr>
              <w:t>6 days vehicle @ $ 200 / day</w:t>
            </w:r>
            <w:r w:rsidR="00AD384B" w:rsidRPr="00741FCF">
              <w:rPr>
                <w:rFonts w:eastAsia="Times New Roman" w:cs="Calibri"/>
                <w:sz w:val="18"/>
                <w:szCs w:val="18"/>
                <w:lang w:val="en-GB"/>
              </w:rPr>
              <w:t xml:space="preserve">. Total cost: $ </w:t>
            </w:r>
            <w:r w:rsidR="001C3883" w:rsidRPr="00741FCF">
              <w:rPr>
                <w:rFonts w:eastAsia="Times New Roman" w:cs="Calibri"/>
                <w:sz w:val="18"/>
                <w:szCs w:val="18"/>
                <w:lang w:val="en-GB"/>
              </w:rPr>
              <w:t>4</w:t>
            </w:r>
            <w:r w:rsidR="00E7400E" w:rsidRPr="00741FCF">
              <w:rPr>
                <w:rFonts w:eastAsia="Times New Roman" w:cs="Calibri"/>
                <w:sz w:val="18"/>
                <w:szCs w:val="18"/>
                <w:lang w:val="en-GB"/>
              </w:rPr>
              <w:t>,</w:t>
            </w:r>
            <w:r w:rsidR="001C3883" w:rsidRPr="00741FCF">
              <w:rPr>
                <w:rFonts w:eastAsia="Times New Roman" w:cs="Calibri"/>
                <w:sz w:val="18"/>
                <w:szCs w:val="18"/>
                <w:lang w:val="en-GB"/>
              </w:rPr>
              <w:t>4</w:t>
            </w:r>
            <w:r w:rsidR="00E7400E" w:rsidRPr="00741FCF">
              <w:rPr>
                <w:rFonts w:eastAsia="Times New Roman" w:cs="Calibri"/>
                <w:sz w:val="18"/>
                <w:szCs w:val="18"/>
                <w:lang w:val="en-GB"/>
              </w:rPr>
              <w:t>60 during the 2</w:t>
            </w:r>
            <w:r w:rsidR="00E7400E" w:rsidRPr="00741FCF">
              <w:rPr>
                <w:rFonts w:eastAsia="Times New Roman" w:cs="Calibri"/>
                <w:sz w:val="18"/>
                <w:szCs w:val="18"/>
                <w:vertAlign w:val="superscript"/>
                <w:lang w:val="en-GB"/>
              </w:rPr>
              <w:t>nd</w:t>
            </w:r>
            <w:r w:rsidR="00E7400E" w:rsidRPr="00741FCF">
              <w:rPr>
                <w:rFonts w:eastAsia="Times New Roman" w:cs="Calibri"/>
                <w:sz w:val="18"/>
                <w:szCs w:val="18"/>
                <w:lang w:val="en-GB"/>
              </w:rPr>
              <w:t xml:space="preserve"> year</w:t>
            </w:r>
            <w:r w:rsidR="00AD384B" w:rsidRPr="00741FCF">
              <w:rPr>
                <w:rFonts w:eastAsia="Times New Roman" w:cs="Calibri"/>
                <w:sz w:val="18"/>
                <w:szCs w:val="18"/>
                <w:lang w:val="en-GB"/>
              </w:rPr>
              <w:t>.</w:t>
            </w:r>
          </w:p>
          <w:p w14:paraId="465C3B32" w14:textId="00E56126" w:rsidR="00AD384B" w:rsidRPr="00741FCF" w:rsidRDefault="0063211A" w:rsidP="00243B15">
            <w:pPr>
              <w:spacing w:before="40" w:after="40"/>
              <w:rPr>
                <w:rFonts w:eastAsia="Times New Roman" w:cs="Calibri"/>
                <w:sz w:val="18"/>
                <w:szCs w:val="18"/>
                <w:lang w:val="en-GB"/>
              </w:rPr>
            </w:pPr>
            <w:r w:rsidRPr="00741FCF">
              <w:rPr>
                <w:rFonts w:eastAsia="Times New Roman" w:cs="Calibri"/>
                <w:sz w:val="18"/>
                <w:szCs w:val="18"/>
                <w:lang w:val="en-GB"/>
              </w:rPr>
              <w:t>m</w:t>
            </w:r>
            <w:r w:rsidR="00AD384B" w:rsidRPr="00741FCF">
              <w:rPr>
                <w:rFonts w:eastAsia="Times New Roman" w:cs="Calibri"/>
                <w:sz w:val="18"/>
                <w:szCs w:val="18"/>
                <w:lang w:val="en-GB"/>
              </w:rPr>
              <w:t xml:space="preserve">) Travel expenses for the international consultant expert in </w:t>
            </w:r>
            <w:r w:rsidR="00E7400E" w:rsidRPr="00741FCF">
              <w:rPr>
                <w:rFonts w:eastAsia="Times New Roman" w:cs="Calibri"/>
                <w:sz w:val="18"/>
                <w:szCs w:val="18"/>
                <w:lang w:val="en-GB"/>
              </w:rPr>
              <w:t>wildlife</w:t>
            </w:r>
            <w:r w:rsidR="00AD384B" w:rsidRPr="00741FCF">
              <w:rPr>
                <w:rFonts w:eastAsia="Times New Roman" w:cs="Calibri"/>
                <w:sz w:val="18"/>
                <w:szCs w:val="18"/>
                <w:lang w:val="en-GB"/>
              </w:rPr>
              <w:t xml:space="preserve"> (output 2.</w:t>
            </w:r>
            <w:r w:rsidR="00E7400E" w:rsidRPr="00741FCF">
              <w:rPr>
                <w:rFonts w:eastAsia="Times New Roman" w:cs="Calibri"/>
                <w:sz w:val="18"/>
                <w:szCs w:val="18"/>
                <w:lang w:val="en-GB"/>
              </w:rPr>
              <w:t>2.2 and 2.3.2</w:t>
            </w:r>
            <w:r w:rsidR="00AD384B" w:rsidRPr="00741FCF">
              <w:rPr>
                <w:rFonts w:eastAsia="Times New Roman" w:cs="Calibri"/>
                <w:sz w:val="18"/>
                <w:szCs w:val="18"/>
                <w:lang w:val="en-GB"/>
              </w:rPr>
              <w:t xml:space="preserve">) for </w:t>
            </w:r>
            <w:r w:rsidR="00E7400E" w:rsidRPr="00741FCF">
              <w:rPr>
                <w:rFonts w:eastAsia="Times New Roman" w:cs="Calibri"/>
                <w:sz w:val="18"/>
                <w:szCs w:val="18"/>
                <w:lang w:val="en-GB"/>
              </w:rPr>
              <w:t>2</w:t>
            </w:r>
            <w:r w:rsidR="00AD384B" w:rsidRPr="00741FCF">
              <w:rPr>
                <w:rFonts w:eastAsia="Times New Roman" w:cs="Calibri"/>
                <w:sz w:val="18"/>
                <w:szCs w:val="18"/>
                <w:lang w:val="en-GB"/>
              </w:rPr>
              <w:t xml:space="preserve"> mission of </w:t>
            </w:r>
            <w:r w:rsidR="00E7400E" w:rsidRPr="00741FCF">
              <w:rPr>
                <w:rFonts w:eastAsia="Times New Roman" w:cs="Calibri"/>
                <w:sz w:val="18"/>
                <w:szCs w:val="18"/>
                <w:lang w:val="en-GB"/>
              </w:rPr>
              <w:t>5 and 15</w:t>
            </w:r>
            <w:r w:rsidR="00AD384B" w:rsidRPr="00741FCF">
              <w:rPr>
                <w:rFonts w:eastAsia="Times New Roman" w:cs="Calibri"/>
                <w:sz w:val="18"/>
                <w:szCs w:val="18"/>
                <w:lang w:val="en-GB"/>
              </w:rPr>
              <w:t xml:space="preserve"> days in Burkina Faso (</w:t>
            </w:r>
            <w:r w:rsidR="00E7400E" w:rsidRPr="00741FCF">
              <w:rPr>
                <w:rFonts w:eastAsia="Times New Roman" w:cs="Calibri"/>
                <w:sz w:val="18"/>
                <w:szCs w:val="18"/>
                <w:lang w:val="en-GB"/>
              </w:rPr>
              <w:t>1</w:t>
            </w:r>
            <w:r w:rsidR="00E7400E" w:rsidRPr="00741FCF">
              <w:rPr>
                <w:rFonts w:eastAsia="Times New Roman" w:cs="Calibri"/>
                <w:sz w:val="18"/>
                <w:szCs w:val="18"/>
                <w:vertAlign w:val="superscript"/>
                <w:lang w:val="en-GB"/>
              </w:rPr>
              <w:t>st</w:t>
            </w:r>
            <w:r w:rsidR="00E7400E" w:rsidRPr="00741FCF">
              <w:rPr>
                <w:rFonts w:eastAsia="Times New Roman" w:cs="Calibri"/>
                <w:sz w:val="18"/>
                <w:szCs w:val="18"/>
                <w:lang w:val="en-GB"/>
              </w:rPr>
              <w:t xml:space="preserve"> mission: 5 days Ouagadougou – 2</w:t>
            </w:r>
            <w:r w:rsidR="00E7400E" w:rsidRPr="00741FCF">
              <w:rPr>
                <w:rFonts w:eastAsia="Times New Roman" w:cs="Calibri"/>
                <w:sz w:val="18"/>
                <w:szCs w:val="18"/>
                <w:vertAlign w:val="superscript"/>
                <w:lang w:val="en-GB"/>
              </w:rPr>
              <w:t>nd</w:t>
            </w:r>
            <w:r w:rsidR="00E7400E" w:rsidRPr="00741FCF">
              <w:rPr>
                <w:rFonts w:eastAsia="Times New Roman" w:cs="Calibri"/>
                <w:sz w:val="18"/>
                <w:szCs w:val="18"/>
                <w:lang w:val="en-GB"/>
              </w:rPr>
              <w:t xml:space="preserve"> mission: 5</w:t>
            </w:r>
            <w:r w:rsidR="00AD384B" w:rsidRPr="00741FCF">
              <w:rPr>
                <w:rFonts w:eastAsia="Times New Roman" w:cs="Calibri"/>
                <w:sz w:val="18"/>
                <w:szCs w:val="18"/>
                <w:lang w:val="en-GB"/>
              </w:rPr>
              <w:t xml:space="preserve"> days Ouagadougou, </w:t>
            </w:r>
            <w:r w:rsidR="00E7400E" w:rsidRPr="00741FCF">
              <w:rPr>
                <w:rFonts w:eastAsia="Times New Roman" w:cs="Calibri"/>
                <w:sz w:val="18"/>
                <w:szCs w:val="18"/>
                <w:lang w:val="en-GB"/>
              </w:rPr>
              <w:t>10</w:t>
            </w:r>
            <w:r w:rsidR="00AD384B" w:rsidRPr="00741FCF">
              <w:rPr>
                <w:rFonts w:eastAsia="Times New Roman" w:cs="Calibri"/>
                <w:sz w:val="18"/>
                <w:szCs w:val="18"/>
                <w:lang w:val="en-GB"/>
              </w:rPr>
              <w:t xml:space="preserve"> days field) and the rental of a vehicle / driver ($ 1,500 / airfare</w:t>
            </w:r>
            <w:r w:rsidR="001C3883" w:rsidRPr="00741FCF">
              <w:rPr>
                <w:rFonts w:eastAsia="Times New Roman" w:cs="Calibri"/>
                <w:sz w:val="18"/>
                <w:szCs w:val="18"/>
                <w:lang w:val="en-GB"/>
              </w:rPr>
              <w:t xml:space="preserve"> @ 2 missions</w:t>
            </w:r>
            <w:r w:rsidR="00AD384B" w:rsidRPr="00741FCF">
              <w:rPr>
                <w:rFonts w:eastAsia="Times New Roman" w:cs="Calibri"/>
                <w:sz w:val="18"/>
                <w:szCs w:val="18"/>
                <w:lang w:val="en-GB"/>
              </w:rPr>
              <w:t xml:space="preserve">, </w:t>
            </w:r>
            <w:r w:rsidR="00E7400E" w:rsidRPr="00741FCF">
              <w:rPr>
                <w:rFonts w:eastAsia="Times New Roman" w:cs="Calibri"/>
                <w:sz w:val="18"/>
                <w:szCs w:val="18"/>
                <w:lang w:val="en-GB"/>
              </w:rPr>
              <w:t>10</w:t>
            </w:r>
            <w:r w:rsidR="00AD384B" w:rsidRPr="00741FCF">
              <w:rPr>
                <w:rFonts w:eastAsia="Times New Roman" w:cs="Calibri"/>
                <w:sz w:val="18"/>
                <w:szCs w:val="18"/>
                <w:lang w:val="en-GB"/>
              </w:rPr>
              <w:t xml:space="preserve"> per diem Ouagadougou @ $ 260, </w:t>
            </w:r>
            <w:r w:rsidR="00E7400E" w:rsidRPr="00741FCF">
              <w:rPr>
                <w:rFonts w:eastAsia="Times New Roman" w:cs="Calibri"/>
                <w:sz w:val="18"/>
                <w:szCs w:val="18"/>
                <w:lang w:val="en-GB"/>
              </w:rPr>
              <w:t>10</w:t>
            </w:r>
            <w:r w:rsidR="00AD384B" w:rsidRPr="00741FCF">
              <w:rPr>
                <w:rFonts w:eastAsia="Times New Roman" w:cs="Calibri"/>
                <w:sz w:val="18"/>
                <w:szCs w:val="18"/>
                <w:lang w:val="en-GB"/>
              </w:rPr>
              <w:t xml:space="preserve"> per diem region @ $ 120,</w:t>
            </w:r>
            <w:r w:rsidR="00E7400E" w:rsidRPr="00741FCF">
              <w:rPr>
                <w:rFonts w:eastAsia="Times New Roman" w:cs="Calibri"/>
                <w:sz w:val="18"/>
                <w:szCs w:val="18"/>
                <w:lang w:val="en-GB"/>
              </w:rPr>
              <w:t xml:space="preserve"> </w:t>
            </w:r>
            <w:r w:rsidR="001C3883" w:rsidRPr="00741FCF">
              <w:rPr>
                <w:rFonts w:eastAsia="Times New Roman" w:cs="Calibri"/>
                <w:sz w:val="18"/>
                <w:szCs w:val="18"/>
                <w:lang w:val="en-GB"/>
              </w:rPr>
              <w:t>10 days vehicle @ $ 200 / day</w:t>
            </w:r>
            <w:r w:rsidR="00AD384B" w:rsidRPr="00741FCF">
              <w:rPr>
                <w:rFonts w:eastAsia="Times New Roman" w:cs="Calibri"/>
                <w:sz w:val="18"/>
                <w:szCs w:val="18"/>
                <w:lang w:val="en-GB"/>
              </w:rPr>
              <w:t xml:space="preserve">). Total cost: $ </w:t>
            </w:r>
            <w:r w:rsidR="00752434" w:rsidRPr="00741FCF">
              <w:rPr>
                <w:rFonts w:eastAsia="Times New Roman" w:cs="Calibri"/>
                <w:sz w:val="18"/>
                <w:szCs w:val="18"/>
                <w:lang w:val="en-GB"/>
              </w:rPr>
              <w:t>8</w:t>
            </w:r>
            <w:r w:rsidR="00AD384B" w:rsidRPr="00741FCF">
              <w:rPr>
                <w:rFonts w:eastAsia="Times New Roman" w:cs="Calibri"/>
                <w:sz w:val="18"/>
                <w:szCs w:val="18"/>
                <w:lang w:val="en-GB"/>
              </w:rPr>
              <w:t>,</w:t>
            </w:r>
            <w:r w:rsidR="00752434" w:rsidRPr="00741FCF">
              <w:rPr>
                <w:rFonts w:eastAsia="Times New Roman" w:cs="Calibri"/>
                <w:sz w:val="18"/>
                <w:szCs w:val="18"/>
                <w:lang w:val="en-GB"/>
              </w:rPr>
              <w:t>8</w:t>
            </w:r>
            <w:r w:rsidR="00AD384B" w:rsidRPr="00741FCF">
              <w:rPr>
                <w:rFonts w:eastAsia="Times New Roman" w:cs="Calibri"/>
                <w:sz w:val="18"/>
                <w:szCs w:val="18"/>
                <w:lang w:val="en-GB"/>
              </w:rPr>
              <w:t xml:space="preserve">00 during the </w:t>
            </w:r>
            <w:r w:rsidR="001C3883" w:rsidRPr="00741FCF">
              <w:rPr>
                <w:rFonts w:eastAsia="Times New Roman" w:cs="Calibri"/>
                <w:sz w:val="18"/>
                <w:szCs w:val="18"/>
                <w:lang w:val="en-GB"/>
              </w:rPr>
              <w:t>1</w:t>
            </w:r>
            <w:r w:rsidR="001C3883" w:rsidRPr="00741FCF">
              <w:rPr>
                <w:rFonts w:eastAsia="Times New Roman" w:cs="Calibri"/>
                <w:sz w:val="18"/>
                <w:szCs w:val="18"/>
                <w:vertAlign w:val="superscript"/>
                <w:lang w:val="en-GB"/>
              </w:rPr>
              <w:t>st</w:t>
            </w:r>
            <w:r w:rsidR="001C3883" w:rsidRPr="00741FCF">
              <w:rPr>
                <w:rFonts w:eastAsia="Times New Roman" w:cs="Calibri"/>
                <w:sz w:val="18"/>
                <w:szCs w:val="18"/>
                <w:lang w:val="en-GB"/>
              </w:rPr>
              <w:t xml:space="preserve"> and the 4</w:t>
            </w:r>
            <w:r w:rsidR="001C3883" w:rsidRPr="00741FCF">
              <w:rPr>
                <w:rFonts w:eastAsia="Times New Roman" w:cs="Calibri"/>
                <w:sz w:val="18"/>
                <w:szCs w:val="18"/>
                <w:vertAlign w:val="superscript"/>
                <w:lang w:val="en-GB"/>
              </w:rPr>
              <w:t>th</w:t>
            </w:r>
            <w:r w:rsidR="001C3883" w:rsidRPr="00741FCF">
              <w:rPr>
                <w:rFonts w:eastAsia="Times New Roman" w:cs="Calibri"/>
                <w:sz w:val="18"/>
                <w:szCs w:val="18"/>
                <w:lang w:val="en-GB"/>
              </w:rPr>
              <w:t xml:space="preserve"> </w:t>
            </w:r>
            <w:r w:rsidR="00AD384B" w:rsidRPr="00741FCF">
              <w:rPr>
                <w:rFonts w:eastAsia="Times New Roman" w:cs="Calibri"/>
                <w:sz w:val="18"/>
                <w:szCs w:val="18"/>
                <w:lang w:val="en-GB"/>
              </w:rPr>
              <w:t>year.</w:t>
            </w:r>
          </w:p>
          <w:p w14:paraId="544CC86A" w14:textId="1857CBE0" w:rsidR="007A6608" w:rsidRPr="00752434" w:rsidRDefault="0063211A" w:rsidP="00243B15">
            <w:pPr>
              <w:spacing w:before="40" w:after="40"/>
              <w:rPr>
                <w:rFonts w:eastAsia="Times New Roman" w:cs="Calibri"/>
                <w:sz w:val="18"/>
                <w:szCs w:val="18"/>
                <w:lang w:val="en-GB"/>
              </w:rPr>
            </w:pPr>
            <w:r w:rsidRPr="00741FCF">
              <w:rPr>
                <w:rFonts w:eastAsia="Times New Roman" w:cs="Calibri"/>
                <w:sz w:val="18"/>
                <w:szCs w:val="18"/>
                <w:lang w:val="en-GB"/>
              </w:rPr>
              <w:t>n</w:t>
            </w:r>
            <w:r w:rsidR="00AD384B" w:rsidRPr="00741FCF">
              <w:rPr>
                <w:rFonts w:eastAsia="Times New Roman" w:cs="Calibri"/>
                <w:sz w:val="18"/>
                <w:szCs w:val="18"/>
                <w:lang w:val="en-GB"/>
              </w:rPr>
              <w:t>) Travel expenses for the</w:t>
            </w:r>
            <w:r w:rsidR="001C3883" w:rsidRPr="00741FCF">
              <w:rPr>
                <w:rFonts w:eastAsia="Times New Roman" w:cs="Calibri"/>
                <w:sz w:val="18"/>
                <w:szCs w:val="18"/>
                <w:lang w:val="en-GB"/>
              </w:rPr>
              <w:t xml:space="preserve"> 3</w:t>
            </w:r>
            <w:r w:rsidR="001C3883" w:rsidRPr="00741FCF">
              <w:rPr>
                <w:rFonts w:eastAsia="Times New Roman" w:cs="Calibri"/>
                <w:sz w:val="18"/>
                <w:szCs w:val="18"/>
                <w:vertAlign w:val="superscript"/>
                <w:lang w:val="en-GB"/>
              </w:rPr>
              <w:t>rd</w:t>
            </w:r>
            <w:r w:rsidR="001C3883" w:rsidRPr="00741FCF">
              <w:rPr>
                <w:rFonts w:eastAsia="Times New Roman" w:cs="Calibri"/>
                <w:sz w:val="18"/>
                <w:szCs w:val="18"/>
                <w:lang w:val="en-GB"/>
              </w:rPr>
              <w:t>-party</w:t>
            </w:r>
            <w:r w:rsidR="00AD384B" w:rsidRPr="00741FCF">
              <w:rPr>
                <w:rFonts w:eastAsia="Times New Roman" w:cs="Calibri"/>
                <w:sz w:val="18"/>
                <w:szCs w:val="18"/>
                <w:lang w:val="en-GB"/>
              </w:rPr>
              <w:t xml:space="preserve"> international consultant expert in </w:t>
            </w:r>
            <w:r w:rsidR="001C3883" w:rsidRPr="00741FCF">
              <w:rPr>
                <w:rFonts w:eastAsia="Times New Roman" w:cs="Calibri"/>
                <w:sz w:val="18"/>
                <w:szCs w:val="18"/>
                <w:lang w:val="en-GB"/>
              </w:rPr>
              <w:t>wildlife and hunting</w:t>
            </w:r>
            <w:r w:rsidR="00AD384B" w:rsidRPr="00741FCF">
              <w:rPr>
                <w:rFonts w:eastAsia="Times New Roman" w:cs="Calibri"/>
                <w:sz w:val="18"/>
                <w:szCs w:val="18"/>
                <w:lang w:val="en-GB"/>
              </w:rPr>
              <w:t xml:space="preserve"> (output 2.</w:t>
            </w:r>
            <w:r w:rsidR="001C3883" w:rsidRPr="00741FCF">
              <w:rPr>
                <w:rFonts w:eastAsia="Times New Roman" w:cs="Calibri"/>
                <w:sz w:val="18"/>
                <w:szCs w:val="18"/>
                <w:lang w:val="en-GB"/>
              </w:rPr>
              <w:t>2.2</w:t>
            </w:r>
            <w:r w:rsidR="00AD384B" w:rsidRPr="00741FCF">
              <w:rPr>
                <w:rFonts w:eastAsia="Times New Roman" w:cs="Calibri"/>
                <w:sz w:val="18"/>
                <w:szCs w:val="18"/>
                <w:lang w:val="en-GB"/>
              </w:rPr>
              <w:t xml:space="preserve">) for </w:t>
            </w:r>
            <w:r w:rsidR="001C3883" w:rsidRPr="00741FCF">
              <w:rPr>
                <w:rFonts w:eastAsia="Times New Roman" w:cs="Calibri"/>
                <w:sz w:val="18"/>
                <w:szCs w:val="18"/>
                <w:lang w:val="en-GB"/>
              </w:rPr>
              <w:t>1</w:t>
            </w:r>
            <w:r w:rsidR="00AD384B" w:rsidRPr="00741FCF">
              <w:rPr>
                <w:rFonts w:eastAsia="Times New Roman" w:cs="Calibri"/>
                <w:sz w:val="18"/>
                <w:szCs w:val="18"/>
                <w:lang w:val="en-GB"/>
              </w:rPr>
              <w:t xml:space="preserve"> mission of </w:t>
            </w:r>
            <w:r w:rsidR="001C3883" w:rsidRPr="00741FCF">
              <w:rPr>
                <w:rFonts w:eastAsia="Times New Roman" w:cs="Calibri"/>
                <w:sz w:val="18"/>
                <w:szCs w:val="18"/>
                <w:lang w:val="en-GB"/>
              </w:rPr>
              <w:t>15</w:t>
            </w:r>
            <w:r w:rsidR="00AD384B" w:rsidRPr="00741FCF">
              <w:rPr>
                <w:rFonts w:eastAsia="Times New Roman" w:cs="Calibri"/>
                <w:sz w:val="18"/>
                <w:szCs w:val="18"/>
                <w:lang w:val="en-GB"/>
              </w:rPr>
              <w:t xml:space="preserve"> days in Burkina Faso (</w:t>
            </w:r>
            <w:r w:rsidR="001C3883" w:rsidRPr="00741FCF">
              <w:rPr>
                <w:rFonts w:eastAsia="Times New Roman" w:cs="Calibri"/>
                <w:sz w:val="18"/>
                <w:szCs w:val="18"/>
                <w:lang w:val="en-GB"/>
              </w:rPr>
              <w:t>5</w:t>
            </w:r>
            <w:r w:rsidR="00AD384B" w:rsidRPr="00741FCF">
              <w:rPr>
                <w:rFonts w:eastAsia="Times New Roman" w:cs="Calibri"/>
                <w:sz w:val="18"/>
                <w:szCs w:val="18"/>
                <w:lang w:val="en-GB"/>
              </w:rPr>
              <w:t xml:space="preserve"> days Ouagadougou, </w:t>
            </w:r>
            <w:r w:rsidR="001C3883" w:rsidRPr="00741FCF">
              <w:rPr>
                <w:rFonts w:eastAsia="Times New Roman" w:cs="Calibri"/>
                <w:sz w:val="18"/>
                <w:szCs w:val="18"/>
                <w:lang w:val="en-GB"/>
              </w:rPr>
              <w:t>10</w:t>
            </w:r>
            <w:r w:rsidR="00AD384B" w:rsidRPr="00741FCF">
              <w:rPr>
                <w:rFonts w:eastAsia="Times New Roman" w:cs="Calibri"/>
                <w:sz w:val="18"/>
                <w:szCs w:val="18"/>
                <w:lang w:val="en-GB"/>
              </w:rPr>
              <w:t xml:space="preserve"> days field) and the rental of a vehicle / driver ($ 1,500 / airfare, </w:t>
            </w:r>
            <w:r w:rsidR="001C3883" w:rsidRPr="00741FCF">
              <w:rPr>
                <w:rFonts w:eastAsia="Times New Roman" w:cs="Calibri"/>
                <w:sz w:val="18"/>
                <w:szCs w:val="18"/>
                <w:lang w:val="en-GB"/>
              </w:rPr>
              <w:t>5</w:t>
            </w:r>
            <w:r w:rsidR="00AD384B" w:rsidRPr="00741FCF">
              <w:rPr>
                <w:rFonts w:eastAsia="Times New Roman" w:cs="Calibri"/>
                <w:sz w:val="18"/>
                <w:szCs w:val="18"/>
                <w:lang w:val="en-GB"/>
              </w:rPr>
              <w:t xml:space="preserve"> per diem Ouagadougou @ $ 260, </w:t>
            </w:r>
            <w:r w:rsidR="001C3883" w:rsidRPr="00741FCF">
              <w:rPr>
                <w:rFonts w:eastAsia="Times New Roman" w:cs="Calibri"/>
                <w:sz w:val="18"/>
                <w:szCs w:val="18"/>
                <w:lang w:val="en-GB"/>
              </w:rPr>
              <w:t>10</w:t>
            </w:r>
            <w:r w:rsidR="00AD384B" w:rsidRPr="00741FCF">
              <w:rPr>
                <w:rFonts w:eastAsia="Times New Roman" w:cs="Calibri"/>
                <w:sz w:val="18"/>
                <w:szCs w:val="18"/>
                <w:lang w:val="en-GB"/>
              </w:rPr>
              <w:t xml:space="preserve"> per diem region @ $ 120, </w:t>
            </w:r>
            <w:r w:rsidR="00752434" w:rsidRPr="00741FCF">
              <w:rPr>
                <w:rFonts w:eastAsia="Times New Roman" w:cs="Calibri"/>
                <w:sz w:val="18"/>
                <w:szCs w:val="18"/>
                <w:lang w:val="en-GB"/>
              </w:rPr>
              <w:t>10</w:t>
            </w:r>
            <w:r w:rsidR="00AD384B" w:rsidRPr="00741FCF">
              <w:rPr>
                <w:rFonts w:eastAsia="Times New Roman" w:cs="Calibri"/>
                <w:sz w:val="18"/>
                <w:szCs w:val="18"/>
                <w:lang w:val="en-GB"/>
              </w:rPr>
              <w:t xml:space="preserve"> days vehicle @ $ 200 / day). Total cost: $ 6,000 during the </w:t>
            </w:r>
            <w:r w:rsidR="00752434" w:rsidRPr="00741FCF">
              <w:rPr>
                <w:rFonts w:eastAsia="Times New Roman" w:cs="Calibri"/>
                <w:sz w:val="18"/>
                <w:szCs w:val="18"/>
                <w:lang w:val="en-GB"/>
              </w:rPr>
              <w:t>3</w:t>
            </w:r>
            <w:r w:rsidR="00752434" w:rsidRPr="00741FCF">
              <w:rPr>
                <w:rFonts w:eastAsia="Times New Roman" w:cs="Calibri"/>
                <w:sz w:val="18"/>
                <w:szCs w:val="18"/>
                <w:vertAlign w:val="superscript"/>
                <w:lang w:val="en-GB"/>
              </w:rPr>
              <w:t>rd</w:t>
            </w:r>
            <w:r w:rsidR="00752434" w:rsidRPr="00741FCF">
              <w:rPr>
                <w:rFonts w:eastAsia="Times New Roman" w:cs="Calibri"/>
                <w:sz w:val="18"/>
                <w:szCs w:val="18"/>
                <w:lang w:val="en-GB"/>
              </w:rPr>
              <w:t xml:space="preserve"> </w:t>
            </w:r>
            <w:r w:rsidR="00AD384B" w:rsidRPr="00741FCF">
              <w:rPr>
                <w:rFonts w:eastAsia="Times New Roman" w:cs="Calibri"/>
                <w:sz w:val="18"/>
                <w:szCs w:val="18"/>
                <w:lang w:val="en-GB"/>
              </w:rPr>
              <w:t>year.</w:t>
            </w:r>
          </w:p>
        </w:tc>
      </w:tr>
      <w:tr w:rsidR="00302BFE" w:rsidRPr="006E490C" w14:paraId="12FFCDD6"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hideMark/>
          </w:tcPr>
          <w:p w14:paraId="53EFD323" w14:textId="138F2F29" w:rsidR="00302BFE" w:rsidRPr="00683440" w:rsidRDefault="00302BFE" w:rsidP="00243B15">
            <w:pPr>
              <w:spacing w:before="40" w:after="40"/>
              <w:jc w:val="center"/>
              <w:rPr>
                <w:rFonts w:eastAsia="Times New Roman" w:cs="Calibri"/>
                <w:i/>
                <w:iCs/>
                <w:sz w:val="18"/>
                <w:szCs w:val="18"/>
                <w:lang w:val="en-GB"/>
              </w:rPr>
            </w:pPr>
            <w:r w:rsidRPr="00683440">
              <w:rPr>
                <w:rFonts w:eastAsia="Times New Roman" w:cs="Calibri"/>
                <w:i/>
                <w:iCs/>
                <w:sz w:val="18"/>
                <w:szCs w:val="18"/>
                <w:lang w:val="en-GB"/>
              </w:rPr>
              <w:t>1</w:t>
            </w:r>
            <w:r w:rsidR="002444C5">
              <w:rPr>
                <w:rFonts w:eastAsia="Times New Roman" w:cs="Calibri"/>
                <w:i/>
                <w:iCs/>
                <w:sz w:val="18"/>
                <w:szCs w:val="18"/>
                <w:lang w:val="en-GB"/>
              </w:rPr>
              <w:t>8</w:t>
            </w:r>
          </w:p>
        </w:tc>
        <w:tc>
          <w:tcPr>
            <w:tcW w:w="13687" w:type="dxa"/>
            <w:tcBorders>
              <w:top w:val="single" w:sz="4" w:space="0" w:color="auto"/>
              <w:left w:val="single" w:sz="4" w:space="0" w:color="auto"/>
              <w:bottom w:val="single" w:sz="4" w:space="0" w:color="auto"/>
              <w:right w:val="single" w:sz="4" w:space="0" w:color="auto"/>
            </w:tcBorders>
            <w:hideMark/>
          </w:tcPr>
          <w:p w14:paraId="3283C134" w14:textId="210BCB0B" w:rsidR="00302BFE" w:rsidRPr="006E490C" w:rsidRDefault="00302BFE" w:rsidP="00243B15">
            <w:pPr>
              <w:spacing w:before="40" w:after="40"/>
              <w:rPr>
                <w:rFonts w:cs="Calibri"/>
                <w:sz w:val="18"/>
                <w:szCs w:val="18"/>
                <w:lang w:val="en-GB"/>
              </w:rPr>
            </w:pPr>
            <w:r w:rsidRPr="00363257">
              <w:rPr>
                <w:rFonts w:cs="Calibri"/>
                <w:sz w:val="18"/>
                <w:szCs w:val="18"/>
                <w:lang w:val="en-GB"/>
              </w:rPr>
              <w:t>a) Expert scientist on elephants in the PONASI complex for the planning and implementation of a research project, including reporting, to document and understand the movements of the elephant population present in the PONASI landscape, inside and outside the landscape (output 2.4.2), in collaboration with the ecological monitoring expert, the anti-poaching expert and the human-wildlife conflict expert; to supervise and train field assistants to conduct elephant population surveys in years 1, 3 (mid-term) and 6 (end of project); and to contribute to working sessions with Ghanaian counterparts for the development of concerted monitoring and surveillance plans (Output 2.2.5) and the drafting of cross-border cooperation agreements (Output 2.4.3). Rate: $ 100,000 (including all travel and other expenses) for years 1, 2, 3, 6. Total cost: $ 100,000.</w:t>
            </w:r>
          </w:p>
          <w:p w14:paraId="0397B96B" w14:textId="4A3DD2BD" w:rsidR="00302BFE" w:rsidRPr="006E490C" w:rsidRDefault="00302BFE" w:rsidP="00243B15">
            <w:pPr>
              <w:spacing w:before="40" w:after="40"/>
              <w:rPr>
                <w:rFonts w:cs="Calibri"/>
                <w:sz w:val="18"/>
                <w:szCs w:val="18"/>
                <w:lang w:val="en-GB"/>
              </w:rPr>
            </w:pPr>
            <w:r>
              <w:rPr>
                <w:rFonts w:cs="Calibri"/>
                <w:sz w:val="18"/>
                <w:szCs w:val="18"/>
                <w:lang w:val="en-GB"/>
              </w:rPr>
              <w:t>b</w:t>
            </w:r>
            <w:r w:rsidRPr="006E490C">
              <w:rPr>
                <w:rFonts w:cs="Calibri"/>
                <w:sz w:val="18"/>
                <w:szCs w:val="18"/>
                <w:lang w:val="en-GB"/>
              </w:rPr>
              <w:t>) A local construction company to build a complex to serve as the protected area / biodiversity interpretation center / visitors reception center for the PNKT, with facilities for visitors and offices, including eco-architectural design (output 2.1.3). Rate: $ 250,000 paid as a lump sum based on deliverables in Year 3.</w:t>
            </w:r>
          </w:p>
          <w:p w14:paraId="6EB0E2F5" w14:textId="696CD58C" w:rsidR="00A642FE" w:rsidRPr="00CF30FD" w:rsidRDefault="00302BFE" w:rsidP="00CF30FD">
            <w:pPr>
              <w:spacing w:before="40" w:after="40"/>
              <w:rPr>
                <w:sz w:val="18"/>
                <w:szCs w:val="18"/>
                <w:lang w:val="en-GB"/>
              </w:rPr>
            </w:pPr>
            <w:r>
              <w:rPr>
                <w:rFonts w:cs="Calibri"/>
                <w:sz w:val="18"/>
                <w:szCs w:val="18"/>
                <w:lang w:val="en-GB"/>
              </w:rPr>
              <w:t>c</w:t>
            </w:r>
            <w:r w:rsidRPr="006E490C">
              <w:rPr>
                <w:rFonts w:cs="Calibri"/>
                <w:sz w:val="18"/>
                <w:szCs w:val="18"/>
                <w:lang w:val="en-GB"/>
              </w:rPr>
              <w:t xml:space="preserve">) Local construction company for the design and construction of 6 wildlife observation towers / platforms (approximately 6 m high and 3x3m platform), including a design and durable and robust materials for the safety of visitors - locations to be determined within PNKT, </w:t>
            </w:r>
            <w:r w:rsidR="00F03A01">
              <w:rPr>
                <w:rFonts w:cs="Calibri"/>
                <w:sz w:val="18"/>
                <w:szCs w:val="18"/>
                <w:lang w:val="en-GB"/>
              </w:rPr>
              <w:t>RGN</w:t>
            </w:r>
            <w:r w:rsidRPr="006E490C">
              <w:rPr>
                <w:rFonts w:cs="Calibri"/>
                <w:sz w:val="18"/>
                <w:szCs w:val="18"/>
                <w:lang w:val="en-GB"/>
              </w:rPr>
              <w:t xml:space="preserve"> and Classified Forest of Sissili. Rate: $ 12,000 / unit, 4</w:t>
            </w:r>
            <w:r w:rsidRPr="006E490C">
              <w:rPr>
                <w:rFonts w:cs="Calibri"/>
                <w:sz w:val="18"/>
                <w:szCs w:val="18"/>
                <w:vertAlign w:val="superscript"/>
                <w:lang w:val="en-GB"/>
              </w:rPr>
              <w:t>th</w:t>
            </w:r>
            <w:r w:rsidRPr="006E490C">
              <w:rPr>
                <w:rFonts w:cs="Calibri"/>
                <w:sz w:val="18"/>
                <w:szCs w:val="18"/>
                <w:lang w:val="en-GB"/>
              </w:rPr>
              <w:t xml:space="preserve"> year, paid as a lump sum based on the deliverables. Total cost: $ 72,000</w:t>
            </w:r>
            <w:r w:rsidRPr="006E490C">
              <w:rPr>
                <w:sz w:val="18"/>
                <w:szCs w:val="18"/>
                <w:lang w:val="en-GB"/>
              </w:rPr>
              <w:t>.</w:t>
            </w:r>
          </w:p>
        </w:tc>
      </w:tr>
      <w:tr w:rsidR="00302BFE" w:rsidRPr="006E490C" w14:paraId="0F6DB619"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hideMark/>
          </w:tcPr>
          <w:p w14:paraId="7A8855E4" w14:textId="6110D6F0" w:rsidR="00302BFE" w:rsidRPr="006E490C" w:rsidRDefault="00302BFE" w:rsidP="00243B15">
            <w:pPr>
              <w:spacing w:before="40" w:after="40"/>
              <w:jc w:val="center"/>
              <w:rPr>
                <w:rFonts w:eastAsia="Times New Roman" w:cs="Calibri"/>
                <w:i/>
                <w:iCs/>
                <w:sz w:val="18"/>
                <w:szCs w:val="18"/>
                <w:lang w:val="en-GB"/>
              </w:rPr>
            </w:pPr>
            <w:r w:rsidRPr="006E490C">
              <w:rPr>
                <w:rFonts w:eastAsia="Times New Roman" w:cs="Calibri"/>
                <w:i/>
                <w:iCs/>
                <w:sz w:val="18"/>
                <w:szCs w:val="18"/>
                <w:lang w:val="en-GB"/>
              </w:rPr>
              <w:lastRenderedPageBreak/>
              <w:t>1</w:t>
            </w:r>
            <w:r w:rsidR="002444C5">
              <w:rPr>
                <w:rFonts w:eastAsia="Times New Roman" w:cs="Calibri"/>
                <w:i/>
                <w:iCs/>
                <w:sz w:val="18"/>
                <w:szCs w:val="18"/>
                <w:lang w:val="en-GB"/>
              </w:rPr>
              <w:t>9</w:t>
            </w:r>
          </w:p>
        </w:tc>
        <w:tc>
          <w:tcPr>
            <w:tcW w:w="13687" w:type="dxa"/>
            <w:tcBorders>
              <w:top w:val="single" w:sz="4" w:space="0" w:color="auto"/>
              <w:left w:val="single" w:sz="4" w:space="0" w:color="auto"/>
              <w:bottom w:val="single" w:sz="4" w:space="0" w:color="auto"/>
              <w:right w:val="single" w:sz="4" w:space="0" w:color="auto"/>
            </w:tcBorders>
            <w:hideMark/>
          </w:tcPr>
          <w:p w14:paraId="5B541326" w14:textId="7AE0EAE4" w:rsidR="00302BFE" w:rsidRDefault="00302BFE" w:rsidP="00243B15">
            <w:pPr>
              <w:spacing w:before="40" w:after="40"/>
              <w:rPr>
                <w:rFonts w:cs="Calibri"/>
                <w:sz w:val="18"/>
                <w:szCs w:val="18"/>
                <w:lang w:val="en-GB"/>
              </w:rPr>
            </w:pPr>
            <w:r w:rsidRPr="00363257">
              <w:rPr>
                <w:rFonts w:cs="Calibri"/>
                <w:sz w:val="18"/>
                <w:szCs w:val="18"/>
                <w:lang w:val="en-GB"/>
              </w:rPr>
              <w:t>a) A 4x4 vehicle for the Kaboré-Tambi National Park @ $ 52,000 in year 1 and annual maintenance and spare parts reserve for the duration of the project @ 4,000 / year (output 2.1.3). Total cost: 72,000</w:t>
            </w:r>
          </w:p>
          <w:p w14:paraId="2404921C" w14:textId="2E3E6109" w:rsidR="00D517E0" w:rsidRPr="00D517E0" w:rsidRDefault="00D517E0" w:rsidP="00D517E0">
            <w:pPr>
              <w:spacing w:after="40"/>
              <w:rPr>
                <w:rFonts w:cs="Calibri"/>
                <w:sz w:val="18"/>
                <w:szCs w:val="18"/>
                <w:lang w:val="en-GB"/>
              </w:rPr>
            </w:pPr>
            <w:r w:rsidRPr="00D517E0">
              <w:rPr>
                <w:rFonts w:cs="Calibri"/>
                <w:sz w:val="18"/>
                <w:szCs w:val="18"/>
                <w:lang w:val="en-GB"/>
              </w:rPr>
              <w:t>b) Equipment for monitoring and surveillance activities for 3 PAs (Nazinga Game Ranch, Sissili Classified Forest, Kaboré-Tambi NP; output 2.1.3), including 12 cameras with integrated GPS @ $ 600, 12 Garmin GPS @ $ 250, 24 binoculars @ $125, 24 compasses @ $ 40, 24 aluminium clipboards @ $30, 24 motorcycles @ $ 2,300 = 55,200 12 tents @ $ 300, 48 personal equipment (uniform, sleeping bag, sleeping pad, backpack, torch, water bottle, mess tin, first aid kit) @ $ 365, 24 long-range VHF-UHF dual band walkie-talkie radios @ $ 200, 6 first-aid kits for office @ $50, etc. in year 1 Total cost: $ 100,000</w:t>
            </w:r>
          </w:p>
          <w:p w14:paraId="25D2F283" w14:textId="77777777" w:rsidR="00302BFE" w:rsidRPr="00363257" w:rsidRDefault="00302BFE" w:rsidP="00243B15">
            <w:pPr>
              <w:spacing w:before="40" w:after="40"/>
              <w:rPr>
                <w:rFonts w:cs="Calibri"/>
                <w:sz w:val="18"/>
                <w:szCs w:val="18"/>
                <w:lang w:val="en-GB"/>
              </w:rPr>
            </w:pPr>
            <w:r w:rsidRPr="00363257">
              <w:rPr>
                <w:rFonts w:cs="Calibri"/>
                <w:sz w:val="18"/>
                <w:szCs w:val="18"/>
                <w:lang w:val="en-GB"/>
              </w:rPr>
              <w:t>c) Furniture for the Visitors reception Center / PNKT office (Output 2.1.3) including conference room tables @ $ 1,000, 20 chairs @ $ 100, 1 video projector @ $ 1,000, screen, filing cabinets, shelves, showcases, 3 workstations, etc. in year 3. Total cost: $ 10,000</w:t>
            </w:r>
          </w:p>
          <w:p w14:paraId="28AE4ECD" w14:textId="77777777" w:rsidR="00302BFE" w:rsidRPr="00363257" w:rsidRDefault="00302BFE" w:rsidP="00243B15">
            <w:pPr>
              <w:spacing w:before="40" w:after="40"/>
              <w:rPr>
                <w:rFonts w:cs="Calibri"/>
                <w:sz w:val="18"/>
                <w:szCs w:val="18"/>
                <w:lang w:val="en-GB"/>
              </w:rPr>
            </w:pPr>
            <w:r w:rsidRPr="00363257">
              <w:rPr>
                <w:rFonts w:cs="Calibri"/>
                <w:sz w:val="18"/>
                <w:szCs w:val="18"/>
                <w:lang w:val="en-GB"/>
              </w:rPr>
              <w:t>d) Construction of boundary markers for PAs including ZOVICs and corridors in years 2 and 3 (Outputs 2.2.1 and 2.3.1) Total cost $ 100,000</w:t>
            </w:r>
          </w:p>
          <w:p w14:paraId="4211E5B0" w14:textId="77777777" w:rsidR="00302BFE" w:rsidRPr="00363257" w:rsidRDefault="00302BFE" w:rsidP="00243B15">
            <w:pPr>
              <w:spacing w:before="40" w:after="40"/>
              <w:rPr>
                <w:rFonts w:cs="Calibri"/>
                <w:sz w:val="18"/>
                <w:szCs w:val="18"/>
                <w:lang w:val="en-GB"/>
              </w:rPr>
            </w:pPr>
            <w:r w:rsidRPr="00363257">
              <w:rPr>
                <w:rFonts w:cs="Calibri"/>
                <w:sz w:val="18"/>
                <w:szCs w:val="18"/>
                <w:lang w:val="en-GB"/>
              </w:rPr>
              <w:t>e) Signposts for PAs, ZOVICs and Corridors in Year 3 (Outputs 2.2.1 and 2.3.1) Total Cost: $ 80,000 in Year 3</w:t>
            </w:r>
          </w:p>
          <w:p w14:paraId="43A57B43" w14:textId="4D039139" w:rsidR="00302BFE" w:rsidRPr="00363257" w:rsidRDefault="00302BFE" w:rsidP="00243B15">
            <w:pPr>
              <w:spacing w:before="40" w:after="40"/>
              <w:rPr>
                <w:rFonts w:cs="Calibri"/>
                <w:sz w:val="18"/>
                <w:szCs w:val="18"/>
                <w:lang w:val="en-GB"/>
              </w:rPr>
            </w:pPr>
            <w:r w:rsidRPr="00363257">
              <w:rPr>
                <w:rFonts w:cs="Calibri"/>
                <w:sz w:val="18"/>
                <w:szCs w:val="18"/>
                <w:lang w:val="en-GB"/>
              </w:rPr>
              <w:t xml:space="preserve">f) Trails interpretative signs for self-guided tours, accompanying documentation material (brochures, field guides, printed documents) on flora, fauna, natural and cultural heritage in the PONASI landscape for the PNKT reception center, the Sissili Classified Forest and the </w:t>
            </w:r>
            <w:r w:rsidR="00F03A01">
              <w:rPr>
                <w:rFonts w:cs="Calibri"/>
                <w:sz w:val="18"/>
                <w:szCs w:val="18"/>
                <w:lang w:val="en-GB"/>
              </w:rPr>
              <w:t>RGN</w:t>
            </w:r>
            <w:r w:rsidRPr="00363257">
              <w:rPr>
                <w:rFonts w:cs="Calibri"/>
                <w:sz w:val="18"/>
                <w:szCs w:val="18"/>
                <w:lang w:val="en-GB"/>
              </w:rPr>
              <w:t xml:space="preserve"> (Output 3.4.6). Total cost: $ 100,000 during the 4</w:t>
            </w:r>
            <w:r w:rsidRPr="00D517E0">
              <w:rPr>
                <w:rFonts w:cs="Calibri"/>
                <w:sz w:val="18"/>
                <w:szCs w:val="18"/>
                <w:lang w:val="en-GB"/>
              </w:rPr>
              <w:t>th</w:t>
            </w:r>
            <w:r w:rsidRPr="00363257">
              <w:rPr>
                <w:rFonts w:cs="Calibri"/>
                <w:sz w:val="18"/>
                <w:szCs w:val="18"/>
                <w:lang w:val="en-GB"/>
              </w:rPr>
              <w:t xml:space="preserve"> year</w:t>
            </w:r>
          </w:p>
          <w:p w14:paraId="3E768983" w14:textId="77777777" w:rsidR="00302BFE" w:rsidRPr="00363257" w:rsidRDefault="00302BFE" w:rsidP="00243B15">
            <w:pPr>
              <w:spacing w:before="40" w:after="40"/>
              <w:rPr>
                <w:rFonts w:cs="Calibri"/>
                <w:sz w:val="18"/>
                <w:szCs w:val="18"/>
                <w:lang w:val="en-GB"/>
              </w:rPr>
            </w:pPr>
            <w:r w:rsidRPr="00363257">
              <w:rPr>
                <w:rFonts w:cs="Calibri"/>
                <w:sz w:val="18"/>
                <w:szCs w:val="18"/>
                <w:lang w:val="en-GB"/>
              </w:rPr>
              <w:t>g) Solar equipment for the Protected Area Office / Biodiversity Interpretation Center / Visitors reception center for PNKT (Output 2.1.3). Total cost: $ 15,000 during the 3</w:t>
            </w:r>
            <w:r w:rsidRPr="00D517E0">
              <w:rPr>
                <w:rFonts w:cs="Calibri"/>
                <w:sz w:val="18"/>
                <w:szCs w:val="18"/>
                <w:lang w:val="en-GB"/>
              </w:rPr>
              <w:t>rd</w:t>
            </w:r>
            <w:r w:rsidRPr="00363257">
              <w:rPr>
                <w:rFonts w:cs="Calibri"/>
                <w:sz w:val="18"/>
                <w:szCs w:val="18"/>
                <w:lang w:val="en-GB"/>
              </w:rPr>
              <w:t xml:space="preserve"> year</w:t>
            </w:r>
          </w:p>
          <w:p w14:paraId="0A133DDF" w14:textId="4467823B" w:rsidR="00302BFE" w:rsidRDefault="00302BFE" w:rsidP="00243B15">
            <w:pPr>
              <w:spacing w:before="40" w:after="40"/>
              <w:rPr>
                <w:rFonts w:cs="Calibri"/>
                <w:sz w:val="18"/>
                <w:szCs w:val="18"/>
                <w:lang w:val="en-GB"/>
              </w:rPr>
            </w:pPr>
            <w:r w:rsidRPr="00363257">
              <w:rPr>
                <w:rFonts w:cs="Calibri"/>
                <w:sz w:val="18"/>
                <w:szCs w:val="18"/>
                <w:lang w:val="en-GB"/>
              </w:rPr>
              <w:t>h) Construction of 8 ECOSAN-type public toilets @ $ 800 for visitors to PNKT and Sissili CF, including 2 for the interpretation center / visitors reception center (Output 2.1.3). Total cost: $ 6,</w:t>
            </w:r>
            <w:r w:rsidRPr="0063211A">
              <w:rPr>
                <w:rFonts w:cs="Calibri"/>
                <w:sz w:val="18"/>
                <w:szCs w:val="18"/>
                <w:lang w:val="en-GB"/>
              </w:rPr>
              <w:t>400 during the 3</w:t>
            </w:r>
            <w:r w:rsidRPr="00D517E0">
              <w:rPr>
                <w:rFonts w:cs="Calibri"/>
                <w:sz w:val="18"/>
                <w:szCs w:val="18"/>
                <w:lang w:val="en-GB"/>
              </w:rPr>
              <w:t>rd</w:t>
            </w:r>
            <w:r w:rsidRPr="0063211A">
              <w:rPr>
                <w:rFonts w:cs="Calibri"/>
                <w:sz w:val="18"/>
                <w:szCs w:val="18"/>
                <w:lang w:val="en-GB"/>
              </w:rPr>
              <w:t xml:space="preserve"> year</w:t>
            </w:r>
          </w:p>
          <w:p w14:paraId="371D6F09" w14:textId="736BDACD" w:rsidR="00D517E0" w:rsidRPr="0063211A" w:rsidRDefault="00D517E0" w:rsidP="00D517E0">
            <w:pPr>
              <w:spacing w:before="40" w:after="40"/>
              <w:rPr>
                <w:rFonts w:cs="Calibri"/>
                <w:sz w:val="18"/>
                <w:szCs w:val="18"/>
                <w:lang w:val="en-GB"/>
              </w:rPr>
            </w:pPr>
            <w:r w:rsidRPr="0063211A">
              <w:rPr>
                <w:rFonts w:cs="Calibri"/>
                <w:sz w:val="18"/>
                <w:szCs w:val="18"/>
                <w:lang w:val="en-GB"/>
              </w:rPr>
              <w:t xml:space="preserve">i) Purchase of a 4x4 vehicle to support all project activities (25% for the component) @ $ 13,000 for year </w:t>
            </w:r>
            <w:r w:rsidRPr="002C4038">
              <w:rPr>
                <w:rFonts w:cs="Calibri"/>
                <w:sz w:val="18"/>
                <w:szCs w:val="18"/>
                <w:lang w:val="en-GB"/>
              </w:rPr>
              <w:t>1</w:t>
            </w:r>
            <w:r w:rsidR="00AD796F" w:rsidRPr="002C4038">
              <w:rPr>
                <w:rFonts w:cs="Calibri"/>
                <w:sz w:val="18"/>
                <w:szCs w:val="18"/>
                <w:lang w:val="en-GB"/>
              </w:rPr>
              <w:t xml:space="preserve"> </w:t>
            </w:r>
            <w:r w:rsidR="00AD796F" w:rsidRPr="00EF6D8E">
              <w:rPr>
                <w:rFonts w:cs="Calibri"/>
                <w:sz w:val="18"/>
                <w:szCs w:val="18"/>
                <w:lang w:val="en-GB"/>
              </w:rPr>
              <w:t>fully cofunded by UNDP</w:t>
            </w:r>
          </w:p>
          <w:p w14:paraId="64864E10" w14:textId="3435936D" w:rsidR="006E4995" w:rsidRPr="00363257" w:rsidRDefault="0063211A" w:rsidP="00243B15">
            <w:pPr>
              <w:spacing w:before="40" w:after="40"/>
              <w:rPr>
                <w:rFonts w:cs="Calibri"/>
                <w:sz w:val="18"/>
                <w:szCs w:val="18"/>
                <w:lang w:val="en-GB"/>
              </w:rPr>
            </w:pPr>
            <w:r w:rsidRPr="0063211A">
              <w:rPr>
                <w:rFonts w:cs="Calibri"/>
                <w:sz w:val="18"/>
                <w:szCs w:val="18"/>
                <w:lang w:val="en-GB"/>
              </w:rPr>
              <w:t>j</w:t>
            </w:r>
            <w:r w:rsidR="006E4995" w:rsidRPr="0063211A">
              <w:rPr>
                <w:rFonts w:cs="Calibri"/>
                <w:sz w:val="18"/>
                <w:szCs w:val="18"/>
                <w:lang w:val="en-GB"/>
              </w:rPr>
              <w:t>) Purchase of 8 motorcycles for travel related to the field activities of components 2 and 3, especially technical assistants and community mobilization assistants (50%) @ $ 2,300 / motorcycle - Total cost for component 2: $ 9,200 year 1</w:t>
            </w:r>
          </w:p>
        </w:tc>
      </w:tr>
      <w:tr w:rsidR="00302BFE" w:rsidRPr="009363D6" w14:paraId="3F93044E"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hideMark/>
          </w:tcPr>
          <w:p w14:paraId="7EEFA157" w14:textId="49BF3444" w:rsidR="00302BFE" w:rsidRPr="006E490C" w:rsidRDefault="002444C5" w:rsidP="00243B15">
            <w:pPr>
              <w:spacing w:before="40" w:after="40"/>
              <w:jc w:val="center"/>
              <w:rPr>
                <w:rFonts w:eastAsia="Times New Roman" w:cs="Calibri"/>
                <w:i/>
                <w:iCs/>
                <w:sz w:val="18"/>
                <w:szCs w:val="18"/>
                <w:lang w:val="en-GB"/>
              </w:rPr>
            </w:pPr>
            <w:r>
              <w:rPr>
                <w:rFonts w:eastAsia="Times New Roman" w:cs="Calibri"/>
                <w:i/>
                <w:iCs/>
                <w:sz w:val="18"/>
                <w:szCs w:val="18"/>
                <w:lang w:val="en-GB"/>
              </w:rPr>
              <w:t>20</w:t>
            </w:r>
          </w:p>
        </w:tc>
        <w:tc>
          <w:tcPr>
            <w:tcW w:w="13687" w:type="dxa"/>
            <w:tcBorders>
              <w:top w:val="single" w:sz="4" w:space="0" w:color="auto"/>
              <w:left w:val="single" w:sz="4" w:space="0" w:color="auto"/>
              <w:bottom w:val="single" w:sz="4" w:space="0" w:color="auto"/>
              <w:right w:val="single" w:sz="4" w:space="0" w:color="auto"/>
            </w:tcBorders>
            <w:hideMark/>
          </w:tcPr>
          <w:p w14:paraId="4A0D72A7" w14:textId="77777777" w:rsidR="00302BFE" w:rsidRPr="006E490C" w:rsidRDefault="00302BFE" w:rsidP="00243B15">
            <w:pPr>
              <w:spacing w:before="40" w:after="40"/>
              <w:rPr>
                <w:rFonts w:cs="Calibri"/>
                <w:sz w:val="18"/>
                <w:szCs w:val="18"/>
                <w:lang w:val="en-GB"/>
              </w:rPr>
            </w:pPr>
            <w:r w:rsidRPr="006E490C">
              <w:rPr>
                <w:rFonts w:cs="Calibri"/>
                <w:sz w:val="18"/>
                <w:szCs w:val="18"/>
                <w:lang w:val="en-GB"/>
              </w:rPr>
              <w:t>a) Reserve for the rental of machinery and the purchase of fuel to allow the opening and regular maintenance of firebreaks and perimeter tracks for protected areas, including ZOVICs and corridors, in years 2, 3, 4 and 5 @ $ 25,000 / year. Total cost: $ 100,000</w:t>
            </w:r>
          </w:p>
          <w:p w14:paraId="00F447D0" w14:textId="77777777" w:rsidR="00302BFE" w:rsidRPr="006E490C" w:rsidRDefault="00302BFE" w:rsidP="00243B15">
            <w:pPr>
              <w:spacing w:before="40" w:after="40"/>
              <w:rPr>
                <w:rFonts w:cs="Calibri"/>
                <w:sz w:val="18"/>
                <w:szCs w:val="18"/>
                <w:lang w:val="en-GB"/>
              </w:rPr>
            </w:pPr>
            <w:r w:rsidRPr="006E490C">
              <w:rPr>
                <w:rFonts w:cs="Calibri"/>
                <w:sz w:val="18"/>
                <w:szCs w:val="18"/>
                <w:lang w:val="en-GB"/>
              </w:rPr>
              <w:t>b) Support to the implementation of management and development plans of PAs, including ZOVICs and corridors including the activities of rehabilitation by ANR in years 3, 4 and 5 (Outputs 2.2.2 and 2.3.2). Total cost $ 300,000</w:t>
            </w:r>
          </w:p>
          <w:p w14:paraId="3673B38E" w14:textId="77777777" w:rsidR="00302BFE" w:rsidRPr="006E490C" w:rsidRDefault="00302BFE" w:rsidP="00243B15">
            <w:pPr>
              <w:spacing w:before="40" w:after="40"/>
              <w:rPr>
                <w:rFonts w:cs="Calibri"/>
                <w:sz w:val="18"/>
                <w:szCs w:val="18"/>
                <w:lang w:val="en-GB"/>
              </w:rPr>
            </w:pPr>
            <w:r w:rsidRPr="006E490C">
              <w:rPr>
                <w:rFonts w:cs="Calibri"/>
                <w:sz w:val="18"/>
                <w:szCs w:val="18"/>
                <w:lang w:val="en-GB"/>
              </w:rPr>
              <w:t>c) Stationery, maps, schematics for rapid assessment workshops, in year 2 (output 2.4.1) Total cost: $ 10,000</w:t>
            </w:r>
          </w:p>
          <w:p w14:paraId="0FBC22E2" w14:textId="77777777" w:rsidR="00302BFE" w:rsidRPr="006E490C" w:rsidRDefault="00302BFE" w:rsidP="00243B15">
            <w:pPr>
              <w:spacing w:before="40" w:after="40"/>
              <w:rPr>
                <w:rFonts w:cs="Calibri"/>
                <w:sz w:val="18"/>
                <w:szCs w:val="18"/>
                <w:lang w:val="en-GB"/>
              </w:rPr>
            </w:pPr>
            <w:r w:rsidRPr="006E490C">
              <w:rPr>
                <w:rFonts w:cs="Calibri"/>
                <w:sz w:val="18"/>
                <w:szCs w:val="18"/>
                <w:lang w:val="en-GB"/>
              </w:rPr>
              <w:t xml:space="preserve">d) Reserve for the implementation of action plans for human-wildlife conflict mitigation (output 2.4.1) @ $ 10,000 per </w:t>
            </w:r>
            <w:r w:rsidR="009363D6">
              <w:rPr>
                <w:rFonts w:cs="Calibri"/>
                <w:sz w:val="18"/>
                <w:szCs w:val="18"/>
                <w:lang w:val="en-GB"/>
              </w:rPr>
              <w:t>commune</w:t>
            </w:r>
            <w:r w:rsidRPr="006E490C">
              <w:rPr>
                <w:rFonts w:cs="Calibri"/>
                <w:sz w:val="18"/>
                <w:szCs w:val="18"/>
                <w:lang w:val="en-GB"/>
              </w:rPr>
              <w:t xml:space="preserve"> in the 7 communes affected. Total cost: $ 70,000 in years 3, 4, 5.</w:t>
            </w:r>
          </w:p>
        </w:tc>
      </w:tr>
      <w:tr w:rsidR="00302BFE" w:rsidRPr="006E490C" w14:paraId="3772D868"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hideMark/>
          </w:tcPr>
          <w:p w14:paraId="0618F3C4" w14:textId="3CCA81C9" w:rsidR="00302BFE" w:rsidRPr="006E490C" w:rsidRDefault="00302BFE" w:rsidP="00243B15">
            <w:pPr>
              <w:spacing w:before="40" w:after="40"/>
              <w:jc w:val="center"/>
              <w:rPr>
                <w:rFonts w:eastAsia="Times New Roman" w:cs="Calibri"/>
                <w:i/>
                <w:iCs/>
                <w:sz w:val="18"/>
                <w:szCs w:val="18"/>
                <w:lang w:val="en-GB"/>
              </w:rPr>
            </w:pPr>
            <w:r w:rsidRPr="006E490C">
              <w:rPr>
                <w:rFonts w:eastAsia="Times New Roman" w:cs="Calibri"/>
                <w:i/>
                <w:iCs/>
                <w:sz w:val="18"/>
                <w:szCs w:val="18"/>
                <w:lang w:val="en-GB"/>
              </w:rPr>
              <w:t>2</w:t>
            </w:r>
            <w:r w:rsidR="002444C5">
              <w:rPr>
                <w:rFonts w:eastAsia="Times New Roman" w:cs="Calibri"/>
                <w:i/>
                <w:iCs/>
                <w:sz w:val="18"/>
                <w:szCs w:val="18"/>
                <w:lang w:val="en-GB"/>
              </w:rPr>
              <w:t>1</w:t>
            </w:r>
          </w:p>
        </w:tc>
        <w:tc>
          <w:tcPr>
            <w:tcW w:w="13687" w:type="dxa"/>
            <w:tcBorders>
              <w:top w:val="single" w:sz="4" w:space="0" w:color="auto"/>
              <w:left w:val="single" w:sz="4" w:space="0" w:color="auto"/>
              <w:bottom w:val="single" w:sz="4" w:space="0" w:color="auto"/>
              <w:right w:val="single" w:sz="4" w:space="0" w:color="auto"/>
            </w:tcBorders>
            <w:hideMark/>
          </w:tcPr>
          <w:p w14:paraId="064C4800" w14:textId="77777777" w:rsidR="00302BFE" w:rsidRPr="00363257" w:rsidRDefault="00302BFE" w:rsidP="00243B15">
            <w:pPr>
              <w:spacing w:before="40" w:after="40"/>
              <w:rPr>
                <w:rFonts w:cs="Calibri"/>
                <w:sz w:val="18"/>
                <w:szCs w:val="18"/>
                <w:lang w:val="en-GB"/>
              </w:rPr>
            </w:pPr>
            <w:r w:rsidRPr="00363257">
              <w:rPr>
                <w:rFonts w:cs="Calibri"/>
                <w:sz w:val="18"/>
                <w:szCs w:val="18"/>
                <w:lang w:val="en-GB"/>
              </w:rPr>
              <w:t>Office computer equipment for protected areas offices and for the institution in charge of the PONASI PAs (to cover the needs for the 3 core PAs, corridors #1 and #2 and ZOVICs) for GIS data capture and processing, and reporting (output 2.1.2), including 6 laptops @ $2,500, 12 desktops @ $1,500, 2 large screens @ $800, 18 inverters @ $300, 6 printers @ $500, 9 large capacity hard drives @ $300, 18 Microsoft software licenses @ $800, 1 ArcGIS Pro license @ $ 10,000, 2 large format printers + ink reserve @ $ 5,000, in year 1, ink reserve for all printers for 6 years, etc. (Output 2.1.2) Total budget: $ 100,000</w:t>
            </w:r>
          </w:p>
        </w:tc>
      </w:tr>
      <w:tr w:rsidR="00302BFE" w:rsidRPr="006E490C" w14:paraId="27E5152C"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hideMark/>
          </w:tcPr>
          <w:p w14:paraId="4BE4CE4B" w14:textId="564365AE" w:rsidR="00302BFE" w:rsidRPr="006E490C" w:rsidRDefault="00302BFE" w:rsidP="00243B15">
            <w:pPr>
              <w:spacing w:before="40" w:after="40"/>
              <w:jc w:val="center"/>
              <w:rPr>
                <w:rFonts w:eastAsia="Times New Roman" w:cs="Calibri"/>
                <w:i/>
                <w:iCs/>
                <w:sz w:val="18"/>
                <w:szCs w:val="18"/>
                <w:lang w:val="en-GB"/>
              </w:rPr>
            </w:pPr>
            <w:r w:rsidRPr="006E490C">
              <w:rPr>
                <w:rFonts w:eastAsia="Times New Roman" w:cs="Calibri"/>
                <w:i/>
                <w:iCs/>
                <w:sz w:val="18"/>
                <w:szCs w:val="18"/>
                <w:lang w:val="en-GB"/>
              </w:rPr>
              <w:t>2</w:t>
            </w:r>
            <w:r w:rsidR="002444C5">
              <w:rPr>
                <w:rFonts w:eastAsia="Times New Roman" w:cs="Calibri"/>
                <w:i/>
                <w:iCs/>
                <w:sz w:val="18"/>
                <w:szCs w:val="18"/>
                <w:lang w:val="en-GB"/>
              </w:rPr>
              <w:t>2</w:t>
            </w:r>
          </w:p>
        </w:tc>
        <w:tc>
          <w:tcPr>
            <w:tcW w:w="13687" w:type="dxa"/>
            <w:tcBorders>
              <w:top w:val="single" w:sz="4" w:space="0" w:color="auto"/>
              <w:left w:val="single" w:sz="4" w:space="0" w:color="auto"/>
              <w:bottom w:val="single" w:sz="4" w:space="0" w:color="auto"/>
              <w:right w:val="single" w:sz="4" w:space="0" w:color="auto"/>
            </w:tcBorders>
            <w:hideMark/>
          </w:tcPr>
          <w:p w14:paraId="23CAFC26" w14:textId="77777777" w:rsidR="00302BFE" w:rsidRPr="006E490C" w:rsidRDefault="00302BFE" w:rsidP="00243B15">
            <w:pPr>
              <w:spacing w:before="40" w:after="40"/>
              <w:rPr>
                <w:rFonts w:cs="Calibri"/>
                <w:sz w:val="18"/>
                <w:szCs w:val="18"/>
                <w:lang w:val="en-GB"/>
              </w:rPr>
            </w:pPr>
            <w:r w:rsidRPr="006E490C">
              <w:rPr>
                <w:rFonts w:cs="Calibri"/>
                <w:sz w:val="18"/>
                <w:szCs w:val="18"/>
                <w:lang w:val="en-GB"/>
              </w:rPr>
              <w:t>a) Reproduction of templates and guidelines for the development of participatory management and development plans of protected areas and village co-management agreements (output 2.2.2). Total cost: $ 10,000</w:t>
            </w:r>
          </w:p>
          <w:p w14:paraId="3D37FCAC" w14:textId="77777777" w:rsidR="00302BFE" w:rsidRPr="006E490C" w:rsidRDefault="00302BFE" w:rsidP="00243B15">
            <w:pPr>
              <w:spacing w:before="40" w:after="40"/>
              <w:rPr>
                <w:rFonts w:eastAsia="Times New Roman" w:cs="Calibri"/>
                <w:sz w:val="18"/>
                <w:szCs w:val="18"/>
                <w:lang w:val="en-GB"/>
              </w:rPr>
            </w:pPr>
            <w:r w:rsidRPr="006E490C">
              <w:rPr>
                <w:rFonts w:cs="Calibri"/>
                <w:sz w:val="18"/>
                <w:szCs w:val="18"/>
                <w:lang w:val="en-GB"/>
              </w:rPr>
              <w:t>(b) Publishing office to design / edit / illustrate / print an illustrated field guide on the flora, fauna and natural and cultural heritage of PONASI, as well as leaflets, posters and other printed products (output 2.2.4). Cost $ 40,000 (years 3 and 4</w:t>
            </w:r>
            <w:r w:rsidRPr="006E490C">
              <w:rPr>
                <w:rFonts w:eastAsia="Times New Roman" w:cs="Calibri"/>
                <w:sz w:val="18"/>
                <w:szCs w:val="18"/>
                <w:lang w:val="en-GB"/>
              </w:rPr>
              <w:t>).</w:t>
            </w:r>
          </w:p>
        </w:tc>
      </w:tr>
      <w:tr w:rsidR="00302BFE" w:rsidRPr="006E490C" w14:paraId="19942292"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hideMark/>
          </w:tcPr>
          <w:p w14:paraId="1A6A05CA" w14:textId="1652309B" w:rsidR="00302BFE" w:rsidRPr="006E490C" w:rsidRDefault="00302BFE" w:rsidP="00243B15">
            <w:pPr>
              <w:spacing w:before="40" w:after="40"/>
              <w:jc w:val="center"/>
              <w:rPr>
                <w:rFonts w:eastAsia="Times New Roman" w:cs="Calibri"/>
                <w:i/>
                <w:iCs/>
                <w:sz w:val="18"/>
                <w:szCs w:val="18"/>
                <w:lang w:val="en-GB"/>
              </w:rPr>
            </w:pPr>
            <w:r w:rsidRPr="006E490C">
              <w:rPr>
                <w:rFonts w:eastAsia="Times New Roman" w:cs="Calibri"/>
                <w:i/>
                <w:iCs/>
                <w:sz w:val="18"/>
                <w:szCs w:val="18"/>
                <w:lang w:val="en-GB"/>
              </w:rPr>
              <w:t>2</w:t>
            </w:r>
            <w:r w:rsidR="002444C5">
              <w:rPr>
                <w:rFonts w:eastAsia="Times New Roman" w:cs="Calibri"/>
                <w:i/>
                <w:iCs/>
                <w:sz w:val="18"/>
                <w:szCs w:val="18"/>
                <w:lang w:val="en-GB"/>
              </w:rPr>
              <w:t>3</w:t>
            </w:r>
          </w:p>
        </w:tc>
        <w:tc>
          <w:tcPr>
            <w:tcW w:w="13687" w:type="dxa"/>
            <w:tcBorders>
              <w:top w:val="single" w:sz="4" w:space="0" w:color="auto"/>
              <w:left w:val="single" w:sz="4" w:space="0" w:color="auto"/>
              <w:bottom w:val="single" w:sz="4" w:space="0" w:color="auto"/>
              <w:right w:val="single" w:sz="4" w:space="0" w:color="auto"/>
            </w:tcBorders>
            <w:hideMark/>
          </w:tcPr>
          <w:p w14:paraId="706CD0D3" w14:textId="77777777" w:rsidR="00302BFE" w:rsidRPr="006E490C" w:rsidRDefault="00302BFE" w:rsidP="00243B15">
            <w:pPr>
              <w:spacing w:before="40" w:after="40"/>
              <w:rPr>
                <w:rFonts w:cs="Calibri"/>
                <w:sz w:val="18"/>
                <w:szCs w:val="18"/>
                <w:lang w:val="en-GB"/>
              </w:rPr>
            </w:pPr>
            <w:r w:rsidRPr="006E490C">
              <w:rPr>
                <w:rFonts w:cs="Calibri"/>
                <w:color w:val="000000"/>
                <w:sz w:val="18"/>
                <w:szCs w:val="18"/>
                <w:lang w:val="en-GB"/>
              </w:rPr>
              <w:t>Incidental costs related to strengthening the PONASI protected area system, including a $4,000 provision in year 1 for costs related to the establishment of baseline values for the outcome indicators under component 2. Total cost: $ 127,000 in Years 1-6 (for all outputs in the component).</w:t>
            </w:r>
          </w:p>
        </w:tc>
      </w:tr>
      <w:tr w:rsidR="00302BFE" w:rsidRPr="006E490C" w14:paraId="0A7A39FB"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hideMark/>
          </w:tcPr>
          <w:p w14:paraId="62FEEE83" w14:textId="51382FDD" w:rsidR="00302BFE" w:rsidRPr="006E490C" w:rsidRDefault="00302BFE" w:rsidP="00243B15">
            <w:pPr>
              <w:spacing w:before="40" w:after="40"/>
              <w:jc w:val="center"/>
              <w:rPr>
                <w:rFonts w:eastAsia="Times New Roman" w:cs="Calibri"/>
                <w:i/>
                <w:iCs/>
                <w:sz w:val="18"/>
                <w:szCs w:val="18"/>
                <w:lang w:val="en-GB"/>
              </w:rPr>
            </w:pPr>
            <w:r w:rsidRPr="006E490C">
              <w:rPr>
                <w:rFonts w:eastAsia="Times New Roman" w:cs="Calibri"/>
                <w:i/>
                <w:iCs/>
                <w:sz w:val="18"/>
                <w:szCs w:val="18"/>
                <w:lang w:val="en-GB"/>
              </w:rPr>
              <w:t>2</w:t>
            </w:r>
            <w:r w:rsidR="002444C5">
              <w:rPr>
                <w:rFonts w:eastAsia="Times New Roman" w:cs="Calibri"/>
                <w:i/>
                <w:iCs/>
                <w:sz w:val="18"/>
                <w:szCs w:val="18"/>
                <w:lang w:val="en-GB"/>
              </w:rPr>
              <w:t>4</w:t>
            </w:r>
          </w:p>
        </w:tc>
        <w:tc>
          <w:tcPr>
            <w:tcW w:w="13687" w:type="dxa"/>
            <w:tcBorders>
              <w:top w:val="single" w:sz="4" w:space="0" w:color="auto"/>
              <w:left w:val="single" w:sz="4" w:space="0" w:color="auto"/>
              <w:bottom w:val="single" w:sz="4" w:space="0" w:color="auto"/>
              <w:right w:val="single" w:sz="4" w:space="0" w:color="auto"/>
            </w:tcBorders>
            <w:hideMark/>
          </w:tcPr>
          <w:p w14:paraId="69110F9F" w14:textId="77777777" w:rsidR="00302BFE" w:rsidRPr="006E490C" w:rsidRDefault="00302BFE" w:rsidP="00243B15">
            <w:pPr>
              <w:spacing w:before="40" w:after="40"/>
              <w:rPr>
                <w:rFonts w:eastAsia="Times New Roman" w:cs="Calibri"/>
                <w:sz w:val="18"/>
                <w:szCs w:val="18"/>
                <w:lang w:val="en-GB"/>
              </w:rPr>
            </w:pPr>
            <w:r w:rsidRPr="006E490C">
              <w:rPr>
                <w:rFonts w:eastAsia="Times New Roman" w:cs="Calibri"/>
                <w:sz w:val="18"/>
                <w:szCs w:val="18"/>
                <w:lang w:val="en-GB"/>
              </w:rPr>
              <w:t>a) Workshop fees for the review of the appropriate institutional structure for the management of PAs of the PONASI complex (output 2.1.1) during the first year (with approximately 30 participants in Ouagadougou). Total cost: $ 4,000</w:t>
            </w:r>
          </w:p>
          <w:p w14:paraId="4E914684" w14:textId="2B6D0321" w:rsidR="00302BFE" w:rsidRPr="00741FCF" w:rsidRDefault="00302BFE" w:rsidP="00243B15">
            <w:pPr>
              <w:spacing w:before="40" w:after="40"/>
              <w:rPr>
                <w:rFonts w:eastAsia="Times New Roman" w:cs="Calibri"/>
                <w:sz w:val="18"/>
                <w:szCs w:val="18"/>
                <w:lang w:val="en-GB"/>
              </w:rPr>
            </w:pPr>
            <w:r w:rsidRPr="00741FCF">
              <w:rPr>
                <w:rFonts w:eastAsia="Times New Roman" w:cs="Calibri"/>
                <w:sz w:val="18"/>
                <w:szCs w:val="18"/>
                <w:lang w:val="en-GB"/>
              </w:rPr>
              <w:lastRenderedPageBreak/>
              <w:t xml:space="preserve">b) Workshop costs for the validation of the participatory management and development template plan for protected areas and the village co-management agreement template (1 workshop year 2 - output 2.2.2) and to </w:t>
            </w:r>
            <w:r w:rsidR="00395329" w:rsidRPr="00741FCF">
              <w:rPr>
                <w:rFonts w:eastAsia="Times New Roman" w:cs="Calibri"/>
                <w:sz w:val="18"/>
                <w:szCs w:val="18"/>
                <w:lang w:val="en-GB"/>
              </w:rPr>
              <w:t>review</w:t>
            </w:r>
            <w:r w:rsidRPr="00741FCF">
              <w:rPr>
                <w:rFonts w:eastAsia="Times New Roman" w:cs="Calibri"/>
                <w:sz w:val="18"/>
                <w:szCs w:val="18"/>
                <w:lang w:val="en-GB"/>
              </w:rPr>
              <w:t xml:space="preserve"> </w:t>
            </w:r>
            <w:r w:rsidR="00395329" w:rsidRPr="00741FCF">
              <w:rPr>
                <w:rFonts w:eastAsia="Times New Roman" w:cs="Calibri"/>
                <w:sz w:val="18"/>
                <w:szCs w:val="18"/>
                <w:lang w:val="en-GB"/>
              </w:rPr>
              <w:t xml:space="preserve">the impacts of </w:t>
            </w:r>
            <w:r w:rsidRPr="00741FCF">
              <w:rPr>
                <w:rFonts w:eastAsia="Times New Roman" w:cs="Calibri"/>
                <w:sz w:val="18"/>
                <w:szCs w:val="18"/>
                <w:lang w:val="en-GB"/>
              </w:rPr>
              <w:t xml:space="preserve">hunting </w:t>
            </w:r>
            <w:r w:rsidR="00395329" w:rsidRPr="00741FCF">
              <w:rPr>
                <w:rFonts w:eastAsia="Times New Roman" w:cs="Calibri"/>
                <w:sz w:val="18"/>
                <w:szCs w:val="18"/>
                <w:lang w:val="en-GB"/>
              </w:rPr>
              <w:t>in</w:t>
            </w:r>
            <w:r w:rsidRPr="00741FCF">
              <w:rPr>
                <w:rFonts w:eastAsia="Times New Roman" w:cs="Calibri"/>
                <w:sz w:val="18"/>
                <w:szCs w:val="18"/>
                <w:lang w:val="en-GB"/>
              </w:rPr>
              <w:t xml:space="preserve"> the </w:t>
            </w:r>
            <w:r w:rsidR="00395329" w:rsidRPr="00741FCF">
              <w:rPr>
                <w:rFonts w:eastAsia="Times New Roman" w:cs="Calibri"/>
                <w:sz w:val="18"/>
                <w:szCs w:val="18"/>
                <w:lang w:val="en-GB"/>
              </w:rPr>
              <w:t>NGR</w:t>
            </w:r>
            <w:r w:rsidRPr="00741FCF">
              <w:rPr>
                <w:rFonts w:eastAsia="Times New Roman" w:cs="Calibri"/>
                <w:sz w:val="18"/>
                <w:szCs w:val="18"/>
                <w:lang w:val="en-GB"/>
              </w:rPr>
              <w:t xml:space="preserve"> and the Sissili </w:t>
            </w:r>
            <w:r w:rsidR="00395329" w:rsidRPr="00741FCF">
              <w:rPr>
                <w:rFonts w:eastAsia="Times New Roman" w:cs="Calibri"/>
                <w:sz w:val="18"/>
                <w:szCs w:val="18"/>
                <w:lang w:val="en-GB"/>
              </w:rPr>
              <w:t>CF</w:t>
            </w:r>
            <w:r w:rsidRPr="00741FCF">
              <w:rPr>
                <w:rFonts w:eastAsia="Times New Roman" w:cs="Calibri"/>
                <w:sz w:val="18"/>
                <w:szCs w:val="18"/>
                <w:lang w:val="en-GB"/>
              </w:rPr>
              <w:t xml:space="preserve"> </w:t>
            </w:r>
            <w:r w:rsidR="00395329" w:rsidRPr="00741FCF">
              <w:rPr>
                <w:rFonts w:eastAsia="Times New Roman" w:cs="Calibri"/>
                <w:sz w:val="18"/>
                <w:szCs w:val="18"/>
                <w:lang w:val="en-GB"/>
              </w:rPr>
              <w:t xml:space="preserve">and in the ZOVICs in terms of biodiversity and socio-economic costs and benefits for all stakeholders </w:t>
            </w:r>
            <w:r w:rsidRPr="00741FCF">
              <w:rPr>
                <w:rFonts w:eastAsia="Times New Roman" w:cs="Calibri"/>
                <w:sz w:val="18"/>
                <w:szCs w:val="18"/>
                <w:lang w:val="en-GB"/>
              </w:rPr>
              <w:t>(</w:t>
            </w:r>
            <w:r w:rsidR="00582E80" w:rsidRPr="00741FCF">
              <w:rPr>
                <w:rFonts w:eastAsia="Times New Roman" w:cs="Calibri"/>
                <w:sz w:val="18"/>
                <w:szCs w:val="18"/>
                <w:lang w:val="en-GB"/>
              </w:rPr>
              <w:t>2</w:t>
            </w:r>
            <w:r w:rsidRPr="00741FCF">
              <w:rPr>
                <w:rFonts w:eastAsia="Times New Roman" w:cs="Calibri"/>
                <w:sz w:val="18"/>
                <w:szCs w:val="18"/>
                <w:lang w:val="en-GB"/>
              </w:rPr>
              <w:t xml:space="preserve"> workshop</w:t>
            </w:r>
            <w:r w:rsidR="00582E80" w:rsidRPr="00741FCF">
              <w:rPr>
                <w:rFonts w:eastAsia="Times New Roman" w:cs="Calibri"/>
                <w:sz w:val="18"/>
                <w:szCs w:val="18"/>
                <w:lang w:val="en-GB"/>
              </w:rPr>
              <w:t>s in</w:t>
            </w:r>
            <w:r w:rsidRPr="00741FCF">
              <w:rPr>
                <w:rFonts w:eastAsia="Times New Roman" w:cs="Calibri"/>
                <w:sz w:val="18"/>
                <w:szCs w:val="18"/>
                <w:lang w:val="en-GB"/>
              </w:rPr>
              <w:t xml:space="preserve"> year</w:t>
            </w:r>
            <w:r w:rsidR="00582E80" w:rsidRPr="00741FCF">
              <w:rPr>
                <w:rFonts w:eastAsia="Times New Roman" w:cs="Calibri"/>
                <w:sz w:val="18"/>
                <w:szCs w:val="18"/>
                <w:lang w:val="en-GB"/>
              </w:rPr>
              <w:t>s</w:t>
            </w:r>
            <w:r w:rsidRPr="00741FCF">
              <w:rPr>
                <w:rFonts w:eastAsia="Times New Roman" w:cs="Calibri"/>
                <w:sz w:val="18"/>
                <w:szCs w:val="18"/>
                <w:lang w:val="en-GB"/>
              </w:rPr>
              <w:t xml:space="preserve"> </w:t>
            </w:r>
            <w:r w:rsidR="00395329" w:rsidRPr="00741FCF">
              <w:rPr>
                <w:rFonts w:eastAsia="Times New Roman" w:cs="Calibri"/>
                <w:sz w:val="18"/>
                <w:szCs w:val="18"/>
                <w:lang w:val="en-GB"/>
              </w:rPr>
              <w:t>1</w:t>
            </w:r>
            <w:r w:rsidR="00582E80" w:rsidRPr="00741FCF">
              <w:rPr>
                <w:rFonts w:eastAsia="Times New Roman" w:cs="Calibri"/>
                <w:sz w:val="18"/>
                <w:szCs w:val="18"/>
                <w:lang w:val="en-GB"/>
              </w:rPr>
              <w:t xml:space="preserve"> and 2</w:t>
            </w:r>
            <w:r w:rsidRPr="00741FCF">
              <w:rPr>
                <w:rFonts w:eastAsia="Times New Roman" w:cs="Calibri"/>
                <w:sz w:val="18"/>
                <w:szCs w:val="18"/>
                <w:lang w:val="en-GB"/>
              </w:rPr>
              <w:t xml:space="preserve"> - output 2.2.2). Total cost: $ </w:t>
            </w:r>
            <w:r w:rsidR="00582E80" w:rsidRPr="00741FCF">
              <w:rPr>
                <w:rFonts w:eastAsia="Times New Roman" w:cs="Calibri"/>
                <w:sz w:val="18"/>
                <w:szCs w:val="18"/>
                <w:lang w:val="en-GB"/>
              </w:rPr>
              <w:t>20</w:t>
            </w:r>
            <w:r w:rsidRPr="00741FCF">
              <w:rPr>
                <w:rFonts w:eastAsia="Times New Roman" w:cs="Calibri"/>
                <w:sz w:val="18"/>
                <w:szCs w:val="18"/>
                <w:lang w:val="en-GB"/>
              </w:rPr>
              <w:t>,000</w:t>
            </w:r>
          </w:p>
          <w:p w14:paraId="364B042E" w14:textId="5FF5524B" w:rsidR="00302BFE" w:rsidRPr="00741FCF" w:rsidRDefault="00302BFE" w:rsidP="00243B15">
            <w:pPr>
              <w:spacing w:before="40" w:after="40"/>
              <w:rPr>
                <w:rFonts w:eastAsia="Times New Roman" w:cs="Calibri"/>
                <w:sz w:val="18"/>
                <w:szCs w:val="18"/>
                <w:lang w:val="en-GB"/>
              </w:rPr>
            </w:pPr>
            <w:r w:rsidRPr="00741FCF">
              <w:rPr>
                <w:rFonts w:eastAsia="Times New Roman" w:cs="Calibri"/>
                <w:sz w:val="18"/>
                <w:szCs w:val="18"/>
                <w:lang w:val="en-GB"/>
              </w:rPr>
              <w:t xml:space="preserve">c) Annual workshop fees for the review and validation of hunting quotas in protected areas, including ZOVICs @ $ 5,000 / workshop, starting in year </w:t>
            </w:r>
            <w:r w:rsidR="00582E80" w:rsidRPr="00741FCF">
              <w:rPr>
                <w:rFonts w:eastAsia="Times New Roman" w:cs="Calibri"/>
                <w:sz w:val="18"/>
                <w:szCs w:val="18"/>
                <w:lang w:val="en-GB"/>
              </w:rPr>
              <w:t>4</w:t>
            </w:r>
            <w:r w:rsidRPr="00741FCF">
              <w:rPr>
                <w:rFonts w:eastAsia="Times New Roman" w:cs="Calibri"/>
                <w:sz w:val="18"/>
                <w:szCs w:val="18"/>
                <w:lang w:val="en-GB"/>
              </w:rPr>
              <w:t xml:space="preserve"> (output 2.2.2), including travels and accommodation of participants. Total cost: $ </w:t>
            </w:r>
            <w:r w:rsidR="00582E80" w:rsidRPr="00741FCF">
              <w:rPr>
                <w:rFonts w:eastAsia="Times New Roman" w:cs="Calibri"/>
                <w:sz w:val="18"/>
                <w:szCs w:val="18"/>
                <w:lang w:val="en-GB"/>
              </w:rPr>
              <w:t>15</w:t>
            </w:r>
            <w:r w:rsidRPr="00741FCF">
              <w:rPr>
                <w:rFonts w:eastAsia="Times New Roman" w:cs="Calibri"/>
                <w:sz w:val="18"/>
                <w:szCs w:val="18"/>
                <w:lang w:val="en-GB"/>
              </w:rPr>
              <w:t>,000</w:t>
            </w:r>
          </w:p>
          <w:p w14:paraId="76EC2476" w14:textId="1122C7D4" w:rsidR="00302BFE" w:rsidRPr="00741FCF" w:rsidRDefault="00302BFE" w:rsidP="00243B15">
            <w:pPr>
              <w:spacing w:before="40" w:after="40"/>
              <w:rPr>
                <w:rFonts w:eastAsia="Times New Roman" w:cs="Calibri"/>
                <w:sz w:val="18"/>
                <w:szCs w:val="18"/>
                <w:lang w:val="en-GB"/>
              </w:rPr>
            </w:pPr>
            <w:r w:rsidRPr="00741FCF">
              <w:rPr>
                <w:rFonts w:eastAsia="Times New Roman" w:cs="Calibri"/>
                <w:sz w:val="18"/>
                <w:szCs w:val="18"/>
                <w:lang w:val="en-GB"/>
              </w:rPr>
              <w:t>d) Reserve for a series of theoretical and practical training workshops for the institutions in charge of PAs, and particularly the forest guards and eco-guards for the tasks carried out in the field, including the trainings offered by international experts on: i) sustainable financing of PAs on financial planning, business plan development and mobilization of innovative funding for a PA system; (ii) anti-poaching and enforcement of PA regulations, national and regional LAB planning, and all practical aspects of the LAB; iii) ecological monitoring for the planning and implementation of ecological monitoring plans including the theoretical and technical aspects of field surveys for major components of flora and fauna, the collection and input of georeferenced data; iv) in human-wildlife conflicts on the prevention and management of human-wildlife conflicts following the SAFE Systems approach. These trainings will be offered to as wide an audience as possible, in Pô or Ouagadougou, with the involvement of national and possibly international environmental NGOs (output 2.2.4), including travel and accommodation for participants as needed for several days of training. Total cost: $ 150,000 in years</w:t>
            </w:r>
            <w:r w:rsidR="00395329" w:rsidRPr="00741FCF">
              <w:rPr>
                <w:rFonts w:eastAsia="Times New Roman" w:cs="Calibri"/>
                <w:sz w:val="18"/>
                <w:szCs w:val="18"/>
                <w:lang w:val="en-GB"/>
              </w:rPr>
              <w:t xml:space="preserve"> 2,</w:t>
            </w:r>
            <w:r w:rsidRPr="00741FCF">
              <w:rPr>
                <w:rFonts w:eastAsia="Times New Roman" w:cs="Calibri"/>
                <w:sz w:val="18"/>
                <w:szCs w:val="18"/>
                <w:lang w:val="en-GB"/>
              </w:rPr>
              <w:t xml:space="preserve"> 3, </w:t>
            </w:r>
            <w:r w:rsidR="00395329" w:rsidRPr="00741FCF">
              <w:rPr>
                <w:rFonts w:eastAsia="Times New Roman" w:cs="Calibri"/>
                <w:sz w:val="18"/>
                <w:szCs w:val="18"/>
                <w:lang w:val="en-GB"/>
              </w:rPr>
              <w:t xml:space="preserve">and </w:t>
            </w:r>
            <w:r w:rsidRPr="00741FCF">
              <w:rPr>
                <w:rFonts w:eastAsia="Times New Roman" w:cs="Calibri"/>
                <w:sz w:val="18"/>
                <w:szCs w:val="18"/>
                <w:lang w:val="en-GB"/>
              </w:rPr>
              <w:t>4.</w:t>
            </w:r>
          </w:p>
          <w:p w14:paraId="5C3FB535" w14:textId="77777777" w:rsidR="00302BFE" w:rsidRPr="00741FCF" w:rsidRDefault="00302BFE" w:rsidP="00243B15">
            <w:pPr>
              <w:spacing w:before="40" w:after="40"/>
              <w:rPr>
                <w:rFonts w:eastAsia="Times New Roman" w:cs="Calibri"/>
                <w:sz w:val="18"/>
                <w:szCs w:val="18"/>
                <w:lang w:val="en-GB"/>
              </w:rPr>
            </w:pPr>
            <w:r w:rsidRPr="00741FCF">
              <w:rPr>
                <w:rFonts w:eastAsia="Times New Roman" w:cs="Calibri"/>
                <w:sz w:val="18"/>
                <w:szCs w:val="18"/>
                <w:lang w:val="en-GB"/>
              </w:rPr>
              <w:t>(e) Technical workshop for the drafting of a human-wildlife conflict mitigation strategy and action plan (limited number of participants) for 5 days in year 4 (Output 2.4). Total cost: $10,000</w:t>
            </w:r>
          </w:p>
          <w:p w14:paraId="1317934A" w14:textId="3EA260E2" w:rsidR="00302BFE" w:rsidRPr="006E490C" w:rsidRDefault="00302BFE" w:rsidP="00243B15">
            <w:pPr>
              <w:spacing w:before="40" w:after="40"/>
              <w:rPr>
                <w:rFonts w:eastAsia="Times New Roman" w:cs="Calibri"/>
                <w:sz w:val="18"/>
                <w:szCs w:val="18"/>
                <w:lang w:val="en-GB"/>
              </w:rPr>
            </w:pPr>
            <w:r w:rsidRPr="00741FCF">
              <w:rPr>
                <w:rFonts w:eastAsia="Times New Roman" w:cs="Calibri"/>
                <w:sz w:val="18"/>
                <w:szCs w:val="18"/>
                <w:lang w:val="en-GB"/>
              </w:rPr>
              <w:t>f) Costs for the holding of 7 rapid assessment workshops (2 days) grouping villages of a same commune affected by Human wildlife conflicts, including traveling expenses of the participants to encourage participation, during the 2</w:t>
            </w:r>
            <w:r w:rsidRPr="00741FCF">
              <w:rPr>
                <w:rFonts w:eastAsia="Times New Roman" w:cs="Calibri"/>
                <w:sz w:val="18"/>
                <w:szCs w:val="18"/>
                <w:vertAlign w:val="superscript"/>
                <w:lang w:val="en-GB"/>
              </w:rPr>
              <w:t>nd</w:t>
            </w:r>
            <w:r w:rsidRPr="00741FCF">
              <w:rPr>
                <w:rFonts w:eastAsia="Times New Roman" w:cs="Calibri"/>
                <w:sz w:val="18"/>
                <w:szCs w:val="18"/>
                <w:lang w:val="en-GB"/>
              </w:rPr>
              <w:t xml:space="preserve"> year (output 2.4.1). Total cost: $ 35,000</w:t>
            </w:r>
            <w:r w:rsidR="00741FCF">
              <w:rPr>
                <w:rFonts w:eastAsia="Times New Roman" w:cs="Calibri"/>
                <w:sz w:val="18"/>
                <w:szCs w:val="18"/>
                <w:lang w:val="en-GB"/>
              </w:rPr>
              <w:t>.</w:t>
            </w:r>
          </w:p>
        </w:tc>
      </w:tr>
      <w:tr w:rsidR="00302BFE" w:rsidRPr="006E490C" w14:paraId="7B3C19B6"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tcPr>
          <w:p w14:paraId="0E0EF93A" w14:textId="1D61E7F0" w:rsidR="00302BFE" w:rsidRPr="006E490C" w:rsidRDefault="00302BFE" w:rsidP="00243B15">
            <w:pPr>
              <w:spacing w:before="40" w:after="40"/>
              <w:jc w:val="center"/>
              <w:rPr>
                <w:rFonts w:eastAsia="Times New Roman" w:cs="Calibri"/>
                <w:i/>
                <w:iCs/>
                <w:sz w:val="18"/>
                <w:szCs w:val="18"/>
                <w:lang w:val="en-GB"/>
              </w:rPr>
            </w:pPr>
            <w:r w:rsidRPr="006E490C">
              <w:rPr>
                <w:rFonts w:eastAsia="Times New Roman" w:cs="Calibri"/>
                <w:i/>
                <w:iCs/>
                <w:sz w:val="18"/>
                <w:szCs w:val="18"/>
                <w:lang w:val="en-GB"/>
              </w:rPr>
              <w:lastRenderedPageBreak/>
              <w:t>2</w:t>
            </w:r>
            <w:r w:rsidR="002444C5">
              <w:rPr>
                <w:rFonts w:eastAsia="Times New Roman" w:cs="Calibri"/>
                <w:i/>
                <w:iCs/>
                <w:sz w:val="18"/>
                <w:szCs w:val="18"/>
                <w:lang w:val="en-GB"/>
              </w:rPr>
              <w:t>5</w:t>
            </w:r>
          </w:p>
        </w:tc>
        <w:tc>
          <w:tcPr>
            <w:tcW w:w="13687" w:type="dxa"/>
            <w:tcBorders>
              <w:top w:val="single" w:sz="4" w:space="0" w:color="auto"/>
              <w:left w:val="single" w:sz="4" w:space="0" w:color="auto"/>
              <w:bottom w:val="single" w:sz="4" w:space="0" w:color="auto"/>
              <w:right w:val="single" w:sz="4" w:space="0" w:color="auto"/>
            </w:tcBorders>
          </w:tcPr>
          <w:p w14:paraId="6F7BCB88" w14:textId="77777777" w:rsidR="00302BFE" w:rsidRPr="006E490C" w:rsidRDefault="00302BFE" w:rsidP="00243B15">
            <w:pPr>
              <w:spacing w:before="40" w:after="40"/>
              <w:rPr>
                <w:rFonts w:eastAsia="Times New Roman" w:cs="Calibri"/>
                <w:sz w:val="18"/>
                <w:szCs w:val="18"/>
                <w:lang w:val="en-GB"/>
              </w:rPr>
            </w:pPr>
            <w:r w:rsidRPr="006E490C">
              <w:rPr>
                <w:rFonts w:cs="Calibri"/>
                <w:sz w:val="18"/>
                <w:szCs w:val="18"/>
                <w:lang w:val="en-CA"/>
              </w:rPr>
              <w:t>Mission expenses / periodic monitoring and technical support for component 2 activities by UNDP staff @ $2,000 / year. Total cost $12,000.</w:t>
            </w:r>
          </w:p>
        </w:tc>
      </w:tr>
      <w:tr w:rsidR="00302BFE" w:rsidRPr="006E490C" w14:paraId="274435C1"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tcPr>
          <w:p w14:paraId="4BB35E51" w14:textId="6B3F40F9" w:rsidR="00302BFE" w:rsidRPr="006E490C" w:rsidRDefault="00302BFE" w:rsidP="00243B15">
            <w:pPr>
              <w:spacing w:before="40" w:after="40"/>
              <w:jc w:val="center"/>
              <w:rPr>
                <w:rFonts w:eastAsia="Times New Roman" w:cs="Calibri"/>
                <w:i/>
                <w:iCs/>
                <w:sz w:val="18"/>
                <w:szCs w:val="18"/>
                <w:lang w:val="en-GB"/>
              </w:rPr>
            </w:pPr>
            <w:r w:rsidRPr="006E490C">
              <w:rPr>
                <w:rFonts w:eastAsia="Times New Roman" w:cs="Calibri"/>
                <w:i/>
                <w:iCs/>
                <w:sz w:val="18"/>
                <w:szCs w:val="18"/>
                <w:lang w:val="en-GB"/>
              </w:rPr>
              <w:t>2</w:t>
            </w:r>
            <w:r w:rsidR="002444C5">
              <w:rPr>
                <w:rFonts w:eastAsia="Times New Roman" w:cs="Calibri"/>
                <w:i/>
                <w:iCs/>
                <w:sz w:val="18"/>
                <w:szCs w:val="18"/>
                <w:lang w:val="en-GB"/>
              </w:rPr>
              <w:t>6</w:t>
            </w:r>
          </w:p>
        </w:tc>
        <w:tc>
          <w:tcPr>
            <w:tcW w:w="13687" w:type="dxa"/>
            <w:tcBorders>
              <w:top w:val="single" w:sz="4" w:space="0" w:color="auto"/>
              <w:left w:val="single" w:sz="4" w:space="0" w:color="auto"/>
              <w:bottom w:val="single" w:sz="4" w:space="0" w:color="auto"/>
              <w:right w:val="single" w:sz="4" w:space="0" w:color="auto"/>
            </w:tcBorders>
          </w:tcPr>
          <w:p w14:paraId="3B36255D" w14:textId="77777777" w:rsidR="00302BFE" w:rsidRPr="006E490C" w:rsidRDefault="00302BFE" w:rsidP="00243B15">
            <w:pPr>
              <w:spacing w:before="40" w:after="40"/>
              <w:rPr>
                <w:rFonts w:eastAsia="Times New Roman" w:cs="Calibri"/>
                <w:sz w:val="18"/>
                <w:szCs w:val="18"/>
                <w:lang w:val="en-GB"/>
              </w:rPr>
            </w:pPr>
            <w:r w:rsidRPr="006E490C">
              <w:rPr>
                <w:rFonts w:eastAsia="Times New Roman" w:cs="Calibri"/>
                <w:sz w:val="18"/>
                <w:szCs w:val="18"/>
                <w:lang w:val="en-GB"/>
              </w:rPr>
              <w:t>Budget reserve for possible fee adjustments based on the recruitment method for contracts under component 2 @ $ $7,500/year for years 2 to 6. Total amount $ 37,500</w:t>
            </w:r>
          </w:p>
        </w:tc>
      </w:tr>
      <w:tr w:rsidR="00302BFE" w:rsidRPr="006E490C" w14:paraId="63CF038B"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tcPr>
          <w:p w14:paraId="7ECF0633" w14:textId="1A9B3C21" w:rsidR="00302BFE" w:rsidRPr="006E490C" w:rsidRDefault="00302BFE" w:rsidP="00243B15">
            <w:pPr>
              <w:spacing w:before="40" w:after="40"/>
              <w:jc w:val="center"/>
              <w:rPr>
                <w:rFonts w:eastAsia="Times New Roman" w:cs="Calibri"/>
                <w:i/>
                <w:iCs/>
                <w:sz w:val="18"/>
                <w:szCs w:val="18"/>
                <w:lang w:val="en-GB"/>
              </w:rPr>
            </w:pPr>
            <w:r w:rsidRPr="006E490C">
              <w:rPr>
                <w:rFonts w:eastAsia="Times New Roman" w:cs="Calibri"/>
                <w:i/>
                <w:iCs/>
                <w:sz w:val="18"/>
                <w:szCs w:val="18"/>
                <w:lang w:val="en-GB"/>
              </w:rPr>
              <w:t>2</w:t>
            </w:r>
            <w:r w:rsidR="002444C5">
              <w:rPr>
                <w:rFonts w:eastAsia="Times New Roman" w:cs="Calibri"/>
                <w:i/>
                <w:iCs/>
                <w:sz w:val="18"/>
                <w:szCs w:val="18"/>
                <w:lang w:val="en-GB"/>
              </w:rPr>
              <w:t>7</w:t>
            </w:r>
          </w:p>
        </w:tc>
        <w:tc>
          <w:tcPr>
            <w:tcW w:w="13687" w:type="dxa"/>
            <w:tcBorders>
              <w:top w:val="single" w:sz="4" w:space="0" w:color="auto"/>
              <w:left w:val="single" w:sz="4" w:space="0" w:color="auto"/>
              <w:bottom w:val="single" w:sz="4" w:space="0" w:color="auto"/>
              <w:right w:val="single" w:sz="4" w:space="0" w:color="auto"/>
            </w:tcBorders>
          </w:tcPr>
          <w:p w14:paraId="672DD19B" w14:textId="77777777" w:rsidR="00302BFE" w:rsidRPr="006E490C" w:rsidRDefault="00302BFE" w:rsidP="00243B15">
            <w:pPr>
              <w:spacing w:before="40" w:after="40"/>
              <w:rPr>
                <w:rFonts w:eastAsia="Times New Roman" w:cs="Calibri"/>
                <w:sz w:val="18"/>
                <w:szCs w:val="18"/>
                <w:lang w:val="en-GB"/>
              </w:rPr>
            </w:pPr>
            <w:r w:rsidRPr="006E490C">
              <w:rPr>
                <w:rFonts w:cs="Calibri"/>
                <w:sz w:val="18"/>
                <w:szCs w:val="18"/>
                <w:lang w:val="en-CA"/>
              </w:rPr>
              <w:t>Budgetary reserve for possible contribution to the rental of the office of the PCU and to the acquisition of equipment and furniture, necessary for the conduct of the interventions under component 2 @ 3,000 / year for the years 1 to 6. Total cost: $ 18,000.</w:t>
            </w:r>
          </w:p>
        </w:tc>
      </w:tr>
      <w:tr w:rsidR="00302BFE" w:rsidRPr="006E490C" w14:paraId="695CBE35" w14:textId="77777777" w:rsidTr="004F4EA2">
        <w:trPr>
          <w:jc w:val="center"/>
        </w:trPr>
        <w:tc>
          <w:tcPr>
            <w:tcW w:w="14390" w:type="dxa"/>
            <w:gridSpan w:val="2"/>
            <w:tcBorders>
              <w:top w:val="single" w:sz="4" w:space="0" w:color="auto"/>
              <w:left w:val="single" w:sz="4" w:space="0" w:color="auto"/>
              <w:bottom w:val="single" w:sz="4" w:space="0" w:color="auto"/>
              <w:right w:val="single" w:sz="4" w:space="0" w:color="auto"/>
            </w:tcBorders>
            <w:shd w:val="clear" w:color="auto" w:fill="DEEAF6"/>
            <w:hideMark/>
          </w:tcPr>
          <w:p w14:paraId="17C7DC57" w14:textId="77777777" w:rsidR="00302BFE" w:rsidRPr="006E490C" w:rsidRDefault="00302BFE" w:rsidP="00243B15">
            <w:pPr>
              <w:spacing w:before="40" w:after="40"/>
              <w:rPr>
                <w:rFonts w:eastAsia="Times New Roman" w:cs="Calibri"/>
                <w:b/>
                <w:sz w:val="18"/>
                <w:szCs w:val="18"/>
                <w:lang w:val="en-GB"/>
              </w:rPr>
            </w:pPr>
            <w:r w:rsidRPr="006E490C">
              <w:rPr>
                <w:b/>
                <w:sz w:val="18"/>
                <w:szCs w:val="18"/>
                <w:lang w:val="en-GB"/>
              </w:rPr>
              <w:t>Component 3. Sustainable land management and livelihood diversification</w:t>
            </w:r>
          </w:p>
        </w:tc>
      </w:tr>
      <w:tr w:rsidR="00302BFE" w:rsidRPr="006E490C" w14:paraId="5F4F09E6"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hideMark/>
          </w:tcPr>
          <w:p w14:paraId="25F9F7D5" w14:textId="520B75B6" w:rsidR="00302BFE" w:rsidRPr="006E490C" w:rsidRDefault="00302BFE" w:rsidP="00243B15">
            <w:pPr>
              <w:spacing w:before="40" w:after="40"/>
              <w:jc w:val="center"/>
              <w:rPr>
                <w:rFonts w:eastAsia="Times New Roman" w:cs="Calibri"/>
                <w:i/>
                <w:iCs/>
                <w:sz w:val="18"/>
                <w:szCs w:val="18"/>
                <w:lang w:val="en-GB"/>
              </w:rPr>
            </w:pPr>
            <w:r w:rsidRPr="006E490C">
              <w:rPr>
                <w:rFonts w:eastAsia="Times New Roman" w:cs="Calibri"/>
                <w:i/>
                <w:iCs/>
                <w:sz w:val="18"/>
                <w:szCs w:val="18"/>
                <w:lang w:val="en-GB"/>
              </w:rPr>
              <w:t>2</w:t>
            </w:r>
            <w:r w:rsidR="002444C5">
              <w:rPr>
                <w:rFonts w:eastAsia="Times New Roman" w:cs="Calibri"/>
                <w:i/>
                <w:iCs/>
                <w:sz w:val="18"/>
                <w:szCs w:val="18"/>
                <w:lang w:val="en-GB"/>
              </w:rPr>
              <w:t>8</w:t>
            </w:r>
          </w:p>
        </w:tc>
        <w:tc>
          <w:tcPr>
            <w:tcW w:w="13687" w:type="dxa"/>
            <w:tcBorders>
              <w:top w:val="single" w:sz="4" w:space="0" w:color="auto"/>
              <w:left w:val="single" w:sz="4" w:space="0" w:color="auto"/>
              <w:bottom w:val="single" w:sz="4" w:space="0" w:color="auto"/>
              <w:right w:val="single" w:sz="4" w:space="0" w:color="auto"/>
            </w:tcBorders>
            <w:hideMark/>
          </w:tcPr>
          <w:p w14:paraId="01A57489" w14:textId="77777777" w:rsidR="00302BFE" w:rsidRPr="006E490C" w:rsidRDefault="00302BFE" w:rsidP="00243B15">
            <w:pPr>
              <w:tabs>
                <w:tab w:val="left" w:pos="226"/>
              </w:tabs>
              <w:spacing w:before="40" w:after="40"/>
              <w:rPr>
                <w:rFonts w:eastAsia="Times New Roman" w:cs="Calibri"/>
                <w:sz w:val="18"/>
                <w:szCs w:val="18"/>
                <w:lang w:val="en-GB"/>
              </w:rPr>
            </w:pPr>
            <w:r w:rsidRPr="006E490C">
              <w:rPr>
                <w:rFonts w:eastAsia="Times New Roman" w:cs="Calibri"/>
                <w:sz w:val="18"/>
                <w:szCs w:val="18"/>
                <w:lang w:val="en-GB"/>
              </w:rPr>
              <w:t>a) Expert in marketing local products to develop a marketing strategy for cooperatives and products developed within the PONASI landscape, including the design of a distinctive label (output 3.3.7). Rate: $ 3,500 / week for 3 weeks in year 4. Total cost: $ 10,500.</w:t>
            </w:r>
          </w:p>
          <w:p w14:paraId="43744A31" w14:textId="77777777" w:rsidR="00302BFE" w:rsidRPr="006E490C" w:rsidRDefault="00302BFE" w:rsidP="00243B15">
            <w:pPr>
              <w:tabs>
                <w:tab w:val="left" w:pos="226"/>
              </w:tabs>
              <w:spacing w:before="40" w:after="40"/>
              <w:rPr>
                <w:rFonts w:eastAsia="Times New Roman" w:cs="Calibri"/>
                <w:sz w:val="18"/>
                <w:szCs w:val="18"/>
                <w:lang w:val="en-GB"/>
              </w:rPr>
            </w:pPr>
            <w:r w:rsidRPr="006E490C">
              <w:rPr>
                <w:rFonts w:eastAsia="Times New Roman" w:cs="Calibri"/>
                <w:sz w:val="18"/>
                <w:szCs w:val="18"/>
                <w:lang w:val="en-GB"/>
              </w:rPr>
              <w:t>(b) PA-related tourism expert to review the national legislative and policy framework for tourism development in PAs and the PONASI landscape, as well as to develop the tourism strategy for the PONASI landscape (Output 3.4.1), including tourism licenses and registration; to make recommendations to improve business practices and framework; perform financial analyses, markets and offers, as well as enabling context analysis (especially in terms of visitor safety); oversee the development of the capacity building program (Output 3.4.3); and overseeing the development of tourism products (Output 3.4.5). Rate: $ 3,500 / week for 12 weeks in years 2, 3, 4. Total cost: $ 42,000.</w:t>
            </w:r>
          </w:p>
        </w:tc>
      </w:tr>
      <w:tr w:rsidR="00302BFE" w:rsidRPr="006E490C" w14:paraId="5AC8C973"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hideMark/>
          </w:tcPr>
          <w:p w14:paraId="763BA886" w14:textId="1B930817" w:rsidR="00302BFE" w:rsidRPr="006E490C" w:rsidRDefault="00302BFE" w:rsidP="00243B15">
            <w:pPr>
              <w:spacing w:before="40" w:after="40"/>
              <w:jc w:val="center"/>
              <w:rPr>
                <w:rFonts w:eastAsia="Times New Roman" w:cs="Calibri"/>
                <w:i/>
                <w:iCs/>
                <w:sz w:val="18"/>
                <w:szCs w:val="18"/>
                <w:lang w:val="en-GB"/>
              </w:rPr>
            </w:pPr>
            <w:r w:rsidRPr="006E490C">
              <w:rPr>
                <w:rFonts w:eastAsia="Times New Roman" w:cs="Calibri"/>
                <w:i/>
                <w:iCs/>
                <w:sz w:val="18"/>
                <w:szCs w:val="18"/>
                <w:lang w:val="en-GB"/>
              </w:rPr>
              <w:t>2</w:t>
            </w:r>
            <w:r w:rsidR="002444C5">
              <w:rPr>
                <w:rFonts w:eastAsia="Times New Roman" w:cs="Calibri"/>
                <w:i/>
                <w:iCs/>
                <w:sz w:val="18"/>
                <w:szCs w:val="18"/>
                <w:lang w:val="en-GB"/>
              </w:rPr>
              <w:t>9</w:t>
            </w:r>
          </w:p>
        </w:tc>
        <w:tc>
          <w:tcPr>
            <w:tcW w:w="13687" w:type="dxa"/>
            <w:tcBorders>
              <w:top w:val="single" w:sz="4" w:space="0" w:color="auto"/>
              <w:left w:val="single" w:sz="4" w:space="0" w:color="auto"/>
              <w:bottom w:val="single" w:sz="4" w:space="0" w:color="auto"/>
              <w:right w:val="single" w:sz="4" w:space="0" w:color="auto"/>
            </w:tcBorders>
            <w:hideMark/>
          </w:tcPr>
          <w:p w14:paraId="69BD1310" w14:textId="77777777" w:rsidR="00302BFE" w:rsidRPr="006E490C" w:rsidRDefault="00302BFE" w:rsidP="00243B15">
            <w:pPr>
              <w:tabs>
                <w:tab w:val="left" w:pos="226"/>
              </w:tabs>
              <w:spacing w:before="40" w:after="40"/>
              <w:rPr>
                <w:rFonts w:eastAsia="Times New Roman" w:cs="Calibri"/>
                <w:sz w:val="18"/>
                <w:szCs w:val="18"/>
                <w:lang w:val="en-GB"/>
              </w:rPr>
            </w:pPr>
            <w:r w:rsidRPr="006E490C">
              <w:rPr>
                <w:rFonts w:eastAsia="Times New Roman" w:cs="Calibri"/>
                <w:sz w:val="18"/>
                <w:szCs w:val="18"/>
                <w:lang w:val="en-GB"/>
              </w:rPr>
              <w:t>a) Forest ecologist to assess CAFs in collaboration with a socio-economist and to update CAF management plans (Output 3.2.3); to support the development of simplified zoning plans for community forests (Output 3.2.1) in close collaboration with technical services; to make recommendations for sustainable financing of forest management operations; identify good practices for community forest management, restoration of degraded areas using ANR, sustainable collection of NTFPs and the drafting of thematic learning materials (6 months during the 2</w:t>
            </w:r>
            <w:r w:rsidRPr="006E490C">
              <w:rPr>
                <w:rFonts w:eastAsia="Times New Roman" w:cs="Calibri"/>
                <w:sz w:val="18"/>
                <w:szCs w:val="18"/>
                <w:vertAlign w:val="superscript"/>
                <w:lang w:val="en-GB"/>
              </w:rPr>
              <w:t>nd</w:t>
            </w:r>
            <w:r w:rsidRPr="006E490C">
              <w:rPr>
                <w:rFonts w:eastAsia="Times New Roman" w:cs="Calibri"/>
                <w:sz w:val="18"/>
                <w:szCs w:val="18"/>
                <w:lang w:val="en-GB"/>
              </w:rPr>
              <w:t xml:space="preserve"> year); responsible for participatory rapid assessment of the state of land resources (biodiversity, soil, water) in the 15 pilot sites (output 3.1.1) and for the development of action plans (output 3.1.2) (4 months in the 2</w:t>
            </w:r>
            <w:r w:rsidRPr="006E490C">
              <w:rPr>
                <w:rFonts w:eastAsia="Times New Roman" w:cs="Calibri"/>
                <w:sz w:val="18"/>
                <w:szCs w:val="18"/>
                <w:vertAlign w:val="superscript"/>
                <w:lang w:val="en-GB"/>
              </w:rPr>
              <w:t>nd</w:t>
            </w:r>
            <w:r w:rsidRPr="006E490C">
              <w:rPr>
                <w:rFonts w:eastAsia="Times New Roman" w:cs="Calibri"/>
                <w:sz w:val="18"/>
                <w:szCs w:val="18"/>
                <w:lang w:val="en-GB"/>
              </w:rPr>
              <w:t xml:space="preserve"> year), and responsible for the identification and delineation of shea production zones in corridors 1 and 2 (forest inventories); training members of cooperatives in the maintenance of certified areas, sustainable collection of natural resources, ANR techniques and the planting and maintenance of seedlings in identified areas; the development of management tools for NTFP production areas (management rules, development plan, specifications); and proposal of a strategy for the valorisation of NTFPs under the REDD+ mechanism and other "green" financing mechanisms (Output 3.3.5) (6 months in year 3). Rate: $ </w:t>
            </w:r>
            <w:r>
              <w:rPr>
                <w:rFonts w:eastAsia="Times New Roman" w:cs="Calibri"/>
                <w:sz w:val="18"/>
                <w:szCs w:val="18"/>
                <w:lang w:val="en-GB"/>
              </w:rPr>
              <w:t>2</w:t>
            </w:r>
            <w:r w:rsidRPr="006E490C">
              <w:rPr>
                <w:rFonts w:eastAsia="Times New Roman" w:cs="Calibri"/>
                <w:sz w:val="18"/>
                <w:szCs w:val="18"/>
                <w:lang w:val="en-GB"/>
              </w:rPr>
              <w:t>,</w:t>
            </w:r>
            <w:r>
              <w:rPr>
                <w:rFonts w:eastAsia="Times New Roman" w:cs="Calibri"/>
                <w:sz w:val="18"/>
                <w:szCs w:val="18"/>
                <w:lang w:val="en-GB"/>
              </w:rPr>
              <w:t>00</w:t>
            </w:r>
            <w:r w:rsidRPr="006E490C">
              <w:rPr>
                <w:rFonts w:eastAsia="Times New Roman" w:cs="Calibri"/>
                <w:sz w:val="18"/>
                <w:szCs w:val="18"/>
                <w:lang w:val="en-GB"/>
              </w:rPr>
              <w:t xml:space="preserve">0 /month for 16 months in years 2 and 3. Total cost: $ </w:t>
            </w:r>
            <w:r>
              <w:rPr>
                <w:rFonts w:eastAsia="Times New Roman" w:cs="Calibri"/>
                <w:sz w:val="18"/>
                <w:szCs w:val="18"/>
                <w:lang w:val="en-GB"/>
              </w:rPr>
              <w:t>32</w:t>
            </w:r>
            <w:r w:rsidRPr="006E490C">
              <w:rPr>
                <w:rFonts w:eastAsia="Times New Roman" w:cs="Calibri"/>
                <w:sz w:val="18"/>
                <w:szCs w:val="18"/>
                <w:lang w:val="en-GB"/>
              </w:rPr>
              <w:t>,000.</w:t>
            </w:r>
          </w:p>
          <w:p w14:paraId="15914CB8" w14:textId="77777777" w:rsidR="00302BFE" w:rsidRPr="006E490C" w:rsidRDefault="00302BFE" w:rsidP="00243B15">
            <w:pPr>
              <w:tabs>
                <w:tab w:val="left" w:pos="226"/>
              </w:tabs>
              <w:spacing w:before="40" w:after="40"/>
              <w:rPr>
                <w:rFonts w:eastAsia="Times New Roman" w:cs="Calibri"/>
                <w:sz w:val="18"/>
                <w:szCs w:val="18"/>
                <w:lang w:val="en-GB"/>
              </w:rPr>
            </w:pPr>
            <w:r w:rsidRPr="006E490C">
              <w:rPr>
                <w:rFonts w:eastAsia="Times New Roman" w:cs="Calibri"/>
                <w:sz w:val="18"/>
                <w:szCs w:val="18"/>
                <w:lang w:val="en-GB"/>
              </w:rPr>
              <w:t xml:space="preserve">b) Socio-economist to evaluate CAF in collaboration with the forest management specialist (output 3.2.3). </w:t>
            </w:r>
            <w:r>
              <w:rPr>
                <w:rFonts w:eastAsia="Times New Roman" w:cs="Calibri"/>
                <w:sz w:val="18"/>
                <w:szCs w:val="18"/>
                <w:lang w:val="en-GB"/>
              </w:rPr>
              <w:t>Rate</w:t>
            </w:r>
            <w:r w:rsidRPr="006E490C">
              <w:rPr>
                <w:rFonts w:eastAsia="Times New Roman" w:cs="Calibri"/>
                <w:sz w:val="18"/>
                <w:szCs w:val="18"/>
                <w:lang w:val="en-GB"/>
              </w:rPr>
              <w:t xml:space="preserve">: $ </w:t>
            </w:r>
            <w:r>
              <w:rPr>
                <w:rFonts w:eastAsia="Times New Roman" w:cs="Calibri"/>
                <w:sz w:val="18"/>
                <w:szCs w:val="18"/>
                <w:lang w:val="en-GB"/>
              </w:rPr>
              <w:t>2</w:t>
            </w:r>
            <w:r w:rsidRPr="006E490C">
              <w:rPr>
                <w:rFonts w:eastAsia="Times New Roman" w:cs="Calibri"/>
                <w:sz w:val="18"/>
                <w:szCs w:val="18"/>
                <w:lang w:val="en-GB"/>
              </w:rPr>
              <w:t>,</w:t>
            </w:r>
            <w:r>
              <w:rPr>
                <w:rFonts w:eastAsia="Times New Roman" w:cs="Calibri"/>
                <w:sz w:val="18"/>
                <w:szCs w:val="18"/>
                <w:lang w:val="en-GB"/>
              </w:rPr>
              <w:t>00</w:t>
            </w:r>
            <w:r w:rsidRPr="006E490C">
              <w:rPr>
                <w:rFonts w:eastAsia="Times New Roman" w:cs="Calibri"/>
                <w:sz w:val="18"/>
                <w:szCs w:val="18"/>
                <w:lang w:val="en-GB"/>
              </w:rPr>
              <w:t>0/month for 2 months in the 2</w:t>
            </w:r>
            <w:r w:rsidRPr="006E490C">
              <w:rPr>
                <w:rFonts w:eastAsia="Times New Roman" w:cs="Calibri"/>
                <w:sz w:val="18"/>
                <w:szCs w:val="18"/>
                <w:vertAlign w:val="superscript"/>
                <w:lang w:val="en-GB"/>
              </w:rPr>
              <w:t>nd</w:t>
            </w:r>
            <w:r w:rsidRPr="006E490C">
              <w:rPr>
                <w:rFonts w:eastAsia="Times New Roman" w:cs="Calibri"/>
                <w:sz w:val="18"/>
                <w:szCs w:val="18"/>
                <w:lang w:val="en-GB"/>
              </w:rPr>
              <w:t xml:space="preserve"> year. Total cost: $ </w:t>
            </w:r>
            <w:r>
              <w:rPr>
                <w:rFonts w:eastAsia="Times New Roman" w:cs="Calibri"/>
                <w:sz w:val="18"/>
                <w:szCs w:val="18"/>
                <w:lang w:val="en-GB"/>
              </w:rPr>
              <w:t>4</w:t>
            </w:r>
            <w:r w:rsidRPr="006E490C">
              <w:rPr>
                <w:rFonts w:eastAsia="Times New Roman" w:cs="Calibri"/>
                <w:sz w:val="18"/>
                <w:szCs w:val="18"/>
                <w:lang w:val="en-GB"/>
              </w:rPr>
              <w:t>,</w:t>
            </w:r>
            <w:r>
              <w:rPr>
                <w:rFonts w:eastAsia="Times New Roman" w:cs="Calibri"/>
                <w:sz w:val="18"/>
                <w:szCs w:val="18"/>
                <w:lang w:val="en-GB"/>
              </w:rPr>
              <w:t>0</w:t>
            </w:r>
            <w:r w:rsidRPr="006E490C">
              <w:rPr>
                <w:rFonts w:eastAsia="Times New Roman" w:cs="Calibri"/>
                <w:sz w:val="18"/>
                <w:szCs w:val="18"/>
                <w:lang w:val="en-GB"/>
              </w:rPr>
              <w:t>00.</w:t>
            </w:r>
          </w:p>
          <w:p w14:paraId="0238E4A5" w14:textId="77777777" w:rsidR="00302BFE" w:rsidRPr="006E490C" w:rsidRDefault="00302BFE" w:rsidP="00243B15">
            <w:pPr>
              <w:tabs>
                <w:tab w:val="left" w:pos="226"/>
              </w:tabs>
              <w:spacing w:before="40" w:after="40"/>
              <w:rPr>
                <w:rFonts w:eastAsia="Times New Roman" w:cs="Calibri"/>
                <w:sz w:val="18"/>
                <w:szCs w:val="18"/>
                <w:lang w:val="en-GB"/>
              </w:rPr>
            </w:pPr>
            <w:r w:rsidRPr="006E490C">
              <w:rPr>
                <w:rFonts w:eastAsia="Times New Roman" w:cs="Calibri"/>
                <w:sz w:val="18"/>
                <w:szCs w:val="18"/>
                <w:lang w:val="en-GB"/>
              </w:rPr>
              <w:t>c) CSA and pasture management specialist to assess pasture management practices in pastoral areas and make recommendations to improve pasture quality and to stop encroachment of PAs by livestock (output 3.2.2), assess pasture capacity of pastoral areas; identify good practices for the sustainable management of pastoral areas and draft thematic learning documents. (6 months during the 2</w:t>
            </w:r>
            <w:r w:rsidRPr="006E490C">
              <w:rPr>
                <w:rFonts w:eastAsia="Times New Roman" w:cs="Calibri"/>
                <w:sz w:val="18"/>
                <w:szCs w:val="18"/>
                <w:vertAlign w:val="superscript"/>
                <w:lang w:val="en-GB"/>
              </w:rPr>
              <w:t>nd</w:t>
            </w:r>
            <w:r w:rsidRPr="006E490C">
              <w:rPr>
                <w:rFonts w:eastAsia="Times New Roman" w:cs="Calibri"/>
                <w:sz w:val="18"/>
                <w:szCs w:val="18"/>
                <w:lang w:val="en-GB"/>
              </w:rPr>
              <w:t xml:space="preserve"> year), responsible for the planning and implementation of demonstration sites and farm-schools in 15 pilot sites in collaboration with local communities and </w:t>
            </w:r>
            <w:r w:rsidR="009363D6">
              <w:rPr>
                <w:rFonts w:eastAsia="Times New Roman" w:cs="Calibri"/>
                <w:sz w:val="18"/>
                <w:szCs w:val="18"/>
                <w:lang w:val="en-GB"/>
              </w:rPr>
              <w:t>commun</w:t>
            </w:r>
            <w:r w:rsidRPr="006E490C">
              <w:rPr>
                <w:rFonts w:eastAsia="Times New Roman" w:cs="Calibri"/>
                <w:sz w:val="18"/>
                <w:szCs w:val="18"/>
                <w:lang w:val="en-GB"/>
              </w:rPr>
              <w:t xml:space="preserve">al technical services (Output 3.1.3), as well as for providing guidance for the training of members of local communities. Rate: $ </w:t>
            </w:r>
            <w:r>
              <w:rPr>
                <w:rFonts w:eastAsia="Times New Roman" w:cs="Calibri"/>
                <w:sz w:val="18"/>
                <w:szCs w:val="18"/>
                <w:lang w:val="en-GB"/>
              </w:rPr>
              <w:t>2</w:t>
            </w:r>
            <w:r w:rsidRPr="006E490C">
              <w:rPr>
                <w:rFonts w:eastAsia="Times New Roman" w:cs="Calibri"/>
                <w:sz w:val="18"/>
                <w:szCs w:val="18"/>
                <w:lang w:val="en-GB"/>
              </w:rPr>
              <w:t>,</w:t>
            </w:r>
            <w:r>
              <w:rPr>
                <w:rFonts w:eastAsia="Times New Roman" w:cs="Calibri"/>
                <w:sz w:val="18"/>
                <w:szCs w:val="18"/>
                <w:lang w:val="en-GB"/>
              </w:rPr>
              <w:t>00</w:t>
            </w:r>
            <w:r w:rsidRPr="006E490C">
              <w:rPr>
                <w:rFonts w:eastAsia="Times New Roman" w:cs="Calibri"/>
                <w:sz w:val="18"/>
                <w:szCs w:val="18"/>
                <w:lang w:val="en-GB"/>
              </w:rPr>
              <w:t xml:space="preserve">0/month for 12 months </w:t>
            </w:r>
            <w:r>
              <w:rPr>
                <w:rFonts w:eastAsia="Times New Roman" w:cs="Calibri"/>
                <w:sz w:val="18"/>
                <w:szCs w:val="18"/>
                <w:lang w:val="en-GB"/>
              </w:rPr>
              <w:t>in</w:t>
            </w:r>
            <w:r w:rsidRPr="006E490C">
              <w:rPr>
                <w:rFonts w:eastAsia="Times New Roman" w:cs="Calibri"/>
                <w:sz w:val="18"/>
                <w:szCs w:val="18"/>
                <w:lang w:val="en-GB"/>
              </w:rPr>
              <w:t xml:space="preserve"> the 2</w:t>
            </w:r>
            <w:r w:rsidRPr="006E490C">
              <w:rPr>
                <w:rFonts w:eastAsia="Times New Roman" w:cs="Calibri"/>
                <w:sz w:val="18"/>
                <w:szCs w:val="18"/>
                <w:vertAlign w:val="superscript"/>
                <w:lang w:val="en-GB"/>
              </w:rPr>
              <w:t>nd</w:t>
            </w:r>
            <w:r w:rsidRPr="006E490C">
              <w:rPr>
                <w:rFonts w:eastAsia="Times New Roman" w:cs="Calibri"/>
                <w:sz w:val="18"/>
                <w:szCs w:val="18"/>
                <w:lang w:val="en-GB"/>
              </w:rPr>
              <w:t xml:space="preserve"> year. Total cost: $ 2</w:t>
            </w:r>
            <w:r>
              <w:rPr>
                <w:rFonts w:eastAsia="Times New Roman" w:cs="Calibri"/>
                <w:sz w:val="18"/>
                <w:szCs w:val="18"/>
                <w:lang w:val="en-GB"/>
              </w:rPr>
              <w:t>4</w:t>
            </w:r>
            <w:r w:rsidRPr="006E490C">
              <w:rPr>
                <w:rFonts w:eastAsia="Times New Roman" w:cs="Calibri"/>
                <w:sz w:val="18"/>
                <w:szCs w:val="18"/>
                <w:lang w:val="en-GB"/>
              </w:rPr>
              <w:t>,000.</w:t>
            </w:r>
          </w:p>
          <w:p w14:paraId="5BA85173" w14:textId="77777777" w:rsidR="00302BFE" w:rsidRPr="006E490C" w:rsidRDefault="00302BFE" w:rsidP="00243B15">
            <w:pPr>
              <w:tabs>
                <w:tab w:val="left" w:pos="226"/>
              </w:tabs>
              <w:spacing w:before="40" w:after="40"/>
              <w:rPr>
                <w:rFonts w:eastAsia="Times New Roman" w:cs="Calibri"/>
                <w:sz w:val="18"/>
                <w:szCs w:val="18"/>
                <w:lang w:val="en-GB"/>
              </w:rPr>
            </w:pPr>
            <w:r w:rsidRPr="006E490C">
              <w:rPr>
                <w:rFonts w:eastAsia="Times New Roman" w:cs="Calibri"/>
                <w:sz w:val="18"/>
                <w:szCs w:val="18"/>
                <w:lang w:val="en-GB"/>
              </w:rPr>
              <w:lastRenderedPageBreak/>
              <w:t xml:space="preserve">d) Specialist in community development to help local producers, men and women, to set up 4 cooperatives and to train them in the management of a cooperative (output 3.3.3). Rate: </w:t>
            </w:r>
            <w:r>
              <w:rPr>
                <w:rFonts w:eastAsia="Times New Roman" w:cs="Calibri"/>
                <w:sz w:val="18"/>
                <w:szCs w:val="18"/>
                <w:lang w:val="en-GB"/>
              </w:rPr>
              <w:t>$2</w:t>
            </w:r>
            <w:r w:rsidRPr="006E490C">
              <w:rPr>
                <w:rFonts w:eastAsia="Times New Roman" w:cs="Calibri"/>
                <w:sz w:val="18"/>
                <w:szCs w:val="18"/>
                <w:lang w:val="en-GB"/>
              </w:rPr>
              <w:t>,</w:t>
            </w:r>
            <w:r>
              <w:rPr>
                <w:rFonts w:eastAsia="Times New Roman" w:cs="Calibri"/>
                <w:sz w:val="18"/>
                <w:szCs w:val="18"/>
                <w:lang w:val="en-GB"/>
              </w:rPr>
              <w:t>00</w:t>
            </w:r>
            <w:r w:rsidRPr="006E490C">
              <w:rPr>
                <w:rFonts w:eastAsia="Times New Roman" w:cs="Calibri"/>
                <w:sz w:val="18"/>
                <w:szCs w:val="18"/>
                <w:lang w:val="en-GB"/>
              </w:rPr>
              <w:t xml:space="preserve">0 /month for 3 months in year 3. Total cost: $ </w:t>
            </w:r>
            <w:r>
              <w:rPr>
                <w:rFonts w:eastAsia="Times New Roman" w:cs="Calibri"/>
                <w:sz w:val="18"/>
                <w:szCs w:val="18"/>
                <w:lang w:val="en-GB"/>
              </w:rPr>
              <w:t>6</w:t>
            </w:r>
            <w:r w:rsidRPr="006E490C">
              <w:rPr>
                <w:rFonts w:eastAsia="Times New Roman" w:cs="Calibri"/>
                <w:sz w:val="18"/>
                <w:szCs w:val="18"/>
                <w:lang w:val="en-GB"/>
              </w:rPr>
              <w:t>,</w:t>
            </w:r>
            <w:r>
              <w:rPr>
                <w:rFonts w:eastAsia="Times New Roman" w:cs="Calibri"/>
                <w:sz w:val="18"/>
                <w:szCs w:val="18"/>
                <w:lang w:val="en-GB"/>
              </w:rPr>
              <w:t>00</w:t>
            </w:r>
            <w:r w:rsidRPr="006E490C">
              <w:rPr>
                <w:rFonts w:eastAsia="Times New Roman" w:cs="Calibri"/>
                <w:sz w:val="18"/>
                <w:szCs w:val="18"/>
                <w:lang w:val="en-GB"/>
              </w:rPr>
              <w:t>0</w:t>
            </w:r>
          </w:p>
          <w:p w14:paraId="63499BDE" w14:textId="77777777" w:rsidR="00302BFE" w:rsidRPr="006E490C" w:rsidRDefault="00302BFE" w:rsidP="00243B15">
            <w:pPr>
              <w:tabs>
                <w:tab w:val="left" w:pos="226"/>
              </w:tabs>
              <w:spacing w:before="40" w:after="40"/>
              <w:rPr>
                <w:rFonts w:eastAsia="Times New Roman" w:cs="Calibri"/>
                <w:sz w:val="18"/>
                <w:szCs w:val="18"/>
                <w:lang w:val="en-GB"/>
              </w:rPr>
            </w:pPr>
            <w:r w:rsidRPr="006E490C">
              <w:rPr>
                <w:rFonts w:eastAsia="Times New Roman" w:cs="Calibri"/>
                <w:sz w:val="18"/>
                <w:szCs w:val="18"/>
                <w:lang w:val="en-GB"/>
              </w:rPr>
              <w:t>e) Specialist in the processing of NTFPs (honey, juice, shea butter) for the training and mentoring of members of NTFP processing cooperatives to promote good production, processing and conservation practices based on hygiene, safety and quality of products (output 3.3.4). Rate: $ 2,000 / month for 6 months in year 3. Total cost: $ 12,000.</w:t>
            </w:r>
          </w:p>
          <w:p w14:paraId="19ED847E" w14:textId="77777777" w:rsidR="00302BFE" w:rsidRPr="006E490C" w:rsidRDefault="00302BFE" w:rsidP="00243B15">
            <w:pPr>
              <w:tabs>
                <w:tab w:val="left" w:pos="226"/>
              </w:tabs>
              <w:spacing w:before="40" w:after="40"/>
              <w:rPr>
                <w:rFonts w:eastAsia="Times New Roman" w:cs="Calibri"/>
                <w:sz w:val="18"/>
                <w:szCs w:val="18"/>
                <w:lang w:val="en-GB"/>
              </w:rPr>
            </w:pPr>
            <w:r w:rsidRPr="006E490C">
              <w:rPr>
                <w:rFonts w:eastAsia="Times New Roman" w:cs="Calibri"/>
                <w:sz w:val="18"/>
                <w:szCs w:val="18"/>
                <w:lang w:val="en-GB"/>
              </w:rPr>
              <w:t>f) PA-related tourism specialist to assist the international tourism expert in overseeing all of the tasks under Output 3.4, including the gathering of information to support the development of the tourism strategy, to undertake financial, market and procurement analyses to support the development and implementation of the capacity building program (output 3.4.3); supervise and manage the business concept competition (output 3.4.4) and gather information for the development of tourism products (output 3.4.5). Rate: $2,000/month for 12 months over years 3, 4, 5. Total cost: $ 24,000.</w:t>
            </w:r>
          </w:p>
          <w:p w14:paraId="48009E61" w14:textId="77777777" w:rsidR="00302BFE" w:rsidRPr="006E490C" w:rsidRDefault="00302BFE" w:rsidP="00243B15">
            <w:pPr>
              <w:tabs>
                <w:tab w:val="left" w:pos="226"/>
              </w:tabs>
              <w:spacing w:before="40" w:after="40"/>
              <w:rPr>
                <w:rFonts w:eastAsia="Times New Roman" w:cs="Calibri"/>
                <w:sz w:val="18"/>
                <w:szCs w:val="18"/>
                <w:lang w:val="en-GB"/>
              </w:rPr>
            </w:pPr>
            <w:r w:rsidRPr="006E490C">
              <w:rPr>
                <w:rFonts w:eastAsia="Times New Roman" w:cs="Calibri"/>
                <w:sz w:val="18"/>
                <w:szCs w:val="18"/>
                <w:lang w:val="en-GB"/>
              </w:rPr>
              <w:t xml:space="preserve">g) Expert in microenterprise and microfinance development to support a gender-sensitive market analysis of NTFP tourism enterprises and value chains (Outcome 3.3.1); identify microfinance opportunities for microenterprise development in tourism value chains and NTFPs; provide guidance and provide training in microenterprise development and management for market access (Outcome 3.3.4); assist micro-enterprises in developing business development plans (outcome 3.3.4) and provide advice during the early stages of microenterprise development; and support the participatory development of a label for PONASI products (Outcome 3.3.7). </w:t>
            </w:r>
            <w:r>
              <w:rPr>
                <w:rFonts w:eastAsia="Times New Roman" w:cs="Calibri"/>
                <w:sz w:val="18"/>
                <w:szCs w:val="18"/>
                <w:lang w:val="en-GB"/>
              </w:rPr>
              <w:t>Rate</w:t>
            </w:r>
            <w:r w:rsidRPr="006E490C">
              <w:rPr>
                <w:rFonts w:eastAsia="Times New Roman" w:cs="Calibri"/>
                <w:sz w:val="18"/>
                <w:szCs w:val="18"/>
                <w:lang w:val="en-GB"/>
              </w:rPr>
              <w:t>: $ 2,000/month over 12 months in years 4 and 5. Total cost: $ 24,000.</w:t>
            </w:r>
          </w:p>
        </w:tc>
      </w:tr>
      <w:tr w:rsidR="00302BFE" w:rsidRPr="000F3E75" w14:paraId="1C19A4CD"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hideMark/>
          </w:tcPr>
          <w:p w14:paraId="63E5354A" w14:textId="4657C03F" w:rsidR="00302BFE" w:rsidRPr="006E490C" w:rsidRDefault="002444C5" w:rsidP="00243B15">
            <w:pPr>
              <w:spacing w:before="40" w:after="40"/>
              <w:jc w:val="center"/>
              <w:rPr>
                <w:rFonts w:eastAsia="Times New Roman" w:cs="Calibri"/>
                <w:i/>
                <w:iCs/>
                <w:sz w:val="18"/>
                <w:szCs w:val="18"/>
                <w:lang w:val="en-GB"/>
              </w:rPr>
            </w:pPr>
            <w:r>
              <w:rPr>
                <w:rFonts w:eastAsia="Times New Roman" w:cs="Calibri"/>
                <w:i/>
                <w:iCs/>
                <w:sz w:val="18"/>
                <w:szCs w:val="18"/>
                <w:lang w:val="en-GB"/>
              </w:rPr>
              <w:lastRenderedPageBreak/>
              <w:t>30</w:t>
            </w:r>
          </w:p>
        </w:tc>
        <w:tc>
          <w:tcPr>
            <w:tcW w:w="13687" w:type="dxa"/>
            <w:tcBorders>
              <w:top w:val="single" w:sz="4" w:space="0" w:color="auto"/>
              <w:left w:val="single" w:sz="4" w:space="0" w:color="auto"/>
              <w:bottom w:val="single" w:sz="4" w:space="0" w:color="auto"/>
              <w:right w:val="single" w:sz="4" w:space="0" w:color="auto"/>
            </w:tcBorders>
            <w:hideMark/>
          </w:tcPr>
          <w:p w14:paraId="6B3A4307" w14:textId="77777777" w:rsidR="00302BFE" w:rsidRPr="006E490C" w:rsidRDefault="00302BFE" w:rsidP="00243B15">
            <w:pPr>
              <w:tabs>
                <w:tab w:val="left" w:pos="226"/>
              </w:tabs>
              <w:spacing w:before="40" w:after="40"/>
              <w:rPr>
                <w:rFonts w:eastAsia="Times New Roman" w:cs="Calibri"/>
                <w:sz w:val="18"/>
                <w:szCs w:val="18"/>
                <w:lang w:val="en-GB"/>
              </w:rPr>
            </w:pPr>
            <w:r w:rsidRPr="006E490C">
              <w:rPr>
                <w:rFonts w:eastAsia="Times New Roman" w:cs="Calibri"/>
                <w:sz w:val="18"/>
                <w:szCs w:val="18"/>
                <w:lang w:val="en-GB"/>
              </w:rPr>
              <w:t>a) Project coordinator (20% of time for the component) responsible for providing technical inputs to various outputs under the component 3, especially the outputs 3.1 related to the communities’ implementation of SLM practices and 3.2 for the improvement of natural resources in forests and pastoral areas. $400 / month over 6 years. Total cost: $ 28,800.</w:t>
            </w:r>
          </w:p>
          <w:p w14:paraId="352A5A01" w14:textId="77777777" w:rsidR="00302BFE" w:rsidRPr="006E490C" w:rsidRDefault="00302BFE" w:rsidP="00243B15">
            <w:pPr>
              <w:tabs>
                <w:tab w:val="left" w:pos="226"/>
              </w:tabs>
              <w:spacing w:before="40" w:after="40"/>
              <w:rPr>
                <w:rFonts w:eastAsia="Times New Roman" w:cs="Calibri"/>
                <w:sz w:val="18"/>
                <w:szCs w:val="18"/>
                <w:lang w:val="en-GB"/>
              </w:rPr>
            </w:pPr>
            <w:r w:rsidRPr="006E490C">
              <w:rPr>
                <w:rFonts w:eastAsia="Times New Roman" w:cs="Calibri"/>
                <w:sz w:val="18"/>
                <w:szCs w:val="18"/>
                <w:lang w:val="en-GB"/>
              </w:rPr>
              <w:t>b) Project driver / logistician (25% for the component) to support component 3 of the project @ $ 150 / month for 70 months - Total cost: $ 13,125</w:t>
            </w:r>
          </w:p>
          <w:p w14:paraId="34CBB8F2" w14:textId="77777777" w:rsidR="00302BFE" w:rsidRPr="00E03056" w:rsidRDefault="00302BFE" w:rsidP="00243B15">
            <w:pPr>
              <w:tabs>
                <w:tab w:val="left" w:pos="226"/>
              </w:tabs>
              <w:spacing w:before="40" w:after="40"/>
              <w:rPr>
                <w:rFonts w:eastAsia="Times New Roman" w:cs="Calibri"/>
                <w:sz w:val="18"/>
                <w:szCs w:val="18"/>
                <w:lang w:val="en-GB"/>
              </w:rPr>
            </w:pPr>
            <w:r w:rsidRPr="00E03056">
              <w:rPr>
                <w:rFonts w:eastAsia="Times New Roman" w:cs="Calibri"/>
                <w:sz w:val="18"/>
                <w:szCs w:val="18"/>
                <w:lang w:val="en-GB"/>
              </w:rPr>
              <w:t>c) Gender specialist for overseeing gender mainstreaming under component 3 and monitoring the implementation of the gender action plan (10% for the component). Annual cost: $ 1,050 in years 1 to 6. Total cost: $ 6,300</w:t>
            </w:r>
          </w:p>
          <w:p w14:paraId="0682FAED" w14:textId="77777777" w:rsidR="00302BFE" w:rsidRPr="006E490C" w:rsidRDefault="00302BFE" w:rsidP="00243B15">
            <w:pPr>
              <w:tabs>
                <w:tab w:val="left" w:pos="226"/>
              </w:tabs>
              <w:spacing w:before="40" w:after="40"/>
              <w:rPr>
                <w:rFonts w:eastAsia="Times New Roman" w:cs="Calibri"/>
                <w:sz w:val="18"/>
                <w:szCs w:val="18"/>
                <w:lang w:val="en-GB"/>
              </w:rPr>
            </w:pPr>
            <w:r w:rsidRPr="00E03056">
              <w:rPr>
                <w:rFonts w:eastAsia="Times New Roman" w:cs="Calibri"/>
                <w:sz w:val="18"/>
                <w:szCs w:val="18"/>
                <w:lang w:val="en-GB"/>
              </w:rPr>
              <w:t>d) Communication /knowledge management expert (10% for the component) for the development and implementation of the project communication strategy in support of project component 3. Annual cost: $ 1,050 in years 1 to 6. Total cost: $ 6,300</w:t>
            </w:r>
          </w:p>
          <w:p w14:paraId="69E115DC" w14:textId="77777777" w:rsidR="00302BFE" w:rsidRPr="006E490C" w:rsidRDefault="00302BFE" w:rsidP="00243B15">
            <w:pPr>
              <w:tabs>
                <w:tab w:val="left" w:pos="226"/>
              </w:tabs>
              <w:spacing w:before="40" w:after="40"/>
              <w:rPr>
                <w:rFonts w:eastAsia="Times New Roman" w:cs="Calibri"/>
                <w:sz w:val="18"/>
                <w:szCs w:val="18"/>
                <w:lang w:val="en-GB"/>
              </w:rPr>
            </w:pPr>
            <w:r w:rsidRPr="006E490C">
              <w:rPr>
                <w:rFonts w:eastAsia="Times New Roman" w:cs="Calibri"/>
                <w:sz w:val="18"/>
                <w:szCs w:val="18"/>
                <w:lang w:val="en-GB"/>
              </w:rPr>
              <w:t>e) Community mobilization assistants (2) to provide local support to project experts and specialists and to the activities implemented with local communities under component 3, in particular to raise local communities’ awareness and promote their engagement for sustainable agro-pastoral practices in close collaboration with the gender specialist of the project to ensure the active participation of women. Rate: $ 1,000 / month for 36 months each in years 2, 3, 4, 5. Total cost: $ 72,000</w:t>
            </w:r>
          </w:p>
          <w:p w14:paraId="7B1088DD" w14:textId="77777777" w:rsidR="00302BFE" w:rsidRPr="006E490C" w:rsidRDefault="00302BFE" w:rsidP="00243B15">
            <w:pPr>
              <w:tabs>
                <w:tab w:val="left" w:pos="226"/>
              </w:tabs>
              <w:spacing w:before="40" w:after="40"/>
              <w:rPr>
                <w:rFonts w:eastAsia="Times New Roman" w:cs="Calibri"/>
                <w:sz w:val="18"/>
                <w:szCs w:val="18"/>
                <w:lang w:val="en-GB"/>
              </w:rPr>
            </w:pPr>
            <w:r w:rsidRPr="006E490C">
              <w:rPr>
                <w:rFonts w:eastAsia="Times New Roman" w:cs="Calibri"/>
                <w:sz w:val="18"/>
                <w:szCs w:val="18"/>
                <w:lang w:val="en-GB"/>
              </w:rPr>
              <w:t xml:space="preserve">f) Field Assistants (2) to assist in the development and maintenance of demonstration sites and farm schools under the direction of the climate-smart agriculture expert, and to assist in the on-site training of members of the local community. </w:t>
            </w:r>
            <w:r>
              <w:rPr>
                <w:rFonts w:eastAsia="Times New Roman" w:cs="Calibri"/>
                <w:sz w:val="18"/>
                <w:szCs w:val="18"/>
                <w:lang w:val="en-GB"/>
              </w:rPr>
              <w:t>Rate</w:t>
            </w:r>
            <w:r w:rsidRPr="006E490C">
              <w:rPr>
                <w:rFonts w:eastAsia="Times New Roman" w:cs="Calibri"/>
                <w:sz w:val="18"/>
                <w:szCs w:val="18"/>
                <w:lang w:val="en-GB"/>
              </w:rPr>
              <w:t>: $ 1000 / month for 18 months (each) over 3 years. Total cost: $ 36,000</w:t>
            </w:r>
          </w:p>
          <w:p w14:paraId="445F6E5C" w14:textId="77777777" w:rsidR="00302BFE" w:rsidRPr="006E490C" w:rsidRDefault="00302BFE" w:rsidP="00243B15">
            <w:pPr>
              <w:tabs>
                <w:tab w:val="left" w:pos="226"/>
              </w:tabs>
              <w:spacing w:before="40" w:after="40"/>
              <w:rPr>
                <w:rFonts w:eastAsia="Times New Roman" w:cs="Calibri"/>
                <w:sz w:val="18"/>
                <w:szCs w:val="18"/>
                <w:lang w:val="en-GB"/>
              </w:rPr>
            </w:pPr>
            <w:r w:rsidRPr="006E490C">
              <w:rPr>
                <w:rFonts w:eastAsia="Times New Roman" w:cs="Calibri"/>
                <w:sz w:val="18"/>
                <w:szCs w:val="18"/>
                <w:lang w:val="en-GB"/>
              </w:rPr>
              <w:t>g) Website designer to design a website to promote the PONASI landscape as a tourism destination, related to protected areas, biodiversity and cultural assets (output 3.4.5). Rate: $7,500 in the 4</w:t>
            </w:r>
            <w:r w:rsidRPr="006E490C">
              <w:rPr>
                <w:rFonts w:eastAsia="Times New Roman" w:cs="Calibri"/>
                <w:sz w:val="18"/>
                <w:szCs w:val="18"/>
                <w:vertAlign w:val="superscript"/>
                <w:lang w:val="en-GB"/>
              </w:rPr>
              <w:t>th</w:t>
            </w:r>
            <w:r w:rsidRPr="006E490C">
              <w:rPr>
                <w:rFonts w:eastAsia="Times New Roman" w:cs="Calibri"/>
                <w:sz w:val="18"/>
                <w:szCs w:val="18"/>
                <w:lang w:val="en-GB"/>
              </w:rPr>
              <w:t xml:space="preserve"> year, paid as a lump sum based on the deliverables. Total cost: $ 7,500</w:t>
            </w:r>
          </w:p>
        </w:tc>
      </w:tr>
      <w:tr w:rsidR="00302BFE" w:rsidRPr="006E490C" w14:paraId="6374885D"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hideMark/>
          </w:tcPr>
          <w:p w14:paraId="1ED41D19" w14:textId="6C51D309" w:rsidR="00302BFE" w:rsidRPr="006E490C" w:rsidRDefault="002444C5" w:rsidP="00243B15">
            <w:pPr>
              <w:spacing w:before="40" w:after="40"/>
              <w:jc w:val="center"/>
              <w:rPr>
                <w:rFonts w:eastAsia="Times New Roman" w:cs="Calibri"/>
                <w:i/>
                <w:iCs/>
                <w:sz w:val="18"/>
                <w:szCs w:val="18"/>
                <w:lang w:val="en-GB"/>
              </w:rPr>
            </w:pPr>
            <w:r>
              <w:rPr>
                <w:rFonts w:eastAsia="Times New Roman" w:cs="Calibri"/>
                <w:i/>
                <w:iCs/>
                <w:sz w:val="18"/>
                <w:szCs w:val="18"/>
                <w:lang w:val="en-GB"/>
              </w:rPr>
              <w:t>31</w:t>
            </w:r>
          </w:p>
        </w:tc>
        <w:tc>
          <w:tcPr>
            <w:tcW w:w="13687" w:type="dxa"/>
            <w:tcBorders>
              <w:top w:val="single" w:sz="4" w:space="0" w:color="auto"/>
              <w:left w:val="single" w:sz="4" w:space="0" w:color="auto"/>
              <w:bottom w:val="single" w:sz="4" w:space="0" w:color="auto"/>
              <w:right w:val="single" w:sz="4" w:space="0" w:color="auto"/>
            </w:tcBorders>
            <w:hideMark/>
          </w:tcPr>
          <w:p w14:paraId="6C85F238" w14:textId="7F814BFC" w:rsidR="00302BFE" w:rsidRPr="006E490C" w:rsidRDefault="00CF30FD" w:rsidP="00243B15">
            <w:pPr>
              <w:spacing w:before="40" w:after="40"/>
              <w:rPr>
                <w:rFonts w:eastAsia="Times New Roman" w:cs="Calibri"/>
                <w:sz w:val="18"/>
                <w:szCs w:val="18"/>
                <w:lang w:val="en-GB"/>
              </w:rPr>
            </w:pPr>
            <w:r>
              <w:rPr>
                <w:rFonts w:eastAsia="Times New Roman" w:cs="Calibri"/>
                <w:sz w:val="18"/>
                <w:szCs w:val="18"/>
                <w:lang w:val="en-GB"/>
              </w:rPr>
              <w:t>a</w:t>
            </w:r>
            <w:r w:rsidR="00302BFE" w:rsidRPr="006E490C">
              <w:rPr>
                <w:rFonts w:eastAsia="Times New Roman" w:cs="Calibri"/>
                <w:sz w:val="18"/>
                <w:szCs w:val="18"/>
                <w:lang w:val="en-GB"/>
              </w:rPr>
              <w:t>) Lump sum (shared between all components) for fuel purchase and vehicle maintenance of the Project Coordination Unit to be used for most field missions (consultants and PCU staff) as well as for motorcycles for the travel of technical assistants and community mobilization assistants @ $ 1,500 / year. Total cost: $ 9,000</w:t>
            </w:r>
          </w:p>
          <w:p w14:paraId="69AA4B9F" w14:textId="0C07AA92" w:rsidR="00302BFE" w:rsidRPr="006E490C" w:rsidRDefault="009E19E1" w:rsidP="00243B15">
            <w:pPr>
              <w:spacing w:before="40" w:after="40"/>
              <w:rPr>
                <w:rFonts w:eastAsia="Times New Roman" w:cs="Calibri"/>
                <w:sz w:val="18"/>
                <w:szCs w:val="18"/>
                <w:lang w:val="en-GB"/>
              </w:rPr>
            </w:pPr>
            <w:r>
              <w:rPr>
                <w:rFonts w:eastAsia="Times New Roman" w:cs="Calibri"/>
                <w:sz w:val="18"/>
                <w:szCs w:val="18"/>
                <w:lang w:val="en-GB"/>
              </w:rPr>
              <w:t>b</w:t>
            </w:r>
            <w:r w:rsidR="00302BFE" w:rsidRPr="006E490C">
              <w:rPr>
                <w:rFonts w:eastAsia="Times New Roman" w:cs="Calibri"/>
                <w:sz w:val="18"/>
                <w:szCs w:val="18"/>
                <w:lang w:val="en-GB"/>
              </w:rPr>
              <w:t>) Travel expenses for field missions to make the diagnostic of the state of the resources in the 15 pilot sites (total of 30 days) (output 3.1.1) (50% of trips made using the vehicle and UCP motorbikes and car / driver rental @ $ 200 / day for 15 days and per diem @ $ 120 / day for 30 days) during the 2</w:t>
            </w:r>
            <w:r w:rsidR="00302BFE" w:rsidRPr="006E490C">
              <w:rPr>
                <w:rFonts w:eastAsia="Times New Roman" w:cs="Calibri"/>
                <w:sz w:val="18"/>
                <w:szCs w:val="18"/>
                <w:vertAlign w:val="superscript"/>
                <w:lang w:val="en-GB"/>
              </w:rPr>
              <w:t>nd</w:t>
            </w:r>
            <w:r w:rsidR="00302BFE" w:rsidRPr="006E490C">
              <w:rPr>
                <w:rFonts w:eastAsia="Times New Roman" w:cs="Calibri"/>
                <w:sz w:val="18"/>
                <w:szCs w:val="18"/>
                <w:lang w:val="en-GB"/>
              </w:rPr>
              <w:t xml:space="preserve"> year. Total cost: $ 6,600</w:t>
            </w:r>
          </w:p>
          <w:p w14:paraId="45240793" w14:textId="0AE0E41A" w:rsidR="00302BFE" w:rsidRPr="006E490C" w:rsidRDefault="009E19E1" w:rsidP="00243B15">
            <w:pPr>
              <w:spacing w:before="40" w:after="40"/>
              <w:rPr>
                <w:rFonts w:eastAsia="Times New Roman" w:cs="Calibri"/>
                <w:sz w:val="18"/>
                <w:szCs w:val="18"/>
                <w:lang w:val="en-GB"/>
              </w:rPr>
            </w:pPr>
            <w:r>
              <w:rPr>
                <w:rFonts w:eastAsia="Times New Roman" w:cs="Calibri"/>
                <w:sz w:val="18"/>
                <w:szCs w:val="18"/>
                <w:lang w:val="en-GB"/>
              </w:rPr>
              <w:t>c</w:t>
            </w:r>
            <w:r w:rsidR="00302BFE" w:rsidRPr="006E490C">
              <w:rPr>
                <w:rFonts w:eastAsia="Times New Roman" w:cs="Calibri"/>
                <w:sz w:val="18"/>
                <w:szCs w:val="18"/>
                <w:lang w:val="en-GB"/>
              </w:rPr>
              <w:t>) Travel costs for field missions to develop intervention and investment plans based on diagnostics at the 15 pilot sites (total of 10 days) (Output 3.1.2) (50% of trips using the vehicle and motorcycles of the UCP and car rental / driver @ $ 200 / day for 5 days and per diem @ $ 120 / day for 10 days) during the 2</w:t>
            </w:r>
            <w:r w:rsidR="00302BFE" w:rsidRPr="006E490C">
              <w:rPr>
                <w:rFonts w:eastAsia="Times New Roman" w:cs="Calibri"/>
                <w:sz w:val="18"/>
                <w:szCs w:val="18"/>
                <w:vertAlign w:val="superscript"/>
                <w:lang w:val="en-GB"/>
              </w:rPr>
              <w:t>nd</w:t>
            </w:r>
            <w:r w:rsidR="00302BFE" w:rsidRPr="006E490C">
              <w:rPr>
                <w:rFonts w:eastAsia="Times New Roman" w:cs="Calibri"/>
                <w:sz w:val="18"/>
                <w:szCs w:val="18"/>
                <w:lang w:val="en-GB"/>
              </w:rPr>
              <w:t xml:space="preserve"> year. Total cost: $ 2,200</w:t>
            </w:r>
          </w:p>
          <w:p w14:paraId="12437310" w14:textId="7C67DF05" w:rsidR="00302BFE" w:rsidRPr="006E490C" w:rsidRDefault="00CF30FD" w:rsidP="00243B15">
            <w:pPr>
              <w:spacing w:before="40" w:after="40"/>
              <w:rPr>
                <w:rFonts w:eastAsia="Times New Roman" w:cs="Calibri"/>
                <w:sz w:val="18"/>
                <w:szCs w:val="18"/>
                <w:lang w:val="en-GB"/>
              </w:rPr>
            </w:pPr>
            <w:r>
              <w:rPr>
                <w:rFonts w:eastAsia="Times New Roman" w:cs="Calibri"/>
                <w:sz w:val="18"/>
                <w:szCs w:val="18"/>
                <w:lang w:val="en-GB"/>
              </w:rPr>
              <w:t>e</w:t>
            </w:r>
            <w:r w:rsidR="00302BFE" w:rsidRPr="006E490C">
              <w:rPr>
                <w:rFonts w:eastAsia="Times New Roman" w:cs="Calibri"/>
                <w:sz w:val="18"/>
                <w:szCs w:val="18"/>
                <w:lang w:val="en-GB"/>
              </w:rPr>
              <w:t>) Travel expenses for 20 days of field by the forest management specialist for the development of participatory zoning plans of village and communal forests and forest massifs (50% of trips made using the vehicle and motorcycles of UCP and car rental / driver @ $ 200 / day for 10 days and per diem @ $ 120 / day for 20 days) during the 2</w:t>
            </w:r>
            <w:r w:rsidR="00302BFE" w:rsidRPr="006E490C">
              <w:rPr>
                <w:rFonts w:eastAsia="Times New Roman" w:cs="Calibri"/>
                <w:sz w:val="18"/>
                <w:szCs w:val="18"/>
                <w:vertAlign w:val="superscript"/>
                <w:lang w:val="en-GB"/>
              </w:rPr>
              <w:t>nd</w:t>
            </w:r>
            <w:r w:rsidR="00302BFE" w:rsidRPr="006E490C">
              <w:rPr>
                <w:rFonts w:eastAsia="Times New Roman" w:cs="Calibri"/>
                <w:sz w:val="18"/>
                <w:szCs w:val="18"/>
                <w:lang w:val="en-GB"/>
              </w:rPr>
              <w:t xml:space="preserve"> year. Total cost: $ 4,400</w:t>
            </w:r>
          </w:p>
          <w:p w14:paraId="40A1EC6D" w14:textId="14585ACD" w:rsidR="00302BFE" w:rsidRPr="006E490C" w:rsidRDefault="009E19E1" w:rsidP="00243B15">
            <w:pPr>
              <w:spacing w:before="40" w:after="40"/>
              <w:rPr>
                <w:rFonts w:eastAsia="Times New Roman" w:cs="Calibri"/>
                <w:sz w:val="18"/>
                <w:szCs w:val="18"/>
                <w:lang w:val="en-GB"/>
              </w:rPr>
            </w:pPr>
            <w:r>
              <w:rPr>
                <w:rFonts w:eastAsia="Times New Roman" w:cs="Calibri"/>
                <w:sz w:val="18"/>
                <w:szCs w:val="18"/>
                <w:lang w:val="en-GB"/>
              </w:rPr>
              <w:t>d</w:t>
            </w:r>
            <w:r w:rsidR="00302BFE" w:rsidRPr="006E490C">
              <w:rPr>
                <w:rFonts w:eastAsia="Times New Roman" w:cs="Calibri"/>
                <w:sz w:val="18"/>
                <w:szCs w:val="18"/>
                <w:lang w:val="en-GB"/>
              </w:rPr>
              <w:t>) Travel expenses for 10 days of field by the pasture management specialist for the assessment of the state of the 3 pastoral areas (50% of trips made using the vehicle and motorcycles of the PCU and rental of vehicle / driver @ 200 $ / day for 5 days and per diem @ 120 $ / day for 10 days) during the 1</w:t>
            </w:r>
            <w:r w:rsidR="00302BFE" w:rsidRPr="006E490C">
              <w:rPr>
                <w:rFonts w:eastAsia="Times New Roman" w:cs="Calibri"/>
                <w:sz w:val="18"/>
                <w:szCs w:val="18"/>
                <w:vertAlign w:val="superscript"/>
                <w:lang w:val="en-GB"/>
              </w:rPr>
              <w:t>st</w:t>
            </w:r>
            <w:r w:rsidR="00302BFE" w:rsidRPr="006E490C">
              <w:rPr>
                <w:rFonts w:eastAsia="Times New Roman" w:cs="Calibri"/>
                <w:sz w:val="18"/>
                <w:szCs w:val="18"/>
                <w:lang w:val="en-GB"/>
              </w:rPr>
              <w:t xml:space="preserve"> year, and 10 days of field for the identification of pastoral rangelands (rental of car / driver @ 200 $ / day for 5 days and per diem @ $ 120 / day for 10 days) during the 1</w:t>
            </w:r>
            <w:r w:rsidR="00302BFE" w:rsidRPr="006E490C">
              <w:rPr>
                <w:rFonts w:eastAsia="Times New Roman" w:cs="Calibri"/>
                <w:sz w:val="18"/>
                <w:szCs w:val="18"/>
                <w:vertAlign w:val="superscript"/>
                <w:lang w:val="en-GB"/>
              </w:rPr>
              <w:t>st</w:t>
            </w:r>
            <w:r w:rsidR="00302BFE" w:rsidRPr="006E490C">
              <w:rPr>
                <w:rFonts w:eastAsia="Times New Roman" w:cs="Calibri"/>
                <w:sz w:val="18"/>
                <w:szCs w:val="18"/>
                <w:lang w:val="en-GB"/>
              </w:rPr>
              <w:t xml:space="preserve"> and 2</w:t>
            </w:r>
            <w:r w:rsidR="00302BFE" w:rsidRPr="006E490C">
              <w:rPr>
                <w:rFonts w:eastAsia="Times New Roman" w:cs="Calibri"/>
                <w:sz w:val="18"/>
                <w:szCs w:val="18"/>
                <w:vertAlign w:val="superscript"/>
                <w:lang w:val="en-GB"/>
              </w:rPr>
              <w:t>nd</w:t>
            </w:r>
            <w:r w:rsidR="00302BFE" w:rsidRPr="006E490C">
              <w:rPr>
                <w:rFonts w:eastAsia="Times New Roman" w:cs="Calibri"/>
                <w:sz w:val="18"/>
                <w:szCs w:val="18"/>
                <w:lang w:val="en-GB"/>
              </w:rPr>
              <w:t xml:space="preserve"> year. Total cost: $ 4,400</w:t>
            </w:r>
          </w:p>
          <w:p w14:paraId="1EF7F39B" w14:textId="445C53F3" w:rsidR="00302BFE" w:rsidRPr="006E490C" w:rsidRDefault="009E19E1" w:rsidP="00243B15">
            <w:pPr>
              <w:spacing w:before="40" w:after="40"/>
              <w:rPr>
                <w:rFonts w:eastAsia="Times New Roman" w:cs="Calibri"/>
                <w:sz w:val="18"/>
                <w:szCs w:val="18"/>
                <w:lang w:val="en-GB"/>
              </w:rPr>
            </w:pPr>
            <w:r>
              <w:rPr>
                <w:rFonts w:eastAsia="Times New Roman" w:cs="Calibri"/>
                <w:sz w:val="18"/>
                <w:szCs w:val="18"/>
                <w:lang w:val="en-GB"/>
              </w:rPr>
              <w:t>e</w:t>
            </w:r>
            <w:r w:rsidR="00302BFE" w:rsidRPr="006E490C">
              <w:rPr>
                <w:rFonts w:eastAsia="Times New Roman" w:cs="Calibri"/>
                <w:sz w:val="18"/>
                <w:szCs w:val="18"/>
                <w:lang w:val="en-GB"/>
              </w:rPr>
              <w:t xml:space="preserve">) 6-day field trip by the forest management specialist and field assistant to update participatory management plans and zoning plans for </w:t>
            </w:r>
            <w:r w:rsidR="00302BFE">
              <w:rPr>
                <w:rFonts w:eastAsia="Times New Roman" w:cs="Calibri"/>
                <w:sz w:val="18"/>
                <w:szCs w:val="18"/>
                <w:lang w:val="en-GB"/>
              </w:rPr>
              <w:t>forest management worksites</w:t>
            </w:r>
            <w:r w:rsidR="00302BFE" w:rsidRPr="006E490C">
              <w:rPr>
                <w:rFonts w:eastAsia="Times New Roman" w:cs="Calibri"/>
                <w:sz w:val="18"/>
                <w:szCs w:val="18"/>
                <w:lang w:val="en-GB"/>
              </w:rPr>
              <w:t xml:space="preserve"> and travel expenses for participants for 75 participants (50% of trips made using the vehicle and motorcycles of the PCU and rental of vehicle / driver @ $ 200 / day for 3 days and per diem @ $ 120 / day for 6 days, 2 people + $ 350 travel fee @ $ 0.20 / km for participant travel) in year 2 (output 3.2.3). Total cost: $ 2,040</w:t>
            </w:r>
          </w:p>
          <w:p w14:paraId="29494B44" w14:textId="116851D4" w:rsidR="00302BFE" w:rsidRPr="006E490C" w:rsidRDefault="009E19E1" w:rsidP="00243B15">
            <w:pPr>
              <w:spacing w:before="40" w:after="40"/>
              <w:rPr>
                <w:rFonts w:eastAsia="Times New Roman" w:cs="Calibri"/>
                <w:sz w:val="18"/>
                <w:szCs w:val="18"/>
                <w:lang w:val="en-GB"/>
              </w:rPr>
            </w:pPr>
            <w:r>
              <w:rPr>
                <w:rFonts w:eastAsia="Times New Roman" w:cs="Calibri"/>
                <w:sz w:val="18"/>
                <w:szCs w:val="18"/>
                <w:lang w:val="en-GB"/>
              </w:rPr>
              <w:lastRenderedPageBreak/>
              <w:t>f</w:t>
            </w:r>
            <w:r w:rsidR="00302BFE" w:rsidRPr="006E490C">
              <w:rPr>
                <w:rFonts w:eastAsia="Times New Roman" w:cs="Calibri"/>
                <w:sz w:val="18"/>
                <w:szCs w:val="18"/>
                <w:lang w:val="en-GB"/>
              </w:rPr>
              <w:t>) Travel expenses of the international consultant specializing in the marketing of local products for the development of a marketing strategy for PONASI landscape products (output 3.3.7) for a 10-day mission in Burkina Faso (4 days Ouagadougou, 6 days field) and rental of a vehicle / driver ($ 1500 / airline ticket, 4 per diem Ouagadougou @ $ 260, 6 per diem region @ 120, 6 days vehicle @ $ 200 / day). Total cost: $ 4,460 during the 4</w:t>
            </w:r>
            <w:r w:rsidR="00302BFE" w:rsidRPr="006E490C">
              <w:rPr>
                <w:rFonts w:eastAsia="Times New Roman" w:cs="Calibri"/>
                <w:sz w:val="18"/>
                <w:szCs w:val="18"/>
                <w:vertAlign w:val="superscript"/>
                <w:lang w:val="en-GB"/>
              </w:rPr>
              <w:t>th</w:t>
            </w:r>
            <w:r w:rsidR="00302BFE" w:rsidRPr="006E490C">
              <w:rPr>
                <w:rFonts w:eastAsia="Times New Roman" w:cs="Calibri"/>
                <w:sz w:val="18"/>
                <w:szCs w:val="18"/>
                <w:lang w:val="en-GB"/>
              </w:rPr>
              <w:t xml:space="preserve"> year.</w:t>
            </w:r>
          </w:p>
          <w:p w14:paraId="7BD92DE4" w14:textId="3369D1D3" w:rsidR="00302BFE" w:rsidRPr="006E490C" w:rsidRDefault="009E19E1" w:rsidP="00243B15">
            <w:pPr>
              <w:spacing w:before="40" w:after="40"/>
              <w:rPr>
                <w:rFonts w:eastAsia="Times New Roman" w:cs="Calibri"/>
                <w:sz w:val="18"/>
                <w:szCs w:val="18"/>
                <w:lang w:val="en-GB"/>
              </w:rPr>
            </w:pPr>
            <w:r>
              <w:rPr>
                <w:rFonts w:eastAsia="Times New Roman" w:cs="Calibri"/>
                <w:sz w:val="18"/>
                <w:szCs w:val="18"/>
                <w:lang w:val="en-GB"/>
              </w:rPr>
              <w:t>g</w:t>
            </w:r>
            <w:r w:rsidR="00302BFE" w:rsidRPr="006E490C">
              <w:rPr>
                <w:rFonts w:eastAsia="Times New Roman" w:cs="Calibri"/>
                <w:sz w:val="18"/>
                <w:szCs w:val="18"/>
                <w:lang w:val="en-GB"/>
              </w:rPr>
              <w:t>) Travel costs of the international tourism consultant for a 10-day mission to Burkina Faso (4 days Ouagadougou, 6 days field), to meet tourism-related institutions in Ouagadougou, including the National Tourism Office, and officials of tourism in regional and local authorities, with a view to finalizing the development of the sustainable tourism strategy for the PONASI landscape and facilitating the validation workshop (Output 3.4.1) ($ 1500 / air ticket, 4 per diem Ouagadougou @ $ 260, 6 per diem region @ 120, 6 days vehicle / driver @ $ 200 / day). Total cost: $ 4,460 during the 2</w:t>
            </w:r>
            <w:r w:rsidR="00302BFE" w:rsidRPr="006E490C">
              <w:rPr>
                <w:rFonts w:eastAsia="Times New Roman" w:cs="Calibri"/>
                <w:sz w:val="18"/>
                <w:szCs w:val="18"/>
                <w:vertAlign w:val="superscript"/>
                <w:lang w:val="en-GB"/>
              </w:rPr>
              <w:t>nd</w:t>
            </w:r>
            <w:r w:rsidR="00302BFE" w:rsidRPr="006E490C">
              <w:rPr>
                <w:rFonts w:eastAsia="Times New Roman" w:cs="Calibri"/>
                <w:sz w:val="18"/>
                <w:szCs w:val="18"/>
                <w:lang w:val="en-GB"/>
              </w:rPr>
              <w:t xml:space="preserve"> year.</w:t>
            </w:r>
          </w:p>
          <w:p w14:paraId="55C27AE3" w14:textId="7DB64442" w:rsidR="00302BFE" w:rsidRPr="006E490C" w:rsidRDefault="009E19E1" w:rsidP="00243B15">
            <w:pPr>
              <w:spacing w:before="40" w:after="40"/>
              <w:rPr>
                <w:rFonts w:eastAsia="Times New Roman" w:cs="Calibri"/>
                <w:sz w:val="18"/>
                <w:szCs w:val="18"/>
                <w:lang w:val="en-GB"/>
              </w:rPr>
            </w:pPr>
            <w:r>
              <w:rPr>
                <w:rFonts w:eastAsia="Times New Roman" w:cs="Calibri"/>
                <w:sz w:val="18"/>
                <w:szCs w:val="18"/>
                <w:lang w:val="en-GB"/>
              </w:rPr>
              <w:t>h</w:t>
            </w:r>
            <w:r w:rsidR="00302BFE" w:rsidRPr="006E490C">
              <w:rPr>
                <w:rFonts w:eastAsia="Times New Roman" w:cs="Calibri"/>
                <w:sz w:val="18"/>
                <w:szCs w:val="18"/>
                <w:lang w:val="en-GB"/>
              </w:rPr>
              <w:t xml:space="preserve">) Travel costs of the National Tourism Consultant for a 6-day tour of the PNKT communes and villages at the beginning of the 2nd year to inform them about tourism training opportunities related to protected areas and to identify priority beneficiaries with the support of local authorities, and to know their interests and aspirations in order to organize the thematic trainings (Output 3.4.3) and for another round (6 days) of meetings with local  authorities at the regional and </w:t>
            </w:r>
            <w:r w:rsidR="009363D6">
              <w:rPr>
                <w:rFonts w:eastAsia="Times New Roman" w:cs="Calibri"/>
                <w:sz w:val="18"/>
                <w:szCs w:val="18"/>
                <w:lang w:val="en-GB"/>
              </w:rPr>
              <w:t>commune</w:t>
            </w:r>
            <w:r w:rsidR="00302BFE" w:rsidRPr="006E490C">
              <w:rPr>
                <w:rFonts w:eastAsia="Times New Roman" w:cs="Calibri"/>
                <w:sz w:val="18"/>
                <w:szCs w:val="18"/>
                <w:lang w:val="en-GB"/>
              </w:rPr>
              <w:t xml:space="preserve"> levels with a view to establishing an organization of the </w:t>
            </w:r>
            <w:r w:rsidR="00302BFE" w:rsidRPr="006E490C">
              <w:rPr>
                <w:rFonts w:cs="Calibri"/>
                <w:sz w:val="18"/>
                <w:szCs w:val="18"/>
                <w:lang w:val="en-GB"/>
              </w:rPr>
              <w:t>management of the PONASI destination (Output 3.4.2) and for the participatory identification of criteria for identifying what can be financed with grants (Output 3.4.4) (vehicle / driver rental @ 200 $ / day for 6 days and per diem @ $ 120 / day for 6 days) during the 4</w:t>
            </w:r>
            <w:r w:rsidR="00302BFE" w:rsidRPr="006E490C">
              <w:rPr>
                <w:rFonts w:cs="Calibri"/>
                <w:sz w:val="18"/>
                <w:szCs w:val="18"/>
                <w:vertAlign w:val="superscript"/>
                <w:lang w:val="en-GB"/>
              </w:rPr>
              <w:t>th</w:t>
            </w:r>
            <w:r w:rsidR="00302BFE" w:rsidRPr="006E490C">
              <w:rPr>
                <w:rFonts w:cs="Calibri"/>
                <w:sz w:val="18"/>
                <w:szCs w:val="18"/>
                <w:lang w:val="en-GB"/>
              </w:rPr>
              <w:t xml:space="preserve">  year. Total cost: $ 3,840</w:t>
            </w:r>
          </w:p>
          <w:p w14:paraId="20F1486F" w14:textId="552D9541" w:rsidR="00302BFE" w:rsidRPr="006E490C" w:rsidRDefault="009E19E1" w:rsidP="00243B15">
            <w:pPr>
              <w:spacing w:before="40" w:after="40"/>
              <w:rPr>
                <w:rFonts w:eastAsia="Times New Roman" w:cs="Calibri"/>
                <w:sz w:val="18"/>
                <w:szCs w:val="18"/>
                <w:lang w:val="en-GB"/>
              </w:rPr>
            </w:pPr>
            <w:r>
              <w:rPr>
                <w:rFonts w:cs="Calibri"/>
                <w:sz w:val="18"/>
                <w:szCs w:val="18"/>
                <w:lang w:val="en-GB"/>
              </w:rPr>
              <w:t>i</w:t>
            </w:r>
            <w:r w:rsidR="00302BFE" w:rsidRPr="006E490C">
              <w:rPr>
                <w:rFonts w:cs="Calibri"/>
                <w:sz w:val="18"/>
                <w:szCs w:val="18"/>
                <w:lang w:val="en-GB"/>
              </w:rPr>
              <w:t>) Travel expenses for 3 tour operators offering 'nature' tourism products for a tour of familiarization with key tourist attractions focusing on nature and culture in the PONASI landscape (Output 3.4.5) (car/driver rental @ $ 200 / day for 4 days and per diem @ 120 $ / day for 4 days, 3 people) during the 5</w:t>
            </w:r>
            <w:r w:rsidR="00302BFE" w:rsidRPr="006E490C">
              <w:rPr>
                <w:rFonts w:cs="Calibri"/>
                <w:sz w:val="18"/>
                <w:szCs w:val="18"/>
                <w:vertAlign w:val="superscript"/>
                <w:lang w:val="en-GB"/>
              </w:rPr>
              <w:t>th</w:t>
            </w:r>
            <w:r w:rsidR="00302BFE" w:rsidRPr="006E490C">
              <w:rPr>
                <w:rFonts w:cs="Calibri"/>
                <w:sz w:val="18"/>
                <w:szCs w:val="18"/>
                <w:lang w:val="en-GB"/>
              </w:rPr>
              <w:t xml:space="preserve"> year. Total cost: $ 2,240</w:t>
            </w:r>
          </w:p>
        </w:tc>
      </w:tr>
      <w:tr w:rsidR="00302BFE" w:rsidRPr="006E490C" w14:paraId="6B3FD198"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hideMark/>
          </w:tcPr>
          <w:p w14:paraId="08A040EA" w14:textId="72ECEF90" w:rsidR="00302BFE" w:rsidRPr="006E490C" w:rsidRDefault="00302BFE" w:rsidP="00243B15">
            <w:pPr>
              <w:spacing w:before="40" w:after="40"/>
              <w:jc w:val="center"/>
              <w:rPr>
                <w:rFonts w:eastAsia="Times New Roman" w:cs="Calibri"/>
                <w:i/>
                <w:iCs/>
                <w:sz w:val="18"/>
                <w:szCs w:val="18"/>
                <w:lang w:val="en-GB"/>
              </w:rPr>
            </w:pPr>
            <w:r w:rsidRPr="006E490C">
              <w:rPr>
                <w:rFonts w:eastAsia="Times New Roman" w:cs="Calibri"/>
                <w:i/>
                <w:iCs/>
                <w:sz w:val="18"/>
                <w:szCs w:val="18"/>
                <w:lang w:val="en-GB"/>
              </w:rPr>
              <w:lastRenderedPageBreak/>
              <w:t>3</w:t>
            </w:r>
            <w:r w:rsidR="002444C5">
              <w:rPr>
                <w:rFonts w:eastAsia="Times New Roman" w:cs="Calibri"/>
                <w:i/>
                <w:iCs/>
                <w:sz w:val="18"/>
                <w:szCs w:val="18"/>
                <w:lang w:val="en-GB"/>
              </w:rPr>
              <w:t>2</w:t>
            </w:r>
          </w:p>
        </w:tc>
        <w:tc>
          <w:tcPr>
            <w:tcW w:w="13687" w:type="dxa"/>
            <w:tcBorders>
              <w:top w:val="single" w:sz="4" w:space="0" w:color="auto"/>
              <w:left w:val="single" w:sz="4" w:space="0" w:color="auto"/>
              <w:bottom w:val="single" w:sz="4" w:space="0" w:color="auto"/>
              <w:right w:val="single" w:sz="4" w:space="0" w:color="auto"/>
            </w:tcBorders>
            <w:hideMark/>
          </w:tcPr>
          <w:p w14:paraId="06E6FE6B" w14:textId="77777777" w:rsidR="00302BFE" w:rsidRPr="006E490C" w:rsidRDefault="00302BFE" w:rsidP="00243B15">
            <w:pPr>
              <w:tabs>
                <w:tab w:val="left" w:pos="226"/>
              </w:tabs>
              <w:spacing w:before="40" w:after="40"/>
              <w:rPr>
                <w:rFonts w:eastAsia="Times New Roman" w:cs="Calibri"/>
                <w:sz w:val="18"/>
                <w:szCs w:val="18"/>
                <w:lang w:val="en-GB"/>
              </w:rPr>
            </w:pPr>
            <w:r w:rsidRPr="006E490C">
              <w:rPr>
                <w:rFonts w:eastAsia="Times New Roman" w:cs="Calibri"/>
                <w:sz w:val="18"/>
                <w:szCs w:val="18"/>
                <w:lang w:val="en-GB"/>
              </w:rPr>
              <w:t>a) Expert in organic certification and fair trade (Ecocert) to provide guidance and training on production requirements and standards for certification of shea butter production by two of the cooperatives supported by the project, and to support the certification process (output 3.3.5) Rate: $ 25,000 paid on a lump sum basis based on deliverables in year 4. Total cost: $ 25,000.</w:t>
            </w:r>
          </w:p>
          <w:p w14:paraId="66BB0531" w14:textId="77777777" w:rsidR="00302BFE" w:rsidRPr="006E490C" w:rsidRDefault="00302BFE" w:rsidP="00243B15">
            <w:pPr>
              <w:tabs>
                <w:tab w:val="left" w:pos="226"/>
              </w:tabs>
              <w:spacing w:before="40" w:after="40"/>
              <w:rPr>
                <w:rFonts w:eastAsia="Times New Roman" w:cs="Calibri"/>
                <w:sz w:val="18"/>
                <w:szCs w:val="18"/>
                <w:lang w:val="en-GB"/>
              </w:rPr>
            </w:pPr>
            <w:r w:rsidRPr="006E490C">
              <w:rPr>
                <w:rFonts w:eastAsia="Times New Roman" w:cs="Calibri"/>
                <w:sz w:val="18"/>
                <w:szCs w:val="18"/>
                <w:lang w:val="en-GB"/>
              </w:rPr>
              <w:t xml:space="preserve">(b) National Tourism Training Institute to train beneficiaries in local communities (Output 3.4.3). </w:t>
            </w:r>
            <w:r>
              <w:rPr>
                <w:rFonts w:eastAsia="Times New Roman" w:cs="Calibri"/>
                <w:sz w:val="18"/>
                <w:szCs w:val="18"/>
                <w:lang w:val="en-GB"/>
              </w:rPr>
              <w:t>Lump sum based</w:t>
            </w:r>
            <w:r w:rsidRPr="006E490C">
              <w:rPr>
                <w:rFonts w:eastAsia="Times New Roman" w:cs="Calibri"/>
                <w:sz w:val="18"/>
                <w:szCs w:val="18"/>
                <w:lang w:val="en-GB"/>
              </w:rPr>
              <w:t>: $ 60,000 in the 3</w:t>
            </w:r>
            <w:r w:rsidRPr="006E490C">
              <w:rPr>
                <w:rFonts w:eastAsia="Times New Roman" w:cs="Calibri"/>
                <w:sz w:val="18"/>
                <w:szCs w:val="18"/>
                <w:vertAlign w:val="superscript"/>
                <w:lang w:val="en-GB"/>
              </w:rPr>
              <w:t>rd</w:t>
            </w:r>
            <w:r w:rsidRPr="006E490C">
              <w:rPr>
                <w:rFonts w:eastAsia="Times New Roman" w:cs="Calibri"/>
                <w:sz w:val="18"/>
                <w:szCs w:val="18"/>
                <w:lang w:val="en-GB"/>
              </w:rPr>
              <w:t xml:space="preserve"> year. Total cost: $ 60,000</w:t>
            </w:r>
          </w:p>
          <w:p w14:paraId="2FC31D17" w14:textId="77777777" w:rsidR="00302BFE" w:rsidRPr="006E490C" w:rsidRDefault="00302BFE" w:rsidP="00243B15">
            <w:pPr>
              <w:tabs>
                <w:tab w:val="left" w:pos="226"/>
              </w:tabs>
              <w:spacing w:before="40" w:after="40"/>
              <w:rPr>
                <w:color w:val="000000"/>
                <w:sz w:val="18"/>
                <w:szCs w:val="18"/>
                <w:lang w:val="en-GB"/>
              </w:rPr>
            </w:pPr>
            <w:r w:rsidRPr="006E490C">
              <w:rPr>
                <w:rFonts w:eastAsia="Times New Roman" w:cs="Calibri"/>
                <w:sz w:val="18"/>
                <w:szCs w:val="18"/>
                <w:lang w:val="en-GB"/>
              </w:rPr>
              <w:t>c) A local company for the construction of 4 complexes including a processing room - drying room - finished products storage room - shop for the NTFP processing cooperatives supported by the project @ $25,500 per unit (Output 3.3.6). Total cost $102,000 in year 3</w:t>
            </w:r>
            <w:r w:rsidRPr="006E490C">
              <w:rPr>
                <w:color w:val="000000"/>
                <w:sz w:val="18"/>
                <w:szCs w:val="18"/>
                <w:lang w:val="en-GB"/>
              </w:rPr>
              <w:t xml:space="preserve">. </w:t>
            </w:r>
          </w:p>
        </w:tc>
      </w:tr>
      <w:tr w:rsidR="00302BFE" w:rsidRPr="006E490C" w14:paraId="156D2131"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hideMark/>
          </w:tcPr>
          <w:p w14:paraId="0A58B70C" w14:textId="1099367F" w:rsidR="00302BFE" w:rsidRPr="006E490C" w:rsidRDefault="00302BFE" w:rsidP="00243B15">
            <w:pPr>
              <w:spacing w:before="40" w:after="40"/>
              <w:jc w:val="center"/>
              <w:rPr>
                <w:rFonts w:eastAsia="Times New Roman" w:cs="Calibri"/>
                <w:i/>
                <w:iCs/>
                <w:sz w:val="18"/>
                <w:szCs w:val="18"/>
                <w:lang w:val="en-GB"/>
              </w:rPr>
            </w:pPr>
            <w:r w:rsidRPr="006E490C">
              <w:rPr>
                <w:rFonts w:eastAsia="Times New Roman" w:cs="Calibri"/>
                <w:i/>
                <w:iCs/>
                <w:sz w:val="18"/>
                <w:szCs w:val="18"/>
                <w:lang w:val="en-GB"/>
              </w:rPr>
              <w:t>3</w:t>
            </w:r>
            <w:r w:rsidR="002444C5">
              <w:rPr>
                <w:rFonts w:eastAsia="Times New Roman" w:cs="Calibri"/>
                <w:i/>
                <w:iCs/>
                <w:sz w:val="18"/>
                <w:szCs w:val="18"/>
                <w:lang w:val="en-GB"/>
              </w:rPr>
              <w:t>3</w:t>
            </w:r>
          </w:p>
        </w:tc>
        <w:tc>
          <w:tcPr>
            <w:tcW w:w="13687" w:type="dxa"/>
            <w:tcBorders>
              <w:top w:val="single" w:sz="4" w:space="0" w:color="auto"/>
              <w:left w:val="single" w:sz="4" w:space="0" w:color="auto"/>
              <w:bottom w:val="single" w:sz="4" w:space="0" w:color="auto"/>
              <w:right w:val="single" w:sz="4" w:space="0" w:color="auto"/>
            </w:tcBorders>
            <w:hideMark/>
          </w:tcPr>
          <w:p w14:paraId="08730089" w14:textId="77777777" w:rsidR="00302BFE" w:rsidRPr="0063211A" w:rsidRDefault="00302BFE" w:rsidP="00243B15">
            <w:pPr>
              <w:tabs>
                <w:tab w:val="left" w:pos="226"/>
                <w:tab w:val="left" w:pos="310"/>
              </w:tabs>
              <w:spacing w:before="40" w:after="40"/>
              <w:rPr>
                <w:rFonts w:eastAsia="Times New Roman" w:cs="Calibri"/>
                <w:sz w:val="18"/>
                <w:szCs w:val="18"/>
                <w:lang w:val="en-GB"/>
              </w:rPr>
            </w:pPr>
            <w:r w:rsidRPr="0063211A">
              <w:rPr>
                <w:rFonts w:eastAsia="Times New Roman" w:cs="Calibri"/>
                <w:sz w:val="18"/>
                <w:szCs w:val="18"/>
                <w:lang w:val="en-GB"/>
              </w:rPr>
              <w:t>a) Costs for the establishment of demonstration sites and farm-schools in collaboration with communities and farmers, using materials available to farmers and innovative and improved techniques at low cost, in year 2 (Output 3.1 .3). Total cost: $ 15,000</w:t>
            </w:r>
          </w:p>
          <w:p w14:paraId="3EE82B96" w14:textId="77777777" w:rsidR="00302BFE" w:rsidRPr="0063211A" w:rsidRDefault="00302BFE" w:rsidP="00243B15">
            <w:pPr>
              <w:tabs>
                <w:tab w:val="left" w:pos="226"/>
                <w:tab w:val="left" w:pos="310"/>
              </w:tabs>
              <w:spacing w:before="40" w:after="40"/>
              <w:rPr>
                <w:rFonts w:eastAsia="Times New Roman" w:cs="Calibri"/>
                <w:sz w:val="18"/>
                <w:szCs w:val="18"/>
                <w:lang w:val="en-GB"/>
              </w:rPr>
            </w:pPr>
            <w:r w:rsidRPr="0063211A">
              <w:rPr>
                <w:rFonts w:eastAsia="Times New Roman" w:cs="Calibri"/>
                <w:sz w:val="18"/>
                <w:szCs w:val="18"/>
                <w:lang w:val="en-GB"/>
              </w:rPr>
              <w:t>b) Equipment for a honey production unit ($ 75,000 for the purchase of 40 Kenyan hives, 40 honey presses, 40 ripeners, 40 extractors, 40 stainless steel drums, 80 bee brushes, 80 smokers, 80 hive tools, 400 coveralls, 400 boots, 400 pairs of gloves), for two shea butter production units ($ 40,000 for the purchase of 2 gas firestoves and gas cylinder, 2 churns, 2 shea butter roasters , 2 stainless steel crushers, 2 stainless steel mills, 2 motors, 2 stainless steel manual packaging filters, 2 boilers, 2 briquetting machines, 2 pyrolysis furnaces, 2 cooling systems, 2 mounting brackets, 2 tricycles, small production equipment (barrels, pots, overalls, basins ...), and a production unit of liana juice goïne ($ 10,000 for the purchase of 1 motorized fruit grinder in stainless steel, 1 stainless steel juice mixer, 1 pasteurizer, 1 stainless steel mould, 1 filter packer, 1 stainless steel table) during the 3</w:t>
            </w:r>
            <w:r w:rsidRPr="0063211A">
              <w:rPr>
                <w:rFonts w:eastAsia="Times New Roman" w:cs="Calibri"/>
                <w:sz w:val="18"/>
                <w:szCs w:val="18"/>
                <w:vertAlign w:val="superscript"/>
                <w:lang w:val="en-GB"/>
              </w:rPr>
              <w:t>rd</w:t>
            </w:r>
            <w:r w:rsidRPr="0063211A">
              <w:rPr>
                <w:rFonts w:eastAsia="Times New Roman" w:cs="Calibri"/>
                <w:sz w:val="18"/>
                <w:szCs w:val="18"/>
                <w:lang w:val="en-GB"/>
              </w:rPr>
              <w:t xml:space="preserve">  year. Total cost $ 125,000</w:t>
            </w:r>
          </w:p>
          <w:p w14:paraId="7D9E3CAE" w14:textId="77777777" w:rsidR="00302BFE" w:rsidRPr="0063211A" w:rsidRDefault="00302BFE" w:rsidP="00243B15">
            <w:pPr>
              <w:tabs>
                <w:tab w:val="left" w:pos="226"/>
              </w:tabs>
              <w:spacing w:before="40" w:after="40"/>
              <w:rPr>
                <w:rFonts w:eastAsia="Times New Roman" w:cs="Calibri"/>
                <w:sz w:val="18"/>
                <w:szCs w:val="18"/>
                <w:lang w:val="en-GB"/>
              </w:rPr>
            </w:pPr>
            <w:r w:rsidRPr="0063211A">
              <w:rPr>
                <w:rFonts w:eastAsia="Times New Roman" w:cs="Calibri"/>
                <w:sz w:val="18"/>
                <w:szCs w:val="18"/>
                <w:lang w:val="en-GB"/>
              </w:rPr>
              <w:t>c) Construction of 6 ECOSAN-type public toilets @ $ 800 for tourists in strategic places for tourist activities (Output 3.4.4). Total cost: $ 4,800</w:t>
            </w:r>
          </w:p>
          <w:p w14:paraId="35F15E3C" w14:textId="2E778C77" w:rsidR="00CF30FD" w:rsidRDefault="00CF30FD" w:rsidP="00243B15">
            <w:pPr>
              <w:tabs>
                <w:tab w:val="left" w:pos="226"/>
              </w:tabs>
              <w:spacing w:before="40" w:after="40"/>
              <w:rPr>
                <w:rFonts w:eastAsia="Times New Roman" w:cs="Calibri"/>
                <w:sz w:val="18"/>
                <w:szCs w:val="18"/>
                <w:lang w:val="en-GB"/>
              </w:rPr>
            </w:pPr>
            <w:r w:rsidRPr="0063211A">
              <w:rPr>
                <w:rFonts w:eastAsia="Times New Roman" w:cs="Calibri"/>
                <w:sz w:val="18"/>
                <w:szCs w:val="18"/>
                <w:lang w:val="en-GB"/>
              </w:rPr>
              <w:t xml:space="preserve">d) Purchase of a 4x4 vehicle to support all project activities (25% for the component) @ $ 13,000 </w:t>
            </w:r>
            <w:r w:rsidRPr="005E7018">
              <w:rPr>
                <w:rFonts w:eastAsia="Times New Roman" w:cs="Calibri"/>
                <w:sz w:val="18"/>
                <w:szCs w:val="18"/>
                <w:lang w:val="en-GB"/>
              </w:rPr>
              <w:t>for year 1</w:t>
            </w:r>
            <w:r w:rsidR="00AD796F" w:rsidRPr="005E7018">
              <w:rPr>
                <w:rFonts w:eastAsia="Times New Roman" w:cs="Calibri"/>
                <w:sz w:val="18"/>
                <w:szCs w:val="18"/>
                <w:lang w:val="en-GB"/>
              </w:rPr>
              <w:t xml:space="preserve"> fully cofunded by UNDP</w:t>
            </w:r>
          </w:p>
          <w:p w14:paraId="6BDCEC96" w14:textId="34C64A7E" w:rsidR="006E4995" w:rsidRPr="006E490C" w:rsidRDefault="0063211A" w:rsidP="00243B15">
            <w:pPr>
              <w:tabs>
                <w:tab w:val="left" w:pos="226"/>
              </w:tabs>
              <w:spacing w:before="40" w:after="40"/>
              <w:rPr>
                <w:rFonts w:eastAsia="Times New Roman" w:cs="Calibri"/>
                <w:sz w:val="18"/>
                <w:szCs w:val="18"/>
                <w:lang w:val="en-GB"/>
              </w:rPr>
            </w:pPr>
            <w:r w:rsidRPr="0063211A">
              <w:rPr>
                <w:rFonts w:eastAsia="Times New Roman" w:cs="Calibri"/>
                <w:sz w:val="18"/>
                <w:szCs w:val="18"/>
                <w:lang w:val="en-GB"/>
              </w:rPr>
              <w:t>e</w:t>
            </w:r>
            <w:r w:rsidR="006E4995" w:rsidRPr="0063211A">
              <w:rPr>
                <w:rFonts w:eastAsia="Times New Roman" w:cs="Calibri"/>
                <w:sz w:val="18"/>
                <w:szCs w:val="18"/>
                <w:lang w:val="en-GB"/>
              </w:rPr>
              <w:t>) Purchase of 8 motorcycles for field trips related to the field activities of components 2 and 3, especially technical assistants and community mobilization assistants (50%) @ $ 2,300 / motorcycle - Total cost per component: $ 9,200 year 1</w:t>
            </w:r>
          </w:p>
        </w:tc>
      </w:tr>
      <w:tr w:rsidR="00302BFE" w:rsidRPr="006E490C" w14:paraId="006E2132"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hideMark/>
          </w:tcPr>
          <w:p w14:paraId="169F2175" w14:textId="1AFB492F" w:rsidR="00302BFE" w:rsidRPr="006E490C" w:rsidRDefault="00302BFE" w:rsidP="00243B15">
            <w:pPr>
              <w:spacing w:before="40" w:after="40"/>
              <w:jc w:val="center"/>
              <w:rPr>
                <w:rFonts w:eastAsia="Times New Roman" w:cs="Calibri"/>
                <w:i/>
                <w:iCs/>
                <w:sz w:val="18"/>
                <w:szCs w:val="18"/>
                <w:lang w:val="en-GB"/>
              </w:rPr>
            </w:pPr>
            <w:r w:rsidRPr="006E490C">
              <w:rPr>
                <w:rFonts w:eastAsia="Times New Roman" w:cs="Calibri"/>
                <w:i/>
                <w:iCs/>
                <w:sz w:val="18"/>
                <w:szCs w:val="18"/>
                <w:lang w:val="en-GB"/>
              </w:rPr>
              <w:t>3</w:t>
            </w:r>
            <w:r w:rsidR="002444C5">
              <w:rPr>
                <w:rFonts w:eastAsia="Times New Roman" w:cs="Calibri"/>
                <w:i/>
                <w:iCs/>
                <w:sz w:val="18"/>
                <w:szCs w:val="18"/>
                <w:lang w:val="en-GB"/>
              </w:rPr>
              <w:t>4</w:t>
            </w:r>
          </w:p>
        </w:tc>
        <w:tc>
          <w:tcPr>
            <w:tcW w:w="13687" w:type="dxa"/>
            <w:tcBorders>
              <w:top w:val="single" w:sz="4" w:space="0" w:color="auto"/>
              <w:left w:val="single" w:sz="4" w:space="0" w:color="auto"/>
              <w:bottom w:val="single" w:sz="4" w:space="0" w:color="auto"/>
              <w:right w:val="single" w:sz="4" w:space="0" w:color="auto"/>
            </w:tcBorders>
            <w:hideMark/>
          </w:tcPr>
          <w:p w14:paraId="71D33202" w14:textId="77777777" w:rsidR="00302BFE" w:rsidRPr="00363257" w:rsidRDefault="00302BFE" w:rsidP="00243B15">
            <w:pPr>
              <w:spacing w:before="40" w:after="40"/>
              <w:rPr>
                <w:rFonts w:eastAsia="Times New Roman" w:cs="Calibri"/>
                <w:sz w:val="18"/>
                <w:szCs w:val="18"/>
                <w:lang w:val="en-GB"/>
              </w:rPr>
            </w:pPr>
            <w:r w:rsidRPr="00363257">
              <w:rPr>
                <w:rFonts w:eastAsia="Times New Roman" w:cs="Calibri"/>
                <w:sz w:val="18"/>
                <w:szCs w:val="18"/>
                <w:lang w:val="en-GB"/>
              </w:rPr>
              <w:t>a) Small grants to help farmers / producers / herders at 15 pilot sites to integrate climate-smart agriculture, SLM and sustainable agricultural / forestry / pastoral practices to provide improved and more sustainable livelihoods. Subsidies may be used for the purchase of agricultural and fodder seeds, small equipment and other inputs (Output 3.1.3). These grants will be implemented in accordance with UNDP guidelines for low-value grants. Total cost: $300,000 in years 3, 4, 5.</w:t>
            </w:r>
          </w:p>
          <w:p w14:paraId="4E3272E2" w14:textId="77777777" w:rsidR="00302BFE" w:rsidRPr="00363257" w:rsidRDefault="00302BFE" w:rsidP="00243B15">
            <w:pPr>
              <w:spacing w:before="40" w:after="40"/>
              <w:rPr>
                <w:rFonts w:eastAsia="Times New Roman" w:cs="Calibri"/>
                <w:sz w:val="18"/>
                <w:szCs w:val="18"/>
                <w:lang w:val="en-GB"/>
              </w:rPr>
            </w:pPr>
            <w:r w:rsidRPr="00363257">
              <w:rPr>
                <w:rFonts w:eastAsia="Times New Roman" w:cs="Calibri"/>
                <w:sz w:val="18"/>
                <w:szCs w:val="18"/>
                <w:lang w:val="en-GB"/>
              </w:rPr>
              <w:t>b) Small grants of $2,500 for 40 trainees/small entrepreneurs who have successfully completed training on tourism to fund needs that meet criteria previously defined with the participation of local authorities (Output 3.4.4). These grants will be implemented in accordance with UNDP guidelines for low-value grants. Total cost: $100,000 in year 4.</w:t>
            </w:r>
          </w:p>
        </w:tc>
      </w:tr>
      <w:tr w:rsidR="00302BFE" w:rsidRPr="009363D6" w14:paraId="078016C9"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hideMark/>
          </w:tcPr>
          <w:p w14:paraId="1BFC2D85" w14:textId="0C039AC4" w:rsidR="00302BFE" w:rsidRPr="006E490C" w:rsidRDefault="00302BFE" w:rsidP="00243B15">
            <w:pPr>
              <w:spacing w:before="40" w:after="40"/>
              <w:jc w:val="center"/>
              <w:rPr>
                <w:rFonts w:eastAsia="Times New Roman" w:cs="Calibri"/>
                <w:i/>
                <w:iCs/>
                <w:sz w:val="18"/>
                <w:szCs w:val="18"/>
                <w:lang w:val="en-GB"/>
              </w:rPr>
            </w:pPr>
            <w:r w:rsidRPr="006E490C">
              <w:rPr>
                <w:rFonts w:eastAsia="Times New Roman" w:cs="Calibri"/>
                <w:i/>
                <w:iCs/>
                <w:sz w:val="18"/>
                <w:szCs w:val="18"/>
                <w:lang w:val="en-GB"/>
              </w:rPr>
              <w:t>3</w:t>
            </w:r>
            <w:r w:rsidR="002444C5">
              <w:rPr>
                <w:rFonts w:eastAsia="Times New Roman" w:cs="Calibri"/>
                <w:i/>
                <w:iCs/>
                <w:sz w:val="18"/>
                <w:szCs w:val="18"/>
                <w:lang w:val="en-GB"/>
              </w:rPr>
              <w:t>5</w:t>
            </w:r>
          </w:p>
        </w:tc>
        <w:tc>
          <w:tcPr>
            <w:tcW w:w="13687" w:type="dxa"/>
            <w:tcBorders>
              <w:top w:val="single" w:sz="4" w:space="0" w:color="auto"/>
              <w:left w:val="single" w:sz="4" w:space="0" w:color="auto"/>
              <w:bottom w:val="single" w:sz="4" w:space="0" w:color="auto"/>
              <w:right w:val="single" w:sz="4" w:space="0" w:color="auto"/>
            </w:tcBorders>
            <w:hideMark/>
          </w:tcPr>
          <w:p w14:paraId="346AFD31" w14:textId="77777777" w:rsidR="00302BFE" w:rsidRPr="006E490C" w:rsidRDefault="00302BFE" w:rsidP="00243B15">
            <w:pPr>
              <w:spacing w:before="40" w:after="40"/>
              <w:rPr>
                <w:rFonts w:eastAsia="Times New Roman" w:cs="Calibri"/>
                <w:sz w:val="18"/>
                <w:szCs w:val="18"/>
                <w:lang w:val="en-GB"/>
              </w:rPr>
            </w:pPr>
            <w:r w:rsidRPr="006E490C">
              <w:rPr>
                <w:rFonts w:eastAsia="Times New Roman" w:cs="Calibri"/>
                <w:sz w:val="18"/>
                <w:szCs w:val="18"/>
                <w:lang w:val="en-GB"/>
              </w:rPr>
              <w:t xml:space="preserve">Printed documents (brochures, posters, technical files, guides, etc.) to support the education and sensitization of local communities in the 15 pilot sites and in the 9 </w:t>
            </w:r>
            <w:r w:rsidR="009363D6">
              <w:rPr>
                <w:rFonts w:eastAsia="Times New Roman" w:cs="Calibri"/>
                <w:sz w:val="18"/>
                <w:szCs w:val="18"/>
                <w:lang w:val="en-GB"/>
              </w:rPr>
              <w:t>communes</w:t>
            </w:r>
            <w:r w:rsidRPr="006E490C">
              <w:rPr>
                <w:rFonts w:eastAsia="Times New Roman" w:cs="Calibri"/>
                <w:sz w:val="18"/>
                <w:szCs w:val="18"/>
                <w:lang w:val="en-GB"/>
              </w:rPr>
              <w:t xml:space="preserve"> of the PONASI landscape regarding SLM, CSA and sustainable practices in  agriculture, forestry, and pastoralism (such as fact sheets illustrating technical itineraries, illustrated brochures and toolkits), ensuring gender mainstreaming (with the support of the project gender expert), as well as materials (billboards, printed training materials) to support the widespread dissemination and adoption of improved practices. Total cost: $ 40,000 in years 3 to 5. (Output 3.1, 3.2, 3.3) </w:t>
            </w:r>
          </w:p>
        </w:tc>
      </w:tr>
      <w:tr w:rsidR="00302BFE" w:rsidRPr="006E490C" w14:paraId="4BCFBE53"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hideMark/>
          </w:tcPr>
          <w:p w14:paraId="57F6CDE9" w14:textId="380B5D14" w:rsidR="00302BFE" w:rsidRPr="006E490C" w:rsidRDefault="00302BFE" w:rsidP="00243B15">
            <w:pPr>
              <w:spacing w:before="40" w:after="40"/>
              <w:jc w:val="center"/>
              <w:rPr>
                <w:rFonts w:eastAsia="Times New Roman" w:cs="Calibri"/>
                <w:i/>
                <w:iCs/>
                <w:sz w:val="18"/>
                <w:szCs w:val="18"/>
                <w:lang w:val="en-GB"/>
              </w:rPr>
            </w:pPr>
            <w:r w:rsidRPr="006E490C">
              <w:rPr>
                <w:rFonts w:eastAsia="Times New Roman" w:cs="Calibri"/>
                <w:i/>
                <w:iCs/>
                <w:sz w:val="18"/>
                <w:szCs w:val="18"/>
                <w:lang w:val="en-GB"/>
              </w:rPr>
              <w:lastRenderedPageBreak/>
              <w:t>3</w:t>
            </w:r>
            <w:r w:rsidR="002444C5">
              <w:rPr>
                <w:rFonts w:eastAsia="Times New Roman" w:cs="Calibri"/>
                <w:i/>
                <w:iCs/>
                <w:sz w:val="18"/>
                <w:szCs w:val="18"/>
                <w:lang w:val="en-GB"/>
              </w:rPr>
              <w:t>6</w:t>
            </w:r>
          </w:p>
        </w:tc>
        <w:tc>
          <w:tcPr>
            <w:tcW w:w="13687" w:type="dxa"/>
            <w:tcBorders>
              <w:top w:val="single" w:sz="4" w:space="0" w:color="auto"/>
              <w:left w:val="single" w:sz="4" w:space="0" w:color="auto"/>
              <w:bottom w:val="single" w:sz="4" w:space="0" w:color="auto"/>
              <w:right w:val="single" w:sz="4" w:space="0" w:color="auto"/>
            </w:tcBorders>
            <w:hideMark/>
          </w:tcPr>
          <w:p w14:paraId="32463E45" w14:textId="77777777" w:rsidR="00302BFE" w:rsidRPr="006E490C" w:rsidRDefault="00302BFE" w:rsidP="00243B15">
            <w:pPr>
              <w:spacing w:before="40" w:after="40"/>
              <w:rPr>
                <w:rFonts w:eastAsia="Times New Roman" w:cs="Calibri"/>
                <w:sz w:val="18"/>
                <w:szCs w:val="18"/>
                <w:lang w:val="en-GB"/>
              </w:rPr>
            </w:pPr>
            <w:r w:rsidRPr="006E490C">
              <w:rPr>
                <w:rFonts w:cs="Calibri"/>
                <w:color w:val="000000"/>
                <w:sz w:val="18"/>
                <w:szCs w:val="18"/>
                <w:lang w:val="en-GB"/>
              </w:rPr>
              <w:t>Incidental costs related to sustainable land management and livelihood diversification, including a $4,000 provision in year 1 for costs related to the establishment of baseline values for the outcome indicators under component 3. Total cost: $</w:t>
            </w:r>
            <w:r>
              <w:rPr>
                <w:rFonts w:cs="Calibri"/>
                <w:color w:val="000000"/>
                <w:sz w:val="18"/>
                <w:szCs w:val="18"/>
                <w:lang w:val="en-GB"/>
              </w:rPr>
              <w:t>98</w:t>
            </w:r>
            <w:r w:rsidRPr="006E490C">
              <w:rPr>
                <w:rFonts w:cs="Calibri"/>
                <w:color w:val="000000"/>
                <w:sz w:val="18"/>
                <w:szCs w:val="18"/>
                <w:lang w:val="en-GB"/>
              </w:rPr>
              <w:t>,332 in years 1-6.</w:t>
            </w:r>
          </w:p>
        </w:tc>
      </w:tr>
      <w:tr w:rsidR="00302BFE" w:rsidRPr="006E490C" w14:paraId="38B343A3"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hideMark/>
          </w:tcPr>
          <w:p w14:paraId="7BC54726" w14:textId="10FFAA10" w:rsidR="00302BFE" w:rsidRPr="006E490C" w:rsidRDefault="00302BFE" w:rsidP="00243B15">
            <w:pPr>
              <w:spacing w:before="40" w:after="40"/>
              <w:jc w:val="center"/>
              <w:rPr>
                <w:rFonts w:eastAsia="Times New Roman" w:cs="Calibri"/>
                <w:i/>
                <w:iCs/>
                <w:sz w:val="18"/>
                <w:szCs w:val="18"/>
                <w:lang w:val="en-GB"/>
              </w:rPr>
            </w:pPr>
            <w:r w:rsidRPr="006E490C">
              <w:rPr>
                <w:rFonts w:eastAsia="Times New Roman" w:cs="Calibri"/>
                <w:i/>
                <w:iCs/>
                <w:sz w:val="18"/>
                <w:szCs w:val="18"/>
                <w:lang w:val="en-GB"/>
              </w:rPr>
              <w:t>3</w:t>
            </w:r>
            <w:r w:rsidR="002444C5">
              <w:rPr>
                <w:rFonts w:eastAsia="Times New Roman" w:cs="Calibri"/>
                <w:i/>
                <w:iCs/>
                <w:sz w:val="18"/>
                <w:szCs w:val="18"/>
                <w:lang w:val="en-GB"/>
              </w:rPr>
              <w:t>7</w:t>
            </w:r>
          </w:p>
        </w:tc>
        <w:tc>
          <w:tcPr>
            <w:tcW w:w="13687" w:type="dxa"/>
            <w:tcBorders>
              <w:top w:val="single" w:sz="4" w:space="0" w:color="auto"/>
              <w:left w:val="single" w:sz="4" w:space="0" w:color="auto"/>
              <w:bottom w:val="single" w:sz="4" w:space="0" w:color="auto"/>
              <w:right w:val="single" w:sz="4" w:space="0" w:color="auto"/>
            </w:tcBorders>
            <w:hideMark/>
          </w:tcPr>
          <w:p w14:paraId="5A476434" w14:textId="77777777" w:rsidR="00302BFE" w:rsidRPr="006E490C" w:rsidRDefault="00302BFE" w:rsidP="00243B15">
            <w:pPr>
              <w:spacing w:before="40" w:after="40"/>
              <w:rPr>
                <w:rFonts w:eastAsia="Times New Roman" w:cs="Calibri"/>
                <w:sz w:val="18"/>
                <w:szCs w:val="18"/>
                <w:lang w:val="en-GB"/>
              </w:rPr>
            </w:pPr>
            <w:r w:rsidRPr="006E490C">
              <w:rPr>
                <w:rFonts w:eastAsia="Times New Roman" w:cs="Calibri"/>
                <w:sz w:val="18"/>
                <w:szCs w:val="18"/>
                <w:lang w:val="en-GB"/>
              </w:rPr>
              <w:t xml:space="preserve">a) Costs of a workshop (1/2 day) for the restitution of the results of the </w:t>
            </w:r>
            <w:r>
              <w:rPr>
                <w:rFonts w:eastAsia="Times New Roman" w:cs="Calibri"/>
                <w:sz w:val="18"/>
                <w:szCs w:val="18"/>
                <w:lang w:val="en-GB"/>
              </w:rPr>
              <w:t>Forest management worksites</w:t>
            </w:r>
            <w:r w:rsidRPr="006E490C">
              <w:rPr>
                <w:rFonts w:eastAsia="Times New Roman" w:cs="Calibri"/>
                <w:sz w:val="18"/>
                <w:szCs w:val="18"/>
                <w:lang w:val="en-GB"/>
              </w:rPr>
              <w:t xml:space="preserve"> (CAF) Assessment for 75 participants in Year 2 (Output 3.2.3). Total cost: $ 700.</w:t>
            </w:r>
          </w:p>
          <w:p w14:paraId="7FDC1234" w14:textId="77777777" w:rsidR="00302BFE" w:rsidRPr="006E490C" w:rsidRDefault="00302BFE" w:rsidP="00243B15">
            <w:pPr>
              <w:spacing w:before="40" w:after="40"/>
              <w:rPr>
                <w:rFonts w:eastAsia="Times New Roman" w:cs="Calibri"/>
                <w:sz w:val="18"/>
                <w:szCs w:val="18"/>
                <w:lang w:val="en-GB"/>
              </w:rPr>
            </w:pPr>
            <w:r w:rsidRPr="006E490C">
              <w:rPr>
                <w:rFonts w:eastAsia="Times New Roman" w:cs="Calibri"/>
                <w:sz w:val="18"/>
                <w:szCs w:val="18"/>
                <w:lang w:val="en-GB"/>
              </w:rPr>
              <w:t>b) Costs of a workshop (1/2 day) for the validation of the sustainable tourism strategy for the PONASI landscape and the identification of the preferred form of legal instrument for tourism management in relation to the protected areas of the PONASI landscape (Output 3.4.1) for 50 people in year 2. Total cost: $ 500</w:t>
            </w:r>
          </w:p>
        </w:tc>
      </w:tr>
      <w:tr w:rsidR="00302BFE" w:rsidRPr="006E490C" w14:paraId="2B08799B"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tcPr>
          <w:p w14:paraId="503689AC" w14:textId="1ABC8C40" w:rsidR="00302BFE" w:rsidRPr="006E490C" w:rsidRDefault="00302BFE" w:rsidP="00243B15">
            <w:pPr>
              <w:spacing w:before="40" w:after="40"/>
              <w:jc w:val="center"/>
              <w:rPr>
                <w:rFonts w:eastAsia="Times New Roman" w:cs="Calibri"/>
                <w:i/>
                <w:iCs/>
                <w:sz w:val="18"/>
                <w:szCs w:val="18"/>
                <w:lang w:val="en-GB"/>
              </w:rPr>
            </w:pPr>
            <w:r w:rsidRPr="006E490C">
              <w:rPr>
                <w:rFonts w:eastAsia="Times New Roman" w:cs="Calibri"/>
                <w:i/>
                <w:iCs/>
                <w:sz w:val="18"/>
                <w:szCs w:val="18"/>
                <w:lang w:val="en-GB"/>
              </w:rPr>
              <w:t>3</w:t>
            </w:r>
            <w:r w:rsidR="002444C5">
              <w:rPr>
                <w:rFonts w:eastAsia="Times New Roman" w:cs="Calibri"/>
                <w:i/>
                <w:iCs/>
                <w:sz w:val="18"/>
                <w:szCs w:val="18"/>
                <w:lang w:val="en-GB"/>
              </w:rPr>
              <w:t>8</w:t>
            </w:r>
          </w:p>
        </w:tc>
        <w:tc>
          <w:tcPr>
            <w:tcW w:w="13687" w:type="dxa"/>
            <w:tcBorders>
              <w:top w:val="single" w:sz="4" w:space="0" w:color="auto"/>
              <w:left w:val="single" w:sz="4" w:space="0" w:color="auto"/>
              <w:bottom w:val="single" w:sz="4" w:space="0" w:color="auto"/>
              <w:right w:val="single" w:sz="4" w:space="0" w:color="auto"/>
            </w:tcBorders>
          </w:tcPr>
          <w:p w14:paraId="574C73EF" w14:textId="77777777" w:rsidR="00302BFE" w:rsidRPr="006E490C" w:rsidRDefault="00302BFE" w:rsidP="00243B15">
            <w:pPr>
              <w:spacing w:before="40" w:after="40"/>
              <w:rPr>
                <w:rFonts w:eastAsia="Times New Roman" w:cs="Calibri"/>
                <w:sz w:val="18"/>
                <w:szCs w:val="18"/>
                <w:lang w:val="en-GB"/>
              </w:rPr>
            </w:pPr>
            <w:r w:rsidRPr="006E490C">
              <w:rPr>
                <w:rFonts w:cs="Calibri"/>
                <w:sz w:val="18"/>
                <w:szCs w:val="18"/>
                <w:lang w:val="en-CA"/>
              </w:rPr>
              <w:t>Mission expenses / periodic monitoring and technical support for component 3 activities by UNDP staff @ $2,000 / year. Total cost $12,000.</w:t>
            </w:r>
          </w:p>
        </w:tc>
      </w:tr>
      <w:tr w:rsidR="00302BFE" w:rsidRPr="006E490C" w14:paraId="4ADB797D"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tcPr>
          <w:p w14:paraId="7F2E0AB8" w14:textId="67A6339A" w:rsidR="00302BFE" w:rsidRPr="006E490C" w:rsidRDefault="00302BFE" w:rsidP="00243B15">
            <w:pPr>
              <w:spacing w:before="40" w:after="40"/>
              <w:jc w:val="center"/>
              <w:rPr>
                <w:rFonts w:eastAsia="Times New Roman" w:cs="Calibri"/>
                <w:i/>
                <w:iCs/>
                <w:sz w:val="18"/>
                <w:szCs w:val="18"/>
                <w:lang w:val="en-GB"/>
              </w:rPr>
            </w:pPr>
            <w:r w:rsidRPr="006E490C">
              <w:rPr>
                <w:rFonts w:eastAsia="Times New Roman" w:cs="Calibri"/>
                <w:i/>
                <w:iCs/>
                <w:sz w:val="18"/>
                <w:szCs w:val="18"/>
                <w:lang w:val="en-GB"/>
              </w:rPr>
              <w:t>3</w:t>
            </w:r>
            <w:r w:rsidR="002444C5">
              <w:rPr>
                <w:rFonts w:eastAsia="Times New Roman" w:cs="Calibri"/>
                <w:i/>
                <w:iCs/>
                <w:sz w:val="18"/>
                <w:szCs w:val="18"/>
                <w:lang w:val="en-GB"/>
              </w:rPr>
              <w:t>9</w:t>
            </w:r>
          </w:p>
        </w:tc>
        <w:tc>
          <w:tcPr>
            <w:tcW w:w="13687" w:type="dxa"/>
            <w:tcBorders>
              <w:top w:val="single" w:sz="4" w:space="0" w:color="auto"/>
              <w:left w:val="single" w:sz="4" w:space="0" w:color="auto"/>
              <w:bottom w:val="single" w:sz="4" w:space="0" w:color="auto"/>
              <w:right w:val="single" w:sz="4" w:space="0" w:color="auto"/>
            </w:tcBorders>
          </w:tcPr>
          <w:p w14:paraId="245E25C3" w14:textId="77777777" w:rsidR="00302BFE" w:rsidRPr="00E03056" w:rsidRDefault="00302BFE" w:rsidP="00243B15">
            <w:pPr>
              <w:spacing w:before="40" w:after="40"/>
              <w:rPr>
                <w:rFonts w:eastAsia="Times New Roman" w:cs="Calibri"/>
                <w:sz w:val="18"/>
                <w:szCs w:val="18"/>
                <w:lang w:val="en-GB"/>
              </w:rPr>
            </w:pPr>
            <w:r w:rsidRPr="00E03056">
              <w:rPr>
                <w:rFonts w:eastAsia="Times New Roman" w:cs="Calibri"/>
                <w:sz w:val="18"/>
                <w:szCs w:val="18"/>
                <w:lang w:val="en-GB"/>
              </w:rPr>
              <w:t>Budget reserve for possible fee adjustments based on the recruitment method for contracts under component 3 @ $7,500/year for years 2 to 6. Total amount $37,500</w:t>
            </w:r>
          </w:p>
        </w:tc>
      </w:tr>
      <w:tr w:rsidR="00302BFE" w:rsidRPr="006E490C" w14:paraId="3B36226C"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tcPr>
          <w:p w14:paraId="60D08D78" w14:textId="526EAC98" w:rsidR="00302BFE" w:rsidRPr="006E490C" w:rsidRDefault="002444C5" w:rsidP="00243B15">
            <w:pPr>
              <w:spacing w:before="40" w:after="40"/>
              <w:jc w:val="center"/>
              <w:rPr>
                <w:rFonts w:eastAsia="Times New Roman" w:cs="Calibri"/>
                <w:i/>
                <w:iCs/>
                <w:sz w:val="18"/>
                <w:szCs w:val="18"/>
                <w:lang w:val="en-GB"/>
              </w:rPr>
            </w:pPr>
            <w:r>
              <w:rPr>
                <w:rFonts w:eastAsia="Times New Roman" w:cs="Calibri"/>
                <w:i/>
                <w:iCs/>
                <w:sz w:val="18"/>
                <w:szCs w:val="18"/>
                <w:lang w:val="en-GB"/>
              </w:rPr>
              <w:t>40</w:t>
            </w:r>
          </w:p>
        </w:tc>
        <w:tc>
          <w:tcPr>
            <w:tcW w:w="13687" w:type="dxa"/>
            <w:tcBorders>
              <w:top w:val="single" w:sz="4" w:space="0" w:color="auto"/>
              <w:left w:val="single" w:sz="4" w:space="0" w:color="auto"/>
              <w:bottom w:val="single" w:sz="4" w:space="0" w:color="auto"/>
              <w:right w:val="single" w:sz="4" w:space="0" w:color="auto"/>
            </w:tcBorders>
          </w:tcPr>
          <w:p w14:paraId="3BD0255D" w14:textId="77777777" w:rsidR="00302BFE" w:rsidRPr="00E03056" w:rsidRDefault="00302BFE" w:rsidP="00243B15">
            <w:pPr>
              <w:spacing w:before="40" w:after="40"/>
              <w:rPr>
                <w:rFonts w:eastAsia="Times New Roman" w:cs="Calibri"/>
                <w:sz w:val="18"/>
                <w:szCs w:val="18"/>
                <w:lang w:val="en-GB"/>
              </w:rPr>
            </w:pPr>
            <w:r w:rsidRPr="00E03056">
              <w:rPr>
                <w:rFonts w:cs="Calibri"/>
                <w:sz w:val="18"/>
                <w:szCs w:val="18"/>
                <w:lang w:val="en-CA"/>
              </w:rPr>
              <w:t>Budgetary reserve for possible contribution to the rental of the office of the PCU and to the acquisition of equipment and furniture, necessary for the conduct of the interventions under component 3 @ $3,000 / year for the years 1 to 6. Total cost: $ 18,000.</w:t>
            </w:r>
          </w:p>
        </w:tc>
      </w:tr>
      <w:tr w:rsidR="00302BFE" w:rsidRPr="006E490C" w14:paraId="173919D1" w14:textId="77777777" w:rsidTr="004F4EA2">
        <w:trPr>
          <w:jc w:val="center"/>
        </w:trPr>
        <w:tc>
          <w:tcPr>
            <w:tcW w:w="14390" w:type="dxa"/>
            <w:gridSpan w:val="2"/>
            <w:tcBorders>
              <w:top w:val="single" w:sz="4" w:space="0" w:color="auto"/>
              <w:left w:val="single" w:sz="4" w:space="0" w:color="auto"/>
              <w:bottom w:val="single" w:sz="4" w:space="0" w:color="auto"/>
              <w:right w:val="single" w:sz="4" w:space="0" w:color="auto"/>
            </w:tcBorders>
            <w:shd w:val="clear" w:color="auto" w:fill="DEEAF6"/>
            <w:hideMark/>
          </w:tcPr>
          <w:p w14:paraId="26D36792" w14:textId="77777777" w:rsidR="00302BFE" w:rsidRPr="006E490C" w:rsidRDefault="00302BFE" w:rsidP="00243B15">
            <w:pPr>
              <w:spacing w:before="40" w:after="40"/>
              <w:rPr>
                <w:rFonts w:cs="Calibri"/>
                <w:b/>
                <w:bCs/>
                <w:sz w:val="18"/>
                <w:szCs w:val="18"/>
                <w:lang w:val="en-GB"/>
              </w:rPr>
            </w:pPr>
            <w:r w:rsidRPr="006E490C">
              <w:rPr>
                <w:b/>
                <w:sz w:val="18"/>
                <w:szCs w:val="18"/>
                <w:lang w:val="en-GB"/>
              </w:rPr>
              <w:t>Component 4. Gender mainstreaming and knowledge management and learning</w:t>
            </w:r>
          </w:p>
        </w:tc>
      </w:tr>
      <w:tr w:rsidR="00302BFE" w:rsidRPr="006E490C" w14:paraId="2DB24FFB"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hideMark/>
          </w:tcPr>
          <w:p w14:paraId="04A02F3C" w14:textId="05E9960B" w:rsidR="00302BFE" w:rsidRPr="006E490C" w:rsidRDefault="00302BFE" w:rsidP="00243B15">
            <w:pPr>
              <w:spacing w:before="40" w:after="40"/>
              <w:jc w:val="center"/>
              <w:rPr>
                <w:rFonts w:eastAsia="Times New Roman" w:cs="Calibri"/>
                <w:i/>
                <w:iCs/>
                <w:sz w:val="18"/>
                <w:szCs w:val="18"/>
                <w:lang w:val="en-GB"/>
              </w:rPr>
            </w:pPr>
            <w:r w:rsidRPr="006E490C">
              <w:rPr>
                <w:rFonts w:eastAsia="Times New Roman" w:cs="Calibri"/>
                <w:i/>
                <w:iCs/>
                <w:sz w:val="18"/>
                <w:szCs w:val="18"/>
                <w:lang w:val="en-GB"/>
              </w:rPr>
              <w:t>4</w:t>
            </w:r>
            <w:r w:rsidR="002444C5">
              <w:rPr>
                <w:rFonts w:eastAsia="Times New Roman" w:cs="Calibri"/>
                <w:i/>
                <w:iCs/>
                <w:sz w:val="18"/>
                <w:szCs w:val="18"/>
                <w:lang w:val="en-GB"/>
              </w:rPr>
              <w:t>1</w:t>
            </w:r>
          </w:p>
        </w:tc>
        <w:tc>
          <w:tcPr>
            <w:tcW w:w="13687" w:type="dxa"/>
            <w:tcBorders>
              <w:top w:val="single" w:sz="4" w:space="0" w:color="auto"/>
              <w:left w:val="single" w:sz="4" w:space="0" w:color="auto"/>
              <w:bottom w:val="single" w:sz="4" w:space="0" w:color="auto"/>
              <w:right w:val="single" w:sz="4" w:space="0" w:color="auto"/>
            </w:tcBorders>
            <w:hideMark/>
          </w:tcPr>
          <w:p w14:paraId="1040CF24" w14:textId="77777777" w:rsidR="00302BFE" w:rsidRPr="006E490C" w:rsidRDefault="00302BFE" w:rsidP="00243B15">
            <w:pPr>
              <w:spacing w:before="40" w:after="40"/>
              <w:rPr>
                <w:rFonts w:eastAsia="Times New Roman" w:cs="Calibri"/>
                <w:sz w:val="18"/>
                <w:szCs w:val="18"/>
                <w:lang w:val="en-GB"/>
              </w:rPr>
            </w:pPr>
            <w:r w:rsidRPr="006E490C">
              <w:rPr>
                <w:rFonts w:eastAsia="Times New Roman" w:cs="Calibri"/>
                <w:sz w:val="18"/>
                <w:szCs w:val="18"/>
                <w:lang w:val="en-GB"/>
              </w:rPr>
              <w:t>a) Fees of the international consultant for the mid-term review of the project. Total cost: $ 16,250 in year 3 (Output 4.2).</w:t>
            </w:r>
          </w:p>
          <w:p w14:paraId="2157505A" w14:textId="77777777" w:rsidR="00302BFE" w:rsidRPr="006E490C" w:rsidRDefault="00302BFE" w:rsidP="00243B15">
            <w:pPr>
              <w:spacing w:before="40" w:after="40"/>
              <w:rPr>
                <w:rFonts w:eastAsia="Times New Roman" w:cs="Calibri"/>
                <w:sz w:val="18"/>
                <w:szCs w:val="18"/>
                <w:lang w:val="en-GB"/>
              </w:rPr>
            </w:pPr>
            <w:r w:rsidRPr="006E490C">
              <w:rPr>
                <w:rFonts w:eastAsia="Times New Roman" w:cs="Calibri"/>
                <w:sz w:val="18"/>
                <w:szCs w:val="18"/>
                <w:lang w:val="en-GB"/>
              </w:rPr>
              <w:t>(b) Fees of the international consultant for the final evaluation of the project. Total cost: $ 19,600 in year 6 (Output 4.2).</w:t>
            </w:r>
          </w:p>
        </w:tc>
      </w:tr>
      <w:tr w:rsidR="00302BFE" w:rsidRPr="006E490C" w14:paraId="58BDE98D"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hideMark/>
          </w:tcPr>
          <w:p w14:paraId="2CB32E5F" w14:textId="12CCCD57" w:rsidR="00302BFE" w:rsidRPr="006E490C" w:rsidRDefault="00302BFE" w:rsidP="00243B15">
            <w:pPr>
              <w:spacing w:before="40" w:after="40"/>
              <w:jc w:val="center"/>
              <w:rPr>
                <w:rFonts w:eastAsia="Times New Roman" w:cs="Calibri"/>
                <w:i/>
                <w:iCs/>
                <w:sz w:val="18"/>
                <w:szCs w:val="18"/>
                <w:lang w:val="en-GB"/>
              </w:rPr>
            </w:pPr>
            <w:r w:rsidRPr="006E490C">
              <w:rPr>
                <w:rFonts w:eastAsia="Times New Roman" w:cs="Calibri"/>
                <w:i/>
                <w:iCs/>
                <w:sz w:val="18"/>
                <w:szCs w:val="18"/>
                <w:lang w:val="en-GB"/>
              </w:rPr>
              <w:t>4</w:t>
            </w:r>
            <w:r w:rsidR="002444C5">
              <w:rPr>
                <w:rFonts w:eastAsia="Times New Roman" w:cs="Calibri"/>
                <w:i/>
                <w:iCs/>
                <w:sz w:val="18"/>
                <w:szCs w:val="18"/>
                <w:lang w:val="en-GB"/>
              </w:rPr>
              <w:t>2</w:t>
            </w:r>
          </w:p>
        </w:tc>
        <w:tc>
          <w:tcPr>
            <w:tcW w:w="13687" w:type="dxa"/>
            <w:tcBorders>
              <w:top w:val="single" w:sz="4" w:space="0" w:color="auto"/>
              <w:left w:val="single" w:sz="4" w:space="0" w:color="auto"/>
              <w:bottom w:val="single" w:sz="4" w:space="0" w:color="auto"/>
              <w:right w:val="single" w:sz="4" w:space="0" w:color="auto"/>
            </w:tcBorders>
            <w:hideMark/>
          </w:tcPr>
          <w:p w14:paraId="7106B259" w14:textId="77777777" w:rsidR="00302BFE" w:rsidRPr="006E490C" w:rsidRDefault="00302BFE" w:rsidP="00243B15">
            <w:pPr>
              <w:spacing w:before="40" w:after="40"/>
              <w:rPr>
                <w:rFonts w:eastAsia="Times New Roman" w:cs="Calibri"/>
                <w:sz w:val="18"/>
                <w:szCs w:val="18"/>
                <w:lang w:val="en-GB"/>
              </w:rPr>
            </w:pPr>
            <w:r w:rsidRPr="006E490C">
              <w:rPr>
                <w:rFonts w:eastAsia="Times New Roman" w:cs="Calibri"/>
                <w:sz w:val="18"/>
                <w:szCs w:val="18"/>
                <w:lang w:val="en-GB"/>
              </w:rPr>
              <w:t>a) Fees for the national consultant for the mid-term review of the project. Total cost: $ 5,000 in year 3 (Output 4.2).</w:t>
            </w:r>
          </w:p>
          <w:p w14:paraId="28F4F73F" w14:textId="77777777" w:rsidR="00302BFE" w:rsidRPr="006E490C" w:rsidRDefault="00302BFE" w:rsidP="00243B15">
            <w:pPr>
              <w:spacing w:before="40" w:after="40"/>
              <w:rPr>
                <w:rFonts w:eastAsia="Times New Roman" w:cs="Calibri"/>
                <w:sz w:val="18"/>
                <w:szCs w:val="18"/>
                <w:lang w:val="en-GB"/>
              </w:rPr>
            </w:pPr>
            <w:r w:rsidRPr="006E490C">
              <w:rPr>
                <w:rFonts w:eastAsia="Times New Roman" w:cs="Calibri"/>
                <w:sz w:val="18"/>
                <w:szCs w:val="18"/>
                <w:lang w:val="en-GB"/>
              </w:rPr>
              <w:t>(b) National consultant fees for the final evaluation of the project. Total cost: $ 5,600 in year 6 (Output 4.2).</w:t>
            </w:r>
          </w:p>
        </w:tc>
      </w:tr>
      <w:tr w:rsidR="00302BFE" w:rsidRPr="006E490C" w14:paraId="4D99CA6B"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hideMark/>
          </w:tcPr>
          <w:p w14:paraId="08B5B2DF" w14:textId="2E1F1AFE" w:rsidR="00302BFE" w:rsidRPr="006E490C" w:rsidRDefault="00302BFE" w:rsidP="00243B15">
            <w:pPr>
              <w:spacing w:before="40" w:after="40"/>
              <w:jc w:val="center"/>
              <w:rPr>
                <w:rFonts w:eastAsia="Times New Roman" w:cs="Calibri"/>
                <w:i/>
                <w:iCs/>
                <w:sz w:val="18"/>
                <w:szCs w:val="18"/>
                <w:lang w:val="en-GB"/>
              </w:rPr>
            </w:pPr>
            <w:r w:rsidRPr="006E490C">
              <w:rPr>
                <w:rFonts w:eastAsia="Times New Roman" w:cs="Calibri"/>
                <w:i/>
                <w:iCs/>
                <w:sz w:val="18"/>
                <w:szCs w:val="18"/>
                <w:lang w:val="en-GB"/>
              </w:rPr>
              <w:t>4</w:t>
            </w:r>
            <w:r w:rsidR="002444C5">
              <w:rPr>
                <w:rFonts w:eastAsia="Times New Roman" w:cs="Calibri"/>
                <w:i/>
                <w:iCs/>
                <w:sz w:val="18"/>
                <w:szCs w:val="18"/>
                <w:lang w:val="en-GB"/>
              </w:rPr>
              <w:t>3</w:t>
            </w:r>
          </w:p>
        </w:tc>
        <w:tc>
          <w:tcPr>
            <w:tcW w:w="13687" w:type="dxa"/>
            <w:tcBorders>
              <w:top w:val="single" w:sz="4" w:space="0" w:color="auto"/>
              <w:left w:val="single" w:sz="4" w:space="0" w:color="auto"/>
              <w:bottom w:val="single" w:sz="4" w:space="0" w:color="auto"/>
              <w:right w:val="single" w:sz="4" w:space="0" w:color="auto"/>
            </w:tcBorders>
            <w:hideMark/>
          </w:tcPr>
          <w:p w14:paraId="3D9BD706" w14:textId="77777777" w:rsidR="00302BFE" w:rsidRPr="006E490C" w:rsidRDefault="00302BFE" w:rsidP="00243B15">
            <w:pPr>
              <w:spacing w:before="40" w:after="40"/>
              <w:rPr>
                <w:rFonts w:eastAsia="Times New Roman" w:cs="Calibri"/>
                <w:sz w:val="18"/>
                <w:szCs w:val="18"/>
                <w:lang w:val="en-GB"/>
              </w:rPr>
            </w:pPr>
            <w:r w:rsidRPr="006E490C">
              <w:rPr>
                <w:rFonts w:eastAsia="Times New Roman" w:cs="Calibri"/>
                <w:sz w:val="18"/>
                <w:szCs w:val="18"/>
                <w:lang w:val="en-GB"/>
              </w:rPr>
              <w:t>a) Project coordinator (20% of time for the component) responsible for providing technical inputs to all outputs under the component 4, including the output 4.1 for the development, implementation, monitoring and assessment of the Gender Action Plan, output 4.2 for knowledge management and output 4.3 for the dissemination of learnings made through the project. $400 / month over 6 years. Total cost: $ 28,800.</w:t>
            </w:r>
          </w:p>
          <w:p w14:paraId="1E94DBFF" w14:textId="77777777" w:rsidR="00302BFE" w:rsidRPr="006E490C" w:rsidRDefault="00302BFE" w:rsidP="00243B15">
            <w:pPr>
              <w:spacing w:before="40" w:after="40"/>
              <w:rPr>
                <w:rFonts w:eastAsia="Times New Roman" w:cs="Calibri"/>
                <w:sz w:val="18"/>
                <w:szCs w:val="18"/>
                <w:lang w:val="en-GB"/>
              </w:rPr>
            </w:pPr>
            <w:r w:rsidRPr="006E490C">
              <w:rPr>
                <w:rFonts w:eastAsia="Times New Roman" w:cs="Calibri"/>
                <w:sz w:val="18"/>
                <w:szCs w:val="18"/>
                <w:lang w:val="en-GB"/>
              </w:rPr>
              <w:t>b) Project driver / logistician (25% for the component) to support component 4 of the project @ $ 150 / month for 70 months - Total cost: $ 13,125</w:t>
            </w:r>
          </w:p>
          <w:p w14:paraId="4FC87ECE" w14:textId="77777777" w:rsidR="00302BFE" w:rsidRPr="00E03056" w:rsidRDefault="00302BFE" w:rsidP="00243B15">
            <w:pPr>
              <w:spacing w:before="40" w:after="40"/>
              <w:rPr>
                <w:rFonts w:eastAsia="Times New Roman" w:cs="Calibri"/>
                <w:sz w:val="18"/>
                <w:szCs w:val="18"/>
                <w:lang w:val="en-GB"/>
              </w:rPr>
            </w:pPr>
            <w:r w:rsidRPr="006E490C">
              <w:rPr>
                <w:rFonts w:eastAsia="Times New Roman" w:cs="Calibri"/>
                <w:sz w:val="18"/>
                <w:szCs w:val="18"/>
                <w:lang w:val="en-GB"/>
              </w:rPr>
              <w:t>c</w:t>
            </w:r>
            <w:r w:rsidRPr="00E03056">
              <w:rPr>
                <w:rFonts w:eastAsia="Times New Roman" w:cs="Calibri"/>
                <w:sz w:val="18"/>
                <w:szCs w:val="18"/>
                <w:lang w:val="en-GB"/>
              </w:rPr>
              <w:t>) Expert in Monitoring-Evaluation / Safeguards (50% for the component): Project monitoring, including undertaking and coordinating the establishment of baseline values for PRF indicators in the first year of the project, updating of the indicators of outcome 4 in cooperation with other project specialized staff for specific indicators, ongoing monitoring of environmental and social risks, and reporting as part of the annual review processes, for the PIR and the end of the year review. $850/ month for 12 months. Annual cost: $10,500 in years 1 to 6 total cost: $ 63,000 (Output 4.2).</w:t>
            </w:r>
          </w:p>
          <w:p w14:paraId="59B59561" w14:textId="77777777" w:rsidR="00302BFE" w:rsidRPr="00E03056" w:rsidRDefault="00302BFE" w:rsidP="00243B15">
            <w:pPr>
              <w:spacing w:before="40" w:after="40"/>
              <w:rPr>
                <w:rFonts w:eastAsia="Times New Roman" w:cs="Calibri"/>
                <w:sz w:val="18"/>
                <w:szCs w:val="18"/>
                <w:lang w:val="en-GB"/>
              </w:rPr>
            </w:pPr>
            <w:r w:rsidRPr="00E03056">
              <w:rPr>
                <w:rFonts w:eastAsia="Times New Roman" w:cs="Calibri"/>
                <w:sz w:val="18"/>
                <w:szCs w:val="18"/>
                <w:lang w:val="en-GB"/>
              </w:rPr>
              <w:t>d) Gender specialist (70% for the component) responsible for overseeing gender mainstreaming in the project and monitoring the implementation of the gender action plan, and especially under the component 4, planning and implementation of gender-sensitive socio-economic surveys to monitor women's participation and project impacts on women, and planning the evaluation of the project's contribution to removing barriers that prevent women from benefiting equitably from ecosystem services in the PONASI landscape (output 4.1). Annual rate: $7,350 in years 1 to 6. Total cost: $44,100</w:t>
            </w:r>
          </w:p>
          <w:p w14:paraId="26307D56" w14:textId="77777777" w:rsidR="00302BFE" w:rsidRDefault="00302BFE" w:rsidP="00243B15">
            <w:pPr>
              <w:spacing w:before="40" w:after="40"/>
              <w:rPr>
                <w:rFonts w:eastAsia="Times New Roman" w:cs="Calibri"/>
                <w:sz w:val="18"/>
                <w:szCs w:val="18"/>
                <w:lang w:val="en-GB"/>
              </w:rPr>
            </w:pPr>
            <w:r w:rsidRPr="00E03056">
              <w:rPr>
                <w:rFonts w:eastAsia="Times New Roman" w:cs="Calibri"/>
                <w:sz w:val="18"/>
                <w:szCs w:val="18"/>
                <w:lang w:val="en-GB"/>
              </w:rPr>
              <w:t>e) Communication / knowledge management expert (70% for the component) responsible for the development and implementation of the project communication strategy in support of all project components, communication and outreach activities (output 4.2), as well</w:t>
            </w:r>
            <w:r w:rsidRPr="006E490C">
              <w:rPr>
                <w:rFonts w:eastAsia="Times New Roman" w:cs="Calibri"/>
                <w:sz w:val="18"/>
                <w:szCs w:val="18"/>
                <w:lang w:val="en-GB"/>
              </w:rPr>
              <w:t xml:space="preserve"> as documentation and dissemination of lessons learned from best practices (output 4.3). Annual rate: $7,350 in years 1 to 6 total cost: $44,100</w:t>
            </w:r>
          </w:p>
          <w:p w14:paraId="2D451094" w14:textId="40F2650F" w:rsidR="00302BFE" w:rsidRPr="006E490C" w:rsidRDefault="00302BFE" w:rsidP="00243B15">
            <w:pPr>
              <w:spacing w:before="40" w:after="40"/>
              <w:rPr>
                <w:rFonts w:eastAsia="Times New Roman" w:cs="Calibri"/>
                <w:sz w:val="18"/>
                <w:szCs w:val="18"/>
                <w:lang w:val="en-GB"/>
              </w:rPr>
            </w:pPr>
            <w:r w:rsidRPr="007C3BCE">
              <w:rPr>
                <w:rFonts w:eastAsia="Times New Roman" w:cs="Calibri"/>
                <w:sz w:val="18"/>
                <w:szCs w:val="18"/>
                <w:highlight w:val="green"/>
                <w:lang w:val="en-GB"/>
              </w:rPr>
              <w:t xml:space="preserve">f) Specialist in Environmental and Social Impact Assessment to prepare an Environmental and Social Management Plan for the project </w:t>
            </w:r>
            <w:r w:rsidR="00F47002">
              <w:rPr>
                <w:rFonts w:eastAsia="Times New Roman" w:cs="Calibri"/>
                <w:sz w:val="18"/>
                <w:szCs w:val="18"/>
                <w:highlight w:val="green"/>
                <w:lang w:val="en-GB"/>
              </w:rPr>
              <w:t>(Outputs indicated in the ESMF, in attachment the the ProDoc)</w:t>
            </w:r>
            <w:r w:rsidRPr="007C3BCE">
              <w:rPr>
                <w:rFonts w:eastAsia="Times New Roman" w:cs="Calibri"/>
                <w:sz w:val="18"/>
                <w:szCs w:val="18"/>
                <w:highlight w:val="green"/>
                <w:lang w:val="en-GB"/>
              </w:rPr>
              <w:t>Rate: $20,000 in the 1</w:t>
            </w:r>
            <w:r w:rsidRPr="007C3BCE">
              <w:rPr>
                <w:rFonts w:eastAsia="Times New Roman" w:cs="Calibri"/>
                <w:sz w:val="18"/>
                <w:szCs w:val="18"/>
                <w:highlight w:val="green"/>
                <w:vertAlign w:val="superscript"/>
                <w:lang w:val="en-GB"/>
              </w:rPr>
              <w:t>st</w:t>
            </w:r>
            <w:r w:rsidRPr="007C3BCE">
              <w:rPr>
                <w:rFonts w:eastAsia="Times New Roman" w:cs="Calibri"/>
                <w:sz w:val="18"/>
                <w:szCs w:val="18"/>
                <w:highlight w:val="green"/>
                <w:lang w:val="en-GB"/>
              </w:rPr>
              <w:t xml:space="preserve"> year, paid as a lump sum based on the deliverables. The total amount shall be all-inclusive and include all costs components required to perform the deliverables identified in the TORs, including professional fee, travel costs, living allowance (for work to be done outside the consultant’s duty station) and any other applicable cost to be incurred by the consultant in completing the assignment. Total cost: $ </w:t>
            </w:r>
            <w:r w:rsidR="00E76957">
              <w:rPr>
                <w:rFonts w:eastAsia="Times New Roman" w:cs="Calibri"/>
                <w:sz w:val="18"/>
                <w:szCs w:val="18"/>
                <w:highlight w:val="green"/>
                <w:lang w:val="en-GB"/>
              </w:rPr>
              <w:t>6</w:t>
            </w:r>
            <w:r w:rsidRPr="007C3BCE">
              <w:rPr>
                <w:rFonts w:eastAsia="Times New Roman" w:cs="Calibri"/>
                <w:sz w:val="18"/>
                <w:szCs w:val="18"/>
                <w:highlight w:val="green"/>
                <w:lang w:val="en-GB"/>
              </w:rPr>
              <w:t>0,000.</w:t>
            </w:r>
          </w:p>
        </w:tc>
      </w:tr>
      <w:tr w:rsidR="00302BFE" w:rsidRPr="006E490C" w14:paraId="161FA955"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hideMark/>
          </w:tcPr>
          <w:p w14:paraId="1FF73DBE" w14:textId="1C45E917" w:rsidR="00302BFE" w:rsidRPr="006E490C" w:rsidRDefault="00302BFE" w:rsidP="00243B15">
            <w:pPr>
              <w:spacing w:before="40" w:after="40"/>
              <w:jc w:val="center"/>
              <w:rPr>
                <w:rFonts w:eastAsia="Times New Roman" w:cs="Calibri"/>
                <w:i/>
                <w:iCs/>
                <w:sz w:val="18"/>
                <w:szCs w:val="18"/>
                <w:lang w:val="en-GB"/>
              </w:rPr>
            </w:pPr>
            <w:r w:rsidRPr="006E490C">
              <w:rPr>
                <w:rFonts w:eastAsia="Times New Roman" w:cs="Calibri"/>
                <w:i/>
                <w:iCs/>
                <w:sz w:val="18"/>
                <w:szCs w:val="18"/>
                <w:lang w:val="en-GB"/>
              </w:rPr>
              <w:t>4</w:t>
            </w:r>
            <w:r w:rsidR="002444C5">
              <w:rPr>
                <w:rFonts w:eastAsia="Times New Roman" w:cs="Calibri"/>
                <w:i/>
                <w:iCs/>
                <w:sz w:val="18"/>
                <w:szCs w:val="18"/>
                <w:lang w:val="en-GB"/>
              </w:rPr>
              <w:t>4</w:t>
            </w:r>
          </w:p>
        </w:tc>
        <w:tc>
          <w:tcPr>
            <w:tcW w:w="13687" w:type="dxa"/>
            <w:tcBorders>
              <w:top w:val="single" w:sz="4" w:space="0" w:color="auto"/>
              <w:left w:val="single" w:sz="4" w:space="0" w:color="auto"/>
              <w:bottom w:val="single" w:sz="4" w:space="0" w:color="auto"/>
              <w:right w:val="single" w:sz="4" w:space="0" w:color="auto"/>
            </w:tcBorders>
            <w:hideMark/>
          </w:tcPr>
          <w:p w14:paraId="3EE965F1" w14:textId="74F25F7E" w:rsidR="00302BFE" w:rsidRPr="006E490C" w:rsidRDefault="00CF30FD" w:rsidP="00243B15">
            <w:pPr>
              <w:spacing w:before="40" w:after="40"/>
              <w:rPr>
                <w:rFonts w:eastAsia="Times New Roman" w:cs="Calibri"/>
                <w:sz w:val="18"/>
                <w:szCs w:val="18"/>
                <w:lang w:val="en-GB"/>
              </w:rPr>
            </w:pPr>
            <w:r>
              <w:rPr>
                <w:rFonts w:eastAsia="Times New Roman" w:cs="Calibri"/>
                <w:sz w:val="18"/>
                <w:szCs w:val="18"/>
                <w:lang w:val="en-GB"/>
              </w:rPr>
              <w:t>a</w:t>
            </w:r>
            <w:r w:rsidR="00302BFE" w:rsidRPr="006E490C">
              <w:rPr>
                <w:rFonts w:eastAsia="Times New Roman" w:cs="Calibri"/>
                <w:sz w:val="18"/>
                <w:szCs w:val="18"/>
                <w:lang w:val="en-GB"/>
              </w:rPr>
              <w:t>) Lump sum (shared between all components) for fuel purchase and vehicle maintenance of the Project Coordination Unit to be used for most field missions (consultants and PCU staff) as well as for motorcycles for the travel of technical assistants and community mobilization assistants @ $ 1,500 / year. Total cost: $ 9,000</w:t>
            </w:r>
          </w:p>
          <w:p w14:paraId="1AF8A04D" w14:textId="521E7947" w:rsidR="00302BFE" w:rsidRPr="00E03056" w:rsidRDefault="00CF30FD" w:rsidP="00243B15">
            <w:pPr>
              <w:spacing w:before="40" w:after="40"/>
              <w:rPr>
                <w:rFonts w:eastAsia="Times New Roman" w:cs="Calibri"/>
                <w:sz w:val="18"/>
                <w:szCs w:val="18"/>
                <w:lang w:val="en-GB"/>
              </w:rPr>
            </w:pPr>
            <w:r>
              <w:rPr>
                <w:rFonts w:eastAsia="Times New Roman" w:cs="Calibri"/>
                <w:sz w:val="18"/>
                <w:szCs w:val="18"/>
                <w:lang w:val="en-GB"/>
              </w:rPr>
              <w:t>b</w:t>
            </w:r>
            <w:r w:rsidR="00302BFE" w:rsidRPr="00E03056">
              <w:rPr>
                <w:rFonts w:eastAsia="Times New Roman" w:cs="Calibri"/>
                <w:sz w:val="18"/>
                <w:szCs w:val="18"/>
                <w:lang w:val="en-GB"/>
              </w:rPr>
              <w:t>) Travel costs to oversee and monitor gender mainstreaming (Output 4.1): Total cost: $ 6,000 for years 1 to 6.</w:t>
            </w:r>
          </w:p>
          <w:p w14:paraId="4F2A63F7" w14:textId="2F97615C" w:rsidR="00302BFE" w:rsidRPr="006E490C" w:rsidRDefault="00CF30FD" w:rsidP="00243B15">
            <w:pPr>
              <w:spacing w:before="40" w:after="40"/>
              <w:rPr>
                <w:rFonts w:eastAsia="Times New Roman" w:cs="Calibri"/>
                <w:sz w:val="18"/>
                <w:szCs w:val="18"/>
                <w:lang w:val="en-GB"/>
              </w:rPr>
            </w:pPr>
            <w:r w:rsidRPr="00E03056">
              <w:rPr>
                <w:rFonts w:eastAsia="Times New Roman" w:cs="Calibri"/>
                <w:sz w:val="18"/>
                <w:szCs w:val="18"/>
                <w:lang w:val="en-GB"/>
              </w:rPr>
              <w:t>c</w:t>
            </w:r>
            <w:r w:rsidR="00302BFE" w:rsidRPr="00E03056">
              <w:rPr>
                <w:rFonts w:eastAsia="Times New Roman" w:cs="Calibri"/>
                <w:sz w:val="18"/>
                <w:szCs w:val="18"/>
                <w:lang w:val="en-GB"/>
              </w:rPr>
              <w:t>) Travel expenses for the monitoring and evaluation of project activities by the monitoring and evaluation project expert: Total cost: $ 6,000 in years 1 to 6 (Output 4.2).</w:t>
            </w:r>
          </w:p>
          <w:p w14:paraId="2849EB33" w14:textId="364E0F2B" w:rsidR="00302BFE" w:rsidRPr="006E490C" w:rsidRDefault="00CF30FD" w:rsidP="00243B15">
            <w:pPr>
              <w:spacing w:before="40" w:after="40"/>
              <w:rPr>
                <w:rFonts w:eastAsia="Times New Roman" w:cs="Calibri"/>
                <w:sz w:val="18"/>
                <w:szCs w:val="18"/>
                <w:lang w:val="en-GB"/>
              </w:rPr>
            </w:pPr>
            <w:r>
              <w:rPr>
                <w:rFonts w:eastAsia="Times New Roman" w:cs="Calibri"/>
                <w:sz w:val="18"/>
                <w:szCs w:val="18"/>
                <w:lang w:val="en-GB"/>
              </w:rPr>
              <w:lastRenderedPageBreak/>
              <w:t>d</w:t>
            </w:r>
            <w:r w:rsidR="00302BFE" w:rsidRPr="006E490C">
              <w:rPr>
                <w:rFonts w:eastAsia="Times New Roman" w:cs="Calibri"/>
                <w:sz w:val="18"/>
                <w:szCs w:val="18"/>
                <w:lang w:val="en-GB"/>
              </w:rPr>
              <w:t>) Travel costs for the mid-term review of the project (including 1 international travel @ $ 1,500, $ 2,000 for daily subsistence allowance for the international consultant and $ 600 for the national consultant and the rental of a vehicle / driver for the field mission @ $ 200 / day for 6 days) Total cost: $ 5,300 in year 3 (Output 4.2).</w:t>
            </w:r>
          </w:p>
          <w:p w14:paraId="36D0CFA8" w14:textId="428E72D3" w:rsidR="00302BFE" w:rsidRPr="006E490C" w:rsidRDefault="00CF30FD" w:rsidP="00243B15">
            <w:pPr>
              <w:spacing w:before="40" w:after="40"/>
              <w:rPr>
                <w:rFonts w:eastAsia="Times New Roman" w:cs="Calibri"/>
                <w:sz w:val="18"/>
                <w:szCs w:val="18"/>
                <w:lang w:val="en-GB"/>
              </w:rPr>
            </w:pPr>
            <w:r>
              <w:rPr>
                <w:rFonts w:eastAsia="Times New Roman" w:cs="Calibri"/>
                <w:sz w:val="18"/>
                <w:szCs w:val="18"/>
                <w:lang w:val="en-GB"/>
              </w:rPr>
              <w:t>e</w:t>
            </w:r>
            <w:r w:rsidR="00302BFE" w:rsidRPr="006E490C">
              <w:rPr>
                <w:rFonts w:eastAsia="Times New Roman" w:cs="Calibri"/>
                <w:sz w:val="18"/>
                <w:szCs w:val="18"/>
                <w:lang w:val="en-GB"/>
              </w:rPr>
              <w:t>) Travel costs for the final evaluation of the project (including 1 international travel @ $ 1,500, $ 2,400 for daily living allowances for the international consultant and $ 800 for the national consultant and leasing a vehicle / driver for the field mission @ $ 200 / day for 8 days) Total cost: $ 6,300 in year 3 (Output 4.2).</w:t>
            </w:r>
          </w:p>
          <w:p w14:paraId="03BB287E" w14:textId="0F384084" w:rsidR="00302BFE" w:rsidRPr="006E490C" w:rsidRDefault="00CF30FD" w:rsidP="00243B15">
            <w:pPr>
              <w:spacing w:before="40" w:after="40"/>
              <w:rPr>
                <w:rFonts w:eastAsia="Times New Roman" w:cs="Calibri"/>
                <w:sz w:val="18"/>
                <w:szCs w:val="18"/>
                <w:lang w:val="en-GB"/>
              </w:rPr>
            </w:pPr>
            <w:r>
              <w:rPr>
                <w:rFonts w:eastAsia="Times New Roman" w:cs="Calibri"/>
                <w:sz w:val="18"/>
                <w:szCs w:val="18"/>
                <w:lang w:val="en-GB"/>
              </w:rPr>
              <w:t>f</w:t>
            </w:r>
            <w:r w:rsidR="00302BFE" w:rsidRPr="006E490C">
              <w:rPr>
                <w:rFonts w:eastAsia="Times New Roman" w:cs="Calibri"/>
                <w:sz w:val="18"/>
                <w:szCs w:val="18"/>
                <w:lang w:val="en-GB"/>
              </w:rPr>
              <w:t>) Travel Expenses for Communication and Knowledge Management Activities: Total Cost: $ 6,000 in years 1 to 6 (outputs 4.2 and 4.3).</w:t>
            </w:r>
          </w:p>
          <w:p w14:paraId="3E0D0FB0" w14:textId="1AB9416D" w:rsidR="00302BFE" w:rsidRPr="006E490C" w:rsidRDefault="00CF30FD" w:rsidP="00243B15">
            <w:pPr>
              <w:spacing w:before="40" w:after="40"/>
              <w:rPr>
                <w:rFonts w:eastAsia="Times New Roman" w:cs="Calibri"/>
                <w:sz w:val="18"/>
                <w:szCs w:val="18"/>
                <w:lang w:val="en-GB"/>
              </w:rPr>
            </w:pPr>
            <w:r>
              <w:rPr>
                <w:rFonts w:eastAsia="Times New Roman" w:cs="Calibri"/>
                <w:sz w:val="18"/>
                <w:szCs w:val="18"/>
                <w:lang w:val="en-GB"/>
              </w:rPr>
              <w:t>g</w:t>
            </w:r>
            <w:r w:rsidR="00302BFE" w:rsidRPr="006E490C">
              <w:rPr>
                <w:rFonts w:eastAsia="Times New Roman" w:cs="Calibri"/>
                <w:sz w:val="18"/>
                <w:szCs w:val="18"/>
                <w:lang w:val="en-GB"/>
              </w:rPr>
              <w:t xml:space="preserve">) </w:t>
            </w:r>
            <w:r w:rsidR="00302BFE" w:rsidRPr="00197022">
              <w:rPr>
                <w:rFonts w:eastAsia="Times New Roman" w:cs="Calibri"/>
                <w:sz w:val="18"/>
                <w:szCs w:val="18"/>
                <w:highlight w:val="green"/>
                <w:lang w:val="en-GB"/>
              </w:rPr>
              <w:t xml:space="preserve">Travel expenses </w:t>
            </w:r>
            <w:r w:rsidR="00C074CB" w:rsidRPr="00197022">
              <w:rPr>
                <w:rFonts w:eastAsia="Times New Roman" w:cs="Calibri"/>
                <w:sz w:val="18"/>
                <w:szCs w:val="18"/>
                <w:highlight w:val="green"/>
                <w:lang w:val="en-GB"/>
              </w:rPr>
              <w:t xml:space="preserve">related to </w:t>
            </w:r>
            <w:r w:rsidR="00E46DAC" w:rsidRPr="00197022">
              <w:rPr>
                <w:rFonts w:eastAsia="Times New Roman" w:cs="Calibri"/>
                <w:sz w:val="18"/>
                <w:szCs w:val="18"/>
                <w:highlight w:val="green"/>
                <w:lang w:val="en-GB"/>
              </w:rPr>
              <w:t xml:space="preserve">development of safeguards plans </w:t>
            </w:r>
            <w:r w:rsidR="00302BFE" w:rsidRPr="00197022">
              <w:rPr>
                <w:rFonts w:eastAsia="Times New Roman" w:cs="Calibri"/>
                <w:sz w:val="18"/>
                <w:szCs w:val="18"/>
                <w:highlight w:val="green"/>
                <w:lang w:val="en-GB"/>
              </w:rPr>
              <w:t>(output 4.</w:t>
            </w:r>
            <w:r w:rsidR="00E46DAC" w:rsidRPr="00197022">
              <w:rPr>
                <w:rFonts w:eastAsia="Times New Roman" w:cs="Calibri"/>
                <w:sz w:val="18"/>
                <w:szCs w:val="18"/>
                <w:highlight w:val="green"/>
                <w:lang w:val="en-GB"/>
              </w:rPr>
              <w:t>2</w:t>
            </w:r>
            <w:r w:rsidR="00302BFE" w:rsidRPr="00197022">
              <w:rPr>
                <w:rFonts w:eastAsia="Times New Roman" w:cs="Calibri"/>
                <w:sz w:val="18"/>
                <w:szCs w:val="18"/>
                <w:highlight w:val="green"/>
                <w:lang w:val="en-GB"/>
              </w:rPr>
              <w:t>). Total cost: $ 10,000</w:t>
            </w:r>
          </w:p>
        </w:tc>
      </w:tr>
      <w:tr w:rsidR="00302BFE" w:rsidRPr="006E490C" w14:paraId="622DBB30" w14:textId="77777777" w:rsidTr="0063211A">
        <w:trPr>
          <w:jc w:val="center"/>
        </w:trPr>
        <w:tc>
          <w:tcPr>
            <w:tcW w:w="703" w:type="dxa"/>
            <w:tcBorders>
              <w:top w:val="single" w:sz="4" w:space="0" w:color="auto"/>
              <w:left w:val="single" w:sz="4" w:space="0" w:color="auto"/>
              <w:bottom w:val="single" w:sz="4" w:space="0" w:color="auto"/>
              <w:right w:val="single" w:sz="4" w:space="0" w:color="auto"/>
            </w:tcBorders>
            <w:hideMark/>
          </w:tcPr>
          <w:p w14:paraId="57AFE5EA" w14:textId="004DF291" w:rsidR="00302BFE" w:rsidRPr="006E490C" w:rsidRDefault="00302BFE" w:rsidP="00243B15">
            <w:pPr>
              <w:spacing w:before="40" w:after="40"/>
              <w:jc w:val="center"/>
              <w:rPr>
                <w:rFonts w:eastAsia="Times New Roman" w:cs="Calibri"/>
                <w:i/>
                <w:iCs/>
                <w:sz w:val="18"/>
                <w:szCs w:val="18"/>
                <w:lang w:val="en-GB"/>
              </w:rPr>
            </w:pPr>
            <w:r w:rsidRPr="006E490C">
              <w:rPr>
                <w:rFonts w:eastAsia="Times New Roman" w:cs="Calibri"/>
                <w:i/>
                <w:iCs/>
                <w:sz w:val="18"/>
                <w:szCs w:val="18"/>
                <w:lang w:val="en-GB"/>
              </w:rPr>
              <w:lastRenderedPageBreak/>
              <w:t>4</w:t>
            </w:r>
            <w:r w:rsidR="002444C5">
              <w:rPr>
                <w:rFonts w:eastAsia="Times New Roman" w:cs="Calibri"/>
                <w:i/>
                <w:iCs/>
                <w:sz w:val="18"/>
                <w:szCs w:val="18"/>
                <w:lang w:val="en-GB"/>
              </w:rPr>
              <w:t>5</w:t>
            </w:r>
          </w:p>
        </w:tc>
        <w:tc>
          <w:tcPr>
            <w:tcW w:w="13687" w:type="dxa"/>
            <w:tcBorders>
              <w:top w:val="single" w:sz="4" w:space="0" w:color="auto"/>
              <w:left w:val="single" w:sz="4" w:space="0" w:color="auto"/>
              <w:bottom w:val="single" w:sz="4" w:space="0" w:color="auto"/>
              <w:right w:val="single" w:sz="4" w:space="0" w:color="auto"/>
            </w:tcBorders>
            <w:shd w:val="clear" w:color="auto" w:fill="auto"/>
            <w:hideMark/>
          </w:tcPr>
          <w:p w14:paraId="12141927" w14:textId="77777777" w:rsidR="00302BFE" w:rsidRPr="0063211A" w:rsidRDefault="00302BFE" w:rsidP="00243B15">
            <w:pPr>
              <w:spacing w:before="40" w:after="40"/>
              <w:rPr>
                <w:rFonts w:eastAsia="Times New Roman" w:cs="Calibri"/>
                <w:sz w:val="18"/>
                <w:szCs w:val="18"/>
                <w:lang w:val="en-GB"/>
              </w:rPr>
            </w:pPr>
            <w:r w:rsidRPr="0063211A">
              <w:rPr>
                <w:rFonts w:eastAsia="Times New Roman" w:cs="Calibri"/>
                <w:sz w:val="18"/>
                <w:szCs w:val="18"/>
                <w:lang w:val="en-GB"/>
              </w:rPr>
              <w:t xml:space="preserve">a) Editor / Graphic Design Specialist for the design of outreach materials to educate local communities and the general public about the environmental status of the PONASI landscape, the ecosystem services and benefits of PAs, and the urgent need to put an end to environmental degradation, following the instructions of the project's knowledge management / communication specialist (year 1); for the design of a series of printed materials (brochures, posters, thematic learning sheets and various awareness-raising materials) to support the education and sensitization of local communities in the PONASI landscape and the general public, regarding lessons learned and best practices on SLM, climate smart agriculture, sustainable forestry and pastoralism, and gender issues, taking care to use local illustrations and languages ​​for materials for local communities. Rate: $ </w:t>
            </w:r>
            <w:r w:rsidR="00406F2F" w:rsidRPr="0063211A">
              <w:rPr>
                <w:rFonts w:eastAsia="Times New Roman" w:cs="Calibri"/>
                <w:sz w:val="18"/>
                <w:szCs w:val="18"/>
                <w:lang w:val="en-GB"/>
              </w:rPr>
              <w:t>2</w:t>
            </w:r>
            <w:r w:rsidRPr="0063211A">
              <w:rPr>
                <w:rFonts w:eastAsia="Times New Roman" w:cs="Calibri"/>
                <w:sz w:val="18"/>
                <w:szCs w:val="18"/>
                <w:lang w:val="en-GB"/>
              </w:rPr>
              <w:t>0,000 lump sum based on year 1, 4 and 5 deliverables. Total cost: $ 20,000</w:t>
            </w:r>
          </w:p>
          <w:p w14:paraId="2815AA29" w14:textId="77777777" w:rsidR="00302BFE" w:rsidRPr="0063211A" w:rsidRDefault="00302BFE" w:rsidP="00243B15">
            <w:pPr>
              <w:spacing w:before="40" w:after="40"/>
              <w:rPr>
                <w:rFonts w:eastAsia="Times New Roman" w:cs="Calibri"/>
                <w:sz w:val="18"/>
                <w:szCs w:val="18"/>
                <w:lang w:val="en-GB"/>
              </w:rPr>
            </w:pPr>
            <w:r w:rsidRPr="0063211A">
              <w:rPr>
                <w:rFonts w:eastAsia="Times New Roman" w:cs="Calibri"/>
                <w:sz w:val="18"/>
                <w:szCs w:val="18"/>
                <w:lang w:val="en-GB"/>
              </w:rPr>
              <w:t xml:space="preserve">(b) </w:t>
            </w:r>
            <w:r w:rsidRPr="0063211A">
              <w:rPr>
                <w:rFonts w:eastAsia="Times New Roman" w:cs="Calibri"/>
                <w:color w:val="000000"/>
                <w:sz w:val="18"/>
                <w:szCs w:val="18"/>
                <w:lang w:val="en-GB"/>
              </w:rPr>
              <w:t xml:space="preserve">NGOs and </w:t>
            </w:r>
            <w:r w:rsidRPr="0063211A">
              <w:rPr>
                <w:rFonts w:eastAsia="Times New Roman" w:cs="Calibri"/>
                <w:sz w:val="18"/>
                <w:szCs w:val="18"/>
                <w:lang w:val="en-GB"/>
              </w:rPr>
              <w:t>environmental associations to design and organize various awareness-raising campaigns to strengthen the ownership of project proposals in terms of biodiversity conservation, sustainable management and sustainable use of natural resources, in accordance with project communication plan developed by the project's communication / knowledge management expert (output 4.3). Rate: $ 30,000 paid on a lump sum basis based on deliverables from years 1 to 6. Total cost: $ 30,000</w:t>
            </w:r>
          </w:p>
        </w:tc>
      </w:tr>
      <w:tr w:rsidR="00CF30FD" w:rsidRPr="006E490C" w14:paraId="564D1BCE" w14:textId="77777777" w:rsidTr="0063211A">
        <w:trPr>
          <w:jc w:val="center"/>
        </w:trPr>
        <w:tc>
          <w:tcPr>
            <w:tcW w:w="703" w:type="dxa"/>
            <w:tcBorders>
              <w:top w:val="single" w:sz="4" w:space="0" w:color="auto"/>
              <w:left w:val="single" w:sz="4" w:space="0" w:color="auto"/>
              <w:bottom w:val="single" w:sz="4" w:space="0" w:color="auto"/>
              <w:right w:val="single" w:sz="4" w:space="0" w:color="auto"/>
            </w:tcBorders>
          </w:tcPr>
          <w:p w14:paraId="52151603" w14:textId="69F95F83" w:rsidR="00CF30FD" w:rsidRPr="006E490C" w:rsidRDefault="00CF30FD" w:rsidP="00243B15">
            <w:pPr>
              <w:spacing w:before="40" w:after="40"/>
              <w:jc w:val="center"/>
              <w:rPr>
                <w:rFonts w:eastAsia="Times New Roman" w:cs="Calibri"/>
                <w:i/>
                <w:iCs/>
                <w:sz w:val="18"/>
                <w:szCs w:val="18"/>
                <w:lang w:val="en-GB"/>
              </w:rPr>
            </w:pPr>
            <w:r>
              <w:rPr>
                <w:rFonts w:eastAsia="Times New Roman" w:cs="Calibri"/>
                <w:i/>
                <w:iCs/>
                <w:sz w:val="18"/>
                <w:szCs w:val="18"/>
                <w:lang w:val="en-GB"/>
              </w:rPr>
              <w:t>4</w:t>
            </w:r>
            <w:r w:rsidR="002444C5">
              <w:rPr>
                <w:rFonts w:eastAsia="Times New Roman" w:cs="Calibri"/>
                <w:i/>
                <w:iCs/>
                <w:sz w:val="18"/>
                <w:szCs w:val="18"/>
                <w:lang w:val="en-GB"/>
              </w:rPr>
              <w:t>6</w:t>
            </w:r>
          </w:p>
        </w:tc>
        <w:tc>
          <w:tcPr>
            <w:tcW w:w="13687" w:type="dxa"/>
            <w:tcBorders>
              <w:top w:val="single" w:sz="4" w:space="0" w:color="auto"/>
              <w:left w:val="single" w:sz="4" w:space="0" w:color="auto"/>
              <w:bottom w:val="single" w:sz="4" w:space="0" w:color="auto"/>
              <w:right w:val="single" w:sz="4" w:space="0" w:color="auto"/>
            </w:tcBorders>
            <w:shd w:val="clear" w:color="auto" w:fill="auto"/>
          </w:tcPr>
          <w:p w14:paraId="0DFA4C48" w14:textId="54FF6F0F" w:rsidR="00CF30FD" w:rsidRPr="0063211A" w:rsidRDefault="00CF30FD" w:rsidP="00243B15">
            <w:pPr>
              <w:spacing w:before="40" w:after="40"/>
              <w:rPr>
                <w:rFonts w:cs="Calibri"/>
                <w:color w:val="000000"/>
                <w:sz w:val="18"/>
                <w:szCs w:val="18"/>
                <w:lang w:val="en-GB"/>
              </w:rPr>
            </w:pPr>
            <w:r w:rsidRPr="0063211A">
              <w:rPr>
                <w:rFonts w:cs="Calibri"/>
                <w:color w:val="000000"/>
                <w:sz w:val="18"/>
                <w:szCs w:val="18"/>
                <w:lang w:val="en-GB"/>
              </w:rPr>
              <w:t>Purchase of a 4x4 vehicle to support all project activities (25% for the component) @ $ 13,</w:t>
            </w:r>
            <w:r w:rsidRPr="002136D5">
              <w:rPr>
                <w:rFonts w:cs="Calibri"/>
                <w:color w:val="000000"/>
                <w:sz w:val="18"/>
                <w:szCs w:val="18"/>
                <w:lang w:val="en-GB"/>
              </w:rPr>
              <w:t>000 for year 1</w:t>
            </w:r>
            <w:r w:rsidR="00AD796F" w:rsidRPr="002136D5">
              <w:rPr>
                <w:rFonts w:cs="Calibri"/>
                <w:color w:val="000000"/>
                <w:sz w:val="18"/>
                <w:szCs w:val="18"/>
                <w:lang w:val="en-GB"/>
              </w:rPr>
              <w:t xml:space="preserve"> </w:t>
            </w:r>
            <w:r w:rsidR="00AD796F" w:rsidRPr="00EF6D8E">
              <w:rPr>
                <w:rFonts w:cs="Calibri"/>
                <w:color w:val="000000"/>
                <w:sz w:val="18"/>
                <w:szCs w:val="18"/>
                <w:lang w:val="en-GB"/>
              </w:rPr>
              <w:t>fully cofunded by UNDP</w:t>
            </w:r>
          </w:p>
        </w:tc>
      </w:tr>
      <w:tr w:rsidR="00302BFE" w:rsidRPr="006E490C" w14:paraId="5B3C0AE0" w14:textId="77777777" w:rsidTr="0063211A">
        <w:trPr>
          <w:jc w:val="center"/>
        </w:trPr>
        <w:tc>
          <w:tcPr>
            <w:tcW w:w="703" w:type="dxa"/>
            <w:tcBorders>
              <w:top w:val="single" w:sz="4" w:space="0" w:color="auto"/>
              <w:left w:val="single" w:sz="4" w:space="0" w:color="auto"/>
              <w:bottom w:val="single" w:sz="4" w:space="0" w:color="auto"/>
              <w:right w:val="single" w:sz="4" w:space="0" w:color="auto"/>
            </w:tcBorders>
            <w:hideMark/>
          </w:tcPr>
          <w:p w14:paraId="0F73078B" w14:textId="7B92F72E" w:rsidR="00302BFE" w:rsidRPr="00EF6D8E" w:rsidRDefault="00302BFE" w:rsidP="00243B15">
            <w:pPr>
              <w:spacing w:before="40" w:after="40"/>
              <w:jc w:val="center"/>
              <w:rPr>
                <w:rFonts w:eastAsia="Times New Roman" w:cs="Calibri"/>
                <w:i/>
                <w:iCs/>
                <w:sz w:val="18"/>
                <w:szCs w:val="18"/>
                <w:lang w:val="en-GB"/>
              </w:rPr>
            </w:pPr>
            <w:r w:rsidRPr="00EF6D8E">
              <w:rPr>
                <w:rFonts w:eastAsia="Times New Roman" w:cs="Calibri"/>
                <w:i/>
                <w:iCs/>
                <w:sz w:val="18"/>
                <w:szCs w:val="18"/>
                <w:lang w:val="en-GB"/>
              </w:rPr>
              <w:t>4</w:t>
            </w:r>
            <w:r w:rsidR="002444C5" w:rsidRPr="00EF6D8E">
              <w:rPr>
                <w:rFonts w:eastAsia="Times New Roman" w:cs="Calibri"/>
                <w:i/>
                <w:iCs/>
                <w:sz w:val="18"/>
                <w:szCs w:val="18"/>
                <w:lang w:val="en-GB"/>
              </w:rPr>
              <w:t>7</w:t>
            </w:r>
          </w:p>
        </w:tc>
        <w:tc>
          <w:tcPr>
            <w:tcW w:w="13687" w:type="dxa"/>
            <w:tcBorders>
              <w:top w:val="single" w:sz="4" w:space="0" w:color="auto"/>
              <w:left w:val="single" w:sz="4" w:space="0" w:color="auto"/>
              <w:bottom w:val="single" w:sz="4" w:space="0" w:color="auto"/>
              <w:right w:val="single" w:sz="4" w:space="0" w:color="auto"/>
            </w:tcBorders>
            <w:shd w:val="clear" w:color="auto" w:fill="auto"/>
            <w:hideMark/>
          </w:tcPr>
          <w:p w14:paraId="72D93A18" w14:textId="1D27D9B4" w:rsidR="00784057" w:rsidRPr="00E03056" w:rsidRDefault="00784057" w:rsidP="00243B15">
            <w:pPr>
              <w:spacing w:before="40" w:after="40"/>
              <w:rPr>
                <w:rFonts w:cs="Calibri"/>
                <w:color w:val="000000"/>
                <w:sz w:val="18"/>
                <w:szCs w:val="18"/>
                <w:lang w:val="en-GB"/>
              </w:rPr>
            </w:pPr>
            <w:r w:rsidRPr="00E03056">
              <w:rPr>
                <w:rFonts w:cs="Calibri"/>
                <w:color w:val="000000"/>
                <w:sz w:val="18"/>
                <w:szCs w:val="18"/>
                <w:lang w:val="en-GB"/>
              </w:rPr>
              <w:t>a) Professional Services for the monitoring of the implementation of the Stakeholder Engagement Plan and the Gender Action Plan ($4,000 per year in years 2-5, $20,000 total)</w:t>
            </w:r>
          </w:p>
          <w:p w14:paraId="3689B045" w14:textId="60277352" w:rsidR="00302BFE" w:rsidRPr="00E03056" w:rsidRDefault="00784057" w:rsidP="00243B15">
            <w:pPr>
              <w:spacing w:before="40" w:after="40"/>
              <w:rPr>
                <w:rFonts w:eastAsia="Times New Roman" w:cs="Calibri"/>
                <w:sz w:val="18"/>
                <w:szCs w:val="18"/>
                <w:lang w:val="en-GB"/>
              </w:rPr>
            </w:pPr>
            <w:r w:rsidRPr="00E03056">
              <w:rPr>
                <w:rFonts w:cs="Calibri"/>
                <w:color w:val="000000"/>
                <w:sz w:val="18"/>
                <w:szCs w:val="18"/>
                <w:lang w:val="en-GB"/>
              </w:rPr>
              <w:t xml:space="preserve">b) </w:t>
            </w:r>
            <w:r w:rsidR="001B1641" w:rsidRPr="00E03056">
              <w:rPr>
                <w:rFonts w:cs="Calibri"/>
                <w:color w:val="000000"/>
                <w:sz w:val="18"/>
                <w:szCs w:val="18"/>
                <w:lang w:val="en-GB"/>
              </w:rPr>
              <w:t>P</w:t>
            </w:r>
            <w:r w:rsidR="00302BFE" w:rsidRPr="00E03056">
              <w:rPr>
                <w:rFonts w:cs="Calibri"/>
                <w:color w:val="000000"/>
                <w:sz w:val="18"/>
                <w:szCs w:val="18"/>
                <w:lang w:val="en-GB"/>
              </w:rPr>
              <w:t>rofessional Services for the English translation of the Mid-Term Evaluation (Year 3) and Final Evaluation (Year 6) reports @ $ 5,000 / report. Total cost: $ 10,000</w:t>
            </w:r>
          </w:p>
        </w:tc>
      </w:tr>
      <w:tr w:rsidR="00302BFE" w:rsidRPr="006E490C" w14:paraId="1C6FF54B" w14:textId="77777777" w:rsidTr="0063211A">
        <w:trPr>
          <w:jc w:val="center"/>
        </w:trPr>
        <w:tc>
          <w:tcPr>
            <w:tcW w:w="703" w:type="dxa"/>
            <w:tcBorders>
              <w:top w:val="single" w:sz="4" w:space="0" w:color="auto"/>
              <w:left w:val="single" w:sz="4" w:space="0" w:color="auto"/>
              <w:bottom w:val="single" w:sz="4" w:space="0" w:color="auto"/>
              <w:right w:val="single" w:sz="4" w:space="0" w:color="auto"/>
            </w:tcBorders>
            <w:hideMark/>
          </w:tcPr>
          <w:p w14:paraId="297A1BFA" w14:textId="314C106F" w:rsidR="00302BFE" w:rsidRPr="006E490C" w:rsidRDefault="00302BFE" w:rsidP="00243B15">
            <w:pPr>
              <w:spacing w:before="40" w:after="40"/>
              <w:jc w:val="center"/>
              <w:rPr>
                <w:rFonts w:eastAsia="Times New Roman" w:cs="Calibri"/>
                <w:i/>
                <w:iCs/>
                <w:sz w:val="18"/>
                <w:szCs w:val="18"/>
                <w:lang w:val="en-GB"/>
              </w:rPr>
            </w:pPr>
            <w:r w:rsidRPr="006E490C">
              <w:rPr>
                <w:rFonts w:eastAsia="Times New Roman" w:cs="Calibri"/>
                <w:i/>
                <w:iCs/>
                <w:sz w:val="18"/>
                <w:szCs w:val="18"/>
                <w:lang w:val="en-GB"/>
              </w:rPr>
              <w:t>4</w:t>
            </w:r>
            <w:r w:rsidR="002444C5">
              <w:rPr>
                <w:rFonts w:eastAsia="Times New Roman" w:cs="Calibri"/>
                <w:i/>
                <w:iCs/>
                <w:sz w:val="18"/>
                <w:szCs w:val="18"/>
                <w:lang w:val="en-GB"/>
              </w:rPr>
              <w:t>8</w:t>
            </w:r>
          </w:p>
        </w:tc>
        <w:tc>
          <w:tcPr>
            <w:tcW w:w="13687" w:type="dxa"/>
            <w:tcBorders>
              <w:top w:val="single" w:sz="4" w:space="0" w:color="auto"/>
              <w:left w:val="single" w:sz="4" w:space="0" w:color="auto"/>
              <w:bottom w:val="single" w:sz="4" w:space="0" w:color="auto"/>
              <w:right w:val="single" w:sz="4" w:space="0" w:color="auto"/>
            </w:tcBorders>
            <w:shd w:val="clear" w:color="auto" w:fill="auto"/>
            <w:hideMark/>
          </w:tcPr>
          <w:p w14:paraId="4C900F2D" w14:textId="77777777" w:rsidR="00302BFE" w:rsidRPr="00E03056" w:rsidRDefault="00302BFE" w:rsidP="00243B15">
            <w:pPr>
              <w:spacing w:before="40" w:after="40"/>
              <w:rPr>
                <w:rFonts w:eastAsia="Times New Roman" w:cs="Calibri"/>
                <w:sz w:val="18"/>
                <w:szCs w:val="18"/>
                <w:lang w:val="en-GB"/>
              </w:rPr>
            </w:pPr>
            <w:r w:rsidRPr="00E03056">
              <w:rPr>
                <w:rFonts w:eastAsia="Times New Roman" w:cs="Calibri"/>
                <w:sz w:val="18"/>
                <w:szCs w:val="18"/>
                <w:lang w:val="en-GB"/>
              </w:rPr>
              <w:t>a) Publications and media products related to knowledge management and communication. Total cost: $ 20,000 in years 2 to 6 (outputs 4.2 and 4.3).</w:t>
            </w:r>
          </w:p>
          <w:p w14:paraId="4DA30484" w14:textId="77777777" w:rsidR="00302BFE" w:rsidRPr="00E03056" w:rsidRDefault="00302BFE" w:rsidP="00243B15">
            <w:pPr>
              <w:spacing w:before="40" w:after="40"/>
              <w:rPr>
                <w:rFonts w:eastAsia="Times New Roman" w:cs="Calibri"/>
                <w:sz w:val="18"/>
                <w:szCs w:val="18"/>
                <w:lang w:val="en-GB"/>
              </w:rPr>
            </w:pPr>
            <w:r w:rsidRPr="00E03056">
              <w:rPr>
                <w:rFonts w:eastAsia="Times New Roman" w:cs="Calibri"/>
                <w:sz w:val="18"/>
                <w:szCs w:val="18"/>
                <w:lang w:val="en-GB"/>
              </w:rPr>
              <w:t>b) Development of the project website. Total cost: $ 8,000 Year 1 (Outputs 4.2 and 4.3)</w:t>
            </w:r>
          </w:p>
          <w:p w14:paraId="01F12DA0" w14:textId="77777777" w:rsidR="00302BFE" w:rsidRPr="00E03056" w:rsidRDefault="00302BFE" w:rsidP="00243B15">
            <w:pPr>
              <w:spacing w:before="40" w:after="40"/>
              <w:rPr>
                <w:rFonts w:eastAsia="Times New Roman" w:cs="Calibri"/>
                <w:sz w:val="18"/>
                <w:szCs w:val="18"/>
                <w:lang w:val="en-GB"/>
              </w:rPr>
            </w:pPr>
            <w:r w:rsidRPr="00E03056">
              <w:rPr>
                <w:rFonts w:eastAsia="Times New Roman" w:cs="Calibri"/>
                <w:sz w:val="18"/>
                <w:szCs w:val="18"/>
                <w:lang w:val="en-GB"/>
              </w:rPr>
              <w:t xml:space="preserve">c) Printing costs of the project impact analysis report on the issue of women in versions for the general public, academic and government sectors version as well as a version for local communities (output 4.1), for 20 thematic learning sheets (4-page colour leaflets of with photos and diagrams) (output 4.2), for 5 training documents (approximately 20 pages) in 100 copies, and for 20 datasheets for local communities (output 4.2). Total cost: $ 30,000 in years 4, 5, 6. </w:t>
            </w:r>
          </w:p>
        </w:tc>
      </w:tr>
      <w:tr w:rsidR="00302BFE" w:rsidRPr="006E490C" w14:paraId="1C09C612"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hideMark/>
          </w:tcPr>
          <w:p w14:paraId="0E22117F" w14:textId="1F893227" w:rsidR="00302BFE" w:rsidRPr="006E490C" w:rsidRDefault="00302BFE" w:rsidP="00243B15">
            <w:pPr>
              <w:spacing w:before="40" w:after="40"/>
              <w:jc w:val="center"/>
              <w:rPr>
                <w:rFonts w:eastAsia="Times New Roman" w:cs="Calibri"/>
                <w:i/>
                <w:iCs/>
                <w:sz w:val="18"/>
                <w:szCs w:val="18"/>
                <w:lang w:val="en-GB"/>
              </w:rPr>
            </w:pPr>
            <w:r w:rsidRPr="006E490C">
              <w:rPr>
                <w:rFonts w:eastAsia="Times New Roman" w:cs="Calibri"/>
                <w:i/>
                <w:iCs/>
                <w:sz w:val="18"/>
                <w:szCs w:val="18"/>
                <w:lang w:val="en-GB"/>
              </w:rPr>
              <w:t>4</w:t>
            </w:r>
            <w:r w:rsidR="002444C5">
              <w:rPr>
                <w:rFonts w:eastAsia="Times New Roman" w:cs="Calibri"/>
                <w:i/>
                <w:iCs/>
                <w:sz w:val="18"/>
                <w:szCs w:val="18"/>
                <w:lang w:val="en-GB"/>
              </w:rPr>
              <w:t>9</w:t>
            </w:r>
          </w:p>
        </w:tc>
        <w:tc>
          <w:tcPr>
            <w:tcW w:w="13687" w:type="dxa"/>
            <w:tcBorders>
              <w:top w:val="single" w:sz="4" w:space="0" w:color="auto"/>
              <w:left w:val="single" w:sz="4" w:space="0" w:color="auto"/>
              <w:bottom w:val="single" w:sz="4" w:space="0" w:color="auto"/>
              <w:right w:val="single" w:sz="4" w:space="0" w:color="auto"/>
            </w:tcBorders>
            <w:hideMark/>
          </w:tcPr>
          <w:p w14:paraId="4C05F80C" w14:textId="61F827FE" w:rsidR="00302BFE" w:rsidRPr="00363257" w:rsidRDefault="00302BFE" w:rsidP="00243B15">
            <w:pPr>
              <w:spacing w:before="40" w:after="40"/>
              <w:rPr>
                <w:rFonts w:eastAsia="Times New Roman" w:cs="Calibri"/>
                <w:sz w:val="18"/>
                <w:szCs w:val="18"/>
                <w:lang w:val="en-GB"/>
              </w:rPr>
            </w:pPr>
            <w:r w:rsidRPr="00E03056">
              <w:rPr>
                <w:rFonts w:cs="Calibri"/>
                <w:color w:val="000000"/>
                <w:sz w:val="18"/>
                <w:szCs w:val="18"/>
                <w:lang w:val="en-GB"/>
              </w:rPr>
              <w:t>Incidental costs related to gender mainstreaming and knowledge management and learning</w:t>
            </w:r>
            <w:r w:rsidR="00886171" w:rsidRPr="00C65B85">
              <w:rPr>
                <w:rFonts w:cs="Calibri"/>
                <w:color w:val="000000"/>
                <w:sz w:val="18"/>
                <w:szCs w:val="18"/>
                <w:highlight w:val="green"/>
                <w:lang w:val="en-GB"/>
              </w:rPr>
              <w:t xml:space="preserve">, including ESIA public </w:t>
            </w:r>
            <w:r w:rsidR="00C65B85" w:rsidRPr="00C65B85">
              <w:rPr>
                <w:rFonts w:cs="Calibri"/>
                <w:color w:val="000000"/>
                <w:sz w:val="18"/>
                <w:szCs w:val="18"/>
                <w:highlight w:val="green"/>
                <w:lang w:val="en-GB"/>
              </w:rPr>
              <w:t>consultations</w:t>
            </w:r>
            <w:r w:rsidRPr="002136D5">
              <w:rPr>
                <w:rFonts w:cs="Calibri"/>
                <w:color w:val="000000"/>
                <w:sz w:val="18"/>
                <w:szCs w:val="18"/>
                <w:lang w:val="en-GB"/>
              </w:rPr>
              <w:t xml:space="preserve">. </w:t>
            </w:r>
            <w:r w:rsidRPr="00EF6D8E">
              <w:rPr>
                <w:rFonts w:cs="Calibri"/>
                <w:color w:val="000000"/>
                <w:sz w:val="18"/>
                <w:szCs w:val="18"/>
                <w:lang w:val="en-GB"/>
              </w:rPr>
              <w:t xml:space="preserve">Total cost: </w:t>
            </w:r>
            <w:r w:rsidRPr="002C6F35">
              <w:rPr>
                <w:rFonts w:cs="Calibri"/>
                <w:color w:val="000000"/>
                <w:sz w:val="18"/>
                <w:szCs w:val="18"/>
                <w:highlight w:val="green"/>
                <w:lang w:val="en-GB"/>
              </w:rPr>
              <w:t xml:space="preserve">$ </w:t>
            </w:r>
            <w:r w:rsidR="002C6F35" w:rsidRPr="002C6F35">
              <w:rPr>
                <w:rFonts w:cs="Calibri"/>
                <w:color w:val="000000"/>
                <w:sz w:val="18"/>
                <w:szCs w:val="18"/>
                <w:highlight w:val="green"/>
                <w:lang w:val="en-GB"/>
              </w:rPr>
              <w:t>3</w:t>
            </w:r>
            <w:r w:rsidR="00AD796F" w:rsidRPr="002C6F35">
              <w:rPr>
                <w:rFonts w:cs="Calibri"/>
                <w:color w:val="000000"/>
                <w:sz w:val="18"/>
                <w:szCs w:val="18"/>
                <w:highlight w:val="green"/>
                <w:lang w:val="en-GB"/>
              </w:rPr>
              <w:t>5</w:t>
            </w:r>
            <w:r w:rsidRPr="002C6F35">
              <w:rPr>
                <w:rFonts w:cs="Calibri"/>
                <w:color w:val="000000"/>
                <w:sz w:val="18"/>
                <w:szCs w:val="18"/>
                <w:highlight w:val="green"/>
                <w:lang w:val="en-GB"/>
              </w:rPr>
              <w:t>,498</w:t>
            </w:r>
            <w:r w:rsidRPr="00EF6D8E">
              <w:rPr>
                <w:rFonts w:cs="Calibri"/>
                <w:color w:val="000000"/>
                <w:sz w:val="18"/>
                <w:szCs w:val="18"/>
                <w:lang w:val="en-GB"/>
              </w:rPr>
              <w:t xml:space="preserve"> in Years 1-6</w:t>
            </w:r>
            <w:r w:rsidRPr="00363257">
              <w:rPr>
                <w:rFonts w:cs="Calibri"/>
                <w:color w:val="000000"/>
                <w:sz w:val="18"/>
                <w:szCs w:val="18"/>
                <w:lang w:val="en-GB"/>
              </w:rPr>
              <w:t xml:space="preserve"> (for all outputs in the component).</w:t>
            </w:r>
          </w:p>
        </w:tc>
      </w:tr>
      <w:tr w:rsidR="00302BFE" w:rsidRPr="006E490C" w14:paraId="65A9EF65"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hideMark/>
          </w:tcPr>
          <w:p w14:paraId="3E004E9F" w14:textId="74EE3900" w:rsidR="00302BFE" w:rsidRPr="006E490C" w:rsidRDefault="002444C5" w:rsidP="00243B15">
            <w:pPr>
              <w:spacing w:before="40" w:after="40"/>
              <w:jc w:val="center"/>
              <w:rPr>
                <w:rFonts w:eastAsia="Times New Roman" w:cs="Calibri"/>
                <w:i/>
                <w:iCs/>
                <w:sz w:val="18"/>
                <w:szCs w:val="18"/>
                <w:lang w:val="en-GB"/>
              </w:rPr>
            </w:pPr>
            <w:r>
              <w:rPr>
                <w:rFonts w:eastAsia="Times New Roman" w:cs="Calibri"/>
                <w:i/>
                <w:iCs/>
                <w:sz w:val="18"/>
                <w:szCs w:val="18"/>
                <w:lang w:val="en-GB"/>
              </w:rPr>
              <w:t>50</w:t>
            </w:r>
          </w:p>
        </w:tc>
        <w:tc>
          <w:tcPr>
            <w:tcW w:w="13687" w:type="dxa"/>
            <w:tcBorders>
              <w:top w:val="single" w:sz="4" w:space="0" w:color="auto"/>
              <w:left w:val="single" w:sz="4" w:space="0" w:color="auto"/>
              <w:bottom w:val="single" w:sz="4" w:space="0" w:color="auto"/>
              <w:right w:val="single" w:sz="4" w:space="0" w:color="auto"/>
            </w:tcBorders>
            <w:hideMark/>
          </w:tcPr>
          <w:p w14:paraId="2CD4F870" w14:textId="77777777" w:rsidR="00302BFE" w:rsidRPr="006E490C" w:rsidRDefault="00302BFE" w:rsidP="00243B15">
            <w:pPr>
              <w:spacing w:before="40" w:after="40"/>
              <w:rPr>
                <w:sz w:val="18"/>
                <w:szCs w:val="18"/>
                <w:lang w:val="en-GB"/>
              </w:rPr>
            </w:pPr>
            <w:r w:rsidRPr="006E490C">
              <w:rPr>
                <w:sz w:val="18"/>
                <w:szCs w:val="18"/>
                <w:lang w:val="en-GB"/>
              </w:rPr>
              <w:t xml:space="preserve">a) Project </w:t>
            </w:r>
            <w:r w:rsidR="00EC6FC2">
              <w:rPr>
                <w:sz w:val="18"/>
                <w:szCs w:val="18"/>
                <w:lang w:val="en-GB"/>
              </w:rPr>
              <w:t>inception</w:t>
            </w:r>
            <w:r w:rsidRPr="006E490C">
              <w:rPr>
                <w:sz w:val="18"/>
                <w:szCs w:val="18"/>
                <w:lang w:val="en-GB"/>
              </w:rPr>
              <w:t xml:space="preserve"> workshop. Total cost $ 5,000 during Year 1.</w:t>
            </w:r>
          </w:p>
          <w:p w14:paraId="014BAFE4" w14:textId="77777777" w:rsidR="00302BFE" w:rsidRPr="006E490C" w:rsidRDefault="00302BFE" w:rsidP="00243B15">
            <w:pPr>
              <w:spacing w:before="40" w:after="40"/>
              <w:rPr>
                <w:sz w:val="18"/>
                <w:szCs w:val="18"/>
                <w:lang w:val="en-GB"/>
              </w:rPr>
            </w:pPr>
            <w:r w:rsidRPr="006E490C">
              <w:rPr>
                <w:sz w:val="18"/>
                <w:szCs w:val="18"/>
                <w:lang w:val="en-GB"/>
              </w:rPr>
              <w:t>b) Participatory assessments of project progress related to annual planning and Knowledge Forums to share lessons learned and good practices with project stakeholders (Output 4.2). Average Cost in Years 2 to 6 - Total Cost: $ 5,000</w:t>
            </w:r>
          </w:p>
          <w:p w14:paraId="4FA77114" w14:textId="77777777" w:rsidR="00302BFE" w:rsidRPr="006E490C" w:rsidRDefault="00302BFE" w:rsidP="00243B15">
            <w:pPr>
              <w:spacing w:before="40" w:after="40"/>
              <w:rPr>
                <w:rFonts w:eastAsia="Times New Roman" w:cs="Calibri"/>
                <w:sz w:val="18"/>
                <w:szCs w:val="18"/>
                <w:lang w:val="en-GB"/>
              </w:rPr>
            </w:pPr>
            <w:r w:rsidRPr="006E490C">
              <w:rPr>
                <w:sz w:val="18"/>
                <w:szCs w:val="18"/>
                <w:lang w:val="en-GB"/>
              </w:rPr>
              <w:t>c) Project Council meetings. Total cost: $ 3,000 in years 1 to 6 (Output 4.2).</w:t>
            </w:r>
          </w:p>
        </w:tc>
      </w:tr>
      <w:tr w:rsidR="00302BFE" w:rsidRPr="006E490C" w14:paraId="7B90F48A"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tcPr>
          <w:p w14:paraId="4351E6E8" w14:textId="0E304126" w:rsidR="00302BFE" w:rsidRPr="006E490C" w:rsidRDefault="002444C5" w:rsidP="00243B15">
            <w:pPr>
              <w:spacing w:before="40" w:after="40"/>
              <w:jc w:val="center"/>
              <w:rPr>
                <w:rFonts w:eastAsia="Times New Roman" w:cs="Calibri"/>
                <w:i/>
                <w:iCs/>
                <w:sz w:val="18"/>
                <w:szCs w:val="18"/>
                <w:lang w:val="en-GB"/>
              </w:rPr>
            </w:pPr>
            <w:r>
              <w:rPr>
                <w:rFonts w:eastAsia="Times New Roman" w:cs="Calibri"/>
                <w:i/>
                <w:iCs/>
                <w:sz w:val="18"/>
                <w:szCs w:val="18"/>
                <w:lang w:val="en-GB"/>
              </w:rPr>
              <w:t>51</w:t>
            </w:r>
          </w:p>
        </w:tc>
        <w:tc>
          <w:tcPr>
            <w:tcW w:w="13687" w:type="dxa"/>
            <w:tcBorders>
              <w:top w:val="single" w:sz="4" w:space="0" w:color="auto"/>
              <w:left w:val="single" w:sz="4" w:space="0" w:color="auto"/>
              <w:bottom w:val="single" w:sz="4" w:space="0" w:color="auto"/>
              <w:right w:val="single" w:sz="4" w:space="0" w:color="auto"/>
            </w:tcBorders>
          </w:tcPr>
          <w:p w14:paraId="38143DBB" w14:textId="77777777" w:rsidR="00302BFE" w:rsidRPr="006E490C" w:rsidRDefault="00302BFE" w:rsidP="00243B15">
            <w:pPr>
              <w:spacing w:before="40" w:after="40"/>
              <w:rPr>
                <w:sz w:val="18"/>
                <w:szCs w:val="18"/>
                <w:lang w:val="en-GB"/>
              </w:rPr>
            </w:pPr>
            <w:r w:rsidRPr="006E490C">
              <w:rPr>
                <w:rFonts w:cs="Calibri"/>
                <w:sz w:val="18"/>
                <w:szCs w:val="18"/>
                <w:lang w:val="en-CA"/>
              </w:rPr>
              <w:t>Mission expenses / periodic monitoring and technical support for component 4 activities by UNDP staff @ $2,000 / year. Total cost $12,000.</w:t>
            </w:r>
          </w:p>
        </w:tc>
      </w:tr>
      <w:tr w:rsidR="00302BFE" w:rsidRPr="006E490C" w14:paraId="179280BA"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tcPr>
          <w:p w14:paraId="03024886" w14:textId="7150828C" w:rsidR="00302BFE" w:rsidRPr="006E490C" w:rsidRDefault="00302BFE" w:rsidP="00243B15">
            <w:pPr>
              <w:spacing w:before="40" w:after="40"/>
              <w:jc w:val="center"/>
              <w:rPr>
                <w:rFonts w:eastAsia="Times New Roman" w:cs="Calibri"/>
                <w:i/>
                <w:iCs/>
                <w:sz w:val="18"/>
                <w:szCs w:val="18"/>
                <w:lang w:val="en-GB"/>
              </w:rPr>
            </w:pPr>
            <w:r w:rsidRPr="006E490C">
              <w:rPr>
                <w:rFonts w:eastAsia="Times New Roman" w:cs="Calibri"/>
                <w:i/>
                <w:iCs/>
                <w:sz w:val="18"/>
                <w:szCs w:val="18"/>
                <w:lang w:val="en-GB"/>
              </w:rPr>
              <w:t>5</w:t>
            </w:r>
            <w:r w:rsidR="002444C5">
              <w:rPr>
                <w:rFonts w:eastAsia="Times New Roman" w:cs="Calibri"/>
                <w:i/>
                <w:iCs/>
                <w:sz w:val="18"/>
                <w:szCs w:val="18"/>
                <w:lang w:val="en-GB"/>
              </w:rPr>
              <w:t>2</w:t>
            </w:r>
          </w:p>
        </w:tc>
        <w:tc>
          <w:tcPr>
            <w:tcW w:w="13687" w:type="dxa"/>
            <w:tcBorders>
              <w:top w:val="single" w:sz="4" w:space="0" w:color="auto"/>
              <w:left w:val="single" w:sz="4" w:space="0" w:color="auto"/>
              <w:bottom w:val="single" w:sz="4" w:space="0" w:color="auto"/>
              <w:right w:val="single" w:sz="4" w:space="0" w:color="auto"/>
            </w:tcBorders>
          </w:tcPr>
          <w:p w14:paraId="09A4EFDC" w14:textId="77777777" w:rsidR="00302BFE" w:rsidRPr="00E03056" w:rsidRDefault="00302BFE" w:rsidP="00243B15">
            <w:pPr>
              <w:spacing w:before="40" w:after="40"/>
              <w:rPr>
                <w:sz w:val="18"/>
                <w:szCs w:val="18"/>
                <w:lang w:val="en-GB"/>
              </w:rPr>
            </w:pPr>
            <w:r w:rsidRPr="00E03056">
              <w:rPr>
                <w:rFonts w:eastAsia="Times New Roman" w:cs="Calibri"/>
                <w:sz w:val="18"/>
                <w:szCs w:val="18"/>
                <w:lang w:val="en-GB"/>
              </w:rPr>
              <w:t>Budget reserve for possible fee adjustments based on the recruitment method for contracts under component 4 @ $ $7,500/year for years 2 to 6. Total amount $ 37,500</w:t>
            </w:r>
          </w:p>
        </w:tc>
      </w:tr>
      <w:tr w:rsidR="00302BFE" w:rsidRPr="006E490C" w14:paraId="4BC1A505"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tcPr>
          <w:p w14:paraId="6A6113B5" w14:textId="66BA057D" w:rsidR="00302BFE" w:rsidRPr="006E490C" w:rsidRDefault="00302BFE" w:rsidP="00243B15">
            <w:pPr>
              <w:spacing w:before="40" w:after="40"/>
              <w:jc w:val="center"/>
              <w:rPr>
                <w:rFonts w:eastAsia="Times New Roman" w:cs="Calibri"/>
                <w:i/>
                <w:iCs/>
                <w:sz w:val="18"/>
                <w:szCs w:val="18"/>
                <w:lang w:val="en-GB"/>
              </w:rPr>
            </w:pPr>
            <w:r w:rsidRPr="006E490C">
              <w:rPr>
                <w:rFonts w:eastAsia="Times New Roman" w:cs="Calibri"/>
                <w:i/>
                <w:iCs/>
                <w:sz w:val="18"/>
                <w:szCs w:val="18"/>
                <w:lang w:val="en-GB"/>
              </w:rPr>
              <w:t>5</w:t>
            </w:r>
            <w:r w:rsidR="002444C5">
              <w:rPr>
                <w:rFonts w:eastAsia="Times New Roman" w:cs="Calibri"/>
                <w:i/>
                <w:iCs/>
                <w:sz w:val="18"/>
                <w:szCs w:val="18"/>
                <w:lang w:val="en-GB"/>
              </w:rPr>
              <w:t>3</w:t>
            </w:r>
          </w:p>
        </w:tc>
        <w:tc>
          <w:tcPr>
            <w:tcW w:w="13687" w:type="dxa"/>
            <w:tcBorders>
              <w:top w:val="single" w:sz="4" w:space="0" w:color="auto"/>
              <w:left w:val="single" w:sz="4" w:space="0" w:color="auto"/>
              <w:bottom w:val="single" w:sz="4" w:space="0" w:color="auto"/>
              <w:right w:val="single" w:sz="4" w:space="0" w:color="auto"/>
            </w:tcBorders>
          </w:tcPr>
          <w:p w14:paraId="293E07E5" w14:textId="77777777" w:rsidR="00302BFE" w:rsidRPr="00E03056" w:rsidRDefault="00302BFE" w:rsidP="00243B15">
            <w:pPr>
              <w:spacing w:before="40" w:after="40"/>
              <w:rPr>
                <w:sz w:val="18"/>
                <w:szCs w:val="18"/>
                <w:lang w:val="en-GB"/>
              </w:rPr>
            </w:pPr>
            <w:r w:rsidRPr="00E03056">
              <w:rPr>
                <w:rFonts w:cs="Calibri"/>
                <w:sz w:val="18"/>
                <w:szCs w:val="18"/>
                <w:lang w:val="en-CA"/>
              </w:rPr>
              <w:t>Budgetary reserve for possible contribution to the rental of the office of the PCU and to the acquisition of equipment and furniture, necessary for the conduct of the interventions under component 4 @ 3,000 / year for the years 1 to 6. Total cost: $ 18,000.</w:t>
            </w:r>
          </w:p>
        </w:tc>
      </w:tr>
      <w:tr w:rsidR="00302BFE" w:rsidRPr="006E490C" w14:paraId="03D87BFB" w14:textId="77777777" w:rsidTr="004F4EA2">
        <w:trPr>
          <w:jc w:val="center"/>
        </w:trPr>
        <w:tc>
          <w:tcPr>
            <w:tcW w:w="14390" w:type="dxa"/>
            <w:gridSpan w:val="2"/>
            <w:tcBorders>
              <w:top w:val="single" w:sz="4" w:space="0" w:color="auto"/>
              <w:left w:val="single" w:sz="4" w:space="0" w:color="auto"/>
              <w:bottom w:val="single" w:sz="4" w:space="0" w:color="auto"/>
              <w:right w:val="single" w:sz="4" w:space="0" w:color="auto"/>
            </w:tcBorders>
            <w:shd w:val="clear" w:color="auto" w:fill="DEEAF6"/>
            <w:hideMark/>
          </w:tcPr>
          <w:p w14:paraId="5EE49FEF" w14:textId="77777777" w:rsidR="00302BFE" w:rsidRPr="006E490C" w:rsidRDefault="00302BFE" w:rsidP="00243B15">
            <w:pPr>
              <w:spacing w:before="40" w:after="40"/>
              <w:rPr>
                <w:rFonts w:eastAsia="Times New Roman" w:cs="Calibri"/>
                <w:b/>
                <w:sz w:val="18"/>
                <w:szCs w:val="18"/>
                <w:lang w:val="en-GB"/>
              </w:rPr>
            </w:pPr>
            <w:r w:rsidRPr="006E490C">
              <w:rPr>
                <w:rFonts w:eastAsia="Times New Roman" w:cs="Calibri"/>
                <w:b/>
                <w:sz w:val="18"/>
                <w:szCs w:val="18"/>
                <w:lang w:val="en-GB"/>
              </w:rPr>
              <w:t>Project Management Unit</w:t>
            </w:r>
          </w:p>
        </w:tc>
      </w:tr>
      <w:tr w:rsidR="00302BFE" w:rsidRPr="006E490C" w14:paraId="151A3E85"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hideMark/>
          </w:tcPr>
          <w:p w14:paraId="2318EBBB" w14:textId="5F44D143" w:rsidR="00302BFE" w:rsidRPr="006E490C" w:rsidRDefault="00302BFE" w:rsidP="00243B15">
            <w:pPr>
              <w:spacing w:before="40" w:after="40"/>
              <w:jc w:val="center"/>
              <w:rPr>
                <w:rFonts w:eastAsia="Times New Roman" w:cs="Calibri"/>
                <w:i/>
                <w:iCs/>
                <w:sz w:val="18"/>
                <w:szCs w:val="18"/>
                <w:lang w:val="en-GB"/>
              </w:rPr>
            </w:pPr>
            <w:r w:rsidRPr="004F4EA2">
              <w:rPr>
                <w:rFonts w:eastAsia="Times New Roman" w:cs="Calibri"/>
                <w:i/>
                <w:iCs/>
                <w:sz w:val="18"/>
                <w:szCs w:val="18"/>
                <w:lang w:val="en-GB"/>
              </w:rPr>
              <w:t>5</w:t>
            </w:r>
            <w:r w:rsidR="0063211A">
              <w:rPr>
                <w:rFonts w:eastAsia="Times New Roman" w:cs="Calibri"/>
                <w:i/>
                <w:iCs/>
                <w:sz w:val="18"/>
                <w:szCs w:val="18"/>
                <w:lang w:val="en-GB"/>
              </w:rPr>
              <w:t>4</w:t>
            </w:r>
          </w:p>
        </w:tc>
        <w:tc>
          <w:tcPr>
            <w:tcW w:w="13687" w:type="dxa"/>
            <w:tcBorders>
              <w:top w:val="single" w:sz="4" w:space="0" w:color="auto"/>
              <w:left w:val="single" w:sz="4" w:space="0" w:color="auto"/>
              <w:bottom w:val="single" w:sz="4" w:space="0" w:color="auto"/>
              <w:right w:val="single" w:sz="4" w:space="0" w:color="auto"/>
            </w:tcBorders>
            <w:hideMark/>
          </w:tcPr>
          <w:p w14:paraId="0E182A78" w14:textId="77777777" w:rsidR="00302BFE" w:rsidRPr="00D61C93" w:rsidRDefault="00302BFE" w:rsidP="00243B15">
            <w:pPr>
              <w:spacing w:before="40" w:after="40"/>
              <w:rPr>
                <w:rFonts w:eastAsia="Times New Roman" w:cs="Calibri"/>
                <w:sz w:val="18"/>
                <w:szCs w:val="18"/>
                <w:lang w:val="en-GB"/>
              </w:rPr>
            </w:pPr>
            <w:r w:rsidRPr="00D61C93">
              <w:rPr>
                <w:rFonts w:eastAsia="Times New Roman" w:cs="Calibri"/>
                <w:sz w:val="18"/>
                <w:szCs w:val="18"/>
                <w:lang w:val="en-GB"/>
              </w:rPr>
              <w:t>a) Project Coordinator (20% for management) responsible for overall project management, including mobilization of all project inputs, supervision of project staff, consultants and subcontractors, day-to-day management of project activities, reporting on the project, maintaining key relationships between stakeholders. $400/month over 6 years. Total cost: $ 28,800.</w:t>
            </w:r>
          </w:p>
          <w:p w14:paraId="502206A6" w14:textId="7E1CAEA5" w:rsidR="00302BFE" w:rsidRPr="00D61C93" w:rsidRDefault="00302BFE" w:rsidP="00243B15">
            <w:pPr>
              <w:spacing w:before="40" w:after="40"/>
              <w:rPr>
                <w:rFonts w:eastAsia="Times New Roman" w:cs="Calibri"/>
                <w:sz w:val="18"/>
                <w:szCs w:val="18"/>
                <w:lang w:val="en-GB"/>
              </w:rPr>
            </w:pPr>
            <w:r w:rsidRPr="002136D5">
              <w:rPr>
                <w:rFonts w:eastAsia="Times New Roman" w:cs="Calibri"/>
                <w:sz w:val="18"/>
                <w:szCs w:val="18"/>
                <w:lang w:val="en-GB"/>
              </w:rPr>
              <w:t xml:space="preserve">b) Administrative and Financial Assistant (100% for management) responsible for project financial management, accounting, purchasing and financial reporting. $1,500 / month in years </w:t>
            </w:r>
            <w:r w:rsidRPr="00EF6D8E">
              <w:rPr>
                <w:rFonts w:eastAsia="Times New Roman" w:cs="Calibri"/>
                <w:sz w:val="18"/>
                <w:szCs w:val="18"/>
                <w:lang w:val="en-GB"/>
              </w:rPr>
              <w:t xml:space="preserve">1 to </w:t>
            </w:r>
            <w:r w:rsidR="00921613" w:rsidRPr="00EF6D8E">
              <w:rPr>
                <w:rFonts w:eastAsia="Times New Roman" w:cs="Calibri"/>
                <w:sz w:val="18"/>
                <w:szCs w:val="18"/>
                <w:lang w:val="en-GB"/>
              </w:rPr>
              <w:t>5</w:t>
            </w:r>
            <w:r w:rsidRPr="00EF6D8E">
              <w:rPr>
                <w:rFonts w:eastAsia="Times New Roman" w:cs="Calibri"/>
                <w:sz w:val="18"/>
                <w:szCs w:val="18"/>
                <w:lang w:val="en-GB"/>
              </w:rPr>
              <w:t xml:space="preserve">; Total cost: $ </w:t>
            </w:r>
            <w:r w:rsidR="00921613" w:rsidRPr="00EF6D8E">
              <w:rPr>
                <w:rFonts w:eastAsia="Times New Roman" w:cs="Calibri"/>
                <w:sz w:val="18"/>
                <w:szCs w:val="18"/>
                <w:lang w:val="en-GB"/>
              </w:rPr>
              <w:t>8</w:t>
            </w:r>
            <w:r w:rsidRPr="00EF6D8E">
              <w:rPr>
                <w:rFonts w:eastAsia="Times New Roman" w:cs="Calibri"/>
                <w:sz w:val="18"/>
                <w:szCs w:val="18"/>
                <w:lang w:val="en-GB"/>
              </w:rPr>
              <w:t>8,000</w:t>
            </w:r>
          </w:p>
          <w:p w14:paraId="4465EBF7" w14:textId="3989CF97" w:rsidR="006E6BBB" w:rsidRPr="00D61C93" w:rsidRDefault="006E6BBB" w:rsidP="00243B15">
            <w:pPr>
              <w:spacing w:before="40" w:after="40"/>
              <w:rPr>
                <w:rFonts w:eastAsia="Times New Roman" w:cs="Calibri"/>
                <w:sz w:val="18"/>
                <w:szCs w:val="18"/>
                <w:lang w:val="en-GB"/>
              </w:rPr>
            </w:pPr>
            <w:r w:rsidRPr="00D61C93">
              <w:rPr>
                <w:rFonts w:eastAsia="Times New Roman" w:cs="Calibri"/>
                <w:sz w:val="18"/>
                <w:szCs w:val="18"/>
                <w:lang w:val="en-GB"/>
              </w:rPr>
              <w:lastRenderedPageBreak/>
              <w:t xml:space="preserve">c) Procurement specialist (100% for management) responsible </w:t>
            </w:r>
            <w:r w:rsidR="00035B7E" w:rsidRPr="00D61C93">
              <w:rPr>
                <w:rFonts w:eastAsia="Times New Roman" w:cs="Calibri"/>
                <w:sz w:val="18"/>
                <w:szCs w:val="18"/>
                <w:lang w:val="en-GB"/>
              </w:rPr>
              <w:t xml:space="preserve">for </w:t>
            </w:r>
            <w:r w:rsidR="00E563F7" w:rsidRPr="00D61C93">
              <w:rPr>
                <w:rFonts w:eastAsia="Times New Roman" w:cs="Calibri"/>
                <w:sz w:val="18"/>
                <w:szCs w:val="18"/>
                <w:lang w:val="en-GB"/>
              </w:rPr>
              <w:t>management, implementation and oversight of key procurement activities for the needs of the project on a full-time basis for a 3-year period, including the elaboration and implementation of project procurement strategies, including of sourcing strategy and e-procurement tools, and efficient management of procurement processes for the project</w:t>
            </w:r>
            <w:r w:rsidR="00035B7E" w:rsidRPr="00D61C93">
              <w:rPr>
                <w:rFonts w:eastAsia="Times New Roman" w:cs="Calibri"/>
                <w:sz w:val="18"/>
                <w:szCs w:val="18"/>
                <w:lang w:val="en-GB"/>
              </w:rPr>
              <w:t xml:space="preserve">. </w:t>
            </w:r>
            <w:r w:rsidR="00E563F7" w:rsidRPr="00D61C93">
              <w:rPr>
                <w:rFonts w:eastAsia="Times New Roman" w:cs="Calibri"/>
                <w:sz w:val="18"/>
                <w:szCs w:val="18"/>
                <w:lang w:val="en-GB"/>
              </w:rPr>
              <w:t xml:space="preserve">$1,500 / month in years 1 to 3. </w:t>
            </w:r>
            <w:r w:rsidR="00035B7E" w:rsidRPr="00D61C93">
              <w:rPr>
                <w:rFonts w:eastAsia="Times New Roman" w:cs="Calibri"/>
                <w:sz w:val="18"/>
                <w:szCs w:val="18"/>
                <w:lang w:val="en-GB"/>
              </w:rPr>
              <w:t>Total cost: $5</w:t>
            </w:r>
            <w:r w:rsidR="004F4EA2" w:rsidRPr="00D61C93">
              <w:rPr>
                <w:rFonts w:eastAsia="Times New Roman" w:cs="Calibri"/>
                <w:sz w:val="18"/>
                <w:szCs w:val="18"/>
                <w:lang w:val="en-GB"/>
              </w:rPr>
              <w:t>4</w:t>
            </w:r>
            <w:r w:rsidR="00035B7E" w:rsidRPr="00D61C93">
              <w:rPr>
                <w:rFonts w:eastAsia="Times New Roman" w:cs="Calibri"/>
                <w:sz w:val="18"/>
                <w:szCs w:val="18"/>
                <w:lang w:val="en-GB"/>
              </w:rPr>
              <w:t>,</w:t>
            </w:r>
            <w:r w:rsidR="004F4EA2" w:rsidRPr="00D61C93">
              <w:rPr>
                <w:rFonts w:eastAsia="Times New Roman" w:cs="Calibri"/>
                <w:sz w:val="18"/>
                <w:szCs w:val="18"/>
                <w:lang w:val="en-GB"/>
              </w:rPr>
              <w:t>00</w:t>
            </w:r>
            <w:r w:rsidR="00035B7E" w:rsidRPr="00D61C93">
              <w:rPr>
                <w:rFonts w:eastAsia="Times New Roman" w:cs="Calibri"/>
                <w:sz w:val="18"/>
                <w:szCs w:val="18"/>
                <w:lang w:val="en-GB"/>
              </w:rPr>
              <w:t>0.</w:t>
            </w:r>
          </w:p>
        </w:tc>
      </w:tr>
      <w:tr w:rsidR="00302BFE" w:rsidRPr="006E490C" w14:paraId="59189FB9"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hideMark/>
          </w:tcPr>
          <w:p w14:paraId="2ADD3B5A" w14:textId="63831884" w:rsidR="00302BFE" w:rsidRPr="006E490C" w:rsidRDefault="00302BFE" w:rsidP="00243B15">
            <w:pPr>
              <w:spacing w:before="40" w:after="40"/>
              <w:jc w:val="center"/>
              <w:rPr>
                <w:rFonts w:eastAsia="Times New Roman" w:cs="Calibri"/>
                <w:i/>
                <w:iCs/>
                <w:sz w:val="18"/>
                <w:szCs w:val="18"/>
                <w:lang w:val="en-GB"/>
              </w:rPr>
            </w:pPr>
            <w:r w:rsidRPr="006E490C">
              <w:rPr>
                <w:rFonts w:eastAsia="Times New Roman" w:cs="Calibri"/>
                <w:i/>
                <w:iCs/>
                <w:sz w:val="18"/>
                <w:szCs w:val="18"/>
                <w:lang w:val="en-GB"/>
              </w:rPr>
              <w:lastRenderedPageBreak/>
              <w:t>5</w:t>
            </w:r>
            <w:r w:rsidR="0063211A">
              <w:rPr>
                <w:rFonts w:eastAsia="Times New Roman" w:cs="Calibri"/>
                <w:i/>
                <w:iCs/>
                <w:sz w:val="18"/>
                <w:szCs w:val="18"/>
                <w:lang w:val="en-GB"/>
              </w:rPr>
              <w:t>5</w:t>
            </w:r>
          </w:p>
        </w:tc>
        <w:tc>
          <w:tcPr>
            <w:tcW w:w="13687" w:type="dxa"/>
            <w:tcBorders>
              <w:top w:val="single" w:sz="4" w:space="0" w:color="auto"/>
              <w:left w:val="single" w:sz="4" w:space="0" w:color="auto"/>
              <w:bottom w:val="single" w:sz="4" w:space="0" w:color="auto"/>
              <w:right w:val="single" w:sz="4" w:space="0" w:color="auto"/>
            </w:tcBorders>
            <w:hideMark/>
          </w:tcPr>
          <w:p w14:paraId="043AA6AB" w14:textId="77777777" w:rsidR="00302BFE" w:rsidRPr="00D61C93" w:rsidRDefault="00302BFE" w:rsidP="00243B15">
            <w:pPr>
              <w:spacing w:before="40" w:after="40"/>
              <w:rPr>
                <w:rFonts w:eastAsia="Times New Roman" w:cs="Calibri"/>
                <w:sz w:val="18"/>
                <w:szCs w:val="18"/>
                <w:lang w:val="en-GB"/>
              </w:rPr>
            </w:pPr>
            <w:r w:rsidRPr="00D61C93">
              <w:rPr>
                <w:rFonts w:eastAsia="Times New Roman" w:cs="Calibri"/>
                <w:sz w:val="18"/>
                <w:szCs w:val="18"/>
                <w:lang w:val="en-GB"/>
              </w:rPr>
              <w:t>a) Lump sum (shared between all components) for fuel purchase and vehicle maintenance of the Project Coordination Unit to be used for most field missions (consultants and PCU staff) as well as for motorcycles for the travel of technical assistants and community mobilization assistants @ $1,500 / year. Total cost: $9,000</w:t>
            </w:r>
          </w:p>
        </w:tc>
      </w:tr>
      <w:tr w:rsidR="00302BFE" w:rsidRPr="006E490C" w14:paraId="785FC361"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hideMark/>
          </w:tcPr>
          <w:p w14:paraId="20B45F7D" w14:textId="26235246" w:rsidR="00302BFE" w:rsidRPr="006E490C" w:rsidRDefault="00302BFE" w:rsidP="00243B15">
            <w:pPr>
              <w:spacing w:before="40" w:after="40"/>
              <w:jc w:val="center"/>
              <w:rPr>
                <w:rFonts w:eastAsia="Times New Roman" w:cs="Calibri"/>
                <w:i/>
                <w:iCs/>
                <w:sz w:val="18"/>
                <w:szCs w:val="18"/>
                <w:lang w:val="en-GB"/>
              </w:rPr>
            </w:pPr>
            <w:r w:rsidRPr="006E490C">
              <w:rPr>
                <w:rFonts w:eastAsia="Times New Roman" w:cs="Calibri"/>
                <w:i/>
                <w:iCs/>
                <w:sz w:val="18"/>
                <w:szCs w:val="18"/>
                <w:lang w:val="en-GB"/>
              </w:rPr>
              <w:t>5</w:t>
            </w:r>
            <w:r w:rsidR="0063211A">
              <w:rPr>
                <w:rFonts w:eastAsia="Times New Roman" w:cs="Calibri"/>
                <w:i/>
                <w:iCs/>
                <w:sz w:val="18"/>
                <w:szCs w:val="18"/>
                <w:lang w:val="en-GB"/>
              </w:rPr>
              <w:t>6</w:t>
            </w:r>
          </w:p>
        </w:tc>
        <w:tc>
          <w:tcPr>
            <w:tcW w:w="13687" w:type="dxa"/>
            <w:tcBorders>
              <w:top w:val="single" w:sz="4" w:space="0" w:color="auto"/>
              <w:left w:val="single" w:sz="4" w:space="0" w:color="auto"/>
              <w:bottom w:val="single" w:sz="4" w:space="0" w:color="auto"/>
              <w:right w:val="single" w:sz="4" w:space="0" w:color="auto"/>
            </w:tcBorders>
            <w:hideMark/>
          </w:tcPr>
          <w:p w14:paraId="42C00BBC" w14:textId="77777777" w:rsidR="00302BFE" w:rsidRPr="00D61C93" w:rsidRDefault="00302BFE" w:rsidP="00243B15">
            <w:pPr>
              <w:spacing w:before="40" w:after="40"/>
              <w:rPr>
                <w:rFonts w:eastAsia="Times New Roman" w:cs="Calibri"/>
                <w:sz w:val="18"/>
                <w:szCs w:val="18"/>
                <w:lang w:val="en-GB"/>
              </w:rPr>
            </w:pPr>
            <w:r w:rsidRPr="00D61C93">
              <w:rPr>
                <w:rFonts w:eastAsia="Times New Roman" w:cs="Calibri"/>
                <w:sz w:val="18"/>
                <w:szCs w:val="18"/>
                <w:lang w:val="en-GB"/>
              </w:rPr>
              <w:t>a) Rental costs for premises to host PCU in Po @ $250 / month. Total cost: $ 18,000</w:t>
            </w:r>
          </w:p>
          <w:p w14:paraId="5C8F1685" w14:textId="77777777" w:rsidR="00302BFE" w:rsidRPr="00D61C93" w:rsidRDefault="00302BFE" w:rsidP="00243B15">
            <w:pPr>
              <w:spacing w:before="40" w:after="40"/>
              <w:rPr>
                <w:rFonts w:eastAsia="Times New Roman" w:cs="Calibri"/>
                <w:sz w:val="18"/>
                <w:szCs w:val="18"/>
                <w:lang w:val="en-GB"/>
              </w:rPr>
            </w:pPr>
            <w:r w:rsidRPr="00D61C93">
              <w:rPr>
                <w:rFonts w:eastAsia="Times New Roman" w:cs="Calibri"/>
                <w:sz w:val="18"/>
                <w:szCs w:val="18"/>
                <w:lang w:val="en-GB"/>
              </w:rPr>
              <w:t>b) Office furniture including 3 work desks, tables, chairs, filing cabinets, shelves, etc. Total cost $5,000 Year 1</w:t>
            </w:r>
          </w:p>
        </w:tc>
      </w:tr>
      <w:tr w:rsidR="00302BFE" w:rsidRPr="00243B15" w14:paraId="3BCEA2C0"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hideMark/>
          </w:tcPr>
          <w:p w14:paraId="0CD762FE" w14:textId="1B11F924" w:rsidR="00302BFE" w:rsidRPr="006E490C" w:rsidRDefault="00302BFE" w:rsidP="00243B15">
            <w:pPr>
              <w:spacing w:before="40" w:after="40"/>
              <w:jc w:val="center"/>
              <w:rPr>
                <w:rFonts w:eastAsia="Times New Roman" w:cs="Calibri"/>
                <w:i/>
                <w:iCs/>
                <w:sz w:val="18"/>
                <w:szCs w:val="18"/>
                <w:lang w:val="en-GB"/>
              </w:rPr>
            </w:pPr>
            <w:r w:rsidRPr="006E490C">
              <w:rPr>
                <w:rFonts w:eastAsia="Times New Roman" w:cs="Calibri"/>
                <w:i/>
                <w:iCs/>
                <w:sz w:val="18"/>
                <w:szCs w:val="18"/>
                <w:lang w:val="en-GB"/>
              </w:rPr>
              <w:t>5</w:t>
            </w:r>
            <w:r w:rsidR="0063211A">
              <w:rPr>
                <w:rFonts w:eastAsia="Times New Roman" w:cs="Calibri"/>
                <w:i/>
                <w:iCs/>
                <w:sz w:val="18"/>
                <w:szCs w:val="18"/>
                <w:lang w:val="en-GB"/>
              </w:rPr>
              <w:t>7</w:t>
            </w:r>
          </w:p>
        </w:tc>
        <w:tc>
          <w:tcPr>
            <w:tcW w:w="13687" w:type="dxa"/>
            <w:tcBorders>
              <w:top w:val="single" w:sz="4" w:space="0" w:color="auto"/>
              <w:left w:val="single" w:sz="4" w:space="0" w:color="auto"/>
              <w:bottom w:val="single" w:sz="4" w:space="0" w:color="auto"/>
              <w:right w:val="single" w:sz="4" w:space="0" w:color="auto"/>
            </w:tcBorders>
            <w:hideMark/>
          </w:tcPr>
          <w:p w14:paraId="3DFD5C67" w14:textId="6840FEC4" w:rsidR="00302BFE" w:rsidRPr="00D61C93" w:rsidRDefault="00302BFE" w:rsidP="00243B15">
            <w:pPr>
              <w:spacing w:before="40" w:after="40"/>
              <w:rPr>
                <w:rFonts w:eastAsia="Times New Roman" w:cs="Calibri"/>
                <w:sz w:val="18"/>
                <w:szCs w:val="18"/>
                <w:lang w:val="en-GB"/>
              </w:rPr>
            </w:pPr>
            <w:r w:rsidRPr="00D61C93">
              <w:rPr>
                <w:rFonts w:eastAsia="Times New Roman" w:cs="Calibri"/>
                <w:sz w:val="18"/>
                <w:szCs w:val="18"/>
                <w:lang w:val="en-GB"/>
              </w:rPr>
              <w:t>a) Office supplies.</w:t>
            </w:r>
            <w:r w:rsidR="004F4EA2" w:rsidRPr="00D61C93">
              <w:rPr>
                <w:rFonts w:eastAsia="Times New Roman" w:cs="Calibri"/>
                <w:sz w:val="18"/>
                <w:szCs w:val="18"/>
                <w:lang w:val="en-GB"/>
              </w:rPr>
              <w:t xml:space="preserve"> $ 3,250 year 1, </w:t>
            </w:r>
            <w:r w:rsidRPr="00D61C93">
              <w:rPr>
                <w:rFonts w:eastAsia="Times New Roman" w:cs="Calibri"/>
                <w:sz w:val="18"/>
                <w:szCs w:val="18"/>
                <w:lang w:val="en-GB"/>
              </w:rPr>
              <w:t xml:space="preserve">$ 1,500 years </w:t>
            </w:r>
            <w:r w:rsidR="004F4EA2" w:rsidRPr="00D61C93">
              <w:rPr>
                <w:rFonts w:eastAsia="Times New Roman" w:cs="Calibri"/>
                <w:sz w:val="18"/>
                <w:szCs w:val="18"/>
                <w:lang w:val="en-GB"/>
              </w:rPr>
              <w:t>2</w:t>
            </w:r>
            <w:r w:rsidRPr="00D61C93">
              <w:rPr>
                <w:rFonts w:eastAsia="Times New Roman" w:cs="Calibri"/>
                <w:sz w:val="18"/>
                <w:szCs w:val="18"/>
                <w:lang w:val="en-GB"/>
              </w:rPr>
              <w:t xml:space="preserve"> to 6 - Total Cost: $ </w:t>
            </w:r>
            <w:r w:rsidR="004F4EA2" w:rsidRPr="00D61C93">
              <w:rPr>
                <w:rFonts w:eastAsia="Times New Roman" w:cs="Calibri"/>
                <w:sz w:val="18"/>
                <w:szCs w:val="18"/>
                <w:lang w:val="en-GB"/>
              </w:rPr>
              <w:t>10</w:t>
            </w:r>
            <w:r w:rsidRPr="00D61C93">
              <w:rPr>
                <w:rFonts w:eastAsia="Times New Roman" w:cs="Calibri"/>
                <w:sz w:val="18"/>
                <w:szCs w:val="18"/>
                <w:lang w:val="en-GB"/>
              </w:rPr>
              <w:t>,</w:t>
            </w:r>
            <w:r w:rsidR="004F4EA2" w:rsidRPr="00D61C93">
              <w:rPr>
                <w:rFonts w:eastAsia="Times New Roman" w:cs="Calibri"/>
                <w:sz w:val="18"/>
                <w:szCs w:val="18"/>
                <w:lang w:val="en-GB"/>
              </w:rPr>
              <w:t>75</w:t>
            </w:r>
            <w:r w:rsidRPr="00D61C93">
              <w:rPr>
                <w:rFonts w:eastAsia="Times New Roman" w:cs="Calibri"/>
                <w:sz w:val="18"/>
                <w:szCs w:val="18"/>
                <w:lang w:val="en-GB"/>
              </w:rPr>
              <w:t>0</w:t>
            </w:r>
          </w:p>
        </w:tc>
      </w:tr>
      <w:tr w:rsidR="00302BFE" w:rsidRPr="006E490C" w14:paraId="331416F1"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hideMark/>
          </w:tcPr>
          <w:p w14:paraId="01467699" w14:textId="6DCBCB88" w:rsidR="00302BFE" w:rsidRPr="006E490C" w:rsidRDefault="00302BFE" w:rsidP="00243B15">
            <w:pPr>
              <w:spacing w:before="40" w:after="40"/>
              <w:jc w:val="center"/>
              <w:rPr>
                <w:rFonts w:eastAsia="Times New Roman" w:cs="Calibri"/>
                <w:i/>
                <w:iCs/>
                <w:sz w:val="18"/>
                <w:szCs w:val="18"/>
                <w:lang w:val="en-GB"/>
              </w:rPr>
            </w:pPr>
            <w:r w:rsidRPr="006E490C">
              <w:rPr>
                <w:rFonts w:eastAsia="Times New Roman" w:cs="Calibri"/>
                <w:i/>
                <w:iCs/>
                <w:sz w:val="18"/>
                <w:szCs w:val="18"/>
                <w:lang w:val="en-GB"/>
              </w:rPr>
              <w:t>5</w:t>
            </w:r>
            <w:r w:rsidR="0063211A">
              <w:rPr>
                <w:rFonts w:eastAsia="Times New Roman" w:cs="Calibri"/>
                <w:i/>
                <w:iCs/>
                <w:sz w:val="18"/>
                <w:szCs w:val="18"/>
                <w:lang w:val="en-GB"/>
              </w:rPr>
              <w:t>8</w:t>
            </w:r>
          </w:p>
        </w:tc>
        <w:tc>
          <w:tcPr>
            <w:tcW w:w="13687" w:type="dxa"/>
            <w:tcBorders>
              <w:top w:val="single" w:sz="4" w:space="0" w:color="auto"/>
              <w:left w:val="single" w:sz="4" w:space="0" w:color="auto"/>
              <w:bottom w:val="single" w:sz="4" w:space="0" w:color="auto"/>
              <w:right w:val="single" w:sz="4" w:space="0" w:color="auto"/>
            </w:tcBorders>
            <w:hideMark/>
          </w:tcPr>
          <w:p w14:paraId="07406CB4" w14:textId="77777777" w:rsidR="00302BFE" w:rsidRPr="006E490C" w:rsidRDefault="00302BFE" w:rsidP="00243B15">
            <w:pPr>
              <w:spacing w:before="40" w:after="40"/>
              <w:rPr>
                <w:sz w:val="18"/>
                <w:szCs w:val="18"/>
                <w:lang w:val="en-GB"/>
              </w:rPr>
            </w:pPr>
            <w:r w:rsidRPr="006E490C">
              <w:rPr>
                <w:sz w:val="18"/>
                <w:szCs w:val="18"/>
                <w:lang w:val="en-GB"/>
              </w:rPr>
              <w:t xml:space="preserve">a) Computer equipment for the PCU office, including 1 Laptop for the Project Coordinator, external monitor and docking station @ $ 2,200, 1 Laptop Financial Assistant, external monitor and docking station @ 2,200 $; 1 Digitizer @ $ 200, </w:t>
            </w:r>
            <w:r>
              <w:rPr>
                <w:sz w:val="18"/>
                <w:szCs w:val="18"/>
                <w:lang w:val="en-GB"/>
              </w:rPr>
              <w:t xml:space="preserve">1 </w:t>
            </w:r>
            <w:r w:rsidRPr="006E490C">
              <w:rPr>
                <w:sz w:val="18"/>
                <w:szCs w:val="18"/>
                <w:lang w:val="en-GB"/>
              </w:rPr>
              <w:t>Multifunction Printer @ $ 500, 1 Digital Camera @ $ 250, 1 Video Projector @ $ 350. Total cost: $ 5,700</w:t>
            </w:r>
          </w:p>
          <w:p w14:paraId="4D96F3CE" w14:textId="77777777" w:rsidR="00302BFE" w:rsidRPr="006E490C" w:rsidRDefault="00302BFE" w:rsidP="00243B15">
            <w:pPr>
              <w:spacing w:before="40" w:after="40"/>
              <w:rPr>
                <w:rFonts w:eastAsia="Times New Roman" w:cs="Calibri"/>
                <w:sz w:val="18"/>
                <w:szCs w:val="18"/>
                <w:lang w:val="en-GB"/>
              </w:rPr>
            </w:pPr>
            <w:r w:rsidRPr="006E490C">
              <w:rPr>
                <w:sz w:val="18"/>
                <w:szCs w:val="18"/>
                <w:lang w:val="en-GB"/>
              </w:rPr>
              <w:t>b) Internet subscription for the office of the PCU @ 25 $ / month. Total cost: $ 1,800</w:t>
            </w:r>
          </w:p>
        </w:tc>
      </w:tr>
      <w:tr w:rsidR="001B1641" w:rsidRPr="006E490C" w14:paraId="4F04A2F7" w14:textId="77777777" w:rsidTr="00C756F3">
        <w:trPr>
          <w:jc w:val="center"/>
        </w:trPr>
        <w:tc>
          <w:tcPr>
            <w:tcW w:w="703" w:type="dxa"/>
            <w:tcBorders>
              <w:top w:val="single" w:sz="4" w:space="0" w:color="auto"/>
              <w:left w:val="single" w:sz="4" w:space="0" w:color="auto"/>
              <w:bottom w:val="single" w:sz="4" w:space="0" w:color="auto"/>
              <w:right w:val="single" w:sz="4" w:space="0" w:color="auto"/>
            </w:tcBorders>
            <w:hideMark/>
          </w:tcPr>
          <w:p w14:paraId="0542B80E" w14:textId="77777777" w:rsidR="001B1641" w:rsidRPr="006E490C" w:rsidRDefault="001B1641" w:rsidP="00C756F3">
            <w:pPr>
              <w:spacing w:before="40" w:after="40"/>
              <w:jc w:val="center"/>
              <w:rPr>
                <w:rFonts w:eastAsia="Times New Roman" w:cs="Calibri"/>
                <w:i/>
                <w:iCs/>
                <w:sz w:val="18"/>
                <w:szCs w:val="18"/>
                <w:lang w:val="en-GB"/>
              </w:rPr>
            </w:pPr>
            <w:r w:rsidRPr="006E490C">
              <w:rPr>
                <w:rFonts w:eastAsia="Times New Roman" w:cs="Calibri"/>
                <w:i/>
                <w:iCs/>
                <w:sz w:val="18"/>
                <w:szCs w:val="18"/>
                <w:lang w:val="en-GB"/>
              </w:rPr>
              <w:t>5</w:t>
            </w:r>
            <w:r>
              <w:rPr>
                <w:rFonts w:eastAsia="Times New Roman" w:cs="Calibri"/>
                <w:i/>
                <w:iCs/>
                <w:sz w:val="18"/>
                <w:szCs w:val="18"/>
                <w:lang w:val="en-GB"/>
              </w:rPr>
              <w:t>9</w:t>
            </w:r>
          </w:p>
        </w:tc>
        <w:tc>
          <w:tcPr>
            <w:tcW w:w="13687" w:type="dxa"/>
            <w:tcBorders>
              <w:top w:val="single" w:sz="4" w:space="0" w:color="auto"/>
              <w:left w:val="single" w:sz="4" w:space="0" w:color="auto"/>
              <w:bottom w:val="single" w:sz="4" w:space="0" w:color="auto"/>
              <w:right w:val="single" w:sz="4" w:space="0" w:color="auto"/>
            </w:tcBorders>
            <w:hideMark/>
          </w:tcPr>
          <w:p w14:paraId="6B9BB1E6" w14:textId="77777777" w:rsidR="001B1641" w:rsidRPr="006E490C" w:rsidRDefault="001B1641" w:rsidP="00C756F3">
            <w:pPr>
              <w:spacing w:before="40" w:after="40"/>
              <w:rPr>
                <w:rFonts w:eastAsia="Times New Roman" w:cs="Calibri"/>
                <w:sz w:val="18"/>
                <w:szCs w:val="18"/>
                <w:lang w:val="en-GB"/>
              </w:rPr>
            </w:pPr>
            <w:r w:rsidRPr="006E490C">
              <w:rPr>
                <w:rFonts w:eastAsia="Times New Roman" w:cs="Calibri"/>
                <w:sz w:val="18"/>
                <w:szCs w:val="18"/>
                <w:lang w:val="en-GB"/>
              </w:rPr>
              <w:t>Project management incidental expenses: $3,000 in year 1, $ 500/year in years 2 to 5, $502 in year 6 Total cost: $ 5,502</w:t>
            </w:r>
          </w:p>
        </w:tc>
      </w:tr>
      <w:tr w:rsidR="00302BFE" w:rsidRPr="006E490C" w14:paraId="55D373FE" w14:textId="77777777" w:rsidTr="004F4EA2">
        <w:trPr>
          <w:jc w:val="center"/>
        </w:trPr>
        <w:tc>
          <w:tcPr>
            <w:tcW w:w="703" w:type="dxa"/>
            <w:tcBorders>
              <w:top w:val="single" w:sz="4" w:space="0" w:color="auto"/>
              <w:left w:val="single" w:sz="4" w:space="0" w:color="auto"/>
              <w:bottom w:val="single" w:sz="4" w:space="0" w:color="auto"/>
              <w:right w:val="single" w:sz="4" w:space="0" w:color="auto"/>
            </w:tcBorders>
            <w:hideMark/>
          </w:tcPr>
          <w:p w14:paraId="24C0E954" w14:textId="0F715818" w:rsidR="00302BFE" w:rsidRPr="00EF6D8E" w:rsidRDefault="001B1641" w:rsidP="00243B15">
            <w:pPr>
              <w:spacing w:before="40" w:after="40"/>
              <w:jc w:val="center"/>
              <w:rPr>
                <w:rFonts w:eastAsia="Times New Roman" w:cs="Calibri"/>
                <w:i/>
                <w:iCs/>
                <w:sz w:val="18"/>
                <w:szCs w:val="18"/>
                <w:lang w:val="en-GB"/>
              </w:rPr>
            </w:pPr>
            <w:r w:rsidRPr="00EF6D8E">
              <w:rPr>
                <w:rFonts w:eastAsia="Times New Roman" w:cs="Calibri"/>
                <w:i/>
                <w:iCs/>
                <w:sz w:val="18"/>
                <w:szCs w:val="18"/>
                <w:lang w:val="en-GB"/>
              </w:rPr>
              <w:t>60</w:t>
            </w:r>
          </w:p>
        </w:tc>
        <w:tc>
          <w:tcPr>
            <w:tcW w:w="13687" w:type="dxa"/>
            <w:tcBorders>
              <w:top w:val="single" w:sz="4" w:space="0" w:color="auto"/>
              <w:left w:val="single" w:sz="4" w:space="0" w:color="auto"/>
              <w:bottom w:val="single" w:sz="4" w:space="0" w:color="auto"/>
              <w:right w:val="single" w:sz="4" w:space="0" w:color="auto"/>
            </w:tcBorders>
            <w:hideMark/>
          </w:tcPr>
          <w:p w14:paraId="17C403D3" w14:textId="5EE87FFB" w:rsidR="00302BFE" w:rsidRPr="00EF6D8E" w:rsidRDefault="001B1641" w:rsidP="00243B15">
            <w:pPr>
              <w:spacing w:before="40" w:after="40"/>
              <w:rPr>
                <w:rFonts w:cs="Calibri"/>
                <w:color w:val="000000"/>
                <w:sz w:val="18"/>
                <w:szCs w:val="18"/>
                <w:lang w:val="en-GB"/>
              </w:rPr>
            </w:pPr>
            <w:r w:rsidRPr="00EF6D8E">
              <w:rPr>
                <w:rFonts w:cs="Calibri"/>
                <w:color w:val="000000"/>
                <w:sz w:val="18"/>
                <w:szCs w:val="18"/>
                <w:lang w:val="en-GB"/>
              </w:rPr>
              <w:t>External annual audits beginning in year 2 (5) @ $ 4,000 / audit. Total cost: $ 20,000 (Output 4.2)</w:t>
            </w:r>
          </w:p>
        </w:tc>
      </w:tr>
    </w:tbl>
    <w:p w14:paraId="4EF36625" w14:textId="77777777" w:rsidR="00302BFE" w:rsidRDefault="00302BFE" w:rsidP="00302BFE">
      <w:pPr>
        <w:rPr>
          <w:b/>
          <w:szCs w:val="22"/>
        </w:rPr>
      </w:pPr>
    </w:p>
    <w:p w14:paraId="6AA269FD" w14:textId="77777777" w:rsidR="00302BFE" w:rsidRPr="0003763F" w:rsidRDefault="00302BFE" w:rsidP="00302BFE"/>
    <w:p w14:paraId="73C8F2DD" w14:textId="77777777" w:rsidR="00302BFE" w:rsidRDefault="00302BFE" w:rsidP="00302BFE">
      <w:pPr>
        <w:jc w:val="left"/>
        <w:rPr>
          <w:szCs w:val="28"/>
        </w:rPr>
        <w:sectPr w:rsidR="00302BFE" w:rsidSect="00243B15">
          <w:pgSz w:w="15840" w:h="12240" w:orient="landscape" w:code="1"/>
          <w:pgMar w:top="720" w:right="720" w:bottom="720" w:left="720" w:header="720" w:footer="432" w:gutter="0"/>
          <w:cols w:space="708"/>
          <w:titlePg/>
          <w:docGrid w:linePitch="360"/>
        </w:sectPr>
      </w:pPr>
    </w:p>
    <w:p w14:paraId="7F19EDF6" w14:textId="77777777" w:rsidR="00302BFE" w:rsidRPr="0003763F" w:rsidRDefault="00302BFE" w:rsidP="00302BFE">
      <w:pPr>
        <w:pStyle w:val="Titre1"/>
        <w:spacing w:before="0" w:after="60"/>
        <w:rPr>
          <w:rFonts w:ascii="Calibri" w:hAnsi="Calibri"/>
          <w:szCs w:val="28"/>
        </w:rPr>
      </w:pPr>
      <w:bookmarkStart w:id="43" w:name="_Toc9961798"/>
      <w:r w:rsidRPr="0003763F">
        <w:rPr>
          <w:rFonts w:ascii="Calibri" w:hAnsi="Calibri"/>
          <w:szCs w:val="28"/>
        </w:rPr>
        <w:lastRenderedPageBreak/>
        <w:t>Legal Context</w:t>
      </w:r>
      <w:bookmarkEnd w:id="43"/>
    </w:p>
    <w:p w14:paraId="20CAE2F1" w14:textId="3D0EC0BE" w:rsidR="00302BFE" w:rsidRPr="00F166CF" w:rsidRDefault="00302BFE" w:rsidP="00C46720">
      <w:pPr>
        <w:pStyle w:val="Paragraphedeliste"/>
        <w:numPr>
          <w:ilvl w:val="0"/>
          <w:numId w:val="14"/>
        </w:numPr>
        <w:tabs>
          <w:tab w:val="left" w:pos="284"/>
        </w:tabs>
        <w:spacing w:before="240" w:after="120"/>
        <w:ind w:left="0" w:firstLine="0"/>
        <w:jc w:val="both"/>
        <w:rPr>
          <w:rFonts w:ascii="Calibri" w:hAnsi="Calibri"/>
          <w:sz w:val="20"/>
          <w:szCs w:val="20"/>
        </w:rPr>
      </w:pPr>
      <w:r w:rsidRPr="00F166CF">
        <w:rPr>
          <w:rFonts w:ascii="Calibri" w:hAnsi="Calibri"/>
          <w:sz w:val="20"/>
          <w:szCs w:val="20"/>
        </w:rPr>
        <w:t xml:space="preserve">This project document shall be the instrument referred to as such in Article 1 of the Standard Basic Assistance Agreement between the Government of </w:t>
      </w:r>
      <w:r>
        <w:rPr>
          <w:rFonts w:ascii="Calibri" w:hAnsi="Calibri"/>
          <w:sz w:val="20"/>
          <w:szCs w:val="20"/>
        </w:rPr>
        <w:t>Burkina Faso</w:t>
      </w:r>
      <w:r w:rsidRPr="00F166CF">
        <w:rPr>
          <w:rFonts w:ascii="Calibri" w:hAnsi="Calibri"/>
          <w:sz w:val="20"/>
          <w:szCs w:val="20"/>
        </w:rPr>
        <w:t xml:space="preserve"> and UNDP, </w:t>
      </w:r>
      <w:r w:rsidRPr="00E34E6F">
        <w:rPr>
          <w:rFonts w:ascii="Calibri" w:hAnsi="Calibri"/>
          <w:sz w:val="20"/>
          <w:szCs w:val="20"/>
          <w:highlight w:val="green"/>
        </w:rPr>
        <w:t>signed on</w:t>
      </w:r>
      <w:r w:rsidR="00756CF0" w:rsidRPr="00E34E6F">
        <w:rPr>
          <w:rFonts w:ascii="Calibri" w:hAnsi="Calibri"/>
          <w:sz w:val="20"/>
          <w:szCs w:val="20"/>
          <w:highlight w:val="green"/>
        </w:rPr>
        <w:t xml:space="preserve"> May 22, 2019</w:t>
      </w:r>
      <w:r w:rsidRPr="00E34E6F">
        <w:rPr>
          <w:rFonts w:ascii="Calibri" w:hAnsi="Calibri"/>
          <w:sz w:val="20"/>
          <w:szCs w:val="20"/>
          <w:highlight w:val="green"/>
        </w:rPr>
        <w:t>.</w:t>
      </w:r>
      <w:r w:rsidRPr="00F166CF">
        <w:rPr>
          <w:rFonts w:ascii="Calibri" w:hAnsi="Calibri"/>
          <w:sz w:val="20"/>
          <w:szCs w:val="20"/>
        </w:rPr>
        <w:t xml:space="preserve"> All references in the SBAA to “Executing Agency” shall be deemed to refer to “Implementing Partner.”</w:t>
      </w:r>
    </w:p>
    <w:p w14:paraId="2270F2AC" w14:textId="6A2861B1" w:rsidR="00302BFE" w:rsidRPr="00F166CF" w:rsidRDefault="00302BFE" w:rsidP="00C46720">
      <w:pPr>
        <w:pStyle w:val="Paragraphedeliste"/>
        <w:numPr>
          <w:ilvl w:val="0"/>
          <w:numId w:val="14"/>
        </w:numPr>
        <w:tabs>
          <w:tab w:val="left" w:pos="284"/>
        </w:tabs>
        <w:spacing w:before="120" w:after="120"/>
        <w:ind w:left="0" w:firstLine="0"/>
        <w:jc w:val="both"/>
        <w:rPr>
          <w:rFonts w:ascii="Calibri" w:hAnsi="Calibri"/>
          <w:sz w:val="20"/>
          <w:szCs w:val="20"/>
        </w:rPr>
      </w:pPr>
      <w:r w:rsidRPr="00F166CF">
        <w:rPr>
          <w:rFonts w:ascii="Calibri" w:hAnsi="Calibri"/>
          <w:sz w:val="20"/>
          <w:szCs w:val="20"/>
        </w:rPr>
        <w:t>This project will be implemented by the</w:t>
      </w:r>
      <w:r w:rsidR="000D0AA3">
        <w:rPr>
          <w:rFonts w:ascii="Calibri" w:hAnsi="Calibri"/>
          <w:sz w:val="20"/>
          <w:szCs w:val="20"/>
        </w:rPr>
        <w:t xml:space="preserve"> </w:t>
      </w:r>
      <w:r w:rsidR="00CF65C6" w:rsidRPr="00342675">
        <w:rPr>
          <w:rFonts w:ascii="Calibri" w:hAnsi="Calibri"/>
          <w:sz w:val="20"/>
          <w:szCs w:val="20"/>
          <w:highlight w:val="green"/>
        </w:rPr>
        <w:t>SP Conseil Nation Devel Durabl under the Ministry in charge of the Environment</w:t>
      </w:r>
      <w:r w:rsidRPr="00F166CF">
        <w:rPr>
          <w:rFonts w:ascii="Calibri" w:hAnsi="Calibri"/>
          <w:sz w:val="20"/>
          <w:szCs w:val="20"/>
        </w:rPr>
        <w:t xml:space="preserve"> (“Implementing Partner”) in accordance with its financial regulations, rules, practices and procedures only to the extent that they do not contravene the principles of the Financial Regulations and Rules of UNDP. Where the financial governance of an Implementing Partner does not provide the required guidance to ensure best value for money, fairness, integrity, transparency, and effective international competition, the financial governance of UNDP shall apply.</w:t>
      </w:r>
    </w:p>
    <w:p w14:paraId="621A7006" w14:textId="77777777" w:rsidR="00302BFE" w:rsidRPr="00F166CF" w:rsidRDefault="00302BFE" w:rsidP="00C46720">
      <w:pPr>
        <w:pStyle w:val="Paragraphedeliste"/>
        <w:numPr>
          <w:ilvl w:val="0"/>
          <w:numId w:val="14"/>
        </w:numPr>
        <w:tabs>
          <w:tab w:val="left" w:pos="284"/>
        </w:tabs>
        <w:spacing w:before="120" w:after="360"/>
        <w:ind w:left="0" w:firstLine="0"/>
        <w:jc w:val="both"/>
        <w:rPr>
          <w:rFonts w:ascii="Calibri" w:hAnsi="Calibri"/>
          <w:sz w:val="20"/>
          <w:szCs w:val="20"/>
        </w:rPr>
      </w:pPr>
      <w:r w:rsidRPr="00F166CF">
        <w:rPr>
          <w:rFonts w:ascii="Calibri" w:hAnsi="Calibri"/>
          <w:sz w:val="20"/>
          <w:szCs w:val="20"/>
        </w:rPr>
        <w:t>Any designations on maps or other references employed in this project document do not imply the expression of any opinion whatsoever on the part of UNDP concerning the legal status of any country, territory, city or area or its authorities, or concerning the delimitation of its frontiers or boundaries. </w:t>
      </w:r>
    </w:p>
    <w:p w14:paraId="2B487138" w14:textId="77777777" w:rsidR="00302BFE" w:rsidRPr="0003763F" w:rsidRDefault="00302BFE" w:rsidP="00302BFE">
      <w:pPr>
        <w:pStyle w:val="Titre1"/>
        <w:spacing w:before="0" w:after="60"/>
        <w:jc w:val="left"/>
        <w:rPr>
          <w:rFonts w:ascii="Calibri" w:hAnsi="Calibri"/>
          <w:szCs w:val="28"/>
        </w:rPr>
      </w:pPr>
      <w:bookmarkStart w:id="44" w:name="_Toc9961799"/>
      <w:r>
        <w:rPr>
          <w:rFonts w:ascii="Calibri" w:hAnsi="Calibri"/>
          <w:szCs w:val="28"/>
        </w:rPr>
        <w:t>Risk Management</w:t>
      </w:r>
      <w:bookmarkEnd w:id="44"/>
    </w:p>
    <w:p w14:paraId="3E04C1AB" w14:textId="77777777" w:rsidR="00550EDF" w:rsidRPr="00966EF0" w:rsidRDefault="00550EDF" w:rsidP="00C46720">
      <w:pPr>
        <w:numPr>
          <w:ilvl w:val="0"/>
          <w:numId w:val="64"/>
        </w:numPr>
        <w:spacing w:after="0"/>
        <w:ind w:left="360"/>
        <w:rPr>
          <w:rFonts w:cs="Arial"/>
          <w:szCs w:val="20"/>
        </w:rPr>
      </w:pPr>
      <w:bookmarkStart w:id="45" w:name="_Toc9961800"/>
      <w:r w:rsidRPr="00966EF0">
        <w:rPr>
          <w:rFonts w:cs="Arial"/>
          <w:szCs w:val="20"/>
        </w:rPr>
        <w:t xml:space="preserve">Consistent with the Article III of the SBAA </w:t>
      </w:r>
      <w:r w:rsidRPr="00966EF0">
        <w:rPr>
          <w:rFonts w:cs="Arial"/>
          <w:i/>
          <w:szCs w:val="20"/>
        </w:rPr>
        <w:t>[or the Supplemental Provisions to the Project Document]</w:t>
      </w:r>
      <w:r w:rsidRPr="00966EF0">
        <w:rPr>
          <w:rFonts w:cs="Arial"/>
          <w:szCs w:val="20"/>
        </w:rPr>
        <w:t>, the responsibility for the safety and security of the Implementing Partner and its personnel and property, and of UNDP’s property in the Implementing Partner’s custody, rests with the Implementing Partner.  To this end, the Implementing Partner shall:</w:t>
      </w:r>
    </w:p>
    <w:p w14:paraId="57869396" w14:textId="77777777" w:rsidR="00550EDF" w:rsidRPr="00966EF0" w:rsidRDefault="00550EDF" w:rsidP="00C46720">
      <w:pPr>
        <w:numPr>
          <w:ilvl w:val="0"/>
          <w:numId w:val="8"/>
        </w:numPr>
        <w:rPr>
          <w:rFonts w:cs="Arial"/>
          <w:szCs w:val="20"/>
        </w:rPr>
      </w:pPr>
      <w:r w:rsidRPr="00966EF0">
        <w:rPr>
          <w:rFonts w:cs="Arial"/>
          <w:szCs w:val="20"/>
        </w:rPr>
        <w:t>put in place an appropriate security plan and maintain the security plan, taking into account the security situation in the country where the project is being carried;</w:t>
      </w:r>
    </w:p>
    <w:p w14:paraId="60D8D2DB" w14:textId="77777777" w:rsidR="00550EDF" w:rsidRPr="00966EF0" w:rsidRDefault="00550EDF" w:rsidP="00C46720">
      <w:pPr>
        <w:numPr>
          <w:ilvl w:val="0"/>
          <w:numId w:val="8"/>
        </w:numPr>
        <w:rPr>
          <w:rFonts w:cs="Arial"/>
          <w:szCs w:val="20"/>
        </w:rPr>
      </w:pPr>
      <w:r w:rsidRPr="00966EF0">
        <w:rPr>
          <w:rFonts w:cs="Arial"/>
          <w:szCs w:val="20"/>
        </w:rPr>
        <w:t>assume all risks and liabilities related to the Implementing Partner’s security, and the full implementation of the security plan.</w:t>
      </w:r>
    </w:p>
    <w:p w14:paraId="791E14F0" w14:textId="77777777" w:rsidR="00550EDF" w:rsidRPr="00966EF0" w:rsidRDefault="00550EDF" w:rsidP="00550EDF">
      <w:pPr>
        <w:rPr>
          <w:rFonts w:cs="Arial"/>
          <w:szCs w:val="20"/>
        </w:rPr>
      </w:pPr>
    </w:p>
    <w:p w14:paraId="12164549" w14:textId="77777777" w:rsidR="00550EDF" w:rsidRPr="00966EF0" w:rsidRDefault="00550EDF" w:rsidP="00C46720">
      <w:pPr>
        <w:numPr>
          <w:ilvl w:val="0"/>
          <w:numId w:val="64"/>
        </w:numPr>
        <w:spacing w:after="0"/>
        <w:ind w:left="360"/>
        <w:rPr>
          <w:rFonts w:cs="Arial"/>
          <w:szCs w:val="20"/>
        </w:rPr>
      </w:pPr>
      <w:r w:rsidRPr="00966EF0">
        <w:rPr>
          <w:rFonts w:cs="Arial"/>
          <w:szCs w:val="20"/>
        </w:rPr>
        <w:t>UNDP reserves the right to verify whether such a plan is in place, and to suggest modifications to the plan when necessary. Failure to maintain and implement an appropriate security plan as required hereunder shall be deemed a breach of the Implementing Partner’s obligations under this Project Document.</w:t>
      </w:r>
    </w:p>
    <w:p w14:paraId="7B6CAC00" w14:textId="77777777" w:rsidR="00550EDF" w:rsidRPr="00966EF0" w:rsidRDefault="00550EDF" w:rsidP="00550EDF">
      <w:pPr>
        <w:ind w:left="360"/>
        <w:rPr>
          <w:rFonts w:cs="Arial"/>
          <w:szCs w:val="20"/>
        </w:rPr>
      </w:pPr>
    </w:p>
    <w:p w14:paraId="130F7BD5" w14:textId="77777777" w:rsidR="00550EDF" w:rsidRPr="00966EF0" w:rsidRDefault="00550EDF" w:rsidP="00C46720">
      <w:pPr>
        <w:numPr>
          <w:ilvl w:val="0"/>
          <w:numId w:val="64"/>
        </w:numPr>
        <w:spacing w:after="0"/>
        <w:ind w:left="360"/>
        <w:rPr>
          <w:rFonts w:cs="Calibri"/>
          <w:szCs w:val="20"/>
        </w:rPr>
      </w:pPr>
      <w:r w:rsidRPr="00966EF0">
        <w:rPr>
          <w:rFonts w:cs="Arial"/>
          <w:szCs w:val="20"/>
        </w:rPr>
        <w:t xml:space="preserve">The Implementing Partner agrees to undertake all reasonable efforts to ensure that no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w:t>
      </w:r>
      <w:r w:rsidRPr="00966EF0">
        <w:rPr>
          <w:rFonts w:cs="Calibri"/>
          <w:szCs w:val="20"/>
        </w:rPr>
        <w:t xml:space="preserve">accessed via </w:t>
      </w:r>
      <w:hyperlink r:id="rId39" w:history="1">
        <w:r w:rsidRPr="00966EF0">
          <w:rPr>
            <w:rFonts w:cs="Calibri"/>
            <w:color w:val="0000FF"/>
            <w:szCs w:val="20"/>
            <w:u w:val="single"/>
          </w:rPr>
          <w:t>http://www.un.org/sc/committees/1267/aq_sanctions_list.shtml</w:t>
        </w:r>
      </w:hyperlink>
      <w:r w:rsidRPr="00966EF0">
        <w:rPr>
          <w:rFonts w:cs="Calibri"/>
          <w:color w:val="000080"/>
          <w:szCs w:val="20"/>
        </w:rPr>
        <w:t>.</w:t>
      </w:r>
      <w:r w:rsidRPr="00966EF0">
        <w:rPr>
          <w:rFonts w:cs="Calibri"/>
          <w:szCs w:val="20"/>
        </w:rPr>
        <w:t xml:space="preserve">  </w:t>
      </w:r>
    </w:p>
    <w:p w14:paraId="540E495C" w14:textId="77777777" w:rsidR="00550EDF" w:rsidRPr="00966EF0" w:rsidRDefault="00550EDF" w:rsidP="00550EDF">
      <w:pPr>
        <w:spacing w:after="0"/>
        <w:ind w:left="360"/>
        <w:rPr>
          <w:rFonts w:cs="Calibri"/>
          <w:szCs w:val="20"/>
        </w:rPr>
      </w:pPr>
    </w:p>
    <w:p w14:paraId="432123FD" w14:textId="77777777" w:rsidR="00550EDF" w:rsidRPr="00966EF0" w:rsidRDefault="00550EDF" w:rsidP="00C46720">
      <w:pPr>
        <w:numPr>
          <w:ilvl w:val="0"/>
          <w:numId w:val="64"/>
        </w:numPr>
        <w:spacing w:after="240"/>
        <w:ind w:left="360"/>
        <w:rPr>
          <w:rFonts w:cs="Calibri"/>
          <w:szCs w:val="20"/>
        </w:rPr>
      </w:pPr>
      <w:r w:rsidRPr="00966EF0">
        <w:rPr>
          <w:rFonts w:cs="Calibri"/>
          <w:szCs w:val="20"/>
        </w:rPr>
        <w:t xml:space="preserve">The Implementing Partner acknowledges and agrees that UNDP will not tolerate sexual harassment and sexual exploitation and abuse of anyone by the Implementing Partner, and each of its responsible parties, their respective sub-recipients and other entities involved in Project implementation, either as contractors or subcontractors and their personnel, and any individuals performing services for them under the Project Document. </w:t>
      </w:r>
    </w:p>
    <w:p w14:paraId="696E8B62" w14:textId="77777777" w:rsidR="00550EDF" w:rsidRPr="00966EF0" w:rsidRDefault="00550EDF" w:rsidP="00550EDF">
      <w:pPr>
        <w:spacing w:after="240"/>
        <w:ind w:left="360"/>
        <w:rPr>
          <w:rFonts w:cs="Calibri"/>
          <w:szCs w:val="20"/>
        </w:rPr>
      </w:pPr>
      <w:r w:rsidRPr="00966EF0">
        <w:rPr>
          <w:rFonts w:cs="Calibri"/>
          <w:szCs w:val="20"/>
        </w:rPr>
        <w:t xml:space="preserve"> (a) In the implementation of the activities under this Project Document, the Implementing Partner, and each of its sub-parties referred to above, shall comply with the standards of conduct set forth in the Secretary General’s Bulletin ST/SGB/2003/13 of 9 October 2003, concerning “Special measures for protection from sexual exploitation and sexual abuse” (“SEA”). </w:t>
      </w:r>
    </w:p>
    <w:p w14:paraId="50E60CB6" w14:textId="77777777" w:rsidR="00550EDF" w:rsidRPr="00966EF0" w:rsidRDefault="00550EDF" w:rsidP="00550EDF">
      <w:pPr>
        <w:spacing w:after="240"/>
        <w:ind w:left="360"/>
        <w:rPr>
          <w:rFonts w:cs="Calibri"/>
          <w:szCs w:val="20"/>
        </w:rPr>
      </w:pPr>
      <w:r w:rsidRPr="00966EF0">
        <w:rPr>
          <w:rFonts w:cs="Calibri"/>
          <w:szCs w:val="20"/>
        </w:rPr>
        <w:t>(b) Moreover, and without limitation to the application of other regulations, rules, policies and procedures bearing upon the performance of the activities under this Project Document, in the implementation of activities, the Implementing Partner, and each of its sub-parties referred to above, shall not engage in any form of sexual harassment (“SH”). SH is defined as any unwelcome conduct of a sexual nature that might reasonably be expected or be perceived to cause offense or humiliation, when such conduct interferes with work, is made a condition of employment or creates an intimidating, hostile or offensive work environment.</w:t>
      </w:r>
    </w:p>
    <w:p w14:paraId="2482815A" w14:textId="77777777" w:rsidR="00550EDF" w:rsidRPr="00966EF0" w:rsidRDefault="00550EDF" w:rsidP="00C46720">
      <w:pPr>
        <w:numPr>
          <w:ilvl w:val="0"/>
          <w:numId w:val="64"/>
        </w:numPr>
        <w:spacing w:after="240"/>
        <w:ind w:left="360"/>
        <w:rPr>
          <w:rFonts w:cs="Calibri"/>
          <w:szCs w:val="20"/>
        </w:rPr>
      </w:pPr>
      <w:r w:rsidRPr="00966EF0">
        <w:rPr>
          <w:rFonts w:cs="Calibri"/>
          <w:szCs w:val="20"/>
        </w:rPr>
        <w:t xml:space="preserve">a) In the performance of the activities under this Project Document, the Implementing Partner shall (with respect to its own activities), and shall require from its sub-parties referred to in paragraph 4 (with respect to their activities) that they, have minimum standards and procedures in place, or a plan to develop and/or improve such standards and procedures in order to be able to take effective preventive and investigative action. These should include: policies on sexual harassment and sexual </w:t>
      </w:r>
      <w:r w:rsidRPr="00966EF0">
        <w:rPr>
          <w:rFonts w:cs="Calibri"/>
          <w:szCs w:val="20"/>
        </w:rPr>
        <w:lastRenderedPageBreak/>
        <w:t>exploitation and abuse; policies on whistleblowing/protection against retaliation; and complaints, disciplinary and investigative mechanisms. In line with this, the Implementing Partner will and will require that such sub-parties will take all appropriate measures to:</w:t>
      </w:r>
    </w:p>
    <w:p w14:paraId="3DA92E5D" w14:textId="77777777" w:rsidR="00550EDF" w:rsidRPr="00966EF0" w:rsidRDefault="00550EDF" w:rsidP="00C46720">
      <w:pPr>
        <w:numPr>
          <w:ilvl w:val="1"/>
          <w:numId w:val="65"/>
        </w:numPr>
        <w:spacing w:after="240"/>
        <w:rPr>
          <w:rFonts w:cs="Calibri"/>
          <w:szCs w:val="20"/>
        </w:rPr>
      </w:pPr>
      <w:r w:rsidRPr="00966EF0">
        <w:rPr>
          <w:rFonts w:cs="Calibri"/>
          <w:szCs w:val="20"/>
        </w:rPr>
        <w:t>Prevent its employees, agents or any other persons engaged to perform any services under this Project Document, from engaging in SH or SEA;</w:t>
      </w:r>
    </w:p>
    <w:p w14:paraId="1E64895E" w14:textId="77777777" w:rsidR="00550EDF" w:rsidRPr="00966EF0" w:rsidRDefault="00550EDF" w:rsidP="00C46720">
      <w:pPr>
        <w:numPr>
          <w:ilvl w:val="1"/>
          <w:numId w:val="65"/>
        </w:numPr>
        <w:spacing w:after="240"/>
        <w:rPr>
          <w:rFonts w:cs="Calibri"/>
          <w:szCs w:val="20"/>
        </w:rPr>
      </w:pPr>
      <w:r w:rsidRPr="00966EF0">
        <w:rPr>
          <w:rFonts w:cs="Calibri"/>
          <w:szCs w:val="20"/>
        </w:rPr>
        <w:t>Offer employees and associated personnel training on prevention and response to SH and SEA, where the Implementing Partner and its sub-parties referred to in paragraph 4 have not put in place its own training regarding the prevention of SH and SEA, the Implementing Partner and its sub-parties may use the training material available at UNDP;</w:t>
      </w:r>
    </w:p>
    <w:p w14:paraId="11F69DFD" w14:textId="77777777" w:rsidR="00550EDF" w:rsidRPr="00966EF0" w:rsidRDefault="00550EDF" w:rsidP="00C46720">
      <w:pPr>
        <w:numPr>
          <w:ilvl w:val="1"/>
          <w:numId w:val="65"/>
        </w:numPr>
        <w:spacing w:after="240"/>
        <w:rPr>
          <w:rFonts w:cs="Calibri"/>
          <w:szCs w:val="20"/>
        </w:rPr>
      </w:pPr>
      <w:r w:rsidRPr="00966EF0">
        <w:rPr>
          <w:rFonts w:cs="Calibri"/>
          <w:szCs w:val="20"/>
        </w:rPr>
        <w:t xml:space="preserve">Report and monitor allegations of SH and SEA of which the Implementing Partner and its sub-parties referred to in paragraph 4 have been informed or have otherwise become aware, and status thereof; </w:t>
      </w:r>
    </w:p>
    <w:p w14:paraId="3D17A749" w14:textId="77777777" w:rsidR="00550EDF" w:rsidRPr="00966EF0" w:rsidRDefault="00550EDF" w:rsidP="00C46720">
      <w:pPr>
        <w:numPr>
          <w:ilvl w:val="1"/>
          <w:numId w:val="65"/>
        </w:numPr>
        <w:spacing w:after="240"/>
        <w:rPr>
          <w:rFonts w:cs="Calibri"/>
          <w:szCs w:val="20"/>
        </w:rPr>
      </w:pPr>
      <w:r w:rsidRPr="00966EF0">
        <w:rPr>
          <w:rFonts w:cs="Calibri"/>
          <w:szCs w:val="20"/>
        </w:rPr>
        <w:t>Refer victims/survivors of SH and SEA to safe and confidential victim assistance; and</w:t>
      </w:r>
    </w:p>
    <w:p w14:paraId="4F797416" w14:textId="77777777" w:rsidR="00550EDF" w:rsidRPr="00966EF0" w:rsidRDefault="00550EDF" w:rsidP="00C46720">
      <w:pPr>
        <w:numPr>
          <w:ilvl w:val="1"/>
          <w:numId w:val="65"/>
        </w:numPr>
        <w:spacing w:after="240"/>
        <w:rPr>
          <w:rFonts w:cs="Calibri"/>
          <w:szCs w:val="20"/>
        </w:rPr>
      </w:pPr>
      <w:r w:rsidRPr="00966EF0">
        <w:rPr>
          <w:rFonts w:cs="Calibri"/>
          <w:szCs w:val="20"/>
        </w:rPr>
        <w:t xml:space="preserve">Promptly and confidentially record and investigate any allegations credible enough to warrant an investigation of SH or SEA. The Implementing Partner shall advise UNDP of any such allegations received and investigations being conducted by itself or any of its sub-parties referred to in paragraph 4 with respect to their activities under the Project Document, and shall keep UNDP informed during the investigation by it or any of such sub-parties, to the extent that such notification (i) does not jeopardize the conduct of the investigation, including but not limited to the safety or security of persons, and/or (ii) is not in contravention of any laws applicable to it. Following the investigation, the Implementing Partner shall advise UNDP of any actions taken by it or any of the other entities further to the investigation. </w:t>
      </w:r>
    </w:p>
    <w:p w14:paraId="01673E4C" w14:textId="77777777" w:rsidR="00550EDF" w:rsidRPr="00966EF0" w:rsidRDefault="00550EDF" w:rsidP="00C46720">
      <w:pPr>
        <w:numPr>
          <w:ilvl w:val="0"/>
          <w:numId w:val="68"/>
        </w:numPr>
        <w:spacing w:after="240"/>
        <w:rPr>
          <w:rFonts w:cs="Calibri"/>
          <w:szCs w:val="20"/>
        </w:rPr>
      </w:pPr>
      <w:r w:rsidRPr="00966EF0">
        <w:rPr>
          <w:rFonts w:cs="Calibri"/>
          <w:szCs w:val="20"/>
        </w:rPr>
        <w:t>The Implementing Partner shall establish that it has complied with the foregoing, to the satisfaction of UNDP, when requested by UNDP or any party acting on its behalf to provide such confirmation. Failure of the Implementing Partner, and each of its sub-parties referred to in paragraph 4, to comply of the foregoing, as determined by UNDP, shall be considered grounds for suspension or termination of the Project.</w:t>
      </w:r>
    </w:p>
    <w:p w14:paraId="70CD95F7" w14:textId="77777777" w:rsidR="00550EDF" w:rsidRPr="00966EF0" w:rsidRDefault="00550EDF" w:rsidP="00C46720">
      <w:pPr>
        <w:numPr>
          <w:ilvl w:val="0"/>
          <w:numId w:val="64"/>
        </w:numPr>
        <w:spacing w:after="240"/>
        <w:ind w:left="450" w:hanging="450"/>
        <w:rPr>
          <w:rFonts w:cs="Arial"/>
          <w:szCs w:val="20"/>
          <w:u w:val="single"/>
        </w:rPr>
      </w:pPr>
      <w:r w:rsidRPr="00966EF0">
        <w:rPr>
          <w:rFonts w:cs="Arial"/>
          <w:szCs w:val="20"/>
        </w:rPr>
        <w:t xml:space="preserve">Social and environmental sustainability will be enhanced through application of the UNDP Social and Environmental Standards (http://www.undp.org/ses) and related Accountability Mechanism (http://www.undp.org/secu-srm).  </w:t>
      </w:r>
      <w:r w:rsidRPr="00966EF0">
        <w:rPr>
          <w:rFonts w:cs="Arial"/>
          <w:color w:val="000000"/>
          <w:szCs w:val="20"/>
        </w:rPr>
        <w:t> </w:t>
      </w:r>
    </w:p>
    <w:p w14:paraId="19FF12F4" w14:textId="77777777" w:rsidR="00550EDF" w:rsidRPr="00966EF0" w:rsidRDefault="00550EDF" w:rsidP="00C46720">
      <w:pPr>
        <w:numPr>
          <w:ilvl w:val="0"/>
          <w:numId w:val="64"/>
        </w:numPr>
        <w:autoSpaceDE w:val="0"/>
        <w:autoSpaceDN w:val="0"/>
        <w:adjustRightInd w:val="0"/>
        <w:spacing w:after="0"/>
        <w:ind w:left="360"/>
        <w:rPr>
          <w:rFonts w:eastAsia="MS Mincho" w:cs="Arial"/>
          <w:color w:val="000000"/>
          <w:szCs w:val="20"/>
          <w:lang w:eastAsia="ja-JP"/>
        </w:rPr>
      </w:pPr>
      <w:r w:rsidRPr="00966EF0">
        <w:rPr>
          <w:rFonts w:eastAsia="MS Mincho" w:cs="Arial"/>
          <w:color w:val="101010"/>
          <w:spacing w:val="-6"/>
          <w:kern w:val="1"/>
          <w:szCs w:val="20"/>
          <w:lang w:eastAsia="ja-JP"/>
        </w:rPr>
        <w:t xml:space="preserve">The Implementing Partner shall: (a) conduct project and programme-related activities in a manner consistent with the UNDP Social and Environmental Standards, (b) implement any management or mitigation plan prepared for the project or programme to comply with such standards, and (c) engage in a constructive and timely manner to address any concerns and complaints raised through the Accountability Mechanism. </w:t>
      </w:r>
      <w:r w:rsidRPr="00966EF0">
        <w:rPr>
          <w:rFonts w:eastAsia="MS Mincho" w:cs="Arial"/>
          <w:color w:val="141414"/>
          <w:spacing w:val="-4"/>
          <w:szCs w:val="20"/>
          <w:lang w:val="en-GB" w:eastAsia="ja-JP"/>
        </w:rPr>
        <w:t>UNDP</w:t>
      </w:r>
      <w:r w:rsidRPr="00966EF0">
        <w:rPr>
          <w:rFonts w:eastAsia="MS Mincho" w:cs="Arial"/>
          <w:color w:val="000000"/>
          <w:szCs w:val="20"/>
          <w:lang w:val="en-GB" w:eastAsia="ja-JP"/>
        </w:rPr>
        <w:t xml:space="preserve"> will seek to ensure that communities and other project stakeholders are informed of and have access to the Accountability Mechanism. </w:t>
      </w:r>
    </w:p>
    <w:p w14:paraId="6986E125" w14:textId="77777777" w:rsidR="00550EDF" w:rsidRPr="00966EF0" w:rsidRDefault="00550EDF" w:rsidP="00C46720">
      <w:pPr>
        <w:numPr>
          <w:ilvl w:val="0"/>
          <w:numId w:val="64"/>
        </w:numPr>
        <w:spacing w:before="240" w:after="240"/>
        <w:ind w:left="360"/>
        <w:rPr>
          <w:rFonts w:cs="Arial"/>
          <w:spacing w:val="-4"/>
          <w:szCs w:val="20"/>
        </w:rPr>
      </w:pPr>
      <w:r w:rsidRPr="00966EF0">
        <w:rPr>
          <w:rFonts w:cs="Arial"/>
          <w:spacing w:val="-4"/>
          <w:szCs w:val="20"/>
        </w:rPr>
        <w:t>All signatories to the Project Document shall cooperate in good faith with any exercise to evaluate any programme or project-related commitments or compliance with the UNDP Social and Environmental Standards. This includes providing access to project sites, relevant personnel, information, and documentation.</w:t>
      </w:r>
    </w:p>
    <w:p w14:paraId="767845B8" w14:textId="77777777" w:rsidR="00550EDF" w:rsidRPr="00966EF0" w:rsidRDefault="00550EDF" w:rsidP="00C46720">
      <w:pPr>
        <w:numPr>
          <w:ilvl w:val="0"/>
          <w:numId w:val="64"/>
        </w:numPr>
        <w:autoSpaceDE w:val="0"/>
        <w:autoSpaceDN w:val="0"/>
        <w:adjustRightInd w:val="0"/>
        <w:spacing w:after="0"/>
        <w:ind w:left="360"/>
        <w:rPr>
          <w:rFonts w:eastAsia="Calibri" w:cs="Arial"/>
          <w:color w:val="000000"/>
          <w:szCs w:val="20"/>
        </w:rPr>
      </w:pPr>
      <w:r w:rsidRPr="00966EF0">
        <w:rPr>
          <w:rFonts w:eastAsia="Calibri" w:cs="Arial"/>
          <w:color w:val="000000"/>
          <w:szCs w:val="20"/>
        </w:rPr>
        <w:t>The Implementing Partner will take appropriate steps to prevent misuse of funds, fraud or corruption, by its officials, consultants, responsible parties, subcontractors and sub-recipients in implementing the project or using UNDP funds.  The Implementing Partner will ensure that its financial management, anti-corruption and anti-fraud policies are in place and enforced for all funding received from or through UNDP.</w:t>
      </w:r>
    </w:p>
    <w:p w14:paraId="7F1798A7" w14:textId="77777777" w:rsidR="00550EDF" w:rsidRPr="00966EF0" w:rsidRDefault="00550EDF" w:rsidP="00550EDF">
      <w:pPr>
        <w:autoSpaceDE w:val="0"/>
        <w:autoSpaceDN w:val="0"/>
        <w:adjustRightInd w:val="0"/>
        <w:spacing w:after="0"/>
        <w:ind w:left="360"/>
        <w:rPr>
          <w:rFonts w:eastAsia="Calibri" w:cs="Arial"/>
          <w:color w:val="000000"/>
          <w:szCs w:val="20"/>
        </w:rPr>
      </w:pPr>
    </w:p>
    <w:p w14:paraId="474845C3" w14:textId="77777777" w:rsidR="00550EDF" w:rsidRPr="00966EF0" w:rsidRDefault="00550EDF" w:rsidP="00C46720">
      <w:pPr>
        <w:numPr>
          <w:ilvl w:val="0"/>
          <w:numId w:val="64"/>
        </w:numPr>
        <w:autoSpaceDE w:val="0"/>
        <w:autoSpaceDN w:val="0"/>
        <w:adjustRightInd w:val="0"/>
        <w:spacing w:after="0"/>
        <w:ind w:left="360"/>
        <w:rPr>
          <w:rFonts w:eastAsia="Calibri" w:cs="Arial"/>
          <w:color w:val="000000"/>
          <w:szCs w:val="20"/>
        </w:rPr>
      </w:pPr>
      <w:r w:rsidRPr="00966EF0">
        <w:rPr>
          <w:rFonts w:eastAsia="Calibri" w:cs="Arial"/>
          <w:color w:val="000000"/>
          <w:szCs w:val="20"/>
        </w:rPr>
        <w:t xml:space="preserve">The requirements of the following documents, then in force at the time of signature of the Project Document, apply to the Implementing Partner: </w:t>
      </w:r>
      <w:r w:rsidRPr="00966EF0">
        <w:rPr>
          <w:rFonts w:eastAsia="Calibri" w:cs="Arial"/>
          <w:bCs/>
          <w:color w:val="000000"/>
          <w:szCs w:val="20"/>
        </w:rPr>
        <w:t>(a)</w:t>
      </w:r>
      <w:r w:rsidRPr="00966EF0">
        <w:rPr>
          <w:rFonts w:eastAsia="Calibri" w:cs="Arial"/>
          <w:b/>
          <w:bCs/>
          <w:color w:val="000000"/>
          <w:szCs w:val="20"/>
        </w:rPr>
        <w:t xml:space="preserve"> </w:t>
      </w:r>
      <w:r w:rsidRPr="00966EF0">
        <w:rPr>
          <w:rFonts w:eastAsia="Calibri" w:cs="Arial"/>
          <w:color w:val="000000"/>
          <w:szCs w:val="20"/>
        </w:rPr>
        <w:t xml:space="preserve">UNDP Policy on Fraud and other Corrupt Practices and </w:t>
      </w:r>
      <w:r w:rsidRPr="00966EF0">
        <w:rPr>
          <w:rFonts w:eastAsia="Calibri" w:cs="Arial"/>
          <w:bCs/>
          <w:color w:val="000000"/>
          <w:szCs w:val="20"/>
        </w:rPr>
        <w:t>(b)</w:t>
      </w:r>
      <w:r w:rsidRPr="00966EF0">
        <w:rPr>
          <w:rFonts w:eastAsia="Calibri" w:cs="Arial"/>
          <w:b/>
          <w:bCs/>
          <w:color w:val="000000"/>
          <w:szCs w:val="20"/>
        </w:rPr>
        <w:t xml:space="preserve"> </w:t>
      </w:r>
      <w:r w:rsidRPr="00966EF0">
        <w:rPr>
          <w:rFonts w:eastAsia="Calibri" w:cs="Arial"/>
          <w:color w:val="000000"/>
          <w:szCs w:val="20"/>
        </w:rPr>
        <w:t xml:space="preserve">UNDP Office of Audit and Investigations Investigation Guidelines. </w:t>
      </w:r>
      <w:r w:rsidRPr="00966EF0">
        <w:rPr>
          <w:rFonts w:eastAsia="Calibri" w:cs="Arial"/>
          <w:szCs w:val="20"/>
        </w:rPr>
        <w:t xml:space="preserve">The Implementing Partner agrees to the requirements of the above documents, which are an integral part of this Project Document and are available online at www.undp.org. </w:t>
      </w:r>
    </w:p>
    <w:p w14:paraId="3AA936DC" w14:textId="77777777" w:rsidR="00550EDF" w:rsidRPr="00966EF0" w:rsidRDefault="00550EDF" w:rsidP="00550EDF">
      <w:pPr>
        <w:spacing w:after="0"/>
        <w:ind w:left="360"/>
        <w:rPr>
          <w:rFonts w:cs="Arial"/>
          <w:color w:val="000000"/>
          <w:szCs w:val="20"/>
        </w:rPr>
      </w:pPr>
    </w:p>
    <w:p w14:paraId="08AA7AC7" w14:textId="77777777" w:rsidR="00550EDF" w:rsidRPr="00966EF0" w:rsidRDefault="00550EDF" w:rsidP="00C46720">
      <w:pPr>
        <w:numPr>
          <w:ilvl w:val="0"/>
          <w:numId w:val="64"/>
        </w:numPr>
        <w:spacing w:after="0"/>
        <w:ind w:left="360"/>
        <w:rPr>
          <w:rFonts w:cs="Arial"/>
          <w:color w:val="000000"/>
          <w:szCs w:val="20"/>
        </w:rPr>
      </w:pPr>
      <w:r w:rsidRPr="00966EF0">
        <w:rPr>
          <w:rFonts w:cs="Arial"/>
          <w:color w:val="000000"/>
          <w:szCs w:val="20"/>
        </w:rPr>
        <w:lastRenderedPageBreak/>
        <w:t>In the event that an investigation is required, UNDP has the obligation to conduct investigations relating to any aspect of UNDP projects and programmes in accordance with UNDP’s regulations, rules, policies and procedures. The Implementing Partner shall provide its full cooperation, including making available personnel, relevant documentation, and granting access to the Implementing Partner’s</w:t>
      </w:r>
      <w:r w:rsidRPr="00966EF0">
        <w:rPr>
          <w:rFonts w:eastAsia="Calibri" w:cs="Arial"/>
          <w:color w:val="000000"/>
          <w:szCs w:val="20"/>
        </w:rPr>
        <w:t xml:space="preserve"> </w:t>
      </w:r>
      <w:r w:rsidRPr="00966EF0">
        <w:rPr>
          <w:rFonts w:cs="Arial"/>
          <w:color w:val="000000"/>
          <w:szCs w:val="20"/>
        </w:rPr>
        <w:t>(and its consultants’, responsible parties’, subcontractors’ and sub-recipients’) premises, for such purposes at reasonable times and on reasonable conditions as may be required for the purpose of an investigation. Should there be a limitation in meeting this obligation, UNDP shall consult with the Implementing Partner to find a solution.</w:t>
      </w:r>
    </w:p>
    <w:p w14:paraId="0F34EA81" w14:textId="77777777" w:rsidR="00550EDF" w:rsidRPr="00966EF0" w:rsidRDefault="00550EDF" w:rsidP="00550EDF">
      <w:pPr>
        <w:spacing w:after="0"/>
        <w:ind w:left="360"/>
        <w:rPr>
          <w:rFonts w:eastAsia="Calibri" w:cs="Arial"/>
          <w:color w:val="000000"/>
          <w:szCs w:val="20"/>
        </w:rPr>
      </w:pPr>
    </w:p>
    <w:p w14:paraId="7C1511E7" w14:textId="77777777" w:rsidR="00550EDF" w:rsidRPr="00966EF0" w:rsidRDefault="00550EDF" w:rsidP="00C46720">
      <w:pPr>
        <w:numPr>
          <w:ilvl w:val="0"/>
          <w:numId w:val="64"/>
        </w:numPr>
        <w:spacing w:after="0"/>
        <w:ind w:left="360"/>
        <w:rPr>
          <w:rFonts w:cs="Calibri"/>
          <w:szCs w:val="20"/>
        </w:rPr>
      </w:pPr>
      <w:r w:rsidRPr="00966EF0">
        <w:rPr>
          <w:rFonts w:cs="Calibri"/>
          <w:szCs w:val="20"/>
        </w:rPr>
        <w:t>The signatories to this Project Document will promptly inform one another in case of any incidence of inappropriate use of funds, or credible allegation of fraud or corruption with due confidentiality.</w:t>
      </w:r>
    </w:p>
    <w:p w14:paraId="4F5CD037" w14:textId="77777777" w:rsidR="00550EDF" w:rsidRPr="00966EF0" w:rsidRDefault="00550EDF" w:rsidP="00550EDF">
      <w:pPr>
        <w:spacing w:after="0"/>
        <w:ind w:left="360"/>
        <w:rPr>
          <w:rFonts w:cs="Calibri"/>
          <w:szCs w:val="20"/>
        </w:rPr>
      </w:pPr>
    </w:p>
    <w:p w14:paraId="36ACAD37" w14:textId="77777777" w:rsidR="00550EDF" w:rsidRPr="00966EF0" w:rsidRDefault="00550EDF" w:rsidP="00550EDF">
      <w:pPr>
        <w:spacing w:after="0"/>
        <w:ind w:left="360"/>
        <w:rPr>
          <w:rFonts w:eastAsia="Calibri" w:cs="Calibri"/>
          <w:color w:val="000000"/>
          <w:szCs w:val="20"/>
        </w:rPr>
      </w:pPr>
      <w:r w:rsidRPr="00966EF0">
        <w:rPr>
          <w:rFonts w:cs="Calibri"/>
          <w:szCs w:val="20"/>
        </w:rPr>
        <w:t>Where the Implementing Partner becomes aware that a UNDP project or activity, in whole or in part, is the focus of investigation for alleged fraud/corruption, the Implementing Partner will inform the UNDP Resident Representative/Head of Office, who will promptly inform UNDP’s Office of Audit and Investigations (OAI). The Implementing Partner shall provide regular updates to the head of UNDP in the country and OAI of the status of, and actions relating to, such investigation.</w:t>
      </w:r>
    </w:p>
    <w:p w14:paraId="197DEBA7" w14:textId="77777777" w:rsidR="00550EDF" w:rsidRPr="00966EF0" w:rsidRDefault="00550EDF" w:rsidP="00550EDF">
      <w:pPr>
        <w:spacing w:after="0"/>
        <w:ind w:left="360"/>
        <w:rPr>
          <w:rFonts w:cs="Calibri"/>
          <w:i/>
          <w:szCs w:val="20"/>
        </w:rPr>
      </w:pPr>
    </w:p>
    <w:p w14:paraId="0EC622E3" w14:textId="77777777" w:rsidR="00550EDF" w:rsidRPr="00966EF0" w:rsidRDefault="00550EDF" w:rsidP="00C46720">
      <w:pPr>
        <w:numPr>
          <w:ilvl w:val="0"/>
          <w:numId w:val="66"/>
        </w:numPr>
        <w:spacing w:after="0"/>
        <w:rPr>
          <w:rFonts w:eastAsia="Calibri" w:cs="Calibri"/>
          <w:color w:val="000000"/>
          <w:szCs w:val="20"/>
        </w:rPr>
      </w:pPr>
      <w:r w:rsidRPr="00966EF0">
        <w:rPr>
          <w:rFonts w:cs="Calibri"/>
          <w:szCs w:val="20"/>
        </w:rPr>
        <w:t>UNDP shall be entitled to a refund from the Implementing Partner of any funds provided that have been used inappropriately, including through fraud or corruption, or otherwise paid other than in accordance with the terms and conditions of the Project Document.  Such amount may be deducted by UNDP from any payment due to the Implementing Partner under this or any other agreement.  Recovery of such amount by UNDP shall not diminish or curtail the Implementing Partner’s obligations under this Project Document.</w:t>
      </w:r>
    </w:p>
    <w:p w14:paraId="6235214D" w14:textId="77777777" w:rsidR="00550EDF" w:rsidRPr="00966EF0" w:rsidRDefault="00550EDF" w:rsidP="00550EDF">
      <w:pPr>
        <w:spacing w:after="0"/>
        <w:ind w:left="360"/>
        <w:rPr>
          <w:rFonts w:cs="Calibri"/>
          <w:szCs w:val="20"/>
        </w:rPr>
      </w:pPr>
    </w:p>
    <w:p w14:paraId="2B4B61B6" w14:textId="77777777" w:rsidR="00550EDF" w:rsidRPr="00966EF0" w:rsidRDefault="00550EDF" w:rsidP="00550EDF">
      <w:pPr>
        <w:spacing w:after="0"/>
        <w:ind w:left="360"/>
        <w:rPr>
          <w:rFonts w:cs="Arial"/>
          <w:szCs w:val="20"/>
        </w:rPr>
      </w:pPr>
      <w:r w:rsidRPr="00966EF0">
        <w:rPr>
          <w:rFonts w:cs="Arial"/>
          <w:szCs w:val="20"/>
        </w:rPr>
        <w:t>Where such funds have not been refunded to UNDP, the Implementing Partner agrees that donors to UNDP (including the Government) whose funding is the source, in whole or in part, of the funds for the activities under this Project Document, may seek recourse to the Implementing Partner for the recovery of any funds determined by UNDP to have been used inappropriately, including through fraud or corruption, or otherwise paid other than in accordance with the terms and conditions of the Project Document.</w:t>
      </w:r>
    </w:p>
    <w:p w14:paraId="05F05BB0" w14:textId="77777777" w:rsidR="00550EDF" w:rsidRPr="00966EF0" w:rsidRDefault="00550EDF" w:rsidP="00550EDF">
      <w:pPr>
        <w:spacing w:after="0"/>
        <w:ind w:left="360"/>
        <w:rPr>
          <w:rFonts w:cs="Arial"/>
          <w:szCs w:val="20"/>
        </w:rPr>
      </w:pPr>
    </w:p>
    <w:p w14:paraId="70FA16DF" w14:textId="77777777" w:rsidR="00550EDF" w:rsidRPr="00966EF0" w:rsidRDefault="00550EDF" w:rsidP="00550EDF">
      <w:pPr>
        <w:spacing w:after="0"/>
        <w:ind w:left="360"/>
        <w:rPr>
          <w:rFonts w:eastAsia="Calibri" w:cs="Arial"/>
          <w:color w:val="000000"/>
          <w:szCs w:val="20"/>
        </w:rPr>
      </w:pPr>
      <w:r w:rsidRPr="00966EF0">
        <w:rPr>
          <w:rFonts w:cs="Arial"/>
          <w:i/>
          <w:szCs w:val="20"/>
          <w:u w:val="single"/>
        </w:rPr>
        <w:t>Note</w:t>
      </w:r>
      <w:r w:rsidRPr="00966EF0">
        <w:rPr>
          <w:rFonts w:cs="Arial"/>
          <w:i/>
          <w:szCs w:val="20"/>
        </w:rPr>
        <w:t>:</w:t>
      </w:r>
      <w:r w:rsidRPr="00966EF0">
        <w:rPr>
          <w:rFonts w:cs="Arial"/>
          <w:szCs w:val="20"/>
        </w:rPr>
        <w:t xml:space="preserve">  The term “Project Document” as used in this clause shall be deemed to include any relevant subsidiary agreement further to the Project Document, including those with responsible parties, subcontractors and sub-recipients.</w:t>
      </w:r>
    </w:p>
    <w:p w14:paraId="454C6219" w14:textId="77777777" w:rsidR="00550EDF" w:rsidRPr="00966EF0" w:rsidRDefault="00550EDF" w:rsidP="00550EDF">
      <w:pPr>
        <w:spacing w:after="0"/>
        <w:ind w:left="360"/>
        <w:rPr>
          <w:rFonts w:cs="Arial"/>
          <w:szCs w:val="20"/>
        </w:rPr>
      </w:pPr>
    </w:p>
    <w:p w14:paraId="1E5C20F1" w14:textId="77777777" w:rsidR="00550EDF" w:rsidRPr="00966EF0" w:rsidRDefault="00550EDF" w:rsidP="00C46720">
      <w:pPr>
        <w:numPr>
          <w:ilvl w:val="0"/>
          <w:numId w:val="67"/>
        </w:numPr>
        <w:spacing w:after="0"/>
        <w:rPr>
          <w:rFonts w:cs="Arial"/>
          <w:szCs w:val="20"/>
        </w:rPr>
      </w:pPr>
      <w:r w:rsidRPr="00966EF0">
        <w:rPr>
          <w:rFonts w:cs="Arial"/>
          <w:szCs w:val="20"/>
        </w:rPr>
        <w:t>Each contract issued by the Implementing Partner in connection with this Project Document shall include a provision representing that no fees, gratuities, rebates, gifts, commissions or other payments, other than those shown in the proposal, have been given, received, or promised in connection with the selection process or in contract execution, and that the recipient of funds from the Implementing Partner shall cooperate with any and all investigations and post-payment audits.</w:t>
      </w:r>
    </w:p>
    <w:p w14:paraId="4F687872" w14:textId="77777777" w:rsidR="00550EDF" w:rsidRPr="00966EF0" w:rsidRDefault="00550EDF" w:rsidP="00550EDF">
      <w:pPr>
        <w:spacing w:after="0"/>
        <w:ind w:left="360"/>
        <w:rPr>
          <w:rFonts w:cs="Arial"/>
          <w:szCs w:val="20"/>
        </w:rPr>
      </w:pPr>
    </w:p>
    <w:p w14:paraId="75E17E69" w14:textId="77777777" w:rsidR="00550EDF" w:rsidRPr="00966EF0" w:rsidRDefault="00550EDF" w:rsidP="00C46720">
      <w:pPr>
        <w:numPr>
          <w:ilvl w:val="0"/>
          <w:numId w:val="67"/>
        </w:numPr>
        <w:spacing w:after="0"/>
        <w:rPr>
          <w:rFonts w:cs="Arial"/>
          <w:szCs w:val="20"/>
        </w:rPr>
      </w:pPr>
      <w:r w:rsidRPr="00966EF0">
        <w:rPr>
          <w:rFonts w:cs="Arial"/>
          <w:szCs w:val="20"/>
        </w:rPr>
        <w:t>Should UNDP refer to the relevant national authorities for appropriate legal action any alleged wrongdoing relating to the project, the Government will ensure that the relevant national authorities shall actively investigate the same and take appropriate legal action against all individuals found to have participated in the wrongdoing, recover and return any recovered funds to UNDP.</w:t>
      </w:r>
    </w:p>
    <w:p w14:paraId="66BB698B" w14:textId="77777777" w:rsidR="00550EDF" w:rsidRPr="00966EF0" w:rsidRDefault="00550EDF" w:rsidP="00550EDF">
      <w:pPr>
        <w:spacing w:after="0"/>
        <w:ind w:left="360"/>
        <w:rPr>
          <w:rFonts w:cs="Arial"/>
          <w:szCs w:val="20"/>
        </w:rPr>
      </w:pPr>
    </w:p>
    <w:p w14:paraId="3ECCECD0" w14:textId="37B2E6A6" w:rsidR="00550EDF" w:rsidRDefault="00550EDF" w:rsidP="00C46720">
      <w:pPr>
        <w:numPr>
          <w:ilvl w:val="0"/>
          <w:numId w:val="67"/>
        </w:numPr>
        <w:spacing w:after="0"/>
        <w:rPr>
          <w:rFonts w:cs="Arial"/>
          <w:szCs w:val="20"/>
        </w:rPr>
      </w:pPr>
      <w:r w:rsidRPr="00966EF0">
        <w:rPr>
          <w:rFonts w:cs="Arial"/>
          <w:szCs w:val="20"/>
        </w:rPr>
        <w:t xml:space="preserve">The Implementing Partner shall ensure that all of its obligations set forth under this section entitled “Risk Management” are passed on to each responsible party, subcontractor and sub-recipient and that all the clauses under this section entitled “Risk Management Standard Clauses” are included, </w:t>
      </w:r>
      <w:r w:rsidRPr="00966EF0">
        <w:rPr>
          <w:rFonts w:cs="Arial"/>
          <w:i/>
          <w:szCs w:val="20"/>
        </w:rPr>
        <w:t>mutatis mutandis</w:t>
      </w:r>
      <w:r w:rsidRPr="00966EF0">
        <w:rPr>
          <w:rFonts w:cs="Arial"/>
          <w:szCs w:val="20"/>
        </w:rPr>
        <w:t>, in all sub-contracts or sub-agreements entered into further to this Project Document.</w:t>
      </w:r>
    </w:p>
    <w:p w14:paraId="7C0920AB" w14:textId="77777777" w:rsidR="001200EA" w:rsidRDefault="001200EA" w:rsidP="001200EA">
      <w:pPr>
        <w:pStyle w:val="Paragraphedeliste"/>
        <w:rPr>
          <w:rFonts w:cs="Arial"/>
          <w:szCs w:val="20"/>
        </w:rPr>
      </w:pPr>
    </w:p>
    <w:p w14:paraId="6547515C" w14:textId="50FD6CEB" w:rsidR="001200EA" w:rsidRDefault="001200EA" w:rsidP="001200EA">
      <w:pPr>
        <w:spacing w:after="0"/>
        <w:ind w:left="360"/>
        <w:rPr>
          <w:rFonts w:cs="Arial"/>
          <w:szCs w:val="20"/>
        </w:rPr>
      </w:pPr>
    </w:p>
    <w:p w14:paraId="25485AA0" w14:textId="63C96B23" w:rsidR="001200EA" w:rsidRDefault="001200EA" w:rsidP="001200EA">
      <w:pPr>
        <w:spacing w:after="0"/>
        <w:ind w:left="360"/>
        <w:rPr>
          <w:rFonts w:cs="Arial"/>
          <w:szCs w:val="20"/>
        </w:rPr>
      </w:pPr>
    </w:p>
    <w:p w14:paraId="412014B4" w14:textId="06C701F4" w:rsidR="001200EA" w:rsidRDefault="001200EA" w:rsidP="001200EA">
      <w:pPr>
        <w:spacing w:after="0"/>
        <w:ind w:left="360"/>
        <w:rPr>
          <w:rFonts w:cs="Arial"/>
          <w:szCs w:val="20"/>
        </w:rPr>
      </w:pPr>
    </w:p>
    <w:p w14:paraId="1BA2A8D6" w14:textId="4A33E040" w:rsidR="001200EA" w:rsidRDefault="001200EA" w:rsidP="001200EA">
      <w:pPr>
        <w:spacing w:after="0"/>
        <w:ind w:left="360"/>
        <w:rPr>
          <w:rFonts w:cs="Arial"/>
          <w:szCs w:val="20"/>
        </w:rPr>
      </w:pPr>
    </w:p>
    <w:p w14:paraId="432ECE2B" w14:textId="75A81611" w:rsidR="001200EA" w:rsidRDefault="001200EA" w:rsidP="001200EA">
      <w:pPr>
        <w:spacing w:after="0"/>
        <w:ind w:left="360"/>
        <w:rPr>
          <w:rFonts w:cs="Arial"/>
          <w:szCs w:val="20"/>
        </w:rPr>
      </w:pPr>
    </w:p>
    <w:p w14:paraId="4C639132" w14:textId="77777777" w:rsidR="001200EA" w:rsidRPr="00966EF0" w:rsidRDefault="001200EA" w:rsidP="001200EA">
      <w:pPr>
        <w:spacing w:after="0"/>
        <w:ind w:left="360"/>
        <w:rPr>
          <w:rFonts w:cs="Arial"/>
          <w:szCs w:val="20"/>
        </w:rPr>
      </w:pPr>
    </w:p>
    <w:p w14:paraId="3B937B24" w14:textId="77777777" w:rsidR="00302BFE" w:rsidRPr="0003763F" w:rsidRDefault="00302BFE" w:rsidP="00302BFE">
      <w:pPr>
        <w:pStyle w:val="Titre1"/>
        <w:spacing w:before="0" w:after="60"/>
        <w:rPr>
          <w:rFonts w:ascii="Calibri" w:hAnsi="Calibri"/>
        </w:rPr>
      </w:pPr>
      <w:r w:rsidRPr="0003763F">
        <w:rPr>
          <w:rFonts w:ascii="Calibri" w:hAnsi="Calibri"/>
        </w:rPr>
        <w:t>Mandatory Annexes</w:t>
      </w:r>
      <w:bookmarkEnd w:id="45"/>
    </w:p>
    <w:p w14:paraId="23E7EC92" w14:textId="77777777" w:rsidR="00302BFE" w:rsidRPr="0003763F" w:rsidRDefault="00302BFE" w:rsidP="00302BFE">
      <w:pPr>
        <w:pStyle w:val="Paragraphedeliste"/>
        <w:numPr>
          <w:ilvl w:val="0"/>
          <w:numId w:val="6"/>
        </w:numPr>
        <w:spacing w:after="60"/>
        <w:ind w:left="720"/>
        <w:rPr>
          <w:rFonts w:ascii="Calibri" w:hAnsi="Calibri"/>
          <w:sz w:val="20"/>
          <w:szCs w:val="20"/>
        </w:rPr>
      </w:pPr>
      <w:r w:rsidRPr="0003763F">
        <w:rPr>
          <w:rFonts w:ascii="Calibri" w:hAnsi="Calibri"/>
          <w:sz w:val="20"/>
          <w:szCs w:val="20"/>
        </w:rPr>
        <w:t>Multi</w:t>
      </w:r>
      <w:r>
        <w:rPr>
          <w:rFonts w:ascii="Calibri" w:hAnsi="Calibri"/>
          <w:sz w:val="20"/>
          <w:szCs w:val="20"/>
        </w:rPr>
        <w:t>-</w:t>
      </w:r>
      <w:r w:rsidRPr="0003763F">
        <w:rPr>
          <w:rFonts w:ascii="Calibri" w:hAnsi="Calibri"/>
          <w:sz w:val="20"/>
          <w:szCs w:val="20"/>
        </w:rPr>
        <w:t>year Workplan</w:t>
      </w:r>
    </w:p>
    <w:p w14:paraId="136B6460" w14:textId="77777777" w:rsidR="00302BFE" w:rsidRDefault="00302BFE" w:rsidP="00302BFE">
      <w:pPr>
        <w:pStyle w:val="Paragraphedeliste"/>
        <w:numPr>
          <w:ilvl w:val="0"/>
          <w:numId w:val="6"/>
        </w:numPr>
        <w:spacing w:after="60"/>
        <w:ind w:left="720"/>
        <w:rPr>
          <w:rFonts w:ascii="Calibri" w:hAnsi="Calibri"/>
          <w:sz w:val="20"/>
          <w:szCs w:val="20"/>
        </w:rPr>
      </w:pPr>
      <w:r w:rsidRPr="00055F28">
        <w:rPr>
          <w:rFonts w:ascii="Calibri" w:hAnsi="Calibri"/>
          <w:sz w:val="20"/>
          <w:szCs w:val="20"/>
        </w:rPr>
        <w:lastRenderedPageBreak/>
        <w:t>GE</w:t>
      </w:r>
      <w:r>
        <w:rPr>
          <w:rFonts w:ascii="Calibri" w:hAnsi="Calibri"/>
          <w:sz w:val="20"/>
          <w:szCs w:val="20"/>
        </w:rPr>
        <w:t>F-7 Core Indicators at baseline</w:t>
      </w:r>
    </w:p>
    <w:p w14:paraId="19F6675B" w14:textId="77777777" w:rsidR="00302BFE" w:rsidRPr="00055F28" w:rsidRDefault="00302BFE" w:rsidP="00302BFE">
      <w:pPr>
        <w:pStyle w:val="Paragraphedeliste"/>
        <w:numPr>
          <w:ilvl w:val="0"/>
          <w:numId w:val="6"/>
        </w:numPr>
        <w:spacing w:after="60"/>
        <w:ind w:left="720"/>
        <w:rPr>
          <w:rFonts w:ascii="Calibri" w:hAnsi="Calibri"/>
          <w:sz w:val="20"/>
          <w:szCs w:val="20"/>
        </w:rPr>
      </w:pPr>
      <w:r w:rsidRPr="00055F28">
        <w:rPr>
          <w:rFonts w:ascii="Calibri" w:hAnsi="Calibri"/>
          <w:sz w:val="20"/>
          <w:szCs w:val="20"/>
        </w:rPr>
        <w:t xml:space="preserve">Terms of Reference for </w:t>
      </w:r>
      <w:r>
        <w:rPr>
          <w:rFonts w:ascii="Calibri" w:hAnsi="Calibri"/>
          <w:sz w:val="20"/>
          <w:szCs w:val="20"/>
        </w:rPr>
        <w:t>key p</w:t>
      </w:r>
      <w:r w:rsidRPr="00055F28">
        <w:rPr>
          <w:rFonts w:ascii="Calibri" w:hAnsi="Calibri"/>
          <w:sz w:val="20"/>
          <w:szCs w:val="20"/>
        </w:rPr>
        <w:t xml:space="preserve">roject positions </w:t>
      </w:r>
    </w:p>
    <w:p w14:paraId="1CE7D58B" w14:textId="77777777" w:rsidR="00302BFE" w:rsidRPr="003B6502" w:rsidRDefault="00302BFE" w:rsidP="00302BFE">
      <w:pPr>
        <w:pStyle w:val="Paragraphedeliste"/>
        <w:numPr>
          <w:ilvl w:val="0"/>
          <w:numId w:val="6"/>
        </w:numPr>
        <w:spacing w:after="60"/>
        <w:ind w:left="720"/>
        <w:rPr>
          <w:rFonts w:ascii="Calibri" w:hAnsi="Calibri"/>
          <w:sz w:val="20"/>
          <w:szCs w:val="20"/>
        </w:rPr>
      </w:pPr>
      <w:r w:rsidRPr="0003763F">
        <w:rPr>
          <w:rFonts w:ascii="Calibri" w:hAnsi="Calibri"/>
          <w:sz w:val="20"/>
          <w:szCs w:val="20"/>
        </w:rPr>
        <w:t>UNDP Social and Environmental and Social Screening Template (SESP)</w:t>
      </w:r>
    </w:p>
    <w:p w14:paraId="04F7F3EA" w14:textId="77777777" w:rsidR="00302BFE" w:rsidRDefault="00302BFE" w:rsidP="00302BFE">
      <w:pPr>
        <w:pStyle w:val="Paragraphedeliste"/>
        <w:numPr>
          <w:ilvl w:val="0"/>
          <w:numId w:val="6"/>
        </w:numPr>
        <w:spacing w:after="60"/>
        <w:ind w:left="720"/>
        <w:rPr>
          <w:rFonts w:ascii="Calibri" w:hAnsi="Calibri"/>
          <w:sz w:val="20"/>
          <w:szCs w:val="20"/>
        </w:rPr>
      </w:pPr>
      <w:r>
        <w:rPr>
          <w:rFonts w:ascii="Calibri" w:hAnsi="Calibri"/>
          <w:sz w:val="20"/>
          <w:szCs w:val="20"/>
        </w:rPr>
        <w:t>Stakeholder Engagement Plan</w:t>
      </w:r>
    </w:p>
    <w:p w14:paraId="37551740" w14:textId="77777777" w:rsidR="00302BFE" w:rsidRDefault="00302BFE" w:rsidP="00302BFE">
      <w:pPr>
        <w:pStyle w:val="Paragraphedeliste"/>
        <w:numPr>
          <w:ilvl w:val="0"/>
          <w:numId w:val="6"/>
        </w:numPr>
        <w:spacing w:after="60"/>
        <w:ind w:left="720"/>
        <w:rPr>
          <w:rFonts w:ascii="Calibri" w:hAnsi="Calibri"/>
          <w:sz w:val="20"/>
          <w:szCs w:val="20"/>
        </w:rPr>
      </w:pPr>
      <w:r>
        <w:rPr>
          <w:rFonts w:ascii="Calibri" w:hAnsi="Calibri"/>
          <w:sz w:val="20"/>
          <w:szCs w:val="20"/>
        </w:rPr>
        <w:t>Gender Analysis and Action Plan</w:t>
      </w:r>
    </w:p>
    <w:p w14:paraId="5669B16A" w14:textId="77777777" w:rsidR="00302BFE" w:rsidRDefault="00302BFE" w:rsidP="00302BFE">
      <w:pPr>
        <w:pStyle w:val="Paragraphedeliste"/>
        <w:numPr>
          <w:ilvl w:val="0"/>
          <w:numId w:val="6"/>
        </w:numPr>
        <w:spacing w:after="60"/>
        <w:ind w:left="720"/>
        <w:rPr>
          <w:rFonts w:ascii="Calibri" w:hAnsi="Calibri"/>
          <w:sz w:val="20"/>
          <w:szCs w:val="20"/>
        </w:rPr>
      </w:pPr>
      <w:r>
        <w:rPr>
          <w:rFonts w:ascii="Calibri" w:hAnsi="Calibri"/>
          <w:sz w:val="20"/>
          <w:szCs w:val="20"/>
        </w:rPr>
        <w:t xml:space="preserve">UNDP Risk Log </w:t>
      </w:r>
    </w:p>
    <w:p w14:paraId="2FC80E12" w14:textId="241249E8" w:rsidR="00302BFE" w:rsidRPr="006E490C" w:rsidRDefault="00302BFE" w:rsidP="00302BFE">
      <w:pPr>
        <w:pStyle w:val="Paragraphedeliste"/>
        <w:numPr>
          <w:ilvl w:val="0"/>
          <w:numId w:val="6"/>
        </w:numPr>
        <w:spacing w:after="60"/>
        <w:ind w:left="720"/>
        <w:rPr>
          <w:rFonts w:ascii="Calibri" w:hAnsi="Calibri"/>
          <w:sz w:val="20"/>
          <w:szCs w:val="20"/>
        </w:rPr>
      </w:pPr>
      <w:r w:rsidRPr="006E490C">
        <w:rPr>
          <w:rFonts w:ascii="Calibri" w:hAnsi="Calibri"/>
          <w:sz w:val="20"/>
          <w:szCs w:val="20"/>
        </w:rPr>
        <w:t>Additional agreements: GEF OFP letter</w:t>
      </w:r>
    </w:p>
    <w:p w14:paraId="28D084DC" w14:textId="77777777" w:rsidR="00302BFE" w:rsidRDefault="00302BFE" w:rsidP="00302BFE">
      <w:pPr>
        <w:pStyle w:val="Paragraphedeliste"/>
        <w:numPr>
          <w:ilvl w:val="0"/>
          <w:numId w:val="6"/>
        </w:numPr>
        <w:spacing w:after="60"/>
        <w:ind w:left="720"/>
        <w:rPr>
          <w:rFonts w:ascii="Calibri" w:hAnsi="Calibri"/>
          <w:sz w:val="20"/>
          <w:szCs w:val="20"/>
        </w:rPr>
      </w:pPr>
      <w:r>
        <w:rPr>
          <w:rFonts w:ascii="Calibri" w:hAnsi="Calibri"/>
          <w:sz w:val="20"/>
          <w:szCs w:val="20"/>
        </w:rPr>
        <w:t>Target Landscape profile</w:t>
      </w:r>
    </w:p>
    <w:p w14:paraId="6285A7DD" w14:textId="77777777" w:rsidR="00302BFE" w:rsidRDefault="00302BFE" w:rsidP="00302BFE">
      <w:pPr>
        <w:pStyle w:val="Paragraphedeliste"/>
        <w:numPr>
          <w:ilvl w:val="0"/>
          <w:numId w:val="6"/>
        </w:numPr>
        <w:spacing w:after="60"/>
        <w:ind w:left="720"/>
        <w:rPr>
          <w:rFonts w:ascii="Calibri" w:hAnsi="Calibri"/>
          <w:sz w:val="20"/>
          <w:szCs w:val="20"/>
        </w:rPr>
      </w:pPr>
      <w:r>
        <w:rPr>
          <w:rFonts w:ascii="Calibri" w:hAnsi="Calibri"/>
          <w:sz w:val="20"/>
          <w:szCs w:val="20"/>
        </w:rPr>
        <w:t>Overview of the protected area system in Burkina Faso</w:t>
      </w:r>
    </w:p>
    <w:p w14:paraId="3C85AF1D" w14:textId="77777777" w:rsidR="00302BFE" w:rsidRDefault="00302BFE" w:rsidP="00302BFE">
      <w:pPr>
        <w:pStyle w:val="Paragraphedeliste"/>
        <w:numPr>
          <w:ilvl w:val="0"/>
          <w:numId w:val="6"/>
        </w:numPr>
        <w:spacing w:after="60"/>
        <w:ind w:left="720"/>
        <w:rPr>
          <w:rFonts w:ascii="Calibri" w:hAnsi="Calibri"/>
          <w:sz w:val="20"/>
          <w:szCs w:val="20"/>
        </w:rPr>
      </w:pPr>
      <w:r>
        <w:rPr>
          <w:rFonts w:ascii="Calibri" w:hAnsi="Calibri"/>
          <w:sz w:val="20"/>
          <w:szCs w:val="20"/>
        </w:rPr>
        <w:t>Overview of the protected areas and community-managed terroirs of the PONASI landscape</w:t>
      </w:r>
    </w:p>
    <w:p w14:paraId="6F9BBF9A" w14:textId="77777777" w:rsidR="00302BFE" w:rsidRDefault="00302BFE" w:rsidP="00302BFE">
      <w:pPr>
        <w:pStyle w:val="Paragraphedeliste"/>
        <w:numPr>
          <w:ilvl w:val="0"/>
          <w:numId w:val="6"/>
        </w:numPr>
        <w:spacing w:after="60"/>
        <w:ind w:left="720"/>
        <w:rPr>
          <w:rFonts w:ascii="Calibri" w:hAnsi="Calibri"/>
          <w:sz w:val="20"/>
          <w:szCs w:val="20"/>
        </w:rPr>
      </w:pPr>
      <w:r>
        <w:rPr>
          <w:rFonts w:ascii="Calibri" w:hAnsi="Calibri"/>
          <w:sz w:val="20"/>
          <w:szCs w:val="20"/>
        </w:rPr>
        <w:t>HWC and SAFE Systems approach</w:t>
      </w:r>
    </w:p>
    <w:p w14:paraId="45126F81" w14:textId="77777777" w:rsidR="00302BFE" w:rsidRDefault="00302BFE" w:rsidP="00302BFE">
      <w:pPr>
        <w:pStyle w:val="Paragraphedeliste"/>
        <w:numPr>
          <w:ilvl w:val="0"/>
          <w:numId w:val="6"/>
        </w:numPr>
        <w:spacing w:after="60"/>
        <w:ind w:left="720"/>
        <w:rPr>
          <w:rFonts w:ascii="Calibri" w:hAnsi="Calibri"/>
          <w:sz w:val="20"/>
          <w:szCs w:val="20"/>
        </w:rPr>
      </w:pPr>
      <w:r>
        <w:rPr>
          <w:rFonts w:ascii="Calibri" w:hAnsi="Calibri"/>
          <w:sz w:val="20"/>
          <w:szCs w:val="20"/>
        </w:rPr>
        <w:t>P</w:t>
      </w:r>
      <w:r w:rsidRPr="0003763F">
        <w:rPr>
          <w:rFonts w:ascii="Calibri" w:hAnsi="Calibri"/>
          <w:sz w:val="20"/>
          <w:szCs w:val="20"/>
        </w:rPr>
        <w:t>eople consulted during project development</w:t>
      </w:r>
    </w:p>
    <w:p w14:paraId="6F4C8BBD" w14:textId="77777777" w:rsidR="00302BFE" w:rsidRDefault="00302BFE" w:rsidP="00302BFE">
      <w:pPr>
        <w:pStyle w:val="Paragraphedeliste"/>
        <w:numPr>
          <w:ilvl w:val="0"/>
          <w:numId w:val="6"/>
        </w:numPr>
        <w:spacing w:after="60"/>
        <w:ind w:left="720"/>
        <w:rPr>
          <w:rFonts w:ascii="Calibri" w:hAnsi="Calibri"/>
          <w:sz w:val="20"/>
          <w:szCs w:val="20"/>
        </w:rPr>
      </w:pPr>
      <w:r>
        <w:rPr>
          <w:rFonts w:ascii="Calibri" w:hAnsi="Calibri"/>
          <w:sz w:val="20"/>
          <w:szCs w:val="20"/>
        </w:rPr>
        <w:t>Provisional Procurement Plan</w:t>
      </w:r>
    </w:p>
    <w:p w14:paraId="6699D6BB" w14:textId="77777777" w:rsidR="00302BFE" w:rsidRDefault="00302BFE" w:rsidP="00302BFE">
      <w:pPr>
        <w:pStyle w:val="Paragraphedeliste"/>
        <w:numPr>
          <w:ilvl w:val="0"/>
          <w:numId w:val="6"/>
        </w:numPr>
        <w:spacing w:after="60"/>
        <w:ind w:left="720"/>
        <w:rPr>
          <w:rFonts w:ascii="Calibri" w:hAnsi="Calibri"/>
          <w:sz w:val="20"/>
          <w:szCs w:val="20"/>
        </w:rPr>
      </w:pPr>
      <w:r>
        <w:rPr>
          <w:rFonts w:ascii="Calibri" w:hAnsi="Calibri"/>
          <w:sz w:val="20"/>
          <w:szCs w:val="20"/>
        </w:rPr>
        <w:t>GHG calculations</w:t>
      </w:r>
    </w:p>
    <w:p w14:paraId="36CFB48D" w14:textId="77777777" w:rsidR="00302BFE" w:rsidRPr="006E490C" w:rsidRDefault="00302BFE" w:rsidP="00302BFE">
      <w:pPr>
        <w:pStyle w:val="Paragraphedeliste"/>
        <w:numPr>
          <w:ilvl w:val="0"/>
          <w:numId w:val="6"/>
        </w:numPr>
        <w:spacing w:after="60"/>
        <w:ind w:left="720"/>
        <w:rPr>
          <w:rFonts w:ascii="Calibri" w:hAnsi="Calibri"/>
          <w:sz w:val="20"/>
          <w:szCs w:val="20"/>
        </w:rPr>
      </w:pPr>
      <w:r w:rsidRPr="006E490C">
        <w:rPr>
          <w:rFonts w:ascii="Calibri" w:hAnsi="Calibri"/>
          <w:sz w:val="20"/>
          <w:szCs w:val="20"/>
        </w:rPr>
        <w:t>Co-financing letters (attached as separate document)</w:t>
      </w:r>
    </w:p>
    <w:p w14:paraId="594E5F49" w14:textId="77777777" w:rsidR="00302BFE" w:rsidRPr="009E2206" w:rsidRDefault="00302BFE" w:rsidP="00302BFE">
      <w:pPr>
        <w:pStyle w:val="Paragraphedeliste"/>
        <w:numPr>
          <w:ilvl w:val="0"/>
          <w:numId w:val="6"/>
        </w:numPr>
        <w:spacing w:after="60"/>
        <w:ind w:left="720"/>
        <w:rPr>
          <w:rFonts w:ascii="Calibri" w:hAnsi="Calibri"/>
          <w:sz w:val="20"/>
          <w:szCs w:val="20"/>
        </w:rPr>
      </w:pPr>
      <w:r>
        <w:rPr>
          <w:rFonts w:ascii="Calibri" w:hAnsi="Calibri"/>
          <w:sz w:val="20"/>
          <w:szCs w:val="20"/>
        </w:rPr>
        <w:t>UNDP Capacity Assessment Scorecard for DGEF and OFINAP</w:t>
      </w:r>
    </w:p>
    <w:p w14:paraId="2EAA5A19" w14:textId="77777777" w:rsidR="00302BFE" w:rsidRPr="0003763F" w:rsidRDefault="00302BFE" w:rsidP="00302BFE">
      <w:pPr>
        <w:rPr>
          <w:szCs w:val="22"/>
        </w:rPr>
      </w:pPr>
    </w:p>
    <w:p w14:paraId="584F3E1B" w14:textId="77777777" w:rsidR="00302BFE" w:rsidRPr="0003763F" w:rsidRDefault="00302BFE" w:rsidP="00302BFE">
      <w:pPr>
        <w:jc w:val="left"/>
        <w:sectPr w:rsidR="00302BFE" w:rsidRPr="0003763F" w:rsidSect="00243B15">
          <w:pgSz w:w="12240" w:h="15840" w:code="1"/>
          <w:pgMar w:top="720" w:right="720" w:bottom="720" w:left="720" w:header="720" w:footer="720" w:gutter="0"/>
          <w:cols w:space="720"/>
          <w:docGrid w:linePitch="360"/>
        </w:sectPr>
      </w:pPr>
    </w:p>
    <w:p w14:paraId="730E8785" w14:textId="77777777" w:rsidR="00302BFE" w:rsidRPr="00421FD8" w:rsidRDefault="00302BFE" w:rsidP="00302BFE">
      <w:pPr>
        <w:pStyle w:val="Titre2"/>
        <w:ind w:left="0"/>
        <w:rPr>
          <w:rFonts w:ascii="Calibri" w:hAnsi="Calibri"/>
          <w:szCs w:val="22"/>
        </w:rPr>
      </w:pPr>
      <w:bookmarkStart w:id="46" w:name="_Toc9961801"/>
      <w:r w:rsidRPr="00421FD8">
        <w:rPr>
          <w:rFonts w:ascii="Calibri" w:hAnsi="Calibri"/>
          <w:szCs w:val="22"/>
        </w:rPr>
        <w:lastRenderedPageBreak/>
        <w:t>Annex A:  Multi Year Work Plan</w:t>
      </w:r>
      <w:bookmarkEnd w:id="46"/>
    </w:p>
    <w:p w14:paraId="0F71E0DF" w14:textId="77777777" w:rsidR="00302BFE" w:rsidRDefault="00302BFE" w:rsidP="00302BFE">
      <w:pPr>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302BFE" w:rsidRPr="00902601" w14:paraId="7039EF6D" w14:textId="77777777" w:rsidTr="00243B15">
        <w:trPr>
          <w:cantSplit/>
          <w:tblHeader/>
          <w:jc w:val="center"/>
        </w:trPr>
        <w:tc>
          <w:tcPr>
            <w:tcW w:w="5670" w:type="dxa"/>
            <w:vMerge w:val="restart"/>
            <w:shd w:val="clear" w:color="auto" w:fill="auto"/>
            <w:vAlign w:val="center"/>
          </w:tcPr>
          <w:p w14:paraId="1ECC7FB0" w14:textId="77777777" w:rsidR="00302BFE" w:rsidRPr="00902601" w:rsidRDefault="00302BFE" w:rsidP="00243B15">
            <w:pPr>
              <w:rPr>
                <w:b/>
                <w:szCs w:val="20"/>
                <w:highlight w:val="green"/>
                <w:lang w:val="en-CA"/>
              </w:rPr>
            </w:pPr>
            <w:bookmarkStart w:id="47" w:name="_Hlk8298765"/>
            <w:r w:rsidRPr="00902601">
              <w:rPr>
                <w:b/>
                <w:szCs w:val="20"/>
                <w:highlight w:val="green"/>
                <w:lang w:val="en-CA"/>
              </w:rPr>
              <w:t>Tasks</w:t>
            </w:r>
          </w:p>
        </w:tc>
        <w:tc>
          <w:tcPr>
            <w:tcW w:w="1360" w:type="dxa"/>
            <w:gridSpan w:val="4"/>
            <w:shd w:val="clear" w:color="auto" w:fill="auto"/>
            <w:vAlign w:val="center"/>
          </w:tcPr>
          <w:p w14:paraId="264B5104" w14:textId="77777777" w:rsidR="00302BFE" w:rsidRPr="00902601" w:rsidRDefault="00302BFE" w:rsidP="00243B15">
            <w:pPr>
              <w:jc w:val="center"/>
              <w:rPr>
                <w:b/>
                <w:sz w:val="18"/>
                <w:szCs w:val="18"/>
                <w:highlight w:val="green"/>
                <w:lang w:val="en-CA"/>
              </w:rPr>
            </w:pPr>
            <w:r w:rsidRPr="00902601">
              <w:rPr>
                <w:b/>
                <w:sz w:val="18"/>
                <w:szCs w:val="18"/>
                <w:highlight w:val="green"/>
                <w:lang w:val="en-CA"/>
              </w:rPr>
              <w:t>Year 1</w:t>
            </w:r>
          </w:p>
        </w:tc>
        <w:tc>
          <w:tcPr>
            <w:tcW w:w="1360" w:type="dxa"/>
            <w:gridSpan w:val="4"/>
            <w:shd w:val="clear" w:color="auto" w:fill="auto"/>
            <w:vAlign w:val="center"/>
          </w:tcPr>
          <w:p w14:paraId="326FC445" w14:textId="77777777" w:rsidR="00302BFE" w:rsidRPr="00902601" w:rsidRDefault="00302BFE" w:rsidP="00243B15">
            <w:pPr>
              <w:jc w:val="center"/>
              <w:rPr>
                <w:b/>
                <w:sz w:val="18"/>
                <w:szCs w:val="18"/>
                <w:highlight w:val="green"/>
                <w:lang w:val="en-CA"/>
              </w:rPr>
            </w:pPr>
            <w:r w:rsidRPr="00902601">
              <w:rPr>
                <w:b/>
                <w:sz w:val="18"/>
                <w:szCs w:val="18"/>
                <w:highlight w:val="green"/>
                <w:lang w:val="en-CA"/>
              </w:rPr>
              <w:t>Year 2</w:t>
            </w:r>
          </w:p>
        </w:tc>
        <w:tc>
          <w:tcPr>
            <w:tcW w:w="1360" w:type="dxa"/>
            <w:gridSpan w:val="4"/>
            <w:shd w:val="clear" w:color="auto" w:fill="auto"/>
            <w:vAlign w:val="center"/>
          </w:tcPr>
          <w:p w14:paraId="04C95F4A" w14:textId="77777777" w:rsidR="00302BFE" w:rsidRPr="00902601" w:rsidRDefault="00302BFE" w:rsidP="00243B15">
            <w:pPr>
              <w:jc w:val="center"/>
              <w:rPr>
                <w:b/>
                <w:sz w:val="18"/>
                <w:szCs w:val="18"/>
                <w:highlight w:val="green"/>
                <w:lang w:val="en-CA"/>
              </w:rPr>
            </w:pPr>
            <w:r w:rsidRPr="00902601">
              <w:rPr>
                <w:b/>
                <w:sz w:val="18"/>
                <w:szCs w:val="18"/>
                <w:highlight w:val="green"/>
                <w:lang w:val="en-CA"/>
              </w:rPr>
              <w:t>Year 3</w:t>
            </w:r>
          </w:p>
        </w:tc>
        <w:tc>
          <w:tcPr>
            <w:tcW w:w="1360" w:type="dxa"/>
            <w:gridSpan w:val="4"/>
            <w:shd w:val="clear" w:color="auto" w:fill="auto"/>
            <w:vAlign w:val="center"/>
          </w:tcPr>
          <w:p w14:paraId="3C5953A7" w14:textId="77777777" w:rsidR="00302BFE" w:rsidRPr="00902601" w:rsidRDefault="00302BFE" w:rsidP="00243B15">
            <w:pPr>
              <w:jc w:val="center"/>
              <w:rPr>
                <w:b/>
                <w:sz w:val="18"/>
                <w:szCs w:val="18"/>
                <w:highlight w:val="green"/>
                <w:lang w:val="en-CA"/>
              </w:rPr>
            </w:pPr>
            <w:r w:rsidRPr="00902601">
              <w:rPr>
                <w:b/>
                <w:sz w:val="18"/>
                <w:szCs w:val="18"/>
                <w:highlight w:val="green"/>
                <w:lang w:val="en-CA"/>
              </w:rPr>
              <w:t>Year 4</w:t>
            </w:r>
          </w:p>
        </w:tc>
        <w:tc>
          <w:tcPr>
            <w:tcW w:w="1360" w:type="dxa"/>
            <w:gridSpan w:val="4"/>
            <w:shd w:val="clear" w:color="auto" w:fill="auto"/>
            <w:vAlign w:val="center"/>
          </w:tcPr>
          <w:p w14:paraId="49EB093B" w14:textId="77777777" w:rsidR="00302BFE" w:rsidRPr="00902601" w:rsidRDefault="00302BFE" w:rsidP="00243B15">
            <w:pPr>
              <w:jc w:val="center"/>
              <w:rPr>
                <w:b/>
                <w:sz w:val="18"/>
                <w:szCs w:val="18"/>
                <w:highlight w:val="green"/>
                <w:lang w:val="en-CA"/>
              </w:rPr>
            </w:pPr>
            <w:r w:rsidRPr="00902601">
              <w:rPr>
                <w:b/>
                <w:sz w:val="18"/>
                <w:szCs w:val="18"/>
                <w:highlight w:val="green"/>
                <w:lang w:val="en-CA"/>
              </w:rPr>
              <w:t>Year 5</w:t>
            </w:r>
          </w:p>
        </w:tc>
        <w:tc>
          <w:tcPr>
            <w:tcW w:w="1360" w:type="dxa"/>
            <w:gridSpan w:val="4"/>
            <w:shd w:val="clear" w:color="auto" w:fill="auto"/>
            <w:vAlign w:val="center"/>
          </w:tcPr>
          <w:p w14:paraId="58CDF4EC" w14:textId="77777777" w:rsidR="00302BFE" w:rsidRPr="00902601" w:rsidRDefault="00302BFE" w:rsidP="00243B15">
            <w:pPr>
              <w:jc w:val="center"/>
              <w:rPr>
                <w:b/>
                <w:sz w:val="18"/>
                <w:szCs w:val="18"/>
                <w:highlight w:val="green"/>
                <w:lang w:val="en-CA"/>
              </w:rPr>
            </w:pPr>
            <w:r w:rsidRPr="00902601">
              <w:rPr>
                <w:b/>
                <w:sz w:val="18"/>
                <w:szCs w:val="18"/>
                <w:highlight w:val="green"/>
                <w:lang w:val="en-CA"/>
              </w:rPr>
              <w:t>Year 6</w:t>
            </w:r>
          </w:p>
        </w:tc>
      </w:tr>
      <w:tr w:rsidR="00755BF9" w:rsidRPr="00902601" w14:paraId="4F849249" w14:textId="77777777" w:rsidTr="00755BF9">
        <w:trPr>
          <w:cantSplit/>
          <w:tblHeader/>
          <w:jc w:val="center"/>
        </w:trPr>
        <w:tc>
          <w:tcPr>
            <w:tcW w:w="5670" w:type="dxa"/>
            <w:vMerge/>
            <w:shd w:val="clear" w:color="auto" w:fill="auto"/>
          </w:tcPr>
          <w:p w14:paraId="79A325CD" w14:textId="77777777" w:rsidR="00302BFE" w:rsidRPr="00902601" w:rsidRDefault="00302BFE" w:rsidP="00243B15">
            <w:pPr>
              <w:rPr>
                <w:sz w:val="16"/>
                <w:szCs w:val="16"/>
                <w:highlight w:val="green"/>
                <w:lang w:val="en-CA"/>
              </w:rPr>
            </w:pPr>
          </w:p>
        </w:tc>
        <w:tc>
          <w:tcPr>
            <w:tcW w:w="340" w:type="dxa"/>
            <w:shd w:val="clear" w:color="auto" w:fill="auto"/>
            <w:tcMar>
              <w:left w:w="28" w:type="dxa"/>
              <w:right w:w="28" w:type="dxa"/>
            </w:tcMar>
            <w:vAlign w:val="center"/>
          </w:tcPr>
          <w:p w14:paraId="02EE1766" w14:textId="77777777" w:rsidR="00302BFE" w:rsidRPr="00902601" w:rsidRDefault="00302BFE" w:rsidP="00243B15">
            <w:pPr>
              <w:jc w:val="center"/>
              <w:rPr>
                <w:sz w:val="16"/>
                <w:szCs w:val="16"/>
                <w:highlight w:val="green"/>
                <w:lang w:val="en-CA"/>
              </w:rPr>
            </w:pPr>
            <w:r w:rsidRPr="00902601">
              <w:rPr>
                <w:sz w:val="16"/>
                <w:szCs w:val="16"/>
                <w:highlight w:val="green"/>
                <w:lang w:val="en-CA"/>
              </w:rPr>
              <w:t>Q1</w:t>
            </w:r>
          </w:p>
        </w:tc>
        <w:tc>
          <w:tcPr>
            <w:tcW w:w="340" w:type="dxa"/>
            <w:shd w:val="clear" w:color="auto" w:fill="auto"/>
            <w:tcMar>
              <w:left w:w="28" w:type="dxa"/>
              <w:right w:w="28" w:type="dxa"/>
            </w:tcMar>
            <w:vAlign w:val="center"/>
          </w:tcPr>
          <w:p w14:paraId="03044327" w14:textId="77777777" w:rsidR="00302BFE" w:rsidRPr="00902601" w:rsidRDefault="00302BFE" w:rsidP="00243B15">
            <w:pPr>
              <w:jc w:val="center"/>
              <w:rPr>
                <w:sz w:val="16"/>
                <w:szCs w:val="16"/>
                <w:highlight w:val="green"/>
                <w:lang w:val="en-CA"/>
              </w:rPr>
            </w:pPr>
            <w:r w:rsidRPr="00902601">
              <w:rPr>
                <w:sz w:val="16"/>
                <w:szCs w:val="16"/>
                <w:highlight w:val="green"/>
                <w:lang w:val="en-CA"/>
              </w:rPr>
              <w:t>Q2</w:t>
            </w:r>
          </w:p>
        </w:tc>
        <w:tc>
          <w:tcPr>
            <w:tcW w:w="340" w:type="dxa"/>
            <w:shd w:val="clear" w:color="auto" w:fill="auto"/>
            <w:tcMar>
              <w:left w:w="28" w:type="dxa"/>
              <w:right w:w="28" w:type="dxa"/>
            </w:tcMar>
            <w:vAlign w:val="center"/>
          </w:tcPr>
          <w:p w14:paraId="5590F142" w14:textId="77777777" w:rsidR="00302BFE" w:rsidRPr="00902601" w:rsidRDefault="00302BFE" w:rsidP="00243B15">
            <w:pPr>
              <w:jc w:val="center"/>
              <w:rPr>
                <w:sz w:val="16"/>
                <w:szCs w:val="16"/>
                <w:highlight w:val="green"/>
                <w:lang w:val="en-CA"/>
              </w:rPr>
            </w:pPr>
            <w:r w:rsidRPr="00902601">
              <w:rPr>
                <w:sz w:val="16"/>
                <w:szCs w:val="16"/>
                <w:highlight w:val="green"/>
                <w:lang w:val="en-CA"/>
              </w:rPr>
              <w:t>Q3</w:t>
            </w:r>
          </w:p>
        </w:tc>
        <w:tc>
          <w:tcPr>
            <w:tcW w:w="340" w:type="dxa"/>
            <w:shd w:val="clear" w:color="auto" w:fill="auto"/>
            <w:tcMar>
              <w:left w:w="28" w:type="dxa"/>
              <w:right w:w="28" w:type="dxa"/>
            </w:tcMar>
            <w:vAlign w:val="center"/>
          </w:tcPr>
          <w:p w14:paraId="34844365" w14:textId="77777777" w:rsidR="00302BFE" w:rsidRPr="00902601" w:rsidRDefault="00302BFE" w:rsidP="00243B15">
            <w:pPr>
              <w:jc w:val="center"/>
              <w:rPr>
                <w:sz w:val="16"/>
                <w:szCs w:val="16"/>
                <w:highlight w:val="green"/>
                <w:lang w:val="en-CA"/>
              </w:rPr>
            </w:pPr>
            <w:r w:rsidRPr="00902601">
              <w:rPr>
                <w:sz w:val="16"/>
                <w:szCs w:val="16"/>
                <w:highlight w:val="green"/>
                <w:lang w:val="en-CA"/>
              </w:rPr>
              <w:t>Q4</w:t>
            </w:r>
          </w:p>
        </w:tc>
        <w:tc>
          <w:tcPr>
            <w:tcW w:w="340" w:type="dxa"/>
            <w:shd w:val="clear" w:color="auto" w:fill="auto"/>
            <w:tcMar>
              <w:left w:w="28" w:type="dxa"/>
              <w:right w:w="28" w:type="dxa"/>
            </w:tcMar>
            <w:vAlign w:val="center"/>
          </w:tcPr>
          <w:p w14:paraId="511A4465" w14:textId="77777777" w:rsidR="00302BFE" w:rsidRPr="00902601" w:rsidRDefault="00302BFE" w:rsidP="00243B15">
            <w:pPr>
              <w:jc w:val="center"/>
              <w:rPr>
                <w:sz w:val="16"/>
                <w:szCs w:val="16"/>
                <w:highlight w:val="green"/>
                <w:lang w:val="en-CA"/>
              </w:rPr>
            </w:pPr>
            <w:r w:rsidRPr="00902601">
              <w:rPr>
                <w:sz w:val="16"/>
                <w:szCs w:val="16"/>
                <w:highlight w:val="green"/>
                <w:lang w:val="en-CA"/>
              </w:rPr>
              <w:t>Q1</w:t>
            </w:r>
          </w:p>
        </w:tc>
        <w:tc>
          <w:tcPr>
            <w:tcW w:w="340" w:type="dxa"/>
            <w:shd w:val="clear" w:color="auto" w:fill="auto"/>
            <w:tcMar>
              <w:left w:w="28" w:type="dxa"/>
              <w:right w:w="28" w:type="dxa"/>
            </w:tcMar>
            <w:vAlign w:val="center"/>
          </w:tcPr>
          <w:p w14:paraId="77BEB433" w14:textId="77777777" w:rsidR="00302BFE" w:rsidRPr="00902601" w:rsidRDefault="00302BFE" w:rsidP="00243B15">
            <w:pPr>
              <w:jc w:val="center"/>
              <w:rPr>
                <w:sz w:val="16"/>
                <w:szCs w:val="16"/>
                <w:highlight w:val="green"/>
                <w:lang w:val="en-CA"/>
              </w:rPr>
            </w:pPr>
            <w:r w:rsidRPr="00902601">
              <w:rPr>
                <w:sz w:val="16"/>
                <w:szCs w:val="16"/>
                <w:highlight w:val="green"/>
                <w:lang w:val="en-CA"/>
              </w:rPr>
              <w:t>Q2</w:t>
            </w:r>
          </w:p>
        </w:tc>
        <w:tc>
          <w:tcPr>
            <w:tcW w:w="340" w:type="dxa"/>
            <w:shd w:val="clear" w:color="auto" w:fill="auto"/>
            <w:tcMar>
              <w:left w:w="28" w:type="dxa"/>
              <w:right w:w="28" w:type="dxa"/>
            </w:tcMar>
            <w:vAlign w:val="center"/>
          </w:tcPr>
          <w:p w14:paraId="6A13FCBD" w14:textId="77777777" w:rsidR="00302BFE" w:rsidRPr="00902601" w:rsidRDefault="00302BFE" w:rsidP="00243B15">
            <w:pPr>
              <w:jc w:val="center"/>
              <w:rPr>
                <w:sz w:val="16"/>
                <w:szCs w:val="16"/>
                <w:highlight w:val="green"/>
                <w:lang w:val="en-CA"/>
              </w:rPr>
            </w:pPr>
            <w:r w:rsidRPr="00902601">
              <w:rPr>
                <w:sz w:val="16"/>
                <w:szCs w:val="16"/>
                <w:highlight w:val="green"/>
                <w:lang w:val="en-CA"/>
              </w:rPr>
              <w:t>Q3</w:t>
            </w:r>
          </w:p>
        </w:tc>
        <w:tc>
          <w:tcPr>
            <w:tcW w:w="340" w:type="dxa"/>
            <w:shd w:val="clear" w:color="auto" w:fill="auto"/>
            <w:tcMar>
              <w:left w:w="28" w:type="dxa"/>
              <w:right w:w="28" w:type="dxa"/>
            </w:tcMar>
            <w:vAlign w:val="center"/>
          </w:tcPr>
          <w:p w14:paraId="1BD3D460" w14:textId="77777777" w:rsidR="00302BFE" w:rsidRPr="00902601" w:rsidRDefault="00302BFE" w:rsidP="00243B15">
            <w:pPr>
              <w:jc w:val="center"/>
              <w:rPr>
                <w:sz w:val="16"/>
                <w:szCs w:val="16"/>
                <w:highlight w:val="green"/>
                <w:lang w:val="en-CA"/>
              </w:rPr>
            </w:pPr>
            <w:r w:rsidRPr="00902601">
              <w:rPr>
                <w:sz w:val="16"/>
                <w:szCs w:val="16"/>
                <w:highlight w:val="green"/>
                <w:lang w:val="en-CA"/>
              </w:rPr>
              <w:t>Q4</w:t>
            </w:r>
          </w:p>
        </w:tc>
        <w:tc>
          <w:tcPr>
            <w:tcW w:w="340" w:type="dxa"/>
            <w:shd w:val="clear" w:color="auto" w:fill="auto"/>
            <w:tcMar>
              <w:left w:w="28" w:type="dxa"/>
              <w:right w:w="28" w:type="dxa"/>
            </w:tcMar>
            <w:vAlign w:val="center"/>
          </w:tcPr>
          <w:p w14:paraId="28872810" w14:textId="77777777" w:rsidR="00302BFE" w:rsidRPr="00902601" w:rsidRDefault="00302BFE" w:rsidP="00243B15">
            <w:pPr>
              <w:jc w:val="center"/>
              <w:rPr>
                <w:sz w:val="16"/>
                <w:szCs w:val="16"/>
                <w:highlight w:val="green"/>
                <w:lang w:val="en-CA"/>
              </w:rPr>
            </w:pPr>
            <w:r w:rsidRPr="00902601">
              <w:rPr>
                <w:sz w:val="16"/>
                <w:szCs w:val="16"/>
                <w:highlight w:val="green"/>
                <w:lang w:val="en-CA"/>
              </w:rPr>
              <w:t>Q1</w:t>
            </w:r>
          </w:p>
        </w:tc>
        <w:tc>
          <w:tcPr>
            <w:tcW w:w="340" w:type="dxa"/>
            <w:shd w:val="clear" w:color="auto" w:fill="auto"/>
            <w:tcMar>
              <w:left w:w="28" w:type="dxa"/>
              <w:right w:w="28" w:type="dxa"/>
            </w:tcMar>
            <w:vAlign w:val="center"/>
          </w:tcPr>
          <w:p w14:paraId="6418C8B3" w14:textId="77777777" w:rsidR="00302BFE" w:rsidRPr="00902601" w:rsidRDefault="00302BFE" w:rsidP="00243B15">
            <w:pPr>
              <w:jc w:val="center"/>
              <w:rPr>
                <w:sz w:val="16"/>
                <w:szCs w:val="16"/>
                <w:highlight w:val="green"/>
                <w:lang w:val="en-CA"/>
              </w:rPr>
            </w:pPr>
            <w:r w:rsidRPr="00902601">
              <w:rPr>
                <w:sz w:val="16"/>
                <w:szCs w:val="16"/>
                <w:highlight w:val="green"/>
                <w:lang w:val="en-CA"/>
              </w:rPr>
              <w:t>Q2</w:t>
            </w:r>
          </w:p>
        </w:tc>
        <w:tc>
          <w:tcPr>
            <w:tcW w:w="340" w:type="dxa"/>
            <w:shd w:val="clear" w:color="auto" w:fill="auto"/>
            <w:tcMar>
              <w:left w:w="28" w:type="dxa"/>
              <w:right w:w="28" w:type="dxa"/>
            </w:tcMar>
            <w:vAlign w:val="center"/>
          </w:tcPr>
          <w:p w14:paraId="25D86188" w14:textId="77777777" w:rsidR="00302BFE" w:rsidRPr="00902601" w:rsidRDefault="00302BFE" w:rsidP="00243B15">
            <w:pPr>
              <w:jc w:val="center"/>
              <w:rPr>
                <w:sz w:val="16"/>
                <w:szCs w:val="16"/>
                <w:highlight w:val="green"/>
                <w:lang w:val="en-CA"/>
              </w:rPr>
            </w:pPr>
            <w:r w:rsidRPr="00902601">
              <w:rPr>
                <w:sz w:val="16"/>
                <w:szCs w:val="16"/>
                <w:highlight w:val="green"/>
                <w:lang w:val="en-CA"/>
              </w:rPr>
              <w:t>Q3</w:t>
            </w:r>
          </w:p>
        </w:tc>
        <w:tc>
          <w:tcPr>
            <w:tcW w:w="340" w:type="dxa"/>
            <w:shd w:val="clear" w:color="auto" w:fill="auto"/>
            <w:tcMar>
              <w:left w:w="28" w:type="dxa"/>
              <w:right w:w="28" w:type="dxa"/>
            </w:tcMar>
            <w:vAlign w:val="center"/>
          </w:tcPr>
          <w:p w14:paraId="79226476" w14:textId="77777777" w:rsidR="00302BFE" w:rsidRPr="00902601" w:rsidRDefault="00302BFE" w:rsidP="00243B15">
            <w:pPr>
              <w:jc w:val="center"/>
              <w:rPr>
                <w:sz w:val="16"/>
                <w:szCs w:val="16"/>
                <w:highlight w:val="green"/>
                <w:lang w:val="en-CA"/>
              </w:rPr>
            </w:pPr>
            <w:r w:rsidRPr="00902601">
              <w:rPr>
                <w:sz w:val="16"/>
                <w:szCs w:val="16"/>
                <w:highlight w:val="green"/>
                <w:lang w:val="en-CA"/>
              </w:rPr>
              <w:t>Q4</w:t>
            </w:r>
          </w:p>
        </w:tc>
        <w:tc>
          <w:tcPr>
            <w:tcW w:w="340" w:type="dxa"/>
            <w:shd w:val="clear" w:color="auto" w:fill="auto"/>
            <w:tcMar>
              <w:left w:w="28" w:type="dxa"/>
              <w:right w:w="28" w:type="dxa"/>
            </w:tcMar>
            <w:vAlign w:val="center"/>
          </w:tcPr>
          <w:p w14:paraId="3774FCB4" w14:textId="77777777" w:rsidR="00302BFE" w:rsidRPr="00902601" w:rsidRDefault="00302BFE" w:rsidP="00243B15">
            <w:pPr>
              <w:jc w:val="center"/>
              <w:rPr>
                <w:sz w:val="16"/>
                <w:szCs w:val="16"/>
                <w:highlight w:val="green"/>
                <w:lang w:val="en-CA"/>
              </w:rPr>
            </w:pPr>
            <w:r w:rsidRPr="00902601">
              <w:rPr>
                <w:sz w:val="16"/>
                <w:szCs w:val="16"/>
                <w:highlight w:val="green"/>
                <w:lang w:val="en-CA"/>
              </w:rPr>
              <w:t>Q1</w:t>
            </w:r>
          </w:p>
        </w:tc>
        <w:tc>
          <w:tcPr>
            <w:tcW w:w="340" w:type="dxa"/>
            <w:shd w:val="clear" w:color="auto" w:fill="auto"/>
            <w:tcMar>
              <w:left w:w="28" w:type="dxa"/>
              <w:right w:w="28" w:type="dxa"/>
            </w:tcMar>
            <w:vAlign w:val="center"/>
          </w:tcPr>
          <w:p w14:paraId="1E0F465B" w14:textId="77777777" w:rsidR="00302BFE" w:rsidRPr="00902601" w:rsidRDefault="00302BFE" w:rsidP="00243B15">
            <w:pPr>
              <w:jc w:val="center"/>
              <w:rPr>
                <w:sz w:val="16"/>
                <w:szCs w:val="16"/>
                <w:highlight w:val="green"/>
                <w:lang w:val="en-CA"/>
              </w:rPr>
            </w:pPr>
            <w:r w:rsidRPr="00902601">
              <w:rPr>
                <w:sz w:val="16"/>
                <w:szCs w:val="16"/>
                <w:highlight w:val="green"/>
                <w:lang w:val="en-CA"/>
              </w:rPr>
              <w:t>Q2</w:t>
            </w:r>
          </w:p>
        </w:tc>
        <w:tc>
          <w:tcPr>
            <w:tcW w:w="340" w:type="dxa"/>
            <w:shd w:val="clear" w:color="auto" w:fill="auto"/>
            <w:tcMar>
              <w:left w:w="28" w:type="dxa"/>
              <w:right w:w="28" w:type="dxa"/>
            </w:tcMar>
            <w:vAlign w:val="center"/>
          </w:tcPr>
          <w:p w14:paraId="4B0AD70B" w14:textId="77777777" w:rsidR="00302BFE" w:rsidRPr="00902601" w:rsidRDefault="00302BFE" w:rsidP="00243B15">
            <w:pPr>
              <w:jc w:val="center"/>
              <w:rPr>
                <w:sz w:val="16"/>
                <w:szCs w:val="16"/>
                <w:highlight w:val="green"/>
                <w:lang w:val="en-CA"/>
              </w:rPr>
            </w:pPr>
            <w:r w:rsidRPr="00902601">
              <w:rPr>
                <w:sz w:val="16"/>
                <w:szCs w:val="16"/>
                <w:highlight w:val="green"/>
                <w:lang w:val="en-CA"/>
              </w:rPr>
              <w:t>Q3</w:t>
            </w:r>
          </w:p>
        </w:tc>
        <w:tc>
          <w:tcPr>
            <w:tcW w:w="340" w:type="dxa"/>
            <w:shd w:val="clear" w:color="auto" w:fill="auto"/>
            <w:tcMar>
              <w:left w:w="28" w:type="dxa"/>
              <w:right w:w="28" w:type="dxa"/>
            </w:tcMar>
            <w:vAlign w:val="center"/>
          </w:tcPr>
          <w:p w14:paraId="79E88D7F" w14:textId="77777777" w:rsidR="00302BFE" w:rsidRPr="00902601" w:rsidRDefault="00302BFE" w:rsidP="00243B15">
            <w:pPr>
              <w:jc w:val="center"/>
              <w:rPr>
                <w:sz w:val="16"/>
                <w:szCs w:val="16"/>
                <w:highlight w:val="green"/>
                <w:lang w:val="en-CA"/>
              </w:rPr>
            </w:pPr>
            <w:r w:rsidRPr="00902601">
              <w:rPr>
                <w:sz w:val="16"/>
                <w:szCs w:val="16"/>
                <w:highlight w:val="green"/>
                <w:lang w:val="en-CA"/>
              </w:rPr>
              <w:t>Q4</w:t>
            </w:r>
          </w:p>
        </w:tc>
        <w:tc>
          <w:tcPr>
            <w:tcW w:w="340" w:type="dxa"/>
            <w:shd w:val="clear" w:color="auto" w:fill="auto"/>
            <w:tcMar>
              <w:left w:w="28" w:type="dxa"/>
              <w:right w:w="28" w:type="dxa"/>
            </w:tcMar>
            <w:vAlign w:val="center"/>
          </w:tcPr>
          <w:p w14:paraId="69892C6F" w14:textId="77777777" w:rsidR="00302BFE" w:rsidRPr="00902601" w:rsidRDefault="00302BFE" w:rsidP="00243B15">
            <w:pPr>
              <w:jc w:val="center"/>
              <w:rPr>
                <w:sz w:val="16"/>
                <w:szCs w:val="16"/>
                <w:highlight w:val="green"/>
                <w:lang w:val="en-CA"/>
              </w:rPr>
            </w:pPr>
            <w:r w:rsidRPr="00902601">
              <w:rPr>
                <w:sz w:val="16"/>
                <w:szCs w:val="16"/>
                <w:highlight w:val="green"/>
                <w:lang w:val="en-CA"/>
              </w:rPr>
              <w:t>Q1</w:t>
            </w:r>
          </w:p>
        </w:tc>
        <w:tc>
          <w:tcPr>
            <w:tcW w:w="340" w:type="dxa"/>
            <w:shd w:val="clear" w:color="auto" w:fill="auto"/>
            <w:tcMar>
              <w:left w:w="28" w:type="dxa"/>
              <w:right w:w="28" w:type="dxa"/>
            </w:tcMar>
            <w:vAlign w:val="center"/>
          </w:tcPr>
          <w:p w14:paraId="4E7A7C5C" w14:textId="77777777" w:rsidR="00302BFE" w:rsidRPr="00902601" w:rsidRDefault="00302BFE" w:rsidP="00243B15">
            <w:pPr>
              <w:jc w:val="center"/>
              <w:rPr>
                <w:sz w:val="16"/>
                <w:szCs w:val="16"/>
                <w:highlight w:val="green"/>
                <w:lang w:val="en-CA"/>
              </w:rPr>
            </w:pPr>
            <w:r w:rsidRPr="00902601">
              <w:rPr>
                <w:sz w:val="16"/>
                <w:szCs w:val="16"/>
                <w:highlight w:val="green"/>
                <w:lang w:val="en-CA"/>
              </w:rPr>
              <w:t>Q2</w:t>
            </w:r>
          </w:p>
        </w:tc>
        <w:tc>
          <w:tcPr>
            <w:tcW w:w="340" w:type="dxa"/>
            <w:shd w:val="clear" w:color="auto" w:fill="auto"/>
            <w:tcMar>
              <w:left w:w="28" w:type="dxa"/>
              <w:right w:w="28" w:type="dxa"/>
            </w:tcMar>
            <w:vAlign w:val="center"/>
          </w:tcPr>
          <w:p w14:paraId="4C01ADB0" w14:textId="77777777" w:rsidR="00302BFE" w:rsidRPr="00902601" w:rsidRDefault="00302BFE" w:rsidP="00243B15">
            <w:pPr>
              <w:jc w:val="center"/>
              <w:rPr>
                <w:sz w:val="16"/>
                <w:szCs w:val="16"/>
                <w:highlight w:val="green"/>
                <w:lang w:val="en-CA"/>
              </w:rPr>
            </w:pPr>
            <w:r w:rsidRPr="00902601">
              <w:rPr>
                <w:sz w:val="16"/>
                <w:szCs w:val="16"/>
                <w:highlight w:val="green"/>
                <w:lang w:val="en-CA"/>
              </w:rPr>
              <w:t>Q3</w:t>
            </w:r>
          </w:p>
        </w:tc>
        <w:tc>
          <w:tcPr>
            <w:tcW w:w="340" w:type="dxa"/>
            <w:shd w:val="clear" w:color="auto" w:fill="auto"/>
            <w:tcMar>
              <w:left w:w="28" w:type="dxa"/>
              <w:right w:w="28" w:type="dxa"/>
            </w:tcMar>
            <w:vAlign w:val="center"/>
          </w:tcPr>
          <w:p w14:paraId="777111B9" w14:textId="77777777" w:rsidR="00302BFE" w:rsidRPr="00902601" w:rsidRDefault="00302BFE" w:rsidP="00243B15">
            <w:pPr>
              <w:jc w:val="center"/>
              <w:rPr>
                <w:sz w:val="16"/>
                <w:szCs w:val="16"/>
                <w:highlight w:val="green"/>
                <w:lang w:val="en-CA"/>
              </w:rPr>
            </w:pPr>
            <w:r w:rsidRPr="00902601">
              <w:rPr>
                <w:sz w:val="16"/>
                <w:szCs w:val="16"/>
                <w:highlight w:val="green"/>
                <w:lang w:val="en-CA"/>
              </w:rPr>
              <w:t>Q4</w:t>
            </w:r>
          </w:p>
        </w:tc>
        <w:tc>
          <w:tcPr>
            <w:tcW w:w="340" w:type="dxa"/>
            <w:shd w:val="clear" w:color="auto" w:fill="auto"/>
            <w:tcMar>
              <w:left w:w="28" w:type="dxa"/>
              <w:right w:w="28" w:type="dxa"/>
            </w:tcMar>
            <w:vAlign w:val="center"/>
          </w:tcPr>
          <w:p w14:paraId="47C1EFC6" w14:textId="77777777" w:rsidR="00302BFE" w:rsidRPr="00902601" w:rsidRDefault="00302BFE" w:rsidP="00243B15">
            <w:pPr>
              <w:jc w:val="center"/>
              <w:rPr>
                <w:sz w:val="16"/>
                <w:szCs w:val="16"/>
                <w:highlight w:val="green"/>
                <w:lang w:val="en-CA"/>
              </w:rPr>
            </w:pPr>
            <w:r w:rsidRPr="00902601">
              <w:rPr>
                <w:sz w:val="16"/>
                <w:szCs w:val="16"/>
                <w:highlight w:val="green"/>
                <w:lang w:val="en-CA"/>
              </w:rPr>
              <w:t>Q1</w:t>
            </w:r>
          </w:p>
        </w:tc>
        <w:tc>
          <w:tcPr>
            <w:tcW w:w="340" w:type="dxa"/>
            <w:shd w:val="clear" w:color="auto" w:fill="auto"/>
            <w:tcMar>
              <w:left w:w="28" w:type="dxa"/>
              <w:right w:w="28" w:type="dxa"/>
            </w:tcMar>
            <w:vAlign w:val="center"/>
          </w:tcPr>
          <w:p w14:paraId="76186BA6" w14:textId="77777777" w:rsidR="00302BFE" w:rsidRPr="00902601" w:rsidRDefault="00302BFE" w:rsidP="00243B15">
            <w:pPr>
              <w:jc w:val="center"/>
              <w:rPr>
                <w:sz w:val="16"/>
                <w:szCs w:val="16"/>
                <w:highlight w:val="green"/>
                <w:lang w:val="en-CA"/>
              </w:rPr>
            </w:pPr>
            <w:r w:rsidRPr="00902601">
              <w:rPr>
                <w:sz w:val="16"/>
                <w:szCs w:val="16"/>
                <w:highlight w:val="green"/>
                <w:lang w:val="en-CA"/>
              </w:rPr>
              <w:t>Q2</w:t>
            </w:r>
          </w:p>
        </w:tc>
        <w:tc>
          <w:tcPr>
            <w:tcW w:w="340" w:type="dxa"/>
            <w:shd w:val="clear" w:color="auto" w:fill="auto"/>
            <w:tcMar>
              <w:left w:w="28" w:type="dxa"/>
              <w:right w:w="28" w:type="dxa"/>
            </w:tcMar>
            <w:vAlign w:val="center"/>
          </w:tcPr>
          <w:p w14:paraId="21E6AEA6" w14:textId="77777777" w:rsidR="00302BFE" w:rsidRPr="00902601" w:rsidRDefault="00302BFE" w:rsidP="00243B15">
            <w:pPr>
              <w:jc w:val="center"/>
              <w:rPr>
                <w:sz w:val="16"/>
                <w:szCs w:val="16"/>
                <w:highlight w:val="green"/>
                <w:lang w:val="en-CA"/>
              </w:rPr>
            </w:pPr>
            <w:r w:rsidRPr="00902601">
              <w:rPr>
                <w:sz w:val="16"/>
                <w:szCs w:val="16"/>
                <w:highlight w:val="green"/>
                <w:lang w:val="en-CA"/>
              </w:rPr>
              <w:t>Q3</w:t>
            </w:r>
          </w:p>
        </w:tc>
        <w:tc>
          <w:tcPr>
            <w:tcW w:w="340" w:type="dxa"/>
            <w:shd w:val="clear" w:color="auto" w:fill="auto"/>
            <w:tcMar>
              <w:left w:w="28" w:type="dxa"/>
              <w:right w:w="28" w:type="dxa"/>
            </w:tcMar>
            <w:vAlign w:val="center"/>
          </w:tcPr>
          <w:p w14:paraId="29C6ED26" w14:textId="77777777" w:rsidR="00302BFE" w:rsidRPr="00902601" w:rsidRDefault="00302BFE" w:rsidP="00243B15">
            <w:pPr>
              <w:jc w:val="center"/>
              <w:rPr>
                <w:sz w:val="16"/>
                <w:szCs w:val="16"/>
                <w:highlight w:val="green"/>
                <w:lang w:val="en-CA"/>
              </w:rPr>
            </w:pPr>
            <w:r w:rsidRPr="00902601">
              <w:rPr>
                <w:sz w:val="16"/>
                <w:szCs w:val="16"/>
                <w:highlight w:val="green"/>
                <w:lang w:val="en-CA"/>
              </w:rPr>
              <w:t>Q4</w:t>
            </w:r>
          </w:p>
        </w:tc>
      </w:tr>
      <w:tr w:rsidR="00302BFE" w:rsidRPr="00902601" w14:paraId="393F4C36" w14:textId="77777777" w:rsidTr="00243B15">
        <w:trPr>
          <w:jc w:val="center"/>
        </w:trPr>
        <w:tc>
          <w:tcPr>
            <w:tcW w:w="13830" w:type="dxa"/>
            <w:gridSpan w:val="25"/>
            <w:shd w:val="clear" w:color="auto" w:fill="FFF2CC"/>
          </w:tcPr>
          <w:p w14:paraId="2BECDF4D" w14:textId="77777777" w:rsidR="00302BFE" w:rsidRPr="00902601" w:rsidRDefault="00302BFE" w:rsidP="00243B15">
            <w:pPr>
              <w:rPr>
                <w:b/>
                <w:sz w:val="16"/>
                <w:szCs w:val="16"/>
                <w:highlight w:val="green"/>
                <w:lang w:val="en-CA"/>
              </w:rPr>
            </w:pPr>
            <w:r w:rsidRPr="00902601">
              <w:rPr>
                <w:b/>
                <w:sz w:val="16"/>
                <w:szCs w:val="16"/>
                <w:highlight w:val="green"/>
                <w:lang w:val="en-GB"/>
              </w:rPr>
              <w:t>Component 1. Framework for Integrated Landscape Management of PONASI with sustainable financing for its operation</w:t>
            </w:r>
          </w:p>
        </w:tc>
      </w:tr>
      <w:tr w:rsidR="00302BFE" w:rsidRPr="00902601" w14:paraId="675985AE" w14:textId="77777777" w:rsidTr="00243B15">
        <w:trPr>
          <w:jc w:val="center"/>
        </w:trPr>
        <w:tc>
          <w:tcPr>
            <w:tcW w:w="5670" w:type="dxa"/>
            <w:shd w:val="clear" w:color="auto" w:fill="auto"/>
          </w:tcPr>
          <w:p w14:paraId="4C5B9925" w14:textId="77777777" w:rsidR="00302BFE" w:rsidRPr="00902601" w:rsidRDefault="00302BFE" w:rsidP="00243B15">
            <w:pPr>
              <w:rPr>
                <w:i/>
                <w:color w:val="4472C4"/>
                <w:sz w:val="16"/>
                <w:szCs w:val="16"/>
                <w:highlight w:val="green"/>
                <w:lang w:val="en-CA"/>
              </w:rPr>
            </w:pPr>
            <w:r w:rsidRPr="00902601">
              <w:rPr>
                <w:sz w:val="16"/>
                <w:szCs w:val="16"/>
                <w:highlight w:val="green"/>
                <w:lang w:val="en-GB"/>
              </w:rPr>
              <w:t xml:space="preserve">Output 1.1 The "PONASI Landscape Co-Governance Mechanism" is updated, strengthened and operationalized </w:t>
            </w:r>
          </w:p>
        </w:tc>
        <w:tc>
          <w:tcPr>
            <w:tcW w:w="8160" w:type="dxa"/>
            <w:gridSpan w:val="24"/>
            <w:shd w:val="clear" w:color="auto" w:fill="auto"/>
          </w:tcPr>
          <w:p w14:paraId="710EFF00" w14:textId="77777777" w:rsidR="00302BFE" w:rsidRPr="00902601" w:rsidRDefault="00302BFE" w:rsidP="00243B15">
            <w:pPr>
              <w:rPr>
                <w:highlight w:val="green"/>
                <w:lang w:val="en-CA"/>
              </w:rPr>
            </w:pPr>
          </w:p>
        </w:tc>
      </w:tr>
      <w:tr w:rsidR="00755BF9" w:rsidRPr="00902601" w14:paraId="76CCA631" w14:textId="77777777" w:rsidTr="00755BF9">
        <w:trPr>
          <w:jc w:val="center"/>
        </w:trPr>
        <w:tc>
          <w:tcPr>
            <w:tcW w:w="5670" w:type="dxa"/>
            <w:shd w:val="clear" w:color="auto" w:fill="auto"/>
          </w:tcPr>
          <w:p w14:paraId="706A4697" w14:textId="77777777" w:rsidR="00302BFE" w:rsidRPr="00902601" w:rsidRDefault="00302BFE" w:rsidP="00243B15">
            <w:pPr>
              <w:rPr>
                <w:sz w:val="16"/>
                <w:szCs w:val="16"/>
                <w:highlight w:val="green"/>
                <w:lang w:val="en-CA"/>
              </w:rPr>
            </w:pPr>
            <w:r w:rsidRPr="00902601">
              <w:rPr>
                <w:i/>
                <w:color w:val="4472C4"/>
                <w:sz w:val="16"/>
                <w:szCs w:val="16"/>
                <w:highlight w:val="green"/>
                <w:lang w:val="en-GB"/>
              </w:rPr>
              <w:t>1.1.1 Establishment of the PONASI landscape co-governance mechanism</w:t>
            </w:r>
          </w:p>
        </w:tc>
        <w:tc>
          <w:tcPr>
            <w:tcW w:w="340" w:type="dxa"/>
            <w:shd w:val="clear" w:color="auto" w:fill="auto"/>
          </w:tcPr>
          <w:p w14:paraId="3822FBA7" w14:textId="77777777" w:rsidR="00302BFE" w:rsidRPr="00902601" w:rsidRDefault="00302BFE" w:rsidP="00243B15">
            <w:pPr>
              <w:rPr>
                <w:highlight w:val="green"/>
                <w:lang w:val="en-CA"/>
              </w:rPr>
            </w:pPr>
          </w:p>
        </w:tc>
        <w:tc>
          <w:tcPr>
            <w:tcW w:w="340" w:type="dxa"/>
            <w:shd w:val="clear" w:color="auto" w:fill="D9D9D9"/>
          </w:tcPr>
          <w:p w14:paraId="311D059E"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416D50F8" w14:textId="77777777" w:rsidR="00302BFE" w:rsidRPr="00902601" w:rsidRDefault="00302BFE" w:rsidP="00243B15">
            <w:pPr>
              <w:rPr>
                <w:highlight w:val="green"/>
                <w:lang w:val="en-CA"/>
              </w:rPr>
            </w:pPr>
          </w:p>
        </w:tc>
        <w:tc>
          <w:tcPr>
            <w:tcW w:w="340" w:type="dxa"/>
            <w:shd w:val="clear" w:color="auto" w:fill="auto"/>
          </w:tcPr>
          <w:p w14:paraId="19C81A61" w14:textId="77777777" w:rsidR="00302BFE" w:rsidRPr="00902601" w:rsidRDefault="00302BFE" w:rsidP="00243B15">
            <w:pPr>
              <w:rPr>
                <w:highlight w:val="green"/>
                <w:lang w:val="en-CA"/>
              </w:rPr>
            </w:pPr>
          </w:p>
        </w:tc>
        <w:tc>
          <w:tcPr>
            <w:tcW w:w="340" w:type="dxa"/>
            <w:shd w:val="clear" w:color="auto" w:fill="auto"/>
          </w:tcPr>
          <w:p w14:paraId="2CA8BE60" w14:textId="77777777" w:rsidR="00302BFE" w:rsidRPr="00902601" w:rsidRDefault="00302BFE" w:rsidP="00243B15">
            <w:pPr>
              <w:rPr>
                <w:highlight w:val="green"/>
                <w:lang w:val="en-CA"/>
              </w:rPr>
            </w:pPr>
          </w:p>
        </w:tc>
        <w:tc>
          <w:tcPr>
            <w:tcW w:w="340" w:type="dxa"/>
            <w:shd w:val="clear" w:color="auto" w:fill="auto"/>
          </w:tcPr>
          <w:p w14:paraId="609C391F" w14:textId="77777777" w:rsidR="00302BFE" w:rsidRPr="00902601" w:rsidRDefault="00302BFE" w:rsidP="00243B15">
            <w:pPr>
              <w:rPr>
                <w:highlight w:val="green"/>
                <w:lang w:val="en-CA"/>
              </w:rPr>
            </w:pPr>
          </w:p>
        </w:tc>
        <w:tc>
          <w:tcPr>
            <w:tcW w:w="340" w:type="dxa"/>
            <w:shd w:val="clear" w:color="auto" w:fill="auto"/>
          </w:tcPr>
          <w:p w14:paraId="644848B4" w14:textId="77777777" w:rsidR="00302BFE" w:rsidRPr="00902601" w:rsidRDefault="00302BFE" w:rsidP="00243B15">
            <w:pPr>
              <w:rPr>
                <w:highlight w:val="green"/>
                <w:lang w:val="en-CA"/>
              </w:rPr>
            </w:pPr>
          </w:p>
        </w:tc>
        <w:tc>
          <w:tcPr>
            <w:tcW w:w="340" w:type="dxa"/>
            <w:shd w:val="clear" w:color="auto" w:fill="auto"/>
          </w:tcPr>
          <w:p w14:paraId="441A178D" w14:textId="77777777" w:rsidR="00302BFE" w:rsidRPr="00902601" w:rsidRDefault="00302BFE" w:rsidP="00243B15">
            <w:pPr>
              <w:rPr>
                <w:highlight w:val="green"/>
                <w:lang w:val="en-CA"/>
              </w:rPr>
            </w:pPr>
          </w:p>
        </w:tc>
        <w:tc>
          <w:tcPr>
            <w:tcW w:w="340" w:type="dxa"/>
            <w:shd w:val="clear" w:color="auto" w:fill="auto"/>
          </w:tcPr>
          <w:p w14:paraId="38066739" w14:textId="77777777" w:rsidR="00302BFE" w:rsidRPr="00902601" w:rsidRDefault="00302BFE" w:rsidP="00243B15">
            <w:pPr>
              <w:rPr>
                <w:highlight w:val="green"/>
                <w:lang w:val="en-CA"/>
              </w:rPr>
            </w:pPr>
          </w:p>
        </w:tc>
        <w:tc>
          <w:tcPr>
            <w:tcW w:w="340" w:type="dxa"/>
            <w:shd w:val="clear" w:color="auto" w:fill="auto"/>
          </w:tcPr>
          <w:p w14:paraId="68B2B7DE" w14:textId="77777777" w:rsidR="00302BFE" w:rsidRPr="00902601" w:rsidRDefault="00302BFE" w:rsidP="00243B15">
            <w:pPr>
              <w:rPr>
                <w:highlight w:val="green"/>
                <w:lang w:val="en-CA"/>
              </w:rPr>
            </w:pPr>
          </w:p>
        </w:tc>
        <w:tc>
          <w:tcPr>
            <w:tcW w:w="340" w:type="dxa"/>
            <w:shd w:val="clear" w:color="auto" w:fill="auto"/>
          </w:tcPr>
          <w:p w14:paraId="2B44A866" w14:textId="77777777" w:rsidR="00302BFE" w:rsidRPr="00902601" w:rsidRDefault="00302BFE" w:rsidP="00243B15">
            <w:pPr>
              <w:rPr>
                <w:highlight w:val="green"/>
                <w:lang w:val="en-CA"/>
              </w:rPr>
            </w:pPr>
          </w:p>
        </w:tc>
        <w:tc>
          <w:tcPr>
            <w:tcW w:w="340" w:type="dxa"/>
            <w:shd w:val="clear" w:color="auto" w:fill="auto"/>
          </w:tcPr>
          <w:p w14:paraId="03FD285A" w14:textId="77777777" w:rsidR="00302BFE" w:rsidRPr="00902601" w:rsidRDefault="00302BFE" w:rsidP="00243B15">
            <w:pPr>
              <w:rPr>
                <w:highlight w:val="green"/>
                <w:lang w:val="en-CA"/>
              </w:rPr>
            </w:pPr>
          </w:p>
        </w:tc>
        <w:tc>
          <w:tcPr>
            <w:tcW w:w="340" w:type="dxa"/>
            <w:shd w:val="clear" w:color="auto" w:fill="auto"/>
          </w:tcPr>
          <w:p w14:paraId="2201A943" w14:textId="77777777" w:rsidR="00302BFE" w:rsidRPr="00902601" w:rsidRDefault="00302BFE" w:rsidP="00243B15">
            <w:pPr>
              <w:rPr>
                <w:highlight w:val="green"/>
                <w:lang w:val="en-CA"/>
              </w:rPr>
            </w:pPr>
          </w:p>
        </w:tc>
        <w:tc>
          <w:tcPr>
            <w:tcW w:w="340" w:type="dxa"/>
            <w:shd w:val="clear" w:color="auto" w:fill="auto"/>
          </w:tcPr>
          <w:p w14:paraId="34C73B65" w14:textId="77777777" w:rsidR="00302BFE" w:rsidRPr="00902601" w:rsidRDefault="00302BFE" w:rsidP="00243B15">
            <w:pPr>
              <w:rPr>
                <w:highlight w:val="green"/>
                <w:lang w:val="en-CA"/>
              </w:rPr>
            </w:pPr>
          </w:p>
        </w:tc>
        <w:tc>
          <w:tcPr>
            <w:tcW w:w="340" w:type="dxa"/>
            <w:shd w:val="clear" w:color="auto" w:fill="auto"/>
          </w:tcPr>
          <w:p w14:paraId="5A3E532D" w14:textId="77777777" w:rsidR="00302BFE" w:rsidRPr="00902601" w:rsidRDefault="00302BFE" w:rsidP="00243B15">
            <w:pPr>
              <w:rPr>
                <w:highlight w:val="green"/>
                <w:lang w:val="en-CA"/>
              </w:rPr>
            </w:pPr>
          </w:p>
        </w:tc>
        <w:tc>
          <w:tcPr>
            <w:tcW w:w="340" w:type="dxa"/>
            <w:shd w:val="clear" w:color="auto" w:fill="auto"/>
          </w:tcPr>
          <w:p w14:paraId="2409DC1C" w14:textId="77777777" w:rsidR="00302BFE" w:rsidRPr="00902601" w:rsidRDefault="00302BFE" w:rsidP="00243B15">
            <w:pPr>
              <w:rPr>
                <w:highlight w:val="green"/>
                <w:lang w:val="en-CA"/>
              </w:rPr>
            </w:pPr>
          </w:p>
        </w:tc>
        <w:tc>
          <w:tcPr>
            <w:tcW w:w="340" w:type="dxa"/>
            <w:shd w:val="clear" w:color="auto" w:fill="auto"/>
          </w:tcPr>
          <w:p w14:paraId="294DF431" w14:textId="77777777" w:rsidR="00302BFE" w:rsidRPr="00902601" w:rsidRDefault="00302BFE" w:rsidP="00243B15">
            <w:pPr>
              <w:rPr>
                <w:highlight w:val="green"/>
                <w:lang w:val="en-CA"/>
              </w:rPr>
            </w:pPr>
          </w:p>
        </w:tc>
        <w:tc>
          <w:tcPr>
            <w:tcW w:w="340" w:type="dxa"/>
            <w:shd w:val="clear" w:color="auto" w:fill="auto"/>
          </w:tcPr>
          <w:p w14:paraId="2E9DC35C" w14:textId="77777777" w:rsidR="00302BFE" w:rsidRPr="00902601" w:rsidRDefault="00302BFE" w:rsidP="00243B15">
            <w:pPr>
              <w:rPr>
                <w:highlight w:val="green"/>
                <w:lang w:val="en-CA"/>
              </w:rPr>
            </w:pPr>
          </w:p>
        </w:tc>
        <w:tc>
          <w:tcPr>
            <w:tcW w:w="340" w:type="dxa"/>
            <w:shd w:val="clear" w:color="auto" w:fill="auto"/>
          </w:tcPr>
          <w:p w14:paraId="755C65CD" w14:textId="77777777" w:rsidR="00302BFE" w:rsidRPr="00902601" w:rsidRDefault="00302BFE" w:rsidP="00243B15">
            <w:pPr>
              <w:rPr>
                <w:highlight w:val="green"/>
                <w:lang w:val="en-CA"/>
              </w:rPr>
            </w:pPr>
          </w:p>
        </w:tc>
        <w:tc>
          <w:tcPr>
            <w:tcW w:w="340" w:type="dxa"/>
            <w:shd w:val="clear" w:color="auto" w:fill="auto"/>
          </w:tcPr>
          <w:p w14:paraId="74BA7151" w14:textId="77777777" w:rsidR="00302BFE" w:rsidRPr="00902601" w:rsidRDefault="00302BFE" w:rsidP="00243B15">
            <w:pPr>
              <w:rPr>
                <w:highlight w:val="green"/>
                <w:lang w:val="en-CA"/>
              </w:rPr>
            </w:pPr>
          </w:p>
        </w:tc>
        <w:tc>
          <w:tcPr>
            <w:tcW w:w="340" w:type="dxa"/>
            <w:shd w:val="clear" w:color="auto" w:fill="auto"/>
          </w:tcPr>
          <w:p w14:paraId="2F9A1668" w14:textId="77777777" w:rsidR="00302BFE" w:rsidRPr="00902601" w:rsidRDefault="00302BFE" w:rsidP="00243B15">
            <w:pPr>
              <w:rPr>
                <w:highlight w:val="green"/>
                <w:lang w:val="en-CA"/>
              </w:rPr>
            </w:pPr>
          </w:p>
        </w:tc>
        <w:tc>
          <w:tcPr>
            <w:tcW w:w="340" w:type="dxa"/>
            <w:shd w:val="clear" w:color="auto" w:fill="auto"/>
          </w:tcPr>
          <w:p w14:paraId="455A4F80" w14:textId="77777777" w:rsidR="00302BFE" w:rsidRPr="00902601" w:rsidRDefault="00302BFE" w:rsidP="00243B15">
            <w:pPr>
              <w:rPr>
                <w:highlight w:val="green"/>
                <w:lang w:val="en-CA"/>
              </w:rPr>
            </w:pPr>
          </w:p>
        </w:tc>
        <w:tc>
          <w:tcPr>
            <w:tcW w:w="340" w:type="dxa"/>
            <w:shd w:val="clear" w:color="auto" w:fill="auto"/>
          </w:tcPr>
          <w:p w14:paraId="34A8B26C" w14:textId="77777777" w:rsidR="00302BFE" w:rsidRPr="00902601" w:rsidRDefault="00302BFE" w:rsidP="00243B15">
            <w:pPr>
              <w:rPr>
                <w:highlight w:val="green"/>
                <w:lang w:val="en-CA"/>
              </w:rPr>
            </w:pPr>
          </w:p>
        </w:tc>
        <w:tc>
          <w:tcPr>
            <w:tcW w:w="340" w:type="dxa"/>
            <w:shd w:val="clear" w:color="auto" w:fill="auto"/>
          </w:tcPr>
          <w:p w14:paraId="46D1B9AB" w14:textId="77777777" w:rsidR="00302BFE" w:rsidRPr="00902601" w:rsidRDefault="00302BFE" w:rsidP="00243B15">
            <w:pPr>
              <w:rPr>
                <w:highlight w:val="green"/>
                <w:lang w:val="en-CA"/>
              </w:rPr>
            </w:pPr>
          </w:p>
        </w:tc>
      </w:tr>
      <w:tr w:rsidR="00755BF9" w:rsidRPr="00902601" w14:paraId="7062D41A" w14:textId="77777777" w:rsidTr="00755BF9">
        <w:trPr>
          <w:jc w:val="center"/>
        </w:trPr>
        <w:tc>
          <w:tcPr>
            <w:tcW w:w="5670" w:type="dxa"/>
            <w:shd w:val="clear" w:color="auto" w:fill="auto"/>
          </w:tcPr>
          <w:p w14:paraId="2410942C" w14:textId="77777777" w:rsidR="00302BFE" w:rsidRPr="00902601" w:rsidRDefault="00302BFE" w:rsidP="00243B15">
            <w:pPr>
              <w:rPr>
                <w:i/>
                <w:color w:val="4472C4"/>
                <w:sz w:val="16"/>
                <w:szCs w:val="16"/>
                <w:highlight w:val="green"/>
                <w:lang w:val="en-CA"/>
              </w:rPr>
            </w:pPr>
            <w:r w:rsidRPr="00902601">
              <w:rPr>
                <w:i/>
                <w:color w:val="4472C4"/>
                <w:sz w:val="16"/>
                <w:szCs w:val="16"/>
                <w:highlight w:val="green"/>
                <w:lang w:val="en-GB"/>
              </w:rPr>
              <w:t>1.1.2 Operationalizing the co-governance mechanism</w:t>
            </w:r>
          </w:p>
        </w:tc>
        <w:tc>
          <w:tcPr>
            <w:tcW w:w="340" w:type="dxa"/>
            <w:shd w:val="clear" w:color="auto" w:fill="auto"/>
          </w:tcPr>
          <w:p w14:paraId="2B1124E4" w14:textId="77777777" w:rsidR="00302BFE" w:rsidRPr="00902601" w:rsidRDefault="00302BFE" w:rsidP="00243B15">
            <w:pPr>
              <w:rPr>
                <w:highlight w:val="green"/>
                <w:lang w:val="en-CA"/>
              </w:rPr>
            </w:pPr>
          </w:p>
        </w:tc>
        <w:tc>
          <w:tcPr>
            <w:tcW w:w="340" w:type="dxa"/>
            <w:shd w:val="clear" w:color="auto" w:fill="auto"/>
          </w:tcPr>
          <w:p w14:paraId="4BC10E8D"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48581B40"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771A52E5"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47EB0391"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1DF4AC91"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4E8CF6D0"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10E575FD" w14:textId="77777777" w:rsidR="00302BFE" w:rsidRPr="00902601" w:rsidRDefault="00302BFE" w:rsidP="00243B15">
            <w:pPr>
              <w:rPr>
                <w:highlight w:val="green"/>
                <w:lang w:val="en-CA"/>
              </w:rPr>
            </w:pPr>
          </w:p>
        </w:tc>
        <w:tc>
          <w:tcPr>
            <w:tcW w:w="340" w:type="dxa"/>
            <w:shd w:val="clear" w:color="auto" w:fill="auto"/>
          </w:tcPr>
          <w:p w14:paraId="4DEC1804" w14:textId="77777777" w:rsidR="00302BFE" w:rsidRPr="00902601" w:rsidRDefault="00302BFE" w:rsidP="00243B15">
            <w:pPr>
              <w:rPr>
                <w:highlight w:val="green"/>
                <w:lang w:val="en-CA"/>
              </w:rPr>
            </w:pPr>
          </w:p>
        </w:tc>
        <w:tc>
          <w:tcPr>
            <w:tcW w:w="340" w:type="dxa"/>
            <w:shd w:val="clear" w:color="auto" w:fill="auto"/>
          </w:tcPr>
          <w:p w14:paraId="756238A0" w14:textId="77777777" w:rsidR="00302BFE" w:rsidRPr="00902601" w:rsidRDefault="00302BFE" w:rsidP="00243B15">
            <w:pPr>
              <w:rPr>
                <w:highlight w:val="green"/>
                <w:lang w:val="en-CA"/>
              </w:rPr>
            </w:pPr>
          </w:p>
        </w:tc>
        <w:tc>
          <w:tcPr>
            <w:tcW w:w="340" w:type="dxa"/>
            <w:shd w:val="clear" w:color="auto" w:fill="auto"/>
          </w:tcPr>
          <w:p w14:paraId="542356E6" w14:textId="77777777" w:rsidR="00302BFE" w:rsidRPr="00902601" w:rsidRDefault="00302BFE" w:rsidP="00243B15">
            <w:pPr>
              <w:rPr>
                <w:highlight w:val="green"/>
                <w:lang w:val="en-CA"/>
              </w:rPr>
            </w:pPr>
          </w:p>
        </w:tc>
        <w:tc>
          <w:tcPr>
            <w:tcW w:w="340" w:type="dxa"/>
            <w:shd w:val="clear" w:color="auto" w:fill="auto"/>
          </w:tcPr>
          <w:p w14:paraId="6AC98A4C" w14:textId="77777777" w:rsidR="00302BFE" w:rsidRPr="00902601" w:rsidRDefault="00302BFE" w:rsidP="00243B15">
            <w:pPr>
              <w:rPr>
                <w:highlight w:val="green"/>
                <w:lang w:val="en-CA"/>
              </w:rPr>
            </w:pPr>
          </w:p>
        </w:tc>
        <w:tc>
          <w:tcPr>
            <w:tcW w:w="340" w:type="dxa"/>
            <w:shd w:val="clear" w:color="auto" w:fill="auto"/>
          </w:tcPr>
          <w:p w14:paraId="50CB7028" w14:textId="77777777" w:rsidR="00302BFE" w:rsidRPr="00902601" w:rsidRDefault="00302BFE" w:rsidP="00243B15">
            <w:pPr>
              <w:rPr>
                <w:highlight w:val="green"/>
                <w:lang w:val="en-CA"/>
              </w:rPr>
            </w:pPr>
          </w:p>
        </w:tc>
        <w:tc>
          <w:tcPr>
            <w:tcW w:w="340" w:type="dxa"/>
            <w:shd w:val="clear" w:color="auto" w:fill="auto"/>
          </w:tcPr>
          <w:p w14:paraId="279A93C3" w14:textId="77777777" w:rsidR="00302BFE" w:rsidRPr="00902601" w:rsidRDefault="00302BFE" w:rsidP="00243B15">
            <w:pPr>
              <w:rPr>
                <w:highlight w:val="green"/>
                <w:lang w:val="en-CA"/>
              </w:rPr>
            </w:pPr>
          </w:p>
        </w:tc>
        <w:tc>
          <w:tcPr>
            <w:tcW w:w="340" w:type="dxa"/>
            <w:shd w:val="clear" w:color="auto" w:fill="auto"/>
          </w:tcPr>
          <w:p w14:paraId="70236286" w14:textId="77777777" w:rsidR="00302BFE" w:rsidRPr="00902601" w:rsidRDefault="00302BFE" w:rsidP="00243B15">
            <w:pPr>
              <w:rPr>
                <w:highlight w:val="green"/>
                <w:lang w:val="en-CA"/>
              </w:rPr>
            </w:pPr>
          </w:p>
        </w:tc>
        <w:tc>
          <w:tcPr>
            <w:tcW w:w="340" w:type="dxa"/>
            <w:shd w:val="clear" w:color="auto" w:fill="auto"/>
          </w:tcPr>
          <w:p w14:paraId="1887A1D9" w14:textId="77777777" w:rsidR="00302BFE" w:rsidRPr="00902601" w:rsidRDefault="00302BFE" w:rsidP="00243B15">
            <w:pPr>
              <w:rPr>
                <w:highlight w:val="green"/>
                <w:lang w:val="en-CA"/>
              </w:rPr>
            </w:pPr>
          </w:p>
        </w:tc>
        <w:tc>
          <w:tcPr>
            <w:tcW w:w="340" w:type="dxa"/>
            <w:shd w:val="clear" w:color="auto" w:fill="auto"/>
          </w:tcPr>
          <w:p w14:paraId="2658BC5A" w14:textId="77777777" w:rsidR="00302BFE" w:rsidRPr="00902601" w:rsidRDefault="00302BFE" w:rsidP="00243B15">
            <w:pPr>
              <w:rPr>
                <w:highlight w:val="green"/>
                <w:lang w:val="en-CA"/>
              </w:rPr>
            </w:pPr>
          </w:p>
        </w:tc>
        <w:tc>
          <w:tcPr>
            <w:tcW w:w="340" w:type="dxa"/>
            <w:shd w:val="clear" w:color="auto" w:fill="auto"/>
          </w:tcPr>
          <w:p w14:paraId="353E9D37" w14:textId="77777777" w:rsidR="00302BFE" w:rsidRPr="00902601" w:rsidRDefault="00302BFE" w:rsidP="00243B15">
            <w:pPr>
              <w:rPr>
                <w:highlight w:val="green"/>
                <w:lang w:val="en-CA"/>
              </w:rPr>
            </w:pPr>
          </w:p>
        </w:tc>
        <w:tc>
          <w:tcPr>
            <w:tcW w:w="340" w:type="dxa"/>
            <w:shd w:val="clear" w:color="auto" w:fill="auto"/>
          </w:tcPr>
          <w:p w14:paraId="3E221CA0" w14:textId="77777777" w:rsidR="00302BFE" w:rsidRPr="00902601" w:rsidRDefault="00302BFE" w:rsidP="00243B15">
            <w:pPr>
              <w:rPr>
                <w:highlight w:val="green"/>
                <w:lang w:val="en-CA"/>
              </w:rPr>
            </w:pPr>
          </w:p>
        </w:tc>
        <w:tc>
          <w:tcPr>
            <w:tcW w:w="340" w:type="dxa"/>
            <w:shd w:val="clear" w:color="auto" w:fill="auto"/>
          </w:tcPr>
          <w:p w14:paraId="3DB0F134" w14:textId="77777777" w:rsidR="00302BFE" w:rsidRPr="00902601" w:rsidRDefault="00302BFE" w:rsidP="00243B15">
            <w:pPr>
              <w:rPr>
                <w:highlight w:val="green"/>
                <w:lang w:val="en-CA"/>
              </w:rPr>
            </w:pPr>
          </w:p>
        </w:tc>
        <w:tc>
          <w:tcPr>
            <w:tcW w:w="340" w:type="dxa"/>
            <w:shd w:val="clear" w:color="auto" w:fill="auto"/>
          </w:tcPr>
          <w:p w14:paraId="482231E1" w14:textId="77777777" w:rsidR="00302BFE" w:rsidRPr="00902601" w:rsidRDefault="00302BFE" w:rsidP="00243B15">
            <w:pPr>
              <w:rPr>
                <w:highlight w:val="green"/>
                <w:lang w:val="en-CA"/>
              </w:rPr>
            </w:pPr>
          </w:p>
        </w:tc>
        <w:tc>
          <w:tcPr>
            <w:tcW w:w="340" w:type="dxa"/>
            <w:shd w:val="clear" w:color="auto" w:fill="auto"/>
          </w:tcPr>
          <w:p w14:paraId="62E06458" w14:textId="77777777" w:rsidR="00302BFE" w:rsidRPr="00902601" w:rsidRDefault="00302BFE" w:rsidP="00243B15">
            <w:pPr>
              <w:rPr>
                <w:highlight w:val="green"/>
                <w:lang w:val="en-CA"/>
              </w:rPr>
            </w:pPr>
          </w:p>
        </w:tc>
        <w:tc>
          <w:tcPr>
            <w:tcW w:w="340" w:type="dxa"/>
            <w:shd w:val="clear" w:color="auto" w:fill="auto"/>
          </w:tcPr>
          <w:p w14:paraId="55767B7A" w14:textId="77777777" w:rsidR="00302BFE" w:rsidRPr="00902601" w:rsidRDefault="00302BFE" w:rsidP="00243B15">
            <w:pPr>
              <w:rPr>
                <w:highlight w:val="green"/>
                <w:lang w:val="en-CA"/>
              </w:rPr>
            </w:pPr>
          </w:p>
        </w:tc>
        <w:tc>
          <w:tcPr>
            <w:tcW w:w="340" w:type="dxa"/>
            <w:shd w:val="clear" w:color="auto" w:fill="auto"/>
          </w:tcPr>
          <w:p w14:paraId="3D6BECA9" w14:textId="77777777" w:rsidR="00302BFE" w:rsidRPr="00902601" w:rsidRDefault="00302BFE" w:rsidP="00243B15">
            <w:pPr>
              <w:rPr>
                <w:highlight w:val="green"/>
                <w:lang w:val="en-CA"/>
              </w:rPr>
            </w:pPr>
          </w:p>
        </w:tc>
      </w:tr>
      <w:tr w:rsidR="00755BF9" w:rsidRPr="00902601" w14:paraId="1DFB2EEB" w14:textId="77777777" w:rsidTr="00755BF9">
        <w:trPr>
          <w:jc w:val="center"/>
        </w:trPr>
        <w:tc>
          <w:tcPr>
            <w:tcW w:w="5670" w:type="dxa"/>
            <w:shd w:val="clear" w:color="auto" w:fill="auto"/>
          </w:tcPr>
          <w:p w14:paraId="1A6FD8F1" w14:textId="77777777" w:rsidR="00302BFE" w:rsidRPr="00902601" w:rsidRDefault="00302BFE" w:rsidP="00243B15">
            <w:pPr>
              <w:rPr>
                <w:sz w:val="16"/>
                <w:szCs w:val="16"/>
                <w:highlight w:val="green"/>
                <w:lang w:val="en-CA"/>
              </w:rPr>
            </w:pPr>
            <w:r w:rsidRPr="00902601">
              <w:rPr>
                <w:i/>
                <w:color w:val="4472C4"/>
                <w:sz w:val="16"/>
                <w:szCs w:val="16"/>
                <w:highlight w:val="green"/>
                <w:lang w:val="en-GB"/>
              </w:rPr>
              <w:t>1.1.3 Capacity building of stakeholders in landscape management at all levels to ensure optimal and open input from stakeholders</w:t>
            </w:r>
          </w:p>
        </w:tc>
        <w:tc>
          <w:tcPr>
            <w:tcW w:w="340" w:type="dxa"/>
            <w:shd w:val="clear" w:color="auto" w:fill="auto"/>
          </w:tcPr>
          <w:p w14:paraId="4FE253D1" w14:textId="77777777" w:rsidR="00302BFE" w:rsidRPr="00902601" w:rsidRDefault="00302BFE" w:rsidP="00243B15">
            <w:pPr>
              <w:rPr>
                <w:highlight w:val="green"/>
                <w:lang w:val="en-CA"/>
              </w:rPr>
            </w:pPr>
          </w:p>
        </w:tc>
        <w:tc>
          <w:tcPr>
            <w:tcW w:w="340" w:type="dxa"/>
            <w:shd w:val="clear" w:color="auto" w:fill="auto"/>
          </w:tcPr>
          <w:p w14:paraId="38B65098" w14:textId="77777777" w:rsidR="00302BFE" w:rsidRPr="00902601" w:rsidRDefault="00302BFE" w:rsidP="00243B15">
            <w:pPr>
              <w:rPr>
                <w:highlight w:val="green"/>
                <w:lang w:val="en-CA"/>
              </w:rPr>
            </w:pPr>
          </w:p>
        </w:tc>
        <w:tc>
          <w:tcPr>
            <w:tcW w:w="340" w:type="dxa"/>
            <w:shd w:val="clear" w:color="auto" w:fill="D9D9D9"/>
          </w:tcPr>
          <w:p w14:paraId="453E9EA0" w14:textId="77777777" w:rsidR="00302BFE" w:rsidRPr="00902601" w:rsidRDefault="00302BFE" w:rsidP="00243B15">
            <w:pPr>
              <w:rPr>
                <w:highlight w:val="green"/>
                <w:lang w:val="en-CA"/>
              </w:rPr>
            </w:pPr>
          </w:p>
        </w:tc>
        <w:tc>
          <w:tcPr>
            <w:tcW w:w="340" w:type="dxa"/>
            <w:shd w:val="clear" w:color="auto" w:fill="D9D9D9"/>
          </w:tcPr>
          <w:p w14:paraId="0E583DF0"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6A4CE38C"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22C25704"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1490F02D"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175A98E9" w14:textId="77777777" w:rsidR="00302BFE" w:rsidRPr="00902601" w:rsidRDefault="00302BFE" w:rsidP="00243B15">
            <w:pPr>
              <w:rPr>
                <w:highlight w:val="green"/>
                <w:lang w:val="en-CA"/>
              </w:rPr>
            </w:pPr>
          </w:p>
        </w:tc>
        <w:tc>
          <w:tcPr>
            <w:tcW w:w="340" w:type="dxa"/>
            <w:shd w:val="clear" w:color="auto" w:fill="auto"/>
          </w:tcPr>
          <w:p w14:paraId="09A8DCB8" w14:textId="77777777" w:rsidR="00302BFE" w:rsidRPr="00902601" w:rsidRDefault="00302BFE" w:rsidP="00243B15">
            <w:pPr>
              <w:rPr>
                <w:highlight w:val="green"/>
                <w:lang w:val="en-CA"/>
              </w:rPr>
            </w:pPr>
          </w:p>
        </w:tc>
        <w:tc>
          <w:tcPr>
            <w:tcW w:w="340" w:type="dxa"/>
            <w:shd w:val="clear" w:color="auto" w:fill="auto"/>
          </w:tcPr>
          <w:p w14:paraId="2E28298E" w14:textId="77777777" w:rsidR="00302BFE" w:rsidRPr="00902601" w:rsidRDefault="00302BFE" w:rsidP="00243B15">
            <w:pPr>
              <w:rPr>
                <w:highlight w:val="green"/>
                <w:lang w:val="en-CA"/>
              </w:rPr>
            </w:pPr>
          </w:p>
        </w:tc>
        <w:tc>
          <w:tcPr>
            <w:tcW w:w="340" w:type="dxa"/>
            <w:shd w:val="clear" w:color="auto" w:fill="auto"/>
          </w:tcPr>
          <w:p w14:paraId="55CEF497" w14:textId="77777777" w:rsidR="00302BFE" w:rsidRPr="00902601" w:rsidRDefault="00302BFE" w:rsidP="00243B15">
            <w:pPr>
              <w:rPr>
                <w:highlight w:val="green"/>
                <w:lang w:val="en-CA"/>
              </w:rPr>
            </w:pPr>
          </w:p>
        </w:tc>
        <w:tc>
          <w:tcPr>
            <w:tcW w:w="340" w:type="dxa"/>
            <w:shd w:val="clear" w:color="auto" w:fill="auto"/>
          </w:tcPr>
          <w:p w14:paraId="7F8A340C" w14:textId="77777777" w:rsidR="00302BFE" w:rsidRPr="00902601" w:rsidRDefault="00302BFE" w:rsidP="00243B15">
            <w:pPr>
              <w:rPr>
                <w:highlight w:val="green"/>
                <w:lang w:val="en-CA"/>
              </w:rPr>
            </w:pPr>
          </w:p>
        </w:tc>
        <w:tc>
          <w:tcPr>
            <w:tcW w:w="340" w:type="dxa"/>
            <w:shd w:val="clear" w:color="auto" w:fill="auto"/>
          </w:tcPr>
          <w:p w14:paraId="73FB9F7A" w14:textId="77777777" w:rsidR="00302BFE" w:rsidRPr="00902601" w:rsidRDefault="00302BFE" w:rsidP="00243B15">
            <w:pPr>
              <w:rPr>
                <w:highlight w:val="green"/>
                <w:lang w:val="en-CA"/>
              </w:rPr>
            </w:pPr>
          </w:p>
        </w:tc>
        <w:tc>
          <w:tcPr>
            <w:tcW w:w="340" w:type="dxa"/>
            <w:shd w:val="clear" w:color="auto" w:fill="auto"/>
          </w:tcPr>
          <w:p w14:paraId="1721F38C" w14:textId="77777777" w:rsidR="00302BFE" w:rsidRPr="00902601" w:rsidRDefault="00302BFE" w:rsidP="00243B15">
            <w:pPr>
              <w:rPr>
                <w:highlight w:val="green"/>
                <w:lang w:val="en-CA"/>
              </w:rPr>
            </w:pPr>
          </w:p>
        </w:tc>
        <w:tc>
          <w:tcPr>
            <w:tcW w:w="340" w:type="dxa"/>
            <w:shd w:val="clear" w:color="auto" w:fill="auto"/>
          </w:tcPr>
          <w:p w14:paraId="0C890ED0" w14:textId="77777777" w:rsidR="00302BFE" w:rsidRPr="00902601" w:rsidRDefault="00302BFE" w:rsidP="00243B15">
            <w:pPr>
              <w:rPr>
                <w:highlight w:val="green"/>
                <w:lang w:val="en-CA"/>
              </w:rPr>
            </w:pPr>
          </w:p>
        </w:tc>
        <w:tc>
          <w:tcPr>
            <w:tcW w:w="340" w:type="dxa"/>
            <w:shd w:val="clear" w:color="auto" w:fill="auto"/>
          </w:tcPr>
          <w:p w14:paraId="010A09F3" w14:textId="77777777" w:rsidR="00302BFE" w:rsidRPr="00902601" w:rsidRDefault="00302BFE" w:rsidP="00243B15">
            <w:pPr>
              <w:rPr>
                <w:highlight w:val="green"/>
                <w:lang w:val="en-CA"/>
              </w:rPr>
            </w:pPr>
          </w:p>
        </w:tc>
        <w:tc>
          <w:tcPr>
            <w:tcW w:w="340" w:type="dxa"/>
            <w:shd w:val="clear" w:color="auto" w:fill="auto"/>
          </w:tcPr>
          <w:p w14:paraId="792C4E38" w14:textId="77777777" w:rsidR="00302BFE" w:rsidRPr="00902601" w:rsidRDefault="00302BFE" w:rsidP="00243B15">
            <w:pPr>
              <w:rPr>
                <w:highlight w:val="green"/>
                <w:lang w:val="en-CA"/>
              </w:rPr>
            </w:pPr>
          </w:p>
        </w:tc>
        <w:tc>
          <w:tcPr>
            <w:tcW w:w="340" w:type="dxa"/>
            <w:shd w:val="clear" w:color="auto" w:fill="auto"/>
          </w:tcPr>
          <w:p w14:paraId="33C1BB39" w14:textId="77777777" w:rsidR="00302BFE" w:rsidRPr="00902601" w:rsidRDefault="00302BFE" w:rsidP="00243B15">
            <w:pPr>
              <w:rPr>
                <w:highlight w:val="green"/>
                <w:lang w:val="en-CA"/>
              </w:rPr>
            </w:pPr>
          </w:p>
        </w:tc>
        <w:tc>
          <w:tcPr>
            <w:tcW w:w="340" w:type="dxa"/>
            <w:shd w:val="clear" w:color="auto" w:fill="auto"/>
          </w:tcPr>
          <w:p w14:paraId="2A3848E8" w14:textId="77777777" w:rsidR="00302BFE" w:rsidRPr="00902601" w:rsidRDefault="00302BFE" w:rsidP="00243B15">
            <w:pPr>
              <w:rPr>
                <w:highlight w:val="green"/>
                <w:lang w:val="en-CA"/>
              </w:rPr>
            </w:pPr>
          </w:p>
        </w:tc>
        <w:tc>
          <w:tcPr>
            <w:tcW w:w="340" w:type="dxa"/>
            <w:shd w:val="clear" w:color="auto" w:fill="auto"/>
          </w:tcPr>
          <w:p w14:paraId="4C51C5E5" w14:textId="77777777" w:rsidR="00302BFE" w:rsidRPr="00902601" w:rsidRDefault="00302BFE" w:rsidP="00243B15">
            <w:pPr>
              <w:rPr>
                <w:highlight w:val="green"/>
                <w:lang w:val="en-CA"/>
              </w:rPr>
            </w:pPr>
          </w:p>
        </w:tc>
        <w:tc>
          <w:tcPr>
            <w:tcW w:w="340" w:type="dxa"/>
            <w:shd w:val="clear" w:color="auto" w:fill="auto"/>
          </w:tcPr>
          <w:p w14:paraId="7821C552" w14:textId="77777777" w:rsidR="00302BFE" w:rsidRPr="00902601" w:rsidRDefault="00302BFE" w:rsidP="00243B15">
            <w:pPr>
              <w:rPr>
                <w:highlight w:val="green"/>
                <w:lang w:val="en-CA"/>
              </w:rPr>
            </w:pPr>
          </w:p>
        </w:tc>
        <w:tc>
          <w:tcPr>
            <w:tcW w:w="340" w:type="dxa"/>
            <w:shd w:val="clear" w:color="auto" w:fill="auto"/>
          </w:tcPr>
          <w:p w14:paraId="429BC08B" w14:textId="77777777" w:rsidR="00302BFE" w:rsidRPr="00902601" w:rsidRDefault="00302BFE" w:rsidP="00243B15">
            <w:pPr>
              <w:rPr>
                <w:highlight w:val="green"/>
                <w:lang w:val="en-CA"/>
              </w:rPr>
            </w:pPr>
          </w:p>
        </w:tc>
        <w:tc>
          <w:tcPr>
            <w:tcW w:w="340" w:type="dxa"/>
            <w:shd w:val="clear" w:color="auto" w:fill="auto"/>
          </w:tcPr>
          <w:p w14:paraId="6C3661BF" w14:textId="77777777" w:rsidR="00302BFE" w:rsidRPr="00902601" w:rsidRDefault="00302BFE" w:rsidP="00243B15">
            <w:pPr>
              <w:rPr>
                <w:highlight w:val="green"/>
                <w:lang w:val="en-CA"/>
              </w:rPr>
            </w:pPr>
          </w:p>
        </w:tc>
        <w:tc>
          <w:tcPr>
            <w:tcW w:w="340" w:type="dxa"/>
            <w:shd w:val="clear" w:color="auto" w:fill="auto"/>
          </w:tcPr>
          <w:p w14:paraId="7D50C0A3" w14:textId="77777777" w:rsidR="00302BFE" w:rsidRPr="00902601" w:rsidRDefault="00302BFE" w:rsidP="00243B15">
            <w:pPr>
              <w:rPr>
                <w:highlight w:val="green"/>
                <w:lang w:val="en-CA"/>
              </w:rPr>
            </w:pPr>
          </w:p>
        </w:tc>
      </w:tr>
      <w:tr w:rsidR="00755BF9" w:rsidRPr="00902601" w14:paraId="13C05D86" w14:textId="77777777" w:rsidTr="00755BF9">
        <w:trPr>
          <w:jc w:val="center"/>
        </w:trPr>
        <w:tc>
          <w:tcPr>
            <w:tcW w:w="5670" w:type="dxa"/>
            <w:shd w:val="clear" w:color="auto" w:fill="auto"/>
          </w:tcPr>
          <w:p w14:paraId="4843B108" w14:textId="77777777" w:rsidR="00302BFE" w:rsidRPr="00902601" w:rsidRDefault="00302BFE" w:rsidP="00243B15">
            <w:pPr>
              <w:rPr>
                <w:sz w:val="16"/>
                <w:szCs w:val="16"/>
                <w:highlight w:val="green"/>
                <w:lang w:val="en-CA"/>
              </w:rPr>
            </w:pPr>
            <w:r w:rsidRPr="00902601">
              <w:rPr>
                <w:sz w:val="16"/>
                <w:szCs w:val="16"/>
                <w:highlight w:val="green"/>
                <w:lang w:val="en-GB"/>
              </w:rPr>
              <w:t>Output 1.2 The territorial planning tool is adopted as a spatial planning methodology</w:t>
            </w:r>
          </w:p>
        </w:tc>
        <w:tc>
          <w:tcPr>
            <w:tcW w:w="340" w:type="dxa"/>
            <w:shd w:val="clear" w:color="auto" w:fill="auto"/>
          </w:tcPr>
          <w:p w14:paraId="67EB5A91" w14:textId="77777777" w:rsidR="00302BFE" w:rsidRPr="00902601" w:rsidRDefault="00302BFE" w:rsidP="00243B15">
            <w:pPr>
              <w:rPr>
                <w:highlight w:val="green"/>
                <w:lang w:val="en-CA"/>
              </w:rPr>
            </w:pPr>
          </w:p>
        </w:tc>
        <w:tc>
          <w:tcPr>
            <w:tcW w:w="340" w:type="dxa"/>
            <w:shd w:val="clear" w:color="auto" w:fill="auto"/>
          </w:tcPr>
          <w:p w14:paraId="4AFE64A3" w14:textId="77777777" w:rsidR="00302BFE" w:rsidRPr="00902601" w:rsidRDefault="00302BFE" w:rsidP="00243B15">
            <w:pPr>
              <w:rPr>
                <w:highlight w:val="green"/>
                <w:lang w:val="en-CA"/>
              </w:rPr>
            </w:pPr>
          </w:p>
        </w:tc>
        <w:tc>
          <w:tcPr>
            <w:tcW w:w="340" w:type="dxa"/>
            <w:shd w:val="clear" w:color="auto" w:fill="auto"/>
          </w:tcPr>
          <w:p w14:paraId="1C6793A3"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4C97A690" w14:textId="77777777" w:rsidR="00302BFE" w:rsidRPr="00902601" w:rsidRDefault="00302BFE" w:rsidP="00243B15">
            <w:pPr>
              <w:rPr>
                <w:highlight w:val="green"/>
                <w:lang w:val="en-CA"/>
              </w:rPr>
            </w:pPr>
          </w:p>
        </w:tc>
        <w:tc>
          <w:tcPr>
            <w:tcW w:w="340" w:type="dxa"/>
            <w:shd w:val="clear" w:color="auto" w:fill="D9D9D9"/>
          </w:tcPr>
          <w:p w14:paraId="70DDADB0" w14:textId="77777777" w:rsidR="00302BFE" w:rsidRPr="00902601" w:rsidRDefault="00302BFE" w:rsidP="00243B15">
            <w:pPr>
              <w:rPr>
                <w:highlight w:val="green"/>
                <w:lang w:val="en-CA"/>
              </w:rPr>
            </w:pPr>
          </w:p>
        </w:tc>
        <w:tc>
          <w:tcPr>
            <w:tcW w:w="340" w:type="dxa"/>
            <w:shd w:val="clear" w:color="auto" w:fill="D9D9D9"/>
          </w:tcPr>
          <w:p w14:paraId="035D2ECE" w14:textId="77777777" w:rsidR="00302BFE" w:rsidRPr="00902601" w:rsidRDefault="00302BFE" w:rsidP="00243B15">
            <w:pPr>
              <w:rPr>
                <w:highlight w:val="green"/>
                <w:lang w:val="en-CA"/>
              </w:rPr>
            </w:pPr>
          </w:p>
        </w:tc>
        <w:tc>
          <w:tcPr>
            <w:tcW w:w="340" w:type="dxa"/>
            <w:shd w:val="clear" w:color="auto" w:fill="D9D9D9"/>
          </w:tcPr>
          <w:p w14:paraId="28D93DAC" w14:textId="77777777" w:rsidR="00302BFE" w:rsidRPr="00902601" w:rsidRDefault="00302BFE" w:rsidP="00243B15">
            <w:pPr>
              <w:rPr>
                <w:highlight w:val="green"/>
                <w:lang w:val="en-CA"/>
              </w:rPr>
            </w:pPr>
          </w:p>
        </w:tc>
        <w:tc>
          <w:tcPr>
            <w:tcW w:w="340" w:type="dxa"/>
            <w:shd w:val="clear" w:color="auto" w:fill="D9D9D9"/>
          </w:tcPr>
          <w:p w14:paraId="311FC91A" w14:textId="77777777" w:rsidR="00302BFE" w:rsidRPr="00902601" w:rsidRDefault="00302BFE" w:rsidP="00243B15">
            <w:pPr>
              <w:rPr>
                <w:highlight w:val="green"/>
                <w:lang w:val="en-CA"/>
              </w:rPr>
            </w:pPr>
          </w:p>
        </w:tc>
        <w:tc>
          <w:tcPr>
            <w:tcW w:w="340" w:type="dxa"/>
            <w:shd w:val="clear" w:color="auto" w:fill="auto"/>
          </w:tcPr>
          <w:p w14:paraId="2B72A737" w14:textId="77777777" w:rsidR="00302BFE" w:rsidRPr="00902601" w:rsidRDefault="00302BFE" w:rsidP="00243B15">
            <w:pPr>
              <w:rPr>
                <w:highlight w:val="green"/>
                <w:lang w:val="en-CA"/>
              </w:rPr>
            </w:pPr>
          </w:p>
        </w:tc>
        <w:tc>
          <w:tcPr>
            <w:tcW w:w="340" w:type="dxa"/>
            <w:shd w:val="clear" w:color="auto" w:fill="auto"/>
          </w:tcPr>
          <w:p w14:paraId="6885A85E" w14:textId="77777777" w:rsidR="00302BFE" w:rsidRPr="00902601" w:rsidRDefault="00302BFE" w:rsidP="00243B15">
            <w:pPr>
              <w:rPr>
                <w:highlight w:val="green"/>
                <w:lang w:val="en-CA"/>
              </w:rPr>
            </w:pPr>
          </w:p>
        </w:tc>
        <w:tc>
          <w:tcPr>
            <w:tcW w:w="340" w:type="dxa"/>
            <w:shd w:val="clear" w:color="auto" w:fill="auto"/>
          </w:tcPr>
          <w:p w14:paraId="6A99119C"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0D458A5B" w14:textId="77777777" w:rsidR="00302BFE" w:rsidRPr="00902601" w:rsidRDefault="00302BFE" w:rsidP="00243B15">
            <w:pPr>
              <w:rPr>
                <w:highlight w:val="green"/>
                <w:lang w:val="en-CA"/>
              </w:rPr>
            </w:pPr>
          </w:p>
        </w:tc>
        <w:tc>
          <w:tcPr>
            <w:tcW w:w="340" w:type="dxa"/>
            <w:shd w:val="clear" w:color="auto" w:fill="auto"/>
          </w:tcPr>
          <w:p w14:paraId="3FD98220" w14:textId="77777777" w:rsidR="00302BFE" w:rsidRPr="00902601" w:rsidRDefault="00302BFE" w:rsidP="00243B15">
            <w:pPr>
              <w:rPr>
                <w:highlight w:val="green"/>
                <w:lang w:val="en-CA"/>
              </w:rPr>
            </w:pPr>
          </w:p>
        </w:tc>
        <w:tc>
          <w:tcPr>
            <w:tcW w:w="340" w:type="dxa"/>
            <w:shd w:val="clear" w:color="auto" w:fill="auto"/>
          </w:tcPr>
          <w:p w14:paraId="1661E0E4" w14:textId="77777777" w:rsidR="00302BFE" w:rsidRPr="00902601" w:rsidRDefault="00302BFE" w:rsidP="00243B15">
            <w:pPr>
              <w:rPr>
                <w:highlight w:val="green"/>
                <w:lang w:val="en-CA"/>
              </w:rPr>
            </w:pPr>
          </w:p>
        </w:tc>
        <w:tc>
          <w:tcPr>
            <w:tcW w:w="340" w:type="dxa"/>
            <w:shd w:val="clear" w:color="auto" w:fill="auto"/>
          </w:tcPr>
          <w:p w14:paraId="43FD4772" w14:textId="77777777" w:rsidR="00302BFE" w:rsidRPr="00902601" w:rsidRDefault="00302BFE" w:rsidP="00243B15">
            <w:pPr>
              <w:rPr>
                <w:highlight w:val="green"/>
                <w:lang w:val="en-CA"/>
              </w:rPr>
            </w:pPr>
          </w:p>
        </w:tc>
        <w:tc>
          <w:tcPr>
            <w:tcW w:w="340" w:type="dxa"/>
            <w:shd w:val="clear" w:color="auto" w:fill="auto"/>
          </w:tcPr>
          <w:p w14:paraId="66AAB83A" w14:textId="77777777" w:rsidR="00302BFE" w:rsidRPr="00902601" w:rsidRDefault="00302BFE" w:rsidP="00243B15">
            <w:pPr>
              <w:rPr>
                <w:highlight w:val="green"/>
                <w:lang w:val="en-CA"/>
              </w:rPr>
            </w:pPr>
          </w:p>
        </w:tc>
        <w:tc>
          <w:tcPr>
            <w:tcW w:w="340" w:type="dxa"/>
            <w:shd w:val="clear" w:color="auto" w:fill="auto"/>
          </w:tcPr>
          <w:p w14:paraId="3E6A84C7" w14:textId="77777777" w:rsidR="00302BFE" w:rsidRPr="00902601" w:rsidRDefault="00302BFE" w:rsidP="00243B15">
            <w:pPr>
              <w:rPr>
                <w:highlight w:val="green"/>
                <w:lang w:val="en-CA"/>
              </w:rPr>
            </w:pPr>
          </w:p>
        </w:tc>
        <w:tc>
          <w:tcPr>
            <w:tcW w:w="340" w:type="dxa"/>
            <w:shd w:val="clear" w:color="auto" w:fill="auto"/>
          </w:tcPr>
          <w:p w14:paraId="17749BDD" w14:textId="77777777" w:rsidR="00302BFE" w:rsidRPr="00902601" w:rsidRDefault="00302BFE" w:rsidP="00243B15">
            <w:pPr>
              <w:rPr>
                <w:highlight w:val="green"/>
                <w:lang w:val="en-CA"/>
              </w:rPr>
            </w:pPr>
          </w:p>
        </w:tc>
        <w:tc>
          <w:tcPr>
            <w:tcW w:w="340" w:type="dxa"/>
            <w:shd w:val="clear" w:color="auto" w:fill="auto"/>
          </w:tcPr>
          <w:p w14:paraId="6F8C3164"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704FCDCC" w14:textId="77777777" w:rsidR="00302BFE" w:rsidRPr="00902601" w:rsidRDefault="00302BFE" w:rsidP="00243B15">
            <w:pPr>
              <w:rPr>
                <w:highlight w:val="green"/>
                <w:lang w:val="en-CA"/>
              </w:rPr>
            </w:pPr>
          </w:p>
        </w:tc>
        <w:tc>
          <w:tcPr>
            <w:tcW w:w="340" w:type="dxa"/>
            <w:shd w:val="clear" w:color="auto" w:fill="auto"/>
          </w:tcPr>
          <w:p w14:paraId="409710B5" w14:textId="77777777" w:rsidR="00302BFE" w:rsidRPr="00902601" w:rsidRDefault="00302BFE" w:rsidP="00243B15">
            <w:pPr>
              <w:rPr>
                <w:highlight w:val="green"/>
                <w:lang w:val="en-CA"/>
              </w:rPr>
            </w:pPr>
          </w:p>
        </w:tc>
        <w:tc>
          <w:tcPr>
            <w:tcW w:w="340" w:type="dxa"/>
            <w:shd w:val="clear" w:color="auto" w:fill="auto"/>
          </w:tcPr>
          <w:p w14:paraId="7E68C47F" w14:textId="77777777" w:rsidR="00302BFE" w:rsidRPr="00902601" w:rsidRDefault="00302BFE" w:rsidP="00243B15">
            <w:pPr>
              <w:rPr>
                <w:highlight w:val="green"/>
                <w:lang w:val="en-CA"/>
              </w:rPr>
            </w:pPr>
          </w:p>
        </w:tc>
        <w:tc>
          <w:tcPr>
            <w:tcW w:w="340" w:type="dxa"/>
            <w:shd w:val="clear" w:color="auto" w:fill="auto"/>
          </w:tcPr>
          <w:p w14:paraId="144726B0" w14:textId="77777777" w:rsidR="00302BFE" w:rsidRPr="00902601" w:rsidRDefault="00302BFE" w:rsidP="00243B15">
            <w:pPr>
              <w:rPr>
                <w:highlight w:val="green"/>
                <w:lang w:val="en-CA"/>
              </w:rPr>
            </w:pPr>
          </w:p>
        </w:tc>
        <w:tc>
          <w:tcPr>
            <w:tcW w:w="340" w:type="dxa"/>
            <w:shd w:val="clear" w:color="auto" w:fill="auto"/>
          </w:tcPr>
          <w:p w14:paraId="08A3ECCE" w14:textId="77777777" w:rsidR="00302BFE" w:rsidRPr="00902601" w:rsidRDefault="00302BFE" w:rsidP="00243B15">
            <w:pPr>
              <w:rPr>
                <w:highlight w:val="green"/>
                <w:lang w:val="en-CA"/>
              </w:rPr>
            </w:pPr>
          </w:p>
        </w:tc>
      </w:tr>
      <w:tr w:rsidR="00755BF9" w:rsidRPr="00902601" w14:paraId="4EDDC038" w14:textId="77777777" w:rsidTr="00755BF9">
        <w:trPr>
          <w:jc w:val="center"/>
        </w:trPr>
        <w:tc>
          <w:tcPr>
            <w:tcW w:w="5670" w:type="dxa"/>
            <w:shd w:val="clear" w:color="auto" w:fill="auto"/>
          </w:tcPr>
          <w:p w14:paraId="55D0AA7B" w14:textId="77777777" w:rsidR="00302BFE" w:rsidRPr="00902601" w:rsidRDefault="00302BFE" w:rsidP="00243B15">
            <w:pPr>
              <w:rPr>
                <w:i/>
                <w:color w:val="4472C4"/>
                <w:sz w:val="16"/>
                <w:szCs w:val="16"/>
                <w:highlight w:val="green"/>
                <w:lang w:val="en-GB"/>
              </w:rPr>
            </w:pPr>
            <w:r w:rsidRPr="00902601">
              <w:rPr>
                <w:i/>
                <w:color w:val="4472C4"/>
                <w:sz w:val="16"/>
                <w:szCs w:val="16"/>
                <w:highlight w:val="green"/>
                <w:lang w:val="en-GB"/>
              </w:rPr>
              <w:t>1.2.1 Valuation of ecosystem goods and services (ES) produced by the various units of the PONASI landscape</w:t>
            </w:r>
          </w:p>
        </w:tc>
        <w:tc>
          <w:tcPr>
            <w:tcW w:w="340" w:type="dxa"/>
            <w:shd w:val="clear" w:color="auto" w:fill="auto"/>
          </w:tcPr>
          <w:p w14:paraId="4129117E" w14:textId="77777777" w:rsidR="00302BFE" w:rsidRPr="00902601" w:rsidRDefault="00302BFE" w:rsidP="00243B15">
            <w:pPr>
              <w:rPr>
                <w:highlight w:val="green"/>
                <w:lang w:val="en-CA"/>
              </w:rPr>
            </w:pPr>
          </w:p>
        </w:tc>
        <w:tc>
          <w:tcPr>
            <w:tcW w:w="340" w:type="dxa"/>
            <w:shd w:val="clear" w:color="auto" w:fill="auto"/>
          </w:tcPr>
          <w:p w14:paraId="5F90DC53" w14:textId="77777777" w:rsidR="00302BFE" w:rsidRPr="00902601" w:rsidRDefault="00302BFE" w:rsidP="00243B15">
            <w:pPr>
              <w:rPr>
                <w:highlight w:val="green"/>
                <w:lang w:val="en-CA"/>
              </w:rPr>
            </w:pPr>
          </w:p>
        </w:tc>
        <w:tc>
          <w:tcPr>
            <w:tcW w:w="340" w:type="dxa"/>
            <w:shd w:val="clear" w:color="auto" w:fill="auto"/>
          </w:tcPr>
          <w:p w14:paraId="536135EA"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535E4313" w14:textId="77777777" w:rsidR="00302BFE" w:rsidRPr="00902601" w:rsidRDefault="00302BFE" w:rsidP="00243B15">
            <w:pPr>
              <w:rPr>
                <w:highlight w:val="green"/>
                <w:lang w:val="en-CA"/>
              </w:rPr>
            </w:pPr>
          </w:p>
        </w:tc>
        <w:tc>
          <w:tcPr>
            <w:tcW w:w="340" w:type="dxa"/>
            <w:shd w:val="clear" w:color="auto" w:fill="D9D9D9"/>
          </w:tcPr>
          <w:p w14:paraId="62400D69" w14:textId="77777777" w:rsidR="00302BFE" w:rsidRPr="00902601" w:rsidRDefault="00302BFE" w:rsidP="00243B15">
            <w:pPr>
              <w:rPr>
                <w:highlight w:val="green"/>
                <w:lang w:val="en-CA"/>
              </w:rPr>
            </w:pPr>
          </w:p>
        </w:tc>
        <w:tc>
          <w:tcPr>
            <w:tcW w:w="340" w:type="dxa"/>
            <w:shd w:val="clear" w:color="auto" w:fill="D9D9D9"/>
          </w:tcPr>
          <w:p w14:paraId="4E4F695C" w14:textId="77777777" w:rsidR="00302BFE" w:rsidRPr="00902601" w:rsidRDefault="00302BFE" w:rsidP="00243B15">
            <w:pPr>
              <w:rPr>
                <w:highlight w:val="green"/>
                <w:lang w:val="en-CA"/>
              </w:rPr>
            </w:pPr>
          </w:p>
        </w:tc>
        <w:tc>
          <w:tcPr>
            <w:tcW w:w="340" w:type="dxa"/>
            <w:shd w:val="clear" w:color="auto" w:fill="D9D9D9"/>
          </w:tcPr>
          <w:p w14:paraId="5789BDB2" w14:textId="77777777" w:rsidR="00302BFE" w:rsidRPr="00902601" w:rsidRDefault="00302BFE" w:rsidP="00243B15">
            <w:pPr>
              <w:rPr>
                <w:highlight w:val="green"/>
                <w:lang w:val="en-CA"/>
              </w:rPr>
            </w:pPr>
          </w:p>
        </w:tc>
        <w:tc>
          <w:tcPr>
            <w:tcW w:w="340" w:type="dxa"/>
            <w:shd w:val="clear" w:color="auto" w:fill="D9D9D9"/>
          </w:tcPr>
          <w:p w14:paraId="5A3F363F" w14:textId="77777777" w:rsidR="00302BFE" w:rsidRPr="00902601" w:rsidRDefault="00302BFE" w:rsidP="00243B15">
            <w:pPr>
              <w:rPr>
                <w:highlight w:val="green"/>
                <w:lang w:val="en-CA"/>
              </w:rPr>
            </w:pPr>
          </w:p>
        </w:tc>
        <w:tc>
          <w:tcPr>
            <w:tcW w:w="340" w:type="dxa"/>
            <w:shd w:val="clear" w:color="auto" w:fill="auto"/>
          </w:tcPr>
          <w:p w14:paraId="4610EDE5" w14:textId="77777777" w:rsidR="00302BFE" w:rsidRPr="00902601" w:rsidRDefault="00302BFE" w:rsidP="00243B15">
            <w:pPr>
              <w:rPr>
                <w:highlight w:val="green"/>
                <w:lang w:val="en-CA"/>
              </w:rPr>
            </w:pPr>
          </w:p>
        </w:tc>
        <w:tc>
          <w:tcPr>
            <w:tcW w:w="340" w:type="dxa"/>
            <w:shd w:val="clear" w:color="auto" w:fill="auto"/>
          </w:tcPr>
          <w:p w14:paraId="12835052" w14:textId="77777777" w:rsidR="00302BFE" w:rsidRPr="00902601" w:rsidRDefault="00302BFE" w:rsidP="00243B15">
            <w:pPr>
              <w:rPr>
                <w:highlight w:val="green"/>
                <w:lang w:val="en-CA"/>
              </w:rPr>
            </w:pPr>
          </w:p>
        </w:tc>
        <w:tc>
          <w:tcPr>
            <w:tcW w:w="340" w:type="dxa"/>
            <w:shd w:val="clear" w:color="auto" w:fill="auto"/>
          </w:tcPr>
          <w:p w14:paraId="52AD235E"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5732B539" w14:textId="77777777" w:rsidR="00302BFE" w:rsidRPr="00902601" w:rsidRDefault="00302BFE" w:rsidP="00243B15">
            <w:pPr>
              <w:rPr>
                <w:highlight w:val="green"/>
                <w:lang w:val="en-CA"/>
              </w:rPr>
            </w:pPr>
          </w:p>
        </w:tc>
        <w:tc>
          <w:tcPr>
            <w:tcW w:w="340" w:type="dxa"/>
            <w:shd w:val="clear" w:color="auto" w:fill="auto"/>
          </w:tcPr>
          <w:p w14:paraId="4F5F3102" w14:textId="77777777" w:rsidR="00302BFE" w:rsidRPr="00902601" w:rsidRDefault="00302BFE" w:rsidP="00243B15">
            <w:pPr>
              <w:rPr>
                <w:highlight w:val="green"/>
                <w:lang w:val="en-CA"/>
              </w:rPr>
            </w:pPr>
          </w:p>
        </w:tc>
        <w:tc>
          <w:tcPr>
            <w:tcW w:w="340" w:type="dxa"/>
            <w:shd w:val="clear" w:color="auto" w:fill="auto"/>
          </w:tcPr>
          <w:p w14:paraId="11E809BF" w14:textId="77777777" w:rsidR="00302BFE" w:rsidRPr="00902601" w:rsidRDefault="00302BFE" w:rsidP="00243B15">
            <w:pPr>
              <w:rPr>
                <w:highlight w:val="green"/>
                <w:lang w:val="en-CA"/>
              </w:rPr>
            </w:pPr>
          </w:p>
        </w:tc>
        <w:tc>
          <w:tcPr>
            <w:tcW w:w="340" w:type="dxa"/>
            <w:shd w:val="clear" w:color="auto" w:fill="auto"/>
          </w:tcPr>
          <w:p w14:paraId="0DCAAD12" w14:textId="77777777" w:rsidR="00302BFE" w:rsidRPr="00902601" w:rsidRDefault="00302BFE" w:rsidP="00243B15">
            <w:pPr>
              <w:rPr>
                <w:highlight w:val="green"/>
                <w:lang w:val="en-CA"/>
              </w:rPr>
            </w:pPr>
          </w:p>
        </w:tc>
        <w:tc>
          <w:tcPr>
            <w:tcW w:w="340" w:type="dxa"/>
            <w:shd w:val="clear" w:color="auto" w:fill="auto"/>
          </w:tcPr>
          <w:p w14:paraId="335E465C" w14:textId="77777777" w:rsidR="00302BFE" w:rsidRPr="00902601" w:rsidRDefault="00302BFE" w:rsidP="00243B15">
            <w:pPr>
              <w:rPr>
                <w:highlight w:val="green"/>
                <w:lang w:val="en-CA"/>
              </w:rPr>
            </w:pPr>
          </w:p>
        </w:tc>
        <w:tc>
          <w:tcPr>
            <w:tcW w:w="340" w:type="dxa"/>
            <w:shd w:val="clear" w:color="auto" w:fill="auto"/>
          </w:tcPr>
          <w:p w14:paraId="42BE0174" w14:textId="77777777" w:rsidR="00302BFE" w:rsidRPr="00902601" w:rsidRDefault="00302BFE" w:rsidP="00243B15">
            <w:pPr>
              <w:rPr>
                <w:highlight w:val="green"/>
                <w:lang w:val="en-CA"/>
              </w:rPr>
            </w:pPr>
          </w:p>
        </w:tc>
        <w:tc>
          <w:tcPr>
            <w:tcW w:w="340" w:type="dxa"/>
            <w:shd w:val="clear" w:color="auto" w:fill="auto"/>
          </w:tcPr>
          <w:p w14:paraId="0E4A844E" w14:textId="77777777" w:rsidR="00302BFE" w:rsidRPr="00902601" w:rsidRDefault="00302BFE" w:rsidP="00243B15">
            <w:pPr>
              <w:rPr>
                <w:highlight w:val="green"/>
                <w:lang w:val="en-CA"/>
              </w:rPr>
            </w:pPr>
          </w:p>
        </w:tc>
        <w:tc>
          <w:tcPr>
            <w:tcW w:w="340" w:type="dxa"/>
            <w:shd w:val="clear" w:color="auto" w:fill="auto"/>
          </w:tcPr>
          <w:p w14:paraId="5BC24A8C"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47B2CF20" w14:textId="77777777" w:rsidR="00302BFE" w:rsidRPr="00902601" w:rsidRDefault="00302BFE" w:rsidP="00243B15">
            <w:pPr>
              <w:rPr>
                <w:highlight w:val="green"/>
                <w:lang w:val="en-CA"/>
              </w:rPr>
            </w:pPr>
          </w:p>
        </w:tc>
        <w:tc>
          <w:tcPr>
            <w:tcW w:w="340" w:type="dxa"/>
            <w:shd w:val="clear" w:color="auto" w:fill="auto"/>
          </w:tcPr>
          <w:p w14:paraId="31C0D88A" w14:textId="77777777" w:rsidR="00302BFE" w:rsidRPr="00902601" w:rsidRDefault="00302BFE" w:rsidP="00243B15">
            <w:pPr>
              <w:rPr>
                <w:highlight w:val="green"/>
                <w:lang w:val="en-CA"/>
              </w:rPr>
            </w:pPr>
          </w:p>
        </w:tc>
        <w:tc>
          <w:tcPr>
            <w:tcW w:w="340" w:type="dxa"/>
            <w:shd w:val="clear" w:color="auto" w:fill="auto"/>
          </w:tcPr>
          <w:p w14:paraId="4E3FFEC6" w14:textId="77777777" w:rsidR="00302BFE" w:rsidRPr="00902601" w:rsidRDefault="00302BFE" w:rsidP="00243B15">
            <w:pPr>
              <w:rPr>
                <w:highlight w:val="green"/>
                <w:lang w:val="en-CA"/>
              </w:rPr>
            </w:pPr>
          </w:p>
        </w:tc>
        <w:tc>
          <w:tcPr>
            <w:tcW w:w="340" w:type="dxa"/>
            <w:shd w:val="clear" w:color="auto" w:fill="auto"/>
          </w:tcPr>
          <w:p w14:paraId="081DC734" w14:textId="77777777" w:rsidR="00302BFE" w:rsidRPr="00902601" w:rsidRDefault="00302BFE" w:rsidP="00243B15">
            <w:pPr>
              <w:rPr>
                <w:highlight w:val="green"/>
                <w:lang w:val="en-CA"/>
              </w:rPr>
            </w:pPr>
          </w:p>
        </w:tc>
        <w:tc>
          <w:tcPr>
            <w:tcW w:w="340" w:type="dxa"/>
            <w:shd w:val="clear" w:color="auto" w:fill="auto"/>
          </w:tcPr>
          <w:p w14:paraId="796FBE20" w14:textId="77777777" w:rsidR="00302BFE" w:rsidRPr="00902601" w:rsidRDefault="00302BFE" w:rsidP="00243B15">
            <w:pPr>
              <w:rPr>
                <w:highlight w:val="green"/>
                <w:lang w:val="en-CA"/>
              </w:rPr>
            </w:pPr>
          </w:p>
        </w:tc>
      </w:tr>
      <w:tr w:rsidR="00755BF9" w:rsidRPr="00902601" w14:paraId="25B822A3" w14:textId="77777777" w:rsidTr="00755BF9">
        <w:trPr>
          <w:jc w:val="center"/>
        </w:trPr>
        <w:tc>
          <w:tcPr>
            <w:tcW w:w="5670" w:type="dxa"/>
            <w:shd w:val="clear" w:color="auto" w:fill="auto"/>
          </w:tcPr>
          <w:p w14:paraId="2C240215" w14:textId="77777777" w:rsidR="00302BFE" w:rsidRPr="00902601" w:rsidRDefault="00302BFE" w:rsidP="00243B15">
            <w:pPr>
              <w:rPr>
                <w:i/>
                <w:color w:val="4472C4"/>
                <w:sz w:val="16"/>
                <w:szCs w:val="16"/>
                <w:highlight w:val="green"/>
                <w:lang w:val="en-GB"/>
              </w:rPr>
            </w:pPr>
            <w:r w:rsidRPr="00902601">
              <w:rPr>
                <w:i/>
                <w:color w:val="4472C4"/>
                <w:sz w:val="16"/>
                <w:szCs w:val="16"/>
                <w:highlight w:val="green"/>
                <w:lang w:val="en-GB"/>
              </w:rPr>
              <w:t>1.2.2 Establishment of a consolidated environment information system to support the environmental land use planning process</w:t>
            </w:r>
          </w:p>
        </w:tc>
        <w:tc>
          <w:tcPr>
            <w:tcW w:w="340" w:type="dxa"/>
            <w:shd w:val="clear" w:color="auto" w:fill="auto"/>
          </w:tcPr>
          <w:p w14:paraId="7C709C05" w14:textId="77777777" w:rsidR="00302BFE" w:rsidRPr="00902601" w:rsidRDefault="00302BFE" w:rsidP="00243B15">
            <w:pPr>
              <w:rPr>
                <w:highlight w:val="green"/>
                <w:lang w:val="en-CA"/>
              </w:rPr>
            </w:pPr>
          </w:p>
        </w:tc>
        <w:tc>
          <w:tcPr>
            <w:tcW w:w="340" w:type="dxa"/>
            <w:shd w:val="clear" w:color="auto" w:fill="auto"/>
          </w:tcPr>
          <w:p w14:paraId="071E5518" w14:textId="77777777" w:rsidR="00302BFE" w:rsidRPr="00902601" w:rsidRDefault="00302BFE" w:rsidP="00243B15">
            <w:pPr>
              <w:rPr>
                <w:highlight w:val="green"/>
                <w:lang w:val="en-CA"/>
              </w:rPr>
            </w:pPr>
          </w:p>
        </w:tc>
        <w:tc>
          <w:tcPr>
            <w:tcW w:w="340" w:type="dxa"/>
            <w:shd w:val="clear" w:color="auto" w:fill="D9D9D9"/>
          </w:tcPr>
          <w:p w14:paraId="31B33523"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430A5B21" w14:textId="77777777" w:rsidR="00302BFE" w:rsidRPr="00902601" w:rsidRDefault="00302BFE" w:rsidP="00243B15">
            <w:pPr>
              <w:rPr>
                <w:highlight w:val="green"/>
                <w:lang w:val="en-CA"/>
              </w:rPr>
            </w:pPr>
          </w:p>
        </w:tc>
        <w:tc>
          <w:tcPr>
            <w:tcW w:w="340" w:type="dxa"/>
            <w:shd w:val="clear" w:color="auto" w:fill="D9D9D9"/>
          </w:tcPr>
          <w:p w14:paraId="7F56CB8A" w14:textId="77777777" w:rsidR="00302BFE" w:rsidRPr="00902601" w:rsidRDefault="00302BFE" w:rsidP="00243B15">
            <w:pPr>
              <w:rPr>
                <w:highlight w:val="green"/>
                <w:lang w:val="en-CA"/>
              </w:rPr>
            </w:pPr>
          </w:p>
        </w:tc>
        <w:tc>
          <w:tcPr>
            <w:tcW w:w="340" w:type="dxa"/>
            <w:shd w:val="clear" w:color="auto" w:fill="D9D9D9"/>
          </w:tcPr>
          <w:p w14:paraId="3FCB6312" w14:textId="77777777" w:rsidR="00302BFE" w:rsidRPr="00902601" w:rsidRDefault="00302BFE" w:rsidP="00243B15">
            <w:pPr>
              <w:rPr>
                <w:highlight w:val="green"/>
                <w:lang w:val="en-CA"/>
              </w:rPr>
            </w:pPr>
          </w:p>
        </w:tc>
        <w:tc>
          <w:tcPr>
            <w:tcW w:w="340" w:type="dxa"/>
            <w:shd w:val="clear" w:color="auto" w:fill="auto"/>
          </w:tcPr>
          <w:p w14:paraId="78A47FC7" w14:textId="77777777" w:rsidR="00302BFE" w:rsidRPr="00902601" w:rsidRDefault="00302BFE" w:rsidP="00243B15">
            <w:pPr>
              <w:rPr>
                <w:highlight w:val="green"/>
                <w:lang w:val="en-CA"/>
              </w:rPr>
            </w:pPr>
          </w:p>
        </w:tc>
        <w:tc>
          <w:tcPr>
            <w:tcW w:w="340" w:type="dxa"/>
            <w:shd w:val="clear" w:color="auto" w:fill="auto"/>
          </w:tcPr>
          <w:p w14:paraId="59C6F81E" w14:textId="77777777" w:rsidR="00302BFE" w:rsidRPr="00902601" w:rsidRDefault="00302BFE" w:rsidP="00243B15">
            <w:pPr>
              <w:rPr>
                <w:highlight w:val="green"/>
                <w:lang w:val="en-CA"/>
              </w:rPr>
            </w:pPr>
          </w:p>
        </w:tc>
        <w:tc>
          <w:tcPr>
            <w:tcW w:w="340" w:type="dxa"/>
            <w:shd w:val="clear" w:color="auto" w:fill="auto"/>
          </w:tcPr>
          <w:p w14:paraId="4129766F" w14:textId="77777777" w:rsidR="00302BFE" w:rsidRPr="00902601" w:rsidRDefault="00302BFE" w:rsidP="00243B15">
            <w:pPr>
              <w:rPr>
                <w:highlight w:val="green"/>
                <w:lang w:val="en-CA"/>
              </w:rPr>
            </w:pPr>
          </w:p>
        </w:tc>
        <w:tc>
          <w:tcPr>
            <w:tcW w:w="340" w:type="dxa"/>
            <w:shd w:val="clear" w:color="auto" w:fill="auto"/>
          </w:tcPr>
          <w:p w14:paraId="6EB14A80" w14:textId="77777777" w:rsidR="00302BFE" w:rsidRPr="00902601" w:rsidRDefault="00302BFE" w:rsidP="00243B15">
            <w:pPr>
              <w:rPr>
                <w:highlight w:val="green"/>
                <w:lang w:val="en-CA"/>
              </w:rPr>
            </w:pPr>
          </w:p>
        </w:tc>
        <w:tc>
          <w:tcPr>
            <w:tcW w:w="340" w:type="dxa"/>
            <w:shd w:val="clear" w:color="auto" w:fill="auto"/>
          </w:tcPr>
          <w:p w14:paraId="228409F6"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3E7EE6C7" w14:textId="77777777" w:rsidR="00302BFE" w:rsidRPr="00902601" w:rsidRDefault="00302BFE" w:rsidP="00243B15">
            <w:pPr>
              <w:rPr>
                <w:highlight w:val="green"/>
                <w:lang w:val="en-CA"/>
              </w:rPr>
            </w:pPr>
          </w:p>
        </w:tc>
        <w:tc>
          <w:tcPr>
            <w:tcW w:w="340" w:type="dxa"/>
            <w:shd w:val="clear" w:color="auto" w:fill="auto"/>
          </w:tcPr>
          <w:p w14:paraId="256833EA" w14:textId="77777777" w:rsidR="00302BFE" w:rsidRPr="00902601" w:rsidRDefault="00302BFE" w:rsidP="00243B15">
            <w:pPr>
              <w:rPr>
                <w:highlight w:val="green"/>
                <w:lang w:val="en-CA"/>
              </w:rPr>
            </w:pPr>
          </w:p>
        </w:tc>
        <w:tc>
          <w:tcPr>
            <w:tcW w:w="340" w:type="dxa"/>
            <w:shd w:val="clear" w:color="auto" w:fill="auto"/>
          </w:tcPr>
          <w:p w14:paraId="299C66C2" w14:textId="77777777" w:rsidR="00302BFE" w:rsidRPr="00902601" w:rsidRDefault="00302BFE" w:rsidP="00243B15">
            <w:pPr>
              <w:rPr>
                <w:highlight w:val="green"/>
                <w:lang w:val="en-CA"/>
              </w:rPr>
            </w:pPr>
          </w:p>
        </w:tc>
        <w:tc>
          <w:tcPr>
            <w:tcW w:w="340" w:type="dxa"/>
            <w:shd w:val="clear" w:color="auto" w:fill="auto"/>
          </w:tcPr>
          <w:p w14:paraId="701EF6A4" w14:textId="77777777" w:rsidR="00302BFE" w:rsidRPr="00902601" w:rsidRDefault="00302BFE" w:rsidP="00243B15">
            <w:pPr>
              <w:rPr>
                <w:highlight w:val="green"/>
                <w:lang w:val="en-CA"/>
              </w:rPr>
            </w:pPr>
          </w:p>
        </w:tc>
        <w:tc>
          <w:tcPr>
            <w:tcW w:w="340" w:type="dxa"/>
            <w:shd w:val="clear" w:color="auto" w:fill="auto"/>
          </w:tcPr>
          <w:p w14:paraId="6EE8ED6F" w14:textId="77777777" w:rsidR="00302BFE" w:rsidRPr="00902601" w:rsidRDefault="00302BFE" w:rsidP="00243B15">
            <w:pPr>
              <w:rPr>
                <w:highlight w:val="green"/>
                <w:lang w:val="en-CA"/>
              </w:rPr>
            </w:pPr>
          </w:p>
        </w:tc>
        <w:tc>
          <w:tcPr>
            <w:tcW w:w="340" w:type="dxa"/>
            <w:shd w:val="clear" w:color="auto" w:fill="auto"/>
          </w:tcPr>
          <w:p w14:paraId="78E99EE7" w14:textId="77777777" w:rsidR="00302BFE" w:rsidRPr="00902601" w:rsidRDefault="00302BFE" w:rsidP="00243B15">
            <w:pPr>
              <w:rPr>
                <w:highlight w:val="green"/>
                <w:lang w:val="en-CA"/>
              </w:rPr>
            </w:pPr>
          </w:p>
        </w:tc>
        <w:tc>
          <w:tcPr>
            <w:tcW w:w="340" w:type="dxa"/>
            <w:shd w:val="clear" w:color="auto" w:fill="auto"/>
          </w:tcPr>
          <w:p w14:paraId="3581ED31" w14:textId="77777777" w:rsidR="00302BFE" w:rsidRPr="00902601" w:rsidRDefault="00302BFE" w:rsidP="00243B15">
            <w:pPr>
              <w:rPr>
                <w:highlight w:val="green"/>
                <w:lang w:val="en-CA"/>
              </w:rPr>
            </w:pPr>
          </w:p>
        </w:tc>
        <w:tc>
          <w:tcPr>
            <w:tcW w:w="340" w:type="dxa"/>
            <w:shd w:val="clear" w:color="auto" w:fill="auto"/>
          </w:tcPr>
          <w:p w14:paraId="54755295"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33EDF98B" w14:textId="77777777" w:rsidR="00302BFE" w:rsidRPr="00902601" w:rsidRDefault="00302BFE" w:rsidP="00243B15">
            <w:pPr>
              <w:rPr>
                <w:highlight w:val="green"/>
                <w:lang w:val="en-CA"/>
              </w:rPr>
            </w:pPr>
          </w:p>
        </w:tc>
        <w:tc>
          <w:tcPr>
            <w:tcW w:w="340" w:type="dxa"/>
            <w:shd w:val="clear" w:color="auto" w:fill="auto"/>
          </w:tcPr>
          <w:p w14:paraId="4B8B140D" w14:textId="77777777" w:rsidR="00302BFE" w:rsidRPr="00902601" w:rsidRDefault="00302BFE" w:rsidP="00243B15">
            <w:pPr>
              <w:rPr>
                <w:highlight w:val="green"/>
                <w:lang w:val="en-CA"/>
              </w:rPr>
            </w:pPr>
          </w:p>
        </w:tc>
        <w:tc>
          <w:tcPr>
            <w:tcW w:w="340" w:type="dxa"/>
            <w:shd w:val="clear" w:color="auto" w:fill="auto"/>
          </w:tcPr>
          <w:p w14:paraId="318D064C" w14:textId="77777777" w:rsidR="00302BFE" w:rsidRPr="00902601" w:rsidRDefault="00302BFE" w:rsidP="00243B15">
            <w:pPr>
              <w:rPr>
                <w:highlight w:val="green"/>
                <w:lang w:val="en-CA"/>
              </w:rPr>
            </w:pPr>
          </w:p>
        </w:tc>
        <w:tc>
          <w:tcPr>
            <w:tcW w:w="340" w:type="dxa"/>
            <w:shd w:val="clear" w:color="auto" w:fill="auto"/>
          </w:tcPr>
          <w:p w14:paraId="0A3767B5" w14:textId="77777777" w:rsidR="00302BFE" w:rsidRPr="00902601" w:rsidRDefault="00302BFE" w:rsidP="00243B15">
            <w:pPr>
              <w:rPr>
                <w:highlight w:val="green"/>
                <w:lang w:val="en-CA"/>
              </w:rPr>
            </w:pPr>
          </w:p>
        </w:tc>
        <w:tc>
          <w:tcPr>
            <w:tcW w:w="340" w:type="dxa"/>
            <w:shd w:val="clear" w:color="auto" w:fill="auto"/>
          </w:tcPr>
          <w:p w14:paraId="0A9232EB" w14:textId="77777777" w:rsidR="00302BFE" w:rsidRPr="00902601" w:rsidRDefault="00302BFE" w:rsidP="00243B15">
            <w:pPr>
              <w:rPr>
                <w:highlight w:val="green"/>
                <w:lang w:val="en-CA"/>
              </w:rPr>
            </w:pPr>
          </w:p>
        </w:tc>
      </w:tr>
      <w:tr w:rsidR="00755BF9" w:rsidRPr="00902601" w14:paraId="7FB61261" w14:textId="77777777" w:rsidTr="00755BF9">
        <w:trPr>
          <w:jc w:val="center"/>
        </w:trPr>
        <w:tc>
          <w:tcPr>
            <w:tcW w:w="5670" w:type="dxa"/>
            <w:shd w:val="clear" w:color="auto" w:fill="auto"/>
          </w:tcPr>
          <w:p w14:paraId="241582B6" w14:textId="77777777" w:rsidR="00302BFE" w:rsidRPr="00902601" w:rsidRDefault="00302BFE" w:rsidP="00243B15">
            <w:pPr>
              <w:rPr>
                <w:i/>
                <w:color w:val="4472C4"/>
                <w:sz w:val="16"/>
                <w:szCs w:val="16"/>
                <w:highlight w:val="green"/>
                <w:lang w:val="en-GB"/>
              </w:rPr>
            </w:pPr>
            <w:r w:rsidRPr="00902601">
              <w:rPr>
                <w:i/>
                <w:color w:val="4472C4"/>
                <w:sz w:val="16"/>
                <w:szCs w:val="16"/>
                <w:highlight w:val="green"/>
                <w:lang w:val="en-GB"/>
              </w:rPr>
              <w:t>1.2.3 Criteria and standards for biodiversity conservation and sustainable land and ecosystem services management</w:t>
            </w:r>
          </w:p>
        </w:tc>
        <w:tc>
          <w:tcPr>
            <w:tcW w:w="340" w:type="dxa"/>
            <w:shd w:val="clear" w:color="auto" w:fill="auto"/>
          </w:tcPr>
          <w:p w14:paraId="68443C22" w14:textId="77777777" w:rsidR="00302BFE" w:rsidRPr="00902601" w:rsidRDefault="00302BFE" w:rsidP="00243B15">
            <w:pPr>
              <w:rPr>
                <w:highlight w:val="green"/>
                <w:lang w:val="en-CA"/>
              </w:rPr>
            </w:pPr>
          </w:p>
        </w:tc>
        <w:tc>
          <w:tcPr>
            <w:tcW w:w="340" w:type="dxa"/>
            <w:shd w:val="clear" w:color="auto" w:fill="auto"/>
          </w:tcPr>
          <w:p w14:paraId="1CC3D126" w14:textId="77777777" w:rsidR="00302BFE" w:rsidRPr="00902601" w:rsidRDefault="00302BFE" w:rsidP="00243B15">
            <w:pPr>
              <w:rPr>
                <w:highlight w:val="green"/>
                <w:lang w:val="en-CA"/>
              </w:rPr>
            </w:pPr>
          </w:p>
        </w:tc>
        <w:tc>
          <w:tcPr>
            <w:tcW w:w="340" w:type="dxa"/>
            <w:shd w:val="clear" w:color="auto" w:fill="D9D9D9"/>
          </w:tcPr>
          <w:p w14:paraId="1F3B6EC1"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4614B4AF" w14:textId="77777777" w:rsidR="00302BFE" w:rsidRPr="00902601" w:rsidRDefault="00302BFE" w:rsidP="00243B15">
            <w:pPr>
              <w:rPr>
                <w:highlight w:val="green"/>
                <w:lang w:val="en-CA"/>
              </w:rPr>
            </w:pPr>
          </w:p>
        </w:tc>
        <w:tc>
          <w:tcPr>
            <w:tcW w:w="340" w:type="dxa"/>
            <w:shd w:val="clear" w:color="auto" w:fill="auto"/>
          </w:tcPr>
          <w:p w14:paraId="23647DDC" w14:textId="77777777" w:rsidR="00302BFE" w:rsidRPr="00902601" w:rsidRDefault="00302BFE" w:rsidP="00243B15">
            <w:pPr>
              <w:rPr>
                <w:highlight w:val="green"/>
                <w:lang w:val="en-CA"/>
              </w:rPr>
            </w:pPr>
          </w:p>
        </w:tc>
        <w:tc>
          <w:tcPr>
            <w:tcW w:w="340" w:type="dxa"/>
            <w:shd w:val="clear" w:color="auto" w:fill="auto"/>
          </w:tcPr>
          <w:p w14:paraId="613D240E" w14:textId="77777777" w:rsidR="00302BFE" w:rsidRPr="00902601" w:rsidRDefault="00302BFE" w:rsidP="00243B15">
            <w:pPr>
              <w:rPr>
                <w:highlight w:val="green"/>
                <w:lang w:val="en-CA"/>
              </w:rPr>
            </w:pPr>
          </w:p>
        </w:tc>
        <w:tc>
          <w:tcPr>
            <w:tcW w:w="340" w:type="dxa"/>
            <w:shd w:val="clear" w:color="auto" w:fill="auto"/>
          </w:tcPr>
          <w:p w14:paraId="019D23B4" w14:textId="77777777" w:rsidR="00302BFE" w:rsidRPr="00902601" w:rsidRDefault="00302BFE" w:rsidP="00243B15">
            <w:pPr>
              <w:rPr>
                <w:highlight w:val="green"/>
                <w:lang w:val="en-CA"/>
              </w:rPr>
            </w:pPr>
          </w:p>
        </w:tc>
        <w:tc>
          <w:tcPr>
            <w:tcW w:w="340" w:type="dxa"/>
            <w:shd w:val="clear" w:color="auto" w:fill="auto"/>
          </w:tcPr>
          <w:p w14:paraId="046F521D" w14:textId="77777777" w:rsidR="00302BFE" w:rsidRPr="00902601" w:rsidRDefault="00302BFE" w:rsidP="00243B15">
            <w:pPr>
              <w:rPr>
                <w:highlight w:val="green"/>
                <w:lang w:val="en-CA"/>
              </w:rPr>
            </w:pPr>
          </w:p>
        </w:tc>
        <w:tc>
          <w:tcPr>
            <w:tcW w:w="340" w:type="dxa"/>
            <w:shd w:val="clear" w:color="auto" w:fill="auto"/>
          </w:tcPr>
          <w:p w14:paraId="3DADCBF9" w14:textId="77777777" w:rsidR="00302BFE" w:rsidRPr="00902601" w:rsidRDefault="00302BFE" w:rsidP="00243B15">
            <w:pPr>
              <w:rPr>
                <w:highlight w:val="green"/>
                <w:lang w:val="en-CA"/>
              </w:rPr>
            </w:pPr>
          </w:p>
        </w:tc>
        <w:tc>
          <w:tcPr>
            <w:tcW w:w="340" w:type="dxa"/>
            <w:shd w:val="clear" w:color="auto" w:fill="auto"/>
          </w:tcPr>
          <w:p w14:paraId="4F76DF96" w14:textId="77777777" w:rsidR="00302BFE" w:rsidRPr="00902601" w:rsidRDefault="00302BFE" w:rsidP="00243B15">
            <w:pPr>
              <w:rPr>
                <w:highlight w:val="green"/>
                <w:lang w:val="en-CA"/>
              </w:rPr>
            </w:pPr>
          </w:p>
        </w:tc>
        <w:tc>
          <w:tcPr>
            <w:tcW w:w="340" w:type="dxa"/>
            <w:shd w:val="clear" w:color="auto" w:fill="auto"/>
          </w:tcPr>
          <w:p w14:paraId="1E6C6D10"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40A0C40C" w14:textId="77777777" w:rsidR="00302BFE" w:rsidRPr="00902601" w:rsidRDefault="00302BFE" w:rsidP="00243B15">
            <w:pPr>
              <w:rPr>
                <w:highlight w:val="green"/>
                <w:lang w:val="en-CA"/>
              </w:rPr>
            </w:pPr>
          </w:p>
        </w:tc>
        <w:tc>
          <w:tcPr>
            <w:tcW w:w="340" w:type="dxa"/>
            <w:shd w:val="clear" w:color="auto" w:fill="auto"/>
          </w:tcPr>
          <w:p w14:paraId="728DD3E7" w14:textId="77777777" w:rsidR="00302BFE" w:rsidRPr="00902601" w:rsidRDefault="00302BFE" w:rsidP="00243B15">
            <w:pPr>
              <w:rPr>
                <w:highlight w:val="green"/>
                <w:lang w:val="en-CA"/>
              </w:rPr>
            </w:pPr>
          </w:p>
        </w:tc>
        <w:tc>
          <w:tcPr>
            <w:tcW w:w="340" w:type="dxa"/>
            <w:shd w:val="clear" w:color="auto" w:fill="auto"/>
          </w:tcPr>
          <w:p w14:paraId="46073310" w14:textId="77777777" w:rsidR="00302BFE" w:rsidRPr="00902601" w:rsidRDefault="00302BFE" w:rsidP="00243B15">
            <w:pPr>
              <w:rPr>
                <w:highlight w:val="green"/>
                <w:lang w:val="en-CA"/>
              </w:rPr>
            </w:pPr>
          </w:p>
        </w:tc>
        <w:tc>
          <w:tcPr>
            <w:tcW w:w="340" w:type="dxa"/>
            <w:shd w:val="clear" w:color="auto" w:fill="auto"/>
          </w:tcPr>
          <w:p w14:paraId="1D3EC741" w14:textId="77777777" w:rsidR="00302BFE" w:rsidRPr="00902601" w:rsidRDefault="00302BFE" w:rsidP="00243B15">
            <w:pPr>
              <w:rPr>
                <w:highlight w:val="green"/>
                <w:lang w:val="en-CA"/>
              </w:rPr>
            </w:pPr>
          </w:p>
        </w:tc>
        <w:tc>
          <w:tcPr>
            <w:tcW w:w="340" w:type="dxa"/>
            <w:shd w:val="clear" w:color="auto" w:fill="auto"/>
          </w:tcPr>
          <w:p w14:paraId="0C6EC54F" w14:textId="77777777" w:rsidR="00302BFE" w:rsidRPr="00902601" w:rsidRDefault="00302BFE" w:rsidP="00243B15">
            <w:pPr>
              <w:rPr>
                <w:highlight w:val="green"/>
                <w:lang w:val="en-CA"/>
              </w:rPr>
            </w:pPr>
          </w:p>
        </w:tc>
        <w:tc>
          <w:tcPr>
            <w:tcW w:w="340" w:type="dxa"/>
            <w:shd w:val="clear" w:color="auto" w:fill="auto"/>
          </w:tcPr>
          <w:p w14:paraId="10942020" w14:textId="77777777" w:rsidR="00302BFE" w:rsidRPr="00902601" w:rsidRDefault="00302BFE" w:rsidP="00243B15">
            <w:pPr>
              <w:rPr>
                <w:highlight w:val="green"/>
                <w:lang w:val="en-CA"/>
              </w:rPr>
            </w:pPr>
          </w:p>
        </w:tc>
        <w:tc>
          <w:tcPr>
            <w:tcW w:w="340" w:type="dxa"/>
            <w:shd w:val="clear" w:color="auto" w:fill="auto"/>
          </w:tcPr>
          <w:p w14:paraId="1DA1167D" w14:textId="77777777" w:rsidR="00302BFE" w:rsidRPr="00902601" w:rsidRDefault="00302BFE" w:rsidP="00243B15">
            <w:pPr>
              <w:rPr>
                <w:highlight w:val="green"/>
                <w:lang w:val="en-CA"/>
              </w:rPr>
            </w:pPr>
          </w:p>
        </w:tc>
        <w:tc>
          <w:tcPr>
            <w:tcW w:w="340" w:type="dxa"/>
            <w:shd w:val="clear" w:color="auto" w:fill="auto"/>
          </w:tcPr>
          <w:p w14:paraId="47E868FD"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3A1098DD" w14:textId="77777777" w:rsidR="00302BFE" w:rsidRPr="00902601" w:rsidRDefault="00302BFE" w:rsidP="00243B15">
            <w:pPr>
              <w:rPr>
                <w:highlight w:val="green"/>
                <w:lang w:val="en-CA"/>
              </w:rPr>
            </w:pPr>
          </w:p>
        </w:tc>
        <w:tc>
          <w:tcPr>
            <w:tcW w:w="340" w:type="dxa"/>
            <w:shd w:val="clear" w:color="auto" w:fill="auto"/>
          </w:tcPr>
          <w:p w14:paraId="29C51FCB" w14:textId="77777777" w:rsidR="00302BFE" w:rsidRPr="00902601" w:rsidRDefault="00302BFE" w:rsidP="00243B15">
            <w:pPr>
              <w:rPr>
                <w:highlight w:val="green"/>
                <w:lang w:val="en-CA"/>
              </w:rPr>
            </w:pPr>
          </w:p>
        </w:tc>
        <w:tc>
          <w:tcPr>
            <w:tcW w:w="340" w:type="dxa"/>
            <w:shd w:val="clear" w:color="auto" w:fill="auto"/>
          </w:tcPr>
          <w:p w14:paraId="0A61697E" w14:textId="77777777" w:rsidR="00302BFE" w:rsidRPr="00902601" w:rsidRDefault="00302BFE" w:rsidP="00243B15">
            <w:pPr>
              <w:rPr>
                <w:highlight w:val="green"/>
                <w:lang w:val="en-CA"/>
              </w:rPr>
            </w:pPr>
          </w:p>
        </w:tc>
        <w:tc>
          <w:tcPr>
            <w:tcW w:w="340" w:type="dxa"/>
            <w:shd w:val="clear" w:color="auto" w:fill="auto"/>
          </w:tcPr>
          <w:p w14:paraId="5618C9D5" w14:textId="77777777" w:rsidR="00302BFE" w:rsidRPr="00902601" w:rsidRDefault="00302BFE" w:rsidP="00243B15">
            <w:pPr>
              <w:rPr>
                <w:highlight w:val="green"/>
                <w:lang w:val="en-CA"/>
              </w:rPr>
            </w:pPr>
          </w:p>
        </w:tc>
        <w:tc>
          <w:tcPr>
            <w:tcW w:w="340" w:type="dxa"/>
            <w:shd w:val="clear" w:color="auto" w:fill="auto"/>
          </w:tcPr>
          <w:p w14:paraId="1003E006" w14:textId="77777777" w:rsidR="00302BFE" w:rsidRPr="00902601" w:rsidRDefault="00302BFE" w:rsidP="00243B15">
            <w:pPr>
              <w:rPr>
                <w:highlight w:val="green"/>
                <w:lang w:val="en-CA"/>
              </w:rPr>
            </w:pPr>
          </w:p>
        </w:tc>
      </w:tr>
      <w:tr w:rsidR="00755BF9" w:rsidRPr="00902601" w14:paraId="7D454CBC" w14:textId="77777777" w:rsidTr="00755BF9">
        <w:trPr>
          <w:jc w:val="center"/>
        </w:trPr>
        <w:tc>
          <w:tcPr>
            <w:tcW w:w="5670" w:type="dxa"/>
            <w:shd w:val="clear" w:color="auto" w:fill="auto"/>
          </w:tcPr>
          <w:p w14:paraId="06EC0908" w14:textId="77777777" w:rsidR="00302BFE" w:rsidRPr="00902601" w:rsidRDefault="00302BFE" w:rsidP="00243B15">
            <w:pPr>
              <w:rPr>
                <w:sz w:val="16"/>
                <w:szCs w:val="16"/>
                <w:highlight w:val="green"/>
                <w:lang w:val="en-CA"/>
              </w:rPr>
            </w:pPr>
            <w:r w:rsidRPr="00902601">
              <w:rPr>
                <w:rFonts w:eastAsia="Cambria"/>
                <w:sz w:val="16"/>
                <w:szCs w:val="16"/>
                <w:highlight w:val="green"/>
                <w:lang w:val="en-GB"/>
              </w:rPr>
              <w:t>Output 1.3 Accurate and well-documented estimates of carbon stocks within the PONASI landscape are available</w:t>
            </w:r>
          </w:p>
        </w:tc>
        <w:tc>
          <w:tcPr>
            <w:tcW w:w="340" w:type="dxa"/>
            <w:shd w:val="clear" w:color="auto" w:fill="auto"/>
          </w:tcPr>
          <w:p w14:paraId="282319B3" w14:textId="77777777" w:rsidR="00302BFE" w:rsidRPr="00902601" w:rsidRDefault="00302BFE" w:rsidP="00243B15">
            <w:pPr>
              <w:rPr>
                <w:highlight w:val="green"/>
                <w:lang w:val="en-CA"/>
              </w:rPr>
            </w:pPr>
          </w:p>
        </w:tc>
        <w:tc>
          <w:tcPr>
            <w:tcW w:w="340" w:type="dxa"/>
            <w:shd w:val="clear" w:color="auto" w:fill="auto"/>
          </w:tcPr>
          <w:p w14:paraId="659DBECB" w14:textId="77777777" w:rsidR="00302BFE" w:rsidRPr="00902601" w:rsidRDefault="00302BFE" w:rsidP="00243B15">
            <w:pPr>
              <w:rPr>
                <w:highlight w:val="green"/>
                <w:lang w:val="en-CA"/>
              </w:rPr>
            </w:pPr>
          </w:p>
        </w:tc>
        <w:tc>
          <w:tcPr>
            <w:tcW w:w="340" w:type="dxa"/>
            <w:shd w:val="clear" w:color="auto" w:fill="auto"/>
          </w:tcPr>
          <w:p w14:paraId="6FAD589F" w14:textId="77777777" w:rsidR="00302BFE" w:rsidRPr="00902601" w:rsidRDefault="00302BFE" w:rsidP="00243B15">
            <w:pPr>
              <w:rPr>
                <w:highlight w:val="green"/>
                <w:lang w:val="en-CA"/>
              </w:rPr>
            </w:pPr>
          </w:p>
        </w:tc>
        <w:tc>
          <w:tcPr>
            <w:tcW w:w="340" w:type="dxa"/>
            <w:shd w:val="clear" w:color="auto" w:fill="D9D9D9"/>
          </w:tcPr>
          <w:p w14:paraId="682DB4A9" w14:textId="77777777" w:rsidR="00302BFE" w:rsidRPr="00902601" w:rsidRDefault="00302BFE" w:rsidP="00243B15">
            <w:pPr>
              <w:rPr>
                <w:highlight w:val="green"/>
                <w:lang w:val="en-CA"/>
              </w:rPr>
            </w:pPr>
          </w:p>
        </w:tc>
        <w:tc>
          <w:tcPr>
            <w:tcW w:w="340" w:type="dxa"/>
            <w:shd w:val="clear" w:color="auto" w:fill="auto"/>
          </w:tcPr>
          <w:p w14:paraId="3C789CA0" w14:textId="77777777" w:rsidR="00302BFE" w:rsidRPr="00902601" w:rsidRDefault="00302BFE" w:rsidP="00243B15">
            <w:pPr>
              <w:rPr>
                <w:highlight w:val="green"/>
                <w:lang w:val="en-CA"/>
              </w:rPr>
            </w:pPr>
          </w:p>
        </w:tc>
        <w:tc>
          <w:tcPr>
            <w:tcW w:w="340" w:type="dxa"/>
            <w:shd w:val="clear" w:color="auto" w:fill="auto"/>
          </w:tcPr>
          <w:p w14:paraId="7A1D68CF" w14:textId="77777777" w:rsidR="00302BFE" w:rsidRPr="00902601" w:rsidRDefault="00302BFE" w:rsidP="00243B15">
            <w:pPr>
              <w:rPr>
                <w:highlight w:val="green"/>
                <w:lang w:val="en-CA"/>
              </w:rPr>
            </w:pPr>
          </w:p>
        </w:tc>
        <w:tc>
          <w:tcPr>
            <w:tcW w:w="340" w:type="dxa"/>
            <w:shd w:val="clear" w:color="auto" w:fill="auto"/>
          </w:tcPr>
          <w:p w14:paraId="554AC05D" w14:textId="77777777" w:rsidR="00302BFE" w:rsidRPr="00902601" w:rsidRDefault="00302BFE" w:rsidP="00243B15">
            <w:pPr>
              <w:rPr>
                <w:highlight w:val="green"/>
                <w:lang w:val="en-CA"/>
              </w:rPr>
            </w:pPr>
          </w:p>
        </w:tc>
        <w:tc>
          <w:tcPr>
            <w:tcW w:w="340" w:type="dxa"/>
            <w:shd w:val="clear" w:color="auto" w:fill="auto"/>
          </w:tcPr>
          <w:p w14:paraId="2FC290AB" w14:textId="77777777" w:rsidR="00302BFE" w:rsidRPr="00902601" w:rsidRDefault="00302BFE" w:rsidP="00243B15">
            <w:pPr>
              <w:rPr>
                <w:highlight w:val="green"/>
                <w:lang w:val="en-CA"/>
              </w:rPr>
            </w:pPr>
          </w:p>
        </w:tc>
        <w:tc>
          <w:tcPr>
            <w:tcW w:w="340" w:type="dxa"/>
            <w:shd w:val="clear" w:color="auto" w:fill="auto"/>
          </w:tcPr>
          <w:p w14:paraId="5634C4A4" w14:textId="77777777" w:rsidR="00302BFE" w:rsidRPr="00902601" w:rsidRDefault="00302BFE" w:rsidP="00243B15">
            <w:pPr>
              <w:rPr>
                <w:highlight w:val="green"/>
                <w:lang w:val="en-CA"/>
              </w:rPr>
            </w:pPr>
          </w:p>
        </w:tc>
        <w:tc>
          <w:tcPr>
            <w:tcW w:w="340" w:type="dxa"/>
            <w:shd w:val="clear" w:color="auto" w:fill="auto"/>
          </w:tcPr>
          <w:p w14:paraId="41689D39" w14:textId="77777777" w:rsidR="00302BFE" w:rsidRPr="00902601" w:rsidRDefault="00302BFE" w:rsidP="00243B15">
            <w:pPr>
              <w:rPr>
                <w:highlight w:val="green"/>
                <w:lang w:val="en-CA"/>
              </w:rPr>
            </w:pPr>
          </w:p>
        </w:tc>
        <w:tc>
          <w:tcPr>
            <w:tcW w:w="340" w:type="dxa"/>
            <w:shd w:val="clear" w:color="auto" w:fill="auto"/>
          </w:tcPr>
          <w:p w14:paraId="65645EC9" w14:textId="77777777" w:rsidR="00302BFE" w:rsidRPr="00902601" w:rsidRDefault="00302BFE" w:rsidP="00243B15">
            <w:pPr>
              <w:rPr>
                <w:highlight w:val="green"/>
                <w:lang w:val="en-CA"/>
              </w:rPr>
            </w:pPr>
          </w:p>
        </w:tc>
        <w:tc>
          <w:tcPr>
            <w:tcW w:w="340" w:type="dxa"/>
            <w:shd w:val="clear" w:color="auto" w:fill="D9D9D9"/>
          </w:tcPr>
          <w:p w14:paraId="56951F02" w14:textId="77777777" w:rsidR="00302BFE" w:rsidRPr="00902601" w:rsidRDefault="00302BFE" w:rsidP="00243B15">
            <w:pPr>
              <w:rPr>
                <w:highlight w:val="green"/>
                <w:lang w:val="en-CA"/>
              </w:rPr>
            </w:pPr>
          </w:p>
        </w:tc>
        <w:tc>
          <w:tcPr>
            <w:tcW w:w="340" w:type="dxa"/>
            <w:shd w:val="clear" w:color="auto" w:fill="auto"/>
          </w:tcPr>
          <w:p w14:paraId="31D36F56" w14:textId="77777777" w:rsidR="00302BFE" w:rsidRPr="00902601" w:rsidRDefault="00302BFE" w:rsidP="00243B15">
            <w:pPr>
              <w:rPr>
                <w:highlight w:val="green"/>
                <w:lang w:val="en-CA"/>
              </w:rPr>
            </w:pPr>
          </w:p>
        </w:tc>
        <w:tc>
          <w:tcPr>
            <w:tcW w:w="340" w:type="dxa"/>
            <w:shd w:val="clear" w:color="auto" w:fill="auto"/>
          </w:tcPr>
          <w:p w14:paraId="17630764" w14:textId="77777777" w:rsidR="00302BFE" w:rsidRPr="00902601" w:rsidRDefault="00302BFE" w:rsidP="00243B15">
            <w:pPr>
              <w:rPr>
                <w:highlight w:val="green"/>
                <w:lang w:val="en-CA"/>
              </w:rPr>
            </w:pPr>
          </w:p>
        </w:tc>
        <w:tc>
          <w:tcPr>
            <w:tcW w:w="340" w:type="dxa"/>
            <w:shd w:val="clear" w:color="auto" w:fill="auto"/>
          </w:tcPr>
          <w:p w14:paraId="4D1F564D" w14:textId="77777777" w:rsidR="00302BFE" w:rsidRPr="00902601" w:rsidRDefault="00302BFE" w:rsidP="00243B15">
            <w:pPr>
              <w:rPr>
                <w:highlight w:val="green"/>
                <w:lang w:val="en-CA"/>
              </w:rPr>
            </w:pPr>
          </w:p>
        </w:tc>
        <w:tc>
          <w:tcPr>
            <w:tcW w:w="340" w:type="dxa"/>
            <w:shd w:val="clear" w:color="auto" w:fill="auto"/>
          </w:tcPr>
          <w:p w14:paraId="463EB30C" w14:textId="77777777" w:rsidR="00302BFE" w:rsidRPr="00902601" w:rsidRDefault="00302BFE" w:rsidP="00243B15">
            <w:pPr>
              <w:rPr>
                <w:highlight w:val="green"/>
                <w:lang w:val="en-CA"/>
              </w:rPr>
            </w:pPr>
          </w:p>
        </w:tc>
        <w:tc>
          <w:tcPr>
            <w:tcW w:w="340" w:type="dxa"/>
            <w:shd w:val="clear" w:color="auto" w:fill="auto"/>
          </w:tcPr>
          <w:p w14:paraId="6E679C7D" w14:textId="77777777" w:rsidR="00302BFE" w:rsidRPr="00902601" w:rsidRDefault="00302BFE" w:rsidP="00243B15">
            <w:pPr>
              <w:rPr>
                <w:highlight w:val="green"/>
                <w:lang w:val="en-CA"/>
              </w:rPr>
            </w:pPr>
          </w:p>
        </w:tc>
        <w:tc>
          <w:tcPr>
            <w:tcW w:w="340" w:type="dxa"/>
            <w:shd w:val="clear" w:color="auto" w:fill="auto"/>
          </w:tcPr>
          <w:p w14:paraId="17EB4C0B" w14:textId="77777777" w:rsidR="00302BFE" w:rsidRPr="00902601" w:rsidRDefault="00302BFE" w:rsidP="00243B15">
            <w:pPr>
              <w:rPr>
                <w:highlight w:val="green"/>
                <w:lang w:val="en-CA"/>
              </w:rPr>
            </w:pPr>
          </w:p>
        </w:tc>
        <w:tc>
          <w:tcPr>
            <w:tcW w:w="340" w:type="dxa"/>
            <w:shd w:val="clear" w:color="auto" w:fill="auto"/>
          </w:tcPr>
          <w:p w14:paraId="38D0F360" w14:textId="77777777" w:rsidR="00302BFE" w:rsidRPr="00902601" w:rsidRDefault="00302BFE" w:rsidP="00243B15">
            <w:pPr>
              <w:rPr>
                <w:highlight w:val="green"/>
                <w:lang w:val="en-CA"/>
              </w:rPr>
            </w:pPr>
          </w:p>
        </w:tc>
        <w:tc>
          <w:tcPr>
            <w:tcW w:w="340" w:type="dxa"/>
            <w:shd w:val="clear" w:color="auto" w:fill="D9D9D9"/>
          </w:tcPr>
          <w:p w14:paraId="43157840" w14:textId="77777777" w:rsidR="00302BFE" w:rsidRPr="00902601" w:rsidRDefault="00302BFE" w:rsidP="00243B15">
            <w:pPr>
              <w:rPr>
                <w:highlight w:val="green"/>
                <w:lang w:val="en-CA"/>
              </w:rPr>
            </w:pPr>
          </w:p>
        </w:tc>
        <w:tc>
          <w:tcPr>
            <w:tcW w:w="340" w:type="dxa"/>
            <w:shd w:val="clear" w:color="auto" w:fill="auto"/>
          </w:tcPr>
          <w:p w14:paraId="29B308F1" w14:textId="77777777" w:rsidR="00302BFE" w:rsidRPr="00902601" w:rsidRDefault="00302BFE" w:rsidP="00243B15">
            <w:pPr>
              <w:rPr>
                <w:highlight w:val="green"/>
                <w:lang w:val="en-CA"/>
              </w:rPr>
            </w:pPr>
          </w:p>
        </w:tc>
        <w:tc>
          <w:tcPr>
            <w:tcW w:w="340" w:type="dxa"/>
            <w:shd w:val="clear" w:color="auto" w:fill="auto"/>
          </w:tcPr>
          <w:p w14:paraId="546AC949" w14:textId="77777777" w:rsidR="00302BFE" w:rsidRPr="00902601" w:rsidRDefault="00302BFE" w:rsidP="00243B15">
            <w:pPr>
              <w:rPr>
                <w:highlight w:val="green"/>
                <w:lang w:val="en-CA"/>
              </w:rPr>
            </w:pPr>
          </w:p>
        </w:tc>
        <w:tc>
          <w:tcPr>
            <w:tcW w:w="340" w:type="dxa"/>
            <w:shd w:val="clear" w:color="auto" w:fill="auto"/>
          </w:tcPr>
          <w:p w14:paraId="1FB8D727" w14:textId="77777777" w:rsidR="00302BFE" w:rsidRPr="00902601" w:rsidRDefault="00302BFE" w:rsidP="00243B15">
            <w:pPr>
              <w:rPr>
                <w:highlight w:val="green"/>
                <w:lang w:val="en-CA"/>
              </w:rPr>
            </w:pPr>
          </w:p>
        </w:tc>
        <w:tc>
          <w:tcPr>
            <w:tcW w:w="340" w:type="dxa"/>
            <w:shd w:val="clear" w:color="auto" w:fill="auto"/>
          </w:tcPr>
          <w:p w14:paraId="1122C0A6" w14:textId="77777777" w:rsidR="00302BFE" w:rsidRPr="00902601" w:rsidRDefault="00302BFE" w:rsidP="00243B15">
            <w:pPr>
              <w:rPr>
                <w:highlight w:val="green"/>
                <w:lang w:val="en-CA"/>
              </w:rPr>
            </w:pPr>
          </w:p>
        </w:tc>
      </w:tr>
      <w:tr w:rsidR="00302BFE" w:rsidRPr="00902601" w14:paraId="29CEAB73" w14:textId="77777777" w:rsidTr="00243B15">
        <w:trPr>
          <w:jc w:val="center"/>
        </w:trPr>
        <w:tc>
          <w:tcPr>
            <w:tcW w:w="5670" w:type="dxa"/>
            <w:shd w:val="clear" w:color="auto" w:fill="auto"/>
          </w:tcPr>
          <w:p w14:paraId="669DBD7C" w14:textId="77777777" w:rsidR="00302BFE" w:rsidRPr="00902601" w:rsidRDefault="00302BFE" w:rsidP="00243B15">
            <w:pPr>
              <w:rPr>
                <w:i/>
                <w:color w:val="4472C4"/>
                <w:sz w:val="16"/>
                <w:szCs w:val="16"/>
                <w:highlight w:val="green"/>
                <w:lang w:val="en-CA"/>
              </w:rPr>
            </w:pPr>
            <w:r w:rsidRPr="00902601">
              <w:rPr>
                <w:sz w:val="16"/>
                <w:szCs w:val="16"/>
                <w:highlight w:val="green"/>
                <w:lang w:val="en-GB"/>
              </w:rPr>
              <w:t>Output 1.4 Development of the PONASI Landscape Management Master Plan to guide the management of the PONASI landscape over the next 15 years</w:t>
            </w:r>
          </w:p>
        </w:tc>
        <w:tc>
          <w:tcPr>
            <w:tcW w:w="8160" w:type="dxa"/>
            <w:gridSpan w:val="24"/>
            <w:shd w:val="clear" w:color="auto" w:fill="auto"/>
          </w:tcPr>
          <w:p w14:paraId="4C7B1B2F" w14:textId="77777777" w:rsidR="00302BFE" w:rsidRPr="00902601" w:rsidRDefault="00302BFE" w:rsidP="00243B15">
            <w:pPr>
              <w:rPr>
                <w:highlight w:val="green"/>
                <w:lang w:val="en-CA"/>
              </w:rPr>
            </w:pPr>
          </w:p>
        </w:tc>
      </w:tr>
      <w:tr w:rsidR="00755BF9" w:rsidRPr="00902601" w14:paraId="40AC6F50" w14:textId="77777777" w:rsidTr="00755BF9">
        <w:trPr>
          <w:jc w:val="center"/>
        </w:trPr>
        <w:tc>
          <w:tcPr>
            <w:tcW w:w="5670" w:type="dxa"/>
            <w:shd w:val="clear" w:color="auto" w:fill="auto"/>
          </w:tcPr>
          <w:p w14:paraId="7894184A" w14:textId="77777777" w:rsidR="00302BFE" w:rsidRPr="00902601" w:rsidRDefault="00302BFE" w:rsidP="00243B15">
            <w:pPr>
              <w:rPr>
                <w:sz w:val="16"/>
                <w:szCs w:val="16"/>
                <w:highlight w:val="green"/>
                <w:lang w:val="en-CA"/>
              </w:rPr>
            </w:pPr>
            <w:r w:rsidRPr="00902601">
              <w:rPr>
                <w:i/>
                <w:color w:val="4472C4"/>
                <w:sz w:val="16"/>
                <w:szCs w:val="16"/>
                <w:highlight w:val="green"/>
                <w:lang w:val="en-GB"/>
              </w:rPr>
              <w:t>1.4.1 Development of the PONASI Landscape Management Master Plan</w:t>
            </w:r>
          </w:p>
        </w:tc>
        <w:tc>
          <w:tcPr>
            <w:tcW w:w="340" w:type="dxa"/>
            <w:shd w:val="clear" w:color="auto" w:fill="auto"/>
          </w:tcPr>
          <w:p w14:paraId="6474D3F4" w14:textId="77777777" w:rsidR="00302BFE" w:rsidRPr="00902601" w:rsidRDefault="00302BFE" w:rsidP="00243B15">
            <w:pPr>
              <w:rPr>
                <w:highlight w:val="green"/>
                <w:lang w:val="en-CA"/>
              </w:rPr>
            </w:pPr>
          </w:p>
        </w:tc>
        <w:tc>
          <w:tcPr>
            <w:tcW w:w="340" w:type="dxa"/>
            <w:shd w:val="clear" w:color="auto" w:fill="auto"/>
          </w:tcPr>
          <w:p w14:paraId="70F42841" w14:textId="77777777" w:rsidR="00302BFE" w:rsidRPr="00902601" w:rsidRDefault="00302BFE" w:rsidP="00243B15">
            <w:pPr>
              <w:rPr>
                <w:highlight w:val="green"/>
                <w:lang w:val="en-CA"/>
              </w:rPr>
            </w:pPr>
          </w:p>
        </w:tc>
        <w:tc>
          <w:tcPr>
            <w:tcW w:w="340" w:type="dxa"/>
            <w:shd w:val="clear" w:color="auto" w:fill="D9D9D9"/>
          </w:tcPr>
          <w:p w14:paraId="61B9460A" w14:textId="77777777" w:rsidR="00302BFE" w:rsidRPr="00902601" w:rsidRDefault="00302BFE" w:rsidP="00243B15">
            <w:pPr>
              <w:rPr>
                <w:highlight w:val="green"/>
                <w:lang w:val="en-CA"/>
              </w:rPr>
            </w:pPr>
          </w:p>
        </w:tc>
        <w:tc>
          <w:tcPr>
            <w:tcW w:w="340" w:type="dxa"/>
            <w:shd w:val="clear" w:color="auto" w:fill="D9D9D9"/>
          </w:tcPr>
          <w:p w14:paraId="1BC0D45D" w14:textId="77777777" w:rsidR="00302BFE" w:rsidRPr="00902601" w:rsidRDefault="00302BFE" w:rsidP="00243B15">
            <w:pPr>
              <w:rPr>
                <w:highlight w:val="green"/>
                <w:lang w:val="en-CA"/>
              </w:rPr>
            </w:pPr>
          </w:p>
        </w:tc>
        <w:tc>
          <w:tcPr>
            <w:tcW w:w="340" w:type="dxa"/>
            <w:shd w:val="clear" w:color="auto" w:fill="D9D9D9"/>
          </w:tcPr>
          <w:p w14:paraId="4F9FA862" w14:textId="77777777" w:rsidR="00302BFE" w:rsidRPr="00902601" w:rsidRDefault="00302BFE" w:rsidP="00243B15">
            <w:pPr>
              <w:rPr>
                <w:highlight w:val="green"/>
                <w:lang w:val="en-CA"/>
              </w:rPr>
            </w:pPr>
          </w:p>
        </w:tc>
        <w:tc>
          <w:tcPr>
            <w:tcW w:w="340" w:type="dxa"/>
            <w:shd w:val="clear" w:color="auto" w:fill="D9D9D9"/>
          </w:tcPr>
          <w:p w14:paraId="3B0BA513" w14:textId="77777777" w:rsidR="00302BFE" w:rsidRPr="00902601" w:rsidRDefault="00302BFE" w:rsidP="00243B15">
            <w:pPr>
              <w:rPr>
                <w:highlight w:val="green"/>
                <w:lang w:val="en-CA"/>
              </w:rPr>
            </w:pPr>
          </w:p>
        </w:tc>
        <w:tc>
          <w:tcPr>
            <w:tcW w:w="340" w:type="dxa"/>
            <w:shd w:val="clear" w:color="auto" w:fill="D9D9D9"/>
          </w:tcPr>
          <w:p w14:paraId="48C88BD7"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50A98AF3" w14:textId="77777777" w:rsidR="00302BFE" w:rsidRPr="00902601" w:rsidRDefault="00302BFE" w:rsidP="00243B15">
            <w:pPr>
              <w:rPr>
                <w:highlight w:val="green"/>
                <w:lang w:val="en-CA"/>
              </w:rPr>
            </w:pPr>
          </w:p>
        </w:tc>
        <w:tc>
          <w:tcPr>
            <w:tcW w:w="340" w:type="dxa"/>
            <w:shd w:val="clear" w:color="auto" w:fill="auto"/>
          </w:tcPr>
          <w:p w14:paraId="13446FEF" w14:textId="77777777" w:rsidR="00302BFE" w:rsidRPr="00902601" w:rsidRDefault="00302BFE" w:rsidP="00243B15">
            <w:pPr>
              <w:rPr>
                <w:highlight w:val="green"/>
                <w:lang w:val="en-CA"/>
              </w:rPr>
            </w:pPr>
          </w:p>
        </w:tc>
        <w:tc>
          <w:tcPr>
            <w:tcW w:w="340" w:type="dxa"/>
            <w:shd w:val="clear" w:color="auto" w:fill="auto"/>
          </w:tcPr>
          <w:p w14:paraId="4386EDA1" w14:textId="77777777" w:rsidR="00302BFE" w:rsidRPr="00902601" w:rsidRDefault="00302BFE" w:rsidP="00243B15">
            <w:pPr>
              <w:rPr>
                <w:highlight w:val="green"/>
                <w:lang w:val="en-CA"/>
              </w:rPr>
            </w:pPr>
          </w:p>
        </w:tc>
        <w:tc>
          <w:tcPr>
            <w:tcW w:w="340" w:type="dxa"/>
            <w:shd w:val="clear" w:color="auto" w:fill="auto"/>
          </w:tcPr>
          <w:p w14:paraId="2A57101B" w14:textId="77777777" w:rsidR="00302BFE" w:rsidRPr="00902601" w:rsidRDefault="00302BFE" w:rsidP="00243B15">
            <w:pPr>
              <w:rPr>
                <w:highlight w:val="green"/>
                <w:lang w:val="en-CA"/>
              </w:rPr>
            </w:pPr>
          </w:p>
        </w:tc>
        <w:tc>
          <w:tcPr>
            <w:tcW w:w="340" w:type="dxa"/>
            <w:shd w:val="clear" w:color="auto" w:fill="auto"/>
          </w:tcPr>
          <w:p w14:paraId="6911B4BF" w14:textId="77777777" w:rsidR="00302BFE" w:rsidRPr="00902601" w:rsidRDefault="00302BFE" w:rsidP="00243B15">
            <w:pPr>
              <w:rPr>
                <w:highlight w:val="green"/>
                <w:lang w:val="en-CA"/>
              </w:rPr>
            </w:pPr>
          </w:p>
        </w:tc>
        <w:tc>
          <w:tcPr>
            <w:tcW w:w="340" w:type="dxa"/>
            <w:shd w:val="clear" w:color="auto" w:fill="auto"/>
          </w:tcPr>
          <w:p w14:paraId="674FF487" w14:textId="77777777" w:rsidR="00302BFE" w:rsidRPr="00902601" w:rsidRDefault="00302BFE" w:rsidP="00243B15">
            <w:pPr>
              <w:rPr>
                <w:highlight w:val="green"/>
                <w:lang w:val="en-CA"/>
              </w:rPr>
            </w:pPr>
          </w:p>
        </w:tc>
        <w:tc>
          <w:tcPr>
            <w:tcW w:w="340" w:type="dxa"/>
            <w:shd w:val="clear" w:color="auto" w:fill="auto"/>
          </w:tcPr>
          <w:p w14:paraId="0164C387" w14:textId="77777777" w:rsidR="00302BFE" w:rsidRPr="00902601" w:rsidRDefault="00302BFE" w:rsidP="00243B15">
            <w:pPr>
              <w:rPr>
                <w:highlight w:val="green"/>
                <w:lang w:val="en-CA"/>
              </w:rPr>
            </w:pPr>
          </w:p>
        </w:tc>
        <w:tc>
          <w:tcPr>
            <w:tcW w:w="340" w:type="dxa"/>
            <w:shd w:val="clear" w:color="auto" w:fill="auto"/>
          </w:tcPr>
          <w:p w14:paraId="11ADB56A" w14:textId="77777777" w:rsidR="00302BFE" w:rsidRPr="00902601" w:rsidRDefault="00302BFE" w:rsidP="00243B15">
            <w:pPr>
              <w:rPr>
                <w:highlight w:val="green"/>
                <w:lang w:val="en-CA"/>
              </w:rPr>
            </w:pPr>
          </w:p>
        </w:tc>
        <w:tc>
          <w:tcPr>
            <w:tcW w:w="340" w:type="dxa"/>
            <w:shd w:val="clear" w:color="auto" w:fill="auto"/>
          </w:tcPr>
          <w:p w14:paraId="50154CCB" w14:textId="77777777" w:rsidR="00302BFE" w:rsidRPr="00902601" w:rsidRDefault="00302BFE" w:rsidP="00243B15">
            <w:pPr>
              <w:rPr>
                <w:highlight w:val="green"/>
                <w:lang w:val="en-CA"/>
              </w:rPr>
            </w:pPr>
          </w:p>
        </w:tc>
        <w:tc>
          <w:tcPr>
            <w:tcW w:w="340" w:type="dxa"/>
            <w:shd w:val="clear" w:color="auto" w:fill="auto"/>
          </w:tcPr>
          <w:p w14:paraId="5C2FF04F" w14:textId="77777777" w:rsidR="00302BFE" w:rsidRPr="00902601" w:rsidRDefault="00302BFE" w:rsidP="00243B15">
            <w:pPr>
              <w:rPr>
                <w:highlight w:val="green"/>
                <w:lang w:val="en-CA"/>
              </w:rPr>
            </w:pPr>
          </w:p>
        </w:tc>
        <w:tc>
          <w:tcPr>
            <w:tcW w:w="340" w:type="dxa"/>
            <w:shd w:val="clear" w:color="auto" w:fill="auto"/>
          </w:tcPr>
          <w:p w14:paraId="3622DFB7" w14:textId="77777777" w:rsidR="00302BFE" w:rsidRPr="00902601" w:rsidRDefault="00302BFE" w:rsidP="00243B15">
            <w:pPr>
              <w:rPr>
                <w:highlight w:val="green"/>
                <w:lang w:val="en-CA"/>
              </w:rPr>
            </w:pPr>
          </w:p>
        </w:tc>
        <w:tc>
          <w:tcPr>
            <w:tcW w:w="340" w:type="dxa"/>
            <w:shd w:val="clear" w:color="auto" w:fill="auto"/>
          </w:tcPr>
          <w:p w14:paraId="72ED4139" w14:textId="77777777" w:rsidR="00302BFE" w:rsidRPr="00902601" w:rsidRDefault="00302BFE" w:rsidP="00243B15">
            <w:pPr>
              <w:rPr>
                <w:highlight w:val="green"/>
                <w:lang w:val="en-CA"/>
              </w:rPr>
            </w:pPr>
          </w:p>
        </w:tc>
        <w:tc>
          <w:tcPr>
            <w:tcW w:w="340" w:type="dxa"/>
            <w:shd w:val="clear" w:color="auto" w:fill="auto"/>
          </w:tcPr>
          <w:p w14:paraId="12EC2E6E" w14:textId="77777777" w:rsidR="00302BFE" w:rsidRPr="00902601" w:rsidRDefault="00302BFE" w:rsidP="00243B15">
            <w:pPr>
              <w:rPr>
                <w:highlight w:val="green"/>
                <w:lang w:val="en-CA"/>
              </w:rPr>
            </w:pPr>
          </w:p>
        </w:tc>
        <w:tc>
          <w:tcPr>
            <w:tcW w:w="340" w:type="dxa"/>
            <w:shd w:val="clear" w:color="auto" w:fill="auto"/>
          </w:tcPr>
          <w:p w14:paraId="09BDFC38" w14:textId="77777777" w:rsidR="00302BFE" w:rsidRPr="00902601" w:rsidRDefault="00302BFE" w:rsidP="00243B15">
            <w:pPr>
              <w:rPr>
                <w:highlight w:val="green"/>
                <w:lang w:val="en-CA"/>
              </w:rPr>
            </w:pPr>
          </w:p>
        </w:tc>
        <w:tc>
          <w:tcPr>
            <w:tcW w:w="340" w:type="dxa"/>
            <w:shd w:val="clear" w:color="auto" w:fill="auto"/>
          </w:tcPr>
          <w:p w14:paraId="5881A40B" w14:textId="77777777" w:rsidR="00302BFE" w:rsidRPr="00902601" w:rsidRDefault="00302BFE" w:rsidP="00243B15">
            <w:pPr>
              <w:rPr>
                <w:highlight w:val="green"/>
                <w:lang w:val="en-CA"/>
              </w:rPr>
            </w:pPr>
          </w:p>
        </w:tc>
        <w:tc>
          <w:tcPr>
            <w:tcW w:w="340" w:type="dxa"/>
            <w:shd w:val="clear" w:color="auto" w:fill="auto"/>
          </w:tcPr>
          <w:p w14:paraId="007F2094" w14:textId="77777777" w:rsidR="00302BFE" w:rsidRPr="00902601" w:rsidRDefault="00302BFE" w:rsidP="00243B15">
            <w:pPr>
              <w:rPr>
                <w:highlight w:val="green"/>
                <w:lang w:val="en-CA"/>
              </w:rPr>
            </w:pPr>
          </w:p>
        </w:tc>
        <w:tc>
          <w:tcPr>
            <w:tcW w:w="340" w:type="dxa"/>
            <w:shd w:val="clear" w:color="auto" w:fill="auto"/>
          </w:tcPr>
          <w:p w14:paraId="2811746E" w14:textId="77777777" w:rsidR="00302BFE" w:rsidRPr="00902601" w:rsidRDefault="00302BFE" w:rsidP="00243B15">
            <w:pPr>
              <w:rPr>
                <w:highlight w:val="green"/>
                <w:lang w:val="en-CA"/>
              </w:rPr>
            </w:pPr>
          </w:p>
        </w:tc>
      </w:tr>
      <w:tr w:rsidR="00302BFE" w:rsidRPr="00902601" w14:paraId="3CEE35A6" w14:textId="77777777" w:rsidTr="00755BF9">
        <w:trPr>
          <w:jc w:val="center"/>
        </w:trPr>
        <w:tc>
          <w:tcPr>
            <w:tcW w:w="5670" w:type="dxa"/>
            <w:shd w:val="clear" w:color="auto" w:fill="auto"/>
          </w:tcPr>
          <w:p w14:paraId="32371CC1" w14:textId="77777777" w:rsidR="00302BFE" w:rsidRPr="00902601" w:rsidRDefault="00302BFE" w:rsidP="00243B15">
            <w:pPr>
              <w:rPr>
                <w:sz w:val="16"/>
                <w:szCs w:val="16"/>
                <w:highlight w:val="green"/>
                <w:lang w:val="en-CA"/>
              </w:rPr>
            </w:pPr>
            <w:r w:rsidRPr="00902601">
              <w:rPr>
                <w:i/>
                <w:color w:val="4472C4"/>
                <w:sz w:val="16"/>
                <w:szCs w:val="16"/>
                <w:highlight w:val="green"/>
                <w:lang w:val="en-GB"/>
              </w:rPr>
              <w:t>1.4.2 Approval of the PONASI Landscape Management Master Plan.</w:t>
            </w:r>
          </w:p>
        </w:tc>
        <w:tc>
          <w:tcPr>
            <w:tcW w:w="340" w:type="dxa"/>
            <w:shd w:val="clear" w:color="auto" w:fill="auto"/>
          </w:tcPr>
          <w:p w14:paraId="0756DB41" w14:textId="77777777" w:rsidR="00302BFE" w:rsidRPr="00902601" w:rsidRDefault="00302BFE" w:rsidP="00243B15">
            <w:pPr>
              <w:rPr>
                <w:highlight w:val="green"/>
                <w:lang w:val="en-CA"/>
              </w:rPr>
            </w:pPr>
          </w:p>
        </w:tc>
        <w:tc>
          <w:tcPr>
            <w:tcW w:w="340" w:type="dxa"/>
            <w:shd w:val="clear" w:color="auto" w:fill="auto"/>
          </w:tcPr>
          <w:p w14:paraId="2A25F680" w14:textId="77777777" w:rsidR="00302BFE" w:rsidRPr="00902601" w:rsidRDefault="00302BFE" w:rsidP="00243B15">
            <w:pPr>
              <w:rPr>
                <w:highlight w:val="green"/>
                <w:lang w:val="en-CA"/>
              </w:rPr>
            </w:pPr>
          </w:p>
        </w:tc>
        <w:tc>
          <w:tcPr>
            <w:tcW w:w="340" w:type="dxa"/>
            <w:shd w:val="clear" w:color="auto" w:fill="auto"/>
          </w:tcPr>
          <w:p w14:paraId="0D6E5496" w14:textId="77777777" w:rsidR="00302BFE" w:rsidRPr="00902601" w:rsidRDefault="00302BFE" w:rsidP="00243B15">
            <w:pPr>
              <w:rPr>
                <w:highlight w:val="green"/>
                <w:lang w:val="en-CA"/>
              </w:rPr>
            </w:pPr>
          </w:p>
        </w:tc>
        <w:tc>
          <w:tcPr>
            <w:tcW w:w="340" w:type="dxa"/>
            <w:shd w:val="clear" w:color="auto" w:fill="auto"/>
          </w:tcPr>
          <w:p w14:paraId="5CAFA7ED" w14:textId="77777777" w:rsidR="00302BFE" w:rsidRPr="00902601" w:rsidRDefault="00302BFE" w:rsidP="00243B15">
            <w:pPr>
              <w:rPr>
                <w:highlight w:val="green"/>
                <w:lang w:val="en-CA"/>
              </w:rPr>
            </w:pPr>
          </w:p>
        </w:tc>
        <w:tc>
          <w:tcPr>
            <w:tcW w:w="340" w:type="dxa"/>
            <w:shd w:val="clear" w:color="auto" w:fill="auto"/>
          </w:tcPr>
          <w:p w14:paraId="59CA1A18" w14:textId="77777777" w:rsidR="00302BFE" w:rsidRPr="00902601" w:rsidRDefault="00302BFE" w:rsidP="00243B15">
            <w:pPr>
              <w:rPr>
                <w:highlight w:val="green"/>
                <w:lang w:val="en-CA"/>
              </w:rPr>
            </w:pPr>
          </w:p>
        </w:tc>
        <w:tc>
          <w:tcPr>
            <w:tcW w:w="340" w:type="dxa"/>
            <w:shd w:val="clear" w:color="auto" w:fill="auto"/>
          </w:tcPr>
          <w:p w14:paraId="3957F33F" w14:textId="77777777" w:rsidR="00302BFE" w:rsidRPr="00902601" w:rsidRDefault="00302BFE" w:rsidP="00243B15">
            <w:pPr>
              <w:rPr>
                <w:highlight w:val="green"/>
                <w:lang w:val="en-CA"/>
              </w:rPr>
            </w:pPr>
          </w:p>
        </w:tc>
        <w:tc>
          <w:tcPr>
            <w:tcW w:w="340" w:type="dxa"/>
            <w:shd w:val="clear" w:color="auto" w:fill="auto"/>
          </w:tcPr>
          <w:p w14:paraId="7E1B7A45" w14:textId="77777777" w:rsidR="00302BFE" w:rsidRPr="00902601" w:rsidRDefault="00302BFE" w:rsidP="00243B15">
            <w:pPr>
              <w:rPr>
                <w:highlight w:val="green"/>
                <w:lang w:val="en-CA"/>
              </w:rPr>
            </w:pPr>
          </w:p>
        </w:tc>
        <w:tc>
          <w:tcPr>
            <w:tcW w:w="340" w:type="dxa"/>
            <w:shd w:val="clear" w:color="auto" w:fill="D9D9D9"/>
          </w:tcPr>
          <w:p w14:paraId="7F2EA6B8" w14:textId="77777777" w:rsidR="00302BFE" w:rsidRPr="00902601" w:rsidRDefault="00302BFE" w:rsidP="00243B15">
            <w:pPr>
              <w:rPr>
                <w:highlight w:val="green"/>
                <w:lang w:val="en-CA"/>
              </w:rPr>
            </w:pPr>
          </w:p>
        </w:tc>
        <w:tc>
          <w:tcPr>
            <w:tcW w:w="340" w:type="dxa"/>
            <w:shd w:val="clear" w:color="auto" w:fill="auto"/>
          </w:tcPr>
          <w:p w14:paraId="3BBED236" w14:textId="77777777" w:rsidR="00302BFE" w:rsidRPr="00902601" w:rsidRDefault="00302BFE" w:rsidP="00243B15">
            <w:pPr>
              <w:rPr>
                <w:highlight w:val="green"/>
                <w:lang w:val="en-CA"/>
              </w:rPr>
            </w:pPr>
          </w:p>
        </w:tc>
        <w:tc>
          <w:tcPr>
            <w:tcW w:w="340" w:type="dxa"/>
            <w:shd w:val="clear" w:color="auto" w:fill="auto"/>
          </w:tcPr>
          <w:p w14:paraId="229334B7" w14:textId="77777777" w:rsidR="00302BFE" w:rsidRPr="00902601" w:rsidRDefault="00302BFE" w:rsidP="00243B15">
            <w:pPr>
              <w:rPr>
                <w:highlight w:val="green"/>
                <w:lang w:val="en-CA"/>
              </w:rPr>
            </w:pPr>
          </w:p>
        </w:tc>
        <w:tc>
          <w:tcPr>
            <w:tcW w:w="340" w:type="dxa"/>
            <w:shd w:val="clear" w:color="auto" w:fill="auto"/>
          </w:tcPr>
          <w:p w14:paraId="045A14D2" w14:textId="77777777" w:rsidR="00302BFE" w:rsidRPr="00902601" w:rsidRDefault="00302BFE" w:rsidP="00243B15">
            <w:pPr>
              <w:rPr>
                <w:highlight w:val="green"/>
                <w:lang w:val="en-CA"/>
              </w:rPr>
            </w:pPr>
          </w:p>
        </w:tc>
        <w:tc>
          <w:tcPr>
            <w:tcW w:w="340" w:type="dxa"/>
            <w:shd w:val="clear" w:color="auto" w:fill="auto"/>
          </w:tcPr>
          <w:p w14:paraId="0EDD6295" w14:textId="77777777" w:rsidR="00302BFE" w:rsidRPr="00902601" w:rsidRDefault="00302BFE" w:rsidP="00243B15">
            <w:pPr>
              <w:rPr>
                <w:highlight w:val="green"/>
                <w:lang w:val="en-CA"/>
              </w:rPr>
            </w:pPr>
          </w:p>
        </w:tc>
        <w:tc>
          <w:tcPr>
            <w:tcW w:w="340" w:type="dxa"/>
            <w:shd w:val="clear" w:color="auto" w:fill="auto"/>
          </w:tcPr>
          <w:p w14:paraId="5E1B9AA3" w14:textId="77777777" w:rsidR="00302BFE" w:rsidRPr="00902601" w:rsidRDefault="00302BFE" w:rsidP="00243B15">
            <w:pPr>
              <w:rPr>
                <w:highlight w:val="green"/>
                <w:lang w:val="en-CA"/>
              </w:rPr>
            </w:pPr>
          </w:p>
        </w:tc>
        <w:tc>
          <w:tcPr>
            <w:tcW w:w="340" w:type="dxa"/>
            <w:shd w:val="clear" w:color="auto" w:fill="auto"/>
          </w:tcPr>
          <w:p w14:paraId="64083502" w14:textId="77777777" w:rsidR="00302BFE" w:rsidRPr="00902601" w:rsidRDefault="00302BFE" w:rsidP="00243B15">
            <w:pPr>
              <w:rPr>
                <w:highlight w:val="green"/>
                <w:lang w:val="en-CA"/>
              </w:rPr>
            </w:pPr>
          </w:p>
        </w:tc>
        <w:tc>
          <w:tcPr>
            <w:tcW w:w="340" w:type="dxa"/>
            <w:shd w:val="clear" w:color="auto" w:fill="auto"/>
          </w:tcPr>
          <w:p w14:paraId="29E666BE" w14:textId="77777777" w:rsidR="00302BFE" w:rsidRPr="00902601" w:rsidRDefault="00302BFE" w:rsidP="00243B15">
            <w:pPr>
              <w:rPr>
                <w:highlight w:val="green"/>
                <w:lang w:val="en-CA"/>
              </w:rPr>
            </w:pPr>
          </w:p>
        </w:tc>
        <w:tc>
          <w:tcPr>
            <w:tcW w:w="340" w:type="dxa"/>
            <w:shd w:val="clear" w:color="auto" w:fill="auto"/>
          </w:tcPr>
          <w:p w14:paraId="070058C6" w14:textId="77777777" w:rsidR="00302BFE" w:rsidRPr="00902601" w:rsidRDefault="00302BFE" w:rsidP="00243B15">
            <w:pPr>
              <w:rPr>
                <w:highlight w:val="green"/>
                <w:lang w:val="en-CA"/>
              </w:rPr>
            </w:pPr>
          </w:p>
        </w:tc>
        <w:tc>
          <w:tcPr>
            <w:tcW w:w="340" w:type="dxa"/>
            <w:shd w:val="clear" w:color="auto" w:fill="auto"/>
          </w:tcPr>
          <w:p w14:paraId="335A5DED" w14:textId="77777777" w:rsidR="00302BFE" w:rsidRPr="00902601" w:rsidRDefault="00302BFE" w:rsidP="00243B15">
            <w:pPr>
              <w:rPr>
                <w:highlight w:val="green"/>
                <w:lang w:val="en-CA"/>
              </w:rPr>
            </w:pPr>
          </w:p>
        </w:tc>
        <w:tc>
          <w:tcPr>
            <w:tcW w:w="340" w:type="dxa"/>
            <w:shd w:val="clear" w:color="auto" w:fill="auto"/>
          </w:tcPr>
          <w:p w14:paraId="2CD21734" w14:textId="77777777" w:rsidR="00302BFE" w:rsidRPr="00902601" w:rsidRDefault="00302BFE" w:rsidP="00243B15">
            <w:pPr>
              <w:rPr>
                <w:highlight w:val="green"/>
                <w:lang w:val="en-CA"/>
              </w:rPr>
            </w:pPr>
          </w:p>
        </w:tc>
        <w:tc>
          <w:tcPr>
            <w:tcW w:w="340" w:type="dxa"/>
            <w:shd w:val="clear" w:color="auto" w:fill="auto"/>
          </w:tcPr>
          <w:p w14:paraId="12D0F205" w14:textId="77777777" w:rsidR="00302BFE" w:rsidRPr="00902601" w:rsidRDefault="00302BFE" w:rsidP="00243B15">
            <w:pPr>
              <w:rPr>
                <w:highlight w:val="green"/>
                <w:lang w:val="en-CA"/>
              </w:rPr>
            </w:pPr>
          </w:p>
        </w:tc>
        <w:tc>
          <w:tcPr>
            <w:tcW w:w="340" w:type="dxa"/>
            <w:shd w:val="clear" w:color="auto" w:fill="auto"/>
          </w:tcPr>
          <w:p w14:paraId="74E17245" w14:textId="77777777" w:rsidR="00302BFE" w:rsidRPr="00902601" w:rsidRDefault="00302BFE" w:rsidP="00243B15">
            <w:pPr>
              <w:rPr>
                <w:highlight w:val="green"/>
                <w:lang w:val="en-CA"/>
              </w:rPr>
            </w:pPr>
          </w:p>
        </w:tc>
        <w:tc>
          <w:tcPr>
            <w:tcW w:w="340" w:type="dxa"/>
            <w:shd w:val="clear" w:color="auto" w:fill="auto"/>
          </w:tcPr>
          <w:p w14:paraId="07E9B3B6" w14:textId="77777777" w:rsidR="00302BFE" w:rsidRPr="00902601" w:rsidRDefault="00302BFE" w:rsidP="00243B15">
            <w:pPr>
              <w:rPr>
                <w:highlight w:val="green"/>
                <w:lang w:val="en-CA"/>
              </w:rPr>
            </w:pPr>
          </w:p>
        </w:tc>
        <w:tc>
          <w:tcPr>
            <w:tcW w:w="340" w:type="dxa"/>
            <w:shd w:val="clear" w:color="auto" w:fill="auto"/>
          </w:tcPr>
          <w:p w14:paraId="2B9FFD4C" w14:textId="77777777" w:rsidR="00302BFE" w:rsidRPr="00902601" w:rsidRDefault="00302BFE" w:rsidP="00243B15">
            <w:pPr>
              <w:rPr>
                <w:highlight w:val="green"/>
                <w:lang w:val="en-CA"/>
              </w:rPr>
            </w:pPr>
          </w:p>
        </w:tc>
        <w:tc>
          <w:tcPr>
            <w:tcW w:w="340" w:type="dxa"/>
            <w:shd w:val="clear" w:color="auto" w:fill="auto"/>
          </w:tcPr>
          <w:p w14:paraId="33C51E95" w14:textId="77777777" w:rsidR="00302BFE" w:rsidRPr="00902601" w:rsidRDefault="00302BFE" w:rsidP="00243B15">
            <w:pPr>
              <w:rPr>
                <w:highlight w:val="green"/>
                <w:lang w:val="en-CA"/>
              </w:rPr>
            </w:pPr>
          </w:p>
        </w:tc>
        <w:tc>
          <w:tcPr>
            <w:tcW w:w="340" w:type="dxa"/>
            <w:shd w:val="clear" w:color="auto" w:fill="auto"/>
          </w:tcPr>
          <w:p w14:paraId="2C330908" w14:textId="77777777" w:rsidR="00302BFE" w:rsidRPr="00902601" w:rsidRDefault="00302BFE" w:rsidP="00243B15">
            <w:pPr>
              <w:rPr>
                <w:highlight w:val="green"/>
                <w:lang w:val="en-CA"/>
              </w:rPr>
            </w:pPr>
          </w:p>
        </w:tc>
      </w:tr>
      <w:tr w:rsidR="00302BFE" w:rsidRPr="00902601" w14:paraId="3655904B" w14:textId="77777777" w:rsidTr="00243B15">
        <w:trPr>
          <w:jc w:val="center"/>
        </w:trPr>
        <w:tc>
          <w:tcPr>
            <w:tcW w:w="5670" w:type="dxa"/>
            <w:shd w:val="clear" w:color="auto" w:fill="auto"/>
          </w:tcPr>
          <w:p w14:paraId="198CEE8F" w14:textId="77777777" w:rsidR="00302BFE" w:rsidRPr="00902601" w:rsidRDefault="00302BFE" w:rsidP="00243B15">
            <w:pPr>
              <w:rPr>
                <w:i/>
                <w:color w:val="4472C4"/>
                <w:sz w:val="16"/>
                <w:szCs w:val="16"/>
                <w:highlight w:val="green"/>
                <w:lang w:val="en-CA"/>
              </w:rPr>
            </w:pPr>
            <w:r w:rsidRPr="00902601">
              <w:rPr>
                <w:sz w:val="16"/>
                <w:szCs w:val="16"/>
                <w:highlight w:val="green"/>
                <w:lang w:val="en-CA"/>
              </w:rPr>
              <w:t>Output 1.5 Management requirements for the units of the territory, support the implementation of the PONASI Landscape Management Master Plan</w:t>
            </w:r>
          </w:p>
        </w:tc>
        <w:tc>
          <w:tcPr>
            <w:tcW w:w="8160" w:type="dxa"/>
            <w:gridSpan w:val="24"/>
            <w:shd w:val="clear" w:color="auto" w:fill="auto"/>
          </w:tcPr>
          <w:p w14:paraId="4EA8A1D7" w14:textId="77777777" w:rsidR="00302BFE" w:rsidRPr="00902601" w:rsidRDefault="00302BFE" w:rsidP="00243B15">
            <w:pPr>
              <w:rPr>
                <w:highlight w:val="green"/>
                <w:lang w:val="en-CA"/>
              </w:rPr>
            </w:pPr>
          </w:p>
        </w:tc>
      </w:tr>
      <w:tr w:rsidR="00755BF9" w:rsidRPr="00902601" w14:paraId="564F498B" w14:textId="77777777" w:rsidTr="00755BF9">
        <w:trPr>
          <w:jc w:val="center"/>
        </w:trPr>
        <w:tc>
          <w:tcPr>
            <w:tcW w:w="5670" w:type="dxa"/>
            <w:shd w:val="clear" w:color="auto" w:fill="auto"/>
          </w:tcPr>
          <w:p w14:paraId="0B8D6943" w14:textId="77777777" w:rsidR="00302BFE" w:rsidRPr="00902601" w:rsidRDefault="00302BFE" w:rsidP="00243B15">
            <w:pPr>
              <w:rPr>
                <w:sz w:val="16"/>
                <w:szCs w:val="16"/>
                <w:highlight w:val="green"/>
                <w:lang w:val="en-CA"/>
              </w:rPr>
            </w:pPr>
            <w:r w:rsidRPr="00902601">
              <w:rPr>
                <w:i/>
                <w:color w:val="4472C4"/>
                <w:sz w:val="16"/>
                <w:szCs w:val="16"/>
                <w:highlight w:val="green"/>
                <w:lang w:val="en-GB"/>
              </w:rPr>
              <w:t>1.5.1 Establishment of management prescriptions for the various territory units within the PONASI landscape</w:t>
            </w:r>
          </w:p>
        </w:tc>
        <w:tc>
          <w:tcPr>
            <w:tcW w:w="340" w:type="dxa"/>
            <w:shd w:val="clear" w:color="auto" w:fill="auto"/>
          </w:tcPr>
          <w:p w14:paraId="4B0BE4EA" w14:textId="77777777" w:rsidR="00302BFE" w:rsidRPr="00902601" w:rsidRDefault="00302BFE" w:rsidP="00243B15">
            <w:pPr>
              <w:rPr>
                <w:highlight w:val="green"/>
                <w:lang w:val="en-CA"/>
              </w:rPr>
            </w:pPr>
          </w:p>
        </w:tc>
        <w:tc>
          <w:tcPr>
            <w:tcW w:w="340" w:type="dxa"/>
            <w:shd w:val="clear" w:color="auto" w:fill="auto"/>
          </w:tcPr>
          <w:p w14:paraId="2259B9FB" w14:textId="77777777" w:rsidR="00302BFE" w:rsidRPr="00902601" w:rsidRDefault="00302BFE" w:rsidP="00243B15">
            <w:pPr>
              <w:rPr>
                <w:highlight w:val="green"/>
                <w:lang w:val="en-CA"/>
              </w:rPr>
            </w:pPr>
          </w:p>
        </w:tc>
        <w:tc>
          <w:tcPr>
            <w:tcW w:w="340" w:type="dxa"/>
            <w:shd w:val="clear" w:color="auto" w:fill="auto"/>
          </w:tcPr>
          <w:p w14:paraId="674084E8" w14:textId="77777777" w:rsidR="00302BFE" w:rsidRPr="00902601" w:rsidRDefault="00302BFE" w:rsidP="00243B15">
            <w:pPr>
              <w:rPr>
                <w:highlight w:val="green"/>
                <w:lang w:val="en-CA"/>
              </w:rPr>
            </w:pPr>
          </w:p>
        </w:tc>
        <w:tc>
          <w:tcPr>
            <w:tcW w:w="340" w:type="dxa"/>
            <w:shd w:val="clear" w:color="auto" w:fill="auto"/>
          </w:tcPr>
          <w:p w14:paraId="3137B75C" w14:textId="77777777" w:rsidR="00302BFE" w:rsidRPr="00902601" w:rsidRDefault="00302BFE" w:rsidP="00243B15">
            <w:pPr>
              <w:rPr>
                <w:highlight w:val="green"/>
                <w:lang w:val="en-CA"/>
              </w:rPr>
            </w:pPr>
          </w:p>
        </w:tc>
        <w:tc>
          <w:tcPr>
            <w:tcW w:w="340" w:type="dxa"/>
            <w:shd w:val="clear" w:color="auto" w:fill="D9D9D9"/>
          </w:tcPr>
          <w:p w14:paraId="418220A9" w14:textId="77777777" w:rsidR="00302BFE" w:rsidRPr="00902601" w:rsidRDefault="00302BFE" w:rsidP="00243B15">
            <w:pPr>
              <w:rPr>
                <w:highlight w:val="green"/>
                <w:lang w:val="en-CA"/>
              </w:rPr>
            </w:pPr>
          </w:p>
        </w:tc>
        <w:tc>
          <w:tcPr>
            <w:tcW w:w="340" w:type="dxa"/>
            <w:shd w:val="clear" w:color="auto" w:fill="D9D9D9"/>
          </w:tcPr>
          <w:p w14:paraId="382BBDE0"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012002FC"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441F3166"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7BB6E434"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325D9581"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4B3D3E05"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07811C96"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7F326700"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4BA67A43"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4CAD4191"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2DB940BA"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36F4EC5F"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6D1CD951"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06C9EC58"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0B7C9F73"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46FDAA16"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0C72E763"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2F2368D4" w14:textId="77777777" w:rsidR="00302BFE" w:rsidRPr="00902601" w:rsidRDefault="00302BFE" w:rsidP="00243B15">
            <w:pPr>
              <w:rPr>
                <w:highlight w:val="green"/>
                <w:lang w:val="en-CA"/>
              </w:rPr>
            </w:pPr>
          </w:p>
        </w:tc>
        <w:tc>
          <w:tcPr>
            <w:tcW w:w="340" w:type="dxa"/>
            <w:shd w:val="clear" w:color="auto" w:fill="auto"/>
          </w:tcPr>
          <w:p w14:paraId="7C7958C4" w14:textId="77777777" w:rsidR="00302BFE" w:rsidRPr="00902601" w:rsidRDefault="00302BFE" w:rsidP="00243B15">
            <w:pPr>
              <w:rPr>
                <w:highlight w:val="green"/>
                <w:lang w:val="en-CA"/>
              </w:rPr>
            </w:pPr>
          </w:p>
        </w:tc>
      </w:tr>
      <w:tr w:rsidR="005979FD" w:rsidRPr="00902601" w14:paraId="49E76546" w14:textId="77777777" w:rsidTr="00CC2FAC">
        <w:trPr>
          <w:jc w:val="center"/>
        </w:trPr>
        <w:tc>
          <w:tcPr>
            <w:tcW w:w="5670" w:type="dxa"/>
            <w:shd w:val="clear" w:color="auto" w:fill="auto"/>
          </w:tcPr>
          <w:p w14:paraId="3AC53A87" w14:textId="77777777" w:rsidR="00302BFE" w:rsidRPr="00902601" w:rsidRDefault="00302BFE" w:rsidP="00243B15">
            <w:pPr>
              <w:rPr>
                <w:sz w:val="16"/>
                <w:szCs w:val="16"/>
                <w:highlight w:val="green"/>
                <w:lang w:val="en-CA"/>
              </w:rPr>
            </w:pPr>
            <w:r w:rsidRPr="00902601">
              <w:rPr>
                <w:i/>
                <w:color w:val="4472C4"/>
                <w:sz w:val="16"/>
                <w:szCs w:val="16"/>
                <w:highlight w:val="green"/>
                <w:lang w:val="en-GB"/>
              </w:rPr>
              <w:t>1.5.2 Monitoring system for the implementation of the master plan and its effects</w:t>
            </w:r>
          </w:p>
        </w:tc>
        <w:tc>
          <w:tcPr>
            <w:tcW w:w="340" w:type="dxa"/>
            <w:shd w:val="clear" w:color="auto" w:fill="auto"/>
          </w:tcPr>
          <w:p w14:paraId="3B632F80" w14:textId="77777777" w:rsidR="00302BFE" w:rsidRPr="00902601" w:rsidRDefault="00302BFE" w:rsidP="00243B15">
            <w:pPr>
              <w:rPr>
                <w:highlight w:val="green"/>
                <w:lang w:val="en-CA"/>
              </w:rPr>
            </w:pPr>
          </w:p>
        </w:tc>
        <w:tc>
          <w:tcPr>
            <w:tcW w:w="340" w:type="dxa"/>
            <w:shd w:val="clear" w:color="auto" w:fill="auto"/>
          </w:tcPr>
          <w:p w14:paraId="67220EE6" w14:textId="77777777" w:rsidR="00302BFE" w:rsidRPr="00902601" w:rsidRDefault="00302BFE" w:rsidP="00243B15">
            <w:pPr>
              <w:rPr>
                <w:highlight w:val="green"/>
                <w:lang w:val="en-CA"/>
              </w:rPr>
            </w:pPr>
          </w:p>
        </w:tc>
        <w:tc>
          <w:tcPr>
            <w:tcW w:w="340" w:type="dxa"/>
            <w:shd w:val="clear" w:color="auto" w:fill="auto"/>
          </w:tcPr>
          <w:p w14:paraId="20A27FBF" w14:textId="77777777" w:rsidR="00302BFE" w:rsidRPr="00902601" w:rsidRDefault="00302BFE" w:rsidP="00243B15">
            <w:pPr>
              <w:rPr>
                <w:highlight w:val="green"/>
                <w:lang w:val="en-CA"/>
              </w:rPr>
            </w:pPr>
          </w:p>
        </w:tc>
        <w:tc>
          <w:tcPr>
            <w:tcW w:w="340" w:type="dxa"/>
            <w:shd w:val="clear" w:color="auto" w:fill="auto"/>
          </w:tcPr>
          <w:p w14:paraId="150B9556" w14:textId="77777777" w:rsidR="00302BFE" w:rsidRPr="00902601" w:rsidRDefault="00302BFE" w:rsidP="00243B15">
            <w:pPr>
              <w:rPr>
                <w:highlight w:val="green"/>
                <w:lang w:val="en-CA"/>
              </w:rPr>
            </w:pPr>
          </w:p>
        </w:tc>
        <w:tc>
          <w:tcPr>
            <w:tcW w:w="340" w:type="dxa"/>
            <w:shd w:val="clear" w:color="auto" w:fill="auto"/>
          </w:tcPr>
          <w:p w14:paraId="786CBAA3" w14:textId="77777777" w:rsidR="00302BFE" w:rsidRPr="00902601" w:rsidRDefault="00302BFE" w:rsidP="00243B15">
            <w:pPr>
              <w:rPr>
                <w:highlight w:val="green"/>
                <w:lang w:val="en-CA"/>
              </w:rPr>
            </w:pPr>
          </w:p>
        </w:tc>
        <w:tc>
          <w:tcPr>
            <w:tcW w:w="340" w:type="dxa"/>
            <w:shd w:val="clear" w:color="auto" w:fill="auto"/>
          </w:tcPr>
          <w:p w14:paraId="7E40FA78" w14:textId="77777777" w:rsidR="00302BFE" w:rsidRPr="00902601" w:rsidRDefault="00302BFE" w:rsidP="00243B15">
            <w:pPr>
              <w:rPr>
                <w:highlight w:val="green"/>
                <w:lang w:val="en-CA"/>
              </w:rPr>
            </w:pPr>
          </w:p>
        </w:tc>
        <w:tc>
          <w:tcPr>
            <w:tcW w:w="340" w:type="dxa"/>
            <w:shd w:val="clear" w:color="auto" w:fill="D9D9D9"/>
          </w:tcPr>
          <w:p w14:paraId="1DD5C628"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2D1FAA0D"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32CB6D12"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412415CB"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2064E6D0"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59F779C6"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06079453"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6BD1DD23"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6D1D6F43"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1D425EBE"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16396D2D"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341E1C22"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022A1474"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235F6049"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1CFDA891"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4A387733"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7341C607" w14:textId="77777777" w:rsidR="00302BFE" w:rsidRPr="00902601" w:rsidRDefault="00302BFE" w:rsidP="00243B15">
            <w:pPr>
              <w:rPr>
                <w:highlight w:val="green"/>
                <w:lang w:val="en-CA"/>
              </w:rPr>
            </w:pPr>
          </w:p>
        </w:tc>
        <w:tc>
          <w:tcPr>
            <w:tcW w:w="340" w:type="dxa"/>
            <w:shd w:val="clear" w:color="auto" w:fill="auto"/>
          </w:tcPr>
          <w:p w14:paraId="3D56E6F7" w14:textId="77777777" w:rsidR="00302BFE" w:rsidRPr="00902601" w:rsidRDefault="00302BFE" w:rsidP="00243B15">
            <w:pPr>
              <w:rPr>
                <w:highlight w:val="green"/>
                <w:lang w:val="en-CA"/>
              </w:rPr>
            </w:pPr>
          </w:p>
        </w:tc>
      </w:tr>
      <w:tr w:rsidR="005979FD" w:rsidRPr="00902601" w14:paraId="2A624855" w14:textId="77777777" w:rsidTr="00CC2FAC">
        <w:trPr>
          <w:jc w:val="center"/>
        </w:trPr>
        <w:tc>
          <w:tcPr>
            <w:tcW w:w="5670" w:type="dxa"/>
            <w:shd w:val="clear" w:color="auto" w:fill="auto"/>
          </w:tcPr>
          <w:p w14:paraId="4D251C93" w14:textId="77777777" w:rsidR="00302BFE" w:rsidRPr="00902601" w:rsidRDefault="00302BFE" w:rsidP="00243B15">
            <w:pPr>
              <w:rPr>
                <w:sz w:val="16"/>
                <w:szCs w:val="16"/>
                <w:highlight w:val="green"/>
                <w:lang w:val="en-CA"/>
              </w:rPr>
            </w:pPr>
            <w:r w:rsidRPr="00902601">
              <w:rPr>
                <w:i/>
                <w:color w:val="4472C4"/>
                <w:sz w:val="16"/>
                <w:szCs w:val="16"/>
                <w:highlight w:val="green"/>
                <w:lang w:val="en-GB"/>
              </w:rPr>
              <w:t>1.5.3 Design and implementation of incentives and disincentives to promote compliance to the Master Plan</w:t>
            </w:r>
          </w:p>
        </w:tc>
        <w:tc>
          <w:tcPr>
            <w:tcW w:w="340" w:type="dxa"/>
            <w:shd w:val="clear" w:color="auto" w:fill="auto"/>
          </w:tcPr>
          <w:p w14:paraId="23C60DB1" w14:textId="77777777" w:rsidR="00302BFE" w:rsidRPr="00902601" w:rsidRDefault="00302BFE" w:rsidP="00243B15">
            <w:pPr>
              <w:rPr>
                <w:highlight w:val="green"/>
                <w:lang w:val="en-CA"/>
              </w:rPr>
            </w:pPr>
          </w:p>
        </w:tc>
        <w:tc>
          <w:tcPr>
            <w:tcW w:w="340" w:type="dxa"/>
            <w:shd w:val="clear" w:color="auto" w:fill="auto"/>
          </w:tcPr>
          <w:p w14:paraId="0008146C" w14:textId="77777777" w:rsidR="00302BFE" w:rsidRPr="00902601" w:rsidRDefault="00302BFE" w:rsidP="00243B15">
            <w:pPr>
              <w:rPr>
                <w:highlight w:val="green"/>
                <w:lang w:val="en-CA"/>
              </w:rPr>
            </w:pPr>
          </w:p>
        </w:tc>
        <w:tc>
          <w:tcPr>
            <w:tcW w:w="340" w:type="dxa"/>
            <w:shd w:val="clear" w:color="auto" w:fill="auto"/>
          </w:tcPr>
          <w:p w14:paraId="510433E6" w14:textId="77777777" w:rsidR="00302BFE" w:rsidRPr="00902601" w:rsidRDefault="00302BFE" w:rsidP="00243B15">
            <w:pPr>
              <w:rPr>
                <w:highlight w:val="green"/>
                <w:lang w:val="en-CA"/>
              </w:rPr>
            </w:pPr>
          </w:p>
        </w:tc>
        <w:tc>
          <w:tcPr>
            <w:tcW w:w="340" w:type="dxa"/>
            <w:shd w:val="clear" w:color="auto" w:fill="auto"/>
          </w:tcPr>
          <w:p w14:paraId="2947CF08" w14:textId="77777777" w:rsidR="00302BFE" w:rsidRPr="00902601" w:rsidRDefault="00302BFE" w:rsidP="00243B15">
            <w:pPr>
              <w:rPr>
                <w:highlight w:val="green"/>
                <w:lang w:val="en-CA"/>
              </w:rPr>
            </w:pPr>
          </w:p>
        </w:tc>
        <w:tc>
          <w:tcPr>
            <w:tcW w:w="340" w:type="dxa"/>
            <w:shd w:val="clear" w:color="auto" w:fill="auto"/>
          </w:tcPr>
          <w:p w14:paraId="42DE2A2B" w14:textId="77777777" w:rsidR="00302BFE" w:rsidRPr="00902601" w:rsidRDefault="00302BFE" w:rsidP="00243B15">
            <w:pPr>
              <w:rPr>
                <w:highlight w:val="green"/>
                <w:lang w:val="en-CA"/>
              </w:rPr>
            </w:pPr>
          </w:p>
        </w:tc>
        <w:tc>
          <w:tcPr>
            <w:tcW w:w="340" w:type="dxa"/>
            <w:shd w:val="clear" w:color="auto" w:fill="auto"/>
          </w:tcPr>
          <w:p w14:paraId="6004794E" w14:textId="77777777" w:rsidR="00302BFE" w:rsidRPr="00902601" w:rsidRDefault="00302BFE" w:rsidP="00243B15">
            <w:pPr>
              <w:rPr>
                <w:highlight w:val="green"/>
                <w:lang w:val="en-CA"/>
              </w:rPr>
            </w:pPr>
          </w:p>
        </w:tc>
        <w:tc>
          <w:tcPr>
            <w:tcW w:w="340" w:type="dxa"/>
            <w:shd w:val="clear" w:color="auto" w:fill="auto"/>
          </w:tcPr>
          <w:p w14:paraId="26AE7C54"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0EE477F0" w14:textId="77777777" w:rsidR="00302BFE" w:rsidRPr="00902601" w:rsidRDefault="00302BFE" w:rsidP="00243B15">
            <w:pPr>
              <w:rPr>
                <w:highlight w:val="green"/>
                <w:lang w:val="en-CA"/>
              </w:rPr>
            </w:pPr>
          </w:p>
        </w:tc>
        <w:tc>
          <w:tcPr>
            <w:tcW w:w="340" w:type="dxa"/>
            <w:shd w:val="clear" w:color="auto" w:fill="D9D9D9"/>
          </w:tcPr>
          <w:p w14:paraId="6DD9E85C" w14:textId="77777777" w:rsidR="00302BFE" w:rsidRPr="00902601" w:rsidRDefault="00302BFE" w:rsidP="00243B15">
            <w:pPr>
              <w:rPr>
                <w:highlight w:val="green"/>
                <w:lang w:val="en-CA"/>
              </w:rPr>
            </w:pPr>
          </w:p>
        </w:tc>
        <w:tc>
          <w:tcPr>
            <w:tcW w:w="340" w:type="dxa"/>
            <w:shd w:val="clear" w:color="auto" w:fill="D9D9D9"/>
          </w:tcPr>
          <w:p w14:paraId="5BB3F7C6" w14:textId="77777777" w:rsidR="00302BFE" w:rsidRPr="00902601" w:rsidRDefault="00302BFE" w:rsidP="00243B15">
            <w:pPr>
              <w:rPr>
                <w:highlight w:val="green"/>
                <w:lang w:val="en-CA"/>
              </w:rPr>
            </w:pPr>
          </w:p>
        </w:tc>
        <w:tc>
          <w:tcPr>
            <w:tcW w:w="340" w:type="dxa"/>
            <w:shd w:val="clear" w:color="auto" w:fill="D9D9D9"/>
          </w:tcPr>
          <w:p w14:paraId="22354591" w14:textId="77777777" w:rsidR="00302BFE" w:rsidRPr="00902601" w:rsidRDefault="00302BFE" w:rsidP="00243B15">
            <w:pPr>
              <w:rPr>
                <w:highlight w:val="green"/>
                <w:lang w:val="en-CA"/>
              </w:rPr>
            </w:pPr>
          </w:p>
        </w:tc>
        <w:tc>
          <w:tcPr>
            <w:tcW w:w="340" w:type="dxa"/>
            <w:shd w:val="clear" w:color="auto" w:fill="D9D9D9"/>
          </w:tcPr>
          <w:p w14:paraId="70BA8EF5" w14:textId="77777777" w:rsidR="00302BFE" w:rsidRPr="00902601" w:rsidRDefault="00302BFE" w:rsidP="00243B15">
            <w:pPr>
              <w:rPr>
                <w:highlight w:val="green"/>
                <w:lang w:val="en-CA"/>
              </w:rPr>
            </w:pPr>
          </w:p>
        </w:tc>
        <w:tc>
          <w:tcPr>
            <w:tcW w:w="340" w:type="dxa"/>
            <w:shd w:val="clear" w:color="auto" w:fill="D9D9D9"/>
          </w:tcPr>
          <w:p w14:paraId="400B518D" w14:textId="77777777" w:rsidR="00302BFE" w:rsidRPr="00902601" w:rsidRDefault="00302BFE" w:rsidP="00243B15">
            <w:pPr>
              <w:rPr>
                <w:highlight w:val="green"/>
                <w:lang w:val="en-CA"/>
              </w:rPr>
            </w:pPr>
          </w:p>
        </w:tc>
        <w:tc>
          <w:tcPr>
            <w:tcW w:w="340" w:type="dxa"/>
            <w:shd w:val="clear" w:color="auto" w:fill="D9D9D9"/>
          </w:tcPr>
          <w:p w14:paraId="0D447481" w14:textId="77777777" w:rsidR="00302BFE" w:rsidRPr="00902601" w:rsidRDefault="00302BFE" w:rsidP="00243B15">
            <w:pPr>
              <w:rPr>
                <w:highlight w:val="green"/>
                <w:lang w:val="en-CA"/>
              </w:rPr>
            </w:pPr>
          </w:p>
        </w:tc>
        <w:tc>
          <w:tcPr>
            <w:tcW w:w="340" w:type="dxa"/>
            <w:shd w:val="clear" w:color="auto" w:fill="D9D9D9"/>
          </w:tcPr>
          <w:p w14:paraId="16362A05" w14:textId="77777777" w:rsidR="00302BFE" w:rsidRPr="00902601" w:rsidRDefault="00302BFE" w:rsidP="00243B15">
            <w:pPr>
              <w:rPr>
                <w:highlight w:val="green"/>
                <w:lang w:val="en-CA"/>
              </w:rPr>
            </w:pPr>
          </w:p>
        </w:tc>
        <w:tc>
          <w:tcPr>
            <w:tcW w:w="340" w:type="dxa"/>
            <w:shd w:val="clear" w:color="auto" w:fill="D9D9D9"/>
          </w:tcPr>
          <w:p w14:paraId="36F6BB4A" w14:textId="77777777" w:rsidR="00302BFE" w:rsidRPr="00902601" w:rsidRDefault="00302BFE" w:rsidP="00243B15">
            <w:pPr>
              <w:rPr>
                <w:highlight w:val="green"/>
                <w:lang w:val="en-CA"/>
              </w:rPr>
            </w:pPr>
          </w:p>
        </w:tc>
        <w:tc>
          <w:tcPr>
            <w:tcW w:w="340" w:type="dxa"/>
            <w:shd w:val="clear" w:color="auto" w:fill="D9D9D9"/>
          </w:tcPr>
          <w:p w14:paraId="327BC593" w14:textId="77777777" w:rsidR="00302BFE" w:rsidRPr="00902601" w:rsidRDefault="00302BFE" w:rsidP="00243B15">
            <w:pPr>
              <w:rPr>
                <w:highlight w:val="green"/>
                <w:lang w:val="en-CA"/>
              </w:rPr>
            </w:pPr>
          </w:p>
        </w:tc>
        <w:tc>
          <w:tcPr>
            <w:tcW w:w="340" w:type="dxa"/>
            <w:shd w:val="clear" w:color="auto" w:fill="D9D9D9"/>
          </w:tcPr>
          <w:p w14:paraId="51575B03" w14:textId="77777777" w:rsidR="00302BFE" w:rsidRPr="00902601" w:rsidRDefault="00302BFE" w:rsidP="00243B15">
            <w:pPr>
              <w:rPr>
                <w:highlight w:val="green"/>
                <w:lang w:val="en-CA"/>
              </w:rPr>
            </w:pPr>
          </w:p>
        </w:tc>
        <w:tc>
          <w:tcPr>
            <w:tcW w:w="340" w:type="dxa"/>
            <w:shd w:val="clear" w:color="auto" w:fill="D9D9D9"/>
          </w:tcPr>
          <w:p w14:paraId="1F4B6E4A" w14:textId="77777777" w:rsidR="00302BFE" w:rsidRPr="00902601" w:rsidRDefault="00302BFE" w:rsidP="00243B15">
            <w:pPr>
              <w:rPr>
                <w:highlight w:val="green"/>
                <w:lang w:val="en-CA"/>
              </w:rPr>
            </w:pPr>
          </w:p>
        </w:tc>
        <w:tc>
          <w:tcPr>
            <w:tcW w:w="340" w:type="dxa"/>
            <w:shd w:val="clear" w:color="auto" w:fill="D9D9D9"/>
          </w:tcPr>
          <w:p w14:paraId="2BD2CB73" w14:textId="77777777" w:rsidR="00302BFE" w:rsidRPr="00902601" w:rsidRDefault="00302BFE" w:rsidP="00243B15">
            <w:pPr>
              <w:rPr>
                <w:highlight w:val="green"/>
                <w:lang w:val="en-CA"/>
              </w:rPr>
            </w:pPr>
          </w:p>
        </w:tc>
        <w:tc>
          <w:tcPr>
            <w:tcW w:w="340" w:type="dxa"/>
            <w:shd w:val="clear" w:color="auto" w:fill="D9D9D9"/>
          </w:tcPr>
          <w:p w14:paraId="50D3C7F4" w14:textId="77777777" w:rsidR="00302BFE" w:rsidRPr="00902601" w:rsidRDefault="00302BFE" w:rsidP="00243B15">
            <w:pPr>
              <w:rPr>
                <w:highlight w:val="green"/>
                <w:lang w:val="en-CA"/>
              </w:rPr>
            </w:pPr>
          </w:p>
        </w:tc>
        <w:tc>
          <w:tcPr>
            <w:tcW w:w="340" w:type="dxa"/>
            <w:shd w:val="clear" w:color="auto" w:fill="D9D9D9"/>
          </w:tcPr>
          <w:p w14:paraId="67AAB8ED" w14:textId="77777777" w:rsidR="00302BFE" w:rsidRPr="00902601" w:rsidRDefault="00302BFE" w:rsidP="00243B15">
            <w:pPr>
              <w:rPr>
                <w:highlight w:val="green"/>
                <w:lang w:val="en-CA"/>
              </w:rPr>
            </w:pPr>
          </w:p>
        </w:tc>
        <w:tc>
          <w:tcPr>
            <w:tcW w:w="340" w:type="dxa"/>
            <w:shd w:val="clear" w:color="auto" w:fill="D9D9D9"/>
          </w:tcPr>
          <w:p w14:paraId="1B853B69" w14:textId="77777777" w:rsidR="00302BFE" w:rsidRPr="00902601" w:rsidRDefault="00302BFE" w:rsidP="00243B15">
            <w:pPr>
              <w:rPr>
                <w:highlight w:val="green"/>
                <w:lang w:val="en-CA"/>
              </w:rPr>
            </w:pPr>
          </w:p>
        </w:tc>
        <w:tc>
          <w:tcPr>
            <w:tcW w:w="340" w:type="dxa"/>
            <w:shd w:val="clear" w:color="auto" w:fill="auto"/>
          </w:tcPr>
          <w:p w14:paraId="6144E06B" w14:textId="77777777" w:rsidR="00302BFE" w:rsidRPr="00902601" w:rsidRDefault="00302BFE" w:rsidP="00243B15">
            <w:pPr>
              <w:rPr>
                <w:highlight w:val="green"/>
                <w:lang w:val="en-CA"/>
              </w:rPr>
            </w:pPr>
          </w:p>
        </w:tc>
      </w:tr>
      <w:tr w:rsidR="00755BF9" w:rsidRPr="00902601" w14:paraId="054DA899" w14:textId="77777777" w:rsidTr="00755BF9">
        <w:trPr>
          <w:jc w:val="center"/>
        </w:trPr>
        <w:tc>
          <w:tcPr>
            <w:tcW w:w="5670" w:type="dxa"/>
            <w:shd w:val="clear" w:color="auto" w:fill="auto"/>
          </w:tcPr>
          <w:p w14:paraId="177DA818" w14:textId="77777777" w:rsidR="00302BFE" w:rsidRPr="00902601" w:rsidRDefault="00302BFE" w:rsidP="00243B15">
            <w:pPr>
              <w:rPr>
                <w:sz w:val="16"/>
                <w:szCs w:val="16"/>
                <w:highlight w:val="green"/>
                <w:lang w:val="en-CA"/>
              </w:rPr>
            </w:pPr>
            <w:r w:rsidRPr="00902601">
              <w:rPr>
                <w:i/>
                <w:color w:val="4472C4"/>
                <w:sz w:val="16"/>
                <w:szCs w:val="16"/>
                <w:highlight w:val="green"/>
                <w:lang w:val="en-GB"/>
              </w:rPr>
              <w:t>1.5.4 Establishment of a mechanism to monitor compliance and prevent/manage conflicts</w:t>
            </w:r>
          </w:p>
        </w:tc>
        <w:tc>
          <w:tcPr>
            <w:tcW w:w="340" w:type="dxa"/>
            <w:shd w:val="clear" w:color="auto" w:fill="auto"/>
          </w:tcPr>
          <w:p w14:paraId="4AA65192" w14:textId="77777777" w:rsidR="00302BFE" w:rsidRPr="00902601" w:rsidRDefault="00302BFE" w:rsidP="00243B15">
            <w:pPr>
              <w:rPr>
                <w:highlight w:val="green"/>
                <w:lang w:val="en-CA"/>
              </w:rPr>
            </w:pPr>
          </w:p>
        </w:tc>
        <w:tc>
          <w:tcPr>
            <w:tcW w:w="340" w:type="dxa"/>
            <w:shd w:val="clear" w:color="auto" w:fill="auto"/>
          </w:tcPr>
          <w:p w14:paraId="6994385C" w14:textId="77777777" w:rsidR="00302BFE" w:rsidRPr="00902601" w:rsidRDefault="00302BFE" w:rsidP="00243B15">
            <w:pPr>
              <w:rPr>
                <w:highlight w:val="green"/>
                <w:lang w:val="en-CA"/>
              </w:rPr>
            </w:pPr>
          </w:p>
        </w:tc>
        <w:tc>
          <w:tcPr>
            <w:tcW w:w="340" w:type="dxa"/>
            <w:shd w:val="clear" w:color="auto" w:fill="auto"/>
          </w:tcPr>
          <w:p w14:paraId="764317F5" w14:textId="77777777" w:rsidR="00302BFE" w:rsidRPr="00902601" w:rsidRDefault="00302BFE" w:rsidP="00243B15">
            <w:pPr>
              <w:rPr>
                <w:highlight w:val="green"/>
                <w:lang w:val="en-CA"/>
              </w:rPr>
            </w:pPr>
          </w:p>
        </w:tc>
        <w:tc>
          <w:tcPr>
            <w:tcW w:w="340" w:type="dxa"/>
            <w:shd w:val="clear" w:color="auto" w:fill="auto"/>
          </w:tcPr>
          <w:p w14:paraId="06FAF97C" w14:textId="77777777" w:rsidR="00302BFE" w:rsidRPr="00902601" w:rsidRDefault="00302BFE" w:rsidP="00243B15">
            <w:pPr>
              <w:rPr>
                <w:highlight w:val="green"/>
                <w:lang w:val="en-CA"/>
              </w:rPr>
            </w:pPr>
          </w:p>
        </w:tc>
        <w:tc>
          <w:tcPr>
            <w:tcW w:w="340" w:type="dxa"/>
            <w:shd w:val="clear" w:color="auto" w:fill="auto"/>
          </w:tcPr>
          <w:p w14:paraId="6541B7AD" w14:textId="77777777" w:rsidR="00302BFE" w:rsidRPr="00902601" w:rsidRDefault="00302BFE" w:rsidP="00243B15">
            <w:pPr>
              <w:rPr>
                <w:highlight w:val="green"/>
                <w:lang w:val="en-CA"/>
              </w:rPr>
            </w:pPr>
          </w:p>
        </w:tc>
        <w:tc>
          <w:tcPr>
            <w:tcW w:w="340" w:type="dxa"/>
            <w:shd w:val="clear" w:color="auto" w:fill="auto"/>
          </w:tcPr>
          <w:p w14:paraId="25305971" w14:textId="77777777" w:rsidR="00302BFE" w:rsidRPr="00902601" w:rsidRDefault="00302BFE" w:rsidP="00243B15">
            <w:pPr>
              <w:rPr>
                <w:highlight w:val="green"/>
                <w:lang w:val="en-CA"/>
              </w:rPr>
            </w:pPr>
          </w:p>
        </w:tc>
        <w:tc>
          <w:tcPr>
            <w:tcW w:w="340" w:type="dxa"/>
            <w:shd w:val="clear" w:color="auto" w:fill="auto"/>
          </w:tcPr>
          <w:p w14:paraId="4AE4059D" w14:textId="77777777" w:rsidR="00302BFE" w:rsidRPr="00902601" w:rsidRDefault="00302BFE" w:rsidP="00243B15">
            <w:pPr>
              <w:rPr>
                <w:highlight w:val="green"/>
                <w:lang w:val="en-CA"/>
              </w:rPr>
            </w:pPr>
          </w:p>
        </w:tc>
        <w:tc>
          <w:tcPr>
            <w:tcW w:w="340" w:type="dxa"/>
            <w:shd w:val="clear" w:color="auto" w:fill="D9D9D9"/>
          </w:tcPr>
          <w:p w14:paraId="28B82F67"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3CFF5451"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2A526F5C"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3786DE49"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4C0A6365"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45940178"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5A092206"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2B6B1A52"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46DD82F9"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3AF6535D"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16E8E683"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7FDFED41"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4C9DC342"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5B58A380"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72854E3F"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7F17C48A" w14:textId="77777777" w:rsidR="00302BFE" w:rsidRPr="00902601" w:rsidRDefault="00302BFE" w:rsidP="00243B15">
            <w:pPr>
              <w:rPr>
                <w:highlight w:val="green"/>
                <w:lang w:val="en-CA"/>
              </w:rPr>
            </w:pPr>
          </w:p>
        </w:tc>
        <w:tc>
          <w:tcPr>
            <w:tcW w:w="340" w:type="dxa"/>
            <w:shd w:val="clear" w:color="auto" w:fill="auto"/>
          </w:tcPr>
          <w:p w14:paraId="4DDBD380" w14:textId="77777777" w:rsidR="00302BFE" w:rsidRPr="00902601" w:rsidRDefault="00302BFE" w:rsidP="00243B15">
            <w:pPr>
              <w:rPr>
                <w:highlight w:val="green"/>
                <w:lang w:val="en-CA"/>
              </w:rPr>
            </w:pPr>
          </w:p>
        </w:tc>
      </w:tr>
      <w:tr w:rsidR="005979FD" w:rsidRPr="00902601" w14:paraId="24D54A80" w14:textId="77777777" w:rsidTr="00CC2FAC">
        <w:trPr>
          <w:jc w:val="center"/>
        </w:trPr>
        <w:tc>
          <w:tcPr>
            <w:tcW w:w="5670" w:type="dxa"/>
            <w:shd w:val="clear" w:color="auto" w:fill="auto"/>
          </w:tcPr>
          <w:p w14:paraId="0F49B9EC" w14:textId="77777777" w:rsidR="00302BFE" w:rsidRPr="00902601" w:rsidRDefault="00302BFE" w:rsidP="00243B15">
            <w:pPr>
              <w:rPr>
                <w:sz w:val="16"/>
                <w:szCs w:val="16"/>
                <w:highlight w:val="green"/>
                <w:lang w:val="en-CA"/>
              </w:rPr>
            </w:pPr>
            <w:r w:rsidRPr="00902601">
              <w:rPr>
                <w:i/>
                <w:color w:val="4472C4"/>
                <w:sz w:val="16"/>
                <w:szCs w:val="16"/>
                <w:highlight w:val="green"/>
                <w:lang w:val="en-GB"/>
              </w:rPr>
              <w:t>1.5.5 Support for the implementation of the PONASI Landscape Management Master Plan</w:t>
            </w:r>
          </w:p>
        </w:tc>
        <w:tc>
          <w:tcPr>
            <w:tcW w:w="340" w:type="dxa"/>
            <w:shd w:val="clear" w:color="auto" w:fill="auto"/>
          </w:tcPr>
          <w:p w14:paraId="1A6E3906" w14:textId="77777777" w:rsidR="00302BFE" w:rsidRPr="00902601" w:rsidRDefault="00302BFE" w:rsidP="00243B15">
            <w:pPr>
              <w:rPr>
                <w:highlight w:val="green"/>
                <w:lang w:val="en-CA"/>
              </w:rPr>
            </w:pPr>
          </w:p>
        </w:tc>
        <w:tc>
          <w:tcPr>
            <w:tcW w:w="340" w:type="dxa"/>
            <w:shd w:val="clear" w:color="auto" w:fill="auto"/>
          </w:tcPr>
          <w:p w14:paraId="118E6E0E" w14:textId="77777777" w:rsidR="00302BFE" w:rsidRPr="00902601" w:rsidRDefault="00302BFE" w:rsidP="00243B15">
            <w:pPr>
              <w:rPr>
                <w:highlight w:val="green"/>
                <w:lang w:val="en-CA"/>
              </w:rPr>
            </w:pPr>
          </w:p>
        </w:tc>
        <w:tc>
          <w:tcPr>
            <w:tcW w:w="340" w:type="dxa"/>
            <w:shd w:val="clear" w:color="auto" w:fill="auto"/>
          </w:tcPr>
          <w:p w14:paraId="2020BE85" w14:textId="77777777" w:rsidR="00302BFE" w:rsidRPr="00902601" w:rsidRDefault="00302BFE" w:rsidP="00243B15">
            <w:pPr>
              <w:rPr>
                <w:highlight w:val="green"/>
                <w:lang w:val="en-CA"/>
              </w:rPr>
            </w:pPr>
          </w:p>
        </w:tc>
        <w:tc>
          <w:tcPr>
            <w:tcW w:w="340" w:type="dxa"/>
            <w:shd w:val="clear" w:color="auto" w:fill="auto"/>
          </w:tcPr>
          <w:p w14:paraId="2339A6F8" w14:textId="77777777" w:rsidR="00302BFE" w:rsidRPr="00902601" w:rsidRDefault="00302BFE" w:rsidP="00243B15">
            <w:pPr>
              <w:rPr>
                <w:highlight w:val="green"/>
                <w:lang w:val="en-CA"/>
              </w:rPr>
            </w:pPr>
          </w:p>
        </w:tc>
        <w:tc>
          <w:tcPr>
            <w:tcW w:w="340" w:type="dxa"/>
            <w:shd w:val="clear" w:color="auto" w:fill="auto"/>
          </w:tcPr>
          <w:p w14:paraId="75C749D6" w14:textId="77777777" w:rsidR="00302BFE" w:rsidRPr="00902601" w:rsidRDefault="00302BFE" w:rsidP="00243B15">
            <w:pPr>
              <w:rPr>
                <w:highlight w:val="green"/>
                <w:lang w:val="en-CA"/>
              </w:rPr>
            </w:pPr>
          </w:p>
        </w:tc>
        <w:tc>
          <w:tcPr>
            <w:tcW w:w="340" w:type="dxa"/>
            <w:shd w:val="clear" w:color="auto" w:fill="auto"/>
          </w:tcPr>
          <w:p w14:paraId="79689D76" w14:textId="77777777" w:rsidR="00302BFE" w:rsidRPr="00902601" w:rsidRDefault="00302BFE" w:rsidP="00243B15">
            <w:pPr>
              <w:rPr>
                <w:highlight w:val="green"/>
                <w:lang w:val="en-CA"/>
              </w:rPr>
            </w:pPr>
          </w:p>
        </w:tc>
        <w:tc>
          <w:tcPr>
            <w:tcW w:w="340" w:type="dxa"/>
            <w:shd w:val="clear" w:color="auto" w:fill="auto"/>
          </w:tcPr>
          <w:p w14:paraId="3D6DA87C" w14:textId="77777777" w:rsidR="00302BFE" w:rsidRPr="00902601" w:rsidRDefault="00302BFE" w:rsidP="00243B15">
            <w:pPr>
              <w:rPr>
                <w:highlight w:val="green"/>
                <w:lang w:val="en-CA"/>
              </w:rPr>
            </w:pPr>
          </w:p>
        </w:tc>
        <w:tc>
          <w:tcPr>
            <w:tcW w:w="340" w:type="dxa"/>
            <w:shd w:val="clear" w:color="auto" w:fill="auto"/>
          </w:tcPr>
          <w:p w14:paraId="32E57730" w14:textId="77777777" w:rsidR="00302BFE" w:rsidRPr="00902601" w:rsidRDefault="00302BFE" w:rsidP="00243B15">
            <w:pPr>
              <w:rPr>
                <w:highlight w:val="green"/>
                <w:lang w:val="en-CA"/>
              </w:rPr>
            </w:pPr>
          </w:p>
        </w:tc>
        <w:tc>
          <w:tcPr>
            <w:tcW w:w="340" w:type="dxa"/>
            <w:shd w:val="clear" w:color="auto" w:fill="D9D9D9"/>
          </w:tcPr>
          <w:p w14:paraId="281A339F" w14:textId="77777777" w:rsidR="00302BFE" w:rsidRPr="00902601" w:rsidRDefault="00302BFE" w:rsidP="00243B15">
            <w:pPr>
              <w:rPr>
                <w:highlight w:val="green"/>
                <w:lang w:val="en-CA"/>
              </w:rPr>
            </w:pPr>
          </w:p>
        </w:tc>
        <w:tc>
          <w:tcPr>
            <w:tcW w:w="340" w:type="dxa"/>
            <w:shd w:val="clear" w:color="auto" w:fill="D9D9D9"/>
          </w:tcPr>
          <w:p w14:paraId="103B23AC" w14:textId="77777777" w:rsidR="00302BFE" w:rsidRPr="00902601" w:rsidRDefault="00302BFE" w:rsidP="00243B15">
            <w:pPr>
              <w:rPr>
                <w:highlight w:val="green"/>
                <w:lang w:val="en-CA"/>
              </w:rPr>
            </w:pPr>
          </w:p>
        </w:tc>
        <w:tc>
          <w:tcPr>
            <w:tcW w:w="340" w:type="dxa"/>
            <w:shd w:val="clear" w:color="auto" w:fill="D9D9D9"/>
          </w:tcPr>
          <w:p w14:paraId="47D426D8" w14:textId="77777777" w:rsidR="00302BFE" w:rsidRPr="00902601" w:rsidRDefault="00302BFE" w:rsidP="00243B15">
            <w:pPr>
              <w:rPr>
                <w:highlight w:val="green"/>
                <w:lang w:val="en-CA"/>
              </w:rPr>
            </w:pPr>
          </w:p>
        </w:tc>
        <w:tc>
          <w:tcPr>
            <w:tcW w:w="340" w:type="dxa"/>
            <w:shd w:val="clear" w:color="auto" w:fill="D9D9D9"/>
          </w:tcPr>
          <w:p w14:paraId="30E31080" w14:textId="77777777" w:rsidR="00302BFE" w:rsidRPr="00902601" w:rsidRDefault="00302BFE" w:rsidP="00243B15">
            <w:pPr>
              <w:rPr>
                <w:highlight w:val="green"/>
                <w:lang w:val="en-CA"/>
              </w:rPr>
            </w:pPr>
          </w:p>
        </w:tc>
        <w:tc>
          <w:tcPr>
            <w:tcW w:w="340" w:type="dxa"/>
            <w:shd w:val="clear" w:color="auto" w:fill="D9D9D9"/>
          </w:tcPr>
          <w:p w14:paraId="11FCC4C9" w14:textId="77777777" w:rsidR="00302BFE" w:rsidRPr="00902601" w:rsidRDefault="00302BFE" w:rsidP="00243B15">
            <w:pPr>
              <w:rPr>
                <w:highlight w:val="green"/>
                <w:lang w:val="en-CA"/>
              </w:rPr>
            </w:pPr>
          </w:p>
        </w:tc>
        <w:tc>
          <w:tcPr>
            <w:tcW w:w="340" w:type="dxa"/>
            <w:shd w:val="clear" w:color="auto" w:fill="D9D9D9"/>
          </w:tcPr>
          <w:p w14:paraId="29161508" w14:textId="77777777" w:rsidR="00302BFE" w:rsidRPr="00902601" w:rsidRDefault="00302BFE" w:rsidP="00243B15">
            <w:pPr>
              <w:rPr>
                <w:highlight w:val="green"/>
                <w:lang w:val="en-CA"/>
              </w:rPr>
            </w:pPr>
          </w:p>
        </w:tc>
        <w:tc>
          <w:tcPr>
            <w:tcW w:w="340" w:type="dxa"/>
            <w:shd w:val="clear" w:color="auto" w:fill="D9D9D9"/>
          </w:tcPr>
          <w:p w14:paraId="4F31AEB8" w14:textId="77777777" w:rsidR="00302BFE" w:rsidRPr="00902601" w:rsidRDefault="00302BFE" w:rsidP="00243B15">
            <w:pPr>
              <w:rPr>
                <w:highlight w:val="green"/>
                <w:lang w:val="en-CA"/>
              </w:rPr>
            </w:pPr>
          </w:p>
        </w:tc>
        <w:tc>
          <w:tcPr>
            <w:tcW w:w="340" w:type="dxa"/>
            <w:shd w:val="clear" w:color="auto" w:fill="D9D9D9"/>
          </w:tcPr>
          <w:p w14:paraId="4008A861" w14:textId="77777777" w:rsidR="00302BFE" w:rsidRPr="00902601" w:rsidRDefault="00302BFE" w:rsidP="00243B15">
            <w:pPr>
              <w:rPr>
                <w:highlight w:val="green"/>
                <w:lang w:val="en-CA"/>
              </w:rPr>
            </w:pPr>
          </w:p>
        </w:tc>
        <w:tc>
          <w:tcPr>
            <w:tcW w:w="340" w:type="dxa"/>
            <w:shd w:val="clear" w:color="auto" w:fill="D9D9D9"/>
          </w:tcPr>
          <w:p w14:paraId="27305B6B" w14:textId="77777777" w:rsidR="00302BFE" w:rsidRPr="00902601" w:rsidRDefault="00302BFE" w:rsidP="00243B15">
            <w:pPr>
              <w:rPr>
                <w:highlight w:val="green"/>
                <w:lang w:val="en-CA"/>
              </w:rPr>
            </w:pPr>
          </w:p>
        </w:tc>
        <w:tc>
          <w:tcPr>
            <w:tcW w:w="340" w:type="dxa"/>
            <w:shd w:val="clear" w:color="auto" w:fill="D9D9D9"/>
          </w:tcPr>
          <w:p w14:paraId="052FEAF8" w14:textId="77777777" w:rsidR="00302BFE" w:rsidRPr="00902601" w:rsidRDefault="00302BFE" w:rsidP="00243B15">
            <w:pPr>
              <w:rPr>
                <w:highlight w:val="green"/>
                <w:lang w:val="en-CA"/>
              </w:rPr>
            </w:pPr>
          </w:p>
        </w:tc>
        <w:tc>
          <w:tcPr>
            <w:tcW w:w="340" w:type="dxa"/>
            <w:shd w:val="clear" w:color="auto" w:fill="D9D9D9"/>
          </w:tcPr>
          <w:p w14:paraId="1A55F06E" w14:textId="77777777" w:rsidR="00302BFE" w:rsidRPr="00902601" w:rsidRDefault="00302BFE" w:rsidP="00243B15">
            <w:pPr>
              <w:rPr>
                <w:highlight w:val="green"/>
                <w:lang w:val="en-CA"/>
              </w:rPr>
            </w:pPr>
          </w:p>
        </w:tc>
        <w:tc>
          <w:tcPr>
            <w:tcW w:w="340" w:type="dxa"/>
            <w:shd w:val="clear" w:color="auto" w:fill="D9D9D9"/>
          </w:tcPr>
          <w:p w14:paraId="6DF5789C" w14:textId="77777777" w:rsidR="00302BFE" w:rsidRPr="00902601" w:rsidRDefault="00302BFE" w:rsidP="00243B15">
            <w:pPr>
              <w:rPr>
                <w:highlight w:val="green"/>
                <w:lang w:val="en-CA"/>
              </w:rPr>
            </w:pPr>
          </w:p>
        </w:tc>
        <w:tc>
          <w:tcPr>
            <w:tcW w:w="340" w:type="dxa"/>
            <w:shd w:val="clear" w:color="auto" w:fill="D9D9D9"/>
          </w:tcPr>
          <w:p w14:paraId="7D20F1E7" w14:textId="77777777" w:rsidR="00302BFE" w:rsidRPr="00902601" w:rsidRDefault="00302BFE" w:rsidP="00243B15">
            <w:pPr>
              <w:rPr>
                <w:highlight w:val="green"/>
                <w:lang w:val="en-CA"/>
              </w:rPr>
            </w:pPr>
          </w:p>
        </w:tc>
        <w:tc>
          <w:tcPr>
            <w:tcW w:w="340" w:type="dxa"/>
            <w:shd w:val="clear" w:color="auto" w:fill="D9D9D9"/>
          </w:tcPr>
          <w:p w14:paraId="73ED2739" w14:textId="77777777" w:rsidR="00302BFE" w:rsidRPr="00902601" w:rsidRDefault="00302BFE" w:rsidP="00243B15">
            <w:pPr>
              <w:rPr>
                <w:highlight w:val="green"/>
                <w:lang w:val="en-CA"/>
              </w:rPr>
            </w:pPr>
          </w:p>
        </w:tc>
        <w:tc>
          <w:tcPr>
            <w:tcW w:w="340" w:type="dxa"/>
            <w:shd w:val="clear" w:color="auto" w:fill="D9D9D9"/>
          </w:tcPr>
          <w:p w14:paraId="6C069CBB" w14:textId="77777777" w:rsidR="00302BFE" w:rsidRPr="00902601" w:rsidRDefault="00302BFE" w:rsidP="00243B15">
            <w:pPr>
              <w:rPr>
                <w:highlight w:val="green"/>
                <w:lang w:val="en-CA"/>
              </w:rPr>
            </w:pPr>
          </w:p>
        </w:tc>
        <w:tc>
          <w:tcPr>
            <w:tcW w:w="340" w:type="dxa"/>
            <w:shd w:val="clear" w:color="auto" w:fill="auto"/>
          </w:tcPr>
          <w:p w14:paraId="54B7A8D8" w14:textId="77777777" w:rsidR="00302BFE" w:rsidRPr="00902601" w:rsidRDefault="00302BFE" w:rsidP="00243B15">
            <w:pPr>
              <w:rPr>
                <w:highlight w:val="green"/>
                <w:lang w:val="en-CA"/>
              </w:rPr>
            </w:pPr>
          </w:p>
        </w:tc>
      </w:tr>
      <w:tr w:rsidR="00302BFE" w:rsidRPr="00902601" w14:paraId="4D179F08" w14:textId="77777777" w:rsidTr="00243B15">
        <w:trPr>
          <w:jc w:val="center"/>
        </w:trPr>
        <w:tc>
          <w:tcPr>
            <w:tcW w:w="13830" w:type="dxa"/>
            <w:gridSpan w:val="25"/>
            <w:shd w:val="clear" w:color="auto" w:fill="FFF2CC"/>
          </w:tcPr>
          <w:p w14:paraId="2597D6C9" w14:textId="77777777" w:rsidR="00302BFE" w:rsidRPr="00902601" w:rsidRDefault="00302BFE" w:rsidP="00243B15">
            <w:pPr>
              <w:rPr>
                <w:b/>
                <w:sz w:val="16"/>
                <w:szCs w:val="16"/>
                <w:highlight w:val="green"/>
                <w:lang w:val="en-CA"/>
              </w:rPr>
            </w:pPr>
            <w:r w:rsidRPr="00902601">
              <w:rPr>
                <w:b/>
                <w:sz w:val="16"/>
                <w:szCs w:val="16"/>
                <w:highlight w:val="green"/>
                <w:lang w:val="en-GB"/>
              </w:rPr>
              <w:t>Component 2. Strengthening the PONASI Protected Area System</w:t>
            </w:r>
          </w:p>
        </w:tc>
      </w:tr>
      <w:tr w:rsidR="00302BFE" w:rsidRPr="00902601" w14:paraId="4D080D6B" w14:textId="77777777" w:rsidTr="00243B15">
        <w:trPr>
          <w:jc w:val="center"/>
        </w:trPr>
        <w:tc>
          <w:tcPr>
            <w:tcW w:w="5670" w:type="dxa"/>
            <w:shd w:val="clear" w:color="auto" w:fill="auto"/>
          </w:tcPr>
          <w:p w14:paraId="1E3CD0B9" w14:textId="77777777" w:rsidR="00302BFE" w:rsidRPr="00902601" w:rsidRDefault="00302BFE" w:rsidP="00243B15">
            <w:pPr>
              <w:rPr>
                <w:i/>
                <w:color w:val="4472C4"/>
                <w:sz w:val="16"/>
                <w:szCs w:val="16"/>
                <w:highlight w:val="green"/>
                <w:lang w:val="en-CA"/>
              </w:rPr>
            </w:pPr>
            <w:r w:rsidRPr="00902601">
              <w:rPr>
                <w:sz w:val="16"/>
                <w:szCs w:val="16"/>
                <w:highlight w:val="green"/>
                <w:lang w:val="en-CA"/>
              </w:rPr>
              <w:t>Output 2.1 Institutional and individual capacities within PA agencies are enhanced through targeted capacity building interventions</w:t>
            </w:r>
          </w:p>
        </w:tc>
        <w:tc>
          <w:tcPr>
            <w:tcW w:w="8160" w:type="dxa"/>
            <w:gridSpan w:val="24"/>
            <w:shd w:val="clear" w:color="auto" w:fill="auto"/>
          </w:tcPr>
          <w:p w14:paraId="1E200261" w14:textId="77777777" w:rsidR="00302BFE" w:rsidRPr="00902601" w:rsidRDefault="00302BFE" w:rsidP="00243B15">
            <w:pPr>
              <w:rPr>
                <w:sz w:val="16"/>
                <w:szCs w:val="16"/>
                <w:highlight w:val="green"/>
                <w:lang w:val="en-CA"/>
              </w:rPr>
            </w:pPr>
          </w:p>
        </w:tc>
      </w:tr>
      <w:tr w:rsidR="00EC409B" w:rsidRPr="00902601" w14:paraId="25FFD39A" w14:textId="77777777" w:rsidTr="00755BF9">
        <w:trPr>
          <w:jc w:val="center"/>
        </w:trPr>
        <w:tc>
          <w:tcPr>
            <w:tcW w:w="5670" w:type="dxa"/>
            <w:shd w:val="clear" w:color="auto" w:fill="auto"/>
          </w:tcPr>
          <w:p w14:paraId="48F794F7" w14:textId="77777777" w:rsidR="00302BFE" w:rsidRPr="00902601" w:rsidRDefault="00302BFE" w:rsidP="00243B15">
            <w:pPr>
              <w:rPr>
                <w:i/>
                <w:color w:val="4472C4"/>
                <w:sz w:val="16"/>
                <w:szCs w:val="16"/>
                <w:highlight w:val="green"/>
                <w:lang w:val="en-CA"/>
              </w:rPr>
            </w:pPr>
            <w:r w:rsidRPr="00902601">
              <w:rPr>
                <w:i/>
                <w:color w:val="4472C4"/>
                <w:sz w:val="16"/>
                <w:szCs w:val="16"/>
                <w:highlight w:val="green"/>
                <w:lang w:val="en-GB"/>
              </w:rPr>
              <w:t>2.1.1 The institutional structure enables effective, efficient and collaborative management of the PONASI protected areas</w:t>
            </w:r>
          </w:p>
        </w:tc>
        <w:tc>
          <w:tcPr>
            <w:tcW w:w="340" w:type="dxa"/>
            <w:shd w:val="clear" w:color="auto" w:fill="auto"/>
          </w:tcPr>
          <w:p w14:paraId="5D1AB26D" w14:textId="77777777" w:rsidR="00302BFE" w:rsidRPr="00902601" w:rsidRDefault="00302BFE" w:rsidP="00243B15">
            <w:pPr>
              <w:rPr>
                <w:highlight w:val="green"/>
                <w:lang w:val="en-CA"/>
              </w:rPr>
            </w:pPr>
          </w:p>
        </w:tc>
        <w:tc>
          <w:tcPr>
            <w:tcW w:w="340" w:type="dxa"/>
            <w:shd w:val="clear" w:color="auto" w:fill="auto"/>
          </w:tcPr>
          <w:p w14:paraId="643BF29C"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6AD743E7"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5F54F113"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58B13EFE"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22CA6EFE"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4B10BC26"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5C0EC848"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3E266120"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6168E2D6"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0FD32042"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318948C3"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7AB930EF"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2D9747B2"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1FA64FB5"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4A4C96A3"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773BDAC8"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4E451641"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4B738F28"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2B47DFAD"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7F5CCA22"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25C375D6"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568C5367" w14:textId="77777777" w:rsidR="00302BFE" w:rsidRPr="00902601" w:rsidRDefault="00302BFE" w:rsidP="00243B15">
            <w:pPr>
              <w:rPr>
                <w:highlight w:val="green"/>
                <w:lang w:val="en-CA"/>
              </w:rPr>
            </w:pPr>
          </w:p>
        </w:tc>
        <w:tc>
          <w:tcPr>
            <w:tcW w:w="340" w:type="dxa"/>
            <w:shd w:val="clear" w:color="auto" w:fill="auto"/>
          </w:tcPr>
          <w:p w14:paraId="60688D41" w14:textId="77777777" w:rsidR="00302BFE" w:rsidRPr="00902601" w:rsidRDefault="00302BFE" w:rsidP="00243B15">
            <w:pPr>
              <w:rPr>
                <w:highlight w:val="green"/>
                <w:lang w:val="en-CA"/>
              </w:rPr>
            </w:pPr>
          </w:p>
        </w:tc>
      </w:tr>
      <w:tr w:rsidR="005979FD" w:rsidRPr="00902601" w14:paraId="351C8606" w14:textId="77777777" w:rsidTr="00CC2FAC">
        <w:trPr>
          <w:jc w:val="center"/>
        </w:trPr>
        <w:tc>
          <w:tcPr>
            <w:tcW w:w="5670" w:type="dxa"/>
            <w:shd w:val="clear" w:color="auto" w:fill="auto"/>
          </w:tcPr>
          <w:p w14:paraId="62657E61" w14:textId="77777777" w:rsidR="00302BFE" w:rsidRPr="00902601" w:rsidRDefault="00302BFE" w:rsidP="00243B15">
            <w:pPr>
              <w:rPr>
                <w:i/>
                <w:color w:val="4472C4"/>
                <w:sz w:val="16"/>
                <w:szCs w:val="16"/>
                <w:highlight w:val="green"/>
                <w:lang w:val="en-CA"/>
              </w:rPr>
            </w:pPr>
            <w:r w:rsidRPr="00902601">
              <w:rPr>
                <w:i/>
                <w:color w:val="4472C4"/>
                <w:sz w:val="16"/>
                <w:szCs w:val="16"/>
                <w:highlight w:val="green"/>
                <w:lang w:val="en-GB"/>
              </w:rPr>
              <w:lastRenderedPageBreak/>
              <w:t>2.1.2 An information system for monitoring, analysis, mapping and dissemination of knowledge is implemented</w:t>
            </w:r>
          </w:p>
        </w:tc>
        <w:tc>
          <w:tcPr>
            <w:tcW w:w="340" w:type="dxa"/>
            <w:shd w:val="clear" w:color="auto" w:fill="auto"/>
          </w:tcPr>
          <w:p w14:paraId="6AAE3B5C" w14:textId="77777777" w:rsidR="00302BFE" w:rsidRPr="00902601" w:rsidRDefault="00302BFE" w:rsidP="00243B15">
            <w:pPr>
              <w:rPr>
                <w:highlight w:val="green"/>
                <w:lang w:val="en-CA"/>
              </w:rPr>
            </w:pPr>
          </w:p>
        </w:tc>
        <w:tc>
          <w:tcPr>
            <w:tcW w:w="340" w:type="dxa"/>
            <w:shd w:val="clear" w:color="auto" w:fill="auto"/>
          </w:tcPr>
          <w:p w14:paraId="39281662" w14:textId="77777777" w:rsidR="00302BFE" w:rsidRPr="00902601" w:rsidRDefault="00302BFE" w:rsidP="00243B15">
            <w:pPr>
              <w:rPr>
                <w:highlight w:val="green"/>
                <w:lang w:val="en-CA"/>
              </w:rPr>
            </w:pPr>
          </w:p>
        </w:tc>
        <w:tc>
          <w:tcPr>
            <w:tcW w:w="340" w:type="dxa"/>
            <w:shd w:val="clear" w:color="auto" w:fill="D9D9D9"/>
          </w:tcPr>
          <w:p w14:paraId="51EF7EE6" w14:textId="77777777" w:rsidR="00302BFE" w:rsidRPr="00902601" w:rsidRDefault="00302BFE" w:rsidP="00243B15">
            <w:pPr>
              <w:rPr>
                <w:highlight w:val="green"/>
                <w:lang w:val="en-CA"/>
              </w:rPr>
            </w:pPr>
          </w:p>
        </w:tc>
        <w:tc>
          <w:tcPr>
            <w:tcW w:w="340" w:type="dxa"/>
            <w:shd w:val="clear" w:color="auto" w:fill="D9D9D9"/>
          </w:tcPr>
          <w:p w14:paraId="6BE41A77" w14:textId="77777777" w:rsidR="00302BFE" w:rsidRPr="00902601" w:rsidRDefault="00302BFE" w:rsidP="00243B15">
            <w:pPr>
              <w:rPr>
                <w:highlight w:val="green"/>
                <w:lang w:val="en-CA"/>
              </w:rPr>
            </w:pPr>
          </w:p>
        </w:tc>
        <w:tc>
          <w:tcPr>
            <w:tcW w:w="340" w:type="dxa"/>
            <w:shd w:val="clear" w:color="auto" w:fill="D9D9D9"/>
          </w:tcPr>
          <w:p w14:paraId="28D82A10" w14:textId="77777777" w:rsidR="00302BFE" w:rsidRPr="00902601" w:rsidRDefault="00302BFE" w:rsidP="00243B15">
            <w:pPr>
              <w:rPr>
                <w:highlight w:val="green"/>
                <w:lang w:val="en-CA"/>
              </w:rPr>
            </w:pPr>
          </w:p>
        </w:tc>
        <w:tc>
          <w:tcPr>
            <w:tcW w:w="340" w:type="dxa"/>
            <w:shd w:val="clear" w:color="auto" w:fill="D9D9D9"/>
          </w:tcPr>
          <w:p w14:paraId="07D271C5" w14:textId="77777777" w:rsidR="00302BFE" w:rsidRPr="00902601" w:rsidRDefault="00302BFE" w:rsidP="00243B15">
            <w:pPr>
              <w:rPr>
                <w:highlight w:val="green"/>
                <w:lang w:val="en-CA"/>
              </w:rPr>
            </w:pPr>
          </w:p>
        </w:tc>
        <w:tc>
          <w:tcPr>
            <w:tcW w:w="340" w:type="dxa"/>
            <w:shd w:val="clear" w:color="auto" w:fill="D9D9D9"/>
          </w:tcPr>
          <w:p w14:paraId="2F6350C2" w14:textId="77777777" w:rsidR="00302BFE" w:rsidRPr="00902601" w:rsidRDefault="00302BFE" w:rsidP="00243B15">
            <w:pPr>
              <w:rPr>
                <w:highlight w:val="green"/>
                <w:lang w:val="en-CA"/>
              </w:rPr>
            </w:pPr>
          </w:p>
        </w:tc>
        <w:tc>
          <w:tcPr>
            <w:tcW w:w="340" w:type="dxa"/>
            <w:shd w:val="clear" w:color="auto" w:fill="D9D9D9"/>
          </w:tcPr>
          <w:p w14:paraId="101DF32D"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6806D0E0"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6887FECF"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44473872"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7B4D40CE"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5DBC2568"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15F3E951"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494A766E"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48AE4808"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610E2E3A"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7810404F" w14:textId="77777777" w:rsidR="00302BFE" w:rsidRPr="00902601" w:rsidRDefault="00302BFE" w:rsidP="00243B15">
            <w:pPr>
              <w:rPr>
                <w:highlight w:val="green"/>
                <w:lang w:val="en-CA"/>
              </w:rPr>
            </w:pPr>
          </w:p>
        </w:tc>
        <w:tc>
          <w:tcPr>
            <w:tcW w:w="340" w:type="dxa"/>
            <w:shd w:val="clear" w:color="auto" w:fill="D9D9D9"/>
          </w:tcPr>
          <w:p w14:paraId="227FFD5A" w14:textId="77777777" w:rsidR="00302BFE" w:rsidRPr="00902601" w:rsidRDefault="00302BFE" w:rsidP="00243B15">
            <w:pPr>
              <w:rPr>
                <w:highlight w:val="green"/>
                <w:lang w:val="en-CA"/>
              </w:rPr>
            </w:pPr>
          </w:p>
        </w:tc>
        <w:tc>
          <w:tcPr>
            <w:tcW w:w="340" w:type="dxa"/>
            <w:shd w:val="clear" w:color="auto" w:fill="D9D9D9"/>
          </w:tcPr>
          <w:p w14:paraId="232739D8" w14:textId="77777777" w:rsidR="00302BFE" w:rsidRPr="00902601" w:rsidRDefault="00302BFE" w:rsidP="00243B15">
            <w:pPr>
              <w:rPr>
                <w:highlight w:val="green"/>
                <w:lang w:val="en-CA"/>
              </w:rPr>
            </w:pPr>
          </w:p>
        </w:tc>
        <w:tc>
          <w:tcPr>
            <w:tcW w:w="340" w:type="dxa"/>
            <w:shd w:val="clear" w:color="auto" w:fill="D9D9D9"/>
          </w:tcPr>
          <w:p w14:paraId="32E2C645" w14:textId="77777777" w:rsidR="00302BFE" w:rsidRPr="00902601" w:rsidRDefault="00302BFE" w:rsidP="00243B15">
            <w:pPr>
              <w:rPr>
                <w:highlight w:val="green"/>
                <w:lang w:val="en-CA"/>
              </w:rPr>
            </w:pPr>
          </w:p>
        </w:tc>
        <w:tc>
          <w:tcPr>
            <w:tcW w:w="340" w:type="dxa"/>
            <w:shd w:val="clear" w:color="auto" w:fill="D9D9D9"/>
          </w:tcPr>
          <w:p w14:paraId="40DD24C0" w14:textId="77777777" w:rsidR="00302BFE" w:rsidRPr="00902601" w:rsidRDefault="00302BFE" w:rsidP="00243B15">
            <w:pPr>
              <w:rPr>
                <w:highlight w:val="green"/>
                <w:lang w:val="en-CA"/>
              </w:rPr>
            </w:pPr>
          </w:p>
        </w:tc>
        <w:tc>
          <w:tcPr>
            <w:tcW w:w="340" w:type="dxa"/>
            <w:shd w:val="clear" w:color="auto" w:fill="D9D9D9"/>
          </w:tcPr>
          <w:p w14:paraId="7ED7B1DD" w14:textId="77777777" w:rsidR="00302BFE" w:rsidRPr="00902601" w:rsidRDefault="00302BFE" w:rsidP="00243B15">
            <w:pPr>
              <w:rPr>
                <w:highlight w:val="green"/>
                <w:lang w:val="en-CA"/>
              </w:rPr>
            </w:pPr>
          </w:p>
        </w:tc>
        <w:tc>
          <w:tcPr>
            <w:tcW w:w="340" w:type="dxa"/>
            <w:shd w:val="clear" w:color="auto" w:fill="auto"/>
          </w:tcPr>
          <w:p w14:paraId="33CF5C81" w14:textId="77777777" w:rsidR="00302BFE" w:rsidRPr="00902601" w:rsidRDefault="00302BFE" w:rsidP="00243B15">
            <w:pPr>
              <w:rPr>
                <w:highlight w:val="green"/>
                <w:lang w:val="en-CA"/>
              </w:rPr>
            </w:pPr>
          </w:p>
        </w:tc>
      </w:tr>
      <w:tr w:rsidR="00EC409B" w:rsidRPr="00902601" w14:paraId="47CDAD98" w14:textId="77777777" w:rsidTr="00755BF9">
        <w:trPr>
          <w:jc w:val="center"/>
        </w:trPr>
        <w:tc>
          <w:tcPr>
            <w:tcW w:w="5670" w:type="dxa"/>
            <w:shd w:val="clear" w:color="auto" w:fill="auto"/>
          </w:tcPr>
          <w:p w14:paraId="224E60C2" w14:textId="77777777" w:rsidR="00302BFE" w:rsidRPr="00902601" w:rsidRDefault="00302BFE" w:rsidP="00243B15">
            <w:pPr>
              <w:rPr>
                <w:i/>
                <w:color w:val="4472C4"/>
                <w:sz w:val="16"/>
                <w:szCs w:val="16"/>
                <w:highlight w:val="green"/>
                <w:lang w:val="en-CA"/>
              </w:rPr>
            </w:pPr>
            <w:r w:rsidRPr="00902601">
              <w:rPr>
                <w:i/>
                <w:color w:val="4472C4"/>
                <w:sz w:val="16"/>
                <w:szCs w:val="16"/>
                <w:highlight w:val="green"/>
                <w:lang w:val="en-GB"/>
              </w:rPr>
              <w:t>2.1.3 Capacity development program developed and implemented</w:t>
            </w:r>
          </w:p>
        </w:tc>
        <w:tc>
          <w:tcPr>
            <w:tcW w:w="340" w:type="dxa"/>
            <w:shd w:val="clear" w:color="auto" w:fill="auto"/>
          </w:tcPr>
          <w:p w14:paraId="33E2BE61" w14:textId="77777777" w:rsidR="00302BFE" w:rsidRPr="00902601" w:rsidRDefault="00302BFE" w:rsidP="00243B15">
            <w:pPr>
              <w:rPr>
                <w:highlight w:val="green"/>
                <w:lang w:val="en-CA"/>
              </w:rPr>
            </w:pPr>
          </w:p>
        </w:tc>
        <w:tc>
          <w:tcPr>
            <w:tcW w:w="340" w:type="dxa"/>
            <w:shd w:val="clear" w:color="auto" w:fill="auto"/>
          </w:tcPr>
          <w:p w14:paraId="1CAE6928" w14:textId="77777777" w:rsidR="00302BFE" w:rsidRPr="00902601" w:rsidRDefault="00302BFE" w:rsidP="00243B15">
            <w:pPr>
              <w:rPr>
                <w:highlight w:val="green"/>
                <w:lang w:val="en-CA"/>
              </w:rPr>
            </w:pPr>
          </w:p>
        </w:tc>
        <w:tc>
          <w:tcPr>
            <w:tcW w:w="340" w:type="dxa"/>
            <w:shd w:val="clear" w:color="auto" w:fill="auto"/>
          </w:tcPr>
          <w:p w14:paraId="6A04D5CE" w14:textId="77777777" w:rsidR="00302BFE" w:rsidRPr="00902601" w:rsidRDefault="00302BFE" w:rsidP="00243B15">
            <w:pPr>
              <w:rPr>
                <w:highlight w:val="green"/>
                <w:lang w:val="en-CA"/>
              </w:rPr>
            </w:pPr>
          </w:p>
        </w:tc>
        <w:tc>
          <w:tcPr>
            <w:tcW w:w="340" w:type="dxa"/>
            <w:shd w:val="clear" w:color="auto" w:fill="auto"/>
          </w:tcPr>
          <w:p w14:paraId="568B3B77" w14:textId="77777777" w:rsidR="00302BFE" w:rsidRPr="00902601" w:rsidRDefault="00302BFE" w:rsidP="00243B15">
            <w:pPr>
              <w:rPr>
                <w:highlight w:val="green"/>
                <w:lang w:val="en-CA"/>
              </w:rPr>
            </w:pPr>
          </w:p>
        </w:tc>
        <w:tc>
          <w:tcPr>
            <w:tcW w:w="340" w:type="dxa"/>
            <w:shd w:val="clear" w:color="auto" w:fill="D9D9D9" w:themeFill="background1" w:themeFillShade="D9"/>
          </w:tcPr>
          <w:p w14:paraId="36753932" w14:textId="77777777" w:rsidR="00302BFE" w:rsidRPr="00902601" w:rsidRDefault="00302BFE" w:rsidP="00243B15">
            <w:pPr>
              <w:rPr>
                <w:highlight w:val="green"/>
                <w:lang w:val="en-CA"/>
              </w:rPr>
            </w:pPr>
          </w:p>
        </w:tc>
        <w:tc>
          <w:tcPr>
            <w:tcW w:w="340" w:type="dxa"/>
            <w:shd w:val="clear" w:color="auto" w:fill="D9D9D9" w:themeFill="background1" w:themeFillShade="D9"/>
          </w:tcPr>
          <w:p w14:paraId="4A1FFB65" w14:textId="77777777" w:rsidR="00302BFE" w:rsidRPr="00902601" w:rsidRDefault="00302BFE" w:rsidP="00243B15">
            <w:pPr>
              <w:rPr>
                <w:highlight w:val="green"/>
                <w:lang w:val="en-CA"/>
              </w:rPr>
            </w:pPr>
          </w:p>
        </w:tc>
        <w:tc>
          <w:tcPr>
            <w:tcW w:w="340" w:type="dxa"/>
            <w:shd w:val="clear" w:color="auto" w:fill="D9D9D9" w:themeFill="background1" w:themeFillShade="D9"/>
          </w:tcPr>
          <w:p w14:paraId="47FC2F6D" w14:textId="77777777" w:rsidR="00302BFE" w:rsidRPr="00902601" w:rsidRDefault="00302BFE" w:rsidP="00243B15">
            <w:pPr>
              <w:rPr>
                <w:highlight w:val="green"/>
                <w:lang w:val="en-CA"/>
              </w:rPr>
            </w:pPr>
          </w:p>
        </w:tc>
        <w:tc>
          <w:tcPr>
            <w:tcW w:w="340" w:type="dxa"/>
            <w:shd w:val="clear" w:color="auto" w:fill="D9D9D9" w:themeFill="background1" w:themeFillShade="D9"/>
          </w:tcPr>
          <w:p w14:paraId="30B44B5B" w14:textId="77777777" w:rsidR="00302BFE" w:rsidRPr="00902601" w:rsidRDefault="00302BFE" w:rsidP="00243B15">
            <w:pPr>
              <w:rPr>
                <w:highlight w:val="green"/>
                <w:lang w:val="en-CA"/>
              </w:rPr>
            </w:pPr>
          </w:p>
        </w:tc>
        <w:tc>
          <w:tcPr>
            <w:tcW w:w="340" w:type="dxa"/>
            <w:shd w:val="clear" w:color="auto" w:fill="D9D9D9"/>
          </w:tcPr>
          <w:p w14:paraId="0FBBA4F9" w14:textId="77777777" w:rsidR="00302BFE" w:rsidRPr="00902601" w:rsidRDefault="00302BFE" w:rsidP="00243B15">
            <w:pPr>
              <w:rPr>
                <w:highlight w:val="green"/>
                <w:lang w:val="en-CA"/>
              </w:rPr>
            </w:pPr>
          </w:p>
        </w:tc>
        <w:tc>
          <w:tcPr>
            <w:tcW w:w="340" w:type="dxa"/>
            <w:shd w:val="clear" w:color="auto" w:fill="D9D9D9"/>
          </w:tcPr>
          <w:p w14:paraId="2CB49FCD" w14:textId="77777777" w:rsidR="00302BFE" w:rsidRPr="00902601" w:rsidRDefault="00302BFE" w:rsidP="00243B15">
            <w:pPr>
              <w:rPr>
                <w:highlight w:val="green"/>
                <w:lang w:val="en-CA"/>
              </w:rPr>
            </w:pPr>
          </w:p>
        </w:tc>
        <w:tc>
          <w:tcPr>
            <w:tcW w:w="340" w:type="dxa"/>
            <w:shd w:val="clear" w:color="auto" w:fill="D9D9D9"/>
          </w:tcPr>
          <w:p w14:paraId="28634FEB" w14:textId="77777777" w:rsidR="00302BFE" w:rsidRPr="00902601" w:rsidRDefault="00302BFE" w:rsidP="00243B15">
            <w:pPr>
              <w:rPr>
                <w:highlight w:val="green"/>
                <w:lang w:val="en-CA"/>
              </w:rPr>
            </w:pPr>
          </w:p>
        </w:tc>
        <w:tc>
          <w:tcPr>
            <w:tcW w:w="340" w:type="dxa"/>
            <w:shd w:val="clear" w:color="auto" w:fill="D9D9D9"/>
          </w:tcPr>
          <w:p w14:paraId="04FDB90D" w14:textId="77777777" w:rsidR="00302BFE" w:rsidRPr="00902601" w:rsidRDefault="00302BFE" w:rsidP="00243B15">
            <w:pPr>
              <w:rPr>
                <w:highlight w:val="green"/>
                <w:lang w:val="en-CA"/>
              </w:rPr>
            </w:pPr>
          </w:p>
        </w:tc>
        <w:tc>
          <w:tcPr>
            <w:tcW w:w="340" w:type="dxa"/>
            <w:shd w:val="clear" w:color="auto" w:fill="D9D9D9"/>
          </w:tcPr>
          <w:p w14:paraId="14B0D090" w14:textId="77777777" w:rsidR="00302BFE" w:rsidRPr="00902601" w:rsidRDefault="00302BFE" w:rsidP="00243B15">
            <w:pPr>
              <w:rPr>
                <w:highlight w:val="green"/>
                <w:lang w:val="en-CA"/>
              </w:rPr>
            </w:pPr>
          </w:p>
        </w:tc>
        <w:tc>
          <w:tcPr>
            <w:tcW w:w="340" w:type="dxa"/>
            <w:shd w:val="clear" w:color="auto" w:fill="D9D9D9"/>
          </w:tcPr>
          <w:p w14:paraId="5E3DD790" w14:textId="77777777" w:rsidR="00302BFE" w:rsidRPr="00902601" w:rsidRDefault="00302BFE" w:rsidP="00243B15">
            <w:pPr>
              <w:rPr>
                <w:highlight w:val="green"/>
                <w:lang w:val="en-CA"/>
              </w:rPr>
            </w:pPr>
          </w:p>
        </w:tc>
        <w:tc>
          <w:tcPr>
            <w:tcW w:w="340" w:type="dxa"/>
            <w:shd w:val="clear" w:color="auto" w:fill="auto"/>
          </w:tcPr>
          <w:p w14:paraId="05839272" w14:textId="77777777" w:rsidR="00302BFE" w:rsidRPr="00902601" w:rsidRDefault="00302BFE" w:rsidP="00243B15">
            <w:pPr>
              <w:rPr>
                <w:highlight w:val="green"/>
                <w:lang w:val="en-CA"/>
              </w:rPr>
            </w:pPr>
          </w:p>
        </w:tc>
        <w:tc>
          <w:tcPr>
            <w:tcW w:w="340" w:type="dxa"/>
            <w:shd w:val="clear" w:color="auto" w:fill="auto"/>
          </w:tcPr>
          <w:p w14:paraId="2395DECE" w14:textId="77777777" w:rsidR="00302BFE" w:rsidRPr="00902601" w:rsidRDefault="00302BFE" w:rsidP="00243B15">
            <w:pPr>
              <w:rPr>
                <w:highlight w:val="green"/>
                <w:lang w:val="en-CA"/>
              </w:rPr>
            </w:pPr>
          </w:p>
        </w:tc>
        <w:tc>
          <w:tcPr>
            <w:tcW w:w="340" w:type="dxa"/>
            <w:shd w:val="clear" w:color="auto" w:fill="auto"/>
          </w:tcPr>
          <w:p w14:paraId="479151F0" w14:textId="77777777" w:rsidR="00302BFE" w:rsidRPr="00902601" w:rsidRDefault="00302BFE" w:rsidP="00243B15">
            <w:pPr>
              <w:rPr>
                <w:highlight w:val="green"/>
                <w:lang w:val="en-CA"/>
              </w:rPr>
            </w:pPr>
          </w:p>
        </w:tc>
        <w:tc>
          <w:tcPr>
            <w:tcW w:w="340" w:type="dxa"/>
            <w:shd w:val="clear" w:color="auto" w:fill="auto"/>
          </w:tcPr>
          <w:p w14:paraId="2D013A82" w14:textId="77777777" w:rsidR="00302BFE" w:rsidRPr="00902601" w:rsidRDefault="00302BFE" w:rsidP="00243B15">
            <w:pPr>
              <w:rPr>
                <w:highlight w:val="green"/>
                <w:lang w:val="en-CA"/>
              </w:rPr>
            </w:pPr>
          </w:p>
        </w:tc>
        <w:tc>
          <w:tcPr>
            <w:tcW w:w="340" w:type="dxa"/>
            <w:shd w:val="clear" w:color="auto" w:fill="auto"/>
          </w:tcPr>
          <w:p w14:paraId="232E4A4C" w14:textId="77777777" w:rsidR="00302BFE" w:rsidRPr="00902601" w:rsidRDefault="00302BFE" w:rsidP="00243B15">
            <w:pPr>
              <w:rPr>
                <w:highlight w:val="green"/>
                <w:lang w:val="en-CA"/>
              </w:rPr>
            </w:pPr>
          </w:p>
        </w:tc>
        <w:tc>
          <w:tcPr>
            <w:tcW w:w="340" w:type="dxa"/>
            <w:shd w:val="clear" w:color="auto" w:fill="auto"/>
          </w:tcPr>
          <w:p w14:paraId="41E4FA82" w14:textId="77777777" w:rsidR="00302BFE" w:rsidRPr="00902601" w:rsidRDefault="00302BFE" w:rsidP="00243B15">
            <w:pPr>
              <w:rPr>
                <w:highlight w:val="green"/>
                <w:lang w:val="en-CA"/>
              </w:rPr>
            </w:pPr>
          </w:p>
        </w:tc>
        <w:tc>
          <w:tcPr>
            <w:tcW w:w="340" w:type="dxa"/>
            <w:shd w:val="clear" w:color="auto" w:fill="auto"/>
          </w:tcPr>
          <w:p w14:paraId="086B3036" w14:textId="77777777" w:rsidR="00302BFE" w:rsidRPr="00902601" w:rsidRDefault="00302BFE" w:rsidP="00243B15">
            <w:pPr>
              <w:rPr>
                <w:highlight w:val="green"/>
                <w:lang w:val="en-CA"/>
              </w:rPr>
            </w:pPr>
          </w:p>
        </w:tc>
        <w:tc>
          <w:tcPr>
            <w:tcW w:w="340" w:type="dxa"/>
            <w:shd w:val="clear" w:color="auto" w:fill="auto"/>
          </w:tcPr>
          <w:p w14:paraId="13253913" w14:textId="77777777" w:rsidR="00302BFE" w:rsidRPr="00902601" w:rsidRDefault="00302BFE" w:rsidP="00243B15">
            <w:pPr>
              <w:rPr>
                <w:highlight w:val="green"/>
                <w:lang w:val="en-CA"/>
              </w:rPr>
            </w:pPr>
          </w:p>
        </w:tc>
        <w:tc>
          <w:tcPr>
            <w:tcW w:w="340" w:type="dxa"/>
            <w:shd w:val="clear" w:color="auto" w:fill="auto"/>
          </w:tcPr>
          <w:p w14:paraId="160B3CE3" w14:textId="77777777" w:rsidR="00302BFE" w:rsidRPr="00902601" w:rsidRDefault="00302BFE" w:rsidP="00243B15">
            <w:pPr>
              <w:rPr>
                <w:highlight w:val="green"/>
                <w:lang w:val="en-CA"/>
              </w:rPr>
            </w:pPr>
          </w:p>
        </w:tc>
        <w:tc>
          <w:tcPr>
            <w:tcW w:w="340" w:type="dxa"/>
            <w:shd w:val="clear" w:color="auto" w:fill="auto"/>
          </w:tcPr>
          <w:p w14:paraId="482B7FAB" w14:textId="77777777" w:rsidR="00302BFE" w:rsidRPr="00902601" w:rsidRDefault="00302BFE" w:rsidP="00243B15">
            <w:pPr>
              <w:rPr>
                <w:highlight w:val="green"/>
                <w:lang w:val="en-CA"/>
              </w:rPr>
            </w:pPr>
          </w:p>
        </w:tc>
      </w:tr>
      <w:tr w:rsidR="00302BFE" w:rsidRPr="00902601" w14:paraId="22C1096C" w14:textId="77777777" w:rsidTr="00243B15">
        <w:trPr>
          <w:jc w:val="center"/>
        </w:trPr>
        <w:tc>
          <w:tcPr>
            <w:tcW w:w="5670" w:type="dxa"/>
            <w:shd w:val="clear" w:color="auto" w:fill="auto"/>
          </w:tcPr>
          <w:p w14:paraId="38897E54" w14:textId="77777777" w:rsidR="00302BFE" w:rsidRPr="00902601" w:rsidRDefault="00302BFE" w:rsidP="00243B15">
            <w:pPr>
              <w:rPr>
                <w:i/>
                <w:color w:val="4472C4"/>
                <w:sz w:val="16"/>
                <w:szCs w:val="16"/>
                <w:highlight w:val="green"/>
                <w:lang w:val="en-CA"/>
              </w:rPr>
            </w:pPr>
            <w:r w:rsidRPr="00902601">
              <w:rPr>
                <w:sz w:val="16"/>
                <w:szCs w:val="16"/>
                <w:highlight w:val="green"/>
                <w:lang w:val="en-GB"/>
              </w:rPr>
              <w:t>Output 2.2 The management effectiveness of the State-managed PAs of the PONASI complex - Kabore-Tambi, Nazinga and Sissili, including corridors # 1 and # 2 is reinforced by a series of technical support</w:t>
            </w:r>
          </w:p>
        </w:tc>
        <w:tc>
          <w:tcPr>
            <w:tcW w:w="8160" w:type="dxa"/>
            <w:gridSpan w:val="24"/>
            <w:shd w:val="clear" w:color="auto" w:fill="auto"/>
          </w:tcPr>
          <w:p w14:paraId="0DC03BC1" w14:textId="77777777" w:rsidR="00302BFE" w:rsidRPr="00902601" w:rsidRDefault="00302BFE" w:rsidP="00243B15">
            <w:pPr>
              <w:rPr>
                <w:highlight w:val="green"/>
                <w:lang w:val="en-CA"/>
              </w:rPr>
            </w:pPr>
          </w:p>
        </w:tc>
      </w:tr>
      <w:tr w:rsidR="00EC409B" w:rsidRPr="00902601" w14:paraId="22C07AAF" w14:textId="77777777" w:rsidTr="00755BF9">
        <w:trPr>
          <w:jc w:val="center"/>
        </w:trPr>
        <w:tc>
          <w:tcPr>
            <w:tcW w:w="5670" w:type="dxa"/>
            <w:shd w:val="clear" w:color="auto" w:fill="auto"/>
          </w:tcPr>
          <w:p w14:paraId="62933173" w14:textId="77777777" w:rsidR="00302BFE" w:rsidRPr="00902601" w:rsidRDefault="00302BFE" w:rsidP="00243B15">
            <w:pPr>
              <w:rPr>
                <w:i/>
                <w:color w:val="4472C4"/>
                <w:sz w:val="16"/>
                <w:szCs w:val="16"/>
                <w:highlight w:val="green"/>
                <w:lang w:val="en-CA"/>
              </w:rPr>
            </w:pPr>
            <w:r w:rsidRPr="00902601">
              <w:rPr>
                <w:i/>
                <w:color w:val="4472C4"/>
                <w:sz w:val="16"/>
                <w:szCs w:val="16"/>
                <w:highlight w:val="green"/>
                <w:lang w:val="en-GB"/>
              </w:rPr>
              <w:t xml:space="preserve">2.2.1. </w:t>
            </w:r>
            <w:r w:rsidRPr="00902601">
              <w:rPr>
                <w:i/>
                <w:color w:val="4472C4"/>
                <w:sz w:val="16"/>
                <w:szCs w:val="16"/>
                <w:highlight w:val="green"/>
                <w:lang w:val="en-CA"/>
              </w:rPr>
              <w:t>Clarification / revision of the status and boundaries of PAs</w:t>
            </w:r>
          </w:p>
        </w:tc>
        <w:tc>
          <w:tcPr>
            <w:tcW w:w="340" w:type="dxa"/>
            <w:shd w:val="clear" w:color="auto" w:fill="auto"/>
          </w:tcPr>
          <w:p w14:paraId="43DCF1FA" w14:textId="77777777" w:rsidR="00302BFE" w:rsidRPr="00902601" w:rsidRDefault="00302BFE" w:rsidP="00243B15">
            <w:pPr>
              <w:rPr>
                <w:highlight w:val="green"/>
                <w:lang w:val="en-CA"/>
              </w:rPr>
            </w:pPr>
          </w:p>
        </w:tc>
        <w:tc>
          <w:tcPr>
            <w:tcW w:w="340" w:type="dxa"/>
            <w:shd w:val="clear" w:color="auto" w:fill="auto"/>
          </w:tcPr>
          <w:p w14:paraId="0E3BDE90" w14:textId="77777777" w:rsidR="00302BFE" w:rsidRPr="00902601" w:rsidRDefault="00302BFE" w:rsidP="00243B15">
            <w:pPr>
              <w:rPr>
                <w:highlight w:val="green"/>
                <w:lang w:val="en-CA"/>
              </w:rPr>
            </w:pPr>
          </w:p>
        </w:tc>
        <w:tc>
          <w:tcPr>
            <w:tcW w:w="340" w:type="dxa"/>
            <w:shd w:val="clear" w:color="auto" w:fill="D9D9D9"/>
          </w:tcPr>
          <w:p w14:paraId="29D5EC84" w14:textId="77777777" w:rsidR="00302BFE" w:rsidRPr="00902601" w:rsidRDefault="00302BFE" w:rsidP="00243B15">
            <w:pPr>
              <w:rPr>
                <w:highlight w:val="green"/>
                <w:lang w:val="en-CA"/>
              </w:rPr>
            </w:pPr>
          </w:p>
        </w:tc>
        <w:tc>
          <w:tcPr>
            <w:tcW w:w="340" w:type="dxa"/>
            <w:shd w:val="clear" w:color="auto" w:fill="D9D9D9"/>
          </w:tcPr>
          <w:p w14:paraId="0EDF5242"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28635A56"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068D5D1A"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78396956"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4D8AFF9A"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687C9E6B"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0FD66928"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2F8CE7CB"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4BA51C6E"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18407EF5"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7D532C0E"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7ACE17FB"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4F7B04F9"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3D7AA9FC"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25D8071C"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6B95797D"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606292B7"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40A35C4F"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561916C5"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1B8B55C4" w14:textId="77777777" w:rsidR="00302BFE" w:rsidRPr="00902601" w:rsidRDefault="00302BFE" w:rsidP="00243B15">
            <w:pPr>
              <w:rPr>
                <w:highlight w:val="green"/>
                <w:lang w:val="en-CA"/>
              </w:rPr>
            </w:pPr>
          </w:p>
        </w:tc>
        <w:tc>
          <w:tcPr>
            <w:tcW w:w="340" w:type="dxa"/>
            <w:shd w:val="clear" w:color="auto" w:fill="auto"/>
          </w:tcPr>
          <w:p w14:paraId="4B65FDA5" w14:textId="77777777" w:rsidR="00302BFE" w:rsidRPr="00902601" w:rsidRDefault="00302BFE" w:rsidP="00243B15">
            <w:pPr>
              <w:rPr>
                <w:highlight w:val="green"/>
                <w:lang w:val="en-CA"/>
              </w:rPr>
            </w:pPr>
          </w:p>
        </w:tc>
      </w:tr>
      <w:tr w:rsidR="005979FD" w:rsidRPr="00902601" w14:paraId="6F32680B" w14:textId="77777777" w:rsidTr="00CC2FAC">
        <w:trPr>
          <w:jc w:val="center"/>
        </w:trPr>
        <w:tc>
          <w:tcPr>
            <w:tcW w:w="5670" w:type="dxa"/>
            <w:shd w:val="clear" w:color="auto" w:fill="auto"/>
          </w:tcPr>
          <w:p w14:paraId="4D2F59F3" w14:textId="77777777" w:rsidR="00302BFE" w:rsidRPr="00902601" w:rsidRDefault="00302BFE" w:rsidP="00243B15">
            <w:pPr>
              <w:rPr>
                <w:i/>
                <w:color w:val="4472C4"/>
                <w:sz w:val="16"/>
                <w:szCs w:val="16"/>
                <w:highlight w:val="green"/>
                <w:lang w:val="en-GB"/>
              </w:rPr>
            </w:pPr>
            <w:r w:rsidRPr="00902601">
              <w:rPr>
                <w:i/>
                <w:color w:val="4472C4"/>
                <w:sz w:val="16"/>
                <w:szCs w:val="16"/>
                <w:highlight w:val="green"/>
                <w:lang w:val="en-GB"/>
              </w:rPr>
              <w:t>2.2.2. Management plans for Nazinga, PNKT and Sissili PAs, including corridors # 1 and # 2 developed and implemented</w:t>
            </w:r>
          </w:p>
        </w:tc>
        <w:tc>
          <w:tcPr>
            <w:tcW w:w="340" w:type="dxa"/>
            <w:shd w:val="clear" w:color="auto" w:fill="auto"/>
          </w:tcPr>
          <w:p w14:paraId="2C9A98F8" w14:textId="77777777" w:rsidR="00302BFE" w:rsidRPr="00902601" w:rsidRDefault="00302BFE" w:rsidP="00243B15">
            <w:pPr>
              <w:rPr>
                <w:highlight w:val="green"/>
                <w:lang w:val="en-CA"/>
              </w:rPr>
            </w:pPr>
          </w:p>
        </w:tc>
        <w:tc>
          <w:tcPr>
            <w:tcW w:w="340" w:type="dxa"/>
            <w:shd w:val="clear" w:color="auto" w:fill="auto"/>
          </w:tcPr>
          <w:p w14:paraId="41EB25D4"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751717A5"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11F308C9" w14:textId="77777777" w:rsidR="00302BFE" w:rsidRPr="00902601" w:rsidRDefault="00302BFE" w:rsidP="00243B15">
            <w:pPr>
              <w:rPr>
                <w:highlight w:val="green"/>
                <w:lang w:val="en-CA"/>
              </w:rPr>
            </w:pPr>
          </w:p>
        </w:tc>
        <w:tc>
          <w:tcPr>
            <w:tcW w:w="340" w:type="dxa"/>
            <w:shd w:val="clear" w:color="auto" w:fill="D9D9D9"/>
          </w:tcPr>
          <w:p w14:paraId="33A4B39A" w14:textId="77777777" w:rsidR="00302BFE" w:rsidRPr="00902601" w:rsidRDefault="00302BFE" w:rsidP="00243B15">
            <w:pPr>
              <w:rPr>
                <w:highlight w:val="green"/>
                <w:lang w:val="en-CA"/>
              </w:rPr>
            </w:pPr>
          </w:p>
        </w:tc>
        <w:tc>
          <w:tcPr>
            <w:tcW w:w="340" w:type="dxa"/>
            <w:shd w:val="clear" w:color="auto" w:fill="D9D9D9"/>
          </w:tcPr>
          <w:p w14:paraId="508AF7B5" w14:textId="77777777" w:rsidR="00302BFE" w:rsidRPr="00902601" w:rsidRDefault="00302BFE" w:rsidP="00243B15">
            <w:pPr>
              <w:rPr>
                <w:highlight w:val="green"/>
                <w:lang w:val="en-CA"/>
              </w:rPr>
            </w:pPr>
          </w:p>
        </w:tc>
        <w:tc>
          <w:tcPr>
            <w:tcW w:w="340" w:type="dxa"/>
            <w:shd w:val="clear" w:color="auto" w:fill="D9D9D9"/>
          </w:tcPr>
          <w:p w14:paraId="7E4DAFA5" w14:textId="77777777" w:rsidR="00302BFE" w:rsidRPr="00902601" w:rsidRDefault="00302BFE" w:rsidP="00243B15">
            <w:pPr>
              <w:rPr>
                <w:highlight w:val="green"/>
                <w:lang w:val="en-CA"/>
              </w:rPr>
            </w:pPr>
          </w:p>
        </w:tc>
        <w:tc>
          <w:tcPr>
            <w:tcW w:w="340" w:type="dxa"/>
            <w:shd w:val="clear" w:color="auto" w:fill="D9D9D9"/>
          </w:tcPr>
          <w:p w14:paraId="0558456E" w14:textId="77777777" w:rsidR="00302BFE" w:rsidRPr="00902601" w:rsidRDefault="00302BFE" w:rsidP="00243B15">
            <w:pPr>
              <w:rPr>
                <w:highlight w:val="green"/>
                <w:lang w:val="en-CA"/>
              </w:rPr>
            </w:pPr>
          </w:p>
        </w:tc>
        <w:tc>
          <w:tcPr>
            <w:tcW w:w="340" w:type="dxa"/>
            <w:shd w:val="clear" w:color="auto" w:fill="D9D9D9"/>
          </w:tcPr>
          <w:p w14:paraId="266C4370" w14:textId="77777777" w:rsidR="00302BFE" w:rsidRPr="00902601" w:rsidRDefault="00302BFE" w:rsidP="00243B15">
            <w:pPr>
              <w:rPr>
                <w:highlight w:val="green"/>
                <w:lang w:val="en-CA"/>
              </w:rPr>
            </w:pPr>
          </w:p>
        </w:tc>
        <w:tc>
          <w:tcPr>
            <w:tcW w:w="340" w:type="dxa"/>
            <w:shd w:val="clear" w:color="auto" w:fill="D9D9D9"/>
          </w:tcPr>
          <w:p w14:paraId="2263D530" w14:textId="77777777" w:rsidR="00302BFE" w:rsidRPr="00902601" w:rsidRDefault="00302BFE" w:rsidP="00243B15">
            <w:pPr>
              <w:rPr>
                <w:highlight w:val="green"/>
                <w:lang w:val="en-CA"/>
              </w:rPr>
            </w:pPr>
          </w:p>
        </w:tc>
        <w:tc>
          <w:tcPr>
            <w:tcW w:w="340" w:type="dxa"/>
            <w:shd w:val="clear" w:color="auto" w:fill="D9D9D9"/>
          </w:tcPr>
          <w:p w14:paraId="6AF66070" w14:textId="77777777" w:rsidR="00302BFE" w:rsidRPr="00902601" w:rsidRDefault="00302BFE" w:rsidP="00243B15">
            <w:pPr>
              <w:rPr>
                <w:highlight w:val="green"/>
                <w:lang w:val="en-CA"/>
              </w:rPr>
            </w:pPr>
          </w:p>
        </w:tc>
        <w:tc>
          <w:tcPr>
            <w:tcW w:w="340" w:type="dxa"/>
            <w:shd w:val="clear" w:color="auto" w:fill="D9D9D9"/>
          </w:tcPr>
          <w:p w14:paraId="08DE85E7" w14:textId="77777777" w:rsidR="00302BFE" w:rsidRPr="00902601" w:rsidRDefault="00302BFE" w:rsidP="00243B15">
            <w:pPr>
              <w:rPr>
                <w:highlight w:val="green"/>
                <w:lang w:val="en-CA"/>
              </w:rPr>
            </w:pPr>
          </w:p>
        </w:tc>
        <w:tc>
          <w:tcPr>
            <w:tcW w:w="340" w:type="dxa"/>
            <w:shd w:val="clear" w:color="auto" w:fill="D9D9D9"/>
          </w:tcPr>
          <w:p w14:paraId="5BC3A0E5" w14:textId="77777777" w:rsidR="00302BFE" w:rsidRPr="00902601" w:rsidRDefault="00302BFE" w:rsidP="00243B15">
            <w:pPr>
              <w:rPr>
                <w:highlight w:val="green"/>
                <w:lang w:val="en-CA"/>
              </w:rPr>
            </w:pPr>
          </w:p>
        </w:tc>
        <w:tc>
          <w:tcPr>
            <w:tcW w:w="340" w:type="dxa"/>
            <w:shd w:val="clear" w:color="auto" w:fill="D9D9D9"/>
          </w:tcPr>
          <w:p w14:paraId="7B0050F2" w14:textId="77777777" w:rsidR="00302BFE" w:rsidRPr="00902601" w:rsidRDefault="00302BFE" w:rsidP="00243B15">
            <w:pPr>
              <w:rPr>
                <w:highlight w:val="green"/>
                <w:lang w:val="en-CA"/>
              </w:rPr>
            </w:pPr>
          </w:p>
        </w:tc>
        <w:tc>
          <w:tcPr>
            <w:tcW w:w="340" w:type="dxa"/>
            <w:shd w:val="clear" w:color="auto" w:fill="D9D9D9"/>
          </w:tcPr>
          <w:p w14:paraId="562E595C" w14:textId="77777777" w:rsidR="00302BFE" w:rsidRPr="00902601" w:rsidRDefault="00302BFE" w:rsidP="00243B15">
            <w:pPr>
              <w:rPr>
                <w:highlight w:val="green"/>
                <w:lang w:val="en-CA"/>
              </w:rPr>
            </w:pPr>
          </w:p>
        </w:tc>
        <w:tc>
          <w:tcPr>
            <w:tcW w:w="340" w:type="dxa"/>
            <w:shd w:val="clear" w:color="auto" w:fill="D9D9D9"/>
          </w:tcPr>
          <w:p w14:paraId="4B270B98" w14:textId="77777777" w:rsidR="00302BFE" w:rsidRPr="00902601" w:rsidRDefault="00302BFE" w:rsidP="00243B15">
            <w:pPr>
              <w:rPr>
                <w:highlight w:val="green"/>
                <w:lang w:val="en-CA"/>
              </w:rPr>
            </w:pPr>
          </w:p>
        </w:tc>
        <w:tc>
          <w:tcPr>
            <w:tcW w:w="340" w:type="dxa"/>
            <w:shd w:val="clear" w:color="auto" w:fill="D9D9D9"/>
          </w:tcPr>
          <w:p w14:paraId="33F492A6" w14:textId="77777777" w:rsidR="00302BFE" w:rsidRPr="00902601" w:rsidRDefault="00302BFE" w:rsidP="00243B15">
            <w:pPr>
              <w:rPr>
                <w:highlight w:val="green"/>
                <w:lang w:val="en-CA"/>
              </w:rPr>
            </w:pPr>
          </w:p>
        </w:tc>
        <w:tc>
          <w:tcPr>
            <w:tcW w:w="340" w:type="dxa"/>
            <w:shd w:val="clear" w:color="auto" w:fill="D9D9D9"/>
          </w:tcPr>
          <w:p w14:paraId="48AAA845" w14:textId="77777777" w:rsidR="00302BFE" w:rsidRPr="00902601" w:rsidRDefault="00302BFE" w:rsidP="00243B15">
            <w:pPr>
              <w:rPr>
                <w:highlight w:val="green"/>
                <w:lang w:val="en-CA"/>
              </w:rPr>
            </w:pPr>
          </w:p>
        </w:tc>
        <w:tc>
          <w:tcPr>
            <w:tcW w:w="340" w:type="dxa"/>
            <w:shd w:val="clear" w:color="auto" w:fill="D9D9D9"/>
          </w:tcPr>
          <w:p w14:paraId="56064139" w14:textId="77777777" w:rsidR="00302BFE" w:rsidRPr="00902601" w:rsidRDefault="00302BFE" w:rsidP="00243B15">
            <w:pPr>
              <w:rPr>
                <w:highlight w:val="green"/>
                <w:lang w:val="en-CA"/>
              </w:rPr>
            </w:pPr>
          </w:p>
        </w:tc>
        <w:tc>
          <w:tcPr>
            <w:tcW w:w="340" w:type="dxa"/>
            <w:shd w:val="clear" w:color="auto" w:fill="D9D9D9"/>
          </w:tcPr>
          <w:p w14:paraId="4900FF99" w14:textId="77777777" w:rsidR="00302BFE" w:rsidRPr="00902601" w:rsidRDefault="00302BFE" w:rsidP="00243B15">
            <w:pPr>
              <w:rPr>
                <w:highlight w:val="green"/>
                <w:lang w:val="en-CA"/>
              </w:rPr>
            </w:pPr>
          </w:p>
        </w:tc>
        <w:tc>
          <w:tcPr>
            <w:tcW w:w="340" w:type="dxa"/>
            <w:shd w:val="clear" w:color="auto" w:fill="D9D9D9"/>
          </w:tcPr>
          <w:p w14:paraId="465A6CE5" w14:textId="77777777" w:rsidR="00302BFE" w:rsidRPr="00902601" w:rsidRDefault="00302BFE" w:rsidP="00243B15">
            <w:pPr>
              <w:rPr>
                <w:highlight w:val="green"/>
                <w:lang w:val="en-CA"/>
              </w:rPr>
            </w:pPr>
          </w:p>
        </w:tc>
        <w:tc>
          <w:tcPr>
            <w:tcW w:w="340" w:type="dxa"/>
            <w:shd w:val="clear" w:color="auto" w:fill="D9D9D9"/>
          </w:tcPr>
          <w:p w14:paraId="16105EA4" w14:textId="77777777" w:rsidR="00302BFE" w:rsidRPr="00902601" w:rsidRDefault="00302BFE" w:rsidP="00243B15">
            <w:pPr>
              <w:rPr>
                <w:highlight w:val="green"/>
                <w:lang w:val="en-CA"/>
              </w:rPr>
            </w:pPr>
          </w:p>
        </w:tc>
        <w:tc>
          <w:tcPr>
            <w:tcW w:w="340" w:type="dxa"/>
            <w:shd w:val="clear" w:color="auto" w:fill="D9D9D9"/>
          </w:tcPr>
          <w:p w14:paraId="0D0B7E11" w14:textId="77777777" w:rsidR="00302BFE" w:rsidRPr="00902601" w:rsidRDefault="00302BFE" w:rsidP="00243B15">
            <w:pPr>
              <w:rPr>
                <w:highlight w:val="green"/>
                <w:lang w:val="en-CA"/>
              </w:rPr>
            </w:pPr>
          </w:p>
        </w:tc>
        <w:tc>
          <w:tcPr>
            <w:tcW w:w="340" w:type="dxa"/>
            <w:shd w:val="clear" w:color="auto" w:fill="auto"/>
          </w:tcPr>
          <w:p w14:paraId="0CF00667" w14:textId="77777777" w:rsidR="00302BFE" w:rsidRPr="00902601" w:rsidRDefault="00302BFE" w:rsidP="00243B15">
            <w:pPr>
              <w:rPr>
                <w:highlight w:val="green"/>
                <w:lang w:val="en-CA"/>
              </w:rPr>
            </w:pPr>
          </w:p>
        </w:tc>
      </w:tr>
      <w:tr w:rsidR="005979FD" w:rsidRPr="00902601" w14:paraId="71ACF32A" w14:textId="77777777" w:rsidTr="00CC2FAC">
        <w:trPr>
          <w:jc w:val="center"/>
        </w:trPr>
        <w:tc>
          <w:tcPr>
            <w:tcW w:w="5670" w:type="dxa"/>
            <w:shd w:val="clear" w:color="auto" w:fill="auto"/>
          </w:tcPr>
          <w:p w14:paraId="7BCE6AE6" w14:textId="77777777" w:rsidR="00302BFE" w:rsidRPr="00902601" w:rsidRDefault="00302BFE" w:rsidP="00243B15">
            <w:pPr>
              <w:rPr>
                <w:i/>
                <w:color w:val="4472C4"/>
                <w:sz w:val="16"/>
                <w:szCs w:val="16"/>
                <w:highlight w:val="green"/>
                <w:lang w:val="en-GB"/>
              </w:rPr>
            </w:pPr>
            <w:r w:rsidRPr="00902601">
              <w:rPr>
                <w:i/>
                <w:color w:val="4472C4"/>
                <w:sz w:val="16"/>
                <w:szCs w:val="16"/>
                <w:highlight w:val="green"/>
                <w:lang w:val="en-GB"/>
              </w:rPr>
              <w:t>2.2.3 Collaborative management agreements for State PAs and support to collaborative management committees</w:t>
            </w:r>
          </w:p>
        </w:tc>
        <w:tc>
          <w:tcPr>
            <w:tcW w:w="340" w:type="dxa"/>
            <w:shd w:val="clear" w:color="auto" w:fill="auto"/>
          </w:tcPr>
          <w:p w14:paraId="38E7F1F7" w14:textId="77777777" w:rsidR="00302BFE" w:rsidRPr="00902601" w:rsidRDefault="00302BFE" w:rsidP="00243B15">
            <w:pPr>
              <w:rPr>
                <w:highlight w:val="green"/>
                <w:lang w:val="en-CA"/>
              </w:rPr>
            </w:pPr>
          </w:p>
        </w:tc>
        <w:tc>
          <w:tcPr>
            <w:tcW w:w="340" w:type="dxa"/>
            <w:shd w:val="clear" w:color="auto" w:fill="auto"/>
          </w:tcPr>
          <w:p w14:paraId="353A66AD" w14:textId="77777777" w:rsidR="00302BFE" w:rsidRPr="00902601" w:rsidRDefault="00302BFE" w:rsidP="00243B15">
            <w:pPr>
              <w:rPr>
                <w:highlight w:val="green"/>
                <w:lang w:val="en-CA"/>
              </w:rPr>
            </w:pPr>
          </w:p>
        </w:tc>
        <w:tc>
          <w:tcPr>
            <w:tcW w:w="340" w:type="dxa"/>
            <w:shd w:val="clear" w:color="auto" w:fill="D9D9D9"/>
          </w:tcPr>
          <w:p w14:paraId="1C81BB70" w14:textId="77777777" w:rsidR="00302BFE" w:rsidRPr="00902601" w:rsidRDefault="00302BFE" w:rsidP="00243B15">
            <w:pPr>
              <w:rPr>
                <w:highlight w:val="green"/>
                <w:lang w:val="en-CA"/>
              </w:rPr>
            </w:pPr>
          </w:p>
        </w:tc>
        <w:tc>
          <w:tcPr>
            <w:tcW w:w="340" w:type="dxa"/>
            <w:shd w:val="clear" w:color="auto" w:fill="D9D9D9"/>
          </w:tcPr>
          <w:p w14:paraId="38008131" w14:textId="77777777" w:rsidR="00302BFE" w:rsidRPr="00902601" w:rsidRDefault="00302BFE" w:rsidP="00243B15">
            <w:pPr>
              <w:rPr>
                <w:highlight w:val="green"/>
                <w:lang w:val="en-CA"/>
              </w:rPr>
            </w:pPr>
          </w:p>
        </w:tc>
        <w:tc>
          <w:tcPr>
            <w:tcW w:w="340" w:type="dxa"/>
            <w:shd w:val="clear" w:color="auto" w:fill="D9D9D9"/>
          </w:tcPr>
          <w:p w14:paraId="066915E9" w14:textId="77777777" w:rsidR="00302BFE" w:rsidRPr="00902601" w:rsidRDefault="00302BFE" w:rsidP="00243B15">
            <w:pPr>
              <w:rPr>
                <w:highlight w:val="green"/>
                <w:lang w:val="en-CA"/>
              </w:rPr>
            </w:pPr>
          </w:p>
        </w:tc>
        <w:tc>
          <w:tcPr>
            <w:tcW w:w="340" w:type="dxa"/>
            <w:shd w:val="clear" w:color="auto" w:fill="D9D9D9"/>
          </w:tcPr>
          <w:p w14:paraId="087A4EB6" w14:textId="77777777" w:rsidR="00302BFE" w:rsidRPr="00902601" w:rsidRDefault="00302BFE" w:rsidP="00243B15">
            <w:pPr>
              <w:rPr>
                <w:highlight w:val="green"/>
                <w:lang w:val="en-CA"/>
              </w:rPr>
            </w:pPr>
          </w:p>
        </w:tc>
        <w:tc>
          <w:tcPr>
            <w:tcW w:w="340" w:type="dxa"/>
            <w:shd w:val="clear" w:color="auto" w:fill="D9D9D9"/>
          </w:tcPr>
          <w:p w14:paraId="572A3F08" w14:textId="77777777" w:rsidR="00302BFE" w:rsidRPr="00902601" w:rsidRDefault="00302BFE" w:rsidP="00243B15">
            <w:pPr>
              <w:rPr>
                <w:highlight w:val="green"/>
                <w:lang w:val="en-CA"/>
              </w:rPr>
            </w:pPr>
          </w:p>
        </w:tc>
        <w:tc>
          <w:tcPr>
            <w:tcW w:w="340" w:type="dxa"/>
            <w:shd w:val="clear" w:color="auto" w:fill="D9D9D9"/>
          </w:tcPr>
          <w:p w14:paraId="0AC1087A" w14:textId="77777777" w:rsidR="00302BFE" w:rsidRPr="00902601" w:rsidRDefault="00302BFE" w:rsidP="00243B15">
            <w:pPr>
              <w:rPr>
                <w:highlight w:val="green"/>
                <w:lang w:val="en-CA"/>
              </w:rPr>
            </w:pPr>
          </w:p>
        </w:tc>
        <w:tc>
          <w:tcPr>
            <w:tcW w:w="340" w:type="dxa"/>
            <w:shd w:val="clear" w:color="auto" w:fill="D9D9D9"/>
          </w:tcPr>
          <w:p w14:paraId="2A6ED962" w14:textId="77777777" w:rsidR="00302BFE" w:rsidRPr="00902601" w:rsidRDefault="00302BFE" w:rsidP="00243B15">
            <w:pPr>
              <w:rPr>
                <w:highlight w:val="green"/>
                <w:lang w:val="en-CA"/>
              </w:rPr>
            </w:pPr>
          </w:p>
        </w:tc>
        <w:tc>
          <w:tcPr>
            <w:tcW w:w="340" w:type="dxa"/>
            <w:shd w:val="clear" w:color="auto" w:fill="D9D9D9"/>
          </w:tcPr>
          <w:p w14:paraId="79964CC1" w14:textId="77777777" w:rsidR="00302BFE" w:rsidRPr="00902601" w:rsidRDefault="00302BFE" w:rsidP="00243B15">
            <w:pPr>
              <w:rPr>
                <w:highlight w:val="green"/>
                <w:lang w:val="en-CA"/>
              </w:rPr>
            </w:pPr>
          </w:p>
        </w:tc>
        <w:tc>
          <w:tcPr>
            <w:tcW w:w="340" w:type="dxa"/>
            <w:shd w:val="clear" w:color="auto" w:fill="D9D9D9"/>
          </w:tcPr>
          <w:p w14:paraId="160B853F" w14:textId="77777777" w:rsidR="00302BFE" w:rsidRPr="00902601" w:rsidRDefault="00302BFE" w:rsidP="00243B15">
            <w:pPr>
              <w:rPr>
                <w:highlight w:val="green"/>
                <w:lang w:val="en-CA"/>
              </w:rPr>
            </w:pPr>
          </w:p>
        </w:tc>
        <w:tc>
          <w:tcPr>
            <w:tcW w:w="340" w:type="dxa"/>
            <w:shd w:val="clear" w:color="auto" w:fill="D9D9D9"/>
          </w:tcPr>
          <w:p w14:paraId="5303828D" w14:textId="77777777" w:rsidR="00302BFE" w:rsidRPr="00902601" w:rsidRDefault="00302BFE" w:rsidP="00243B15">
            <w:pPr>
              <w:rPr>
                <w:highlight w:val="green"/>
                <w:lang w:val="en-CA"/>
              </w:rPr>
            </w:pPr>
          </w:p>
        </w:tc>
        <w:tc>
          <w:tcPr>
            <w:tcW w:w="340" w:type="dxa"/>
            <w:shd w:val="clear" w:color="auto" w:fill="D9D9D9"/>
          </w:tcPr>
          <w:p w14:paraId="48B42BB2" w14:textId="77777777" w:rsidR="00302BFE" w:rsidRPr="00902601" w:rsidRDefault="00302BFE" w:rsidP="00243B15">
            <w:pPr>
              <w:rPr>
                <w:highlight w:val="green"/>
                <w:lang w:val="en-CA"/>
              </w:rPr>
            </w:pPr>
          </w:p>
        </w:tc>
        <w:tc>
          <w:tcPr>
            <w:tcW w:w="340" w:type="dxa"/>
            <w:shd w:val="clear" w:color="auto" w:fill="D9D9D9"/>
          </w:tcPr>
          <w:p w14:paraId="42FD28A6" w14:textId="77777777" w:rsidR="00302BFE" w:rsidRPr="00902601" w:rsidRDefault="00302BFE" w:rsidP="00243B15">
            <w:pPr>
              <w:rPr>
                <w:highlight w:val="green"/>
                <w:lang w:val="en-CA"/>
              </w:rPr>
            </w:pPr>
          </w:p>
        </w:tc>
        <w:tc>
          <w:tcPr>
            <w:tcW w:w="340" w:type="dxa"/>
            <w:shd w:val="clear" w:color="auto" w:fill="D9D9D9"/>
          </w:tcPr>
          <w:p w14:paraId="050D521B" w14:textId="77777777" w:rsidR="00302BFE" w:rsidRPr="00902601" w:rsidRDefault="00302BFE" w:rsidP="00243B15">
            <w:pPr>
              <w:rPr>
                <w:highlight w:val="green"/>
                <w:lang w:val="en-CA"/>
              </w:rPr>
            </w:pPr>
          </w:p>
        </w:tc>
        <w:tc>
          <w:tcPr>
            <w:tcW w:w="340" w:type="dxa"/>
            <w:shd w:val="clear" w:color="auto" w:fill="D9D9D9"/>
          </w:tcPr>
          <w:p w14:paraId="6B139B91" w14:textId="77777777" w:rsidR="00302BFE" w:rsidRPr="00902601" w:rsidRDefault="00302BFE" w:rsidP="00243B15">
            <w:pPr>
              <w:rPr>
                <w:highlight w:val="green"/>
                <w:lang w:val="en-CA"/>
              </w:rPr>
            </w:pPr>
          </w:p>
        </w:tc>
        <w:tc>
          <w:tcPr>
            <w:tcW w:w="340" w:type="dxa"/>
            <w:shd w:val="clear" w:color="auto" w:fill="D9D9D9"/>
          </w:tcPr>
          <w:p w14:paraId="6A43E7A2" w14:textId="77777777" w:rsidR="00302BFE" w:rsidRPr="00902601" w:rsidRDefault="00302BFE" w:rsidP="00243B15">
            <w:pPr>
              <w:rPr>
                <w:highlight w:val="green"/>
                <w:lang w:val="en-CA"/>
              </w:rPr>
            </w:pPr>
          </w:p>
        </w:tc>
        <w:tc>
          <w:tcPr>
            <w:tcW w:w="340" w:type="dxa"/>
            <w:shd w:val="clear" w:color="auto" w:fill="D9D9D9"/>
          </w:tcPr>
          <w:p w14:paraId="4A1A29A9" w14:textId="77777777" w:rsidR="00302BFE" w:rsidRPr="00902601" w:rsidRDefault="00302BFE" w:rsidP="00243B15">
            <w:pPr>
              <w:rPr>
                <w:highlight w:val="green"/>
                <w:lang w:val="en-CA"/>
              </w:rPr>
            </w:pPr>
          </w:p>
        </w:tc>
        <w:tc>
          <w:tcPr>
            <w:tcW w:w="340" w:type="dxa"/>
            <w:shd w:val="clear" w:color="auto" w:fill="D9D9D9"/>
          </w:tcPr>
          <w:p w14:paraId="68BD233D" w14:textId="77777777" w:rsidR="00302BFE" w:rsidRPr="00902601" w:rsidRDefault="00302BFE" w:rsidP="00243B15">
            <w:pPr>
              <w:rPr>
                <w:highlight w:val="green"/>
                <w:lang w:val="en-CA"/>
              </w:rPr>
            </w:pPr>
          </w:p>
        </w:tc>
        <w:tc>
          <w:tcPr>
            <w:tcW w:w="340" w:type="dxa"/>
            <w:shd w:val="clear" w:color="auto" w:fill="D9D9D9"/>
          </w:tcPr>
          <w:p w14:paraId="3AFDDC1D" w14:textId="77777777" w:rsidR="00302BFE" w:rsidRPr="00902601" w:rsidRDefault="00302BFE" w:rsidP="00243B15">
            <w:pPr>
              <w:rPr>
                <w:highlight w:val="green"/>
                <w:lang w:val="en-CA"/>
              </w:rPr>
            </w:pPr>
          </w:p>
        </w:tc>
        <w:tc>
          <w:tcPr>
            <w:tcW w:w="340" w:type="dxa"/>
            <w:shd w:val="clear" w:color="auto" w:fill="D9D9D9"/>
          </w:tcPr>
          <w:p w14:paraId="37F20F2A" w14:textId="77777777" w:rsidR="00302BFE" w:rsidRPr="00902601" w:rsidRDefault="00302BFE" w:rsidP="00243B15">
            <w:pPr>
              <w:rPr>
                <w:highlight w:val="green"/>
                <w:lang w:val="en-CA"/>
              </w:rPr>
            </w:pPr>
          </w:p>
        </w:tc>
        <w:tc>
          <w:tcPr>
            <w:tcW w:w="340" w:type="dxa"/>
            <w:shd w:val="clear" w:color="auto" w:fill="D9D9D9"/>
          </w:tcPr>
          <w:p w14:paraId="5C3C94CC" w14:textId="77777777" w:rsidR="00302BFE" w:rsidRPr="00902601" w:rsidRDefault="00302BFE" w:rsidP="00243B15">
            <w:pPr>
              <w:rPr>
                <w:highlight w:val="green"/>
                <w:lang w:val="en-CA"/>
              </w:rPr>
            </w:pPr>
          </w:p>
        </w:tc>
        <w:tc>
          <w:tcPr>
            <w:tcW w:w="340" w:type="dxa"/>
            <w:shd w:val="clear" w:color="auto" w:fill="D9D9D9"/>
          </w:tcPr>
          <w:p w14:paraId="1B254E72" w14:textId="77777777" w:rsidR="00302BFE" w:rsidRPr="00902601" w:rsidRDefault="00302BFE" w:rsidP="00243B15">
            <w:pPr>
              <w:rPr>
                <w:highlight w:val="green"/>
                <w:lang w:val="en-CA"/>
              </w:rPr>
            </w:pPr>
          </w:p>
        </w:tc>
        <w:tc>
          <w:tcPr>
            <w:tcW w:w="340" w:type="dxa"/>
            <w:shd w:val="clear" w:color="auto" w:fill="auto"/>
          </w:tcPr>
          <w:p w14:paraId="013F3A51" w14:textId="77777777" w:rsidR="00302BFE" w:rsidRPr="00902601" w:rsidRDefault="00302BFE" w:rsidP="00243B15">
            <w:pPr>
              <w:rPr>
                <w:highlight w:val="green"/>
                <w:lang w:val="en-CA"/>
              </w:rPr>
            </w:pPr>
          </w:p>
        </w:tc>
      </w:tr>
      <w:tr w:rsidR="005979FD" w:rsidRPr="00902601" w14:paraId="3AB9CE89" w14:textId="77777777" w:rsidTr="00CC2FAC">
        <w:trPr>
          <w:jc w:val="center"/>
        </w:trPr>
        <w:tc>
          <w:tcPr>
            <w:tcW w:w="5670" w:type="dxa"/>
            <w:shd w:val="clear" w:color="auto" w:fill="auto"/>
          </w:tcPr>
          <w:p w14:paraId="12F985E0" w14:textId="77777777" w:rsidR="00302BFE" w:rsidRPr="00902601" w:rsidRDefault="00302BFE" w:rsidP="00243B15">
            <w:pPr>
              <w:rPr>
                <w:i/>
                <w:color w:val="4472C4"/>
                <w:sz w:val="16"/>
                <w:szCs w:val="16"/>
                <w:highlight w:val="green"/>
                <w:lang w:val="en-GB"/>
              </w:rPr>
            </w:pPr>
            <w:r w:rsidRPr="00902601">
              <w:rPr>
                <w:rFonts w:eastAsia="Calibri"/>
                <w:i/>
                <w:color w:val="4472C4"/>
                <w:sz w:val="16"/>
                <w:szCs w:val="16"/>
                <w:highlight w:val="green"/>
                <w:lang w:val="en-GB"/>
              </w:rPr>
              <w:t>2.2.4 Long-term ecological monitoring system at the landscape and individual PAs levels</w:t>
            </w:r>
          </w:p>
        </w:tc>
        <w:tc>
          <w:tcPr>
            <w:tcW w:w="340" w:type="dxa"/>
            <w:shd w:val="clear" w:color="auto" w:fill="auto"/>
          </w:tcPr>
          <w:p w14:paraId="0991ABE2" w14:textId="77777777" w:rsidR="00302BFE" w:rsidRPr="00902601" w:rsidRDefault="00302BFE" w:rsidP="00243B15">
            <w:pPr>
              <w:rPr>
                <w:highlight w:val="green"/>
                <w:lang w:val="en-CA"/>
              </w:rPr>
            </w:pPr>
          </w:p>
        </w:tc>
        <w:tc>
          <w:tcPr>
            <w:tcW w:w="340" w:type="dxa"/>
            <w:shd w:val="clear" w:color="auto" w:fill="auto"/>
          </w:tcPr>
          <w:p w14:paraId="347BB7D9" w14:textId="77777777" w:rsidR="00302BFE" w:rsidRPr="00902601" w:rsidRDefault="00302BFE" w:rsidP="00243B15">
            <w:pPr>
              <w:rPr>
                <w:highlight w:val="green"/>
                <w:lang w:val="en-CA"/>
              </w:rPr>
            </w:pPr>
          </w:p>
        </w:tc>
        <w:tc>
          <w:tcPr>
            <w:tcW w:w="340" w:type="dxa"/>
            <w:shd w:val="clear" w:color="auto" w:fill="D9D9D9" w:themeFill="background1" w:themeFillShade="D9"/>
          </w:tcPr>
          <w:p w14:paraId="0948C2E6" w14:textId="77777777" w:rsidR="00302BFE" w:rsidRPr="00902601" w:rsidRDefault="00302BFE" w:rsidP="00243B15">
            <w:pPr>
              <w:rPr>
                <w:highlight w:val="green"/>
                <w:lang w:val="en-CA"/>
              </w:rPr>
            </w:pPr>
          </w:p>
        </w:tc>
        <w:tc>
          <w:tcPr>
            <w:tcW w:w="340" w:type="dxa"/>
            <w:shd w:val="clear" w:color="auto" w:fill="D9D9D9" w:themeFill="background1" w:themeFillShade="D9"/>
          </w:tcPr>
          <w:p w14:paraId="47699479" w14:textId="77777777" w:rsidR="00302BFE" w:rsidRPr="00902601" w:rsidRDefault="00302BFE" w:rsidP="00243B15">
            <w:pPr>
              <w:rPr>
                <w:highlight w:val="green"/>
                <w:lang w:val="en-CA"/>
              </w:rPr>
            </w:pPr>
          </w:p>
        </w:tc>
        <w:tc>
          <w:tcPr>
            <w:tcW w:w="340" w:type="dxa"/>
            <w:shd w:val="clear" w:color="auto" w:fill="D9D9D9"/>
          </w:tcPr>
          <w:p w14:paraId="3871B229" w14:textId="77777777" w:rsidR="00302BFE" w:rsidRPr="00902601" w:rsidRDefault="00302BFE" w:rsidP="00243B15">
            <w:pPr>
              <w:rPr>
                <w:highlight w:val="green"/>
                <w:lang w:val="en-CA"/>
              </w:rPr>
            </w:pPr>
          </w:p>
        </w:tc>
        <w:tc>
          <w:tcPr>
            <w:tcW w:w="340" w:type="dxa"/>
            <w:shd w:val="clear" w:color="auto" w:fill="D9D9D9"/>
          </w:tcPr>
          <w:p w14:paraId="7CCC9E51" w14:textId="77777777" w:rsidR="00302BFE" w:rsidRPr="00902601" w:rsidRDefault="00302BFE" w:rsidP="00243B15">
            <w:pPr>
              <w:rPr>
                <w:highlight w:val="green"/>
                <w:lang w:val="en-CA"/>
              </w:rPr>
            </w:pPr>
          </w:p>
        </w:tc>
        <w:tc>
          <w:tcPr>
            <w:tcW w:w="340" w:type="dxa"/>
            <w:shd w:val="clear" w:color="auto" w:fill="D9D9D9"/>
          </w:tcPr>
          <w:p w14:paraId="50E277F2" w14:textId="77777777" w:rsidR="00302BFE" w:rsidRPr="00902601" w:rsidRDefault="00302BFE" w:rsidP="00243B15">
            <w:pPr>
              <w:rPr>
                <w:highlight w:val="green"/>
                <w:lang w:val="en-CA"/>
              </w:rPr>
            </w:pPr>
          </w:p>
        </w:tc>
        <w:tc>
          <w:tcPr>
            <w:tcW w:w="340" w:type="dxa"/>
            <w:shd w:val="clear" w:color="auto" w:fill="D9D9D9"/>
          </w:tcPr>
          <w:p w14:paraId="1B2055C2"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4286BAF5"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45BF2DC8"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524C3742"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50F0C481"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3FAF676C"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471F7CEA"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1E07FF51"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33DA85E4"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614F4FE5"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3AB8FCC0"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65C5358D"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59A46053"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121044E5"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152FB885"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62C68A0D" w14:textId="77777777" w:rsidR="00302BFE" w:rsidRPr="00902601" w:rsidRDefault="00302BFE" w:rsidP="00243B15">
            <w:pPr>
              <w:rPr>
                <w:highlight w:val="green"/>
                <w:lang w:val="en-CA"/>
              </w:rPr>
            </w:pPr>
          </w:p>
        </w:tc>
        <w:tc>
          <w:tcPr>
            <w:tcW w:w="340" w:type="dxa"/>
            <w:shd w:val="clear" w:color="auto" w:fill="auto"/>
          </w:tcPr>
          <w:p w14:paraId="75AAF65A" w14:textId="77777777" w:rsidR="00302BFE" w:rsidRPr="00902601" w:rsidRDefault="00302BFE" w:rsidP="00243B15">
            <w:pPr>
              <w:rPr>
                <w:highlight w:val="green"/>
                <w:lang w:val="en-CA"/>
              </w:rPr>
            </w:pPr>
          </w:p>
        </w:tc>
      </w:tr>
      <w:tr w:rsidR="005979FD" w:rsidRPr="00902601" w14:paraId="595B0B06" w14:textId="77777777" w:rsidTr="00CC2FAC">
        <w:trPr>
          <w:jc w:val="center"/>
        </w:trPr>
        <w:tc>
          <w:tcPr>
            <w:tcW w:w="5670" w:type="dxa"/>
            <w:shd w:val="clear" w:color="auto" w:fill="auto"/>
          </w:tcPr>
          <w:p w14:paraId="053530B8" w14:textId="77777777" w:rsidR="00302BFE" w:rsidRPr="00902601" w:rsidRDefault="00302BFE" w:rsidP="00243B15">
            <w:pPr>
              <w:rPr>
                <w:i/>
                <w:color w:val="4472C4"/>
                <w:sz w:val="16"/>
                <w:szCs w:val="16"/>
                <w:highlight w:val="green"/>
                <w:lang w:val="en-CA"/>
              </w:rPr>
            </w:pPr>
            <w:r w:rsidRPr="00902601">
              <w:rPr>
                <w:rFonts w:eastAsia="Cambria"/>
                <w:i/>
                <w:color w:val="4472C4"/>
                <w:sz w:val="16"/>
                <w:szCs w:val="16"/>
                <w:highlight w:val="green"/>
                <w:lang w:val="en-GB"/>
              </w:rPr>
              <w:t>2.2.5 Surveillance and anti-poaching are planned and implemented at the PONASI landscape scale</w:t>
            </w:r>
          </w:p>
        </w:tc>
        <w:tc>
          <w:tcPr>
            <w:tcW w:w="340" w:type="dxa"/>
            <w:shd w:val="clear" w:color="auto" w:fill="auto"/>
          </w:tcPr>
          <w:p w14:paraId="649AB93D" w14:textId="77777777" w:rsidR="00302BFE" w:rsidRPr="00902601" w:rsidRDefault="00302BFE" w:rsidP="00243B15">
            <w:pPr>
              <w:rPr>
                <w:highlight w:val="green"/>
                <w:lang w:val="en-CA"/>
              </w:rPr>
            </w:pPr>
          </w:p>
        </w:tc>
        <w:tc>
          <w:tcPr>
            <w:tcW w:w="340" w:type="dxa"/>
            <w:shd w:val="clear" w:color="auto" w:fill="auto"/>
          </w:tcPr>
          <w:p w14:paraId="1EC1546B" w14:textId="77777777" w:rsidR="00302BFE" w:rsidRPr="00902601" w:rsidRDefault="00302BFE" w:rsidP="00243B15">
            <w:pPr>
              <w:rPr>
                <w:highlight w:val="green"/>
                <w:lang w:val="en-CA"/>
              </w:rPr>
            </w:pPr>
          </w:p>
        </w:tc>
        <w:tc>
          <w:tcPr>
            <w:tcW w:w="340" w:type="dxa"/>
            <w:shd w:val="clear" w:color="auto" w:fill="D9D9D9" w:themeFill="background1" w:themeFillShade="D9"/>
          </w:tcPr>
          <w:p w14:paraId="79D05EFD" w14:textId="77777777" w:rsidR="00302BFE" w:rsidRPr="00902601" w:rsidRDefault="00302BFE" w:rsidP="00243B15">
            <w:pPr>
              <w:rPr>
                <w:highlight w:val="green"/>
                <w:lang w:val="en-CA"/>
              </w:rPr>
            </w:pPr>
          </w:p>
        </w:tc>
        <w:tc>
          <w:tcPr>
            <w:tcW w:w="340" w:type="dxa"/>
            <w:shd w:val="clear" w:color="auto" w:fill="D9D9D9" w:themeFill="background1" w:themeFillShade="D9"/>
          </w:tcPr>
          <w:p w14:paraId="49D9131C" w14:textId="77777777" w:rsidR="00302BFE" w:rsidRPr="00902601" w:rsidRDefault="00302BFE" w:rsidP="00243B15">
            <w:pPr>
              <w:rPr>
                <w:highlight w:val="green"/>
                <w:lang w:val="en-CA"/>
              </w:rPr>
            </w:pPr>
          </w:p>
        </w:tc>
        <w:tc>
          <w:tcPr>
            <w:tcW w:w="340" w:type="dxa"/>
            <w:shd w:val="clear" w:color="auto" w:fill="D9D9D9" w:themeFill="background1" w:themeFillShade="D9"/>
          </w:tcPr>
          <w:p w14:paraId="27BEF51C" w14:textId="77777777" w:rsidR="00302BFE" w:rsidRPr="00902601" w:rsidRDefault="00302BFE" w:rsidP="00243B15">
            <w:pPr>
              <w:rPr>
                <w:highlight w:val="green"/>
                <w:lang w:val="en-CA"/>
              </w:rPr>
            </w:pPr>
          </w:p>
        </w:tc>
        <w:tc>
          <w:tcPr>
            <w:tcW w:w="340" w:type="dxa"/>
            <w:shd w:val="clear" w:color="auto" w:fill="D9D9D9" w:themeFill="background1" w:themeFillShade="D9"/>
          </w:tcPr>
          <w:p w14:paraId="63CE0824" w14:textId="77777777" w:rsidR="00302BFE" w:rsidRPr="00902601" w:rsidRDefault="00302BFE" w:rsidP="00243B15">
            <w:pPr>
              <w:rPr>
                <w:highlight w:val="green"/>
                <w:lang w:val="en-CA"/>
              </w:rPr>
            </w:pPr>
          </w:p>
        </w:tc>
        <w:tc>
          <w:tcPr>
            <w:tcW w:w="340" w:type="dxa"/>
            <w:shd w:val="clear" w:color="auto" w:fill="D9D9D9" w:themeFill="background1" w:themeFillShade="D9"/>
          </w:tcPr>
          <w:p w14:paraId="721B262A" w14:textId="77777777" w:rsidR="00302BFE" w:rsidRPr="00902601" w:rsidRDefault="00302BFE" w:rsidP="00243B15">
            <w:pPr>
              <w:rPr>
                <w:highlight w:val="green"/>
                <w:lang w:val="en-CA"/>
              </w:rPr>
            </w:pPr>
          </w:p>
        </w:tc>
        <w:tc>
          <w:tcPr>
            <w:tcW w:w="340" w:type="dxa"/>
            <w:shd w:val="clear" w:color="auto" w:fill="D9D9D9" w:themeFill="background1" w:themeFillShade="D9"/>
          </w:tcPr>
          <w:p w14:paraId="16941857" w14:textId="77777777" w:rsidR="00302BFE" w:rsidRPr="00902601" w:rsidRDefault="00302BFE" w:rsidP="00243B15">
            <w:pPr>
              <w:rPr>
                <w:highlight w:val="green"/>
                <w:lang w:val="en-CA"/>
              </w:rPr>
            </w:pPr>
          </w:p>
        </w:tc>
        <w:tc>
          <w:tcPr>
            <w:tcW w:w="340" w:type="dxa"/>
            <w:shd w:val="clear" w:color="auto" w:fill="D9D9D9"/>
          </w:tcPr>
          <w:p w14:paraId="4A76777B" w14:textId="77777777" w:rsidR="00302BFE" w:rsidRPr="00902601" w:rsidRDefault="00302BFE" w:rsidP="00243B15">
            <w:pPr>
              <w:rPr>
                <w:highlight w:val="green"/>
                <w:lang w:val="en-CA"/>
              </w:rPr>
            </w:pPr>
          </w:p>
        </w:tc>
        <w:tc>
          <w:tcPr>
            <w:tcW w:w="340" w:type="dxa"/>
            <w:shd w:val="clear" w:color="auto" w:fill="D9D9D9"/>
          </w:tcPr>
          <w:p w14:paraId="3DD2742A" w14:textId="77777777" w:rsidR="00302BFE" w:rsidRPr="00902601" w:rsidRDefault="00302BFE" w:rsidP="00243B15">
            <w:pPr>
              <w:rPr>
                <w:highlight w:val="green"/>
                <w:lang w:val="en-CA"/>
              </w:rPr>
            </w:pPr>
          </w:p>
        </w:tc>
        <w:tc>
          <w:tcPr>
            <w:tcW w:w="340" w:type="dxa"/>
            <w:shd w:val="clear" w:color="auto" w:fill="D9D9D9"/>
          </w:tcPr>
          <w:p w14:paraId="4DBF37DD" w14:textId="77777777" w:rsidR="00302BFE" w:rsidRPr="00902601" w:rsidRDefault="00302BFE" w:rsidP="00243B15">
            <w:pPr>
              <w:rPr>
                <w:highlight w:val="green"/>
                <w:lang w:val="en-CA"/>
              </w:rPr>
            </w:pPr>
          </w:p>
        </w:tc>
        <w:tc>
          <w:tcPr>
            <w:tcW w:w="340" w:type="dxa"/>
            <w:shd w:val="clear" w:color="auto" w:fill="D9D9D9"/>
          </w:tcPr>
          <w:p w14:paraId="3BCEF380" w14:textId="77777777" w:rsidR="00302BFE" w:rsidRPr="00902601" w:rsidRDefault="00302BFE" w:rsidP="00243B15">
            <w:pPr>
              <w:rPr>
                <w:highlight w:val="green"/>
                <w:lang w:val="en-CA"/>
              </w:rPr>
            </w:pPr>
          </w:p>
        </w:tc>
        <w:tc>
          <w:tcPr>
            <w:tcW w:w="340" w:type="dxa"/>
            <w:shd w:val="clear" w:color="auto" w:fill="D9D9D9"/>
          </w:tcPr>
          <w:p w14:paraId="0D6043A7" w14:textId="77777777" w:rsidR="00302BFE" w:rsidRPr="00902601" w:rsidRDefault="00302BFE" w:rsidP="00243B15">
            <w:pPr>
              <w:rPr>
                <w:highlight w:val="green"/>
                <w:lang w:val="en-CA"/>
              </w:rPr>
            </w:pPr>
          </w:p>
        </w:tc>
        <w:tc>
          <w:tcPr>
            <w:tcW w:w="340" w:type="dxa"/>
            <w:shd w:val="clear" w:color="auto" w:fill="D9D9D9"/>
          </w:tcPr>
          <w:p w14:paraId="41102274" w14:textId="77777777" w:rsidR="00302BFE" w:rsidRPr="00902601" w:rsidRDefault="00302BFE" w:rsidP="00243B15">
            <w:pPr>
              <w:rPr>
                <w:highlight w:val="green"/>
                <w:lang w:val="en-CA"/>
              </w:rPr>
            </w:pPr>
          </w:p>
        </w:tc>
        <w:tc>
          <w:tcPr>
            <w:tcW w:w="340" w:type="dxa"/>
            <w:shd w:val="clear" w:color="auto" w:fill="D9D9D9"/>
          </w:tcPr>
          <w:p w14:paraId="23068C3E" w14:textId="77777777" w:rsidR="00302BFE" w:rsidRPr="00902601" w:rsidRDefault="00302BFE" w:rsidP="00243B15">
            <w:pPr>
              <w:rPr>
                <w:highlight w:val="green"/>
                <w:lang w:val="en-CA"/>
              </w:rPr>
            </w:pPr>
          </w:p>
        </w:tc>
        <w:tc>
          <w:tcPr>
            <w:tcW w:w="340" w:type="dxa"/>
            <w:shd w:val="clear" w:color="auto" w:fill="D9D9D9"/>
          </w:tcPr>
          <w:p w14:paraId="4D3EE0AB" w14:textId="77777777" w:rsidR="00302BFE" w:rsidRPr="00902601" w:rsidRDefault="00302BFE" w:rsidP="00243B15">
            <w:pPr>
              <w:rPr>
                <w:highlight w:val="green"/>
                <w:lang w:val="en-CA"/>
              </w:rPr>
            </w:pPr>
          </w:p>
        </w:tc>
        <w:tc>
          <w:tcPr>
            <w:tcW w:w="340" w:type="dxa"/>
            <w:shd w:val="clear" w:color="auto" w:fill="D9D9D9"/>
          </w:tcPr>
          <w:p w14:paraId="003DD82B" w14:textId="77777777" w:rsidR="00302BFE" w:rsidRPr="00902601" w:rsidRDefault="00302BFE" w:rsidP="00243B15">
            <w:pPr>
              <w:rPr>
                <w:highlight w:val="green"/>
                <w:lang w:val="en-CA"/>
              </w:rPr>
            </w:pPr>
          </w:p>
        </w:tc>
        <w:tc>
          <w:tcPr>
            <w:tcW w:w="340" w:type="dxa"/>
            <w:shd w:val="clear" w:color="auto" w:fill="D9D9D9"/>
          </w:tcPr>
          <w:p w14:paraId="5F9A8724" w14:textId="77777777" w:rsidR="00302BFE" w:rsidRPr="00902601" w:rsidRDefault="00302BFE" w:rsidP="00243B15">
            <w:pPr>
              <w:rPr>
                <w:highlight w:val="green"/>
                <w:lang w:val="en-CA"/>
              </w:rPr>
            </w:pPr>
          </w:p>
        </w:tc>
        <w:tc>
          <w:tcPr>
            <w:tcW w:w="340" w:type="dxa"/>
            <w:shd w:val="clear" w:color="auto" w:fill="D9D9D9"/>
          </w:tcPr>
          <w:p w14:paraId="463F5FA6" w14:textId="77777777" w:rsidR="00302BFE" w:rsidRPr="00902601" w:rsidRDefault="00302BFE" w:rsidP="00243B15">
            <w:pPr>
              <w:rPr>
                <w:highlight w:val="green"/>
                <w:lang w:val="en-CA"/>
              </w:rPr>
            </w:pPr>
          </w:p>
        </w:tc>
        <w:tc>
          <w:tcPr>
            <w:tcW w:w="340" w:type="dxa"/>
            <w:shd w:val="clear" w:color="auto" w:fill="D9D9D9"/>
          </w:tcPr>
          <w:p w14:paraId="084536EE" w14:textId="77777777" w:rsidR="00302BFE" w:rsidRPr="00902601" w:rsidRDefault="00302BFE" w:rsidP="00243B15">
            <w:pPr>
              <w:rPr>
                <w:highlight w:val="green"/>
                <w:lang w:val="en-CA"/>
              </w:rPr>
            </w:pPr>
          </w:p>
        </w:tc>
        <w:tc>
          <w:tcPr>
            <w:tcW w:w="340" w:type="dxa"/>
            <w:shd w:val="clear" w:color="auto" w:fill="D9D9D9"/>
          </w:tcPr>
          <w:p w14:paraId="6258F0D8" w14:textId="77777777" w:rsidR="00302BFE" w:rsidRPr="00902601" w:rsidRDefault="00302BFE" w:rsidP="00243B15">
            <w:pPr>
              <w:rPr>
                <w:highlight w:val="green"/>
                <w:lang w:val="en-CA"/>
              </w:rPr>
            </w:pPr>
          </w:p>
        </w:tc>
        <w:tc>
          <w:tcPr>
            <w:tcW w:w="340" w:type="dxa"/>
            <w:shd w:val="clear" w:color="auto" w:fill="D9D9D9"/>
          </w:tcPr>
          <w:p w14:paraId="091C8B01" w14:textId="77777777" w:rsidR="00302BFE" w:rsidRPr="00902601" w:rsidRDefault="00302BFE" w:rsidP="00243B15">
            <w:pPr>
              <w:rPr>
                <w:highlight w:val="green"/>
                <w:lang w:val="en-CA"/>
              </w:rPr>
            </w:pPr>
          </w:p>
        </w:tc>
        <w:tc>
          <w:tcPr>
            <w:tcW w:w="340" w:type="dxa"/>
            <w:shd w:val="clear" w:color="auto" w:fill="D9D9D9"/>
          </w:tcPr>
          <w:p w14:paraId="270D547F" w14:textId="77777777" w:rsidR="00302BFE" w:rsidRPr="00902601" w:rsidRDefault="00302BFE" w:rsidP="00243B15">
            <w:pPr>
              <w:rPr>
                <w:highlight w:val="green"/>
                <w:lang w:val="en-CA"/>
              </w:rPr>
            </w:pPr>
          </w:p>
        </w:tc>
        <w:tc>
          <w:tcPr>
            <w:tcW w:w="340" w:type="dxa"/>
            <w:shd w:val="clear" w:color="auto" w:fill="auto"/>
          </w:tcPr>
          <w:p w14:paraId="456F4947" w14:textId="77777777" w:rsidR="00302BFE" w:rsidRPr="00902601" w:rsidRDefault="00302BFE" w:rsidP="00243B15">
            <w:pPr>
              <w:rPr>
                <w:highlight w:val="green"/>
                <w:lang w:val="en-CA"/>
              </w:rPr>
            </w:pPr>
          </w:p>
        </w:tc>
      </w:tr>
      <w:tr w:rsidR="00302BFE" w:rsidRPr="00902601" w14:paraId="63EBEF79" w14:textId="77777777" w:rsidTr="00243B15">
        <w:trPr>
          <w:jc w:val="center"/>
        </w:trPr>
        <w:tc>
          <w:tcPr>
            <w:tcW w:w="5670" w:type="dxa"/>
            <w:shd w:val="clear" w:color="auto" w:fill="auto"/>
          </w:tcPr>
          <w:p w14:paraId="14C2C40B" w14:textId="77777777" w:rsidR="00302BFE" w:rsidRPr="00902601" w:rsidRDefault="00302BFE" w:rsidP="00243B15">
            <w:pPr>
              <w:rPr>
                <w:sz w:val="16"/>
                <w:szCs w:val="16"/>
                <w:highlight w:val="green"/>
                <w:lang w:val="en-CA"/>
              </w:rPr>
            </w:pPr>
            <w:r w:rsidRPr="00902601">
              <w:rPr>
                <w:sz w:val="16"/>
                <w:szCs w:val="16"/>
                <w:highlight w:val="green"/>
                <w:lang w:val="en-CA"/>
              </w:rPr>
              <w:t>Output 2.3 The management of natural resources in ZOVIC, community protected areas, is enhanced</w:t>
            </w:r>
          </w:p>
        </w:tc>
        <w:tc>
          <w:tcPr>
            <w:tcW w:w="8160" w:type="dxa"/>
            <w:gridSpan w:val="24"/>
            <w:shd w:val="clear" w:color="auto" w:fill="auto"/>
          </w:tcPr>
          <w:p w14:paraId="0EE78BD4" w14:textId="77777777" w:rsidR="00302BFE" w:rsidRPr="00902601" w:rsidRDefault="00302BFE" w:rsidP="00243B15">
            <w:pPr>
              <w:rPr>
                <w:highlight w:val="green"/>
                <w:lang w:val="en-CA"/>
              </w:rPr>
            </w:pPr>
          </w:p>
        </w:tc>
      </w:tr>
      <w:tr w:rsidR="00EC409B" w:rsidRPr="00902601" w14:paraId="74AF6032" w14:textId="77777777" w:rsidTr="00755BF9">
        <w:trPr>
          <w:jc w:val="center"/>
        </w:trPr>
        <w:tc>
          <w:tcPr>
            <w:tcW w:w="5670" w:type="dxa"/>
            <w:shd w:val="clear" w:color="auto" w:fill="auto"/>
          </w:tcPr>
          <w:p w14:paraId="6D4EDC48" w14:textId="77777777" w:rsidR="00302BFE" w:rsidRPr="00902601" w:rsidRDefault="00302BFE" w:rsidP="00243B15">
            <w:pPr>
              <w:rPr>
                <w:i/>
                <w:color w:val="4472C4"/>
                <w:sz w:val="16"/>
                <w:szCs w:val="16"/>
                <w:highlight w:val="green"/>
                <w:lang w:val="en-CA"/>
              </w:rPr>
            </w:pPr>
            <w:r w:rsidRPr="00902601">
              <w:rPr>
                <w:i/>
                <w:color w:val="4472C4"/>
                <w:sz w:val="16"/>
                <w:szCs w:val="16"/>
                <w:highlight w:val="green"/>
                <w:lang w:val="en-GB"/>
              </w:rPr>
              <w:t>2.3.1 Formalization of the legal status of certain ZOVICs and updating of the ZOVIC limits</w:t>
            </w:r>
          </w:p>
        </w:tc>
        <w:tc>
          <w:tcPr>
            <w:tcW w:w="340" w:type="dxa"/>
            <w:shd w:val="clear" w:color="auto" w:fill="auto"/>
          </w:tcPr>
          <w:p w14:paraId="0565A282" w14:textId="77777777" w:rsidR="00302BFE" w:rsidRPr="00902601" w:rsidRDefault="00302BFE" w:rsidP="00243B15">
            <w:pPr>
              <w:rPr>
                <w:highlight w:val="green"/>
                <w:lang w:val="en-CA"/>
              </w:rPr>
            </w:pPr>
          </w:p>
        </w:tc>
        <w:tc>
          <w:tcPr>
            <w:tcW w:w="340" w:type="dxa"/>
            <w:shd w:val="clear" w:color="auto" w:fill="auto"/>
          </w:tcPr>
          <w:p w14:paraId="2717FB84" w14:textId="77777777" w:rsidR="00302BFE" w:rsidRPr="00902601" w:rsidRDefault="00302BFE" w:rsidP="00243B15">
            <w:pPr>
              <w:rPr>
                <w:highlight w:val="green"/>
                <w:lang w:val="en-CA"/>
              </w:rPr>
            </w:pPr>
          </w:p>
        </w:tc>
        <w:tc>
          <w:tcPr>
            <w:tcW w:w="340" w:type="dxa"/>
            <w:shd w:val="clear" w:color="auto" w:fill="auto"/>
          </w:tcPr>
          <w:p w14:paraId="5E18C9D3" w14:textId="77777777" w:rsidR="00302BFE" w:rsidRPr="00902601" w:rsidRDefault="00302BFE" w:rsidP="00243B15">
            <w:pPr>
              <w:rPr>
                <w:highlight w:val="green"/>
                <w:lang w:val="en-CA"/>
              </w:rPr>
            </w:pPr>
          </w:p>
        </w:tc>
        <w:tc>
          <w:tcPr>
            <w:tcW w:w="340" w:type="dxa"/>
            <w:shd w:val="clear" w:color="auto" w:fill="auto"/>
          </w:tcPr>
          <w:p w14:paraId="78037971" w14:textId="77777777" w:rsidR="00302BFE" w:rsidRPr="00902601" w:rsidRDefault="00302BFE" w:rsidP="00243B15">
            <w:pPr>
              <w:rPr>
                <w:highlight w:val="green"/>
                <w:lang w:val="en-CA"/>
              </w:rPr>
            </w:pPr>
          </w:p>
        </w:tc>
        <w:tc>
          <w:tcPr>
            <w:tcW w:w="340" w:type="dxa"/>
            <w:shd w:val="clear" w:color="auto" w:fill="D9D9D9"/>
          </w:tcPr>
          <w:p w14:paraId="3856E36E" w14:textId="77777777" w:rsidR="00302BFE" w:rsidRPr="00902601" w:rsidRDefault="00302BFE" w:rsidP="00243B15">
            <w:pPr>
              <w:rPr>
                <w:highlight w:val="green"/>
                <w:lang w:val="en-CA"/>
              </w:rPr>
            </w:pPr>
          </w:p>
        </w:tc>
        <w:tc>
          <w:tcPr>
            <w:tcW w:w="340" w:type="dxa"/>
            <w:shd w:val="clear" w:color="auto" w:fill="D9D9D9"/>
          </w:tcPr>
          <w:p w14:paraId="785FC4B4" w14:textId="77777777" w:rsidR="00302BFE" w:rsidRPr="00902601" w:rsidRDefault="00302BFE" w:rsidP="00243B15">
            <w:pPr>
              <w:rPr>
                <w:highlight w:val="green"/>
                <w:lang w:val="en-CA"/>
              </w:rPr>
            </w:pPr>
          </w:p>
        </w:tc>
        <w:tc>
          <w:tcPr>
            <w:tcW w:w="340" w:type="dxa"/>
            <w:shd w:val="clear" w:color="auto" w:fill="D9D9D9"/>
          </w:tcPr>
          <w:p w14:paraId="0D0A341D" w14:textId="77777777" w:rsidR="00302BFE" w:rsidRPr="00902601" w:rsidRDefault="00302BFE" w:rsidP="00243B15">
            <w:pPr>
              <w:rPr>
                <w:highlight w:val="green"/>
                <w:lang w:val="en-CA"/>
              </w:rPr>
            </w:pPr>
          </w:p>
        </w:tc>
        <w:tc>
          <w:tcPr>
            <w:tcW w:w="340" w:type="dxa"/>
            <w:shd w:val="clear" w:color="auto" w:fill="D9D9D9"/>
          </w:tcPr>
          <w:p w14:paraId="5B7E06CA" w14:textId="77777777" w:rsidR="00302BFE" w:rsidRPr="00902601" w:rsidRDefault="00302BFE" w:rsidP="00243B15">
            <w:pPr>
              <w:rPr>
                <w:highlight w:val="green"/>
                <w:lang w:val="en-CA"/>
              </w:rPr>
            </w:pPr>
          </w:p>
        </w:tc>
        <w:tc>
          <w:tcPr>
            <w:tcW w:w="340" w:type="dxa"/>
            <w:shd w:val="clear" w:color="auto" w:fill="D9D9D9"/>
          </w:tcPr>
          <w:p w14:paraId="0CD74D73"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3AC2F4FE"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643D814C"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26963653"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6BAECF56"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2C55177F"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57732359"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772000B8"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21C8888F"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252B9737"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1454D47A"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15680857"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5314B80A"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5CE52794"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5E2C51B3" w14:textId="77777777" w:rsidR="00302BFE" w:rsidRPr="00902601" w:rsidRDefault="00302BFE" w:rsidP="00243B15">
            <w:pPr>
              <w:rPr>
                <w:highlight w:val="green"/>
                <w:lang w:val="en-CA"/>
              </w:rPr>
            </w:pPr>
          </w:p>
        </w:tc>
        <w:tc>
          <w:tcPr>
            <w:tcW w:w="340" w:type="dxa"/>
            <w:shd w:val="clear" w:color="auto" w:fill="auto"/>
          </w:tcPr>
          <w:p w14:paraId="6547204F" w14:textId="77777777" w:rsidR="00302BFE" w:rsidRPr="00902601" w:rsidRDefault="00302BFE" w:rsidP="00243B15">
            <w:pPr>
              <w:rPr>
                <w:highlight w:val="green"/>
                <w:lang w:val="en-CA"/>
              </w:rPr>
            </w:pPr>
          </w:p>
        </w:tc>
      </w:tr>
      <w:tr w:rsidR="005979FD" w:rsidRPr="00902601" w14:paraId="5B269521" w14:textId="77777777" w:rsidTr="00CC2FAC">
        <w:trPr>
          <w:jc w:val="center"/>
        </w:trPr>
        <w:tc>
          <w:tcPr>
            <w:tcW w:w="5670" w:type="dxa"/>
            <w:shd w:val="clear" w:color="auto" w:fill="auto"/>
          </w:tcPr>
          <w:p w14:paraId="070A54C8" w14:textId="77777777" w:rsidR="00302BFE" w:rsidRPr="00902601" w:rsidRDefault="00302BFE" w:rsidP="00243B15">
            <w:pPr>
              <w:rPr>
                <w:i/>
                <w:color w:val="4472C4"/>
                <w:sz w:val="16"/>
                <w:szCs w:val="16"/>
                <w:highlight w:val="green"/>
                <w:lang w:val="en-CA"/>
              </w:rPr>
            </w:pPr>
            <w:r w:rsidRPr="00902601">
              <w:rPr>
                <w:i/>
                <w:color w:val="4472C4"/>
                <w:sz w:val="16"/>
                <w:szCs w:val="16"/>
                <w:highlight w:val="green"/>
                <w:lang w:val="en-GB"/>
              </w:rPr>
              <w:t>2.3.2 Development of simplified zoning plans for ZOVICs using the territory planning tool and support for their implementation</w:t>
            </w:r>
          </w:p>
        </w:tc>
        <w:tc>
          <w:tcPr>
            <w:tcW w:w="340" w:type="dxa"/>
            <w:shd w:val="clear" w:color="auto" w:fill="auto"/>
          </w:tcPr>
          <w:p w14:paraId="32631E73" w14:textId="77777777" w:rsidR="00302BFE" w:rsidRPr="00902601" w:rsidRDefault="00302BFE" w:rsidP="00243B15">
            <w:pPr>
              <w:rPr>
                <w:highlight w:val="green"/>
                <w:lang w:val="en-CA"/>
              </w:rPr>
            </w:pPr>
          </w:p>
        </w:tc>
        <w:tc>
          <w:tcPr>
            <w:tcW w:w="340" w:type="dxa"/>
            <w:shd w:val="clear" w:color="auto" w:fill="auto"/>
          </w:tcPr>
          <w:p w14:paraId="1F93F88C" w14:textId="77777777" w:rsidR="00302BFE" w:rsidRPr="00902601" w:rsidRDefault="00302BFE" w:rsidP="00243B15">
            <w:pPr>
              <w:rPr>
                <w:highlight w:val="green"/>
                <w:lang w:val="en-CA"/>
              </w:rPr>
            </w:pPr>
          </w:p>
        </w:tc>
        <w:tc>
          <w:tcPr>
            <w:tcW w:w="340" w:type="dxa"/>
            <w:shd w:val="clear" w:color="auto" w:fill="auto"/>
          </w:tcPr>
          <w:p w14:paraId="0AB2D360" w14:textId="77777777" w:rsidR="00302BFE" w:rsidRPr="00902601" w:rsidRDefault="00302BFE" w:rsidP="00243B15">
            <w:pPr>
              <w:rPr>
                <w:highlight w:val="green"/>
                <w:lang w:val="en-CA"/>
              </w:rPr>
            </w:pPr>
          </w:p>
        </w:tc>
        <w:tc>
          <w:tcPr>
            <w:tcW w:w="340" w:type="dxa"/>
            <w:shd w:val="clear" w:color="auto" w:fill="auto"/>
          </w:tcPr>
          <w:p w14:paraId="0963CC6A" w14:textId="77777777" w:rsidR="00302BFE" w:rsidRPr="00902601" w:rsidRDefault="00302BFE" w:rsidP="00243B15">
            <w:pPr>
              <w:rPr>
                <w:highlight w:val="green"/>
                <w:lang w:val="en-CA"/>
              </w:rPr>
            </w:pPr>
          </w:p>
        </w:tc>
        <w:tc>
          <w:tcPr>
            <w:tcW w:w="340" w:type="dxa"/>
            <w:shd w:val="clear" w:color="auto" w:fill="D9D9D9"/>
          </w:tcPr>
          <w:p w14:paraId="54A5BD5F" w14:textId="77777777" w:rsidR="00302BFE" w:rsidRPr="00902601" w:rsidRDefault="00302BFE" w:rsidP="00243B15">
            <w:pPr>
              <w:rPr>
                <w:highlight w:val="green"/>
                <w:lang w:val="en-CA"/>
              </w:rPr>
            </w:pPr>
          </w:p>
        </w:tc>
        <w:tc>
          <w:tcPr>
            <w:tcW w:w="340" w:type="dxa"/>
            <w:shd w:val="clear" w:color="auto" w:fill="D9D9D9"/>
          </w:tcPr>
          <w:p w14:paraId="755ECE8F" w14:textId="77777777" w:rsidR="00302BFE" w:rsidRPr="00902601" w:rsidRDefault="00302BFE" w:rsidP="00243B15">
            <w:pPr>
              <w:rPr>
                <w:highlight w:val="green"/>
                <w:lang w:val="en-CA"/>
              </w:rPr>
            </w:pPr>
          </w:p>
        </w:tc>
        <w:tc>
          <w:tcPr>
            <w:tcW w:w="340" w:type="dxa"/>
            <w:shd w:val="clear" w:color="auto" w:fill="D9D9D9"/>
          </w:tcPr>
          <w:p w14:paraId="5127371D" w14:textId="77777777" w:rsidR="00302BFE" w:rsidRPr="00902601" w:rsidRDefault="00302BFE" w:rsidP="00243B15">
            <w:pPr>
              <w:rPr>
                <w:highlight w:val="green"/>
                <w:lang w:val="en-CA"/>
              </w:rPr>
            </w:pPr>
          </w:p>
        </w:tc>
        <w:tc>
          <w:tcPr>
            <w:tcW w:w="340" w:type="dxa"/>
            <w:shd w:val="clear" w:color="auto" w:fill="D9D9D9"/>
          </w:tcPr>
          <w:p w14:paraId="687A346A" w14:textId="77777777" w:rsidR="00302BFE" w:rsidRPr="00902601" w:rsidRDefault="00302BFE" w:rsidP="00243B15">
            <w:pPr>
              <w:rPr>
                <w:highlight w:val="green"/>
                <w:lang w:val="en-CA"/>
              </w:rPr>
            </w:pPr>
          </w:p>
        </w:tc>
        <w:tc>
          <w:tcPr>
            <w:tcW w:w="340" w:type="dxa"/>
            <w:shd w:val="clear" w:color="auto" w:fill="D9D9D9"/>
          </w:tcPr>
          <w:p w14:paraId="3339C164" w14:textId="77777777" w:rsidR="00302BFE" w:rsidRPr="00902601" w:rsidRDefault="00302BFE" w:rsidP="00243B15">
            <w:pPr>
              <w:rPr>
                <w:highlight w:val="green"/>
                <w:lang w:val="en-CA"/>
              </w:rPr>
            </w:pPr>
          </w:p>
        </w:tc>
        <w:tc>
          <w:tcPr>
            <w:tcW w:w="340" w:type="dxa"/>
            <w:shd w:val="clear" w:color="auto" w:fill="D9D9D9"/>
          </w:tcPr>
          <w:p w14:paraId="49BCEEF9" w14:textId="77777777" w:rsidR="00302BFE" w:rsidRPr="00902601" w:rsidRDefault="00302BFE" w:rsidP="00243B15">
            <w:pPr>
              <w:rPr>
                <w:highlight w:val="green"/>
                <w:lang w:val="en-CA"/>
              </w:rPr>
            </w:pPr>
          </w:p>
        </w:tc>
        <w:tc>
          <w:tcPr>
            <w:tcW w:w="340" w:type="dxa"/>
            <w:shd w:val="clear" w:color="auto" w:fill="D9D9D9"/>
          </w:tcPr>
          <w:p w14:paraId="70289188" w14:textId="77777777" w:rsidR="00302BFE" w:rsidRPr="00902601" w:rsidRDefault="00302BFE" w:rsidP="00243B15">
            <w:pPr>
              <w:rPr>
                <w:highlight w:val="green"/>
                <w:lang w:val="en-CA"/>
              </w:rPr>
            </w:pPr>
          </w:p>
        </w:tc>
        <w:tc>
          <w:tcPr>
            <w:tcW w:w="340" w:type="dxa"/>
            <w:shd w:val="clear" w:color="auto" w:fill="D9D9D9"/>
          </w:tcPr>
          <w:p w14:paraId="5F640EC2" w14:textId="77777777" w:rsidR="00302BFE" w:rsidRPr="00902601" w:rsidRDefault="00302BFE" w:rsidP="00243B15">
            <w:pPr>
              <w:rPr>
                <w:highlight w:val="green"/>
                <w:lang w:val="en-CA"/>
              </w:rPr>
            </w:pPr>
          </w:p>
        </w:tc>
        <w:tc>
          <w:tcPr>
            <w:tcW w:w="340" w:type="dxa"/>
            <w:shd w:val="clear" w:color="auto" w:fill="D9D9D9"/>
          </w:tcPr>
          <w:p w14:paraId="1C97082A" w14:textId="77777777" w:rsidR="00302BFE" w:rsidRPr="00902601" w:rsidRDefault="00302BFE" w:rsidP="00243B15">
            <w:pPr>
              <w:rPr>
                <w:highlight w:val="green"/>
                <w:lang w:val="en-CA"/>
              </w:rPr>
            </w:pPr>
          </w:p>
        </w:tc>
        <w:tc>
          <w:tcPr>
            <w:tcW w:w="340" w:type="dxa"/>
            <w:shd w:val="clear" w:color="auto" w:fill="D9D9D9"/>
          </w:tcPr>
          <w:p w14:paraId="6920E502" w14:textId="77777777" w:rsidR="00302BFE" w:rsidRPr="00902601" w:rsidRDefault="00302BFE" w:rsidP="00243B15">
            <w:pPr>
              <w:rPr>
                <w:highlight w:val="green"/>
                <w:lang w:val="en-CA"/>
              </w:rPr>
            </w:pPr>
          </w:p>
        </w:tc>
        <w:tc>
          <w:tcPr>
            <w:tcW w:w="340" w:type="dxa"/>
            <w:shd w:val="clear" w:color="auto" w:fill="D9D9D9"/>
          </w:tcPr>
          <w:p w14:paraId="2DFE6EF2" w14:textId="77777777" w:rsidR="00302BFE" w:rsidRPr="00902601" w:rsidRDefault="00302BFE" w:rsidP="00243B15">
            <w:pPr>
              <w:rPr>
                <w:highlight w:val="green"/>
                <w:lang w:val="en-CA"/>
              </w:rPr>
            </w:pPr>
          </w:p>
        </w:tc>
        <w:tc>
          <w:tcPr>
            <w:tcW w:w="340" w:type="dxa"/>
            <w:shd w:val="clear" w:color="auto" w:fill="D9D9D9"/>
          </w:tcPr>
          <w:p w14:paraId="14F2FF00" w14:textId="77777777" w:rsidR="00302BFE" w:rsidRPr="00902601" w:rsidRDefault="00302BFE" w:rsidP="00243B15">
            <w:pPr>
              <w:rPr>
                <w:highlight w:val="green"/>
                <w:lang w:val="en-CA"/>
              </w:rPr>
            </w:pPr>
          </w:p>
        </w:tc>
        <w:tc>
          <w:tcPr>
            <w:tcW w:w="340" w:type="dxa"/>
            <w:shd w:val="clear" w:color="auto" w:fill="D9D9D9"/>
          </w:tcPr>
          <w:p w14:paraId="492D689C" w14:textId="77777777" w:rsidR="00302BFE" w:rsidRPr="00902601" w:rsidRDefault="00302BFE" w:rsidP="00243B15">
            <w:pPr>
              <w:rPr>
                <w:highlight w:val="green"/>
                <w:lang w:val="en-CA"/>
              </w:rPr>
            </w:pPr>
          </w:p>
        </w:tc>
        <w:tc>
          <w:tcPr>
            <w:tcW w:w="340" w:type="dxa"/>
            <w:shd w:val="clear" w:color="auto" w:fill="D9D9D9"/>
          </w:tcPr>
          <w:p w14:paraId="6E12F8B1" w14:textId="77777777" w:rsidR="00302BFE" w:rsidRPr="00902601" w:rsidRDefault="00302BFE" w:rsidP="00243B15">
            <w:pPr>
              <w:rPr>
                <w:highlight w:val="green"/>
                <w:lang w:val="en-CA"/>
              </w:rPr>
            </w:pPr>
          </w:p>
        </w:tc>
        <w:tc>
          <w:tcPr>
            <w:tcW w:w="340" w:type="dxa"/>
            <w:shd w:val="clear" w:color="auto" w:fill="D9D9D9"/>
          </w:tcPr>
          <w:p w14:paraId="68DB9E34" w14:textId="77777777" w:rsidR="00302BFE" w:rsidRPr="00902601" w:rsidRDefault="00302BFE" w:rsidP="00243B15">
            <w:pPr>
              <w:rPr>
                <w:highlight w:val="green"/>
                <w:lang w:val="en-CA"/>
              </w:rPr>
            </w:pPr>
          </w:p>
        </w:tc>
        <w:tc>
          <w:tcPr>
            <w:tcW w:w="340" w:type="dxa"/>
            <w:shd w:val="clear" w:color="auto" w:fill="D9D9D9"/>
          </w:tcPr>
          <w:p w14:paraId="4C510D20" w14:textId="77777777" w:rsidR="00302BFE" w:rsidRPr="00902601" w:rsidRDefault="00302BFE" w:rsidP="00243B15">
            <w:pPr>
              <w:rPr>
                <w:highlight w:val="green"/>
                <w:lang w:val="en-CA"/>
              </w:rPr>
            </w:pPr>
          </w:p>
        </w:tc>
        <w:tc>
          <w:tcPr>
            <w:tcW w:w="340" w:type="dxa"/>
            <w:shd w:val="clear" w:color="auto" w:fill="D9D9D9"/>
          </w:tcPr>
          <w:p w14:paraId="5C717577" w14:textId="77777777" w:rsidR="00302BFE" w:rsidRPr="00902601" w:rsidRDefault="00302BFE" w:rsidP="00243B15">
            <w:pPr>
              <w:rPr>
                <w:highlight w:val="green"/>
                <w:lang w:val="en-CA"/>
              </w:rPr>
            </w:pPr>
          </w:p>
        </w:tc>
        <w:tc>
          <w:tcPr>
            <w:tcW w:w="340" w:type="dxa"/>
            <w:shd w:val="clear" w:color="auto" w:fill="D9D9D9"/>
          </w:tcPr>
          <w:p w14:paraId="07B44534" w14:textId="77777777" w:rsidR="00302BFE" w:rsidRPr="00902601" w:rsidRDefault="00302BFE" w:rsidP="00243B15">
            <w:pPr>
              <w:rPr>
                <w:highlight w:val="green"/>
                <w:lang w:val="en-CA"/>
              </w:rPr>
            </w:pPr>
          </w:p>
        </w:tc>
        <w:tc>
          <w:tcPr>
            <w:tcW w:w="340" w:type="dxa"/>
            <w:shd w:val="clear" w:color="auto" w:fill="D9D9D9"/>
          </w:tcPr>
          <w:p w14:paraId="29CF8FBE" w14:textId="77777777" w:rsidR="00302BFE" w:rsidRPr="00902601" w:rsidRDefault="00302BFE" w:rsidP="00243B15">
            <w:pPr>
              <w:rPr>
                <w:highlight w:val="green"/>
                <w:lang w:val="en-CA"/>
              </w:rPr>
            </w:pPr>
          </w:p>
        </w:tc>
        <w:tc>
          <w:tcPr>
            <w:tcW w:w="340" w:type="dxa"/>
            <w:shd w:val="clear" w:color="auto" w:fill="auto"/>
          </w:tcPr>
          <w:p w14:paraId="1ACA3A2D" w14:textId="77777777" w:rsidR="00302BFE" w:rsidRPr="00902601" w:rsidRDefault="00302BFE" w:rsidP="00243B15">
            <w:pPr>
              <w:rPr>
                <w:highlight w:val="green"/>
                <w:lang w:val="en-CA"/>
              </w:rPr>
            </w:pPr>
          </w:p>
        </w:tc>
      </w:tr>
      <w:tr w:rsidR="00302BFE" w:rsidRPr="00902601" w14:paraId="39B00590" w14:textId="77777777" w:rsidTr="00243B15">
        <w:trPr>
          <w:jc w:val="center"/>
        </w:trPr>
        <w:tc>
          <w:tcPr>
            <w:tcW w:w="5670" w:type="dxa"/>
            <w:shd w:val="clear" w:color="auto" w:fill="auto"/>
          </w:tcPr>
          <w:p w14:paraId="72340972" w14:textId="77777777" w:rsidR="00302BFE" w:rsidRPr="00902601" w:rsidRDefault="00302BFE" w:rsidP="00243B15">
            <w:pPr>
              <w:rPr>
                <w:i/>
                <w:color w:val="4472C4"/>
                <w:sz w:val="16"/>
                <w:szCs w:val="16"/>
                <w:highlight w:val="green"/>
                <w:lang w:val="en-CA"/>
              </w:rPr>
            </w:pPr>
            <w:r w:rsidRPr="00902601">
              <w:rPr>
                <w:sz w:val="16"/>
                <w:szCs w:val="16"/>
                <w:highlight w:val="green"/>
                <w:lang w:val="en-CA"/>
              </w:rPr>
              <w:t>Output 2.4 An effective PONASI landscape-wide elephant protection plan is developed and implemented</w:t>
            </w:r>
          </w:p>
        </w:tc>
        <w:tc>
          <w:tcPr>
            <w:tcW w:w="8160" w:type="dxa"/>
            <w:gridSpan w:val="24"/>
            <w:shd w:val="clear" w:color="auto" w:fill="auto"/>
          </w:tcPr>
          <w:p w14:paraId="515B6149" w14:textId="77777777" w:rsidR="00302BFE" w:rsidRPr="00902601" w:rsidRDefault="00302BFE" w:rsidP="00243B15">
            <w:pPr>
              <w:rPr>
                <w:highlight w:val="green"/>
                <w:lang w:val="en-CA"/>
              </w:rPr>
            </w:pPr>
          </w:p>
        </w:tc>
      </w:tr>
      <w:tr w:rsidR="005979FD" w:rsidRPr="00902601" w14:paraId="37807E60" w14:textId="77777777" w:rsidTr="00CC2FAC">
        <w:trPr>
          <w:jc w:val="center"/>
        </w:trPr>
        <w:tc>
          <w:tcPr>
            <w:tcW w:w="5670" w:type="dxa"/>
            <w:shd w:val="clear" w:color="auto" w:fill="auto"/>
          </w:tcPr>
          <w:p w14:paraId="30D22933" w14:textId="77777777" w:rsidR="00302BFE" w:rsidRPr="00902601" w:rsidRDefault="00302BFE" w:rsidP="00243B15">
            <w:pPr>
              <w:rPr>
                <w:i/>
                <w:color w:val="4472C4"/>
                <w:sz w:val="16"/>
                <w:szCs w:val="16"/>
                <w:highlight w:val="green"/>
                <w:lang w:val="en-CA"/>
              </w:rPr>
            </w:pPr>
            <w:r w:rsidRPr="00902601">
              <w:rPr>
                <w:i/>
                <w:color w:val="4472C4"/>
                <w:sz w:val="16"/>
                <w:szCs w:val="16"/>
                <w:highlight w:val="green"/>
                <w:lang w:val="en-GB"/>
              </w:rPr>
              <w:t>2.4.1 The resolution of human-elephant conflicts in the PONASI landscape using the SAFE Systems approach</w:t>
            </w:r>
          </w:p>
        </w:tc>
        <w:tc>
          <w:tcPr>
            <w:tcW w:w="340" w:type="dxa"/>
            <w:shd w:val="clear" w:color="auto" w:fill="auto"/>
          </w:tcPr>
          <w:p w14:paraId="098352BC" w14:textId="77777777" w:rsidR="00302BFE" w:rsidRPr="00902601" w:rsidRDefault="00302BFE" w:rsidP="00243B15">
            <w:pPr>
              <w:rPr>
                <w:highlight w:val="green"/>
                <w:lang w:val="en-CA"/>
              </w:rPr>
            </w:pPr>
          </w:p>
        </w:tc>
        <w:tc>
          <w:tcPr>
            <w:tcW w:w="340" w:type="dxa"/>
            <w:shd w:val="clear" w:color="auto" w:fill="auto"/>
          </w:tcPr>
          <w:p w14:paraId="0E09BB89" w14:textId="77777777" w:rsidR="00302BFE" w:rsidRPr="00902601" w:rsidRDefault="00302BFE" w:rsidP="00243B15">
            <w:pPr>
              <w:rPr>
                <w:highlight w:val="green"/>
                <w:lang w:val="en-CA"/>
              </w:rPr>
            </w:pPr>
          </w:p>
        </w:tc>
        <w:tc>
          <w:tcPr>
            <w:tcW w:w="340" w:type="dxa"/>
            <w:shd w:val="clear" w:color="auto" w:fill="D9D9D9"/>
          </w:tcPr>
          <w:p w14:paraId="266C23F4" w14:textId="77777777" w:rsidR="00302BFE" w:rsidRPr="00902601" w:rsidRDefault="00302BFE" w:rsidP="00243B15">
            <w:pPr>
              <w:rPr>
                <w:highlight w:val="green"/>
                <w:lang w:val="en-CA"/>
              </w:rPr>
            </w:pPr>
          </w:p>
        </w:tc>
        <w:tc>
          <w:tcPr>
            <w:tcW w:w="340" w:type="dxa"/>
            <w:shd w:val="clear" w:color="auto" w:fill="D9D9D9"/>
          </w:tcPr>
          <w:p w14:paraId="1DAC0F6D" w14:textId="77777777" w:rsidR="00302BFE" w:rsidRPr="00902601" w:rsidRDefault="00302BFE" w:rsidP="00243B15">
            <w:pPr>
              <w:rPr>
                <w:highlight w:val="green"/>
                <w:lang w:val="en-CA"/>
              </w:rPr>
            </w:pPr>
          </w:p>
        </w:tc>
        <w:tc>
          <w:tcPr>
            <w:tcW w:w="340" w:type="dxa"/>
            <w:shd w:val="clear" w:color="auto" w:fill="D9D9D9"/>
          </w:tcPr>
          <w:p w14:paraId="6CD87C85" w14:textId="77777777" w:rsidR="00302BFE" w:rsidRPr="00902601" w:rsidRDefault="00302BFE" w:rsidP="00243B15">
            <w:pPr>
              <w:rPr>
                <w:highlight w:val="green"/>
                <w:lang w:val="en-CA"/>
              </w:rPr>
            </w:pPr>
          </w:p>
        </w:tc>
        <w:tc>
          <w:tcPr>
            <w:tcW w:w="340" w:type="dxa"/>
            <w:shd w:val="clear" w:color="auto" w:fill="D9D9D9"/>
          </w:tcPr>
          <w:p w14:paraId="482DF5CC" w14:textId="77777777" w:rsidR="00302BFE" w:rsidRPr="00902601" w:rsidRDefault="00302BFE" w:rsidP="00243B15">
            <w:pPr>
              <w:rPr>
                <w:highlight w:val="green"/>
                <w:lang w:val="en-CA"/>
              </w:rPr>
            </w:pPr>
          </w:p>
        </w:tc>
        <w:tc>
          <w:tcPr>
            <w:tcW w:w="340" w:type="dxa"/>
            <w:shd w:val="clear" w:color="auto" w:fill="D9D9D9"/>
          </w:tcPr>
          <w:p w14:paraId="263B7A23" w14:textId="77777777" w:rsidR="00302BFE" w:rsidRPr="00902601" w:rsidRDefault="00302BFE" w:rsidP="00243B15">
            <w:pPr>
              <w:rPr>
                <w:highlight w:val="green"/>
                <w:lang w:val="en-CA"/>
              </w:rPr>
            </w:pPr>
          </w:p>
        </w:tc>
        <w:tc>
          <w:tcPr>
            <w:tcW w:w="340" w:type="dxa"/>
            <w:shd w:val="clear" w:color="auto" w:fill="D9D9D9"/>
          </w:tcPr>
          <w:p w14:paraId="52C96130" w14:textId="77777777" w:rsidR="00302BFE" w:rsidRPr="00902601" w:rsidRDefault="00302BFE" w:rsidP="00243B15">
            <w:pPr>
              <w:rPr>
                <w:highlight w:val="green"/>
                <w:lang w:val="en-CA"/>
              </w:rPr>
            </w:pPr>
          </w:p>
        </w:tc>
        <w:tc>
          <w:tcPr>
            <w:tcW w:w="340" w:type="dxa"/>
            <w:shd w:val="clear" w:color="auto" w:fill="D9D9D9"/>
          </w:tcPr>
          <w:p w14:paraId="12A24B6D" w14:textId="77777777" w:rsidR="00302BFE" w:rsidRPr="00902601" w:rsidRDefault="00302BFE" w:rsidP="00243B15">
            <w:pPr>
              <w:rPr>
                <w:highlight w:val="green"/>
                <w:lang w:val="en-CA"/>
              </w:rPr>
            </w:pPr>
          </w:p>
        </w:tc>
        <w:tc>
          <w:tcPr>
            <w:tcW w:w="340" w:type="dxa"/>
            <w:shd w:val="clear" w:color="auto" w:fill="D9D9D9"/>
          </w:tcPr>
          <w:p w14:paraId="77345808" w14:textId="77777777" w:rsidR="00302BFE" w:rsidRPr="00902601" w:rsidRDefault="00302BFE" w:rsidP="00243B15">
            <w:pPr>
              <w:rPr>
                <w:highlight w:val="green"/>
                <w:lang w:val="en-CA"/>
              </w:rPr>
            </w:pPr>
          </w:p>
        </w:tc>
        <w:tc>
          <w:tcPr>
            <w:tcW w:w="340" w:type="dxa"/>
            <w:shd w:val="clear" w:color="auto" w:fill="D9D9D9"/>
          </w:tcPr>
          <w:p w14:paraId="2E221707" w14:textId="77777777" w:rsidR="00302BFE" w:rsidRPr="00902601" w:rsidRDefault="00302BFE" w:rsidP="00243B15">
            <w:pPr>
              <w:rPr>
                <w:highlight w:val="green"/>
                <w:lang w:val="en-CA"/>
              </w:rPr>
            </w:pPr>
          </w:p>
        </w:tc>
        <w:tc>
          <w:tcPr>
            <w:tcW w:w="340" w:type="dxa"/>
            <w:shd w:val="clear" w:color="auto" w:fill="D9D9D9"/>
          </w:tcPr>
          <w:p w14:paraId="6CDA4593" w14:textId="77777777" w:rsidR="00302BFE" w:rsidRPr="00902601" w:rsidRDefault="00302BFE" w:rsidP="00243B15">
            <w:pPr>
              <w:rPr>
                <w:highlight w:val="green"/>
                <w:lang w:val="en-CA"/>
              </w:rPr>
            </w:pPr>
          </w:p>
        </w:tc>
        <w:tc>
          <w:tcPr>
            <w:tcW w:w="340" w:type="dxa"/>
            <w:shd w:val="clear" w:color="auto" w:fill="D9D9D9"/>
          </w:tcPr>
          <w:p w14:paraId="0CAC1709" w14:textId="77777777" w:rsidR="00302BFE" w:rsidRPr="00902601" w:rsidRDefault="00302BFE" w:rsidP="00243B15">
            <w:pPr>
              <w:rPr>
                <w:highlight w:val="green"/>
                <w:lang w:val="en-CA"/>
              </w:rPr>
            </w:pPr>
          </w:p>
        </w:tc>
        <w:tc>
          <w:tcPr>
            <w:tcW w:w="340" w:type="dxa"/>
            <w:shd w:val="clear" w:color="auto" w:fill="D9D9D9"/>
          </w:tcPr>
          <w:p w14:paraId="40FC66D9" w14:textId="77777777" w:rsidR="00302BFE" w:rsidRPr="00902601" w:rsidRDefault="00302BFE" w:rsidP="00243B15">
            <w:pPr>
              <w:rPr>
                <w:highlight w:val="green"/>
                <w:lang w:val="en-CA"/>
              </w:rPr>
            </w:pPr>
          </w:p>
        </w:tc>
        <w:tc>
          <w:tcPr>
            <w:tcW w:w="340" w:type="dxa"/>
            <w:shd w:val="clear" w:color="auto" w:fill="D9D9D9"/>
          </w:tcPr>
          <w:p w14:paraId="2E025D9D" w14:textId="77777777" w:rsidR="00302BFE" w:rsidRPr="00902601" w:rsidRDefault="00302BFE" w:rsidP="00243B15">
            <w:pPr>
              <w:rPr>
                <w:highlight w:val="green"/>
                <w:lang w:val="en-CA"/>
              </w:rPr>
            </w:pPr>
          </w:p>
        </w:tc>
        <w:tc>
          <w:tcPr>
            <w:tcW w:w="340" w:type="dxa"/>
            <w:shd w:val="clear" w:color="auto" w:fill="D9D9D9"/>
          </w:tcPr>
          <w:p w14:paraId="2BCE0E27" w14:textId="77777777" w:rsidR="00302BFE" w:rsidRPr="00902601" w:rsidRDefault="00302BFE" w:rsidP="00243B15">
            <w:pPr>
              <w:rPr>
                <w:highlight w:val="green"/>
                <w:lang w:val="en-CA"/>
              </w:rPr>
            </w:pPr>
          </w:p>
        </w:tc>
        <w:tc>
          <w:tcPr>
            <w:tcW w:w="340" w:type="dxa"/>
            <w:shd w:val="clear" w:color="auto" w:fill="D9D9D9"/>
          </w:tcPr>
          <w:p w14:paraId="1B01B7E6" w14:textId="77777777" w:rsidR="00302BFE" w:rsidRPr="00902601" w:rsidRDefault="00302BFE" w:rsidP="00243B15">
            <w:pPr>
              <w:rPr>
                <w:highlight w:val="green"/>
                <w:lang w:val="en-CA"/>
              </w:rPr>
            </w:pPr>
          </w:p>
        </w:tc>
        <w:tc>
          <w:tcPr>
            <w:tcW w:w="340" w:type="dxa"/>
            <w:shd w:val="clear" w:color="auto" w:fill="D9D9D9"/>
          </w:tcPr>
          <w:p w14:paraId="2BF8C234" w14:textId="77777777" w:rsidR="00302BFE" w:rsidRPr="00902601" w:rsidRDefault="00302BFE" w:rsidP="00243B15">
            <w:pPr>
              <w:rPr>
                <w:highlight w:val="green"/>
                <w:lang w:val="en-CA"/>
              </w:rPr>
            </w:pPr>
          </w:p>
        </w:tc>
        <w:tc>
          <w:tcPr>
            <w:tcW w:w="340" w:type="dxa"/>
            <w:shd w:val="clear" w:color="auto" w:fill="D9D9D9"/>
          </w:tcPr>
          <w:p w14:paraId="013F21F5" w14:textId="77777777" w:rsidR="00302BFE" w:rsidRPr="00902601" w:rsidRDefault="00302BFE" w:rsidP="00243B15">
            <w:pPr>
              <w:rPr>
                <w:highlight w:val="green"/>
                <w:lang w:val="en-CA"/>
              </w:rPr>
            </w:pPr>
          </w:p>
        </w:tc>
        <w:tc>
          <w:tcPr>
            <w:tcW w:w="340" w:type="dxa"/>
            <w:shd w:val="clear" w:color="auto" w:fill="D9D9D9"/>
          </w:tcPr>
          <w:p w14:paraId="6E06580B"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046C8600"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525D7182" w14:textId="77777777" w:rsidR="00302BFE" w:rsidRPr="00902601" w:rsidRDefault="00302BFE" w:rsidP="00243B15">
            <w:pPr>
              <w:rPr>
                <w:highlight w:val="green"/>
                <w:lang w:val="en-CA"/>
              </w:rPr>
            </w:pPr>
          </w:p>
        </w:tc>
        <w:tc>
          <w:tcPr>
            <w:tcW w:w="340" w:type="dxa"/>
            <w:shd w:val="clear" w:color="auto" w:fill="D9D9D9"/>
          </w:tcPr>
          <w:p w14:paraId="65D87B50" w14:textId="77777777" w:rsidR="00302BFE" w:rsidRPr="00902601" w:rsidRDefault="00302BFE" w:rsidP="00243B15">
            <w:pPr>
              <w:rPr>
                <w:highlight w:val="green"/>
                <w:lang w:val="en-CA"/>
              </w:rPr>
            </w:pPr>
          </w:p>
        </w:tc>
        <w:tc>
          <w:tcPr>
            <w:tcW w:w="340" w:type="dxa"/>
            <w:shd w:val="clear" w:color="auto" w:fill="auto"/>
          </w:tcPr>
          <w:p w14:paraId="3CFFAC44" w14:textId="77777777" w:rsidR="00302BFE" w:rsidRPr="00902601" w:rsidRDefault="00302BFE" w:rsidP="00243B15">
            <w:pPr>
              <w:rPr>
                <w:highlight w:val="green"/>
                <w:lang w:val="en-CA"/>
              </w:rPr>
            </w:pPr>
          </w:p>
        </w:tc>
      </w:tr>
      <w:tr w:rsidR="00EC409B" w:rsidRPr="00902601" w14:paraId="2F07096D" w14:textId="77777777" w:rsidTr="00755BF9">
        <w:trPr>
          <w:jc w:val="center"/>
        </w:trPr>
        <w:tc>
          <w:tcPr>
            <w:tcW w:w="5670" w:type="dxa"/>
            <w:shd w:val="clear" w:color="auto" w:fill="auto"/>
          </w:tcPr>
          <w:p w14:paraId="577D0243" w14:textId="77777777" w:rsidR="00302BFE" w:rsidRPr="00902601" w:rsidRDefault="00302BFE" w:rsidP="00243B15">
            <w:pPr>
              <w:rPr>
                <w:i/>
                <w:color w:val="4472C4"/>
                <w:sz w:val="16"/>
                <w:szCs w:val="16"/>
                <w:highlight w:val="green"/>
                <w:lang w:val="en-CA"/>
              </w:rPr>
            </w:pPr>
            <w:r w:rsidRPr="00902601">
              <w:rPr>
                <w:i/>
                <w:color w:val="4472C4"/>
                <w:sz w:val="16"/>
                <w:szCs w:val="16"/>
                <w:highlight w:val="green"/>
                <w:lang w:val="en-GB"/>
              </w:rPr>
              <w:t>2.4.2 Research program on elephant movements within and outside the PONASI landscape</w:t>
            </w:r>
          </w:p>
        </w:tc>
        <w:tc>
          <w:tcPr>
            <w:tcW w:w="340" w:type="dxa"/>
            <w:shd w:val="clear" w:color="auto" w:fill="auto"/>
          </w:tcPr>
          <w:p w14:paraId="71CCB8ED" w14:textId="77777777" w:rsidR="00302BFE" w:rsidRPr="00902601" w:rsidRDefault="00302BFE" w:rsidP="00243B15">
            <w:pPr>
              <w:rPr>
                <w:highlight w:val="green"/>
                <w:lang w:val="en-CA"/>
              </w:rPr>
            </w:pPr>
          </w:p>
        </w:tc>
        <w:tc>
          <w:tcPr>
            <w:tcW w:w="340" w:type="dxa"/>
            <w:shd w:val="clear" w:color="auto" w:fill="auto"/>
          </w:tcPr>
          <w:p w14:paraId="55DF4E36" w14:textId="77777777" w:rsidR="00302BFE" w:rsidRPr="00902601" w:rsidRDefault="00302BFE" w:rsidP="00243B15">
            <w:pPr>
              <w:rPr>
                <w:highlight w:val="green"/>
                <w:lang w:val="en-CA"/>
              </w:rPr>
            </w:pPr>
          </w:p>
        </w:tc>
        <w:tc>
          <w:tcPr>
            <w:tcW w:w="340" w:type="dxa"/>
            <w:shd w:val="clear" w:color="auto" w:fill="D9D9D9"/>
          </w:tcPr>
          <w:p w14:paraId="72C86008" w14:textId="77777777" w:rsidR="00302BFE" w:rsidRPr="00902601" w:rsidRDefault="00302BFE" w:rsidP="00243B15">
            <w:pPr>
              <w:rPr>
                <w:highlight w:val="green"/>
                <w:lang w:val="en-CA"/>
              </w:rPr>
            </w:pPr>
          </w:p>
        </w:tc>
        <w:tc>
          <w:tcPr>
            <w:tcW w:w="340" w:type="dxa"/>
            <w:shd w:val="clear" w:color="auto" w:fill="D9D9D9"/>
          </w:tcPr>
          <w:p w14:paraId="0C18FAC3" w14:textId="77777777" w:rsidR="00302BFE" w:rsidRPr="00902601" w:rsidRDefault="00302BFE" w:rsidP="00243B15">
            <w:pPr>
              <w:rPr>
                <w:highlight w:val="green"/>
                <w:lang w:val="en-CA"/>
              </w:rPr>
            </w:pPr>
          </w:p>
        </w:tc>
        <w:tc>
          <w:tcPr>
            <w:tcW w:w="340" w:type="dxa"/>
            <w:shd w:val="clear" w:color="auto" w:fill="D9D9D9"/>
          </w:tcPr>
          <w:p w14:paraId="3558B507" w14:textId="77777777" w:rsidR="00302BFE" w:rsidRPr="00902601" w:rsidRDefault="00302BFE" w:rsidP="00243B15">
            <w:pPr>
              <w:rPr>
                <w:highlight w:val="green"/>
                <w:lang w:val="en-CA"/>
              </w:rPr>
            </w:pPr>
          </w:p>
        </w:tc>
        <w:tc>
          <w:tcPr>
            <w:tcW w:w="340" w:type="dxa"/>
            <w:shd w:val="clear" w:color="auto" w:fill="D9D9D9"/>
          </w:tcPr>
          <w:p w14:paraId="27258B23" w14:textId="77777777" w:rsidR="00302BFE" w:rsidRPr="00902601" w:rsidRDefault="00302BFE" w:rsidP="00243B15">
            <w:pPr>
              <w:rPr>
                <w:highlight w:val="green"/>
                <w:lang w:val="en-CA"/>
              </w:rPr>
            </w:pPr>
          </w:p>
        </w:tc>
        <w:tc>
          <w:tcPr>
            <w:tcW w:w="340" w:type="dxa"/>
            <w:shd w:val="clear" w:color="auto" w:fill="D9D9D9"/>
          </w:tcPr>
          <w:p w14:paraId="66577D07" w14:textId="77777777" w:rsidR="00302BFE" w:rsidRPr="00902601" w:rsidRDefault="00302BFE" w:rsidP="00243B15">
            <w:pPr>
              <w:rPr>
                <w:highlight w:val="green"/>
                <w:lang w:val="en-CA"/>
              </w:rPr>
            </w:pPr>
          </w:p>
        </w:tc>
        <w:tc>
          <w:tcPr>
            <w:tcW w:w="340" w:type="dxa"/>
            <w:shd w:val="clear" w:color="auto" w:fill="D9D9D9"/>
          </w:tcPr>
          <w:p w14:paraId="4564620A" w14:textId="77777777" w:rsidR="00302BFE" w:rsidRPr="00902601" w:rsidRDefault="00302BFE" w:rsidP="00243B15">
            <w:pPr>
              <w:rPr>
                <w:highlight w:val="green"/>
                <w:lang w:val="en-CA"/>
              </w:rPr>
            </w:pPr>
          </w:p>
        </w:tc>
        <w:tc>
          <w:tcPr>
            <w:tcW w:w="340" w:type="dxa"/>
            <w:shd w:val="clear" w:color="auto" w:fill="D9D9D9"/>
          </w:tcPr>
          <w:p w14:paraId="3711F412" w14:textId="77777777" w:rsidR="00302BFE" w:rsidRPr="00902601" w:rsidRDefault="00302BFE" w:rsidP="00243B15">
            <w:pPr>
              <w:rPr>
                <w:highlight w:val="green"/>
                <w:lang w:val="en-CA"/>
              </w:rPr>
            </w:pPr>
          </w:p>
        </w:tc>
        <w:tc>
          <w:tcPr>
            <w:tcW w:w="340" w:type="dxa"/>
            <w:shd w:val="clear" w:color="auto" w:fill="D9D9D9"/>
          </w:tcPr>
          <w:p w14:paraId="46CD3998"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4A275B01"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62DB0695"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07987E70"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00374F48"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64E9204C"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5E88E4B7"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44BB384A"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5D6B59BB"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7A5E3585"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0B382050" w14:textId="77777777" w:rsidR="00302BFE" w:rsidRPr="00902601" w:rsidRDefault="00302BFE" w:rsidP="00243B15">
            <w:pPr>
              <w:rPr>
                <w:highlight w:val="green"/>
                <w:lang w:val="en-CA"/>
              </w:rPr>
            </w:pPr>
          </w:p>
        </w:tc>
        <w:tc>
          <w:tcPr>
            <w:tcW w:w="340" w:type="dxa"/>
            <w:shd w:val="clear" w:color="auto" w:fill="D9D9D9"/>
          </w:tcPr>
          <w:p w14:paraId="033C4D3F" w14:textId="77777777" w:rsidR="00302BFE" w:rsidRPr="00902601" w:rsidRDefault="00302BFE" w:rsidP="00243B15">
            <w:pPr>
              <w:rPr>
                <w:highlight w:val="green"/>
                <w:lang w:val="en-CA"/>
              </w:rPr>
            </w:pPr>
          </w:p>
        </w:tc>
        <w:tc>
          <w:tcPr>
            <w:tcW w:w="340" w:type="dxa"/>
            <w:shd w:val="clear" w:color="auto" w:fill="D9D9D9"/>
          </w:tcPr>
          <w:p w14:paraId="3B6C157F" w14:textId="77777777" w:rsidR="00302BFE" w:rsidRPr="00902601" w:rsidRDefault="00302BFE" w:rsidP="00243B15">
            <w:pPr>
              <w:rPr>
                <w:highlight w:val="green"/>
                <w:lang w:val="en-CA"/>
              </w:rPr>
            </w:pPr>
          </w:p>
        </w:tc>
        <w:tc>
          <w:tcPr>
            <w:tcW w:w="340" w:type="dxa"/>
            <w:shd w:val="clear" w:color="auto" w:fill="auto"/>
          </w:tcPr>
          <w:p w14:paraId="3C81780A" w14:textId="77777777" w:rsidR="00302BFE" w:rsidRPr="00902601" w:rsidRDefault="00302BFE" w:rsidP="00243B15">
            <w:pPr>
              <w:rPr>
                <w:highlight w:val="green"/>
                <w:lang w:val="en-CA"/>
              </w:rPr>
            </w:pPr>
          </w:p>
        </w:tc>
        <w:tc>
          <w:tcPr>
            <w:tcW w:w="340" w:type="dxa"/>
            <w:shd w:val="clear" w:color="auto" w:fill="auto"/>
          </w:tcPr>
          <w:p w14:paraId="4DE6EC60" w14:textId="77777777" w:rsidR="00302BFE" w:rsidRPr="00902601" w:rsidRDefault="00302BFE" w:rsidP="00243B15">
            <w:pPr>
              <w:rPr>
                <w:highlight w:val="green"/>
                <w:lang w:val="en-CA"/>
              </w:rPr>
            </w:pPr>
          </w:p>
        </w:tc>
      </w:tr>
      <w:tr w:rsidR="00EC409B" w:rsidRPr="00902601" w14:paraId="033573FB" w14:textId="77777777" w:rsidTr="00755BF9">
        <w:trPr>
          <w:jc w:val="center"/>
        </w:trPr>
        <w:tc>
          <w:tcPr>
            <w:tcW w:w="5670" w:type="dxa"/>
            <w:shd w:val="clear" w:color="auto" w:fill="auto"/>
          </w:tcPr>
          <w:p w14:paraId="3C015950" w14:textId="77777777" w:rsidR="00302BFE" w:rsidRPr="00902601" w:rsidRDefault="00302BFE" w:rsidP="00243B15">
            <w:pPr>
              <w:rPr>
                <w:i/>
                <w:color w:val="4472C4"/>
                <w:sz w:val="16"/>
                <w:szCs w:val="16"/>
                <w:highlight w:val="green"/>
                <w:lang w:val="en-CA"/>
              </w:rPr>
            </w:pPr>
            <w:r w:rsidRPr="00902601">
              <w:rPr>
                <w:i/>
                <w:color w:val="4472C4"/>
                <w:sz w:val="16"/>
                <w:szCs w:val="16"/>
                <w:highlight w:val="green"/>
                <w:lang w:val="en-GB"/>
              </w:rPr>
              <w:t>2.4.3 Renewal of transboundary collaboration agreements with Ghana for the conservation of shared natural resources</w:t>
            </w:r>
          </w:p>
        </w:tc>
        <w:tc>
          <w:tcPr>
            <w:tcW w:w="340" w:type="dxa"/>
            <w:shd w:val="clear" w:color="auto" w:fill="auto"/>
          </w:tcPr>
          <w:p w14:paraId="1ACC2D2E" w14:textId="77777777" w:rsidR="00302BFE" w:rsidRPr="00902601" w:rsidRDefault="00302BFE" w:rsidP="00243B15">
            <w:pPr>
              <w:rPr>
                <w:highlight w:val="green"/>
                <w:lang w:val="en-CA"/>
              </w:rPr>
            </w:pPr>
          </w:p>
        </w:tc>
        <w:tc>
          <w:tcPr>
            <w:tcW w:w="340" w:type="dxa"/>
            <w:shd w:val="clear" w:color="auto" w:fill="auto"/>
          </w:tcPr>
          <w:p w14:paraId="25EDEC65" w14:textId="77777777" w:rsidR="00302BFE" w:rsidRPr="00902601" w:rsidRDefault="00302BFE" w:rsidP="00243B15">
            <w:pPr>
              <w:rPr>
                <w:highlight w:val="green"/>
                <w:lang w:val="en-CA"/>
              </w:rPr>
            </w:pPr>
          </w:p>
        </w:tc>
        <w:tc>
          <w:tcPr>
            <w:tcW w:w="340" w:type="dxa"/>
            <w:shd w:val="clear" w:color="auto" w:fill="auto"/>
          </w:tcPr>
          <w:p w14:paraId="33929863" w14:textId="77777777" w:rsidR="00302BFE" w:rsidRPr="00902601" w:rsidRDefault="00302BFE" w:rsidP="00243B15">
            <w:pPr>
              <w:rPr>
                <w:highlight w:val="green"/>
                <w:lang w:val="en-CA"/>
              </w:rPr>
            </w:pPr>
          </w:p>
        </w:tc>
        <w:tc>
          <w:tcPr>
            <w:tcW w:w="340" w:type="dxa"/>
            <w:shd w:val="clear" w:color="auto" w:fill="auto"/>
          </w:tcPr>
          <w:p w14:paraId="19ECE290" w14:textId="77777777" w:rsidR="00302BFE" w:rsidRPr="00902601" w:rsidRDefault="00302BFE" w:rsidP="00243B15">
            <w:pPr>
              <w:rPr>
                <w:highlight w:val="green"/>
                <w:lang w:val="en-CA"/>
              </w:rPr>
            </w:pPr>
          </w:p>
        </w:tc>
        <w:tc>
          <w:tcPr>
            <w:tcW w:w="340" w:type="dxa"/>
            <w:shd w:val="clear" w:color="auto" w:fill="auto"/>
          </w:tcPr>
          <w:p w14:paraId="2FBC6490" w14:textId="77777777" w:rsidR="00302BFE" w:rsidRPr="00902601" w:rsidRDefault="00302BFE" w:rsidP="00243B15">
            <w:pPr>
              <w:rPr>
                <w:highlight w:val="green"/>
                <w:lang w:val="en-CA"/>
              </w:rPr>
            </w:pPr>
          </w:p>
        </w:tc>
        <w:tc>
          <w:tcPr>
            <w:tcW w:w="340" w:type="dxa"/>
            <w:shd w:val="clear" w:color="auto" w:fill="auto"/>
          </w:tcPr>
          <w:p w14:paraId="696AAF44" w14:textId="77777777" w:rsidR="00302BFE" w:rsidRPr="00902601" w:rsidRDefault="00302BFE" w:rsidP="00243B15">
            <w:pPr>
              <w:rPr>
                <w:highlight w:val="green"/>
                <w:lang w:val="en-CA"/>
              </w:rPr>
            </w:pPr>
          </w:p>
        </w:tc>
        <w:tc>
          <w:tcPr>
            <w:tcW w:w="340" w:type="dxa"/>
            <w:shd w:val="clear" w:color="auto" w:fill="auto"/>
          </w:tcPr>
          <w:p w14:paraId="3CD2C46E" w14:textId="77777777" w:rsidR="00302BFE" w:rsidRPr="00902601" w:rsidRDefault="00302BFE" w:rsidP="00243B15">
            <w:pPr>
              <w:rPr>
                <w:highlight w:val="green"/>
                <w:lang w:val="en-CA"/>
              </w:rPr>
            </w:pPr>
          </w:p>
        </w:tc>
        <w:tc>
          <w:tcPr>
            <w:tcW w:w="340" w:type="dxa"/>
            <w:shd w:val="clear" w:color="auto" w:fill="auto"/>
          </w:tcPr>
          <w:p w14:paraId="7CC68C0B" w14:textId="77777777" w:rsidR="00302BFE" w:rsidRPr="00902601" w:rsidRDefault="00302BFE" w:rsidP="00243B15">
            <w:pPr>
              <w:rPr>
                <w:highlight w:val="green"/>
                <w:lang w:val="en-CA"/>
              </w:rPr>
            </w:pPr>
          </w:p>
        </w:tc>
        <w:tc>
          <w:tcPr>
            <w:tcW w:w="340" w:type="dxa"/>
            <w:shd w:val="clear" w:color="auto" w:fill="auto"/>
          </w:tcPr>
          <w:p w14:paraId="67F78B43" w14:textId="77777777" w:rsidR="00302BFE" w:rsidRPr="00902601" w:rsidRDefault="00302BFE" w:rsidP="00243B15">
            <w:pPr>
              <w:rPr>
                <w:highlight w:val="green"/>
                <w:lang w:val="en-CA"/>
              </w:rPr>
            </w:pPr>
          </w:p>
        </w:tc>
        <w:tc>
          <w:tcPr>
            <w:tcW w:w="340" w:type="dxa"/>
            <w:shd w:val="clear" w:color="auto" w:fill="auto"/>
          </w:tcPr>
          <w:p w14:paraId="1EA6808E" w14:textId="77777777" w:rsidR="00302BFE" w:rsidRPr="00902601" w:rsidRDefault="00302BFE" w:rsidP="00243B15">
            <w:pPr>
              <w:rPr>
                <w:highlight w:val="green"/>
                <w:lang w:val="en-CA"/>
              </w:rPr>
            </w:pPr>
          </w:p>
        </w:tc>
        <w:tc>
          <w:tcPr>
            <w:tcW w:w="340" w:type="dxa"/>
            <w:shd w:val="clear" w:color="auto" w:fill="D9D9D9"/>
          </w:tcPr>
          <w:p w14:paraId="749E7AAF" w14:textId="77777777" w:rsidR="00302BFE" w:rsidRPr="00902601" w:rsidRDefault="00302BFE" w:rsidP="00243B15">
            <w:pPr>
              <w:rPr>
                <w:highlight w:val="green"/>
                <w:lang w:val="en-CA"/>
              </w:rPr>
            </w:pPr>
          </w:p>
        </w:tc>
        <w:tc>
          <w:tcPr>
            <w:tcW w:w="340" w:type="dxa"/>
            <w:shd w:val="clear" w:color="auto" w:fill="D9D9D9"/>
          </w:tcPr>
          <w:p w14:paraId="7ED58721" w14:textId="77777777" w:rsidR="00302BFE" w:rsidRPr="00902601" w:rsidRDefault="00302BFE" w:rsidP="00243B15">
            <w:pPr>
              <w:rPr>
                <w:highlight w:val="green"/>
                <w:lang w:val="en-CA"/>
              </w:rPr>
            </w:pPr>
          </w:p>
        </w:tc>
        <w:tc>
          <w:tcPr>
            <w:tcW w:w="340" w:type="dxa"/>
            <w:shd w:val="clear" w:color="auto" w:fill="D9D9D9"/>
          </w:tcPr>
          <w:p w14:paraId="60ADEB0E" w14:textId="77777777" w:rsidR="00302BFE" w:rsidRPr="00902601" w:rsidRDefault="00302BFE" w:rsidP="00243B15">
            <w:pPr>
              <w:rPr>
                <w:highlight w:val="green"/>
                <w:lang w:val="en-CA"/>
              </w:rPr>
            </w:pPr>
          </w:p>
        </w:tc>
        <w:tc>
          <w:tcPr>
            <w:tcW w:w="340" w:type="dxa"/>
            <w:shd w:val="clear" w:color="auto" w:fill="D9D9D9"/>
          </w:tcPr>
          <w:p w14:paraId="0B1F71D9" w14:textId="77777777" w:rsidR="00302BFE" w:rsidRPr="00902601" w:rsidRDefault="00302BFE" w:rsidP="00243B15">
            <w:pPr>
              <w:rPr>
                <w:highlight w:val="green"/>
                <w:lang w:val="en-CA"/>
              </w:rPr>
            </w:pPr>
          </w:p>
        </w:tc>
        <w:tc>
          <w:tcPr>
            <w:tcW w:w="340" w:type="dxa"/>
            <w:shd w:val="clear" w:color="auto" w:fill="D9D9D9"/>
          </w:tcPr>
          <w:p w14:paraId="505F4BAD" w14:textId="77777777" w:rsidR="00302BFE" w:rsidRPr="00902601" w:rsidRDefault="00302BFE" w:rsidP="00243B15">
            <w:pPr>
              <w:rPr>
                <w:highlight w:val="green"/>
                <w:lang w:val="en-CA"/>
              </w:rPr>
            </w:pPr>
          </w:p>
        </w:tc>
        <w:tc>
          <w:tcPr>
            <w:tcW w:w="340" w:type="dxa"/>
            <w:shd w:val="clear" w:color="auto" w:fill="D9D9D9"/>
          </w:tcPr>
          <w:p w14:paraId="72E70E60" w14:textId="77777777" w:rsidR="00302BFE" w:rsidRPr="00902601" w:rsidRDefault="00302BFE" w:rsidP="00243B15">
            <w:pPr>
              <w:rPr>
                <w:highlight w:val="green"/>
                <w:lang w:val="en-CA"/>
              </w:rPr>
            </w:pPr>
          </w:p>
        </w:tc>
        <w:tc>
          <w:tcPr>
            <w:tcW w:w="340" w:type="dxa"/>
            <w:shd w:val="clear" w:color="auto" w:fill="D9D9D9"/>
          </w:tcPr>
          <w:p w14:paraId="251F739C" w14:textId="77777777" w:rsidR="00302BFE" w:rsidRPr="00902601" w:rsidRDefault="00302BFE" w:rsidP="00243B15">
            <w:pPr>
              <w:rPr>
                <w:highlight w:val="green"/>
                <w:lang w:val="en-CA"/>
              </w:rPr>
            </w:pPr>
          </w:p>
        </w:tc>
        <w:tc>
          <w:tcPr>
            <w:tcW w:w="340" w:type="dxa"/>
            <w:shd w:val="clear" w:color="auto" w:fill="D9D9D9"/>
          </w:tcPr>
          <w:p w14:paraId="42A2EF87" w14:textId="77777777" w:rsidR="00302BFE" w:rsidRPr="00902601" w:rsidRDefault="00302BFE" w:rsidP="00243B15">
            <w:pPr>
              <w:rPr>
                <w:highlight w:val="green"/>
                <w:lang w:val="en-CA"/>
              </w:rPr>
            </w:pPr>
          </w:p>
        </w:tc>
        <w:tc>
          <w:tcPr>
            <w:tcW w:w="340" w:type="dxa"/>
            <w:shd w:val="clear" w:color="auto" w:fill="D9D9D9"/>
          </w:tcPr>
          <w:p w14:paraId="7FCBEF4C" w14:textId="77777777" w:rsidR="00302BFE" w:rsidRPr="00902601" w:rsidRDefault="00302BFE" w:rsidP="00243B15">
            <w:pPr>
              <w:rPr>
                <w:highlight w:val="green"/>
                <w:lang w:val="en-CA"/>
              </w:rPr>
            </w:pPr>
          </w:p>
        </w:tc>
        <w:tc>
          <w:tcPr>
            <w:tcW w:w="340" w:type="dxa"/>
            <w:shd w:val="clear" w:color="auto" w:fill="D9D9D9"/>
          </w:tcPr>
          <w:p w14:paraId="4DA82DF8" w14:textId="77777777" w:rsidR="00302BFE" w:rsidRPr="00902601" w:rsidRDefault="00302BFE" w:rsidP="00243B15">
            <w:pPr>
              <w:rPr>
                <w:highlight w:val="green"/>
                <w:lang w:val="en-CA"/>
              </w:rPr>
            </w:pPr>
          </w:p>
        </w:tc>
        <w:tc>
          <w:tcPr>
            <w:tcW w:w="340" w:type="dxa"/>
            <w:shd w:val="clear" w:color="auto" w:fill="auto"/>
          </w:tcPr>
          <w:p w14:paraId="47F86A92" w14:textId="77777777" w:rsidR="00302BFE" w:rsidRPr="00902601" w:rsidRDefault="00302BFE" w:rsidP="00243B15">
            <w:pPr>
              <w:rPr>
                <w:highlight w:val="green"/>
                <w:lang w:val="en-CA"/>
              </w:rPr>
            </w:pPr>
          </w:p>
        </w:tc>
        <w:tc>
          <w:tcPr>
            <w:tcW w:w="340" w:type="dxa"/>
            <w:shd w:val="clear" w:color="auto" w:fill="auto"/>
          </w:tcPr>
          <w:p w14:paraId="201D36F6" w14:textId="77777777" w:rsidR="00302BFE" w:rsidRPr="00902601" w:rsidRDefault="00302BFE" w:rsidP="00243B15">
            <w:pPr>
              <w:rPr>
                <w:highlight w:val="green"/>
                <w:lang w:val="en-CA"/>
              </w:rPr>
            </w:pPr>
          </w:p>
        </w:tc>
        <w:tc>
          <w:tcPr>
            <w:tcW w:w="340" w:type="dxa"/>
            <w:shd w:val="clear" w:color="auto" w:fill="auto"/>
          </w:tcPr>
          <w:p w14:paraId="1BD23FA1" w14:textId="77777777" w:rsidR="00302BFE" w:rsidRPr="00902601" w:rsidRDefault="00302BFE" w:rsidP="00243B15">
            <w:pPr>
              <w:rPr>
                <w:highlight w:val="green"/>
                <w:lang w:val="en-CA"/>
              </w:rPr>
            </w:pPr>
          </w:p>
        </w:tc>
        <w:tc>
          <w:tcPr>
            <w:tcW w:w="340" w:type="dxa"/>
            <w:shd w:val="clear" w:color="auto" w:fill="auto"/>
          </w:tcPr>
          <w:p w14:paraId="6BDFC92B" w14:textId="77777777" w:rsidR="00302BFE" w:rsidRPr="00902601" w:rsidRDefault="00302BFE" w:rsidP="00243B15">
            <w:pPr>
              <w:rPr>
                <w:highlight w:val="green"/>
                <w:lang w:val="en-CA"/>
              </w:rPr>
            </w:pPr>
          </w:p>
        </w:tc>
      </w:tr>
      <w:tr w:rsidR="00302BFE" w:rsidRPr="00902601" w14:paraId="3B84C792" w14:textId="77777777" w:rsidTr="00243B15">
        <w:trPr>
          <w:jc w:val="center"/>
        </w:trPr>
        <w:tc>
          <w:tcPr>
            <w:tcW w:w="13830" w:type="dxa"/>
            <w:gridSpan w:val="25"/>
            <w:shd w:val="clear" w:color="auto" w:fill="FFF2CC"/>
          </w:tcPr>
          <w:p w14:paraId="34AF1351" w14:textId="77777777" w:rsidR="00302BFE" w:rsidRPr="00902601" w:rsidRDefault="00302BFE" w:rsidP="00243B15">
            <w:pPr>
              <w:rPr>
                <w:b/>
                <w:sz w:val="16"/>
                <w:szCs w:val="16"/>
                <w:highlight w:val="green"/>
                <w:lang w:val="en-CA"/>
              </w:rPr>
            </w:pPr>
            <w:r w:rsidRPr="00902601">
              <w:rPr>
                <w:b/>
                <w:sz w:val="16"/>
                <w:szCs w:val="16"/>
                <w:highlight w:val="green"/>
                <w:lang w:val="en-CA"/>
              </w:rPr>
              <w:t>Component 3. Sustainable Land and Resources Management and Diversification of Livelihoods</w:t>
            </w:r>
          </w:p>
        </w:tc>
      </w:tr>
      <w:tr w:rsidR="00302BFE" w:rsidRPr="00902601" w14:paraId="756BCFC6" w14:textId="77777777" w:rsidTr="00243B15">
        <w:trPr>
          <w:jc w:val="center"/>
        </w:trPr>
        <w:tc>
          <w:tcPr>
            <w:tcW w:w="5670" w:type="dxa"/>
            <w:shd w:val="clear" w:color="auto" w:fill="auto"/>
          </w:tcPr>
          <w:p w14:paraId="6FE8FEE8" w14:textId="77777777" w:rsidR="00302BFE" w:rsidRPr="00902601" w:rsidRDefault="00302BFE" w:rsidP="00243B15">
            <w:pPr>
              <w:rPr>
                <w:i/>
                <w:color w:val="4472C4"/>
                <w:sz w:val="16"/>
                <w:szCs w:val="16"/>
                <w:highlight w:val="green"/>
                <w:lang w:val="en-CA"/>
              </w:rPr>
            </w:pPr>
            <w:r w:rsidRPr="00902601">
              <w:rPr>
                <w:sz w:val="16"/>
                <w:szCs w:val="16"/>
                <w:highlight w:val="green"/>
                <w:lang w:val="en-CA"/>
              </w:rPr>
              <w:t>Output 3.1 Sustainable Land Management (SLM) practices are implemented by communities within the PONASI landscape</w:t>
            </w:r>
            <w:r w:rsidRPr="00902601">
              <w:rPr>
                <w:b/>
                <w:szCs w:val="20"/>
                <w:highlight w:val="green"/>
                <w:lang w:val="en-GB"/>
              </w:rPr>
              <w:t xml:space="preserve"> </w:t>
            </w:r>
          </w:p>
        </w:tc>
        <w:tc>
          <w:tcPr>
            <w:tcW w:w="8160" w:type="dxa"/>
            <w:gridSpan w:val="24"/>
            <w:shd w:val="clear" w:color="auto" w:fill="auto"/>
          </w:tcPr>
          <w:p w14:paraId="58880670" w14:textId="77777777" w:rsidR="00302BFE" w:rsidRPr="00902601" w:rsidRDefault="00302BFE" w:rsidP="00243B15">
            <w:pPr>
              <w:rPr>
                <w:highlight w:val="green"/>
                <w:lang w:val="en-CA"/>
              </w:rPr>
            </w:pPr>
          </w:p>
        </w:tc>
      </w:tr>
      <w:tr w:rsidR="00EC409B" w:rsidRPr="00902601" w14:paraId="51AC93EC" w14:textId="77777777" w:rsidTr="00755BF9">
        <w:trPr>
          <w:jc w:val="center"/>
        </w:trPr>
        <w:tc>
          <w:tcPr>
            <w:tcW w:w="5670" w:type="dxa"/>
            <w:shd w:val="clear" w:color="auto" w:fill="auto"/>
          </w:tcPr>
          <w:p w14:paraId="440EDE02" w14:textId="77777777" w:rsidR="00302BFE" w:rsidRPr="00902601" w:rsidRDefault="00302BFE" w:rsidP="00243B15">
            <w:pPr>
              <w:rPr>
                <w:i/>
                <w:color w:val="4472C4"/>
                <w:sz w:val="16"/>
                <w:szCs w:val="16"/>
                <w:highlight w:val="green"/>
                <w:lang w:val="en-CA"/>
              </w:rPr>
            </w:pPr>
            <w:r w:rsidRPr="00902601">
              <w:rPr>
                <w:i/>
                <w:color w:val="4472C4"/>
                <w:sz w:val="16"/>
                <w:szCs w:val="16"/>
                <w:highlight w:val="green"/>
                <w:lang w:val="en-GB"/>
              </w:rPr>
              <w:t>3.1.1 Participatory diagnostic of the condition of land resources (soils, water, biodiversity)</w:t>
            </w:r>
          </w:p>
        </w:tc>
        <w:tc>
          <w:tcPr>
            <w:tcW w:w="340" w:type="dxa"/>
            <w:shd w:val="clear" w:color="auto" w:fill="auto"/>
          </w:tcPr>
          <w:p w14:paraId="0967CEF8" w14:textId="77777777" w:rsidR="00302BFE" w:rsidRPr="00902601" w:rsidRDefault="00302BFE" w:rsidP="00243B15">
            <w:pPr>
              <w:rPr>
                <w:highlight w:val="green"/>
                <w:lang w:val="en-CA"/>
              </w:rPr>
            </w:pPr>
          </w:p>
        </w:tc>
        <w:tc>
          <w:tcPr>
            <w:tcW w:w="340" w:type="dxa"/>
            <w:shd w:val="clear" w:color="auto" w:fill="auto"/>
          </w:tcPr>
          <w:p w14:paraId="6E7BA435" w14:textId="77777777" w:rsidR="00302BFE" w:rsidRPr="00902601" w:rsidRDefault="00302BFE" w:rsidP="00243B15">
            <w:pPr>
              <w:rPr>
                <w:highlight w:val="green"/>
                <w:lang w:val="en-CA"/>
              </w:rPr>
            </w:pPr>
          </w:p>
        </w:tc>
        <w:tc>
          <w:tcPr>
            <w:tcW w:w="340" w:type="dxa"/>
            <w:shd w:val="clear" w:color="auto" w:fill="auto"/>
          </w:tcPr>
          <w:p w14:paraId="1857743A" w14:textId="77777777" w:rsidR="00302BFE" w:rsidRPr="00902601" w:rsidRDefault="00302BFE" w:rsidP="00243B15">
            <w:pPr>
              <w:rPr>
                <w:highlight w:val="green"/>
                <w:lang w:val="en-CA"/>
              </w:rPr>
            </w:pPr>
          </w:p>
        </w:tc>
        <w:tc>
          <w:tcPr>
            <w:tcW w:w="340" w:type="dxa"/>
            <w:shd w:val="clear" w:color="auto" w:fill="auto"/>
          </w:tcPr>
          <w:p w14:paraId="6E1288FE" w14:textId="77777777" w:rsidR="00302BFE" w:rsidRPr="00902601" w:rsidRDefault="00302BFE" w:rsidP="00243B15">
            <w:pPr>
              <w:rPr>
                <w:highlight w:val="green"/>
                <w:lang w:val="en-CA"/>
              </w:rPr>
            </w:pPr>
          </w:p>
        </w:tc>
        <w:tc>
          <w:tcPr>
            <w:tcW w:w="340" w:type="dxa"/>
            <w:shd w:val="clear" w:color="auto" w:fill="D9D9D9"/>
          </w:tcPr>
          <w:p w14:paraId="581E73C1" w14:textId="77777777" w:rsidR="00302BFE" w:rsidRPr="00902601" w:rsidRDefault="00302BFE" w:rsidP="00243B15">
            <w:pPr>
              <w:rPr>
                <w:highlight w:val="green"/>
                <w:lang w:val="en-CA"/>
              </w:rPr>
            </w:pPr>
          </w:p>
        </w:tc>
        <w:tc>
          <w:tcPr>
            <w:tcW w:w="340" w:type="dxa"/>
            <w:shd w:val="clear" w:color="auto" w:fill="D9D9D9"/>
          </w:tcPr>
          <w:p w14:paraId="234B9A24"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2665278E"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11AB2936" w14:textId="77777777" w:rsidR="00302BFE" w:rsidRPr="00902601" w:rsidRDefault="00302BFE" w:rsidP="00243B15">
            <w:pPr>
              <w:rPr>
                <w:highlight w:val="green"/>
                <w:lang w:val="en-CA"/>
              </w:rPr>
            </w:pPr>
          </w:p>
        </w:tc>
        <w:tc>
          <w:tcPr>
            <w:tcW w:w="340" w:type="dxa"/>
            <w:shd w:val="clear" w:color="auto" w:fill="auto"/>
          </w:tcPr>
          <w:p w14:paraId="6E58C00D" w14:textId="77777777" w:rsidR="00302BFE" w:rsidRPr="00902601" w:rsidRDefault="00302BFE" w:rsidP="00243B15">
            <w:pPr>
              <w:rPr>
                <w:highlight w:val="green"/>
                <w:lang w:val="en-CA"/>
              </w:rPr>
            </w:pPr>
          </w:p>
        </w:tc>
        <w:tc>
          <w:tcPr>
            <w:tcW w:w="340" w:type="dxa"/>
            <w:shd w:val="clear" w:color="auto" w:fill="auto"/>
          </w:tcPr>
          <w:p w14:paraId="5DCC9ED8" w14:textId="77777777" w:rsidR="00302BFE" w:rsidRPr="00902601" w:rsidRDefault="00302BFE" w:rsidP="00243B15">
            <w:pPr>
              <w:rPr>
                <w:highlight w:val="green"/>
                <w:lang w:val="en-CA"/>
              </w:rPr>
            </w:pPr>
          </w:p>
        </w:tc>
        <w:tc>
          <w:tcPr>
            <w:tcW w:w="340" w:type="dxa"/>
            <w:shd w:val="clear" w:color="auto" w:fill="auto"/>
          </w:tcPr>
          <w:p w14:paraId="0DF6A282" w14:textId="77777777" w:rsidR="00302BFE" w:rsidRPr="00902601" w:rsidRDefault="00302BFE" w:rsidP="00243B15">
            <w:pPr>
              <w:rPr>
                <w:highlight w:val="green"/>
                <w:lang w:val="en-CA"/>
              </w:rPr>
            </w:pPr>
          </w:p>
        </w:tc>
        <w:tc>
          <w:tcPr>
            <w:tcW w:w="340" w:type="dxa"/>
            <w:shd w:val="clear" w:color="auto" w:fill="auto"/>
          </w:tcPr>
          <w:p w14:paraId="49C50721" w14:textId="77777777" w:rsidR="00302BFE" w:rsidRPr="00902601" w:rsidRDefault="00302BFE" w:rsidP="00243B15">
            <w:pPr>
              <w:rPr>
                <w:highlight w:val="green"/>
                <w:lang w:val="en-CA"/>
              </w:rPr>
            </w:pPr>
          </w:p>
        </w:tc>
        <w:tc>
          <w:tcPr>
            <w:tcW w:w="340" w:type="dxa"/>
            <w:shd w:val="clear" w:color="auto" w:fill="auto"/>
          </w:tcPr>
          <w:p w14:paraId="26AF55C8" w14:textId="77777777" w:rsidR="00302BFE" w:rsidRPr="00902601" w:rsidRDefault="00302BFE" w:rsidP="00243B15">
            <w:pPr>
              <w:rPr>
                <w:highlight w:val="green"/>
                <w:lang w:val="en-CA"/>
              </w:rPr>
            </w:pPr>
          </w:p>
        </w:tc>
        <w:tc>
          <w:tcPr>
            <w:tcW w:w="340" w:type="dxa"/>
            <w:shd w:val="clear" w:color="auto" w:fill="auto"/>
          </w:tcPr>
          <w:p w14:paraId="2F7A9680" w14:textId="77777777" w:rsidR="00302BFE" w:rsidRPr="00902601" w:rsidRDefault="00302BFE" w:rsidP="00243B15">
            <w:pPr>
              <w:rPr>
                <w:highlight w:val="green"/>
                <w:lang w:val="en-CA"/>
              </w:rPr>
            </w:pPr>
          </w:p>
        </w:tc>
        <w:tc>
          <w:tcPr>
            <w:tcW w:w="340" w:type="dxa"/>
            <w:shd w:val="clear" w:color="auto" w:fill="auto"/>
          </w:tcPr>
          <w:p w14:paraId="0CEC72DC" w14:textId="77777777" w:rsidR="00302BFE" w:rsidRPr="00902601" w:rsidRDefault="00302BFE" w:rsidP="00243B15">
            <w:pPr>
              <w:rPr>
                <w:highlight w:val="green"/>
                <w:lang w:val="en-CA"/>
              </w:rPr>
            </w:pPr>
          </w:p>
        </w:tc>
        <w:tc>
          <w:tcPr>
            <w:tcW w:w="340" w:type="dxa"/>
            <w:shd w:val="clear" w:color="auto" w:fill="auto"/>
          </w:tcPr>
          <w:p w14:paraId="65FF2AE6" w14:textId="77777777" w:rsidR="00302BFE" w:rsidRPr="00902601" w:rsidRDefault="00302BFE" w:rsidP="00243B15">
            <w:pPr>
              <w:rPr>
                <w:highlight w:val="green"/>
                <w:lang w:val="en-CA"/>
              </w:rPr>
            </w:pPr>
          </w:p>
        </w:tc>
        <w:tc>
          <w:tcPr>
            <w:tcW w:w="340" w:type="dxa"/>
            <w:shd w:val="clear" w:color="auto" w:fill="auto"/>
          </w:tcPr>
          <w:p w14:paraId="091DB69D" w14:textId="77777777" w:rsidR="00302BFE" w:rsidRPr="00902601" w:rsidRDefault="00302BFE" w:rsidP="00243B15">
            <w:pPr>
              <w:rPr>
                <w:highlight w:val="green"/>
                <w:lang w:val="en-CA"/>
              </w:rPr>
            </w:pPr>
          </w:p>
        </w:tc>
        <w:tc>
          <w:tcPr>
            <w:tcW w:w="340" w:type="dxa"/>
            <w:shd w:val="clear" w:color="auto" w:fill="auto"/>
          </w:tcPr>
          <w:p w14:paraId="53F35E94" w14:textId="77777777" w:rsidR="00302BFE" w:rsidRPr="00902601" w:rsidRDefault="00302BFE" w:rsidP="00243B15">
            <w:pPr>
              <w:rPr>
                <w:highlight w:val="green"/>
                <w:lang w:val="en-CA"/>
              </w:rPr>
            </w:pPr>
          </w:p>
        </w:tc>
        <w:tc>
          <w:tcPr>
            <w:tcW w:w="340" w:type="dxa"/>
            <w:shd w:val="clear" w:color="auto" w:fill="auto"/>
          </w:tcPr>
          <w:p w14:paraId="3A8040C9" w14:textId="77777777" w:rsidR="00302BFE" w:rsidRPr="00902601" w:rsidRDefault="00302BFE" w:rsidP="00243B15">
            <w:pPr>
              <w:rPr>
                <w:highlight w:val="green"/>
                <w:lang w:val="en-CA"/>
              </w:rPr>
            </w:pPr>
          </w:p>
        </w:tc>
        <w:tc>
          <w:tcPr>
            <w:tcW w:w="340" w:type="dxa"/>
            <w:shd w:val="clear" w:color="auto" w:fill="auto"/>
          </w:tcPr>
          <w:p w14:paraId="654243DF" w14:textId="77777777" w:rsidR="00302BFE" w:rsidRPr="00902601" w:rsidRDefault="00302BFE" w:rsidP="00243B15">
            <w:pPr>
              <w:rPr>
                <w:highlight w:val="green"/>
                <w:lang w:val="en-CA"/>
              </w:rPr>
            </w:pPr>
          </w:p>
        </w:tc>
        <w:tc>
          <w:tcPr>
            <w:tcW w:w="340" w:type="dxa"/>
            <w:shd w:val="clear" w:color="auto" w:fill="auto"/>
          </w:tcPr>
          <w:p w14:paraId="3A32AE95" w14:textId="77777777" w:rsidR="00302BFE" w:rsidRPr="00902601" w:rsidRDefault="00302BFE" w:rsidP="00243B15">
            <w:pPr>
              <w:rPr>
                <w:highlight w:val="green"/>
                <w:lang w:val="en-CA"/>
              </w:rPr>
            </w:pPr>
          </w:p>
        </w:tc>
        <w:tc>
          <w:tcPr>
            <w:tcW w:w="340" w:type="dxa"/>
            <w:shd w:val="clear" w:color="auto" w:fill="auto"/>
          </w:tcPr>
          <w:p w14:paraId="45606B89" w14:textId="77777777" w:rsidR="00302BFE" w:rsidRPr="00902601" w:rsidRDefault="00302BFE" w:rsidP="00243B15">
            <w:pPr>
              <w:rPr>
                <w:highlight w:val="green"/>
                <w:lang w:val="en-CA"/>
              </w:rPr>
            </w:pPr>
          </w:p>
        </w:tc>
        <w:tc>
          <w:tcPr>
            <w:tcW w:w="340" w:type="dxa"/>
            <w:shd w:val="clear" w:color="auto" w:fill="auto"/>
          </w:tcPr>
          <w:p w14:paraId="1F0A45B5" w14:textId="77777777" w:rsidR="00302BFE" w:rsidRPr="00902601" w:rsidRDefault="00302BFE" w:rsidP="00243B15">
            <w:pPr>
              <w:rPr>
                <w:highlight w:val="green"/>
                <w:lang w:val="en-CA"/>
              </w:rPr>
            </w:pPr>
          </w:p>
        </w:tc>
        <w:tc>
          <w:tcPr>
            <w:tcW w:w="340" w:type="dxa"/>
            <w:shd w:val="clear" w:color="auto" w:fill="auto"/>
          </w:tcPr>
          <w:p w14:paraId="6820E98C" w14:textId="77777777" w:rsidR="00302BFE" w:rsidRPr="00902601" w:rsidRDefault="00302BFE" w:rsidP="00243B15">
            <w:pPr>
              <w:rPr>
                <w:highlight w:val="green"/>
                <w:lang w:val="en-CA"/>
              </w:rPr>
            </w:pPr>
          </w:p>
        </w:tc>
      </w:tr>
      <w:tr w:rsidR="00EC409B" w:rsidRPr="00902601" w14:paraId="4E2A7681" w14:textId="77777777" w:rsidTr="00755BF9">
        <w:trPr>
          <w:jc w:val="center"/>
        </w:trPr>
        <w:tc>
          <w:tcPr>
            <w:tcW w:w="5670" w:type="dxa"/>
            <w:shd w:val="clear" w:color="auto" w:fill="auto"/>
          </w:tcPr>
          <w:p w14:paraId="64B3AC6F" w14:textId="77777777" w:rsidR="00302BFE" w:rsidRPr="00902601" w:rsidRDefault="00302BFE" w:rsidP="00243B15">
            <w:pPr>
              <w:rPr>
                <w:i/>
                <w:color w:val="4472C4"/>
                <w:sz w:val="16"/>
                <w:szCs w:val="16"/>
                <w:highlight w:val="green"/>
              </w:rPr>
            </w:pPr>
            <w:r w:rsidRPr="00902601">
              <w:rPr>
                <w:i/>
                <w:color w:val="4472C4"/>
                <w:sz w:val="16"/>
                <w:szCs w:val="16"/>
                <w:highlight w:val="green"/>
                <w:lang w:val="en-GB"/>
              </w:rPr>
              <w:t>3.1.2 Intervention and investment plan</w:t>
            </w:r>
          </w:p>
        </w:tc>
        <w:tc>
          <w:tcPr>
            <w:tcW w:w="340" w:type="dxa"/>
            <w:shd w:val="clear" w:color="auto" w:fill="auto"/>
          </w:tcPr>
          <w:p w14:paraId="5BEB0726" w14:textId="77777777" w:rsidR="00302BFE" w:rsidRPr="00902601" w:rsidRDefault="00302BFE" w:rsidP="00243B15">
            <w:pPr>
              <w:rPr>
                <w:highlight w:val="green"/>
              </w:rPr>
            </w:pPr>
          </w:p>
        </w:tc>
        <w:tc>
          <w:tcPr>
            <w:tcW w:w="340" w:type="dxa"/>
            <w:shd w:val="clear" w:color="auto" w:fill="auto"/>
          </w:tcPr>
          <w:p w14:paraId="627E1B10" w14:textId="77777777" w:rsidR="00302BFE" w:rsidRPr="00902601" w:rsidRDefault="00302BFE" w:rsidP="00243B15">
            <w:pPr>
              <w:rPr>
                <w:highlight w:val="green"/>
              </w:rPr>
            </w:pPr>
          </w:p>
        </w:tc>
        <w:tc>
          <w:tcPr>
            <w:tcW w:w="340" w:type="dxa"/>
            <w:tcBorders>
              <w:bottom w:val="single" w:sz="4" w:space="0" w:color="auto"/>
            </w:tcBorders>
            <w:shd w:val="clear" w:color="auto" w:fill="auto"/>
          </w:tcPr>
          <w:p w14:paraId="1AE121FC" w14:textId="77777777" w:rsidR="00302BFE" w:rsidRPr="00902601" w:rsidRDefault="00302BFE" w:rsidP="00243B15">
            <w:pPr>
              <w:rPr>
                <w:highlight w:val="green"/>
              </w:rPr>
            </w:pPr>
          </w:p>
        </w:tc>
        <w:tc>
          <w:tcPr>
            <w:tcW w:w="340" w:type="dxa"/>
            <w:tcBorders>
              <w:bottom w:val="single" w:sz="4" w:space="0" w:color="auto"/>
            </w:tcBorders>
            <w:shd w:val="clear" w:color="auto" w:fill="auto"/>
          </w:tcPr>
          <w:p w14:paraId="49E18CF9" w14:textId="77777777" w:rsidR="00302BFE" w:rsidRPr="00902601" w:rsidRDefault="00302BFE" w:rsidP="00243B15">
            <w:pPr>
              <w:rPr>
                <w:highlight w:val="green"/>
              </w:rPr>
            </w:pPr>
          </w:p>
        </w:tc>
        <w:tc>
          <w:tcPr>
            <w:tcW w:w="340" w:type="dxa"/>
            <w:tcBorders>
              <w:bottom w:val="single" w:sz="4" w:space="0" w:color="auto"/>
            </w:tcBorders>
            <w:shd w:val="clear" w:color="auto" w:fill="auto"/>
          </w:tcPr>
          <w:p w14:paraId="6CEA10C9" w14:textId="77777777" w:rsidR="00302BFE" w:rsidRPr="00902601" w:rsidRDefault="00302BFE" w:rsidP="00243B15">
            <w:pPr>
              <w:rPr>
                <w:highlight w:val="green"/>
              </w:rPr>
            </w:pPr>
          </w:p>
        </w:tc>
        <w:tc>
          <w:tcPr>
            <w:tcW w:w="340" w:type="dxa"/>
            <w:tcBorders>
              <w:bottom w:val="single" w:sz="4" w:space="0" w:color="auto"/>
            </w:tcBorders>
            <w:shd w:val="clear" w:color="auto" w:fill="auto"/>
          </w:tcPr>
          <w:p w14:paraId="6A92D12C" w14:textId="77777777" w:rsidR="00302BFE" w:rsidRPr="00902601" w:rsidRDefault="00302BFE" w:rsidP="00243B15">
            <w:pPr>
              <w:rPr>
                <w:highlight w:val="green"/>
              </w:rPr>
            </w:pPr>
          </w:p>
        </w:tc>
        <w:tc>
          <w:tcPr>
            <w:tcW w:w="340" w:type="dxa"/>
            <w:tcBorders>
              <w:bottom w:val="single" w:sz="4" w:space="0" w:color="auto"/>
            </w:tcBorders>
            <w:shd w:val="clear" w:color="auto" w:fill="D9D9D9"/>
          </w:tcPr>
          <w:p w14:paraId="1D6F8364" w14:textId="77777777" w:rsidR="00302BFE" w:rsidRPr="00902601" w:rsidRDefault="00302BFE" w:rsidP="00243B15">
            <w:pPr>
              <w:rPr>
                <w:highlight w:val="green"/>
              </w:rPr>
            </w:pPr>
          </w:p>
        </w:tc>
        <w:tc>
          <w:tcPr>
            <w:tcW w:w="340" w:type="dxa"/>
            <w:tcBorders>
              <w:bottom w:val="single" w:sz="4" w:space="0" w:color="auto"/>
            </w:tcBorders>
            <w:shd w:val="clear" w:color="auto" w:fill="D9D9D9"/>
          </w:tcPr>
          <w:p w14:paraId="5A105736" w14:textId="77777777" w:rsidR="00302BFE" w:rsidRPr="00902601" w:rsidRDefault="00302BFE" w:rsidP="00243B15">
            <w:pPr>
              <w:rPr>
                <w:highlight w:val="green"/>
              </w:rPr>
            </w:pPr>
          </w:p>
        </w:tc>
        <w:tc>
          <w:tcPr>
            <w:tcW w:w="340" w:type="dxa"/>
            <w:tcBorders>
              <w:bottom w:val="single" w:sz="4" w:space="0" w:color="auto"/>
            </w:tcBorders>
            <w:shd w:val="clear" w:color="auto" w:fill="auto"/>
          </w:tcPr>
          <w:p w14:paraId="3FEEA230" w14:textId="77777777" w:rsidR="00302BFE" w:rsidRPr="00902601" w:rsidRDefault="00302BFE" w:rsidP="00243B15">
            <w:pPr>
              <w:rPr>
                <w:highlight w:val="green"/>
              </w:rPr>
            </w:pPr>
          </w:p>
        </w:tc>
        <w:tc>
          <w:tcPr>
            <w:tcW w:w="340" w:type="dxa"/>
            <w:tcBorders>
              <w:bottom w:val="single" w:sz="4" w:space="0" w:color="auto"/>
            </w:tcBorders>
            <w:shd w:val="clear" w:color="auto" w:fill="auto"/>
          </w:tcPr>
          <w:p w14:paraId="40D0D0AC" w14:textId="77777777" w:rsidR="00302BFE" w:rsidRPr="00902601" w:rsidRDefault="00302BFE" w:rsidP="00243B15">
            <w:pPr>
              <w:rPr>
                <w:highlight w:val="green"/>
              </w:rPr>
            </w:pPr>
          </w:p>
        </w:tc>
        <w:tc>
          <w:tcPr>
            <w:tcW w:w="340" w:type="dxa"/>
            <w:tcBorders>
              <w:bottom w:val="single" w:sz="4" w:space="0" w:color="auto"/>
            </w:tcBorders>
            <w:shd w:val="clear" w:color="auto" w:fill="auto"/>
          </w:tcPr>
          <w:p w14:paraId="25E22A08" w14:textId="77777777" w:rsidR="00302BFE" w:rsidRPr="00902601" w:rsidRDefault="00302BFE" w:rsidP="00243B15">
            <w:pPr>
              <w:rPr>
                <w:highlight w:val="green"/>
              </w:rPr>
            </w:pPr>
          </w:p>
        </w:tc>
        <w:tc>
          <w:tcPr>
            <w:tcW w:w="340" w:type="dxa"/>
            <w:tcBorders>
              <w:bottom w:val="single" w:sz="4" w:space="0" w:color="auto"/>
            </w:tcBorders>
            <w:shd w:val="clear" w:color="auto" w:fill="auto"/>
          </w:tcPr>
          <w:p w14:paraId="70733CAF" w14:textId="77777777" w:rsidR="00302BFE" w:rsidRPr="00902601" w:rsidRDefault="00302BFE" w:rsidP="00243B15">
            <w:pPr>
              <w:rPr>
                <w:highlight w:val="green"/>
              </w:rPr>
            </w:pPr>
          </w:p>
        </w:tc>
        <w:tc>
          <w:tcPr>
            <w:tcW w:w="340" w:type="dxa"/>
            <w:tcBorders>
              <w:bottom w:val="single" w:sz="4" w:space="0" w:color="auto"/>
            </w:tcBorders>
            <w:shd w:val="clear" w:color="auto" w:fill="auto"/>
          </w:tcPr>
          <w:p w14:paraId="0FEC063B" w14:textId="77777777" w:rsidR="00302BFE" w:rsidRPr="00902601" w:rsidRDefault="00302BFE" w:rsidP="00243B15">
            <w:pPr>
              <w:rPr>
                <w:highlight w:val="green"/>
              </w:rPr>
            </w:pPr>
          </w:p>
        </w:tc>
        <w:tc>
          <w:tcPr>
            <w:tcW w:w="340" w:type="dxa"/>
            <w:tcBorders>
              <w:bottom w:val="single" w:sz="4" w:space="0" w:color="auto"/>
            </w:tcBorders>
            <w:shd w:val="clear" w:color="auto" w:fill="auto"/>
          </w:tcPr>
          <w:p w14:paraId="6CB7B443" w14:textId="77777777" w:rsidR="00302BFE" w:rsidRPr="00902601" w:rsidRDefault="00302BFE" w:rsidP="00243B15">
            <w:pPr>
              <w:rPr>
                <w:highlight w:val="green"/>
              </w:rPr>
            </w:pPr>
          </w:p>
        </w:tc>
        <w:tc>
          <w:tcPr>
            <w:tcW w:w="340" w:type="dxa"/>
            <w:tcBorders>
              <w:bottom w:val="single" w:sz="4" w:space="0" w:color="auto"/>
            </w:tcBorders>
            <w:shd w:val="clear" w:color="auto" w:fill="auto"/>
          </w:tcPr>
          <w:p w14:paraId="5E8B5C55" w14:textId="77777777" w:rsidR="00302BFE" w:rsidRPr="00902601" w:rsidRDefault="00302BFE" w:rsidP="00243B15">
            <w:pPr>
              <w:rPr>
                <w:highlight w:val="green"/>
              </w:rPr>
            </w:pPr>
          </w:p>
        </w:tc>
        <w:tc>
          <w:tcPr>
            <w:tcW w:w="340" w:type="dxa"/>
            <w:tcBorders>
              <w:bottom w:val="single" w:sz="4" w:space="0" w:color="auto"/>
            </w:tcBorders>
            <w:shd w:val="clear" w:color="auto" w:fill="auto"/>
          </w:tcPr>
          <w:p w14:paraId="23621B99" w14:textId="77777777" w:rsidR="00302BFE" w:rsidRPr="00902601" w:rsidRDefault="00302BFE" w:rsidP="00243B15">
            <w:pPr>
              <w:rPr>
                <w:highlight w:val="green"/>
              </w:rPr>
            </w:pPr>
          </w:p>
        </w:tc>
        <w:tc>
          <w:tcPr>
            <w:tcW w:w="340" w:type="dxa"/>
            <w:tcBorders>
              <w:bottom w:val="single" w:sz="4" w:space="0" w:color="auto"/>
            </w:tcBorders>
            <w:shd w:val="clear" w:color="auto" w:fill="auto"/>
          </w:tcPr>
          <w:p w14:paraId="05C97395" w14:textId="77777777" w:rsidR="00302BFE" w:rsidRPr="00902601" w:rsidRDefault="00302BFE" w:rsidP="00243B15">
            <w:pPr>
              <w:rPr>
                <w:highlight w:val="green"/>
              </w:rPr>
            </w:pPr>
          </w:p>
        </w:tc>
        <w:tc>
          <w:tcPr>
            <w:tcW w:w="340" w:type="dxa"/>
            <w:tcBorders>
              <w:bottom w:val="single" w:sz="4" w:space="0" w:color="auto"/>
            </w:tcBorders>
            <w:shd w:val="clear" w:color="auto" w:fill="auto"/>
          </w:tcPr>
          <w:p w14:paraId="1C63DB0C" w14:textId="77777777" w:rsidR="00302BFE" w:rsidRPr="00902601" w:rsidRDefault="00302BFE" w:rsidP="00243B15">
            <w:pPr>
              <w:rPr>
                <w:highlight w:val="green"/>
              </w:rPr>
            </w:pPr>
          </w:p>
        </w:tc>
        <w:tc>
          <w:tcPr>
            <w:tcW w:w="340" w:type="dxa"/>
            <w:tcBorders>
              <w:bottom w:val="single" w:sz="4" w:space="0" w:color="auto"/>
            </w:tcBorders>
            <w:shd w:val="clear" w:color="auto" w:fill="auto"/>
          </w:tcPr>
          <w:p w14:paraId="3DD70C83" w14:textId="77777777" w:rsidR="00302BFE" w:rsidRPr="00902601" w:rsidRDefault="00302BFE" w:rsidP="00243B15">
            <w:pPr>
              <w:rPr>
                <w:highlight w:val="green"/>
              </w:rPr>
            </w:pPr>
          </w:p>
        </w:tc>
        <w:tc>
          <w:tcPr>
            <w:tcW w:w="340" w:type="dxa"/>
            <w:tcBorders>
              <w:bottom w:val="single" w:sz="4" w:space="0" w:color="auto"/>
            </w:tcBorders>
            <w:shd w:val="clear" w:color="auto" w:fill="auto"/>
          </w:tcPr>
          <w:p w14:paraId="7E07DD6B" w14:textId="77777777" w:rsidR="00302BFE" w:rsidRPr="00902601" w:rsidRDefault="00302BFE" w:rsidP="00243B15">
            <w:pPr>
              <w:rPr>
                <w:highlight w:val="green"/>
              </w:rPr>
            </w:pPr>
          </w:p>
        </w:tc>
        <w:tc>
          <w:tcPr>
            <w:tcW w:w="340" w:type="dxa"/>
            <w:tcBorders>
              <w:bottom w:val="single" w:sz="4" w:space="0" w:color="auto"/>
            </w:tcBorders>
            <w:shd w:val="clear" w:color="auto" w:fill="auto"/>
          </w:tcPr>
          <w:p w14:paraId="0EC65E4A" w14:textId="77777777" w:rsidR="00302BFE" w:rsidRPr="00902601" w:rsidRDefault="00302BFE" w:rsidP="00243B15">
            <w:pPr>
              <w:rPr>
                <w:highlight w:val="green"/>
              </w:rPr>
            </w:pPr>
          </w:p>
        </w:tc>
        <w:tc>
          <w:tcPr>
            <w:tcW w:w="340" w:type="dxa"/>
            <w:tcBorders>
              <w:bottom w:val="single" w:sz="4" w:space="0" w:color="auto"/>
            </w:tcBorders>
            <w:shd w:val="clear" w:color="auto" w:fill="auto"/>
          </w:tcPr>
          <w:p w14:paraId="6B1BFFA4" w14:textId="77777777" w:rsidR="00302BFE" w:rsidRPr="00902601" w:rsidRDefault="00302BFE" w:rsidP="00243B15">
            <w:pPr>
              <w:rPr>
                <w:highlight w:val="green"/>
              </w:rPr>
            </w:pPr>
          </w:p>
        </w:tc>
        <w:tc>
          <w:tcPr>
            <w:tcW w:w="340" w:type="dxa"/>
            <w:tcBorders>
              <w:bottom w:val="single" w:sz="4" w:space="0" w:color="auto"/>
            </w:tcBorders>
            <w:shd w:val="clear" w:color="auto" w:fill="auto"/>
          </w:tcPr>
          <w:p w14:paraId="2C2B30B6" w14:textId="77777777" w:rsidR="00302BFE" w:rsidRPr="00902601" w:rsidRDefault="00302BFE" w:rsidP="00243B15">
            <w:pPr>
              <w:rPr>
                <w:highlight w:val="green"/>
              </w:rPr>
            </w:pPr>
          </w:p>
        </w:tc>
        <w:tc>
          <w:tcPr>
            <w:tcW w:w="340" w:type="dxa"/>
            <w:shd w:val="clear" w:color="auto" w:fill="auto"/>
          </w:tcPr>
          <w:p w14:paraId="0FF892F5" w14:textId="77777777" w:rsidR="00302BFE" w:rsidRPr="00902601" w:rsidRDefault="00302BFE" w:rsidP="00243B15">
            <w:pPr>
              <w:rPr>
                <w:highlight w:val="green"/>
              </w:rPr>
            </w:pPr>
          </w:p>
        </w:tc>
      </w:tr>
      <w:tr w:rsidR="005979FD" w:rsidRPr="00902601" w14:paraId="3B6C7E3D" w14:textId="77777777" w:rsidTr="00CC2FAC">
        <w:trPr>
          <w:jc w:val="center"/>
        </w:trPr>
        <w:tc>
          <w:tcPr>
            <w:tcW w:w="5670" w:type="dxa"/>
            <w:shd w:val="clear" w:color="auto" w:fill="auto"/>
          </w:tcPr>
          <w:p w14:paraId="4E1100DD" w14:textId="77777777" w:rsidR="00302BFE" w:rsidRPr="00902601" w:rsidRDefault="00302BFE" w:rsidP="00243B15">
            <w:pPr>
              <w:rPr>
                <w:i/>
                <w:color w:val="4472C4"/>
                <w:sz w:val="16"/>
                <w:szCs w:val="16"/>
                <w:highlight w:val="green"/>
                <w:lang w:val="en-CA"/>
              </w:rPr>
            </w:pPr>
            <w:r w:rsidRPr="00902601">
              <w:rPr>
                <w:i/>
                <w:color w:val="4472C4"/>
                <w:sz w:val="16"/>
                <w:szCs w:val="16"/>
                <w:highlight w:val="green"/>
                <w:lang w:val="en-GB"/>
              </w:rPr>
              <w:t>3.1.3 Support to producers and groups</w:t>
            </w:r>
          </w:p>
        </w:tc>
        <w:tc>
          <w:tcPr>
            <w:tcW w:w="340" w:type="dxa"/>
            <w:shd w:val="clear" w:color="auto" w:fill="auto"/>
          </w:tcPr>
          <w:p w14:paraId="7D5AFB7E" w14:textId="77777777" w:rsidR="00302BFE" w:rsidRPr="00902601" w:rsidRDefault="00302BFE" w:rsidP="00243B15">
            <w:pPr>
              <w:rPr>
                <w:highlight w:val="green"/>
                <w:lang w:val="en-CA"/>
              </w:rPr>
            </w:pPr>
          </w:p>
        </w:tc>
        <w:tc>
          <w:tcPr>
            <w:tcW w:w="340" w:type="dxa"/>
            <w:shd w:val="clear" w:color="auto" w:fill="auto"/>
          </w:tcPr>
          <w:p w14:paraId="266F0F7B" w14:textId="77777777" w:rsidR="00302BFE" w:rsidRPr="00902601" w:rsidRDefault="00302BFE" w:rsidP="00243B15">
            <w:pPr>
              <w:rPr>
                <w:highlight w:val="green"/>
                <w:lang w:val="en-CA"/>
              </w:rPr>
            </w:pPr>
          </w:p>
        </w:tc>
        <w:tc>
          <w:tcPr>
            <w:tcW w:w="340" w:type="dxa"/>
            <w:shd w:val="clear" w:color="auto" w:fill="D9D9D9"/>
          </w:tcPr>
          <w:p w14:paraId="0DB19B28" w14:textId="77777777" w:rsidR="00302BFE" w:rsidRPr="00902601" w:rsidRDefault="00302BFE" w:rsidP="00243B15">
            <w:pPr>
              <w:rPr>
                <w:highlight w:val="green"/>
                <w:lang w:val="en-CA"/>
              </w:rPr>
            </w:pPr>
          </w:p>
        </w:tc>
        <w:tc>
          <w:tcPr>
            <w:tcW w:w="340" w:type="dxa"/>
            <w:shd w:val="clear" w:color="auto" w:fill="D9D9D9"/>
          </w:tcPr>
          <w:p w14:paraId="719A0D38" w14:textId="77777777" w:rsidR="00302BFE" w:rsidRPr="00902601" w:rsidRDefault="00302BFE" w:rsidP="00243B15">
            <w:pPr>
              <w:rPr>
                <w:highlight w:val="green"/>
                <w:lang w:val="en-CA"/>
              </w:rPr>
            </w:pPr>
          </w:p>
        </w:tc>
        <w:tc>
          <w:tcPr>
            <w:tcW w:w="340" w:type="dxa"/>
            <w:shd w:val="clear" w:color="auto" w:fill="D9D9D9"/>
          </w:tcPr>
          <w:p w14:paraId="3DFA0652" w14:textId="77777777" w:rsidR="00302BFE" w:rsidRPr="00902601" w:rsidRDefault="00302BFE" w:rsidP="00243B15">
            <w:pPr>
              <w:rPr>
                <w:highlight w:val="green"/>
                <w:lang w:val="en-CA"/>
              </w:rPr>
            </w:pPr>
          </w:p>
        </w:tc>
        <w:tc>
          <w:tcPr>
            <w:tcW w:w="340" w:type="dxa"/>
            <w:shd w:val="clear" w:color="auto" w:fill="D9D9D9"/>
          </w:tcPr>
          <w:p w14:paraId="3BD13DB3" w14:textId="77777777" w:rsidR="00302BFE" w:rsidRPr="00902601" w:rsidRDefault="00302BFE" w:rsidP="00243B15">
            <w:pPr>
              <w:rPr>
                <w:highlight w:val="green"/>
                <w:lang w:val="en-CA"/>
              </w:rPr>
            </w:pPr>
          </w:p>
        </w:tc>
        <w:tc>
          <w:tcPr>
            <w:tcW w:w="340" w:type="dxa"/>
            <w:shd w:val="clear" w:color="auto" w:fill="D9D9D9"/>
          </w:tcPr>
          <w:p w14:paraId="6538C18F" w14:textId="77777777" w:rsidR="00302BFE" w:rsidRPr="00902601" w:rsidRDefault="00302BFE" w:rsidP="00243B15">
            <w:pPr>
              <w:rPr>
                <w:highlight w:val="green"/>
                <w:lang w:val="en-CA"/>
              </w:rPr>
            </w:pPr>
          </w:p>
        </w:tc>
        <w:tc>
          <w:tcPr>
            <w:tcW w:w="340" w:type="dxa"/>
            <w:shd w:val="clear" w:color="auto" w:fill="D9D9D9"/>
          </w:tcPr>
          <w:p w14:paraId="4D667A5E" w14:textId="77777777" w:rsidR="00302BFE" w:rsidRPr="00902601" w:rsidRDefault="00302BFE" w:rsidP="00243B15">
            <w:pPr>
              <w:rPr>
                <w:highlight w:val="green"/>
                <w:lang w:val="en-CA"/>
              </w:rPr>
            </w:pPr>
          </w:p>
        </w:tc>
        <w:tc>
          <w:tcPr>
            <w:tcW w:w="340" w:type="dxa"/>
            <w:shd w:val="clear" w:color="auto" w:fill="D9D9D9"/>
          </w:tcPr>
          <w:p w14:paraId="6F7145CE" w14:textId="77777777" w:rsidR="00302BFE" w:rsidRPr="00902601" w:rsidRDefault="00302BFE" w:rsidP="00243B15">
            <w:pPr>
              <w:rPr>
                <w:highlight w:val="green"/>
                <w:lang w:val="en-CA"/>
              </w:rPr>
            </w:pPr>
          </w:p>
        </w:tc>
        <w:tc>
          <w:tcPr>
            <w:tcW w:w="340" w:type="dxa"/>
            <w:shd w:val="clear" w:color="auto" w:fill="D9D9D9"/>
          </w:tcPr>
          <w:p w14:paraId="678FF1FC" w14:textId="77777777" w:rsidR="00302BFE" w:rsidRPr="00902601" w:rsidRDefault="00302BFE" w:rsidP="00243B15">
            <w:pPr>
              <w:rPr>
                <w:highlight w:val="green"/>
                <w:lang w:val="en-CA"/>
              </w:rPr>
            </w:pPr>
          </w:p>
        </w:tc>
        <w:tc>
          <w:tcPr>
            <w:tcW w:w="340" w:type="dxa"/>
            <w:shd w:val="clear" w:color="auto" w:fill="D9D9D9"/>
          </w:tcPr>
          <w:p w14:paraId="18433E05" w14:textId="77777777" w:rsidR="00302BFE" w:rsidRPr="00902601" w:rsidRDefault="00302BFE" w:rsidP="00243B15">
            <w:pPr>
              <w:rPr>
                <w:highlight w:val="green"/>
                <w:lang w:val="en-CA"/>
              </w:rPr>
            </w:pPr>
          </w:p>
        </w:tc>
        <w:tc>
          <w:tcPr>
            <w:tcW w:w="340" w:type="dxa"/>
            <w:shd w:val="clear" w:color="auto" w:fill="D9D9D9"/>
          </w:tcPr>
          <w:p w14:paraId="66AF07C0" w14:textId="77777777" w:rsidR="00302BFE" w:rsidRPr="00902601" w:rsidRDefault="00302BFE" w:rsidP="00243B15">
            <w:pPr>
              <w:rPr>
                <w:highlight w:val="green"/>
                <w:lang w:val="en-CA"/>
              </w:rPr>
            </w:pPr>
          </w:p>
        </w:tc>
        <w:tc>
          <w:tcPr>
            <w:tcW w:w="340" w:type="dxa"/>
            <w:shd w:val="clear" w:color="auto" w:fill="D9D9D9"/>
          </w:tcPr>
          <w:p w14:paraId="63C94AF5" w14:textId="77777777" w:rsidR="00302BFE" w:rsidRPr="00902601" w:rsidRDefault="00302BFE" w:rsidP="00243B15">
            <w:pPr>
              <w:rPr>
                <w:highlight w:val="green"/>
                <w:lang w:val="en-CA"/>
              </w:rPr>
            </w:pPr>
          </w:p>
        </w:tc>
        <w:tc>
          <w:tcPr>
            <w:tcW w:w="340" w:type="dxa"/>
            <w:shd w:val="clear" w:color="auto" w:fill="D9D9D9"/>
          </w:tcPr>
          <w:p w14:paraId="3C4D7CA9" w14:textId="77777777" w:rsidR="00302BFE" w:rsidRPr="00902601" w:rsidRDefault="00302BFE" w:rsidP="00243B15">
            <w:pPr>
              <w:rPr>
                <w:highlight w:val="green"/>
                <w:lang w:val="en-CA"/>
              </w:rPr>
            </w:pPr>
          </w:p>
        </w:tc>
        <w:tc>
          <w:tcPr>
            <w:tcW w:w="340" w:type="dxa"/>
            <w:shd w:val="clear" w:color="auto" w:fill="D9D9D9"/>
          </w:tcPr>
          <w:p w14:paraId="03B42934" w14:textId="77777777" w:rsidR="00302BFE" w:rsidRPr="00902601" w:rsidRDefault="00302BFE" w:rsidP="00243B15">
            <w:pPr>
              <w:rPr>
                <w:highlight w:val="green"/>
                <w:lang w:val="en-CA"/>
              </w:rPr>
            </w:pPr>
          </w:p>
        </w:tc>
        <w:tc>
          <w:tcPr>
            <w:tcW w:w="340" w:type="dxa"/>
            <w:shd w:val="clear" w:color="auto" w:fill="D9D9D9"/>
          </w:tcPr>
          <w:p w14:paraId="319D6025" w14:textId="77777777" w:rsidR="00302BFE" w:rsidRPr="00902601" w:rsidRDefault="00302BFE" w:rsidP="00243B15">
            <w:pPr>
              <w:rPr>
                <w:highlight w:val="green"/>
                <w:lang w:val="en-CA"/>
              </w:rPr>
            </w:pPr>
          </w:p>
        </w:tc>
        <w:tc>
          <w:tcPr>
            <w:tcW w:w="340" w:type="dxa"/>
            <w:shd w:val="clear" w:color="auto" w:fill="D9D9D9"/>
          </w:tcPr>
          <w:p w14:paraId="7D7E4461" w14:textId="77777777" w:rsidR="00302BFE" w:rsidRPr="00902601" w:rsidRDefault="00302BFE" w:rsidP="00243B15">
            <w:pPr>
              <w:rPr>
                <w:highlight w:val="green"/>
                <w:lang w:val="en-CA"/>
              </w:rPr>
            </w:pPr>
          </w:p>
        </w:tc>
        <w:tc>
          <w:tcPr>
            <w:tcW w:w="340" w:type="dxa"/>
            <w:shd w:val="clear" w:color="auto" w:fill="D9D9D9"/>
          </w:tcPr>
          <w:p w14:paraId="70122E61" w14:textId="77777777" w:rsidR="00302BFE" w:rsidRPr="00902601" w:rsidRDefault="00302BFE" w:rsidP="00243B15">
            <w:pPr>
              <w:rPr>
                <w:highlight w:val="green"/>
                <w:lang w:val="en-CA"/>
              </w:rPr>
            </w:pPr>
          </w:p>
        </w:tc>
        <w:tc>
          <w:tcPr>
            <w:tcW w:w="340" w:type="dxa"/>
            <w:shd w:val="clear" w:color="auto" w:fill="D9D9D9"/>
          </w:tcPr>
          <w:p w14:paraId="048A23DF" w14:textId="77777777" w:rsidR="00302BFE" w:rsidRPr="00902601" w:rsidRDefault="00302BFE" w:rsidP="00243B15">
            <w:pPr>
              <w:rPr>
                <w:highlight w:val="green"/>
                <w:lang w:val="en-CA"/>
              </w:rPr>
            </w:pPr>
          </w:p>
        </w:tc>
        <w:tc>
          <w:tcPr>
            <w:tcW w:w="340" w:type="dxa"/>
            <w:shd w:val="clear" w:color="auto" w:fill="D9D9D9"/>
          </w:tcPr>
          <w:p w14:paraId="428ED364" w14:textId="77777777" w:rsidR="00302BFE" w:rsidRPr="00902601" w:rsidRDefault="00302BFE" w:rsidP="00243B15">
            <w:pPr>
              <w:rPr>
                <w:highlight w:val="green"/>
                <w:lang w:val="en-CA"/>
              </w:rPr>
            </w:pPr>
          </w:p>
        </w:tc>
        <w:tc>
          <w:tcPr>
            <w:tcW w:w="340" w:type="dxa"/>
            <w:shd w:val="clear" w:color="auto" w:fill="D9D9D9"/>
          </w:tcPr>
          <w:p w14:paraId="7C5071B3" w14:textId="77777777" w:rsidR="00302BFE" w:rsidRPr="00902601" w:rsidRDefault="00302BFE" w:rsidP="00243B15">
            <w:pPr>
              <w:rPr>
                <w:highlight w:val="green"/>
                <w:lang w:val="en-CA"/>
              </w:rPr>
            </w:pPr>
          </w:p>
        </w:tc>
        <w:tc>
          <w:tcPr>
            <w:tcW w:w="340" w:type="dxa"/>
            <w:shd w:val="clear" w:color="auto" w:fill="D9D9D9"/>
          </w:tcPr>
          <w:p w14:paraId="3526E015" w14:textId="77777777" w:rsidR="00302BFE" w:rsidRPr="00902601" w:rsidRDefault="00302BFE" w:rsidP="00243B15">
            <w:pPr>
              <w:rPr>
                <w:highlight w:val="green"/>
                <w:lang w:val="en-CA"/>
              </w:rPr>
            </w:pPr>
          </w:p>
        </w:tc>
        <w:tc>
          <w:tcPr>
            <w:tcW w:w="340" w:type="dxa"/>
            <w:shd w:val="clear" w:color="auto" w:fill="D9D9D9"/>
          </w:tcPr>
          <w:p w14:paraId="2F6F4971" w14:textId="77777777" w:rsidR="00302BFE" w:rsidRPr="00902601" w:rsidRDefault="00302BFE" w:rsidP="00243B15">
            <w:pPr>
              <w:rPr>
                <w:highlight w:val="green"/>
                <w:lang w:val="en-CA"/>
              </w:rPr>
            </w:pPr>
          </w:p>
        </w:tc>
        <w:tc>
          <w:tcPr>
            <w:tcW w:w="340" w:type="dxa"/>
            <w:shd w:val="clear" w:color="auto" w:fill="auto"/>
          </w:tcPr>
          <w:p w14:paraId="5B613649" w14:textId="77777777" w:rsidR="00302BFE" w:rsidRPr="00902601" w:rsidRDefault="00302BFE" w:rsidP="00243B15">
            <w:pPr>
              <w:rPr>
                <w:highlight w:val="green"/>
                <w:lang w:val="en-CA"/>
              </w:rPr>
            </w:pPr>
          </w:p>
        </w:tc>
      </w:tr>
      <w:tr w:rsidR="00302BFE" w:rsidRPr="00902601" w14:paraId="47B2A09B" w14:textId="77777777" w:rsidTr="00243B15">
        <w:trPr>
          <w:jc w:val="center"/>
        </w:trPr>
        <w:tc>
          <w:tcPr>
            <w:tcW w:w="5670" w:type="dxa"/>
            <w:shd w:val="clear" w:color="auto" w:fill="auto"/>
          </w:tcPr>
          <w:p w14:paraId="4C33BD55" w14:textId="77777777" w:rsidR="00302BFE" w:rsidRPr="00902601" w:rsidRDefault="00302BFE" w:rsidP="00243B15">
            <w:pPr>
              <w:rPr>
                <w:i/>
                <w:color w:val="4472C4"/>
                <w:sz w:val="16"/>
                <w:szCs w:val="16"/>
                <w:highlight w:val="green"/>
                <w:lang w:val="en-CA"/>
              </w:rPr>
            </w:pPr>
            <w:r w:rsidRPr="00902601">
              <w:rPr>
                <w:sz w:val="16"/>
                <w:szCs w:val="16"/>
                <w:highlight w:val="green"/>
                <w:lang w:val="en-CA"/>
              </w:rPr>
              <w:t>Output 3.2 The management of natural resources in forests and community pastoral areas is improved</w:t>
            </w:r>
            <w:r w:rsidRPr="00902601">
              <w:rPr>
                <w:b/>
                <w:sz w:val="16"/>
                <w:szCs w:val="16"/>
                <w:highlight w:val="green"/>
                <w:lang w:val="en-GB"/>
              </w:rPr>
              <w:t xml:space="preserve"> </w:t>
            </w:r>
          </w:p>
        </w:tc>
        <w:tc>
          <w:tcPr>
            <w:tcW w:w="8160" w:type="dxa"/>
            <w:gridSpan w:val="24"/>
            <w:shd w:val="clear" w:color="auto" w:fill="auto"/>
          </w:tcPr>
          <w:p w14:paraId="77F3312E" w14:textId="77777777" w:rsidR="00302BFE" w:rsidRPr="00902601" w:rsidRDefault="00302BFE" w:rsidP="00243B15">
            <w:pPr>
              <w:rPr>
                <w:highlight w:val="green"/>
                <w:lang w:val="en-CA"/>
              </w:rPr>
            </w:pPr>
          </w:p>
        </w:tc>
      </w:tr>
      <w:tr w:rsidR="00EC409B" w:rsidRPr="00902601" w14:paraId="31BB85DA" w14:textId="77777777" w:rsidTr="00755BF9">
        <w:trPr>
          <w:jc w:val="center"/>
        </w:trPr>
        <w:tc>
          <w:tcPr>
            <w:tcW w:w="5670" w:type="dxa"/>
            <w:shd w:val="clear" w:color="auto" w:fill="auto"/>
          </w:tcPr>
          <w:p w14:paraId="2AC82D8E" w14:textId="77777777" w:rsidR="00302BFE" w:rsidRPr="00902601" w:rsidRDefault="00302BFE" w:rsidP="00243B15">
            <w:pPr>
              <w:rPr>
                <w:i/>
                <w:color w:val="4472C4"/>
                <w:sz w:val="16"/>
                <w:szCs w:val="16"/>
                <w:highlight w:val="green"/>
                <w:lang w:val="en-CA"/>
              </w:rPr>
            </w:pPr>
            <w:r w:rsidRPr="00902601">
              <w:rPr>
                <w:i/>
                <w:color w:val="4472C4"/>
                <w:sz w:val="16"/>
                <w:szCs w:val="16"/>
                <w:highlight w:val="green"/>
                <w:lang w:val="en-GB"/>
              </w:rPr>
              <w:t>3.2.1 Development of simplified zoning plans for community-managed forests, and improvement of forest management</w:t>
            </w:r>
          </w:p>
        </w:tc>
        <w:tc>
          <w:tcPr>
            <w:tcW w:w="340" w:type="dxa"/>
            <w:shd w:val="clear" w:color="auto" w:fill="auto"/>
          </w:tcPr>
          <w:p w14:paraId="5C8872DB" w14:textId="77777777" w:rsidR="00302BFE" w:rsidRPr="00902601" w:rsidRDefault="00302BFE" w:rsidP="00243B15">
            <w:pPr>
              <w:rPr>
                <w:highlight w:val="green"/>
                <w:lang w:val="en-CA"/>
              </w:rPr>
            </w:pPr>
          </w:p>
        </w:tc>
        <w:tc>
          <w:tcPr>
            <w:tcW w:w="340" w:type="dxa"/>
            <w:shd w:val="clear" w:color="auto" w:fill="auto"/>
          </w:tcPr>
          <w:p w14:paraId="79AB2654" w14:textId="77777777" w:rsidR="00302BFE" w:rsidRPr="00902601" w:rsidRDefault="00302BFE" w:rsidP="00243B15">
            <w:pPr>
              <w:rPr>
                <w:highlight w:val="green"/>
                <w:lang w:val="en-CA"/>
              </w:rPr>
            </w:pPr>
          </w:p>
        </w:tc>
        <w:tc>
          <w:tcPr>
            <w:tcW w:w="340" w:type="dxa"/>
            <w:shd w:val="clear" w:color="auto" w:fill="auto"/>
          </w:tcPr>
          <w:p w14:paraId="35EA5E80" w14:textId="77777777" w:rsidR="00302BFE" w:rsidRPr="00902601" w:rsidRDefault="00302BFE" w:rsidP="00243B15">
            <w:pPr>
              <w:rPr>
                <w:highlight w:val="green"/>
                <w:lang w:val="en-CA"/>
              </w:rPr>
            </w:pPr>
          </w:p>
        </w:tc>
        <w:tc>
          <w:tcPr>
            <w:tcW w:w="340" w:type="dxa"/>
            <w:shd w:val="clear" w:color="auto" w:fill="auto"/>
          </w:tcPr>
          <w:p w14:paraId="7B38233F"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33AD246B"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145AF284"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00167D09"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79C775E4"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7402B1CC"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266BE469"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14264905"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1BCBF320"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7A3ACFD7"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3D44544E"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01630F14"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50462478"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2DF1DDE5"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32DA7861"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0248E115"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40EF8CD0"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40F9EB85"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4ECD23A2"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2EDCE148" w14:textId="77777777" w:rsidR="00302BFE" w:rsidRPr="00902601" w:rsidRDefault="00302BFE" w:rsidP="00243B15">
            <w:pPr>
              <w:rPr>
                <w:highlight w:val="green"/>
                <w:lang w:val="en-CA"/>
              </w:rPr>
            </w:pPr>
          </w:p>
        </w:tc>
        <w:tc>
          <w:tcPr>
            <w:tcW w:w="340" w:type="dxa"/>
            <w:shd w:val="clear" w:color="auto" w:fill="auto"/>
          </w:tcPr>
          <w:p w14:paraId="6ABB626B" w14:textId="77777777" w:rsidR="00302BFE" w:rsidRPr="00902601" w:rsidRDefault="00302BFE" w:rsidP="00243B15">
            <w:pPr>
              <w:rPr>
                <w:highlight w:val="green"/>
                <w:lang w:val="en-CA"/>
              </w:rPr>
            </w:pPr>
          </w:p>
        </w:tc>
      </w:tr>
      <w:tr w:rsidR="005979FD" w:rsidRPr="00902601" w14:paraId="7CBE6F87" w14:textId="77777777" w:rsidTr="00CC2FAC">
        <w:trPr>
          <w:jc w:val="center"/>
        </w:trPr>
        <w:tc>
          <w:tcPr>
            <w:tcW w:w="5670" w:type="dxa"/>
            <w:shd w:val="clear" w:color="auto" w:fill="auto"/>
          </w:tcPr>
          <w:p w14:paraId="020AD404" w14:textId="77777777" w:rsidR="00302BFE" w:rsidRPr="00902601" w:rsidRDefault="00302BFE" w:rsidP="00243B15">
            <w:pPr>
              <w:rPr>
                <w:i/>
                <w:color w:val="4472C4"/>
                <w:sz w:val="16"/>
                <w:szCs w:val="16"/>
                <w:highlight w:val="green"/>
                <w:lang w:val="en-CA"/>
              </w:rPr>
            </w:pPr>
            <w:r w:rsidRPr="00902601">
              <w:rPr>
                <w:i/>
                <w:color w:val="4472C4"/>
                <w:sz w:val="16"/>
                <w:szCs w:val="16"/>
                <w:highlight w:val="green"/>
                <w:lang w:val="en-GB"/>
              </w:rPr>
              <w:lastRenderedPageBreak/>
              <w:t>3.2.2 Promotion of best practices for rangeland and pasture management including specific strategies for managing pastoralism at the local level</w:t>
            </w:r>
          </w:p>
        </w:tc>
        <w:tc>
          <w:tcPr>
            <w:tcW w:w="340" w:type="dxa"/>
            <w:shd w:val="clear" w:color="auto" w:fill="auto"/>
          </w:tcPr>
          <w:p w14:paraId="74744C6E" w14:textId="77777777" w:rsidR="00302BFE" w:rsidRPr="00902601" w:rsidRDefault="00302BFE" w:rsidP="00243B15">
            <w:pPr>
              <w:rPr>
                <w:highlight w:val="green"/>
                <w:lang w:val="en-CA"/>
              </w:rPr>
            </w:pPr>
          </w:p>
        </w:tc>
        <w:tc>
          <w:tcPr>
            <w:tcW w:w="340" w:type="dxa"/>
            <w:shd w:val="clear" w:color="auto" w:fill="auto"/>
          </w:tcPr>
          <w:p w14:paraId="2CA513E5" w14:textId="77777777" w:rsidR="00302BFE" w:rsidRPr="00902601" w:rsidRDefault="00302BFE" w:rsidP="00243B15">
            <w:pPr>
              <w:rPr>
                <w:highlight w:val="green"/>
                <w:lang w:val="en-CA"/>
              </w:rPr>
            </w:pPr>
          </w:p>
        </w:tc>
        <w:tc>
          <w:tcPr>
            <w:tcW w:w="340" w:type="dxa"/>
            <w:shd w:val="clear" w:color="auto" w:fill="auto"/>
          </w:tcPr>
          <w:p w14:paraId="53F91361" w14:textId="77777777" w:rsidR="00302BFE" w:rsidRPr="00902601" w:rsidRDefault="00302BFE" w:rsidP="00243B15">
            <w:pPr>
              <w:rPr>
                <w:highlight w:val="green"/>
                <w:lang w:val="en-CA"/>
              </w:rPr>
            </w:pPr>
          </w:p>
        </w:tc>
        <w:tc>
          <w:tcPr>
            <w:tcW w:w="340" w:type="dxa"/>
            <w:shd w:val="clear" w:color="auto" w:fill="auto"/>
          </w:tcPr>
          <w:p w14:paraId="15694C41" w14:textId="77777777" w:rsidR="00302BFE" w:rsidRPr="00902601" w:rsidRDefault="00302BFE" w:rsidP="00243B15">
            <w:pPr>
              <w:rPr>
                <w:highlight w:val="green"/>
                <w:lang w:val="en-CA"/>
              </w:rPr>
            </w:pPr>
          </w:p>
        </w:tc>
        <w:tc>
          <w:tcPr>
            <w:tcW w:w="340" w:type="dxa"/>
            <w:shd w:val="clear" w:color="auto" w:fill="D9D9D9"/>
          </w:tcPr>
          <w:p w14:paraId="039F0F31" w14:textId="77777777" w:rsidR="00302BFE" w:rsidRPr="00902601" w:rsidRDefault="00302BFE" w:rsidP="00243B15">
            <w:pPr>
              <w:rPr>
                <w:highlight w:val="green"/>
                <w:lang w:val="en-CA"/>
              </w:rPr>
            </w:pPr>
          </w:p>
        </w:tc>
        <w:tc>
          <w:tcPr>
            <w:tcW w:w="340" w:type="dxa"/>
            <w:shd w:val="clear" w:color="auto" w:fill="D9D9D9"/>
          </w:tcPr>
          <w:p w14:paraId="08167969" w14:textId="77777777" w:rsidR="00302BFE" w:rsidRPr="00902601" w:rsidRDefault="00302BFE" w:rsidP="00243B15">
            <w:pPr>
              <w:rPr>
                <w:highlight w:val="green"/>
                <w:lang w:val="en-CA"/>
              </w:rPr>
            </w:pPr>
          </w:p>
        </w:tc>
        <w:tc>
          <w:tcPr>
            <w:tcW w:w="340" w:type="dxa"/>
            <w:shd w:val="clear" w:color="auto" w:fill="D9D9D9"/>
          </w:tcPr>
          <w:p w14:paraId="613C63DF" w14:textId="77777777" w:rsidR="00302BFE" w:rsidRPr="00902601" w:rsidRDefault="00302BFE" w:rsidP="00243B15">
            <w:pPr>
              <w:rPr>
                <w:highlight w:val="green"/>
                <w:lang w:val="en-CA"/>
              </w:rPr>
            </w:pPr>
          </w:p>
        </w:tc>
        <w:tc>
          <w:tcPr>
            <w:tcW w:w="340" w:type="dxa"/>
            <w:shd w:val="clear" w:color="auto" w:fill="D9D9D9"/>
          </w:tcPr>
          <w:p w14:paraId="64D03ABA" w14:textId="77777777" w:rsidR="00302BFE" w:rsidRPr="00902601" w:rsidRDefault="00302BFE" w:rsidP="00243B15">
            <w:pPr>
              <w:rPr>
                <w:highlight w:val="green"/>
                <w:lang w:val="en-CA"/>
              </w:rPr>
            </w:pPr>
          </w:p>
        </w:tc>
        <w:tc>
          <w:tcPr>
            <w:tcW w:w="340" w:type="dxa"/>
            <w:shd w:val="clear" w:color="auto" w:fill="D9D9D9"/>
          </w:tcPr>
          <w:p w14:paraId="2369CDCF" w14:textId="77777777" w:rsidR="00302BFE" w:rsidRPr="00902601" w:rsidRDefault="00302BFE" w:rsidP="00243B15">
            <w:pPr>
              <w:rPr>
                <w:highlight w:val="green"/>
                <w:lang w:val="en-CA"/>
              </w:rPr>
            </w:pPr>
          </w:p>
        </w:tc>
        <w:tc>
          <w:tcPr>
            <w:tcW w:w="340" w:type="dxa"/>
            <w:shd w:val="clear" w:color="auto" w:fill="D9D9D9"/>
          </w:tcPr>
          <w:p w14:paraId="2D0948AE" w14:textId="77777777" w:rsidR="00302BFE" w:rsidRPr="00902601" w:rsidRDefault="00302BFE" w:rsidP="00243B15">
            <w:pPr>
              <w:rPr>
                <w:highlight w:val="green"/>
                <w:lang w:val="en-CA"/>
              </w:rPr>
            </w:pPr>
          </w:p>
        </w:tc>
        <w:tc>
          <w:tcPr>
            <w:tcW w:w="340" w:type="dxa"/>
            <w:shd w:val="clear" w:color="auto" w:fill="D9D9D9"/>
          </w:tcPr>
          <w:p w14:paraId="583603D1" w14:textId="77777777" w:rsidR="00302BFE" w:rsidRPr="00902601" w:rsidRDefault="00302BFE" w:rsidP="00243B15">
            <w:pPr>
              <w:rPr>
                <w:highlight w:val="green"/>
                <w:lang w:val="en-CA"/>
              </w:rPr>
            </w:pPr>
          </w:p>
        </w:tc>
        <w:tc>
          <w:tcPr>
            <w:tcW w:w="340" w:type="dxa"/>
            <w:shd w:val="clear" w:color="auto" w:fill="D9D9D9"/>
          </w:tcPr>
          <w:p w14:paraId="2B3D4324" w14:textId="77777777" w:rsidR="00302BFE" w:rsidRPr="00902601" w:rsidRDefault="00302BFE" w:rsidP="00243B15">
            <w:pPr>
              <w:rPr>
                <w:highlight w:val="green"/>
                <w:lang w:val="en-CA"/>
              </w:rPr>
            </w:pPr>
          </w:p>
        </w:tc>
        <w:tc>
          <w:tcPr>
            <w:tcW w:w="340" w:type="dxa"/>
            <w:shd w:val="clear" w:color="auto" w:fill="D9D9D9"/>
          </w:tcPr>
          <w:p w14:paraId="68458A3A" w14:textId="77777777" w:rsidR="00302BFE" w:rsidRPr="00902601" w:rsidRDefault="00302BFE" w:rsidP="00243B15">
            <w:pPr>
              <w:rPr>
                <w:highlight w:val="green"/>
                <w:lang w:val="en-CA"/>
              </w:rPr>
            </w:pPr>
          </w:p>
        </w:tc>
        <w:tc>
          <w:tcPr>
            <w:tcW w:w="340" w:type="dxa"/>
            <w:shd w:val="clear" w:color="auto" w:fill="D9D9D9"/>
          </w:tcPr>
          <w:p w14:paraId="4ED4BE38" w14:textId="77777777" w:rsidR="00302BFE" w:rsidRPr="00902601" w:rsidRDefault="00302BFE" w:rsidP="00243B15">
            <w:pPr>
              <w:rPr>
                <w:highlight w:val="green"/>
                <w:lang w:val="en-CA"/>
              </w:rPr>
            </w:pPr>
          </w:p>
        </w:tc>
        <w:tc>
          <w:tcPr>
            <w:tcW w:w="340" w:type="dxa"/>
            <w:shd w:val="clear" w:color="auto" w:fill="D9D9D9"/>
          </w:tcPr>
          <w:p w14:paraId="52923A71" w14:textId="77777777" w:rsidR="00302BFE" w:rsidRPr="00902601" w:rsidRDefault="00302BFE" w:rsidP="00243B15">
            <w:pPr>
              <w:rPr>
                <w:highlight w:val="green"/>
                <w:lang w:val="en-CA"/>
              </w:rPr>
            </w:pPr>
          </w:p>
        </w:tc>
        <w:tc>
          <w:tcPr>
            <w:tcW w:w="340" w:type="dxa"/>
            <w:shd w:val="clear" w:color="auto" w:fill="D9D9D9"/>
          </w:tcPr>
          <w:p w14:paraId="4ED8E18F" w14:textId="77777777" w:rsidR="00302BFE" w:rsidRPr="00902601" w:rsidRDefault="00302BFE" w:rsidP="00243B15">
            <w:pPr>
              <w:rPr>
                <w:highlight w:val="green"/>
                <w:lang w:val="en-CA"/>
              </w:rPr>
            </w:pPr>
          </w:p>
        </w:tc>
        <w:tc>
          <w:tcPr>
            <w:tcW w:w="340" w:type="dxa"/>
            <w:shd w:val="clear" w:color="auto" w:fill="D9D9D9"/>
          </w:tcPr>
          <w:p w14:paraId="715202FD" w14:textId="77777777" w:rsidR="00302BFE" w:rsidRPr="00902601" w:rsidRDefault="00302BFE" w:rsidP="00243B15">
            <w:pPr>
              <w:rPr>
                <w:highlight w:val="green"/>
                <w:lang w:val="en-CA"/>
              </w:rPr>
            </w:pPr>
          </w:p>
        </w:tc>
        <w:tc>
          <w:tcPr>
            <w:tcW w:w="340" w:type="dxa"/>
            <w:shd w:val="clear" w:color="auto" w:fill="D9D9D9"/>
          </w:tcPr>
          <w:p w14:paraId="72498E28" w14:textId="77777777" w:rsidR="00302BFE" w:rsidRPr="00902601" w:rsidRDefault="00302BFE" w:rsidP="00243B15">
            <w:pPr>
              <w:rPr>
                <w:highlight w:val="green"/>
                <w:lang w:val="en-CA"/>
              </w:rPr>
            </w:pPr>
          </w:p>
        </w:tc>
        <w:tc>
          <w:tcPr>
            <w:tcW w:w="340" w:type="dxa"/>
            <w:shd w:val="clear" w:color="auto" w:fill="D9D9D9"/>
          </w:tcPr>
          <w:p w14:paraId="0ADF8441" w14:textId="77777777" w:rsidR="00302BFE" w:rsidRPr="00902601" w:rsidRDefault="00302BFE" w:rsidP="00243B15">
            <w:pPr>
              <w:rPr>
                <w:highlight w:val="green"/>
                <w:lang w:val="en-CA"/>
              </w:rPr>
            </w:pPr>
          </w:p>
        </w:tc>
        <w:tc>
          <w:tcPr>
            <w:tcW w:w="340" w:type="dxa"/>
            <w:shd w:val="clear" w:color="auto" w:fill="D9D9D9"/>
          </w:tcPr>
          <w:p w14:paraId="3BE15E7F" w14:textId="77777777" w:rsidR="00302BFE" w:rsidRPr="00902601" w:rsidRDefault="00302BFE" w:rsidP="00243B15">
            <w:pPr>
              <w:rPr>
                <w:highlight w:val="green"/>
                <w:lang w:val="en-CA"/>
              </w:rPr>
            </w:pPr>
          </w:p>
        </w:tc>
        <w:tc>
          <w:tcPr>
            <w:tcW w:w="340" w:type="dxa"/>
            <w:shd w:val="clear" w:color="auto" w:fill="D9D9D9"/>
          </w:tcPr>
          <w:p w14:paraId="4FF30068" w14:textId="77777777" w:rsidR="00302BFE" w:rsidRPr="00902601" w:rsidRDefault="00302BFE" w:rsidP="00243B15">
            <w:pPr>
              <w:rPr>
                <w:highlight w:val="green"/>
                <w:lang w:val="en-CA"/>
              </w:rPr>
            </w:pPr>
          </w:p>
        </w:tc>
        <w:tc>
          <w:tcPr>
            <w:tcW w:w="340" w:type="dxa"/>
            <w:shd w:val="clear" w:color="auto" w:fill="D9D9D9"/>
          </w:tcPr>
          <w:p w14:paraId="3863808E" w14:textId="77777777" w:rsidR="00302BFE" w:rsidRPr="00902601" w:rsidRDefault="00302BFE" w:rsidP="00243B15">
            <w:pPr>
              <w:rPr>
                <w:highlight w:val="green"/>
                <w:lang w:val="en-CA"/>
              </w:rPr>
            </w:pPr>
          </w:p>
        </w:tc>
        <w:tc>
          <w:tcPr>
            <w:tcW w:w="340" w:type="dxa"/>
            <w:shd w:val="clear" w:color="auto" w:fill="D9D9D9"/>
          </w:tcPr>
          <w:p w14:paraId="5C479B34" w14:textId="77777777" w:rsidR="00302BFE" w:rsidRPr="00902601" w:rsidRDefault="00302BFE" w:rsidP="00243B15">
            <w:pPr>
              <w:rPr>
                <w:highlight w:val="green"/>
                <w:lang w:val="en-CA"/>
              </w:rPr>
            </w:pPr>
          </w:p>
        </w:tc>
        <w:tc>
          <w:tcPr>
            <w:tcW w:w="340" w:type="dxa"/>
            <w:shd w:val="clear" w:color="auto" w:fill="auto"/>
          </w:tcPr>
          <w:p w14:paraId="421A0F01" w14:textId="77777777" w:rsidR="00302BFE" w:rsidRPr="00902601" w:rsidRDefault="00302BFE" w:rsidP="00243B15">
            <w:pPr>
              <w:rPr>
                <w:highlight w:val="green"/>
                <w:lang w:val="en-CA"/>
              </w:rPr>
            </w:pPr>
          </w:p>
        </w:tc>
      </w:tr>
      <w:tr w:rsidR="005979FD" w:rsidRPr="00902601" w14:paraId="6C876AD7" w14:textId="77777777" w:rsidTr="00CC2FAC">
        <w:trPr>
          <w:jc w:val="center"/>
        </w:trPr>
        <w:tc>
          <w:tcPr>
            <w:tcW w:w="5670" w:type="dxa"/>
            <w:shd w:val="clear" w:color="auto" w:fill="auto"/>
          </w:tcPr>
          <w:p w14:paraId="30C989E7" w14:textId="77777777" w:rsidR="00302BFE" w:rsidRPr="00902601" w:rsidRDefault="00302BFE" w:rsidP="00243B15">
            <w:pPr>
              <w:rPr>
                <w:i/>
                <w:color w:val="4472C4"/>
                <w:sz w:val="16"/>
                <w:szCs w:val="16"/>
                <w:highlight w:val="green"/>
                <w:lang w:val="en-CA"/>
              </w:rPr>
            </w:pPr>
            <w:r w:rsidRPr="00902601">
              <w:rPr>
                <w:i/>
                <w:color w:val="4472C4"/>
                <w:sz w:val="16"/>
                <w:szCs w:val="16"/>
                <w:highlight w:val="green"/>
                <w:lang w:val="en-CA"/>
              </w:rPr>
              <w:t>3.2.3 Revising the Forest Management Worksites Model</w:t>
            </w:r>
          </w:p>
        </w:tc>
        <w:tc>
          <w:tcPr>
            <w:tcW w:w="340" w:type="dxa"/>
            <w:shd w:val="clear" w:color="auto" w:fill="auto"/>
          </w:tcPr>
          <w:p w14:paraId="3EBC2023" w14:textId="77777777" w:rsidR="00302BFE" w:rsidRPr="00902601" w:rsidRDefault="00302BFE" w:rsidP="00243B15">
            <w:pPr>
              <w:rPr>
                <w:highlight w:val="green"/>
                <w:lang w:val="en-CA"/>
              </w:rPr>
            </w:pPr>
          </w:p>
        </w:tc>
        <w:tc>
          <w:tcPr>
            <w:tcW w:w="340" w:type="dxa"/>
            <w:shd w:val="clear" w:color="auto" w:fill="auto"/>
          </w:tcPr>
          <w:p w14:paraId="5229A18D" w14:textId="77777777" w:rsidR="00302BFE" w:rsidRPr="00902601" w:rsidRDefault="00302BFE" w:rsidP="00243B15">
            <w:pPr>
              <w:rPr>
                <w:highlight w:val="green"/>
                <w:lang w:val="en-CA"/>
              </w:rPr>
            </w:pPr>
          </w:p>
        </w:tc>
        <w:tc>
          <w:tcPr>
            <w:tcW w:w="340" w:type="dxa"/>
            <w:shd w:val="clear" w:color="auto" w:fill="auto"/>
          </w:tcPr>
          <w:p w14:paraId="222778F7" w14:textId="77777777" w:rsidR="00302BFE" w:rsidRPr="00902601" w:rsidRDefault="00302BFE" w:rsidP="00243B15">
            <w:pPr>
              <w:rPr>
                <w:highlight w:val="green"/>
                <w:lang w:val="en-CA"/>
              </w:rPr>
            </w:pPr>
          </w:p>
        </w:tc>
        <w:tc>
          <w:tcPr>
            <w:tcW w:w="340" w:type="dxa"/>
            <w:shd w:val="clear" w:color="auto" w:fill="auto"/>
          </w:tcPr>
          <w:p w14:paraId="5F584DEE" w14:textId="77777777" w:rsidR="00302BFE" w:rsidRPr="00902601" w:rsidRDefault="00302BFE" w:rsidP="00243B15">
            <w:pPr>
              <w:rPr>
                <w:highlight w:val="green"/>
                <w:lang w:val="en-CA"/>
              </w:rPr>
            </w:pPr>
          </w:p>
        </w:tc>
        <w:tc>
          <w:tcPr>
            <w:tcW w:w="340" w:type="dxa"/>
            <w:shd w:val="clear" w:color="auto" w:fill="D9D9D9"/>
          </w:tcPr>
          <w:p w14:paraId="59B2981F" w14:textId="77777777" w:rsidR="00302BFE" w:rsidRPr="00902601" w:rsidRDefault="00302BFE" w:rsidP="00243B15">
            <w:pPr>
              <w:rPr>
                <w:highlight w:val="green"/>
                <w:lang w:val="en-CA"/>
              </w:rPr>
            </w:pPr>
          </w:p>
        </w:tc>
        <w:tc>
          <w:tcPr>
            <w:tcW w:w="340" w:type="dxa"/>
            <w:shd w:val="clear" w:color="auto" w:fill="D9D9D9"/>
          </w:tcPr>
          <w:p w14:paraId="3382D659" w14:textId="77777777" w:rsidR="00302BFE" w:rsidRPr="00902601" w:rsidRDefault="00302BFE" w:rsidP="00243B15">
            <w:pPr>
              <w:rPr>
                <w:highlight w:val="green"/>
                <w:lang w:val="en-CA"/>
              </w:rPr>
            </w:pPr>
          </w:p>
        </w:tc>
        <w:tc>
          <w:tcPr>
            <w:tcW w:w="340" w:type="dxa"/>
            <w:shd w:val="clear" w:color="auto" w:fill="D9D9D9"/>
          </w:tcPr>
          <w:p w14:paraId="3D65DC30" w14:textId="77777777" w:rsidR="00302BFE" w:rsidRPr="00902601" w:rsidRDefault="00302BFE" w:rsidP="00243B15">
            <w:pPr>
              <w:rPr>
                <w:highlight w:val="green"/>
                <w:lang w:val="en-CA"/>
              </w:rPr>
            </w:pPr>
          </w:p>
        </w:tc>
        <w:tc>
          <w:tcPr>
            <w:tcW w:w="340" w:type="dxa"/>
            <w:shd w:val="clear" w:color="auto" w:fill="D9D9D9"/>
          </w:tcPr>
          <w:p w14:paraId="07BCFEB3" w14:textId="77777777" w:rsidR="00302BFE" w:rsidRPr="00902601" w:rsidRDefault="00302BFE" w:rsidP="00243B15">
            <w:pPr>
              <w:rPr>
                <w:highlight w:val="green"/>
                <w:lang w:val="en-CA"/>
              </w:rPr>
            </w:pPr>
          </w:p>
        </w:tc>
        <w:tc>
          <w:tcPr>
            <w:tcW w:w="340" w:type="dxa"/>
            <w:shd w:val="clear" w:color="auto" w:fill="D9D9D9"/>
          </w:tcPr>
          <w:p w14:paraId="7883C3A9" w14:textId="77777777" w:rsidR="00302BFE" w:rsidRPr="00902601" w:rsidRDefault="00302BFE" w:rsidP="00243B15">
            <w:pPr>
              <w:rPr>
                <w:highlight w:val="green"/>
                <w:lang w:val="en-CA"/>
              </w:rPr>
            </w:pPr>
          </w:p>
        </w:tc>
        <w:tc>
          <w:tcPr>
            <w:tcW w:w="340" w:type="dxa"/>
            <w:shd w:val="clear" w:color="auto" w:fill="D9D9D9"/>
          </w:tcPr>
          <w:p w14:paraId="71F611CB" w14:textId="77777777" w:rsidR="00302BFE" w:rsidRPr="00902601" w:rsidRDefault="00302BFE" w:rsidP="00243B15">
            <w:pPr>
              <w:rPr>
                <w:highlight w:val="green"/>
                <w:lang w:val="en-CA"/>
              </w:rPr>
            </w:pPr>
          </w:p>
        </w:tc>
        <w:tc>
          <w:tcPr>
            <w:tcW w:w="340" w:type="dxa"/>
            <w:shd w:val="clear" w:color="auto" w:fill="D9D9D9"/>
          </w:tcPr>
          <w:p w14:paraId="08158C11" w14:textId="77777777" w:rsidR="00302BFE" w:rsidRPr="00902601" w:rsidRDefault="00302BFE" w:rsidP="00243B15">
            <w:pPr>
              <w:rPr>
                <w:highlight w:val="green"/>
                <w:lang w:val="en-CA"/>
              </w:rPr>
            </w:pPr>
          </w:p>
        </w:tc>
        <w:tc>
          <w:tcPr>
            <w:tcW w:w="340" w:type="dxa"/>
            <w:shd w:val="clear" w:color="auto" w:fill="D9D9D9"/>
          </w:tcPr>
          <w:p w14:paraId="3DAB0A45" w14:textId="77777777" w:rsidR="00302BFE" w:rsidRPr="00902601" w:rsidRDefault="00302BFE" w:rsidP="00243B15">
            <w:pPr>
              <w:rPr>
                <w:highlight w:val="green"/>
                <w:lang w:val="en-CA"/>
              </w:rPr>
            </w:pPr>
          </w:p>
        </w:tc>
        <w:tc>
          <w:tcPr>
            <w:tcW w:w="340" w:type="dxa"/>
            <w:shd w:val="clear" w:color="auto" w:fill="D9D9D9"/>
          </w:tcPr>
          <w:p w14:paraId="65B5C557" w14:textId="77777777" w:rsidR="00302BFE" w:rsidRPr="00902601" w:rsidRDefault="00302BFE" w:rsidP="00243B15">
            <w:pPr>
              <w:rPr>
                <w:highlight w:val="green"/>
                <w:lang w:val="en-CA"/>
              </w:rPr>
            </w:pPr>
          </w:p>
        </w:tc>
        <w:tc>
          <w:tcPr>
            <w:tcW w:w="340" w:type="dxa"/>
            <w:shd w:val="clear" w:color="auto" w:fill="D9D9D9"/>
          </w:tcPr>
          <w:p w14:paraId="0960975D" w14:textId="77777777" w:rsidR="00302BFE" w:rsidRPr="00902601" w:rsidRDefault="00302BFE" w:rsidP="00243B15">
            <w:pPr>
              <w:rPr>
                <w:highlight w:val="green"/>
                <w:lang w:val="en-CA"/>
              </w:rPr>
            </w:pPr>
          </w:p>
        </w:tc>
        <w:tc>
          <w:tcPr>
            <w:tcW w:w="340" w:type="dxa"/>
            <w:shd w:val="clear" w:color="auto" w:fill="D9D9D9"/>
          </w:tcPr>
          <w:p w14:paraId="599B8ED2" w14:textId="77777777" w:rsidR="00302BFE" w:rsidRPr="00902601" w:rsidRDefault="00302BFE" w:rsidP="00243B15">
            <w:pPr>
              <w:rPr>
                <w:highlight w:val="green"/>
                <w:lang w:val="en-CA"/>
              </w:rPr>
            </w:pPr>
          </w:p>
        </w:tc>
        <w:tc>
          <w:tcPr>
            <w:tcW w:w="340" w:type="dxa"/>
            <w:shd w:val="clear" w:color="auto" w:fill="D9D9D9"/>
          </w:tcPr>
          <w:p w14:paraId="3FC2E56E" w14:textId="77777777" w:rsidR="00302BFE" w:rsidRPr="00902601" w:rsidRDefault="00302BFE" w:rsidP="00243B15">
            <w:pPr>
              <w:rPr>
                <w:highlight w:val="green"/>
                <w:lang w:val="en-CA"/>
              </w:rPr>
            </w:pPr>
          </w:p>
        </w:tc>
        <w:tc>
          <w:tcPr>
            <w:tcW w:w="340" w:type="dxa"/>
            <w:shd w:val="clear" w:color="auto" w:fill="D9D9D9"/>
          </w:tcPr>
          <w:p w14:paraId="32E89051" w14:textId="77777777" w:rsidR="00302BFE" w:rsidRPr="00902601" w:rsidRDefault="00302BFE" w:rsidP="00243B15">
            <w:pPr>
              <w:rPr>
                <w:highlight w:val="green"/>
                <w:lang w:val="en-CA"/>
              </w:rPr>
            </w:pPr>
          </w:p>
        </w:tc>
        <w:tc>
          <w:tcPr>
            <w:tcW w:w="340" w:type="dxa"/>
            <w:shd w:val="clear" w:color="auto" w:fill="D9D9D9"/>
          </w:tcPr>
          <w:p w14:paraId="1EF547B9" w14:textId="77777777" w:rsidR="00302BFE" w:rsidRPr="00902601" w:rsidRDefault="00302BFE" w:rsidP="00243B15">
            <w:pPr>
              <w:rPr>
                <w:highlight w:val="green"/>
                <w:lang w:val="en-CA"/>
              </w:rPr>
            </w:pPr>
          </w:p>
        </w:tc>
        <w:tc>
          <w:tcPr>
            <w:tcW w:w="340" w:type="dxa"/>
            <w:shd w:val="clear" w:color="auto" w:fill="D9D9D9"/>
          </w:tcPr>
          <w:p w14:paraId="42CD44F2" w14:textId="77777777" w:rsidR="00302BFE" w:rsidRPr="00902601" w:rsidRDefault="00302BFE" w:rsidP="00243B15">
            <w:pPr>
              <w:rPr>
                <w:highlight w:val="green"/>
                <w:lang w:val="en-CA"/>
              </w:rPr>
            </w:pPr>
          </w:p>
        </w:tc>
        <w:tc>
          <w:tcPr>
            <w:tcW w:w="340" w:type="dxa"/>
            <w:shd w:val="clear" w:color="auto" w:fill="D9D9D9"/>
          </w:tcPr>
          <w:p w14:paraId="57DACF5B" w14:textId="77777777" w:rsidR="00302BFE" w:rsidRPr="00902601" w:rsidRDefault="00302BFE" w:rsidP="00243B15">
            <w:pPr>
              <w:rPr>
                <w:highlight w:val="green"/>
                <w:lang w:val="en-CA"/>
              </w:rPr>
            </w:pPr>
          </w:p>
        </w:tc>
        <w:tc>
          <w:tcPr>
            <w:tcW w:w="340" w:type="dxa"/>
            <w:shd w:val="clear" w:color="auto" w:fill="D9D9D9"/>
          </w:tcPr>
          <w:p w14:paraId="0051AEEE" w14:textId="77777777" w:rsidR="00302BFE" w:rsidRPr="00902601" w:rsidRDefault="00302BFE" w:rsidP="00243B15">
            <w:pPr>
              <w:rPr>
                <w:highlight w:val="green"/>
                <w:lang w:val="en-CA"/>
              </w:rPr>
            </w:pPr>
          </w:p>
        </w:tc>
        <w:tc>
          <w:tcPr>
            <w:tcW w:w="340" w:type="dxa"/>
            <w:shd w:val="clear" w:color="auto" w:fill="D9D9D9"/>
          </w:tcPr>
          <w:p w14:paraId="58B07DE8" w14:textId="77777777" w:rsidR="00302BFE" w:rsidRPr="00902601" w:rsidRDefault="00302BFE" w:rsidP="00243B15">
            <w:pPr>
              <w:rPr>
                <w:highlight w:val="green"/>
                <w:lang w:val="en-CA"/>
              </w:rPr>
            </w:pPr>
          </w:p>
        </w:tc>
        <w:tc>
          <w:tcPr>
            <w:tcW w:w="340" w:type="dxa"/>
            <w:shd w:val="clear" w:color="auto" w:fill="D9D9D9"/>
          </w:tcPr>
          <w:p w14:paraId="05DB15E3" w14:textId="77777777" w:rsidR="00302BFE" w:rsidRPr="00902601" w:rsidRDefault="00302BFE" w:rsidP="00243B15">
            <w:pPr>
              <w:rPr>
                <w:highlight w:val="green"/>
                <w:lang w:val="en-CA"/>
              </w:rPr>
            </w:pPr>
          </w:p>
        </w:tc>
        <w:tc>
          <w:tcPr>
            <w:tcW w:w="340" w:type="dxa"/>
            <w:shd w:val="clear" w:color="auto" w:fill="auto"/>
          </w:tcPr>
          <w:p w14:paraId="40E356D8" w14:textId="77777777" w:rsidR="00302BFE" w:rsidRPr="00902601" w:rsidRDefault="00302BFE" w:rsidP="00243B15">
            <w:pPr>
              <w:rPr>
                <w:highlight w:val="green"/>
                <w:lang w:val="en-CA"/>
              </w:rPr>
            </w:pPr>
          </w:p>
        </w:tc>
      </w:tr>
      <w:tr w:rsidR="00302BFE" w:rsidRPr="00902601" w14:paraId="07C433FF" w14:textId="77777777" w:rsidTr="00243B15">
        <w:trPr>
          <w:jc w:val="center"/>
        </w:trPr>
        <w:tc>
          <w:tcPr>
            <w:tcW w:w="5670" w:type="dxa"/>
            <w:shd w:val="clear" w:color="auto" w:fill="auto"/>
          </w:tcPr>
          <w:p w14:paraId="221ABA29" w14:textId="77777777" w:rsidR="00302BFE" w:rsidRPr="00902601" w:rsidRDefault="00302BFE" w:rsidP="00243B15">
            <w:pPr>
              <w:rPr>
                <w:sz w:val="16"/>
                <w:szCs w:val="16"/>
                <w:highlight w:val="green"/>
                <w:lang w:val="en-CA"/>
              </w:rPr>
            </w:pPr>
            <w:r w:rsidRPr="00902601">
              <w:rPr>
                <w:sz w:val="16"/>
                <w:szCs w:val="16"/>
                <w:highlight w:val="green"/>
                <w:lang w:val="en-CA"/>
              </w:rPr>
              <w:t>Output 3.3 Sustainable local forest products processing enterprises are established</w:t>
            </w:r>
          </w:p>
        </w:tc>
        <w:tc>
          <w:tcPr>
            <w:tcW w:w="8160" w:type="dxa"/>
            <w:gridSpan w:val="24"/>
            <w:shd w:val="clear" w:color="auto" w:fill="auto"/>
          </w:tcPr>
          <w:p w14:paraId="76647AB4" w14:textId="77777777" w:rsidR="00302BFE" w:rsidRPr="00902601" w:rsidRDefault="00302BFE" w:rsidP="00243B15">
            <w:pPr>
              <w:rPr>
                <w:highlight w:val="green"/>
                <w:lang w:val="en-CA"/>
              </w:rPr>
            </w:pPr>
          </w:p>
        </w:tc>
      </w:tr>
      <w:tr w:rsidR="00EC409B" w:rsidRPr="00902601" w14:paraId="032CDAD7" w14:textId="77777777" w:rsidTr="00755BF9">
        <w:trPr>
          <w:jc w:val="center"/>
        </w:trPr>
        <w:tc>
          <w:tcPr>
            <w:tcW w:w="5670" w:type="dxa"/>
            <w:shd w:val="clear" w:color="auto" w:fill="auto"/>
          </w:tcPr>
          <w:p w14:paraId="0D0B60A2" w14:textId="77777777" w:rsidR="00302BFE" w:rsidRPr="00902601" w:rsidRDefault="00302BFE" w:rsidP="00243B15">
            <w:pPr>
              <w:rPr>
                <w:i/>
                <w:color w:val="4472C4"/>
                <w:sz w:val="16"/>
                <w:szCs w:val="16"/>
                <w:highlight w:val="green"/>
                <w:lang w:val="en-CA"/>
              </w:rPr>
            </w:pPr>
            <w:r w:rsidRPr="00902601">
              <w:rPr>
                <w:i/>
                <w:color w:val="4472C4"/>
                <w:sz w:val="16"/>
                <w:szCs w:val="16"/>
                <w:highlight w:val="green"/>
                <w:lang w:val="en-GB"/>
              </w:rPr>
              <w:t>3.3.1 Market studies for the three non-timber forest products sectors</w:t>
            </w:r>
          </w:p>
        </w:tc>
        <w:tc>
          <w:tcPr>
            <w:tcW w:w="340" w:type="dxa"/>
            <w:shd w:val="clear" w:color="auto" w:fill="auto"/>
          </w:tcPr>
          <w:p w14:paraId="0886D3AA" w14:textId="77777777" w:rsidR="00302BFE" w:rsidRPr="00902601" w:rsidRDefault="00302BFE" w:rsidP="00243B15">
            <w:pPr>
              <w:rPr>
                <w:highlight w:val="green"/>
                <w:lang w:val="en-CA"/>
              </w:rPr>
            </w:pPr>
          </w:p>
        </w:tc>
        <w:tc>
          <w:tcPr>
            <w:tcW w:w="340" w:type="dxa"/>
            <w:shd w:val="clear" w:color="auto" w:fill="auto"/>
          </w:tcPr>
          <w:p w14:paraId="3772C5B3" w14:textId="77777777" w:rsidR="00302BFE" w:rsidRPr="00902601" w:rsidRDefault="00302BFE" w:rsidP="00243B15">
            <w:pPr>
              <w:rPr>
                <w:highlight w:val="green"/>
                <w:lang w:val="en-CA"/>
              </w:rPr>
            </w:pPr>
          </w:p>
        </w:tc>
        <w:tc>
          <w:tcPr>
            <w:tcW w:w="340" w:type="dxa"/>
            <w:shd w:val="clear" w:color="auto" w:fill="auto"/>
          </w:tcPr>
          <w:p w14:paraId="49172C8F" w14:textId="77777777" w:rsidR="00302BFE" w:rsidRPr="00902601" w:rsidRDefault="00302BFE" w:rsidP="00243B15">
            <w:pPr>
              <w:rPr>
                <w:highlight w:val="green"/>
                <w:lang w:val="en-CA"/>
              </w:rPr>
            </w:pPr>
          </w:p>
        </w:tc>
        <w:tc>
          <w:tcPr>
            <w:tcW w:w="340" w:type="dxa"/>
            <w:shd w:val="clear" w:color="auto" w:fill="auto"/>
          </w:tcPr>
          <w:p w14:paraId="19153D32" w14:textId="77777777" w:rsidR="00302BFE" w:rsidRPr="00902601" w:rsidRDefault="00302BFE" w:rsidP="00243B15">
            <w:pPr>
              <w:rPr>
                <w:highlight w:val="green"/>
                <w:lang w:val="en-CA"/>
              </w:rPr>
            </w:pPr>
          </w:p>
        </w:tc>
        <w:tc>
          <w:tcPr>
            <w:tcW w:w="340" w:type="dxa"/>
            <w:shd w:val="clear" w:color="auto" w:fill="auto"/>
          </w:tcPr>
          <w:p w14:paraId="5ED9796F" w14:textId="77777777" w:rsidR="00302BFE" w:rsidRPr="00902601" w:rsidRDefault="00302BFE" w:rsidP="00243B15">
            <w:pPr>
              <w:rPr>
                <w:highlight w:val="green"/>
                <w:lang w:val="en-CA"/>
              </w:rPr>
            </w:pPr>
          </w:p>
        </w:tc>
        <w:tc>
          <w:tcPr>
            <w:tcW w:w="340" w:type="dxa"/>
            <w:shd w:val="clear" w:color="auto" w:fill="auto"/>
          </w:tcPr>
          <w:p w14:paraId="58148219" w14:textId="77777777" w:rsidR="00302BFE" w:rsidRPr="00902601" w:rsidRDefault="00302BFE" w:rsidP="00243B15">
            <w:pPr>
              <w:rPr>
                <w:highlight w:val="green"/>
                <w:lang w:val="en-CA"/>
              </w:rPr>
            </w:pPr>
          </w:p>
        </w:tc>
        <w:tc>
          <w:tcPr>
            <w:tcW w:w="340" w:type="dxa"/>
            <w:shd w:val="clear" w:color="auto" w:fill="auto"/>
          </w:tcPr>
          <w:p w14:paraId="25CFCCB4" w14:textId="77777777" w:rsidR="00302BFE" w:rsidRPr="00902601" w:rsidRDefault="00302BFE" w:rsidP="00243B15">
            <w:pPr>
              <w:rPr>
                <w:highlight w:val="green"/>
                <w:lang w:val="en-CA"/>
              </w:rPr>
            </w:pPr>
          </w:p>
        </w:tc>
        <w:tc>
          <w:tcPr>
            <w:tcW w:w="340" w:type="dxa"/>
            <w:shd w:val="clear" w:color="auto" w:fill="auto"/>
          </w:tcPr>
          <w:p w14:paraId="2FECE424"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2DF90F3F" w14:textId="77777777" w:rsidR="00302BFE" w:rsidRPr="00902601" w:rsidRDefault="00302BFE" w:rsidP="00243B15">
            <w:pPr>
              <w:rPr>
                <w:highlight w:val="green"/>
                <w:lang w:val="en-CA"/>
              </w:rPr>
            </w:pPr>
          </w:p>
        </w:tc>
        <w:tc>
          <w:tcPr>
            <w:tcW w:w="340" w:type="dxa"/>
            <w:shd w:val="clear" w:color="auto" w:fill="D9D9D9"/>
          </w:tcPr>
          <w:p w14:paraId="46CAB961" w14:textId="77777777" w:rsidR="00302BFE" w:rsidRPr="00902601" w:rsidRDefault="00302BFE" w:rsidP="00243B15">
            <w:pPr>
              <w:rPr>
                <w:highlight w:val="green"/>
                <w:lang w:val="en-CA"/>
              </w:rPr>
            </w:pPr>
          </w:p>
        </w:tc>
        <w:tc>
          <w:tcPr>
            <w:tcW w:w="340" w:type="dxa"/>
            <w:shd w:val="clear" w:color="auto" w:fill="auto"/>
          </w:tcPr>
          <w:p w14:paraId="6A36A1BE" w14:textId="77777777" w:rsidR="00302BFE" w:rsidRPr="00902601" w:rsidRDefault="00302BFE" w:rsidP="00243B15">
            <w:pPr>
              <w:rPr>
                <w:highlight w:val="green"/>
                <w:lang w:val="en-CA"/>
              </w:rPr>
            </w:pPr>
          </w:p>
        </w:tc>
        <w:tc>
          <w:tcPr>
            <w:tcW w:w="340" w:type="dxa"/>
            <w:shd w:val="clear" w:color="auto" w:fill="auto"/>
          </w:tcPr>
          <w:p w14:paraId="4CE7D841" w14:textId="77777777" w:rsidR="00302BFE" w:rsidRPr="00902601" w:rsidRDefault="00302BFE" w:rsidP="00243B15">
            <w:pPr>
              <w:rPr>
                <w:highlight w:val="green"/>
                <w:lang w:val="en-CA"/>
              </w:rPr>
            </w:pPr>
          </w:p>
        </w:tc>
        <w:tc>
          <w:tcPr>
            <w:tcW w:w="340" w:type="dxa"/>
            <w:shd w:val="clear" w:color="auto" w:fill="auto"/>
          </w:tcPr>
          <w:p w14:paraId="75601478" w14:textId="77777777" w:rsidR="00302BFE" w:rsidRPr="00902601" w:rsidRDefault="00302BFE" w:rsidP="00243B15">
            <w:pPr>
              <w:rPr>
                <w:highlight w:val="green"/>
                <w:lang w:val="en-CA"/>
              </w:rPr>
            </w:pPr>
          </w:p>
        </w:tc>
        <w:tc>
          <w:tcPr>
            <w:tcW w:w="340" w:type="dxa"/>
            <w:shd w:val="clear" w:color="auto" w:fill="auto"/>
          </w:tcPr>
          <w:p w14:paraId="01FE3E27" w14:textId="77777777" w:rsidR="00302BFE" w:rsidRPr="00902601" w:rsidRDefault="00302BFE" w:rsidP="00243B15">
            <w:pPr>
              <w:rPr>
                <w:highlight w:val="green"/>
                <w:lang w:val="en-CA"/>
              </w:rPr>
            </w:pPr>
          </w:p>
        </w:tc>
        <w:tc>
          <w:tcPr>
            <w:tcW w:w="340" w:type="dxa"/>
            <w:shd w:val="clear" w:color="auto" w:fill="auto"/>
          </w:tcPr>
          <w:p w14:paraId="11A309B4" w14:textId="77777777" w:rsidR="00302BFE" w:rsidRPr="00902601" w:rsidRDefault="00302BFE" w:rsidP="00243B15">
            <w:pPr>
              <w:rPr>
                <w:highlight w:val="green"/>
                <w:lang w:val="en-CA"/>
              </w:rPr>
            </w:pPr>
          </w:p>
        </w:tc>
        <w:tc>
          <w:tcPr>
            <w:tcW w:w="340" w:type="dxa"/>
            <w:shd w:val="clear" w:color="auto" w:fill="auto"/>
          </w:tcPr>
          <w:p w14:paraId="36B80653" w14:textId="77777777" w:rsidR="00302BFE" w:rsidRPr="00902601" w:rsidRDefault="00302BFE" w:rsidP="00243B15">
            <w:pPr>
              <w:rPr>
                <w:highlight w:val="green"/>
                <w:lang w:val="en-CA"/>
              </w:rPr>
            </w:pPr>
          </w:p>
        </w:tc>
        <w:tc>
          <w:tcPr>
            <w:tcW w:w="340" w:type="dxa"/>
            <w:shd w:val="clear" w:color="auto" w:fill="auto"/>
          </w:tcPr>
          <w:p w14:paraId="4CD77704" w14:textId="77777777" w:rsidR="00302BFE" w:rsidRPr="00902601" w:rsidRDefault="00302BFE" w:rsidP="00243B15">
            <w:pPr>
              <w:rPr>
                <w:highlight w:val="green"/>
                <w:lang w:val="en-CA"/>
              </w:rPr>
            </w:pPr>
          </w:p>
        </w:tc>
        <w:tc>
          <w:tcPr>
            <w:tcW w:w="340" w:type="dxa"/>
            <w:shd w:val="clear" w:color="auto" w:fill="auto"/>
          </w:tcPr>
          <w:p w14:paraId="00FDBEA1" w14:textId="77777777" w:rsidR="00302BFE" w:rsidRPr="00902601" w:rsidRDefault="00302BFE" w:rsidP="00243B15">
            <w:pPr>
              <w:rPr>
                <w:highlight w:val="green"/>
                <w:lang w:val="en-CA"/>
              </w:rPr>
            </w:pPr>
          </w:p>
        </w:tc>
        <w:tc>
          <w:tcPr>
            <w:tcW w:w="340" w:type="dxa"/>
            <w:shd w:val="clear" w:color="auto" w:fill="auto"/>
          </w:tcPr>
          <w:p w14:paraId="2186E8BA" w14:textId="77777777" w:rsidR="00302BFE" w:rsidRPr="00902601" w:rsidRDefault="00302BFE" w:rsidP="00243B15">
            <w:pPr>
              <w:rPr>
                <w:highlight w:val="green"/>
                <w:lang w:val="en-CA"/>
              </w:rPr>
            </w:pPr>
          </w:p>
        </w:tc>
        <w:tc>
          <w:tcPr>
            <w:tcW w:w="340" w:type="dxa"/>
            <w:shd w:val="clear" w:color="auto" w:fill="auto"/>
          </w:tcPr>
          <w:p w14:paraId="4F9AF0ED" w14:textId="77777777" w:rsidR="00302BFE" w:rsidRPr="00902601" w:rsidRDefault="00302BFE" w:rsidP="00243B15">
            <w:pPr>
              <w:rPr>
                <w:highlight w:val="green"/>
                <w:lang w:val="en-CA"/>
              </w:rPr>
            </w:pPr>
          </w:p>
        </w:tc>
        <w:tc>
          <w:tcPr>
            <w:tcW w:w="340" w:type="dxa"/>
            <w:shd w:val="clear" w:color="auto" w:fill="auto"/>
          </w:tcPr>
          <w:p w14:paraId="061992C6" w14:textId="77777777" w:rsidR="00302BFE" w:rsidRPr="00902601" w:rsidRDefault="00302BFE" w:rsidP="00243B15">
            <w:pPr>
              <w:rPr>
                <w:highlight w:val="green"/>
                <w:lang w:val="en-CA"/>
              </w:rPr>
            </w:pPr>
          </w:p>
        </w:tc>
        <w:tc>
          <w:tcPr>
            <w:tcW w:w="340" w:type="dxa"/>
            <w:shd w:val="clear" w:color="auto" w:fill="auto"/>
          </w:tcPr>
          <w:p w14:paraId="1E20697C" w14:textId="77777777" w:rsidR="00302BFE" w:rsidRPr="00902601" w:rsidRDefault="00302BFE" w:rsidP="00243B15">
            <w:pPr>
              <w:rPr>
                <w:highlight w:val="green"/>
                <w:lang w:val="en-CA"/>
              </w:rPr>
            </w:pPr>
          </w:p>
        </w:tc>
        <w:tc>
          <w:tcPr>
            <w:tcW w:w="340" w:type="dxa"/>
            <w:shd w:val="clear" w:color="auto" w:fill="auto"/>
          </w:tcPr>
          <w:p w14:paraId="5C7B6C53" w14:textId="77777777" w:rsidR="00302BFE" w:rsidRPr="00902601" w:rsidRDefault="00302BFE" w:rsidP="00243B15">
            <w:pPr>
              <w:rPr>
                <w:highlight w:val="green"/>
                <w:lang w:val="en-CA"/>
              </w:rPr>
            </w:pPr>
          </w:p>
        </w:tc>
        <w:tc>
          <w:tcPr>
            <w:tcW w:w="340" w:type="dxa"/>
            <w:shd w:val="clear" w:color="auto" w:fill="auto"/>
          </w:tcPr>
          <w:p w14:paraId="05F7816D" w14:textId="77777777" w:rsidR="00302BFE" w:rsidRPr="00902601" w:rsidRDefault="00302BFE" w:rsidP="00243B15">
            <w:pPr>
              <w:rPr>
                <w:highlight w:val="green"/>
                <w:lang w:val="en-CA"/>
              </w:rPr>
            </w:pPr>
          </w:p>
        </w:tc>
      </w:tr>
      <w:tr w:rsidR="00EC409B" w:rsidRPr="00902601" w14:paraId="16D3A621" w14:textId="77777777" w:rsidTr="00755BF9">
        <w:trPr>
          <w:jc w:val="center"/>
        </w:trPr>
        <w:tc>
          <w:tcPr>
            <w:tcW w:w="5670" w:type="dxa"/>
            <w:shd w:val="clear" w:color="auto" w:fill="auto"/>
          </w:tcPr>
          <w:p w14:paraId="6AD40BF9" w14:textId="77777777" w:rsidR="00302BFE" w:rsidRPr="00902601" w:rsidRDefault="00302BFE" w:rsidP="00243B15">
            <w:pPr>
              <w:rPr>
                <w:i/>
                <w:color w:val="4472C4"/>
                <w:sz w:val="16"/>
                <w:szCs w:val="16"/>
                <w:highlight w:val="green"/>
              </w:rPr>
            </w:pPr>
            <w:r w:rsidRPr="00902601">
              <w:rPr>
                <w:i/>
                <w:color w:val="4472C4"/>
                <w:sz w:val="16"/>
                <w:szCs w:val="16"/>
                <w:highlight w:val="green"/>
                <w:lang w:val="en-GB"/>
              </w:rPr>
              <w:t>3.3.2 Identification of priority beneficiaries</w:t>
            </w:r>
          </w:p>
        </w:tc>
        <w:tc>
          <w:tcPr>
            <w:tcW w:w="340" w:type="dxa"/>
            <w:shd w:val="clear" w:color="auto" w:fill="auto"/>
          </w:tcPr>
          <w:p w14:paraId="63DC2D31" w14:textId="77777777" w:rsidR="00302BFE" w:rsidRPr="00902601" w:rsidRDefault="00302BFE" w:rsidP="00243B15">
            <w:pPr>
              <w:rPr>
                <w:highlight w:val="green"/>
              </w:rPr>
            </w:pPr>
          </w:p>
        </w:tc>
        <w:tc>
          <w:tcPr>
            <w:tcW w:w="340" w:type="dxa"/>
            <w:shd w:val="clear" w:color="auto" w:fill="auto"/>
          </w:tcPr>
          <w:p w14:paraId="10BEAA90" w14:textId="77777777" w:rsidR="00302BFE" w:rsidRPr="00902601" w:rsidRDefault="00302BFE" w:rsidP="00243B15">
            <w:pPr>
              <w:rPr>
                <w:highlight w:val="green"/>
              </w:rPr>
            </w:pPr>
          </w:p>
        </w:tc>
        <w:tc>
          <w:tcPr>
            <w:tcW w:w="340" w:type="dxa"/>
            <w:shd w:val="clear" w:color="auto" w:fill="auto"/>
          </w:tcPr>
          <w:p w14:paraId="7DA21027" w14:textId="77777777" w:rsidR="00302BFE" w:rsidRPr="00902601" w:rsidRDefault="00302BFE" w:rsidP="00243B15">
            <w:pPr>
              <w:rPr>
                <w:highlight w:val="green"/>
              </w:rPr>
            </w:pPr>
          </w:p>
        </w:tc>
        <w:tc>
          <w:tcPr>
            <w:tcW w:w="340" w:type="dxa"/>
            <w:shd w:val="clear" w:color="auto" w:fill="auto"/>
          </w:tcPr>
          <w:p w14:paraId="4D52B110" w14:textId="77777777" w:rsidR="00302BFE" w:rsidRPr="00902601" w:rsidRDefault="00302BFE" w:rsidP="00243B15">
            <w:pPr>
              <w:rPr>
                <w:highlight w:val="green"/>
              </w:rPr>
            </w:pPr>
          </w:p>
        </w:tc>
        <w:tc>
          <w:tcPr>
            <w:tcW w:w="340" w:type="dxa"/>
            <w:shd w:val="clear" w:color="auto" w:fill="auto"/>
          </w:tcPr>
          <w:p w14:paraId="785F8741" w14:textId="77777777" w:rsidR="00302BFE" w:rsidRPr="00902601" w:rsidRDefault="00302BFE" w:rsidP="00243B15">
            <w:pPr>
              <w:rPr>
                <w:highlight w:val="green"/>
              </w:rPr>
            </w:pPr>
          </w:p>
        </w:tc>
        <w:tc>
          <w:tcPr>
            <w:tcW w:w="340" w:type="dxa"/>
            <w:shd w:val="clear" w:color="auto" w:fill="auto"/>
          </w:tcPr>
          <w:p w14:paraId="03D4BDA8" w14:textId="77777777" w:rsidR="00302BFE" w:rsidRPr="00902601" w:rsidRDefault="00302BFE" w:rsidP="00243B15">
            <w:pPr>
              <w:rPr>
                <w:highlight w:val="green"/>
              </w:rPr>
            </w:pPr>
          </w:p>
        </w:tc>
        <w:tc>
          <w:tcPr>
            <w:tcW w:w="340" w:type="dxa"/>
            <w:shd w:val="clear" w:color="auto" w:fill="auto"/>
          </w:tcPr>
          <w:p w14:paraId="137C7F05" w14:textId="77777777" w:rsidR="00302BFE" w:rsidRPr="00902601" w:rsidRDefault="00302BFE" w:rsidP="00243B15">
            <w:pPr>
              <w:rPr>
                <w:highlight w:val="green"/>
              </w:rPr>
            </w:pPr>
          </w:p>
        </w:tc>
        <w:tc>
          <w:tcPr>
            <w:tcW w:w="340" w:type="dxa"/>
            <w:shd w:val="clear" w:color="auto" w:fill="auto"/>
          </w:tcPr>
          <w:p w14:paraId="2A21A401" w14:textId="77777777" w:rsidR="00302BFE" w:rsidRPr="00902601" w:rsidRDefault="00302BFE" w:rsidP="00243B15">
            <w:pPr>
              <w:rPr>
                <w:highlight w:val="green"/>
              </w:rPr>
            </w:pPr>
          </w:p>
        </w:tc>
        <w:tc>
          <w:tcPr>
            <w:tcW w:w="340" w:type="dxa"/>
            <w:tcBorders>
              <w:bottom w:val="single" w:sz="4" w:space="0" w:color="auto"/>
            </w:tcBorders>
            <w:shd w:val="clear" w:color="auto" w:fill="D9D9D9"/>
          </w:tcPr>
          <w:p w14:paraId="679D9540" w14:textId="77777777" w:rsidR="00302BFE" w:rsidRPr="00902601" w:rsidRDefault="00302BFE" w:rsidP="00243B15">
            <w:pPr>
              <w:rPr>
                <w:highlight w:val="green"/>
              </w:rPr>
            </w:pPr>
          </w:p>
        </w:tc>
        <w:tc>
          <w:tcPr>
            <w:tcW w:w="340" w:type="dxa"/>
            <w:tcBorders>
              <w:bottom w:val="single" w:sz="4" w:space="0" w:color="auto"/>
            </w:tcBorders>
            <w:shd w:val="clear" w:color="auto" w:fill="auto"/>
          </w:tcPr>
          <w:p w14:paraId="23739EC1" w14:textId="77777777" w:rsidR="00302BFE" w:rsidRPr="00902601" w:rsidRDefault="00302BFE" w:rsidP="00243B15">
            <w:pPr>
              <w:rPr>
                <w:highlight w:val="green"/>
              </w:rPr>
            </w:pPr>
          </w:p>
        </w:tc>
        <w:tc>
          <w:tcPr>
            <w:tcW w:w="340" w:type="dxa"/>
            <w:shd w:val="clear" w:color="auto" w:fill="auto"/>
          </w:tcPr>
          <w:p w14:paraId="259E182C" w14:textId="77777777" w:rsidR="00302BFE" w:rsidRPr="00902601" w:rsidRDefault="00302BFE" w:rsidP="00243B15">
            <w:pPr>
              <w:rPr>
                <w:highlight w:val="green"/>
              </w:rPr>
            </w:pPr>
          </w:p>
        </w:tc>
        <w:tc>
          <w:tcPr>
            <w:tcW w:w="340" w:type="dxa"/>
            <w:shd w:val="clear" w:color="auto" w:fill="auto"/>
          </w:tcPr>
          <w:p w14:paraId="3D122374" w14:textId="77777777" w:rsidR="00302BFE" w:rsidRPr="00902601" w:rsidRDefault="00302BFE" w:rsidP="00243B15">
            <w:pPr>
              <w:rPr>
                <w:highlight w:val="green"/>
              </w:rPr>
            </w:pPr>
          </w:p>
        </w:tc>
        <w:tc>
          <w:tcPr>
            <w:tcW w:w="340" w:type="dxa"/>
            <w:shd w:val="clear" w:color="auto" w:fill="auto"/>
          </w:tcPr>
          <w:p w14:paraId="7BE70050" w14:textId="77777777" w:rsidR="00302BFE" w:rsidRPr="00902601" w:rsidRDefault="00302BFE" w:rsidP="00243B15">
            <w:pPr>
              <w:rPr>
                <w:highlight w:val="green"/>
              </w:rPr>
            </w:pPr>
          </w:p>
        </w:tc>
        <w:tc>
          <w:tcPr>
            <w:tcW w:w="340" w:type="dxa"/>
            <w:shd w:val="clear" w:color="auto" w:fill="auto"/>
          </w:tcPr>
          <w:p w14:paraId="680401D5" w14:textId="77777777" w:rsidR="00302BFE" w:rsidRPr="00902601" w:rsidRDefault="00302BFE" w:rsidP="00243B15">
            <w:pPr>
              <w:rPr>
                <w:highlight w:val="green"/>
              </w:rPr>
            </w:pPr>
          </w:p>
        </w:tc>
        <w:tc>
          <w:tcPr>
            <w:tcW w:w="340" w:type="dxa"/>
            <w:shd w:val="clear" w:color="auto" w:fill="auto"/>
          </w:tcPr>
          <w:p w14:paraId="7CC7437C" w14:textId="77777777" w:rsidR="00302BFE" w:rsidRPr="00902601" w:rsidRDefault="00302BFE" w:rsidP="00243B15">
            <w:pPr>
              <w:rPr>
                <w:highlight w:val="green"/>
              </w:rPr>
            </w:pPr>
          </w:p>
        </w:tc>
        <w:tc>
          <w:tcPr>
            <w:tcW w:w="340" w:type="dxa"/>
            <w:shd w:val="clear" w:color="auto" w:fill="auto"/>
          </w:tcPr>
          <w:p w14:paraId="0374D699" w14:textId="77777777" w:rsidR="00302BFE" w:rsidRPr="00902601" w:rsidRDefault="00302BFE" w:rsidP="00243B15">
            <w:pPr>
              <w:rPr>
                <w:highlight w:val="green"/>
              </w:rPr>
            </w:pPr>
          </w:p>
        </w:tc>
        <w:tc>
          <w:tcPr>
            <w:tcW w:w="340" w:type="dxa"/>
            <w:shd w:val="clear" w:color="auto" w:fill="auto"/>
          </w:tcPr>
          <w:p w14:paraId="34596A73" w14:textId="77777777" w:rsidR="00302BFE" w:rsidRPr="00902601" w:rsidRDefault="00302BFE" w:rsidP="00243B15">
            <w:pPr>
              <w:rPr>
                <w:highlight w:val="green"/>
              </w:rPr>
            </w:pPr>
          </w:p>
        </w:tc>
        <w:tc>
          <w:tcPr>
            <w:tcW w:w="340" w:type="dxa"/>
            <w:shd w:val="clear" w:color="auto" w:fill="auto"/>
          </w:tcPr>
          <w:p w14:paraId="65558076" w14:textId="77777777" w:rsidR="00302BFE" w:rsidRPr="00902601" w:rsidRDefault="00302BFE" w:rsidP="00243B15">
            <w:pPr>
              <w:rPr>
                <w:highlight w:val="green"/>
              </w:rPr>
            </w:pPr>
          </w:p>
        </w:tc>
        <w:tc>
          <w:tcPr>
            <w:tcW w:w="340" w:type="dxa"/>
            <w:shd w:val="clear" w:color="auto" w:fill="auto"/>
          </w:tcPr>
          <w:p w14:paraId="1C2E2209" w14:textId="77777777" w:rsidR="00302BFE" w:rsidRPr="00902601" w:rsidRDefault="00302BFE" w:rsidP="00243B15">
            <w:pPr>
              <w:rPr>
                <w:highlight w:val="green"/>
              </w:rPr>
            </w:pPr>
          </w:p>
        </w:tc>
        <w:tc>
          <w:tcPr>
            <w:tcW w:w="340" w:type="dxa"/>
            <w:shd w:val="clear" w:color="auto" w:fill="auto"/>
          </w:tcPr>
          <w:p w14:paraId="30DC6DB7" w14:textId="77777777" w:rsidR="00302BFE" w:rsidRPr="00902601" w:rsidRDefault="00302BFE" w:rsidP="00243B15">
            <w:pPr>
              <w:rPr>
                <w:highlight w:val="green"/>
              </w:rPr>
            </w:pPr>
          </w:p>
        </w:tc>
        <w:tc>
          <w:tcPr>
            <w:tcW w:w="340" w:type="dxa"/>
            <w:shd w:val="clear" w:color="auto" w:fill="auto"/>
          </w:tcPr>
          <w:p w14:paraId="1369D309" w14:textId="77777777" w:rsidR="00302BFE" w:rsidRPr="00902601" w:rsidRDefault="00302BFE" w:rsidP="00243B15">
            <w:pPr>
              <w:rPr>
                <w:highlight w:val="green"/>
              </w:rPr>
            </w:pPr>
          </w:p>
        </w:tc>
        <w:tc>
          <w:tcPr>
            <w:tcW w:w="340" w:type="dxa"/>
            <w:shd w:val="clear" w:color="auto" w:fill="auto"/>
          </w:tcPr>
          <w:p w14:paraId="5DD1B3AB" w14:textId="77777777" w:rsidR="00302BFE" w:rsidRPr="00902601" w:rsidRDefault="00302BFE" w:rsidP="00243B15">
            <w:pPr>
              <w:rPr>
                <w:highlight w:val="green"/>
              </w:rPr>
            </w:pPr>
          </w:p>
        </w:tc>
        <w:tc>
          <w:tcPr>
            <w:tcW w:w="340" w:type="dxa"/>
            <w:shd w:val="clear" w:color="auto" w:fill="auto"/>
          </w:tcPr>
          <w:p w14:paraId="50E69830" w14:textId="77777777" w:rsidR="00302BFE" w:rsidRPr="00902601" w:rsidRDefault="00302BFE" w:rsidP="00243B15">
            <w:pPr>
              <w:rPr>
                <w:highlight w:val="green"/>
              </w:rPr>
            </w:pPr>
          </w:p>
        </w:tc>
        <w:tc>
          <w:tcPr>
            <w:tcW w:w="340" w:type="dxa"/>
            <w:shd w:val="clear" w:color="auto" w:fill="auto"/>
          </w:tcPr>
          <w:p w14:paraId="396946F3" w14:textId="77777777" w:rsidR="00302BFE" w:rsidRPr="00902601" w:rsidRDefault="00302BFE" w:rsidP="00243B15">
            <w:pPr>
              <w:rPr>
                <w:highlight w:val="green"/>
              </w:rPr>
            </w:pPr>
          </w:p>
        </w:tc>
      </w:tr>
      <w:tr w:rsidR="00EC409B" w:rsidRPr="00902601" w14:paraId="19666188" w14:textId="77777777" w:rsidTr="00755BF9">
        <w:trPr>
          <w:jc w:val="center"/>
        </w:trPr>
        <w:tc>
          <w:tcPr>
            <w:tcW w:w="5670" w:type="dxa"/>
            <w:shd w:val="clear" w:color="auto" w:fill="auto"/>
          </w:tcPr>
          <w:p w14:paraId="50990F43" w14:textId="77777777" w:rsidR="00302BFE" w:rsidRPr="00902601" w:rsidRDefault="00302BFE" w:rsidP="00243B15">
            <w:pPr>
              <w:rPr>
                <w:i/>
                <w:color w:val="4472C4"/>
                <w:sz w:val="16"/>
                <w:szCs w:val="16"/>
                <w:highlight w:val="green"/>
                <w:lang w:val="en-CA"/>
              </w:rPr>
            </w:pPr>
            <w:r w:rsidRPr="00902601">
              <w:rPr>
                <w:i/>
                <w:color w:val="4472C4"/>
                <w:sz w:val="16"/>
                <w:szCs w:val="16"/>
                <w:highlight w:val="green"/>
                <w:lang w:val="en-GB"/>
              </w:rPr>
              <w:t>3.3.3 Women and men beneficiaries are better structured through the establishment of four (4) functional cooperatives</w:t>
            </w:r>
          </w:p>
        </w:tc>
        <w:tc>
          <w:tcPr>
            <w:tcW w:w="340" w:type="dxa"/>
            <w:shd w:val="clear" w:color="auto" w:fill="auto"/>
          </w:tcPr>
          <w:p w14:paraId="1AEB5DED" w14:textId="77777777" w:rsidR="00302BFE" w:rsidRPr="00902601" w:rsidRDefault="00302BFE" w:rsidP="00243B15">
            <w:pPr>
              <w:rPr>
                <w:highlight w:val="green"/>
                <w:lang w:val="en-CA"/>
              </w:rPr>
            </w:pPr>
          </w:p>
        </w:tc>
        <w:tc>
          <w:tcPr>
            <w:tcW w:w="340" w:type="dxa"/>
            <w:shd w:val="clear" w:color="auto" w:fill="auto"/>
          </w:tcPr>
          <w:p w14:paraId="527F05BE" w14:textId="77777777" w:rsidR="00302BFE" w:rsidRPr="00902601" w:rsidRDefault="00302BFE" w:rsidP="00243B15">
            <w:pPr>
              <w:rPr>
                <w:highlight w:val="green"/>
                <w:lang w:val="en-CA"/>
              </w:rPr>
            </w:pPr>
          </w:p>
        </w:tc>
        <w:tc>
          <w:tcPr>
            <w:tcW w:w="340" w:type="dxa"/>
            <w:shd w:val="clear" w:color="auto" w:fill="auto"/>
          </w:tcPr>
          <w:p w14:paraId="6E0C3026" w14:textId="77777777" w:rsidR="00302BFE" w:rsidRPr="00902601" w:rsidRDefault="00302BFE" w:rsidP="00243B15">
            <w:pPr>
              <w:rPr>
                <w:highlight w:val="green"/>
                <w:lang w:val="en-CA"/>
              </w:rPr>
            </w:pPr>
          </w:p>
        </w:tc>
        <w:tc>
          <w:tcPr>
            <w:tcW w:w="340" w:type="dxa"/>
            <w:shd w:val="clear" w:color="auto" w:fill="auto"/>
          </w:tcPr>
          <w:p w14:paraId="64A011BF" w14:textId="77777777" w:rsidR="00302BFE" w:rsidRPr="00902601" w:rsidRDefault="00302BFE" w:rsidP="00243B15">
            <w:pPr>
              <w:rPr>
                <w:highlight w:val="green"/>
                <w:lang w:val="en-CA"/>
              </w:rPr>
            </w:pPr>
          </w:p>
        </w:tc>
        <w:tc>
          <w:tcPr>
            <w:tcW w:w="340" w:type="dxa"/>
            <w:shd w:val="clear" w:color="auto" w:fill="auto"/>
          </w:tcPr>
          <w:p w14:paraId="6BD5B49C" w14:textId="77777777" w:rsidR="00302BFE" w:rsidRPr="00902601" w:rsidRDefault="00302BFE" w:rsidP="00243B15">
            <w:pPr>
              <w:rPr>
                <w:highlight w:val="green"/>
                <w:lang w:val="en-CA"/>
              </w:rPr>
            </w:pPr>
          </w:p>
        </w:tc>
        <w:tc>
          <w:tcPr>
            <w:tcW w:w="340" w:type="dxa"/>
            <w:shd w:val="clear" w:color="auto" w:fill="auto"/>
          </w:tcPr>
          <w:p w14:paraId="007EB7EA" w14:textId="77777777" w:rsidR="00302BFE" w:rsidRPr="00902601" w:rsidRDefault="00302BFE" w:rsidP="00243B15">
            <w:pPr>
              <w:rPr>
                <w:highlight w:val="green"/>
                <w:lang w:val="en-CA"/>
              </w:rPr>
            </w:pPr>
          </w:p>
        </w:tc>
        <w:tc>
          <w:tcPr>
            <w:tcW w:w="340" w:type="dxa"/>
            <w:shd w:val="clear" w:color="auto" w:fill="auto"/>
          </w:tcPr>
          <w:p w14:paraId="18624D93" w14:textId="77777777" w:rsidR="00302BFE" w:rsidRPr="00902601" w:rsidRDefault="00302BFE" w:rsidP="00243B15">
            <w:pPr>
              <w:rPr>
                <w:highlight w:val="green"/>
                <w:lang w:val="en-CA"/>
              </w:rPr>
            </w:pPr>
          </w:p>
        </w:tc>
        <w:tc>
          <w:tcPr>
            <w:tcW w:w="340" w:type="dxa"/>
            <w:shd w:val="clear" w:color="auto" w:fill="auto"/>
          </w:tcPr>
          <w:p w14:paraId="0E46B169" w14:textId="77777777" w:rsidR="00302BFE" w:rsidRPr="00902601" w:rsidRDefault="00302BFE" w:rsidP="00243B15">
            <w:pPr>
              <w:rPr>
                <w:highlight w:val="green"/>
                <w:lang w:val="en-CA"/>
              </w:rPr>
            </w:pPr>
          </w:p>
        </w:tc>
        <w:tc>
          <w:tcPr>
            <w:tcW w:w="340" w:type="dxa"/>
            <w:shd w:val="clear" w:color="auto" w:fill="D9D9D9"/>
          </w:tcPr>
          <w:p w14:paraId="4910C02E" w14:textId="77777777" w:rsidR="00302BFE" w:rsidRPr="00902601" w:rsidRDefault="00302BFE" w:rsidP="00243B15">
            <w:pPr>
              <w:rPr>
                <w:highlight w:val="green"/>
                <w:lang w:val="en-CA"/>
              </w:rPr>
            </w:pPr>
          </w:p>
        </w:tc>
        <w:tc>
          <w:tcPr>
            <w:tcW w:w="340" w:type="dxa"/>
            <w:shd w:val="clear" w:color="auto" w:fill="D9D9D9"/>
          </w:tcPr>
          <w:p w14:paraId="22A97B4B"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5AEBAE7B"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1E919467"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51F70696"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0CC49A29" w14:textId="77777777" w:rsidR="00302BFE" w:rsidRPr="00902601" w:rsidRDefault="00302BFE" w:rsidP="00243B15">
            <w:pPr>
              <w:rPr>
                <w:highlight w:val="green"/>
                <w:lang w:val="en-CA"/>
              </w:rPr>
            </w:pPr>
          </w:p>
        </w:tc>
        <w:tc>
          <w:tcPr>
            <w:tcW w:w="340" w:type="dxa"/>
            <w:shd w:val="clear" w:color="auto" w:fill="auto"/>
          </w:tcPr>
          <w:p w14:paraId="6D5ADF6C" w14:textId="77777777" w:rsidR="00302BFE" w:rsidRPr="00902601" w:rsidRDefault="00302BFE" w:rsidP="00243B15">
            <w:pPr>
              <w:rPr>
                <w:highlight w:val="green"/>
                <w:lang w:val="en-CA"/>
              </w:rPr>
            </w:pPr>
          </w:p>
        </w:tc>
        <w:tc>
          <w:tcPr>
            <w:tcW w:w="340" w:type="dxa"/>
            <w:shd w:val="clear" w:color="auto" w:fill="auto"/>
          </w:tcPr>
          <w:p w14:paraId="523A2BD8" w14:textId="77777777" w:rsidR="00302BFE" w:rsidRPr="00902601" w:rsidRDefault="00302BFE" w:rsidP="00243B15">
            <w:pPr>
              <w:rPr>
                <w:highlight w:val="green"/>
                <w:lang w:val="en-CA"/>
              </w:rPr>
            </w:pPr>
          </w:p>
        </w:tc>
        <w:tc>
          <w:tcPr>
            <w:tcW w:w="340" w:type="dxa"/>
            <w:shd w:val="clear" w:color="auto" w:fill="auto"/>
          </w:tcPr>
          <w:p w14:paraId="1CB0CFD1" w14:textId="77777777" w:rsidR="00302BFE" w:rsidRPr="00902601" w:rsidRDefault="00302BFE" w:rsidP="00243B15">
            <w:pPr>
              <w:rPr>
                <w:highlight w:val="green"/>
                <w:lang w:val="en-CA"/>
              </w:rPr>
            </w:pPr>
          </w:p>
        </w:tc>
        <w:tc>
          <w:tcPr>
            <w:tcW w:w="340" w:type="dxa"/>
            <w:shd w:val="clear" w:color="auto" w:fill="auto"/>
          </w:tcPr>
          <w:p w14:paraId="4621504E" w14:textId="77777777" w:rsidR="00302BFE" w:rsidRPr="00902601" w:rsidRDefault="00302BFE" w:rsidP="00243B15">
            <w:pPr>
              <w:rPr>
                <w:highlight w:val="green"/>
                <w:lang w:val="en-CA"/>
              </w:rPr>
            </w:pPr>
          </w:p>
        </w:tc>
        <w:tc>
          <w:tcPr>
            <w:tcW w:w="340" w:type="dxa"/>
            <w:shd w:val="clear" w:color="auto" w:fill="auto"/>
          </w:tcPr>
          <w:p w14:paraId="07128FD7" w14:textId="77777777" w:rsidR="00302BFE" w:rsidRPr="00902601" w:rsidRDefault="00302BFE" w:rsidP="00243B15">
            <w:pPr>
              <w:rPr>
                <w:highlight w:val="green"/>
                <w:lang w:val="en-CA"/>
              </w:rPr>
            </w:pPr>
          </w:p>
        </w:tc>
        <w:tc>
          <w:tcPr>
            <w:tcW w:w="340" w:type="dxa"/>
            <w:shd w:val="clear" w:color="auto" w:fill="auto"/>
          </w:tcPr>
          <w:p w14:paraId="6E24D3DD" w14:textId="77777777" w:rsidR="00302BFE" w:rsidRPr="00902601" w:rsidRDefault="00302BFE" w:rsidP="00243B15">
            <w:pPr>
              <w:rPr>
                <w:highlight w:val="green"/>
                <w:lang w:val="en-CA"/>
              </w:rPr>
            </w:pPr>
          </w:p>
        </w:tc>
        <w:tc>
          <w:tcPr>
            <w:tcW w:w="340" w:type="dxa"/>
            <w:shd w:val="clear" w:color="auto" w:fill="auto"/>
          </w:tcPr>
          <w:p w14:paraId="15E0BE4C" w14:textId="77777777" w:rsidR="00302BFE" w:rsidRPr="00902601" w:rsidRDefault="00302BFE" w:rsidP="00243B15">
            <w:pPr>
              <w:rPr>
                <w:highlight w:val="green"/>
                <w:lang w:val="en-CA"/>
              </w:rPr>
            </w:pPr>
          </w:p>
        </w:tc>
        <w:tc>
          <w:tcPr>
            <w:tcW w:w="340" w:type="dxa"/>
            <w:shd w:val="clear" w:color="auto" w:fill="auto"/>
          </w:tcPr>
          <w:p w14:paraId="69F12A92" w14:textId="77777777" w:rsidR="00302BFE" w:rsidRPr="00902601" w:rsidRDefault="00302BFE" w:rsidP="00243B15">
            <w:pPr>
              <w:rPr>
                <w:highlight w:val="green"/>
                <w:lang w:val="en-CA"/>
              </w:rPr>
            </w:pPr>
          </w:p>
        </w:tc>
        <w:tc>
          <w:tcPr>
            <w:tcW w:w="340" w:type="dxa"/>
            <w:shd w:val="clear" w:color="auto" w:fill="auto"/>
          </w:tcPr>
          <w:p w14:paraId="63FB0F62" w14:textId="77777777" w:rsidR="00302BFE" w:rsidRPr="00902601" w:rsidRDefault="00302BFE" w:rsidP="00243B15">
            <w:pPr>
              <w:rPr>
                <w:highlight w:val="green"/>
                <w:lang w:val="en-CA"/>
              </w:rPr>
            </w:pPr>
          </w:p>
        </w:tc>
        <w:tc>
          <w:tcPr>
            <w:tcW w:w="340" w:type="dxa"/>
            <w:shd w:val="clear" w:color="auto" w:fill="auto"/>
          </w:tcPr>
          <w:p w14:paraId="318A1578" w14:textId="77777777" w:rsidR="00302BFE" w:rsidRPr="00902601" w:rsidRDefault="00302BFE" w:rsidP="00243B15">
            <w:pPr>
              <w:rPr>
                <w:highlight w:val="green"/>
                <w:lang w:val="en-CA"/>
              </w:rPr>
            </w:pPr>
          </w:p>
        </w:tc>
      </w:tr>
      <w:tr w:rsidR="00EC409B" w:rsidRPr="00902601" w14:paraId="0E286F89" w14:textId="77777777" w:rsidTr="00755BF9">
        <w:trPr>
          <w:jc w:val="center"/>
        </w:trPr>
        <w:tc>
          <w:tcPr>
            <w:tcW w:w="5670" w:type="dxa"/>
            <w:shd w:val="clear" w:color="auto" w:fill="auto"/>
          </w:tcPr>
          <w:p w14:paraId="07B85615" w14:textId="77777777" w:rsidR="00302BFE" w:rsidRPr="00902601" w:rsidRDefault="00302BFE" w:rsidP="00243B15">
            <w:pPr>
              <w:rPr>
                <w:i/>
                <w:color w:val="4472C4"/>
                <w:sz w:val="16"/>
                <w:szCs w:val="16"/>
                <w:highlight w:val="green"/>
                <w:lang w:val="en-CA"/>
              </w:rPr>
            </w:pPr>
            <w:r w:rsidRPr="00902601">
              <w:rPr>
                <w:i/>
                <w:color w:val="4472C4"/>
                <w:sz w:val="16"/>
                <w:szCs w:val="16"/>
                <w:highlight w:val="green"/>
                <w:lang w:val="en-GB"/>
              </w:rPr>
              <w:t>3.3.4 The capacities of women and men beneficiaries are built by technical training</w:t>
            </w:r>
          </w:p>
        </w:tc>
        <w:tc>
          <w:tcPr>
            <w:tcW w:w="340" w:type="dxa"/>
            <w:shd w:val="clear" w:color="auto" w:fill="auto"/>
          </w:tcPr>
          <w:p w14:paraId="45CB1588" w14:textId="77777777" w:rsidR="00302BFE" w:rsidRPr="00902601" w:rsidRDefault="00302BFE" w:rsidP="00243B15">
            <w:pPr>
              <w:rPr>
                <w:highlight w:val="green"/>
                <w:lang w:val="en-CA"/>
              </w:rPr>
            </w:pPr>
          </w:p>
        </w:tc>
        <w:tc>
          <w:tcPr>
            <w:tcW w:w="340" w:type="dxa"/>
            <w:shd w:val="clear" w:color="auto" w:fill="auto"/>
          </w:tcPr>
          <w:p w14:paraId="1B05DB33" w14:textId="77777777" w:rsidR="00302BFE" w:rsidRPr="00902601" w:rsidRDefault="00302BFE" w:rsidP="00243B15">
            <w:pPr>
              <w:rPr>
                <w:highlight w:val="green"/>
                <w:lang w:val="en-CA"/>
              </w:rPr>
            </w:pPr>
          </w:p>
        </w:tc>
        <w:tc>
          <w:tcPr>
            <w:tcW w:w="340" w:type="dxa"/>
            <w:shd w:val="clear" w:color="auto" w:fill="auto"/>
          </w:tcPr>
          <w:p w14:paraId="4AB6F05E" w14:textId="77777777" w:rsidR="00302BFE" w:rsidRPr="00902601" w:rsidRDefault="00302BFE" w:rsidP="00243B15">
            <w:pPr>
              <w:rPr>
                <w:highlight w:val="green"/>
                <w:lang w:val="en-CA"/>
              </w:rPr>
            </w:pPr>
          </w:p>
        </w:tc>
        <w:tc>
          <w:tcPr>
            <w:tcW w:w="340" w:type="dxa"/>
            <w:shd w:val="clear" w:color="auto" w:fill="auto"/>
          </w:tcPr>
          <w:p w14:paraId="673032DE" w14:textId="77777777" w:rsidR="00302BFE" w:rsidRPr="00902601" w:rsidRDefault="00302BFE" w:rsidP="00243B15">
            <w:pPr>
              <w:rPr>
                <w:highlight w:val="green"/>
                <w:lang w:val="en-CA"/>
              </w:rPr>
            </w:pPr>
          </w:p>
        </w:tc>
        <w:tc>
          <w:tcPr>
            <w:tcW w:w="340" w:type="dxa"/>
            <w:shd w:val="clear" w:color="auto" w:fill="auto"/>
          </w:tcPr>
          <w:p w14:paraId="3F1C5DFE" w14:textId="77777777" w:rsidR="00302BFE" w:rsidRPr="00902601" w:rsidRDefault="00302BFE" w:rsidP="00243B15">
            <w:pPr>
              <w:rPr>
                <w:highlight w:val="green"/>
                <w:lang w:val="en-CA"/>
              </w:rPr>
            </w:pPr>
          </w:p>
        </w:tc>
        <w:tc>
          <w:tcPr>
            <w:tcW w:w="340" w:type="dxa"/>
            <w:shd w:val="clear" w:color="auto" w:fill="auto"/>
          </w:tcPr>
          <w:p w14:paraId="3E4EAFF7" w14:textId="77777777" w:rsidR="00302BFE" w:rsidRPr="00902601" w:rsidRDefault="00302BFE" w:rsidP="00243B15">
            <w:pPr>
              <w:rPr>
                <w:highlight w:val="green"/>
                <w:lang w:val="en-CA"/>
              </w:rPr>
            </w:pPr>
          </w:p>
        </w:tc>
        <w:tc>
          <w:tcPr>
            <w:tcW w:w="340" w:type="dxa"/>
            <w:shd w:val="clear" w:color="auto" w:fill="auto"/>
          </w:tcPr>
          <w:p w14:paraId="6BC176A3" w14:textId="77777777" w:rsidR="00302BFE" w:rsidRPr="00902601" w:rsidRDefault="00302BFE" w:rsidP="00243B15">
            <w:pPr>
              <w:rPr>
                <w:highlight w:val="green"/>
                <w:lang w:val="en-CA"/>
              </w:rPr>
            </w:pPr>
          </w:p>
        </w:tc>
        <w:tc>
          <w:tcPr>
            <w:tcW w:w="340" w:type="dxa"/>
            <w:shd w:val="clear" w:color="auto" w:fill="auto"/>
          </w:tcPr>
          <w:p w14:paraId="77F1383C"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7C073AB9"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3C64BED2"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7FF9629D"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1D49298F"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1ACC04A1"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1FDA5860"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167D2415"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59DDFEDD" w14:textId="77777777" w:rsidR="00302BFE" w:rsidRPr="00902601" w:rsidRDefault="00302BFE" w:rsidP="00243B15">
            <w:pPr>
              <w:rPr>
                <w:highlight w:val="green"/>
                <w:lang w:val="en-CA"/>
              </w:rPr>
            </w:pPr>
          </w:p>
        </w:tc>
        <w:tc>
          <w:tcPr>
            <w:tcW w:w="340" w:type="dxa"/>
            <w:shd w:val="clear" w:color="auto" w:fill="auto"/>
          </w:tcPr>
          <w:p w14:paraId="348737D5" w14:textId="77777777" w:rsidR="00302BFE" w:rsidRPr="00902601" w:rsidRDefault="00302BFE" w:rsidP="00243B15">
            <w:pPr>
              <w:rPr>
                <w:highlight w:val="green"/>
                <w:lang w:val="en-CA"/>
              </w:rPr>
            </w:pPr>
          </w:p>
        </w:tc>
        <w:tc>
          <w:tcPr>
            <w:tcW w:w="340" w:type="dxa"/>
            <w:shd w:val="clear" w:color="auto" w:fill="auto"/>
          </w:tcPr>
          <w:p w14:paraId="4275AE29" w14:textId="77777777" w:rsidR="00302BFE" w:rsidRPr="00902601" w:rsidRDefault="00302BFE" w:rsidP="00243B15">
            <w:pPr>
              <w:rPr>
                <w:highlight w:val="green"/>
                <w:lang w:val="en-CA"/>
              </w:rPr>
            </w:pPr>
          </w:p>
        </w:tc>
        <w:tc>
          <w:tcPr>
            <w:tcW w:w="340" w:type="dxa"/>
            <w:shd w:val="clear" w:color="auto" w:fill="auto"/>
          </w:tcPr>
          <w:p w14:paraId="37A7352F" w14:textId="77777777" w:rsidR="00302BFE" w:rsidRPr="00902601" w:rsidRDefault="00302BFE" w:rsidP="00243B15">
            <w:pPr>
              <w:rPr>
                <w:highlight w:val="green"/>
                <w:lang w:val="en-CA"/>
              </w:rPr>
            </w:pPr>
          </w:p>
        </w:tc>
        <w:tc>
          <w:tcPr>
            <w:tcW w:w="340" w:type="dxa"/>
            <w:shd w:val="clear" w:color="auto" w:fill="auto"/>
          </w:tcPr>
          <w:p w14:paraId="24B02132" w14:textId="77777777" w:rsidR="00302BFE" w:rsidRPr="00902601" w:rsidRDefault="00302BFE" w:rsidP="00243B15">
            <w:pPr>
              <w:rPr>
                <w:highlight w:val="green"/>
                <w:lang w:val="en-CA"/>
              </w:rPr>
            </w:pPr>
          </w:p>
        </w:tc>
        <w:tc>
          <w:tcPr>
            <w:tcW w:w="340" w:type="dxa"/>
            <w:shd w:val="clear" w:color="auto" w:fill="auto"/>
          </w:tcPr>
          <w:p w14:paraId="13F63BD5" w14:textId="77777777" w:rsidR="00302BFE" w:rsidRPr="00902601" w:rsidRDefault="00302BFE" w:rsidP="00243B15">
            <w:pPr>
              <w:rPr>
                <w:highlight w:val="green"/>
                <w:lang w:val="en-CA"/>
              </w:rPr>
            </w:pPr>
          </w:p>
        </w:tc>
        <w:tc>
          <w:tcPr>
            <w:tcW w:w="340" w:type="dxa"/>
            <w:shd w:val="clear" w:color="auto" w:fill="auto"/>
          </w:tcPr>
          <w:p w14:paraId="6862047D" w14:textId="77777777" w:rsidR="00302BFE" w:rsidRPr="00902601" w:rsidRDefault="00302BFE" w:rsidP="00243B15">
            <w:pPr>
              <w:rPr>
                <w:highlight w:val="green"/>
                <w:lang w:val="en-CA"/>
              </w:rPr>
            </w:pPr>
          </w:p>
        </w:tc>
        <w:tc>
          <w:tcPr>
            <w:tcW w:w="340" w:type="dxa"/>
            <w:shd w:val="clear" w:color="auto" w:fill="auto"/>
          </w:tcPr>
          <w:p w14:paraId="13530C66" w14:textId="77777777" w:rsidR="00302BFE" w:rsidRPr="00902601" w:rsidRDefault="00302BFE" w:rsidP="00243B15">
            <w:pPr>
              <w:rPr>
                <w:highlight w:val="green"/>
                <w:lang w:val="en-CA"/>
              </w:rPr>
            </w:pPr>
          </w:p>
        </w:tc>
        <w:tc>
          <w:tcPr>
            <w:tcW w:w="340" w:type="dxa"/>
            <w:shd w:val="clear" w:color="auto" w:fill="auto"/>
          </w:tcPr>
          <w:p w14:paraId="740F687D" w14:textId="77777777" w:rsidR="00302BFE" w:rsidRPr="00902601" w:rsidRDefault="00302BFE" w:rsidP="00243B15">
            <w:pPr>
              <w:rPr>
                <w:highlight w:val="green"/>
                <w:lang w:val="en-CA"/>
              </w:rPr>
            </w:pPr>
          </w:p>
        </w:tc>
      </w:tr>
      <w:tr w:rsidR="00EC409B" w:rsidRPr="00902601" w14:paraId="649DAD58" w14:textId="77777777" w:rsidTr="00755BF9">
        <w:trPr>
          <w:jc w:val="center"/>
        </w:trPr>
        <w:tc>
          <w:tcPr>
            <w:tcW w:w="5670" w:type="dxa"/>
            <w:shd w:val="clear" w:color="auto" w:fill="auto"/>
          </w:tcPr>
          <w:p w14:paraId="404B9271" w14:textId="77777777" w:rsidR="00302BFE" w:rsidRPr="00902601" w:rsidRDefault="00302BFE" w:rsidP="00243B15">
            <w:pPr>
              <w:rPr>
                <w:i/>
                <w:color w:val="4472C4"/>
                <w:sz w:val="16"/>
                <w:szCs w:val="16"/>
                <w:highlight w:val="green"/>
                <w:lang w:val="en-CA"/>
              </w:rPr>
            </w:pPr>
            <w:r w:rsidRPr="00902601">
              <w:rPr>
                <w:i/>
                <w:color w:val="4472C4"/>
                <w:sz w:val="16"/>
                <w:szCs w:val="16"/>
                <w:highlight w:val="green"/>
                <w:lang w:val="en-GB"/>
              </w:rPr>
              <w:t>3.3.5 Securing access to resources that support value chains and their sustainability to maximize revenue</w:t>
            </w:r>
          </w:p>
        </w:tc>
        <w:tc>
          <w:tcPr>
            <w:tcW w:w="340" w:type="dxa"/>
            <w:shd w:val="clear" w:color="auto" w:fill="auto"/>
          </w:tcPr>
          <w:p w14:paraId="2E3DD151" w14:textId="77777777" w:rsidR="00302BFE" w:rsidRPr="00902601" w:rsidRDefault="00302BFE" w:rsidP="00243B15">
            <w:pPr>
              <w:rPr>
                <w:highlight w:val="green"/>
                <w:lang w:val="en-CA"/>
              </w:rPr>
            </w:pPr>
          </w:p>
        </w:tc>
        <w:tc>
          <w:tcPr>
            <w:tcW w:w="340" w:type="dxa"/>
            <w:shd w:val="clear" w:color="auto" w:fill="auto"/>
          </w:tcPr>
          <w:p w14:paraId="1493E938" w14:textId="77777777" w:rsidR="00302BFE" w:rsidRPr="00902601" w:rsidRDefault="00302BFE" w:rsidP="00243B15">
            <w:pPr>
              <w:rPr>
                <w:highlight w:val="green"/>
                <w:lang w:val="en-CA"/>
              </w:rPr>
            </w:pPr>
          </w:p>
        </w:tc>
        <w:tc>
          <w:tcPr>
            <w:tcW w:w="340" w:type="dxa"/>
            <w:shd w:val="clear" w:color="auto" w:fill="auto"/>
          </w:tcPr>
          <w:p w14:paraId="0966C630" w14:textId="77777777" w:rsidR="00302BFE" w:rsidRPr="00902601" w:rsidRDefault="00302BFE" w:rsidP="00243B15">
            <w:pPr>
              <w:rPr>
                <w:highlight w:val="green"/>
                <w:lang w:val="en-CA"/>
              </w:rPr>
            </w:pPr>
          </w:p>
        </w:tc>
        <w:tc>
          <w:tcPr>
            <w:tcW w:w="340" w:type="dxa"/>
            <w:shd w:val="clear" w:color="auto" w:fill="auto"/>
          </w:tcPr>
          <w:p w14:paraId="46CDE5CC" w14:textId="77777777" w:rsidR="00302BFE" w:rsidRPr="00902601" w:rsidRDefault="00302BFE" w:rsidP="00243B15">
            <w:pPr>
              <w:rPr>
                <w:highlight w:val="green"/>
                <w:lang w:val="en-CA"/>
              </w:rPr>
            </w:pPr>
          </w:p>
        </w:tc>
        <w:tc>
          <w:tcPr>
            <w:tcW w:w="340" w:type="dxa"/>
            <w:shd w:val="clear" w:color="auto" w:fill="auto"/>
          </w:tcPr>
          <w:p w14:paraId="63F58C16" w14:textId="77777777" w:rsidR="00302BFE" w:rsidRPr="00902601" w:rsidRDefault="00302BFE" w:rsidP="00243B15">
            <w:pPr>
              <w:rPr>
                <w:highlight w:val="green"/>
                <w:lang w:val="en-CA"/>
              </w:rPr>
            </w:pPr>
          </w:p>
        </w:tc>
        <w:tc>
          <w:tcPr>
            <w:tcW w:w="340" w:type="dxa"/>
            <w:shd w:val="clear" w:color="auto" w:fill="auto"/>
          </w:tcPr>
          <w:p w14:paraId="5E0C250C" w14:textId="77777777" w:rsidR="00302BFE" w:rsidRPr="00902601" w:rsidRDefault="00302BFE" w:rsidP="00243B15">
            <w:pPr>
              <w:rPr>
                <w:highlight w:val="green"/>
                <w:lang w:val="en-CA"/>
              </w:rPr>
            </w:pPr>
          </w:p>
        </w:tc>
        <w:tc>
          <w:tcPr>
            <w:tcW w:w="340" w:type="dxa"/>
            <w:shd w:val="clear" w:color="auto" w:fill="auto"/>
          </w:tcPr>
          <w:p w14:paraId="12F61D45" w14:textId="77777777" w:rsidR="00302BFE" w:rsidRPr="00902601" w:rsidRDefault="00302BFE" w:rsidP="00243B15">
            <w:pPr>
              <w:rPr>
                <w:highlight w:val="green"/>
                <w:lang w:val="en-CA"/>
              </w:rPr>
            </w:pPr>
          </w:p>
        </w:tc>
        <w:tc>
          <w:tcPr>
            <w:tcW w:w="340" w:type="dxa"/>
            <w:shd w:val="clear" w:color="auto" w:fill="auto"/>
          </w:tcPr>
          <w:p w14:paraId="06CDA6BA" w14:textId="77777777" w:rsidR="00302BFE" w:rsidRPr="00902601" w:rsidRDefault="00302BFE" w:rsidP="00243B15">
            <w:pPr>
              <w:rPr>
                <w:highlight w:val="green"/>
                <w:lang w:val="en-CA"/>
              </w:rPr>
            </w:pPr>
          </w:p>
        </w:tc>
        <w:tc>
          <w:tcPr>
            <w:tcW w:w="340" w:type="dxa"/>
            <w:shd w:val="clear" w:color="auto" w:fill="D9D9D9"/>
          </w:tcPr>
          <w:p w14:paraId="1A81EC10" w14:textId="77777777" w:rsidR="00302BFE" w:rsidRPr="00902601" w:rsidRDefault="00302BFE" w:rsidP="00243B15">
            <w:pPr>
              <w:rPr>
                <w:highlight w:val="green"/>
                <w:lang w:val="en-CA"/>
              </w:rPr>
            </w:pPr>
          </w:p>
        </w:tc>
        <w:tc>
          <w:tcPr>
            <w:tcW w:w="340" w:type="dxa"/>
            <w:shd w:val="clear" w:color="auto" w:fill="D9D9D9"/>
          </w:tcPr>
          <w:p w14:paraId="0549E806" w14:textId="77777777" w:rsidR="00302BFE" w:rsidRPr="00902601" w:rsidRDefault="00302BFE" w:rsidP="00243B15">
            <w:pPr>
              <w:rPr>
                <w:highlight w:val="green"/>
                <w:lang w:val="en-CA"/>
              </w:rPr>
            </w:pPr>
          </w:p>
        </w:tc>
        <w:tc>
          <w:tcPr>
            <w:tcW w:w="340" w:type="dxa"/>
            <w:shd w:val="clear" w:color="auto" w:fill="D9D9D9"/>
          </w:tcPr>
          <w:p w14:paraId="7F56E938" w14:textId="77777777" w:rsidR="00302BFE" w:rsidRPr="00902601" w:rsidRDefault="00302BFE" w:rsidP="00243B15">
            <w:pPr>
              <w:rPr>
                <w:highlight w:val="green"/>
                <w:lang w:val="en-CA"/>
              </w:rPr>
            </w:pPr>
          </w:p>
        </w:tc>
        <w:tc>
          <w:tcPr>
            <w:tcW w:w="340" w:type="dxa"/>
            <w:shd w:val="clear" w:color="auto" w:fill="D9D9D9"/>
          </w:tcPr>
          <w:p w14:paraId="443E0EA4" w14:textId="77777777" w:rsidR="00302BFE" w:rsidRPr="00902601" w:rsidRDefault="00302BFE" w:rsidP="00243B15">
            <w:pPr>
              <w:rPr>
                <w:highlight w:val="green"/>
                <w:lang w:val="en-CA"/>
              </w:rPr>
            </w:pPr>
          </w:p>
        </w:tc>
        <w:tc>
          <w:tcPr>
            <w:tcW w:w="340" w:type="dxa"/>
            <w:shd w:val="clear" w:color="auto" w:fill="D9D9D9"/>
          </w:tcPr>
          <w:p w14:paraId="1BC488D1" w14:textId="77777777" w:rsidR="00302BFE" w:rsidRPr="00902601" w:rsidRDefault="00302BFE" w:rsidP="00243B15">
            <w:pPr>
              <w:rPr>
                <w:highlight w:val="green"/>
                <w:lang w:val="en-CA"/>
              </w:rPr>
            </w:pPr>
          </w:p>
        </w:tc>
        <w:tc>
          <w:tcPr>
            <w:tcW w:w="340" w:type="dxa"/>
            <w:shd w:val="clear" w:color="auto" w:fill="D9D9D9"/>
          </w:tcPr>
          <w:p w14:paraId="5DC1683B" w14:textId="77777777" w:rsidR="00302BFE" w:rsidRPr="00902601" w:rsidRDefault="00302BFE" w:rsidP="00243B15">
            <w:pPr>
              <w:rPr>
                <w:highlight w:val="green"/>
                <w:lang w:val="en-CA"/>
              </w:rPr>
            </w:pPr>
          </w:p>
        </w:tc>
        <w:tc>
          <w:tcPr>
            <w:tcW w:w="340" w:type="dxa"/>
            <w:shd w:val="clear" w:color="auto" w:fill="D9D9D9"/>
          </w:tcPr>
          <w:p w14:paraId="5FC88303" w14:textId="77777777" w:rsidR="00302BFE" w:rsidRPr="00902601" w:rsidRDefault="00302BFE" w:rsidP="00243B15">
            <w:pPr>
              <w:rPr>
                <w:highlight w:val="green"/>
                <w:lang w:val="en-CA"/>
              </w:rPr>
            </w:pPr>
          </w:p>
        </w:tc>
        <w:tc>
          <w:tcPr>
            <w:tcW w:w="340" w:type="dxa"/>
            <w:shd w:val="clear" w:color="auto" w:fill="D9D9D9"/>
          </w:tcPr>
          <w:p w14:paraId="2A56F34A"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64C0389E"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3D490454"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3537D8D1"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3A859CA6"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32D75429"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09C48A28"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53F4CB2A" w14:textId="77777777" w:rsidR="00302BFE" w:rsidRPr="00902601" w:rsidRDefault="00302BFE" w:rsidP="00243B15">
            <w:pPr>
              <w:rPr>
                <w:highlight w:val="green"/>
                <w:lang w:val="en-CA"/>
              </w:rPr>
            </w:pPr>
          </w:p>
        </w:tc>
        <w:tc>
          <w:tcPr>
            <w:tcW w:w="340" w:type="dxa"/>
            <w:shd w:val="clear" w:color="auto" w:fill="auto"/>
          </w:tcPr>
          <w:p w14:paraId="7122F1A8" w14:textId="77777777" w:rsidR="00302BFE" w:rsidRPr="00902601" w:rsidRDefault="00302BFE" w:rsidP="00243B15">
            <w:pPr>
              <w:rPr>
                <w:highlight w:val="green"/>
                <w:lang w:val="en-CA"/>
              </w:rPr>
            </w:pPr>
          </w:p>
        </w:tc>
      </w:tr>
      <w:tr w:rsidR="005979FD" w:rsidRPr="00902601" w14:paraId="20443077" w14:textId="77777777" w:rsidTr="00CC2FAC">
        <w:trPr>
          <w:jc w:val="center"/>
        </w:trPr>
        <w:tc>
          <w:tcPr>
            <w:tcW w:w="5670" w:type="dxa"/>
            <w:shd w:val="clear" w:color="auto" w:fill="auto"/>
          </w:tcPr>
          <w:p w14:paraId="100FF7CA" w14:textId="77777777" w:rsidR="00302BFE" w:rsidRPr="00902601" w:rsidRDefault="00302BFE" w:rsidP="00243B15">
            <w:pPr>
              <w:rPr>
                <w:i/>
                <w:color w:val="4472C4"/>
                <w:sz w:val="16"/>
                <w:szCs w:val="16"/>
                <w:highlight w:val="green"/>
                <w:lang w:val="en-CA"/>
              </w:rPr>
            </w:pPr>
            <w:r w:rsidRPr="00902601">
              <w:rPr>
                <w:i/>
                <w:color w:val="4472C4"/>
                <w:sz w:val="16"/>
                <w:szCs w:val="16"/>
                <w:highlight w:val="green"/>
                <w:lang w:val="en-GB"/>
              </w:rPr>
              <w:t>3.3.6 Support to the production activity</w:t>
            </w:r>
          </w:p>
        </w:tc>
        <w:tc>
          <w:tcPr>
            <w:tcW w:w="340" w:type="dxa"/>
            <w:shd w:val="clear" w:color="auto" w:fill="auto"/>
          </w:tcPr>
          <w:p w14:paraId="4FA1CCA9" w14:textId="77777777" w:rsidR="00302BFE" w:rsidRPr="00902601" w:rsidRDefault="00302BFE" w:rsidP="00243B15">
            <w:pPr>
              <w:rPr>
                <w:highlight w:val="green"/>
                <w:lang w:val="en-CA"/>
              </w:rPr>
            </w:pPr>
          </w:p>
        </w:tc>
        <w:tc>
          <w:tcPr>
            <w:tcW w:w="340" w:type="dxa"/>
            <w:shd w:val="clear" w:color="auto" w:fill="auto"/>
          </w:tcPr>
          <w:p w14:paraId="0D3545CA" w14:textId="77777777" w:rsidR="00302BFE" w:rsidRPr="00902601" w:rsidRDefault="00302BFE" w:rsidP="00243B15">
            <w:pPr>
              <w:rPr>
                <w:highlight w:val="green"/>
                <w:lang w:val="en-CA"/>
              </w:rPr>
            </w:pPr>
          </w:p>
        </w:tc>
        <w:tc>
          <w:tcPr>
            <w:tcW w:w="340" w:type="dxa"/>
            <w:shd w:val="clear" w:color="auto" w:fill="auto"/>
          </w:tcPr>
          <w:p w14:paraId="4FC31A6B" w14:textId="77777777" w:rsidR="00302BFE" w:rsidRPr="00902601" w:rsidRDefault="00302BFE" w:rsidP="00243B15">
            <w:pPr>
              <w:rPr>
                <w:highlight w:val="green"/>
                <w:lang w:val="en-CA"/>
              </w:rPr>
            </w:pPr>
          </w:p>
        </w:tc>
        <w:tc>
          <w:tcPr>
            <w:tcW w:w="340" w:type="dxa"/>
            <w:shd w:val="clear" w:color="auto" w:fill="auto"/>
          </w:tcPr>
          <w:p w14:paraId="0AD95204" w14:textId="77777777" w:rsidR="00302BFE" w:rsidRPr="00902601" w:rsidRDefault="00302BFE" w:rsidP="00243B15">
            <w:pPr>
              <w:rPr>
                <w:highlight w:val="green"/>
                <w:lang w:val="en-CA"/>
              </w:rPr>
            </w:pPr>
          </w:p>
        </w:tc>
        <w:tc>
          <w:tcPr>
            <w:tcW w:w="340" w:type="dxa"/>
            <w:shd w:val="clear" w:color="auto" w:fill="auto"/>
          </w:tcPr>
          <w:p w14:paraId="4E2C2072" w14:textId="77777777" w:rsidR="00302BFE" w:rsidRPr="00902601" w:rsidRDefault="00302BFE" w:rsidP="00243B15">
            <w:pPr>
              <w:rPr>
                <w:highlight w:val="green"/>
                <w:lang w:val="en-CA"/>
              </w:rPr>
            </w:pPr>
          </w:p>
        </w:tc>
        <w:tc>
          <w:tcPr>
            <w:tcW w:w="340" w:type="dxa"/>
            <w:shd w:val="clear" w:color="auto" w:fill="auto"/>
          </w:tcPr>
          <w:p w14:paraId="0DE589B6" w14:textId="77777777" w:rsidR="00302BFE" w:rsidRPr="00902601" w:rsidRDefault="00302BFE" w:rsidP="00243B15">
            <w:pPr>
              <w:rPr>
                <w:highlight w:val="green"/>
                <w:lang w:val="en-CA"/>
              </w:rPr>
            </w:pPr>
          </w:p>
        </w:tc>
        <w:tc>
          <w:tcPr>
            <w:tcW w:w="340" w:type="dxa"/>
            <w:shd w:val="clear" w:color="auto" w:fill="auto"/>
          </w:tcPr>
          <w:p w14:paraId="39E0CBDB" w14:textId="77777777" w:rsidR="00302BFE" w:rsidRPr="00902601" w:rsidRDefault="00302BFE" w:rsidP="00243B15">
            <w:pPr>
              <w:rPr>
                <w:highlight w:val="green"/>
                <w:lang w:val="en-CA"/>
              </w:rPr>
            </w:pPr>
          </w:p>
        </w:tc>
        <w:tc>
          <w:tcPr>
            <w:tcW w:w="340" w:type="dxa"/>
            <w:shd w:val="clear" w:color="auto" w:fill="auto"/>
          </w:tcPr>
          <w:p w14:paraId="7FF967FF" w14:textId="77777777" w:rsidR="00302BFE" w:rsidRPr="00902601" w:rsidRDefault="00302BFE" w:rsidP="00243B15">
            <w:pPr>
              <w:rPr>
                <w:highlight w:val="green"/>
                <w:lang w:val="en-CA"/>
              </w:rPr>
            </w:pPr>
          </w:p>
        </w:tc>
        <w:tc>
          <w:tcPr>
            <w:tcW w:w="340" w:type="dxa"/>
            <w:shd w:val="clear" w:color="auto" w:fill="D9D9D9"/>
          </w:tcPr>
          <w:p w14:paraId="1E17A0DE" w14:textId="77777777" w:rsidR="00302BFE" w:rsidRPr="00902601" w:rsidRDefault="00302BFE" w:rsidP="00243B15">
            <w:pPr>
              <w:rPr>
                <w:highlight w:val="green"/>
                <w:lang w:val="en-CA"/>
              </w:rPr>
            </w:pPr>
          </w:p>
        </w:tc>
        <w:tc>
          <w:tcPr>
            <w:tcW w:w="340" w:type="dxa"/>
            <w:shd w:val="clear" w:color="auto" w:fill="D9D9D9"/>
          </w:tcPr>
          <w:p w14:paraId="0B83289D" w14:textId="77777777" w:rsidR="00302BFE" w:rsidRPr="00902601" w:rsidRDefault="00302BFE" w:rsidP="00243B15">
            <w:pPr>
              <w:rPr>
                <w:highlight w:val="green"/>
                <w:lang w:val="en-CA"/>
              </w:rPr>
            </w:pPr>
          </w:p>
        </w:tc>
        <w:tc>
          <w:tcPr>
            <w:tcW w:w="340" w:type="dxa"/>
            <w:shd w:val="clear" w:color="auto" w:fill="D9D9D9"/>
          </w:tcPr>
          <w:p w14:paraId="41B9B8D8" w14:textId="77777777" w:rsidR="00302BFE" w:rsidRPr="00902601" w:rsidRDefault="00302BFE" w:rsidP="00243B15">
            <w:pPr>
              <w:rPr>
                <w:highlight w:val="green"/>
                <w:lang w:val="en-CA"/>
              </w:rPr>
            </w:pPr>
          </w:p>
        </w:tc>
        <w:tc>
          <w:tcPr>
            <w:tcW w:w="340" w:type="dxa"/>
            <w:shd w:val="clear" w:color="auto" w:fill="D9D9D9"/>
          </w:tcPr>
          <w:p w14:paraId="0CF51DF3"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328AA0D6"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0B48F601"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09124A0D"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1DAF855B" w14:textId="77777777" w:rsidR="00302BFE" w:rsidRPr="00902601" w:rsidRDefault="00302BFE" w:rsidP="00243B15">
            <w:pPr>
              <w:rPr>
                <w:highlight w:val="green"/>
                <w:lang w:val="en-CA"/>
              </w:rPr>
            </w:pPr>
          </w:p>
        </w:tc>
        <w:tc>
          <w:tcPr>
            <w:tcW w:w="340" w:type="dxa"/>
            <w:shd w:val="clear" w:color="auto" w:fill="D9D9D9"/>
          </w:tcPr>
          <w:p w14:paraId="719BA31C" w14:textId="77777777" w:rsidR="00302BFE" w:rsidRPr="00902601" w:rsidRDefault="00302BFE" w:rsidP="00243B15">
            <w:pPr>
              <w:rPr>
                <w:highlight w:val="green"/>
                <w:lang w:val="en-CA"/>
              </w:rPr>
            </w:pPr>
          </w:p>
        </w:tc>
        <w:tc>
          <w:tcPr>
            <w:tcW w:w="340" w:type="dxa"/>
            <w:shd w:val="clear" w:color="auto" w:fill="D9D9D9"/>
          </w:tcPr>
          <w:p w14:paraId="7ACD6C11" w14:textId="77777777" w:rsidR="00302BFE" w:rsidRPr="00902601" w:rsidRDefault="00302BFE" w:rsidP="00243B15">
            <w:pPr>
              <w:rPr>
                <w:highlight w:val="green"/>
                <w:lang w:val="en-CA"/>
              </w:rPr>
            </w:pPr>
          </w:p>
        </w:tc>
        <w:tc>
          <w:tcPr>
            <w:tcW w:w="340" w:type="dxa"/>
            <w:shd w:val="clear" w:color="auto" w:fill="D9D9D9"/>
          </w:tcPr>
          <w:p w14:paraId="35B7D4F8" w14:textId="77777777" w:rsidR="00302BFE" w:rsidRPr="00902601" w:rsidRDefault="00302BFE" w:rsidP="00243B15">
            <w:pPr>
              <w:rPr>
                <w:highlight w:val="green"/>
                <w:lang w:val="en-CA"/>
              </w:rPr>
            </w:pPr>
          </w:p>
        </w:tc>
        <w:tc>
          <w:tcPr>
            <w:tcW w:w="340" w:type="dxa"/>
            <w:shd w:val="clear" w:color="auto" w:fill="D9D9D9"/>
          </w:tcPr>
          <w:p w14:paraId="6871ED42" w14:textId="77777777" w:rsidR="00302BFE" w:rsidRPr="00902601" w:rsidRDefault="00302BFE" w:rsidP="00243B15">
            <w:pPr>
              <w:rPr>
                <w:highlight w:val="green"/>
                <w:lang w:val="en-CA"/>
              </w:rPr>
            </w:pPr>
          </w:p>
        </w:tc>
        <w:tc>
          <w:tcPr>
            <w:tcW w:w="340" w:type="dxa"/>
            <w:shd w:val="clear" w:color="auto" w:fill="D9D9D9"/>
          </w:tcPr>
          <w:p w14:paraId="75A7DB88" w14:textId="77777777" w:rsidR="00302BFE" w:rsidRPr="00902601" w:rsidRDefault="00302BFE" w:rsidP="00243B15">
            <w:pPr>
              <w:rPr>
                <w:highlight w:val="green"/>
                <w:lang w:val="en-CA"/>
              </w:rPr>
            </w:pPr>
          </w:p>
        </w:tc>
        <w:tc>
          <w:tcPr>
            <w:tcW w:w="340" w:type="dxa"/>
            <w:shd w:val="clear" w:color="auto" w:fill="D9D9D9"/>
          </w:tcPr>
          <w:p w14:paraId="439DF973" w14:textId="77777777" w:rsidR="00302BFE" w:rsidRPr="00902601" w:rsidRDefault="00302BFE" w:rsidP="00243B15">
            <w:pPr>
              <w:rPr>
                <w:highlight w:val="green"/>
                <w:lang w:val="en-CA"/>
              </w:rPr>
            </w:pPr>
          </w:p>
        </w:tc>
        <w:tc>
          <w:tcPr>
            <w:tcW w:w="340" w:type="dxa"/>
            <w:shd w:val="clear" w:color="auto" w:fill="D9D9D9"/>
          </w:tcPr>
          <w:p w14:paraId="1E779329" w14:textId="77777777" w:rsidR="00302BFE" w:rsidRPr="00902601" w:rsidRDefault="00302BFE" w:rsidP="00243B15">
            <w:pPr>
              <w:rPr>
                <w:highlight w:val="green"/>
                <w:lang w:val="en-CA"/>
              </w:rPr>
            </w:pPr>
          </w:p>
        </w:tc>
        <w:tc>
          <w:tcPr>
            <w:tcW w:w="340" w:type="dxa"/>
            <w:shd w:val="clear" w:color="auto" w:fill="auto"/>
          </w:tcPr>
          <w:p w14:paraId="6C555253" w14:textId="77777777" w:rsidR="00302BFE" w:rsidRPr="00902601" w:rsidRDefault="00302BFE" w:rsidP="00243B15">
            <w:pPr>
              <w:rPr>
                <w:highlight w:val="green"/>
                <w:lang w:val="en-CA"/>
              </w:rPr>
            </w:pPr>
          </w:p>
        </w:tc>
      </w:tr>
      <w:tr w:rsidR="00EC409B" w:rsidRPr="00902601" w14:paraId="1B980DC1" w14:textId="77777777" w:rsidTr="00755BF9">
        <w:trPr>
          <w:jc w:val="center"/>
        </w:trPr>
        <w:tc>
          <w:tcPr>
            <w:tcW w:w="5670" w:type="dxa"/>
            <w:shd w:val="clear" w:color="auto" w:fill="auto"/>
          </w:tcPr>
          <w:p w14:paraId="730417E0" w14:textId="77777777" w:rsidR="00302BFE" w:rsidRPr="00902601" w:rsidRDefault="00302BFE" w:rsidP="00243B15">
            <w:pPr>
              <w:rPr>
                <w:i/>
                <w:color w:val="4472C4"/>
                <w:sz w:val="16"/>
                <w:szCs w:val="16"/>
                <w:highlight w:val="green"/>
              </w:rPr>
            </w:pPr>
            <w:r w:rsidRPr="00902601">
              <w:rPr>
                <w:i/>
                <w:color w:val="4472C4"/>
                <w:sz w:val="16"/>
                <w:szCs w:val="16"/>
                <w:highlight w:val="green"/>
                <w:lang w:val="en-GB"/>
              </w:rPr>
              <w:t>3.3.7 Support for marketing</w:t>
            </w:r>
          </w:p>
        </w:tc>
        <w:tc>
          <w:tcPr>
            <w:tcW w:w="340" w:type="dxa"/>
            <w:shd w:val="clear" w:color="auto" w:fill="auto"/>
          </w:tcPr>
          <w:p w14:paraId="7F14D39F" w14:textId="77777777" w:rsidR="00302BFE" w:rsidRPr="00902601" w:rsidRDefault="00302BFE" w:rsidP="00243B15">
            <w:pPr>
              <w:rPr>
                <w:highlight w:val="green"/>
              </w:rPr>
            </w:pPr>
          </w:p>
        </w:tc>
        <w:tc>
          <w:tcPr>
            <w:tcW w:w="340" w:type="dxa"/>
            <w:shd w:val="clear" w:color="auto" w:fill="auto"/>
          </w:tcPr>
          <w:p w14:paraId="5D0786A7" w14:textId="77777777" w:rsidR="00302BFE" w:rsidRPr="00902601" w:rsidRDefault="00302BFE" w:rsidP="00243B15">
            <w:pPr>
              <w:rPr>
                <w:highlight w:val="green"/>
              </w:rPr>
            </w:pPr>
          </w:p>
        </w:tc>
        <w:tc>
          <w:tcPr>
            <w:tcW w:w="340" w:type="dxa"/>
            <w:shd w:val="clear" w:color="auto" w:fill="auto"/>
          </w:tcPr>
          <w:p w14:paraId="04C5934E" w14:textId="77777777" w:rsidR="00302BFE" w:rsidRPr="00902601" w:rsidRDefault="00302BFE" w:rsidP="00243B15">
            <w:pPr>
              <w:rPr>
                <w:highlight w:val="green"/>
              </w:rPr>
            </w:pPr>
          </w:p>
        </w:tc>
        <w:tc>
          <w:tcPr>
            <w:tcW w:w="340" w:type="dxa"/>
            <w:shd w:val="clear" w:color="auto" w:fill="auto"/>
          </w:tcPr>
          <w:p w14:paraId="2AB0DAA0" w14:textId="77777777" w:rsidR="00302BFE" w:rsidRPr="00902601" w:rsidRDefault="00302BFE" w:rsidP="00243B15">
            <w:pPr>
              <w:rPr>
                <w:highlight w:val="green"/>
              </w:rPr>
            </w:pPr>
          </w:p>
        </w:tc>
        <w:tc>
          <w:tcPr>
            <w:tcW w:w="340" w:type="dxa"/>
            <w:shd w:val="clear" w:color="auto" w:fill="auto"/>
          </w:tcPr>
          <w:p w14:paraId="5DBFE3F2" w14:textId="77777777" w:rsidR="00302BFE" w:rsidRPr="00902601" w:rsidRDefault="00302BFE" w:rsidP="00243B15">
            <w:pPr>
              <w:rPr>
                <w:highlight w:val="green"/>
              </w:rPr>
            </w:pPr>
          </w:p>
        </w:tc>
        <w:tc>
          <w:tcPr>
            <w:tcW w:w="340" w:type="dxa"/>
            <w:shd w:val="clear" w:color="auto" w:fill="auto"/>
          </w:tcPr>
          <w:p w14:paraId="2598A11E" w14:textId="77777777" w:rsidR="00302BFE" w:rsidRPr="00902601" w:rsidRDefault="00302BFE" w:rsidP="00243B15">
            <w:pPr>
              <w:rPr>
                <w:highlight w:val="green"/>
              </w:rPr>
            </w:pPr>
          </w:p>
        </w:tc>
        <w:tc>
          <w:tcPr>
            <w:tcW w:w="340" w:type="dxa"/>
            <w:shd w:val="clear" w:color="auto" w:fill="auto"/>
          </w:tcPr>
          <w:p w14:paraId="6B69CC72" w14:textId="77777777" w:rsidR="00302BFE" w:rsidRPr="00902601" w:rsidRDefault="00302BFE" w:rsidP="00243B15">
            <w:pPr>
              <w:rPr>
                <w:highlight w:val="green"/>
              </w:rPr>
            </w:pPr>
          </w:p>
        </w:tc>
        <w:tc>
          <w:tcPr>
            <w:tcW w:w="340" w:type="dxa"/>
            <w:shd w:val="clear" w:color="auto" w:fill="auto"/>
          </w:tcPr>
          <w:p w14:paraId="54D5155E" w14:textId="77777777" w:rsidR="00302BFE" w:rsidRPr="00902601" w:rsidRDefault="00302BFE" w:rsidP="00243B15">
            <w:pPr>
              <w:rPr>
                <w:highlight w:val="green"/>
              </w:rPr>
            </w:pPr>
          </w:p>
        </w:tc>
        <w:tc>
          <w:tcPr>
            <w:tcW w:w="340" w:type="dxa"/>
            <w:shd w:val="clear" w:color="auto" w:fill="auto"/>
          </w:tcPr>
          <w:p w14:paraId="0DA19CFB" w14:textId="77777777" w:rsidR="00302BFE" w:rsidRPr="00902601" w:rsidRDefault="00302BFE" w:rsidP="00243B15">
            <w:pPr>
              <w:rPr>
                <w:highlight w:val="green"/>
              </w:rPr>
            </w:pPr>
          </w:p>
        </w:tc>
        <w:tc>
          <w:tcPr>
            <w:tcW w:w="340" w:type="dxa"/>
            <w:shd w:val="clear" w:color="auto" w:fill="auto"/>
          </w:tcPr>
          <w:p w14:paraId="0C0FF6E5" w14:textId="77777777" w:rsidR="00302BFE" w:rsidRPr="00902601" w:rsidRDefault="00302BFE" w:rsidP="00243B15">
            <w:pPr>
              <w:rPr>
                <w:highlight w:val="green"/>
              </w:rPr>
            </w:pPr>
          </w:p>
        </w:tc>
        <w:tc>
          <w:tcPr>
            <w:tcW w:w="340" w:type="dxa"/>
            <w:shd w:val="clear" w:color="auto" w:fill="auto"/>
          </w:tcPr>
          <w:p w14:paraId="5B7F5B06" w14:textId="77777777" w:rsidR="00302BFE" w:rsidRPr="00902601" w:rsidRDefault="00302BFE" w:rsidP="00243B15">
            <w:pPr>
              <w:rPr>
                <w:highlight w:val="green"/>
              </w:rPr>
            </w:pPr>
          </w:p>
        </w:tc>
        <w:tc>
          <w:tcPr>
            <w:tcW w:w="340" w:type="dxa"/>
            <w:shd w:val="clear" w:color="auto" w:fill="auto"/>
          </w:tcPr>
          <w:p w14:paraId="3FD3D8FC" w14:textId="77777777" w:rsidR="00302BFE" w:rsidRPr="00902601" w:rsidRDefault="00302BFE" w:rsidP="00243B15">
            <w:pPr>
              <w:rPr>
                <w:highlight w:val="green"/>
              </w:rPr>
            </w:pPr>
          </w:p>
        </w:tc>
        <w:tc>
          <w:tcPr>
            <w:tcW w:w="340" w:type="dxa"/>
            <w:shd w:val="clear" w:color="auto" w:fill="D9D9D9"/>
          </w:tcPr>
          <w:p w14:paraId="3D38134A" w14:textId="77777777" w:rsidR="00302BFE" w:rsidRPr="00902601" w:rsidRDefault="00302BFE" w:rsidP="00243B15">
            <w:pPr>
              <w:rPr>
                <w:highlight w:val="green"/>
              </w:rPr>
            </w:pPr>
          </w:p>
        </w:tc>
        <w:tc>
          <w:tcPr>
            <w:tcW w:w="340" w:type="dxa"/>
            <w:shd w:val="clear" w:color="auto" w:fill="D9D9D9"/>
          </w:tcPr>
          <w:p w14:paraId="2B48CC42" w14:textId="77777777" w:rsidR="00302BFE" w:rsidRPr="00902601" w:rsidRDefault="00302BFE" w:rsidP="00243B15">
            <w:pPr>
              <w:rPr>
                <w:highlight w:val="green"/>
              </w:rPr>
            </w:pPr>
          </w:p>
        </w:tc>
        <w:tc>
          <w:tcPr>
            <w:tcW w:w="340" w:type="dxa"/>
            <w:shd w:val="clear" w:color="auto" w:fill="D9D9D9"/>
          </w:tcPr>
          <w:p w14:paraId="22D0D9AB" w14:textId="77777777" w:rsidR="00302BFE" w:rsidRPr="00902601" w:rsidRDefault="00302BFE" w:rsidP="00243B15">
            <w:pPr>
              <w:rPr>
                <w:highlight w:val="green"/>
              </w:rPr>
            </w:pPr>
          </w:p>
        </w:tc>
        <w:tc>
          <w:tcPr>
            <w:tcW w:w="340" w:type="dxa"/>
            <w:shd w:val="clear" w:color="auto" w:fill="D9D9D9"/>
          </w:tcPr>
          <w:p w14:paraId="413B38DB" w14:textId="77777777" w:rsidR="00302BFE" w:rsidRPr="00902601" w:rsidRDefault="00302BFE" w:rsidP="00243B15">
            <w:pPr>
              <w:rPr>
                <w:highlight w:val="green"/>
              </w:rPr>
            </w:pPr>
          </w:p>
        </w:tc>
        <w:tc>
          <w:tcPr>
            <w:tcW w:w="340" w:type="dxa"/>
            <w:shd w:val="clear" w:color="auto" w:fill="D9D9D9"/>
          </w:tcPr>
          <w:p w14:paraId="18010B31" w14:textId="77777777" w:rsidR="00302BFE" w:rsidRPr="00902601" w:rsidRDefault="00302BFE" w:rsidP="00243B15">
            <w:pPr>
              <w:rPr>
                <w:highlight w:val="green"/>
              </w:rPr>
            </w:pPr>
          </w:p>
        </w:tc>
        <w:tc>
          <w:tcPr>
            <w:tcW w:w="340" w:type="dxa"/>
            <w:shd w:val="clear" w:color="auto" w:fill="D9D9D9"/>
          </w:tcPr>
          <w:p w14:paraId="7B172446" w14:textId="77777777" w:rsidR="00302BFE" w:rsidRPr="00902601" w:rsidRDefault="00302BFE" w:rsidP="00243B15">
            <w:pPr>
              <w:rPr>
                <w:highlight w:val="green"/>
              </w:rPr>
            </w:pPr>
          </w:p>
        </w:tc>
        <w:tc>
          <w:tcPr>
            <w:tcW w:w="340" w:type="dxa"/>
            <w:shd w:val="clear" w:color="auto" w:fill="D9D9D9"/>
          </w:tcPr>
          <w:p w14:paraId="41D78A97" w14:textId="77777777" w:rsidR="00302BFE" w:rsidRPr="00902601" w:rsidRDefault="00302BFE" w:rsidP="00243B15">
            <w:pPr>
              <w:rPr>
                <w:highlight w:val="green"/>
              </w:rPr>
            </w:pPr>
          </w:p>
        </w:tc>
        <w:tc>
          <w:tcPr>
            <w:tcW w:w="340" w:type="dxa"/>
            <w:shd w:val="clear" w:color="auto" w:fill="D9D9D9"/>
          </w:tcPr>
          <w:p w14:paraId="04EC91C2" w14:textId="77777777" w:rsidR="00302BFE" w:rsidRPr="00902601" w:rsidRDefault="00302BFE" w:rsidP="00243B15">
            <w:pPr>
              <w:rPr>
                <w:highlight w:val="green"/>
              </w:rPr>
            </w:pPr>
          </w:p>
        </w:tc>
        <w:tc>
          <w:tcPr>
            <w:tcW w:w="340" w:type="dxa"/>
            <w:shd w:val="clear" w:color="auto" w:fill="D9D9D9"/>
          </w:tcPr>
          <w:p w14:paraId="02A07D39" w14:textId="77777777" w:rsidR="00302BFE" w:rsidRPr="00902601" w:rsidRDefault="00302BFE" w:rsidP="00243B15">
            <w:pPr>
              <w:rPr>
                <w:highlight w:val="green"/>
              </w:rPr>
            </w:pPr>
          </w:p>
        </w:tc>
        <w:tc>
          <w:tcPr>
            <w:tcW w:w="340" w:type="dxa"/>
            <w:shd w:val="clear" w:color="auto" w:fill="D9D9D9"/>
          </w:tcPr>
          <w:p w14:paraId="61F09A98" w14:textId="77777777" w:rsidR="00302BFE" w:rsidRPr="00902601" w:rsidRDefault="00302BFE" w:rsidP="00243B15">
            <w:pPr>
              <w:rPr>
                <w:highlight w:val="green"/>
              </w:rPr>
            </w:pPr>
          </w:p>
        </w:tc>
        <w:tc>
          <w:tcPr>
            <w:tcW w:w="340" w:type="dxa"/>
            <w:shd w:val="clear" w:color="auto" w:fill="D9D9D9"/>
          </w:tcPr>
          <w:p w14:paraId="66679D79" w14:textId="77777777" w:rsidR="00302BFE" w:rsidRPr="00902601" w:rsidRDefault="00302BFE" w:rsidP="00243B15">
            <w:pPr>
              <w:rPr>
                <w:highlight w:val="green"/>
              </w:rPr>
            </w:pPr>
          </w:p>
        </w:tc>
        <w:tc>
          <w:tcPr>
            <w:tcW w:w="340" w:type="dxa"/>
            <w:shd w:val="clear" w:color="auto" w:fill="auto"/>
          </w:tcPr>
          <w:p w14:paraId="30111D26" w14:textId="77777777" w:rsidR="00302BFE" w:rsidRPr="00902601" w:rsidRDefault="00302BFE" w:rsidP="00243B15">
            <w:pPr>
              <w:rPr>
                <w:highlight w:val="green"/>
              </w:rPr>
            </w:pPr>
          </w:p>
        </w:tc>
      </w:tr>
      <w:tr w:rsidR="00302BFE" w:rsidRPr="00902601" w14:paraId="40D8B82B" w14:textId="77777777" w:rsidTr="00243B15">
        <w:trPr>
          <w:jc w:val="center"/>
        </w:trPr>
        <w:tc>
          <w:tcPr>
            <w:tcW w:w="5670" w:type="dxa"/>
            <w:shd w:val="clear" w:color="auto" w:fill="auto"/>
          </w:tcPr>
          <w:p w14:paraId="33545B83" w14:textId="77777777" w:rsidR="00302BFE" w:rsidRPr="00902601" w:rsidRDefault="00302BFE" w:rsidP="00243B15">
            <w:pPr>
              <w:rPr>
                <w:i/>
                <w:color w:val="4472C4"/>
                <w:sz w:val="16"/>
                <w:szCs w:val="16"/>
                <w:highlight w:val="green"/>
                <w:lang w:val="en-CA"/>
              </w:rPr>
            </w:pPr>
            <w:r w:rsidRPr="00902601">
              <w:rPr>
                <w:sz w:val="16"/>
                <w:szCs w:val="16"/>
                <w:highlight w:val="green"/>
                <w:lang w:val="en-CA"/>
              </w:rPr>
              <w:t xml:space="preserve">Output 3.4 Strengthened capacities for better sharing of tourism benefits with local communities in the PONASI landscape </w:t>
            </w:r>
          </w:p>
        </w:tc>
        <w:tc>
          <w:tcPr>
            <w:tcW w:w="8160" w:type="dxa"/>
            <w:gridSpan w:val="24"/>
            <w:shd w:val="clear" w:color="auto" w:fill="auto"/>
          </w:tcPr>
          <w:p w14:paraId="4647857C" w14:textId="77777777" w:rsidR="00302BFE" w:rsidRPr="00902601" w:rsidRDefault="00302BFE" w:rsidP="00243B15">
            <w:pPr>
              <w:rPr>
                <w:highlight w:val="green"/>
                <w:lang w:val="en-CA"/>
              </w:rPr>
            </w:pPr>
          </w:p>
        </w:tc>
      </w:tr>
      <w:tr w:rsidR="00EC409B" w:rsidRPr="00902601" w14:paraId="58392586" w14:textId="77777777" w:rsidTr="00755BF9">
        <w:trPr>
          <w:jc w:val="center"/>
        </w:trPr>
        <w:tc>
          <w:tcPr>
            <w:tcW w:w="5670" w:type="dxa"/>
            <w:shd w:val="clear" w:color="auto" w:fill="auto"/>
          </w:tcPr>
          <w:p w14:paraId="551E2675" w14:textId="77777777" w:rsidR="00302BFE" w:rsidRPr="00902601" w:rsidRDefault="00302BFE" w:rsidP="00243B15">
            <w:pPr>
              <w:rPr>
                <w:i/>
                <w:color w:val="4472C4"/>
                <w:sz w:val="16"/>
                <w:szCs w:val="16"/>
                <w:highlight w:val="green"/>
                <w:lang w:val="en-CA"/>
              </w:rPr>
            </w:pPr>
            <w:r w:rsidRPr="00902601">
              <w:rPr>
                <w:i/>
                <w:color w:val="4472C4"/>
                <w:sz w:val="16"/>
                <w:szCs w:val="16"/>
                <w:highlight w:val="green"/>
                <w:lang w:val="en-GB"/>
              </w:rPr>
              <w:t>3.4.1 Establish a sustainable tourism strategy for the PONASI landscape</w:t>
            </w:r>
          </w:p>
        </w:tc>
        <w:tc>
          <w:tcPr>
            <w:tcW w:w="340" w:type="dxa"/>
            <w:shd w:val="clear" w:color="auto" w:fill="auto"/>
          </w:tcPr>
          <w:p w14:paraId="00B6325F" w14:textId="77777777" w:rsidR="00302BFE" w:rsidRPr="00902601" w:rsidRDefault="00302BFE" w:rsidP="00243B15">
            <w:pPr>
              <w:rPr>
                <w:highlight w:val="green"/>
                <w:lang w:val="en-CA"/>
              </w:rPr>
            </w:pPr>
          </w:p>
        </w:tc>
        <w:tc>
          <w:tcPr>
            <w:tcW w:w="340" w:type="dxa"/>
            <w:shd w:val="clear" w:color="auto" w:fill="auto"/>
          </w:tcPr>
          <w:p w14:paraId="68B70E26" w14:textId="77777777" w:rsidR="00302BFE" w:rsidRPr="00902601" w:rsidRDefault="00302BFE" w:rsidP="00243B15">
            <w:pPr>
              <w:rPr>
                <w:highlight w:val="green"/>
                <w:lang w:val="en-CA"/>
              </w:rPr>
            </w:pPr>
          </w:p>
        </w:tc>
        <w:tc>
          <w:tcPr>
            <w:tcW w:w="340" w:type="dxa"/>
            <w:shd w:val="clear" w:color="auto" w:fill="D9D9D9"/>
          </w:tcPr>
          <w:p w14:paraId="51A6A504" w14:textId="77777777" w:rsidR="00302BFE" w:rsidRPr="00902601" w:rsidRDefault="00302BFE" w:rsidP="00243B15">
            <w:pPr>
              <w:rPr>
                <w:highlight w:val="green"/>
                <w:lang w:val="en-CA"/>
              </w:rPr>
            </w:pPr>
          </w:p>
        </w:tc>
        <w:tc>
          <w:tcPr>
            <w:tcW w:w="340" w:type="dxa"/>
            <w:shd w:val="clear" w:color="auto" w:fill="D9D9D9"/>
          </w:tcPr>
          <w:p w14:paraId="01156E43" w14:textId="77777777" w:rsidR="00302BFE" w:rsidRPr="00902601" w:rsidRDefault="00302BFE" w:rsidP="00243B15">
            <w:pPr>
              <w:rPr>
                <w:highlight w:val="green"/>
                <w:lang w:val="en-CA"/>
              </w:rPr>
            </w:pPr>
          </w:p>
        </w:tc>
        <w:tc>
          <w:tcPr>
            <w:tcW w:w="340" w:type="dxa"/>
            <w:shd w:val="clear" w:color="auto" w:fill="D9D9D9"/>
          </w:tcPr>
          <w:p w14:paraId="2E33B1B8" w14:textId="77777777" w:rsidR="00302BFE" w:rsidRPr="00902601" w:rsidRDefault="00302BFE" w:rsidP="00243B15">
            <w:pPr>
              <w:rPr>
                <w:highlight w:val="green"/>
                <w:lang w:val="en-CA"/>
              </w:rPr>
            </w:pPr>
          </w:p>
        </w:tc>
        <w:tc>
          <w:tcPr>
            <w:tcW w:w="340" w:type="dxa"/>
            <w:shd w:val="clear" w:color="auto" w:fill="D9D9D9"/>
          </w:tcPr>
          <w:p w14:paraId="1035AE39"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76697F88"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484E7D27"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06242341"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33691F2C"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62DDBB6A"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6F6BC8F1"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1508B3EC"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09EB2DA5"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1E42BC4E"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013EBA02"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5E727EA5"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69716851"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3EBBD1B4"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4668BDE8"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3B4A4D1D"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2C7D3797"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5ACA5E77" w14:textId="77777777" w:rsidR="00302BFE" w:rsidRPr="00902601" w:rsidRDefault="00302BFE" w:rsidP="00243B15">
            <w:pPr>
              <w:rPr>
                <w:highlight w:val="green"/>
                <w:lang w:val="en-CA"/>
              </w:rPr>
            </w:pPr>
          </w:p>
        </w:tc>
        <w:tc>
          <w:tcPr>
            <w:tcW w:w="340" w:type="dxa"/>
            <w:shd w:val="clear" w:color="auto" w:fill="auto"/>
          </w:tcPr>
          <w:p w14:paraId="2096E76E" w14:textId="77777777" w:rsidR="00302BFE" w:rsidRPr="00902601" w:rsidRDefault="00302BFE" w:rsidP="00243B15">
            <w:pPr>
              <w:rPr>
                <w:highlight w:val="green"/>
                <w:lang w:val="en-CA"/>
              </w:rPr>
            </w:pPr>
          </w:p>
        </w:tc>
      </w:tr>
      <w:tr w:rsidR="005979FD" w:rsidRPr="00902601" w14:paraId="7FA6987A" w14:textId="77777777" w:rsidTr="00CC2FAC">
        <w:trPr>
          <w:jc w:val="center"/>
        </w:trPr>
        <w:tc>
          <w:tcPr>
            <w:tcW w:w="5670" w:type="dxa"/>
            <w:shd w:val="clear" w:color="auto" w:fill="auto"/>
          </w:tcPr>
          <w:p w14:paraId="23617939" w14:textId="77777777" w:rsidR="00302BFE" w:rsidRPr="00902601" w:rsidRDefault="00302BFE" w:rsidP="00243B15">
            <w:pPr>
              <w:rPr>
                <w:i/>
                <w:color w:val="4472C4"/>
                <w:sz w:val="16"/>
                <w:szCs w:val="16"/>
                <w:highlight w:val="green"/>
              </w:rPr>
            </w:pPr>
            <w:r w:rsidRPr="00902601">
              <w:rPr>
                <w:i/>
                <w:color w:val="4472C4"/>
                <w:sz w:val="16"/>
                <w:szCs w:val="16"/>
                <w:highlight w:val="green"/>
                <w:lang w:val="en-GB"/>
              </w:rPr>
              <w:t>3.4.2 Establish and support a PONASI destination management organisation</w:t>
            </w:r>
          </w:p>
        </w:tc>
        <w:tc>
          <w:tcPr>
            <w:tcW w:w="340" w:type="dxa"/>
            <w:shd w:val="clear" w:color="auto" w:fill="auto"/>
          </w:tcPr>
          <w:p w14:paraId="6D7436A1" w14:textId="77777777" w:rsidR="00302BFE" w:rsidRPr="00902601" w:rsidRDefault="00302BFE" w:rsidP="00243B15">
            <w:pPr>
              <w:rPr>
                <w:highlight w:val="green"/>
              </w:rPr>
            </w:pPr>
          </w:p>
        </w:tc>
        <w:tc>
          <w:tcPr>
            <w:tcW w:w="340" w:type="dxa"/>
            <w:shd w:val="clear" w:color="auto" w:fill="auto"/>
          </w:tcPr>
          <w:p w14:paraId="1E609DCD" w14:textId="77777777" w:rsidR="00302BFE" w:rsidRPr="00902601" w:rsidRDefault="00302BFE" w:rsidP="00243B15">
            <w:pPr>
              <w:rPr>
                <w:highlight w:val="green"/>
              </w:rPr>
            </w:pPr>
          </w:p>
        </w:tc>
        <w:tc>
          <w:tcPr>
            <w:tcW w:w="340" w:type="dxa"/>
            <w:shd w:val="clear" w:color="auto" w:fill="auto"/>
          </w:tcPr>
          <w:p w14:paraId="7B9276BE" w14:textId="77777777" w:rsidR="00302BFE" w:rsidRPr="00902601" w:rsidRDefault="00302BFE" w:rsidP="00243B15">
            <w:pPr>
              <w:rPr>
                <w:highlight w:val="green"/>
              </w:rPr>
            </w:pPr>
          </w:p>
        </w:tc>
        <w:tc>
          <w:tcPr>
            <w:tcW w:w="340" w:type="dxa"/>
            <w:shd w:val="clear" w:color="auto" w:fill="auto"/>
          </w:tcPr>
          <w:p w14:paraId="3CE25CD9" w14:textId="77777777" w:rsidR="00302BFE" w:rsidRPr="00902601" w:rsidRDefault="00302BFE" w:rsidP="00243B15">
            <w:pPr>
              <w:rPr>
                <w:highlight w:val="green"/>
              </w:rPr>
            </w:pPr>
          </w:p>
        </w:tc>
        <w:tc>
          <w:tcPr>
            <w:tcW w:w="340" w:type="dxa"/>
            <w:shd w:val="clear" w:color="auto" w:fill="auto"/>
          </w:tcPr>
          <w:p w14:paraId="5310B431" w14:textId="77777777" w:rsidR="00302BFE" w:rsidRPr="00902601" w:rsidRDefault="00302BFE" w:rsidP="00243B15">
            <w:pPr>
              <w:rPr>
                <w:highlight w:val="green"/>
              </w:rPr>
            </w:pPr>
          </w:p>
        </w:tc>
        <w:tc>
          <w:tcPr>
            <w:tcW w:w="340" w:type="dxa"/>
            <w:shd w:val="clear" w:color="auto" w:fill="auto"/>
          </w:tcPr>
          <w:p w14:paraId="42DDA0F4" w14:textId="77777777" w:rsidR="00302BFE" w:rsidRPr="00902601" w:rsidRDefault="00302BFE" w:rsidP="00243B15">
            <w:pPr>
              <w:rPr>
                <w:highlight w:val="green"/>
              </w:rPr>
            </w:pPr>
          </w:p>
        </w:tc>
        <w:tc>
          <w:tcPr>
            <w:tcW w:w="340" w:type="dxa"/>
            <w:shd w:val="clear" w:color="auto" w:fill="D9D9D9"/>
          </w:tcPr>
          <w:p w14:paraId="4B7492B9" w14:textId="77777777" w:rsidR="00302BFE" w:rsidRPr="00902601" w:rsidRDefault="00302BFE" w:rsidP="00243B15">
            <w:pPr>
              <w:rPr>
                <w:highlight w:val="green"/>
              </w:rPr>
            </w:pPr>
          </w:p>
        </w:tc>
        <w:tc>
          <w:tcPr>
            <w:tcW w:w="340" w:type="dxa"/>
            <w:shd w:val="clear" w:color="auto" w:fill="D9D9D9"/>
          </w:tcPr>
          <w:p w14:paraId="522D9421" w14:textId="77777777" w:rsidR="00302BFE" w:rsidRPr="00902601" w:rsidRDefault="00302BFE" w:rsidP="00243B15">
            <w:pPr>
              <w:rPr>
                <w:highlight w:val="green"/>
              </w:rPr>
            </w:pPr>
          </w:p>
        </w:tc>
        <w:tc>
          <w:tcPr>
            <w:tcW w:w="340" w:type="dxa"/>
            <w:shd w:val="clear" w:color="auto" w:fill="D9D9D9"/>
          </w:tcPr>
          <w:p w14:paraId="3998966C" w14:textId="77777777" w:rsidR="00302BFE" w:rsidRPr="00902601" w:rsidRDefault="00302BFE" w:rsidP="00243B15">
            <w:pPr>
              <w:rPr>
                <w:highlight w:val="green"/>
              </w:rPr>
            </w:pPr>
          </w:p>
        </w:tc>
        <w:tc>
          <w:tcPr>
            <w:tcW w:w="340" w:type="dxa"/>
            <w:shd w:val="clear" w:color="auto" w:fill="D9D9D9"/>
          </w:tcPr>
          <w:p w14:paraId="2DCF7E4F" w14:textId="77777777" w:rsidR="00302BFE" w:rsidRPr="00902601" w:rsidRDefault="00302BFE" w:rsidP="00243B15">
            <w:pPr>
              <w:rPr>
                <w:highlight w:val="green"/>
              </w:rPr>
            </w:pPr>
          </w:p>
        </w:tc>
        <w:tc>
          <w:tcPr>
            <w:tcW w:w="340" w:type="dxa"/>
            <w:shd w:val="clear" w:color="auto" w:fill="D9D9D9"/>
          </w:tcPr>
          <w:p w14:paraId="0C2D64B5" w14:textId="77777777" w:rsidR="00302BFE" w:rsidRPr="00902601" w:rsidRDefault="00302BFE" w:rsidP="00243B15">
            <w:pPr>
              <w:rPr>
                <w:highlight w:val="green"/>
              </w:rPr>
            </w:pPr>
          </w:p>
        </w:tc>
        <w:tc>
          <w:tcPr>
            <w:tcW w:w="340" w:type="dxa"/>
            <w:shd w:val="clear" w:color="auto" w:fill="D9D9D9"/>
          </w:tcPr>
          <w:p w14:paraId="447D3C96" w14:textId="77777777" w:rsidR="00302BFE" w:rsidRPr="00902601" w:rsidRDefault="00302BFE" w:rsidP="00243B15">
            <w:pPr>
              <w:rPr>
                <w:highlight w:val="green"/>
              </w:rPr>
            </w:pPr>
          </w:p>
        </w:tc>
        <w:tc>
          <w:tcPr>
            <w:tcW w:w="340" w:type="dxa"/>
            <w:shd w:val="clear" w:color="auto" w:fill="D9D9D9"/>
          </w:tcPr>
          <w:p w14:paraId="138A0F40" w14:textId="77777777" w:rsidR="00302BFE" w:rsidRPr="00902601" w:rsidRDefault="00302BFE" w:rsidP="00243B15">
            <w:pPr>
              <w:rPr>
                <w:highlight w:val="green"/>
              </w:rPr>
            </w:pPr>
          </w:p>
        </w:tc>
        <w:tc>
          <w:tcPr>
            <w:tcW w:w="340" w:type="dxa"/>
            <w:shd w:val="clear" w:color="auto" w:fill="D9D9D9"/>
          </w:tcPr>
          <w:p w14:paraId="3277CC0A" w14:textId="77777777" w:rsidR="00302BFE" w:rsidRPr="00902601" w:rsidRDefault="00302BFE" w:rsidP="00243B15">
            <w:pPr>
              <w:rPr>
                <w:highlight w:val="green"/>
              </w:rPr>
            </w:pPr>
          </w:p>
        </w:tc>
        <w:tc>
          <w:tcPr>
            <w:tcW w:w="340" w:type="dxa"/>
            <w:shd w:val="clear" w:color="auto" w:fill="D9D9D9"/>
          </w:tcPr>
          <w:p w14:paraId="38DB618B" w14:textId="77777777" w:rsidR="00302BFE" w:rsidRPr="00902601" w:rsidRDefault="00302BFE" w:rsidP="00243B15">
            <w:pPr>
              <w:rPr>
                <w:highlight w:val="green"/>
              </w:rPr>
            </w:pPr>
          </w:p>
        </w:tc>
        <w:tc>
          <w:tcPr>
            <w:tcW w:w="340" w:type="dxa"/>
            <w:shd w:val="clear" w:color="auto" w:fill="D9D9D9"/>
          </w:tcPr>
          <w:p w14:paraId="5339D707" w14:textId="77777777" w:rsidR="00302BFE" w:rsidRPr="00902601" w:rsidRDefault="00302BFE" w:rsidP="00243B15">
            <w:pPr>
              <w:rPr>
                <w:highlight w:val="green"/>
              </w:rPr>
            </w:pPr>
          </w:p>
        </w:tc>
        <w:tc>
          <w:tcPr>
            <w:tcW w:w="340" w:type="dxa"/>
            <w:shd w:val="clear" w:color="auto" w:fill="D9D9D9"/>
          </w:tcPr>
          <w:p w14:paraId="6CFB16F5" w14:textId="77777777" w:rsidR="00302BFE" w:rsidRPr="00902601" w:rsidRDefault="00302BFE" w:rsidP="00243B15">
            <w:pPr>
              <w:rPr>
                <w:highlight w:val="green"/>
              </w:rPr>
            </w:pPr>
          </w:p>
        </w:tc>
        <w:tc>
          <w:tcPr>
            <w:tcW w:w="340" w:type="dxa"/>
            <w:shd w:val="clear" w:color="auto" w:fill="D9D9D9"/>
          </w:tcPr>
          <w:p w14:paraId="77ACB906" w14:textId="77777777" w:rsidR="00302BFE" w:rsidRPr="00902601" w:rsidRDefault="00302BFE" w:rsidP="00243B15">
            <w:pPr>
              <w:rPr>
                <w:highlight w:val="green"/>
              </w:rPr>
            </w:pPr>
          </w:p>
        </w:tc>
        <w:tc>
          <w:tcPr>
            <w:tcW w:w="340" w:type="dxa"/>
            <w:shd w:val="clear" w:color="auto" w:fill="D9D9D9"/>
          </w:tcPr>
          <w:p w14:paraId="38431D7B" w14:textId="77777777" w:rsidR="00302BFE" w:rsidRPr="00902601" w:rsidRDefault="00302BFE" w:rsidP="00243B15">
            <w:pPr>
              <w:rPr>
                <w:highlight w:val="green"/>
              </w:rPr>
            </w:pPr>
          </w:p>
        </w:tc>
        <w:tc>
          <w:tcPr>
            <w:tcW w:w="340" w:type="dxa"/>
            <w:shd w:val="clear" w:color="auto" w:fill="D9D9D9"/>
          </w:tcPr>
          <w:p w14:paraId="01CECCBB" w14:textId="77777777" w:rsidR="00302BFE" w:rsidRPr="00902601" w:rsidRDefault="00302BFE" w:rsidP="00243B15">
            <w:pPr>
              <w:rPr>
                <w:highlight w:val="green"/>
              </w:rPr>
            </w:pPr>
          </w:p>
        </w:tc>
        <w:tc>
          <w:tcPr>
            <w:tcW w:w="340" w:type="dxa"/>
            <w:shd w:val="clear" w:color="auto" w:fill="D9D9D9"/>
          </w:tcPr>
          <w:p w14:paraId="7590DBA0" w14:textId="77777777" w:rsidR="00302BFE" w:rsidRPr="00902601" w:rsidRDefault="00302BFE" w:rsidP="00243B15">
            <w:pPr>
              <w:rPr>
                <w:highlight w:val="green"/>
              </w:rPr>
            </w:pPr>
          </w:p>
        </w:tc>
        <w:tc>
          <w:tcPr>
            <w:tcW w:w="340" w:type="dxa"/>
            <w:shd w:val="clear" w:color="auto" w:fill="D9D9D9"/>
          </w:tcPr>
          <w:p w14:paraId="51468415" w14:textId="77777777" w:rsidR="00302BFE" w:rsidRPr="00902601" w:rsidRDefault="00302BFE" w:rsidP="00243B15">
            <w:pPr>
              <w:rPr>
                <w:highlight w:val="green"/>
              </w:rPr>
            </w:pPr>
          </w:p>
        </w:tc>
        <w:tc>
          <w:tcPr>
            <w:tcW w:w="340" w:type="dxa"/>
            <w:shd w:val="clear" w:color="auto" w:fill="D9D9D9"/>
          </w:tcPr>
          <w:p w14:paraId="19460D3F" w14:textId="77777777" w:rsidR="00302BFE" w:rsidRPr="00902601" w:rsidRDefault="00302BFE" w:rsidP="00243B15">
            <w:pPr>
              <w:rPr>
                <w:highlight w:val="green"/>
              </w:rPr>
            </w:pPr>
          </w:p>
        </w:tc>
        <w:tc>
          <w:tcPr>
            <w:tcW w:w="340" w:type="dxa"/>
            <w:shd w:val="clear" w:color="auto" w:fill="auto"/>
          </w:tcPr>
          <w:p w14:paraId="2F76E7C7" w14:textId="77777777" w:rsidR="00302BFE" w:rsidRPr="00902601" w:rsidRDefault="00302BFE" w:rsidP="00243B15">
            <w:pPr>
              <w:rPr>
                <w:highlight w:val="green"/>
              </w:rPr>
            </w:pPr>
          </w:p>
        </w:tc>
      </w:tr>
      <w:tr w:rsidR="00EC409B" w:rsidRPr="00902601" w14:paraId="74CBC410" w14:textId="77777777" w:rsidTr="00755BF9">
        <w:trPr>
          <w:jc w:val="center"/>
        </w:trPr>
        <w:tc>
          <w:tcPr>
            <w:tcW w:w="5670" w:type="dxa"/>
            <w:shd w:val="clear" w:color="auto" w:fill="auto"/>
          </w:tcPr>
          <w:p w14:paraId="353482B2" w14:textId="77777777" w:rsidR="00302BFE" w:rsidRPr="00902601" w:rsidRDefault="00302BFE" w:rsidP="00243B15">
            <w:pPr>
              <w:rPr>
                <w:i/>
                <w:color w:val="4472C4"/>
                <w:sz w:val="16"/>
                <w:szCs w:val="16"/>
                <w:highlight w:val="green"/>
                <w:lang w:val="en-CA"/>
              </w:rPr>
            </w:pPr>
            <w:r w:rsidRPr="00902601">
              <w:rPr>
                <w:i/>
                <w:color w:val="4472C4"/>
                <w:sz w:val="16"/>
                <w:szCs w:val="16"/>
                <w:highlight w:val="green"/>
                <w:lang w:val="en-GB"/>
              </w:rPr>
              <w:t>3.4.3 Tourism and hospitality capacity building and training program</w:t>
            </w:r>
          </w:p>
        </w:tc>
        <w:tc>
          <w:tcPr>
            <w:tcW w:w="340" w:type="dxa"/>
            <w:shd w:val="clear" w:color="auto" w:fill="auto"/>
          </w:tcPr>
          <w:p w14:paraId="3A86C29A" w14:textId="77777777" w:rsidR="00302BFE" w:rsidRPr="00902601" w:rsidRDefault="00302BFE" w:rsidP="00243B15">
            <w:pPr>
              <w:rPr>
                <w:highlight w:val="green"/>
                <w:lang w:val="en-CA"/>
              </w:rPr>
            </w:pPr>
          </w:p>
        </w:tc>
        <w:tc>
          <w:tcPr>
            <w:tcW w:w="340" w:type="dxa"/>
            <w:shd w:val="clear" w:color="auto" w:fill="auto"/>
          </w:tcPr>
          <w:p w14:paraId="5EE462EA" w14:textId="77777777" w:rsidR="00302BFE" w:rsidRPr="00902601" w:rsidRDefault="00302BFE" w:rsidP="00243B15">
            <w:pPr>
              <w:rPr>
                <w:highlight w:val="green"/>
                <w:lang w:val="en-CA"/>
              </w:rPr>
            </w:pPr>
          </w:p>
        </w:tc>
        <w:tc>
          <w:tcPr>
            <w:tcW w:w="340" w:type="dxa"/>
            <w:shd w:val="clear" w:color="auto" w:fill="auto"/>
          </w:tcPr>
          <w:p w14:paraId="7AB38418" w14:textId="77777777" w:rsidR="00302BFE" w:rsidRPr="00902601" w:rsidRDefault="00302BFE" w:rsidP="00243B15">
            <w:pPr>
              <w:rPr>
                <w:highlight w:val="green"/>
                <w:lang w:val="en-CA"/>
              </w:rPr>
            </w:pPr>
          </w:p>
        </w:tc>
        <w:tc>
          <w:tcPr>
            <w:tcW w:w="340" w:type="dxa"/>
            <w:shd w:val="clear" w:color="auto" w:fill="auto"/>
          </w:tcPr>
          <w:p w14:paraId="53DF8BCC" w14:textId="77777777" w:rsidR="00302BFE" w:rsidRPr="00902601" w:rsidRDefault="00302BFE" w:rsidP="00243B15">
            <w:pPr>
              <w:rPr>
                <w:highlight w:val="green"/>
                <w:lang w:val="en-CA"/>
              </w:rPr>
            </w:pPr>
          </w:p>
        </w:tc>
        <w:tc>
          <w:tcPr>
            <w:tcW w:w="340" w:type="dxa"/>
            <w:shd w:val="clear" w:color="auto" w:fill="auto"/>
          </w:tcPr>
          <w:p w14:paraId="4202ED59" w14:textId="77777777" w:rsidR="00302BFE" w:rsidRPr="00902601" w:rsidRDefault="00302BFE" w:rsidP="00243B15">
            <w:pPr>
              <w:rPr>
                <w:highlight w:val="green"/>
                <w:lang w:val="en-CA"/>
              </w:rPr>
            </w:pPr>
          </w:p>
        </w:tc>
        <w:tc>
          <w:tcPr>
            <w:tcW w:w="340" w:type="dxa"/>
            <w:shd w:val="clear" w:color="auto" w:fill="auto"/>
          </w:tcPr>
          <w:p w14:paraId="055839D1" w14:textId="77777777" w:rsidR="00302BFE" w:rsidRPr="00902601" w:rsidRDefault="00302BFE" w:rsidP="00243B15">
            <w:pPr>
              <w:rPr>
                <w:highlight w:val="green"/>
                <w:lang w:val="en-CA"/>
              </w:rPr>
            </w:pPr>
          </w:p>
        </w:tc>
        <w:tc>
          <w:tcPr>
            <w:tcW w:w="340" w:type="dxa"/>
            <w:shd w:val="clear" w:color="auto" w:fill="D9D9D9"/>
          </w:tcPr>
          <w:p w14:paraId="24AEA92C" w14:textId="77777777" w:rsidR="00302BFE" w:rsidRPr="00902601" w:rsidRDefault="00302BFE" w:rsidP="00243B15">
            <w:pPr>
              <w:rPr>
                <w:highlight w:val="green"/>
                <w:lang w:val="en-CA"/>
              </w:rPr>
            </w:pPr>
          </w:p>
        </w:tc>
        <w:tc>
          <w:tcPr>
            <w:tcW w:w="340" w:type="dxa"/>
            <w:shd w:val="clear" w:color="auto" w:fill="D9D9D9"/>
          </w:tcPr>
          <w:p w14:paraId="5B9CB0D5" w14:textId="77777777" w:rsidR="00302BFE" w:rsidRPr="00902601" w:rsidRDefault="00302BFE" w:rsidP="00243B15">
            <w:pPr>
              <w:rPr>
                <w:highlight w:val="green"/>
                <w:lang w:val="en-CA"/>
              </w:rPr>
            </w:pPr>
          </w:p>
        </w:tc>
        <w:tc>
          <w:tcPr>
            <w:tcW w:w="340" w:type="dxa"/>
            <w:shd w:val="clear" w:color="auto" w:fill="D9D9D9"/>
          </w:tcPr>
          <w:p w14:paraId="2538CFE5" w14:textId="77777777" w:rsidR="00302BFE" w:rsidRPr="00902601" w:rsidRDefault="00302BFE" w:rsidP="00243B15">
            <w:pPr>
              <w:rPr>
                <w:highlight w:val="green"/>
                <w:lang w:val="en-CA"/>
              </w:rPr>
            </w:pPr>
          </w:p>
        </w:tc>
        <w:tc>
          <w:tcPr>
            <w:tcW w:w="340" w:type="dxa"/>
            <w:shd w:val="clear" w:color="auto" w:fill="D9D9D9"/>
          </w:tcPr>
          <w:p w14:paraId="0F8C48FB" w14:textId="77777777" w:rsidR="00302BFE" w:rsidRPr="00902601" w:rsidRDefault="00302BFE" w:rsidP="00243B15">
            <w:pPr>
              <w:rPr>
                <w:highlight w:val="green"/>
                <w:lang w:val="en-CA"/>
              </w:rPr>
            </w:pPr>
          </w:p>
        </w:tc>
        <w:tc>
          <w:tcPr>
            <w:tcW w:w="340" w:type="dxa"/>
            <w:shd w:val="clear" w:color="auto" w:fill="D9D9D9"/>
          </w:tcPr>
          <w:p w14:paraId="13D86EEC" w14:textId="77777777" w:rsidR="00302BFE" w:rsidRPr="00902601" w:rsidRDefault="00302BFE" w:rsidP="00243B15">
            <w:pPr>
              <w:rPr>
                <w:highlight w:val="green"/>
                <w:lang w:val="en-CA"/>
              </w:rPr>
            </w:pPr>
          </w:p>
        </w:tc>
        <w:tc>
          <w:tcPr>
            <w:tcW w:w="340" w:type="dxa"/>
            <w:shd w:val="clear" w:color="auto" w:fill="D9D9D9"/>
          </w:tcPr>
          <w:p w14:paraId="71240DE0"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0F3548C8"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0A35E49F"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50905192"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4B963584"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5C8FDCDF"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161941A3"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61F7CFE5"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7AEF818B"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5149AD47"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12895955" w14:textId="77777777" w:rsidR="00302BFE" w:rsidRPr="00902601" w:rsidRDefault="00302BFE" w:rsidP="00243B15">
            <w:pPr>
              <w:rPr>
                <w:highlight w:val="green"/>
                <w:lang w:val="en-CA"/>
              </w:rPr>
            </w:pPr>
          </w:p>
        </w:tc>
        <w:tc>
          <w:tcPr>
            <w:tcW w:w="340" w:type="dxa"/>
            <w:shd w:val="clear" w:color="auto" w:fill="auto"/>
          </w:tcPr>
          <w:p w14:paraId="3A34D1DE" w14:textId="77777777" w:rsidR="00302BFE" w:rsidRPr="00902601" w:rsidRDefault="00302BFE" w:rsidP="00243B15">
            <w:pPr>
              <w:rPr>
                <w:highlight w:val="green"/>
                <w:lang w:val="en-CA"/>
              </w:rPr>
            </w:pPr>
          </w:p>
        </w:tc>
        <w:tc>
          <w:tcPr>
            <w:tcW w:w="340" w:type="dxa"/>
            <w:shd w:val="clear" w:color="auto" w:fill="auto"/>
          </w:tcPr>
          <w:p w14:paraId="17641023" w14:textId="77777777" w:rsidR="00302BFE" w:rsidRPr="00902601" w:rsidRDefault="00302BFE" w:rsidP="00243B15">
            <w:pPr>
              <w:rPr>
                <w:highlight w:val="green"/>
                <w:lang w:val="en-CA"/>
              </w:rPr>
            </w:pPr>
          </w:p>
        </w:tc>
      </w:tr>
      <w:tr w:rsidR="00EC409B" w:rsidRPr="00902601" w14:paraId="75D72551" w14:textId="77777777" w:rsidTr="00755BF9">
        <w:trPr>
          <w:jc w:val="center"/>
        </w:trPr>
        <w:tc>
          <w:tcPr>
            <w:tcW w:w="5670" w:type="dxa"/>
            <w:shd w:val="clear" w:color="auto" w:fill="auto"/>
          </w:tcPr>
          <w:p w14:paraId="482D803D" w14:textId="77777777" w:rsidR="00302BFE" w:rsidRPr="00902601" w:rsidRDefault="00302BFE" w:rsidP="00243B15">
            <w:pPr>
              <w:rPr>
                <w:i/>
                <w:color w:val="4472C4"/>
                <w:sz w:val="16"/>
                <w:szCs w:val="16"/>
                <w:highlight w:val="green"/>
                <w:lang w:val="en-CA"/>
              </w:rPr>
            </w:pPr>
            <w:r w:rsidRPr="00902601">
              <w:rPr>
                <w:i/>
                <w:color w:val="4472C4"/>
                <w:sz w:val="16"/>
                <w:szCs w:val="16"/>
                <w:highlight w:val="green"/>
                <w:lang w:val="en-GB"/>
              </w:rPr>
              <w:t>3.4.4 Tourism product development and improvement</w:t>
            </w:r>
          </w:p>
        </w:tc>
        <w:tc>
          <w:tcPr>
            <w:tcW w:w="340" w:type="dxa"/>
            <w:shd w:val="clear" w:color="auto" w:fill="auto"/>
          </w:tcPr>
          <w:p w14:paraId="149D89B1" w14:textId="77777777" w:rsidR="00302BFE" w:rsidRPr="00902601" w:rsidRDefault="00302BFE" w:rsidP="00243B15">
            <w:pPr>
              <w:rPr>
                <w:highlight w:val="green"/>
                <w:lang w:val="en-CA"/>
              </w:rPr>
            </w:pPr>
          </w:p>
        </w:tc>
        <w:tc>
          <w:tcPr>
            <w:tcW w:w="340" w:type="dxa"/>
            <w:shd w:val="clear" w:color="auto" w:fill="auto"/>
          </w:tcPr>
          <w:p w14:paraId="7AB8037E" w14:textId="77777777" w:rsidR="00302BFE" w:rsidRPr="00902601" w:rsidRDefault="00302BFE" w:rsidP="00243B15">
            <w:pPr>
              <w:rPr>
                <w:highlight w:val="green"/>
                <w:lang w:val="en-CA"/>
              </w:rPr>
            </w:pPr>
          </w:p>
        </w:tc>
        <w:tc>
          <w:tcPr>
            <w:tcW w:w="340" w:type="dxa"/>
            <w:shd w:val="clear" w:color="auto" w:fill="auto"/>
          </w:tcPr>
          <w:p w14:paraId="006B01D2" w14:textId="77777777" w:rsidR="00302BFE" w:rsidRPr="00902601" w:rsidRDefault="00302BFE" w:rsidP="00243B15">
            <w:pPr>
              <w:rPr>
                <w:highlight w:val="green"/>
                <w:lang w:val="en-CA"/>
              </w:rPr>
            </w:pPr>
          </w:p>
        </w:tc>
        <w:tc>
          <w:tcPr>
            <w:tcW w:w="340" w:type="dxa"/>
            <w:shd w:val="clear" w:color="auto" w:fill="auto"/>
          </w:tcPr>
          <w:p w14:paraId="2431914F" w14:textId="77777777" w:rsidR="00302BFE" w:rsidRPr="00902601" w:rsidRDefault="00302BFE" w:rsidP="00243B15">
            <w:pPr>
              <w:rPr>
                <w:highlight w:val="green"/>
                <w:lang w:val="en-CA"/>
              </w:rPr>
            </w:pPr>
          </w:p>
        </w:tc>
        <w:tc>
          <w:tcPr>
            <w:tcW w:w="340" w:type="dxa"/>
            <w:shd w:val="clear" w:color="auto" w:fill="auto"/>
          </w:tcPr>
          <w:p w14:paraId="1CA04A23" w14:textId="77777777" w:rsidR="00302BFE" w:rsidRPr="00902601" w:rsidRDefault="00302BFE" w:rsidP="00243B15">
            <w:pPr>
              <w:rPr>
                <w:highlight w:val="green"/>
                <w:lang w:val="en-CA"/>
              </w:rPr>
            </w:pPr>
          </w:p>
        </w:tc>
        <w:tc>
          <w:tcPr>
            <w:tcW w:w="340" w:type="dxa"/>
            <w:shd w:val="clear" w:color="auto" w:fill="auto"/>
          </w:tcPr>
          <w:p w14:paraId="4C48D5CD" w14:textId="77777777" w:rsidR="00302BFE" w:rsidRPr="00902601" w:rsidRDefault="00302BFE" w:rsidP="00243B15">
            <w:pPr>
              <w:rPr>
                <w:highlight w:val="green"/>
                <w:lang w:val="en-CA"/>
              </w:rPr>
            </w:pPr>
          </w:p>
        </w:tc>
        <w:tc>
          <w:tcPr>
            <w:tcW w:w="340" w:type="dxa"/>
            <w:shd w:val="clear" w:color="auto" w:fill="auto"/>
          </w:tcPr>
          <w:p w14:paraId="213EFAB2" w14:textId="77777777" w:rsidR="00302BFE" w:rsidRPr="00902601" w:rsidRDefault="00302BFE" w:rsidP="00243B15">
            <w:pPr>
              <w:rPr>
                <w:highlight w:val="green"/>
                <w:lang w:val="en-CA"/>
              </w:rPr>
            </w:pPr>
          </w:p>
        </w:tc>
        <w:tc>
          <w:tcPr>
            <w:tcW w:w="340" w:type="dxa"/>
            <w:shd w:val="clear" w:color="auto" w:fill="auto"/>
          </w:tcPr>
          <w:p w14:paraId="082438F6" w14:textId="77777777" w:rsidR="00302BFE" w:rsidRPr="00902601" w:rsidRDefault="00302BFE" w:rsidP="00243B15">
            <w:pPr>
              <w:rPr>
                <w:highlight w:val="green"/>
                <w:lang w:val="en-CA"/>
              </w:rPr>
            </w:pPr>
          </w:p>
        </w:tc>
        <w:tc>
          <w:tcPr>
            <w:tcW w:w="340" w:type="dxa"/>
            <w:shd w:val="clear" w:color="auto" w:fill="auto"/>
          </w:tcPr>
          <w:p w14:paraId="70A9F4FB" w14:textId="77777777" w:rsidR="00302BFE" w:rsidRPr="00902601" w:rsidRDefault="00302BFE" w:rsidP="00243B15">
            <w:pPr>
              <w:rPr>
                <w:highlight w:val="green"/>
                <w:lang w:val="en-CA"/>
              </w:rPr>
            </w:pPr>
          </w:p>
        </w:tc>
        <w:tc>
          <w:tcPr>
            <w:tcW w:w="340" w:type="dxa"/>
            <w:shd w:val="clear" w:color="auto" w:fill="auto"/>
          </w:tcPr>
          <w:p w14:paraId="43282331" w14:textId="77777777" w:rsidR="00302BFE" w:rsidRPr="00902601" w:rsidRDefault="00302BFE" w:rsidP="00243B15">
            <w:pPr>
              <w:rPr>
                <w:highlight w:val="green"/>
                <w:lang w:val="en-CA"/>
              </w:rPr>
            </w:pPr>
          </w:p>
        </w:tc>
        <w:tc>
          <w:tcPr>
            <w:tcW w:w="340" w:type="dxa"/>
            <w:shd w:val="clear" w:color="auto" w:fill="auto"/>
          </w:tcPr>
          <w:p w14:paraId="75DAD8C1" w14:textId="77777777" w:rsidR="00302BFE" w:rsidRPr="00902601" w:rsidRDefault="00302BFE" w:rsidP="00243B15">
            <w:pPr>
              <w:rPr>
                <w:highlight w:val="green"/>
                <w:lang w:val="en-CA"/>
              </w:rPr>
            </w:pPr>
          </w:p>
        </w:tc>
        <w:tc>
          <w:tcPr>
            <w:tcW w:w="340" w:type="dxa"/>
            <w:shd w:val="clear" w:color="auto" w:fill="auto"/>
          </w:tcPr>
          <w:p w14:paraId="67BA48AA" w14:textId="77777777" w:rsidR="00302BFE" w:rsidRPr="00902601" w:rsidRDefault="00302BFE" w:rsidP="00243B15">
            <w:pPr>
              <w:rPr>
                <w:highlight w:val="green"/>
                <w:lang w:val="en-CA"/>
              </w:rPr>
            </w:pPr>
          </w:p>
        </w:tc>
        <w:tc>
          <w:tcPr>
            <w:tcW w:w="340" w:type="dxa"/>
            <w:shd w:val="clear" w:color="auto" w:fill="D9D9D9"/>
          </w:tcPr>
          <w:p w14:paraId="708298F7" w14:textId="77777777" w:rsidR="00302BFE" w:rsidRPr="00902601" w:rsidRDefault="00302BFE" w:rsidP="00243B15">
            <w:pPr>
              <w:rPr>
                <w:highlight w:val="green"/>
                <w:lang w:val="en-CA"/>
              </w:rPr>
            </w:pPr>
          </w:p>
        </w:tc>
        <w:tc>
          <w:tcPr>
            <w:tcW w:w="340" w:type="dxa"/>
            <w:shd w:val="clear" w:color="auto" w:fill="D9D9D9"/>
          </w:tcPr>
          <w:p w14:paraId="5D333B8F" w14:textId="77777777" w:rsidR="00302BFE" w:rsidRPr="00902601" w:rsidRDefault="00302BFE" w:rsidP="00243B15">
            <w:pPr>
              <w:rPr>
                <w:highlight w:val="green"/>
                <w:lang w:val="en-CA"/>
              </w:rPr>
            </w:pPr>
          </w:p>
        </w:tc>
        <w:tc>
          <w:tcPr>
            <w:tcW w:w="340" w:type="dxa"/>
            <w:shd w:val="clear" w:color="auto" w:fill="D9D9D9"/>
          </w:tcPr>
          <w:p w14:paraId="1180B24C" w14:textId="77777777" w:rsidR="00302BFE" w:rsidRPr="00902601" w:rsidRDefault="00302BFE" w:rsidP="00243B15">
            <w:pPr>
              <w:rPr>
                <w:highlight w:val="green"/>
                <w:lang w:val="en-CA"/>
              </w:rPr>
            </w:pPr>
          </w:p>
        </w:tc>
        <w:tc>
          <w:tcPr>
            <w:tcW w:w="340" w:type="dxa"/>
            <w:shd w:val="clear" w:color="auto" w:fill="D9D9D9"/>
          </w:tcPr>
          <w:p w14:paraId="1144BCD1" w14:textId="77777777" w:rsidR="00302BFE" w:rsidRPr="00902601" w:rsidRDefault="00302BFE" w:rsidP="00243B15">
            <w:pPr>
              <w:rPr>
                <w:highlight w:val="green"/>
                <w:lang w:val="en-CA"/>
              </w:rPr>
            </w:pPr>
          </w:p>
        </w:tc>
        <w:tc>
          <w:tcPr>
            <w:tcW w:w="340" w:type="dxa"/>
            <w:shd w:val="clear" w:color="auto" w:fill="D9D9D9"/>
          </w:tcPr>
          <w:p w14:paraId="150C620A" w14:textId="77777777" w:rsidR="00302BFE" w:rsidRPr="00902601" w:rsidRDefault="00302BFE" w:rsidP="00243B15">
            <w:pPr>
              <w:rPr>
                <w:highlight w:val="green"/>
                <w:lang w:val="en-CA"/>
              </w:rPr>
            </w:pPr>
          </w:p>
        </w:tc>
        <w:tc>
          <w:tcPr>
            <w:tcW w:w="340" w:type="dxa"/>
            <w:shd w:val="clear" w:color="auto" w:fill="D9D9D9"/>
          </w:tcPr>
          <w:p w14:paraId="1719D162" w14:textId="77777777" w:rsidR="00302BFE" w:rsidRPr="00902601" w:rsidRDefault="00302BFE" w:rsidP="00243B15">
            <w:pPr>
              <w:rPr>
                <w:highlight w:val="green"/>
                <w:lang w:val="en-CA"/>
              </w:rPr>
            </w:pPr>
          </w:p>
        </w:tc>
        <w:tc>
          <w:tcPr>
            <w:tcW w:w="340" w:type="dxa"/>
            <w:shd w:val="clear" w:color="auto" w:fill="D9D9D9"/>
          </w:tcPr>
          <w:p w14:paraId="54825579" w14:textId="77777777" w:rsidR="00302BFE" w:rsidRPr="00902601" w:rsidRDefault="00302BFE" w:rsidP="00243B15">
            <w:pPr>
              <w:rPr>
                <w:highlight w:val="green"/>
                <w:lang w:val="en-CA"/>
              </w:rPr>
            </w:pPr>
          </w:p>
        </w:tc>
        <w:tc>
          <w:tcPr>
            <w:tcW w:w="340" w:type="dxa"/>
            <w:shd w:val="clear" w:color="auto" w:fill="D9D9D9"/>
          </w:tcPr>
          <w:p w14:paraId="2715D7A1" w14:textId="77777777" w:rsidR="00302BFE" w:rsidRPr="00902601" w:rsidRDefault="00302BFE" w:rsidP="00243B15">
            <w:pPr>
              <w:rPr>
                <w:highlight w:val="green"/>
                <w:lang w:val="en-CA"/>
              </w:rPr>
            </w:pPr>
          </w:p>
        </w:tc>
        <w:tc>
          <w:tcPr>
            <w:tcW w:w="340" w:type="dxa"/>
            <w:shd w:val="clear" w:color="auto" w:fill="D9D9D9"/>
          </w:tcPr>
          <w:p w14:paraId="0BFDF8B5" w14:textId="77777777" w:rsidR="00302BFE" w:rsidRPr="00902601" w:rsidRDefault="00302BFE" w:rsidP="00243B15">
            <w:pPr>
              <w:rPr>
                <w:highlight w:val="green"/>
                <w:lang w:val="en-CA"/>
              </w:rPr>
            </w:pPr>
          </w:p>
        </w:tc>
        <w:tc>
          <w:tcPr>
            <w:tcW w:w="340" w:type="dxa"/>
            <w:shd w:val="clear" w:color="auto" w:fill="D9D9D9"/>
          </w:tcPr>
          <w:p w14:paraId="293AFA97" w14:textId="77777777" w:rsidR="00302BFE" w:rsidRPr="00902601" w:rsidRDefault="00302BFE" w:rsidP="00243B15">
            <w:pPr>
              <w:rPr>
                <w:highlight w:val="green"/>
                <w:lang w:val="en-CA"/>
              </w:rPr>
            </w:pPr>
          </w:p>
        </w:tc>
        <w:tc>
          <w:tcPr>
            <w:tcW w:w="340" w:type="dxa"/>
            <w:shd w:val="clear" w:color="auto" w:fill="auto"/>
          </w:tcPr>
          <w:p w14:paraId="56AC4D98" w14:textId="77777777" w:rsidR="00302BFE" w:rsidRPr="00902601" w:rsidRDefault="00302BFE" w:rsidP="00243B15">
            <w:pPr>
              <w:rPr>
                <w:highlight w:val="green"/>
                <w:lang w:val="en-CA"/>
              </w:rPr>
            </w:pPr>
          </w:p>
        </w:tc>
        <w:tc>
          <w:tcPr>
            <w:tcW w:w="340" w:type="dxa"/>
            <w:shd w:val="clear" w:color="auto" w:fill="auto"/>
          </w:tcPr>
          <w:p w14:paraId="2B2998C9" w14:textId="77777777" w:rsidR="00302BFE" w:rsidRPr="00902601" w:rsidRDefault="00302BFE" w:rsidP="00243B15">
            <w:pPr>
              <w:rPr>
                <w:highlight w:val="green"/>
                <w:lang w:val="en-CA"/>
              </w:rPr>
            </w:pPr>
          </w:p>
        </w:tc>
      </w:tr>
      <w:tr w:rsidR="00EC409B" w:rsidRPr="00902601" w14:paraId="53DD33BE" w14:textId="77777777" w:rsidTr="00755BF9">
        <w:trPr>
          <w:jc w:val="center"/>
        </w:trPr>
        <w:tc>
          <w:tcPr>
            <w:tcW w:w="5670" w:type="dxa"/>
            <w:shd w:val="clear" w:color="auto" w:fill="auto"/>
          </w:tcPr>
          <w:p w14:paraId="59BF8D82" w14:textId="77777777" w:rsidR="00302BFE" w:rsidRPr="00902601" w:rsidRDefault="00302BFE" w:rsidP="00243B15">
            <w:pPr>
              <w:rPr>
                <w:i/>
                <w:color w:val="4472C4"/>
                <w:sz w:val="16"/>
                <w:szCs w:val="16"/>
                <w:highlight w:val="green"/>
                <w:lang w:val="en-CA"/>
              </w:rPr>
            </w:pPr>
            <w:r w:rsidRPr="00902601">
              <w:rPr>
                <w:i/>
                <w:color w:val="4472C4"/>
                <w:sz w:val="16"/>
                <w:szCs w:val="16"/>
                <w:highlight w:val="green"/>
                <w:lang w:val="en-GB"/>
              </w:rPr>
              <w:t>3.4.5 Promotion and improved market access</w:t>
            </w:r>
          </w:p>
        </w:tc>
        <w:tc>
          <w:tcPr>
            <w:tcW w:w="340" w:type="dxa"/>
            <w:shd w:val="clear" w:color="auto" w:fill="auto"/>
          </w:tcPr>
          <w:p w14:paraId="24A4A273" w14:textId="77777777" w:rsidR="00302BFE" w:rsidRPr="00902601" w:rsidRDefault="00302BFE" w:rsidP="00243B15">
            <w:pPr>
              <w:rPr>
                <w:highlight w:val="green"/>
                <w:lang w:val="en-CA"/>
              </w:rPr>
            </w:pPr>
          </w:p>
        </w:tc>
        <w:tc>
          <w:tcPr>
            <w:tcW w:w="340" w:type="dxa"/>
            <w:shd w:val="clear" w:color="auto" w:fill="auto"/>
          </w:tcPr>
          <w:p w14:paraId="5AF8D0AB" w14:textId="77777777" w:rsidR="00302BFE" w:rsidRPr="00902601" w:rsidRDefault="00302BFE" w:rsidP="00243B15">
            <w:pPr>
              <w:rPr>
                <w:highlight w:val="green"/>
                <w:lang w:val="en-CA"/>
              </w:rPr>
            </w:pPr>
          </w:p>
        </w:tc>
        <w:tc>
          <w:tcPr>
            <w:tcW w:w="340" w:type="dxa"/>
            <w:shd w:val="clear" w:color="auto" w:fill="auto"/>
          </w:tcPr>
          <w:p w14:paraId="166A277C" w14:textId="77777777" w:rsidR="00302BFE" w:rsidRPr="00902601" w:rsidRDefault="00302BFE" w:rsidP="00243B15">
            <w:pPr>
              <w:rPr>
                <w:highlight w:val="green"/>
                <w:lang w:val="en-CA"/>
              </w:rPr>
            </w:pPr>
          </w:p>
        </w:tc>
        <w:tc>
          <w:tcPr>
            <w:tcW w:w="340" w:type="dxa"/>
            <w:shd w:val="clear" w:color="auto" w:fill="auto"/>
          </w:tcPr>
          <w:p w14:paraId="01798117" w14:textId="77777777" w:rsidR="00302BFE" w:rsidRPr="00902601" w:rsidRDefault="00302BFE" w:rsidP="00243B15">
            <w:pPr>
              <w:rPr>
                <w:highlight w:val="green"/>
                <w:lang w:val="en-CA"/>
              </w:rPr>
            </w:pPr>
          </w:p>
        </w:tc>
        <w:tc>
          <w:tcPr>
            <w:tcW w:w="340" w:type="dxa"/>
            <w:shd w:val="clear" w:color="auto" w:fill="auto"/>
          </w:tcPr>
          <w:p w14:paraId="2D59F5F2" w14:textId="77777777" w:rsidR="00302BFE" w:rsidRPr="00902601" w:rsidRDefault="00302BFE" w:rsidP="00243B15">
            <w:pPr>
              <w:rPr>
                <w:highlight w:val="green"/>
                <w:lang w:val="en-CA"/>
              </w:rPr>
            </w:pPr>
          </w:p>
        </w:tc>
        <w:tc>
          <w:tcPr>
            <w:tcW w:w="340" w:type="dxa"/>
            <w:shd w:val="clear" w:color="auto" w:fill="auto"/>
          </w:tcPr>
          <w:p w14:paraId="6F3D0D4B" w14:textId="77777777" w:rsidR="00302BFE" w:rsidRPr="00902601" w:rsidRDefault="00302BFE" w:rsidP="00243B15">
            <w:pPr>
              <w:rPr>
                <w:highlight w:val="green"/>
                <w:lang w:val="en-CA"/>
              </w:rPr>
            </w:pPr>
          </w:p>
        </w:tc>
        <w:tc>
          <w:tcPr>
            <w:tcW w:w="340" w:type="dxa"/>
            <w:shd w:val="clear" w:color="auto" w:fill="auto"/>
          </w:tcPr>
          <w:p w14:paraId="1433ED6C" w14:textId="77777777" w:rsidR="00302BFE" w:rsidRPr="00902601" w:rsidRDefault="00302BFE" w:rsidP="00243B15">
            <w:pPr>
              <w:rPr>
                <w:highlight w:val="green"/>
                <w:lang w:val="en-CA"/>
              </w:rPr>
            </w:pPr>
          </w:p>
        </w:tc>
        <w:tc>
          <w:tcPr>
            <w:tcW w:w="340" w:type="dxa"/>
            <w:shd w:val="clear" w:color="auto" w:fill="auto"/>
          </w:tcPr>
          <w:p w14:paraId="27280B26" w14:textId="77777777" w:rsidR="00302BFE" w:rsidRPr="00902601" w:rsidRDefault="00302BFE" w:rsidP="00243B15">
            <w:pPr>
              <w:rPr>
                <w:highlight w:val="green"/>
                <w:lang w:val="en-CA"/>
              </w:rPr>
            </w:pPr>
          </w:p>
        </w:tc>
        <w:tc>
          <w:tcPr>
            <w:tcW w:w="340" w:type="dxa"/>
            <w:shd w:val="clear" w:color="auto" w:fill="auto"/>
          </w:tcPr>
          <w:p w14:paraId="46406C26" w14:textId="77777777" w:rsidR="00302BFE" w:rsidRPr="00902601" w:rsidRDefault="00302BFE" w:rsidP="00243B15">
            <w:pPr>
              <w:rPr>
                <w:highlight w:val="green"/>
                <w:lang w:val="en-CA"/>
              </w:rPr>
            </w:pPr>
          </w:p>
        </w:tc>
        <w:tc>
          <w:tcPr>
            <w:tcW w:w="340" w:type="dxa"/>
            <w:shd w:val="clear" w:color="auto" w:fill="auto"/>
          </w:tcPr>
          <w:p w14:paraId="3081C240" w14:textId="77777777" w:rsidR="00302BFE" w:rsidRPr="00902601" w:rsidRDefault="00302BFE" w:rsidP="00243B15">
            <w:pPr>
              <w:rPr>
                <w:highlight w:val="green"/>
                <w:lang w:val="en-CA"/>
              </w:rPr>
            </w:pPr>
          </w:p>
        </w:tc>
        <w:tc>
          <w:tcPr>
            <w:tcW w:w="340" w:type="dxa"/>
            <w:shd w:val="clear" w:color="auto" w:fill="auto"/>
          </w:tcPr>
          <w:p w14:paraId="7D05DFEC" w14:textId="77777777" w:rsidR="00302BFE" w:rsidRPr="00902601" w:rsidRDefault="00302BFE" w:rsidP="00243B15">
            <w:pPr>
              <w:rPr>
                <w:highlight w:val="green"/>
                <w:lang w:val="en-CA"/>
              </w:rPr>
            </w:pPr>
          </w:p>
        </w:tc>
        <w:tc>
          <w:tcPr>
            <w:tcW w:w="340" w:type="dxa"/>
            <w:shd w:val="clear" w:color="auto" w:fill="auto"/>
          </w:tcPr>
          <w:p w14:paraId="656C564B" w14:textId="77777777" w:rsidR="00302BFE" w:rsidRPr="00902601" w:rsidRDefault="00302BFE" w:rsidP="00243B15">
            <w:pPr>
              <w:rPr>
                <w:highlight w:val="green"/>
                <w:lang w:val="en-CA"/>
              </w:rPr>
            </w:pPr>
          </w:p>
        </w:tc>
        <w:tc>
          <w:tcPr>
            <w:tcW w:w="340" w:type="dxa"/>
            <w:shd w:val="clear" w:color="auto" w:fill="D9D9D9"/>
          </w:tcPr>
          <w:p w14:paraId="08377B4D" w14:textId="77777777" w:rsidR="00302BFE" w:rsidRPr="00902601" w:rsidRDefault="00302BFE" w:rsidP="00243B15">
            <w:pPr>
              <w:rPr>
                <w:highlight w:val="green"/>
                <w:lang w:val="en-CA"/>
              </w:rPr>
            </w:pPr>
          </w:p>
        </w:tc>
        <w:tc>
          <w:tcPr>
            <w:tcW w:w="340" w:type="dxa"/>
            <w:shd w:val="clear" w:color="auto" w:fill="D9D9D9"/>
          </w:tcPr>
          <w:p w14:paraId="5381FCB5" w14:textId="77777777" w:rsidR="00302BFE" w:rsidRPr="00902601" w:rsidRDefault="00302BFE" w:rsidP="00243B15">
            <w:pPr>
              <w:rPr>
                <w:highlight w:val="green"/>
                <w:lang w:val="en-CA"/>
              </w:rPr>
            </w:pPr>
          </w:p>
        </w:tc>
        <w:tc>
          <w:tcPr>
            <w:tcW w:w="340" w:type="dxa"/>
            <w:shd w:val="clear" w:color="auto" w:fill="D9D9D9"/>
          </w:tcPr>
          <w:p w14:paraId="3CC88D63" w14:textId="77777777" w:rsidR="00302BFE" w:rsidRPr="00902601" w:rsidRDefault="00302BFE" w:rsidP="00243B15">
            <w:pPr>
              <w:rPr>
                <w:highlight w:val="green"/>
                <w:lang w:val="en-CA"/>
              </w:rPr>
            </w:pPr>
          </w:p>
        </w:tc>
        <w:tc>
          <w:tcPr>
            <w:tcW w:w="340" w:type="dxa"/>
            <w:shd w:val="clear" w:color="auto" w:fill="D9D9D9"/>
          </w:tcPr>
          <w:p w14:paraId="74E4DC70" w14:textId="77777777" w:rsidR="00302BFE" w:rsidRPr="00902601" w:rsidRDefault="00302BFE" w:rsidP="00243B15">
            <w:pPr>
              <w:rPr>
                <w:highlight w:val="green"/>
                <w:lang w:val="en-CA"/>
              </w:rPr>
            </w:pPr>
          </w:p>
        </w:tc>
        <w:tc>
          <w:tcPr>
            <w:tcW w:w="340" w:type="dxa"/>
            <w:shd w:val="clear" w:color="auto" w:fill="D9D9D9"/>
          </w:tcPr>
          <w:p w14:paraId="0AE9ADDA" w14:textId="77777777" w:rsidR="00302BFE" w:rsidRPr="00902601" w:rsidRDefault="00302BFE" w:rsidP="00243B15">
            <w:pPr>
              <w:rPr>
                <w:highlight w:val="green"/>
                <w:lang w:val="en-CA"/>
              </w:rPr>
            </w:pPr>
          </w:p>
        </w:tc>
        <w:tc>
          <w:tcPr>
            <w:tcW w:w="340" w:type="dxa"/>
            <w:shd w:val="clear" w:color="auto" w:fill="D9D9D9"/>
          </w:tcPr>
          <w:p w14:paraId="41BF2CBB" w14:textId="77777777" w:rsidR="00302BFE" w:rsidRPr="00902601" w:rsidRDefault="00302BFE" w:rsidP="00243B15">
            <w:pPr>
              <w:rPr>
                <w:highlight w:val="green"/>
                <w:lang w:val="en-CA"/>
              </w:rPr>
            </w:pPr>
          </w:p>
        </w:tc>
        <w:tc>
          <w:tcPr>
            <w:tcW w:w="340" w:type="dxa"/>
            <w:shd w:val="clear" w:color="auto" w:fill="D9D9D9"/>
          </w:tcPr>
          <w:p w14:paraId="5E23E609" w14:textId="77777777" w:rsidR="00302BFE" w:rsidRPr="00902601" w:rsidRDefault="00302BFE" w:rsidP="00243B15">
            <w:pPr>
              <w:rPr>
                <w:highlight w:val="green"/>
                <w:lang w:val="en-CA"/>
              </w:rPr>
            </w:pPr>
          </w:p>
        </w:tc>
        <w:tc>
          <w:tcPr>
            <w:tcW w:w="340" w:type="dxa"/>
            <w:shd w:val="clear" w:color="auto" w:fill="D9D9D9"/>
          </w:tcPr>
          <w:p w14:paraId="223CDAE3" w14:textId="77777777" w:rsidR="00302BFE" w:rsidRPr="00902601" w:rsidRDefault="00302BFE" w:rsidP="00243B15">
            <w:pPr>
              <w:rPr>
                <w:highlight w:val="green"/>
                <w:lang w:val="en-CA"/>
              </w:rPr>
            </w:pPr>
          </w:p>
        </w:tc>
        <w:tc>
          <w:tcPr>
            <w:tcW w:w="340" w:type="dxa"/>
            <w:shd w:val="clear" w:color="auto" w:fill="D9D9D9"/>
          </w:tcPr>
          <w:p w14:paraId="13A5F45C" w14:textId="77777777" w:rsidR="00302BFE" w:rsidRPr="00902601" w:rsidRDefault="00302BFE" w:rsidP="00243B15">
            <w:pPr>
              <w:rPr>
                <w:highlight w:val="green"/>
                <w:lang w:val="en-CA"/>
              </w:rPr>
            </w:pPr>
          </w:p>
        </w:tc>
        <w:tc>
          <w:tcPr>
            <w:tcW w:w="340" w:type="dxa"/>
            <w:shd w:val="clear" w:color="auto" w:fill="D9D9D9"/>
          </w:tcPr>
          <w:p w14:paraId="609C223F" w14:textId="77777777" w:rsidR="00302BFE" w:rsidRPr="00902601" w:rsidRDefault="00302BFE" w:rsidP="00243B15">
            <w:pPr>
              <w:rPr>
                <w:highlight w:val="green"/>
                <w:lang w:val="en-CA"/>
              </w:rPr>
            </w:pPr>
          </w:p>
        </w:tc>
        <w:tc>
          <w:tcPr>
            <w:tcW w:w="340" w:type="dxa"/>
            <w:shd w:val="clear" w:color="auto" w:fill="auto"/>
          </w:tcPr>
          <w:p w14:paraId="60DAA6E6" w14:textId="77777777" w:rsidR="00302BFE" w:rsidRPr="00902601" w:rsidRDefault="00302BFE" w:rsidP="00243B15">
            <w:pPr>
              <w:rPr>
                <w:highlight w:val="green"/>
                <w:lang w:val="en-CA"/>
              </w:rPr>
            </w:pPr>
          </w:p>
        </w:tc>
        <w:tc>
          <w:tcPr>
            <w:tcW w:w="340" w:type="dxa"/>
            <w:shd w:val="clear" w:color="auto" w:fill="auto"/>
          </w:tcPr>
          <w:p w14:paraId="3F41A17E" w14:textId="77777777" w:rsidR="00302BFE" w:rsidRPr="00902601" w:rsidRDefault="00302BFE" w:rsidP="00243B15">
            <w:pPr>
              <w:rPr>
                <w:highlight w:val="green"/>
                <w:lang w:val="en-CA"/>
              </w:rPr>
            </w:pPr>
          </w:p>
        </w:tc>
      </w:tr>
      <w:tr w:rsidR="00EC409B" w:rsidRPr="00902601" w14:paraId="4C220F8F" w14:textId="77777777" w:rsidTr="00755BF9">
        <w:trPr>
          <w:jc w:val="center"/>
        </w:trPr>
        <w:tc>
          <w:tcPr>
            <w:tcW w:w="5670" w:type="dxa"/>
            <w:shd w:val="clear" w:color="auto" w:fill="auto"/>
          </w:tcPr>
          <w:p w14:paraId="6816D91C" w14:textId="77777777" w:rsidR="00302BFE" w:rsidRPr="00902601" w:rsidRDefault="00302BFE" w:rsidP="00243B15">
            <w:pPr>
              <w:rPr>
                <w:i/>
                <w:color w:val="4472C4"/>
                <w:sz w:val="16"/>
                <w:szCs w:val="16"/>
                <w:highlight w:val="green"/>
              </w:rPr>
            </w:pPr>
            <w:r w:rsidRPr="00902601">
              <w:rPr>
                <w:i/>
                <w:color w:val="4472C4"/>
                <w:sz w:val="16"/>
                <w:szCs w:val="16"/>
                <w:highlight w:val="green"/>
                <w:lang w:val="en-GB"/>
              </w:rPr>
              <w:t>3.4.6 Tourism infrastructure improvements for the Kaboré-Tambi National Park</w:t>
            </w:r>
          </w:p>
        </w:tc>
        <w:tc>
          <w:tcPr>
            <w:tcW w:w="340" w:type="dxa"/>
            <w:shd w:val="clear" w:color="auto" w:fill="auto"/>
          </w:tcPr>
          <w:p w14:paraId="4F940640" w14:textId="77777777" w:rsidR="00302BFE" w:rsidRPr="00902601" w:rsidRDefault="00302BFE" w:rsidP="00243B15">
            <w:pPr>
              <w:rPr>
                <w:highlight w:val="green"/>
              </w:rPr>
            </w:pPr>
          </w:p>
        </w:tc>
        <w:tc>
          <w:tcPr>
            <w:tcW w:w="340" w:type="dxa"/>
            <w:shd w:val="clear" w:color="auto" w:fill="auto"/>
          </w:tcPr>
          <w:p w14:paraId="7CC0A17C" w14:textId="77777777" w:rsidR="00302BFE" w:rsidRPr="00902601" w:rsidRDefault="00302BFE" w:rsidP="00243B15">
            <w:pPr>
              <w:rPr>
                <w:highlight w:val="green"/>
              </w:rPr>
            </w:pPr>
          </w:p>
        </w:tc>
        <w:tc>
          <w:tcPr>
            <w:tcW w:w="340" w:type="dxa"/>
            <w:shd w:val="clear" w:color="auto" w:fill="auto"/>
          </w:tcPr>
          <w:p w14:paraId="050002E5" w14:textId="77777777" w:rsidR="00302BFE" w:rsidRPr="00902601" w:rsidRDefault="00302BFE" w:rsidP="00243B15">
            <w:pPr>
              <w:rPr>
                <w:highlight w:val="green"/>
              </w:rPr>
            </w:pPr>
          </w:p>
        </w:tc>
        <w:tc>
          <w:tcPr>
            <w:tcW w:w="340" w:type="dxa"/>
            <w:shd w:val="clear" w:color="auto" w:fill="auto"/>
          </w:tcPr>
          <w:p w14:paraId="6C7BAD95" w14:textId="77777777" w:rsidR="00302BFE" w:rsidRPr="00902601" w:rsidRDefault="00302BFE" w:rsidP="00243B15">
            <w:pPr>
              <w:rPr>
                <w:highlight w:val="green"/>
              </w:rPr>
            </w:pPr>
          </w:p>
        </w:tc>
        <w:tc>
          <w:tcPr>
            <w:tcW w:w="340" w:type="dxa"/>
            <w:shd w:val="clear" w:color="auto" w:fill="auto"/>
          </w:tcPr>
          <w:p w14:paraId="5FBF1547" w14:textId="77777777" w:rsidR="00302BFE" w:rsidRPr="00902601" w:rsidRDefault="00302BFE" w:rsidP="00243B15">
            <w:pPr>
              <w:rPr>
                <w:highlight w:val="green"/>
              </w:rPr>
            </w:pPr>
          </w:p>
        </w:tc>
        <w:tc>
          <w:tcPr>
            <w:tcW w:w="340" w:type="dxa"/>
            <w:shd w:val="clear" w:color="auto" w:fill="auto"/>
          </w:tcPr>
          <w:p w14:paraId="40A03137" w14:textId="77777777" w:rsidR="00302BFE" w:rsidRPr="00902601" w:rsidRDefault="00302BFE" w:rsidP="00243B15">
            <w:pPr>
              <w:rPr>
                <w:highlight w:val="green"/>
              </w:rPr>
            </w:pPr>
          </w:p>
        </w:tc>
        <w:tc>
          <w:tcPr>
            <w:tcW w:w="340" w:type="dxa"/>
            <w:shd w:val="clear" w:color="auto" w:fill="auto"/>
          </w:tcPr>
          <w:p w14:paraId="5C8CDE73" w14:textId="77777777" w:rsidR="00302BFE" w:rsidRPr="00902601" w:rsidRDefault="00302BFE" w:rsidP="00243B15">
            <w:pPr>
              <w:rPr>
                <w:highlight w:val="green"/>
              </w:rPr>
            </w:pPr>
          </w:p>
        </w:tc>
        <w:tc>
          <w:tcPr>
            <w:tcW w:w="340" w:type="dxa"/>
            <w:shd w:val="clear" w:color="auto" w:fill="auto"/>
          </w:tcPr>
          <w:p w14:paraId="233EC8F5" w14:textId="77777777" w:rsidR="00302BFE" w:rsidRPr="00902601" w:rsidRDefault="00302BFE" w:rsidP="00243B15">
            <w:pPr>
              <w:rPr>
                <w:highlight w:val="green"/>
              </w:rPr>
            </w:pPr>
          </w:p>
        </w:tc>
        <w:tc>
          <w:tcPr>
            <w:tcW w:w="340" w:type="dxa"/>
            <w:shd w:val="clear" w:color="auto" w:fill="auto"/>
          </w:tcPr>
          <w:p w14:paraId="3AB0170D" w14:textId="77777777" w:rsidR="00302BFE" w:rsidRPr="00902601" w:rsidRDefault="00302BFE" w:rsidP="00243B15">
            <w:pPr>
              <w:rPr>
                <w:highlight w:val="green"/>
              </w:rPr>
            </w:pPr>
          </w:p>
        </w:tc>
        <w:tc>
          <w:tcPr>
            <w:tcW w:w="340" w:type="dxa"/>
            <w:shd w:val="clear" w:color="auto" w:fill="auto"/>
          </w:tcPr>
          <w:p w14:paraId="10712278" w14:textId="77777777" w:rsidR="00302BFE" w:rsidRPr="00902601" w:rsidRDefault="00302BFE" w:rsidP="00243B15">
            <w:pPr>
              <w:rPr>
                <w:highlight w:val="green"/>
              </w:rPr>
            </w:pPr>
          </w:p>
        </w:tc>
        <w:tc>
          <w:tcPr>
            <w:tcW w:w="340" w:type="dxa"/>
            <w:shd w:val="clear" w:color="auto" w:fill="auto"/>
          </w:tcPr>
          <w:p w14:paraId="5F4419C7" w14:textId="77777777" w:rsidR="00302BFE" w:rsidRPr="00902601" w:rsidRDefault="00302BFE" w:rsidP="00243B15">
            <w:pPr>
              <w:rPr>
                <w:highlight w:val="green"/>
              </w:rPr>
            </w:pPr>
          </w:p>
        </w:tc>
        <w:tc>
          <w:tcPr>
            <w:tcW w:w="340" w:type="dxa"/>
            <w:shd w:val="clear" w:color="auto" w:fill="auto"/>
          </w:tcPr>
          <w:p w14:paraId="529DCC5F" w14:textId="77777777" w:rsidR="00302BFE" w:rsidRPr="00902601" w:rsidRDefault="00302BFE" w:rsidP="00243B15">
            <w:pPr>
              <w:rPr>
                <w:highlight w:val="green"/>
              </w:rPr>
            </w:pPr>
          </w:p>
        </w:tc>
        <w:tc>
          <w:tcPr>
            <w:tcW w:w="340" w:type="dxa"/>
            <w:shd w:val="clear" w:color="auto" w:fill="D9D9D9"/>
          </w:tcPr>
          <w:p w14:paraId="0AB633A1" w14:textId="77777777" w:rsidR="00302BFE" w:rsidRPr="00902601" w:rsidRDefault="00302BFE" w:rsidP="00243B15">
            <w:pPr>
              <w:rPr>
                <w:highlight w:val="green"/>
              </w:rPr>
            </w:pPr>
          </w:p>
        </w:tc>
        <w:tc>
          <w:tcPr>
            <w:tcW w:w="340" w:type="dxa"/>
            <w:shd w:val="clear" w:color="auto" w:fill="D9D9D9"/>
          </w:tcPr>
          <w:p w14:paraId="0AE7562C" w14:textId="77777777" w:rsidR="00302BFE" w:rsidRPr="00902601" w:rsidRDefault="00302BFE" w:rsidP="00243B15">
            <w:pPr>
              <w:rPr>
                <w:highlight w:val="green"/>
              </w:rPr>
            </w:pPr>
          </w:p>
        </w:tc>
        <w:tc>
          <w:tcPr>
            <w:tcW w:w="340" w:type="dxa"/>
            <w:shd w:val="clear" w:color="auto" w:fill="D9D9D9"/>
          </w:tcPr>
          <w:p w14:paraId="67E18FAD" w14:textId="77777777" w:rsidR="00302BFE" w:rsidRPr="00902601" w:rsidRDefault="00302BFE" w:rsidP="00243B15">
            <w:pPr>
              <w:rPr>
                <w:highlight w:val="green"/>
              </w:rPr>
            </w:pPr>
          </w:p>
        </w:tc>
        <w:tc>
          <w:tcPr>
            <w:tcW w:w="340" w:type="dxa"/>
            <w:shd w:val="clear" w:color="auto" w:fill="D9D9D9"/>
          </w:tcPr>
          <w:p w14:paraId="5351DACE" w14:textId="77777777" w:rsidR="00302BFE" w:rsidRPr="00902601" w:rsidRDefault="00302BFE" w:rsidP="00243B15">
            <w:pPr>
              <w:rPr>
                <w:highlight w:val="green"/>
              </w:rPr>
            </w:pPr>
          </w:p>
        </w:tc>
        <w:tc>
          <w:tcPr>
            <w:tcW w:w="340" w:type="dxa"/>
            <w:shd w:val="clear" w:color="auto" w:fill="D9D9D9"/>
          </w:tcPr>
          <w:p w14:paraId="0643ED73" w14:textId="77777777" w:rsidR="00302BFE" w:rsidRPr="00902601" w:rsidRDefault="00302BFE" w:rsidP="00243B15">
            <w:pPr>
              <w:rPr>
                <w:highlight w:val="green"/>
              </w:rPr>
            </w:pPr>
          </w:p>
        </w:tc>
        <w:tc>
          <w:tcPr>
            <w:tcW w:w="340" w:type="dxa"/>
            <w:shd w:val="clear" w:color="auto" w:fill="D9D9D9"/>
          </w:tcPr>
          <w:p w14:paraId="76F91BBB" w14:textId="77777777" w:rsidR="00302BFE" w:rsidRPr="00902601" w:rsidRDefault="00302BFE" w:rsidP="00243B15">
            <w:pPr>
              <w:rPr>
                <w:highlight w:val="green"/>
              </w:rPr>
            </w:pPr>
          </w:p>
        </w:tc>
        <w:tc>
          <w:tcPr>
            <w:tcW w:w="340" w:type="dxa"/>
            <w:shd w:val="clear" w:color="auto" w:fill="D9D9D9"/>
          </w:tcPr>
          <w:p w14:paraId="4DA9D5A9" w14:textId="77777777" w:rsidR="00302BFE" w:rsidRPr="00902601" w:rsidRDefault="00302BFE" w:rsidP="00243B15">
            <w:pPr>
              <w:rPr>
                <w:highlight w:val="green"/>
              </w:rPr>
            </w:pPr>
          </w:p>
        </w:tc>
        <w:tc>
          <w:tcPr>
            <w:tcW w:w="340" w:type="dxa"/>
            <w:shd w:val="clear" w:color="auto" w:fill="D9D9D9"/>
          </w:tcPr>
          <w:p w14:paraId="077690A3" w14:textId="77777777" w:rsidR="00302BFE" w:rsidRPr="00902601" w:rsidRDefault="00302BFE" w:rsidP="00243B15">
            <w:pPr>
              <w:rPr>
                <w:highlight w:val="green"/>
              </w:rPr>
            </w:pPr>
          </w:p>
        </w:tc>
        <w:tc>
          <w:tcPr>
            <w:tcW w:w="340" w:type="dxa"/>
            <w:shd w:val="clear" w:color="auto" w:fill="D9D9D9"/>
          </w:tcPr>
          <w:p w14:paraId="6A976154" w14:textId="77777777" w:rsidR="00302BFE" w:rsidRPr="00902601" w:rsidRDefault="00302BFE" w:rsidP="00243B15">
            <w:pPr>
              <w:rPr>
                <w:highlight w:val="green"/>
              </w:rPr>
            </w:pPr>
          </w:p>
        </w:tc>
        <w:tc>
          <w:tcPr>
            <w:tcW w:w="340" w:type="dxa"/>
            <w:shd w:val="clear" w:color="auto" w:fill="D9D9D9"/>
          </w:tcPr>
          <w:p w14:paraId="4C7DC27C" w14:textId="77777777" w:rsidR="00302BFE" w:rsidRPr="00902601" w:rsidRDefault="00302BFE" w:rsidP="00243B15">
            <w:pPr>
              <w:rPr>
                <w:highlight w:val="green"/>
              </w:rPr>
            </w:pPr>
          </w:p>
        </w:tc>
        <w:tc>
          <w:tcPr>
            <w:tcW w:w="340" w:type="dxa"/>
            <w:shd w:val="clear" w:color="auto" w:fill="auto"/>
          </w:tcPr>
          <w:p w14:paraId="0F9AE944" w14:textId="77777777" w:rsidR="00302BFE" w:rsidRPr="00902601" w:rsidRDefault="00302BFE" w:rsidP="00243B15">
            <w:pPr>
              <w:rPr>
                <w:highlight w:val="green"/>
              </w:rPr>
            </w:pPr>
          </w:p>
        </w:tc>
        <w:tc>
          <w:tcPr>
            <w:tcW w:w="340" w:type="dxa"/>
            <w:shd w:val="clear" w:color="auto" w:fill="auto"/>
          </w:tcPr>
          <w:p w14:paraId="44F37D7D" w14:textId="77777777" w:rsidR="00302BFE" w:rsidRPr="00902601" w:rsidRDefault="00302BFE" w:rsidP="00243B15">
            <w:pPr>
              <w:rPr>
                <w:highlight w:val="green"/>
              </w:rPr>
            </w:pPr>
          </w:p>
        </w:tc>
      </w:tr>
      <w:tr w:rsidR="00302BFE" w:rsidRPr="00902601" w14:paraId="2883F9DE" w14:textId="77777777" w:rsidTr="00243B15">
        <w:trPr>
          <w:jc w:val="center"/>
        </w:trPr>
        <w:tc>
          <w:tcPr>
            <w:tcW w:w="13830" w:type="dxa"/>
            <w:gridSpan w:val="25"/>
            <w:shd w:val="clear" w:color="auto" w:fill="FFF2CC"/>
          </w:tcPr>
          <w:p w14:paraId="51BBB10C" w14:textId="77777777" w:rsidR="00302BFE" w:rsidRPr="00902601" w:rsidRDefault="00302BFE" w:rsidP="00243B15">
            <w:pPr>
              <w:rPr>
                <w:highlight w:val="green"/>
                <w:lang w:val="en-CA"/>
              </w:rPr>
            </w:pPr>
            <w:r w:rsidRPr="00902601">
              <w:rPr>
                <w:b/>
                <w:sz w:val="16"/>
                <w:szCs w:val="16"/>
                <w:highlight w:val="green"/>
                <w:lang w:val="en-CA"/>
              </w:rPr>
              <w:t>Component 4: Gender mainstreaming, and knowledge and learning management</w:t>
            </w:r>
          </w:p>
        </w:tc>
      </w:tr>
      <w:tr w:rsidR="005979FD" w:rsidRPr="00902601" w14:paraId="674E1619" w14:textId="77777777" w:rsidTr="00CC2FAC">
        <w:trPr>
          <w:jc w:val="center"/>
        </w:trPr>
        <w:tc>
          <w:tcPr>
            <w:tcW w:w="5670" w:type="dxa"/>
            <w:shd w:val="clear" w:color="auto" w:fill="auto"/>
          </w:tcPr>
          <w:p w14:paraId="6A1591B0" w14:textId="77777777" w:rsidR="00302BFE" w:rsidRPr="00902601" w:rsidRDefault="00302BFE" w:rsidP="00243B15">
            <w:pPr>
              <w:rPr>
                <w:sz w:val="16"/>
                <w:szCs w:val="16"/>
                <w:highlight w:val="green"/>
                <w:lang w:val="en-CA"/>
              </w:rPr>
            </w:pPr>
            <w:r w:rsidRPr="00902601">
              <w:rPr>
                <w:sz w:val="16"/>
                <w:szCs w:val="16"/>
                <w:highlight w:val="green"/>
                <w:lang w:val="en-CA"/>
              </w:rPr>
              <w:t>Output 4.1 Gender Action plan implemented, monitored and evaluated</w:t>
            </w:r>
          </w:p>
        </w:tc>
        <w:tc>
          <w:tcPr>
            <w:tcW w:w="340" w:type="dxa"/>
            <w:tcBorders>
              <w:bottom w:val="single" w:sz="4" w:space="0" w:color="auto"/>
            </w:tcBorders>
            <w:shd w:val="clear" w:color="auto" w:fill="auto"/>
          </w:tcPr>
          <w:p w14:paraId="5882F72F" w14:textId="77777777" w:rsidR="00302BFE" w:rsidRPr="00902601" w:rsidRDefault="00302BFE" w:rsidP="00243B15">
            <w:pPr>
              <w:rPr>
                <w:highlight w:val="green"/>
                <w:lang w:val="en-CA"/>
              </w:rPr>
            </w:pPr>
          </w:p>
        </w:tc>
        <w:tc>
          <w:tcPr>
            <w:tcW w:w="340" w:type="dxa"/>
            <w:tcBorders>
              <w:bottom w:val="single" w:sz="4" w:space="0" w:color="auto"/>
            </w:tcBorders>
            <w:shd w:val="clear" w:color="auto" w:fill="auto"/>
          </w:tcPr>
          <w:p w14:paraId="3351B5A5"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60B2402C"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3154D1E5" w14:textId="77777777" w:rsidR="00302BFE" w:rsidRPr="00902601" w:rsidRDefault="00302BFE" w:rsidP="00243B15">
            <w:pPr>
              <w:rPr>
                <w:highlight w:val="green"/>
                <w:lang w:val="en-CA"/>
              </w:rPr>
            </w:pPr>
          </w:p>
        </w:tc>
        <w:tc>
          <w:tcPr>
            <w:tcW w:w="340" w:type="dxa"/>
            <w:shd w:val="clear" w:color="auto" w:fill="D9D9D9"/>
          </w:tcPr>
          <w:p w14:paraId="1E0505FA" w14:textId="77777777" w:rsidR="00302BFE" w:rsidRPr="00902601" w:rsidRDefault="00302BFE" w:rsidP="00243B15">
            <w:pPr>
              <w:rPr>
                <w:highlight w:val="green"/>
                <w:lang w:val="en-CA"/>
              </w:rPr>
            </w:pPr>
          </w:p>
        </w:tc>
        <w:tc>
          <w:tcPr>
            <w:tcW w:w="340" w:type="dxa"/>
            <w:shd w:val="clear" w:color="auto" w:fill="D9D9D9"/>
          </w:tcPr>
          <w:p w14:paraId="41C2FBBF" w14:textId="77777777" w:rsidR="00302BFE" w:rsidRPr="00902601" w:rsidRDefault="00302BFE" w:rsidP="00243B15">
            <w:pPr>
              <w:rPr>
                <w:highlight w:val="green"/>
                <w:lang w:val="en-CA"/>
              </w:rPr>
            </w:pPr>
          </w:p>
        </w:tc>
        <w:tc>
          <w:tcPr>
            <w:tcW w:w="340" w:type="dxa"/>
            <w:shd w:val="clear" w:color="auto" w:fill="D9D9D9"/>
          </w:tcPr>
          <w:p w14:paraId="7040A381" w14:textId="77777777" w:rsidR="00302BFE" w:rsidRPr="00902601" w:rsidRDefault="00302BFE" w:rsidP="00243B15">
            <w:pPr>
              <w:rPr>
                <w:highlight w:val="green"/>
                <w:lang w:val="en-CA"/>
              </w:rPr>
            </w:pPr>
          </w:p>
        </w:tc>
        <w:tc>
          <w:tcPr>
            <w:tcW w:w="340" w:type="dxa"/>
            <w:tcBorders>
              <w:bottom w:val="single" w:sz="4" w:space="0" w:color="auto"/>
            </w:tcBorders>
            <w:shd w:val="clear" w:color="auto" w:fill="D9D9D9"/>
          </w:tcPr>
          <w:p w14:paraId="7ACD72E3" w14:textId="77777777" w:rsidR="00302BFE" w:rsidRPr="00902601" w:rsidRDefault="00302BFE" w:rsidP="00243B15">
            <w:pPr>
              <w:rPr>
                <w:highlight w:val="green"/>
                <w:lang w:val="en-CA"/>
              </w:rPr>
            </w:pPr>
          </w:p>
        </w:tc>
        <w:tc>
          <w:tcPr>
            <w:tcW w:w="340" w:type="dxa"/>
            <w:shd w:val="clear" w:color="auto" w:fill="D9D9D9"/>
          </w:tcPr>
          <w:p w14:paraId="36BD6560" w14:textId="77777777" w:rsidR="00302BFE" w:rsidRPr="00902601" w:rsidRDefault="00302BFE" w:rsidP="00243B15">
            <w:pPr>
              <w:rPr>
                <w:highlight w:val="green"/>
                <w:lang w:val="en-CA"/>
              </w:rPr>
            </w:pPr>
          </w:p>
        </w:tc>
        <w:tc>
          <w:tcPr>
            <w:tcW w:w="340" w:type="dxa"/>
            <w:shd w:val="clear" w:color="auto" w:fill="D9D9D9"/>
          </w:tcPr>
          <w:p w14:paraId="1AE6F7E8" w14:textId="77777777" w:rsidR="00302BFE" w:rsidRPr="00902601" w:rsidRDefault="00302BFE" w:rsidP="00243B15">
            <w:pPr>
              <w:rPr>
                <w:highlight w:val="green"/>
                <w:lang w:val="en-CA"/>
              </w:rPr>
            </w:pPr>
          </w:p>
        </w:tc>
        <w:tc>
          <w:tcPr>
            <w:tcW w:w="340" w:type="dxa"/>
            <w:shd w:val="clear" w:color="auto" w:fill="D9D9D9"/>
          </w:tcPr>
          <w:p w14:paraId="29C14591" w14:textId="77777777" w:rsidR="00302BFE" w:rsidRPr="00902601" w:rsidRDefault="00302BFE" w:rsidP="00243B15">
            <w:pPr>
              <w:rPr>
                <w:highlight w:val="green"/>
                <w:lang w:val="en-CA"/>
              </w:rPr>
            </w:pPr>
          </w:p>
        </w:tc>
        <w:tc>
          <w:tcPr>
            <w:tcW w:w="340" w:type="dxa"/>
            <w:shd w:val="clear" w:color="auto" w:fill="D9D9D9"/>
          </w:tcPr>
          <w:p w14:paraId="76968DAF" w14:textId="77777777" w:rsidR="00302BFE" w:rsidRPr="00902601" w:rsidRDefault="00302BFE" w:rsidP="00243B15">
            <w:pPr>
              <w:rPr>
                <w:highlight w:val="green"/>
                <w:lang w:val="en-CA"/>
              </w:rPr>
            </w:pPr>
          </w:p>
        </w:tc>
        <w:tc>
          <w:tcPr>
            <w:tcW w:w="340" w:type="dxa"/>
            <w:shd w:val="clear" w:color="auto" w:fill="D9D9D9"/>
          </w:tcPr>
          <w:p w14:paraId="08C673C1" w14:textId="77777777" w:rsidR="00302BFE" w:rsidRPr="00902601" w:rsidRDefault="00302BFE" w:rsidP="00243B15">
            <w:pPr>
              <w:rPr>
                <w:highlight w:val="green"/>
                <w:lang w:val="en-CA"/>
              </w:rPr>
            </w:pPr>
          </w:p>
        </w:tc>
        <w:tc>
          <w:tcPr>
            <w:tcW w:w="340" w:type="dxa"/>
            <w:shd w:val="clear" w:color="auto" w:fill="D9D9D9"/>
          </w:tcPr>
          <w:p w14:paraId="40536C49" w14:textId="77777777" w:rsidR="00302BFE" w:rsidRPr="00902601" w:rsidRDefault="00302BFE" w:rsidP="00243B15">
            <w:pPr>
              <w:rPr>
                <w:highlight w:val="green"/>
                <w:lang w:val="en-CA"/>
              </w:rPr>
            </w:pPr>
          </w:p>
        </w:tc>
        <w:tc>
          <w:tcPr>
            <w:tcW w:w="340" w:type="dxa"/>
            <w:shd w:val="clear" w:color="auto" w:fill="D9D9D9"/>
          </w:tcPr>
          <w:p w14:paraId="5B6DF6B2" w14:textId="77777777" w:rsidR="00302BFE" w:rsidRPr="00902601" w:rsidRDefault="00302BFE" w:rsidP="00243B15">
            <w:pPr>
              <w:rPr>
                <w:highlight w:val="green"/>
                <w:lang w:val="en-CA"/>
              </w:rPr>
            </w:pPr>
          </w:p>
        </w:tc>
        <w:tc>
          <w:tcPr>
            <w:tcW w:w="340" w:type="dxa"/>
            <w:shd w:val="clear" w:color="auto" w:fill="D9D9D9"/>
          </w:tcPr>
          <w:p w14:paraId="249E0420" w14:textId="77777777" w:rsidR="00302BFE" w:rsidRPr="00902601" w:rsidRDefault="00302BFE" w:rsidP="00243B15">
            <w:pPr>
              <w:rPr>
                <w:highlight w:val="green"/>
                <w:lang w:val="en-CA"/>
              </w:rPr>
            </w:pPr>
          </w:p>
        </w:tc>
        <w:tc>
          <w:tcPr>
            <w:tcW w:w="340" w:type="dxa"/>
            <w:shd w:val="clear" w:color="auto" w:fill="D9D9D9"/>
          </w:tcPr>
          <w:p w14:paraId="5D1103F5" w14:textId="77777777" w:rsidR="00302BFE" w:rsidRPr="00902601" w:rsidRDefault="00302BFE" w:rsidP="00243B15">
            <w:pPr>
              <w:rPr>
                <w:highlight w:val="green"/>
                <w:lang w:val="en-CA"/>
              </w:rPr>
            </w:pPr>
          </w:p>
        </w:tc>
        <w:tc>
          <w:tcPr>
            <w:tcW w:w="340" w:type="dxa"/>
            <w:shd w:val="clear" w:color="auto" w:fill="D9D9D9"/>
          </w:tcPr>
          <w:p w14:paraId="70D1C104" w14:textId="77777777" w:rsidR="00302BFE" w:rsidRPr="00902601" w:rsidRDefault="00302BFE" w:rsidP="00243B15">
            <w:pPr>
              <w:rPr>
                <w:highlight w:val="green"/>
                <w:lang w:val="en-CA"/>
              </w:rPr>
            </w:pPr>
          </w:p>
        </w:tc>
        <w:tc>
          <w:tcPr>
            <w:tcW w:w="340" w:type="dxa"/>
            <w:shd w:val="clear" w:color="auto" w:fill="D9D9D9"/>
          </w:tcPr>
          <w:p w14:paraId="39E6AFB0" w14:textId="77777777" w:rsidR="00302BFE" w:rsidRPr="00902601" w:rsidRDefault="00302BFE" w:rsidP="00243B15">
            <w:pPr>
              <w:rPr>
                <w:highlight w:val="green"/>
                <w:lang w:val="en-CA"/>
              </w:rPr>
            </w:pPr>
          </w:p>
        </w:tc>
        <w:tc>
          <w:tcPr>
            <w:tcW w:w="340" w:type="dxa"/>
            <w:shd w:val="clear" w:color="auto" w:fill="D9D9D9"/>
          </w:tcPr>
          <w:p w14:paraId="61EEC8E1" w14:textId="77777777" w:rsidR="00302BFE" w:rsidRPr="00902601" w:rsidRDefault="00302BFE" w:rsidP="00243B15">
            <w:pPr>
              <w:rPr>
                <w:highlight w:val="green"/>
                <w:lang w:val="en-CA"/>
              </w:rPr>
            </w:pPr>
          </w:p>
        </w:tc>
        <w:tc>
          <w:tcPr>
            <w:tcW w:w="340" w:type="dxa"/>
            <w:shd w:val="clear" w:color="auto" w:fill="D9D9D9"/>
          </w:tcPr>
          <w:p w14:paraId="209D46B1" w14:textId="77777777" w:rsidR="00302BFE" w:rsidRPr="00902601" w:rsidRDefault="00302BFE" w:rsidP="00243B15">
            <w:pPr>
              <w:rPr>
                <w:highlight w:val="green"/>
                <w:lang w:val="en-CA"/>
              </w:rPr>
            </w:pPr>
          </w:p>
        </w:tc>
        <w:tc>
          <w:tcPr>
            <w:tcW w:w="340" w:type="dxa"/>
            <w:shd w:val="clear" w:color="auto" w:fill="D9D9D9"/>
          </w:tcPr>
          <w:p w14:paraId="4CADBDCE" w14:textId="77777777" w:rsidR="00302BFE" w:rsidRPr="00902601" w:rsidRDefault="00302BFE" w:rsidP="00243B15">
            <w:pPr>
              <w:rPr>
                <w:highlight w:val="green"/>
                <w:lang w:val="en-CA"/>
              </w:rPr>
            </w:pPr>
          </w:p>
        </w:tc>
        <w:tc>
          <w:tcPr>
            <w:tcW w:w="340" w:type="dxa"/>
            <w:shd w:val="clear" w:color="auto" w:fill="D9D9D9"/>
          </w:tcPr>
          <w:p w14:paraId="405768F1" w14:textId="77777777" w:rsidR="00302BFE" w:rsidRPr="00902601" w:rsidRDefault="00302BFE" w:rsidP="00243B15">
            <w:pPr>
              <w:rPr>
                <w:highlight w:val="green"/>
                <w:lang w:val="en-CA"/>
              </w:rPr>
            </w:pPr>
          </w:p>
        </w:tc>
        <w:tc>
          <w:tcPr>
            <w:tcW w:w="340" w:type="dxa"/>
            <w:shd w:val="clear" w:color="auto" w:fill="D9D9D9"/>
          </w:tcPr>
          <w:p w14:paraId="7461CEF9" w14:textId="77777777" w:rsidR="00302BFE" w:rsidRPr="00902601" w:rsidRDefault="00302BFE" w:rsidP="00243B15">
            <w:pPr>
              <w:rPr>
                <w:highlight w:val="green"/>
                <w:lang w:val="en-CA"/>
              </w:rPr>
            </w:pPr>
          </w:p>
        </w:tc>
      </w:tr>
      <w:tr w:rsidR="00EC409B" w:rsidRPr="00902601" w14:paraId="4726FD27" w14:textId="77777777" w:rsidTr="00755BF9">
        <w:trPr>
          <w:jc w:val="center"/>
        </w:trPr>
        <w:tc>
          <w:tcPr>
            <w:tcW w:w="5670" w:type="dxa"/>
            <w:shd w:val="clear" w:color="auto" w:fill="auto"/>
          </w:tcPr>
          <w:p w14:paraId="39B2AFCC" w14:textId="77777777" w:rsidR="00302BFE" w:rsidRPr="00902601" w:rsidRDefault="00302BFE" w:rsidP="00243B15">
            <w:pPr>
              <w:rPr>
                <w:sz w:val="16"/>
                <w:szCs w:val="16"/>
                <w:highlight w:val="green"/>
                <w:lang w:val="en-CA"/>
              </w:rPr>
            </w:pPr>
            <w:r w:rsidRPr="00902601">
              <w:rPr>
                <w:sz w:val="16"/>
                <w:szCs w:val="16"/>
                <w:highlight w:val="green"/>
                <w:lang w:val="en-CA"/>
              </w:rPr>
              <w:t>Output 4.2: Technical knowledge and lessons learned from the project's experiences are compiled, assessed and translated into knowledge products</w:t>
            </w:r>
          </w:p>
        </w:tc>
        <w:tc>
          <w:tcPr>
            <w:tcW w:w="340" w:type="dxa"/>
            <w:shd w:val="clear" w:color="auto" w:fill="D9D9D9"/>
          </w:tcPr>
          <w:p w14:paraId="170F0279" w14:textId="77777777" w:rsidR="00302BFE" w:rsidRPr="00902601" w:rsidRDefault="00302BFE" w:rsidP="00243B15">
            <w:pPr>
              <w:rPr>
                <w:highlight w:val="green"/>
                <w:lang w:val="en-CA"/>
              </w:rPr>
            </w:pPr>
          </w:p>
        </w:tc>
        <w:tc>
          <w:tcPr>
            <w:tcW w:w="340" w:type="dxa"/>
            <w:shd w:val="clear" w:color="auto" w:fill="D9D9D9"/>
          </w:tcPr>
          <w:p w14:paraId="35DE9BDF" w14:textId="77777777" w:rsidR="00302BFE" w:rsidRPr="00902601" w:rsidRDefault="00302BFE" w:rsidP="00243B15">
            <w:pPr>
              <w:rPr>
                <w:highlight w:val="green"/>
                <w:lang w:val="en-CA"/>
              </w:rPr>
            </w:pPr>
          </w:p>
        </w:tc>
        <w:tc>
          <w:tcPr>
            <w:tcW w:w="340" w:type="dxa"/>
            <w:shd w:val="clear" w:color="auto" w:fill="D9D9D9"/>
          </w:tcPr>
          <w:p w14:paraId="380E9187" w14:textId="77777777" w:rsidR="00302BFE" w:rsidRPr="00902601" w:rsidRDefault="00302BFE" w:rsidP="00243B15">
            <w:pPr>
              <w:rPr>
                <w:highlight w:val="green"/>
                <w:lang w:val="en-CA"/>
              </w:rPr>
            </w:pPr>
          </w:p>
        </w:tc>
        <w:tc>
          <w:tcPr>
            <w:tcW w:w="340" w:type="dxa"/>
            <w:shd w:val="clear" w:color="auto" w:fill="D9D9D9"/>
          </w:tcPr>
          <w:p w14:paraId="21F1C7E1" w14:textId="77777777" w:rsidR="00302BFE" w:rsidRPr="00902601" w:rsidRDefault="00302BFE" w:rsidP="00243B15">
            <w:pPr>
              <w:rPr>
                <w:highlight w:val="green"/>
                <w:lang w:val="en-CA"/>
              </w:rPr>
            </w:pPr>
          </w:p>
        </w:tc>
        <w:tc>
          <w:tcPr>
            <w:tcW w:w="340" w:type="dxa"/>
            <w:shd w:val="clear" w:color="auto" w:fill="auto"/>
          </w:tcPr>
          <w:p w14:paraId="538DC26D" w14:textId="77777777" w:rsidR="00302BFE" w:rsidRPr="00902601" w:rsidRDefault="00302BFE" w:rsidP="00243B15">
            <w:pPr>
              <w:rPr>
                <w:highlight w:val="green"/>
                <w:lang w:val="en-CA"/>
              </w:rPr>
            </w:pPr>
          </w:p>
        </w:tc>
        <w:tc>
          <w:tcPr>
            <w:tcW w:w="340" w:type="dxa"/>
            <w:shd w:val="clear" w:color="auto" w:fill="auto"/>
          </w:tcPr>
          <w:p w14:paraId="0068B894" w14:textId="77777777" w:rsidR="00302BFE" w:rsidRPr="00902601" w:rsidRDefault="00302BFE" w:rsidP="00243B15">
            <w:pPr>
              <w:rPr>
                <w:highlight w:val="green"/>
                <w:lang w:val="en-CA"/>
              </w:rPr>
            </w:pPr>
          </w:p>
        </w:tc>
        <w:tc>
          <w:tcPr>
            <w:tcW w:w="340" w:type="dxa"/>
            <w:shd w:val="clear" w:color="auto" w:fill="auto"/>
          </w:tcPr>
          <w:p w14:paraId="4C7DA53C" w14:textId="77777777" w:rsidR="00302BFE" w:rsidRPr="00902601" w:rsidRDefault="00302BFE" w:rsidP="00243B15">
            <w:pPr>
              <w:rPr>
                <w:highlight w:val="green"/>
                <w:lang w:val="en-CA"/>
              </w:rPr>
            </w:pPr>
          </w:p>
        </w:tc>
        <w:tc>
          <w:tcPr>
            <w:tcW w:w="340" w:type="dxa"/>
            <w:shd w:val="clear" w:color="auto" w:fill="D9D9D9"/>
          </w:tcPr>
          <w:p w14:paraId="0B38D3BB" w14:textId="77777777" w:rsidR="00302BFE" w:rsidRPr="00902601" w:rsidRDefault="00302BFE" w:rsidP="00243B15">
            <w:pPr>
              <w:rPr>
                <w:highlight w:val="green"/>
                <w:lang w:val="en-CA"/>
              </w:rPr>
            </w:pPr>
          </w:p>
        </w:tc>
        <w:tc>
          <w:tcPr>
            <w:tcW w:w="340" w:type="dxa"/>
            <w:shd w:val="clear" w:color="auto" w:fill="auto"/>
          </w:tcPr>
          <w:p w14:paraId="1E1F6223" w14:textId="77777777" w:rsidR="00302BFE" w:rsidRPr="00902601" w:rsidRDefault="00302BFE" w:rsidP="00243B15">
            <w:pPr>
              <w:rPr>
                <w:highlight w:val="green"/>
                <w:lang w:val="en-CA"/>
              </w:rPr>
            </w:pPr>
          </w:p>
        </w:tc>
        <w:tc>
          <w:tcPr>
            <w:tcW w:w="340" w:type="dxa"/>
            <w:shd w:val="clear" w:color="auto" w:fill="auto"/>
          </w:tcPr>
          <w:p w14:paraId="35048AD8" w14:textId="77777777" w:rsidR="00302BFE" w:rsidRPr="00902601" w:rsidRDefault="00302BFE" w:rsidP="00243B15">
            <w:pPr>
              <w:rPr>
                <w:highlight w:val="green"/>
                <w:lang w:val="en-CA"/>
              </w:rPr>
            </w:pPr>
          </w:p>
        </w:tc>
        <w:tc>
          <w:tcPr>
            <w:tcW w:w="340" w:type="dxa"/>
            <w:shd w:val="clear" w:color="auto" w:fill="auto"/>
          </w:tcPr>
          <w:p w14:paraId="0A4F47CE" w14:textId="77777777" w:rsidR="00302BFE" w:rsidRPr="00902601" w:rsidRDefault="00302BFE" w:rsidP="00243B15">
            <w:pPr>
              <w:rPr>
                <w:highlight w:val="green"/>
                <w:lang w:val="en-CA"/>
              </w:rPr>
            </w:pPr>
          </w:p>
        </w:tc>
        <w:tc>
          <w:tcPr>
            <w:tcW w:w="340" w:type="dxa"/>
            <w:shd w:val="clear" w:color="auto" w:fill="D9D9D9"/>
          </w:tcPr>
          <w:p w14:paraId="1E825A51" w14:textId="77777777" w:rsidR="00302BFE" w:rsidRPr="00902601" w:rsidRDefault="00302BFE" w:rsidP="00243B15">
            <w:pPr>
              <w:rPr>
                <w:highlight w:val="green"/>
                <w:lang w:val="en-CA"/>
              </w:rPr>
            </w:pPr>
          </w:p>
        </w:tc>
        <w:tc>
          <w:tcPr>
            <w:tcW w:w="340" w:type="dxa"/>
            <w:shd w:val="clear" w:color="auto" w:fill="auto"/>
          </w:tcPr>
          <w:p w14:paraId="09CF9CE9" w14:textId="77777777" w:rsidR="00302BFE" w:rsidRPr="00902601" w:rsidRDefault="00302BFE" w:rsidP="00243B15">
            <w:pPr>
              <w:rPr>
                <w:highlight w:val="green"/>
                <w:lang w:val="en-CA"/>
              </w:rPr>
            </w:pPr>
          </w:p>
        </w:tc>
        <w:tc>
          <w:tcPr>
            <w:tcW w:w="340" w:type="dxa"/>
            <w:shd w:val="clear" w:color="auto" w:fill="auto"/>
          </w:tcPr>
          <w:p w14:paraId="7CC3550E" w14:textId="77777777" w:rsidR="00302BFE" w:rsidRPr="00902601" w:rsidRDefault="00302BFE" w:rsidP="00243B15">
            <w:pPr>
              <w:rPr>
                <w:highlight w:val="green"/>
                <w:lang w:val="en-CA"/>
              </w:rPr>
            </w:pPr>
          </w:p>
        </w:tc>
        <w:tc>
          <w:tcPr>
            <w:tcW w:w="340" w:type="dxa"/>
            <w:shd w:val="clear" w:color="auto" w:fill="auto"/>
          </w:tcPr>
          <w:p w14:paraId="6CA3060D" w14:textId="77777777" w:rsidR="00302BFE" w:rsidRPr="00902601" w:rsidRDefault="00302BFE" w:rsidP="00243B15">
            <w:pPr>
              <w:rPr>
                <w:highlight w:val="green"/>
                <w:lang w:val="en-CA"/>
              </w:rPr>
            </w:pPr>
          </w:p>
        </w:tc>
        <w:tc>
          <w:tcPr>
            <w:tcW w:w="340" w:type="dxa"/>
            <w:shd w:val="clear" w:color="auto" w:fill="D9D9D9"/>
          </w:tcPr>
          <w:p w14:paraId="452C0640" w14:textId="77777777" w:rsidR="00302BFE" w:rsidRPr="00902601" w:rsidRDefault="00302BFE" w:rsidP="00243B15">
            <w:pPr>
              <w:rPr>
                <w:highlight w:val="green"/>
                <w:lang w:val="en-CA"/>
              </w:rPr>
            </w:pPr>
          </w:p>
        </w:tc>
        <w:tc>
          <w:tcPr>
            <w:tcW w:w="340" w:type="dxa"/>
            <w:shd w:val="clear" w:color="auto" w:fill="auto"/>
          </w:tcPr>
          <w:p w14:paraId="44F8A3E2" w14:textId="77777777" w:rsidR="00302BFE" w:rsidRPr="00902601" w:rsidRDefault="00302BFE" w:rsidP="00243B15">
            <w:pPr>
              <w:rPr>
                <w:highlight w:val="green"/>
                <w:lang w:val="en-CA"/>
              </w:rPr>
            </w:pPr>
          </w:p>
        </w:tc>
        <w:tc>
          <w:tcPr>
            <w:tcW w:w="340" w:type="dxa"/>
            <w:shd w:val="clear" w:color="auto" w:fill="auto"/>
          </w:tcPr>
          <w:p w14:paraId="11B3FEC1" w14:textId="77777777" w:rsidR="00302BFE" w:rsidRPr="00902601" w:rsidRDefault="00302BFE" w:rsidP="00243B15">
            <w:pPr>
              <w:rPr>
                <w:highlight w:val="green"/>
                <w:lang w:val="en-CA"/>
              </w:rPr>
            </w:pPr>
          </w:p>
        </w:tc>
        <w:tc>
          <w:tcPr>
            <w:tcW w:w="340" w:type="dxa"/>
            <w:shd w:val="clear" w:color="auto" w:fill="auto"/>
          </w:tcPr>
          <w:p w14:paraId="4140E9EF" w14:textId="77777777" w:rsidR="00302BFE" w:rsidRPr="00902601" w:rsidRDefault="00302BFE" w:rsidP="00243B15">
            <w:pPr>
              <w:rPr>
                <w:highlight w:val="green"/>
                <w:lang w:val="en-CA"/>
              </w:rPr>
            </w:pPr>
          </w:p>
        </w:tc>
        <w:tc>
          <w:tcPr>
            <w:tcW w:w="340" w:type="dxa"/>
            <w:shd w:val="clear" w:color="auto" w:fill="D9D9D9"/>
          </w:tcPr>
          <w:p w14:paraId="725B5C06" w14:textId="77777777" w:rsidR="00302BFE" w:rsidRPr="00902601" w:rsidRDefault="00302BFE" w:rsidP="00243B15">
            <w:pPr>
              <w:rPr>
                <w:highlight w:val="green"/>
                <w:lang w:val="en-CA"/>
              </w:rPr>
            </w:pPr>
          </w:p>
        </w:tc>
        <w:tc>
          <w:tcPr>
            <w:tcW w:w="340" w:type="dxa"/>
            <w:shd w:val="clear" w:color="auto" w:fill="D9D9D9"/>
          </w:tcPr>
          <w:p w14:paraId="35E64918" w14:textId="77777777" w:rsidR="00302BFE" w:rsidRPr="00902601" w:rsidRDefault="00302BFE" w:rsidP="00243B15">
            <w:pPr>
              <w:rPr>
                <w:highlight w:val="green"/>
                <w:lang w:val="en-CA"/>
              </w:rPr>
            </w:pPr>
          </w:p>
        </w:tc>
        <w:tc>
          <w:tcPr>
            <w:tcW w:w="340" w:type="dxa"/>
            <w:shd w:val="clear" w:color="auto" w:fill="D9D9D9"/>
          </w:tcPr>
          <w:p w14:paraId="5E8EDB62" w14:textId="77777777" w:rsidR="00302BFE" w:rsidRPr="00902601" w:rsidRDefault="00302BFE" w:rsidP="00243B15">
            <w:pPr>
              <w:rPr>
                <w:highlight w:val="green"/>
                <w:lang w:val="en-CA"/>
              </w:rPr>
            </w:pPr>
          </w:p>
        </w:tc>
        <w:tc>
          <w:tcPr>
            <w:tcW w:w="340" w:type="dxa"/>
            <w:shd w:val="clear" w:color="auto" w:fill="D9D9D9"/>
          </w:tcPr>
          <w:p w14:paraId="29832B40" w14:textId="77777777" w:rsidR="00302BFE" w:rsidRPr="00902601" w:rsidRDefault="00302BFE" w:rsidP="00243B15">
            <w:pPr>
              <w:rPr>
                <w:highlight w:val="green"/>
                <w:lang w:val="en-CA"/>
              </w:rPr>
            </w:pPr>
          </w:p>
        </w:tc>
        <w:tc>
          <w:tcPr>
            <w:tcW w:w="340" w:type="dxa"/>
            <w:shd w:val="clear" w:color="auto" w:fill="D9D9D9"/>
          </w:tcPr>
          <w:p w14:paraId="281EF843" w14:textId="77777777" w:rsidR="00302BFE" w:rsidRPr="00902601" w:rsidRDefault="00302BFE" w:rsidP="00243B15">
            <w:pPr>
              <w:rPr>
                <w:highlight w:val="green"/>
                <w:lang w:val="en-CA"/>
              </w:rPr>
            </w:pPr>
          </w:p>
        </w:tc>
      </w:tr>
      <w:tr w:rsidR="005979FD" w:rsidRPr="00902601" w14:paraId="44AC6866" w14:textId="77777777" w:rsidTr="00CC2FAC">
        <w:trPr>
          <w:jc w:val="center"/>
        </w:trPr>
        <w:tc>
          <w:tcPr>
            <w:tcW w:w="5670" w:type="dxa"/>
            <w:shd w:val="clear" w:color="auto" w:fill="auto"/>
          </w:tcPr>
          <w:p w14:paraId="3DCAA0B4" w14:textId="77777777" w:rsidR="00302BFE" w:rsidRPr="00902601" w:rsidRDefault="00302BFE" w:rsidP="00243B15">
            <w:pPr>
              <w:rPr>
                <w:sz w:val="16"/>
                <w:szCs w:val="16"/>
                <w:highlight w:val="green"/>
                <w:lang w:val="en-CA"/>
              </w:rPr>
            </w:pPr>
            <w:r w:rsidRPr="00902601">
              <w:rPr>
                <w:rFonts w:eastAsia="Calibri"/>
                <w:sz w:val="16"/>
                <w:szCs w:val="16"/>
                <w:highlight w:val="green"/>
                <w:lang w:val="en-CA"/>
              </w:rPr>
              <w:t xml:space="preserve">Output 4.3. Learnings are disseminated through the project communication plan to enable their widespread adoption </w:t>
            </w:r>
          </w:p>
        </w:tc>
        <w:tc>
          <w:tcPr>
            <w:tcW w:w="340" w:type="dxa"/>
            <w:shd w:val="clear" w:color="auto" w:fill="auto"/>
          </w:tcPr>
          <w:p w14:paraId="2183E392" w14:textId="77777777" w:rsidR="00302BFE" w:rsidRPr="00902601" w:rsidRDefault="00302BFE" w:rsidP="00243B15">
            <w:pPr>
              <w:rPr>
                <w:highlight w:val="green"/>
                <w:lang w:val="en-CA"/>
              </w:rPr>
            </w:pPr>
          </w:p>
        </w:tc>
        <w:tc>
          <w:tcPr>
            <w:tcW w:w="340" w:type="dxa"/>
            <w:shd w:val="clear" w:color="auto" w:fill="auto"/>
          </w:tcPr>
          <w:p w14:paraId="5BBE2B22" w14:textId="77777777" w:rsidR="00302BFE" w:rsidRPr="00902601" w:rsidRDefault="00302BFE" w:rsidP="00243B15">
            <w:pPr>
              <w:rPr>
                <w:highlight w:val="green"/>
                <w:lang w:val="en-CA"/>
              </w:rPr>
            </w:pPr>
          </w:p>
        </w:tc>
        <w:tc>
          <w:tcPr>
            <w:tcW w:w="340" w:type="dxa"/>
            <w:shd w:val="clear" w:color="auto" w:fill="auto"/>
          </w:tcPr>
          <w:p w14:paraId="2989A20D" w14:textId="77777777" w:rsidR="00302BFE" w:rsidRPr="00902601" w:rsidRDefault="00302BFE" w:rsidP="00243B15">
            <w:pPr>
              <w:rPr>
                <w:highlight w:val="green"/>
                <w:lang w:val="en-CA"/>
              </w:rPr>
            </w:pPr>
          </w:p>
        </w:tc>
        <w:tc>
          <w:tcPr>
            <w:tcW w:w="340" w:type="dxa"/>
            <w:shd w:val="clear" w:color="auto" w:fill="D9D9D9"/>
          </w:tcPr>
          <w:p w14:paraId="201A9960" w14:textId="77777777" w:rsidR="00302BFE" w:rsidRPr="00902601" w:rsidRDefault="00302BFE" w:rsidP="00243B15">
            <w:pPr>
              <w:rPr>
                <w:highlight w:val="green"/>
                <w:lang w:val="en-CA"/>
              </w:rPr>
            </w:pPr>
          </w:p>
        </w:tc>
        <w:tc>
          <w:tcPr>
            <w:tcW w:w="340" w:type="dxa"/>
            <w:shd w:val="clear" w:color="auto" w:fill="auto"/>
          </w:tcPr>
          <w:p w14:paraId="377ACABF" w14:textId="77777777" w:rsidR="00302BFE" w:rsidRPr="00902601" w:rsidRDefault="00302BFE" w:rsidP="00243B15">
            <w:pPr>
              <w:rPr>
                <w:highlight w:val="green"/>
                <w:lang w:val="en-CA"/>
              </w:rPr>
            </w:pPr>
          </w:p>
        </w:tc>
        <w:tc>
          <w:tcPr>
            <w:tcW w:w="340" w:type="dxa"/>
            <w:shd w:val="clear" w:color="auto" w:fill="auto"/>
          </w:tcPr>
          <w:p w14:paraId="7CC0D72D" w14:textId="77777777" w:rsidR="00302BFE" w:rsidRPr="00902601" w:rsidRDefault="00302BFE" w:rsidP="00243B15">
            <w:pPr>
              <w:rPr>
                <w:highlight w:val="green"/>
                <w:lang w:val="en-CA"/>
              </w:rPr>
            </w:pPr>
          </w:p>
        </w:tc>
        <w:tc>
          <w:tcPr>
            <w:tcW w:w="340" w:type="dxa"/>
            <w:shd w:val="clear" w:color="auto" w:fill="auto"/>
          </w:tcPr>
          <w:p w14:paraId="0D0BD8BB" w14:textId="77777777" w:rsidR="00302BFE" w:rsidRPr="00902601" w:rsidRDefault="00302BFE" w:rsidP="00243B15">
            <w:pPr>
              <w:rPr>
                <w:highlight w:val="green"/>
                <w:lang w:val="en-CA"/>
              </w:rPr>
            </w:pPr>
          </w:p>
        </w:tc>
        <w:tc>
          <w:tcPr>
            <w:tcW w:w="340" w:type="dxa"/>
            <w:shd w:val="clear" w:color="auto" w:fill="D9D9D9"/>
          </w:tcPr>
          <w:p w14:paraId="1A862952" w14:textId="77777777" w:rsidR="00302BFE" w:rsidRPr="00902601" w:rsidRDefault="00302BFE" w:rsidP="00243B15">
            <w:pPr>
              <w:rPr>
                <w:highlight w:val="green"/>
                <w:lang w:val="en-CA"/>
              </w:rPr>
            </w:pPr>
          </w:p>
        </w:tc>
        <w:tc>
          <w:tcPr>
            <w:tcW w:w="340" w:type="dxa"/>
            <w:shd w:val="clear" w:color="auto" w:fill="D9D9D9"/>
          </w:tcPr>
          <w:p w14:paraId="27EBE8C9" w14:textId="77777777" w:rsidR="00302BFE" w:rsidRPr="00902601" w:rsidRDefault="00302BFE" w:rsidP="00243B15">
            <w:pPr>
              <w:rPr>
                <w:highlight w:val="green"/>
                <w:lang w:val="en-CA"/>
              </w:rPr>
            </w:pPr>
          </w:p>
        </w:tc>
        <w:tc>
          <w:tcPr>
            <w:tcW w:w="340" w:type="dxa"/>
            <w:shd w:val="clear" w:color="auto" w:fill="D9D9D9"/>
          </w:tcPr>
          <w:p w14:paraId="204E3120" w14:textId="77777777" w:rsidR="00302BFE" w:rsidRPr="00902601" w:rsidRDefault="00302BFE" w:rsidP="00243B15">
            <w:pPr>
              <w:rPr>
                <w:highlight w:val="green"/>
                <w:lang w:val="en-CA"/>
              </w:rPr>
            </w:pPr>
          </w:p>
        </w:tc>
        <w:tc>
          <w:tcPr>
            <w:tcW w:w="340" w:type="dxa"/>
            <w:shd w:val="clear" w:color="auto" w:fill="D9D9D9"/>
          </w:tcPr>
          <w:p w14:paraId="72BF64C0" w14:textId="77777777" w:rsidR="00302BFE" w:rsidRPr="00902601" w:rsidRDefault="00302BFE" w:rsidP="00243B15">
            <w:pPr>
              <w:rPr>
                <w:highlight w:val="green"/>
                <w:lang w:val="en-CA"/>
              </w:rPr>
            </w:pPr>
          </w:p>
        </w:tc>
        <w:tc>
          <w:tcPr>
            <w:tcW w:w="340" w:type="dxa"/>
            <w:shd w:val="clear" w:color="auto" w:fill="D9D9D9"/>
          </w:tcPr>
          <w:p w14:paraId="33890892" w14:textId="77777777" w:rsidR="00302BFE" w:rsidRPr="00902601" w:rsidRDefault="00302BFE" w:rsidP="00243B15">
            <w:pPr>
              <w:rPr>
                <w:highlight w:val="green"/>
                <w:lang w:val="en-CA"/>
              </w:rPr>
            </w:pPr>
          </w:p>
        </w:tc>
        <w:tc>
          <w:tcPr>
            <w:tcW w:w="340" w:type="dxa"/>
            <w:shd w:val="clear" w:color="auto" w:fill="D9D9D9"/>
          </w:tcPr>
          <w:p w14:paraId="2B1A9565" w14:textId="77777777" w:rsidR="00302BFE" w:rsidRPr="00902601" w:rsidRDefault="00302BFE" w:rsidP="00243B15">
            <w:pPr>
              <w:rPr>
                <w:highlight w:val="green"/>
                <w:lang w:val="en-CA"/>
              </w:rPr>
            </w:pPr>
          </w:p>
        </w:tc>
        <w:tc>
          <w:tcPr>
            <w:tcW w:w="340" w:type="dxa"/>
            <w:shd w:val="clear" w:color="auto" w:fill="D9D9D9"/>
          </w:tcPr>
          <w:p w14:paraId="35E1FAB1" w14:textId="77777777" w:rsidR="00302BFE" w:rsidRPr="00902601" w:rsidRDefault="00302BFE" w:rsidP="00243B15">
            <w:pPr>
              <w:rPr>
                <w:highlight w:val="green"/>
                <w:lang w:val="en-CA"/>
              </w:rPr>
            </w:pPr>
          </w:p>
        </w:tc>
        <w:tc>
          <w:tcPr>
            <w:tcW w:w="340" w:type="dxa"/>
            <w:shd w:val="clear" w:color="auto" w:fill="D9D9D9"/>
          </w:tcPr>
          <w:p w14:paraId="395B1837" w14:textId="77777777" w:rsidR="00302BFE" w:rsidRPr="00902601" w:rsidRDefault="00302BFE" w:rsidP="00243B15">
            <w:pPr>
              <w:rPr>
                <w:highlight w:val="green"/>
                <w:lang w:val="en-CA"/>
              </w:rPr>
            </w:pPr>
          </w:p>
        </w:tc>
        <w:tc>
          <w:tcPr>
            <w:tcW w:w="340" w:type="dxa"/>
            <w:shd w:val="clear" w:color="auto" w:fill="D9D9D9"/>
          </w:tcPr>
          <w:p w14:paraId="76BCCD7E" w14:textId="77777777" w:rsidR="00302BFE" w:rsidRPr="00902601" w:rsidRDefault="00302BFE" w:rsidP="00243B15">
            <w:pPr>
              <w:rPr>
                <w:highlight w:val="green"/>
                <w:lang w:val="en-CA"/>
              </w:rPr>
            </w:pPr>
          </w:p>
        </w:tc>
        <w:tc>
          <w:tcPr>
            <w:tcW w:w="340" w:type="dxa"/>
            <w:shd w:val="clear" w:color="auto" w:fill="D9D9D9"/>
          </w:tcPr>
          <w:p w14:paraId="442460F8" w14:textId="77777777" w:rsidR="00302BFE" w:rsidRPr="00902601" w:rsidRDefault="00302BFE" w:rsidP="00243B15">
            <w:pPr>
              <w:rPr>
                <w:highlight w:val="green"/>
                <w:lang w:val="en-CA"/>
              </w:rPr>
            </w:pPr>
          </w:p>
        </w:tc>
        <w:tc>
          <w:tcPr>
            <w:tcW w:w="340" w:type="dxa"/>
            <w:shd w:val="clear" w:color="auto" w:fill="D9D9D9"/>
          </w:tcPr>
          <w:p w14:paraId="42A8F039" w14:textId="77777777" w:rsidR="00302BFE" w:rsidRPr="00902601" w:rsidRDefault="00302BFE" w:rsidP="00243B15">
            <w:pPr>
              <w:rPr>
                <w:highlight w:val="green"/>
                <w:lang w:val="en-CA"/>
              </w:rPr>
            </w:pPr>
          </w:p>
        </w:tc>
        <w:tc>
          <w:tcPr>
            <w:tcW w:w="340" w:type="dxa"/>
            <w:shd w:val="clear" w:color="auto" w:fill="D9D9D9"/>
          </w:tcPr>
          <w:p w14:paraId="66148449" w14:textId="77777777" w:rsidR="00302BFE" w:rsidRPr="00902601" w:rsidRDefault="00302BFE" w:rsidP="00243B15">
            <w:pPr>
              <w:rPr>
                <w:highlight w:val="green"/>
                <w:lang w:val="en-CA"/>
              </w:rPr>
            </w:pPr>
          </w:p>
        </w:tc>
        <w:tc>
          <w:tcPr>
            <w:tcW w:w="340" w:type="dxa"/>
            <w:shd w:val="clear" w:color="auto" w:fill="D9D9D9"/>
          </w:tcPr>
          <w:p w14:paraId="3C23CC98" w14:textId="77777777" w:rsidR="00302BFE" w:rsidRPr="00902601" w:rsidRDefault="00302BFE" w:rsidP="00243B15">
            <w:pPr>
              <w:rPr>
                <w:highlight w:val="green"/>
                <w:lang w:val="en-CA"/>
              </w:rPr>
            </w:pPr>
          </w:p>
        </w:tc>
        <w:tc>
          <w:tcPr>
            <w:tcW w:w="340" w:type="dxa"/>
            <w:shd w:val="clear" w:color="auto" w:fill="D9D9D9"/>
          </w:tcPr>
          <w:p w14:paraId="446CC886" w14:textId="77777777" w:rsidR="00302BFE" w:rsidRPr="00902601" w:rsidRDefault="00302BFE" w:rsidP="00243B15">
            <w:pPr>
              <w:rPr>
                <w:highlight w:val="green"/>
                <w:lang w:val="en-CA"/>
              </w:rPr>
            </w:pPr>
          </w:p>
        </w:tc>
        <w:tc>
          <w:tcPr>
            <w:tcW w:w="340" w:type="dxa"/>
            <w:shd w:val="clear" w:color="auto" w:fill="D9D9D9"/>
          </w:tcPr>
          <w:p w14:paraId="1C558656" w14:textId="77777777" w:rsidR="00302BFE" w:rsidRPr="00902601" w:rsidRDefault="00302BFE" w:rsidP="00243B15">
            <w:pPr>
              <w:rPr>
                <w:highlight w:val="green"/>
                <w:lang w:val="en-CA"/>
              </w:rPr>
            </w:pPr>
          </w:p>
        </w:tc>
        <w:tc>
          <w:tcPr>
            <w:tcW w:w="340" w:type="dxa"/>
            <w:shd w:val="clear" w:color="auto" w:fill="D9D9D9"/>
          </w:tcPr>
          <w:p w14:paraId="180F59ED" w14:textId="77777777" w:rsidR="00302BFE" w:rsidRPr="00902601" w:rsidRDefault="00302BFE" w:rsidP="00243B15">
            <w:pPr>
              <w:rPr>
                <w:highlight w:val="green"/>
                <w:lang w:val="en-CA"/>
              </w:rPr>
            </w:pPr>
          </w:p>
        </w:tc>
        <w:tc>
          <w:tcPr>
            <w:tcW w:w="340" w:type="dxa"/>
            <w:shd w:val="clear" w:color="auto" w:fill="D9D9D9"/>
          </w:tcPr>
          <w:p w14:paraId="1FF993EB" w14:textId="77777777" w:rsidR="00302BFE" w:rsidRPr="00902601" w:rsidRDefault="00302BFE" w:rsidP="00243B15">
            <w:pPr>
              <w:rPr>
                <w:highlight w:val="green"/>
                <w:lang w:val="en-CA"/>
              </w:rPr>
            </w:pPr>
          </w:p>
        </w:tc>
      </w:tr>
      <w:tr w:rsidR="00CC2FAC" w:rsidRPr="00902601" w14:paraId="374B9DB0" w14:textId="77777777" w:rsidTr="00755BF9">
        <w:trPr>
          <w:jc w:val="center"/>
        </w:trPr>
        <w:tc>
          <w:tcPr>
            <w:tcW w:w="13830" w:type="dxa"/>
            <w:gridSpan w:val="25"/>
            <w:shd w:val="clear" w:color="auto" w:fill="FFF2CC" w:themeFill="accent4" w:themeFillTint="33"/>
          </w:tcPr>
          <w:p w14:paraId="557CFEE6" w14:textId="2728244F" w:rsidR="00CC2FAC" w:rsidRPr="00902601" w:rsidRDefault="00CC2FAC" w:rsidP="00CC2FAC">
            <w:pPr>
              <w:rPr>
                <w:highlight w:val="green"/>
                <w:lang w:val="en-CA"/>
              </w:rPr>
            </w:pPr>
            <w:r w:rsidRPr="00755BF9">
              <w:rPr>
                <w:b/>
                <w:sz w:val="16"/>
                <w:szCs w:val="16"/>
                <w:highlight w:val="green"/>
                <w:lang w:val="en-CA"/>
              </w:rPr>
              <w:t>ESMF - Activities</w:t>
            </w:r>
          </w:p>
        </w:tc>
      </w:tr>
      <w:tr w:rsidR="00EC409B" w:rsidRPr="00902601" w14:paraId="2296B531" w14:textId="77777777" w:rsidTr="00CC2FAC">
        <w:trPr>
          <w:jc w:val="center"/>
        </w:trPr>
        <w:tc>
          <w:tcPr>
            <w:tcW w:w="5670" w:type="dxa"/>
            <w:shd w:val="clear" w:color="auto" w:fill="auto"/>
          </w:tcPr>
          <w:p w14:paraId="662D9F33" w14:textId="5AAC4477" w:rsidR="009830CB" w:rsidRPr="00902601" w:rsidRDefault="009830CB" w:rsidP="00755BF9">
            <w:pPr>
              <w:spacing w:after="0"/>
              <w:contextualSpacing/>
              <w:rPr>
                <w:rFonts w:eastAsia="Calibri"/>
                <w:sz w:val="16"/>
                <w:szCs w:val="16"/>
                <w:highlight w:val="green"/>
                <w:lang w:val="en-CA"/>
              </w:rPr>
            </w:pPr>
            <w:r w:rsidRPr="00755BF9">
              <w:rPr>
                <w:rFonts w:asciiTheme="minorHAnsi" w:hAnsiTheme="minorHAnsi" w:cstheme="minorHAnsi"/>
                <w:sz w:val="16"/>
                <w:szCs w:val="16"/>
                <w:highlight w:val="green"/>
              </w:rPr>
              <w:t>Develop the ESIA</w:t>
            </w:r>
          </w:p>
        </w:tc>
        <w:tc>
          <w:tcPr>
            <w:tcW w:w="340" w:type="dxa"/>
            <w:shd w:val="clear" w:color="auto" w:fill="D9D9D9" w:themeFill="background1" w:themeFillShade="D9"/>
          </w:tcPr>
          <w:p w14:paraId="7F414FE6" w14:textId="77777777" w:rsidR="009830CB" w:rsidRPr="00902601" w:rsidRDefault="009830CB" w:rsidP="009830CB">
            <w:pPr>
              <w:rPr>
                <w:highlight w:val="green"/>
                <w:lang w:val="en-CA"/>
              </w:rPr>
            </w:pPr>
          </w:p>
        </w:tc>
        <w:tc>
          <w:tcPr>
            <w:tcW w:w="340" w:type="dxa"/>
            <w:shd w:val="clear" w:color="auto" w:fill="D9D9D9" w:themeFill="background1" w:themeFillShade="D9"/>
          </w:tcPr>
          <w:p w14:paraId="07A32BBC" w14:textId="77777777" w:rsidR="009830CB" w:rsidRPr="00902601" w:rsidRDefault="009830CB" w:rsidP="009830CB">
            <w:pPr>
              <w:rPr>
                <w:highlight w:val="green"/>
                <w:lang w:val="en-CA"/>
              </w:rPr>
            </w:pPr>
          </w:p>
        </w:tc>
        <w:tc>
          <w:tcPr>
            <w:tcW w:w="340" w:type="dxa"/>
            <w:shd w:val="clear" w:color="auto" w:fill="FFFFFF" w:themeFill="background1"/>
          </w:tcPr>
          <w:p w14:paraId="19D18478" w14:textId="77777777" w:rsidR="009830CB" w:rsidRPr="00902601" w:rsidRDefault="009830CB" w:rsidP="009830CB">
            <w:pPr>
              <w:rPr>
                <w:highlight w:val="green"/>
                <w:lang w:val="en-CA"/>
              </w:rPr>
            </w:pPr>
          </w:p>
        </w:tc>
        <w:tc>
          <w:tcPr>
            <w:tcW w:w="340" w:type="dxa"/>
            <w:shd w:val="clear" w:color="auto" w:fill="FFFFFF" w:themeFill="background1"/>
          </w:tcPr>
          <w:p w14:paraId="15D3B9C7" w14:textId="77777777" w:rsidR="009830CB" w:rsidRPr="00902601" w:rsidRDefault="009830CB" w:rsidP="009830CB">
            <w:pPr>
              <w:rPr>
                <w:highlight w:val="green"/>
                <w:lang w:val="en-CA"/>
              </w:rPr>
            </w:pPr>
          </w:p>
        </w:tc>
        <w:tc>
          <w:tcPr>
            <w:tcW w:w="340" w:type="dxa"/>
            <w:shd w:val="clear" w:color="auto" w:fill="FFFFFF" w:themeFill="background1"/>
          </w:tcPr>
          <w:p w14:paraId="768AB406" w14:textId="77777777" w:rsidR="009830CB" w:rsidRPr="00902601" w:rsidRDefault="009830CB" w:rsidP="009830CB">
            <w:pPr>
              <w:rPr>
                <w:highlight w:val="green"/>
                <w:lang w:val="en-CA"/>
              </w:rPr>
            </w:pPr>
          </w:p>
        </w:tc>
        <w:tc>
          <w:tcPr>
            <w:tcW w:w="340" w:type="dxa"/>
            <w:shd w:val="clear" w:color="auto" w:fill="FFFFFF" w:themeFill="background1"/>
          </w:tcPr>
          <w:p w14:paraId="422934E1" w14:textId="77777777" w:rsidR="009830CB" w:rsidRPr="00902601" w:rsidRDefault="009830CB" w:rsidP="009830CB">
            <w:pPr>
              <w:rPr>
                <w:highlight w:val="green"/>
                <w:lang w:val="en-CA"/>
              </w:rPr>
            </w:pPr>
          </w:p>
        </w:tc>
        <w:tc>
          <w:tcPr>
            <w:tcW w:w="340" w:type="dxa"/>
            <w:shd w:val="clear" w:color="auto" w:fill="FFFFFF" w:themeFill="background1"/>
          </w:tcPr>
          <w:p w14:paraId="41DE6864" w14:textId="77777777" w:rsidR="009830CB" w:rsidRPr="00902601" w:rsidRDefault="009830CB" w:rsidP="009830CB">
            <w:pPr>
              <w:rPr>
                <w:highlight w:val="green"/>
                <w:lang w:val="en-CA"/>
              </w:rPr>
            </w:pPr>
          </w:p>
        </w:tc>
        <w:tc>
          <w:tcPr>
            <w:tcW w:w="340" w:type="dxa"/>
            <w:shd w:val="clear" w:color="auto" w:fill="FFFFFF" w:themeFill="background1"/>
          </w:tcPr>
          <w:p w14:paraId="0C579734" w14:textId="77777777" w:rsidR="009830CB" w:rsidRPr="00902601" w:rsidRDefault="009830CB" w:rsidP="009830CB">
            <w:pPr>
              <w:rPr>
                <w:highlight w:val="green"/>
                <w:lang w:val="en-CA"/>
              </w:rPr>
            </w:pPr>
          </w:p>
        </w:tc>
        <w:tc>
          <w:tcPr>
            <w:tcW w:w="340" w:type="dxa"/>
            <w:shd w:val="clear" w:color="auto" w:fill="FFFFFF" w:themeFill="background1"/>
          </w:tcPr>
          <w:p w14:paraId="17505553" w14:textId="77777777" w:rsidR="009830CB" w:rsidRPr="00902601" w:rsidRDefault="009830CB" w:rsidP="009830CB">
            <w:pPr>
              <w:rPr>
                <w:highlight w:val="green"/>
                <w:lang w:val="en-CA"/>
              </w:rPr>
            </w:pPr>
          </w:p>
        </w:tc>
        <w:tc>
          <w:tcPr>
            <w:tcW w:w="340" w:type="dxa"/>
            <w:shd w:val="clear" w:color="auto" w:fill="FFFFFF" w:themeFill="background1"/>
          </w:tcPr>
          <w:p w14:paraId="7FE603CD" w14:textId="77777777" w:rsidR="009830CB" w:rsidRPr="00902601" w:rsidRDefault="009830CB" w:rsidP="009830CB">
            <w:pPr>
              <w:rPr>
                <w:highlight w:val="green"/>
                <w:lang w:val="en-CA"/>
              </w:rPr>
            </w:pPr>
          </w:p>
        </w:tc>
        <w:tc>
          <w:tcPr>
            <w:tcW w:w="340" w:type="dxa"/>
            <w:shd w:val="clear" w:color="auto" w:fill="FFFFFF" w:themeFill="background1"/>
          </w:tcPr>
          <w:p w14:paraId="362CC795" w14:textId="77777777" w:rsidR="009830CB" w:rsidRPr="00902601" w:rsidRDefault="009830CB" w:rsidP="009830CB">
            <w:pPr>
              <w:rPr>
                <w:highlight w:val="green"/>
                <w:lang w:val="en-CA"/>
              </w:rPr>
            </w:pPr>
          </w:p>
        </w:tc>
        <w:tc>
          <w:tcPr>
            <w:tcW w:w="340" w:type="dxa"/>
            <w:shd w:val="clear" w:color="auto" w:fill="FFFFFF" w:themeFill="background1"/>
          </w:tcPr>
          <w:p w14:paraId="6EF17F8F" w14:textId="77777777" w:rsidR="009830CB" w:rsidRPr="00902601" w:rsidRDefault="009830CB" w:rsidP="009830CB">
            <w:pPr>
              <w:rPr>
                <w:highlight w:val="green"/>
                <w:lang w:val="en-CA"/>
              </w:rPr>
            </w:pPr>
          </w:p>
        </w:tc>
        <w:tc>
          <w:tcPr>
            <w:tcW w:w="340" w:type="dxa"/>
            <w:shd w:val="clear" w:color="auto" w:fill="FFFFFF" w:themeFill="background1"/>
          </w:tcPr>
          <w:p w14:paraId="41B78863" w14:textId="77777777" w:rsidR="009830CB" w:rsidRPr="00902601" w:rsidRDefault="009830CB" w:rsidP="009830CB">
            <w:pPr>
              <w:rPr>
                <w:highlight w:val="green"/>
                <w:lang w:val="en-CA"/>
              </w:rPr>
            </w:pPr>
          </w:p>
        </w:tc>
        <w:tc>
          <w:tcPr>
            <w:tcW w:w="340" w:type="dxa"/>
            <w:shd w:val="clear" w:color="auto" w:fill="FFFFFF" w:themeFill="background1"/>
          </w:tcPr>
          <w:p w14:paraId="38F8061F" w14:textId="77777777" w:rsidR="009830CB" w:rsidRPr="00902601" w:rsidRDefault="009830CB" w:rsidP="009830CB">
            <w:pPr>
              <w:rPr>
                <w:highlight w:val="green"/>
                <w:lang w:val="en-CA"/>
              </w:rPr>
            </w:pPr>
          </w:p>
        </w:tc>
        <w:tc>
          <w:tcPr>
            <w:tcW w:w="340" w:type="dxa"/>
            <w:shd w:val="clear" w:color="auto" w:fill="FFFFFF" w:themeFill="background1"/>
          </w:tcPr>
          <w:p w14:paraId="1E0FAA08" w14:textId="77777777" w:rsidR="009830CB" w:rsidRPr="00902601" w:rsidRDefault="009830CB" w:rsidP="009830CB">
            <w:pPr>
              <w:rPr>
                <w:highlight w:val="green"/>
                <w:lang w:val="en-CA"/>
              </w:rPr>
            </w:pPr>
          </w:p>
        </w:tc>
        <w:tc>
          <w:tcPr>
            <w:tcW w:w="340" w:type="dxa"/>
            <w:shd w:val="clear" w:color="auto" w:fill="FFFFFF" w:themeFill="background1"/>
          </w:tcPr>
          <w:p w14:paraId="59FAB56B" w14:textId="77777777" w:rsidR="009830CB" w:rsidRPr="00902601" w:rsidRDefault="009830CB" w:rsidP="009830CB">
            <w:pPr>
              <w:rPr>
                <w:highlight w:val="green"/>
                <w:lang w:val="en-CA"/>
              </w:rPr>
            </w:pPr>
          </w:p>
        </w:tc>
        <w:tc>
          <w:tcPr>
            <w:tcW w:w="340" w:type="dxa"/>
            <w:shd w:val="clear" w:color="auto" w:fill="FFFFFF" w:themeFill="background1"/>
          </w:tcPr>
          <w:p w14:paraId="020EB2C6" w14:textId="77777777" w:rsidR="009830CB" w:rsidRPr="00902601" w:rsidRDefault="009830CB" w:rsidP="009830CB">
            <w:pPr>
              <w:rPr>
                <w:highlight w:val="green"/>
                <w:lang w:val="en-CA"/>
              </w:rPr>
            </w:pPr>
          </w:p>
        </w:tc>
        <w:tc>
          <w:tcPr>
            <w:tcW w:w="340" w:type="dxa"/>
            <w:shd w:val="clear" w:color="auto" w:fill="FFFFFF" w:themeFill="background1"/>
          </w:tcPr>
          <w:p w14:paraId="08ED14CC" w14:textId="77777777" w:rsidR="009830CB" w:rsidRPr="00902601" w:rsidRDefault="009830CB" w:rsidP="009830CB">
            <w:pPr>
              <w:rPr>
                <w:highlight w:val="green"/>
                <w:lang w:val="en-CA"/>
              </w:rPr>
            </w:pPr>
          </w:p>
        </w:tc>
        <w:tc>
          <w:tcPr>
            <w:tcW w:w="340" w:type="dxa"/>
            <w:shd w:val="clear" w:color="auto" w:fill="FFFFFF" w:themeFill="background1"/>
          </w:tcPr>
          <w:p w14:paraId="0A4398CD" w14:textId="77777777" w:rsidR="009830CB" w:rsidRPr="00902601" w:rsidRDefault="009830CB" w:rsidP="009830CB">
            <w:pPr>
              <w:rPr>
                <w:highlight w:val="green"/>
                <w:lang w:val="en-CA"/>
              </w:rPr>
            </w:pPr>
          </w:p>
        </w:tc>
        <w:tc>
          <w:tcPr>
            <w:tcW w:w="340" w:type="dxa"/>
            <w:shd w:val="clear" w:color="auto" w:fill="FFFFFF" w:themeFill="background1"/>
          </w:tcPr>
          <w:p w14:paraId="5E49ADE7" w14:textId="77777777" w:rsidR="009830CB" w:rsidRPr="00902601" w:rsidRDefault="009830CB" w:rsidP="009830CB">
            <w:pPr>
              <w:rPr>
                <w:highlight w:val="green"/>
                <w:lang w:val="en-CA"/>
              </w:rPr>
            </w:pPr>
          </w:p>
        </w:tc>
        <w:tc>
          <w:tcPr>
            <w:tcW w:w="340" w:type="dxa"/>
            <w:shd w:val="clear" w:color="auto" w:fill="FFFFFF" w:themeFill="background1"/>
          </w:tcPr>
          <w:p w14:paraId="4BA165C4" w14:textId="77777777" w:rsidR="009830CB" w:rsidRPr="00902601" w:rsidRDefault="009830CB" w:rsidP="009830CB">
            <w:pPr>
              <w:rPr>
                <w:highlight w:val="green"/>
                <w:lang w:val="en-CA"/>
              </w:rPr>
            </w:pPr>
          </w:p>
        </w:tc>
        <w:tc>
          <w:tcPr>
            <w:tcW w:w="340" w:type="dxa"/>
            <w:shd w:val="clear" w:color="auto" w:fill="FFFFFF" w:themeFill="background1"/>
          </w:tcPr>
          <w:p w14:paraId="09C9E3E7" w14:textId="77777777" w:rsidR="009830CB" w:rsidRPr="00902601" w:rsidRDefault="009830CB" w:rsidP="009830CB">
            <w:pPr>
              <w:rPr>
                <w:highlight w:val="green"/>
                <w:lang w:val="en-CA"/>
              </w:rPr>
            </w:pPr>
          </w:p>
        </w:tc>
        <w:tc>
          <w:tcPr>
            <w:tcW w:w="340" w:type="dxa"/>
            <w:shd w:val="clear" w:color="auto" w:fill="FFFFFF" w:themeFill="background1"/>
          </w:tcPr>
          <w:p w14:paraId="2138C446" w14:textId="77777777" w:rsidR="009830CB" w:rsidRPr="00902601" w:rsidRDefault="009830CB" w:rsidP="009830CB">
            <w:pPr>
              <w:rPr>
                <w:highlight w:val="green"/>
                <w:lang w:val="en-CA"/>
              </w:rPr>
            </w:pPr>
          </w:p>
        </w:tc>
        <w:tc>
          <w:tcPr>
            <w:tcW w:w="340" w:type="dxa"/>
            <w:shd w:val="clear" w:color="auto" w:fill="FFFFFF" w:themeFill="background1"/>
          </w:tcPr>
          <w:p w14:paraId="19CE837B" w14:textId="77777777" w:rsidR="009830CB" w:rsidRPr="00902601" w:rsidRDefault="009830CB" w:rsidP="009830CB">
            <w:pPr>
              <w:rPr>
                <w:highlight w:val="green"/>
                <w:lang w:val="en-CA"/>
              </w:rPr>
            </w:pPr>
          </w:p>
        </w:tc>
      </w:tr>
      <w:tr w:rsidR="00EC409B" w:rsidRPr="00902601" w14:paraId="1474BCE7" w14:textId="77777777" w:rsidTr="00CC2FAC">
        <w:trPr>
          <w:trHeight w:val="194"/>
          <w:jc w:val="center"/>
        </w:trPr>
        <w:tc>
          <w:tcPr>
            <w:tcW w:w="5670" w:type="dxa"/>
            <w:shd w:val="clear" w:color="auto" w:fill="auto"/>
          </w:tcPr>
          <w:p w14:paraId="4E6B20DE" w14:textId="22BACC23" w:rsidR="009830CB" w:rsidRPr="00902601" w:rsidRDefault="009830CB" w:rsidP="00755BF9">
            <w:pPr>
              <w:spacing w:after="0"/>
              <w:contextualSpacing/>
              <w:rPr>
                <w:rFonts w:eastAsia="Calibri"/>
                <w:sz w:val="16"/>
                <w:szCs w:val="16"/>
                <w:highlight w:val="green"/>
                <w:lang w:val="en-CA"/>
              </w:rPr>
            </w:pPr>
            <w:r w:rsidRPr="00755BF9">
              <w:rPr>
                <w:rFonts w:asciiTheme="minorHAnsi" w:hAnsiTheme="minorHAnsi" w:cstheme="minorHAnsi"/>
                <w:sz w:val="16"/>
                <w:szCs w:val="16"/>
                <w:highlight w:val="green"/>
              </w:rPr>
              <w:t>Develop the SESA</w:t>
            </w:r>
          </w:p>
        </w:tc>
        <w:tc>
          <w:tcPr>
            <w:tcW w:w="340" w:type="dxa"/>
            <w:shd w:val="clear" w:color="auto" w:fill="D0CECE" w:themeFill="background2" w:themeFillShade="E6"/>
          </w:tcPr>
          <w:p w14:paraId="7ED8C8C0" w14:textId="77777777" w:rsidR="009830CB" w:rsidRPr="00902601" w:rsidRDefault="009830CB" w:rsidP="009830CB">
            <w:pPr>
              <w:rPr>
                <w:highlight w:val="green"/>
                <w:lang w:val="en-CA"/>
              </w:rPr>
            </w:pPr>
          </w:p>
        </w:tc>
        <w:tc>
          <w:tcPr>
            <w:tcW w:w="340" w:type="dxa"/>
            <w:shd w:val="clear" w:color="auto" w:fill="D0CECE" w:themeFill="background2" w:themeFillShade="E6"/>
          </w:tcPr>
          <w:p w14:paraId="5D9A615D" w14:textId="77777777" w:rsidR="009830CB" w:rsidRPr="00902601" w:rsidRDefault="009830CB" w:rsidP="009830CB">
            <w:pPr>
              <w:rPr>
                <w:highlight w:val="green"/>
                <w:lang w:val="en-CA"/>
              </w:rPr>
            </w:pPr>
          </w:p>
        </w:tc>
        <w:tc>
          <w:tcPr>
            <w:tcW w:w="340" w:type="dxa"/>
            <w:shd w:val="clear" w:color="auto" w:fill="FFFFFF" w:themeFill="background1"/>
          </w:tcPr>
          <w:p w14:paraId="0696111E" w14:textId="77777777" w:rsidR="009830CB" w:rsidRPr="00902601" w:rsidRDefault="009830CB" w:rsidP="009830CB">
            <w:pPr>
              <w:rPr>
                <w:highlight w:val="green"/>
                <w:lang w:val="en-CA"/>
              </w:rPr>
            </w:pPr>
          </w:p>
        </w:tc>
        <w:tc>
          <w:tcPr>
            <w:tcW w:w="340" w:type="dxa"/>
            <w:shd w:val="clear" w:color="auto" w:fill="FFFFFF" w:themeFill="background1"/>
          </w:tcPr>
          <w:p w14:paraId="461B67B1" w14:textId="77777777" w:rsidR="009830CB" w:rsidRPr="00902601" w:rsidRDefault="009830CB" w:rsidP="009830CB">
            <w:pPr>
              <w:rPr>
                <w:highlight w:val="green"/>
                <w:lang w:val="en-CA"/>
              </w:rPr>
            </w:pPr>
          </w:p>
        </w:tc>
        <w:tc>
          <w:tcPr>
            <w:tcW w:w="340" w:type="dxa"/>
            <w:shd w:val="clear" w:color="auto" w:fill="FFFFFF" w:themeFill="background1"/>
          </w:tcPr>
          <w:p w14:paraId="2465C932" w14:textId="77777777" w:rsidR="009830CB" w:rsidRPr="00902601" w:rsidRDefault="009830CB" w:rsidP="009830CB">
            <w:pPr>
              <w:rPr>
                <w:highlight w:val="green"/>
                <w:lang w:val="en-CA"/>
              </w:rPr>
            </w:pPr>
          </w:p>
        </w:tc>
        <w:tc>
          <w:tcPr>
            <w:tcW w:w="340" w:type="dxa"/>
            <w:shd w:val="clear" w:color="auto" w:fill="FFFFFF" w:themeFill="background1"/>
          </w:tcPr>
          <w:p w14:paraId="6FE4391C" w14:textId="77777777" w:rsidR="009830CB" w:rsidRPr="00902601" w:rsidRDefault="009830CB" w:rsidP="009830CB">
            <w:pPr>
              <w:rPr>
                <w:highlight w:val="green"/>
                <w:lang w:val="en-CA"/>
              </w:rPr>
            </w:pPr>
          </w:p>
        </w:tc>
        <w:tc>
          <w:tcPr>
            <w:tcW w:w="340" w:type="dxa"/>
            <w:shd w:val="clear" w:color="auto" w:fill="FFFFFF" w:themeFill="background1"/>
          </w:tcPr>
          <w:p w14:paraId="216FDEFC" w14:textId="77777777" w:rsidR="009830CB" w:rsidRPr="00902601" w:rsidRDefault="009830CB" w:rsidP="009830CB">
            <w:pPr>
              <w:rPr>
                <w:highlight w:val="green"/>
                <w:lang w:val="en-CA"/>
              </w:rPr>
            </w:pPr>
          </w:p>
        </w:tc>
        <w:tc>
          <w:tcPr>
            <w:tcW w:w="340" w:type="dxa"/>
            <w:shd w:val="clear" w:color="auto" w:fill="FFFFFF" w:themeFill="background1"/>
          </w:tcPr>
          <w:p w14:paraId="5BCA2E1B" w14:textId="77777777" w:rsidR="009830CB" w:rsidRPr="00902601" w:rsidRDefault="009830CB" w:rsidP="009830CB">
            <w:pPr>
              <w:rPr>
                <w:highlight w:val="green"/>
                <w:lang w:val="en-CA"/>
              </w:rPr>
            </w:pPr>
          </w:p>
        </w:tc>
        <w:tc>
          <w:tcPr>
            <w:tcW w:w="340" w:type="dxa"/>
            <w:shd w:val="clear" w:color="auto" w:fill="FFFFFF" w:themeFill="background1"/>
          </w:tcPr>
          <w:p w14:paraId="7657A35D" w14:textId="77777777" w:rsidR="009830CB" w:rsidRPr="00902601" w:rsidRDefault="009830CB" w:rsidP="009830CB">
            <w:pPr>
              <w:rPr>
                <w:highlight w:val="green"/>
                <w:lang w:val="en-CA"/>
              </w:rPr>
            </w:pPr>
          </w:p>
        </w:tc>
        <w:tc>
          <w:tcPr>
            <w:tcW w:w="340" w:type="dxa"/>
            <w:shd w:val="clear" w:color="auto" w:fill="FFFFFF" w:themeFill="background1"/>
          </w:tcPr>
          <w:p w14:paraId="1B2313A9" w14:textId="77777777" w:rsidR="009830CB" w:rsidRPr="00902601" w:rsidRDefault="009830CB" w:rsidP="009830CB">
            <w:pPr>
              <w:rPr>
                <w:highlight w:val="green"/>
                <w:lang w:val="en-CA"/>
              </w:rPr>
            </w:pPr>
          </w:p>
        </w:tc>
        <w:tc>
          <w:tcPr>
            <w:tcW w:w="340" w:type="dxa"/>
            <w:shd w:val="clear" w:color="auto" w:fill="FFFFFF" w:themeFill="background1"/>
          </w:tcPr>
          <w:p w14:paraId="2BB5EB06" w14:textId="77777777" w:rsidR="009830CB" w:rsidRPr="00902601" w:rsidRDefault="009830CB" w:rsidP="009830CB">
            <w:pPr>
              <w:rPr>
                <w:highlight w:val="green"/>
                <w:lang w:val="en-CA"/>
              </w:rPr>
            </w:pPr>
          </w:p>
        </w:tc>
        <w:tc>
          <w:tcPr>
            <w:tcW w:w="340" w:type="dxa"/>
            <w:shd w:val="clear" w:color="auto" w:fill="FFFFFF" w:themeFill="background1"/>
          </w:tcPr>
          <w:p w14:paraId="7D061A98" w14:textId="77777777" w:rsidR="009830CB" w:rsidRPr="00902601" w:rsidRDefault="009830CB" w:rsidP="009830CB">
            <w:pPr>
              <w:rPr>
                <w:highlight w:val="green"/>
                <w:lang w:val="en-CA"/>
              </w:rPr>
            </w:pPr>
          </w:p>
        </w:tc>
        <w:tc>
          <w:tcPr>
            <w:tcW w:w="340" w:type="dxa"/>
            <w:shd w:val="clear" w:color="auto" w:fill="FFFFFF" w:themeFill="background1"/>
          </w:tcPr>
          <w:p w14:paraId="6E373C1E" w14:textId="77777777" w:rsidR="009830CB" w:rsidRPr="00902601" w:rsidRDefault="009830CB" w:rsidP="009830CB">
            <w:pPr>
              <w:rPr>
                <w:highlight w:val="green"/>
                <w:lang w:val="en-CA"/>
              </w:rPr>
            </w:pPr>
          </w:p>
        </w:tc>
        <w:tc>
          <w:tcPr>
            <w:tcW w:w="340" w:type="dxa"/>
            <w:shd w:val="clear" w:color="auto" w:fill="FFFFFF" w:themeFill="background1"/>
          </w:tcPr>
          <w:p w14:paraId="580A3153" w14:textId="77777777" w:rsidR="009830CB" w:rsidRPr="00902601" w:rsidRDefault="009830CB" w:rsidP="009830CB">
            <w:pPr>
              <w:rPr>
                <w:highlight w:val="green"/>
                <w:lang w:val="en-CA"/>
              </w:rPr>
            </w:pPr>
          </w:p>
        </w:tc>
        <w:tc>
          <w:tcPr>
            <w:tcW w:w="340" w:type="dxa"/>
            <w:shd w:val="clear" w:color="auto" w:fill="FFFFFF" w:themeFill="background1"/>
          </w:tcPr>
          <w:p w14:paraId="1A1322AF" w14:textId="77777777" w:rsidR="009830CB" w:rsidRPr="00902601" w:rsidRDefault="009830CB" w:rsidP="009830CB">
            <w:pPr>
              <w:rPr>
                <w:highlight w:val="green"/>
                <w:lang w:val="en-CA"/>
              </w:rPr>
            </w:pPr>
          </w:p>
        </w:tc>
        <w:tc>
          <w:tcPr>
            <w:tcW w:w="340" w:type="dxa"/>
            <w:shd w:val="clear" w:color="auto" w:fill="FFFFFF" w:themeFill="background1"/>
          </w:tcPr>
          <w:p w14:paraId="6B264BC5" w14:textId="77777777" w:rsidR="009830CB" w:rsidRPr="00902601" w:rsidRDefault="009830CB" w:rsidP="009830CB">
            <w:pPr>
              <w:rPr>
                <w:highlight w:val="green"/>
                <w:lang w:val="en-CA"/>
              </w:rPr>
            </w:pPr>
          </w:p>
        </w:tc>
        <w:tc>
          <w:tcPr>
            <w:tcW w:w="340" w:type="dxa"/>
            <w:shd w:val="clear" w:color="auto" w:fill="FFFFFF" w:themeFill="background1"/>
          </w:tcPr>
          <w:p w14:paraId="3735A73F" w14:textId="77777777" w:rsidR="009830CB" w:rsidRPr="00902601" w:rsidRDefault="009830CB" w:rsidP="009830CB">
            <w:pPr>
              <w:rPr>
                <w:highlight w:val="green"/>
                <w:lang w:val="en-CA"/>
              </w:rPr>
            </w:pPr>
          </w:p>
        </w:tc>
        <w:tc>
          <w:tcPr>
            <w:tcW w:w="340" w:type="dxa"/>
            <w:shd w:val="clear" w:color="auto" w:fill="FFFFFF" w:themeFill="background1"/>
          </w:tcPr>
          <w:p w14:paraId="205DFE45" w14:textId="77777777" w:rsidR="009830CB" w:rsidRPr="00902601" w:rsidRDefault="009830CB" w:rsidP="009830CB">
            <w:pPr>
              <w:rPr>
                <w:highlight w:val="green"/>
                <w:lang w:val="en-CA"/>
              </w:rPr>
            </w:pPr>
          </w:p>
        </w:tc>
        <w:tc>
          <w:tcPr>
            <w:tcW w:w="340" w:type="dxa"/>
            <w:shd w:val="clear" w:color="auto" w:fill="FFFFFF" w:themeFill="background1"/>
          </w:tcPr>
          <w:p w14:paraId="50F06380" w14:textId="77777777" w:rsidR="009830CB" w:rsidRPr="00902601" w:rsidRDefault="009830CB" w:rsidP="009830CB">
            <w:pPr>
              <w:rPr>
                <w:highlight w:val="green"/>
                <w:lang w:val="en-CA"/>
              </w:rPr>
            </w:pPr>
          </w:p>
        </w:tc>
        <w:tc>
          <w:tcPr>
            <w:tcW w:w="340" w:type="dxa"/>
            <w:shd w:val="clear" w:color="auto" w:fill="FFFFFF" w:themeFill="background1"/>
          </w:tcPr>
          <w:p w14:paraId="3125F573" w14:textId="77777777" w:rsidR="009830CB" w:rsidRPr="00902601" w:rsidRDefault="009830CB" w:rsidP="009830CB">
            <w:pPr>
              <w:rPr>
                <w:highlight w:val="green"/>
                <w:lang w:val="en-CA"/>
              </w:rPr>
            </w:pPr>
          </w:p>
        </w:tc>
        <w:tc>
          <w:tcPr>
            <w:tcW w:w="340" w:type="dxa"/>
            <w:shd w:val="clear" w:color="auto" w:fill="FFFFFF" w:themeFill="background1"/>
          </w:tcPr>
          <w:p w14:paraId="18460F5A" w14:textId="77777777" w:rsidR="009830CB" w:rsidRPr="00902601" w:rsidRDefault="009830CB" w:rsidP="009830CB">
            <w:pPr>
              <w:rPr>
                <w:highlight w:val="green"/>
                <w:lang w:val="en-CA"/>
              </w:rPr>
            </w:pPr>
          </w:p>
        </w:tc>
        <w:tc>
          <w:tcPr>
            <w:tcW w:w="340" w:type="dxa"/>
            <w:shd w:val="clear" w:color="auto" w:fill="FFFFFF" w:themeFill="background1"/>
          </w:tcPr>
          <w:p w14:paraId="52C7A99D" w14:textId="77777777" w:rsidR="009830CB" w:rsidRPr="00902601" w:rsidRDefault="009830CB" w:rsidP="009830CB">
            <w:pPr>
              <w:rPr>
                <w:highlight w:val="green"/>
                <w:lang w:val="en-CA"/>
              </w:rPr>
            </w:pPr>
          </w:p>
        </w:tc>
        <w:tc>
          <w:tcPr>
            <w:tcW w:w="340" w:type="dxa"/>
            <w:shd w:val="clear" w:color="auto" w:fill="FFFFFF" w:themeFill="background1"/>
          </w:tcPr>
          <w:p w14:paraId="50C2D589" w14:textId="77777777" w:rsidR="009830CB" w:rsidRPr="00902601" w:rsidRDefault="009830CB" w:rsidP="009830CB">
            <w:pPr>
              <w:rPr>
                <w:highlight w:val="green"/>
                <w:lang w:val="en-CA"/>
              </w:rPr>
            </w:pPr>
          </w:p>
        </w:tc>
        <w:tc>
          <w:tcPr>
            <w:tcW w:w="340" w:type="dxa"/>
            <w:shd w:val="clear" w:color="auto" w:fill="FFFFFF" w:themeFill="background1"/>
          </w:tcPr>
          <w:p w14:paraId="5D86B904" w14:textId="77777777" w:rsidR="009830CB" w:rsidRPr="00902601" w:rsidRDefault="009830CB" w:rsidP="009830CB">
            <w:pPr>
              <w:rPr>
                <w:highlight w:val="green"/>
                <w:lang w:val="en-CA"/>
              </w:rPr>
            </w:pPr>
          </w:p>
        </w:tc>
      </w:tr>
      <w:tr w:rsidR="00EC409B" w:rsidRPr="00902601" w14:paraId="548331AF" w14:textId="77777777" w:rsidTr="00CC2FAC">
        <w:trPr>
          <w:jc w:val="center"/>
        </w:trPr>
        <w:tc>
          <w:tcPr>
            <w:tcW w:w="5670" w:type="dxa"/>
            <w:shd w:val="clear" w:color="auto" w:fill="auto"/>
          </w:tcPr>
          <w:p w14:paraId="0A0DE775" w14:textId="00E444C3" w:rsidR="009830CB" w:rsidRPr="00902601" w:rsidRDefault="009830CB" w:rsidP="00755BF9">
            <w:pPr>
              <w:spacing w:after="0"/>
              <w:contextualSpacing/>
              <w:rPr>
                <w:rFonts w:eastAsia="Calibri"/>
                <w:sz w:val="16"/>
                <w:szCs w:val="16"/>
                <w:highlight w:val="green"/>
                <w:lang w:val="en-CA"/>
              </w:rPr>
            </w:pPr>
            <w:r w:rsidRPr="00755BF9">
              <w:rPr>
                <w:rFonts w:asciiTheme="minorHAnsi" w:hAnsiTheme="minorHAnsi" w:cstheme="minorHAnsi"/>
                <w:sz w:val="16"/>
                <w:szCs w:val="16"/>
                <w:highlight w:val="green"/>
              </w:rPr>
              <w:t>Develop the SESP site and activity specific</w:t>
            </w:r>
          </w:p>
        </w:tc>
        <w:tc>
          <w:tcPr>
            <w:tcW w:w="340" w:type="dxa"/>
            <w:shd w:val="clear" w:color="auto" w:fill="D0CECE" w:themeFill="background2" w:themeFillShade="E6"/>
          </w:tcPr>
          <w:p w14:paraId="527524E1" w14:textId="77777777" w:rsidR="009830CB" w:rsidRPr="00902601" w:rsidRDefault="009830CB" w:rsidP="009830CB">
            <w:pPr>
              <w:rPr>
                <w:highlight w:val="green"/>
                <w:lang w:val="en-CA"/>
              </w:rPr>
            </w:pPr>
          </w:p>
        </w:tc>
        <w:tc>
          <w:tcPr>
            <w:tcW w:w="340" w:type="dxa"/>
            <w:shd w:val="clear" w:color="auto" w:fill="D0CECE" w:themeFill="background2" w:themeFillShade="E6"/>
          </w:tcPr>
          <w:p w14:paraId="7314C079" w14:textId="77777777" w:rsidR="009830CB" w:rsidRPr="00902601" w:rsidRDefault="009830CB" w:rsidP="009830CB">
            <w:pPr>
              <w:rPr>
                <w:highlight w:val="green"/>
                <w:lang w:val="en-CA"/>
              </w:rPr>
            </w:pPr>
          </w:p>
        </w:tc>
        <w:tc>
          <w:tcPr>
            <w:tcW w:w="340" w:type="dxa"/>
            <w:shd w:val="clear" w:color="auto" w:fill="FFFFFF" w:themeFill="background1"/>
          </w:tcPr>
          <w:p w14:paraId="7E28E202" w14:textId="77777777" w:rsidR="009830CB" w:rsidRPr="00902601" w:rsidRDefault="009830CB" w:rsidP="009830CB">
            <w:pPr>
              <w:rPr>
                <w:highlight w:val="green"/>
                <w:lang w:val="en-CA"/>
              </w:rPr>
            </w:pPr>
          </w:p>
        </w:tc>
        <w:tc>
          <w:tcPr>
            <w:tcW w:w="340" w:type="dxa"/>
            <w:shd w:val="clear" w:color="auto" w:fill="FFFFFF" w:themeFill="background1"/>
          </w:tcPr>
          <w:p w14:paraId="017350E7" w14:textId="77777777" w:rsidR="009830CB" w:rsidRPr="00902601" w:rsidRDefault="009830CB" w:rsidP="009830CB">
            <w:pPr>
              <w:rPr>
                <w:highlight w:val="green"/>
                <w:lang w:val="en-CA"/>
              </w:rPr>
            </w:pPr>
          </w:p>
        </w:tc>
        <w:tc>
          <w:tcPr>
            <w:tcW w:w="340" w:type="dxa"/>
            <w:shd w:val="clear" w:color="auto" w:fill="FFFFFF" w:themeFill="background1"/>
          </w:tcPr>
          <w:p w14:paraId="3FF3703B" w14:textId="77777777" w:rsidR="009830CB" w:rsidRPr="00902601" w:rsidRDefault="009830CB" w:rsidP="009830CB">
            <w:pPr>
              <w:rPr>
                <w:highlight w:val="green"/>
                <w:lang w:val="en-CA"/>
              </w:rPr>
            </w:pPr>
          </w:p>
        </w:tc>
        <w:tc>
          <w:tcPr>
            <w:tcW w:w="340" w:type="dxa"/>
            <w:shd w:val="clear" w:color="auto" w:fill="FFFFFF" w:themeFill="background1"/>
          </w:tcPr>
          <w:p w14:paraId="792557C1" w14:textId="77777777" w:rsidR="009830CB" w:rsidRPr="00902601" w:rsidRDefault="009830CB" w:rsidP="009830CB">
            <w:pPr>
              <w:rPr>
                <w:highlight w:val="green"/>
                <w:lang w:val="en-CA"/>
              </w:rPr>
            </w:pPr>
          </w:p>
        </w:tc>
        <w:tc>
          <w:tcPr>
            <w:tcW w:w="340" w:type="dxa"/>
            <w:shd w:val="clear" w:color="auto" w:fill="FFFFFF" w:themeFill="background1"/>
          </w:tcPr>
          <w:p w14:paraId="28A487FE" w14:textId="77777777" w:rsidR="009830CB" w:rsidRPr="00902601" w:rsidRDefault="009830CB" w:rsidP="009830CB">
            <w:pPr>
              <w:rPr>
                <w:highlight w:val="green"/>
                <w:lang w:val="en-CA"/>
              </w:rPr>
            </w:pPr>
          </w:p>
        </w:tc>
        <w:tc>
          <w:tcPr>
            <w:tcW w:w="340" w:type="dxa"/>
            <w:shd w:val="clear" w:color="auto" w:fill="FFFFFF" w:themeFill="background1"/>
          </w:tcPr>
          <w:p w14:paraId="4B01DEEF" w14:textId="77777777" w:rsidR="009830CB" w:rsidRPr="00902601" w:rsidRDefault="009830CB" w:rsidP="009830CB">
            <w:pPr>
              <w:rPr>
                <w:highlight w:val="green"/>
                <w:lang w:val="en-CA"/>
              </w:rPr>
            </w:pPr>
          </w:p>
        </w:tc>
        <w:tc>
          <w:tcPr>
            <w:tcW w:w="340" w:type="dxa"/>
            <w:shd w:val="clear" w:color="auto" w:fill="FFFFFF" w:themeFill="background1"/>
          </w:tcPr>
          <w:p w14:paraId="21D2517D" w14:textId="77777777" w:rsidR="009830CB" w:rsidRPr="00902601" w:rsidRDefault="009830CB" w:rsidP="009830CB">
            <w:pPr>
              <w:rPr>
                <w:highlight w:val="green"/>
                <w:lang w:val="en-CA"/>
              </w:rPr>
            </w:pPr>
          </w:p>
        </w:tc>
        <w:tc>
          <w:tcPr>
            <w:tcW w:w="340" w:type="dxa"/>
            <w:shd w:val="clear" w:color="auto" w:fill="FFFFFF" w:themeFill="background1"/>
          </w:tcPr>
          <w:p w14:paraId="1C8CFA02" w14:textId="77777777" w:rsidR="009830CB" w:rsidRPr="00902601" w:rsidRDefault="009830CB" w:rsidP="009830CB">
            <w:pPr>
              <w:rPr>
                <w:highlight w:val="green"/>
                <w:lang w:val="en-CA"/>
              </w:rPr>
            </w:pPr>
          </w:p>
        </w:tc>
        <w:tc>
          <w:tcPr>
            <w:tcW w:w="340" w:type="dxa"/>
            <w:shd w:val="clear" w:color="auto" w:fill="FFFFFF" w:themeFill="background1"/>
          </w:tcPr>
          <w:p w14:paraId="675FF125" w14:textId="77777777" w:rsidR="009830CB" w:rsidRPr="00902601" w:rsidRDefault="009830CB" w:rsidP="009830CB">
            <w:pPr>
              <w:rPr>
                <w:highlight w:val="green"/>
                <w:lang w:val="en-CA"/>
              </w:rPr>
            </w:pPr>
          </w:p>
        </w:tc>
        <w:tc>
          <w:tcPr>
            <w:tcW w:w="340" w:type="dxa"/>
            <w:shd w:val="clear" w:color="auto" w:fill="FFFFFF" w:themeFill="background1"/>
          </w:tcPr>
          <w:p w14:paraId="66B31126" w14:textId="77777777" w:rsidR="009830CB" w:rsidRPr="00902601" w:rsidRDefault="009830CB" w:rsidP="009830CB">
            <w:pPr>
              <w:rPr>
                <w:highlight w:val="green"/>
                <w:lang w:val="en-CA"/>
              </w:rPr>
            </w:pPr>
          </w:p>
        </w:tc>
        <w:tc>
          <w:tcPr>
            <w:tcW w:w="340" w:type="dxa"/>
            <w:shd w:val="clear" w:color="auto" w:fill="FFFFFF" w:themeFill="background1"/>
          </w:tcPr>
          <w:p w14:paraId="7EA5D08B" w14:textId="77777777" w:rsidR="009830CB" w:rsidRPr="00902601" w:rsidRDefault="009830CB" w:rsidP="009830CB">
            <w:pPr>
              <w:rPr>
                <w:highlight w:val="green"/>
                <w:lang w:val="en-CA"/>
              </w:rPr>
            </w:pPr>
          </w:p>
        </w:tc>
        <w:tc>
          <w:tcPr>
            <w:tcW w:w="340" w:type="dxa"/>
            <w:shd w:val="clear" w:color="auto" w:fill="FFFFFF" w:themeFill="background1"/>
          </w:tcPr>
          <w:p w14:paraId="3A3E5A5C" w14:textId="77777777" w:rsidR="009830CB" w:rsidRPr="00902601" w:rsidRDefault="009830CB" w:rsidP="009830CB">
            <w:pPr>
              <w:rPr>
                <w:highlight w:val="green"/>
                <w:lang w:val="en-CA"/>
              </w:rPr>
            </w:pPr>
          </w:p>
        </w:tc>
        <w:tc>
          <w:tcPr>
            <w:tcW w:w="340" w:type="dxa"/>
            <w:shd w:val="clear" w:color="auto" w:fill="FFFFFF" w:themeFill="background1"/>
          </w:tcPr>
          <w:p w14:paraId="051D4AA0" w14:textId="77777777" w:rsidR="009830CB" w:rsidRPr="00902601" w:rsidRDefault="009830CB" w:rsidP="009830CB">
            <w:pPr>
              <w:rPr>
                <w:highlight w:val="green"/>
                <w:lang w:val="en-CA"/>
              </w:rPr>
            </w:pPr>
          </w:p>
        </w:tc>
        <w:tc>
          <w:tcPr>
            <w:tcW w:w="340" w:type="dxa"/>
            <w:shd w:val="clear" w:color="auto" w:fill="FFFFFF" w:themeFill="background1"/>
          </w:tcPr>
          <w:p w14:paraId="4FC48F60" w14:textId="77777777" w:rsidR="009830CB" w:rsidRPr="00902601" w:rsidRDefault="009830CB" w:rsidP="009830CB">
            <w:pPr>
              <w:rPr>
                <w:highlight w:val="green"/>
                <w:lang w:val="en-CA"/>
              </w:rPr>
            </w:pPr>
          </w:p>
        </w:tc>
        <w:tc>
          <w:tcPr>
            <w:tcW w:w="340" w:type="dxa"/>
            <w:shd w:val="clear" w:color="auto" w:fill="FFFFFF" w:themeFill="background1"/>
          </w:tcPr>
          <w:p w14:paraId="42BD3901" w14:textId="77777777" w:rsidR="009830CB" w:rsidRPr="00902601" w:rsidRDefault="009830CB" w:rsidP="009830CB">
            <w:pPr>
              <w:rPr>
                <w:highlight w:val="green"/>
                <w:lang w:val="en-CA"/>
              </w:rPr>
            </w:pPr>
          </w:p>
        </w:tc>
        <w:tc>
          <w:tcPr>
            <w:tcW w:w="340" w:type="dxa"/>
            <w:shd w:val="clear" w:color="auto" w:fill="FFFFFF" w:themeFill="background1"/>
          </w:tcPr>
          <w:p w14:paraId="7040C11D" w14:textId="77777777" w:rsidR="009830CB" w:rsidRPr="00902601" w:rsidRDefault="009830CB" w:rsidP="009830CB">
            <w:pPr>
              <w:rPr>
                <w:highlight w:val="green"/>
                <w:lang w:val="en-CA"/>
              </w:rPr>
            </w:pPr>
          </w:p>
        </w:tc>
        <w:tc>
          <w:tcPr>
            <w:tcW w:w="340" w:type="dxa"/>
            <w:shd w:val="clear" w:color="auto" w:fill="FFFFFF" w:themeFill="background1"/>
          </w:tcPr>
          <w:p w14:paraId="7F3D68FF" w14:textId="77777777" w:rsidR="009830CB" w:rsidRPr="00902601" w:rsidRDefault="009830CB" w:rsidP="009830CB">
            <w:pPr>
              <w:rPr>
                <w:highlight w:val="green"/>
                <w:lang w:val="en-CA"/>
              </w:rPr>
            </w:pPr>
          </w:p>
        </w:tc>
        <w:tc>
          <w:tcPr>
            <w:tcW w:w="340" w:type="dxa"/>
            <w:shd w:val="clear" w:color="auto" w:fill="FFFFFF" w:themeFill="background1"/>
          </w:tcPr>
          <w:p w14:paraId="71F1FB64" w14:textId="77777777" w:rsidR="009830CB" w:rsidRPr="00902601" w:rsidRDefault="009830CB" w:rsidP="009830CB">
            <w:pPr>
              <w:rPr>
                <w:highlight w:val="green"/>
                <w:lang w:val="en-CA"/>
              </w:rPr>
            </w:pPr>
          </w:p>
        </w:tc>
        <w:tc>
          <w:tcPr>
            <w:tcW w:w="340" w:type="dxa"/>
            <w:shd w:val="clear" w:color="auto" w:fill="FFFFFF" w:themeFill="background1"/>
          </w:tcPr>
          <w:p w14:paraId="6B4615CD" w14:textId="77777777" w:rsidR="009830CB" w:rsidRPr="00902601" w:rsidRDefault="009830CB" w:rsidP="009830CB">
            <w:pPr>
              <w:rPr>
                <w:highlight w:val="green"/>
                <w:lang w:val="en-CA"/>
              </w:rPr>
            </w:pPr>
          </w:p>
        </w:tc>
        <w:tc>
          <w:tcPr>
            <w:tcW w:w="340" w:type="dxa"/>
            <w:shd w:val="clear" w:color="auto" w:fill="FFFFFF" w:themeFill="background1"/>
          </w:tcPr>
          <w:p w14:paraId="7ABF37A7" w14:textId="77777777" w:rsidR="009830CB" w:rsidRPr="00902601" w:rsidRDefault="009830CB" w:rsidP="009830CB">
            <w:pPr>
              <w:rPr>
                <w:highlight w:val="green"/>
                <w:lang w:val="en-CA"/>
              </w:rPr>
            </w:pPr>
          </w:p>
        </w:tc>
        <w:tc>
          <w:tcPr>
            <w:tcW w:w="340" w:type="dxa"/>
            <w:shd w:val="clear" w:color="auto" w:fill="FFFFFF" w:themeFill="background1"/>
          </w:tcPr>
          <w:p w14:paraId="14C70E50" w14:textId="77777777" w:rsidR="009830CB" w:rsidRPr="00902601" w:rsidRDefault="009830CB" w:rsidP="009830CB">
            <w:pPr>
              <w:rPr>
                <w:highlight w:val="green"/>
                <w:lang w:val="en-CA"/>
              </w:rPr>
            </w:pPr>
          </w:p>
        </w:tc>
        <w:tc>
          <w:tcPr>
            <w:tcW w:w="340" w:type="dxa"/>
            <w:shd w:val="clear" w:color="auto" w:fill="FFFFFF" w:themeFill="background1"/>
          </w:tcPr>
          <w:p w14:paraId="337CC44B" w14:textId="77777777" w:rsidR="009830CB" w:rsidRPr="00902601" w:rsidRDefault="009830CB" w:rsidP="009830CB">
            <w:pPr>
              <w:rPr>
                <w:highlight w:val="green"/>
                <w:lang w:val="en-CA"/>
              </w:rPr>
            </w:pPr>
          </w:p>
        </w:tc>
      </w:tr>
      <w:tr w:rsidR="00EC409B" w:rsidRPr="00902601" w14:paraId="4319CE9D" w14:textId="77777777" w:rsidTr="009830CB">
        <w:trPr>
          <w:jc w:val="center"/>
        </w:trPr>
        <w:tc>
          <w:tcPr>
            <w:tcW w:w="5670" w:type="dxa"/>
            <w:shd w:val="clear" w:color="auto" w:fill="auto"/>
          </w:tcPr>
          <w:p w14:paraId="6423379A" w14:textId="290B069E" w:rsidR="009830CB" w:rsidRPr="00902601" w:rsidRDefault="009830CB" w:rsidP="009830CB">
            <w:pPr>
              <w:spacing w:after="0"/>
              <w:contextualSpacing/>
              <w:rPr>
                <w:rFonts w:asciiTheme="minorHAnsi" w:hAnsiTheme="minorHAnsi" w:cstheme="minorHAnsi"/>
                <w:sz w:val="16"/>
                <w:szCs w:val="16"/>
                <w:highlight w:val="green"/>
                <w:lang w:val="en-GB"/>
              </w:rPr>
            </w:pPr>
            <w:r w:rsidRPr="00755BF9">
              <w:rPr>
                <w:rFonts w:asciiTheme="minorHAnsi" w:hAnsiTheme="minorHAnsi" w:cstheme="minorHAnsi"/>
                <w:sz w:val="16"/>
                <w:szCs w:val="16"/>
                <w:highlight w:val="green"/>
              </w:rPr>
              <w:t>Develop the Livelihood Action Plan (LAP) (if needed)</w:t>
            </w:r>
          </w:p>
        </w:tc>
        <w:tc>
          <w:tcPr>
            <w:tcW w:w="340" w:type="dxa"/>
            <w:shd w:val="clear" w:color="auto" w:fill="D0CECE" w:themeFill="background2" w:themeFillShade="E6"/>
          </w:tcPr>
          <w:p w14:paraId="361906AF" w14:textId="77777777" w:rsidR="009830CB" w:rsidRPr="00902601" w:rsidRDefault="009830CB" w:rsidP="009830CB">
            <w:pPr>
              <w:rPr>
                <w:highlight w:val="green"/>
                <w:lang w:val="en-CA"/>
              </w:rPr>
            </w:pPr>
          </w:p>
        </w:tc>
        <w:tc>
          <w:tcPr>
            <w:tcW w:w="340" w:type="dxa"/>
            <w:shd w:val="clear" w:color="auto" w:fill="D0CECE" w:themeFill="background2" w:themeFillShade="E6"/>
          </w:tcPr>
          <w:p w14:paraId="79222516" w14:textId="77777777" w:rsidR="009830CB" w:rsidRPr="00902601" w:rsidRDefault="009830CB" w:rsidP="009830CB">
            <w:pPr>
              <w:rPr>
                <w:highlight w:val="green"/>
                <w:lang w:val="en-CA"/>
              </w:rPr>
            </w:pPr>
          </w:p>
        </w:tc>
        <w:tc>
          <w:tcPr>
            <w:tcW w:w="340" w:type="dxa"/>
            <w:shd w:val="clear" w:color="auto" w:fill="FFFFFF" w:themeFill="background1"/>
          </w:tcPr>
          <w:p w14:paraId="2DF5C211" w14:textId="77777777" w:rsidR="009830CB" w:rsidRPr="00902601" w:rsidRDefault="009830CB" w:rsidP="009830CB">
            <w:pPr>
              <w:rPr>
                <w:highlight w:val="green"/>
                <w:lang w:val="en-CA"/>
              </w:rPr>
            </w:pPr>
          </w:p>
        </w:tc>
        <w:tc>
          <w:tcPr>
            <w:tcW w:w="340" w:type="dxa"/>
            <w:shd w:val="clear" w:color="auto" w:fill="FFFFFF" w:themeFill="background1"/>
          </w:tcPr>
          <w:p w14:paraId="4822D06E" w14:textId="77777777" w:rsidR="009830CB" w:rsidRPr="00902601" w:rsidRDefault="009830CB" w:rsidP="009830CB">
            <w:pPr>
              <w:rPr>
                <w:highlight w:val="green"/>
                <w:lang w:val="en-CA"/>
              </w:rPr>
            </w:pPr>
          </w:p>
        </w:tc>
        <w:tc>
          <w:tcPr>
            <w:tcW w:w="340" w:type="dxa"/>
            <w:shd w:val="clear" w:color="auto" w:fill="FFFFFF" w:themeFill="background1"/>
          </w:tcPr>
          <w:p w14:paraId="7AA2E606" w14:textId="77777777" w:rsidR="009830CB" w:rsidRPr="00902601" w:rsidRDefault="009830CB" w:rsidP="009830CB">
            <w:pPr>
              <w:rPr>
                <w:highlight w:val="green"/>
                <w:lang w:val="en-CA"/>
              </w:rPr>
            </w:pPr>
          </w:p>
        </w:tc>
        <w:tc>
          <w:tcPr>
            <w:tcW w:w="340" w:type="dxa"/>
            <w:shd w:val="clear" w:color="auto" w:fill="FFFFFF" w:themeFill="background1"/>
          </w:tcPr>
          <w:p w14:paraId="565F5AC1" w14:textId="77777777" w:rsidR="009830CB" w:rsidRPr="00902601" w:rsidRDefault="009830CB" w:rsidP="009830CB">
            <w:pPr>
              <w:rPr>
                <w:highlight w:val="green"/>
                <w:lang w:val="en-CA"/>
              </w:rPr>
            </w:pPr>
          </w:p>
        </w:tc>
        <w:tc>
          <w:tcPr>
            <w:tcW w:w="340" w:type="dxa"/>
            <w:shd w:val="clear" w:color="auto" w:fill="FFFFFF" w:themeFill="background1"/>
          </w:tcPr>
          <w:p w14:paraId="23299194" w14:textId="77777777" w:rsidR="009830CB" w:rsidRPr="00902601" w:rsidRDefault="009830CB" w:rsidP="009830CB">
            <w:pPr>
              <w:rPr>
                <w:highlight w:val="green"/>
                <w:lang w:val="en-CA"/>
              </w:rPr>
            </w:pPr>
          </w:p>
        </w:tc>
        <w:tc>
          <w:tcPr>
            <w:tcW w:w="340" w:type="dxa"/>
            <w:shd w:val="clear" w:color="auto" w:fill="FFFFFF" w:themeFill="background1"/>
          </w:tcPr>
          <w:p w14:paraId="0CC2B116" w14:textId="77777777" w:rsidR="009830CB" w:rsidRPr="00902601" w:rsidRDefault="009830CB" w:rsidP="009830CB">
            <w:pPr>
              <w:rPr>
                <w:highlight w:val="green"/>
                <w:lang w:val="en-CA"/>
              </w:rPr>
            </w:pPr>
          </w:p>
        </w:tc>
        <w:tc>
          <w:tcPr>
            <w:tcW w:w="340" w:type="dxa"/>
            <w:shd w:val="clear" w:color="auto" w:fill="FFFFFF" w:themeFill="background1"/>
          </w:tcPr>
          <w:p w14:paraId="24105610" w14:textId="77777777" w:rsidR="009830CB" w:rsidRPr="00902601" w:rsidRDefault="009830CB" w:rsidP="009830CB">
            <w:pPr>
              <w:rPr>
                <w:highlight w:val="green"/>
                <w:lang w:val="en-CA"/>
              </w:rPr>
            </w:pPr>
          </w:p>
        </w:tc>
        <w:tc>
          <w:tcPr>
            <w:tcW w:w="340" w:type="dxa"/>
            <w:shd w:val="clear" w:color="auto" w:fill="FFFFFF" w:themeFill="background1"/>
          </w:tcPr>
          <w:p w14:paraId="21C258B7" w14:textId="77777777" w:rsidR="009830CB" w:rsidRPr="00902601" w:rsidRDefault="009830CB" w:rsidP="009830CB">
            <w:pPr>
              <w:rPr>
                <w:highlight w:val="green"/>
                <w:lang w:val="en-CA"/>
              </w:rPr>
            </w:pPr>
          </w:p>
        </w:tc>
        <w:tc>
          <w:tcPr>
            <w:tcW w:w="340" w:type="dxa"/>
            <w:shd w:val="clear" w:color="auto" w:fill="FFFFFF" w:themeFill="background1"/>
          </w:tcPr>
          <w:p w14:paraId="37D22119" w14:textId="77777777" w:rsidR="009830CB" w:rsidRPr="00902601" w:rsidRDefault="009830CB" w:rsidP="009830CB">
            <w:pPr>
              <w:rPr>
                <w:highlight w:val="green"/>
                <w:lang w:val="en-CA"/>
              </w:rPr>
            </w:pPr>
          </w:p>
        </w:tc>
        <w:tc>
          <w:tcPr>
            <w:tcW w:w="340" w:type="dxa"/>
            <w:shd w:val="clear" w:color="auto" w:fill="FFFFFF" w:themeFill="background1"/>
          </w:tcPr>
          <w:p w14:paraId="134C93E7" w14:textId="77777777" w:rsidR="009830CB" w:rsidRPr="00902601" w:rsidRDefault="009830CB" w:rsidP="009830CB">
            <w:pPr>
              <w:rPr>
                <w:highlight w:val="green"/>
                <w:lang w:val="en-CA"/>
              </w:rPr>
            </w:pPr>
          </w:p>
        </w:tc>
        <w:tc>
          <w:tcPr>
            <w:tcW w:w="340" w:type="dxa"/>
            <w:shd w:val="clear" w:color="auto" w:fill="FFFFFF" w:themeFill="background1"/>
          </w:tcPr>
          <w:p w14:paraId="7BD2B3E5" w14:textId="77777777" w:rsidR="009830CB" w:rsidRPr="00902601" w:rsidRDefault="009830CB" w:rsidP="009830CB">
            <w:pPr>
              <w:rPr>
                <w:highlight w:val="green"/>
                <w:lang w:val="en-CA"/>
              </w:rPr>
            </w:pPr>
          </w:p>
        </w:tc>
        <w:tc>
          <w:tcPr>
            <w:tcW w:w="340" w:type="dxa"/>
            <w:shd w:val="clear" w:color="auto" w:fill="FFFFFF" w:themeFill="background1"/>
          </w:tcPr>
          <w:p w14:paraId="5D4C541F" w14:textId="77777777" w:rsidR="009830CB" w:rsidRPr="00902601" w:rsidRDefault="009830CB" w:rsidP="009830CB">
            <w:pPr>
              <w:rPr>
                <w:highlight w:val="green"/>
                <w:lang w:val="en-CA"/>
              </w:rPr>
            </w:pPr>
          </w:p>
        </w:tc>
        <w:tc>
          <w:tcPr>
            <w:tcW w:w="340" w:type="dxa"/>
            <w:shd w:val="clear" w:color="auto" w:fill="FFFFFF" w:themeFill="background1"/>
          </w:tcPr>
          <w:p w14:paraId="544413E2" w14:textId="77777777" w:rsidR="009830CB" w:rsidRPr="00902601" w:rsidRDefault="009830CB" w:rsidP="009830CB">
            <w:pPr>
              <w:rPr>
                <w:highlight w:val="green"/>
                <w:lang w:val="en-CA"/>
              </w:rPr>
            </w:pPr>
          </w:p>
        </w:tc>
        <w:tc>
          <w:tcPr>
            <w:tcW w:w="340" w:type="dxa"/>
            <w:shd w:val="clear" w:color="auto" w:fill="FFFFFF" w:themeFill="background1"/>
          </w:tcPr>
          <w:p w14:paraId="52BBB126" w14:textId="77777777" w:rsidR="009830CB" w:rsidRPr="00902601" w:rsidRDefault="009830CB" w:rsidP="009830CB">
            <w:pPr>
              <w:rPr>
                <w:highlight w:val="green"/>
                <w:lang w:val="en-CA"/>
              </w:rPr>
            </w:pPr>
          </w:p>
        </w:tc>
        <w:tc>
          <w:tcPr>
            <w:tcW w:w="340" w:type="dxa"/>
            <w:shd w:val="clear" w:color="auto" w:fill="FFFFFF" w:themeFill="background1"/>
          </w:tcPr>
          <w:p w14:paraId="0587D5CD" w14:textId="77777777" w:rsidR="009830CB" w:rsidRPr="00902601" w:rsidRDefault="009830CB" w:rsidP="009830CB">
            <w:pPr>
              <w:rPr>
                <w:highlight w:val="green"/>
                <w:lang w:val="en-CA"/>
              </w:rPr>
            </w:pPr>
          </w:p>
        </w:tc>
        <w:tc>
          <w:tcPr>
            <w:tcW w:w="340" w:type="dxa"/>
            <w:shd w:val="clear" w:color="auto" w:fill="FFFFFF" w:themeFill="background1"/>
          </w:tcPr>
          <w:p w14:paraId="4721C887" w14:textId="77777777" w:rsidR="009830CB" w:rsidRPr="00902601" w:rsidRDefault="009830CB" w:rsidP="009830CB">
            <w:pPr>
              <w:rPr>
                <w:highlight w:val="green"/>
                <w:lang w:val="en-CA"/>
              </w:rPr>
            </w:pPr>
          </w:p>
        </w:tc>
        <w:tc>
          <w:tcPr>
            <w:tcW w:w="340" w:type="dxa"/>
            <w:shd w:val="clear" w:color="auto" w:fill="FFFFFF" w:themeFill="background1"/>
          </w:tcPr>
          <w:p w14:paraId="7616BF94" w14:textId="77777777" w:rsidR="009830CB" w:rsidRPr="00902601" w:rsidRDefault="009830CB" w:rsidP="009830CB">
            <w:pPr>
              <w:rPr>
                <w:highlight w:val="green"/>
                <w:lang w:val="en-CA"/>
              </w:rPr>
            </w:pPr>
          </w:p>
        </w:tc>
        <w:tc>
          <w:tcPr>
            <w:tcW w:w="340" w:type="dxa"/>
            <w:shd w:val="clear" w:color="auto" w:fill="FFFFFF" w:themeFill="background1"/>
          </w:tcPr>
          <w:p w14:paraId="61C0771E" w14:textId="77777777" w:rsidR="009830CB" w:rsidRPr="00902601" w:rsidRDefault="009830CB" w:rsidP="009830CB">
            <w:pPr>
              <w:rPr>
                <w:highlight w:val="green"/>
                <w:lang w:val="en-CA"/>
              </w:rPr>
            </w:pPr>
          </w:p>
        </w:tc>
        <w:tc>
          <w:tcPr>
            <w:tcW w:w="340" w:type="dxa"/>
            <w:shd w:val="clear" w:color="auto" w:fill="FFFFFF" w:themeFill="background1"/>
          </w:tcPr>
          <w:p w14:paraId="2FA69889" w14:textId="77777777" w:rsidR="009830CB" w:rsidRPr="00902601" w:rsidRDefault="009830CB" w:rsidP="009830CB">
            <w:pPr>
              <w:rPr>
                <w:highlight w:val="green"/>
                <w:lang w:val="en-CA"/>
              </w:rPr>
            </w:pPr>
          </w:p>
        </w:tc>
        <w:tc>
          <w:tcPr>
            <w:tcW w:w="340" w:type="dxa"/>
            <w:shd w:val="clear" w:color="auto" w:fill="FFFFFF" w:themeFill="background1"/>
          </w:tcPr>
          <w:p w14:paraId="2536830F" w14:textId="77777777" w:rsidR="009830CB" w:rsidRPr="00902601" w:rsidRDefault="009830CB" w:rsidP="009830CB">
            <w:pPr>
              <w:rPr>
                <w:highlight w:val="green"/>
                <w:lang w:val="en-CA"/>
              </w:rPr>
            </w:pPr>
          </w:p>
        </w:tc>
        <w:tc>
          <w:tcPr>
            <w:tcW w:w="340" w:type="dxa"/>
            <w:shd w:val="clear" w:color="auto" w:fill="FFFFFF" w:themeFill="background1"/>
          </w:tcPr>
          <w:p w14:paraId="374E8E46" w14:textId="77777777" w:rsidR="009830CB" w:rsidRPr="00902601" w:rsidRDefault="009830CB" w:rsidP="009830CB">
            <w:pPr>
              <w:rPr>
                <w:highlight w:val="green"/>
                <w:lang w:val="en-CA"/>
              </w:rPr>
            </w:pPr>
          </w:p>
        </w:tc>
        <w:tc>
          <w:tcPr>
            <w:tcW w:w="340" w:type="dxa"/>
            <w:shd w:val="clear" w:color="auto" w:fill="FFFFFF" w:themeFill="background1"/>
          </w:tcPr>
          <w:p w14:paraId="5BB4D344" w14:textId="77777777" w:rsidR="009830CB" w:rsidRPr="00902601" w:rsidRDefault="009830CB" w:rsidP="009830CB">
            <w:pPr>
              <w:rPr>
                <w:highlight w:val="green"/>
                <w:lang w:val="en-CA"/>
              </w:rPr>
            </w:pPr>
          </w:p>
        </w:tc>
      </w:tr>
      <w:tr w:rsidR="00EC409B" w:rsidRPr="00902601" w14:paraId="3397ED37" w14:textId="77777777" w:rsidTr="009830CB">
        <w:trPr>
          <w:jc w:val="center"/>
        </w:trPr>
        <w:tc>
          <w:tcPr>
            <w:tcW w:w="5670" w:type="dxa"/>
            <w:shd w:val="clear" w:color="auto" w:fill="auto"/>
          </w:tcPr>
          <w:p w14:paraId="7F0701C9" w14:textId="3633881B" w:rsidR="009830CB" w:rsidRPr="00902601" w:rsidRDefault="009830CB" w:rsidP="009830CB">
            <w:pPr>
              <w:spacing w:after="0"/>
              <w:contextualSpacing/>
              <w:rPr>
                <w:rFonts w:asciiTheme="minorHAnsi" w:hAnsiTheme="minorHAnsi" w:cstheme="minorHAnsi"/>
                <w:sz w:val="16"/>
                <w:szCs w:val="16"/>
                <w:highlight w:val="green"/>
                <w:lang w:val="en-GB"/>
              </w:rPr>
            </w:pPr>
            <w:r w:rsidRPr="00755BF9">
              <w:rPr>
                <w:rFonts w:asciiTheme="minorHAnsi" w:hAnsiTheme="minorHAnsi" w:cstheme="minorHAnsi"/>
                <w:sz w:val="16"/>
                <w:szCs w:val="16"/>
                <w:highlight w:val="green"/>
              </w:rPr>
              <w:t xml:space="preserve">Develop the </w:t>
            </w:r>
            <w:r w:rsidRPr="00755BF9">
              <w:rPr>
                <w:rFonts w:asciiTheme="minorHAnsi" w:hAnsiTheme="minorHAnsi" w:cstheme="minorHAnsi"/>
                <w:sz w:val="16"/>
                <w:szCs w:val="16"/>
                <w:highlight w:val="green"/>
                <w:lang w:val="en-GB"/>
              </w:rPr>
              <w:t xml:space="preserve">IPP </w:t>
            </w:r>
          </w:p>
        </w:tc>
        <w:tc>
          <w:tcPr>
            <w:tcW w:w="340" w:type="dxa"/>
            <w:shd w:val="clear" w:color="auto" w:fill="D9D9D9" w:themeFill="background1" w:themeFillShade="D9"/>
          </w:tcPr>
          <w:p w14:paraId="4ADC70E8" w14:textId="77777777" w:rsidR="009830CB" w:rsidRPr="00902601" w:rsidRDefault="009830CB" w:rsidP="009830CB">
            <w:pPr>
              <w:rPr>
                <w:highlight w:val="green"/>
                <w:lang w:val="en-CA"/>
              </w:rPr>
            </w:pPr>
          </w:p>
        </w:tc>
        <w:tc>
          <w:tcPr>
            <w:tcW w:w="340" w:type="dxa"/>
            <w:shd w:val="clear" w:color="auto" w:fill="D9D9D9" w:themeFill="background1" w:themeFillShade="D9"/>
          </w:tcPr>
          <w:p w14:paraId="05E45BE9" w14:textId="77777777" w:rsidR="009830CB" w:rsidRPr="00902601" w:rsidRDefault="009830CB" w:rsidP="009830CB">
            <w:pPr>
              <w:rPr>
                <w:highlight w:val="green"/>
                <w:lang w:val="en-CA"/>
              </w:rPr>
            </w:pPr>
          </w:p>
        </w:tc>
        <w:tc>
          <w:tcPr>
            <w:tcW w:w="340" w:type="dxa"/>
            <w:shd w:val="clear" w:color="auto" w:fill="D9D9D9" w:themeFill="background1" w:themeFillShade="D9"/>
          </w:tcPr>
          <w:p w14:paraId="24A6B524" w14:textId="77777777" w:rsidR="009830CB" w:rsidRPr="00902601" w:rsidRDefault="009830CB" w:rsidP="009830CB">
            <w:pPr>
              <w:rPr>
                <w:highlight w:val="green"/>
                <w:lang w:val="en-CA"/>
              </w:rPr>
            </w:pPr>
          </w:p>
        </w:tc>
        <w:tc>
          <w:tcPr>
            <w:tcW w:w="340" w:type="dxa"/>
            <w:shd w:val="clear" w:color="auto" w:fill="D9D9D9" w:themeFill="background1" w:themeFillShade="D9"/>
          </w:tcPr>
          <w:p w14:paraId="2A7FE219" w14:textId="77777777" w:rsidR="009830CB" w:rsidRPr="00902601" w:rsidRDefault="009830CB" w:rsidP="009830CB">
            <w:pPr>
              <w:rPr>
                <w:highlight w:val="green"/>
                <w:lang w:val="en-CA"/>
              </w:rPr>
            </w:pPr>
          </w:p>
        </w:tc>
        <w:tc>
          <w:tcPr>
            <w:tcW w:w="340" w:type="dxa"/>
            <w:shd w:val="clear" w:color="auto" w:fill="FFFFFF" w:themeFill="background1"/>
          </w:tcPr>
          <w:p w14:paraId="07119F85" w14:textId="77777777" w:rsidR="009830CB" w:rsidRPr="00902601" w:rsidRDefault="009830CB" w:rsidP="009830CB">
            <w:pPr>
              <w:rPr>
                <w:highlight w:val="green"/>
                <w:lang w:val="en-CA"/>
              </w:rPr>
            </w:pPr>
          </w:p>
        </w:tc>
        <w:tc>
          <w:tcPr>
            <w:tcW w:w="340" w:type="dxa"/>
            <w:shd w:val="clear" w:color="auto" w:fill="FFFFFF" w:themeFill="background1"/>
          </w:tcPr>
          <w:p w14:paraId="4A215AE7" w14:textId="77777777" w:rsidR="009830CB" w:rsidRPr="00902601" w:rsidRDefault="009830CB" w:rsidP="009830CB">
            <w:pPr>
              <w:rPr>
                <w:highlight w:val="green"/>
                <w:lang w:val="en-CA"/>
              </w:rPr>
            </w:pPr>
          </w:p>
        </w:tc>
        <w:tc>
          <w:tcPr>
            <w:tcW w:w="340" w:type="dxa"/>
            <w:shd w:val="clear" w:color="auto" w:fill="FFFFFF" w:themeFill="background1"/>
          </w:tcPr>
          <w:p w14:paraId="7CA9227C" w14:textId="77777777" w:rsidR="009830CB" w:rsidRPr="00902601" w:rsidRDefault="009830CB" w:rsidP="009830CB">
            <w:pPr>
              <w:rPr>
                <w:highlight w:val="green"/>
                <w:lang w:val="en-CA"/>
              </w:rPr>
            </w:pPr>
          </w:p>
        </w:tc>
        <w:tc>
          <w:tcPr>
            <w:tcW w:w="340" w:type="dxa"/>
            <w:shd w:val="clear" w:color="auto" w:fill="FFFFFF" w:themeFill="background1"/>
          </w:tcPr>
          <w:p w14:paraId="7F9CF5B1" w14:textId="77777777" w:rsidR="009830CB" w:rsidRPr="00902601" w:rsidRDefault="009830CB" w:rsidP="009830CB">
            <w:pPr>
              <w:rPr>
                <w:highlight w:val="green"/>
                <w:lang w:val="en-CA"/>
              </w:rPr>
            </w:pPr>
          </w:p>
        </w:tc>
        <w:tc>
          <w:tcPr>
            <w:tcW w:w="340" w:type="dxa"/>
            <w:shd w:val="clear" w:color="auto" w:fill="FFFFFF" w:themeFill="background1"/>
          </w:tcPr>
          <w:p w14:paraId="438A70E0" w14:textId="77777777" w:rsidR="009830CB" w:rsidRPr="00902601" w:rsidRDefault="009830CB" w:rsidP="009830CB">
            <w:pPr>
              <w:rPr>
                <w:highlight w:val="green"/>
                <w:lang w:val="en-CA"/>
              </w:rPr>
            </w:pPr>
          </w:p>
        </w:tc>
        <w:tc>
          <w:tcPr>
            <w:tcW w:w="340" w:type="dxa"/>
            <w:shd w:val="clear" w:color="auto" w:fill="FFFFFF" w:themeFill="background1"/>
          </w:tcPr>
          <w:p w14:paraId="311918AB" w14:textId="77777777" w:rsidR="009830CB" w:rsidRPr="00902601" w:rsidRDefault="009830CB" w:rsidP="009830CB">
            <w:pPr>
              <w:rPr>
                <w:highlight w:val="green"/>
                <w:lang w:val="en-CA"/>
              </w:rPr>
            </w:pPr>
          </w:p>
        </w:tc>
        <w:tc>
          <w:tcPr>
            <w:tcW w:w="340" w:type="dxa"/>
            <w:shd w:val="clear" w:color="auto" w:fill="FFFFFF" w:themeFill="background1"/>
          </w:tcPr>
          <w:p w14:paraId="2AD4230D" w14:textId="77777777" w:rsidR="009830CB" w:rsidRPr="00902601" w:rsidRDefault="009830CB" w:rsidP="009830CB">
            <w:pPr>
              <w:rPr>
                <w:highlight w:val="green"/>
                <w:lang w:val="en-CA"/>
              </w:rPr>
            </w:pPr>
          </w:p>
        </w:tc>
        <w:tc>
          <w:tcPr>
            <w:tcW w:w="340" w:type="dxa"/>
            <w:shd w:val="clear" w:color="auto" w:fill="FFFFFF" w:themeFill="background1"/>
          </w:tcPr>
          <w:p w14:paraId="275175C7" w14:textId="77777777" w:rsidR="009830CB" w:rsidRPr="00902601" w:rsidRDefault="009830CB" w:rsidP="009830CB">
            <w:pPr>
              <w:rPr>
                <w:highlight w:val="green"/>
                <w:lang w:val="en-CA"/>
              </w:rPr>
            </w:pPr>
          </w:p>
        </w:tc>
        <w:tc>
          <w:tcPr>
            <w:tcW w:w="340" w:type="dxa"/>
            <w:shd w:val="clear" w:color="auto" w:fill="FFFFFF" w:themeFill="background1"/>
          </w:tcPr>
          <w:p w14:paraId="7B2014C7" w14:textId="77777777" w:rsidR="009830CB" w:rsidRPr="00902601" w:rsidRDefault="009830CB" w:rsidP="009830CB">
            <w:pPr>
              <w:rPr>
                <w:highlight w:val="green"/>
                <w:lang w:val="en-CA"/>
              </w:rPr>
            </w:pPr>
          </w:p>
        </w:tc>
        <w:tc>
          <w:tcPr>
            <w:tcW w:w="340" w:type="dxa"/>
            <w:shd w:val="clear" w:color="auto" w:fill="FFFFFF" w:themeFill="background1"/>
          </w:tcPr>
          <w:p w14:paraId="18CA0D0F" w14:textId="77777777" w:rsidR="009830CB" w:rsidRPr="00902601" w:rsidRDefault="009830CB" w:rsidP="009830CB">
            <w:pPr>
              <w:rPr>
                <w:highlight w:val="green"/>
                <w:lang w:val="en-CA"/>
              </w:rPr>
            </w:pPr>
          </w:p>
        </w:tc>
        <w:tc>
          <w:tcPr>
            <w:tcW w:w="340" w:type="dxa"/>
            <w:shd w:val="clear" w:color="auto" w:fill="FFFFFF" w:themeFill="background1"/>
          </w:tcPr>
          <w:p w14:paraId="1A63A82E" w14:textId="77777777" w:rsidR="009830CB" w:rsidRPr="00902601" w:rsidRDefault="009830CB" w:rsidP="009830CB">
            <w:pPr>
              <w:rPr>
                <w:highlight w:val="green"/>
                <w:lang w:val="en-CA"/>
              </w:rPr>
            </w:pPr>
          </w:p>
        </w:tc>
        <w:tc>
          <w:tcPr>
            <w:tcW w:w="340" w:type="dxa"/>
            <w:shd w:val="clear" w:color="auto" w:fill="FFFFFF" w:themeFill="background1"/>
          </w:tcPr>
          <w:p w14:paraId="7C37BB3C" w14:textId="77777777" w:rsidR="009830CB" w:rsidRPr="00902601" w:rsidRDefault="009830CB" w:rsidP="009830CB">
            <w:pPr>
              <w:rPr>
                <w:highlight w:val="green"/>
                <w:lang w:val="en-CA"/>
              </w:rPr>
            </w:pPr>
          </w:p>
        </w:tc>
        <w:tc>
          <w:tcPr>
            <w:tcW w:w="340" w:type="dxa"/>
            <w:shd w:val="clear" w:color="auto" w:fill="FFFFFF" w:themeFill="background1"/>
          </w:tcPr>
          <w:p w14:paraId="0116D46D" w14:textId="77777777" w:rsidR="009830CB" w:rsidRPr="00902601" w:rsidRDefault="009830CB" w:rsidP="009830CB">
            <w:pPr>
              <w:rPr>
                <w:highlight w:val="green"/>
                <w:lang w:val="en-CA"/>
              </w:rPr>
            </w:pPr>
          </w:p>
        </w:tc>
        <w:tc>
          <w:tcPr>
            <w:tcW w:w="340" w:type="dxa"/>
            <w:shd w:val="clear" w:color="auto" w:fill="FFFFFF" w:themeFill="background1"/>
          </w:tcPr>
          <w:p w14:paraId="63E0152A" w14:textId="77777777" w:rsidR="009830CB" w:rsidRPr="00902601" w:rsidRDefault="009830CB" w:rsidP="009830CB">
            <w:pPr>
              <w:rPr>
                <w:highlight w:val="green"/>
                <w:lang w:val="en-CA"/>
              </w:rPr>
            </w:pPr>
          </w:p>
        </w:tc>
        <w:tc>
          <w:tcPr>
            <w:tcW w:w="340" w:type="dxa"/>
            <w:shd w:val="clear" w:color="auto" w:fill="FFFFFF" w:themeFill="background1"/>
          </w:tcPr>
          <w:p w14:paraId="2698D59C" w14:textId="77777777" w:rsidR="009830CB" w:rsidRPr="00902601" w:rsidRDefault="009830CB" w:rsidP="009830CB">
            <w:pPr>
              <w:rPr>
                <w:highlight w:val="green"/>
                <w:lang w:val="en-CA"/>
              </w:rPr>
            </w:pPr>
          </w:p>
        </w:tc>
        <w:tc>
          <w:tcPr>
            <w:tcW w:w="340" w:type="dxa"/>
            <w:shd w:val="clear" w:color="auto" w:fill="FFFFFF" w:themeFill="background1"/>
          </w:tcPr>
          <w:p w14:paraId="50478F72" w14:textId="77777777" w:rsidR="009830CB" w:rsidRPr="00902601" w:rsidRDefault="009830CB" w:rsidP="009830CB">
            <w:pPr>
              <w:rPr>
                <w:highlight w:val="green"/>
                <w:lang w:val="en-CA"/>
              </w:rPr>
            </w:pPr>
          </w:p>
        </w:tc>
        <w:tc>
          <w:tcPr>
            <w:tcW w:w="340" w:type="dxa"/>
            <w:shd w:val="clear" w:color="auto" w:fill="FFFFFF" w:themeFill="background1"/>
          </w:tcPr>
          <w:p w14:paraId="6456F715" w14:textId="77777777" w:rsidR="009830CB" w:rsidRPr="00902601" w:rsidRDefault="009830CB" w:rsidP="009830CB">
            <w:pPr>
              <w:rPr>
                <w:highlight w:val="green"/>
                <w:lang w:val="en-CA"/>
              </w:rPr>
            </w:pPr>
          </w:p>
        </w:tc>
        <w:tc>
          <w:tcPr>
            <w:tcW w:w="340" w:type="dxa"/>
            <w:shd w:val="clear" w:color="auto" w:fill="FFFFFF" w:themeFill="background1"/>
          </w:tcPr>
          <w:p w14:paraId="7751C554" w14:textId="77777777" w:rsidR="009830CB" w:rsidRPr="00902601" w:rsidRDefault="009830CB" w:rsidP="009830CB">
            <w:pPr>
              <w:rPr>
                <w:highlight w:val="green"/>
                <w:lang w:val="en-CA"/>
              </w:rPr>
            </w:pPr>
          </w:p>
        </w:tc>
        <w:tc>
          <w:tcPr>
            <w:tcW w:w="340" w:type="dxa"/>
            <w:shd w:val="clear" w:color="auto" w:fill="FFFFFF" w:themeFill="background1"/>
          </w:tcPr>
          <w:p w14:paraId="170C2C84" w14:textId="77777777" w:rsidR="009830CB" w:rsidRPr="00902601" w:rsidRDefault="009830CB" w:rsidP="009830CB">
            <w:pPr>
              <w:rPr>
                <w:highlight w:val="green"/>
                <w:lang w:val="en-CA"/>
              </w:rPr>
            </w:pPr>
          </w:p>
        </w:tc>
        <w:tc>
          <w:tcPr>
            <w:tcW w:w="340" w:type="dxa"/>
            <w:shd w:val="clear" w:color="auto" w:fill="FFFFFF" w:themeFill="background1"/>
          </w:tcPr>
          <w:p w14:paraId="49148750" w14:textId="77777777" w:rsidR="009830CB" w:rsidRPr="00902601" w:rsidRDefault="009830CB" w:rsidP="009830CB">
            <w:pPr>
              <w:rPr>
                <w:highlight w:val="green"/>
                <w:lang w:val="en-CA"/>
              </w:rPr>
            </w:pPr>
          </w:p>
        </w:tc>
      </w:tr>
      <w:tr w:rsidR="00EC409B" w:rsidRPr="00902601" w14:paraId="4831EA49" w14:textId="77777777" w:rsidTr="00CC2FAC">
        <w:trPr>
          <w:jc w:val="center"/>
        </w:trPr>
        <w:tc>
          <w:tcPr>
            <w:tcW w:w="5670" w:type="dxa"/>
            <w:shd w:val="clear" w:color="auto" w:fill="auto"/>
          </w:tcPr>
          <w:p w14:paraId="06766E26" w14:textId="03A9108B" w:rsidR="009830CB" w:rsidRPr="00902601" w:rsidRDefault="009830CB" w:rsidP="00755BF9">
            <w:pPr>
              <w:spacing w:after="0"/>
              <w:contextualSpacing/>
              <w:rPr>
                <w:rFonts w:eastAsia="Calibri"/>
                <w:sz w:val="16"/>
                <w:szCs w:val="16"/>
                <w:highlight w:val="green"/>
                <w:lang w:val="en-CA"/>
              </w:rPr>
            </w:pPr>
            <w:r w:rsidRPr="00755BF9">
              <w:rPr>
                <w:rFonts w:asciiTheme="minorHAnsi" w:hAnsiTheme="minorHAnsi" w:cstheme="minorHAnsi"/>
                <w:sz w:val="16"/>
                <w:szCs w:val="16"/>
                <w:highlight w:val="green"/>
              </w:rPr>
              <w:t xml:space="preserve">Develop the </w:t>
            </w:r>
            <w:r w:rsidRPr="00755BF9">
              <w:rPr>
                <w:rFonts w:asciiTheme="minorHAnsi" w:hAnsiTheme="minorHAnsi" w:cstheme="minorHAnsi"/>
                <w:sz w:val="16"/>
                <w:szCs w:val="16"/>
                <w:highlight w:val="green"/>
                <w:lang w:val="en-GB"/>
              </w:rPr>
              <w:t xml:space="preserve">ESMP </w:t>
            </w:r>
          </w:p>
        </w:tc>
        <w:tc>
          <w:tcPr>
            <w:tcW w:w="340" w:type="dxa"/>
            <w:shd w:val="clear" w:color="auto" w:fill="D0CECE" w:themeFill="background2" w:themeFillShade="E6"/>
          </w:tcPr>
          <w:p w14:paraId="086C5DD5" w14:textId="77777777" w:rsidR="009830CB" w:rsidRPr="00902601" w:rsidRDefault="009830CB" w:rsidP="009830CB">
            <w:pPr>
              <w:rPr>
                <w:highlight w:val="green"/>
                <w:lang w:val="en-CA"/>
              </w:rPr>
            </w:pPr>
          </w:p>
        </w:tc>
        <w:tc>
          <w:tcPr>
            <w:tcW w:w="340" w:type="dxa"/>
            <w:shd w:val="clear" w:color="auto" w:fill="D0CECE" w:themeFill="background2" w:themeFillShade="E6"/>
          </w:tcPr>
          <w:p w14:paraId="4058666E" w14:textId="77777777" w:rsidR="009830CB" w:rsidRPr="00902601" w:rsidRDefault="009830CB" w:rsidP="009830CB">
            <w:pPr>
              <w:rPr>
                <w:highlight w:val="green"/>
                <w:lang w:val="en-CA"/>
              </w:rPr>
            </w:pPr>
          </w:p>
        </w:tc>
        <w:tc>
          <w:tcPr>
            <w:tcW w:w="340" w:type="dxa"/>
            <w:shd w:val="clear" w:color="auto" w:fill="D0CECE" w:themeFill="background2" w:themeFillShade="E6"/>
          </w:tcPr>
          <w:p w14:paraId="1A5E70B1" w14:textId="77777777" w:rsidR="009830CB" w:rsidRPr="00902601" w:rsidRDefault="009830CB" w:rsidP="009830CB">
            <w:pPr>
              <w:rPr>
                <w:highlight w:val="green"/>
                <w:lang w:val="en-CA"/>
              </w:rPr>
            </w:pPr>
          </w:p>
        </w:tc>
        <w:tc>
          <w:tcPr>
            <w:tcW w:w="340" w:type="dxa"/>
            <w:shd w:val="clear" w:color="auto" w:fill="D0CECE" w:themeFill="background2" w:themeFillShade="E6"/>
          </w:tcPr>
          <w:p w14:paraId="3415EAE7" w14:textId="77777777" w:rsidR="009830CB" w:rsidRPr="00902601" w:rsidRDefault="009830CB" w:rsidP="009830CB">
            <w:pPr>
              <w:rPr>
                <w:highlight w:val="green"/>
                <w:lang w:val="en-CA"/>
              </w:rPr>
            </w:pPr>
          </w:p>
        </w:tc>
        <w:tc>
          <w:tcPr>
            <w:tcW w:w="340" w:type="dxa"/>
            <w:shd w:val="clear" w:color="auto" w:fill="FFFFFF" w:themeFill="background1"/>
          </w:tcPr>
          <w:p w14:paraId="47E16706" w14:textId="77777777" w:rsidR="009830CB" w:rsidRPr="00902601" w:rsidRDefault="009830CB" w:rsidP="009830CB">
            <w:pPr>
              <w:rPr>
                <w:highlight w:val="green"/>
                <w:lang w:val="en-CA"/>
              </w:rPr>
            </w:pPr>
          </w:p>
        </w:tc>
        <w:tc>
          <w:tcPr>
            <w:tcW w:w="340" w:type="dxa"/>
            <w:shd w:val="clear" w:color="auto" w:fill="FFFFFF" w:themeFill="background1"/>
          </w:tcPr>
          <w:p w14:paraId="2D3A397B" w14:textId="77777777" w:rsidR="009830CB" w:rsidRPr="00902601" w:rsidRDefault="009830CB" w:rsidP="009830CB">
            <w:pPr>
              <w:rPr>
                <w:highlight w:val="green"/>
                <w:lang w:val="en-CA"/>
              </w:rPr>
            </w:pPr>
          </w:p>
        </w:tc>
        <w:tc>
          <w:tcPr>
            <w:tcW w:w="340" w:type="dxa"/>
            <w:shd w:val="clear" w:color="auto" w:fill="FFFFFF" w:themeFill="background1"/>
          </w:tcPr>
          <w:p w14:paraId="2DBBF788" w14:textId="77777777" w:rsidR="009830CB" w:rsidRPr="00902601" w:rsidRDefault="009830CB" w:rsidP="009830CB">
            <w:pPr>
              <w:rPr>
                <w:highlight w:val="green"/>
                <w:lang w:val="en-CA"/>
              </w:rPr>
            </w:pPr>
          </w:p>
        </w:tc>
        <w:tc>
          <w:tcPr>
            <w:tcW w:w="340" w:type="dxa"/>
            <w:shd w:val="clear" w:color="auto" w:fill="FFFFFF" w:themeFill="background1"/>
          </w:tcPr>
          <w:p w14:paraId="1F13D9B3" w14:textId="77777777" w:rsidR="009830CB" w:rsidRPr="00902601" w:rsidRDefault="009830CB" w:rsidP="009830CB">
            <w:pPr>
              <w:rPr>
                <w:highlight w:val="green"/>
                <w:lang w:val="en-CA"/>
              </w:rPr>
            </w:pPr>
          </w:p>
        </w:tc>
        <w:tc>
          <w:tcPr>
            <w:tcW w:w="340" w:type="dxa"/>
            <w:shd w:val="clear" w:color="auto" w:fill="FFFFFF" w:themeFill="background1"/>
          </w:tcPr>
          <w:p w14:paraId="579371D5" w14:textId="77777777" w:rsidR="009830CB" w:rsidRPr="00902601" w:rsidRDefault="009830CB" w:rsidP="009830CB">
            <w:pPr>
              <w:rPr>
                <w:highlight w:val="green"/>
                <w:lang w:val="en-CA"/>
              </w:rPr>
            </w:pPr>
          </w:p>
        </w:tc>
        <w:tc>
          <w:tcPr>
            <w:tcW w:w="340" w:type="dxa"/>
            <w:shd w:val="clear" w:color="auto" w:fill="FFFFFF" w:themeFill="background1"/>
          </w:tcPr>
          <w:p w14:paraId="4E82CEFF" w14:textId="77777777" w:rsidR="009830CB" w:rsidRPr="00902601" w:rsidRDefault="009830CB" w:rsidP="009830CB">
            <w:pPr>
              <w:rPr>
                <w:highlight w:val="green"/>
                <w:lang w:val="en-CA"/>
              </w:rPr>
            </w:pPr>
          </w:p>
        </w:tc>
        <w:tc>
          <w:tcPr>
            <w:tcW w:w="340" w:type="dxa"/>
            <w:shd w:val="clear" w:color="auto" w:fill="FFFFFF" w:themeFill="background1"/>
          </w:tcPr>
          <w:p w14:paraId="0B4BE595" w14:textId="77777777" w:rsidR="009830CB" w:rsidRPr="00902601" w:rsidRDefault="009830CB" w:rsidP="009830CB">
            <w:pPr>
              <w:rPr>
                <w:highlight w:val="green"/>
                <w:lang w:val="en-CA"/>
              </w:rPr>
            </w:pPr>
          </w:p>
        </w:tc>
        <w:tc>
          <w:tcPr>
            <w:tcW w:w="340" w:type="dxa"/>
            <w:shd w:val="clear" w:color="auto" w:fill="FFFFFF" w:themeFill="background1"/>
          </w:tcPr>
          <w:p w14:paraId="79B3298A" w14:textId="77777777" w:rsidR="009830CB" w:rsidRPr="00902601" w:rsidRDefault="009830CB" w:rsidP="009830CB">
            <w:pPr>
              <w:rPr>
                <w:highlight w:val="green"/>
                <w:lang w:val="en-CA"/>
              </w:rPr>
            </w:pPr>
          </w:p>
        </w:tc>
        <w:tc>
          <w:tcPr>
            <w:tcW w:w="340" w:type="dxa"/>
            <w:shd w:val="clear" w:color="auto" w:fill="FFFFFF" w:themeFill="background1"/>
          </w:tcPr>
          <w:p w14:paraId="694D9DF9" w14:textId="77777777" w:rsidR="009830CB" w:rsidRPr="00902601" w:rsidRDefault="009830CB" w:rsidP="009830CB">
            <w:pPr>
              <w:rPr>
                <w:highlight w:val="green"/>
                <w:lang w:val="en-CA"/>
              </w:rPr>
            </w:pPr>
          </w:p>
        </w:tc>
        <w:tc>
          <w:tcPr>
            <w:tcW w:w="340" w:type="dxa"/>
            <w:shd w:val="clear" w:color="auto" w:fill="FFFFFF" w:themeFill="background1"/>
          </w:tcPr>
          <w:p w14:paraId="61B2499F" w14:textId="77777777" w:rsidR="009830CB" w:rsidRPr="00902601" w:rsidRDefault="009830CB" w:rsidP="009830CB">
            <w:pPr>
              <w:rPr>
                <w:highlight w:val="green"/>
                <w:lang w:val="en-CA"/>
              </w:rPr>
            </w:pPr>
          </w:p>
        </w:tc>
        <w:tc>
          <w:tcPr>
            <w:tcW w:w="340" w:type="dxa"/>
            <w:shd w:val="clear" w:color="auto" w:fill="FFFFFF" w:themeFill="background1"/>
          </w:tcPr>
          <w:p w14:paraId="0FBF55BF" w14:textId="77777777" w:rsidR="009830CB" w:rsidRPr="00902601" w:rsidRDefault="009830CB" w:rsidP="009830CB">
            <w:pPr>
              <w:rPr>
                <w:highlight w:val="green"/>
                <w:lang w:val="en-CA"/>
              </w:rPr>
            </w:pPr>
          </w:p>
        </w:tc>
        <w:tc>
          <w:tcPr>
            <w:tcW w:w="340" w:type="dxa"/>
            <w:shd w:val="clear" w:color="auto" w:fill="FFFFFF" w:themeFill="background1"/>
          </w:tcPr>
          <w:p w14:paraId="3A4932F7" w14:textId="77777777" w:rsidR="009830CB" w:rsidRPr="00902601" w:rsidRDefault="009830CB" w:rsidP="009830CB">
            <w:pPr>
              <w:rPr>
                <w:highlight w:val="green"/>
                <w:lang w:val="en-CA"/>
              </w:rPr>
            </w:pPr>
          </w:p>
        </w:tc>
        <w:tc>
          <w:tcPr>
            <w:tcW w:w="340" w:type="dxa"/>
            <w:shd w:val="clear" w:color="auto" w:fill="FFFFFF" w:themeFill="background1"/>
          </w:tcPr>
          <w:p w14:paraId="2534F883" w14:textId="77777777" w:rsidR="009830CB" w:rsidRPr="00902601" w:rsidRDefault="009830CB" w:rsidP="009830CB">
            <w:pPr>
              <w:rPr>
                <w:highlight w:val="green"/>
                <w:lang w:val="en-CA"/>
              </w:rPr>
            </w:pPr>
          </w:p>
        </w:tc>
        <w:tc>
          <w:tcPr>
            <w:tcW w:w="340" w:type="dxa"/>
            <w:shd w:val="clear" w:color="auto" w:fill="FFFFFF" w:themeFill="background1"/>
          </w:tcPr>
          <w:p w14:paraId="7C2E77B4" w14:textId="77777777" w:rsidR="009830CB" w:rsidRPr="00902601" w:rsidRDefault="009830CB" w:rsidP="009830CB">
            <w:pPr>
              <w:rPr>
                <w:highlight w:val="green"/>
                <w:lang w:val="en-CA"/>
              </w:rPr>
            </w:pPr>
          </w:p>
        </w:tc>
        <w:tc>
          <w:tcPr>
            <w:tcW w:w="340" w:type="dxa"/>
            <w:shd w:val="clear" w:color="auto" w:fill="FFFFFF" w:themeFill="background1"/>
          </w:tcPr>
          <w:p w14:paraId="1DB3247C" w14:textId="77777777" w:rsidR="009830CB" w:rsidRPr="00902601" w:rsidRDefault="009830CB" w:rsidP="009830CB">
            <w:pPr>
              <w:rPr>
                <w:highlight w:val="green"/>
                <w:lang w:val="en-CA"/>
              </w:rPr>
            </w:pPr>
          </w:p>
        </w:tc>
        <w:tc>
          <w:tcPr>
            <w:tcW w:w="340" w:type="dxa"/>
            <w:shd w:val="clear" w:color="auto" w:fill="FFFFFF" w:themeFill="background1"/>
          </w:tcPr>
          <w:p w14:paraId="7C8B78B1" w14:textId="77777777" w:rsidR="009830CB" w:rsidRPr="00902601" w:rsidRDefault="009830CB" w:rsidP="009830CB">
            <w:pPr>
              <w:rPr>
                <w:highlight w:val="green"/>
                <w:lang w:val="en-CA"/>
              </w:rPr>
            </w:pPr>
          </w:p>
        </w:tc>
        <w:tc>
          <w:tcPr>
            <w:tcW w:w="340" w:type="dxa"/>
            <w:shd w:val="clear" w:color="auto" w:fill="FFFFFF" w:themeFill="background1"/>
          </w:tcPr>
          <w:p w14:paraId="0DA221BA" w14:textId="77777777" w:rsidR="009830CB" w:rsidRPr="00902601" w:rsidRDefault="009830CB" w:rsidP="009830CB">
            <w:pPr>
              <w:rPr>
                <w:highlight w:val="green"/>
                <w:lang w:val="en-CA"/>
              </w:rPr>
            </w:pPr>
          </w:p>
        </w:tc>
        <w:tc>
          <w:tcPr>
            <w:tcW w:w="340" w:type="dxa"/>
            <w:shd w:val="clear" w:color="auto" w:fill="FFFFFF" w:themeFill="background1"/>
          </w:tcPr>
          <w:p w14:paraId="1FF4A720" w14:textId="77777777" w:rsidR="009830CB" w:rsidRPr="00902601" w:rsidRDefault="009830CB" w:rsidP="009830CB">
            <w:pPr>
              <w:rPr>
                <w:highlight w:val="green"/>
                <w:lang w:val="en-CA"/>
              </w:rPr>
            </w:pPr>
          </w:p>
        </w:tc>
        <w:tc>
          <w:tcPr>
            <w:tcW w:w="340" w:type="dxa"/>
            <w:shd w:val="clear" w:color="auto" w:fill="FFFFFF" w:themeFill="background1"/>
          </w:tcPr>
          <w:p w14:paraId="07BC4634" w14:textId="77777777" w:rsidR="009830CB" w:rsidRPr="00902601" w:rsidRDefault="009830CB" w:rsidP="009830CB">
            <w:pPr>
              <w:rPr>
                <w:highlight w:val="green"/>
                <w:lang w:val="en-CA"/>
              </w:rPr>
            </w:pPr>
          </w:p>
        </w:tc>
        <w:tc>
          <w:tcPr>
            <w:tcW w:w="340" w:type="dxa"/>
            <w:shd w:val="clear" w:color="auto" w:fill="FFFFFF" w:themeFill="background1"/>
          </w:tcPr>
          <w:p w14:paraId="5CDDE89E" w14:textId="77777777" w:rsidR="009830CB" w:rsidRPr="00902601" w:rsidRDefault="009830CB" w:rsidP="009830CB">
            <w:pPr>
              <w:rPr>
                <w:highlight w:val="green"/>
                <w:lang w:val="en-CA"/>
              </w:rPr>
            </w:pPr>
          </w:p>
        </w:tc>
      </w:tr>
      <w:tr w:rsidR="00EC409B" w:rsidRPr="00902601" w14:paraId="03DD30FA" w14:textId="77777777" w:rsidTr="00CC2FAC">
        <w:trPr>
          <w:jc w:val="center"/>
        </w:trPr>
        <w:tc>
          <w:tcPr>
            <w:tcW w:w="5670" w:type="dxa"/>
            <w:shd w:val="clear" w:color="auto" w:fill="auto"/>
          </w:tcPr>
          <w:p w14:paraId="7D8EE810" w14:textId="641CBA3E" w:rsidR="009830CB" w:rsidRPr="00902601" w:rsidRDefault="009830CB" w:rsidP="00755BF9">
            <w:pPr>
              <w:spacing w:after="0"/>
              <w:contextualSpacing/>
              <w:rPr>
                <w:rFonts w:eastAsia="Calibri"/>
                <w:sz w:val="16"/>
                <w:szCs w:val="16"/>
                <w:highlight w:val="green"/>
                <w:lang w:val="en-CA"/>
              </w:rPr>
            </w:pPr>
            <w:r w:rsidRPr="00755BF9">
              <w:rPr>
                <w:rFonts w:asciiTheme="minorHAnsi" w:hAnsiTheme="minorHAnsi" w:cstheme="minorHAnsi"/>
                <w:sz w:val="16"/>
                <w:szCs w:val="16"/>
                <w:highlight w:val="green"/>
              </w:rPr>
              <w:lastRenderedPageBreak/>
              <w:t>ESMF Monitoring</w:t>
            </w:r>
          </w:p>
        </w:tc>
        <w:tc>
          <w:tcPr>
            <w:tcW w:w="340" w:type="dxa"/>
            <w:shd w:val="clear" w:color="auto" w:fill="D0CECE" w:themeFill="background2" w:themeFillShade="E6"/>
          </w:tcPr>
          <w:p w14:paraId="6E69BA73" w14:textId="77777777" w:rsidR="009830CB" w:rsidRPr="00902601" w:rsidRDefault="009830CB" w:rsidP="009830CB">
            <w:pPr>
              <w:rPr>
                <w:highlight w:val="green"/>
                <w:lang w:val="en-CA"/>
              </w:rPr>
            </w:pPr>
          </w:p>
        </w:tc>
        <w:tc>
          <w:tcPr>
            <w:tcW w:w="340" w:type="dxa"/>
            <w:shd w:val="clear" w:color="auto" w:fill="D0CECE" w:themeFill="background2" w:themeFillShade="E6"/>
          </w:tcPr>
          <w:p w14:paraId="6922CBBB" w14:textId="77777777" w:rsidR="009830CB" w:rsidRPr="00902601" w:rsidRDefault="009830CB" w:rsidP="009830CB">
            <w:pPr>
              <w:rPr>
                <w:highlight w:val="green"/>
                <w:lang w:val="en-CA"/>
              </w:rPr>
            </w:pPr>
          </w:p>
        </w:tc>
        <w:tc>
          <w:tcPr>
            <w:tcW w:w="340" w:type="dxa"/>
            <w:shd w:val="clear" w:color="auto" w:fill="D0CECE" w:themeFill="background2" w:themeFillShade="E6"/>
          </w:tcPr>
          <w:p w14:paraId="76EEABCF" w14:textId="77777777" w:rsidR="009830CB" w:rsidRPr="00902601" w:rsidRDefault="009830CB" w:rsidP="009830CB">
            <w:pPr>
              <w:rPr>
                <w:highlight w:val="green"/>
                <w:lang w:val="en-CA"/>
              </w:rPr>
            </w:pPr>
          </w:p>
        </w:tc>
        <w:tc>
          <w:tcPr>
            <w:tcW w:w="340" w:type="dxa"/>
            <w:shd w:val="clear" w:color="auto" w:fill="D0CECE" w:themeFill="background2" w:themeFillShade="E6"/>
          </w:tcPr>
          <w:p w14:paraId="3D420D19" w14:textId="77777777" w:rsidR="009830CB" w:rsidRPr="00902601" w:rsidRDefault="009830CB" w:rsidP="009830CB">
            <w:pPr>
              <w:rPr>
                <w:highlight w:val="green"/>
                <w:lang w:val="en-CA"/>
              </w:rPr>
            </w:pPr>
          </w:p>
        </w:tc>
        <w:tc>
          <w:tcPr>
            <w:tcW w:w="340" w:type="dxa"/>
            <w:shd w:val="clear" w:color="auto" w:fill="D0CECE" w:themeFill="background2" w:themeFillShade="E6"/>
          </w:tcPr>
          <w:p w14:paraId="29FD5D50" w14:textId="77777777" w:rsidR="009830CB" w:rsidRPr="00902601" w:rsidRDefault="009830CB" w:rsidP="009830CB">
            <w:pPr>
              <w:rPr>
                <w:highlight w:val="green"/>
                <w:lang w:val="en-CA"/>
              </w:rPr>
            </w:pPr>
          </w:p>
        </w:tc>
        <w:tc>
          <w:tcPr>
            <w:tcW w:w="340" w:type="dxa"/>
            <w:shd w:val="clear" w:color="auto" w:fill="D0CECE" w:themeFill="background2" w:themeFillShade="E6"/>
          </w:tcPr>
          <w:p w14:paraId="77F188BF" w14:textId="77777777" w:rsidR="009830CB" w:rsidRPr="00902601" w:rsidRDefault="009830CB" w:rsidP="009830CB">
            <w:pPr>
              <w:rPr>
                <w:highlight w:val="green"/>
                <w:lang w:val="en-CA"/>
              </w:rPr>
            </w:pPr>
          </w:p>
        </w:tc>
        <w:tc>
          <w:tcPr>
            <w:tcW w:w="340" w:type="dxa"/>
            <w:shd w:val="clear" w:color="auto" w:fill="D0CECE" w:themeFill="background2" w:themeFillShade="E6"/>
          </w:tcPr>
          <w:p w14:paraId="0817FA8E" w14:textId="77777777" w:rsidR="009830CB" w:rsidRPr="00902601" w:rsidRDefault="009830CB" w:rsidP="009830CB">
            <w:pPr>
              <w:rPr>
                <w:highlight w:val="green"/>
                <w:lang w:val="en-CA"/>
              </w:rPr>
            </w:pPr>
          </w:p>
        </w:tc>
        <w:tc>
          <w:tcPr>
            <w:tcW w:w="340" w:type="dxa"/>
            <w:shd w:val="clear" w:color="auto" w:fill="D0CECE" w:themeFill="background2" w:themeFillShade="E6"/>
          </w:tcPr>
          <w:p w14:paraId="1AF3D41C" w14:textId="77777777" w:rsidR="009830CB" w:rsidRPr="00902601" w:rsidRDefault="009830CB" w:rsidP="009830CB">
            <w:pPr>
              <w:rPr>
                <w:highlight w:val="green"/>
                <w:lang w:val="en-CA"/>
              </w:rPr>
            </w:pPr>
          </w:p>
        </w:tc>
        <w:tc>
          <w:tcPr>
            <w:tcW w:w="340" w:type="dxa"/>
            <w:shd w:val="clear" w:color="auto" w:fill="D0CECE" w:themeFill="background2" w:themeFillShade="E6"/>
          </w:tcPr>
          <w:p w14:paraId="171CE455" w14:textId="77777777" w:rsidR="009830CB" w:rsidRPr="00902601" w:rsidRDefault="009830CB" w:rsidP="009830CB">
            <w:pPr>
              <w:rPr>
                <w:highlight w:val="green"/>
                <w:lang w:val="en-CA"/>
              </w:rPr>
            </w:pPr>
          </w:p>
        </w:tc>
        <w:tc>
          <w:tcPr>
            <w:tcW w:w="340" w:type="dxa"/>
            <w:shd w:val="clear" w:color="auto" w:fill="D0CECE" w:themeFill="background2" w:themeFillShade="E6"/>
          </w:tcPr>
          <w:p w14:paraId="4A704029" w14:textId="77777777" w:rsidR="009830CB" w:rsidRPr="00902601" w:rsidRDefault="009830CB" w:rsidP="009830CB">
            <w:pPr>
              <w:rPr>
                <w:highlight w:val="green"/>
                <w:lang w:val="en-CA"/>
              </w:rPr>
            </w:pPr>
          </w:p>
        </w:tc>
        <w:tc>
          <w:tcPr>
            <w:tcW w:w="340" w:type="dxa"/>
            <w:shd w:val="clear" w:color="auto" w:fill="D0CECE" w:themeFill="background2" w:themeFillShade="E6"/>
          </w:tcPr>
          <w:p w14:paraId="4F5A2FF9" w14:textId="77777777" w:rsidR="009830CB" w:rsidRPr="00902601" w:rsidRDefault="009830CB" w:rsidP="009830CB">
            <w:pPr>
              <w:rPr>
                <w:highlight w:val="green"/>
                <w:lang w:val="en-CA"/>
              </w:rPr>
            </w:pPr>
          </w:p>
        </w:tc>
        <w:tc>
          <w:tcPr>
            <w:tcW w:w="340" w:type="dxa"/>
            <w:shd w:val="clear" w:color="auto" w:fill="D0CECE" w:themeFill="background2" w:themeFillShade="E6"/>
          </w:tcPr>
          <w:p w14:paraId="51EF3D72" w14:textId="77777777" w:rsidR="009830CB" w:rsidRPr="00902601" w:rsidRDefault="009830CB" w:rsidP="009830CB">
            <w:pPr>
              <w:rPr>
                <w:highlight w:val="green"/>
                <w:lang w:val="en-CA"/>
              </w:rPr>
            </w:pPr>
          </w:p>
        </w:tc>
        <w:tc>
          <w:tcPr>
            <w:tcW w:w="340" w:type="dxa"/>
            <w:shd w:val="clear" w:color="auto" w:fill="D0CECE" w:themeFill="background2" w:themeFillShade="E6"/>
          </w:tcPr>
          <w:p w14:paraId="62151E05" w14:textId="77777777" w:rsidR="009830CB" w:rsidRPr="00902601" w:rsidRDefault="009830CB" w:rsidP="009830CB">
            <w:pPr>
              <w:rPr>
                <w:highlight w:val="green"/>
                <w:lang w:val="en-CA"/>
              </w:rPr>
            </w:pPr>
          </w:p>
        </w:tc>
        <w:tc>
          <w:tcPr>
            <w:tcW w:w="340" w:type="dxa"/>
            <w:shd w:val="clear" w:color="auto" w:fill="D0CECE" w:themeFill="background2" w:themeFillShade="E6"/>
          </w:tcPr>
          <w:p w14:paraId="5F2D9D53" w14:textId="77777777" w:rsidR="009830CB" w:rsidRPr="00902601" w:rsidRDefault="009830CB" w:rsidP="009830CB">
            <w:pPr>
              <w:rPr>
                <w:highlight w:val="green"/>
                <w:lang w:val="en-CA"/>
              </w:rPr>
            </w:pPr>
          </w:p>
        </w:tc>
        <w:tc>
          <w:tcPr>
            <w:tcW w:w="340" w:type="dxa"/>
            <w:shd w:val="clear" w:color="auto" w:fill="D0CECE" w:themeFill="background2" w:themeFillShade="E6"/>
          </w:tcPr>
          <w:p w14:paraId="73F96E7D" w14:textId="77777777" w:rsidR="009830CB" w:rsidRPr="00902601" w:rsidRDefault="009830CB" w:rsidP="009830CB">
            <w:pPr>
              <w:rPr>
                <w:highlight w:val="green"/>
                <w:lang w:val="en-CA"/>
              </w:rPr>
            </w:pPr>
          </w:p>
        </w:tc>
        <w:tc>
          <w:tcPr>
            <w:tcW w:w="340" w:type="dxa"/>
            <w:shd w:val="clear" w:color="auto" w:fill="D0CECE" w:themeFill="background2" w:themeFillShade="E6"/>
          </w:tcPr>
          <w:p w14:paraId="43109C7C" w14:textId="77777777" w:rsidR="009830CB" w:rsidRPr="00902601" w:rsidRDefault="009830CB" w:rsidP="009830CB">
            <w:pPr>
              <w:rPr>
                <w:highlight w:val="green"/>
                <w:lang w:val="en-CA"/>
              </w:rPr>
            </w:pPr>
          </w:p>
        </w:tc>
        <w:tc>
          <w:tcPr>
            <w:tcW w:w="340" w:type="dxa"/>
            <w:shd w:val="clear" w:color="auto" w:fill="D0CECE" w:themeFill="background2" w:themeFillShade="E6"/>
          </w:tcPr>
          <w:p w14:paraId="6F500A40" w14:textId="77777777" w:rsidR="009830CB" w:rsidRPr="00902601" w:rsidRDefault="009830CB" w:rsidP="009830CB">
            <w:pPr>
              <w:rPr>
                <w:highlight w:val="green"/>
                <w:lang w:val="en-CA"/>
              </w:rPr>
            </w:pPr>
          </w:p>
        </w:tc>
        <w:tc>
          <w:tcPr>
            <w:tcW w:w="340" w:type="dxa"/>
            <w:shd w:val="clear" w:color="auto" w:fill="D0CECE" w:themeFill="background2" w:themeFillShade="E6"/>
          </w:tcPr>
          <w:p w14:paraId="6CA624D8" w14:textId="77777777" w:rsidR="009830CB" w:rsidRPr="00902601" w:rsidRDefault="009830CB" w:rsidP="009830CB">
            <w:pPr>
              <w:rPr>
                <w:highlight w:val="green"/>
                <w:lang w:val="en-CA"/>
              </w:rPr>
            </w:pPr>
          </w:p>
        </w:tc>
        <w:tc>
          <w:tcPr>
            <w:tcW w:w="340" w:type="dxa"/>
            <w:shd w:val="clear" w:color="auto" w:fill="D0CECE" w:themeFill="background2" w:themeFillShade="E6"/>
          </w:tcPr>
          <w:p w14:paraId="3CE06C61" w14:textId="77777777" w:rsidR="009830CB" w:rsidRPr="00902601" w:rsidRDefault="009830CB" w:rsidP="009830CB">
            <w:pPr>
              <w:rPr>
                <w:highlight w:val="green"/>
                <w:lang w:val="en-CA"/>
              </w:rPr>
            </w:pPr>
          </w:p>
        </w:tc>
        <w:tc>
          <w:tcPr>
            <w:tcW w:w="340" w:type="dxa"/>
            <w:shd w:val="clear" w:color="auto" w:fill="D0CECE" w:themeFill="background2" w:themeFillShade="E6"/>
          </w:tcPr>
          <w:p w14:paraId="08AA8D19" w14:textId="77777777" w:rsidR="009830CB" w:rsidRPr="00902601" w:rsidRDefault="009830CB" w:rsidP="009830CB">
            <w:pPr>
              <w:rPr>
                <w:highlight w:val="green"/>
                <w:lang w:val="en-CA"/>
              </w:rPr>
            </w:pPr>
          </w:p>
        </w:tc>
        <w:tc>
          <w:tcPr>
            <w:tcW w:w="340" w:type="dxa"/>
            <w:shd w:val="clear" w:color="auto" w:fill="D0CECE" w:themeFill="background2" w:themeFillShade="E6"/>
          </w:tcPr>
          <w:p w14:paraId="11F3B2FB" w14:textId="77777777" w:rsidR="009830CB" w:rsidRPr="00902601" w:rsidRDefault="009830CB" w:rsidP="009830CB">
            <w:pPr>
              <w:rPr>
                <w:highlight w:val="green"/>
                <w:lang w:val="en-CA"/>
              </w:rPr>
            </w:pPr>
          </w:p>
        </w:tc>
        <w:tc>
          <w:tcPr>
            <w:tcW w:w="340" w:type="dxa"/>
            <w:shd w:val="clear" w:color="auto" w:fill="D0CECE" w:themeFill="background2" w:themeFillShade="E6"/>
          </w:tcPr>
          <w:p w14:paraId="4D25F1D1" w14:textId="77777777" w:rsidR="009830CB" w:rsidRPr="00902601" w:rsidRDefault="009830CB" w:rsidP="009830CB">
            <w:pPr>
              <w:rPr>
                <w:highlight w:val="green"/>
                <w:lang w:val="en-CA"/>
              </w:rPr>
            </w:pPr>
          </w:p>
        </w:tc>
        <w:tc>
          <w:tcPr>
            <w:tcW w:w="340" w:type="dxa"/>
            <w:shd w:val="clear" w:color="auto" w:fill="D0CECE" w:themeFill="background2" w:themeFillShade="E6"/>
          </w:tcPr>
          <w:p w14:paraId="43BAC654" w14:textId="77777777" w:rsidR="009830CB" w:rsidRPr="00902601" w:rsidRDefault="009830CB" w:rsidP="009830CB">
            <w:pPr>
              <w:rPr>
                <w:highlight w:val="green"/>
                <w:lang w:val="en-CA"/>
              </w:rPr>
            </w:pPr>
          </w:p>
        </w:tc>
        <w:tc>
          <w:tcPr>
            <w:tcW w:w="340" w:type="dxa"/>
            <w:shd w:val="clear" w:color="auto" w:fill="D0CECE" w:themeFill="background2" w:themeFillShade="E6"/>
          </w:tcPr>
          <w:p w14:paraId="6F575177" w14:textId="77777777" w:rsidR="009830CB" w:rsidRPr="00902601" w:rsidRDefault="009830CB" w:rsidP="009830CB">
            <w:pPr>
              <w:rPr>
                <w:highlight w:val="green"/>
                <w:lang w:val="en-CA"/>
              </w:rPr>
            </w:pPr>
          </w:p>
        </w:tc>
      </w:tr>
      <w:tr w:rsidR="005979FD" w:rsidRPr="00902601" w14:paraId="23D81AAF" w14:textId="77777777" w:rsidTr="00CC2FAC">
        <w:trPr>
          <w:jc w:val="center"/>
        </w:trPr>
        <w:tc>
          <w:tcPr>
            <w:tcW w:w="5670" w:type="dxa"/>
            <w:shd w:val="clear" w:color="auto" w:fill="auto"/>
          </w:tcPr>
          <w:p w14:paraId="02311AA3" w14:textId="55A50E2F" w:rsidR="009830CB" w:rsidRPr="00902601" w:rsidRDefault="009830CB" w:rsidP="00755BF9">
            <w:pPr>
              <w:spacing w:after="0"/>
              <w:contextualSpacing/>
              <w:rPr>
                <w:rFonts w:eastAsia="Calibri"/>
                <w:sz w:val="16"/>
                <w:szCs w:val="16"/>
                <w:highlight w:val="green"/>
                <w:lang w:val="en-CA"/>
              </w:rPr>
            </w:pPr>
            <w:r w:rsidRPr="00755BF9">
              <w:rPr>
                <w:rFonts w:asciiTheme="minorHAnsi" w:hAnsiTheme="minorHAnsi" w:cstheme="minorHAnsi"/>
                <w:sz w:val="16"/>
                <w:szCs w:val="16"/>
                <w:highlight w:val="green"/>
              </w:rPr>
              <w:t xml:space="preserve">Stakeholder consultation for ESMF M&amp;E and update </w:t>
            </w:r>
          </w:p>
        </w:tc>
        <w:tc>
          <w:tcPr>
            <w:tcW w:w="340" w:type="dxa"/>
            <w:shd w:val="clear" w:color="auto" w:fill="auto"/>
          </w:tcPr>
          <w:p w14:paraId="30D784C1" w14:textId="77777777" w:rsidR="009830CB" w:rsidRPr="00902601" w:rsidRDefault="009830CB" w:rsidP="009830CB">
            <w:pPr>
              <w:rPr>
                <w:highlight w:val="green"/>
                <w:lang w:val="en-CA"/>
              </w:rPr>
            </w:pPr>
          </w:p>
        </w:tc>
        <w:tc>
          <w:tcPr>
            <w:tcW w:w="340" w:type="dxa"/>
            <w:shd w:val="clear" w:color="auto" w:fill="auto"/>
          </w:tcPr>
          <w:p w14:paraId="570CBA07" w14:textId="77777777" w:rsidR="009830CB" w:rsidRPr="00902601" w:rsidRDefault="009830CB" w:rsidP="009830CB">
            <w:pPr>
              <w:rPr>
                <w:highlight w:val="green"/>
                <w:lang w:val="en-CA"/>
              </w:rPr>
            </w:pPr>
          </w:p>
        </w:tc>
        <w:tc>
          <w:tcPr>
            <w:tcW w:w="340" w:type="dxa"/>
            <w:shd w:val="clear" w:color="auto" w:fill="D9D9D9" w:themeFill="background1" w:themeFillShade="D9"/>
          </w:tcPr>
          <w:p w14:paraId="1E498E30" w14:textId="77777777" w:rsidR="009830CB" w:rsidRPr="00902601" w:rsidRDefault="009830CB" w:rsidP="009830CB">
            <w:pPr>
              <w:rPr>
                <w:highlight w:val="green"/>
                <w:lang w:val="en-CA"/>
              </w:rPr>
            </w:pPr>
          </w:p>
        </w:tc>
        <w:tc>
          <w:tcPr>
            <w:tcW w:w="340" w:type="dxa"/>
            <w:shd w:val="clear" w:color="auto" w:fill="D9D9D9" w:themeFill="background1" w:themeFillShade="D9"/>
          </w:tcPr>
          <w:p w14:paraId="06E093A5" w14:textId="77777777" w:rsidR="009830CB" w:rsidRPr="00902601" w:rsidRDefault="009830CB" w:rsidP="009830CB">
            <w:pPr>
              <w:rPr>
                <w:highlight w:val="green"/>
                <w:lang w:val="en-CA"/>
              </w:rPr>
            </w:pPr>
          </w:p>
        </w:tc>
        <w:tc>
          <w:tcPr>
            <w:tcW w:w="340" w:type="dxa"/>
            <w:shd w:val="clear" w:color="auto" w:fill="FFFFFF" w:themeFill="background1"/>
          </w:tcPr>
          <w:p w14:paraId="708CCA00" w14:textId="77777777" w:rsidR="009830CB" w:rsidRPr="00902601" w:rsidRDefault="009830CB" w:rsidP="009830CB">
            <w:pPr>
              <w:rPr>
                <w:highlight w:val="green"/>
                <w:lang w:val="en-CA"/>
              </w:rPr>
            </w:pPr>
          </w:p>
        </w:tc>
        <w:tc>
          <w:tcPr>
            <w:tcW w:w="340" w:type="dxa"/>
            <w:shd w:val="clear" w:color="auto" w:fill="FFFFFF" w:themeFill="background1"/>
          </w:tcPr>
          <w:p w14:paraId="642E5084" w14:textId="77777777" w:rsidR="009830CB" w:rsidRPr="00902601" w:rsidRDefault="009830CB" w:rsidP="009830CB">
            <w:pPr>
              <w:rPr>
                <w:highlight w:val="green"/>
                <w:lang w:val="en-CA"/>
              </w:rPr>
            </w:pPr>
          </w:p>
        </w:tc>
        <w:tc>
          <w:tcPr>
            <w:tcW w:w="340" w:type="dxa"/>
            <w:shd w:val="clear" w:color="auto" w:fill="D9D9D9" w:themeFill="background1" w:themeFillShade="D9"/>
          </w:tcPr>
          <w:p w14:paraId="5FD3D528" w14:textId="77777777" w:rsidR="009830CB" w:rsidRPr="00902601" w:rsidRDefault="009830CB" w:rsidP="009830CB">
            <w:pPr>
              <w:rPr>
                <w:highlight w:val="green"/>
                <w:lang w:val="en-CA"/>
              </w:rPr>
            </w:pPr>
          </w:p>
        </w:tc>
        <w:tc>
          <w:tcPr>
            <w:tcW w:w="340" w:type="dxa"/>
            <w:shd w:val="clear" w:color="auto" w:fill="D9D9D9" w:themeFill="background1" w:themeFillShade="D9"/>
          </w:tcPr>
          <w:p w14:paraId="5CA54D60" w14:textId="77777777" w:rsidR="009830CB" w:rsidRPr="00902601" w:rsidRDefault="009830CB" w:rsidP="009830CB">
            <w:pPr>
              <w:rPr>
                <w:highlight w:val="green"/>
                <w:lang w:val="en-CA"/>
              </w:rPr>
            </w:pPr>
          </w:p>
        </w:tc>
        <w:tc>
          <w:tcPr>
            <w:tcW w:w="340" w:type="dxa"/>
            <w:shd w:val="clear" w:color="auto" w:fill="FFFFFF" w:themeFill="background1"/>
          </w:tcPr>
          <w:p w14:paraId="4C9640A7" w14:textId="77777777" w:rsidR="009830CB" w:rsidRPr="00902601" w:rsidRDefault="009830CB" w:rsidP="009830CB">
            <w:pPr>
              <w:rPr>
                <w:highlight w:val="green"/>
                <w:lang w:val="en-CA"/>
              </w:rPr>
            </w:pPr>
          </w:p>
        </w:tc>
        <w:tc>
          <w:tcPr>
            <w:tcW w:w="340" w:type="dxa"/>
            <w:shd w:val="clear" w:color="auto" w:fill="FFFFFF" w:themeFill="background1"/>
          </w:tcPr>
          <w:p w14:paraId="3B3B2C45" w14:textId="77777777" w:rsidR="009830CB" w:rsidRPr="00902601" w:rsidRDefault="009830CB" w:rsidP="009830CB">
            <w:pPr>
              <w:rPr>
                <w:highlight w:val="green"/>
                <w:lang w:val="en-CA"/>
              </w:rPr>
            </w:pPr>
          </w:p>
        </w:tc>
        <w:tc>
          <w:tcPr>
            <w:tcW w:w="340" w:type="dxa"/>
            <w:shd w:val="clear" w:color="auto" w:fill="D9D9D9" w:themeFill="background1" w:themeFillShade="D9"/>
          </w:tcPr>
          <w:p w14:paraId="681E3898" w14:textId="77777777" w:rsidR="009830CB" w:rsidRPr="00902601" w:rsidRDefault="009830CB" w:rsidP="009830CB">
            <w:pPr>
              <w:rPr>
                <w:highlight w:val="green"/>
                <w:lang w:val="en-CA"/>
              </w:rPr>
            </w:pPr>
          </w:p>
        </w:tc>
        <w:tc>
          <w:tcPr>
            <w:tcW w:w="340" w:type="dxa"/>
            <w:shd w:val="clear" w:color="auto" w:fill="D9D9D9" w:themeFill="background1" w:themeFillShade="D9"/>
          </w:tcPr>
          <w:p w14:paraId="6A6DFDC7" w14:textId="77777777" w:rsidR="009830CB" w:rsidRPr="00902601" w:rsidRDefault="009830CB" w:rsidP="009830CB">
            <w:pPr>
              <w:rPr>
                <w:highlight w:val="green"/>
                <w:lang w:val="en-CA"/>
              </w:rPr>
            </w:pPr>
          </w:p>
        </w:tc>
        <w:tc>
          <w:tcPr>
            <w:tcW w:w="340" w:type="dxa"/>
            <w:shd w:val="clear" w:color="auto" w:fill="FFFFFF" w:themeFill="background1"/>
          </w:tcPr>
          <w:p w14:paraId="18AD9DFA" w14:textId="77777777" w:rsidR="009830CB" w:rsidRPr="00902601" w:rsidRDefault="009830CB" w:rsidP="009830CB">
            <w:pPr>
              <w:rPr>
                <w:highlight w:val="green"/>
                <w:lang w:val="en-CA"/>
              </w:rPr>
            </w:pPr>
          </w:p>
        </w:tc>
        <w:tc>
          <w:tcPr>
            <w:tcW w:w="340" w:type="dxa"/>
            <w:shd w:val="clear" w:color="auto" w:fill="FFFFFF" w:themeFill="background1"/>
          </w:tcPr>
          <w:p w14:paraId="57923BC3" w14:textId="77777777" w:rsidR="009830CB" w:rsidRPr="00902601" w:rsidRDefault="009830CB" w:rsidP="009830CB">
            <w:pPr>
              <w:rPr>
                <w:highlight w:val="green"/>
                <w:lang w:val="en-CA"/>
              </w:rPr>
            </w:pPr>
          </w:p>
        </w:tc>
        <w:tc>
          <w:tcPr>
            <w:tcW w:w="340" w:type="dxa"/>
            <w:shd w:val="clear" w:color="auto" w:fill="D9D9D9" w:themeFill="background1" w:themeFillShade="D9"/>
          </w:tcPr>
          <w:p w14:paraId="200B8DAB" w14:textId="77777777" w:rsidR="009830CB" w:rsidRPr="00902601" w:rsidRDefault="009830CB" w:rsidP="009830CB">
            <w:pPr>
              <w:rPr>
                <w:highlight w:val="green"/>
                <w:lang w:val="en-CA"/>
              </w:rPr>
            </w:pPr>
          </w:p>
        </w:tc>
        <w:tc>
          <w:tcPr>
            <w:tcW w:w="340" w:type="dxa"/>
            <w:shd w:val="clear" w:color="auto" w:fill="D9D9D9" w:themeFill="background1" w:themeFillShade="D9"/>
          </w:tcPr>
          <w:p w14:paraId="7646AD30" w14:textId="77777777" w:rsidR="009830CB" w:rsidRPr="00902601" w:rsidRDefault="009830CB" w:rsidP="009830CB">
            <w:pPr>
              <w:rPr>
                <w:highlight w:val="green"/>
                <w:lang w:val="en-CA"/>
              </w:rPr>
            </w:pPr>
          </w:p>
        </w:tc>
        <w:tc>
          <w:tcPr>
            <w:tcW w:w="340" w:type="dxa"/>
            <w:shd w:val="clear" w:color="auto" w:fill="FFFFFF" w:themeFill="background1"/>
          </w:tcPr>
          <w:p w14:paraId="106F0300" w14:textId="77777777" w:rsidR="009830CB" w:rsidRPr="00902601" w:rsidRDefault="009830CB" w:rsidP="009830CB">
            <w:pPr>
              <w:rPr>
                <w:highlight w:val="green"/>
                <w:lang w:val="en-CA"/>
              </w:rPr>
            </w:pPr>
          </w:p>
        </w:tc>
        <w:tc>
          <w:tcPr>
            <w:tcW w:w="340" w:type="dxa"/>
            <w:shd w:val="clear" w:color="auto" w:fill="FFFFFF" w:themeFill="background1"/>
          </w:tcPr>
          <w:p w14:paraId="0DD2D485" w14:textId="77777777" w:rsidR="009830CB" w:rsidRPr="00902601" w:rsidRDefault="009830CB" w:rsidP="009830CB">
            <w:pPr>
              <w:rPr>
                <w:highlight w:val="green"/>
                <w:lang w:val="en-CA"/>
              </w:rPr>
            </w:pPr>
          </w:p>
        </w:tc>
        <w:tc>
          <w:tcPr>
            <w:tcW w:w="340" w:type="dxa"/>
            <w:shd w:val="clear" w:color="auto" w:fill="D9D9D9" w:themeFill="background1" w:themeFillShade="D9"/>
          </w:tcPr>
          <w:p w14:paraId="6C2FAAA9" w14:textId="77777777" w:rsidR="009830CB" w:rsidRPr="00902601" w:rsidRDefault="009830CB" w:rsidP="009830CB">
            <w:pPr>
              <w:rPr>
                <w:highlight w:val="green"/>
                <w:lang w:val="en-CA"/>
              </w:rPr>
            </w:pPr>
          </w:p>
        </w:tc>
        <w:tc>
          <w:tcPr>
            <w:tcW w:w="340" w:type="dxa"/>
            <w:shd w:val="clear" w:color="auto" w:fill="D9D9D9" w:themeFill="background1" w:themeFillShade="D9"/>
          </w:tcPr>
          <w:p w14:paraId="7BB30602" w14:textId="77777777" w:rsidR="009830CB" w:rsidRPr="00902601" w:rsidRDefault="009830CB" w:rsidP="009830CB">
            <w:pPr>
              <w:rPr>
                <w:highlight w:val="green"/>
                <w:lang w:val="en-CA"/>
              </w:rPr>
            </w:pPr>
          </w:p>
        </w:tc>
        <w:tc>
          <w:tcPr>
            <w:tcW w:w="340" w:type="dxa"/>
            <w:shd w:val="clear" w:color="auto" w:fill="FFFFFF" w:themeFill="background1"/>
          </w:tcPr>
          <w:p w14:paraId="1DFA7B3B" w14:textId="77777777" w:rsidR="009830CB" w:rsidRPr="00902601" w:rsidRDefault="009830CB" w:rsidP="009830CB">
            <w:pPr>
              <w:rPr>
                <w:highlight w:val="green"/>
                <w:lang w:val="en-CA"/>
              </w:rPr>
            </w:pPr>
          </w:p>
        </w:tc>
        <w:tc>
          <w:tcPr>
            <w:tcW w:w="340" w:type="dxa"/>
            <w:shd w:val="clear" w:color="auto" w:fill="FFFFFF" w:themeFill="background1"/>
          </w:tcPr>
          <w:p w14:paraId="2D564DB1" w14:textId="77777777" w:rsidR="009830CB" w:rsidRPr="00902601" w:rsidRDefault="009830CB" w:rsidP="009830CB">
            <w:pPr>
              <w:rPr>
                <w:highlight w:val="green"/>
                <w:lang w:val="en-CA"/>
              </w:rPr>
            </w:pPr>
          </w:p>
        </w:tc>
        <w:tc>
          <w:tcPr>
            <w:tcW w:w="340" w:type="dxa"/>
            <w:shd w:val="clear" w:color="auto" w:fill="D9D9D9" w:themeFill="background1" w:themeFillShade="D9"/>
          </w:tcPr>
          <w:p w14:paraId="62EF4F2C" w14:textId="77777777" w:rsidR="009830CB" w:rsidRPr="00902601" w:rsidRDefault="009830CB" w:rsidP="009830CB">
            <w:pPr>
              <w:rPr>
                <w:highlight w:val="green"/>
                <w:lang w:val="en-CA"/>
              </w:rPr>
            </w:pPr>
          </w:p>
        </w:tc>
        <w:tc>
          <w:tcPr>
            <w:tcW w:w="340" w:type="dxa"/>
            <w:shd w:val="clear" w:color="auto" w:fill="D9D9D9" w:themeFill="background1" w:themeFillShade="D9"/>
          </w:tcPr>
          <w:p w14:paraId="11BD3CF4" w14:textId="77777777" w:rsidR="009830CB" w:rsidRPr="00902601" w:rsidRDefault="009830CB" w:rsidP="009830CB">
            <w:pPr>
              <w:rPr>
                <w:highlight w:val="green"/>
                <w:lang w:val="en-CA"/>
              </w:rPr>
            </w:pPr>
          </w:p>
        </w:tc>
      </w:tr>
      <w:tr w:rsidR="005979FD" w:rsidRPr="007F4D35" w14:paraId="44AB8944" w14:textId="77777777" w:rsidTr="00CC2FAC">
        <w:trPr>
          <w:jc w:val="center"/>
        </w:trPr>
        <w:tc>
          <w:tcPr>
            <w:tcW w:w="5670" w:type="dxa"/>
            <w:shd w:val="clear" w:color="auto" w:fill="auto"/>
          </w:tcPr>
          <w:p w14:paraId="0911DD49" w14:textId="7188D0AB" w:rsidR="009830CB" w:rsidRPr="009830CB" w:rsidRDefault="009830CB" w:rsidP="00755BF9">
            <w:pPr>
              <w:spacing w:after="0"/>
              <w:contextualSpacing/>
              <w:rPr>
                <w:rFonts w:eastAsia="Calibri"/>
                <w:sz w:val="16"/>
                <w:szCs w:val="16"/>
                <w:lang w:val="en-CA"/>
              </w:rPr>
            </w:pPr>
            <w:r w:rsidRPr="00755BF9">
              <w:rPr>
                <w:rFonts w:asciiTheme="minorHAnsi" w:hAnsiTheme="minorHAnsi" w:cstheme="minorHAnsi"/>
                <w:sz w:val="16"/>
                <w:szCs w:val="16"/>
                <w:highlight w:val="green"/>
              </w:rPr>
              <w:t>Project Steering Committee meeting for Safeguards M&amp;E</w:t>
            </w:r>
          </w:p>
        </w:tc>
        <w:tc>
          <w:tcPr>
            <w:tcW w:w="340" w:type="dxa"/>
            <w:shd w:val="clear" w:color="auto" w:fill="auto"/>
          </w:tcPr>
          <w:p w14:paraId="0D62E01C" w14:textId="77777777" w:rsidR="009830CB" w:rsidRPr="007F4D35" w:rsidRDefault="009830CB" w:rsidP="009830CB">
            <w:pPr>
              <w:rPr>
                <w:lang w:val="en-CA"/>
              </w:rPr>
            </w:pPr>
          </w:p>
        </w:tc>
        <w:tc>
          <w:tcPr>
            <w:tcW w:w="340" w:type="dxa"/>
            <w:shd w:val="clear" w:color="auto" w:fill="FFFFFF" w:themeFill="background1"/>
          </w:tcPr>
          <w:p w14:paraId="253C5A8E" w14:textId="77777777" w:rsidR="009830CB" w:rsidRPr="007F4D35" w:rsidRDefault="009830CB" w:rsidP="009830CB">
            <w:pPr>
              <w:rPr>
                <w:lang w:val="en-CA"/>
              </w:rPr>
            </w:pPr>
          </w:p>
        </w:tc>
        <w:tc>
          <w:tcPr>
            <w:tcW w:w="340" w:type="dxa"/>
            <w:shd w:val="clear" w:color="auto" w:fill="D9D9D9" w:themeFill="background1" w:themeFillShade="D9"/>
          </w:tcPr>
          <w:p w14:paraId="176ABEE6" w14:textId="77777777" w:rsidR="009830CB" w:rsidRPr="007F4D35" w:rsidRDefault="009830CB" w:rsidP="009830CB">
            <w:pPr>
              <w:rPr>
                <w:lang w:val="en-CA"/>
              </w:rPr>
            </w:pPr>
          </w:p>
        </w:tc>
        <w:tc>
          <w:tcPr>
            <w:tcW w:w="340" w:type="dxa"/>
            <w:shd w:val="clear" w:color="auto" w:fill="D9D9D9" w:themeFill="background1" w:themeFillShade="D9"/>
          </w:tcPr>
          <w:p w14:paraId="752A31B4" w14:textId="77777777" w:rsidR="009830CB" w:rsidRPr="007F4D35" w:rsidRDefault="009830CB" w:rsidP="009830CB">
            <w:pPr>
              <w:rPr>
                <w:lang w:val="en-CA"/>
              </w:rPr>
            </w:pPr>
          </w:p>
        </w:tc>
        <w:tc>
          <w:tcPr>
            <w:tcW w:w="340" w:type="dxa"/>
            <w:shd w:val="clear" w:color="auto" w:fill="FFFFFF" w:themeFill="background1"/>
          </w:tcPr>
          <w:p w14:paraId="6EC1B069" w14:textId="77777777" w:rsidR="009830CB" w:rsidRPr="007F4D35" w:rsidRDefault="009830CB" w:rsidP="009830CB">
            <w:pPr>
              <w:rPr>
                <w:lang w:val="en-CA"/>
              </w:rPr>
            </w:pPr>
          </w:p>
        </w:tc>
        <w:tc>
          <w:tcPr>
            <w:tcW w:w="340" w:type="dxa"/>
            <w:shd w:val="clear" w:color="auto" w:fill="FFFFFF" w:themeFill="background1"/>
          </w:tcPr>
          <w:p w14:paraId="1799AD40" w14:textId="77777777" w:rsidR="009830CB" w:rsidRPr="007F4D35" w:rsidRDefault="009830CB" w:rsidP="009830CB">
            <w:pPr>
              <w:rPr>
                <w:lang w:val="en-CA"/>
              </w:rPr>
            </w:pPr>
          </w:p>
        </w:tc>
        <w:tc>
          <w:tcPr>
            <w:tcW w:w="340" w:type="dxa"/>
            <w:shd w:val="clear" w:color="auto" w:fill="D9D9D9" w:themeFill="background1" w:themeFillShade="D9"/>
          </w:tcPr>
          <w:p w14:paraId="7D982286" w14:textId="77777777" w:rsidR="009830CB" w:rsidRPr="007F4D35" w:rsidRDefault="009830CB" w:rsidP="009830CB">
            <w:pPr>
              <w:rPr>
                <w:lang w:val="en-CA"/>
              </w:rPr>
            </w:pPr>
          </w:p>
        </w:tc>
        <w:tc>
          <w:tcPr>
            <w:tcW w:w="340" w:type="dxa"/>
            <w:shd w:val="clear" w:color="auto" w:fill="D9D9D9" w:themeFill="background1" w:themeFillShade="D9"/>
          </w:tcPr>
          <w:p w14:paraId="50716A50" w14:textId="77777777" w:rsidR="009830CB" w:rsidRPr="007F4D35" w:rsidRDefault="009830CB" w:rsidP="009830CB">
            <w:pPr>
              <w:rPr>
                <w:lang w:val="en-CA"/>
              </w:rPr>
            </w:pPr>
          </w:p>
        </w:tc>
        <w:tc>
          <w:tcPr>
            <w:tcW w:w="340" w:type="dxa"/>
            <w:shd w:val="clear" w:color="auto" w:fill="FFFFFF" w:themeFill="background1"/>
          </w:tcPr>
          <w:p w14:paraId="2A084DD0" w14:textId="77777777" w:rsidR="009830CB" w:rsidRPr="007F4D35" w:rsidRDefault="009830CB" w:rsidP="009830CB">
            <w:pPr>
              <w:rPr>
                <w:lang w:val="en-CA"/>
              </w:rPr>
            </w:pPr>
          </w:p>
        </w:tc>
        <w:tc>
          <w:tcPr>
            <w:tcW w:w="340" w:type="dxa"/>
            <w:shd w:val="clear" w:color="auto" w:fill="FFFFFF" w:themeFill="background1"/>
          </w:tcPr>
          <w:p w14:paraId="1B9DFABC" w14:textId="77777777" w:rsidR="009830CB" w:rsidRPr="007F4D35" w:rsidRDefault="009830CB" w:rsidP="009830CB">
            <w:pPr>
              <w:rPr>
                <w:lang w:val="en-CA"/>
              </w:rPr>
            </w:pPr>
          </w:p>
        </w:tc>
        <w:tc>
          <w:tcPr>
            <w:tcW w:w="340" w:type="dxa"/>
            <w:shd w:val="clear" w:color="auto" w:fill="D9D9D9" w:themeFill="background1" w:themeFillShade="D9"/>
          </w:tcPr>
          <w:p w14:paraId="16A8AD6E" w14:textId="77777777" w:rsidR="009830CB" w:rsidRPr="007F4D35" w:rsidRDefault="009830CB" w:rsidP="009830CB">
            <w:pPr>
              <w:rPr>
                <w:lang w:val="en-CA"/>
              </w:rPr>
            </w:pPr>
          </w:p>
        </w:tc>
        <w:tc>
          <w:tcPr>
            <w:tcW w:w="340" w:type="dxa"/>
            <w:shd w:val="clear" w:color="auto" w:fill="D9D9D9" w:themeFill="background1" w:themeFillShade="D9"/>
          </w:tcPr>
          <w:p w14:paraId="6012121A" w14:textId="77777777" w:rsidR="009830CB" w:rsidRPr="007F4D35" w:rsidRDefault="009830CB" w:rsidP="009830CB">
            <w:pPr>
              <w:rPr>
                <w:lang w:val="en-CA"/>
              </w:rPr>
            </w:pPr>
          </w:p>
        </w:tc>
        <w:tc>
          <w:tcPr>
            <w:tcW w:w="340" w:type="dxa"/>
            <w:shd w:val="clear" w:color="auto" w:fill="FFFFFF" w:themeFill="background1"/>
          </w:tcPr>
          <w:p w14:paraId="304D51AD" w14:textId="77777777" w:rsidR="009830CB" w:rsidRPr="007F4D35" w:rsidRDefault="009830CB" w:rsidP="009830CB">
            <w:pPr>
              <w:rPr>
                <w:lang w:val="en-CA"/>
              </w:rPr>
            </w:pPr>
          </w:p>
        </w:tc>
        <w:tc>
          <w:tcPr>
            <w:tcW w:w="340" w:type="dxa"/>
            <w:shd w:val="clear" w:color="auto" w:fill="FFFFFF" w:themeFill="background1"/>
          </w:tcPr>
          <w:p w14:paraId="214338B6" w14:textId="77777777" w:rsidR="009830CB" w:rsidRPr="007F4D35" w:rsidRDefault="009830CB" w:rsidP="009830CB">
            <w:pPr>
              <w:rPr>
                <w:lang w:val="en-CA"/>
              </w:rPr>
            </w:pPr>
          </w:p>
        </w:tc>
        <w:tc>
          <w:tcPr>
            <w:tcW w:w="340" w:type="dxa"/>
            <w:shd w:val="clear" w:color="auto" w:fill="D9D9D9" w:themeFill="background1" w:themeFillShade="D9"/>
          </w:tcPr>
          <w:p w14:paraId="2AE34FF2" w14:textId="77777777" w:rsidR="009830CB" w:rsidRPr="007F4D35" w:rsidRDefault="009830CB" w:rsidP="009830CB">
            <w:pPr>
              <w:rPr>
                <w:lang w:val="en-CA"/>
              </w:rPr>
            </w:pPr>
          </w:p>
        </w:tc>
        <w:tc>
          <w:tcPr>
            <w:tcW w:w="340" w:type="dxa"/>
            <w:shd w:val="clear" w:color="auto" w:fill="D9D9D9" w:themeFill="background1" w:themeFillShade="D9"/>
          </w:tcPr>
          <w:p w14:paraId="6D7EC8BC" w14:textId="77777777" w:rsidR="009830CB" w:rsidRPr="007F4D35" w:rsidRDefault="009830CB" w:rsidP="009830CB">
            <w:pPr>
              <w:rPr>
                <w:lang w:val="en-CA"/>
              </w:rPr>
            </w:pPr>
          </w:p>
        </w:tc>
        <w:tc>
          <w:tcPr>
            <w:tcW w:w="340" w:type="dxa"/>
            <w:shd w:val="clear" w:color="auto" w:fill="FFFFFF" w:themeFill="background1"/>
          </w:tcPr>
          <w:p w14:paraId="33E7BBA0" w14:textId="77777777" w:rsidR="009830CB" w:rsidRPr="007F4D35" w:rsidRDefault="009830CB" w:rsidP="009830CB">
            <w:pPr>
              <w:rPr>
                <w:lang w:val="en-CA"/>
              </w:rPr>
            </w:pPr>
          </w:p>
        </w:tc>
        <w:tc>
          <w:tcPr>
            <w:tcW w:w="340" w:type="dxa"/>
            <w:shd w:val="clear" w:color="auto" w:fill="FFFFFF" w:themeFill="background1"/>
          </w:tcPr>
          <w:p w14:paraId="5C15AF2E" w14:textId="77777777" w:rsidR="009830CB" w:rsidRPr="007F4D35" w:rsidRDefault="009830CB" w:rsidP="009830CB">
            <w:pPr>
              <w:rPr>
                <w:lang w:val="en-CA"/>
              </w:rPr>
            </w:pPr>
          </w:p>
        </w:tc>
        <w:tc>
          <w:tcPr>
            <w:tcW w:w="340" w:type="dxa"/>
            <w:shd w:val="clear" w:color="auto" w:fill="D9D9D9" w:themeFill="background1" w:themeFillShade="D9"/>
          </w:tcPr>
          <w:p w14:paraId="46EE718B" w14:textId="77777777" w:rsidR="009830CB" w:rsidRPr="007F4D35" w:rsidRDefault="009830CB" w:rsidP="009830CB">
            <w:pPr>
              <w:rPr>
                <w:lang w:val="en-CA"/>
              </w:rPr>
            </w:pPr>
          </w:p>
        </w:tc>
        <w:tc>
          <w:tcPr>
            <w:tcW w:w="340" w:type="dxa"/>
            <w:shd w:val="clear" w:color="auto" w:fill="D9D9D9" w:themeFill="background1" w:themeFillShade="D9"/>
          </w:tcPr>
          <w:p w14:paraId="4486C8AC" w14:textId="77777777" w:rsidR="009830CB" w:rsidRPr="007F4D35" w:rsidRDefault="009830CB" w:rsidP="009830CB">
            <w:pPr>
              <w:rPr>
                <w:lang w:val="en-CA"/>
              </w:rPr>
            </w:pPr>
          </w:p>
        </w:tc>
        <w:tc>
          <w:tcPr>
            <w:tcW w:w="340" w:type="dxa"/>
            <w:shd w:val="clear" w:color="auto" w:fill="FFFFFF" w:themeFill="background1"/>
          </w:tcPr>
          <w:p w14:paraId="01CD4CE6" w14:textId="77777777" w:rsidR="009830CB" w:rsidRPr="007F4D35" w:rsidRDefault="009830CB" w:rsidP="009830CB">
            <w:pPr>
              <w:rPr>
                <w:lang w:val="en-CA"/>
              </w:rPr>
            </w:pPr>
          </w:p>
        </w:tc>
        <w:tc>
          <w:tcPr>
            <w:tcW w:w="340" w:type="dxa"/>
            <w:shd w:val="clear" w:color="auto" w:fill="FFFFFF" w:themeFill="background1"/>
          </w:tcPr>
          <w:p w14:paraId="3C0BC1F0" w14:textId="77777777" w:rsidR="009830CB" w:rsidRPr="007F4D35" w:rsidRDefault="009830CB" w:rsidP="009830CB">
            <w:pPr>
              <w:rPr>
                <w:lang w:val="en-CA"/>
              </w:rPr>
            </w:pPr>
          </w:p>
        </w:tc>
        <w:tc>
          <w:tcPr>
            <w:tcW w:w="340" w:type="dxa"/>
            <w:shd w:val="clear" w:color="auto" w:fill="D9D9D9" w:themeFill="background1" w:themeFillShade="D9"/>
          </w:tcPr>
          <w:p w14:paraId="2A1BD860" w14:textId="77777777" w:rsidR="009830CB" w:rsidRPr="007F4D35" w:rsidRDefault="009830CB" w:rsidP="009830CB">
            <w:pPr>
              <w:rPr>
                <w:lang w:val="en-CA"/>
              </w:rPr>
            </w:pPr>
          </w:p>
        </w:tc>
        <w:tc>
          <w:tcPr>
            <w:tcW w:w="340" w:type="dxa"/>
            <w:shd w:val="clear" w:color="auto" w:fill="D9D9D9" w:themeFill="background1" w:themeFillShade="D9"/>
          </w:tcPr>
          <w:p w14:paraId="0948B099" w14:textId="77777777" w:rsidR="009830CB" w:rsidRPr="007F4D35" w:rsidRDefault="009830CB" w:rsidP="009830CB">
            <w:pPr>
              <w:rPr>
                <w:lang w:val="en-CA"/>
              </w:rPr>
            </w:pPr>
          </w:p>
        </w:tc>
      </w:tr>
      <w:bookmarkEnd w:id="47"/>
    </w:tbl>
    <w:p w14:paraId="252DFC94" w14:textId="77777777" w:rsidR="00302BFE" w:rsidRPr="0093681C" w:rsidRDefault="00302BFE" w:rsidP="00302BFE">
      <w:pPr>
        <w:rPr>
          <w:lang w:val="en-CA"/>
        </w:rPr>
      </w:pPr>
    </w:p>
    <w:p w14:paraId="703F8657" w14:textId="77777777" w:rsidR="00302BFE" w:rsidRPr="001C72D6" w:rsidRDefault="00302BFE" w:rsidP="00302BFE">
      <w:pPr>
        <w:rPr>
          <w:szCs w:val="22"/>
          <w:lang w:val="en-CA"/>
        </w:rPr>
      </w:pPr>
    </w:p>
    <w:p w14:paraId="5011A9DF" w14:textId="77777777" w:rsidR="00302BFE" w:rsidRDefault="00302BFE" w:rsidP="00302BFE">
      <w:pPr>
        <w:pStyle w:val="Titre2"/>
        <w:ind w:left="0"/>
        <w:rPr>
          <w:rFonts w:ascii="Calibri" w:hAnsi="Calibri"/>
          <w:szCs w:val="22"/>
        </w:rPr>
      </w:pPr>
      <w:r>
        <w:rPr>
          <w:b w:val="0"/>
          <w:szCs w:val="22"/>
        </w:rPr>
        <w:br w:type="page"/>
      </w:r>
      <w:bookmarkStart w:id="48" w:name="_Toc9961802"/>
      <w:bookmarkEnd w:id="27"/>
      <w:bookmarkEnd w:id="28"/>
      <w:r w:rsidRPr="00421FD8">
        <w:rPr>
          <w:rFonts w:ascii="Calibri" w:hAnsi="Calibri"/>
          <w:szCs w:val="22"/>
        </w:rPr>
        <w:lastRenderedPageBreak/>
        <w:t>Annex B:  GEF</w:t>
      </w:r>
      <w:r>
        <w:rPr>
          <w:rFonts w:ascii="Calibri" w:hAnsi="Calibri"/>
          <w:szCs w:val="22"/>
        </w:rPr>
        <w:t>-7 Core Indicators</w:t>
      </w:r>
      <w:bookmarkEnd w:id="48"/>
    </w:p>
    <w:p w14:paraId="50AEAA00" w14:textId="77777777" w:rsidR="00302BFE" w:rsidRPr="00287DB0" w:rsidRDefault="00302BFE" w:rsidP="00302BFE">
      <w:pPr>
        <w:jc w:val="center"/>
        <w:rPr>
          <w:rFonts w:ascii="Times New Roman" w:hAnsi="Times New Roman"/>
          <w:b/>
          <w:sz w:val="24"/>
        </w:rPr>
      </w:pPr>
      <w:r w:rsidRPr="00287DB0">
        <w:rPr>
          <w:rFonts w:ascii="Times New Roman" w:hAnsi="Times New Roman"/>
          <w:b/>
          <w:sz w:val="24"/>
        </w:rPr>
        <w:t>GEF Core Indicators at [PIF / CEO ER / MTR / TE]</w:t>
      </w:r>
    </w:p>
    <w:p w14:paraId="57BCA19B" w14:textId="77777777" w:rsidR="00302BFE" w:rsidRDefault="00302BFE" w:rsidP="00302BFE">
      <w:pPr>
        <w:jc w:val="center"/>
        <w:rPr>
          <w:rFonts w:ascii="Times New Roman" w:hAnsi="Times New Roman"/>
        </w:rPr>
      </w:pPr>
      <w:r>
        <w:rPr>
          <w:rFonts w:ascii="Times New Roman" w:hAnsi="Times New Roman"/>
        </w:rPr>
        <w:t>[PIMS 5938] [Burkina Faso]</w:t>
      </w:r>
    </w:p>
    <w:p w14:paraId="7A90AED1" w14:textId="77777777" w:rsidR="00302BFE" w:rsidRDefault="00302BFE" w:rsidP="00302BFE">
      <w:pPr>
        <w:jc w:val="center"/>
        <w:rPr>
          <w:rFonts w:ascii="Times New Roman" w:hAnsi="Times New Roman"/>
        </w:rPr>
      </w:pPr>
      <w:r>
        <w:rPr>
          <w:rFonts w:ascii="Times New Roman" w:hAnsi="Times New Roman"/>
        </w:rPr>
        <w:t>[April 2019]</w:t>
      </w:r>
    </w:p>
    <w:p w14:paraId="1B8F7D44" w14:textId="77777777" w:rsidR="00302BFE" w:rsidRPr="004531FA" w:rsidRDefault="00302BFE" w:rsidP="00302BFE">
      <w:pPr>
        <w:spacing w:before="240" w:after="120"/>
        <w:rPr>
          <w:rFonts w:ascii="Times New Roman" w:eastAsia="Times New Roman" w:hAnsi="Times New Roman"/>
          <w:b/>
          <w:color w:val="000000"/>
          <w:szCs w:val="20"/>
        </w:rPr>
      </w:pPr>
      <w:bookmarkStart w:id="49" w:name="_Toc7991603"/>
      <w:r w:rsidRPr="004531FA">
        <w:rPr>
          <w:rFonts w:ascii="Times New Roman" w:eastAsia="Times New Roman" w:hAnsi="Times New Roman"/>
          <w:b/>
          <w:color w:val="000000"/>
          <w:szCs w:val="20"/>
        </w:rPr>
        <w:t>CORE INDICATOR 1: TERRESTRIAL PROTECTED AREAS CREATED OR UNDER IMPROVED MANAGEMENT FOR CONSERVATION AND SUSTAINABLE USE (HECTARES)</w:t>
      </w:r>
      <w:bookmarkEnd w:id="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551"/>
        <w:gridCol w:w="2410"/>
        <w:gridCol w:w="2020"/>
      </w:tblGrid>
      <w:tr w:rsidR="00302BFE" w:rsidRPr="00E743F0" w14:paraId="1885D4A5" w14:textId="77777777" w:rsidTr="00243B15">
        <w:tc>
          <w:tcPr>
            <w:tcW w:w="2235" w:type="dxa"/>
            <w:shd w:val="clear" w:color="auto" w:fill="4472C4"/>
          </w:tcPr>
          <w:p w14:paraId="6AC55E8F"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Ha (expected at PIF)</w:t>
            </w:r>
          </w:p>
        </w:tc>
        <w:tc>
          <w:tcPr>
            <w:tcW w:w="2551" w:type="dxa"/>
            <w:shd w:val="clear" w:color="auto" w:fill="4472C4"/>
          </w:tcPr>
          <w:p w14:paraId="30C99161"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Ha (expected at CEO ER)</w:t>
            </w:r>
          </w:p>
        </w:tc>
        <w:tc>
          <w:tcPr>
            <w:tcW w:w="2410" w:type="dxa"/>
            <w:shd w:val="clear" w:color="auto" w:fill="4472C4"/>
          </w:tcPr>
          <w:p w14:paraId="3FDB12C6"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Ha (achieved at MTR)</w:t>
            </w:r>
          </w:p>
        </w:tc>
        <w:tc>
          <w:tcPr>
            <w:tcW w:w="2020" w:type="dxa"/>
            <w:shd w:val="clear" w:color="auto" w:fill="4472C4"/>
          </w:tcPr>
          <w:p w14:paraId="526C1C48"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Ha (achieved at TE)</w:t>
            </w:r>
          </w:p>
        </w:tc>
      </w:tr>
      <w:tr w:rsidR="00302BFE" w:rsidRPr="00E743F0" w14:paraId="7D12FC46" w14:textId="77777777" w:rsidTr="00243B15">
        <w:tc>
          <w:tcPr>
            <w:tcW w:w="2235" w:type="dxa"/>
            <w:shd w:val="clear" w:color="auto" w:fill="auto"/>
          </w:tcPr>
          <w:p w14:paraId="613B734A"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436,057</w:t>
            </w:r>
          </w:p>
        </w:tc>
        <w:tc>
          <w:tcPr>
            <w:tcW w:w="2551" w:type="dxa"/>
            <w:shd w:val="clear" w:color="auto" w:fill="auto"/>
          </w:tcPr>
          <w:p w14:paraId="40C2C44F"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354,781</w:t>
            </w:r>
          </w:p>
        </w:tc>
        <w:tc>
          <w:tcPr>
            <w:tcW w:w="2410" w:type="dxa"/>
            <w:shd w:val="clear" w:color="auto" w:fill="auto"/>
          </w:tcPr>
          <w:p w14:paraId="0AF1F028" w14:textId="77777777" w:rsidR="00302BFE" w:rsidRPr="00F166CF" w:rsidRDefault="00302BFE" w:rsidP="00243B15">
            <w:pPr>
              <w:rPr>
                <w:rFonts w:ascii="Times New Roman" w:eastAsia="Times New Roman" w:hAnsi="Times New Roman"/>
                <w:color w:val="000000"/>
                <w:szCs w:val="20"/>
              </w:rPr>
            </w:pPr>
          </w:p>
        </w:tc>
        <w:tc>
          <w:tcPr>
            <w:tcW w:w="2020" w:type="dxa"/>
            <w:shd w:val="clear" w:color="auto" w:fill="auto"/>
          </w:tcPr>
          <w:p w14:paraId="7E96DFC1" w14:textId="77777777" w:rsidR="00302BFE" w:rsidRPr="00F166CF" w:rsidRDefault="00302BFE" w:rsidP="00243B15">
            <w:pPr>
              <w:rPr>
                <w:rFonts w:ascii="Times New Roman" w:eastAsia="Times New Roman" w:hAnsi="Times New Roman"/>
                <w:color w:val="000000"/>
                <w:szCs w:val="20"/>
              </w:rPr>
            </w:pPr>
          </w:p>
        </w:tc>
      </w:tr>
    </w:tbl>
    <w:p w14:paraId="5C6511B9" w14:textId="77777777" w:rsidR="00302BFE" w:rsidRPr="008605A4" w:rsidRDefault="00302BFE" w:rsidP="00302BFE">
      <w:pPr>
        <w:rPr>
          <w:rFonts w:ascii="Times New Roman" w:eastAsia="Times New Roman" w:hAnsi="Times New Roman"/>
          <w:i/>
          <w:color w:val="000000"/>
          <w:sz w:val="18"/>
          <w:szCs w:val="18"/>
        </w:rPr>
      </w:pPr>
      <w:r w:rsidRPr="008605A4">
        <w:rPr>
          <w:rFonts w:ascii="Times New Roman" w:eastAsia="Times New Roman" w:hAnsi="Times New Roman"/>
          <w:i/>
          <w:color w:val="000000"/>
          <w:sz w:val="18"/>
          <w:szCs w:val="18"/>
        </w:rPr>
        <w:t xml:space="preserve">Figure at a given stage must be the sum of all figures reported under the two sub-indicators (1.1 and 1.2) for that stage. </w:t>
      </w:r>
    </w:p>
    <w:p w14:paraId="2C65CFA2" w14:textId="77777777" w:rsidR="00302BFE" w:rsidRPr="00604C27" w:rsidRDefault="00302BFE" w:rsidP="00302BFE">
      <w:pPr>
        <w:spacing w:after="0"/>
        <w:rPr>
          <w:rFonts w:ascii="Times New Roman" w:eastAsia="Times New Roman" w:hAnsi="Times New Roman"/>
          <w:color w:val="000000"/>
          <w:sz w:val="16"/>
          <w:szCs w:val="16"/>
        </w:rPr>
      </w:pPr>
    </w:p>
    <w:p w14:paraId="58DB4321" w14:textId="77777777" w:rsidR="00302BFE" w:rsidRPr="00E743F0" w:rsidRDefault="00302BFE" w:rsidP="00302BFE">
      <w:pPr>
        <w:rPr>
          <w:rFonts w:ascii="Times New Roman" w:eastAsia="Times New Roman" w:hAnsi="Times New Roman"/>
          <w:b/>
          <w:color w:val="000000"/>
        </w:rPr>
      </w:pPr>
      <w:r w:rsidRPr="00E743F0">
        <w:rPr>
          <w:rFonts w:ascii="Times New Roman" w:eastAsia="Times New Roman" w:hAnsi="Times New Roman"/>
          <w:b/>
          <w:color w:val="000000"/>
        </w:rPr>
        <w:t>1.1 Terrestrial protected areas newly created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977"/>
        <w:gridCol w:w="2693"/>
        <w:gridCol w:w="2552"/>
      </w:tblGrid>
      <w:tr w:rsidR="00302BFE" w:rsidRPr="00E743F0" w14:paraId="04E4A98C" w14:textId="77777777" w:rsidTr="00243B15">
        <w:tc>
          <w:tcPr>
            <w:tcW w:w="2518" w:type="dxa"/>
            <w:shd w:val="clear" w:color="auto" w:fill="4472C4"/>
          </w:tcPr>
          <w:p w14:paraId="6EAB3B8D"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Total Ha (expected at PIF)</w:t>
            </w:r>
          </w:p>
        </w:tc>
        <w:tc>
          <w:tcPr>
            <w:tcW w:w="2977" w:type="dxa"/>
            <w:shd w:val="clear" w:color="auto" w:fill="4472C4"/>
          </w:tcPr>
          <w:p w14:paraId="3A188603"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Total Ha (expected at CEO ER)</w:t>
            </w:r>
          </w:p>
        </w:tc>
        <w:tc>
          <w:tcPr>
            <w:tcW w:w="2693" w:type="dxa"/>
            <w:shd w:val="clear" w:color="auto" w:fill="4472C4"/>
          </w:tcPr>
          <w:p w14:paraId="59D9E93F"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Total Ha (achieved at MTR)</w:t>
            </w:r>
          </w:p>
        </w:tc>
        <w:tc>
          <w:tcPr>
            <w:tcW w:w="2552" w:type="dxa"/>
            <w:shd w:val="clear" w:color="auto" w:fill="4472C4"/>
          </w:tcPr>
          <w:p w14:paraId="17D5ECA8"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Total Ha (achieved at TE)</w:t>
            </w:r>
          </w:p>
        </w:tc>
      </w:tr>
      <w:tr w:rsidR="00302BFE" w:rsidRPr="00E743F0" w14:paraId="5FCDCB13" w14:textId="77777777" w:rsidTr="00243B15">
        <w:tc>
          <w:tcPr>
            <w:tcW w:w="2518" w:type="dxa"/>
            <w:shd w:val="clear" w:color="auto" w:fill="auto"/>
          </w:tcPr>
          <w:p w14:paraId="53492265"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w:t>
            </w:r>
          </w:p>
        </w:tc>
        <w:tc>
          <w:tcPr>
            <w:tcW w:w="2977" w:type="dxa"/>
            <w:shd w:val="clear" w:color="auto" w:fill="auto"/>
          </w:tcPr>
          <w:p w14:paraId="37B961EC"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33,000</w:t>
            </w:r>
          </w:p>
        </w:tc>
        <w:tc>
          <w:tcPr>
            <w:tcW w:w="2693" w:type="dxa"/>
            <w:shd w:val="clear" w:color="auto" w:fill="auto"/>
          </w:tcPr>
          <w:p w14:paraId="5DEE5D6B" w14:textId="77777777" w:rsidR="00302BFE" w:rsidRPr="00F166CF" w:rsidRDefault="00302BFE" w:rsidP="00243B15">
            <w:pPr>
              <w:rPr>
                <w:rFonts w:ascii="Times New Roman" w:eastAsia="Times New Roman" w:hAnsi="Times New Roman"/>
                <w:color w:val="000000"/>
                <w:szCs w:val="20"/>
              </w:rPr>
            </w:pPr>
          </w:p>
        </w:tc>
        <w:tc>
          <w:tcPr>
            <w:tcW w:w="2552" w:type="dxa"/>
            <w:shd w:val="clear" w:color="auto" w:fill="auto"/>
          </w:tcPr>
          <w:p w14:paraId="1C82C50A" w14:textId="77777777" w:rsidR="00302BFE" w:rsidRPr="00F166CF" w:rsidRDefault="00302BFE" w:rsidP="00243B15">
            <w:pPr>
              <w:rPr>
                <w:rFonts w:ascii="Times New Roman" w:eastAsia="Times New Roman" w:hAnsi="Times New Roman"/>
                <w:color w:val="000000"/>
                <w:szCs w:val="20"/>
              </w:rPr>
            </w:pPr>
          </w:p>
        </w:tc>
      </w:tr>
    </w:tbl>
    <w:p w14:paraId="74F48BD0" w14:textId="77777777" w:rsidR="00302BFE" w:rsidRPr="008605A4" w:rsidRDefault="00302BFE" w:rsidP="00302BFE">
      <w:pPr>
        <w:rPr>
          <w:rFonts w:ascii="Times New Roman" w:eastAsia="Times New Roman" w:hAnsi="Times New Roman"/>
          <w:i/>
          <w:color w:val="000000"/>
          <w:sz w:val="18"/>
          <w:szCs w:val="18"/>
        </w:rPr>
      </w:pPr>
      <w:r w:rsidRPr="008605A4">
        <w:rPr>
          <w:rFonts w:ascii="Times New Roman" w:eastAsia="Times New Roman" w:hAnsi="Times New Roman"/>
          <w:i/>
          <w:color w:val="000000"/>
          <w:sz w:val="18"/>
          <w:szCs w:val="18"/>
        </w:rPr>
        <w:t>Figure at a given stage must be the sum of all individual PAs reported in the next table, for that stage.</w:t>
      </w:r>
    </w:p>
    <w:p w14:paraId="64A4AAB0" w14:textId="77777777" w:rsidR="00302BFE" w:rsidRPr="00604C27" w:rsidRDefault="00302BFE" w:rsidP="00302BFE">
      <w:pPr>
        <w:rPr>
          <w:rFonts w:ascii="Times New Roman" w:eastAsia="Times New Roman" w:hAnsi="Times New Roman"/>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134"/>
        <w:gridCol w:w="1701"/>
        <w:gridCol w:w="2410"/>
        <w:gridCol w:w="2555"/>
        <w:gridCol w:w="2107"/>
        <w:gridCol w:w="2107"/>
      </w:tblGrid>
      <w:tr w:rsidR="00302BFE" w:rsidRPr="00E743F0" w14:paraId="4195FDBD" w14:textId="77777777" w:rsidTr="00243B15">
        <w:tc>
          <w:tcPr>
            <w:tcW w:w="2376" w:type="dxa"/>
            <w:shd w:val="clear" w:color="auto" w:fill="4472C4"/>
          </w:tcPr>
          <w:p w14:paraId="1C351328"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Name of Protected Area</w:t>
            </w:r>
          </w:p>
        </w:tc>
        <w:tc>
          <w:tcPr>
            <w:tcW w:w="1134" w:type="dxa"/>
            <w:shd w:val="clear" w:color="auto" w:fill="4472C4"/>
          </w:tcPr>
          <w:p w14:paraId="3B2CAA9E"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WDPA ID</w:t>
            </w:r>
          </w:p>
        </w:tc>
        <w:tc>
          <w:tcPr>
            <w:tcW w:w="1701" w:type="dxa"/>
            <w:shd w:val="clear" w:color="auto" w:fill="4472C4"/>
          </w:tcPr>
          <w:p w14:paraId="3B9A3502"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IUCN Category</w:t>
            </w:r>
          </w:p>
        </w:tc>
        <w:tc>
          <w:tcPr>
            <w:tcW w:w="2410" w:type="dxa"/>
            <w:shd w:val="clear" w:color="auto" w:fill="4472C4"/>
          </w:tcPr>
          <w:p w14:paraId="25F05DC0"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Total Ha (expected at PIF)</w:t>
            </w:r>
          </w:p>
        </w:tc>
        <w:tc>
          <w:tcPr>
            <w:tcW w:w="2555" w:type="dxa"/>
            <w:shd w:val="clear" w:color="auto" w:fill="4472C4"/>
          </w:tcPr>
          <w:p w14:paraId="1149684B"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Total Ha (expected at CEO ER)</w:t>
            </w:r>
          </w:p>
        </w:tc>
        <w:tc>
          <w:tcPr>
            <w:tcW w:w="2107" w:type="dxa"/>
            <w:shd w:val="clear" w:color="auto" w:fill="4472C4"/>
          </w:tcPr>
          <w:p w14:paraId="4832BB0B"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Total Ha (achieved at MTR)</w:t>
            </w:r>
          </w:p>
        </w:tc>
        <w:tc>
          <w:tcPr>
            <w:tcW w:w="2107" w:type="dxa"/>
            <w:shd w:val="clear" w:color="auto" w:fill="4472C4"/>
          </w:tcPr>
          <w:p w14:paraId="5D3E7EDE"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Total Ha (achieved at TE)</w:t>
            </w:r>
          </w:p>
        </w:tc>
      </w:tr>
      <w:tr w:rsidR="00302BFE" w:rsidRPr="00E743F0" w14:paraId="4AD87C68" w14:textId="77777777" w:rsidTr="00243B15">
        <w:tc>
          <w:tcPr>
            <w:tcW w:w="2376" w:type="dxa"/>
            <w:shd w:val="clear" w:color="auto" w:fill="auto"/>
          </w:tcPr>
          <w:p w14:paraId="32341580"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Corridor #2</w:t>
            </w:r>
          </w:p>
        </w:tc>
        <w:tc>
          <w:tcPr>
            <w:tcW w:w="1134" w:type="dxa"/>
            <w:shd w:val="clear" w:color="auto" w:fill="auto"/>
          </w:tcPr>
          <w:p w14:paraId="1329A12D"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none</w:t>
            </w:r>
          </w:p>
        </w:tc>
        <w:tc>
          <w:tcPr>
            <w:tcW w:w="1701" w:type="dxa"/>
            <w:shd w:val="clear" w:color="auto" w:fill="auto"/>
          </w:tcPr>
          <w:p w14:paraId="3F18EE60"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IV</w:t>
            </w:r>
          </w:p>
        </w:tc>
        <w:tc>
          <w:tcPr>
            <w:tcW w:w="2410" w:type="dxa"/>
            <w:shd w:val="clear" w:color="auto" w:fill="auto"/>
          </w:tcPr>
          <w:p w14:paraId="3A7DA71A" w14:textId="77777777" w:rsidR="00302BFE" w:rsidRPr="00F166CF" w:rsidRDefault="00302BFE" w:rsidP="00243B15">
            <w:pPr>
              <w:rPr>
                <w:rFonts w:ascii="Times New Roman" w:eastAsia="Times New Roman" w:hAnsi="Times New Roman"/>
                <w:color w:val="000000"/>
                <w:szCs w:val="20"/>
              </w:rPr>
            </w:pPr>
          </w:p>
        </w:tc>
        <w:tc>
          <w:tcPr>
            <w:tcW w:w="2555" w:type="dxa"/>
            <w:shd w:val="clear" w:color="auto" w:fill="auto"/>
          </w:tcPr>
          <w:p w14:paraId="01805C34"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33,000</w:t>
            </w:r>
          </w:p>
        </w:tc>
        <w:tc>
          <w:tcPr>
            <w:tcW w:w="2107" w:type="dxa"/>
            <w:shd w:val="clear" w:color="auto" w:fill="auto"/>
          </w:tcPr>
          <w:p w14:paraId="345DDC81" w14:textId="77777777" w:rsidR="00302BFE" w:rsidRPr="00F166CF" w:rsidRDefault="00302BFE" w:rsidP="00243B15">
            <w:pPr>
              <w:rPr>
                <w:rFonts w:ascii="Times New Roman" w:eastAsia="Times New Roman" w:hAnsi="Times New Roman"/>
                <w:color w:val="000000"/>
                <w:szCs w:val="20"/>
              </w:rPr>
            </w:pPr>
          </w:p>
        </w:tc>
        <w:tc>
          <w:tcPr>
            <w:tcW w:w="2107" w:type="dxa"/>
            <w:shd w:val="clear" w:color="auto" w:fill="auto"/>
          </w:tcPr>
          <w:p w14:paraId="0FE121C0" w14:textId="77777777" w:rsidR="00302BFE" w:rsidRPr="00F166CF" w:rsidRDefault="00302BFE" w:rsidP="00243B15">
            <w:pPr>
              <w:rPr>
                <w:rFonts w:ascii="Times New Roman" w:eastAsia="Times New Roman" w:hAnsi="Times New Roman"/>
                <w:color w:val="000000"/>
                <w:szCs w:val="20"/>
              </w:rPr>
            </w:pPr>
          </w:p>
        </w:tc>
      </w:tr>
    </w:tbl>
    <w:p w14:paraId="6E298612" w14:textId="77777777" w:rsidR="00302BFE" w:rsidRPr="00604C27" w:rsidRDefault="00302BFE" w:rsidP="00302BFE">
      <w:pPr>
        <w:rPr>
          <w:rFonts w:ascii="Times New Roman" w:eastAsia="Times New Roman" w:hAnsi="Times New Roman"/>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552"/>
        <w:gridCol w:w="2268"/>
        <w:gridCol w:w="2410"/>
      </w:tblGrid>
      <w:tr w:rsidR="00302BFE" w:rsidRPr="00E743F0" w14:paraId="2CA80C57" w14:textId="77777777" w:rsidTr="00243B15">
        <w:tc>
          <w:tcPr>
            <w:tcW w:w="2376" w:type="dxa"/>
            <w:shd w:val="clear" w:color="auto" w:fill="4472C4"/>
          </w:tcPr>
          <w:p w14:paraId="4A09526E"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Name of Protected Area</w:t>
            </w:r>
          </w:p>
        </w:tc>
        <w:tc>
          <w:tcPr>
            <w:tcW w:w="2552" w:type="dxa"/>
            <w:shd w:val="clear" w:color="auto" w:fill="4472C4"/>
          </w:tcPr>
          <w:p w14:paraId="62AC2365"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METT Score at CEO ER</w:t>
            </w:r>
          </w:p>
        </w:tc>
        <w:tc>
          <w:tcPr>
            <w:tcW w:w="2268" w:type="dxa"/>
            <w:shd w:val="clear" w:color="auto" w:fill="4472C4"/>
          </w:tcPr>
          <w:p w14:paraId="00D6C6F1"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METT Score at MTR</w:t>
            </w:r>
          </w:p>
        </w:tc>
        <w:tc>
          <w:tcPr>
            <w:tcW w:w="2410" w:type="dxa"/>
            <w:shd w:val="clear" w:color="auto" w:fill="4472C4"/>
          </w:tcPr>
          <w:p w14:paraId="4A9AB895"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METT Score at TE</w:t>
            </w:r>
          </w:p>
        </w:tc>
      </w:tr>
      <w:tr w:rsidR="00302BFE" w:rsidRPr="00E743F0" w14:paraId="1FF08A1B" w14:textId="77777777" w:rsidTr="00243B15">
        <w:tc>
          <w:tcPr>
            <w:tcW w:w="2376" w:type="dxa"/>
            <w:shd w:val="clear" w:color="auto" w:fill="auto"/>
          </w:tcPr>
          <w:p w14:paraId="45EE2D3D"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Corridor #2</w:t>
            </w:r>
          </w:p>
        </w:tc>
        <w:tc>
          <w:tcPr>
            <w:tcW w:w="2552" w:type="dxa"/>
            <w:shd w:val="clear" w:color="auto" w:fill="auto"/>
          </w:tcPr>
          <w:p w14:paraId="5D4A4983"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31</w:t>
            </w:r>
          </w:p>
        </w:tc>
        <w:tc>
          <w:tcPr>
            <w:tcW w:w="2268" w:type="dxa"/>
            <w:shd w:val="clear" w:color="auto" w:fill="auto"/>
          </w:tcPr>
          <w:p w14:paraId="05F303F4" w14:textId="77777777" w:rsidR="00302BFE" w:rsidRPr="00F166CF" w:rsidRDefault="00302BFE" w:rsidP="00243B15">
            <w:pPr>
              <w:rPr>
                <w:rFonts w:ascii="Times New Roman" w:eastAsia="Times New Roman" w:hAnsi="Times New Roman"/>
                <w:color w:val="000000"/>
                <w:szCs w:val="20"/>
              </w:rPr>
            </w:pPr>
          </w:p>
        </w:tc>
        <w:tc>
          <w:tcPr>
            <w:tcW w:w="2410" w:type="dxa"/>
            <w:shd w:val="clear" w:color="auto" w:fill="auto"/>
          </w:tcPr>
          <w:p w14:paraId="56EB678E" w14:textId="77777777" w:rsidR="00302BFE" w:rsidRPr="00F166CF" w:rsidRDefault="00302BFE" w:rsidP="00243B15">
            <w:pPr>
              <w:rPr>
                <w:rFonts w:ascii="Times New Roman" w:eastAsia="Times New Roman" w:hAnsi="Times New Roman"/>
                <w:color w:val="000000"/>
                <w:szCs w:val="20"/>
              </w:rPr>
            </w:pPr>
          </w:p>
        </w:tc>
      </w:tr>
    </w:tbl>
    <w:p w14:paraId="69EEE747" w14:textId="77777777" w:rsidR="00302BFE" w:rsidRPr="00604C27" w:rsidRDefault="00302BFE" w:rsidP="00302BFE">
      <w:pPr>
        <w:spacing w:after="0"/>
        <w:rPr>
          <w:rFonts w:ascii="Times New Roman" w:eastAsia="Times New Roman" w:hAnsi="Times New Roman"/>
          <w:color w:val="000000"/>
          <w:sz w:val="16"/>
          <w:szCs w:val="16"/>
        </w:rPr>
      </w:pPr>
    </w:p>
    <w:p w14:paraId="0D2B74D9" w14:textId="77777777" w:rsidR="00302BFE" w:rsidRPr="00E743F0" w:rsidRDefault="00302BFE" w:rsidP="00302BFE">
      <w:pPr>
        <w:rPr>
          <w:rFonts w:ascii="Times New Roman" w:eastAsia="Times New Roman" w:hAnsi="Times New Roman"/>
          <w:color w:val="000000"/>
        </w:rPr>
      </w:pPr>
      <w:r w:rsidRPr="00E743F0">
        <w:rPr>
          <w:rFonts w:ascii="Times New Roman" w:eastAsia="Times New Roman" w:hAnsi="Times New Roman"/>
          <w:b/>
          <w:color w:val="000000"/>
        </w:rPr>
        <w:t>1.2 Terrestrial protected areas under improved management effectiveness</w:t>
      </w:r>
      <w:r w:rsidRPr="00E743F0">
        <w:rPr>
          <w:rFonts w:ascii="Times New Roman" w:eastAsia="Times New Roman" w:hAnsi="Times New Roman"/>
          <w:color w:val="000000"/>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977"/>
        <w:gridCol w:w="2693"/>
        <w:gridCol w:w="2552"/>
      </w:tblGrid>
      <w:tr w:rsidR="00302BFE" w:rsidRPr="00E743F0" w14:paraId="489B64E1" w14:textId="77777777" w:rsidTr="00243B15">
        <w:tc>
          <w:tcPr>
            <w:tcW w:w="2518" w:type="dxa"/>
            <w:shd w:val="clear" w:color="auto" w:fill="4472C4"/>
          </w:tcPr>
          <w:p w14:paraId="572E6B71"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Total Ha (expected at PIF)</w:t>
            </w:r>
          </w:p>
        </w:tc>
        <w:tc>
          <w:tcPr>
            <w:tcW w:w="2977" w:type="dxa"/>
            <w:shd w:val="clear" w:color="auto" w:fill="4472C4"/>
          </w:tcPr>
          <w:p w14:paraId="2ADCBA40"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Total Ha (expected at CEO ER)</w:t>
            </w:r>
          </w:p>
        </w:tc>
        <w:tc>
          <w:tcPr>
            <w:tcW w:w="2693" w:type="dxa"/>
            <w:shd w:val="clear" w:color="auto" w:fill="4472C4"/>
          </w:tcPr>
          <w:p w14:paraId="70E1E7D0"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Total Ha (achieved at MTR)</w:t>
            </w:r>
          </w:p>
        </w:tc>
        <w:tc>
          <w:tcPr>
            <w:tcW w:w="2552" w:type="dxa"/>
            <w:shd w:val="clear" w:color="auto" w:fill="4472C4"/>
          </w:tcPr>
          <w:p w14:paraId="25870A1B"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Total Ha (achieved at TE)</w:t>
            </w:r>
          </w:p>
        </w:tc>
      </w:tr>
      <w:tr w:rsidR="00302BFE" w:rsidRPr="00E743F0" w14:paraId="6C712D18" w14:textId="77777777" w:rsidTr="00243B15">
        <w:tc>
          <w:tcPr>
            <w:tcW w:w="2518" w:type="dxa"/>
            <w:shd w:val="clear" w:color="auto" w:fill="auto"/>
          </w:tcPr>
          <w:p w14:paraId="0C79F8FD"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lang w:val="fr-CA"/>
              </w:rPr>
              <w:t>436,057</w:t>
            </w:r>
          </w:p>
        </w:tc>
        <w:tc>
          <w:tcPr>
            <w:tcW w:w="2977" w:type="dxa"/>
            <w:shd w:val="clear" w:color="auto" w:fill="auto"/>
          </w:tcPr>
          <w:p w14:paraId="3E51AEF1"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321,781</w:t>
            </w:r>
          </w:p>
        </w:tc>
        <w:tc>
          <w:tcPr>
            <w:tcW w:w="2693" w:type="dxa"/>
            <w:shd w:val="clear" w:color="auto" w:fill="auto"/>
          </w:tcPr>
          <w:p w14:paraId="5EB133C2" w14:textId="77777777" w:rsidR="00302BFE" w:rsidRPr="00F166CF" w:rsidRDefault="00302BFE" w:rsidP="00243B15">
            <w:pPr>
              <w:rPr>
                <w:rFonts w:ascii="Times New Roman" w:eastAsia="Times New Roman" w:hAnsi="Times New Roman"/>
                <w:color w:val="000000"/>
                <w:szCs w:val="20"/>
              </w:rPr>
            </w:pPr>
          </w:p>
        </w:tc>
        <w:tc>
          <w:tcPr>
            <w:tcW w:w="2552" w:type="dxa"/>
            <w:shd w:val="clear" w:color="auto" w:fill="auto"/>
          </w:tcPr>
          <w:p w14:paraId="4F1B7C02" w14:textId="77777777" w:rsidR="00302BFE" w:rsidRPr="00F166CF" w:rsidRDefault="00302BFE" w:rsidP="00243B15">
            <w:pPr>
              <w:rPr>
                <w:rFonts w:ascii="Times New Roman" w:eastAsia="Times New Roman" w:hAnsi="Times New Roman"/>
                <w:color w:val="000000"/>
                <w:szCs w:val="20"/>
              </w:rPr>
            </w:pPr>
          </w:p>
        </w:tc>
      </w:tr>
    </w:tbl>
    <w:p w14:paraId="4CDBDFCA" w14:textId="77777777" w:rsidR="00302BFE" w:rsidRPr="008605A4" w:rsidRDefault="00302BFE" w:rsidP="00302BFE">
      <w:pPr>
        <w:spacing w:after="0"/>
        <w:rPr>
          <w:rFonts w:ascii="Times New Roman" w:eastAsia="Times New Roman" w:hAnsi="Times New Roman"/>
          <w:i/>
          <w:color w:val="000000"/>
          <w:sz w:val="18"/>
          <w:szCs w:val="18"/>
        </w:rPr>
      </w:pPr>
      <w:r w:rsidRPr="008605A4">
        <w:rPr>
          <w:rFonts w:ascii="Times New Roman" w:eastAsia="Times New Roman" w:hAnsi="Times New Roman"/>
          <w:i/>
          <w:color w:val="000000"/>
          <w:sz w:val="18"/>
          <w:szCs w:val="18"/>
        </w:rPr>
        <w:t>Figure at a given stage must be the sum of all individual PAs reported in the next table, for that stage.</w:t>
      </w:r>
    </w:p>
    <w:p w14:paraId="2A251BC8" w14:textId="77777777" w:rsidR="00302BFE" w:rsidRPr="00604C27" w:rsidRDefault="00302BFE" w:rsidP="00302BFE">
      <w:pPr>
        <w:spacing w:after="0"/>
        <w:rPr>
          <w:rFonts w:ascii="Times New Roman" w:eastAsia="Times New Roman" w:hAnsi="Times New Roman"/>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5"/>
        <w:gridCol w:w="1350"/>
        <w:gridCol w:w="1126"/>
        <w:gridCol w:w="2111"/>
        <w:gridCol w:w="2174"/>
        <w:gridCol w:w="2107"/>
        <w:gridCol w:w="2107"/>
      </w:tblGrid>
      <w:tr w:rsidR="00302BFE" w:rsidRPr="00E743F0" w14:paraId="227DE3E6" w14:textId="77777777" w:rsidTr="00243B15">
        <w:tc>
          <w:tcPr>
            <w:tcW w:w="3415" w:type="dxa"/>
            <w:shd w:val="clear" w:color="auto" w:fill="4472C4"/>
          </w:tcPr>
          <w:p w14:paraId="6CA78180"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Name of Protected Area</w:t>
            </w:r>
          </w:p>
        </w:tc>
        <w:tc>
          <w:tcPr>
            <w:tcW w:w="1350" w:type="dxa"/>
            <w:shd w:val="clear" w:color="auto" w:fill="4472C4"/>
          </w:tcPr>
          <w:p w14:paraId="711FEE07"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WDPA ID</w:t>
            </w:r>
          </w:p>
        </w:tc>
        <w:tc>
          <w:tcPr>
            <w:tcW w:w="1126" w:type="dxa"/>
            <w:shd w:val="clear" w:color="auto" w:fill="4472C4"/>
          </w:tcPr>
          <w:p w14:paraId="70FB7D59"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IUCN Category</w:t>
            </w:r>
          </w:p>
        </w:tc>
        <w:tc>
          <w:tcPr>
            <w:tcW w:w="2111" w:type="dxa"/>
            <w:shd w:val="clear" w:color="auto" w:fill="4472C4"/>
          </w:tcPr>
          <w:p w14:paraId="7B04B471"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Total Ha (expected at PIF)</w:t>
            </w:r>
          </w:p>
        </w:tc>
        <w:tc>
          <w:tcPr>
            <w:tcW w:w="2174" w:type="dxa"/>
            <w:shd w:val="clear" w:color="auto" w:fill="4472C4"/>
          </w:tcPr>
          <w:p w14:paraId="7E8B4FA7"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Total Ha (expected at CEO ER)</w:t>
            </w:r>
          </w:p>
        </w:tc>
        <w:tc>
          <w:tcPr>
            <w:tcW w:w="2107" w:type="dxa"/>
            <w:shd w:val="clear" w:color="auto" w:fill="4472C4"/>
          </w:tcPr>
          <w:p w14:paraId="417BBC91"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Total Ha (achieved at MTR)</w:t>
            </w:r>
          </w:p>
        </w:tc>
        <w:tc>
          <w:tcPr>
            <w:tcW w:w="2107" w:type="dxa"/>
            <w:shd w:val="clear" w:color="auto" w:fill="4472C4"/>
          </w:tcPr>
          <w:p w14:paraId="42FDED1A"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Total Ha (achieved at TE)</w:t>
            </w:r>
          </w:p>
        </w:tc>
      </w:tr>
      <w:tr w:rsidR="00302BFE" w:rsidRPr="00E743F0" w14:paraId="54BE816E" w14:textId="77777777" w:rsidTr="00243B15">
        <w:tc>
          <w:tcPr>
            <w:tcW w:w="3415" w:type="dxa"/>
            <w:shd w:val="clear" w:color="auto" w:fill="auto"/>
          </w:tcPr>
          <w:p w14:paraId="529CC625"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Nazinga Game Ranch</w:t>
            </w:r>
          </w:p>
        </w:tc>
        <w:tc>
          <w:tcPr>
            <w:tcW w:w="1350" w:type="dxa"/>
            <w:shd w:val="clear" w:color="auto" w:fill="auto"/>
          </w:tcPr>
          <w:p w14:paraId="636A603E"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none</w:t>
            </w:r>
          </w:p>
        </w:tc>
        <w:tc>
          <w:tcPr>
            <w:tcW w:w="1126" w:type="dxa"/>
            <w:shd w:val="clear" w:color="auto" w:fill="auto"/>
          </w:tcPr>
          <w:p w14:paraId="02FB0C75"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IV</w:t>
            </w:r>
          </w:p>
        </w:tc>
        <w:tc>
          <w:tcPr>
            <w:tcW w:w="2111" w:type="dxa"/>
            <w:shd w:val="clear" w:color="auto" w:fill="auto"/>
          </w:tcPr>
          <w:p w14:paraId="7419A77D"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103,579</w:t>
            </w:r>
          </w:p>
        </w:tc>
        <w:tc>
          <w:tcPr>
            <w:tcW w:w="2174" w:type="dxa"/>
            <w:shd w:val="clear" w:color="auto" w:fill="auto"/>
          </w:tcPr>
          <w:p w14:paraId="173B4F17"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91,300</w:t>
            </w:r>
          </w:p>
        </w:tc>
        <w:tc>
          <w:tcPr>
            <w:tcW w:w="2107" w:type="dxa"/>
            <w:shd w:val="clear" w:color="auto" w:fill="auto"/>
          </w:tcPr>
          <w:p w14:paraId="5955E651" w14:textId="77777777" w:rsidR="00302BFE" w:rsidRPr="00F166CF" w:rsidRDefault="00302BFE" w:rsidP="00243B15">
            <w:pPr>
              <w:rPr>
                <w:rFonts w:ascii="Times New Roman" w:eastAsia="Times New Roman" w:hAnsi="Times New Roman"/>
                <w:color w:val="000000"/>
              </w:rPr>
            </w:pPr>
          </w:p>
        </w:tc>
        <w:tc>
          <w:tcPr>
            <w:tcW w:w="2107" w:type="dxa"/>
            <w:shd w:val="clear" w:color="auto" w:fill="auto"/>
          </w:tcPr>
          <w:p w14:paraId="4F719DC5" w14:textId="77777777" w:rsidR="00302BFE" w:rsidRPr="00F166CF" w:rsidRDefault="00302BFE" w:rsidP="00243B15">
            <w:pPr>
              <w:rPr>
                <w:rFonts w:ascii="Times New Roman" w:eastAsia="Times New Roman" w:hAnsi="Times New Roman"/>
                <w:color w:val="000000"/>
              </w:rPr>
            </w:pPr>
          </w:p>
        </w:tc>
      </w:tr>
      <w:tr w:rsidR="00302BFE" w:rsidRPr="00E743F0" w14:paraId="128A4E83" w14:textId="77777777" w:rsidTr="00243B15">
        <w:tc>
          <w:tcPr>
            <w:tcW w:w="3415" w:type="dxa"/>
            <w:shd w:val="clear" w:color="auto" w:fill="auto"/>
          </w:tcPr>
          <w:p w14:paraId="2B784443"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Sissili Classified Forest</w:t>
            </w:r>
          </w:p>
        </w:tc>
        <w:tc>
          <w:tcPr>
            <w:tcW w:w="1350" w:type="dxa"/>
            <w:shd w:val="clear" w:color="auto" w:fill="auto"/>
          </w:tcPr>
          <w:p w14:paraId="3FDF7603"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28556</w:t>
            </w:r>
          </w:p>
        </w:tc>
        <w:tc>
          <w:tcPr>
            <w:tcW w:w="1126" w:type="dxa"/>
            <w:shd w:val="clear" w:color="auto" w:fill="auto"/>
          </w:tcPr>
          <w:p w14:paraId="7ABF295A"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IV</w:t>
            </w:r>
          </w:p>
        </w:tc>
        <w:tc>
          <w:tcPr>
            <w:tcW w:w="2111" w:type="dxa"/>
            <w:shd w:val="clear" w:color="auto" w:fill="auto"/>
          </w:tcPr>
          <w:p w14:paraId="12A260DA"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38,153</w:t>
            </w:r>
          </w:p>
        </w:tc>
        <w:tc>
          <w:tcPr>
            <w:tcW w:w="2174" w:type="dxa"/>
            <w:shd w:val="clear" w:color="auto" w:fill="auto"/>
          </w:tcPr>
          <w:p w14:paraId="7A6A481C"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32,700</w:t>
            </w:r>
          </w:p>
        </w:tc>
        <w:tc>
          <w:tcPr>
            <w:tcW w:w="2107" w:type="dxa"/>
            <w:shd w:val="clear" w:color="auto" w:fill="auto"/>
          </w:tcPr>
          <w:p w14:paraId="5A5D4DDC" w14:textId="77777777" w:rsidR="00302BFE" w:rsidRPr="00F166CF" w:rsidRDefault="00302BFE" w:rsidP="00243B15">
            <w:pPr>
              <w:rPr>
                <w:rFonts w:ascii="Times New Roman" w:eastAsia="Times New Roman" w:hAnsi="Times New Roman"/>
                <w:color w:val="000000"/>
              </w:rPr>
            </w:pPr>
          </w:p>
        </w:tc>
        <w:tc>
          <w:tcPr>
            <w:tcW w:w="2107" w:type="dxa"/>
            <w:shd w:val="clear" w:color="auto" w:fill="auto"/>
          </w:tcPr>
          <w:p w14:paraId="4880DC25" w14:textId="77777777" w:rsidR="00302BFE" w:rsidRPr="00F166CF" w:rsidRDefault="00302BFE" w:rsidP="00243B15">
            <w:pPr>
              <w:rPr>
                <w:rFonts w:ascii="Times New Roman" w:eastAsia="Times New Roman" w:hAnsi="Times New Roman"/>
                <w:color w:val="000000"/>
              </w:rPr>
            </w:pPr>
          </w:p>
        </w:tc>
      </w:tr>
      <w:tr w:rsidR="00302BFE" w:rsidRPr="00E743F0" w14:paraId="43A9E47C" w14:textId="77777777" w:rsidTr="00243B15">
        <w:tc>
          <w:tcPr>
            <w:tcW w:w="3415" w:type="dxa"/>
            <w:shd w:val="clear" w:color="auto" w:fill="auto"/>
          </w:tcPr>
          <w:p w14:paraId="5EF2AD9D"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Kaboré-Tambi National Park</w:t>
            </w:r>
          </w:p>
        </w:tc>
        <w:tc>
          <w:tcPr>
            <w:tcW w:w="1350" w:type="dxa"/>
            <w:shd w:val="clear" w:color="auto" w:fill="auto"/>
          </w:tcPr>
          <w:p w14:paraId="1EFB3874"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1049</w:t>
            </w:r>
          </w:p>
        </w:tc>
        <w:tc>
          <w:tcPr>
            <w:tcW w:w="1126" w:type="dxa"/>
            <w:shd w:val="clear" w:color="auto" w:fill="auto"/>
          </w:tcPr>
          <w:p w14:paraId="26B17A82"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II</w:t>
            </w:r>
          </w:p>
        </w:tc>
        <w:tc>
          <w:tcPr>
            <w:tcW w:w="2111" w:type="dxa"/>
            <w:shd w:val="clear" w:color="auto" w:fill="auto"/>
          </w:tcPr>
          <w:p w14:paraId="01B581D5"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161,956</w:t>
            </w:r>
          </w:p>
        </w:tc>
        <w:tc>
          <w:tcPr>
            <w:tcW w:w="2174" w:type="dxa"/>
            <w:shd w:val="clear" w:color="auto" w:fill="auto"/>
          </w:tcPr>
          <w:p w14:paraId="2B426920"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169,000</w:t>
            </w:r>
          </w:p>
        </w:tc>
        <w:tc>
          <w:tcPr>
            <w:tcW w:w="2107" w:type="dxa"/>
            <w:shd w:val="clear" w:color="auto" w:fill="auto"/>
          </w:tcPr>
          <w:p w14:paraId="2DC7B291" w14:textId="77777777" w:rsidR="00302BFE" w:rsidRPr="00F166CF" w:rsidRDefault="00302BFE" w:rsidP="00243B15">
            <w:pPr>
              <w:rPr>
                <w:rFonts w:ascii="Times New Roman" w:eastAsia="Times New Roman" w:hAnsi="Times New Roman"/>
                <w:color w:val="000000"/>
              </w:rPr>
            </w:pPr>
          </w:p>
        </w:tc>
        <w:tc>
          <w:tcPr>
            <w:tcW w:w="2107" w:type="dxa"/>
            <w:shd w:val="clear" w:color="auto" w:fill="auto"/>
          </w:tcPr>
          <w:p w14:paraId="611A2929" w14:textId="77777777" w:rsidR="00302BFE" w:rsidRPr="00F166CF" w:rsidRDefault="00302BFE" w:rsidP="00243B15">
            <w:pPr>
              <w:rPr>
                <w:rFonts w:ascii="Times New Roman" w:eastAsia="Times New Roman" w:hAnsi="Times New Roman"/>
                <w:color w:val="000000"/>
              </w:rPr>
            </w:pPr>
          </w:p>
        </w:tc>
      </w:tr>
      <w:tr w:rsidR="00302BFE" w:rsidRPr="00E743F0" w14:paraId="380697A3" w14:textId="77777777" w:rsidTr="00243B15">
        <w:tc>
          <w:tcPr>
            <w:tcW w:w="3415" w:type="dxa"/>
            <w:shd w:val="clear" w:color="auto" w:fill="auto"/>
          </w:tcPr>
          <w:p w14:paraId="67AF33AC"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Corridor #1</w:t>
            </w:r>
          </w:p>
        </w:tc>
        <w:tc>
          <w:tcPr>
            <w:tcW w:w="1350" w:type="dxa"/>
            <w:shd w:val="clear" w:color="auto" w:fill="auto"/>
          </w:tcPr>
          <w:p w14:paraId="475E4A64"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none</w:t>
            </w:r>
          </w:p>
        </w:tc>
        <w:tc>
          <w:tcPr>
            <w:tcW w:w="1126" w:type="dxa"/>
            <w:shd w:val="clear" w:color="auto" w:fill="auto"/>
          </w:tcPr>
          <w:p w14:paraId="0758B04E"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IV</w:t>
            </w:r>
          </w:p>
        </w:tc>
        <w:tc>
          <w:tcPr>
            <w:tcW w:w="2111" w:type="dxa"/>
            <w:shd w:val="clear" w:color="auto" w:fill="auto"/>
          </w:tcPr>
          <w:p w14:paraId="707048DF"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19,246</w:t>
            </w:r>
          </w:p>
        </w:tc>
        <w:tc>
          <w:tcPr>
            <w:tcW w:w="2174" w:type="dxa"/>
            <w:shd w:val="clear" w:color="auto" w:fill="auto"/>
          </w:tcPr>
          <w:p w14:paraId="1EA8771E"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4,500</w:t>
            </w:r>
          </w:p>
        </w:tc>
        <w:tc>
          <w:tcPr>
            <w:tcW w:w="2107" w:type="dxa"/>
            <w:shd w:val="clear" w:color="auto" w:fill="auto"/>
          </w:tcPr>
          <w:p w14:paraId="3FEE8726" w14:textId="77777777" w:rsidR="00302BFE" w:rsidRPr="00F166CF" w:rsidRDefault="00302BFE" w:rsidP="00243B15">
            <w:pPr>
              <w:rPr>
                <w:rFonts w:ascii="Times New Roman" w:eastAsia="Times New Roman" w:hAnsi="Times New Roman"/>
                <w:color w:val="000000"/>
              </w:rPr>
            </w:pPr>
          </w:p>
        </w:tc>
        <w:tc>
          <w:tcPr>
            <w:tcW w:w="2107" w:type="dxa"/>
            <w:shd w:val="clear" w:color="auto" w:fill="auto"/>
          </w:tcPr>
          <w:p w14:paraId="3CC3A10F" w14:textId="77777777" w:rsidR="00302BFE" w:rsidRPr="00F166CF" w:rsidRDefault="00302BFE" w:rsidP="00243B15">
            <w:pPr>
              <w:rPr>
                <w:rFonts w:ascii="Times New Roman" w:eastAsia="Times New Roman" w:hAnsi="Times New Roman"/>
                <w:color w:val="000000"/>
              </w:rPr>
            </w:pPr>
          </w:p>
        </w:tc>
      </w:tr>
      <w:tr w:rsidR="00302BFE" w:rsidRPr="00E743F0" w14:paraId="6DA6243A" w14:textId="77777777" w:rsidTr="00243B15">
        <w:tc>
          <w:tcPr>
            <w:tcW w:w="3415" w:type="dxa"/>
            <w:shd w:val="clear" w:color="auto" w:fill="auto"/>
          </w:tcPr>
          <w:p w14:paraId="6FF42439"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Corridor #2</w:t>
            </w:r>
          </w:p>
        </w:tc>
        <w:tc>
          <w:tcPr>
            <w:tcW w:w="1350" w:type="dxa"/>
            <w:shd w:val="clear" w:color="auto" w:fill="auto"/>
          </w:tcPr>
          <w:p w14:paraId="041EA103"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none</w:t>
            </w:r>
          </w:p>
        </w:tc>
        <w:tc>
          <w:tcPr>
            <w:tcW w:w="1126" w:type="dxa"/>
            <w:shd w:val="clear" w:color="auto" w:fill="auto"/>
          </w:tcPr>
          <w:p w14:paraId="26139EC6"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IV</w:t>
            </w:r>
          </w:p>
        </w:tc>
        <w:tc>
          <w:tcPr>
            <w:tcW w:w="2111" w:type="dxa"/>
            <w:shd w:val="clear" w:color="auto" w:fill="auto"/>
          </w:tcPr>
          <w:p w14:paraId="59BECBA0"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69,445</w:t>
            </w:r>
          </w:p>
        </w:tc>
        <w:tc>
          <w:tcPr>
            <w:tcW w:w="2174" w:type="dxa"/>
            <w:shd w:val="clear" w:color="auto" w:fill="auto"/>
          </w:tcPr>
          <w:p w14:paraId="07968DB9"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w:t>
            </w:r>
          </w:p>
        </w:tc>
        <w:tc>
          <w:tcPr>
            <w:tcW w:w="2107" w:type="dxa"/>
            <w:shd w:val="clear" w:color="auto" w:fill="auto"/>
          </w:tcPr>
          <w:p w14:paraId="35C7A875" w14:textId="77777777" w:rsidR="00302BFE" w:rsidRPr="00F166CF" w:rsidRDefault="00302BFE" w:rsidP="00243B15">
            <w:pPr>
              <w:rPr>
                <w:rFonts w:ascii="Times New Roman" w:eastAsia="Times New Roman" w:hAnsi="Times New Roman"/>
                <w:color w:val="000000"/>
              </w:rPr>
            </w:pPr>
          </w:p>
        </w:tc>
        <w:tc>
          <w:tcPr>
            <w:tcW w:w="2107" w:type="dxa"/>
            <w:shd w:val="clear" w:color="auto" w:fill="auto"/>
          </w:tcPr>
          <w:p w14:paraId="47965776" w14:textId="77777777" w:rsidR="00302BFE" w:rsidRPr="00F166CF" w:rsidRDefault="00302BFE" w:rsidP="00243B15">
            <w:pPr>
              <w:rPr>
                <w:rFonts w:ascii="Times New Roman" w:eastAsia="Times New Roman" w:hAnsi="Times New Roman"/>
                <w:color w:val="000000"/>
              </w:rPr>
            </w:pPr>
          </w:p>
        </w:tc>
      </w:tr>
      <w:tr w:rsidR="00302BFE" w:rsidRPr="00E743F0" w14:paraId="0C33FA00" w14:textId="77777777" w:rsidTr="00243B15">
        <w:tc>
          <w:tcPr>
            <w:tcW w:w="3415" w:type="dxa"/>
            <w:shd w:val="clear" w:color="auto" w:fill="auto"/>
          </w:tcPr>
          <w:p w14:paraId="19C8C786"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ZOVICs Guiaro- Pô (7)</w:t>
            </w:r>
          </w:p>
        </w:tc>
        <w:tc>
          <w:tcPr>
            <w:tcW w:w="1350" w:type="dxa"/>
            <w:shd w:val="clear" w:color="auto" w:fill="auto"/>
          </w:tcPr>
          <w:p w14:paraId="469B1C4C"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none</w:t>
            </w:r>
          </w:p>
        </w:tc>
        <w:tc>
          <w:tcPr>
            <w:tcW w:w="1126" w:type="dxa"/>
            <w:shd w:val="clear" w:color="auto" w:fill="auto"/>
          </w:tcPr>
          <w:p w14:paraId="4799676D"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VI</w:t>
            </w:r>
          </w:p>
        </w:tc>
        <w:tc>
          <w:tcPr>
            <w:tcW w:w="2111" w:type="dxa"/>
            <w:shd w:val="clear" w:color="auto" w:fill="auto"/>
          </w:tcPr>
          <w:p w14:paraId="632195F0"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w:t>
            </w:r>
          </w:p>
        </w:tc>
        <w:tc>
          <w:tcPr>
            <w:tcW w:w="2174" w:type="dxa"/>
            <w:shd w:val="clear" w:color="auto" w:fill="auto"/>
          </w:tcPr>
          <w:p w14:paraId="1A82141F"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14,279</w:t>
            </w:r>
          </w:p>
        </w:tc>
        <w:tc>
          <w:tcPr>
            <w:tcW w:w="2107" w:type="dxa"/>
            <w:shd w:val="clear" w:color="auto" w:fill="auto"/>
          </w:tcPr>
          <w:p w14:paraId="0B4AAD60" w14:textId="77777777" w:rsidR="00302BFE" w:rsidRPr="00F166CF" w:rsidRDefault="00302BFE" w:rsidP="00243B15">
            <w:pPr>
              <w:rPr>
                <w:rFonts w:ascii="Times New Roman" w:eastAsia="Times New Roman" w:hAnsi="Times New Roman"/>
                <w:color w:val="000000"/>
              </w:rPr>
            </w:pPr>
          </w:p>
        </w:tc>
        <w:tc>
          <w:tcPr>
            <w:tcW w:w="2107" w:type="dxa"/>
            <w:shd w:val="clear" w:color="auto" w:fill="auto"/>
          </w:tcPr>
          <w:p w14:paraId="4AE9F39F" w14:textId="77777777" w:rsidR="00302BFE" w:rsidRPr="00F166CF" w:rsidRDefault="00302BFE" w:rsidP="00243B15">
            <w:pPr>
              <w:rPr>
                <w:rFonts w:ascii="Times New Roman" w:eastAsia="Times New Roman" w:hAnsi="Times New Roman"/>
                <w:color w:val="000000"/>
              </w:rPr>
            </w:pPr>
          </w:p>
        </w:tc>
      </w:tr>
      <w:tr w:rsidR="00302BFE" w:rsidRPr="00E743F0" w14:paraId="7AC42AB7" w14:textId="77777777" w:rsidTr="00243B15">
        <w:tc>
          <w:tcPr>
            <w:tcW w:w="3415" w:type="dxa"/>
            <w:shd w:val="clear" w:color="auto" w:fill="auto"/>
          </w:tcPr>
          <w:p w14:paraId="410A804E"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lastRenderedPageBreak/>
              <w:t>ZOVICs Biéha (4)</w:t>
            </w:r>
          </w:p>
        </w:tc>
        <w:tc>
          <w:tcPr>
            <w:tcW w:w="1350" w:type="dxa"/>
            <w:shd w:val="clear" w:color="auto" w:fill="auto"/>
          </w:tcPr>
          <w:p w14:paraId="4AE913EA"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none</w:t>
            </w:r>
          </w:p>
        </w:tc>
        <w:tc>
          <w:tcPr>
            <w:tcW w:w="1126" w:type="dxa"/>
            <w:shd w:val="clear" w:color="auto" w:fill="auto"/>
          </w:tcPr>
          <w:p w14:paraId="6AADE134"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VI</w:t>
            </w:r>
          </w:p>
        </w:tc>
        <w:tc>
          <w:tcPr>
            <w:tcW w:w="2111" w:type="dxa"/>
            <w:shd w:val="clear" w:color="auto" w:fill="auto"/>
          </w:tcPr>
          <w:p w14:paraId="2BA588FE"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w:t>
            </w:r>
          </w:p>
        </w:tc>
        <w:tc>
          <w:tcPr>
            <w:tcW w:w="2174" w:type="dxa"/>
            <w:shd w:val="clear" w:color="auto" w:fill="auto"/>
          </w:tcPr>
          <w:p w14:paraId="088550D8"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10,002</w:t>
            </w:r>
          </w:p>
        </w:tc>
        <w:tc>
          <w:tcPr>
            <w:tcW w:w="2107" w:type="dxa"/>
            <w:shd w:val="clear" w:color="auto" w:fill="auto"/>
          </w:tcPr>
          <w:p w14:paraId="7D7B1667" w14:textId="77777777" w:rsidR="00302BFE" w:rsidRPr="00F166CF" w:rsidRDefault="00302BFE" w:rsidP="00243B15">
            <w:pPr>
              <w:rPr>
                <w:rFonts w:ascii="Times New Roman" w:eastAsia="Times New Roman" w:hAnsi="Times New Roman"/>
                <w:color w:val="000000"/>
              </w:rPr>
            </w:pPr>
          </w:p>
        </w:tc>
        <w:tc>
          <w:tcPr>
            <w:tcW w:w="2107" w:type="dxa"/>
            <w:shd w:val="clear" w:color="auto" w:fill="auto"/>
          </w:tcPr>
          <w:p w14:paraId="76176680" w14:textId="77777777" w:rsidR="00302BFE" w:rsidRPr="00F166CF" w:rsidRDefault="00302BFE" w:rsidP="00243B15">
            <w:pPr>
              <w:rPr>
                <w:rFonts w:ascii="Times New Roman" w:eastAsia="Times New Roman" w:hAnsi="Times New Roman"/>
                <w:color w:val="000000"/>
              </w:rPr>
            </w:pPr>
          </w:p>
        </w:tc>
      </w:tr>
      <w:tr w:rsidR="00302BFE" w:rsidRPr="00E743F0" w14:paraId="0C4DCF61" w14:textId="77777777" w:rsidTr="00243B15">
        <w:tc>
          <w:tcPr>
            <w:tcW w:w="3415" w:type="dxa"/>
            <w:shd w:val="clear" w:color="auto" w:fill="auto"/>
          </w:tcPr>
          <w:p w14:paraId="52A7B62D"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ZOVICs (10 in all)</w:t>
            </w:r>
          </w:p>
        </w:tc>
        <w:tc>
          <w:tcPr>
            <w:tcW w:w="1350" w:type="dxa"/>
            <w:shd w:val="clear" w:color="auto" w:fill="auto"/>
          </w:tcPr>
          <w:p w14:paraId="0704B464"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none</w:t>
            </w:r>
          </w:p>
        </w:tc>
        <w:tc>
          <w:tcPr>
            <w:tcW w:w="1126" w:type="dxa"/>
            <w:shd w:val="clear" w:color="auto" w:fill="auto"/>
          </w:tcPr>
          <w:p w14:paraId="5A892436"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VI</w:t>
            </w:r>
          </w:p>
        </w:tc>
        <w:tc>
          <w:tcPr>
            <w:tcW w:w="2111" w:type="dxa"/>
            <w:shd w:val="clear" w:color="auto" w:fill="auto"/>
          </w:tcPr>
          <w:p w14:paraId="5A3F1B2F"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32,932</w:t>
            </w:r>
          </w:p>
        </w:tc>
        <w:tc>
          <w:tcPr>
            <w:tcW w:w="2174" w:type="dxa"/>
            <w:shd w:val="clear" w:color="auto" w:fill="auto"/>
          </w:tcPr>
          <w:p w14:paraId="4202C5AC"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w:t>
            </w:r>
          </w:p>
        </w:tc>
        <w:tc>
          <w:tcPr>
            <w:tcW w:w="2107" w:type="dxa"/>
            <w:shd w:val="clear" w:color="auto" w:fill="auto"/>
          </w:tcPr>
          <w:p w14:paraId="7F662B07" w14:textId="77777777" w:rsidR="00302BFE" w:rsidRPr="00F166CF" w:rsidRDefault="00302BFE" w:rsidP="00243B15">
            <w:pPr>
              <w:rPr>
                <w:rFonts w:ascii="Times New Roman" w:eastAsia="Times New Roman" w:hAnsi="Times New Roman"/>
                <w:color w:val="000000"/>
              </w:rPr>
            </w:pPr>
          </w:p>
        </w:tc>
        <w:tc>
          <w:tcPr>
            <w:tcW w:w="2107" w:type="dxa"/>
            <w:shd w:val="clear" w:color="auto" w:fill="auto"/>
          </w:tcPr>
          <w:p w14:paraId="0D8D99B1" w14:textId="77777777" w:rsidR="00302BFE" w:rsidRPr="00F166CF" w:rsidRDefault="00302BFE" w:rsidP="00243B15">
            <w:pPr>
              <w:rPr>
                <w:rFonts w:ascii="Times New Roman" w:eastAsia="Times New Roman" w:hAnsi="Times New Roman"/>
                <w:color w:val="000000"/>
              </w:rPr>
            </w:pPr>
          </w:p>
        </w:tc>
      </w:tr>
      <w:tr w:rsidR="00302BFE" w:rsidRPr="00F166CF" w14:paraId="1087E5F6" w14:textId="77777777" w:rsidTr="00243B15">
        <w:tc>
          <w:tcPr>
            <w:tcW w:w="3415" w:type="dxa"/>
            <w:shd w:val="clear" w:color="auto" w:fill="auto"/>
          </w:tcPr>
          <w:p w14:paraId="201978EF" w14:textId="77777777" w:rsidR="00302BFE" w:rsidRPr="00F166CF" w:rsidRDefault="00302BFE" w:rsidP="00243B15">
            <w:pPr>
              <w:rPr>
                <w:rFonts w:ascii="Times New Roman" w:eastAsia="Times New Roman" w:hAnsi="Times New Roman"/>
                <w:color w:val="000000"/>
                <w:szCs w:val="20"/>
                <w:lang w:val="fr-CA"/>
              </w:rPr>
            </w:pPr>
            <w:r w:rsidRPr="00F166CF">
              <w:rPr>
                <w:rFonts w:ascii="Times New Roman" w:eastAsia="Times New Roman" w:hAnsi="Times New Roman"/>
                <w:color w:val="000000"/>
                <w:szCs w:val="20"/>
                <w:lang w:val="fr-CA"/>
              </w:rPr>
              <w:t>Nazinon Classified Forest/ Forest management site (</w:t>
            </w:r>
            <w:r w:rsidRPr="00F166CF">
              <w:rPr>
                <w:rFonts w:ascii="Times New Roman" w:eastAsia="Times New Roman" w:hAnsi="Times New Roman"/>
                <w:i/>
                <w:color w:val="000000"/>
                <w:szCs w:val="20"/>
                <w:lang w:val="fr-CA"/>
              </w:rPr>
              <w:t>Chantier d’aménagement Forestier</w:t>
            </w:r>
            <w:r w:rsidRPr="00F166CF">
              <w:rPr>
                <w:rFonts w:ascii="Times New Roman" w:eastAsia="Times New Roman" w:hAnsi="Times New Roman"/>
                <w:color w:val="000000"/>
                <w:szCs w:val="20"/>
                <w:lang w:val="fr-CA"/>
              </w:rPr>
              <w:t>)</w:t>
            </w:r>
          </w:p>
        </w:tc>
        <w:tc>
          <w:tcPr>
            <w:tcW w:w="1350" w:type="dxa"/>
            <w:shd w:val="clear" w:color="auto" w:fill="auto"/>
          </w:tcPr>
          <w:p w14:paraId="0C412140" w14:textId="77777777" w:rsidR="00302BFE" w:rsidRPr="00F166CF" w:rsidRDefault="00302BFE" w:rsidP="00243B15">
            <w:pPr>
              <w:rPr>
                <w:rFonts w:ascii="Times New Roman" w:eastAsia="Times New Roman" w:hAnsi="Times New Roman"/>
                <w:color w:val="000000"/>
                <w:szCs w:val="20"/>
                <w:lang w:val="fr-CA"/>
              </w:rPr>
            </w:pPr>
            <w:r w:rsidRPr="00F166CF">
              <w:rPr>
                <w:rFonts w:ascii="Times New Roman" w:eastAsia="Times New Roman" w:hAnsi="Times New Roman"/>
                <w:color w:val="000000"/>
                <w:szCs w:val="20"/>
                <w:lang w:val="fr-CA"/>
              </w:rPr>
              <w:t>none</w:t>
            </w:r>
          </w:p>
        </w:tc>
        <w:tc>
          <w:tcPr>
            <w:tcW w:w="1126" w:type="dxa"/>
            <w:shd w:val="clear" w:color="auto" w:fill="auto"/>
          </w:tcPr>
          <w:p w14:paraId="39A53F1C" w14:textId="77777777" w:rsidR="00302BFE" w:rsidRPr="00F166CF" w:rsidRDefault="00302BFE" w:rsidP="00243B15">
            <w:pPr>
              <w:rPr>
                <w:rFonts w:ascii="Times New Roman" w:eastAsia="Times New Roman" w:hAnsi="Times New Roman"/>
                <w:color w:val="000000"/>
                <w:szCs w:val="20"/>
                <w:lang w:val="fr-CA"/>
              </w:rPr>
            </w:pPr>
            <w:r w:rsidRPr="00F166CF">
              <w:rPr>
                <w:rFonts w:ascii="Times New Roman" w:eastAsia="Times New Roman" w:hAnsi="Times New Roman"/>
                <w:color w:val="000000"/>
                <w:szCs w:val="20"/>
                <w:lang w:val="fr-CA"/>
              </w:rPr>
              <w:t>n.a.</w:t>
            </w:r>
          </w:p>
        </w:tc>
        <w:tc>
          <w:tcPr>
            <w:tcW w:w="2111" w:type="dxa"/>
            <w:shd w:val="clear" w:color="auto" w:fill="auto"/>
          </w:tcPr>
          <w:p w14:paraId="1372EB1E" w14:textId="77777777" w:rsidR="00302BFE" w:rsidRPr="00F166CF" w:rsidRDefault="00302BFE" w:rsidP="00243B15">
            <w:pPr>
              <w:rPr>
                <w:rFonts w:ascii="Times New Roman" w:eastAsia="Times New Roman" w:hAnsi="Times New Roman"/>
                <w:color w:val="000000"/>
                <w:szCs w:val="20"/>
                <w:lang w:val="fr-CA"/>
              </w:rPr>
            </w:pPr>
            <w:r w:rsidRPr="00F166CF">
              <w:rPr>
                <w:rFonts w:ascii="Times New Roman" w:eastAsia="Times New Roman" w:hAnsi="Times New Roman"/>
                <w:color w:val="000000"/>
                <w:szCs w:val="20"/>
                <w:lang w:val="fr-CA"/>
              </w:rPr>
              <w:t>10,746</w:t>
            </w:r>
          </w:p>
        </w:tc>
        <w:tc>
          <w:tcPr>
            <w:tcW w:w="2174" w:type="dxa"/>
            <w:shd w:val="clear" w:color="auto" w:fill="auto"/>
          </w:tcPr>
          <w:p w14:paraId="3AB29E7D" w14:textId="77777777" w:rsidR="00302BFE" w:rsidRPr="00F166CF" w:rsidRDefault="00302BFE" w:rsidP="00243B15">
            <w:pPr>
              <w:rPr>
                <w:rFonts w:ascii="Times New Roman" w:eastAsia="Times New Roman" w:hAnsi="Times New Roman"/>
                <w:color w:val="000000"/>
                <w:szCs w:val="20"/>
                <w:lang w:val="fr-CA"/>
              </w:rPr>
            </w:pPr>
            <w:r w:rsidRPr="00F166CF">
              <w:rPr>
                <w:rFonts w:ascii="Times New Roman" w:eastAsia="Times New Roman" w:hAnsi="Times New Roman"/>
                <w:color w:val="000000"/>
                <w:szCs w:val="20"/>
                <w:lang w:val="fr-CA"/>
              </w:rPr>
              <w:t>-</w:t>
            </w:r>
          </w:p>
        </w:tc>
        <w:tc>
          <w:tcPr>
            <w:tcW w:w="2107" w:type="dxa"/>
            <w:shd w:val="clear" w:color="auto" w:fill="auto"/>
          </w:tcPr>
          <w:p w14:paraId="7176EAEA" w14:textId="77777777" w:rsidR="00302BFE" w:rsidRPr="00F166CF" w:rsidRDefault="00302BFE" w:rsidP="00243B15">
            <w:pPr>
              <w:rPr>
                <w:rFonts w:ascii="Times New Roman" w:eastAsia="Times New Roman" w:hAnsi="Times New Roman"/>
                <w:color w:val="000000"/>
                <w:lang w:val="fr-CA"/>
              </w:rPr>
            </w:pPr>
          </w:p>
        </w:tc>
        <w:tc>
          <w:tcPr>
            <w:tcW w:w="2107" w:type="dxa"/>
            <w:shd w:val="clear" w:color="auto" w:fill="auto"/>
          </w:tcPr>
          <w:p w14:paraId="7A1EF41D" w14:textId="77777777" w:rsidR="00302BFE" w:rsidRPr="00F166CF" w:rsidRDefault="00302BFE" w:rsidP="00243B15">
            <w:pPr>
              <w:rPr>
                <w:rFonts w:ascii="Times New Roman" w:eastAsia="Times New Roman" w:hAnsi="Times New Roman"/>
                <w:color w:val="000000"/>
                <w:lang w:val="fr-CA"/>
              </w:rPr>
            </w:pPr>
          </w:p>
        </w:tc>
      </w:tr>
      <w:tr w:rsidR="00302BFE" w:rsidRPr="00F166CF" w14:paraId="2E43F9AC" w14:textId="77777777" w:rsidTr="00243B15">
        <w:tc>
          <w:tcPr>
            <w:tcW w:w="3415" w:type="dxa"/>
            <w:shd w:val="clear" w:color="auto" w:fill="auto"/>
          </w:tcPr>
          <w:p w14:paraId="488DD7B9" w14:textId="77777777" w:rsidR="00302BFE" w:rsidRPr="00F166CF" w:rsidRDefault="00302BFE" w:rsidP="00243B15">
            <w:pPr>
              <w:rPr>
                <w:rFonts w:ascii="Times New Roman" w:eastAsia="Times New Roman" w:hAnsi="Times New Roman"/>
                <w:b/>
                <w:color w:val="000000"/>
                <w:szCs w:val="20"/>
                <w:lang w:val="fr-CA"/>
              </w:rPr>
            </w:pPr>
            <w:r w:rsidRPr="00F166CF">
              <w:rPr>
                <w:rFonts w:ascii="Times New Roman" w:eastAsia="Times New Roman" w:hAnsi="Times New Roman"/>
                <w:b/>
                <w:color w:val="000000"/>
                <w:szCs w:val="20"/>
                <w:lang w:val="fr-CA"/>
              </w:rPr>
              <w:t>Total</w:t>
            </w:r>
          </w:p>
        </w:tc>
        <w:tc>
          <w:tcPr>
            <w:tcW w:w="1350" w:type="dxa"/>
            <w:shd w:val="clear" w:color="auto" w:fill="auto"/>
          </w:tcPr>
          <w:p w14:paraId="0499A762" w14:textId="77777777" w:rsidR="00302BFE" w:rsidRPr="00F166CF" w:rsidRDefault="00302BFE" w:rsidP="00243B15">
            <w:pPr>
              <w:rPr>
                <w:rFonts w:ascii="Times New Roman" w:eastAsia="Times New Roman" w:hAnsi="Times New Roman"/>
                <w:color w:val="000000"/>
                <w:szCs w:val="20"/>
                <w:lang w:val="fr-CA"/>
              </w:rPr>
            </w:pPr>
          </w:p>
        </w:tc>
        <w:tc>
          <w:tcPr>
            <w:tcW w:w="1126" w:type="dxa"/>
            <w:shd w:val="clear" w:color="auto" w:fill="auto"/>
          </w:tcPr>
          <w:p w14:paraId="15B6FF8B" w14:textId="77777777" w:rsidR="00302BFE" w:rsidRPr="00F166CF" w:rsidRDefault="00302BFE" w:rsidP="00243B15">
            <w:pPr>
              <w:rPr>
                <w:rFonts w:ascii="Times New Roman" w:eastAsia="Times New Roman" w:hAnsi="Times New Roman"/>
                <w:color w:val="000000"/>
                <w:szCs w:val="20"/>
                <w:lang w:val="fr-CA"/>
              </w:rPr>
            </w:pPr>
          </w:p>
        </w:tc>
        <w:tc>
          <w:tcPr>
            <w:tcW w:w="2111" w:type="dxa"/>
            <w:shd w:val="clear" w:color="auto" w:fill="auto"/>
          </w:tcPr>
          <w:p w14:paraId="28764007" w14:textId="77777777" w:rsidR="00302BFE" w:rsidRPr="00F166CF" w:rsidRDefault="00302BFE" w:rsidP="00243B15">
            <w:pPr>
              <w:rPr>
                <w:rFonts w:ascii="Times New Roman" w:eastAsia="Times New Roman" w:hAnsi="Times New Roman"/>
                <w:b/>
                <w:color w:val="000000"/>
                <w:szCs w:val="20"/>
                <w:lang w:val="fr-CA"/>
              </w:rPr>
            </w:pPr>
            <w:r w:rsidRPr="00F166CF">
              <w:rPr>
                <w:rFonts w:ascii="Times New Roman" w:eastAsia="Times New Roman" w:hAnsi="Times New Roman"/>
                <w:b/>
                <w:color w:val="000000"/>
                <w:szCs w:val="20"/>
                <w:lang w:val="fr-CA"/>
              </w:rPr>
              <w:t>436,057</w:t>
            </w:r>
          </w:p>
        </w:tc>
        <w:tc>
          <w:tcPr>
            <w:tcW w:w="2174" w:type="dxa"/>
            <w:shd w:val="clear" w:color="auto" w:fill="auto"/>
          </w:tcPr>
          <w:p w14:paraId="5B831FC9" w14:textId="77777777" w:rsidR="00302BFE" w:rsidRPr="00F166CF" w:rsidRDefault="00302BFE" w:rsidP="00243B15">
            <w:pPr>
              <w:rPr>
                <w:rFonts w:ascii="Times New Roman" w:eastAsia="Times New Roman" w:hAnsi="Times New Roman"/>
                <w:b/>
                <w:color w:val="000000"/>
                <w:szCs w:val="20"/>
                <w:lang w:val="fr-CA"/>
              </w:rPr>
            </w:pPr>
            <w:r w:rsidRPr="00F166CF">
              <w:rPr>
                <w:rFonts w:ascii="Times New Roman" w:eastAsia="Times New Roman" w:hAnsi="Times New Roman"/>
                <w:b/>
                <w:color w:val="000000"/>
                <w:szCs w:val="20"/>
                <w:lang w:val="fr-CA"/>
              </w:rPr>
              <w:t>321,781</w:t>
            </w:r>
          </w:p>
        </w:tc>
        <w:tc>
          <w:tcPr>
            <w:tcW w:w="2107" w:type="dxa"/>
            <w:shd w:val="clear" w:color="auto" w:fill="auto"/>
          </w:tcPr>
          <w:p w14:paraId="50675AA7" w14:textId="77777777" w:rsidR="00302BFE" w:rsidRPr="00F166CF" w:rsidRDefault="00302BFE" w:rsidP="00243B15">
            <w:pPr>
              <w:rPr>
                <w:rFonts w:ascii="Times New Roman" w:eastAsia="Times New Roman" w:hAnsi="Times New Roman"/>
                <w:color w:val="000000"/>
                <w:lang w:val="fr-CA"/>
              </w:rPr>
            </w:pPr>
          </w:p>
        </w:tc>
        <w:tc>
          <w:tcPr>
            <w:tcW w:w="2107" w:type="dxa"/>
            <w:shd w:val="clear" w:color="auto" w:fill="auto"/>
          </w:tcPr>
          <w:p w14:paraId="280DA371" w14:textId="77777777" w:rsidR="00302BFE" w:rsidRPr="00F166CF" w:rsidRDefault="00302BFE" w:rsidP="00243B15">
            <w:pPr>
              <w:rPr>
                <w:rFonts w:ascii="Times New Roman" w:eastAsia="Times New Roman" w:hAnsi="Times New Roman"/>
                <w:color w:val="000000"/>
                <w:lang w:val="fr-CA"/>
              </w:rPr>
            </w:pPr>
          </w:p>
        </w:tc>
      </w:tr>
    </w:tbl>
    <w:p w14:paraId="00CE0A3D" w14:textId="77777777" w:rsidR="00302BFE" w:rsidRPr="00E743F0" w:rsidRDefault="00302BFE" w:rsidP="00302BFE">
      <w:pPr>
        <w:spacing w:after="0"/>
        <w:rPr>
          <w:rFonts w:ascii="Times New Roman" w:eastAsia="Times New Roman" w:hAnsi="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409"/>
        <w:gridCol w:w="2127"/>
        <w:gridCol w:w="1984"/>
      </w:tblGrid>
      <w:tr w:rsidR="00302BFE" w:rsidRPr="00E743F0" w14:paraId="6EBC15BE" w14:textId="77777777" w:rsidTr="00243B15">
        <w:tc>
          <w:tcPr>
            <w:tcW w:w="2802" w:type="dxa"/>
            <w:shd w:val="clear" w:color="auto" w:fill="4472C4"/>
          </w:tcPr>
          <w:p w14:paraId="7B6B75F6"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Name of Protected Area</w:t>
            </w:r>
          </w:p>
        </w:tc>
        <w:tc>
          <w:tcPr>
            <w:tcW w:w="2409" w:type="dxa"/>
            <w:shd w:val="clear" w:color="auto" w:fill="4472C4"/>
          </w:tcPr>
          <w:p w14:paraId="64995A39"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METT Score at CEO ER</w:t>
            </w:r>
          </w:p>
        </w:tc>
        <w:tc>
          <w:tcPr>
            <w:tcW w:w="2127" w:type="dxa"/>
            <w:shd w:val="clear" w:color="auto" w:fill="4472C4"/>
          </w:tcPr>
          <w:p w14:paraId="6A272BD3"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METT Score at MTR</w:t>
            </w:r>
          </w:p>
        </w:tc>
        <w:tc>
          <w:tcPr>
            <w:tcW w:w="1984" w:type="dxa"/>
            <w:shd w:val="clear" w:color="auto" w:fill="4472C4"/>
          </w:tcPr>
          <w:p w14:paraId="7BC925CD"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METT Score at TE</w:t>
            </w:r>
          </w:p>
        </w:tc>
      </w:tr>
      <w:tr w:rsidR="00302BFE" w:rsidRPr="00E743F0" w14:paraId="206B38B3" w14:textId="77777777" w:rsidTr="00243B15">
        <w:tc>
          <w:tcPr>
            <w:tcW w:w="2802" w:type="dxa"/>
            <w:shd w:val="clear" w:color="auto" w:fill="auto"/>
          </w:tcPr>
          <w:p w14:paraId="409B05FF"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Nazinga Game Ranch</w:t>
            </w:r>
          </w:p>
        </w:tc>
        <w:tc>
          <w:tcPr>
            <w:tcW w:w="2409" w:type="dxa"/>
            <w:shd w:val="clear" w:color="auto" w:fill="auto"/>
          </w:tcPr>
          <w:p w14:paraId="1641D7BD"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75</w:t>
            </w:r>
          </w:p>
        </w:tc>
        <w:tc>
          <w:tcPr>
            <w:tcW w:w="2127" w:type="dxa"/>
            <w:shd w:val="clear" w:color="auto" w:fill="auto"/>
          </w:tcPr>
          <w:p w14:paraId="76FE27CD" w14:textId="77777777" w:rsidR="00302BFE" w:rsidRPr="00F166CF" w:rsidRDefault="00302BFE" w:rsidP="00243B15">
            <w:pPr>
              <w:rPr>
                <w:rFonts w:ascii="Times New Roman" w:eastAsia="Times New Roman" w:hAnsi="Times New Roman"/>
                <w:color w:val="000000"/>
                <w:szCs w:val="20"/>
              </w:rPr>
            </w:pPr>
          </w:p>
        </w:tc>
        <w:tc>
          <w:tcPr>
            <w:tcW w:w="1984" w:type="dxa"/>
            <w:shd w:val="clear" w:color="auto" w:fill="auto"/>
          </w:tcPr>
          <w:p w14:paraId="0F49E1E1" w14:textId="77777777" w:rsidR="00302BFE" w:rsidRPr="00F166CF" w:rsidRDefault="00302BFE" w:rsidP="00243B15">
            <w:pPr>
              <w:rPr>
                <w:rFonts w:ascii="Times New Roman" w:eastAsia="Times New Roman" w:hAnsi="Times New Roman"/>
                <w:color w:val="000000"/>
                <w:szCs w:val="20"/>
              </w:rPr>
            </w:pPr>
          </w:p>
        </w:tc>
      </w:tr>
      <w:tr w:rsidR="00302BFE" w:rsidRPr="00E743F0" w14:paraId="165C1358" w14:textId="77777777" w:rsidTr="00243B15">
        <w:tc>
          <w:tcPr>
            <w:tcW w:w="2802" w:type="dxa"/>
            <w:shd w:val="clear" w:color="auto" w:fill="auto"/>
          </w:tcPr>
          <w:p w14:paraId="4C6AFB33"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Sissili Classified Forest</w:t>
            </w:r>
          </w:p>
        </w:tc>
        <w:tc>
          <w:tcPr>
            <w:tcW w:w="2409" w:type="dxa"/>
            <w:shd w:val="clear" w:color="auto" w:fill="auto"/>
          </w:tcPr>
          <w:p w14:paraId="3F33BB01"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47</w:t>
            </w:r>
          </w:p>
        </w:tc>
        <w:tc>
          <w:tcPr>
            <w:tcW w:w="2127" w:type="dxa"/>
            <w:shd w:val="clear" w:color="auto" w:fill="auto"/>
          </w:tcPr>
          <w:p w14:paraId="3E99E949" w14:textId="77777777" w:rsidR="00302BFE" w:rsidRPr="00F166CF" w:rsidRDefault="00302BFE" w:rsidP="00243B15">
            <w:pPr>
              <w:rPr>
                <w:rFonts w:ascii="Times New Roman" w:eastAsia="Times New Roman" w:hAnsi="Times New Roman"/>
                <w:color w:val="000000"/>
                <w:szCs w:val="20"/>
              </w:rPr>
            </w:pPr>
          </w:p>
        </w:tc>
        <w:tc>
          <w:tcPr>
            <w:tcW w:w="1984" w:type="dxa"/>
            <w:shd w:val="clear" w:color="auto" w:fill="auto"/>
          </w:tcPr>
          <w:p w14:paraId="319759C8" w14:textId="77777777" w:rsidR="00302BFE" w:rsidRPr="00F166CF" w:rsidRDefault="00302BFE" w:rsidP="00243B15">
            <w:pPr>
              <w:rPr>
                <w:rFonts w:ascii="Times New Roman" w:eastAsia="Times New Roman" w:hAnsi="Times New Roman"/>
                <w:color w:val="000000"/>
                <w:szCs w:val="20"/>
              </w:rPr>
            </w:pPr>
          </w:p>
        </w:tc>
      </w:tr>
      <w:tr w:rsidR="00302BFE" w:rsidRPr="00E743F0" w14:paraId="418B8A22" w14:textId="77777777" w:rsidTr="00243B15">
        <w:tc>
          <w:tcPr>
            <w:tcW w:w="2802" w:type="dxa"/>
            <w:shd w:val="clear" w:color="auto" w:fill="auto"/>
          </w:tcPr>
          <w:p w14:paraId="655EC798"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Kaboré-Tambi National Park</w:t>
            </w:r>
          </w:p>
        </w:tc>
        <w:tc>
          <w:tcPr>
            <w:tcW w:w="2409" w:type="dxa"/>
            <w:shd w:val="clear" w:color="auto" w:fill="auto"/>
          </w:tcPr>
          <w:p w14:paraId="001C0E01"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39</w:t>
            </w:r>
          </w:p>
        </w:tc>
        <w:tc>
          <w:tcPr>
            <w:tcW w:w="2127" w:type="dxa"/>
            <w:shd w:val="clear" w:color="auto" w:fill="auto"/>
          </w:tcPr>
          <w:p w14:paraId="4F51F289" w14:textId="77777777" w:rsidR="00302BFE" w:rsidRPr="00F166CF" w:rsidRDefault="00302BFE" w:rsidP="00243B15">
            <w:pPr>
              <w:rPr>
                <w:rFonts w:ascii="Times New Roman" w:eastAsia="Times New Roman" w:hAnsi="Times New Roman"/>
                <w:color w:val="000000"/>
                <w:szCs w:val="20"/>
              </w:rPr>
            </w:pPr>
          </w:p>
        </w:tc>
        <w:tc>
          <w:tcPr>
            <w:tcW w:w="1984" w:type="dxa"/>
            <w:shd w:val="clear" w:color="auto" w:fill="auto"/>
          </w:tcPr>
          <w:p w14:paraId="15D25820" w14:textId="77777777" w:rsidR="00302BFE" w:rsidRPr="00F166CF" w:rsidRDefault="00302BFE" w:rsidP="00243B15">
            <w:pPr>
              <w:rPr>
                <w:rFonts w:ascii="Times New Roman" w:eastAsia="Times New Roman" w:hAnsi="Times New Roman"/>
                <w:color w:val="000000"/>
                <w:szCs w:val="20"/>
              </w:rPr>
            </w:pPr>
          </w:p>
        </w:tc>
      </w:tr>
      <w:tr w:rsidR="00302BFE" w:rsidRPr="00E743F0" w14:paraId="5A12B24F" w14:textId="77777777" w:rsidTr="00243B15">
        <w:tc>
          <w:tcPr>
            <w:tcW w:w="2802" w:type="dxa"/>
            <w:shd w:val="clear" w:color="auto" w:fill="auto"/>
          </w:tcPr>
          <w:p w14:paraId="213F1145"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Corridor #1</w:t>
            </w:r>
          </w:p>
        </w:tc>
        <w:tc>
          <w:tcPr>
            <w:tcW w:w="2409" w:type="dxa"/>
            <w:shd w:val="clear" w:color="auto" w:fill="auto"/>
          </w:tcPr>
          <w:p w14:paraId="0B865285"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31</w:t>
            </w:r>
          </w:p>
        </w:tc>
        <w:tc>
          <w:tcPr>
            <w:tcW w:w="2127" w:type="dxa"/>
            <w:shd w:val="clear" w:color="auto" w:fill="auto"/>
          </w:tcPr>
          <w:p w14:paraId="3B18729C" w14:textId="77777777" w:rsidR="00302BFE" w:rsidRPr="00F166CF" w:rsidRDefault="00302BFE" w:rsidP="00243B15">
            <w:pPr>
              <w:rPr>
                <w:rFonts w:ascii="Times New Roman" w:eastAsia="Times New Roman" w:hAnsi="Times New Roman"/>
                <w:color w:val="000000"/>
                <w:szCs w:val="20"/>
              </w:rPr>
            </w:pPr>
          </w:p>
        </w:tc>
        <w:tc>
          <w:tcPr>
            <w:tcW w:w="1984" w:type="dxa"/>
            <w:shd w:val="clear" w:color="auto" w:fill="auto"/>
          </w:tcPr>
          <w:p w14:paraId="33F1B0A6" w14:textId="77777777" w:rsidR="00302BFE" w:rsidRPr="00F166CF" w:rsidRDefault="00302BFE" w:rsidP="00243B15">
            <w:pPr>
              <w:rPr>
                <w:rFonts w:ascii="Times New Roman" w:eastAsia="Times New Roman" w:hAnsi="Times New Roman"/>
                <w:color w:val="000000"/>
                <w:szCs w:val="20"/>
              </w:rPr>
            </w:pPr>
          </w:p>
        </w:tc>
      </w:tr>
      <w:tr w:rsidR="00302BFE" w:rsidRPr="00E743F0" w14:paraId="534A01EE" w14:textId="77777777" w:rsidTr="00243B15">
        <w:tc>
          <w:tcPr>
            <w:tcW w:w="2802" w:type="dxa"/>
            <w:shd w:val="clear" w:color="auto" w:fill="auto"/>
          </w:tcPr>
          <w:p w14:paraId="1A4F7105"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ZOVICs Guiaro-Pô</w:t>
            </w:r>
          </w:p>
        </w:tc>
        <w:tc>
          <w:tcPr>
            <w:tcW w:w="2409" w:type="dxa"/>
            <w:shd w:val="clear" w:color="auto" w:fill="auto"/>
          </w:tcPr>
          <w:p w14:paraId="74AF8B01"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55</w:t>
            </w:r>
          </w:p>
        </w:tc>
        <w:tc>
          <w:tcPr>
            <w:tcW w:w="2127" w:type="dxa"/>
            <w:shd w:val="clear" w:color="auto" w:fill="auto"/>
          </w:tcPr>
          <w:p w14:paraId="0D749C6E" w14:textId="77777777" w:rsidR="00302BFE" w:rsidRPr="00F166CF" w:rsidRDefault="00302BFE" w:rsidP="00243B15">
            <w:pPr>
              <w:rPr>
                <w:rFonts w:ascii="Times New Roman" w:eastAsia="Times New Roman" w:hAnsi="Times New Roman"/>
                <w:color w:val="000000"/>
                <w:szCs w:val="20"/>
              </w:rPr>
            </w:pPr>
          </w:p>
        </w:tc>
        <w:tc>
          <w:tcPr>
            <w:tcW w:w="1984" w:type="dxa"/>
            <w:shd w:val="clear" w:color="auto" w:fill="auto"/>
          </w:tcPr>
          <w:p w14:paraId="4DA1CD33" w14:textId="77777777" w:rsidR="00302BFE" w:rsidRPr="00F166CF" w:rsidRDefault="00302BFE" w:rsidP="00243B15">
            <w:pPr>
              <w:rPr>
                <w:rFonts w:ascii="Times New Roman" w:eastAsia="Times New Roman" w:hAnsi="Times New Roman"/>
                <w:color w:val="000000"/>
                <w:szCs w:val="20"/>
              </w:rPr>
            </w:pPr>
          </w:p>
        </w:tc>
      </w:tr>
      <w:tr w:rsidR="00302BFE" w:rsidRPr="00E743F0" w14:paraId="2AB8B8B5" w14:textId="77777777" w:rsidTr="00243B15">
        <w:tc>
          <w:tcPr>
            <w:tcW w:w="2802" w:type="dxa"/>
            <w:shd w:val="clear" w:color="auto" w:fill="auto"/>
          </w:tcPr>
          <w:p w14:paraId="5938F096"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ZOVICs Biéha</w:t>
            </w:r>
          </w:p>
        </w:tc>
        <w:tc>
          <w:tcPr>
            <w:tcW w:w="2409" w:type="dxa"/>
            <w:shd w:val="clear" w:color="auto" w:fill="auto"/>
          </w:tcPr>
          <w:p w14:paraId="78727E42"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36</w:t>
            </w:r>
          </w:p>
        </w:tc>
        <w:tc>
          <w:tcPr>
            <w:tcW w:w="2127" w:type="dxa"/>
            <w:shd w:val="clear" w:color="auto" w:fill="auto"/>
          </w:tcPr>
          <w:p w14:paraId="5B62AD06" w14:textId="77777777" w:rsidR="00302BFE" w:rsidRPr="00F166CF" w:rsidRDefault="00302BFE" w:rsidP="00243B15">
            <w:pPr>
              <w:rPr>
                <w:rFonts w:ascii="Times New Roman" w:eastAsia="Times New Roman" w:hAnsi="Times New Roman"/>
                <w:color w:val="000000"/>
                <w:szCs w:val="20"/>
              </w:rPr>
            </w:pPr>
          </w:p>
        </w:tc>
        <w:tc>
          <w:tcPr>
            <w:tcW w:w="1984" w:type="dxa"/>
            <w:shd w:val="clear" w:color="auto" w:fill="auto"/>
          </w:tcPr>
          <w:p w14:paraId="7394B38A" w14:textId="77777777" w:rsidR="00302BFE" w:rsidRPr="00F166CF" w:rsidRDefault="00302BFE" w:rsidP="00243B15">
            <w:pPr>
              <w:rPr>
                <w:rFonts w:ascii="Times New Roman" w:eastAsia="Times New Roman" w:hAnsi="Times New Roman"/>
                <w:color w:val="000000"/>
                <w:szCs w:val="20"/>
              </w:rPr>
            </w:pPr>
          </w:p>
        </w:tc>
      </w:tr>
    </w:tbl>
    <w:p w14:paraId="0B92D019" w14:textId="77777777" w:rsidR="00302BFE" w:rsidRPr="00604C27" w:rsidRDefault="00302BFE" w:rsidP="00302BFE">
      <w:pPr>
        <w:spacing w:before="240" w:after="120"/>
        <w:rPr>
          <w:rFonts w:ascii="Times New Roman" w:eastAsia="Times New Roman" w:hAnsi="Times New Roman"/>
          <w:b/>
          <w:caps/>
          <w:color w:val="000000"/>
          <w:szCs w:val="20"/>
        </w:rPr>
      </w:pPr>
      <w:bookmarkStart w:id="50" w:name="_Toc7991604"/>
      <w:r w:rsidRPr="00604C27">
        <w:rPr>
          <w:rFonts w:ascii="Times New Roman" w:eastAsia="Times New Roman" w:hAnsi="Times New Roman"/>
          <w:b/>
          <w:caps/>
          <w:color w:val="000000"/>
          <w:szCs w:val="20"/>
        </w:rPr>
        <w:t>Core Indicator 3: Area of land restored (hectares)</w:t>
      </w:r>
      <w:bookmarkEnd w:id="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2304"/>
        <w:gridCol w:w="2304"/>
        <w:gridCol w:w="2304"/>
      </w:tblGrid>
      <w:tr w:rsidR="00302BFE" w:rsidRPr="00E743F0" w14:paraId="4B866498" w14:textId="77777777" w:rsidTr="00243B15">
        <w:tc>
          <w:tcPr>
            <w:tcW w:w="2304" w:type="dxa"/>
            <w:shd w:val="clear" w:color="auto" w:fill="4472C4"/>
          </w:tcPr>
          <w:p w14:paraId="1A46087B"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Ha (expected at PIF)</w:t>
            </w:r>
          </w:p>
        </w:tc>
        <w:tc>
          <w:tcPr>
            <w:tcW w:w="2304" w:type="dxa"/>
            <w:shd w:val="clear" w:color="auto" w:fill="4472C4"/>
          </w:tcPr>
          <w:p w14:paraId="0BC00F68"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Ha (expected at CEO ER)</w:t>
            </w:r>
          </w:p>
        </w:tc>
        <w:tc>
          <w:tcPr>
            <w:tcW w:w="2304" w:type="dxa"/>
            <w:shd w:val="clear" w:color="auto" w:fill="4472C4"/>
          </w:tcPr>
          <w:p w14:paraId="621BCF83"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Ha (achieved at MTR)</w:t>
            </w:r>
          </w:p>
        </w:tc>
        <w:tc>
          <w:tcPr>
            <w:tcW w:w="2304" w:type="dxa"/>
            <w:shd w:val="clear" w:color="auto" w:fill="4472C4"/>
          </w:tcPr>
          <w:p w14:paraId="5FF4C069"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Ha (achieved at TE)</w:t>
            </w:r>
          </w:p>
        </w:tc>
      </w:tr>
      <w:tr w:rsidR="00302BFE" w:rsidRPr="00E743F0" w14:paraId="030B9636" w14:textId="77777777" w:rsidTr="00243B15">
        <w:tc>
          <w:tcPr>
            <w:tcW w:w="2304" w:type="dxa"/>
            <w:shd w:val="clear" w:color="auto" w:fill="auto"/>
          </w:tcPr>
          <w:p w14:paraId="7DCDFCFF"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3,000</w:t>
            </w:r>
          </w:p>
        </w:tc>
        <w:tc>
          <w:tcPr>
            <w:tcW w:w="2304" w:type="dxa"/>
            <w:shd w:val="clear" w:color="auto" w:fill="auto"/>
          </w:tcPr>
          <w:p w14:paraId="626FC469"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11,000</w:t>
            </w:r>
          </w:p>
        </w:tc>
        <w:tc>
          <w:tcPr>
            <w:tcW w:w="2304" w:type="dxa"/>
            <w:shd w:val="clear" w:color="auto" w:fill="auto"/>
          </w:tcPr>
          <w:p w14:paraId="74CEE10F" w14:textId="77777777" w:rsidR="00302BFE" w:rsidRPr="00F166CF" w:rsidRDefault="00302BFE" w:rsidP="00243B15">
            <w:pPr>
              <w:rPr>
                <w:rFonts w:ascii="Times New Roman" w:eastAsia="Times New Roman" w:hAnsi="Times New Roman"/>
                <w:color w:val="000000"/>
                <w:szCs w:val="20"/>
              </w:rPr>
            </w:pPr>
          </w:p>
        </w:tc>
        <w:tc>
          <w:tcPr>
            <w:tcW w:w="2304" w:type="dxa"/>
            <w:shd w:val="clear" w:color="auto" w:fill="auto"/>
          </w:tcPr>
          <w:p w14:paraId="3F9CF263" w14:textId="77777777" w:rsidR="00302BFE" w:rsidRPr="00F166CF" w:rsidRDefault="00302BFE" w:rsidP="00243B15">
            <w:pPr>
              <w:rPr>
                <w:rFonts w:ascii="Times New Roman" w:eastAsia="Times New Roman" w:hAnsi="Times New Roman"/>
                <w:color w:val="000000"/>
                <w:szCs w:val="20"/>
              </w:rPr>
            </w:pPr>
          </w:p>
        </w:tc>
      </w:tr>
    </w:tbl>
    <w:p w14:paraId="6E8E4BB7" w14:textId="77777777" w:rsidR="00302BFE" w:rsidRPr="008605A4" w:rsidRDefault="00302BFE" w:rsidP="00302BFE">
      <w:pPr>
        <w:spacing w:after="0"/>
        <w:rPr>
          <w:rFonts w:ascii="Times New Roman" w:eastAsia="Times New Roman" w:hAnsi="Times New Roman"/>
          <w:i/>
          <w:color w:val="000000"/>
          <w:sz w:val="18"/>
          <w:szCs w:val="18"/>
        </w:rPr>
      </w:pPr>
      <w:r w:rsidRPr="008605A4">
        <w:rPr>
          <w:rFonts w:ascii="Times New Roman" w:eastAsia="Times New Roman" w:hAnsi="Times New Roman"/>
          <w:i/>
          <w:color w:val="000000"/>
          <w:sz w:val="18"/>
          <w:szCs w:val="18"/>
        </w:rPr>
        <w:t>Figure at a given stage must be the sum of all figures reported under the four sub-indicators (3.1, 3.2, 3.3 and 3.4) for that stage.</w:t>
      </w:r>
    </w:p>
    <w:p w14:paraId="63FB8ADD" w14:textId="77777777" w:rsidR="00302BFE" w:rsidRPr="00604C27" w:rsidRDefault="00302BFE" w:rsidP="00302BFE">
      <w:pPr>
        <w:spacing w:after="0"/>
        <w:rPr>
          <w:rFonts w:ascii="Times New Roman" w:eastAsia="Times New Roman" w:hAnsi="Times New Roman"/>
          <w:color w:val="000000"/>
          <w:sz w:val="16"/>
          <w:szCs w:val="16"/>
        </w:rPr>
      </w:pPr>
    </w:p>
    <w:p w14:paraId="440B39E5" w14:textId="77777777" w:rsidR="00302BFE" w:rsidRPr="00E743F0" w:rsidRDefault="00302BFE" w:rsidP="00302BFE">
      <w:pPr>
        <w:rPr>
          <w:rFonts w:ascii="Times New Roman" w:eastAsia="Times New Roman" w:hAnsi="Times New Roman"/>
          <w:b/>
          <w:color w:val="000000"/>
        </w:rPr>
      </w:pPr>
      <w:r w:rsidRPr="00E743F0">
        <w:rPr>
          <w:rFonts w:ascii="Times New Roman" w:eastAsia="Times New Roman" w:hAnsi="Times New Roman"/>
          <w:b/>
          <w:color w:val="000000"/>
        </w:rPr>
        <w:t>3.1 Area of degraded agricultural lands restored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2304"/>
        <w:gridCol w:w="2304"/>
        <w:gridCol w:w="2304"/>
      </w:tblGrid>
      <w:tr w:rsidR="00302BFE" w:rsidRPr="00E743F0" w14:paraId="3C37DEDA" w14:textId="77777777" w:rsidTr="00243B15">
        <w:tc>
          <w:tcPr>
            <w:tcW w:w="2304" w:type="dxa"/>
            <w:shd w:val="clear" w:color="auto" w:fill="4472C4"/>
          </w:tcPr>
          <w:p w14:paraId="7DB8D876"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Ha (expected at PIF)</w:t>
            </w:r>
          </w:p>
        </w:tc>
        <w:tc>
          <w:tcPr>
            <w:tcW w:w="2304" w:type="dxa"/>
            <w:shd w:val="clear" w:color="auto" w:fill="4472C4"/>
          </w:tcPr>
          <w:p w14:paraId="375511A4"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Ha (expected at CEO ER)</w:t>
            </w:r>
          </w:p>
        </w:tc>
        <w:tc>
          <w:tcPr>
            <w:tcW w:w="2304" w:type="dxa"/>
            <w:shd w:val="clear" w:color="auto" w:fill="4472C4"/>
          </w:tcPr>
          <w:p w14:paraId="55929446"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Ha (achieved at MTR)</w:t>
            </w:r>
          </w:p>
        </w:tc>
        <w:tc>
          <w:tcPr>
            <w:tcW w:w="2304" w:type="dxa"/>
            <w:shd w:val="clear" w:color="auto" w:fill="4472C4"/>
          </w:tcPr>
          <w:p w14:paraId="734F1725"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Ha (achieved at TE)</w:t>
            </w:r>
          </w:p>
        </w:tc>
      </w:tr>
      <w:tr w:rsidR="00302BFE" w:rsidRPr="00E743F0" w14:paraId="70B950DB" w14:textId="77777777" w:rsidTr="00243B15">
        <w:tc>
          <w:tcPr>
            <w:tcW w:w="2304" w:type="dxa"/>
            <w:shd w:val="clear" w:color="auto" w:fill="auto"/>
          </w:tcPr>
          <w:p w14:paraId="466D2723" w14:textId="77777777" w:rsidR="00302BFE" w:rsidRPr="00F166CF" w:rsidRDefault="00302BFE" w:rsidP="00243B15">
            <w:pPr>
              <w:rPr>
                <w:rFonts w:ascii="Times New Roman" w:eastAsia="Times New Roman" w:hAnsi="Times New Roman"/>
                <w:color w:val="000000"/>
              </w:rPr>
            </w:pPr>
          </w:p>
        </w:tc>
        <w:tc>
          <w:tcPr>
            <w:tcW w:w="2304" w:type="dxa"/>
            <w:shd w:val="clear" w:color="auto" w:fill="auto"/>
          </w:tcPr>
          <w:p w14:paraId="648350AA" w14:textId="77777777" w:rsidR="00302BFE" w:rsidRPr="00F166CF" w:rsidRDefault="00302BFE" w:rsidP="00243B15">
            <w:pPr>
              <w:rPr>
                <w:rFonts w:ascii="Times New Roman" w:eastAsia="Times New Roman" w:hAnsi="Times New Roman"/>
                <w:color w:val="000000"/>
              </w:rPr>
            </w:pPr>
          </w:p>
        </w:tc>
        <w:tc>
          <w:tcPr>
            <w:tcW w:w="2304" w:type="dxa"/>
            <w:shd w:val="clear" w:color="auto" w:fill="auto"/>
          </w:tcPr>
          <w:p w14:paraId="1CBA79A1" w14:textId="77777777" w:rsidR="00302BFE" w:rsidRPr="00F166CF" w:rsidRDefault="00302BFE" w:rsidP="00243B15">
            <w:pPr>
              <w:rPr>
                <w:rFonts w:ascii="Times New Roman" w:eastAsia="Times New Roman" w:hAnsi="Times New Roman"/>
                <w:color w:val="000000"/>
              </w:rPr>
            </w:pPr>
          </w:p>
        </w:tc>
        <w:tc>
          <w:tcPr>
            <w:tcW w:w="2304" w:type="dxa"/>
            <w:shd w:val="clear" w:color="auto" w:fill="auto"/>
          </w:tcPr>
          <w:p w14:paraId="38D8D03C" w14:textId="77777777" w:rsidR="00302BFE" w:rsidRPr="00F166CF" w:rsidRDefault="00302BFE" w:rsidP="00243B15">
            <w:pPr>
              <w:rPr>
                <w:rFonts w:ascii="Times New Roman" w:eastAsia="Times New Roman" w:hAnsi="Times New Roman"/>
                <w:color w:val="000000"/>
              </w:rPr>
            </w:pPr>
          </w:p>
        </w:tc>
      </w:tr>
    </w:tbl>
    <w:p w14:paraId="105FD134" w14:textId="77777777" w:rsidR="00302BFE" w:rsidRPr="00604C27" w:rsidRDefault="00302BFE" w:rsidP="00302BFE">
      <w:pPr>
        <w:rPr>
          <w:rFonts w:ascii="Times New Roman" w:eastAsia="Times New Roman" w:hAnsi="Times New Roman"/>
          <w:color w:val="000000"/>
          <w:sz w:val="16"/>
          <w:szCs w:val="16"/>
        </w:rPr>
      </w:pPr>
    </w:p>
    <w:p w14:paraId="46E9843E" w14:textId="77777777" w:rsidR="00302BFE" w:rsidRPr="00E743F0" w:rsidRDefault="00302BFE" w:rsidP="00302BFE">
      <w:pPr>
        <w:rPr>
          <w:rFonts w:ascii="Times New Roman" w:eastAsia="Times New Roman" w:hAnsi="Times New Roman"/>
          <w:b/>
          <w:color w:val="000000"/>
        </w:rPr>
      </w:pPr>
      <w:r w:rsidRPr="00E743F0">
        <w:rPr>
          <w:rFonts w:ascii="Times New Roman" w:eastAsia="Times New Roman" w:hAnsi="Times New Roman"/>
          <w:b/>
          <w:color w:val="000000"/>
        </w:rPr>
        <w:t>3.2 Area of forest and forest land restored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2304"/>
        <w:gridCol w:w="2304"/>
        <w:gridCol w:w="2304"/>
      </w:tblGrid>
      <w:tr w:rsidR="00302BFE" w:rsidRPr="00E743F0" w14:paraId="2AD027F8" w14:textId="77777777" w:rsidTr="00243B15">
        <w:tc>
          <w:tcPr>
            <w:tcW w:w="2304" w:type="dxa"/>
            <w:shd w:val="clear" w:color="auto" w:fill="4472C4"/>
          </w:tcPr>
          <w:p w14:paraId="07831BE3"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Ha (expected at PIF)</w:t>
            </w:r>
          </w:p>
        </w:tc>
        <w:tc>
          <w:tcPr>
            <w:tcW w:w="2304" w:type="dxa"/>
            <w:shd w:val="clear" w:color="auto" w:fill="4472C4"/>
          </w:tcPr>
          <w:p w14:paraId="4BD19361"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Ha (expected at CEO ER)</w:t>
            </w:r>
          </w:p>
        </w:tc>
        <w:tc>
          <w:tcPr>
            <w:tcW w:w="2304" w:type="dxa"/>
            <w:shd w:val="clear" w:color="auto" w:fill="4472C4"/>
          </w:tcPr>
          <w:p w14:paraId="420FC7C1"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Ha (achieved at MTR)</w:t>
            </w:r>
          </w:p>
        </w:tc>
        <w:tc>
          <w:tcPr>
            <w:tcW w:w="2304" w:type="dxa"/>
            <w:shd w:val="clear" w:color="auto" w:fill="4472C4"/>
          </w:tcPr>
          <w:p w14:paraId="726F16F2"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Ha (achieved at TE)</w:t>
            </w:r>
          </w:p>
        </w:tc>
      </w:tr>
      <w:tr w:rsidR="00302BFE" w:rsidRPr="00E743F0" w14:paraId="58F3AB2B" w14:textId="77777777" w:rsidTr="00243B15">
        <w:tc>
          <w:tcPr>
            <w:tcW w:w="2304" w:type="dxa"/>
            <w:shd w:val="clear" w:color="auto" w:fill="auto"/>
          </w:tcPr>
          <w:p w14:paraId="0E9A17DC"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3,000</w:t>
            </w:r>
          </w:p>
        </w:tc>
        <w:tc>
          <w:tcPr>
            <w:tcW w:w="2304" w:type="dxa"/>
            <w:shd w:val="clear" w:color="auto" w:fill="auto"/>
          </w:tcPr>
          <w:p w14:paraId="48920054"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11,000</w:t>
            </w:r>
            <w:r>
              <w:rPr>
                <w:rStyle w:val="Appelnotedebasdep"/>
                <w:rFonts w:eastAsia="Times New Roman"/>
                <w:color w:val="000000"/>
                <w:szCs w:val="20"/>
              </w:rPr>
              <w:footnoteReference w:id="81"/>
            </w:r>
          </w:p>
        </w:tc>
        <w:tc>
          <w:tcPr>
            <w:tcW w:w="2304" w:type="dxa"/>
            <w:shd w:val="clear" w:color="auto" w:fill="auto"/>
          </w:tcPr>
          <w:p w14:paraId="24237334" w14:textId="77777777" w:rsidR="00302BFE" w:rsidRPr="00F166CF" w:rsidRDefault="00302BFE" w:rsidP="00243B15">
            <w:pPr>
              <w:rPr>
                <w:rFonts w:ascii="Times New Roman" w:eastAsia="Times New Roman" w:hAnsi="Times New Roman"/>
                <w:color w:val="000000"/>
                <w:szCs w:val="20"/>
              </w:rPr>
            </w:pPr>
          </w:p>
        </w:tc>
        <w:tc>
          <w:tcPr>
            <w:tcW w:w="2304" w:type="dxa"/>
            <w:shd w:val="clear" w:color="auto" w:fill="auto"/>
          </w:tcPr>
          <w:p w14:paraId="7F075FD0" w14:textId="77777777" w:rsidR="00302BFE" w:rsidRPr="00F166CF" w:rsidRDefault="00302BFE" w:rsidP="00243B15">
            <w:pPr>
              <w:rPr>
                <w:rFonts w:ascii="Times New Roman" w:eastAsia="Times New Roman" w:hAnsi="Times New Roman"/>
                <w:color w:val="000000"/>
                <w:szCs w:val="20"/>
              </w:rPr>
            </w:pPr>
          </w:p>
        </w:tc>
      </w:tr>
    </w:tbl>
    <w:p w14:paraId="16FA6D29" w14:textId="77777777" w:rsidR="00302BFE" w:rsidRPr="00604C27" w:rsidRDefault="00302BFE" w:rsidP="00302BFE">
      <w:pPr>
        <w:spacing w:after="0"/>
        <w:rPr>
          <w:rFonts w:ascii="Times New Roman" w:eastAsia="Times New Roman" w:hAnsi="Times New Roman"/>
          <w:color w:val="000000"/>
          <w:sz w:val="16"/>
          <w:szCs w:val="16"/>
        </w:rPr>
      </w:pPr>
    </w:p>
    <w:p w14:paraId="203A7DE3" w14:textId="77777777" w:rsidR="00302BFE" w:rsidRPr="00E743F0" w:rsidRDefault="00302BFE" w:rsidP="00302BFE">
      <w:pPr>
        <w:rPr>
          <w:rFonts w:ascii="Times New Roman" w:eastAsia="Times New Roman" w:hAnsi="Times New Roman"/>
          <w:b/>
          <w:color w:val="000000"/>
        </w:rPr>
      </w:pPr>
      <w:r w:rsidRPr="00E743F0">
        <w:rPr>
          <w:rFonts w:ascii="Times New Roman" w:eastAsia="Times New Roman" w:hAnsi="Times New Roman"/>
          <w:b/>
          <w:color w:val="000000"/>
        </w:rPr>
        <w:t>3.3 Area of natural grass and shrublands restored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2304"/>
        <w:gridCol w:w="2304"/>
        <w:gridCol w:w="2304"/>
      </w:tblGrid>
      <w:tr w:rsidR="00302BFE" w:rsidRPr="00E743F0" w14:paraId="07005355" w14:textId="77777777" w:rsidTr="00243B15">
        <w:tc>
          <w:tcPr>
            <w:tcW w:w="2304" w:type="dxa"/>
            <w:shd w:val="clear" w:color="auto" w:fill="4472C4"/>
          </w:tcPr>
          <w:p w14:paraId="7EFC2595"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Ha (expected at PIF)</w:t>
            </w:r>
          </w:p>
        </w:tc>
        <w:tc>
          <w:tcPr>
            <w:tcW w:w="2304" w:type="dxa"/>
            <w:shd w:val="clear" w:color="auto" w:fill="4472C4"/>
          </w:tcPr>
          <w:p w14:paraId="2A3AC735"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Ha (expected at CEO ER)</w:t>
            </w:r>
          </w:p>
        </w:tc>
        <w:tc>
          <w:tcPr>
            <w:tcW w:w="2304" w:type="dxa"/>
            <w:shd w:val="clear" w:color="auto" w:fill="4472C4"/>
          </w:tcPr>
          <w:p w14:paraId="2BF8FC52"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Ha (achieved at MTR)</w:t>
            </w:r>
          </w:p>
        </w:tc>
        <w:tc>
          <w:tcPr>
            <w:tcW w:w="2304" w:type="dxa"/>
            <w:shd w:val="clear" w:color="auto" w:fill="4472C4"/>
          </w:tcPr>
          <w:p w14:paraId="09F494E2"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Ha (achieved at TE)</w:t>
            </w:r>
          </w:p>
        </w:tc>
      </w:tr>
      <w:tr w:rsidR="00302BFE" w:rsidRPr="00E743F0" w14:paraId="5A2007D3" w14:textId="77777777" w:rsidTr="00243B15">
        <w:tc>
          <w:tcPr>
            <w:tcW w:w="2304" w:type="dxa"/>
            <w:shd w:val="clear" w:color="auto" w:fill="auto"/>
          </w:tcPr>
          <w:p w14:paraId="3289A452" w14:textId="77777777" w:rsidR="00302BFE" w:rsidRPr="00F166CF" w:rsidRDefault="00302BFE" w:rsidP="00243B15">
            <w:pPr>
              <w:rPr>
                <w:rFonts w:ascii="Times New Roman" w:eastAsia="Times New Roman" w:hAnsi="Times New Roman"/>
                <w:color w:val="000000"/>
                <w:szCs w:val="20"/>
              </w:rPr>
            </w:pPr>
          </w:p>
        </w:tc>
        <w:tc>
          <w:tcPr>
            <w:tcW w:w="2304" w:type="dxa"/>
            <w:shd w:val="clear" w:color="auto" w:fill="auto"/>
          </w:tcPr>
          <w:p w14:paraId="6571995B" w14:textId="77777777" w:rsidR="00302BFE" w:rsidRPr="00F166CF" w:rsidRDefault="00302BFE" w:rsidP="00243B15">
            <w:pPr>
              <w:rPr>
                <w:rFonts w:ascii="Times New Roman" w:eastAsia="Times New Roman" w:hAnsi="Times New Roman"/>
                <w:color w:val="000000"/>
                <w:szCs w:val="20"/>
              </w:rPr>
            </w:pPr>
          </w:p>
        </w:tc>
        <w:tc>
          <w:tcPr>
            <w:tcW w:w="2304" w:type="dxa"/>
            <w:shd w:val="clear" w:color="auto" w:fill="auto"/>
          </w:tcPr>
          <w:p w14:paraId="52152168" w14:textId="77777777" w:rsidR="00302BFE" w:rsidRPr="00F166CF" w:rsidRDefault="00302BFE" w:rsidP="00243B15">
            <w:pPr>
              <w:rPr>
                <w:rFonts w:ascii="Times New Roman" w:eastAsia="Times New Roman" w:hAnsi="Times New Roman"/>
                <w:color w:val="000000"/>
                <w:szCs w:val="20"/>
              </w:rPr>
            </w:pPr>
          </w:p>
        </w:tc>
        <w:tc>
          <w:tcPr>
            <w:tcW w:w="2304" w:type="dxa"/>
            <w:shd w:val="clear" w:color="auto" w:fill="auto"/>
          </w:tcPr>
          <w:p w14:paraId="0FAF7B76" w14:textId="77777777" w:rsidR="00302BFE" w:rsidRPr="00F166CF" w:rsidRDefault="00302BFE" w:rsidP="00243B15">
            <w:pPr>
              <w:rPr>
                <w:rFonts w:ascii="Times New Roman" w:eastAsia="Times New Roman" w:hAnsi="Times New Roman"/>
                <w:color w:val="000000"/>
                <w:szCs w:val="20"/>
              </w:rPr>
            </w:pPr>
          </w:p>
        </w:tc>
      </w:tr>
    </w:tbl>
    <w:p w14:paraId="19D91F11" w14:textId="77777777" w:rsidR="00302BFE" w:rsidRPr="00604C27" w:rsidRDefault="00302BFE" w:rsidP="00302BFE">
      <w:pPr>
        <w:spacing w:after="0"/>
        <w:rPr>
          <w:rFonts w:ascii="Times New Roman" w:eastAsia="Times New Roman" w:hAnsi="Times New Roman"/>
          <w:color w:val="000000"/>
          <w:sz w:val="16"/>
          <w:szCs w:val="16"/>
        </w:rPr>
      </w:pPr>
    </w:p>
    <w:p w14:paraId="39899ADB" w14:textId="77777777" w:rsidR="00302BFE" w:rsidRPr="00E743F0" w:rsidRDefault="00302BFE" w:rsidP="00302BFE">
      <w:pPr>
        <w:rPr>
          <w:rFonts w:ascii="Times New Roman" w:eastAsia="Times New Roman" w:hAnsi="Times New Roman"/>
          <w:b/>
          <w:color w:val="000000"/>
        </w:rPr>
      </w:pPr>
      <w:r w:rsidRPr="00E743F0">
        <w:rPr>
          <w:rFonts w:ascii="Times New Roman" w:eastAsia="Times New Roman" w:hAnsi="Times New Roman"/>
          <w:b/>
          <w:color w:val="000000"/>
        </w:rPr>
        <w:t>3.4 Area of wetlands (including estuaries and mangroves) restored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2304"/>
        <w:gridCol w:w="2304"/>
        <w:gridCol w:w="2304"/>
      </w:tblGrid>
      <w:tr w:rsidR="00302BFE" w:rsidRPr="00E743F0" w14:paraId="2B24F864" w14:textId="77777777" w:rsidTr="00243B15">
        <w:tc>
          <w:tcPr>
            <w:tcW w:w="2304" w:type="dxa"/>
            <w:shd w:val="clear" w:color="auto" w:fill="4472C4"/>
          </w:tcPr>
          <w:p w14:paraId="6F068891"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color w:val="000000"/>
                <w:szCs w:val="20"/>
              </w:rPr>
              <w:t> </w:t>
            </w:r>
            <w:r w:rsidRPr="00F166CF">
              <w:rPr>
                <w:rFonts w:ascii="Times New Roman" w:eastAsia="Times New Roman" w:hAnsi="Times New Roman"/>
                <w:b/>
                <w:color w:val="000000"/>
                <w:szCs w:val="20"/>
              </w:rPr>
              <w:t>Ha (expected at PIF)</w:t>
            </w:r>
          </w:p>
        </w:tc>
        <w:tc>
          <w:tcPr>
            <w:tcW w:w="2304" w:type="dxa"/>
            <w:shd w:val="clear" w:color="auto" w:fill="4472C4"/>
          </w:tcPr>
          <w:p w14:paraId="68B207AD"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Ha (expected at CEO ER)</w:t>
            </w:r>
          </w:p>
        </w:tc>
        <w:tc>
          <w:tcPr>
            <w:tcW w:w="2304" w:type="dxa"/>
            <w:shd w:val="clear" w:color="auto" w:fill="4472C4"/>
          </w:tcPr>
          <w:p w14:paraId="10DD725C"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Ha (achieved at MTR)</w:t>
            </w:r>
          </w:p>
        </w:tc>
        <w:tc>
          <w:tcPr>
            <w:tcW w:w="2304" w:type="dxa"/>
            <w:shd w:val="clear" w:color="auto" w:fill="4472C4"/>
          </w:tcPr>
          <w:p w14:paraId="1A78E63A"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Ha (achieved at TE)</w:t>
            </w:r>
          </w:p>
        </w:tc>
      </w:tr>
      <w:tr w:rsidR="00302BFE" w:rsidRPr="00E743F0" w14:paraId="66FFB350" w14:textId="77777777" w:rsidTr="00243B15">
        <w:tc>
          <w:tcPr>
            <w:tcW w:w="2304" w:type="dxa"/>
            <w:shd w:val="clear" w:color="auto" w:fill="auto"/>
          </w:tcPr>
          <w:p w14:paraId="4459EC72" w14:textId="77777777" w:rsidR="00302BFE" w:rsidRPr="00F166CF" w:rsidRDefault="00302BFE" w:rsidP="00243B15">
            <w:pPr>
              <w:rPr>
                <w:rFonts w:ascii="Times New Roman" w:eastAsia="Times New Roman" w:hAnsi="Times New Roman"/>
                <w:color w:val="000000"/>
              </w:rPr>
            </w:pPr>
          </w:p>
        </w:tc>
        <w:tc>
          <w:tcPr>
            <w:tcW w:w="2304" w:type="dxa"/>
            <w:shd w:val="clear" w:color="auto" w:fill="auto"/>
          </w:tcPr>
          <w:p w14:paraId="48D09C44" w14:textId="77777777" w:rsidR="00302BFE" w:rsidRPr="00F166CF" w:rsidRDefault="00302BFE" w:rsidP="00243B15">
            <w:pPr>
              <w:rPr>
                <w:rFonts w:ascii="Times New Roman" w:eastAsia="Times New Roman" w:hAnsi="Times New Roman"/>
                <w:color w:val="000000"/>
              </w:rPr>
            </w:pPr>
          </w:p>
        </w:tc>
        <w:tc>
          <w:tcPr>
            <w:tcW w:w="2304" w:type="dxa"/>
            <w:shd w:val="clear" w:color="auto" w:fill="auto"/>
          </w:tcPr>
          <w:p w14:paraId="0607C827" w14:textId="77777777" w:rsidR="00302BFE" w:rsidRPr="00F166CF" w:rsidRDefault="00302BFE" w:rsidP="00243B15">
            <w:pPr>
              <w:rPr>
                <w:rFonts w:ascii="Times New Roman" w:eastAsia="Times New Roman" w:hAnsi="Times New Roman"/>
                <w:color w:val="000000"/>
              </w:rPr>
            </w:pPr>
          </w:p>
        </w:tc>
        <w:tc>
          <w:tcPr>
            <w:tcW w:w="2304" w:type="dxa"/>
            <w:shd w:val="clear" w:color="auto" w:fill="auto"/>
          </w:tcPr>
          <w:p w14:paraId="739645C6" w14:textId="77777777" w:rsidR="00302BFE" w:rsidRPr="00F166CF" w:rsidRDefault="00302BFE" w:rsidP="00243B15">
            <w:pPr>
              <w:rPr>
                <w:rFonts w:ascii="Times New Roman" w:eastAsia="Times New Roman" w:hAnsi="Times New Roman"/>
                <w:color w:val="000000"/>
              </w:rPr>
            </w:pPr>
          </w:p>
        </w:tc>
      </w:tr>
    </w:tbl>
    <w:p w14:paraId="7A8F03F6" w14:textId="77777777" w:rsidR="00302BFE" w:rsidRPr="004531FA" w:rsidRDefault="00302BFE" w:rsidP="00302BFE">
      <w:pPr>
        <w:spacing w:before="240" w:after="120"/>
        <w:rPr>
          <w:rFonts w:ascii="Times New Roman" w:eastAsia="Times New Roman" w:hAnsi="Times New Roman"/>
          <w:b/>
          <w:caps/>
          <w:color w:val="000000"/>
          <w:szCs w:val="20"/>
        </w:rPr>
      </w:pPr>
      <w:bookmarkStart w:id="51" w:name="_Toc7991605"/>
      <w:r w:rsidRPr="004531FA">
        <w:rPr>
          <w:rFonts w:ascii="Times New Roman" w:eastAsia="Times New Roman" w:hAnsi="Times New Roman"/>
          <w:b/>
          <w:caps/>
          <w:color w:val="000000"/>
          <w:szCs w:val="20"/>
        </w:rPr>
        <w:t>Core Indicator 4: Area of landscapes under improved practices (hectares; excluding protected areas)</w:t>
      </w:r>
      <w:bookmarkEnd w:id="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2304"/>
        <w:gridCol w:w="2304"/>
        <w:gridCol w:w="2304"/>
      </w:tblGrid>
      <w:tr w:rsidR="00302BFE" w:rsidRPr="00E743F0" w14:paraId="6A222C7A" w14:textId="77777777" w:rsidTr="00243B15">
        <w:tc>
          <w:tcPr>
            <w:tcW w:w="2304" w:type="dxa"/>
            <w:shd w:val="clear" w:color="auto" w:fill="4472C4"/>
          </w:tcPr>
          <w:p w14:paraId="5B97F6E4"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Ha (expected at PIF)</w:t>
            </w:r>
          </w:p>
        </w:tc>
        <w:tc>
          <w:tcPr>
            <w:tcW w:w="2304" w:type="dxa"/>
            <w:shd w:val="clear" w:color="auto" w:fill="4472C4"/>
          </w:tcPr>
          <w:p w14:paraId="6FE772D9"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Ha (expected at CEO ER)</w:t>
            </w:r>
          </w:p>
        </w:tc>
        <w:tc>
          <w:tcPr>
            <w:tcW w:w="2304" w:type="dxa"/>
            <w:shd w:val="clear" w:color="auto" w:fill="4472C4"/>
          </w:tcPr>
          <w:p w14:paraId="1D2DEFDC"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Ha (achieved at MTR)</w:t>
            </w:r>
          </w:p>
        </w:tc>
        <w:tc>
          <w:tcPr>
            <w:tcW w:w="2304" w:type="dxa"/>
            <w:shd w:val="clear" w:color="auto" w:fill="4472C4"/>
          </w:tcPr>
          <w:p w14:paraId="06579CAC"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Ha (achieved at TE)</w:t>
            </w:r>
          </w:p>
        </w:tc>
      </w:tr>
      <w:tr w:rsidR="00302BFE" w:rsidRPr="00E743F0" w14:paraId="10D15E7B" w14:textId="77777777" w:rsidTr="00243B15">
        <w:tc>
          <w:tcPr>
            <w:tcW w:w="2304" w:type="dxa"/>
            <w:shd w:val="clear" w:color="auto" w:fill="auto"/>
          </w:tcPr>
          <w:p w14:paraId="3C1134CA"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6,000</w:t>
            </w:r>
          </w:p>
        </w:tc>
        <w:tc>
          <w:tcPr>
            <w:tcW w:w="2304" w:type="dxa"/>
            <w:shd w:val="clear" w:color="auto" w:fill="auto"/>
          </w:tcPr>
          <w:p w14:paraId="7B22F582" w14:textId="77777777" w:rsidR="00302BFE" w:rsidRPr="006E490C" w:rsidRDefault="00302BFE" w:rsidP="00243B15">
            <w:pPr>
              <w:rPr>
                <w:rFonts w:ascii="Times New Roman" w:eastAsia="Times New Roman" w:hAnsi="Times New Roman"/>
                <w:szCs w:val="20"/>
              </w:rPr>
            </w:pPr>
            <w:r w:rsidRPr="006E490C">
              <w:rPr>
                <w:rFonts w:ascii="Times New Roman" w:eastAsia="Times New Roman" w:hAnsi="Times New Roman"/>
                <w:szCs w:val="20"/>
              </w:rPr>
              <w:t>129,678</w:t>
            </w:r>
          </w:p>
        </w:tc>
        <w:tc>
          <w:tcPr>
            <w:tcW w:w="2304" w:type="dxa"/>
            <w:shd w:val="clear" w:color="auto" w:fill="auto"/>
          </w:tcPr>
          <w:p w14:paraId="07316B0D" w14:textId="77777777" w:rsidR="00302BFE" w:rsidRPr="00F166CF" w:rsidRDefault="00302BFE" w:rsidP="00243B15">
            <w:pPr>
              <w:rPr>
                <w:rFonts w:ascii="Times New Roman" w:eastAsia="Times New Roman" w:hAnsi="Times New Roman"/>
                <w:color w:val="000000"/>
                <w:szCs w:val="20"/>
              </w:rPr>
            </w:pPr>
          </w:p>
        </w:tc>
        <w:tc>
          <w:tcPr>
            <w:tcW w:w="2304" w:type="dxa"/>
            <w:shd w:val="clear" w:color="auto" w:fill="auto"/>
          </w:tcPr>
          <w:p w14:paraId="0DE477B7" w14:textId="77777777" w:rsidR="00302BFE" w:rsidRPr="00F166CF" w:rsidRDefault="00302BFE" w:rsidP="00243B15">
            <w:pPr>
              <w:rPr>
                <w:rFonts w:ascii="Times New Roman" w:eastAsia="Times New Roman" w:hAnsi="Times New Roman"/>
                <w:color w:val="000000"/>
                <w:szCs w:val="20"/>
              </w:rPr>
            </w:pPr>
          </w:p>
        </w:tc>
      </w:tr>
    </w:tbl>
    <w:p w14:paraId="4B225499" w14:textId="77777777" w:rsidR="00302BFE" w:rsidRPr="008605A4" w:rsidRDefault="00302BFE" w:rsidP="00302BFE">
      <w:pPr>
        <w:rPr>
          <w:rFonts w:ascii="Times New Roman" w:eastAsia="Times New Roman" w:hAnsi="Times New Roman"/>
          <w:i/>
          <w:color w:val="000000"/>
          <w:sz w:val="18"/>
          <w:szCs w:val="18"/>
        </w:rPr>
      </w:pPr>
      <w:r w:rsidRPr="008605A4">
        <w:rPr>
          <w:rFonts w:ascii="Times New Roman" w:eastAsia="Times New Roman" w:hAnsi="Times New Roman"/>
          <w:i/>
          <w:color w:val="000000"/>
          <w:sz w:val="18"/>
          <w:szCs w:val="18"/>
        </w:rPr>
        <w:t>Figure at a given stage must be the sum of all figures reported under the four sub-indicators (4.1, 4.2, 4.3 and 4.4) for that stage.</w:t>
      </w:r>
    </w:p>
    <w:p w14:paraId="7F144918" w14:textId="77777777" w:rsidR="00302BFE" w:rsidRPr="00E743F0" w:rsidRDefault="00302BFE" w:rsidP="00302BFE">
      <w:pPr>
        <w:spacing w:after="0"/>
        <w:rPr>
          <w:rFonts w:ascii="Times New Roman" w:eastAsia="Times New Roman" w:hAnsi="Times New Roman"/>
          <w:b/>
          <w:bCs/>
          <w:color w:val="000000"/>
        </w:rPr>
      </w:pPr>
    </w:p>
    <w:p w14:paraId="484523EA" w14:textId="77777777" w:rsidR="00302BFE" w:rsidRPr="00E743F0" w:rsidRDefault="00302BFE" w:rsidP="00302BFE">
      <w:pPr>
        <w:rPr>
          <w:rFonts w:ascii="Times New Roman" w:eastAsia="Times New Roman" w:hAnsi="Times New Roman"/>
          <w:b/>
          <w:color w:val="000000"/>
        </w:rPr>
      </w:pPr>
      <w:r w:rsidRPr="00E743F0">
        <w:rPr>
          <w:rFonts w:ascii="Times New Roman" w:eastAsia="Times New Roman" w:hAnsi="Times New Roman"/>
          <w:b/>
          <w:color w:val="000000"/>
        </w:rPr>
        <w:t>4.1 Area of landscapes under improved management to benefit biodiversity (qualitative assessment, noncertified)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1624"/>
        <w:gridCol w:w="2044"/>
        <w:gridCol w:w="1623"/>
        <w:gridCol w:w="1910"/>
        <w:gridCol w:w="1623"/>
        <w:gridCol w:w="1910"/>
        <w:gridCol w:w="1738"/>
      </w:tblGrid>
      <w:tr w:rsidR="00302BFE" w:rsidRPr="00E743F0" w14:paraId="6A01375F" w14:textId="77777777" w:rsidTr="00243B15">
        <w:trPr>
          <w:jc w:val="center"/>
        </w:trPr>
        <w:tc>
          <w:tcPr>
            <w:tcW w:w="1918" w:type="dxa"/>
            <w:shd w:val="clear" w:color="auto" w:fill="4472C4"/>
          </w:tcPr>
          <w:p w14:paraId="1F7FAE23"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color w:val="000000"/>
                <w:szCs w:val="20"/>
              </w:rPr>
              <w:t> </w:t>
            </w:r>
            <w:r w:rsidRPr="00F166CF">
              <w:rPr>
                <w:rFonts w:ascii="Times New Roman" w:eastAsia="Times New Roman" w:hAnsi="Times New Roman"/>
                <w:b/>
                <w:color w:val="000000"/>
                <w:szCs w:val="20"/>
              </w:rPr>
              <w:t>Ha (expected at PIF)</w:t>
            </w:r>
          </w:p>
        </w:tc>
        <w:tc>
          <w:tcPr>
            <w:tcW w:w="1624" w:type="dxa"/>
            <w:shd w:val="clear" w:color="auto" w:fill="4472C4"/>
          </w:tcPr>
          <w:p w14:paraId="00483E4C"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Qualitative description at PIF</w:t>
            </w:r>
          </w:p>
        </w:tc>
        <w:tc>
          <w:tcPr>
            <w:tcW w:w="2044" w:type="dxa"/>
            <w:shd w:val="clear" w:color="auto" w:fill="4472C4"/>
          </w:tcPr>
          <w:p w14:paraId="6E8AAB52"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Ha (expected at CEO ER)</w:t>
            </w:r>
          </w:p>
        </w:tc>
        <w:tc>
          <w:tcPr>
            <w:tcW w:w="1623" w:type="dxa"/>
            <w:shd w:val="clear" w:color="auto" w:fill="4472C4"/>
          </w:tcPr>
          <w:p w14:paraId="58DB4E18"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Qualitative description at CEO ER</w:t>
            </w:r>
          </w:p>
        </w:tc>
        <w:tc>
          <w:tcPr>
            <w:tcW w:w="1910" w:type="dxa"/>
            <w:shd w:val="clear" w:color="auto" w:fill="4472C4"/>
          </w:tcPr>
          <w:p w14:paraId="704FC6C2"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Ha (achieved at MTR)</w:t>
            </w:r>
          </w:p>
        </w:tc>
        <w:tc>
          <w:tcPr>
            <w:tcW w:w="1623" w:type="dxa"/>
            <w:shd w:val="clear" w:color="auto" w:fill="4472C4"/>
          </w:tcPr>
          <w:p w14:paraId="3F88EABA"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Qualitative description at MTR</w:t>
            </w:r>
          </w:p>
        </w:tc>
        <w:tc>
          <w:tcPr>
            <w:tcW w:w="1910" w:type="dxa"/>
            <w:shd w:val="clear" w:color="auto" w:fill="4472C4"/>
          </w:tcPr>
          <w:p w14:paraId="02A1AAEE"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Ha (achieved at TE)</w:t>
            </w:r>
          </w:p>
        </w:tc>
        <w:tc>
          <w:tcPr>
            <w:tcW w:w="1738" w:type="dxa"/>
            <w:shd w:val="clear" w:color="auto" w:fill="4472C4"/>
          </w:tcPr>
          <w:p w14:paraId="0F271945"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Qualitative description at TE</w:t>
            </w:r>
          </w:p>
        </w:tc>
      </w:tr>
      <w:tr w:rsidR="00302BFE" w:rsidRPr="00E743F0" w14:paraId="309AAA72" w14:textId="77777777" w:rsidTr="00243B15">
        <w:trPr>
          <w:jc w:val="center"/>
        </w:trPr>
        <w:tc>
          <w:tcPr>
            <w:tcW w:w="1918" w:type="dxa"/>
            <w:shd w:val="clear" w:color="auto" w:fill="auto"/>
          </w:tcPr>
          <w:p w14:paraId="4BB6170B" w14:textId="77777777" w:rsidR="00302BFE" w:rsidRPr="00F166CF" w:rsidRDefault="00302BFE" w:rsidP="00243B15">
            <w:pPr>
              <w:rPr>
                <w:rFonts w:ascii="Times New Roman" w:eastAsia="Times New Roman" w:hAnsi="Times New Roman"/>
                <w:color w:val="000000"/>
                <w:sz w:val="22"/>
                <w:szCs w:val="22"/>
              </w:rPr>
            </w:pPr>
          </w:p>
        </w:tc>
        <w:tc>
          <w:tcPr>
            <w:tcW w:w="1624" w:type="dxa"/>
            <w:shd w:val="clear" w:color="auto" w:fill="auto"/>
          </w:tcPr>
          <w:p w14:paraId="239EF18A" w14:textId="77777777" w:rsidR="00302BFE" w:rsidRPr="00F166CF" w:rsidRDefault="00302BFE" w:rsidP="00243B15">
            <w:pPr>
              <w:rPr>
                <w:rFonts w:ascii="Times New Roman" w:eastAsia="Times New Roman" w:hAnsi="Times New Roman"/>
                <w:color w:val="000000"/>
                <w:sz w:val="22"/>
                <w:szCs w:val="22"/>
              </w:rPr>
            </w:pPr>
          </w:p>
        </w:tc>
        <w:tc>
          <w:tcPr>
            <w:tcW w:w="2044" w:type="dxa"/>
            <w:shd w:val="clear" w:color="auto" w:fill="auto"/>
          </w:tcPr>
          <w:p w14:paraId="23A50E3B" w14:textId="77777777" w:rsidR="00302BFE" w:rsidRPr="00F166CF" w:rsidRDefault="00302BFE" w:rsidP="00243B15">
            <w:pPr>
              <w:rPr>
                <w:rFonts w:ascii="Times New Roman" w:eastAsia="Times New Roman" w:hAnsi="Times New Roman"/>
                <w:color w:val="000000"/>
                <w:sz w:val="22"/>
                <w:szCs w:val="22"/>
              </w:rPr>
            </w:pPr>
          </w:p>
        </w:tc>
        <w:tc>
          <w:tcPr>
            <w:tcW w:w="1623" w:type="dxa"/>
            <w:shd w:val="clear" w:color="auto" w:fill="auto"/>
          </w:tcPr>
          <w:p w14:paraId="0E1FB1C6" w14:textId="77777777" w:rsidR="00302BFE" w:rsidRPr="00F166CF" w:rsidRDefault="00302BFE" w:rsidP="00243B15">
            <w:pPr>
              <w:rPr>
                <w:rFonts w:ascii="Times New Roman" w:eastAsia="Times New Roman" w:hAnsi="Times New Roman"/>
                <w:color w:val="000000"/>
                <w:sz w:val="22"/>
                <w:szCs w:val="22"/>
              </w:rPr>
            </w:pPr>
          </w:p>
        </w:tc>
        <w:tc>
          <w:tcPr>
            <w:tcW w:w="1910" w:type="dxa"/>
            <w:shd w:val="clear" w:color="auto" w:fill="auto"/>
          </w:tcPr>
          <w:p w14:paraId="70F39F37" w14:textId="77777777" w:rsidR="00302BFE" w:rsidRPr="00F166CF" w:rsidRDefault="00302BFE" w:rsidP="00243B15">
            <w:pPr>
              <w:rPr>
                <w:rFonts w:ascii="Times New Roman" w:eastAsia="Times New Roman" w:hAnsi="Times New Roman"/>
                <w:color w:val="000000"/>
                <w:sz w:val="22"/>
                <w:szCs w:val="22"/>
              </w:rPr>
            </w:pPr>
          </w:p>
        </w:tc>
        <w:tc>
          <w:tcPr>
            <w:tcW w:w="1623" w:type="dxa"/>
            <w:shd w:val="clear" w:color="auto" w:fill="auto"/>
          </w:tcPr>
          <w:p w14:paraId="4D2FFA37" w14:textId="77777777" w:rsidR="00302BFE" w:rsidRPr="00F166CF" w:rsidRDefault="00302BFE" w:rsidP="00243B15">
            <w:pPr>
              <w:rPr>
                <w:rFonts w:ascii="Times New Roman" w:eastAsia="Times New Roman" w:hAnsi="Times New Roman"/>
                <w:color w:val="000000"/>
                <w:sz w:val="22"/>
                <w:szCs w:val="22"/>
              </w:rPr>
            </w:pPr>
          </w:p>
        </w:tc>
        <w:tc>
          <w:tcPr>
            <w:tcW w:w="1910" w:type="dxa"/>
            <w:shd w:val="clear" w:color="auto" w:fill="auto"/>
          </w:tcPr>
          <w:p w14:paraId="449EE5EC" w14:textId="77777777" w:rsidR="00302BFE" w:rsidRPr="00F166CF" w:rsidRDefault="00302BFE" w:rsidP="00243B15">
            <w:pPr>
              <w:rPr>
                <w:rFonts w:ascii="Times New Roman" w:eastAsia="Times New Roman" w:hAnsi="Times New Roman"/>
                <w:color w:val="000000"/>
                <w:sz w:val="22"/>
                <w:szCs w:val="22"/>
              </w:rPr>
            </w:pPr>
          </w:p>
        </w:tc>
        <w:tc>
          <w:tcPr>
            <w:tcW w:w="1738" w:type="dxa"/>
            <w:shd w:val="clear" w:color="auto" w:fill="auto"/>
          </w:tcPr>
          <w:p w14:paraId="1EE775B0" w14:textId="77777777" w:rsidR="00302BFE" w:rsidRPr="00F166CF" w:rsidRDefault="00302BFE" w:rsidP="00243B15">
            <w:pPr>
              <w:rPr>
                <w:rFonts w:ascii="Times New Roman" w:eastAsia="Times New Roman" w:hAnsi="Times New Roman"/>
                <w:color w:val="000000"/>
                <w:sz w:val="22"/>
                <w:szCs w:val="22"/>
              </w:rPr>
            </w:pPr>
          </w:p>
        </w:tc>
      </w:tr>
    </w:tbl>
    <w:p w14:paraId="38899229" w14:textId="77777777" w:rsidR="00302BFE" w:rsidRPr="00E743F0" w:rsidRDefault="00302BFE" w:rsidP="00302BFE">
      <w:pPr>
        <w:spacing w:after="0"/>
        <w:rPr>
          <w:rFonts w:ascii="Times New Roman" w:eastAsia="Times New Roman" w:hAnsi="Times New Roman"/>
          <w:color w:val="000000"/>
        </w:rPr>
      </w:pPr>
    </w:p>
    <w:p w14:paraId="10B8F1F5" w14:textId="77777777" w:rsidR="00302BFE" w:rsidRPr="00E743F0" w:rsidRDefault="00302BFE" w:rsidP="00302BFE">
      <w:pPr>
        <w:rPr>
          <w:rFonts w:ascii="Times New Roman" w:eastAsia="Times New Roman" w:hAnsi="Times New Roman"/>
          <w:b/>
          <w:color w:val="000000"/>
        </w:rPr>
      </w:pPr>
      <w:r w:rsidRPr="00E743F0">
        <w:rPr>
          <w:rFonts w:ascii="Times New Roman" w:eastAsia="Times New Roman" w:hAnsi="Times New Roman"/>
          <w:b/>
          <w:color w:val="000000"/>
        </w:rPr>
        <w:t>4.2 Area of landscapes that meet national or international third-party certification and that incorporates biodiversity considerations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1624"/>
        <w:gridCol w:w="2044"/>
        <w:gridCol w:w="1623"/>
        <w:gridCol w:w="1910"/>
        <w:gridCol w:w="1623"/>
        <w:gridCol w:w="1910"/>
        <w:gridCol w:w="1738"/>
      </w:tblGrid>
      <w:tr w:rsidR="00302BFE" w:rsidRPr="00E743F0" w14:paraId="5E97723E" w14:textId="77777777" w:rsidTr="00243B15">
        <w:trPr>
          <w:jc w:val="center"/>
        </w:trPr>
        <w:tc>
          <w:tcPr>
            <w:tcW w:w="1918" w:type="dxa"/>
            <w:shd w:val="clear" w:color="auto" w:fill="4472C4"/>
          </w:tcPr>
          <w:p w14:paraId="22270D49"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color w:val="000000"/>
                <w:szCs w:val="20"/>
              </w:rPr>
              <w:t> </w:t>
            </w:r>
            <w:r w:rsidRPr="00F166CF">
              <w:rPr>
                <w:rFonts w:ascii="Times New Roman" w:eastAsia="Times New Roman" w:hAnsi="Times New Roman"/>
                <w:b/>
                <w:color w:val="000000"/>
                <w:szCs w:val="20"/>
              </w:rPr>
              <w:t>Ha (expected at PIF)</w:t>
            </w:r>
          </w:p>
        </w:tc>
        <w:tc>
          <w:tcPr>
            <w:tcW w:w="1624" w:type="dxa"/>
            <w:shd w:val="clear" w:color="auto" w:fill="4472C4"/>
          </w:tcPr>
          <w:p w14:paraId="4F3575B9"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Type of Certification at PIF</w:t>
            </w:r>
          </w:p>
        </w:tc>
        <w:tc>
          <w:tcPr>
            <w:tcW w:w="2044" w:type="dxa"/>
            <w:shd w:val="clear" w:color="auto" w:fill="4472C4"/>
          </w:tcPr>
          <w:p w14:paraId="50F209A1"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Ha (expected at CEO ER)</w:t>
            </w:r>
          </w:p>
        </w:tc>
        <w:tc>
          <w:tcPr>
            <w:tcW w:w="1623" w:type="dxa"/>
            <w:shd w:val="clear" w:color="auto" w:fill="4472C4"/>
          </w:tcPr>
          <w:p w14:paraId="70685401"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Type of Certification at CEO ER</w:t>
            </w:r>
          </w:p>
        </w:tc>
        <w:tc>
          <w:tcPr>
            <w:tcW w:w="1910" w:type="dxa"/>
            <w:shd w:val="clear" w:color="auto" w:fill="4472C4"/>
          </w:tcPr>
          <w:p w14:paraId="6D6BA77E"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Ha (achieved at MTR)</w:t>
            </w:r>
          </w:p>
        </w:tc>
        <w:tc>
          <w:tcPr>
            <w:tcW w:w="1623" w:type="dxa"/>
            <w:shd w:val="clear" w:color="auto" w:fill="4472C4"/>
          </w:tcPr>
          <w:p w14:paraId="560573CC"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Type of Certification at MTR</w:t>
            </w:r>
          </w:p>
        </w:tc>
        <w:tc>
          <w:tcPr>
            <w:tcW w:w="1910" w:type="dxa"/>
            <w:shd w:val="clear" w:color="auto" w:fill="4472C4"/>
          </w:tcPr>
          <w:p w14:paraId="2A385006"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Ha (achieved at TE)</w:t>
            </w:r>
          </w:p>
        </w:tc>
        <w:tc>
          <w:tcPr>
            <w:tcW w:w="1738" w:type="dxa"/>
            <w:shd w:val="clear" w:color="auto" w:fill="4472C4"/>
          </w:tcPr>
          <w:p w14:paraId="4D62B3C5"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Type of Certification at TE</w:t>
            </w:r>
          </w:p>
        </w:tc>
      </w:tr>
      <w:tr w:rsidR="00302BFE" w:rsidRPr="00E743F0" w14:paraId="3C10E899" w14:textId="77777777" w:rsidTr="00243B15">
        <w:trPr>
          <w:jc w:val="center"/>
        </w:trPr>
        <w:tc>
          <w:tcPr>
            <w:tcW w:w="1918" w:type="dxa"/>
            <w:shd w:val="clear" w:color="auto" w:fill="auto"/>
          </w:tcPr>
          <w:p w14:paraId="7306A104"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w:t>
            </w:r>
          </w:p>
        </w:tc>
        <w:tc>
          <w:tcPr>
            <w:tcW w:w="1624" w:type="dxa"/>
            <w:shd w:val="clear" w:color="auto" w:fill="auto"/>
          </w:tcPr>
          <w:p w14:paraId="605C1741"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w:t>
            </w:r>
          </w:p>
        </w:tc>
        <w:tc>
          <w:tcPr>
            <w:tcW w:w="2044" w:type="dxa"/>
            <w:shd w:val="clear" w:color="auto" w:fill="auto"/>
          </w:tcPr>
          <w:p w14:paraId="47F4FBBE" w14:textId="77777777" w:rsidR="00302BFE" w:rsidRPr="00F166CF" w:rsidRDefault="00302BFE" w:rsidP="00243B15">
            <w:pPr>
              <w:rPr>
                <w:rFonts w:ascii="Times New Roman" w:eastAsia="Times New Roman" w:hAnsi="Times New Roman"/>
                <w:color w:val="000000"/>
                <w:szCs w:val="20"/>
                <w:highlight w:val="yellow"/>
              </w:rPr>
            </w:pPr>
            <w:r w:rsidRPr="0040254C">
              <w:rPr>
                <w:rFonts w:ascii="Times New Roman" w:eastAsia="Times New Roman" w:hAnsi="Times New Roman"/>
                <w:color w:val="000000"/>
                <w:szCs w:val="20"/>
              </w:rPr>
              <w:t>200</w:t>
            </w:r>
          </w:p>
        </w:tc>
        <w:tc>
          <w:tcPr>
            <w:tcW w:w="1623" w:type="dxa"/>
            <w:shd w:val="clear" w:color="auto" w:fill="auto"/>
          </w:tcPr>
          <w:p w14:paraId="1C6A8DC7"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Ecocert</w:t>
            </w:r>
          </w:p>
        </w:tc>
        <w:tc>
          <w:tcPr>
            <w:tcW w:w="1910" w:type="dxa"/>
            <w:shd w:val="clear" w:color="auto" w:fill="auto"/>
          </w:tcPr>
          <w:p w14:paraId="3ECDD865" w14:textId="77777777" w:rsidR="00302BFE" w:rsidRPr="00F166CF" w:rsidRDefault="00302BFE" w:rsidP="00243B15">
            <w:pPr>
              <w:rPr>
                <w:rFonts w:ascii="Times New Roman" w:eastAsia="Times New Roman" w:hAnsi="Times New Roman"/>
                <w:color w:val="000000"/>
                <w:szCs w:val="20"/>
              </w:rPr>
            </w:pPr>
          </w:p>
        </w:tc>
        <w:tc>
          <w:tcPr>
            <w:tcW w:w="1623" w:type="dxa"/>
            <w:shd w:val="clear" w:color="auto" w:fill="auto"/>
          </w:tcPr>
          <w:p w14:paraId="79F37101" w14:textId="77777777" w:rsidR="00302BFE" w:rsidRPr="00F166CF" w:rsidRDefault="00302BFE" w:rsidP="00243B15">
            <w:pPr>
              <w:rPr>
                <w:rFonts w:ascii="Times New Roman" w:eastAsia="Times New Roman" w:hAnsi="Times New Roman"/>
                <w:color w:val="000000"/>
                <w:szCs w:val="20"/>
              </w:rPr>
            </w:pPr>
          </w:p>
        </w:tc>
        <w:tc>
          <w:tcPr>
            <w:tcW w:w="1910" w:type="dxa"/>
            <w:shd w:val="clear" w:color="auto" w:fill="auto"/>
          </w:tcPr>
          <w:p w14:paraId="0B433D29" w14:textId="77777777" w:rsidR="00302BFE" w:rsidRPr="00F166CF" w:rsidRDefault="00302BFE" w:rsidP="00243B15">
            <w:pPr>
              <w:rPr>
                <w:rFonts w:ascii="Times New Roman" w:eastAsia="Times New Roman" w:hAnsi="Times New Roman"/>
                <w:color w:val="000000"/>
                <w:szCs w:val="20"/>
              </w:rPr>
            </w:pPr>
          </w:p>
        </w:tc>
        <w:tc>
          <w:tcPr>
            <w:tcW w:w="1738" w:type="dxa"/>
            <w:shd w:val="clear" w:color="auto" w:fill="auto"/>
          </w:tcPr>
          <w:p w14:paraId="2D8E02DF" w14:textId="77777777" w:rsidR="00302BFE" w:rsidRPr="00F166CF" w:rsidRDefault="00302BFE" w:rsidP="00243B15">
            <w:pPr>
              <w:rPr>
                <w:rFonts w:ascii="Times New Roman" w:eastAsia="Times New Roman" w:hAnsi="Times New Roman"/>
                <w:color w:val="000000"/>
                <w:szCs w:val="20"/>
              </w:rPr>
            </w:pPr>
          </w:p>
        </w:tc>
      </w:tr>
    </w:tbl>
    <w:p w14:paraId="6FB80946" w14:textId="77777777" w:rsidR="00302BFE" w:rsidRPr="00E743F0" w:rsidRDefault="00302BFE" w:rsidP="00302BFE">
      <w:pPr>
        <w:spacing w:after="0"/>
        <w:rPr>
          <w:rFonts w:ascii="Times New Roman" w:eastAsia="Times New Roman" w:hAnsi="Times New Roman"/>
          <w:color w:val="000000"/>
        </w:rPr>
      </w:pPr>
    </w:p>
    <w:p w14:paraId="0248BE84" w14:textId="77777777" w:rsidR="00302BFE" w:rsidRPr="00E743F0" w:rsidRDefault="00302BFE" w:rsidP="00302BFE">
      <w:pPr>
        <w:rPr>
          <w:rFonts w:ascii="Times New Roman" w:eastAsia="Times New Roman" w:hAnsi="Times New Roman"/>
          <w:b/>
          <w:color w:val="000000"/>
        </w:rPr>
      </w:pPr>
      <w:r w:rsidRPr="00E743F0">
        <w:rPr>
          <w:rFonts w:ascii="Times New Roman" w:eastAsia="Times New Roman" w:hAnsi="Times New Roman"/>
          <w:b/>
          <w:color w:val="000000"/>
        </w:rPr>
        <w:t>4.3 Area of landscapes under sustainable land management in production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413"/>
        <w:gridCol w:w="1415"/>
        <w:gridCol w:w="2693"/>
        <w:gridCol w:w="1134"/>
        <w:gridCol w:w="2410"/>
        <w:gridCol w:w="1134"/>
        <w:gridCol w:w="2062"/>
      </w:tblGrid>
      <w:tr w:rsidR="008A508C" w:rsidRPr="00E743F0" w14:paraId="4D550F0C" w14:textId="77777777" w:rsidTr="00204930">
        <w:trPr>
          <w:jc w:val="center"/>
        </w:trPr>
        <w:tc>
          <w:tcPr>
            <w:tcW w:w="1129" w:type="dxa"/>
            <w:shd w:val="clear" w:color="auto" w:fill="4472C4"/>
          </w:tcPr>
          <w:p w14:paraId="3BC179A3"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color w:val="000000"/>
                <w:szCs w:val="20"/>
              </w:rPr>
              <w:t> </w:t>
            </w:r>
            <w:r w:rsidRPr="00F166CF">
              <w:rPr>
                <w:rFonts w:ascii="Times New Roman" w:eastAsia="Times New Roman" w:hAnsi="Times New Roman"/>
                <w:b/>
                <w:color w:val="000000"/>
                <w:szCs w:val="20"/>
              </w:rPr>
              <w:t>Ha (expected at PIF)</w:t>
            </w:r>
          </w:p>
        </w:tc>
        <w:tc>
          <w:tcPr>
            <w:tcW w:w="2413" w:type="dxa"/>
            <w:shd w:val="clear" w:color="auto" w:fill="4472C4"/>
          </w:tcPr>
          <w:p w14:paraId="08643817"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Description of Management Practices at PIF</w:t>
            </w:r>
          </w:p>
        </w:tc>
        <w:tc>
          <w:tcPr>
            <w:tcW w:w="1415" w:type="dxa"/>
            <w:shd w:val="clear" w:color="auto" w:fill="4472C4"/>
          </w:tcPr>
          <w:p w14:paraId="07C8749E"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Ha (expected at CEO ER)</w:t>
            </w:r>
          </w:p>
        </w:tc>
        <w:tc>
          <w:tcPr>
            <w:tcW w:w="2693" w:type="dxa"/>
            <w:shd w:val="clear" w:color="auto" w:fill="4472C4"/>
          </w:tcPr>
          <w:p w14:paraId="302E95F6"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Description of Management Practices at CEO ER</w:t>
            </w:r>
          </w:p>
        </w:tc>
        <w:tc>
          <w:tcPr>
            <w:tcW w:w="1134" w:type="dxa"/>
            <w:shd w:val="clear" w:color="auto" w:fill="4472C4"/>
          </w:tcPr>
          <w:p w14:paraId="063BB990"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Ha (achieved at MTR)</w:t>
            </w:r>
          </w:p>
        </w:tc>
        <w:tc>
          <w:tcPr>
            <w:tcW w:w="2410" w:type="dxa"/>
            <w:shd w:val="clear" w:color="auto" w:fill="4472C4"/>
          </w:tcPr>
          <w:p w14:paraId="3C4A8FD2"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Description of Management Practices at MTR</w:t>
            </w:r>
          </w:p>
        </w:tc>
        <w:tc>
          <w:tcPr>
            <w:tcW w:w="1134" w:type="dxa"/>
            <w:shd w:val="clear" w:color="auto" w:fill="4472C4"/>
          </w:tcPr>
          <w:p w14:paraId="137C4235"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Ha (achieved at TE)</w:t>
            </w:r>
          </w:p>
        </w:tc>
        <w:tc>
          <w:tcPr>
            <w:tcW w:w="2062" w:type="dxa"/>
            <w:shd w:val="clear" w:color="auto" w:fill="4472C4"/>
          </w:tcPr>
          <w:p w14:paraId="2104B9B5"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Description of Management Practices at TE</w:t>
            </w:r>
          </w:p>
        </w:tc>
      </w:tr>
      <w:tr w:rsidR="008A508C" w:rsidRPr="00E743F0" w14:paraId="4BDE45F5" w14:textId="77777777" w:rsidTr="00204930">
        <w:trPr>
          <w:jc w:val="center"/>
        </w:trPr>
        <w:tc>
          <w:tcPr>
            <w:tcW w:w="1129" w:type="dxa"/>
            <w:shd w:val="clear" w:color="auto" w:fill="auto"/>
          </w:tcPr>
          <w:p w14:paraId="532F2556"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6,000</w:t>
            </w:r>
          </w:p>
        </w:tc>
        <w:tc>
          <w:tcPr>
            <w:tcW w:w="2413" w:type="dxa"/>
            <w:shd w:val="clear" w:color="auto" w:fill="auto"/>
          </w:tcPr>
          <w:p w14:paraId="52B8363F" w14:textId="77777777" w:rsidR="00302BFE" w:rsidRPr="00F166CF" w:rsidRDefault="00302BFE" w:rsidP="00243B15">
            <w:pPr>
              <w:jc w:val="left"/>
              <w:rPr>
                <w:rFonts w:ascii="Times New Roman" w:eastAsia="Times New Roman" w:hAnsi="Times New Roman"/>
                <w:color w:val="000000"/>
                <w:szCs w:val="20"/>
              </w:rPr>
            </w:pPr>
            <w:r w:rsidRPr="00204930">
              <w:rPr>
                <w:rFonts w:ascii="Times New Roman" w:eastAsia="Times New Roman" w:hAnsi="Times New Roman"/>
                <w:color w:val="000000"/>
                <w:sz w:val="18"/>
                <w:szCs w:val="18"/>
              </w:rPr>
              <w:t xml:space="preserve">Effective </w:t>
            </w:r>
            <w:r w:rsidR="008A508C" w:rsidRPr="00204930">
              <w:rPr>
                <w:rFonts w:ascii="Times New Roman" w:eastAsia="Times New Roman" w:hAnsi="Times New Roman"/>
                <w:color w:val="000000"/>
                <w:sz w:val="18"/>
                <w:szCs w:val="18"/>
              </w:rPr>
              <w:t xml:space="preserve">forest, </w:t>
            </w:r>
            <w:r w:rsidRPr="00204930">
              <w:rPr>
                <w:rFonts w:ascii="Times New Roman" w:eastAsia="Times New Roman" w:hAnsi="Times New Roman"/>
                <w:color w:val="000000"/>
                <w:sz w:val="18"/>
                <w:szCs w:val="18"/>
              </w:rPr>
              <w:t>agricultural, rangeland and pastoral practices or supporting climate-smart agriculture</w:t>
            </w:r>
          </w:p>
        </w:tc>
        <w:tc>
          <w:tcPr>
            <w:tcW w:w="1415" w:type="dxa"/>
            <w:shd w:val="clear" w:color="auto" w:fill="auto"/>
          </w:tcPr>
          <w:p w14:paraId="0005FF35" w14:textId="77777777" w:rsidR="00302BFE" w:rsidRPr="006E490C" w:rsidRDefault="00302BFE" w:rsidP="00243B15">
            <w:pPr>
              <w:rPr>
                <w:rFonts w:ascii="Times New Roman" w:eastAsia="Times New Roman" w:hAnsi="Times New Roman"/>
                <w:color w:val="000000"/>
                <w:szCs w:val="20"/>
              </w:rPr>
            </w:pPr>
            <w:r w:rsidRPr="006E490C">
              <w:rPr>
                <w:rFonts w:ascii="Times New Roman" w:eastAsia="Times New Roman" w:hAnsi="Times New Roman"/>
                <w:color w:val="000000"/>
                <w:szCs w:val="20"/>
              </w:rPr>
              <w:t>129,478</w:t>
            </w:r>
          </w:p>
        </w:tc>
        <w:tc>
          <w:tcPr>
            <w:tcW w:w="2693" w:type="dxa"/>
            <w:shd w:val="clear" w:color="auto" w:fill="auto"/>
          </w:tcPr>
          <w:p w14:paraId="011C5273" w14:textId="77777777" w:rsidR="00302BFE" w:rsidRPr="006E490C" w:rsidRDefault="00302BFE" w:rsidP="00243B15">
            <w:pPr>
              <w:jc w:val="left"/>
              <w:rPr>
                <w:rFonts w:ascii="Times New Roman" w:eastAsia="Times New Roman" w:hAnsi="Times New Roman"/>
                <w:color w:val="000000"/>
                <w:sz w:val="18"/>
                <w:szCs w:val="18"/>
              </w:rPr>
            </w:pPr>
            <w:r w:rsidRPr="006E490C">
              <w:rPr>
                <w:rFonts w:ascii="Times New Roman" w:eastAsia="Times New Roman" w:hAnsi="Times New Roman"/>
                <w:color w:val="000000"/>
                <w:sz w:val="18"/>
                <w:szCs w:val="18"/>
              </w:rPr>
              <w:t xml:space="preserve">Improved </w:t>
            </w:r>
            <w:r w:rsidR="008A508C">
              <w:rPr>
                <w:rFonts w:ascii="Times New Roman" w:eastAsia="Times New Roman" w:hAnsi="Times New Roman"/>
                <w:color w:val="000000"/>
                <w:sz w:val="18"/>
                <w:szCs w:val="18"/>
              </w:rPr>
              <w:t xml:space="preserve">rangeland, pastoral, forest and farming </w:t>
            </w:r>
            <w:r w:rsidRPr="006E490C">
              <w:rPr>
                <w:rFonts w:ascii="Times New Roman" w:eastAsia="Times New Roman" w:hAnsi="Times New Roman"/>
                <w:color w:val="000000"/>
                <w:sz w:val="18"/>
                <w:szCs w:val="18"/>
              </w:rPr>
              <w:t xml:space="preserve">management practices over </w:t>
            </w:r>
            <w:r w:rsidR="008A508C">
              <w:rPr>
                <w:rFonts w:ascii="Times New Roman" w:eastAsia="Times New Roman" w:hAnsi="Times New Roman"/>
                <w:color w:val="000000"/>
                <w:sz w:val="18"/>
                <w:szCs w:val="18"/>
              </w:rPr>
              <w:t xml:space="preserve">75% of intervention areas including </w:t>
            </w:r>
            <w:r w:rsidRPr="006E490C">
              <w:rPr>
                <w:rFonts w:ascii="Times New Roman" w:eastAsia="Times New Roman" w:hAnsi="Times New Roman"/>
                <w:color w:val="000000"/>
                <w:sz w:val="18"/>
                <w:szCs w:val="18"/>
              </w:rPr>
              <w:t xml:space="preserve">55,477 ha in </w:t>
            </w:r>
            <w:r>
              <w:rPr>
                <w:rFonts w:ascii="Times New Roman" w:eastAsia="Times New Roman" w:hAnsi="Times New Roman"/>
                <w:color w:val="000000"/>
                <w:sz w:val="18"/>
                <w:szCs w:val="18"/>
              </w:rPr>
              <w:t>Forest management worksites</w:t>
            </w:r>
            <w:r w:rsidRPr="006E490C">
              <w:rPr>
                <w:rFonts w:ascii="Times New Roman" w:eastAsia="Times New Roman" w:hAnsi="Times New Roman"/>
                <w:color w:val="000000"/>
                <w:sz w:val="18"/>
                <w:szCs w:val="18"/>
              </w:rPr>
              <w:t>, 95 ha in communal forests; 29,168 ha inter-communal forests; 574 ha village forests, 39,664 ha of pastoral areas, and 4,500 ha of area under CSA</w:t>
            </w:r>
          </w:p>
        </w:tc>
        <w:tc>
          <w:tcPr>
            <w:tcW w:w="1134" w:type="dxa"/>
            <w:shd w:val="clear" w:color="auto" w:fill="auto"/>
          </w:tcPr>
          <w:p w14:paraId="3693B01D" w14:textId="77777777" w:rsidR="00302BFE" w:rsidRPr="00F166CF" w:rsidRDefault="00302BFE" w:rsidP="00243B15">
            <w:pPr>
              <w:rPr>
                <w:rFonts w:ascii="Times New Roman" w:eastAsia="Times New Roman" w:hAnsi="Times New Roman"/>
                <w:color w:val="000000"/>
                <w:sz w:val="22"/>
                <w:szCs w:val="22"/>
              </w:rPr>
            </w:pPr>
          </w:p>
        </w:tc>
        <w:tc>
          <w:tcPr>
            <w:tcW w:w="2410" w:type="dxa"/>
            <w:shd w:val="clear" w:color="auto" w:fill="auto"/>
          </w:tcPr>
          <w:p w14:paraId="5AD821B7" w14:textId="77777777" w:rsidR="00302BFE" w:rsidRPr="00F166CF" w:rsidRDefault="00302BFE" w:rsidP="00243B15">
            <w:pPr>
              <w:rPr>
                <w:rFonts w:ascii="Times New Roman" w:eastAsia="Times New Roman" w:hAnsi="Times New Roman"/>
                <w:color w:val="000000"/>
                <w:sz w:val="22"/>
                <w:szCs w:val="22"/>
              </w:rPr>
            </w:pPr>
          </w:p>
        </w:tc>
        <w:tc>
          <w:tcPr>
            <w:tcW w:w="1134" w:type="dxa"/>
            <w:shd w:val="clear" w:color="auto" w:fill="auto"/>
          </w:tcPr>
          <w:p w14:paraId="30925C32" w14:textId="77777777" w:rsidR="00302BFE" w:rsidRPr="00F166CF" w:rsidRDefault="00302BFE" w:rsidP="00243B15">
            <w:pPr>
              <w:rPr>
                <w:rFonts w:ascii="Times New Roman" w:eastAsia="Times New Roman" w:hAnsi="Times New Roman"/>
                <w:color w:val="000000"/>
                <w:sz w:val="22"/>
                <w:szCs w:val="22"/>
              </w:rPr>
            </w:pPr>
          </w:p>
        </w:tc>
        <w:tc>
          <w:tcPr>
            <w:tcW w:w="2062" w:type="dxa"/>
            <w:shd w:val="clear" w:color="auto" w:fill="auto"/>
          </w:tcPr>
          <w:p w14:paraId="79E7C786" w14:textId="77777777" w:rsidR="00302BFE" w:rsidRPr="00F166CF" w:rsidRDefault="00302BFE" w:rsidP="00243B15">
            <w:pPr>
              <w:rPr>
                <w:rFonts w:ascii="Times New Roman" w:eastAsia="Times New Roman" w:hAnsi="Times New Roman"/>
                <w:color w:val="000000"/>
                <w:sz w:val="22"/>
                <w:szCs w:val="22"/>
              </w:rPr>
            </w:pPr>
          </w:p>
        </w:tc>
      </w:tr>
    </w:tbl>
    <w:p w14:paraId="292E9F99" w14:textId="77777777" w:rsidR="00302BFE" w:rsidRPr="00E743F0" w:rsidRDefault="00302BFE" w:rsidP="00302BFE">
      <w:pPr>
        <w:spacing w:after="0"/>
        <w:rPr>
          <w:rFonts w:ascii="Times New Roman" w:eastAsia="Times New Roman" w:hAnsi="Times New Roman"/>
          <w:color w:val="000000"/>
        </w:rPr>
      </w:pPr>
    </w:p>
    <w:p w14:paraId="7CAD7104" w14:textId="77777777" w:rsidR="00302BFE" w:rsidRPr="00E743F0" w:rsidRDefault="00302BFE" w:rsidP="00302BFE">
      <w:pPr>
        <w:rPr>
          <w:rFonts w:ascii="Times New Roman" w:eastAsia="Times New Roman" w:hAnsi="Times New Roman"/>
          <w:color w:val="000000"/>
        </w:rPr>
      </w:pPr>
      <w:r w:rsidRPr="00E743F0">
        <w:rPr>
          <w:rFonts w:ascii="Times New Roman" w:eastAsia="Times New Roman" w:hAnsi="Times New Roman"/>
          <w:b/>
          <w:color w:val="000000"/>
        </w:rPr>
        <w:lastRenderedPageBreak/>
        <w:t>4.4 Area of High Conservation Value forest loss avoided</w:t>
      </w:r>
      <w:r w:rsidRPr="00E743F0">
        <w:rPr>
          <w:rFonts w:ascii="Times New Roman" w:eastAsia="Times New Roman" w:hAnsi="Times New Roman"/>
          <w:color w:val="00000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2907"/>
        <w:gridCol w:w="142"/>
        <w:gridCol w:w="2977"/>
        <w:gridCol w:w="2551"/>
      </w:tblGrid>
      <w:tr w:rsidR="00302BFE" w:rsidRPr="00E743F0" w14:paraId="60F621E8" w14:textId="77777777" w:rsidTr="00243B15">
        <w:tc>
          <w:tcPr>
            <w:tcW w:w="2304" w:type="dxa"/>
            <w:shd w:val="clear" w:color="auto" w:fill="4472C4"/>
          </w:tcPr>
          <w:p w14:paraId="24D5AEC0"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Total Ha (expected at PIF)</w:t>
            </w:r>
          </w:p>
        </w:tc>
        <w:tc>
          <w:tcPr>
            <w:tcW w:w="3049" w:type="dxa"/>
            <w:gridSpan w:val="2"/>
            <w:shd w:val="clear" w:color="auto" w:fill="4472C4"/>
          </w:tcPr>
          <w:p w14:paraId="349DBED0"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Total Ha (expected at CEO ER)</w:t>
            </w:r>
          </w:p>
        </w:tc>
        <w:tc>
          <w:tcPr>
            <w:tcW w:w="2977" w:type="dxa"/>
            <w:shd w:val="clear" w:color="auto" w:fill="4472C4"/>
          </w:tcPr>
          <w:p w14:paraId="22ADFAD8"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Total Ha (achieved at MTR)</w:t>
            </w:r>
          </w:p>
        </w:tc>
        <w:tc>
          <w:tcPr>
            <w:tcW w:w="2551" w:type="dxa"/>
            <w:shd w:val="clear" w:color="auto" w:fill="4472C4"/>
          </w:tcPr>
          <w:p w14:paraId="077CFCAD"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Total Ha (achieved at TE)</w:t>
            </w:r>
          </w:p>
        </w:tc>
      </w:tr>
      <w:tr w:rsidR="00302BFE" w:rsidRPr="00E743F0" w14:paraId="4DB39DD9" w14:textId="77777777" w:rsidTr="00243B15">
        <w:tc>
          <w:tcPr>
            <w:tcW w:w="2304" w:type="dxa"/>
            <w:shd w:val="clear" w:color="auto" w:fill="auto"/>
          </w:tcPr>
          <w:p w14:paraId="5D7FAFCD"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n.a.</w:t>
            </w:r>
          </w:p>
        </w:tc>
        <w:tc>
          <w:tcPr>
            <w:tcW w:w="2907" w:type="dxa"/>
            <w:shd w:val="clear" w:color="auto" w:fill="auto"/>
          </w:tcPr>
          <w:p w14:paraId="0688223E" w14:textId="77777777" w:rsidR="00302BFE" w:rsidRPr="00F166CF" w:rsidRDefault="00302BFE" w:rsidP="00243B15">
            <w:pPr>
              <w:rPr>
                <w:rFonts w:ascii="Times New Roman" w:eastAsia="Times New Roman" w:hAnsi="Times New Roman"/>
                <w:color w:val="000000"/>
              </w:rPr>
            </w:pPr>
          </w:p>
        </w:tc>
        <w:tc>
          <w:tcPr>
            <w:tcW w:w="3119" w:type="dxa"/>
            <w:gridSpan w:val="2"/>
            <w:shd w:val="clear" w:color="auto" w:fill="auto"/>
          </w:tcPr>
          <w:p w14:paraId="2F96650A" w14:textId="77777777" w:rsidR="00302BFE" w:rsidRPr="00F166CF" w:rsidRDefault="00302BFE" w:rsidP="00243B15">
            <w:pPr>
              <w:rPr>
                <w:rFonts w:ascii="Times New Roman" w:eastAsia="Times New Roman" w:hAnsi="Times New Roman"/>
                <w:color w:val="000000"/>
              </w:rPr>
            </w:pPr>
          </w:p>
        </w:tc>
        <w:tc>
          <w:tcPr>
            <w:tcW w:w="2551" w:type="dxa"/>
            <w:shd w:val="clear" w:color="auto" w:fill="auto"/>
          </w:tcPr>
          <w:p w14:paraId="37AEF32C" w14:textId="77777777" w:rsidR="00302BFE" w:rsidRPr="00F166CF" w:rsidRDefault="00302BFE" w:rsidP="00243B15">
            <w:pPr>
              <w:rPr>
                <w:rFonts w:ascii="Times New Roman" w:eastAsia="Times New Roman" w:hAnsi="Times New Roman"/>
                <w:color w:val="000000"/>
              </w:rPr>
            </w:pPr>
          </w:p>
        </w:tc>
      </w:tr>
    </w:tbl>
    <w:p w14:paraId="7EBB76E1" w14:textId="77777777" w:rsidR="00302BFE" w:rsidRPr="00E743F0" w:rsidRDefault="00302BFE" w:rsidP="00302BFE">
      <w:pPr>
        <w:rPr>
          <w:rFonts w:ascii="Times New Roman" w:eastAsia="Times New Roman" w:hAnsi="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6"/>
        <w:gridCol w:w="2069"/>
        <w:gridCol w:w="2160"/>
        <w:gridCol w:w="2145"/>
        <w:gridCol w:w="1890"/>
        <w:gridCol w:w="2065"/>
        <w:gridCol w:w="2065"/>
      </w:tblGrid>
      <w:tr w:rsidR="00302BFE" w:rsidRPr="00E743F0" w14:paraId="3551539E" w14:textId="77777777" w:rsidTr="00243B15">
        <w:tc>
          <w:tcPr>
            <w:tcW w:w="1996" w:type="dxa"/>
            <w:shd w:val="clear" w:color="auto" w:fill="4472C4"/>
          </w:tcPr>
          <w:p w14:paraId="78CC88E6"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Name of HCVF</w:t>
            </w:r>
          </w:p>
        </w:tc>
        <w:tc>
          <w:tcPr>
            <w:tcW w:w="2069" w:type="dxa"/>
            <w:shd w:val="clear" w:color="auto" w:fill="4472C4"/>
          </w:tcPr>
          <w:p w14:paraId="59ACE6CD"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Ha (expected at PIF)</w:t>
            </w:r>
          </w:p>
        </w:tc>
        <w:tc>
          <w:tcPr>
            <w:tcW w:w="2160" w:type="dxa"/>
            <w:shd w:val="clear" w:color="auto" w:fill="4472C4"/>
          </w:tcPr>
          <w:p w14:paraId="591F1B11"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Counterfactual at PIF</w:t>
            </w:r>
          </w:p>
        </w:tc>
        <w:tc>
          <w:tcPr>
            <w:tcW w:w="2145" w:type="dxa"/>
            <w:shd w:val="clear" w:color="auto" w:fill="4472C4"/>
          </w:tcPr>
          <w:p w14:paraId="195E37CA"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Ha (expected at CEO ER)</w:t>
            </w:r>
          </w:p>
        </w:tc>
        <w:tc>
          <w:tcPr>
            <w:tcW w:w="1890" w:type="dxa"/>
            <w:shd w:val="clear" w:color="auto" w:fill="4472C4"/>
          </w:tcPr>
          <w:p w14:paraId="4E8F0757"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Counterfactual at CEO ER</w:t>
            </w:r>
          </w:p>
        </w:tc>
        <w:tc>
          <w:tcPr>
            <w:tcW w:w="2065" w:type="dxa"/>
            <w:shd w:val="clear" w:color="auto" w:fill="4472C4"/>
          </w:tcPr>
          <w:p w14:paraId="60196EF8"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Ha (achieved at MTR)</w:t>
            </w:r>
          </w:p>
        </w:tc>
        <w:tc>
          <w:tcPr>
            <w:tcW w:w="2065" w:type="dxa"/>
            <w:shd w:val="clear" w:color="auto" w:fill="4472C4"/>
          </w:tcPr>
          <w:p w14:paraId="4AC2FC2E"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Ha (achieved at TE)</w:t>
            </w:r>
          </w:p>
        </w:tc>
      </w:tr>
      <w:tr w:rsidR="00302BFE" w:rsidRPr="00F166CF" w14:paraId="43CEA7A5" w14:textId="77777777" w:rsidTr="00243B15">
        <w:tc>
          <w:tcPr>
            <w:tcW w:w="1996" w:type="dxa"/>
            <w:shd w:val="clear" w:color="auto" w:fill="auto"/>
          </w:tcPr>
          <w:p w14:paraId="0C01A540"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n.a.</w:t>
            </w:r>
          </w:p>
        </w:tc>
        <w:tc>
          <w:tcPr>
            <w:tcW w:w="2069" w:type="dxa"/>
            <w:shd w:val="clear" w:color="auto" w:fill="auto"/>
          </w:tcPr>
          <w:p w14:paraId="362D3B5A" w14:textId="77777777" w:rsidR="00302BFE" w:rsidRPr="00F166CF" w:rsidRDefault="00302BFE" w:rsidP="00243B15">
            <w:pPr>
              <w:rPr>
                <w:rFonts w:ascii="Times New Roman" w:eastAsia="Times New Roman" w:hAnsi="Times New Roman"/>
                <w:color w:val="000000"/>
                <w:szCs w:val="20"/>
              </w:rPr>
            </w:pPr>
          </w:p>
        </w:tc>
        <w:tc>
          <w:tcPr>
            <w:tcW w:w="2160" w:type="dxa"/>
            <w:shd w:val="clear" w:color="auto" w:fill="auto"/>
          </w:tcPr>
          <w:p w14:paraId="004AC0E5" w14:textId="77777777" w:rsidR="00302BFE" w:rsidRPr="00F166CF" w:rsidRDefault="00302BFE" w:rsidP="00243B15">
            <w:pPr>
              <w:rPr>
                <w:rFonts w:ascii="Times New Roman" w:eastAsia="Times New Roman" w:hAnsi="Times New Roman"/>
                <w:color w:val="000000"/>
                <w:szCs w:val="20"/>
              </w:rPr>
            </w:pPr>
          </w:p>
        </w:tc>
        <w:tc>
          <w:tcPr>
            <w:tcW w:w="2145" w:type="dxa"/>
            <w:shd w:val="clear" w:color="auto" w:fill="auto"/>
          </w:tcPr>
          <w:p w14:paraId="4ED6B276" w14:textId="77777777" w:rsidR="00302BFE" w:rsidRPr="00F166CF" w:rsidRDefault="00302BFE" w:rsidP="00243B15">
            <w:pPr>
              <w:rPr>
                <w:rFonts w:ascii="Times New Roman" w:eastAsia="Times New Roman" w:hAnsi="Times New Roman"/>
                <w:color w:val="000000"/>
                <w:szCs w:val="20"/>
              </w:rPr>
            </w:pPr>
          </w:p>
        </w:tc>
        <w:tc>
          <w:tcPr>
            <w:tcW w:w="1890" w:type="dxa"/>
            <w:shd w:val="clear" w:color="auto" w:fill="auto"/>
          </w:tcPr>
          <w:p w14:paraId="1D892539" w14:textId="77777777" w:rsidR="00302BFE" w:rsidRPr="00F166CF" w:rsidRDefault="00302BFE" w:rsidP="00243B15">
            <w:pPr>
              <w:rPr>
                <w:rFonts w:ascii="Times New Roman" w:eastAsia="Times New Roman" w:hAnsi="Times New Roman"/>
                <w:color w:val="000000"/>
                <w:szCs w:val="20"/>
              </w:rPr>
            </w:pPr>
          </w:p>
        </w:tc>
        <w:tc>
          <w:tcPr>
            <w:tcW w:w="2065" w:type="dxa"/>
            <w:shd w:val="clear" w:color="auto" w:fill="auto"/>
          </w:tcPr>
          <w:p w14:paraId="3165C118" w14:textId="77777777" w:rsidR="00302BFE" w:rsidRPr="00F166CF" w:rsidRDefault="00302BFE" w:rsidP="00243B15">
            <w:pPr>
              <w:rPr>
                <w:rFonts w:ascii="Times New Roman" w:eastAsia="Times New Roman" w:hAnsi="Times New Roman"/>
                <w:color w:val="000000"/>
                <w:szCs w:val="20"/>
              </w:rPr>
            </w:pPr>
          </w:p>
        </w:tc>
        <w:tc>
          <w:tcPr>
            <w:tcW w:w="2065" w:type="dxa"/>
            <w:shd w:val="clear" w:color="auto" w:fill="auto"/>
          </w:tcPr>
          <w:p w14:paraId="27AD70D7" w14:textId="77777777" w:rsidR="00302BFE" w:rsidRPr="00F166CF" w:rsidRDefault="00302BFE" w:rsidP="00243B15">
            <w:pPr>
              <w:rPr>
                <w:rFonts w:ascii="Times New Roman" w:eastAsia="Times New Roman" w:hAnsi="Times New Roman"/>
                <w:color w:val="000000"/>
                <w:szCs w:val="20"/>
              </w:rPr>
            </w:pPr>
          </w:p>
        </w:tc>
      </w:tr>
    </w:tbl>
    <w:p w14:paraId="6A023FFA" w14:textId="77777777" w:rsidR="00302BFE" w:rsidRPr="004531FA" w:rsidRDefault="00302BFE" w:rsidP="00302BFE">
      <w:pPr>
        <w:spacing w:before="240" w:after="120"/>
        <w:rPr>
          <w:rFonts w:ascii="Times New Roman" w:eastAsia="Times New Roman" w:hAnsi="Times New Roman"/>
          <w:b/>
          <w:caps/>
          <w:color w:val="000000"/>
          <w:szCs w:val="20"/>
        </w:rPr>
      </w:pPr>
      <w:bookmarkStart w:id="52" w:name="_Toc7991606"/>
      <w:r w:rsidRPr="004531FA">
        <w:rPr>
          <w:rFonts w:ascii="Times New Roman" w:eastAsia="Times New Roman" w:hAnsi="Times New Roman"/>
          <w:b/>
          <w:caps/>
          <w:color w:val="000000"/>
          <w:szCs w:val="20"/>
        </w:rPr>
        <w:t>Total area under improved management (in PIF and CEO ER Table F)</w:t>
      </w:r>
      <w:bookmarkEnd w:id="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3118"/>
      </w:tblGrid>
      <w:tr w:rsidR="00302BFE" w:rsidRPr="00E743F0" w14:paraId="7CE1B8D2" w14:textId="77777777" w:rsidTr="00243B15">
        <w:tc>
          <w:tcPr>
            <w:tcW w:w="2689" w:type="dxa"/>
            <w:shd w:val="clear" w:color="auto" w:fill="4472C4"/>
          </w:tcPr>
          <w:p w14:paraId="735D4E42"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Million Ha (expected at PIF)</w:t>
            </w:r>
          </w:p>
        </w:tc>
        <w:tc>
          <w:tcPr>
            <w:tcW w:w="3118" w:type="dxa"/>
            <w:shd w:val="clear" w:color="auto" w:fill="4472C4"/>
          </w:tcPr>
          <w:p w14:paraId="5D901E27"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Million Ha (expected at CEO ER)</w:t>
            </w:r>
          </w:p>
        </w:tc>
      </w:tr>
      <w:tr w:rsidR="00302BFE" w:rsidRPr="00E743F0" w14:paraId="0B8DFC88" w14:textId="77777777" w:rsidTr="00243B15">
        <w:tc>
          <w:tcPr>
            <w:tcW w:w="2689" w:type="dxa"/>
            <w:shd w:val="clear" w:color="auto" w:fill="auto"/>
          </w:tcPr>
          <w:p w14:paraId="7A7C5DC0"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445,057</w:t>
            </w:r>
          </w:p>
        </w:tc>
        <w:tc>
          <w:tcPr>
            <w:tcW w:w="3118" w:type="dxa"/>
            <w:shd w:val="clear" w:color="auto" w:fill="auto"/>
          </w:tcPr>
          <w:p w14:paraId="10258C8F" w14:textId="77777777" w:rsidR="00302BFE" w:rsidRPr="006E490C" w:rsidRDefault="00302BFE" w:rsidP="00243B15">
            <w:pPr>
              <w:rPr>
                <w:rFonts w:ascii="Times New Roman" w:eastAsia="Times New Roman" w:hAnsi="Times New Roman"/>
                <w:color w:val="000000"/>
                <w:szCs w:val="20"/>
              </w:rPr>
            </w:pPr>
            <w:r w:rsidRPr="006E490C">
              <w:rPr>
                <w:rFonts w:ascii="Times New Roman" w:eastAsia="Times New Roman" w:hAnsi="Times New Roman"/>
                <w:color w:val="000000"/>
                <w:szCs w:val="20"/>
              </w:rPr>
              <w:t>484,459</w:t>
            </w:r>
          </w:p>
        </w:tc>
      </w:tr>
    </w:tbl>
    <w:p w14:paraId="611D91D2" w14:textId="77777777" w:rsidR="00302BFE" w:rsidRDefault="00302BFE" w:rsidP="00302BFE">
      <w:pPr>
        <w:rPr>
          <w:rFonts w:ascii="Times New Roman" w:hAnsi="Times New Roman"/>
          <w:i/>
          <w:sz w:val="18"/>
          <w:szCs w:val="18"/>
        </w:rPr>
      </w:pPr>
      <w:r w:rsidRPr="008605A4">
        <w:rPr>
          <w:rFonts w:ascii="Times New Roman" w:hAnsi="Times New Roman"/>
          <w:i/>
          <w:sz w:val="18"/>
          <w:szCs w:val="18"/>
        </w:rPr>
        <w:t xml:space="preserve">Calculate the total by summing Core Indicators 1-5. Ensure that there is no double-counting. </w:t>
      </w:r>
    </w:p>
    <w:p w14:paraId="467009C5" w14:textId="77777777" w:rsidR="00302BFE" w:rsidRPr="004531FA" w:rsidRDefault="00302BFE" w:rsidP="00302BFE">
      <w:pPr>
        <w:spacing w:before="240" w:after="120"/>
        <w:rPr>
          <w:rFonts w:ascii="Times New Roman" w:eastAsia="Times New Roman" w:hAnsi="Times New Roman"/>
          <w:b/>
          <w:caps/>
          <w:color w:val="000000"/>
          <w:szCs w:val="20"/>
        </w:rPr>
      </w:pPr>
      <w:bookmarkStart w:id="53" w:name="_Toc7991607"/>
      <w:r w:rsidRPr="004531FA">
        <w:rPr>
          <w:rFonts w:ascii="Times New Roman" w:eastAsia="Times New Roman" w:hAnsi="Times New Roman"/>
          <w:b/>
          <w:caps/>
          <w:color w:val="000000"/>
          <w:szCs w:val="20"/>
        </w:rPr>
        <w:t>Core Indicator 6: Greenhouse gas emissions mitigated (metric tons of carbon dioxide equivalent)</w:t>
      </w:r>
      <w:bookmarkEnd w:id="53"/>
      <w:r w:rsidRPr="004531FA">
        <w:rPr>
          <w:rFonts w:ascii="Times New Roman" w:eastAsia="Times New Roman" w:hAnsi="Times New Roman"/>
          <w:b/>
          <w:caps/>
          <w:color w:val="00000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984"/>
        <w:gridCol w:w="2127"/>
        <w:gridCol w:w="2000"/>
        <w:gridCol w:w="2304"/>
      </w:tblGrid>
      <w:tr w:rsidR="00302BFE" w:rsidRPr="006C03C2" w14:paraId="06422C56" w14:textId="77777777" w:rsidTr="00243B15">
        <w:tc>
          <w:tcPr>
            <w:tcW w:w="3681" w:type="dxa"/>
            <w:tcBorders>
              <w:top w:val="single" w:sz="4" w:space="0" w:color="auto"/>
              <w:left w:val="single" w:sz="4" w:space="0" w:color="auto"/>
              <w:bottom w:val="single" w:sz="4" w:space="0" w:color="auto"/>
              <w:right w:val="single" w:sz="4" w:space="0" w:color="auto"/>
            </w:tcBorders>
            <w:shd w:val="clear" w:color="auto" w:fill="4472C4"/>
            <w:hideMark/>
          </w:tcPr>
          <w:p w14:paraId="5333944C"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GHG emission type</w:t>
            </w:r>
          </w:p>
        </w:tc>
        <w:tc>
          <w:tcPr>
            <w:tcW w:w="1984" w:type="dxa"/>
            <w:tcBorders>
              <w:top w:val="single" w:sz="4" w:space="0" w:color="auto"/>
              <w:left w:val="single" w:sz="4" w:space="0" w:color="auto"/>
              <w:bottom w:val="single" w:sz="4" w:space="0" w:color="auto"/>
              <w:right w:val="single" w:sz="4" w:space="0" w:color="auto"/>
            </w:tcBorders>
            <w:shd w:val="clear" w:color="auto" w:fill="4472C4"/>
            <w:hideMark/>
          </w:tcPr>
          <w:p w14:paraId="7CCCF741"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Metric tons CO</w:t>
            </w:r>
            <w:r w:rsidRPr="00F166CF">
              <w:rPr>
                <w:rFonts w:ascii="Times New Roman" w:eastAsia="Times New Roman" w:hAnsi="Times New Roman"/>
                <w:b/>
                <w:color w:val="000000"/>
                <w:szCs w:val="20"/>
                <w:vertAlign w:val="subscript"/>
              </w:rPr>
              <w:t>2</w:t>
            </w:r>
            <w:r w:rsidRPr="00F166CF">
              <w:rPr>
                <w:rFonts w:ascii="Times New Roman" w:eastAsia="Times New Roman" w:hAnsi="Times New Roman"/>
                <w:b/>
                <w:color w:val="000000"/>
                <w:szCs w:val="20"/>
              </w:rPr>
              <w:t>-eq (expected at PIF)</w:t>
            </w:r>
          </w:p>
        </w:tc>
        <w:tc>
          <w:tcPr>
            <w:tcW w:w="2127" w:type="dxa"/>
            <w:tcBorders>
              <w:top w:val="single" w:sz="4" w:space="0" w:color="auto"/>
              <w:left w:val="single" w:sz="4" w:space="0" w:color="auto"/>
              <w:bottom w:val="single" w:sz="4" w:space="0" w:color="auto"/>
              <w:right w:val="single" w:sz="4" w:space="0" w:color="auto"/>
            </w:tcBorders>
            <w:shd w:val="clear" w:color="auto" w:fill="4472C4"/>
            <w:hideMark/>
          </w:tcPr>
          <w:p w14:paraId="5E367C09"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Metric tons CO</w:t>
            </w:r>
            <w:r w:rsidRPr="00F166CF">
              <w:rPr>
                <w:rFonts w:ascii="Times New Roman" w:eastAsia="Times New Roman" w:hAnsi="Times New Roman"/>
                <w:b/>
                <w:color w:val="000000"/>
                <w:szCs w:val="20"/>
                <w:vertAlign w:val="subscript"/>
              </w:rPr>
              <w:t>2</w:t>
            </w:r>
            <w:r w:rsidRPr="00F166CF">
              <w:rPr>
                <w:rFonts w:ascii="Times New Roman" w:eastAsia="Times New Roman" w:hAnsi="Times New Roman"/>
                <w:b/>
                <w:color w:val="000000"/>
                <w:szCs w:val="20"/>
              </w:rPr>
              <w:t>-eq (expected at CEO ER)</w:t>
            </w:r>
          </w:p>
        </w:tc>
        <w:tc>
          <w:tcPr>
            <w:tcW w:w="2000" w:type="dxa"/>
            <w:tcBorders>
              <w:top w:val="single" w:sz="4" w:space="0" w:color="auto"/>
              <w:left w:val="single" w:sz="4" w:space="0" w:color="auto"/>
              <w:bottom w:val="single" w:sz="4" w:space="0" w:color="auto"/>
              <w:right w:val="single" w:sz="4" w:space="0" w:color="auto"/>
            </w:tcBorders>
            <w:shd w:val="clear" w:color="auto" w:fill="4472C4"/>
            <w:hideMark/>
          </w:tcPr>
          <w:p w14:paraId="6B41562F"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Metric tons CO</w:t>
            </w:r>
            <w:r w:rsidRPr="00F166CF">
              <w:rPr>
                <w:rFonts w:ascii="Times New Roman" w:eastAsia="Times New Roman" w:hAnsi="Times New Roman"/>
                <w:b/>
                <w:color w:val="000000"/>
                <w:szCs w:val="20"/>
                <w:vertAlign w:val="subscript"/>
              </w:rPr>
              <w:t>2</w:t>
            </w:r>
            <w:r w:rsidRPr="00F166CF">
              <w:rPr>
                <w:rFonts w:ascii="Times New Roman" w:eastAsia="Times New Roman" w:hAnsi="Times New Roman"/>
                <w:b/>
                <w:color w:val="000000"/>
                <w:szCs w:val="20"/>
              </w:rPr>
              <w:t>-eq (expected at MTR)</w:t>
            </w:r>
          </w:p>
        </w:tc>
        <w:tc>
          <w:tcPr>
            <w:tcW w:w="2304" w:type="dxa"/>
            <w:tcBorders>
              <w:top w:val="single" w:sz="4" w:space="0" w:color="auto"/>
              <w:left w:val="single" w:sz="4" w:space="0" w:color="auto"/>
              <w:bottom w:val="single" w:sz="4" w:space="0" w:color="auto"/>
              <w:right w:val="single" w:sz="4" w:space="0" w:color="auto"/>
            </w:tcBorders>
            <w:shd w:val="clear" w:color="auto" w:fill="4472C4"/>
            <w:hideMark/>
          </w:tcPr>
          <w:p w14:paraId="44943F03"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Metric tons CO</w:t>
            </w:r>
            <w:r w:rsidRPr="00F166CF">
              <w:rPr>
                <w:rFonts w:ascii="Times New Roman" w:eastAsia="Times New Roman" w:hAnsi="Times New Roman"/>
                <w:b/>
                <w:color w:val="000000"/>
                <w:szCs w:val="20"/>
                <w:vertAlign w:val="subscript"/>
              </w:rPr>
              <w:t>2</w:t>
            </w:r>
            <w:r w:rsidRPr="00F166CF">
              <w:rPr>
                <w:rFonts w:ascii="Times New Roman" w:eastAsia="Times New Roman" w:hAnsi="Times New Roman"/>
                <w:b/>
                <w:color w:val="000000"/>
                <w:szCs w:val="20"/>
              </w:rPr>
              <w:t>-eq (expected at TE)</w:t>
            </w:r>
          </w:p>
        </w:tc>
      </w:tr>
      <w:tr w:rsidR="00302BFE" w:rsidRPr="006C03C2" w14:paraId="09FD0F14" w14:textId="77777777" w:rsidTr="00243B15">
        <w:tc>
          <w:tcPr>
            <w:tcW w:w="3681" w:type="dxa"/>
            <w:tcBorders>
              <w:top w:val="single" w:sz="4" w:space="0" w:color="auto"/>
              <w:left w:val="single" w:sz="4" w:space="0" w:color="auto"/>
              <w:bottom w:val="single" w:sz="4" w:space="0" w:color="auto"/>
              <w:right w:val="single" w:sz="4" w:space="0" w:color="auto"/>
            </w:tcBorders>
            <w:shd w:val="clear" w:color="auto" w:fill="4472C4"/>
            <w:hideMark/>
          </w:tcPr>
          <w:p w14:paraId="33AB9557"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Expected metric tons of CO</w:t>
            </w:r>
            <w:r w:rsidRPr="00F166CF">
              <w:rPr>
                <w:rFonts w:ascii="Times New Roman" w:eastAsia="Times New Roman" w:hAnsi="Times New Roman"/>
                <w:b/>
                <w:color w:val="000000"/>
                <w:szCs w:val="20"/>
                <w:vertAlign w:val="subscript"/>
              </w:rPr>
              <w:t>2</w:t>
            </w:r>
            <w:r w:rsidRPr="00F166CF">
              <w:rPr>
                <w:rFonts w:ascii="Times New Roman" w:eastAsia="Times New Roman" w:hAnsi="Times New Roman"/>
                <w:b/>
                <w:color w:val="000000"/>
                <w:szCs w:val="20"/>
              </w:rPr>
              <w:t>-e (direct)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88D09FD" w14:textId="77777777" w:rsidR="00302BFE" w:rsidRPr="00F166CF" w:rsidRDefault="00302BFE" w:rsidP="00243B15">
            <w:pPr>
              <w:jc w:val="right"/>
              <w:rPr>
                <w:rFonts w:ascii="Times New Roman" w:eastAsia="Times New Roman" w:hAnsi="Times New Roman"/>
                <w:color w:val="00000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5C51184" w14:textId="77777777" w:rsidR="00302BFE" w:rsidRPr="00F166CF" w:rsidRDefault="00302BFE" w:rsidP="00243B15">
            <w:pPr>
              <w:jc w:val="right"/>
              <w:rPr>
                <w:rFonts w:ascii="Times New Roman" w:eastAsia="Times New Roman" w:hAnsi="Times New Roman"/>
                <w:color w:val="000000"/>
                <w:szCs w:val="20"/>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643DD04A" w14:textId="77777777" w:rsidR="00302BFE" w:rsidRPr="00F166CF" w:rsidRDefault="00302BFE" w:rsidP="00243B15">
            <w:pPr>
              <w:jc w:val="right"/>
              <w:rPr>
                <w:rFonts w:ascii="Times New Roman" w:eastAsia="Times New Roman" w:hAnsi="Times New Roman"/>
                <w:color w:val="000000"/>
                <w:szCs w:val="20"/>
              </w:rPr>
            </w:pPr>
          </w:p>
        </w:tc>
        <w:tc>
          <w:tcPr>
            <w:tcW w:w="2304" w:type="dxa"/>
            <w:tcBorders>
              <w:top w:val="single" w:sz="4" w:space="0" w:color="auto"/>
              <w:left w:val="single" w:sz="4" w:space="0" w:color="auto"/>
              <w:bottom w:val="single" w:sz="4" w:space="0" w:color="auto"/>
              <w:right w:val="single" w:sz="4" w:space="0" w:color="auto"/>
            </w:tcBorders>
            <w:shd w:val="clear" w:color="auto" w:fill="auto"/>
          </w:tcPr>
          <w:p w14:paraId="326C90D5" w14:textId="77777777" w:rsidR="00302BFE" w:rsidRPr="00F166CF" w:rsidRDefault="00302BFE" w:rsidP="00243B15">
            <w:pPr>
              <w:jc w:val="right"/>
              <w:rPr>
                <w:rFonts w:ascii="Times New Roman" w:eastAsia="Times New Roman" w:hAnsi="Times New Roman"/>
                <w:color w:val="000000"/>
                <w:szCs w:val="20"/>
              </w:rPr>
            </w:pPr>
          </w:p>
        </w:tc>
      </w:tr>
      <w:tr w:rsidR="00302BFE" w:rsidRPr="006C03C2" w14:paraId="003A0E0E" w14:textId="77777777" w:rsidTr="00243B15">
        <w:tc>
          <w:tcPr>
            <w:tcW w:w="3681" w:type="dxa"/>
            <w:tcBorders>
              <w:top w:val="single" w:sz="4" w:space="0" w:color="auto"/>
              <w:left w:val="single" w:sz="4" w:space="0" w:color="auto"/>
              <w:bottom w:val="single" w:sz="4" w:space="0" w:color="auto"/>
              <w:right w:val="single" w:sz="4" w:space="0" w:color="auto"/>
            </w:tcBorders>
            <w:shd w:val="clear" w:color="auto" w:fill="4472C4"/>
            <w:hideMark/>
          </w:tcPr>
          <w:p w14:paraId="4C38219F"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Expected metric tons of CO</w:t>
            </w:r>
            <w:r w:rsidRPr="00F166CF">
              <w:rPr>
                <w:rFonts w:ascii="Times New Roman" w:eastAsia="Times New Roman" w:hAnsi="Times New Roman"/>
                <w:b/>
                <w:color w:val="000000"/>
                <w:szCs w:val="20"/>
                <w:vertAlign w:val="subscript"/>
              </w:rPr>
              <w:t>2</w:t>
            </w:r>
            <w:r w:rsidRPr="00F166CF">
              <w:rPr>
                <w:rFonts w:ascii="Times New Roman" w:eastAsia="Times New Roman" w:hAnsi="Times New Roman"/>
                <w:b/>
                <w:color w:val="000000"/>
                <w:szCs w:val="20"/>
              </w:rPr>
              <w:t>-e (indirect)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06EA2CF" w14:textId="77777777" w:rsidR="00302BFE" w:rsidRPr="00F166CF" w:rsidRDefault="00302BFE" w:rsidP="00243B15">
            <w:pPr>
              <w:jc w:val="right"/>
              <w:rPr>
                <w:rFonts w:ascii="Times New Roman" w:eastAsia="Times New Roman" w:hAnsi="Times New Roman"/>
                <w:color w:val="000000"/>
                <w:szCs w:val="20"/>
              </w:rPr>
            </w:pPr>
            <w:r w:rsidRPr="00F166CF">
              <w:rPr>
                <w:rFonts w:ascii="Times New Roman" w:eastAsia="Times New Roman" w:hAnsi="Times New Roman"/>
                <w:color w:val="000000"/>
                <w:szCs w:val="20"/>
              </w:rPr>
              <w:t>4,000,000</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F68B511" w14:textId="77777777" w:rsidR="00302BFE" w:rsidRPr="00D61C93" w:rsidRDefault="00D72C07" w:rsidP="00243B15">
            <w:pPr>
              <w:jc w:val="right"/>
              <w:rPr>
                <w:rFonts w:ascii="Times New Roman" w:eastAsia="Times New Roman" w:hAnsi="Times New Roman"/>
                <w:color w:val="000000"/>
                <w:szCs w:val="20"/>
              </w:rPr>
            </w:pPr>
            <w:r w:rsidRPr="00D61C93">
              <w:rPr>
                <w:rFonts w:ascii="Times New Roman" w:eastAsia="Times New Roman" w:hAnsi="Times New Roman"/>
                <w:color w:val="000000"/>
                <w:szCs w:val="20"/>
              </w:rPr>
              <w:t>5,448,924</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7EF72D28" w14:textId="77777777" w:rsidR="00302BFE" w:rsidRPr="00D61C93" w:rsidRDefault="00302BFE" w:rsidP="00243B15">
            <w:pPr>
              <w:jc w:val="right"/>
              <w:rPr>
                <w:rFonts w:ascii="Times New Roman" w:eastAsia="Times New Roman" w:hAnsi="Times New Roman"/>
                <w:color w:val="000000"/>
                <w:szCs w:val="20"/>
              </w:rPr>
            </w:pPr>
          </w:p>
        </w:tc>
        <w:tc>
          <w:tcPr>
            <w:tcW w:w="2304" w:type="dxa"/>
            <w:tcBorders>
              <w:top w:val="single" w:sz="4" w:space="0" w:color="auto"/>
              <w:left w:val="single" w:sz="4" w:space="0" w:color="auto"/>
              <w:bottom w:val="single" w:sz="4" w:space="0" w:color="auto"/>
              <w:right w:val="single" w:sz="4" w:space="0" w:color="auto"/>
            </w:tcBorders>
            <w:shd w:val="clear" w:color="auto" w:fill="auto"/>
          </w:tcPr>
          <w:p w14:paraId="6B8C4B85" w14:textId="77777777" w:rsidR="00302BFE" w:rsidRPr="00F166CF" w:rsidRDefault="00302BFE" w:rsidP="00243B15">
            <w:pPr>
              <w:jc w:val="right"/>
              <w:rPr>
                <w:rFonts w:ascii="Times New Roman" w:eastAsia="Times New Roman" w:hAnsi="Times New Roman"/>
                <w:color w:val="000000"/>
                <w:szCs w:val="20"/>
              </w:rPr>
            </w:pPr>
          </w:p>
        </w:tc>
      </w:tr>
    </w:tbl>
    <w:p w14:paraId="4E39CF61" w14:textId="77777777" w:rsidR="00302BFE" w:rsidRPr="008605A4" w:rsidRDefault="00302BFE" w:rsidP="00302BFE">
      <w:pPr>
        <w:rPr>
          <w:rFonts w:ascii="Times New Roman" w:eastAsia="Times New Roman" w:hAnsi="Times New Roman"/>
          <w:i/>
          <w:color w:val="000000"/>
          <w:sz w:val="18"/>
          <w:szCs w:val="18"/>
        </w:rPr>
      </w:pPr>
      <w:r w:rsidRPr="008605A4">
        <w:rPr>
          <w:rFonts w:ascii="Times New Roman" w:eastAsia="Times New Roman" w:hAnsi="Times New Roman"/>
          <w:i/>
          <w:color w:val="000000"/>
          <w:sz w:val="18"/>
          <w:szCs w:val="18"/>
        </w:rPr>
        <w:t>Figure at a given stage must be the sum of all figures reported under the first two sub-indicators (6.1 and 6.2) for that stage.</w:t>
      </w:r>
    </w:p>
    <w:p w14:paraId="1AD5A119" w14:textId="77777777" w:rsidR="00302BFE" w:rsidRPr="006C03C2" w:rsidRDefault="00302BFE" w:rsidP="00302BFE">
      <w:pPr>
        <w:spacing w:before="120"/>
        <w:rPr>
          <w:rFonts w:ascii="Times New Roman" w:eastAsia="Times New Roman" w:hAnsi="Times New Roman"/>
          <w:b/>
          <w:color w:val="000000"/>
        </w:rPr>
      </w:pPr>
      <w:r w:rsidRPr="006C03C2">
        <w:rPr>
          <w:rFonts w:ascii="Times New Roman" w:eastAsia="Times New Roman" w:hAnsi="Times New Roman"/>
          <w:b/>
          <w:color w:val="000000"/>
        </w:rPr>
        <w:t>6.1 Carbon sequestered or emissions avoided in the sector of Agriculture, Forestry and Other Land Use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1325"/>
        <w:gridCol w:w="1635"/>
        <w:gridCol w:w="1325"/>
        <w:gridCol w:w="1635"/>
        <w:gridCol w:w="1325"/>
        <w:gridCol w:w="1623"/>
        <w:gridCol w:w="1323"/>
        <w:gridCol w:w="1623"/>
      </w:tblGrid>
      <w:tr w:rsidR="00302BFE" w:rsidRPr="006C03C2" w14:paraId="02588947" w14:textId="77777777" w:rsidTr="00243B15">
        <w:tc>
          <w:tcPr>
            <w:tcW w:w="1631" w:type="dxa"/>
            <w:tcBorders>
              <w:top w:val="single" w:sz="4" w:space="0" w:color="auto"/>
              <w:left w:val="single" w:sz="4" w:space="0" w:color="auto"/>
              <w:bottom w:val="single" w:sz="4" w:space="0" w:color="auto"/>
              <w:right w:val="single" w:sz="4" w:space="0" w:color="auto"/>
            </w:tcBorders>
            <w:shd w:val="clear" w:color="auto" w:fill="4472C4"/>
            <w:hideMark/>
          </w:tcPr>
          <w:p w14:paraId="1091EA51"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GHG emission type</w:t>
            </w:r>
          </w:p>
        </w:tc>
        <w:tc>
          <w:tcPr>
            <w:tcW w:w="1325" w:type="dxa"/>
            <w:tcBorders>
              <w:top w:val="single" w:sz="4" w:space="0" w:color="auto"/>
              <w:left w:val="single" w:sz="4" w:space="0" w:color="auto"/>
              <w:bottom w:val="single" w:sz="4" w:space="0" w:color="auto"/>
              <w:right w:val="single" w:sz="4" w:space="0" w:color="auto"/>
            </w:tcBorders>
            <w:shd w:val="clear" w:color="auto" w:fill="4472C4"/>
            <w:hideMark/>
          </w:tcPr>
          <w:p w14:paraId="48D6DBAC"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Ha (expected at PIF)</w:t>
            </w:r>
          </w:p>
        </w:tc>
        <w:tc>
          <w:tcPr>
            <w:tcW w:w="1635" w:type="dxa"/>
            <w:tcBorders>
              <w:top w:val="single" w:sz="4" w:space="0" w:color="auto"/>
              <w:left w:val="single" w:sz="4" w:space="0" w:color="auto"/>
              <w:bottom w:val="single" w:sz="4" w:space="0" w:color="auto"/>
              <w:right w:val="single" w:sz="4" w:space="0" w:color="auto"/>
            </w:tcBorders>
            <w:shd w:val="clear" w:color="auto" w:fill="4472C4"/>
            <w:hideMark/>
          </w:tcPr>
          <w:p w14:paraId="75B642CD" w14:textId="77777777" w:rsidR="00302BFE" w:rsidRPr="00204930" w:rsidRDefault="00302BFE" w:rsidP="00243B15">
            <w:pPr>
              <w:rPr>
                <w:rFonts w:ascii="Times New Roman" w:eastAsia="Times New Roman" w:hAnsi="Times New Roman"/>
                <w:b/>
                <w:color w:val="000000"/>
                <w:sz w:val="19"/>
                <w:szCs w:val="19"/>
              </w:rPr>
            </w:pPr>
            <w:r w:rsidRPr="00204930">
              <w:rPr>
                <w:rFonts w:ascii="Times New Roman" w:eastAsia="Times New Roman" w:hAnsi="Times New Roman"/>
                <w:b/>
                <w:color w:val="000000"/>
                <w:sz w:val="19"/>
                <w:szCs w:val="19"/>
              </w:rPr>
              <w:t>Metric tons CO</w:t>
            </w:r>
            <w:r w:rsidRPr="00204930">
              <w:rPr>
                <w:rFonts w:ascii="Times New Roman" w:eastAsia="Times New Roman" w:hAnsi="Times New Roman"/>
                <w:b/>
                <w:color w:val="000000"/>
                <w:sz w:val="19"/>
                <w:szCs w:val="19"/>
                <w:vertAlign w:val="subscript"/>
              </w:rPr>
              <w:t>2</w:t>
            </w:r>
            <w:r w:rsidRPr="00204930">
              <w:rPr>
                <w:rFonts w:ascii="Times New Roman" w:eastAsia="Times New Roman" w:hAnsi="Times New Roman"/>
                <w:b/>
                <w:color w:val="000000"/>
                <w:sz w:val="19"/>
                <w:szCs w:val="19"/>
              </w:rPr>
              <w:t>-eq (expected at PIF)</w:t>
            </w:r>
          </w:p>
        </w:tc>
        <w:tc>
          <w:tcPr>
            <w:tcW w:w="1325" w:type="dxa"/>
            <w:tcBorders>
              <w:top w:val="single" w:sz="4" w:space="0" w:color="auto"/>
              <w:left w:val="single" w:sz="4" w:space="0" w:color="auto"/>
              <w:bottom w:val="single" w:sz="4" w:space="0" w:color="auto"/>
              <w:right w:val="single" w:sz="4" w:space="0" w:color="auto"/>
            </w:tcBorders>
            <w:shd w:val="clear" w:color="auto" w:fill="4472C4"/>
            <w:hideMark/>
          </w:tcPr>
          <w:p w14:paraId="6C2DB332"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Ha (expected at CEO ER)</w:t>
            </w:r>
          </w:p>
        </w:tc>
        <w:tc>
          <w:tcPr>
            <w:tcW w:w="1635" w:type="dxa"/>
            <w:tcBorders>
              <w:top w:val="single" w:sz="4" w:space="0" w:color="auto"/>
              <w:left w:val="single" w:sz="4" w:space="0" w:color="auto"/>
              <w:bottom w:val="single" w:sz="4" w:space="0" w:color="auto"/>
              <w:right w:val="single" w:sz="4" w:space="0" w:color="auto"/>
            </w:tcBorders>
            <w:shd w:val="clear" w:color="auto" w:fill="4472C4"/>
            <w:hideMark/>
          </w:tcPr>
          <w:p w14:paraId="304087C4" w14:textId="77777777" w:rsidR="00302BFE" w:rsidRPr="00204930" w:rsidRDefault="00302BFE" w:rsidP="00243B15">
            <w:pPr>
              <w:rPr>
                <w:rFonts w:ascii="Times New Roman" w:eastAsia="Times New Roman" w:hAnsi="Times New Roman"/>
                <w:b/>
                <w:color w:val="000000"/>
                <w:sz w:val="19"/>
                <w:szCs w:val="19"/>
              </w:rPr>
            </w:pPr>
            <w:r w:rsidRPr="00204930">
              <w:rPr>
                <w:rFonts w:ascii="Times New Roman" w:eastAsia="Times New Roman" w:hAnsi="Times New Roman"/>
                <w:b/>
                <w:color w:val="000000"/>
                <w:sz w:val="19"/>
                <w:szCs w:val="19"/>
              </w:rPr>
              <w:t>Metric tons CO</w:t>
            </w:r>
            <w:r w:rsidRPr="00204930">
              <w:rPr>
                <w:rFonts w:ascii="Times New Roman" w:eastAsia="Times New Roman" w:hAnsi="Times New Roman"/>
                <w:b/>
                <w:color w:val="000000"/>
                <w:sz w:val="19"/>
                <w:szCs w:val="19"/>
                <w:vertAlign w:val="subscript"/>
              </w:rPr>
              <w:t>2</w:t>
            </w:r>
            <w:r w:rsidRPr="00204930">
              <w:rPr>
                <w:rFonts w:ascii="Times New Roman" w:eastAsia="Times New Roman" w:hAnsi="Times New Roman"/>
                <w:b/>
                <w:color w:val="000000"/>
                <w:sz w:val="19"/>
                <w:szCs w:val="19"/>
              </w:rPr>
              <w:t>-eq (expected at CEO ER)</w:t>
            </w:r>
          </w:p>
        </w:tc>
        <w:tc>
          <w:tcPr>
            <w:tcW w:w="1325" w:type="dxa"/>
            <w:tcBorders>
              <w:top w:val="single" w:sz="4" w:space="0" w:color="auto"/>
              <w:left w:val="single" w:sz="4" w:space="0" w:color="auto"/>
              <w:bottom w:val="single" w:sz="4" w:space="0" w:color="auto"/>
              <w:right w:val="single" w:sz="4" w:space="0" w:color="auto"/>
            </w:tcBorders>
            <w:shd w:val="clear" w:color="auto" w:fill="4472C4"/>
            <w:hideMark/>
          </w:tcPr>
          <w:p w14:paraId="36A534C2"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Ha (expected at MTR)</w:t>
            </w:r>
          </w:p>
        </w:tc>
        <w:tc>
          <w:tcPr>
            <w:tcW w:w="1623" w:type="dxa"/>
            <w:tcBorders>
              <w:top w:val="single" w:sz="4" w:space="0" w:color="auto"/>
              <w:left w:val="single" w:sz="4" w:space="0" w:color="auto"/>
              <w:bottom w:val="single" w:sz="4" w:space="0" w:color="auto"/>
              <w:right w:val="single" w:sz="4" w:space="0" w:color="auto"/>
            </w:tcBorders>
            <w:shd w:val="clear" w:color="auto" w:fill="4472C4"/>
            <w:hideMark/>
          </w:tcPr>
          <w:p w14:paraId="7AE5C60C" w14:textId="77777777" w:rsidR="00302BFE" w:rsidRPr="00204930" w:rsidRDefault="00302BFE" w:rsidP="00243B15">
            <w:pPr>
              <w:rPr>
                <w:rFonts w:ascii="Times New Roman" w:eastAsia="Times New Roman" w:hAnsi="Times New Roman"/>
                <w:b/>
                <w:color w:val="000000"/>
                <w:sz w:val="19"/>
                <w:szCs w:val="19"/>
              </w:rPr>
            </w:pPr>
            <w:r w:rsidRPr="00204930">
              <w:rPr>
                <w:rFonts w:ascii="Times New Roman" w:eastAsia="Times New Roman" w:hAnsi="Times New Roman"/>
                <w:b/>
                <w:color w:val="000000"/>
                <w:sz w:val="19"/>
                <w:szCs w:val="19"/>
              </w:rPr>
              <w:t>Metric tons CO</w:t>
            </w:r>
            <w:r w:rsidRPr="00204930">
              <w:rPr>
                <w:rFonts w:ascii="Times New Roman" w:eastAsia="Times New Roman" w:hAnsi="Times New Roman"/>
                <w:b/>
                <w:color w:val="000000"/>
                <w:sz w:val="19"/>
                <w:szCs w:val="19"/>
                <w:vertAlign w:val="subscript"/>
              </w:rPr>
              <w:t>2</w:t>
            </w:r>
            <w:r w:rsidRPr="00204930">
              <w:rPr>
                <w:rFonts w:ascii="Times New Roman" w:eastAsia="Times New Roman" w:hAnsi="Times New Roman"/>
                <w:b/>
                <w:color w:val="000000"/>
                <w:sz w:val="19"/>
                <w:szCs w:val="19"/>
              </w:rPr>
              <w:t>-eq (expected at MTR)</w:t>
            </w:r>
          </w:p>
        </w:tc>
        <w:tc>
          <w:tcPr>
            <w:tcW w:w="1323" w:type="dxa"/>
            <w:tcBorders>
              <w:top w:val="single" w:sz="4" w:space="0" w:color="auto"/>
              <w:left w:val="single" w:sz="4" w:space="0" w:color="auto"/>
              <w:bottom w:val="single" w:sz="4" w:space="0" w:color="auto"/>
              <w:right w:val="single" w:sz="4" w:space="0" w:color="auto"/>
            </w:tcBorders>
            <w:shd w:val="clear" w:color="auto" w:fill="4472C4"/>
            <w:hideMark/>
          </w:tcPr>
          <w:p w14:paraId="5BEBB6D0"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Ha (expected at TE)</w:t>
            </w:r>
          </w:p>
        </w:tc>
        <w:tc>
          <w:tcPr>
            <w:tcW w:w="1623" w:type="dxa"/>
            <w:tcBorders>
              <w:top w:val="single" w:sz="4" w:space="0" w:color="auto"/>
              <w:left w:val="single" w:sz="4" w:space="0" w:color="auto"/>
              <w:bottom w:val="single" w:sz="4" w:space="0" w:color="auto"/>
              <w:right w:val="single" w:sz="4" w:space="0" w:color="auto"/>
            </w:tcBorders>
            <w:shd w:val="clear" w:color="auto" w:fill="4472C4"/>
            <w:hideMark/>
          </w:tcPr>
          <w:p w14:paraId="7CD13E86" w14:textId="77777777" w:rsidR="00302BFE" w:rsidRPr="00204930" w:rsidRDefault="00302BFE" w:rsidP="00243B15">
            <w:pPr>
              <w:rPr>
                <w:rFonts w:ascii="Times New Roman" w:eastAsia="Times New Roman" w:hAnsi="Times New Roman"/>
                <w:b/>
                <w:color w:val="000000"/>
                <w:sz w:val="19"/>
                <w:szCs w:val="19"/>
              </w:rPr>
            </w:pPr>
            <w:r w:rsidRPr="00204930">
              <w:rPr>
                <w:rFonts w:ascii="Times New Roman" w:eastAsia="Times New Roman" w:hAnsi="Times New Roman"/>
                <w:b/>
                <w:color w:val="000000"/>
                <w:sz w:val="19"/>
                <w:szCs w:val="19"/>
              </w:rPr>
              <w:t>Metric tons CO</w:t>
            </w:r>
            <w:r w:rsidRPr="00204930">
              <w:rPr>
                <w:rFonts w:ascii="Times New Roman" w:eastAsia="Times New Roman" w:hAnsi="Times New Roman"/>
                <w:b/>
                <w:color w:val="000000"/>
                <w:sz w:val="19"/>
                <w:szCs w:val="19"/>
                <w:vertAlign w:val="subscript"/>
              </w:rPr>
              <w:t>2</w:t>
            </w:r>
            <w:r w:rsidRPr="00204930">
              <w:rPr>
                <w:rFonts w:ascii="Times New Roman" w:eastAsia="Times New Roman" w:hAnsi="Times New Roman"/>
                <w:b/>
                <w:color w:val="000000"/>
                <w:sz w:val="19"/>
                <w:szCs w:val="19"/>
              </w:rPr>
              <w:t>-eq (expected at TE)</w:t>
            </w:r>
          </w:p>
        </w:tc>
      </w:tr>
      <w:tr w:rsidR="00302BFE" w:rsidRPr="00D61C93" w14:paraId="79D9027A" w14:textId="77777777" w:rsidTr="00243B15">
        <w:tc>
          <w:tcPr>
            <w:tcW w:w="1631" w:type="dxa"/>
            <w:tcBorders>
              <w:top w:val="single" w:sz="4" w:space="0" w:color="auto"/>
              <w:left w:val="single" w:sz="4" w:space="0" w:color="auto"/>
              <w:bottom w:val="single" w:sz="4" w:space="0" w:color="auto"/>
              <w:right w:val="single" w:sz="4" w:space="0" w:color="auto"/>
            </w:tcBorders>
            <w:shd w:val="clear" w:color="auto" w:fill="4472C4"/>
            <w:hideMark/>
          </w:tcPr>
          <w:p w14:paraId="1997202B" w14:textId="77777777" w:rsidR="00302BFE" w:rsidRPr="00D61C93" w:rsidRDefault="00302BFE" w:rsidP="00243B15">
            <w:pPr>
              <w:rPr>
                <w:rFonts w:ascii="Times New Roman" w:eastAsia="Times New Roman" w:hAnsi="Times New Roman"/>
                <w:b/>
                <w:color w:val="000000"/>
                <w:sz w:val="19"/>
                <w:szCs w:val="19"/>
              </w:rPr>
            </w:pPr>
            <w:r w:rsidRPr="00D61C93">
              <w:rPr>
                <w:rFonts w:ascii="Times New Roman" w:eastAsia="Times New Roman" w:hAnsi="Times New Roman"/>
                <w:b/>
                <w:color w:val="000000"/>
                <w:sz w:val="19"/>
                <w:szCs w:val="19"/>
              </w:rPr>
              <w:t>Expected metric tons of CO</w:t>
            </w:r>
            <w:r w:rsidRPr="00D61C93">
              <w:rPr>
                <w:rFonts w:ascii="Times New Roman" w:eastAsia="Times New Roman" w:hAnsi="Times New Roman"/>
                <w:b/>
                <w:color w:val="000000"/>
                <w:sz w:val="19"/>
                <w:szCs w:val="19"/>
                <w:vertAlign w:val="subscript"/>
              </w:rPr>
              <w:t>2</w:t>
            </w:r>
            <w:r w:rsidRPr="00D61C93">
              <w:rPr>
                <w:rFonts w:ascii="Times New Roman" w:eastAsia="Times New Roman" w:hAnsi="Times New Roman"/>
                <w:b/>
                <w:color w:val="000000"/>
                <w:sz w:val="19"/>
                <w:szCs w:val="19"/>
              </w:rPr>
              <w:t>-e (direct)</w:t>
            </w:r>
          </w:p>
        </w:tc>
        <w:tc>
          <w:tcPr>
            <w:tcW w:w="1325" w:type="dxa"/>
            <w:tcBorders>
              <w:top w:val="single" w:sz="4" w:space="0" w:color="auto"/>
              <w:left w:val="single" w:sz="4" w:space="0" w:color="auto"/>
              <w:bottom w:val="single" w:sz="4" w:space="0" w:color="auto"/>
              <w:right w:val="single" w:sz="4" w:space="0" w:color="auto"/>
            </w:tcBorders>
            <w:shd w:val="clear" w:color="auto" w:fill="auto"/>
          </w:tcPr>
          <w:p w14:paraId="55B9CE04" w14:textId="77777777" w:rsidR="00302BFE" w:rsidRPr="00D61C93" w:rsidRDefault="00302BFE" w:rsidP="00243B15">
            <w:pPr>
              <w:jc w:val="right"/>
              <w:rPr>
                <w:rFonts w:ascii="Times New Roman" w:eastAsia="Times New Roman" w:hAnsi="Times New Roman"/>
                <w:color w:val="000000"/>
                <w:szCs w:val="20"/>
              </w:rPr>
            </w:pPr>
          </w:p>
        </w:tc>
        <w:tc>
          <w:tcPr>
            <w:tcW w:w="1635" w:type="dxa"/>
            <w:tcBorders>
              <w:top w:val="single" w:sz="4" w:space="0" w:color="auto"/>
              <w:left w:val="single" w:sz="4" w:space="0" w:color="auto"/>
              <w:bottom w:val="single" w:sz="4" w:space="0" w:color="auto"/>
              <w:right w:val="single" w:sz="4" w:space="0" w:color="auto"/>
            </w:tcBorders>
            <w:shd w:val="clear" w:color="auto" w:fill="auto"/>
          </w:tcPr>
          <w:p w14:paraId="5421495E" w14:textId="77777777" w:rsidR="00302BFE" w:rsidRPr="00D61C93" w:rsidRDefault="00302BFE" w:rsidP="00243B15">
            <w:pPr>
              <w:jc w:val="right"/>
              <w:rPr>
                <w:rFonts w:ascii="Times New Roman" w:eastAsia="Times New Roman" w:hAnsi="Times New Roman"/>
                <w:color w:val="000000"/>
                <w:szCs w:val="20"/>
              </w:rPr>
            </w:pPr>
          </w:p>
        </w:tc>
        <w:tc>
          <w:tcPr>
            <w:tcW w:w="1325" w:type="dxa"/>
            <w:tcBorders>
              <w:top w:val="single" w:sz="4" w:space="0" w:color="auto"/>
              <w:left w:val="single" w:sz="4" w:space="0" w:color="auto"/>
              <w:bottom w:val="single" w:sz="4" w:space="0" w:color="auto"/>
              <w:right w:val="single" w:sz="4" w:space="0" w:color="auto"/>
            </w:tcBorders>
            <w:shd w:val="clear" w:color="auto" w:fill="auto"/>
          </w:tcPr>
          <w:p w14:paraId="1C0873CB" w14:textId="77777777" w:rsidR="00302BFE" w:rsidRPr="00D61C93" w:rsidRDefault="00302BFE" w:rsidP="00243B15">
            <w:pPr>
              <w:jc w:val="right"/>
              <w:rPr>
                <w:rFonts w:ascii="Times New Roman" w:eastAsia="Times New Roman" w:hAnsi="Times New Roman"/>
                <w:color w:val="000000"/>
                <w:szCs w:val="20"/>
              </w:rPr>
            </w:pPr>
          </w:p>
        </w:tc>
        <w:tc>
          <w:tcPr>
            <w:tcW w:w="1635" w:type="dxa"/>
            <w:tcBorders>
              <w:top w:val="single" w:sz="4" w:space="0" w:color="auto"/>
              <w:left w:val="single" w:sz="4" w:space="0" w:color="auto"/>
              <w:bottom w:val="single" w:sz="4" w:space="0" w:color="auto"/>
              <w:right w:val="single" w:sz="4" w:space="0" w:color="auto"/>
            </w:tcBorders>
            <w:shd w:val="clear" w:color="auto" w:fill="auto"/>
          </w:tcPr>
          <w:p w14:paraId="0B4EE1A8" w14:textId="77777777" w:rsidR="00302BFE" w:rsidRPr="00D61C93" w:rsidRDefault="00302BFE" w:rsidP="00243B15">
            <w:pPr>
              <w:jc w:val="right"/>
              <w:rPr>
                <w:rFonts w:ascii="Times New Roman" w:eastAsia="Times New Roman" w:hAnsi="Times New Roman"/>
                <w:color w:val="000000"/>
                <w:szCs w:val="20"/>
              </w:rPr>
            </w:pPr>
          </w:p>
        </w:tc>
        <w:tc>
          <w:tcPr>
            <w:tcW w:w="1325" w:type="dxa"/>
            <w:tcBorders>
              <w:top w:val="single" w:sz="4" w:space="0" w:color="auto"/>
              <w:left w:val="single" w:sz="4" w:space="0" w:color="auto"/>
              <w:bottom w:val="single" w:sz="4" w:space="0" w:color="auto"/>
              <w:right w:val="single" w:sz="4" w:space="0" w:color="auto"/>
            </w:tcBorders>
            <w:shd w:val="clear" w:color="auto" w:fill="auto"/>
          </w:tcPr>
          <w:p w14:paraId="6C339244" w14:textId="77777777" w:rsidR="00302BFE" w:rsidRPr="00D61C93" w:rsidRDefault="00302BFE" w:rsidP="00243B15">
            <w:pPr>
              <w:jc w:val="right"/>
              <w:rPr>
                <w:rFonts w:ascii="Times New Roman" w:eastAsia="Times New Roman" w:hAnsi="Times New Roman"/>
                <w:color w:val="000000"/>
                <w:szCs w:val="20"/>
              </w:rPr>
            </w:pP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117F294D" w14:textId="77777777" w:rsidR="00302BFE" w:rsidRPr="00D61C93" w:rsidRDefault="00302BFE" w:rsidP="00243B15">
            <w:pPr>
              <w:jc w:val="right"/>
              <w:rPr>
                <w:rFonts w:ascii="Times New Roman" w:eastAsia="Times New Roman" w:hAnsi="Times New Roman"/>
                <w:color w:val="000000"/>
                <w:szCs w:val="20"/>
              </w:rPr>
            </w:pPr>
          </w:p>
        </w:tc>
        <w:tc>
          <w:tcPr>
            <w:tcW w:w="1323" w:type="dxa"/>
            <w:tcBorders>
              <w:top w:val="single" w:sz="4" w:space="0" w:color="auto"/>
              <w:left w:val="single" w:sz="4" w:space="0" w:color="auto"/>
              <w:bottom w:val="single" w:sz="4" w:space="0" w:color="auto"/>
              <w:right w:val="single" w:sz="4" w:space="0" w:color="auto"/>
            </w:tcBorders>
            <w:shd w:val="clear" w:color="auto" w:fill="auto"/>
          </w:tcPr>
          <w:p w14:paraId="56602658" w14:textId="77777777" w:rsidR="00302BFE" w:rsidRPr="00D61C93" w:rsidRDefault="00302BFE" w:rsidP="00243B15">
            <w:pPr>
              <w:jc w:val="right"/>
              <w:rPr>
                <w:rFonts w:ascii="Times New Roman" w:eastAsia="Times New Roman" w:hAnsi="Times New Roman"/>
                <w:color w:val="000000"/>
                <w:szCs w:val="20"/>
              </w:rPr>
            </w:pP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41ABE0B9" w14:textId="77777777" w:rsidR="00302BFE" w:rsidRPr="00D61C93" w:rsidRDefault="00302BFE" w:rsidP="00243B15">
            <w:pPr>
              <w:jc w:val="right"/>
              <w:rPr>
                <w:rFonts w:ascii="Times New Roman" w:eastAsia="Times New Roman" w:hAnsi="Times New Roman"/>
                <w:color w:val="000000"/>
                <w:szCs w:val="20"/>
              </w:rPr>
            </w:pPr>
          </w:p>
        </w:tc>
      </w:tr>
      <w:tr w:rsidR="00302BFE" w:rsidRPr="00D61C93" w14:paraId="2D3ACE89" w14:textId="77777777" w:rsidTr="00243B15">
        <w:tc>
          <w:tcPr>
            <w:tcW w:w="1631" w:type="dxa"/>
            <w:tcBorders>
              <w:top w:val="single" w:sz="4" w:space="0" w:color="auto"/>
              <w:left w:val="single" w:sz="4" w:space="0" w:color="auto"/>
              <w:bottom w:val="single" w:sz="4" w:space="0" w:color="auto"/>
              <w:right w:val="single" w:sz="4" w:space="0" w:color="auto"/>
            </w:tcBorders>
            <w:shd w:val="clear" w:color="auto" w:fill="4472C4"/>
            <w:hideMark/>
          </w:tcPr>
          <w:p w14:paraId="15410A65" w14:textId="77777777" w:rsidR="00302BFE" w:rsidRPr="00D61C93" w:rsidRDefault="00302BFE" w:rsidP="00243B15">
            <w:pPr>
              <w:rPr>
                <w:rFonts w:ascii="Times New Roman" w:eastAsia="Times New Roman" w:hAnsi="Times New Roman"/>
                <w:b/>
                <w:color w:val="000000"/>
                <w:szCs w:val="20"/>
              </w:rPr>
            </w:pPr>
            <w:r w:rsidRPr="00D61C93">
              <w:rPr>
                <w:rFonts w:ascii="Times New Roman" w:eastAsia="Times New Roman" w:hAnsi="Times New Roman"/>
                <w:b/>
                <w:color w:val="000000"/>
                <w:szCs w:val="20"/>
              </w:rPr>
              <w:t>Expected metric tons of CO</w:t>
            </w:r>
            <w:r w:rsidRPr="00D61C93">
              <w:rPr>
                <w:rFonts w:ascii="Times New Roman" w:eastAsia="Times New Roman" w:hAnsi="Times New Roman"/>
                <w:b/>
                <w:color w:val="000000"/>
                <w:szCs w:val="20"/>
                <w:vertAlign w:val="subscript"/>
              </w:rPr>
              <w:t>2</w:t>
            </w:r>
            <w:r w:rsidRPr="00D61C93">
              <w:rPr>
                <w:rFonts w:ascii="Times New Roman" w:eastAsia="Times New Roman" w:hAnsi="Times New Roman"/>
                <w:b/>
                <w:color w:val="000000"/>
                <w:szCs w:val="20"/>
              </w:rPr>
              <w:t>-e (indirect)</w:t>
            </w:r>
          </w:p>
        </w:tc>
        <w:tc>
          <w:tcPr>
            <w:tcW w:w="1325" w:type="dxa"/>
            <w:tcBorders>
              <w:top w:val="single" w:sz="4" w:space="0" w:color="auto"/>
              <w:left w:val="single" w:sz="4" w:space="0" w:color="auto"/>
              <w:bottom w:val="single" w:sz="4" w:space="0" w:color="auto"/>
              <w:right w:val="single" w:sz="4" w:space="0" w:color="auto"/>
            </w:tcBorders>
            <w:shd w:val="clear" w:color="auto" w:fill="auto"/>
          </w:tcPr>
          <w:p w14:paraId="7B3872C5" w14:textId="77777777" w:rsidR="00302BFE" w:rsidRPr="00D61C93" w:rsidRDefault="00302BFE" w:rsidP="00243B15">
            <w:pPr>
              <w:jc w:val="right"/>
              <w:rPr>
                <w:rFonts w:ascii="Times New Roman" w:eastAsia="Times New Roman" w:hAnsi="Times New Roman"/>
                <w:color w:val="000000"/>
                <w:sz w:val="18"/>
                <w:szCs w:val="18"/>
              </w:rPr>
            </w:pPr>
            <w:r w:rsidRPr="00D61C93">
              <w:rPr>
                <w:rFonts w:ascii="Times New Roman" w:eastAsia="Times New Roman" w:hAnsi="Times New Roman"/>
                <w:sz w:val="18"/>
                <w:szCs w:val="18"/>
                <w:lang w:val="en-GB"/>
              </w:rPr>
              <w:t xml:space="preserve">reduced deforestation: 436,057 ha, restoration: 3,000 ha </w:t>
            </w:r>
          </w:p>
        </w:tc>
        <w:tc>
          <w:tcPr>
            <w:tcW w:w="1635" w:type="dxa"/>
            <w:tcBorders>
              <w:top w:val="single" w:sz="4" w:space="0" w:color="auto"/>
              <w:left w:val="single" w:sz="4" w:space="0" w:color="auto"/>
              <w:bottom w:val="single" w:sz="4" w:space="0" w:color="auto"/>
              <w:right w:val="single" w:sz="4" w:space="0" w:color="auto"/>
            </w:tcBorders>
            <w:shd w:val="clear" w:color="auto" w:fill="auto"/>
          </w:tcPr>
          <w:p w14:paraId="3F97E49B" w14:textId="77777777" w:rsidR="00302BFE" w:rsidRPr="00D61C93" w:rsidRDefault="00302BFE" w:rsidP="00243B15">
            <w:pPr>
              <w:jc w:val="right"/>
              <w:rPr>
                <w:rFonts w:ascii="Times New Roman" w:eastAsia="Times New Roman" w:hAnsi="Times New Roman"/>
                <w:color w:val="000000"/>
                <w:sz w:val="18"/>
                <w:szCs w:val="18"/>
              </w:rPr>
            </w:pPr>
            <w:r w:rsidRPr="00D61C93">
              <w:rPr>
                <w:rFonts w:ascii="Times New Roman" w:eastAsia="Times New Roman" w:hAnsi="Times New Roman"/>
                <w:color w:val="000000"/>
                <w:sz w:val="18"/>
                <w:szCs w:val="18"/>
              </w:rPr>
              <w:t>4,000,000</w:t>
            </w:r>
          </w:p>
        </w:tc>
        <w:tc>
          <w:tcPr>
            <w:tcW w:w="1325" w:type="dxa"/>
            <w:tcBorders>
              <w:top w:val="single" w:sz="4" w:space="0" w:color="auto"/>
              <w:left w:val="single" w:sz="4" w:space="0" w:color="auto"/>
              <w:bottom w:val="single" w:sz="4" w:space="0" w:color="auto"/>
              <w:right w:val="single" w:sz="4" w:space="0" w:color="auto"/>
            </w:tcBorders>
            <w:shd w:val="clear" w:color="auto" w:fill="auto"/>
          </w:tcPr>
          <w:p w14:paraId="4129DDA8" w14:textId="77777777" w:rsidR="00302BFE" w:rsidRPr="00D61C93" w:rsidRDefault="00302BFE" w:rsidP="00243B15">
            <w:pPr>
              <w:jc w:val="right"/>
              <w:rPr>
                <w:rFonts w:ascii="Times New Roman" w:eastAsia="Times New Roman" w:hAnsi="Times New Roman"/>
                <w:color w:val="000000"/>
                <w:sz w:val="18"/>
                <w:szCs w:val="18"/>
              </w:rPr>
            </w:pPr>
            <w:r w:rsidRPr="00D61C93">
              <w:rPr>
                <w:rFonts w:ascii="Times New Roman" w:eastAsia="Times New Roman" w:hAnsi="Times New Roman"/>
                <w:sz w:val="18"/>
                <w:szCs w:val="18"/>
                <w:lang w:val="en-GB"/>
              </w:rPr>
              <w:t xml:space="preserve">reduced deforestation: </w:t>
            </w:r>
            <w:r w:rsidR="00D72C07" w:rsidRPr="00D61C93">
              <w:rPr>
                <w:rFonts w:ascii="Times New Roman" w:eastAsia="Times New Roman" w:hAnsi="Times New Roman"/>
                <w:sz w:val="18"/>
                <w:szCs w:val="18"/>
                <w:lang w:val="en-GB"/>
              </w:rPr>
              <w:t>394</w:t>
            </w:r>
            <w:r w:rsidRPr="00D61C93">
              <w:rPr>
                <w:rFonts w:ascii="Times New Roman" w:eastAsia="Times New Roman" w:hAnsi="Times New Roman"/>
                <w:sz w:val="18"/>
                <w:szCs w:val="18"/>
                <w:lang w:val="en-GB"/>
              </w:rPr>
              <w:t>,</w:t>
            </w:r>
            <w:r w:rsidR="00D72C07" w:rsidRPr="00D61C93">
              <w:rPr>
                <w:rFonts w:ascii="Times New Roman" w:eastAsia="Times New Roman" w:hAnsi="Times New Roman"/>
                <w:sz w:val="18"/>
                <w:szCs w:val="18"/>
                <w:lang w:val="en-GB"/>
              </w:rPr>
              <w:t>564</w:t>
            </w:r>
            <w:r w:rsidRPr="00D61C93">
              <w:rPr>
                <w:rFonts w:ascii="Times New Roman" w:eastAsia="Times New Roman" w:hAnsi="Times New Roman"/>
                <w:sz w:val="18"/>
                <w:szCs w:val="18"/>
                <w:lang w:val="en-GB"/>
              </w:rPr>
              <w:t xml:space="preserve"> ha, restoration: 11,000 ha </w:t>
            </w:r>
          </w:p>
        </w:tc>
        <w:tc>
          <w:tcPr>
            <w:tcW w:w="1635" w:type="dxa"/>
            <w:tcBorders>
              <w:top w:val="single" w:sz="4" w:space="0" w:color="auto"/>
              <w:left w:val="single" w:sz="4" w:space="0" w:color="auto"/>
              <w:bottom w:val="single" w:sz="4" w:space="0" w:color="auto"/>
              <w:right w:val="single" w:sz="4" w:space="0" w:color="auto"/>
            </w:tcBorders>
            <w:shd w:val="clear" w:color="auto" w:fill="auto"/>
          </w:tcPr>
          <w:p w14:paraId="7E295D94" w14:textId="77777777" w:rsidR="00302BFE" w:rsidRPr="00D61C93" w:rsidRDefault="00D72C07" w:rsidP="00243B15">
            <w:pPr>
              <w:jc w:val="right"/>
              <w:rPr>
                <w:rFonts w:ascii="Times New Roman" w:eastAsia="Times New Roman" w:hAnsi="Times New Roman"/>
                <w:color w:val="000000"/>
                <w:szCs w:val="20"/>
              </w:rPr>
            </w:pPr>
            <w:r w:rsidRPr="00D61C93">
              <w:rPr>
                <w:rFonts w:ascii="Times New Roman" w:eastAsia="Times New Roman" w:hAnsi="Times New Roman"/>
                <w:color w:val="000000"/>
                <w:szCs w:val="20"/>
              </w:rPr>
              <w:t>5</w:t>
            </w:r>
            <w:r w:rsidR="00302BFE" w:rsidRPr="00D61C93">
              <w:rPr>
                <w:rFonts w:ascii="Times New Roman" w:eastAsia="Times New Roman" w:hAnsi="Times New Roman"/>
                <w:color w:val="000000"/>
                <w:szCs w:val="20"/>
              </w:rPr>
              <w:t>,</w:t>
            </w:r>
            <w:r w:rsidRPr="00D61C93">
              <w:rPr>
                <w:rFonts w:ascii="Times New Roman" w:eastAsia="Times New Roman" w:hAnsi="Times New Roman"/>
                <w:color w:val="000000"/>
                <w:szCs w:val="20"/>
              </w:rPr>
              <w:t>44</w:t>
            </w:r>
            <w:r w:rsidR="00302BFE" w:rsidRPr="00D61C93">
              <w:rPr>
                <w:rFonts w:ascii="Times New Roman" w:eastAsia="Times New Roman" w:hAnsi="Times New Roman"/>
                <w:color w:val="000000"/>
                <w:szCs w:val="20"/>
              </w:rPr>
              <w:t>8,</w:t>
            </w:r>
            <w:r w:rsidRPr="00D61C93">
              <w:rPr>
                <w:rFonts w:ascii="Times New Roman" w:eastAsia="Times New Roman" w:hAnsi="Times New Roman"/>
                <w:color w:val="000000"/>
                <w:szCs w:val="20"/>
              </w:rPr>
              <w:t>924</w:t>
            </w:r>
          </w:p>
        </w:tc>
        <w:tc>
          <w:tcPr>
            <w:tcW w:w="1325" w:type="dxa"/>
            <w:tcBorders>
              <w:top w:val="single" w:sz="4" w:space="0" w:color="auto"/>
              <w:left w:val="single" w:sz="4" w:space="0" w:color="auto"/>
              <w:bottom w:val="single" w:sz="4" w:space="0" w:color="auto"/>
              <w:right w:val="single" w:sz="4" w:space="0" w:color="auto"/>
            </w:tcBorders>
            <w:shd w:val="clear" w:color="auto" w:fill="auto"/>
          </w:tcPr>
          <w:p w14:paraId="13F7F805" w14:textId="77777777" w:rsidR="00302BFE" w:rsidRPr="00D61C93" w:rsidRDefault="00302BFE" w:rsidP="00243B15">
            <w:pPr>
              <w:jc w:val="right"/>
              <w:rPr>
                <w:rFonts w:ascii="Times New Roman" w:eastAsia="Times New Roman" w:hAnsi="Times New Roman"/>
                <w:color w:val="000000"/>
                <w:szCs w:val="20"/>
              </w:rPr>
            </w:pP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2AF29808" w14:textId="77777777" w:rsidR="00302BFE" w:rsidRPr="00D61C93" w:rsidRDefault="00302BFE" w:rsidP="00243B15">
            <w:pPr>
              <w:jc w:val="right"/>
              <w:rPr>
                <w:rFonts w:ascii="Times New Roman" w:eastAsia="Times New Roman" w:hAnsi="Times New Roman"/>
                <w:color w:val="000000"/>
                <w:szCs w:val="20"/>
              </w:rPr>
            </w:pPr>
          </w:p>
        </w:tc>
        <w:tc>
          <w:tcPr>
            <w:tcW w:w="1323" w:type="dxa"/>
            <w:tcBorders>
              <w:top w:val="single" w:sz="4" w:space="0" w:color="auto"/>
              <w:left w:val="single" w:sz="4" w:space="0" w:color="auto"/>
              <w:bottom w:val="single" w:sz="4" w:space="0" w:color="auto"/>
              <w:right w:val="single" w:sz="4" w:space="0" w:color="auto"/>
            </w:tcBorders>
            <w:shd w:val="clear" w:color="auto" w:fill="auto"/>
          </w:tcPr>
          <w:p w14:paraId="37BF37EF" w14:textId="77777777" w:rsidR="00302BFE" w:rsidRPr="00D61C93" w:rsidRDefault="00302BFE" w:rsidP="00243B15">
            <w:pPr>
              <w:jc w:val="right"/>
              <w:rPr>
                <w:rFonts w:ascii="Times New Roman" w:eastAsia="Times New Roman" w:hAnsi="Times New Roman"/>
                <w:color w:val="000000"/>
                <w:szCs w:val="20"/>
              </w:rPr>
            </w:pP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3DD19B2C" w14:textId="77777777" w:rsidR="00302BFE" w:rsidRPr="00D61C93" w:rsidRDefault="00302BFE" w:rsidP="00243B15">
            <w:pPr>
              <w:jc w:val="right"/>
              <w:rPr>
                <w:rFonts w:ascii="Times New Roman" w:eastAsia="Times New Roman" w:hAnsi="Times New Roman"/>
                <w:color w:val="000000"/>
                <w:szCs w:val="20"/>
              </w:rPr>
            </w:pPr>
          </w:p>
        </w:tc>
      </w:tr>
      <w:tr w:rsidR="00302BFE" w:rsidRPr="00D61C93" w14:paraId="06C14A95" w14:textId="77777777" w:rsidTr="00243B15">
        <w:trPr>
          <w:trHeight w:val="576"/>
        </w:trPr>
        <w:tc>
          <w:tcPr>
            <w:tcW w:w="1631" w:type="dxa"/>
            <w:tcBorders>
              <w:top w:val="single" w:sz="4" w:space="0" w:color="auto"/>
              <w:left w:val="single" w:sz="4" w:space="0" w:color="auto"/>
              <w:bottom w:val="single" w:sz="4" w:space="0" w:color="auto"/>
              <w:right w:val="single" w:sz="4" w:space="0" w:color="auto"/>
            </w:tcBorders>
            <w:shd w:val="clear" w:color="auto" w:fill="4472C4"/>
            <w:hideMark/>
          </w:tcPr>
          <w:p w14:paraId="441238A8" w14:textId="77777777" w:rsidR="00302BFE" w:rsidRPr="00D61C93" w:rsidRDefault="00302BFE" w:rsidP="00243B15">
            <w:pPr>
              <w:rPr>
                <w:rFonts w:ascii="Times New Roman" w:eastAsia="Times New Roman" w:hAnsi="Times New Roman"/>
                <w:b/>
                <w:color w:val="000000"/>
                <w:szCs w:val="20"/>
              </w:rPr>
            </w:pPr>
            <w:r w:rsidRPr="00D61C93">
              <w:rPr>
                <w:rFonts w:ascii="Times New Roman" w:eastAsia="Times New Roman" w:hAnsi="Times New Roman"/>
                <w:b/>
                <w:color w:val="000000"/>
                <w:szCs w:val="20"/>
              </w:rPr>
              <w:t>Anticipated year</w:t>
            </w:r>
          </w:p>
        </w:tc>
        <w:tc>
          <w:tcPr>
            <w:tcW w:w="1325" w:type="dxa"/>
            <w:tcBorders>
              <w:top w:val="single" w:sz="4" w:space="0" w:color="auto"/>
              <w:left w:val="single" w:sz="4" w:space="0" w:color="auto"/>
              <w:bottom w:val="single" w:sz="4" w:space="0" w:color="auto"/>
              <w:right w:val="single" w:sz="4" w:space="0" w:color="auto"/>
            </w:tcBorders>
            <w:shd w:val="clear" w:color="auto" w:fill="auto"/>
            <w:hideMark/>
          </w:tcPr>
          <w:p w14:paraId="0A146B89" w14:textId="77777777" w:rsidR="00302BFE" w:rsidRPr="00D61C93" w:rsidRDefault="00302BFE" w:rsidP="00243B15">
            <w:pPr>
              <w:rPr>
                <w:rFonts w:ascii="Times New Roman" w:eastAsia="Times New Roman" w:hAnsi="Times New Roman"/>
                <w:color w:val="000000"/>
                <w:szCs w:val="20"/>
              </w:rPr>
            </w:pPr>
            <w:r w:rsidRPr="00D61C93">
              <w:rPr>
                <w:rFonts w:ascii="Times New Roman" w:eastAsia="Times New Roman" w:hAnsi="Times New Roman"/>
                <w:color w:val="000000"/>
                <w:szCs w:val="20"/>
              </w:rPr>
              <w:t>---</w:t>
            </w:r>
          </w:p>
        </w:tc>
        <w:tc>
          <w:tcPr>
            <w:tcW w:w="1635" w:type="dxa"/>
            <w:tcBorders>
              <w:top w:val="single" w:sz="4" w:space="0" w:color="auto"/>
              <w:left w:val="single" w:sz="4" w:space="0" w:color="auto"/>
              <w:bottom w:val="single" w:sz="4" w:space="0" w:color="auto"/>
              <w:right w:val="single" w:sz="4" w:space="0" w:color="auto"/>
            </w:tcBorders>
            <w:shd w:val="clear" w:color="auto" w:fill="auto"/>
            <w:hideMark/>
          </w:tcPr>
          <w:p w14:paraId="4C6E2CD4" w14:textId="77777777" w:rsidR="00302BFE" w:rsidRPr="00D61C93" w:rsidRDefault="00302BFE" w:rsidP="00243B15">
            <w:pPr>
              <w:rPr>
                <w:rFonts w:ascii="Times New Roman" w:eastAsia="Times New Roman" w:hAnsi="Times New Roman"/>
                <w:color w:val="000000"/>
                <w:szCs w:val="20"/>
              </w:rPr>
            </w:pPr>
            <w:r w:rsidRPr="00D61C93">
              <w:rPr>
                <w:rFonts w:ascii="Times New Roman" w:eastAsia="Times New Roman" w:hAnsi="Times New Roman"/>
                <w:color w:val="000000"/>
                <w:szCs w:val="20"/>
              </w:rPr>
              <w:t>[2029]</w:t>
            </w:r>
          </w:p>
        </w:tc>
        <w:tc>
          <w:tcPr>
            <w:tcW w:w="1325" w:type="dxa"/>
            <w:tcBorders>
              <w:top w:val="single" w:sz="4" w:space="0" w:color="auto"/>
              <w:left w:val="single" w:sz="4" w:space="0" w:color="auto"/>
              <w:bottom w:val="single" w:sz="4" w:space="0" w:color="auto"/>
              <w:right w:val="single" w:sz="4" w:space="0" w:color="auto"/>
            </w:tcBorders>
            <w:shd w:val="clear" w:color="auto" w:fill="auto"/>
            <w:hideMark/>
          </w:tcPr>
          <w:p w14:paraId="39BA947D" w14:textId="77777777" w:rsidR="00302BFE" w:rsidRPr="00D61C93" w:rsidRDefault="00302BFE" w:rsidP="00243B15">
            <w:pPr>
              <w:rPr>
                <w:rFonts w:ascii="Times New Roman" w:eastAsia="Times New Roman" w:hAnsi="Times New Roman"/>
                <w:color w:val="000000"/>
                <w:szCs w:val="20"/>
              </w:rPr>
            </w:pPr>
            <w:r w:rsidRPr="00D61C93">
              <w:rPr>
                <w:rFonts w:ascii="Times New Roman" w:eastAsia="Times New Roman" w:hAnsi="Times New Roman"/>
                <w:color w:val="000000"/>
                <w:szCs w:val="20"/>
              </w:rPr>
              <w:t>---</w:t>
            </w:r>
          </w:p>
        </w:tc>
        <w:tc>
          <w:tcPr>
            <w:tcW w:w="1635" w:type="dxa"/>
            <w:tcBorders>
              <w:top w:val="single" w:sz="4" w:space="0" w:color="auto"/>
              <w:left w:val="single" w:sz="4" w:space="0" w:color="auto"/>
              <w:bottom w:val="single" w:sz="4" w:space="0" w:color="auto"/>
              <w:right w:val="single" w:sz="4" w:space="0" w:color="auto"/>
            </w:tcBorders>
            <w:shd w:val="clear" w:color="auto" w:fill="auto"/>
            <w:hideMark/>
          </w:tcPr>
          <w:p w14:paraId="45DF4039" w14:textId="77777777" w:rsidR="00302BFE" w:rsidRPr="00D61C93" w:rsidRDefault="00302BFE" w:rsidP="00243B15">
            <w:pPr>
              <w:rPr>
                <w:rFonts w:ascii="Times New Roman" w:eastAsia="Times New Roman" w:hAnsi="Times New Roman"/>
                <w:color w:val="000000"/>
                <w:szCs w:val="20"/>
              </w:rPr>
            </w:pPr>
            <w:r w:rsidRPr="00D61C93">
              <w:rPr>
                <w:rFonts w:ascii="Times New Roman" w:eastAsia="Times New Roman" w:hAnsi="Times New Roman"/>
                <w:color w:val="000000"/>
                <w:szCs w:val="20"/>
              </w:rPr>
              <w:t>[20</w:t>
            </w:r>
            <w:r w:rsidR="00D72C07" w:rsidRPr="00D61C93">
              <w:rPr>
                <w:rFonts w:ascii="Times New Roman" w:eastAsia="Times New Roman" w:hAnsi="Times New Roman"/>
                <w:color w:val="000000"/>
                <w:szCs w:val="20"/>
              </w:rPr>
              <w:t>40</w:t>
            </w:r>
            <w:r w:rsidRPr="00D61C93">
              <w:rPr>
                <w:rFonts w:ascii="Times New Roman" w:eastAsia="Times New Roman" w:hAnsi="Times New Roman"/>
                <w:color w:val="000000"/>
                <w:szCs w:val="20"/>
              </w:rPr>
              <w:t>]</w:t>
            </w:r>
          </w:p>
        </w:tc>
        <w:tc>
          <w:tcPr>
            <w:tcW w:w="1325" w:type="dxa"/>
            <w:tcBorders>
              <w:top w:val="single" w:sz="4" w:space="0" w:color="auto"/>
              <w:left w:val="single" w:sz="4" w:space="0" w:color="auto"/>
              <w:bottom w:val="single" w:sz="4" w:space="0" w:color="auto"/>
              <w:right w:val="single" w:sz="4" w:space="0" w:color="auto"/>
            </w:tcBorders>
            <w:shd w:val="clear" w:color="auto" w:fill="auto"/>
            <w:hideMark/>
          </w:tcPr>
          <w:p w14:paraId="20AFA91E" w14:textId="77777777" w:rsidR="00302BFE" w:rsidRPr="00D61C93" w:rsidRDefault="00302BFE" w:rsidP="00243B15">
            <w:pPr>
              <w:rPr>
                <w:rFonts w:ascii="Times New Roman" w:eastAsia="Times New Roman" w:hAnsi="Times New Roman"/>
                <w:color w:val="000000"/>
                <w:szCs w:val="20"/>
              </w:rPr>
            </w:pPr>
            <w:r w:rsidRPr="00D61C93">
              <w:rPr>
                <w:rFonts w:ascii="Times New Roman" w:eastAsia="Times New Roman" w:hAnsi="Times New Roman"/>
                <w:color w:val="000000"/>
                <w:szCs w:val="20"/>
              </w:rPr>
              <w:t>---</w:t>
            </w:r>
          </w:p>
        </w:tc>
        <w:tc>
          <w:tcPr>
            <w:tcW w:w="1623" w:type="dxa"/>
            <w:tcBorders>
              <w:top w:val="single" w:sz="4" w:space="0" w:color="auto"/>
              <w:left w:val="single" w:sz="4" w:space="0" w:color="auto"/>
              <w:bottom w:val="single" w:sz="4" w:space="0" w:color="auto"/>
              <w:right w:val="single" w:sz="4" w:space="0" w:color="auto"/>
            </w:tcBorders>
            <w:shd w:val="clear" w:color="auto" w:fill="auto"/>
            <w:hideMark/>
          </w:tcPr>
          <w:p w14:paraId="0DF7B8A5" w14:textId="77777777" w:rsidR="00302BFE" w:rsidRPr="00D61C93" w:rsidRDefault="00302BFE" w:rsidP="00243B15">
            <w:pPr>
              <w:rPr>
                <w:rFonts w:ascii="Times New Roman" w:eastAsia="Times New Roman" w:hAnsi="Times New Roman"/>
                <w:color w:val="000000"/>
                <w:szCs w:val="20"/>
              </w:rPr>
            </w:pPr>
            <w:r w:rsidRPr="00D61C93">
              <w:rPr>
                <w:rFonts w:ascii="Times New Roman" w:eastAsia="Times New Roman" w:hAnsi="Times New Roman"/>
                <w:color w:val="000000"/>
                <w:szCs w:val="20"/>
              </w:rPr>
              <w:t>[2018-2100]</w:t>
            </w:r>
          </w:p>
        </w:tc>
        <w:tc>
          <w:tcPr>
            <w:tcW w:w="1323" w:type="dxa"/>
            <w:tcBorders>
              <w:top w:val="single" w:sz="4" w:space="0" w:color="auto"/>
              <w:left w:val="single" w:sz="4" w:space="0" w:color="auto"/>
              <w:bottom w:val="single" w:sz="4" w:space="0" w:color="auto"/>
              <w:right w:val="single" w:sz="4" w:space="0" w:color="auto"/>
            </w:tcBorders>
            <w:shd w:val="clear" w:color="auto" w:fill="auto"/>
            <w:hideMark/>
          </w:tcPr>
          <w:p w14:paraId="73735620" w14:textId="77777777" w:rsidR="00302BFE" w:rsidRPr="00D61C93" w:rsidRDefault="00302BFE" w:rsidP="00243B15">
            <w:pPr>
              <w:rPr>
                <w:rFonts w:ascii="Times New Roman" w:eastAsia="Times New Roman" w:hAnsi="Times New Roman"/>
                <w:color w:val="000000"/>
                <w:szCs w:val="20"/>
              </w:rPr>
            </w:pPr>
            <w:r w:rsidRPr="00D61C93">
              <w:rPr>
                <w:rFonts w:ascii="Times New Roman" w:eastAsia="Times New Roman" w:hAnsi="Times New Roman"/>
                <w:color w:val="000000"/>
                <w:szCs w:val="20"/>
              </w:rPr>
              <w:t>---</w:t>
            </w:r>
          </w:p>
        </w:tc>
        <w:tc>
          <w:tcPr>
            <w:tcW w:w="1623" w:type="dxa"/>
            <w:tcBorders>
              <w:top w:val="single" w:sz="4" w:space="0" w:color="auto"/>
              <w:left w:val="single" w:sz="4" w:space="0" w:color="auto"/>
              <w:bottom w:val="single" w:sz="4" w:space="0" w:color="auto"/>
              <w:right w:val="single" w:sz="4" w:space="0" w:color="auto"/>
            </w:tcBorders>
            <w:shd w:val="clear" w:color="auto" w:fill="auto"/>
            <w:hideMark/>
          </w:tcPr>
          <w:p w14:paraId="2ABBEEB4" w14:textId="77777777" w:rsidR="00302BFE" w:rsidRPr="00D61C93" w:rsidRDefault="00302BFE" w:rsidP="00243B15">
            <w:pPr>
              <w:rPr>
                <w:rFonts w:ascii="Times New Roman" w:eastAsia="Times New Roman" w:hAnsi="Times New Roman"/>
                <w:color w:val="000000"/>
                <w:szCs w:val="20"/>
              </w:rPr>
            </w:pPr>
            <w:r w:rsidRPr="00D61C93">
              <w:rPr>
                <w:rFonts w:ascii="Times New Roman" w:eastAsia="Times New Roman" w:hAnsi="Times New Roman"/>
                <w:color w:val="000000"/>
                <w:szCs w:val="20"/>
              </w:rPr>
              <w:t>[2018-2100]</w:t>
            </w:r>
          </w:p>
        </w:tc>
      </w:tr>
      <w:tr w:rsidR="00302BFE" w:rsidRPr="00D61C93" w14:paraId="04119726" w14:textId="77777777" w:rsidTr="00243B15">
        <w:trPr>
          <w:trHeight w:val="576"/>
        </w:trPr>
        <w:tc>
          <w:tcPr>
            <w:tcW w:w="1631" w:type="dxa"/>
            <w:tcBorders>
              <w:top w:val="single" w:sz="4" w:space="0" w:color="auto"/>
              <w:left w:val="single" w:sz="4" w:space="0" w:color="auto"/>
              <w:bottom w:val="single" w:sz="4" w:space="0" w:color="auto"/>
              <w:right w:val="single" w:sz="4" w:space="0" w:color="auto"/>
            </w:tcBorders>
            <w:shd w:val="clear" w:color="auto" w:fill="4472C4"/>
            <w:hideMark/>
          </w:tcPr>
          <w:p w14:paraId="4056EBC7" w14:textId="77777777" w:rsidR="00302BFE" w:rsidRPr="00D61C93" w:rsidRDefault="00302BFE" w:rsidP="00243B15">
            <w:pPr>
              <w:rPr>
                <w:rFonts w:ascii="Times New Roman" w:eastAsia="Times New Roman" w:hAnsi="Times New Roman"/>
                <w:b/>
                <w:color w:val="000000"/>
                <w:szCs w:val="20"/>
              </w:rPr>
            </w:pPr>
            <w:r w:rsidRPr="00D61C93">
              <w:rPr>
                <w:rFonts w:ascii="Times New Roman" w:eastAsia="Times New Roman" w:hAnsi="Times New Roman"/>
                <w:b/>
                <w:color w:val="000000"/>
                <w:szCs w:val="20"/>
              </w:rPr>
              <w:t>Duration of accounting</w:t>
            </w:r>
          </w:p>
        </w:tc>
        <w:tc>
          <w:tcPr>
            <w:tcW w:w="1325" w:type="dxa"/>
            <w:tcBorders>
              <w:top w:val="single" w:sz="4" w:space="0" w:color="auto"/>
              <w:left w:val="single" w:sz="4" w:space="0" w:color="auto"/>
              <w:bottom w:val="single" w:sz="4" w:space="0" w:color="auto"/>
              <w:right w:val="single" w:sz="4" w:space="0" w:color="auto"/>
            </w:tcBorders>
            <w:shd w:val="clear" w:color="auto" w:fill="auto"/>
            <w:hideMark/>
          </w:tcPr>
          <w:p w14:paraId="61A00D3A" w14:textId="77777777" w:rsidR="00302BFE" w:rsidRPr="00D61C93" w:rsidRDefault="00302BFE" w:rsidP="00243B15">
            <w:pPr>
              <w:rPr>
                <w:rFonts w:ascii="Times New Roman" w:eastAsia="Times New Roman" w:hAnsi="Times New Roman"/>
                <w:color w:val="000000"/>
                <w:szCs w:val="20"/>
              </w:rPr>
            </w:pPr>
            <w:r w:rsidRPr="00D61C93">
              <w:rPr>
                <w:rFonts w:ascii="Times New Roman" w:eastAsia="Times New Roman" w:hAnsi="Times New Roman"/>
                <w:color w:val="000000"/>
                <w:szCs w:val="20"/>
              </w:rPr>
              <w:t>---</w:t>
            </w:r>
          </w:p>
        </w:tc>
        <w:tc>
          <w:tcPr>
            <w:tcW w:w="1635" w:type="dxa"/>
            <w:tcBorders>
              <w:top w:val="single" w:sz="4" w:space="0" w:color="auto"/>
              <w:left w:val="single" w:sz="4" w:space="0" w:color="auto"/>
              <w:bottom w:val="single" w:sz="4" w:space="0" w:color="auto"/>
              <w:right w:val="single" w:sz="4" w:space="0" w:color="auto"/>
            </w:tcBorders>
            <w:shd w:val="clear" w:color="auto" w:fill="auto"/>
            <w:hideMark/>
          </w:tcPr>
          <w:p w14:paraId="54286567" w14:textId="77777777" w:rsidR="00302BFE" w:rsidRPr="00D61C93" w:rsidRDefault="00302BFE" w:rsidP="00243B15">
            <w:pPr>
              <w:rPr>
                <w:rFonts w:ascii="Times New Roman" w:eastAsia="Times New Roman" w:hAnsi="Times New Roman"/>
                <w:color w:val="000000"/>
                <w:szCs w:val="20"/>
              </w:rPr>
            </w:pPr>
            <w:r w:rsidRPr="00D61C93">
              <w:rPr>
                <w:rFonts w:ascii="Times New Roman" w:eastAsia="Times New Roman" w:hAnsi="Times New Roman"/>
                <w:color w:val="000000"/>
                <w:szCs w:val="20"/>
              </w:rPr>
              <w:t>[10]</w:t>
            </w:r>
          </w:p>
        </w:tc>
        <w:tc>
          <w:tcPr>
            <w:tcW w:w="1325" w:type="dxa"/>
            <w:tcBorders>
              <w:top w:val="single" w:sz="4" w:space="0" w:color="auto"/>
              <w:left w:val="single" w:sz="4" w:space="0" w:color="auto"/>
              <w:bottom w:val="single" w:sz="4" w:space="0" w:color="auto"/>
              <w:right w:val="single" w:sz="4" w:space="0" w:color="auto"/>
            </w:tcBorders>
            <w:shd w:val="clear" w:color="auto" w:fill="auto"/>
            <w:hideMark/>
          </w:tcPr>
          <w:p w14:paraId="2CC6F982" w14:textId="77777777" w:rsidR="00302BFE" w:rsidRPr="00D61C93" w:rsidRDefault="00302BFE" w:rsidP="00243B15">
            <w:pPr>
              <w:rPr>
                <w:rFonts w:ascii="Times New Roman" w:eastAsia="Times New Roman" w:hAnsi="Times New Roman"/>
                <w:color w:val="000000"/>
                <w:szCs w:val="20"/>
              </w:rPr>
            </w:pPr>
            <w:r w:rsidRPr="00D61C93">
              <w:rPr>
                <w:rFonts w:ascii="Times New Roman" w:eastAsia="Times New Roman" w:hAnsi="Times New Roman"/>
                <w:color w:val="000000"/>
                <w:szCs w:val="20"/>
              </w:rPr>
              <w:t>---</w:t>
            </w:r>
          </w:p>
        </w:tc>
        <w:tc>
          <w:tcPr>
            <w:tcW w:w="1635" w:type="dxa"/>
            <w:tcBorders>
              <w:top w:val="single" w:sz="4" w:space="0" w:color="auto"/>
              <w:left w:val="single" w:sz="4" w:space="0" w:color="auto"/>
              <w:bottom w:val="single" w:sz="4" w:space="0" w:color="auto"/>
              <w:right w:val="single" w:sz="4" w:space="0" w:color="auto"/>
            </w:tcBorders>
            <w:shd w:val="clear" w:color="auto" w:fill="auto"/>
            <w:hideMark/>
          </w:tcPr>
          <w:p w14:paraId="685EC8F1" w14:textId="77777777" w:rsidR="00302BFE" w:rsidRPr="00D61C93" w:rsidRDefault="00302BFE" w:rsidP="00243B15">
            <w:pPr>
              <w:rPr>
                <w:rFonts w:ascii="Times New Roman" w:eastAsia="Times New Roman" w:hAnsi="Times New Roman"/>
                <w:color w:val="000000"/>
                <w:szCs w:val="20"/>
              </w:rPr>
            </w:pPr>
            <w:r w:rsidRPr="00D61C93">
              <w:rPr>
                <w:rFonts w:ascii="Times New Roman" w:eastAsia="Times New Roman" w:hAnsi="Times New Roman"/>
                <w:color w:val="000000"/>
                <w:szCs w:val="20"/>
              </w:rPr>
              <w:t>[</w:t>
            </w:r>
            <w:r w:rsidR="00D72C07" w:rsidRPr="00D61C93">
              <w:rPr>
                <w:rFonts w:ascii="Times New Roman" w:eastAsia="Times New Roman" w:hAnsi="Times New Roman"/>
                <w:color w:val="000000"/>
                <w:szCs w:val="20"/>
              </w:rPr>
              <w:t>2</w:t>
            </w:r>
            <w:r w:rsidRPr="00D61C93">
              <w:rPr>
                <w:rFonts w:ascii="Times New Roman" w:eastAsia="Times New Roman" w:hAnsi="Times New Roman"/>
                <w:color w:val="000000"/>
                <w:szCs w:val="20"/>
              </w:rPr>
              <w:t>0]</w:t>
            </w:r>
          </w:p>
        </w:tc>
        <w:tc>
          <w:tcPr>
            <w:tcW w:w="1325" w:type="dxa"/>
            <w:tcBorders>
              <w:top w:val="single" w:sz="4" w:space="0" w:color="auto"/>
              <w:left w:val="single" w:sz="4" w:space="0" w:color="auto"/>
              <w:bottom w:val="single" w:sz="4" w:space="0" w:color="auto"/>
              <w:right w:val="single" w:sz="4" w:space="0" w:color="auto"/>
            </w:tcBorders>
            <w:shd w:val="clear" w:color="auto" w:fill="auto"/>
            <w:hideMark/>
          </w:tcPr>
          <w:p w14:paraId="174FA1CA" w14:textId="77777777" w:rsidR="00302BFE" w:rsidRPr="00D61C93" w:rsidRDefault="00302BFE" w:rsidP="00243B15">
            <w:pPr>
              <w:rPr>
                <w:rFonts w:ascii="Times New Roman" w:eastAsia="Times New Roman" w:hAnsi="Times New Roman"/>
                <w:color w:val="000000"/>
                <w:szCs w:val="20"/>
              </w:rPr>
            </w:pPr>
            <w:r w:rsidRPr="00D61C93">
              <w:rPr>
                <w:rFonts w:ascii="Times New Roman" w:eastAsia="Times New Roman" w:hAnsi="Times New Roman"/>
                <w:color w:val="000000"/>
                <w:szCs w:val="20"/>
              </w:rPr>
              <w:t>---</w:t>
            </w:r>
          </w:p>
        </w:tc>
        <w:tc>
          <w:tcPr>
            <w:tcW w:w="1623" w:type="dxa"/>
            <w:tcBorders>
              <w:top w:val="single" w:sz="4" w:space="0" w:color="auto"/>
              <w:left w:val="single" w:sz="4" w:space="0" w:color="auto"/>
              <w:bottom w:val="single" w:sz="4" w:space="0" w:color="auto"/>
              <w:right w:val="single" w:sz="4" w:space="0" w:color="auto"/>
            </w:tcBorders>
            <w:shd w:val="clear" w:color="auto" w:fill="auto"/>
            <w:hideMark/>
          </w:tcPr>
          <w:p w14:paraId="64FE8CDC" w14:textId="77777777" w:rsidR="00302BFE" w:rsidRPr="00D61C93" w:rsidRDefault="00302BFE" w:rsidP="00243B15">
            <w:pPr>
              <w:rPr>
                <w:rFonts w:ascii="Times New Roman" w:eastAsia="Times New Roman" w:hAnsi="Times New Roman"/>
                <w:color w:val="000000"/>
                <w:szCs w:val="20"/>
              </w:rPr>
            </w:pPr>
            <w:r w:rsidRPr="00D61C93">
              <w:rPr>
                <w:rFonts w:ascii="Times New Roman" w:eastAsia="Times New Roman" w:hAnsi="Times New Roman"/>
                <w:color w:val="000000"/>
                <w:szCs w:val="20"/>
              </w:rPr>
              <w:t>[1-30]</w:t>
            </w:r>
          </w:p>
        </w:tc>
        <w:tc>
          <w:tcPr>
            <w:tcW w:w="1323" w:type="dxa"/>
            <w:tcBorders>
              <w:top w:val="single" w:sz="4" w:space="0" w:color="auto"/>
              <w:left w:val="single" w:sz="4" w:space="0" w:color="auto"/>
              <w:bottom w:val="single" w:sz="4" w:space="0" w:color="auto"/>
              <w:right w:val="single" w:sz="4" w:space="0" w:color="auto"/>
            </w:tcBorders>
            <w:shd w:val="clear" w:color="auto" w:fill="auto"/>
            <w:hideMark/>
          </w:tcPr>
          <w:p w14:paraId="146EC2E5" w14:textId="77777777" w:rsidR="00302BFE" w:rsidRPr="00D61C93" w:rsidRDefault="00302BFE" w:rsidP="00243B15">
            <w:pPr>
              <w:rPr>
                <w:rFonts w:ascii="Times New Roman" w:eastAsia="Times New Roman" w:hAnsi="Times New Roman"/>
                <w:color w:val="000000"/>
                <w:szCs w:val="20"/>
              </w:rPr>
            </w:pPr>
            <w:r w:rsidRPr="00D61C93">
              <w:rPr>
                <w:rFonts w:ascii="Times New Roman" w:eastAsia="Times New Roman" w:hAnsi="Times New Roman"/>
                <w:color w:val="000000"/>
                <w:szCs w:val="20"/>
              </w:rPr>
              <w:t>---</w:t>
            </w:r>
          </w:p>
        </w:tc>
        <w:tc>
          <w:tcPr>
            <w:tcW w:w="1623" w:type="dxa"/>
            <w:tcBorders>
              <w:top w:val="single" w:sz="4" w:space="0" w:color="auto"/>
              <w:left w:val="single" w:sz="4" w:space="0" w:color="auto"/>
              <w:bottom w:val="single" w:sz="4" w:space="0" w:color="auto"/>
              <w:right w:val="single" w:sz="4" w:space="0" w:color="auto"/>
            </w:tcBorders>
            <w:shd w:val="clear" w:color="auto" w:fill="auto"/>
            <w:hideMark/>
          </w:tcPr>
          <w:p w14:paraId="78377F0A" w14:textId="77777777" w:rsidR="00302BFE" w:rsidRPr="00D61C93" w:rsidRDefault="00302BFE" w:rsidP="00243B15">
            <w:pPr>
              <w:rPr>
                <w:rFonts w:ascii="Times New Roman" w:eastAsia="Times New Roman" w:hAnsi="Times New Roman"/>
                <w:color w:val="000000"/>
                <w:szCs w:val="20"/>
              </w:rPr>
            </w:pPr>
            <w:r w:rsidRPr="00D61C93">
              <w:rPr>
                <w:rFonts w:ascii="Times New Roman" w:eastAsia="Times New Roman" w:hAnsi="Times New Roman"/>
                <w:color w:val="000000"/>
                <w:szCs w:val="20"/>
              </w:rPr>
              <w:t>[1-30]</w:t>
            </w:r>
          </w:p>
        </w:tc>
      </w:tr>
    </w:tbl>
    <w:p w14:paraId="31E051AA" w14:textId="77777777" w:rsidR="00302BFE" w:rsidRPr="006C03C2" w:rsidRDefault="00302BFE" w:rsidP="00302BFE">
      <w:pPr>
        <w:spacing w:before="120"/>
        <w:rPr>
          <w:rFonts w:ascii="Times New Roman" w:eastAsia="Times New Roman" w:hAnsi="Times New Roman"/>
          <w:b/>
          <w:color w:val="000000"/>
        </w:rPr>
      </w:pPr>
      <w:r w:rsidRPr="00D61C93">
        <w:rPr>
          <w:rFonts w:ascii="Times New Roman" w:eastAsia="Times New Roman" w:hAnsi="Times New Roman"/>
          <w:b/>
          <w:color w:val="000000"/>
        </w:rPr>
        <w:t>6.2 Emissions avoided outside AFOLU (Agriculture, Forestry and Other Land Use)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984"/>
        <w:gridCol w:w="2126"/>
        <w:gridCol w:w="1985"/>
        <w:gridCol w:w="1984"/>
      </w:tblGrid>
      <w:tr w:rsidR="00302BFE" w:rsidRPr="006C03C2" w14:paraId="0F29F31E" w14:textId="77777777" w:rsidTr="00243B15">
        <w:tc>
          <w:tcPr>
            <w:tcW w:w="3823" w:type="dxa"/>
            <w:tcBorders>
              <w:top w:val="single" w:sz="4" w:space="0" w:color="auto"/>
              <w:left w:val="single" w:sz="4" w:space="0" w:color="auto"/>
              <w:bottom w:val="single" w:sz="4" w:space="0" w:color="auto"/>
              <w:right w:val="single" w:sz="4" w:space="0" w:color="auto"/>
            </w:tcBorders>
            <w:shd w:val="clear" w:color="auto" w:fill="4472C4"/>
            <w:hideMark/>
          </w:tcPr>
          <w:p w14:paraId="05A9BDD4"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lastRenderedPageBreak/>
              <w:t>GHG emission type</w:t>
            </w:r>
          </w:p>
        </w:tc>
        <w:tc>
          <w:tcPr>
            <w:tcW w:w="1984" w:type="dxa"/>
            <w:tcBorders>
              <w:top w:val="single" w:sz="4" w:space="0" w:color="auto"/>
              <w:left w:val="single" w:sz="4" w:space="0" w:color="auto"/>
              <w:bottom w:val="single" w:sz="4" w:space="0" w:color="auto"/>
              <w:right w:val="single" w:sz="4" w:space="0" w:color="auto"/>
            </w:tcBorders>
            <w:shd w:val="clear" w:color="auto" w:fill="4472C4"/>
            <w:hideMark/>
          </w:tcPr>
          <w:p w14:paraId="5BE4240A"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Metric tons CO</w:t>
            </w:r>
            <w:r w:rsidRPr="00F166CF">
              <w:rPr>
                <w:rFonts w:ascii="Times New Roman" w:eastAsia="Times New Roman" w:hAnsi="Times New Roman"/>
                <w:b/>
                <w:color w:val="000000"/>
                <w:szCs w:val="20"/>
                <w:vertAlign w:val="subscript"/>
              </w:rPr>
              <w:t>2</w:t>
            </w:r>
            <w:r w:rsidRPr="00F166CF">
              <w:rPr>
                <w:rFonts w:ascii="Times New Roman" w:eastAsia="Times New Roman" w:hAnsi="Times New Roman"/>
                <w:b/>
                <w:color w:val="000000"/>
                <w:szCs w:val="20"/>
              </w:rPr>
              <w:t>-eq (expected at PIF)</w:t>
            </w:r>
          </w:p>
        </w:tc>
        <w:tc>
          <w:tcPr>
            <w:tcW w:w="2126" w:type="dxa"/>
            <w:tcBorders>
              <w:top w:val="single" w:sz="4" w:space="0" w:color="auto"/>
              <w:left w:val="single" w:sz="4" w:space="0" w:color="auto"/>
              <w:bottom w:val="single" w:sz="4" w:space="0" w:color="auto"/>
              <w:right w:val="single" w:sz="4" w:space="0" w:color="auto"/>
            </w:tcBorders>
            <w:shd w:val="clear" w:color="auto" w:fill="4472C4"/>
            <w:hideMark/>
          </w:tcPr>
          <w:p w14:paraId="5A476C0C"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Metric tons CO</w:t>
            </w:r>
            <w:r w:rsidRPr="00F166CF">
              <w:rPr>
                <w:rFonts w:ascii="Times New Roman" w:eastAsia="Times New Roman" w:hAnsi="Times New Roman"/>
                <w:b/>
                <w:color w:val="000000"/>
                <w:szCs w:val="20"/>
                <w:vertAlign w:val="subscript"/>
              </w:rPr>
              <w:t>2</w:t>
            </w:r>
            <w:r w:rsidRPr="00F166CF">
              <w:rPr>
                <w:rFonts w:ascii="Times New Roman" w:eastAsia="Times New Roman" w:hAnsi="Times New Roman"/>
                <w:b/>
                <w:color w:val="000000"/>
                <w:szCs w:val="20"/>
              </w:rPr>
              <w:t>-eq (expected at CEO ER)</w:t>
            </w:r>
          </w:p>
        </w:tc>
        <w:tc>
          <w:tcPr>
            <w:tcW w:w="1985" w:type="dxa"/>
            <w:tcBorders>
              <w:top w:val="single" w:sz="4" w:space="0" w:color="auto"/>
              <w:left w:val="single" w:sz="4" w:space="0" w:color="auto"/>
              <w:bottom w:val="single" w:sz="4" w:space="0" w:color="auto"/>
              <w:right w:val="single" w:sz="4" w:space="0" w:color="auto"/>
            </w:tcBorders>
            <w:shd w:val="clear" w:color="auto" w:fill="4472C4"/>
            <w:hideMark/>
          </w:tcPr>
          <w:p w14:paraId="0108EF17"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Metric tons CO</w:t>
            </w:r>
            <w:r w:rsidRPr="00F166CF">
              <w:rPr>
                <w:rFonts w:ascii="Times New Roman" w:eastAsia="Times New Roman" w:hAnsi="Times New Roman"/>
                <w:b/>
                <w:color w:val="000000"/>
                <w:szCs w:val="20"/>
                <w:vertAlign w:val="subscript"/>
              </w:rPr>
              <w:t>2</w:t>
            </w:r>
            <w:r w:rsidRPr="00F166CF">
              <w:rPr>
                <w:rFonts w:ascii="Times New Roman" w:eastAsia="Times New Roman" w:hAnsi="Times New Roman"/>
                <w:b/>
                <w:color w:val="000000"/>
                <w:szCs w:val="20"/>
              </w:rPr>
              <w:t>-eq (expected at MTR)</w:t>
            </w:r>
          </w:p>
        </w:tc>
        <w:tc>
          <w:tcPr>
            <w:tcW w:w="1984" w:type="dxa"/>
            <w:tcBorders>
              <w:top w:val="single" w:sz="4" w:space="0" w:color="auto"/>
              <w:left w:val="single" w:sz="4" w:space="0" w:color="auto"/>
              <w:bottom w:val="single" w:sz="4" w:space="0" w:color="auto"/>
              <w:right w:val="single" w:sz="4" w:space="0" w:color="auto"/>
            </w:tcBorders>
            <w:shd w:val="clear" w:color="auto" w:fill="4472C4"/>
            <w:hideMark/>
          </w:tcPr>
          <w:p w14:paraId="4EC8F9F4"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Metric tons CO</w:t>
            </w:r>
            <w:r w:rsidRPr="00F166CF">
              <w:rPr>
                <w:rFonts w:ascii="Times New Roman" w:eastAsia="Times New Roman" w:hAnsi="Times New Roman"/>
                <w:b/>
                <w:color w:val="000000"/>
                <w:szCs w:val="20"/>
                <w:vertAlign w:val="subscript"/>
              </w:rPr>
              <w:t>2</w:t>
            </w:r>
            <w:r w:rsidRPr="00F166CF">
              <w:rPr>
                <w:rFonts w:ascii="Times New Roman" w:eastAsia="Times New Roman" w:hAnsi="Times New Roman"/>
                <w:b/>
                <w:color w:val="000000"/>
                <w:szCs w:val="20"/>
              </w:rPr>
              <w:t>-eq (expected at TE)</w:t>
            </w:r>
          </w:p>
        </w:tc>
      </w:tr>
      <w:tr w:rsidR="00302BFE" w:rsidRPr="006C03C2" w14:paraId="07BF706A" w14:textId="77777777" w:rsidTr="00243B15">
        <w:tc>
          <w:tcPr>
            <w:tcW w:w="3823" w:type="dxa"/>
            <w:tcBorders>
              <w:top w:val="single" w:sz="4" w:space="0" w:color="auto"/>
              <w:left w:val="single" w:sz="4" w:space="0" w:color="auto"/>
              <w:bottom w:val="single" w:sz="4" w:space="0" w:color="auto"/>
              <w:right w:val="single" w:sz="4" w:space="0" w:color="auto"/>
            </w:tcBorders>
            <w:shd w:val="clear" w:color="auto" w:fill="4472C4"/>
            <w:hideMark/>
          </w:tcPr>
          <w:p w14:paraId="57606CEF"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Expected metric tons of CO</w:t>
            </w:r>
            <w:r w:rsidRPr="00F166CF">
              <w:rPr>
                <w:rFonts w:ascii="Times New Roman" w:eastAsia="Times New Roman" w:hAnsi="Times New Roman"/>
                <w:b/>
                <w:color w:val="000000"/>
                <w:szCs w:val="20"/>
                <w:vertAlign w:val="subscript"/>
              </w:rPr>
              <w:t>2</w:t>
            </w:r>
            <w:r w:rsidRPr="00F166CF">
              <w:rPr>
                <w:rFonts w:ascii="Times New Roman" w:eastAsia="Times New Roman" w:hAnsi="Times New Roman"/>
                <w:b/>
                <w:color w:val="000000"/>
                <w:szCs w:val="20"/>
              </w:rPr>
              <w:t>-e (direct)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93FFF04" w14:textId="77777777" w:rsidR="00302BFE" w:rsidRPr="00F166CF" w:rsidRDefault="00302BFE" w:rsidP="00243B15">
            <w:pPr>
              <w:jc w:val="right"/>
              <w:rPr>
                <w:rFonts w:ascii="Times New Roman" w:eastAsia="Times New Roman" w:hAnsi="Times New Roman"/>
                <w:color w:val="00000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7270F67" w14:textId="77777777" w:rsidR="00302BFE" w:rsidRPr="00F166CF" w:rsidRDefault="00302BFE" w:rsidP="00243B15">
            <w:pPr>
              <w:jc w:val="right"/>
              <w:rPr>
                <w:rFonts w:ascii="Times New Roman" w:eastAsia="Times New Roman" w:hAnsi="Times New Roman"/>
                <w:color w:val="00000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08698D1" w14:textId="77777777" w:rsidR="00302BFE" w:rsidRPr="00F166CF" w:rsidRDefault="00302BFE" w:rsidP="00243B15">
            <w:pPr>
              <w:jc w:val="right"/>
              <w:rPr>
                <w:rFonts w:ascii="Times New Roman" w:eastAsia="Times New Roman" w:hAnsi="Times New Roman"/>
                <w:color w:val="00000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6A15ED2" w14:textId="77777777" w:rsidR="00302BFE" w:rsidRPr="00F166CF" w:rsidRDefault="00302BFE" w:rsidP="00243B15">
            <w:pPr>
              <w:jc w:val="right"/>
              <w:rPr>
                <w:rFonts w:ascii="Times New Roman" w:eastAsia="Times New Roman" w:hAnsi="Times New Roman"/>
                <w:color w:val="000000"/>
                <w:szCs w:val="20"/>
              </w:rPr>
            </w:pPr>
          </w:p>
        </w:tc>
      </w:tr>
      <w:tr w:rsidR="00302BFE" w:rsidRPr="006C03C2" w14:paraId="2EEC43A3" w14:textId="77777777" w:rsidTr="00243B15">
        <w:tc>
          <w:tcPr>
            <w:tcW w:w="3823" w:type="dxa"/>
            <w:tcBorders>
              <w:top w:val="single" w:sz="4" w:space="0" w:color="auto"/>
              <w:left w:val="single" w:sz="4" w:space="0" w:color="auto"/>
              <w:bottom w:val="single" w:sz="4" w:space="0" w:color="auto"/>
              <w:right w:val="single" w:sz="4" w:space="0" w:color="auto"/>
            </w:tcBorders>
            <w:shd w:val="clear" w:color="auto" w:fill="4472C4"/>
            <w:hideMark/>
          </w:tcPr>
          <w:p w14:paraId="564848FB"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Expected metric tons of CO</w:t>
            </w:r>
            <w:r w:rsidRPr="00F166CF">
              <w:rPr>
                <w:rFonts w:ascii="Times New Roman" w:eastAsia="Times New Roman" w:hAnsi="Times New Roman"/>
                <w:b/>
                <w:color w:val="000000"/>
                <w:szCs w:val="20"/>
                <w:vertAlign w:val="subscript"/>
              </w:rPr>
              <w:t>2</w:t>
            </w:r>
            <w:r w:rsidRPr="00F166CF">
              <w:rPr>
                <w:rFonts w:ascii="Times New Roman" w:eastAsia="Times New Roman" w:hAnsi="Times New Roman"/>
                <w:b/>
                <w:color w:val="000000"/>
                <w:szCs w:val="20"/>
              </w:rPr>
              <w:t>-e (indirect)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E24A10C" w14:textId="77777777" w:rsidR="00302BFE" w:rsidRPr="00F166CF" w:rsidRDefault="00302BFE" w:rsidP="00243B15">
            <w:pPr>
              <w:jc w:val="right"/>
              <w:rPr>
                <w:rFonts w:ascii="Times New Roman" w:eastAsia="Times New Roman" w:hAnsi="Times New Roman"/>
                <w:color w:val="00000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E43175C" w14:textId="77777777" w:rsidR="00302BFE" w:rsidRPr="00F166CF" w:rsidRDefault="00302BFE" w:rsidP="00243B15">
            <w:pPr>
              <w:jc w:val="right"/>
              <w:rPr>
                <w:rFonts w:ascii="Times New Roman" w:eastAsia="Times New Roman" w:hAnsi="Times New Roman"/>
                <w:color w:val="00000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EE401A1" w14:textId="77777777" w:rsidR="00302BFE" w:rsidRPr="00F166CF" w:rsidRDefault="00302BFE" w:rsidP="00243B15">
            <w:pPr>
              <w:jc w:val="right"/>
              <w:rPr>
                <w:rFonts w:ascii="Times New Roman" w:eastAsia="Times New Roman" w:hAnsi="Times New Roman"/>
                <w:color w:val="00000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C1F7C32" w14:textId="77777777" w:rsidR="00302BFE" w:rsidRPr="00F166CF" w:rsidRDefault="00302BFE" w:rsidP="00243B15">
            <w:pPr>
              <w:jc w:val="right"/>
              <w:rPr>
                <w:rFonts w:ascii="Times New Roman" w:eastAsia="Times New Roman" w:hAnsi="Times New Roman"/>
                <w:color w:val="000000"/>
                <w:szCs w:val="20"/>
              </w:rPr>
            </w:pPr>
          </w:p>
        </w:tc>
      </w:tr>
      <w:tr w:rsidR="00302BFE" w:rsidRPr="006C03C2" w14:paraId="5FAA59C4" w14:textId="77777777" w:rsidTr="00243B15">
        <w:tc>
          <w:tcPr>
            <w:tcW w:w="3823" w:type="dxa"/>
            <w:tcBorders>
              <w:top w:val="single" w:sz="4" w:space="0" w:color="auto"/>
              <w:left w:val="single" w:sz="4" w:space="0" w:color="auto"/>
              <w:bottom w:val="single" w:sz="4" w:space="0" w:color="auto"/>
              <w:right w:val="single" w:sz="4" w:space="0" w:color="auto"/>
            </w:tcBorders>
            <w:shd w:val="clear" w:color="auto" w:fill="4472C4"/>
            <w:hideMark/>
          </w:tcPr>
          <w:p w14:paraId="38EB83E8"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Anticipated year</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E301DE5"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[2018-2100]</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56F7A006"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[2018-2100]</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4C2EB1B"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[2018-2100]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4C25E58"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[2018-2100]</w:t>
            </w:r>
          </w:p>
        </w:tc>
      </w:tr>
      <w:tr w:rsidR="00302BFE" w:rsidRPr="006C03C2" w14:paraId="1A9F7CDE" w14:textId="77777777" w:rsidTr="00243B15">
        <w:tc>
          <w:tcPr>
            <w:tcW w:w="3823" w:type="dxa"/>
            <w:tcBorders>
              <w:top w:val="single" w:sz="4" w:space="0" w:color="auto"/>
              <w:left w:val="single" w:sz="4" w:space="0" w:color="auto"/>
              <w:bottom w:val="single" w:sz="4" w:space="0" w:color="auto"/>
              <w:right w:val="single" w:sz="4" w:space="0" w:color="auto"/>
            </w:tcBorders>
            <w:shd w:val="clear" w:color="auto" w:fill="4472C4"/>
            <w:hideMark/>
          </w:tcPr>
          <w:p w14:paraId="2542A187"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Duration of accounting</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83B6C0C"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[1-20]</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6AACBE15"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[1-20]</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050E8A"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[1-20]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D0B6E9E"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[1-20]</w:t>
            </w:r>
          </w:p>
        </w:tc>
      </w:tr>
    </w:tbl>
    <w:p w14:paraId="73860D56" w14:textId="77777777" w:rsidR="00302BFE" w:rsidRPr="006C03C2" w:rsidRDefault="00302BFE" w:rsidP="00302BFE">
      <w:pPr>
        <w:spacing w:before="120"/>
        <w:rPr>
          <w:rFonts w:ascii="Times New Roman" w:eastAsia="Times New Roman" w:hAnsi="Times New Roman"/>
          <w:b/>
          <w:color w:val="000000"/>
        </w:rPr>
      </w:pPr>
      <w:r w:rsidRPr="006C03C2">
        <w:rPr>
          <w:rFonts w:ascii="Times New Roman" w:eastAsia="Times New Roman" w:hAnsi="Times New Roman"/>
          <w:b/>
          <w:color w:val="000000"/>
        </w:rPr>
        <w:t>6.3 Energy saved (megajoules)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2304"/>
        <w:gridCol w:w="2304"/>
        <w:gridCol w:w="2304"/>
      </w:tblGrid>
      <w:tr w:rsidR="00302BFE" w:rsidRPr="006C03C2" w14:paraId="63EA2637" w14:textId="77777777" w:rsidTr="00243B15">
        <w:tc>
          <w:tcPr>
            <w:tcW w:w="2304" w:type="dxa"/>
            <w:tcBorders>
              <w:top w:val="single" w:sz="4" w:space="0" w:color="auto"/>
              <w:left w:val="single" w:sz="4" w:space="0" w:color="auto"/>
              <w:bottom w:val="single" w:sz="4" w:space="0" w:color="auto"/>
              <w:right w:val="single" w:sz="4" w:space="0" w:color="auto"/>
            </w:tcBorders>
            <w:shd w:val="clear" w:color="auto" w:fill="4472C4"/>
            <w:hideMark/>
          </w:tcPr>
          <w:p w14:paraId="78BAA163"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Total MJ (expected at PIF)</w:t>
            </w:r>
          </w:p>
        </w:tc>
        <w:tc>
          <w:tcPr>
            <w:tcW w:w="2304" w:type="dxa"/>
            <w:tcBorders>
              <w:top w:val="single" w:sz="4" w:space="0" w:color="auto"/>
              <w:left w:val="single" w:sz="4" w:space="0" w:color="auto"/>
              <w:bottom w:val="single" w:sz="4" w:space="0" w:color="auto"/>
              <w:right w:val="single" w:sz="4" w:space="0" w:color="auto"/>
            </w:tcBorders>
            <w:shd w:val="clear" w:color="auto" w:fill="4472C4"/>
            <w:hideMark/>
          </w:tcPr>
          <w:p w14:paraId="2ACE4AA0"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Total MJ (expected at CEO ER)</w:t>
            </w:r>
          </w:p>
        </w:tc>
        <w:tc>
          <w:tcPr>
            <w:tcW w:w="2304" w:type="dxa"/>
            <w:tcBorders>
              <w:top w:val="single" w:sz="4" w:space="0" w:color="auto"/>
              <w:left w:val="single" w:sz="4" w:space="0" w:color="auto"/>
              <w:bottom w:val="single" w:sz="4" w:space="0" w:color="auto"/>
              <w:right w:val="single" w:sz="4" w:space="0" w:color="auto"/>
            </w:tcBorders>
            <w:shd w:val="clear" w:color="auto" w:fill="4472C4"/>
            <w:hideMark/>
          </w:tcPr>
          <w:p w14:paraId="4711B91C"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Total MJ (achieved at MTR)</w:t>
            </w:r>
          </w:p>
        </w:tc>
        <w:tc>
          <w:tcPr>
            <w:tcW w:w="2304" w:type="dxa"/>
            <w:tcBorders>
              <w:top w:val="single" w:sz="4" w:space="0" w:color="auto"/>
              <w:left w:val="single" w:sz="4" w:space="0" w:color="auto"/>
              <w:bottom w:val="single" w:sz="4" w:space="0" w:color="auto"/>
              <w:right w:val="single" w:sz="4" w:space="0" w:color="auto"/>
            </w:tcBorders>
            <w:shd w:val="clear" w:color="auto" w:fill="4472C4"/>
            <w:hideMark/>
          </w:tcPr>
          <w:p w14:paraId="0DF750F9"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Total MJ (achieved at TE)</w:t>
            </w:r>
          </w:p>
        </w:tc>
      </w:tr>
      <w:tr w:rsidR="00302BFE" w:rsidRPr="006C03C2" w14:paraId="009DB284" w14:textId="77777777" w:rsidTr="00243B15">
        <w:tc>
          <w:tcPr>
            <w:tcW w:w="2304" w:type="dxa"/>
            <w:tcBorders>
              <w:top w:val="single" w:sz="4" w:space="0" w:color="auto"/>
              <w:left w:val="single" w:sz="4" w:space="0" w:color="auto"/>
              <w:bottom w:val="single" w:sz="4" w:space="0" w:color="auto"/>
              <w:right w:val="single" w:sz="4" w:space="0" w:color="auto"/>
            </w:tcBorders>
            <w:shd w:val="clear" w:color="auto" w:fill="auto"/>
          </w:tcPr>
          <w:p w14:paraId="28C8E9F1" w14:textId="77777777" w:rsidR="00302BFE" w:rsidRPr="00F166CF" w:rsidRDefault="00302BFE" w:rsidP="00243B15">
            <w:pPr>
              <w:rPr>
                <w:rFonts w:ascii="Times New Roman" w:eastAsia="Times New Roman" w:hAnsi="Times New Roman"/>
                <w:color w:val="000000"/>
                <w:sz w:val="22"/>
                <w:szCs w:val="22"/>
              </w:rPr>
            </w:pPr>
          </w:p>
        </w:tc>
        <w:tc>
          <w:tcPr>
            <w:tcW w:w="2304" w:type="dxa"/>
            <w:tcBorders>
              <w:top w:val="single" w:sz="4" w:space="0" w:color="auto"/>
              <w:left w:val="single" w:sz="4" w:space="0" w:color="auto"/>
              <w:bottom w:val="single" w:sz="4" w:space="0" w:color="auto"/>
              <w:right w:val="single" w:sz="4" w:space="0" w:color="auto"/>
            </w:tcBorders>
            <w:shd w:val="clear" w:color="auto" w:fill="auto"/>
          </w:tcPr>
          <w:p w14:paraId="3EC393D9" w14:textId="77777777" w:rsidR="00302BFE" w:rsidRPr="00F166CF" w:rsidRDefault="00302BFE" w:rsidP="00243B15">
            <w:pPr>
              <w:rPr>
                <w:rFonts w:ascii="Times New Roman" w:eastAsia="Times New Roman" w:hAnsi="Times New Roman"/>
                <w:color w:val="000000"/>
                <w:sz w:val="22"/>
                <w:szCs w:val="22"/>
              </w:rPr>
            </w:pPr>
          </w:p>
        </w:tc>
        <w:tc>
          <w:tcPr>
            <w:tcW w:w="2304" w:type="dxa"/>
            <w:tcBorders>
              <w:top w:val="single" w:sz="4" w:space="0" w:color="auto"/>
              <w:left w:val="single" w:sz="4" w:space="0" w:color="auto"/>
              <w:bottom w:val="single" w:sz="4" w:space="0" w:color="auto"/>
              <w:right w:val="single" w:sz="4" w:space="0" w:color="auto"/>
            </w:tcBorders>
            <w:shd w:val="clear" w:color="auto" w:fill="auto"/>
          </w:tcPr>
          <w:p w14:paraId="700BC8BE" w14:textId="77777777" w:rsidR="00302BFE" w:rsidRPr="00F166CF" w:rsidRDefault="00302BFE" w:rsidP="00243B15">
            <w:pPr>
              <w:rPr>
                <w:rFonts w:ascii="Times New Roman" w:eastAsia="Times New Roman" w:hAnsi="Times New Roman"/>
                <w:color w:val="000000"/>
                <w:sz w:val="22"/>
                <w:szCs w:val="22"/>
              </w:rPr>
            </w:pPr>
          </w:p>
        </w:tc>
        <w:tc>
          <w:tcPr>
            <w:tcW w:w="2304" w:type="dxa"/>
            <w:tcBorders>
              <w:top w:val="single" w:sz="4" w:space="0" w:color="auto"/>
              <w:left w:val="single" w:sz="4" w:space="0" w:color="auto"/>
              <w:bottom w:val="single" w:sz="4" w:space="0" w:color="auto"/>
              <w:right w:val="single" w:sz="4" w:space="0" w:color="auto"/>
            </w:tcBorders>
            <w:shd w:val="clear" w:color="auto" w:fill="auto"/>
          </w:tcPr>
          <w:p w14:paraId="0F2103DB" w14:textId="77777777" w:rsidR="00302BFE" w:rsidRPr="00F166CF" w:rsidRDefault="00302BFE" w:rsidP="00243B15">
            <w:pPr>
              <w:rPr>
                <w:rFonts w:ascii="Times New Roman" w:eastAsia="Times New Roman" w:hAnsi="Times New Roman"/>
                <w:color w:val="000000"/>
                <w:sz w:val="22"/>
                <w:szCs w:val="22"/>
              </w:rPr>
            </w:pPr>
          </w:p>
        </w:tc>
      </w:tr>
    </w:tbl>
    <w:p w14:paraId="3CD63025" w14:textId="77777777" w:rsidR="00302BFE" w:rsidRPr="00EE1A7A" w:rsidRDefault="00302BFE" w:rsidP="00302BFE">
      <w:pPr>
        <w:spacing w:after="0"/>
        <w:rPr>
          <w:rFonts w:ascii="Times New Roman" w:eastAsia="Times New Roman" w:hAnsi="Times New Roman"/>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2304"/>
        <w:gridCol w:w="2304"/>
        <w:gridCol w:w="2304"/>
        <w:gridCol w:w="2304"/>
      </w:tblGrid>
      <w:tr w:rsidR="00302BFE" w:rsidRPr="006C03C2" w14:paraId="1CE6A34E" w14:textId="77777777" w:rsidTr="00243B15">
        <w:trPr>
          <w:trHeight w:val="311"/>
        </w:trPr>
        <w:tc>
          <w:tcPr>
            <w:tcW w:w="2304" w:type="dxa"/>
            <w:tcBorders>
              <w:top w:val="single" w:sz="4" w:space="0" w:color="auto"/>
              <w:left w:val="single" w:sz="4" w:space="0" w:color="auto"/>
              <w:bottom w:val="single" w:sz="4" w:space="0" w:color="auto"/>
              <w:right w:val="single" w:sz="4" w:space="0" w:color="auto"/>
            </w:tcBorders>
            <w:shd w:val="clear" w:color="auto" w:fill="4472C4"/>
            <w:hideMark/>
          </w:tcPr>
          <w:p w14:paraId="0001CC25"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Type of Intervention</w:t>
            </w:r>
          </w:p>
        </w:tc>
        <w:tc>
          <w:tcPr>
            <w:tcW w:w="2304" w:type="dxa"/>
            <w:tcBorders>
              <w:top w:val="single" w:sz="4" w:space="0" w:color="auto"/>
              <w:left w:val="single" w:sz="4" w:space="0" w:color="auto"/>
              <w:bottom w:val="single" w:sz="4" w:space="0" w:color="auto"/>
              <w:right w:val="single" w:sz="4" w:space="0" w:color="auto"/>
            </w:tcBorders>
            <w:shd w:val="clear" w:color="auto" w:fill="4472C4"/>
            <w:hideMark/>
          </w:tcPr>
          <w:p w14:paraId="60015811"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MJ (expected at PIF)</w:t>
            </w:r>
          </w:p>
        </w:tc>
        <w:tc>
          <w:tcPr>
            <w:tcW w:w="2304" w:type="dxa"/>
            <w:tcBorders>
              <w:top w:val="single" w:sz="4" w:space="0" w:color="auto"/>
              <w:left w:val="single" w:sz="4" w:space="0" w:color="auto"/>
              <w:bottom w:val="single" w:sz="4" w:space="0" w:color="auto"/>
              <w:right w:val="single" w:sz="4" w:space="0" w:color="auto"/>
            </w:tcBorders>
            <w:shd w:val="clear" w:color="auto" w:fill="4472C4"/>
            <w:hideMark/>
          </w:tcPr>
          <w:p w14:paraId="2E9C7FF6"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MJ (expected at CEO ER)</w:t>
            </w:r>
          </w:p>
        </w:tc>
        <w:tc>
          <w:tcPr>
            <w:tcW w:w="2304" w:type="dxa"/>
            <w:tcBorders>
              <w:top w:val="single" w:sz="4" w:space="0" w:color="auto"/>
              <w:left w:val="single" w:sz="4" w:space="0" w:color="auto"/>
              <w:bottom w:val="single" w:sz="4" w:space="0" w:color="auto"/>
              <w:right w:val="single" w:sz="4" w:space="0" w:color="auto"/>
            </w:tcBorders>
            <w:shd w:val="clear" w:color="auto" w:fill="4472C4"/>
            <w:hideMark/>
          </w:tcPr>
          <w:p w14:paraId="44E5C467"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MJ (achieved at MTR)</w:t>
            </w:r>
          </w:p>
        </w:tc>
        <w:tc>
          <w:tcPr>
            <w:tcW w:w="2304" w:type="dxa"/>
            <w:tcBorders>
              <w:top w:val="single" w:sz="4" w:space="0" w:color="auto"/>
              <w:left w:val="single" w:sz="4" w:space="0" w:color="auto"/>
              <w:bottom w:val="single" w:sz="4" w:space="0" w:color="auto"/>
              <w:right w:val="single" w:sz="4" w:space="0" w:color="auto"/>
            </w:tcBorders>
            <w:shd w:val="clear" w:color="auto" w:fill="4472C4"/>
            <w:hideMark/>
          </w:tcPr>
          <w:p w14:paraId="3DAC7A8F"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MJ (achieved at TE)</w:t>
            </w:r>
          </w:p>
        </w:tc>
      </w:tr>
      <w:tr w:rsidR="00302BFE" w:rsidRPr="006C03C2" w14:paraId="488F4054" w14:textId="77777777" w:rsidTr="00243B15">
        <w:tc>
          <w:tcPr>
            <w:tcW w:w="2304" w:type="dxa"/>
            <w:tcBorders>
              <w:top w:val="single" w:sz="4" w:space="0" w:color="auto"/>
              <w:left w:val="single" w:sz="4" w:space="0" w:color="auto"/>
              <w:bottom w:val="single" w:sz="4" w:space="0" w:color="auto"/>
              <w:right w:val="single" w:sz="4" w:space="0" w:color="auto"/>
            </w:tcBorders>
            <w:shd w:val="clear" w:color="auto" w:fill="auto"/>
          </w:tcPr>
          <w:p w14:paraId="5713BBA1"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n.a.</w:t>
            </w:r>
          </w:p>
        </w:tc>
        <w:tc>
          <w:tcPr>
            <w:tcW w:w="2304" w:type="dxa"/>
            <w:tcBorders>
              <w:top w:val="single" w:sz="4" w:space="0" w:color="auto"/>
              <w:left w:val="single" w:sz="4" w:space="0" w:color="auto"/>
              <w:bottom w:val="single" w:sz="4" w:space="0" w:color="auto"/>
              <w:right w:val="single" w:sz="4" w:space="0" w:color="auto"/>
            </w:tcBorders>
            <w:shd w:val="clear" w:color="auto" w:fill="auto"/>
          </w:tcPr>
          <w:p w14:paraId="2B11F697" w14:textId="77777777" w:rsidR="00302BFE" w:rsidRPr="00F166CF" w:rsidRDefault="00302BFE" w:rsidP="00243B15">
            <w:pPr>
              <w:rPr>
                <w:rFonts w:ascii="Times New Roman" w:eastAsia="Times New Roman" w:hAnsi="Times New Roman"/>
                <w:color w:val="000000"/>
                <w:szCs w:val="20"/>
              </w:rPr>
            </w:pPr>
          </w:p>
        </w:tc>
        <w:tc>
          <w:tcPr>
            <w:tcW w:w="2304" w:type="dxa"/>
            <w:tcBorders>
              <w:top w:val="single" w:sz="4" w:space="0" w:color="auto"/>
              <w:left w:val="single" w:sz="4" w:space="0" w:color="auto"/>
              <w:bottom w:val="single" w:sz="4" w:space="0" w:color="auto"/>
              <w:right w:val="single" w:sz="4" w:space="0" w:color="auto"/>
            </w:tcBorders>
            <w:shd w:val="clear" w:color="auto" w:fill="auto"/>
          </w:tcPr>
          <w:p w14:paraId="6B2DD64B" w14:textId="77777777" w:rsidR="00302BFE" w:rsidRPr="00F166CF" w:rsidRDefault="00302BFE" w:rsidP="00243B15">
            <w:pPr>
              <w:rPr>
                <w:rFonts w:ascii="Times New Roman" w:eastAsia="Times New Roman" w:hAnsi="Times New Roman"/>
                <w:color w:val="000000"/>
                <w:szCs w:val="20"/>
              </w:rPr>
            </w:pPr>
          </w:p>
        </w:tc>
        <w:tc>
          <w:tcPr>
            <w:tcW w:w="2304" w:type="dxa"/>
            <w:tcBorders>
              <w:top w:val="single" w:sz="4" w:space="0" w:color="auto"/>
              <w:left w:val="single" w:sz="4" w:space="0" w:color="auto"/>
              <w:bottom w:val="single" w:sz="4" w:space="0" w:color="auto"/>
              <w:right w:val="single" w:sz="4" w:space="0" w:color="auto"/>
            </w:tcBorders>
            <w:shd w:val="clear" w:color="auto" w:fill="auto"/>
          </w:tcPr>
          <w:p w14:paraId="5882FA79" w14:textId="77777777" w:rsidR="00302BFE" w:rsidRPr="00F166CF" w:rsidRDefault="00302BFE" w:rsidP="00243B15">
            <w:pPr>
              <w:rPr>
                <w:rFonts w:ascii="Times New Roman" w:eastAsia="Times New Roman" w:hAnsi="Times New Roman"/>
                <w:color w:val="000000"/>
                <w:szCs w:val="20"/>
              </w:rPr>
            </w:pPr>
          </w:p>
        </w:tc>
        <w:tc>
          <w:tcPr>
            <w:tcW w:w="2304" w:type="dxa"/>
            <w:tcBorders>
              <w:top w:val="single" w:sz="4" w:space="0" w:color="auto"/>
              <w:left w:val="single" w:sz="4" w:space="0" w:color="auto"/>
              <w:bottom w:val="single" w:sz="4" w:space="0" w:color="auto"/>
              <w:right w:val="single" w:sz="4" w:space="0" w:color="auto"/>
            </w:tcBorders>
            <w:shd w:val="clear" w:color="auto" w:fill="auto"/>
          </w:tcPr>
          <w:p w14:paraId="33CFDE48" w14:textId="77777777" w:rsidR="00302BFE" w:rsidRPr="00F166CF" w:rsidRDefault="00302BFE" w:rsidP="00243B15">
            <w:pPr>
              <w:rPr>
                <w:rFonts w:ascii="Times New Roman" w:eastAsia="Times New Roman" w:hAnsi="Times New Roman"/>
                <w:color w:val="000000"/>
                <w:szCs w:val="20"/>
              </w:rPr>
            </w:pPr>
          </w:p>
        </w:tc>
      </w:tr>
    </w:tbl>
    <w:p w14:paraId="3AA3BDFE" w14:textId="77777777" w:rsidR="00302BFE" w:rsidRPr="006C03C2" w:rsidRDefault="00302BFE" w:rsidP="00302BFE">
      <w:pPr>
        <w:spacing w:before="120"/>
        <w:rPr>
          <w:rFonts w:ascii="Times New Roman" w:eastAsia="Times New Roman" w:hAnsi="Times New Roman"/>
          <w:b/>
          <w:color w:val="000000"/>
        </w:rPr>
      </w:pPr>
      <w:r w:rsidRPr="006C03C2">
        <w:rPr>
          <w:rFonts w:ascii="Times New Roman" w:eastAsia="Times New Roman" w:hAnsi="Times New Roman"/>
          <w:b/>
          <w:color w:val="000000"/>
        </w:rPr>
        <w:t xml:space="preserve">6.4 Increase in installed renewable energy capacity per technology (megawatts).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2304"/>
        <w:gridCol w:w="2304"/>
        <w:gridCol w:w="2304"/>
        <w:gridCol w:w="2304"/>
      </w:tblGrid>
      <w:tr w:rsidR="00302BFE" w:rsidRPr="006C03C2" w14:paraId="65ADA106" w14:textId="77777777" w:rsidTr="00243B15">
        <w:tc>
          <w:tcPr>
            <w:tcW w:w="2304" w:type="dxa"/>
            <w:tcBorders>
              <w:top w:val="single" w:sz="4" w:space="0" w:color="auto"/>
              <w:left w:val="single" w:sz="4" w:space="0" w:color="auto"/>
              <w:bottom w:val="single" w:sz="4" w:space="0" w:color="auto"/>
              <w:right w:val="single" w:sz="4" w:space="0" w:color="auto"/>
            </w:tcBorders>
            <w:shd w:val="clear" w:color="auto" w:fill="4472C4"/>
            <w:hideMark/>
          </w:tcPr>
          <w:p w14:paraId="36BC8D32"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Type of Renewable Energy</w:t>
            </w:r>
          </w:p>
        </w:tc>
        <w:tc>
          <w:tcPr>
            <w:tcW w:w="2304" w:type="dxa"/>
            <w:tcBorders>
              <w:top w:val="single" w:sz="4" w:space="0" w:color="auto"/>
              <w:left w:val="single" w:sz="4" w:space="0" w:color="auto"/>
              <w:bottom w:val="single" w:sz="4" w:space="0" w:color="auto"/>
              <w:right w:val="single" w:sz="4" w:space="0" w:color="auto"/>
            </w:tcBorders>
            <w:shd w:val="clear" w:color="auto" w:fill="4472C4"/>
            <w:hideMark/>
          </w:tcPr>
          <w:p w14:paraId="7A817B6C"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Capacity (MW; expected at PIF)</w:t>
            </w:r>
          </w:p>
        </w:tc>
        <w:tc>
          <w:tcPr>
            <w:tcW w:w="2304" w:type="dxa"/>
            <w:tcBorders>
              <w:top w:val="single" w:sz="4" w:space="0" w:color="auto"/>
              <w:left w:val="single" w:sz="4" w:space="0" w:color="auto"/>
              <w:bottom w:val="single" w:sz="4" w:space="0" w:color="auto"/>
              <w:right w:val="single" w:sz="4" w:space="0" w:color="auto"/>
            </w:tcBorders>
            <w:shd w:val="clear" w:color="auto" w:fill="4472C4"/>
            <w:hideMark/>
          </w:tcPr>
          <w:p w14:paraId="5468CA48"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Capacity (MW; expected at CEO ER)</w:t>
            </w:r>
          </w:p>
        </w:tc>
        <w:tc>
          <w:tcPr>
            <w:tcW w:w="2304" w:type="dxa"/>
            <w:tcBorders>
              <w:top w:val="single" w:sz="4" w:space="0" w:color="auto"/>
              <w:left w:val="single" w:sz="4" w:space="0" w:color="auto"/>
              <w:bottom w:val="single" w:sz="4" w:space="0" w:color="auto"/>
              <w:right w:val="single" w:sz="4" w:space="0" w:color="auto"/>
            </w:tcBorders>
            <w:shd w:val="clear" w:color="auto" w:fill="4472C4"/>
            <w:hideMark/>
          </w:tcPr>
          <w:p w14:paraId="5325034C"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Capacity (MW; achieved at MTR)</w:t>
            </w:r>
          </w:p>
        </w:tc>
        <w:tc>
          <w:tcPr>
            <w:tcW w:w="2304" w:type="dxa"/>
            <w:tcBorders>
              <w:top w:val="single" w:sz="4" w:space="0" w:color="auto"/>
              <w:left w:val="single" w:sz="4" w:space="0" w:color="auto"/>
              <w:bottom w:val="single" w:sz="4" w:space="0" w:color="auto"/>
              <w:right w:val="single" w:sz="4" w:space="0" w:color="auto"/>
            </w:tcBorders>
            <w:shd w:val="clear" w:color="auto" w:fill="4472C4"/>
            <w:hideMark/>
          </w:tcPr>
          <w:p w14:paraId="4DFC5DF7"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Capacity (MW; achieved at TE)</w:t>
            </w:r>
          </w:p>
        </w:tc>
      </w:tr>
      <w:tr w:rsidR="00302BFE" w:rsidRPr="006C03C2" w14:paraId="7EF96112" w14:textId="77777777" w:rsidTr="00243B15">
        <w:tc>
          <w:tcPr>
            <w:tcW w:w="2304" w:type="dxa"/>
            <w:tcBorders>
              <w:top w:val="single" w:sz="4" w:space="0" w:color="auto"/>
              <w:left w:val="single" w:sz="4" w:space="0" w:color="auto"/>
              <w:bottom w:val="single" w:sz="4" w:space="0" w:color="auto"/>
              <w:right w:val="single" w:sz="4" w:space="0" w:color="auto"/>
            </w:tcBorders>
            <w:shd w:val="clear" w:color="auto" w:fill="auto"/>
            <w:hideMark/>
          </w:tcPr>
          <w:p w14:paraId="51074A48"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n.a.</w:t>
            </w:r>
          </w:p>
        </w:tc>
        <w:tc>
          <w:tcPr>
            <w:tcW w:w="2304" w:type="dxa"/>
            <w:tcBorders>
              <w:top w:val="single" w:sz="4" w:space="0" w:color="auto"/>
              <w:left w:val="single" w:sz="4" w:space="0" w:color="auto"/>
              <w:bottom w:val="single" w:sz="4" w:space="0" w:color="auto"/>
              <w:right w:val="single" w:sz="4" w:space="0" w:color="auto"/>
            </w:tcBorders>
            <w:shd w:val="clear" w:color="auto" w:fill="auto"/>
          </w:tcPr>
          <w:p w14:paraId="1FB9839A" w14:textId="77777777" w:rsidR="00302BFE" w:rsidRPr="00F166CF" w:rsidRDefault="00302BFE" w:rsidP="00243B15">
            <w:pPr>
              <w:rPr>
                <w:rFonts w:ascii="Times New Roman" w:eastAsia="Times New Roman" w:hAnsi="Times New Roman"/>
                <w:color w:val="000000"/>
                <w:szCs w:val="20"/>
              </w:rPr>
            </w:pPr>
          </w:p>
        </w:tc>
        <w:tc>
          <w:tcPr>
            <w:tcW w:w="2304" w:type="dxa"/>
            <w:tcBorders>
              <w:top w:val="single" w:sz="4" w:space="0" w:color="auto"/>
              <w:left w:val="single" w:sz="4" w:space="0" w:color="auto"/>
              <w:bottom w:val="single" w:sz="4" w:space="0" w:color="auto"/>
              <w:right w:val="single" w:sz="4" w:space="0" w:color="auto"/>
            </w:tcBorders>
            <w:shd w:val="clear" w:color="auto" w:fill="auto"/>
          </w:tcPr>
          <w:p w14:paraId="2AFA5D73" w14:textId="77777777" w:rsidR="00302BFE" w:rsidRPr="00F166CF" w:rsidRDefault="00302BFE" w:rsidP="00243B15">
            <w:pPr>
              <w:rPr>
                <w:rFonts w:ascii="Times New Roman" w:eastAsia="Times New Roman" w:hAnsi="Times New Roman"/>
                <w:color w:val="000000"/>
                <w:szCs w:val="20"/>
              </w:rPr>
            </w:pPr>
          </w:p>
        </w:tc>
        <w:tc>
          <w:tcPr>
            <w:tcW w:w="2304" w:type="dxa"/>
            <w:tcBorders>
              <w:top w:val="single" w:sz="4" w:space="0" w:color="auto"/>
              <w:left w:val="single" w:sz="4" w:space="0" w:color="auto"/>
              <w:bottom w:val="single" w:sz="4" w:space="0" w:color="auto"/>
              <w:right w:val="single" w:sz="4" w:space="0" w:color="auto"/>
            </w:tcBorders>
            <w:shd w:val="clear" w:color="auto" w:fill="auto"/>
          </w:tcPr>
          <w:p w14:paraId="61DFC896" w14:textId="77777777" w:rsidR="00302BFE" w:rsidRPr="00F166CF" w:rsidRDefault="00302BFE" w:rsidP="00243B15">
            <w:pPr>
              <w:rPr>
                <w:rFonts w:ascii="Times New Roman" w:eastAsia="Times New Roman" w:hAnsi="Times New Roman"/>
                <w:color w:val="000000"/>
                <w:szCs w:val="20"/>
              </w:rPr>
            </w:pPr>
          </w:p>
        </w:tc>
        <w:tc>
          <w:tcPr>
            <w:tcW w:w="2304" w:type="dxa"/>
            <w:tcBorders>
              <w:top w:val="single" w:sz="4" w:space="0" w:color="auto"/>
              <w:left w:val="single" w:sz="4" w:space="0" w:color="auto"/>
              <w:bottom w:val="single" w:sz="4" w:space="0" w:color="auto"/>
              <w:right w:val="single" w:sz="4" w:space="0" w:color="auto"/>
            </w:tcBorders>
            <w:shd w:val="clear" w:color="auto" w:fill="auto"/>
          </w:tcPr>
          <w:p w14:paraId="611F0B17" w14:textId="77777777" w:rsidR="00302BFE" w:rsidRPr="00F166CF" w:rsidRDefault="00302BFE" w:rsidP="00243B15">
            <w:pPr>
              <w:rPr>
                <w:rFonts w:ascii="Times New Roman" w:eastAsia="Times New Roman" w:hAnsi="Times New Roman"/>
                <w:color w:val="000000"/>
                <w:szCs w:val="20"/>
              </w:rPr>
            </w:pPr>
          </w:p>
        </w:tc>
      </w:tr>
    </w:tbl>
    <w:p w14:paraId="400DE913" w14:textId="77777777" w:rsidR="00302BFE" w:rsidRPr="004531FA" w:rsidRDefault="00302BFE" w:rsidP="00302BFE">
      <w:pPr>
        <w:spacing w:before="120" w:after="120"/>
        <w:rPr>
          <w:rFonts w:ascii="Times New Roman" w:eastAsia="Times New Roman" w:hAnsi="Times New Roman"/>
          <w:b/>
          <w:caps/>
          <w:color w:val="000000"/>
          <w:szCs w:val="20"/>
        </w:rPr>
      </w:pPr>
      <w:bookmarkStart w:id="54" w:name="_Toc7991608"/>
      <w:r w:rsidRPr="004531FA">
        <w:rPr>
          <w:rFonts w:ascii="Times New Roman" w:eastAsia="Times New Roman" w:hAnsi="Times New Roman"/>
          <w:b/>
          <w:caps/>
          <w:color w:val="000000"/>
          <w:szCs w:val="20"/>
        </w:rPr>
        <w:t>Core Indicator 11: Number of direct beneficiaries disaggregated by gender as co-benefit of GEF investment</w:t>
      </w:r>
      <w:bookmarkEnd w:id="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544"/>
        <w:gridCol w:w="3260"/>
        <w:gridCol w:w="2977"/>
      </w:tblGrid>
      <w:tr w:rsidR="00302BFE" w:rsidRPr="00E45388" w14:paraId="55B7AFC0" w14:textId="77777777" w:rsidTr="00243B15">
        <w:tc>
          <w:tcPr>
            <w:tcW w:w="2943" w:type="dxa"/>
            <w:tcBorders>
              <w:top w:val="single" w:sz="4" w:space="0" w:color="auto"/>
              <w:left w:val="single" w:sz="4" w:space="0" w:color="auto"/>
              <w:bottom w:val="single" w:sz="4" w:space="0" w:color="auto"/>
              <w:right w:val="single" w:sz="4" w:space="0" w:color="auto"/>
            </w:tcBorders>
            <w:shd w:val="clear" w:color="auto" w:fill="4472C4"/>
            <w:hideMark/>
          </w:tcPr>
          <w:p w14:paraId="70B3495A"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Total number (expected at PIF)</w:t>
            </w:r>
          </w:p>
        </w:tc>
        <w:tc>
          <w:tcPr>
            <w:tcW w:w="3544" w:type="dxa"/>
            <w:tcBorders>
              <w:top w:val="single" w:sz="4" w:space="0" w:color="auto"/>
              <w:left w:val="single" w:sz="4" w:space="0" w:color="auto"/>
              <w:bottom w:val="single" w:sz="4" w:space="0" w:color="auto"/>
              <w:right w:val="single" w:sz="4" w:space="0" w:color="auto"/>
            </w:tcBorders>
            <w:shd w:val="clear" w:color="auto" w:fill="4472C4"/>
            <w:hideMark/>
          </w:tcPr>
          <w:p w14:paraId="2911FE87"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Total number (expected at CEO ER)</w:t>
            </w:r>
          </w:p>
        </w:tc>
        <w:tc>
          <w:tcPr>
            <w:tcW w:w="3260" w:type="dxa"/>
            <w:tcBorders>
              <w:top w:val="single" w:sz="4" w:space="0" w:color="auto"/>
              <w:left w:val="single" w:sz="4" w:space="0" w:color="auto"/>
              <w:bottom w:val="single" w:sz="4" w:space="0" w:color="auto"/>
              <w:right w:val="single" w:sz="4" w:space="0" w:color="auto"/>
            </w:tcBorders>
            <w:shd w:val="clear" w:color="auto" w:fill="4472C4"/>
            <w:hideMark/>
          </w:tcPr>
          <w:p w14:paraId="325E4C32"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Total number (achieved at MTR)</w:t>
            </w:r>
          </w:p>
        </w:tc>
        <w:tc>
          <w:tcPr>
            <w:tcW w:w="2977" w:type="dxa"/>
            <w:tcBorders>
              <w:top w:val="single" w:sz="4" w:space="0" w:color="auto"/>
              <w:left w:val="single" w:sz="4" w:space="0" w:color="auto"/>
              <w:bottom w:val="single" w:sz="4" w:space="0" w:color="auto"/>
              <w:right w:val="single" w:sz="4" w:space="0" w:color="auto"/>
            </w:tcBorders>
            <w:shd w:val="clear" w:color="auto" w:fill="4472C4"/>
            <w:hideMark/>
          </w:tcPr>
          <w:p w14:paraId="669DFB1F"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Total number (achieved at TE)</w:t>
            </w:r>
          </w:p>
        </w:tc>
      </w:tr>
      <w:tr w:rsidR="00302BFE" w:rsidRPr="00E45388" w14:paraId="482B7351" w14:textId="77777777" w:rsidTr="00243B15">
        <w:tc>
          <w:tcPr>
            <w:tcW w:w="2943" w:type="dxa"/>
            <w:tcBorders>
              <w:top w:val="single" w:sz="4" w:space="0" w:color="auto"/>
              <w:left w:val="single" w:sz="4" w:space="0" w:color="auto"/>
              <w:bottom w:val="single" w:sz="4" w:space="0" w:color="auto"/>
              <w:right w:val="single" w:sz="4" w:space="0" w:color="auto"/>
            </w:tcBorders>
            <w:shd w:val="clear" w:color="auto" w:fill="auto"/>
          </w:tcPr>
          <w:p w14:paraId="02DE2A47" w14:textId="77777777" w:rsidR="00302BFE" w:rsidRPr="00F166CF" w:rsidRDefault="00302BFE" w:rsidP="00243B15">
            <w:pPr>
              <w:rPr>
                <w:rFonts w:ascii="Times New Roman" w:eastAsia="Times New Roman" w:hAnsi="Times New Roman"/>
                <w:color w:val="000000"/>
                <w:szCs w:val="20"/>
              </w:rPr>
            </w:pPr>
            <w:r>
              <w:rPr>
                <w:rFonts w:ascii="Times New Roman" w:eastAsia="Times New Roman" w:hAnsi="Times New Roman"/>
                <w:color w:val="000000"/>
                <w:szCs w:val="20"/>
              </w:rPr>
              <w:t>not specified</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20088AE2"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30,885</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2C4D693" w14:textId="77777777" w:rsidR="00302BFE" w:rsidRPr="00F166CF" w:rsidRDefault="00302BFE" w:rsidP="00243B15">
            <w:pPr>
              <w:rPr>
                <w:rFonts w:ascii="Times New Roman" w:eastAsia="Times New Roman" w:hAnsi="Times New Roman"/>
                <w:color w:val="00000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468810B" w14:textId="77777777" w:rsidR="00302BFE" w:rsidRPr="00F166CF" w:rsidRDefault="00302BFE" w:rsidP="00243B15">
            <w:pPr>
              <w:rPr>
                <w:rFonts w:ascii="Times New Roman" w:eastAsia="Times New Roman" w:hAnsi="Times New Roman"/>
                <w:color w:val="000000"/>
                <w:szCs w:val="20"/>
              </w:rPr>
            </w:pPr>
          </w:p>
        </w:tc>
      </w:tr>
    </w:tbl>
    <w:p w14:paraId="45F3BF9F" w14:textId="77777777" w:rsidR="00302BFE" w:rsidRPr="008605A4" w:rsidRDefault="00302BFE" w:rsidP="00302BFE">
      <w:pPr>
        <w:spacing w:after="120"/>
        <w:rPr>
          <w:rFonts w:ascii="Times New Roman" w:eastAsia="Times New Roman" w:hAnsi="Times New Roman"/>
          <w:i/>
          <w:color w:val="000000"/>
          <w:sz w:val="18"/>
          <w:szCs w:val="18"/>
        </w:rPr>
      </w:pPr>
      <w:r w:rsidRPr="008605A4">
        <w:rPr>
          <w:rFonts w:ascii="Times New Roman" w:eastAsia="Times New Roman" w:hAnsi="Times New Roman"/>
          <w:i/>
          <w:color w:val="000000"/>
          <w:sz w:val="18"/>
          <w:szCs w:val="18"/>
        </w:rPr>
        <w:t xml:space="preserve">Figure at a given stage must be the sum of female and male, as in the table below for that stage.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51"/>
        <w:gridCol w:w="2977"/>
        <w:gridCol w:w="3260"/>
        <w:gridCol w:w="2977"/>
      </w:tblGrid>
      <w:tr w:rsidR="00302BFE" w:rsidRPr="00E45388" w14:paraId="6865E94F" w14:textId="77777777" w:rsidTr="00243B15">
        <w:tc>
          <w:tcPr>
            <w:tcW w:w="959" w:type="dxa"/>
            <w:tcBorders>
              <w:top w:val="single" w:sz="4" w:space="0" w:color="auto"/>
              <w:left w:val="single" w:sz="4" w:space="0" w:color="auto"/>
              <w:bottom w:val="single" w:sz="4" w:space="0" w:color="auto"/>
              <w:right w:val="single" w:sz="4" w:space="0" w:color="auto"/>
            </w:tcBorders>
            <w:shd w:val="clear" w:color="auto" w:fill="4472C4"/>
            <w:hideMark/>
          </w:tcPr>
          <w:p w14:paraId="330AFE65"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Gender</w:t>
            </w:r>
          </w:p>
        </w:tc>
        <w:tc>
          <w:tcPr>
            <w:tcW w:w="2551" w:type="dxa"/>
            <w:tcBorders>
              <w:top w:val="single" w:sz="4" w:space="0" w:color="auto"/>
              <w:left w:val="single" w:sz="4" w:space="0" w:color="auto"/>
              <w:bottom w:val="single" w:sz="4" w:space="0" w:color="auto"/>
              <w:right w:val="single" w:sz="4" w:space="0" w:color="auto"/>
            </w:tcBorders>
            <w:shd w:val="clear" w:color="auto" w:fill="4472C4"/>
            <w:hideMark/>
          </w:tcPr>
          <w:p w14:paraId="47CE350B"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Number (expected at PIF)</w:t>
            </w:r>
          </w:p>
        </w:tc>
        <w:tc>
          <w:tcPr>
            <w:tcW w:w="2977" w:type="dxa"/>
            <w:tcBorders>
              <w:top w:val="single" w:sz="4" w:space="0" w:color="auto"/>
              <w:left w:val="single" w:sz="4" w:space="0" w:color="auto"/>
              <w:bottom w:val="single" w:sz="4" w:space="0" w:color="auto"/>
              <w:right w:val="single" w:sz="4" w:space="0" w:color="auto"/>
            </w:tcBorders>
            <w:shd w:val="clear" w:color="auto" w:fill="4472C4"/>
            <w:hideMark/>
          </w:tcPr>
          <w:p w14:paraId="4CD5C45B"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Number (expected at CEO ER)</w:t>
            </w:r>
          </w:p>
        </w:tc>
        <w:tc>
          <w:tcPr>
            <w:tcW w:w="3260" w:type="dxa"/>
            <w:tcBorders>
              <w:top w:val="single" w:sz="4" w:space="0" w:color="auto"/>
              <w:left w:val="single" w:sz="4" w:space="0" w:color="auto"/>
              <w:bottom w:val="single" w:sz="4" w:space="0" w:color="auto"/>
              <w:right w:val="single" w:sz="4" w:space="0" w:color="auto"/>
            </w:tcBorders>
            <w:shd w:val="clear" w:color="auto" w:fill="4472C4"/>
            <w:hideMark/>
          </w:tcPr>
          <w:p w14:paraId="3FDABD56"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Number (achieved at MTR)</w:t>
            </w:r>
          </w:p>
        </w:tc>
        <w:tc>
          <w:tcPr>
            <w:tcW w:w="2977" w:type="dxa"/>
            <w:tcBorders>
              <w:top w:val="single" w:sz="4" w:space="0" w:color="auto"/>
              <w:left w:val="single" w:sz="4" w:space="0" w:color="auto"/>
              <w:bottom w:val="single" w:sz="4" w:space="0" w:color="auto"/>
              <w:right w:val="single" w:sz="4" w:space="0" w:color="auto"/>
            </w:tcBorders>
            <w:shd w:val="clear" w:color="auto" w:fill="4472C4"/>
            <w:hideMark/>
          </w:tcPr>
          <w:p w14:paraId="459E63C2"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Number (achieved at TE)</w:t>
            </w:r>
          </w:p>
        </w:tc>
      </w:tr>
      <w:tr w:rsidR="00302BFE" w:rsidRPr="00E45388" w14:paraId="42091783" w14:textId="77777777" w:rsidTr="00243B15">
        <w:tc>
          <w:tcPr>
            <w:tcW w:w="959" w:type="dxa"/>
            <w:tcBorders>
              <w:top w:val="single" w:sz="4" w:space="0" w:color="auto"/>
              <w:left w:val="single" w:sz="4" w:space="0" w:color="auto"/>
              <w:bottom w:val="single" w:sz="4" w:space="0" w:color="auto"/>
              <w:right w:val="single" w:sz="4" w:space="0" w:color="auto"/>
            </w:tcBorders>
            <w:shd w:val="clear" w:color="auto" w:fill="4472C4"/>
            <w:hideMark/>
          </w:tcPr>
          <w:p w14:paraId="28B461C1"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Female</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B16EBBA" w14:textId="77777777" w:rsidR="00302BFE" w:rsidRPr="00F166CF" w:rsidRDefault="00302BFE" w:rsidP="00243B15">
            <w:pPr>
              <w:rPr>
                <w:rFonts w:ascii="Times New Roman" w:eastAsia="Times New Roman" w:hAnsi="Times New Roman"/>
                <w:color w:val="000000"/>
                <w:szCs w:val="20"/>
              </w:rPr>
            </w:pPr>
            <w:r>
              <w:rPr>
                <w:rFonts w:ascii="Times New Roman" w:eastAsia="Times New Roman" w:hAnsi="Times New Roman"/>
                <w:color w:val="000000"/>
                <w:szCs w:val="20"/>
              </w:rPr>
              <w:t>not specified</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295E0468"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18,531</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6DBC859" w14:textId="77777777" w:rsidR="00302BFE" w:rsidRPr="00F166CF" w:rsidRDefault="00302BFE" w:rsidP="00243B15">
            <w:pPr>
              <w:rPr>
                <w:rFonts w:ascii="Times New Roman" w:eastAsia="Times New Roman" w:hAnsi="Times New Roman"/>
                <w:color w:val="00000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08A1CB83" w14:textId="77777777" w:rsidR="00302BFE" w:rsidRPr="00F166CF" w:rsidRDefault="00302BFE" w:rsidP="00243B15">
            <w:pPr>
              <w:rPr>
                <w:rFonts w:ascii="Times New Roman" w:eastAsia="Times New Roman" w:hAnsi="Times New Roman"/>
                <w:color w:val="000000"/>
                <w:szCs w:val="20"/>
              </w:rPr>
            </w:pPr>
          </w:p>
        </w:tc>
      </w:tr>
      <w:tr w:rsidR="00302BFE" w:rsidRPr="00E45388" w14:paraId="1A98E15D" w14:textId="77777777" w:rsidTr="00243B15">
        <w:tc>
          <w:tcPr>
            <w:tcW w:w="959" w:type="dxa"/>
            <w:tcBorders>
              <w:top w:val="single" w:sz="4" w:space="0" w:color="auto"/>
              <w:left w:val="single" w:sz="4" w:space="0" w:color="auto"/>
              <w:bottom w:val="single" w:sz="4" w:space="0" w:color="auto"/>
              <w:right w:val="single" w:sz="4" w:space="0" w:color="auto"/>
            </w:tcBorders>
            <w:shd w:val="clear" w:color="auto" w:fill="4472C4"/>
            <w:hideMark/>
          </w:tcPr>
          <w:p w14:paraId="71D7DBE5" w14:textId="77777777" w:rsidR="00302BFE" w:rsidRPr="00F166CF" w:rsidRDefault="00302BFE" w:rsidP="00243B15">
            <w:pPr>
              <w:rPr>
                <w:rFonts w:ascii="Times New Roman" w:eastAsia="Times New Roman" w:hAnsi="Times New Roman"/>
                <w:b/>
                <w:color w:val="000000"/>
                <w:szCs w:val="20"/>
              </w:rPr>
            </w:pPr>
            <w:r w:rsidRPr="00F166CF">
              <w:rPr>
                <w:rFonts w:ascii="Times New Roman" w:eastAsia="Times New Roman" w:hAnsi="Times New Roman"/>
                <w:b/>
                <w:color w:val="000000"/>
                <w:szCs w:val="20"/>
              </w:rPr>
              <w:t>Male</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11BE232" w14:textId="77777777" w:rsidR="00302BFE" w:rsidRPr="00F166CF" w:rsidRDefault="00302BFE" w:rsidP="00243B15">
            <w:pPr>
              <w:rPr>
                <w:rFonts w:ascii="Times New Roman" w:eastAsia="Times New Roman" w:hAnsi="Times New Roman"/>
                <w:color w:val="000000"/>
                <w:szCs w:val="20"/>
              </w:rPr>
            </w:pPr>
            <w:r>
              <w:rPr>
                <w:rFonts w:ascii="Times New Roman" w:eastAsia="Times New Roman" w:hAnsi="Times New Roman"/>
                <w:color w:val="000000"/>
                <w:szCs w:val="20"/>
              </w:rPr>
              <w:t>not specified</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25C15156" w14:textId="77777777" w:rsidR="00302BFE" w:rsidRPr="00F166CF" w:rsidRDefault="00302BFE" w:rsidP="00243B15">
            <w:pPr>
              <w:rPr>
                <w:rFonts w:ascii="Times New Roman" w:eastAsia="Times New Roman" w:hAnsi="Times New Roman"/>
                <w:color w:val="000000"/>
                <w:szCs w:val="20"/>
              </w:rPr>
            </w:pPr>
            <w:r w:rsidRPr="00F166CF">
              <w:rPr>
                <w:rFonts w:ascii="Times New Roman" w:eastAsia="Times New Roman" w:hAnsi="Times New Roman"/>
                <w:color w:val="000000"/>
                <w:szCs w:val="20"/>
              </w:rPr>
              <w:t>12,354</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45A1A6D" w14:textId="77777777" w:rsidR="00302BFE" w:rsidRPr="00F166CF" w:rsidRDefault="00302BFE" w:rsidP="00243B15">
            <w:pPr>
              <w:rPr>
                <w:rFonts w:ascii="Times New Roman" w:eastAsia="Times New Roman" w:hAnsi="Times New Roman"/>
                <w:color w:val="00000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0FB47FD6" w14:textId="77777777" w:rsidR="00302BFE" w:rsidRPr="00F166CF" w:rsidRDefault="00302BFE" w:rsidP="00243B15">
            <w:pPr>
              <w:rPr>
                <w:rFonts w:ascii="Times New Roman" w:eastAsia="Times New Roman" w:hAnsi="Times New Roman"/>
                <w:color w:val="000000"/>
                <w:szCs w:val="20"/>
              </w:rPr>
            </w:pPr>
          </w:p>
        </w:tc>
      </w:tr>
    </w:tbl>
    <w:p w14:paraId="760A79D9" w14:textId="77777777" w:rsidR="00302BFE" w:rsidRPr="00B808FC" w:rsidRDefault="00302BFE" w:rsidP="00302BFE">
      <w:pPr>
        <w:jc w:val="left"/>
        <w:rPr>
          <w:b/>
          <w:sz w:val="22"/>
          <w:szCs w:val="22"/>
          <w:lang w:val="en-CA"/>
        </w:rPr>
      </w:pPr>
    </w:p>
    <w:p w14:paraId="0AF15FDA" w14:textId="77777777" w:rsidR="00302BFE" w:rsidRDefault="00302BFE" w:rsidP="00302BFE">
      <w:pPr>
        <w:pStyle w:val="Titre2"/>
        <w:spacing w:after="120"/>
        <w:ind w:left="0"/>
        <w:rPr>
          <w:rFonts w:ascii="Calibri" w:hAnsi="Calibri"/>
          <w:szCs w:val="22"/>
        </w:rPr>
        <w:sectPr w:rsidR="00302BFE" w:rsidSect="00243B15">
          <w:footerReference w:type="default" r:id="rId40"/>
          <w:pgSz w:w="15840" w:h="12240" w:orient="landscape" w:code="1"/>
          <w:pgMar w:top="720" w:right="720" w:bottom="720" w:left="720" w:header="720" w:footer="720" w:gutter="0"/>
          <w:cols w:space="720"/>
          <w:docGrid w:linePitch="360"/>
        </w:sectPr>
      </w:pPr>
    </w:p>
    <w:p w14:paraId="68F6DA2D" w14:textId="77777777" w:rsidR="00302BFE" w:rsidRPr="00B16682" w:rsidRDefault="00302BFE" w:rsidP="00302BFE">
      <w:pPr>
        <w:pStyle w:val="Titre2"/>
        <w:spacing w:after="120"/>
        <w:ind w:left="0"/>
        <w:rPr>
          <w:rFonts w:ascii="Calibri" w:hAnsi="Calibri"/>
          <w:szCs w:val="22"/>
        </w:rPr>
      </w:pPr>
      <w:bookmarkStart w:id="55" w:name="_Toc9961803"/>
      <w:r w:rsidRPr="00B16682">
        <w:rPr>
          <w:rFonts w:ascii="Calibri" w:hAnsi="Calibri"/>
          <w:szCs w:val="22"/>
        </w:rPr>
        <w:lastRenderedPageBreak/>
        <w:t xml:space="preserve">Annex </w:t>
      </w:r>
      <w:r>
        <w:rPr>
          <w:rFonts w:ascii="Calibri" w:hAnsi="Calibri"/>
          <w:szCs w:val="22"/>
        </w:rPr>
        <w:t>C</w:t>
      </w:r>
      <w:r w:rsidRPr="00B16682">
        <w:rPr>
          <w:rFonts w:ascii="Calibri" w:hAnsi="Calibri"/>
          <w:szCs w:val="22"/>
        </w:rPr>
        <w:t>: Terms of Reference</w:t>
      </w:r>
      <w:bookmarkEnd w:id="55"/>
    </w:p>
    <w:p w14:paraId="611CE216" w14:textId="77777777" w:rsidR="00302BFE" w:rsidRPr="00930BD3" w:rsidRDefault="00302BFE" w:rsidP="00302BFE">
      <w:pPr>
        <w:spacing w:after="0"/>
        <w:rPr>
          <w:rFonts w:cs="Calibri"/>
          <w:b/>
          <w:iCs/>
          <w:noProof/>
          <w:szCs w:val="20"/>
          <w:lang w:eastAsia="zh-CN"/>
        </w:rPr>
      </w:pPr>
      <w:r w:rsidRPr="00930BD3">
        <w:rPr>
          <w:rFonts w:cs="Calibri"/>
          <w:b/>
          <w:iCs/>
          <w:noProof/>
          <w:szCs w:val="20"/>
          <w:lang w:eastAsia="zh-CN"/>
        </w:rPr>
        <w:t xml:space="preserve">1. Terms of reference for Project </w:t>
      </w:r>
      <w:r w:rsidRPr="00930BD3">
        <w:rPr>
          <w:b/>
          <w:szCs w:val="20"/>
          <w:lang w:val="en-CA"/>
        </w:rPr>
        <w:t xml:space="preserve">Consultation / Dialogue Framework </w:t>
      </w:r>
      <w:r w:rsidRPr="00930BD3">
        <w:rPr>
          <w:szCs w:val="20"/>
          <w:lang w:val="en-CA"/>
        </w:rPr>
        <w:t>(previously called Project Board or Project Steering Committee)</w:t>
      </w:r>
    </w:p>
    <w:p w14:paraId="2C1A5BDB" w14:textId="77777777" w:rsidR="00302BFE" w:rsidRPr="00930BD3" w:rsidRDefault="00302BFE" w:rsidP="00302BFE">
      <w:pPr>
        <w:spacing w:before="120" w:after="120"/>
        <w:rPr>
          <w:szCs w:val="20"/>
          <w:lang w:val="en-CA"/>
        </w:rPr>
      </w:pPr>
      <w:r w:rsidRPr="00930BD3">
        <w:rPr>
          <w:szCs w:val="20"/>
          <w:lang w:val="en-CA"/>
        </w:rPr>
        <w:t xml:space="preserve">The Project Consultation Framework or Dialogue framework </w:t>
      </w:r>
      <w:r w:rsidRPr="00930BD3">
        <w:rPr>
          <w:rFonts w:cs="Calibri"/>
          <w:iCs/>
          <w:noProof/>
          <w:szCs w:val="20"/>
          <w:lang w:eastAsia="zh-CN"/>
        </w:rPr>
        <w:t xml:space="preserve">will serve as the project’s decision-making body. It </w:t>
      </w:r>
      <w:r w:rsidRPr="00930BD3">
        <w:rPr>
          <w:szCs w:val="20"/>
          <w:lang w:val="en-CA"/>
        </w:rPr>
        <w:t>is responsible for making by consensus, management decisions when guidance is required by the Project Manager, including recommendations for UNDP/Implementing Partner approval of project plans and revisions, and addressing any project level grievances. The Project Consultation/Dialogue Framework will contribute to the implementation of the project through the review of results and activities. It is</w:t>
      </w:r>
      <w:r w:rsidRPr="00930BD3">
        <w:rPr>
          <w:rFonts w:cs="Calibri"/>
          <w:iCs/>
          <w:noProof/>
          <w:szCs w:val="20"/>
          <w:lang w:eastAsia="zh-CN"/>
        </w:rPr>
        <w:t xml:space="preserve"> responsible for providing the strategic guidance and oversight to project implementation to ensure that it meets the requirements of the approved Project Document and achieves the stated outcomes.</w:t>
      </w:r>
      <w:r w:rsidRPr="00930BD3">
        <w:rPr>
          <w:szCs w:val="20"/>
        </w:rPr>
        <w:t xml:space="preserve"> </w:t>
      </w:r>
      <w:r w:rsidRPr="00930BD3">
        <w:rPr>
          <w:szCs w:val="20"/>
          <w:lang w:val="en-CA"/>
        </w:rPr>
        <w:t>To this end, the main responsibilities of the Project Consultation/Dialogue Framework will be to:</w:t>
      </w:r>
    </w:p>
    <w:p w14:paraId="0A42AFB0" w14:textId="77777777" w:rsidR="00302BFE" w:rsidRPr="00930BD3" w:rsidRDefault="00302BFE" w:rsidP="00C46720">
      <w:pPr>
        <w:numPr>
          <w:ilvl w:val="0"/>
          <w:numId w:val="46"/>
        </w:numPr>
        <w:spacing w:after="0"/>
        <w:contextualSpacing/>
        <w:rPr>
          <w:rFonts w:cs="Calibri"/>
          <w:iCs/>
          <w:noProof/>
          <w:szCs w:val="20"/>
          <w:lang w:eastAsia="zh-CN"/>
        </w:rPr>
      </w:pPr>
      <w:r w:rsidRPr="00930BD3">
        <w:rPr>
          <w:rFonts w:cs="Calibri"/>
          <w:iCs/>
          <w:noProof/>
          <w:szCs w:val="20"/>
          <w:lang w:eastAsia="zh-CN"/>
        </w:rPr>
        <w:t xml:space="preserve">Provide strategic guidance to project implementation; </w:t>
      </w:r>
    </w:p>
    <w:p w14:paraId="3B5A9F39" w14:textId="77777777" w:rsidR="00302BFE" w:rsidRPr="00930BD3" w:rsidRDefault="00302BFE" w:rsidP="00C46720">
      <w:pPr>
        <w:numPr>
          <w:ilvl w:val="0"/>
          <w:numId w:val="46"/>
        </w:numPr>
        <w:spacing w:after="0"/>
        <w:contextualSpacing/>
        <w:rPr>
          <w:rFonts w:cs="Calibri"/>
          <w:iCs/>
          <w:noProof/>
          <w:szCs w:val="20"/>
          <w:lang w:eastAsia="zh-CN"/>
        </w:rPr>
      </w:pPr>
      <w:r w:rsidRPr="00930BD3">
        <w:rPr>
          <w:rFonts w:cs="Calibri"/>
          <w:iCs/>
          <w:noProof/>
          <w:szCs w:val="20"/>
          <w:lang w:eastAsia="zh-CN"/>
        </w:rPr>
        <w:t xml:space="preserve">Ensure coordination between various donor funded and government funded projects and programmes; </w:t>
      </w:r>
    </w:p>
    <w:p w14:paraId="1E9B0E99" w14:textId="77777777" w:rsidR="00302BFE" w:rsidRPr="00930BD3" w:rsidRDefault="00302BFE" w:rsidP="00C46720">
      <w:pPr>
        <w:numPr>
          <w:ilvl w:val="0"/>
          <w:numId w:val="46"/>
        </w:numPr>
        <w:spacing w:after="0"/>
        <w:contextualSpacing/>
        <w:rPr>
          <w:rFonts w:cs="Calibri"/>
          <w:iCs/>
          <w:noProof/>
          <w:szCs w:val="20"/>
          <w:lang w:eastAsia="zh-CN"/>
        </w:rPr>
      </w:pPr>
      <w:r w:rsidRPr="00930BD3">
        <w:rPr>
          <w:rFonts w:cs="Calibri"/>
          <w:iCs/>
          <w:noProof/>
          <w:szCs w:val="20"/>
          <w:lang w:eastAsia="zh-CN"/>
        </w:rPr>
        <w:t xml:space="preserve">Ensure coordination with various government agencies and their participation in project activities; </w:t>
      </w:r>
    </w:p>
    <w:p w14:paraId="3D8BC299" w14:textId="77777777" w:rsidR="00302BFE" w:rsidRPr="00930BD3" w:rsidRDefault="00302BFE" w:rsidP="00C46720">
      <w:pPr>
        <w:numPr>
          <w:ilvl w:val="0"/>
          <w:numId w:val="46"/>
        </w:numPr>
        <w:spacing w:after="0"/>
        <w:rPr>
          <w:rFonts w:cs="Calibri"/>
          <w:color w:val="000000"/>
          <w:szCs w:val="20"/>
        </w:rPr>
      </w:pPr>
      <w:r w:rsidRPr="00930BD3">
        <w:rPr>
          <w:rFonts w:cs="Calibri"/>
          <w:color w:val="000000"/>
          <w:szCs w:val="20"/>
        </w:rPr>
        <w:t>Agree on Project Coordinator/Manager’s responsibilities, as well as the responsibilities of the other members of the PCU;</w:t>
      </w:r>
    </w:p>
    <w:p w14:paraId="35B53835" w14:textId="77777777" w:rsidR="00302BFE" w:rsidRPr="00930BD3" w:rsidRDefault="00302BFE" w:rsidP="00C46720">
      <w:pPr>
        <w:numPr>
          <w:ilvl w:val="0"/>
          <w:numId w:val="46"/>
        </w:numPr>
        <w:spacing w:after="0"/>
        <w:rPr>
          <w:rFonts w:cs="Calibri"/>
          <w:color w:val="000000"/>
          <w:szCs w:val="20"/>
        </w:rPr>
      </w:pPr>
      <w:r w:rsidRPr="00930BD3">
        <w:rPr>
          <w:rFonts w:cs="Calibri"/>
          <w:color w:val="000000"/>
          <w:szCs w:val="20"/>
        </w:rPr>
        <w:t>Delegate any Project Assurance function as appropriate;</w:t>
      </w:r>
    </w:p>
    <w:p w14:paraId="043A0DD1" w14:textId="77777777" w:rsidR="00302BFE" w:rsidRPr="00930BD3" w:rsidRDefault="00302BFE" w:rsidP="00C46720">
      <w:pPr>
        <w:numPr>
          <w:ilvl w:val="0"/>
          <w:numId w:val="46"/>
        </w:numPr>
        <w:spacing w:after="0"/>
        <w:rPr>
          <w:rFonts w:cs="Calibri"/>
          <w:color w:val="000000"/>
          <w:szCs w:val="20"/>
        </w:rPr>
      </w:pPr>
      <w:r w:rsidRPr="00930BD3">
        <w:rPr>
          <w:rFonts w:cs="Calibri"/>
          <w:color w:val="000000"/>
          <w:szCs w:val="20"/>
        </w:rPr>
        <w:t>Review and appraise detailed Project Plan and Annual Work Plan (AWP), including Atlas reports covering activity definition, quality criteria, issue log, updated risk log and the monitoring and communication plan.</w:t>
      </w:r>
    </w:p>
    <w:p w14:paraId="4230C61F" w14:textId="77777777" w:rsidR="00302BFE" w:rsidRPr="00930BD3" w:rsidRDefault="00302BFE" w:rsidP="00C46720">
      <w:pPr>
        <w:numPr>
          <w:ilvl w:val="0"/>
          <w:numId w:val="46"/>
        </w:numPr>
        <w:spacing w:after="0"/>
        <w:contextualSpacing/>
        <w:rPr>
          <w:rFonts w:cs="Calibri"/>
          <w:iCs/>
          <w:noProof/>
          <w:szCs w:val="20"/>
          <w:lang w:eastAsia="zh-CN"/>
        </w:rPr>
      </w:pPr>
      <w:r w:rsidRPr="00930BD3">
        <w:rPr>
          <w:rFonts w:cs="Calibri"/>
          <w:iCs/>
          <w:noProof/>
          <w:szCs w:val="20"/>
          <w:lang w:eastAsia="zh-CN"/>
        </w:rPr>
        <w:t xml:space="preserve">Approve annual project work plans and budgets, at the proposal of the Project Manager; </w:t>
      </w:r>
    </w:p>
    <w:p w14:paraId="642D59C4" w14:textId="77777777" w:rsidR="00302BFE" w:rsidRPr="00930BD3" w:rsidRDefault="00302BFE" w:rsidP="00C46720">
      <w:pPr>
        <w:numPr>
          <w:ilvl w:val="0"/>
          <w:numId w:val="46"/>
        </w:numPr>
        <w:spacing w:after="0"/>
        <w:contextualSpacing/>
        <w:rPr>
          <w:rFonts w:cs="Calibri"/>
          <w:iCs/>
          <w:noProof/>
          <w:szCs w:val="20"/>
          <w:lang w:eastAsia="zh-CN"/>
        </w:rPr>
      </w:pPr>
      <w:r w:rsidRPr="00930BD3">
        <w:rPr>
          <w:rFonts w:cs="Calibri"/>
          <w:iCs/>
          <w:noProof/>
          <w:szCs w:val="20"/>
          <w:lang w:eastAsia="zh-CN"/>
        </w:rPr>
        <w:t>Approve any major changes in project plans or programmes;</w:t>
      </w:r>
    </w:p>
    <w:p w14:paraId="3AD9B17C" w14:textId="77777777" w:rsidR="00302BFE" w:rsidRPr="00930BD3" w:rsidRDefault="00302BFE" w:rsidP="00C46720">
      <w:pPr>
        <w:numPr>
          <w:ilvl w:val="0"/>
          <w:numId w:val="46"/>
        </w:numPr>
        <w:spacing w:after="0"/>
        <w:contextualSpacing/>
        <w:rPr>
          <w:rFonts w:cs="Calibri"/>
          <w:iCs/>
          <w:noProof/>
          <w:szCs w:val="20"/>
          <w:lang w:eastAsia="zh-CN"/>
        </w:rPr>
      </w:pPr>
      <w:r w:rsidRPr="00930BD3">
        <w:rPr>
          <w:rFonts w:cs="Calibri"/>
          <w:iCs/>
          <w:noProof/>
          <w:szCs w:val="20"/>
          <w:lang w:eastAsia="zh-CN"/>
        </w:rPr>
        <w:t xml:space="preserve">Oversee monitoring, evaluation and reporting in line with GEF requirements; </w:t>
      </w:r>
    </w:p>
    <w:p w14:paraId="4C7AB07F" w14:textId="77777777" w:rsidR="00302BFE" w:rsidRPr="00930BD3" w:rsidRDefault="00302BFE" w:rsidP="00C46720">
      <w:pPr>
        <w:numPr>
          <w:ilvl w:val="0"/>
          <w:numId w:val="46"/>
        </w:numPr>
        <w:spacing w:after="0"/>
        <w:contextualSpacing/>
        <w:rPr>
          <w:rFonts w:cs="Calibri"/>
          <w:iCs/>
          <w:noProof/>
          <w:szCs w:val="20"/>
          <w:lang w:eastAsia="zh-CN"/>
        </w:rPr>
      </w:pPr>
      <w:r w:rsidRPr="00930BD3">
        <w:rPr>
          <w:szCs w:val="20"/>
          <w:lang w:val="en-CA"/>
        </w:rPr>
        <w:t>Ensure the implementation of the recommendations of the Project Consultation/Dialogue Framework, supervision and monitoring missions and various audits;</w:t>
      </w:r>
    </w:p>
    <w:p w14:paraId="19D1D8CC" w14:textId="77777777" w:rsidR="00302BFE" w:rsidRPr="00930BD3" w:rsidRDefault="00302BFE" w:rsidP="00C46720">
      <w:pPr>
        <w:numPr>
          <w:ilvl w:val="0"/>
          <w:numId w:val="46"/>
        </w:numPr>
        <w:spacing w:after="0"/>
        <w:contextualSpacing/>
        <w:rPr>
          <w:rFonts w:cs="Calibri"/>
          <w:iCs/>
          <w:noProof/>
          <w:szCs w:val="20"/>
          <w:lang w:eastAsia="zh-CN"/>
        </w:rPr>
      </w:pPr>
      <w:r w:rsidRPr="00930BD3">
        <w:rPr>
          <w:rFonts w:cs="Calibri"/>
          <w:iCs/>
          <w:noProof/>
          <w:szCs w:val="20"/>
          <w:lang w:eastAsia="zh-CN"/>
        </w:rPr>
        <w:t xml:space="preserve">Ensure commitment of human resources to support project implementation, arbitrating any issues within the project; </w:t>
      </w:r>
    </w:p>
    <w:p w14:paraId="2276C9BA" w14:textId="77777777" w:rsidR="00302BFE" w:rsidRPr="00930BD3" w:rsidRDefault="00302BFE" w:rsidP="00C46720">
      <w:pPr>
        <w:numPr>
          <w:ilvl w:val="0"/>
          <w:numId w:val="46"/>
        </w:numPr>
        <w:spacing w:after="0"/>
        <w:contextualSpacing/>
        <w:rPr>
          <w:rFonts w:cs="Calibri"/>
          <w:iCs/>
          <w:noProof/>
          <w:szCs w:val="20"/>
          <w:lang w:eastAsia="zh-CN"/>
        </w:rPr>
      </w:pPr>
      <w:r w:rsidRPr="00930BD3">
        <w:rPr>
          <w:rFonts w:cs="Calibri"/>
          <w:iCs/>
          <w:noProof/>
          <w:szCs w:val="20"/>
          <w:lang w:eastAsia="zh-CN"/>
        </w:rPr>
        <w:t xml:space="preserve">Negotiate solutions between the project and any parties beyond the scope of the project; </w:t>
      </w:r>
    </w:p>
    <w:p w14:paraId="4225A037" w14:textId="77777777" w:rsidR="00302BFE" w:rsidRPr="00930BD3" w:rsidRDefault="00302BFE" w:rsidP="00C46720">
      <w:pPr>
        <w:numPr>
          <w:ilvl w:val="0"/>
          <w:numId w:val="46"/>
        </w:numPr>
        <w:spacing w:after="0"/>
        <w:contextualSpacing/>
        <w:rPr>
          <w:rFonts w:cs="Calibri"/>
          <w:iCs/>
          <w:noProof/>
          <w:szCs w:val="20"/>
          <w:lang w:eastAsia="zh-CN"/>
        </w:rPr>
      </w:pPr>
      <w:r w:rsidRPr="00930BD3">
        <w:rPr>
          <w:rFonts w:cs="Calibri"/>
          <w:iCs/>
          <w:noProof/>
          <w:szCs w:val="20"/>
          <w:lang w:eastAsia="zh-CN"/>
        </w:rPr>
        <w:t>Ensure that UNDP Social and Environmental Safeguards Policy is applied throughout project implementation; and, address related grievances as necessary.</w:t>
      </w:r>
    </w:p>
    <w:p w14:paraId="388027EF" w14:textId="77777777" w:rsidR="00302BFE" w:rsidRPr="00930BD3" w:rsidRDefault="00302BFE" w:rsidP="00302BFE">
      <w:pPr>
        <w:spacing w:before="120" w:after="120"/>
        <w:rPr>
          <w:szCs w:val="20"/>
          <w:lang w:val="en-CA"/>
        </w:rPr>
      </w:pPr>
      <w:r w:rsidRPr="00930BD3">
        <w:rPr>
          <w:szCs w:val="20"/>
          <w:u w:val="single"/>
          <w:lang w:val="en-CA"/>
        </w:rPr>
        <w:t>The Dialogue Framework is composed as follows</w:t>
      </w:r>
      <w:r w:rsidRPr="00930BD3">
        <w:rPr>
          <w:szCs w:val="20"/>
          <w:lang w:val="en-CA"/>
        </w:rPr>
        <w:t>:</w:t>
      </w:r>
    </w:p>
    <w:p w14:paraId="2788E061" w14:textId="77777777" w:rsidR="00302BFE" w:rsidRPr="00930BD3" w:rsidRDefault="00302BFE" w:rsidP="00302BFE">
      <w:pPr>
        <w:spacing w:after="0"/>
        <w:rPr>
          <w:szCs w:val="20"/>
          <w:lang w:val="en-CA"/>
        </w:rPr>
      </w:pPr>
      <w:r w:rsidRPr="00930BD3">
        <w:rPr>
          <w:szCs w:val="20"/>
          <w:u w:val="single"/>
          <w:lang w:val="en-CA"/>
        </w:rPr>
        <w:t>President</w:t>
      </w:r>
      <w:r w:rsidRPr="00930BD3">
        <w:rPr>
          <w:szCs w:val="20"/>
          <w:lang w:val="en-CA"/>
        </w:rPr>
        <w:t>: The representative of the Ministry of Environment, Green Economy and Climate Change</w:t>
      </w:r>
    </w:p>
    <w:p w14:paraId="4914B9F0" w14:textId="77777777" w:rsidR="00302BFE" w:rsidRPr="00930BD3" w:rsidRDefault="00302BFE" w:rsidP="00302BFE">
      <w:pPr>
        <w:spacing w:after="0"/>
        <w:rPr>
          <w:szCs w:val="20"/>
          <w:lang w:val="en-CA"/>
        </w:rPr>
      </w:pPr>
      <w:r w:rsidRPr="00930BD3">
        <w:rPr>
          <w:szCs w:val="20"/>
          <w:u w:val="single"/>
          <w:lang w:val="en-CA"/>
        </w:rPr>
        <w:t>Co-Chair</w:t>
      </w:r>
      <w:r w:rsidRPr="00930BD3">
        <w:rPr>
          <w:szCs w:val="20"/>
          <w:lang w:val="en-CA"/>
        </w:rPr>
        <w:t>: The UNDP Resident Representative or his/her representative</w:t>
      </w:r>
    </w:p>
    <w:p w14:paraId="3B2DF7B7" w14:textId="77777777" w:rsidR="00302BFE" w:rsidRPr="00930BD3" w:rsidRDefault="00302BFE" w:rsidP="00302BFE">
      <w:pPr>
        <w:spacing w:after="0"/>
        <w:rPr>
          <w:szCs w:val="20"/>
          <w:lang w:val="en-CA"/>
        </w:rPr>
      </w:pPr>
      <w:r w:rsidRPr="00930BD3">
        <w:rPr>
          <w:szCs w:val="20"/>
          <w:u w:val="single"/>
          <w:lang w:val="en-CA"/>
        </w:rPr>
        <w:t>Members</w:t>
      </w:r>
      <w:r w:rsidRPr="00930BD3">
        <w:rPr>
          <w:szCs w:val="20"/>
          <w:lang w:val="en-CA"/>
        </w:rPr>
        <w:t>:</w:t>
      </w:r>
    </w:p>
    <w:p w14:paraId="6D8504EA" w14:textId="77777777" w:rsidR="00302BFE" w:rsidRPr="00930BD3" w:rsidRDefault="00302BFE" w:rsidP="00302BFE">
      <w:pPr>
        <w:spacing w:after="0"/>
        <w:rPr>
          <w:szCs w:val="20"/>
          <w:lang w:val="en-CA"/>
        </w:rPr>
      </w:pPr>
      <w:r w:rsidRPr="00930BD3">
        <w:rPr>
          <w:szCs w:val="20"/>
          <w:lang w:val="en-CA"/>
        </w:rPr>
        <w:t>As implementing actors:</w:t>
      </w:r>
    </w:p>
    <w:p w14:paraId="231A7241" w14:textId="77777777" w:rsidR="00302BFE" w:rsidRPr="00930BD3" w:rsidRDefault="00302BFE" w:rsidP="00C46720">
      <w:pPr>
        <w:pStyle w:val="Paragraphedeliste"/>
        <w:numPr>
          <w:ilvl w:val="0"/>
          <w:numId w:val="45"/>
        </w:numPr>
        <w:contextualSpacing/>
        <w:rPr>
          <w:rFonts w:ascii="Calibri" w:hAnsi="Calibri"/>
          <w:sz w:val="20"/>
          <w:szCs w:val="20"/>
          <w:lang w:val="en-CA"/>
        </w:rPr>
      </w:pPr>
      <w:r w:rsidRPr="00930BD3">
        <w:rPr>
          <w:rFonts w:ascii="Calibri" w:hAnsi="Calibri"/>
          <w:sz w:val="20"/>
          <w:szCs w:val="20"/>
          <w:lang w:val="en-CA"/>
        </w:rPr>
        <w:t>A representative of the Ministry of the Economy of Finance and Development (MINEFID)</w:t>
      </w:r>
    </w:p>
    <w:p w14:paraId="489DFB28" w14:textId="77777777" w:rsidR="00302BFE" w:rsidRPr="00930BD3" w:rsidRDefault="00302BFE" w:rsidP="00C46720">
      <w:pPr>
        <w:pStyle w:val="Paragraphedeliste"/>
        <w:numPr>
          <w:ilvl w:val="0"/>
          <w:numId w:val="45"/>
        </w:numPr>
        <w:contextualSpacing/>
        <w:rPr>
          <w:rFonts w:ascii="Calibri" w:hAnsi="Calibri"/>
          <w:sz w:val="20"/>
          <w:szCs w:val="20"/>
          <w:lang w:val="en-CA"/>
        </w:rPr>
      </w:pPr>
      <w:r w:rsidRPr="00930BD3">
        <w:rPr>
          <w:rFonts w:ascii="Calibri" w:hAnsi="Calibri"/>
          <w:sz w:val="20"/>
          <w:szCs w:val="20"/>
          <w:lang w:val="en-CA"/>
        </w:rPr>
        <w:t xml:space="preserve">Four representatives of the Ministry of Environment, Green Economy and Climate Change (Head of the Budget Attachment Program or his/her representative, the Director of Fauna or his/her representative, the Director of OFINAP or his/her representative, and the Director General of Studies and Sectoral Statistics or his/her representative) </w:t>
      </w:r>
    </w:p>
    <w:p w14:paraId="6FB91BAC" w14:textId="77777777" w:rsidR="00302BFE" w:rsidRPr="00930BD3" w:rsidRDefault="00302BFE" w:rsidP="00302BFE">
      <w:pPr>
        <w:spacing w:after="0"/>
        <w:rPr>
          <w:szCs w:val="20"/>
          <w:lang w:val="en-CA"/>
        </w:rPr>
      </w:pPr>
      <w:r w:rsidRPr="00930BD3">
        <w:rPr>
          <w:szCs w:val="20"/>
          <w:lang w:val="en-CA"/>
        </w:rPr>
        <w:t>As beneficiaries:</w:t>
      </w:r>
    </w:p>
    <w:p w14:paraId="2B679623" w14:textId="77777777" w:rsidR="00302BFE" w:rsidRPr="00930BD3" w:rsidRDefault="00302BFE" w:rsidP="00C46720">
      <w:pPr>
        <w:pStyle w:val="Paragraphedeliste"/>
        <w:numPr>
          <w:ilvl w:val="0"/>
          <w:numId w:val="45"/>
        </w:numPr>
        <w:contextualSpacing/>
        <w:rPr>
          <w:rFonts w:ascii="Calibri" w:hAnsi="Calibri"/>
          <w:sz w:val="20"/>
          <w:szCs w:val="20"/>
          <w:lang w:val="en-CA"/>
        </w:rPr>
      </w:pPr>
      <w:r w:rsidRPr="00930BD3">
        <w:rPr>
          <w:rFonts w:ascii="Calibri" w:hAnsi="Calibri"/>
          <w:sz w:val="20"/>
          <w:szCs w:val="20"/>
          <w:lang w:val="en-CA"/>
        </w:rPr>
        <w:t>A representative of the Directorate General of Waters and Forests</w:t>
      </w:r>
    </w:p>
    <w:p w14:paraId="3FF791E9" w14:textId="77777777" w:rsidR="00302BFE" w:rsidRPr="00930BD3" w:rsidRDefault="00302BFE" w:rsidP="00C46720">
      <w:pPr>
        <w:pStyle w:val="Paragraphedeliste"/>
        <w:numPr>
          <w:ilvl w:val="0"/>
          <w:numId w:val="45"/>
        </w:numPr>
        <w:contextualSpacing/>
        <w:rPr>
          <w:rFonts w:ascii="Calibri" w:hAnsi="Calibri"/>
          <w:sz w:val="20"/>
          <w:szCs w:val="20"/>
          <w:lang w:val="en-CA"/>
        </w:rPr>
      </w:pPr>
      <w:r w:rsidRPr="00930BD3">
        <w:rPr>
          <w:rFonts w:ascii="Calibri" w:hAnsi="Calibri"/>
          <w:sz w:val="20"/>
          <w:szCs w:val="20"/>
          <w:lang w:val="en-CA"/>
        </w:rPr>
        <w:t>9 representatives of local authorities representing the pilot communes in the PONASI landscape that are involved in this project</w:t>
      </w:r>
    </w:p>
    <w:p w14:paraId="17A55F47" w14:textId="77777777" w:rsidR="00302BFE" w:rsidRPr="00930BD3" w:rsidRDefault="00302BFE" w:rsidP="00C46720">
      <w:pPr>
        <w:pStyle w:val="Paragraphedeliste"/>
        <w:numPr>
          <w:ilvl w:val="0"/>
          <w:numId w:val="45"/>
        </w:numPr>
        <w:contextualSpacing/>
        <w:rPr>
          <w:rFonts w:ascii="Calibri" w:hAnsi="Calibri"/>
          <w:sz w:val="20"/>
          <w:szCs w:val="20"/>
          <w:lang w:val="en-CA"/>
        </w:rPr>
      </w:pPr>
      <w:r w:rsidRPr="00930BD3">
        <w:rPr>
          <w:rFonts w:ascii="Calibri" w:hAnsi="Calibri"/>
          <w:sz w:val="20"/>
          <w:szCs w:val="20"/>
          <w:lang w:val="en-CA"/>
        </w:rPr>
        <w:t>Three representatives of the regional authorities (Center-South, Center-East and Center-West regions)</w:t>
      </w:r>
    </w:p>
    <w:p w14:paraId="3E44F325" w14:textId="77777777" w:rsidR="00302BFE" w:rsidRPr="00930BD3" w:rsidRDefault="00302BFE" w:rsidP="00302BFE">
      <w:pPr>
        <w:spacing w:after="0"/>
        <w:rPr>
          <w:szCs w:val="20"/>
          <w:lang w:val="en-CA"/>
        </w:rPr>
      </w:pPr>
      <w:r w:rsidRPr="00930BD3">
        <w:rPr>
          <w:szCs w:val="20"/>
          <w:lang w:val="en-CA"/>
        </w:rPr>
        <w:t>As providers :</w:t>
      </w:r>
    </w:p>
    <w:p w14:paraId="7630AFCD" w14:textId="77777777" w:rsidR="00302BFE" w:rsidRPr="00930BD3" w:rsidRDefault="00302BFE" w:rsidP="00C46720">
      <w:pPr>
        <w:pStyle w:val="Paragraphedeliste"/>
        <w:numPr>
          <w:ilvl w:val="0"/>
          <w:numId w:val="45"/>
        </w:numPr>
        <w:contextualSpacing/>
        <w:rPr>
          <w:rFonts w:ascii="Calibri" w:hAnsi="Calibri"/>
          <w:sz w:val="20"/>
          <w:szCs w:val="20"/>
          <w:lang w:val="en-CA"/>
        </w:rPr>
      </w:pPr>
      <w:r w:rsidRPr="00930BD3">
        <w:rPr>
          <w:rFonts w:ascii="Calibri" w:hAnsi="Calibri"/>
          <w:sz w:val="20"/>
          <w:szCs w:val="20"/>
          <w:lang w:val="en-CA"/>
        </w:rPr>
        <w:t>A representative of UNDP Resident Representative</w:t>
      </w:r>
    </w:p>
    <w:p w14:paraId="44D531C0" w14:textId="77777777" w:rsidR="00302BFE" w:rsidRPr="00930BD3" w:rsidRDefault="00302BFE" w:rsidP="00C46720">
      <w:pPr>
        <w:pStyle w:val="Paragraphedeliste"/>
        <w:numPr>
          <w:ilvl w:val="0"/>
          <w:numId w:val="45"/>
        </w:numPr>
        <w:contextualSpacing/>
        <w:rPr>
          <w:rFonts w:ascii="Calibri" w:hAnsi="Calibri"/>
          <w:sz w:val="20"/>
          <w:szCs w:val="20"/>
          <w:lang w:val="en-CA"/>
        </w:rPr>
      </w:pPr>
      <w:r w:rsidRPr="00930BD3">
        <w:rPr>
          <w:rFonts w:ascii="Calibri" w:hAnsi="Calibri"/>
          <w:sz w:val="20"/>
          <w:szCs w:val="20"/>
          <w:lang w:val="en-CA"/>
        </w:rPr>
        <w:t xml:space="preserve">Representatives of partner projects in the intervention zone </w:t>
      </w:r>
    </w:p>
    <w:p w14:paraId="41E26A57" w14:textId="77777777" w:rsidR="00302BFE" w:rsidRPr="00930BD3" w:rsidRDefault="00302BFE" w:rsidP="00302BFE">
      <w:pPr>
        <w:spacing w:after="0"/>
        <w:rPr>
          <w:szCs w:val="20"/>
          <w:lang w:val="en-CA"/>
        </w:rPr>
      </w:pPr>
      <w:r w:rsidRPr="00930BD3">
        <w:rPr>
          <w:szCs w:val="20"/>
          <w:u w:val="single"/>
          <w:lang w:val="en-CA"/>
        </w:rPr>
        <w:t>Observers and resource persons</w:t>
      </w:r>
      <w:r w:rsidRPr="00930BD3">
        <w:rPr>
          <w:szCs w:val="20"/>
          <w:lang w:val="en-CA"/>
        </w:rPr>
        <w:t>:</w:t>
      </w:r>
    </w:p>
    <w:p w14:paraId="26167269" w14:textId="77777777" w:rsidR="00302BFE" w:rsidRPr="00930BD3" w:rsidRDefault="00302BFE" w:rsidP="00C46720">
      <w:pPr>
        <w:pStyle w:val="Paragraphedeliste"/>
        <w:numPr>
          <w:ilvl w:val="0"/>
          <w:numId w:val="45"/>
        </w:numPr>
        <w:contextualSpacing/>
        <w:rPr>
          <w:rFonts w:ascii="Calibri" w:hAnsi="Calibri"/>
          <w:sz w:val="20"/>
          <w:szCs w:val="20"/>
          <w:lang w:val="en-CA"/>
        </w:rPr>
      </w:pPr>
      <w:r w:rsidRPr="00930BD3">
        <w:rPr>
          <w:rFonts w:ascii="Calibri" w:hAnsi="Calibri"/>
          <w:sz w:val="20"/>
          <w:szCs w:val="20"/>
          <w:lang w:val="en-CA"/>
        </w:rPr>
        <w:t>UNDP</w:t>
      </w:r>
    </w:p>
    <w:p w14:paraId="462FE1B6" w14:textId="77777777" w:rsidR="00302BFE" w:rsidRPr="00930BD3" w:rsidRDefault="00302BFE" w:rsidP="00C46720">
      <w:pPr>
        <w:pStyle w:val="Paragraphedeliste"/>
        <w:numPr>
          <w:ilvl w:val="0"/>
          <w:numId w:val="45"/>
        </w:numPr>
        <w:contextualSpacing/>
        <w:rPr>
          <w:rFonts w:ascii="Calibri" w:hAnsi="Calibri"/>
          <w:sz w:val="20"/>
          <w:szCs w:val="20"/>
          <w:lang w:val="en-CA"/>
        </w:rPr>
      </w:pPr>
      <w:r w:rsidRPr="00930BD3">
        <w:rPr>
          <w:rFonts w:ascii="Calibri" w:hAnsi="Calibri"/>
          <w:sz w:val="20"/>
          <w:szCs w:val="20"/>
          <w:lang w:val="en-CA"/>
        </w:rPr>
        <w:t>Technical Ministries</w:t>
      </w:r>
    </w:p>
    <w:p w14:paraId="35F2EC78" w14:textId="77777777" w:rsidR="00302BFE" w:rsidRPr="00930BD3" w:rsidRDefault="00302BFE" w:rsidP="00C46720">
      <w:pPr>
        <w:pStyle w:val="Paragraphedeliste"/>
        <w:numPr>
          <w:ilvl w:val="0"/>
          <w:numId w:val="45"/>
        </w:numPr>
        <w:contextualSpacing/>
        <w:rPr>
          <w:rFonts w:ascii="Calibri" w:hAnsi="Calibri"/>
          <w:sz w:val="20"/>
          <w:szCs w:val="20"/>
          <w:lang w:val="en-CA"/>
        </w:rPr>
      </w:pPr>
      <w:r w:rsidRPr="00930BD3">
        <w:rPr>
          <w:rFonts w:ascii="Calibri" w:hAnsi="Calibri"/>
          <w:sz w:val="20"/>
          <w:szCs w:val="20"/>
          <w:lang w:val="en-CA"/>
        </w:rPr>
        <w:t>Other technical and financial partners</w:t>
      </w:r>
    </w:p>
    <w:p w14:paraId="436679E8" w14:textId="77777777" w:rsidR="00302BFE" w:rsidRPr="00930BD3" w:rsidRDefault="00193614" w:rsidP="00302BFE">
      <w:pPr>
        <w:spacing w:before="120" w:after="120"/>
        <w:rPr>
          <w:szCs w:val="20"/>
          <w:lang w:val="en-CA"/>
        </w:rPr>
      </w:pPr>
      <w:r>
        <w:rPr>
          <w:szCs w:val="20"/>
          <w:lang w:val="en-CA"/>
        </w:rPr>
        <w:t>T</w:t>
      </w:r>
      <w:r w:rsidR="00302BFE" w:rsidRPr="00930BD3">
        <w:rPr>
          <w:szCs w:val="20"/>
          <w:lang w:val="en-CA"/>
        </w:rPr>
        <w:t>he Chairman of the Consultation Framework may, if necessary, invite any other person to the work of the consultation/dialogue framework of the project.</w:t>
      </w:r>
    </w:p>
    <w:p w14:paraId="4D5F899B" w14:textId="77777777" w:rsidR="00302BFE" w:rsidRPr="00930BD3" w:rsidRDefault="00302BFE" w:rsidP="00302BFE">
      <w:pPr>
        <w:spacing w:before="120" w:after="120"/>
        <w:rPr>
          <w:szCs w:val="20"/>
          <w:lang w:val="en-CA"/>
        </w:rPr>
      </w:pPr>
      <w:r w:rsidRPr="00930BD3">
        <w:rPr>
          <w:szCs w:val="20"/>
          <w:u w:val="single"/>
          <w:lang w:val="en-CA"/>
        </w:rPr>
        <w:t>Operation of the Consultation or Dialogue Framework</w:t>
      </w:r>
      <w:r w:rsidRPr="00930BD3">
        <w:rPr>
          <w:szCs w:val="20"/>
          <w:lang w:val="en-CA"/>
        </w:rPr>
        <w:t>: The Chairman of the Dialogue Framework facilitates and coordinates the activities. He/she decides on the agenda of the sessions on proposal of the project supervisor and signs any act relating to the exercise of the missions of the dialogue framework. The Consultation Framework meets twice a year at the invitation of its Chairman</w:t>
      </w:r>
      <w:r w:rsidRPr="00930BD3">
        <w:rPr>
          <w:rFonts w:cs="Calibri"/>
          <w:iCs/>
          <w:noProof/>
          <w:szCs w:val="20"/>
          <w:lang w:eastAsia="zh-CN"/>
        </w:rPr>
        <w:t xml:space="preserve"> to review project progress, approve project work plans and approve major project deliverables</w:t>
      </w:r>
      <w:r w:rsidRPr="00930BD3">
        <w:rPr>
          <w:szCs w:val="20"/>
          <w:lang w:val="en-CA"/>
        </w:rPr>
        <w:t xml:space="preserve">. However, it may meet in special session if </w:t>
      </w:r>
      <w:r w:rsidRPr="00930BD3">
        <w:rPr>
          <w:szCs w:val="20"/>
          <w:lang w:val="en-CA"/>
        </w:rPr>
        <w:lastRenderedPageBreak/>
        <w:t>necessary. The project coordinator is in charge of the secretariat of the Dialogue Framework. The cost of organizing the Dialogue Framework sessions are supported by the project on the contributions from financial partners.</w:t>
      </w:r>
    </w:p>
    <w:p w14:paraId="652ECE5B" w14:textId="77777777" w:rsidR="00302BFE" w:rsidRPr="00930BD3" w:rsidRDefault="00302BFE" w:rsidP="00302BFE">
      <w:pPr>
        <w:spacing w:after="120"/>
        <w:rPr>
          <w:rFonts w:cs="Calibri"/>
          <w:szCs w:val="20"/>
        </w:rPr>
      </w:pPr>
      <w:r w:rsidRPr="00930BD3">
        <w:rPr>
          <w:rFonts w:cs="Calibri"/>
          <w:szCs w:val="20"/>
        </w:rPr>
        <w:t xml:space="preserve">As the Project Board will provide overall guidance to the Project; it will not be expected to deal with day-to-day management and administration of the Project. This will be handled by the Project Manager, in coordination with the Executing Agencies, and under guidance from the Country Office of the Implementing Agency (to ensure conformity with Unite Nations’ requirements). </w:t>
      </w:r>
    </w:p>
    <w:p w14:paraId="4FAF6B19" w14:textId="77777777" w:rsidR="00302BFE" w:rsidRPr="00930BD3" w:rsidRDefault="00302BFE" w:rsidP="00302BFE">
      <w:pPr>
        <w:spacing w:after="120"/>
        <w:rPr>
          <w:rFonts w:cs="Calibri"/>
          <w:szCs w:val="20"/>
        </w:rPr>
      </w:pPr>
      <w:r w:rsidRPr="00930BD3">
        <w:rPr>
          <w:rFonts w:cs="Calibri"/>
          <w:szCs w:val="20"/>
        </w:rPr>
        <w:t xml:space="preserve">The Project Board is especially responsible for evaluation and monitoring of Project outputs and achievements. In its formal meetings, the Project Board will be expected to review the Project work plan and budget expenditure, based on the Project Manager’s report. The Project Consultation/Dialogue Framework should be consulted for supporting any changes to the work plan or budget and is responsible for ensuring that the Project remains on target with respect to its outputs. Where necessary, the Project Consultation/Dialogue Framework will support definition of new targets in coordination with, and approval from, the Implementing/Executing Agencies. </w:t>
      </w:r>
    </w:p>
    <w:p w14:paraId="17AC8975" w14:textId="77777777" w:rsidR="00302BFE" w:rsidRPr="00FF14ED" w:rsidRDefault="00302BFE" w:rsidP="00302BFE">
      <w:pPr>
        <w:spacing w:after="0"/>
        <w:rPr>
          <w:rFonts w:cs="Calibri"/>
          <w:iCs/>
          <w:noProof/>
          <w:szCs w:val="20"/>
          <w:lang w:eastAsia="zh-CN"/>
        </w:rPr>
      </w:pPr>
      <w:r w:rsidRPr="00930BD3">
        <w:rPr>
          <w:rFonts w:cs="Calibri"/>
          <w:iCs/>
          <w:noProof/>
          <w:szCs w:val="20"/>
          <w:lang w:eastAsia="zh-CN"/>
        </w:rPr>
        <w:t>These terms of reference will be finalized during the Project Inception Workshop.</w:t>
      </w:r>
      <w:r w:rsidRPr="00FF14ED">
        <w:rPr>
          <w:rFonts w:cs="Calibri"/>
          <w:iCs/>
          <w:noProof/>
          <w:szCs w:val="20"/>
          <w:lang w:eastAsia="zh-CN"/>
        </w:rPr>
        <w:t xml:space="preserve"> </w:t>
      </w:r>
    </w:p>
    <w:p w14:paraId="51220C25" w14:textId="77777777" w:rsidR="00302BFE" w:rsidRDefault="00302BFE" w:rsidP="00302BFE">
      <w:pPr>
        <w:spacing w:after="0"/>
        <w:rPr>
          <w:rFonts w:cs="Calibri"/>
          <w:b/>
          <w:iCs/>
          <w:noProof/>
          <w:szCs w:val="20"/>
          <w:lang w:eastAsia="zh-CN"/>
        </w:rPr>
      </w:pPr>
    </w:p>
    <w:p w14:paraId="2238BB97" w14:textId="77777777" w:rsidR="00302BFE" w:rsidRPr="00FF14ED" w:rsidRDefault="00302BFE" w:rsidP="00302BFE">
      <w:pPr>
        <w:spacing w:after="0"/>
        <w:rPr>
          <w:rFonts w:cs="Calibri"/>
          <w:b/>
          <w:iCs/>
          <w:noProof/>
          <w:szCs w:val="20"/>
          <w:lang w:eastAsia="zh-CN"/>
        </w:rPr>
      </w:pPr>
      <w:r w:rsidRPr="00FF14ED">
        <w:rPr>
          <w:rFonts w:cs="Calibri"/>
          <w:b/>
          <w:iCs/>
          <w:noProof/>
          <w:szCs w:val="20"/>
          <w:lang w:eastAsia="zh-CN"/>
        </w:rPr>
        <w:t xml:space="preserve">2. Terms of Reference for Key Project Staff </w:t>
      </w:r>
    </w:p>
    <w:p w14:paraId="7AE706B6" w14:textId="77777777" w:rsidR="00302BFE" w:rsidRPr="000D4265" w:rsidRDefault="00302BFE" w:rsidP="00204930">
      <w:pPr>
        <w:spacing w:before="120" w:after="120"/>
        <w:rPr>
          <w:rFonts w:eastAsia="Times New Roman" w:cs="Arial"/>
          <w:b/>
          <w:bCs/>
          <w:color w:val="0055AA"/>
          <w:szCs w:val="20"/>
          <w:lang w:val="en-CA" w:eastAsia="fr-CA"/>
        </w:rPr>
      </w:pPr>
      <w:bookmarkStart w:id="56" w:name="_Toc404634831"/>
      <w:r w:rsidRPr="000D4265">
        <w:rPr>
          <w:rFonts w:eastAsia="Times New Roman" w:cs="Arial"/>
          <w:b/>
          <w:bCs/>
          <w:color w:val="0055AA"/>
          <w:szCs w:val="20"/>
          <w:lang w:val="en-CA" w:eastAsia="fr-CA"/>
        </w:rPr>
        <w:t>Project Manager</w:t>
      </w:r>
      <w:bookmarkEnd w:id="56"/>
      <w:r w:rsidRPr="000D4265">
        <w:rPr>
          <w:rFonts w:eastAsia="Times New Roman" w:cs="Arial"/>
          <w:b/>
          <w:bCs/>
          <w:color w:val="0055AA"/>
          <w:szCs w:val="20"/>
          <w:lang w:val="en-CA" w:eastAsia="fr-CA"/>
        </w:rPr>
        <w:t>/Coordinator</w:t>
      </w:r>
    </w:p>
    <w:p w14:paraId="7BB10261" w14:textId="77777777" w:rsidR="00302BFE" w:rsidRPr="00EB75D4" w:rsidRDefault="00302BFE" w:rsidP="00204930">
      <w:pPr>
        <w:spacing w:before="120" w:after="120"/>
        <w:rPr>
          <w:rFonts w:cs="Arial"/>
          <w:noProof/>
          <w:szCs w:val="20"/>
          <w:lang w:eastAsia="zh-CN"/>
        </w:rPr>
      </w:pPr>
      <w:r w:rsidRPr="00EB75D4">
        <w:rPr>
          <w:rFonts w:cs="Arial"/>
          <w:noProof/>
          <w:szCs w:val="20"/>
          <w:lang w:eastAsia="zh-CN"/>
        </w:rPr>
        <w:t xml:space="preserve">The </w:t>
      </w:r>
      <w:r>
        <w:rPr>
          <w:rFonts w:cs="Arial"/>
          <w:noProof/>
          <w:szCs w:val="20"/>
          <w:lang w:eastAsia="zh-CN"/>
        </w:rPr>
        <w:t xml:space="preserve">National </w:t>
      </w:r>
      <w:r w:rsidRPr="00EB75D4">
        <w:rPr>
          <w:rFonts w:cs="Arial"/>
          <w:noProof/>
          <w:szCs w:val="20"/>
          <w:lang w:eastAsia="zh-CN"/>
        </w:rPr>
        <w:t xml:space="preserve">Project </w:t>
      </w:r>
      <w:r>
        <w:rPr>
          <w:rFonts w:cs="Arial"/>
          <w:noProof/>
          <w:szCs w:val="20"/>
          <w:lang w:eastAsia="zh-CN"/>
        </w:rPr>
        <w:t>Coordinator</w:t>
      </w:r>
      <w:r w:rsidRPr="00EB75D4">
        <w:rPr>
          <w:rFonts w:cs="Arial"/>
          <w:noProof/>
          <w:szCs w:val="20"/>
          <w:lang w:eastAsia="zh-CN"/>
        </w:rPr>
        <w:t xml:space="preserve"> (</w:t>
      </w:r>
      <w:r>
        <w:rPr>
          <w:rFonts w:cs="Arial"/>
          <w:noProof/>
          <w:szCs w:val="20"/>
          <w:lang w:eastAsia="zh-CN"/>
        </w:rPr>
        <w:t>N</w:t>
      </w:r>
      <w:r w:rsidRPr="00EB75D4">
        <w:rPr>
          <w:rFonts w:cs="Arial"/>
          <w:noProof/>
          <w:szCs w:val="20"/>
          <w:lang w:eastAsia="zh-CN"/>
        </w:rPr>
        <w:t>P</w:t>
      </w:r>
      <w:r>
        <w:rPr>
          <w:rFonts w:cs="Arial"/>
          <w:noProof/>
          <w:szCs w:val="20"/>
          <w:lang w:eastAsia="zh-CN"/>
        </w:rPr>
        <w:t>C</w:t>
      </w:r>
      <w:r w:rsidRPr="00EB75D4">
        <w:rPr>
          <w:rFonts w:cs="Arial"/>
          <w:noProof/>
          <w:szCs w:val="20"/>
          <w:lang w:eastAsia="zh-CN"/>
        </w:rPr>
        <w:t xml:space="preserve">), will be locally recruited following UNDP procedure, with input to the selection process from the Project partners. The position will be appointed by the project implementing agencies and funded entirely from the Project. The </w:t>
      </w:r>
      <w:r>
        <w:rPr>
          <w:rFonts w:cs="Arial"/>
          <w:noProof/>
          <w:szCs w:val="20"/>
          <w:lang w:eastAsia="zh-CN"/>
        </w:rPr>
        <w:t>N</w:t>
      </w:r>
      <w:r w:rsidRPr="00EB75D4">
        <w:rPr>
          <w:rFonts w:cs="Arial"/>
          <w:noProof/>
          <w:szCs w:val="20"/>
          <w:lang w:eastAsia="zh-CN"/>
        </w:rPr>
        <w:t>P</w:t>
      </w:r>
      <w:r>
        <w:rPr>
          <w:rFonts w:cs="Arial"/>
          <w:noProof/>
          <w:szCs w:val="20"/>
          <w:lang w:eastAsia="zh-CN"/>
        </w:rPr>
        <w:t>C</w:t>
      </w:r>
      <w:r w:rsidRPr="00EB75D4">
        <w:rPr>
          <w:rFonts w:cs="Arial"/>
          <w:noProof/>
          <w:szCs w:val="20"/>
          <w:lang w:eastAsia="zh-CN"/>
        </w:rPr>
        <w:t xml:space="preserve"> will be responsible for the overall management of the Project, including the mobilisation of all project inputs, supervision over project staff, consultants and sub-contractors. The </w:t>
      </w:r>
      <w:r>
        <w:rPr>
          <w:rFonts w:cs="Arial"/>
          <w:noProof/>
          <w:szCs w:val="20"/>
          <w:lang w:eastAsia="zh-CN"/>
        </w:rPr>
        <w:t>N</w:t>
      </w:r>
      <w:r w:rsidRPr="00EB75D4">
        <w:rPr>
          <w:rFonts w:cs="Arial"/>
          <w:noProof/>
          <w:szCs w:val="20"/>
          <w:lang w:eastAsia="zh-CN"/>
        </w:rPr>
        <w:t>P</w:t>
      </w:r>
      <w:r>
        <w:rPr>
          <w:rFonts w:cs="Arial"/>
          <w:noProof/>
          <w:szCs w:val="20"/>
          <w:lang w:eastAsia="zh-CN"/>
        </w:rPr>
        <w:t>C</w:t>
      </w:r>
      <w:r w:rsidRPr="00EB75D4">
        <w:rPr>
          <w:rFonts w:cs="Arial"/>
          <w:noProof/>
          <w:szCs w:val="20"/>
          <w:lang w:eastAsia="zh-CN"/>
        </w:rPr>
        <w:t xml:space="preserve"> will report to the </w:t>
      </w:r>
      <w:r w:rsidRPr="00F30C23">
        <w:rPr>
          <w:rFonts w:cs="Arial"/>
          <w:noProof/>
          <w:szCs w:val="20"/>
          <w:lang w:eastAsia="zh-CN"/>
        </w:rPr>
        <w:t>PD</w:t>
      </w:r>
      <w:r w:rsidRPr="00EB75D4">
        <w:rPr>
          <w:rFonts w:cs="Arial"/>
          <w:noProof/>
          <w:szCs w:val="20"/>
          <w:lang w:eastAsia="zh-CN"/>
        </w:rPr>
        <w:t xml:space="preserve"> in close consultation with the assigned UNDP Programme Manager for all of the Project’s substantive and administrative issues. From the strategic point of view of the Project, the PM will report on a periodic basis to the </w:t>
      </w:r>
      <w:r>
        <w:rPr>
          <w:rFonts w:cs="Arial"/>
          <w:noProof/>
          <w:szCs w:val="20"/>
          <w:lang w:eastAsia="zh-CN"/>
        </w:rPr>
        <w:t>Project Consultation/Dialogue Framework</w:t>
      </w:r>
      <w:r w:rsidRPr="00EB75D4">
        <w:rPr>
          <w:rFonts w:cs="Arial"/>
          <w:noProof/>
          <w:szCs w:val="20"/>
          <w:lang w:eastAsia="zh-CN"/>
        </w:rPr>
        <w:t xml:space="preserve">, based on the PD’s instruction. Generally, the </w:t>
      </w:r>
      <w:r>
        <w:rPr>
          <w:rFonts w:cs="Arial"/>
          <w:noProof/>
          <w:szCs w:val="20"/>
          <w:lang w:eastAsia="zh-CN"/>
        </w:rPr>
        <w:t>N</w:t>
      </w:r>
      <w:r w:rsidRPr="00EB75D4">
        <w:rPr>
          <w:rFonts w:cs="Arial"/>
          <w:noProof/>
          <w:szCs w:val="20"/>
          <w:lang w:eastAsia="zh-CN"/>
        </w:rPr>
        <w:t>P</w:t>
      </w:r>
      <w:r>
        <w:rPr>
          <w:rFonts w:cs="Arial"/>
          <w:noProof/>
          <w:szCs w:val="20"/>
          <w:lang w:eastAsia="zh-CN"/>
        </w:rPr>
        <w:t>C</w:t>
      </w:r>
      <w:r w:rsidRPr="00EB75D4">
        <w:rPr>
          <w:rFonts w:cs="Arial"/>
          <w:noProof/>
          <w:szCs w:val="20"/>
          <w:lang w:eastAsia="zh-CN"/>
        </w:rPr>
        <w:t xml:space="preserve"> will support the </w:t>
      </w:r>
      <w:r w:rsidRPr="00F30C23">
        <w:rPr>
          <w:rFonts w:cs="Arial"/>
          <w:noProof/>
          <w:szCs w:val="20"/>
          <w:lang w:eastAsia="zh-CN"/>
        </w:rPr>
        <w:t>PD</w:t>
      </w:r>
      <w:r w:rsidRPr="00EB75D4">
        <w:rPr>
          <w:rFonts w:cs="Arial"/>
          <w:noProof/>
          <w:szCs w:val="20"/>
          <w:lang w:eastAsia="zh-CN"/>
        </w:rPr>
        <w:t xml:space="preserve"> who will be responsible for meeting government obligations under the Project, under the NIM execution modality. The </w:t>
      </w:r>
      <w:r>
        <w:rPr>
          <w:rFonts w:cs="Arial"/>
          <w:noProof/>
          <w:szCs w:val="20"/>
          <w:lang w:eastAsia="zh-CN"/>
        </w:rPr>
        <w:t>N</w:t>
      </w:r>
      <w:r w:rsidRPr="00EB75D4">
        <w:rPr>
          <w:rFonts w:cs="Arial"/>
          <w:noProof/>
          <w:szCs w:val="20"/>
          <w:lang w:eastAsia="zh-CN"/>
        </w:rPr>
        <w:t>P</w:t>
      </w:r>
      <w:r>
        <w:rPr>
          <w:rFonts w:cs="Arial"/>
          <w:noProof/>
          <w:szCs w:val="20"/>
          <w:lang w:eastAsia="zh-CN"/>
        </w:rPr>
        <w:t>C</w:t>
      </w:r>
      <w:r w:rsidRPr="00EB75D4">
        <w:rPr>
          <w:rFonts w:cs="Arial"/>
          <w:noProof/>
          <w:szCs w:val="20"/>
          <w:lang w:eastAsia="zh-CN"/>
        </w:rPr>
        <w:t xml:space="preserve"> will perform a liaison role with the government, UNDP and other UN agencies, CSOs and project partners, and maintain close collaboration with other donor agencies providing co-financing. </w:t>
      </w:r>
    </w:p>
    <w:p w14:paraId="523A16A1" w14:textId="77777777" w:rsidR="00302BFE" w:rsidRPr="00EB75D4" w:rsidRDefault="00302BFE" w:rsidP="00302BFE">
      <w:pPr>
        <w:spacing w:after="0"/>
        <w:rPr>
          <w:rFonts w:cs="Arial"/>
          <w:noProof/>
          <w:szCs w:val="20"/>
          <w:u w:val="single"/>
          <w:lang w:eastAsia="zh-CN"/>
        </w:rPr>
      </w:pPr>
      <w:r w:rsidRPr="00EB75D4">
        <w:rPr>
          <w:rFonts w:cs="Arial"/>
          <w:noProof/>
          <w:szCs w:val="20"/>
          <w:u w:val="single"/>
          <w:lang w:eastAsia="zh-CN"/>
        </w:rPr>
        <w:t>Duties and Responsibilities</w:t>
      </w:r>
    </w:p>
    <w:p w14:paraId="198311BB" w14:textId="77777777" w:rsidR="00302BFE" w:rsidRPr="00EB75D4" w:rsidRDefault="00302BFE" w:rsidP="00C46720">
      <w:pPr>
        <w:numPr>
          <w:ilvl w:val="0"/>
          <w:numId w:val="59"/>
        </w:numPr>
        <w:spacing w:after="0"/>
        <w:ind w:left="284" w:hanging="294"/>
        <w:rPr>
          <w:rFonts w:cs="Arial"/>
          <w:noProof/>
          <w:szCs w:val="20"/>
          <w:lang w:eastAsia="zh-CN"/>
        </w:rPr>
      </w:pPr>
      <w:r w:rsidRPr="00EB75D4">
        <w:rPr>
          <w:rFonts w:cs="Arial"/>
          <w:noProof/>
          <w:szCs w:val="20"/>
          <w:lang w:eastAsia="zh-CN"/>
        </w:rPr>
        <w:t>Plan the activities of the project and monitor progress against the approved work-plan.</w:t>
      </w:r>
    </w:p>
    <w:p w14:paraId="544BF458" w14:textId="77777777" w:rsidR="00302BFE" w:rsidRPr="00EB75D4" w:rsidRDefault="00302BFE" w:rsidP="00C46720">
      <w:pPr>
        <w:numPr>
          <w:ilvl w:val="0"/>
          <w:numId w:val="59"/>
        </w:numPr>
        <w:spacing w:after="0"/>
        <w:ind w:left="284" w:hanging="294"/>
        <w:rPr>
          <w:rFonts w:cs="Arial"/>
          <w:noProof/>
          <w:szCs w:val="20"/>
          <w:lang w:eastAsia="zh-CN"/>
        </w:rPr>
      </w:pPr>
      <w:r w:rsidRPr="00EB75D4">
        <w:rPr>
          <w:rFonts w:cs="Arial"/>
          <w:noProof/>
          <w:szCs w:val="20"/>
          <w:lang w:eastAsia="zh-CN"/>
        </w:rPr>
        <w:t>Supervise and coordinate the production of project outputs, as per the project document in a timely and high quality fashion.</w:t>
      </w:r>
    </w:p>
    <w:p w14:paraId="00E9C3C4" w14:textId="77777777" w:rsidR="00302BFE" w:rsidRPr="00EB75D4" w:rsidRDefault="00302BFE" w:rsidP="00C46720">
      <w:pPr>
        <w:numPr>
          <w:ilvl w:val="0"/>
          <w:numId w:val="59"/>
        </w:numPr>
        <w:spacing w:after="0"/>
        <w:ind w:left="284" w:hanging="294"/>
        <w:rPr>
          <w:rFonts w:cs="Arial"/>
          <w:noProof/>
          <w:szCs w:val="20"/>
          <w:lang w:eastAsia="zh-CN"/>
        </w:rPr>
      </w:pPr>
      <w:r w:rsidRPr="00EB75D4">
        <w:rPr>
          <w:rFonts w:cs="Arial"/>
          <w:noProof/>
          <w:szCs w:val="20"/>
          <w:lang w:eastAsia="zh-CN"/>
        </w:rPr>
        <w:t>Coordinate all project inputs and ensure that they are adhere to UNDP procedures for nationally executed projects.</w:t>
      </w:r>
    </w:p>
    <w:p w14:paraId="2307E9FB" w14:textId="77777777" w:rsidR="00302BFE" w:rsidRPr="00EB75D4" w:rsidRDefault="00302BFE" w:rsidP="00C46720">
      <w:pPr>
        <w:numPr>
          <w:ilvl w:val="0"/>
          <w:numId w:val="59"/>
        </w:numPr>
        <w:spacing w:after="0"/>
        <w:ind w:left="284" w:hanging="294"/>
        <w:rPr>
          <w:rFonts w:cs="Arial"/>
          <w:noProof/>
          <w:szCs w:val="20"/>
          <w:lang w:eastAsia="zh-CN"/>
        </w:rPr>
      </w:pPr>
      <w:r w:rsidRPr="00EB75D4">
        <w:rPr>
          <w:rFonts w:cs="Arial"/>
          <w:noProof/>
          <w:szCs w:val="20"/>
          <w:lang w:eastAsia="zh-CN"/>
        </w:rPr>
        <w:t>Supervise and coordinate the work of all project staff, consultants and sub-contractors ensuring timing and quality of outputs.</w:t>
      </w:r>
    </w:p>
    <w:p w14:paraId="01A8095F" w14:textId="77777777" w:rsidR="00302BFE" w:rsidRPr="00EB75D4" w:rsidRDefault="00302BFE" w:rsidP="00C46720">
      <w:pPr>
        <w:numPr>
          <w:ilvl w:val="0"/>
          <w:numId w:val="59"/>
        </w:numPr>
        <w:spacing w:after="0"/>
        <w:ind w:left="284" w:hanging="294"/>
        <w:rPr>
          <w:rFonts w:cs="Arial"/>
          <w:noProof/>
          <w:szCs w:val="20"/>
          <w:lang w:eastAsia="zh-CN"/>
        </w:rPr>
      </w:pPr>
      <w:r w:rsidRPr="00EB75D4">
        <w:rPr>
          <w:rFonts w:cs="Arial"/>
          <w:noProof/>
          <w:szCs w:val="20"/>
          <w:lang w:eastAsia="zh-CN"/>
        </w:rPr>
        <w:t>Coordinate the recruitment and selection of project personnel, consultants and sub-contracts, including drafting terms of reference and work specifications and overseeing all contractors’ work.</w:t>
      </w:r>
    </w:p>
    <w:p w14:paraId="267C2F8F" w14:textId="77777777" w:rsidR="00302BFE" w:rsidRPr="00EB75D4" w:rsidRDefault="00302BFE" w:rsidP="00C46720">
      <w:pPr>
        <w:numPr>
          <w:ilvl w:val="0"/>
          <w:numId w:val="59"/>
        </w:numPr>
        <w:spacing w:after="0"/>
        <w:ind w:left="284" w:hanging="294"/>
        <w:rPr>
          <w:rFonts w:cs="Arial"/>
          <w:noProof/>
          <w:szCs w:val="20"/>
          <w:lang w:eastAsia="zh-CN"/>
        </w:rPr>
      </w:pPr>
      <w:r w:rsidRPr="00EB75D4">
        <w:rPr>
          <w:rFonts w:cs="Arial"/>
          <w:noProof/>
          <w:szCs w:val="20"/>
          <w:lang w:eastAsia="zh-CN"/>
        </w:rPr>
        <w:t>Manage requests for the provision of financial resources by UNDP, through advance of funds, direct payments, or reimbursement using the UNDP provided format.</w:t>
      </w:r>
    </w:p>
    <w:p w14:paraId="053938F7" w14:textId="77777777" w:rsidR="00302BFE" w:rsidRPr="00EB75D4" w:rsidRDefault="00302BFE" w:rsidP="00C46720">
      <w:pPr>
        <w:numPr>
          <w:ilvl w:val="0"/>
          <w:numId w:val="59"/>
        </w:numPr>
        <w:spacing w:after="0"/>
        <w:ind w:left="284" w:hanging="294"/>
        <w:rPr>
          <w:rFonts w:cs="Arial"/>
          <w:noProof/>
          <w:szCs w:val="20"/>
          <w:lang w:eastAsia="zh-CN"/>
        </w:rPr>
      </w:pPr>
      <w:r w:rsidRPr="00EB75D4">
        <w:rPr>
          <w:rFonts w:cs="Arial"/>
          <w:noProof/>
          <w:szCs w:val="20"/>
          <w:lang w:eastAsia="zh-CN"/>
        </w:rPr>
        <w:t xml:space="preserve">Prepare, revise and submit project work and financial plans, as required by </w:t>
      </w:r>
      <w:r>
        <w:rPr>
          <w:rFonts w:cs="Arial"/>
          <w:noProof/>
          <w:szCs w:val="20"/>
          <w:lang w:eastAsia="zh-CN"/>
        </w:rPr>
        <w:t>Project Consultation/Dialogue Framework</w:t>
      </w:r>
      <w:r w:rsidRPr="00EB75D4">
        <w:rPr>
          <w:rFonts w:cs="Arial"/>
          <w:noProof/>
          <w:szCs w:val="20"/>
          <w:lang w:eastAsia="zh-CN"/>
        </w:rPr>
        <w:t xml:space="preserve"> and UNDP. </w:t>
      </w:r>
    </w:p>
    <w:p w14:paraId="7F4AFEF1" w14:textId="77777777" w:rsidR="00302BFE" w:rsidRPr="00EB75D4" w:rsidRDefault="00302BFE" w:rsidP="00C46720">
      <w:pPr>
        <w:numPr>
          <w:ilvl w:val="0"/>
          <w:numId w:val="59"/>
        </w:numPr>
        <w:spacing w:after="0"/>
        <w:ind w:left="284" w:hanging="294"/>
        <w:rPr>
          <w:rFonts w:cs="Arial"/>
          <w:noProof/>
          <w:szCs w:val="20"/>
          <w:lang w:eastAsia="zh-CN"/>
        </w:rPr>
      </w:pPr>
      <w:r w:rsidRPr="00EB75D4">
        <w:rPr>
          <w:rFonts w:cs="Arial"/>
          <w:noProof/>
          <w:szCs w:val="20"/>
          <w:lang w:eastAsia="zh-CN"/>
        </w:rPr>
        <w:t>Monitor financial resources and accounting to ensure accuracy and reliability of financial reports, submitted on a quarterly basis.</w:t>
      </w:r>
    </w:p>
    <w:p w14:paraId="7B2371FC" w14:textId="77777777" w:rsidR="00302BFE" w:rsidRPr="00EB75D4" w:rsidRDefault="00302BFE" w:rsidP="00C46720">
      <w:pPr>
        <w:numPr>
          <w:ilvl w:val="0"/>
          <w:numId w:val="59"/>
        </w:numPr>
        <w:spacing w:after="0"/>
        <w:ind w:left="284" w:hanging="294"/>
        <w:rPr>
          <w:rFonts w:cs="Arial"/>
          <w:noProof/>
          <w:szCs w:val="20"/>
          <w:lang w:eastAsia="zh-CN"/>
        </w:rPr>
      </w:pPr>
      <w:r w:rsidRPr="00EB75D4">
        <w:rPr>
          <w:rFonts w:cs="Arial"/>
          <w:noProof/>
          <w:szCs w:val="20"/>
          <w:lang w:eastAsia="zh-CN"/>
        </w:rPr>
        <w:t xml:space="preserve">Manage and monitor the project risks initially identified and submit new risks to the </w:t>
      </w:r>
      <w:r>
        <w:rPr>
          <w:rFonts w:cs="Arial"/>
          <w:noProof/>
          <w:szCs w:val="20"/>
          <w:lang w:eastAsia="zh-CN"/>
        </w:rPr>
        <w:t>Project Consultation/Dialogue Framework</w:t>
      </w:r>
      <w:r w:rsidRPr="00EB75D4">
        <w:rPr>
          <w:rFonts w:cs="Arial"/>
          <w:noProof/>
          <w:szCs w:val="20"/>
          <w:lang w:eastAsia="zh-CN"/>
        </w:rPr>
        <w:t xml:space="preserve"> for consideration and decision on possible actions if required; update the status of these risks by maintaining the project risks log.</w:t>
      </w:r>
    </w:p>
    <w:p w14:paraId="19D8DC4A" w14:textId="77777777" w:rsidR="00302BFE" w:rsidRPr="00EB75D4" w:rsidRDefault="00302BFE" w:rsidP="00C46720">
      <w:pPr>
        <w:numPr>
          <w:ilvl w:val="0"/>
          <w:numId w:val="59"/>
        </w:numPr>
        <w:spacing w:after="0"/>
        <w:ind w:left="284" w:hanging="294"/>
        <w:rPr>
          <w:rFonts w:cs="Arial"/>
          <w:noProof/>
          <w:szCs w:val="20"/>
          <w:lang w:eastAsia="zh-CN"/>
        </w:rPr>
      </w:pPr>
      <w:r w:rsidRPr="00EB75D4">
        <w:rPr>
          <w:rFonts w:cs="Arial"/>
          <w:noProof/>
          <w:szCs w:val="20"/>
          <w:lang w:eastAsia="zh-CN"/>
        </w:rPr>
        <w:t xml:space="preserve">Liaise with UNDP, </w:t>
      </w:r>
      <w:r>
        <w:rPr>
          <w:rFonts w:cs="Arial"/>
          <w:noProof/>
          <w:szCs w:val="20"/>
          <w:lang w:eastAsia="zh-CN"/>
        </w:rPr>
        <w:t>Project Consultation/Dialogue Framework</w:t>
      </w:r>
      <w:r w:rsidRPr="00EB75D4">
        <w:rPr>
          <w:rFonts w:cs="Arial"/>
          <w:noProof/>
          <w:szCs w:val="20"/>
          <w:lang w:eastAsia="zh-CN"/>
        </w:rPr>
        <w:t>, relevant government agencies, and all project partners, including donor organisations and CSOs for effective coordination of all project activities.</w:t>
      </w:r>
    </w:p>
    <w:p w14:paraId="2F87D395" w14:textId="77777777" w:rsidR="00302BFE" w:rsidRPr="00EB75D4" w:rsidRDefault="00302BFE" w:rsidP="00C46720">
      <w:pPr>
        <w:numPr>
          <w:ilvl w:val="0"/>
          <w:numId w:val="59"/>
        </w:numPr>
        <w:spacing w:after="0"/>
        <w:ind w:left="284" w:hanging="294"/>
        <w:rPr>
          <w:rFonts w:cs="Arial"/>
          <w:noProof/>
          <w:szCs w:val="20"/>
          <w:lang w:eastAsia="zh-CN"/>
        </w:rPr>
      </w:pPr>
      <w:r w:rsidRPr="00EB75D4">
        <w:rPr>
          <w:rFonts w:cs="Arial"/>
          <w:noProof/>
          <w:szCs w:val="20"/>
          <w:lang w:eastAsia="zh-CN"/>
        </w:rPr>
        <w:t>Facilitate administrative support to subcontractors and training activities supported by the Project.</w:t>
      </w:r>
    </w:p>
    <w:p w14:paraId="08CCC6A9" w14:textId="77777777" w:rsidR="00302BFE" w:rsidRPr="00EB75D4" w:rsidRDefault="00302BFE" w:rsidP="00C46720">
      <w:pPr>
        <w:numPr>
          <w:ilvl w:val="0"/>
          <w:numId w:val="59"/>
        </w:numPr>
        <w:spacing w:after="0"/>
        <w:ind w:left="284" w:hanging="294"/>
        <w:rPr>
          <w:rFonts w:cs="Arial"/>
          <w:noProof/>
          <w:szCs w:val="20"/>
          <w:lang w:eastAsia="zh-CN"/>
        </w:rPr>
      </w:pPr>
      <w:r w:rsidRPr="00EB75D4">
        <w:rPr>
          <w:rFonts w:cs="Arial"/>
          <w:noProof/>
          <w:szCs w:val="20"/>
          <w:lang w:eastAsia="zh-CN"/>
        </w:rPr>
        <w:t>Oversee and ensure timely submission of the Inception Report, Project Implementation Report, Technical reports, quarterly financial reports, and other reports as may be required by UNDP, GEF and other oversight agencies.</w:t>
      </w:r>
    </w:p>
    <w:p w14:paraId="32EDF878" w14:textId="77777777" w:rsidR="00302BFE" w:rsidRPr="00EB75D4" w:rsidRDefault="00302BFE" w:rsidP="00C46720">
      <w:pPr>
        <w:numPr>
          <w:ilvl w:val="0"/>
          <w:numId w:val="59"/>
        </w:numPr>
        <w:spacing w:after="0"/>
        <w:ind w:left="284" w:hanging="294"/>
        <w:rPr>
          <w:rFonts w:cs="Arial"/>
          <w:noProof/>
          <w:szCs w:val="20"/>
          <w:lang w:eastAsia="zh-CN"/>
        </w:rPr>
      </w:pPr>
      <w:r w:rsidRPr="00EB75D4">
        <w:rPr>
          <w:rFonts w:cs="Arial"/>
          <w:noProof/>
          <w:szCs w:val="20"/>
          <w:lang w:eastAsia="zh-CN"/>
        </w:rPr>
        <w:t>Disseminate project reports and respond to queries from concerned stakeholders.</w:t>
      </w:r>
    </w:p>
    <w:p w14:paraId="6E61DA79" w14:textId="77777777" w:rsidR="00302BFE" w:rsidRPr="00EB75D4" w:rsidRDefault="00302BFE" w:rsidP="00C46720">
      <w:pPr>
        <w:numPr>
          <w:ilvl w:val="0"/>
          <w:numId w:val="59"/>
        </w:numPr>
        <w:spacing w:after="0"/>
        <w:ind w:left="284" w:hanging="294"/>
        <w:rPr>
          <w:rFonts w:cs="Arial"/>
          <w:noProof/>
          <w:szCs w:val="20"/>
          <w:lang w:eastAsia="zh-CN"/>
        </w:rPr>
      </w:pPr>
      <w:r w:rsidRPr="00EB75D4">
        <w:rPr>
          <w:rFonts w:cs="Arial"/>
          <w:noProof/>
          <w:szCs w:val="20"/>
          <w:lang w:eastAsia="zh-CN"/>
        </w:rPr>
        <w:t>Report progress of project to the steering committees, and ensure the fulfilment of PSC directives.</w:t>
      </w:r>
    </w:p>
    <w:p w14:paraId="3B074DB7" w14:textId="77777777" w:rsidR="00302BFE" w:rsidRPr="00EB75D4" w:rsidRDefault="00302BFE" w:rsidP="00C46720">
      <w:pPr>
        <w:numPr>
          <w:ilvl w:val="0"/>
          <w:numId w:val="59"/>
        </w:numPr>
        <w:spacing w:after="0"/>
        <w:ind w:left="284" w:hanging="294"/>
        <w:rPr>
          <w:rFonts w:cs="Arial"/>
          <w:noProof/>
          <w:szCs w:val="20"/>
          <w:lang w:eastAsia="zh-CN"/>
        </w:rPr>
      </w:pPr>
      <w:r w:rsidRPr="00EB75D4">
        <w:rPr>
          <w:rFonts w:cs="Arial"/>
          <w:noProof/>
          <w:szCs w:val="20"/>
          <w:lang w:eastAsia="zh-CN"/>
        </w:rPr>
        <w:t>Oversee the exchange and sharing of experiences and lessons learned with relevant community based integrated conservation and development projects nationally and internationally.</w:t>
      </w:r>
    </w:p>
    <w:p w14:paraId="223D45C4" w14:textId="77777777" w:rsidR="00302BFE" w:rsidRPr="00EB75D4" w:rsidRDefault="00302BFE" w:rsidP="00C46720">
      <w:pPr>
        <w:numPr>
          <w:ilvl w:val="0"/>
          <w:numId w:val="59"/>
        </w:numPr>
        <w:spacing w:after="0"/>
        <w:ind w:left="284" w:hanging="294"/>
        <w:rPr>
          <w:rFonts w:cs="Arial"/>
          <w:noProof/>
          <w:szCs w:val="20"/>
          <w:lang w:eastAsia="zh-CN"/>
        </w:rPr>
      </w:pPr>
      <w:r w:rsidRPr="00EB75D4">
        <w:rPr>
          <w:rFonts w:cs="Arial"/>
          <w:noProof/>
          <w:szCs w:val="20"/>
          <w:lang w:eastAsia="zh-CN"/>
        </w:rPr>
        <w:t xml:space="preserve">Assist community groups, </w:t>
      </w:r>
      <w:r w:rsidR="009363D6">
        <w:rPr>
          <w:rFonts w:cs="Arial"/>
          <w:noProof/>
          <w:szCs w:val="20"/>
          <w:lang w:eastAsia="zh-CN"/>
        </w:rPr>
        <w:t>communes</w:t>
      </w:r>
      <w:r w:rsidRPr="00EB75D4">
        <w:rPr>
          <w:rFonts w:cs="Arial"/>
          <w:noProof/>
          <w:szCs w:val="20"/>
          <w:lang w:eastAsia="zh-CN"/>
        </w:rPr>
        <w:t>, CSOs, staff, and others with development of essential skills through training workshops and on the job training thereby increasing their institutional capabilities.</w:t>
      </w:r>
    </w:p>
    <w:p w14:paraId="23AA3357" w14:textId="77777777" w:rsidR="00302BFE" w:rsidRPr="00EB75D4" w:rsidRDefault="00302BFE" w:rsidP="00C46720">
      <w:pPr>
        <w:numPr>
          <w:ilvl w:val="0"/>
          <w:numId w:val="59"/>
        </w:numPr>
        <w:spacing w:after="0"/>
        <w:ind w:left="284" w:hanging="294"/>
        <w:rPr>
          <w:rFonts w:cs="Arial"/>
          <w:noProof/>
          <w:szCs w:val="20"/>
          <w:lang w:eastAsia="zh-CN"/>
        </w:rPr>
      </w:pPr>
      <w:r w:rsidRPr="00EB75D4">
        <w:rPr>
          <w:rFonts w:cs="Arial"/>
          <w:noProof/>
          <w:szCs w:val="20"/>
          <w:lang w:eastAsia="zh-CN"/>
        </w:rPr>
        <w:t>Encourage staff, partners and consultants such that strategic, intentional and demonstrable efforts are made to actively include women in the project, including activity design and planning, budgeting, staff and consultant hiring, subcontracting, purchasing, formal community governance and advocacy, outreach to social organizations, training, participation in meetings; and access to program benefits.</w:t>
      </w:r>
    </w:p>
    <w:p w14:paraId="538060DA" w14:textId="77777777" w:rsidR="00302BFE" w:rsidRPr="00EB75D4" w:rsidRDefault="00302BFE" w:rsidP="00C46720">
      <w:pPr>
        <w:numPr>
          <w:ilvl w:val="0"/>
          <w:numId w:val="59"/>
        </w:numPr>
        <w:spacing w:after="0"/>
        <w:ind w:left="284" w:hanging="294"/>
        <w:rPr>
          <w:rFonts w:cs="Arial"/>
          <w:noProof/>
          <w:szCs w:val="20"/>
          <w:lang w:eastAsia="zh-CN"/>
        </w:rPr>
      </w:pPr>
      <w:r w:rsidRPr="00EB75D4">
        <w:rPr>
          <w:rFonts w:cs="Arial"/>
          <w:noProof/>
          <w:szCs w:val="20"/>
          <w:lang w:eastAsia="zh-CN"/>
        </w:rPr>
        <w:t>Assists and advises the Project Implementation Units responsible for activity implementation in the target sites.</w:t>
      </w:r>
    </w:p>
    <w:p w14:paraId="7F1079A3" w14:textId="77777777" w:rsidR="00302BFE" w:rsidRPr="00EB75D4" w:rsidRDefault="00302BFE" w:rsidP="00C46720">
      <w:pPr>
        <w:numPr>
          <w:ilvl w:val="0"/>
          <w:numId w:val="59"/>
        </w:numPr>
        <w:spacing w:after="0"/>
        <w:ind w:left="284" w:hanging="294"/>
        <w:rPr>
          <w:rFonts w:cs="Arial"/>
          <w:noProof/>
          <w:szCs w:val="20"/>
          <w:lang w:eastAsia="zh-CN"/>
        </w:rPr>
      </w:pPr>
      <w:r w:rsidRPr="00EB75D4">
        <w:rPr>
          <w:rFonts w:cs="Arial"/>
          <w:noProof/>
          <w:szCs w:val="20"/>
          <w:lang w:eastAsia="zh-CN"/>
        </w:rPr>
        <w:lastRenderedPageBreak/>
        <w:t>Carry regular, announced and unannounced inspections of all sites and the activities of the Project Implementation Units.</w:t>
      </w:r>
    </w:p>
    <w:p w14:paraId="38A645F3" w14:textId="77777777" w:rsidR="00302BFE" w:rsidRPr="00EB75D4" w:rsidRDefault="00302BFE" w:rsidP="00204930">
      <w:pPr>
        <w:spacing w:before="120" w:after="0"/>
        <w:rPr>
          <w:rFonts w:cs="Arial"/>
          <w:noProof/>
          <w:szCs w:val="20"/>
          <w:u w:val="single"/>
          <w:lang w:eastAsia="zh-CN"/>
        </w:rPr>
      </w:pPr>
      <w:r w:rsidRPr="00EB75D4">
        <w:rPr>
          <w:rFonts w:cs="Arial"/>
          <w:noProof/>
          <w:szCs w:val="20"/>
          <w:u w:val="single"/>
          <w:lang w:eastAsia="zh-CN"/>
        </w:rPr>
        <w:t xml:space="preserve">Required skills and expertise </w:t>
      </w:r>
    </w:p>
    <w:p w14:paraId="5DD64468" w14:textId="77777777" w:rsidR="00302BFE" w:rsidRPr="00EB75D4" w:rsidRDefault="00302BFE" w:rsidP="00C46720">
      <w:pPr>
        <w:numPr>
          <w:ilvl w:val="0"/>
          <w:numId w:val="59"/>
        </w:numPr>
        <w:spacing w:after="0"/>
        <w:ind w:left="284" w:hanging="294"/>
        <w:rPr>
          <w:rFonts w:cs="Arial"/>
          <w:noProof/>
          <w:szCs w:val="20"/>
          <w:lang w:eastAsia="zh-CN"/>
        </w:rPr>
      </w:pPr>
      <w:r w:rsidRPr="00EB75D4">
        <w:rPr>
          <w:rFonts w:cs="Arial"/>
          <w:noProof/>
          <w:szCs w:val="20"/>
          <w:lang w:eastAsia="zh-CN"/>
        </w:rPr>
        <w:t>A university degree (MSc or PhD) in a subject related to natural resource management or environmental sciences.</w:t>
      </w:r>
    </w:p>
    <w:p w14:paraId="000B2E6A" w14:textId="77777777" w:rsidR="00302BFE" w:rsidRPr="00EB75D4" w:rsidRDefault="00302BFE" w:rsidP="00C46720">
      <w:pPr>
        <w:numPr>
          <w:ilvl w:val="0"/>
          <w:numId w:val="59"/>
        </w:numPr>
        <w:spacing w:after="0"/>
        <w:ind w:left="284" w:hanging="294"/>
        <w:rPr>
          <w:rFonts w:cs="Arial"/>
          <w:noProof/>
          <w:szCs w:val="20"/>
          <w:lang w:eastAsia="zh-CN"/>
        </w:rPr>
      </w:pPr>
      <w:r w:rsidRPr="00EB75D4">
        <w:rPr>
          <w:rFonts w:cs="Arial"/>
          <w:noProof/>
          <w:szCs w:val="20"/>
          <w:lang w:eastAsia="zh-CN"/>
        </w:rPr>
        <w:t>At least 10 years of experience in environmental business and/or natural resource planning and management (preferably in the context of protected area and biodiversity planning and management, wildlife conservation and law enforcement).</w:t>
      </w:r>
    </w:p>
    <w:p w14:paraId="480049CF" w14:textId="77777777" w:rsidR="00302BFE" w:rsidRPr="00EB75D4" w:rsidRDefault="00302BFE" w:rsidP="00C46720">
      <w:pPr>
        <w:numPr>
          <w:ilvl w:val="0"/>
          <w:numId w:val="59"/>
        </w:numPr>
        <w:spacing w:after="0"/>
        <w:ind w:left="284" w:hanging="294"/>
        <w:rPr>
          <w:rFonts w:cs="Arial"/>
          <w:noProof/>
          <w:szCs w:val="20"/>
          <w:lang w:eastAsia="zh-CN"/>
        </w:rPr>
      </w:pPr>
      <w:r w:rsidRPr="00EB75D4">
        <w:rPr>
          <w:rFonts w:cs="Arial"/>
          <w:noProof/>
          <w:szCs w:val="20"/>
          <w:lang w:eastAsia="zh-CN"/>
        </w:rPr>
        <w:t>At least 5 years of demonstrable project/programme management experience.</w:t>
      </w:r>
    </w:p>
    <w:p w14:paraId="4E1C77F8" w14:textId="77777777" w:rsidR="00302BFE" w:rsidRPr="00EB75D4" w:rsidRDefault="00302BFE" w:rsidP="00C46720">
      <w:pPr>
        <w:numPr>
          <w:ilvl w:val="0"/>
          <w:numId w:val="59"/>
        </w:numPr>
        <w:spacing w:after="0"/>
        <w:ind w:left="284" w:hanging="294"/>
        <w:rPr>
          <w:rFonts w:cs="Arial"/>
          <w:noProof/>
          <w:szCs w:val="20"/>
          <w:lang w:eastAsia="zh-CN"/>
        </w:rPr>
      </w:pPr>
      <w:r w:rsidRPr="00EB75D4">
        <w:rPr>
          <w:rFonts w:cs="Arial"/>
          <w:noProof/>
          <w:szCs w:val="20"/>
          <w:lang w:eastAsia="zh-CN"/>
        </w:rPr>
        <w:t>At least 5 years of experience working with ministries, national or provincial institutions that are concerned with natural resource and/or environmental management.</w:t>
      </w:r>
    </w:p>
    <w:p w14:paraId="0CA5AA1C" w14:textId="77777777" w:rsidR="00302BFE" w:rsidRPr="00EB75D4" w:rsidRDefault="00302BFE" w:rsidP="000D4265">
      <w:pPr>
        <w:spacing w:before="120" w:after="0"/>
        <w:rPr>
          <w:rFonts w:cs="Arial"/>
          <w:noProof/>
          <w:szCs w:val="20"/>
          <w:u w:val="single"/>
          <w:lang w:eastAsia="zh-CN"/>
        </w:rPr>
      </w:pPr>
      <w:r w:rsidRPr="00EB75D4">
        <w:rPr>
          <w:rFonts w:cs="Arial"/>
          <w:noProof/>
          <w:szCs w:val="20"/>
          <w:u w:val="single"/>
          <w:lang w:eastAsia="zh-CN"/>
        </w:rPr>
        <w:t>Competencies</w:t>
      </w:r>
    </w:p>
    <w:p w14:paraId="4A7B9DD5" w14:textId="77777777" w:rsidR="00302BFE" w:rsidRPr="00EB75D4" w:rsidRDefault="00302BFE" w:rsidP="00C46720">
      <w:pPr>
        <w:numPr>
          <w:ilvl w:val="0"/>
          <w:numId w:val="59"/>
        </w:numPr>
        <w:spacing w:after="0"/>
        <w:ind w:left="284" w:hanging="294"/>
        <w:rPr>
          <w:rFonts w:cs="Arial"/>
          <w:noProof/>
          <w:szCs w:val="20"/>
          <w:lang w:eastAsia="zh-CN"/>
        </w:rPr>
      </w:pPr>
      <w:r w:rsidRPr="00EB75D4">
        <w:rPr>
          <w:rFonts w:cs="Arial"/>
          <w:noProof/>
          <w:szCs w:val="20"/>
          <w:lang w:eastAsia="zh-CN"/>
        </w:rPr>
        <w:t>Strong leadership, managerial and coordination skills, with a demonstrated ability to effectively coordinate the implementation of large multi-stakeholder projects, including financial and technical aspects.</w:t>
      </w:r>
    </w:p>
    <w:p w14:paraId="0362CDEC" w14:textId="77777777" w:rsidR="00302BFE" w:rsidRPr="00EB75D4" w:rsidRDefault="00302BFE" w:rsidP="00C46720">
      <w:pPr>
        <w:numPr>
          <w:ilvl w:val="0"/>
          <w:numId w:val="59"/>
        </w:numPr>
        <w:spacing w:after="0"/>
        <w:ind w:left="284" w:hanging="294"/>
        <w:rPr>
          <w:rFonts w:cs="Arial"/>
          <w:noProof/>
          <w:szCs w:val="20"/>
          <w:lang w:eastAsia="zh-CN"/>
        </w:rPr>
      </w:pPr>
      <w:r w:rsidRPr="00EB75D4">
        <w:rPr>
          <w:rFonts w:cs="Arial"/>
          <w:noProof/>
          <w:szCs w:val="20"/>
          <w:lang w:eastAsia="zh-CN"/>
        </w:rPr>
        <w:t>Ability to effectively manage technical and administrative teams, work with a wide range of stakeholders across various sectors and at all levels, to develop durable partnerships with collaborating agencies.</w:t>
      </w:r>
    </w:p>
    <w:p w14:paraId="00828C89" w14:textId="77777777" w:rsidR="00302BFE" w:rsidRPr="00EB75D4" w:rsidRDefault="00302BFE" w:rsidP="00C46720">
      <w:pPr>
        <w:numPr>
          <w:ilvl w:val="0"/>
          <w:numId w:val="59"/>
        </w:numPr>
        <w:spacing w:after="0"/>
        <w:ind w:left="284" w:hanging="294"/>
        <w:rPr>
          <w:rFonts w:cs="Arial"/>
          <w:noProof/>
          <w:szCs w:val="20"/>
          <w:lang w:eastAsia="zh-CN"/>
        </w:rPr>
      </w:pPr>
      <w:r w:rsidRPr="00EB75D4">
        <w:rPr>
          <w:rFonts w:cs="Arial"/>
          <w:noProof/>
          <w:szCs w:val="20"/>
          <w:lang w:eastAsia="zh-CN"/>
        </w:rPr>
        <w:t>Ability to administer budgets, train and work effectively with counterpart staff at all levels and with all groups involved in the project.</w:t>
      </w:r>
    </w:p>
    <w:p w14:paraId="2B562748" w14:textId="77777777" w:rsidR="00302BFE" w:rsidRPr="00EB75D4" w:rsidRDefault="00302BFE" w:rsidP="00C46720">
      <w:pPr>
        <w:numPr>
          <w:ilvl w:val="0"/>
          <w:numId w:val="59"/>
        </w:numPr>
        <w:spacing w:after="0"/>
        <w:ind w:left="284" w:hanging="294"/>
        <w:rPr>
          <w:rFonts w:cs="Arial"/>
          <w:noProof/>
          <w:szCs w:val="20"/>
          <w:lang w:eastAsia="zh-CN"/>
        </w:rPr>
      </w:pPr>
      <w:r w:rsidRPr="00EB75D4">
        <w:rPr>
          <w:rFonts w:cs="Arial"/>
          <w:noProof/>
          <w:szCs w:val="20"/>
          <w:lang w:eastAsia="zh-CN"/>
        </w:rPr>
        <w:t>Ability to coordinate and supervise multiple Project Implementation Units in their implementation of technical activities in partnership with a variety of subnational stakeholder groups, including community and government.</w:t>
      </w:r>
    </w:p>
    <w:p w14:paraId="232DC1E3" w14:textId="77777777" w:rsidR="00302BFE" w:rsidRPr="00EB75D4" w:rsidRDefault="00302BFE" w:rsidP="00C46720">
      <w:pPr>
        <w:numPr>
          <w:ilvl w:val="0"/>
          <w:numId w:val="59"/>
        </w:numPr>
        <w:spacing w:after="0"/>
        <w:ind w:left="284" w:hanging="294"/>
        <w:rPr>
          <w:rFonts w:cs="Arial"/>
          <w:noProof/>
          <w:szCs w:val="20"/>
          <w:lang w:eastAsia="zh-CN"/>
        </w:rPr>
      </w:pPr>
      <w:r w:rsidRPr="00EB75D4">
        <w:rPr>
          <w:rFonts w:cs="Arial"/>
          <w:noProof/>
          <w:szCs w:val="20"/>
          <w:lang w:eastAsia="zh-CN"/>
        </w:rPr>
        <w:t>Familiarity with tourism issues, biodiversity and protected areas.</w:t>
      </w:r>
    </w:p>
    <w:p w14:paraId="2D73E072" w14:textId="77777777" w:rsidR="00302BFE" w:rsidRPr="00EB75D4" w:rsidRDefault="00302BFE" w:rsidP="00C46720">
      <w:pPr>
        <w:numPr>
          <w:ilvl w:val="0"/>
          <w:numId w:val="59"/>
        </w:numPr>
        <w:spacing w:after="0"/>
        <w:ind w:left="284" w:hanging="294"/>
        <w:rPr>
          <w:rFonts w:cs="Arial"/>
          <w:noProof/>
          <w:szCs w:val="20"/>
          <w:lang w:eastAsia="zh-CN"/>
        </w:rPr>
      </w:pPr>
      <w:r w:rsidRPr="00EB75D4">
        <w:rPr>
          <w:rFonts w:cs="Arial"/>
          <w:noProof/>
          <w:szCs w:val="20"/>
          <w:lang w:eastAsia="zh-CN"/>
        </w:rPr>
        <w:t>Strong drafting, presentation and reporting skills.</w:t>
      </w:r>
    </w:p>
    <w:p w14:paraId="51762F5F" w14:textId="77777777" w:rsidR="00302BFE" w:rsidRPr="00EB75D4" w:rsidRDefault="00302BFE" w:rsidP="00C46720">
      <w:pPr>
        <w:numPr>
          <w:ilvl w:val="0"/>
          <w:numId w:val="59"/>
        </w:numPr>
        <w:spacing w:after="0"/>
        <w:ind w:left="284" w:hanging="294"/>
        <w:rPr>
          <w:rFonts w:cs="Arial"/>
          <w:noProof/>
          <w:szCs w:val="20"/>
          <w:lang w:eastAsia="zh-CN"/>
        </w:rPr>
      </w:pPr>
      <w:r w:rsidRPr="00EB75D4">
        <w:rPr>
          <w:rFonts w:cs="Arial"/>
          <w:noProof/>
          <w:szCs w:val="20"/>
          <w:lang w:eastAsia="zh-CN"/>
        </w:rPr>
        <w:t>Strong communication skills, especially in timely and accurate responses to emails.</w:t>
      </w:r>
    </w:p>
    <w:p w14:paraId="3E042950" w14:textId="77777777" w:rsidR="00302BFE" w:rsidRPr="00EB75D4" w:rsidRDefault="00302BFE" w:rsidP="00C46720">
      <w:pPr>
        <w:numPr>
          <w:ilvl w:val="0"/>
          <w:numId w:val="59"/>
        </w:numPr>
        <w:spacing w:after="0"/>
        <w:ind w:left="284" w:hanging="294"/>
        <w:rPr>
          <w:rFonts w:cs="Arial"/>
          <w:noProof/>
          <w:szCs w:val="20"/>
          <w:lang w:eastAsia="zh-CN"/>
        </w:rPr>
      </w:pPr>
      <w:r w:rsidRPr="00EB75D4">
        <w:rPr>
          <w:rFonts w:cs="Arial"/>
          <w:noProof/>
          <w:szCs w:val="20"/>
          <w:lang w:eastAsia="zh-CN"/>
        </w:rPr>
        <w:t>Strong computer skills, in particular mastery of all applications of the MS Office package and internet search.</w:t>
      </w:r>
    </w:p>
    <w:p w14:paraId="40B1C378" w14:textId="77777777" w:rsidR="00302BFE" w:rsidRPr="00EB75D4" w:rsidRDefault="00302BFE" w:rsidP="00C46720">
      <w:pPr>
        <w:numPr>
          <w:ilvl w:val="0"/>
          <w:numId w:val="59"/>
        </w:numPr>
        <w:spacing w:after="0"/>
        <w:ind w:left="284" w:hanging="294"/>
        <w:rPr>
          <w:rFonts w:cs="Arial"/>
          <w:noProof/>
          <w:szCs w:val="20"/>
          <w:lang w:eastAsia="zh-CN"/>
        </w:rPr>
      </w:pPr>
      <w:r w:rsidRPr="00EB75D4">
        <w:rPr>
          <w:rFonts w:cs="Arial"/>
          <w:noProof/>
          <w:szCs w:val="20"/>
          <w:lang w:eastAsia="zh-CN"/>
        </w:rPr>
        <w:t>Strong knowledge about the political and socio-economic context related to the Indonesian protected area system, biodiversity conservation and law enforcement at national and subnational levels.</w:t>
      </w:r>
    </w:p>
    <w:p w14:paraId="7EA4B186" w14:textId="77777777" w:rsidR="00302BFE" w:rsidRPr="00EB75D4" w:rsidRDefault="00302BFE" w:rsidP="00C46720">
      <w:pPr>
        <w:numPr>
          <w:ilvl w:val="0"/>
          <w:numId w:val="59"/>
        </w:numPr>
        <w:spacing w:after="0"/>
        <w:ind w:left="284" w:hanging="294"/>
        <w:rPr>
          <w:rFonts w:cs="Arial"/>
          <w:noProof/>
          <w:szCs w:val="20"/>
          <w:lang w:eastAsia="zh-CN"/>
        </w:rPr>
      </w:pPr>
      <w:r w:rsidRPr="00EB75D4">
        <w:rPr>
          <w:rFonts w:cs="Arial"/>
          <w:noProof/>
          <w:szCs w:val="20"/>
          <w:lang w:eastAsia="zh-CN"/>
        </w:rPr>
        <w:t>Excellent command of French, English and local languages.</w:t>
      </w:r>
    </w:p>
    <w:p w14:paraId="74F303BD" w14:textId="77777777" w:rsidR="00302BFE" w:rsidRPr="000D4265" w:rsidRDefault="00302BFE" w:rsidP="00204930">
      <w:pPr>
        <w:spacing w:before="240" w:after="120"/>
        <w:rPr>
          <w:rFonts w:eastAsia="Times New Roman" w:cs="Arial"/>
          <w:b/>
          <w:bCs/>
          <w:color w:val="0055AA"/>
          <w:szCs w:val="20"/>
          <w:lang w:val="en-CA" w:eastAsia="fr-CA"/>
        </w:rPr>
      </w:pPr>
      <w:r w:rsidRPr="000D4265">
        <w:rPr>
          <w:rFonts w:eastAsia="Times New Roman" w:cs="Arial"/>
          <w:b/>
          <w:bCs/>
          <w:color w:val="0055AA"/>
          <w:szCs w:val="20"/>
          <w:lang w:val="en-CA" w:eastAsia="fr-CA"/>
        </w:rPr>
        <w:t>Project M&amp;E and Safeguards Expert</w:t>
      </w:r>
    </w:p>
    <w:p w14:paraId="29E35F4D" w14:textId="1B682CBD" w:rsidR="00302BFE" w:rsidRDefault="00302BFE" w:rsidP="00302BFE">
      <w:pPr>
        <w:spacing w:after="120"/>
        <w:rPr>
          <w:szCs w:val="20"/>
        </w:rPr>
      </w:pPr>
      <w:r w:rsidRPr="00930BD3">
        <w:rPr>
          <w:szCs w:val="20"/>
        </w:rPr>
        <w:t>Under the overall supervision and guidance of the Project Coordinator, the M&amp;E and Safeguards Expert will have the responsibility for project monitoring and evaluation, including coordinating the establishment of baseline values in the first year for all indicators where baseline is missing in the project results framework and updating indicators in project results framework in cooperation with other project staff for specific indicators. The M&amp;E and Safeguards Expert will work closely with the Communication/Knowledge Management Expert on knowledge management aspects of the project.</w:t>
      </w:r>
    </w:p>
    <w:p w14:paraId="068907D6" w14:textId="15C061AD" w:rsidR="00D842E2" w:rsidRDefault="00D842E2" w:rsidP="00D842E2">
      <w:pPr>
        <w:spacing w:before="120" w:after="0"/>
        <w:rPr>
          <w:szCs w:val="20"/>
        </w:rPr>
      </w:pPr>
      <w:r>
        <w:rPr>
          <w:rFonts w:cs="Arial"/>
          <w:noProof/>
          <w:szCs w:val="20"/>
          <w:u w:val="single"/>
          <w:lang w:eastAsia="zh-CN"/>
        </w:rPr>
        <w:t>Duties and Responsibilities:</w:t>
      </w:r>
    </w:p>
    <w:p w14:paraId="12CBC758" w14:textId="77777777"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t>Monitor project progress and participate in the production of progress reports ensuring that they meet the necessary reporting requirements and standards;</w:t>
      </w:r>
    </w:p>
    <w:p w14:paraId="2EAB418D" w14:textId="77777777"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t>Ensure project’s M&amp;E meets the requirements of the Government, the UNDP Country Office, and UNDP-GEF; develop project-specific M&amp;E tools as necessary;</w:t>
      </w:r>
    </w:p>
    <w:p w14:paraId="7AFE9C1B" w14:textId="77777777"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t>Oversee and ensure the implementation of the project’s M&amp;E plan, including periodic appraisal of the Project’s Theory of Change and Results Framework with reference to actual and potential project progress and results, including reporting as part of annual review processes, for the PIR and end of the year review;</w:t>
      </w:r>
    </w:p>
    <w:p w14:paraId="14B7A881" w14:textId="77777777"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t>Oversee/develop/coordinate the implementation of the stakeholder engagement plan;</w:t>
      </w:r>
    </w:p>
    <w:p w14:paraId="64C81788" w14:textId="77777777"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t>Review the SESP annually, and update and revise corresponding risk log; mitigation/management plans as necessary;</w:t>
      </w:r>
    </w:p>
    <w:p w14:paraId="6B3B9EDC" w14:textId="77777777"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t>Continuous monitoring of environmental and social risks;</w:t>
      </w:r>
    </w:p>
    <w:p w14:paraId="694A51AF" w14:textId="77777777"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t>Ensure that each project activity is subject to the project's ESMP process and procedures and conduct an environmental and social review of activities.</w:t>
      </w:r>
    </w:p>
    <w:p w14:paraId="632C98D7" w14:textId="77777777"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t>Ensure environmental and social risks are identified, avoided, mitigated and managed throughout project implementation;</w:t>
      </w:r>
    </w:p>
    <w:p w14:paraId="40F04A05" w14:textId="77777777"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t>Evaluate social risks that may emerge and/are triggered by project activities and provide recommendations on mitigation strategies;</w:t>
      </w:r>
    </w:p>
    <w:p w14:paraId="5D547A75" w14:textId="77777777"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t>Prepare safeguard reports as needed;</w:t>
      </w:r>
    </w:p>
    <w:p w14:paraId="0CEAAFC7" w14:textId="77777777"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t>Support the Project Manager in documenting and addressing environmental and social grievances;</w:t>
      </w:r>
    </w:p>
    <w:p w14:paraId="22660D88" w14:textId="77777777"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t>Oversee and guide the design of surveys/ assessments commissioned for monitoring and evaluating project results, especially for the establishment of indicators baselines in the first year of the project, where relevant;</w:t>
      </w:r>
    </w:p>
    <w:p w14:paraId="4021E2A3" w14:textId="77777777"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t>Facilitate mid-term and terminal evaluations of the project, including management responses;</w:t>
      </w:r>
    </w:p>
    <w:p w14:paraId="6F0064F3" w14:textId="77777777"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t>Facilitate annual reviews of the project and produce analytical reports from these annual reviews, including learning and other knowledge management products;</w:t>
      </w:r>
    </w:p>
    <w:p w14:paraId="7D2DA108" w14:textId="77777777"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lastRenderedPageBreak/>
        <w:t xml:space="preserve">Support project site M&amp;E and learning missions; </w:t>
      </w:r>
    </w:p>
    <w:p w14:paraId="5A879954" w14:textId="77777777"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t>Visit project sites as and when required to appraise project progress on the ground and validate written progress reports.</w:t>
      </w:r>
    </w:p>
    <w:p w14:paraId="14AB9FF8" w14:textId="2F2EE32A" w:rsidR="00302BFE" w:rsidRPr="00D842E2" w:rsidRDefault="00D842E2" w:rsidP="00D842E2">
      <w:pPr>
        <w:spacing w:before="120" w:after="0"/>
        <w:rPr>
          <w:szCs w:val="20"/>
          <w:u w:val="single"/>
        </w:rPr>
      </w:pPr>
      <w:r w:rsidRPr="00D842E2">
        <w:rPr>
          <w:szCs w:val="20"/>
          <w:u w:val="single"/>
        </w:rPr>
        <w:t>Required skills and expertise</w:t>
      </w:r>
    </w:p>
    <w:p w14:paraId="1724B866" w14:textId="77777777"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t xml:space="preserve">Masters degree, preferably in the field of environmental or natural resources management; </w:t>
      </w:r>
    </w:p>
    <w:p w14:paraId="76C2E995" w14:textId="77777777"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t>At least five years of relevant work experience preferably in a project management setting involving multi-lateral/ international funding agency. Previous experience with UN project will be a definite asset;</w:t>
      </w:r>
    </w:p>
    <w:p w14:paraId="2E87F2BD" w14:textId="77777777"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t>Significant experience in collating, analyzing and writing up results for reporting purposes;</w:t>
      </w:r>
    </w:p>
    <w:p w14:paraId="30780F02" w14:textId="77777777"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t>Very good knowledge of results-based management and project cycle management, particularly with regards to M&amp;E approach and methods. Formal training in biodiversity conservation, sustainable natural resource management, and/or SLM, CSA, will be a definite asset;</w:t>
      </w:r>
    </w:p>
    <w:p w14:paraId="08E48B1C" w14:textId="77777777"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t>Knowledge and working experience of the application of gender mainstreaming in international projects;</w:t>
      </w:r>
    </w:p>
    <w:p w14:paraId="42B95A4F" w14:textId="77777777"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t xml:space="preserve">Understanding of biodiversity conservation, sustainable natural resource management, SLM, and CSA, climate change, and associated issues; </w:t>
      </w:r>
    </w:p>
    <w:p w14:paraId="5BCA57D2" w14:textId="77777777"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t>Very good inter-personal skills;</w:t>
      </w:r>
    </w:p>
    <w:p w14:paraId="7C980C4B" w14:textId="77777777"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t>Proficiency in computer application and information technology;</w:t>
      </w:r>
    </w:p>
    <w:p w14:paraId="701CA6DC" w14:textId="77777777"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t>Excellent language skills in French and English (writing, speaking and reading).</w:t>
      </w:r>
    </w:p>
    <w:p w14:paraId="50A1B969" w14:textId="77777777" w:rsidR="00302BFE" w:rsidRPr="000D4265" w:rsidRDefault="00302BFE" w:rsidP="00D842E2">
      <w:pPr>
        <w:spacing w:before="240" w:after="120"/>
        <w:rPr>
          <w:rFonts w:eastAsia="Times New Roman" w:cs="Arial"/>
          <w:b/>
          <w:bCs/>
          <w:color w:val="0055AA"/>
          <w:szCs w:val="20"/>
          <w:lang w:val="en-CA" w:eastAsia="fr-CA"/>
        </w:rPr>
      </w:pPr>
      <w:r w:rsidRPr="000D4265">
        <w:rPr>
          <w:rFonts w:eastAsia="Times New Roman" w:cs="Arial"/>
          <w:b/>
          <w:bCs/>
          <w:color w:val="0055AA"/>
          <w:szCs w:val="20"/>
          <w:lang w:val="en-CA" w:eastAsia="fr-CA"/>
        </w:rPr>
        <w:t>Project Gender Specialist</w:t>
      </w:r>
    </w:p>
    <w:p w14:paraId="244A458C" w14:textId="77777777" w:rsidR="00D842E2" w:rsidRDefault="00302BFE" w:rsidP="00302BFE">
      <w:pPr>
        <w:spacing w:after="120"/>
        <w:rPr>
          <w:szCs w:val="20"/>
        </w:rPr>
      </w:pPr>
      <w:r w:rsidRPr="00FE1259">
        <w:rPr>
          <w:szCs w:val="20"/>
        </w:rPr>
        <w:t xml:space="preserve">Under the overall supervision and guidance of the Project </w:t>
      </w:r>
      <w:r w:rsidR="000D4265">
        <w:rPr>
          <w:szCs w:val="20"/>
        </w:rPr>
        <w:t>Coordinator</w:t>
      </w:r>
      <w:r w:rsidRPr="00FE1259">
        <w:rPr>
          <w:szCs w:val="20"/>
        </w:rPr>
        <w:t xml:space="preserve">, the Gender </w:t>
      </w:r>
      <w:r>
        <w:rPr>
          <w:szCs w:val="20"/>
        </w:rPr>
        <w:t>Specialist</w:t>
      </w:r>
      <w:r w:rsidRPr="00FE1259">
        <w:rPr>
          <w:szCs w:val="20"/>
        </w:rPr>
        <w:t xml:space="preserve"> will have the responsibility for the implementation of the Gender Action Plan. The Gender </w:t>
      </w:r>
      <w:r>
        <w:rPr>
          <w:szCs w:val="20"/>
        </w:rPr>
        <w:t>Specialist</w:t>
      </w:r>
      <w:r w:rsidRPr="00FE1259">
        <w:rPr>
          <w:szCs w:val="20"/>
        </w:rPr>
        <w:t xml:space="preserve"> will work closely with the M&amp;E and Safeguards Expert, and Communications Officer on related aspects of project implementation, reporting, monitoring, evaluation and communication. </w:t>
      </w:r>
    </w:p>
    <w:p w14:paraId="6752DACB" w14:textId="52298313" w:rsidR="00302BFE" w:rsidRPr="00426D92" w:rsidRDefault="00D842E2" w:rsidP="00D842E2">
      <w:pPr>
        <w:spacing w:before="120" w:after="0"/>
        <w:rPr>
          <w:szCs w:val="20"/>
        </w:rPr>
      </w:pPr>
      <w:r w:rsidRPr="00D842E2">
        <w:rPr>
          <w:szCs w:val="20"/>
          <w:u w:val="single"/>
        </w:rPr>
        <w:t>Duties and Responsibilities</w:t>
      </w:r>
      <w:r w:rsidR="00302BFE" w:rsidRPr="00FE1259">
        <w:rPr>
          <w:szCs w:val="20"/>
        </w:rPr>
        <w:t>:</w:t>
      </w:r>
    </w:p>
    <w:p w14:paraId="70A07BEE" w14:textId="77777777"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t>Monitor progress in implementation of the project Gender Action Plan ensuring that targets are fully met and the reporting requirements are fulfilled;</w:t>
      </w:r>
    </w:p>
    <w:p w14:paraId="57BF3FA9" w14:textId="77777777"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t>Oversee/develop/coordinate implementation of all gender-related work;</w:t>
      </w:r>
    </w:p>
    <w:p w14:paraId="5EFA2D4E" w14:textId="77777777"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t>Review the Gender Action Plan annually, and update and revise corresponding management plans as necessary;</w:t>
      </w:r>
    </w:p>
    <w:p w14:paraId="3EA8ED4A" w14:textId="77777777"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t>Work with the M&amp;E and Safeguards Expert to ensure reporting, monitoring and evaluation fully address the gender issues of the project.</w:t>
      </w:r>
    </w:p>
    <w:p w14:paraId="71A4158F" w14:textId="1FE67E47" w:rsidR="00302BFE" w:rsidRPr="00D842E2" w:rsidRDefault="00D842E2" w:rsidP="00D842E2">
      <w:pPr>
        <w:spacing w:before="120" w:after="0"/>
        <w:rPr>
          <w:szCs w:val="20"/>
          <w:u w:val="single"/>
        </w:rPr>
      </w:pPr>
      <w:r w:rsidRPr="00D842E2">
        <w:rPr>
          <w:szCs w:val="20"/>
          <w:u w:val="single"/>
        </w:rPr>
        <w:t>Required skills and expertise</w:t>
      </w:r>
      <w:r w:rsidR="00302BFE" w:rsidRPr="00D842E2">
        <w:rPr>
          <w:szCs w:val="20"/>
          <w:u w:val="single"/>
        </w:rPr>
        <w:t>:</w:t>
      </w:r>
    </w:p>
    <w:p w14:paraId="3EDBFB72" w14:textId="77777777"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t>Master’s degree in gender studies, gender and development, environment, sustainable development or closely related area;</w:t>
      </w:r>
    </w:p>
    <w:p w14:paraId="184A1EDB" w14:textId="77777777"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t>Demonstrated understanding of issues related to gender and sustainable development; at least 5 years of practical working experience in gender mainstreaming, women’s empowerment and sustainable development in Burkina Faso;</w:t>
      </w:r>
    </w:p>
    <w:p w14:paraId="6E8E743F" w14:textId="77777777"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t>Proven experience in gender issues in Burkina Faso;</w:t>
      </w:r>
    </w:p>
    <w:p w14:paraId="6A0E9A08" w14:textId="77777777"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t>Previous experience with UN projects will be a definite asset;</w:t>
      </w:r>
    </w:p>
    <w:p w14:paraId="4D381C91" w14:textId="77777777"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t>Demonstrated understanding of the links between sustainable development, social and gender issues;</w:t>
      </w:r>
    </w:p>
    <w:p w14:paraId="7CACC395" w14:textId="77777777"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t>Experience in gender responsive capacity building;</w:t>
      </w:r>
    </w:p>
    <w:p w14:paraId="0AD83454" w14:textId="77777777"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t>Experience with project development and results-based management methodologies is highly desired/required;</w:t>
      </w:r>
    </w:p>
    <w:p w14:paraId="235C1E1C" w14:textId="77777777"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t>Excellent analytical, writing, advocacy, presentation, and communications skills;</w:t>
      </w:r>
    </w:p>
    <w:p w14:paraId="1FFBD65D" w14:textId="102D4673"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t xml:space="preserve">Excellent </w:t>
      </w:r>
      <w:r w:rsidR="00D842E2">
        <w:rPr>
          <w:rFonts w:cs="Arial"/>
          <w:noProof/>
          <w:szCs w:val="20"/>
          <w:lang w:eastAsia="zh-CN"/>
        </w:rPr>
        <w:t xml:space="preserve">written ans spoken </w:t>
      </w:r>
      <w:r w:rsidRPr="000D4265">
        <w:rPr>
          <w:rFonts w:cs="Arial"/>
          <w:noProof/>
          <w:szCs w:val="20"/>
          <w:lang w:eastAsia="zh-CN"/>
        </w:rPr>
        <w:t>language skills in French, English and local languages.</w:t>
      </w:r>
    </w:p>
    <w:p w14:paraId="20102694" w14:textId="77777777" w:rsidR="00302BFE" w:rsidRPr="000D4265" w:rsidRDefault="00302BFE" w:rsidP="00D842E2">
      <w:pPr>
        <w:spacing w:before="240" w:after="120"/>
        <w:rPr>
          <w:rFonts w:eastAsia="Times New Roman" w:cs="Arial"/>
          <w:b/>
          <w:bCs/>
          <w:color w:val="0055AA"/>
          <w:szCs w:val="20"/>
          <w:lang w:val="en-CA" w:eastAsia="fr-CA"/>
        </w:rPr>
      </w:pPr>
      <w:r w:rsidRPr="000D4265">
        <w:rPr>
          <w:rFonts w:eastAsia="Times New Roman" w:cs="Arial"/>
          <w:b/>
          <w:bCs/>
          <w:color w:val="0055AA"/>
          <w:szCs w:val="20"/>
          <w:lang w:val="en-CA" w:eastAsia="fr-CA"/>
        </w:rPr>
        <w:t>Project Communication /Knowledge Management Expert</w:t>
      </w:r>
    </w:p>
    <w:p w14:paraId="26A4B2D7" w14:textId="15798FD3" w:rsidR="00302BFE" w:rsidRDefault="00302BFE" w:rsidP="00302BFE">
      <w:pPr>
        <w:spacing w:after="120"/>
        <w:rPr>
          <w:szCs w:val="20"/>
        </w:rPr>
      </w:pPr>
      <w:r w:rsidRPr="00426D92">
        <w:rPr>
          <w:szCs w:val="20"/>
        </w:rPr>
        <w:t xml:space="preserve">Under the overall supervision and guidance of the Project Manager, the </w:t>
      </w:r>
      <w:r w:rsidRPr="008F7A4B">
        <w:rPr>
          <w:szCs w:val="20"/>
        </w:rPr>
        <w:t>Communication /Knowledge Management Expert</w:t>
      </w:r>
      <w:r w:rsidRPr="00426D92">
        <w:rPr>
          <w:szCs w:val="20"/>
        </w:rPr>
        <w:t xml:space="preserve"> will have the responsibility for leading knowledge management outputs in Component 4 and developing the project communications strategy at the project outset and coordinating its implementation across all project components. The </w:t>
      </w:r>
      <w:r w:rsidRPr="008F7A4B">
        <w:rPr>
          <w:szCs w:val="20"/>
        </w:rPr>
        <w:t>Communication /Knowledge Management Expert</w:t>
      </w:r>
      <w:r w:rsidRPr="00426D92">
        <w:rPr>
          <w:szCs w:val="20"/>
        </w:rPr>
        <w:t xml:space="preserve"> will work closely with the M&amp;E</w:t>
      </w:r>
      <w:r>
        <w:rPr>
          <w:szCs w:val="20"/>
        </w:rPr>
        <w:t>/Safeguards</w:t>
      </w:r>
      <w:r w:rsidRPr="00426D92">
        <w:rPr>
          <w:szCs w:val="20"/>
        </w:rPr>
        <w:t xml:space="preserve"> Expert on knowledge management aspects of the project. </w:t>
      </w:r>
    </w:p>
    <w:p w14:paraId="738F4EB7" w14:textId="44651CEA" w:rsidR="00D842E2" w:rsidRPr="00204930" w:rsidRDefault="00D842E2" w:rsidP="00204930">
      <w:pPr>
        <w:spacing w:before="120" w:after="0"/>
        <w:rPr>
          <w:rFonts w:cs="Arial"/>
          <w:noProof/>
          <w:szCs w:val="20"/>
          <w:u w:val="single"/>
          <w:lang w:eastAsia="zh-CN"/>
        </w:rPr>
      </w:pPr>
      <w:r>
        <w:rPr>
          <w:rFonts w:cs="Arial"/>
          <w:noProof/>
          <w:szCs w:val="20"/>
          <w:u w:val="single"/>
          <w:lang w:eastAsia="zh-CN"/>
        </w:rPr>
        <w:t>Duties and Responsibilities:</w:t>
      </w:r>
    </w:p>
    <w:p w14:paraId="176DA8FE" w14:textId="77777777"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t>Develop a project communications strategy / plan, incorporate it with the annual work plans and update it annually in consultation with project stakeholders; coordinate its implementation;</w:t>
      </w:r>
    </w:p>
    <w:p w14:paraId="64F8C54E" w14:textId="77777777"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t>Coordinate the implementation of knowledge management outputs of the project;</w:t>
      </w:r>
    </w:p>
    <w:p w14:paraId="36B6218B" w14:textId="77777777"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t>Coordinate and oversee the implementation of public awareness activities across all project components, including support to the implementation of awareness activities among stakeholders;</w:t>
      </w:r>
    </w:p>
    <w:p w14:paraId="0431B408" w14:textId="77777777"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t>Facilitate the design and maintenance of the project website/webpages and ensure it is up-to-date and dynamic;</w:t>
      </w:r>
    </w:p>
    <w:p w14:paraId="01D444EB" w14:textId="77777777"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t>Facilitate learning and sharing of knowledge and experiences relevant to the project.</w:t>
      </w:r>
    </w:p>
    <w:p w14:paraId="47648CB7" w14:textId="08D98DD7" w:rsidR="00302BFE" w:rsidRPr="00204930" w:rsidRDefault="00D842E2" w:rsidP="000D4265">
      <w:pPr>
        <w:spacing w:before="120" w:after="0"/>
        <w:rPr>
          <w:rFonts w:cs="Arial"/>
          <w:noProof/>
          <w:szCs w:val="20"/>
          <w:u w:val="single"/>
          <w:lang w:eastAsia="zh-CN"/>
        </w:rPr>
      </w:pPr>
      <w:r w:rsidRPr="00204930">
        <w:rPr>
          <w:rFonts w:cs="Arial"/>
          <w:noProof/>
          <w:szCs w:val="20"/>
          <w:u w:val="single"/>
          <w:lang w:eastAsia="zh-CN"/>
        </w:rPr>
        <w:lastRenderedPageBreak/>
        <w:t>Required skills and expertise</w:t>
      </w:r>
      <w:r w:rsidR="00302BFE" w:rsidRPr="00204930">
        <w:rPr>
          <w:rFonts w:cs="Arial"/>
          <w:noProof/>
          <w:szCs w:val="20"/>
          <w:u w:val="single"/>
          <w:lang w:eastAsia="zh-CN"/>
        </w:rPr>
        <w:t>:</w:t>
      </w:r>
    </w:p>
    <w:p w14:paraId="77771BCD" w14:textId="77777777"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t xml:space="preserve">A Bachelors degree, preferably in the field of community development or natural resource / environmental management; </w:t>
      </w:r>
    </w:p>
    <w:p w14:paraId="2F7277B7" w14:textId="77777777"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t>A communications qualification;</w:t>
      </w:r>
    </w:p>
    <w:p w14:paraId="55678537" w14:textId="77777777"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t>At least three years of relevant work experience of communications for project or programme implementation, ideally involving international donors. Previous experience with UN projects will be a definite asset;</w:t>
      </w:r>
    </w:p>
    <w:p w14:paraId="7F6E71BB" w14:textId="77777777"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t>Previous experience in developing and implementing communications strategies for organizations or projects;</w:t>
      </w:r>
    </w:p>
    <w:p w14:paraId="4B0E2292" w14:textId="77777777"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t>Strong professional working capacity to use information and communications technology, specifically including website design and desk top publishing software;</w:t>
      </w:r>
    </w:p>
    <w:p w14:paraId="78511CD1" w14:textId="77777777"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t xml:space="preserve">Understanding of, biodiversity conservation, natural resources management, climate change, SLM, CSA, and associated issues; </w:t>
      </w:r>
    </w:p>
    <w:p w14:paraId="5ACB7FB3" w14:textId="77777777"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t xml:space="preserve">Very good inter-personal skills; </w:t>
      </w:r>
    </w:p>
    <w:p w14:paraId="4BEEE6F2" w14:textId="77777777"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t>Excellent language skills in French, English and local languages (writing, speaking and reading).</w:t>
      </w:r>
    </w:p>
    <w:p w14:paraId="5D260E80" w14:textId="77777777" w:rsidR="00302BFE" w:rsidRPr="000D4265" w:rsidRDefault="00302BFE" w:rsidP="00204930">
      <w:pPr>
        <w:spacing w:before="240" w:after="120"/>
        <w:rPr>
          <w:rFonts w:eastAsia="Times New Roman" w:cs="Arial"/>
          <w:b/>
          <w:bCs/>
          <w:color w:val="0055AA"/>
          <w:szCs w:val="20"/>
          <w:lang w:val="en-CA" w:eastAsia="fr-CA"/>
        </w:rPr>
      </w:pPr>
      <w:r w:rsidRPr="000D4265">
        <w:rPr>
          <w:rFonts w:eastAsia="Times New Roman" w:cs="Arial"/>
          <w:b/>
          <w:bCs/>
          <w:color w:val="0055AA"/>
          <w:szCs w:val="20"/>
          <w:lang w:val="en-CA" w:eastAsia="fr-CA"/>
        </w:rPr>
        <w:t>Project Financial/Administrative Assistant</w:t>
      </w:r>
    </w:p>
    <w:p w14:paraId="18073964" w14:textId="5DC47040" w:rsidR="00302BFE" w:rsidRPr="00426D92" w:rsidRDefault="00302BFE" w:rsidP="00302BFE">
      <w:pPr>
        <w:spacing w:after="120"/>
        <w:rPr>
          <w:szCs w:val="20"/>
        </w:rPr>
      </w:pPr>
      <w:r w:rsidRPr="00426D92">
        <w:rPr>
          <w:szCs w:val="20"/>
        </w:rPr>
        <w:t xml:space="preserve">Under the guidance and supervision of the Project </w:t>
      </w:r>
      <w:r>
        <w:rPr>
          <w:szCs w:val="20"/>
        </w:rPr>
        <w:t>Coordinator</w:t>
      </w:r>
      <w:r w:rsidRPr="00426D92">
        <w:rPr>
          <w:szCs w:val="20"/>
        </w:rPr>
        <w:t xml:space="preserve">, the Project Financial/Administrative Assistant will have the following specific </w:t>
      </w:r>
      <w:r w:rsidR="00D842E2" w:rsidRPr="00E925C4">
        <w:rPr>
          <w:szCs w:val="20"/>
          <w:u w:val="single"/>
        </w:rPr>
        <w:t xml:space="preserve">duties and </w:t>
      </w:r>
      <w:r w:rsidRPr="00E925C4">
        <w:rPr>
          <w:szCs w:val="20"/>
          <w:u w:val="single"/>
        </w:rPr>
        <w:t>responsibilities</w:t>
      </w:r>
      <w:r w:rsidRPr="00426D92">
        <w:rPr>
          <w:szCs w:val="20"/>
        </w:rPr>
        <w:t>:</w:t>
      </w:r>
    </w:p>
    <w:p w14:paraId="68317297" w14:textId="77777777" w:rsidR="00302BFE" w:rsidRPr="000D4265" w:rsidRDefault="00302BFE" w:rsidP="00C46720">
      <w:pPr>
        <w:numPr>
          <w:ilvl w:val="0"/>
          <w:numId w:val="59"/>
        </w:numPr>
        <w:spacing w:after="0"/>
        <w:ind w:left="284" w:hanging="294"/>
        <w:rPr>
          <w:rFonts w:cs="Arial"/>
          <w:noProof/>
          <w:szCs w:val="20"/>
          <w:lang w:eastAsia="zh-CN"/>
        </w:rPr>
      </w:pPr>
      <w:r w:rsidRPr="000D4265">
        <w:rPr>
          <w:rFonts w:cs="Arial"/>
          <w:noProof/>
          <w:szCs w:val="20"/>
          <w:lang w:eastAsia="zh-CN"/>
        </w:rPr>
        <w:t>Keep records of project funds and expenditures, and ensure all project-related financial documentation are well maintained and readily available when required by the Project Coordinator;</w:t>
      </w:r>
    </w:p>
    <w:p w14:paraId="4C05ECB6" w14:textId="77777777" w:rsidR="00302BFE" w:rsidRPr="00D61C93" w:rsidRDefault="00302BFE" w:rsidP="00C46720">
      <w:pPr>
        <w:numPr>
          <w:ilvl w:val="0"/>
          <w:numId w:val="59"/>
        </w:numPr>
        <w:spacing w:after="0"/>
        <w:ind w:left="284" w:hanging="294"/>
        <w:rPr>
          <w:rFonts w:cs="Arial"/>
          <w:noProof/>
          <w:szCs w:val="20"/>
          <w:lang w:eastAsia="zh-CN"/>
        </w:rPr>
      </w:pPr>
      <w:r w:rsidRPr="00D61C93">
        <w:rPr>
          <w:rFonts w:cs="Arial"/>
          <w:noProof/>
          <w:szCs w:val="20"/>
          <w:lang w:eastAsia="zh-CN"/>
        </w:rPr>
        <w:t>Review project expenditures and ensure that project funds are used in compliance with the Project Document and Government of Burkina Faso financial rules and procedures;</w:t>
      </w:r>
    </w:p>
    <w:p w14:paraId="1A56E480" w14:textId="77777777" w:rsidR="00302BFE" w:rsidRPr="00D61C93" w:rsidRDefault="00302BFE" w:rsidP="00C46720">
      <w:pPr>
        <w:numPr>
          <w:ilvl w:val="0"/>
          <w:numId w:val="59"/>
        </w:numPr>
        <w:spacing w:after="0"/>
        <w:ind w:left="284" w:hanging="294"/>
        <w:rPr>
          <w:rFonts w:cs="Arial"/>
          <w:noProof/>
          <w:szCs w:val="20"/>
          <w:lang w:eastAsia="zh-CN"/>
        </w:rPr>
      </w:pPr>
      <w:r w:rsidRPr="00D61C93">
        <w:rPr>
          <w:rFonts w:cs="Arial"/>
          <w:noProof/>
          <w:szCs w:val="20"/>
          <w:lang w:eastAsia="zh-CN"/>
        </w:rPr>
        <w:t>Validate and certify FACE forms before submission to UNDP;</w:t>
      </w:r>
    </w:p>
    <w:p w14:paraId="1288C8F0" w14:textId="77777777" w:rsidR="00302BFE" w:rsidRPr="00D61C93" w:rsidRDefault="00302BFE" w:rsidP="00C46720">
      <w:pPr>
        <w:numPr>
          <w:ilvl w:val="0"/>
          <w:numId w:val="59"/>
        </w:numPr>
        <w:spacing w:after="0"/>
        <w:ind w:left="284" w:hanging="294"/>
        <w:rPr>
          <w:rFonts w:cs="Arial"/>
          <w:noProof/>
          <w:szCs w:val="20"/>
          <w:lang w:eastAsia="zh-CN"/>
        </w:rPr>
      </w:pPr>
      <w:r w:rsidRPr="00D61C93">
        <w:rPr>
          <w:rFonts w:cs="Arial"/>
          <w:noProof/>
          <w:szCs w:val="20"/>
          <w:lang w:eastAsia="zh-CN"/>
        </w:rPr>
        <w:t>Provide necessary financial information as and when required for project management decisions;</w:t>
      </w:r>
    </w:p>
    <w:p w14:paraId="249148C6" w14:textId="77777777" w:rsidR="00302BFE" w:rsidRPr="00D61C93" w:rsidRDefault="00302BFE" w:rsidP="00C46720">
      <w:pPr>
        <w:numPr>
          <w:ilvl w:val="0"/>
          <w:numId w:val="59"/>
        </w:numPr>
        <w:spacing w:after="0"/>
        <w:ind w:left="284" w:hanging="294"/>
        <w:rPr>
          <w:rFonts w:cs="Arial"/>
          <w:noProof/>
          <w:szCs w:val="20"/>
          <w:lang w:eastAsia="zh-CN"/>
        </w:rPr>
      </w:pPr>
      <w:r w:rsidRPr="00D61C93">
        <w:rPr>
          <w:rFonts w:cs="Arial"/>
          <w:noProof/>
          <w:szCs w:val="20"/>
          <w:lang w:eastAsia="zh-CN"/>
        </w:rPr>
        <w:t>Provide necessary financial information during project audit(s);</w:t>
      </w:r>
    </w:p>
    <w:p w14:paraId="74A1A67F" w14:textId="77777777" w:rsidR="00302BFE" w:rsidRPr="00D61C93" w:rsidRDefault="00302BFE" w:rsidP="00C46720">
      <w:pPr>
        <w:numPr>
          <w:ilvl w:val="0"/>
          <w:numId w:val="59"/>
        </w:numPr>
        <w:spacing w:after="0"/>
        <w:ind w:left="284" w:hanging="294"/>
        <w:rPr>
          <w:rFonts w:cs="Arial"/>
          <w:noProof/>
          <w:szCs w:val="20"/>
          <w:lang w:eastAsia="zh-CN"/>
        </w:rPr>
      </w:pPr>
      <w:r w:rsidRPr="00D61C93">
        <w:rPr>
          <w:rFonts w:cs="Arial"/>
          <w:noProof/>
          <w:szCs w:val="20"/>
          <w:lang w:eastAsia="zh-CN"/>
        </w:rPr>
        <w:t>Review annual budgets and project expenditure reports, and notify the Project Coordinator if there are any discrepancies or issues;</w:t>
      </w:r>
    </w:p>
    <w:p w14:paraId="787D5CC8" w14:textId="77777777" w:rsidR="00302BFE" w:rsidRPr="00D61C93" w:rsidRDefault="00302BFE" w:rsidP="00C46720">
      <w:pPr>
        <w:numPr>
          <w:ilvl w:val="0"/>
          <w:numId w:val="59"/>
        </w:numPr>
        <w:spacing w:after="0"/>
        <w:ind w:left="284" w:hanging="294"/>
        <w:rPr>
          <w:rFonts w:cs="Arial"/>
          <w:noProof/>
          <w:szCs w:val="20"/>
          <w:lang w:eastAsia="zh-CN"/>
        </w:rPr>
      </w:pPr>
      <w:r w:rsidRPr="00D61C93">
        <w:rPr>
          <w:rFonts w:cs="Arial"/>
          <w:noProof/>
          <w:szCs w:val="20"/>
          <w:lang w:eastAsia="zh-CN"/>
        </w:rPr>
        <w:t>Consolidate financial progress reports submitted by the responsible parties for implementation of project activities;</w:t>
      </w:r>
    </w:p>
    <w:p w14:paraId="7C5D4E3A" w14:textId="77777777" w:rsidR="00302BFE" w:rsidRPr="00D61C93" w:rsidRDefault="00302BFE" w:rsidP="00C46720">
      <w:pPr>
        <w:numPr>
          <w:ilvl w:val="0"/>
          <w:numId w:val="59"/>
        </w:numPr>
        <w:spacing w:after="0"/>
        <w:ind w:left="284" w:hanging="294"/>
        <w:rPr>
          <w:rFonts w:cs="Arial"/>
          <w:noProof/>
          <w:szCs w:val="20"/>
          <w:lang w:eastAsia="zh-CN"/>
        </w:rPr>
      </w:pPr>
      <w:r w:rsidRPr="00D61C93">
        <w:rPr>
          <w:rFonts w:cs="Arial"/>
          <w:noProof/>
          <w:szCs w:val="20"/>
          <w:lang w:eastAsia="zh-CN"/>
        </w:rPr>
        <w:t>Liaise and follow up with the responsible parties for implementation of project activities in matters related to project funds and financial progress reports;</w:t>
      </w:r>
    </w:p>
    <w:p w14:paraId="228F04BA" w14:textId="04BBF6B9" w:rsidR="00302BFE" w:rsidRPr="00D61C93" w:rsidRDefault="00302BFE" w:rsidP="00C46720">
      <w:pPr>
        <w:numPr>
          <w:ilvl w:val="0"/>
          <w:numId w:val="59"/>
        </w:numPr>
        <w:spacing w:after="0"/>
        <w:ind w:left="284" w:hanging="294"/>
        <w:rPr>
          <w:rFonts w:cs="Arial"/>
          <w:noProof/>
          <w:szCs w:val="20"/>
          <w:lang w:eastAsia="zh-CN"/>
        </w:rPr>
      </w:pPr>
      <w:r w:rsidRPr="00D61C93">
        <w:rPr>
          <w:rFonts w:cs="Arial"/>
          <w:noProof/>
          <w:szCs w:val="20"/>
          <w:lang w:eastAsia="zh-CN"/>
        </w:rPr>
        <w:t>Assist the Project Coordinator in day-to-day management and oversight of project activities;</w:t>
      </w:r>
    </w:p>
    <w:p w14:paraId="39F4C0F1" w14:textId="66C4F3F4" w:rsidR="00BC5CDF" w:rsidRPr="00D61C93" w:rsidRDefault="00BC5CDF" w:rsidP="00C46720">
      <w:pPr>
        <w:numPr>
          <w:ilvl w:val="0"/>
          <w:numId w:val="59"/>
        </w:numPr>
        <w:spacing w:after="0"/>
        <w:ind w:left="284" w:hanging="294"/>
        <w:rPr>
          <w:rFonts w:cs="Arial"/>
          <w:noProof/>
          <w:szCs w:val="20"/>
          <w:lang w:eastAsia="zh-CN"/>
        </w:rPr>
      </w:pPr>
      <w:r w:rsidRPr="00D61C93">
        <w:rPr>
          <w:rFonts w:cs="Arial"/>
          <w:noProof/>
          <w:szCs w:val="20"/>
          <w:lang w:eastAsia="zh-CN"/>
        </w:rPr>
        <w:t>Assist the Project Procurement Specialist in the 3 first years of the project and takes over procurement responsibilities in the following years;</w:t>
      </w:r>
    </w:p>
    <w:p w14:paraId="63B51E92" w14:textId="77777777" w:rsidR="00302BFE" w:rsidRPr="00D61C93" w:rsidRDefault="00302BFE" w:rsidP="00C46720">
      <w:pPr>
        <w:numPr>
          <w:ilvl w:val="0"/>
          <w:numId w:val="59"/>
        </w:numPr>
        <w:spacing w:after="0"/>
        <w:ind w:left="284" w:hanging="294"/>
        <w:rPr>
          <w:rFonts w:cs="Arial"/>
          <w:noProof/>
          <w:szCs w:val="20"/>
          <w:lang w:eastAsia="zh-CN"/>
        </w:rPr>
      </w:pPr>
      <w:r w:rsidRPr="00D61C93">
        <w:rPr>
          <w:rFonts w:cs="Arial"/>
          <w:noProof/>
          <w:szCs w:val="20"/>
          <w:lang w:eastAsia="zh-CN"/>
        </w:rPr>
        <w:t>Assist the M&amp;E officer in matters related to M&amp;E and knowledge resources management;</w:t>
      </w:r>
    </w:p>
    <w:p w14:paraId="3662C06C" w14:textId="77777777" w:rsidR="00302BFE" w:rsidRPr="00D61C93" w:rsidRDefault="00302BFE" w:rsidP="00C46720">
      <w:pPr>
        <w:numPr>
          <w:ilvl w:val="0"/>
          <w:numId w:val="59"/>
        </w:numPr>
        <w:spacing w:after="0"/>
        <w:ind w:left="284" w:hanging="294"/>
        <w:rPr>
          <w:rFonts w:cs="Arial"/>
          <w:noProof/>
          <w:szCs w:val="20"/>
          <w:lang w:eastAsia="zh-CN"/>
        </w:rPr>
      </w:pPr>
      <w:r w:rsidRPr="00D61C93">
        <w:rPr>
          <w:rFonts w:cs="Arial"/>
          <w:noProof/>
          <w:szCs w:val="20"/>
          <w:lang w:eastAsia="zh-CN"/>
        </w:rPr>
        <w:t>Assist in the preparation of progress reports;</w:t>
      </w:r>
    </w:p>
    <w:p w14:paraId="057CD2F8" w14:textId="77777777" w:rsidR="00302BFE" w:rsidRPr="00D61C93" w:rsidRDefault="00302BFE" w:rsidP="00C46720">
      <w:pPr>
        <w:numPr>
          <w:ilvl w:val="0"/>
          <w:numId w:val="59"/>
        </w:numPr>
        <w:spacing w:after="0"/>
        <w:ind w:left="284" w:hanging="294"/>
        <w:rPr>
          <w:rFonts w:cs="Arial"/>
          <w:noProof/>
          <w:szCs w:val="20"/>
          <w:lang w:eastAsia="zh-CN"/>
        </w:rPr>
      </w:pPr>
      <w:r w:rsidRPr="00D61C93">
        <w:rPr>
          <w:rFonts w:cs="Arial"/>
          <w:noProof/>
          <w:szCs w:val="20"/>
          <w:lang w:eastAsia="zh-CN"/>
        </w:rPr>
        <w:t>Ensure all project documentation (progress reports, consulting and other technical reports, minutes of meetings, etc.) are properly maintained in hard and electronic copies in an efficient and readily accessible filing system, for when required by UNDP, project consultants and other PCU staff;</w:t>
      </w:r>
    </w:p>
    <w:p w14:paraId="20B61E81" w14:textId="77777777" w:rsidR="00302BFE" w:rsidRPr="00D61C93" w:rsidRDefault="00302BFE" w:rsidP="00C46720">
      <w:pPr>
        <w:numPr>
          <w:ilvl w:val="0"/>
          <w:numId w:val="59"/>
        </w:numPr>
        <w:spacing w:after="0"/>
        <w:ind w:left="284" w:hanging="294"/>
        <w:rPr>
          <w:rFonts w:cs="Arial"/>
          <w:noProof/>
          <w:szCs w:val="20"/>
          <w:lang w:eastAsia="zh-CN"/>
        </w:rPr>
      </w:pPr>
      <w:r w:rsidRPr="00D61C93">
        <w:rPr>
          <w:rFonts w:cs="Arial"/>
          <w:noProof/>
          <w:szCs w:val="20"/>
          <w:lang w:eastAsia="zh-CN"/>
        </w:rPr>
        <w:t>Provide PCU-related administrative and logistical assistance.</w:t>
      </w:r>
    </w:p>
    <w:p w14:paraId="40B65BBD" w14:textId="1B87C6B4" w:rsidR="00302BFE" w:rsidRPr="00D61C93" w:rsidRDefault="00D842E2" w:rsidP="000D4265">
      <w:pPr>
        <w:spacing w:before="120" w:after="0"/>
        <w:rPr>
          <w:szCs w:val="20"/>
        </w:rPr>
      </w:pPr>
      <w:r w:rsidRPr="00D61C93">
        <w:rPr>
          <w:rFonts w:cs="Arial"/>
          <w:noProof/>
          <w:szCs w:val="20"/>
          <w:u w:val="single"/>
          <w:lang w:eastAsia="zh-CN"/>
        </w:rPr>
        <w:t>Required skills and expertise</w:t>
      </w:r>
      <w:r w:rsidR="00302BFE" w:rsidRPr="00D61C93">
        <w:rPr>
          <w:szCs w:val="20"/>
        </w:rPr>
        <w:t>:</w:t>
      </w:r>
    </w:p>
    <w:p w14:paraId="2EEA28EB" w14:textId="60C58242" w:rsidR="00302BFE" w:rsidRPr="00D61C93" w:rsidRDefault="00302BFE" w:rsidP="00C46720">
      <w:pPr>
        <w:numPr>
          <w:ilvl w:val="0"/>
          <w:numId w:val="59"/>
        </w:numPr>
        <w:spacing w:after="0"/>
        <w:ind w:left="284" w:hanging="294"/>
        <w:rPr>
          <w:rFonts w:cs="Arial"/>
          <w:noProof/>
          <w:szCs w:val="20"/>
          <w:lang w:eastAsia="zh-CN"/>
        </w:rPr>
      </w:pPr>
      <w:r w:rsidRPr="00D61C93">
        <w:rPr>
          <w:rFonts w:cs="Arial"/>
          <w:noProof/>
          <w:szCs w:val="20"/>
          <w:lang w:eastAsia="zh-CN"/>
        </w:rPr>
        <w:t>A Bachelor degree or an advanced diploma in accounting/ financial management;</w:t>
      </w:r>
    </w:p>
    <w:p w14:paraId="68308F3E" w14:textId="77777777" w:rsidR="00302BFE" w:rsidRPr="00D61C93" w:rsidRDefault="00302BFE" w:rsidP="00C46720">
      <w:pPr>
        <w:numPr>
          <w:ilvl w:val="0"/>
          <w:numId w:val="59"/>
        </w:numPr>
        <w:spacing w:after="0"/>
        <w:ind w:left="284" w:hanging="294"/>
        <w:rPr>
          <w:rFonts w:cs="Arial"/>
          <w:noProof/>
          <w:szCs w:val="20"/>
          <w:lang w:eastAsia="zh-CN"/>
        </w:rPr>
      </w:pPr>
      <w:r w:rsidRPr="00D61C93">
        <w:rPr>
          <w:rFonts w:cs="Arial"/>
          <w:noProof/>
          <w:szCs w:val="20"/>
          <w:lang w:eastAsia="zh-CN"/>
        </w:rPr>
        <w:t>At least five years of relevant work experience preferably in a project management setting involving multi-lateral/ international funding agency. Previous experience with UN project will be a definite asset;</w:t>
      </w:r>
    </w:p>
    <w:p w14:paraId="29F42F7E" w14:textId="77777777" w:rsidR="00302BFE" w:rsidRPr="00D61C93" w:rsidRDefault="00302BFE" w:rsidP="00C46720">
      <w:pPr>
        <w:numPr>
          <w:ilvl w:val="0"/>
          <w:numId w:val="59"/>
        </w:numPr>
        <w:spacing w:after="0"/>
        <w:ind w:left="284" w:hanging="294"/>
        <w:rPr>
          <w:rFonts w:cs="Arial"/>
          <w:noProof/>
          <w:szCs w:val="20"/>
          <w:lang w:eastAsia="zh-CN"/>
        </w:rPr>
      </w:pPr>
      <w:r w:rsidRPr="00D61C93">
        <w:rPr>
          <w:rFonts w:cs="Arial"/>
          <w:noProof/>
          <w:szCs w:val="20"/>
          <w:lang w:eastAsia="zh-CN"/>
        </w:rPr>
        <w:t>Proficiency in the use of computer software applications particularly MS Excel;</w:t>
      </w:r>
    </w:p>
    <w:p w14:paraId="17CEB2D1" w14:textId="77777777" w:rsidR="00302BFE" w:rsidRPr="00D61C93" w:rsidRDefault="00302BFE" w:rsidP="00C46720">
      <w:pPr>
        <w:numPr>
          <w:ilvl w:val="0"/>
          <w:numId w:val="59"/>
        </w:numPr>
        <w:spacing w:after="0"/>
        <w:ind w:left="284" w:hanging="294"/>
        <w:rPr>
          <w:rFonts w:cs="Arial"/>
          <w:noProof/>
          <w:szCs w:val="20"/>
          <w:lang w:eastAsia="zh-CN"/>
        </w:rPr>
      </w:pPr>
      <w:r w:rsidRPr="00D61C93">
        <w:rPr>
          <w:rFonts w:cs="Arial"/>
          <w:noProof/>
          <w:szCs w:val="20"/>
          <w:lang w:eastAsia="zh-CN"/>
        </w:rPr>
        <w:t xml:space="preserve">Excellent language skills in French and English (writing, speaking and reading). </w:t>
      </w:r>
    </w:p>
    <w:p w14:paraId="373DAEDE" w14:textId="77777777" w:rsidR="000D4265" w:rsidRPr="00D61C93" w:rsidRDefault="000D4265" w:rsidP="00204930">
      <w:pPr>
        <w:spacing w:before="240" w:after="120"/>
        <w:rPr>
          <w:rFonts w:eastAsia="Times New Roman" w:cs="Arial"/>
          <w:b/>
          <w:bCs/>
          <w:color w:val="0055AA"/>
          <w:szCs w:val="20"/>
          <w:lang w:val="en-CA" w:eastAsia="fr-CA"/>
        </w:rPr>
      </w:pPr>
      <w:r w:rsidRPr="00D61C93">
        <w:rPr>
          <w:rFonts w:eastAsia="Times New Roman" w:cs="Arial"/>
          <w:b/>
          <w:bCs/>
          <w:color w:val="0055AA"/>
          <w:szCs w:val="20"/>
          <w:lang w:val="en-CA" w:eastAsia="fr-CA"/>
        </w:rPr>
        <w:t xml:space="preserve">Procurement Specialist </w:t>
      </w:r>
    </w:p>
    <w:p w14:paraId="0AF396B8" w14:textId="463E064D" w:rsidR="000D4265" w:rsidRPr="00D61C93" w:rsidRDefault="000D4265" w:rsidP="000D4265">
      <w:pPr>
        <w:spacing w:before="120" w:after="120"/>
        <w:rPr>
          <w:szCs w:val="20"/>
          <w:lang w:val="en-CA"/>
        </w:rPr>
      </w:pPr>
      <w:r w:rsidRPr="00D61C93">
        <w:rPr>
          <w:szCs w:val="20"/>
          <w:lang w:val="en-CA"/>
        </w:rPr>
        <w:t>Under the overall supervision of the Project Coordinator, the Procurement Specialist is responsible for fulfilling the procurement requirements of the PONASI Project which involves a significant procurement volume, guaranteeing effective delivery of procurement services in order to obtain the best value for money while ensuring full compliance of procurement activities with UNDP and GEF rules and policies including effective internal control, proper design and functioning.</w:t>
      </w:r>
      <w:r w:rsidR="00D842E2" w:rsidRPr="00D61C93">
        <w:rPr>
          <w:szCs w:val="20"/>
          <w:lang w:val="en-CA"/>
        </w:rPr>
        <w:t xml:space="preserve"> </w:t>
      </w:r>
      <w:r w:rsidRPr="00D61C93">
        <w:rPr>
          <w:szCs w:val="20"/>
          <w:lang w:val="en-CA"/>
        </w:rPr>
        <w:t>The Procurement Specialist will work in close collaboration with the project team, the technical specialists and the Financial and Administrative Assistant within the PCU, the Country Office and the UNDP-Procurement Support Office to successfully deliver procurement services. The procurement specialist will manage, implement and oversee key procurement activities for the needs of the project on a full-time basis for a 3-year period corresponding to the project period when procurement needs will be most critical. The key results will have an impact on the overall efficiency in procurement activities which are central to the achievement of project objectives.</w:t>
      </w:r>
    </w:p>
    <w:p w14:paraId="3DE9CDD6" w14:textId="7F138415" w:rsidR="000D4265" w:rsidRPr="00D61C93" w:rsidRDefault="00D842E2" w:rsidP="00204930">
      <w:pPr>
        <w:spacing w:before="120" w:after="0"/>
        <w:rPr>
          <w:rFonts w:cs="Arial"/>
          <w:noProof/>
          <w:szCs w:val="20"/>
          <w:u w:val="single"/>
          <w:lang w:eastAsia="zh-CN"/>
        </w:rPr>
      </w:pPr>
      <w:r w:rsidRPr="00D61C93">
        <w:rPr>
          <w:rFonts w:cs="Arial"/>
          <w:noProof/>
          <w:szCs w:val="20"/>
          <w:u w:val="single"/>
          <w:lang w:eastAsia="zh-CN"/>
        </w:rPr>
        <w:t>Duties and Responsibilities</w:t>
      </w:r>
      <w:r w:rsidR="000D4265" w:rsidRPr="00D61C93">
        <w:rPr>
          <w:rFonts w:cs="Arial"/>
          <w:noProof/>
          <w:szCs w:val="20"/>
          <w:u w:val="single"/>
          <w:lang w:eastAsia="zh-CN"/>
        </w:rPr>
        <w:t>:</w:t>
      </w:r>
    </w:p>
    <w:p w14:paraId="4D8A5F09" w14:textId="77777777" w:rsidR="000D4265" w:rsidRPr="00D61C93" w:rsidRDefault="000D4265" w:rsidP="000D4265">
      <w:pPr>
        <w:spacing w:before="120" w:after="120"/>
        <w:rPr>
          <w:szCs w:val="20"/>
          <w:lang w:val="en-CA"/>
        </w:rPr>
      </w:pPr>
      <w:r w:rsidRPr="00D61C93">
        <w:rPr>
          <w:szCs w:val="20"/>
          <w:u w:val="single"/>
          <w:lang w:val="en-CA"/>
        </w:rPr>
        <w:lastRenderedPageBreak/>
        <w:t>Elaboration and implementation of project procurement strategies, including of sourcing strategy and e-procurement tools</w:t>
      </w:r>
      <w:r w:rsidRPr="00D61C93">
        <w:rPr>
          <w:szCs w:val="20"/>
          <w:lang w:val="en-CA"/>
        </w:rPr>
        <w:t xml:space="preserve">: </w:t>
      </w:r>
    </w:p>
    <w:p w14:paraId="506CC35F" w14:textId="77777777" w:rsidR="000D4265" w:rsidRPr="00D61C93" w:rsidRDefault="000D4265" w:rsidP="00C46720">
      <w:pPr>
        <w:numPr>
          <w:ilvl w:val="0"/>
          <w:numId w:val="59"/>
        </w:numPr>
        <w:spacing w:after="0"/>
        <w:ind w:left="284" w:hanging="294"/>
        <w:rPr>
          <w:rFonts w:cs="Arial"/>
          <w:noProof/>
          <w:szCs w:val="20"/>
          <w:lang w:eastAsia="zh-CN"/>
        </w:rPr>
      </w:pPr>
      <w:r w:rsidRPr="00D61C93">
        <w:rPr>
          <w:rFonts w:cs="Arial"/>
          <w:noProof/>
          <w:szCs w:val="20"/>
          <w:lang w:eastAsia="zh-CN"/>
        </w:rPr>
        <w:t>Advise on project procurement activities and sourcing strategies that meet UNDP procurement principles and follow up in coordination with CO;</w:t>
      </w:r>
    </w:p>
    <w:p w14:paraId="778FEAF3" w14:textId="77777777" w:rsidR="000D4265" w:rsidRPr="00D61C93" w:rsidRDefault="000D4265" w:rsidP="00C46720">
      <w:pPr>
        <w:numPr>
          <w:ilvl w:val="0"/>
          <w:numId w:val="59"/>
        </w:numPr>
        <w:spacing w:after="0"/>
        <w:ind w:left="284" w:hanging="294"/>
        <w:rPr>
          <w:rFonts w:cs="Arial"/>
          <w:noProof/>
          <w:szCs w:val="20"/>
          <w:lang w:eastAsia="zh-CN"/>
        </w:rPr>
      </w:pPr>
      <w:r w:rsidRPr="00D61C93">
        <w:rPr>
          <w:rFonts w:cs="Arial"/>
          <w:noProof/>
          <w:szCs w:val="20"/>
          <w:lang w:eastAsia="zh-CN"/>
        </w:rPr>
        <w:t>Elaborate and implement cost saving and reduction strategies in project procurement;</w:t>
      </w:r>
    </w:p>
    <w:p w14:paraId="67356B81" w14:textId="77777777" w:rsidR="000D4265" w:rsidRPr="00D61C93" w:rsidRDefault="000D4265" w:rsidP="00C46720">
      <w:pPr>
        <w:numPr>
          <w:ilvl w:val="0"/>
          <w:numId w:val="59"/>
        </w:numPr>
        <w:spacing w:after="0"/>
        <w:ind w:left="284" w:hanging="294"/>
        <w:rPr>
          <w:rFonts w:cs="Arial"/>
          <w:noProof/>
          <w:szCs w:val="20"/>
          <w:lang w:eastAsia="zh-CN"/>
        </w:rPr>
      </w:pPr>
      <w:r w:rsidRPr="00D61C93">
        <w:rPr>
          <w:rFonts w:cs="Arial"/>
          <w:noProof/>
          <w:szCs w:val="20"/>
          <w:lang w:eastAsia="zh-CN"/>
        </w:rPr>
        <w:t>Implement a contract strategy for the project including tendering processes and evaluation, contractor’s appraisal, evaluation and negotiation of offers, management of the contracts and contractors, legal considerations and payment conditions, risk assessment;</w:t>
      </w:r>
    </w:p>
    <w:p w14:paraId="076A1E31" w14:textId="77777777" w:rsidR="000D4265" w:rsidRPr="00D61C93" w:rsidRDefault="000D4265" w:rsidP="00C46720">
      <w:pPr>
        <w:numPr>
          <w:ilvl w:val="0"/>
          <w:numId w:val="59"/>
        </w:numPr>
        <w:spacing w:after="0"/>
        <w:ind w:left="284" w:hanging="294"/>
        <w:rPr>
          <w:rFonts w:cs="Arial"/>
          <w:noProof/>
          <w:szCs w:val="20"/>
          <w:lang w:eastAsia="zh-CN"/>
        </w:rPr>
      </w:pPr>
      <w:r w:rsidRPr="00D61C93">
        <w:rPr>
          <w:rFonts w:cs="Arial"/>
          <w:noProof/>
          <w:szCs w:val="20"/>
          <w:lang w:eastAsia="zh-CN"/>
        </w:rPr>
        <w:t>Conceptualize, elaborate and implement strategic procurement in the project including sourcing strategy, supplier selection and evaluation, quality management, customer relationship management, e-procurement introduction and promotion, performance measurement;</w:t>
      </w:r>
    </w:p>
    <w:p w14:paraId="0D14E79D" w14:textId="77777777" w:rsidR="000D4265" w:rsidRPr="00D61C93" w:rsidRDefault="000D4265" w:rsidP="00C46720">
      <w:pPr>
        <w:numPr>
          <w:ilvl w:val="0"/>
          <w:numId w:val="59"/>
        </w:numPr>
        <w:spacing w:after="0"/>
        <w:ind w:left="284" w:hanging="294"/>
        <w:rPr>
          <w:rFonts w:cs="Arial"/>
          <w:noProof/>
          <w:szCs w:val="20"/>
          <w:lang w:eastAsia="zh-CN"/>
        </w:rPr>
      </w:pPr>
      <w:r w:rsidRPr="00D61C93">
        <w:rPr>
          <w:rFonts w:cs="Arial"/>
          <w:noProof/>
          <w:szCs w:val="20"/>
          <w:lang w:eastAsia="zh-CN"/>
        </w:rPr>
        <w:t>Identify availability and potential local sourcing of planned procurement activities, develop and manage rosters of suppliers and consultants where applicable, elaborate and implement mechanisms for supplier selection and evaluation, and quality and performance measurement;</w:t>
      </w:r>
    </w:p>
    <w:p w14:paraId="76063325" w14:textId="2B86081D" w:rsidR="000D4265" w:rsidRPr="00D61C93" w:rsidRDefault="000D4265" w:rsidP="00C46720">
      <w:pPr>
        <w:numPr>
          <w:ilvl w:val="0"/>
          <w:numId w:val="59"/>
        </w:numPr>
        <w:spacing w:after="0"/>
        <w:ind w:left="284" w:hanging="294"/>
        <w:rPr>
          <w:rFonts w:cs="Arial"/>
          <w:noProof/>
          <w:szCs w:val="20"/>
          <w:lang w:eastAsia="zh-CN"/>
        </w:rPr>
      </w:pPr>
      <w:r w:rsidRPr="00D61C93">
        <w:rPr>
          <w:rFonts w:cs="Arial"/>
          <w:noProof/>
          <w:szCs w:val="20"/>
          <w:lang w:eastAsia="zh-CN"/>
        </w:rPr>
        <w:t>Analyze procurement process results for value for money, based on quality, price, delivery times and other relevant factors</w:t>
      </w:r>
      <w:r w:rsidR="00E925C4" w:rsidRPr="00D61C93">
        <w:rPr>
          <w:rFonts w:cs="Arial"/>
          <w:noProof/>
          <w:szCs w:val="20"/>
          <w:lang w:eastAsia="zh-CN"/>
        </w:rPr>
        <w:t>.</w:t>
      </w:r>
    </w:p>
    <w:p w14:paraId="66E50CB9" w14:textId="77777777" w:rsidR="000D4265" w:rsidRPr="00D61C93" w:rsidRDefault="000D4265" w:rsidP="000D4265">
      <w:pPr>
        <w:spacing w:before="120" w:after="120"/>
        <w:rPr>
          <w:rFonts w:eastAsiaTheme="minorHAnsi" w:cstheme="minorBidi"/>
          <w:szCs w:val="20"/>
          <w:lang w:val="en-CA"/>
        </w:rPr>
      </w:pPr>
      <w:r w:rsidRPr="00D61C93">
        <w:rPr>
          <w:szCs w:val="20"/>
          <w:u w:val="single"/>
          <w:lang w:val="en-CA"/>
        </w:rPr>
        <w:t>Efficient management of procurement processes for the project</w:t>
      </w:r>
      <w:r w:rsidRPr="00D61C93">
        <w:rPr>
          <w:szCs w:val="20"/>
          <w:lang w:val="en-CA"/>
        </w:rPr>
        <w:t xml:space="preserve">, including </w:t>
      </w:r>
    </w:p>
    <w:p w14:paraId="7C25FFD4" w14:textId="77777777" w:rsidR="000D4265" w:rsidRPr="00D61C93" w:rsidRDefault="000D4265" w:rsidP="00C46720">
      <w:pPr>
        <w:numPr>
          <w:ilvl w:val="0"/>
          <w:numId w:val="59"/>
        </w:numPr>
        <w:spacing w:after="0"/>
        <w:ind w:left="284" w:hanging="294"/>
        <w:rPr>
          <w:rFonts w:cs="Arial"/>
          <w:noProof/>
          <w:szCs w:val="20"/>
          <w:lang w:eastAsia="zh-CN"/>
        </w:rPr>
      </w:pPr>
      <w:r w:rsidRPr="00D61C93">
        <w:rPr>
          <w:rFonts w:cs="Arial"/>
          <w:noProof/>
          <w:szCs w:val="20"/>
          <w:lang w:eastAsia="zh-CN"/>
        </w:rPr>
        <w:t>Support the Project Coordinator, UNDP CO and other Specialists involved in the project, in the preparation/validation of the consultants’ profiles and specifications of goods to be acquired by the Project.</w:t>
      </w:r>
    </w:p>
    <w:p w14:paraId="58D45410" w14:textId="77777777" w:rsidR="000D4265" w:rsidRPr="00D61C93" w:rsidRDefault="000D4265" w:rsidP="00C46720">
      <w:pPr>
        <w:numPr>
          <w:ilvl w:val="0"/>
          <w:numId w:val="59"/>
        </w:numPr>
        <w:spacing w:after="0"/>
        <w:ind w:left="284" w:hanging="294"/>
        <w:rPr>
          <w:rFonts w:cs="Arial"/>
          <w:noProof/>
          <w:szCs w:val="20"/>
          <w:lang w:eastAsia="zh-CN"/>
        </w:rPr>
      </w:pPr>
      <w:r w:rsidRPr="00D61C93">
        <w:rPr>
          <w:rFonts w:cs="Arial"/>
          <w:noProof/>
          <w:szCs w:val="20"/>
          <w:lang w:eastAsia="zh-CN"/>
        </w:rPr>
        <w:t xml:space="preserve">Ensure timely and proper preparation of procurement plans for the different activities according to total and annual work plans, including calendar and deadlines, sharing it with the relevant stakeholders and monitoring their implementation; </w:t>
      </w:r>
    </w:p>
    <w:p w14:paraId="64A9C0F4" w14:textId="77777777" w:rsidR="000D4265" w:rsidRPr="00D61C93" w:rsidRDefault="000D4265" w:rsidP="00C46720">
      <w:pPr>
        <w:numPr>
          <w:ilvl w:val="0"/>
          <w:numId w:val="59"/>
        </w:numPr>
        <w:spacing w:after="0"/>
        <w:ind w:left="284" w:hanging="294"/>
        <w:rPr>
          <w:rFonts w:cs="Arial"/>
          <w:noProof/>
          <w:szCs w:val="20"/>
          <w:lang w:eastAsia="zh-CN"/>
        </w:rPr>
      </w:pPr>
      <w:r w:rsidRPr="00D61C93">
        <w:rPr>
          <w:rFonts w:cs="Arial"/>
          <w:noProof/>
          <w:szCs w:val="20"/>
          <w:lang w:eastAsia="zh-CN"/>
        </w:rPr>
        <w:t>Map project procurement business processes and work with CO procurement to establish and/or implement mechanisms to ensure optimum and swift follow up with CO on procurement matters for the project;</w:t>
      </w:r>
    </w:p>
    <w:p w14:paraId="5F5C33FE" w14:textId="77777777" w:rsidR="000D4265" w:rsidRPr="00D61C93" w:rsidRDefault="000D4265" w:rsidP="00C46720">
      <w:pPr>
        <w:numPr>
          <w:ilvl w:val="0"/>
          <w:numId w:val="59"/>
        </w:numPr>
        <w:spacing w:after="0"/>
        <w:ind w:left="284" w:hanging="294"/>
        <w:rPr>
          <w:rFonts w:cs="Arial"/>
          <w:noProof/>
          <w:szCs w:val="20"/>
          <w:lang w:eastAsia="zh-CN"/>
        </w:rPr>
      </w:pPr>
      <w:r w:rsidRPr="00D61C93">
        <w:rPr>
          <w:rFonts w:cs="Arial"/>
          <w:noProof/>
          <w:szCs w:val="20"/>
          <w:lang w:eastAsia="zh-CN"/>
        </w:rPr>
        <w:t>Proceed with the procurement process, prepare a variety of procurement related documents, including Requests for Quotation, Invitations for Bid, Requests for Proposal, purchase orders, contracts, communications, guidelines, instructions, Value For Money submissions, and follow-up;</w:t>
      </w:r>
    </w:p>
    <w:p w14:paraId="6F4391EE" w14:textId="77777777" w:rsidR="000D4265" w:rsidRPr="00D61C93" w:rsidRDefault="000D4265" w:rsidP="00C46720">
      <w:pPr>
        <w:numPr>
          <w:ilvl w:val="0"/>
          <w:numId w:val="59"/>
        </w:numPr>
        <w:spacing w:after="0"/>
        <w:ind w:left="284" w:hanging="294"/>
        <w:rPr>
          <w:rFonts w:cs="Arial"/>
          <w:noProof/>
          <w:szCs w:val="20"/>
          <w:lang w:eastAsia="zh-CN"/>
        </w:rPr>
      </w:pPr>
      <w:r w:rsidRPr="00D61C93">
        <w:rPr>
          <w:rFonts w:cs="Arial"/>
          <w:noProof/>
          <w:szCs w:val="20"/>
          <w:lang w:eastAsia="zh-CN"/>
        </w:rPr>
        <w:t>Establish and implement proper monitoring system and control of procurement processes including receipt and evaluation of quotations, bids or proposals, negotiation of certain conditions of contracts in full compliance with UNDP rules and regulations and in coordination with UNDP CO;</w:t>
      </w:r>
    </w:p>
    <w:p w14:paraId="0E423E91" w14:textId="77777777" w:rsidR="000D4265" w:rsidRPr="00D61C93" w:rsidRDefault="000D4265" w:rsidP="00C46720">
      <w:pPr>
        <w:numPr>
          <w:ilvl w:val="0"/>
          <w:numId w:val="59"/>
        </w:numPr>
        <w:spacing w:after="0"/>
        <w:ind w:left="284" w:hanging="294"/>
        <w:rPr>
          <w:rFonts w:cs="Arial"/>
          <w:noProof/>
          <w:szCs w:val="20"/>
          <w:lang w:eastAsia="zh-CN"/>
        </w:rPr>
      </w:pPr>
      <w:r w:rsidRPr="00D61C93">
        <w:rPr>
          <w:rFonts w:cs="Arial"/>
          <w:noProof/>
          <w:szCs w:val="20"/>
          <w:lang w:eastAsia="zh-CN"/>
        </w:rPr>
        <w:t>Register and control goods and products received in ATLAS and other databases for the proper management and inventories of the project’s assets, and assist the Project Coordinator and CO to manage all assets and report on this;</w:t>
      </w:r>
    </w:p>
    <w:p w14:paraId="1E66F1C2" w14:textId="77777777" w:rsidR="000D4265" w:rsidRPr="00D61C93" w:rsidRDefault="000D4265" w:rsidP="00C46720">
      <w:pPr>
        <w:numPr>
          <w:ilvl w:val="0"/>
          <w:numId w:val="59"/>
        </w:numPr>
        <w:spacing w:after="0"/>
        <w:ind w:left="284" w:hanging="294"/>
        <w:rPr>
          <w:rFonts w:cs="Arial"/>
          <w:noProof/>
          <w:szCs w:val="20"/>
          <w:lang w:eastAsia="zh-CN"/>
        </w:rPr>
      </w:pPr>
      <w:r w:rsidRPr="00D61C93">
        <w:rPr>
          <w:rFonts w:cs="Arial"/>
          <w:noProof/>
          <w:szCs w:val="20"/>
          <w:lang w:eastAsia="zh-CN"/>
        </w:rPr>
        <w:t>Manage ATLAS tools, including creation-tracking-closing of POs, creation of vendors, payment to suppliers, reporting tools on procurement;</w:t>
      </w:r>
    </w:p>
    <w:p w14:paraId="6E5551FA" w14:textId="77777777" w:rsidR="000D4265" w:rsidRPr="00D61C93" w:rsidRDefault="000D4265" w:rsidP="00C46720">
      <w:pPr>
        <w:numPr>
          <w:ilvl w:val="0"/>
          <w:numId w:val="59"/>
        </w:numPr>
        <w:spacing w:after="0"/>
        <w:ind w:left="284" w:hanging="294"/>
        <w:rPr>
          <w:rFonts w:cs="Arial"/>
          <w:noProof/>
          <w:szCs w:val="20"/>
          <w:lang w:eastAsia="zh-CN"/>
        </w:rPr>
      </w:pPr>
      <w:r w:rsidRPr="00D61C93">
        <w:rPr>
          <w:rFonts w:cs="Arial"/>
          <w:noProof/>
          <w:szCs w:val="20"/>
          <w:lang w:eastAsia="zh-CN"/>
        </w:rPr>
        <w:t>Manage and oversee selection and contracting of project consultants, and facilitate recruitment processes and contracting with consultants (in coordination with UNDP CO HR staff), oversee adherence to contractual agreements and performance assessment, recommend amendments and contract extensions, advise concerned parties with respect to contractual rights/obligations;</w:t>
      </w:r>
    </w:p>
    <w:p w14:paraId="5A36CDFE" w14:textId="77777777" w:rsidR="000D4265" w:rsidRPr="00D61C93" w:rsidRDefault="000D4265" w:rsidP="00C46720">
      <w:pPr>
        <w:numPr>
          <w:ilvl w:val="0"/>
          <w:numId w:val="59"/>
        </w:numPr>
        <w:spacing w:after="0"/>
        <w:ind w:left="284" w:hanging="294"/>
        <w:rPr>
          <w:rFonts w:cs="Arial"/>
          <w:noProof/>
          <w:szCs w:val="20"/>
          <w:lang w:eastAsia="zh-CN"/>
        </w:rPr>
      </w:pPr>
      <w:r w:rsidRPr="00D61C93">
        <w:rPr>
          <w:rFonts w:cs="Arial"/>
          <w:noProof/>
          <w:szCs w:val="20"/>
          <w:lang w:eastAsia="zh-CN"/>
        </w:rPr>
        <w:t>Conduct regular meetings and ensure close coordination with the Project Coordinator and project team and provide monthly report on procurement progress;</w:t>
      </w:r>
    </w:p>
    <w:p w14:paraId="038971F4" w14:textId="77777777" w:rsidR="000D4265" w:rsidRPr="00D61C93" w:rsidRDefault="000D4265" w:rsidP="00C46720">
      <w:pPr>
        <w:numPr>
          <w:ilvl w:val="0"/>
          <w:numId w:val="59"/>
        </w:numPr>
        <w:spacing w:after="0"/>
        <w:ind w:left="284" w:hanging="294"/>
        <w:rPr>
          <w:rFonts w:cs="Arial"/>
          <w:noProof/>
          <w:szCs w:val="20"/>
          <w:lang w:eastAsia="zh-CN"/>
        </w:rPr>
      </w:pPr>
      <w:r w:rsidRPr="00D61C93">
        <w:rPr>
          <w:rFonts w:cs="Arial"/>
          <w:noProof/>
          <w:szCs w:val="20"/>
          <w:lang w:eastAsia="zh-CN"/>
        </w:rPr>
        <w:t>Participate in trainings in UNDP and International Standards procurement, and ATLAS on Procurement Rules and Regulations.</w:t>
      </w:r>
    </w:p>
    <w:p w14:paraId="4AE5479A" w14:textId="7246B5C5" w:rsidR="000D4265" w:rsidRPr="00D61C93" w:rsidRDefault="00D842E2" w:rsidP="00E925C4">
      <w:pPr>
        <w:spacing w:before="120" w:after="0"/>
        <w:rPr>
          <w:rFonts w:cs="Arial"/>
          <w:noProof/>
          <w:szCs w:val="20"/>
          <w:u w:val="single"/>
          <w:lang w:eastAsia="zh-CN"/>
        </w:rPr>
      </w:pPr>
      <w:r w:rsidRPr="00D61C93">
        <w:rPr>
          <w:rFonts w:cs="Arial"/>
          <w:noProof/>
          <w:szCs w:val="20"/>
          <w:u w:val="single"/>
          <w:lang w:eastAsia="zh-CN"/>
        </w:rPr>
        <w:t>Required skills and expertise</w:t>
      </w:r>
      <w:r w:rsidR="000D4265" w:rsidRPr="00D61C93">
        <w:rPr>
          <w:rFonts w:cs="Arial"/>
          <w:noProof/>
          <w:szCs w:val="20"/>
          <w:u w:val="single"/>
          <w:lang w:eastAsia="zh-CN"/>
        </w:rPr>
        <w:t>:</w:t>
      </w:r>
    </w:p>
    <w:p w14:paraId="1AC39686" w14:textId="77777777" w:rsidR="00D842E2" w:rsidRPr="00D61C93" w:rsidRDefault="00D842E2" w:rsidP="00C46720">
      <w:pPr>
        <w:numPr>
          <w:ilvl w:val="0"/>
          <w:numId w:val="59"/>
        </w:numPr>
        <w:spacing w:after="0"/>
        <w:ind w:left="284" w:hanging="294"/>
        <w:rPr>
          <w:rFonts w:cs="Arial"/>
          <w:noProof/>
          <w:szCs w:val="20"/>
          <w:lang w:eastAsia="zh-CN"/>
        </w:rPr>
      </w:pPr>
      <w:r w:rsidRPr="00D61C93">
        <w:rPr>
          <w:rFonts w:cs="Arial"/>
          <w:noProof/>
          <w:szCs w:val="20"/>
          <w:lang w:eastAsia="zh-CN"/>
        </w:rPr>
        <w:t>Master’s Degree or equivalent in Business Administration, Public Administration, Finance, Economics, Development or any development related field;</w:t>
      </w:r>
    </w:p>
    <w:p w14:paraId="5C724EB2" w14:textId="77777777" w:rsidR="00D842E2" w:rsidRPr="00D61C93" w:rsidRDefault="00D842E2" w:rsidP="00C46720">
      <w:pPr>
        <w:numPr>
          <w:ilvl w:val="0"/>
          <w:numId w:val="59"/>
        </w:numPr>
        <w:spacing w:after="0"/>
        <w:ind w:left="284" w:hanging="294"/>
        <w:rPr>
          <w:rFonts w:cs="Arial"/>
          <w:noProof/>
          <w:szCs w:val="20"/>
          <w:lang w:eastAsia="zh-CN"/>
        </w:rPr>
      </w:pPr>
      <w:r w:rsidRPr="00D61C93">
        <w:rPr>
          <w:rFonts w:cs="Arial"/>
          <w:noProof/>
          <w:szCs w:val="20"/>
          <w:lang w:eastAsia="zh-CN"/>
        </w:rPr>
        <w:t>UNDP Procurement Certification, any level above CIPS III certification, is highly desirable.</w:t>
      </w:r>
    </w:p>
    <w:p w14:paraId="2841EF76" w14:textId="77777777" w:rsidR="00D842E2" w:rsidRPr="00D61C93" w:rsidRDefault="00D842E2" w:rsidP="00C46720">
      <w:pPr>
        <w:numPr>
          <w:ilvl w:val="0"/>
          <w:numId w:val="59"/>
        </w:numPr>
        <w:spacing w:after="0"/>
        <w:ind w:left="284" w:hanging="294"/>
        <w:rPr>
          <w:rFonts w:cs="Arial"/>
          <w:noProof/>
          <w:szCs w:val="20"/>
          <w:lang w:eastAsia="zh-CN"/>
        </w:rPr>
      </w:pPr>
      <w:r w:rsidRPr="00D61C93">
        <w:rPr>
          <w:rFonts w:cs="Arial"/>
          <w:noProof/>
          <w:szCs w:val="20"/>
          <w:lang w:eastAsia="zh-CN"/>
        </w:rPr>
        <w:t>Specialized certification in Procurement will be an advantage.</w:t>
      </w:r>
    </w:p>
    <w:p w14:paraId="58F8ADFE" w14:textId="77777777" w:rsidR="000D4265" w:rsidRPr="00D61C93" w:rsidRDefault="000D4265" w:rsidP="00C46720">
      <w:pPr>
        <w:numPr>
          <w:ilvl w:val="0"/>
          <w:numId w:val="59"/>
        </w:numPr>
        <w:spacing w:after="0"/>
        <w:ind w:left="284" w:hanging="294"/>
        <w:rPr>
          <w:rFonts w:cs="Arial"/>
          <w:noProof/>
          <w:szCs w:val="20"/>
          <w:lang w:eastAsia="zh-CN"/>
        </w:rPr>
      </w:pPr>
      <w:r w:rsidRPr="00D61C93">
        <w:rPr>
          <w:rFonts w:cs="Arial"/>
          <w:noProof/>
          <w:szCs w:val="20"/>
          <w:lang w:eastAsia="zh-CN"/>
        </w:rPr>
        <w:t>Excellent knowledge of tools, procedures and international standards for the purchase of goods and services within the context of developmental support programs.</w:t>
      </w:r>
    </w:p>
    <w:p w14:paraId="5737DB50" w14:textId="77777777" w:rsidR="000D4265" w:rsidRPr="00D61C93" w:rsidRDefault="000D4265" w:rsidP="00C46720">
      <w:pPr>
        <w:numPr>
          <w:ilvl w:val="0"/>
          <w:numId w:val="59"/>
        </w:numPr>
        <w:spacing w:after="0"/>
        <w:ind w:left="284" w:hanging="294"/>
        <w:rPr>
          <w:rFonts w:cs="Arial"/>
          <w:noProof/>
          <w:szCs w:val="20"/>
          <w:lang w:eastAsia="zh-CN"/>
        </w:rPr>
      </w:pPr>
      <w:r w:rsidRPr="00D61C93">
        <w:rPr>
          <w:rFonts w:cs="Arial"/>
          <w:noProof/>
          <w:szCs w:val="20"/>
          <w:lang w:eastAsia="zh-CN"/>
        </w:rPr>
        <w:t>Knowledge of the UNDP administrative and financial management procedures is highly desirable</w:t>
      </w:r>
    </w:p>
    <w:p w14:paraId="14E57770" w14:textId="77777777" w:rsidR="000D4265" w:rsidRPr="00D61C93" w:rsidRDefault="000D4265" w:rsidP="00C46720">
      <w:pPr>
        <w:numPr>
          <w:ilvl w:val="0"/>
          <w:numId w:val="59"/>
        </w:numPr>
        <w:spacing w:after="0"/>
        <w:ind w:left="284" w:hanging="294"/>
        <w:rPr>
          <w:rFonts w:cs="Arial"/>
          <w:noProof/>
          <w:szCs w:val="20"/>
          <w:lang w:eastAsia="zh-CN"/>
        </w:rPr>
      </w:pPr>
      <w:r w:rsidRPr="00D61C93">
        <w:rPr>
          <w:rFonts w:cs="Arial"/>
          <w:noProof/>
          <w:szCs w:val="20"/>
          <w:lang w:eastAsia="zh-CN"/>
        </w:rPr>
        <w:t>Familiarity with UNDP programme execution modalities, rules and regulations.</w:t>
      </w:r>
    </w:p>
    <w:p w14:paraId="4223C254" w14:textId="77777777" w:rsidR="000D4265" w:rsidRPr="00D61C93" w:rsidRDefault="000D4265" w:rsidP="00C46720">
      <w:pPr>
        <w:numPr>
          <w:ilvl w:val="0"/>
          <w:numId w:val="59"/>
        </w:numPr>
        <w:spacing w:after="0"/>
        <w:ind w:left="284" w:hanging="294"/>
        <w:rPr>
          <w:rFonts w:cs="Arial"/>
          <w:noProof/>
          <w:szCs w:val="20"/>
          <w:lang w:eastAsia="zh-CN"/>
        </w:rPr>
      </w:pPr>
      <w:r w:rsidRPr="00D61C93">
        <w:rPr>
          <w:rFonts w:cs="Arial"/>
          <w:noProof/>
          <w:szCs w:val="20"/>
          <w:lang w:eastAsia="zh-CN"/>
        </w:rPr>
        <w:t>Computer literate especially, in calculus sheets, Excel, Access is required, and advanced knowledge of the UNDP ERP (ATLAS) is desirable.</w:t>
      </w:r>
    </w:p>
    <w:p w14:paraId="70E2E4A8" w14:textId="77777777" w:rsidR="000D4265" w:rsidRPr="00D61C93" w:rsidRDefault="000D4265" w:rsidP="00C46720">
      <w:pPr>
        <w:numPr>
          <w:ilvl w:val="0"/>
          <w:numId w:val="59"/>
        </w:numPr>
        <w:spacing w:after="0"/>
        <w:ind w:left="284" w:hanging="294"/>
        <w:rPr>
          <w:rFonts w:cs="Arial"/>
          <w:noProof/>
          <w:szCs w:val="20"/>
          <w:lang w:eastAsia="zh-CN"/>
        </w:rPr>
      </w:pPr>
      <w:r w:rsidRPr="00D61C93">
        <w:rPr>
          <w:rFonts w:cs="Arial"/>
          <w:noProof/>
          <w:szCs w:val="20"/>
          <w:lang w:eastAsia="zh-CN"/>
        </w:rPr>
        <w:t>Effective communication skills and ability to establish good working relationships.</w:t>
      </w:r>
    </w:p>
    <w:p w14:paraId="4B6B008F" w14:textId="77777777" w:rsidR="000D4265" w:rsidRPr="00D61C93" w:rsidRDefault="000D4265" w:rsidP="00C46720">
      <w:pPr>
        <w:numPr>
          <w:ilvl w:val="0"/>
          <w:numId w:val="59"/>
        </w:numPr>
        <w:spacing w:after="0"/>
        <w:ind w:left="284" w:hanging="294"/>
        <w:rPr>
          <w:rFonts w:cs="Arial"/>
          <w:noProof/>
          <w:szCs w:val="20"/>
          <w:lang w:eastAsia="zh-CN"/>
        </w:rPr>
      </w:pPr>
      <w:r w:rsidRPr="00D61C93">
        <w:rPr>
          <w:rFonts w:cs="Arial"/>
          <w:noProof/>
          <w:szCs w:val="20"/>
          <w:lang w:eastAsia="zh-CN"/>
        </w:rPr>
        <w:t>High moral integrity, as well as diplomacy, impartiality and discretion with proven ability to work and act under pressure and with discretion in a politically sensitive and challenging environment</w:t>
      </w:r>
    </w:p>
    <w:p w14:paraId="1BB81734" w14:textId="77777777" w:rsidR="000D4265" w:rsidRPr="00D61C93" w:rsidRDefault="000D4265" w:rsidP="00C46720">
      <w:pPr>
        <w:numPr>
          <w:ilvl w:val="0"/>
          <w:numId w:val="59"/>
        </w:numPr>
        <w:spacing w:after="0"/>
        <w:ind w:left="284" w:hanging="294"/>
        <w:rPr>
          <w:rFonts w:cs="Arial"/>
          <w:noProof/>
          <w:szCs w:val="20"/>
          <w:lang w:eastAsia="zh-CN"/>
        </w:rPr>
      </w:pPr>
      <w:r w:rsidRPr="00D61C93">
        <w:rPr>
          <w:rFonts w:cs="Arial"/>
          <w:noProof/>
          <w:szCs w:val="20"/>
          <w:lang w:eastAsia="zh-CN"/>
        </w:rPr>
        <w:t>At least 5 years of relevant experience at the national or international level in procurement at UNDP or other international organizations;</w:t>
      </w:r>
    </w:p>
    <w:p w14:paraId="005EDAB8" w14:textId="17B88081" w:rsidR="000D4265" w:rsidRPr="00D61C93" w:rsidRDefault="00E925C4" w:rsidP="00C46720">
      <w:pPr>
        <w:numPr>
          <w:ilvl w:val="0"/>
          <w:numId w:val="59"/>
        </w:numPr>
        <w:spacing w:after="0"/>
        <w:ind w:left="284" w:hanging="294"/>
        <w:rPr>
          <w:rFonts w:cs="Arial"/>
          <w:noProof/>
          <w:szCs w:val="20"/>
          <w:lang w:eastAsia="zh-CN"/>
        </w:rPr>
      </w:pPr>
      <w:r w:rsidRPr="00D61C93">
        <w:rPr>
          <w:rFonts w:cs="Arial"/>
          <w:noProof/>
          <w:szCs w:val="20"/>
          <w:lang w:eastAsia="zh-CN"/>
        </w:rPr>
        <w:t xml:space="preserve">Preference will be given to candidates with experience in UNDP operations, </w:t>
      </w:r>
      <w:r w:rsidR="000D4265" w:rsidRPr="00D61C93">
        <w:rPr>
          <w:rFonts w:cs="Arial"/>
          <w:noProof/>
          <w:szCs w:val="20"/>
          <w:lang w:eastAsia="zh-CN"/>
        </w:rPr>
        <w:t>e-tendering platform and ATLAS contract management</w:t>
      </w:r>
    </w:p>
    <w:p w14:paraId="51F97A7E" w14:textId="77777777" w:rsidR="000D4265" w:rsidRPr="00D61C93" w:rsidRDefault="000D4265" w:rsidP="00C46720">
      <w:pPr>
        <w:numPr>
          <w:ilvl w:val="0"/>
          <w:numId w:val="59"/>
        </w:numPr>
        <w:spacing w:after="0"/>
        <w:ind w:left="284" w:hanging="294"/>
        <w:rPr>
          <w:rFonts w:cs="Arial"/>
          <w:noProof/>
          <w:szCs w:val="20"/>
          <w:lang w:eastAsia="zh-CN"/>
        </w:rPr>
      </w:pPr>
      <w:r w:rsidRPr="00D61C93">
        <w:rPr>
          <w:rFonts w:cs="Arial"/>
          <w:noProof/>
          <w:szCs w:val="20"/>
          <w:lang w:eastAsia="zh-CN"/>
        </w:rPr>
        <w:lastRenderedPageBreak/>
        <w:t>Solid experience in the use of computers and office software packages (MS Office incl. Word, Excel) as well as advanced knowledge of web-based management systems</w:t>
      </w:r>
    </w:p>
    <w:p w14:paraId="103C3AB9" w14:textId="315800A7" w:rsidR="00D842E2" w:rsidRPr="00D61C93" w:rsidRDefault="00D842E2" w:rsidP="00C46720">
      <w:pPr>
        <w:numPr>
          <w:ilvl w:val="0"/>
          <w:numId w:val="59"/>
        </w:numPr>
        <w:spacing w:after="0"/>
        <w:ind w:left="284" w:hanging="294"/>
        <w:rPr>
          <w:rFonts w:cs="Arial"/>
          <w:noProof/>
          <w:szCs w:val="20"/>
          <w:lang w:eastAsia="zh-CN"/>
        </w:rPr>
      </w:pPr>
      <w:r w:rsidRPr="00D61C93">
        <w:rPr>
          <w:rFonts w:cs="Arial"/>
          <w:noProof/>
          <w:szCs w:val="20"/>
          <w:lang w:eastAsia="zh-CN"/>
        </w:rPr>
        <w:t>Fluency in both written and spoken English and French is required</w:t>
      </w:r>
    </w:p>
    <w:p w14:paraId="1DD639B6" w14:textId="77777777" w:rsidR="00302BFE" w:rsidRPr="00D61C93" w:rsidRDefault="00302BFE" w:rsidP="00204930">
      <w:pPr>
        <w:spacing w:before="240" w:after="120"/>
        <w:rPr>
          <w:rFonts w:eastAsia="Times New Roman" w:cs="Arial"/>
          <w:b/>
          <w:bCs/>
          <w:color w:val="0055AA"/>
          <w:szCs w:val="20"/>
          <w:lang w:val="en-CA" w:eastAsia="fr-CA"/>
        </w:rPr>
      </w:pPr>
      <w:r w:rsidRPr="00D61C93">
        <w:rPr>
          <w:rFonts w:eastAsia="Times New Roman" w:cs="Arial"/>
          <w:b/>
          <w:bCs/>
          <w:color w:val="0055AA"/>
          <w:szCs w:val="20"/>
          <w:lang w:val="en-CA" w:eastAsia="fr-CA"/>
        </w:rPr>
        <w:t xml:space="preserve">Expert in </w:t>
      </w:r>
      <w:bookmarkStart w:id="57" w:name="_Toc416219175"/>
      <w:bookmarkStart w:id="58" w:name="_Toc416219328"/>
      <w:bookmarkStart w:id="59" w:name="_Toc416219696"/>
      <w:bookmarkStart w:id="60" w:name="_Toc416259148"/>
      <w:bookmarkStart w:id="61" w:name="_Toc416303492"/>
      <w:r w:rsidRPr="00D61C93">
        <w:rPr>
          <w:rFonts w:eastAsia="Times New Roman" w:cs="Arial"/>
          <w:b/>
          <w:bCs/>
          <w:color w:val="0055AA"/>
          <w:szCs w:val="20"/>
          <w:lang w:val="en-CA" w:eastAsia="fr-CA"/>
        </w:rPr>
        <w:t>PA-related Tourism</w:t>
      </w:r>
      <w:bookmarkEnd w:id="57"/>
      <w:bookmarkEnd w:id="58"/>
      <w:bookmarkEnd w:id="59"/>
      <w:bookmarkEnd w:id="60"/>
      <w:bookmarkEnd w:id="61"/>
    </w:p>
    <w:p w14:paraId="3E70B197" w14:textId="38151CCD" w:rsidR="00302BFE" w:rsidRPr="00961982" w:rsidRDefault="00302BFE" w:rsidP="00302BFE">
      <w:pPr>
        <w:rPr>
          <w:b/>
          <w:szCs w:val="20"/>
        </w:rPr>
      </w:pPr>
      <w:r w:rsidRPr="00D61C93">
        <w:rPr>
          <w:szCs w:val="20"/>
        </w:rPr>
        <w:t xml:space="preserve">Under the guidance and supervision of the Project Coordinator, the Expert in PA-related Tourism will have the following specific </w:t>
      </w:r>
      <w:r w:rsidR="00D842E2" w:rsidRPr="00D61C93">
        <w:rPr>
          <w:szCs w:val="20"/>
          <w:u w:val="single"/>
        </w:rPr>
        <w:t xml:space="preserve">duties and </w:t>
      </w:r>
      <w:r w:rsidRPr="00D61C93">
        <w:rPr>
          <w:szCs w:val="20"/>
          <w:u w:val="single"/>
        </w:rPr>
        <w:t>responsibilitie</w:t>
      </w:r>
      <w:r w:rsidRPr="00D61C93">
        <w:rPr>
          <w:szCs w:val="20"/>
        </w:rPr>
        <w:t>s:</w:t>
      </w:r>
    </w:p>
    <w:p w14:paraId="0459C9B9" w14:textId="77777777" w:rsidR="00302BFE" w:rsidRPr="00580E65" w:rsidRDefault="00302BFE" w:rsidP="00C46720">
      <w:pPr>
        <w:numPr>
          <w:ilvl w:val="0"/>
          <w:numId w:val="59"/>
        </w:numPr>
        <w:spacing w:after="0"/>
        <w:ind w:left="284" w:hanging="294"/>
        <w:rPr>
          <w:rFonts w:cs="Arial"/>
          <w:noProof/>
          <w:szCs w:val="20"/>
          <w:lang w:eastAsia="zh-CN"/>
        </w:rPr>
      </w:pPr>
      <w:r w:rsidRPr="00580E65">
        <w:rPr>
          <w:rFonts w:cs="Arial"/>
          <w:noProof/>
          <w:szCs w:val="20"/>
          <w:lang w:eastAsia="zh-CN"/>
        </w:rPr>
        <w:t>Review and inform on applicability of best international best practice on sustainable tourism standards, participatory processes, and maximising tourism value chain linkages.</w:t>
      </w:r>
    </w:p>
    <w:p w14:paraId="039C65D9" w14:textId="77777777" w:rsidR="00302BFE" w:rsidRPr="00580E65" w:rsidRDefault="00302BFE" w:rsidP="00C46720">
      <w:pPr>
        <w:numPr>
          <w:ilvl w:val="0"/>
          <w:numId w:val="59"/>
        </w:numPr>
        <w:spacing w:after="0"/>
        <w:ind w:left="284" w:hanging="294"/>
        <w:rPr>
          <w:rFonts w:cs="Arial"/>
          <w:noProof/>
          <w:szCs w:val="20"/>
          <w:lang w:eastAsia="zh-CN"/>
        </w:rPr>
      </w:pPr>
      <w:r w:rsidRPr="00580E65">
        <w:rPr>
          <w:rFonts w:cs="Arial"/>
          <w:noProof/>
          <w:szCs w:val="20"/>
          <w:lang w:eastAsia="zh-CN"/>
        </w:rPr>
        <w:t xml:space="preserve">Advise and provide guidance on sustainable tourism strategy development, including policy review, financial analysis, market research, tourism asset inventory. </w:t>
      </w:r>
    </w:p>
    <w:p w14:paraId="21FBECAF" w14:textId="77777777" w:rsidR="00302BFE" w:rsidRPr="00580E65" w:rsidRDefault="00302BFE" w:rsidP="00C46720">
      <w:pPr>
        <w:numPr>
          <w:ilvl w:val="0"/>
          <w:numId w:val="59"/>
        </w:numPr>
        <w:spacing w:after="0"/>
        <w:ind w:left="284" w:hanging="294"/>
        <w:rPr>
          <w:rFonts w:cs="Arial"/>
          <w:noProof/>
          <w:szCs w:val="20"/>
          <w:lang w:eastAsia="zh-CN"/>
        </w:rPr>
      </w:pPr>
      <w:r w:rsidRPr="00580E65">
        <w:rPr>
          <w:rFonts w:cs="Arial"/>
          <w:noProof/>
          <w:szCs w:val="20"/>
          <w:lang w:eastAsia="zh-CN"/>
        </w:rPr>
        <w:t>Advise on development of a PONASI destination management organisation.</w:t>
      </w:r>
    </w:p>
    <w:p w14:paraId="58B3A78D" w14:textId="77777777" w:rsidR="00302BFE" w:rsidRPr="00580E65" w:rsidRDefault="00302BFE" w:rsidP="00C46720">
      <w:pPr>
        <w:numPr>
          <w:ilvl w:val="0"/>
          <w:numId w:val="59"/>
        </w:numPr>
        <w:spacing w:after="0"/>
        <w:ind w:left="284" w:hanging="294"/>
        <w:rPr>
          <w:rFonts w:cs="Arial"/>
          <w:noProof/>
          <w:szCs w:val="20"/>
          <w:lang w:eastAsia="zh-CN"/>
        </w:rPr>
      </w:pPr>
      <w:r w:rsidRPr="00580E65">
        <w:rPr>
          <w:rFonts w:cs="Arial"/>
          <w:noProof/>
          <w:szCs w:val="20"/>
          <w:lang w:eastAsia="zh-CN"/>
        </w:rPr>
        <w:t xml:space="preserve">Design, advise and guide tourism capacity building and training programs, for protected area staff and community members. </w:t>
      </w:r>
    </w:p>
    <w:p w14:paraId="7F2FABFA" w14:textId="77777777" w:rsidR="00302BFE" w:rsidRPr="00580E65" w:rsidRDefault="00302BFE" w:rsidP="00C46720">
      <w:pPr>
        <w:numPr>
          <w:ilvl w:val="0"/>
          <w:numId w:val="59"/>
        </w:numPr>
        <w:spacing w:after="0"/>
        <w:ind w:left="284" w:hanging="294"/>
        <w:rPr>
          <w:rFonts w:cs="Arial"/>
          <w:noProof/>
          <w:szCs w:val="20"/>
          <w:lang w:eastAsia="zh-CN"/>
        </w:rPr>
      </w:pPr>
      <w:r w:rsidRPr="00580E65">
        <w:rPr>
          <w:rFonts w:cs="Arial"/>
          <w:noProof/>
          <w:szCs w:val="20"/>
          <w:lang w:eastAsia="zh-CN"/>
        </w:rPr>
        <w:t xml:space="preserve">Design and manage a small grants program for tourism product development by SMMEs and entrepreneurs. Focus on linkages between local community enterprises and protected area attractions to ensure people benefit and understand conservation. </w:t>
      </w:r>
    </w:p>
    <w:p w14:paraId="62E59B44" w14:textId="77777777" w:rsidR="00302BFE" w:rsidRPr="00580E65" w:rsidRDefault="00302BFE" w:rsidP="00C46720">
      <w:pPr>
        <w:numPr>
          <w:ilvl w:val="0"/>
          <w:numId w:val="59"/>
        </w:numPr>
        <w:spacing w:after="0"/>
        <w:ind w:left="284" w:hanging="294"/>
        <w:rPr>
          <w:rFonts w:cs="Arial"/>
          <w:noProof/>
          <w:szCs w:val="20"/>
          <w:lang w:eastAsia="zh-CN"/>
        </w:rPr>
      </w:pPr>
      <w:r w:rsidRPr="00580E65">
        <w:rPr>
          <w:rFonts w:cs="Arial"/>
          <w:noProof/>
          <w:szCs w:val="20"/>
          <w:lang w:eastAsia="zh-CN"/>
        </w:rPr>
        <w:t xml:space="preserve">Design and advising on a market access strategy for PONASI tourism offerings, including online promotion (including peer-to-peer platforms), organizing familiarization trips for tour operators and media, organization of a market linkage workshop between products and buyers. </w:t>
      </w:r>
    </w:p>
    <w:p w14:paraId="1D826CE0" w14:textId="77777777" w:rsidR="00302BFE" w:rsidRPr="00580E65" w:rsidRDefault="00302BFE" w:rsidP="00C46720">
      <w:pPr>
        <w:numPr>
          <w:ilvl w:val="0"/>
          <w:numId w:val="59"/>
        </w:numPr>
        <w:spacing w:after="0"/>
        <w:ind w:left="284" w:hanging="294"/>
        <w:rPr>
          <w:rFonts w:cs="Arial"/>
          <w:noProof/>
          <w:szCs w:val="20"/>
          <w:lang w:eastAsia="zh-CN"/>
        </w:rPr>
      </w:pPr>
      <w:r w:rsidRPr="00580E65">
        <w:rPr>
          <w:rFonts w:cs="Arial"/>
          <w:noProof/>
          <w:szCs w:val="20"/>
          <w:lang w:eastAsia="zh-CN"/>
        </w:rPr>
        <w:t>Guide the procurement, design, development, and installation of protected area visitor infrastructure, including a visitor complex, trail development and improvement, observation platforms and ablutions with the PNKT.</w:t>
      </w:r>
    </w:p>
    <w:p w14:paraId="2F9799CE" w14:textId="4355777C" w:rsidR="00302BFE" w:rsidRPr="00204930" w:rsidRDefault="00D842E2" w:rsidP="00204930">
      <w:pPr>
        <w:spacing w:before="120" w:after="0"/>
        <w:rPr>
          <w:rFonts w:cs="Arial"/>
          <w:noProof/>
          <w:szCs w:val="20"/>
          <w:u w:val="single"/>
          <w:lang w:eastAsia="zh-CN"/>
        </w:rPr>
      </w:pPr>
      <w:r>
        <w:rPr>
          <w:rFonts w:cs="Arial"/>
          <w:noProof/>
          <w:szCs w:val="20"/>
          <w:u w:val="single"/>
          <w:lang w:eastAsia="zh-CN"/>
        </w:rPr>
        <w:t>Required skills and expertise</w:t>
      </w:r>
      <w:r w:rsidR="00302BFE" w:rsidRPr="00204930">
        <w:rPr>
          <w:rFonts w:cs="Arial"/>
          <w:noProof/>
          <w:szCs w:val="20"/>
          <w:u w:val="single"/>
          <w:lang w:eastAsia="zh-CN"/>
        </w:rPr>
        <w:t>:</w:t>
      </w:r>
    </w:p>
    <w:p w14:paraId="65F431CD" w14:textId="77777777" w:rsidR="00302BFE" w:rsidRPr="00580E65" w:rsidRDefault="00302BFE" w:rsidP="00C46720">
      <w:pPr>
        <w:numPr>
          <w:ilvl w:val="0"/>
          <w:numId w:val="59"/>
        </w:numPr>
        <w:spacing w:after="0"/>
        <w:ind w:left="284" w:hanging="294"/>
        <w:rPr>
          <w:rFonts w:cs="Arial"/>
          <w:noProof/>
          <w:szCs w:val="20"/>
          <w:lang w:eastAsia="zh-CN"/>
        </w:rPr>
      </w:pPr>
      <w:r w:rsidRPr="00580E65">
        <w:rPr>
          <w:rFonts w:cs="Arial"/>
          <w:noProof/>
          <w:szCs w:val="20"/>
          <w:lang w:eastAsia="zh-CN"/>
        </w:rPr>
        <w:t>Protected area and sustainable tourism planning and management with hands-on experiences in developing and strengthening human capacities in a multi stakeholder context.</w:t>
      </w:r>
    </w:p>
    <w:p w14:paraId="642767A0" w14:textId="77777777" w:rsidR="00302BFE" w:rsidRPr="00580E65" w:rsidRDefault="00302BFE" w:rsidP="00C46720">
      <w:pPr>
        <w:numPr>
          <w:ilvl w:val="0"/>
          <w:numId w:val="59"/>
        </w:numPr>
        <w:spacing w:after="0"/>
        <w:ind w:left="284" w:hanging="294"/>
        <w:rPr>
          <w:rFonts w:cs="Arial"/>
          <w:noProof/>
          <w:szCs w:val="20"/>
          <w:lang w:eastAsia="zh-CN"/>
        </w:rPr>
      </w:pPr>
      <w:r w:rsidRPr="00580E65">
        <w:rPr>
          <w:rFonts w:cs="Arial"/>
          <w:noProof/>
          <w:szCs w:val="20"/>
          <w:lang w:eastAsia="zh-CN"/>
        </w:rPr>
        <w:t>Dual technical excellence in (i) biodiversity and protected area management and (ii) sustainable tourism (iii) community-based tourism.</w:t>
      </w:r>
    </w:p>
    <w:p w14:paraId="56BF6361" w14:textId="77777777" w:rsidR="00302BFE" w:rsidRPr="00580E65" w:rsidRDefault="00302BFE" w:rsidP="00C46720">
      <w:pPr>
        <w:numPr>
          <w:ilvl w:val="0"/>
          <w:numId w:val="59"/>
        </w:numPr>
        <w:spacing w:after="0"/>
        <w:ind w:left="284" w:hanging="294"/>
        <w:rPr>
          <w:rFonts w:cs="Arial"/>
          <w:noProof/>
          <w:szCs w:val="20"/>
          <w:lang w:eastAsia="zh-CN"/>
        </w:rPr>
      </w:pPr>
      <w:r w:rsidRPr="00580E65">
        <w:rPr>
          <w:rFonts w:cs="Arial"/>
          <w:noProof/>
          <w:szCs w:val="20"/>
          <w:lang w:eastAsia="zh-CN"/>
        </w:rPr>
        <w:t xml:space="preserve">Sound knowledge of the tourism industry and trends in Burkina Faso and West Africa. </w:t>
      </w:r>
    </w:p>
    <w:p w14:paraId="07545C8E" w14:textId="77777777" w:rsidR="00302BFE" w:rsidRPr="00580E65" w:rsidRDefault="00302BFE" w:rsidP="00C46720">
      <w:pPr>
        <w:numPr>
          <w:ilvl w:val="0"/>
          <w:numId w:val="59"/>
        </w:numPr>
        <w:spacing w:after="0"/>
        <w:ind w:left="284" w:hanging="294"/>
        <w:rPr>
          <w:rFonts w:cs="Arial"/>
          <w:noProof/>
          <w:szCs w:val="20"/>
          <w:lang w:eastAsia="zh-CN"/>
        </w:rPr>
      </w:pPr>
      <w:r w:rsidRPr="00580E65">
        <w:rPr>
          <w:rFonts w:cs="Arial"/>
          <w:noProof/>
          <w:szCs w:val="20"/>
          <w:lang w:eastAsia="zh-CN"/>
        </w:rPr>
        <w:t>Good understanding of results-based project management.</w:t>
      </w:r>
    </w:p>
    <w:p w14:paraId="4A6F5EAB" w14:textId="77777777" w:rsidR="00302BFE" w:rsidRPr="00580E65" w:rsidRDefault="00302BFE" w:rsidP="00C46720">
      <w:pPr>
        <w:numPr>
          <w:ilvl w:val="0"/>
          <w:numId w:val="59"/>
        </w:numPr>
        <w:spacing w:after="0"/>
        <w:ind w:left="284" w:hanging="294"/>
        <w:rPr>
          <w:rFonts w:cs="Arial"/>
          <w:noProof/>
          <w:szCs w:val="20"/>
          <w:lang w:eastAsia="zh-CN"/>
        </w:rPr>
      </w:pPr>
      <w:r w:rsidRPr="00580E65">
        <w:rPr>
          <w:rFonts w:cs="Arial"/>
          <w:noProof/>
          <w:szCs w:val="20"/>
          <w:lang w:eastAsia="zh-CN"/>
        </w:rPr>
        <w:t>Good knowledge of and a good record of practical experiences with participatory processes, training and facilitation approaches and methods.</w:t>
      </w:r>
    </w:p>
    <w:p w14:paraId="2D8FB0F8" w14:textId="77777777" w:rsidR="00302BFE" w:rsidRPr="00580E65" w:rsidRDefault="00302BFE" w:rsidP="00C46720">
      <w:pPr>
        <w:numPr>
          <w:ilvl w:val="0"/>
          <w:numId w:val="59"/>
        </w:numPr>
        <w:spacing w:after="0"/>
        <w:ind w:left="284" w:hanging="294"/>
        <w:rPr>
          <w:rFonts w:cs="Arial"/>
          <w:noProof/>
          <w:szCs w:val="20"/>
          <w:lang w:eastAsia="zh-CN"/>
        </w:rPr>
      </w:pPr>
      <w:r w:rsidRPr="00580E65">
        <w:rPr>
          <w:rFonts w:cs="Arial"/>
          <w:noProof/>
          <w:szCs w:val="20"/>
          <w:lang w:eastAsia="zh-CN"/>
        </w:rPr>
        <w:t>Good knowledge of and a good record of practical experiences with concepts and practices of networking for learning, dissemination and replication.</w:t>
      </w:r>
    </w:p>
    <w:p w14:paraId="7C84F4AE" w14:textId="77777777" w:rsidR="00302BFE" w:rsidRPr="00580E65" w:rsidRDefault="00302BFE" w:rsidP="00C46720">
      <w:pPr>
        <w:numPr>
          <w:ilvl w:val="0"/>
          <w:numId w:val="59"/>
        </w:numPr>
        <w:spacing w:after="0"/>
        <w:ind w:left="284" w:hanging="294"/>
        <w:rPr>
          <w:rFonts w:cs="Arial"/>
          <w:noProof/>
          <w:szCs w:val="20"/>
          <w:lang w:eastAsia="zh-CN"/>
        </w:rPr>
      </w:pPr>
      <w:r w:rsidRPr="00580E65">
        <w:rPr>
          <w:rFonts w:cs="Arial"/>
          <w:noProof/>
          <w:szCs w:val="20"/>
          <w:lang w:eastAsia="zh-CN"/>
        </w:rPr>
        <w:t>Have experience in working with various actors in the tourism sector, including government, private sector, traditional authorities and communities;</w:t>
      </w:r>
    </w:p>
    <w:p w14:paraId="13ABA835" w14:textId="77777777" w:rsidR="00302BFE" w:rsidRPr="00580E65" w:rsidRDefault="00302BFE" w:rsidP="00C46720">
      <w:pPr>
        <w:numPr>
          <w:ilvl w:val="0"/>
          <w:numId w:val="59"/>
        </w:numPr>
        <w:spacing w:after="0"/>
        <w:ind w:left="284" w:hanging="294"/>
        <w:rPr>
          <w:rFonts w:cs="Arial"/>
          <w:noProof/>
          <w:szCs w:val="20"/>
          <w:lang w:eastAsia="zh-CN"/>
        </w:rPr>
      </w:pPr>
      <w:r w:rsidRPr="00580E65">
        <w:rPr>
          <w:rFonts w:cs="Arial"/>
          <w:noProof/>
          <w:szCs w:val="20"/>
          <w:lang w:eastAsia="zh-CN"/>
        </w:rPr>
        <w:t>Strong interpersonal and communication skills.</w:t>
      </w:r>
    </w:p>
    <w:p w14:paraId="3B60A96F" w14:textId="77777777" w:rsidR="00302BFE" w:rsidRPr="00580E65" w:rsidRDefault="00302BFE" w:rsidP="00C46720">
      <w:pPr>
        <w:numPr>
          <w:ilvl w:val="0"/>
          <w:numId w:val="59"/>
        </w:numPr>
        <w:spacing w:after="0"/>
        <w:ind w:left="284" w:hanging="294"/>
        <w:rPr>
          <w:rFonts w:cs="Arial"/>
          <w:noProof/>
          <w:szCs w:val="20"/>
          <w:lang w:eastAsia="zh-CN"/>
        </w:rPr>
      </w:pPr>
      <w:r w:rsidRPr="00580E65">
        <w:rPr>
          <w:rFonts w:cs="Arial"/>
          <w:noProof/>
          <w:szCs w:val="20"/>
          <w:lang w:eastAsia="zh-CN"/>
        </w:rPr>
        <w:t>Experience and ability to prepare reports and briefing papers;</w:t>
      </w:r>
    </w:p>
    <w:p w14:paraId="0650D94D" w14:textId="77777777" w:rsidR="00302BFE" w:rsidRPr="00580E65" w:rsidRDefault="00302BFE" w:rsidP="00C46720">
      <w:pPr>
        <w:numPr>
          <w:ilvl w:val="0"/>
          <w:numId w:val="59"/>
        </w:numPr>
        <w:spacing w:after="0"/>
        <w:ind w:left="284" w:hanging="294"/>
        <w:rPr>
          <w:rFonts w:cs="Arial"/>
          <w:noProof/>
          <w:szCs w:val="20"/>
          <w:lang w:eastAsia="zh-CN"/>
        </w:rPr>
      </w:pPr>
      <w:r w:rsidRPr="00580E65">
        <w:rPr>
          <w:rFonts w:cs="Arial"/>
          <w:noProof/>
          <w:szCs w:val="20"/>
          <w:lang w:eastAsia="zh-CN"/>
        </w:rPr>
        <w:t>Ability to work under pressure and independently in remote areas</w:t>
      </w:r>
    </w:p>
    <w:p w14:paraId="66AD0782" w14:textId="77777777" w:rsidR="00302BFE" w:rsidRPr="00580E65" w:rsidRDefault="00302BFE" w:rsidP="00C46720">
      <w:pPr>
        <w:numPr>
          <w:ilvl w:val="0"/>
          <w:numId w:val="59"/>
        </w:numPr>
        <w:spacing w:after="0"/>
        <w:ind w:left="284" w:hanging="294"/>
        <w:rPr>
          <w:rFonts w:cs="Arial"/>
          <w:noProof/>
          <w:szCs w:val="20"/>
          <w:lang w:eastAsia="zh-CN"/>
        </w:rPr>
      </w:pPr>
      <w:r w:rsidRPr="00580E65">
        <w:rPr>
          <w:rFonts w:cs="Arial"/>
          <w:noProof/>
          <w:szCs w:val="20"/>
          <w:lang w:eastAsia="zh-CN"/>
        </w:rPr>
        <w:t>Work experience with projects funded by international donors, ideally also the GEF.</w:t>
      </w:r>
    </w:p>
    <w:p w14:paraId="1705EA55" w14:textId="77777777" w:rsidR="00302BFE" w:rsidRPr="00580E65" w:rsidRDefault="00302BFE" w:rsidP="00C46720">
      <w:pPr>
        <w:numPr>
          <w:ilvl w:val="0"/>
          <w:numId w:val="59"/>
        </w:numPr>
        <w:spacing w:after="0"/>
        <w:ind w:left="284" w:hanging="294"/>
        <w:rPr>
          <w:rFonts w:cs="Arial"/>
          <w:noProof/>
          <w:szCs w:val="20"/>
          <w:lang w:eastAsia="zh-CN"/>
        </w:rPr>
      </w:pPr>
      <w:r w:rsidRPr="00580E65">
        <w:rPr>
          <w:rFonts w:cs="Arial"/>
          <w:noProof/>
          <w:szCs w:val="20"/>
          <w:lang w:eastAsia="zh-CN"/>
        </w:rPr>
        <w:t>Excellent knowledge of French and English.</w:t>
      </w:r>
    </w:p>
    <w:p w14:paraId="453BB23E" w14:textId="77777777" w:rsidR="00302BFE" w:rsidRPr="00204930" w:rsidRDefault="00302BFE" w:rsidP="00204930">
      <w:pPr>
        <w:spacing w:before="240" w:after="120"/>
        <w:rPr>
          <w:rFonts w:eastAsia="Times New Roman" w:cs="Arial"/>
          <w:b/>
          <w:bCs/>
          <w:color w:val="0055AA"/>
          <w:szCs w:val="20"/>
          <w:lang w:val="en-CA" w:eastAsia="fr-CA"/>
        </w:rPr>
      </w:pPr>
      <w:bookmarkStart w:id="62" w:name="_Hlk9700624"/>
      <w:r w:rsidRPr="00204930">
        <w:rPr>
          <w:rFonts w:eastAsia="Times New Roman" w:cs="Arial"/>
          <w:b/>
          <w:bCs/>
          <w:color w:val="0055AA"/>
          <w:szCs w:val="20"/>
          <w:lang w:val="en-CA" w:eastAsia="fr-CA"/>
        </w:rPr>
        <w:t>Environment and Social Impact Assessment Specialist</w:t>
      </w:r>
      <w:bookmarkEnd w:id="62"/>
    </w:p>
    <w:p w14:paraId="1E31CFB7" w14:textId="77777777" w:rsidR="00302BFE" w:rsidRPr="00D86A6D" w:rsidRDefault="00302BFE" w:rsidP="00302BFE">
      <w:pPr>
        <w:rPr>
          <w:szCs w:val="20"/>
        </w:rPr>
      </w:pPr>
      <w:r w:rsidRPr="00D86A6D">
        <w:rPr>
          <w:szCs w:val="20"/>
        </w:rPr>
        <w:t>An Environmental and Social Management Plan (ESMP) will be prepared to ensure the PONASI Landscape Project is consistent with UNDP’s Social and Environmental Standards (SES) (</w:t>
      </w:r>
      <w:hyperlink r:id="rId41" w:history="1">
        <w:r w:rsidRPr="00D86A6D">
          <w:rPr>
            <w:szCs w:val="20"/>
          </w:rPr>
          <w:t>www.undp.org/ses</w:t>
        </w:r>
      </w:hyperlink>
      <w:r w:rsidRPr="00D86A6D">
        <w:rPr>
          <w:szCs w:val="20"/>
        </w:rPr>
        <w:t xml:space="preserve">). The SES require that all UNDP projects consider the potential environmental and social opportunities that a project may generate and ensure that adverse social and environmental risks and impacts are avoided, minimized, mitigated and managed. </w:t>
      </w:r>
      <w:r w:rsidRPr="00D86A6D">
        <w:rPr>
          <w:lang w:val="en-CA"/>
        </w:rPr>
        <w:t>The overall objective of the ESMP is to assist in minimizing the impacts to the environment and the surrounding communities and reach a set of environmental and social objectives. The ESMP ensures that the environmental and social objectives of the projects are met through monitoring in order to avoid or mitigate adverse effects on the environment.</w:t>
      </w:r>
    </w:p>
    <w:p w14:paraId="77FA5520" w14:textId="77777777" w:rsidR="00302BFE" w:rsidRDefault="00302BFE" w:rsidP="00302BFE">
      <w:pPr>
        <w:rPr>
          <w:szCs w:val="20"/>
        </w:rPr>
      </w:pPr>
      <w:r w:rsidRPr="00D86A6D">
        <w:rPr>
          <w:szCs w:val="20"/>
        </w:rPr>
        <w:t xml:space="preserve">The ESMP </w:t>
      </w:r>
      <w:r>
        <w:rPr>
          <w:szCs w:val="20"/>
        </w:rPr>
        <w:t>will</w:t>
      </w:r>
      <w:r w:rsidRPr="00D86A6D">
        <w:rPr>
          <w:szCs w:val="20"/>
        </w:rPr>
        <w:t xml:space="preserve"> cover all activities to be implemented by the PONASI landscape project and likely to affect the social and environmental elements of the landscape, according to indications provided in the Project Document, including, but not limited to: formalizing the creation of a wildlife corridor, strengthening capacities for monitoring and surveillance in protected areas through training and equipment for eco-guards and rangers, building infrastructure for the Kaboré-Tambi National Park (PNKT) and observation platforms in PNKT, Sissili CF and Nazinga Game Ranch, maintenance of firebreaks and perimeter tracks, developing NTFP value chains, developing PA-related tourism, improving agro-silvo-pastoral systems including through sustainable land management practices, assisted natural regeneration, and agroforestry.</w:t>
      </w:r>
    </w:p>
    <w:p w14:paraId="59A0AEED" w14:textId="449357B2" w:rsidR="00302BFE" w:rsidRDefault="00302BFE" w:rsidP="00302BFE">
      <w:pPr>
        <w:rPr>
          <w:szCs w:val="20"/>
        </w:rPr>
      </w:pPr>
      <w:r w:rsidRPr="000B096C">
        <w:rPr>
          <w:szCs w:val="20"/>
        </w:rPr>
        <w:lastRenderedPageBreak/>
        <w:t>Under the guidance and supervision of the Project Coordinator</w:t>
      </w:r>
      <w:r w:rsidRPr="00D86A6D">
        <w:rPr>
          <w:szCs w:val="20"/>
        </w:rPr>
        <w:t xml:space="preserve"> and in close collaboration with the </w:t>
      </w:r>
      <w:r w:rsidRPr="000B096C">
        <w:rPr>
          <w:szCs w:val="20"/>
        </w:rPr>
        <w:t xml:space="preserve">Project M&amp;E and Safeguards Expert, the ESMP Consultant will have the following specific </w:t>
      </w:r>
      <w:r w:rsidR="00204930">
        <w:rPr>
          <w:szCs w:val="20"/>
        </w:rPr>
        <w:t xml:space="preserve">duties and </w:t>
      </w:r>
      <w:r w:rsidRPr="000B096C">
        <w:rPr>
          <w:szCs w:val="20"/>
        </w:rPr>
        <w:t>responsibilities:</w:t>
      </w:r>
    </w:p>
    <w:p w14:paraId="04638F25" w14:textId="77777777" w:rsidR="00302BFE" w:rsidRPr="00580E65" w:rsidRDefault="00302BFE" w:rsidP="00C46720">
      <w:pPr>
        <w:numPr>
          <w:ilvl w:val="0"/>
          <w:numId w:val="59"/>
        </w:numPr>
        <w:spacing w:after="0"/>
        <w:ind w:left="284" w:hanging="294"/>
        <w:rPr>
          <w:rFonts w:cs="Arial"/>
          <w:noProof/>
          <w:szCs w:val="20"/>
          <w:lang w:eastAsia="zh-CN"/>
        </w:rPr>
      </w:pPr>
      <w:r w:rsidRPr="00580E65">
        <w:rPr>
          <w:rFonts w:cs="Arial"/>
          <w:noProof/>
          <w:szCs w:val="20"/>
          <w:lang w:eastAsia="zh-CN"/>
        </w:rPr>
        <w:t>To review the project document of the UNDP-GEF PONASI Landscape Project and assess the potential environmental and social impacts of the planned project activities (inclusive of those on capacity development and stakeholder engagement), as well as the proposed measures to mitigate pre-determined social and environmental risks. </w:t>
      </w:r>
    </w:p>
    <w:p w14:paraId="7A773822" w14:textId="77777777" w:rsidR="00302BFE" w:rsidRPr="00580E65" w:rsidRDefault="00302BFE" w:rsidP="00C46720">
      <w:pPr>
        <w:numPr>
          <w:ilvl w:val="0"/>
          <w:numId w:val="59"/>
        </w:numPr>
        <w:spacing w:after="0"/>
        <w:ind w:left="284" w:hanging="294"/>
        <w:rPr>
          <w:rFonts w:cs="Arial"/>
          <w:noProof/>
          <w:szCs w:val="20"/>
          <w:lang w:eastAsia="zh-CN"/>
        </w:rPr>
      </w:pPr>
      <w:r w:rsidRPr="00580E65">
        <w:rPr>
          <w:rFonts w:cs="Arial"/>
          <w:noProof/>
          <w:szCs w:val="20"/>
          <w:lang w:eastAsia="zh-CN"/>
        </w:rPr>
        <w:t>To report on the assessment of potential environmental and social risks and impacts of the proposed activities (inclusive of those on capacity development and stakeholder engagement) presented in the draft project document of the UNDP-GEF PONASI Landscape Project.</w:t>
      </w:r>
    </w:p>
    <w:p w14:paraId="4AB16B4F" w14:textId="77777777" w:rsidR="00302BFE" w:rsidRPr="00580E65" w:rsidRDefault="00302BFE" w:rsidP="00C46720">
      <w:pPr>
        <w:numPr>
          <w:ilvl w:val="0"/>
          <w:numId w:val="59"/>
        </w:numPr>
        <w:spacing w:after="0"/>
        <w:ind w:left="284" w:hanging="294"/>
        <w:rPr>
          <w:rFonts w:cs="Arial"/>
          <w:noProof/>
          <w:szCs w:val="20"/>
          <w:lang w:eastAsia="zh-CN"/>
        </w:rPr>
      </w:pPr>
      <w:r w:rsidRPr="00580E65">
        <w:rPr>
          <w:rFonts w:cs="Arial"/>
          <w:noProof/>
          <w:szCs w:val="20"/>
          <w:lang w:eastAsia="zh-CN"/>
        </w:rPr>
        <w:t>To identify and recommend mitigation measures (preventive and alleviative) that are necessary to address the identified social and environmental risks and impacts, and, the proposed monitoring plan for tracking the results of the implementation of the proposed mitigation measures.</w:t>
      </w:r>
    </w:p>
    <w:p w14:paraId="136E9263" w14:textId="77777777" w:rsidR="00302BFE" w:rsidRPr="00580E65" w:rsidRDefault="00302BFE" w:rsidP="00C46720">
      <w:pPr>
        <w:numPr>
          <w:ilvl w:val="0"/>
          <w:numId w:val="59"/>
        </w:numPr>
        <w:spacing w:after="0"/>
        <w:ind w:left="284" w:hanging="294"/>
        <w:rPr>
          <w:rFonts w:cs="Arial"/>
          <w:noProof/>
          <w:szCs w:val="20"/>
          <w:lang w:eastAsia="zh-CN"/>
        </w:rPr>
      </w:pPr>
      <w:r w:rsidRPr="00580E65">
        <w:rPr>
          <w:rFonts w:cs="Arial"/>
          <w:noProof/>
          <w:szCs w:val="20"/>
          <w:lang w:eastAsia="zh-CN"/>
        </w:rPr>
        <w:t>To recommend and report on the principles, rules, guidelines and procedures for screening, assessing, and managing the potential social and environmental impacts of the proposed PONASI Landscape project activities.</w:t>
      </w:r>
    </w:p>
    <w:p w14:paraId="13F2ADE5" w14:textId="59E1FFB2" w:rsidR="00302BFE" w:rsidRDefault="00302BFE" w:rsidP="00C46720">
      <w:pPr>
        <w:numPr>
          <w:ilvl w:val="0"/>
          <w:numId w:val="59"/>
        </w:numPr>
        <w:spacing w:after="0"/>
        <w:ind w:left="284" w:hanging="294"/>
        <w:rPr>
          <w:rFonts w:cs="Arial"/>
          <w:noProof/>
          <w:szCs w:val="20"/>
          <w:lang w:eastAsia="zh-CN"/>
        </w:rPr>
      </w:pPr>
      <w:r w:rsidRPr="00580E65">
        <w:rPr>
          <w:rFonts w:cs="Arial"/>
          <w:noProof/>
          <w:szCs w:val="20"/>
          <w:lang w:eastAsia="zh-CN"/>
        </w:rPr>
        <w:t>To review and update the UNDP Social and Environmental Screening Procedure annex of the PONASI Landscape project</w:t>
      </w:r>
    </w:p>
    <w:p w14:paraId="4E1B3FD5" w14:textId="5D68D9EF" w:rsidR="00580E65" w:rsidRPr="00580E65" w:rsidRDefault="00580E65" w:rsidP="00C46720">
      <w:pPr>
        <w:numPr>
          <w:ilvl w:val="0"/>
          <w:numId w:val="59"/>
        </w:numPr>
        <w:spacing w:after="0"/>
        <w:ind w:left="284" w:hanging="294"/>
        <w:rPr>
          <w:rFonts w:cs="Arial"/>
          <w:noProof/>
          <w:szCs w:val="20"/>
          <w:lang w:eastAsia="zh-CN"/>
        </w:rPr>
      </w:pPr>
      <w:r w:rsidRPr="00D777D0">
        <w:rPr>
          <w:szCs w:val="20"/>
        </w:rPr>
        <w:t>To prepare the Environmental and Social Management Plan</w:t>
      </w:r>
      <w:r w:rsidRPr="009B4250">
        <w:rPr>
          <w:szCs w:val="20"/>
        </w:rPr>
        <w:t xml:space="preserve"> </w:t>
      </w:r>
      <w:r>
        <w:rPr>
          <w:szCs w:val="20"/>
        </w:rPr>
        <w:t xml:space="preserve">(ESMP) </w:t>
      </w:r>
      <w:r w:rsidRPr="00D86A6D">
        <w:rPr>
          <w:szCs w:val="20"/>
        </w:rPr>
        <w:t>in accordance with UNDP requirements for the implementation of the PONASI Landscape project</w:t>
      </w:r>
      <w:r w:rsidRPr="009B4250">
        <w:rPr>
          <w:szCs w:val="20"/>
        </w:rPr>
        <w:t>,</w:t>
      </w:r>
      <w:r w:rsidRPr="00D777D0">
        <w:rPr>
          <w:szCs w:val="20"/>
        </w:rPr>
        <w:t xml:space="preserve"> </w:t>
      </w:r>
      <w:r w:rsidRPr="009B4250">
        <w:rPr>
          <w:szCs w:val="20"/>
        </w:rPr>
        <w:t>specifically targeting specific project activities that are assessed as having moderate to high and social and environmental risks</w:t>
      </w:r>
      <w:r w:rsidRPr="00D777D0">
        <w:rPr>
          <w:szCs w:val="20"/>
        </w:rPr>
        <w:t>.</w:t>
      </w:r>
      <w:r>
        <w:rPr>
          <w:szCs w:val="20"/>
        </w:rPr>
        <w:t xml:space="preserve"> Activities specific to the </w:t>
      </w:r>
      <w:r w:rsidRPr="00D86A6D">
        <w:rPr>
          <w:b/>
          <w:szCs w:val="20"/>
        </w:rPr>
        <w:t>preparation of the ESMP</w:t>
      </w:r>
      <w:r>
        <w:rPr>
          <w:szCs w:val="20"/>
        </w:rPr>
        <w:t xml:space="preserve"> are the following:</w:t>
      </w:r>
    </w:p>
    <w:p w14:paraId="6699F122" w14:textId="0B73F3F0" w:rsidR="00580E65" w:rsidRDefault="00580E65" w:rsidP="00C46720">
      <w:pPr>
        <w:numPr>
          <w:ilvl w:val="1"/>
          <w:numId w:val="60"/>
        </w:numPr>
        <w:shd w:val="clear" w:color="auto" w:fill="FFFFFF"/>
        <w:spacing w:after="0"/>
        <w:rPr>
          <w:color w:val="333333"/>
          <w:szCs w:val="20"/>
        </w:rPr>
      </w:pPr>
      <w:r w:rsidRPr="00D86A6D">
        <w:rPr>
          <w:color w:val="333333"/>
          <w:szCs w:val="20"/>
        </w:rPr>
        <w:t>Review the template</w:t>
      </w:r>
      <w:r>
        <w:rPr>
          <w:color w:val="333333"/>
          <w:szCs w:val="20"/>
        </w:rPr>
        <w:t xml:space="preserve"> (outline provided)</w:t>
      </w:r>
      <w:r w:rsidRPr="00D86A6D">
        <w:rPr>
          <w:color w:val="333333"/>
          <w:szCs w:val="20"/>
        </w:rPr>
        <w:t xml:space="preserve"> and requirements of the</w:t>
      </w:r>
      <w:r>
        <w:rPr>
          <w:color w:val="333333"/>
          <w:szCs w:val="20"/>
        </w:rPr>
        <w:t xml:space="preserve"> </w:t>
      </w:r>
      <w:hyperlink r:id="rId42" w:history="1">
        <w:r w:rsidRPr="00D86A6D">
          <w:rPr>
            <w:rStyle w:val="Lienhypertexte"/>
            <w:color w:val="336699"/>
            <w:szCs w:val="20"/>
          </w:rPr>
          <w:t>UNDP Environment and Social Management Plan (ESMP) – Indicative Outline</w:t>
        </w:r>
      </w:hyperlink>
      <w:r w:rsidRPr="00D86A6D">
        <w:rPr>
          <w:color w:val="333333"/>
          <w:szCs w:val="20"/>
        </w:rPr>
        <w:t>.</w:t>
      </w:r>
    </w:p>
    <w:p w14:paraId="1B77FC63" w14:textId="7DD16EF0" w:rsidR="00302BFE" w:rsidRPr="00D86A6D" w:rsidRDefault="00302BFE" w:rsidP="00C46720">
      <w:pPr>
        <w:numPr>
          <w:ilvl w:val="1"/>
          <w:numId w:val="60"/>
        </w:numPr>
        <w:shd w:val="clear" w:color="auto" w:fill="FFFFFF"/>
        <w:spacing w:after="0"/>
        <w:rPr>
          <w:color w:val="333333"/>
          <w:szCs w:val="20"/>
        </w:rPr>
      </w:pPr>
      <w:r w:rsidRPr="00D86A6D">
        <w:rPr>
          <w:color w:val="333333"/>
          <w:szCs w:val="20"/>
        </w:rPr>
        <w:t>Identify measures and actions in accordance with the mitigation hierarchy that avoid, or if avoidance not possible, reduce potentially significant adverse social and environmental impacts to acceptable levels.</w:t>
      </w:r>
    </w:p>
    <w:p w14:paraId="651A1E35" w14:textId="77777777" w:rsidR="00302BFE" w:rsidRPr="00D86A6D" w:rsidRDefault="00302BFE" w:rsidP="00C46720">
      <w:pPr>
        <w:numPr>
          <w:ilvl w:val="1"/>
          <w:numId w:val="60"/>
        </w:numPr>
        <w:shd w:val="clear" w:color="auto" w:fill="FFFFFF"/>
        <w:spacing w:after="0"/>
        <w:rPr>
          <w:color w:val="333333"/>
          <w:szCs w:val="20"/>
        </w:rPr>
      </w:pPr>
      <w:r w:rsidRPr="00D86A6D">
        <w:rPr>
          <w:color w:val="333333"/>
          <w:szCs w:val="20"/>
        </w:rPr>
        <w:t>Identify monitoring objectives and specify the type of monitoring with linkages to the impacts assessed in the environmental and social assessment and the mitigation measures described in the ESMP.</w:t>
      </w:r>
    </w:p>
    <w:p w14:paraId="3605B298" w14:textId="77777777" w:rsidR="00302BFE" w:rsidRPr="00D86A6D" w:rsidRDefault="00302BFE" w:rsidP="00C46720">
      <w:pPr>
        <w:numPr>
          <w:ilvl w:val="1"/>
          <w:numId w:val="60"/>
        </w:numPr>
        <w:shd w:val="clear" w:color="auto" w:fill="FFFFFF"/>
        <w:spacing w:after="0"/>
        <w:rPr>
          <w:color w:val="333333"/>
          <w:szCs w:val="20"/>
        </w:rPr>
      </w:pPr>
      <w:r w:rsidRPr="00D86A6D">
        <w:rPr>
          <w:color w:val="333333"/>
          <w:szCs w:val="20"/>
        </w:rPr>
        <w:t>Describe institutional arrangements, identify which party is responsible for carrying out the mitigation and monitoring measures, and, where support for strengthening social and environmental management capability is identified, recommend the establishment or expansion of the parties responsible, the training of staff and any additional measures that may be necessary to support implementation of mitigation measures and any other recommendations of the environmental and social assessment.</w:t>
      </w:r>
    </w:p>
    <w:p w14:paraId="13A134CF" w14:textId="77777777" w:rsidR="00302BFE" w:rsidRPr="00D86A6D" w:rsidRDefault="00302BFE" w:rsidP="00C46720">
      <w:pPr>
        <w:numPr>
          <w:ilvl w:val="1"/>
          <w:numId w:val="60"/>
        </w:numPr>
        <w:shd w:val="clear" w:color="auto" w:fill="FFFFFF"/>
        <w:spacing w:after="0"/>
        <w:rPr>
          <w:color w:val="333333"/>
          <w:szCs w:val="20"/>
        </w:rPr>
      </w:pPr>
      <w:r w:rsidRPr="00D86A6D">
        <w:rPr>
          <w:color w:val="333333"/>
          <w:szCs w:val="20"/>
        </w:rPr>
        <w:t>Outline measures to engage in meaningful, effective and informed consultations with affected stakeholders.</w:t>
      </w:r>
    </w:p>
    <w:p w14:paraId="2A739688" w14:textId="77777777" w:rsidR="00302BFE" w:rsidRPr="00D86A6D" w:rsidRDefault="00302BFE" w:rsidP="00C46720">
      <w:pPr>
        <w:numPr>
          <w:ilvl w:val="1"/>
          <w:numId w:val="60"/>
        </w:numPr>
        <w:shd w:val="clear" w:color="auto" w:fill="FFFFFF"/>
        <w:spacing w:after="0"/>
        <w:rPr>
          <w:color w:val="333333"/>
          <w:szCs w:val="20"/>
        </w:rPr>
      </w:pPr>
      <w:r w:rsidRPr="00D86A6D">
        <w:rPr>
          <w:color w:val="333333"/>
          <w:szCs w:val="20"/>
        </w:rPr>
        <w:t>For all four above aspects (mitigation, monitoring, capacity development, and stakeholder engagement), provide: a) an implementation schedule for measures that must be carried out as part of the MPSBEE project, showing phasing and coordination with overall project implementation plans; and, b) the capital and recurrent cost estimates and sources of funds for implementing the ESMP.</w:t>
      </w:r>
    </w:p>
    <w:p w14:paraId="2F62B520" w14:textId="530D6AC1" w:rsidR="00302BFE" w:rsidRPr="00204930" w:rsidRDefault="00204930" w:rsidP="00204930">
      <w:pPr>
        <w:spacing w:before="120" w:after="0"/>
        <w:rPr>
          <w:rFonts w:cs="Arial"/>
          <w:noProof/>
          <w:szCs w:val="20"/>
          <w:u w:val="single"/>
          <w:lang w:eastAsia="zh-CN"/>
        </w:rPr>
      </w:pPr>
      <w:r>
        <w:rPr>
          <w:rFonts w:cs="Arial"/>
          <w:noProof/>
          <w:szCs w:val="20"/>
          <w:u w:val="single"/>
          <w:lang w:eastAsia="zh-CN"/>
        </w:rPr>
        <w:t>Required skills and expertise</w:t>
      </w:r>
      <w:r w:rsidR="00302BFE" w:rsidRPr="00204930">
        <w:rPr>
          <w:rFonts w:cs="Arial"/>
          <w:noProof/>
          <w:szCs w:val="20"/>
          <w:u w:val="single"/>
          <w:lang w:eastAsia="zh-CN"/>
        </w:rPr>
        <w:t>:</w:t>
      </w:r>
    </w:p>
    <w:p w14:paraId="78CB5EAB" w14:textId="77777777" w:rsidR="00302BFE" w:rsidRPr="00580E65" w:rsidRDefault="00302BFE" w:rsidP="00C46720">
      <w:pPr>
        <w:numPr>
          <w:ilvl w:val="0"/>
          <w:numId w:val="59"/>
        </w:numPr>
        <w:spacing w:after="0"/>
        <w:ind w:left="284" w:hanging="294"/>
        <w:rPr>
          <w:rFonts w:cs="Arial"/>
          <w:noProof/>
          <w:szCs w:val="20"/>
          <w:lang w:eastAsia="zh-CN"/>
        </w:rPr>
      </w:pPr>
      <w:r w:rsidRPr="00580E65">
        <w:rPr>
          <w:rFonts w:cs="Arial"/>
          <w:noProof/>
          <w:szCs w:val="20"/>
          <w:lang w:eastAsia="zh-CN"/>
        </w:rPr>
        <w:t>University degree (or equivalent) in on Environmental Science, Environmental Studies, Environmental Engineering or a related field relevant to the tasks required.</w:t>
      </w:r>
    </w:p>
    <w:p w14:paraId="2CFBC25B" w14:textId="77777777" w:rsidR="00302BFE" w:rsidRPr="00580E65" w:rsidRDefault="00302BFE" w:rsidP="00C46720">
      <w:pPr>
        <w:numPr>
          <w:ilvl w:val="0"/>
          <w:numId w:val="59"/>
        </w:numPr>
        <w:spacing w:after="0"/>
        <w:ind w:left="284" w:hanging="294"/>
        <w:rPr>
          <w:rFonts w:cs="Arial"/>
          <w:noProof/>
          <w:szCs w:val="20"/>
          <w:lang w:eastAsia="zh-CN"/>
        </w:rPr>
      </w:pPr>
      <w:r w:rsidRPr="00580E65">
        <w:rPr>
          <w:rFonts w:cs="Arial"/>
          <w:noProof/>
          <w:szCs w:val="20"/>
          <w:lang w:eastAsia="zh-CN"/>
        </w:rPr>
        <w:t>Substantial, relevant and practical working experience in UNDP/GEF project development, including design.</w:t>
      </w:r>
    </w:p>
    <w:p w14:paraId="515BD6D4" w14:textId="77777777" w:rsidR="00302BFE" w:rsidRPr="00580E65" w:rsidRDefault="00302BFE" w:rsidP="00C46720">
      <w:pPr>
        <w:numPr>
          <w:ilvl w:val="0"/>
          <w:numId w:val="59"/>
        </w:numPr>
        <w:spacing w:after="0"/>
        <w:ind w:left="284" w:hanging="294"/>
        <w:rPr>
          <w:rFonts w:cs="Arial"/>
          <w:noProof/>
          <w:szCs w:val="20"/>
          <w:lang w:eastAsia="zh-CN"/>
        </w:rPr>
      </w:pPr>
      <w:r w:rsidRPr="00580E65">
        <w:rPr>
          <w:rFonts w:cs="Arial"/>
          <w:noProof/>
          <w:szCs w:val="20"/>
          <w:lang w:eastAsia="zh-CN"/>
        </w:rPr>
        <w:t>Detailed Understanding of UNDP, Burkina Faso and international environmental and social standards;</w:t>
      </w:r>
    </w:p>
    <w:p w14:paraId="4B4D5E94" w14:textId="77777777" w:rsidR="00302BFE" w:rsidRPr="00580E65" w:rsidRDefault="00302BFE" w:rsidP="00C46720">
      <w:pPr>
        <w:numPr>
          <w:ilvl w:val="0"/>
          <w:numId w:val="59"/>
        </w:numPr>
        <w:spacing w:after="0"/>
        <w:ind w:left="284" w:hanging="294"/>
        <w:rPr>
          <w:rFonts w:cs="Arial"/>
          <w:noProof/>
          <w:szCs w:val="20"/>
          <w:lang w:eastAsia="zh-CN"/>
        </w:rPr>
      </w:pPr>
      <w:r w:rsidRPr="00580E65">
        <w:rPr>
          <w:rFonts w:cs="Arial"/>
          <w:noProof/>
          <w:szCs w:val="20"/>
          <w:lang w:eastAsia="zh-CN"/>
        </w:rPr>
        <w:t>Fluency in French and English with excellent written communication skills, and strong experience in writing reports.</w:t>
      </w:r>
    </w:p>
    <w:p w14:paraId="72322C41" w14:textId="77777777" w:rsidR="00302BFE" w:rsidRPr="00580E65" w:rsidRDefault="00302BFE" w:rsidP="00C46720">
      <w:pPr>
        <w:numPr>
          <w:ilvl w:val="0"/>
          <w:numId w:val="59"/>
        </w:numPr>
        <w:spacing w:after="0"/>
        <w:ind w:left="284" w:hanging="294"/>
        <w:rPr>
          <w:rFonts w:cs="Arial"/>
          <w:noProof/>
          <w:szCs w:val="20"/>
          <w:lang w:eastAsia="zh-CN"/>
        </w:rPr>
      </w:pPr>
      <w:r w:rsidRPr="00580E65">
        <w:rPr>
          <w:rFonts w:cs="Arial"/>
          <w:noProof/>
          <w:szCs w:val="20"/>
          <w:lang w:eastAsia="zh-CN"/>
        </w:rPr>
        <w:t xml:space="preserve">Minimum 10 years of relevant and practical working experience with environmental and/or social impact assessments </w:t>
      </w:r>
    </w:p>
    <w:p w14:paraId="09D8A750" w14:textId="77777777" w:rsidR="00302BFE" w:rsidRPr="00204930" w:rsidRDefault="00302BFE" w:rsidP="00204930">
      <w:pPr>
        <w:spacing w:before="240" w:after="120"/>
        <w:rPr>
          <w:rFonts w:eastAsia="Times New Roman" w:cs="Arial"/>
          <w:b/>
          <w:bCs/>
          <w:color w:val="0055AA"/>
          <w:szCs w:val="20"/>
          <w:lang w:val="en-CA" w:eastAsia="fr-CA"/>
        </w:rPr>
      </w:pPr>
      <w:r w:rsidRPr="00204930">
        <w:rPr>
          <w:rFonts w:eastAsia="Times New Roman" w:cs="Arial"/>
          <w:b/>
          <w:bCs/>
          <w:color w:val="0055AA"/>
          <w:szCs w:val="20"/>
          <w:lang w:val="en-CA" w:eastAsia="fr-CA"/>
        </w:rPr>
        <w:t>Indicative outline of the Environmental and Social Management Plan</w:t>
      </w:r>
    </w:p>
    <w:p w14:paraId="5797588A" w14:textId="77777777" w:rsidR="00302BFE" w:rsidRPr="00356AE1" w:rsidRDefault="00302BFE" w:rsidP="00302BFE">
      <w:pPr>
        <w:rPr>
          <w:szCs w:val="20"/>
          <w:lang w:val="en-CA"/>
        </w:rPr>
      </w:pPr>
      <w:r w:rsidRPr="00356AE1">
        <w:rPr>
          <w:szCs w:val="20"/>
          <w:lang w:val="en-CA"/>
        </w:rPr>
        <w:t xml:space="preserve">The content of the ESMP should address the following sections: </w:t>
      </w:r>
    </w:p>
    <w:p w14:paraId="642C93FA" w14:textId="77777777" w:rsidR="00302BFE" w:rsidRPr="00425121" w:rsidRDefault="00302BFE" w:rsidP="00302BFE">
      <w:pPr>
        <w:spacing w:before="60"/>
        <w:rPr>
          <w:szCs w:val="20"/>
          <w:lang w:val="en-CA"/>
        </w:rPr>
      </w:pPr>
      <w:r>
        <w:rPr>
          <w:szCs w:val="20"/>
          <w:lang w:val="en-CA"/>
        </w:rPr>
        <w:t xml:space="preserve">1. </w:t>
      </w:r>
      <w:r w:rsidRPr="00425121">
        <w:rPr>
          <w:szCs w:val="20"/>
          <w:lang w:val="en-CA"/>
        </w:rPr>
        <w:t>Mitigation: Identifies measures and actions in accordance with the mitigation hierarchy that avoid, or if avoidance not possible, reduce potentially significant adverse social and environmental impacts to acceptable levels. Specifically, the ESMP:</w:t>
      </w:r>
    </w:p>
    <w:p w14:paraId="1D35C29A" w14:textId="77777777" w:rsidR="00302BFE" w:rsidRPr="00425121" w:rsidRDefault="00302BFE" w:rsidP="00C46720">
      <w:pPr>
        <w:numPr>
          <w:ilvl w:val="2"/>
          <w:numId w:val="48"/>
        </w:numPr>
        <w:spacing w:after="0"/>
        <w:ind w:left="426"/>
        <w:rPr>
          <w:szCs w:val="20"/>
          <w:lang w:val="en-CA"/>
        </w:rPr>
      </w:pPr>
      <w:r w:rsidRPr="00425121">
        <w:rPr>
          <w:szCs w:val="20"/>
          <w:lang w:val="en-CA"/>
        </w:rPr>
        <w:t xml:space="preserve">identifies and summarizes all anticipated significant adverse social and environmental impacts; </w:t>
      </w:r>
    </w:p>
    <w:p w14:paraId="32774D30" w14:textId="77777777" w:rsidR="00302BFE" w:rsidRPr="00425121" w:rsidRDefault="00302BFE" w:rsidP="00C46720">
      <w:pPr>
        <w:numPr>
          <w:ilvl w:val="2"/>
          <w:numId w:val="48"/>
        </w:numPr>
        <w:spacing w:after="0"/>
        <w:ind w:left="426"/>
        <w:rPr>
          <w:szCs w:val="20"/>
          <w:lang w:val="en-CA"/>
        </w:rPr>
      </w:pPr>
      <w:r w:rsidRPr="00425121">
        <w:rPr>
          <w:szCs w:val="20"/>
          <w:lang w:val="en-CA"/>
        </w:rPr>
        <w:t>describes – with technical details – each mitigation measure, including the type of impact to which it relates and the conditions under which it is required (e.g., continuously or in the event of contingencies), together with designs, equipment descriptions, and operating procedures, as appropriate;</w:t>
      </w:r>
    </w:p>
    <w:p w14:paraId="25D8E99B" w14:textId="77777777" w:rsidR="00302BFE" w:rsidRPr="00425121" w:rsidRDefault="00302BFE" w:rsidP="00C46720">
      <w:pPr>
        <w:numPr>
          <w:ilvl w:val="2"/>
          <w:numId w:val="48"/>
        </w:numPr>
        <w:spacing w:after="0"/>
        <w:ind w:left="426"/>
        <w:rPr>
          <w:szCs w:val="20"/>
          <w:lang w:val="en-CA"/>
        </w:rPr>
      </w:pPr>
      <w:r w:rsidRPr="00425121">
        <w:rPr>
          <w:szCs w:val="20"/>
          <w:lang w:val="en-CA"/>
        </w:rPr>
        <w:t>estimates any potential social and environmental impacts of these measures and any residual impacts following mitigation; and</w:t>
      </w:r>
    </w:p>
    <w:p w14:paraId="0D869782" w14:textId="77777777" w:rsidR="00302BFE" w:rsidRPr="00425121" w:rsidRDefault="00302BFE" w:rsidP="00C46720">
      <w:pPr>
        <w:numPr>
          <w:ilvl w:val="2"/>
          <w:numId w:val="48"/>
        </w:numPr>
        <w:spacing w:after="0"/>
        <w:ind w:left="426"/>
        <w:rPr>
          <w:szCs w:val="20"/>
          <w:lang w:val="en-CA"/>
        </w:rPr>
      </w:pPr>
      <w:r w:rsidRPr="00425121">
        <w:rPr>
          <w:szCs w:val="20"/>
          <w:lang w:val="en-CA"/>
        </w:rPr>
        <w:t xml:space="preserve">takes into account, and is consistent with, other required mitigation plans (e.g. for displacement, indigenous peoples). </w:t>
      </w:r>
    </w:p>
    <w:p w14:paraId="7F6F128A" w14:textId="77777777" w:rsidR="00302BFE" w:rsidRPr="00425121" w:rsidRDefault="00302BFE" w:rsidP="00302BFE">
      <w:pPr>
        <w:spacing w:before="60"/>
        <w:rPr>
          <w:szCs w:val="20"/>
          <w:lang w:val="en-CA"/>
        </w:rPr>
      </w:pPr>
      <w:r>
        <w:rPr>
          <w:szCs w:val="20"/>
          <w:lang w:val="en-CA"/>
        </w:rPr>
        <w:t xml:space="preserve">2. </w:t>
      </w:r>
      <w:r w:rsidRPr="00425121">
        <w:rPr>
          <w:szCs w:val="20"/>
          <w:lang w:val="en-CA"/>
        </w:rPr>
        <w:t xml:space="preserve">Monitoring: Identifies monitoring objectives and specifies the type of monitoring, with linkages to the impacts assessed in the environmental and social assessment and the mitigation measures described in the ESMP. Specifically, the monitoring section of the ESMP provides </w:t>
      </w:r>
    </w:p>
    <w:p w14:paraId="632740CD" w14:textId="77777777" w:rsidR="00302BFE" w:rsidRPr="00425121" w:rsidRDefault="00302BFE" w:rsidP="00C46720">
      <w:pPr>
        <w:numPr>
          <w:ilvl w:val="0"/>
          <w:numId w:val="49"/>
        </w:numPr>
        <w:spacing w:after="0"/>
        <w:ind w:left="709"/>
        <w:rPr>
          <w:szCs w:val="20"/>
          <w:lang w:val="en-CA"/>
        </w:rPr>
      </w:pPr>
      <w:r w:rsidRPr="00425121">
        <w:rPr>
          <w:szCs w:val="20"/>
          <w:lang w:val="en-CA"/>
        </w:rPr>
        <w:lastRenderedPageBreak/>
        <w:t>a specific description, and technical details, of monitoring measures, including the parameters to be measured, methods to be used, sampling locations, frequency of measurements, detection limits (where appropriate), and definition of thresholds that will signal the need for corrective actions; and</w:t>
      </w:r>
    </w:p>
    <w:p w14:paraId="73EDDE4C" w14:textId="77777777" w:rsidR="00302BFE" w:rsidRPr="00425121" w:rsidRDefault="00302BFE" w:rsidP="00C46720">
      <w:pPr>
        <w:numPr>
          <w:ilvl w:val="0"/>
          <w:numId w:val="49"/>
        </w:numPr>
        <w:spacing w:after="0"/>
        <w:ind w:left="709"/>
        <w:rPr>
          <w:szCs w:val="20"/>
          <w:lang w:val="en-CA"/>
        </w:rPr>
      </w:pPr>
      <w:r w:rsidRPr="00425121">
        <w:rPr>
          <w:szCs w:val="20"/>
          <w:lang w:val="en-CA"/>
        </w:rPr>
        <w:t xml:space="preserve">monitoring and reporting procedures to (i) ensure early detection of conditions that necessitate particular mitigation measures, and (ii) furnish information on the progress and results of mitigation. </w:t>
      </w:r>
    </w:p>
    <w:p w14:paraId="0776040C" w14:textId="77777777" w:rsidR="00302BFE" w:rsidRPr="00425121" w:rsidRDefault="00302BFE" w:rsidP="00302BFE">
      <w:pPr>
        <w:spacing w:before="60"/>
        <w:rPr>
          <w:szCs w:val="20"/>
          <w:lang w:val="en-CA"/>
        </w:rPr>
      </w:pPr>
      <w:r>
        <w:rPr>
          <w:szCs w:val="20"/>
          <w:lang w:val="en-CA"/>
        </w:rPr>
        <w:t xml:space="preserve">3. </w:t>
      </w:r>
      <w:r w:rsidRPr="00425121">
        <w:rPr>
          <w:szCs w:val="20"/>
          <w:lang w:val="en-CA"/>
        </w:rPr>
        <w:t xml:space="preserve">Capacity development and training: To support timely and effective implementation of social and environmental project components and mitigation measures, the ESMP draws on the environmental and social assessment of the existence, role, and capability of responsible parties on site or at the agency and ministry level. Specifically, the ESMP provides a description of institutional arrangements, identifying which party is responsible for carrying out the mitigation and monitoring measures (e.g. for operation, supervision, enforcement, monitoring of implementation, remedial action, financing, reporting, and staff training). Where support for strengthening social and environmental management capability is identified, ESMP recommends the establishment or expansion of the parties responsible, the training of staff and any additional measures that may be necessary to support implementation of mitigation measures and any other recommendations of the environmental and social assessment. </w:t>
      </w:r>
    </w:p>
    <w:p w14:paraId="5585EC57" w14:textId="77777777" w:rsidR="00302BFE" w:rsidRPr="00425121" w:rsidRDefault="00302BFE" w:rsidP="00302BFE">
      <w:pPr>
        <w:spacing w:before="60"/>
        <w:rPr>
          <w:szCs w:val="20"/>
          <w:lang w:val="en-CA"/>
        </w:rPr>
      </w:pPr>
      <w:r>
        <w:rPr>
          <w:szCs w:val="20"/>
          <w:lang w:val="en-CA"/>
        </w:rPr>
        <w:t xml:space="preserve">4. </w:t>
      </w:r>
      <w:r w:rsidRPr="00425121">
        <w:rPr>
          <w:szCs w:val="20"/>
          <w:lang w:val="en-CA"/>
        </w:rPr>
        <w:t xml:space="preserve">Stakeholder Engagement: Outlines plan to engage in meaningful, effective and informed consultations with affected stakeholders. Includes information on </w:t>
      </w:r>
    </w:p>
    <w:p w14:paraId="0DC8B75A" w14:textId="77777777" w:rsidR="00302BFE" w:rsidRPr="00425121" w:rsidRDefault="00302BFE" w:rsidP="00C46720">
      <w:pPr>
        <w:numPr>
          <w:ilvl w:val="0"/>
          <w:numId w:val="50"/>
        </w:numPr>
        <w:spacing w:after="0"/>
        <w:ind w:left="709"/>
        <w:rPr>
          <w:szCs w:val="20"/>
          <w:lang w:val="en-CA"/>
        </w:rPr>
      </w:pPr>
      <w:r w:rsidRPr="00425121">
        <w:rPr>
          <w:szCs w:val="20"/>
          <w:lang w:val="en-CA"/>
        </w:rPr>
        <w:t>means used to inform and involve affected people in the assessment process;</w:t>
      </w:r>
    </w:p>
    <w:p w14:paraId="682EA0D4" w14:textId="77777777" w:rsidR="00302BFE" w:rsidRPr="00425121" w:rsidRDefault="00302BFE" w:rsidP="00C46720">
      <w:pPr>
        <w:numPr>
          <w:ilvl w:val="0"/>
          <w:numId w:val="50"/>
        </w:numPr>
        <w:spacing w:after="0"/>
        <w:ind w:left="709"/>
        <w:rPr>
          <w:szCs w:val="20"/>
          <w:lang w:val="en-CA"/>
        </w:rPr>
      </w:pPr>
      <w:r w:rsidRPr="00425121">
        <w:rPr>
          <w:szCs w:val="20"/>
          <w:lang w:val="en-CA"/>
        </w:rPr>
        <w:t xml:space="preserve">summary of stakeholder engagement plan for meaningful, effective consultations during project implementation, including identification of milestones for consultations, information disclosure, and periodic reporting on progress on project implementation; and </w:t>
      </w:r>
    </w:p>
    <w:p w14:paraId="5FDCDA80" w14:textId="77777777" w:rsidR="00302BFE" w:rsidRPr="00425121" w:rsidRDefault="00302BFE" w:rsidP="00C46720">
      <w:pPr>
        <w:numPr>
          <w:ilvl w:val="0"/>
          <w:numId w:val="50"/>
        </w:numPr>
        <w:spacing w:after="0"/>
        <w:ind w:left="709"/>
        <w:rPr>
          <w:szCs w:val="20"/>
          <w:lang w:val="en-CA"/>
        </w:rPr>
      </w:pPr>
      <w:r w:rsidRPr="00425121">
        <w:rPr>
          <w:szCs w:val="20"/>
          <w:lang w:val="en-CA"/>
        </w:rPr>
        <w:t xml:space="preserve">description of effective processes for receiving and addressing stakeholder concerns and grievances regarding the project’s social and environmental performance. </w:t>
      </w:r>
    </w:p>
    <w:p w14:paraId="36B75983" w14:textId="77777777" w:rsidR="00302BFE" w:rsidRPr="00425121" w:rsidRDefault="00302BFE" w:rsidP="00302BFE">
      <w:pPr>
        <w:spacing w:before="60"/>
        <w:rPr>
          <w:szCs w:val="20"/>
          <w:lang w:val="en-CA"/>
        </w:rPr>
      </w:pPr>
      <w:r>
        <w:rPr>
          <w:szCs w:val="20"/>
          <w:lang w:val="en-CA"/>
        </w:rPr>
        <w:t xml:space="preserve">5. </w:t>
      </w:r>
      <w:r w:rsidRPr="00425121">
        <w:rPr>
          <w:szCs w:val="20"/>
          <w:lang w:val="en-CA"/>
        </w:rPr>
        <w:t>Implementation action plan (schedule and cost estimates): For all four above aspects (mitigation, monitoring, capacity development, and stakeholder engagement), ESMP provides</w:t>
      </w:r>
    </w:p>
    <w:p w14:paraId="32F1B77B" w14:textId="77777777" w:rsidR="00302BFE" w:rsidRPr="00425121" w:rsidRDefault="00302BFE" w:rsidP="00C46720">
      <w:pPr>
        <w:numPr>
          <w:ilvl w:val="0"/>
          <w:numId w:val="51"/>
        </w:numPr>
        <w:spacing w:after="0"/>
        <w:ind w:left="709"/>
        <w:rPr>
          <w:szCs w:val="20"/>
          <w:lang w:val="en-CA"/>
        </w:rPr>
      </w:pPr>
      <w:r w:rsidRPr="00425121">
        <w:rPr>
          <w:szCs w:val="20"/>
          <w:lang w:val="en-CA"/>
        </w:rPr>
        <w:t>an implementation schedule for measures that must be carried out as part of the project, showing phasing and coordination with overall project implementation plans; and</w:t>
      </w:r>
    </w:p>
    <w:p w14:paraId="7E18A8B2" w14:textId="77777777" w:rsidR="00302BFE" w:rsidRPr="00515180" w:rsidRDefault="00302BFE" w:rsidP="00C46720">
      <w:pPr>
        <w:numPr>
          <w:ilvl w:val="0"/>
          <w:numId w:val="51"/>
        </w:numPr>
        <w:spacing w:after="0"/>
        <w:ind w:left="709"/>
        <w:rPr>
          <w:szCs w:val="20"/>
          <w:lang w:val="en-CA"/>
        </w:rPr>
      </w:pPr>
      <w:r w:rsidRPr="00425121">
        <w:rPr>
          <w:szCs w:val="20"/>
          <w:lang w:val="en-CA"/>
        </w:rPr>
        <w:t>the capital and recurrent cost estimates and sources of funds for implementing the ESMP. These figures are also integrated into the total project cost tables. Each of the measures and actions to be implemented will be clearly specified and the costs of so doing will be integrated into the project's overall planning, design, budget, and implementation.</w:t>
      </w:r>
    </w:p>
    <w:p w14:paraId="130CABA7" w14:textId="77777777" w:rsidR="00302BFE" w:rsidRPr="003377E8" w:rsidRDefault="00302BFE" w:rsidP="00302BFE">
      <w:pPr>
        <w:spacing w:after="0" w:line="256" w:lineRule="auto"/>
        <w:jc w:val="left"/>
        <w:rPr>
          <w:szCs w:val="20"/>
          <w:lang w:val="en-CA"/>
        </w:rPr>
      </w:pPr>
    </w:p>
    <w:p w14:paraId="6821EA3A" w14:textId="77777777" w:rsidR="00302BFE" w:rsidRPr="006512C4" w:rsidRDefault="00302BFE" w:rsidP="00302BFE">
      <w:pPr>
        <w:pStyle w:val="Titre2"/>
        <w:ind w:left="0"/>
        <w:rPr>
          <w:rFonts w:ascii="Calibri" w:hAnsi="Calibri"/>
          <w:szCs w:val="22"/>
        </w:rPr>
      </w:pPr>
      <w:r>
        <w:rPr>
          <w:b w:val="0"/>
          <w:szCs w:val="22"/>
        </w:rPr>
        <w:br w:type="page"/>
      </w:r>
      <w:bookmarkStart w:id="63" w:name="_Toc9961804"/>
      <w:r w:rsidRPr="006512C4">
        <w:rPr>
          <w:rFonts w:ascii="Calibri" w:hAnsi="Calibri"/>
          <w:szCs w:val="22"/>
        </w:rPr>
        <w:lastRenderedPageBreak/>
        <w:t xml:space="preserve">Annex </w:t>
      </w:r>
      <w:r>
        <w:rPr>
          <w:rFonts w:ascii="Calibri" w:hAnsi="Calibri"/>
          <w:szCs w:val="22"/>
        </w:rPr>
        <w:t>D</w:t>
      </w:r>
      <w:r w:rsidRPr="006512C4">
        <w:rPr>
          <w:rFonts w:ascii="Calibri" w:hAnsi="Calibri"/>
          <w:szCs w:val="22"/>
        </w:rPr>
        <w:t xml:space="preserve">:  </w:t>
      </w:r>
      <w:r>
        <w:rPr>
          <w:rFonts w:ascii="Calibri" w:hAnsi="Calibri"/>
          <w:szCs w:val="22"/>
        </w:rPr>
        <w:t>UNDP Social and Environmental Screening Procedure (annexed as separate file)</w:t>
      </w:r>
      <w:bookmarkEnd w:id="63"/>
    </w:p>
    <w:p w14:paraId="782394A0" w14:textId="77777777" w:rsidR="00302BFE" w:rsidRDefault="00302BFE" w:rsidP="00302BFE">
      <w:pPr>
        <w:rPr>
          <w:b/>
          <w:szCs w:val="22"/>
        </w:rPr>
      </w:pPr>
    </w:p>
    <w:p w14:paraId="0809AB00" w14:textId="77777777" w:rsidR="00302BFE" w:rsidRDefault="00302BFE" w:rsidP="00302BFE">
      <w:pPr>
        <w:pStyle w:val="Titre2"/>
        <w:ind w:left="0"/>
        <w:rPr>
          <w:rFonts w:ascii="Calibri" w:hAnsi="Calibri"/>
          <w:szCs w:val="22"/>
        </w:rPr>
        <w:sectPr w:rsidR="00302BFE" w:rsidSect="00243B15">
          <w:pgSz w:w="12240" w:h="15840" w:code="1"/>
          <w:pgMar w:top="720" w:right="720" w:bottom="720" w:left="720" w:header="720" w:footer="720" w:gutter="0"/>
          <w:cols w:space="720"/>
          <w:docGrid w:linePitch="360"/>
        </w:sectPr>
      </w:pPr>
    </w:p>
    <w:p w14:paraId="75F1CFA0" w14:textId="77777777" w:rsidR="00302BFE" w:rsidRDefault="00302BFE" w:rsidP="00302BFE">
      <w:pPr>
        <w:pStyle w:val="Titre2"/>
        <w:ind w:left="0"/>
        <w:rPr>
          <w:rFonts w:ascii="Calibri" w:hAnsi="Calibri"/>
          <w:szCs w:val="22"/>
        </w:rPr>
      </w:pPr>
      <w:bookmarkStart w:id="64" w:name="_Toc9961805"/>
      <w:r w:rsidRPr="006512C4">
        <w:rPr>
          <w:rFonts w:ascii="Calibri" w:hAnsi="Calibri"/>
          <w:szCs w:val="22"/>
        </w:rPr>
        <w:lastRenderedPageBreak/>
        <w:t xml:space="preserve">Annex </w:t>
      </w:r>
      <w:r>
        <w:rPr>
          <w:rFonts w:ascii="Calibri" w:hAnsi="Calibri"/>
          <w:szCs w:val="22"/>
        </w:rPr>
        <w:t>E</w:t>
      </w:r>
      <w:r w:rsidRPr="006512C4">
        <w:rPr>
          <w:rFonts w:ascii="Calibri" w:hAnsi="Calibri"/>
          <w:szCs w:val="22"/>
        </w:rPr>
        <w:t xml:space="preserve">:  </w:t>
      </w:r>
      <w:r>
        <w:rPr>
          <w:rFonts w:ascii="Calibri" w:hAnsi="Calibri"/>
          <w:szCs w:val="22"/>
        </w:rPr>
        <w:t>Stakeholder Engagement Plan</w:t>
      </w:r>
      <w:bookmarkEnd w:id="64"/>
      <w:r>
        <w:rPr>
          <w:rFonts w:ascii="Calibri" w:hAnsi="Calibri"/>
          <w:szCs w:val="22"/>
        </w:rPr>
        <w:t xml:space="preserve"> </w:t>
      </w:r>
    </w:p>
    <w:p w14:paraId="58B728E8" w14:textId="77777777" w:rsidR="00302BFE" w:rsidRDefault="00302BFE" w:rsidP="00302BFE">
      <w:pPr>
        <w:spacing w:before="120" w:after="120"/>
      </w:pPr>
      <w:r>
        <w:t xml:space="preserve">The following stakeholder engagement plan is based on an extensive analysis of stakeholders’ interests, </w:t>
      </w:r>
      <w:r w:rsidRPr="00EB75D4">
        <w:t>areas of expertise, expectations and needs during the consultations as part of the development of the project document and available in a separate document.</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82"/>
        <w:gridCol w:w="3827"/>
        <w:gridCol w:w="6193"/>
        <w:gridCol w:w="1985"/>
        <w:gridCol w:w="850"/>
      </w:tblGrid>
      <w:tr w:rsidR="00302BFE" w:rsidRPr="00E379FD" w14:paraId="49666C69" w14:textId="77777777" w:rsidTr="00243B15">
        <w:trPr>
          <w:trHeight w:val="427"/>
          <w:tblHeader/>
          <w:jc w:val="center"/>
        </w:trPr>
        <w:tc>
          <w:tcPr>
            <w:tcW w:w="1882" w:type="dxa"/>
            <w:tcBorders>
              <w:top w:val="single" w:sz="4" w:space="0" w:color="auto"/>
              <w:left w:val="single" w:sz="4" w:space="0" w:color="auto"/>
              <w:bottom w:val="single" w:sz="4" w:space="0" w:color="auto"/>
              <w:right w:val="single" w:sz="4" w:space="0" w:color="auto"/>
            </w:tcBorders>
            <w:shd w:val="clear" w:color="auto" w:fill="FFF2CC"/>
            <w:vAlign w:val="center"/>
          </w:tcPr>
          <w:p w14:paraId="05A928D2" w14:textId="77777777" w:rsidR="00302BFE" w:rsidRPr="00E379FD" w:rsidRDefault="00302BFE" w:rsidP="00243B15">
            <w:pPr>
              <w:keepNext/>
              <w:autoSpaceDN w:val="0"/>
              <w:spacing w:after="0"/>
              <w:jc w:val="left"/>
              <w:rPr>
                <w:rStyle w:val="hpsalt-edited"/>
                <w:rFonts w:eastAsia="Cambria"/>
                <w:sz w:val="18"/>
                <w:szCs w:val="18"/>
                <w:lang w:val="fr-CA"/>
              </w:rPr>
            </w:pPr>
            <w:r>
              <w:rPr>
                <w:b/>
                <w:sz w:val="18"/>
                <w:szCs w:val="18"/>
                <w:lang w:val="fr-CA"/>
              </w:rPr>
              <w:t>Stakeholders</w:t>
            </w:r>
          </w:p>
        </w:tc>
        <w:tc>
          <w:tcPr>
            <w:tcW w:w="3827" w:type="dxa"/>
            <w:tcBorders>
              <w:top w:val="single" w:sz="4" w:space="0" w:color="auto"/>
              <w:left w:val="single" w:sz="4" w:space="0" w:color="auto"/>
              <w:bottom w:val="single" w:sz="4" w:space="0" w:color="auto"/>
              <w:right w:val="single" w:sz="4" w:space="0" w:color="auto"/>
            </w:tcBorders>
            <w:shd w:val="clear" w:color="auto" w:fill="FFF2CC"/>
            <w:vAlign w:val="center"/>
          </w:tcPr>
          <w:p w14:paraId="458FC047" w14:textId="77777777" w:rsidR="00302BFE" w:rsidRPr="00554ABE" w:rsidRDefault="00302BFE" w:rsidP="00243B15">
            <w:pPr>
              <w:keepNext/>
              <w:autoSpaceDN w:val="0"/>
              <w:spacing w:after="0"/>
              <w:jc w:val="left"/>
              <w:rPr>
                <w:rFonts w:eastAsia="Cambria"/>
                <w:b/>
                <w:sz w:val="18"/>
                <w:szCs w:val="18"/>
                <w:lang w:val="en-CA"/>
              </w:rPr>
            </w:pPr>
            <w:r w:rsidRPr="00554ABE">
              <w:rPr>
                <w:b/>
                <w:sz w:val="18"/>
                <w:szCs w:val="18"/>
                <w:lang w:val="en-CA"/>
              </w:rPr>
              <w:t>Expected roles and respons</w:t>
            </w:r>
            <w:r>
              <w:rPr>
                <w:b/>
                <w:sz w:val="18"/>
                <w:szCs w:val="18"/>
                <w:lang w:val="en-CA"/>
              </w:rPr>
              <w:t>i</w:t>
            </w:r>
            <w:r w:rsidRPr="00554ABE">
              <w:rPr>
                <w:b/>
                <w:sz w:val="18"/>
                <w:szCs w:val="18"/>
                <w:lang w:val="en-CA"/>
              </w:rPr>
              <w:t>bilities in project implementation</w:t>
            </w:r>
          </w:p>
        </w:tc>
        <w:tc>
          <w:tcPr>
            <w:tcW w:w="6193" w:type="dxa"/>
            <w:tcBorders>
              <w:top w:val="single" w:sz="4" w:space="0" w:color="auto"/>
              <w:left w:val="single" w:sz="4" w:space="0" w:color="auto"/>
              <w:bottom w:val="single" w:sz="4" w:space="0" w:color="auto"/>
              <w:right w:val="single" w:sz="4" w:space="0" w:color="auto"/>
            </w:tcBorders>
            <w:shd w:val="clear" w:color="auto" w:fill="FFF2CC"/>
            <w:vAlign w:val="center"/>
          </w:tcPr>
          <w:p w14:paraId="36D04247" w14:textId="77777777" w:rsidR="00302BFE" w:rsidRPr="00E379FD" w:rsidRDefault="00302BFE" w:rsidP="00243B15">
            <w:pPr>
              <w:keepNext/>
              <w:autoSpaceDN w:val="0"/>
              <w:spacing w:after="0"/>
              <w:jc w:val="left"/>
              <w:rPr>
                <w:b/>
                <w:sz w:val="18"/>
                <w:szCs w:val="18"/>
                <w:lang w:val="fr-CA"/>
              </w:rPr>
            </w:pPr>
            <w:r>
              <w:rPr>
                <w:b/>
                <w:sz w:val="18"/>
                <w:szCs w:val="18"/>
                <w:lang w:val="fr-CA"/>
              </w:rPr>
              <w:t>Activities</w:t>
            </w:r>
          </w:p>
        </w:tc>
        <w:tc>
          <w:tcPr>
            <w:tcW w:w="1985" w:type="dxa"/>
            <w:tcBorders>
              <w:top w:val="single" w:sz="4" w:space="0" w:color="auto"/>
              <w:left w:val="single" w:sz="4" w:space="0" w:color="auto"/>
              <w:bottom w:val="single" w:sz="4" w:space="0" w:color="auto"/>
              <w:right w:val="single" w:sz="4" w:space="0" w:color="auto"/>
            </w:tcBorders>
            <w:shd w:val="clear" w:color="auto" w:fill="FFF2CC"/>
            <w:vAlign w:val="center"/>
          </w:tcPr>
          <w:p w14:paraId="6E8B7981" w14:textId="77777777" w:rsidR="00302BFE" w:rsidRPr="00E379FD" w:rsidRDefault="00302BFE" w:rsidP="00243B15">
            <w:pPr>
              <w:keepNext/>
              <w:autoSpaceDN w:val="0"/>
              <w:spacing w:after="0"/>
              <w:jc w:val="left"/>
              <w:rPr>
                <w:b/>
                <w:sz w:val="18"/>
                <w:szCs w:val="18"/>
                <w:lang w:val="fr-CA"/>
              </w:rPr>
            </w:pPr>
            <w:r w:rsidRPr="00E379FD">
              <w:rPr>
                <w:b/>
                <w:sz w:val="18"/>
                <w:szCs w:val="18"/>
                <w:lang w:val="fr-CA"/>
              </w:rPr>
              <w:t>R</w:t>
            </w:r>
            <w:r>
              <w:rPr>
                <w:b/>
                <w:sz w:val="18"/>
                <w:szCs w:val="18"/>
                <w:lang w:val="fr-CA"/>
              </w:rPr>
              <w:t>e</w:t>
            </w:r>
            <w:r w:rsidRPr="00E379FD">
              <w:rPr>
                <w:b/>
                <w:sz w:val="18"/>
                <w:szCs w:val="18"/>
                <w:lang w:val="fr-CA"/>
              </w:rPr>
              <w:t>sults</w:t>
            </w:r>
          </w:p>
        </w:tc>
        <w:tc>
          <w:tcPr>
            <w:tcW w:w="850" w:type="dxa"/>
            <w:tcBorders>
              <w:top w:val="single" w:sz="4" w:space="0" w:color="auto"/>
              <w:left w:val="single" w:sz="4" w:space="0" w:color="auto"/>
              <w:bottom w:val="single" w:sz="4" w:space="0" w:color="auto"/>
              <w:right w:val="single" w:sz="4" w:space="0" w:color="auto"/>
            </w:tcBorders>
            <w:shd w:val="clear" w:color="auto" w:fill="FFF2CC"/>
            <w:vAlign w:val="center"/>
          </w:tcPr>
          <w:p w14:paraId="77C1304A" w14:textId="77777777" w:rsidR="00302BFE" w:rsidRPr="00554ABE" w:rsidRDefault="00302BFE" w:rsidP="00243B15">
            <w:pPr>
              <w:keepNext/>
              <w:autoSpaceDN w:val="0"/>
              <w:spacing w:after="0"/>
              <w:jc w:val="left"/>
              <w:rPr>
                <w:b/>
                <w:sz w:val="16"/>
                <w:szCs w:val="16"/>
                <w:lang w:val="fr-CA"/>
              </w:rPr>
            </w:pPr>
            <w:r w:rsidRPr="00554ABE">
              <w:rPr>
                <w:b/>
                <w:sz w:val="16"/>
                <w:szCs w:val="16"/>
                <w:lang w:val="fr-CA"/>
              </w:rPr>
              <w:t>Comp</w:t>
            </w:r>
            <w:r>
              <w:rPr>
                <w:b/>
                <w:sz w:val="16"/>
                <w:szCs w:val="16"/>
                <w:lang w:val="fr-CA"/>
              </w:rPr>
              <w:t>.</w:t>
            </w:r>
          </w:p>
        </w:tc>
      </w:tr>
      <w:tr w:rsidR="00302BFE" w:rsidRPr="00E379FD" w14:paraId="3867CCD4" w14:textId="77777777" w:rsidTr="00243B15">
        <w:trPr>
          <w:jc w:val="center"/>
        </w:trPr>
        <w:tc>
          <w:tcPr>
            <w:tcW w:w="570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7959D6C7" w14:textId="77777777" w:rsidR="00302BFE" w:rsidRPr="005C25D0" w:rsidRDefault="00302BFE" w:rsidP="00243B15">
            <w:pPr>
              <w:autoSpaceDN w:val="0"/>
              <w:spacing w:after="0"/>
              <w:jc w:val="left"/>
              <w:rPr>
                <w:rFonts w:eastAsia="Cambria"/>
                <w:b/>
                <w:sz w:val="18"/>
                <w:szCs w:val="18"/>
                <w:lang w:val="fr-CA"/>
              </w:rPr>
            </w:pPr>
            <w:r w:rsidRPr="005C25D0">
              <w:rPr>
                <w:rStyle w:val="hps"/>
                <w:b/>
                <w:sz w:val="18"/>
                <w:szCs w:val="18"/>
                <w:lang w:val="fr-CA"/>
              </w:rPr>
              <w:t xml:space="preserve">Village communities </w:t>
            </w:r>
            <w:r>
              <w:rPr>
                <w:rStyle w:val="hps"/>
                <w:b/>
                <w:sz w:val="18"/>
                <w:szCs w:val="18"/>
                <w:lang w:val="fr-CA"/>
              </w:rPr>
              <w:t>adjacent to</w:t>
            </w:r>
            <w:r w:rsidRPr="005C25D0">
              <w:rPr>
                <w:rStyle w:val="hps"/>
                <w:b/>
                <w:sz w:val="18"/>
                <w:szCs w:val="18"/>
                <w:lang w:val="fr-CA"/>
              </w:rPr>
              <w:t xml:space="preserve"> PAs</w:t>
            </w:r>
          </w:p>
        </w:tc>
        <w:tc>
          <w:tcPr>
            <w:tcW w:w="6193" w:type="dxa"/>
            <w:tcBorders>
              <w:top w:val="single" w:sz="4" w:space="0" w:color="auto"/>
              <w:left w:val="single" w:sz="4" w:space="0" w:color="auto"/>
              <w:bottom w:val="single" w:sz="4" w:space="0" w:color="auto"/>
              <w:right w:val="single" w:sz="4" w:space="0" w:color="auto"/>
            </w:tcBorders>
            <w:shd w:val="clear" w:color="auto" w:fill="E6E6E6"/>
            <w:vAlign w:val="center"/>
          </w:tcPr>
          <w:p w14:paraId="069179F2" w14:textId="77777777" w:rsidR="00302BFE" w:rsidRPr="00E379FD" w:rsidRDefault="00302BFE" w:rsidP="00243B15">
            <w:pPr>
              <w:autoSpaceDN w:val="0"/>
              <w:spacing w:after="0"/>
              <w:jc w:val="left"/>
              <w:rPr>
                <w:rStyle w:val="hps"/>
                <w:b/>
                <w:bCs/>
                <w:sz w:val="18"/>
                <w:szCs w:val="18"/>
                <w:lang w:val="fr-CA"/>
              </w:rPr>
            </w:pPr>
          </w:p>
        </w:tc>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15FFF0E3" w14:textId="77777777" w:rsidR="00302BFE" w:rsidRPr="00E379FD" w:rsidRDefault="00302BFE" w:rsidP="00243B15">
            <w:pPr>
              <w:autoSpaceDN w:val="0"/>
              <w:spacing w:after="0"/>
              <w:jc w:val="left"/>
              <w:rPr>
                <w:rStyle w:val="hps"/>
                <w:b/>
                <w:bCs/>
                <w:sz w:val="18"/>
                <w:szCs w:val="18"/>
                <w:lang w:val="fr-C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16C9023E" w14:textId="77777777" w:rsidR="00302BFE" w:rsidRPr="00E379FD" w:rsidRDefault="00302BFE" w:rsidP="00243B15">
            <w:pPr>
              <w:autoSpaceDN w:val="0"/>
              <w:spacing w:after="0"/>
              <w:jc w:val="left"/>
              <w:rPr>
                <w:rStyle w:val="hps"/>
                <w:b/>
                <w:bCs/>
                <w:sz w:val="18"/>
                <w:szCs w:val="18"/>
                <w:lang w:val="fr-CA"/>
              </w:rPr>
            </w:pPr>
          </w:p>
        </w:tc>
      </w:tr>
      <w:tr w:rsidR="00302BFE" w:rsidRPr="00E379FD" w14:paraId="059C6C3A" w14:textId="77777777" w:rsidTr="00243B15">
        <w:trPr>
          <w:jc w:val="center"/>
        </w:trPr>
        <w:tc>
          <w:tcPr>
            <w:tcW w:w="1882" w:type="dxa"/>
            <w:tcBorders>
              <w:top w:val="single" w:sz="4" w:space="0" w:color="auto"/>
              <w:left w:val="single" w:sz="4" w:space="0" w:color="auto"/>
              <w:bottom w:val="single" w:sz="4" w:space="0" w:color="auto"/>
              <w:right w:val="single" w:sz="4" w:space="0" w:color="auto"/>
            </w:tcBorders>
            <w:vAlign w:val="center"/>
          </w:tcPr>
          <w:p w14:paraId="0129C5B9" w14:textId="77777777" w:rsidR="00302BFE" w:rsidRPr="00EA1D6F" w:rsidRDefault="00302BFE" w:rsidP="00243B15">
            <w:pPr>
              <w:spacing w:after="0"/>
              <w:jc w:val="left"/>
              <w:rPr>
                <w:rStyle w:val="hps"/>
                <w:rFonts w:eastAsia="Cambria"/>
                <w:b/>
                <w:bCs/>
                <w:sz w:val="18"/>
                <w:szCs w:val="18"/>
                <w:lang w:val="en-CA"/>
              </w:rPr>
            </w:pPr>
            <w:r w:rsidRPr="00EA1D6F">
              <w:rPr>
                <w:sz w:val="18"/>
                <w:szCs w:val="18"/>
                <w:lang w:val="en-CA"/>
              </w:rPr>
              <w:t>Main users of the natural resources of PA sites including: Farmers, herders, loggers, coalmen, hunters, women users (NTFPs, firewood, medicinal plants), craftsmen, carpenters</w:t>
            </w:r>
          </w:p>
        </w:tc>
        <w:tc>
          <w:tcPr>
            <w:tcW w:w="3827" w:type="dxa"/>
            <w:tcBorders>
              <w:top w:val="single" w:sz="4" w:space="0" w:color="auto"/>
              <w:left w:val="single" w:sz="4" w:space="0" w:color="auto"/>
              <w:bottom w:val="single" w:sz="4" w:space="0" w:color="auto"/>
              <w:right w:val="single" w:sz="4" w:space="0" w:color="auto"/>
            </w:tcBorders>
            <w:vAlign w:val="center"/>
          </w:tcPr>
          <w:p w14:paraId="3A93027B" w14:textId="77777777" w:rsidR="00302BFE" w:rsidRPr="00EA1D6F" w:rsidRDefault="00302BFE" w:rsidP="00C46720">
            <w:pPr>
              <w:numPr>
                <w:ilvl w:val="0"/>
                <w:numId w:val="38"/>
              </w:numPr>
              <w:autoSpaceDN w:val="0"/>
              <w:spacing w:after="0"/>
              <w:jc w:val="left"/>
              <w:rPr>
                <w:sz w:val="18"/>
                <w:szCs w:val="18"/>
                <w:lang w:val="fr-CA"/>
              </w:rPr>
            </w:pPr>
            <w:r w:rsidRPr="00EA1D6F">
              <w:rPr>
                <w:sz w:val="18"/>
                <w:szCs w:val="18"/>
                <w:lang w:val="fr-CA"/>
              </w:rPr>
              <w:t>Actors and key beneficiaries</w:t>
            </w:r>
          </w:p>
          <w:p w14:paraId="34D2EBF9" w14:textId="77777777" w:rsidR="00302BFE" w:rsidRPr="009F5ABC" w:rsidRDefault="00302BFE" w:rsidP="00C46720">
            <w:pPr>
              <w:numPr>
                <w:ilvl w:val="0"/>
                <w:numId w:val="38"/>
              </w:numPr>
              <w:autoSpaceDN w:val="0"/>
              <w:spacing w:after="0"/>
              <w:jc w:val="left"/>
              <w:rPr>
                <w:sz w:val="18"/>
                <w:szCs w:val="18"/>
                <w:lang w:val="en-CA"/>
              </w:rPr>
            </w:pPr>
            <w:r w:rsidRPr="009F5ABC">
              <w:rPr>
                <w:sz w:val="18"/>
                <w:szCs w:val="18"/>
                <w:lang w:val="en-CA"/>
              </w:rPr>
              <w:t>Permanent members (through representatives) of project teams during surveys and field missions</w:t>
            </w:r>
          </w:p>
          <w:p w14:paraId="1AB372BF" w14:textId="77777777" w:rsidR="00302BFE" w:rsidRPr="00EA1D6F" w:rsidRDefault="00302BFE" w:rsidP="00C46720">
            <w:pPr>
              <w:numPr>
                <w:ilvl w:val="0"/>
                <w:numId w:val="38"/>
              </w:numPr>
              <w:autoSpaceDN w:val="0"/>
              <w:spacing w:after="0"/>
              <w:jc w:val="left"/>
              <w:rPr>
                <w:rFonts w:eastAsia="Batang"/>
                <w:sz w:val="18"/>
                <w:szCs w:val="18"/>
                <w:lang w:val="en-CA" w:eastAsia="ko-KR"/>
              </w:rPr>
            </w:pPr>
            <w:r w:rsidRPr="009F5ABC">
              <w:rPr>
                <w:sz w:val="18"/>
                <w:szCs w:val="18"/>
                <w:lang w:val="en-CA"/>
              </w:rPr>
              <w:t>Community development organizations (associations, groups, cooperatives)</w:t>
            </w:r>
          </w:p>
        </w:tc>
        <w:tc>
          <w:tcPr>
            <w:tcW w:w="6193" w:type="dxa"/>
            <w:tcBorders>
              <w:top w:val="single" w:sz="4" w:space="0" w:color="auto"/>
              <w:left w:val="single" w:sz="4" w:space="0" w:color="auto"/>
              <w:bottom w:val="single" w:sz="4" w:space="0" w:color="auto"/>
              <w:right w:val="single" w:sz="4" w:space="0" w:color="auto"/>
            </w:tcBorders>
            <w:vAlign w:val="center"/>
          </w:tcPr>
          <w:p w14:paraId="7145C135" w14:textId="77777777" w:rsidR="00302BFE" w:rsidRPr="00EA1D6F" w:rsidRDefault="00302BFE" w:rsidP="00C46720">
            <w:pPr>
              <w:numPr>
                <w:ilvl w:val="0"/>
                <w:numId w:val="38"/>
              </w:numPr>
              <w:autoSpaceDN w:val="0"/>
              <w:spacing w:after="0"/>
              <w:jc w:val="left"/>
              <w:rPr>
                <w:rFonts w:eastAsia="Batang"/>
                <w:sz w:val="18"/>
                <w:szCs w:val="18"/>
                <w:lang w:val="en-CA" w:eastAsia="ko-KR"/>
              </w:rPr>
            </w:pPr>
            <w:r w:rsidRPr="00EA1D6F">
              <w:rPr>
                <w:rFonts w:eastAsia="Batang"/>
                <w:sz w:val="18"/>
                <w:szCs w:val="18"/>
                <w:lang w:val="en-CA" w:eastAsia="ko-KR"/>
              </w:rPr>
              <w:t>They will actively participate in the designation of community representatives on collaborative management committees (Output 2.2.2) and will be represented in the working sessions and negotiations regarding the definition of collaborative PA management arrangements for resource use. and monitoring in PAs (</w:t>
            </w:r>
            <w:r>
              <w:rPr>
                <w:sz w:val="18"/>
                <w:szCs w:val="18"/>
                <w:lang w:val="en-CA"/>
              </w:rPr>
              <w:t>output</w:t>
            </w:r>
            <w:r w:rsidRPr="00616C8C">
              <w:rPr>
                <w:sz w:val="18"/>
                <w:szCs w:val="18"/>
                <w:lang w:val="en-CA"/>
              </w:rPr>
              <w:t xml:space="preserve"> </w:t>
            </w:r>
            <w:r w:rsidRPr="00EA1D6F">
              <w:rPr>
                <w:rFonts w:eastAsia="Batang"/>
                <w:sz w:val="18"/>
                <w:szCs w:val="18"/>
                <w:lang w:val="en-CA" w:eastAsia="ko-KR"/>
              </w:rPr>
              <w:t>2.2.2);</w:t>
            </w:r>
          </w:p>
          <w:p w14:paraId="1C11F475" w14:textId="77777777" w:rsidR="00302BFE" w:rsidRPr="00EA1D6F" w:rsidRDefault="00302BFE" w:rsidP="00C46720">
            <w:pPr>
              <w:numPr>
                <w:ilvl w:val="0"/>
                <w:numId w:val="38"/>
              </w:numPr>
              <w:autoSpaceDN w:val="0"/>
              <w:spacing w:after="0"/>
              <w:jc w:val="left"/>
              <w:rPr>
                <w:rFonts w:eastAsia="Calibri"/>
                <w:sz w:val="18"/>
                <w:szCs w:val="18"/>
                <w:lang w:val="en-CA"/>
              </w:rPr>
            </w:pPr>
            <w:r w:rsidRPr="00EA1D6F">
              <w:rPr>
                <w:rFonts w:eastAsia="Calibri"/>
                <w:sz w:val="18"/>
                <w:szCs w:val="18"/>
                <w:lang w:val="en-CA"/>
              </w:rPr>
              <w:t>Information and awareness activities will be carried out with local communities bordering protected areas in view of their participation (</w:t>
            </w:r>
            <w:r>
              <w:rPr>
                <w:sz w:val="18"/>
                <w:szCs w:val="18"/>
                <w:lang w:val="en-CA"/>
              </w:rPr>
              <w:t>output</w:t>
            </w:r>
            <w:r w:rsidRPr="00616C8C">
              <w:rPr>
                <w:sz w:val="18"/>
                <w:szCs w:val="18"/>
                <w:lang w:val="en-CA"/>
              </w:rPr>
              <w:t xml:space="preserve"> </w:t>
            </w:r>
            <w:r w:rsidRPr="00EA1D6F">
              <w:rPr>
                <w:rFonts w:eastAsia="Calibri"/>
                <w:sz w:val="18"/>
                <w:szCs w:val="18"/>
                <w:lang w:val="en-CA"/>
              </w:rPr>
              <w:t>2.2) in the following activities:</w:t>
            </w:r>
            <w:r w:rsidRPr="00EA1D6F">
              <w:rPr>
                <w:rFonts w:eastAsia="Calibri"/>
                <w:sz w:val="18"/>
                <w:szCs w:val="18"/>
                <w:lang w:val="en-CA"/>
              </w:rPr>
              <w:br/>
              <w:t>- signing of voluntary agreements concerning the establishment of PAs,</w:t>
            </w:r>
            <w:r w:rsidRPr="00EA1D6F">
              <w:rPr>
                <w:rFonts w:eastAsia="Calibri"/>
                <w:sz w:val="18"/>
                <w:szCs w:val="18"/>
                <w:lang w:val="en-CA"/>
              </w:rPr>
              <w:br/>
              <w:t>- participation in the work for the final delimitation of corridor # 2,</w:t>
            </w:r>
            <w:r>
              <w:rPr>
                <w:rFonts w:eastAsia="Calibri"/>
                <w:sz w:val="18"/>
                <w:szCs w:val="18"/>
                <w:lang w:val="en-CA"/>
              </w:rPr>
              <w:br/>
            </w:r>
            <w:r w:rsidRPr="00EA1D6F">
              <w:rPr>
                <w:rFonts w:eastAsia="Calibri"/>
                <w:sz w:val="18"/>
                <w:szCs w:val="18"/>
                <w:lang w:val="en-CA"/>
              </w:rPr>
              <w:t>- participation in regulatory negotiations (activities and permitted uses) within the different PA zones;</w:t>
            </w:r>
          </w:p>
          <w:p w14:paraId="77DBFD0C" w14:textId="77777777" w:rsidR="00302BFE" w:rsidRPr="00EA1D6F" w:rsidRDefault="00302BFE" w:rsidP="00C46720">
            <w:pPr>
              <w:numPr>
                <w:ilvl w:val="0"/>
                <w:numId w:val="38"/>
              </w:numPr>
              <w:autoSpaceDN w:val="0"/>
              <w:spacing w:after="0"/>
              <w:jc w:val="left"/>
              <w:rPr>
                <w:rFonts w:eastAsia="Batang"/>
                <w:sz w:val="18"/>
                <w:szCs w:val="18"/>
                <w:lang w:val="en-CA" w:eastAsia="ko-KR"/>
              </w:rPr>
            </w:pPr>
            <w:r w:rsidRPr="00EA1D6F">
              <w:rPr>
                <w:rFonts w:eastAsia="Batang"/>
                <w:sz w:val="18"/>
                <w:szCs w:val="18"/>
                <w:lang w:val="en-CA" w:eastAsia="ko-KR"/>
              </w:rPr>
              <w:t>Local workers will be hired primarily for development and restoration work within and around the PAs (Output 2.1.4)</w:t>
            </w:r>
          </w:p>
          <w:p w14:paraId="4D87BFAD" w14:textId="77777777" w:rsidR="00302BFE" w:rsidRPr="00EA1D6F" w:rsidRDefault="00302BFE" w:rsidP="00C46720">
            <w:pPr>
              <w:numPr>
                <w:ilvl w:val="0"/>
                <w:numId w:val="38"/>
              </w:numPr>
              <w:autoSpaceDN w:val="0"/>
              <w:spacing w:after="0"/>
              <w:jc w:val="left"/>
              <w:rPr>
                <w:rFonts w:eastAsia="Batang"/>
                <w:sz w:val="18"/>
                <w:szCs w:val="18"/>
                <w:lang w:val="en-CA" w:eastAsia="ko-KR"/>
              </w:rPr>
            </w:pPr>
            <w:r w:rsidRPr="00EA1D6F">
              <w:rPr>
                <w:rFonts w:eastAsia="Batang"/>
                <w:sz w:val="18"/>
                <w:szCs w:val="18"/>
                <w:lang w:val="en-CA" w:eastAsia="ko-KR"/>
              </w:rPr>
              <w:t>Local communities will be invited to participate in the development of NTFP-based value chains (Output 2.3) and the development of tourism activities related to PAs for the benefit of local communities (Output 2.4);</w:t>
            </w:r>
          </w:p>
          <w:p w14:paraId="6BD135AC" w14:textId="77777777" w:rsidR="00302BFE" w:rsidRPr="00EA1D6F" w:rsidRDefault="00302BFE" w:rsidP="00C46720">
            <w:pPr>
              <w:numPr>
                <w:ilvl w:val="0"/>
                <w:numId w:val="38"/>
              </w:numPr>
              <w:autoSpaceDN w:val="0"/>
              <w:spacing w:after="0"/>
              <w:jc w:val="left"/>
              <w:rPr>
                <w:sz w:val="18"/>
                <w:szCs w:val="18"/>
                <w:lang w:val="en-CA"/>
              </w:rPr>
            </w:pPr>
            <w:r w:rsidRPr="00EA1D6F">
              <w:rPr>
                <w:sz w:val="18"/>
                <w:szCs w:val="18"/>
                <w:lang w:val="en-CA"/>
              </w:rPr>
              <w:t>Local communities / resource users will be invited to participate in PA management effectiveness assessments planned during project preparation, mid-term and end of project, and will participate in monitoring and participatory research programs on biodiversity and to assessment of the impact of project interventions (Output 4.2).</w:t>
            </w:r>
          </w:p>
        </w:tc>
        <w:tc>
          <w:tcPr>
            <w:tcW w:w="1985" w:type="dxa"/>
            <w:tcBorders>
              <w:top w:val="single" w:sz="4" w:space="0" w:color="auto"/>
              <w:left w:val="single" w:sz="4" w:space="0" w:color="auto"/>
              <w:bottom w:val="single" w:sz="4" w:space="0" w:color="auto"/>
              <w:right w:val="single" w:sz="4" w:space="0" w:color="auto"/>
            </w:tcBorders>
            <w:vAlign w:val="center"/>
          </w:tcPr>
          <w:p w14:paraId="540501EB" w14:textId="77777777" w:rsidR="00302BFE" w:rsidRPr="00EA1D6F" w:rsidRDefault="00302BFE" w:rsidP="00243B15">
            <w:pPr>
              <w:pStyle w:val="PrformatHTML"/>
              <w:shd w:val="clear" w:color="auto" w:fill="FFFFFF"/>
              <w:rPr>
                <w:rFonts w:ascii="Calibri" w:hAnsi="Calibri" w:cs="Times New Roman"/>
                <w:sz w:val="18"/>
                <w:szCs w:val="18"/>
                <w:lang w:val="en-CA"/>
              </w:rPr>
            </w:pPr>
            <w:r w:rsidRPr="00EA1D6F">
              <w:rPr>
                <w:rFonts w:ascii="Calibri" w:hAnsi="Calibri" w:cs="Times New Roman"/>
                <w:sz w:val="18"/>
                <w:szCs w:val="18"/>
                <w:lang w:val="en-CA"/>
              </w:rPr>
              <w:t>Local communities and agricultural producers have been consulted, informed, trained and benefit from the implementation of sustainable land management practices and rangeland management systems, as well as biodiversity conservation.</w:t>
            </w:r>
          </w:p>
        </w:tc>
        <w:tc>
          <w:tcPr>
            <w:tcW w:w="850" w:type="dxa"/>
            <w:tcBorders>
              <w:top w:val="single" w:sz="4" w:space="0" w:color="auto"/>
              <w:left w:val="single" w:sz="4" w:space="0" w:color="auto"/>
              <w:bottom w:val="single" w:sz="4" w:space="0" w:color="auto"/>
              <w:right w:val="single" w:sz="4" w:space="0" w:color="auto"/>
            </w:tcBorders>
            <w:vAlign w:val="center"/>
          </w:tcPr>
          <w:p w14:paraId="5F2766B7" w14:textId="77777777" w:rsidR="00302BFE" w:rsidRPr="00E379FD" w:rsidRDefault="00302BFE" w:rsidP="00243B15">
            <w:pPr>
              <w:autoSpaceDN w:val="0"/>
              <w:spacing w:after="0"/>
              <w:jc w:val="left"/>
              <w:rPr>
                <w:sz w:val="18"/>
                <w:szCs w:val="18"/>
                <w:lang w:val="fr-CA"/>
              </w:rPr>
            </w:pPr>
            <w:r w:rsidRPr="00E379FD">
              <w:rPr>
                <w:sz w:val="18"/>
                <w:szCs w:val="18"/>
                <w:lang w:val="fr-CA"/>
              </w:rPr>
              <w:t xml:space="preserve">1, 2, 3 </w:t>
            </w:r>
            <w:r>
              <w:rPr>
                <w:sz w:val="18"/>
                <w:szCs w:val="18"/>
                <w:lang w:val="fr-CA"/>
              </w:rPr>
              <w:t>and</w:t>
            </w:r>
            <w:r w:rsidRPr="00E379FD">
              <w:rPr>
                <w:sz w:val="18"/>
                <w:szCs w:val="18"/>
                <w:lang w:val="fr-CA"/>
              </w:rPr>
              <w:t xml:space="preserve"> 4</w:t>
            </w:r>
          </w:p>
        </w:tc>
      </w:tr>
      <w:tr w:rsidR="00302BFE" w:rsidRPr="00E379FD" w14:paraId="76C55580" w14:textId="77777777" w:rsidTr="00243B15">
        <w:trPr>
          <w:jc w:val="center"/>
        </w:trPr>
        <w:tc>
          <w:tcPr>
            <w:tcW w:w="1882" w:type="dxa"/>
            <w:tcBorders>
              <w:top w:val="single" w:sz="4" w:space="0" w:color="auto"/>
              <w:left w:val="single" w:sz="4" w:space="0" w:color="auto"/>
              <w:bottom w:val="single" w:sz="4" w:space="0" w:color="auto"/>
              <w:right w:val="single" w:sz="4" w:space="0" w:color="auto"/>
            </w:tcBorders>
            <w:vAlign w:val="center"/>
          </w:tcPr>
          <w:p w14:paraId="5CF09634" w14:textId="77777777" w:rsidR="00302BFE" w:rsidRPr="00CF4D08" w:rsidRDefault="00302BFE" w:rsidP="00243B15">
            <w:pPr>
              <w:spacing w:after="0"/>
              <w:jc w:val="left"/>
              <w:rPr>
                <w:rFonts w:eastAsia="Cambria"/>
                <w:sz w:val="18"/>
                <w:szCs w:val="18"/>
                <w:lang w:val="en-CA"/>
              </w:rPr>
            </w:pPr>
            <w:r w:rsidRPr="005C25D0">
              <w:rPr>
                <w:b/>
                <w:sz w:val="18"/>
                <w:szCs w:val="18"/>
                <w:lang w:val="en-CA"/>
              </w:rPr>
              <w:t>Community opinion leaders</w:t>
            </w:r>
            <w:r w:rsidRPr="00CF4D08">
              <w:rPr>
                <w:sz w:val="18"/>
                <w:szCs w:val="18"/>
                <w:lang w:val="en-CA"/>
              </w:rPr>
              <w:t xml:space="preserve">: village chiefs, religious leaders (Imam, priests, pastors), land chiefs </w:t>
            </w:r>
          </w:p>
        </w:tc>
        <w:tc>
          <w:tcPr>
            <w:tcW w:w="3827" w:type="dxa"/>
            <w:tcBorders>
              <w:top w:val="single" w:sz="4" w:space="0" w:color="auto"/>
              <w:left w:val="single" w:sz="4" w:space="0" w:color="auto"/>
              <w:bottom w:val="single" w:sz="4" w:space="0" w:color="auto"/>
              <w:right w:val="single" w:sz="4" w:space="0" w:color="auto"/>
            </w:tcBorders>
            <w:vAlign w:val="center"/>
          </w:tcPr>
          <w:p w14:paraId="14BF3E62" w14:textId="77777777" w:rsidR="00302BFE" w:rsidRPr="009F390C" w:rsidRDefault="00302BFE" w:rsidP="00243B15">
            <w:pPr>
              <w:autoSpaceDN w:val="0"/>
              <w:spacing w:after="0"/>
              <w:jc w:val="left"/>
              <w:rPr>
                <w:sz w:val="18"/>
                <w:szCs w:val="18"/>
                <w:lang w:val="en-CA"/>
              </w:rPr>
            </w:pPr>
            <w:r w:rsidRPr="009F390C">
              <w:rPr>
                <w:sz w:val="18"/>
                <w:szCs w:val="18"/>
                <w:lang w:val="en-CA"/>
              </w:rPr>
              <w:t>Village chiefs, land chiefs and religious and customary chiefs enjoy a very high degree of legitimacy. Highly respected, they are heard by the people and can play the role of transmitting information to even the most remote villages.</w:t>
            </w:r>
          </w:p>
          <w:p w14:paraId="07C8E1E3" w14:textId="77777777" w:rsidR="00302BFE" w:rsidRPr="009F390C" w:rsidRDefault="00302BFE" w:rsidP="00243B15">
            <w:pPr>
              <w:autoSpaceDN w:val="0"/>
              <w:spacing w:after="0"/>
              <w:jc w:val="left"/>
              <w:rPr>
                <w:rFonts w:eastAsia="Calibri"/>
                <w:sz w:val="18"/>
                <w:szCs w:val="18"/>
                <w:lang w:val="en-CA"/>
              </w:rPr>
            </w:pPr>
            <w:r w:rsidRPr="009F390C">
              <w:rPr>
                <w:sz w:val="18"/>
                <w:szCs w:val="18"/>
                <w:lang w:val="en-CA"/>
              </w:rPr>
              <w:t>Land chiefs are the ones who rule on land issues. They are also involved in conflict management in the same way as the other authorities mentioned above.</w:t>
            </w:r>
          </w:p>
        </w:tc>
        <w:tc>
          <w:tcPr>
            <w:tcW w:w="6193" w:type="dxa"/>
            <w:tcBorders>
              <w:top w:val="single" w:sz="4" w:space="0" w:color="auto"/>
              <w:left w:val="single" w:sz="4" w:space="0" w:color="auto"/>
              <w:bottom w:val="single" w:sz="4" w:space="0" w:color="auto"/>
              <w:right w:val="single" w:sz="4" w:space="0" w:color="auto"/>
            </w:tcBorders>
            <w:vAlign w:val="center"/>
          </w:tcPr>
          <w:p w14:paraId="408E825A" w14:textId="77777777" w:rsidR="00302BFE" w:rsidRPr="009F390C" w:rsidRDefault="00302BFE" w:rsidP="00C46720">
            <w:pPr>
              <w:numPr>
                <w:ilvl w:val="0"/>
                <w:numId w:val="38"/>
              </w:numPr>
              <w:autoSpaceDN w:val="0"/>
              <w:spacing w:after="0"/>
              <w:jc w:val="left"/>
              <w:rPr>
                <w:rFonts w:eastAsia="Calibri"/>
                <w:sz w:val="18"/>
                <w:szCs w:val="18"/>
                <w:lang w:val="en-CA"/>
              </w:rPr>
            </w:pPr>
            <w:r w:rsidRPr="009F390C">
              <w:rPr>
                <w:sz w:val="18"/>
                <w:szCs w:val="18"/>
                <w:lang w:val="en-CA"/>
              </w:rPr>
              <w:t>They will be invited to participate in the local information meetings on the process of setting up the PA, the negotiations on the use of resources to delimit the zones (</w:t>
            </w:r>
            <w:r>
              <w:rPr>
                <w:sz w:val="18"/>
                <w:szCs w:val="18"/>
                <w:lang w:val="en-CA"/>
              </w:rPr>
              <w:t>output</w:t>
            </w:r>
            <w:r w:rsidRPr="00616C8C">
              <w:rPr>
                <w:sz w:val="18"/>
                <w:szCs w:val="18"/>
                <w:lang w:val="en-CA"/>
              </w:rPr>
              <w:t xml:space="preserve"> </w:t>
            </w:r>
            <w:r w:rsidRPr="009F390C">
              <w:rPr>
                <w:sz w:val="18"/>
                <w:szCs w:val="18"/>
                <w:lang w:val="en-CA"/>
              </w:rPr>
              <w:t>1.3.2), to contribute to the preparation of the PA Management Plan (Output 2.1.3), and formalize important events and festivities related to PAs;</w:t>
            </w:r>
          </w:p>
          <w:p w14:paraId="362B9C13" w14:textId="77777777" w:rsidR="00302BFE" w:rsidRPr="009F390C" w:rsidRDefault="00302BFE" w:rsidP="00C46720">
            <w:pPr>
              <w:numPr>
                <w:ilvl w:val="0"/>
                <w:numId w:val="38"/>
              </w:numPr>
              <w:autoSpaceDN w:val="0"/>
              <w:spacing w:after="0"/>
              <w:jc w:val="left"/>
              <w:rPr>
                <w:sz w:val="18"/>
                <w:szCs w:val="18"/>
                <w:lang w:val="en-CA"/>
              </w:rPr>
            </w:pPr>
            <w:r w:rsidRPr="009F390C">
              <w:rPr>
                <w:sz w:val="18"/>
                <w:szCs w:val="18"/>
                <w:lang w:val="en-CA"/>
              </w:rPr>
              <w:t>Religious leaders and notables will be invited to contribute to the identification of conflict management mechanisms (</w:t>
            </w:r>
            <w:r>
              <w:rPr>
                <w:sz w:val="18"/>
                <w:szCs w:val="18"/>
                <w:lang w:val="en-CA"/>
              </w:rPr>
              <w:t>output</w:t>
            </w:r>
            <w:r w:rsidRPr="00616C8C">
              <w:rPr>
                <w:sz w:val="18"/>
                <w:szCs w:val="18"/>
                <w:lang w:val="en-CA"/>
              </w:rPr>
              <w:t xml:space="preserve"> </w:t>
            </w:r>
            <w:r w:rsidRPr="009F390C">
              <w:rPr>
                <w:sz w:val="18"/>
                <w:szCs w:val="18"/>
                <w:lang w:val="en-CA"/>
              </w:rPr>
              <w:t>2.2), advise and intervene in conflict resolution regarding local resources related to PAs and their resources and, if necessary, in the application of the regulations.</w:t>
            </w:r>
          </w:p>
        </w:tc>
        <w:tc>
          <w:tcPr>
            <w:tcW w:w="1985" w:type="dxa"/>
            <w:tcBorders>
              <w:top w:val="single" w:sz="4" w:space="0" w:color="auto"/>
              <w:left w:val="single" w:sz="4" w:space="0" w:color="auto"/>
              <w:bottom w:val="single" w:sz="4" w:space="0" w:color="auto"/>
              <w:right w:val="single" w:sz="4" w:space="0" w:color="auto"/>
            </w:tcBorders>
            <w:vAlign w:val="center"/>
          </w:tcPr>
          <w:p w14:paraId="420F5586" w14:textId="77777777" w:rsidR="00302BFE" w:rsidRPr="00CF4D08" w:rsidRDefault="00302BFE" w:rsidP="00243B15">
            <w:pPr>
              <w:pStyle w:val="PrformatHTML"/>
              <w:shd w:val="clear" w:color="auto" w:fill="FFFFFF"/>
              <w:rPr>
                <w:rFonts w:ascii="Calibri" w:hAnsi="Calibri" w:cs="Times New Roman"/>
                <w:sz w:val="18"/>
                <w:szCs w:val="18"/>
                <w:lang w:val="en-CA"/>
              </w:rPr>
            </w:pPr>
            <w:r w:rsidRPr="00CF4D08">
              <w:rPr>
                <w:rFonts w:ascii="Calibri" w:hAnsi="Calibri" w:cs="Times New Roman"/>
                <w:sz w:val="18"/>
                <w:szCs w:val="18"/>
                <w:lang w:val="en-CA"/>
              </w:rPr>
              <w:t>Achieve project results and outputs through effective communication, engagement and coordination of stakeholders.</w:t>
            </w:r>
          </w:p>
        </w:tc>
        <w:tc>
          <w:tcPr>
            <w:tcW w:w="850" w:type="dxa"/>
            <w:tcBorders>
              <w:top w:val="single" w:sz="4" w:space="0" w:color="auto"/>
              <w:left w:val="single" w:sz="4" w:space="0" w:color="auto"/>
              <w:bottom w:val="single" w:sz="4" w:space="0" w:color="auto"/>
              <w:right w:val="single" w:sz="4" w:space="0" w:color="auto"/>
            </w:tcBorders>
            <w:vAlign w:val="center"/>
          </w:tcPr>
          <w:p w14:paraId="6150E09A" w14:textId="77777777" w:rsidR="00302BFE" w:rsidRPr="00E379FD" w:rsidRDefault="00302BFE" w:rsidP="00243B15">
            <w:pPr>
              <w:autoSpaceDN w:val="0"/>
              <w:spacing w:after="0"/>
              <w:jc w:val="left"/>
              <w:rPr>
                <w:sz w:val="18"/>
                <w:szCs w:val="18"/>
                <w:lang w:val="fr-CA"/>
              </w:rPr>
            </w:pPr>
            <w:r w:rsidRPr="00E379FD">
              <w:rPr>
                <w:sz w:val="18"/>
                <w:szCs w:val="18"/>
                <w:lang w:val="fr-CA"/>
              </w:rPr>
              <w:t>1, 2</w:t>
            </w:r>
          </w:p>
        </w:tc>
      </w:tr>
      <w:tr w:rsidR="00302BFE" w:rsidRPr="00E379FD" w14:paraId="637CB0D9" w14:textId="77777777" w:rsidTr="00243B15">
        <w:trPr>
          <w:jc w:val="center"/>
        </w:trPr>
        <w:tc>
          <w:tcPr>
            <w:tcW w:w="1882" w:type="dxa"/>
            <w:tcBorders>
              <w:top w:val="single" w:sz="4" w:space="0" w:color="auto"/>
              <w:left w:val="single" w:sz="4" w:space="0" w:color="auto"/>
              <w:bottom w:val="single" w:sz="4" w:space="0" w:color="auto"/>
              <w:right w:val="single" w:sz="4" w:space="0" w:color="auto"/>
            </w:tcBorders>
            <w:vAlign w:val="center"/>
          </w:tcPr>
          <w:p w14:paraId="0B6DFC60" w14:textId="77777777" w:rsidR="00302BFE" w:rsidRPr="005C25D0" w:rsidRDefault="00302BFE" w:rsidP="00243B15">
            <w:pPr>
              <w:spacing w:after="0"/>
              <w:jc w:val="left"/>
              <w:rPr>
                <w:sz w:val="18"/>
                <w:szCs w:val="18"/>
                <w:lang w:val="en-CA"/>
              </w:rPr>
            </w:pPr>
            <w:r w:rsidRPr="005C25D0">
              <w:rPr>
                <w:b/>
                <w:sz w:val="18"/>
                <w:szCs w:val="18"/>
                <w:lang w:val="en-CA"/>
              </w:rPr>
              <w:t xml:space="preserve">Community Organizations: </w:t>
            </w:r>
            <w:r w:rsidRPr="005C25D0">
              <w:rPr>
                <w:sz w:val="18"/>
                <w:szCs w:val="18"/>
                <w:lang w:val="en-CA"/>
              </w:rPr>
              <w:t xml:space="preserve">Village Development Councils (CVDs) in the riparian villages of the PAs, women's associations </w:t>
            </w:r>
            <w:r w:rsidRPr="005C25D0">
              <w:rPr>
                <w:sz w:val="18"/>
                <w:szCs w:val="18"/>
                <w:lang w:val="en-CA"/>
              </w:rPr>
              <w:lastRenderedPageBreak/>
              <w:t>and groups, farmers' organizations</w:t>
            </w:r>
          </w:p>
        </w:tc>
        <w:tc>
          <w:tcPr>
            <w:tcW w:w="3827" w:type="dxa"/>
            <w:tcBorders>
              <w:top w:val="single" w:sz="4" w:space="0" w:color="auto"/>
              <w:left w:val="single" w:sz="4" w:space="0" w:color="auto"/>
              <w:bottom w:val="single" w:sz="4" w:space="0" w:color="auto"/>
              <w:right w:val="single" w:sz="4" w:space="0" w:color="auto"/>
            </w:tcBorders>
            <w:vAlign w:val="center"/>
          </w:tcPr>
          <w:p w14:paraId="15779F82" w14:textId="77777777" w:rsidR="00302BFE" w:rsidRPr="009F390C" w:rsidRDefault="00302BFE" w:rsidP="00243B15">
            <w:pPr>
              <w:autoSpaceDN w:val="0"/>
              <w:spacing w:after="0"/>
              <w:jc w:val="left"/>
              <w:rPr>
                <w:sz w:val="18"/>
                <w:szCs w:val="18"/>
                <w:lang w:val="en-CA"/>
              </w:rPr>
            </w:pPr>
            <w:r w:rsidRPr="009F390C">
              <w:rPr>
                <w:sz w:val="18"/>
                <w:szCs w:val="18"/>
                <w:lang w:val="en-CA"/>
              </w:rPr>
              <w:lastRenderedPageBreak/>
              <w:t xml:space="preserve">CVDs are structures responsible for village development. As such, they will be represented in advisory bodies, contribute to the planning of development activities and will also serve as information relays. Women's associations and groups as well as farmers' organizations will </w:t>
            </w:r>
            <w:r w:rsidRPr="009F390C">
              <w:rPr>
                <w:sz w:val="18"/>
                <w:szCs w:val="18"/>
                <w:lang w:val="en-CA"/>
              </w:rPr>
              <w:lastRenderedPageBreak/>
              <w:t>serve as information relays and help mobilize their grassroots members.</w:t>
            </w:r>
          </w:p>
        </w:tc>
        <w:tc>
          <w:tcPr>
            <w:tcW w:w="6193" w:type="dxa"/>
            <w:tcBorders>
              <w:top w:val="single" w:sz="4" w:space="0" w:color="auto"/>
              <w:left w:val="single" w:sz="4" w:space="0" w:color="auto"/>
              <w:bottom w:val="single" w:sz="4" w:space="0" w:color="auto"/>
              <w:right w:val="single" w:sz="4" w:space="0" w:color="auto"/>
            </w:tcBorders>
            <w:vAlign w:val="center"/>
          </w:tcPr>
          <w:p w14:paraId="292EED49" w14:textId="77777777" w:rsidR="00302BFE" w:rsidRPr="00EB6A4B" w:rsidRDefault="00302BFE" w:rsidP="00243B15">
            <w:pPr>
              <w:autoSpaceDN w:val="0"/>
              <w:spacing w:after="0"/>
              <w:jc w:val="left"/>
              <w:rPr>
                <w:sz w:val="18"/>
                <w:szCs w:val="18"/>
                <w:lang w:val="en-CA"/>
              </w:rPr>
            </w:pPr>
            <w:r w:rsidRPr="00EB6A4B">
              <w:rPr>
                <w:sz w:val="18"/>
                <w:szCs w:val="18"/>
                <w:lang w:val="en-CA"/>
              </w:rPr>
              <w:lastRenderedPageBreak/>
              <w:t>Village Committees will be invited to participate</w:t>
            </w:r>
          </w:p>
          <w:p w14:paraId="0851BFB2" w14:textId="77777777" w:rsidR="00302BFE" w:rsidRPr="009F5ABC" w:rsidRDefault="00302BFE" w:rsidP="00C46720">
            <w:pPr>
              <w:numPr>
                <w:ilvl w:val="0"/>
                <w:numId w:val="38"/>
              </w:numPr>
              <w:tabs>
                <w:tab w:val="left" w:pos="436"/>
              </w:tabs>
              <w:autoSpaceDN w:val="0"/>
              <w:spacing w:after="0"/>
              <w:jc w:val="left"/>
              <w:rPr>
                <w:sz w:val="18"/>
                <w:szCs w:val="18"/>
                <w:lang w:val="en-CA"/>
              </w:rPr>
            </w:pPr>
            <w:r w:rsidRPr="009F5ABC">
              <w:rPr>
                <w:sz w:val="18"/>
                <w:szCs w:val="18"/>
                <w:lang w:val="en-CA"/>
              </w:rPr>
              <w:t>to trainings on co-management of PAs and their resources and on the role of community structures in the processes involved (</w:t>
            </w:r>
            <w:r>
              <w:rPr>
                <w:sz w:val="18"/>
                <w:szCs w:val="18"/>
                <w:lang w:val="en-CA"/>
              </w:rPr>
              <w:t>output</w:t>
            </w:r>
            <w:r w:rsidRPr="00616C8C">
              <w:rPr>
                <w:sz w:val="18"/>
                <w:szCs w:val="18"/>
                <w:lang w:val="en-CA"/>
              </w:rPr>
              <w:t xml:space="preserve"> </w:t>
            </w:r>
            <w:r w:rsidRPr="009F5ABC">
              <w:rPr>
                <w:sz w:val="18"/>
                <w:szCs w:val="18"/>
                <w:lang w:val="en-CA"/>
              </w:rPr>
              <w:t>1.2.2)</w:t>
            </w:r>
          </w:p>
          <w:p w14:paraId="4333CFA7" w14:textId="77777777" w:rsidR="00302BFE" w:rsidRPr="009F5ABC" w:rsidRDefault="00302BFE" w:rsidP="00C46720">
            <w:pPr>
              <w:numPr>
                <w:ilvl w:val="0"/>
                <w:numId w:val="38"/>
              </w:numPr>
              <w:tabs>
                <w:tab w:val="left" w:pos="436"/>
              </w:tabs>
              <w:autoSpaceDN w:val="0"/>
              <w:spacing w:after="0"/>
              <w:jc w:val="left"/>
              <w:rPr>
                <w:sz w:val="18"/>
                <w:szCs w:val="18"/>
                <w:lang w:val="en-CA"/>
              </w:rPr>
            </w:pPr>
            <w:r w:rsidRPr="009F5ABC">
              <w:rPr>
                <w:sz w:val="18"/>
                <w:szCs w:val="18"/>
                <w:lang w:val="en-CA"/>
              </w:rPr>
              <w:t>in the process of establishing PAs and co-management committees (outputs 1.3.2 and 2.1.6),</w:t>
            </w:r>
          </w:p>
          <w:p w14:paraId="35B21827" w14:textId="77777777" w:rsidR="00302BFE" w:rsidRPr="009F5ABC" w:rsidRDefault="00302BFE" w:rsidP="00C46720">
            <w:pPr>
              <w:numPr>
                <w:ilvl w:val="0"/>
                <w:numId w:val="38"/>
              </w:numPr>
              <w:tabs>
                <w:tab w:val="left" w:pos="436"/>
              </w:tabs>
              <w:autoSpaceDN w:val="0"/>
              <w:spacing w:after="0"/>
              <w:jc w:val="left"/>
              <w:rPr>
                <w:sz w:val="18"/>
                <w:szCs w:val="18"/>
                <w:lang w:val="en-CA"/>
              </w:rPr>
            </w:pPr>
            <w:r w:rsidRPr="009F5ABC">
              <w:rPr>
                <w:sz w:val="18"/>
                <w:szCs w:val="18"/>
                <w:lang w:val="en-CA"/>
              </w:rPr>
              <w:t>negotiations on the use of resources to define zoning (</w:t>
            </w:r>
            <w:r>
              <w:rPr>
                <w:sz w:val="18"/>
                <w:szCs w:val="18"/>
                <w:lang w:val="en-CA"/>
              </w:rPr>
              <w:t>output</w:t>
            </w:r>
            <w:r w:rsidRPr="00616C8C">
              <w:rPr>
                <w:sz w:val="18"/>
                <w:szCs w:val="18"/>
                <w:lang w:val="en-CA"/>
              </w:rPr>
              <w:t xml:space="preserve"> </w:t>
            </w:r>
            <w:r w:rsidRPr="009F5ABC">
              <w:rPr>
                <w:sz w:val="18"/>
                <w:szCs w:val="18"/>
                <w:lang w:val="en-CA"/>
              </w:rPr>
              <w:t>1.3.2),</w:t>
            </w:r>
          </w:p>
          <w:p w14:paraId="0C556BE2" w14:textId="77777777" w:rsidR="00302BFE" w:rsidRPr="009F5ABC" w:rsidRDefault="00302BFE" w:rsidP="00C46720">
            <w:pPr>
              <w:numPr>
                <w:ilvl w:val="0"/>
                <w:numId w:val="38"/>
              </w:numPr>
              <w:tabs>
                <w:tab w:val="left" w:pos="436"/>
              </w:tabs>
              <w:autoSpaceDN w:val="0"/>
              <w:spacing w:after="0"/>
              <w:jc w:val="left"/>
              <w:rPr>
                <w:sz w:val="18"/>
                <w:szCs w:val="18"/>
                <w:lang w:val="en-CA"/>
              </w:rPr>
            </w:pPr>
            <w:r w:rsidRPr="009F5ABC">
              <w:rPr>
                <w:sz w:val="18"/>
                <w:szCs w:val="18"/>
                <w:lang w:val="en-CA"/>
              </w:rPr>
              <w:t>to develop the PA Management Plan (Output 2.1.3),</w:t>
            </w:r>
          </w:p>
          <w:p w14:paraId="44187D2A" w14:textId="77777777" w:rsidR="00302BFE" w:rsidRPr="009F390C" w:rsidRDefault="00302BFE" w:rsidP="00C46720">
            <w:pPr>
              <w:numPr>
                <w:ilvl w:val="0"/>
                <w:numId w:val="38"/>
              </w:numPr>
              <w:tabs>
                <w:tab w:val="left" w:pos="436"/>
              </w:tabs>
              <w:autoSpaceDN w:val="0"/>
              <w:spacing w:after="0"/>
              <w:jc w:val="left"/>
              <w:rPr>
                <w:sz w:val="18"/>
                <w:szCs w:val="18"/>
                <w:lang w:val="fr-CA"/>
              </w:rPr>
            </w:pPr>
            <w:r w:rsidRPr="009F5ABC">
              <w:rPr>
                <w:sz w:val="18"/>
                <w:szCs w:val="18"/>
                <w:lang w:val="en-CA"/>
              </w:rPr>
              <w:lastRenderedPageBreak/>
              <w:t xml:space="preserve">community mobilization with women's associations / groups as well as farmers' organizations for development works in PAs (reforestation, protection of water and soil resources, etc.) </w:t>
            </w:r>
            <w:r w:rsidRPr="009F390C">
              <w:rPr>
                <w:sz w:val="18"/>
                <w:szCs w:val="18"/>
                <w:lang w:val="fr-CA"/>
              </w:rPr>
              <w:t>(</w:t>
            </w:r>
            <w:r>
              <w:rPr>
                <w:sz w:val="18"/>
                <w:szCs w:val="18"/>
                <w:lang w:val="en-CA"/>
              </w:rPr>
              <w:t>output</w:t>
            </w:r>
            <w:r w:rsidRPr="00616C8C">
              <w:rPr>
                <w:sz w:val="18"/>
                <w:szCs w:val="18"/>
                <w:lang w:val="en-CA"/>
              </w:rPr>
              <w:t xml:space="preserve"> </w:t>
            </w:r>
            <w:r w:rsidRPr="009F390C">
              <w:rPr>
                <w:sz w:val="18"/>
                <w:szCs w:val="18"/>
                <w:lang w:val="fr-CA"/>
              </w:rPr>
              <w:t>2.1.4)</w:t>
            </w:r>
          </w:p>
          <w:p w14:paraId="7A8699B5" w14:textId="77777777" w:rsidR="00302BFE" w:rsidRPr="009F5ABC" w:rsidRDefault="00302BFE" w:rsidP="00C46720">
            <w:pPr>
              <w:numPr>
                <w:ilvl w:val="0"/>
                <w:numId w:val="38"/>
              </w:numPr>
              <w:tabs>
                <w:tab w:val="left" w:pos="436"/>
              </w:tabs>
              <w:autoSpaceDN w:val="0"/>
              <w:spacing w:after="0"/>
              <w:jc w:val="left"/>
              <w:rPr>
                <w:sz w:val="18"/>
                <w:szCs w:val="18"/>
                <w:lang w:val="en-CA"/>
              </w:rPr>
            </w:pPr>
            <w:r w:rsidRPr="009F5ABC">
              <w:rPr>
                <w:sz w:val="18"/>
                <w:szCs w:val="18"/>
                <w:lang w:val="en-CA"/>
              </w:rPr>
              <w:t>to the land management board that will be installed</w:t>
            </w:r>
          </w:p>
          <w:p w14:paraId="18C3B2B6" w14:textId="77777777" w:rsidR="00302BFE" w:rsidRPr="009F5ABC" w:rsidRDefault="00302BFE" w:rsidP="00C46720">
            <w:pPr>
              <w:numPr>
                <w:ilvl w:val="0"/>
                <w:numId w:val="38"/>
              </w:numPr>
              <w:tabs>
                <w:tab w:val="left" w:pos="436"/>
              </w:tabs>
              <w:autoSpaceDN w:val="0"/>
              <w:spacing w:after="0"/>
              <w:jc w:val="left"/>
              <w:rPr>
                <w:sz w:val="18"/>
                <w:szCs w:val="18"/>
                <w:lang w:val="en-CA"/>
              </w:rPr>
            </w:pPr>
            <w:r w:rsidRPr="009F5ABC">
              <w:rPr>
                <w:sz w:val="18"/>
                <w:szCs w:val="18"/>
                <w:lang w:val="en-CA"/>
              </w:rPr>
              <w:t>assessments and territorial planning of biodiversity and livelihoods</w:t>
            </w:r>
          </w:p>
          <w:p w14:paraId="26ABB0A2" w14:textId="77777777" w:rsidR="00302BFE" w:rsidRPr="00EB6A4B" w:rsidRDefault="00302BFE" w:rsidP="00C46720">
            <w:pPr>
              <w:numPr>
                <w:ilvl w:val="0"/>
                <w:numId w:val="38"/>
              </w:numPr>
              <w:tabs>
                <w:tab w:val="left" w:pos="436"/>
              </w:tabs>
              <w:autoSpaceDN w:val="0"/>
              <w:spacing w:after="0"/>
              <w:jc w:val="left"/>
              <w:rPr>
                <w:sz w:val="18"/>
                <w:szCs w:val="18"/>
                <w:lang w:val="en-CA"/>
              </w:rPr>
            </w:pPr>
            <w:r w:rsidRPr="009F5ABC">
              <w:rPr>
                <w:sz w:val="18"/>
                <w:szCs w:val="18"/>
                <w:lang w:val="en-CA"/>
              </w:rPr>
              <w:t>the management of their terroir and their zone of influence</w:t>
            </w:r>
          </w:p>
        </w:tc>
        <w:tc>
          <w:tcPr>
            <w:tcW w:w="1985" w:type="dxa"/>
            <w:tcBorders>
              <w:top w:val="single" w:sz="4" w:space="0" w:color="auto"/>
              <w:left w:val="single" w:sz="4" w:space="0" w:color="auto"/>
              <w:bottom w:val="single" w:sz="4" w:space="0" w:color="auto"/>
              <w:right w:val="single" w:sz="4" w:space="0" w:color="auto"/>
            </w:tcBorders>
            <w:vAlign w:val="center"/>
          </w:tcPr>
          <w:p w14:paraId="23A3F964" w14:textId="77777777" w:rsidR="00302BFE" w:rsidRPr="00CF4D08" w:rsidRDefault="00302BFE" w:rsidP="00243B15">
            <w:pPr>
              <w:pStyle w:val="PrformatHTML"/>
              <w:shd w:val="clear" w:color="auto" w:fill="FFFFFF"/>
              <w:rPr>
                <w:rFonts w:ascii="Calibri" w:hAnsi="Calibri" w:cs="Times New Roman"/>
                <w:sz w:val="18"/>
                <w:szCs w:val="18"/>
                <w:lang w:val="en-CA"/>
              </w:rPr>
            </w:pPr>
            <w:r w:rsidRPr="00CF4D08">
              <w:rPr>
                <w:rFonts w:ascii="Calibri" w:hAnsi="Calibri" w:cs="Times New Roman"/>
                <w:sz w:val="18"/>
                <w:szCs w:val="18"/>
                <w:lang w:val="en-CA"/>
              </w:rPr>
              <w:lastRenderedPageBreak/>
              <w:t xml:space="preserve">Community organizations and producer associations have been consulted, informed and trained in order to facilitate better management of </w:t>
            </w:r>
            <w:r w:rsidRPr="00CF4D08">
              <w:rPr>
                <w:rFonts w:ascii="Calibri" w:hAnsi="Calibri" w:cs="Times New Roman"/>
                <w:sz w:val="18"/>
                <w:szCs w:val="18"/>
                <w:lang w:val="en-CA"/>
              </w:rPr>
              <w:lastRenderedPageBreak/>
              <w:t>protected areas and the conservation of biodiversity.</w:t>
            </w:r>
          </w:p>
        </w:tc>
        <w:tc>
          <w:tcPr>
            <w:tcW w:w="850" w:type="dxa"/>
            <w:tcBorders>
              <w:top w:val="single" w:sz="4" w:space="0" w:color="auto"/>
              <w:left w:val="single" w:sz="4" w:space="0" w:color="auto"/>
              <w:bottom w:val="single" w:sz="4" w:space="0" w:color="auto"/>
              <w:right w:val="single" w:sz="4" w:space="0" w:color="auto"/>
            </w:tcBorders>
            <w:vAlign w:val="center"/>
          </w:tcPr>
          <w:p w14:paraId="64A33031" w14:textId="77777777" w:rsidR="00302BFE" w:rsidRPr="00E379FD" w:rsidRDefault="00302BFE" w:rsidP="00243B15">
            <w:pPr>
              <w:autoSpaceDN w:val="0"/>
              <w:spacing w:after="0"/>
              <w:jc w:val="left"/>
              <w:rPr>
                <w:sz w:val="18"/>
                <w:szCs w:val="18"/>
                <w:lang w:val="fr-CA"/>
              </w:rPr>
            </w:pPr>
            <w:r w:rsidRPr="00E379FD">
              <w:rPr>
                <w:sz w:val="18"/>
                <w:szCs w:val="18"/>
                <w:lang w:val="fr-CA"/>
              </w:rPr>
              <w:lastRenderedPageBreak/>
              <w:t xml:space="preserve">1, 2, 3 </w:t>
            </w:r>
            <w:r>
              <w:rPr>
                <w:sz w:val="18"/>
                <w:szCs w:val="18"/>
                <w:lang w:val="fr-CA"/>
              </w:rPr>
              <w:t>and</w:t>
            </w:r>
            <w:r w:rsidRPr="00E379FD">
              <w:rPr>
                <w:sz w:val="18"/>
                <w:szCs w:val="18"/>
                <w:lang w:val="fr-CA"/>
              </w:rPr>
              <w:t xml:space="preserve"> 4</w:t>
            </w:r>
          </w:p>
        </w:tc>
      </w:tr>
      <w:tr w:rsidR="00302BFE" w:rsidRPr="00E379FD" w14:paraId="690117D7" w14:textId="77777777" w:rsidTr="00243B15">
        <w:trPr>
          <w:jc w:val="center"/>
        </w:trPr>
        <w:tc>
          <w:tcPr>
            <w:tcW w:w="570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19967FF" w14:textId="77777777" w:rsidR="00302BFE" w:rsidRPr="00E379FD" w:rsidRDefault="00302BFE" w:rsidP="00243B15">
            <w:pPr>
              <w:autoSpaceDN w:val="0"/>
              <w:spacing w:after="0"/>
              <w:jc w:val="left"/>
              <w:rPr>
                <w:rFonts w:eastAsia="Cambria"/>
                <w:sz w:val="18"/>
                <w:szCs w:val="18"/>
                <w:lang w:val="fr-CA"/>
              </w:rPr>
            </w:pPr>
            <w:r w:rsidRPr="00E379FD">
              <w:rPr>
                <w:b/>
                <w:sz w:val="18"/>
                <w:szCs w:val="18"/>
                <w:lang w:val="fr-CA"/>
              </w:rPr>
              <w:t>L</w:t>
            </w:r>
            <w:r>
              <w:rPr>
                <w:b/>
                <w:sz w:val="18"/>
                <w:szCs w:val="18"/>
                <w:lang w:val="fr-CA"/>
              </w:rPr>
              <w:t>ocal authorities</w:t>
            </w:r>
          </w:p>
        </w:tc>
        <w:tc>
          <w:tcPr>
            <w:tcW w:w="6193" w:type="dxa"/>
            <w:tcBorders>
              <w:top w:val="single" w:sz="4" w:space="0" w:color="auto"/>
              <w:left w:val="single" w:sz="4" w:space="0" w:color="auto"/>
              <w:bottom w:val="single" w:sz="4" w:space="0" w:color="auto"/>
              <w:right w:val="single" w:sz="4" w:space="0" w:color="auto"/>
            </w:tcBorders>
            <w:shd w:val="clear" w:color="auto" w:fill="E6E6E6"/>
            <w:vAlign w:val="center"/>
          </w:tcPr>
          <w:p w14:paraId="35378272" w14:textId="77777777" w:rsidR="00302BFE" w:rsidRPr="00E379FD" w:rsidRDefault="00302BFE" w:rsidP="00243B15">
            <w:pPr>
              <w:autoSpaceDN w:val="0"/>
              <w:spacing w:after="0"/>
              <w:jc w:val="left"/>
              <w:rPr>
                <w:b/>
                <w:sz w:val="18"/>
                <w:szCs w:val="18"/>
                <w:lang w:val="fr-CA"/>
              </w:rPr>
            </w:pPr>
          </w:p>
        </w:tc>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2D941CF7" w14:textId="77777777" w:rsidR="00302BFE" w:rsidRPr="00E379FD" w:rsidRDefault="00302BFE" w:rsidP="00243B15">
            <w:pPr>
              <w:autoSpaceDN w:val="0"/>
              <w:spacing w:after="0"/>
              <w:jc w:val="left"/>
              <w:rPr>
                <w:b/>
                <w:sz w:val="18"/>
                <w:szCs w:val="18"/>
                <w:lang w:val="fr-C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2628097F" w14:textId="77777777" w:rsidR="00302BFE" w:rsidRPr="00E379FD" w:rsidRDefault="00302BFE" w:rsidP="00243B15">
            <w:pPr>
              <w:autoSpaceDN w:val="0"/>
              <w:spacing w:after="0"/>
              <w:jc w:val="left"/>
              <w:rPr>
                <w:b/>
                <w:sz w:val="18"/>
                <w:szCs w:val="18"/>
                <w:lang w:val="fr-CA"/>
              </w:rPr>
            </w:pPr>
          </w:p>
        </w:tc>
      </w:tr>
      <w:tr w:rsidR="00302BFE" w:rsidRPr="00E379FD" w14:paraId="1D4897A2" w14:textId="77777777" w:rsidTr="00243B15">
        <w:trPr>
          <w:jc w:val="center"/>
        </w:trPr>
        <w:tc>
          <w:tcPr>
            <w:tcW w:w="1882" w:type="dxa"/>
            <w:tcBorders>
              <w:top w:val="single" w:sz="4" w:space="0" w:color="auto"/>
              <w:left w:val="single" w:sz="4" w:space="0" w:color="auto"/>
              <w:bottom w:val="single" w:sz="4" w:space="0" w:color="auto"/>
              <w:right w:val="single" w:sz="4" w:space="0" w:color="auto"/>
            </w:tcBorders>
            <w:vAlign w:val="center"/>
          </w:tcPr>
          <w:p w14:paraId="69FC709D" w14:textId="77777777" w:rsidR="00302BFE" w:rsidRPr="005C25D0" w:rsidRDefault="00302BFE" w:rsidP="00243B15">
            <w:pPr>
              <w:spacing w:after="0"/>
              <w:jc w:val="left"/>
              <w:rPr>
                <w:rFonts w:eastAsia="Cambria"/>
                <w:sz w:val="18"/>
                <w:szCs w:val="18"/>
                <w:lang w:val="en-CA"/>
              </w:rPr>
            </w:pPr>
            <w:r w:rsidRPr="005C25D0">
              <w:rPr>
                <w:sz w:val="18"/>
                <w:szCs w:val="18"/>
                <w:lang w:val="en-CA"/>
              </w:rPr>
              <w:t>Mayors and technical services of the communes concerned</w:t>
            </w:r>
          </w:p>
        </w:tc>
        <w:tc>
          <w:tcPr>
            <w:tcW w:w="3827" w:type="dxa"/>
            <w:tcBorders>
              <w:top w:val="single" w:sz="4" w:space="0" w:color="auto"/>
              <w:left w:val="single" w:sz="4" w:space="0" w:color="auto"/>
              <w:bottom w:val="single" w:sz="4" w:space="0" w:color="auto"/>
              <w:right w:val="single" w:sz="4" w:space="0" w:color="auto"/>
            </w:tcBorders>
            <w:vAlign w:val="center"/>
          </w:tcPr>
          <w:p w14:paraId="14792B40" w14:textId="77777777" w:rsidR="00302BFE" w:rsidRPr="009F390C" w:rsidRDefault="00302BFE" w:rsidP="00243B15">
            <w:pPr>
              <w:pStyle w:val="PrformatHTML"/>
              <w:shd w:val="clear" w:color="auto" w:fill="FFFFFF"/>
              <w:rPr>
                <w:rFonts w:ascii="Calibri" w:eastAsia="MS Mincho" w:hAnsi="Calibri" w:cs="Times New Roman"/>
                <w:sz w:val="18"/>
                <w:szCs w:val="18"/>
                <w:lang w:val="en-CA" w:eastAsia="ja-JP"/>
              </w:rPr>
            </w:pPr>
            <w:r w:rsidRPr="009F390C">
              <w:rPr>
                <w:rFonts w:ascii="Calibri" w:eastAsia="MS Mincho" w:hAnsi="Calibri" w:cs="Times New Roman"/>
                <w:sz w:val="18"/>
                <w:szCs w:val="18"/>
                <w:lang w:val="en-CA" w:eastAsia="ja-JP"/>
              </w:rPr>
              <w:t>The town halls manage the communes as local authorities. The town halls will participate in the co-financing through the implementation of the communal development plans (PCD).</w:t>
            </w:r>
          </w:p>
          <w:p w14:paraId="077D0587" w14:textId="77777777" w:rsidR="00302BFE" w:rsidRPr="009F390C" w:rsidRDefault="00302BFE" w:rsidP="00243B15">
            <w:pPr>
              <w:pStyle w:val="PrformatHTML"/>
              <w:shd w:val="clear" w:color="auto" w:fill="FFFFFF"/>
              <w:rPr>
                <w:rFonts w:ascii="Calibri" w:eastAsia="MS Mincho" w:hAnsi="Calibri" w:cs="Times New Roman"/>
                <w:sz w:val="18"/>
                <w:szCs w:val="18"/>
                <w:lang w:val="en-CA" w:eastAsia="ja-JP"/>
              </w:rPr>
            </w:pPr>
            <w:r w:rsidRPr="009F390C">
              <w:rPr>
                <w:rFonts w:ascii="Calibri" w:eastAsia="MS Mincho" w:hAnsi="Calibri" w:cs="Times New Roman"/>
                <w:sz w:val="18"/>
                <w:szCs w:val="18"/>
                <w:lang w:val="en-CA" w:eastAsia="ja-JP"/>
              </w:rPr>
              <w:t>They will also be able to contribute to the financing of integrated governance framework through dedicated budget lines.</w:t>
            </w:r>
          </w:p>
          <w:p w14:paraId="6249C643" w14:textId="77777777" w:rsidR="00302BFE" w:rsidRPr="009F390C" w:rsidRDefault="00302BFE" w:rsidP="00243B15">
            <w:pPr>
              <w:pStyle w:val="PrformatHTML"/>
              <w:shd w:val="clear" w:color="auto" w:fill="FFFFFF"/>
              <w:rPr>
                <w:rFonts w:ascii="Calibri" w:eastAsia="MS Mincho" w:hAnsi="Calibri" w:cs="Times New Roman"/>
                <w:sz w:val="18"/>
                <w:szCs w:val="18"/>
                <w:lang w:val="en-CA" w:eastAsia="ja-JP"/>
              </w:rPr>
            </w:pPr>
            <w:r w:rsidRPr="009F390C">
              <w:rPr>
                <w:rFonts w:ascii="Calibri" w:eastAsia="MS Mincho" w:hAnsi="Calibri" w:cs="Times New Roman"/>
                <w:sz w:val="18"/>
                <w:szCs w:val="18"/>
                <w:lang w:val="en-CA" w:eastAsia="ja-JP"/>
              </w:rPr>
              <w:t>Finally, town halls are competent to mobilize local communities and conduct advocacy on specific themes.</w:t>
            </w:r>
          </w:p>
        </w:tc>
        <w:tc>
          <w:tcPr>
            <w:tcW w:w="6193" w:type="dxa"/>
            <w:tcBorders>
              <w:top w:val="single" w:sz="4" w:space="0" w:color="auto"/>
              <w:left w:val="single" w:sz="4" w:space="0" w:color="auto"/>
              <w:bottom w:val="single" w:sz="4" w:space="0" w:color="auto"/>
              <w:right w:val="single" w:sz="4" w:space="0" w:color="auto"/>
            </w:tcBorders>
            <w:vAlign w:val="center"/>
          </w:tcPr>
          <w:p w14:paraId="4347D759" w14:textId="77777777" w:rsidR="00302BFE" w:rsidRPr="009F390C" w:rsidRDefault="00302BFE" w:rsidP="00C46720">
            <w:pPr>
              <w:numPr>
                <w:ilvl w:val="0"/>
                <w:numId w:val="38"/>
              </w:numPr>
              <w:tabs>
                <w:tab w:val="left" w:pos="436"/>
              </w:tabs>
              <w:autoSpaceDN w:val="0"/>
              <w:spacing w:after="0"/>
              <w:jc w:val="left"/>
              <w:rPr>
                <w:rFonts w:eastAsia="Cambria"/>
                <w:sz w:val="18"/>
                <w:szCs w:val="18"/>
                <w:lang w:val="en-CA"/>
              </w:rPr>
            </w:pPr>
            <w:r w:rsidRPr="009F390C">
              <w:rPr>
                <w:sz w:val="18"/>
                <w:szCs w:val="18"/>
                <w:lang w:val="en-CA"/>
              </w:rPr>
              <w:t>Local elected representatives will be invited to receive training on the collaborative management of PAs (</w:t>
            </w:r>
            <w:r>
              <w:rPr>
                <w:sz w:val="18"/>
                <w:szCs w:val="18"/>
                <w:lang w:val="en-CA"/>
              </w:rPr>
              <w:t>output</w:t>
            </w:r>
            <w:r w:rsidRPr="00616C8C">
              <w:rPr>
                <w:sz w:val="18"/>
                <w:szCs w:val="18"/>
                <w:lang w:val="en-CA"/>
              </w:rPr>
              <w:t xml:space="preserve"> </w:t>
            </w:r>
            <w:r w:rsidRPr="009F390C">
              <w:rPr>
                <w:sz w:val="18"/>
                <w:szCs w:val="18"/>
                <w:lang w:val="en-CA"/>
              </w:rPr>
              <w:t>2.1.1), and to get involved in negotiations on:</w:t>
            </w:r>
          </w:p>
          <w:p w14:paraId="361D5776" w14:textId="77777777" w:rsidR="00302BFE" w:rsidRPr="006458DA" w:rsidRDefault="00302BFE" w:rsidP="00C46720">
            <w:pPr>
              <w:numPr>
                <w:ilvl w:val="0"/>
                <w:numId w:val="39"/>
              </w:numPr>
              <w:tabs>
                <w:tab w:val="left" w:pos="436"/>
              </w:tabs>
              <w:autoSpaceDN w:val="0"/>
              <w:spacing w:after="0"/>
              <w:jc w:val="left"/>
              <w:rPr>
                <w:rFonts w:eastAsia="Calibri"/>
                <w:sz w:val="18"/>
                <w:szCs w:val="18"/>
                <w:lang w:val="en-CA"/>
              </w:rPr>
            </w:pPr>
            <w:r w:rsidRPr="006458DA">
              <w:rPr>
                <w:rFonts w:eastAsia="Calibri"/>
                <w:sz w:val="18"/>
                <w:szCs w:val="18"/>
                <w:lang w:val="en-CA"/>
              </w:rPr>
              <w:t>the delimitation and zoning of protected areas, corridors and ZOVICs (Output 2.2.1, 2.3.1),</w:t>
            </w:r>
          </w:p>
          <w:p w14:paraId="1EB11373" w14:textId="77777777" w:rsidR="00302BFE" w:rsidRPr="006458DA" w:rsidRDefault="00302BFE" w:rsidP="00C46720">
            <w:pPr>
              <w:numPr>
                <w:ilvl w:val="0"/>
                <w:numId w:val="39"/>
              </w:numPr>
              <w:tabs>
                <w:tab w:val="left" w:pos="436"/>
              </w:tabs>
              <w:autoSpaceDN w:val="0"/>
              <w:spacing w:after="0"/>
              <w:jc w:val="left"/>
              <w:rPr>
                <w:rFonts w:eastAsia="Calibri"/>
                <w:sz w:val="18"/>
                <w:szCs w:val="18"/>
                <w:lang w:val="en-CA"/>
              </w:rPr>
            </w:pPr>
            <w:r w:rsidRPr="006458DA">
              <w:rPr>
                <w:rFonts w:eastAsia="Calibri"/>
                <w:sz w:val="18"/>
                <w:szCs w:val="18"/>
                <w:lang w:val="en-CA"/>
              </w:rPr>
              <w:t>the definition and application of regulations in PAs and their resources, the use of resources and the sharing of benefits derived from them (product 2.2.2),</w:t>
            </w:r>
          </w:p>
          <w:p w14:paraId="0A43E47E" w14:textId="77777777" w:rsidR="00302BFE" w:rsidRPr="006458DA" w:rsidRDefault="00302BFE" w:rsidP="00C46720">
            <w:pPr>
              <w:numPr>
                <w:ilvl w:val="0"/>
                <w:numId w:val="39"/>
              </w:numPr>
              <w:tabs>
                <w:tab w:val="left" w:pos="436"/>
              </w:tabs>
              <w:autoSpaceDN w:val="0"/>
              <w:spacing w:after="0"/>
              <w:jc w:val="left"/>
              <w:rPr>
                <w:rFonts w:eastAsia="Calibri"/>
                <w:sz w:val="18"/>
                <w:szCs w:val="18"/>
                <w:lang w:val="en-CA"/>
              </w:rPr>
            </w:pPr>
            <w:r w:rsidRPr="006458DA">
              <w:rPr>
                <w:rFonts w:eastAsia="Calibri"/>
                <w:sz w:val="18"/>
                <w:szCs w:val="18"/>
                <w:lang w:val="en-CA"/>
              </w:rPr>
              <w:t>clarification of land and resource use rights (</w:t>
            </w:r>
            <w:r>
              <w:rPr>
                <w:sz w:val="18"/>
                <w:szCs w:val="18"/>
                <w:lang w:val="en-CA"/>
              </w:rPr>
              <w:t>output</w:t>
            </w:r>
            <w:r w:rsidRPr="00616C8C">
              <w:rPr>
                <w:sz w:val="18"/>
                <w:szCs w:val="18"/>
                <w:lang w:val="en-CA"/>
              </w:rPr>
              <w:t xml:space="preserve"> </w:t>
            </w:r>
            <w:r w:rsidRPr="006458DA">
              <w:rPr>
                <w:rFonts w:eastAsia="Calibri"/>
                <w:sz w:val="18"/>
                <w:szCs w:val="18"/>
                <w:lang w:val="en-CA"/>
              </w:rPr>
              <w:t>3.2.1),</w:t>
            </w:r>
          </w:p>
          <w:p w14:paraId="69A174B6" w14:textId="77777777" w:rsidR="00302BFE" w:rsidRPr="009F5ABC" w:rsidRDefault="00302BFE" w:rsidP="00C46720">
            <w:pPr>
              <w:numPr>
                <w:ilvl w:val="0"/>
                <w:numId w:val="39"/>
              </w:numPr>
              <w:tabs>
                <w:tab w:val="left" w:pos="436"/>
              </w:tabs>
              <w:autoSpaceDN w:val="0"/>
              <w:spacing w:after="0"/>
              <w:jc w:val="left"/>
              <w:rPr>
                <w:sz w:val="18"/>
                <w:szCs w:val="18"/>
                <w:lang w:val="en-CA"/>
              </w:rPr>
            </w:pPr>
            <w:r w:rsidRPr="009F5ABC">
              <w:rPr>
                <w:rFonts w:eastAsia="Calibri"/>
                <w:sz w:val="18"/>
                <w:szCs w:val="18"/>
                <w:lang w:val="en-CA"/>
              </w:rPr>
              <w:t>and identification of landscape-level conflict management mechanisms (</w:t>
            </w:r>
            <w:r>
              <w:rPr>
                <w:sz w:val="18"/>
                <w:szCs w:val="18"/>
                <w:lang w:val="en-CA"/>
              </w:rPr>
              <w:t>output</w:t>
            </w:r>
            <w:r w:rsidRPr="00616C8C">
              <w:rPr>
                <w:sz w:val="18"/>
                <w:szCs w:val="18"/>
                <w:lang w:val="en-CA"/>
              </w:rPr>
              <w:t xml:space="preserve"> </w:t>
            </w:r>
            <w:r w:rsidRPr="009F5ABC">
              <w:rPr>
                <w:rFonts w:eastAsia="Calibri"/>
                <w:sz w:val="18"/>
                <w:szCs w:val="18"/>
                <w:lang w:val="en-CA"/>
              </w:rPr>
              <w:t>1.5.4)</w:t>
            </w:r>
          </w:p>
          <w:p w14:paraId="72075A22" w14:textId="77777777" w:rsidR="00302BFE" w:rsidRPr="006458DA" w:rsidRDefault="00302BFE" w:rsidP="00C46720">
            <w:pPr>
              <w:numPr>
                <w:ilvl w:val="0"/>
                <w:numId w:val="38"/>
              </w:numPr>
              <w:autoSpaceDN w:val="0"/>
              <w:spacing w:after="0"/>
              <w:jc w:val="left"/>
              <w:rPr>
                <w:sz w:val="18"/>
                <w:szCs w:val="18"/>
                <w:lang w:val="fr-CA"/>
              </w:rPr>
            </w:pPr>
            <w:r w:rsidRPr="006458DA">
              <w:rPr>
                <w:sz w:val="18"/>
                <w:szCs w:val="18"/>
                <w:lang w:val="en-CA"/>
              </w:rPr>
              <w:t xml:space="preserve">They will participate in the planning and implementation of interventions at the local level, including the selection of intervention sites at local and community level (Output 3. </w:t>
            </w:r>
            <w:r w:rsidRPr="006458DA">
              <w:rPr>
                <w:sz w:val="18"/>
                <w:szCs w:val="18"/>
                <w:lang w:val="fr-CA"/>
              </w:rPr>
              <w:t>1.2);</w:t>
            </w:r>
          </w:p>
          <w:p w14:paraId="1F19B966" w14:textId="77777777" w:rsidR="00302BFE" w:rsidRPr="006458DA" w:rsidRDefault="00302BFE" w:rsidP="00C46720">
            <w:pPr>
              <w:numPr>
                <w:ilvl w:val="0"/>
                <w:numId w:val="38"/>
              </w:numPr>
              <w:autoSpaceDN w:val="0"/>
              <w:spacing w:after="0"/>
              <w:jc w:val="left"/>
              <w:rPr>
                <w:sz w:val="18"/>
                <w:szCs w:val="18"/>
                <w:lang w:val="en-CA"/>
              </w:rPr>
            </w:pPr>
            <w:r w:rsidRPr="006458DA">
              <w:rPr>
                <w:sz w:val="18"/>
                <w:szCs w:val="18"/>
                <w:lang w:val="en-CA"/>
              </w:rPr>
              <w:t>They will contribute to conflict management for issues related to project implementation, especially for potential conflicts over rights to use resources and land areas (</w:t>
            </w:r>
            <w:r>
              <w:rPr>
                <w:sz w:val="18"/>
                <w:szCs w:val="18"/>
                <w:lang w:val="en-CA"/>
              </w:rPr>
              <w:t>output</w:t>
            </w:r>
            <w:r w:rsidRPr="00616C8C">
              <w:rPr>
                <w:sz w:val="18"/>
                <w:szCs w:val="18"/>
                <w:lang w:val="en-CA"/>
              </w:rPr>
              <w:t xml:space="preserve"> </w:t>
            </w:r>
            <w:r w:rsidRPr="006458DA">
              <w:rPr>
                <w:sz w:val="18"/>
                <w:szCs w:val="18"/>
                <w:lang w:val="en-CA"/>
              </w:rPr>
              <w:t>1.5.4).</w:t>
            </w:r>
          </w:p>
          <w:p w14:paraId="38EA3906" w14:textId="77777777" w:rsidR="00302BFE" w:rsidRPr="006458DA" w:rsidRDefault="00302BFE" w:rsidP="00C46720">
            <w:pPr>
              <w:numPr>
                <w:ilvl w:val="0"/>
                <w:numId w:val="38"/>
              </w:numPr>
              <w:autoSpaceDN w:val="0"/>
              <w:spacing w:after="0"/>
              <w:jc w:val="left"/>
              <w:rPr>
                <w:sz w:val="18"/>
                <w:szCs w:val="18"/>
                <w:lang w:val="en-CA"/>
              </w:rPr>
            </w:pPr>
            <w:r w:rsidRPr="006458DA">
              <w:rPr>
                <w:sz w:val="18"/>
                <w:szCs w:val="18"/>
                <w:lang w:val="en-CA"/>
              </w:rPr>
              <w:t>They contribute to the identification and the provision of plots for the installation of production units for the benefit of women's cooperatives</w:t>
            </w:r>
          </w:p>
          <w:p w14:paraId="0C9A7326" w14:textId="77777777" w:rsidR="00302BFE" w:rsidRPr="006458DA" w:rsidRDefault="00302BFE" w:rsidP="00C46720">
            <w:pPr>
              <w:numPr>
                <w:ilvl w:val="0"/>
                <w:numId w:val="38"/>
              </w:numPr>
              <w:autoSpaceDN w:val="0"/>
              <w:spacing w:after="0"/>
              <w:jc w:val="left"/>
              <w:rPr>
                <w:sz w:val="18"/>
                <w:szCs w:val="18"/>
                <w:lang w:val="en-CA"/>
              </w:rPr>
            </w:pPr>
            <w:r w:rsidRPr="006458DA">
              <w:rPr>
                <w:sz w:val="18"/>
                <w:szCs w:val="18"/>
                <w:lang w:val="en-CA"/>
              </w:rPr>
              <w:t>They contribute to the development of production units</w:t>
            </w:r>
          </w:p>
        </w:tc>
        <w:tc>
          <w:tcPr>
            <w:tcW w:w="1985" w:type="dxa"/>
            <w:tcBorders>
              <w:top w:val="single" w:sz="4" w:space="0" w:color="auto"/>
              <w:left w:val="single" w:sz="4" w:space="0" w:color="auto"/>
              <w:bottom w:val="single" w:sz="4" w:space="0" w:color="auto"/>
              <w:right w:val="single" w:sz="4" w:space="0" w:color="auto"/>
            </w:tcBorders>
            <w:vAlign w:val="center"/>
          </w:tcPr>
          <w:p w14:paraId="1C4035B9" w14:textId="77777777" w:rsidR="00302BFE" w:rsidRPr="00CF4D08" w:rsidRDefault="00302BFE" w:rsidP="00243B15">
            <w:pPr>
              <w:pStyle w:val="PrformatHTML"/>
              <w:shd w:val="clear" w:color="auto" w:fill="FFFFFF"/>
              <w:rPr>
                <w:rFonts w:ascii="Calibri" w:hAnsi="Calibri" w:cs="Times New Roman"/>
                <w:sz w:val="18"/>
                <w:szCs w:val="18"/>
                <w:lang w:val="en-CA"/>
              </w:rPr>
            </w:pPr>
            <w:r w:rsidRPr="00CF4D08">
              <w:rPr>
                <w:rFonts w:ascii="Calibri" w:hAnsi="Calibri" w:cs="Times New Roman"/>
                <w:sz w:val="18"/>
                <w:szCs w:val="18"/>
                <w:lang w:val="en-CA"/>
              </w:rPr>
              <w:t>Achieve project results and outputs through better communication, information, awareness and meaningful stakeholder engagement</w:t>
            </w:r>
          </w:p>
        </w:tc>
        <w:tc>
          <w:tcPr>
            <w:tcW w:w="850" w:type="dxa"/>
            <w:tcBorders>
              <w:top w:val="single" w:sz="4" w:space="0" w:color="auto"/>
              <w:left w:val="single" w:sz="4" w:space="0" w:color="auto"/>
              <w:bottom w:val="single" w:sz="4" w:space="0" w:color="auto"/>
              <w:right w:val="single" w:sz="4" w:space="0" w:color="auto"/>
            </w:tcBorders>
            <w:vAlign w:val="center"/>
          </w:tcPr>
          <w:p w14:paraId="6659C788" w14:textId="77777777" w:rsidR="00302BFE" w:rsidRPr="00E379FD" w:rsidRDefault="00302BFE" w:rsidP="00243B15">
            <w:pPr>
              <w:autoSpaceDN w:val="0"/>
              <w:spacing w:after="0"/>
              <w:jc w:val="left"/>
              <w:rPr>
                <w:sz w:val="18"/>
                <w:szCs w:val="18"/>
                <w:lang w:val="fr-CA"/>
              </w:rPr>
            </w:pPr>
            <w:r w:rsidRPr="00E379FD">
              <w:rPr>
                <w:sz w:val="18"/>
                <w:szCs w:val="18"/>
                <w:lang w:val="fr-CA"/>
              </w:rPr>
              <w:t xml:space="preserve">1, 2, 3 </w:t>
            </w:r>
            <w:r>
              <w:rPr>
                <w:sz w:val="18"/>
                <w:szCs w:val="18"/>
                <w:lang w:val="fr-CA"/>
              </w:rPr>
              <w:t>and</w:t>
            </w:r>
            <w:r w:rsidRPr="00E379FD">
              <w:rPr>
                <w:sz w:val="18"/>
                <w:szCs w:val="18"/>
                <w:lang w:val="fr-CA"/>
              </w:rPr>
              <w:t xml:space="preserve"> 4</w:t>
            </w:r>
          </w:p>
        </w:tc>
      </w:tr>
      <w:tr w:rsidR="00302BFE" w:rsidRPr="00E379FD" w14:paraId="169523A0" w14:textId="77777777" w:rsidTr="00243B15">
        <w:trPr>
          <w:jc w:val="center"/>
        </w:trPr>
        <w:tc>
          <w:tcPr>
            <w:tcW w:w="570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4EDD28F" w14:textId="77777777" w:rsidR="00302BFE" w:rsidRPr="00E379FD" w:rsidRDefault="00302BFE" w:rsidP="00243B15">
            <w:pPr>
              <w:autoSpaceDN w:val="0"/>
              <w:spacing w:after="0"/>
              <w:jc w:val="left"/>
              <w:rPr>
                <w:sz w:val="18"/>
                <w:szCs w:val="18"/>
                <w:lang w:val="fr-CA"/>
              </w:rPr>
            </w:pPr>
            <w:r>
              <w:rPr>
                <w:b/>
                <w:sz w:val="18"/>
                <w:szCs w:val="18"/>
                <w:lang w:val="fr-CA"/>
              </w:rPr>
              <w:t>Civil</w:t>
            </w:r>
            <w:r w:rsidRPr="00E379FD">
              <w:rPr>
                <w:b/>
                <w:sz w:val="18"/>
                <w:szCs w:val="18"/>
                <w:lang w:val="fr-CA"/>
              </w:rPr>
              <w:t xml:space="preserve"> soci</w:t>
            </w:r>
            <w:r>
              <w:rPr>
                <w:b/>
                <w:sz w:val="18"/>
                <w:szCs w:val="18"/>
                <w:lang w:val="fr-CA"/>
              </w:rPr>
              <w:t>e</w:t>
            </w:r>
            <w:r w:rsidRPr="00E379FD">
              <w:rPr>
                <w:b/>
                <w:sz w:val="18"/>
                <w:szCs w:val="18"/>
                <w:lang w:val="fr-CA"/>
              </w:rPr>
              <w:t>t</w:t>
            </w:r>
            <w:r>
              <w:rPr>
                <w:b/>
                <w:sz w:val="18"/>
                <w:szCs w:val="18"/>
                <w:lang w:val="fr-CA"/>
              </w:rPr>
              <w:t>y</w:t>
            </w:r>
          </w:p>
        </w:tc>
        <w:tc>
          <w:tcPr>
            <w:tcW w:w="6193" w:type="dxa"/>
            <w:tcBorders>
              <w:top w:val="single" w:sz="4" w:space="0" w:color="auto"/>
              <w:left w:val="single" w:sz="4" w:space="0" w:color="auto"/>
              <w:bottom w:val="single" w:sz="4" w:space="0" w:color="auto"/>
              <w:right w:val="single" w:sz="4" w:space="0" w:color="auto"/>
            </w:tcBorders>
            <w:shd w:val="clear" w:color="auto" w:fill="D9D9D9"/>
            <w:vAlign w:val="center"/>
          </w:tcPr>
          <w:p w14:paraId="32B36DF9" w14:textId="77777777" w:rsidR="00302BFE" w:rsidRPr="00E379FD" w:rsidRDefault="00302BFE" w:rsidP="00243B15">
            <w:pPr>
              <w:autoSpaceDN w:val="0"/>
              <w:spacing w:after="0"/>
              <w:jc w:val="left"/>
              <w:rPr>
                <w:b/>
                <w:sz w:val="18"/>
                <w:szCs w:val="18"/>
                <w:lang w:val="fr-CA"/>
              </w:rPr>
            </w:pPr>
          </w:p>
        </w:tc>
        <w:tc>
          <w:tcPr>
            <w:tcW w:w="1985" w:type="dxa"/>
            <w:tcBorders>
              <w:top w:val="single" w:sz="4" w:space="0" w:color="auto"/>
              <w:left w:val="single" w:sz="4" w:space="0" w:color="auto"/>
              <w:bottom w:val="single" w:sz="4" w:space="0" w:color="auto"/>
              <w:right w:val="single" w:sz="4" w:space="0" w:color="auto"/>
            </w:tcBorders>
            <w:shd w:val="clear" w:color="auto" w:fill="D9D9D9"/>
            <w:vAlign w:val="center"/>
          </w:tcPr>
          <w:p w14:paraId="288EC1E0" w14:textId="77777777" w:rsidR="00302BFE" w:rsidRPr="00E379FD" w:rsidRDefault="00302BFE" w:rsidP="00243B15">
            <w:pPr>
              <w:autoSpaceDN w:val="0"/>
              <w:spacing w:after="0"/>
              <w:jc w:val="left"/>
              <w:rPr>
                <w:b/>
                <w:sz w:val="18"/>
                <w:szCs w:val="18"/>
                <w:lang w:val="fr-CA"/>
              </w:rPr>
            </w:pP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14:paraId="07B06EBE" w14:textId="77777777" w:rsidR="00302BFE" w:rsidRPr="00E379FD" w:rsidRDefault="00302BFE" w:rsidP="00243B15">
            <w:pPr>
              <w:autoSpaceDN w:val="0"/>
              <w:spacing w:after="0"/>
              <w:jc w:val="left"/>
              <w:rPr>
                <w:b/>
                <w:sz w:val="18"/>
                <w:szCs w:val="18"/>
                <w:lang w:val="fr-CA"/>
              </w:rPr>
            </w:pPr>
          </w:p>
        </w:tc>
      </w:tr>
      <w:tr w:rsidR="00302BFE" w:rsidRPr="00E379FD" w14:paraId="7BC0D13F" w14:textId="77777777" w:rsidTr="00243B15">
        <w:trPr>
          <w:jc w:val="center"/>
        </w:trPr>
        <w:tc>
          <w:tcPr>
            <w:tcW w:w="570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7284783B" w14:textId="77777777" w:rsidR="00302BFE" w:rsidRPr="00E379FD" w:rsidRDefault="00302BFE" w:rsidP="00243B15">
            <w:pPr>
              <w:autoSpaceDN w:val="0"/>
              <w:spacing w:after="0"/>
              <w:jc w:val="left"/>
              <w:rPr>
                <w:rFonts w:eastAsia="Cambria"/>
                <w:sz w:val="18"/>
                <w:szCs w:val="18"/>
                <w:lang w:val="fr-CA"/>
              </w:rPr>
            </w:pPr>
            <w:r w:rsidRPr="005C25D0">
              <w:rPr>
                <w:b/>
                <w:sz w:val="18"/>
                <w:szCs w:val="18"/>
                <w:lang w:val="fr-CA"/>
              </w:rPr>
              <w:t>NGOs and local environmental associations</w:t>
            </w:r>
          </w:p>
        </w:tc>
        <w:tc>
          <w:tcPr>
            <w:tcW w:w="6193" w:type="dxa"/>
            <w:tcBorders>
              <w:top w:val="single" w:sz="4" w:space="0" w:color="auto"/>
              <w:left w:val="single" w:sz="4" w:space="0" w:color="auto"/>
              <w:bottom w:val="single" w:sz="4" w:space="0" w:color="auto"/>
              <w:right w:val="single" w:sz="4" w:space="0" w:color="auto"/>
            </w:tcBorders>
            <w:shd w:val="clear" w:color="auto" w:fill="E6E6E6"/>
            <w:vAlign w:val="center"/>
          </w:tcPr>
          <w:p w14:paraId="5F0557BB" w14:textId="77777777" w:rsidR="00302BFE" w:rsidRPr="00E379FD" w:rsidRDefault="00302BFE" w:rsidP="00243B15">
            <w:pPr>
              <w:autoSpaceDN w:val="0"/>
              <w:spacing w:after="0"/>
              <w:jc w:val="left"/>
              <w:rPr>
                <w:b/>
                <w:sz w:val="18"/>
                <w:szCs w:val="18"/>
                <w:lang w:val="fr-CA"/>
              </w:rPr>
            </w:pPr>
          </w:p>
        </w:tc>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6B039B24" w14:textId="77777777" w:rsidR="00302BFE" w:rsidRPr="00E379FD" w:rsidRDefault="00302BFE" w:rsidP="00243B15">
            <w:pPr>
              <w:autoSpaceDN w:val="0"/>
              <w:spacing w:after="0"/>
              <w:jc w:val="left"/>
              <w:rPr>
                <w:b/>
                <w:sz w:val="18"/>
                <w:szCs w:val="18"/>
                <w:lang w:val="fr-C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046397BD" w14:textId="77777777" w:rsidR="00302BFE" w:rsidRPr="00E379FD" w:rsidRDefault="00302BFE" w:rsidP="00243B15">
            <w:pPr>
              <w:autoSpaceDN w:val="0"/>
              <w:spacing w:after="0"/>
              <w:jc w:val="left"/>
              <w:rPr>
                <w:b/>
                <w:sz w:val="18"/>
                <w:szCs w:val="18"/>
                <w:lang w:val="fr-CA"/>
              </w:rPr>
            </w:pPr>
          </w:p>
        </w:tc>
      </w:tr>
      <w:tr w:rsidR="00302BFE" w:rsidRPr="00E379FD" w14:paraId="7CFCC543" w14:textId="77777777" w:rsidTr="00243B15">
        <w:trPr>
          <w:jc w:val="center"/>
        </w:trPr>
        <w:tc>
          <w:tcPr>
            <w:tcW w:w="1882" w:type="dxa"/>
            <w:tcBorders>
              <w:top w:val="single" w:sz="4" w:space="0" w:color="auto"/>
              <w:left w:val="single" w:sz="4" w:space="0" w:color="auto"/>
              <w:bottom w:val="single" w:sz="4" w:space="0" w:color="auto"/>
              <w:right w:val="single" w:sz="4" w:space="0" w:color="auto"/>
            </w:tcBorders>
            <w:vAlign w:val="center"/>
          </w:tcPr>
          <w:p w14:paraId="2F2868CE" w14:textId="77777777" w:rsidR="00302BFE" w:rsidRPr="00E379FD" w:rsidRDefault="00302BFE" w:rsidP="00243B15">
            <w:pPr>
              <w:spacing w:after="0"/>
              <w:jc w:val="left"/>
              <w:rPr>
                <w:rFonts w:eastAsia="Cambria"/>
                <w:sz w:val="18"/>
                <w:szCs w:val="18"/>
              </w:rPr>
            </w:pPr>
            <w:r w:rsidRPr="00E379FD">
              <w:rPr>
                <w:rFonts w:eastAsia="Cambria"/>
                <w:sz w:val="18"/>
                <w:szCs w:val="18"/>
                <w:lang w:val="fr-CA"/>
              </w:rPr>
              <w:t>NATURAMA, Natudev, Tree Aid, Ga Mo Wigna; Yékouma Dakoupa Association (AYDA)</w:t>
            </w:r>
          </w:p>
        </w:tc>
        <w:tc>
          <w:tcPr>
            <w:tcW w:w="3827" w:type="dxa"/>
            <w:tcBorders>
              <w:top w:val="single" w:sz="4" w:space="0" w:color="auto"/>
              <w:left w:val="single" w:sz="4" w:space="0" w:color="auto"/>
              <w:bottom w:val="single" w:sz="4" w:space="0" w:color="auto"/>
              <w:right w:val="single" w:sz="4" w:space="0" w:color="auto"/>
            </w:tcBorders>
            <w:vAlign w:val="center"/>
          </w:tcPr>
          <w:p w14:paraId="3C4977AF" w14:textId="77777777" w:rsidR="00302BFE" w:rsidRPr="009F390C" w:rsidRDefault="00302BFE" w:rsidP="00243B15">
            <w:pPr>
              <w:autoSpaceDN w:val="0"/>
              <w:spacing w:after="0"/>
              <w:jc w:val="left"/>
              <w:rPr>
                <w:rFonts w:eastAsia="Cambria"/>
                <w:sz w:val="18"/>
                <w:szCs w:val="18"/>
                <w:lang w:val="en-CA"/>
              </w:rPr>
            </w:pPr>
            <w:r w:rsidRPr="009F390C">
              <w:rPr>
                <w:rFonts w:eastAsia="Cambria"/>
                <w:sz w:val="18"/>
                <w:szCs w:val="18"/>
                <w:lang w:val="en-CA"/>
              </w:rPr>
              <w:t>The NGOs and environmental associations in the project will be mainly involved in capacity building activities (training), IEC activities (information, education, communication) and community mobilization. They are also competent to implement actions to improve the livelihoods of communities through the development of promising value chains. They will also contribute to the co-financing of the project</w:t>
            </w:r>
          </w:p>
        </w:tc>
        <w:tc>
          <w:tcPr>
            <w:tcW w:w="6193" w:type="dxa"/>
            <w:tcBorders>
              <w:top w:val="single" w:sz="4" w:space="0" w:color="auto"/>
              <w:left w:val="single" w:sz="4" w:space="0" w:color="auto"/>
              <w:bottom w:val="single" w:sz="4" w:space="0" w:color="auto"/>
              <w:right w:val="single" w:sz="4" w:space="0" w:color="auto"/>
            </w:tcBorders>
            <w:vAlign w:val="center"/>
          </w:tcPr>
          <w:p w14:paraId="69814E09" w14:textId="77777777" w:rsidR="00302BFE" w:rsidRPr="006458DA" w:rsidRDefault="00302BFE" w:rsidP="00C46720">
            <w:pPr>
              <w:numPr>
                <w:ilvl w:val="0"/>
                <w:numId w:val="38"/>
              </w:numPr>
              <w:autoSpaceDN w:val="0"/>
              <w:spacing w:after="0"/>
              <w:jc w:val="left"/>
              <w:rPr>
                <w:sz w:val="18"/>
                <w:szCs w:val="18"/>
                <w:lang w:val="en-CA"/>
              </w:rPr>
            </w:pPr>
            <w:r w:rsidRPr="006458DA">
              <w:rPr>
                <w:sz w:val="18"/>
                <w:szCs w:val="18"/>
                <w:lang w:val="en-CA"/>
              </w:rPr>
              <w:t>Invited to get involved in information and awareness actions on PA co-management and community mobilization for development work in PAs (restoration and protection of water and soil resources) (</w:t>
            </w:r>
            <w:r>
              <w:rPr>
                <w:sz w:val="18"/>
                <w:szCs w:val="18"/>
                <w:lang w:val="en-CA"/>
              </w:rPr>
              <w:t>output</w:t>
            </w:r>
            <w:r w:rsidRPr="00616C8C">
              <w:rPr>
                <w:sz w:val="18"/>
                <w:szCs w:val="18"/>
                <w:lang w:val="en-CA"/>
              </w:rPr>
              <w:t xml:space="preserve"> </w:t>
            </w:r>
            <w:r w:rsidRPr="006458DA">
              <w:rPr>
                <w:sz w:val="18"/>
                <w:szCs w:val="18"/>
                <w:lang w:val="en-CA"/>
              </w:rPr>
              <w:t>2.1.1)</w:t>
            </w:r>
          </w:p>
          <w:p w14:paraId="209BAAD4" w14:textId="77777777" w:rsidR="00302BFE" w:rsidRPr="006458DA" w:rsidRDefault="00302BFE" w:rsidP="00C46720">
            <w:pPr>
              <w:numPr>
                <w:ilvl w:val="0"/>
                <w:numId w:val="38"/>
              </w:numPr>
              <w:autoSpaceDN w:val="0"/>
              <w:spacing w:after="0"/>
              <w:jc w:val="left"/>
              <w:rPr>
                <w:sz w:val="18"/>
                <w:szCs w:val="18"/>
                <w:lang w:val="en-CA"/>
              </w:rPr>
            </w:pPr>
            <w:r w:rsidRPr="006458DA">
              <w:rPr>
                <w:sz w:val="18"/>
                <w:szCs w:val="18"/>
                <w:lang w:val="en-CA"/>
              </w:rPr>
              <w:t>Participation in monitoring on biodiversity (</w:t>
            </w:r>
            <w:r>
              <w:rPr>
                <w:sz w:val="18"/>
                <w:szCs w:val="18"/>
                <w:lang w:val="en-CA"/>
              </w:rPr>
              <w:t>output</w:t>
            </w:r>
            <w:r w:rsidRPr="00616C8C">
              <w:rPr>
                <w:sz w:val="18"/>
                <w:szCs w:val="18"/>
                <w:lang w:val="en-CA"/>
              </w:rPr>
              <w:t xml:space="preserve"> </w:t>
            </w:r>
            <w:r w:rsidRPr="006458DA">
              <w:rPr>
                <w:sz w:val="18"/>
                <w:szCs w:val="18"/>
                <w:lang w:val="en-CA"/>
              </w:rPr>
              <w:t>2.2.3)</w:t>
            </w:r>
          </w:p>
          <w:p w14:paraId="0EF54EA7" w14:textId="77777777" w:rsidR="00302BFE" w:rsidRPr="006458DA" w:rsidRDefault="00302BFE" w:rsidP="00C46720">
            <w:pPr>
              <w:numPr>
                <w:ilvl w:val="0"/>
                <w:numId w:val="38"/>
              </w:numPr>
              <w:autoSpaceDN w:val="0"/>
              <w:spacing w:after="0"/>
              <w:jc w:val="left"/>
              <w:rPr>
                <w:sz w:val="18"/>
                <w:szCs w:val="18"/>
                <w:lang w:val="en-CA"/>
              </w:rPr>
            </w:pPr>
            <w:r w:rsidRPr="006458DA">
              <w:rPr>
                <w:sz w:val="18"/>
                <w:szCs w:val="18"/>
                <w:lang w:val="en-CA"/>
              </w:rPr>
              <w:t>Participation in PA management effectiveness assessments planned during project preparation, mid-term and end of project and impact assessment of project interventions in PA sites (Output 2.2.4)</w:t>
            </w:r>
          </w:p>
          <w:p w14:paraId="73D702A7" w14:textId="77777777" w:rsidR="00302BFE" w:rsidRPr="006458DA" w:rsidRDefault="00302BFE" w:rsidP="00C46720">
            <w:pPr>
              <w:numPr>
                <w:ilvl w:val="0"/>
                <w:numId w:val="38"/>
              </w:numPr>
              <w:autoSpaceDN w:val="0"/>
              <w:spacing w:after="0"/>
              <w:jc w:val="left"/>
              <w:rPr>
                <w:sz w:val="18"/>
                <w:szCs w:val="18"/>
                <w:lang w:val="en-CA"/>
              </w:rPr>
            </w:pPr>
            <w:r w:rsidRPr="006458DA">
              <w:rPr>
                <w:sz w:val="18"/>
                <w:szCs w:val="18"/>
                <w:lang w:val="en-CA"/>
              </w:rPr>
              <w:t xml:space="preserve">Contribution to </w:t>
            </w:r>
            <w:r>
              <w:rPr>
                <w:sz w:val="18"/>
                <w:szCs w:val="18"/>
                <w:lang w:val="en-CA"/>
              </w:rPr>
              <w:t>awareness</w:t>
            </w:r>
            <w:r w:rsidRPr="006458DA">
              <w:rPr>
                <w:sz w:val="18"/>
                <w:szCs w:val="18"/>
                <w:lang w:val="en-CA"/>
              </w:rPr>
              <w:t xml:space="preserve"> and community mobilization for all project interventions (Output 1.1.3);</w:t>
            </w:r>
          </w:p>
          <w:p w14:paraId="1A8DC465" w14:textId="77777777" w:rsidR="00302BFE" w:rsidRPr="006458DA" w:rsidRDefault="00302BFE" w:rsidP="00C46720">
            <w:pPr>
              <w:numPr>
                <w:ilvl w:val="0"/>
                <w:numId w:val="38"/>
              </w:numPr>
              <w:autoSpaceDN w:val="0"/>
              <w:spacing w:after="0"/>
              <w:jc w:val="left"/>
              <w:rPr>
                <w:sz w:val="18"/>
                <w:szCs w:val="18"/>
                <w:lang w:val="en-CA"/>
              </w:rPr>
            </w:pPr>
            <w:r w:rsidRPr="006458DA">
              <w:rPr>
                <w:sz w:val="18"/>
                <w:szCs w:val="18"/>
                <w:lang w:val="en-CA"/>
              </w:rPr>
              <w:t>Environmental NGOs working in the PONASI area can contribute to capacity development for PA management actors and share best practices for biodiversity inventories, long-term monitoring and conservation activities (Output 2.1.2).</w:t>
            </w:r>
          </w:p>
        </w:tc>
        <w:tc>
          <w:tcPr>
            <w:tcW w:w="1985" w:type="dxa"/>
            <w:tcBorders>
              <w:top w:val="single" w:sz="4" w:space="0" w:color="auto"/>
              <w:left w:val="single" w:sz="4" w:space="0" w:color="auto"/>
              <w:bottom w:val="single" w:sz="4" w:space="0" w:color="auto"/>
              <w:right w:val="single" w:sz="4" w:space="0" w:color="auto"/>
            </w:tcBorders>
            <w:vAlign w:val="center"/>
          </w:tcPr>
          <w:p w14:paraId="4BB416C1" w14:textId="77777777" w:rsidR="00302BFE" w:rsidRPr="00CF4D08" w:rsidRDefault="00302BFE" w:rsidP="00243B15">
            <w:pPr>
              <w:pStyle w:val="PrformatHTML"/>
              <w:shd w:val="clear" w:color="auto" w:fill="FFFFFF"/>
              <w:rPr>
                <w:rFonts w:ascii="Calibri" w:hAnsi="Calibri" w:cs="Times New Roman"/>
                <w:sz w:val="18"/>
                <w:szCs w:val="18"/>
                <w:lang w:val="en-CA"/>
              </w:rPr>
            </w:pPr>
            <w:r w:rsidRPr="00CF4D08">
              <w:rPr>
                <w:rFonts w:ascii="Calibri" w:hAnsi="Calibri" w:cs="Times New Roman"/>
                <w:sz w:val="18"/>
                <w:szCs w:val="18"/>
                <w:lang w:val="en-CA"/>
              </w:rPr>
              <w:t>Achieve project results and outputs through better communication, information, awareness and meaningful stakeholder engagement</w:t>
            </w:r>
          </w:p>
        </w:tc>
        <w:tc>
          <w:tcPr>
            <w:tcW w:w="850" w:type="dxa"/>
            <w:tcBorders>
              <w:top w:val="single" w:sz="4" w:space="0" w:color="auto"/>
              <w:left w:val="single" w:sz="4" w:space="0" w:color="auto"/>
              <w:bottom w:val="single" w:sz="4" w:space="0" w:color="auto"/>
              <w:right w:val="single" w:sz="4" w:space="0" w:color="auto"/>
            </w:tcBorders>
            <w:vAlign w:val="center"/>
          </w:tcPr>
          <w:p w14:paraId="56D9CF91" w14:textId="77777777" w:rsidR="00302BFE" w:rsidRPr="00E379FD" w:rsidRDefault="00302BFE" w:rsidP="00243B15">
            <w:pPr>
              <w:autoSpaceDN w:val="0"/>
              <w:spacing w:after="0"/>
              <w:jc w:val="left"/>
              <w:rPr>
                <w:sz w:val="18"/>
                <w:szCs w:val="18"/>
                <w:lang w:val="fr-CA"/>
              </w:rPr>
            </w:pPr>
            <w:r w:rsidRPr="00E379FD">
              <w:rPr>
                <w:sz w:val="18"/>
                <w:szCs w:val="18"/>
                <w:lang w:val="fr-CA"/>
              </w:rPr>
              <w:t xml:space="preserve">1, 2, 3 </w:t>
            </w:r>
            <w:r>
              <w:rPr>
                <w:sz w:val="18"/>
                <w:szCs w:val="18"/>
                <w:lang w:val="fr-CA"/>
              </w:rPr>
              <w:t>and</w:t>
            </w:r>
            <w:r w:rsidRPr="00E379FD">
              <w:rPr>
                <w:sz w:val="18"/>
                <w:szCs w:val="18"/>
                <w:lang w:val="fr-CA"/>
              </w:rPr>
              <w:t xml:space="preserve"> 4</w:t>
            </w:r>
          </w:p>
        </w:tc>
      </w:tr>
      <w:tr w:rsidR="00302BFE" w:rsidRPr="00E379FD" w14:paraId="59A1C304" w14:textId="77777777" w:rsidTr="00243B15">
        <w:trPr>
          <w:jc w:val="center"/>
        </w:trPr>
        <w:tc>
          <w:tcPr>
            <w:tcW w:w="5709"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0828A882" w14:textId="77777777" w:rsidR="00302BFE" w:rsidRPr="00E379FD" w:rsidRDefault="00302BFE" w:rsidP="00243B15">
            <w:pPr>
              <w:autoSpaceDN w:val="0"/>
              <w:spacing w:after="0"/>
              <w:jc w:val="left"/>
              <w:rPr>
                <w:sz w:val="18"/>
                <w:szCs w:val="18"/>
                <w:lang w:val="fr-CA"/>
              </w:rPr>
            </w:pPr>
            <w:r>
              <w:rPr>
                <w:b/>
                <w:sz w:val="18"/>
                <w:szCs w:val="18"/>
                <w:lang w:val="fr-CA"/>
              </w:rPr>
              <w:t>I</w:t>
            </w:r>
            <w:r w:rsidRPr="00E379FD">
              <w:rPr>
                <w:b/>
                <w:sz w:val="18"/>
                <w:szCs w:val="18"/>
                <w:lang w:val="fr-CA"/>
              </w:rPr>
              <w:t xml:space="preserve">nternational </w:t>
            </w:r>
            <w:r>
              <w:rPr>
                <w:b/>
                <w:sz w:val="18"/>
                <w:szCs w:val="18"/>
                <w:lang w:val="fr-CA"/>
              </w:rPr>
              <w:t>NG</w:t>
            </w:r>
            <w:r w:rsidRPr="00E379FD">
              <w:rPr>
                <w:b/>
                <w:sz w:val="18"/>
                <w:szCs w:val="18"/>
                <w:lang w:val="fr-CA"/>
              </w:rPr>
              <w:t xml:space="preserve">Os </w:t>
            </w:r>
            <w:r>
              <w:rPr>
                <w:b/>
                <w:sz w:val="18"/>
                <w:szCs w:val="18"/>
                <w:lang w:val="fr-CA"/>
              </w:rPr>
              <w:t xml:space="preserve">and </w:t>
            </w:r>
            <w:r w:rsidRPr="00E379FD">
              <w:rPr>
                <w:b/>
                <w:sz w:val="18"/>
                <w:szCs w:val="18"/>
                <w:lang w:val="fr-CA"/>
              </w:rPr>
              <w:t xml:space="preserve">environmental associations </w:t>
            </w:r>
          </w:p>
        </w:tc>
        <w:tc>
          <w:tcPr>
            <w:tcW w:w="6193" w:type="dxa"/>
            <w:tcBorders>
              <w:top w:val="single" w:sz="4" w:space="0" w:color="auto"/>
              <w:left w:val="single" w:sz="4" w:space="0" w:color="auto"/>
              <w:bottom w:val="single" w:sz="4" w:space="0" w:color="auto"/>
              <w:right w:val="single" w:sz="4" w:space="0" w:color="auto"/>
            </w:tcBorders>
            <w:shd w:val="clear" w:color="auto" w:fill="E7E6E6"/>
            <w:vAlign w:val="center"/>
          </w:tcPr>
          <w:p w14:paraId="1AD53ECC" w14:textId="77777777" w:rsidR="00302BFE" w:rsidRPr="00E379FD" w:rsidRDefault="00302BFE" w:rsidP="00243B15">
            <w:pPr>
              <w:autoSpaceDN w:val="0"/>
              <w:spacing w:after="0"/>
              <w:jc w:val="left"/>
              <w:rPr>
                <w:b/>
                <w:sz w:val="18"/>
                <w:szCs w:val="18"/>
                <w:lang w:val="fr-CA"/>
              </w:rPr>
            </w:pPr>
          </w:p>
        </w:tc>
        <w:tc>
          <w:tcPr>
            <w:tcW w:w="1985" w:type="dxa"/>
            <w:tcBorders>
              <w:top w:val="single" w:sz="4" w:space="0" w:color="auto"/>
              <w:left w:val="single" w:sz="4" w:space="0" w:color="auto"/>
              <w:bottom w:val="single" w:sz="4" w:space="0" w:color="auto"/>
              <w:right w:val="single" w:sz="4" w:space="0" w:color="auto"/>
            </w:tcBorders>
            <w:shd w:val="clear" w:color="auto" w:fill="E7E6E6"/>
            <w:vAlign w:val="center"/>
          </w:tcPr>
          <w:p w14:paraId="01D6DB19" w14:textId="77777777" w:rsidR="00302BFE" w:rsidRPr="00E379FD" w:rsidRDefault="00302BFE" w:rsidP="00243B15">
            <w:pPr>
              <w:autoSpaceDN w:val="0"/>
              <w:spacing w:after="0"/>
              <w:jc w:val="left"/>
              <w:rPr>
                <w:b/>
                <w:sz w:val="18"/>
                <w:szCs w:val="18"/>
                <w:lang w:val="fr-CA"/>
              </w:rPr>
            </w:pPr>
          </w:p>
        </w:tc>
        <w:tc>
          <w:tcPr>
            <w:tcW w:w="850" w:type="dxa"/>
            <w:tcBorders>
              <w:top w:val="single" w:sz="4" w:space="0" w:color="auto"/>
              <w:left w:val="single" w:sz="4" w:space="0" w:color="auto"/>
              <w:bottom w:val="single" w:sz="4" w:space="0" w:color="auto"/>
              <w:right w:val="single" w:sz="4" w:space="0" w:color="auto"/>
            </w:tcBorders>
            <w:shd w:val="clear" w:color="auto" w:fill="E7E6E6"/>
            <w:vAlign w:val="center"/>
          </w:tcPr>
          <w:p w14:paraId="2AA01065" w14:textId="77777777" w:rsidR="00302BFE" w:rsidRPr="00E379FD" w:rsidRDefault="00302BFE" w:rsidP="00243B15">
            <w:pPr>
              <w:autoSpaceDN w:val="0"/>
              <w:spacing w:after="0"/>
              <w:jc w:val="left"/>
              <w:rPr>
                <w:b/>
                <w:sz w:val="18"/>
                <w:szCs w:val="18"/>
                <w:lang w:val="fr-CA"/>
              </w:rPr>
            </w:pPr>
          </w:p>
        </w:tc>
      </w:tr>
      <w:tr w:rsidR="00302BFE" w:rsidRPr="00E379FD" w14:paraId="0B6F92C0" w14:textId="77777777" w:rsidTr="00243B15">
        <w:trPr>
          <w:jc w:val="center"/>
        </w:trPr>
        <w:tc>
          <w:tcPr>
            <w:tcW w:w="1882" w:type="dxa"/>
            <w:tcBorders>
              <w:top w:val="single" w:sz="4" w:space="0" w:color="auto"/>
              <w:left w:val="single" w:sz="4" w:space="0" w:color="auto"/>
              <w:bottom w:val="single" w:sz="4" w:space="0" w:color="auto"/>
              <w:right w:val="single" w:sz="4" w:space="0" w:color="auto"/>
            </w:tcBorders>
            <w:vAlign w:val="center"/>
          </w:tcPr>
          <w:p w14:paraId="2DC35682" w14:textId="77777777" w:rsidR="00302BFE" w:rsidRPr="00E379FD" w:rsidRDefault="00302BFE" w:rsidP="00243B15">
            <w:pPr>
              <w:spacing w:after="0"/>
              <w:jc w:val="left"/>
              <w:rPr>
                <w:sz w:val="18"/>
                <w:szCs w:val="18"/>
                <w:lang w:val="fr-CA"/>
              </w:rPr>
            </w:pPr>
            <w:r>
              <w:rPr>
                <w:sz w:val="18"/>
                <w:szCs w:val="18"/>
                <w:lang w:val="fr-CA"/>
              </w:rPr>
              <w:lastRenderedPageBreak/>
              <w:t>IUCN</w:t>
            </w:r>
          </w:p>
        </w:tc>
        <w:tc>
          <w:tcPr>
            <w:tcW w:w="3827" w:type="dxa"/>
            <w:tcBorders>
              <w:top w:val="single" w:sz="4" w:space="0" w:color="auto"/>
              <w:left w:val="single" w:sz="4" w:space="0" w:color="auto"/>
              <w:bottom w:val="single" w:sz="4" w:space="0" w:color="auto"/>
              <w:right w:val="single" w:sz="4" w:space="0" w:color="auto"/>
            </w:tcBorders>
            <w:vAlign w:val="center"/>
          </w:tcPr>
          <w:p w14:paraId="39DA7BD7" w14:textId="77777777" w:rsidR="00302BFE" w:rsidRPr="009F390C" w:rsidRDefault="00302BFE" w:rsidP="00243B15">
            <w:pPr>
              <w:autoSpaceDN w:val="0"/>
              <w:spacing w:after="0"/>
              <w:jc w:val="left"/>
              <w:rPr>
                <w:sz w:val="18"/>
                <w:szCs w:val="18"/>
                <w:lang w:val="en-CA"/>
              </w:rPr>
            </w:pPr>
            <w:r w:rsidRPr="009F390C">
              <w:rPr>
                <w:sz w:val="18"/>
                <w:szCs w:val="18"/>
                <w:lang w:val="en-CA"/>
              </w:rPr>
              <w:t>IUCN will participate in the co-financing of the project. It will also participate in technical support and training</w:t>
            </w:r>
          </w:p>
        </w:tc>
        <w:tc>
          <w:tcPr>
            <w:tcW w:w="6193" w:type="dxa"/>
            <w:tcBorders>
              <w:top w:val="single" w:sz="4" w:space="0" w:color="auto"/>
              <w:left w:val="single" w:sz="4" w:space="0" w:color="auto"/>
              <w:bottom w:val="single" w:sz="4" w:space="0" w:color="auto"/>
              <w:right w:val="single" w:sz="4" w:space="0" w:color="auto"/>
            </w:tcBorders>
            <w:vAlign w:val="center"/>
          </w:tcPr>
          <w:p w14:paraId="0DCDACF1" w14:textId="77777777" w:rsidR="00302BFE" w:rsidRPr="006458DA" w:rsidRDefault="00302BFE" w:rsidP="00C46720">
            <w:pPr>
              <w:numPr>
                <w:ilvl w:val="0"/>
                <w:numId w:val="38"/>
              </w:numPr>
              <w:autoSpaceDN w:val="0"/>
              <w:spacing w:after="0"/>
              <w:jc w:val="left"/>
              <w:rPr>
                <w:sz w:val="18"/>
                <w:szCs w:val="18"/>
                <w:lang w:val="en-CA"/>
              </w:rPr>
            </w:pPr>
            <w:r w:rsidRPr="006458DA">
              <w:rPr>
                <w:sz w:val="18"/>
                <w:szCs w:val="18"/>
                <w:lang w:val="en-CA"/>
              </w:rPr>
              <w:t>The project will seek to develop partnerships between the PONASI PA complex and IUCN to primarily support the capacity building of conservation stakeholders and the development of biodiversity knowledge for conservation and sustainable management (Output 2.1.2).</w:t>
            </w:r>
          </w:p>
          <w:p w14:paraId="2670581E" w14:textId="77777777" w:rsidR="00302BFE" w:rsidRPr="006458DA" w:rsidRDefault="00302BFE" w:rsidP="00C46720">
            <w:pPr>
              <w:numPr>
                <w:ilvl w:val="0"/>
                <w:numId w:val="38"/>
              </w:numPr>
              <w:autoSpaceDN w:val="0"/>
              <w:spacing w:after="0"/>
              <w:jc w:val="left"/>
              <w:rPr>
                <w:sz w:val="18"/>
                <w:szCs w:val="18"/>
                <w:lang w:val="en-CA"/>
              </w:rPr>
            </w:pPr>
            <w:r w:rsidRPr="006458DA">
              <w:rPr>
                <w:sz w:val="18"/>
                <w:szCs w:val="18"/>
                <w:lang w:val="en-CA"/>
              </w:rPr>
              <w:t>IUCN will also contribute to the development of transboundary agreements, elaboration of texts and the study on elephant movement (Output 2.2.4)</w:t>
            </w:r>
          </w:p>
        </w:tc>
        <w:tc>
          <w:tcPr>
            <w:tcW w:w="1985" w:type="dxa"/>
            <w:tcBorders>
              <w:top w:val="single" w:sz="4" w:space="0" w:color="auto"/>
              <w:left w:val="single" w:sz="4" w:space="0" w:color="auto"/>
              <w:bottom w:val="single" w:sz="4" w:space="0" w:color="auto"/>
              <w:right w:val="single" w:sz="4" w:space="0" w:color="auto"/>
            </w:tcBorders>
            <w:vAlign w:val="center"/>
          </w:tcPr>
          <w:p w14:paraId="3EF14413" w14:textId="77777777" w:rsidR="00302BFE" w:rsidRPr="00CF4D08" w:rsidRDefault="00302BFE" w:rsidP="00243B15">
            <w:pPr>
              <w:pStyle w:val="PrformatHTML"/>
              <w:shd w:val="clear" w:color="auto" w:fill="FFFFFF"/>
              <w:rPr>
                <w:rFonts w:ascii="Calibri" w:hAnsi="Calibri" w:cs="Times New Roman"/>
                <w:sz w:val="18"/>
                <w:szCs w:val="18"/>
                <w:lang w:val="en-CA"/>
              </w:rPr>
            </w:pPr>
            <w:r w:rsidRPr="00CF4D08">
              <w:rPr>
                <w:rFonts w:ascii="Calibri" w:hAnsi="Calibri" w:cs="Times New Roman"/>
                <w:sz w:val="18"/>
                <w:szCs w:val="18"/>
                <w:lang w:val="en-CA"/>
              </w:rPr>
              <w:t>Better implementation of actions related to the protection of biodiversity and the management of the elephant</w:t>
            </w:r>
          </w:p>
        </w:tc>
        <w:tc>
          <w:tcPr>
            <w:tcW w:w="850" w:type="dxa"/>
            <w:tcBorders>
              <w:top w:val="single" w:sz="4" w:space="0" w:color="auto"/>
              <w:left w:val="single" w:sz="4" w:space="0" w:color="auto"/>
              <w:bottom w:val="single" w:sz="4" w:space="0" w:color="auto"/>
              <w:right w:val="single" w:sz="4" w:space="0" w:color="auto"/>
            </w:tcBorders>
            <w:vAlign w:val="center"/>
          </w:tcPr>
          <w:p w14:paraId="48CD6A30" w14:textId="77777777" w:rsidR="00302BFE" w:rsidRPr="00E379FD" w:rsidRDefault="00302BFE" w:rsidP="00243B15">
            <w:pPr>
              <w:autoSpaceDN w:val="0"/>
              <w:spacing w:after="0"/>
              <w:jc w:val="left"/>
              <w:rPr>
                <w:sz w:val="18"/>
                <w:szCs w:val="18"/>
                <w:lang w:val="fr-CA"/>
              </w:rPr>
            </w:pPr>
            <w:r w:rsidRPr="00E379FD">
              <w:rPr>
                <w:sz w:val="18"/>
                <w:szCs w:val="18"/>
                <w:lang w:val="fr-CA"/>
              </w:rPr>
              <w:t>1, 2</w:t>
            </w:r>
          </w:p>
        </w:tc>
      </w:tr>
      <w:tr w:rsidR="00302BFE" w:rsidRPr="00E379FD" w14:paraId="7F4F4F73" w14:textId="77777777" w:rsidTr="00243B15">
        <w:trPr>
          <w:jc w:val="center"/>
        </w:trPr>
        <w:tc>
          <w:tcPr>
            <w:tcW w:w="1882" w:type="dxa"/>
            <w:tcBorders>
              <w:top w:val="single" w:sz="4" w:space="0" w:color="auto"/>
              <w:left w:val="single" w:sz="4" w:space="0" w:color="auto"/>
              <w:bottom w:val="single" w:sz="4" w:space="0" w:color="auto"/>
              <w:right w:val="single" w:sz="4" w:space="0" w:color="auto"/>
            </w:tcBorders>
            <w:vAlign w:val="center"/>
          </w:tcPr>
          <w:p w14:paraId="525D8506" w14:textId="77777777" w:rsidR="00302BFE" w:rsidRPr="00E379FD" w:rsidRDefault="00302BFE" w:rsidP="00243B15">
            <w:pPr>
              <w:spacing w:after="0"/>
              <w:jc w:val="left"/>
              <w:rPr>
                <w:sz w:val="18"/>
                <w:szCs w:val="18"/>
                <w:lang w:val="fr-CA"/>
              </w:rPr>
            </w:pPr>
            <w:r w:rsidRPr="00E379FD">
              <w:rPr>
                <w:sz w:val="18"/>
                <w:szCs w:val="18"/>
                <w:lang w:val="fr-CA"/>
              </w:rPr>
              <w:t>WWF</w:t>
            </w:r>
          </w:p>
        </w:tc>
        <w:tc>
          <w:tcPr>
            <w:tcW w:w="3827" w:type="dxa"/>
            <w:tcBorders>
              <w:top w:val="single" w:sz="4" w:space="0" w:color="auto"/>
              <w:left w:val="single" w:sz="4" w:space="0" w:color="auto"/>
              <w:bottom w:val="single" w:sz="4" w:space="0" w:color="auto"/>
              <w:right w:val="single" w:sz="4" w:space="0" w:color="auto"/>
            </w:tcBorders>
            <w:vAlign w:val="center"/>
          </w:tcPr>
          <w:p w14:paraId="68C516A3" w14:textId="77777777" w:rsidR="00302BFE" w:rsidRPr="009F390C" w:rsidRDefault="00302BFE" w:rsidP="00243B15">
            <w:pPr>
              <w:autoSpaceDN w:val="0"/>
              <w:spacing w:after="0"/>
              <w:jc w:val="left"/>
              <w:rPr>
                <w:sz w:val="18"/>
                <w:szCs w:val="18"/>
                <w:lang w:val="en-CA"/>
              </w:rPr>
            </w:pPr>
            <w:r w:rsidRPr="009F390C">
              <w:rPr>
                <w:sz w:val="18"/>
                <w:szCs w:val="18"/>
                <w:lang w:val="en-CA"/>
              </w:rPr>
              <w:t>WWF will play the role of coaching, technical support and will train the target actors in the project</w:t>
            </w:r>
          </w:p>
        </w:tc>
        <w:tc>
          <w:tcPr>
            <w:tcW w:w="6193" w:type="dxa"/>
            <w:tcBorders>
              <w:top w:val="single" w:sz="4" w:space="0" w:color="auto"/>
              <w:left w:val="single" w:sz="4" w:space="0" w:color="auto"/>
              <w:bottom w:val="single" w:sz="4" w:space="0" w:color="auto"/>
              <w:right w:val="single" w:sz="4" w:space="0" w:color="auto"/>
            </w:tcBorders>
            <w:vAlign w:val="center"/>
          </w:tcPr>
          <w:p w14:paraId="6C0254C9" w14:textId="77777777" w:rsidR="00302BFE" w:rsidRPr="006458DA" w:rsidRDefault="00302BFE" w:rsidP="00C46720">
            <w:pPr>
              <w:numPr>
                <w:ilvl w:val="0"/>
                <w:numId w:val="38"/>
              </w:numPr>
              <w:autoSpaceDN w:val="0"/>
              <w:spacing w:after="0"/>
              <w:jc w:val="left"/>
              <w:rPr>
                <w:sz w:val="18"/>
                <w:szCs w:val="18"/>
                <w:lang w:val="en-CA"/>
              </w:rPr>
            </w:pPr>
            <w:r w:rsidRPr="006458DA">
              <w:rPr>
                <w:sz w:val="18"/>
                <w:szCs w:val="18"/>
                <w:lang w:val="en-CA"/>
              </w:rPr>
              <w:t>Support and supervision of the application of the SAFE Systems approach to design and implement an action plan to prevent and mitigate human-wildlife conflicts within the PONASI landscape (</w:t>
            </w:r>
            <w:r>
              <w:rPr>
                <w:sz w:val="18"/>
                <w:szCs w:val="18"/>
                <w:lang w:val="en-CA"/>
              </w:rPr>
              <w:t>output</w:t>
            </w:r>
            <w:r w:rsidRPr="00616C8C">
              <w:rPr>
                <w:sz w:val="18"/>
                <w:szCs w:val="18"/>
                <w:lang w:val="en-CA"/>
              </w:rPr>
              <w:t xml:space="preserve"> </w:t>
            </w:r>
            <w:r w:rsidRPr="006458DA">
              <w:rPr>
                <w:sz w:val="18"/>
                <w:szCs w:val="18"/>
                <w:lang w:val="en-CA"/>
              </w:rPr>
              <w:t>2.4.1)</w:t>
            </w:r>
          </w:p>
        </w:tc>
        <w:tc>
          <w:tcPr>
            <w:tcW w:w="1985" w:type="dxa"/>
            <w:tcBorders>
              <w:top w:val="single" w:sz="4" w:space="0" w:color="auto"/>
              <w:left w:val="single" w:sz="4" w:space="0" w:color="auto"/>
              <w:bottom w:val="single" w:sz="4" w:space="0" w:color="auto"/>
              <w:right w:val="single" w:sz="4" w:space="0" w:color="auto"/>
            </w:tcBorders>
            <w:vAlign w:val="center"/>
          </w:tcPr>
          <w:p w14:paraId="307BA09A" w14:textId="77777777" w:rsidR="00302BFE" w:rsidRPr="00CF4D08" w:rsidRDefault="00302BFE" w:rsidP="00243B15">
            <w:pPr>
              <w:pStyle w:val="PrformatHTML"/>
              <w:shd w:val="clear" w:color="auto" w:fill="FFFFFF"/>
              <w:rPr>
                <w:rFonts w:ascii="Calibri" w:hAnsi="Calibri" w:cs="Times New Roman"/>
                <w:sz w:val="18"/>
                <w:szCs w:val="18"/>
                <w:lang w:val="en-CA"/>
              </w:rPr>
            </w:pPr>
            <w:r w:rsidRPr="00CF4D08">
              <w:rPr>
                <w:rFonts w:ascii="Calibri" w:hAnsi="Calibri" w:cs="Times New Roman"/>
                <w:sz w:val="18"/>
                <w:szCs w:val="18"/>
                <w:lang w:val="en-CA"/>
              </w:rPr>
              <w:t>Achieving project results and products through better human-wildlife conflict management</w:t>
            </w:r>
          </w:p>
        </w:tc>
        <w:tc>
          <w:tcPr>
            <w:tcW w:w="850" w:type="dxa"/>
            <w:tcBorders>
              <w:top w:val="single" w:sz="4" w:space="0" w:color="auto"/>
              <w:left w:val="single" w:sz="4" w:space="0" w:color="auto"/>
              <w:bottom w:val="single" w:sz="4" w:space="0" w:color="auto"/>
              <w:right w:val="single" w:sz="4" w:space="0" w:color="auto"/>
            </w:tcBorders>
            <w:vAlign w:val="center"/>
          </w:tcPr>
          <w:p w14:paraId="11CCF7E9" w14:textId="77777777" w:rsidR="00302BFE" w:rsidRPr="00E379FD" w:rsidRDefault="00302BFE" w:rsidP="00243B15">
            <w:pPr>
              <w:autoSpaceDN w:val="0"/>
              <w:spacing w:after="0"/>
              <w:jc w:val="left"/>
              <w:rPr>
                <w:sz w:val="18"/>
                <w:szCs w:val="18"/>
                <w:lang w:val="fr-CA"/>
              </w:rPr>
            </w:pPr>
            <w:r w:rsidRPr="00E379FD">
              <w:rPr>
                <w:sz w:val="18"/>
                <w:szCs w:val="18"/>
                <w:lang w:val="fr-CA"/>
              </w:rPr>
              <w:t>2</w:t>
            </w:r>
          </w:p>
        </w:tc>
      </w:tr>
      <w:tr w:rsidR="00302BFE" w:rsidRPr="00E379FD" w14:paraId="791AD3F9" w14:textId="77777777" w:rsidTr="00243B15">
        <w:trPr>
          <w:jc w:val="center"/>
        </w:trPr>
        <w:tc>
          <w:tcPr>
            <w:tcW w:w="570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0A7FC9E" w14:textId="77777777" w:rsidR="00302BFE" w:rsidRPr="00E379FD" w:rsidRDefault="00302BFE" w:rsidP="00243B15">
            <w:pPr>
              <w:autoSpaceDN w:val="0"/>
              <w:spacing w:after="0"/>
              <w:jc w:val="left"/>
              <w:rPr>
                <w:rFonts w:eastAsia="Cambria"/>
                <w:sz w:val="18"/>
                <w:szCs w:val="18"/>
                <w:lang w:val="fr-CA"/>
              </w:rPr>
            </w:pPr>
            <w:r w:rsidRPr="005C25D0">
              <w:rPr>
                <w:b/>
                <w:sz w:val="18"/>
                <w:szCs w:val="18"/>
                <w:lang w:val="fr-CA"/>
              </w:rPr>
              <w:t>Professional associations and unions</w:t>
            </w:r>
          </w:p>
        </w:tc>
        <w:tc>
          <w:tcPr>
            <w:tcW w:w="6193" w:type="dxa"/>
            <w:tcBorders>
              <w:top w:val="single" w:sz="4" w:space="0" w:color="auto"/>
              <w:left w:val="single" w:sz="4" w:space="0" w:color="auto"/>
              <w:bottom w:val="single" w:sz="4" w:space="0" w:color="auto"/>
              <w:right w:val="single" w:sz="4" w:space="0" w:color="auto"/>
            </w:tcBorders>
            <w:shd w:val="clear" w:color="auto" w:fill="E6E6E6"/>
            <w:vAlign w:val="center"/>
          </w:tcPr>
          <w:p w14:paraId="67930D64" w14:textId="77777777" w:rsidR="00302BFE" w:rsidRPr="00E379FD" w:rsidRDefault="00302BFE" w:rsidP="00243B15">
            <w:pPr>
              <w:autoSpaceDN w:val="0"/>
              <w:spacing w:after="0"/>
              <w:jc w:val="left"/>
              <w:rPr>
                <w:b/>
                <w:sz w:val="18"/>
                <w:szCs w:val="18"/>
                <w:lang w:val="fr-CA"/>
              </w:rPr>
            </w:pPr>
          </w:p>
        </w:tc>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0F75A6EC" w14:textId="77777777" w:rsidR="00302BFE" w:rsidRPr="00E379FD" w:rsidRDefault="00302BFE" w:rsidP="00243B15">
            <w:pPr>
              <w:autoSpaceDN w:val="0"/>
              <w:spacing w:after="0"/>
              <w:jc w:val="left"/>
              <w:rPr>
                <w:b/>
                <w:sz w:val="18"/>
                <w:szCs w:val="18"/>
                <w:lang w:val="fr-C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2F916D4C" w14:textId="77777777" w:rsidR="00302BFE" w:rsidRPr="00E379FD" w:rsidRDefault="00302BFE" w:rsidP="00243B15">
            <w:pPr>
              <w:autoSpaceDN w:val="0"/>
              <w:spacing w:after="0"/>
              <w:jc w:val="left"/>
              <w:rPr>
                <w:b/>
                <w:sz w:val="18"/>
                <w:szCs w:val="18"/>
                <w:lang w:val="fr-CA"/>
              </w:rPr>
            </w:pPr>
          </w:p>
        </w:tc>
      </w:tr>
      <w:tr w:rsidR="00302BFE" w:rsidRPr="00E379FD" w14:paraId="04627BC0" w14:textId="77777777" w:rsidTr="00243B15">
        <w:trPr>
          <w:jc w:val="center"/>
        </w:trPr>
        <w:tc>
          <w:tcPr>
            <w:tcW w:w="1882" w:type="dxa"/>
            <w:tcBorders>
              <w:top w:val="single" w:sz="4" w:space="0" w:color="auto"/>
              <w:left w:val="single" w:sz="4" w:space="0" w:color="auto"/>
              <w:bottom w:val="single" w:sz="4" w:space="0" w:color="auto"/>
              <w:right w:val="single" w:sz="4" w:space="0" w:color="auto"/>
            </w:tcBorders>
            <w:vAlign w:val="center"/>
          </w:tcPr>
          <w:p w14:paraId="1542EFB8" w14:textId="77777777" w:rsidR="00302BFE" w:rsidRPr="005C25D0" w:rsidRDefault="00302BFE" w:rsidP="00243B15">
            <w:pPr>
              <w:pBdr>
                <w:top w:val="single" w:sz="4" w:space="1" w:color="auto"/>
              </w:pBdr>
              <w:autoSpaceDN w:val="0"/>
              <w:spacing w:after="0"/>
              <w:jc w:val="left"/>
              <w:rPr>
                <w:rFonts w:eastAsia="Times New Roman"/>
                <w:sz w:val="18"/>
                <w:szCs w:val="18"/>
                <w:lang w:val="en-CA"/>
              </w:rPr>
            </w:pPr>
            <w:r w:rsidRPr="005C25D0">
              <w:rPr>
                <w:sz w:val="18"/>
                <w:szCs w:val="18"/>
                <w:lang w:val="en-CA"/>
              </w:rPr>
              <w:t>Tourism Associations: Assoc</w:t>
            </w:r>
            <w:r>
              <w:rPr>
                <w:sz w:val="18"/>
                <w:szCs w:val="18"/>
                <w:lang w:val="en-CA"/>
              </w:rPr>
              <w:t>.</w:t>
            </w:r>
            <w:r w:rsidRPr="005C25D0">
              <w:rPr>
                <w:sz w:val="18"/>
                <w:szCs w:val="18"/>
                <w:lang w:val="en-CA"/>
              </w:rPr>
              <w:t xml:space="preserve"> of National Tourist Guides; Assoc</w:t>
            </w:r>
            <w:r>
              <w:rPr>
                <w:sz w:val="18"/>
                <w:szCs w:val="18"/>
                <w:lang w:val="en-CA"/>
              </w:rPr>
              <w:t>.</w:t>
            </w:r>
            <w:r w:rsidRPr="005C25D0">
              <w:rPr>
                <w:sz w:val="18"/>
                <w:szCs w:val="18"/>
                <w:lang w:val="en-CA"/>
              </w:rPr>
              <w:t xml:space="preserve"> of Travel and Tourism Professionals; Assoc</w:t>
            </w:r>
            <w:r>
              <w:rPr>
                <w:sz w:val="18"/>
                <w:szCs w:val="18"/>
                <w:lang w:val="en-CA"/>
              </w:rPr>
              <w:t>.</w:t>
            </w:r>
            <w:r w:rsidRPr="005C25D0">
              <w:rPr>
                <w:sz w:val="18"/>
                <w:szCs w:val="18"/>
                <w:lang w:val="en-CA"/>
              </w:rPr>
              <w:t xml:space="preserve"> of Guides of Culture and Tourism</w:t>
            </w:r>
          </w:p>
        </w:tc>
        <w:tc>
          <w:tcPr>
            <w:tcW w:w="3827" w:type="dxa"/>
            <w:tcBorders>
              <w:top w:val="single" w:sz="4" w:space="0" w:color="auto"/>
              <w:left w:val="single" w:sz="4" w:space="0" w:color="auto"/>
              <w:bottom w:val="single" w:sz="4" w:space="0" w:color="auto"/>
              <w:right w:val="single" w:sz="4" w:space="0" w:color="auto"/>
            </w:tcBorders>
            <w:vAlign w:val="center"/>
          </w:tcPr>
          <w:p w14:paraId="43F32DDA" w14:textId="77777777" w:rsidR="00302BFE" w:rsidRPr="005C25D0" w:rsidRDefault="00302BFE" w:rsidP="00243B15">
            <w:pPr>
              <w:autoSpaceDN w:val="0"/>
              <w:spacing w:after="0"/>
              <w:jc w:val="left"/>
              <w:rPr>
                <w:rFonts w:eastAsia="Cambria"/>
                <w:sz w:val="18"/>
                <w:szCs w:val="18"/>
                <w:lang w:val="en-CA"/>
              </w:rPr>
            </w:pPr>
            <w:r w:rsidRPr="005C25D0">
              <w:rPr>
                <w:sz w:val="18"/>
                <w:szCs w:val="18"/>
                <w:lang w:val="en-CA"/>
              </w:rPr>
              <w:t>Tourism associations will play a role of coaching, technical support and training</w:t>
            </w:r>
          </w:p>
        </w:tc>
        <w:tc>
          <w:tcPr>
            <w:tcW w:w="6193" w:type="dxa"/>
            <w:tcBorders>
              <w:top w:val="single" w:sz="4" w:space="0" w:color="auto"/>
              <w:left w:val="single" w:sz="4" w:space="0" w:color="auto"/>
              <w:bottom w:val="single" w:sz="4" w:space="0" w:color="auto"/>
              <w:right w:val="single" w:sz="4" w:space="0" w:color="auto"/>
            </w:tcBorders>
            <w:vAlign w:val="center"/>
          </w:tcPr>
          <w:p w14:paraId="6332CD06" w14:textId="77777777" w:rsidR="00302BFE" w:rsidRPr="006458DA" w:rsidRDefault="00302BFE" w:rsidP="00C46720">
            <w:pPr>
              <w:numPr>
                <w:ilvl w:val="0"/>
                <w:numId w:val="38"/>
              </w:numPr>
              <w:autoSpaceDN w:val="0"/>
              <w:spacing w:after="0"/>
              <w:jc w:val="left"/>
              <w:rPr>
                <w:rFonts w:eastAsia="Calibri"/>
                <w:sz w:val="18"/>
                <w:szCs w:val="18"/>
                <w:lang w:val="en-CA"/>
              </w:rPr>
            </w:pPr>
            <w:r w:rsidRPr="006458DA">
              <w:rPr>
                <w:rFonts w:eastAsia="Calibri"/>
                <w:sz w:val="18"/>
                <w:szCs w:val="18"/>
                <w:lang w:val="en-CA"/>
              </w:rPr>
              <w:t>Invitation to participate in the promotion of tourism in relation to protected areas (product 2.4), the development of economic activities and resource development of PA sites for the benefit of communities bordering PAs (</w:t>
            </w:r>
            <w:r>
              <w:rPr>
                <w:sz w:val="18"/>
                <w:szCs w:val="18"/>
                <w:lang w:val="en-CA"/>
              </w:rPr>
              <w:t>output</w:t>
            </w:r>
            <w:r w:rsidRPr="00616C8C">
              <w:rPr>
                <w:sz w:val="18"/>
                <w:szCs w:val="18"/>
                <w:lang w:val="en-CA"/>
              </w:rPr>
              <w:t xml:space="preserve"> </w:t>
            </w:r>
            <w:r w:rsidRPr="006458DA">
              <w:rPr>
                <w:rFonts w:eastAsia="Calibri"/>
                <w:sz w:val="18"/>
                <w:szCs w:val="18"/>
                <w:lang w:val="en-CA"/>
              </w:rPr>
              <w:t>2.4).</w:t>
            </w:r>
          </w:p>
        </w:tc>
        <w:tc>
          <w:tcPr>
            <w:tcW w:w="1985" w:type="dxa"/>
            <w:tcBorders>
              <w:top w:val="single" w:sz="4" w:space="0" w:color="auto"/>
              <w:left w:val="single" w:sz="4" w:space="0" w:color="auto"/>
              <w:bottom w:val="single" w:sz="4" w:space="0" w:color="auto"/>
              <w:right w:val="single" w:sz="4" w:space="0" w:color="auto"/>
            </w:tcBorders>
            <w:vAlign w:val="center"/>
          </w:tcPr>
          <w:p w14:paraId="2EF04E4D" w14:textId="77777777" w:rsidR="00302BFE" w:rsidRPr="00CF4D08" w:rsidRDefault="00302BFE" w:rsidP="00243B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Calibri"/>
                <w:sz w:val="18"/>
                <w:szCs w:val="18"/>
                <w:lang w:val="en-CA"/>
              </w:rPr>
            </w:pPr>
            <w:r w:rsidRPr="00CF4D08">
              <w:rPr>
                <w:rFonts w:eastAsia="Calibri"/>
                <w:sz w:val="18"/>
                <w:szCs w:val="18"/>
                <w:lang w:val="en-CA"/>
              </w:rPr>
              <w:t>Achieve results and products related to the development of community tourism and the development of community livelihoods from tourism</w:t>
            </w:r>
          </w:p>
        </w:tc>
        <w:tc>
          <w:tcPr>
            <w:tcW w:w="850" w:type="dxa"/>
            <w:tcBorders>
              <w:top w:val="single" w:sz="4" w:space="0" w:color="auto"/>
              <w:left w:val="single" w:sz="4" w:space="0" w:color="auto"/>
              <w:bottom w:val="single" w:sz="4" w:space="0" w:color="auto"/>
              <w:right w:val="single" w:sz="4" w:space="0" w:color="auto"/>
            </w:tcBorders>
            <w:vAlign w:val="center"/>
          </w:tcPr>
          <w:p w14:paraId="53F8A1C2" w14:textId="77777777" w:rsidR="00302BFE" w:rsidRPr="00E379FD" w:rsidRDefault="00302BFE" w:rsidP="00243B15">
            <w:pPr>
              <w:autoSpaceDN w:val="0"/>
              <w:spacing w:after="0"/>
              <w:jc w:val="left"/>
              <w:rPr>
                <w:rFonts w:eastAsia="Calibri"/>
                <w:sz w:val="18"/>
                <w:szCs w:val="18"/>
                <w:lang w:val="fr-CA"/>
              </w:rPr>
            </w:pPr>
            <w:r w:rsidRPr="00E379FD">
              <w:rPr>
                <w:rFonts w:eastAsia="Calibri"/>
                <w:sz w:val="18"/>
                <w:szCs w:val="18"/>
                <w:lang w:val="fr-CA"/>
              </w:rPr>
              <w:t>2; 3</w:t>
            </w:r>
          </w:p>
        </w:tc>
      </w:tr>
      <w:tr w:rsidR="00302BFE" w:rsidRPr="00E379FD" w14:paraId="6A213BFA" w14:textId="77777777" w:rsidTr="00243B15">
        <w:trPr>
          <w:jc w:val="center"/>
        </w:trPr>
        <w:tc>
          <w:tcPr>
            <w:tcW w:w="570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1323A48" w14:textId="77777777" w:rsidR="00302BFE" w:rsidRPr="00E379FD" w:rsidRDefault="00302BFE" w:rsidP="00243B15">
            <w:pPr>
              <w:autoSpaceDN w:val="0"/>
              <w:spacing w:after="0"/>
              <w:jc w:val="left"/>
              <w:rPr>
                <w:rFonts w:eastAsia="Cambria"/>
                <w:sz w:val="18"/>
                <w:szCs w:val="18"/>
                <w:lang w:val="fr-CA"/>
              </w:rPr>
            </w:pPr>
            <w:r w:rsidRPr="00E379FD">
              <w:rPr>
                <w:b/>
                <w:sz w:val="18"/>
                <w:szCs w:val="18"/>
                <w:lang w:val="fr-CA"/>
              </w:rPr>
              <w:t>Media</w:t>
            </w:r>
          </w:p>
        </w:tc>
        <w:tc>
          <w:tcPr>
            <w:tcW w:w="6193" w:type="dxa"/>
            <w:tcBorders>
              <w:top w:val="single" w:sz="4" w:space="0" w:color="auto"/>
              <w:left w:val="single" w:sz="4" w:space="0" w:color="auto"/>
              <w:bottom w:val="single" w:sz="4" w:space="0" w:color="auto"/>
              <w:right w:val="single" w:sz="4" w:space="0" w:color="auto"/>
            </w:tcBorders>
            <w:shd w:val="clear" w:color="auto" w:fill="E6E6E6"/>
            <w:vAlign w:val="center"/>
          </w:tcPr>
          <w:p w14:paraId="0EF2CB94" w14:textId="77777777" w:rsidR="00302BFE" w:rsidRPr="00E379FD" w:rsidRDefault="00302BFE" w:rsidP="00243B15">
            <w:pPr>
              <w:autoSpaceDN w:val="0"/>
              <w:spacing w:after="0"/>
              <w:jc w:val="left"/>
              <w:rPr>
                <w:b/>
                <w:sz w:val="18"/>
                <w:szCs w:val="18"/>
                <w:lang w:val="fr-CA"/>
              </w:rPr>
            </w:pPr>
          </w:p>
        </w:tc>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1378A411" w14:textId="77777777" w:rsidR="00302BFE" w:rsidRPr="00E379FD" w:rsidRDefault="00302BFE" w:rsidP="00243B15">
            <w:pPr>
              <w:autoSpaceDN w:val="0"/>
              <w:spacing w:after="0"/>
              <w:jc w:val="left"/>
              <w:rPr>
                <w:b/>
                <w:sz w:val="18"/>
                <w:szCs w:val="18"/>
                <w:lang w:val="fr-C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163AD59A" w14:textId="77777777" w:rsidR="00302BFE" w:rsidRPr="00E379FD" w:rsidRDefault="00302BFE" w:rsidP="00243B15">
            <w:pPr>
              <w:autoSpaceDN w:val="0"/>
              <w:spacing w:after="0"/>
              <w:jc w:val="left"/>
              <w:rPr>
                <w:b/>
                <w:sz w:val="18"/>
                <w:szCs w:val="18"/>
                <w:lang w:val="fr-CA"/>
              </w:rPr>
            </w:pPr>
          </w:p>
        </w:tc>
      </w:tr>
      <w:tr w:rsidR="00302BFE" w:rsidRPr="00E379FD" w14:paraId="531D1F32" w14:textId="77777777" w:rsidTr="00243B15">
        <w:trPr>
          <w:jc w:val="center"/>
        </w:trPr>
        <w:tc>
          <w:tcPr>
            <w:tcW w:w="1882" w:type="dxa"/>
            <w:tcBorders>
              <w:top w:val="single" w:sz="4" w:space="0" w:color="auto"/>
              <w:left w:val="single" w:sz="4" w:space="0" w:color="auto"/>
              <w:bottom w:val="single" w:sz="4" w:space="0" w:color="auto"/>
              <w:right w:val="single" w:sz="4" w:space="0" w:color="auto"/>
            </w:tcBorders>
            <w:vAlign w:val="center"/>
          </w:tcPr>
          <w:p w14:paraId="1806C728" w14:textId="77777777" w:rsidR="00302BFE" w:rsidRPr="005C25D0" w:rsidRDefault="00302BFE" w:rsidP="00243B15">
            <w:pPr>
              <w:spacing w:after="0"/>
              <w:jc w:val="left"/>
              <w:rPr>
                <w:rFonts w:eastAsia="Cambria"/>
                <w:b/>
                <w:sz w:val="18"/>
                <w:szCs w:val="18"/>
                <w:lang w:val="en-CA"/>
              </w:rPr>
            </w:pPr>
            <w:r w:rsidRPr="005C25D0">
              <w:rPr>
                <w:rFonts w:eastAsia="Cambria"/>
                <w:b/>
                <w:sz w:val="18"/>
                <w:szCs w:val="18"/>
                <w:lang w:val="en-CA"/>
              </w:rPr>
              <w:t xml:space="preserve">Local and national radio and television </w:t>
            </w:r>
            <w:r w:rsidRPr="005C25D0">
              <w:rPr>
                <w:rFonts w:eastAsia="Cambria"/>
                <w:sz w:val="18"/>
                <w:szCs w:val="18"/>
                <w:lang w:val="en-CA"/>
              </w:rPr>
              <w:t>broadcasting in the project's intervention areas, including electronic newspapers and the</w:t>
            </w:r>
            <w:r w:rsidRPr="005C25D0">
              <w:rPr>
                <w:rFonts w:eastAsia="Cambria"/>
                <w:b/>
                <w:sz w:val="18"/>
                <w:szCs w:val="18"/>
                <w:lang w:val="en-CA"/>
              </w:rPr>
              <w:t xml:space="preserve"> written press</w:t>
            </w:r>
          </w:p>
        </w:tc>
        <w:tc>
          <w:tcPr>
            <w:tcW w:w="3827" w:type="dxa"/>
            <w:tcBorders>
              <w:top w:val="single" w:sz="4" w:space="0" w:color="auto"/>
              <w:left w:val="single" w:sz="4" w:space="0" w:color="auto"/>
              <w:bottom w:val="single" w:sz="4" w:space="0" w:color="auto"/>
              <w:right w:val="single" w:sz="4" w:space="0" w:color="auto"/>
            </w:tcBorders>
            <w:vAlign w:val="center"/>
          </w:tcPr>
          <w:p w14:paraId="5712FB22" w14:textId="77777777" w:rsidR="00302BFE" w:rsidRPr="005C25D0" w:rsidRDefault="00302BFE" w:rsidP="00243B15">
            <w:pPr>
              <w:autoSpaceDN w:val="0"/>
              <w:spacing w:after="0"/>
              <w:jc w:val="left"/>
              <w:rPr>
                <w:rFonts w:eastAsia="Cambria"/>
                <w:sz w:val="18"/>
                <w:szCs w:val="18"/>
                <w:lang w:val="en-CA"/>
              </w:rPr>
            </w:pPr>
            <w:r w:rsidRPr="005C25D0">
              <w:rPr>
                <w:rFonts w:eastAsia="Cambria"/>
                <w:sz w:val="18"/>
                <w:szCs w:val="18"/>
                <w:lang w:val="en-CA"/>
              </w:rPr>
              <w:t>The media will be useful for informing, raising awareness and communicating the project's actions</w:t>
            </w:r>
          </w:p>
        </w:tc>
        <w:tc>
          <w:tcPr>
            <w:tcW w:w="6193" w:type="dxa"/>
            <w:tcBorders>
              <w:top w:val="single" w:sz="4" w:space="0" w:color="auto"/>
              <w:left w:val="single" w:sz="4" w:space="0" w:color="auto"/>
              <w:bottom w:val="single" w:sz="4" w:space="0" w:color="auto"/>
              <w:right w:val="single" w:sz="4" w:space="0" w:color="auto"/>
            </w:tcBorders>
            <w:vAlign w:val="center"/>
          </w:tcPr>
          <w:p w14:paraId="0E392AA3" w14:textId="77777777" w:rsidR="00302BFE" w:rsidRPr="006458DA" w:rsidRDefault="00302BFE" w:rsidP="00C46720">
            <w:pPr>
              <w:numPr>
                <w:ilvl w:val="0"/>
                <w:numId w:val="38"/>
              </w:numPr>
              <w:autoSpaceDN w:val="0"/>
              <w:spacing w:after="0"/>
              <w:jc w:val="left"/>
              <w:rPr>
                <w:rFonts w:eastAsia="Cambria"/>
                <w:sz w:val="18"/>
                <w:szCs w:val="18"/>
                <w:lang w:val="en-CA"/>
              </w:rPr>
            </w:pPr>
            <w:r w:rsidRPr="006458DA">
              <w:rPr>
                <w:rFonts w:eastAsia="Calibri"/>
                <w:sz w:val="18"/>
                <w:szCs w:val="18"/>
                <w:lang w:val="en-CA"/>
              </w:rPr>
              <w:t>Invitation to contribute to awareness campaigns and information on the major issues of the project, ie the importance of biodiversity and ecosystem services for the livelihoods of local residents of PAs and all populations within the PONASI landscape, on the responsibility of ordinary citizens for the protection of the environment (</w:t>
            </w:r>
            <w:r>
              <w:rPr>
                <w:sz w:val="18"/>
                <w:szCs w:val="18"/>
                <w:lang w:val="en-CA"/>
              </w:rPr>
              <w:t>output</w:t>
            </w:r>
            <w:r w:rsidRPr="00616C8C">
              <w:rPr>
                <w:sz w:val="18"/>
                <w:szCs w:val="18"/>
                <w:lang w:val="en-CA"/>
              </w:rPr>
              <w:t xml:space="preserve"> </w:t>
            </w:r>
            <w:r w:rsidRPr="006458DA">
              <w:rPr>
                <w:rFonts w:eastAsia="Calibri"/>
                <w:sz w:val="18"/>
                <w:szCs w:val="18"/>
                <w:lang w:val="en-CA"/>
              </w:rPr>
              <w:t>1.5.3);</w:t>
            </w:r>
          </w:p>
          <w:p w14:paraId="4225562E" w14:textId="77777777" w:rsidR="00302BFE" w:rsidRPr="006458DA" w:rsidRDefault="00302BFE" w:rsidP="00C46720">
            <w:pPr>
              <w:numPr>
                <w:ilvl w:val="0"/>
                <w:numId w:val="38"/>
              </w:numPr>
              <w:autoSpaceDN w:val="0"/>
              <w:spacing w:after="0"/>
              <w:jc w:val="left"/>
              <w:rPr>
                <w:rFonts w:eastAsia="Calibri"/>
                <w:sz w:val="18"/>
                <w:szCs w:val="18"/>
                <w:lang w:val="en-CA"/>
              </w:rPr>
            </w:pPr>
            <w:r w:rsidRPr="006458DA">
              <w:rPr>
                <w:rFonts w:eastAsia="Calibri"/>
                <w:sz w:val="18"/>
                <w:szCs w:val="18"/>
                <w:lang w:val="en-CA"/>
              </w:rPr>
              <w:t>Dissemination of the main events of the project and according to the communication plan: launching of the project, formal approval of the creation text of corridor # 2, ceremonies and festivities related to PAs and biodiversity Burkina Faso, (eg Environment Day, etc.), information on the progress and key results of the project, invitations to tender and job offers, public encouragement to participate in biodiversity and environmental activities, broadcasting of programs, chronicles and thematic articles (</w:t>
            </w:r>
            <w:r>
              <w:rPr>
                <w:sz w:val="18"/>
                <w:szCs w:val="18"/>
                <w:lang w:val="en-CA"/>
              </w:rPr>
              <w:t>output</w:t>
            </w:r>
            <w:r w:rsidRPr="00616C8C">
              <w:rPr>
                <w:sz w:val="18"/>
                <w:szCs w:val="18"/>
                <w:lang w:val="en-CA"/>
              </w:rPr>
              <w:t xml:space="preserve"> </w:t>
            </w:r>
            <w:r w:rsidRPr="006458DA">
              <w:rPr>
                <w:rFonts w:eastAsia="Calibri"/>
                <w:sz w:val="18"/>
                <w:szCs w:val="18"/>
                <w:lang w:val="en-CA"/>
              </w:rPr>
              <w:t>4.3).</w:t>
            </w:r>
          </w:p>
        </w:tc>
        <w:tc>
          <w:tcPr>
            <w:tcW w:w="1985" w:type="dxa"/>
            <w:tcBorders>
              <w:top w:val="single" w:sz="4" w:space="0" w:color="auto"/>
              <w:left w:val="single" w:sz="4" w:space="0" w:color="auto"/>
              <w:bottom w:val="single" w:sz="4" w:space="0" w:color="auto"/>
              <w:right w:val="single" w:sz="4" w:space="0" w:color="auto"/>
            </w:tcBorders>
            <w:vAlign w:val="center"/>
          </w:tcPr>
          <w:p w14:paraId="2D67E792" w14:textId="77777777" w:rsidR="00302BFE" w:rsidRPr="00CF4D08" w:rsidRDefault="00302BFE" w:rsidP="00243B15">
            <w:pPr>
              <w:pStyle w:val="PrformatHTML"/>
              <w:shd w:val="clear" w:color="auto" w:fill="FFFFFF"/>
              <w:rPr>
                <w:rFonts w:ascii="Calibri" w:hAnsi="Calibri" w:cs="Times New Roman"/>
                <w:sz w:val="18"/>
                <w:szCs w:val="18"/>
                <w:lang w:val="en-CA"/>
              </w:rPr>
            </w:pPr>
            <w:r w:rsidRPr="00CF4D08">
              <w:rPr>
                <w:rFonts w:ascii="Calibri" w:hAnsi="Calibri" w:cs="Times New Roman"/>
                <w:sz w:val="18"/>
                <w:szCs w:val="18"/>
                <w:lang w:val="en-CA"/>
              </w:rPr>
              <w:t>Achieve project results and outputs through better communication, information, awareness and meaningful stakeholder engagement</w:t>
            </w:r>
          </w:p>
        </w:tc>
        <w:tc>
          <w:tcPr>
            <w:tcW w:w="850" w:type="dxa"/>
            <w:tcBorders>
              <w:top w:val="single" w:sz="4" w:space="0" w:color="auto"/>
              <w:left w:val="single" w:sz="4" w:space="0" w:color="auto"/>
              <w:bottom w:val="single" w:sz="4" w:space="0" w:color="auto"/>
              <w:right w:val="single" w:sz="4" w:space="0" w:color="auto"/>
            </w:tcBorders>
            <w:vAlign w:val="center"/>
          </w:tcPr>
          <w:p w14:paraId="062BA31C" w14:textId="77777777" w:rsidR="00302BFE" w:rsidRPr="00E379FD" w:rsidRDefault="00302BFE" w:rsidP="00243B15">
            <w:pPr>
              <w:autoSpaceDN w:val="0"/>
              <w:spacing w:after="0"/>
              <w:jc w:val="left"/>
              <w:rPr>
                <w:rFonts w:eastAsia="Calibri"/>
                <w:sz w:val="18"/>
                <w:szCs w:val="18"/>
                <w:lang w:val="fr-CA"/>
              </w:rPr>
            </w:pPr>
            <w:r w:rsidRPr="00E379FD">
              <w:rPr>
                <w:sz w:val="18"/>
                <w:szCs w:val="18"/>
                <w:lang w:val="fr-CA"/>
              </w:rPr>
              <w:t xml:space="preserve">1, 2, 3 </w:t>
            </w:r>
            <w:r>
              <w:rPr>
                <w:sz w:val="18"/>
                <w:szCs w:val="18"/>
                <w:lang w:val="fr-CA"/>
              </w:rPr>
              <w:t>and</w:t>
            </w:r>
            <w:r w:rsidRPr="00E379FD">
              <w:rPr>
                <w:sz w:val="18"/>
                <w:szCs w:val="18"/>
                <w:lang w:val="fr-CA"/>
              </w:rPr>
              <w:t xml:space="preserve"> 4</w:t>
            </w:r>
          </w:p>
        </w:tc>
      </w:tr>
      <w:tr w:rsidR="00302BFE" w:rsidRPr="00E379FD" w14:paraId="6CC24580" w14:textId="77777777" w:rsidTr="00243B15">
        <w:trPr>
          <w:jc w:val="center"/>
        </w:trPr>
        <w:tc>
          <w:tcPr>
            <w:tcW w:w="570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F429995" w14:textId="77777777" w:rsidR="00302BFE" w:rsidRPr="00E379FD" w:rsidRDefault="00302BFE" w:rsidP="00243B15">
            <w:pPr>
              <w:autoSpaceDN w:val="0"/>
              <w:spacing w:after="0"/>
              <w:jc w:val="left"/>
              <w:rPr>
                <w:sz w:val="18"/>
                <w:szCs w:val="18"/>
                <w:lang w:val="fr-CA"/>
              </w:rPr>
            </w:pPr>
            <w:r>
              <w:rPr>
                <w:b/>
                <w:sz w:val="18"/>
                <w:szCs w:val="18"/>
                <w:lang w:val="fr-CA"/>
              </w:rPr>
              <w:t>Academic and scientific i</w:t>
            </w:r>
            <w:r w:rsidRPr="00E379FD">
              <w:rPr>
                <w:b/>
                <w:sz w:val="18"/>
                <w:szCs w:val="18"/>
                <w:lang w:val="fr-CA"/>
              </w:rPr>
              <w:t>nstitutions</w:t>
            </w:r>
          </w:p>
        </w:tc>
        <w:tc>
          <w:tcPr>
            <w:tcW w:w="6193" w:type="dxa"/>
            <w:tcBorders>
              <w:top w:val="single" w:sz="4" w:space="0" w:color="auto"/>
              <w:left w:val="single" w:sz="4" w:space="0" w:color="auto"/>
              <w:bottom w:val="single" w:sz="4" w:space="0" w:color="auto"/>
              <w:right w:val="single" w:sz="4" w:space="0" w:color="auto"/>
            </w:tcBorders>
            <w:shd w:val="clear" w:color="auto" w:fill="E6E6E6"/>
            <w:vAlign w:val="center"/>
          </w:tcPr>
          <w:p w14:paraId="590AA97E" w14:textId="77777777" w:rsidR="00302BFE" w:rsidRPr="00E379FD" w:rsidRDefault="00302BFE" w:rsidP="00243B15">
            <w:pPr>
              <w:autoSpaceDN w:val="0"/>
              <w:spacing w:after="0"/>
              <w:jc w:val="left"/>
              <w:rPr>
                <w:b/>
                <w:sz w:val="18"/>
                <w:szCs w:val="18"/>
                <w:lang w:val="fr-CA"/>
              </w:rPr>
            </w:pPr>
          </w:p>
        </w:tc>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091521BD" w14:textId="77777777" w:rsidR="00302BFE" w:rsidRPr="00E379FD" w:rsidRDefault="00302BFE" w:rsidP="00243B15">
            <w:pPr>
              <w:autoSpaceDN w:val="0"/>
              <w:spacing w:after="0"/>
              <w:jc w:val="left"/>
              <w:rPr>
                <w:b/>
                <w:sz w:val="18"/>
                <w:szCs w:val="18"/>
                <w:lang w:val="fr-C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0ABC16C5" w14:textId="77777777" w:rsidR="00302BFE" w:rsidRPr="00E379FD" w:rsidRDefault="00302BFE" w:rsidP="00243B15">
            <w:pPr>
              <w:autoSpaceDN w:val="0"/>
              <w:spacing w:after="0"/>
              <w:jc w:val="left"/>
              <w:rPr>
                <w:b/>
                <w:sz w:val="18"/>
                <w:szCs w:val="18"/>
                <w:lang w:val="fr-CA"/>
              </w:rPr>
            </w:pPr>
          </w:p>
        </w:tc>
      </w:tr>
      <w:tr w:rsidR="00302BFE" w:rsidRPr="00E379FD" w14:paraId="3A3E5647" w14:textId="77777777" w:rsidTr="00243B15">
        <w:trPr>
          <w:jc w:val="center"/>
        </w:trPr>
        <w:tc>
          <w:tcPr>
            <w:tcW w:w="1882" w:type="dxa"/>
            <w:tcBorders>
              <w:top w:val="single" w:sz="4" w:space="0" w:color="auto"/>
              <w:left w:val="single" w:sz="4" w:space="0" w:color="auto"/>
              <w:bottom w:val="single" w:sz="4" w:space="0" w:color="auto"/>
              <w:right w:val="single" w:sz="4" w:space="0" w:color="auto"/>
            </w:tcBorders>
            <w:vAlign w:val="center"/>
          </w:tcPr>
          <w:p w14:paraId="73F139B5" w14:textId="77777777" w:rsidR="00302BFE" w:rsidRPr="005C25D0" w:rsidRDefault="00302BFE" w:rsidP="00243B15">
            <w:pPr>
              <w:spacing w:after="0"/>
              <w:jc w:val="left"/>
              <w:rPr>
                <w:sz w:val="18"/>
                <w:szCs w:val="18"/>
                <w:lang w:val="en-CA"/>
              </w:rPr>
            </w:pPr>
            <w:r w:rsidRPr="005C25D0">
              <w:rPr>
                <w:rFonts w:eastAsia="Cambria"/>
                <w:sz w:val="18"/>
                <w:szCs w:val="18"/>
                <w:lang w:val="en-CA"/>
              </w:rPr>
              <w:t>University Professor Joseph Ki-Zerbo (Former University of Ouagadougou): UFR SVT</w:t>
            </w:r>
          </w:p>
        </w:tc>
        <w:tc>
          <w:tcPr>
            <w:tcW w:w="3827" w:type="dxa"/>
            <w:tcBorders>
              <w:top w:val="single" w:sz="4" w:space="0" w:color="auto"/>
              <w:left w:val="single" w:sz="4" w:space="0" w:color="auto"/>
              <w:bottom w:val="single" w:sz="4" w:space="0" w:color="auto"/>
              <w:right w:val="single" w:sz="4" w:space="0" w:color="auto"/>
            </w:tcBorders>
            <w:vAlign w:val="center"/>
          </w:tcPr>
          <w:p w14:paraId="083FB87D" w14:textId="77777777" w:rsidR="00302BFE" w:rsidRPr="005C25D0" w:rsidRDefault="00302BFE" w:rsidP="00243B15">
            <w:pPr>
              <w:autoSpaceDN w:val="0"/>
              <w:spacing w:after="0"/>
              <w:jc w:val="left"/>
              <w:rPr>
                <w:rFonts w:eastAsia="Cambria"/>
                <w:sz w:val="18"/>
                <w:szCs w:val="18"/>
                <w:lang w:val="en-CA"/>
              </w:rPr>
            </w:pPr>
            <w:r w:rsidRPr="005C25D0">
              <w:rPr>
                <w:rFonts w:eastAsia="Cambria"/>
                <w:sz w:val="18"/>
                <w:szCs w:val="18"/>
                <w:lang w:val="en-CA"/>
              </w:rPr>
              <w:t>The university will provide scientific support for research activities on the movement and estimation of elephant populations</w:t>
            </w:r>
          </w:p>
        </w:tc>
        <w:tc>
          <w:tcPr>
            <w:tcW w:w="6193" w:type="dxa"/>
            <w:tcBorders>
              <w:top w:val="single" w:sz="4" w:space="0" w:color="auto"/>
              <w:left w:val="single" w:sz="4" w:space="0" w:color="auto"/>
              <w:bottom w:val="single" w:sz="4" w:space="0" w:color="auto"/>
              <w:right w:val="single" w:sz="4" w:space="0" w:color="auto"/>
            </w:tcBorders>
            <w:vAlign w:val="center"/>
          </w:tcPr>
          <w:p w14:paraId="0F953DE6" w14:textId="77777777" w:rsidR="00302BFE" w:rsidRPr="006458DA" w:rsidRDefault="00302BFE" w:rsidP="00C46720">
            <w:pPr>
              <w:numPr>
                <w:ilvl w:val="0"/>
                <w:numId w:val="38"/>
              </w:numPr>
              <w:autoSpaceDN w:val="0"/>
              <w:spacing w:after="0"/>
              <w:jc w:val="left"/>
              <w:rPr>
                <w:sz w:val="18"/>
                <w:szCs w:val="18"/>
                <w:lang w:val="en-CA"/>
              </w:rPr>
            </w:pPr>
            <w:r w:rsidRPr="006458DA">
              <w:rPr>
                <w:rFonts w:eastAsia="Calibri"/>
                <w:sz w:val="18"/>
                <w:szCs w:val="18"/>
                <w:lang w:val="en-CA"/>
              </w:rPr>
              <w:t>The University will be involved in the development and conduct of a targeted research project to document elephant movements within and around the PONASI PA complex, including transboundary movements to northern Ghana (Output 2.4.2);</w:t>
            </w:r>
          </w:p>
          <w:p w14:paraId="6B7453A7" w14:textId="77777777" w:rsidR="00302BFE" w:rsidRPr="006458DA" w:rsidRDefault="00302BFE" w:rsidP="00C46720">
            <w:pPr>
              <w:numPr>
                <w:ilvl w:val="0"/>
                <w:numId w:val="38"/>
              </w:numPr>
              <w:autoSpaceDN w:val="0"/>
              <w:spacing w:after="0"/>
              <w:jc w:val="left"/>
              <w:rPr>
                <w:rFonts w:eastAsia="Cambria"/>
                <w:sz w:val="18"/>
                <w:szCs w:val="18"/>
                <w:lang w:val="en-CA"/>
              </w:rPr>
            </w:pPr>
            <w:r w:rsidRPr="006458DA">
              <w:rPr>
                <w:rFonts w:eastAsia="Calibri"/>
                <w:sz w:val="18"/>
                <w:szCs w:val="18"/>
                <w:lang w:val="en-CA"/>
              </w:rPr>
              <w:t>The University will contribute to the development of the capacity of ecoguards and rangers to monitor elephant populations as part of the establishment of a long-term ecological monitoring system (</w:t>
            </w:r>
            <w:r>
              <w:rPr>
                <w:sz w:val="18"/>
                <w:szCs w:val="18"/>
                <w:lang w:val="en-CA"/>
              </w:rPr>
              <w:t>output</w:t>
            </w:r>
            <w:r w:rsidRPr="00616C8C">
              <w:rPr>
                <w:sz w:val="18"/>
                <w:szCs w:val="18"/>
                <w:lang w:val="en-CA"/>
              </w:rPr>
              <w:t xml:space="preserve"> </w:t>
            </w:r>
            <w:r w:rsidRPr="006458DA">
              <w:rPr>
                <w:rFonts w:eastAsia="Calibri"/>
                <w:sz w:val="18"/>
                <w:szCs w:val="18"/>
                <w:lang w:val="en-CA"/>
              </w:rPr>
              <w:t>2.2.4)</w:t>
            </w:r>
          </w:p>
          <w:p w14:paraId="68BA2939" w14:textId="77777777" w:rsidR="00302BFE" w:rsidRPr="006458DA" w:rsidRDefault="00302BFE" w:rsidP="00C46720">
            <w:pPr>
              <w:numPr>
                <w:ilvl w:val="0"/>
                <w:numId w:val="38"/>
              </w:numPr>
              <w:autoSpaceDN w:val="0"/>
              <w:spacing w:after="0"/>
              <w:jc w:val="left"/>
              <w:rPr>
                <w:rFonts w:eastAsia="Calibri"/>
                <w:sz w:val="18"/>
                <w:szCs w:val="18"/>
                <w:lang w:val="en-CA"/>
              </w:rPr>
            </w:pPr>
            <w:r w:rsidRPr="006458DA">
              <w:rPr>
                <w:rFonts w:eastAsia="Calibri"/>
                <w:sz w:val="18"/>
                <w:szCs w:val="18"/>
                <w:lang w:val="en-CA"/>
              </w:rPr>
              <w:t>The University will support efforts to renew transboundary collaboration agreements with Ghana for elephant conservation, including a joint monitoring and anti-poaching program (Output 2.2.4)</w:t>
            </w:r>
          </w:p>
        </w:tc>
        <w:tc>
          <w:tcPr>
            <w:tcW w:w="1985" w:type="dxa"/>
            <w:tcBorders>
              <w:top w:val="single" w:sz="4" w:space="0" w:color="auto"/>
              <w:left w:val="single" w:sz="4" w:space="0" w:color="auto"/>
              <w:bottom w:val="single" w:sz="4" w:space="0" w:color="auto"/>
              <w:right w:val="single" w:sz="4" w:space="0" w:color="auto"/>
            </w:tcBorders>
            <w:vAlign w:val="center"/>
          </w:tcPr>
          <w:p w14:paraId="48CC5DC7" w14:textId="77777777" w:rsidR="00302BFE" w:rsidRPr="00CF4D08" w:rsidRDefault="00302BFE" w:rsidP="00243B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Cambria"/>
                <w:sz w:val="18"/>
                <w:szCs w:val="18"/>
                <w:lang w:val="en-CA"/>
              </w:rPr>
            </w:pPr>
            <w:r w:rsidRPr="00CF4D08">
              <w:rPr>
                <w:rFonts w:eastAsia="Cambria"/>
                <w:sz w:val="18"/>
                <w:szCs w:val="18"/>
                <w:lang w:val="en-CA"/>
              </w:rPr>
              <w:t>Research activities and products using different approaches and methods on movement and estimation of elephant populations</w:t>
            </w:r>
          </w:p>
        </w:tc>
        <w:tc>
          <w:tcPr>
            <w:tcW w:w="850" w:type="dxa"/>
            <w:tcBorders>
              <w:top w:val="single" w:sz="4" w:space="0" w:color="auto"/>
              <w:left w:val="single" w:sz="4" w:space="0" w:color="auto"/>
              <w:bottom w:val="single" w:sz="4" w:space="0" w:color="auto"/>
              <w:right w:val="single" w:sz="4" w:space="0" w:color="auto"/>
            </w:tcBorders>
            <w:vAlign w:val="center"/>
          </w:tcPr>
          <w:p w14:paraId="63366E9D" w14:textId="77777777" w:rsidR="00302BFE" w:rsidRPr="00E379FD" w:rsidRDefault="00302BFE" w:rsidP="00243B15">
            <w:pPr>
              <w:autoSpaceDN w:val="0"/>
              <w:spacing w:after="0"/>
              <w:jc w:val="left"/>
              <w:rPr>
                <w:rFonts w:eastAsia="Calibri"/>
                <w:sz w:val="18"/>
                <w:szCs w:val="18"/>
                <w:lang w:val="fr-CA"/>
              </w:rPr>
            </w:pPr>
            <w:r w:rsidRPr="00E379FD">
              <w:rPr>
                <w:rFonts w:eastAsia="Calibri"/>
                <w:sz w:val="18"/>
                <w:szCs w:val="18"/>
                <w:lang w:val="fr-CA"/>
              </w:rPr>
              <w:t>2</w:t>
            </w:r>
          </w:p>
        </w:tc>
      </w:tr>
      <w:tr w:rsidR="00302BFE" w:rsidRPr="00E379FD" w14:paraId="4C3982E2" w14:textId="77777777" w:rsidTr="00243B15">
        <w:trPr>
          <w:jc w:val="center"/>
        </w:trPr>
        <w:tc>
          <w:tcPr>
            <w:tcW w:w="1882" w:type="dxa"/>
            <w:tcBorders>
              <w:top w:val="single" w:sz="4" w:space="0" w:color="auto"/>
              <w:left w:val="single" w:sz="4" w:space="0" w:color="auto"/>
              <w:bottom w:val="single" w:sz="4" w:space="0" w:color="auto"/>
              <w:right w:val="single" w:sz="4" w:space="0" w:color="auto"/>
            </w:tcBorders>
            <w:vAlign w:val="center"/>
          </w:tcPr>
          <w:p w14:paraId="0480A216" w14:textId="77777777" w:rsidR="00302BFE" w:rsidRPr="005C25D0" w:rsidRDefault="00302BFE" w:rsidP="00243B15">
            <w:pPr>
              <w:spacing w:after="0"/>
              <w:jc w:val="left"/>
              <w:rPr>
                <w:sz w:val="18"/>
                <w:szCs w:val="18"/>
                <w:lang w:val="en-CA"/>
              </w:rPr>
            </w:pPr>
            <w:r w:rsidRPr="005C25D0">
              <w:rPr>
                <w:sz w:val="18"/>
                <w:szCs w:val="18"/>
                <w:lang w:val="en-CA"/>
              </w:rPr>
              <w:lastRenderedPageBreak/>
              <w:t>Center for Initiation and Vocational Training in Catering, Valba Vocational Training Center, Vocational School for Tourism, Cooking and Hospitality (Product 3.4.3)</w:t>
            </w:r>
          </w:p>
        </w:tc>
        <w:tc>
          <w:tcPr>
            <w:tcW w:w="3827" w:type="dxa"/>
            <w:tcBorders>
              <w:top w:val="single" w:sz="4" w:space="0" w:color="auto"/>
              <w:left w:val="single" w:sz="4" w:space="0" w:color="auto"/>
              <w:bottom w:val="single" w:sz="4" w:space="0" w:color="auto"/>
              <w:right w:val="single" w:sz="4" w:space="0" w:color="auto"/>
            </w:tcBorders>
            <w:vAlign w:val="center"/>
          </w:tcPr>
          <w:p w14:paraId="55D6D39F" w14:textId="77777777" w:rsidR="00302BFE" w:rsidRPr="005C25D0" w:rsidRDefault="00302BFE" w:rsidP="00243B15">
            <w:pPr>
              <w:autoSpaceDN w:val="0"/>
              <w:spacing w:after="0"/>
              <w:jc w:val="left"/>
              <w:rPr>
                <w:rFonts w:eastAsia="Cambria"/>
                <w:sz w:val="18"/>
                <w:szCs w:val="18"/>
                <w:lang w:val="en-CA"/>
              </w:rPr>
            </w:pPr>
            <w:r w:rsidRPr="005C25D0">
              <w:rPr>
                <w:rFonts w:eastAsia="Cambria"/>
                <w:sz w:val="18"/>
                <w:szCs w:val="18"/>
                <w:lang w:val="en-CA"/>
              </w:rPr>
              <w:t>Hotel training centers and schools will play the roles of coaching, technical support and will train the target actors in the project</w:t>
            </w:r>
          </w:p>
        </w:tc>
        <w:tc>
          <w:tcPr>
            <w:tcW w:w="6193" w:type="dxa"/>
            <w:tcBorders>
              <w:top w:val="single" w:sz="4" w:space="0" w:color="auto"/>
              <w:left w:val="single" w:sz="4" w:space="0" w:color="auto"/>
              <w:bottom w:val="single" w:sz="4" w:space="0" w:color="auto"/>
              <w:right w:val="single" w:sz="4" w:space="0" w:color="auto"/>
            </w:tcBorders>
            <w:vAlign w:val="center"/>
          </w:tcPr>
          <w:p w14:paraId="2D816C5B" w14:textId="77777777" w:rsidR="00302BFE" w:rsidRPr="006458DA" w:rsidRDefault="00302BFE" w:rsidP="00C46720">
            <w:pPr>
              <w:numPr>
                <w:ilvl w:val="0"/>
                <w:numId w:val="38"/>
              </w:numPr>
              <w:autoSpaceDN w:val="0"/>
              <w:spacing w:after="0"/>
              <w:jc w:val="left"/>
              <w:rPr>
                <w:rFonts w:eastAsia="Calibri"/>
                <w:sz w:val="18"/>
                <w:szCs w:val="18"/>
                <w:lang w:val="en-CA"/>
              </w:rPr>
            </w:pPr>
            <w:r w:rsidRPr="005C25D0">
              <w:rPr>
                <w:rFonts w:eastAsia="Cambria"/>
                <w:sz w:val="18"/>
                <w:szCs w:val="18"/>
                <w:lang w:val="en-CA"/>
              </w:rPr>
              <w:t xml:space="preserve"> </w:t>
            </w:r>
            <w:r w:rsidRPr="006458DA">
              <w:rPr>
                <w:rFonts w:eastAsia="Cambria"/>
                <w:sz w:val="18"/>
                <w:szCs w:val="18"/>
                <w:lang w:val="en-CA"/>
              </w:rPr>
              <w:t>The centers and schools of training in the hotel industry will frame the tourist reception centers in the tourist sites that will be developed in hotels, hygiene and sanitation. Technical support will also cover topics such as reception and management of guest houses (</w:t>
            </w:r>
            <w:r>
              <w:rPr>
                <w:sz w:val="18"/>
                <w:szCs w:val="18"/>
                <w:lang w:val="en-CA"/>
              </w:rPr>
              <w:t>output</w:t>
            </w:r>
            <w:r w:rsidRPr="00616C8C">
              <w:rPr>
                <w:sz w:val="18"/>
                <w:szCs w:val="18"/>
                <w:lang w:val="en-CA"/>
              </w:rPr>
              <w:t xml:space="preserve"> </w:t>
            </w:r>
            <w:r w:rsidRPr="006458DA">
              <w:rPr>
                <w:rFonts w:eastAsia="Cambria"/>
                <w:sz w:val="18"/>
                <w:szCs w:val="18"/>
                <w:lang w:val="en-CA"/>
              </w:rPr>
              <w:t>3.4.3)</w:t>
            </w:r>
          </w:p>
        </w:tc>
        <w:tc>
          <w:tcPr>
            <w:tcW w:w="1985" w:type="dxa"/>
            <w:tcBorders>
              <w:top w:val="single" w:sz="4" w:space="0" w:color="auto"/>
              <w:left w:val="single" w:sz="4" w:space="0" w:color="auto"/>
              <w:bottom w:val="single" w:sz="4" w:space="0" w:color="auto"/>
              <w:right w:val="single" w:sz="4" w:space="0" w:color="auto"/>
            </w:tcBorders>
            <w:vAlign w:val="center"/>
          </w:tcPr>
          <w:p w14:paraId="5926A09F" w14:textId="77777777" w:rsidR="00302BFE" w:rsidRPr="00CF4D08" w:rsidRDefault="00302BFE" w:rsidP="00243B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Times New Roman"/>
                <w:sz w:val="18"/>
                <w:szCs w:val="18"/>
                <w:lang w:val="en-CA" w:eastAsia="fr-FR"/>
              </w:rPr>
            </w:pPr>
            <w:r w:rsidRPr="00CF4D08">
              <w:rPr>
                <w:sz w:val="18"/>
                <w:szCs w:val="18"/>
                <w:lang w:val="en-CA" w:eastAsia="fr-FR"/>
              </w:rPr>
              <w:t>Training activities and products using different learning approaches and different levels of literacy.</w:t>
            </w:r>
          </w:p>
        </w:tc>
        <w:tc>
          <w:tcPr>
            <w:tcW w:w="850" w:type="dxa"/>
            <w:tcBorders>
              <w:top w:val="single" w:sz="4" w:space="0" w:color="auto"/>
              <w:left w:val="single" w:sz="4" w:space="0" w:color="auto"/>
              <w:bottom w:val="single" w:sz="4" w:space="0" w:color="auto"/>
              <w:right w:val="single" w:sz="4" w:space="0" w:color="auto"/>
            </w:tcBorders>
            <w:vAlign w:val="center"/>
          </w:tcPr>
          <w:p w14:paraId="39ECCB21" w14:textId="77777777" w:rsidR="00302BFE" w:rsidRPr="00E379FD" w:rsidRDefault="00302BFE" w:rsidP="00243B15">
            <w:pPr>
              <w:autoSpaceDN w:val="0"/>
              <w:spacing w:after="0"/>
              <w:jc w:val="left"/>
              <w:rPr>
                <w:rFonts w:eastAsia="Calibri"/>
                <w:sz w:val="18"/>
                <w:szCs w:val="18"/>
                <w:lang w:val="fr-CA"/>
              </w:rPr>
            </w:pPr>
            <w:r w:rsidRPr="00E379FD">
              <w:rPr>
                <w:rFonts w:eastAsia="Calibri"/>
                <w:sz w:val="18"/>
                <w:szCs w:val="18"/>
                <w:lang w:val="fr-CA"/>
              </w:rPr>
              <w:t>3</w:t>
            </w:r>
          </w:p>
        </w:tc>
      </w:tr>
      <w:tr w:rsidR="00302BFE" w:rsidRPr="00E379FD" w14:paraId="6655772F" w14:textId="77777777" w:rsidTr="00243B15">
        <w:trPr>
          <w:jc w:val="center"/>
        </w:trPr>
        <w:tc>
          <w:tcPr>
            <w:tcW w:w="570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555F0665" w14:textId="77777777" w:rsidR="00302BFE" w:rsidRPr="00E379FD" w:rsidRDefault="00302BFE" w:rsidP="00243B15">
            <w:pPr>
              <w:autoSpaceDN w:val="0"/>
              <w:spacing w:after="0"/>
              <w:jc w:val="left"/>
              <w:rPr>
                <w:sz w:val="18"/>
                <w:szCs w:val="18"/>
                <w:lang w:val="fr-CA"/>
              </w:rPr>
            </w:pPr>
            <w:r>
              <w:rPr>
                <w:b/>
                <w:bCs/>
                <w:sz w:val="18"/>
                <w:szCs w:val="18"/>
                <w:lang w:val="fr-CA"/>
              </w:rPr>
              <w:t>Public s</w:t>
            </w:r>
            <w:r w:rsidRPr="00E379FD">
              <w:rPr>
                <w:b/>
                <w:bCs/>
                <w:sz w:val="18"/>
                <w:szCs w:val="18"/>
                <w:lang w:val="fr-CA"/>
              </w:rPr>
              <w:t>ect</w:t>
            </w:r>
            <w:r>
              <w:rPr>
                <w:b/>
                <w:bCs/>
                <w:sz w:val="18"/>
                <w:szCs w:val="18"/>
                <w:lang w:val="fr-CA"/>
              </w:rPr>
              <w:t>o</w:t>
            </w:r>
            <w:r w:rsidRPr="00E379FD">
              <w:rPr>
                <w:b/>
                <w:bCs/>
                <w:sz w:val="18"/>
                <w:szCs w:val="18"/>
                <w:lang w:val="fr-CA"/>
              </w:rPr>
              <w:t>r</w:t>
            </w:r>
          </w:p>
        </w:tc>
        <w:tc>
          <w:tcPr>
            <w:tcW w:w="6193" w:type="dxa"/>
            <w:tcBorders>
              <w:top w:val="single" w:sz="4" w:space="0" w:color="auto"/>
              <w:left w:val="single" w:sz="4" w:space="0" w:color="auto"/>
              <w:bottom w:val="single" w:sz="4" w:space="0" w:color="auto"/>
              <w:right w:val="single" w:sz="4" w:space="0" w:color="auto"/>
            </w:tcBorders>
            <w:shd w:val="clear" w:color="auto" w:fill="D9D9D9"/>
            <w:vAlign w:val="center"/>
          </w:tcPr>
          <w:p w14:paraId="398538EB" w14:textId="77777777" w:rsidR="00302BFE" w:rsidRPr="00E379FD" w:rsidRDefault="00302BFE" w:rsidP="00243B15">
            <w:pPr>
              <w:autoSpaceDN w:val="0"/>
              <w:spacing w:after="0"/>
              <w:jc w:val="left"/>
              <w:rPr>
                <w:b/>
                <w:bCs/>
                <w:sz w:val="18"/>
                <w:szCs w:val="18"/>
                <w:lang w:val="fr-CA"/>
              </w:rPr>
            </w:pPr>
          </w:p>
        </w:tc>
        <w:tc>
          <w:tcPr>
            <w:tcW w:w="1985" w:type="dxa"/>
            <w:tcBorders>
              <w:top w:val="single" w:sz="4" w:space="0" w:color="auto"/>
              <w:left w:val="single" w:sz="4" w:space="0" w:color="auto"/>
              <w:bottom w:val="single" w:sz="4" w:space="0" w:color="auto"/>
              <w:right w:val="single" w:sz="4" w:space="0" w:color="auto"/>
            </w:tcBorders>
            <w:shd w:val="clear" w:color="auto" w:fill="D9D9D9"/>
            <w:vAlign w:val="center"/>
          </w:tcPr>
          <w:p w14:paraId="46E55C3F" w14:textId="77777777" w:rsidR="00302BFE" w:rsidRPr="00E379FD" w:rsidRDefault="00302BFE" w:rsidP="00243B15">
            <w:pPr>
              <w:autoSpaceDN w:val="0"/>
              <w:spacing w:after="0"/>
              <w:jc w:val="left"/>
              <w:rPr>
                <w:b/>
                <w:bCs/>
                <w:sz w:val="18"/>
                <w:szCs w:val="18"/>
                <w:lang w:val="fr-CA"/>
              </w:rPr>
            </w:pP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14:paraId="6810C4A9" w14:textId="77777777" w:rsidR="00302BFE" w:rsidRPr="00E379FD" w:rsidRDefault="00302BFE" w:rsidP="00243B15">
            <w:pPr>
              <w:autoSpaceDN w:val="0"/>
              <w:spacing w:after="0"/>
              <w:jc w:val="left"/>
              <w:rPr>
                <w:b/>
                <w:bCs/>
                <w:sz w:val="18"/>
                <w:szCs w:val="18"/>
                <w:lang w:val="fr-CA"/>
              </w:rPr>
            </w:pPr>
          </w:p>
        </w:tc>
      </w:tr>
      <w:tr w:rsidR="00302BFE" w:rsidRPr="00E379FD" w14:paraId="5A2E70EB" w14:textId="77777777" w:rsidTr="00243B15">
        <w:trPr>
          <w:jc w:val="center"/>
        </w:trPr>
        <w:tc>
          <w:tcPr>
            <w:tcW w:w="570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77CA4693" w14:textId="77777777" w:rsidR="00302BFE" w:rsidRPr="00E379FD" w:rsidRDefault="00302BFE" w:rsidP="00243B15">
            <w:pPr>
              <w:autoSpaceDN w:val="0"/>
              <w:spacing w:after="0"/>
              <w:jc w:val="left"/>
              <w:rPr>
                <w:sz w:val="18"/>
                <w:szCs w:val="18"/>
                <w:lang w:val="fr-CA"/>
              </w:rPr>
            </w:pPr>
            <w:r w:rsidRPr="00E379FD">
              <w:rPr>
                <w:b/>
                <w:sz w:val="18"/>
                <w:szCs w:val="18"/>
                <w:lang w:val="fr-CA"/>
              </w:rPr>
              <w:t>Government Institutions</w:t>
            </w:r>
          </w:p>
        </w:tc>
        <w:tc>
          <w:tcPr>
            <w:tcW w:w="6193" w:type="dxa"/>
            <w:tcBorders>
              <w:top w:val="single" w:sz="4" w:space="0" w:color="auto"/>
              <w:left w:val="single" w:sz="4" w:space="0" w:color="auto"/>
              <w:bottom w:val="single" w:sz="4" w:space="0" w:color="auto"/>
              <w:right w:val="single" w:sz="4" w:space="0" w:color="auto"/>
            </w:tcBorders>
            <w:shd w:val="clear" w:color="auto" w:fill="E6E6E6"/>
            <w:vAlign w:val="center"/>
          </w:tcPr>
          <w:p w14:paraId="260262F3" w14:textId="77777777" w:rsidR="00302BFE" w:rsidRPr="00E379FD" w:rsidRDefault="00302BFE" w:rsidP="00243B15">
            <w:pPr>
              <w:autoSpaceDN w:val="0"/>
              <w:spacing w:after="0"/>
              <w:jc w:val="left"/>
              <w:rPr>
                <w:b/>
                <w:sz w:val="18"/>
                <w:szCs w:val="18"/>
                <w:lang w:val="fr-CA"/>
              </w:rPr>
            </w:pPr>
          </w:p>
        </w:tc>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449ACD55" w14:textId="77777777" w:rsidR="00302BFE" w:rsidRPr="00E379FD" w:rsidRDefault="00302BFE" w:rsidP="00243B15">
            <w:pPr>
              <w:autoSpaceDN w:val="0"/>
              <w:spacing w:after="0"/>
              <w:jc w:val="left"/>
              <w:rPr>
                <w:b/>
                <w:sz w:val="18"/>
                <w:szCs w:val="18"/>
                <w:lang w:val="fr-C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01C4138B" w14:textId="77777777" w:rsidR="00302BFE" w:rsidRPr="00E379FD" w:rsidRDefault="00302BFE" w:rsidP="00243B15">
            <w:pPr>
              <w:autoSpaceDN w:val="0"/>
              <w:spacing w:after="0"/>
              <w:jc w:val="left"/>
              <w:rPr>
                <w:b/>
                <w:sz w:val="18"/>
                <w:szCs w:val="18"/>
                <w:lang w:val="fr-CA"/>
              </w:rPr>
            </w:pPr>
          </w:p>
        </w:tc>
      </w:tr>
      <w:tr w:rsidR="004E072E" w:rsidRPr="00E379FD" w14:paraId="371CCC4B" w14:textId="77777777" w:rsidTr="00C756F3">
        <w:trPr>
          <w:jc w:val="center"/>
        </w:trPr>
        <w:tc>
          <w:tcPr>
            <w:tcW w:w="1882" w:type="dxa"/>
            <w:tcBorders>
              <w:top w:val="single" w:sz="4" w:space="0" w:color="auto"/>
              <w:left w:val="single" w:sz="4" w:space="0" w:color="auto"/>
              <w:bottom w:val="single" w:sz="4" w:space="0" w:color="auto"/>
              <w:right w:val="single" w:sz="4" w:space="0" w:color="auto"/>
            </w:tcBorders>
            <w:vAlign w:val="center"/>
          </w:tcPr>
          <w:p w14:paraId="721595B2" w14:textId="77777777" w:rsidR="004E072E" w:rsidRPr="00276A8C" w:rsidRDefault="004E072E" w:rsidP="00C756F3">
            <w:pPr>
              <w:shd w:val="clear" w:color="auto" w:fill="FFFFFF"/>
              <w:spacing w:after="0"/>
              <w:jc w:val="left"/>
              <w:rPr>
                <w:b/>
                <w:bCs/>
                <w:sz w:val="18"/>
                <w:szCs w:val="18"/>
                <w:lang w:val="en-CA"/>
              </w:rPr>
            </w:pPr>
            <w:r w:rsidRPr="00276A8C">
              <w:rPr>
                <w:b/>
                <w:bCs/>
                <w:sz w:val="18"/>
                <w:szCs w:val="18"/>
                <w:lang w:val="en-CA"/>
              </w:rPr>
              <w:t>Permanent Secretariat of the National Council for Sustainable Development (SP/CNDD) / MEGECC</w:t>
            </w:r>
          </w:p>
        </w:tc>
        <w:tc>
          <w:tcPr>
            <w:tcW w:w="3827" w:type="dxa"/>
            <w:tcBorders>
              <w:top w:val="single" w:sz="4" w:space="0" w:color="auto"/>
              <w:left w:val="single" w:sz="4" w:space="0" w:color="auto"/>
              <w:bottom w:val="single" w:sz="4" w:space="0" w:color="auto"/>
              <w:right w:val="single" w:sz="4" w:space="0" w:color="auto"/>
            </w:tcBorders>
            <w:vAlign w:val="center"/>
          </w:tcPr>
          <w:p w14:paraId="0C24967C" w14:textId="77777777" w:rsidR="004E072E" w:rsidRPr="00F9302E" w:rsidRDefault="004E072E" w:rsidP="00C46720">
            <w:pPr>
              <w:numPr>
                <w:ilvl w:val="0"/>
                <w:numId w:val="38"/>
              </w:numPr>
              <w:autoSpaceDN w:val="0"/>
              <w:spacing w:after="0"/>
              <w:jc w:val="left"/>
              <w:rPr>
                <w:sz w:val="18"/>
                <w:szCs w:val="18"/>
                <w:lang w:val="en-CA"/>
              </w:rPr>
            </w:pPr>
            <w:r w:rsidRPr="00276A8C">
              <w:rPr>
                <w:rFonts w:eastAsia="Cambria"/>
                <w:sz w:val="18"/>
                <w:szCs w:val="18"/>
                <w:lang w:val="en-CA"/>
              </w:rPr>
              <w:t>As the official coordinator of the proposed PONASI Landscape Management Board, it has a pivotal role in implementing the landscape approach.</w:t>
            </w:r>
          </w:p>
          <w:p w14:paraId="411CB4EB" w14:textId="37513D9E" w:rsidR="00F9302E" w:rsidRPr="00276A8C" w:rsidRDefault="00F9302E" w:rsidP="00C46720">
            <w:pPr>
              <w:numPr>
                <w:ilvl w:val="0"/>
                <w:numId w:val="38"/>
              </w:numPr>
              <w:autoSpaceDN w:val="0"/>
              <w:spacing w:after="0"/>
              <w:jc w:val="left"/>
              <w:rPr>
                <w:sz w:val="18"/>
                <w:szCs w:val="18"/>
                <w:lang w:val="en-CA"/>
              </w:rPr>
            </w:pPr>
            <w:r w:rsidRPr="00F9302E">
              <w:rPr>
                <w:rFonts w:eastAsia="Cambria"/>
                <w:sz w:val="18"/>
                <w:szCs w:val="18"/>
                <w:highlight w:val="yellow"/>
                <w:lang w:val="en-CA"/>
              </w:rPr>
              <w:t xml:space="preserve">The </w:t>
            </w:r>
            <w:r w:rsidR="00CF65C6" w:rsidRPr="00342675">
              <w:rPr>
                <w:rFonts w:eastAsia="Cambria"/>
                <w:sz w:val="18"/>
                <w:szCs w:val="18"/>
                <w:highlight w:val="green"/>
                <w:lang w:val="fr-FR"/>
              </w:rPr>
              <w:t>SP CONSEIL NATION DEVEL DURABL UNDER THE MINISTRY IN CHARGE OF THE ENVIRONMENT</w:t>
            </w:r>
            <w:r w:rsidR="00DD5BA3" w:rsidRPr="00342675">
              <w:rPr>
                <w:rFonts w:eastAsia="Cambria"/>
                <w:sz w:val="18"/>
                <w:szCs w:val="18"/>
                <w:highlight w:val="green"/>
                <w:lang w:val="fr-FR"/>
              </w:rPr>
              <w:t xml:space="preserve"> </w:t>
            </w:r>
            <w:r w:rsidRPr="00F9302E">
              <w:rPr>
                <w:rFonts w:eastAsia="Cambria"/>
                <w:sz w:val="18"/>
                <w:szCs w:val="18"/>
                <w:highlight w:val="yellow"/>
                <w:lang w:val="fr-FR"/>
              </w:rPr>
              <w:t>is also the national designated authority for the Ramsar Convention and therefore the key institution to ensure the effective integration of the project’s landscape management approach with the ongoing efforts to sustainably develop</w:t>
            </w:r>
            <w:r w:rsidR="002B1FCA">
              <w:rPr>
                <w:rFonts w:eastAsia="Cambria"/>
                <w:sz w:val="18"/>
                <w:szCs w:val="18"/>
                <w:highlight w:val="yellow"/>
                <w:lang w:val="fr-FR"/>
              </w:rPr>
              <w:t>, monitor</w:t>
            </w:r>
            <w:r w:rsidRPr="00F9302E">
              <w:rPr>
                <w:rFonts w:eastAsia="Cambria"/>
                <w:sz w:val="18"/>
                <w:szCs w:val="18"/>
                <w:highlight w:val="yellow"/>
                <w:lang w:val="fr-FR"/>
              </w:rPr>
              <w:t xml:space="preserve"> and conserve the PONASI Ramsar site.</w:t>
            </w:r>
            <w:r>
              <w:rPr>
                <w:rFonts w:eastAsia="Cambria"/>
                <w:sz w:val="18"/>
                <w:szCs w:val="18"/>
                <w:lang w:val="fr-FR"/>
              </w:rPr>
              <w:t xml:space="preserve"> </w:t>
            </w:r>
          </w:p>
        </w:tc>
        <w:tc>
          <w:tcPr>
            <w:tcW w:w="6193" w:type="dxa"/>
            <w:tcBorders>
              <w:top w:val="single" w:sz="4" w:space="0" w:color="auto"/>
              <w:left w:val="single" w:sz="4" w:space="0" w:color="auto"/>
              <w:bottom w:val="single" w:sz="4" w:space="0" w:color="auto"/>
              <w:right w:val="single" w:sz="4" w:space="0" w:color="auto"/>
            </w:tcBorders>
            <w:vAlign w:val="center"/>
          </w:tcPr>
          <w:p w14:paraId="1BE6B69C" w14:textId="2A38C0BB" w:rsidR="004E072E" w:rsidRPr="00F9302E" w:rsidRDefault="004E072E" w:rsidP="00C46720">
            <w:pPr>
              <w:numPr>
                <w:ilvl w:val="0"/>
                <w:numId w:val="38"/>
              </w:numPr>
              <w:autoSpaceDN w:val="0"/>
              <w:spacing w:after="0"/>
              <w:jc w:val="left"/>
              <w:rPr>
                <w:sz w:val="18"/>
                <w:szCs w:val="18"/>
                <w:lang w:val="en-CA"/>
              </w:rPr>
            </w:pPr>
            <w:r w:rsidRPr="00276A8C">
              <w:rPr>
                <w:rFonts w:eastAsia="Cambria"/>
                <w:sz w:val="18"/>
                <w:szCs w:val="18"/>
                <w:lang w:val="en-CA"/>
              </w:rPr>
              <w:t xml:space="preserve">As the project implementation agency, </w:t>
            </w:r>
            <w:r w:rsidR="00CF65C6" w:rsidRPr="00342675">
              <w:rPr>
                <w:rFonts w:eastAsia="Cambria"/>
                <w:sz w:val="18"/>
                <w:szCs w:val="18"/>
                <w:highlight w:val="green"/>
                <w:lang w:val="en-CA"/>
              </w:rPr>
              <w:t>SP CONSEIL NATION DEVEL DURABL UNDER THE MINISTRY IN CHARGE OF THE ENVIRONMENT</w:t>
            </w:r>
            <w:r w:rsidR="00DD5BA3">
              <w:rPr>
                <w:rFonts w:eastAsia="Cambria"/>
                <w:sz w:val="18"/>
                <w:szCs w:val="18"/>
                <w:lang w:val="en-CA"/>
              </w:rPr>
              <w:t xml:space="preserve"> </w:t>
            </w:r>
            <w:r w:rsidRPr="00276A8C">
              <w:rPr>
                <w:rFonts w:eastAsia="Cambria"/>
                <w:sz w:val="18"/>
                <w:szCs w:val="18"/>
                <w:lang w:val="en-CA"/>
              </w:rPr>
              <w:t>will be ultimately responsible and accountable for the results of the project and for the efficient use of the project resources in collaboration with counterparts at the regional and local levels, Senior Beneficiaries and UNDP; it will sit on the Review Committee, contribute to monitoring and evaluation of project interventions, and allocate adequate work space for the project management team.</w:t>
            </w:r>
          </w:p>
          <w:p w14:paraId="055565EE" w14:textId="56CDFC34" w:rsidR="00ED1ADA" w:rsidRPr="002B1FCA" w:rsidRDefault="00F9302E" w:rsidP="00C46720">
            <w:pPr>
              <w:numPr>
                <w:ilvl w:val="0"/>
                <w:numId w:val="38"/>
              </w:numPr>
              <w:autoSpaceDN w:val="0"/>
              <w:spacing w:after="0"/>
              <w:jc w:val="left"/>
              <w:rPr>
                <w:sz w:val="18"/>
                <w:szCs w:val="18"/>
                <w:lang w:val="en-CA"/>
              </w:rPr>
            </w:pPr>
            <w:r w:rsidRPr="00F9302E">
              <w:rPr>
                <w:rFonts w:eastAsia="Cambria"/>
                <w:sz w:val="18"/>
                <w:szCs w:val="18"/>
                <w:highlight w:val="yellow"/>
                <w:lang w:val="en-CA"/>
              </w:rPr>
              <w:t xml:space="preserve">The </w:t>
            </w:r>
            <w:r w:rsidR="00CF65C6" w:rsidRPr="00342675">
              <w:rPr>
                <w:rFonts w:eastAsia="Cambria"/>
                <w:sz w:val="18"/>
                <w:szCs w:val="18"/>
                <w:highlight w:val="green"/>
                <w:lang w:val="fr-FR"/>
              </w:rPr>
              <w:t>SP CONSEIL NATION DEVEL DURABL UNDER THE MINISTRY IN CHARGE OF THE ENVIRONMENT</w:t>
            </w:r>
            <w:r w:rsidR="00DD5BA3">
              <w:rPr>
                <w:rFonts w:eastAsia="Cambria"/>
                <w:sz w:val="18"/>
                <w:szCs w:val="18"/>
                <w:highlight w:val="yellow"/>
                <w:lang w:val="fr-FR"/>
              </w:rPr>
              <w:t xml:space="preserve"> </w:t>
            </w:r>
            <w:r w:rsidRPr="00F9302E">
              <w:rPr>
                <w:rFonts w:eastAsia="Cambria"/>
                <w:sz w:val="18"/>
                <w:szCs w:val="18"/>
                <w:highlight w:val="yellow"/>
                <w:lang w:val="fr-FR"/>
              </w:rPr>
              <w:t xml:space="preserve">will ensure the effective integration of project activities with the protection of the PONASI Ramsar site, thereby ensuring that the project contributes to the advancement of Burkina Faso’s commitments under the Ramsar Convention. </w:t>
            </w:r>
            <w:r w:rsidR="002B1FCA">
              <w:rPr>
                <w:rFonts w:eastAsia="Cambria"/>
                <w:sz w:val="18"/>
                <w:szCs w:val="18"/>
                <w:highlight w:val="yellow"/>
                <w:lang w:val="fr-FR"/>
              </w:rPr>
              <w:t xml:space="preserve">It will also ensure that relevant developments will be communicated to the Ramsar Secretariate, in line with the Convention. </w:t>
            </w:r>
            <w:r w:rsidRPr="00F9302E">
              <w:rPr>
                <w:rFonts w:eastAsia="Cambria"/>
                <w:sz w:val="18"/>
                <w:szCs w:val="18"/>
                <w:highlight w:val="yellow"/>
                <w:lang w:val="fr-FR"/>
              </w:rPr>
              <w:t xml:space="preserve">A representative of </w:t>
            </w:r>
            <w:r w:rsidR="00CF65C6" w:rsidRPr="00342675">
              <w:rPr>
                <w:rFonts w:eastAsia="Cambria"/>
                <w:sz w:val="18"/>
                <w:szCs w:val="18"/>
                <w:highlight w:val="green"/>
                <w:lang w:val="fr-FR"/>
              </w:rPr>
              <w:t>SP CONSEIL NATION DEVEL DURABL UNDER THE MINISTRY IN CHARGE OF THE ENVIRONMENT</w:t>
            </w:r>
            <w:r w:rsidR="00DD5BA3">
              <w:rPr>
                <w:rFonts w:eastAsia="Cambria"/>
                <w:sz w:val="18"/>
                <w:szCs w:val="18"/>
                <w:highlight w:val="yellow"/>
                <w:lang w:val="fr-FR"/>
              </w:rPr>
              <w:t xml:space="preserve"> </w:t>
            </w:r>
            <w:r w:rsidRPr="00F9302E">
              <w:rPr>
                <w:rFonts w:eastAsia="Cambria"/>
                <w:sz w:val="18"/>
                <w:szCs w:val="18"/>
                <w:highlight w:val="yellow"/>
                <w:lang w:val="fr-FR"/>
              </w:rPr>
              <w:t>in charge of the Ramsar Convention will be appointed as a member of the co-governance mechanism for the PONASI landscape (see paragraph 110 a) to ensure this integration also at site level.</w:t>
            </w:r>
            <w:r>
              <w:rPr>
                <w:rFonts w:eastAsia="Cambria"/>
                <w:sz w:val="18"/>
                <w:szCs w:val="18"/>
                <w:lang w:val="fr-FR"/>
              </w:rPr>
              <w:t xml:space="preserve"> </w:t>
            </w:r>
          </w:p>
        </w:tc>
        <w:tc>
          <w:tcPr>
            <w:tcW w:w="1985" w:type="dxa"/>
            <w:tcBorders>
              <w:top w:val="single" w:sz="4" w:space="0" w:color="auto"/>
              <w:left w:val="single" w:sz="4" w:space="0" w:color="auto"/>
              <w:bottom w:val="single" w:sz="4" w:space="0" w:color="auto"/>
              <w:right w:val="single" w:sz="4" w:space="0" w:color="auto"/>
            </w:tcBorders>
            <w:vAlign w:val="center"/>
          </w:tcPr>
          <w:p w14:paraId="383404AC" w14:textId="2D80C233" w:rsidR="004E072E" w:rsidRPr="00276A8C" w:rsidRDefault="004E072E" w:rsidP="00C756F3">
            <w:pPr>
              <w:pStyle w:val="PrformatHTML"/>
              <w:shd w:val="clear" w:color="auto" w:fill="FFFFFF"/>
              <w:rPr>
                <w:rFonts w:ascii="Calibri" w:hAnsi="Calibri" w:cs="Times New Roman"/>
                <w:sz w:val="18"/>
                <w:szCs w:val="18"/>
                <w:lang w:val="en-CA"/>
              </w:rPr>
            </w:pPr>
            <w:r w:rsidRPr="00276A8C">
              <w:rPr>
                <w:rFonts w:ascii="Calibri" w:hAnsi="Calibri" w:cs="Times New Roman"/>
                <w:sz w:val="18"/>
                <w:szCs w:val="18"/>
                <w:lang w:val="en-CA"/>
              </w:rPr>
              <w:t>Achieve project outcomes and outputs through better coordination and implementation of project actions</w:t>
            </w:r>
            <w:r w:rsidR="00F9302E">
              <w:rPr>
                <w:rFonts w:ascii="Calibri" w:hAnsi="Calibri" w:cs="Times New Roman"/>
                <w:sz w:val="18"/>
                <w:szCs w:val="18"/>
                <w:lang w:val="en-CA"/>
              </w:rPr>
              <w:t xml:space="preserve">, </w:t>
            </w:r>
            <w:r w:rsidR="00F9302E" w:rsidRPr="00F9302E">
              <w:rPr>
                <w:rFonts w:ascii="Calibri" w:hAnsi="Calibri" w:cs="Times New Roman"/>
                <w:sz w:val="18"/>
                <w:szCs w:val="18"/>
                <w:highlight w:val="yellow"/>
                <w:lang w:val="en-CA"/>
              </w:rPr>
              <w:t>including with activities under the Ramsar Convention</w:t>
            </w:r>
          </w:p>
        </w:tc>
        <w:tc>
          <w:tcPr>
            <w:tcW w:w="850" w:type="dxa"/>
            <w:tcBorders>
              <w:top w:val="single" w:sz="4" w:space="0" w:color="auto"/>
              <w:left w:val="single" w:sz="4" w:space="0" w:color="auto"/>
              <w:bottom w:val="single" w:sz="4" w:space="0" w:color="auto"/>
              <w:right w:val="single" w:sz="4" w:space="0" w:color="auto"/>
            </w:tcBorders>
            <w:vAlign w:val="center"/>
          </w:tcPr>
          <w:p w14:paraId="3EA41094" w14:textId="02932B56" w:rsidR="004E072E" w:rsidRPr="00E379FD" w:rsidRDefault="004E072E" w:rsidP="00C756F3">
            <w:pPr>
              <w:autoSpaceDN w:val="0"/>
              <w:spacing w:after="0"/>
              <w:jc w:val="left"/>
              <w:rPr>
                <w:sz w:val="18"/>
                <w:szCs w:val="18"/>
                <w:lang w:val="fr-CA"/>
              </w:rPr>
            </w:pPr>
            <w:r w:rsidRPr="00E379FD">
              <w:rPr>
                <w:sz w:val="18"/>
                <w:szCs w:val="18"/>
                <w:lang w:val="fr-CA"/>
              </w:rPr>
              <w:t>1, 2, 3</w:t>
            </w:r>
            <w:r w:rsidR="00F9302E">
              <w:rPr>
                <w:sz w:val="18"/>
                <w:szCs w:val="18"/>
                <w:lang w:val="fr-CA"/>
              </w:rPr>
              <w:t>,</w:t>
            </w:r>
            <w:r w:rsidRPr="00E379FD">
              <w:rPr>
                <w:sz w:val="18"/>
                <w:szCs w:val="18"/>
                <w:lang w:val="fr-CA"/>
              </w:rPr>
              <w:t xml:space="preserve"> 4</w:t>
            </w:r>
          </w:p>
        </w:tc>
      </w:tr>
      <w:tr w:rsidR="00302BFE" w:rsidRPr="00E379FD" w14:paraId="3AE0F8DC" w14:textId="77777777" w:rsidTr="00243B15">
        <w:trPr>
          <w:jc w:val="center"/>
        </w:trPr>
        <w:tc>
          <w:tcPr>
            <w:tcW w:w="1882" w:type="dxa"/>
            <w:tcBorders>
              <w:top w:val="single" w:sz="4" w:space="0" w:color="auto"/>
              <w:left w:val="single" w:sz="4" w:space="0" w:color="auto"/>
              <w:bottom w:val="single" w:sz="4" w:space="0" w:color="auto"/>
              <w:right w:val="single" w:sz="4" w:space="0" w:color="auto"/>
            </w:tcBorders>
            <w:vAlign w:val="center"/>
          </w:tcPr>
          <w:p w14:paraId="4BB0C2C5" w14:textId="68BEB670" w:rsidR="00343111" w:rsidRDefault="00343111" w:rsidP="00243B15">
            <w:pPr>
              <w:shd w:val="clear" w:color="auto" w:fill="FFFFFF"/>
              <w:spacing w:after="0"/>
              <w:jc w:val="left"/>
              <w:rPr>
                <w:b/>
                <w:bCs/>
                <w:sz w:val="18"/>
                <w:szCs w:val="18"/>
                <w:highlight w:val="yellow"/>
              </w:rPr>
            </w:pPr>
            <w:r>
              <w:rPr>
                <w:b/>
                <w:bCs/>
                <w:sz w:val="18"/>
                <w:szCs w:val="18"/>
                <w:highlight w:val="yellow"/>
              </w:rPr>
              <w:t xml:space="preserve">Ramsar </w:t>
            </w:r>
            <w:r w:rsidR="002B1FCA">
              <w:rPr>
                <w:b/>
                <w:bCs/>
                <w:sz w:val="18"/>
                <w:szCs w:val="18"/>
                <w:highlight w:val="yellow"/>
              </w:rPr>
              <w:t>S</w:t>
            </w:r>
            <w:r>
              <w:rPr>
                <w:b/>
                <w:bCs/>
                <w:sz w:val="18"/>
                <w:szCs w:val="18"/>
                <w:highlight w:val="yellow"/>
              </w:rPr>
              <w:t xml:space="preserve">ite </w:t>
            </w:r>
            <w:r w:rsidR="002B1FCA">
              <w:rPr>
                <w:b/>
                <w:bCs/>
                <w:sz w:val="18"/>
                <w:szCs w:val="18"/>
                <w:highlight w:val="yellow"/>
              </w:rPr>
              <w:t>M</w:t>
            </w:r>
            <w:r>
              <w:rPr>
                <w:b/>
                <w:bCs/>
                <w:sz w:val="18"/>
                <w:szCs w:val="18"/>
                <w:highlight w:val="yellow"/>
              </w:rPr>
              <w:t>anager</w:t>
            </w:r>
          </w:p>
          <w:p w14:paraId="42AED4C5" w14:textId="14A65252" w:rsidR="00302BFE" w:rsidRPr="00CD48B7" w:rsidRDefault="00CD48B7" w:rsidP="00243B15">
            <w:pPr>
              <w:shd w:val="clear" w:color="auto" w:fill="FFFFFF"/>
              <w:spacing w:after="0"/>
              <w:jc w:val="left"/>
              <w:rPr>
                <w:b/>
                <w:bCs/>
                <w:sz w:val="18"/>
                <w:szCs w:val="18"/>
                <w:highlight w:val="yellow"/>
                <w:lang w:val="en-CA"/>
              </w:rPr>
            </w:pPr>
            <w:r>
              <w:rPr>
                <w:b/>
                <w:bCs/>
                <w:sz w:val="18"/>
                <w:szCs w:val="18"/>
                <w:highlight w:val="yellow"/>
              </w:rPr>
              <w:t xml:space="preserve"> </w:t>
            </w:r>
          </w:p>
        </w:tc>
        <w:tc>
          <w:tcPr>
            <w:tcW w:w="3827" w:type="dxa"/>
            <w:tcBorders>
              <w:top w:val="single" w:sz="4" w:space="0" w:color="auto"/>
              <w:left w:val="single" w:sz="4" w:space="0" w:color="auto"/>
              <w:bottom w:val="single" w:sz="4" w:space="0" w:color="auto"/>
              <w:right w:val="single" w:sz="4" w:space="0" w:color="auto"/>
            </w:tcBorders>
            <w:vAlign w:val="center"/>
          </w:tcPr>
          <w:p w14:paraId="48255B8A" w14:textId="6F9CB52B" w:rsidR="00302BFE" w:rsidRPr="002B1FCA" w:rsidRDefault="002B1FCA" w:rsidP="00C46720">
            <w:pPr>
              <w:numPr>
                <w:ilvl w:val="0"/>
                <w:numId w:val="38"/>
              </w:numPr>
              <w:autoSpaceDN w:val="0"/>
              <w:spacing w:after="0"/>
              <w:jc w:val="left"/>
              <w:rPr>
                <w:rFonts w:eastAsia="Cambria"/>
                <w:sz w:val="18"/>
                <w:szCs w:val="18"/>
                <w:highlight w:val="yellow"/>
                <w:lang w:val="en-CA"/>
              </w:rPr>
            </w:pPr>
            <w:r>
              <w:rPr>
                <w:rFonts w:eastAsia="Cambria"/>
                <w:sz w:val="18"/>
                <w:szCs w:val="18"/>
                <w:highlight w:val="yellow"/>
                <w:lang w:val="en-CA"/>
              </w:rPr>
              <w:t xml:space="preserve">The Ramsar Site Manager </w:t>
            </w:r>
            <w:r w:rsidRPr="00D45429">
              <w:rPr>
                <w:rFonts w:eastAsia="Cambria"/>
                <w:sz w:val="18"/>
                <w:szCs w:val="18"/>
                <w:highlight w:val="yellow"/>
                <w:lang w:val="en-CA"/>
              </w:rPr>
              <w:t xml:space="preserve">is responsible for creating the conditions for exchange, sharing of knowledge and experiences at the local and national level in the fields of conservation, management and restoration of </w:t>
            </w:r>
            <w:r>
              <w:rPr>
                <w:rFonts w:eastAsia="Cambria"/>
                <w:sz w:val="18"/>
                <w:szCs w:val="18"/>
                <w:highlight w:val="yellow"/>
                <w:lang w:val="en-CA"/>
              </w:rPr>
              <w:t xml:space="preserve">the </w:t>
            </w:r>
            <w:r w:rsidRPr="00D45429">
              <w:rPr>
                <w:rFonts w:eastAsia="Cambria"/>
                <w:sz w:val="18"/>
                <w:szCs w:val="18"/>
                <w:highlight w:val="yellow"/>
                <w:lang w:val="en-CA"/>
              </w:rPr>
              <w:t xml:space="preserve">wetland heritage in connection with the activities carried out </w:t>
            </w:r>
            <w:r>
              <w:rPr>
                <w:rFonts w:eastAsia="Cambria"/>
                <w:sz w:val="18"/>
                <w:szCs w:val="18"/>
                <w:highlight w:val="yellow"/>
                <w:lang w:val="en-CA"/>
              </w:rPr>
              <w:t>at</w:t>
            </w:r>
            <w:r w:rsidRPr="00D45429">
              <w:rPr>
                <w:rFonts w:eastAsia="Cambria"/>
                <w:sz w:val="18"/>
                <w:szCs w:val="18"/>
                <w:highlight w:val="yellow"/>
                <w:lang w:val="en-CA"/>
              </w:rPr>
              <w:t xml:space="preserve"> the site</w:t>
            </w:r>
          </w:p>
        </w:tc>
        <w:tc>
          <w:tcPr>
            <w:tcW w:w="6193" w:type="dxa"/>
            <w:tcBorders>
              <w:top w:val="single" w:sz="4" w:space="0" w:color="auto"/>
              <w:left w:val="single" w:sz="4" w:space="0" w:color="auto"/>
              <w:bottom w:val="single" w:sz="4" w:space="0" w:color="auto"/>
              <w:right w:val="single" w:sz="4" w:space="0" w:color="auto"/>
            </w:tcBorders>
            <w:vAlign w:val="center"/>
          </w:tcPr>
          <w:p w14:paraId="1D888731" w14:textId="6C07B2CA" w:rsidR="00302BFE" w:rsidRPr="00ED1ADA" w:rsidRDefault="002B1FCA" w:rsidP="00C46720">
            <w:pPr>
              <w:numPr>
                <w:ilvl w:val="0"/>
                <w:numId w:val="38"/>
              </w:numPr>
              <w:autoSpaceDN w:val="0"/>
              <w:spacing w:after="0"/>
              <w:jc w:val="left"/>
              <w:rPr>
                <w:sz w:val="18"/>
                <w:szCs w:val="18"/>
                <w:lang w:val="en-CA"/>
              </w:rPr>
            </w:pPr>
            <w:r>
              <w:rPr>
                <w:rFonts w:eastAsia="Cambria"/>
                <w:sz w:val="18"/>
                <w:szCs w:val="18"/>
                <w:highlight w:val="yellow"/>
                <w:lang w:val="en-CA"/>
              </w:rPr>
              <w:t>The Site Manager will m</w:t>
            </w:r>
            <w:r w:rsidR="00ED1ADA" w:rsidRPr="00A35489">
              <w:rPr>
                <w:rFonts w:eastAsia="Cambria"/>
                <w:sz w:val="18"/>
                <w:szCs w:val="18"/>
                <w:highlight w:val="yellow"/>
                <w:lang w:val="en-CA"/>
              </w:rPr>
              <w:t xml:space="preserve">onitor the activities carried out </w:t>
            </w:r>
            <w:r>
              <w:rPr>
                <w:rFonts w:eastAsia="Cambria"/>
                <w:sz w:val="18"/>
                <w:szCs w:val="18"/>
                <w:highlight w:val="yellow"/>
                <w:lang w:val="en-CA"/>
              </w:rPr>
              <w:t>at</w:t>
            </w:r>
            <w:r w:rsidR="00ED1ADA" w:rsidRPr="00A35489">
              <w:rPr>
                <w:rFonts w:eastAsia="Cambria"/>
                <w:sz w:val="18"/>
                <w:szCs w:val="18"/>
                <w:highlight w:val="yellow"/>
                <w:lang w:val="en-CA"/>
              </w:rPr>
              <w:t xml:space="preserve"> the site in order to be informed of any changes in ecological character and to report them to the </w:t>
            </w:r>
            <w:r>
              <w:rPr>
                <w:rFonts w:eastAsia="Cambria"/>
                <w:sz w:val="18"/>
                <w:szCs w:val="18"/>
                <w:highlight w:val="yellow"/>
                <w:lang w:val="en-CA"/>
              </w:rPr>
              <w:t xml:space="preserve">designated authority (SP/CNDD) which would communicate them to the Ramsar </w:t>
            </w:r>
            <w:r w:rsidR="00ED1ADA" w:rsidRPr="00A35489">
              <w:rPr>
                <w:rFonts w:eastAsia="Cambria"/>
                <w:sz w:val="18"/>
                <w:szCs w:val="18"/>
                <w:highlight w:val="yellow"/>
                <w:lang w:val="en-CA"/>
              </w:rPr>
              <w:t>Secretariat in accordance with Article 3.2 of the Convention.</w:t>
            </w:r>
          </w:p>
          <w:p w14:paraId="5C358C08" w14:textId="56B8A88A" w:rsidR="00ED1ADA" w:rsidRPr="00276A8C" w:rsidRDefault="002B1FCA" w:rsidP="00C46720">
            <w:pPr>
              <w:numPr>
                <w:ilvl w:val="0"/>
                <w:numId w:val="38"/>
              </w:numPr>
              <w:autoSpaceDN w:val="0"/>
              <w:spacing w:after="0"/>
              <w:jc w:val="left"/>
              <w:rPr>
                <w:sz w:val="18"/>
                <w:szCs w:val="18"/>
                <w:lang w:val="en-CA"/>
              </w:rPr>
            </w:pPr>
            <w:r>
              <w:rPr>
                <w:rFonts w:eastAsia="Cambria"/>
                <w:sz w:val="18"/>
                <w:szCs w:val="18"/>
                <w:highlight w:val="yellow"/>
                <w:lang w:val="en-CA"/>
              </w:rPr>
              <w:t>He/she will be engaged in all decisions and activities of the project at the site, but specifically c</w:t>
            </w:r>
            <w:r w:rsidR="00ED1ADA" w:rsidRPr="00ED1ADA">
              <w:rPr>
                <w:rFonts w:eastAsia="Cambria"/>
                <w:sz w:val="18"/>
                <w:szCs w:val="18"/>
                <w:highlight w:val="yellow"/>
                <w:lang w:val="en-CA"/>
              </w:rPr>
              <w:t>ontribute to the development and implementation of education, training, awareness and public participation programs in environmental matters within the framework of the project</w:t>
            </w:r>
            <w:r w:rsidR="00ED1ADA">
              <w:rPr>
                <w:rFonts w:eastAsia="Cambria"/>
                <w:sz w:val="18"/>
                <w:szCs w:val="18"/>
                <w:highlight w:val="yellow"/>
                <w:lang w:val="en-CA"/>
              </w:rPr>
              <w:t xml:space="preserve"> under its Component 4</w:t>
            </w:r>
            <w:r w:rsidR="00ED1ADA" w:rsidRPr="00ED1ADA">
              <w:rPr>
                <w:rFonts w:eastAsia="Cambria"/>
                <w:sz w:val="18"/>
                <w:szCs w:val="18"/>
                <w:highlight w:val="yellow"/>
                <w:lang w:val="en-CA"/>
              </w:rPr>
              <w:t>.</w:t>
            </w:r>
          </w:p>
        </w:tc>
        <w:tc>
          <w:tcPr>
            <w:tcW w:w="1985" w:type="dxa"/>
            <w:tcBorders>
              <w:top w:val="single" w:sz="4" w:space="0" w:color="auto"/>
              <w:left w:val="single" w:sz="4" w:space="0" w:color="auto"/>
              <w:bottom w:val="single" w:sz="4" w:space="0" w:color="auto"/>
              <w:right w:val="single" w:sz="4" w:space="0" w:color="auto"/>
            </w:tcBorders>
            <w:vAlign w:val="center"/>
          </w:tcPr>
          <w:p w14:paraId="0D49F304" w14:textId="36DDAD8E" w:rsidR="00302BFE" w:rsidRPr="002B1FCA" w:rsidRDefault="002B1FCA" w:rsidP="00243B15">
            <w:pPr>
              <w:pStyle w:val="PrformatHTML"/>
              <w:shd w:val="clear" w:color="auto" w:fill="FFFFFF"/>
              <w:rPr>
                <w:rFonts w:ascii="Calibri" w:hAnsi="Calibri" w:cs="Times New Roman"/>
                <w:sz w:val="18"/>
                <w:szCs w:val="18"/>
                <w:highlight w:val="yellow"/>
                <w:lang w:val="en-CA"/>
              </w:rPr>
            </w:pPr>
            <w:r w:rsidRPr="002B1FCA">
              <w:rPr>
                <w:rFonts w:ascii="Calibri" w:hAnsi="Calibri" w:cs="Times New Roman"/>
                <w:sz w:val="18"/>
                <w:szCs w:val="18"/>
                <w:highlight w:val="yellow"/>
                <w:lang w:val="en-CA"/>
              </w:rPr>
              <w:t>Achieve project outcomes and outputs through better coordination and implementation of project actions, including with activities under the Ramsar Convention</w:t>
            </w:r>
          </w:p>
        </w:tc>
        <w:tc>
          <w:tcPr>
            <w:tcW w:w="850" w:type="dxa"/>
            <w:tcBorders>
              <w:top w:val="single" w:sz="4" w:space="0" w:color="auto"/>
              <w:left w:val="single" w:sz="4" w:space="0" w:color="auto"/>
              <w:bottom w:val="single" w:sz="4" w:space="0" w:color="auto"/>
              <w:right w:val="single" w:sz="4" w:space="0" w:color="auto"/>
            </w:tcBorders>
            <w:vAlign w:val="center"/>
          </w:tcPr>
          <w:p w14:paraId="68FC8757" w14:textId="57DB7182" w:rsidR="00302BFE" w:rsidRPr="00E379FD" w:rsidRDefault="00302BFE" w:rsidP="00243B15">
            <w:pPr>
              <w:autoSpaceDN w:val="0"/>
              <w:spacing w:after="0"/>
              <w:jc w:val="left"/>
              <w:rPr>
                <w:sz w:val="18"/>
                <w:szCs w:val="18"/>
                <w:lang w:val="fr-CA"/>
              </w:rPr>
            </w:pPr>
            <w:r w:rsidRPr="00E379FD">
              <w:rPr>
                <w:sz w:val="18"/>
                <w:szCs w:val="18"/>
                <w:lang w:val="fr-CA"/>
              </w:rPr>
              <w:t>1, 2, 3</w:t>
            </w:r>
            <w:r w:rsidR="002B1FCA">
              <w:rPr>
                <w:sz w:val="18"/>
                <w:szCs w:val="18"/>
                <w:lang w:val="fr-CA"/>
              </w:rPr>
              <w:t>,</w:t>
            </w:r>
            <w:r w:rsidRPr="00E379FD">
              <w:rPr>
                <w:sz w:val="18"/>
                <w:szCs w:val="18"/>
                <w:lang w:val="fr-CA"/>
              </w:rPr>
              <w:t xml:space="preserve"> 4</w:t>
            </w:r>
          </w:p>
        </w:tc>
      </w:tr>
      <w:tr w:rsidR="00302BFE" w:rsidRPr="00E379FD" w14:paraId="44030873" w14:textId="77777777" w:rsidTr="00243B15">
        <w:trPr>
          <w:jc w:val="center"/>
        </w:trPr>
        <w:tc>
          <w:tcPr>
            <w:tcW w:w="1882" w:type="dxa"/>
            <w:tcBorders>
              <w:top w:val="single" w:sz="4" w:space="0" w:color="auto"/>
              <w:left w:val="single" w:sz="4" w:space="0" w:color="auto"/>
              <w:bottom w:val="single" w:sz="4" w:space="0" w:color="auto"/>
              <w:right w:val="single" w:sz="4" w:space="0" w:color="auto"/>
            </w:tcBorders>
            <w:vAlign w:val="center"/>
          </w:tcPr>
          <w:p w14:paraId="63B7EB1C" w14:textId="77777777" w:rsidR="00302BFE" w:rsidRPr="005C25D0" w:rsidRDefault="00302BFE" w:rsidP="00243B15">
            <w:pPr>
              <w:shd w:val="clear" w:color="auto" w:fill="FFFFFF"/>
              <w:spacing w:after="0"/>
              <w:jc w:val="left"/>
              <w:rPr>
                <w:b/>
                <w:bCs/>
                <w:iCs/>
                <w:sz w:val="18"/>
                <w:szCs w:val="18"/>
                <w:lang w:val="en-CA"/>
              </w:rPr>
            </w:pPr>
            <w:r w:rsidRPr="005C25D0">
              <w:rPr>
                <w:b/>
                <w:bCs/>
                <w:iCs/>
                <w:sz w:val="18"/>
                <w:szCs w:val="18"/>
                <w:lang w:val="en-CA"/>
              </w:rPr>
              <w:t xml:space="preserve">Directorate General of </w:t>
            </w:r>
            <w:r w:rsidRPr="00276A8C">
              <w:rPr>
                <w:b/>
                <w:bCs/>
                <w:iCs/>
                <w:sz w:val="18"/>
                <w:szCs w:val="18"/>
                <w:lang w:val="en-CA"/>
              </w:rPr>
              <w:t>Waters</w:t>
            </w:r>
            <w:r w:rsidRPr="005C25D0">
              <w:rPr>
                <w:b/>
                <w:bCs/>
                <w:iCs/>
                <w:sz w:val="18"/>
                <w:szCs w:val="18"/>
                <w:lang w:val="en-CA"/>
              </w:rPr>
              <w:t xml:space="preserve"> and Forests (DGEF) / MEGECC</w:t>
            </w:r>
          </w:p>
        </w:tc>
        <w:tc>
          <w:tcPr>
            <w:tcW w:w="3827" w:type="dxa"/>
            <w:tcBorders>
              <w:top w:val="single" w:sz="4" w:space="0" w:color="auto"/>
              <w:left w:val="single" w:sz="4" w:space="0" w:color="auto"/>
              <w:bottom w:val="single" w:sz="4" w:space="0" w:color="auto"/>
              <w:right w:val="single" w:sz="4" w:space="0" w:color="auto"/>
            </w:tcBorders>
            <w:vAlign w:val="center"/>
          </w:tcPr>
          <w:p w14:paraId="21C36D30" w14:textId="77777777" w:rsidR="00302BFE" w:rsidRPr="00E379FD" w:rsidRDefault="00302BFE" w:rsidP="00C46720">
            <w:pPr>
              <w:numPr>
                <w:ilvl w:val="0"/>
                <w:numId w:val="38"/>
              </w:numPr>
              <w:autoSpaceDN w:val="0"/>
              <w:spacing w:after="0"/>
              <w:jc w:val="left"/>
              <w:rPr>
                <w:rFonts w:eastAsia="Cambria"/>
                <w:sz w:val="18"/>
                <w:szCs w:val="18"/>
                <w:lang w:val="fr-CA"/>
              </w:rPr>
            </w:pPr>
            <w:r w:rsidRPr="005C25D0">
              <w:rPr>
                <w:sz w:val="18"/>
                <w:szCs w:val="18"/>
                <w:lang w:val="en-CA"/>
              </w:rPr>
              <w:t xml:space="preserve">The mission of the DGEF is to design and coordinate the implementation of the national forest and wildlife policy. It ensures the application of the paramilitary status to which forest officers are subject and ensures the organization of the body as well as issues </w:t>
            </w:r>
            <w:r w:rsidRPr="005C25D0">
              <w:rPr>
                <w:sz w:val="18"/>
                <w:szCs w:val="18"/>
                <w:lang w:val="en-CA"/>
              </w:rPr>
              <w:lastRenderedPageBreak/>
              <w:t xml:space="preserve">related to the equipment and military training of forestry agents. </w:t>
            </w:r>
            <w:r>
              <w:rPr>
                <w:sz w:val="18"/>
                <w:szCs w:val="18"/>
                <w:lang w:val="fr-CA"/>
              </w:rPr>
              <w:t>It</w:t>
            </w:r>
            <w:r w:rsidRPr="005C25D0">
              <w:rPr>
                <w:sz w:val="18"/>
                <w:szCs w:val="18"/>
                <w:lang w:val="fr-CA"/>
              </w:rPr>
              <w:t xml:space="preserve"> will :</w:t>
            </w:r>
          </w:p>
          <w:p w14:paraId="61408002" w14:textId="77777777" w:rsidR="00302BFE" w:rsidRPr="00B960B4" w:rsidRDefault="00302BFE" w:rsidP="00C46720">
            <w:pPr>
              <w:numPr>
                <w:ilvl w:val="0"/>
                <w:numId w:val="38"/>
              </w:numPr>
              <w:autoSpaceDN w:val="0"/>
              <w:spacing w:after="0"/>
              <w:jc w:val="left"/>
              <w:rPr>
                <w:rFonts w:eastAsia="Cambria"/>
                <w:sz w:val="18"/>
                <w:szCs w:val="18"/>
                <w:lang w:val="en-CA"/>
              </w:rPr>
            </w:pPr>
            <w:r w:rsidRPr="00B960B4">
              <w:rPr>
                <w:rFonts w:eastAsia="Cambria"/>
                <w:sz w:val="18"/>
                <w:szCs w:val="18"/>
                <w:lang w:val="en-CA"/>
              </w:rPr>
              <w:t>Responsible for reviewing technical reports, project progress and evaluation</w:t>
            </w:r>
          </w:p>
          <w:p w14:paraId="027BC810" w14:textId="77777777" w:rsidR="00302BFE" w:rsidRPr="00B960B4" w:rsidRDefault="00302BFE" w:rsidP="00C46720">
            <w:pPr>
              <w:numPr>
                <w:ilvl w:val="0"/>
                <w:numId w:val="38"/>
              </w:numPr>
              <w:autoSpaceDN w:val="0"/>
              <w:spacing w:after="0"/>
              <w:jc w:val="left"/>
              <w:rPr>
                <w:sz w:val="18"/>
                <w:szCs w:val="18"/>
                <w:lang w:val="en-CA"/>
              </w:rPr>
            </w:pPr>
            <w:r w:rsidRPr="00B960B4">
              <w:rPr>
                <w:sz w:val="18"/>
                <w:szCs w:val="18"/>
                <w:lang w:val="en-CA"/>
              </w:rPr>
              <w:t>Contribute to project monitoring and evaluation, be responsible for technical and financial reporting to UNDP and for incorporating lessons learned into knowledge sharing networks</w:t>
            </w:r>
          </w:p>
          <w:p w14:paraId="61B6C08A" w14:textId="77777777" w:rsidR="00302BFE" w:rsidRPr="005C25D0" w:rsidRDefault="00302BFE" w:rsidP="00C46720">
            <w:pPr>
              <w:numPr>
                <w:ilvl w:val="0"/>
                <w:numId w:val="38"/>
              </w:numPr>
              <w:autoSpaceDN w:val="0"/>
              <w:spacing w:after="0"/>
              <w:jc w:val="left"/>
              <w:rPr>
                <w:sz w:val="18"/>
                <w:szCs w:val="18"/>
                <w:lang w:val="en-CA"/>
              </w:rPr>
            </w:pPr>
            <w:r w:rsidRPr="00B960B4">
              <w:rPr>
                <w:sz w:val="18"/>
                <w:szCs w:val="18"/>
                <w:lang w:val="en-CA"/>
              </w:rPr>
              <w:t>Participate in the development and implementation of the monitoring and evaluation plan, including a contribution to the preparation of the Project Implementation Report (PIR).</w:t>
            </w:r>
          </w:p>
        </w:tc>
        <w:tc>
          <w:tcPr>
            <w:tcW w:w="6193" w:type="dxa"/>
            <w:tcBorders>
              <w:top w:val="single" w:sz="4" w:space="0" w:color="auto"/>
              <w:left w:val="single" w:sz="4" w:space="0" w:color="auto"/>
              <w:bottom w:val="single" w:sz="4" w:space="0" w:color="auto"/>
              <w:right w:val="single" w:sz="4" w:space="0" w:color="auto"/>
            </w:tcBorders>
            <w:vAlign w:val="center"/>
          </w:tcPr>
          <w:p w14:paraId="3B0546DA" w14:textId="77777777" w:rsidR="00302BFE" w:rsidRPr="003C5FF1" w:rsidRDefault="00302BFE" w:rsidP="00C46720">
            <w:pPr>
              <w:numPr>
                <w:ilvl w:val="0"/>
                <w:numId w:val="38"/>
              </w:numPr>
              <w:autoSpaceDN w:val="0"/>
              <w:spacing w:after="0"/>
              <w:jc w:val="left"/>
              <w:rPr>
                <w:sz w:val="18"/>
                <w:szCs w:val="18"/>
                <w:lang w:val="en-CA"/>
              </w:rPr>
            </w:pPr>
            <w:r w:rsidRPr="003C5FF1">
              <w:rPr>
                <w:sz w:val="18"/>
                <w:szCs w:val="18"/>
                <w:lang w:val="en-CA"/>
              </w:rPr>
              <w:lastRenderedPageBreak/>
              <w:t>DGEF will be kept informed of the activities and progress of the project on an ongoing basis;</w:t>
            </w:r>
          </w:p>
          <w:p w14:paraId="547BE612" w14:textId="77777777" w:rsidR="00302BFE" w:rsidRPr="003C5FF1" w:rsidRDefault="00302BFE" w:rsidP="00C46720">
            <w:pPr>
              <w:numPr>
                <w:ilvl w:val="0"/>
                <w:numId w:val="38"/>
              </w:numPr>
              <w:autoSpaceDN w:val="0"/>
              <w:spacing w:after="0"/>
              <w:jc w:val="left"/>
              <w:rPr>
                <w:sz w:val="18"/>
                <w:szCs w:val="18"/>
                <w:lang w:val="en-CA"/>
              </w:rPr>
            </w:pPr>
            <w:r w:rsidRPr="003C5FF1">
              <w:rPr>
                <w:sz w:val="18"/>
                <w:szCs w:val="18"/>
                <w:lang w:val="en-CA"/>
              </w:rPr>
              <w:t>The DGEF will lead the institutional changes related to the management of the PAs of the PONASI complex (</w:t>
            </w:r>
            <w:r>
              <w:rPr>
                <w:sz w:val="18"/>
                <w:szCs w:val="18"/>
                <w:lang w:val="en-CA"/>
              </w:rPr>
              <w:t>output</w:t>
            </w:r>
            <w:r w:rsidRPr="00616C8C">
              <w:rPr>
                <w:sz w:val="18"/>
                <w:szCs w:val="18"/>
                <w:lang w:val="en-CA"/>
              </w:rPr>
              <w:t xml:space="preserve"> </w:t>
            </w:r>
            <w:r w:rsidRPr="003C5FF1">
              <w:rPr>
                <w:sz w:val="18"/>
                <w:szCs w:val="18"/>
                <w:lang w:val="en-CA"/>
              </w:rPr>
              <w:t>2.1.1)</w:t>
            </w:r>
          </w:p>
          <w:p w14:paraId="30362851" w14:textId="77777777" w:rsidR="00302BFE" w:rsidRPr="003C5FF1" w:rsidRDefault="00302BFE" w:rsidP="00C46720">
            <w:pPr>
              <w:numPr>
                <w:ilvl w:val="0"/>
                <w:numId w:val="38"/>
              </w:numPr>
              <w:autoSpaceDN w:val="0"/>
              <w:spacing w:after="0"/>
              <w:jc w:val="left"/>
              <w:rPr>
                <w:sz w:val="18"/>
                <w:szCs w:val="18"/>
                <w:lang w:val="en-CA"/>
              </w:rPr>
            </w:pPr>
            <w:r w:rsidRPr="003C5FF1">
              <w:rPr>
                <w:sz w:val="18"/>
                <w:szCs w:val="18"/>
                <w:lang w:val="en-CA"/>
              </w:rPr>
              <w:t>The DGEF will coordinate sustainable management actions of protected areas including the KTFN, forest resources and biodiversity</w:t>
            </w:r>
          </w:p>
          <w:p w14:paraId="28B574DB" w14:textId="77777777" w:rsidR="00302BFE" w:rsidRPr="003C5FF1" w:rsidRDefault="00302BFE" w:rsidP="00C46720">
            <w:pPr>
              <w:numPr>
                <w:ilvl w:val="0"/>
                <w:numId w:val="38"/>
              </w:numPr>
              <w:autoSpaceDN w:val="0"/>
              <w:spacing w:after="0"/>
              <w:jc w:val="left"/>
              <w:rPr>
                <w:sz w:val="18"/>
                <w:szCs w:val="18"/>
                <w:lang w:val="en-CA"/>
              </w:rPr>
            </w:pPr>
            <w:r w:rsidRPr="003C5FF1">
              <w:rPr>
                <w:sz w:val="18"/>
                <w:szCs w:val="18"/>
                <w:lang w:val="en-CA"/>
              </w:rPr>
              <w:t>It will be responsible for management actions in the PNKT</w:t>
            </w:r>
          </w:p>
          <w:p w14:paraId="5450CFB2" w14:textId="77777777" w:rsidR="00302BFE" w:rsidRPr="003C5FF1" w:rsidRDefault="00302BFE" w:rsidP="00C46720">
            <w:pPr>
              <w:numPr>
                <w:ilvl w:val="0"/>
                <w:numId w:val="38"/>
              </w:numPr>
              <w:autoSpaceDN w:val="0"/>
              <w:spacing w:after="0"/>
              <w:jc w:val="left"/>
              <w:rPr>
                <w:sz w:val="18"/>
                <w:szCs w:val="18"/>
                <w:lang w:val="en-CA"/>
              </w:rPr>
            </w:pPr>
            <w:r w:rsidRPr="003C5FF1">
              <w:rPr>
                <w:sz w:val="18"/>
                <w:szCs w:val="18"/>
                <w:lang w:val="en-CA"/>
              </w:rPr>
              <w:lastRenderedPageBreak/>
              <w:t>The DGEF will contribute to the identification of the production sites for the NTFP sectors which will be developed in particular with regard to shea through the evaluation of the potential (</w:t>
            </w:r>
            <w:r>
              <w:rPr>
                <w:sz w:val="18"/>
                <w:szCs w:val="18"/>
                <w:lang w:val="en-CA"/>
              </w:rPr>
              <w:t>output</w:t>
            </w:r>
            <w:r w:rsidRPr="00616C8C">
              <w:rPr>
                <w:sz w:val="18"/>
                <w:szCs w:val="18"/>
                <w:lang w:val="en-CA"/>
              </w:rPr>
              <w:t xml:space="preserve"> </w:t>
            </w:r>
            <w:r w:rsidRPr="003C5FF1">
              <w:rPr>
                <w:sz w:val="18"/>
                <w:szCs w:val="18"/>
                <w:lang w:val="en-CA"/>
              </w:rPr>
              <w:t>3.3.5)</w:t>
            </w:r>
          </w:p>
          <w:p w14:paraId="3B3CCD36" w14:textId="77777777" w:rsidR="00302BFE" w:rsidRPr="003C5FF1" w:rsidRDefault="00302BFE" w:rsidP="00C46720">
            <w:pPr>
              <w:numPr>
                <w:ilvl w:val="0"/>
                <w:numId w:val="38"/>
              </w:numPr>
              <w:autoSpaceDN w:val="0"/>
              <w:spacing w:after="0"/>
              <w:jc w:val="left"/>
              <w:rPr>
                <w:rFonts w:eastAsia="Cambria"/>
                <w:sz w:val="18"/>
                <w:szCs w:val="18"/>
                <w:lang w:val="en-CA"/>
              </w:rPr>
            </w:pPr>
            <w:r w:rsidRPr="003C5FF1">
              <w:rPr>
                <w:sz w:val="18"/>
                <w:szCs w:val="18"/>
                <w:lang w:val="en-CA"/>
              </w:rPr>
              <w:t>It will coordinate anti-poaching actions (</w:t>
            </w:r>
            <w:r>
              <w:rPr>
                <w:sz w:val="18"/>
                <w:szCs w:val="18"/>
                <w:lang w:val="en-CA"/>
              </w:rPr>
              <w:t>output</w:t>
            </w:r>
            <w:r w:rsidRPr="00616C8C">
              <w:rPr>
                <w:sz w:val="18"/>
                <w:szCs w:val="18"/>
                <w:lang w:val="en-CA"/>
              </w:rPr>
              <w:t xml:space="preserve"> </w:t>
            </w:r>
            <w:r w:rsidRPr="003C5FF1">
              <w:rPr>
                <w:sz w:val="18"/>
                <w:szCs w:val="18"/>
                <w:lang w:val="en-CA"/>
              </w:rPr>
              <w:t>2.2.5)</w:t>
            </w:r>
          </w:p>
        </w:tc>
        <w:tc>
          <w:tcPr>
            <w:tcW w:w="1985" w:type="dxa"/>
            <w:tcBorders>
              <w:top w:val="single" w:sz="4" w:space="0" w:color="auto"/>
              <w:left w:val="single" w:sz="4" w:space="0" w:color="auto"/>
              <w:bottom w:val="single" w:sz="4" w:space="0" w:color="auto"/>
              <w:right w:val="single" w:sz="4" w:space="0" w:color="auto"/>
            </w:tcBorders>
            <w:vAlign w:val="center"/>
          </w:tcPr>
          <w:p w14:paraId="26995986" w14:textId="77777777" w:rsidR="00302BFE" w:rsidRPr="00CF4D08" w:rsidRDefault="00302BFE" w:rsidP="00243B15">
            <w:pPr>
              <w:pStyle w:val="PrformatHTML"/>
              <w:shd w:val="clear" w:color="auto" w:fill="FFFFFF"/>
              <w:rPr>
                <w:rFonts w:ascii="Calibri" w:hAnsi="Calibri" w:cs="Times New Roman"/>
                <w:sz w:val="18"/>
                <w:szCs w:val="18"/>
                <w:lang w:val="en-CA"/>
              </w:rPr>
            </w:pPr>
            <w:r w:rsidRPr="00CF4D08">
              <w:rPr>
                <w:rFonts w:ascii="Calibri" w:hAnsi="Calibri" w:cs="Times New Roman"/>
                <w:sz w:val="18"/>
                <w:szCs w:val="18"/>
                <w:lang w:val="en-CA"/>
              </w:rPr>
              <w:lastRenderedPageBreak/>
              <w:t>Achieve project results and outputs through better coordination and implementation of protected area management actions</w:t>
            </w:r>
          </w:p>
        </w:tc>
        <w:tc>
          <w:tcPr>
            <w:tcW w:w="850" w:type="dxa"/>
            <w:tcBorders>
              <w:top w:val="single" w:sz="4" w:space="0" w:color="auto"/>
              <w:left w:val="single" w:sz="4" w:space="0" w:color="auto"/>
              <w:bottom w:val="single" w:sz="4" w:space="0" w:color="auto"/>
              <w:right w:val="single" w:sz="4" w:space="0" w:color="auto"/>
            </w:tcBorders>
            <w:vAlign w:val="center"/>
          </w:tcPr>
          <w:p w14:paraId="640C3967" w14:textId="77777777" w:rsidR="00302BFE" w:rsidRPr="00E379FD" w:rsidRDefault="00302BFE" w:rsidP="00243B15">
            <w:pPr>
              <w:autoSpaceDN w:val="0"/>
              <w:spacing w:after="0"/>
              <w:jc w:val="left"/>
              <w:rPr>
                <w:sz w:val="18"/>
                <w:szCs w:val="18"/>
                <w:lang w:val="fr-CA"/>
              </w:rPr>
            </w:pPr>
            <w:r w:rsidRPr="00E379FD">
              <w:rPr>
                <w:sz w:val="18"/>
                <w:szCs w:val="18"/>
                <w:lang w:val="fr-CA"/>
              </w:rPr>
              <w:t>1, 2, 3; 4</w:t>
            </w:r>
          </w:p>
        </w:tc>
      </w:tr>
      <w:tr w:rsidR="00302BFE" w:rsidRPr="00E379FD" w14:paraId="3E504404" w14:textId="77777777" w:rsidTr="00243B15">
        <w:trPr>
          <w:jc w:val="center"/>
        </w:trPr>
        <w:tc>
          <w:tcPr>
            <w:tcW w:w="1882" w:type="dxa"/>
            <w:tcBorders>
              <w:top w:val="single" w:sz="4" w:space="0" w:color="auto"/>
              <w:left w:val="single" w:sz="4" w:space="0" w:color="auto"/>
              <w:bottom w:val="single" w:sz="4" w:space="0" w:color="auto"/>
              <w:right w:val="single" w:sz="4" w:space="0" w:color="auto"/>
            </w:tcBorders>
            <w:vAlign w:val="center"/>
          </w:tcPr>
          <w:p w14:paraId="4367EA0F" w14:textId="77777777" w:rsidR="00302BFE" w:rsidRPr="004114F0" w:rsidRDefault="00302BFE" w:rsidP="00243B15">
            <w:pPr>
              <w:shd w:val="clear" w:color="auto" w:fill="FFFFFF"/>
              <w:spacing w:after="0"/>
              <w:jc w:val="left"/>
              <w:rPr>
                <w:rStyle w:val="hps"/>
                <w:rFonts w:eastAsia="Cambria"/>
                <w:sz w:val="18"/>
                <w:szCs w:val="18"/>
                <w:lang w:val="en-CA"/>
              </w:rPr>
            </w:pPr>
            <w:bookmarkStart w:id="65" w:name="_Hlk8924170"/>
            <w:r w:rsidRPr="00276A8C">
              <w:rPr>
                <w:rFonts w:eastAsia="Calibri"/>
                <w:b/>
                <w:sz w:val="18"/>
                <w:szCs w:val="18"/>
                <w:lang w:val="en-CA"/>
              </w:rPr>
              <w:t xml:space="preserve">National Office of Protected Areas </w:t>
            </w:r>
            <w:bookmarkEnd w:id="65"/>
            <w:r w:rsidRPr="00276A8C">
              <w:rPr>
                <w:rFonts w:eastAsia="Calibri"/>
                <w:b/>
                <w:sz w:val="18"/>
                <w:szCs w:val="18"/>
                <w:lang w:val="en-CA"/>
              </w:rPr>
              <w:t>(OFINAP)</w:t>
            </w:r>
            <w:r w:rsidRPr="004114F0">
              <w:rPr>
                <w:rFonts w:eastAsia="Calibri"/>
                <w:sz w:val="18"/>
                <w:szCs w:val="18"/>
                <w:lang w:val="en-CA"/>
              </w:rPr>
              <w:t xml:space="preserve"> / </w:t>
            </w:r>
            <w:r w:rsidRPr="004114F0">
              <w:rPr>
                <w:rFonts w:eastAsia="Calibri"/>
                <w:b/>
                <w:sz w:val="18"/>
                <w:szCs w:val="18"/>
                <w:lang w:val="en-CA"/>
              </w:rPr>
              <w:t>MEGECC</w:t>
            </w:r>
          </w:p>
        </w:tc>
        <w:tc>
          <w:tcPr>
            <w:tcW w:w="3827" w:type="dxa"/>
            <w:tcBorders>
              <w:top w:val="single" w:sz="4" w:space="0" w:color="auto"/>
              <w:left w:val="single" w:sz="4" w:space="0" w:color="auto"/>
              <w:bottom w:val="single" w:sz="4" w:space="0" w:color="auto"/>
              <w:right w:val="single" w:sz="4" w:space="0" w:color="auto"/>
            </w:tcBorders>
            <w:vAlign w:val="center"/>
          </w:tcPr>
          <w:p w14:paraId="048B29D4" w14:textId="77777777" w:rsidR="00302BFE" w:rsidRPr="00B960B4" w:rsidRDefault="00302BFE" w:rsidP="00243B15">
            <w:pPr>
              <w:spacing w:after="0"/>
              <w:ind w:firstLine="15"/>
              <w:jc w:val="left"/>
              <w:rPr>
                <w:sz w:val="18"/>
                <w:szCs w:val="18"/>
                <w:lang w:val="en-CA"/>
              </w:rPr>
            </w:pPr>
            <w:r w:rsidRPr="00B960B4">
              <w:rPr>
                <w:sz w:val="18"/>
                <w:szCs w:val="18"/>
                <w:lang w:val="en-CA"/>
              </w:rPr>
              <w:t>OFINAP is responsible for the sustainable management of State forests and territorial communities; strengthen participatory management of natural and wildlife resources; to develop the partnership between the State, local authorities, civil society organizations and the private sector; promote all types of forest and wildlife resource management activities that can sustainably combat poverty; to set up a financing system adapted to conservation missions. In the project area, the Nazinga Game Ranch is under his responsibility.</w:t>
            </w:r>
          </w:p>
          <w:p w14:paraId="69D05E77" w14:textId="77777777" w:rsidR="00302BFE" w:rsidRPr="00B960B4" w:rsidRDefault="00302BFE" w:rsidP="00243B15">
            <w:pPr>
              <w:autoSpaceDN w:val="0"/>
              <w:spacing w:after="0"/>
              <w:jc w:val="left"/>
              <w:rPr>
                <w:rFonts w:eastAsia="Cambria"/>
                <w:sz w:val="18"/>
                <w:szCs w:val="18"/>
                <w:lang w:val="en-CA"/>
              </w:rPr>
            </w:pPr>
            <w:r w:rsidRPr="00B960B4">
              <w:rPr>
                <w:sz w:val="18"/>
                <w:szCs w:val="18"/>
                <w:lang w:val="en-CA"/>
              </w:rPr>
              <w:t>In this project it w</w:t>
            </w:r>
            <w:r>
              <w:rPr>
                <w:sz w:val="18"/>
                <w:szCs w:val="18"/>
                <w:lang w:val="en-CA"/>
              </w:rPr>
              <w:t>ill:</w:t>
            </w:r>
          </w:p>
          <w:p w14:paraId="79C4DAC3" w14:textId="77777777" w:rsidR="00302BFE" w:rsidRPr="00B960B4" w:rsidRDefault="00302BFE" w:rsidP="00C46720">
            <w:pPr>
              <w:numPr>
                <w:ilvl w:val="0"/>
                <w:numId w:val="38"/>
              </w:numPr>
              <w:autoSpaceDN w:val="0"/>
              <w:spacing w:after="0"/>
              <w:jc w:val="left"/>
              <w:rPr>
                <w:rFonts w:eastAsia="Cambria"/>
                <w:sz w:val="18"/>
                <w:szCs w:val="18"/>
                <w:lang w:val="en-CA"/>
              </w:rPr>
            </w:pPr>
            <w:r w:rsidRPr="00B960B4">
              <w:rPr>
                <w:rFonts w:eastAsia="Cambria"/>
                <w:sz w:val="18"/>
                <w:szCs w:val="18"/>
                <w:lang w:val="en-CA"/>
              </w:rPr>
              <w:t>Contribute to the review of project technical, progress and evaluation reports;</w:t>
            </w:r>
          </w:p>
          <w:p w14:paraId="10095B63" w14:textId="77777777" w:rsidR="00302BFE" w:rsidRPr="00B960B4" w:rsidRDefault="00302BFE" w:rsidP="00C46720">
            <w:pPr>
              <w:numPr>
                <w:ilvl w:val="0"/>
                <w:numId w:val="38"/>
              </w:numPr>
              <w:autoSpaceDN w:val="0"/>
              <w:spacing w:after="0"/>
              <w:jc w:val="left"/>
              <w:rPr>
                <w:rFonts w:eastAsia="Cambria"/>
                <w:sz w:val="18"/>
                <w:szCs w:val="18"/>
                <w:lang w:val="en-CA"/>
              </w:rPr>
            </w:pPr>
            <w:r w:rsidRPr="00B960B4">
              <w:rPr>
                <w:rFonts w:eastAsia="Cambria"/>
                <w:sz w:val="18"/>
                <w:szCs w:val="18"/>
                <w:lang w:val="en-CA"/>
              </w:rPr>
              <w:t>Contribute to the monitoring and evaluation of the project,</w:t>
            </w:r>
          </w:p>
          <w:p w14:paraId="520391D9" w14:textId="77777777" w:rsidR="00302BFE" w:rsidRPr="00B960B4" w:rsidRDefault="00302BFE" w:rsidP="00C46720">
            <w:pPr>
              <w:numPr>
                <w:ilvl w:val="0"/>
                <w:numId w:val="38"/>
              </w:numPr>
              <w:autoSpaceDN w:val="0"/>
              <w:spacing w:after="0"/>
              <w:jc w:val="left"/>
              <w:rPr>
                <w:sz w:val="18"/>
                <w:szCs w:val="18"/>
                <w:lang w:val="en-CA"/>
              </w:rPr>
            </w:pPr>
            <w:r w:rsidRPr="00B960B4">
              <w:rPr>
                <w:rFonts w:eastAsia="Cambria"/>
                <w:sz w:val="18"/>
                <w:szCs w:val="18"/>
                <w:lang w:val="en-CA"/>
              </w:rPr>
              <w:t>Participate in the development and implementation of the monitoring and evaluation plan, including a contribution to the preparation of the Annual Project Implementation Report</w:t>
            </w:r>
          </w:p>
        </w:tc>
        <w:tc>
          <w:tcPr>
            <w:tcW w:w="6193" w:type="dxa"/>
            <w:tcBorders>
              <w:top w:val="single" w:sz="4" w:space="0" w:color="auto"/>
              <w:left w:val="single" w:sz="4" w:space="0" w:color="auto"/>
              <w:bottom w:val="single" w:sz="4" w:space="0" w:color="auto"/>
              <w:right w:val="single" w:sz="4" w:space="0" w:color="auto"/>
            </w:tcBorders>
            <w:vAlign w:val="center"/>
          </w:tcPr>
          <w:p w14:paraId="6DFF041A" w14:textId="77777777" w:rsidR="00302BFE" w:rsidRPr="006458DA" w:rsidRDefault="00302BFE" w:rsidP="00C46720">
            <w:pPr>
              <w:numPr>
                <w:ilvl w:val="0"/>
                <w:numId w:val="38"/>
              </w:numPr>
              <w:autoSpaceDN w:val="0"/>
              <w:spacing w:after="0"/>
              <w:jc w:val="left"/>
              <w:rPr>
                <w:sz w:val="18"/>
                <w:szCs w:val="18"/>
                <w:lang w:val="en-CA"/>
              </w:rPr>
            </w:pPr>
            <w:r w:rsidRPr="006458DA">
              <w:rPr>
                <w:sz w:val="18"/>
                <w:szCs w:val="18"/>
                <w:lang w:val="en-CA"/>
              </w:rPr>
              <w:t>OFINAP will contribute to sustainable management actions of protected areas and coordinate actions at Nazinga (</w:t>
            </w:r>
            <w:r>
              <w:rPr>
                <w:sz w:val="18"/>
                <w:szCs w:val="18"/>
                <w:lang w:val="en-CA"/>
              </w:rPr>
              <w:t>output</w:t>
            </w:r>
            <w:r w:rsidRPr="00616C8C">
              <w:rPr>
                <w:sz w:val="18"/>
                <w:szCs w:val="18"/>
                <w:lang w:val="en-CA"/>
              </w:rPr>
              <w:t xml:space="preserve"> </w:t>
            </w:r>
            <w:r w:rsidRPr="006458DA">
              <w:rPr>
                <w:sz w:val="18"/>
                <w:szCs w:val="18"/>
                <w:lang w:val="en-CA"/>
              </w:rPr>
              <w:t>2.1.1)</w:t>
            </w:r>
          </w:p>
          <w:p w14:paraId="6B4D4437" w14:textId="77777777" w:rsidR="00302BFE" w:rsidRPr="006458DA" w:rsidRDefault="00302BFE" w:rsidP="00C46720">
            <w:pPr>
              <w:numPr>
                <w:ilvl w:val="0"/>
                <w:numId w:val="38"/>
              </w:numPr>
              <w:autoSpaceDN w:val="0"/>
              <w:spacing w:after="0"/>
              <w:jc w:val="left"/>
              <w:rPr>
                <w:sz w:val="18"/>
                <w:szCs w:val="18"/>
                <w:lang w:val="en-CA"/>
              </w:rPr>
            </w:pPr>
            <w:r w:rsidRPr="006458DA">
              <w:rPr>
                <w:sz w:val="18"/>
                <w:szCs w:val="18"/>
                <w:lang w:val="en-CA"/>
              </w:rPr>
              <w:t>OFINAP will contribute to anti-poaching actions (LAB) (</w:t>
            </w:r>
            <w:r>
              <w:rPr>
                <w:sz w:val="18"/>
                <w:szCs w:val="18"/>
                <w:lang w:val="en-CA"/>
              </w:rPr>
              <w:t>output</w:t>
            </w:r>
            <w:r w:rsidRPr="00616C8C">
              <w:rPr>
                <w:sz w:val="18"/>
                <w:szCs w:val="18"/>
                <w:lang w:val="en-CA"/>
              </w:rPr>
              <w:t xml:space="preserve"> </w:t>
            </w:r>
            <w:r w:rsidRPr="006458DA">
              <w:rPr>
                <w:sz w:val="18"/>
                <w:szCs w:val="18"/>
                <w:lang w:val="en-CA"/>
              </w:rPr>
              <w:t>2.2.5)</w:t>
            </w:r>
          </w:p>
          <w:p w14:paraId="0E3EEC0B" w14:textId="77777777" w:rsidR="00302BFE" w:rsidRPr="006458DA" w:rsidRDefault="00302BFE" w:rsidP="00C46720">
            <w:pPr>
              <w:numPr>
                <w:ilvl w:val="0"/>
                <w:numId w:val="38"/>
              </w:numPr>
              <w:autoSpaceDN w:val="0"/>
              <w:spacing w:after="0"/>
              <w:jc w:val="left"/>
              <w:rPr>
                <w:sz w:val="18"/>
                <w:szCs w:val="18"/>
                <w:lang w:val="en-CA"/>
              </w:rPr>
            </w:pPr>
            <w:r w:rsidRPr="006458DA">
              <w:rPr>
                <w:sz w:val="18"/>
                <w:szCs w:val="18"/>
                <w:lang w:val="en-CA"/>
              </w:rPr>
              <w:t>The Office will also contribute to the development of transboundary agreements, elaboration of texts and study on elephant movement (</w:t>
            </w:r>
            <w:r>
              <w:rPr>
                <w:sz w:val="18"/>
                <w:szCs w:val="18"/>
                <w:lang w:val="en-CA"/>
              </w:rPr>
              <w:t>output</w:t>
            </w:r>
            <w:r w:rsidRPr="00616C8C">
              <w:rPr>
                <w:sz w:val="18"/>
                <w:szCs w:val="18"/>
                <w:lang w:val="en-CA"/>
              </w:rPr>
              <w:t xml:space="preserve"> </w:t>
            </w:r>
            <w:r w:rsidRPr="006458DA">
              <w:rPr>
                <w:sz w:val="18"/>
                <w:szCs w:val="18"/>
                <w:lang w:val="en-CA"/>
              </w:rPr>
              <w:t>2.4.2)</w:t>
            </w:r>
          </w:p>
          <w:p w14:paraId="1EF2116E" w14:textId="77777777" w:rsidR="00302BFE" w:rsidRPr="006458DA" w:rsidRDefault="00302BFE" w:rsidP="00C46720">
            <w:pPr>
              <w:numPr>
                <w:ilvl w:val="0"/>
                <w:numId w:val="38"/>
              </w:numPr>
              <w:autoSpaceDN w:val="0"/>
              <w:spacing w:after="0"/>
              <w:jc w:val="left"/>
              <w:rPr>
                <w:rFonts w:eastAsia="Times New Roman"/>
                <w:sz w:val="18"/>
                <w:szCs w:val="18"/>
                <w:lang w:val="en-CA"/>
              </w:rPr>
            </w:pPr>
            <w:r w:rsidRPr="006458DA">
              <w:rPr>
                <w:sz w:val="18"/>
                <w:szCs w:val="18"/>
                <w:lang w:val="en-CA"/>
              </w:rPr>
              <w:t>OFINAP will sit on the Review Committee.</w:t>
            </w:r>
          </w:p>
        </w:tc>
        <w:tc>
          <w:tcPr>
            <w:tcW w:w="1985" w:type="dxa"/>
            <w:tcBorders>
              <w:top w:val="single" w:sz="4" w:space="0" w:color="auto"/>
              <w:left w:val="single" w:sz="4" w:space="0" w:color="auto"/>
              <w:bottom w:val="single" w:sz="4" w:space="0" w:color="auto"/>
              <w:right w:val="single" w:sz="4" w:space="0" w:color="auto"/>
            </w:tcBorders>
            <w:vAlign w:val="center"/>
          </w:tcPr>
          <w:p w14:paraId="47935B9D" w14:textId="77777777" w:rsidR="00302BFE" w:rsidRPr="00CF4D08" w:rsidRDefault="00302BFE" w:rsidP="00243B15">
            <w:pPr>
              <w:pStyle w:val="PrformatHTML"/>
              <w:shd w:val="clear" w:color="auto" w:fill="FFFFFF"/>
              <w:rPr>
                <w:rFonts w:ascii="Calibri" w:hAnsi="Calibri" w:cs="Times New Roman"/>
                <w:sz w:val="18"/>
                <w:szCs w:val="18"/>
                <w:lang w:val="en-CA"/>
              </w:rPr>
            </w:pPr>
            <w:r w:rsidRPr="00CF4D08">
              <w:rPr>
                <w:rFonts w:ascii="Calibri" w:hAnsi="Calibri" w:cs="Times New Roman"/>
                <w:sz w:val="18"/>
                <w:szCs w:val="18"/>
                <w:lang w:val="en-CA"/>
              </w:rPr>
              <w:t>Achieve project results and outputs through better coordination and implementation of protected area management actions</w:t>
            </w:r>
          </w:p>
        </w:tc>
        <w:tc>
          <w:tcPr>
            <w:tcW w:w="850" w:type="dxa"/>
            <w:tcBorders>
              <w:top w:val="single" w:sz="4" w:space="0" w:color="auto"/>
              <w:left w:val="single" w:sz="4" w:space="0" w:color="auto"/>
              <w:bottom w:val="single" w:sz="4" w:space="0" w:color="auto"/>
              <w:right w:val="single" w:sz="4" w:space="0" w:color="auto"/>
            </w:tcBorders>
            <w:vAlign w:val="center"/>
          </w:tcPr>
          <w:p w14:paraId="7B2E67C7" w14:textId="77777777" w:rsidR="00302BFE" w:rsidRPr="00E379FD" w:rsidRDefault="00302BFE" w:rsidP="00243B15">
            <w:pPr>
              <w:autoSpaceDN w:val="0"/>
              <w:spacing w:after="0"/>
              <w:jc w:val="left"/>
              <w:rPr>
                <w:rFonts w:eastAsia="Cambria"/>
                <w:sz w:val="18"/>
                <w:szCs w:val="18"/>
                <w:lang w:val="fr-CA"/>
              </w:rPr>
            </w:pPr>
            <w:r w:rsidRPr="00E379FD">
              <w:rPr>
                <w:sz w:val="18"/>
                <w:szCs w:val="18"/>
                <w:lang w:val="fr-CA"/>
              </w:rPr>
              <w:t>1; 2; 3; 4</w:t>
            </w:r>
          </w:p>
        </w:tc>
      </w:tr>
      <w:tr w:rsidR="00302BFE" w:rsidRPr="00276A8C" w14:paraId="2AF3EC84" w14:textId="77777777" w:rsidTr="00243B15">
        <w:trPr>
          <w:jc w:val="center"/>
        </w:trPr>
        <w:tc>
          <w:tcPr>
            <w:tcW w:w="1882" w:type="dxa"/>
            <w:tcBorders>
              <w:top w:val="single" w:sz="4" w:space="0" w:color="auto"/>
              <w:left w:val="single" w:sz="4" w:space="0" w:color="auto"/>
              <w:bottom w:val="single" w:sz="4" w:space="0" w:color="auto"/>
              <w:right w:val="single" w:sz="4" w:space="0" w:color="auto"/>
            </w:tcBorders>
            <w:vAlign w:val="center"/>
          </w:tcPr>
          <w:p w14:paraId="284E17B5" w14:textId="77777777" w:rsidR="00302BFE" w:rsidRPr="00276A8C" w:rsidRDefault="00302BFE" w:rsidP="00243B15">
            <w:pPr>
              <w:shd w:val="clear" w:color="auto" w:fill="FFFFFF"/>
              <w:spacing w:after="0"/>
              <w:jc w:val="left"/>
              <w:rPr>
                <w:rFonts w:eastAsia="Calibri"/>
                <w:b/>
                <w:sz w:val="18"/>
                <w:szCs w:val="18"/>
                <w:lang w:val="en-CA"/>
              </w:rPr>
            </w:pPr>
            <w:r w:rsidRPr="00276A8C">
              <w:rPr>
                <w:rFonts w:eastAsia="Calibri"/>
                <w:b/>
                <w:sz w:val="18"/>
                <w:szCs w:val="18"/>
                <w:lang w:val="en-CA"/>
              </w:rPr>
              <w:t>National School of Water and Forests (ENEF) / MEGECC</w:t>
            </w:r>
          </w:p>
        </w:tc>
        <w:tc>
          <w:tcPr>
            <w:tcW w:w="3827" w:type="dxa"/>
            <w:tcBorders>
              <w:top w:val="single" w:sz="4" w:space="0" w:color="auto"/>
              <w:left w:val="single" w:sz="4" w:space="0" w:color="auto"/>
              <w:bottom w:val="single" w:sz="4" w:space="0" w:color="auto"/>
              <w:right w:val="single" w:sz="4" w:space="0" w:color="auto"/>
            </w:tcBorders>
            <w:vAlign w:val="center"/>
          </w:tcPr>
          <w:p w14:paraId="56F054D1" w14:textId="77777777" w:rsidR="00302BFE" w:rsidRPr="00276A8C" w:rsidRDefault="00302BFE" w:rsidP="00243B15">
            <w:pPr>
              <w:spacing w:after="0"/>
              <w:ind w:firstLine="15"/>
              <w:jc w:val="left"/>
              <w:rPr>
                <w:sz w:val="18"/>
                <w:szCs w:val="18"/>
                <w:lang w:val="en-CA"/>
              </w:rPr>
            </w:pPr>
            <w:r w:rsidRPr="00276A8C">
              <w:rPr>
                <w:sz w:val="18"/>
                <w:szCs w:val="18"/>
                <w:lang w:val="en-CA"/>
              </w:rPr>
              <w:t xml:space="preserve">ENEF offers theoretical training programs organized in modules covering topics relevant to the training required in the project, the study of the natural environment, farming systems, development economics, pastoralism, forestry, and environment, develops research / development and experimentation in training units on topics including agro-forestry, </w:t>
            </w:r>
            <w:r w:rsidRPr="00276A8C">
              <w:rPr>
                <w:sz w:val="18"/>
                <w:szCs w:val="18"/>
                <w:lang w:val="en-CA"/>
              </w:rPr>
              <w:lastRenderedPageBreak/>
              <w:t>apiculture, fruit production and agro-silvo-pastoralism, and practical training in school infrastructure (agroforestry experimental field, plant nursery, beekeeping unit).</w:t>
            </w:r>
          </w:p>
        </w:tc>
        <w:tc>
          <w:tcPr>
            <w:tcW w:w="6193" w:type="dxa"/>
            <w:tcBorders>
              <w:top w:val="single" w:sz="4" w:space="0" w:color="auto"/>
              <w:left w:val="single" w:sz="4" w:space="0" w:color="auto"/>
              <w:bottom w:val="single" w:sz="4" w:space="0" w:color="auto"/>
              <w:right w:val="single" w:sz="4" w:space="0" w:color="auto"/>
            </w:tcBorders>
            <w:vAlign w:val="center"/>
          </w:tcPr>
          <w:p w14:paraId="5CF2BC80" w14:textId="77777777" w:rsidR="00302BFE" w:rsidRPr="00276A8C" w:rsidRDefault="00302BFE" w:rsidP="00243B15">
            <w:pPr>
              <w:autoSpaceDN w:val="0"/>
              <w:spacing w:after="0"/>
              <w:jc w:val="left"/>
              <w:rPr>
                <w:sz w:val="18"/>
                <w:szCs w:val="18"/>
                <w:lang w:val="en-CA"/>
              </w:rPr>
            </w:pPr>
            <w:r w:rsidRPr="00276A8C">
              <w:rPr>
                <w:sz w:val="18"/>
                <w:szCs w:val="18"/>
                <w:lang w:val="en-CA"/>
              </w:rPr>
              <w:lastRenderedPageBreak/>
              <w:t>The project will collaborate with ENEF for several trainings planned under the outputs 3.1, 3.2 and 3.3 where the expertise of the school will greatly benefit local community members, more specifically:</w:t>
            </w:r>
          </w:p>
          <w:p w14:paraId="67366DE3" w14:textId="77777777" w:rsidR="00302BFE" w:rsidRPr="00276A8C" w:rsidRDefault="00302BFE" w:rsidP="00C46720">
            <w:pPr>
              <w:numPr>
                <w:ilvl w:val="0"/>
                <w:numId w:val="38"/>
              </w:numPr>
              <w:autoSpaceDN w:val="0"/>
              <w:spacing w:after="0"/>
              <w:jc w:val="left"/>
              <w:rPr>
                <w:sz w:val="18"/>
                <w:szCs w:val="18"/>
                <w:lang w:val="en-CA"/>
              </w:rPr>
            </w:pPr>
            <w:r w:rsidRPr="00276A8C">
              <w:rPr>
                <w:sz w:val="18"/>
                <w:szCs w:val="18"/>
                <w:lang w:val="en-CA"/>
              </w:rPr>
              <w:t>trainings and development of training material and the establishment of demonstration sites as part of output 3.1.3 to support producers and groups in agro-forestry and agro-silvo-pastoralism,</w:t>
            </w:r>
          </w:p>
          <w:p w14:paraId="2E22932E" w14:textId="77777777" w:rsidR="00302BFE" w:rsidRPr="00276A8C" w:rsidRDefault="00302BFE" w:rsidP="00C46720">
            <w:pPr>
              <w:numPr>
                <w:ilvl w:val="0"/>
                <w:numId w:val="38"/>
              </w:numPr>
              <w:autoSpaceDN w:val="0"/>
              <w:spacing w:after="0"/>
              <w:jc w:val="left"/>
              <w:rPr>
                <w:sz w:val="18"/>
                <w:szCs w:val="18"/>
                <w:lang w:val="en-CA"/>
              </w:rPr>
            </w:pPr>
            <w:r w:rsidRPr="00276A8C">
              <w:rPr>
                <w:sz w:val="18"/>
                <w:szCs w:val="18"/>
                <w:lang w:val="en-CA"/>
              </w:rPr>
              <w:t>trainings on improved practices for rangeland and pasture management as part of output 3.2.2,</w:t>
            </w:r>
          </w:p>
          <w:p w14:paraId="7F750CE5" w14:textId="77777777" w:rsidR="00302BFE" w:rsidRPr="00276A8C" w:rsidRDefault="00302BFE" w:rsidP="00C46720">
            <w:pPr>
              <w:numPr>
                <w:ilvl w:val="0"/>
                <w:numId w:val="38"/>
              </w:numPr>
              <w:autoSpaceDN w:val="0"/>
              <w:spacing w:after="0"/>
              <w:jc w:val="left"/>
              <w:rPr>
                <w:sz w:val="18"/>
                <w:szCs w:val="18"/>
                <w:lang w:val="en-CA"/>
              </w:rPr>
            </w:pPr>
            <w:r w:rsidRPr="00276A8C">
              <w:rPr>
                <w:sz w:val="18"/>
                <w:szCs w:val="18"/>
                <w:lang w:val="en-CA"/>
              </w:rPr>
              <w:lastRenderedPageBreak/>
              <w:t>trainings on the sustainable use of non-timber forest products and on beekeeping as part of output 3.3.5.</w:t>
            </w:r>
          </w:p>
        </w:tc>
        <w:tc>
          <w:tcPr>
            <w:tcW w:w="1985" w:type="dxa"/>
            <w:tcBorders>
              <w:top w:val="single" w:sz="4" w:space="0" w:color="auto"/>
              <w:left w:val="single" w:sz="4" w:space="0" w:color="auto"/>
              <w:bottom w:val="single" w:sz="4" w:space="0" w:color="auto"/>
              <w:right w:val="single" w:sz="4" w:space="0" w:color="auto"/>
            </w:tcBorders>
            <w:vAlign w:val="center"/>
          </w:tcPr>
          <w:p w14:paraId="487CAE71" w14:textId="77777777" w:rsidR="00302BFE" w:rsidRPr="00276A8C" w:rsidRDefault="00302BFE" w:rsidP="00243B15">
            <w:pPr>
              <w:pStyle w:val="PrformatHTML"/>
              <w:shd w:val="clear" w:color="auto" w:fill="FFFFFF"/>
              <w:rPr>
                <w:rFonts w:ascii="Calibri" w:hAnsi="Calibri" w:cs="Times New Roman"/>
                <w:sz w:val="18"/>
                <w:szCs w:val="18"/>
                <w:lang w:val="en-CA"/>
              </w:rPr>
            </w:pPr>
            <w:r w:rsidRPr="00276A8C">
              <w:rPr>
                <w:rFonts w:ascii="Calibri" w:hAnsi="Calibri" w:cs="Times New Roman"/>
                <w:sz w:val="18"/>
                <w:szCs w:val="18"/>
                <w:lang w:val="en-CA"/>
              </w:rPr>
              <w:lastRenderedPageBreak/>
              <w:t>More sustainable capacity development as training modules improved through the project will be integrated in the curriculum of the school.</w:t>
            </w:r>
          </w:p>
        </w:tc>
        <w:tc>
          <w:tcPr>
            <w:tcW w:w="850" w:type="dxa"/>
            <w:tcBorders>
              <w:top w:val="single" w:sz="4" w:space="0" w:color="auto"/>
              <w:left w:val="single" w:sz="4" w:space="0" w:color="auto"/>
              <w:bottom w:val="single" w:sz="4" w:space="0" w:color="auto"/>
              <w:right w:val="single" w:sz="4" w:space="0" w:color="auto"/>
            </w:tcBorders>
            <w:vAlign w:val="center"/>
          </w:tcPr>
          <w:p w14:paraId="723D0BA0" w14:textId="77777777" w:rsidR="00302BFE" w:rsidRPr="00276A8C" w:rsidRDefault="00302BFE" w:rsidP="00243B15">
            <w:pPr>
              <w:autoSpaceDN w:val="0"/>
              <w:spacing w:after="0"/>
              <w:jc w:val="left"/>
              <w:rPr>
                <w:sz w:val="18"/>
                <w:szCs w:val="18"/>
                <w:lang w:val="en-CA"/>
              </w:rPr>
            </w:pPr>
            <w:r w:rsidRPr="00276A8C">
              <w:rPr>
                <w:sz w:val="18"/>
                <w:szCs w:val="18"/>
                <w:lang w:val="en-CA"/>
              </w:rPr>
              <w:t>3, 4</w:t>
            </w:r>
          </w:p>
        </w:tc>
      </w:tr>
      <w:tr w:rsidR="00302BFE" w:rsidRPr="00E379FD" w14:paraId="31ADBA2F" w14:textId="77777777" w:rsidTr="00243B15">
        <w:trPr>
          <w:jc w:val="center"/>
        </w:trPr>
        <w:tc>
          <w:tcPr>
            <w:tcW w:w="1882" w:type="dxa"/>
            <w:tcBorders>
              <w:top w:val="single" w:sz="4" w:space="0" w:color="auto"/>
              <w:left w:val="single" w:sz="4" w:space="0" w:color="auto"/>
              <w:bottom w:val="single" w:sz="4" w:space="0" w:color="auto"/>
              <w:right w:val="single" w:sz="4" w:space="0" w:color="auto"/>
            </w:tcBorders>
            <w:vAlign w:val="center"/>
          </w:tcPr>
          <w:p w14:paraId="6AC5534D" w14:textId="77777777" w:rsidR="00302BFE" w:rsidRPr="00B960B4" w:rsidRDefault="00302BFE" w:rsidP="00243B15">
            <w:pPr>
              <w:shd w:val="clear" w:color="auto" w:fill="FFFFFF"/>
              <w:spacing w:after="0"/>
              <w:jc w:val="left"/>
              <w:rPr>
                <w:rStyle w:val="hps"/>
                <w:rFonts w:eastAsia="Cambria"/>
                <w:sz w:val="18"/>
                <w:szCs w:val="18"/>
                <w:lang w:val="en-CA"/>
              </w:rPr>
            </w:pPr>
            <w:r w:rsidRPr="00B960B4">
              <w:rPr>
                <w:rStyle w:val="hps"/>
                <w:sz w:val="18"/>
                <w:szCs w:val="18"/>
                <w:lang w:val="en-CA"/>
              </w:rPr>
              <w:t>National Observatory of the Environment and Sustainable Development / MEGECC</w:t>
            </w:r>
          </w:p>
        </w:tc>
        <w:tc>
          <w:tcPr>
            <w:tcW w:w="3827" w:type="dxa"/>
            <w:tcBorders>
              <w:top w:val="single" w:sz="4" w:space="0" w:color="auto"/>
              <w:left w:val="single" w:sz="4" w:space="0" w:color="auto"/>
              <w:bottom w:val="single" w:sz="4" w:space="0" w:color="auto"/>
              <w:right w:val="single" w:sz="4" w:space="0" w:color="auto"/>
            </w:tcBorders>
            <w:vAlign w:val="center"/>
          </w:tcPr>
          <w:p w14:paraId="2F199886" w14:textId="77777777" w:rsidR="00302BFE" w:rsidRPr="00B960B4" w:rsidRDefault="00302BFE" w:rsidP="00243B15">
            <w:pPr>
              <w:pStyle w:val="NormalWeb"/>
              <w:spacing w:before="0" w:beforeAutospacing="0" w:after="0" w:afterAutospacing="0"/>
              <w:jc w:val="left"/>
              <w:rPr>
                <w:rFonts w:ascii="Calibri" w:hAnsi="Calibri"/>
                <w:sz w:val="18"/>
                <w:szCs w:val="18"/>
                <w:lang w:val="en-CA"/>
              </w:rPr>
            </w:pPr>
            <w:r w:rsidRPr="00B960B4">
              <w:rPr>
                <w:rFonts w:ascii="Calibri" w:hAnsi="Calibri"/>
                <w:sz w:val="18"/>
                <w:szCs w:val="18"/>
                <w:lang w:val="en-CA"/>
              </w:rPr>
              <w:t>ONEDD is a mechanism providing support to the SP-CNDD and its various divisions (DPCIE, DPE and DCIME) in terms of surveillance and monitoring-evaluation of the environment and sustainable development.</w:t>
            </w:r>
          </w:p>
          <w:p w14:paraId="03FD27B9" w14:textId="77777777" w:rsidR="00302BFE" w:rsidRPr="00E379FD" w:rsidRDefault="00302BFE" w:rsidP="00243B15">
            <w:pPr>
              <w:pStyle w:val="NormalWeb"/>
              <w:spacing w:before="0" w:beforeAutospacing="0" w:after="0" w:afterAutospacing="0"/>
              <w:jc w:val="left"/>
              <w:rPr>
                <w:rFonts w:ascii="Calibri" w:hAnsi="Calibri"/>
                <w:sz w:val="18"/>
                <w:szCs w:val="18"/>
                <w:lang w:val="fr-CA"/>
              </w:rPr>
            </w:pPr>
            <w:r w:rsidRPr="00B960B4">
              <w:rPr>
                <w:rFonts w:ascii="Calibri" w:hAnsi="Calibri"/>
                <w:sz w:val="18"/>
                <w:szCs w:val="18"/>
                <w:lang w:val="en-CA"/>
              </w:rPr>
              <w:t xml:space="preserve">As part of the project, ONEDD will provide direct support for monitoring and evaluation, support for the development of data collection tools and data capitalization. </w:t>
            </w:r>
            <w:r w:rsidRPr="00B960B4">
              <w:rPr>
                <w:rFonts w:ascii="Calibri" w:hAnsi="Calibri"/>
                <w:sz w:val="18"/>
                <w:szCs w:val="18"/>
                <w:lang w:val="fr-CA"/>
              </w:rPr>
              <w:t>Its role will be coaching, technical support and training.</w:t>
            </w:r>
          </w:p>
        </w:tc>
        <w:tc>
          <w:tcPr>
            <w:tcW w:w="6193" w:type="dxa"/>
            <w:tcBorders>
              <w:top w:val="single" w:sz="4" w:space="0" w:color="auto"/>
              <w:left w:val="single" w:sz="4" w:space="0" w:color="auto"/>
              <w:bottom w:val="single" w:sz="4" w:space="0" w:color="auto"/>
              <w:right w:val="single" w:sz="4" w:space="0" w:color="auto"/>
            </w:tcBorders>
            <w:vAlign w:val="center"/>
          </w:tcPr>
          <w:p w14:paraId="21E98BEC" w14:textId="77777777" w:rsidR="00302BFE" w:rsidRPr="00E379FD" w:rsidRDefault="00302BFE" w:rsidP="00C46720">
            <w:pPr>
              <w:numPr>
                <w:ilvl w:val="0"/>
                <w:numId w:val="38"/>
              </w:numPr>
              <w:autoSpaceDN w:val="0"/>
              <w:spacing w:after="0"/>
              <w:jc w:val="left"/>
              <w:rPr>
                <w:sz w:val="18"/>
                <w:szCs w:val="18"/>
                <w:lang w:val="fr-CA"/>
              </w:rPr>
            </w:pPr>
            <w:r w:rsidRPr="00232D5D">
              <w:rPr>
                <w:sz w:val="18"/>
                <w:szCs w:val="18"/>
                <w:lang w:val="en-CA"/>
              </w:rPr>
              <w:t xml:space="preserve">Participation in the project by sharing lessons learned on the development and management of a decision support system, and by providing data and technical inputs to the landscape information system (output 1.2) and baselines. </w:t>
            </w:r>
            <w:r w:rsidRPr="00232D5D">
              <w:rPr>
                <w:sz w:val="18"/>
                <w:szCs w:val="18"/>
                <w:lang w:val="fr-CA"/>
              </w:rPr>
              <w:t>GIS data for the PONASI PA system (</w:t>
            </w:r>
            <w:r>
              <w:rPr>
                <w:sz w:val="18"/>
                <w:szCs w:val="18"/>
                <w:lang w:val="en-CA"/>
              </w:rPr>
              <w:t>output</w:t>
            </w:r>
            <w:r w:rsidRPr="00616C8C">
              <w:rPr>
                <w:sz w:val="18"/>
                <w:szCs w:val="18"/>
                <w:lang w:val="en-CA"/>
              </w:rPr>
              <w:t xml:space="preserve"> </w:t>
            </w:r>
            <w:r w:rsidRPr="00232D5D">
              <w:rPr>
                <w:sz w:val="18"/>
                <w:szCs w:val="18"/>
                <w:lang w:val="fr-CA"/>
              </w:rPr>
              <w:t>2. 1.2)</w:t>
            </w:r>
          </w:p>
        </w:tc>
        <w:tc>
          <w:tcPr>
            <w:tcW w:w="1985" w:type="dxa"/>
            <w:tcBorders>
              <w:top w:val="single" w:sz="4" w:space="0" w:color="auto"/>
              <w:left w:val="single" w:sz="4" w:space="0" w:color="auto"/>
              <w:bottom w:val="single" w:sz="4" w:space="0" w:color="auto"/>
              <w:right w:val="single" w:sz="4" w:space="0" w:color="auto"/>
            </w:tcBorders>
            <w:vAlign w:val="center"/>
          </w:tcPr>
          <w:p w14:paraId="17A99A8E" w14:textId="77777777" w:rsidR="00302BFE" w:rsidRPr="00CF4D08" w:rsidRDefault="00302BFE" w:rsidP="00243B15">
            <w:pPr>
              <w:pStyle w:val="PrformatHTML"/>
              <w:shd w:val="clear" w:color="auto" w:fill="FFFFFF"/>
              <w:rPr>
                <w:rFonts w:ascii="Calibri" w:hAnsi="Calibri" w:cs="Times New Roman"/>
                <w:sz w:val="18"/>
                <w:szCs w:val="18"/>
                <w:lang w:val="en-CA"/>
              </w:rPr>
            </w:pPr>
            <w:r w:rsidRPr="00CF4D08">
              <w:rPr>
                <w:rFonts w:ascii="Calibri" w:hAnsi="Calibri" w:cs="Times New Roman"/>
                <w:sz w:val="18"/>
                <w:szCs w:val="18"/>
                <w:lang w:val="en-CA"/>
              </w:rPr>
              <w:t>Achieve project results and outputs through improved information availability to facilitate decision-making</w:t>
            </w:r>
          </w:p>
        </w:tc>
        <w:tc>
          <w:tcPr>
            <w:tcW w:w="850" w:type="dxa"/>
            <w:tcBorders>
              <w:top w:val="single" w:sz="4" w:space="0" w:color="auto"/>
              <w:left w:val="single" w:sz="4" w:space="0" w:color="auto"/>
              <w:bottom w:val="single" w:sz="4" w:space="0" w:color="auto"/>
              <w:right w:val="single" w:sz="4" w:space="0" w:color="auto"/>
            </w:tcBorders>
            <w:vAlign w:val="center"/>
          </w:tcPr>
          <w:p w14:paraId="609AE771" w14:textId="77777777" w:rsidR="00302BFE" w:rsidRPr="00E379FD" w:rsidRDefault="00302BFE" w:rsidP="00243B15">
            <w:pPr>
              <w:autoSpaceDN w:val="0"/>
              <w:spacing w:after="0"/>
              <w:jc w:val="left"/>
              <w:rPr>
                <w:sz w:val="18"/>
                <w:szCs w:val="18"/>
                <w:lang w:val="fr-CA"/>
              </w:rPr>
            </w:pPr>
            <w:r w:rsidRPr="00E379FD">
              <w:rPr>
                <w:sz w:val="18"/>
                <w:szCs w:val="18"/>
                <w:lang w:val="fr-CA"/>
              </w:rPr>
              <w:t>1; 2; 3; 4</w:t>
            </w:r>
          </w:p>
        </w:tc>
      </w:tr>
      <w:tr w:rsidR="00302BFE" w:rsidRPr="00E379FD" w14:paraId="21C8A095" w14:textId="77777777" w:rsidTr="00243B15">
        <w:trPr>
          <w:jc w:val="center"/>
        </w:trPr>
        <w:tc>
          <w:tcPr>
            <w:tcW w:w="1882" w:type="dxa"/>
            <w:tcBorders>
              <w:top w:val="single" w:sz="4" w:space="0" w:color="auto"/>
              <w:left w:val="single" w:sz="4" w:space="0" w:color="auto"/>
              <w:bottom w:val="single" w:sz="4" w:space="0" w:color="auto"/>
              <w:right w:val="single" w:sz="4" w:space="0" w:color="auto"/>
            </w:tcBorders>
            <w:vAlign w:val="center"/>
          </w:tcPr>
          <w:p w14:paraId="70CC78A2" w14:textId="77777777" w:rsidR="00302BFE" w:rsidRPr="00B960B4" w:rsidRDefault="00302BFE" w:rsidP="00243B15">
            <w:pPr>
              <w:spacing w:after="0"/>
              <w:jc w:val="left"/>
              <w:rPr>
                <w:rStyle w:val="hps"/>
                <w:rFonts w:eastAsia="Calibri"/>
                <w:iCs/>
                <w:sz w:val="18"/>
                <w:szCs w:val="18"/>
                <w:lang w:val="en-CA"/>
              </w:rPr>
            </w:pPr>
            <w:r w:rsidRPr="00B960B4">
              <w:rPr>
                <w:rFonts w:eastAsia="Calibri"/>
                <w:sz w:val="18"/>
                <w:szCs w:val="18"/>
                <w:lang w:val="en-CA"/>
              </w:rPr>
              <w:t>National Directorate of Tourism, National Office of Tourism / Ministry of Culture and Tourism</w:t>
            </w:r>
          </w:p>
        </w:tc>
        <w:tc>
          <w:tcPr>
            <w:tcW w:w="3827" w:type="dxa"/>
            <w:tcBorders>
              <w:top w:val="single" w:sz="4" w:space="0" w:color="auto"/>
              <w:left w:val="single" w:sz="4" w:space="0" w:color="auto"/>
              <w:bottom w:val="single" w:sz="4" w:space="0" w:color="auto"/>
              <w:right w:val="single" w:sz="4" w:space="0" w:color="auto"/>
            </w:tcBorders>
            <w:vAlign w:val="center"/>
          </w:tcPr>
          <w:p w14:paraId="6F3CDDB4" w14:textId="77777777" w:rsidR="00302BFE" w:rsidRPr="00B960B4" w:rsidRDefault="00302BFE" w:rsidP="00243B15">
            <w:pPr>
              <w:autoSpaceDN w:val="0"/>
              <w:spacing w:after="0"/>
              <w:jc w:val="left"/>
              <w:rPr>
                <w:rFonts w:eastAsia="Cambria"/>
                <w:sz w:val="18"/>
                <w:szCs w:val="18"/>
                <w:lang w:val="en-CA"/>
              </w:rPr>
            </w:pPr>
            <w:r w:rsidRPr="00B960B4">
              <w:rPr>
                <w:rFonts w:eastAsia="Calibri"/>
                <w:sz w:val="18"/>
                <w:szCs w:val="18"/>
                <w:lang w:val="en-CA"/>
              </w:rPr>
              <w:t>The National Directorate of Tourism and the National Tourist Office will play the roles of supervision and technical support for the development of ecotourism</w:t>
            </w:r>
          </w:p>
        </w:tc>
        <w:tc>
          <w:tcPr>
            <w:tcW w:w="6193" w:type="dxa"/>
            <w:tcBorders>
              <w:top w:val="single" w:sz="4" w:space="0" w:color="auto"/>
              <w:left w:val="single" w:sz="4" w:space="0" w:color="auto"/>
              <w:bottom w:val="single" w:sz="4" w:space="0" w:color="auto"/>
              <w:right w:val="single" w:sz="4" w:space="0" w:color="auto"/>
            </w:tcBorders>
            <w:vAlign w:val="center"/>
          </w:tcPr>
          <w:p w14:paraId="0D12302A" w14:textId="77777777" w:rsidR="00302BFE" w:rsidRPr="00232D5D" w:rsidRDefault="00302BFE" w:rsidP="00243B15">
            <w:pPr>
              <w:autoSpaceDN w:val="0"/>
              <w:spacing w:after="0"/>
              <w:jc w:val="left"/>
              <w:rPr>
                <w:sz w:val="18"/>
                <w:szCs w:val="18"/>
                <w:lang w:val="en-CA"/>
              </w:rPr>
            </w:pPr>
            <w:r w:rsidRPr="00232D5D">
              <w:rPr>
                <w:sz w:val="18"/>
                <w:szCs w:val="18"/>
                <w:lang w:val="en-CA"/>
              </w:rPr>
              <w:t>Contribution to the planning and implementation of ecotourism activities related to PAs (</w:t>
            </w:r>
            <w:r>
              <w:rPr>
                <w:sz w:val="18"/>
                <w:szCs w:val="18"/>
                <w:lang w:val="en-CA"/>
              </w:rPr>
              <w:t>output</w:t>
            </w:r>
            <w:r w:rsidRPr="00616C8C">
              <w:rPr>
                <w:sz w:val="18"/>
                <w:szCs w:val="18"/>
                <w:lang w:val="en-CA"/>
              </w:rPr>
              <w:t xml:space="preserve"> </w:t>
            </w:r>
            <w:r w:rsidRPr="00232D5D">
              <w:rPr>
                <w:sz w:val="18"/>
                <w:szCs w:val="18"/>
                <w:lang w:val="en-CA"/>
              </w:rPr>
              <w:t>3.4.3).</w:t>
            </w:r>
          </w:p>
        </w:tc>
        <w:tc>
          <w:tcPr>
            <w:tcW w:w="1985" w:type="dxa"/>
            <w:tcBorders>
              <w:top w:val="single" w:sz="4" w:space="0" w:color="auto"/>
              <w:left w:val="single" w:sz="4" w:space="0" w:color="auto"/>
              <w:bottom w:val="single" w:sz="4" w:space="0" w:color="auto"/>
              <w:right w:val="single" w:sz="4" w:space="0" w:color="auto"/>
            </w:tcBorders>
            <w:vAlign w:val="center"/>
          </w:tcPr>
          <w:p w14:paraId="0DCE72C8" w14:textId="77777777" w:rsidR="00302BFE" w:rsidRPr="00CF4D08" w:rsidRDefault="00302BFE" w:rsidP="00243B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Calibri"/>
                <w:sz w:val="18"/>
                <w:szCs w:val="18"/>
                <w:lang w:val="en-CA"/>
              </w:rPr>
            </w:pPr>
            <w:r w:rsidRPr="00CF4D08">
              <w:rPr>
                <w:rFonts w:eastAsia="Calibri"/>
                <w:sz w:val="18"/>
                <w:szCs w:val="18"/>
                <w:lang w:val="en-CA"/>
              </w:rPr>
              <w:t>Achieve results and products related to ecotourism development and livelihood development of communities from tourism</w:t>
            </w:r>
          </w:p>
        </w:tc>
        <w:tc>
          <w:tcPr>
            <w:tcW w:w="850" w:type="dxa"/>
            <w:tcBorders>
              <w:top w:val="single" w:sz="4" w:space="0" w:color="auto"/>
              <w:left w:val="single" w:sz="4" w:space="0" w:color="auto"/>
              <w:bottom w:val="single" w:sz="4" w:space="0" w:color="auto"/>
              <w:right w:val="single" w:sz="4" w:space="0" w:color="auto"/>
            </w:tcBorders>
            <w:vAlign w:val="center"/>
          </w:tcPr>
          <w:p w14:paraId="44162CFC" w14:textId="77777777" w:rsidR="00302BFE" w:rsidRPr="00E379FD" w:rsidRDefault="00302BFE" w:rsidP="00243B15">
            <w:pPr>
              <w:autoSpaceDN w:val="0"/>
              <w:spacing w:after="0"/>
              <w:jc w:val="left"/>
              <w:rPr>
                <w:sz w:val="18"/>
                <w:szCs w:val="18"/>
                <w:lang w:val="fr-CA"/>
              </w:rPr>
            </w:pPr>
            <w:r w:rsidRPr="00E379FD">
              <w:rPr>
                <w:rFonts w:eastAsia="Calibri"/>
                <w:sz w:val="18"/>
                <w:szCs w:val="18"/>
                <w:lang w:val="fr-CA"/>
              </w:rPr>
              <w:t>2; 3</w:t>
            </w:r>
          </w:p>
        </w:tc>
      </w:tr>
      <w:tr w:rsidR="00302BFE" w:rsidRPr="00E379FD" w14:paraId="5558198B" w14:textId="77777777" w:rsidTr="00243B15">
        <w:trPr>
          <w:jc w:val="center"/>
        </w:trPr>
        <w:tc>
          <w:tcPr>
            <w:tcW w:w="1882" w:type="dxa"/>
            <w:tcBorders>
              <w:top w:val="single" w:sz="4" w:space="0" w:color="auto"/>
              <w:left w:val="single" w:sz="4" w:space="0" w:color="auto"/>
              <w:bottom w:val="single" w:sz="4" w:space="0" w:color="auto"/>
              <w:right w:val="single" w:sz="4" w:space="0" w:color="auto"/>
            </w:tcBorders>
            <w:vAlign w:val="center"/>
          </w:tcPr>
          <w:p w14:paraId="28C53039" w14:textId="77777777" w:rsidR="00302BFE" w:rsidRPr="00B960B4" w:rsidRDefault="00302BFE" w:rsidP="00243B15">
            <w:pPr>
              <w:shd w:val="clear" w:color="auto" w:fill="FFFFFF"/>
              <w:spacing w:after="0"/>
              <w:jc w:val="left"/>
              <w:rPr>
                <w:b/>
                <w:iCs/>
                <w:sz w:val="18"/>
                <w:szCs w:val="18"/>
                <w:lang w:val="en-CA"/>
              </w:rPr>
            </w:pPr>
            <w:r w:rsidRPr="00B960B4">
              <w:rPr>
                <w:sz w:val="18"/>
                <w:szCs w:val="18"/>
                <w:shd w:val="clear" w:color="auto" w:fill="FFFFFF"/>
                <w:lang w:val="en-CA"/>
              </w:rPr>
              <w:t>Regional directorates of agriculture and hydro-agricultural development for the South Center, East Center and West Center regions</w:t>
            </w:r>
          </w:p>
        </w:tc>
        <w:tc>
          <w:tcPr>
            <w:tcW w:w="3827" w:type="dxa"/>
            <w:tcBorders>
              <w:top w:val="single" w:sz="4" w:space="0" w:color="auto"/>
              <w:left w:val="single" w:sz="4" w:space="0" w:color="auto"/>
              <w:bottom w:val="single" w:sz="4" w:space="0" w:color="auto"/>
              <w:right w:val="single" w:sz="4" w:space="0" w:color="auto"/>
            </w:tcBorders>
            <w:vAlign w:val="center"/>
          </w:tcPr>
          <w:p w14:paraId="2FD7C81C" w14:textId="77777777" w:rsidR="00302BFE" w:rsidRPr="00B960B4" w:rsidRDefault="00302BFE" w:rsidP="00C46720">
            <w:pPr>
              <w:numPr>
                <w:ilvl w:val="0"/>
                <w:numId w:val="38"/>
              </w:numPr>
              <w:autoSpaceDN w:val="0"/>
              <w:spacing w:after="0"/>
              <w:jc w:val="left"/>
              <w:rPr>
                <w:sz w:val="18"/>
                <w:szCs w:val="18"/>
                <w:lang w:val="en-CA"/>
              </w:rPr>
            </w:pPr>
            <w:r w:rsidRPr="00B960B4">
              <w:rPr>
                <w:sz w:val="18"/>
                <w:szCs w:val="18"/>
                <w:lang w:val="en-CA"/>
              </w:rPr>
              <w:t>The Directorates in charge of agriculture will be members of the Project Review Committee</w:t>
            </w:r>
          </w:p>
          <w:p w14:paraId="0424A601" w14:textId="77777777" w:rsidR="00302BFE" w:rsidRPr="00B960B4" w:rsidRDefault="00302BFE" w:rsidP="00C46720">
            <w:pPr>
              <w:numPr>
                <w:ilvl w:val="0"/>
                <w:numId w:val="38"/>
              </w:numPr>
              <w:autoSpaceDN w:val="0"/>
              <w:spacing w:after="0"/>
              <w:jc w:val="left"/>
              <w:rPr>
                <w:sz w:val="18"/>
                <w:szCs w:val="18"/>
                <w:lang w:val="en-CA"/>
              </w:rPr>
            </w:pPr>
            <w:r w:rsidRPr="00B960B4">
              <w:rPr>
                <w:sz w:val="18"/>
                <w:szCs w:val="18"/>
                <w:lang w:val="en-CA"/>
              </w:rPr>
              <w:t>They will play the roles of coaching and technical support and training</w:t>
            </w:r>
          </w:p>
        </w:tc>
        <w:tc>
          <w:tcPr>
            <w:tcW w:w="6193" w:type="dxa"/>
            <w:tcBorders>
              <w:top w:val="single" w:sz="4" w:space="0" w:color="auto"/>
              <w:left w:val="single" w:sz="4" w:space="0" w:color="auto"/>
              <w:bottom w:val="single" w:sz="4" w:space="0" w:color="auto"/>
              <w:right w:val="single" w:sz="4" w:space="0" w:color="auto"/>
            </w:tcBorders>
            <w:vAlign w:val="center"/>
          </w:tcPr>
          <w:p w14:paraId="0D0120F3" w14:textId="77777777" w:rsidR="00302BFE" w:rsidRPr="00232D5D" w:rsidRDefault="00302BFE" w:rsidP="00C46720">
            <w:pPr>
              <w:numPr>
                <w:ilvl w:val="0"/>
                <w:numId w:val="38"/>
              </w:numPr>
              <w:autoSpaceDN w:val="0"/>
              <w:spacing w:after="0"/>
              <w:jc w:val="left"/>
              <w:rPr>
                <w:rStyle w:val="hps"/>
                <w:sz w:val="18"/>
                <w:szCs w:val="18"/>
                <w:lang w:val="en-CA"/>
              </w:rPr>
            </w:pPr>
            <w:r w:rsidRPr="00232D5D">
              <w:rPr>
                <w:rStyle w:val="hps"/>
                <w:sz w:val="18"/>
                <w:szCs w:val="18"/>
                <w:lang w:val="en-CA"/>
              </w:rPr>
              <w:t>The regional directorates responsible for agriculture will provide local support for producers (</w:t>
            </w:r>
            <w:r>
              <w:rPr>
                <w:sz w:val="18"/>
                <w:szCs w:val="18"/>
                <w:lang w:val="en-CA"/>
              </w:rPr>
              <w:t>output</w:t>
            </w:r>
            <w:r w:rsidRPr="00616C8C">
              <w:rPr>
                <w:sz w:val="18"/>
                <w:szCs w:val="18"/>
                <w:lang w:val="en-CA"/>
              </w:rPr>
              <w:t xml:space="preserve"> </w:t>
            </w:r>
            <w:r w:rsidRPr="00232D5D">
              <w:rPr>
                <w:rStyle w:val="hps"/>
                <w:sz w:val="18"/>
                <w:szCs w:val="18"/>
                <w:lang w:val="en-CA"/>
              </w:rPr>
              <w:t>3.1.3). They will contribute to planning activities related to SLM, community livelihoods development and monitoring and evaluation.</w:t>
            </w:r>
          </w:p>
          <w:p w14:paraId="7F59C0AC" w14:textId="77777777" w:rsidR="00302BFE" w:rsidRPr="00232D5D" w:rsidRDefault="00302BFE" w:rsidP="00C46720">
            <w:pPr>
              <w:numPr>
                <w:ilvl w:val="0"/>
                <w:numId w:val="38"/>
              </w:numPr>
              <w:autoSpaceDN w:val="0"/>
              <w:spacing w:after="0"/>
              <w:jc w:val="left"/>
              <w:rPr>
                <w:rStyle w:val="hps"/>
                <w:sz w:val="18"/>
                <w:szCs w:val="18"/>
                <w:lang w:val="en-CA"/>
              </w:rPr>
            </w:pPr>
            <w:r w:rsidRPr="00232D5D">
              <w:rPr>
                <w:rStyle w:val="hps"/>
                <w:sz w:val="18"/>
                <w:szCs w:val="18"/>
                <w:lang w:val="en-CA"/>
              </w:rPr>
              <w:t>The Regional Directorates of Agriculture will be kept informed of the activities and progress of the project on an ongoing basis;</w:t>
            </w:r>
          </w:p>
          <w:p w14:paraId="314181BE" w14:textId="77777777" w:rsidR="00302BFE" w:rsidRPr="00232D5D" w:rsidRDefault="00302BFE" w:rsidP="00C46720">
            <w:pPr>
              <w:numPr>
                <w:ilvl w:val="0"/>
                <w:numId w:val="38"/>
              </w:numPr>
              <w:autoSpaceDN w:val="0"/>
              <w:spacing w:after="0"/>
              <w:jc w:val="left"/>
              <w:rPr>
                <w:sz w:val="18"/>
                <w:szCs w:val="18"/>
                <w:lang w:val="en-CA"/>
              </w:rPr>
            </w:pPr>
            <w:r w:rsidRPr="00232D5D">
              <w:rPr>
                <w:rStyle w:val="hps"/>
                <w:sz w:val="18"/>
                <w:szCs w:val="18"/>
                <w:lang w:val="en-CA"/>
              </w:rPr>
              <w:t>The Regional Directorates of Agriculture will be invited to receive training under component 1 for capacity building to lead the processes of planning, consultation, conflict management, negotiation (</w:t>
            </w:r>
            <w:r>
              <w:rPr>
                <w:sz w:val="18"/>
                <w:szCs w:val="18"/>
                <w:lang w:val="en-CA"/>
              </w:rPr>
              <w:t>output</w:t>
            </w:r>
            <w:r w:rsidRPr="00616C8C">
              <w:rPr>
                <w:sz w:val="18"/>
                <w:szCs w:val="18"/>
                <w:lang w:val="en-CA"/>
              </w:rPr>
              <w:t xml:space="preserve"> </w:t>
            </w:r>
            <w:r w:rsidRPr="00232D5D">
              <w:rPr>
                <w:rStyle w:val="hps"/>
                <w:sz w:val="18"/>
                <w:szCs w:val="18"/>
                <w:lang w:val="en-CA"/>
              </w:rPr>
              <w:t>1.1.3), Collaborative management of PAs (</w:t>
            </w:r>
            <w:r>
              <w:rPr>
                <w:sz w:val="18"/>
                <w:szCs w:val="18"/>
                <w:lang w:val="en-CA"/>
              </w:rPr>
              <w:t>output</w:t>
            </w:r>
            <w:r w:rsidRPr="00616C8C">
              <w:rPr>
                <w:sz w:val="18"/>
                <w:szCs w:val="18"/>
                <w:lang w:val="en-CA"/>
              </w:rPr>
              <w:t xml:space="preserve"> </w:t>
            </w:r>
            <w:r w:rsidRPr="00232D5D">
              <w:rPr>
                <w:rStyle w:val="hps"/>
                <w:sz w:val="18"/>
                <w:szCs w:val="18"/>
                <w:lang w:val="en-CA"/>
              </w:rPr>
              <w:t>2.1.1), and to get involved in planning negotiations, negotiations for the development of the PONASI Landscape Management Master Plan.They will participate in the planning and implementation of interventions at local level (</w:t>
            </w:r>
            <w:r>
              <w:rPr>
                <w:sz w:val="18"/>
                <w:szCs w:val="18"/>
                <w:lang w:val="en-CA"/>
              </w:rPr>
              <w:t>output</w:t>
            </w:r>
            <w:r w:rsidRPr="00616C8C">
              <w:rPr>
                <w:sz w:val="18"/>
                <w:szCs w:val="18"/>
                <w:lang w:val="en-CA"/>
              </w:rPr>
              <w:t xml:space="preserve"> </w:t>
            </w:r>
            <w:r w:rsidRPr="00232D5D">
              <w:rPr>
                <w:rStyle w:val="hps"/>
                <w:sz w:val="18"/>
                <w:szCs w:val="18"/>
                <w:lang w:val="en-CA"/>
              </w:rPr>
              <w:t>3.1.1)</w:t>
            </w:r>
          </w:p>
        </w:tc>
        <w:tc>
          <w:tcPr>
            <w:tcW w:w="1985" w:type="dxa"/>
            <w:tcBorders>
              <w:top w:val="single" w:sz="4" w:space="0" w:color="auto"/>
              <w:left w:val="single" w:sz="4" w:space="0" w:color="auto"/>
              <w:bottom w:val="single" w:sz="4" w:space="0" w:color="auto"/>
              <w:right w:val="single" w:sz="4" w:space="0" w:color="auto"/>
            </w:tcBorders>
            <w:vAlign w:val="center"/>
          </w:tcPr>
          <w:p w14:paraId="391B2838" w14:textId="77777777" w:rsidR="00302BFE" w:rsidRPr="00CF4D08" w:rsidRDefault="00302BFE" w:rsidP="00243B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Calibri"/>
                <w:sz w:val="18"/>
                <w:szCs w:val="18"/>
                <w:lang w:val="en-CA"/>
              </w:rPr>
            </w:pPr>
            <w:r w:rsidRPr="00CF4D08">
              <w:rPr>
                <w:rFonts w:eastAsia="Calibri"/>
                <w:sz w:val="18"/>
                <w:szCs w:val="18"/>
                <w:lang w:val="en-CA"/>
              </w:rPr>
              <w:t>Reaching results and products related to SLM and livelihood development of communities from agriculture</w:t>
            </w:r>
          </w:p>
        </w:tc>
        <w:tc>
          <w:tcPr>
            <w:tcW w:w="850" w:type="dxa"/>
            <w:tcBorders>
              <w:top w:val="single" w:sz="4" w:space="0" w:color="auto"/>
              <w:left w:val="single" w:sz="4" w:space="0" w:color="auto"/>
              <w:bottom w:val="single" w:sz="4" w:space="0" w:color="auto"/>
              <w:right w:val="single" w:sz="4" w:space="0" w:color="auto"/>
            </w:tcBorders>
            <w:vAlign w:val="center"/>
          </w:tcPr>
          <w:p w14:paraId="61E2D026" w14:textId="77777777" w:rsidR="00302BFE" w:rsidRPr="00E379FD" w:rsidRDefault="00302BFE" w:rsidP="00243B15">
            <w:pPr>
              <w:autoSpaceDN w:val="0"/>
              <w:spacing w:after="0"/>
              <w:jc w:val="left"/>
              <w:rPr>
                <w:sz w:val="18"/>
                <w:szCs w:val="18"/>
                <w:lang w:val="fr-CA"/>
              </w:rPr>
            </w:pPr>
            <w:r w:rsidRPr="00E379FD">
              <w:rPr>
                <w:sz w:val="18"/>
                <w:szCs w:val="18"/>
                <w:lang w:val="fr-CA"/>
              </w:rPr>
              <w:t xml:space="preserve">3 </w:t>
            </w:r>
          </w:p>
        </w:tc>
      </w:tr>
      <w:tr w:rsidR="00302BFE" w:rsidRPr="00E379FD" w14:paraId="6DFE262C" w14:textId="77777777" w:rsidTr="00243B15">
        <w:trPr>
          <w:jc w:val="center"/>
        </w:trPr>
        <w:tc>
          <w:tcPr>
            <w:tcW w:w="1882" w:type="dxa"/>
            <w:tcBorders>
              <w:top w:val="single" w:sz="4" w:space="0" w:color="auto"/>
              <w:left w:val="single" w:sz="4" w:space="0" w:color="auto"/>
              <w:bottom w:val="single" w:sz="4" w:space="0" w:color="auto"/>
              <w:right w:val="single" w:sz="4" w:space="0" w:color="auto"/>
            </w:tcBorders>
            <w:vAlign w:val="center"/>
          </w:tcPr>
          <w:p w14:paraId="2FD8DE3C" w14:textId="77777777" w:rsidR="00302BFE" w:rsidRPr="00B960B4" w:rsidRDefault="00302BFE" w:rsidP="00243B15">
            <w:pPr>
              <w:shd w:val="clear" w:color="auto" w:fill="FFFFFF"/>
              <w:spacing w:after="0"/>
              <w:jc w:val="left"/>
              <w:rPr>
                <w:rFonts w:eastAsia="Calibri"/>
                <w:sz w:val="18"/>
                <w:szCs w:val="18"/>
                <w:lang w:val="en-CA"/>
              </w:rPr>
            </w:pPr>
            <w:r w:rsidRPr="00B960B4">
              <w:rPr>
                <w:rFonts w:eastAsia="Calibri"/>
                <w:sz w:val="18"/>
                <w:szCs w:val="18"/>
                <w:lang w:val="en-CA"/>
              </w:rPr>
              <w:t>Regional Directorate for Livestock and Fishery Resources for the South Center, East Center and West Center Regions</w:t>
            </w:r>
          </w:p>
        </w:tc>
        <w:tc>
          <w:tcPr>
            <w:tcW w:w="3827" w:type="dxa"/>
            <w:tcBorders>
              <w:top w:val="single" w:sz="4" w:space="0" w:color="auto"/>
              <w:left w:val="single" w:sz="4" w:space="0" w:color="auto"/>
              <w:bottom w:val="single" w:sz="4" w:space="0" w:color="auto"/>
              <w:right w:val="single" w:sz="4" w:space="0" w:color="auto"/>
            </w:tcBorders>
            <w:vAlign w:val="center"/>
          </w:tcPr>
          <w:p w14:paraId="2DD27D7D" w14:textId="77777777" w:rsidR="00302BFE" w:rsidRPr="00B960B4" w:rsidRDefault="00302BFE" w:rsidP="00C46720">
            <w:pPr>
              <w:numPr>
                <w:ilvl w:val="0"/>
                <w:numId w:val="38"/>
              </w:numPr>
              <w:autoSpaceDN w:val="0"/>
              <w:spacing w:after="0"/>
              <w:jc w:val="left"/>
              <w:rPr>
                <w:sz w:val="18"/>
                <w:szCs w:val="18"/>
                <w:lang w:val="en-CA"/>
              </w:rPr>
            </w:pPr>
            <w:r w:rsidRPr="00B960B4">
              <w:rPr>
                <w:sz w:val="18"/>
                <w:szCs w:val="18"/>
                <w:lang w:val="en-CA"/>
              </w:rPr>
              <w:t>The directorates responsible for livestock and fishery resources will be members of the Project Review Committee</w:t>
            </w:r>
          </w:p>
          <w:p w14:paraId="7F24E824" w14:textId="77777777" w:rsidR="00302BFE" w:rsidRPr="00B960B4" w:rsidRDefault="00302BFE" w:rsidP="00C46720">
            <w:pPr>
              <w:numPr>
                <w:ilvl w:val="0"/>
                <w:numId w:val="38"/>
              </w:numPr>
              <w:autoSpaceDN w:val="0"/>
              <w:spacing w:after="0"/>
              <w:jc w:val="left"/>
              <w:rPr>
                <w:sz w:val="18"/>
                <w:szCs w:val="18"/>
                <w:lang w:val="en-CA"/>
              </w:rPr>
            </w:pPr>
            <w:r w:rsidRPr="00B960B4">
              <w:rPr>
                <w:sz w:val="18"/>
                <w:szCs w:val="18"/>
                <w:lang w:val="en-CA"/>
              </w:rPr>
              <w:t>They will play the roles of coaching and technical support and training</w:t>
            </w:r>
          </w:p>
        </w:tc>
        <w:tc>
          <w:tcPr>
            <w:tcW w:w="6193" w:type="dxa"/>
            <w:tcBorders>
              <w:top w:val="single" w:sz="4" w:space="0" w:color="auto"/>
              <w:left w:val="single" w:sz="4" w:space="0" w:color="auto"/>
              <w:bottom w:val="single" w:sz="4" w:space="0" w:color="auto"/>
              <w:right w:val="single" w:sz="4" w:space="0" w:color="auto"/>
            </w:tcBorders>
            <w:vAlign w:val="center"/>
          </w:tcPr>
          <w:p w14:paraId="45EAB513" w14:textId="77777777" w:rsidR="00302BFE" w:rsidRPr="00243B15" w:rsidRDefault="00302BFE" w:rsidP="00C46720">
            <w:pPr>
              <w:numPr>
                <w:ilvl w:val="0"/>
                <w:numId w:val="38"/>
              </w:numPr>
              <w:autoSpaceDN w:val="0"/>
              <w:spacing w:after="0"/>
              <w:jc w:val="left"/>
              <w:rPr>
                <w:rFonts w:eastAsia="Cambria"/>
                <w:sz w:val="18"/>
                <w:szCs w:val="18"/>
                <w:lang w:val="en-CA"/>
              </w:rPr>
            </w:pPr>
            <w:r w:rsidRPr="00232D5D">
              <w:rPr>
                <w:sz w:val="18"/>
                <w:szCs w:val="18"/>
                <w:lang w:val="en-CA" w:eastAsia="de-DE" w:bidi="as-IN"/>
              </w:rPr>
              <w:t>The regional directorates responsible for livestock and fishery resources will provide local support for herders (</w:t>
            </w:r>
            <w:r>
              <w:rPr>
                <w:sz w:val="18"/>
                <w:szCs w:val="18"/>
                <w:lang w:val="en-CA"/>
              </w:rPr>
              <w:t>output</w:t>
            </w:r>
            <w:r w:rsidRPr="00616C8C">
              <w:rPr>
                <w:sz w:val="18"/>
                <w:szCs w:val="18"/>
                <w:lang w:val="en-CA"/>
              </w:rPr>
              <w:t xml:space="preserve"> </w:t>
            </w:r>
            <w:r w:rsidRPr="00232D5D">
              <w:rPr>
                <w:sz w:val="18"/>
                <w:szCs w:val="18"/>
                <w:lang w:val="en-CA" w:eastAsia="de-DE" w:bidi="as-IN"/>
              </w:rPr>
              <w:t xml:space="preserve">3.1.3). </w:t>
            </w:r>
            <w:r w:rsidRPr="00243B15">
              <w:rPr>
                <w:sz w:val="18"/>
                <w:szCs w:val="18"/>
                <w:lang w:val="en-CA" w:eastAsia="de-DE" w:bidi="as-IN"/>
              </w:rPr>
              <w:t>They will contribute to planning activities related to SLM, community livelihoods development and monitoring and evaluation.</w:t>
            </w:r>
          </w:p>
          <w:p w14:paraId="58316774" w14:textId="77777777" w:rsidR="00302BFE" w:rsidRPr="00232D5D" w:rsidRDefault="00302BFE" w:rsidP="00C46720">
            <w:pPr>
              <w:numPr>
                <w:ilvl w:val="0"/>
                <w:numId w:val="38"/>
              </w:numPr>
              <w:autoSpaceDN w:val="0"/>
              <w:spacing w:after="0"/>
              <w:jc w:val="left"/>
              <w:rPr>
                <w:rStyle w:val="hps"/>
                <w:sz w:val="18"/>
                <w:szCs w:val="18"/>
                <w:lang w:val="en-CA"/>
              </w:rPr>
            </w:pPr>
            <w:r w:rsidRPr="00232D5D">
              <w:rPr>
                <w:rStyle w:val="hps"/>
                <w:sz w:val="18"/>
                <w:szCs w:val="18"/>
                <w:lang w:val="en-CA"/>
              </w:rPr>
              <w:t>The Regional Directorates responsible for livestock and fishery resources will be kept informed of the activities and progress of the project on an ongoing basis;</w:t>
            </w:r>
          </w:p>
          <w:p w14:paraId="7A5AA6E7" w14:textId="77777777" w:rsidR="00302BFE" w:rsidRPr="00232D5D" w:rsidRDefault="00302BFE" w:rsidP="00C46720">
            <w:pPr>
              <w:numPr>
                <w:ilvl w:val="0"/>
                <w:numId w:val="38"/>
              </w:numPr>
              <w:autoSpaceDN w:val="0"/>
              <w:spacing w:after="0"/>
              <w:jc w:val="left"/>
              <w:rPr>
                <w:sz w:val="18"/>
                <w:szCs w:val="18"/>
                <w:lang w:val="en-CA"/>
              </w:rPr>
            </w:pPr>
            <w:r w:rsidRPr="00232D5D">
              <w:rPr>
                <w:rStyle w:val="hps"/>
                <w:sz w:val="18"/>
                <w:szCs w:val="18"/>
                <w:lang w:val="en-CA"/>
              </w:rPr>
              <w:t>The Regional Directorates responsible for livestock and fish resources will be invited to benefit from training under component 1 for capacity building to lead the planning, consultation, conflict management and negotiation processes (</w:t>
            </w:r>
            <w:r>
              <w:rPr>
                <w:sz w:val="18"/>
                <w:szCs w:val="18"/>
                <w:lang w:val="en-CA"/>
              </w:rPr>
              <w:t>output</w:t>
            </w:r>
            <w:r w:rsidRPr="00616C8C">
              <w:rPr>
                <w:sz w:val="18"/>
                <w:szCs w:val="18"/>
                <w:lang w:val="en-CA"/>
              </w:rPr>
              <w:t xml:space="preserve"> </w:t>
            </w:r>
            <w:r w:rsidRPr="00232D5D">
              <w:rPr>
                <w:rStyle w:val="hps"/>
                <w:sz w:val="18"/>
                <w:szCs w:val="18"/>
                <w:lang w:val="en-CA"/>
              </w:rPr>
              <w:t>1.1.3), collaborative management of PAs (</w:t>
            </w:r>
            <w:r>
              <w:rPr>
                <w:sz w:val="18"/>
                <w:szCs w:val="18"/>
                <w:lang w:val="en-CA"/>
              </w:rPr>
              <w:t>output</w:t>
            </w:r>
            <w:r w:rsidRPr="00616C8C">
              <w:rPr>
                <w:sz w:val="18"/>
                <w:szCs w:val="18"/>
                <w:lang w:val="en-CA"/>
              </w:rPr>
              <w:t xml:space="preserve"> </w:t>
            </w:r>
            <w:r w:rsidRPr="00232D5D">
              <w:rPr>
                <w:rStyle w:val="hps"/>
                <w:sz w:val="18"/>
                <w:szCs w:val="18"/>
                <w:lang w:val="en-CA"/>
              </w:rPr>
              <w:t xml:space="preserve">2.1.1), and </w:t>
            </w:r>
            <w:r w:rsidRPr="00232D5D">
              <w:rPr>
                <w:rStyle w:val="hps"/>
                <w:sz w:val="18"/>
                <w:szCs w:val="18"/>
                <w:lang w:val="en-CA"/>
              </w:rPr>
              <w:lastRenderedPageBreak/>
              <w:t>involvement in planning negotiations, negotiations for the development of the PONASI Landscape Management Master Plan, and will participate in planning and the implementation of interventions at local level (</w:t>
            </w:r>
            <w:r>
              <w:rPr>
                <w:sz w:val="18"/>
                <w:szCs w:val="18"/>
                <w:lang w:val="en-CA"/>
              </w:rPr>
              <w:t>output</w:t>
            </w:r>
            <w:r w:rsidRPr="00616C8C">
              <w:rPr>
                <w:sz w:val="18"/>
                <w:szCs w:val="18"/>
                <w:lang w:val="en-CA"/>
              </w:rPr>
              <w:t xml:space="preserve"> </w:t>
            </w:r>
            <w:r w:rsidRPr="00232D5D">
              <w:rPr>
                <w:rStyle w:val="hps"/>
                <w:sz w:val="18"/>
                <w:szCs w:val="18"/>
                <w:lang w:val="en-CA"/>
              </w:rPr>
              <w:t>3.1.1)</w:t>
            </w:r>
          </w:p>
        </w:tc>
        <w:tc>
          <w:tcPr>
            <w:tcW w:w="1985" w:type="dxa"/>
            <w:tcBorders>
              <w:top w:val="single" w:sz="4" w:space="0" w:color="auto"/>
              <w:left w:val="single" w:sz="4" w:space="0" w:color="auto"/>
              <w:bottom w:val="single" w:sz="4" w:space="0" w:color="auto"/>
              <w:right w:val="single" w:sz="4" w:space="0" w:color="auto"/>
            </w:tcBorders>
            <w:vAlign w:val="center"/>
          </w:tcPr>
          <w:p w14:paraId="02C1DCFD" w14:textId="77777777" w:rsidR="00302BFE" w:rsidRPr="00CF4D08" w:rsidRDefault="00302BFE" w:rsidP="00243B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Calibri"/>
                <w:sz w:val="18"/>
                <w:szCs w:val="18"/>
                <w:lang w:val="en-CA"/>
              </w:rPr>
            </w:pPr>
            <w:r w:rsidRPr="00CF4D08">
              <w:rPr>
                <w:rFonts w:eastAsia="Calibri"/>
                <w:sz w:val="18"/>
                <w:szCs w:val="18"/>
                <w:lang w:val="en-CA"/>
              </w:rPr>
              <w:lastRenderedPageBreak/>
              <w:t>Achieving results and products related to SLM and development of livelihoods of communities from livestock</w:t>
            </w:r>
          </w:p>
        </w:tc>
        <w:tc>
          <w:tcPr>
            <w:tcW w:w="850" w:type="dxa"/>
            <w:tcBorders>
              <w:top w:val="single" w:sz="4" w:space="0" w:color="auto"/>
              <w:left w:val="single" w:sz="4" w:space="0" w:color="auto"/>
              <w:bottom w:val="single" w:sz="4" w:space="0" w:color="auto"/>
              <w:right w:val="single" w:sz="4" w:space="0" w:color="auto"/>
            </w:tcBorders>
            <w:vAlign w:val="center"/>
          </w:tcPr>
          <w:p w14:paraId="62478D21" w14:textId="77777777" w:rsidR="00302BFE" w:rsidRPr="00E379FD" w:rsidRDefault="00302BFE" w:rsidP="00243B15">
            <w:pPr>
              <w:autoSpaceDN w:val="0"/>
              <w:spacing w:after="0"/>
              <w:jc w:val="left"/>
              <w:rPr>
                <w:sz w:val="18"/>
                <w:szCs w:val="18"/>
                <w:lang w:val="fr-CA"/>
              </w:rPr>
            </w:pPr>
            <w:r w:rsidRPr="00E379FD">
              <w:rPr>
                <w:sz w:val="18"/>
                <w:szCs w:val="18"/>
                <w:lang w:val="fr-CA"/>
              </w:rPr>
              <w:t xml:space="preserve">3 </w:t>
            </w:r>
          </w:p>
        </w:tc>
      </w:tr>
      <w:tr w:rsidR="00302BFE" w:rsidRPr="00E379FD" w14:paraId="43F466C4" w14:textId="77777777" w:rsidTr="00243B15">
        <w:trPr>
          <w:jc w:val="center"/>
        </w:trPr>
        <w:tc>
          <w:tcPr>
            <w:tcW w:w="1882" w:type="dxa"/>
            <w:tcBorders>
              <w:top w:val="single" w:sz="4" w:space="0" w:color="auto"/>
              <w:left w:val="single" w:sz="4" w:space="0" w:color="auto"/>
              <w:bottom w:val="single" w:sz="4" w:space="0" w:color="auto"/>
              <w:right w:val="single" w:sz="4" w:space="0" w:color="auto"/>
            </w:tcBorders>
            <w:vAlign w:val="center"/>
          </w:tcPr>
          <w:p w14:paraId="4A0B4824" w14:textId="77777777" w:rsidR="00302BFE" w:rsidRPr="00B960B4" w:rsidRDefault="00302BFE" w:rsidP="00243B15">
            <w:pPr>
              <w:spacing w:after="0"/>
              <w:jc w:val="left"/>
              <w:rPr>
                <w:rStyle w:val="hps"/>
                <w:sz w:val="18"/>
                <w:szCs w:val="18"/>
                <w:lang w:val="en-CA"/>
              </w:rPr>
            </w:pPr>
            <w:r w:rsidRPr="00B960B4">
              <w:rPr>
                <w:rStyle w:val="hps"/>
                <w:sz w:val="18"/>
                <w:szCs w:val="18"/>
                <w:lang w:val="en-CA"/>
              </w:rPr>
              <w:t>The Regional Directo</w:t>
            </w:r>
            <w:r w:rsidR="00A66078">
              <w:rPr>
                <w:rStyle w:val="hps"/>
                <w:sz w:val="18"/>
                <w:szCs w:val="18"/>
                <w:lang w:val="en-CA"/>
              </w:rPr>
              <w:t>rate</w:t>
            </w:r>
            <w:r w:rsidRPr="00B960B4">
              <w:rPr>
                <w:rStyle w:val="hps"/>
                <w:sz w:val="18"/>
                <w:szCs w:val="18"/>
                <w:lang w:val="en-CA"/>
              </w:rPr>
              <w:t>s of Environment, Green Economy and Climate Change for the South Center, East Center and West Center</w:t>
            </w:r>
            <w:r w:rsidR="00A66078" w:rsidRPr="00B960B4">
              <w:rPr>
                <w:rStyle w:val="hps"/>
                <w:sz w:val="18"/>
                <w:szCs w:val="18"/>
                <w:lang w:val="en-CA"/>
              </w:rPr>
              <w:t xml:space="preserve"> regions</w:t>
            </w:r>
          </w:p>
        </w:tc>
        <w:tc>
          <w:tcPr>
            <w:tcW w:w="3827" w:type="dxa"/>
            <w:tcBorders>
              <w:top w:val="single" w:sz="4" w:space="0" w:color="auto"/>
              <w:left w:val="single" w:sz="4" w:space="0" w:color="auto"/>
              <w:bottom w:val="single" w:sz="4" w:space="0" w:color="auto"/>
              <w:right w:val="single" w:sz="4" w:space="0" w:color="auto"/>
            </w:tcBorders>
            <w:vAlign w:val="center"/>
          </w:tcPr>
          <w:p w14:paraId="2DDB651F" w14:textId="77777777" w:rsidR="00302BFE" w:rsidRPr="00B960B4" w:rsidRDefault="00302BFE" w:rsidP="00C46720">
            <w:pPr>
              <w:numPr>
                <w:ilvl w:val="0"/>
                <w:numId w:val="38"/>
              </w:numPr>
              <w:autoSpaceDN w:val="0"/>
              <w:spacing w:after="0"/>
              <w:jc w:val="left"/>
              <w:rPr>
                <w:sz w:val="18"/>
                <w:szCs w:val="18"/>
                <w:lang w:val="en-CA"/>
              </w:rPr>
            </w:pPr>
            <w:r w:rsidRPr="00B960B4">
              <w:rPr>
                <w:sz w:val="18"/>
                <w:szCs w:val="18"/>
                <w:lang w:val="en-CA"/>
              </w:rPr>
              <w:t>The directorates responsible for livestock and fishery resources will be members of the Project Review Committee</w:t>
            </w:r>
          </w:p>
          <w:p w14:paraId="54C31A25" w14:textId="77777777" w:rsidR="00302BFE" w:rsidRPr="00B960B4" w:rsidRDefault="00302BFE" w:rsidP="00C46720">
            <w:pPr>
              <w:numPr>
                <w:ilvl w:val="0"/>
                <w:numId w:val="38"/>
              </w:numPr>
              <w:autoSpaceDN w:val="0"/>
              <w:spacing w:after="0"/>
              <w:jc w:val="left"/>
              <w:rPr>
                <w:rFonts w:eastAsia="Cambria"/>
                <w:sz w:val="18"/>
                <w:szCs w:val="18"/>
                <w:lang w:val="en-CA"/>
              </w:rPr>
            </w:pPr>
            <w:r w:rsidRPr="00B960B4">
              <w:rPr>
                <w:sz w:val="18"/>
                <w:szCs w:val="18"/>
                <w:lang w:val="en-CA"/>
              </w:rPr>
              <w:t>They will play the roles of coaching and technical support and training</w:t>
            </w:r>
          </w:p>
        </w:tc>
        <w:tc>
          <w:tcPr>
            <w:tcW w:w="6193" w:type="dxa"/>
            <w:tcBorders>
              <w:top w:val="single" w:sz="4" w:space="0" w:color="auto"/>
              <w:left w:val="single" w:sz="4" w:space="0" w:color="auto"/>
              <w:bottom w:val="single" w:sz="4" w:space="0" w:color="auto"/>
              <w:right w:val="single" w:sz="4" w:space="0" w:color="auto"/>
            </w:tcBorders>
            <w:vAlign w:val="center"/>
          </w:tcPr>
          <w:p w14:paraId="5BCEED02" w14:textId="77777777" w:rsidR="00302BFE" w:rsidRPr="00F22DCA" w:rsidRDefault="00302BFE" w:rsidP="00C46720">
            <w:pPr>
              <w:numPr>
                <w:ilvl w:val="0"/>
                <w:numId w:val="38"/>
              </w:numPr>
              <w:autoSpaceDN w:val="0"/>
              <w:spacing w:after="0"/>
              <w:jc w:val="left"/>
              <w:rPr>
                <w:rStyle w:val="hps"/>
                <w:sz w:val="18"/>
                <w:szCs w:val="18"/>
                <w:lang w:val="en-CA"/>
              </w:rPr>
            </w:pPr>
            <w:r w:rsidRPr="00F22DCA">
              <w:rPr>
                <w:rStyle w:val="hps"/>
                <w:sz w:val="18"/>
                <w:szCs w:val="18"/>
                <w:lang w:val="en-CA"/>
              </w:rPr>
              <w:t>The Regional Departments of the Environment will be kept informed of the activities and progress of the project on an ongoing basis;</w:t>
            </w:r>
          </w:p>
          <w:p w14:paraId="2C675153" w14:textId="77777777" w:rsidR="00302BFE" w:rsidRDefault="00302BFE" w:rsidP="00C46720">
            <w:pPr>
              <w:numPr>
                <w:ilvl w:val="0"/>
                <w:numId w:val="38"/>
              </w:numPr>
              <w:autoSpaceDN w:val="0"/>
              <w:spacing w:after="0"/>
              <w:jc w:val="left"/>
              <w:rPr>
                <w:rStyle w:val="hps"/>
                <w:sz w:val="18"/>
                <w:szCs w:val="18"/>
                <w:lang w:val="en-CA"/>
              </w:rPr>
            </w:pPr>
            <w:r w:rsidRPr="00F22DCA">
              <w:rPr>
                <w:rStyle w:val="hps"/>
                <w:sz w:val="18"/>
                <w:szCs w:val="18"/>
                <w:lang w:val="en-CA"/>
              </w:rPr>
              <w:t>The Regional Departments of the Environment will be invited to benefit from training under component 1 for the development of capacities to lead the planning, consultation, conflict management and negotiation processes (</w:t>
            </w:r>
            <w:r>
              <w:rPr>
                <w:sz w:val="18"/>
                <w:szCs w:val="18"/>
                <w:lang w:val="en-CA"/>
              </w:rPr>
              <w:t>output</w:t>
            </w:r>
            <w:r w:rsidRPr="00616C8C">
              <w:rPr>
                <w:sz w:val="18"/>
                <w:szCs w:val="18"/>
                <w:lang w:val="en-CA"/>
              </w:rPr>
              <w:t xml:space="preserve"> </w:t>
            </w:r>
            <w:r w:rsidRPr="00F22DCA">
              <w:rPr>
                <w:rStyle w:val="hps"/>
                <w:sz w:val="18"/>
                <w:szCs w:val="18"/>
                <w:lang w:val="en-CA"/>
              </w:rPr>
              <w:t>1.1.3), in collaborative management of PAs (</w:t>
            </w:r>
            <w:r>
              <w:rPr>
                <w:sz w:val="18"/>
                <w:szCs w:val="18"/>
                <w:lang w:val="en-CA"/>
              </w:rPr>
              <w:t>output</w:t>
            </w:r>
            <w:r w:rsidRPr="00616C8C">
              <w:rPr>
                <w:sz w:val="18"/>
                <w:szCs w:val="18"/>
                <w:lang w:val="en-CA"/>
              </w:rPr>
              <w:t xml:space="preserve"> </w:t>
            </w:r>
            <w:r w:rsidRPr="00F22DCA">
              <w:rPr>
                <w:rStyle w:val="hps"/>
                <w:sz w:val="18"/>
                <w:szCs w:val="18"/>
                <w:lang w:val="en-CA"/>
              </w:rPr>
              <w:t>2.1.1.), and to engage in negotiations on:</w:t>
            </w:r>
          </w:p>
          <w:p w14:paraId="12A7B0B3" w14:textId="77777777" w:rsidR="00302BFE" w:rsidRPr="00616C8C" w:rsidRDefault="00302BFE" w:rsidP="00C46720">
            <w:pPr>
              <w:numPr>
                <w:ilvl w:val="0"/>
                <w:numId w:val="39"/>
              </w:numPr>
              <w:autoSpaceDN w:val="0"/>
              <w:spacing w:after="0"/>
              <w:jc w:val="left"/>
              <w:rPr>
                <w:rFonts w:eastAsia="Calibri"/>
                <w:sz w:val="18"/>
                <w:szCs w:val="18"/>
                <w:lang w:val="en-CA"/>
              </w:rPr>
            </w:pPr>
            <w:r w:rsidRPr="00616C8C">
              <w:rPr>
                <w:rFonts w:eastAsia="Calibri"/>
                <w:sz w:val="18"/>
                <w:szCs w:val="18"/>
                <w:lang w:val="en-CA"/>
              </w:rPr>
              <w:t>Planning, negotiations for the development of the PONASI Landscape Management Master Plan</w:t>
            </w:r>
          </w:p>
          <w:p w14:paraId="46328ACF" w14:textId="77777777" w:rsidR="00302BFE" w:rsidRPr="00616C8C" w:rsidRDefault="00302BFE" w:rsidP="00C46720">
            <w:pPr>
              <w:numPr>
                <w:ilvl w:val="0"/>
                <w:numId w:val="39"/>
              </w:numPr>
              <w:autoSpaceDN w:val="0"/>
              <w:spacing w:after="0"/>
              <w:jc w:val="left"/>
              <w:rPr>
                <w:rFonts w:eastAsia="Calibri"/>
                <w:sz w:val="18"/>
                <w:szCs w:val="18"/>
                <w:lang w:val="en-CA"/>
              </w:rPr>
            </w:pPr>
            <w:r w:rsidRPr="00616C8C">
              <w:rPr>
                <w:rFonts w:eastAsia="Calibri"/>
                <w:sz w:val="18"/>
                <w:szCs w:val="18"/>
                <w:lang w:val="en-CA"/>
              </w:rPr>
              <w:t>changes in the delineation of the GNR and zoning of protected areas (</w:t>
            </w:r>
            <w:r>
              <w:rPr>
                <w:sz w:val="18"/>
                <w:szCs w:val="18"/>
                <w:lang w:val="en-CA"/>
              </w:rPr>
              <w:t>output</w:t>
            </w:r>
            <w:r w:rsidRPr="00616C8C">
              <w:rPr>
                <w:sz w:val="18"/>
                <w:szCs w:val="18"/>
                <w:lang w:val="en-CA"/>
              </w:rPr>
              <w:t xml:space="preserve"> </w:t>
            </w:r>
            <w:r w:rsidRPr="00616C8C">
              <w:rPr>
                <w:rFonts w:eastAsia="Calibri"/>
                <w:sz w:val="18"/>
                <w:szCs w:val="18"/>
                <w:lang w:val="en-CA"/>
              </w:rPr>
              <w:t>2.2.1),</w:t>
            </w:r>
          </w:p>
          <w:p w14:paraId="1C04017E" w14:textId="77777777" w:rsidR="00302BFE" w:rsidRPr="00616C8C" w:rsidRDefault="00302BFE" w:rsidP="00C46720">
            <w:pPr>
              <w:numPr>
                <w:ilvl w:val="0"/>
                <w:numId w:val="39"/>
              </w:numPr>
              <w:autoSpaceDN w:val="0"/>
              <w:spacing w:after="0"/>
              <w:jc w:val="left"/>
              <w:rPr>
                <w:rFonts w:eastAsia="Calibri"/>
                <w:sz w:val="18"/>
                <w:szCs w:val="18"/>
                <w:lang w:val="en-CA"/>
              </w:rPr>
            </w:pPr>
            <w:r w:rsidRPr="00616C8C">
              <w:rPr>
                <w:rFonts w:eastAsia="Calibri"/>
                <w:sz w:val="18"/>
                <w:szCs w:val="18"/>
                <w:lang w:val="en-CA"/>
              </w:rPr>
              <w:t>the definition and application of regulations in PAs and their resources, the use of resources and the sharing of benefits derived from them (Output 2.2.3),</w:t>
            </w:r>
          </w:p>
          <w:p w14:paraId="60B9ED87" w14:textId="77777777" w:rsidR="00302BFE" w:rsidRPr="00B80B69" w:rsidRDefault="00302BFE" w:rsidP="00C46720">
            <w:pPr>
              <w:numPr>
                <w:ilvl w:val="0"/>
                <w:numId w:val="39"/>
              </w:numPr>
              <w:autoSpaceDN w:val="0"/>
              <w:spacing w:after="0"/>
              <w:jc w:val="left"/>
              <w:rPr>
                <w:sz w:val="18"/>
                <w:szCs w:val="18"/>
                <w:lang w:val="en-CA"/>
              </w:rPr>
            </w:pPr>
            <w:r w:rsidRPr="00B80B69">
              <w:rPr>
                <w:rFonts w:eastAsia="Calibri"/>
                <w:sz w:val="18"/>
                <w:szCs w:val="18"/>
                <w:lang w:val="en-CA"/>
              </w:rPr>
              <w:t>and identification of conflict management mechanisms (</w:t>
            </w:r>
            <w:r>
              <w:rPr>
                <w:sz w:val="18"/>
                <w:szCs w:val="18"/>
                <w:lang w:val="en-CA"/>
              </w:rPr>
              <w:t>output</w:t>
            </w:r>
            <w:r w:rsidRPr="00616C8C">
              <w:rPr>
                <w:sz w:val="18"/>
                <w:szCs w:val="18"/>
                <w:lang w:val="en-CA"/>
              </w:rPr>
              <w:t xml:space="preserve"> </w:t>
            </w:r>
            <w:r w:rsidRPr="00B80B69">
              <w:rPr>
                <w:rFonts w:eastAsia="Calibri"/>
                <w:sz w:val="18"/>
                <w:szCs w:val="18"/>
                <w:lang w:val="en-CA"/>
              </w:rPr>
              <w:t>1.5.4).</w:t>
            </w:r>
          </w:p>
          <w:p w14:paraId="57DA3B11" w14:textId="77777777" w:rsidR="00302BFE" w:rsidRPr="00616C8C" w:rsidRDefault="00302BFE" w:rsidP="00C46720">
            <w:pPr>
              <w:numPr>
                <w:ilvl w:val="0"/>
                <w:numId w:val="38"/>
              </w:numPr>
              <w:autoSpaceDN w:val="0"/>
              <w:spacing w:after="0"/>
              <w:jc w:val="left"/>
              <w:rPr>
                <w:sz w:val="18"/>
                <w:szCs w:val="18"/>
                <w:lang w:val="en-CA"/>
              </w:rPr>
            </w:pPr>
            <w:r w:rsidRPr="00616C8C">
              <w:rPr>
                <w:sz w:val="18"/>
                <w:szCs w:val="18"/>
                <w:lang w:val="en-CA"/>
              </w:rPr>
              <w:t>They will participate in the planning and implementation of interventions at the local level (product (</w:t>
            </w:r>
            <w:r>
              <w:rPr>
                <w:sz w:val="18"/>
                <w:szCs w:val="18"/>
                <w:lang w:val="en-CA"/>
              </w:rPr>
              <w:t>output</w:t>
            </w:r>
            <w:r w:rsidRPr="00616C8C">
              <w:rPr>
                <w:sz w:val="18"/>
                <w:szCs w:val="18"/>
                <w:lang w:val="en-CA"/>
              </w:rPr>
              <w:t xml:space="preserve"> 3.1.1)</w:t>
            </w:r>
          </w:p>
          <w:p w14:paraId="6A18F203" w14:textId="77777777" w:rsidR="00302BFE" w:rsidRPr="00616C8C" w:rsidRDefault="00302BFE" w:rsidP="00C46720">
            <w:pPr>
              <w:numPr>
                <w:ilvl w:val="0"/>
                <w:numId w:val="38"/>
              </w:numPr>
              <w:autoSpaceDN w:val="0"/>
              <w:spacing w:after="0"/>
              <w:jc w:val="left"/>
              <w:rPr>
                <w:sz w:val="18"/>
                <w:szCs w:val="18"/>
                <w:lang w:val="en-CA"/>
              </w:rPr>
            </w:pPr>
            <w:r w:rsidRPr="00616C8C">
              <w:rPr>
                <w:sz w:val="18"/>
                <w:szCs w:val="18"/>
                <w:lang w:val="en-CA"/>
              </w:rPr>
              <w:t>They will be involved in the identification of production areas for the development of NTFP sectors and their management (</w:t>
            </w:r>
            <w:r>
              <w:rPr>
                <w:sz w:val="18"/>
                <w:szCs w:val="18"/>
                <w:lang w:val="en-CA"/>
              </w:rPr>
              <w:t>output</w:t>
            </w:r>
            <w:r w:rsidRPr="00616C8C">
              <w:rPr>
                <w:sz w:val="18"/>
                <w:szCs w:val="18"/>
                <w:lang w:val="en-CA"/>
              </w:rPr>
              <w:t xml:space="preserve"> 3.3.5)</w:t>
            </w:r>
          </w:p>
          <w:p w14:paraId="5A093A13" w14:textId="77777777" w:rsidR="00302BFE" w:rsidRPr="00616C8C" w:rsidRDefault="00302BFE" w:rsidP="00C46720">
            <w:pPr>
              <w:numPr>
                <w:ilvl w:val="0"/>
                <w:numId w:val="38"/>
              </w:numPr>
              <w:autoSpaceDN w:val="0"/>
              <w:spacing w:after="0"/>
              <w:jc w:val="left"/>
              <w:rPr>
                <w:rStyle w:val="hps"/>
                <w:sz w:val="18"/>
                <w:szCs w:val="18"/>
                <w:lang w:val="en-CA"/>
              </w:rPr>
            </w:pPr>
            <w:r w:rsidRPr="00616C8C">
              <w:rPr>
                <w:sz w:val="18"/>
                <w:szCs w:val="18"/>
                <w:lang w:val="en-CA"/>
              </w:rPr>
              <w:t>They will be involved in the definition of tourist routes and the management of these routes (</w:t>
            </w:r>
            <w:r>
              <w:rPr>
                <w:sz w:val="18"/>
                <w:szCs w:val="18"/>
                <w:lang w:val="en-CA"/>
              </w:rPr>
              <w:t>output</w:t>
            </w:r>
            <w:r w:rsidRPr="00616C8C">
              <w:rPr>
                <w:sz w:val="18"/>
                <w:szCs w:val="18"/>
                <w:lang w:val="en-CA"/>
              </w:rPr>
              <w:t xml:space="preserve"> 3.4.1)</w:t>
            </w:r>
          </w:p>
        </w:tc>
        <w:tc>
          <w:tcPr>
            <w:tcW w:w="1985" w:type="dxa"/>
            <w:tcBorders>
              <w:top w:val="single" w:sz="4" w:space="0" w:color="auto"/>
              <w:left w:val="single" w:sz="4" w:space="0" w:color="auto"/>
              <w:bottom w:val="single" w:sz="4" w:space="0" w:color="auto"/>
              <w:right w:val="single" w:sz="4" w:space="0" w:color="auto"/>
            </w:tcBorders>
            <w:vAlign w:val="center"/>
          </w:tcPr>
          <w:p w14:paraId="2F05D4B4" w14:textId="77777777" w:rsidR="00302BFE" w:rsidRPr="00CF4D08" w:rsidRDefault="00302BFE" w:rsidP="00243B15">
            <w:pPr>
              <w:pStyle w:val="PrformatHTML"/>
              <w:shd w:val="clear" w:color="auto" w:fill="FFFFFF"/>
              <w:rPr>
                <w:rStyle w:val="hps"/>
                <w:rFonts w:ascii="Calibri" w:hAnsi="Calibri" w:cs="Times New Roman"/>
                <w:sz w:val="18"/>
                <w:szCs w:val="18"/>
                <w:lang w:val="en-CA"/>
              </w:rPr>
            </w:pPr>
            <w:r w:rsidRPr="00CF4D08">
              <w:rPr>
                <w:rFonts w:ascii="Calibri" w:hAnsi="Calibri" w:cs="Times New Roman"/>
                <w:sz w:val="18"/>
                <w:szCs w:val="18"/>
                <w:lang w:val="en-CA"/>
              </w:rPr>
              <w:t>Achieve project results and outputs through better coordination and implementation of protected area management actions</w:t>
            </w:r>
          </w:p>
        </w:tc>
        <w:tc>
          <w:tcPr>
            <w:tcW w:w="850" w:type="dxa"/>
            <w:tcBorders>
              <w:top w:val="single" w:sz="4" w:space="0" w:color="auto"/>
              <w:left w:val="single" w:sz="4" w:space="0" w:color="auto"/>
              <w:bottom w:val="single" w:sz="4" w:space="0" w:color="auto"/>
              <w:right w:val="single" w:sz="4" w:space="0" w:color="auto"/>
            </w:tcBorders>
            <w:vAlign w:val="center"/>
          </w:tcPr>
          <w:p w14:paraId="0DBDC327" w14:textId="77777777" w:rsidR="00302BFE" w:rsidRPr="00E379FD" w:rsidRDefault="00302BFE" w:rsidP="00243B15">
            <w:pPr>
              <w:autoSpaceDN w:val="0"/>
              <w:spacing w:after="0"/>
              <w:jc w:val="left"/>
              <w:rPr>
                <w:rStyle w:val="hps"/>
                <w:sz w:val="18"/>
                <w:szCs w:val="18"/>
                <w:lang w:val="fr-CA"/>
              </w:rPr>
            </w:pPr>
            <w:r w:rsidRPr="00E379FD">
              <w:rPr>
                <w:rStyle w:val="hps"/>
                <w:sz w:val="18"/>
                <w:szCs w:val="18"/>
                <w:lang w:val="fr-CA"/>
              </w:rPr>
              <w:t>1</w:t>
            </w:r>
            <w:r>
              <w:rPr>
                <w:rStyle w:val="hps"/>
                <w:sz w:val="18"/>
                <w:szCs w:val="18"/>
                <w:lang w:val="fr-CA"/>
              </w:rPr>
              <w:t>,</w:t>
            </w:r>
            <w:r w:rsidRPr="00E379FD">
              <w:rPr>
                <w:rStyle w:val="hps"/>
                <w:sz w:val="18"/>
                <w:szCs w:val="18"/>
                <w:lang w:val="fr-CA"/>
              </w:rPr>
              <w:t xml:space="preserve"> 2</w:t>
            </w:r>
            <w:r>
              <w:rPr>
                <w:rStyle w:val="hps"/>
                <w:sz w:val="18"/>
                <w:szCs w:val="18"/>
                <w:lang w:val="fr-CA"/>
              </w:rPr>
              <w:t>,</w:t>
            </w:r>
            <w:r w:rsidRPr="00E379FD">
              <w:rPr>
                <w:rStyle w:val="hps"/>
                <w:sz w:val="18"/>
                <w:szCs w:val="18"/>
                <w:lang w:val="fr-CA"/>
              </w:rPr>
              <w:t xml:space="preserve"> 3</w:t>
            </w:r>
            <w:r>
              <w:rPr>
                <w:rStyle w:val="hps"/>
                <w:sz w:val="18"/>
                <w:szCs w:val="18"/>
                <w:lang w:val="fr-CA"/>
              </w:rPr>
              <w:t>,</w:t>
            </w:r>
            <w:r w:rsidRPr="00E379FD">
              <w:rPr>
                <w:rStyle w:val="hps"/>
                <w:sz w:val="18"/>
                <w:szCs w:val="18"/>
                <w:lang w:val="fr-CA"/>
              </w:rPr>
              <w:t xml:space="preserve"> 4</w:t>
            </w:r>
          </w:p>
        </w:tc>
      </w:tr>
      <w:tr w:rsidR="00302BFE" w:rsidRPr="00CF4D08" w14:paraId="0C0502EF" w14:textId="77777777" w:rsidTr="00243B15">
        <w:trPr>
          <w:jc w:val="center"/>
        </w:trPr>
        <w:tc>
          <w:tcPr>
            <w:tcW w:w="1882" w:type="dxa"/>
            <w:tcBorders>
              <w:top w:val="single" w:sz="4" w:space="0" w:color="auto"/>
              <w:left w:val="single" w:sz="4" w:space="0" w:color="auto"/>
              <w:bottom w:val="single" w:sz="4" w:space="0" w:color="auto"/>
              <w:right w:val="single" w:sz="4" w:space="0" w:color="auto"/>
            </w:tcBorders>
            <w:vAlign w:val="center"/>
          </w:tcPr>
          <w:p w14:paraId="12173E81" w14:textId="77777777" w:rsidR="00302BFE" w:rsidRPr="00B960B4" w:rsidRDefault="00302BFE" w:rsidP="00243B15">
            <w:pPr>
              <w:spacing w:after="0"/>
              <w:jc w:val="left"/>
              <w:rPr>
                <w:rFonts w:eastAsia="Times New Roman"/>
                <w:sz w:val="18"/>
                <w:szCs w:val="18"/>
                <w:lang w:val="en-CA"/>
              </w:rPr>
            </w:pPr>
            <w:r w:rsidRPr="00B960B4">
              <w:rPr>
                <w:sz w:val="18"/>
                <w:szCs w:val="18"/>
                <w:lang w:val="en-CA"/>
              </w:rPr>
              <w:t>Directorate General of Budget / Ministry of Economy, Finance and Development</w:t>
            </w:r>
          </w:p>
        </w:tc>
        <w:tc>
          <w:tcPr>
            <w:tcW w:w="3827" w:type="dxa"/>
            <w:tcBorders>
              <w:top w:val="single" w:sz="4" w:space="0" w:color="auto"/>
              <w:left w:val="single" w:sz="4" w:space="0" w:color="auto"/>
              <w:bottom w:val="single" w:sz="4" w:space="0" w:color="auto"/>
              <w:right w:val="single" w:sz="4" w:space="0" w:color="auto"/>
            </w:tcBorders>
            <w:vAlign w:val="center"/>
          </w:tcPr>
          <w:p w14:paraId="20C5916A" w14:textId="77777777" w:rsidR="00302BFE" w:rsidRPr="00B960B4" w:rsidRDefault="00302BFE" w:rsidP="00243B15">
            <w:pPr>
              <w:autoSpaceDN w:val="0"/>
              <w:spacing w:after="0"/>
              <w:jc w:val="left"/>
              <w:rPr>
                <w:sz w:val="18"/>
                <w:szCs w:val="18"/>
                <w:lang w:val="en-CA"/>
              </w:rPr>
            </w:pPr>
            <w:r w:rsidRPr="00B960B4">
              <w:rPr>
                <w:sz w:val="18"/>
                <w:szCs w:val="18"/>
                <w:lang w:val="en-CA"/>
              </w:rPr>
              <w:t>Project budget management related to the program</w:t>
            </w:r>
          </w:p>
        </w:tc>
        <w:tc>
          <w:tcPr>
            <w:tcW w:w="6193" w:type="dxa"/>
            <w:tcBorders>
              <w:top w:val="single" w:sz="4" w:space="0" w:color="auto"/>
              <w:left w:val="single" w:sz="4" w:space="0" w:color="auto"/>
              <w:bottom w:val="single" w:sz="4" w:space="0" w:color="auto"/>
              <w:right w:val="single" w:sz="4" w:space="0" w:color="auto"/>
            </w:tcBorders>
            <w:vAlign w:val="center"/>
          </w:tcPr>
          <w:p w14:paraId="56684BF9" w14:textId="77777777" w:rsidR="00302BFE" w:rsidRPr="00232D5D" w:rsidRDefault="00302BFE" w:rsidP="00C46720">
            <w:pPr>
              <w:numPr>
                <w:ilvl w:val="0"/>
                <w:numId w:val="38"/>
              </w:numPr>
              <w:autoSpaceDN w:val="0"/>
              <w:spacing w:after="0"/>
              <w:jc w:val="left"/>
              <w:rPr>
                <w:sz w:val="18"/>
                <w:szCs w:val="18"/>
                <w:lang w:val="en-CA"/>
              </w:rPr>
            </w:pPr>
            <w:r w:rsidRPr="00232D5D">
              <w:rPr>
                <w:sz w:val="18"/>
                <w:szCs w:val="18"/>
                <w:lang w:val="en-CA"/>
              </w:rPr>
              <w:t>The Directorates and Services involved in the mobilization of in-kind contributions as co-financing of the project will be duly informed of the activities and progress of the project on an ongoing basis</w:t>
            </w:r>
          </w:p>
        </w:tc>
        <w:tc>
          <w:tcPr>
            <w:tcW w:w="1985" w:type="dxa"/>
            <w:tcBorders>
              <w:top w:val="single" w:sz="4" w:space="0" w:color="auto"/>
              <w:left w:val="single" w:sz="4" w:space="0" w:color="auto"/>
              <w:bottom w:val="single" w:sz="4" w:space="0" w:color="auto"/>
              <w:right w:val="single" w:sz="4" w:space="0" w:color="auto"/>
            </w:tcBorders>
            <w:vAlign w:val="center"/>
          </w:tcPr>
          <w:p w14:paraId="7A377FB2" w14:textId="77777777" w:rsidR="00302BFE" w:rsidRPr="00CF4D08" w:rsidRDefault="00302BFE" w:rsidP="00243B15">
            <w:pPr>
              <w:autoSpaceDN w:val="0"/>
              <w:spacing w:after="0"/>
              <w:jc w:val="left"/>
              <w:rPr>
                <w:sz w:val="18"/>
                <w:szCs w:val="18"/>
                <w:lang w:val="en-CA"/>
              </w:rPr>
            </w:pPr>
            <w:r w:rsidRPr="00CF4D08">
              <w:rPr>
                <w:sz w:val="18"/>
                <w:szCs w:val="18"/>
                <w:lang w:val="en-CA"/>
              </w:rPr>
              <w:t>Ensure budget management of the project</w:t>
            </w:r>
          </w:p>
        </w:tc>
        <w:tc>
          <w:tcPr>
            <w:tcW w:w="850" w:type="dxa"/>
            <w:tcBorders>
              <w:top w:val="single" w:sz="4" w:space="0" w:color="auto"/>
              <w:left w:val="single" w:sz="4" w:space="0" w:color="auto"/>
              <w:bottom w:val="single" w:sz="4" w:space="0" w:color="auto"/>
              <w:right w:val="single" w:sz="4" w:space="0" w:color="auto"/>
            </w:tcBorders>
            <w:vAlign w:val="center"/>
          </w:tcPr>
          <w:p w14:paraId="3E2AD39D" w14:textId="77777777" w:rsidR="00302BFE" w:rsidRPr="00CF4D08" w:rsidRDefault="00302BFE" w:rsidP="00243B15">
            <w:pPr>
              <w:autoSpaceDN w:val="0"/>
              <w:spacing w:after="0"/>
              <w:ind w:left="170"/>
              <w:jc w:val="left"/>
              <w:rPr>
                <w:sz w:val="18"/>
                <w:szCs w:val="18"/>
                <w:lang w:val="en-CA"/>
              </w:rPr>
            </w:pPr>
          </w:p>
        </w:tc>
      </w:tr>
      <w:tr w:rsidR="00302BFE" w:rsidRPr="009F390C" w14:paraId="3FAF7F8E" w14:textId="77777777" w:rsidTr="00243B15">
        <w:trPr>
          <w:jc w:val="center"/>
        </w:trPr>
        <w:tc>
          <w:tcPr>
            <w:tcW w:w="570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374E3695" w14:textId="77777777" w:rsidR="00302BFE" w:rsidRPr="009F390C" w:rsidRDefault="00302BFE" w:rsidP="00243B15">
            <w:pPr>
              <w:autoSpaceDN w:val="0"/>
              <w:spacing w:after="0"/>
              <w:jc w:val="left"/>
              <w:rPr>
                <w:sz w:val="18"/>
                <w:szCs w:val="18"/>
                <w:lang w:val="en-CA"/>
              </w:rPr>
            </w:pPr>
            <w:r w:rsidRPr="009F390C">
              <w:rPr>
                <w:b/>
                <w:bCs/>
                <w:sz w:val="18"/>
                <w:szCs w:val="18"/>
                <w:lang w:val="en-CA"/>
              </w:rPr>
              <w:t xml:space="preserve">National private sector: </w:t>
            </w:r>
            <w:r w:rsidRPr="009F390C">
              <w:rPr>
                <w:bCs/>
                <w:sz w:val="18"/>
                <w:szCs w:val="18"/>
                <w:lang w:val="en-CA"/>
              </w:rPr>
              <w:t>Private companies and investors</w:t>
            </w:r>
          </w:p>
        </w:tc>
        <w:tc>
          <w:tcPr>
            <w:tcW w:w="6193" w:type="dxa"/>
            <w:tcBorders>
              <w:top w:val="single" w:sz="4" w:space="0" w:color="auto"/>
              <w:left w:val="single" w:sz="4" w:space="0" w:color="auto"/>
              <w:bottom w:val="single" w:sz="4" w:space="0" w:color="auto"/>
              <w:right w:val="single" w:sz="4" w:space="0" w:color="auto"/>
            </w:tcBorders>
            <w:shd w:val="clear" w:color="auto" w:fill="E6E6E6"/>
            <w:vAlign w:val="center"/>
          </w:tcPr>
          <w:p w14:paraId="4E90CEF7" w14:textId="77777777" w:rsidR="00302BFE" w:rsidRPr="009F390C" w:rsidRDefault="00302BFE" w:rsidP="00243B15">
            <w:pPr>
              <w:autoSpaceDN w:val="0"/>
              <w:spacing w:after="0"/>
              <w:jc w:val="left"/>
              <w:rPr>
                <w:b/>
                <w:bCs/>
                <w:sz w:val="18"/>
                <w:szCs w:val="18"/>
                <w:lang w:val="en-CA"/>
              </w:rPr>
            </w:pPr>
          </w:p>
        </w:tc>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2460B598" w14:textId="77777777" w:rsidR="00302BFE" w:rsidRPr="009F390C" w:rsidRDefault="00302BFE" w:rsidP="00243B15">
            <w:pPr>
              <w:autoSpaceDN w:val="0"/>
              <w:spacing w:after="0"/>
              <w:jc w:val="left"/>
              <w:rPr>
                <w:b/>
                <w:bCs/>
                <w:sz w:val="18"/>
                <w:szCs w:val="18"/>
                <w:lang w:val="en-C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2D235638" w14:textId="77777777" w:rsidR="00302BFE" w:rsidRPr="009F390C" w:rsidRDefault="00302BFE" w:rsidP="00243B15">
            <w:pPr>
              <w:autoSpaceDN w:val="0"/>
              <w:spacing w:after="0"/>
              <w:jc w:val="left"/>
              <w:rPr>
                <w:b/>
                <w:bCs/>
                <w:sz w:val="18"/>
                <w:szCs w:val="18"/>
                <w:lang w:val="en-CA"/>
              </w:rPr>
            </w:pPr>
          </w:p>
        </w:tc>
      </w:tr>
      <w:tr w:rsidR="00302BFE" w:rsidRPr="00E379FD" w14:paraId="0AE943CE" w14:textId="77777777" w:rsidTr="00243B15">
        <w:trPr>
          <w:jc w:val="center"/>
        </w:trPr>
        <w:tc>
          <w:tcPr>
            <w:tcW w:w="1882" w:type="dxa"/>
            <w:tcBorders>
              <w:top w:val="single" w:sz="4" w:space="0" w:color="auto"/>
              <w:left w:val="single" w:sz="4" w:space="0" w:color="auto"/>
              <w:bottom w:val="single" w:sz="4" w:space="0" w:color="auto"/>
              <w:right w:val="single" w:sz="4" w:space="0" w:color="auto"/>
            </w:tcBorders>
            <w:vAlign w:val="center"/>
          </w:tcPr>
          <w:p w14:paraId="4ABD42ED" w14:textId="77777777" w:rsidR="00302BFE" w:rsidRPr="00243B15" w:rsidRDefault="00302BFE" w:rsidP="00243B15">
            <w:pPr>
              <w:spacing w:after="0"/>
              <w:jc w:val="left"/>
              <w:rPr>
                <w:sz w:val="18"/>
                <w:szCs w:val="18"/>
                <w:lang w:val="en-CA"/>
              </w:rPr>
            </w:pPr>
            <w:r w:rsidRPr="00243B15">
              <w:rPr>
                <w:sz w:val="18"/>
                <w:szCs w:val="18"/>
                <w:lang w:val="en-CA"/>
              </w:rPr>
              <w:t>Hunting and Tourism Concessionnaires:</w:t>
            </w:r>
          </w:p>
          <w:p w14:paraId="59BD5DDB" w14:textId="77777777" w:rsidR="00302BFE" w:rsidRPr="00243B15" w:rsidRDefault="00302BFE" w:rsidP="00243B15">
            <w:pPr>
              <w:spacing w:after="0"/>
              <w:jc w:val="left"/>
              <w:rPr>
                <w:rFonts w:eastAsia="Cambria"/>
                <w:bCs/>
                <w:sz w:val="18"/>
                <w:szCs w:val="18"/>
                <w:lang w:val="en-CA"/>
              </w:rPr>
            </w:pPr>
            <w:r w:rsidRPr="00243B15">
              <w:rPr>
                <w:sz w:val="18"/>
                <w:szCs w:val="18"/>
                <w:lang w:val="en-CA"/>
              </w:rPr>
              <w:t>Nahouri Safari, Sissili safari</w:t>
            </w:r>
          </w:p>
        </w:tc>
        <w:tc>
          <w:tcPr>
            <w:tcW w:w="3827" w:type="dxa"/>
            <w:tcBorders>
              <w:top w:val="single" w:sz="4" w:space="0" w:color="auto"/>
              <w:left w:val="single" w:sz="4" w:space="0" w:color="auto"/>
              <w:bottom w:val="single" w:sz="4" w:space="0" w:color="auto"/>
              <w:right w:val="single" w:sz="4" w:space="0" w:color="auto"/>
            </w:tcBorders>
            <w:vAlign w:val="center"/>
          </w:tcPr>
          <w:p w14:paraId="50C679A4" w14:textId="77777777" w:rsidR="00302BFE" w:rsidRPr="009F390C" w:rsidRDefault="00302BFE" w:rsidP="00243B15">
            <w:pPr>
              <w:autoSpaceDN w:val="0"/>
              <w:spacing w:after="0"/>
              <w:jc w:val="left"/>
              <w:rPr>
                <w:rFonts w:eastAsia="Cambria"/>
                <w:sz w:val="18"/>
                <w:szCs w:val="18"/>
                <w:lang w:val="en-CA"/>
              </w:rPr>
            </w:pPr>
            <w:r w:rsidRPr="009F390C">
              <w:rPr>
                <w:sz w:val="18"/>
                <w:szCs w:val="18"/>
                <w:lang w:val="en-CA" w:eastAsia="de-DE" w:bidi="as-IN"/>
              </w:rPr>
              <w:t>Their role is coaching, training and supervision</w:t>
            </w:r>
          </w:p>
        </w:tc>
        <w:tc>
          <w:tcPr>
            <w:tcW w:w="6193" w:type="dxa"/>
            <w:tcBorders>
              <w:top w:val="single" w:sz="4" w:space="0" w:color="auto"/>
              <w:left w:val="single" w:sz="4" w:space="0" w:color="auto"/>
              <w:bottom w:val="single" w:sz="4" w:space="0" w:color="auto"/>
              <w:right w:val="single" w:sz="4" w:space="0" w:color="auto"/>
            </w:tcBorders>
            <w:vAlign w:val="center"/>
          </w:tcPr>
          <w:p w14:paraId="693575AC" w14:textId="77777777" w:rsidR="00302BFE" w:rsidRPr="00E379FD" w:rsidRDefault="00302BFE" w:rsidP="00243B15">
            <w:pPr>
              <w:autoSpaceDN w:val="0"/>
              <w:spacing w:after="0"/>
              <w:jc w:val="left"/>
              <w:rPr>
                <w:sz w:val="18"/>
                <w:szCs w:val="18"/>
                <w:lang w:val="fr-CA"/>
              </w:rPr>
            </w:pPr>
            <w:r w:rsidRPr="00232D5D">
              <w:rPr>
                <w:sz w:val="18"/>
                <w:szCs w:val="18"/>
                <w:lang w:val="en-CA" w:eastAsia="de-DE" w:bidi="as-IN"/>
              </w:rPr>
              <w:t xml:space="preserve">Hunting and tourism concessionnaires will train and supervise ecoguards and trackers in protected areas. They will organize surveillance and anti-poaching actions in collaboration with other stakeholders. They will also be responsible for the organization of tourism in the project area. </w:t>
            </w:r>
            <w:r w:rsidRPr="00232D5D">
              <w:rPr>
                <w:sz w:val="18"/>
                <w:szCs w:val="18"/>
                <w:lang w:val="fr-FR" w:eastAsia="de-DE" w:bidi="as-IN"/>
              </w:rPr>
              <w:t>(</w:t>
            </w:r>
            <w:r>
              <w:rPr>
                <w:sz w:val="18"/>
                <w:szCs w:val="18"/>
                <w:lang w:val="en-CA"/>
              </w:rPr>
              <w:t>output</w:t>
            </w:r>
            <w:r w:rsidRPr="00616C8C">
              <w:rPr>
                <w:sz w:val="18"/>
                <w:szCs w:val="18"/>
                <w:lang w:val="en-CA"/>
              </w:rPr>
              <w:t xml:space="preserve"> </w:t>
            </w:r>
            <w:r w:rsidRPr="00232D5D">
              <w:rPr>
                <w:sz w:val="18"/>
                <w:szCs w:val="18"/>
                <w:lang w:val="fr-FR" w:eastAsia="de-DE" w:bidi="as-IN"/>
              </w:rPr>
              <w:t>2.2.5)</w:t>
            </w:r>
          </w:p>
        </w:tc>
        <w:tc>
          <w:tcPr>
            <w:tcW w:w="1985" w:type="dxa"/>
            <w:tcBorders>
              <w:top w:val="single" w:sz="4" w:space="0" w:color="auto"/>
              <w:left w:val="single" w:sz="4" w:space="0" w:color="auto"/>
              <w:bottom w:val="single" w:sz="4" w:space="0" w:color="auto"/>
              <w:right w:val="single" w:sz="4" w:space="0" w:color="auto"/>
            </w:tcBorders>
            <w:vAlign w:val="center"/>
          </w:tcPr>
          <w:p w14:paraId="42F0334E" w14:textId="77777777" w:rsidR="00302BFE" w:rsidRPr="00CF4D08" w:rsidRDefault="00302BFE" w:rsidP="00243B15">
            <w:pPr>
              <w:autoSpaceDN w:val="0"/>
              <w:spacing w:after="0"/>
              <w:jc w:val="left"/>
              <w:rPr>
                <w:sz w:val="18"/>
                <w:szCs w:val="18"/>
                <w:lang w:val="en-CA"/>
              </w:rPr>
            </w:pPr>
            <w:r w:rsidRPr="00CF4D08">
              <w:rPr>
                <w:sz w:val="18"/>
                <w:szCs w:val="18"/>
                <w:lang w:val="en-CA"/>
              </w:rPr>
              <w:t>Ensure better conservation of wildlife biodiversity and a better tourist destination</w:t>
            </w:r>
          </w:p>
        </w:tc>
        <w:tc>
          <w:tcPr>
            <w:tcW w:w="850" w:type="dxa"/>
            <w:tcBorders>
              <w:top w:val="single" w:sz="4" w:space="0" w:color="auto"/>
              <w:left w:val="single" w:sz="4" w:space="0" w:color="auto"/>
              <w:bottom w:val="single" w:sz="4" w:space="0" w:color="auto"/>
              <w:right w:val="single" w:sz="4" w:space="0" w:color="auto"/>
            </w:tcBorders>
            <w:vAlign w:val="center"/>
          </w:tcPr>
          <w:p w14:paraId="13ED1FCA" w14:textId="77777777" w:rsidR="00302BFE" w:rsidRPr="00E379FD" w:rsidRDefault="00302BFE" w:rsidP="00243B15">
            <w:pPr>
              <w:autoSpaceDN w:val="0"/>
              <w:spacing w:after="0"/>
              <w:jc w:val="left"/>
              <w:rPr>
                <w:sz w:val="18"/>
                <w:szCs w:val="18"/>
                <w:lang w:val="fr-CA"/>
              </w:rPr>
            </w:pPr>
            <w:r w:rsidRPr="00E379FD">
              <w:rPr>
                <w:sz w:val="18"/>
                <w:szCs w:val="18"/>
                <w:lang w:val="fr-CA"/>
              </w:rPr>
              <w:t>1</w:t>
            </w:r>
            <w:r>
              <w:rPr>
                <w:sz w:val="18"/>
                <w:szCs w:val="18"/>
                <w:lang w:val="fr-CA"/>
              </w:rPr>
              <w:t>,</w:t>
            </w:r>
            <w:r w:rsidRPr="00E379FD">
              <w:rPr>
                <w:sz w:val="18"/>
                <w:szCs w:val="18"/>
                <w:lang w:val="fr-CA"/>
              </w:rPr>
              <w:t xml:space="preserve"> 2</w:t>
            </w:r>
            <w:r>
              <w:rPr>
                <w:sz w:val="18"/>
                <w:szCs w:val="18"/>
                <w:lang w:val="fr-CA"/>
              </w:rPr>
              <w:t>,</w:t>
            </w:r>
            <w:r w:rsidRPr="00E379FD">
              <w:rPr>
                <w:sz w:val="18"/>
                <w:szCs w:val="18"/>
                <w:lang w:val="fr-CA"/>
              </w:rPr>
              <w:t xml:space="preserve"> 3</w:t>
            </w:r>
          </w:p>
        </w:tc>
      </w:tr>
      <w:tr w:rsidR="00302BFE" w:rsidRPr="00E379FD" w14:paraId="1F2E305B" w14:textId="77777777" w:rsidTr="00243B15">
        <w:trPr>
          <w:jc w:val="center"/>
        </w:trPr>
        <w:tc>
          <w:tcPr>
            <w:tcW w:w="1882" w:type="dxa"/>
            <w:tcBorders>
              <w:top w:val="single" w:sz="4" w:space="0" w:color="auto"/>
              <w:left w:val="single" w:sz="4" w:space="0" w:color="auto"/>
              <w:bottom w:val="single" w:sz="4" w:space="0" w:color="auto"/>
              <w:right w:val="single" w:sz="4" w:space="0" w:color="auto"/>
            </w:tcBorders>
            <w:vAlign w:val="center"/>
          </w:tcPr>
          <w:p w14:paraId="31DAEAE3" w14:textId="77777777" w:rsidR="00302BFE" w:rsidRPr="009F390C" w:rsidRDefault="00302BFE" w:rsidP="00243B15">
            <w:pPr>
              <w:spacing w:after="0"/>
              <w:jc w:val="left"/>
              <w:rPr>
                <w:sz w:val="18"/>
                <w:szCs w:val="18"/>
                <w:lang w:val="en-CA"/>
              </w:rPr>
            </w:pPr>
            <w:r w:rsidRPr="009F390C">
              <w:rPr>
                <w:sz w:val="18"/>
                <w:szCs w:val="18"/>
                <w:lang w:val="en-CA"/>
              </w:rPr>
              <w:t>Tourism operators and agencies</w:t>
            </w:r>
          </w:p>
          <w:p w14:paraId="3671D105" w14:textId="77777777" w:rsidR="00302BFE" w:rsidRPr="009F390C" w:rsidRDefault="00302BFE" w:rsidP="00243B15">
            <w:pPr>
              <w:spacing w:after="0"/>
              <w:jc w:val="left"/>
              <w:rPr>
                <w:sz w:val="18"/>
                <w:szCs w:val="18"/>
                <w:lang w:val="en-CA"/>
              </w:rPr>
            </w:pPr>
            <w:r w:rsidRPr="009F390C">
              <w:rPr>
                <w:sz w:val="18"/>
                <w:szCs w:val="18"/>
                <w:lang w:val="en-CA"/>
              </w:rPr>
              <w:t>Hotels and bungalows within and around PA sites</w:t>
            </w:r>
          </w:p>
        </w:tc>
        <w:tc>
          <w:tcPr>
            <w:tcW w:w="3827" w:type="dxa"/>
            <w:tcBorders>
              <w:top w:val="single" w:sz="4" w:space="0" w:color="auto"/>
              <w:left w:val="single" w:sz="4" w:space="0" w:color="auto"/>
              <w:bottom w:val="single" w:sz="4" w:space="0" w:color="auto"/>
              <w:right w:val="single" w:sz="4" w:space="0" w:color="auto"/>
            </w:tcBorders>
            <w:vAlign w:val="center"/>
          </w:tcPr>
          <w:p w14:paraId="476C7C64" w14:textId="77777777" w:rsidR="00302BFE" w:rsidRPr="009F390C" w:rsidRDefault="00302BFE" w:rsidP="00243B15">
            <w:pPr>
              <w:autoSpaceDN w:val="0"/>
              <w:spacing w:after="0"/>
              <w:jc w:val="left"/>
              <w:rPr>
                <w:rFonts w:eastAsia="Cambria"/>
                <w:sz w:val="18"/>
                <w:szCs w:val="18"/>
                <w:lang w:val="en-CA"/>
              </w:rPr>
            </w:pPr>
            <w:r w:rsidRPr="009F390C">
              <w:rPr>
                <w:rFonts w:eastAsia="Cambria"/>
                <w:sz w:val="18"/>
                <w:szCs w:val="18"/>
                <w:lang w:val="en-CA"/>
              </w:rPr>
              <w:t>Their role is to ensure a better reception for tourists</w:t>
            </w:r>
          </w:p>
        </w:tc>
        <w:tc>
          <w:tcPr>
            <w:tcW w:w="6193" w:type="dxa"/>
            <w:tcBorders>
              <w:top w:val="single" w:sz="4" w:space="0" w:color="auto"/>
              <w:left w:val="single" w:sz="4" w:space="0" w:color="auto"/>
              <w:bottom w:val="single" w:sz="4" w:space="0" w:color="auto"/>
              <w:right w:val="single" w:sz="4" w:space="0" w:color="auto"/>
            </w:tcBorders>
            <w:vAlign w:val="center"/>
          </w:tcPr>
          <w:p w14:paraId="27ECDE6C" w14:textId="77777777" w:rsidR="00302BFE" w:rsidRPr="00232D5D" w:rsidRDefault="00302BFE" w:rsidP="00C46720">
            <w:pPr>
              <w:numPr>
                <w:ilvl w:val="0"/>
                <w:numId w:val="38"/>
              </w:numPr>
              <w:autoSpaceDN w:val="0"/>
              <w:spacing w:after="0"/>
              <w:jc w:val="left"/>
              <w:rPr>
                <w:rFonts w:eastAsia="Cambria"/>
                <w:sz w:val="18"/>
                <w:szCs w:val="18"/>
                <w:lang w:val="en-CA"/>
              </w:rPr>
            </w:pPr>
            <w:r w:rsidRPr="00232D5D">
              <w:rPr>
                <w:sz w:val="18"/>
                <w:szCs w:val="18"/>
                <w:lang w:val="en-CA"/>
              </w:rPr>
              <w:t>Specific information and awareness-raising activities (</w:t>
            </w:r>
            <w:r>
              <w:rPr>
                <w:sz w:val="18"/>
                <w:szCs w:val="18"/>
                <w:lang w:val="en-CA"/>
              </w:rPr>
              <w:t>output</w:t>
            </w:r>
            <w:r w:rsidRPr="00616C8C">
              <w:rPr>
                <w:sz w:val="18"/>
                <w:szCs w:val="18"/>
                <w:lang w:val="en-CA"/>
              </w:rPr>
              <w:t xml:space="preserve"> </w:t>
            </w:r>
            <w:r w:rsidRPr="00232D5D">
              <w:rPr>
                <w:sz w:val="18"/>
                <w:szCs w:val="18"/>
                <w:lang w:val="en-CA"/>
              </w:rPr>
              <w:t>3.4.2) will target companies and private investors operating in or likely to settle in PA sites, with a view to improving their services, mitigating the impacts of their activities on PAs and their resources and develop activities that respect PAs.</w:t>
            </w:r>
          </w:p>
          <w:p w14:paraId="451DA3C2" w14:textId="77777777" w:rsidR="00302BFE" w:rsidRPr="00232D5D" w:rsidRDefault="00302BFE" w:rsidP="00C46720">
            <w:pPr>
              <w:numPr>
                <w:ilvl w:val="0"/>
                <w:numId w:val="38"/>
              </w:numPr>
              <w:autoSpaceDN w:val="0"/>
              <w:spacing w:after="0"/>
              <w:jc w:val="left"/>
              <w:rPr>
                <w:sz w:val="18"/>
                <w:szCs w:val="18"/>
                <w:lang w:val="en-CA"/>
              </w:rPr>
            </w:pPr>
            <w:r w:rsidRPr="00232D5D">
              <w:rPr>
                <w:sz w:val="18"/>
                <w:szCs w:val="18"/>
                <w:lang w:val="en-CA"/>
              </w:rPr>
              <w:t>Tourism operators will be involved in consultations leading to the development of a strategy for the development of ecotourism in relation to PAs and will participate in its implementation (</w:t>
            </w:r>
            <w:r>
              <w:rPr>
                <w:sz w:val="18"/>
                <w:szCs w:val="18"/>
                <w:lang w:val="en-CA"/>
              </w:rPr>
              <w:t>output</w:t>
            </w:r>
            <w:r w:rsidRPr="00616C8C">
              <w:rPr>
                <w:sz w:val="18"/>
                <w:szCs w:val="18"/>
                <w:lang w:val="en-CA"/>
              </w:rPr>
              <w:t xml:space="preserve"> </w:t>
            </w:r>
            <w:r w:rsidRPr="00232D5D">
              <w:rPr>
                <w:sz w:val="18"/>
                <w:szCs w:val="18"/>
                <w:lang w:val="en-CA"/>
              </w:rPr>
              <w:t>3.4.1)</w:t>
            </w:r>
          </w:p>
        </w:tc>
        <w:tc>
          <w:tcPr>
            <w:tcW w:w="1985" w:type="dxa"/>
            <w:tcBorders>
              <w:top w:val="single" w:sz="4" w:space="0" w:color="auto"/>
              <w:left w:val="single" w:sz="4" w:space="0" w:color="auto"/>
              <w:bottom w:val="single" w:sz="4" w:space="0" w:color="auto"/>
              <w:right w:val="single" w:sz="4" w:space="0" w:color="auto"/>
            </w:tcBorders>
            <w:vAlign w:val="center"/>
          </w:tcPr>
          <w:p w14:paraId="1D20311B" w14:textId="77777777" w:rsidR="00302BFE" w:rsidRPr="00CF4D08" w:rsidRDefault="00302BFE" w:rsidP="00243B15">
            <w:pPr>
              <w:autoSpaceDN w:val="0"/>
              <w:spacing w:after="0"/>
              <w:jc w:val="left"/>
              <w:rPr>
                <w:sz w:val="18"/>
                <w:szCs w:val="18"/>
                <w:lang w:val="en-CA"/>
              </w:rPr>
            </w:pPr>
            <w:r w:rsidRPr="00CF4D08">
              <w:rPr>
                <w:sz w:val="18"/>
                <w:szCs w:val="18"/>
                <w:lang w:val="en-CA"/>
              </w:rPr>
              <w:t>Ensure a better tourist destination for the PONASI complex</w:t>
            </w:r>
          </w:p>
        </w:tc>
        <w:tc>
          <w:tcPr>
            <w:tcW w:w="850" w:type="dxa"/>
            <w:tcBorders>
              <w:top w:val="single" w:sz="4" w:space="0" w:color="auto"/>
              <w:left w:val="single" w:sz="4" w:space="0" w:color="auto"/>
              <w:bottom w:val="single" w:sz="4" w:space="0" w:color="auto"/>
              <w:right w:val="single" w:sz="4" w:space="0" w:color="auto"/>
            </w:tcBorders>
            <w:vAlign w:val="center"/>
          </w:tcPr>
          <w:p w14:paraId="7708944C" w14:textId="77777777" w:rsidR="00302BFE" w:rsidRPr="00E379FD" w:rsidRDefault="00302BFE" w:rsidP="00243B15">
            <w:pPr>
              <w:autoSpaceDN w:val="0"/>
              <w:spacing w:after="0"/>
              <w:jc w:val="left"/>
              <w:rPr>
                <w:sz w:val="18"/>
                <w:szCs w:val="18"/>
                <w:lang w:val="fr-CA"/>
              </w:rPr>
            </w:pPr>
            <w:r w:rsidRPr="00E379FD">
              <w:rPr>
                <w:sz w:val="18"/>
                <w:szCs w:val="18"/>
                <w:lang w:val="fr-CA"/>
              </w:rPr>
              <w:t>3</w:t>
            </w:r>
          </w:p>
        </w:tc>
      </w:tr>
      <w:tr w:rsidR="00302BFE" w:rsidRPr="00E379FD" w14:paraId="3E677FE4" w14:textId="77777777" w:rsidTr="00243B15">
        <w:trPr>
          <w:jc w:val="center"/>
        </w:trPr>
        <w:tc>
          <w:tcPr>
            <w:tcW w:w="1882" w:type="dxa"/>
            <w:tcBorders>
              <w:top w:val="single" w:sz="4" w:space="0" w:color="auto"/>
              <w:left w:val="single" w:sz="4" w:space="0" w:color="auto"/>
              <w:bottom w:val="single" w:sz="4" w:space="0" w:color="auto"/>
              <w:right w:val="single" w:sz="4" w:space="0" w:color="auto"/>
            </w:tcBorders>
            <w:vAlign w:val="center"/>
          </w:tcPr>
          <w:p w14:paraId="4A01D991" w14:textId="77777777" w:rsidR="00302BFE" w:rsidRPr="00E379FD" w:rsidRDefault="00302BFE" w:rsidP="00243B15">
            <w:pPr>
              <w:spacing w:after="0"/>
              <w:jc w:val="left"/>
              <w:rPr>
                <w:sz w:val="18"/>
                <w:szCs w:val="18"/>
                <w:lang w:val="fr-CA"/>
              </w:rPr>
            </w:pPr>
            <w:r>
              <w:rPr>
                <w:sz w:val="18"/>
                <w:szCs w:val="18"/>
                <w:lang w:val="fr-CA"/>
              </w:rPr>
              <w:lastRenderedPageBreak/>
              <w:t>A</w:t>
            </w:r>
            <w:r w:rsidRPr="00E379FD">
              <w:rPr>
                <w:sz w:val="18"/>
                <w:szCs w:val="18"/>
                <w:lang w:val="fr-CA"/>
              </w:rPr>
              <w:t>gr</w:t>
            </w:r>
            <w:r>
              <w:rPr>
                <w:sz w:val="18"/>
                <w:szCs w:val="18"/>
                <w:lang w:val="fr-CA"/>
              </w:rPr>
              <w:t>o</w:t>
            </w:r>
            <w:r w:rsidRPr="00E379FD">
              <w:rPr>
                <w:sz w:val="18"/>
                <w:szCs w:val="18"/>
                <w:lang w:val="fr-CA"/>
              </w:rPr>
              <w:t>businessmen</w:t>
            </w:r>
          </w:p>
        </w:tc>
        <w:tc>
          <w:tcPr>
            <w:tcW w:w="3827" w:type="dxa"/>
            <w:tcBorders>
              <w:top w:val="single" w:sz="4" w:space="0" w:color="auto"/>
              <w:left w:val="single" w:sz="4" w:space="0" w:color="auto"/>
              <w:bottom w:val="single" w:sz="4" w:space="0" w:color="auto"/>
              <w:right w:val="single" w:sz="4" w:space="0" w:color="auto"/>
            </w:tcBorders>
            <w:vAlign w:val="center"/>
          </w:tcPr>
          <w:p w14:paraId="44046698" w14:textId="77777777" w:rsidR="00302BFE" w:rsidRPr="009F390C" w:rsidRDefault="00302BFE" w:rsidP="00243B15">
            <w:pPr>
              <w:autoSpaceDN w:val="0"/>
              <w:spacing w:after="0"/>
              <w:jc w:val="left"/>
              <w:rPr>
                <w:rFonts w:eastAsia="Cambria"/>
                <w:sz w:val="18"/>
                <w:szCs w:val="18"/>
                <w:lang w:val="en-CA"/>
              </w:rPr>
            </w:pPr>
            <w:r w:rsidRPr="009F390C">
              <w:rPr>
                <w:rFonts w:eastAsia="Cambria"/>
                <w:sz w:val="18"/>
                <w:szCs w:val="18"/>
                <w:lang w:val="en-CA"/>
              </w:rPr>
              <w:t>Application of experiences and teaching on sustainable land management</w:t>
            </w:r>
          </w:p>
        </w:tc>
        <w:tc>
          <w:tcPr>
            <w:tcW w:w="6193" w:type="dxa"/>
            <w:tcBorders>
              <w:top w:val="single" w:sz="4" w:space="0" w:color="auto"/>
              <w:left w:val="single" w:sz="4" w:space="0" w:color="auto"/>
              <w:bottom w:val="single" w:sz="4" w:space="0" w:color="auto"/>
              <w:right w:val="single" w:sz="4" w:space="0" w:color="auto"/>
            </w:tcBorders>
            <w:vAlign w:val="center"/>
          </w:tcPr>
          <w:p w14:paraId="77E0A3AA" w14:textId="77777777" w:rsidR="00302BFE" w:rsidRPr="00232D5D" w:rsidRDefault="00302BFE" w:rsidP="00243B15">
            <w:pPr>
              <w:autoSpaceDN w:val="0"/>
              <w:spacing w:after="0"/>
              <w:ind w:left="170"/>
              <w:jc w:val="left"/>
              <w:rPr>
                <w:sz w:val="18"/>
                <w:szCs w:val="18"/>
                <w:lang w:val="en-CA"/>
              </w:rPr>
            </w:pPr>
            <w:r w:rsidRPr="00232D5D">
              <w:rPr>
                <w:sz w:val="18"/>
                <w:szCs w:val="18"/>
                <w:lang w:val="en-CA"/>
              </w:rPr>
              <w:t>Agribusinessmen will be in charge of implementing SLM actions initiated throughout the PONASI landscape (</w:t>
            </w:r>
            <w:r>
              <w:rPr>
                <w:sz w:val="18"/>
                <w:szCs w:val="18"/>
                <w:lang w:val="en-CA"/>
              </w:rPr>
              <w:t>output</w:t>
            </w:r>
            <w:r w:rsidRPr="00616C8C">
              <w:rPr>
                <w:sz w:val="18"/>
                <w:szCs w:val="18"/>
                <w:lang w:val="en-CA"/>
              </w:rPr>
              <w:t xml:space="preserve"> </w:t>
            </w:r>
            <w:r w:rsidRPr="00232D5D">
              <w:rPr>
                <w:sz w:val="18"/>
                <w:szCs w:val="18"/>
                <w:lang w:val="en-CA"/>
              </w:rPr>
              <w:t>3.1.2)</w:t>
            </w:r>
          </w:p>
        </w:tc>
        <w:tc>
          <w:tcPr>
            <w:tcW w:w="1985" w:type="dxa"/>
            <w:tcBorders>
              <w:top w:val="single" w:sz="4" w:space="0" w:color="auto"/>
              <w:left w:val="single" w:sz="4" w:space="0" w:color="auto"/>
              <w:bottom w:val="single" w:sz="4" w:space="0" w:color="auto"/>
              <w:right w:val="single" w:sz="4" w:space="0" w:color="auto"/>
            </w:tcBorders>
            <w:vAlign w:val="center"/>
          </w:tcPr>
          <w:p w14:paraId="7FF3B7C6" w14:textId="77777777" w:rsidR="00302BFE" w:rsidRPr="00CF4D08" w:rsidRDefault="00302BFE" w:rsidP="00243B15">
            <w:pPr>
              <w:autoSpaceDN w:val="0"/>
              <w:spacing w:after="0"/>
              <w:jc w:val="left"/>
              <w:rPr>
                <w:sz w:val="18"/>
                <w:szCs w:val="18"/>
                <w:lang w:val="en-CA"/>
              </w:rPr>
            </w:pPr>
            <w:r w:rsidRPr="00CF4D08">
              <w:rPr>
                <w:sz w:val="18"/>
                <w:szCs w:val="18"/>
                <w:lang w:val="en-CA"/>
              </w:rPr>
              <w:t>Agribusinessmen who apply sustainable farming practices.</w:t>
            </w:r>
          </w:p>
        </w:tc>
        <w:tc>
          <w:tcPr>
            <w:tcW w:w="850" w:type="dxa"/>
            <w:tcBorders>
              <w:top w:val="single" w:sz="4" w:space="0" w:color="auto"/>
              <w:left w:val="single" w:sz="4" w:space="0" w:color="auto"/>
              <w:bottom w:val="single" w:sz="4" w:space="0" w:color="auto"/>
              <w:right w:val="single" w:sz="4" w:space="0" w:color="auto"/>
            </w:tcBorders>
            <w:vAlign w:val="center"/>
          </w:tcPr>
          <w:p w14:paraId="43DE336C" w14:textId="77777777" w:rsidR="00302BFE" w:rsidRPr="00E379FD" w:rsidRDefault="00302BFE" w:rsidP="00243B15">
            <w:pPr>
              <w:autoSpaceDN w:val="0"/>
              <w:spacing w:after="0"/>
              <w:jc w:val="left"/>
              <w:rPr>
                <w:sz w:val="18"/>
                <w:szCs w:val="18"/>
                <w:lang w:val="fr-CA"/>
              </w:rPr>
            </w:pPr>
            <w:r w:rsidRPr="00E379FD">
              <w:rPr>
                <w:sz w:val="18"/>
                <w:szCs w:val="18"/>
                <w:lang w:val="fr-FR" w:eastAsia="de-DE" w:bidi="as-IN"/>
              </w:rPr>
              <w:t>1 ; 2 ; 3</w:t>
            </w:r>
          </w:p>
        </w:tc>
      </w:tr>
    </w:tbl>
    <w:p w14:paraId="23A21683" w14:textId="77777777" w:rsidR="00302BFE" w:rsidRDefault="00302BFE" w:rsidP="00302BFE"/>
    <w:p w14:paraId="1C465A69" w14:textId="77777777" w:rsidR="00302BFE" w:rsidRDefault="00302BFE" w:rsidP="00302BFE">
      <w:pPr>
        <w:pStyle w:val="Titre2"/>
        <w:ind w:left="0"/>
        <w:sectPr w:rsidR="00302BFE" w:rsidSect="00243B15">
          <w:pgSz w:w="15840" w:h="12240" w:orient="landscape" w:code="1"/>
          <w:pgMar w:top="720" w:right="720" w:bottom="720" w:left="720" w:header="720" w:footer="720" w:gutter="0"/>
          <w:cols w:space="720"/>
          <w:docGrid w:linePitch="360"/>
        </w:sectPr>
      </w:pPr>
    </w:p>
    <w:p w14:paraId="5207382C" w14:textId="77777777" w:rsidR="00302BFE" w:rsidRDefault="00302BFE" w:rsidP="00302BFE">
      <w:pPr>
        <w:pStyle w:val="Titre2"/>
        <w:ind w:left="0"/>
        <w:rPr>
          <w:rFonts w:ascii="Calibri" w:hAnsi="Calibri"/>
          <w:szCs w:val="22"/>
        </w:rPr>
      </w:pPr>
      <w:bookmarkStart w:id="66" w:name="_Toc9961806"/>
      <w:r w:rsidRPr="00B16682">
        <w:rPr>
          <w:rFonts w:ascii="Calibri" w:hAnsi="Calibri"/>
          <w:szCs w:val="22"/>
        </w:rPr>
        <w:lastRenderedPageBreak/>
        <w:t xml:space="preserve">Annex </w:t>
      </w:r>
      <w:r>
        <w:rPr>
          <w:rFonts w:ascii="Calibri" w:hAnsi="Calibri"/>
          <w:szCs w:val="22"/>
        </w:rPr>
        <w:t>F</w:t>
      </w:r>
      <w:r w:rsidRPr="00B16682">
        <w:rPr>
          <w:rFonts w:ascii="Calibri" w:hAnsi="Calibri"/>
          <w:szCs w:val="22"/>
        </w:rPr>
        <w:t>: Gender Analysis and Action Plan</w:t>
      </w:r>
      <w:bookmarkEnd w:id="66"/>
    </w:p>
    <w:p w14:paraId="7A02DB81" w14:textId="77777777" w:rsidR="00302BFE" w:rsidRPr="00BA18F6" w:rsidRDefault="00302BFE" w:rsidP="00302BFE">
      <w:pPr>
        <w:spacing w:before="120" w:after="120"/>
        <w:rPr>
          <w:b/>
          <w:szCs w:val="20"/>
          <w:lang w:val="en-CA"/>
        </w:rPr>
      </w:pPr>
      <w:r w:rsidRPr="00BA18F6">
        <w:rPr>
          <w:b/>
          <w:szCs w:val="20"/>
          <w:lang w:val="en-CA"/>
        </w:rPr>
        <w:t>GENDER CONTEXT IN BURKINA FASO</w:t>
      </w:r>
    </w:p>
    <w:p w14:paraId="5AABD6CD" w14:textId="77777777" w:rsidR="00302BFE" w:rsidRPr="00BA18F6" w:rsidRDefault="00302BFE" w:rsidP="00302BFE">
      <w:pPr>
        <w:spacing w:before="120" w:after="120"/>
        <w:rPr>
          <w:szCs w:val="20"/>
          <w:lang w:val="en-CA"/>
        </w:rPr>
      </w:pPr>
      <w:r w:rsidRPr="00226A87">
        <w:rPr>
          <w:szCs w:val="20"/>
          <w:lang w:val="en-CA"/>
        </w:rPr>
        <w:t>According to surveys of living conditions of households conducted in 2014 by the National Institute of Statistics and Demography (INSD, 2014), women have poor access and low control of production factors and resources. The low level of human capital development in the country is much more pronounced for women, reducing their productivity at work, including in the agricultural sector, which is a source of employment and income for nearly 80% of the labor force (National Gender Policy, 2009).</w:t>
      </w:r>
    </w:p>
    <w:p w14:paraId="0D5C68E4" w14:textId="77777777" w:rsidR="00302BFE" w:rsidRPr="00BA18F6" w:rsidRDefault="00302BFE" w:rsidP="00302BFE">
      <w:pPr>
        <w:spacing w:before="120" w:after="120"/>
        <w:rPr>
          <w:szCs w:val="20"/>
          <w:lang w:val="en-CA"/>
        </w:rPr>
      </w:pPr>
      <w:r w:rsidRPr="00B35F30">
        <w:rPr>
          <w:szCs w:val="20"/>
          <w:lang w:val="en-CA"/>
        </w:rPr>
        <w:t>The cultural and religious context in Burkina Faso includes factors that strongly influence and determine the access and control of men and women to resources, basic social services, activities in public and private life, and their participation in spheres of decision.</w:t>
      </w:r>
      <w:r>
        <w:rPr>
          <w:szCs w:val="20"/>
          <w:lang w:val="en-CA"/>
        </w:rPr>
        <w:t xml:space="preserve"> </w:t>
      </w:r>
      <w:bookmarkStart w:id="67" w:name="_Hlk534534418"/>
      <w:r w:rsidRPr="00B35F30">
        <w:rPr>
          <w:szCs w:val="20"/>
          <w:lang w:val="en-CA"/>
        </w:rPr>
        <w:t xml:space="preserve">Despite favorable legal provisions and policy measures for equal rights between men and women, the status of women has not fundamentally changed </w:t>
      </w:r>
      <w:r w:rsidRPr="00BA18F6">
        <w:rPr>
          <w:szCs w:val="20"/>
          <w:lang w:val="en-CA"/>
        </w:rPr>
        <w:t>(Tree Aid, 201</w:t>
      </w:r>
      <w:bookmarkEnd w:id="67"/>
      <w:r w:rsidRPr="00BA18F6">
        <w:rPr>
          <w:szCs w:val="20"/>
          <w:lang w:val="en-CA"/>
        </w:rPr>
        <w:t xml:space="preserve">7). </w:t>
      </w:r>
      <w:r w:rsidRPr="00B35F30">
        <w:rPr>
          <w:szCs w:val="20"/>
          <w:lang w:val="en-CA"/>
        </w:rPr>
        <w:t xml:space="preserve">The roles and responsibilities of men and women in societies, which are fixed in advance by traditional culture and reinforced by certain religious beliefs, are used to explain and legitimize the existing inequalities and disparities between men and women qualified by some as normal, natural, even divine </w:t>
      </w:r>
      <w:r w:rsidRPr="00BA18F6">
        <w:rPr>
          <w:szCs w:val="20"/>
          <w:lang w:val="en-CA"/>
        </w:rPr>
        <w:t>(Tree Aid, 2016).</w:t>
      </w:r>
    </w:p>
    <w:p w14:paraId="2D30B451" w14:textId="77777777" w:rsidR="00302BFE" w:rsidRPr="00BA18F6" w:rsidRDefault="00302BFE" w:rsidP="00302BFE">
      <w:pPr>
        <w:spacing w:before="120" w:after="120"/>
        <w:rPr>
          <w:szCs w:val="20"/>
          <w:lang w:val="en-CA"/>
        </w:rPr>
      </w:pPr>
      <w:r w:rsidRPr="00B35F30">
        <w:rPr>
          <w:szCs w:val="20"/>
          <w:lang w:val="en-CA"/>
        </w:rPr>
        <w:t>These inequalities at the socio-cultural and religious level mainly concern</w:t>
      </w:r>
      <w:r w:rsidRPr="00BA18F6">
        <w:rPr>
          <w:szCs w:val="20"/>
          <w:lang w:val="en-CA"/>
        </w:rPr>
        <w:t xml:space="preserve">:  </w:t>
      </w:r>
    </w:p>
    <w:p w14:paraId="408257D3" w14:textId="77777777" w:rsidR="00302BFE" w:rsidRPr="00BA18F6" w:rsidRDefault="00302BFE" w:rsidP="00C46720">
      <w:pPr>
        <w:pStyle w:val="Paragraphedeliste"/>
        <w:numPr>
          <w:ilvl w:val="0"/>
          <w:numId w:val="44"/>
        </w:numPr>
        <w:ind w:left="426" w:hanging="153"/>
        <w:contextualSpacing/>
        <w:jc w:val="both"/>
        <w:rPr>
          <w:rFonts w:ascii="Calibri" w:hAnsi="Calibri"/>
          <w:sz w:val="20"/>
          <w:szCs w:val="20"/>
          <w:lang w:val="en-CA"/>
        </w:rPr>
      </w:pPr>
      <w:r w:rsidRPr="00BA18F6">
        <w:rPr>
          <w:rFonts w:ascii="Calibri" w:hAnsi="Calibri"/>
          <w:sz w:val="20"/>
          <w:szCs w:val="20"/>
          <w:lang w:val="en-CA"/>
        </w:rPr>
        <w:t>the persistence of the precedence of the boy over the girl in the choice of births, the right of succession and the right of property;</w:t>
      </w:r>
    </w:p>
    <w:p w14:paraId="63700FAB" w14:textId="77777777" w:rsidR="00302BFE" w:rsidRPr="00BA18F6" w:rsidRDefault="00302BFE" w:rsidP="00C46720">
      <w:pPr>
        <w:pStyle w:val="Paragraphedeliste"/>
        <w:numPr>
          <w:ilvl w:val="0"/>
          <w:numId w:val="44"/>
        </w:numPr>
        <w:ind w:left="426" w:hanging="153"/>
        <w:jc w:val="both"/>
        <w:rPr>
          <w:rFonts w:ascii="Calibri" w:hAnsi="Calibri"/>
          <w:sz w:val="20"/>
          <w:szCs w:val="20"/>
          <w:lang w:val="en-CA"/>
        </w:rPr>
      </w:pPr>
      <w:r w:rsidRPr="00BA18F6">
        <w:rPr>
          <w:rFonts w:ascii="Calibri" w:hAnsi="Calibri"/>
          <w:sz w:val="20"/>
          <w:szCs w:val="20"/>
          <w:lang w:val="en-CA"/>
        </w:rPr>
        <w:t>inequalities and disparities in the sexual division of labor that give more workload to the woman over the man, the girl against the boy, with damaging effects on their health, productivity, leisure time and their reinvestment in human capital;</w:t>
      </w:r>
    </w:p>
    <w:p w14:paraId="5D16010A" w14:textId="77777777" w:rsidR="00302BFE" w:rsidRPr="00BA18F6" w:rsidRDefault="00302BFE" w:rsidP="00C46720">
      <w:pPr>
        <w:pStyle w:val="Paragraphedeliste"/>
        <w:numPr>
          <w:ilvl w:val="0"/>
          <w:numId w:val="44"/>
        </w:numPr>
        <w:ind w:left="426" w:hanging="153"/>
        <w:jc w:val="both"/>
        <w:rPr>
          <w:rFonts w:ascii="Calibri" w:hAnsi="Calibri"/>
          <w:sz w:val="20"/>
          <w:szCs w:val="20"/>
          <w:lang w:val="en-CA"/>
        </w:rPr>
      </w:pPr>
      <w:r w:rsidRPr="00BA18F6">
        <w:rPr>
          <w:rFonts w:ascii="Calibri" w:hAnsi="Calibri"/>
          <w:sz w:val="20"/>
          <w:szCs w:val="20"/>
          <w:lang w:val="en-CA"/>
        </w:rPr>
        <w:t>the existence and perpetuation of traditional practices harmful to women (levirate, excision, caning, sorority, polygamy imposed on the first wife, early and forced marriage ...) and sometimes to man;</w:t>
      </w:r>
    </w:p>
    <w:p w14:paraId="3032C862" w14:textId="77777777" w:rsidR="00302BFE" w:rsidRPr="00BA18F6" w:rsidRDefault="00302BFE" w:rsidP="00C46720">
      <w:pPr>
        <w:pStyle w:val="Paragraphedeliste"/>
        <w:numPr>
          <w:ilvl w:val="0"/>
          <w:numId w:val="44"/>
        </w:numPr>
        <w:ind w:left="426" w:hanging="153"/>
        <w:jc w:val="both"/>
        <w:rPr>
          <w:rFonts w:ascii="Calibri" w:hAnsi="Calibri"/>
          <w:sz w:val="20"/>
          <w:szCs w:val="20"/>
          <w:lang w:val="en-CA"/>
        </w:rPr>
      </w:pPr>
      <w:r w:rsidRPr="00BA18F6">
        <w:rPr>
          <w:rFonts w:ascii="Calibri" w:hAnsi="Calibri"/>
          <w:sz w:val="20"/>
          <w:szCs w:val="20"/>
          <w:lang w:val="en-CA"/>
        </w:rPr>
        <w:t>sexual violence such as rape, sexual harassment, sexual assault and abuse, sexual exploitation of girls;</w:t>
      </w:r>
    </w:p>
    <w:p w14:paraId="273E12B9" w14:textId="77777777" w:rsidR="00302BFE" w:rsidRPr="00BA18F6" w:rsidRDefault="00302BFE" w:rsidP="00C46720">
      <w:pPr>
        <w:pStyle w:val="Paragraphedeliste"/>
        <w:numPr>
          <w:ilvl w:val="0"/>
          <w:numId w:val="44"/>
        </w:numPr>
        <w:ind w:left="426" w:hanging="153"/>
        <w:jc w:val="both"/>
        <w:rPr>
          <w:rFonts w:ascii="Calibri" w:hAnsi="Calibri"/>
          <w:sz w:val="20"/>
          <w:szCs w:val="20"/>
          <w:lang w:val="en-CA"/>
        </w:rPr>
      </w:pPr>
      <w:r w:rsidRPr="00BA18F6">
        <w:rPr>
          <w:rFonts w:ascii="Calibri" w:hAnsi="Calibri"/>
          <w:sz w:val="20"/>
          <w:szCs w:val="20"/>
          <w:lang w:val="en-CA"/>
        </w:rPr>
        <w:t>inequalities in access to, or the continuation of, processes of social exclusion or self-exclusion, and particularly of women and children (girls and boys) from decision-making spheres.</w:t>
      </w:r>
    </w:p>
    <w:p w14:paraId="136102C0" w14:textId="77777777" w:rsidR="00302BFE" w:rsidRPr="00BA18F6" w:rsidRDefault="00302BFE" w:rsidP="00302BFE">
      <w:pPr>
        <w:spacing w:before="120" w:after="120"/>
        <w:rPr>
          <w:szCs w:val="20"/>
          <w:lang w:val="en-CA"/>
        </w:rPr>
      </w:pPr>
      <w:r w:rsidRPr="00CD1660">
        <w:rPr>
          <w:szCs w:val="20"/>
          <w:lang w:val="en-CA"/>
        </w:rPr>
        <w:t>Concerned by the inequalities between men and women in the development process and particularly by valuing the active role of women in this process, Burkina Faso adopted in 2009 a National Gender Policy. This policy reflects the concern for national authorities and development partners for whom the issue of equity and gender equality in civil, civil, political, economic and social rights is a central focus in decisive processes and development management.</w:t>
      </w:r>
      <w:r w:rsidRPr="00BA18F6">
        <w:rPr>
          <w:szCs w:val="20"/>
          <w:lang w:val="en-CA"/>
        </w:rPr>
        <w:t xml:space="preserve"> </w:t>
      </w:r>
    </w:p>
    <w:p w14:paraId="0BB3346E" w14:textId="77777777" w:rsidR="00302BFE" w:rsidRPr="00BA18F6" w:rsidRDefault="00302BFE" w:rsidP="00302BFE">
      <w:pPr>
        <w:spacing w:before="120" w:after="120"/>
        <w:rPr>
          <w:szCs w:val="20"/>
        </w:rPr>
      </w:pPr>
      <w:r w:rsidRPr="00560C8F">
        <w:rPr>
          <w:szCs w:val="20"/>
          <w:lang w:val="en-CA"/>
        </w:rPr>
        <w:t xml:space="preserve">Gender mainstreaming is now adopted in all development policy documents and action plans in Burkina Faso. </w:t>
      </w:r>
      <w:r w:rsidRPr="00560C8F">
        <w:rPr>
          <w:szCs w:val="20"/>
        </w:rPr>
        <w:t xml:space="preserve">Thus, the following </w:t>
      </w:r>
      <w:r>
        <w:rPr>
          <w:szCs w:val="20"/>
        </w:rPr>
        <w:t xml:space="preserve">legislative </w:t>
      </w:r>
      <w:r w:rsidRPr="00560C8F">
        <w:rPr>
          <w:szCs w:val="20"/>
        </w:rPr>
        <w:t>texts reflect this integration:</w:t>
      </w:r>
    </w:p>
    <w:p w14:paraId="74EF07AC" w14:textId="77777777" w:rsidR="00302BFE" w:rsidRPr="00BA18F6" w:rsidRDefault="00302BFE" w:rsidP="00C46720">
      <w:pPr>
        <w:pStyle w:val="Paragraphedeliste"/>
        <w:numPr>
          <w:ilvl w:val="0"/>
          <w:numId w:val="44"/>
        </w:numPr>
        <w:ind w:left="426" w:hanging="153"/>
        <w:jc w:val="both"/>
        <w:rPr>
          <w:rFonts w:ascii="Calibri" w:hAnsi="Calibri"/>
          <w:sz w:val="20"/>
          <w:szCs w:val="20"/>
          <w:lang w:val="en-CA"/>
        </w:rPr>
      </w:pPr>
      <w:r w:rsidRPr="00BA18F6">
        <w:rPr>
          <w:rFonts w:ascii="Calibri" w:hAnsi="Calibri"/>
          <w:sz w:val="20"/>
          <w:szCs w:val="20"/>
          <w:lang w:val="en-CA"/>
        </w:rPr>
        <w:t>The Constitution of 2 June 1991 states in its first article the freedom and equality of all Burkinabe, their equal right to enjoy all rights and all freedoms guaranteed by the Constitution, and the prohibition of discrimination of all kinds, particularly those based on race, ethnicity, region, color, sex, language, religion, caste, political opinion, wealth and birth.</w:t>
      </w:r>
    </w:p>
    <w:p w14:paraId="110635AB" w14:textId="77777777" w:rsidR="00302BFE" w:rsidRPr="00BA18F6" w:rsidRDefault="00302BFE" w:rsidP="00C46720">
      <w:pPr>
        <w:pStyle w:val="Paragraphedeliste"/>
        <w:numPr>
          <w:ilvl w:val="0"/>
          <w:numId w:val="44"/>
        </w:numPr>
        <w:ind w:left="426" w:hanging="153"/>
        <w:jc w:val="both"/>
        <w:rPr>
          <w:rFonts w:ascii="Calibri" w:hAnsi="Calibri"/>
          <w:color w:val="000000"/>
          <w:sz w:val="20"/>
          <w:szCs w:val="20"/>
          <w:lang w:val="en-CA"/>
        </w:rPr>
      </w:pPr>
      <w:r w:rsidRPr="00BA18F6">
        <w:rPr>
          <w:rFonts w:ascii="Calibri" w:hAnsi="Calibri"/>
          <w:color w:val="000000"/>
          <w:sz w:val="20"/>
          <w:szCs w:val="20"/>
          <w:lang w:val="en-CA"/>
        </w:rPr>
        <w:t>The 1988 Individual and Family Code, which aims to improve the legal status and social protection of women and children, lays the legal foundations for social justice in the family.</w:t>
      </w:r>
    </w:p>
    <w:p w14:paraId="36458F0E" w14:textId="77777777" w:rsidR="00302BFE" w:rsidRPr="00BA18F6" w:rsidRDefault="00302BFE" w:rsidP="00C46720">
      <w:pPr>
        <w:pStyle w:val="Paragraphedeliste"/>
        <w:numPr>
          <w:ilvl w:val="0"/>
          <w:numId w:val="44"/>
        </w:numPr>
        <w:ind w:left="426" w:hanging="153"/>
        <w:jc w:val="both"/>
        <w:rPr>
          <w:rFonts w:ascii="Calibri" w:hAnsi="Calibri"/>
          <w:color w:val="000000"/>
          <w:sz w:val="20"/>
          <w:szCs w:val="20"/>
          <w:lang w:val="en-CA"/>
        </w:rPr>
      </w:pPr>
      <w:r w:rsidRPr="00BA18F6">
        <w:rPr>
          <w:rFonts w:ascii="Calibri" w:hAnsi="Calibri"/>
          <w:color w:val="000000"/>
          <w:sz w:val="20"/>
          <w:szCs w:val="20"/>
          <w:lang w:val="en-CA"/>
        </w:rPr>
        <w:t>Land and agrarian reorganization texts give men and women the same rights of access and enjoyment to the land.</w:t>
      </w:r>
    </w:p>
    <w:p w14:paraId="258DCCD3" w14:textId="77777777" w:rsidR="00302BFE" w:rsidRPr="00BA18F6" w:rsidRDefault="00302BFE" w:rsidP="00C46720">
      <w:pPr>
        <w:pStyle w:val="Paragraphedeliste"/>
        <w:numPr>
          <w:ilvl w:val="0"/>
          <w:numId w:val="44"/>
        </w:numPr>
        <w:ind w:left="426" w:hanging="153"/>
        <w:jc w:val="both"/>
        <w:rPr>
          <w:rFonts w:ascii="Calibri" w:hAnsi="Calibri"/>
          <w:color w:val="000000"/>
          <w:sz w:val="20"/>
          <w:szCs w:val="20"/>
          <w:lang w:val="en-CA"/>
        </w:rPr>
      </w:pPr>
      <w:r w:rsidRPr="00BA18F6">
        <w:rPr>
          <w:rFonts w:ascii="Calibri" w:hAnsi="Calibri"/>
          <w:color w:val="000000"/>
          <w:sz w:val="20"/>
          <w:szCs w:val="20"/>
          <w:lang w:val="en-CA"/>
        </w:rPr>
        <w:t>The Labor Code and the Penal Code incorporate measures to promote gender equality and social justice.</w:t>
      </w:r>
    </w:p>
    <w:p w14:paraId="4BF79218" w14:textId="77777777" w:rsidR="00302BFE" w:rsidRPr="00BA18F6" w:rsidRDefault="00302BFE" w:rsidP="00C46720">
      <w:pPr>
        <w:pStyle w:val="Paragraphedeliste"/>
        <w:numPr>
          <w:ilvl w:val="0"/>
          <w:numId w:val="44"/>
        </w:numPr>
        <w:ind w:left="426" w:hanging="153"/>
        <w:jc w:val="both"/>
        <w:rPr>
          <w:rFonts w:ascii="Calibri" w:hAnsi="Calibri"/>
          <w:color w:val="000000"/>
          <w:sz w:val="20"/>
          <w:szCs w:val="20"/>
          <w:lang w:val="en-CA"/>
        </w:rPr>
      </w:pPr>
      <w:r w:rsidRPr="00BA18F6">
        <w:rPr>
          <w:rFonts w:ascii="Calibri" w:hAnsi="Calibri"/>
          <w:color w:val="000000"/>
          <w:sz w:val="20"/>
          <w:szCs w:val="20"/>
          <w:lang w:val="en-CA"/>
        </w:rPr>
        <w:t>The General Code of Territorial Communities gives men and women the same rights to participate in civic action and in the management of local affairs.</w:t>
      </w:r>
    </w:p>
    <w:p w14:paraId="73AC7B95" w14:textId="77777777" w:rsidR="00302BFE" w:rsidRPr="00BA18F6" w:rsidRDefault="00302BFE" w:rsidP="00302BFE">
      <w:pPr>
        <w:spacing w:before="120" w:after="120"/>
        <w:rPr>
          <w:szCs w:val="20"/>
          <w:lang w:val="en-CA"/>
        </w:rPr>
      </w:pPr>
      <w:bookmarkStart w:id="68" w:name="_Hlk534535719"/>
      <w:r w:rsidRPr="003A327D">
        <w:rPr>
          <w:szCs w:val="20"/>
          <w:lang w:val="en-CA"/>
        </w:rPr>
        <w:t>Several national policies integrate the issue of gender equality and equity: the Strategic Framework for the Fight against Poverty, the Decentralized Rural Development Policy Letter, the National Population Policy, the Policy and Plan of Action and Orientation document for the Promotion and Protection of Human Rights, the National Policy for Social Action and the National Program for Economic and Social Development.</w:t>
      </w:r>
    </w:p>
    <w:bookmarkEnd w:id="68"/>
    <w:p w14:paraId="3B0DED4E" w14:textId="77777777" w:rsidR="00302BFE" w:rsidRPr="00BA18F6" w:rsidRDefault="00302BFE" w:rsidP="00302BFE">
      <w:pPr>
        <w:spacing w:before="120" w:after="120"/>
        <w:rPr>
          <w:szCs w:val="20"/>
          <w:lang w:val="en-CA"/>
        </w:rPr>
      </w:pPr>
      <w:r w:rsidRPr="003A327D">
        <w:rPr>
          <w:szCs w:val="20"/>
          <w:lang w:val="en-CA"/>
        </w:rPr>
        <w:t>At the institutional and operational level, Burkina Faso has taken into account the gender dimension at all levels of social, economic and political life through the creation of the Ministry for the Promotion of Women in June 1997 and the Ministry for the Promotion of Human Rights in 2002, the development in 2004 of a manual on mainstreaming gender in development policies, programs and projects, as well as gender mainstreaming in sectoral policies and the creation of focal points and cells in the basic sectors.</w:t>
      </w:r>
      <w:r w:rsidRPr="00BA18F6">
        <w:rPr>
          <w:szCs w:val="20"/>
          <w:lang w:val="en-CA"/>
        </w:rPr>
        <w:t xml:space="preserve"> </w:t>
      </w:r>
    </w:p>
    <w:p w14:paraId="20558BA6" w14:textId="77777777" w:rsidR="00302BFE" w:rsidRPr="00BA18F6" w:rsidRDefault="00302BFE" w:rsidP="00302BFE">
      <w:pPr>
        <w:spacing w:before="120" w:after="120"/>
        <w:rPr>
          <w:szCs w:val="20"/>
          <w:lang w:val="en-CA"/>
        </w:rPr>
      </w:pPr>
      <w:r w:rsidRPr="003A327D">
        <w:rPr>
          <w:szCs w:val="20"/>
          <w:lang w:val="en-CA"/>
        </w:rPr>
        <w:t>Despite this national position in favor of gender and efforts, inequalities and disparities between men and women are still very present in Burkina Faso society. They are partly explained by the resistance to gender both at national and local level, the persistence of the patriarchal system that advocates and ensures the domination of men over women, the difficulty of enforcing the laws, the tenacious sociocultural constraints that determine the low participation or marginalization of women in economic and public life.</w:t>
      </w:r>
      <w:r w:rsidRPr="00BA18F6">
        <w:rPr>
          <w:szCs w:val="20"/>
          <w:lang w:val="en-CA"/>
        </w:rPr>
        <w:t xml:space="preserve">  </w:t>
      </w:r>
    </w:p>
    <w:p w14:paraId="0CDB2FA2" w14:textId="77777777" w:rsidR="00302BFE" w:rsidRDefault="00302BFE" w:rsidP="00302BFE">
      <w:pPr>
        <w:spacing w:before="120" w:after="120"/>
        <w:rPr>
          <w:b/>
          <w:szCs w:val="20"/>
          <w:lang w:val="en-CA"/>
        </w:rPr>
      </w:pPr>
      <w:r>
        <w:rPr>
          <w:b/>
          <w:szCs w:val="20"/>
          <w:lang w:val="en-CA"/>
        </w:rPr>
        <w:t>METHODOLOGY OF THE GENDER ANALYSIS</w:t>
      </w:r>
    </w:p>
    <w:p w14:paraId="4FBF0289" w14:textId="77777777" w:rsidR="00302BFE" w:rsidRPr="00BA18F6" w:rsidRDefault="00302BFE" w:rsidP="00302BFE">
      <w:pPr>
        <w:spacing w:before="120" w:after="120"/>
        <w:rPr>
          <w:szCs w:val="20"/>
          <w:lang w:val="en-CA"/>
        </w:rPr>
      </w:pPr>
      <w:r w:rsidRPr="006D2576">
        <w:rPr>
          <w:b/>
          <w:szCs w:val="20"/>
          <w:lang w:val="en-CA"/>
        </w:rPr>
        <w:lastRenderedPageBreak/>
        <w:t>Field data collection</w:t>
      </w:r>
      <w:r>
        <w:rPr>
          <w:b/>
          <w:szCs w:val="20"/>
          <w:lang w:val="en-CA"/>
        </w:rPr>
        <w:t xml:space="preserve">. </w:t>
      </w:r>
      <w:r w:rsidRPr="00BA18F6">
        <w:rPr>
          <w:szCs w:val="20"/>
          <w:lang w:val="en-CA"/>
        </w:rPr>
        <w:t>The information and data were collected in the 15 selected pilot villages in the 9 communes included in the PONASI landscape, following the Active Participatory Research Method (APM) applied in focus groups or in individual interviews.</w:t>
      </w:r>
    </w:p>
    <w:p w14:paraId="6DD133CF" w14:textId="77777777" w:rsidR="00302BFE" w:rsidRPr="00BA18F6" w:rsidRDefault="00302BFE" w:rsidP="00302BFE">
      <w:pPr>
        <w:autoSpaceDE w:val="0"/>
        <w:autoSpaceDN w:val="0"/>
        <w:adjustRightInd w:val="0"/>
        <w:spacing w:before="120" w:after="120"/>
        <w:rPr>
          <w:color w:val="000000"/>
          <w:szCs w:val="20"/>
          <w:lang w:val="en-CA"/>
        </w:rPr>
      </w:pPr>
      <w:r w:rsidRPr="006D2576">
        <w:rPr>
          <w:b/>
          <w:szCs w:val="20"/>
          <w:lang w:val="en-CA"/>
        </w:rPr>
        <w:t>Literature search</w:t>
      </w:r>
      <w:r>
        <w:rPr>
          <w:b/>
          <w:szCs w:val="20"/>
          <w:lang w:val="en-CA"/>
        </w:rPr>
        <w:t xml:space="preserve">. </w:t>
      </w:r>
      <w:r w:rsidRPr="006D2576">
        <w:rPr>
          <w:rFonts w:eastAsia="Times New Roman"/>
          <w:szCs w:val="20"/>
          <w:lang w:val="en-CA" w:eastAsia="fr-FR"/>
        </w:rPr>
        <w:t>The desk review focused on current policies, strategic directions, projects and programs, as well as various reports on gender mainstreaming in the area of local forest resource governance, to better understand and analyze project issues related to gender depending on its context and to guide the survey questions to the communities.</w:t>
      </w:r>
    </w:p>
    <w:p w14:paraId="0DBD7793" w14:textId="77777777" w:rsidR="00302BFE" w:rsidRPr="00BA18F6" w:rsidRDefault="00302BFE" w:rsidP="00302BFE">
      <w:pPr>
        <w:spacing w:before="120" w:after="120"/>
        <w:rPr>
          <w:b/>
          <w:szCs w:val="20"/>
          <w:lang w:val="en-CA"/>
        </w:rPr>
      </w:pPr>
      <w:r w:rsidRPr="006D2576">
        <w:rPr>
          <w:b/>
          <w:szCs w:val="20"/>
          <w:lang w:val="en-CA"/>
        </w:rPr>
        <w:t xml:space="preserve">SOCIO-ECONOMIC SITUATION OF WOMEN IN </w:t>
      </w:r>
      <w:r>
        <w:rPr>
          <w:b/>
          <w:szCs w:val="20"/>
          <w:lang w:val="en-CA"/>
        </w:rPr>
        <w:t>THE PONASI LANDSCAPE</w:t>
      </w:r>
    </w:p>
    <w:p w14:paraId="38A1011E" w14:textId="77777777" w:rsidR="00302BFE" w:rsidRPr="00BA18F6" w:rsidRDefault="00302BFE" w:rsidP="00302BFE">
      <w:pPr>
        <w:spacing w:before="120" w:after="120"/>
        <w:rPr>
          <w:szCs w:val="20"/>
          <w:lang w:val="en-CA"/>
        </w:rPr>
      </w:pPr>
      <w:r w:rsidRPr="006D2576">
        <w:rPr>
          <w:szCs w:val="20"/>
          <w:lang w:val="en-CA"/>
        </w:rPr>
        <w:t>According to the demography assessment in pilot project communes, women represent 52.78% of the total population. Although women make an important contribution to agro-silvo-pastoral production in the landscape area of the PONASI complex, their standard of living remains low in all surveyed sites. The benefits derived from the different production systems are not sufficient to support real development from which they could benefit.</w:t>
      </w:r>
    </w:p>
    <w:p w14:paraId="13B4B704" w14:textId="77777777" w:rsidR="00302BFE" w:rsidRPr="00BA18F6" w:rsidRDefault="00302BFE" w:rsidP="00302BFE">
      <w:pPr>
        <w:spacing w:before="120" w:after="120"/>
        <w:ind w:left="720"/>
        <w:rPr>
          <w:rFonts w:eastAsia="Calibri"/>
          <w:b/>
          <w:szCs w:val="20"/>
          <w:lang w:val="en-CA"/>
        </w:rPr>
      </w:pPr>
      <w:r w:rsidRPr="006F3446">
        <w:rPr>
          <w:b/>
          <w:szCs w:val="20"/>
          <w:lang w:val="en-CA"/>
        </w:rPr>
        <w:t>Factors contributing to the improvement of the standard of living of women in PONASI</w:t>
      </w:r>
    </w:p>
    <w:p w14:paraId="16DDC323" w14:textId="77777777" w:rsidR="00302BFE" w:rsidRPr="00BA18F6" w:rsidRDefault="00302BFE" w:rsidP="00302BFE">
      <w:pPr>
        <w:spacing w:before="120" w:after="120"/>
        <w:rPr>
          <w:rFonts w:eastAsia="Calibri"/>
          <w:szCs w:val="20"/>
          <w:lang w:val="en-CA"/>
        </w:rPr>
      </w:pPr>
      <w:r w:rsidRPr="006F3446">
        <w:rPr>
          <w:szCs w:val="20"/>
          <w:lang w:val="en-CA"/>
        </w:rPr>
        <w:t>Field surveys in the PONASI complex landscape have identified a range of factors that determine women's well-being, the most important of which include: i) basic needs coverage (health, clothing, jewellery); (ii) Childcare (education, health, clothing); (iii) Practicing an income-generating activity (based on forest resources, livestock, agriculture); iv) Contribution to household expenses (food, health); v) Contribution to social affairs (baptisms, engagements, weddings, funerals ...)</w:t>
      </w:r>
    </w:p>
    <w:p w14:paraId="5493CF69" w14:textId="77777777" w:rsidR="00302BFE" w:rsidRPr="00BA18F6" w:rsidRDefault="00302BFE" w:rsidP="00302BFE">
      <w:pPr>
        <w:pStyle w:val="Paragraphedeliste"/>
        <w:widowControl w:val="0"/>
        <w:autoSpaceDE w:val="0"/>
        <w:autoSpaceDN w:val="0"/>
        <w:adjustRightInd w:val="0"/>
        <w:spacing w:before="120" w:after="120"/>
        <w:ind w:left="0"/>
        <w:jc w:val="both"/>
        <w:textAlignment w:val="baseline"/>
        <w:rPr>
          <w:rFonts w:ascii="Calibri" w:hAnsi="Calibri"/>
          <w:sz w:val="20"/>
          <w:szCs w:val="20"/>
          <w:lang w:val="en-CA"/>
        </w:rPr>
      </w:pPr>
      <w:r w:rsidRPr="00BA18F6">
        <w:rPr>
          <w:rFonts w:ascii="Calibri" w:hAnsi="Calibri"/>
          <w:sz w:val="20"/>
          <w:szCs w:val="20"/>
          <w:shd w:val="clear" w:color="auto" w:fill="FFFFFF"/>
          <w:lang w:val="en-CA"/>
        </w:rPr>
        <w:t xml:space="preserve">The appreciation of the standard of living of women in the intervention zone is linked to their ability to meet their basic needs, to meet those of their children, to contribute to household expenses, and to be able to participate in social events. Other types of needs, including food, are covered by the household production under the responsibility of the family head, who is also in charge of housing. Now, the ability of women to contribute to these needs depends on the possibility of exercising an income generating activity (IGA). </w:t>
      </w:r>
      <w:r w:rsidRPr="00BA18F6">
        <w:rPr>
          <w:rFonts w:ascii="Calibri" w:hAnsi="Calibri"/>
          <w:sz w:val="20"/>
          <w:szCs w:val="20"/>
          <w:lang w:val="en-CA"/>
        </w:rPr>
        <w:t>However, the revenues generated by these IGAs are low, for lack of investment and know-how for most of them. Women are mainly involved in IGAs in the fields of agriculture, livestock farming and the exploitation of forest resources including wood and non-wood products.</w:t>
      </w:r>
    </w:p>
    <w:p w14:paraId="4588C3BD" w14:textId="77777777" w:rsidR="00302BFE" w:rsidRPr="00BA18F6" w:rsidRDefault="00302BFE" w:rsidP="00302BFE">
      <w:pPr>
        <w:pStyle w:val="Paragraphedeliste"/>
        <w:widowControl w:val="0"/>
        <w:autoSpaceDE w:val="0"/>
        <w:autoSpaceDN w:val="0"/>
        <w:adjustRightInd w:val="0"/>
        <w:spacing w:before="120" w:after="120"/>
        <w:ind w:left="0"/>
        <w:jc w:val="both"/>
        <w:textAlignment w:val="baseline"/>
        <w:rPr>
          <w:rFonts w:ascii="Calibri" w:hAnsi="Calibri"/>
          <w:sz w:val="20"/>
          <w:szCs w:val="20"/>
          <w:shd w:val="clear" w:color="auto" w:fill="FFFFFF"/>
          <w:lang w:val="en-CA"/>
        </w:rPr>
      </w:pPr>
      <w:r w:rsidRPr="00BA18F6">
        <w:rPr>
          <w:rFonts w:ascii="Calibri" w:hAnsi="Calibri"/>
          <w:sz w:val="20"/>
          <w:szCs w:val="20"/>
          <w:shd w:val="clear" w:color="auto" w:fill="FFFFFF"/>
          <w:lang w:val="en-CA"/>
        </w:rPr>
        <w:t xml:space="preserve">According to criteria defined by households and related to their agro-pastoral production capacities, the majority of women come from households with a low standard of living. Women feel their standard of living reflects the household to which they belong. As illustrated in the figure below, the majority (61%) perceive their standard of living as low and 30%, as average. </w:t>
      </w:r>
    </w:p>
    <w:p w14:paraId="2ACA0646" w14:textId="77777777" w:rsidR="00302BFE" w:rsidRPr="00BA18F6" w:rsidRDefault="00302BFE" w:rsidP="00302BFE">
      <w:pPr>
        <w:pStyle w:val="Lgende"/>
        <w:spacing w:before="120" w:after="120"/>
        <w:jc w:val="both"/>
        <w:rPr>
          <w:rFonts w:ascii="Calibri" w:hAnsi="Calibri"/>
          <w:sz w:val="20"/>
          <w:szCs w:val="20"/>
          <w:lang w:val="en-CA"/>
        </w:rPr>
      </w:pPr>
      <w:bookmarkStart w:id="69" w:name="_Toc7382355"/>
      <w:r w:rsidRPr="00BA18F6">
        <w:rPr>
          <w:rFonts w:ascii="Calibri" w:hAnsi="Calibri"/>
          <w:sz w:val="20"/>
          <w:szCs w:val="20"/>
          <w:lang w:val="en-CA"/>
        </w:rPr>
        <w:t xml:space="preserve">Figure 1: </w:t>
      </w:r>
      <w:bookmarkEnd w:id="69"/>
      <w:r w:rsidRPr="00BA18F6">
        <w:rPr>
          <w:rFonts w:ascii="Calibri" w:hAnsi="Calibri"/>
          <w:sz w:val="20"/>
          <w:szCs w:val="20"/>
          <w:lang w:val="en-CA"/>
        </w:rPr>
        <w:t xml:space="preserve">Proportion of households in the different categories of standard of living as perceived by women in the PONASI complex. </w:t>
      </w:r>
      <w:r w:rsidRPr="00BA18F6">
        <w:rPr>
          <w:rFonts w:ascii="Calibri" w:hAnsi="Calibri"/>
          <w:b w:val="0"/>
          <w:sz w:val="20"/>
          <w:szCs w:val="20"/>
          <w:lang w:val="en-CA"/>
        </w:rPr>
        <w:t>Source: Survey data, present study, 2018</w:t>
      </w:r>
    </w:p>
    <w:p w14:paraId="235F7264" w14:textId="77777777" w:rsidR="00302BFE" w:rsidRPr="00BA18F6" w:rsidRDefault="00302BFE" w:rsidP="00302BFE">
      <w:pPr>
        <w:spacing w:before="120" w:after="120"/>
        <w:jc w:val="center"/>
        <w:rPr>
          <w:szCs w:val="20"/>
        </w:rPr>
      </w:pPr>
      <w:r w:rsidRPr="00BA18F6">
        <w:rPr>
          <w:noProof/>
          <w:szCs w:val="20"/>
        </w:rPr>
        <w:drawing>
          <wp:inline distT="0" distB="0" distL="0" distR="0" wp14:anchorId="4EC91F13" wp14:editId="14B9F525">
            <wp:extent cx="3895090" cy="2019935"/>
            <wp:effectExtent l="0" t="0" r="10160" b="18415"/>
            <wp:docPr id="10" name="Graphique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FB41A55" w14:textId="77777777" w:rsidR="00302BFE" w:rsidRPr="00BA18F6" w:rsidRDefault="00302BFE" w:rsidP="00302BFE">
      <w:pPr>
        <w:widowControl w:val="0"/>
        <w:adjustRightInd w:val="0"/>
        <w:spacing w:before="120" w:after="120"/>
        <w:jc w:val="center"/>
        <w:textAlignment w:val="baseline"/>
        <w:rPr>
          <w:b/>
          <w:szCs w:val="20"/>
          <w:shd w:val="clear" w:color="auto" w:fill="FFFFFF"/>
        </w:rPr>
      </w:pPr>
    </w:p>
    <w:p w14:paraId="5B62E49A" w14:textId="77777777" w:rsidR="00302BFE" w:rsidRPr="00BA18F6" w:rsidRDefault="00302BFE" w:rsidP="00302BFE">
      <w:pPr>
        <w:widowControl w:val="0"/>
        <w:adjustRightInd w:val="0"/>
        <w:spacing w:before="120" w:after="120"/>
        <w:textAlignment w:val="baseline"/>
        <w:rPr>
          <w:szCs w:val="20"/>
          <w:shd w:val="clear" w:color="auto" w:fill="FFFFFF"/>
          <w:lang w:val="en-CA"/>
        </w:rPr>
      </w:pPr>
      <w:r w:rsidRPr="0085452C">
        <w:rPr>
          <w:szCs w:val="20"/>
          <w:lang w:val="en-CA"/>
        </w:rPr>
        <w:t xml:space="preserve">The values published by the INSD (2016 national statistical yearbook) on the incidence of poverty in the 3 regions covered by the project are 40.5% in South Central, 51.6% in Central West and 36.1% in Central East, highlighting significant differences between perceptions and official values. </w:t>
      </w:r>
      <w:r w:rsidRPr="0085452C">
        <w:rPr>
          <w:szCs w:val="20"/>
          <w:shd w:val="clear" w:color="auto" w:fill="FFFFFF"/>
          <w:lang w:val="en-CA"/>
        </w:rPr>
        <w:t>These differences can also be explained by the fact that the INSD values include urban populations where the poverty rate is lower and that they are based on the measurement of three indicators based on age at death, illiteracy , and living conditions (access to drinking water, health services and underweight rate of children under five), while the local communities surveyed focused on agricultural production access to factors of production and basic social services (health, education for children) as well as the social.</w:t>
      </w:r>
    </w:p>
    <w:p w14:paraId="7BE8CAD9" w14:textId="77777777" w:rsidR="00302BFE" w:rsidRPr="00BA18F6" w:rsidRDefault="00302BFE" w:rsidP="00302BFE">
      <w:pPr>
        <w:spacing w:before="120" w:after="120"/>
        <w:ind w:left="720"/>
        <w:rPr>
          <w:rFonts w:eastAsia="Calibri"/>
          <w:b/>
          <w:szCs w:val="20"/>
          <w:lang w:val="en-CA"/>
        </w:rPr>
      </w:pPr>
      <w:r w:rsidRPr="00D0399F">
        <w:rPr>
          <w:b/>
          <w:szCs w:val="20"/>
          <w:lang w:val="en-CA"/>
        </w:rPr>
        <w:t>Impact of household poverty on women</w:t>
      </w:r>
    </w:p>
    <w:p w14:paraId="2CBADE0B" w14:textId="77777777" w:rsidR="00302BFE" w:rsidRPr="00BA18F6" w:rsidRDefault="00302BFE" w:rsidP="00302BFE">
      <w:pPr>
        <w:widowControl w:val="0"/>
        <w:adjustRightInd w:val="0"/>
        <w:spacing w:before="120" w:after="120"/>
        <w:textAlignment w:val="baseline"/>
        <w:rPr>
          <w:rFonts w:eastAsia="Calibri"/>
          <w:szCs w:val="20"/>
          <w:shd w:val="clear" w:color="auto" w:fill="FFFFFF"/>
          <w:lang w:val="en-CA"/>
        </w:rPr>
      </w:pPr>
      <w:r w:rsidRPr="00D0399F">
        <w:rPr>
          <w:szCs w:val="20"/>
          <w:shd w:val="clear" w:color="auto" w:fill="FFFFFF"/>
          <w:lang w:val="en-CA"/>
        </w:rPr>
        <w:lastRenderedPageBreak/>
        <w:t>Believing that, based on the benefits of their own activities, they have to cope with the needs of the household when their production does not allow it, women identify with the general standard of living of the household. One of the women interviewed said: "If there is poverty in the household, it is the woman who goes out to look for NTFPs in the bush to sell or who carries out contractual activities (daily paid agricultural labor force) that the man is ashamed to do, to meet the needs of the household".</w:t>
      </w:r>
      <w:r>
        <w:rPr>
          <w:szCs w:val="20"/>
          <w:shd w:val="clear" w:color="auto" w:fill="FFFFFF"/>
          <w:lang w:val="en-CA"/>
        </w:rPr>
        <w:t xml:space="preserve"> </w:t>
      </w:r>
      <w:r w:rsidRPr="00D0399F">
        <w:rPr>
          <w:szCs w:val="20"/>
          <w:shd w:val="clear" w:color="auto" w:fill="FFFFFF"/>
          <w:lang w:val="en-CA"/>
        </w:rPr>
        <w:t>In Toebanega (commune of Doulougou), the women reported that three of them have already given birth in the buffer zone, in search of NWFP, thus illustrating the critical situation in which they had to be to meet the needs of their household.</w:t>
      </w:r>
    </w:p>
    <w:p w14:paraId="17E5258A" w14:textId="77777777" w:rsidR="00302BFE" w:rsidRPr="00BA18F6" w:rsidRDefault="00302BFE" w:rsidP="00302BFE">
      <w:pPr>
        <w:widowControl w:val="0"/>
        <w:adjustRightInd w:val="0"/>
        <w:spacing w:before="120" w:after="120"/>
        <w:textAlignment w:val="baseline"/>
        <w:rPr>
          <w:szCs w:val="20"/>
          <w:shd w:val="clear" w:color="auto" w:fill="FFFFFF"/>
          <w:lang w:val="en-CA"/>
        </w:rPr>
      </w:pPr>
      <w:r w:rsidRPr="00D0399F">
        <w:rPr>
          <w:szCs w:val="20"/>
          <w:shd w:val="clear" w:color="auto" w:fill="FFFFFF"/>
          <w:lang w:val="en-CA"/>
        </w:rPr>
        <w:t xml:space="preserve">When the woman is poor, children also suffer from it. Indeed, many </w:t>
      </w:r>
      <w:r>
        <w:rPr>
          <w:szCs w:val="20"/>
          <w:shd w:val="clear" w:color="auto" w:fill="FFFFFF"/>
          <w:lang w:val="en-CA"/>
        </w:rPr>
        <w:t xml:space="preserve">women </w:t>
      </w:r>
      <w:r w:rsidRPr="00D0399F">
        <w:rPr>
          <w:szCs w:val="20"/>
          <w:shd w:val="clear" w:color="auto" w:fill="FFFFFF"/>
          <w:lang w:val="en-CA"/>
        </w:rPr>
        <w:t xml:space="preserve">are responsible for the well-being of children (education, clothing, food) despite the presence of a man. In addition, when the </w:t>
      </w:r>
      <w:r>
        <w:rPr>
          <w:szCs w:val="20"/>
          <w:shd w:val="clear" w:color="auto" w:fill="FFFFFF"/>
          <w:lang w:val="en-CA"/>
        </w:rPr>
        <w:t>children’s</w:t>
      </w:r>
      <w:r w:rsidRPr="00D0399F">
        <w:rPr>
          <w:szCs w:val="20"/>
          <w:shd w:val="clear" w:color="auto" w:fill="FFFFFF"/>
          <w:lang w:val="en-CA"/>
        </w:rPr>
        <w:t xml:space="preserve"> school is away from the village, so that </w:t>
      </w:r>
      <w:r>
        <w:rPr>
          <w:szCs w:val="20"/>
          <w:shd w:val="clear" w:color="auto" w:fill="FFFFFF"/>
          <w:lang w:val="en-CA"/>
        </w:rPr>
        <w:t>they</w:t>
      </w:r>
      <w:r w:rsidRPr="00D0399F">
        <w:rPr>
          <w:szCs w:val="20"/>
          <w:shd w:val="clear" w:color="auto" w:fill="FFFFFF"/>
          <w:lang w:val="en-CA"/>
        </w:rPr>
        <w:t xml:space="preserve"> cannot </w:t>
      </w:r>
      <w:r>
        <w:rPr>
          <w:szCs w:val="20"/>
          <w:shd w:val="clear" w:color="auto" w:fill="FFFFFF"/>
          <w:lang w:val="en-CA"/>
        </w:rPr>
        <w:t>return home</w:t>
      </w:r>
      <w:r w:rsidRPr="00D0399F">
        <w:rPr>
          <w:szCs w:val="20"/>
          <w:shd w:val="clear" w:color="auto" w:fill="FFFFFF"/>
          <w:lang w:val="en-CA"/>
        </w:rPr>
        <w:t xml:space="preserve"> for lunch, it is the mother who is concerned to find money for </w:t>
      </w:r>
      <w:r>
        <w:rPr>
          <w:szCs w:val="20"/>
          <w:shd w:val="clear" w:color="auto" w:fill="FFFFFF"/>
          <w:lang w:val="en-CA"/>
        </w:rPr>
        <w:t>their</w:t>
      </w:r>
      <w:r w:rsidRPr="00D0399F">
        <w:rPr>
          <w:szCs w:val="20"/>
          <w:shd w:val="clear" w:color="auto" w:fill="FFFFFF"/>
          <w:lang w:val="en-CA"/>
        </w:rPr>
        <w:t xml:space="preserve"> meal. It is therefore imperative that women always have </w:t>
      </w:r>
      <w:r>
        <w:rPr>
          <w:szCs w:val="20"/>
          <w:shd w:val="clear" w:color="auto" w:fill="FFFFFF"/>
          <w:lang w:val="en-CA"/>
        </w:rPr>
        <w:t xml:space="preserve">access to </w:t>
      </w:r>
      <w:r w:rsidRPr="00D0399F">
        <w:rPr>
          <w:szCs w:val="20"/>
          <w:shd w:val="clear" w:color="auto" w:fill="FFFFFF"/>
          <w:lang w:val="en-CA"/>
        </w:rPr>
        <w:t>money.</w:t>
      </w:r>
    </w:p>
    <w:p w14:paraId="4CDDD4EE" w14:textId="77777777" w:rsidR="00302BFE" w:rsidRPr="00BA18F6" w:rsidRDefault="00302BFE" w:rsidP="00302BFE">
      <w:pPr>
        <w:spacing w:before="120" w:after="120"/>
        <w:ind w:left="720"/>
        <w:rPr>
          <w:b/>
          <w:szCs w:val="20"/>
        </w:rPr>
      </w:pPr>
      <w:r w:rsidRPr="00D0399F">
        <w:rPr>
          <w:b/>
          <w:szCs w:val="20"/>
        </w:rPr>
        <w:t>Livelihoods / Income</w:t>
      </w:r>
    </w:p>
    <w:p w14:paraId="753E9855" w14:textId="77777777" w:rsidR="00302BFE" w:rsidRDefault="00302BFE" w:rsidP="00302BFE">
      <w:pPr>
        <w:spacing w:before="120" w:after="120"/>
        <w:rPr>
          <w:color w:val="000000"/>
          <w:szCs w:val="20"/>
          <w:lang w:val="en-CA"/>
        </w:rPr>
      </w:pPr>
      <w:r w:rsidRPr="008E0B4F">
        <w:rPr>
          <w:szCs w:val="20"/>
          <w:lang w:val="en-CA"/>
        </w:rPr>
        <w:t>Women in the PONASI landscape derive most of their income from livestock products, agricultural products and forest resources.</w:t>
      </w:r>
      <w:r>
        <w:rPr>
          <w:szCs w:val="20"/>
          <w:lang w:val="en-CA"/>
        </w:rPr>
        <w:t xml:space="preserve"> </w:t>
      </w:r>
      <w:r w:rsidRPr="008E0B4F">
        <w:rPr>
          <w:szCs w:val="20"/>
          <w:lang w:val="en-CA"/>
        </w:rPr>
        <w:t xml:space="preserve">The types of animals kept by women are sheep, goats, pigs, poultry and to some extent, asins. </w:t>
      </w:r>
      <w:r>
        <w:rPr>
          <w:szCs w:val="20"/>
          <w:lang w:val="en-CA"/>
        </w:rPr>
        <w:t>M</w:t>
      </w:r>
      <w:r w:rsidRPr="008E0B4F">
        <w:rPr>
          <w:szCs w:val="20"/>
          <w:lang w:val="en-CA"/>
        </w:rPr>
        <w:t xml:space="preserve">ilk </w:t>
      </w:r>
      <w:r>
        <w:rPr>
          <w:szCs w:val="20"/>
          <w:lang w:val="en-CA"/>
        </w:rPr>
        <w:t>is</w:t>
      </w:r>
      <w:r w:rsidRPr="008E0B4F">
        <w:rPr>
          <w:szCs w:val="20"/>
          <w:lang w:val="en-CA"/>
        </w:rPr>
        <w:t xml:space="preserve"> mainly marketed by women from the Peul community. </w:t>
      </w:r>
      <w:r>
        <w:rPr>
          <w:szCs w:val="20"/>
          <w:lang w:val="en-CA"/>
        </w:rPr>
        <w:t>A</w:t>
      </w:r>
      <w:r w:rsidRPr="008E0B4F">
        <w:rPr>
          <w:szCs w:val="20"/>
          <w:lang w:val="en-CA"/>
        </w:rPr>
        <w:t xml:space="preserve">nimals, which are also a savings for them, are </w:t>
      </w:r>
      <w:r>
        <w:rPr>
          <w:szCs w:val="20"/>
          <w:lang w:val="en-CA"/>
        </w:rPr>
        <w:t>sold</w:t>
      </w:r>
      <w:r w:rsidRPr="008E0B4F">
        <w:rPr>
          <w:szCs w:val="20"/>
          <w:lang w:val="en-CA"/>
        </w:rPr>
        <w:t xml:space="preserve"> according to the need</w:t>
      </w:r>
      <w:r>
        <w:rPr>
          <w:szCs w:val="20"/>
          <w:lang w:val="en-CA"/>
        </w:rPr>
        <w:t>s</w:t>
      </w:r>
      <w:r w:rsidRPr="008E0B4F">
        <w:rPr>
          <w:szCs w:val="20"/>
          <w:lang w:val="en-CA"/>
        </w:rPr>
        <w:t>.</w:t>
      </w:r>
      <w:r>
        <w:rPr>
          <w:szCs w:val="20"/>
          <w:lang w:val="en-CA"/>
        </w:rPr>
        <w:t xml:space="preserve"> </w:t>
      </w:r>
      <w:r w:rsidRPr="009E699F">
        <w:rPr>
          <w:color w:val="000000"/>
          <w:szCs w:val="20"/>
          <w:lang w:val="en-CA"/>
        </w:rPr>
        <w:t>The following agricultural products are also sources of income for women in the pilot sites of the project: cowpeas, groundnuts, groundnut, rice, sesame, red sorghum, soybeans and market garden products such as onions, spinach, lettuce, cabbage, tomato, chilli, zucchini, local eggplant, carrot. The quantities harvested, however, are not all intended for marketing since between one third and one half is kept for food and as seeds.</w:t>
      </w:r>
    </w:p>
    <w:p w14:paraId="7D66E7F7" w14:textId="77777777" w:rsidR="00302BFE" w:rsidRPr="00BA18F6" w:rsidRDefault="00302BFE" w:rsidP="00302BFE">
      <w:pPr>
        <w:spacing w:before="120" w:after="120"/>
        <w:rPr>
          <w:szCs w:val="20"/>
          <w:lang w:val="en-CA"/>
        </w:rPr>
      </w:pPr>
      <w:r w:rsidRPr="009E699F">
        <w:rPr>
          <w:szCs w:val="20"/>
          <w:lang w:val="en-CA"/>
        </w:rPr>
        <w:t xml:space="preserve">According to the women, for about five years, the areas dedicated to the production of </w:t>
      </w:r>
      <w:r>
        <w:rPr>
          <w:szCs w:val="20"/>
          <w:lang w:val="en-CA"/>
        </w:rPr>
        <w:t>ground</w:t>
      </w:r>
      <w:r w:rsidRPr="009E699F">
        <w:rPr>
          <w:szCs w:val="20"/>
          <w:lang w:val="en-CA"/>
        </w:rPr>
        <w:t>nuts have gradually been reduced to the benefit of sesame. They say yields are falling because of soil infertility and the effects of climate change. According to them, the market garden production in the developed sites are financially profitable but wells built for watering dry up early (as early as January-February) and do not allow a continuous production.</w:t>
      </w:r>
    </w:p>
    <w:p w14:paraId="6FDDEEEE" w14:textId="12970167" w:rsidR="00302BFE" w:rsidRPr="00BA18F6" w:rsidRDefault="00302BFE" w:rsidP="00302BFE">
      <w:pPr>
        <w:spacing w:before="120" w:after="120"/>
        <w:rPr>
          <w:rFonts w:eastAsia="Times New Roman"/>
          <w:color w:val="000000"/>
          <w:szCs w:val="20"/>
          <w:lang w:val="en-CA" w:eastAsia="fr-FR"/>
        </w:rPr>
      </w:pPr>
      <w:r w:rsidRPr="00460534">
        <w:rPr>
          <w:szCs w:val="20"/>
          <w:lang w:val="en-CA"/>
        </w:rPr>
        <w:t xml:space="preserve">In relation to protected areas and adjacent terroirs, women also derive income from timber and non-timber forest products. Wood products include charcoal and wood energy. Carbonization (by women) is more pronounced in the villages of Kapori and Mantiongo in the commune of Po. Revenues can range </w:t>
      </w:r>
      <w:r w:rsidRPr="008C5F92">
        <w:rPr>
          <w:szCs w:val="20"/>
          <w:lang w:val="en-CA"/>
        </w:rPr>
        <w:t xml:space="preserve">from 100,000 </w:t>
      </w:r>
      <w:r w:rsidR="005E13EB" w:rsidRPr="008C5F92">
        <w:rPr>
          <w:szCs w:val="20"/>
          <w:lang w:val="en-CA"/>
        </w:rPr>
        <w:t>CFA francs</w:t>
      </w:r>
      <w:r w:rsidRPr="008C5F92">
        <w:rPr>
          <w:szCs w:val="20"/>
          <w:lang w:val="en-CA"/>
        </w:rPr>
        <w:t xml:space="preserve"> / year in Kapori to 300,000</w:t>
      </w:r>
      <w:r w:rsidR="008C5F92" w:rsidRPr="008C5F92">
        <w:rPr>
          <w:rStyle w:val="Appelnotedebasdep"/>
          <w:szCs w:val="20"/>
          <w:lang w:val="en-CA"/>
        </w:rPr>
        <w:footnoteReference w:id="82"/>
      </w:r>
      <w:r w:rsidRPr="008C5F92">
        <w:rPr>
          <w:szCs w:val="20"/>
          <w:lang w:val="en-CA"/>
        </w:rPr>
        <w:t xml:space="preserve"> </w:t>
      </w:r>
      <w:r w:rsidR="005E13EB" w:rsidRPr="008C5F92">
        <w:rPr>
          <w:szCs w:val="20"/>
          <w:lang w:val="en-CA"/>
        </w:rPr>
        <w:t>CFA francs</w:t>
      </w:r>
      <w:r w:rsidRPr="008C5F92">
        <w:rPr>
          <w:szCs w:val="20"/>
          <w:lang w:val="en-CA"/>
        </w:rPr>
        <w:t xml:space="preserve"> / year in Mantiongo. The commercialization of firewood by women has been reported mainly in the villages of Toebanega (commune of Doulougou) and Nebou (as of Biéha) and generate annual revenues ranging from </w:t>
      </w:r>
      <w:r w:rsidR="008C5F92" w:rsidRPr="008C5F92">
        <w:rPr>
          <w:szCs w:val="20"/>
          <w:lang w:val="en-CA"/>
        </w:rPr>
        <w:t xml:space="preserve">48,000 </w:t>
      </w:r>
      <w:r w:rsidRPr="008C5F92">
        <w:rPr>
          <w:szCs w:val="20"/>
          <w:lang w:val="en-CA"/>
        </w:rPr>
        <w:t xml:space="preserve">to </w:t>
      </w:r>
      <w:r w:rsidR="008C5F92" w:rsidRPr="008C5F92">
        <w:rPr>
          <w:szCs w:val="20"/>
          <w:lang w:val="en-CA"/>
        </w:rPr>
        <w:t xml:space="preserve">144,000 </w:t>
      </w:r>
      <w:r w:rsidR="005E13EB" w:rsidRPr="008C5F92">
        <w:rPr>
          <w:szCs w:val="20"/>
          <w:lang w:val="en-CA"/>
        </w:rPr>
        <w:t>CFA</w:t>
      </w:r>
      <w:r w:rsidR="005E13EB">
        <w:rPr>
          <w:szCs w:val="20"/>
          <w:lang w:val="en-CA"/>
        </w:rPr>
        <w:t xml:space="preserve"> francs</w:t>
      </w:r>
      <w:r w:rsidR="008C5F92">
        <w:rPr>
          <w:rStyle w:val="Appelnotedebasdep"/>
          <w:szCs w:val="20"/>
          <w:lang w:val="en-CA"/>
        </w:rPr>
        <w:footnoteReference w:id="83"/>
      </w:r>
      <w:r w:rsidRPr="00460534">
        <w:rPr>
          <w:szCs w:val="20"/>
          <w:lang w:val="en-CA"/>
        </w:rPr>
        <w:t>.</w:t>
      </w:r>
      <w:r>
        <w:rPr>
          <w:szCs w:val="20"/>
          <w:lang w:val="en-CA"/>
        </w:rPr>
        <w:t xml:space="preserve"> </w:t>
      </w:r>
      <w:r w:rsidRPr="00460534">
        <w:rPr>
          <w:szCs w:val="20"/>
          <w:lang w:val="en-CA"/>
        </w:rPr>
        <w:t xml:space="preserve">NTFPs most exploited for commercial purposes include shea butter, soumbala (spice </w:t>
      </w:r>
      <w:r>
        <w:rPr>
          <w:szCs w:val="20"/>
          <w:lang w:val="en-CA"/>
        </w:rPr>
        <w:t>made from</w:t>
      </w:r>
      <w:r w:rsidRPr="00460534">
        <w:rPr>
          <w:szCs w:val="20"/>
          <w:lang w:val="en-CA"/>
        </w:rPr>
        <w:t xml:space="preserve"> néré seeds), shea almonds, tamarind, detarium, liane go</w:t>
      </w:r>
      <w:r w:rsidR="005E13EB">
        <w:rPr>
          <w:szCs w:val="20"/>
          <w:lang w:val="en-CA"/>
        </w:rPr>
        <w:t>i</w:t>
      </w:r>
      <w:r w:rsidRPr="00460534">
        <w:rPr>
          <w:szCs w:val="20"/>
          <w:lang w:val="en-CA"/>
        </w:rPr>
        <w:t>ne, balanites, néré seeds and the flour of the pulp of néré.</w:t>
      </w:r>
    </w:p>
    <w:p w14:paraId="30241893" w14:textId="6BEC585D" w:rsidR="00302BFE" w:rsidRPr="00BA18F6" w:rsidRDefault="00302BFE" w:rsidP="00302BFE">
      <w:pPr>
        <w:widowControl w:val="0"/>
        <w:autoSpaceDE w:val="0"/>
        <w:autoSpaceDN w:val="0"/>
        <w:adjustRightInd w:val="0"/>
        <w:spacing w:before="120" w:after="120"/>
        <w:textAlignment w:val="baseline"/>
        <w:rPr>
          <w:szCs w:val="20"/>
          <w:lang w:val="en-CA"/>
        </w:rPr>
      </w:pPr>
      <w:r w:rsidRPr="00460534">
        <w:rPr>
          <w:szCs w:val="20"/>
          <w:lang w:val="en-CA"/>
        </w:rPr>
        <w:t xml:space="preserve">Shea butter is produced in all villages and yields an average of </w:t>
      </w:r>
      <w:r w:rsidRPr="00013DAF">
        <w:rPr>
          <w:szCs w:val="20"/>
          <w:lang w:val="en-CA"/>
        </w:rPr>
        <w:t>61,800</w:t>
      </w:r>
      <w:r w:rsidRPr="00460534">
        <w:rPr>
          <w:szCs w:val="20"/>
          <w:lang w:val="en-CA"/>
        </w:rPr>
        <w:t xml:space="preserve"> </w:t>
      </w:r>
      <w:r w:rsidR="005E13EB">
        <w:rPr>
          <w:szCs w:val="20"/>
          <w:lang w:val="en-CA"/>
        </w:rPr>
        <w:t>CFA francs</w:t>
      </w:r>
      <w:r w:rsidR="008C5F92">
        <w:rPr>
          <w:rStyle w:val="Appelnotedebasdep"/>
          <w:szCs w:val="20"/>
          <w:lang w:val="en-CA"/>
        </w:rPr>
        <w:footnoteReference w:id="84"/>
      </w:r>
      <w:r w:rsidRPr="00460534">
        <w:rPr>
          <w:szCs w:val="20"/>
          <w:lang w:val="en-CA"/>
        </w:rPr>
        <w:t xml:space="preserve"> per production cycle (shea nuts are collected between June and August). Néré seeds are much more produced in the Sissili classified forest, generating revenues of up to 80,000 </w:t>
      </w:r>
      <w:r w:rsidR="005E13EB">
        <w:rPr>
          <w:szCs w:val="20"/>
          <w:lang w:val="en-CA"/>
        </w:rPr>
        <w:t>CFA francs</w:t>
      </w:r>
      <w:r w:rsidRPr="00460534">
        <w:rPr>
          <w:szCs w:val="20"/>
          <w:lang w:val="en-CA"/>
        </w:rPr>
        <w:t xml:space="preserve"> per farmer and per production cycle. The average income per </w:t>
      </w:r>
      <w:r>
        <w:rPr>
          <w:szCs w:val="20"/>
          <w:lang w:val="en-CA"/>
        </w:rPr>
        <w:t>woman</w:t>
      </w:r>
      <w:r w:rsidRPr="00460534">
        <w:rPr>
          <w:szCs w:val="20"/>
          <w:lang w:val="en-CA"/>
        </w:rPr>
        <w:t xml:space="preserve"> is shown in the table below.</w:t>
      </w:r>
    </w:p>
    <w:p w14:paraId="73CF7978" w14:textId="77777777" w:rsidR="00302BFE" w:rsidRPr="00BA18F6" w:rsidRDefault="00302BFE" w:rsidP="00302BFE">
      <w:pPr>
        <w:pStyle w:val="Lgende"/>
        <w:spacing w:before="120" w:after="120"/>
        <w:jc w:val="both"/>
        <w:rPr>
          <w:rFonts w:ascii="Calibri" w:hAnsi="Calibri"/>
          <w:sz w:val="20"/>
          <w:szCs w:val="20"/>
          <w:lang w:val="en-CA"/>
        </w:rPr>
      </w:pPr>
      <w:bookmarkStart w:id="70" w:name="_Toc7382332"/>
      <w:r w:rsidRPr="00BA18F6">
        <w:rPr>
          <w:rFonts w:ascii="Calibri" w:hAnsi="Calibri"/>
          <w:sz w:val="20"/>
          <w:szCs w:val="20"/>
          <w:lang w:val="en-CA"/>
        </w:rPr>
        <w:t xml:space="preserve">Table 1: </w:t>
      </w:r>
      <w:bookmarkEnd w:id="70"/>
      <w:r w:rsidRPr="00BA18F6">
        <w:rPr>
          <w:rFonts w:ascii="Calibri" w:hAnsi="Calibri"/>
          <w:sz w:val="20"/>
          <w:szCs w:val="20"/>
          <w:lang w:val="en-CA"/>
        </w:rPr>
        <w:t>Average income from NTFP marketing and processing by women in PONASI</w:t>
      </w:r>
    </w:p>
    <w:tbl>
      <w:tblPr>
        <w:tblW w:w="8075" w:type="dxa"/>
        <w:jc w:val="cente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2835"/>
        <w:gridCol w:w="1894"/>
        <w:gridCol w:w="3346"/>
      </w:tblGrid>
      <w:tr w:rsidR="00302BFE" w:rsidRPr="00BA18F6" w14:paraId="2C635B97" w14:textId="77777777" w:rsidTr="00243B15">
        <w:trPr>
          <w:trHeight w:val="312"/>
          <w:jc w:val="center"/>
        </w:trPr>
        <w:tc>
          <w:tcPr>
            <w:tcW w:w="2835" w:type="dxa"/>
            <w:tcBorders>
              <w:top w:val="single" w:sz="4" w:space="0" w:color="B4C6E7"/>
              <w:left w:val="single" w:sz="4" w:space="0" w:color="B4C6E7"/>
              <w:bottom w:val="single" w:sz="12" w:space="0" w:color="8EAADB"/>
              <w:right w:val="single" w:sz="4" w:space="0" w:color="B4C6E7"/>
            </w:tcBorders>
            <w:shd w:val="clear" w:color="auto" w:fill="auto"/>
            <w:noWrap/>
            <w:hideMark/>
          </w:tcPr>
          <w:p w14:paraId="7973E807" w14:textId="77777777" w:rsidR="00302BFE" w:rsidRPr="00BA18F6" w:rsidRDefault="00302BFE" w:rsidP="00243B15">
            <w:pPr>
              <w:spacing w:after="0"/>
              <w:rPr>
                <w:rFonts w:eastAsia="Times New Roman"/>
                <w:b/>
                <w:bCs/>
                <w:color w:val="000000"/>
                <w:szCs w:val="20"/>
                <w:lang w:eastAsia="fr-FR"/>
              </w:rPr>
            </w:pPr>
            <w:r w:rsidRPr="00BA18F6">
              <w:rPr>
                <w:rFonts w:eastAsia="Times New Roman"/>
                <w:b/>
                <w:bCs/>
                <w:color w:val="000000"/>
                <w:szCs w:val="20"/>
                <w:lang w:eastAsia="fr-FR"/>
              </w:rPr>
              <w:t>NTFP</w:t>
            </w:r>
          </w:p>
        </w:tc>
        <w:tc>
          <w:tcPr>
            <w:tcW w:w="1894" w:type="dxa"/>
            <w:tcBorders>
              <w:top w:val="single" w:sz="4" w:space="0" w:color="B4C6E7"/>
              <w:left w:val="single" w:sz="4" w:space="0" w:color="B4C6E7"/>
              <w:bottom w:val="single" w:sz="12" w:space="0" w:color="8EAADB"/>
              <w:right w:val="single" w:sz="4" w:space="0" w:color="B4C6E7"/>
            </w:tcBorders>
            <w:shd w:val="clear" w:color="auto" w:fill="auto"/>
            <w:hideMark/>
          </w:tcPr>
          <w:p w14:paraId="6E99430F" w14:textId="77777777" w:rsidR="00302BFE" w:rsidRPr="00BA18F6" w:rsidRDefault="00302BFE" w:rsidP="00243B15">
            <w:pPr>
              <w:spacing w:after="0"/>
              <w:rPr>
                <w:rFonts w:eastAsia="Times New Roman"/>
                <w:b/>
                <w:bCs/>
                <w:color w:val="000000"/>
                <w:szCs w:val="20"/>
                <w:lang w:eastAsia="fr-FR"/>
              </w:rPr>
            </w:pPr>
            <w:r w:rsidRPr="00BA18F6">
              <w:rPr>
                <w:rFonts w:eastAsia="Times New Roman"/>
                <w:b/>
                <w:bCs/>
                <w:color w:val="000000"/>
                <w:szCs w:val="20"/>
                <w:lang w:eastAsia="fr-FR"/>
              </w:rPr>
              <w:t>Type of product</w:t>
            </w:r>
          </w:p>
        </w:tc>
        <w:tc>
          <w:tcPr>
            <w:tcW w:w="3346" w:type="dxa"/>
            <w:tcBorders>
              <w:top w:val="single" w:sz="4" w:space="0" w:color="B4C6E7"/>
              <w:left w:val="single" w:sz="4" w:space="0" w:color="B4C6E7"/>
              <w:bottom w:val="single" w:sz="12" w:space="0" w:color="8EAADB"/>
              <w:right w:val="single" w:sz="4" w:space="0" w:color="B4C6E7"/>
            </w:tcBorders>
            <w:shd w:val="clear" w:color="auto" w:fill="auto"/>
            <w:noWrap/>
            <w:hideMark/>
          </w:tcPr>
          <w:p w14:paraId="08AE93A8" w14:textId="7FC0A245" w:rsidR="00302BFE" w:rsidRPr="00BA18F6" w:rsidRDefault="00302BFE" w:rsidP="00243B15">
            <w:pPr>
              <w:spacing w:after="0"/>
              <w:rPr>
                <w:rFonts w:eastAsia="Times New Roman"/>
                <w:b/>
                <w:bCs/>
                <w:color w:val="000000"/>
                <w:szCs w:val="20"/>
                <w:lang w:val="en-CA" w:eastAsia="fr-FR"/>
              </w:rPr>
            </w:pPr>
            <w:r w:rsidRPr="00BA18F6">
              <w:rPr>
                <w:rFonts w:eastAsia="Times New Roman"/>
                <w:b/>
                <w:bCs/>
                <w:color w:val="000000"/>
                <w:szCs w:val="20"/>
                <w:lang w:val="en-CA" w:eastAsia="fr-FR"/>
              </w:rPr>
              <w:t>Average gross income per woman and per production cycle (</w:t>
            </w:r>
            <w:r w:rsidR="005E13EB">
              <w:rPr>
                <w:rFonts w:eastAsia="Times New Roman"/>
                <w:b/>
                <w:bCs/>
                <w:color w:val="000000"/>
                <w:szCs w:val="20"/>
                <w:lang w:val="en-CA" w:eastAsia="fr-FR"/>
              </w:rPr>
              <w:t>CFA francs</w:t>
            </w:r>
            <w:r w:rsidRPr="00BA18F6">
              <w:rPr>
                <w:rFonts w:eastAsia="Times New Roman"/>
                <w:b/>
                <w:bCs/>
                <w:color w:val="000000"/>
                <w:szCs w:val="20"/>
                <w:lang w:val="en-CA" w:eastAsia="fr-FR"/>
              </w:rPr>
              <w:t>)</w:t>
            </w:r>
          </w:p>
        </w:tc>
      </w:tr>
      <w:tr w:rsidR="00302BFE" w:rsidRPr="00BA18F6" w14:paraId="20CB5498" w14:textId="77777777" w:rsidTr="00243B15">
        <w:trPr>
          <w:trHeight w:val="288"/>
          <w:jc w:val="center"/>
        </w:trPr>
        <w:tc>
          <w:tcPr>
            <w:tcW w:w="2835" w:type="dxa"/>
            <w:tcBorders>
              <w:top w:val="single" w:sz="4" w:space="0" w:color="B4C6E7"/>
              <w:left w:val="single" w:sz="4" w:space="0" w:color="B4C6E7"/>
              <w:bottom w:val="single" w:sz="4" w:space="0" w:color="B4C6E7"/>
              <w:right w:val="single" w:sz="4" w:space="0" w:color="B4C6E7"/>
            </w:tcBorders>
            <w:shd w:val="clear" w:color="auto" w:fill="auto"/>
            <w:hideMark/>
          </w:tcPr>
          <w:p w14:paraId="7ABD753C" w14:textId="77777777" w:rsidR="00302BFE" w:rsidRPr="00BA18F6" w:rsidRDefault="00302BFE" w:rsidP="00243B15">
            <w:pPr>
              <w:spacing w:after="0"/>
              <w:rPr>
                <w:rFonts w:eastAsia="Times New Roman"/>
                <w:bCs/>
                <w:color w:val="000000"/>
                <w:szCs w:val="20"/>
                <w:lang w:eastAsia="fr-FR"/>
              </w:rPr>
            </w:pPr>
            <w:r w:rsidRPr="00BA18F6">
              <w:rPr>
                <w:rFonts w:eastAsia="Calibri"/>
                <w:b/>
                <w:bCs/>
                <w:szCs w:val="20"/>
                <w:lang w:val="en-CA"/>
              </w:rPr>
              <w:t xml:space="preserve">Néré </w:t>
            </w:r>
            <w:r w:rsidRPr="00BA18F6">
              <w:rPr>
                <w:rFonts w:eastAsia="Times New Roman"/>
                <w:b/>
                <w:bCs/>
                <w:color w:val="000000"/>
                <w:szCs w:val="20"/>
                <w:lang w:eastAsia="fr-FR"/>
              </w:rPr>
              <w:t>seeds</w:t>
            </w:r>
          </w:p>
        </w:tc>
        <w:tc>
          <w:tcPr>
            <w:tcW w:w="1894" w:type="dxa"/>
            <w:tcBorders>
              <w:top w:val="single" w:sz="4" w:space="0" w:color="B4C6E7"/>
              <w:left w:val="single" w:sz="4" w:space="0" w:color="B4C6E7"/>
              <w:bottom w:val="single" w:sz="4" w:space="0" w:color="B4C6E7"/>
              <w:right w:val="single" w:sz="4" w:space="0" w:color="B4C6E7"/>
            </w:tcBorders>
            <w:shd w:val="clear" w:color="auto" w:fill="auto"/>
            <w:hideMark/>
          </w:tcPr>
          <w:p w14:paraId="514786A4" w14:textId="77777777" w:rsidR="00302BFE" w:rsidRPr="00BA18F6" w:rsidRDefault="00302BFE" w:rsidP="00243B15">
            <w:pPr>
              <w:spacing w:after="0"/>
              <w:rPr>
                <w:rFonts w:eastAsia="Times New Roman"/>
                <w:color w:val="000000"/>
                <w:szCs w:val="20"/>
                <w:lang w:eastAsia="fr-FR"/>
              </w:rPr>
            </w:pPr>
            <w:r w:rsidRPr="00BA18F6">
              <w:rPr>
                <w:rFonts w:eastAsia="Times New Roman"/>
                <w:color w:val="000000"/>
                <w:szCs w:val="20"/>
                <w:lang w:eastAsia="fr-FR"/>
              </w:rPr>
              <w:t>Processed</w:t>
            </w:r>
          </w:p>
        </w:tc>
        <w:tc>
          <w:tcPr>
            <w:tcW w:w="3346" w:type="dxa"/>
            <w:tcBorders>
              <w:top w:val="single" w:sz="4" w:space="0" w:color="B4C6E7"/>
              <w:left w:val="single" w:sz="4" w:space="0" w:color="B4C6E7"/>
              <w:bottom w:val="single" w:sz="4" w:space="0" w:color="B4C6E7"/>
              <w:right w:val="single" w:sz="4" w:space="0" w:color="B4C6E7"/>
            </w:tcBorders>
            <w:shd w:val="clear" w:color="auto" w:fill="auto"/>
            <w:noWrap/>
            <w:hideMark/>
          </w:tcPr>
          <w:p w14:paraId="4005278E" w14:textId="77777777" w:rsidR="00302BFE" w:rsidRPr="00BA18F6" w:rsidRDefault="00302BFE" w:rsidP="00243B15">
            <w:pPr>
              <w:spacing w:after="0"/>
              <w:rPr>
                <w:rFonts w:eastAsia="Times New Roman"/>
                <w:color w:val="000000"/>
                <w:szCs w:val="20"/>
                <w:lang w:eastAsia="fr-FR"/>
              </w:rPr>
            </w:pPr>
            <w:r w:rsidRPr="00BA18F6">
              <w:rPr>
                <w:rFonts w:eastAsia="Times New Roman"/>
                <w:color w:val="000000"/>
                <w:szCs w:val="20"/>
                <w:lang w:eastAsia="fr-FR"/>
              </w:rPr>
              <w:t>80,000</w:t>
            </w:r>
          </w:p>
        </w:tc>
      </w:tr>
      <w:tr w:rsidR="00302BFE" w:rsidRPr="00BA18F6" w14:paraId="00A941E9" w14:textId="77777777" w:rsidTr="00243B15">
        <w:trPr>
          <w:trHeight w:val="288"/>
          <w:jc w:val="center"/>
        </w:trPr>
        <w:tc>
          <w:tcPr>
            <w:tcW w:w="2835" w:type="dxa"/>
            <w:tcBorders>
              <w:top w:val="single" w:sz="4" w:space="0" w:color="B4C6E7"/>
              <w:left w:val="single" w:sz="4" w:space="0" w:color="B4C6E7"/>
              <w:bottom w:val="single" w:sz="4" w:space="0" w:color="B4C6E7"/>
              <w:right w:val="single" w:sz="4" w:space="0" w:color="B4C6E7"/>
            </w:tcBorders>
            <w:shd w:val="clear" w:color="auto" w:fill="auto"/>
            <w:noWrap/>
            <w:hideMark/>
          </w:tcPr>
          <w:p w14:paraId="3379152D" w14:textId="77777777" w:rsidR="00302BFE" w:rsidRPr="00BA18F6" w:rsidRDefault="00302BFE" w:rsidP="00243B15">
            <w:pPr>
              <w:spacing w:after="0"/>
              <w:rPr>
                <w:rFonts w:eastAsia="Times New Roman"/>
                <w:b/>
                <w:bCs/>
                <w:color w:val="000000"/>
                <w:szCs w:val="20"/>
                <w:lang w:val="en-CA" w:eastAsia="fr-FR"/>
              </w:rPr>
            </w:pPr>
            <w:r w:rsidRPr="00BA18F6">
              <w:rPr>
                <w:rFonts w:eastAsia="Times New Roman"/>
                <w:b/>
                <w:bCs/>
                <w:color w:val="000000"/>
                <w:szCs w:val="20"/>
                <w:lang w:val="en-CA" w:eastAsia="fr-FR"/>
              </w:rPr>
              <w:t>Soumbala (</w:t>
            </w:r>
            <w:r w:rsidRPr="00BA18F6">
              <w:rPr>
                <w:rFonts w:eastAsia="Calibri"/>
                <w:b/>
                <w:bCs/>
                <w:szCs w:val="20"/>
                <w:lang w:val="en-CA"/>
              </w:rPr>
              <w:t>spice made from néré seeds</w:t>
            </w:r>
            <w:r w:rsidRPr="00BA18F6">
              <w:rPr>
                <w:rFonts w:eastAsia="Times New Roman"/>
                <w:b/>
                <w:bCs/>
                <w:color w:val="000000"/>
                <w:szCs w:val="20"/>
                <w:lang w:val="en-CA" w:eastAsia="fr-FR"/>
              </w:rPr>
              <w:t xml:space="preserve">) </w:t>
            </w:r>
          </w:p>
        </w:tc>
        <w:tc>
          <w:tcPr>
            <w:tcW w:w="1894" w:type="dxa"/>
            <w:tcBorders>
              <w:top w:val="single" w:sz="4" w:space="0" w:color="B4C6E7"/>
              <w:left w:val="single" w:sz="4" w:space="0" w:color="B4C6E7"/>
              <w:bottom w:val="single" w:sz="4" w:space="0" w:color="B4C6E7"/>
              <w:right w:val="single" w:sz="4" w:space="0" w:color="B4C6E7"/>
            </w:tcBorders>
            <w:shd w:val="clear" w:color="auto" w:fill="auto"/>
            <w:hideMark/>
          </w:tcPr>
          <w:p w14:paraId="472E1D8A" w14:textId="77777777" w:rsidR="00302BFE" w:rsidRPr="00BA18F6" w:rsidRDefault="00302BFE" w:rsidP="00243B15">
            <w:pPr>
              <w:spacing w:after="0"/>
              <w:rPr>
                <w:rFonts w:eastAsia="Times New Roman"/>
                <w:color w:val="000000"/>
                <w:szCs w:val="20"/>
                <w:lang w:eastAsia="fr-FR"/>
              </w:rPr>
            </w:pPr>
            <w:r w:rsidRPr="00BA18F6">
              <w:rPr>
                <w:rFonts w:eastAsia="Times New Roman"/>
                <w:color w:val="000000"/>
                <w:szCs w:val="20"/>
                <w:lang w:eastAsia="fr-FR"/>
              </w:rPr>
              <w:t>Processed</w:t>
            </w:r>
          </w:p>
        </w:tc>
        <w:tc>
          <w:tcPr>
            <w:tcW w:w="3346" w:type="dxa"/>
            <w:tcBorders>
              <w:top w:val="single" w:sz="4" w:space="0" w:color="B4C6E7"/>
              <w:left w:val="single" w:sz="4" w:space="0" w:color="B4C6E7"/>
              <w:bottom w:val="single" w:sz="4" w:space="0" w:color="B4C6E7"/>
              <w:right w:val="single" w:sz="4" w:space="0" w:color="B4C6E7"/>
            </w:tcBorders>
            <w:shd w:val="clear" w:color="auto" w:fill="auto"/>
            <w:noWrap/>
            <w:hideMark/>
          </w:tcPr>
          <w:p w14:paraId="4F3007D4" w14:textId="77777777" w:rsidR="00302BFE" w:rsidRPr="00BA18F6" w:rsidRDefault="00302BFE" w:rsidP="00243B15">
            <w:pPr>
              <w:spacing w:after="0"/>
              <w:rPr>
                <w:rFonts w:eastAsia="Times New Roman"/>
                <w:color w:val="000000"/>
                <w:szCs w:val="20"/>
                <w:lang w:eastAsia="fr-FR"/>
              </w:rPr>
            </w:pPr>
            <w:r w:rsidRPr="00BA18F6">
              <w:rPr>
                <w:rFonts w:eastAsia="Times New Roman"/>
                <w:color w:val="000000"/>
                <w:szCs w:val="20"/>
                <w:lang w:eastAsia="fr-FR"/>
              </w:rPr>
              <w:t>72,000</w:t>
            </w:r>
          </w:p>
        </w:tc>
      </w:tr>
      <w:tr w:rsidR="00302BFE" w:rsidRPr="00BA18F6" w14:paraId="3C8F5106" w14:textId="77777777" w:rsidTr="00243B15">
        <w:trPr>
          <w:trHeight w:val="312"/>
          <w:jc w:val="center"/>
        </w:trPr>
        <w:tc>
          <w:tcPr>
            <w:tcW w:w="2835" w:type="dxa"/>
            <w:tcBorders>
              <w:top w:val="single" w:sz="4" w:space="0" w:color="B4C6E7"/>
              <w:left w:val="single" w:sz="4" w:space="0" w:color="B4C6E7"/>
              <w:bottom w:val="single" w:sz="4" w:space="0" w:color="B4C6E7"/>
              <w:right w:val="single" w:sz="4" w:space="0" w:color="B4C6E7"/>
            </w:tcBorders>
            <w:shd w:val="clear" w:color="auto" w:fill="auto"/>
            <w:noWrap/>
            <w:hideMark/>
          </w:tcPr>
          <w:p w14:paraId="78523EB7" w14:textId="77777777" w:rsidR="00302BFE" w:rsidRPr="00BA18F6" w:rsidRDefault="00302BFE" w:rsidP="00243B15">
            <w:pPr>
              <w:spacing w:after="0"/>
              <w:rPr>
                <w:rFonts w:eastAsia="Times New Roman"/>
                <w:b/>
                <w:bCs/>
                <w:color w:val="000000"/>
                <w:szCs w:val="20"/>
                <w:lang w:eastAsia="fr-FR"/>
              </w:rPr>
            </w:pPr>
            <w:r w:rsidRPr="00BA18F6">
              <w:rPr>
                <w:rFonts w:eastAsia="Calibri"/>
                <w:b/>
                <w:bCs/>
                <w:szCs w:val="20"/>
                <w:lang w:val="en-CA"/>
              </w:rPr>
              <w:t>Shea butter</w:t>
            </w:r>
          </w:p>
        </w:tc>
        <w:tc>
          <w:tcPr>
            <w:tcW w:w="1894" w:type="dxa"/>
            <w:tcBorders>
              <w:top w:val="single" w:sz="4" w:space="0" w:color="B4C6E7"/>
              <w:left w:val="single" w:sz="4" w:space="0" w:color="B4C6E7"/>
              <w:bottom w:val="single" w:sz="4" w:space="0" w:color="B4C6E7"/>
              <w:right w:val="single" w:sz="4" w:space="0" w:color="B4C6E7"/>
            </w:tcBorders>
            <w:shd w:val="clear" w:color="auto" w:fill="auto"/>
            <w:hideMark/>
          </w:tcPr>
          <w:p w14:paraId="063CDFBB" w14:textId="77777777" w:rsidR="00302BFE" w:rsidRPr="00BA18F6" w:rsidRDefault="00302BFE" w:rsidP="00243B15">
            <w:pPr>
              <w:spacing w:after="0"/>
              <w:rPr>
                <w:rFonts w:eastAsia="Times New Roman"/>
                <w:color w:val="000000"/>
                <w:szCs w:val="20"/>
                <w:lang w:eastAsia="fr-FR"/>
              </w:rPr>
            </w:pPr>
            <w:r w:rsidRPr="00BA18F6">
              <w:rPr>
                <w:rFonts w:eastAsia="Times New Roman"/>
                <w:color w:val="000000"/>
                <w:szCs w:val="20"/>
                <w:lang w:eastAsia="fr-FR"/>
              </w:rPr>
              <w:t>Processed</w:t>
            </w:r>
          </w:p>
        </w:tc>
        <w:tc>
          <w:tcPr>
            <w:tcW w:w="3346" w:type="dxa"/>
            <w:tcBorders>
              <w:top w:val="single" w:sz="4" w:space="0" w:color="B4C6E7"/>
              <w:left w:val="single" w:sz="4" w:space="0" w:color="B4C6E7"/>
              <w:bottom w:val="single" w:sz="4" w:space="0" w:color="B4C6E7"/>
              <w:right w:val="single" w:sz="4" w:space="0" w:color="B4C6E7"/>
            </w:tcBorders>
            <w:shd w:val="clear" w:color="auto" w:fill="auto"/>
            <w:noWrap/>
            <w:hideMark/>
          </w:tcPr>
          <w:p w14:paraId="685FC181" w14:textId="77777777" w:rsidR="00302BFE" w:rsidRPr="00BA18F6" w:rsidRDefault="00302BFE" w:rsidP="00243B15">
            <w:pPr>
              <w:spacing w:after="0"/>
              <w:rPr>
                <w:rFonts w:eastAsia="Times New Roman"/>
                <w:color w:val="000000"/>
                <w:szCs w:val="20"/>
                <w:lang w:eastAsia="fr-FR"/>
              </w:rPr>
            </w:pPr>
            <w:r w:rsidRPr="00BA18F6">
              <w:rPr>
                <w:rFonts w:eastAsia="Times New Roman"/>
                <w:color w:val="000000"/>
                <w:szCs w:val="20"/>
                <w:lang w:eastAsia="fr-FR"/>
              </w:rPr>
              <w:t>61,800</w:t>
            </w:r>
          </w:p>
        </w:tc>
      </w:tr>
      <w:tr w:rsidR="00302BFE" w:rsidRPr="00BA18F6" w14:paraId="3FE243DA" w14:textId="77777777" w:rsidTr="00243B15">
        <w:trPr>
          <w:trHeight w:val="288"/>
          <w:jc w:val="center"/>
        </w:trPr>
        <w:tc>
          <w:tcPr>
            <w:tcW w:w="2835" w:type="dxa"/>
            <w:tcBorders>
              <w:top w:val="single" w:sz="4" w:space="0" w:color="B4C6E7"/>
              <w:left w:val="single" w:sz="4" w:space="0" w:color="B4C6E7"/>
              <w:bottom w:val="single" w:sz="4" w:space="0" w:color="B4C6E7"/>
              <w:right w:val="single" w:sz="4" w:space="0" w:color="B4C6E7"/>
            </w:tcBorders>
            <w:shd w:val="clear" w:color="auto" w:fill="auto"/>
            <w:noWrap/>
            <w:hideMark/>
          </w:tcPr>
          <w:p w14:paraId="612420E1" w14:textId="77777777" w:rsidR="00302BFE" w:rsidRPr="00BA18F6" w:rsidRDefault="00302BFE" w:rsidP="00243B15">
            <w:pPr>
              <w:spacing w:after="0"/>
              <w:rPr>
                <w:rFonts w:eastAsia="Times New Roman"/>
                <w:b/>
                <w:bCs/>
                <w:color w:val="000000"/>
                <w:szCs w:val="20"/>
                <w:lang w:eastAsia="fr-FR"/>
              </w:rPr>
            </w:pPr>
            <w:r w:rsidRPr="00BA18F6">
              <w:rPr>
                <w:rFonts w:eastAsia="Calibri"/>
                <w:b/>
                <w:bCs/>
                <w:szCs w:val="20"/>
                <w:lang w:val="en-CA"/>
              </w:rPr>
              <w:t>Shea almonds</w:t>
            </w:r>
          </w:p>
        </w:tc>
        <w:tc>
          <w:tcPr>
            <w:tcW w:w="1894" w:type="dxa"/>
            <w:tcBorders>
              <w:top w:val="single" w:sz="4" w:space="0" w:color="B4C6E7"/>
              <w:left w:val="single" w:sz="4" w:space="0" w:color="B4C6E7"/>
              <w:bottom w:val="single" w:sz="4" w:space="0" w:color="B4C6E7"/>
              <w:right w:val="single" w:sz="4" w:space="0" w:color="B4C6E7"/>
            </w:tcBorders>
            <w:shd w:val="clear" w:color="auto" w:fill="auto"/>
            <w:hideMark/>
          </w:tcPr>
          <w:p w14:paraId="420E3F70" w14:textId="77777777" w:rsidR="00302BFE" w:rsidRPr="00BA18F6" w:rsidRDefault="00302BFE" w:rsidP="00243B15">
            <w:pPr>
              <w:spacing w:after="0"/>
              <w:rPr>
                <w:rFonts w:eastAsia="Times New Roman"/>
                <w:color w:val="000000"/>
                <w:szCs w:val="20"/>
                <w:lang w:eastAsia="fr-FR"/>
              </w:rPr>
            </w:pPr>
            <w:r w:rsidRPr="00BA18F6">
              <w:rPr>
                <w:rFonts w:eastAsia="Times New Roman"/>
                <w:color w:val="000000"/>
                <w:szCs w:val="20"/>
                <w:lang w:eastAsia="fr-FR"/>
              </w:rPr>
              <w:t xml:space="preserve">Raw </w:t>
            </w:r>
          </w:p>
        </w:tc>
        <w:tc>
          <w:tcPr>
            <w:tcW w:w="3346" w:type="dxa"/>
            <w:tcBorders>
              <w:top w:val="single" w:sz="4" w:space="0" w:color="B4C6E7"/>
              <w:left w:val="single" w:sz="4" w:space="0" w:color="B4C6E7"/>
              <w:bottom w:val="single" w:sz="4" w:space="0" w:color="B4C6E7"/>
              <w:right w:val="single" w:sz="4" w:space="0" w:color="B4C6E7"/>
            </w:tcBorders>
            <w:shd w:val="clear" w:color="auto" w:fill="auto"/>
            <w:noWrap/>
            <w:hideMark/>
          </w:tcPr>
          <w:p w14:paraId="37A49483" w14:textId="77777777" w:rsidR="00302BFE" w:rsidRPr="00BA18F6" w:rsidRDefault="00302BFE" w:rsidP="00243B15">
            <w:pPr>
              <w:spacing w:after="0"/>
              <w:rPr>
                <w:rFonts w:eastAsia="Times New Roman"/>
                <w:color w:val="000000"/>
                <w:szCs w:val="20"/>
                <w:lang w:eastAsia="fr-FR"/>
              </w:rPr>
            </w:pPr>
            <w:r w:rsidRPr="00BA18F6">
              <w:rPr>
                <w:rFonts w:eastAsia="Times New Roman"/>
                <w:color w:val="000000"/>
                <w:szCs w:val="20"/>
                <w:lang w:eastAsia="fr-FR"/>
              </w:rPr>
              <w:t>32,500</w:t>
            </w:r>
          </w:p>
        </w:tc>
      </w:tr>
      <w:tr w:rsidR="00302BFE" w:rsidRPr="00BA18F6" w14:paraId="4B60FC46" w14:textId="77777777" w:rsidTr="00243B15">
        <w:trPr>
          <w:trHeight w:val="288"/>
          <w:jc w:val="center"/>
        </w:trPr>
        <w:tc>
          <w:tcPr>
            <w:tcW w:w="2835" w:type="dxa"/>
            <w:tcBorders>
              <w:top w:val="single" w:sz="4" w:space="0" w:color="B4C6E7"/>
              <w:left w:val="single" w:sz="4" w:space="0" w:color="B4C6E7"/>
              <w:bottom w:val="single" w:sz="4" w:space="0" w:color="B4C6E7"/>
              <w:right w:val="single" w:sz="4" w:space="0" w:color="B4C6E7"/>
            </w:tcBorders>
            <w:shd w:val="clear" w:color="auto" w:fill="auto"/>
            <w:hideMark/>
          </w:tcPr>
          <w:p w14:paraId="6651C900" w14:textId="77777777" w:rsidR="00302BFE" w:rsidRPr="00BA18F6" w:rsidRDefault="00302BFE" w:rsidP="00243B15">
            <w:pPr>
              <w:spacing w:after="0"/>
              <w:rPr>
                <w:rFonts w:eastAsia="Times New Roman"/>
                <w:b/>
                <w:bCs/>
                <w:color w:val="000000"/>
                <w:szCs w:val="20"/>
                <w:lang w:eastAsia="fr-FR"/>
              </w:rPr>
            </w:pPr>
            <w:r w:rsidRPr="00BA18F6">
              <w:rPr>
                <w:rFonts w:eastAsia="Times New Roman"/>
                <w:b/>
                <w:bCs/>
                <w:color w:val="000000"/>
                <w:szCs w:val="20"/>
                <w:lang w:eastAsia="fr-FR"/>
              </w:rPr>
              <w:t>Tamarind</w:t>
            </w:r>
          </w:p>
        </w:tc>
        <w:tc>
          <w:tcPr>
            <w:tcW w:w="1894" w:type="dxa"/>
            <w:tcBorders>
              <w:top w:val="single" w:sz="4" w:space="0" w:color="B4C6E7"/>
              <w:left w:val="single" w:sz="4" w:space="0" w:color="B4C6E7"/>
              <w:bottom w:val="single" w:sz="4" w:space="0" w:color="B4C6E7"/>
              <w:right w:val="single" w:sz="4" w:space="0" w:color="B4C6E7"/>
            </w:tcBorders>
            <w:shd w:val="clear" w:color="auto" w:fill="auto"/>
            <w:hideMark/>
          </w:tcPr>
          <w:p w14:paraId="6A98F7CA" w14:textId="77777777" w:rsidR="00302BFE" w:rsidRPr="00BA18F6" w:rsidRDefault="00302BFE" w:rsidP="00243B15">
            <w:pPr>
              <w:spacing w:after="0"/>
              <w:rPr>
                <w:rFonts w:eastAsia="Times New Roman"/>
                <w:color w:val="000000"/>
                <w:szCs w:val="20"/>
                <w:lang w:eastAsia="fr-FR"/>
              </w:rPr>
            </w:pPr>
            <w:r w:rsidRPr="00BA18F6">
              <w:rPr>
                <w:rFonts w:eastAsia="Times New Roman"/>
                <w:color w:val="000000"/>
                <w:szCs w:val="20"/>
                <w:lang w:eastAsia="fr-FR"/>
              </w:rPr>
              <w:t>Raw</w:t>
            </w:r>
          </w:p>
        </w:tc>
        <w:tc>
          <w:tcPr>
            <w:tcW w:w="3346" w:type="dxa"/>
            <w:tcBorders>
              <w:top w:val="single" w:sz="4" w:space="0" w:color="B4C6E7"/>
              <w:left w:val="single" w:sz="4" w:space="0" w:color="B4C6E7"/>
              <w:bottom w:val="single" w:sz="4" w:space="0" w:color="B4C6E7"/>
              <w:right w:val="single" w:sz="4" w:space="0" w:color="B4C6E7"/>
            </w:tcBorders>
            <w:shd w:val="clear" w:color="auto" w:fill="auto"/>
            <w:noWrap/>
            <w:hideMark/>
          </w:tcPr>
          <w:p w14:paraId="0966E4B7" w14:textId="77777777" w:rsidR="00302BFE" w:rsidRPr="00BA18F6" w:rsidRDefault="00302BFE" w:rsidP="00243B15">
            <w:pPr>
              <w:spacing w:after="0"/>
              <w:rPr>
                <w:rFonts w:eastAsia="Times New Roman"/>
                <w:color w:val="000000"/>
                <w:szCs w:val="20"/>
                <w:lang w:eastAsia="fr-FR"/>
              </w:rPr>
            </w:pPr>
            <w:r w:rsidRPr="00BA18F6">
              <w:rPr>
                <w:rFonts w:eastAsia="Times New Roman"/>
                <w:color w:val="000000"/>
                <w:szCs w:val="20"/>
                <w:lang w:eastAsia="fr-FR"/>
              </w:rPr>
              <w:t>28,000</w:t>
            </w:r>
          </w:p>
        </w:tc>
      </w:tr>
      <w:tr w:rsidR="00302BFE" w:rsidRPr="00BA18F6" w14:paraId="7D806EAC" w14:textId="77777777" w:rsidTr="00243B15">
        <w:trPr>
          <w:trHeight w:val="288"/>
          <w:jc w:val="center"/>
        </w:trPr>
        <w:tc>
          <w:tcPr>
            <w:tcW w:w="2835" w:type="dxa"/>
            <w:tcBorders>
              <w:top w:val="single" w:sz="4" w:space="0" w:color="B4C6E7"/>
              <w:left w:val="single" w:sz="4" w:space="0" w:color="B4C6E7"/>
              <w:bottom w:val="single" w:sz="4" w:space="0" w:color="B4C6E7"/>
              <w:right w:val="single" w:sz="4" w:space="0" w:color="B4C6E7"/>
            </w:tcBorders>
            <w:shd w:val="clear" w:color="auto" w:fill="auto"/>
            <w:hideMark/>
          </w:tcPr>
          <w:p w14:paraId="62BAE152" w14:textId="77777777" w:rsidR="00302BFE" w:rsidRPr="00BA18F6" w:rsidRDefault="00302BFE" w:rsidP="00243B15">
            <w:pPr>
              <w:spacing w:after="0"/>
              <w:rPr>
                <w:rFonts w:eastAsia="Times New Roman"/>
                <w:b/>
                <w:bCs/>
                <w:color w:val="000000"/>
                <w:szCs w:val="20"/>
                <w:lang w:eastAsia="fr-FR"/>
              </w:rPr>
            </w:pPr>
            <w:r w:rsidRPr="00BA18F6">
              <w:rPr>
                <w:rFonts w:eastAsia="Times New Roman"/>
                <w:b/>
                <w:bCs/>
                <w:color w:val="000000"/>
                <w:szCs w:val="20"/>
                <w:lang w:eastAsia="fr-FR"/>
              </w:rPr>
              <w:t>Detarium</w:t>
            </w:r>
          </w:p>
        </w:tc>
        <w:tc>
          <w:tcPr>
            <w:tcW w:w="1894" w:type="dxa"/>
            <w:tcBorders>
              <w:top w:val="single" w:sz="4" w:space="0" w:color="B4C6E7"/>
              <w:left w:val="single" w:sz="4" w:space="0" w:color="B4C6E7"/>
              <w:bottom w:val="single" w:sz="4" w:space="0" w:color="B4C6E7"/>
              <w:right w:val="single" w:sz="4" w:space="0" w:color="B4C6E7"/>
            </w:tcBorders>
            <w:shd w:val="clear" w:color="auto" w:fill="auto"/>
            <w:hideMark/>
          </w:tcPr>
          <w:p w14:paraId="3662E31A" w14:textId="77777777" w:rsidR="00302BFE" w:rsidRPr="00BA18F6" w:rsidRDefault="00302BFE" w:rsidP="00243B15">
            <w:pPr>
              <w:spacing w:after="0"/>
              <w:rPr>
                <w:rFonts w:eastAsia="Times New Roman"/>
                <w:color w:val="000000"/>
                <w:szCs w:val="20"/>
                <w:lang w:eastAsia="fr-FR"/>
              </w:rPr>
            </w:pPr>
            <w:r w:rsidRPr="00BA18F6">
              <w:rPr>
                <w:rFonts w:eastAsia="Times New Roman"/>
                <w:color w:val="000000"/>
                <w:szCs w:val="20"/>
                <w:lang w:eastAsia="fr-FR"/>
              </w:rPr>
              <w:t>Raw</w:t>
            </w:r>
          </w:p>
        </w:tc>
        <w:tc>
          <w:tcPr>
            <w:tcW w:w="3346" w:type="dxa"/>
            <w:tcBorders>
              <w:top w:val="single" w:sz="4" w:space="0" w:color="B4C6E7"/>
              <w:left w:val="single" w:sz="4" w:space="0" w:color="B4C6E7"/>
              <w:bottom w:val="single" w:sz="4" w:space="0" w:color="B4C6E7"/>
              <w:right w:val="single" w:sz="4" w:space="0" w:color="B4C6E7"/>
            </w:tcBorders>
            <w:shd w:val="clear" w:color="auto" w:fill="auto"/>
            <w:noWrap/>
            <w:hideMark/>
          </w:tcPr>
          <w:p w14:paraId="0AAF2DE5" w14:textId="77777777" w:rsidR="00302BFE" w:rsidRPr="00BA18F6" w:rsidRDefault="00302BFE" w:rsidP="00243B15">
            <w:pPr>
              <w:spacing w:after="0"/>
              <w:rPr>
                <w:rFonts w:eastAsia="Times New Roman"/>
                <w:color w:val="000000"/>
                <w:szCs w:val="20"/>
                <w:lang w:eastAsia="fr-FR"/>
              </w:rPr>
            </w:pPr>
            <w:r w:rsidRPr="00BA18F6">
              <w:rPr>
                <w:rFonts w:eastAsia="Times New Roman"/>
                <w:color w:val="000000"/>
                <w:szCs w:val="20"/>
                <w:lang w:eastAsia="fr-FR"/>
              </w:rPr>
              <w:t>3,000</w:t>
            </w:r>
          </w:p>
        </w:tc>
      </w:tr>
      <w:tr w:rsidR="00302BFE" w:rsidRPr="00BA18F6" w14:paraId="1D95F6F5" w14:textId="77777777" w:rsidTr="00243B15">
        <w:trPr>
          <w:trHeight w:val="288"/>
          <w:jc w:val="center"/>
        </w:trPr>
        <w:tc>
          <w:tcPr>
            <w:tcW w:w="2835" w:type="dxa"/>
            <w:tcBorders>
              <w:top w:val="single" w:sz="4" w:space="0" w:color="B4C6E7"/>
              <w:left w:val="single" w:sz="4" w:space="0" w:color="B4C6E7"/>
              <w:bottom w:val="single" w:sz="4" w:space="0" w:color="B4C6E7"/>
              <w:right w:val="single" w:sz="4" w:space="0" w:color="B4C6E7"/>
            </w:tcBorders>
            <w:shd w:val="clear" w:color="auto" w:fill="auto"/>
            <w:hideMark/>
          </w:tcPr>
          <w:p w14:paraId="4322BD70" w14:textId="77777777" w:rsidR="00302BFE" w:rsidRPr="00BA18F6" w:rsidRDefault="00302BFE" w:rsidP="00243B15">
            <w:pPr>
              <w:spacing w:after="0"/>
              <w:rPr>
                <w:rFonts w:eastAsia="Times New Roman"/>
                <w:b/>
                <w:bCs/>
                <w:color w:val="000000"/>
                <w:szCs w:val="20"/>
                <w:lang w:eastAsia="fr-FR"/>
              </w:rPr>
            </w:pPr>
            <w:r w:rsidRPr="00BA18F6">
              <w:rPr>
                <w:rFonts w:eastAsia="Calibri"/>
                <w:b/>
                <w:bCs/>
                <w:szCs w:val="20"/>
                <w:lang w:val="en-CA"/>
              </w:rPr>
              <w:t>Liane goïne</w:t>
            </w:r>
          </w:p>
        </w:tc>
        <w:tc>
          <w:tcPr>
            <w:tcW w:w="1894" w:type="dxa"/>
            <w:tcBorders>
              <w:top w:val="single" w:sz="4" w:space="0" w:color="B4C6E7"/>
              <w:left w:val="single" w:sz="4" w:space="0" w:color="B4C6E7"/>
              <w:bottom w:val="single" w:sz="4" w:space="0" w:color="B4C6E7"/>
              <w:right w:val="single" w:sz="4" w:space="0" w:color="B4C6E7"/>
            </w:tcBorders>
            <w:shd w:val="clear" w:color="auto" w:fill="auto"/>
            <w:hideMark/>
          </w:tcPr>
          <w:p w14:paraId="26CA3C65" w14:textId="77777777" w:rsidR="00302BFE" w:rsidRPr="00BA18F6" w:rsidRDefault="00302BFE" w:rsidP="00243B15">
            <w:pPr>
              <w:spacing w:after="0"/>
              <w:rPr>
                <w:rFonts w:eastAsia="Times New Roman"/>
                <w:color w:val="000000"/>
                <w:szCs w:val="20"/>
                <w:lang w:eastAsia="fr-FR"/>
              </w:rPr>
            </w:pPr>
            <w:r w:rsidRPr="00BA18F6">
              <w:rPr>
                <w:rFonts w:eastAsia="Times New Roman"/>
                <w:color w:val="000000"/>
                <w:szCs w:val="20"/>
                <w:lang w:eastAsia="fr-FR"/>
              </w:rPr>
              <w:t xml:space="preserve">Raw </w:t>
            </w:r>
          </w:p>
        </w:tc>
        <w:tc>
          <w:tcPr>
            <w:tcW w:w="3346" w:type="dxa"/>
            <w:tcBorders>
              <w:top w:val="single" w:sz="4" w:space="0" w:color="B4C6E7"/>
              <w:left w:val="single" w:sz="4" w:space="0" w:color="B4C6E7"/>
              <w:bottom w:val="single" w:sz="4" w:space="0" w:color="B4C6E7"/>
              <w:right w:val="single" w:sz="4" w:space="0" w:color="B4C6E7"/>
            </w:tcBorders>
            <w:shd w:val="clear" w:color="auto" w:fill="auto"/>
            <w:noWrap/>
            <w:hideMark/>
          </w:tcPr>
          <w:p w14:paraId="377BA5D7" w14:textId="77777777" w:rsidR="00302BFE" w:rsidRPr="00BA18F6" w:rsidRDefault="00302BFE" w:rsidP="00243B15">
            <w:pPr>
              <w:spacing w:after="0"/>
              <w:rPr>
                <w:rFonts w:eastAsia="Times New Roman"/>
                <w:color w:val="000000"/>
                <w:szCs w:val="20"/>
                <w:lang w:eastAsia="fr-FR"/>
              </w:rPr>
            </w:pPr>
            <w:r w:rsidRPr="00BA18F6">
              <w:rPr>
                <w:rFonts w:eastAsia="Times New Roman"/>
                <w:color w:val="000000"/>
                <w:szCs w:val="20"/>
                <w:lang w:eastAsia="fr-FR"/>
              </w:rPr>
              <w:t>2,250</w:t>
            </w:r>
          </w:p>
        </w:tc>
      </w:tr>
      <w:tr w:rsidR="00302BFE" w:rsidRPr="00BA18F6" w14:paraId="05B5793C" w14:textId="77777777" w:rsidTr="00243B15">
        <w:trPr>
          <w:trHeight w:val="288"/>
          <w:jc w:val="center"/>
        </w:trPr>
        <w:tc>
          <w:tcPr>
            <w:tcW w:w="2835" w:type="dxa"/>
            <w:tcBorders>
              <w:top w:val="single" w:sz="4" w:space="0" w:color="B4C6E7"/>
              <w:left w:val="single" w:sz="4" w:space="0" w:color="B4C6E7"/>
              <w:bottom w:val="single" w:sz="4" w:space="0" w:color="B4C6E7"/>
              <w:right w:val="single" w:sz="4" w:space="0" w:color="B4C6E7"/>
            </w:tcBorders>
            <w:shd w:val="clear" w:color="auto" w:fill="auto"/>
            <w:hideMark/>
          </w:tcPr>
          <w:p w14:paraId="1D2FE448" w14:textId="77777777" w:rsidR="00302BFE" w:rsidRPr="00BA18F6" w:rsidRDefault="00302BFE" w:rsidP="00243B15">
            <w:pPr>
              <w:spacing w:after="0"/>
              <w:rPr>
                <w:rFonts w:eastAsia="Times New Roman"/>
                <w:bCs/>
                <w:color w:val="000000"/>
                <w:szCs w:val="20"/>
                <w:lang w:eastAsia="fr-FR"/>
              </w:rPr>
            </w:pPr>
            <w:r w:rsidRPr="00BA18F6">
              <w:rPr>
                <w:rFonts w:eastAsia="Times New Roman"/>
                <w:b/>
                <w:bCs/>
                <w:color w:val="000000"/>
                <w:szCs w:val="20"/>
                <w:lang w:eastAsia="fr-FR"/>
              </w:rPr>
              <w:t>Balanites</w:t>
            </w:r>
          </w:p>
        </w:tc>
        <w:tc>
          <w:tcPr>
            <w:tcW w:w="1894" w:type="dxa"/>
            <w:tcBorders>
              <w:top w:val="single" w:sz="4" w:space="0" w:color="B4C6E7"/>
              <w:left w:val="single" w:sz="4" w:space="0" w:color="B4C6E7"/>
              <w:bottom w:val="single" w:sz="4" w:space="0" w:color="B4C6E7"/>
              <w:right w:val="single" w:sz="4" w:space="0" w:color="B4C6E7"/>
            </w:tcBorders>
            <w:shd w:val="clear" w:color="auto" w:fill="auto"/>
            <w:hideMark/>
          </w:tcPr>
          <w:p w14:paraId="51555860" w14:textId="77777777" w:rsidR="00302BFE" w:rsidRPr="00BA18F6" w:rsidRDefault="00302BFE" w:rsidP="00243B15">
            <w:pPr>
              <w:spacing w:after="0"/>
              <w:rPr>
                <w:rFonts w:eastAsia="Times New Roman"/>
                <w:color w:val="000000"/>
                <w:szCs w:val="20"/>
                <w:lang w:eastAsia="fr-FR"/>
              </w:rPr>
            </w:pPr>
            <w:r w:rsidRPr="00BA18F6">
              <w:rPr>
                <w:rFonts w:eastAsia="Times New Roman"/>
                <w:color w:val="000000"/>
                <w:szCs w:val="20"/>
                <w:lang w:eastAsia="fr-FR"/>
              </w:rPr>
              <w:t>Raw</w:t>
            </w:r>
          </w:p>
        </w:tc>
        <w:tc>
          <w:tcPr>
            <w:tcW w:w="3346" w:type="dxa"/>
            <w:tcBorders>
              <w:top w:val="single" w:sz="4" w:space="0" w:color="B4C6E7"/>
              <w:left w:val="single" w:sz="4" w:space="0" w:color="B4C6E7"/>
              <w:bottom w:val="single" w:sz="4" w:space="0" w:color="B4C6E7"/>
              <w:right w:val="single" w:sz="4" w:space="0" w:color="B4C6E7"/>
            </w:tcBorders>
            <w:shd w:val="clear" w:color="auto" w:fill="auto"/>
            <w:noWrap/>
            <w:hideMark/>
          </w:tcPr>
          <w:p w14:paraId="522C39E2" w14:textId="77777777" w:rsidR="00302BFE" w:rsidRPr="00BA18F6" w:rsidRDefault="00302BFE" w:rsidP="00243B15">
            <w:pPr>
              <w:spacing w:after="0"/>
              <w:rPr>
                <w:rFonts w:eastAsia="Times New Roman"/>
                <w:color w:val="000000"/>
                <w:szCs w:val="20"/>
                <w:lang w:eastAsia="fr-FR"/>
              </w:rPr>
            </w:pPr>
            <w:r w:rsidRPr="00BA18F6">
              <w:rPr>
                <w:rFonts w:eastAsia="Times New Roman"/>
                <w:color w:val="000000"/>
                <w:szCs w:val="20"/>
                <w:lang w:eastAsia="fr-FR"/>
              </w:rPr>
              <w:t>5,000</w:t>
            </w:r>
          </w:p>
        </w:tc>
      </w:tr>
      <w:tr w:rsidR="00302BFE" w:rsidRPr="00BA18F6" w14:paraId="35F12EF8" w14:textId="77777777" w:rsidTr="00243B15">
        <w:trPr>
          <w:trHeight w:val="288"/>
          <w:jc w:val="center"/>
        </w:trPr>
        <w:tc>
          <w:tcPr>
            <w:tcW w:w="2835" w:type="dxa"/>
            <w:tcBorders>
              <w:top w:val="single" w:sz="4" w:space="0" w:color="B4C6E7"/>
              <w:left w:val="single" w:sz="4" w:space="0" w:color="B4C6E7"/>
              <w:bottom w:val="single" w:sz="4" w:space="0" w:color="B4C6E7"/>
              <w:right w:val="single" w:sz="4" w:space="0" w:color="B4C6E7"/>
            </w:tcBorders>
            <w:shd w:val="clear" w:color="auto" w:fill="auto"/>
            <w:noWrap/>
            <w:hideMark/>
          </w:tcPr>
          <w:p w14:paraId="1DF89604" w14:textId="77777777" w:rsidR="00302BFE" w:rsidRPr="00BA18F6" w:rsidRDefault="00302BFE" w:rsidP="00243B15">
            <w:pPr>
              <w:spacing w:after="0"/>
              <w:rPr>
                <w:rFonts w:eastAsia="Times New Roman"/>
                <w:bCs/>
                <w:color w:val="000000"/>
                <w:szCs w:val="20"/>
                <w:lang w:eastAsia="fr-FR"/>
              </w:rPr>
            </w:pPr>
            <w:r w:rsidRPr="00BA18F6">
              <w:rPr>
                <w:rFonts w:eastAsia="Calibri"/>
                <w:b/>
                <w:bCs/>
                <w:szCs w:val="20"/>
                <w:lang w:val="en-CA"/>
              </w:rPr>
              <w:t>Néré flour</w:t>
            </w:r>
          </w:p>
        </w:tc>
        <w:tc>
          <w:tcPr>
            <w:tcW w:w="1894" w:type="dxa"/>
            <w:tcBorders>
              <w:top w:val="single" w:sz="4" w:space="0" w:color="B4C6E7"/>
              <w:left w:val="single" w:sz="4" w:space="0" w:color="B4C6E7"/>
              <w:bottom w:val="single" w:sz="4" w:space="0" w:color="B4C6E7"/>
              <w:right w:val="single" w:sz="4" w:space="0" w:color="B4C6E7"/>
            </w:tcBorders>
            <w:shd w:val="clear" w:color="auto" w:fill="auto"/>
            <w:hideMark/>
          </w:tcPr>
          <w:p w14:paraId="649FD92A" w14:textId="77777777" w:rsidR="00302BFE" w:rsidRPr="00BA18F6" w:rsidRDefault="00302BFE" w:rsidP="00243B15">
            <w:pPr>
              <w:spacing w:after="0"/>
              <w:rPr>
                <w:rFonts w:eastAsia="Times New Roman"/>
                <w:color w:val="000000"/>
                <w:szCs w:val="20"/>
                <w:lang w:eastAsia="fr-FR"/>
              </w:rPr>
            </w:pPr>
            <w:r w:rsidRPr="00BA18F6">
              <w:rPr>
                <w:rFonts w:eastAsia="Times New Roman"/>
                <w:color w:val="000000"/>
                <w:szCs w:val="20"/>
                <w:lang w:eastAsia="fr-FR"/>
              </w:rPr>
              <w:t>Processed</w:t>
            </w:r>
          </w:p>
        </w:tc>
        <w:tc>
          <w:tcPr>
            <w:tcW w:w="3346" w:type="dxa"/>
            <w:tcBorders>
              <w:top w:val="single" w:sz="4" w:space="0" w:color="B4C6E7"/>
              <w:left w:val="single" w:sz="4" w:space="0" w:color="B4C6E7"/>
              <w:bottom w:val="single" w:sz="4" w:space="0" w:color="B4C6E7"/>
              <w:right w:val="single" w:sz="4" w:space="0" w:color="B4C6E7"/>
            </w:tcBorders>
            <w:shd w:val="clear" w:color="auto" w:fill="auto"/>
            <w:noWrap/>
            <w:hideMark/>
          </w:tcPr>
          <w:p w14:paraId="635B058F" w14:textId="77777777" w:rsidR="00302BFE" w:rsidRPr="00BA18F6" w:rsidRDefault="00302BFE" w:rsidP="00243B15">
            <w:pPr>
              <w:spacing w:after="0"/>
              <w:rPr>
                <w:rFonts w:eastAsia="Times New Roman"/>
                <w:color w:val="000000"/>
                <w:szCs w:val="20"/>
                <w:lang w:eastAsia="fr-FR"/>
              </w:rPr>
            </w:pPr>
            <w:r w:rsidRPr="00BA18F6">
              <w:rPr>
                <w:rFonts w:eastAsia="Times New Roman"/>
                <w:color w:val="000000"/>
                <w:szCs w:val="20"/>
                <w:lang w:eastAsia="fr-FR"/>
              </w:rPr>
              <w:t>7,200</w:t>
            </w:r>
          </w:p>
        </w:tc>
      </w:tr>
    </w:tbl>
    <w:p w14:paraId="00A3A8C7" w14:textId="77777777" w:rsidR="00302BFE" w:rsidRPr="009F4594" w:rsidRDefault="00302BFE" w:rsidP="00302BFE">
      <w:pPr>
        <w:spacing w:before="120" w:after="120"/>
        <w:rPr>
          <w:rFonts w:eastAsia="Times New Roman"/>
          <w:szCs w:val="20"/>
          <w:lang w:val="en-CA" w:eastAsia="fr-FR"/>
        </w:rPr>
      </w:pPr>
      <w:r w:rsidRPr="009F4594">
        <w:rPr>
          <w:rFonts w:eastAsia="Times New Roman"/>
          <w:szCs w:val="20"/>
          <w:lang w:val="en-CA" w:eastAsia="fr-FR"/>
        </w:rPr>
        <w:t xml:space="preserve">The product availability period is 3 months on average. If the raw products are most often marketed during the collection periods, those processed (soumbala, shea butter, néré flour) are produced and marketed after the period of field work. The rest of the time, </w:t>
      </w:r>
      <w:r w:rsidRPr="009F4594">
        <w:rPr>
          <w:rFonts w:eastAsia="Times New Roman"/>
          <w:szCs w:val="20"/>
          <w:lang w:val="en-CA" w:eastAsia="fr-FR"/>
        </w:rPr>
        <w:lastRenderedPageBreak/>
        <w:t>starting in November, women work on family farms. The sale of raw products helps support the purchase of food during the lean season and to buy production inputs.</w:t>
      </w:r>
    </w:p>
    <w:p w14:paraId="218E951D" w14:textId="384DA112" w:rsidR="00302BFE" w:rsidRPr="00BA18F6" w:rsidRDefault="00302BFE" w:rsidP="00302BFE">
      <w:pPr>
        <w:spacing w:before="120" w:after="120"/>
        <w:rPr>
          <w:rFonts w:eastAsia="Times New Roman"/>
          <w:szCs w:val="20"/>
          <w:lang w:val="en-CA" w:eastAsia="fr-FR"/>
        </w:rPr>
      </w:pPr>
      <w:r w:rsidRPr="009F4594">
        <w:rPr>
          <w:rFonts w:eastAsia="Times New Roman"/>
          <w:szCs w:val="20"/>
          <w:lang w:val="en-CA" w:eastAsia="fr-FR"/>
        </w:rPr>
        <w:t>Processed products are produced by women's groups that are generally involved in several products (shea butter, shea butter soap, soumbala). Overall, processed products are those that generate the highest incomes. However, the means of transformation are artisanal (only a few groups that have benefited from the support of some NGOs have a semi-mechanized production system).</w:t>
      </w:r>
      <w:r>
        <w:rPr>
          <w:rFonts w:eastAsia="Times New Roman"/>
          <w:szCs w:val="20"/>
          <w:lang w:val="en-CA" w:eastAsia="fr-FR"/>
        </w:rPr>
        <w:t xml:space="preserve"> </w:t>
      </w:r>
      <w:r w:rsidRPr="009F4594">
        <w:rPr>
          <w:rFonts w:eastAsia="Times New Roman"/>
          <w:szCs w:val="20"/>
          <w:lang w:val="en-CA" w:eastAsia="fr-FR"/>
        </w:rPr>
        <w:t xml:space="preserve">With better equipment, the development of these IGAs could be more beneficial for women. In 2016, for example, the gross revenue from honey production was 1,650,000 </w:t>
      </w:r>
      <w:r w:rsidR="005E13EB">
        <w:rPr>
          <w:rFonts w:eastAsia="Times New Roman"/>
          <w:szCs w:val="20"/>
          <w:lang w:val="en-CA" w:eastAsia="fr-FR"/>
        </w:rPr>
        <w:t>CFA francs</w:t>
      </w:r>
      <w:r w:rsidRPr="009F4594">
        <w:rPr>
          <w:rFonts w:eastAsia="Times New Roman"/>
          <w:szCs w:val="20"/>
          <w:lang w:val="en-CA" w:eastAsia="fr-FR"/>
        </w:rPr>
        <w:t xml:space="preserve"> / year for 5 forest enterprises supported by the NGO Tree Aid in the honey sector (Pô commune), with an average income of 247,000 </w:t>
      </w:r>
      <w:r w:rsidR="005E13EB">
        <w:rPr>
          <w:rFonts w:eastAsia="Times New Roman"/>
          <w:szCs w:val="20"/>
          <w:lang w:val="en-CA" w:eastAsia="fr-FR"/>
        </w:rPr>
        <w:t>CFA francs</w:t>
      </w:r>
      <w:r w:rsidRPr="009F4594">
        <w:rPr>
          <w:rFonts w:eastAsia="Times New Roman"/>
          <w:szCs w:val="20"/>
          <w:lang w:val="en-CA" w:eastAsia="fr-FR"/>
        </w:rPr>
        <w:t xml:space="preserve"> / year for each member (Tree Aid, 2016), while in 2012 the average income per member was estimated at 7,860 </w:t>
      </w:r>
      <w:r w:rsidR="005E13EB">
        <w:rPr>
          <w:rFonts w:eastAsia="Times New Roman"/>
          <w:szCs w:val="20"/>
          <w:lang w:val="en-CA" w:eastAsia="fr-FR"/>
        </w:rPr>
        <w:t>CFA francs</w:t>
      </w:r>
      <w:r w:rsidRPr="009F4594">
        <w:rPr>
          <w:rFonts w:eastAsia="Times New Roman"/>
          <w:szCs w:val="20"/>
          <w:lang w:val="en-CA" w:eastAsia="fr-FR"/>
        </w:rPr>
        <w:t xml:space="preserve"> (Tree Aid, 2012). </w:t>
      </w:r>
      <w:r>
        <w:rPr>
          <w:rFonts w:eastAsia="Times New Roman"/>
          <w:szCs w:val="20"/>
          <w:lang w:val="en-CA" w:eastAsia="fr-FR"/>
        </w:rPr>
        <w:t>It must be n</w:t>
      </w:r>
      <w:r w:rsidRPr="009F4594">
        <w:rPr>
          <w:rFonts w:eastAsia="Times New Roman"/>
          <w:szCs w:val="20"/>
          <w:lang w:val="en-CA" w:eastAsia="fr-FR"/>
        </w:rPr>
        <w:t>ote</w:t>
      </w:r>
      <w:r>
        <w:rPr>
          <w:rFonts w:eastAsia="Times New Roman"/>
          <w:szCs w:val="20"/>
          <w:lang w:val="en-CA" w:eastAsia="fr-FR"/>
        </w:rPr>
        <w:t>d</w:t>
      </w:r>
      <w:r w:rsidRPr="009F4594">
        <w:rPr>
          <w:rFonts w:eastAsia="Times New Roman"/>
          <w:szCs w:val="20"/>
          <w:lang w:val="en-CA" w:eastAsia="fr-FR"/>
        </w:rPr>
        <w:t xml:space="preserve"> that in 2012, these enterprises did not yet benefit from substantial support.</w:t>
      </w:r>
    </w:p>
    <w:p w14:paraId="75FB4390" w14:textId="77777777" w:rsidR="00302BFE" w:rsidRPr="00BA18F6" w:rsidRDefault="00302BFE" w:rsidP="00302BFE">
      <w:pPr>
        <w:spacing w:before="120" w:after="120"/>
        <w:rPr>
          <w:rFonts w:eastAsia="Times New Roman"/>
          <w:szCs w:val="20"/>
          <w:lang w:val="en-CA" w:eastAsia="fr-FR"/>
        </w:rPr>
      </w:pPr>
      <w:bookmarkStart w:id="71" w:name="_Hlk535429263"/>
      <w:r w:rsidRPr="00F11563">
        <w:rPr>
          <w:rFonts w:eastAsia="Times New Roman"/>
          <w:szCs w:val="20"/>
          <w:lang w:val="en-CA" w:eastAsia="fr-FR"/>
        </w:rPr>
        <w:t xml:space="preserve">The products are mainly sold in local markets but exporters are also potential customers, especially for néré seeds, shea butter, shea kernels and tamarind. The fruits of the vine goïne supply the juice production units at the national level. Shea butter and almonds are exported to Europe, Asia and America. </w:t>
      </w:r>
      <w:bookmarkEnd w:id="71"/>
      <w:r w:rsidRPr="00F11563">
        <w:rPr>
          <w:rFonts w:eastAsia="Times New Roman"/>
          <w:szCs w:val="20"/>
          <w:lang w:val="en-CA" w:eastAsia="fr-FR"/>
        </w:rPr>
        <w:t>Burkina Faso was ranked the world's sixth largest exporter of shea almonds in 2016, with a market share of 4.5%. The main recipient countries were Denmark (67.7%), Ghana (20.2%) and France (6.9%)</w:t>
      </w:r>
      <w:r>
        <w:rPr>
          <w:rStyle w:val="Appelnotedebasdep"/>
          <w:rFonts w:eastAsia="Times New Roman"/>
          <w:szCs w:val="20"/>
          <w:lang w:val="en-CA" w:eastAsia="fr-FR"/>
        </w:rPr>
        <w:footnoteReference w:id="85"/>
      </w:r>
      <w:r w:rsidRPr="00F11563">
        <w:rPr>
          <w:rFonts w:eastAsia="Times New Roman"/>
          <w:szCs w:val="20"/>
          <w:lang w:val="en-CA" w:eastAsia="fr-FR"/>
        </w:rPr>
        <w:t xml:space="preserve">. In the same year, France was the main recipient country of Burkina shea butter with 38.1% of the quantities exported, followed by the Netherlands (24.8%), Malaysia (15.4%), the United Arab Emirates. Germany (12.8%) and Ghana (7.3%). </w:t>
      </w:r>
      <w:r w:rsidRPr="00F11563">
        <w:rPr>
          <w:szCs w:val="20"/>
          <w:lang w:val="en-CA"/>
        </w:rPr>
        <w:t>Tamarind is exported to the subregion (Senegal, Mali, Niger, Ivory Coast).</w:t>
      </w:r>
    </w:p>
    <w:p w14:paraId="435BE256" w14:textId="77777777" w:rsidR="00302BFE" w:rsidRPr="00F11563" w:rsidRDefault="00302BFE" w:rsidP="00302BFE">
      <w:pPr>
        <w:spacing w:before="120" w:after="120"/>
        <w:ind w:left="720"/>
        <w:rPr>
          <w:b/>
          <w:szCs w:val="20"/>
          <w:lang w:val="en-CA"/>
        </w:rPr>
      </w:pPr>
      <w:r w:rsidRPr="00F11563">
        <w:rPr>
          <w:b/>
          <w:szCs w:val="20"/>
          <w:lang w:val="en-CA"/>
        </w:rPr>
        <w:t>Framework for exploitation of N</w:t>
      </w:r>
      <w:r>
        <w:rPr>
          <w:b/>
          <w:szCs w:val="20"/>
          <w:lang w:val="en-CA"/>
        </w:rPr>
        <w:t>T</w:t>
      </w:r>
      <w:r w:rsidRPr="00F11563">
        <w:rPr>
          <w:b/>
          <w:szCs w:val="20"/>
          <w:lang w:val="en-CA"/>
        </w:rPr>
        <w:t>FPs by women in PONASI</w:t>
      </w:r>
    </w:p>
    <w:p w14:paraId="3706D895" w14:textId="77777777" w:rsidR="00302BFE" w:rsidRPr="00BA18F6" w:rsidRDefault="00302BFE" w:rsidP="00302BFE">
      <w:pPr>
        <w:spacing w:before="120" w:after="120"/>
        <w:rPr>
          <w:rFonts w:eastAsia="Calibri"/>
          <w:szCs w:val="20"/>
          <w:lang w:val="en-CA"/>
        </w:rPr>
      </w:pPr>
      <w:r w:rsidRPr="00F11563">
        <w:rPr>
          <w:szCs w:val="20"/>
          <w:lang w:val="en-CA"/>
        </w:rPr>
        <w:t>Despite this favorable environment, the exploitation and marketing activities of NWFPs by women in PONASI provide little benefit compared to the available potential.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5"/>
        <w:gridCol w:w="5258"/>
      </w:tblGrid>
      <w:tr w:rsidR="00302BFE" w:rsidRPr="00BA18F6" w14:paraId="1629332E" w14:textId="77777777" w:rsidTr="00243B15">
        <w:trPr>
          <w:jc w:val="center"/>
        </w:trPr>
        <w:tc>
          <w:tcPr>
            <w:tcW w:w="10303" w:type="dxa"/>
            <w:gridSpan w:val="2"/>
            <w:shd w:val="clear" w:color="auto" w:fill="auto"/>
          </w:tcPr>
          <w:p w14:paraId="1CAF8FB7" w14:textId="77777777" w:rsidR="00302BFE" w:rsidRPr="00BA18F6" w:rsidRDefault="00302BFE" w:rsidP="00243B15">
            <w:pPr>
              <w:spacing w:after="0"/>
              <w:jc w:val="center"/>
              <w:rPr>
                <w:b/>
                <w:sz w:val="18"/>
                <w:szCs w:val="18"/>
                <w:lang w:val="en-CA"/>
              </w:rPr>
            </w:pPr>
            <w:r w:rsidRPr="00BA18F6">
              <w:rPr>
                <w:b/>
                <w:sz w:val="18"/>
                <w:szCs w:val="18"/>
                <w:lang w:val="en-CA"/>
              </w:rPr>
              <w:t>Possibilities for development of sustainable and promising NWFP value chains</w:t>
            </w:r>
          </w:p>
        </w:tc>
      </w:tr>
      <w:tr w:rsidR="00302BFE" w:rsidRPr="00BA18F6" w14:paraId="01E7B994" w14:textId="77777777" w:rsidTr="00243B15">
        <w:trPr>
          <w:jc w:val="center"/>
        </w:trPr>
        <w:tc>
          <w:tcPr>
            <w:tcW w:w="5045" w:type="dxa"/>
            <w:shd w:val="clear" w:color="auto" w:fill="auto"/>
          </w:tcPr>
          <w:p w14:paraId="459D1B11" w14:textId="77777777" w:rsidR="00302BFE" w:rsidRPr="00BA18F6" w:rsidRDefault="00302BFE" w:rsidP="00243B15">
            <w:pPr>
              <w:spacing w:after="0"/>
              <w:rPr>
                <w:b/>
                <w:sz w:val="18"/>
                <w:szCs w:val="18"/>
                <w:lang w:val="en-CA"/>
              </w:rPr>
            </w:pPr>
            <w:r w:rsidRPr="00BA18F6">
              <w:rPr>
                <w:b/>
                <w:sz w:val="18"/>
                <w:szCs w:val="18"/>
                <w:lang w:val="en-CA"/>
              </w:rPr>
              <w:t>Favorable factors</w:t>
            </w:r>
          </w:p>
        </w:tc>
        <w:tc>
          <w:tcPr>
            <w:tcW w:w="5258" w:type="dxa"/>
            <w:shd w:val="clear" w:color="auto" w:fill="auto"/>
          </w:tcPr>
          <w:p w14:paraId="37242D39" w14:textId="77777777" w:rsidR="00302BFE" w:rsidRPr="00BA18F6" w:rsidRDefault="00302BFE" w:rsidP="00243B15">
            <w:pPr>
              <w:spacing w:after="0"/>
              <w:rPr>
                <w:b/>
                <w:sz w:val="18"/>
                <w:szCs w:val="18"/>
                <w:lang w:val="en-CA"/>
              </w:rPr>
            </w:pPr>
            <w:r w:rsidRPr="00BA18F6">
              <w:rPr>
                <w:b/>
                <w:sz w:val="18"/>
                <w:szCs w:val="18"/>
                <w:lang w:val="en-CA"/>
              </w:rPr>
              <w:t>Unfavorable factors</w:t>
            </w:r>
          </w:p>
        </w:tc>
      </w:tr>
      <w:tr w:rsidR="00302BFE" w:rsidRPr="00BA18F6" w14:paraId="0760CB98" w14:textId="77777777" w:rsidTr="00243B15">
        <w:trPr>
          <w:jc w:val="center"/>
        </w:trPr>
        <w:tc>
          <w:tcPr>
            <w:tcW w:w="5045" w:type="dxa"/>
            <w:shd w:val="clear" w:color="auto" w:fill="auto"/>
          </w:tcPr>
          <w:p w14:paraId="31C71C63" w14:textId="77777777" w:rsidR="00302BFE" w:rsidRPr="00BA18F6" w:rsidRDefault="00302BFE" w:rsidP="00243B15">
            <w:pPr>
              <w:spacing w:after="0"/>
              <w:rPr>
                <w:sz w:val="18"/>
                <w:szCs w:val="18"/>
                <w:lang w:val="en-CA"/>
              </w:rPr>
            </w:pPr>
            <w:r w:rsidRPr="00BA18F6">
              <w:rPr>
                <w:sz w:val="18"/>
                <w:szCs w:val="18"/>
                <w:lang w:val="en-CA"/>
              </w:rPr>
              <w:t>Existence of local forest resource management organizations</w:t>
            </w:r>
          </w:p>
        </w:tc>
        <w:tc>
          <w:tcPr>
            <w:tcW w:w="5258" w:type="dxa"/>
            <w:shd w:val="clear" w:color="auto" w:fill="auto"/>
          </w:tcPr>
          <w:p w14:paraId="3E98CF98" w14:textId="77777777" w:rsidR="00302BFE" w:rsidRPr="00BA18F6" w:rsidRDefault="00302BFE" w:rsidP="00243B15">
            <w:pPr>
              <w:spacing w:after="0"/>
              <w:rPr>
                <w:sz w:val="18"/>
                <w:szCs w:val="18"/>
                <w:lang w:val="en-CA"/>
              </w:rPr>
            </w:pPr>
            <w:r w:rsidRPr="00BA18F6">
              <w:rPr>
                <w:sz w:val="18"/>
                <w:szCs w:val="18"/>
                <w:lang w:val="en-CA"/>
              </w:rPr>
              <w:t xml:space="preserve">Low organization of women's groups </w:t>
            </w:r>
          </w:p>
        </w:tc>
      </w:tr>
      <w:tr w:rsidR="00302BFE" w:rsidRPr="00BA18F6" w14:paraId="286AB0FB" w14:textId="77777777" w:rsidTr="00243B15">
        <w:trPr>
          <w:jc w:val="center"/>
        </w:trPr>
        <w:tc>
          <w:tcPr>
            <w:tcW w:w="5045" w:type="dxa"/>
            <w:shd w:val="clear" w:color="auto" w:fill="auto"/>
          </w:tcPr>
          <w:p w14:paraId="276F43BD" w14:textId="77777777" w:rsidR="00302BFE" w:rsidRPr="00BA18F6" w:rsidRDefault="00302BFE" w:rsidP="00243B15">
            <w:pPr>
              <w:spacing w:after="0"/>
              <w:rPr>
                <w:sz w:val="18"/>
                <w:szCs w:val="18"/>
                <w:lang w:val="en-CA"/>
              </w:rPr>
            </w:pPr>
            <w:r w:rsidRPr="00BA18F6">
              <w:rPr>
                <w:sz w:val="18"/>
                <w:szCs w:val="18"/>
                <w:lang w:val="en-CA"/>
              </w:rPr>
              <w:t>Increasing demand for NTFPs at national, subregional and international levels</w:t>
            </w:r>
          </w:p>
        </w:tc>
        <w:tc>
          <w:tcPr>
            <w:tcW w:w="5258" w:type="dxa"/>
            <w:shd w:val="clear" w:color="auto" w:fill="auto"/>
          </w:tcPr>
          <w:p w14:paraId="72866201" w14:textId="77777777" w:rsidR="00302BFE" w:rsidRPr="00BA18F6" w:rsidRDefault="00302BFE" w:rsidP="00243B15">
            <w:pPr>
              <w:spacing w:after="0"/>
              <w:rPr>
                <w:sz w:val="18"/>
                <w:szCs w:val="18"/>
                <w:lang w:val="en-CA"/>
              </w:rPr>
            </w:pPr>
            <w:r w:rsidRPr="00BA18F6">
              <w:rPr>
                <w:sz w:val="18"/>
                <w:szCs w:val="18"/>
                <w:lang w:val="en-CA"/>
              </w:rPr>
              <w:t xml:space="preserve">Low market access </w:t>
            </w:r>
          </w:p>
        </w:tc>
      </w:tr>
      <w:tr w:rsidR="00302BFE" w:rsidRPr="00BA18F6" w14:paraId="4A7C8626" w14:textId="77777777" w:rsidTr="00243B15">
        <w:trPr>
          <w:jc w:val="center"/>
        </w:trPr>
        <w:tc>
          <w:tcPr>
            <w:tcW w:w="5045" w:type="dxa"/>
            <w:shd w:val="clear" w:color="auto" w:fill="auto"/>
          </w:tcPr>
          <w:p w14:paraId="20146753" w14:textId="77777777" w:rsidR="00302BFE" w:rsidRPr="00BA18F6" w:rsidRDefault="00302BFE" w:rsidP="00243B15">
            <w:pPr>
              <w:spacing w:after="0"/>
              <w:rPr>
                <w:sz w:val="18"/>
                <w:szCs w:val="18"/>
                <w:lang w:val="en-CA"/>
              </w:rPr>
            </w:pPr>
            <w:r w:rsidRPr="00BA18F6">
              <w:rPr>
                <w:sz w:val="18"/>
                <w:szCs w:val="18"/>
                <w:lang w:val="en-CA"/>
              </w:rPr>
              <w:t>Availability and accessibility of forest resources</w:t>
            </w:r>
          </w:p>
        </w:tc>
        <w:tc>
          <w:tcPr>
            <w:tcW w:w="5258" w:type="dxa"/>
            <w:shd w:val="clear" w:color="auto" w:fill="auto"/>
          </w:tcPr>
          <w:p w14:paraId="49CCA255" w14:textId="77777777" w:rsidR="00302BFE" w:rsidRPr="00BA18F6" w:rsidRDefault="00302BFE" w:rsidP="00243B15">
            <w:pPr>
              <w:spacing w:after="0"/>
              <w:rPr>
                <w:sz w:val="18"/>
                <w:szCs w:val="18"/>
                <w:lang w:val="en-CA"/>
              </w:rPr>
            </w:pPr>
            <w:r w:rsidRPr="00BA18F6">
              <w:rPr>
                <w:sz w:val="18"/>
                <w:szCs w:val="18"/>
                <w:lang w:val="en-CA"/>
              </w:rPr>
              <w:t>Inadequate management of the resource</w:t>
            </w:r>
          </w:p>
        </w:tc>
      </w:tr>
      <w:tr w:rsidR="00302BFE" w:rsidRPr="00BA18F6" w14:paraId="3994C930" w14:textId="77777777" w:rsidTr="00243B15">
        <w:trPr>
          <w:jc w:val="center"/>
        </w:trPr>
        <w:tc>
          <w:tcPr>
            <w:tcW w:w="5045" w:type="dxa"/>
            <w:shd w:val="clear" w:color="auto" w:fill="auto"/>
          </w:tcPr>
          <w:p w14:paraId="26332F88" w14:textId="77777777" w:rsidR="00302BFE" w:rsidRPr="00BA18F6" w:rsidRDefault="00302BFE" w:rsidP="00243B15">
            <w:pPr>
              <w:spacing w:after="0"/>
              <w:rPr>
                <w:sz w:val="18"/>
                <w:szCs w:val="18"/>
                <w:lang w:val="en-CA"/>
              </w:rPr>
            </w:pPr>
            <w:r w:rsidRPr="00BA18F6">
              <w:rPr>
                <w:sz w:val="18"/>
                <w:szCs w:val="18"/>
                <w:lang w:val="en-CA"/>
              </w:rPr>
              <w:t>Availability of technical and financial partners to support the development of NWFP value chains</w:t>
            </w:r>
          </w:p>
        </w:tc>
        <w:tc>
          <w:tcPr>
            <w:tcW w:w="5258" w:type="dxa"/>
            <w:shd w:val="clear" w:color="auto" w:fill="auto"/>
          </w:tcPr>
          <w:p w14:paraId="14B33213" w14:textId="77777777" w:rsidR="00302BFE" w:rsidRPr="00BA18F6" w:rsidRDefault="00302BFE" w:rsidP="00243B15">
            <w:pPr>
              <w:spacing w:after="0"/>
              <w:rPr>
                <w:sz w:val="18"/>
                <w:szCs w:val="18"/>
                <w:lang w:val="en-CA"/>
              </w:rPr>
            </w:pPr>
            <w:r w:rsidRPr="00BA18F6">
              <w:rPr>
                <w:sz w:val="18"/>
                <w:szCs w:val="18"/>
                <w:lang w:val="en-CA"/>
              </w:rPr>
              <w:t>Insufficient equipment and material for processing NTFPs</w:t>
            </w:r>
          </w:p>
        </w:tc>
      </w:tr>
      <w:tr w:rsidR="00302BFE" w:rsidRPr="00BA18F6" w14:paraId="3E563664" w14:textId="77777777" w:rsidTr="00243B15">
        <w:trPr>
          <w:jc w:val="center"/>
        </w:trPr>
        <w:tc>
          <w:tcPr>
            <w:tcW w:w="5045" w:type="dxa"/>
            <w:shd w:val="clear" w:color="auto" w:fill="auto"/>
          </w:tcPr>
          <w:p w14:paraId="1BF6F874" w14:textId="77777777" w:rsidR="00302BFE" w:rsidRPr="00BA18F6" w:rsidRDefault="00302BFE" w:rsidP="00243B15">
            <w:pPr>
              <w:spacing w:after="0"/>
              <w:rPr>
                <w:sz w:val="18"/>
                <w:szCs w:val="18"/>
                <w:lang w:val="en-CA"/>
              </w:rPr>
            </w:pPr>
            <w:r w:rsidRPr="00BA18F6">
              <w:rPr>
                <w:sz w:val="18"/>
                <w:szCs w:val="18"/>
                <w:lang w:val="en-CA"/>
              </w:rPr>
              <w:t>Favorable legislative and regulatory framework</w:t>
            </w:r>
          </w:p>
        </w:tc>
        <w:tc>
          <w:tcPr>
            <w:tcW w:w="5258" w:type="dxa"/>
            <w:shd w:val="clear" w:color="auto" w:fill="auto"/>
          </w:tcPr>
          <w:p w14:paraId="6CA62E97" w14:textId="77777777" w:rsidR="00302BFE" w:rsidRPr="00BA18F6" w:rsidRDefault="00302BFE" w:rsidP="00243B15">
            <w:pPr>
              <w:spacing w:after="0"/>
              <w:rPr>
                <w:sz w:val="18"/>
                <w:szCs w:val="18"/>
                <w:lang w:val="en-CA"/>
              </w:rPr>
            </w:pPr>
            <w:r w:rsidRPr="00BA18F6">
              <w:rPr>
                <w:sz w:val="18"/>
                <w:szCs w:val="18"/>
                <w:lang w:val="en-CA"/>
              </w:rPr>
              <w:t>Lack of commercial strategy</w:t>
            </w:r>
          </w:p>
        </w:tc>
      </w:tr>
      <w:tr w:rsidR="00302BFE" w:rsidRPr="00BA18F6" w14:paraId="478B7861" w14:textId="77777777" w:rsidTr="00243B15">
        <w:trPr>
          <w:jc w:val="center"/>
        </w:trPr>
        <w:tc>
          <w:tcPr>
            <w:tcW w:w="5045" w:type="dxa"/>
            <w:shd w:val="clear" w:color="auto" w:fill="auto"/>
          </w:tcPr>
          <w:p w14:paraId="0C716496" w14:textId="77777777" w:rsidR="00302BFE" w:rsidRPr="00BA18F6" w:rsidRDefault="00302BFE" w:rsidP="00243B15">
            <w:pPr>
              <w:spacing w:after="0"/>
              <w:rPr>
                <w:sz w:val="18"/>
                <w:szCs w:val="18"/>
                <w:lang w:val="en-CA"/>
              </w:rPr>
            </w:pPr>
            <w:r w:rsidRPr="00BA18F6">
              <w:rPr>
                <w:sz w:val="18"/>
                <w:szCs w:val="18"/>
                <w:lang w:val="en-CA"/>
              </w:rPr>
              <w:t>Favorable political environment</w:t>
            </w:r>
          </w:p>
        </w:tc>
        <w:tc>
          <w:tcPr>
            <w:tcW w:w="5258" w:type="dxa"/>
            <w:shd w:val="clear" w:color="auto" w:fill="auto"/>
          </w:tcPr>
          <w:p w14:paraId="752C8231" w14:textId="77777777" w:rsidR="00302BFE" w:rsidRPr="00BA18F6" w:rsidRDefault="00302BFE" w:rsidP="00243B15">
            <w:pPr>
              <w:spacing w:after="0"/>
              <w:rPr>
                <w:sz w:val="18"/>
                <w:szCs w:val="18"/>
                <w:lang w:val="en-CA"/>
              </w:rPr>
            </w:pPr>
            <w:r w:rsidRPr="00BA18F6">
              <w:rPr>
                <w:sz w:val="18"/>
                <w:szCs w:val="18"/>
                <w:lang w:val="en-CA"/>
              </w:rPr>
              <w:t>Low access to finance</w:t>
            </w:r>
          </w:p>
        </w:tc>
      </w:tr>
      <w:tr w:rsidR="00302BFE" w:rsidRPr="00BA18F6" w14:paraId="2F1E222A" w14:textId="77777777" w:rsidTr="00243B15">
        <w:trPr>
          <w:jc w:val="center"/>
        </w:trPr>
        <w:tc>
          <w:tcPr>
            <w:tcW w:w="5045" w:type="dxa"/>
            <w:shd w:val="clear" w:color="auto" w:fill="auto"/>
          </w:tcPr>
          <w:p w14:paraId="4C95EE57" w14:textId="77777777" w:rsidR="00302BFE" w:rsidRPr="00BA18F6" w:rsidRDefault="00302BFE" w:rsidP="00243B15">
            <w:pPr>
              <w:spacing w:after="0"/>
              <w:rPr>
                <w:sz w:val="18"/>
                <w:szCs w:val="18"/>
                <w:lang w:val="en-CA"/>
              </w:rPr>
            </w:pPr>
            <w:r w:rsidRPr="00BA18F6">
              <w:rPr>
                <w:sz w:val="18"/>
                <w:szCs w:val="18"/>
                <w:lang w:val="en-CA"/>
              </w:rPr>
              <w:t>Regulatory role ensured through the forest service</w:t>
            </w:r>
          </w:p>
        </w:tc>
        <w:tc>
          <w:tcPr>
            <w:tcW w:w="5258" w:type="dxa"/>
            <w:shd w:val="clear" w:color="auto" w:fill="auto"/>
          </w:tcPr>
          <w:p w14:paraId="2EE555ED" w14:textId="77777777" w:rsidR="00302BFE" w:rsidRPr="00BA18F6" w:rsidRDefault="00302BFE" w:rsidP="00243B15">
            <w:pPr>
              <w:spacing w:after="0"/>
              <w:rPr>
                <w:sz w:val="18"/>
                <w:szCs w:val="18"/>
                <w:lang w:val="en-CA"/>
              </w:rPr>
            </w:pPr>
            <w:r w:rsidRPr="00BA18F6">
              <w:rPr>
                <w:sz w:val="18"/>
                <w:szCs w:val="18"/>
                <w:lang w:val="en-CA"/>
              </w:rPr>
              <w:t>No processing of certain products such as goine liana and detarium</w:t>
            </w:r>
          </w:p>
        </w:tc>
      </w:tr>
      <w:tr w:rsidR="00302BFE" w:rsidRPr="00BA18F6" w14:paraId="1047A86E" w14:textId="77777777" w:rsidTr="00243B15">
        <w:trPr>
          <w:jc w:val="center"/>
        </w:trPr>
        <w:tc>
          <w:tcPr>
            <w:tcW w:w="5045" w:type="dxa"/>
            <w:shd w:val="clear" w:color="auto" w:fill="auto"/>
          </w:tcPr>
          <w:p w14:paraId="32118086" w14:textId="77777777" w:rsidR="00302BFE" w:rsidRPr="00BA18F6" w:rsidRDefault="00302BFE" w:rsidP="00243B15">
            <w:pPr>
              <w:spacing w:after="0"/>
              <w:rPr>
                <w:sz w:val="18"/>
                <w:szCs w:val="18"/>
                <w:lang w:val="en-CA"/>
              </w:rPr>
            </w:pPr>
          </w:p>
        </w:tc>
        <w:tc>
          <w:tcPr>
            <w:tcW w:w="5258" w:type="dxa"/>
            <w:shd w:val="clear" w:color="auto" w:fill="auto"/>
          </w:tcPr>
          <w:p w14:paraId="647C514B" w14:textId="77777777" w:rsidR="00302BFE" w:rsidRPr="00BA18F6" w:rsidRDefault="00302BFE" w:rsidP="00243B15">
            <w:pPr>
              <w:spacing w:after="0"/>
              <w:rPr>
                <w:sz w:val="18"/>
                <w:szCs w:val="18"/>
                <w:lang w:val="en-CA"/>
              </w:rPr>
            </w:pPr>
            <w:r w:rsidRPr="00BA18F6">
              <w:rPr>
                <w:sz w:val="18"/>
                <w:szCs w:val="18"/>
                <w:lang w:val="en-CA"/>
              </w:rPr>
              <w:t>Low local demand for raw products because local people use the same production areas as those who make it a commercial activity</w:t>
            </w:r>
          </w:p>
        </w:tc>
      </w:tr>
    </w:tbl>
    <w:p w14:paraId="281532F1" w14:textId="77777777" w:rsidR="00302BFE" w:rsidRPr="00BA18F6" w:rsidRDefault="00302BFE" w:rsidP="00302BFE">
      <w:pPr>
        <w:pStyle w:val="Lgende"/>
        <w:spacing w:before="120" w:after="120"/>
        <w:rPr>
          <w:rFonts w:ascii="Calibri" w:hAnsi="Calibri"/>
          <w:sz w:val="20"/>
          <w:szCs w:val="20"/>
          <w:lang w:val="en-CA"/>
        </w:rPr>
      </w:pPr>
      <w:bookmarkStart w:id="72" w:name="_Toc7382356"/>
      <w:r w:rsidRPr="00BA18F6">
        <w:rPr>
          <w:rFonts w:ascii="Calibri" w:hAnsi="Calibri"/>
          <w:sz w:val="20"/>
          <w:szCs w:val="20"/>
          <w:lang w:val="en-CA"/>
        </w:rPr>
        <w:t xml:space="preserve">Figure 2: </w:t>
      </w:r>
      <w:bookmarkEnd w:id="72"/>
      <w:r w:rsidRPr="00BA18F6">
        <w:rPr>
          <w:rFonts w:ascii="Calibri" w:hAnsi="Calibri"/>
          <w:sz w:val="20"/>
          <w:szCs w:val="20"/>
          <w:lang w:val="en-CA"/>
        </w:rPr>
        <w:t>Framework for exploitation of NWFPs by women in PONASI</w:t>
      </w:r>
    </w:p>
    <w:p w14:paraId="50501D1E" w14:textId="3370A02B" w:rsidR="00302BFE" w:rsidRPr="00BA18F6" w:rsidRDefault="00580E65" w:rsidP="00302BFE">
      <w:pPr>
        <w:spacing w:before="120" w:after="120"/>
        <w:jc w:val="center"/>
        <w:rPr>
          <w:szCs w:val="20"/>
        </w:rPr>
      </w:pPr>
      <w:r w:rsidRPr="00BB5BB0">
        <w:rPr>
          <w:rFonts w:eastAsia="Calibri"/>
          <w:szCs w:val="20"/>
          <w:lang w:val="fr-FR"/>
        </w:rPr>
        <w:object w:dxaOrig="8586" w:dyaOrig="6457" w14:anchorId="3CFE4CBB">
          <v:shape id="_x0000_i1026" type="#_x0000_t75" style="width:345pt;height:210.6pt" o:ole="">
            <v:imagedata r:id="rId44" o:title=""/>
          </v:shape>
          <o:OLEObject Type="Embed" ProgID="PowerPoint.Slide.12" ShapeID="_x0000_i1026" DrawAspect="Content" ObjectID="_1730550643" r:id="rId45"/>
        </w:object>
      </w:r>
    </w:p>
    <w:p w14:paraId="2C79F260" w14:textId="77777777" w:rsidR="00302BFE" w:rsidRDefault="00302BFE" w:rsidP="00302BFE">
      <w:pPr>
        <w:spacing w:before="120" w:after="120"/>
        <w:rPr>
          <w:szCs w:val="20"/>
          <w:lang w:val="en-CA"/>
        </w:rPr>
      </w:pPr>
      <w:r w:rsidRPr="00A8014E">
        <w:rPr>
          <w:szCs w:val="20"/>
          <w:lang w:val="en-CA"/>
        </w:rPr>
        <w:lastRenderedPageBreak/>
        <w:t>In villages supported by projects and structures such as Tree Aid, Natudev, Naturama, the Program of Economic Growth in the Agricultural Sector, and the Support Program for Agro-Sylvo-Pastoral Divisions, there is a better development of supervised groups. Despite the fact that the landscaped area of the PONASI complex offers development possibilities for products that can fit into niche markets, including organic, fair trade and fair trade, overall, few women's organizations have benefited from structural support actions by NGOs, projects and programs.</w:t>
      </w:r>
    </w:p>
    <w:p w14:paraId="5D54049F" w14:textId="77777777" w:rsidR="00302BFE" w:rsidRPr="00BA18F6" w:rsidRDefault="00302BFE" w:rsidP="00302BFE">
      <w:pPr>
        <w:spacing w:before="120" w:after="120"/>
        <w:rPr>
          <w:rFonts w:eastAsia="Calibri"/>
          <w:b/>
          <w:szCs w:val="20"/>
          <w:lang w:val="en-CA"/>
        </w:rPr>
      </w:pPr>
      <w:r w:rsidRPr="00A8014E">
        <w:rPr>
          <w:b/>
          <w:szCs w:val="20"/>
          <w:lang w:val="en-CA"/>
        </w:rPr>
        <w:t>ACCESS / CONTROL / INFORMATION / DECISION MAKING</w:t>
      </w:r>
    </w:p>
    <w:p w14:paraId="7B4226FE" w14:textId="77777777" w:rsidR="00302BFE" w:rsidRPr="00BA18F6" w:rsidRDefault="00302BFE" w:rsidP="00302BFE">
      <w:pPr>
        <w:spacing w:before="120" w:after="120"/>
        <w:rPr>
          <w:b/>
          <w:szCs w:val="20"/>
          <w:lang w:val="en-CA"/>
        </w:rPr>
      </w:pPr>
      <w:r w:rsidRPr="00A8014E">
        <w:rPr>
          <w:b/>
          <w:szCs w:val="20"/>
          <w:lang w:val="en-CA"/>
        </w:rPr>
        <w:t>Women and land in the PONASI complex</w:t>
      </w:r>
    </w:p>
    <w:p w14:paraId="33DED94F" w14:textId="77777777" w:rsidR="00302BFE" w:rsidRPr="00BA18F6" w:rsidRDefault="00302BFE" w:rsidP="00302BFE">
      <w:pPr>
        <w:spacing w:before="120" w:after="120"/>
        <w:rPr>
          <w:szCs w:val="20"/>
          <w:lang w:val="en-CA"/>
        </w:rPr>
      </w:pPr>
      <w:r w:rsidRPr="00A8014E">
        <w:rPr>
          <w:szCs w:val="20"/>
          <w:lang w:val="en-CA"/>
        </w:rPr>
        <w:t>The laws and regulations on land management in Burkina Faso (including the land and land reform and the law 034 on rural land tenure), promote access to land for all social strata, regardless of gender or socio-professional categories.</w:t>
      </w:r>
    </w:p>
    <w:p w14:paraId="07436912" w14:textId="77777777" w:rsidR="00302BFE" w:rsidRPr="00BA18F6" w:rsidRDefault="00302BFE" w:rsidP="00302BFE">
      <w:pPr>
        <w:spacing w:before="120" w:after="120"/>
        <w:rPr>
          <w:szCs w:val="20"/>
          <w:lang w:val="en-CA"/>
        </w:rPr>
      </w:pPr>
      <w:r w:rsidRPr="00366041">
        <w:rPr>
          <w:szCs w:val="20"/>
          <w:lang w:val="en-CA"/>
        </w:rPr>
        <w:t xml:space="preserve">In PONASI, women generally benefit from land plots granted by the head of household on household land. </w:t>
      </w:r>
      <w:r w:rsidRPr="00622449">
        <w:rPr>
          <w:szCs w:val="20"/>
          <w:lang w:val="en-CA"/>
        </w:rPr>
        <w:t>These plots exceptionally reach a hectare.</w:t>
      </w:r>
      <w:r>
        <w:rPr>
          <w:szCs w:val="20"/>
          <w:lang w:val="en-CA"/>
        </w:rPr>
        <w:t xml:space="preserve"> </w:t>
      </w:r>
      <w:r w:rsidRPr="00366041">
        <w:rPr>
          <w:szCs w:val="20"/>
          <w:lang w:val="en-CA"/>
        </w:rPr>
        <w:t>However, since the household's fields are a priority, they do not have enough time to devote to their own field. Promoting improved seeds, with a short production cycle, could be promoted to women to allow them to harvest earlier and have more time to devote to household cropping fields.</w:t>
      </w:r>
      <w:r w:rsidRPr="00BA18F6">
        <w:rPr>
          <w:szCs w:val="20"/>
          <w:lang w:val="en-CA"/>
        </w:rPr>
        <w:t xml:space="preserve"> </w:t>
      </w:r>
    </w:p>
    <w:p w14:paraId="402281F3" w14:textId="77777777" w:rsidR="00302BFE" w:rsidRPr="00811F2C" w:rsidRDefault="00302BFE" w:rsidP="00302BFE">
      <w:pPr>
        <w:spacing w:before="120" w:after="120"/>
        <w:rPr>
          <w:szCs w:val="20"/>
          <w:lang w:val="en-CA"/>
        </w:rPr>
      </w:pPr>
      <w:r w:rsidRPr="00811F2C">
        <w:rPr>
          <w:szCs w:val="20"/>
          <w:lang w:val="en-CA"/>
        </w:rPr>
        <w:t>At local level, the issue of access to land is not particularly acute for women in different communities. Indeed, according to the system of social representation that characterizes the communities, the well-being of the woman, and therefore of the household, is the responsibility of the man as head of the household. What is brought home by the woman is perceived as a "plus" except for the vegetables that she is required to cultivate for cooking. In the village of Mantiongo, a producer says that a man who would allow his wife to be the sole owner of land would be giving him freedom, in other words, to mean rejection. This point of view is shared in virtually all the communities visited. From this perspective, it is understandable that women are not eager to claim land for their own use and that they do not complain about the plot of land they have.</w:t>
      </w:r>
    </w:p>
    <w:p w14:paraId="06E019C7" w14:textId="77777777" w:rsidR="00302BFE" w:rsidRPr="00BA18F6" w:rsidRDefault="00302BFE" w:rsidP="00302BFE">
      <w:pPr>
        <w:spacing w:before="120" w:after="120"/>
        <w:rPr>
          <w:szCs w:val="20"/>
          <w:lang w:val="en-CA"/>
        </w:rPr>
      </w:pPr>
      <w:r w:rsidRPr="00B4585F">
        <w:rPr>
          <w:szCs w:val="20"/>
          <w:lang w:val="en-CA" w:eastAsia="en-GB"/>
        </w:rPr>
        <w:t>If general accessibility to land by women is not seen as a particular problem, it is different for sites developed for the purpose of intensive production. It was not possible to obtain data at the commune level, but in the Central-East region in 2016, women accounted for 40% of beneficiaries who had access to developed lowlands, compared with 60% for men. In the South</w:t>
      </w:r>
      <w:r>
        <w:rPr>
          <w:szCs w:val="20"/>
          <w:lang w:val="en-CA" w:eastAsia="en-GB"/>
        </w:rPr>
        <w:t>-</w:t>
      </w:r>
      <w:r w:rsidRPr="00B4585F">
        <w:rPr>
          <w:szCs w:val="20"/>
          <w:lang w:val="en-CA" w:eastAsia="en-GB"/>
        </w:rPr>
        <w:t>Central region, this distribution was 35% women and 65% men. In the Center-West region in 2016, only 27.8 irrigated perimeters were allocated to women compared to 72.2% to men.</w:t>
      </w:r>
    </w:p>
    <w:p w14:paraId="5E499A3E" w14:textId="77777777" w:rsidR="00302BFE" w:rsidRPr="00BA18F6" w:rsidRDefault="00302BFE" w:rsidP="00302BFE">
      <w:pPr>
        <w:spacing w:before="120" w:after="120"/>
        <w:rPr>
          <w:szCs w:val="20"/>
          <w:lang w:val="en-CA" w:eastAsia="en-GB"/>
        </w:rPr>
      </w:pPr>
      <w:r w:rsidRPr="00B4585F">
        <w:rPr>
          <w:szCs w:val="20"/>
          <w:lang w:val="en-CA" w:eastAsia="en-GB"/>
        </w:rPr>
        <w:t>In addition, the factors of production are not controlled by women and are often inaccessible to them. For example, production techniques and technologies (CES/DRS techniques, improved seeds) are less practiced in female-owned plots. Plows, carts and other production tools when they are available in the household, are mostly used on family farms.</w:t>
      </w:r>
    </w:p>
    <w:p w14:paraId="48AF2A25" w14:textId="77777777" w:rsidR="00302BFE" w:rsidRPr="00BA18F6" w:rsidRDefault="00302BFE" w:rsidP="00302BFE">
      <w:pPr>
        <w:pStyle w:val="Rappniebepuce1"/>
        <w:numPr>
          <w:ilvl w:val="0"/>
          <w:numId w:val="0"/>
        </w:numPr>
        <w:tabs>
          <w:tab w:val="left" w:pos="708"/>
        </w:tabs>
        <w:spacing w:before="120" w:after="120" w:line="240" w:lineRule="auto"/>
        <w:rPr>
          <w:rFonts w:ascii="Calibri" w:hAnsi="Calibri"/>
          <w:sz w:val="20"/>
          <w:szCs w:val="20"/>
          <w:lang w:val="en-CA"/>
        </w:rPr>
      </w:pPr>
      <w:r w:rsidRPr="00BA18F6">
        <w:rPr>
          <w:rFonts w:ascii="Calibri" w:hAnsi="Calibri"/>
          <w:sz w:val="20"/>
          <w:szCs w:val="20"/>
          <w:lang w:val="en-CA"/>
        </w:rPr>
        <w:t>All in all, if women can not be fully mobilized in the winter season because of work on family farms, it would be important to focus on creating jobs for them in the dry season, a period during which rural populations are generally underemployed or even idle.</w:t>
      </w:r>
    </w:p>
    <w:p w14:paraId="02F09D52" w14:textId="77777777" w:rsidR="00302BFE" w:rsidRPr="00BA18F6" w:rsidRDefault="00302BFE" w:rsidP="00302BFE">
      <w:pPr>
        <w:spacing w:before="120" w:after="120"/>
        <w:rPr>
          <w:szCs w:val="20"/>
          <w:lang w:val="en-CA" w:eastAsia="en-GB"/>
        </w:rPr>
      </w:pPr>
      <w:r w:rsidRPr="00B4585F">
        <w:rPr>
          <w:szCs w:val="20"/>
          <w:lang w:val="en-CA" w:eastAsia="en-GB"/>
        </w:rPr>
        <w:t>Under these conditions, support could be directed towards the development of forest value chains where they are leaders, and the support to women's cooperatives for the acquisition of plots of land (dedicated to cooperatives), that will be developed and exploited by them. The crops to be promoted will be cash crops (such as sesame, rice, fonio). Revenues from these productions could be used to invest in other production sites and will also serve as a base for micro-credits between them.</w:t>
      </w:r>
    </w:p>
    <w:p w14:paraId="63CFF807" w14:textId="77777777" w:rsidR="00302BFE" w:rsidRPr="00BA18F6" w:rsidRDefault="00302BFE" w:rsidP="00302BFE">
      <w:pPr>
        <w:spacing w:before="120" w:after="120"/>
        <w:ind w:left="720"/>
        <w:rPr>
          <w:b/>
          <w:szCs w:val="20"/>
          <w:lang w:val="en-CA"/>
        </w:rPr>
      </w:pPr>
      <w:r w:rsidRPr="00771352">
        <w:rPr>
          <w:b/>
          <w:szCs w:val="20"/>
          <w:lang w:val="en-CA"/>
        </w:rPr>
        <w:t>Women and access to forest resources</w:t>
      </w:r>
    </w:p>
    <w:p w14:paraId="3C6B08F3" w14:textId="77777777" w:rsidR="00302BFE" w:rsidRPr="00BA18F6" w:rsidRDefault="00302BFE" w:rsidP="00302BFE">
      <w:pPr>
        <w:spacing w:before="120" w:after="120"/>
        <w:rPr>
          <w:szCs w:val="20"/>
          <w:lang w:val="en-CA"/>
        </w:rPr>
      </w:pPr>
      <w:r w:rsidRPr="00771352">
        <w:rPr>
          <w:szCs w:val="20"/>
          <w:lang w:val="en-CA"/>
        </w:rPr>
        <w:t>Women in PONASI benefit from the ecosystem services provided by forest resources in protected areas, village and communal forests and in other wooded areas (fields and fallows). Access to resources in fields and fallows is free for members of the household owner. In the field of others, the access requires the authorization of the owner. In areas rented for agricultural production or in the case of sharecropping, fruit trees are under the control of the landowner. However, women and men do not have equitable access to certain species even if they are located in the family field, especially shea and néré whose products processed and marketed generate higher incomes.</w:t>
      </w:r>
    </w:p>
    <w:p w14:paraId="71432C0A" w14:textId="77777777" w:rsidR="00302BFE" w:rsidRPr="00E753C7" w:rsidRDefault="00302BFE" w:rsidP="00302BFE">
      <w:pPr>
        <w:spacing w:before="120" w:after="120"/>
        <w:rPr>
          <w:szCs w:val="20"/>
          <w:lang w:val="en-CA"/>
        </w:rPr>
      </w:pPr>
      <w:r w:rsidRPr="00E753C7">
        <w:rPr>
          <w:szCs w:val="20"/>
          <w:lang w:val="en-CA"/>
        </w:rPr>
        <w:t>In protected areas, only the use of products for subsistence purposes is permitted; exploitation for commercial purposes is prohibited. In other wooded areas (parks, village forests, communal forests), access is free for any user. However, management and exploitation rules regulate accessibility in areas managed by forest management groups. This is the case, for example, of the buffer zones of Bourou and Kampala in the PNKT (commune of Pô) and the buffer zones of Barsé and Soulougré in the commune of Nobéré whose support for management is provided by the project " Local Forest Resources Governance "implemented by the NGO Tree Aid.</w:t>
      </w:r>
      <w:r w:rsidRPr="00BA18F6">
        <w:rPr>
          <w:szCs w:val="20"/>
          <w:lang w:val="en-CA"/>
        </w:rPr>
        <w:t xml:space="preserve"> </w:t>
      </w:r>
      <w:r w:rsidRPr="00E753C7">
        <w:rPr>
          <w:szCs w:val="20"/>
          <w:lang w:val="en-CA"/>
        </w:rPr>
        <w:t>In summary, the collection sites to which access is the least restrictive for women are the fields and fallow but the majority (73%) of collections of NTFPs take place in the fields. Being privately owned, these places are better controlled and more accessible. Outside the fields, village hunting areas (12%) and village forests (10%) are also important sites for collecting NTFPs. Other sites used to a lesser extent are fallow (4%) and forest in Kaboré-Tambi National Park (1%).</w:t>
      </w:r>
    </w:p>
    <w:p w14:paraId="38FD6CB3" w14:textId="77777777" w:rsidR="00302BFE" w:rsidRPr="00BA18F6" w:rsidRDefault="00302BFE" w:rsidP="00302BFE">
      <w:pPr>
        <w:widowControl w:val="0"/>
        <w:autoSpaceDE w:val="0"/>
        <w:autoSpaceDN w:val="0"/>
        <w:adjustRightInd w:val="0"/>
        <w:spacing w:before="120" w:after="120"/>
        <w:textAlignment w:val="baseline"/>
        <w:rPr>
          <w:szCs w:val="20"/>
          <w:lang w:val="en-CA"/>
        </w:rPr>
      </w:pPr>
      <w:r w:rsidRPr="00816E8E">
        <w:rPr>
          <w:szCs w:val="20"/>
          <w:lang w:val="en-CA"/>
        </w:rPr>
        <w:lastRenderedPageBreak/>
        <w:t xml:space="preserve">Resources providing NTFPs are therefore primarily exploited on family farms, whereas in these areas they are less diversified. In the fields, these resources are more diversified, such as shea, néré, baobab and kapokier with red flowers. In addition to these species, forests and other wooded areas abound with other NTFP species such as goine vine, balanites, </w:t>
      </w:r>
      <w:r w:rsidRPr="00816E8E">
        <w:rPr>
          <w:i/>
          <w:szCs w:val="20"/>
          <w:lang w:val="en-CA"/>
        </w:rPr>
        <w:t>Acacia macrostachya</w:t>
      </w:r>
      <w:r w:rsidRPr="00816E8E">
        <w:rPr>
          <w:szCs w:val="20"/>
          <w:lang w:val="en-CA"/>
        </w:rPr>
        <w:t>, tamarind, detarium, grapes. In addition to edible NTFPs, plants for traditional medicine are used much more often by women to care for children.</w:t>
      </w:r>
    </w:p>
    <w:p w14:paraId="6D3FEC9C" w14:textId="77777777" w:rsidR="00302BFE" w:rsidRPr="00BA18F6" w:rsidRDefault="00302BFE" w:rsidP="00302BFE">
      <w:pPr>
        <w:widowControl w:val="0"/>
        <w:autoSpaceDE w:val="0"/>
        <w:autoSpaceDN w:val="0"/>
        <w:adjustRightInd w:val="0"/>
        <w:spacing w:before="120" w:after="120"/>
        <w:textAlignment w:val="baseline"/>
        <w:rPr>
          <w:szCs w:val="20"/>
          <w:lang w:val="en-CA"/>
        </w:rPr>
      </w:pPr>
      <w:r w:rsidRPr="00771352">
        <w:rPr>
          <w:szCs w:val="20"/>
          <w:lang w:val="en-CA"/>
        </w:rPr>
        <w:t>Due to the progress of the agricultural front (extension of agricultural fields, creation of new fields), production areas of NTFPs are becoming more and more distant and it is often necessary to travel long distances to obtain them. This situation is detrimental to women who no longer feel safe because they are then exposed to all types of dangers (assaults of all kinds), in addition to significant distances to travel.</w:t>
      </w:r>
    </w:p>
    <w:p w14:paraId="486517DB" w14:textId="77777777" w:rsidR="00302BFE" w:rsidRPr="00BA18F6" w:rsidRDefault="00302BFE" w:rsidP="00302BFE">
      <w:pPr>
        <w:spacing w:before="120" w:after="120"/>
        <w:ind w:left="720"/>
        <w:rPr>
          <w:b/>
          <w:szCs w:val="20"/>
          <w:lang w:val="en-CA"/>
        </w:rPr>
      </w:pPr>
      <w:r w:rsidRPr="00E51B3A">
        <w:rPr>
          <w:b/>
          <w:szCs w:val="20"/>
          <w:lang w:val="en-CA"/>
        </w:rPr>
        <w:t>Women, information, and contribution to forest resource management</w:t>
      </w:r>
    </w:p>
    <w:p w14:paraId="6950F7B6" w14:textId="77777777" w:rsidR="00302BFE" w:rsidRPr="00BA18F6" w:rsidRDefault="00302BFE" w:rsidP="00302BFE">
      <w:pPr>
        <w:spacing w:before="120" w:after="120"/>
        <w:rPr>
          <w:szCs w:val="20"/>
          <w:lang w:val="en-CA"/>
        </w:rPr>
      </w:pPr>
      <w:r w:rsidRPr="00E51B3A">
        <w:rPr>
          <w:szCs w:val="20"/>
          <w:lang w:val="en-CA"/>
        </w:rPr>
        <w:t>The communication strategies of some partners to transmit information in the PONASI complex usually involve information meetings, posters / posters, signs and local radios. The people interviewed, however, noted the limitations of these strategies because of (i) illiteracy, especially at the level of women for whom written documents are often inaccessible, and (ii) organization of information meetings and dissemination of radio broadcasts at times when women are not available, so that they reach only a small proportion of women in the communities.</w:t>
      </w:r>
    </w:p>
    <w:p w14:paraId="623BE213" w14:textId="77777777" w:rsidR="00302BFE" w:rsidRPr="00BA18F6" w:rsidRDefault="00302BFE" w:rsidP="00302BFE">
      <w:pPr>
        <w:spacing w:before="120" w:after="120"/>
        <w:rPr>
          <w:rFonts w:eastAsia="Calibri"/>
          <w:szCs w:val="20"/>
          <w:lang w:val="en-CA"/>
        </w:rPr>
      </w:pPr>
      <w:r w:rsidRPr="00314086">
        <w:rPr>
          <w:szCs w:val="20"/>
          <w:lang w:val="en-CA"/>
        </w:rPr>
        <w:t>In addition to management by the forest administration, forest management initiatives are undertaken at the local level by the communities. Management rules are developed by consensus by forest management groups and customary and religious authorities, including village chiefs and land chiefs, to regulate access to resources. The prohibitions concern: (i) the cutting of green wood; (ii) the excessive removal of plant roots; (iii) ignition of fire in or near forests; iv) picking immature fruits; (v) the exploitation of trees in sacred woods; vi) grazing in forests.</w:t>
      </w:r>
    </w:p>
    <w:p w14:paraId="2E5CCE64" w14:textId="4ACEF73B" w:rsidR="00302BFE" w:rsidRDefault="00302BFE" w:rsidP="00302BFE">
      <w:pPr>
        <w:autoSpaceDE w:val="0"/>
        <w:autoSpaceDN w:val="0"/>
        <w:adjustRightInd w:val="0"/>
        <w:spacing w:before="120" w:after="120"/>
        <w:rPr>
          <w:szCs w:val="20"/>
          <w:lang w:val="en-CA"/>
        </w:rPr>
      </w:pPr>
      <w:r w:rsidRPr="00E51B3A">
        <w:rPr>
          <w:szCs w:val="20"/>
          <w:lang w:val="en-CA" w:eastAsia="fr-FR"/>
        </w:rPr>
        <w:t>The authorities responsible for compliance are, in order of importance, the village chief / chief of land, the forest service, the forest management organizations, the monitoring committee, the Village Development Committees.</w:t>
      </w:r>
      <w:r>
        <w:rPr>
          <w:szCs w:val="20"/>
          <w:lang w:val="en-CA" w:eastAsia="fr-FR"/>
        </w:rPr>
        <w:t xml:space="preserve"> </w:t>
      </w:r>
      <w:r w:rsidRPr="00E51B3A">
        <w:rPr>
          <w:szCs w:val="20"/>
          <w:lang w:val="en-CA" w:eastAsia="fr-FR"/>
        </w:rPr>
        <w:t>Violations of the rules are subject to the following sanctions: warning, blame, prohibition of access to the forest, payment of fines ranging from 2000 to 50</w:t>
      </w:r>
      <w:r>
        <w:rPr>
          <w:szCs w:val="20"/>
          <w:lang w:val="en-CA" w:eastAsia="fr-FR"/>
        </w:rPr>
        <w:t>,</w:t>
      </w:r>
      <w:r w:rsidRPr="00E51B3A">
        <w:rPr>
          <w:szCs w:val="20"/>
          <w:lang w:val="en-CA" w:eastAsia="fr-FR"/>
        </w:rPr>
        <w:t xml:space="preserve">000 </w:t>
      </w:r>
      <w:r w:rsidR="005E13EB">
        <w:rPr>
          <w:szCs w:val="20"/>
          <w:lang w:val="en-CA" w:eastAsia="fr-FR"/>
        </w:rPr>
        <w:t>CFA francs</w:t>
      </w:r>
      <w:r>
        <w:rPr>
          <w:rStyle w:val="Appelnotedebasdep"/>
          <w:szCs w:val="20"/>
          <w:lang w:val="en-CA" w:eastAsia="fr-FR"/>
        </w:rPr>
        <w:footnoteReference w:id="86"/>
      </w:r>
      <w:r w:rsidR="005E13EB">
        <w:rPr>
          <w:szCs w:val="20"/>
          <w:lang w:val="en-CA" w:eastAsia="fr-FR"/>
        </w:rPr>
        <w:t xml:space="preserve"> (approx. 3.40 to 85 US$). </w:t>
      </w:r>
      <w:r w:rsidRPr="00E51B3A">
        <w:rPr>
          <w:bCs/>
          <w:szCs w:val="20"/>
          <w:lang w:val="en-CA" w:eastAsia="fr-FR"/>
        </w:rPr>
        <w:t>However, these rules are poorly respected and the abusive exploitation of forest resources (</w:t>
      </w:r>
      <w:r w:rsidR="005E13EB" w:rsidRPr="00E51B3A">
        <w:rPr>
          <w:bCs/>
          <w:szCs w:val="20"/>
          <w:lang w:val="en-CA" w:eastAsia="fr-FR"/>
        </w:rPr>
        <w:t>e.g.</w:t>
      </w:r>
      <w:r w:rsidRPr="00E51B3A">
        <w:rPr>
          <w:bCs/>
          <w:szCs w:val="20"/>
          <w:lang w:val="en-CA" w:eastAsia="fr-FR"/>
        </w:rPr>
        <w:t xml:space="preserve"> overcutting of green wood, harvesting of immature fruits, grazing of animals in protected areas) persists in the PONASI complex. Women explain these practices by the high dependence of communities on forest resources. Indeed, the population uses these forests to generate the necessary financial resources to meet basic needs (housing, clothing, schooling of children, health care).</w:t>
      </w:r>
      <w:r>
        <w:rPr>
          <w:bCs/>
          <w:szCs w:val="20"/>
          <w:lang w:val="en-CA" w:eastAsia="fr-FR"/>
        </w:rPr>
        <w:t xml:space="preserve"> </w:t>
      </w:r>
      <w:r w:rsidRPr="00E51B3A">
        <w:rPr>
          <w:szCs w:val="20"/>
          <w:lang w:val="en-CA"/>
        </w:rPr>
        <w:t>According to a woman from Kapori: "It's better to fly in the forest than to covet the good of others!</w:t>
      </w:r>
      <w:r>
        <w:rPr>
          <w:szCs w:val="20"/>
          <w:lang w:val="en-CA"/>
        </w:rPr>
        <w:t>”</w:t>
      </w:r>
      <w:r w:rsidRPr="00E51B3A">
        <w:rPr>
          <w:szCs w:val="20"/>
          <w:lang w:val="en-CA"/>
        </w:rPr>
        <w:t xml:space="preserve"> Other harmful practices include inappropriate harvesting techniques (pruning of branches, inappropriate removal of bark and roots) and continued clearing of new land for agricultural expansion that contributes to the destruction of vegetation cover.</w:t>
      </w:r>
      <w:r>
        <w:rPr>
          <w:szCs w:val="20"/>
          <w:lang w:val="en-CA"/>
        </w:rPr>
        <w:t xml:space="preserve"> </w:t>
      </w:r>
    </w:p>
    <w:p w14:paraId="3966A3DA" w14:textId="02BD55F6" w:rsidR="00302BFE" w:rsidRPr="00BA18F6" w:rsidRDefault="00302BFE" w:rsidP="00302BFE">
      <w:pPr>
        <w:autoSpaceDE w:val="0"/>
        <w:autoSpaceDN w:val="0"/>
        <w:adjustRightInd w:val="0"/>
        <w:spacing w:before="120" w:after="120"/>
        <w:rPr>
          <w:color w:val="000000"/>
          <w:szCs w:val="20"/>
          <w:lang w:val="en-CA"/>
        </w:rPr>
      </w:pPr>
      <w:r w:rsidRPr="00A740A4">
        <w:rPr>
          <w:szCs w:val="20"/>
          <w:lang w:val="en-CA"/>
        </w:rPr>
        <w:t>Unsustainable practices mainly attributable to women are the collection of immature fruits (shea, néré), the pruning of the branches of certain species such as kapokier, baobab and grapes for the collection of fruits or leaves for food or commercial purposes and inappropriate removal of bark and roots from medicinal plants. These practices take place when they are not able to access the desired products.</w:t>
      </w:r>
      <w:r>
        <w:rPr>
          <w:szCs w:val="20"/>
          <w:lang w:val="en-CA"/>
        </w:rPr>
        <w:t xml:space="preserve"> </w:t>
      </w:r>
      <w:r w:rsidRPr="00E8571F">
        <w:rPr>
          <w:szCs w:val="20"/>
          <w:lang w:val="en-CA"/>
        </w:rPr>
        <w:t>However, they play an active role in the rational management of natural resources through community actions, especially reforestation, especially with the support of development partners. Through this support, community-based organizations that involve women have been established or revitalized for the protection and sound management of some forests.</w:t>
      </w:r>
      <w:r w:rsidRPr="00BA18F6">
        <w:rPr>
          <w:szCs w:val="20"/>
          <w:lang w:val="en-CA"/>
        </w:rPr>
        <w:t xml:space="preserve"> </w:t>
      </w:r>
      <w:r w:rsidRPr="00E8571F">
        <w:rPr>
          <w:szCs w:val="20"/>
          <w:lang w:val="en-CA"/>
        </w:rPr>
        <w:t>In the commune of Po, the NGO Tree Aid helped organize the actors around the buffer zones of Bourou and Kampala in the PNKT as well as in the commune of Nobéré around the buffer zones of Barsé and Soulougré. Organized into forest management groups, these organizations have created specific commissions for better management of these entities (commissions for reforestation, bushfires, firewood, NWFP management, monitoring, and conflict management).</w:t>
      </w:r>
    </w:p>
    <w:p w14:paraId="31A8ADA6" w14:textId="77777777" w:rsidR="00302BFE" w:rsidRPr="00BA18F6" w:rsidRDefault="00302BFE" w:rsidP="00302BFE">
      <w:pPr>
        <w:spacing w:before="120" w:after="120"/>
        <w:rPr>
          <w:szCs w:val="20"/>
          <w:lang w:val="en-CA"/>
        </w:rPr>
      </w:pPr>
      <w:r w:rsidRPr="00E8571F">
        <w:rPr>
          <w:szCs w:val="20"/>
          <w:lang w:val="en-CA"/>
        </w:rPr>
        <w:t>Management tools have been developed, including local management agreements revised in local management charters and forest management and management plans accompanied by action plans. Forest management groups have received training in environmental protection, particularly in the areas of tree maintenance, reforestation and assisted natural regeneration.</w:t>
      </w:r>
      <w:r>
        <w:rPr>
          <w:szCs w:val="20"/>
          <w:lang w:val="en-CA"/>
        </w:rPr>
        <w:t xml:space="preserve"> </w:t>
      </w:r>
    </w:p>
    <w:p w14:paraId="2F1A8FC6" w14:textId="77777777" w:rsidR="00302BFE" w:rsidRPr="00BA18F6" w:rsidRDefault="00302BFE" w:rsidP="00302BFE">
      <w:pPr>
        <w:spacing w:before="120" w:after="120"/>
        <w:rPr>
          <w:szCs w:val="20"/>
          <w:lang w:val="en-CA"/>
        </w:rPr>
      </w:pPr>
      <w:r w:rsidRPr="00E8571F">
        <w:rPr>
          <w:szCs w:val="20"/>
          <w:lang w:val="en-CA"/>
        </w:rPr>
        <w:t xml:space="preserve">However, although women are present on these committees (24 out of 66 members of the Bourou and Kampala Buffer Zone Management Committees are women), they are poorly represented in the governing bodies of committees and other forest management structures. </w:t>
      </w:r>
      <w:r w:rsidRPr="00E51B3A">
        <w:rPr>
          <w:szCs w:val="20"/>
          <w:lang w:val="en-CA"/>
        </w:rPr>
        <w:t>When they are members of these structures, they occupy positions considered to be of little importance (cash, assistant positions). This situation does not favor a real inclusion of women in the management and local governance of forest resources and the taking into account of their priorities. In view of the strong mobilization they demonstrate in community forest protection activities, according to the opinions gathered in the field, their presence in decision-making bodies should be strengthened.</w:t>
      </w:r>
    </w:p>
    <w:p w14:paraId="2EFD53E8" w14:textId="77777777" w:rsidR="00580E65" w:rsidRDefault="00580E65">
      <w:pPr>
        <w:spacing w:after="160" w:line="259" w:lineRule="auto"/>
        <w:jc w:val="left"/>
        <w:rPr>
          <w:b/>
          <w:szCs w:val="20"/>
          <w:lang w:val="en-CA"/>
        </w:rPr>
      </w:pPr>
      <w:r>
        <w:rPr>
          <w:b/>
          <w:szCs w:val="20"/>
          <w:lang w:val="en-CA"/>
        </w:rPr>
        <w:br w:type="page"/>
      </w:r>
    </w:p>
    <w:p w14:paraId="290A69EF" w14:textId="349764A8" w:rsidR="00302BFE" w:rsidRPr="00BA18F6" w:rsidRDefault="00302BFE" w:rsidP="00302BFE">
      <w:pPr>
        <w:spacing w:before="120" w:after="120"/>
        <w:rPr>
          <w:rFonts w:eastAsia="Calibri"/>
          <w:b/>
          <w:szCs w:val="20"/>
          <w:lang w:val="en-CA"/>
        </w:rPr>
      </w:pPr>
      <w:r>
        <w:rPr>
          <w:b/>
          <w:szCs w:val="20"/>
          <w:lang w:val="en-CA"/>
        </w:rPr>
        <w:lastRenderedPageBreak/>
        <w:t>G</w:t>
      </w:r>
      <w:r w:rsidRPr="00816E8E">
        <w:rPr>
          <w:b/>
          <w:szCs w:val="20"/>
          <w:lang w:val="en-CA"/>
        </w:rPr>
        <w:t>ENDER</w:t>
      </w:r>
      <w:r>
        <w:rPr>
          <w:b/>
          <w:szCs w:val="20"/>
          <w:lang w:val="en-CA"/>
        </w:rPr>
        <w:t>-</w:t>
      </w:r>
      <w:r w:rsidRPr="00816E8E">
        <w:rPr>
          <w:b/>
          <w:szCs w:val="20"/>
          <w:lang w:val="en-CA"/>
        </w:rPr>
        <w:t xml:space="preserve">RELATED </w:t>
      </w:r>
      <w:r>
        <w:rPr>
          <w:b/>
          <w:szCs w:val="20"/>
          <w:lang w:val="en-CA"/>
        </w:rPr>
        <w:t>C</w:t>
      </w:r>
      <w:r w:rsidRPr="00816E8E">
        <w:rPr>
          <w:b/>
          <w:szCs w:val="20"/>
          <w:lang w:val="en-CA"/>
        </w:rPr>
        <w:t>HALLENGES I</w:t>
      </w:r>
      <w:r>
        <w:rPr>
          <w:b/>
          <w:szCs w:val="20"/>
          <w:lang w:val="en-CA"/>
        </w:rPr>
        <w:t>N THE PONASI LANDSCAPE</w:t>
      </w:r>
    </w:p>
    <w:p w14:paraId="0F8EC8D9" w14:textId="77777777" w:rsidR="00302BFE" w:rsidRPr="00BA18F6" w:rsidRDefault="00302BFE" w:rsidP="00302BFE">
      <w:pPr>
        <w:spacing w:before="120" w:after="120"/>
        <w:rPr>
          <w:rFonts w:eastAsia="Times New Roman"/>
          <w:szCs w:val="20"/>
          <w:lang w:val="en-CA" w:eastAsia="fr-FR"/>
        </w:rPr>
      </w:pPr>
      <w:r w:rsidRPr="00314086">
        <w:rPr>
          <w:rFonts w:eastAsia="Times New Roman"/>
          <w:szCs w:val="20"/>
          <w:lang w:val="en-CA" w:eastAsia="fr-FR"/>
        </w:rPr>
        <w:t>The gender-related challenges facing the PONASI complex today are related to (i) a low level of women's organization into profitable economic units; (ii) poor control over factors of production by women; (iii) the low representation of women in decision-making positions in the structures responsible for managing forest resources; iv) a low level of understanding of gender in the project area.</w:t>
      </w:r>
    </w:p>
    <w:p w14:paraId="73BBEA32" w14:textId="77777777" w:rsidR="00302BFE" w:rsidRPr="00BA18F6" w:rsidRDefault="00302BFE" w:rsidP="00302BFE">
      <w:pPr>
        <w:spacing w:before="120" w:after="120"/>
        <w:rPr>
          <w:rFonts w:eastAsia="Times New Roman"/>
          <w:szCs w:val="20"/>
          <w:lang w:val="en-CA" w:eastAsia="fr-FR"/>
        </w:rPr>
      </w:pPr>
      <w:r w:rsidRPr="00314086">
        <w:rPr>
          <w:rFonts w:eastAsia="Times New Roman"/>
          <w:szCs w:val="20"/>
          <w:lang w:val="en-CA" w:eastAsia="fr-FR"/>
        </w:rPr>
        <w:t>Possible solutions include: (i) the organization of women in cooperatives that maintain profitable economic units capable of creating more benefits through the exploitation of forest resources; ii) contribution to the development of enterprises producing and processing niche products (organic, bio-equitable products, etc.) around forest areas managed by cooperatives; iii) the acceptance of women in positions of responsibility and decision-making in forest management structures; iv) avoidance of the globalizing approach that hides disparities and inequalities between men and women; v) awareness of gender bias towards women's success (in general terms, a woman who generates more income than her husband will no longer be subject to it). These solutions are integrated into each component of the project.</w:t>
      </w:r>
    </w:p>
    <w:p w14:paraId="0B14774E" w14:textId="77777777" w:rsidR="00302BFE" w:rsidRPr="00BA18F6" w:rsidRDefault="00302BFE" w:rsidP="00302BFE">
      <w:pPr>
        <w:pStyle w:val="Lgende"/>
        <w:spacing w:before="120" w:after="120"/>
        <w:jc w:val="both"/>
        <w:rPr>
          <w:rFonts w:ascii="Calibri" w:eastAsia="Times New Roman" w:hAnsi="Calibri"/>
          <w:b w:val="0"/>
          <w:bCs w:val="0"/>
          <w:sz w:val="20"/>
          <w:szCs w:val="20"/>
          <w:lang w:val="en-CA" w:eastAsia="fr-FR"/>
        </w:rPr>
      </w:pPr>
      <w:r w:rsidRPr="00BA18F6">
        <w:rPr>
          <w:rFonts w:ascii="Calibri" w:eastAsia="Times New Roman" w:hAnsi="Calibri"/>
          <w:b w:val="0"/>
          <w:bCs w:val="0"/>
          <w:sz w:val="20"/>
          <w:szCs w:val="20"/>
          <w:lang w:val="en-CA" w:eastAsia="fr-FR"/>
        </w:rPr>
        <w:t>In summary, the factors influencing the external context of the project's gender approach can be summarized in the table below.</w:t>
      </w:r>
    </w:p>
    <w:p w14:paraId="2B31979F" w14:textId="77777777" w:rsidR="00302BFE" w:rsidRPr="00BA18F6" w:rsidRDefault="00302BFE" w:rsidP="00302BFE">
      <w:pPr>
        <w:pStyle w:val="Lgende"/>
        <w:spacing w:before="120" w:after="120"/>
        <w:rPr>
          <w:rFonts w:ascii="Calibri" w:eastAsia="Calibri" w:hAnsi="Calibri"/>
          <w:color w:val="4472C4"/>
          <w:sz w:val="20"/>
          <w:szCs w:val="20"/>
          <w:lang w:val="en-CA" w:eastAsia="fr-FR"/>
        </w:rPr>
      </w:pPr>
      <w:bookmarkStart w:id="73" w:name="_Toc7382333"/>
      <w:r w:rsidRPr="00BA18F6">
        <w:rPr>
          <w:rFonts w:ascii="Calibri" w:hAnsi="Calibri"/>
          <w:sz w:val="20"/>
          <w:szCs w:val="20"/>
          <w:lang w:val="en-CA" w:eastAsia="fr-FR"/>
        </w:rPr>
        <w:t xml:space="preserve">Table </w:t>
      </w:r>
      <w:r w:rsidRPr="00BA18F6">
        <w:rPr>
          <w:rFonts w:ascii="Calibri" w:hAnsi="Calibri"/>
          <w:sz w:val="20"/>
          <w:szCs w:val="20"/>
          <w:lang w:val="en-CA"/>
        </w:rPr>
        <w:t>2</w:t>
      </w:r>
      <w:r w:rsidRPr="00BA18F6">
        <w:rPr>
          <w:rFonts w:ascii="Calibri" w:hAnsi="Calibri"/>
          <w:sz w:val="20"/>
          <w:szCs w:val="20"/>
          <w:lang w:val="en-CA" w:eastAsia="fr-FR"/>
        </w:rPr>
        <w:t xml:space="preserve">: </w:t>
      </w:r>
      <w:bookmarkEnd w:id="73"/>
      <w:r w:rsidRPr="00BA18F6">
        <w:rPr>
          <w:rFonts w:ascii="Calibri" w:hAnsi="Calibri"/>
          <w:sz w:val="20"/>
          <w:szCs w:val="20"/>
          <w:lang w:val="en-CA" w:eastAsia="fr-FR"/>
        </w:rPr>
        <w:t>Factors influencing adoption of a gender-sensitive approach</w:t>
      </w:r>
      <w:r>
        <w:rPr>
          <w:rFonts w:ascii="Calibri" w:hAnsi="Calibri"/>
          <w:sz w:val="20"/>
          <w:szCs w:val="20"/>
          <w:lang w:val="en-CA" w:eastAsia="fr-FR"/>
        </w:rPr>
        <w:t xml:space="preserve"> in the </w:t>
      </w:r>
      <w:r w:rsidRPr="00BA18F6">
        <w:rPr>
          <w:rFonts w:ascii="Calibri" w:hAnsi="Calibri"/>
          <w:sz w:val="20"/>
          <w:szCs w:val="20"/>
          <w:lang w:val="en-CA" w:eastAsia="fr-FR"/>
        </w:rPr>
        <w:t>project (</w:t>
      </w:r>
      <w:r w:rsidRPr="00BA18F6">
        <w:rPr>
          <w:rFonts w:ascii="Calibri" w:eastAsia="Times New Roman" w:hAnsi="Calibri"/>
          <w:b w:val="0"/>
          <w:sz w:val="20"/>
          <w:szCs w:val="20"/>
          <w:lang w:val="en-CA" w:eastAsia="fr-FR"/>
        </w:rPr>
        <w:t>adapted from Tree Aid 2018)</w:t>
      </w:r>
    </w:p>
    <w:tbl>
      <w:tblPr>
        <w:tblW w:w="10632" w:type="dxa"/>
        <w:jc w:val="center"/>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firstRow="1" w:lastRow="0" w:firstColumn="1" w:lastColumn="0" w:noHBand="0" w:noVBand="1"/>
      </w:tblPr>
      <w:tblGrid>
        <w:gridCol w:w="1647"/>
        <w:gridCol w:w="4444"/>
        <w:gridCol w:w="4541"/>
      </w:tblGrid>
      <w:tr w:rsidR="00302BFE" w:rsidRPr="00BA18F6" w14:paraId="206BE317" w14:textId="77777777" w:rsidTr="00243B15">
        <w:trPr>
          <w:tblHeader/>
          <w:jc w:val="center"/>
        </w:trPr>
        <w:tc>
          <w:tcPr>
            <w:tcW w:w="1647" w:type="dxa"/>
            <w:tcBorders>
              <w:top w:val="single" w:sz="4" w:space="0" w:color="C5E0B3"/>
              <w:left w:val="single" w:sz="4" w:space="0" w:color="C5E0B3"/>
              <w:bottom w:val="single" w:sz="12" w:space="0" w:color="A8D08D"/>
              <w:right w:val="single" w:sz="4" w:space="0" w:color="C5E0B3"/>
            </w:tcBorders>
            <w:shd w:val="clear" w:color="auto" w:fill="auto"/>
            <w:vAlign w:val="center"/>
            <w:hideMark/>
          </w:tcPr>
          <w:p w14:paraId="28926FA7" w14:textId="77777777" w:rsidR="00302BFE" w:rsidRPr="00BA18F6" w:rsidRDefault="00302BFE" w:rsidP="00243B15">
            <w:pPr>
              <w:spacing w:after="0"/>
              <w:rPr>
                <w:rFonts w:eastAsia="Times New Roman"/>
                <w:b/>
                <w:bCs/>
                <w:sz w:val="18"/>
                <w:szCs w:val="18"/>
                <w:lang w:eastAsia="fr-FR"/>
              </w:rPr>
            </w:pPr>
            <w:r w:rsidRPr="00BA18F6">
              <w:rPr>
                <w:rFonts w:eastAsia="Times New Roman"/>
                <w:b/>
                <w:bCs/>
                <w:sz w:val="18"/>
                <w:szCs w:val="18"/>
                <w:lang w:eastAsia="fr-FR"/>
              </w:rPr>
              <w:t xml:space="preserve">Factors </w:t>
            </w:r>
          </w:p>
        </w:tc>
        <w:tc>
          <w:tcPr>
            <w:tcW w:w="4444" w:type="dxa"/>
            <w:tcBorders>
              <w:top w:val="single" w:sz="4" w:space="0" w:color="C5E0B3"/>
              <w:left w:val="single" w:sz="4" w:space="0" w:color="C5E0B3"/>
              <w:bottom w:val="single" w:sz="12" w:space="0" w:color="A8D08D"/>
              <w:right w:val="single" w:sz="4" w:space="0" w:color="C5E0B3"/>
            </w:tcBorders>
            <w:shd w:val="clear" w:color="auto" w:fill="auto"/>
            <w:vAlign w:val="center"/>
            <w:hideMark/>
          </w:tcPr>
          <w:p w14:paraId="14D218B0" w14:textId="77777777" w:rsidR="00302BFE" w:rsidRPr="00BA18F6" w:rsidRDefault="00302BFE" w:rsidP="00243B15">
            <w:pPr>
              <w:spacing w:after="0"/>
              <w:rPr>
                <w:rFonts w:eastAsia="Times New Roman"/>
                <w:b/>
                <w:bCs/>
                <w:sz w:val="18"/>
                <w:szCs w:val="18"/>
                <w:lang w:eastAsia="fr-FR"/>
              </w:rPr>
            </w:pPr>
            <w:r w:rsidRPr="00BA18F6">
              <w:rPr>
                <w:rFonts w:eastAsia="Times New Roman"/>
                <w:b/>
                <w:bCs/>
                <w:sz w:val="18"/>
                <w:szCs w:val="18"/>
                <w:lang w:eastAsia="fr-FR"/>
              </w:rPr>
              <w:t>Favorable to gender sensitivity</w:t>
            </w:r>
          </w:p>
        </w:tc>
        <w:tc>
          <w:tcPr>
            <w:tcW w:w="4541" w:type="dxa"/>
            <w:tcBorders>
              <w:top w:val="single" w:sz="4" w:space="0" w:color="C5E0B3"/>
              <w:left w:val="single" w:sz="4" w:space="0" w:color="C5E0B3"/>
              <w:bottom w:val="single" w:sz="12" w:space="0" w:color="A8D08D"/>
              <w:right w:val="single" w:sz="4" w:space="0" w:color="C5E0B3"/>
            </w:tcBorders>
            <w:shd w:val="clear" w:color="auto" w:fill="auto"/>
            <w:vAlign w:val="center"/>
            <w:hideMark/>
          </w:tcPr>
          <w:p w14:paraId="5B09C232" w14:textId="77777777" w:rsidR="00302BFE" w:rsidRPr="00BA18F6" w:rsidRDefault="00302BFE" w:rsidP="00243B15">
            <w:pPr>
              <w:spacing w:after="0"/>
              <w:rPr>
                <w:rFonts w:eastAsia="Times New Roman"/>
                <w:b/>
                <w:bCs/>
                <w:sz w:val="18"/>
                <w:szCs w:val="18"/>
                <w:lang w:eastAsia="fr-FR"/>
              </w:rPr>
            </w:pPr>
            <w:r w:rsidRPr="00BA18F6">
              <w:rPr>
                <w:rFonts w:eastAsia="Times New Roman"/>
                <w:b/>
                <w:bCs/>
                <w:sz w:val="18"/>
                <w:szCs w:val="18"/>
                <w:lang w:eastAsia="fr-FR"/>
              </w:rPr>
              <w:t>Unfavorable to gender sensitivity</w:t>
            </w:r>
          </w:p>
        </w:tc>
      </w:tr>
      <w:tr w:rsidR="00302BFE" w:rsidRPr="00BA18F6" w14:paraId="5286A5A5" w14:textId="77777777" w:rsidTr="00243B15">
        <w:trPr>
          <w:jc w:val="center"/>
        </w:trPr>
        <w:tc>
          <w:tcPr>
            <w:tcW w:w="1647" w:type="dxa"/>
            <w:tcBorders>
              <w:top w:val="single" w:sz="4" w:space="0" w:color="C5E0B3"/>
              <w:left w:val="single" w:sz="4" w:space="0" w:color="C5E0B3"/>
              <w:bottom w:val="single" w:sz="4" w:space="0" w:color="C5E0B3"/>
              <w:right w:val="single" w:sz="4" w:space="0" w:color="C5E0B3"/>
            </w:tcBorders>
            <w:shd w:val="clear" w:color="auto" w:fill="auto"/>
            <w:vAlign w:val="center"/>
            <w:hideMark/>
          </w:tcPr>
          <w:p w14:paraId="65F3A48C" w14:textId="77777777" w:rsidR="00302BFE" w:rsidRPr="00BA18F6" w:rsidRDefault="00302BFE" w:rsidP="00243B15">
            <w:pPr>
              <w:spacing w:after="0"/>
              <w:rPr>
                <w:rFonts w:eastAsia="Times New Roman"/>
                <w:b/>
                <w:bCs/>
                <w:sz w:val="18"/>
                <w:szCs w:val="18"/>
                <w:lang w:eastAsia="fr-FR"/>
              </w:rPr>
            </w:pPr>
            <w:r w:rsidRPr="00BA18F6">
              <w:rPr>
                <w:rFonts w:eastAsia="Times New Roman"/>
                <w:b/>
                <w:bCs/>
                <w:sz w:val="18"/>
                <w:szCs w:val="18"/>
                <w:lang w:eastAsia="fr-FR"/>
              </w:rPr>
              <w:t xml:space="preserve">Political </w:t>
            </w:r>
          </w:p>
        </w:tc>
        <w:tc>
          <w:tcPr>
            <w:tcW w:w="4444" w:type="dxa"/>
            <w:tcBorders>
              <w:top w:val="single" w:sz="4" w:space="0" w:color="C5E0B3"/>
              <w:left w:val="single" w:sz="4" w:space="0" w:color="C5E0B3"/>
              <w:bottom w:val="single" w:sz="4" w:space="0" w:color="C5E0B3"/>
              <w:right w:val="single" w:sz="4" w:space="0" w:color="C5E0B3"/>
            </w:tcBorders>
            <w:shd w:val="clear" w:color="auto" w:fill="auto"/>
            <w:vAlign w:val="center"/>
            <w:hideMark/>
          </w:tcPr>
          <w:p w14:paraId="4EFC7BBB" w14:textId="77777777" w:rsidR="00302BFE" w:rsidRPr="00BA18F6" w:rsidRDefault="00302BFE" w:rsidP="00243B15">
            <w:pPr>
              <w:pStyle w:val="Paragraphedeliste"/>
              <w:ind w:left="0"/>
              <w:jc w:val="both"/>
              <w:rPr>
                <w:rFonts w:ascii="Calibri" w:eastAsia="Times New Roman" w:hAnsi="Calibri"/>
                <w:sz w:val="18"/>
                <w:szCs w:val="18"/>
                <w:lang w:val="en-CA" w:eastAsia="fr-FR"/>
              </w:rPr>
            </w:pPr>
            <w:r w:rsidRPr="00BA18F6">
              <w:rPr>
                <w:rFonts w:ascii="Calibri" w:eastAsia="Times New Roman" w:hAnsi="Calibri"/>
                <w:sz w:val="18"/>
                <w:szCs w:val="18"/>
                <w:lang w:val="en-CA" w:eastAsia="fr-FR"/>
              </w:rPr>
              <w:t xml:space="preserve">Existence of a national gender policy (PNG); </w:t>
            </w:r>
          </w:p>
          <w:p w14:paraId="47238BDA" w14:textId="77777777" w:rsidR="00302BFE" w:rsidRPr="00BA18F6" w:rsidRDefault="00302BFE" w:rsidP="00243B15">
            <w:pPr>
              <w:pStyle w:val="Paragraphedeliste"/>
              <w:ind w:left="0"/>
              <w:jc w:val="both"/>
              <w:rPr>
                <w:rFonts w:ascii="Calibri" w:eastAsia="Times New Roman" w:hAnsi="Calibri"/>
                <w:sz w:val="18"/>
                <w:szCs w:val="18"/>
                <w:lang w:val="en-CA" w:eastAsia="fr-FR"/>
              </w:rPr>
            </w:pPr>
            <w:r w:rsidRPr="00BA18F6">
              <w:rPr>
                <w:rFonts w:ascii="Calibri" w:eastAsia="Times New Roman" w:hAnsi="Calibri"/>
                <w:sz w:val="18"/>
                <w:szCs w:val="18"/>
                <w:lang w:val="en-CA" w:eastAsia="fr-FR"/>
              </w:rPr>
              <w:t xml:space="preserve">Existence of a National Council for the Promotion of Gender; </w:t>
            </w:r>
          </w:p>
          <w:p w14:paraId="39B8F8A5" w14:textId="77777777" w:rsidR="00302BFE" w:rsidRPr="00BA18F6" w:rsidRDefault="00302BFE" w:rsidP="00243B15">
            <w:pPr>
              <w:pStyle w:val="Paragraphedeliste"/>
              <w:ind w:left="0"/>
              <w:jc w:val="both"/>
              <w:rPr>
                <w:rFonts w:ascii="Calibri" w:eastAsia="Times New Roman" w:hAnsi="Calibri"/>
                <w:sz w:val="18"/>
                <w:szCs w:val="18"/>
                <w:lang w:val="en-CA" w:eastAsia="fr-FR"/>
              </w:rPr>
            </w:pPr>
            <w:r w:rsidRPr="00BA18F6">
              <w:rPr>
                <w:rFonts w:ascii="Calibri" w:eastAsia="Times New Roman" w:hAnsi="Calibri"/>
                <w:sz w:val="18"/>
                <w:szCs w:val="18"/>
                <w:lang w:val="en-CA" w:eastAsia="fr-FR"/>
              </w:rPr>
              <w:t xml:space="preserve">Existence of a Regional Council for the Promotion of Gender; </w:t>
            </w:r>
          </w:p>
          <w:p w14:paraId="0827B29A" w14:textId="77777777" w:rsidR="00302BFE" w:rsidRPr="00BA18F6" w:rsidRDefault="00302BFE" w:rsidP="00243B15">
            <w:pPr>
              <w:pStyle w:val="Paragraphedeliste"/>
              <w:ind w:left="0"/>
              <w:jc w:val="both"/>
              <w:rPr>
                <w:rFonts w:ascii="Calibri" w:eastAsia="Times New Roman" w:hAnsi="Calibri"/>
                <w:sz w:val="18"/>
                <w:szCs w:val="18"/>
                <w:lang w:val="en-CA" w:eastAsia="fr-FR"/>
              </w:rPr>
            </w:pPr>
            <w:r w:rsidRPr="00BA18F6">
              <w:rPr>
                <w:rFonts w:ascii="Calibri" w:eastAsia="Times New Roman" w:hAnsi="Calibri"/>
                <w:sz w:val="18"/>
                <w:szCs w:val="18"/>
                <w:lang w:val="en-CA" w:eastAsia="fr-FR"/>
              </w:rPr>
              <w:t xml:space="preserve">Existence of a City Council for the Promotion of Gender; </w:t>
            </w:r>
          </w:p>
          <w:p w14:paraId="75FB7D8E" w14:textId="77777777" w:rsidR="00302BFE" w:rsidRPr="00BA18F6" w:rsidRDefault="00302BFE" w:rsidP="00243B15">
            <w:pPr>
              <w:pStyle w:val="Paragraphedeliste"/>
              <w:ind w:left="0"/>
              <w:jc w:val="both"/>
              <w:rPr>
                <w:rFonts w:ascii="Calibri" w:eastAsia="Times New Roman" w:hAnsi="Calibri"/>
                <w:sz w:val="18"/>
                <w:szCs w:val="18"/>
                <w:lang w:val="en-CA" w:eastAsia="fr-FR"/>
              </w:rPr>
            </w:pPr>
            <w:r w:rsidRPr="00BA18F6">
              <w:rPr>
                <w:rFonts w:ascii="Calibri" w:eastAsia="Times New Roman" w:hAnsi="Calibri"/>
                <w:sz w:val="18"/>
                <w:szCs w:val="18"/>
                <w:lang w:val="en-CA" w:eastAsia="fr-FR"/>
              </w:rPr>
              <w:t>Institutional policies of technical and financial partners integrating the consideration and promotion of gender </w:t>
            </w:r>
          </w:p>
        </w:tc>
        <w:tc>
          <w:tcPr>
            <w:tcW w:w="4541" w:type="dxa"/>
            <w:tcBorders>
              <w:top w:val="single" w:sz="4" w:space="0" w:color="C5E0B3"/>
              <w:left w:val="single" w:sz="4" w:space="0" w:color="C5E0B3"/>
              <w:bottom w:val="single" w:sz="4" w:space="0" w:color="C5E0B3"/>
              <w:right w:val="single" w:sz="4" w:space="0" w:color="C5E0B3"/>
            </w:tcBorders>
            <w:shd w:val="clear" w:color="auto" w:fill="auto"/>
            <w:vAlign w:val="center"/>
            <w:hideMark/>
          </w:tcPr>
          <w:p w14:paraId="4C0CB8F4" w14:textId="77777777" w:rsidR="00302BFE" w:rsidRPr="00BA18F6" w:rsidRDefault="00302BFE" w:rsidP="00243B15">
            <w:pPr>
              <w:pStyle w:val="Paragraphedeliste"/>
              <w:ind w:left="0"/>
              <w:jc w:val="both"/>
              <w:rPr>
                <w:rFonts w:ascii="Calibri" w:eastAsia="Times New Roman" w:hAnsi="Calibri"/>
                <w:sz w:val="18"/>
                <w:szCs w:val="18"/>
                <w:lang w:val="en-CA" w:eastAsia="fr-FR"/>
              </w:rPr>
            </w:pPr>
            <w:r w:rsidRPr="00BA18F6">
              <w:rPr>
                <w:rFonts w:ascii="Calibri" w:eastAsia="Times New Roman" w:hAnsi="Calibri"/>
                <w:sz w:val="18"/>
                <w:szCs w:val="18"/>
                <w:lang w:val="en-CA" w:eastAsia="fr-FR"/>
              </w:rPr>
              <w:t>Poor application of PNG</w:t>
            </w:r>
          </w:p>
          <w:p w14:paraId="1F2058F6" w14:textId="77777777" w:rsidR="00302BFE" w:rsidRPr="00BA18F6" w:rsidRDefault="00302BFE" w:rsidP="00243B15">
            <w:pPr>
              <w:pStyle w:val="Paragraphedeliste"/>
              <w:ind w:left="0"/>
              <w:jc w:val="both"/>
              <w:rPr>
                <w:rFonts w:ascii="Calibri" w:eastAsia="Times New Roman" w:hAnsi="Calibri"/>
                <w:sz w:val="18"/>
                <w:szCs w:val="18"/>
                <w:lang w:val="en-CA" w:eastAsia="fr-FR"/>
              </w:rPr>
            </w:pPr>
            <w:r w:rsidRPr="00BA18F6">
              <w:rPr>
                <w:rFonts w:ascii="Calibri" w:eastAsia="Times New Roman" w:hAnsi="Calibri"/>
                <w:sz w:val="18"/>
                <w:szCs w:val="18"/>
                <w:lang w:val="en-CA" w:eastAsia="fr-FR"/>
              </w:rPr>
              <w:t xml:space="preserve">Poor functioning of the deconcentrated structures responsible for the implementation of PNG (regional and </w:t>
            </w:r>
            <w:r w:rsidR="009363D6">
              <w:rPr>
                <w:rFonts w:ascii="Calibri" w:eastAsia="Times New Roman" w:hAnsi="Calibri"/>
                <w:sz w:val="18"/>
                <w:szCs w:val="18"/>
                <w:lang w:val="en-CA" w:eastAsia="fr-FR"/>
              </w:rPr>
              <w:t>communal</w:t>
            </w:r>
            <w:r w:rsidRPr="00BA18F6">
              <w:rPr>
                <w:rFonts w:ascii="Calibri" w:eastAsia="Times New Roman" w:hAnsi="Calibri"/>
                <w:sz w:val="18"/>
                <w:szCs w:val="18"/>
                <w:lang w:val="en-CA" w:eastAsia="fr-FR"/>
              </w:rPr>
              <w:t xml:space="preserve"> councils on gender)</w:t>
            </w:r>
          </w:p>
          <w:p w14:paraId="3701938F" w14:textId="77777777" w:rsidR="00302BFE" w:rsidRPr="00BA18F6" w:rsidRDefault="00302BFE" w:rsidP="00243B15">
            <w:pPr>
              <w:pStyle w:val="Paragraphedeliste"/>
              <w:ind w:left="0"/>
              <w:jc w:val="both"/>
              <w:rPr>
                <w:rFonts w:ascii="Calibri" w:eastAsia="Times New Roman" w:hAnsi="Calibri"/>
                <w:sz w:val="18"/>
                <w:szCs w:val="18"/>
                <w:lang w:val="en-CA" w:eastAsia="fr-FR"/>
              </w:rPr>
            </w:pPr>
            <w:r w:rsidRPr="00BA18F6">
              <w:rPr>
                <w:rFonts w:ascii="Calibri" w:eastAsia="Times New Roman" w:hAnsi="Calibri"/>
                <w:sz w:val="18"/>
                <w:szCs w:val="18"/>
                <w:lang w:val="en-CA" w:eastAsia="fr-FR"/>
              </w:rPr>
              <w:t xml:space="preserve">Lack of mechanism for monitoring and evaluation of gender practices of technical and financial partners at local level  </w:t>
            </w:r>
          </w:p>
        </w:tc>
      </w:tr>
      <w:tr w:rsidR="00302BFE" w:rsidRPr="00BA18F6" w14:paraId="43DB33EA" w14:textId="77777777" w:rsidTr="00243B15">
        <w:trPr>
          <w:jc w:val="center"/>
        </w:trPr>
        <w:tc>
          <w:tcPr>
            <w:tcW w:w="1647" w:type="dxa"/>
            <w:tcBorders>
              <w:top w:val="single" w:sz="4" w:space="0" w:color="C5E0B3"/>
              <w:left w:val="single" w:sz="4" w:space="0" w:color="C5E0B3"/>
              <w:bottom w:val="single" w:sz="4" w:space="0" w:color="C5E0B3"/>
              <w:right w:val="single" w:sz="4" w:space="0" w:color="C5E0B3"/>
            </w:tcBorders>
            <w:shd w:val="clear" w:color="auto" w:fill="auto"/>
            <w:vAlign w:val="center"/>
            <w:hideMark/>
          </w:tcPr>
          <w:p w14:paraId="128D9CD6" w14:textId="77777777" w:rsidR="00302BFE" w:rsidRPr="00BA18F6" w:rsidRDefault="00302BFE" w:rsidP="00243B15">
            <w:pPr>
              <w:spacing w:after="0"/>
              <w:rPr>
                <w:rFonts w:eastAsia="Times New Roman"/>
                <w:b/>
                <w:bCs/>
                <w:sz w:val="18"/>
                <w:szCs w:val="18"/>
                <w:lang w:eastAsia="fr-FR"/>
              </w:rPr>
            </w:pPr>
            <w:r w:rsidRPr="00BA18F6">
              <w:rPr>
                <w:rFonts w:eastAsia="Times New Roman"/>
                <w:b/>
                <w:bCs/>
                <w:sz w:val="18"/>
                <w:szCs w:val="18"/>
                <w:lang w:eastAsia="fr-FR"/>
              </w:rPr>
              <w:t xml:space="preserve">Economic </w:t>
            </w:r>
          </w:p>
        </w:tc>
        <w:tc>
          <w:tcPr>
            <w:tcW w:w="4444" w:type="dxa"/>
            <w:tcBorders>
              <w:top w:val="single" w:sz="4" w:space="0" w:color="C5E0B3"/>
              <w:left w:val="single" w:sz="4" w:space="0" w:color="C5E0B3"/>
              <w:bottom w:val="single" w:sz="4" w:space="0" w:color="C5E0B3"/>
              <w:right w:val="single" w:sz="4" w:space="0" w:color="C5E0B3"/>
            </w:tcBorders>
            <w:shd w:val="clear" w:color="auto" w:fill="auto"/>
            <w:vAlign w:val="center"/>
            <w:hideMark/>
          </w:tcPr>
          <w:p w14:paraId="5DC674D0" w14:textId="77777777" w:rsidR="00302BFE" w:rsidRPr="00BA18F6" w:rsidRDefault="00302BFE" w:rsidP="00243B15">
            <w:pPr>
              <w:pStyle w:val="Paragraphedeliste"/>
              <w:ind w:left="0"/>
              <w:jc w:val="both"/>
              <w:rPr>
                <w:rFonts w:ascii="Calibri" w:eastAsia="Times New Roman" w:hAnsi="Calibri"/>
                <w:sz w:val="18"/>
                <w:szCs w:val="18"/>
                <w:lang w:val="en-CA" w:eastAsia="fr-FR"/>
              </w:rPr>
            </w:pPr>
            <w:r w:rsidRPr="00BA18F6">
              <w:rPr>
                <w:rFonts w:ascii="Calibri" w:eastAsia="Times New Roman" w:hAnsi="Calibri"/>
                <w:sz w:val="18"/>
                <w:szCs w:val="18"/>
                <w:lang w:val="en-CA" w:eastAsia="fr-FR"/>
              </w:rPr>
              <w:t>Existence of a potential for exploiting forest resources (non-timber forest products, firewood)</w:t>
            </w:r>
          </w:p>
          <w:p w14:paraId="217C3CCF" w14:textId="77777777" w:rsidR="00302BFE" w:rsidRPr="00BA18F6" w:rsidRDefault="00302BFE" w:rsidP="00243B15">
            <w:pPr>
              <w:pStyle w:val="Paragraphedeliste"/>
              <w:ind w:left="0"/>
              <w:jc w:val="both"/>
              <w:rPr>
                <w:rFonts w:ascii="Calibri" w:eastAsia="Times New Roman" w:hAnsi="Calibri"/>
                <w:sz w:val="18"/>
                <w:szCs w:val="18"/>
                <w:lang w:val="en-CA" w:eastAsia="fr-FR"/>
              </w:rPr>
            </w:pPr>
            <w:r w:rsidRPr="00BA18F6">
              <w:rPr>
                <w:rFonts w:ascii="Calibri" w:eastAsia="Times New Roman" w:hAnsi="Calibri"/>
                <w:sz w:val="18"/>
                <w:szCs w:val="18"/>
                <w:lang w:val="en-CA" w:eastAsia="fr-FR"/>
              </w:rPr>
              <w:t>Commitment of technical and financial partners to support the development of forest value chains</w:t>
            </w:r>
          </w:p>
          <w:p w14:paraId="3635A498" w14:textId="77777777" w:rsidR="00302BFE" w:rsidRPr="00BA18F6" w:rsidRDefault="00302BFE" w:rsidP="00243B15">
            <w:pPr>
              <w:pStyle w:val="Paragraphedeliste"/>
              <w:ind w:left="0"/>
              <w:jc w:val="both"/>
              <w:rPr>
                <w:rFonts w:ascii="Calibri" w:eastAsia="Times New Roman" w:hAnsi="Calibri"/>
                <w:sz w:val="18"/>
                <w:szCs w:val="18"/>
                <w:lang w:val="en-CA" w:eastAsia="fr-FR"/>
              </w:rPr>
            </w:pPr>
            <w:r w:rsidRPr="00BA18F6">
              <w:rPr>
                <w:rFonts w:ascii="Calibri" w:eastAsia="Times New Roman" w:hAnsi="Calibri"/>
                <w:sz w:val="18"/>
                <w:szCs w:val="18"/>
                <w:lang w:val="en-CA" w:eastAsia="fr-FR"/>
              </w:rPr>
              <w:t>Opportunities to develop value chains of viable non-wood forest products</w:t>
            </w:r>
          </w:p>
          <w:p w14:paraId="42F83B6D" w14:textId="77777777" w:rsidR="00302BFE" w:rsidRPr="00BA18F6" w:rsidRDefault="00302BFE" w:rsidP="00243B15">
            <w:pPr>
              <w:pStyle w:val="Paragraphedeliste"/>
              <w:ind w:left="0"/>
              <w:jc w:val="both"/>
              <w:rPr>
                <w:rFonts w:ascii="Calibri" w:eastAsia="Times New Roman" w:hAnsi="Calibri"/>
                <w:sz w:val="18"/>
                <w:szCs w:val="18"/>
                <w:lang w:val="en-CA" w:eastAsia="fr-FR"/>
              </w:rPr>
            </w:pPr>
            <w:r w:rsidRPr="00BA18F6">
              <w:rPr>
                <w:rFonts w:ascii="Calibri" w:eastAsia="Times New Roman" w:hAnsi="Calibri"/>
                <w:sz w:val="18"/>
                <w:szCs w:val="18"/>
                <w:lang w:val="en-CA" w:eastAsia="fr-FR"/>
              </w:rPr>
              <w:t>Existence of a national strategy and action plan for the promotion and valorisation of NWFPs</w:t>
            </w:r>
          </w:p>
          <w:p w14:paraId="480CA721" w14:textId="77777777" w:rsidR="00302BFE" w:rsidRPr="00BA18F6" w:rsidRDefault="00302BFE" w:rsidP="00243B15">
            <w:pPr>
              <w:pStyle w:val="Paragraphedeliste"/>
              <w:ind w:left="0"/>
              <w:jc w:val="both"/>
              <w:rPr>
                <w:rFonts w:ascii="Calibri" w:eastAsia="Times New Roman" w:hAnsi="Calibri"/>
                <w:sz w:val="18"/>
                <w:szCs w:val="18"/>
                <w:lang w:val="en-CA" w:eastAsia="fr-FR"/>
              </w:rPr>
            </w:pPr>
            <w:r w:rsidRPr="00BA18F6">
              <w:rPr>
                <w:rFonts w:ascii="Calibri" w:eastAsia="Times New Roman" w:hAnsi="Calibri"/>
                <w:sz w:val="18"/>
                <w:szCs w:val="18"/>
                <w:lang w:val="en-CA" w:eastAsia="fr-FR"/>
              </w:rPr>
              <w:t>Development of a National NWFP Commercialization Strategy and Action Plan (under development)</w:t>
            </w:r>
          </w:p>
        </w:tc>
        <w:tc>
          <w:tcPr>
            <w:tcW w:w="4541" w:type="dxa"/>
            <w:tcBorders>
              <w:top w:val="single" w:sz="4" w:space="0" w:color="C5E0B3"/>
              <w:left w:val="single" w:sz="4" w:space="0" w:color="C5E0B3"/>
              <w:bottom w:val="single" w:sz="4" w:space="0" w:color="C5E0B3"/>
              <w:right w:val="single" w:sz="4" w:space="0" w:color="C5E0B3"/>
            </w:tcBorders>
            <w:shd w:val="clear" w:color="auto" w:fill="auto"/>
            <w:vAlign w:val="center"/>
            <w:hideMark/>
          </w:tcPr>
          <w:p w14:paraId="2874715C" w14:textId="77777777" w:rsidR="00302BFE" w:rsidRPr="00BA18F6" w:rsidRDefault="00302BFE" w:rsidP="00243B15">
            <w:pPr>
              <w:pStyle w:val="Paragraphedeliste"/>
              <w:ind w:left="0"/>
              <w:jc w:val="both"/>
              <w:rPr>
                <w:rFonts w:ascii="Calibri" w:eastAsia="Times New Roman" w:hAnsi="Calibri"/>
                <w:sz w:val="18"/>
                <w:szCs w:val="18"/>
                <w:lang w:val="en-CA" w:eastAsia="fr-FR"/>
              </w:rPr>
            </w:pPr>
            <w:bookmarkStart w:id="74" w:name="_Hlk708556"/>
            <w:r w:rsidRPr="00BA18F6">
              <w:rPr>
                <w:rFonts w:ascii="Calibri" w:eastAsia="Times New Roman" w:hAnsi="Calibri"/>
                <w:sz w:val="18"/>
                <w:szCs w:val="18"/>
                <w:lang w:val="en-CA" w:eastAsia="fr-FR"/>
              </w:rPr>
              <w:t>Women's monetary poverty and poor access of women to financial services for lack of guarantee</w:t>
            </w:r>
          </w:p>
          <w:p w14:paraId="162D9E22" w14:textId="77777777" w:rsidR="00302BFE" w:rsidRPr="00BA18F6" w:rsidRDefault="00302BFE" w:rsidP="00243B15">
            <w:pPr>
              <w:pStyle w:val="Paragraphedeliste"/>
              <w:ind w:left="0"/>
              <w:jc w:val="both"/>
              <w:rPr>
                <w:rFonts w:ascii="Calibri" w:eastAsia="Times New Roman" w:hAnsi="Calibri"/>
                <w:sz w:val="18"/>
                <w:szCs w:val="18"/>
                <w:lang w:val="en-CA" w:eastAsia="fr-FR"/>
              </w:rPr>
            </w:pPr>
            <w:r w:rsidRPr="00BA18F6">
              <w:rPr>
                <w:rFonts w:ascii="Calibri" w:eastAsia="Times New Roman" w:hAnsi="Calibri"/>
                <w:sz w:val="18"/>
                <w:szCs w:val="18"/>
                <w:lang w:val="en-CA" w:eastAsia="fr-FR"/>
              </w:rPr>
              <w:t>Low control of forest resources by women</w:t>
            </w:r>
          </w:p>
          <w:p w14:paraId="6F182B4E" w14:textId="77777777" w:rsidR="00302BFE" w:rsidRPr="00BA18F6" w:rsidRDefault="00302BFE" w:rsidP="00243B15">
            <w:pPr>
              <w:pStyle w:val="Paragraphedeliste"/>
              <w:ind w:left="0"/>
              <w:jc w:val="both"/>
              <w:rPr>
                <w:rFonts w:ascii="Calibri" w:eastAsia="Times New Roman" w:hAnsi="Calibri"/>
                <w:sz w:val="18"/>
                <w:szCs w:val="18"/>
                <w:lang w:val="en-CA" w:eastAsia="fr-FR"/>
              </w:rPr>
            </w:pPr>
            <w:r w:rsidRPr="00BA18F6">
              <w:rPr>
                <w:rFonts w:ascii="Calibri" w:eastAsia="Times New Roman" w:hAnsi="Calibri"/>
                <w:sz w:val="18"/>
                <w:szCs w:val="18"/>
                <w:lang w:val="en-CA" w:eastAsia="fr-FR"/>
              </w:rPr>
              <w:t>Inadequate and unstable financial support from technical and financial partners to support and enhance the gender-sensitive management of forest resources</w:t>
            </w:r>
          </w:p>
          <w:p w14:paraId="0D424EF1" w14:textId="77777777" w:rsidR="00302BFE" w:rsidRPr="00BA18F6" w:rsidRDefault="00302BFE" w:rsidP="00243B15">
            <w:pPr>
              <w:pStyle w:val="Paragraphedeliste"/>
              <w:ind w:left="0"/>
              <w:jc w:val="both"/>
              <w:rPr>
                <w:rFonts w:ascii="Calibri" w:eastAsia="Times New Roman" w:hAnsi="Calibri"/>
                <w:sz w:val="18"/>
                <w:szCs w:val="18"/>
                <w:lang w:val="en-CA" w:eastAsia="fr-FR"/>
              </w:rPr>
            </w:pPr>
            <w:r w:rsidRPr="00BA18F6">
              <w:rPr>
                <w:rFonts w:ascii="Calibri" w:eastAsia="Times New Roman" w:hAnsi="Calibri"/>
                <w:sz w:val="18"/>
                <w:szCs w:val="18"/>
                <w:lang w:val="en-CA" w:eastAsia="fr-FR"/>
              </w:rPr>
              <w:t xml:space="preserve">Degradation and removal of plant and wildlife resources  </w:t>
            </w:r>
            <w:bookmarkEnd w:id="74"/>
          </w:p>
        </w:tc>
      </w:tr>
      <w:tr w:rsidR="00302BFE" w:rsidRPr="00BA18F6" w14:paraId="0886ECDE" w14:textId="77777777" w:rsidTr="00243B15">
        <w:trPr>
          <w:jc w:val="center"/>
        </w:trPr>
        <w:tc>
          <w:tcPr>
            <w:tcW w:w="1647" w:type="dxa"/>
            <w:tcBorders>
              <w:top w:val="single" w:sz="4" w:space="0" w:color="C5E0B3"/>
              <w:left w:val="single" w:sz="4" w:space="0" w:color="C5E0B3"/>
              <w:bottom w:val="single" w:sz="4" w:space="0" w:color="C5E0B3"/>
              <w:right w:val="single" w:sz="4" w:space="0" w:color="C5E0B3"/>
            </w:tcBorders>
            <w:shd w:val="clear" w:color="auto" w:fill="auto"/>
            <w:vAlign w:val="center"/>
            <w:hideMark/>
          </w:tcPr>
          <w:p w14:paraId="4B6372F8" w14:textId="77777777" w:rsidR="00302BFE" w:rsidRPr="00BA18F6" w:rsidRDefault="00302BFE" w:rsidP="00243B15">
            <w:pPr>
              <w:spacing w:after="0"/>
              <w:rPr>
                <w:rFonts w:eastAsia="Times New Roman"/>
                <w:b/>
                <w:bCs/>
                <w:sz w:val="18"/>
                <w:szCs w:val="18"/>
                <w:lang w:eastAsia="fr-FR"/>
              </w:rPr>
            </w:pPr>
            <w:r w:rsidRPr="00BA18F6">
              <w:rPr>
                <w:rFonts w:eastAsia="Times New Roman"/>
                <w:b/>
                <w:bCs/>
                <w:sz w:val="18"/>
                <w:szCs w:val="18"/>
                <w:lang w:eastAsia="fr-FR"/>
              </w:rPr>
              <w:t>Sociocultural</w:t>
            </w:r>
          </w:p>
        </w:tc>
        <w:tc>
          <w:tcPr>
            <w:tcW w:w="4444" w:type="dxa"/>
            <w:tcBorders>
              <w:top w:val="single" w:sz="4" w:space="0" w:color="C5E0B3"/>
              <w:left w:val="single" w:sz="4" w:space="0" w:color="C5E0B3"/>
              <w:bottom w:val="single" w:sz="4" w:space="0" w:color="C5E0B3"/>
              <w:right w:val="single" w:sz="4" w:space="0" w:color="C5E0B3"/>
            </w:tcBorders>
            <w:shd w:val="clear" w:color="auto" w:fill="auto"/>
            <w:vAlign w:val="center"/>
          </w:tcPr>
          <w:p w14:paraId="413E8190" w14:textId="77777777" w:rsidR="00302BFE" w:rsidRPr="00BA18F6" w:rsidRDefault="00302BFE" w:rsidP="00243B15">
            <w:pPr>
              <w:pStyle w:val="Paragraphedeliste"/>
              <w:ind w:left="0"/>
              <w:jc w:val="both"/>
              <w:rPr>
                <w:rFonts w:ascii="Calibri" w:eastAsia="Times New Roman" w:hAnsi="Calibri"/>
                <w:sz w:val="18"/>
                <w:szCs w:val="18"/>
                <w:lang w:val="en-CA" w:eastAsia="fr-FR"/>
              </w:rPr>
            </w:pPr>
            <w:r w:rsidRPr="00BA18F6">
              <w:rPr>
                <w:rFonts w:ascii="Calibri" w:eastAsia="Times New Roman" w:hAnsi="Calibri"/>
                <w:sz w:val="18"/>
                <w:szCs w:val="18"/>
                <w:lang w:val="en-CA" w:eastAsia="fr-FR"/>
              </w:rPr>
              <w:t>Access of women and men to forest resources</w:t>
            </w:r>
          </w:p>
          <w:p w14:paraId="15FD599E" w14:textId="77777777" w:rsidR="00302BFE" w:rsidRPr="00BA18F6" w:rsidRDefault="00302BFE" w:rsidP="00243B15">
            <w:pPr>
              <w:pStyle w:val="Paragraphedeliste"/>
              <w:ind w:left="0"/>
              <w:jc w:val="both"/>
              <w:rPr>
                <w:rFonts w:ascii="Calibri" w:eastAsia="Times New Roman" w:hAnsi="Calibri"/>
                <w:sz w:val="18"/>
                <w:szCs w:val="18"/>
                <w:lang w:val="en-CA" w:eastAsia="fr-FR"/>
              </w:rPr>
            </w:pPr>
            <w:r w:rsidRPr="00BA18F6">
              <w:rPr>
                <w:rFonts w:ascii="Calibri" w:eastAsia="Times New Roman" w:hAnsi="Calibri"/>
                <w:sz w:val="18"/>
                <w:szCs w:val="18"/>
                <w:lang w:val="en-CA" w:eastAsia="fr-FR"/>
              </w:rPr>
              <w:t>Men and women trained and available for the protection of the environment: reforestation, maintenance</w:t>
            </w:r>
          </w:p>
          <w:p w14:paraId="3363AFE2" w14:textId="77777777" w:rsidR="00302BFE" w:rsidRPr="00BA18F6" w:rsidRDefault="00302BFE" w:rsidP="00243B15">
            <w:pPr>
              <w:pStyle w:val="Paragraphedeliste"/>
              <w:ind w:left="0"/>
              <w:jc w:val="both"/>
              <w:rPr>
                <w:rFonts w:ascii="Calibri" w:eastAsia="Times New Roman" w:hAnsi="Calibri"/>
                <w:sz w:val="18"/>
                <w:szCs w:val="18"/>
                <w:lang w:val="en-CA" w:eastAsia="fr-FR"/>
              </w:rPr>
            </w:pPr>
            <w:r w:rsidRPr="00BA18F6">
              <w:rPr>
                <w:rFonts w:ascii="Calibri" w:eastAsia="Times New Roman" w:hAnsi="Calibri"/>
                <w:sz w:val="18"/>
                <w:szCs w:val="18"/>
                <w:lang w:val="en-CA" w:eastAsia="fr-FR"/>
              </w:rPr>
              <w:t>Exploitation of forest products by women for decoction, childcare and traditional medicine</w:t>
            </w:r>
          </w:p>
        </w:tc>
        <w:tc>
          <w:tcPr>
            <w:tcW w:w="4541" w:type="dxa"/>
            <w:tcBorders>
              <w:top w:val="single" w:sz="4" w:space="0" w:color="C5E0B3"/>
              <w:left w:val="single" w:sz="4" w:space="0" w:color="C5E0B3"/>
              <w:bottom w:val="single" w:sz="4" w:space="0" w:color="C5E0B3"/>
              <w:right w:val="single" w:sz="4" w:space="0" w:color="C5E0B3"/>
            </w:tcBorders>
            <w:shd w:val="clear" w:color="auto" w:fill="auto"/>
            <w:vAlign w:val="center"/>
            <w:hideMark/>
          </w:tcPr>
          <w:p w14:paraId="125F2E65" w14:textId="77777777" w:rsidR="00302BFE" w:rsidRPr="00BA18F6" w:rsidRDefault="00302BFE" w:rsidP="00243B15">
            <w:pPr>
              <w:pStyle w:val="Paragraphedeliste"/>
              <w:ind w:left="0"/>
              <w:jc w:val="both"/>
              <w:rPr>
                <w:rFonts w:ascii="Calibri" w:eastAsia="Times New Roman" w:hAnsi="Calibri"/>
                <w:sz w:val="18"/>
                <w:szCs w:val="18"/>
                <w:lang w:val="en-CA" w:eastAsia="fr-FR"/>
              </w:rPr>
            </w:pPr>
            <w:r w:rsidRPr="00BA18F6">
              <w:rPr>
                <w:rFonts w:ascii="Calibri" w:eastAsia="Times New Roman" w:hAnsi="Calibri"/>
                <w:sz w:val="18"/>
                <w:szCs w:val="18"/>
                <w:lang w:val="en-CA" w:eastAsia="fr-FR"/>
              </w:rPr>
              <w:t>Persistent confusion over the true meaning of the gender concept</w:t>
            </w:r>
          </w:p>
          <w:p w14:paraId="6883A27E" w14:textId="77777777" w:rsidR="00302BFE" w:rsidRPr="00BA18F6" w:rsidRDefault="00302BFE" w:rsidP="00243B15">
            <w:pPr>
              <w:spacing w:after="0"/>
              <w:rPr>
                <w:rFonts w:eastAsia="Times New Roman"/>
                <w:sz w:val="18"/>
                <w:szCs w:val="18"/>
                <w:lang w:val="en-CA" w:eastAsia="fr-FR"/>
              </w:rPr>
            </w:pPr>
            <w:r w:rsidRPr="00BA18F6">
              <w:rPr>
                <w:rFonts w:eastAsia="Times New Roman"/>
                <w:sz w:val="18"/>
                <w:szCs w:val="18"/>
                <w:lang w:val="en-CA" w:eastAsia="fr-FR"/>
              </w:rPr>
              <w:t>Low representation of women in forest resources coordination and management bodies</w:t>
            </w:r>
          </w:p>
          <w:p w14:paraId="1CFDB8C2" w14:textId="77777777" w:rsidR="00302BFE" w:rsidRPr="00BA18F6" w:rsidRDefault="00302BFE" w:rsidP="00243B15">
            <w:pPr>
              <w:spacing w:after="0"/>
              <w:rPr>
                <w:rFonts w:eastAsia="Times New Roman"/>
                <w:sz w:val="18"/>
                <w:szCs w:val="18"/>
                <w:lang w:val="en-CA" w:eastAsia="fr-FR"/>
              </w:rPr>
            </w:pPr>
            <w:r w:rsidRPr="00BA18F6">
              <w:rPr>
                <w:rFonts w:eastAsia="Times New Roman"/>
                <w:sz w:val="18"/>
                <w:szCs w:val="18"/>
                <w:lang w:val="en-CA" w:eastAsia="fr-FR"/>
              </w:rPr>
              <w:t>More pronounced illiteracy among women</w:t>
            </w:r>
          </w:p>
          <w:p w14:paraId="4CA59D0D" w14:textId="77777777" w:rsidR="00302BFE" w:rsidRPr="00BA18F6" w:rsidRDefault="00302BFE" w:rsidP="00243B15">
            <w:pPr>
              <w:pStyle w:val="Paragraphedeliste"/>
              <w:ind w:left="0"/>
              <w:jc w:val="both"/>
              <w:rPr>
                <w:rFonts w:ascii="Calibri" w:eastAsia="Times New Roman" w:hAnsi="Calibri"/>
                <w:sz w:val="18"/>
                <w:szCs w:val="18"/>
                <w:lang w:val="en-CA" w:eastAsia="fr-FR"/>
              </w:rPr>
            </w:pPr>
            <w:r w:rsidRPr="00BA18F6">
              <w:rPr>
                <w:rFonts w:ascii="Calibri" w:eastAsia="Times New Roman" w:hAnsi="Calibri"/>
                <w:sz w:val="18"/>
                <w:szCs w:val="18"/>
                <w:lang w:val="en-CA" w:eastAsia="fr-FR"/>
              </w:rPr>
              <w:t>Priority reinvestment of women's incomes in the household to cover social charges (health, education, food, clothing ...)</w:t>
            </w:r>
          </w:p>
        </w:tc>
      </w:tr>
      <w:tr w:rsidR="00302BFE" w:rsidRPr="00BA18F6" w14:paraId="48885358" w14:textId="77777777" w:rsidTr="00243B15">
        <w:trPr>
          <w:jc w:val="center"/>
        </w:trPr>
        <w:tc>
          <w:tcPr>
            <w:tcW w:w="1647" w:type="dxa"/>
            <w:tcBorders>
              <w:top w:val="single" w:sz="4" w:space="0" w:color="C5E0B3"/>
              <w:left w:val="single" w:sz="4" w:space="0" w:color="C5E0B3"/>
              <w:bottom w:val="single" w:sz="4" w:space="0" w:color="C5E0B3"/>
              <w:right w:val="single" w:sz="4" w:space="0" w:color="C5E0B3"/>
            </w:tcBorders>
            <w:shd w:val="clear" w:color="auto" w:fill="auto"/>
            <w:vAlign w:val="center"/>
            <w:hideMark/>
          </w:tcPr>
          <w:p w14:paraId="3B39BEC4" w14:textId="77777777" w:rsidR="00302BFE" w:rsidRPr="00BA18F6" w:rsidRDefault="00302BFE" w:rsidP="00243B15">
            <w:pPr>
              <w:spacing w:after="0"/>
              <w:rPr>
                <w:rFonts w:eastAsia="Times New Roman"/>
                <w:b/>
                <w:bCs/>
                <w:sz w:val="18"/>
                <w:szCs w:val="18"/>
                <w:lang w:eastAsia="fr-FR"/>
              </w:rPr>
            </w:pPr>
            <w:r w:rsidRPr="00BA18F6">
              <w:rPr>
                <w:rFonts w:eastAsia="Times New Roman"/>
                <w:b/>
                <w:bCs/>
                <w:sz w:val="18"/>
                <w:szCs w:val="18"/>
                <w:lang w:eastAsia="fr-FR"/>
              </w:rPr>
              <w:t>Technological</w:t>
            </w:r>
          </w:p>
        </w:tc>
        <w:tc>
          <w:tcPr>
            <w:tcW w:w="4444" w:type="dxa"/>
            <w:tcBorders>
              <w:top w:val="single" w:sz="4" w:space="0" w:color="C5E0B3"/>
              <w:left w:val="single" w:sz="4" w:space="0" w:color="C5E0B3"/>
              <w:bottom w:val="single" w:sz="4" w:space="0" w:color="C5E0B3"/>
              <w:right w:val="single" w:sz="4" w:space="0" w:color="C5E0B3"/>
            </w:tcBorders>
            <w:shd w:val="clear" w:color="auto" w:fill="auto"/>
            <w:vAlign w:val="center"/>
            <w:hideMark/>
          </w:tcPr>
          <w:p w14:paraId="31582EEF" w14:textId="77777777" w:rsidR="00302BFE" w:rsidRPr="00BA18F6" w:rsidRDefault="00302BFE" w:rsidP="00243B15">
            <w:pPr>
              <w:spacing w:after="0"/>
              <w:rPr>
                <w:rFonts w:eastAsia="Times New Roman"/>
                <w:sz w:val="18"/>
                <w:szCs w:val="18"/>
                <w:lang w:val="en-CA" w:eastAsia="fr-FR"/>
              </w:rPr>
            </w:pPr>
            <w:r w:rsidRPr="00BA18F6">
              <w:rPr>
                <w:rFonts w:eastAsia="Times New Roman"/>
                <w:sz w:val="18"/>
                <w:szCs w:val="18"/>
                <w:lang w:val="en-CA" w:eastAsia="fr-FR"/>
              </w:rPr>
              <w:t>Existence of new environmentally friendly processing and conservation technologies that can be used in non-timber forest products (NTFPs) processing units most often held by women's groups</w:t>
            </w:r>
          </w:p>
          <w:p w14:paraId="1F0D567A" w14:textId="77777777" w:rsidR="00302BFE" w:rsidRPr="00BA18F6" w:rsidRDefault="00302BFE" w:rsidP="00243B15">
            <w:pPr>
              <w:pStyle w:val="Paragraphedeliste"/>
              <w:ind w:left="0"/>
              <w:jc w:val="both"/>
              <w:rPr>
                <w:rFonts w:ascii="Calibri" w:eastAsia="Times New Roman" w:hAnsi="Calibri"/>
                <w:sz w:val="18"/>
                <w:szCs w:val="18"/>
                <w:lang w:val="en-CA" w:eastAsia="fr-FR"/>
              </w:rPr>
            </w:pPr>
            <w:r w:rsidRPr="00BA18F6">
              <w:rPr>
                <w:rFonts w:ascii="Calibri" w:eastAsia="Times New Roman" w:hAnsi="Calibri"/>
                <w:sz w:val="18"/>
                <w:szCs w:val="18"/>
                <w:lang w:val="en-CA" w:eastAsia="fr-FR"/>
              </w:rPr>
              <w:t>Facilitating communication with new information and communication technologies</w:t>
            </w:r>
          </w:p>
        </w:tc>
        <w:tc>
          <w:tcPr>
            <w:tcW w:w="4541" w:type="dxa"/>
            <w:tcBorders>
              <w:top w:val="single" w:sz="4" w:space="0" w:color="C5E0B3"/>
              <w:left w:val="single" w:sz="4" w:space="0" w:color="C5E0B3"/>
              <w:bottom w:val="single" w:sz="4" w:space="0" w:color="C5E0B3"/>
              <w:right w:val="single" w:sz="4" w:space="0" w:color="C5E0B3"/>
            </w:tcBorders>
            <w:shd w:val="clear" w:color="auto" w:fill="auto"/>
            <w:vAlign w:val="center"/>
            <w:hideMark/>
          </w:tcPr>
          <w:p w14:paraId="5DBB3D04" w14:textId="77777777" w:rsidR="00302BFE" w:rsidRPr="00BA18F6" w:rsidRDefault="00302BFE" w:rsidP="00243B15">
            <w:pPr>
              <w:spacing w:after="0"/>
              <w:rPr>
                <w:rFonts w:eastAsia="Times New Roman"/>
                <w:sz w:val="18"/>
                <w:szCs w:val="18"/>
                <w:lang w:val="en-CA" w:eastAsia="fr-FR"/>
              </w:rPr>
            </w:pPr>
            <w:r w:rsidRPr="00BA18F6">
              <w:rPr>
                <w:rFonts w:eastAsia="Times New Roman"/>
                <w:sz w:val="18"/>
                <w:szCs w:val="18"/>
                <w:lang w:val="en-CA" w:eastAsia="fr-FR"/>
              </w:rPr>
              <w:t>Economic constraints for access to new NTFP processing and development technologies in enterprises operated by women's groups</w:t>
            </w:r>
          </w:p>
          <w:p w14:paraId="7320B338" w14:textId="77777777" w:rsidR="00302BFE" w:rsidRPr="00BA18F6" w:rsidRDefault="00302BFE" w:rsidP="00243B15">
            <w:pPr>
              <w:pStyle w:val="Paragraphedeliste"/>
              <w:ind w:left="0"/>
              <w:jc w:val="both"/>
              <w:rPr>
                <w:rFonts w:ascii="Calibri" w:eastAsia="Times New Roman" w:hAnsi="Calibri"/>
                <w:sz w:val="18"/>
                <w:szCs w:val="18"/>
                <w:lang w:val="en-CA" w:eastAsia="fr-FR"/>
              </w:rPr>
            </w:pPr>
            <w:r w:rsidRPr="00BA18F6">
              <w:rPr>
                <w:rFonts w:ascii="Calibri" w:eastAsia="Times New Roman" w:hAnsi="Calibri"/>
                <w:sz w:val="18"/>
                <w:szCs w:val="18"/>
                <w:lang w:val="en-CA" w:eastAsia="fr-FR"/>
              </w:rPr>
              <w:t>Limited access of women to ICTs due to their level of education</w:t>
            </w:r>
          </w:p>
        </w:tc>
      </w:tr>
      <w:tr w:rsidR="00302BFE" w:rsidRPr="00BA18F6" w14:paraId="1A9C9EAF" w14:textId="77777777" w:rsidTr="00243B15">
        <w:trPr>
          <w:jc w:val="center"/>
        </w:trPr>
        <w:tc>
          <w:tcPr>
            <w:tcW w:w="1647" w:type="dxa"/>
            <w:tcBorders>
              <w:top w:val="single" w:sz="4" w:space="0" w:color="C5E0B3"/>
              <w:left w:val="single" w:sz="4" w:space="0" w:color="C5E0B3"/>
              <w:bottom w:val="single" w:sz="4" w:space="0" w:color="C5E0B3"/>
              <w:right w:val="single" w:sz="4" w:space="0" w:color="C5E0B3"/>
            </w:tcBorders>
            <w:shd w:val="clear" w:color="auto" w:fill="auto"/>
            <w:vAlign w:val="center"/>
            <w:hideMark/>
          </w:tcPr>
          <w:p w14:paraId="30F2354E" w14:textId="77777777" w:rsidR="00302BFE" w:rsidRPr="00BA18F6" w:rsidRDefault="00302BFE" w:rsidP="00243B15">
            <w:pPr>
              <w:spacing w:after="0"/>
              <w:rPr>
                <w:rFonts w:eastAsia="Times New Roman"/>
                <w:b/>
                <w:bCs/>
                <w:sz w:val="18"/>
                <w:szCs w:val="18"/>
                <w:lang w:eastAsia="fr-FR"/>
              </w:rPr>
            </w:pPr>
            <w:r w:rsidRPr="00BA18F6">
              <w:rPr>
                <w:rFonts w:eastAsia="Times New Roman"/>
                <w:b/>
                <w:bCs/>
                <w:sz w:val="18"/>
                <w:szCs w:val="18"/>
                <w:lang w:eastAsia="fr-FR"/>
              </w:rPr>
              <w:t>Environnemental</w:t>
            </w:r>
          </w:p>
        </w:tc>
        <w:tc>
          <w:tcPr>
            <w:tcW w:w="4444" w:type="dxa"/>
            <w:tcBorders>
              <w:top w:val="single" w:sz="4" w:space="0" w:color="C5E0B3"/>
              <w:left w:val="single" w:sz="4" w:space="0" w:color="C5E0B3"/>
              <w:bottom w:val="single" w:sz="4" w:space="0" w:color="C5E0B3"/>
              <w:right w:val="single" w:sz="4" w:space="0" w:color="C5E0B3"/>
            </w:tcBorders>
            <w:shd w:val="clear" w:color="auto" w:fill="auto"/>
            <w:vAlign w:val="center"/>
            <w:hideMark/>
          </w:tcPr>
          <w:p w14:paraId="56F3BF1C" w14:textId="77777777" w:rsidR="00302BFE" w:rsidRPr="00BA18F6" w:rsidRDefault="00302BFE" w:rsidP="00243B15">
            <w:pPr>
              <w:spacing w:after="0"/>
              <w:rPr>
                <w:rFonts w:eastAsia="Times New Roman"/>
                <w:sz w:val="18"/>
                <w:szCs w:val="18"/>
                <w:lang w:val="en-CA" w:eastAsia="fr-FR"/>
              </w:rPr>
            </w:pPr>
            <w:r w:rsidRPr="00BA18F6">
              <w:rPr>
                <w:rFonts w:eastAsia="Times New Roman"/>
                <w:sz w:val="18"/>
                <w:szCs w:val="18"/>
                <w:lang w:val="en-CA" w:eastAsia="fr-FR"/>
              </w:rPr>
              <w:t>Availability of exploitable resources by men and women in target areas</w:t>
            </w:r>
          </w:p>
          <w:p w14:paraId="5FF783D7" w14:textId="77777777" w:rsidR="00302BFE" w:rsidRPr="00BA18F6" w:rsidRDefault="00302BFE" w:rsidP="00243B15">
            <w:pPr>
              <w:spacing w:after="0"/>
              <w:rPr>
                <w:rFonts w:eastAsia="Times New Roman"/>
                <w:sz w:val="18"/>
                <w:szCs w:val="18"/>
                <w:lang w:val="en-CA" w:eastAsia="fr-FR"/>
              </w:rPr>
            </w:pPr>
            <w:r w:rsidRPr="00BA18F6">
              <w:rPr>
                <w:rFonts w:eastAsia="Times New Roman"/>
                <w:sz w:val="18"/>
                <w:szCs w:val="18"/>
                <w:lang w:val="en-CA" w:eastAsia="fr-FR"/>
              </w:rPr>
              <w:t>Initiatives to protect plant and wildlife resources observable at community level with the involvement of state services, men and women</w:t>
            </w:r>
          </w:p>
          <w:p w14:paraId="3589B3CF" w14:textId="77777777" w:rsidR="00302BFE" w:rsidRPr="00BA18F6" w:rsidRDefault="00302BFE" w:rsidP="00243B15">
            <w:pPr>
              <w:spacing w:after="0"/>
              <w:rPr>
                <w:rFonts w:eastAsia="Times New Roman"/>
                <w:sz w:val="18"/>
                <w:szCs w:val="18"/>
                <w:lang w:val="en-CA" w:eastAsia="fr-FR"/>
              </w:rPr>
            </w:pPr>
            <w:r w:rsidRPr="00BA18F6">
              <w:rPr>
                <w:rFonts w:eastAsia="Times New Roman"/>
                <w:sz w:val="18"/>
                <w:szCs w:val="18"/>
                <w:lang w:val="en-CA" w:eastAsia="fr-FR"/>
              </w:rPr>
              <w:t>Strong ability of women to mobilize for the protection of forest resources</w:t>
            </w:r>
          </w:p>
          <w:p w14:paraId="7EC3EAD5" w14:textId="77777777" w:rsidR="00302BFE" w:rsidRPr="00BA18F6" w:rsidRDefault="00302BFE" w:rsidP="00243B15">
            <w:pPr>
              <w:pStyle w:val="Paragraphedeliste"/>
              <w:ind w:left="0"/>
              <w:jc w:val="both"/>
              <w:rPr>
                <w:rFonts w:ascii="Calibri" w:eastAsia="Times New Roman" w:hAnsi="Calibri"/>
                <w:sz w:val="18"/>
                <w:szCs w:val="18"/>
                <w:lang w:val="en-CA" w:eastAsia="fr-FR"/>
              </w:rPr>
            </w:pPr>
            <w:r w:rsidRPr="00BA18F6">
              <w:rPr>
                <w:rFonts w:ascii="Calibri" w:eastAsia="Times New Roman" w:hAnsi="Calibri"/>
                <w:sz w:val="18"/>
                <w:szCs w:val="18"/>
                <w:lang w:val="en-CA" w:eastAsia="fr-FR"/>
              </w:rPr>
              <w:t>Strong involvement of women in capacity building actions</w:t>
            </w:r>
          </w:p>
        </w:tc>
        <w:tc>
          <w:tcPr>
            <w:tcW w:w="4541" w:type="dxa"/>
            <w:tcBorders>
              <w:top w:val="single" w:sz="4" w:space="0" w:color="C5E0B3"/>
              <w:left w:val="single" w:sz="4" w:space="0" w:color="C5E0B3"/>
              <w:bottom w:val="single" w:sz="4" w:space="0" w:color="C5E0B3"/>
              <w:right w:val="single" w:sz="4" w:space="0" w:color="C5E0B3"/>
            </w:tcBorders>
            <w:shd w:val="clear" w:color="auto" w:fill="auto"/>
            <w:vAlign w:val="center"/>
            <w:hideMark/>
          </w:tcPr>
          <w:p w14:paraId="3D14D707" w14:textId="77777777" w:rsidR="00302BFE" w:rsidRPr="00BA18F6" w:rsidRDefault="00302BFE" w:rsidP="00243B15">
            <w:pPr>
              <w:pStyle w:val="Paragraphedeliste"/>
              <w:ind w:left="0"/>
              <w:jc w:val="both"/>
              <w:rPr>
                <w:rFonts w:ascii="Calibri" w:eastAsia="Times New Roman" w:hAnsi="Calibri"/>
                <w:sz w:val="18"/>
                <w:szCs w:val="18"/>
                <w:lang w:val="en-CA" w:eastAsia="fr-FR"/>
              </w:rPr>
            </w:pPr>
            <w:r w:rsidRPr="00BA18F6">
              <w:rPr>
                <w:rFonts w:ascii="Calibri" w:eastAsia="Times New Roman" w:hAnsi="Calibri"/>
                <w:sz w:val="18"/>
                <w:szCs w:val="18"/>
                <w:lang w:val="en-CA" w:eastAsia="fr-FR"/>
              </w:rPr>
              <w:t>Land pressure linked to the extension of agricultural areas and reducing areas dedicated to the production of forest resources including NTFPs, which are the forest products most exploited by women</w:t>
            </w:r>
          </w:p>
          <w:p w14:paraId="638A05E0" w14:textId="77777777" w:rsidR="00302BFE" w:rsidRPr="00BA18F6" w:rsidRDefault="00302BFE" w:rsidP="00243B15">
            <w:pPr>
              <w:pStyle w:val="Paragraphedeliste"/>
              <w:ind w:left="0"/>
              <w:jc w:val="both"/>
              <w:rPr>
                <w:rFonts w:ascii="Calibri" w:eastAsia="Times New Roman" w:hAnsi="Calibri"/>
                <w:sz w:val="18"/>
                <w:szCs w:val="18"/>
                <w:lang w:val="en-CA" w:eastAsia="fr-FR"/>
              </w:rPr>
            </w:pPr>
            <w:r w:rsidRPr="00BA18F6">
              <w:rPr>
                <w:rFonts w:ascii="Calibri" w:eastAsia="Times New Roman" w:hAnsi="Calibri"/>
                <w:sz w:val="18"/>
                <w:szCs w:val="18"/>
                <w:lang w:val="en-CA" w:eastAsia="fr-FR"/>
              </w:rPr>
              <w:t>Degradation of floristic resources</w:t>
            </w:r>
          </w:p>
          <w:p w14:paraId="41105684" w14:textId="77777777" w:rsidR="00302BFE" w:rsidRPr="00BA18F6" w:rsidRDefault="00302BFE" w:rsidP="00243B15">
            <w:pPr>
              <w:pStyle w:val="Paragraphedeliste"/>
              <w:ind w:left="0"/>
              <w:jc w:val="both"/>
              <w:rPr>
                <w:rFonts w:ascii="Calibri" w:eastAsia="Times New Roman" w:hAnsi="Calibri"/>
                <w:sz w:val="18"/>
                <w:szCs w:val="18"/>
                <w:lang w:val="en-CA" w:eastAsia="fr-FR"/>
              </w:rPr>
            </w:pPr>
            <w:r w:rsidRPr="00BA18F6">
              <w:rPr>
                <w:rFonts w:ascii="Calibri" w:eastAsia="Times New Roman" w:hAnsi="Calibri"/>
                <w:sz w:val="18"/>
                <w:szCs w:val="18"/>
                <w:lang w:val="en-CA" w:eastAsia="fr-FR"/>
              </w:rPr>
              <w:t>Removal of forest resource exploitation sites from settlements</w:t>
            </w:r>
          </w:p>
          <w:p w14:paraId="2AD3CE43" w14:textId="77777777" w:rsidR="00302BFE" w:rsidRPr="00BA18F6" w:rsidRDefault="00302BFE" w:rsidP="00243B15">
            <w:pPr>
              <w:pStyle w:val="Paragraphedeliste"/>
              <w:ind w:left="0"/>
              <w:jc w:val="both"/>
              <w:rPr>
                <w:rFonts w:ascii="Calibri" w:eastAsia="Times New Roman" w:hAnsi="Calibri"/>
                <w:sz w:val="18"/>
                <w:szCs w:val="18"/>
                <w:lang w:val="en-CA" w:eastAsia="fr-FR"/>
              </w:rPr>
            </w:pPr>
            <w:r w:rsidRPr="00BA18F6">
              <w:rPr>
                <w:rFonts w:ascii="Calibri" w:eastAsia="Times New Roman" w:hAnsi="Calibri"/>
                <w:sz w:val="18"/>
                <w:szCs w:val="18"/>
                <w:lang w:val="en-CA" w:eastAsia="fr-FR"/>
              </w:rPr>
              <w:t>Climate change pressure, bush fires, abusive cuts</w:t>
            </w:r>
          </w:p>
        </w:tc>
      </w:tr>
      <w:tr w:rsidR="00302BFE" w:rsidRPr="00BA18F6" w14:paraId="3FC6BE67" w14:textId="77777777" w:rsidTr="00243B15">
        <w:trPr>
          <w:jc w:val="center"/>
        </w:trPr>
        <w:tc>
          <w:tcPr>
            <w:tcW w:w="1647" w:type="dxa"/>
            <w:tcBorders>
              <w:top w:val="single" w:sz="4" w:space="0" w:color="C5E0B3"/>
              <w:left w:val="single" w:sz="4" w:space="0" w:color="C5E0B3"/>
              <w:bottom w:val="single" w:sz="4" w:space="0" w:color="C5E0B3"/>
              <w:right w:val="single" w:sz="4" w:space="0" w:color="C5E0B3"/>
            </w:tcBorders>
            <w:shd w:val="clear" w:color="auto" w:fill="auto"/>
            <w:vAlign w:val="center"/>
            <w:hideMark/>
          </w:tcPr>
          <w:p w14:paraId="058057D9" w14:textId="77777777" w:rsidR="00302BFE" w:rsidRPr="00BA18F6" w:rsidRDefault="00302BFE" w:rsidP="00243B15">
            <w:pPr>
              <w:spacing w:after="0"/>
              <w:rPr>
                <w:rFonts w:eastAsia="Times New Roman"/>
                <w:b/>
                <w:bCs/>
                <w:sz w:val="18"/>
                <w:szCs w:val="18"/>
                <w:lang w:eastAsia="fr-FR"/>
              </w:rPr>
            </w:pPr>
            <w:r w:rsidRPr="00BA18F6">
              <w:rPr>
                <w:rFonts w:eastAsia="Times New Roman"/>
                <w:b/>
                <w:bCs/>
                <w:sz w:val="18"/>
                <w:szCs w:val="18"/>
                <w:lang w:eastAsia="fr-FR"/>
              </w:rPr>
              <w:t xml:space="preserve">Legal </w:t>
            </w:r>
          </w:p>
        </w:tc>
        <w:tc>
          <w:tcPr>
            <w:tcW w:w="4444" w:type="dxa"/>
            <w:tcBorders>
              <w:top w:val="single" w:sz="4" w:space="0" w:color="C5E0B3"/>
              <w:left w:val="single" w:sz="4" w:space="0" w:color="C5E0B3"/>
              <w:bottom w:val="single" w:sz="4" w:space="0" w:color="C5E0B3"/>
              <w:right w:val="single" w:sz="4" w:space="0" w:color="C5E0B3"/>
            </w:tcBorders>
            <w:shd w:val="clear" w:color="auto" w:fill="auto"/>
            <w:vAlign w:val="center"/>
            <w:hideMark/>
          </w:tcPr>
          <w:p w14:paraId="27B6E31F" w14:textId="77777777" w:rsidR="00302BFE" w:rsidRPr="00BA18F6" w:rsidRDefault="00302BFE" w:rsidP="00243B15">
            <w:pPr>
              <w:pStyle w:val="Paragraphedeliste"/>
              <w:ind w:left="0"/>
              <w:jc w:val="both"/>
              <w:rPr>
                <w:rFonts w:ascii="Calibri" w:eastAsia="Times New Roman" w:hAnsi="Calibri"/>
                <w:sz w:val="18"/>
                <w:szCs w:val="18"/>
                <w:lang w:val="en-CA" w:eastAsia="fr-FR"/>
              </w:rPr>
            </w:pPr>
            <w:r w:rsidRPr="00BA18F6">
              <w:rPr>
                <w:rFonts w:ascii="Calibri" w:eastAsia="Times New Roman" w:hAnsi="Calibri"/>
                <w:sz w:val="18"/>
                <w:szCs w:val="18"/>
                <w:lang w:val="en-CA" w:eastAsia="fr-FR"/>
              </w:rPr>
              <w:t>Existence of traditional regulations for the protection of forest resources (sacred wood, tacit charter of protection and exploitation)</w:t>
            </w:r>
          </w:p>
          <w:p w14:paraId="2E33D416" w14:textId="77777777" w:rsidR="00302BFE" w:rsidRPr="00BA18F6" w:rsidRDefault="00302BFE" w:rsidP="00243B15">
            <w:pPr>
              <w:pStyle w:val="Paragraphedeliste"/>
              <w:ind w:left="0"/>
              <w:jc w:val="both"/>
              <w:rPr>
                <w:rFonts w:ascii="Calibri" w:eastAsia="Times New Roman" w:hAnsi="Calibri"/>
                <w:sz w:val="18"/>
                <w:szCs w:val="18"/>
                <w:lang w:val="en-CA" w:eastAsia="fr-FR"/>
              </w:rPr>
            </w:pPr>
            <w:r w:rsidRPr="00BA18F6">
              <w:rPr>
                <w:rFonts w:ascii="Calibri" w:eastAsia="Times New Roman" w:hAnsi="Calibri"/>
                <w:sz w:val="18"/>
                <w:szCs w:val="18"/>
                <w:lang w:val="en-CA" w:eastAsia="fr-FR"/>
              </w:rPr>
              <w:lastRenderedPageBreak/>
              <w:t>National Gender Policy favorable to the involvement and valorization of the contribution of the woman for the exploitation and the fair management of the income</w:t>
            </w:r>
          </w:p>
          <w:p w14:paraId="155C0FD6" w14:textId="77777777" w:rsidR="00302BFE" w:rsidRPr="00BA18F6" w:rsidRDefault="00302BFE" w:rsidP="00243B15">
            <w:pPr>
              <w:pStyle w:val="Paragraphedeliste"/>
              <w:ind w:left="0"/>
              <w:jc w:val="both"/>
              <w:rPr>
                <w:rFonts w:ascii="Calibri" w:eastAsia="Times New Roman" w:hAnsi="Calibri"/>
                <w:sz w:val="18"/>
                <w:szCs w:val="18"/>
                <w:lang w:val="en-CA" w:eastAsia="fr-FR"/>
              </w:rPr>
            </w:pPr>
            <w:r w:rsidRPr="00BA18F6">
              <w:rPr>
                <w:rFonts w:ascii="Calibri" w:eastAsia="Times New Roman" w:hAnsi="Calibri"/>
                <w:sz w:val="18"/>
                <w:szCs w:val="18"/>
                <w:lang w:val="en-CA" w:eastAsia="fr-FR"/>
              </w:rPr>
              <w:t>Existence of an enabling legislative framework: the environmental code, forest code, the mining code, the rural land law that affirms the equal access to environmental resources.</w:t>
            </w:r>
          </w:p>
        </w:tc>
        <w:tc>
          <w:tcPr>
            <w:tcW w:w="4541" w:type="dxa"/>
            <w:tcBorders>
              <w:top w:val="single" w:sz="4" w:space="0" w:color="C5E0B3"/>
              <w:left w:val="single" w:sz="4" w:space="0" w:color="C5E0B3"/>
              <w:bottom w:val="single" w:sz="4" w:space="0" w:color="C5E0B3"/>
              <w:right w:val="single" w:sz="4" w:space="0" w:color="C5E0B3"/>
            </w:tcBorders>
            <w:shd w:val="clear" w:color="auto" w:fill="auto"/>
            <w:vAlign w:val="center"/>
          </w:tcPr>
          <w:p w14:paraId="07D82EEE" w14:textId="77777777" w:rsidR="00302BFE" w:rsidRPr="00BA18F6" w:rsidRDefault="00302BFE" w:rsidP="00243B15">
            <w:pPr>
              <w:pStyle w:val="Paragraphedeliste"/>
              <w:ind w:left="0"/>
              <w:jc w:val="both"/>
              <w:rPr>
                <w:rFonts w:ascii="Calibri" w:eastAsia="Times New Roman" w:hAnsi="Calibri"/>
                <w:sz w:val="18"/>
                <w:szCs w:val="18"/>
                <w:lang w:eastAsia="fr-FR"/>
              </w:rPr>
            </w:pPr>
            <w:r w:rsidRPr="00BA18F6">
              <w:rPr>
                <w:rFonts w:ascii="Calibri" w:eastAsia="Times New Roman" w:hAnsi="Calibri"/>
                <w:sz w:val="18"/>
                <w:szCs w:val="18"/>
                <w:lang w:eastAsia="fr-FR"/>
              </w:rPr>
              <w:lastRenderedPageBreak/>
              <w:t>Traditional restrictions as prohibitions for women / girls (socio-cultural constraints)</w:t>
            </w:r>
          </w:p>
          <w:p w14:paraId="0B8D1E0E" w14:textId="77777777" w:rsidR="00302BFE" w:rsidRPr="00BA18F6" w:rsidRDefault="00302BFE" w:rsidP="00243B15">
            <w:pPr>
              <w:pStyle w:val="Paragraphedeliste"/>
              <w:ind w:left="0"/>
              <w:jc w:val="both"/>
              <w:rPr>
                <w:rFonts w:ascii="Calibri" w:eastAsia="Times New Roman" w:hAnsi="Calibri"/>
                <w:sz w:val="18"/>
                <w:szCs w:val="18"/>
                <w:lang w:eastAsia="fr-FR"/>
              </w:rPr>
            </w:pPr>
          </w:p>
        </w:tc>
      </w:tr>
    </w:tbl>
    <w:p w14:paraId="46833B8D" w14:textId="77777777" w:rsidR="00302BFE" w:rsidRPr="00BA18F6" w:rsidRDefault="00302BFE" w:rsidP="00302BFE">
      <w:pPr>
        <w:spacing w:before="120" w:after="120"/>
        <w:rPr>
          <w:rStyle w:val="A0"/>
          <w:rFonts w:ascii="Calibri" w:hAnsi="Calibri"/>
          <w:lang w:val="en-CA"/>
        </w:rPr>
      </w:pPr>
      <w:r w:rsidRPr="00BA18F6">
        <w:rPr>
          <w:b/>
          <w:szCs w:val="20"/>
          <w:lang w:val="en-CA"/>
        </w:rPr>
        <w:t>Access to agricultural resources</w:t>
      </w:r>
      <w:r>
        <w:rPr>
          <w:b/>
          <w:szCs w:val="20"/>
          <w:lang w:val="en-CA"/>
        </w:rPr>
        <w:t xml:space="preserve">. </w:t>
      </w:r>
      <w:r w:rsidRPr="00BA18F6">
        <w:rPr>
          <w:rStyle w:val="A0"/>
          <w:rFonts w:ascii="Calibri" w:hAnsi="Calibri"/>
          <w:lang w:val="en-CA"/>
        </w:rPr>
        <w:t>Women are disproportionately affected by access to the factors of production and land resources on which they depend for their livelihoods and living conditions because of the inequalities related to their accessibility. For example, for sites set up for intensive production, the number of women beneficiaries is much lower than that of men.</w:t>
      </w:r>
    </w:p>
    <w:p w14:paraId="33906AAA" w14:textId="77777777" w:rsidR="00302BFE" w:rsidRPr="00BA18F6" w:rsidRDefault="00302BFE" w:rsidP="00302BFE">
      <w:pPr>
        <w:spacing w:before="120" w:after="120"/>
        <w:rPr>
          <w:rStyle w:val="A0"/>
          <w:rFonts w:ascii="Calibri" w:hAnsi="Calibri"/>
          <w:lang w:val="en-CA"/>
        </w:rPr>
      </w:pPr>
      <w:r w:rsidRPr="00BA18F6">
        <w:rPr>
          <w:b/>
          <w:szCs w:val="20"/>
          <w:lang w:val="en-CA"/>
        </w:rPr>
        <w:t>Livestock</w:t>
      </w:r>
      <w:r>
        <w:rPr>
          <w:b/>
          <w:szCs w:val="20"/>
          <w:lang w:val="en-CA"/>
        </w:rPr>
        <w:t xml:space="preserve">. </w:t>
      </w:r>
      <w:r w:rsidRPr="00BA18F6">
        <w:rPr>
          <w:rStyle w:val="A0"/>
          <w:rFonts w:ascii="Calibri" w:hAnsi="Calibri"/>
          <w:lang w:val="en-CA"/>
        </w:rPr>
        <w:t>Women are mainly involved in the breeding of small ruminants (sheep, goats), in pig breeding and in poultry farming, following an extensive breeding method. For small ruminants and pigs, they practice much more breeding. Fattening is almost non-existent, although this mode of production generates more income.</w:t>
      </w:r>
    </w:p>
    <w:p w14:paraId="4658B873" w14:textId="77777777" w:rsidR="00302BFE" w:rsidRPr="00BA18F6" w:rsidRDefault="00302BFE" w:rsidP="00302BFE">
      <w:pPr>
        <w:spacing w:before="120" w:after="120"/>
        <w:rPr>
          <w:b/>
          <w:color w:val="4472C4"/>
          <w:szCs w:val="20"/>
          <w:lang w:val="en-CA"/>
        </w:rPr>
      </w:pPr>
      <w:bookmarkStart w:id="75" w:name="_Toc7382325"/>
      <w:r w:rsidRPr="00BA18F6">
        <w:rPr>
          <w:b/>
          <w:color w:val="4472C4"/>
          <w:szCs w:val="20"/>
          <w:lang w:val="en-CA"/>
        </w:rPr>
        <w:t>CONCLUSION</w:t>
      </w:r>
      <w:bookmarkEnd w:id="75"/>
      <w:r w:rsidRPr="00BA18F6">
        <w:rPr>
          <w:b/>
          <w:color w:val="4472C4"/>
          <w:szCs w:val="20"/>
          <w:lang w:val="en-CA"/>
        </w:rPr>
        <w:t xml:space="preserve"> </w:t>
      </w:r>
    </w:p>
    <w:p w14:paraId="54A8F290" w14:textId="225985F0" w:rsidR="00302BFE" w:rsidRDefault="00580E65" w:rsidP="00302BFE">
      <w:pPr>
        <w:spacing w:before="120" w:after="120"/>
        <w:rPr>
          <w:szCs w:val="20"/>
          <w:lang w:val="en-CA"/>
        </w:rPr>
      </w:pPr>
      <w:r w:rsidRPr="00430A7A">
        <w:rPr>
          <w:szCs w:val="20"/>
          <w:lang w:val="en-CA"/>
        </w:rPr>
        <w:t>Similar</w:t>
      </w:r>
      <w:r w:rsidR="00302BFE" w:rsidRPr="00430A7A">
        <w:rPr>
          <w:szCs w:val="20"/>
          <w:lang w:val="en-CA"/>
        </w:rPr>
        <w:t xml:space="preserve"> </w:t>
      </w:r>
      <w:r>
        <w:rPr>
          <w:szCs w:val="20"/>
          <w:lang w:val="en-CA"/>
        </w:rPr>
        <w:t xml:space="preserve">to </w:t>
      </w:r>
      <w:r w:rsidR="00302BFE" w:rsidRPr="00430A7A">
        <w:rPr>
          <w:szCs w:val="20"/>
          <w:lang w:val="en-CA"/>
        </w:rPr>
        <w:t>the social systems that characterize Burkinabe societies in general, the traditional distribution of gender roles is at the origin of gender-differentiated behavior in production activities (processing and marketing activities) in the landscaped area of the PONASI complex.</w:t>
      </w:r>
      <w:r w:rsidR="00302BFE">
        <w:rPr>
          <w:szCs w:val="20"/>
          <w:lang w:val="en-CA"/>
        </w:rPr>
        <w:t xml:space="preserve"> </w:t>
      </w:r>
      <w:r w:rsidR="00302BFE" w:rsidRPr="00430A7A">
        <w:rPr>
          <w:szCs w:val="20"/>
          <w:lang w:val="en-CA"/>
        </w:rPr>
        <w:t>Production systems are dominated and dictated by a predominant patriarchal system where women and children are simply considered productive assets or simply unpaid labor and not involved in decision-making.</w:t>
      </w:r>
      <w:r w:rsidR="00302BFE" w:rsidRPr="00BA18F6">
        <w:rPr>
          <w:szCs w:val="20"/>
          <w:lang w:val="en-CA"/>
        </w:rPr>
        <w:t xml:space="preserve"> </w:t>
      </w:r>
      <w:r w:rsidR="00302BFE" w:rsidRPr="00430A7A">
        <w:rPr>
          <w:szCs w:val="20"/>
          <w:lang w:val="en-CA"/>
        </w:rPr>
        <w:t xml:space="preserve">In </w:t>
      </w:r>
      <w:r w:rsidR="00302BFE">
        <w:rPr>
          <w:szCs w:val="20"/>
          <w:lang w:val="en-CA"/>
        </w:rPr>
        <w:t xml:space="preserve">the </w:t>
      </w:r>
      <w:r w:rsidR="00302BFE" w:rsidRPr="00430A7A">
        <w:rPr>
          <w:szCs w:val="20"/>
          <w:lang w:val="en-CA"/>
        </w:rPr>
        <w:t>PONASI</w:t>
      </w:r>
      <w:r w:rsidR="00302BFE">
        <w:rPr>
          <w:szCs w:val="20"/>
          <w:lang w:val="en-CA"/>
        </w:rPr>
        <w:t xml:space="preserve"> landscape</w:t>
      </w:r>
      <w:r w:rsidR="00302BFE" w:rsidRPr="00430A7A">
        <w:rPr>
          <w:szCs w:val="20"/>
          <w:lang w:val="en-CA"/>
        </w:rPr>
        <w:t>, inequalities and gender disparities contribute to the structural weakness of the economy and the feminization of poverty. Women, the main actors in the exploitation and management of forest resources, do not currently derive significant benefits from the resources exploited. Thus, the project will aim at improving the accessibility of women to factors of production, information, and contributing to the development of value chains that will benefit them, in order to facilitate their contribution to the management of protected areas and conservation of biodiversity in the project area.</w:t>
      </w:r>
    </w:p>
    <w:p w14:paraId="706E4F88" w14:textId="77777777" w:rsidR="00302BFE" w:rsidRDefault="00302BFE" w:rsidP="00302BFE">
      <w:pPr>
        <w:spacing w:before="120" w:after="120"/>
        <w:rPr>
          <w:szCs w:val="20"/>
          <w:lang w:val="en-CA"/>
        </w:rPr>
        <w:sectPr w:rsidR="00302BFE" w:rsidSect="00243B15">
          <w:pgSz w:w="12240" w:h="15840" w:code="1"/>
          <w:pgMar w:top="720" w:right="720" w:bottom="720" w:left="720" w:header="720" w:footer="720" w:gutter="0"/>
          <w:cols w:space="720"/>
          <w:docGrid w:linePitch="360"/>
        </w:sectPr>
      </w:pPr>
    </w:p>
    <w:p w14:paraId="52EE10B6" w14:textId="77777777" w:rsidR="00302BFE" w:rsidRPr="00BA18F6" w:rsidRDefault="00302BFE" w:rsidP="00302BFE">
      <w:pPr>
        <w:spacing w:before="120" w:after="120"/>
        <w:rPr>
          <w:b/>
          <w:szCs w:val="20"/>
          <w:lang w:val="en-CA"/>
        </w:rPr>
      </w:pPr>
      <w:r w:rsidRPr="00BA18F6">
        <w:rPr>
          <w:b/>
          <w:szCs w:val="20"/>
          <w:lang w:val="en-CA"/>
        </w:rPr>
        <w:lastRenderedPageBreak/>
        <w:t>Gender Action Plan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3433"/>
        <w:gridCol w:w="1741"/>
        <w:gridCol w:w="1744"/>
        <w:gridCol w:w="20"/>
        <w:gridCol w:w="884"/>
        <w:gridCol w:w="3013"/>
        <w:gridCol w:w="17"/>
      </w:tblGrid>
      <w:tr w:rsidR="00302BFE" w:rsidRPr="00B43F59" w14:paraId="25B9A282" w14:textId="77777777" w:rsidTr="00243B15">
        <w:trPr>
          <w:gridAfter w:val="1"/>
          <w:wAfter w:w="6" w:type="pct"/>
          <w:cantSplit/>
          <w:trHeight w:val="327"/>
          <w:tblHeader/>
          <w:jc w:val="center"/>
        </w:trPr>
        <w:tc>
          <w:tcPr>
            <w:tcW w:w="1229" w:type="pct"/>
            <w:shd w:val="clear" w:color="auto" w:fill="auto"/>
            <w:vAlign w:val="center"/>
          </w:tcPr>
          <w:p w14:paraId="1203FD26" w14:textId="77777777" w:rsidR="00302BFE" w:rsidRPr="00B43F59" w:rsidRDefault="00302BFE" w:rsidP="00243B15">
            <w:pPr>
              <w:spacing w:after="0"/>
              <w:jc w:val="left"/>
              <w:rPr>
                <w:b/>
                <w:sz w:val="18"/>
                <w:szCs w:val="18"/>
              </w:rPr>
            </w:pPr>
            <w:bookmarkStart w:id="76" w:name="_Hlk8832300"/>
            <w:r w:rsidRPr="00B43F59">
              <w:rPr>
                <w:b/>
                <w:sz w:val="18"/>
                <w:szCs w:val="18"/>
              </w:rPr>
              <w:t>Gender-related activity</w:t>
            </w:r>
          </w:p>
        </w:tc>
        <w:tc>
          <w:tcPr>
            <w:tcW w:w="1193" w:type="pct"/>
            <w:shd w:val="clear" w:color="auto" w:fill="auto"/>
            <w:vAlign w:val="center"/>
          </w:tcPr>
          <w:p w14:paraId="3E1344EA" w14:textId="77777777" w:rsidR="00302BFE" w:rsidRPr="00B43F59" w:rsidRDefault="00302BFE" w:rsidP="00243B15">
            <w:pPr>
              <w:spacing w:after="0"/>
              <w:jc w:val="left"/>
              <w:rPr>
                <w:b/>
                <w:sz w:val="18"/>
                <w:szCs w:val="18"/>
              </w:rPr>
            </w:pPr>
            <w:r w:rsidRPr="00B43F59">
              <w:rPr>
                <w:b/>
                <w:sz w:val="18"/>
                <w:szCs w:val="18"/>
              </w:rPr>
              <w:t>Indicator</w:t>
            </w:r>
          </w:p>
        </w:tc>
        <w:tc>
          <w:tcPr>
            <w:tcW w:w="605" w:type="pct"/>
            <w:shd w:val="clear" w:color="auto" w:fill="auto"/>
            <w:vAlign w:val="center"/>
          </w:tcPr>
          <w:p w14:paraId="0447A1FF" w14:textId="77777777" w:rsidR="00302BFE" w:rsidRPr="00B43F59" w:rsidRDefault="00302BFE" w:rsidP="00243B15">
            <w:pPr>
              <w:spacing w:after="0"/>
              <w:jc w:val="left"/>
              <w:rPr>
                <w:b/>
                <w:sz w:val="18"/>
                <w:szCs w:val="18"/>
              </w:rPr>
            </w:pPr>
            <w:r w:rsidRPr="00B43F59">
              <w:rPr>
                <w:b/>
                <w:sz w:val="18"/>
                <w:szCs w:val="18"/>
              </w:rPr>
              <w:t>Target</w:t>
            </w:r>
          </w:p>
        </w:tc>
        <w:tc>
          <w:tcPr>
            <w:tcW w:w="606" w:type="pct"/>
            <w:shd w:val="clear" w:color="auto" w:fill="auto"/>
            <w:vAlign w:val="center"/>
          </w:tcPr>
          <w:p w14:paraId="4B1E7712" w14:textId="77777777" w:rsidR="00302BFE" w:rsidRPr="00B43F59" w:rsidRDefault="00302BFE" w:rsidP="00243B15">
            <w:pPr>
              <w:spacing w:after="0"/>
              <w:jc w:val="left"/>
              <w:rPr>
                <w:b/>
                <w:sz w:val="18"/>
                <w:szCs w:val="18"/>
              </w:rPr>
            </w:pPr>
            <w:r w:rsidRPr="00B43F59">
              <w:rPr>
                <w:b/>
                <w:sz w:val="18"/>
                <w:szCs w:val="18"/>
              </w:rPr>
              <w:t>Baseline</w:t>
            </w:r>
          </w:p>
        </w:tc>
        <w:tc>
          <w:tcPr>
            <w:tcW w:w="314" w:type="pct"/>
            <w:gridSpan w:val="2"/>
            <w:shd w:val="clear" w:color="auto" w:fill="auto"/>
            <w:vAlign w:val="center"/>
          </w:tcPr>
          <w:p w14:paraId="6ACAD9A9" w14:textId="77777777" w:rsidR="00302BFE" w:rsidRPr="00B43F59" w:rsidRDefault="00302BFE" w:rsidP="00243B15">
            <w:pPr>
              <w:spacing w:after="0"/>
              <w:jc w:val="left"/>
              <w:rPr>
                <w:b/>
                <w:sz w:val="18"/>
                <w:szCs w:val="18"/>
              </w:rPr>
            </w:pPr>
            <w:r w:rsidRPr="00B43F59">
              <w:rPr>
                <w:b/>
                <w:sz w:val="18"/>
                <w:szCs w:val="18"/>
              </w:rPr>
              <w:t>Timeline</w:t>
            </w:r>
          </w:p>
        </w:tc>
        <w:tc>
          <w:tcPr>
            <w:tcW w:w="1047" w:type="pct"/>
            <w:shd w:val="clear" w:color="auto" w:fill="auto"/>
            <w:vAlign w:val="center"/>
          </w:tcPr>
          <w:p w14:paraId="030D065C" w14:textId="77777777" w:rsidR="00302BFE" w:rsidRPr="00B43F59" w:rsidRDefault="00302BFE" w:rsidP="00243B15">
            <w:pPr>
              <w:spacing w:after="0"/>
              <w:jc w:val="left"/>
              <w:rPr>
                <w:b/>
                <w:sz w:val="18"/>
                <w:szCs w:val="18"/>
              </w:rPr>
            </w:pPr>
            <w:r w:rsidRPr="00B43F59">
              <w:rPr>
                <w:b/>
                <w:sz w:val="18"/>
                <w:szCs w:val="18"/>
              </w:rPr>
              <w:t>Responsibility</w:t>
            </w:r>
          </w:p>
        </w:tc>
      </w:tr>
      <w:tr w:rsidR="00302BFE" w:rsidRPr="00B43F59" w14:paraId="48934CB5" w14:textId="77777777" w:rsidTr="00243B15">
        <w:trPr>
          <w:trHeight w:val="327"/>
          <w:jc w:val="center"/>
        </w:trPr>
        <w:tc>
          <w:tcPr>
            <w:tcW w:w="5000" w:type="pct"/>
            <w:gridSpan w:val="8"/>
            <w:shd w:val="clear" w:color="auto" w:fill="FBE4D5"/>
          </w:tcPr>
          <w:p w14:paraId="5D9C19B6" w14:textId="77777777" w:rsidR="00302BFE" w:rsidRPr="00B43F59" w:rsidRDefault="00302BFE" w:rsidP="00243B15">
            <w:pPr>
              <w:spacing w:after="0"/>
              <w:jc w:val="left"/>
              <w:rPr>
                <w:b/>
                <w:sz w:val="18"/>
                <w:szCs w:val="18"/>
                <w:lang w:val="en-CA"/>
              </w:rPr>
            </w:pPr>
            <w:r w:rsidRPr="00B43F59">
              <w:rPr>
                <w:b/>
                <w:sz w:val="18"/>
                <w:szCs w:val="18"/>
                <w:lang w:val="en-GB"/>
              </w:rPr>
              <w:t>Component 1. Framework for Integrated Landscape Management of PONASI with sustainable financing for its operation</w:t>
            </w:r>
          </w:p>
        </w:tc>
      </w:tr>
      <w:tr w:rsidR="00302BFE" w:rsidRPr="00B43F59" w14:paraId="587E2193" w14:textId="77777777" w:rsidTr="00243B15">
        <w:trPr>
          <w:trHeight w:val="327"/>
          <w:jc w:val="center"/>
        </w:trPr>
        <w:tc>
          <w:tcPr>
            <w:tcW w:w="5000" w:type="pct"/>
            <w:gridSpan w:val="8"/>
            <w:shd w:val="clear" w:color="auto" w:fill="auto"/>
            <w:vAlign w:val="center"/>
          </w:tcPr>
          <w:p w14:paraId="55F2A3AE" w14:textId="77777777" w:rsidR="00302BFE" w:rsidRPr="00B43F59" w:rsidRDefault="00302BFE" w:rsidP="00243B15">
            <w:pPr>
              <w:spacing w:after="0"/>
              <w:jc w:val="left"/>
              <w:rPr>
                <w:b/>
                <w:sz w:val="18"/>
                <w:szCs w:val="18"/>
                <w:lang w:val="en-CA"/>
              </w:rPr>
            </w:pPr>
            <w:r w:rsidRPr="00B43F59">
              <w:rPr>
                <w:b/>
                <w:sz w:val="18"/>
                <w:szCs w:val="18"/>
                <w:lang w:val="en-GB"/>
              </w:rPr>
              <w:t>Output 1.1 The "PONASI Landscape Co-Governance Mechanism" is updated, strengthened and operationalized</w:t>
            </w:r>
          </w:p>
        </w:tc>
      </w:tr>
      <w:tr w:rsidR="00302BFE" w:rsidRPr="00B43F59" w14:paraId="2A865F1F" w14:textId="77777777" w:rsidTr="00243B15">
        <w:trPr>
          <w:gridAfter w:val="1"/>
          <w:wAfter w:w="6" w:type="pct"/>
          <w:trHeight w:val="277"/>
          <w:jc w:val="center"/>
        </w:trPr>
        <w:tc>
          <w:tcPr>
            <w:tcW w:w="1229" w:type="pct"/>
            <w:vMerge w:val="restart"/>
            <w:shd w:val="clear" w:color="auto" w:fill="auto"/>
            <w:vAlign w:val="center"/>
          </w:tcPr>
          <w:p w14:paraId="79DAFCA9" w14:textId="77777777" w:rsidR="00302BFE" w:rsidRPr="00B43F59" w:rsidRDefault="00302BFE" w:rsidP="00243B15">
            <w:pPr>
              <w:spacing w:after="0"/>
              <w:contextualSpacing/>
              <w:jc w:val="left"/>
              <w:rPr>
                <w:sz w:val="18"/>
                <w:szCs w:val="18"/>
                <w:lang w:val="en-CA"/>
              </w:rPr>
            </w:pPr>
            <w:r w:rsidRPr="00B43F59">
              <w:rPr>
                <w:sz w:val="18"/>
                <w:szCs w:val="18"/>
                <w:lang w:val="en-CA"/>
              </w:rPr>
              <w:t>Ensure the integration of regional and communal councils for the promotion of gender in the PONASI landscape co-governance mechanism through awareness raising (output 1.1.3)</w:t>
            </w:r>
          </w:p>
        </w:tc>
        <w:tc>
          <w:tcPr>
            <w:tcW w:w="1193" w:type="pct"/>
            <w:shd w:val="clear" w:color="auto" w:fill="auto"/>
            <w:vAlign w:val="center"/>
          </w:tcPr>
          <w:p w14:paraId="611BCDB0" w14:textId="77777777" w:rsidR="00302BFE" w:rsidRPr="00B43F59" w:rsidRDefault="00302BFE" w:rsidP="00243B15">
            <w:pPr>
              <w:spacing w:after="0"/>
              <w:jc w:val="left"/>
              <w:rPr>
                <w:sz w:val="18"/>
                <w:szCs w:val="18"/>
                <w:lang w:val="en-CA"/>
              </w:rPr>
            </w:pPr>
            <w:r w:rsidRPr="00B43F59">
              <w:rPr>
                <w:sz w:val="18"/>
                <w:szCs w:val="18"/>
                <w:lang w:val="en-CA"/>
              </w:rPr>
              <w:t>Number of regional gender promotion councils participating in the PONASI landscape co-governance mechanism</w:t>
            </w:r>
          </w:p>
        </w:tc>
        <w:tc>
          <w:tcPr>
            <w:tcW w:w="605" w:type="pct"/>
            <w:shd w:val="clear" w:color="auto" w:fill="auto"/>
            <w:vAlign w:val="center"/>
          </w:tcPr>
          <w:p w14:paraId="02AEC12B" w14:textId="77777777" w:rsidR="00302BFE" w:rsidRPr="00B43F59" w:rsidRDefault="00302BFE" w:rsidP="00243B15">
            <w:pPr>
              <w:spacing w:after="0"/>
              <w:jc w:val="left"/>
              <w:rPr>
                <w:sz w:val="18"/>
                <w:szCs w:val="18"/>
              </w:rPr>
            </w:pPr>
            <w:r w:rsidRPr="00B43F59">
              <w:rPr>
                <w:sz w:val="18"/>
                <w:szCs w:val="18"/>
              </w:rPr>
              <w:t>3</w:t>
            </w:r>
          </w:p>
        </w:tc>
        <w:tc>
          <w:tcPr>
            <w:tcW w:w="606" w:type="pct"/>
            <w:vMerge w:val="restart"/>
            <w:shd w:val="clear" w:color="auto" w:fill="auto"/>
            <w:vAlign w:val="center"/>
          </w:tcPr>
          <w:p w14:paraId="05353523" w14:textId="77777777" w:rsidR="00302BFE" w:rsidRPr="00B43F59" w:rsidRDefault="00302BFE" w:rsidP="00243B15">
            <w:pPr>
              <w:spacing w:after="0"/>
              <w:jc w:val="left"/>
              <w:rPr>
                <w:sz w:val="18"/>
                <w:szCs w:val="18"/>
              </w:rPr>
            </w:pPr>
            <w:r w:rsidRPr="00B43F59">
              <w:rPr>
                <w:sz w:val="18"/>
                <w:szCs w:val="18"/>
              </w:rPr>
              <w:t>0</w:t>
            </w:r>
          </w:p>
        </w:tc>
        <w:tc>
          <w:tcPr>
            <w:tcW w:w="314" w:type="pct"/>
            <w:gridSpan w:val="2"/>
            <w:shd w:val="clear" w:color="auto" w:fill="auto"/>
            <w:vAlign w:val="center"/>
          </w:tcPr>
          <w:p w14:paraId="65444121" w14:textId="77777777" w:rsidR="00302BFE" w:rsidRPr="00B43F59" w:rsidRDefault="00302BFE" w:rsidP="00243B15">
            <w:pPr>
              <w:spacing w:after="0"/>
              <w:jc w:val="left"/>
              <w:rPr>
                <w:sz w:val="18"/>
                <w:szCs w:val="18"/>
              </w:rPr>
            </w:pPr>
            <w:r w:rsidRPr="00B43F59">
              <w:rPr>
                <w:sz w:val="18"/>
                <w:szCs w:val="18"/>
              </w:rPr>
              <w:t>Year 1</w:t>
            </w:r>
          </w:p>
        </w:tc>
        <w:tc>
          <w:tcPr>
            <w:tcW w:w="1047" w:type="pct"/>
            <w:vMerge w:val="restart"/>
            <w:shd w:val="clear" w:color="auto" w:fill="auto"/>
            <w:vAlign w:val="center"/>
          </w:tcPr>
          <w:p w14:paraId="06836F6A" w14:textId="77777777" w:rsidR="00302BFE" w:rsidRPr="00B43F59" w:rsidRDefault="00302BFE" w:rsidP="00243B15">
            <w:pPr>
              <w:pStyle w:val="Paragraphedeliste"/>
              <w:ind w:left="0"/>
              <w:contextualSpacing/>
              <w:rPr>
                <w:rFonts w:ascii="Calibri" w:hAnsi="Calibri"/>
                <w:sz w:val="18"/>
                <w:szCs w:val="18"/>
                <w:lang w:val="en-CA"/>
              </w:rPr>
            </w:pPr>
            <w:r w:rsidRPr="00B43F59">
              <w:rPr>
                <w:rFonts w:ascii="Calibri" w:hAnsi="Calibri"/>
                <w:sz w:val="18"/>
                <w:szCs w:val="18"/>
                <w:lang w:val="en-CA"/>
              </w:rPr>
              <w:t>Project Gender Expert</w:t>
            </w:r>
          </w:p>
          <w:p w14:paraId="7B55F74B" w14:textId="77777777" w:rsidR="00302BFE" w:rsidRPr="00B43F59" w:rsidRDefault="00302BFE" w:rsidP="00243B15">
            <w:pPr>
              <w:pStyle w:val="Paragraphedeliste"/>
              <w:ind w:left="0"/>
              <w:contextualSpacing/>
              <w:rPr>
                <w:rFonts w:ascii="Calibri" w:hAnsi="Calibri"/>
                <w:sz w:val="18"/>
                <w:szCs w:val="18"/>
                <w:lang w:val="en-CA"/>
              </w:rPr>
            </w:pPr>
            <w:r w:rsidRPr="00B43F59">
              <w:rPr>
                <w:rFonts w:ascii="Calibri" w:hAnsi="Calibri"/>
                <w:sz w:val="18"/>
                <w:szCs w:val="18"/>
              </w:rPr>
              <w:fldChar w:fldCharType="begin"/>
            </w:r>
            <w:r w:rsidRPr="00B43F59">
              <w:rPr>
                <w:rFonts w:ascii="Calibri" w:hAnsi="Calibri"/>
                <w:sz w:val="18"/>
                <w:szCs w:val="18"/>
                <w:lang w:val="en-CA"/>
              </w:rPr>
              <w:instrText xml:space="preserve"> HYPERLINK "http://lefaso.net/spip.php?article87367" </w:instrText>
            </w:r>
            <w:r w:rsidRPr="00B43F59">
              <w:rPr>
                <w:rFonts w:ascii="Calibri" w:hAnsi="Calibri"/>
                <w:sz w:val="18"/>
                <w:szCs w:val="18"/>
              </w:rPr>
              <w:fldChar w:fldCharType="separate"/>
            </w:r>
            <w:r w:rsidRPr="00B43F59">
              <w:rPr>
                <w:rFonts w:ascii="Calibri" w:hAnsi="Calibri"/>
                <w:sz w:val="18"/>
                <w:szCs w:val="18"/>
                <w:lang w:val="en-CA"/>
              </w:rPr>
              <w:t>Ministry of Women, National Solidarity and Family</w:t>
            </w:r>
          </w:p>
          <w:p w14:paraId="2BFCE485" w14:textId="77777777" w:rsidR="00302BFE" w:rsidRPr="00B43F59" w:rsidRDefault="00302BFE" w:rsidP="00243B15">
            <w:pPr>
              <w:pStyle w:val="Paragraphedeliste"/>
              <w:ind w:left="0"/>
              <w:contextualSpacing/>
              <w:rPr>
                <w:rFonts w:ascii="Calibri" w:hAnsi="Calibri"/>
                <w:sz w:val="18"/>
                <w:szCs w:val="18"/>
                <w:lang w:val="en-CA"/>
              </w:rPr>
            </w:pPr>
            <w:r w:rsidRPr="00B43F59">
              <w:rPr>
                <w:rFonts w:ascii="Calibri" w:hAnsi="Calibri"/>
                <w:sz w:val="18"/>
                <w:szCs w:val="18"/>
              </w:rPr>
              <w:fldChar w:fldCharType="end"/>
            </w:r>
            <w:r w:rsidRPr="00B43F59">
              <w:rPr>
                <w:rFonts w:ascii="Calibri" w:hAnsi="Calibri"/>
                <w:sz w:val="18"/>
                <w:szCs w:val="18"/>
                <w:lang w:val="en-CA"/>
              </w:rPr>
              <w:t xml:space="preserve">Permanent Secretariat of the National Council for the Promotion of Gender </w:t>
            </w:r>
            <w:r w:rsidRPr="00B43F59">
              <w:rPr>
                <w:rFonts w:ascii="Calibri" w:hAnsi="Calibri"/>
                <w:sz w:val="18"/>
                <w:szCs w:val="18"/>
                <w:lang w:val="en-CA" w:eastAsia="fr-CA"/>
              </w:rPr>
              <w:t xml:space="preserve">(SP/CONEP </w:t>
            </w:r>
            <w:r w:rsidRPr="00B43F59">
              <w:rPr>
                <w:rFonts w:ascii="Calibri" w:hAnsi="Calibri"/>
                <w:sz w:val="18"/>
                <w:szCs w:val="18"/>
                <w:lang w:val="en-CA"/>
              </w:rPr>
              <w:t>gender</w:t>
            </w:r>
            <w:r w:rsidRPr="00B43F59">
              <w:rPr>
                <w:rFonts w:ascii="Calibri" w:hAnsi="Calibri"/>
                <w:sz w:val="18"/>
                <w:szCs w:val="18"/>
                <w:lang w:val="en-CA" w:eastAsia="fr-CA"/>
              </w:rPr>
              <w:t>)</w:t>
            </w:r>
          </w:p>
          <w:p w14:paraId="1FD787ED" w14:textId="77777777" w:rsidR="00302BFE" w:rsidRPr="00B43F59" w:rsidRDefault="00302BFE" w:rsidP="00243B15">
            <w:pPr>
              <w:pStyle w:val="Paragraphedeliste"/>
              <w:ind w:left="0"/>
              <w:contextualSpacing/>
              <w:rPr>
                <w:rFonts w:ascii="Calibri" w:hAnsi="Calibri"/>
                <w:sz w:val="18"/>
                <w:szCs w:val="18"/>
              </w:rPr>
            </w:pPr>
            <w:r w:rsidRPr="00F45B1B">
              <w:rPr>
                <w:rFonts w:ascii="Calibri" w:hAnsi="Calibri"/>
                <w:sz w:val="18"/>
                <w:szCs w:val="18"/>
              </w:rPr>
              <w:t>Housing, and Community Development</w:t>
            </w:r>
          </w:p>
        </w:tc>
      </w:tr>
      <w:tr w:rsidR="00302BFE" w:rsidRPr="00B43F59" w14:paraId="1C060757" w14:textId="77777777" w:rsidTr="00243B15">
        <w:trPr>
          <w:gridAfter w:val="1"/>
          <w:wAfter w:w="6" w:type="pct"/>
          <w:trHeight w:val="883"/>
          <w:jc w:val="center"/>
        </w:trPr>
        <w:tc>
          <w:tcPr>
            <w:tcW w:w="1229" w:type="pct"/>
            <w:vMerge/>
            <w:shd w:val="clear" w:color="auto" w:fill="auto"/>
            <w:vAlign w:val="center"/>
          </w:tcPr>
          <w:p w14:paraId="7FFC01CC" w14:textId="77777777" w:rsidR="00302BFE" w:rsidRPr="00B43F59" w:rsidRDefault="00302BFE" w:rsidP="00243B15">
            <w:pPr>
              <w:spacing w:after="0"/>
              <w:contextualSpacing/>
              <w:jc w:val="left"/>
              <w:rPr>
                <w:sz w:val="18"/>
                <w:szCs w:val="18"/>
              </w:rPr>
            </w:pPr>
          </w:p>
        </w:tc>
        <w:tc>
          <w:tcPr>
            <w:tcW w:w="1193" w:type="pct"/>
            <w:shd w:val="clear" w:color="auto" w:fill="auto"/>
            <w:vAlign w:val="center"/>
          </w:tcPr>
          <w:p w14:paraId="01DDF1A3" w14:textId="77777777" w:rsidR="00302BFE" w:rsidRPr="00B43F59" w:rsidRDefault="00302BFE" w:rsidP="00243B15">
            <w:pPr>
              <w:spacing w:after="0"/>
              <w:jc w:val="left"/>
              <w:rPr>
                <w:sz w:val="18"/>
                <w:szCs w:val="18"/>
                <w:lang w:val="en-CA"/>
              </w:rPr>
            </w:pPr>
            <w:r w:rsidRPr="00B43F59">
              <w:rPr>
                <w:sz w:val="18"/>
                <w:szCs w:val="18"/>
                <w:lang w:val="en-CA"/>
              </w:rPr>
              <w:t xml:space="preserve">Number of </w:t>
            </w:r>
            <w:r w:rsidR="009363D6">
              <w:rPr>
                <w:sz w:val="18"/>
                <w:szCs w:val="18"/>
                <w:lang w:val="en-CA"/>
              </w:rPr>
              <w:t>communal</w:t>
            </w:r>
            <w:r w:rsidRPr="00B43F59">
              <w:rPr>
                <w:sz w:val="18"/>
                <w:szCs w:val="18"/>
                <w:lang w:val="en-CA"/>
              </w:rPr>
              <w:t xml:space="preserve"> councils promoting gender that are part of the PONASI landscape co-governance mechanism</w:t>
            </w:r>
          </w:p>
        </w:tc>
        <w:tc>
          <w:tcPr>
            <w:tcW w:w="605" w:type="pct"/>
            <w:shd w:val="clear" w:color="auto" w:fill="auto"/>
            <w:vAlign w:val="center"/>
          </w:tcPr>
          <w:p w14:paraId="3A8BBDE0" w14:textId="77777777" w:rsidR="00302BFE" w:rsidRPr="00B43F59" w:rsidRDefault="00302BFE" w:rsidP="00243B15">
            <w:pPr>
              <w:spacing w:after="0"/>
              <w:jc w:val="left"/>
              <w:rPr>
                <w:sz w:val="18"/>
                <w:szCs w:val="18"/>
              </w:rPr>
            </w:pPr>
            <w:r w:rsidRPr="00B43F59">
              <w:rPr>
                <w:sz w:val="18"/>
                <w:szCs w:val="18"/>
              </w:rPr>
              <w:t>9</w:t>
            </w:r>
          </w:p>
        </w:tc>
        <w:tc>
          <w:tcPr>
            <w:tcW w:w="606" w:type="pct"/>
            <w:vMerge/>
            <w:shd w:val="clear" w:color="auto" w:fill="auto"/>
            <w:vAlign w:val="center"/>
          </w:tcPr>
          <w:p w14:paraId="1E00150B" w14:textId="77777777" w:rsidR="00302BFE" w:rsidRPr="00B43F59" w:rsidRDefault="00302BFE" w:rsidP="00243B15">
            <w:pPr>
              <w:spacing w:after="0"/>
              <w:jc w:val="left"/>
              <w:rPr>
                <w:sz w:val="18"/>
                <w:szCs w:val="18"/>
              </w:rPr>
            </w:pPr>
          </w:p>
        </w:tc>
        <w:tc>
          <w:tcPr>
            <w:tcW w:w="314" w:type="pct"/>
            <w:gridSpan w:val="2"/>
            <w:shd w:val="clear" w:color="auto" w:fill="auto"/>
            <w:vAlign w:val="center"/>
          </w:tcPr>
          <w:p w14:paraId="0434093D" w14:textId="77777777" w:rsidR="00302BFE" w:rsidRPr="00B43F59" w:rsidRDefault="00302BFE" w:rsidP="00243B15">
            <w:pPr>
              <w:spacing w:after="0"/>
              <w:jc w:val="left"/>
              <w:rPr>
                <w:sz w:val="18"/>
                <w:szCs w:val="18"/>
              </w:rPr>
            </w:pPr>
            <w:r w:rsidRPr="00B43F59">
              <w:rPr>
                <w:sz w:val="18"/>
                <w:szCs w:val="18"/>
              </w:rPr>
              <w:t>Year 1</w:t>
            </w:r>
          </w:p>
        </w:tc>
        <w:tc>
          <w:tcPr>
            <w:tcW w:w="1047" w:type="pct"/>
            <w:vMerge/>
            <w:shd w:val="clear" w:color="auto" w:fill="auto"/>
            <w:vAlign w:val="center"/>
          </w:tcPr>
          <w:p w14:paraId="5B530C26" w14:textId="77777777" w:rsidR="00302BFE" w:rsidRPr="00B43F59" w:rsidRDefault="00302BFE" w:rsidP="00243B15">
            <w:pPr>
              <w:spacing w:after="0"/>
              <w:jc w:val="left"/>
              <w:rPr>
                <w:sz w:val="18"/>
                <w:szCs w:val="18"/>
              </w:rPr>
            </w:pPr>
          </w:p>
        </w:tc>
      </w:tr>
      <w:tr w:rsidR="00302BFE" w:rsidRPr="00B43F59" w14:paraId="429B239E" w14:textId="77777777" w:rsidTr="00243B15">
        <w:trPr>
          <w:gridAfter w:val="1"/>
          <w:wAfter w:w="6" w:type="pct"/>
          <w:trHeight w:val="901"/>
          <w:jc w:val="center"/>
        </w:trPr>
        <w:tc>
          <w:tcPr>
            <w:tcW w:w="1229" w:type="pct"/>
            <w:vMerge w:val="restart"/>
            <w:shd w:val="clear" w:color="auto" w:fill="auto"/>
            <w:vAlign w:val="center"/>
          </w:tcPr>
          <w:p w14:paraId="2E545FE9" w14:textId="77777777" w:rsidR="00302BFE" w:rsidRPr="00B43F59" w:rsidRDefault="00302BFE" w:rsidP="00243B15">
            <w:pPr>
              <w:spacing w:after="0"/>
              <w:contextualSpacing/>
              <w:jc w:val="left"/>
              <w:rPr>
                <w:sz w:val="18"/>
                <w:szCs w:val="18"/>
                <w:lang w:val="en-CA"/>
              </w:rPr>
            </w:pPr>
            <w:r w:rsidRPr="00B43F59">
              <w:rPr>
                <w:sz w:val="18"/>
                <w:szCs w:val="18"/>
                <w:lang w:val="en-CA"/>
              </w:rPr>
              <w:t>Train regional and commune councils to master the gender concept and their role in the implementation of the national gender policy (output 1.1.3)</w:t>
            </w:r>
          </w:p>
        </w:tc>
        <w:tc>
          <w:tcPr>
            <w:tcW w:w="1193" w:type="pct"/>
            <w:shd w:val="clear" w:color="auto" w:fill="auto"/>
            <w:vAlign w:val="center"/>
          </w:tcPr>
          <w:p w14:paraId="75F0362C" w14:textId="77777777" w:rsidR="00302BFE" w:rsidRPr="00B43F59" w:rsidRDefault="00302BFE" w:rsidP="00243B15">
            <w:pPr>
              <w:spacing w:after="0"/>
              <w:jc w:val="left"/>
              <w:rPr>
                <w:sz w:val="18"/>
                <w:szCs w:val="18"/>
                <w:lang w:val="en-CA"/>
              </w:rPr>
            </w:pPr>
            <w:r w:rsidRPr="00B43F59">
              <w:rPr>
                <w:sz w:val="18"/>
                <w:szCs w:val="18"/>
                <w:lang w:val="en-CA"/>
              </w:rPr>
              <w:t>Number of regional councils trained in mastering the gender concept and their role in the implementation of the national gender policy</w:t>
            </w:r>
          </w:p>
        </w:tc>
        <w:tc>
          <w:tcPr>
            <w:tcW w:w="605" w:type="pct"/>
            <w:shd w:val="clear" w:color="auto" w:fill="auto"/>
            <w:vAlign w:val="center"/>
          </w:tcPr>
          <w:p w14:paraId="1B5B2F98" w14:textId="77777777" w:rsidR="00302BFE" w:rsidRPr="00B43F59" w:rsidRDefault="00302BFE" w:rsidP="00243B15">
            <w:pPr>
              <w:spacing w:after="0"/>
              <w:jc w:val="left"/>
              <w:rPr>
                <w:sz w:val="18"/>
                <w:szCs w:val="18"/>
              </w:rPr>
            </w:pPr>
            <w:r w:rsidRPr="00B43F59">
              <w:rPr>
                <w:sz w:val="18"/>
                <w:szCs w:val="18"/>
              </w:rPr>
              <w:t>3</w:t>
            </w:r>
          </w:p>
        </w:tc>
        <w:tc>
          <w:tcPr>
            <w:tcW w:w="606" w:type="pct"/>
            <w:vMerge w:val="restart"/>
            <w:shd w:val="clear" w:color="auto" w:fill="auto"/>
            <w:vAlign w:val="center"/>
          </w:tcPr>
          <w:p w14:paraId="143DAC91" w14:textId="77777777" w:rsidR="00302BFE" w:rsidRPr="00B43F59" w:rsidRDefault="00302BFE" w:rsidP="00243B15">
            <w:pPr>
              <w:spacing w:after="0"/>
              <w:jc w:val="left"/>
              <w:rPr>
                <w:sz w:val="18"/>
                <w:szCs w:val="18"/>
                <w:lang w:val="en-CA"/>
              </w:rPr>
            </w:pPr>
            <w:r w:rsidRPr="00B43F59">
              <w:rPr>
                <w:sz w:val="18"/>
                <w:szCs w:val="18"/>
                <w:lang w:val="en-CA"/>
              </w:rPr>
              <w:t>0 (regional and communal councils have not yet been trained on gender and do not really control their role in the implementation of the national gender policy)</w:t>
            </w:r>
          </w:p>
        </w:tc>
        <w:tc>
          <w:tcPr>
            <w:tcW w:w="314" w:type="pct"/>
            <w:gridSpan w:val="2"/>
            <w:shd w:val="clear" w:color="auto" w:fill="auto"/>
            <w:vAlign w:val="center"/>
          </w:tcPr>
          <w:p w14:paraId="1D12020E" w14:textId="77777777" w:rsidR="00302BFE" w:rsidRPr="00B43F59" w:rsidRDefault="00302BFE" w:rsidP="00243B15">
            <w:pPr>
              <w:spacing w:after="0"/>
              <w:jc w:val="left"/>
              <w:rPr>
                <w:sz w:val="18"/>
                <w:szCs w:val="18"/>
              </w:rPr>
            </w:pPr>
            <w:r w:rsidRPr="00B43F59">
              <w:rPr>
                <w:sz w:val="18"/>
                <w:szCs w:val="18"/>
              </w:rPr>
              <w:t>Year 1</w:t>
            </w:r>
          </w:p>
        </w:tc>
        <w:tc>
          <w:tcPr>
            <w:tcW w:w="1047" w:type="pct"/>
            <w:shd w:val="clear" w:color="auto" w:fill="auto"/>
            <w:vAlign w:val="center"/>
          </w:tcPr>
          <w:p w14:paraId="56E5A295" w14:textId="77777777" w:rsidR="00302BFE" w:rsidRPr="00B43F59" w:rsidRDefault="00302BFE" w:rsidP="00243B15">
            <w:pPr>
              <w:spacing w:after="0"/>
              <w:jc w:val="left"/>
              <w:rPr>
                <w:sz w:val="18"/>
                <w:szCs w:val="18"/>
              </w:rPr>
            </w:pPr>
            <w:r w:rsidRPr="00B43F59">
              <w:rPr>
                <w:sz w:val="18"/>
                <w:szCs w:val="18"/>
              </w:rPr>
              <w:t>Project Gender Expert</w:t>
            </w:r>
          </w:p>
        </w:tc>
      </w:tr>
      <w:tr w:rsidR="00302BFE" w:rsidRPr="00B43F59" w14:paraId="0DB59D61" w14:textId="77777777" w:rsidTr="00243B15">
        <w:trPr>
          <w:gridAfter w:val="1"/>
          <w:wAfter w:w="6" w:type="pct"/>
          <w:trHeight w:val="863"/>
          <w:jc w:val="center"/>
        </w:trPr>
        <w:tc>
          <w:tcPr>
            <w:tcW w:w="1229" w:type="pct"/>
            <w:vMerge/>
            <w:shd w:val="clear" w:color="auto" w:fill="auto"/>
            <w:vAlign w:val="center"/>
          </w:tcPr>
          <w:p w14:paraId="54B2370B" w14:textId="77777777" w:rsidR="00302BFE" w:rsidRPr="00B43F59" w:rsidRDefault="00302BFE" w:rsidP="00243B15">
            <w:pPr>
              <w:spacing w:after="0"/>
              <w:contextualSpacing/>
              <w:jc w:val="left"/>
              <w:rPr>
                <w:sz w:val="18"/>
                <w:szCs w:val="18"/>
              </w:rPr>
            </w:pPr>
          </w:p>
        </w:tc>
        <w:tc>
          <w:tcPr>
            <w:tcW w:w="1193" w:type="pct"/>
            <w:shd w:val="clear" w:color="auto" w:fill="auto"/>
            <w:vAlign w:val="center"/>
          </w:tcPr>
          <w:p w14:paraId="53F6883F" w14:textId="77777777" w:rsidR="00302BFE" w:rsidRPr="00B43F59" w:rsidRDefault="00302BFE" w:rsidP="00243B15">
            <w:pPr>
              <w:spacing w:after="0"/>
              <w:jc w:val="left"/>
              <w:rPr>
                <w:sz w:val="18"/>
                <w:szCs w:val="18"/>
                <w:lang w:val="en-CA"/>
              </w:rPr>
            </w:pPr>
            <w:r w:rsidRPr="00B43F59">
              <w:rPr>
                <w:sz w:val="18"/>
                <w:szCs w:val="18"/>
                <w:lang w:val="en-CA"/>
              </w:rPr>
              <w:t xml:space="preserve">Number of </w:t>
            </w:r>
            <w:r w:rsidR="009363D6">
              <w:rPr>
                <w:sz w:val="18"/>
                <w:szCs w:val="18"/>
                <w:lang w:val="en-CA"/>
              </w:rPr>
              <w:t>communal</w:t>
            </w:r>
            <w:r w:rsidR="009363D6" w:rsidRPr="00B43F59">
              <w:rPr>
                <w:sz w:val="18"/>
                <w:szCs w:val="18"/>
                <w:lang w:val="en-CA"/>
              </w:rPr>
              <w:t xml:space="preserve"> </w:t>
            </w:r>
            <w:r w:rsidRPr="00B43F59">
              <w:rPr>
                <w:sz w:val="18"/>
                <w:szCs w:val="18"/>
                <w:lang w:val="en-CA"/>
              </w:rPr>
              <w:t>councils trained in the mastery of the gender concept and their role in the implementation of the national gender policy</w:t>
            </w:r>
          </w:p>
        </w:tc>
        <w:tc>
          <w:tcPr>
            <w:tcW w:w="605" w:type="pct"/>
            <w:shd w:val="clear" w:color="auto" w:fill="auto"/>
            <w:vAlign w:val="center"/>
          </w:tcPr>
          <w:p w14:paraId="33D5BE44" w14:textId="77777777" w:rsidR="00302BFE" w:rsidRPr="00B43F59" w:rsidRDefault="00302BFE" w:rsidP="00243B15">
            <w:pPr>
              <w:spacing w:after="0"/>
              <w:jc w:val="left"/>
              <w:rPr>
                <w:sz w:val="18"/>
                <w:szCs w:val="18"/>
              </w:rPr>
            </w:pPr>
            <w:r w:rsidRPr="00B43F59">
              <w:rPr>
                <w:sz w:val="18"/>
                <w:szCs w:val="18"/>
              </w:rPr>
              <w:t>9</w:t>
            </w:r>
          </w:p>
        </w:tc>
        <w:tc>
          <w:tcPr>
            <w:tcW w:w="606" w:type="pct"/>
            <w:vMerge/>
            <w:shd w:val="clear" w:color="auto" w:fill="auto"/>
            <w:vAlign w:val="center"/>
          </w:tcPr>
          <w:p w14:paraId="29F10754" w14:textId="77777777" w:rsidR="00302BFE" w:rsidRPr="00B43F59" w:rsidRDefault="00302BFE" w:rsidP="00243B15">
            <w:pPr>
              <w:spacing w:after="0"/>
              <w:jc w:val="left"/>
              <w:rPr>
                <w:sz w:val="18"/>
                <w:szCs w:val="18"/>
              </w:rPr>
            </w:pPr>
          </w:p>
        </w:tc>
        <w:tc>
          <w:tcPr>
            <w:tcW w:w="314" w:type="pct"/>
            <w:gridSpan w:val="2"/>
            <w:shd w:val="clear" w:color="auto" w:fill="auto"/>
            <w:vAlign w:val="center"/>
          </w:tcPr>
          <w:p w14:paraId="1EB2E614" w14:textId="77777777" w:rsidR="00302BFE" w:rsidRPr="00B43F59" w:rsidRDefault="00302BFE" w:rsidP="00243B15">
            <w:pPr>
              <w:spacing w:after="0"/>
              <w:jc w:val="left"/>
              <w:rPr>
                <w:sz w:val="18"/>
                <w:szCs w:val="18"/>
              </w:rPr>
            </w:pPr>
            <w:r w:rsidRPr="00B43F59">
              <w:rPr>
                <w:sz w:val="18"/>
                <w:szCs w:val="18"/>
              </w:rPr>
              <w:t>Year 1</w:t>
            </w:r>
          </w:p>
        </w:tc>
        <w:tc>
          <w:tcPr>
            <w:tcW w:w="1047" w:type="pct"/>
            <w:shd w:val="clear" w:color="auto" w:fill="auto"/>
            <w:vAlign w:val="center"/>
          </w:tcPr>
          <w:p w14:paraId="50314875" w14:textId="77777777" w:rsidR="00302BFE" w:rsidRPr="00B43F59" w:rsidRDefault="00302BFE" w:rsidP="00243B15">
            <w:pPr>
              <w:spacing w:after="0"/>
              <w:jc w:val="left"/>
              <w:rPr>
                <w:sz w:val="18"/>
                <w:szCs w:val="18"/>
              </w:rPr>
            </w:pPr>
            <w:r w:rsidRPr="00B43F59">
              <w:rPr>
                <w:sz w:val="18"/>
                <w:szCs w:val="18"/>
              </w:rPr>
              <w:t>Project Gender Expert</w:t>
            </w:r>
          </w:p>
        </w:tc>
      </w:tr>
      <w:tr w:rsidR="00302BFE" w:rsidRPr="00B43F59" w14:paraId="43ABE180" w14:textId="77777777" w:rsidTr="00243B15">
        <w:trPr>
          <w:gridAfter w:val="1"/>
          <w:wAfter w:w="6" w:type="pct"/>
          <w:trHeight w:val="590"/>
          <w:jc w:val="center"/>
        </w:trPr>
        <w:tc>
          <w:tcPr>
            <w:tcW w:w="1229" w:type="pct"/>
            <w:vMerge w:val="restart"/>
            <w:shd w:val="clear" w:color="auto" w:fill="auto"/>
            <w:vAlign w:val="center"/>
          </w:tcPr>
          <w:p w14:paraId="0B6342CC" w14:textId="77777777" w:rsidR="00302BFE" w:rsidRPr="00B43F59" w:rsidRDefault="00302BFE" w:rsidP="00243B15">
            <w:pPr>
              <w:spacing w:after="0"/>
              <w:contextualSpacing/>
              <w:jc w:val="left"/>
              <w:rPr>
                <w:sz w:val="18"/>
                <w:szCs w:val="18"/>
                <w:lang w:val="en-CA"/>
              </w:rPr>
            </w:pPr>
            <w:r w:rsidRPr="00B43F59">
              <w:rPr>
                <w:sz w:val="18"/>
                <w:szCs w:val="18"/>
                <w:lang w:val="en-CA"/>
              </w:rPr>
              <w:t xml:space="preserve">Train regional and </w:t>
            </w:r>
            <w:r w:rsidR="009363D6">
              <w:rPr>
                <w:sz w:val="18"/>
                <w:szCs w:val="18"/>
                <w:lang w:val="en-CA"/>
              </w:rPr>
              <w:t>communal</w:t>
            </w:r>
            <w:r w:rsidRPr="00B43F59">
              <w:rPr>
                <w:sz w:val="18"/>
                <w:szCs w:val="18"/>
                <w:lang w:val="en-CA"/>
              </w:rPr>
              <w:t xml:space="preserve"> councils in gender and development (output 1.1.3)</w:t>
            </w:r>
          </w:p>
        </w:tc>
        <w:tc>
          <w:tcPr>
            <w:tcW w:w="1193" w:type="pct"/>
            <w:shd w:val="clear" w:color="auto" w:fill="auto"/>
            <w:vAlign w:val="center"/>
          </w:tcPr>
          <w:p w14:paraId="7A063431" w14:textId="77777777" w:rsidR="00302BFE" w:rsidRPr="00B43F59" w:rsidRDefault="00302BFE" w:rsidP="00243B15">
            <w:pPr>
              <w:spacing w:after="0"/>
              <w:jc w:val="left"/>
              <w:rPr>
                <w:sz w:val="18"/>
                <w:szCs w:val="18"/>
                <w:lang w:val="en-CA"/>
              </w:rPr>
            </w:pPr>
            <w:r w:rsidRPr="00B43F59">
              <w:rPr>
                <w:sz w:val="18"/>
                <w:szCs w:val="18"/>
                <w:lang w:val="en-CA"/>
              </w:rPr>
              <w:t>Number of regional councils trained in gender and development</w:t>
            </w:r>
          </w:p>
        </w:tc>
        <w:tc>
          <w:tcPr>
            <w:tcW w:w="605" w:type="pct"/>
            <w:shd w:val="clear" w:color="auto" w:fill="auto"/>
            <w:vAlign w:val="center"/>
          </w:tcPr>
          <w:p w14:paraId="5B0D42D2" w14:textId="77777777" w:rsidR="00302BFE" w:rsidRPr="00B43F59" w:rsidRDefault="00302BFE" w:rsidP="00243B15">
            <w:pPr>
              <w:spacing w:after="0"/>
              <w:jc w:val="left"/>
              <w:rPr>
                <w:sz w:val="18"/>
                <w:szCs w:val="18"/>
              </w:rPr>
            </w:pPr>
            <w:r w:rsidRPr="00B43F59">
              <w:rPr>
                <w:sz w:val="18"/>
                <w:szCs w:val="18"/>
              </w:rPr>
              <w:t>3</w:t>
            </w:r>
          </w:p>
        </w:tc>
        <w:tc>
          <w:tcPr>
            <w:tcW w:w="606" w:type="pct"/>
            <w:vMerge w:val="restart"/>
            <w:shd w:val="clear" w:color="auto" w:fill="auto"/>
            <w:vAlign w:val="center"/>
          </w:tcPr>
          <w:p w14:paraId="26C9586B" w14:textId="77777777" w:rsidR="00302BFE" w:rsidRPr="00B43F59" w:rsidRDefault="00302BFE" w:rsidP="00243B15">
            <w:pPr>
              <w:spacing w:after="0"/>
              <w:jc w:val="left"/>
              <w:rPr>
                <w:sz w:val="18"/>
                <w:szCs w:val="18"/>
                <w:lang w:val="en-CA"/>
              </w:rPr>
            </w:pPr>
            <w:r w:rsidRPr="00B43F59">
              <w:rPr>
                <w:sz w:val="18"/>
                <w:szCs w:val="18"/>
                <w:lang w:val="en-CA"/>
              </w:rPr>
              <w:t>0 (regional and communal councils are not yet trained in gender and development for better local ownership of the issue)</w:t>
            </w:r>
          </w:p>
        </w:tc>
        <w:tc>
          <w:tcPr>
            <w:tcW w:w="314" w:type="pct"/>
            <w:gridSpan w:val="2"/>
            <w:shd w:val="clear" w:color="auto" w:fill="auto"/>
            <w:vAlign w:val="center"/>
          </w:tcPr>
          <w:p w14:paraId="1551CA74" w14:textId="77777777" w:rsidR="00302BFE" w:rsidRPr="00B43F59" w:rsidRDefault="00302BFE" w:rsidP="00243B15">
            <w:pPr>
              <w:spacing w:after="0"/>
              <w:jc w:val="left"/>
              <w:rPr>
                <w:sz w:val="18"/>
                <w:szCs w:val="18"/>
              </w:rPr>
            </w:pPr>
            <w:r w:rsidRPr="00B43F59">
              <w:rPr>
                <w:sz w:val="18"/>
                <w:szCs w:val="18"/>
              </w:rPr>
              <w:t>Year 1</w:t>
            </w:r>
          </w:p>
        </w:tc>
        <w:tc>
          <w:tcPr>
            <w:tcW w:w="1047" w:type="pct"/>
            <w:shd w:val="clear" w:color="auto" w:fill="auto"/>
            <w:vAlign w:val="center"/>
          </w:tcPr>
          <w:p w14:paraId="7DD085D9" w14:textId="77777777" w:rsidR="00302BFE" w:rsidRPr="00B43F59" w:rsidRDefault="00302BFE" w:rsidP="00243B15">
            <w:pPr>
              <w:spacing w:after="0"/>
              <w:jc w:val="left"/>
              <w:rPr>
                <w:sz w:val="18"/>
                <w:szCs w:val="18"/>
              </w:rPr>
            </w:pPr>
            <w:r w:rsidRPr="00B43F59">
              <w:rPr>
                <w:sz w:val="18"/>
                <w:szCs w:val="18"/>
              </w:rPr>
              <w:t>Project Gender Expert</w:t>
            </w:r>
          </w:p>
        </w:tc>
      </w:tr>
      <w:tr w:rsidR="00302BFE" w:rsidRPr="00B43F59" w14:paraId="3FF3DC61" w14:textId="77777777" w:rsidTr="00243B15">
        <w:trPr>
          <w:gridAfter w:val="1"/>
          <w:wAfter w:w="6" w:type="pct"/>
          <w:trHeight w:val="572"/>
          <w:jc w:val="center"/>
        </w:trPr>
        <w:tc>
          <w:tcPr>
            <w:tcW w:w="1229" w:type="pct"/>
            <w:vMerge/>
            <w:shd w:val="clear" w:color="auto" w:fill="auto"/>
            <w:vAlign w:val="center"/>
          </w:tcPr>
          <w:p w14:paraId="33F6B528" w14:textId="77777777" w:rsidR="00302BFE" w:rsidRPr="00B43F59" w:rsidRDefault="00302BFE" w:rsidP="00243B15">
            <w:pPr>
              <w:spacing w:after="0"/>
              <w:contextualSpacing/>
              <w:jc w:val="left"/>
              <w:rPr>
                <w:sz w:val="18"/>
                <w:szCs w:val="18"/>
              </w:rPr>
            </w:pPr>
          </w:p>
        </w:tc>
        <w:tc>
          <w:tcPr>
            <w:tcW w:w="1193" w:type="pct"/>
            <w:shd w:val="clear" w:color="auto" w:fill="auto"/>
            <w:vAlign w:val="center"/>
          </w:tcPr>
          <w:p w14:paraId="1A908837" w14:textId="77777777" w:rsidR="00302BFE" w:rsidRPr="00B43F59" w:rsidRDefault="00302BFE" w:rsidP="00243B15">
            <w:pPr>
              <w:spacing w:after="0"/>
              <w:jc w:val="left"/>
              <w:rPr>
                <w:sz w:val="18"/>
                <w:szCs w:val="18"/>
                <w:lang w:val="en-CA"/>
              </w:rPr>
            </w:pPr>
            <w:r w:rsidRPr="00B43F59">
              <w:rPr>
                <w:sz w:val="18"/>
                <w:szCs w:val="18"/>
                <w:lang w:val="en-CA"/>
              </w:rPr>
              <w:t xml:space="preserve">Number of </w:t>
            </w:r>
            <w:r w:rsidR="009363D6">
              <w:rPr>
                <w:sz w:val="18"/>
                <w:szCs w:val="18"/>
                <w:lang w:val="en-CA"/>
              </w:rPr>
              <w:t>communal</w:t>
            </w:r>
            <w:r w:rsidR="009363D6" w:rsidRPr="00B43F59">
              <w:rPr>
                <w:sz w:val="18"/>
                <w:szCs w:val="18"/>
                <w:lang w:val="en-CA"/>
              </w:rPr>
              <w:t xml:space="preserve"> </w:t>
            </w:r>
            <w:r w:rsidRPr="00B43F59">
              <w:rPr>
                <w:sz w:val="18"/>
                <w:szCs w:val="18"/>
                <w:lang w:val="en-CA"/>
              </w:rPr>
              <w:t>councils trained in gender and development</w:t>
            </w:r>
          </w:p>
        </w:tc>
        <w:tc>
          <w:tcPr>
            <w:tcW w:w="605" w:type="pct"/>
            <w:shd w:val="clear" w:color="auto" w:fill="auto"/>
            <w:vAlign w:val="center"/>
          </w:tcPr>
          <w:p w14:paraId="35C660CD" w14:textId="77777777" w:rsidR="00302BFE" w:rsidRPr="00B43F59" w:rsidRDefault="00302BFE" w:rsidP="00243B15">
            <w:pPr>
              <w:spacing w:after="0"/>
              <w:jc w:val="left"/>
              <w:rPr>
                <w:sz w:val="18"/>
                <w:szCs w:val="18"/>
              </w:rPr>
            </w:pPr>
            <w:r w:rsidRPr="00B43F59">
              <w:rPr>
                <w:sz w:val="18"/>
                <w:szCs w:val="18"/>
              </w:rPr>
              <w:t>9</w:t>
            </w:r>
          </w:p>
        </w:tc>
        <w:tc>
          <w:tcPr>
            <w:tcW w:w="606" w:type="pct"/>
            <w:vMerge/>
            <w:shd w:val="clear" w:color="auto" w:fill="auto"/>
            <w:vAlign w:val="center"/>
          </w:tcPr>
          <w:p w14:paraId="167C6281" w14:textId="77777777" w:rsidR="00302BFE" w:rsidRPr="00B43F59" w:rsidRDefault="00302BFE" w:rsidP="00243B15">
            <w:pPr>
              <w:spacing w:after="0"/>
              <w:jc w:val="left"/>
              <w:rPr>
                <w:sz w:val="18"/>
                <w:szCs w:val="18"/>
              </w:rPr>
            </w:pPr>
          </w:p>
        </w:tc>
        <w:tc>
          <w:tcPr>
            <w:tcW w:w="314" w:type="pct"/>
            <w:gridSpan w:val="2"/>
            <w:shd w:val="clear" w:color="auto" w:fill="auto"/>
            <w:vAlign w:val="center"/>
          </w:tcPr>
          <w:p w14:paraId="3CDBB406" w14:textId="77777777" w:rsidR="00302BFE" w:rsidRPr="00B43F59" w:rsidRDefault="00302BFE" w:rsidP="00243B15">
            <w:pPr>
              <w:spacing w:after="0"/>
              <w:jc w:val="left"/>
              <w:rPr>
                <w:sz w:val="18"/>
                <w:szCs w:val="18"/>
              </w:rPr>
            </w:pPr>
            <w:r w:rsidRPr="00B43F59">
              <w:rPr>
                <w:sz w:val="18"/>
                <w:szCs w:val="18"/>
              </w:rPr>
              <w:t>Year 1</w:t>
            </w:r>
          </w:p>
        </w:tc>
        <w:tc>
          <w:tcPr>
            <w:tcW w:w="1047" w:type="pct"/>
            <w:shd w:val="clear" w:color="auto" w:fill="auto"/>
            <w:vAlign w:val="center"/>
          </w:tcPr>
          <w:p w14:paraId="539616C1" w14:textId="77777777" w:rsidR="00302BFE" w:rsidRPr="00B43F59" w:rsidRDefault="00302BFE" w:rsidP="00243B15">
            <w:pPr>
              <w:spacing w:after="0"/>
              <w:jc w:val="left"/>
              <w:rPr>
                <w:sz w:val="18"/>
                <w:szCs w:val="18"/>
              </w:rPr>
            </w:pPr>
            <w:r w:rsidRPr="00B43F59">
              <w:rPr>
                <w:sz w:val="18"/>
                <w:szCs w:val="18"/>
              </w:rPr>
              <w:t>Project Gender Expert</w:t>
            </w:r>
          </w:p>
        </w:tc>
      </w:tr>
      <w:tr w:rsidR="00302BFE" w:rsidRPr="00B43F59" w14:paraId="1C7837E2" w14:textId="77777777" w:rsidTr="00243B15">
        <w:trPr>
          <w:gridAfter w:val="1"/>
          <w:wAfter w:w="6" w:type="pct"/>
          <w:jc w:val="center"/>
        </w:trPr>
        <w:tc>
          <w:tcPr>
            <w:tcW w:w="1229" w:type="pct"/>
            <w:shd w:val="clear" w:color="auto" w:fill="auto"/>
            <w:vAlign w:val="center"/>
          </w:tcPr>
          <w:p w14:paraId="095A4F28" w14:textId="77777777" w:rsidR="00302BFE" w:rsidRPr="00B43F59" w:rsidRDefault="00302BFE" w:rsidP="00243B15">
            <w:pPr>
              <w:spacing w:after="0"/>
              <w:contextualSpacing/>
              <w:jc w:val="left"/>
              <w:rPr>
                <w:sz w:val="18"/>
                <w:szCs w:val="18"/>
              </w:rPr>
            </w:pPr>
            <w:r w:rsidRPr="00B43F59">
              <w:rPr>
                <w:sz w:val="18"/>
                <w:szCs w:val="18"/>
              </w:rPr>
              <w:t>Conduct training for the collection and analysis of gender specific data to build national and local capacity to mainstream gender issues in the environmental land use planning process for the PONASI landscape (output 1.1.3)</w:t>
            </w:r>
          </w:p>
        </w:tc>
        <w:tc>
          <w:tcPr>
            <w:tcW w:w="1193" w:type="pct"/>
            <w:shd w:val="clear" w:color="auto" w:fill="auto"/>
            <w:vAlign w:val="center"/>
          </w:tcPr>
          <w:p w14:paraId="689B63CE" w14:textId="77777777" w:rsidR="00302BFE" w:rsidRPr="00B43F59" w:rsidRDefault="00302BFE" w:rsidP="00243B15">
            <w:pPr>
              <w:spacing w:after="0"/>
              <w:jc w:val="left"/>
              <w:rPr>
                <w:sz w:val="18"/>
                <w:szCs w:val="18"/>
              </w:rPr>
            </w:pPr>
            <w:r w:rsidRPr="00B43F59">
              <w:rPr>
                <w:sz w:val="18"/>
                <w:szCs w:val="18"/>
              </w:rPr>
              <w:t xml:space="preserve">Number of training sessions for the collection of gender specific data in support of project activities </w:t>
            </w:r>
          </w:p>
        </w:tc>
        <w:tc>
          <w:tcPr>
            <w:tcW w:w="605" w:type="pct"/>
            <w:shd w:val="clear" w:color="auto" w:fill="auto"/>
            <w:vAlign w:val="center"/>
          </w:tcPr>
          <w:p w14:paraId="2C50D178" w14:textId="77777777" w:rsidR="00302BFE" w:rsidRPr="00B43F59" w:rsidRDefault="00302BFE" w:rsidP="00243B15">
            <w:pPr>
              <w:spacing w:after="0"/>
              <w:jc w:val="left"/>
              <w:rPr>
                <w:sz w:val="18"/>
                <w:szCs w:val="18"/>
              </w:rPr>
            </w:pPr>
            <w:r w:rsidRPr="00B43F59">
              <w:rPr>
                <w:sz w:val="18"/>
                <w:szCs w:val="18"/>
              </w:rPr>
              <w:t>At least 4 training events: 2 national level (e.g. ministries in charge of Agriculture and the Environment) and 3 at the local level (1 in each region)</w:t>
            </w:r>
          </w:p>
        </w:tc>
        <w:tc>
          <w:tcPr>
            <w:tcW w:w="606" w:type="pct"/>
            <w:shd w:val="clear" w:color="auto" w:fill="auto"/>
            <w:vAlign w:val="center"/>
          </w:tcPr>
          <w:p w14:paraId="3380B732" w14:textId="77777777" w:rsidR="00302BFE" w:rsidRPr="00B43F59" w:rsidRDefault="00302BFE" w:rsidP="00243B15">
            <w:pPr>
              <w:spacing w:after="0"/>
              <w:jc w:val="left"/>
              <w:rPr>
                <w:sz w:val="18"/>
                <w:szCs w:val="18"/>
              </w:rPr>
            </w:pPr>
            <w:r w:rsidRPr="00B43F59">
              <w:rPr>
                <w:sz w:val="18"/>
                <w:szCs w:val="18"/>
              </w:rPr>
              <w:t>0</w:t>
            </w:r>
          </w:p>
        </w:tc>
        <w:tc>
          <w:tcPr>
            <w:tcW w:w="314" w:type="pct"/>
            <w:gridSpan w:val="2"/>
            <w:shd w:val="clear" w:color="auto" w:fill="auto"/>
            <w:vAlign w:val="center"/>
          </w:tcPr>
          <w:p w14:paraId="6C00C164" w14:textId="77777777" w:rsidR="00302BFE" w:rsidRPr="00B43F59" w:rsidRDefault="00302BFE" w:rsidP="00243B15">
            <w:pPr>
              <w:spacing w:after="0"/>
              <w:jc w:val="left"/>
              <w:rPr>
                <w:sz w:val="18"/>
                <w:szCs w:val="18"/>
              </w:rPr>
            </w:pPr>
            <w:r w:rsidRPr="00B43F59">
              <w:rPr>
                <w:sz w:val="18"/>
                <w:szCs w:val="18"/>
              </w:rPr>
              <w:t>Year 1</w:t>
            </w:r>
          </w:p>
        </w:tc>
        <w:tc>
          <w:tcPr>
            <w:tcW w:w="1047" w:type="pct"/>
            <w:shd w:val="clear" w:color="auto" w:fill="auto"/>
            <w:vAlign w:val="center"/>
          </w:tcPr>
          <w:p w14:paraId="74081D6D" w14:textId="77777777" w:rsidR="00302BFE" w:rsidRPr="00B43F59" w:rsidRDefault="00302BFE" w:rsidP="00243B15">
            <w:pPr>
              <w:spacing w:after="0"/>
              <w:jc w:val="left"/>
              <w:rPr>
                <w:sz w:val="18"/>
                <w:szCs w:val="18"/>
              </w:rPr>
            </w:pPr>
            <w:r w:rsidRPr="00B43F59">
              <w:rPr>
                <w:sz w:val="18"/>
                <w:szCs w:val="18"/>
              </w:rPr>
              <w:t>Gender Expert</w:t>
            </w:r>
          </w:p>
          <w:p w14:paraId="765DC16D" w14:textId="77777777" w:rsidR="00302BFE" w:rsidRPr="00C3579E" w:rsidRDefault="00302BFE" w:rsidP="00243B15">
            <w:pPr>
              <w:spacing w:after="0"/>
              <w:jc w:val="left"/>
              <w:rPr>
                <w:sz w:val="18"/>
                <w:szCs w:val="18"/>
              </w:rPr>
            </w:pPr>
            <w:r w:rsidRPr="00C3579E">
              <w:rPr>
                <w:sz w:val="18"/>
                <w:szCs w:val="18"/>
              </w:rPr>
              <w:t>Gender Bureau,</w:t>
            </w:r>
          </w:p>
          <w:p w14:paraId="05D262EB" w14:textId="77777777" w:rsidR="00302BFE" w:rsidRPr="00C3579E" w:rsidRDefault="00302BFE" w:rsidP="00243B15">
            <w:pPr>
              <w:spacing w:after="0"/>
              <w:jc w:val="left"/>
              <w:rPr>
                <w:sz w:val="18"/>
                <w:szCs w:val="18"/>
              </w:rPr>
            </w:pPr>
            <w:r w:rsidRPr="00C3579E">
              <w:rPr>
                <w:sz w:val="18"/>
                <w:szCs w:val="18"/>
              </w:rPr>
              <w:t>Division of Gender and Family Affairs</w:t>
            </w:r>
          </w:p>
          <w:p w14:paraId="73298FA2" w14:textId="77777777" w:rsidR="00302BFE" w:rsidRPr="00B43F59" w:rsidRDefault="00302BFE" w:rsidP="00243B15">
            <w:pPr>
              <w:spacing w:after="0"/>
              <w:jc w:val="left"/>
              <w:rPr>
                <w:sz w:val="18"/>
                <w:szCs w:val="18"/>
              </w:rPr>
            </w:pPr>
            <w:r w:rsidRPr="00C3579E">
              <w:rPr>
                <w:sz w:val="18"/>
                <w:szCs w:val="18"/>
              </w:rPr>
              <w:t>Ministry of Social Development, Housing, and Community Development</w:t>
            </w:r>
          </w:p>
        </w:tc>
      </w:tr>
      <w:tr w:rsidR="00302BFE" w:rsidRPr="00B43F59" w14:paraId="041A2C19" w14:textId="77777777" w:rsidTr="00243B15">
        <w:trPr>
          <w:gridAfter w:val="1"/>
          <w:wAfter w:w="6" w:type="pct"/>
          <w:trHeight w:val="677"/>
          <w:jc w:val="center"/>
        </w:trPr>
        <w:tc>
          <w:tcPr>
            <w:tcW w:w="1229" w:type="pct"/>
            <w:vMerge w:val="restart"/>
            <w:shd w:val="clear" w:color="auto" w:fill="auto"/>
            <w:vAlign w:val="center"/>
          </w:tcPr>
          <w:p w14:paraId="4B04A0A8" w14:textId="77777777" w:rsidR="00302BFE" w:rsidRPr="00B43F59" w:rsidRDefault="00302BFE" w:rsidP="00243B15">
            <w:pPr>
              <w:spacing w:after="0"/>
              <w:contextualSpacing/>
              <w:jc w:val="left"/>
              <w:rPr>
                <w:sz w:val="18"/>
                <w:szCs w:val="18"/>
                <w:lang w:val="en-CA"/>
              </w:rPr>
            </w:pPr>
            <w:r w:rsidRPr="00B43F59">
              <w:rPr>
                <w:sz w:val="18"/>
                <w:szCs w:val="18"/>
                <w:lang w:val="en-CA"/>
              </w:rPr>
              <w:t xml:space="preserve">Train regional and local councils to use the tools or reflection matrices designed to take </w:t>
            </w:r>
            <w:r w:rsidRPr="00B43F59">
              <w:rPr>
                <w:sz w:val="18"/>
                <w:szCs w:val="18"/>
                <w:lang w:val="en-CA"/>
              </w:rPr>
              <w:lastRenderedPageBreak/>
              <w:t>into account the gender dimension in the project (output 1.1.3)</w:t>
            </w:r>
          </w:p>
        </w:tc>
        <w:tc>
          <w:tcPr>
            <w:tcW w:w="1193" w:type="pct"/>
            <w:shd w:val="clear" w:color="auto" w:fill="auto"/>
            <w:vAlign w:val="center"/>
          </w:tcPr>
          <w:p w14:paraId="0B9438C8" w14:textId="77777777" w:rsidR="00302BFE" w:rsidRPr="00B43F59" w:rsidRDefault="00302BFE" w:rsidP="00243B15">
            <w:pPr>
              <w:spacing w:after="0"/>
              <w:jc w:val="left"/>
              <w:rPr>
                <w:sz w:val="18"/>
                <w:szCs w:val="18"/>
                <w:lang w:val="en-CA"/>
              </w:rPr>
            </w:pPr>
            <w:r w:rsidRPr="00B43F59">
              <w:rPr>
                <w:sz w:val="18"/>
                <w:szCs w:val="18"/>
                <w:lang w:val="en-CA"/>
              </w:rPr>
              <w:lastRenderedPageBreak/>
              <w:t>Number of regional councils trained on the use of tools or reflection matrices designed to take into account the gender dimension</w:t>
            </w:r>
          </w:p>
        </w:tc>
        <w:tc>
          <w:tcPr>
            <w:tcW w:w="605" w:type="pct"/>
            <w:shd w:val="clear" w:color="auto" w:fill="auto"/>
            <w:vAlign w:val="center"/>
          </w:tcPr>
          <w:p w14:paraId="50530BC6" w14:textId="77777777" w:rsidR="00302BFE" w:rsidRPr="00B43F59" w:rsidRDefault="00302BFE" w:rsidP="00243B15">
            <w:pPr>
              <w:spacing w:after="0"/>
              <w:jc w:val="left"/>
              <w:rPr>
                <w:sz w:val="18"/>
                <w:szCs w:val="18"/>
              </w:rPr>
            </w:pPr>
            <w:r w:rsidRPr="00B43F59">
              <w:rPr>
                <w:sz w:val="18"/>
                <w:szCs w:val="18"/>
              </w:rPr>
              <w:t>3</w:t>
            </w:r>
          </w:p>
        </w:tc>
        <w:tc>
          <w:tcPr>
            <w:tcW w:w="606" w:type="pct"/>
            <w:shd w:val="clear" w:color="auto" w:fill="auto"/>
            <w:vAlign w:val="center"/>
          </w:tcPr>
          <w:p w14:paraId="1CF790D6" w14:textId="77777777" w:rsidR="00302BFE" w:rsidRPr="00B43F59" w:rsidRDefault="00302BFE" w:rsidP="00243B15">
            <w:pPr>
              <w:spacing w:after="0"/>
              <w:jc w:val="left"/>
              <w:rPr>
                <w:sz w:val="18"/>
                <w:szCs w:val="18"/>
              </w:rPr>
            </w:pPr>
            <w:r w:rsidRPr="00B43F59">
              <w:rPr>
                <w:sz w:val="18"/>
                <w:szCs w:val="18"/>
              </w:rPr>
              <w:t>0</w:t>
            </w:r>
          </w:p>
        </w:tc>
        <w:tc>
          <w:tcPr>
            <w:tcW w:w="314" w:type="pct"/>
            <w:gridSpan w:val="2"/>
            <w:shd w:val="clear" w:color="auto" w:fill="auto"/>
            <w:vAlign w:val="center"/>
          </w:tcPr>
          <w:p w14:paraId="607C166A" w14:textId="77777777" w:rsidR="00302BFE" w:rsidRPr="00B43F59" w:rsidRDefault="00302BFE" w:rsidP="00243B15">
            <w:pPr>
              <w:spacing w:after="0"/>
              <w:jc w:val="left"/>
              <w:rPr>
                <w:sz w:val="18"/>
                <w:szCs w:val="18"/>
              </w:rPr>
            </w:pPr>
            <w:r w:rsidRPr="00B43F59">
              <w:rPr>
                <w:sz w:val="18"/>
                <w:szCs w:val="18"/>
              </w:rPr>
              <w:t>Year 1</w:t>
            </w:r>
          </w:p>
        </w:tc>
        <w:tc>
          <w:tcPr>
            <w:tcW w:w="1047" w:type="pct"/>
            <w:shd w:val="clear" w:color="auto" w:fill="auto"/>
            <w:vAlign w:val="center"/>
          </w:tcPr>
          <w:p w14:paraId="1374D4F3" w14:textId="77777777" w:rsidR="00302BFE" w:rsidRPr="00B43F59" w:rsidRDefault="00302BFE" w:rsidP="00243B15">
            <w:pPr>
              <w:spacing w:after="0"/>
              <w:jc w:val="left"/>
              <w:rPr>
                <w:sz w:val="18"/>
                <w:szCs w:val="18"/>
              </w:rPr>
            </w:pPr>
            <w:r w:rsidRPr="00B43F59">
              <w:rPr>
                <w:sz w:val="18"/>
                <w:szCs w:val="18"/>
              </w:rPr>
              <w:t>Project Gender Expert</w:t>
            </w:r>
          </w:p>
        </w:tc>
      </w:tr>
      <w:tr w:rsidR="00302BFE" w:rsidRPr="00B43F59" w14:paraId="63A063C6" w14:textId="77777777" w:rsidTr="00243B15">
        <w:trPr>
          <w:gridAfter w:val="1"/>
          <w:wAfter w:w="6" w:type="pct"/>
          <w:trHeight w:val="967"/>
          <w:jc w:val="center"/>
        </w:trPr>
        <w:tc>
          <w:tcPr>
            <w:tcW w:w="1229" w:type="pct"/>
            <w:vMerge/>
            <w:shd w:val="clear" w:color="auto" w:fill="auto"/>
            <w:vAlign w:val="center"/>
          </w:tcPr>
          <w:p w14:paraId="7B1A68EF" w14:textId="77777777" w:rsidR="00302BFE" w:rsidRPr="00B43F59" w:rsidRDefault="00302BFE" w:rsidP="00243B15">
            <w:pPr>
              <w:spacing w:after="0"/>
              <w:contextualSpacing/>
              <w:jc w:val="left"/>
              <w:rPr>
                <w:sz w:val="18"/>
                <w:szCs w:val="18"/>
              </w:rPr>
            </w:pPr>
          </w:p>
        </w:tc>
        <w:tc>
          <w:tcPr>
            <w:tcW w:w="1193" w:type="pct"/>
            <w:shd w:val="clear" w:color="auto" w:fill="auto"/>
            <w:vAlign w:val="center"/>
          </w:tcPr>
          <w:p w14:paraId="3F389F52" w14:textId="77777777" w:rsidR="00302BFE" w:rsidRPr="00B43F59" w:rsidRDefault="00302BFE" w:rsidP="00243B15">
            <w:pPr>
              <w:spacing w:after="0"/>
              <w:jc w:val="left"/>
              <w:rPr>
                <w:sz w:val="18"/>
                <w:szCs w:val="18"/>
                <w:lang w:val="en-CA"/>
              </w:rPr>
            </w:pPr>
            <w:r w:rsidRPr="00B43F59">
              <w:rPr>
                <w:sz w:val="18"/>
                <w:szCs w:val="18"/>
                <w:lang w:val="en-CA"/>
              </w:rPr>
              <w:t xml:space="preserve">Number of </w:t>
            </w:r>
            <w:r w:rsidR="009363D6">
              <w:rPr>
                <w:sz w:val="18"/>
                <w:szCs w:val="18"/>
                <w:lang w:val="en-CA"/>
              </w:rPr>
              <w:t>communal</w:t>
            </w:r>
            <w:r w:rsidRPr="00B43F59">
              <w:rPr>
                <w:sz w:val="18"/>
                <w:szCs w:val="18"/>
                <w:lang w:val="en-CA"/>
              </w:rPr>
              <w:t xml:space="preserve"> councils trained on the use of tools or reflection matrices designed to take into account the gender dimension</w:t>
            </w:r>
          </w:p>
        </w:tc>
        <w:tc>
          <w:tcPr>
            <w:tcW w:w="605" w:type="pct"/>
            <w:shd w:val="clear" w:color="auto" w:fill="auto"/>
            <w:vAlign w:val="center"/>
          </w:tcPr>
          <w:p w14:paraId="7A44E86C" w14:textId="77777777" w:rsidR="00302BFE" w:rsidRPr="00B43F59" w:rsidRDefault="00302BFE" w:rsidP="00243B15">
            <w:pPr>
              <w:spacing w:after="0"/>
              <w:jc w:val="left"/>
              <w:rPr>
                <w:sz w:val="18"/>
                <w:szCs w:val="18"/>
              </w:rPr>
            </w:pPr>
            <w:r w:rsidRPr="00B43F59">
              <w:rPr>
                <w:sz w:val="18"/>
                <w:szCs w:val="18"/>
              </w:rPr>
              <w:t>9</w:t>
            </w:r>
          </w:p>
        </w:tc>
        <w:tc>
          <w:tcPr>
            <w:tcW w:w="606" w:type="pct"/>
            <w:shd w:val="clear" w:color="auto" w:fill="auto"/>
            <w:vAlign w:val="center"/>
          </w:tcPr>
          <w:p w14:paraId="40957D0E" w14:textId="77777777" w:rsidR="00302BFE" w:rsidRPr="00B43F59" w:rsidRDefault="00302BFE" w:rsidP="00243B15">
            <w:pPr>
              <w:spacing w:after="0"/>
              <w:jc w:val="left"/>
              <w:rPr>
                <w:sz w:val="18"/>
                <w:szCs w:val="18"/>
              </w:rPr>
            </w:pPr>
            <w:r w:rsidRPr="00B43F59">
              <w:rPr>
                <w:sz w:val="18"/>
                <w:szCs w:val="18"/>
              </w:rPr>
              <w:t>0</w:t>
            </w:r>
          </w:p>
        </w:tc>
        <w:tc>
          <w:tcPr>
            <w:tcW w:w="314" w:type="pct"/>
            <w:gridSpan w:val="2"/>
            <w:shd w:val="clear" w:color="auto" w:fill="auto"/>
            <w:vAlign w:val="center"/>
          </w:tcPr>
          <w:p w14:paraId="41EB6BCF" w14:textId="77777777" w:rsidR="00302BFE" w:rsidRPr="00B43F59" w:rsidRDefault="00302BFE" w:rsidP="00243B15">
            <w:pPr>
              <w:spacing w:after="0"/>
              <w:jc w:val="left"/>
              <w:rPr>
                <w:sz w:val="18"/>
                <w:szCs w:val="18"/>
              </w:rPr>
            </w:pPr>
            <w:r w:rsidRPr="00B43F59">
              <w:rPr>
                <w:sz w:val="18"/>
                <w:szCs w:val="18"/>
              </w:rPr>
              <w:t>Year 1</w:t>
            </w:r>
          </w:p>
        </w:tc>
        <w:tc>
          <w:tcPr>
            <w:tcW w:w="1047" w:type="pct"/>
            <w:shd w:val="clear" w:color="auto" w:fill="auto"/>
            <w:vAlign w:val="center"/>
          </w:tcPr>
          <w:p w14:paraId="7F93C959" w14:textId="77777777" w:rsidR="00302BFE" w:rsidRPr="00B43F59" w:rsidRDefault="00302BFE" w:rsidP="00243B15">
            <w:pPr>
              <w:spacing w:after="0"/>
              <w:jc w:val="left"/>
              <w:rPr>
                <w:sz w:val="18"/>
                <w:szCs w:val="18"/>
              </w:rPr>
            </w:pPr>
            <w:r w:rsidRPr="00B43F59">
              <w:rPr>
                <w:sz w:val="18"/>
                <w:szCs w:val="18"/>
              </w:rPr>
              <w:t>Project Gender Expert</w:t>
            </w:r>
          </w:p>
        </w:tc>
      </w:tr>
      <w:tr w:rsidR="00302BFE" w:rsidRPr="00B43F59" w14:paraId="4CCBF049" w14:textId="77777777" w:rsidTr="00243B15">
        <w:trPr>
          <w:jc w:val="center"/>
        </w:trPr>
        <w:tc>
          <w:tcPr>
            <w:tcW w:w="5000" w:type="pct"/>
            <w:gridSpan w:val="8"/>
            <w:shd w:val="clear" w:color="auto" w:fill="auto"/>
            <w:vAlign w:val="center"/>
          </w:tcPr>
          <w:p w14:paraId="1B209A4B" w14:textId="77777777" w:rsidR="00302BFE" w:rsidRPr="00B43F59" w:rsidRDefault="00302BFE" w:rsidP="00243B15">
            <w:pPr>
              <w:spacing w:after="0"/>
              <w:jc w:val="left"/>
              <w:rPr>
                <w:b/>
                <w:sz w:val="18"/>
                <w:szCs w:val="18"/>
                <w:lang w:val="en-CA"/>
              </w:rPr>
            </w:pPr>
            <w:r w:rsidRPr="00B43F59">
              <w:rPr>
                <w:b/>
                <w:sz w:val="18"/>
                <w:szCs w:val="18"/>
                <w:lang w:val="en-GB"/>
              </w:rPr>
              <w:t>Output 1.2 The territorial planning tool is adopted as a spatial planning methodology</w:t>
            </w:r>
          </w:p>
        </w:tc>
      </w:tr>
      <w:tr w:rsidR="00302BFE" w:rsidRPr="00B43F59" w14:paraId="6CF146D6" w14:textId="77777777" w:rsidTr="00243B15">
        <w:trPr>
          <w:gridAfter w:val="1"/>
          <w:wAfter w:w="6" w:type="pct"/>
          <w:trHeight w:val="844"/>
          <w:jc w:val="center"/>
        </w:trPr>
        <w:tc>
          <w:tcPr>
            <w:tcW w:w="1229" w:type="pct"/>
            <w:shd w:val="clear" w:color="auto" w:fill="auto"/>
            <w:vAlign w:val="center"/>
          </w:tcPr>
          <w:p w14:paraId="46CDED79" w14:textId="77777777" w:rsidR="00302BFE" w:rsidRPr="00B43F59" w:rsidRDefault="00302BFE" w:rsidP="00243B15">
            <w:pPr>
              <w:spacing w:after="0"/>
              <w:contextualSpacing/>
              <w:jc w:val="left"/>
              <w:rPr>
                <w:sz w:val="18"/>
                <w:szCs w:val="18"/>
              </w:rPr>
            </w:pPr>
            <w:r w:rsidRPr="00B43F59">
              <w:rPr>
                <w:sz w:val="18"/>
                <w:szCs w:val="18"/>
              </w:rPr>
              <w:t xml:space="preserve">Conduct a participatory gender responsive analysis of land use, biodiversity, natural resources management and ecosystem services use in project intervention areas </w:t>
            </w:r>
          </w:p>
        </w:tc>
        <w:tc>
          <w:tcPr>
            <w:tcW w:w="1193" w:type="pct"/>
            <w:shd w:val="clear" w:color="auto" w:fill="auto"/>
            <w:vAlign w:val="center"/>
          </w:tcPr>
          <w:p w14:paraId="651C0356" w14:textId="77777777" w:rsidR="00302BFE" w:rsidRPr="00B43F59" w:rsidRDefault="00302BFE" w:rsidP="00243B15">
            <w:pPr>
              <w:spacing w:after="0"/>
              <w:jc w:val="left"/>
              <w:rPr>
                <w:sz w:val="18"/>
                <w:szCs w:val="18"/>
              </w:rPr>
            </w:pPr>
            <w:r w:rsidRPr="00B43F59">
              <w:rPr>
                <w:sz w:val="18"/>
                <w:szCs w:val="18"/>
              </w:rPr>
              <w:t>Conducting a study of gender responsive analysis completed of land use, biodiversity, natural resources management and ecosystems services benefits in project area</w:t>
            </w:r>
          </w:p>
        </w:tc>
        <w:tc>
          <w:tcPr>
            <w:tcW w:w="605" w:type="pct"/>
            <w:shd w:val="clear" w:color="auto" w:fill="auto"/>
            <w:vAlign w:val="center"/>
          </w:tcPr>
          <w:p w14:paraId="7EB8E5E9" w14:textId="77777777" w:rsidR="00302BFE" w:rsidRPr="00B43F59" w:rsidRDefault="00302BFE" w:rsidP="00243B15">
            <w:pPr>
              <w:spacing w:after="0"/>
              <w:jc w:val="left"/>
              <w:rPr>
                <w:sz w:val="18"/>
                <w:szCs w:val="18"/>
              </w:rPr>
            </w:pPr>
            <w:r w:rsidRPr="00B43F59">
              <w:rPr>
                <w:sz w:val="18"/>
                <w:szCs w:val="18"/>
              </w:rPr>
              <w:t>One (1)</w:t>
            </w:r>
          </w:p>
        </w:tc>
        <w:tc>
          <w:tcPr>
            <w:tcW w:w="606" w:type="pct"/>
            <w:shd w:val="clear" w:color="auto" w:fill="auto"/>
            <w:vAlign w:val="center"/>
          </w:tcPr>
          <w:p w14:paraId="16591C86" w14:textId="77777777" w:rsidR="00302BFE" w:rsidRPr="00B43F59" w:rsidRDefault="00302BFE" w:rsidP="00243B15">
            <w:pPr>
              <w:spacing w:after="0"/>
              <w:jc w:val="left"/>
              <w:rPr>
                <w:sz w:val="18"/>
                <w:szCs w:val="18"/>
              </w:rPr>
            </w:pPr>
            <w:r w:rsidRPr="00B43F59">
              <w:rPr>
                <w:sz w:val="18"/>
                <w:szCs w:val="18"/>
              </w:rPr>
              <w:t>Gender responsive analysis does not exist on the project area</w:t>
            </w:r>
          </w:p>
        </w:tc>
        <w:tc>
          <w:tcPr>
            <w:tcW w:w="314" w:type="pct"/>
            <w:gridSpan w:val="2"/>
            <w:shd w:val="clear" w:color="auto" w:fill="auto"/>
            <w:vAlign w:val="center"/>
          </w:tcPr>
          <w:p w14:paraId="73A80456" w14:textId="77777777" w:rsidR="00302BFE" w:rsidRPr="00B43F59" w:rsidRDefault="00302BFE" w:rsidP="00243B15">
            <w:pPr>
              <w:spacing w:after="0"/>
              <w:jc w:val="left"/>
              <w:rPr>
                <w:sz w:val="18"/>
                <w:szCs w:val="18"/>
              </w:rPr>
            </w:pPr>
            <w:r w:rsidRPr="00B43F59">
              <w:rPr>
                <w:sz w:val="18"/>
                <w:szCs w:val="18"/>
              </w:rPr>
              <w:t>Year 1</w:t>
            </w:r>
          </w:p>
        </w:tc>
        <w:tc>
          <w:tcPr>
            <w:tcW w:w="1047" w:type="pct"/>
            <w:shd w:val="clear" w:color="auto" w:fill="auto"/>
            <w:vAlign w:val="center"/>
          </w:tcPr>
          <w:p w14:paraId="0FBB5846" w14:textId="77777777" w:rsidR="00302BFE" w:rsidRPr="00D822D1" w:rsidRDefault="00302BFE" w:rsidP="00243B15">
            <w:pPr>
              <w:spacing w:after="0"/>
              <w:jc w:val="left"/>
              <w:rPr>
                <w:sz w:val="18"/>
                <w:szCs w:val="18"/>
                <w:lang w:val="en-CA"/>
              </w:rPr>
            </w:pPr>
            <w:r w:rsidRPr="00D822D1">
              <w:rPr>
                <w:sz w:val="18"/>
                <w:szCs w:val="18"/>
                <w:lang w:val="en-CA"/>
              </w:rPr>
              <w:t>Gender Expert</w:t>
            </w:r>
          </w:p>
          <w:p w14:paraId="213620D1" w14:textId="77777777" w:rsidR="00302BFE" w:rsidRPr="00F45B1B" w:rsidRDefault="00302BFE" w:rsidP="00243B15">
            <w:pPr>
              <w:spacing w:after="0"/>
              <w:jc w:val="left"/>
              <w:rPr>
                <w:sz w:val="18"/>
                <w:szCs w:val="18"/>
                <w:lang w:val="en-CA"/>
              </w:rPr>
            </w:pPr>
            <w:r w:rsidRPr="00F45B1B">
              <w:rPr>
                <w:color w:val="212121"/>
                <w:sz w:val="18"/>
                <w:szCs w:val="18"/>
                <w:lang w:val="en"/>
              </w:rPr>
              <w:t>Ministry of Agriculture and Hydro-Agricultural Development (MAAH)</w:t>
            </w:r>
          </w:p>
          <w:p w14:paraId="3495ABEC" w14:textId="77777777" w:rsidR="00302BFE" w:rsidRPr="00B43F59" w:rsidRDefault="00302BFE" w:rsidP="00243B15">
            <w:pPr>
              <w:spacing w:after="0"/>
              <w:jc w:val="left"/>
              <w:rPr>
                <w:sz w:val="18"/>
                <w:szCs w:val="18"/>
              </w:rPr>
            </w:pPr>
            <w:r w:rsidRPr="00B43F59">
              <w:rPr>
                <w:sz w:val="18"/>
                <w:szCs w:val="18"/>
              </w:rPr>
              <w:t>OFINAP, DGEF, DREEVCC</w:t>
            </w:r>
            <w:r>
              <w:rPr>
                <w:sz w:val="18"/>
                <w:szCs w:val="18"/>
              </w:rPr>
              <w:t xml:space="preserve"> / MEGECC</w:t>
            </w:r>
          </w:p>
        </w:tc>
      </w:tr>
      <w:tr w:rsidR="00302BFE" w:rsidRPr="00F45B1B" w14:paraId="1DB4E6C6" w14:textId="77777777" w:rsidTr="00243B15">
        <w:trPr>
          <w:gridAfter w:val="1"/>
          <w:wAfter w:w="6" w:type="pct"/>
          <w:trHeight w:val="1297"/>
          <w:jc w:val="center"/>
        </w:trPr>
        <w:tc>
          <w:tcPr>
            <w:tcW w:w="1229" w:type="pct"/>
            <w:shd w:val="clear" w:color="auto" w:fill="auto"/>
            <w:vAlign w:val="center"/>
          </w:tcPr>
          <w:p w14:paraId="7F37723B" w14:textId="77777777" w:rsidR="00302BFE" w:rsidRPr="00B43F59" w:rsidDel="00C76B70" w:rsidRDefault="00302BFE" w:rsidP="00243B15">
            <w:pPr>
              <w:spacing w:after="0"/>
              <w:contextualSpacing/>
              <w:jc w:val="left"/>
              <w:rPr>
                <w:sz w:val="18"/>
                <w:szCs w:val="18"/>
              </w:rPr>
            </w:pPr>
            <w:r w:rsidRPr="00B43F59">
              <w:rPr>
                <w:sz w:val="18"/>
                <w:szCs w:val="18"/>
              </w:rPr>
              <w:t>Include sex disaggregated data for the nine prioritized communes into the project supported information management database (output 1.2)</w:t>
            </w:r>
          </w:p>
        </w:tc>
        <w:tc>
          <w:tcPr>
            <w:tcW w:w="1193" w:type="pct"/>
            <w:shd w:val="clear" w:color="auto" w:fill="auto"/>
            <w:vAlign w:val="center"/>
          </w:tcPr>
          <w:p w14:paraId="0D263042" w14:textId="77777777" w:rsidR="00302BFE" w:rsidRPr="00B43F59" w:rsidRDefault="00302BFE" w:rsidP="00243B15">
            <w:pPr>
              <w:spacing w:after="0"/>
              <w:jc w:val="left"/>
              <w:rPr>
                <w:sz w:val="18"/>
                <w:szCs w:val="18"/>
              </w:rPr>
            </w:pPr>
            <w:r w:rsidRPr="00B43F59">
              <w:rPr>
                <w:sz w:val="18"/>
                <w:szCs w:val="18"/>
              </w:rPr>
              <w:t xml:space="preserve">Percent of sex disaggregated data by sage, diversity of women and men, community, income levels, social status, cultural factors, land tenure, natural resources and ecosystem uses </w:t>
            </w:r>
          </w:p>
        </w:tc>
        <w:tc>
          <w:tcPr>
            <w:tcW w:w="605" w:type="pct"/>
            <w:shd w:val="clear" w:color="auto" w:fill="auto"/>
            <w:vAlign w:val="center"/>
          </w:tcPr>
          <w:p w14:paraId="0D15F9F8" w14:textId="77777777" w:rsidR="00302BFE" w:rsidRPr="00B43F59" w:rsidRDefault="00302BFE" w:rsidP="00243B15">
            <w:pPr>
              <w:spacing w:after="0"/>
              <w:jc w:val="left"/>
              <w:rPr>
                <w:sz w:val="18"/>
                <w:szCs w:val="18"/>
              </w:rPr>
            </w:pPr>
            <w:r w:rsidRPr="00B43F59">
              <w:rPr>
                <w:sz w:val="18"/>
                <w:szCs w:val="18"/>
              </w:rPr>
              <w:t>100% of data</w:t>
            </w:r>
          </w:p>
        </w:tc>
        <w:tc>
          <w:tcPr>
            <w:tcW w:w="606" w:type="pct"/>
            <w:shd w:val="clear" w:color="auto" w:fill="auto"/>
            <w:vAlign w:val="center"/>
          </w:tcPr>
          <w:p w14:paraId="1F235618" w14:textId="77777777" w:rsidR="00302BFE" w:rsidRPr="00B43F59" w:rsidRDefault="00302BFE" w:rsidP="00243B15">
            <w:pPr>
              <w:spacing w:after="0"/>
              <w:jc w:val="left"/>
              <w:rPr>
                <w:sz w:val="18"/>
                <w:szCs w:val="18"/>
              </w:rPr>
            </w:pPr>
            <w:r w:rsidRPr="00B43F59">
              <w:rPr>
                <w:sz w:val="18"/>
                <w:szCs w:val="18"/>
              </w:rPr>
              <w:t>0% (information management database has not been developed)</w:t>
            </w:r>
          </w:p>
        </w:tc>
        <w:tc>
          <w:tcPr>
            <w:tcW w:w="314" w:type="pct"/>
            <w:gridSpan w:val="2"/>
            <w:shd w:val="clear" w:color="auto" w:fill="auto"/>
            <w:vAlign w:val="center"/>
          </w:tcPr>
          <w:p w14:paraId="29AA96A2" w14:textId="77777777" w:rsidR="00302BFE" w:rsidRPr="00B43F59" w:rsidRDefault="00302BFE" w:rsidP="00243B15">
            <w:pPr>
              <w:spacing w:after="0"/>
              <w:jc w:val="left"/>
              <w:rPr>
                <w:sz w:val="18"/>
                <w:szCs w:val="18"/>
              </w:rPr>
            </w:pPr>
            <w:r w:rsidRPr="00B43F59">
              <w:rPr>
                <w:sz w:val="18"/>
                <w:szCs w:val="18"/>
              </w:rPr>
              <w:t>Year 1</w:t>
            </w:r>
          </w:p>
        </w:tc>
        <w:tc>
          <w:tcPr>
            <w:tcW w:w="1047" w:type="pct"/>
            <w:shd w:val="clear" w:color="auto" w:fill="auto"/>
            <w:vAlign w:val="center"/>
          </w:tcPr>
          <w:p w14:paraId="10619C5F" w14:textId="77777777" w:rsidR="00302BFE" w:rsidRPr="00381E15" w:rsidRDefault="00302BFE" w:rsidP="00243B15">
            <w:pPr>
              <w:spacing w:after="0"/>
              <w:jc w:val="left"/>
              <w:rPr>
                <w:sz w:val="18"/>
                <w:szCs w:val="18"/>
              </w:rPr>
            </w:pPr>
            <w:r w:rsidRPr="00381E15">
              <w:rPr>
                <w:sz w:val="18"/>
                <w:szCs w:val="18"/>
              </w:rPr>
              <w:t>Gender Expert</w:t>
            </w:r>
          </w:p>
          <w:p w14:paraId="0BB8A1FC" w14:textId="77777777" w:rsidR="00302BFE" w:rsidRPr="00F45B1B" w:rsidRDefault="00302BFE" w:rsidP="00243B15">
            <w:pPr>
              <w:pStyle w:val="PrformatHTML"/>
              <w:shd w:val="clear" w:color="auto" w:fill="FFFFFF"/>
              <w:rPr>
                <w:rFonts w:ascii="Calibri" w:hAnsi="Calibri"/>
                <w:color w:val="212121"/>
                <w:sz w:val="18"/>
                <w:szCs w:val="18"/>
                <w:lang w:val="en-CA"/>
              </w:rPr>
            </w:pPr>
            <w:r w:rsidRPr="00F45B1B">
              <w:rPr>
                <w:rFonts w:ascii="Calibri" w:hAnsi="Calibri"/>
                <w:color w:val="212121"/>
                <w:sz w:val="18"/>
                <w:szCs w:val="18"/>
                <w:lang w:val="en"/>
              </w:rPr>
              <w:t>Ministry of Agriculture and Hydro-Agricultural Development (MAAH)</w:t>
            </w:r>
          </w:p>
          <w:p w14:paraId="452B003C" w14:textId="77777777" w:rsidR="00302BFE" w:rsidRPr="00F45B1B" w:rsidRDefault="00302BFE" w:rsidP="00243B15">
            <w:pPr>
              <w:spacing w:after="0"/>
              <w:jc w:val="left"/>
              <w:rPr>
                <w:sz w:val="18"/>
                <w:szCs w:val="18"/>
                <w:lang w:val="en-CA"/>
              </w:rPr>
            </w:pPr>
            <w:r w:rsidRPr="00F45B1B">
              <w:rPr>
                <w:sz w:val="18"/>
                <w:szCs w:val="18"/>
                <w:lang w:val="en-CA"/>
              </w:rPr>
              <w:t>OFINAP, DGEF, DREEVCC</w:t>
            </w:r>
            <w:r>
              <w:rPr>
                <w:sz w:val="18"/>
                <w:szCs w:val="18"/>
                <w:lang w:val="en-CA"/>
              </w:rPr>
              <w:t>/ MEGECC</w:t>
            </w:r>
          </w:p>
        </w:tc>
      </w:tr>
      <w:tr w:rsidR="00302BFE" w:rsidRPr="00B43F59" w14:paraId="20B03D1A" w14:textId="77777777" w:rsidTr="00243B15">
        <w:trPr>
          <w:gridAfter w:val="1"/>
          <w:wAfter w:w="6" w:type="pct"/>
          <w:trHeight w:val="1427"/>
          <w:jc w:val="center"/>
        </w:trPr>
        <w:tc>
          <w:tcPr>
            <w:tcW w:w="1229" w:type="pct"/>
            <w:shd w:val="clear" w:color="auto" w:fill="auto"/>
            <w:vAlign w:val="center"/>
          </w:tcPr>
          <w:p w14:paraId="4005FFC3" w14:textId="77777777" w:rsidR="00302BFE" w:rsidRPr="00B43F59" w:rsidRDefault="00302BFE" w:rsidP="00243B15">
            <w:pPr>
              <w:spacing w:after="0"/>
              <w:contextualSpacing/>
              <w:jc w:val="left"/>
              <w:rPr>
                <w:sz w:val="18"/>
                <w:szCs w:val="18"/>
              </w:rPr>
            </w:pPr>
            <w:r w:rsidRPr="00B43F59">
              <w:rPr>
                <w:sz w:val="18"/>
                <w:szCs w:val="18"/>
              </w:rPr>
              <w:t>Develop gender responsive tools for the collection of relevant gender-specific data on land use, biodiversity, natural resources management and ecosystem services use in project intervention areas to inform a gender responsive analysis (output 1.2)</w:t>
            </w:r>
          </w:p>
        </w:tc>
        <w:tc>
          <w:tcPr>
            <w:tcW w:w="1193" w:type="pct"/>
            <w:shd w:val="clear" w:color="auto" w:fill="auto"/>
            <w:vAlign w:val="center"/>
          </w:tcPr>
          <w:p w14:paraId="4131C0C5" w14:textId="77777777" w:rsidR="00302BFE" w:rsidRPr="00B43F59" w:rsidRDefault="00302BFE" w:rsidP="00243B15">
            <w:pPr>
              <w:spacing w:after="0"/>
              <w:jc w:val="left"/>
              <w:rPr>
                <w:sz w:val="18"/>
                <w:szCs w:val="18"/>
              </w:rPr>
            </w:pPr>
            <w:r w:rsidRPr="00B43F59">
              <w:rPr>
                <w:sz w:val="18"/>
                <w:szCs w:val="18"/>
              </w:rPr>
              <w:t xml:space="preserve">Availability of gender responsive tools for the collection of data </w:t>
            </w:r>
          </w:p>
        </w:tc>
        <w:tc>
          <w:tcPr>
            <w:tcW w:w="605" w:type="pct"/>
            <w:shd w:val="clear" w:color="auto" w:fill="auto"/>
            <w:vAlign w:val="center"/>
          </w:tcPr>
          <w:p w14:paraId="2CBD12BE" w14:textId="77777777" w:rsidR="00302BFE" w:rsidRPr="00B43F59" w:rsidRDefault="00302BFE" w:rsidP="00243B15">
            <w:pPr>
              <w:spacing w:after="0"/>
              <w:jc w:val="left"/>
              <w:rPr>
                <w:sz w:val="18"/>
                <w:szCs w:val="18"/>
              </w:rPr>
            </w:pPr>
            <w:r w:rsidRPr="00B43F59">
              <w:rPr>
                <w:sz w:val="18"/>
                <w:szCs w:val="18"/>
              </w:rPr>
              <w:t>A suite of gender responsive data collection tools developed</w:t>
            </w:r>
          </w:p>
        </w:tc>
        <w:tc>
          <w:tcPr>
            <w:tcW w:w="606" w:type="pct"/>
            <w:shd w:val="clear" w:color="auto" w:fill="auto"/>
            <w:vAlign w:val="center"/>
          </w:tcPr>
          <w:p w14:paraId="6C84E04F" w14:textId="77777777" w:rsidR="00302BFE" w:rsidRPr="00B43F59" w:rsidRDefault="00302BFE" w:rsidP="00243B15">
            <w:pPr>
              <w:spacing w:after="0"/>
              <w:jc w:val="left"/>
              <w:rPr>
                <w:sz w:val="18"/>
                <w:szCs w:val="18"/>
              </w:rPr>
            </w:pPr>
            <w:r w:rsidRPr="00B43F59">
              <w:rPr>
                <w:sz w:val="18"/>
                <w:szCs w:val="18"/>
              </w:rPr>
              <w:t>No tool has yet been developed</w:t>
            </w:r>
          </w:p>
        </w:tc>
        <w:tc>
          <w:tcPr>
            <w:tcW w:w="314" w:type="pct"/>
            <w:gridSpan w:val="2"/>
            <w:shd w:val="clear" w:color="auto" w:fill="auto"/>
            <w:vAlign w:val="center"/>
          </w:tcPr>
          <w:p w14:paraId="409E1602" w14:textId="77777777" w:rsidR="00302BFE" w:rsidRPr="00B43F59" w:rsidRDefault="00302BFE" w:rsidP="00243B15">
            <w:pPr>
              <w:spacing w:after="0"/>
              <w:jc w:val="left"/>
              <w:rPr>
                <w:sz w:val="18"/>
                <w:szCs w:val="18"/>
              </w:rPr>
            </w:pPr>
            <w:r w:rsidRPr="00B43F59">
              <w:rPr>
                <w:sz w:val="18"/>
                <w:szCs w:val="18"/>
              </w:rPr>
              <w:t>Year 1</w:t>
            </w:r>
          </w:p>
        </w:tc>
        <w:tc>
          <w:tcPr>
            <w:tcW w:w="1047" w:type="pct"/>
            <w:shd w:val="clear" w:color="auto" w:fill="auto"/>
            <w:vAlign w:val="center"/>
          </w:tcPr>
          <w:p w14:paraId="0BBF265E" w14:textId="77777777" w:rsidR="00302BFE" w:rsidRPr="00B43F59" w:rsidRDefault="00302BFE" w:rsidP="00243B15">
            <w:pPr>
              <w:spacing w:after="0"/>
              <w:jc w:val="left"/>
              <w:rPr>
                <w:sz w:val="18"/>
                <w:szCs w:val="18"/>
              </w:rPr>
            </w:pPr>
            <w:r w:rsidRPr="00B43F59">
              <w:rPr>
                <w:sz w:val="18"/>
                <w:szCs w:val="18"/>
              </w:rPr>
              <w:t>Gender Expert</w:t>
            </w:r>
          </w:p>
          <w:p w14:paraId="3F2F9D3F" w14:textId="77777777" w:rsidR="00302BFE" w:rsidRPr="00B43F59" w:rsidRDefault="00302BFE" w:rsidP="00243B15">
            <w:pPr>
              <w:spacing w:after="0"/>
              <w:jc w:val="left"/>
              <w:rPr>
                <w:sz w:val="18"/>
                <w:szCs w:val="18"/>
              </w:rPr>
            </w:pPr>
            <w:r w:rsidRPr="00C3579E">
              <w:rPr>
                <w:sz w:val="18"/>
                <w:szCs w:val="18"/>
              </w:rPr>
              <w:t>Land Use Division, Ministry of Agriculture</w:t>
            </w:r>
            <w:r w:rsidRPr="00B43F59">
              <w:rPr>
                <w:sz w:val="18"/>
                <w:szCs w:val="18"/>
              </w:rPr>
              <w:t xml:space="preserve"> </w:t>
            </w:r>
          </w:p>
        </w:tc>
      </w:tr>
      <w:tr w:rsidR="00302BFE" w:rsidRPr="00B43F59" w14:paraId="30CBB0EF" w14:textId="77777777" w:rsidTr="00243B15">
        <w:trPr>
          <w:trHeight w:val="298"/>
          <w:jc w:val="center"/>
        </w:trPr>
        <w:tc>
          <w:tcPr>
            <w:tcW w:w="5000" w:type="pct"/>
            <w:gridSpan w:val="8"/>
            <w:shd w:val="clear" w:color="auto" w:fill="auto"/>
            <w:vAlign w:val="center"/>
          </w:tcPr>
          <w:p w14:paraId="2424BF4D" w14:textId="77777777" w:rsidR="00302BFE" w:rsidRPr="00B43F59" w:rsidRDefault="00302BFE" w:rsidP="00243B15">
            <w:pPr>
              <w:spacing w:after="0"/>
              <w:jc w:val="left"/>
              <w:rPr>
                <w:b/>
                <w:sz w:val="18"/>
                <w:szCs w:val="18"/>
                <w:lang w:val="en-CA"/>
              </w:rPr>
            </w:pPr>
            <w:r w:rsidRPr="00B43F59">
              <w:rPr>
                <w:b/>
                <w:sz w:val="18"/>
                <w:szCs w:val="18"/>
                <w:lang w:val="en-GB"/>
              </w:rPr>
              <w:t>Output 1.4 Development of the PONASI Landscape Management Master Plan to guide the management of the PONASI landscape over the next 15 years</w:t>
            </w:r>
          </w:p>
        </w:tc>
      </w:tr>
      <w:tr w:rsidR="00302BFE" w:rsidRPr="00B43F59" w14:paraId="0FE4AD6C" w14:textId="77777777" w:rsidTr="00243B15">
        <w:trPr>
          <w:gridAfter w:val="1"/>
          <w:wAfter w:w="6" w:type="pct"/>
          <w:trHeight w:val="1172"/>
          <w:jc w:val="center"/>
        </w:trPr>
        <w:tc>
          <w:tcPr>
            <w:tcW w:w="1229" w:type="pct"/>
            <w:shd w:val="clear" w:color="auto" w:fill="auto"/>
            <w:vAlign w:val="center"/>
          </w:tcPr>
          <w:p w14:paraId="114F9100" w14:textId="77777777" w:rsidR="00302BFE" w:rsidRPr="00B43F59" w:rsidRDefault="00302BFE" w:rsidP="00243B15">
            <w:pPr>
              <w:pStyle w:val="PrformatHTML"/>
              <w:shd w:val="clear" w:color="auto" w:fill="FFFFFF"/>
              <w:rPr>
                <w:rFonts w:ascii="Calibri" w:hAnsi="Calibri" w:cs="Times New Roman"/>
                <w:sz w:val="18"/>
                <w:szCs w:val="18"/>
                <w:lang w:val="en-CA"/>
              </w:rPr>
            </w:pPr>
            <w:r w:rsidRPr="00B43F59">
              <w:rPr>
                <w:rFonts w:ascii="Calibri" w:hAnsi="Calibri" w:cs="Times New Roman"/>
                <w:sz w:val="18"/>
                <w:szCs w:val="18"/>
                <w:lang w:val="en-CA"/>
              </w:rPr>
              <w:t>Input gender responsive socioeconomic indicators into the environmental land use planning process (output 1.4.1)</w:t>
            </w:r>
          </w:p>
        </w:tc>
        <w:tc>
          <w:tcPr>
            <w:tcW w:w="1193" w:type="pct"/>
            <w:shd w:val="clear" w:color="auto" w:fill="auto"/>
            <w:vAlign w:val="center"/>
          </w:tcPr>
          <w:p w14:paraId="347A6E1D" w14:textId="77777777" w:rsidR="00302BFE" w:rsidRPr="00B43F59" w:rsidRDefault="00302BFE" w:rsidP="00243B15">
            <w:pPr>
              <w:spacing w:after="0"/>
              <w:jc w:val="left"/>
              <w:rPr>
                <w:sz w:val="18"/>
                <w:szCs w:val="18"/>
              </w:rPr>
            </w:pPr>
            <w:r w:rsidRPr="00B43F59">
              <w:rPr>
                <w:sz w:val="18"/>
                <w:szCs w:val="18"/>
              </w:rPr>
              <w:t xml:space="preserve">Gender responsive </w:t>
            </w:r>
            <w:r w:rsidRPr="00B43F59">
              <w:rPr>
                <w:sz w:val="18"/>
                <w:szCs w:val="18"/>
                <w:lang w:val="en-CA"/>
              </w:rPr>
              <w:t>Territorial Planning Tool</w:t>
            </w:r>
            <w:r w:rsidRPr="00B43F59">
              <w:rPr>
                <w:sz w:val="18"/>
                <w:szCs w:val="18"/>
              </w:rPr>
              <w:t xml:space="preserve"> addresses the different needs and vulnerabilities of women and men and with mechanism to promote their participation in its implementation</w:t>
            </w:r>
          </w:p>
        </w:tc>
        <w:tc>
          <w:tcPr>
            <w:tcW w:w="605" w:type="pct"/>
            <w:shd w:val="clear" w:color="auto" w:fill="auto"/>
            <w:vAlign w:val="center"/>
          </w:tcPr>
          <w:p w14:paraId="57DF2274" w14:textId="77777777" w:rsidR="00302BFE" w:rsidRPr="00B43F59" w:rsidRDefault="00302BFE" w:rsidP="00243B15">
            <w:pPr>
              <w:spacing w:after="0"/>
              <w:jc w:val="left"/>
              <w:rPr>
                <w:sz w:val="18"/>
                <w:szCs w:val="18"/>
              </w:rPr>
            </w:pPr>
            <w:r w:rsidRPr="00B43F59">
              <w:rPr>
                <w:sz w:val="18"/>
                <w:szCs w:val="18"/>
              </w:rPr>
              <w:t>One</w:t>
            </w:r>
            <w:r w:rsidRPr="00B43F59">
              <w:rPr>
                <w:sz w:val="18"/>
                <w:szCs w:val="18"/>
                <w:lang w:val="en-CA"/>
              </w:rPr>
              <w:t xml:space="preserve"> tool</w:t>
            </w:r>
          </w:p>
        </w:tc>
        <w:tc>
          <w:tcPr>
            <w:tcW w:w="606" w:type="pct"/>
            <w:shd w:val="clear" w:color="auto" w:fill="auto"/>
            <w:vAlign w:val="center"/>
          </w:tcPr>
          <w:p w14:paraId="2639A6C4" w14:textId="77777777" w:rsidR="00302BFE" w:rsidRPr="00B43F59" w:rsidRDefault="00302BFE" w:rsidP="00243B15">
            <w:pPr>
              <w:spacing w:after="0"/>
              <w:jc w:val="left"/>
              <w:rPr>
                <w:sz w:val="18"/>
                <w:szCs w:val="18"/>
              </w:rPr>
            </w:pPr>
            <w:r w:rsidRPr="00B43F59">
              <w:rPr>
                <w:sz w:val="18"/>
                <w:szCs w:val="18"/>
                <w:lang w:val="en-CA"/>
              </w:rPr>
              <w:t>Territorial Planning Tool</w:t>
            </w:r>
            <w:r w:rsidRPr="00B43F59">
              <w:rPr>
                <w:sz w:val="18"/>
                <w:szCs w:val="18"/>
              </w:rPr>
              <w:t xml:space="preserve"> has not been developed</w:t>
            </w:r>
          </w:p>
        </w:tc>
        <w:tc>
          <w:tcPr>
            <w:tcW w:w="314" w:type="pct"/>
            <w:gridSpan w:val="2"/>
            <w:shd w:val="clear" w:color="auto" w:fill="auto"/>
            <w:vAlign w:val="center"/>
          </w:tcPr>
          <w:p w14:paraId="0CBF72E4" w14:textId="77777777" w:rsidR="00302BFE" w:rsidRPr="00B43F59" w:rsidRDefault="00302BFE" w:rsidP="00243B15">
            <w:pPr>
              <w:spacing w:after="0"/>
              <w:jc w:val="left"/>
              <w:rPr>
                <w:sz w:val="18"/>
                <w:szCs w:val="18"/>
              </w:rPr>
            </w:pPr>
            <w:r w:rsidRPr="00B43F59">
              <w:rPr>
                <w:sz w:val="18"/>
                <w:szCs w:val="18"/>
              </w:rPr>
              <w:t>Year 1</w:t>
            </w:r>
          </w:p>
        </w:tc>
        <w:tc>
          <w:tcPr>
            <w:tcW w:w="1047" w:type="pct"/>
            <w:shd w:val="clear" w:color="auto" w:fill="auto"/>
            <w:vAlign w:val="center"/>
          </w:tcPr>
          <w:p w14:paraId="27A74575" w14:textId="77777777" w:rsidR="00302BFE" w:rsidRPr="00B43F59" w:rsidRDefault="00302BFE" w:rsidP="00243B15">
            <w:pPr>
              <w:spacing w:after="0"/>
              <w:jc w:val="left"/>
              <w:rPr>
                <w:sz w:val="18"/>
                <w:szCs w:val="18"/>
              </w:rPr>
            </w:pPr>
            <w:r w:rsidRPr="00B43F59">
              <w:rPr>
                <w:sz w:val="18"/>
                <w:szCs w:val="18"/>
              </w:rPr>
              <w:t>Gender Expert</w:t>
            </w:r>
          </w:p>
          <w:p w14:paraId="57206EEC" w14:textId="77777777" w:rsidR="00302BFE" w:rsidRPr="00B43F59" w:rsidRDefault="00302BFE" w:rsidP="00243B15">
            <w:pPr>
              <w:spacing w:after="0"/>
              <w:jc w:val="left"/>
              <w:rPr>
                <w:sz w:val="18"/>
                <w:szCs w:val="18"/>
              </w:rPr>
            </w:pPr>
            <w:r w:rsidRPr="00B43F59">
              <w:rPr>
                <w:sz w:val="18"/>
                <w:szCs w:val="18"/>
              </w:rPr>
              <w:t>DGEF, DREEVCC</w:t>
            </w:r>
            <w:r>
              <w:rPr>
                <w:sz w:val="18"/>
                <w:szCs w:val="18"/>
              </w:rPr>
              <w:t xml:space="preserve"> / MEGECC</w:t>
            </w:r>
          </w:p>
          <w:p w14:paraId="124C3046" w14:textId="77777777" w:rsidR="00302BFE" w:rsidRPr="00B43F59" w:rsidRDefault="00302BFE" w:rsidP="00243B15">
            <w:pPr>
              <w:spacing w:after="0"/>
              <w:jc w:val="left"/>
              <w:rPr>
                <w:sz w:val="18"/>
                <w:szCs w:val="18"/>
              </w:rPr>
            </w:pPr>
            <w:r w:rsidRPr="00B43F59">
              <w:rPr>
                <w:sz w:val="18"/>
                <w:szCs w:val="18"/>
              </w:rPr>
              <w:t>PA Planning Expert</w:t>
            </w:r>
          </w:p>
        </w:tc>
      </w:tr>
      <w:tr w:rsidR="00302BFE" w:rsidRPr="00B43F59" w14:paraId="54A5095A" w14:textId="77777777" w:rsidTr="00243B15">
        <w:trPr>
          <w:gridAfter w:val="1"/>
          <w:wAfter w:w="6" w:type="pct"/>
          <w:trHeight w:val="1278"/>
          <w:jc w:val="center"/>
        </w:trPr>
        <w:tc>
          <w:tcPr>
            <w:tcW w:w="1229" w:type="pct"/>
            <w:vMerge w:val="restart"/>
            <w:shd w:val="clear" w:color="auto" w:fill="auto"/>
            <w:vAlign w:val="center"/>
          </w:tcPr>
          <w:p w14:paraId="52DDC05B" w14:textId="77777777" w:rsidR="00302BFE" w:rsidRPr="00B43F59" w:rsidRDefault="00302BFE" w:rsidP="00243B15">
            <w:pPr>
              <w:spacing w:after="0"/>
              <w:jc w:val="left"/>
              <w:rPr>
                <w:sz w:val="18"/>
                <w:szCs w:val="18"/>
              </w:rPr>
            </w:pPr>
            <w:r w:rsidRPr="00B43F59">
              <w:rPr>
                <w:sz w:val="18"/>
                <w:szCs w:val="18"/>
              </w:rPr>
              <w:t>Include gender considerations and gender sensitive indicators in the PONASI Landscape Master Plan and related instruments (output 1.4.1)</w:t>
            </w:r>
          </w:p>
        </w:tc>
        <w:tc>
          <w:tcPr>
            <w:tcW w:w="1193" w:type="pct"/>
            <w:shd w:val="clear" w:color="auto" w:fill="auto"/>
            <w:vAlign w:val="center"/>
          </w:tcPr>
          <w:p w14:paraId="20293EC6" w14:textId="77777777" w:rsidR="00302BFE" w:rsidRPr="00B43F59" w:rsidRDefault="00302BFE" w:rsidP="00243B15">
            <w:pPr>
              <w:spacing w:after="0"/>
              <w:jc w:val="left"/>
              <w:rPr>
                <w:sz w:val="18"/>
                <w:szCs w:val="18"/>
              </w:rPr>
            </w:pPr>
            <w:r w:rsidRPr="00B43F59">
              <w:rPr>
                <w:sz w:val="18"/>
                <w:szCs w:val="18"/>
              </w:rPr>
              <w:t>Gender responsive Master Plan for the PONASI Landscape</w:t>
            </w:r>
          </w:p>
        </w:tc>
        <w:tc>
          <w:tcPr>
            <w:tcW w:w="605" w:type="pct"/>
            <w:shd w:val="clear" w:color="auto" w:fill="auto"/>
            <w:vAlign w:val="center"/>
          </w:tcPr>
          <w:p w14:paraId="6959F1FE" w14:textId="77777777" w:rsidR="00302BFE" w:rsidRPr="00B43F59" w:rsidRDefault="00302BFE" w:rsidP="00243B15">
            <w:pPr>
              <w:spacing w:after="0"/>
              <w:jc w:val="left"/>
              <w:rPr>
                <w:sz w:val="18"/>
                <w:szCs w:val="18"/>
              </w:rPr>
            </w:pPr>
            <w:r w:rsidRPr="00B43F59">
              <w:rPr>
                <w:sz w:val="18"/>
                <w:szCs w:val="18"/>
              </w:rPr>
              <w:t>Gender responsive Master Plan for the PONASI Landscape developed</w:t>
            </w:r>
          </w:p>
        </w:tc>
        <w:tc>
          <w:tcPr>
            <w:tcW w:w="606" w:type="pct"/>
            <w:shd w:val="clear" w:color="auto" w:fill="auto"/>
            <w:vAlign w:val="center"/>
          </w:tcPr>
          <w:p w14:paraId="3AA582BA" w14:textId="77777777" w:rsidR="00302BFE" w:rsidRPr="00B43F59" w:rsidRDefault="00302BFE" w:rsidP="00243B15">
            <w:pPr>
              <w:spacing w:after="0"/>
              <w:jc w:val="left"/>
              <w:rPr>
                <w:sz w:val="18"/>
                <w:szCs w:val="18"/>
              </w:rPr>
            </w:pPr>
            <w:r w:rsidRPr="00B43F59">
              <w:rPr>
                <w:sz w:val="18"/>
                <w:szCs w:val="18"/>
              </w:rPr>
              <w:t>Master Plan for the PONASI Landscape and related instruments ha</w:t>
            </w:r>
            <w:r>
              <w:rPr>
                <w:sz w:val="18"/>
                <w:szCs w:val="18"/>
              </w:rPr>
              <w:t>s</w:t>
            </w:r>
            <w:r w:rsidRPr="00B43F59">
              <w:rPr>
                <w:sz w:val="18"/>
                <w:szCs w:val="18"/>
              </w:rPr>
              <w:t xml:space="preserve"> not been developed</w:t>
            </w:r>
          </w:p>
        </w:tc>
        <w:tc>
          <w:tcPr>
            <w:tcW w:w="314" w:type="pct"/>
            <w:gridSpan w:val="2"/>
            <w:shd w:val="clear" w:color="auto" w:fill="auto"/>
            <w:vAlign w:val="center"/>
          </w:tcPr>
          <w:p w14:paraId="7A94F129" w14:textId="77777777" w:rsidR="00302BFE" w:rsidRPr="00B43F59" w:rsidRDefault="00302BFE" w:rsidP="00243B15">
            <w:pPr>
              <w:spacing w:after="0"/>
              <w:jc w:val="left"/>
              <w:rPr>
                <w:sz w:val="18"/>
                <w:szCs w:val="18"/>
              </w:rPr>
            </w:pPr>
            <w:r w:rsidRPr="00B43F59">
              <w:rPr>
                <w:sz w:val="18"/>
                <w:szCs w:val="18"/>
              </w:rPr>
              <w:t>Years 1 and 2</w:t>
            </w:r>
          </w:p>
        </w:tc>
        <w:tc>
          <w:tcPr>
            <w:tcW w:w="1047" w:type="pct"/>
            <w:shd w:val="clear" w:color="auto" w:fill="auto"/>
            <w:vAlign w:val="center"/>
          </w:tcPr>
          <w:p w14:paraId="3EF498B2" w14:textId="77777777" w:rsidR="00302BFE" w:rsidRDefault="00302BFE" w:rsidP="00243B15">
            <w:pPr>
              <w:spacing w:after="0"/>
              <w:jc w:val="left"/>
              <w:rPr>
                <w:sz w:val="18"/>
                <w:szCs w:val="18"/>
                <w:lang w:val="fr-CA"/>
              </w:rPr>
            </w:pPr>
            <w:r w:rsidRPr="00B43F59">
              <w:rPr>
                <w:sz w:val="18"/>
                <w:szCs w:val="18"/>
                <w:lang w:val="fr-CA"/>
              </w:rPr>
              <w:t>Gender Expert</w:t>
            </w:r>
          </w:p>
          <w:p w14:paraId="4892C698" w14:textId="77777777" w:rsidR="00302BFE" w:rsidRPr="00C3579E" w:rsidRDefault="00302BFE" w:rsidP="00243B15">
            <w:pPr>
              <w:spacing w:after="0"/>
              <w:jc w:val="left"/>
              <w:rPr>
                <w:sz w:val="18"/>
                <w:szCs w:val="18"/>
                <w:lang w:val="en-CA"/>
              </w:rPr>
            </w:pPr>
            <w:r w:rsidRPr="00C3579E">
              <w:rPr>
                <w:sz w:val="18"/>
                <w:szCs w:val="18"/>
                <w:lang w:val="en-CA"/>
              </w:rPr>
              <w:t>MAAH</w:t>
            </w:r>
          </w:p>
          <w:p w14:paraId="41D99E91" w14:textId="77777777" w:rsidR="00302BFE" w:rsidRPr="00B43F59" w:rsidRDefault="00302BFE" w:rsidP="00243B15">
            <w:pPr>
              <w:spacing w:after="0"/>
              <w:jc w:val="left"/>
              <w:rPr>
                <w:sz w:val="18"/>
                <w:szCs w:val="18"/>
              </w:rPr>
            </w:pPr>
            <w:r w:rsidRPr="00B43F59">
              <w:rPr>
                <w:sz w:val="18"/>
                <w:szCs w:val="18"/>
              </w:rPr>
              <w:t>OFINAP, DGEF, DREEVCC</w:t>
            </w:r>
            <w:r>
              <w:rPr>
                <w:sz w:val="18"/>
                <w:szCs w:val="18"/>
              </w:rPr>
              <w:t xml:space="preserve"> / MEGECC</w:t>
            </w:r>
          </w:p>
        </w:tc>
      </w:tr>
      <w:tr w:rsidR="00302BFE" w:rsidRPr="00B43F59" w14:paraId="48E96D69" w14:textId="77777777" w:rsidTr="00243B15">
        <w:trPr>
          <w:gridAfter w:val="1"/>
          <w:wAfter w:w="6" w:type="pct"/>
          <w:jc w:val="center"/>
        </w:trPr>
        <w:tc>
          <w:tcPr>
            <w:tcW w:w="1229" w:type="pct"/>
            <w:vMerge/>
            <w:shd w:val="clear" w:color="auto" w:fill="auto"/>
            <w:vAlign w:val="center"/>
          </w:tcPr>
          <w:p w14:paraId="5A649204" w14:textId="77777777" w:rsidR="00302BFE" w:rsidRPr="00B43F59" w:rsidRDefault="00302BFE" w:rsidP="00243B15">
            <w:pPr>
              <w:spacing w:after="0"/>
              <w:ind w:right="26"/>
              <w:jc w:val="left"/>
              <w:rPr>
                <w:sz w:val="18"/>
                <w:szCs w:val="18"/>
              </w:rPr>
            </w:pPr>
          </w:p>
        </w:tc>
        <w:tc>
          <w:tcPr>
            <w:tcW w:w="1193" w:type="pct"/>
            <w:shd w:val="clear" w:color="auto" w:fill="auto"/>
            <w:vAlign w:val="center"/>
          </w:tcPr>
          <w:p w14:paraId="5F4298DD" w14:textId="77777777" w:rsidR="00302BFE" w:rsidRPr="00B43F59" w:rsidRDefault="00302BFE" w:rsidP="00243B15">
            <w:pPr>
              <w:spacing w:after="0"/>
              <w:jc w:val="left"/>
              <w:rPr>
                <w:sz w:val="18"/>
                <w:szCs w:val="18"/>
              </w:rPr>
            </w:pPr>
            <w:r w:rsidRPr="00B43F59">
              <w:rPr>
                <w:sz w:val="18"/>
                <w:szCs w:val="18"/>
              </w:rPr>
              <w:t>Number of management plans for prioritized protected areas which address women and men, and other socially vulnerable groups’ needs, and with mechanisms to promote women’s participation (output 2.2.2)</w:t>
            </w:r>
          </w:p>
        </w:tc>
        <w:tc>
          <w:tcPr>
            <w:tcW w:w="605" w:type="pct"/>
            <w:shd w:val="clear" w:color="auto" w:fill="auto"/>
            <w:vAlign w:val="center"/>
          </w:tcPr>
          <w:p w14:paraId="18EF4854" w14:textId="77777777" w:rsidR="00302BFE" w:rsidRPr="00B43F59" w:rsidRDefault="00302BFE" w:rsidP="00243B15">
            <w:pPr>
              <w:spacing w:after="0"/>
              <w:jc w:val="left"/>
              <w:rPr>
                <w:sz w:val="18"/>
                <w:szCs w:val="18"/>
              </w:rPr>
            </w:pPr>
            <w:r w:rsidRPr="00B43F59">
              <w:rPr>
                <w:sz w:val="18"/>
                <w:szCs w:val="18"/>
              </w:rPr>
              <w:t>One (1) gender-responsive protected area management plans</w:t>
            </w:r>
          </w:p>
        </w:tc>
        <w:tc>
          <w:tcPr>
            <w:tcW w:w="606" w:type="pct"/>
            <w:shd w:val="clear" w:color="auto" w:fill="auto"/>
            <w:vAlign w:val="center"/>
          </w:tcPr>
          <w:p w14:paraId="2EB68387" w14:textId="77777777" w:rsidR="00302BFE" w:rsidRPr="00B43F59" w:rsidRDefault="00302BFE" w:rsidP="00243B15">
            <w:pPr>
              <w:spacing w:after="0"/>
              <w:jc w:val="left"/>
              <w:rPr>
                <w:sz w:val="18"/>
                <w:szCs w:val="18"/>
              </w:rPr>
            </w:pPr>
            <w:r w:rsidRPr="00B43F59">
              <w:rPr>
                <w:bCs/>
                <w:iCs/>
                <w:sz w:val="18"/>
                <w:szCs w:val="18"/>
                <w:bdr w:val="none" w:sz="0" w:space="0" w:color="auto" w:frame="1"/>
              </w:rPr>
              <w:t>0 (</w:t>
            </w:r>
            <w:r w:rsidRPr="00B43F59">
              <w:rPr>
                <w:sz w:val="18"/>
                <w:szCs w:val="18"/>
              </w:rPr>
              <w:t xml:space="preserve">protected area </w:t>
            </w:r>
            <w:r w:rsidRPr="00B43F59">
              <w:rPr>
                <w:bCs/>
                <w:iCs/>
                <w:sz w:val="18"/>
                <w:szCs w:val="18"/>
                <w:bdr w:val="none" w:sz="0" w:space="0" w:color="auto" w:frame="1"/>
              </w:rPr>
              <w:t xml:space="preserve">management plans have not been developed) </w:t>
            </w:r>
          </w:p>
        </w:tc>
        <w:tc>
          <w:tcPr>
            <w:tcW w:w="314" w:type="pct"/>
            <w:gridSpan w:val="2"/>
            <w:shd w:val="clear" w:color="auto" w:fill="auto"/>
            <w:vAlign w:val="center"/>
          </w:tcPr>
          <w:p w14:paraId="2AE090AF" w14:textId="77777777" w:rsidR="00302BFE" w:rsidRPr="00B43F59" w:rsidRDefault="00302BFE" w:rsidP="00243B15">
            <w:pPr>
              <w:spacing w:after="0"/>
              <w:jc w:val="left"/>
              <w:rPr>
                <w:sz w:val="18"/>
                <w:szCs w:val="18"/>
              </w:rPr>
            </w:pPr>
            <w:r w:rsidRPr="00B43F59">
              <w:rPr>
                <w:sz w:val="18"/>
                <w:szCs w:val="18"/>
              </w:rPr>
              <w:t>Years 1 and 2</w:t>
            </w:r>
          </w:p>
        </w:tc>
        <w:tc>
          <w:tcPr>
            <w:tcW w:w="1047" w:type="pct"/>
            <w:shd w:val="clear" w:color="auto" w:fill="auto"/>
            <w:vAlign w:val="center"/>
          </w:tcPr>
          <w:p w14:paraId="041B5DB9" w14:textId="77777777" w:rsidR="00302BFE" w:rsidRPr="00B43F59" w:rsidRDefault="00302BFE" w:rsidP="00243B15">
            <w:pPr>
              <w:spacing w:after="0"/>
              <w:jc w:val="left"/>
              <w:rPr>
                <w:sz w:val="18"/>
                <w:szCs w:val="18"/>
                <w:lang w:val="fr-CA"/>
              </w:rPr>
            </w:pPr>
            <w:r w:rsidRPr="00B43F59">
              <w:rPr>
                <w:sz w:val="18"/>
                <w:szCs w:val="18"/>
                <w:lang w:val="fr-CA"/>
              </w:rPr>
              <w:t>Gender Expert</w:t>
            </w:r>
          </w:p>
          <w:p w14:paraId="28E73503" w14:textId="77777777" w:rsidR="00302BFE" w:rsidRPr="00B43F59" w:rsidRDefault="00302BFE" w:rsidP="00243B15">
            <w:pPr>
              <w:spacing w:after="0"/>
              <w:jc w:val="left"/>
              <w:rPr>
                <w:sz w:val="18"/>
                <w:szCs w:val="18"/>
                <w:lang w:val="fr-CA"/>
              </w:rPr>
            </w:pPr>
            <w:r w:rsidRPr="00B43F59">
              <w:rPr>
                <w:sz w:val="18"/>
                <w:szCs w:val="18"/>
                <w:lang w:val="fr-CA"/>
              </w:rPr>
              <w:t>OFINAP, DGEF, DREEVCC</w:t>
            </w:r>
            <w:r>
              <w:rPr>
                <w:sz w:val="18"/>
                <w:szCs w:val="18"/>
                <w:lang w:val="fr-CA"/>
              </w:rPr>
              <w:t xml:space="preserve"> </w:t>
            </w:r>
            <w:r>
              <w:rPr>
                <w:sz w:val="18"/>
                <w:szCs w:val="18"/>
              </w:rPr>
              <w:t>/ MEGECC</w:t>
            </w:r>
          </w:p>
        </w:tc>
      </w:tr>
      <w:tr w:rsidR="00302BFE" w:rsidRPr="00B43F59" w14:paraId="3C521B4E" w14:textId="77777777" w:rsidTr="00243B15">
        <w:trPr>
          <w:gridAfter w:val="1"/>
          <w:wAfter w:w="6" w:type="pct"/>
          <w:trHeight w:val="627"/>
          <w:jc w:val="center"/>
        </w:trPr>
        <w:tc>
          <w:tcPr>
            <w:tcW w:w="1229" w:type="pct"/>
            <w:shd w:val="clear" w:color="auto" w:fill="auto"/>
            <w:vAlign w:val="center"/>
          </w:tcPr>
          <w:p w14:paraId="3E172D43" w14:textId="77777777" w:rsidR="00302BFE" w:rsidRPr="00B43F59" w:rsidRDefault="00302BFE" w:rsidP="00243B15">
            <w:pPr>
              <w:spacing w:after="0"/>
              <w:ind w:right="26"/>
              <w:jc w:val="left"/>
              <w:rPr>
                <w:sz w:val="18"/>
                <w:szCs w:val="18"/>
                <w:lang w:val="en-CA"/>
              </w:rPr>
            </w:pPr>
            <w:r w:rsidRPr="00B43F59">
              <w:rPr>
                <w:sz w:val="18"/>
                <w:szCs w:val="18"/>
                <w:lang w:val="en-CA"/>
              </w:rPr>
              <w:lastRenderedPageBreak/>
              <w:t xml:space="preserve">Integrate </w:t>
            </w:r>
            <w:r w:rsidRPr="002E46A2">
              <w:rPr>
                <w:szCs w:val="20"/>
                <w:lang w:val="en-GB"/>
              </w:rPr>
              <w:t>NTFP</w:t>
            </w:r>
            <w:r w:rsidRPr="00B43F59">
              <w:rPr>
                <w:sz w:val="18"/>
                <w:szCs w:val="18"/>
                <w:lang w:val="en-CA"/>
              </w:rPr>
              <w:t xml:space="preserve"> production spaces dedicated to women's cooperatives into pilot sites (output 1.4.1)</w:t>
            </w:r>
          </w:p>
        </w:tc>
        <w:tc>
          <w:tcPr>
            <w:tcW w:w="1193" w:type="pct"/>
            <w:shd w:val="clear" w:color="auto" w:fill="auto"/>
            <w:vAlign w:val="center"/>
          </w:tcPr>
          <w:p w14:paraId="1A302E32" w14:textId="77777777" w:rsidR="00302BFE" w:rsidRPr="00B43F59" w:rsidRDefault="00302BFE" w:rsidP="00243B15">
            <w:pPr>
              <w:spacing w:after="0"/>
              <w:jc w:val="left"/>
              <w:rPr>
                <w:sz w:val="18"/>
                <w:szCs w:val="18"/>
                <w:lang w:val="en-CA"/>
              </w:rPr>
            </w:pPr>
            <w:r w:rsidRPr="00B43F59">
              <w:rPr>
                <w:sz w:val="18"/>
                <w:szCs w:val="18"/>
                <w:lang w:val="en-CA"/>
              </w:rPr>
              <w:t>Area of sites dedicated primarily to the exploitation of NTFPs for the benefit of women's cooperatives</w:t>
            </w:r>
          </w:p>
        </w:tc>
        <w:tc>
          <w:tcPr>
            <w:tcW w:w="605" w:type="pct"/>
            <w:shd w:val="clear" w:color="auto" w:fill="auto"/>
            <w:vAlign w:val="center"/>
          </w:tcPr>
          <w:p w14:paraId="4568F93F" w14:textId="77777777" w:rsidR="00302BFE" w:rsidRPr="00B43F59" w:rsidRDefault="00302BFE" w:rsidP="00243B15">
            <w:pPr>
              <w:spacing w:after="0"/>
              <w:jc w:val="left"/>
              <w:rPr>
                <w:sz w:val="18"/>
                <w:szCs w:val="18"/>
                <w:lang w:val="fr-CA"/>
              </w:rPr>
            </w:pPr>
            <w:r w:rsidRPr="00B43F59">
              <w:rPr>
                <w:sz w:val="18"/>
                <w:szCs w:val="18"/>
                <w:lang w:val="fr-CA"/>
              </w:rPr>
              <w:t xml:space="preserve">200 ha </w:t>
            </w:r>
          </w:p>
        </w:tc>
        <w:tc>
          <w:tcPr>
            <w:tcW w:w="606" w:type="pct"/>
            <w:shd w:val="clear" w:color="auto" w:fill="auto"/>
            <w:vAlign w:val="center"/>
          </w:tcPr>
          <w:p w14:paraId="672ED1DB" w14:textId="77777777" w:rsidR="00302BFE" w:rsidRPr="00B43F59" w:rsidRDefault="00302BFE" w:rsidP="00243B15">
            <w:pPr>
              <w:spacing w:after="0"/>
              <w:jc w:val="left"/>
              <w:rPr>
                <w:sz w:val="18"/>
                <w:szCs w:val="18"/>
              </w:rPr>
            </w:pPr>
            <w:r w:rsidRPr="00B43F59">
              <w:rPr>
                <w:sz w:val="18"/>
                <w:szCs w:val="18"/>
              </w:rPr>
              <w:t>0</w:t>
            </w:r>
          </w:p>
        </w:tc>
        <w:tc>
          <w:tcPr>
            <w:tcW w:w="314" w:type="pct"/>
            <w:gridSpan w:val="2"/>
            <w:shd w:val="clear" w:color="auto" w:fill="auto"/>
            <w:vAlign w:val="center"/>
          </w:tcPr>
          <w:p w14:paraId="0A35B4F3" w14:textId="77777777" w:rsidR="00302BFE" w:rsidRPr="00B43F59" w:rsidRDefault="00302BFE" w:rsidP="00243B15">
            <w:pPr>
              <w:spacing w:after="0"/>
              <w:jc w:val="left"/>
              <w:rPr>
                <w:sz w:val="18"/>
                <w:szCs w:val="18"/>
              </w:rPr>
            </w:pPr>
            <w:r w:rsidRPr="00B43F59">
              <w:rPr>
                <w:sz w:val="18"/>
                <w:szCs w:val="18"/>
              </w:rPr>
              <w:t>Year 2</w:t>
            </w:r>
          </w:p>
        </w:tc>
        <w:tc>
          <w:tcPr>
            <w:tcW w:w="1047" w:type="pct"/>
            <w:shd w:val="clear" w:color="auto" w:fill="auto"/>
            <w:vAlign w:val="center"/>
          </w:tcPr>
          <w:p w14:paraId="496B8174" w14:textId="77777777" w:rsidR="00302BFE" w:rsidRPr="00B43F59" w:rsidRDefault="00302BFE" w:rsidP="00243B15">
            <w:pPr>
              <w:spacing w:after="0"/>
              <w:jc w:val="left"/>
              <w:rPr>
                <w:sz w:val="18"/>
                <w:szCs w:val="18"/>
              </w:rPr>
            </w:pPr>
            <w:r w:rsidRPr="00B43F59">
              <w:rPr>
                <w:sz w:val="18"/>
                <w:szCs w:val="18"/>
              </w:rPr>
              <w:t>DGEF, DREEVCC</w:t>
            </w:r>
          </w:p>
        </w:tc>
      </w:tr>
      <w:tr w:rsidR="00302BFE" w:rsidRPr="00B43F59" w14:paraId="33874B8F" w14:textId="77777777" w:rsidTr="00243B15">
        <w:trPr>
          <w:trHeight w:val="278"/>
          <w:jc w:val="center"/>
        </w:trPr>
        <w:tc>
          <w:tcPr>
            <w:tcW w:w="5000" w:type="pct"/>
            <w:gridSpan w:val="8"/>
            <w:shd w:val="clear" w:color="auto" w:fill="auto"/>
            <w:vAlign w:val="center"/>
          </w:tcPr>
          <w:p w14:paraId="34EE42D9" w14:textId="77777777" w:rsidR="00302BFE" w:rsidRPr="00B43F59" w:rsidRDefault="00302BFE" w:rsidP="00243B15">
            <w:pPr>
              <w:spacing w:after="0"/>
              <w:jc w:val="left"/>
              <w:rPr>
                <w:b/>
                <w:sz w:val="18"/>
                <w:szCs w:val="18"/>
                <w:lang w:val="en-CA"/>
              </w:rPr>
            </w:pPr>
            <w:r w:rsidRPr="00B43F59">
              <w:rPr>
                <w:b/>
                <w:sz w:val="18"/>
                <w:szCs w:val="18"/>
                <w:lang w:val="en-CA"/>
              </w:rPr>
              <w:t>Output 1.5 Management requirements for the units of the territory, support the implementation of the PONASI Landscape Management Master Plan</w:t>
            </w:r>
          </w:p>
        </w:tc>
      </w:tr>
      <w:tr w:rsidR="00302BFE" w:rsidRPr="00B43F59" w14:paraId="59C1C50E" w14:textId="77777777" w:rsidTr="00243B15">
        <w:trPr>
          <w:jc w:val="center"/>
        </w:trPr>
        <w:tc>
          <w:tcPr>
            <w:tcW w:w="5000" w:type="pct"/>
            <w:gridSpan w:val="8"/>
            <w:shd w:val="clear" w:color="auto" w:fill="FBE4D5"/>
            <w:vAlign w:val="center"/>
          </w:tcPr>
          <w:p w14:paraId="686A86C9" w14:textId="77777777" w:rsidR="00302BFE" w:rsidRPr="00B43F59" w:rsidRDefault="00302BFE" w:rsidP="00243B15">
            <w:pPr>
              <w:spacing w:after="0"/>
              <w:jc w:val="left"/>
              <w:rPr>
                <w:b/>
                <w:sz w:val="18"/>
                <w:szCs w:val="18"/>
                <w:lang w:val="en-CA"/>
              </w:rPr>
            </w:pPr>
            <w:r w:rsidRPr="00B43F59">
              <w:rPr>
                <w:b/>
                <w:sz w:val="18"/>
                <w:szCs w:val="18"/>
                <w:lang w:val="en-GB"/>
              </w:rPr>
              <w:t>Component 2. Strengthening the PONASI Protected Area System</w:t>
            </w:r>
            <w:r w:rsidRPr="00B43F59">
              <w:rPr>
                <w:b/>
                <w:sz w:val="18"/>
                <w:szCs w:val="18"/>
                <w:lang w:val="en-CA"/>
              </w:rPr>
              <w:t xml:space="preserve"> </w:t>
            </w:r>
          </w:p>
        </w:tc>
      </w:tr>
      <w:tr w:rsidR="00302BFE" w:rsidRPr="00B43F59" w14:paraId="2A0DAD8C" w14:textId="77777777" w:rsidTr="00243B15">
        <w:trPr>
          <w:jc w:val="center"/>
        </w:trPr>
        <w:tc>
          <w:tcPr>
            <w:tcW w:w="5000" w:type="pct"/>
            <w:gridSpan w:val="8"/>
            <w:shd w:val="clear" w:color="auto" w:fill="auto"/>
            <w:vAlign w:val="center"/>
          </w:tcPr>
          <w:p w14:paraId="79B18379" w14:textId="77777777" w:rsidR="00302BFE" w:rsidRPr="00B43F59" w:rsidRDefault="00302BFE" w:rsidP="00243B15">
            <w:pPr>
              <w:pStyle w:val="Sinespaciado1"/>
              <w:rPr>
                <w:b/>
                <w:sz w:val="18"/>
                <w:szCs w:val="18"/>
                <w:lang w:val="en-CA"/>
              </w:rPr>
            </w:pPr>
            <w:r w:rsidRPr="00B43F59">
              <w:rPr>
                <w:b/>
                <w:sz w:val="18"/>
                <w:szCs w:val="18"/>
                <w:lang w:val="en-CA"/>
              </w:rPr>
              <w:t xml:space="preserve">Output 2.1 Institutional and individual capacities within PA agencies are enhanced through targeted capacity building interventions </w:t>
            </w:r>
          </w:p>
        </w:tc>
      </w:tr>
      <w:tr w:rsidR="00302BFE" w:rsidRPr="00B43F59" w14:paraId="0AE8AC8D" w14:textId="77777777" w:rsidTr="00243B15">
        <w:trPr>
          <w:gridAfter w:val="1"/>
          <w:wAfter w:w="6" w:type="pct"/>
          <w:trHeight w:val="1427"/>
          <w:jc w:val="center"/>
        </w:trPr>
        <w:tc>
          <w:tcPr>
            <w:tcW w:w="1229" w:type="pct"/>
            <w:shd w:val="clear" w:color="auto" w:fill="auto"/>
            <w:vAlign w:val="center"/>
          </w:tcPr>
          <w:p w14:paraId="69C79F9C" w14:textId="77777777" w:rsidR="00302BFE" w:rsidRPr="00B43F59" w:rsidRDefault="00302BFE" w:rsidP="00243B15">
            <w:pPr>
              <w:spacing w:after="0"/>
              <w:ind w:right="26"/>
              <w:jc w:val="left"/>
              <w:rPr>
                <w:bCs/>
                <w:iCs/>
                <w:sz w:val="18"/>
                <w:szCs w:val="18"/>
                <w:bdr w:val="none" w:sz="0" w:space="0" w:color="auto" w:frame="1"/>
              </w:rPr>
            </w:pPr>
            <w:r w:rsidRPr="00B43F59">
              <w:rPr>
                <w:bCs/>
                <w:iCs/>
                <w:sz w:val="18"/>
                <w:szCs w:val="18"/>
                <w:bdr w:val="none" w:sz="0" w:space="0" w:color="auto" w:frame="1"/>
              </w:rPr>
              <w:t>Ensure adequate women representation when establishing the collaborative management committees for PAs. (output 2.1.1)</w:t>
            </w:r>
          </w:p>
        </w:tc>
        <w:tc>
          <w:tcPr>
            <w:tcW w:w="1193" w:type="pct"/>
            <w:shd w:val="clear" w:color="auto" w:fill="auto"/>
            <w:vAlign w:val="center"/>
          </w:tcPr>
          <w:p w14:paraId="2A431604" w14:textId="77777777" w:rsidR="00302BFE" w:rsidRPr="00B43F59" w:rsidRDefault="00302BFE" w:rsidP="00243B15">
            <w:pPr>
              <w:spacing w:after="0"/>
              <w:jc w:val="left"/>
              <w:rPr>
                <w:sz w:val="18"/>
                <w:szCs w:val="18"/>
              </w:rPr>
            </w:pPr>
            <w:r w:rsidRPr="00B43F59">
              <w:rPr>
                <w:sz w:val="18"/>
                <w:szCs w:val="18"/>
              </w:rPr>
              <w:t xml:space="preserve">Level of women participation in </w:t>
            </w:r>
            <w:r w:rsidRPr="00B43F59">
              <w:rPr>
                <w:bCs/>
                <w:iCs/>
                <w:sz w:val="18"/>
                <w:szCs w:val="18"/>
                <w:bdr w:val="none" w:sz="0" w:space="0" w:color="auto" w:frame="1"/>
              </w:rPr>
              <w:t xml:space="preserve">collaborative management committees </w:t>
            </w:r>
          </w:p>
        </w:tc>
        <w:tc>
          <w:tcPr>
            <w:tcW w:w="605" w:type="pct"/>
            <w:shd w:val="clear" w:color="auto" w:fill="auto"/>
            <w:vAlign w:val="center"/>
          </w:tcPr>
          <w:p w14:paraId="6AB051F8" w14:textId="77777777" w:rsidR="00302BFE" w:rsidRPr="00B43F59" w:rsidRDefault="00302BFE" w:rsidP="00243B15">
            <w:pPr>
              <w:spacing w:after="0"/>
              <w:jc w:val="left"/>
              <w:rPr>
                <w:sz w:val="18"/>
                <w:szCs w:val="18"/>
              </w:rPr>
            </w:pPr>
            <w:r w:rsidRPr="00B43F59">
              <w:rPr>
                <w:sz w:val="18"/>
                <w:szCs w:val="18"/>
              </w:rPr>
              <w:t>A minimum of 60% female membership and female participation in leadership in protected area-level committees</w:t>
            </w:r>
          </w:p>
        </w:tc>
        <w:tc>
          <w:tcPr>
            <w:tcW w:w="606" w:type="pct"/>
            <w:shd w:val="clear" w:color="auto" w:fill="auto"/>
            <w:vAlign w:val="center"/>
          </w:tcPr>
          <w:p w14:paraId="094591FB" w14:textId="77777777" w:rsidR="00302BFE" w:rsidRPr="00B43F59" w:rsidRDefault="00302BFE" w:rsidP="00243B15">
            <w:pPr>
              <w:spacing w:after="0"/>
              <w:jc w:val="left"/>
              <w:rPr>
                <w:bCs/>
                <w:iCs/>
                <w:sz w:val="18"/>
                <w:szCs w:val="18"/>
                <w:bdr w:val="none" w:sz="0" w:space="0" w:color="auto" w:frame="1"/>
                <w:lang w:val="en-CA"/>
              </w:rPr>
            </w:pPr>
            <w:r w:rsidRPr="00B43F59">
              <w:rPr>
                <w:sz w:val="18"/>
                <w:szCs w:val="18"/>
                <w:lang w:val="en-CA"/>
              </w:rPr>
              <w:t>Existing management committees (Zovic, CAF, village forests) do not take into account gender</w:t>
            </w:r>
          </w:p>
        </w:tc>
        <w:tc>
          <w:tcPr>
            <w:tcW w:w="314" w:type="pct"/>
            <w:gridSpan w:val="2"/>
            <w:shd w:val="clear" w:color="auto" w:fill="auto"/>
            <w:vAlign w:val="center"/>
          </w:tcPr>
          <w:p w14:paraId="4CFDF976" w14:textId="77777777" w:rsidR="00302BFE" w:rsidRPr="00B43F59" w:rsidRDefault="00302BFE" w:rsidP="00243B15">
            <w:pPr>
              <w:spacing w:after="0"/>
              <w:jc w:val="left"/>
              <w:rPr>
                <w:sz w:val="18"/>
                <w:szCs w:val="18"/>
              </w:rPr>
            </w:pPr>
            <w:r w:rsidRPr="00B43F59">
              <w:rPr>
                <w:sz w:val="18"/>
                <w:szCs w:val="18"/>
              </w:rPr>
              <w:t>Year 2</w:t>
            </w:r>
          </w:p>
        </w:tc>
        <w:tc>
          <w:tcPr>
            <w:tcW w:w="1047" w:type="pct"/>
            <w:shd w:val="clear" w:color="auto" w:fill="auto"/>
            <w:vAlign w:val="center"/>
          </w:tcPr>
          <w:p w14:paraId="4658154F" w14:textId="77777777" w:rsidR="00302BFE" w:rsidRPr="00B43F59" w:rsidRDefault="00302BFE" w:rsidP="00243B15">
            <w:pPr>
              <w:spacing w:after="0"/>
              <w:jc w:val="left"/>
              <w:rPr>
                <w:sz w:val="18"/>
                <w:szCs w:val="18"/>
                <w:lang w:val="fr-CA"/>
              </w:rPr>
            </w:pPr>
            <w:r w:rsidRPr="00B43F59">
              <w:rPr>
                <w:sz w:val="18"/>
                <w:szCs w:val="18"/>
                <w:lang w:val="fr-CA"/>
              </w:rPr>
              <w:t>Gender Expert</w:t>
            </w:r>
          </w:p>
          <w:p w14:paraId="3C3651B0" w14:textId="77777777" w:rsidR="00302BFE" w:rsidRPr="00B43F59" w:rsidRDefault="00302BFE" w:rsidP="00243B15">
            <w:pPr>
              <w:spacing w:after="0"/>
              <w:jc w:val="left"/>
              <w:rPr>
                <w:sz w:val="18"/>
                <w:szCs w:val="18"/>
                <w:lang w:val="fr-CA"/>
              </w:rPr>
            </w:pPr>
            <w:r w:rsidRPr="00B43F59">
              <w:rPr>
                <w:sz w:val="18"/>
                <w:szCs w:val="18"/>
                <w:lang w:val="fr-CA"/>
              </w:rPr>
              <w:t>OFINAP, DGEF, DREEVCC</w:t>
            </w:r>
            <w:r>
              <w:rPr>
                <w:sz w:val="18"/>
                <w:szCs w:val="18"/>
                <w:lang w:val="fr-CA"/>
              </w:rPr>
              <w:t xml:space="preserve"> </w:t>
            </w:r>
            <w:r>
              <w:rPr>
                <w:sz w:val="18"/>
                <w:szCs w:val="18"/>
              </w:rPr>
              <w:t>/ MEGECC</w:t>
            </w:r>
          </w:p>
        </w:tc>
      </w:tr>
      <w:tr w:rsidR="00302BFE" w:rsidRPr="00B43F59" w14:paraId="480375A2" w14:textId="77777777" w:rsidTr="00243B15">
        <w:trPr>
          <w:gridAfter w:val="1"/>
          <w:wAfter w:w="6" w:type="pct"/>
          <w:jc w:val="center"/>
        </w:trPr>
        <w:tc>
          <w:tcPr>
            <w:tcW w:w="1229" w:type="pct"/>
            <w:shd w:val="clear" w:color="auto" w:fill="auto"/>
            <w:vAlign w:val="center"/>
          </w:tcPr>
          <w:p w14:paraId="1B304802" w14:textId="77777777" w:rsidR="00302BFE" w:rsidRPr="00B43F59" w:rsidRDefault="00302BFE" w:rsidP="00243B15">
            <w:pPr>
              <w:pStyle w:val="Paragraphedeliste"/>
              <w:tabs>
                <w:tab w:val="left" w:pos="284"/>
              </w:tabs>
              <w:ind w:left="0"/>
              <w:rPr>
                <w:rFonts w:ascii="Calibri" w:hAnsi="Calibri"/>
                <w:sz w:val="18"/>
                <w:szCs w:val="18"/>
                <w:lang w:val="en-CA"/>
              </w:rPr>
            </w:pPr>
            <w:r w:rsidRPr="00B43F59">
              <w:rPr>
                <w:rFonts w:ascii="Calibri" w:hAnsi="Calibri"/>
                <w:sz w:val="18"/>
                <w:szCs w:val="18"/>
                <w:lang w:val="en-CA"/>
              </w:rPr>
              <w:t>Support the development and implementation of a gender-sensitive capacity development plan (Output 2.1.3)</w:t>
            </w:r>
          </w:p>
        </w:tc>
        <w:tc>
          <w:tcPr>
            <w:tcW w:w="1193" w:type="pct"/>
            <w:shd w:val="clear" w:color="auto" w:fill="auto"/>
            <w:vAlign w:val="center"/>
          </w:tcPr>
          <w:p w14:paraId="264743B4" w14:textId="77777777" w:rsidR="00302BFE" w:rsidRPr="00B43F59" w:rsidRDefault="00302BFE" w:rsidP="00243B15">
            <w:pPr>
              <w:spacing w:after="0"/>
              <w:jc w:val="left"/>
              <w:rPr>
                <w:sz w:val="18"/>
                <w:szCs w:val="18"/>
                <w:lang w:val="en-CA"/>
              </w:rPr>
            </w:pPr>
            <w:r w:rsidRPr="00B43F59">
              <w:rPr>
                <w:sz w:val="18"/>
                <w:szCs w:val="18"/>
                <w:lang w:val="en-CA"/>
              </w:rPr>
              <w:t>Existence of a gender-sensitive capacity development plan</w:t>
            </w:r>
          </w:p>
        </w:tc>
        <w:tc>
          <w:tcPr>
            <w:tcW w:w="605" w:type="pct"/>
            <w:shd w:val="clear" w:color="auto" w:fill="auto"/>
            <w:vAlign w:val="center"/>
          </w:tcPr>
          <w:p w14:paraId="16FD151A" w14:textId="77777777" w:rsidR="00302BFE" w:rsidRPr="00B43F59" w:rsidRDefault="00302BFE" w:rsidP="00243B15">
            <w:pPr>
              <w:spacing w:after="0"/>
              <w:jc w:val="left"/>
              <w:rPr>
                <w:sz w:val="18"/>
                <w:szCs w:val="18"/>
              </w:rPr>
            </w:pPr>
            <w:r w:rsidRPr="00B43F59">
              <w:rPr>
                <w:sz w:val="18"/>
                <w:szCs w:val="18"/>
              </w:rPr>
              <w:t>1 plan</w:t>
            </w:r>
          </w:p>
        </w:tc>
        <w:tc>
          <w:tcPr>
            <w:tcW w:w="606" w:type="pct"/>
            <w:shd w:val="clear" w:color="auto" w:fill="auto"/>
            <w:vAlign w:val="center"/>
          </w:tcPr>
          <w:p w14:paraId="061F4F94" w14:textId="77777777" w:rsidR="00302BFE" w:rsidRPr="00B43F59" w:rsidRDefault="00302BFE" w:rsidP="00243B15">
            <w:pPr>
              <w:spacing w:after="0"/>
              <w:jc w:val="left"/>
              <w:rPr>
                <w:sz w:val="18"/>
                <w:szCs w:val="18"/>
                <w:lang w:val="en-CA"/>
              </w:rPr>
            </w:pPr>
            <w:r w:rsidRPr="00B43F59">
              <w:rPr>
                <w:sz w:val="18"/>
                <w:szCs w:val="18"/>
                <w:lang w:val="en-CA"/>
              </w:rPr>
              <w:t>0 (there is not yet a gender-sensitive capacity development plan in the project area)</w:t>
            </w:r>
          </w:p>
        </w:tc>
        <w:tc>
          <w:tcPr>
            <w:tcW w:w="314" w:type="pct"/>
            <w:gridSpan w:val="2"/>
            <w:shd w:val="clear" w:color="auto" w:fill="auto"/>
            <w:vAlign w:val="center"/>
          </w:tcPr>
          <w:p w14:paraId="7A3C9F07" w14:textId="77777777" w:rsidR="00302BFE" w:rsidRPr="00B43F59" w:rsidRDefault="00302BFE" w:rsidP="00243B15">
            <w:pPr>
              <w:spacing w:after="0"/>
              <w:jc w:val="left"/>
              <w:rPr>
                <w:sz w:val="18"/>
                <w:szCs w:val="18"/>
              </w:rPr>
            </w:pPr>
            <w:r w:rsidRPr="00B43F59">
              <w:rPr>
                <w:sz w:val="18"/>
                <w:szCs w:val="18"/>
              </w:rPr>
              <w:t>Year 1</w:t>
            </w:r>
          </w:p>
        </w:tc>
        <w:tc>
          <w:tcPr>
            <w:tcW w:w="1047" w:type="pct"/>
            <w:shd w:val="clear" w:color="auto" w:fill="auto"/>
            <w:vAlign w:val="center"/>
          </w:tcPr>
          <w:p w14:paraId="02ADCD94" w14:textId="77777777" w:rsidR="00302BFE" w:rsidRPr="00B43F59" w:rsidRDefault="00302BFE" w:rsidP="00243B15">
            <w:pPr>
              <w:pStyle w:val="Paragraphedeliste"/>
              <w:ind w:left="0"/>
              <w:contextualSpacing/>
              <w:rPr>
                <w:rFonts w:ascii="Calibri" w:hAnsi="Calibri"/>
                <w:sz w:val="18"/>
                <w:szCs w:val="18"/>
                <w:lang w:val="en-CA"/>
              </w:rPr>
            </w:pPr>
            <w:r w:rsidRPr="00B43F59">
              <w:rPr>
                <w:rFonts w:ascii="Calibri" w:hAnsi="Calibri"/>
                <w:sz w:val="18"/>
                <w:szCs w:val="18"/>
                <w:lang w:val="en-CA"/>
              </w:rPr>
              <w:t>Project Gender Expert</w:t>
            </w:r>
          </w:p>
          <w:p w14:paraId="60B447F5" w14:textId="77777777" w:rsidR="00302BFE" w:rsidRPr="00B43F59" w:rsidRDefault="00302BFE" w:rsidP="00243B15">
            <w:pPr>
              <w:pStyle w:val="Paragraphedeliste"/>
              <w:ind w:left="0"/>
              <w:contextualSpacing/>
              <w:rPr>
                <w:rFonts w:ascii="Calibri" w:hAnsi="Calibri"/>
                <w:sz w:val="18"/>
                <w:szCs w:val="18"/>
                <w:lang w:val="en-CA"/>
              </w:rPr>
            </w:pPr>
            <w:r w:rsidRPr="00B43F59">
              <w:rPr>
                <w:rFonts w:ascii="Calibri" w:hAnsi="Calibri"/>
                <w:sz w:val="18"/>
                <w:szCs w:val="18"/>
              </w:rPr>
              <w:fldChar w:fldCharType="begin"/>
            </w:r>
            <w:r w:rsidRPr="00B43F59">
              <w:rPr>
                <w:rFonts w:ascii="Calibri" w:hAnsi="Calibri"/>
                <w:sz w:val="18"/>
                <w:szCs w:val="18"/>
                <w:lang w:val="en-CA"/>
              </w:rPr>
              <w:instrText xml:space="preserve"> HYPERLINK "http://lefaso.net/spip.php?article87367" </w:instrText>
            </w:r>
            <w:r w:rsidRPr="00B43F59">
              <w:rPr>
                <w:rFonts w:ascii="Calibri" w:hAnsi="Calibri"/>
                <w:sz w:val="18"/>
                <w:szCs w:val="18"/>
              </w:rPr>
              <w:fldChar w:fldCharType="separate"/>
            </w:r>
            <w:r w:rsidRPr="00B43F59">
              <w:rPr>
                <w:rFonts w:ascii="Calibri" w:hAnsi="Calibri"/>
                <w:sz w:val="18"/>
                <w:szCs w:val="18"/>
                <w:lang w:val="en-CA"/>
              </w:rPr>
              <w:t>Ministry of Women, National Solidarity and Family</w:t>
            </w:r>
          </w:p>
          <w:p w14:paraId="7F396DC0" w14:textId="77777777" w:rsidR="00302BFE" w:rsidRPr="00B43F59" w:rsidRDefault="00302BFE" w:rsidP="00243B15">
            <w:pPr>
              <w:pStyle w:val="Paragraphedeliste"/>
              <w:ind w:left="0"/>
              <w:contextualSpacing/>
              <w:rPr>
                <w:rFonts w:ascii="Calibri" w:hAnsi="Calibri"/>
                <w:sz w:val="18"/>
                <w:szCs w:val="18"/>
                <w:lang w:val="en-CA"/>
              </w:rPr>
            </w:pPr>
            <w:r w:rsidRPr="00B43F59">
              <w:rPr>
                <w:rFonts w:ascii="Calibri" w:hAnsi="Calibri"/>
                <w:sz w:val="18"/>
                <w:szCs w:val="18"/>
              </w:rPr>
              <w:fldChar w:fldCharType="end"/>
            </w:r>
            <w:r w:rsidRPr="00B43F59">
              <w:rPr>
                <w:rFonts w:ascii="Calibri" w:hAnsi="Calibri"/>
                <w:sz w:val="18"/>
                <w:szCs w:val="18"/>
                <w:lang w:val="en-CA"/>
              </w:rPr>
              <w:t xml:space="preserve">Permanent Secretariat of the National Council for the Promotion of Gender </w:t>
            </w:r>
            <w:r w:rsidRPr="00B43F59">
              <w:rPr>
                <w:rFonts w:ascii="Calibri" w:hAnsi="Calibri"/>
                <w:sz w:val="18"/>
                <w:szCs w:val="18"/>
                <w:lang w:val="en-CA" w:eastAsia="fr-CA"/>
              </w:rPr>
              <w:t xml:space="preserve">(SP/CONEP </w:t>
            </w:r>
            <w:r w:rsidRPr="00B43F59">
              <w:rPr>
                <w:rFonts w:ascii="Calibri" w:hAnsi="Calibri"/>
                <w:sz w:val="18"/>
                <w:szCs w:val="18"/>
                <w:lang w:val="en-CA"/>
              </w:rPr>
              <w:t>gender</w:t>
            </w:r>
            <w:r w:rsidRPr="00B43F59">
              <w:rPr>
                <w:rFonts w:ascii="Calibri" w:hAnsi="Calibri"/>
                <w:sz w:val="18"/>
                <w:szCs w:val="18"/>
                <w:lang w:val="en-CA" w:eastAsia="fr-CA"/>
              </w:rPr>
              <w:t>)</w:t>
            </w:r>
          </w:p>
          <w:p w14:paraId="5934573C" w14:textId="77777777" w:rsidR="00302BFE" w:rsidRPr="00B43F59" w:rsidRDefault="00302BFE" w:rsidP="00243B15">
            <w:pPr>
              <w:pStyle w:val="Paragraphedeliste"/>
              <w:ind w:left="0"/>
              <w:contextualSpacing/>
              <w:rPr>
                <w:rFonts w:ascii="Calibri" w:hAnsi="Calibri"/>
                <w:sz w:val="18"/>
                <w:szCs w:val="18"/>
              </w:rPr>
            </w:pPr>
            <w:r w:rsidRPr="00C3579E">
              <w:rPr>
                <w:rFonts w:ascii="Calibri" w:hAnsi="Calibri"/>
                <w:sz w:val="18"/>
                <w:szCs w:val="18"/>
              </w:rPr>
              <w:t>Housing, and Community Development</w:t>
            </w:r>
          </w:p>
        </w:tc>
      </w:tr>
      <w:tr w:rsidR="00302BFE" w:rsidRPr="00B43F59" w14:paraId="61AED0CE" w14:textId="77777777" w:rsidTr="00243B15">
        <w:trPr>
          <w:gridAfter w:val="1"/>
          <w:wAfter w:w="6" w:type="pct"/>
          <w:jc w:val="center"/>
        </w:trPr>
        <w:tc>
          <w:tcPr>
            <w:tcW w:w="1229" w:type="pct"/>
            <w:shd w:val="clear" w:color="auto" w:fill="auto"/>
            <w:vAlign w:val="center"/>
          </w:tcPr>
          <w:p w14:paraId="47C4A3B7" w14:textId="77777777" w:rsidR="00302BFE" w:rsidRPr="00B43F59" w:rsidRDefault="00302BFE" w:rsidP="00243B15">
            <w:pPr>
              <w:pStyle w:val="Paragraphedeliste"/>
              <w:tabs>
                <w:tab w:val="left" w:pos="284"/>
              </w:tabs>
              <w:ind w:left="0"/>
              <w:rPr>
                <w:rFonts w:ascii="Calibri" w:hAnsi="Calibri"/>
                <w:sz w:val="18"/>
                <w:szCs w:val="18"/>
                <w:lang w:val="en-CA"/>
              </w:rPr>
            </w:pPr>
            <w:r w:rsidRPr="00B43F59">
              <w:rPr>
                <w:rFonts w:ascii="Calibri" w:hAnsi="Calibri"/>
                <w:sz w:val="18"/>
                <w:szCs w:val="18"/>
                <w:lang w:val="en-CA"/>
              </w:rPr>
              <w:t>Support the development of a gender-sensitive communication strategy (output 2.1.2)</w:t>
            </w:r>
          </w:p>
        </w:tc>
        <w:tc>
          <w:tcPr>
            <w:tcW w:w="1193" w:type="pct"/>
            <w:shd w:val="clear" w:color="auto" w:fill="auto"/>
            <w:vAlign w:val="center"/>
          </w:tcPr>
          <w:p w14:paraId="5DC9717B" w14:textId="77777777" w:rsidR="00302BFE" w:rsidRPr="00B43F59" w:rsidRDefault="00302BFE" w:rsidP="00243B15">
            <w:pPr>
              <w:spacing w:after="0"/>
              <w:jc w:val="left"/>
              <w:rPr>
                <w:sz w:val="18"/>
                <w:szCs w:val="18"/>
                <w:lang w:val="en-CA"/>
              </w:rPr>
            </w:pPr>
            <w:r w:rsidRPr="00B43F59">
              <w:rPr>
                <w:sz w:val="18"/>
                <w:szCs w:val="18"/>
                <w:lang w:val="en-CA"/>
              </w:rPr>
              <w:t>Existence of a gender-sensitive communication strategy in the project area</w:t>
            </w:r>
          </w:p>
        </w:tc>
        <w:tc>
          <w:tcPr>
            <w:tcW w:w="605" w:type="pct"/>
            <w:shd w:val="clear" w:color="auto" w:fill="auto"/>
            <w:vAlign w:val="center"/>
          </w:tcPr>
          <w:p w14:paraId="141358E6" w14:textId="77777777" w:rsidR="00302BFE" w:rsidRPr="00B43F59" w:rsidRDefault="00302BFE" w:rsidP="00243B15">
            <w:pPr>
              <w:spacing w:after="0"/>
              <w:jc w:val="left"/>
              <w:rPr>
                <w:sz w:val="18"/>
                <w:szCs w:val="18"/>
              </w:rPr>
            </w:pPr>
            <w:r w:rsidRPr="00B43F59">
              <w:rPr>
                <w:sz w:val="18"/>
                <w:szCs w:val="18"/>
              </w:rPr>
              <w:t>1 plan</w:t>
            </w:r>
          </w:p>
        </w:tc>
        <w:tc>
          <w:tcPr>
            <w:tcW w:w="606" w:type="pct"/>
            <w:shd w:val="clear" w:color="auto" w:fill="auto"/>
            <w:vAlign w:val="center"/>
          </w:tcPr>
          <w:p w14:paraId="45462188" w14:textId="77777777" w:rsidR="00302BFE" w:rsidRPr="00B43F59" w:rsidRDefault="00302BFE" w:rsidP="00243B15">
            <w:pPr>
              <w:spacing w:after="0"/>
              <w:jc w:val="left"/>
              <w:rPr>
                <w:sz w:val="18"/>
                <w:szCs w:val="18"/>
                <w:lang w:val="en-CA"/>
              </w:rPr>
            </w:pPr>
            <w:r w:rsidRPr="00B43F59">
              <w:rPr>
                <w:sz w:val="18"/>
                <w:szCs w:val="18"/>
                <w:lang w:val="en-CA"/>
              </w:rPr>
              <w:t>0 (there is not yet a gender-sensitive communication plan in the project area)</w:t>
            </w:r>
          </w:p>
        </w:tc>
        <w:tc>
          <w:tcPr>
            <w:tcW w:w="314" w:type="pct"/>
            <w:gridSpan w:val="2"/>
            <w:shd w:val="clear" w:color="auto" w:fill="auto"/>
            <w:vAlign w:val="center"/>
          </w:tcPr>
          <w:p w14:paraId="2E813E2A" w14:textId="77777777" w:rsidR="00302BFE" w:rsidRPr="00B43F59" w:rsidRDefault="00302BFE" w:rsidP="00243B15">
            <w:pPr>
              <w:spacing w:after="0"/>
              <w:jc w:val="left"/>
              <w:rPr>
                <w:sz w:val="18"/>
                <w:szCs w:val="18"/>
              </w:rPr>
            </w:pPr>
            <w:r w:rsidRPr="00B43F59">
              <w:rPr>
                <w:sz w:val="18"/>
                <w:szCs w:val="18"/>
              </w:rPr>
              <w:t>Year 1</w:t>
            </w:r>
          </w:p>
        </w:tc>
        <w:tc>
          <w:tcPr>
            <w:tcW w:w="1047" w:type="pct"/>
            <w:shd w:val="clear" w:color="auto" w:fill="auto"/>
            <w:vAlign w:val="center"/>
          </w:tcPr>
          <w:p w14:paraId="2F3AB058" w14:textId="77777777" w:rsidR="00302BFE" w:rsidRPr="00B43F59" w:rsidRDefault="00302BFE" w:rsidP="00243B15">
            <w:pPr>
              <w:pStyle w:val="Paragraphedeliste"/>
              <w:ind w:left="0"/>
              <w:contextualSpacing/>
              <w:rPr>
                <w:rFonts w:ascii="Calibri" w:hAnsi="Calibri"/>
                <w:sz w:val="18"/>
                <w:szCs w:val="18"/>
                <w:lang w:val="en-CA"/>
              </w:rPr>
            </w:pPr>
            <w:r w:rsidRPr="00B43F59">
              <w:rPr>
                <w:rFonts w:ascii="Calibri" w:hAnsi="Calibri"/>
                <w:sz w:val="18"/>
                <w:szCs w:val="18"/>
                <w:lang w:val="en-CA"/>
              </w:rPr>
              <w:t>Project Gender Expert</w:t>
            </w:r>
          </w:p>
          <w:p w14:paraId="798BE6B3" w14:textId="77777777" w:rsidR="00302BFE" w:rsidRPr="00B43F59" w:rsidRDefault="00302BFE" w:rsidP="00243B15">
            <w:pPr>
              <w:pStyle w:val="Paragraphedeliste"/>
              <w:ind w:left="0"/>
              <w:contextualSpacing/>
              <w:rPr>
                <w:rFonts w:ascii="Calibri" w:hAnsi="Calibri"/>
                <w:sz w:val="18"/>
                <w:szCs w:val="18"/>
                <w:lang w:val="en-CA"/>
              </w:rPr>
            </w:pPr>
            <w:r w:rsidRPr="00B43F59">
              <w:rPr>
                <w:rFonts w:ascii="Calibri" w:hAnsi="Calibri"/>
                <w:sz w:val="18"/>
                <w:szCs w:val="18"/>
              </w:rPr>
              <w:fldChar w:fldCharType="begin"/>
            </w:r>
            <w:r w:rsidRPr="00B43F59">
              <w:rPr>
                <w:rFonts w:ascii="Calibri" w:hAnsi="Calibri"/>
                <w:sz w:val="18"/>
                <w:szCs w:val="18"/>
                <w:lang w:val="en-CA"/>
              </w:rPr>
              <w:instrText xml:space="preserve"> HYPERLINK "http://lefaso.net/spip.php?article87367" </w:instrText>
            </w:r>
            <w:r w:rsidRPr="00B43F59">
              <w:rPr>
                <w:rFonts w:ascii="Calibri" w:hAnsi="Calibri"/>
                <w:sz w:val="18"/>
                <w:szCs w:val="18"/>
              </w:rPr>
              <w:fldChar w:fldCharType="separate"/>
            </w:r>
            <w:r w:rsidRPr="00B43F59">
              <w:rPr>
                <w:rFonts w:ascii="Calibri" w:hAnsi="Calibri"/>
                <w:sz w:val="18"/>
                <w:szCs w:val="18"/>
                <w:lang w:val="en-CA"/>
              </w:rPr>
              <w:t>Ministry of Women, National Solidarity and Family</w:t>
            </w:r>
          </w:p>
          <w:p w14:paraId="071E4CDA" w14:textId="77777777" w:rsidR="00302BFE" w:rsidRPr="00B43F59" w:rsidRDefault="00302BFE" w:rsidP="00243B15">
            <w:pPr>
              <w:pStyle w:val="Paragraphedeliste"/>
              <w:ind w:left="0"/>
              <w:contextualSpacing/>
              <w:rPr>
                <w:rFonts w:ascii="Calibri" w:hAnsi="Calibri"/>
                <w:sz w:val="18"/>
                <w:szCs w:val="18"/>
                <w:lang w:val="en-CA"/>
              </w:rPr>
            </w:pPr>
            <w:r w:rsidRPr="00B43F59">
              <w:rPr>
                <w:rFonts w:ascii="Calibri" w:hAnsi="Calibri"/>
                <w:sz w:val="18"/>
                <w:szCs w:val="18"/>
              </w:rPr>
              <w:fldChar w:fldCharType="end"/>
            </w:r>
            <w:r w:rsidRPr="00B43F59">
              <w:rPr>
                <w:rFonts w:ascii="Calibri" w:hAnsi="Calibri"/>
                <w:sz w:val="18"/>
                <w:szCs w:val="18"/>
                <w:lang w:val="en-CA"/>
              </w:rPr>
              <w:t xml:space="preserve">Permanent Secretariat of the National Council for the Promotion of Gender </w:t>
            </w:r>
            <w:r w:rsidRPr="00B43F59">
              <w:rPr>
                <w:rFonts w:ascii="Calibri" w:hAnsi="Calibri"/>
                <w:sz w:val="18"/>
                <w:szCs w:val="18"/>
                <w:lang w:val="en-CA" w:eastAsia="fr-CA"/>
              </w:rPr>
              <w:t xml:space="preserve">(SP/CONEP </w:t>
            </w:r>
            <w:r w:rsidRPr="00B43F59">
              <w:rPr>
                <w:rFonts w:ascii="Calibri" w:hAnsi="Calibri"/>
                <w:sz w:val="18"/>
                <w:szCs w:val="18"/>
                <w:lang w:val="en-CA"/>
              </w:rPr>
              <w:t>gender</w:t>
            </w:r>
            <w:r w:rsidRPr="00B43F59">
              <w:rPr>
                <w:rFonts w:ascii="Calibri" w:hAnsi="Calibri"/>
                <w:sz w:val="18"/>
                <w:szCs w:val="18"/>
                <w:lang w:val="en-CA" w:eastAsia="fr-CA"/>
              </w:rPr>
              <w:t>)</w:t>
            </w:r>
          </w:p>
          <w:p w14:paraId="3077095C" w14:textId="77777777" w:rsidR="00302BFE" w:rsidRPr="00B43F59" w:rsidRDefault="00302BFE" w:rsidP="00243B15">
            <w:pPr>
              <w:pStyle w:val="Paragraphedeliste"/>
              <w:ind w:left="0"/>
              <w:contextualSpacing/>
              <w:rPr>
                <w:rFonts w:ascii="Calibri" w:hAnsi="Calibri"/>
                <w:sz w:val="18"/>
                <w:szCs w:val="18"/>
              </w:rPr>
            </w:pPr>
            <w:r w:rsidRPr="00C3579E">
              <w:rPr>
                <w:rFonts w:ascii="Calibri" w:hAnsi="Calibri"/>
                <w:sz w:val="18"/>
                <w:szCs w:val="18"/>
              </w:rPr>
              <w:t>Housing, and Community Development</w:t>
            </w:r>
          </w:p>
        </w:tc>
      </w:tr>
      <w:tr w:rsidR="00302BFE" w:rsidRPr="00B43F59" w14:paraId="0DA68F6A" w14:textId="77777777" w:rsidTr="00243B15">
        <w:trPr>
          <w:gridAfter w:val="1"/>
          <w:wAfter w:w="6" w:type="pct"/>
          <w:jc w:val="center"/>
        </w:trPr>
        <w:tc>
          <w:tcPr>
            <w:tcW w:w="1229" w:type="pct"/>
            <w:shd w:val="clear" w:color="auto" w:fill="auto"/>
            <w:vAlign w:val="center"/>
          </w:tcPr>
          <w:p w14:paraId="0A8D6C7F" w14:textId="77777777" w:rsidR="00302BFE" w:rsidRPr="00B43F59" w:rsidRDefault="00302BFE" w:rsidP="00243B15">
            <w:pPr>
              <w:spacing w:after="0"/>
              <w:jc w:val="left"/>
              <w:rPr>
                <w:rFonts w:eastAsia="Cambria"/>
                <w:sz w:val="18"/>
                <w:szCs w:val="18"/>
                <w:lang w:val="en-CA"/>
              </w:rPr>
            </w:pPr>
            <w:r w:rsidRPr="00B43F59">
              <w:rPr>
                <w:rFonts w:eastAsia="Batang"/>
                <w:sz w:val="18"/>
                <w:szCs w:val="18"/>
                <w:lang w:val="en-CA" w:eastAsia="ko-KR"/>
              </w:rPr>
              <w:t xml:space="preserve">Strengthen the technical capacities of women's cooperatives in the management of </w:t>
            </w:r>
            <w:r w:rsidRPr="002E46A2">
              <w:rPr>
                <w:szCs w:val="20"/>
                <w:lang w:val="en-GB"/>
              </w:rPr>
              <w:t>NTFP</w:t>
            </w:r>
            <w:r w:rsidRPr="00B43F59">
              <w:rPr>
                <w:rFonts w:eastAsia="Batang"/>
                <w:sz w:val="18"/>
                <w:szCs w:val="18"/>
                <w:lang w:val="en-CA" w:eastAsia="ko-KR"/>
              </w:rPr>
              <w:t xml:space="preserve"> production areas that will be delimited and granted for sustainable exploitation and management (output 2.1.2)</w:t>
            </w:r>
          </w:p>
        </w:tc>
        <w:tc>
          <w:tcPr>
            <w:tcW w:w="1193" w:type="pct"/>
            <w:shd w:val="clear" w:color="auto" w:fill="auto"/>
            <w:vAlign w:val="center"/>
          </w:tcPr>
          <w:p w14:paraId="6E87E8B3" w14:textId="77777777" w:rsidR="00302BFE" w:rsidRPr="00B43F59" w:rsidRDefault="00302BFE" w:rsidP="00243B15">
            <w:pPr>
              <w:spacing w:after="0"/>
              <w:rPr>
                <w:rFonts w:eastAsia="Times New Roman"/>
                <w:bCs/>
                <w:sz w:val="18"/>
                <w:szCs w:val="18"/>
                <w:lang w:val="en-CA" w:eastAsia="fr-FR"/>
              </w:rPr>
            </w:pPr>
            <w:r w:rsidRPr="00B43F59">
              <w:rPr>
                <w:rFonts w:eastAsia="Times New Roman"/>
                <w:bCs/>
                <w:sz w:val="18"/>
                <w:szCs w:val="18"/>
                <w:lang w:val="en-CA" w:eastAsia="fr-FR"/>
              </w:rPr>
              <w:t>Number of training sessions conducted for the benefit of cooperatives on planting techniques and maintenance of plants in certified areas</w:t>
            </w:r>
          </w:p>
          <w:p w14:paraId="6EF70D71" w14:textId="77777777" w:rsidR="00302BFE" w:rsidRPr="00B43F59" w:rsidRDefault="00302BFE" w:rsidP="00243B15">
            <w:pPr>
              <w:spacing w:after="0"/>
              <w:jc w:val="left"/>
              <w:rPr>
                <w:sz w:val="18"/>
                <w:szCs w:val="18"/>
                <w:lang w:val="en-CA"/>
              </w:rPr>
            </w:pPr>
            <w:r w:rsidRPr="00B43F59">
              <w:rPr>
                <w:rFonts w:eastAsia="Times New Roman"/>
                <w:bCs/>
                <w:sz w:val="18"/>
                <w:szCs w:val="18"/>
                <w:lang w:val="en-CA" w:eastAsia="fr-FR"/>
              </w:rPr>
              <w:t>Number of participants in training sessions</w:t>
            </w:r>
          </w:p>
        </w:tc>
        <w:tc>
          <w:tcPr>
            <w:tcW w:w="605" w:type="pct"/>
            <w:shd w:val="clear" w:color="auto" w:fill="auto"/>
            <w:vAlign w:val="center"/>
          </w:tcPr>
          <w:p w14:paraId="16CB8FFB" w14:textId="77777777" w:rsidR="00302BFE" w:rsidRPr="00B43F59" w:rsidRDefault="00302BFE" w:rsidP="00243B15">
            <w:pPr>
              <w:spacing w:after="0"/>
              <w:jc w:val="left"/>
              <w:rPr>
                <w:sz w:val="18"/>
                <w:szCs w:val="18"/>
                <w:lang w:val="fr-CA"/>
              </w:rPr>
            </w:pPr>
            <w:r w:rsidRPr="00B43F59">
              <w:rPr>
                <w:sz w:val="18"/>
                <w:szCs w:val="18"/>
                <w:lang w:val="fr-CA"/>
              </w:rPr>
              <w:t>04 training sessions for 04 cooperatives</w:t>
            </w:r>
          </w:p>
        </w:tc>
        <w:tc>
          <w:tcPr>
            <w:tcW w:w="606" w:type="pct"/>
            <w:shd w:val="clear" w:color="auto" w:fill="auto"/>
            <w:vAlign w:val="center"/>
          </w:tcPr>
          <w:p w14:paraId="1A5F4144" w14:textId="77777777" w:rsidR="00302BFE" w:rsidRPr="00B43F59" w:rsidRDefault="00302BFE" w:rsidP="00243B15">
            <w:pPr>
              <w:spacing w:after="0"/>
              <w:jc w:val="left"/>
              <w:rPr>
                <w:sz w:val="18"/>
                <w:szCs w:val="18"/>
              </w:rPr>
            </w:pPr>
            <w:r w:rsidRPr="00B43F59">
              <w:rPr>
                <w:sz w:val="18"/>
                <w:szCs w:val="18"/>
              </w:rPr>
              <w:t>0</w:t>
            </w:r>
          </w:p>
        </w:tc>
        <w:tc>
          <w:tcPr>
            <w:tcW w:w="314" w:type="pct"/>
            <w:gridSpan w:val="2"/>
            <w:shd w:val="clear" w:color="auto" w:fill="auto"/>
            <w:vAlign w:val="center"/>
          </w:tcPr>
          <w:p w14:paraId="53578034" w14:textId="77777777" w:rsidR="00302BFE" w:rsidRPr="00B43F59" w:rsidRDefault="00302BFE" w:rsidP="00243B15">
            <w:pPr>
              <w:spacing w:after="0"/>
              <w:jc w:val="left"/>
              <w:rPr>
                <w:sz w:val="18"/>
                <w:szCs w:val="18"/>
              </w:rPr>
            </w:pPr>
            <w:r w:rsidRPr="00B43F59">
              <w:rPr>
                <w:sz w:val="18"/>
                <w:szCs w:val="18"/>
              </w:rPr>
              <w:t>Year 2-3</w:t>
            </w:r>
          </w:p>
        </w:tc>
        <w:tc>
          <w:tcPr>
            <w:tcW w:w="1047" w:type="pct"/>
            <w:shd w:val="clear" w:color="auto" w:fill="auto"/>
            <w:vAlign w:val="center"/>
          </w:tcPr>
          <w:p w14:paraId="5EDE3510" w14:textId="77777777" w:rsidR="00302BFE" w:rsidRPr="00B43F59" w:rsidRDefault="00302BFE" w:rsidP="00243B15">
            <w:pPr>
              <w:spacing w:after="0"/>
              <w:jc w:val="left"/>
              <w:rPr>
                <w:sz w:val="18"/>
                <w:szCs w:val="18"/>
              </w:rPr>
            </w:pPr>
            <w:r w:rsidRPr="00B43F59">
              <w:rPr>
                <w:sz w:val="18"/>
                <w:szCs w:val="18"/>
              </w:rPr>
              <w:t>Forest Service</w:t>
            </w:r>
          </w:p>
        </w:tc>
      </w:tr>
      <w:tr w:rsidR="00302BFE" w:rsidRPr="00B43F59" w14:paraId="2120D5AB" w14:textId="77777777" w:rsidTr="00243B15">
        <w:trPr>
          <w:gridAfter w:val="1"/>
          <w:wAfter w:w="6" w:type="pct"/>
          <w:jc w:val="center"/>
        </w:trPr>
        <w:tc>
          <w:tcPr>
            <w:tcW w:w="1229" w:type="pct"/>
            <w:shd w:val="clear" w:color="auto" w:fill="auto"/>
            <w:vAlign w:val="center"/>
          </w:tcPr>
          <w:p w14:paraId="49D89EDD" w14:textId="77777777" w:rsidR="00302BFE" w:rsidRPr="00B43F59" w:rsidRDefault="00302BFE" w:rsidP="00243B15">
            <w:pPr>
              <w:spacing w:after="0"/>
              <w:jc w:val="left"/>
              <w:rPr>
                <w:rFonts w:eastAsia="Batang"/>
                <w:sz w:val="18"/>
                <w:szCs w:val="18"/>
                <w:lang w:val="en-CA" w:eastAsia="ko-KR"/>
              </w:rPr>
            </w:pPr>
            <w:r w:rsidRPr="00B43F59">
              <w:rPr>
                <w:rFonts w:eastAsia="Batang"/>
                <w:sz w:val="18"/>
                <w:szCs w:val="18"/>
                <w:lang w:val="en-CA" w:eastAsia="ko-KR"/>
              </w:rPr>
              <w:t>Involve women who run restaurants that sell wild meat in anti-poaching (output 2.1.2)</w:t>
            </w:r>
          </w:p>
        </w:tc>
        <w:tc>
          <w:tcPr>
            <w:tcW w:w="1193" w:type="pct"/>
            <w:shd w:val="clear" w:color="auto" w:fill="auto"/>
            <w:vAlign w:val="center"/>
          </w:tcPr>
          <w:p w14:paraId="16535775" w14:textId="77777777" w:rsidR="00302BFE" w:rsidRPr="00B43F59" w:rsidRDefault="00302BFE" w:rsidP="00243B15">
            <w:pPr>
              <w:spacing w:after="0"/>
              <w:jc w:val="left"/>
              <w:rPr>
                <w:sz w:val="18"/>
                <w:szCs w:val="18"/>
                <w:lang w:val="en-CA"/>
              </w:rPr>
            </w:pPr>
            <w:r w:rsidRPr="00B43F59">
              <w:rPr>
                <w:sz w:val="18"/>
                <w:szCs w:val="18"/>
                <w:lang w:val="en-CA"/>
              </w:rPr>
              <w:t xml:space="preserve">Number of </w:t>
            </w:r>
            <w:r w:rsidRPr="00B43F59">
              <w:rPr>
                <w:rFonts w:eastAsia="Batang"/>
                <w:sz w:val="18"/>
                <w:szCs w:val="18"/>
                <w:lang w:val="en-CA" w:eastAsia="ko-KR"/>
              </w:rPr>
              <w:t>women who run restaurants that sell wild meat involved in anti-poaching (output 2.1.2)</w:t>
            </w:r>
          </w:p>
        </w:tc>
        <w:tc>
          <w:tcPr>
            <w:tcW w:w="605" w:type="pct"/>
            <w:shd w:val="clear" w:color="auto" w:fill="auto"/>
            <w:vAlign w:val="center"/>
          </w:tcPr>
          <w:p w14:paraId="164EEECF" w14:textId="77777777" w:rsidR="00302BFE" w:rsidRPr="00B43F59" w:rsidRDefault="00302BFE" w:rsidP="00243B15">
            <w:pPr>
              <w:spacing w:after="0"/>
              <w:jc w:val="left"/>
              <w:rPr>
                <w:sz w:val="18"/>
                <w:szCs w:val="18"/>
              </w:rPr>
            </w:pPr>
            <w:r w:rsidRPr="00B43F59">
              <w:rPr>
                <w:sz w:val="18"/>
                <w:szCs w:val="18"/>
              </w:rPr>
              <w:t>At least 50% of the women who run such restaurants</w:t>
            </w:r>
          </w:p>
        </w:tc>
        <w:tc>
          <w:tcPr>
            <w:tcW w:w="606" w:type="pct"/>
            <w:shd w:val="clear" w:color="auto" w:fill="auto"/>
            <w:vAlign w:val="center"/>
          </w:tcPr>
          <w:p w14:paraId="6D2C43BA" w14:textId="77777777" w:rsidR="00302BFE" w:rsidRPr="00B43F59" w:rsidRDefault="00302BFE" w:rsidP="00243B15">
            <w:pPr>
              <w:spacing w:after="0"/>
              <w:jc w:val="left"/>
              <w:rPr>
                <w:sz w:val="18"/>
                <w:szCs w:val="18"/>
              </w:rPr>
            </w:pPr>
            <w:r w:rsidRPr="00B43F59">
              <w:rPr>
                <w:sz w:val="18"/>
                <w:szCs w:val="18"/>
              </w:rPr>
              <w:t>0</w:t>
            </w:r>
          </w:p>
        </w:tc>
        <w:tc>
          <w:tcPr>
            <w:tcW w:w="314" w:type="pct"/>
            <w:gridSpan w:val="2"/>
            <w:shd w:val="clear" w:color="auto" w:fill="auto"/>
            <w:vAlign w:val="center"/>
          </w:tcPr>
          <w:p w14:paraId="562F302E" w14:textId="77777777" w:rsidR="00302BFE" w:rsidRPr="00B43F59" w:rsidRDefault="00302BFE" w:rsidP="00243B15">
            <w:pPr>
              <w:spacing w:after="0"/>
              <w:jc w:val="left"/>
              <w:rPr>
                <w:sz w:val="18"/>
                <w:szCs w:val="18"/>
              </w:rPr>
            </w:pPr>
            <w:r w:rsidRPr="00B43F59">
              <w:rPr>
                <w:sz w:val="18"/>
                <w:szCs w:val="18"/>
              </w:rPr>
              <w:t>Year 4-6</w:t>
            </w:r>
          </w:p>
        </w:tc>
        <w:tc>
          <w:tcPr>
            <w:tcW w:w="1047" w:type="pct"/>
            <w:shd w:val="clear" w:color="auto" w:fill="auto"/>
            <w:vAlign w:val="center"/>
          </w:tcPr>
          <w:p w14:paraId="6B58270E" w14:textId="77777777" w:rsidR="00302BFE" w:rsidRPr="00B43F59" w:rsidRDefault="00302BFE" w:rsidP="00243B15">
            <w:pPr>
              <w:spacing w:after="0"/>
              <w:rPr>
                <w:sz w:val="18"/>
                <w:szCs w:val="18"/>
              </w:rPr>
            </w:pPr>
            <w:r w:rsidRPr="00B43F59">
              <w:rPr>
                <w:sz w:val="18"/>
                <w:szCs w:val="18"/>
              </w:rPr>
              <w:t>Project Gender Expert</w:t>
            </w:r>
          </w:p>
          <w:p w14:paraId="2FDF35D4" w14:textId="77777777" w:rsidR="00302BFE" w:rsidRPr="00B43F59" w:rsidRDefault="00302BFE" w:rsidP="00243B15">
            <w:pPr>
              <w:tabs>
                <w:tab w:val="left" w:pos="228"/>
              </w:tabs>
              <w:spacing w:after="0"/>
              <w:rPr>
                <w:sz w:val="18"/>
                <w:szCs w:val="18"/>
              </w:rPr>
            </w:pPr>
            <w:r w:rsidRPr="00B43F59">
              <w:rPr>
                <w:sz w:val="18"/>
                <w:szCs w:val="18"/>
              </w:rPr>
              <w:t>Forest Service</w:t>
            </w:r>
          </w:p>
        </w:tc>
      </w:tr>
      <w:tr w:rsidR="00302BFE" w:rsidRPr="00B43F59" w14:paraId="53E5BDB1" w14:textId="77777777" w:rsidTr="00243B15">
        <w:trPr>
          <w:jc w:val="center"/>
        </w:trPr>
        <w:tc>
          <w:tcPr>
            <w:tcW w:w="5000" w:type="pct"/>
            <w:gridSpan w:val="8"/>
            <w:shd w:val="clear" w:color="auto" w:fill="auto"/>
            <w:vAlign w:val="center"/>
          </w:tcPr>
          <w:p w14:paraId="03B1B7D3" w14:textId="77777777" w:rsidR="00302BFE" w:rsidRPr="00B43F59" w:rsidRDefault="00302BFE" w:rsidP="00243B15">
            <w:pPr>
              <w:spacing w:after="0"/>
              <w:jc w:val="left"/>
              <w:rPr>
                <w:b/>
                <w:sz w:val="18"/>
                <w:szCs w:val="18"/>
                <w:lang w:val="en-CA"/>
              </w:rPr>
            </w:pPr>
            <w:r w:rsidRPr="00B43F59">
              <w:rPr>
                <w:b/>
                <w:sz w:val="18"/>
                <w:szCs w:val="18"/>
                <w:lang w:val="en-GB"/>
              </w:rPr>
              <w:t>Output 2.2 The management effectiveness of the State-managed PAs of the PONASI complex - Kabore-Tambi, Nazinga and Sissili, including corridors # 1 and # 2 is reinforced by a series of technical support</w:t>
            </w:r>
          </w:p>
        </w:tc>
      </w:tr>
      <w:tr w:rsidR="00302BFE" w:rsidRPr="00B43F59" w14:paraId="4EA90407" w14:textId="77777777" w:rsidTr="00243B15">
        <w:trPr>
          <w:gridAfter w:val="1"/>
          <w:wAfter w:w="6" w:type="pct"/>
          <w:jc w:val="center"/>
        </w:trPr>
        <w:tc>
          <w:tcPr>
            <w:tcW w:w="1229" w:type="pct"/>
            <w:shd w:val="clear" w:color="auto" w:fill="auto"/>
            <w:vAlign w:val="center"/>
          </w:tcPr>
          <w:p w14:paraId="2FAB174D" w14:textId="77777777" w:rsidR="00302BFE" w:rsidRPr="00B43F59" w:rsidRDefault="00302BFE" w:rsidP="00243B15">
            <w:pPr>
              <w:spacing w:after="0"/>
              <w:jc w:val="left"/>
              <w:rPr>
                <w:sz w:val="18"/>
                <w:szCs w:val="18"/>
              </w:rPr>
            </w:pPr>
            <w:r w:rsidRPr="00B43F59">
              <w:rPr>
                <w:sz w:val="18"/>
                <w:szCs w:val="18"/>
              </w:rPr>
              <w:t xml:space="preserve">Include gender considerations into the templates for management plans, collaborative management agreements, to ensure gender considerations will be </w:t>
            </w:r>
            <w:r w:rsidRPr="00B43F59">
              <w:rPr>
                <w:sz w:val="18"/>
                <w:szCs w:val="18"/>
              </w:rPr>
              <w:lastRenderedPageBreak/>
              <w:t>integrated in the protected area management plans and especially in the village collaborative management agreements (output 2.2.2)</w:t>
            </w:r>
          </w:p>
        </w:tc>
        <w:tc>
          <w:tcPr>
            <w:tcW w:w="1193" w:type="pct"/>
            <w:shd w:val="clear" w:color="auto" w:fill="auto"/>
            <w:vAlign w:val="center"/>
          </w:tcPr>
          <w:p w14:paraId="51A9C34E" w14:textId="77777777" w:rsidR="00302BFE" w:rsidRPr="00B43F59" w:rsidRDefault="00302BFE" w:rsidP="00243B15">
            <w:pPr>
              <w:spacing w:after="0"/>
              <w:jc w:val="left"/>
              <w:rPr>
                <w:sz w:val="18"/>
                <w:szCs w:val="18"/>
              </w:rPr>
            </w:pPr>
            <w:r w:rsidRPr="00B43F59">
              <w:rPr>
                <w:sz w:val="18"/>
                <w:szCs w:val="18"/>
              </w:rPr>
              <w:lastRenderedPageBreak/>
              <w:t xml:space="preserve">Number of PA management plans and of village collaborative management agreements that address women and other socially vulnerable groups’ needs, and with </w:t>
            </w:r>
            <w:r w:rsidRPr="00B43F59">
              <w:rPr>
                <w:sz w:val="18"/>
                <w:szCs w:val="18"/>
              </w:rPr>
              <w:lastRenderedPageBreak/>
              <w:t>mechanisms to promote women’s participation and the sustainable use and conservation of forests</w:t>
            </w:r>
          </w:p>
        </w:tc>
        <w:tc>
          <w:tcPr>
            <w:tcW w:w="605" w:type="pct"/>
            <w:shd w:val="clear" w:color="auto" w:fill="auto"/>
            <w:vAlign w:val="center"/>
          </w:tcPr>
          <w:p w14:paraId="78B67B79" w14:textId="77777777" w:rsidR="00302BFE" w:rsidRPr="00B43F59" w:rsidRDefault="00302BFE" w:rsidP="00243B15">
            <w:pPr>
              <w:spacing w:after="0"/>
              <w:jc w:val="left"/>
              <w:rPr>
                <w:sz w:val="18"/>
                <w:szCs w:val="18"/>
              </w:rPr>
            </w:pPr>
            <w:r w:rsidRPr="00B43F59">
              <w:rPr>
                <w:sz w:val="18"/>
                <w:szCs w:val="18"/>
              </w:rPr>
              <w:lastRenderedPageBreak/>
              <w:t>One (1)</w:t>
            </w:r>
          </w:p>
        </w:tc>
        <w:tc>
          <w:tcPr>
            <w:tcW w:w="606" w:type="pct"/>
            <w:shd w:val="clear" w:color="auto" w:fill="auto"/>
            <w:vAlign w:val="center"/>
          </w:tcPr>
          <w:p w14:paraId="0BABBFA1" w14:textId="77777777" w:rsidR="00302BFE" w:rsidRPr="00B43F59" w:rsidRDefault="00302BFE" w:rsidP="00243B15">
            <w:pPr>
              <w:spacing w:after="0"/>
              <w:jc w:val="left"/>
              <w:rPr>
                <w:sz w:val="18"/>
                <w:szCs w:val="18"/>
              </w:rPr>
            </w:pPr>
            <w:r w:rsidRPr="00B43F59">
              <w:rPr>
                <w:sz w:val="18"/>
                <w:szCs w:val="18"/>
              </w:rPr>
              <w:t xml:space="preserve">No template for PA management plans and for village collaborative </w:t>
            </w:r>
            <w:r w:rsidRPr="00B43F59">
              <w:rPr>
                <w:sz w:val="18"/>
                <w:szCs w:val="18"/>
              </w:rPr>
              <w:lastRenderedPageBreak/>
              <w:t>management agreement have yet been developed</w:t>
            </w:r>
          </w:p>
        </w:tc>
        <w:tc>
          <w:tcPr>
            <w:tcW w:w="314" w:type="pct"/>
            <w:gridSpan w:val="2"/>
            <w:shd w:val="clear" w:color="auto" w:fill="auto"/>
            <w:vAlign w:val="center"/>
          </w:tcPr>
          <w:p w14:paraId="56E341E7" w14:textId="77777777" w:rsidR="00302BFE" w:rsidRPr="00B43F59" w:rsidRDefault="00302BFE" w:rsidP="00243B15">
            <w:pPr>
              <w:spacing w:after="0"/>
              <w:jc w:val="left"/>
              <w:rPr>
                <w:sz w:val="18"/>
                <w:szCs w:val="18"/>
              </w:rPr>
            </w:pPr>
            <w:r w:rsidRPr="00B43F59">
              <w:rPr>
                <w:sz w:val="18"/>
                <w:szCs w:val="18"/>
              </w:rPr>
              <w:lastRenderedPageBreak/>
              <w:t>Years 1 and 2</w:t>
            </w:r>
          </w:p>
        </w:tc>
        <w:tc>
          <w:tcPr>
            <w:tcW w:w="1047" w:type="pct"/>
            <w:shd w:val="clear" w:color="auto" w:fill="auto"/>
            <w:vAlign w:val="center"/>
          </w:tcPr>
          <w:p w14:paraId="67642085" w14:textId="77777777" w:rsidR="00302BFE" w:rsidRPr="00B43F59" w:rsidRDefault="00302BFE" w:rsidP="00243B15">
            <w:pPr>
              <w:spacing w:after="0"/>
              <w:jc w:val="left"/>
              <w:rPr>
                <w:sz w:val="18"/>
                <w:szCs w:val="18"/>
              </w:rPr>
            </w:pPr>
            <w:r w:rsidRPr="00B43F59">
              <w:rPr>
                <w:sz w:val="18"/>
                <w:szCs w:val="18"/>
              </w:rPr>
              <w:t>Gender Expert</w:t>
            </w:r>
          </w:p>
          <w:p w14:paraId="074073D9" w14:textId="77777777" w:rsidR="00302BFE" w:rsidRPr="00B43F59" w:rsidRDefault="00302BFE" w:rsidP="00243B15">
            <w:pPr>
              <w:spacing w:after="0"/>
              <w:jc w:val="left"/>
              <w:rPr>
                <w:sz w:val="18"/>
                <w:szCs w:val="18"/>
              </w:rPr>
            </w:pPr>
            <w:r w:rsidRPr="00B43F59">
              <w:rPr>
                <w:sz w:val="18"/>
                <w:szCs w:val="18"/>
              </w:rPr>
              <w:t>OFINAP, DGEF, DREEVCC</w:t>
            </w:r>
            <w:r>
              <w:rPr>
                <w:sz w:val="18"/>
                <w:szCs w:val="18"/>
              </w:rPr>
              <w:t xml:space="preserve"> / MEGECC</w:t>
            </w:r>
          </w:p>
        </w:tc>
      </w:tr>
      <w:tr w:rsidR="00302BFE" w:rsidRPr="00B43F59" w14:paraId="3E57F443" w14:textId="77777777" w:rsidTr="00243B15">
        <w:trPr>
          <w:gridAfter w:val="1"/>
          <w:wAfter w:w="6" w:type="pct"/>
          <w:jc w:val="center"/>
        </w:trPr>
        <w:tc>
          <w:tcPr>
            <w:tcW w:w="1229" w:type="pct"/>
            <w:shd w:val="clear" w:color="auto" w:fill="auto"/>
            <w:vAlign w:val="center"/>
          </w:tcPr>
          <w:p w14:paraId="450C6339" w14:textId="77777777" w:rsidR="00302BFE" w:rsidRPr="00B43F59" w:rsidRDefault="00302BFE" w:rsidP="00243B15">
            <w:pPr>
              <w:spacing w:after="0"/>
              <w:jc w:val="left"/>
              <w:rPr>
                <w:sz w:val="18"/>
                <w:szCs w:val="18"/>
              </w:rPr>
            </w:pPr>
            <w:r w:rsidRPr="00B43F59">
              <w:rPr>
                <w:sz w:val="18"/>
                <w:szCs w:val="18"/>
              </w:rPr>
              <w:t>Identify and develop gender indicators to monitor women’s participation in the development and implementation of the management plans for Nazinga, PNKT and Sissili PAS, corridors #1 and #2, and for ZOVICs as well as for monitoring impact on women (output 2.2.2)</w:t>
            </w:r>
          </w:p>
        </w:tc>
        <w:tc>
          <w:tcPr>
            <w:tcW w:w="1193" w:type="pct"/>
            <w:shd w:val="clear" w:color="auto" w:fill="auto"/>
            <w:vAlign w:val="center"/>
          </w:tcPr>
          <w:p w14:paraId="07476404" w14:textId="77777777" w:rsidR="00302BFE" w:rsidRPr="00B43F59" w:rsidRDefault="00302BFE" w:rsidP="00243B15">
            <w:pPr>
              <w:spacing w:after="0"/>
              <w:jc w:val="left"/>
              <w:rPr>
                <w:sz w:val="18"/>
                <w:szCs w:val="18"/>
              </w:rPr>
            </w:pPr>
            <w:r w:rsidRPr="00B43F59">
              <w:rPr>
                <w:sz w:val="18"/>
                <w:szCs w:val="18"/>
              </w:rPr>
              <w:t>Number of management plans with gender responsive indicators</w:t>
            </w:r>
          </w:p>
        </w:tc>
        <w:tc>
          <w:tcPr>
            <w:tcW w:w="605" w:type="pct"/>
            <w:shd w:val="clear" w:color="auto" w:fill="auto"/>
            <w:vAlign w:val="center"/>
          </w:tcPr>
          <w:p w14:paraId="58D4ACEB" w14:textId="77777777" w:rsidR="00302BFE" w:rsidRPr="00B43F59" w:rsidRDefault="00302BFE" w:rsidP="00243B15">
            <w:pPr>
              <w:spacing w:after="0"/>
              <w:jc w:val="left"/>
              <w:rPr>
                <w:sz w:val="18"/>
                <w:szCs w:val="18"/>
              </w:rPr>
            </w:pPr>
            <w:r w:rsidRPr="00B43F59">
              <w:rPr>
                <w:sz w:val="18"/>
                <w:szCs w:val="18"/>
              </w:rPr>
              <w:t>Three (3) for state PAs (Nazinga Game Ranch, Sissili Classified Forest, Kaboré-Tambi National Park), and at least 50% of village collaborative management agreements are gender-responsive</w:t>
            </w:r>
          </w:p>
        </w:tc>
        <w:tc>
          <w:tcPr>
            <w:tcW w:w="606" w:type="pct"/>
            <w:shd w:val="clear" w:color="auto" w:fill="auto"/>
            <w:vAlign w:val="center"/>
          </w:tcPr>
          <w:p w14:paraId="71FA8770" w14:textId="77777777" w:rsidR="00302BFE" w:rsidRPr="00B43F59" w:rsidRDefault="00302BFE" w:rsidP="00243B15">
            <w:pPr>
              <w:spacing w:after="0"/>
              <w:jc w:val="left"/>
              <w:rPr>
                <w:sz w:val="18"/>
                <w:szCs w:val="18"/>
              </w:rPr>
            </w:pPr>
            <w:r w:rsidRPr="00B43F59">
              <w:rPr>
                <w:sz w:val="18"/>
                <w:szCs w:val="18"/>
              </w:rPr>
              <w:t>Exisiting management plans for Nazinga Game Ranch and the Kaboré-Tambi National Park are not gender responsive and no village collaborative management agreement has yet been developed</w:t>
            </w:r>
          </w:p>
        </w:tc>
        <w:tc>
          <w:tcPr>
            <w:tcW w:w="314" w:type="pct"/>
            <w:gridSpan w:val="2"/>
            <w:shd w:val="clear" w:color="auto" w:fill="auto"/>
            <w:vAlign w:val="center"/>
          </w:tcPr>
          <w:p w14:paraId="332ACC40" w14:textId="77777777" w:rsidR="00302BFE" w:rsidRPr="00B43F59" w:rsidRDefault="00302BFE" w:rsidP="00243B15">
            <w:pPr>
              <w:spacing w:after="0"/>
              <w:jc w:val="left"/>
              <w:rPr>
                <w:sz w:val="18"/>
                <w:szCs w:val="18"/>
              </w:rPr>
            </w:pPr>
            <w:r w:rsidRPr="00B43F59">
              <w:rPr>
                <w:sz w:val="18"/>
                <w:szCs w:val="18"/>
              </w:rPr>
              <w:t>Years 1 and 2</w:t>
            </w:r>
          </w:p>
        </w:tc>
        <w:tc>
          <w:tcPr>
            <w:tcW w:w="1047" w:type="pct"/>
            <w:shd w:val="clear" w:color="auto" w:fill="auto"/>
            <w:vAlign w:val="center"/>
          </w:tcPr>
          <w:p w14:paraId="0BEA70C5" w14:textId="77777777" w:rsidR="00302BFE" w:rsidRPr="00B43F59" w:rsidRDefault="00302BFE" w:rsidP="00243B15">
            <w:pPr>
              <w:spacing w:after="0"/>
              <w:jc w:val="left"/>
              <w:rPr>
                <w:sz w:val="18"/>
                <w:szCs w:val="18"/>
              </w:rPr>
            </w:pPr>
            <w:r w:rsidRPr="00B43F59">
              <w:rPr>
                <w:sz w:val="18"/>
                <w:szCs w:val="18"/>
              </w:rPr>
              <w:t>Gender Expert</w:t>
            </w:r>
          </w:p>
          <w:p w14:paraId="3BF4EDEA" w14:textId="77777777" w:rsidR="00302BFE" w:rsidRPr="00B43F59" w:rsidRDefault="00302BFE" w:rsidP="00243B15">
            <w:pPr>
              <w:spacing w:after="0"/>
              <w:jc w:val="left"/>
              <w:rPr>
                <w:sz w:val="18"/>
                <w:szCs w:val="18"/>
              </w:rPr>
            </w:pPr>
            <w:r w:rsidRPr="00B43F59">
              <w:rPr>
                <w:sz w:val="18"/>
                <w:szCs w:val="18"/>
              </w:rPr>
              <w:t>OFINAP, DGEF, DREEVCC</w:t>
            </w:r>
            <w:r>
              <w:rPr>
                <w:sz w:val="18"/>
                <w:szCs w:val="18"/>
              </w:rPr>
              <w:t xml:space="preserve"> / MEGECC</w:t>
            </w:r>
          </w:p>
        </w:tc>
      </w:tr>
      <w:tr w:rsidR="00302BFE" w:rsidRPr="00B43F59" w14:paraId="4677BDFF" w14:textId="77777777" w:rsidTr="00243B15">
        <w:trPr>
          <w:trHeight w:val="340"/>
          <w:jc w:val="center"/>
        </w:trPr>
        <w:tc>
          <w:tcPr>
            <w:tcW w:w="5000" w:type="pct"/>
            <w:gridSpan w:val="8"/>
            <w:shd w:val="clear" w:color="auto" w:fill="FBE4D5"/>
            <w:vAlign w:val="center"/>
          </w:tcPr>
          <w:p w14:paraId="4F428867" w14:textId="77777777" w:rsidR="00302BFE" w:rsidRPr="00B43F59" w:rsidRDefault="00302BFE" w:rsidP="00243B15">
            <w:pPr>
              <w:spacing w:after="0"/>
              <w:jc w:val="left"/>
              <w:rPr>
                <w:b/>
                <w:sz w:val="18"/>
                <w:szCs w:val="18"/>
                <w:lang w:val="en-GB"/>
              </w:rPr>
            </w:pPr>
            <w:r w:rsidRPr="00B43F59">
              <w:rPr>
                <w:b/>
                <w:sz w:val="18"/>
                <w:szCs w:val="18"/>
                <w:lang w:val="en-GB"/>
              </w:rPr>
              <w:t>Component 3. Sustainable Land and Resources Management and Diversification of Livelihoods</w:t>
            </w:r>
          </w:p>
        </w:tc>
      </w:tr>
      <w:tr w:rsidR="00302BFE" w:rsidRPr="00B43F59" w14:paraId="4CACC51B" w14:textId="77777777" w:rsidTr="00243B15">
        <w:trPr>
          <w:trHeight w:val="273"/>
          <w:jc w:val="center"/>
        </w:trPr>
        <w:tc>
          <w:tcPr>
            <w:tcW w:w="5000" w:type="pct"/>
            <w:gridSpan w:val="8"/>
            <w:shd w:val="clear" w:color="auto" w:fill="auto"/>
            <w:vAlign w:val="center"/>
          </w:tcPr>
          <w:p w14:paraId="7AC0ACA9" w14:textId="77777777" w:rsidR="00302BFE" w:rsidRPr="00B43F59" w:rsidRDefault="00302BFE" w:rsidP="00243B15">
            <w:pPr>
              <w:spacing w:after="0"/>
              <w:jc w:val="left"/>
              <w:rPr>
                <w:b/>
                <w:sz w:val="18"/>
                <w:szCs w:val="18"/>
                <w:lang w:val="en-CA"/>
              </w:rPr>
            </w:pPr>
            <w:r w:rsidRPr="00B43F59">
              <w:rPr>
                <w:b/>
                <w:sz w:val="18"/>
                <w:szCs w:val="18"/>
                <w:lang w:val="en-CA"/>
              </w:rPr>
              <w:t>Output 3.1 Sustainable Land Management (SLM) practices are implemented by communities within the PONASI landscape</w:t>
            </w:r>
          </w:p>
        </w:tc>
      </w:tr>
      <w:tr w:rsidR="00302BFE" w:rsidRPr="00B43F59" w14:paraId="474D800D" w14:textId="77777777" w:rsidTr="00243B15">
        <w:trPr>
          <w:gridAfter w:val="1"/>
          <w:wAfter w:w="6" w:type="pct"/>
          <w:trHeight w:val="980"/>
          <w:jc w:val="center"/>
        </w:trPr>
        <w:tc>
          <w:tcPr>
            <w:tcW w:w="1229" w:type="pct"/>
            <w:shd w:val="clear" w:color="auto" w:fill="auto"/>
            <w:vAlign w:val="center"/>
          </w:tcPr>
          <w:p w14:paraId="1B128470" w14:textId="77777777" w:rsidR="00302BFE" w:rsidRPr="00B43F59" w:rsidRDefault="00302BFE" w:rsidP="00243B15">
            <w:pPr>
              <w:spacing w:after="0"/>
              <w:jc w:val="left"/>
              <w:rPr>
                <w:sz w:val="18"/>
                <w:szCs w:val="18"/>
                <w:lang w:val="en-CA"/>
              </w:rPr>
            </w:pPr>
            <w:r w:rsidRPr="00B43F59">
              <w:rPr>
                <w:sz w:val="18"/>
                <w:szCs w:val="18"/>
                <w:lang w:val="en-CA"/>
              </w:rPr>
              <w:t>Advocate for better representation of beneficiary women in the sites developed for agricultural production (output 3.1.3)</w:t>
            </w:r>
          </w:p>
        </w:tc>
        <w:tc>
          <w:tcPr>
            <w:tcW w:w="1193" w:type="pct"/>
            <w:shd w:val="clear" w:color="auto" w:fill="auto"/>
            <w:vAlign w:val="center"/>
          </w:tcPr>
          <w:p w14:paraId="306F782F" w14:textId="77777777" w:rsidR="00302BFE" w:rsidRPr="00B43F59" w:rsidRDefault="00302BFE" w:rsidP="00243B15">
            <w:pPr>
              <w:pStyle w:val="Commentaire"/>
              <w:spacing w:after="0"/>
              <w:jc w:val="left"/>
              <w:rPr>
                <w:sz w:val="18"/>
                <w:szCs w:val="18"/>
                <w:lang w:val="en-CA"/>
              </w:rPr>
            </w:pPr>
            <w:r w:rsidRPr="00B43F59">
              <w:rPr>
                <w:sz w:val="18"/>
                <w:szCs w:val="18"/>
                <w:lang w:val="en-CA"/>
              </w:rPr>
              <w:t>Rate of women beneficiaries of production plots in developed sites</w:t>
            </w:r>
          </w:p>
        </w:tc>
        <w:tc>
          <w:tcPr>
            <w:tcW w:w="605" w:type="pct"/>
            <w:shd w:val="clear" w:color="auto" w:fill="auto"/>
            <w:vAlign w:val="center"/>
          </w:tcPr>
          <w:p w14:paraId="3F625F18" w14:textId="77777777" w:rsidR="00302BFE" w:rsidRPr="00B43F59" w:rsidRDefault="00302BFE" w:rsidP="00243B15">
            <w:pPr>
              <w:spacing w:after="0"/>
              <w:jc w:val="left"/>
              <w:rPr>
                <w:sz w:val="18"/>
                <w:szCs w:val="18"/>
                <w:lang w:val="en-CA"/>
              </w:rPr>
            </w:pPr>
            <w:r w:rsidRPr="00B43F59">
              <w:rPr>
                <w:sz w:val="18"/>
                <w:szCs w:val="18"/>
                <w:lang w:val="en-CA"/>
              </w:rPr>
              <w:t>At least 50% of the beneficiaries are women</w:t>
            </w:r>
          </w:p>
        </w:tc>
        <w:tc>
          <w:tcPr>
            <w:tcW w:w="606" w:type="pct"/>
            <w:shd w:val="clear" w:color="auto" w:fill="auto"/>
            <w:vAlign w:val="center"/>
          </w:tcPr>
          <w:p w14:paraId="3BE6E227" w14:textId="77777777" w:rsidR="00302BFE" w:rsidRPr="00B43F59" w:rsidRDefault="00302BFE" w:rsidP="00243B15">
            <w:pPr>
              <w:spacing w:after="0"/>
              <w:rPr>
                <w:sz w:val="18"/>
                <w:szCs w:val="18"/>
                <w:lang w:val="en-CA"/>
              </w:rPr>
            </w:pPr>
            <w:r w:rsidRPr="00B43F59">
              <w:rPr>
                <w:sz w:val="18"/>
                <w:szCs w:val="18"/>
                <w:lang w:val="en-CA"/>
              </w:rPr>
              <w:t>40% of women had access to lowlands developed in 2016 in Central East;</w:t>
            </w:r>
          </w:p>
          <w:p w14:paraId="237EC21E" w14:textId="77777777" w:rsidR="00302BFE" w:rsidRPr="00B43F59" w:rsidRDefault="00302BFE" w:rsidP="00243B15">
            <w:pPr>
              <w:spacing w:after="0"/>
              <w:rPr>
                <w:sz w:val="18"/>
                <w:szCs w:val="18"/>
                <w:lang w:val="en-CA"/>
              </w:rPr>
            </w:pPr>
            <w:r w:rsidRPr="00B43F59">
              <w:rPr>
                <w:sz w:val="18"/>
                <w:szCs w:val="18"/>
                <w:lang w:val="en-CA"/>
              </w:rPr>
              <w:t>35% in the South Center; 27.8% in Central West</w:t>
            </w:r>
          </w:p>
        </w:tc>
        <w:tc>
          <w:tcPr>
            <w:tcW w:w="314" w:type="pct"/>
            <w:gridSpan w:val="2"/>
            <w:shd w:val="clear" w:color="auto" w:fill="auto"/>
            <w:vAlign w:val="center"/>
          </w:tcPr>
          <w:p w14:paraId="50E9CB78" w14:textId="77777777" w:rsidR="00302BFE" w:rsidRPr="00B43F59" w:rsidRDefault="00302BFE" w:rsidP="00243B15">
            <w:pPr>
              <w:spacing w:after="0"/>
              <w:jc w:val="left"/>
              <w:rPr>
                <w:sz w:val="18"/>
                <w:szCs w:val="18"/>
                <w:lang w:val="en-CA"/>
              </w:rPr>
            </w:pPr>
          </w:p>
        </w:tc>
        <w:tc>
          <w:tcPr>
            <w:tcW w:w="1047" w:type="pct"/>
            <w:shd w:val="clear" w:color="auto" w:fill="auto"/>
            <w:vAlign w:val="center"/>
          </w:tcPr>
          <w:p w14:paraId="342F9AE1" w14:textId="77777777" w:rsidR="00302BFE" w:rsidRPr="00C3579E" w:rsidRDefault="00302BFE" w:rsidP="00243B15">
            <w:pPr>
              <w:spacing w:after="0"/>
              <w:jc w:val="left"/>
              <w:rPr>
                <w:sz w:val="18"/>
                <w:szCs w:val="18"/>
                <w:lang w:val="en-CA"/>
              </w:rPr>
            </w:pPr>
            <w:r w:rsidRPr="00C3579E">
              <w:rPr>
                <w:sz w:val="18"/>
                <w:szCs w:val="18"/>
                <w:lang w:val="en-CA"/>
              </w:rPr>
              <w:t>Project Gender Expert</w:t>
            </w:r>
          </w:p>
          <w:p w14:paraId="21556CE0" w14:textId="77777777" w:rsidR="00302BFE" w:rsidRPr="00C3579E" w:rsidRDefault="00302BFE" w:rsidP="00243B15">
            <w:pPr>
              <w:spacing w:after="0"/>
              <w:jc w:val="left"/>
              <w:rPr>
                <w:sz w:val="18"/>
                <w:szCs w:val="18"/>
                <w:lang w:val="en-CA"/>
              </w:rPr>
            </w:pPr>
            <w:r w:rsidRPr="00C3579E">
              <w:rPr>
                <w:sz w:val="18"/>
                <w:szCs w:val="18"/>
                <w:lang w:val="fr-CA"/>
              </w:rPr>
              <w:fldChar w:fldCharType="begin"/>
            </w:r>
            <w:r w:rsidRPr="00C3579E">
              <w:rPr>
                <w:sz w:val="18"/>
                <w:szCs w:val="18"/>
                <w:lang w:val="en-CA"/>
              </w:rPr>
              <w:instrText xml:space="preserve"> HYPERLINK "http://lefaso.net/spip.php?article87367" </w:instrText>
            </w:r>
            <w:r w:rsidRPr="00C3579E">
              <w:rPr>
                <w:sz w:val="18"/>
                <w:szCs w:val="18"/>
                <w:lang w:val="fr-CA"/>
              </w:rPr>
              <w:fldChar w:fldCharType="separate"/>
            </w:r>
            <w:r w:rsidRPr="00C3579E">
              <w:rPr>
                <w:sz w:val="18"/>
                <w:szCs w:val="18"/>
                <w:lang w:val="en-CA"/>
              </w:rPr>
              <w:t>Ministry of Women, National Solidarity and Family</w:t>
            </w:r>
          </w:p>
          <w:p w14:paraId="653E9D9F" w14:textId="77777777" w:rsidR="00302BFE" w:rsidRPr="00C3579E" w:rsidRDefault="00302BFE" w:rsidP="00243B15">
            <w:pPr>
              <w:spacing w:after="0"/>
              <w:jc w:val="left"/>
              <w:rPr>
                <w:sz w:val="18"/>
                <w:szCs w:val="18"/>
                <w:lang w:val="en-CA"/>
              </w:rPr>
            </w:pPr>
            <w:r w:rsidRPr="00C3579E">
              <w:rPr>
                <w:sz w:val="18"/>
                <w:szCs w:val="18"/>
                <w:lang w:val="fr-CA"/>
              </w:rPr>
              <w:fldChar w:fldCharType="end"/>
            </w:r>
            <w:r w:rsidRPr="00C3579E">
              <w:rPr>
                <w:sz w:val="18"/>
                <w:szCs w:val="18"/>
                <w:lang w:val="en-CA" w:eastAsia="fr-CA"/>
              </w:rPr>
              <w:t xml:space="preserve">SP/CONEP </w:t>
            </w:r>
            <w:r w:rsidRPr="00C3579E">
              <w:rPr>
                <w:sz w:val="18"/>
                <w:szCs w:val="18"/>
                <w:lang w:val="en-CA"/>
              </w:rPr>
              <w:t>gender</w:t>
            </w:r>
          </w:p>
          <w:p w14:paraId="2E31CB35" w14:textId="77777777" w:rsidR="00302BFE" w:rsidRPr="00B43F59" w:rsidRDefault="00302BFE" w:rsidP="00243B15">
            <w:pPr>
              <w:spacing w:after="0"/>
              <w:jc w:val="left"/>
              <w:rPr>
                <w:sz w:val="18"/>
                <w:szCs w:val="18"/>
              </w:rPr>
            </w:pPr>
            <w:r w:rsidRPr="00D822D1">
              <w:rPr>
                <w:sz w:val="18"/>
                <w:szCs w:val="18"/>
                <w:lang w:val="en-CA"/>
              </w:rPr>
              <w:t>Housing, and Community Development</w:t>
            </w:r>
          </w:p>
        </w:tc>
      </w:tr>
      <w:tr w:rsidR="00302BFE" w:rsidRPr="00B43F59" w14:paraId="70C78F46" w14:textId="77777777" w:rsidTr="00243B15">
        <w:trPr>
          <w:gridAfter w:val="1"/>
          <w:wAfter w:w="6" w:type="pct"/>
          <w:trHeight w:val="980"/>
          <w:jc w:val="center"/>
        </w:trPr>
        <w:tc>
          <w:tcPr>
            <w:tcW w:w="1229" w:type="pct"/>
            <w:shd w:val="clear" w:color="auto" w:fill="auto"/>
            <w:vAlign w:val="center"/>
          </w:tcPr>
          <w:p w14:paraId="03365DB9" w14:textId="77777777" w:rsidR="00302BFE" w:rsidRPr="00B43F59" w:rsidRDefault="00302BFE" w:rsidP="00243B15">
            <w:pPr>
              <w:spacing w:after="0"/>
              <w:jc w:val="left"/>
              <w:rPr>
                <w:sz w:val="18"/>
                <w:szCs w:val="18"/>
              </w:rPr>
            </w:pPr>
            <w:r w:rsidRPr="00B43F59">
              <w:rPr>
                <w:sz w:val="18"/>
                <w:szCs w:val="18"/>
              </w:rPr>
              <w:t>Provide training and outreach in communities that is conducive to women’s participation (output 3.1.3)</w:t>
            </w:r>
          </w:p>
        </w:tc>
        <w:tc>
          <w:tcPr>
            <w:tcW w:w="1193" w:type="pct"/>
            <w:shd w:val="clear" w:color="auto" w:fill="auto"/>
            <w:vAlign w:val="center"/>
          </w:tcPr>
          <w:p w14:paraId="57B6445E" w14:textId="77777777" w:rsidR="00302BFE" w:rsidRPr="00B43F59" w:rsidRDefault="00302BFE" w:rsidP="00243B15">
            <w:pPr>
              <w:spacing w:after="0"/>
              <w:jc w:val="left"/>
              <w:rPr>
                <w:sz w:val="18"/>
                <w:szCs w:val="18"/>
              </w:rPr>
            </w:pPr>
            <w:r w:rsidRPr="00B43F59">
              <w:rPr>
                <w:sz w:val="18"/>
                <w:szCs w:val="18"/>
              </w:rPr>
              <w:t>Percent of training events in communities with child care assistance being provided if needed</w:t>
            </w:r>
          </w:p>
        </w:tc>
        <w:tc>
          <w:tcPr>
            <w:tcW w:w="605" w:type="pct"/>
            <w:shd w:val="clear" w:color="auto" w:fill="auto"/>
            <w:vAlign w:val="center"/>
          </w:tcPr>
          <w:p w14:paraId="0669B2E8" w14:textId="77777777" w:rsidR="00302BFE" w:rsidRPr="00B43F59" w:rsidRDefault="00302BFE" w:rsidP="00243B15">
            <w:pPr>
              <w:spacing w:after="0"/>
              <w:jc w:val="left"/>
              <w:rPr>
                <w:sz w:val="18"/>
                <w:szCs w:val="18"/>
              </w:rPr>
            </w:pPr>
            <w:r w:rsidRPr="00B43F59">
              <w:rPr>
                <w:sz w:val="18"/>
                <w:szCs w:val="18"/>
              </w:rPr>
              <w:t>A minimum of 50% of the training conducted in communities with childcare assistance if needed</w:t>
            </w:r>
          </w:p>
        </w:tc>
        <w:tc>
          <w:tcPr>
            <w:tcW w:w="606" w:type="pct"/>
            <w:shd w:val="clear" w:color="auto" w:fill="auto"/>
            <w:vAlign w:val="center"/>
          </w:tcPr>
          <w:p w14:paraId="20010FDA" w14:textId="77777777" w:rsidR="00302BFE" w:rsidRDefault="00302BFE" w:rsidP="00243B15">
            <w:pPr>
              <w:spacing w:after="0"/>
              <w:jc w:val="left"/>
              <w:rPr>
                <w:sz w:val="18"/>
                <w:szCs w:val="18"/>
              </w:rPr>
            </w:pPr>
            <w:r w:rsidRPr="00B43F59">
              <w:rPr>
                <w:sz w:val="18"/>
                <w:szCs w:val="18"/>
              </w:rPr>
              <w:t xml:space="preserve">Training not </w:t>
            </w:r>
            <w:r>
              <w:rPr>
                <w:sz w:val="18"/>
                <w:szCs w:val="18"/>
              </w:rPr>
              <w:t>started</w:t>
            </w:r>
          </w:p>
          <w:p w14:paraId="63C9E00E" w14:textId="77777777" w:rsidR="00302BFE" w:rsidRPr="00B43F59" w:rsidRDefault="00302BFE" w:rsidP="00243B15">
            <w:pPr>
              <w:spacing w:after="0"/>
              <w:jc w:val="left"/>
              <w:rPr>
                <w:sz w:val="18"/>
                <w:szCs w:val="18"/>
              </w:rPr>
            </w:pPr>
          </w:p>
        </w:tc>
        <w:tc>
          <w:tcPr>
            <w:tcW w:w="314" w:type="pct"/>
            <w:gridSpan w:val="2"/>
            <w:shd w:val="clear" w:color="auto" w:fill="auto"/>
            <w:vAlign w:val="center"/>
          </w:tcPr>
          <w:p w14:paraId="52A56C53" w14:textId="77777777" w:rsidR="00302BFE" w:rsidRPr="00B43F59" w:rsidRDefault="00302BFE" w:rsidP="00243B15">
            <w:pPr>
              <w:spacing w:after="0"/>
              <w:jc w:val="left"/>
              <w:rPr>
                <w:sz w:val="18"/>
                <w:szCs w:val="18"/>
              </w:rPr>
            </w:pPr>
            <w:r w:rsidRPr="00B43F59">
              <w:rPr>
                <w:sz w:val="18"/>
                <w:szCs w:val="18"/>
              </w:rPr>
              <w:t>Years 1 to 3</w:t>
            </w:r>
          </w:p>
        </w:tc>
        <w:tc>
          <w:tcPr>
            <w:tcW w:w="1047" w:type="pct"/>
            <w:shd w:val="clear" w:color="auto" w:fill="auto"/>
            <w:vAlign w:val="center"/>
          </w:tcPr>
          <w:p w14:paraId="2F3993EE" w14:textId="77777777" w:rsidR="00302BFE" w:rsidRPr="009E7670" w:rsidRDefault="00302BFE" w:rsidP="00243B15">
            <w:pPr>
              <w:spacing w:after="0"/>
              <w:jc w:val="left"/>
              <w:rPr>
                <w:sz w:val="18"/>
                <w:szCs w:val="18"/>
              </w:rPr>
            </w:pPr>
            <w:r w:rsidRPr="009E7670">
              <w:rPr>
                <w:sz w:val="18"/>
                <w:szCs w:val="18"/>
              </w:rPr>
              <w:t>Project Team</w:t>
            </w:r>
          </w:p>
          <w:p w14:paraId="4EECDAE4" w14:textId="77777777" w:rsidR="00302BFE" w:rsidRPr="009E7670" w:rsidRDefault="00302BFE" w:rsidP="00243B15">
            <w:pPr>
              <w:spacing w:after="0"/>
              <w:jc w:val="left"/>
              <w:rPr>
                <w:sz w:val="18"/>
                <w:szCs w:val="18"/>
              </w:rPr>
            </w:pPr>
            <w:r w:rsidRPr="009E7670">
              <w:rPr>
                <w:sz w:val="18"/>
                <w:szCs w:val="18"/>
              </w:rPr>
              <w:t xml:space="preserve">Gender Expert </w:t>
            </w:r>
          </w:p>
          <w:p w14:paraId="6F9636F7" w14:textId="77777777" w:rsidR="00302BFE" w:rsidRPr="009E7670" w:rsidRDefault="00302BFE" w:rsidP="00243B15">
            <w:pPr>
              <w:spacing w:after="0"/>
              <w:jc w:val="left"/>
              <w:rPr>
                <w:sz w:val="18"/>
                <w:szCs w:val="18"/>
              </w:rPr>
            </w:pPr>
            <w:r w:rsidRPr="009E7670">
              <w:rPr>
                <w:sz w:val="18"/>
                <w:szCs w:val="18"/>
              </w:rPr>
              <w:t>Ministry of Culture, Arts and Tourism</w:t>
            </w:r>
          </w:p>
        </w:tc>
      </w:tr>
      <w:tr w:rsidR="00302BFE" w:rsidRPr="00B43F59" w14:paraId="756A88CF" w14:textId="77777777" w:rsidTr="00243B15">
        <w:trPr>
          <w:gridAfter w:val="1"/>
          <w:wAfter w:w="6" w:type="pct"/>
          <w:trHeight w:val="980"/>
          <w:jc w:val="center"/>
        </w:trPr>
        <w:tc>
          <w:tcPr>
            <w:tcW w:w="1229" w:type="pct"/>
            <w:shd w:val="clear" w:color="auto" w:fill="auto"/>
            <w:vAlign w:val="center"/>
          </w:tcPr>
          <w:p w14:paraId="32D05FD9" w14:textId="77777777" w:rsidR="00302BFE" w:rsidRPr="00B43F59" w:rsidRDefault="00302BFE" w:rsidP="00243B15">
            <w:pPr>
              <w:spacing w:after="0"/>
              <w:jc w:val="left"/>
              <w:rPr>
                <w:sz w:val="18"/>
                <w:szCs w:val="18"/>
                <w:lang w:val="en-CA"/>
              </w:rPr>
            </w:pPr>
            <w:r w:rsidRPr="00B43F59">
              <w:rPr>
                <w:sz w:val="18"/>
                <w:szCs w:val="18"/>
                <w:lang w:val="en-CA"/>
              </w:rPr>
              <w:t>Adopt a transformative gender approach to reduce women's workloads, enabling them to participate effectively in the project, such as access to improved seeds and small production equipment to alleviate their work in their own field</w:t>
            </w:r>
            <w:r>
              <w:rPr>
                <w:sz w:val="18"/>
                <w:szCs w:val="18"/>
                <w:lang w:val="en-CA"/>
              </w:rPr>
              <w:t xml:space="preserve"> (output 3.1)</w:t>
            </w:r>
          </w:p>
        </w:tc>
        <w:tc>
          <w:tcPr>
            <w:tcW w:w="1193" w:type="pct"/>
            <w:shd w:val="clear" w:color="auto" w:fill="auto"/>
            <w:vAlign w:val="center"/>
          </w:tcPr>
          <w:p w14:paraId="7EF9E590" w14:textId="77777777" w:rsidR="00302BFE" w:rsidRPr="00B43F59" w:rsidRDefault="00302BFE" w:rsidP="00243B15">
            <w:pPr>
              <w:spacing w:after="0"/>
              <w:jc w:val="left"/>
              <w:rPr>
                <w:sz w:val="18"/>
                <w:szCs w:val="18"/>
                <w:lang w:val="en-CA"/>
              </w:rPr>
            </w:pPr>
            <w:r w:rsidRPr="00B43F59">
              <w:rPr>
                <w:sz w:val="18"/>
                <w:szCs w:val="18"/>
                <w:lang w:val="en-CA"/>
              </w:rPr>
              <w:t>Percentage of women reporting being alleviated in their housework and field work</w:t>
            </w:r>
          </w:p>
        </w:tc>
        <w:tc>
          <w:tcPr>
            <w:tcW w:w="605" w:type="pct"/>
            <w:shd w:val="clear" w:color="auto" w:fill="auto"/>
            <w:vAlign w:val="center"/>
          </w:tcPr>
          <w:p w14:paraId="53E8CE6E" w14:textId="77777777" w:rsidR="00302BFE" w:rsidRPr="00B43F59" w:rsidRDefault="00302BFE" w:rsidP="00243B15">
            <w:pPr>
              <w:spacing w:after="0"/>
              <w:jc w:val="left"/>
              <w:rPr>
                <w:sz w:val="18"/>
                <w:szCs w:val="18"/>
                <w:lang w:val="en-CA"/>
              </w:rPr>
            </w:pPr>
            <w:r w:rsidRPr="00B43F59">
              <w:rPr>
                <w:sz w:val="18"/>
                <w:szCs w:val="18"/>
                <w:lang w:val="en-CA"/>
              </w:rPr>
              <w:t>More than 75% of women say they spend less time on firewood and water collection tasks</w:t>
            </w:r>
          </w:p>
        </w:tc>
        <w:tc>
          <w:tcPr>
            <w:tcW w:w="606" w:type="pct"/>
            <w:shd w:val="clear" w:color="auto" w:fill="auto"/>
            <w:vAlign w:val="center"/>
          </w:tcPr>
          <w:p w14:paraId="25443B63" w14:textId="77777777" w:rsidR="00302BFE" w:rsidRPr="00B43F59" w:rsidRDefault="00302BFE" w:rsidP="00243B15">
            <w:pPr>
              <w:spacing w:after="0"/>
              <w:jc w:val="left"/>
              <w:rPr>
                <w:sz w:val="18"/>
                <w:szCs w:val="18"/>
                <w:lang w:val="en-CA"/>
              </w:rPr>
            </w:pPr>
            <w:r w:rsidRPr="00B43F59">
              <w:rPr>
                <w:sz w:val="18"/>
                <w:szCs w:val="18"/>
                <w:lang w:val="en-CA"/>
              </w:rPr>
              <w:t>Almost all women in the PONASI complex devote a lot of time to household chores, field work and do not have access to equipment and production inputs</w:t>
            </w:r>
          </w:p>
        </w:tc>
        <w:tc>
          <w:tcPr>
            <w:tcW w:w="314" w:type="pct"/>
            <w:gridSpan w:val="2"/>
            <w:shd w:val="clear" w:color="auto" w:fill="auto"/>
            <w:vAlign w:val="center"/>
          </w:tcPr>
          <w:p w14:paraId="45A70E3F" w14:textId="77777777" w:rsidR="00302BFE" w:rsidRPr="00B43F59" w:rsidRDefault="00302BFE" w:rsidP="00243B15">
            <w:pPr>
              <w:spacing w:after="0"/>
              <w:jc w:val="left"/>
              <w:rPr>
                <w:sz w:val="18"/>
                <w:szCs w:val="18"/>
              </w:rPr>
            </w:pPr>
            <w:r w:rsidRPr="00B43F59">
              <w:rPr>
                <w:sz w:val="18"/>
                <w:szCs w:val="18"/>
              </w:rPr>
              <w:t>Year 2 - Year 4</w:t>
            </w:r>
          </w:p>
        </w:tc>
        <w:tc>
          <w:tcPr>
            <w:tcW w:w="1047" w:type="pct"/>
            <w:shd w:val="clear" w:color="auto" w:fill="auto"/>
            <w:vAlign w:val="center"/>
          </w:tcPr>
          <w:p w14:paraId="34DA5317" w14:textId="77777777" w:rsidR="00302BFE" w:rsidRPr="00B43F59" w:rsidRDefault="00302BFE" w:rsidP="00243B15">
            <w:pPr>
              <w:spacing w:after="0"/>
              <w:jc w:val="left"/>
              <w:rPr>
                <w:sz w:val="18"/>
                <w:szCs w:val="18"/>
              </w:rPr>
            </w:pPr>
            <w:r w:rsidRPr="00B43F59">
              <w:rPr>
                <w:sz w:val="18"/>
                <w:szCs w:val="18"/>
              </w:rPr>
              <w:t>Communication and Knowledge Management Expert</w:t>
            </w:r>
          </w:p>
          <w:p w14:paraId="36B268C8" w14:textId="77777777" w:rsidR="00302BFE" w:rsidRPr="00B43F59" w:rsidRDefault="00302BFE" w:rsidP="00243B15">
            <w:pPr>
              <w:spacing w:after="0"/>
              <w:jc w:val="left"/>
              <w:rPr>
                <w:sz w:val="18"/>
                <w:szCs w:val="18"/>
              </w:rPr>
            </w:pPr>
            <w:r w:rsidRPr="00B43F59">
              <w:rPr>
                <w:sz w:val="18"/>
                <w:szCs w:val="18"/>
              </w:rPr>
              <w:t>Gender Expert</w:t>
            </w:r>
          </w:p>
        </w:tc>
      </w:tr>
      <w:tr w:rsidR="00302BFE" w:rsidRPr="00B43F59" w14:paraId="563526C9" w14:textId="77777777" w:rsidTr="00243B15">
        <w:trPr>
          <w:gridAfter w:val="1"/>
          <w:wAfter w:w="6" w:type="pct"/>
          <w:trHeight w:val="980"/>
          <w:jc w:val="center"/>
        </w:trPr>
        <w:tc>
          <w:tcPr>
            <w:tcW w:w="1229" w:type="pct"/>
            <w:shd w:val="clear" w:color="auto" w:fill="auto"/>
            <w:vAlign w:val="center"/>
          </w:tcPr>
          <w:p w14:paraId="130F6A55" w14:textId="77777777" w:rsidR="00302BFE" w:rsidRPr="00B43F59" w:rsidRDefault="00302BFE" w:rsidP="00243B15">
            <w:pPr>
              <w:spacing w:after="0"/>
              <w:jc w:val="left"/>
              <w:rPr>
                <w:sz w:val="18"/>
                <w:szCs w:val="18"/>
              </w:rPr>
            </w:pPr>
            <w:r w:rsidRPr="00B43F59">
              <w:rPr>
                <w:sz w:val="18"/>
                <w:szCs w:val="18"/>
              </w:rPr>
              <w:lastRenderedPageBreak/>
              <w:t>Ensure the attendance of women in the demonstration activities as part of the support to producers (output 3.1.3)</w:t>
            </w:r>
          </w:p>
        </w:tc>
        <w:tc>
          <w:tcPr>
            <w:tcW w:w="1193" w:type="pct"/>
            <w:shd w:val="clear" w:color="auto" w:fill="auto"/>
            <w:vAlign w:val="center"/>
          </w:tcPr>
          <w:p w14:paraId="516EFF8B" w14:textId="77777777" w:rsidR="00302BFE" w:rsidRPr="00B43F59" w:rsidRDefault="00302BFE" w:rsidP="00243B15">
            <w:pPr>
              <w:spacing w:after="0"/>
              <w:jc w:val="left"/>
              <w:rPr>
                <w:sz w:val="18"/>
                <w:szCs w:val="18"/>
              </w:rPr>
            </w:pPr>
            <w:r w:rsidRPr="00B43F59">
              <w:rPr>
                <w:sz w:val="18"/>
                <w:szCs w:val="18"/>
              </w:rPr>
              <w:t>Number of women benefiting annually from demonstration activities and supply of climate-resilient crop varieties</w:t>
            </w:r>
          </w:p>
        </w:tc>
        <w:tc>
          <w:tcPr>
            <w:tcW w:w="605" w:type="pct"/>
            <w:shd w:val="clear" w:color="auto" w:fill="auto"/>
            <w:vAlign w:val="center"/>
          </w:tcPr>
          <w:p w14:paraId="2A4E47F9" w14:textId="77777777" w:rsidR="00302BFE" w:rsidRPr="00B43F59" w:rsidRDefault="00302BFE" w:rsidP="00243B15">
            <w:pPr>
              <w:spacing w:after="0"/>
              <w:jc w:val="left"/>
              <w:rPr>
                <w:sz w:val="18"/>
                <w:szCs w:val="18"/>
              </w:rPr>
            </w:pPr>
            <w:r w:rsidRPr="00B43F59">
              <w:rPr>
                <w:sz w:val="18"/>
                <w:szCs w:val="18"/>
              </w:rPr>
              <w:t xml:space="preserve">200 </w:t>
            </w:r>
          </w:p>
        </w:tc>
        <w:tc>
          <w:tcPr>
            <w:tcW w:w="606" w:type="pct"/>
            <w:shd w:val="clear" w:color="auto" w:fill="auto"/>
            <w:vAlign w:val="center"/>
          </w:tcPr>
          <w:p w14:paraId="182BD215" w14:textId="77777777" w:rsidR="00302BFE" w:rsidRPr="00B43F59" w:rsidRDefault="00302BFE" w:rsidP="00243B15">
            <w:pPr>
              <w:spacing w:after="0"/>
              <w:jc w:val="left"/>
              <w:rPr>
                <w:sz w:val="18"/>
                <w:szCs w:val="18"/>
              </w:rPr>
            </w:pPr>
            <w:r w:rsidRPr="00B43F59">
              <w:rPr>
                <w:sz w:val="18"/>
                <w:szCs w:val="18"/>
              </w:rPr>
              <w:t>Training not started</w:t>
            </w:r>
          </w:p>
        </w:tc>
        <w:tc>
          <w:tcPr>
            <w:tcW w:w="314" w:type="pct"/>
            <w:gridSpan w:val="2"/>
            <w:shd w:val="clear" w:color="auto" w:fill="auto"/>
            <w:vAlign w:val="center"/>
          </w:tcPr>
          <w:p w14:paraId="64273310" w14:textId="77777777" w:rsidR="00302BFE" w:rsidRPr="00B43F59" w:rsidRDefault="00302BFE" w:rsidP="00243B15">
            <w:pPr>
              <w:spacing w:after="0"/>
              <w:jc w:val="left"/>
              <w:rPr>
                <w:sz w:val="18"/>
                <w:szCs w:val="18"/>
              </w:rPr>
            </w:pPr>
            <w:r w:rsidRPr="00B43F59">
              <w:rPr>
                <w:sz w:val="18"/>
                <w:szCs w:val="18"/>
              </w:rPr>
              <w:t>Years 1 to 3</w:t>
            </w:r>
          </w:p>
        </w:tc>
        <w:tc>
          <w:tcPr>
            <w:tcW w:w="1047" w:type="pct"/>
            <w:shd w:val="clear" w:color="auto" w:fill="auto"/>
            <w:vAlign w:val="center"/>
          </w:tcPr>
          <w:p w14:paraId="4EDED8EF" w14:textId="77777777" w:rsidR="00302BFE" w:rsidRPr="00B43F59" w:rsidRDefault="00302BFE" w:rsidP="00243B15">
            <w:pPr>
              <w:spacing w:after="0"/>
              <w:jc w:val="left"/>
              <w:rPr>
                <w:sz w:val="18"/>
                <w:szCs w:val="18"/>
              </w:rPr>
            </w:pPr>
            <w:r w:rsidRPr="00C3579E">
              <w:rPr>
                <w:sz w:val="18"/>
                <w:szCs w:val="18"/>
              </w:rPr>
              <w:t>MAAH</w:t>
            </w:r>
          </w:p>
        </w:tc>
      </w:tr>
      <w:tr w:rsidR="00302BFE" w:rsidRPr="00B43F59" w14:paraId="201B0657" w14:textId="77777777" w:rsidTr="00243B15">
        <w:trPr>
          <w:trHeight w:val="290"/>
          <w:jc w:val="center"/>
        </w:trPr>
        <w:tc>
          <w:tcPr>
            <w:tcW w:w="5000" w:type="pct"/>
            <w:gridSpan w:val="8"/>
            <w:shd w:val="clear" w:color="auto" w:fill="auto"/>
            <w:vAlign w:val="center"/>
          </w:tcPr>
          <w:p w14:paraId="501DBE51" w14:textId="77777777" w:rsidR="00302BFE" w:rsidRPr="00B43F59" w:rsidRDefault="00302BFE" w:rsidP="00243B15">
            <w:pPr>
              <w:spacing w:after="0"/>
              <w:jc w:val="left"/>
              <w:rPr>
                <w:b/>
                <w:sz w:val="18"/>
                <w:szCs w:val="18"/>
                <w:lang w:val="en-CA"/>
              </w:rPr>
            </w:pPr>
            <w:r w:rsidRPr="00B43F59">
              <w:rPr>
                <w:b/>
                <w:sz w:val="18"/>
                <w:szCs w:val="18"/>
                <w:lang w:val="en-CA"/>
              </w:rPr>
              <w:t>Output 3.2 The management of natural resources in forests and community pastoral areas is improved</w:t>
            </w:r>
          </w:p>
        </w:tc>
      </w:tr>
      <w:tr w:rsidR="00302BFE" w:rsidRPr="00B43F59" w14:paraId="2F4E0B5E" w14:textId="77777777" w:rsidTr="00243B15">
        <w:trPr>
          <w:gridAfter w:val="1"/>
          <w:wAfter w:w="6" w:type="pct"/>
          <w:trHeight w:val="980"/>
          <w:jc w:val="center"/>
        </w:trPr>
        <w:tc>
          <w:tcPr>
            <w:tcW w:w="1229" w:type="pct"/>
            <w:shd w:val="clear" w:color="auto" w:fill="auto"/>
            <w:vAlign w:val="center"/>
          </w:tcPr>
          <w:p w14:paraId="47CEF413" w14:textId="77777777" w:rsidR="00302BFE" w:rsidRPr="00B43F59" w:rsidRDefault="00302BFE" w:rsidP="00243B15">
            <w:pPr>
              <w:spacing w:after="0"/>
              <w:jc w:val="left"/>
              <w:rPr>
                <w:sz w:val="18"/>
                <w:szCs w:val="18"/>
                <w:lang w:val="en-CA"/>
              </w:rPr>
            </w:pPr>
            <w:r w:rsidRPr="00B43F59">
              <w:rPr>
                <w:sz w:val="18"/>
                <w:szCs w:val="18"/>
                <w:lang w:val="en-CA"/>
              </w:rPr>
              <w:t>Capitalize and popularize women's know-how in environmental resource management</w:t>
            </w:r>
          </w:p>
        </w:tc>
        <w:tc>
          <w:tcPr>
            <w:tcW w:w="1193" w:type="pct"/>
            <w:shd w:val="clear" w:color="auto" w:fill="auto"/>
            <w:vAlign w:val="center"/>
          </w:tcPr>
          <w:p w14:paraId="697646C8" w14:textId="77777777" w:rsidR="00302BFE" w:rsidRPr="00B43F59" w:rsidRDefault="00302BFE" w:rsidP="00243B15">
            <w:pPr>
              <w:pStyle w:val="Commentaire"/>
              <w:spacing w:after="0"/>
              <w:jc w:val="left"/>
              <w:rPr>
                <w:sz w:val="18"/>
                <w:szCs w:val="18"/>
                <w:lang w:val="en-CA"/>
              </w:rPr>
            </w:pPr>
            <w:r w:rsidRPr="00B43F59">
              <w:rPr>
                <w:sz w:val="18"/>
                <w:szCs w:val="18"/>
                <w:lang w:val="en-CA"/>
              </w:rPr>
              <w:t>Existence of a compendium of women's know-how in the management of environmental resources</w:t>
            </w:r>
          </w:p>
        </w:tc>
        <w:tc>
          <w:tcPr>
            <w:tcW w:w="605" w:type="pct"/>
            <w:shd w:val="clear" w:color="auto" w:fill="auto"/>
            <w:vAlign w:val="center"/>
          </w:tcPr>
          <w:p w14:paraId="7986443D" w14:textId="77777777" w:rsidR="00302BFE" w:rsidRPr="00B43F59" w:rsidRDefault="00302BFE" w:rsidP="00243B15">
            <w:pPr>
              <w:spacing w:after="0"/>
              <w:jc w:val="left"/>
              <w:rPr>
                <w:sz w:val="18"/>
                <w:szCs w:val="18"/>
                <w:lang w:val="en-CA"/>
              </w:rPr>
            </w:pPr>
            <w:r w:rsidRPr="00B43F59">
              <w:rPr>
                <w:sz w:val="18"/>
                <w:szCs w:val="18"/>
                <w:lang w:val="en-CA"/>
              </w:rPr>
              <w:t>01 compendium of women's know-how in the management of environmental resources</w:t>
            </w:r>
          </w:p>
        </w:tc>
        <w:tc>
          <w:tcPr>
            <w:tcW w:w="606" w:type="pct"/>
            <w:shd w:val="clear" w:color="auto" w:fill="auto"/>
            <w:vAlign w:val="center"/>
          </w:tcPr>
          <w:p w14:paraId="2EF4D358" w14:textId="77777777" w:rsidR="00302BFE" w:rsidRPr="00B43F59" w:rsidRDefault="00302BFE" w:rsidP="00243B15">
            <w:pPr>
              <w:spacing w:after="0"/>
              <w:jc w:val="left"/>
              <w:rPr>
                <w:sz w:val="18"/>
                <w:szCs w:val="18"/>
              </w:rPr>
            </w:pPr>
            <w:r w:rsidRPr="00B43F59">
              <w:rPr>
                <w:sz w:val="18"/>
                <w:szCs w:val="18"/>
              </w:rPr>
              <w:t>0</w:t>
            </w:r>
          </w:p>
        </w:tc>
        <w:tc>
          <w:tcPr>
            <w:tcW w:w="314" w:type="pct"/>
            <w:gridSpan w:val="2"/>
            <w:shd w:val="clear" w:color="auto" w:fill="auto"/>
            <w:vAlign w:val="center"/>
          </w:tcPr>
          <w:p w14:paraId="015CA220" w14:textId="77777777" w:rsidR="00302BFE" w:rsidRPr="00B43F59" w:rsidRDefault="00302BFE" w:rsidP="00243B15">
            <w:pPr>
              <w:spacing w:after="0"/>
              <w:jc w:val="left"/>
              <w:rPr>
                <w:sz w:val="18"/>
                <w:szCs w:val="18"/>
              </w:rPr>
            </w:pPr>
            <w:r w:rsidRPr="00B43F59">
              <w:rPr>
                <w:sz w:val="18"/>
                <w:szCs w:val="18"/>
              </w:rPr>
              <w:t>Year 4-6</w:t>
            </w:r>
          </w:p>
        </w:tc>
        <w:tc>
          <w:tcPr>
            <w:tcW w:w="1047" w:type="pct"/>
            <w:shd w:val="clear" w:color="auto" w:fill="auto"/>
            <w:vAlign w:val="center"/>
          </w:tcPr>
          <w:p w14:paraId="59C46038" w14:textId="77777777" w:rsidR="00302BFE" w:rsidRPr="00B43F59" w:rsidRDefault="00302BFE" w:rsidP="00243B15">
            <w:pPr>
              <w:spacing w:after="0"/>
              <w:jc w:val="left"/>
              <w:rPr>
                <w:sz w:val="18"/>
                <w:szCs w:val="18"/>
              </w:rPr>
            </w:pPr>
            <w:r w:rsidRPr="00B43F59">
              <w:rPr>
                <w:sz w:val="18"/>
                <w:szCs w:val="18"/>
              </w:rPr>
              <w:t>Project Gender Expert</w:t>
            </w:r>
          </w:p>
          <w:p w14:paraId="5DAC1FD5" w14:textId="77777777" w:rsidR="00302BFE" w:rsidRPr="00B43F59" w:rsidRDefault="00302BFE" w:rsidP="00243B15">
            <w:pPr>
              <w:spacing w:after="0"/>
              <w:jc w:val="left"/>
              <w:rPr>
                <w:sz w:val="18"/>
                <w:szCs w:val="18"/>
                <w:lang w:eastAsia="fr-CA"/>
              </w:rPr>
            </w:pPr>
            <w:r w:rsidRPr="00B43F59">
              <w:rPr>
                <w:sz w:val="18"/>
                <w:szCs w:val="18"/>
              </w:rPr>
              <w:t>Forest Service</w:t>
            </w:r>
          </w:p>
        </w:tc>
      </w:tr>
      <w:tr w:rsidR="00302BFE" w:rsidRPr="00B43F59" w14:paraId="677FB840" w14:textId="77777777" w:rsidTr="00243B15">
        <w:trPr>
          <w:trHeight w:val="295"/>
          <w:jc w:val="center"/>
        </w:trPr>
        <w:tc>
          <w:tcPr>
            <w:tcW w:w="5000" w:type="pct"/>
            <w:gridSpan w:val="8"/>
            <w:shd w:val="clear" w:color="auto" w:fill="auto"/>
            <w:vAlign w:val="center"/>
          </w:tcPr>
          <w:p w14:paraId="6016D895" w14:textId="77777777" w:rsidR="00302BFE" w:rsidRPr="00B43F59" w:rsidRDefault="00302BFE" w:rsidP="00243B15">
            <w:pPr>
              <w:spacing w:after="0"/>
              <w:jc w:val="left"/>
              <w:rPr>
                <w:b/>
                <w:sz w:val="18"/>
                <w:szCs w:val="18"/>
                <w:lang w:val="en-CA"/>
              </w:rPr>
            </w:pPr>
            <w:r w:rsidRPr="00B43F59">
              <w:rPr>
                <w:b/>
                <w:sz w:val="18"/>
                <w:szCs w:val="18"/>
                <w:lang w:val="en-CA"/>
              </w:rPr>
              <w:t>Output 3.3 Sustainable local forest products processing enterprises are established</w:t>
            </w:r>
          </w:p>
        </w:tc>
      </w:tr>
      <w:tr w:rsidR="00302BFE" w:rsidRPr="00B43F59" w14:paraId="032482D9" w14:textId="77777777" w:rsidTr="00243B15">
        <w:trPr>
          <w:gridAfter w:val="1"/>
          <w:wAfter w:w="6" w:type="pct"/>
          <w:trHeight w:val="670"/>
          <w:jc w:val="center"/>
        </w:trPr>
        <w:tc>
          <w:tcPr>
            <w:tcW w:w="1229" w:type="pct"/>
            <w:shd w:val="clear" w:color="auto" w:fill="auto"/>
            <w:vAlign w:val="center"/>
          </w:tcPr>
          <w:p w14:paraId="29CC4D36" w14:textId="77777777" w:rsidR="00302BFE" w:rsidRPr="00B43F59" w:rsidRDefault="00302BFE" w:rsidP="00243B15">
            <w:pPr>
              <w:pStyle w:val="Paragraphedeliste"/>
              <w:tabs>
                <w:tab w:val="left" w:pos="284"/>
              </w:tabs>
              <w:ind w:left="0"/>
              <w:rPr>
                <w:rFonts w:ascii="Calibri" w:hAnsi="Calibri"/>
                <w:sz w:val="18"/>
                <w:szCs w:val="18"/>
                <w:lang w:val="en-CA"/>
              </w:rPr>
            </w:pPr>
            <w:r w:rsidRPr="00B43F59">
              <w:rPr>
                <w:rFonts w:ascii="Calibri" w:hAnsi="Calibri"/>
                <w:sz w:val="18"/>
                <w:szCs w:val="18"/>
                <w:lang w:val="en-CA"/>
              </w:rPr>
              <w:t>Support the establishment of 04 women's or predominantly women's cooperatives for the exploitation of NTFP value chains</w:t>
            </w:r>
            <w:r>
              <w:rPr>
                <w:rFonts w:ascii="Calibri" w:hAnsi="Calibri"/>
                <w:sz w:val="18"/>
                <w:szCs w:val="18"/>
                <w:lang w:val="en-CA"/>
              </w:rPr>
              <w:t xml:space="preserve"> (output 3.3)</w:t>
            </w:r>
          </w:p>
        </w:tc>
        <w:tc>
          <w:tcPr>
            <w:tcW w:w="1193" w:type="pct"/>
            <w:shd w:val="clear" w:color="auto" w:fill="auto"/>
            <w:vAlign w:val="center"/>
          </w:tcPr>
          <w:p w14:paraId="1DBAE1EB" w14:textId="77777777" w:rsidR="00302BFE" w:rsidRPr="00B43F59" w:rsidRDefault="00302BFE" w:rsidP="00243B15">
            <w:pPr>
              <w:pStyle w:val="Commentaire"/>
              <w:spacing w:after="0"/>
              <w:jc w:val="left"/>
              <w:rPr>
                <w:sz w:val="18"/>
                <w:szCs w:val="18"/>
                <w:lang w:val="en-CA"/>
              </w:rPr>
            </w:pPr>
            <w:r w:rsidRPr="00B43F59">
              <w:rPr>
                <w:sz w:val="18"/>
                <w:szCs w:val="18"/>
                <w:lang w:val="en-CA"/>
              </w:rPr>
              <w:t xml:space="preserve">Existence of (1) cooperative for producing </w:t>
            </w:r>
            <w:r>
              <w:rPr>
                <w:sz w:val="18"/>
                <w:szCs w:val="18"/>
                <w:lang w:val="en-CA"/>
              </w:rPr>
              <w:t>liane</w:t>
            </w:r>
            <w:r w:rsidRPr="00B43F59">
              <w:rPr>
                <w:sz w:val="18"/>
                <w:szCs w:val="18"/>
                <w:lang w:val="en-CA"/>
              </w:rPr>
              <w:t xml:space="preserve"> goïne juice in the commune of Nobéré, one (1) cooperative for the production of honey in the PONASI landscape area, and two (2) cooperatives for producing shea butter in the communes of Guiaro and Zabré-Zoaga, and proportion of women members of these cooperatives</w:t>
            </w:r>
          </w:p>
        </w:tc>
        <w:tc>
          <w:tcPr>
            <w:tcW w:w="605" w:type="pct"/>
            <w:shd w:val="clear" w:color="auto" w:fill="auto"/>
            <w:vAlign w:val="center"/>
          </w:tcPr>
          <w:p w14:paraId="2579AAEC" w14:textId="77777777" w:rsidR="00302BFE" w:rsidRPr="00B43F59" w:rsidRDefault="00302BFE" w:rsidP="00243B15">
            <w:pPr>
              <w:spacing w:after="0"/>
              <w:jc w:val="left"/>
              <w:rPr>
                <w:sz w:val="18"/>
                <w:szCs w:val="18"/>
              </w:rPr>
            </w:pPr>
            <w:r w:rsidRPr="00B43F59">
              <w:rPr>
                <w:sz w:val="18"/>
                <w:szCs w:val="18"/>
              </w:rPr>
              <w:t>04 cooperatives</w:t>
            </w:r>
          </w:p>
        </w:tc>
        <w:tc>
          <w:tcPr>
            <w:tcW w:w="606" w:type="pct"/>
            <w:shd w:val="clear" w:color="auto" w:fill="auto"/>
            <w:vAlign w:val="center"/>
          </w:tcPr>
          <w:p w14:paraId="479EDC34" w14:textId="77777777" w:rsidR="00302BFE" w:rsidRPr="00B43F59" w:rsidRDefault="00302BFE" w:rsidP="00243B15">
            <w:pPr>
              <w:spacing w:after="0"/>
              <w:jc w:val="left"/>
              <w:rPr>
                <w:sz w:val="18"/>
                <w:szCs w:val="18"/>
                <w:lang w:val="en-CA"/>
              </w:rPr>
            </w:pPr>
            <w:r w:rsidRPr="00B43F59">
              <w:rPr>
                <w:sz w:val="18"/>
                <w:szCs w:val="18"/>
                <w:lang w:val="en-CA"/>
              </w:rPr>
              <w:t>0 (the groups of women encountered in the communes are not organized into cooperatives)</w:t>
            </w:r>
          </w:p>
        </w:tc>
        <w:tc>
          <w:tcPr>
            <w:tcW w:w="314" w:type="pct"/>
            <w:gridSpan w:val="2"/>
            <w:shd w:val="clear" w:color="auto" w:fill="auto"/>
            <w:vAlign w:val="center"/>
          </w:tcPr>
          <w:p w14:paraId="347280C5" w14:textId="77777777" w:rsidR="00302BFE" w:rsidRPr="00B43F59" w:rsidRDefault="00302BFE" w:rsidP="00243B15">
            <w:pPr>
              <w:spacing w:after="0"/>
              <w:jc w:val="left"/>
              <w:rPr>
                <w:sz w:val="18"/>
                <w:szCs w:val="18"/>
              </w:rPr>
            </w:pPr>
            <w:r w:rsidRPr="00B43F59">
              <w:rPr>
                <w:sz w:val="18"/>
                <w:szCs w:val="18"/>
              </w:rPr>
              <w:t>Year 2-3</w:t>
            </w:r>
          </w:p>
        </w:tc>
        <w:tc>
          <w:tcPr>
            <w:tcW w:w="1047" w:type="pct"/>
            <w:shd w:val="clear" w:color="auto" w:fill="auto"/>
            <w:vAlign w:val="center"/>
          </w:tcPr>
          <w:p w14:paraId="27C2E327" w14:textId="77777777" w:rsidR="00302BFE" w:rsidRPr="00B43F59" w:rsidRDefault="00302BFE" w:rsidP="00243B15">
            <w:pPr>
              <w:spacing w:after="0"/>
              <w:jc w:val="left"/>
              <w:rPr>
                <w:sz w:val="18"/>
                <w:szCs w:val="18"/>
              </w:rPr>
            </w:pPr>
            <w:r w:rsidRPr="00B43F59">
              <w:rPr>
                <w:sz w:val="18"/>
                <w:szCs w:val="18"/>
              </w:rPr>
              <w:t>Community Development Expert</w:t>
            </w:r>
          </w:p>
          <w:p w14:paraId="7A9123FC" w14:textId="77777777" w:rsidR="00302BFE" w:rsidRPr="009E7670" w:rsidRDefault="00302BFE" w:rsidP="00243B15">
            <w:pPr>
              <w:spacing w:after="0"/>
              <w:jc w:val="left"/>
              <w:rPr>
                <w:sz w:val="18"/>
                <w:szCs w:val="18"/>
              </w:rPr>
            </w:pPr>
            <w:r w:rsidRPr="009E7670">
              <w:rPr>
                <w:sz w:val="18"/>
                <w:szCs w:val="18"/>
              </w:rPr>
              <w:t>Permanent Secretariat of the National Council for the Promotion of Gender (SP/CONEP gender)</w:t>
            </w:r>
          </w:p>
          <w:p w14:paraId="2D1E6C11" w14:textId="77777777" w:rsidR="00302BFE" w:rsidRPr="00B43F59" w:rsidRDefault="00302BFE" w:rsidP="00243B15">
            <w:pPr>
              <w:spacing w:after="0"/>
              <w:jc w:val="left"/>
              <w:rPr>
                <w:sz w:val="18"/>
                <w:szCs w:val="18"/>
                <w:lang w:eastAsia="fr-CA"/>
              </w:rPr>
            </w:pPr>
            <w:r w:rsidRPr="00C3579E">
              <w:rPr>
                <w:sz w:val="18"/>
                <w:szCs w:val="18"/>
              </w:rPr>
              <w:t>Housing, and Community Development</w:t>
            </w:r>
          </w:p>
        </w:tc>
      </w:tr>
      <w:tr w:rsidR="00302BFE" w:rsidRPr="00B43F59" w14:paraId="5BD8D952" w14:textId="77777777" w:rsidTr="00243B15">
        <w:trPr>
          <w:gridAfter w:val="1"/>
          <w:wAfter w:w="6" w:type="pct"/>
          <w:trHeight w:val="980"/>
          <w:jc w:val="center"/>
        </w:trPr>
        <w:tc>
          <w:tcPr>
            <w:tcW w:w="1229" w:type="pct"/>
            <w:shd w:val="clear" w:color="auto" w:fill="auto"/>
            <w:vAlign w:val="center"/>
          </w:tcPr>
          <w:p w14:paraId="2ABC7AED" w14:textId="77777777" w:rsidR="00302BFE" w:rsidRPr="00B43F59" w:rsidRDefault="00302BFE" w:rsidP="00243B15">
            <w:pPr>
              <w:spacing w:after="0"/>
              <w:jc w:val="left"/>
              <w:rPr>
                <w:sz w:val="18"/>
                <w:szCs w:val="18"/>
                <w:lang w:val="en-CA"/>
              </w:rPr>
            </w:pPr>
            <w:r w:rsidRPr="00B43F59">
              <w:rPr>
                <w:sz w:val="18"/>
                <w:szCs w:val="18"/>
                <w:lang w:val="en-CA"/>
              </w:rPr>
              <w:t>Support the organic and fair certification of production spaces and shea products managed by women's cooperatives (output 3.3)</w:t>
            </w:r>
          </w:p>
        </w:tc>
        <w:tc>
          <w:tcPr>
            <w:tcW w:w="1193" w:type="pct"/>
            <w:shd w:val="clear" w:color="auto" w:fill="auto"/>
            <w:vAlign w:val="center"/>
          </w:tcPr>
          <w:p w14:paraId="1BC4A381" w14:textId="77777777" w:rsidR="00302BFE" w:rsidRPr="00B43F59" w:rsidRDefault="00302BFE" w:rsidP="00243B15">
            <w:pPr>
              <w:pStyle w:val="Commentaire"/>
              <w:spacing w:after="0"/>
              <w:jc w:val="left"/>
              <w:rPr>
                <w:sz w:val="18"/>
                <w:szCs w:val="18"/>
                <w:lang w:val="en-CA"/>
              </w:rPr>
            </w:pPr>
            <w:r w:rsidRPr="00B43F59">
              <w:rPr>
                <w:sz w:val="18"/>
                <w:szCs w:val="18"/>
                <w:lang w:val="en-CA"/>
              </w:rPr>
              <w:t>Area of shea production sites with organic and fair-trade certification</w:t>
            </w:r>
          </w:p>
        </w:tc>
        <w:tc>
          <w:tcPr>
            <w:tcW w:w="605" w:type="pct"/>
            <w:shd w:val="clear" w:color="auto" w:fill="auto"/>
            <w:vAlign w:val="center"/>
          </w:tcPr>
          <w:p w14:paraId="61C14854" w14:textId="77777777" w:rsidR="00302BFE" w:rsidRPr="00B43F59" w:rsidRDefault="00302BFE" w:rsidP="00243B15">
            <w:pPr>
              <w:spacing w:after="0"/>
              <w:jc w:val="left"/>
              <w:rPr>
                <w:sz w:val="18"/>
                <w:szCs w:val="18"/>
              </w:rPr>
            </w:pPr>
            <w:r w:rsidRPr="00B43F59">
              <w:rPr>
                <w:sz w:val="18"/>
                <w:szCs w:val="18"/>
              </w:rPr>
              <w:t>200 ha</w:t>
            </w:r>
          </w:p>
        </w:tc>
        <w:tc>
          <w:tcPr>
            <w:tcW w:w="606" w:type="pct"/>
            <w:shd w:val="clear" w:color="auto" w:fill="auto"/>
            <w:vAlign w:val="center"/>
          </w:tcPr>
          <w:p w14:paraId="4F00AEC2" w14:textId="77777777" w:rsidR="00302BFE" w:rsidRPr="00B43F59" w:rsidRDefault="00302BFE" w:rsidP="00243B15">
            <w:pPr>
              <w:spacing w:after="0"/>
              <w:jc w:val="left"/>
              <w:rPr>
                <w:sz w:val="18"/>
                <w:szCs w:val="18"/>
              </w:rPr>
            </w:pPr>
            <w:r w:rsidRPr="00B43F59">
              <w:rPr>
                <w:sz w:val="18"/>
                <w:szCs w:val="18"/>
              </w:rPr>
              <w:t>0</w:t>
            </w:r>
          </w:p>
        </w:tc>
        <w:tc>
          <w:tcPr>
            <w:tcW w:w="314" w:type="pct"/>
            <w:gridSpan w:val="2"/>
            <w:shd w:val="clear" w:color="auto" w:fill="auto"/>
            <w:vAlign w:val="center"/>
          </w:tcPr>
          <w:p w14:paraId="683D260F" w14:textId="77777777" w:rsidR="00302BFE" w:rsidRPr="00B43F59" w:rsidRDefault="00302BFE" w:rsidP="00243B15">
            <w:pPr>
              <w:spacing w:after="0"/>
              <w:jc w:val="left"/>
              <w:rPr>
                <w:sz w:val="18"/>
                <w:szCs w:val="18"/>
              </w:rPr>
            </w:pPr>
            <w:r w:rsidRPr="00B43F59">
              <w:rPr>
                <w:sz w:val="18"/>
                <w:szCs w:val="18"/>
              </w:rPr>
              <w:t>Year 2</w:t>
            </w:r>
          </w:p>
        </w:tc>
        <w:tc>
          <w:tcPr>
            <w:tcW w:w="1047" w:type="pct"/>
            <w:shd w:val="clear" w:color="auto" w:fill="auto"/>
            <w:vAlign w:val="center"/>
          </w:tcPr>
          <w:p w14:paraId="0CEA08A3" w14:textId="77777777" w:rsidR="00302BFE" w:rsidRPr="00B43F59" w:rsidRDefault="00302BFE" w:rsidP="00243B15">
            <w:pPr>
              <w:contextualSpacing/>
              <w:jc w:val="left"/>
              <w:rPr>
                <w:sz w:val="18"/>
                <w:szCs w:val="18"/>
                <w:lang w:eastAsia="fr-CA"/>
              </w:rPr>
            </w:pPr>
            <w:r w:rsidRPr="00B43F59">
              <w:rPr>
                <w:sz w:val="18"/>
                <w:szCs w:val="18"/>
              </w:rPr>
              <w:t>C</w:t>
            </w:r>
            <w:r w:rsidRPr="00B43F59">
              <w:rPr>
                <w:sz w:val="18"/>
                <w:szCs w:val="18"/>
                <w:lang w:eastAsia="fr-CA"/>
              </w:rPr>
              <w:t>ertification</w:t>
            </w:r>
            <w:r w:rsidRPr="00B43F59">
              <w:rPr>
                <w:sz w:val="18"/>
                <w:szCs w:val="18"/>
              </w:rPr>
              <w:t xml:space="preserve"> office</w:t>
            </w:r>
          </w:p>
          <w:p w14:paraId="0959FA02" w14:textId="77777777" w:rsidR="00302BFE" w:rsidRPr="00B43F59" w:rsidRDefault="00302BFE" w:rsidP="00243B15">
            <w:pPr>
              <w:contextualSpacing/>
              <w:jc w:val="left"/>
              <w:rPr>
                <w:sz w:val="18"/>
                <w:szCs w:val="18"/>
                <w:lang w:val="en-CA" w:eastAsia="fr-CA"/>
              </w:rPr>
            </w:pPr>
            <w:r w:rsidRPr="00B43F59">
              <w:rPr>
                <w:sz w:val="18"/>
                <w:szCs w:val="18"/>
                <w:lang w:val="en-CA" w:eastAsia="fr-CA"/>
              </w:rPr>
              <w:t>Permanent Secretariat of the National Council for the Promotion of Gender (SP/CONEP gender)</w:t>
            </w:r>
          </w:p>
        </w:tc>
      </w:tr>
      <w:tr w:rsidR="00302BFE" w:rsidRPr="00B43F59" w14:paraId="6FD36B8F" w14:textId="77777777" w:rsidTr="00243B15">
        <w:trPr>
          <w:gridAfter w:val="1"/>
          <w:wAfter w:w="6" w:type="pct"/>
          <w:trHeight w:val="860"/>
          <w:jc w:val="center"/>
        </w:trPr>
        <w:tc>
          <w:tcPr>
            <w:tcW w:w="1229" w:type="pct"/>
            <w:shd w:val="clear" w:color="auto" w:fill="auto"/>
            <w:vAlign w:val="center"/>
          </w:tcPr>
          <w:p w14:paraId="2915FA47" w14:textId="77777777" w:rsidR="00302BFE" w:rsidRPr="00B43F59" w:rsidRDefault="00302BFE" w:rsidP="00243B15">
            <w:pPr>
              <w:pStyle w:val="Paragraphedeliste"/>
              <w:tabs>
                <w:tab w:val="left" w:pos="284"/>
              </w:tabs>
              <w:ind w:left="0"/>
              <w:rPr>
                <w:rFonts w:ascii="Calibri" w:hAnsi="Calibri"/>
                <w:sz w:val="18"/>
                <w:szCs w:val="18"/>
                <w:lang w:val="en-CA"/>
              </w:rPr>
            </w:pPr>
            <w:r w:rsidRPr="00B43F59">
              <w:rPr>
                <w:rFonts w:ascii="Calibri" w:hAnsi="Calibri"/>
                <w:sz w:val="18"/>
                <w:szCs w:val="18"/>
                <w:lang w:val="en-CA"/>
              </w:rPr>
              <w:t>Strengthen the technical and entrepreneurial capacities of women beneficiaries through training adapted to women and meeting their aspirations and needs, as appropriate fruit collection practices, prevention of adverse environmental impacts; good practices for reducing post-harvest and storage losses; processing techniques; health aspects, standards of quality and hygiene; equitable value chains, savings and microenterprise management (output 3.3.4)</w:t>
            </w:r>
          </w:p>
        </w:tc>
        <w:tc>
          <w:tcPr>
            <w:tcW w:w="1193" w:type="pct"/>
            <w:shd w:val="clear" w:color="auto" w:fill="auto"/>
            <w:vAlign w:val="center"/>
          </w:tcPr>
          <w:p w14:paraId="4B2F4751" w14:textId="77777777" w:rsidR="00302BFE" w:rsidRPr="00B43F59" w:rsidRDefault="00302BFE" w:rsidP="00243B15">
            <w:pPr>
              <w:pStyle w:val="Commentaire"/>
              <w:spacing w:after="0"/>
              <w:jc w:val="left"/>
              <w:rPr>
                <w:sz w:val="18"/>
                <w:szCs w:val="18"/>
                <w:lang w:val="en-CA"/>
              </w:rPr>
            </w:pPr>
            <w:r w:rsidRPr="00B43F59">
              <w:rPr>
                <w:sz w:val="18"/>
                <w:szCs w:val="18"/>
                <w:lang w:val="en-CA"/>
              </w:rPr>
              <w:t>Nature of technical training provided</w:t>
            </w:r>
          </w:p>
          <w:p w14:paraId="6FCFB9E0" w14:textId="77777777" w:rsidR="00302BFE" w:rsidRPr="00B43F59" w:rsidRDefault="00302BFE" w:rsidP="00243B15">
            <w:pPr>
              <w:pStyle w:val="Commentaire"/>
              <w:spacing w:after="0"/>
              <w:jc w:val="left"/>
              <w:rPr>
                <w:sz w:val="18"/>
                <w:szCs w:val="18"/>
                <w:lang w:val="en-CA"/>
              </w:rPr>
            </w:pPr>
            <w:r w:rsidRPr="00B43F59">
              <w:rPr>
                <w:sz w:val="18"/>
                <w:szCs w:val="18"/>
                <w:lang w:val="en-CA"/>
              </w:rPr>
              <w:t>Number of beneficiaries</w:t>
            </w:r>
          </w:p>
        </w:tc>
        <w:tc>
          <w:tcPr>
            <w:tcW w:w="605" w:type="pct"/>
            <w:shd w:val="clear" w:color="auto" w:fill="auto"/>
            <w:vAlign w:val="center"/>
          </w:tcPr>
          <w:p w14:paraId="0F1AC335" w14:textId="77777777" w:rsidR="00302BFE" w:rsidRPr="00B43F59" w:rsidRDefault="00302BFE" w:rsidP="00243B15">
            <w:pPr>
              <w:spacing w:after="0"/>
              <w:rPr>
                <w:sz w:val="18"/>
                <w:szCs w:val="18"/>
                <w:lang w:val="en-CA"/>
              </w:rPr>
            </w:pPr>
            <w:r w:rsidRPr="00B43F59">
              <w:rPr>
                <w:sz w:val="18"/>
                <w:szCs w:val="18"/>
                <w:lang w:val="en-CA"/>
              </w:rPr>
              <w:t>At least 75% of the beneficiaries master the training provided</w:t>
            </w:r>
          </w:p>
          <w:p w14:paraId="10BF9369" w14:textId="77777777" w:rsidR="00302BFE" w:rsidRPr="00B43F59" w:rsidRDefault="00302BFE" w:rsidP="00243B15">
            <w:pPr>
              <w:spacing w:after="0"/>
              <w:rPr>
                <w:sz w:val="18"/>
                <w:szCs w:val="18"/>
                <w:lang w:val="en-CA"/>
              </w:rPr>
            </w:pPr>
            <w:r w:rsidRPr="00B43F59">
              <w:rPr>
                <w:sz w:val="18"/>
                <w:szCs w:val="18"/>
                <w:lang w:val="en-CA"/>
              </w:rPr>
              <w:t>At least 90% of beneficiaries have been trained</w:t>
            </w:r>
          </w:p>
        </w:tc>
        <w:tc>
          <w:tcPr>
            <w:tcW w:w="606" w:type="pct"/>
            <w:shd w:val="clear" w:color="auto" w:fill="auto"/>
            <w:vAlign w:val="center"/>
          </w:tcPr>
          <w:p w14:paraId="2086DDBE" w14:textId="77777777" w:rsidR="00302BFE" w:rsidRPr="00B43F59" w:rsidRDefault="00302BFE" w:rsidP="00243B15">
            <w:pPr>
              <w:spacing w:after="0"/>
              <w:jc w:val="left"/>
              <w:rPr>
                <w:sz w:val="18"/>
                <w:szCs w:val="18"/>
                <w:lang w:val="en-CA"/>
              </w:rPr>
            </w:pPr>
          </w:p>
        </w:tc>
        <w:tc>
          <w:tcPr>
            <w:tcW w:w="314" w:type="pct"/>
            <w:gridSpan w:val="2"/>
            <w:shd w:val="clear" w:color="auto" w:fill="auto"/>
            <w:vAlign w:val="center"/>
          </w:tcPr>
          <w:p w14:paraId="70F57725" w14:textId="77777777" w:rsidR="00302BFE" w:rsidRPr="00B43F59" w:rsidRDefault="00302BFE" w:rsidP="00243B15">
            <w:pPr>
              <w:spacing w:after="0"/>
              <w:jc w:val="left"/>
              <w:rPr>
                <w:sz w:val="18"/>
                <w:szCs w:val="18"/>
              </w:rPr>
            </w:pPr>
            <w:r w:rsidRPr="00B43F59">
              <w:rPr>
                <w:sz w:val="18"/>
                <w:szCs w:val="18"/>
              </w:rPr>
              <w:t>Year 2</w:t>
            </w:r>
          </w:p>
        </w:tc>
        <w:tc>
          <w:tcPr>
            <w:tcW w:w="1047" w:type="pct"/>
            <w:shd w:val="clear" w:color="auto" w:fill="auto"/>
            <w:vAlign w:val="center"/>
          </w:tcPr>
          <w:p w14:paraId="13E8BE54" w14:textId="77777777" w:rsidR="00302BFE" w:rsidRPr="00B43F59" w:rsidRDefault="00302BFE" w:rsidP="00243B15">
            <w:pPr>
              <w:spacing w:after="0"/>
              <w:jc w:val="left"/>
              <w:rPr>
                <w:sz w:val="18"/>
                <w:szCs w:val="18"/>
              </w:rPr>
            </w:pPr>
            <w:r w:rsidRPr="00B43F59">
              <w:rPr>
                <w:sz w:val="18"/>
                <w:szCs w:val="18"/>
              </w:rPr>
              <w:t>Project Gender Expert</w:t>
            </w:r>
          </w:p>
          <w:p w14:paraId="62DA67F7" w14:textId="77777777" w:rsidR="00302BFE" w:rsidRPr="00B43F59" w:rsidRDefault="00302BFE" w:rsidP="00243B15">
            <w:pPr>
              <w:spacing w:after="0"/>
              <w:jc w:val="left"/>
              <w:rPr>
                <w:sz w:val="18"/>
                <w:szCs w:val="18"/>
                <w:lang w:val="en-CA" w:eastAsia="fr-CA"/>
              </w:rPr>
            </w:pPr>
            <w:r w:rsidRPr="009E7670">
              <w:rPr>
                <w:sz w:val="18"/>
                <w:szCs w:val="18"/>
              </w:rPr>
              <w:t>Permanent Secretariat of the National Council for the Promotion of Gender (SP/CONEP gender)</w:t>
            </w:r>
          </w:p>
        </w:tc>
      </w:tr>
      <w:tr w:rsidR="00302BFE" w:rsidRPr="00B43F59" w14:paraId="39015FC4" w14:textId="77777777" w:rsidTr="00243B15">
        <w:trPr>
          <w:gridAfter w:val="1"/>
          <w:wAfter w:w="6" w:type="pct"/>
          <w:trHeight w:val="550"/>
          <w:jc w:val="center"/>
        </w:trPr>
        <w:tc>
          <w:tcPr>
            <w:tcW w:w="1229" w:type="pct"/>
            <w:shd w:val="clear" w:color="auto" w:fill="auto"/>
            <w:vAlign w:val="center"/>
          </w:tcPr>
          <w:p w14:paraId="1CD23E51" w14:textId="77777777" w:rsidR="00302BFE" w:rsidRPr="00B43F59" w:rsidRDefault="00302BFE" w:rsidP="00243B15">
            <w:pPr>
              <w:pStyle w:val="Paragraphedeliste"/>
              <w:tabs>
                <w:tab w:val="left" w:pos="284"/>
              </w:tabs>
              <w:ind w:left="0"/>
              <w:rPr>
                <w:rFonts w:ascii="Calibri" w:hAnsi="Calibri"/>
                <w:sz w:val="18"/>
                <w:szCs w:val="18"/>
                <w:lang w:val="en-CA"/>
              </w:rPr>
            </w:pPr>
            <w:r w:rsidRPr="00B43F59">
              <w:rPr>
                <w:rFonts w:ascii="Calibri" w:hAnsi="Calibri"/>
                <w:sz w:val="18"/>
                <w:szCs w:val="18"/>
                <w:lang w:val="en-CA"/>
              </w:rPr>
              <w:t>Ensure that the establishment of production units (buildings and equipment) (output 3.3.6) is adapted to the women who will use them and take their needs into account</w:t>
            </w:r>
          </w:p>
        </w:tc>
        <w:tc>
          <w:tcPr>
            <w:tcW w:w="1193" w:type="pct"/>
            <w:shd w:val="clear" w:color="auto" w:fill="auto"/>
            <w:vAlign w:val="center"/>
          </w:tcPr>
          <w:p w14:paraId="48AD7C85" w14:textId="77777777" w:rsidR="00302BFE" w:rsidRPr="00B43F59" w:rsidRDefault="00302BFE" w:rsidP="00243B15">
            <w:pPr>
              <w:pStyle w:val="Commentaire"/>
              <w:spacing w:after="0"/>
              <w:jc w:val="left"/>
              <w:rPr>
                <w:sz w:val="18"/>
                <w:szCs w:val="18"/>
                <w:lang w:val="en-CA"/>
              </w:rPr>
            </w:pPr>
            <w:r w:rsidRPr="00B43F59">
              <w:rPr>
                <w:sz w:val="18"/>
                <w:szCs w:val="18"/>
                <w:lang w:val="en-CA"/>
              </w:rPr>
              <w:t>Number of production units installed</w:t>
            </w:r>
          </w:p>
        </w:tc>
        <w:tc>
          <w:tcPr>
            <w:tcW w:w="605" w:type="pct"/>
            <w:shd w:val="clear" w:color="auto" w:fill="auto"/>
            <w:vAlign w:val="center"/>
          </w:tcPr>
          <w:p w14:paraId="428EE504" w14:textId="77777777" w:rsidR="00302BFE" w:rsidRPr="00B43F59" w:rsidRDefault="00302BFE" w:rsidP="00243B15">
            <w:pPr>
              <w:spacing w:after="0"/>
              <w:jc w:val="left"/>
              <w:rPr>
                <w:sz w:val="18"/>
                <w:szCs w:val="18"/>
              </w:rPr>
            </w:pPr>
            <w:r w:rsidRPr="00B43F59">
              <w:rPr>
                <w:sz w:val="18"/>
                <w:szCs w:val="18"/>
              </w:rPr>
              <w:t>04</w:t>
            </w:r>
          </w:p>
        </w:tc>
        <w:tc>
          <w:tcPr>
            <w:tcW w:w="606" w:type="pct"/>
            <w:shd w:val="clear" w:color="auto" w:fill="auto"/>
            <w:vAlign w:val="center"/>
          </w:tcPr>
          <w:p w14:paraId="7EF4971A" w14:textId="77777777" w:rsidR="00302BFE" w:rsidRPr="00B43F59" w:rsidRDefault="00302BFE" w:rsidP="00243B15">
            <w:pPr>
              <w:spacing w:after="0"/>
              <w:jc w:val="left"/>
              <w:rPr>
                <w:sz w:val="18"/>
                <w:szCs w:val="18"/>
                <w:lang w:val="en-CA"/>
              </w:rPr>
            </w:pPr>
            <w:r w:rsidRPr="00B43F59">
              <w:rPr>
                <w:sz w:val="18"/>
                <w:szCs w:val="18"/>
                <w:lang w:val="en-CA"/>
              </w:rPr>
              <w:t>No production unit for organic shea butter or goine liana juice production unit</w:t>
            </w:r>
          </w:p>
        </w:tc>
        <w:tc>
          <w:tcPr>
            <w:tcW w:w="314" w:type="pct"/>
            <w:gridSpan w:val="2"/>
            <w:shd w:val="clear" w:color="auto" w:fill="auto"/>
            <w:vAlign w:val="center"/>
          </w:tcPr>
          <w:p w14:paraId="0855B9AF" w14:textId="77777777" w:rsidR="00302BFE" w:rsidRPr="00B43F59" w:rsidRDefault="00302BFE" w:rsidP="00243B15">
            <w:pPr>
              <w:spacing w:after="0"/>
              <w:jc w:val="left"/>
              <w:rPr>
                <w:sz w:val="18"/>
                <w:szCs w:val="18"/>
              </w:rPr>
            </w:pPr>
            <w:r w:rsidRPr="00B43F59">
              <w:rPr>
                <w:sz w:val="18"/>
                <w:szCs w:val="18"/>
              </w:rPr>
              <w:t>Year 2</w:t>
            </w:r>
          </w:p>
        </w:tc>
        <w:tc>
          <w:tcPr>
            <w:tcW w:w="1047" w:type="pct"/>
            <w:shd w:val="clear" w:color="auto" w:fill="auto"/>
            <w:vAlign w:val="center"/>
          </w:tcPr>
          <w:p w14:paraId="5BC11E27" w14:textId="77777777" w:rsidR="00302BFE" w:rsidRPr="00B43F59" w:rsidRDefault="00302BFE" w:rsidP="00243B15">
            <w:pPr>
              <w:contextualSpacing/>
              <w:rPr>
                <w:sz w:val="18"/>
                <w:szCs w:val="18"/>
                <w:lang w:eastAsia="fr-CA"/>
              </w:rPr>
            </w:pPr>
            <w:r w:rsidRPr="00B43F59">
              <w:rPr>
                <w:sz w:val="18"/>
                <w:szCs w:val="18"/>
              </w:rPr>
              <w:t>Expert in entrepreneurship</w:t>
            </w:r>
          </w:p>
          <w:p w14:paraId="1AAEA51F" w14:textId="77777777" w:rsidR="00302BFE" w:rsidRPr="00B43F59" w:rsidRDefault="00302BFE" w:rsidP="00243B15">
            <w:pPr>
              <w:tabs>
                <w:tab w:val="left" w:pos="185"/>
              </w:tabs>
              <w:contextualSpacing/>
              <w:rPr>
                <w:sz w:val="18"/>
                <w:szCs w:val="18"/>
                <w:lang w:val="en-CA" w:eastAsia="fr-CA"/>
              </w:rPr>
            </w:pPr>
            <w:r w:rsidRPr="00B43F59">
              <w:rPr>
                <w:sz w:val="18"/>
                <w:szCs w:val="18"/>
                <w:lang w:val="en-CA"/>
              </w:rPr>
              <w:t xml:space="preserve">Permanent Secretariat of the National Council for the Promotion of Gender </w:t>
            </w:r>
            <w:r w:rsidRPr="00B43F59">
              <w:rPr>
                <w:sz w:val="18"/>
                <w:szCs w:val="18"/>
                <w:lang w:val="en-CA" w:eastAsia="fr-CA"/>
              </w:rPr>
              <w:t xml:space="preserve">(SP/CONEP </w:t>
            </w:r>
            <w:r w:rsidRPr="00B43F59">
              <w:rPr>
                <w:sz w:val="18"/>
                <w:szCs w:val="18"/>
                <w:lang w:val="en-CA"/>
              </w:rPr>
              <w:t>gender</w:t>
            </w:r>
            <w:r w:rsidRPr="00B43F59">
              <w:rPr>
                <w:sz w:val="18"/>
                <w:szCs w:val="18"/>
                <w:lang w:val="en-CA" w:eastAsia="fr-CA"/>
              </w:rPr>
              <w:t>)</w:t>
            </w:r>
          </w:p>
        </w:tc>
      </w:tr>
      <w:tr w:rsidR="00302BFE" w:rsidRPr="00B43F59" w14:paraId="5E7684D9" w14:textId="77777777" w:rsidTr="00243B15">
        <w:trPr>
          <w:gridAfter w:val="1"/>
          <w:wAfter w:w="6" w:type="pct"/>
          <w:trHeight w:val="980"/>
          <w:jc w:val="center"/>
        </w:trPr>
        <w:tc>
          <w:tcPr>
            <w:tcW w:w="1229" w:type="pct"/>
            <w:shd w:val="clear" w:color="auto" w:fill="auto"/>
            <w:vAlign w:val="center"/>
          </w:tcPr>
          <w:p w14:paraId="04C3C350" w14:textId="77777777" w:rsidR="00302BFE" w:rsidRPr="00B43F59" w:rsidRDefault="00302BFE" w:rsidP="00243B15">
            <w:pPr>
              <w:pStyle w:val="Paragraphedeliste"/>
              <w:tabs>
                <w:tab w:val="left" w:pos="284"/>
              </w:tabs>
              <w:ind w:left="0"/>
              <w:rPr>
                <w:rFonts w:ascii="Calibri" w:hAnsi="Calibri"/>
                <w:sz w:val="18"/>
                <w:szCs w:val="18"/>
                <w:lang w:val="en-CA"/>
              </w:rPr>
            </w:pPr>
            <w:r w:rsidRPr="00B43F59">
              <w:rPr>
                <w:rFonts w:ascii="Calibri" w:hAnsi="Calibri"/>
                <w:sz w:val="18"/>
                <w:szCs w:val="18"/>
                <w:lang w:val="en-CA"/>
              </w:rPr>
              <w:t xml:space="preserve">Ensure that the partnership with a microfinance institution in the PONASI region does not discriminate against women in order to ensure that financial products </w:t>
            </w:r>
            <w:r w:rsidRPr="00B43F59">
              <w:rPr>
                <w:rFonts w:ascii="Calibri" w:hAnsi="Calibri"/>
                <w:sz w:val="18"/>
                <w:szCs w:val="18"/>
                <w:lang w:val="en-CA"/>
              </w:rPr>
              <w:lastRenderedPageBreak/>
              <w:t>and services are adapted to the needs of women in production units and processing enterprises (output 3.3.6)</w:t>
            </w:r>
          </w:p>
        </w:tc>
        <w:tc>
          <w:tcPr>
            <w:tcW w:w="1193" w:type="pct"/>
            <w:shd w:val="clear" w:color="auto" w:fill="auto"/>
            <w:vAlign w:val="center"/>
          </w:tcPr>
          <w:p w14:paraId="6528971F" w14:textId="77777777" w:rsidR="00302BFE" w:rsidRPr="00B43F59" w:rsidRDefault="00302BFE" w:rsidP="00243B15">
            <w:pPr>
              <w:pStyle w:val="Commentaire"/>
              <w:spacing w:after="0"/>
              <w:jc w:val="left"/>
              <w:rPr>
                <w:sz w:val="18"/>
                <w:szCs w:val="18"/>
                <w:lang w:val="en-CA"/>
              </w:rPr>
            </w:pPr>
            <w:r w:rsidRPr="00B43F59">
              <w:rPr>
                <w:sz w:val="18"/>
                <w:szCs w:val="18"/>
                <w:lang w:val="en-CA"/>
              </w:rPr>
              <w:lastRenderedPageBreak/>
              <w:t xml:space="preserve">Existence of a partnership with a microfinance institution offering innovative financial products and services tailored to </w:t>
            </w:r>
            <w:r w:rsidRPr="00B43F59">
              <w:rPr>
                <w:sz w:val="18"/>
                <w:szCs w:val="18"/>
                <w:lang w:val="en-CA"/>
              </w:rPr>
              <w:lastRenderedPageBreak/>
              <w:t>the needs of women in production units and processing enterprises</w:t>
            </w:r>
          </w:p>
        </w:tc>
        <w:tc>
          <w:tcPr>
            <w:tcW w:w="605" w:type="pct"/>
            <w:shd w:val="clear" w:color="auto" w:fill="auto"/>
            <w:vAlign w:val="center"/>
          </w:tcPr>
          <w:p w14:paraId="613A6FE7" w14:textId="77777777" w:rsidR="00302BFE" w:rsidRPr="00B43F59" w:rsidRDefault="00302BFE" w:rsidP="00243B15">
            <w:pPr>
              <w:spacing w:after="0"/>
              <w:jc w:val="left"/>
              <w:rPr>
                <w:sz w:val="18"/>
                <w:szCs w:val="18"/>
              </w:rPr>
            </w:pPr>
            <w:r w:rsidRPr="00B43F59">
              <w:rPr>
                <w:sz w:val="18"/>
                <w:szCs w:val="18"/>
              </w:rPr>
              <w:lastRenderedPageBreak/>
              <w:t>01</w:t>
            </w:r>
          </w:p>
        </w:tc>
        <w:tc>
          <w:tcPr>
            <w:tcW w:w="606" w:type="pct"/>
            <w:shd w:val="clear" w:color="auto" w:fill="auto"/>
            <w:vAlign w:val="center"/>
          </w:tcPr>
          <w:p w14:paraId="19E3E37C" w14:textId="77777777" w:rsidR="00302BFE" w:rsidRPr="00B43F59" w:rsidRDefault="00302BFE" w:rsidP="00243B15">
            <w:pPr>
              <w:spacing w:after="0"/>
              <w:jc w:val="left"/>
              <w:rPr>
                <w:sz w:val="18"/>
                <w:szCs w:val="18"/>
              </w:rPr>
            </w:pPr>
            <w:r w:rsidRPr="00B43F59">
              <w:rPr>
                <w:sz w:val="18"/>
                <w:szCs w:val="18"/>
              </w:rPr>
              <w:t>0</w:t>
            </w:r>
          </w:p>
        </w:tc>
        <w:tc>
          <w:tcPr>
            <w:tcW w:w="314" w:type="pct"/>
            <w:gridSpan w:val="2"/>
            <w:shd w:val="clear" w:color="auto" w:fill="auto"/>
            <w:vAlign w:val="center"/>
          </w:tcPr>
          <w:p w14:paraId="569ADB78" w14:textId="77777777" w:rsidR="00302BFE" w:rsidRPr="00B43F59" w:rsidRDefault="00302BFE" w:rsidP="00243B15">
            <w:pPr>
              <w:spacing w:after="0"/>
              <w:jc w:val="left"/>
              <w:rPr>
                <w:sz w:val="18"/>
                <w:szCs w:val="18"/>
              </w:rPr>
            </w:pPr>
            <w:r w:rsidRPr="00B43F59">
              <w:rPr>
                <w:sz w:val="18"/>
                <w:szCs w:val="18"/>
              </w:rPr>
              <w:t>Year 2</w:t>
            </w:r>
          </w:p>
        </w:tc>
        <w:tc>
          <w:tcPr>
            <w:tcW w:w="1047" w:type="pct"/>
            <w:shd w:val="clear" w:color="auto" w:fill="auto"/>
            <w:vAlign w:val="center"/>
          </w:tcPr>
          <w:p w14:paraId="0DE2791E" w14:textId="77777777" w:rsidR="00302BFE" w:rsidRPr="00B43F59" w:rsidRDefault="00302BFE" w:rsidP="00243B15">
            <w:pPr>
              <w:spacing w:after="0"/>
              <w:jc w:val="left"/>
              <w:rPr>
                <w:sz w:val="18"/>
                <w:szCs w:val="18"/>
                <w:lang w:val="en-CA"/>
              </w:rPr>
            </w:pPr>
            <w:r w:rsidRPr="00B43F59">
              <w:rPr>
                <w:sz w:val="18"/>
                <w:szCs w:val="18"/>
                <w:lang w:val="en-CA"/>
              </w:rPr>
              <w:t>Financial Expert</w:t>
            </w:r>
          </w:p>
          <w:p w14:paraId="444D244D" w14:textId="77777777" w:rsidR="00302BFE" w:rsidRPr="00B43F59" w:rsidRDefault="00302BFE" w:rsidP="00243B15">
            <w:pPr>
              <w:spacing w:after="0"/>
              <w:jc w:val="left"/>
              <w:rPr>
                <w:sz w:val="18"/>
                <w:szCs w:val="18"/>
                <w:lang w:val="en-CA"/>
              </w:rPr>
            </w:pPr>
            <w:r w:rsidRPr="00B43F59">
              <w:rPr>
                <w:sz w:val="18"/>
                <w:szCs w:val="18"/>
                <w:lang w:val="en-CA"/>
              </w:rPr>
              <w:t xml:space="preserve">Permanent Secretariat of the National Council for the Promotion of Gender </w:t>
            </w:r>
            <w:r w:rsidRPr="00B43F59">
              <w:rPr>
                <w:sz w:val="18"/>
                <w:szCs w:val="18"/>
                <w:lang w:val="en-CA" w:eastAsia="fr-CA"/>
              </w:rPr>
              <w:t xml:space="preserve">(SP/CONEP </w:t>
            </w:r>
            <w:r w:rsidRPr="00B43F59">
              <w:rPr>
                <w:sz w:val="18"/>
                <w:szCs w:val="18"/>
                <w:lang w:val="en-CA"/>
              </w:rPr>
              <w:t>gender</w:t>
            </w:r>
            <w:r w:rsidRPr="00B43F59">
              <w:rPr>
                <w:sz w:val="18"/>
                <w:szCs w:val="18"/>
                <w:lang w:val="en-CA" w:eastAsia="fr-CA"/>
              </w:rPr>
              <w:t>)</w:t>
            </w:r>
          </w:p>
        </w:tc>
      </w:tr>
      <w:tr w:rsidR="00302BFE" w:rsidRPr="00B43F59" w14:paraId="35641F43" w14:textId="77777777" w:rsidTr="00243B15">
        <w:trPr>
          <w:gridAfter w:val="1"/>
          <w:wAfter w:w="6" w:type="pct"/>
          <w:trHeight w:val="980"/>
          <w:jc w:val="center"/>
        </w:trPr>
        <w:tc>
          <w:tcPr>
            <w:tcW w:w="1229" w:type="pct"/>
            <w:shd w:val="clear" w:color="auto" w:fill="auto"/>
            <w:vAlign w:val="center"/>
          </w:tcPr>
          <w:p w14:paraId="03D361BC" w14:textId="77777777" w:rsidR="00302BFE" w:rsidRPr="00B43F59" w:rsidRDefault="00302BFE" w:rsidP="00243B15">
            <w:pPr>
              <w:spacing w:after="0"/>
              <w:jc w:val="left"/>
              <w:rPr>
                <w:sz w:val="18"/>
                <w:szCs w:val="18"/>
              </w:rPr>
            </w:pPr>
            <w:r w:rsidRPr="00B43F59">
              <w:rPr>
                <w:sz w:val="18"/>
                <w:szCs w:val="18"/>
              </w:rPr>
              <w:t>Provide training to men and women in microcredit and microenterprise development (output 3.3.4)</w:t>
            </w:r>
          </w:p>
        </w:tc>
        <w:tc>
          <w:tcPr>
            <w:tcW w:w="1193" w:type="pct"/>
            <w:shd w:val="clear" w:color="auto" w:fill="auto"/>
            <w:vAlign w:val="center"/>
          </w:tcPr>
          <w:p w14:paraId="5F592829" w14:textId="77777777" w:rsidR="00302BFE" w:rsidRPr="00B43F59" w:rsidRDefault="00302BFE" w:rsidP="00243B15">
            <w:pPr>
              <w:spacing w:after="0"/>
              <w:jc w:val="left"/>
              <w:rPr>
                <w:sz w:val="18"/>
                <w:szCs w:val="18"/>
              </w:rPr>
            </w:pPr>
            <w:r w:rsidRPr="00B43F59">
              <w:rPr>
                <w:sz w:val="18"/>
                <w:szCs w:val="18"/>
              </w:rPr>
              <w:t>Percent of women benefiting from training</w:t>
            </w:r>
          </w:p>
        </w:tc>
        <w:tc>
          <w:tcPr>
            <w:tcW w:w="605" w:type="pct"/>
            <w:shd w:val="clear" w:color="auto" w:fill="auto"/>
            <w:vAlign w:val="center"/>
          </w:tcPr>
          <w:p w14:paraId="7A6695F1" w14:textId="77777777" w:rsidR="00302BFE" w:rsidRPr="00B43F59" w:rsidRDefault="00302BFE" w:rsidP="00243B15">
            <w:pPr>
              <w:spacing w:after="0"/>
              <w:jc w:val="left"/>
              <w:rPr>
                <w:sz w:val="18"/>
                <w:szCs w:val="18"/>
                <w:lang w:val="en-CA"/>
              </w:rPr>
            </w:pPr>
            <w:r w:rsidRPr="00B43F59">
              <w:rPr>
                <w:bCs/>
                <w:sz w:val="18"/>
                <w:szCs w:val="18"/>
                <w:lang w:val="en-CA"/>
              </w:rPr>
              <w:t>75% of beneficiaries of trainings in microcredit and microenterprise development are women</w:t>
            </w:r>
          </w:p>
        </w:tc>
        <w:tc>
          <w:tcPr>
            <w:tcW w:w="606" w:type="pct"/>
            <w:shd w:val="clear" w:color="auto" w:fill="auto"/>
            <w:vAlign w:val="center"/>
          </w:tcPr>
          <w:p w14:paraId="4C9331B7" w14:textId="77777777" w:rsidR="00302BFE" w:rsidRPr="00B43F59" w:rsidRDefault="00302BFE" w:rsidP="00243B15">
            <w:pPr>
              <w:spacing w:after="0"/>
              <w:jc w:val="left"/>
              <w:rPr>
                <w:sz w:val="18"/>
                <w:szCs w:val="18"/>
              </w:rPr>
            </w:pPr>
            <w:r w:rsidRPr="00B43F59">
              <w:rPr>
                <w:sz w:val="18"/>
                <w:szCs w:val="18"/>
              </w:rPr>
              <w:t>Training not started</w:t>
            </w:r>
          </w:p>
        </w:tc>
        <w:tc>
          <w:tcPr>
            <w:tcW w:w="314" w:type="pct"/>
            <w:gridSpan w:val="2"/>
            <w:shd w:val="clear" w:color="auto" w:fill="auto"/>
            <w:vAlign w:val="center"/>
          </w:tcPr>
          <w:p w14:paraId="45E71A5D" w14:textId="77777777" w:rsidR="00302BFE" w:rsidRPr="00B43F59" w:rsidRDefault="00302BFE" w:rsidP="00243B15">
            <w:pPr>
              <w:spacing w:after="0"/>
              <w:jc w:val="left"/>
              <w:rPr>
                <w:sz w:val="18"/>
                <w:szCs w:val="18"/>
              </w:rPr>
            </w:pPr>
            <w:r w:rsidRPr="00B43F59">
              <w:rPr>
                <w:sz w:val="18"/>
                <w:szCs w:val="18"/>
              </w:rPr>
              <w:t>Years 1 to 3</w:t>
            </w:r>
          </w:p>
        </w:tc>
        <w:tc>
          <w:tcPr>
            <w:tcW w:w="1047" w:type="pct"/>
            <w:shd w:val="clear" w:color="auto" w:fill="auto"/>
            <w:vAlign w:val="center"/>
          </w:tcPr>
          <w:p w14:paraId="4DEB364E" w14:textId="77777777" w:rsidR="00302BFE" w:rsidRPr="00B43F59" w:rsidRDefault="00302BFE" w:rsidP="00243B15">
            <w:pPr>
              <w:spacing w:after="0"/>
              <w:jc w:val="left"/>
              <w:rPr>
                <w:sz w:val="18"/>
                <w:szCs w:val="18"/>
              </w:rPr>
            </w:pPr>
            <w:r w:rsidRPr="00B43F59">
              <w:rPr>
                <w:sz w:val="18"/>
                <w:szCs w:val="18"/>
              </w:rPr>
              <w:t xml:space="preserve">Company providing training services with support from project </w:t>
            </w:r>
          </w:p>
          <w:p w14:paraId="538F23FA" w14:textId="77777777" w:rsidR="00302BFE" w:rsidRPr="00B43F59" w:rsidRDefault="00302BFE" w:rsidP="00243B15">
            <w:pPr>
              <w:spacing w:after="0"/>
              <w:jc w:val="left"/>
              <w:rPr>
                <w:sz w:val="18"/>
                <w:szCs w:val="18"/>
              </w:rPr>
            </w:pPr>
            <w:r w:rsidRPr="00B43F59">
              <w:rPr>
                <w:sz w:val="18"/>
                <w:szCs w:val="18"/>
              </w:rPr>
              <w:t>Gender Expert</w:t>
            </w:r>
          </w:p>
        </w:tc>
      </w:tr>
      <w:tr w:rsidR="00302BFE" w:rsidRPr="00B43F59" w14:paraId="27084225" w14:textId="77777777" w:rsidTr="00243B15">
        <w:trPr>
          <w:gridAfter w:val="1"/>
          <w:wAfter w:w="6" w:type="pct"/>
          <w:trHeight w:val="692"/>
          <w:jc w:val="center"/>
        </w:trPr>
        <w:tc>
          <w:tcPr>
            <w:tcW w:w="1229" w:type="pct"/>
            <w:shd w:val="clear" w:color="auto" w:fill="auto"/>
            <w:vAlign w:val="center"/>
          </w:tcPr>
          <w:p w14:paraId="5D102754" w14:textId="77777777" w:rsidR="00302BFE" w:rsidRPr="00B43F59" w:rsidRDefault="00302BFE" w:rsidP="00243B15">
            <w:pPr>
              <w:spacing w:after="0"/>
              <w:jc w:val="left"/>
              <w:rPr>
                <w:sz w:val="18"/>
                <w:szCs w:val="18"/>
                <w:lang w:val="en-CA"/>
              </w:rPr>
            </w:pPr>
            <w:r w:rsidRPr="00B43F59">
              <w:rPr>
                <w:sz w:val="18"/>
                <w:szCs w:val="18"/>
                <w:lang w:val="en-CA"/>
              </w:rPr>
              <w:t xml:space="preserve">Support the implementation of a gender-sensitive communication strategy related to the marketing of the various products of goine liana juice, quality honey, shea butter and support the participation of cooperatives in fairs and other national events promoting </w:t>
            </w:r>
            <w:r w:rsidRPr="00896B92">
              <w:rPr>
                <w:szCs w:val="20"/>
                <w:lang w:val="en-GB"/>
              </w:rPr>
              <w:t>NTFP</w:t>
            </w:r>
            <w:r w:rsidRPr="00B43F59">
              <w:rPr>
                <w:sz w:val="18"/>
                <w:szCs w:val="18"/>
                <w:lang w:val="en-CA"/>
              </w:rPr>
              <w:t xml:space="preserve"> (output 3.3.4)</w:t>
            </w:r>
          </w:p>
        </w:tc>
        <w:tc>
          <w:tcPr>
            <w:tcW w:w="1193" w:type="pct"/>
            <w:shd w:val="clear" w:color="auto" w:fill="auto"/>
            <w:vAlign w:val="center"/>
          </w:tcPr>
          <w:p w14:paraId="4FC1A120" w14:textId="77777777" w:rsidR="00302BFE" w:rsidRPr="00B43F59" w:rsidRDefault="00302BFE" w:rsidP="00243B15">
            <w:pPr>
              <w:pStyle w:val="Commentaire"/>
              <w:spacing w:after="0"/>
              <w:jc w:val="left"/>
              <w:rPr>
                <w:sz w:val="18"/>
                <w:szCs w:val="18"/>
                <w:lang w:val="en-CA"/>
              </w:rPr>
            </w:pPr>
            <w:r w:rsidRPr="00B43F59">
              <w:rPr>
                <w:sz w:val="18"/>
                <w:szCs w:val="18"/>
                <w:lang w:val="en-CA"/>
              </w:rPr>
              <w:t>Existence of a gender-sensitive communication strategy in connection with the marketing of the different products of goine liana juice, quality honey, shea butter, which highlights the participation of women in these sectors</w:t>
            </w:r>
          </w:p>
          <w:p w14:paraId="524F19C6" w14:textId="77777777" w:rsidR="00302BFE" w:rsidRPr="00B43F59" w:rsidRDefault="00302BFE" w:rsidP="00243B15">
            <w:pPr>
              <w:pStyle w:val="Commentaire"/>
              <w:spacing w:after="0"/>
              <w:jc w:val="left"/>
              <w:rPr>
                <w:sz w:val="18"/>
                <w:szCs w:val="18"/>
                <w:lang w:val="en-CA"/>
              </w:rPr>
            </w:pPr>
          </w:p>
          <w:p w14:paraId="3F9C8FE8" w14:textId="77777777" w:rsidR="00302BFE" w:rsidRPr="00B43F59" w:rsidRDefault="00302BFE" w:rsidP="00243B15">
            <w:pPr>
              <w:pStyle w:val="Commentaire"/>
              <w:spacing w:after="0"/>
              <w:jc w:val="left"/>
              <w:rPr>
                <w:sz w:val="18"/>
                <w:szCs w:val="18"/>
                <w:lang w:val="en-CA"/>
              </w:rPr>
            </w:pPr>
            <w:r w:rsidRPr="00B43F59">
              <w:rPr>
                <w:sz w:val="18"/>
                <w:szCs w:val="18"/>
                <w:lang w:val="en-CA"/>
              </w:rPr>
              <w:t xml:space="preserve">Number of women's cooperatives participating in fairs and other national events promoting </w:t>
            </w:r>
            <w:r w:rsidRPr="00896B92">
              <w:rPr>
                <w:lang w:val="en-GB"/>
              </w:rPr>
              <w:t>NTFP</w:t>
            </w:r>
            <w:r w:rsidRPr="00B43F59">
              <w:rPr>
                <w:sz w:val="18"/>
                <w:szCs w:val="18"/>
                <w:lang w:val="en-CA"/>
              </w:rPr>
              <w:t xml:space="preserve"> s</w:t>
            </w:r>
          </w:p>
        </w:tc>
        <w:tc>
          <w:tcPr>
            <w:tcW w:w="605" w:type="pct"/>
            <w:shd w:val="clear" w:color="auto" w:fill="auto"/>
            <w:vAlign w:val="center"/>
          </w:tcPr>
          <w:p w14:paraId="74497BFD" w14:textId="77777777" w:rsidR="00302BFE" w:rsidRPr="00B43F59" w:rsidRDefault="00302BFE" w:rsidP="00243B15">
            <w:pPr>
              <w:spacing w:after="0"/>
              <w:jc w:val="left"/>
              <w:rPr>
                <w:sz w:val="18"/>
                <w:szCs w:val="18"/>
              </w:rPr>
            </w:pPr>
            <w:r w:rsidRPr="00B43F59">
              <w:rPr>
                <w:sz w:val="18"/>
                <w:szCs w:val="18"/>
              </w:rPr>
              <w:t>One study</w:t>
            </w:r>
          </w:p>
          <w:p w14:paraId="42268867" w14:textId="77777777" w:rsidR="00302BFE" w:rsidRPr="00B43F59" w:rsidRDefault="00302BFE" w:rsidP="00243B15">
            <w:pPr>
              <w:spacing w:after="0"/>
              <w:jc w:val="left"/>
              <w:rPr>
                <w:sz w:val="18"/>
                <w:szCs w:val="18"/>
              </w:rPr>
            </w:pPr>
          </w:p>
          <w:p w14:paraId="5B4BBC0C" w14:textId="77777777" w:rsidR="00302BFE" w:rsidRPr="00B43F59" w:rsidRDefault="00302BFE" w:rsidP="00243B15">
            <w:pPr>
              <w:spacing w:after="0"/>
              <w:jc w:val="left"/>
              <w:rPr>
                <w:sz w:val="18"/>
                <w:szCs w:val="18"/>
              </w:rPr>
            </w:pPr>
          </w:p>
          <w:p w14:paraId="0379F008" w14:textId="77777777" w:rsidR="00302BFE" w:rsidRPr="00B43F59" w:rsidRDefault="00302BFE" w:rsidP="00243B15">
            <w:pPr>
              <w:spacing w:after="0"/>
              <w:jc w:val="left"/>
              <w:rPr>
                <w:sz w:val="18"/>
                <w:szCs w:val="18"/>
              </w:rPr>
            </w:pPr>
          </w:p>
          <w:p w14:paraId="77FA03F2" w14:textId="77777777" w:rsidR="00302BFE" w:rsidRPr="00B43F59" w:rsidRDefault="00302BFE" w:rsidP="00243B15">
            <w:pPr>
              <w:spacing w:after="0"/>
              <w:jc w:val="left"/>
              <w:rPr>
                <w:sz w:val="18"/>
                <w:szCs w:val="18"/>
              </w:rPr>
            </w:pPr>
          </w:p>
          <w:p w14:paraId="4D765F16" w14:textId="77777777" w:rsidR="00302BFE" w:rsidRPr="00B43F59" w:rsidRDefault="00302BFE" w:rsidP="00243B15">
            <w:pPr>
              <w:spacing w:after="0"/>
              <w:jc w:val="left"/>
              <w:rPr>
                <w:sz w:val="18"/>
                <w:szCs w:val="18"/>
              </w:rPr>
            </w:pPr>
            <w:r w:rsidRPr="00B43F59">
              <w:rPr>
                <w:sz w:val="18"/>
                <w:szCs w:val="18"/>
              </w:rPr>
              <w:t>04</w:t>
            </w:r>
          </w:p>
        </w:tc>
        <w:tc>
          <w:tcPr>
            <w:tcW w:w="606" w:type="pct"/>
            <w:shd w:val="clear" w:color="auto" w:fill="auto"/>
            <w:vAlign w:val="center"/>
          </w:tcPr>
          <w:p w14:paraId="512AB8B7" w14:textId="77777777" w:rsidR="00302BFE" w:rsidRPr="00B43F59" w:rsidRDefault="00302BFE" w:rsidP="00243B15">
            <w:pPr>
              <w:spacing w:after="0"/>
              <w:jc w:val="left"/>
              <w:rPr>
                <w:sz w:val="18"/>
                <w:szCs w:val="18"/>
              </w:rPr>
            </w:pPr>
            <w:r w:rsidRPr="00B43F59">
              <w:rPr>
                <w:sz w:val="18"/>
                <w:szCs w:val="18"/>
              </w:rPr>
              <w:t>0</w:t>
            </w:r>
          </w:p>
          <w:p w14:paraId="6EFD29A2" w14:textId="77777777" w:rsidR="00302BFE" w:rsidRPr="00B43F59" w:rsidRDefault="00302BFE" w:rsidP="00243B15">
            <w:pPr>
              <w:spacing w:after="0"/>
              <w:jc w:val="left"/>
              <w:rPr>
                <w:sz w:val="18"/>
                <w:szCs w:val="18"/>
              </w:rPr>
            </w:pPr>
          </w:p>
          <w:p w14:paraId="01330DF0" w14:textId="77777777" w:rsidR="00302BFE" w:rsidRPr="00B43F59" w:rsidRDefault="00302BFE" w:rsidP="00243B15">
            <w:pPr>
              <w:spacing w:after="0"/>
              <w:jc w:val="left"/>
              <w:rPr>
                <w:sz w:val="18"/>
                <w:szCs w:val="18"/>
              </w:rPr>
            </w:pPr>
          </w:p>
        </w:tc>
        <w:tc>
          <w:tcPr>
            <w:tcW w:w="314" w:type="pct"/>
            <w:gridSpan w:val="2"/>
            <w:shd w:val="clear" w:color="auto" w:fill="auto"/>
            <w:vAlign w:val="center"/>
          </w:tcPr>
          <w:p w14:paraId="1EAA5AD3" w14:textId="77777777" w:rsidR="00302BFE" w:rsidRPr="00B43F59" w:rsidRDefault="00302BFE" w:rsidP="00243B15">
            <w:pPr>
              <w:spacing w:after="0"/>
              <w:jc w:val="left"/>
              <w:rPr>
                <w:sz w:val="18"/>
                <w:szCs w:val="18"/>
              </w:rPr>
            </w:pPr>
            <w:r w:rsidRPr="00B43F59">
              <w:rPr>
                <w:sz w:val="18"/>
                <w:szCs w:val="18"/>
              </w:rPr>
              <w:t>Year 4</w:t>
            </w:r>
          </w:p>
        </w:tc>
        <w:tc>
          <w:tcPr>
            <w:tcW w:w="1047" w:type="pct"/>
            <w:shd w:val="clear" w:color="auto" w:fill="auto"/>
            <w:vAlign w:val="center"/>
          </w:tcPr>
          <w:p w14:paraId="086B11B2" w14:textId="77777777" w:rsidR="00302BFE" w:rsidRPr="00B43F59" w:rsidRDefault="00302BFE" w:rsidP="00243B15">
            <w:pPr>
              <w:contextualSpacing/>
              <w:rPr>
                <w:sz w:val="18"/>
                <w:szCs w:val="18"/>
                <w:lang w:val="en-CA" w:eastAsia="fr-CA"/>
              </w:rPr>
            </w:pPr>
            <w:r w:rsidRPr="00B43F59">
              <w:rPr>
                <w:sz w:val="18"/>
                <w:szCs w:val="18"/>
                <w:lang w:val="en-CA" w:eastAsia="fr-CA"/>
              </w:rPr>
              <w:t xml:space="preserve">Expert </w:t>
            </w:r>
            <w:r w:rsidRPr="00B43F59">
              <w:rPr>
                <w:sz w:val="18"/>
                <w:szCs w:val="18"/>
                <w:lang w:val="en-CA"/>
              </w:rPr>
              <w:t>in marketing of forest products</w:t>
            </w:r>
          </w:p>
          <w:p w14:paraId="0E928BC2" w14:textId="77777777" w:rsidR="00302BFE" w:rsidRPr="00B43F59" w:rsidRDefault="00302BFE" w:rsidP="00243B15">
            <w:pPr>
              <w:contextualSpacing/>
              <w:rPr>
                <w:sz w:val="18"/>
                <w:szCs w:val="18"/>
                <w:lang w:val="en-CA" w:eastAsia="fr-CA"/>
              </w:rPr>
            </w:pPr>
            <w:r w:rsidRPr="00B43F59">
              <w:rPr>
                <w:sz w:val="18"/>
                <w:szCs w:val="18"/>
                <w:lang w:val="en-CA"/>
              </w:rPr>
              <w:t xml:space="preserve">Permanent Secretariat of the National Council for the Promotion of Gender </w:t>
            </w:r>
            <w:r w:rsidRPr="00B43F59">
              <w:rPr>
                <w:sz w:val="18"/>
                <w:szCs w:val="18"/>
                <w:lang w:val="en-CA" w:eastAsia="fr-CA"/>
              </w:rPr>
              <w:t xml:space="preserve">(SP/CONEP </w:t>
            </w:r>
            <w:r w:rsidRPr="00B43F59">
              <w:rPr>
                <w:sz w:val="18"/>
                <w:szCs w:val="18"/>
                <w:lang w:val="en-CA"/>
              </w:rPr>
              <w:t>gender</w:t>
            </w:r>
            <w:r w:rsidRPr="00B43F59">
              <w:rPr>
                <w:sz w:val="18"/>
                <w:szCs w:val="18"/>
                <w:lang w:val="en-CA" w:eastAsia="fr-CA"/>
              </w:rPr>
              <w:t>)</w:t>
            </w:r>
          </w:p>
        </w:tc>
      </w:tr>
      <w:tr w:rsidR="00302BFE" w:rsidRPr="00B43F59" w14:paraId="37DE802A" w14:textId="77777777" w:rsidTr="00243B15">
        <w:trPr>
          <w:gridAfter w:val="1"/>
          <w:wAfter w:w="6" w:type="pct"/>
          <w:trHeight w:val="151"/>
          <w:jc w:val="center"/>
        </w:trPr>
        <w:tc>
          <w:tcPr>
            <w:tcW w:w="1229" w:type="pct"/>
            <w:shd w:val="clear" w:color="auto" w:fill="auto"/>
            <w:vAlign w:val="center"/>
          </w:tcPr>
          <w:p w14:paraId="02DE4B2B" w14:textId="77777777" w:rsidR="00302BFE" w:rsidRPr="00B43F59" w:rsidRDefault="00302BFE" w:rsidP="00243B15">
            <w:pPr>
              <w:spacing w:after="0"/>
              <w:jc w:val="left"/>
              <w:rPr>
                <w:sz w:val="18"/>
                <w:szCs w:val="18"/>
              </w:rPr>
            </w:pPr>
            <w:r w:rsidRPr="00B43F59">
              <w:rPr>
                <w:sz w:val="18"/>
                <w:szCs w:val="18"/>
              </w:rPr>
              <w:t>Conduct a market analysis and develop an action plan to ensure that women have access to incentives to promote sustainable forestry practices, including collection of NTFP (output 3.3.7)</w:t>
            </w:r>
          </w:p>
        </w:tc>
        <w:tc>
          <w:tcPr>
            <w:tcW w:w="1193" w:type="pct"/>
            <w:shd w:val="clear" w:color="auto" w:fill="auto"/>
            <w:vAlign w:val="center"/>
          </w:tcPr>
          <w:p w14:paraId="24F6518E" w14:textId="77777777" w:rsidR="00302BFE" w:rsidRPr="00B43F59" w:rsidRDefault="00302BFE" w:rsidP="00243B15">
            <w:pPr>
              <w:pStyle w:val="Commentaire"/>
              <w:spacing w:after="0"/>
              <w:jc w:val="left"/>
              <w:rPr>
                <w:sz w:val="18"/>
                <w:szCs w:val="18"/>
              </w:rPr>
            </w:pPr>
            <w:r w:rsidRPr="00B43F59">
              <w:rPr>
                <w:sz w:val="18"/>
                <w:szCs w:val="18"/>
              </w:rPr>
              <w:t>Proportion of women with access to microcredit, and markets</w:t>
            </w:r>
          </w:p>
          <w:p w14:paraId="18A374C4" w14:textId="77777777" w:rsidR="00302BFE" w:rsidRPr="00B43F59" w:rsidRDefault="00302BFE" w:rsidP="00243B15">
            <w:pPr>
              <w:spacing w:after="0"/>
              <w:jc w:val="left"/>
              <w:rPr>
                <w:sz w:val="18"/>
                <w:szCs w:val="18"/>
              </w:rPr>
            </w:pPr>
          </w:p>
        </w:tc>
        <w:tc>
          <w:tcPr>
            <w:tcW w:w="605" w:type="pct"/>
            <w:shd w:val="clear" w:color="auto" w:fill="auto"/>
            <w:vAlign w:val="center"/>
          </w:tcPr>
          <w:p w14:paraId="51C35091" w14:textId="77777777" w:rsidR="00302BFE" w:rsidRPr="00B43F59" w:rsidRDefault="00302BFE" w:rsidP="00243B15">
            <w:pPr>
              <w:spacing w:after="0"/>
              <w:jc w:val="left"/>
              <w:rPr>
                <w:sz w:val="18"/>
                <w:szCs w:val="18"/>
              </w:rPr>
            </w:pPr>
            <w:r w:rsidRPr="00B43F59">
              <w:rPr>
                <w:sz w:val="18"/>
                <w:szCs w:val="18"/>
              </w:rPr>
              <w:t>Minimum of 40% of beneficiaries of incentives and access to markets to promote NTFP, and conservation-oriented agriculture practices are women</w:t>
            </w:r>
          </w:p>
        </w:tc>
        <w:tc>
          <w:tcPr>
            <w:tcW w:w="606" w:type="pct"/>
            <w:shd w:val="clear" w:color="auto" w:fill="auto"/>
            <w:vAlign w:val="center"/>
          </w:tcPr>
          <w:p w14:paraId="4CF6A633" w14:textId="77777777" w:rsidR="00302BFE" w:rsidRPr="00B43F59" w:rsidRDefault="00302BFE" w:rsidP="00243B15">
            <w:pPr>
              <w:spacing w:after="0"/>
              <w:jc w:val="left"/>
              <w:rPr>
                <w:sz w:val="18"/>
                <w:szCs w:val="18"/>
              </w:rPr>
            </w:pPr>
            <w:r w:rsidRPr="00B43F59">
              <w:rPr>
                <w:sz w:val="18"/>
                <w:szCs w:val="18"/>
              </w:rPr>
              <w:t>Access to incentives and markets for NTFP as a result of the project yet to commence</w:t>
            </w:r>
          </w:p>
        </w:tc>
        <w:tc>
          <w:tcPr>
            <w:tcW w:w="314" w:type="pct"/>
            <w:gridSpan w:val="2"/>
            <w:shd w:val="clear" w:color="auto" w:fill="auto"/>
            <w:vAlign w:val="center"/>
          </w:tcPr>
          <w:p w14:paraId="2D52DAAE" w14:textId="77777777" w:rsidR="00302BFE" w:rsidRPr="00B43F59" w:rsidRDefault="00302BFE" w:rsidP="00243B15">
            <w:pPr>
              <w:spacing w:after="0"/>
              <w:jc w:val="left"/>
              <w:rPr>
                <w:sz w:val="18"/>
                <w:szCs w:val="18"/>
              </w:rPr>
            </w:pPr>
            <w:r w:rsidRPr="00B43F59">
              <w:rPr>
                <w:sz w:val="18"/>
                <w:szCs w:val="18"/>
              </w:rPr>
              <w:t>Years 2 to 4</w:t>
            </w:r>
          </w:p>
        </w:tc>
        <w:tc>
          <w:tcPr>
            <w:tcW w:w="1047" w:type="pct"/>
            <w:shd w:val="clear" w:color="auto" w:fill="auto"/>
            <w:vAlign w:val="center"/>
          </w:tcPr>
          <w:p w14:paraId="5E9C0B1E" w14:textId="77777777" w:rsidR="00302BFE" w:rsidRPr="00B43F59" w:rsidRDefault="00302BFE" w:rsidP="00243B15">
            <w:pPr>
              <w:spacing w:after="0"/>
              <w:jc w:val="left"/>
              <w:rPr>
                <w:sz w:val="18"/>
                <w:szCs w:val="18"/>
              </w:rPr>
            </w:pPr>
            <w:r w:rsidRPr="00B43F59">
              <w:rPr>
                <w:sz w:val="18"/>
                <w:szCs w:val="18"/>
              </w:rPr>
              <w:t>Company providing certification-related services</w:t>
            </w:r>
          </w:p>
          <w:p w14:paraId="236369CC" w14:textId="77777777" w:rsidR="00302BFE" w:rsidRPr="00B43F59" w:rsidRDefault="00302BFE" w:rsidP="00243B15">
            <w:pPr>
              <w:spacing w:after="0"/>
              <w:jc w:val="left"/>
              <w:rPr>
                <w:sz w:val="18"/>
                <w:szCs w:val="18"/>
              </w:rPr>
            </w:pPr>
            <w:r w:rsidRPr="00B43F59">
              <w:rPr>
                <w:sz w:val="18"/>
                <w:szCs w:val="18"/>
              </w:rPr>
              <w:t>Financial Expert</w:t>
            </w:r>
          </w:p>
        </w:tc>
      </w:tr>
      <w:tr w:rsidR="00302BFE" w:rsidRPr="00B43F59" w14:paraId="2A89FCD0" w14:textId="77777777" w:rsidTr="00243B15">
        <w:trPr>
          <w:gridAfter w:val="1"/>
          <w:wAfter w:w="6" w:type="pct"/>
          <w:trHeight w:val="980"/>
          <w:jc w:val="center"/>
        </w:trPr>
        <w:tc>
          <w:tcPr>
            <w:tcW w:w="1229" w:type="pct"/>
            <w:shd w:val="clear" w:color="auto" w:fill="auto"/>
            <w:vAlign w:val="center"/>
          </w:tcPr>
          <w:p w14:paraId="6DE7A8EA" w14:textId="77777777" w:rsidR="00302BFE" w:rsidRPr="00B43F59" w:rsidRDefault="00302BFE" w:rsidP="00243B15">
            <w:pPr>
              <w:spacing w:after="0"/>
              <w:jc w:val="left"/>
              <w:rPr>
                <w:sz w:val="18"/>
                <w:szCs w:val="18"/>
              </w:rPr>
            </w:pPr>
            <w:r w:rsidRPr="00B43F59">
              <w:rPr>
                <w:sz w:val="18"/>
                <w:szCs w:val="18"/>
              </w:rPr>
              <w:t>Provide training to men and women in microcredit and microenterprise development (output 3.3.4)</w:t>
            </w:r>
          </w:p>
        </w:tc>
        <w:tc>
          <w:tcPr>
            <w:tcW w:w="1193" w:type="pct"/>
            <w:shd w:val="clear" w:color="auto" w:fill="auto"/>
            <w:vAlign w:val="center"/>
          </w:tcPr>
          <w:p w14:paraId="6B481B28" w14:textId="77777777" w:rsidR="00302BFE" w:rsidRPr="00B43F59" w:rsidRDefault="00302BFE" w:rsidP="00243B15">
            <w:pPr>
              <w:spacing w:after="0"/>
              <w:jc w:val="left"/>
              <w:rPr>
                <w:sz w:val="18"/>
                <w:szCs w:val="18"/>
              </w:rPr>
            </w:pPr>
            <w:r w:rsidRPr="00B43F59">
              <w:rPr>
                <w:sz w:val="18"/>
                <w:szCs w:val="18"/>
              </w:rPr>
              <w:t>Percent of women benefiting from training</w:t>
            </w:r>
          </w:p>
        </w:tc>
        <w:tc>
          <w:tcPr>
            <w:tcW w:w="605" w:type="pct"/>
            <w:shd w:val="clear" w:color="auto" w:fill="auto"/>
            <w:vAlign w:val="center"/>
          </w:tcPr>
          <w:p w14:paraId="4846BB00" w14:textId="77777777" w:rsidR="00302BFE" w:rsidRPr="00B43F59" w:rsidRDefault="00302BFE" w:rsidP="00243B15">
            <w:pPr>
              <w:spacing w:after="0"/>
              <w:jc w:val="left"/>
              <w:rPr>
                <w:sz w:val="18"/>
                <w:szCs w:val="18"/>
                <w:lang w:val="en-CA"/>
              </w:rPr>
            </w:pPr>
            <w:r w:rsidRPr="00B43F59">
              <w:rPr>
                <w:bCs/>
                <w:sz w:val="18"/>
                <w:szCs w:val="18"/>
                <w:lang w:val="en-CA"/>
              </w:rPr>
              <w:t>At least 75% of beneficiaries of trainings in microcredit and microenterprise development are women</w:t>
            </w:r>
          </w:p>
        </w:tc>
        <w:tc>
          <w:tcPr>
            <w:tcW w:w="606" w:type="pct"/>
            <w:shd w:val="clear" w:color="auto" w:fill="auto"/>
            <w:vAlign w:val="center"/>
          </w:tcPr>
          <w:p w14:paraId="5C80D760" w14:textId="77777777" w:rsidR="00302BFE" w:rsidRPr="00B43F59" w:rsidRDefault="00302BFE" w:rsidP="00243B15">
            <w:pPr>
              <w:spacing w:after="0"/>
              <w:jc w:val="left"/>
              <w:rPr>
                <w:sz w:val="18"/>
                <w:szCs w:val="18"/>
              </w:rPr>
            </w:pPr>
            <w:r w:rsidRPr="00B43F59">
              <w:rPr>
                <w:sz w:val="18"/>
                <w:szCs w:val="18"/>
              </w:rPr>
              <w:t>Training not started</w:t>
            </w:r>
          </w:p>
        </w:tc>
        <w:tc>
          <w:tcPr>
            <w:tcW w:w="314" w:type="pct"/>
            <w:gridSpan w:val="2"/>
            <w:shd w:val="clear" w:color="auto" w:fill="auto"/>
            <w:vAlign w:val="center"/>
          </w:tcPr>
          <w:p w14:paraId="55D358B0" w14:textId="77777777" w:rsidR="00302BFE" w:rsidRPr="00B43F59" w:rsidRDefault="00302BFE" w:rsidP="00243B15">
            <w:pPr>
              <w:spacing w:after="0"/>
              <w:jc w:val="left"/>
              <w:rPr>
                <w:sz w:val="18"/>
                <w:szCs w:val="18"/>
              </w:rPr>
            </w:pPr>
            <w:r w:rsidRPr="00B43F59">
              <w:rPr>
                <w:sz w:val="18"/>
                <w:szCs w:val="18"/>
              </w:rPr>
              <w:t>Years 1 to 3</w:t>
            </w:r>
          </w:p>
        </w:tc>
        <w:tc>
          <w:tcPr>
            <w:tcW w:w="1047" w:type="pct"/>
            <w:shd w:val="clear" w:color="auto" w:fill="auto"/>
            <w:vAlign w:val="center"/>
          </w:tcPr>
          <w:p w14:paraId="27FE3779" w14:textId="77777777" w:rsidR="00302BFE" w:rsidRPr="00B43F59" w:rsidRDefault="00302BFE" w:rsidP="00243B15">
            <w:pPr>
              <w:spacing w:after="0"/>
              <w:jc w:val="left"/>
              <w:rPr>
                <w:sz w:val="18"/>
                <w:szCs w:val="18"/>
              </w:rPr>
            </w:pPr>
            <w:r w:rsidRPr="00B43F59">
              <w:rPr>
                <w:sz w:val="18"/>
                <w:szCs w:val="18"/>
              </w:rPr>
              <w:t xml:space="preserve">Company providing training services with support from project </w:t>
            </w:r>
          </w:p>
          <w:p w14:paraId="5EA2E722" w14:textId="77777777" w:rsidR="00302BFE" w:rsidRPr="00B43F59" w:rsidRDefault="00302BFE" w:rsidP="00243B15">
            <w:pPr>
              <w:spacing w:after="0"/>
              <w:jc w:val="left"/>
              <w:rPr>
                <w:sz w:val="18"/>
                <w:szCs w:val="18"/>
              </w:rPr>
            </w:pPr>
            <w:r w:rsidRPr="00B43F59">
              <w:rPr>
                <w:sz w:val="18"/>
                <w:szCs w:val="18"/>
              </w:rPr>
              <w:t>Gender Expert</w:t>
            </w:r>
          </w:p>
        </w:tc>
      </w:tr>
      <w:tr w:rsidR="00302BFE" w:rsidRPr="00B43F59" w14:paraId="02D85722" w14:textId="77777777" w:rsidTr="00243B15">
        <w:trPr>
          <w:gridAfter w:val="1"/>
          <w:wAfter w:w="6" w:type="pct"/>
          <w:trHeight w:val="980"/>
          <w:jc w:val="center"/>
        </w:trPr>
        <w:tc>
          <w:tcPr>
            <w:tcW w:w="1229" w:type="pct"/>
            <w:shd w:val="clear" w:color="auto" w:fill="auto"/>
            <w:vAlign w:val="center"/>
          </w:tcPr>
          <w:p w14:paraId="0AB47BE7" w14:textId="77777777" w:rsidR="00302BFE" w:rsidRPr="00B43F59" w:rsidRDefault="00302BFE" w:rsidP="00243B15">
            <w:pPr>
              <w:spacing w:after="0"/>
              <w:jc w:val="left"/>
              <w:rPr>
                <w:sz w:val="18"/>
                <w:szCs w:val="18"/>
              </w:rPr>
            </w:pPr>
            <w:r w:rsidRPr="00B43F59">
              <w:rPr>
                <w:sz w:val="18"/>
                <w:szCs w:val="18"/>
              </w:rPr>
              <w:t>Capacity building and support for women-owned NTFP processing and ecotourism small business receiving technical assistance in production, labeling, and marketing (output 3.3.4)</w:t>
            </w:r>
          </w:p>
        </w:tc>
        <w:tc>
          <w:tcPr>
            <w:tcW w:w="1193" w:type="pct"/>
            <w:shd w:val="clear" w:color="auto" w:fill="auto"/>
            <w:vAlign w:val="center"/>
          </w:tcPr>
          <w:p w14:paraId="4901F335" w14:textId="77777777" w:rsidR="00302BFE" w:rsidRPr="00B43F59" w:rsidRDefault="00302BFE" w:rsidP="00243B15">
            <w:pPr>
              <w:spacing w:after="0"/>
              <w:jc w:val="left"/>
              <w:rPr>
                <w:sz w:val="18"/>
                <w:szCs w:val="18"/>
              </w:rPr>
            </w:pPr>
            <w:r w:rsidRPr="00B43F59">
              <w:rPr>
                <w:sz w:val="18"/>
                <w:szCs w:val="18"/>
              </w:rPr>
              <w:t>Number of women-owned NTFP processing and ecotourism small business receiving technical assistance</w:t>
            </w:r>
          </w:p>
        </w:tc>
        <w:tc>
          <w:tcPr>
            <w:tcW w:w="605" w:type="pct"/>
            <w:shd w:val="clear" w:color="auto" w:fill="auto"/>
            <w:vAlign w:val="center"/>
          </w:tcPr>
          <w:p w14:paraId="6ADC0B1F" w14:textId="77777777" w:rsidR="00302BFE" w:rsidRPr="00B43F59" w:rsidDel="00743055" w:rsidRDefault="00302BFE" w:rsidP="00243B15">
            <w:pPr>
              <w:spacing w:after="0"/>
              <w:jc w:val="left"/>
              <w:rPr>
                <w:sz w:val="18"/>
                <w:szCs w:val="18"/>
              </w:rPr>
            </w:pPr>
            <w:r w:rsidRPr="00B43F59">
              <w:rPr>
                <w:sz w:val="18"/>
                <w:szCs w:val="18"/>
              </w:rPr>
              <w:t>4</w:t>
            </w:r>
          </w:p>
        </w:tc>
        <w:tc>
          <w:tcPr>
            <w:tcW w:w="606" w:type="pct"/>
            <w:shd w:val="clear" w:color="auto" w:fill="auto"/>
            <w:vAlign w:val="center"/>
          </w:tcPr>
          <w:p w14:paraId="16A3A06C" w14:textId="77777777" w:rsidR="00302BFE" w:rsidRPr="00B43F59" w:rsidRDefault="00302BFE" w:rsidP="00243B15">
            <w:pPr>
              <w:spacing w:after="0"/>
              <w:jc w:val="left"/>
              <w:rPr>
                <w:sz w:val="18"/>
                <w:szCs w:val="18"/>
              </w:rPr>
            </w:pPr>
            <w:r w:rsidRPr="00B43F59">
              <w:rPr>
                <w:sz w:val="18"/>
                <w:szCs w:val="18"/>
              </w:rPr>
              <w:t xml:space="preserve">0 </w:t>
            </w:r>
          </w:p>
        </w:tc>
        <w:tc>
          <w:tcPr>
            <w:tcW w:w="314" w:type="pct"/>
            <w:gridSpan w:val="2"/>
            <w:shd w:val="clear" w:color="auto" w:fill="auto"/>
            <w:vAlign w:val="center"/>
          </w:tcPr>
          <w:p w14:paraId="1E4E01F7" w14:textId="77777777" w:rsidR="00302BFE" w:rsidRPr="00B43F59" w:rsidRDefault="00302BFE" w:rsidP="00243B15">
            <w:pPr>
              <w:spacing w:after="0"/>
              <w:jc w:val="left"/>
              <w:rPr>
                <w:sz w:val="18"/>
                <w:szCs w:val="18"/>
              </w:rPr>
            </w:pPr>
            <w:r w:rsidRPr="00B43F59">
              <w:rPr>
                <w:sz w:val="18"/>
                <w:szCs w:val="18"/>
              </w:rPr>
              <w:t>Years 1 to 4</w:t>
            </w:r>
          </w:p>
        </w:tc>
        <w:tc>
          <w:tcPr>
            <w:tcW w:w="1047" w:type="pct"/>
            <w:shd w:val="clear" w:color="auto" w:fill="auto"/>
            <w:vAlign w:val="center"/>
          </w:tcPr>
          <w:p w14:paraId="31AE1315" w14:textId="77777777" w:rsidR="00302BFE" w:rsidRPr="00B43F59" w:rsidRDefault="00302BFE" w:rsidP="00243B15">
            <w:pPr>
              <w:spacing w:after="0"/>
              <w:jc w:val="left"/>
              <w:rPr>
                <w:sz w:val="18"/>
                <w:szCs w:val="18"/>
              </w:rPr>
            </w:pPr>
            <w:r w:rsidRPr="00B43F59">
              <w:rPr>
                <w:sz w:val="18"/>
                <w:szCs w:val="18"/>
              </w:rPr>
              <w:t>Company to improve the competitiveness of small community-based businesses</w:t>
            </w:r>
          </w:p>
          <w:p w14:paraId="7E1EE8DD" w14:textId="77777777" w:rsidR="00302BFE" w:rsidRPr="00B43F59" w:rsidRDefault="00302BFE" w:rsidP="00243B15">
            <w:pPr>
              <w:spacing w:after="0"/>
              <w:jc w:val="left"/>
              <w:rPr>
                <w:sz w:val="18"/>
                <w:szCs w:val="18"/>
              </w:rPr>
            </w:pPr>
            <w:r w:rsidRPr="00B43F59">
              <w:rPr>
                <w:sz w:val="18"/>
                <w:szCs w:val="18"/>
              </w:rPr>
              <w:t>Gender Expert</w:t>
            </w:r>
          </w:p>
        </w:tc>
      </w:tr>
      <w:tr w:rsidR="00302BFE" w:rsidRPr="00B43F59" w14:paraId="6F4D422C" w14:textId="77777777" w:rsidTr="00243B15">
        <w:trPr>
          <w:jc w:val="center"/>
        </w:trPr>
        <w:tc>
          <w:tcPr>
            <w:tcW w:w="5000" w:type="pct"/>
            <w:gridSpan w:val="8"/>
            <w:shd w:val="clear" w:color="auto" w:fill="auto"/>
            <w:vAlign w:val="center"/>
          </w:tcPr>
          <w:p w14:paraId="409355BE" w14:textId="77777777" w:rsidR="00302BFE" w:rsidRPr="00363257" w:rsidRDefault="00302BFE" w:rsidP="00243B15">
            <w:pPr>
              <w:spacing w:after="0"/>
              <w:jc w:val="left"/>
              <w:rPr>
                <w:b/>
                <w:sz w:val="18"/>
                <w:szCs w:val="18"/>
                <w:lang w:val="en-CA"/>
              </w:rPr>
            </w:pPr>
            <w:r w:rsidRPr="00363257">
              <w:rPr>
                <w:b/>
                <w:sz w:val="18"/>
                <w:szCs w:val="18"/>
                <w:lang w:val="en-CA"/>
              </w:rPr>
              <w:t>Output 3.4 Strengthened capacities for better sharing of tourism benefits with local communities in the PONASI landscape</w:t>
            </w:r>
          </w:p>
        </w:tc>
      </w:tr>
      <w:tr w:rsidR="00302BFE" w:rsidRPr="00B43F59" w14:paraId="6E3E86D6" w14:textId="77777777" w:rsidTr="00243B15">
        <w:trPr>
          <w:gridAfter w:val="1"/>
          <w:wAfter w:w="6" w:type="pct"/>
          <w:jc w:val="center"/>
        </w:trPr>
        <w:tc>
          <w:tcPr>
            <w:tcW w:w="1229" w:type="pct"/>
            <w:shd w:val="clear" w:color="auto" w:fill="auto"/>
            <w:vAlign w:val="center"/>
          </w:tcPr>
          <w:p w14:paraId="01F09543" w14:textId="77777777" w:rsidR="00302BFE" w:rsidRPr="00B43F59" w:rsidRDefault="00302BFE" w:rsidP="00243B15">
            <w:pPr>
              <w:spacing w:after="0"/>
              <w:jc w:val="left"/>
              <w:rPr>
                <w:sz w:val="18"/>
                <w:szCs w:val="18"/>
                <w:lang w:val="en-CA"/>
              </w:rPr>
            </w:pPr>
            <w:r w:rsidRPr="00B43F59">
              <w:rPr>
                <w:sz w:val="18"/>
                <w:szCs w:val="18"/>
                <w:lang w:val="en-CA"/>
              </w:rPr>
              <w:lastRenderedPageBreak/>
              <w:t>Establish a gender-sensitive sustainable tourism development strategy for the PONASI landscape (output 3.4.1)</w:t>
            </w:r>
          </w:p>
        </w:tc>
        <w:tc>
          <w:tcPr>
            <w:tcW w:w="1193" w:type="pct"/>
            <w:shd w:val="clear" w:color="auto" w:fill="auto"/>
            <w:vAlign w:val="center"/>
          </w:tcPr>
          <w:p w14:paraId="059AE7D0" w14:textId="77777777" w:rsidR="00302BFE" w:rsidRPr="00B43F59" w:rsidRDefault="00302BFE" w:rsidP="00243B15">
            <w:pPr>
              <w:spacing w:after="0"/>
              <w:jc w:val="left"/>
              <w:rPr>
                <w:sz w:val="18"/>
                <w:szCs w:val="18"/>
                <w:lang w:val="en-CA"/>
              </w:rPr>
            </w:pPr>
            <w:r w:rsidRPr="00B43F59">
              <w:rPr>
                <w:sz w:val="18"/>
                <w:szCs w:val="18"/>
                <w:lang w:val="en-CA"/>
              </w:rPr>
              <w:t>Existence of a gender-sensitive sustainable tourism development strategy for the PONASI landscape</w:t>
            </w:r>
          </w:p>
        </w:tc>
        <w:tc>
          <w:tcPr>
            <w:tcW w:w="605" w:type="pct"/>
            <w:shd w:val="clear" w:color="auto" w:fill="auto"/>
            <w:vAlign w:val="center"/>
          </w:tcPr>
          <w:p w14:paraId="22BBBA15" w14:textId="77777777" w:rsidR="00302BFE" w:rsidRPr="00B43F59" w:rsidRDefault="00302BFE" w:rsidP="00243B15">
            <w:pPr>
              <w:spacing w:after="0"/>
              <w:jc w:val="left"/>
              <w:rPr>
                <w:sz w:val="18"/>
                <w:szCs w:val="18"/>
              </w:rPr>
            </w:pPr>
            <w:r w:rsidRPr="00B43F59">
              <w:rPr>
                <w:sz w:val="18"/>
                <w:szCs w:val="18"/>
              </w:rPr>
              <w:t xml:space="preserve">01 strategy </w:t>
            </w:r>
          </w:p>
        </w:tc>
        <w:tc>
          <w:tcPr>
            <w:tcW w:w="606" w:type="pct"/>
            <w:shd w:val="clear" w:color="auto" w:fill="auto"/>
            <w:vAlign w:val="center"/>
          </w:tcPr>
          <w:p w14:paraId="16DE85D9" w14:textId="77777777" w:rsidR="00302BFE" w:rsidRPr="00B43F59" w:rsidRDefault="00302BFE" w:rsidP="00243B15">
            <w:pPr>
              <w:spacing w:after="0"/>
              <w:jc w:val="left"/>
              <w:rPr>
                <w:sz w:val="18"/>
                <w:szCs w:val="18"/>
              </w:rPr>
            </w:pPr>
            <w:r w:rsidRPr="00B43F59">
              <w:rPr>
                <w:sz w:val="18"/>
                <w:szCs w:val="18"/>
              </w:rPr>
              <w:t>0</w:t>
            </w:r>
          </w:p>
        </w:tc>
        <w:tc>
          <w:tcPr>
            <w:tcW w:w="314" w:type="pct"/>
            <w:gridSpan w:val="2"/>
            <w:shd w:val="clear" w:color="auto" w:fill="auto"/>
            <w:vAlign w:val="center"/>
          </w:tcPr>
          <w:p w14:paraId="71C19255" w14:textId="77777777" w:rsidR="00302BFE" w:rsidRPr="00B43F59" w:rsidRDefault="00302BFE" w:rsidP="00243B15">
            <w:pPr>
              <w:spacing w:after="0"/>
              <w:jc w:val="left"/>
              <w:rPr>
                <w:sz w:val="18"/>
                <w:szCs w:val="18"/>
              </w:rPr>
            </w:pPr>
            <w:r w:rsidRPr="00B43F59">
              <w:rPr>
                <w:sz w:val="18"/>
                <w:szCs w:val="18"/>
              </w:rPr>
              <w:t>Years 2 to 3</w:t>
            </w:r>
          </w:p>
        </w:tc>
        <w:tc>
          <w:tcPr>
            <w:tcW w:w="1047" w:type="pct"/>
            <w:shd w:val="clear" w:color="auto" w:fill="auto"/>
            <w:vAlign w:val="center"/>
          </w:tcPr>
          <w:p w14:paraId="2A17CDCA" w14:textId="77777777" w:rsidR="00302BFE" w:rsidRPr="009E7670" w:rsidRDefault="00302BFE" w:rsidP="00243B15">
            <w:pPr>
              <w:spacing w:after="0"/>
              <w:jc w:val="left"/>
              <w:rPr>
                <w:sz w:val="18"/>
                <w:szCs w:val="18"/>
              </w:rPr>
            </w:pPr>
            <w:r w:rsidRPr="009E7670">
              <w:rPr>
                <w:sz w:val="18"/>
                <w:szCs w:val="18"/>
              </w:rPr>
              <w:t>Ministry of Culture, Arts and Tourism</w:t>
            </w:r>
          </w:p>
        </w:tc>
      </w:tr>
      <w:tr w:rsidR="00302BFE" w:rsidRPr="00B43F59" w14:paraId="04C4E81C" w14:textId="77777777" w:rsidTr="00243B15">
        <w:trPr>
          <w:gridAfter w:val="1"/>
          <w:wAfter w:w="6" w:type="pct"/>
          <w:jc w:val="center"/>
        </w:trPr>
        <w:tc>
          <w:tcPr>
            <w:tcW w:w="1229" w:type="pct"/>
            <w:shd w:val="clear" w:color="auto" w:fill="auto"/>
            <w:vAlign w:val="center"/>
          </w:tcPr>
          <w:p w14:paraId="6FC7B261" w14:textId="77777777" w:rsidR="00302BFE" w:rsidRPr="00B43F59" w:rsidRDefault="00302BFE" w:rsidP="00243B15">
            <w:pPr>
              <w:spacing w:after="0"/>
              <w:jc w:val="left"/>
              <w:rPr>
                <w:sz w:val="18"/>
                <w:szCs w:val="18"/>
                <w:lang w:val="en-CA"/>
              </w:rPr>
            </w:pPr>
            <w:r w:rsidRPr="00B43F59">
              <w:rPr>
                <w:sz w:val="18"/>
                <w:szCs w:val="18"/>
                <w:lang w:val="en-CA"/>
              </w:rPr>
              <w:t>Develop a gender-sensitive capacity building and training program in tourism and hospitality (output 3.4.3)</w:t>
            </w:r>
          </w:p>
        </w:tc>
        <w:tc>
          <w:tcPr>
            <w:tcW w:w="1193" w:type="pct"/>
            <w:shd w:val="clear" w:color="auto" w:fill="auto"/>
            <w:vAlign w:val="center"/>
          </w:tcPr>
          <w:p w14:paraId="5B133024" w14:textId="77777777" w:rsidR="00302BFE" w:rsidRPr="00B43F59" w:rsidRDefault="00302BFE" w:rsidP="00243B15">
            <w:pPr>
              <w:spacing w:after="0"/>
              <w:jc w:val="left"/>
              <w:rPr>
                <w:sz w:val="18"/>
                <w:szCs w:val="18"/>
                <w:lang w:val="en-CA"/>
              </w:rPr>
            </w:pPr>
            <w:r w:rsidRPr="00B43F59">
              <w:rPr>
                <w:sz w:val="18"/>
                <w:szCs w:val="18"/>
                <w:lang w:val="en-CA"/>
              </w:rPr>
              <w:t>Existence of a gender-sensitive capacity building and training program in tourism and hospitality</w:t>
            </w:r>
          </w:p>
        </w:tc>
        <w:tc>
          <w:tcPr>
            <w:tcW w:w="605" w:type="pct"/>
            <w:shd w:val="clear" w:color="auto" w:fill="auto"/>
            <w:vAlign w:val="center"/>
          </w:tcPr>
          <w:p w14:paraId="0A2ACD7E" w14:textId="77777777" w:rsidR="00302BFE" w:rsidRPr="00B43F59" w:rsidRDefault="00302BFE" w:rsidP="00243B15">
            <w:pPr>
              <w:spacing w:after="0"/>
              <w:jc w:val="left"/>
              <w:rPr>
                <w:sz w:val="18"/>
                <w:szCs w:val="18"/>
              </w:rPr>
            </w:pPr>
            <w:r w:rsidRPr="00B43F59">
              <w:rPr>
                <w:sz w:val="18"/>
                <w:szCs w:val="18"/>
              </w:rPr>
              <w:t>01 strategy</w:t>
            </w:r>
          </w:p>
        </w:tc>
        <w:tc>
          <w:tcPr>
            <w:tcW w:w="606" w:type="pct"/>
            <w:shd w:val="clear" w:color="auto" w:fill="auto"/>
            <w:vAlign w:val="center"/>
          </w:tcPr>
          <w:p w14:paraId="271A0A48" w14:textId="77777777" w:rsidR="00302BFE" w:rsidRPr="00B43F59" w:rsidRDefault="00302BFE" w:rsidP="00243B15">
            <w:pPr>
              <w:spacing w:after="0"/>
              <w:jc w:val="left"/>
              <w:rPr>
                <w:sz w:val="18"/>
                <w:szCs w:val="18"/>
              </w:rPr>
            </w:pPr>
            <w:r w:rsidRPr="00B43F59">
              <w:rPr>
                <w:sz w:val="18"/>
                <w:szCs w:val="18"/>
              </w:rPr>
              <w:t>0</w:t>
            </w:r>
          </w:p>
        </w:tc>
        <w:tc>
          <w:tcPr>
            <w:tcW w:w="314" w:type="pct"/>
            <w:gridSpan w:val="2"/>
            <w:shd w:val="clear" w:color="auto" w:fill="auto"/>
            <w:vAlign w:val="center"/>
          </w:tcPr>
          <w:p w14:paraId="2D0925C7" w14:textId="77777777" w:rsidR="00302BFE" w:rsidRPr="00B43F59" w:rsidRDefault="00302BFE" w:rsidP="00243B15">
            <w:pPr>
              <w:spacing w:after="0"/>
              <w:jc w:val="left"/>
              <w:rPr>
                <w:sz w:val="18"/>
                <w:szCs w:val="18"/>
              </w:rPr>
            </w:pPr>
            <w:r w:rsidRPr="00B43F59">
              <w:rPr>
                <w:sz w:val="18"/>
                <w:szCs w:val="18"/>
              </w:rPr>
              <w:t>Years 2 to 3</w:t>
            </w:r>
          </w:p>
        </w:tc>
        <w:tc>
          <w:tcPr>
            <w:tcW w:w="1047" w:type="pct"/>
            <w:shd w:val="clear" w:color="auto" w:fill="auto"/>
            <w:vAlign w:val="center"/>
          </w:tcPr>
          <w:p w14:paraId="52FB10EB" w14:textId="77777777" w:rsidR="00302BFE" w:rsidRPr="009E7670" w:rsidRDefault="00302BFE" w:rsidP="00243B15">
            <w:pPr>
              <w:spacing w:after="0"/>
              <w:jc w:val="left"/>
              <w:rPr>
                <w:sz w:val="18"/>
                <w:szCs w:val="18"/>
              </w:rPr>
            </w:pPr>
            <w:r w:rsidRPr="009E7670">
              <w:rPr>
                <w:sz w:val="18"/>
                <w:szCs w:val="18"/>
              </w:rPr>
              <w:t>Ministry of Culture, Arts and Tourism</w:t>
            </w:r>
          </w:p>
        </w:tc>
      </w:tr>
      <w:tr w:rsidR="00302BFE" w:rsidRPr="00B43F59" w14:paraId="7F976090" w14:textId="77777777" w:rsidTr="00243B15">
        <w:trPr>
          <w:gridAfter w:val="1"/>
          <w:wAfter w:w="6" w:type="pct"/>
          <w:trHeight w:val="621"/>
          <w:jc w:val="center"/>
        </w:trPr>
        <w:tc>
          <w:tcPr>
            <w:tcW w:w="1229" w:type="pct"/>
            <w:shd w:val="clear" w:color="auto" w:fill="auto"/>
            <w:vAlign w:val="center"/>
          </w:tcPr>
          <w:p w14:paraId="11091A65" w14:textId="77777777" w:rsidR="00302BFE" w:rsidRPr="00B43F59" w:rsidRDefault="00302BFE" w:rsidP="00243B15">
            <w:pPr>
              <w:spacing w:after="0"/>
              <w:jc w:val="left"/>
              <w:rPr>
                <w:sz w:val="18"/>
                <w:szCs w:val="18"/>
              </w:rPr>
            </w:pPr>
            <w:r w:rsidRPr="009E7670">
              <w:rPr>
                <w:sz w:val="18"/>
                <w:szCs w:val="18"/>
                <w:lang w:val="en-CA"/>
              </w:rPr>
              <w:t>Grants are allocated to tourism-related small and micro-businesses owned by women (output 3.4.4)</w:t>
            </w:r>
          </w:p>
        </w:tc>
        <w:tc>
          <w:tcPr>
            <w:tcW w:w="1193" w:type="pct"/>
            <w:shd w:val="clear" w:color="auto" w:fill="auto"/>
            <w:vAlign w:val="center"/>
          </w:tcPr>
          <w:p w14:paraId="25464C37" w14:textId="77777777" w:rsidR="00302BFE" w:rsidRPr="00B43F59" w:rsidRDefault="00302BFE" w:rsidP="00243B15">
            <w:pPr>
              <w:keepNext/>
              <w:keepLines/>
              <w:spacing w:after="0"/>
              <w:jc w:val="left"/>
              <w:outlineLvl w:val="6"/>
              <w:rPr>
                <w:sz w:val="18"/>
                <w:szCs w:val="18"/>
              </w:rPr>
            </w:pPr>
            <w:r w:rsidRPr="00B43F59">
              <w:rPr>
                <w:sz w:val="18"/>
                <w:szCs w:val="18"/>
              </w:rPr>
              <w:t xml:space="preserve">Proportion of grant beneficiaries who are women </w:t>
            </w:r>
          </w:p>
        </w:tc>
        <w:tc>
          <w:tcPr>
            <w:tcW w:w="605" w:type="pct"/>
            <w:shd w:val="clear" w:color="auto" w:fill="auto"/>
            <w:vAlign w:val="center"/>
          </w:tcPr>
          <w:p w14:paraId="14E6A450" w14:textId="77777777" w:rsidR="00302BFE" w:rsidRPr="00B43F59" w:rsidRDefault="00302BFE" w:rsidP="00243B15">
            <w:pPr>
              <w:spacing w:after="0"/>
              <w:jc w:val="left"/>
              <w:rPr>
                <w:sz w:val="18"/>
                <w:szCs w:val="18"/>
              </w:rPr>
            </w:pPr>
            <w:r w:rsidRPr="00B43F59">
              <w:rPr>
                <w:sz w:val="18"/>
                <w:szCs w:val="18"/>
              </w:rPr>
              <w:t>75%</w:t>
            </w:r>
          </w:p>
          <w:p w14:paraId="6F3A4BBB" w14:textId="77777777" w:rsidR="00302BFE" w:rsidRPr="00B43F59" w:rsidRDefault="00302BFE" w:rsidP="00243B15">
            <w:pPr>
              <w:spacing w:after="0"/>
              <w:jc w:val="left"/>
              <w:rPr>
                <w:sz w:val="18"/>
                <w:szCs w:val="18"/>
              </w:rPr>
            </w:pPr>
          </w:p>
        </w:tc>
        <w:tc>
          <w:tcPr>
            <w:tcW w:w="606" w:type="pct"/>
            <w:shd w:val="clear" w:color="auto" w:fill="auto"/>
            <w:vAlign w:val="center"/>
          </w:tcPr>
          <w:p w14:paraId="2A782764" w14:textId="77777777" w:rsidR="00302BFE" w:rsidRPr="00B43F59" w:rsidRDefault="00302BFE" w:rsidP="00243B15">
            <w:pPr>
              <w:spacing w:after="0"/>
              <w:jc w:val="left"/>
              <w:rPr>
                <w:sz w:val="18"/>
                <w:szCs w:val="18"/>
              </w:rPr>
            </w:pPr>
            <w:r w:rsidRPr="00B43F59">
              <w:rPr>
                <w:sz w:val="18"/>
                <w:szCs w:val="18"/>
              </w:rPr>
              <w:t xml:space="preserve">0 </w:t>
            </w:r>
          </w:p>
        </w:tc>
        <w:tc>
          <w:tcPr>
            <w:tcW w:w="314" w:type="pct"/>
            <w:gridSpan w:val="2"/>
            <w:shd w:val="clear" w:color="auto" w:fill="auto"/>
            <w:vAlign w:val="center"/>
          </w:tcPr>
          <w:p w14:paraId="5E8BF4E1" w14:textId="77777777" w:rsidR="00302BFE" w:rsidRPr="00B43F59" w:rsidRDefault="00302BFE" w:rsidP="00243B15">
            <w:pPr>
              <w:spacing w:after="0"/>
              <w:jc w:val="left"/>
              <w:rPr>
                <w:sz w:val="18"/>
                <w:szCs w:val="18"/>
              </w:rPr>
            </w:pPr>
            <w:r w:rsidRPr="00B43F59">
              <w:rPr>
                <w:sz w:val="18"/>
                <w:szCs w:val="18"/>
              </w:rPr>
              <w:t>Years 1 to 3</w:t>
            </w:r>
          </w:p>
        </w:tc>
        <w:tc>
          <w:tcPr>
            <w:tcW w:w="1047" w:type="pct"/>
            <w:shd w:val="clear" w:color="auto" w:fill="auto"/>
            <w:vAlign w:val="center"/>
          </w:tcPr>
          <w:p w14:paraId="3A3E3581" w14:textId="77777777" w:rsidR="00302BFE" w:rsidRPr="00B43F59" w:rsidRDefault="00302BFE" w:rsidP="00243B15">
            <w:pPr>
              <w:spacing w:after="0"/>
              <w:jc w:val="left"/>
              <w:rPr>
                <w:sz w:val="18"/>
                <w:szCs w:val="18"/>
              </w:rPr>
            </w:pPr>
            <w:r w:rsidRPr="00B43F59">
              <w:rPr>
                <w:sz w:val="18"/>
                <w:szCs w:val="18"/>
              </w:rPr>
              <w:t>Multi-stakeholder group selection committee</w:t>
            </w:r>
          </w:p>
        </w:tc>
      </w:tr>
      <w:tr w:rsidR="00302BFE" w:rsidRPr="00B43F59" w14:paraId="3CC427B0" w14:textId="77777777" w:rsidTr="00243B15">
        <w:trPr>
          <w:gridAfter w:val="1"/>
          <w:wAfter w:w="6" w:type="pct"/>
          <w:jc w:val="center"/>
        </w:trPr>
        <w:tc>
          <w:tcPr>
            <w:tcW w:w="1229" w:type="pct"/>
            <w:shd w:val="clear" w:color="auto" w:fill="auto"/>
            <w:vAlign w:val="center"/>
          </w:tcPr>
          <w:p w14:paraId="6D60782F" w14:textId="77777777" w:rsidR="00302BFE" w:rsidRPr="00B43F59" w:rsidRDefault="00302BFE" w:rsidP="00243B15">
            <w:pPr>
              <w:spacing w:after="0"/>
              <w:jc w:val="left"/>
              <w:rPr>
                <w:sz w:val="18"/>
                <w:szCs w:val="18"/>
              </w:rPr>
            </w:pPr>
            <w:r w:rsidRPr="00B43F59">
              <w:rPr>
                <w:sz w:val="18"/>
                <w:szCs w:val="18"/>
              </w:rPr>
              <w:t>Ensure that the selection of attendees for tourism training includes women (output 3.4.3)</w:t>
            </w:r>
          </w:p>
        </w:tc>
        <w:tc>
          <w:tcPr>
            <w:tcW w:w="1193" w:type="pct"/>
            <w:shd w:val="clear" w:color="auto" w:fill="auto"/>
            <w:vAlign w:val="center"/>
          </w:tcPr>
          <w:p w14:paraId="28EF974A" w14:textId="77777777" w:rsidR="00302BFE" w:rsidRPr="00B43F59" w:rsidRDefault="00302BFE" w:rsidP="00243B15">
            <w:pPr>
              <w:spacing w:after="0"/>
              <w:jc w:val="left"/>
              <w:rPr>
                <w:sz w:val="18"/>
                <w:szCs w:val="18"/>
              </w:rPr>
            </w:pPr>
            <w:r w:rsidRPr="00B43F59">
              <w:rPr>
                <w:sz w:val="18"/>
                <w:szCs w:val="18"/>
              </w:rPr>
              <w:t>Percent of women participation in all training</w:t>
            </w:r>
          </w:p>
        </w:tc>
        <w:tc>
          <w:tcPr>
            <w:tcW w:w="605" w:type="pct"/>
            <w:shd w:val="clear" w:color="auto" w:fill="auto"/>
            <w:vAlign w:val="center"/>
          </w:tcPr>
          <w:p w14:paraId="0A8BC13C" w14:textId="77777777" w:rsidR="00302BFE" w:rsidRPr="00B43F59" w:rsidRDefault="00302BFE" w:rsidP="00243B15">
            <w:pPr>
              <w:spacing w:after="0"/>
              <w:jc w:val="left"/>
              <w:rPr>
                <w:sz w:val="18"/>
                <w:szCs w:val="18"/>
              </w:rPr>
            </w:pPr>
            <w:r w:rsidRPr="00B43F59">
              <w:rPr>
                <w:sz w:val="18"/>
                <w:szCs w:val="18"/>
              </w:rPr>
              <w:t>70% of the training recipients are women</w:t>
            </w:r>
          </w:p>
        </w:tc>
        <w:tc>
          <w:tcPr>
            <w:tcW w:w="606" w:type="pct"/>
            <w:shd w:val="clear" w:color="auto" w:fill="auto"/>
            <w:vAlign w:val="center"/>
          </w:tcPr>
          <w:p w14:paraId="2E80DBFC" w14:textId="77777777" w:rsidR="00302BFE" w:rsidRPr="00B43F59" w:rsidRDefault="00302BFE" w:rsidP="00243B15">
            <w:pPr>
              <w:spacing w:after="0"/>
              <w:jc w:val="left"/>
              <w:rPr>
                <w:sz w:val="18"/>
                <w:szCs w:val="18"/>
              </w:rPr>
            </w:pPr>
            <w:r w:rsidRPr="00B43F59">
              <w:rPr>
                <w:sz w:val="18"/>
                <w:szCs w:val="18"/>
              </w:rPr>
              <w:t xml:space="preserve">Recipients not yet selected </w:t>
            </w:r>
          </w:p>
        </w:tc>
        <w:tc>
          <w:tcPr>
            <w:tcW w:w="314" w:type="pct"/>
            <w:gridSpan w:val="2"/>
            <w:shd w:val="clear" w:color="auto" w:fill="auto"/>
            <w:vAlign w:val="center"/>
          </w:tcPr>
          <w:p w14:paraId="20842D70" w14:textId="77777777" w:rsidR="00302BFE" w:rsidRPr="00B43F59" w:rsidRDefault="00302BFE" w:rsidP="00243B15">
            <w:pPr>
              <w:spacing w:after="0"/>
              <w:jc w:val="left"/>
              <w:rPr>
                <w:sz w:val="18"/>
                <w:szCs w:val="18"/>
              </w:rPr>
            </w:pPr>
            <w:r w:rsidRPr="00B43F59">
              <w:rPr>
                <w:sz w:val="18"/>
                <w:szCs w:val="18"/>
              </w:rPr>
              <w:t>Year 1</w:t>
            </w:r>
          </w:p>
        </w:tc>
        <w:tc>
          <w:tcPr>
            <w:tcW w:w="1047" w:type="pct"/>
            <w:shd w:val="clear" w:color="auto" w:fill="auto"/>
            <w:vAlign w:val="center"/>
          </w:tcPr>
          <w:p w14:paraId="09CFE1D4" w14:textId="77777777" w:rsidR="00302BFE" w:rsidRPr="009E7670" w:rsidRDefault="00302BFE" w:rsidP="00243B15">
            <w:pPr>
              <w:spacing w:after="0"/>
              <w:jc w:val="left"/>
              <w:rPr>
                <w:sz w:val="18"/>
                <w:szCs w:val="18"/>
              </w:rPr>
            </w:pPr>
            <w:r w:rsidRPr="009E7670">
              <w:rPr>
                <w:sz w:val="18"/>
                <w:szCs w:val="18"/>
              </w:rPr>
              <w:t>Project Team</w:t>
            </w:r>
          </w:p>
          <w:p w14:paraId="07174814" w14:textId="77777777" w:rsidR="00302BFE" w:rsidRPr="009E7670" w:rsidRDefault="00302BFE" w:rsidP="00243B15">
            <w:pPr>
              <w:spacing w:after="0"/>
              <w:jc w:val="left"/>
              <w:rPr>
                <w:sz w:val="18"/>
                <w:szCs w:val="18"/>
              </w:rPr>
            </w:pPr>
            <w:r w:rsidRPr="009E7670">
              <w:rPr>
                <w:sz w:val="18"/>
                <w:szCs w:val="18"/>
              </w:rPr>
              <w:t>Gender Expert</w:t>
            </w:r>
          </w:p>
          <w:p w14:paraId="2334D460" w14:textId="77777777" w:rsidR="00302BFE" w:rsidRPr="009E7670" w:rsidRDefault="00302BFE" w:rsidP="00243B15">
            <w:pPr>
              <w:spacing w:after="0"/>
              <w:jc w:val="left"/>
              <w:rPr>
                <w:sz w:val="18"/>
                <w:szCs w:val="18"/>
              </w:rPr>
            </w:pPr>
            <w:r w:rsidRPr="00B43F59">
              <w:rPr>
                <w:sz w:val="18"/>
                <w:szCs w:val="18"/>
              </w:rPr>
              <w:t>Ministry of Culture, Arts and Tourism</w:t>
            </w:r>
          </w:p>
        </w:tc>
      </w:tr>
      <w:tr w:rsidR="00302BFE" w:rsidRPr="00B43F59" w14:paraId="6B5D5013" w14:textId="77777777" w:rsidTr="00243B15">
        <w:trPr>
          <w:jc w:val="center"/>
        </w:trPr>
        <w:tc>
          <w:tcPr>
            <w:tcW w:w="5000" w:type="pct"/>
            <w:gridSpan w:val="8"/>
            <w:shd w:val="clear" w:color="auto" w:fill="FBE4D5"/>
            <w:vAlign w:val="center"/>
          </w:tcPr>
          <w:p w14:paraId="4C336959" w14:textId="77777777" w:rsidR="00302BFE" w:rsidRPr="00B43F59" w:rsidRDefault="00302BFE" w:rsidP="00243B15">
            <w:pPr>
              <w:spacing w:after="0"/>
              <w:jc w:val="left"/>
              <w:rPr>
                <w:b/>
                <w:sz w:val="18"/>
                <w:szCs w:val="18"/>
                <w:lang w:val="en-CA"/>
              </w:rPr>
            </w:pPr>
            <w:r w:rsidRPr="00B43F59">
              <w:rPr>
                <w:b/>
                <w:sz w:val="18"/>
                <w:szCs w:val="18"/>
                <w:lang w:val="en-GB"/>
              </w:rPr>
              <w:t>Component 4: Gender mainstreaming, and knowledge and learning management</w:t>
            </w:r>
          </w:p>
        </w:tc>
      </w:tr>
      <w:tr w:rsidR="00302BFE" w:rsidRPr="00B43F59" w14:paraId="3C8EB77D" w14:textId="77777777" w:rsidTr="00243B15">
        <w:trPr>
          <w:jc w:val="center"/>
        </w:trPr>
        <w:tc>
          <w:tcPr>
            <w:tcW w:w="3640" w:type="pct"/>
            <w:gridSpan w:val="5"/>
            <w:shd w:val="clear" w:color="auto" w:fill="auto"/>
          </w:tcPr>
          <w:p w14:paraId="75D5D373" w14:textId="77777777" w:rsidR="00302BFE" w:rsidRPr="00B43F59" w:rsidRDefault="00302BFE" w:rsidP="00243B15">
            <w:pPr>
              <w:spacing w:after="0"/>
              <w:jc w:val="left"/>
              <w:rPr>
                <w:b/>
                <w:sz w:val="18"/>
                <w:szCs w:val="18"/>
                <w:lang w:val="en-CA"/>
              </w:rPr>
            </w:pPr>
            <w:r w:rsidRPr="00B43F59">
              <w:rPr>
                <w:b/>
                <w:sz w:val="18"/>
                <w:szCs w:val="18"/>
                <w:lang w:val="en-CA"/>
              </w:rPr>
              <w:t>Output 4.1 Gender Action plan implemented, monitored and evaluated</w:t>
            </w:r>
          </w:p>
        </w:tc>
        <w:tc>
          <w:tcPr>
            <w:tcW w:w="1360" w:type="pct"/>
            <w:gridSpan w:val="3"/>
            <w:shd w:val="clear" w:color="auto" w:fill="auto"/>
          </w:tcPr>
          <w:p w14:paraId="271DC802" w14:textId="77777777" w:rsidR="00302BFE" w:rsidRPr="00B43F59" w:rsidRDefault="00302BFE" w:rsidP="00243B15">
            <w:pPr>
              <w:spacing w:after="0"/>
              <w:jc w:val="left"/>
              <w:rPr>
                <w:b/>
                <w:sz w:val="18"/>
                <w:szCs w:val="18"/>
                <w:lang w:val="en-CA"/>
              </w:rPr>
            </w:pPr>
          </w:p>
        </w:tc>
      </w:tr>
      <w:tr w:rsidR="00302BFE" w:rsidRPr="00B43F59" w14:paraId="7C08470C" w14:textId="77777777" w:rsidTr="00243B15">
        <w:trPr>
          <w:gridAfter w:val="1"/>
          <w:wAfter w:w="6" w:type="pct"/>
          <w:jc w:val="center"/>
        </w:trPr>
        <w:tc>
          <w:tcPr>
            <w:tcW w:w="1229" w:type="pct"/>
            <w:shd w:val="clear" w:color="auto" w:fill="auto"/>
            <w:vAlign w:val="center"/>
          </w:tcPr>
          <w:p w14:paraId="4A220A2E" w14:textId="77777777" w:rsidR="00302BFE" w:rsidRPr="00B43F59" w:rsidRDefault="00302BFE" w:rsidP="00243B15">
            <w:pPr>
              <w:spacing w:after="0"/>
              <w:jc w:val="left"/>
              <w:rPr>
                <w:sz w:val="18"/>
                <w:szCs w:val="18"/>
              </w:rPr>
            </w:pPr>
            <w:r w:rsidRPr="00B43F59">
              <w:rPr>
                <w:sz w:val="18"/>
                <w:szCs w:val="18"/>
              </w:rPr>
              <w:t>Integrate women’s experiences into knowledge products that will incorporate institutional strengthening and capacity building initiatives, for continued institutional and private sector learning and activity implementation</w:t>
            </w:r>
          </w:p>
        </w:tc>
        <w:tc>
          <w:tcPr>
            <w:tcW w:w="1193" w:type="pct"/>
            <w:shd w:val="clear" w:color="auto" w:fill="auto"/>
            <w:vAlign w:val="center"/>
          </w:tcPr>
          <w:p w14:paraId="16ED6366" w14:textId="77777777" w:rsidR="00302BFE" w:rsidRPr="00B43F59" w:rsidRDefault="00302BFE" w:rsidP="00243B15">
            <w:pPr>
              <w:spacing w:after="0"/>
              <w:jc w:val="left"/>
              <w:rPr>
                <w:sz w:val="18"/>
                <w:szCs w:val="18"/>
              </w:rPr>
            </w:pPr>
            <w:r w:rsidRPr="00B43F59">
              <w:rPr>
                <w:sz w:val="18"/>
                <w:szCs w:val="18"/>
              </w:rPr>
              <w:t xml:space="preserve">Percent of knowledge products reflecting women’s portrayal and lessons learnt featuring women’s experiences </w:t>
            </w:r>
          </w:p>
        </w:tc>
        <w:tc>
          <w:tcPr>
            <w:tcW w:w="605" w:type="pct"/>
            <w:shd w:val="clear" w:color="auto" w:fill="auto"/>
            <w:vAlign w:val="center"/>
          </w:tcPr>
          <w:p w14:paraId="2C0B0DFB" w14:textId="77777777" w:rsidR="00302BFE" w:rsidRPr="00B43F59" w:rsidRDefault="00302BFE" w:rsidP="00243B15">
            <w:pPr>
              <w:spacing w:after="0"/>
              <w:jc w:val="left"/>
              <w:rPr>
                <w:sz w:val="18"/>
                <w:szCs w:val="18"/>
              </w:rPr>
            </w:pPr>
            <w:r w:rsidRPr="00B43F59">
              <w:rPr>
                <w:sz w:val="18"/>
                <w:szCs w:val="18"/>
              </w:rPr>
              <w:t>100%</w:t>
            </w:r>
          </w:p>
        </w:tc>
        <w:tc>
          <w:tcPr>
            <w:tcW w:w="606" w:type="pct"/>
            <w:shd w:val="clear" w:color="auto" w:fill="auto"/>
            <w:vAlign w:val="center"/>
          </w:tcPr>
          <w:p w14:paraId="3F242C6D" w14:textId="77777777" w:rsidR="00302BFE" w:rsidRPr="00B43F59" w:rsidRDefault="00302BFE" w:rsidP="00243B15">
            <w:pPr>
              <w:spacing w:after="0"/>
              <w:jc w:val="left"/>
              <w:rPr>
                <w:sz w:val="18"/>
                <w:szCs w:val="18"/>
              </w:rPr>
            </w:pPr>
            <w:r w:rsidRPr="00B43F59">
              <w:rPr>
                <w:sz w:val="18"/>
                <w:szCs w:val="18"/>
              </w:rPr>
              <w:t>No knowledge products developed</w:t>
            </w:r>
          </w:p>
        </w:tc>
        <w:tc>
          <w:tcPr>
            <w:tcW w:w="314" w:type="pct"/>
            <w:gridSpan w:val="2"/>
            <w:shd w:val="clear" w:color="auto" w:fill="auto"/>
            <w:vAlign w:val="center"/>
          </w:tcPr>
          <w:p w14:paraId="69C92E0F" w14:textId="77777777" w:rsidR="00302BFE" w:rsidRPr="00B43F59" w:rsidRDefault="00302BFE" w:rsidP="00243B15">
            <w:pPr>
              <w:spacing w:after="0"/>
              <w:jc w:val="left"/>
              <w:rPr>
                <w:sz w:val="18"/>
                <w:szCs w:val="18"/>
              </w:rPr>
            </w:pPr>
            <w:r w:rsidRPr="00B43F59">
              <w:rPr>
                <w:sz w:val="18"/>
                <w:szCs w:val="18"/>
              </w:rPr>
              <w:t>Years 1 to 4</w:t>
            </w:r>
          </w:p>
        </w:tc>
        <w:tc>
          <w:tcPr>
            <w:tcW w:w="1047" w:type="pct"/>
            <w:shd w:val="clear" w:color="auto" w:fill="auto"/>
            <w:vAlign w:val="center"/>
          </w:tcPr>
          <w:p w14:paraId="65F8D4D5" w14:textId="77777777" w:rsidR="00302BFE" w:rsidRPr="00B43F59" w:rsidRDefault="00302BFE" w:rsidP="00243B15">
            <w:pPr>
              <w:spacing w:after="0"/>
              <w:jc w:val="left"/>
              <w:rPr>
                <w:sz w:val="18"/>
                <w:szCs w:val="18"/>
              </w:rPr>
            </w:pPr>
            <w:r w:rsidRPr="00B43F59">
              <w:rPr>
                <w:sz w:val="18"/>
                <w:szCs w:val="18"/>
              </w:rPr>
              <w:t>Communication and Knowledge Management Expert</w:t>
            </w:r>
          </w:p>
          <w:p w14:paraId="1609D1FD" w14:textId="77777777" w:rsidR="00302BFE" w:rsidRPr="00B43F59" w:rsidRDefault="00302BFE" w:rsidP="00243B15">
            <w:pPr>
              <w:spacing w:after="0"/>
              <w:jc w:val="left"/>
              <w:rPr>
                <w:sz w:val="18"/>
                <w:szCs w:val="18"/>
              </w:rPr>
            </w:pPr>
          </w:p>
          <w:p w14:paraId="11C98BE3" w14:textId="77777777" w:rsidR="00302BFE" w:rsidRPr="00B43F59" w:rsidRDefault="00302BFE" w:rsidP="00243B15">
            <w:pPr>
              <w:spacing w:after="0"/>
              <w:jc w:val="left"/>
              <w:rPr>
                <w:sz w:val="18"/>
                <w:szCs w:val="18"/>
              </w:rPr>
            </w:pPr>
            <w:r w:rsidRPr="00B43F59">
              <w:rPr>
                <w:sz w:val="18"/>
                <w:szCs w:val="18"/>
              </w:rPr>
              <w:t>Gender Expert</w:t>
            </w:r>
          </w:p>
        </w:tc>
      </w:tr>
      <w:tr w:rsidR="00302BFE" w:rsidRPr="00B43F59" w14:paraId="177368AE" w14:textId="77777777" w:rsidTr="00243B15">
        <w:trPr>
          <w:gridAfter w:val="1"/>
          <w:wAfter w:w="6" w:type="pct"/>
          <w:jc w:val="center"/>
        </w:trPr>
        <w:tc>
          <w:tcPr>
            <w:tcW w:w="1229" w:type="pct"/>
            <w:shd w:val="clear" w:color="auto" w:fill="auto"/>
            <w:vAlign w:val="center"/>
          </w:tcPr>
          <w:p w14:paraId="649A916A" w14:textId="77777777" w:rsidR="00302BFE" w:rsidRPr="00B43F59" w:rsidRDefault="00302BFE" w:rsidP="00243B15">
            <w:pPr>
              <w:spacing w:after="0"/>
              <w:jc w:val="left"/>
              <w:rPr>
                <w:sz w:val="18"/>
                <w:szCs w:val="18"/>
              </w:rPr>
            </w:pPr>
            <w:r w:rsidRPr="00B43F59">
              <w:rPr>
                <w:sz w:val="18"/>
                <w:szCs w:val="18"/>
              </w:rPr>
              <w:t xml:space="preserve">Establish a monitoring system to learn from the SLM, CSA, and biodiversity conservation interventions, including gender-based indicators </w:t>
            </w:r>
          </w:p>
        </w:tc>
        <w:tc>
          <w:tcPr>
            <w:tcW w:w="1193" w:type="pct"/>
            <w:shd w:val="clear" w:color="auto" w:fill="auto"/>
            <w:vAlign w:val="center"/>
          </w:tcPr>
          <w:p w14:paraId="18C98BAB" w14:textId="77777777" w:rsidR="00302BFE" w:rsidRPr="00B43F59" w:rsidRDefault="00302BFE" w:rsidP="00243B15">
            <w:pPr>
              <w:spacing w:after="0"/>
              <w:jc w:val="left"/>
              <w:rPr>
                <w:sz w:val="18"/>
                <w:szCs w:val="18"/>
              </w:rPr>
            </w:pPr>
            <w:r w:rsidRPr="00B43F59">
              <w:rPr>
                <w:sz w:val="18"/>
                <w:szCs w:val="18"/>
              </w:rPr>
              <w:t>Monitoring system to learn from the SLM, CSA, and biodiversity conservation interventions</w:t>
            </w:r>
          </w:p>
        </w:tc>
        <w:tc>
          <w:tcPr>
            <w:tcW w:w="605" w:type="pct"/>
            <w:shd w:val="clear" w:color="auto" w:fill="auto"/>
            <w:vAlign w:val="center"/>
          </w:tcPr>
          <w:p w14:paraId="06FFD1C7" w14:textId="77777777" w:rsidR="00302BFE" w:rsidRPr="00B43F59" w:rsidRDefault="00302BFE" w:rsidP="00243B15">
            <w:pPr>
              <w:spacing w:after="0"/>
              <w:jc w:val="left"/>
              <w:rPr>
                <w:sz w:val="18"/>
                <w:szCs w:val="18"/>
              </w:rPr>
            </w:pPr>
            <w:r w:rsidRPr="00B43F59">
              <w:rPr>
                <w:sz w:val="18"/>
                <w:szCs w:val="18"/>
              </w:rPr>
              <w:t>Monitoring system includes gender-based/SMART indicators</w:t>
            </w:r>
          </w:p>
        </w:tc>
        <w:tc>
          <w:tcPr>
            <w:tcW w:w="606" w:type="pct"/>
            <w:shd w:val="clear" w:color="auto" w:fill="auto"/>
            <w:vAlign w:val="center"/>
          </w:tcPr>
          <w:p w14:paraId="1F1F6AAE" w14:textId="77777777" w:rsidR="00302BFE" w:rsidRPr="00B43F59" w:rsidRDefault="00302BFE" w:rsidP="00243B15">
            <w:pPr>
              <w:spacing w:after="0"/>
              <w:jc w:val="left"/>
              <w:rPr>
                <w:sz w:val="18"/>
                <w:szCs w:val="18"/>
              </w:rPr>
            </w:pPr>
            <w:r w:rsidRPr="00B43F59">
              <w:rPr>
                <w:sz w:val="18"/>
                <w:szCs w:val="18"/>
              </w:rPr>
              <w:t>Monitoring system not developed</w:t>
            </w:r>
          </w:p>
        </w:tc>
        <w:tc>
          <w:tcPr>
            <w:tcW w:w="314" w:type="pct"/>
            <w:gridSpan w:val="2"/>
            <w:shd w:val="clear" w:color="auto" w:fill="auto"/>
            <w:vAlign w:val="center"/>
          </w:tcPr>
          <w:p w14:paraId="134C4F35" w14:textId="77777777" w:rsidR="00302BFE" w:rsidRPr="00B43F59" w:rsidRDefault="00302BFE" w:rsidP="00243B15">
            <w:pPr>
              <w:spacing w:after="0"/>
              <w:jc w:val="left"/>
              <w:rPr>
                <w:sz w:val="18"/>
                <w:szCs w:val="18"/>
              </w:rPr>
            </w:pPr>
            <w:r w:rsidRPr="00B43F59">
              <w:rPr>
                <w:sz w:val="18"/>
                <w:szCs w:val="18"/>
              </w:rPr>
              <w:t>Year 1</w:t>
            </w:r>
          </w:p>
        </w:tc>
        <w:tc>
          <w:tcPr>
            <w:tcW w:w="1047" w:type="pct"/>
            <w:shd w:val="clear" w:color="auto" w:fill="auto"/>
            <w:vAlign w:val="center"/>
          </w:tcPr>
          <w:p w14:paraId="71876E5B" w14:textId="77777777" w:rsidR="00302BFE" w:rsidRPr="00B43F59" w:rsidRDefault="00302BFE" w:rsidP="00243B15">
            <w:pPr>
              <w:spacing w:after="0"/>
              <w:jc w:val="left"/>
              <w:rPr>
                <w:sz w:val="18"/>
                <w:szCs w:val="18"/>
              </w:rPr>
            </w:pPr>
            <w:r w:rsidRPr="00B43F59">
              <w:rPr>
                <w:sz w:val="18"/>
                <w:szCs w:val="18"/>
              </w:rPr>
              <w:t>Communication and Knowledge Management Expert</w:t>
            </w:r>
          </w:p>
          <w:p w14:paraId="73A18B8C" w14:textId="77777777" w:rsidR="00302BFE" w:rsidRPr="00B43F59" w:rsidRDefault="00302BFE" w:rsidP="00243B15">
            <w:pPr>
              <w:spacing w:after="0"/>
              <w:jc w:val="left"/>
              <w:rPr>
                <w:sz w:val="18"/>
                <w:szCs w:val="18"/>
              </w:rPr>
            </w:pPr>
            <w:r w:rsidRPr="00B43F59">
              <w:rPr>
                <w:sz w:val="18"/>
                <w:szCs w:val="18"/>
              </w:rPr>
              <w:t>Gender Expert</w:t>
            </w:r>
          </w:p>
        </w:tc>
      </w:tr>
      <w:tr w:rsidR="00302BFE" w:rsidRPr="00B43F59" w14:paraId="39B84BAF" w14:textId="77777777" w:rsidTr="00243B15">
        <w:trPr>
          <w:gridAfter w:val="1"/>
          <w:wAfter w:w="6" w:type="pct"/>
          <w:jc w:val="center"/>
        </w:trPr>
        <w:tc>
          <w:tcPr>
            <w:tcW w:w="1229" w:type="pct"/>
            <w:shd w:val="clear" w:color="auto" w:fill="auto"/>
            <w:vAlign w:val="center"/>
          </w:tcPr>
          <w:p w14:paraId="4183A790" w14:textId="77777777" w:rsidR="00302BFE" w:rsidRPr="00B43F59" w:rsidRDefault="00302BFE" w:rsidP="00243B15">
            <w:pPr>
              <w:spacing w:after="0"/>
              <w:ind w:right="26"/>
              <w:jc w:val="left"/>
              <w:rPr>
                <w:sz w:val="18"/>
                <w:szCs w:val="18"/>
              </w:rPr>
            </w:pPr>
            <w:r w:rsidRPr="00B43F59">
              <w:rPr>
                <w:sz w:val="18"/>
                <w:szCs w:val="18"/>
              </w:rPr>
              <w:t>Develop materials to document women experiences and to raise public awareness about women/s needs expectations regarding SLM, biodiversity conservation and CSA (output 4.1)</w:t>
            </w:r>
          </w:p>
        </w:tc>
        <w:tc>
          <w:tcPr>
            <w:tcW w:w="1193" w:type="pct"/>
            <w:shd w:val="clear" w:color="auto" w:fill="auto"/>
            <w:vAlign w:val="center"/>
          </w:tcPr>
          <w:p w14:paraId="72C01CAC" w14:textId="77777777" w:rsidR="00302BFE" w:rsidRPr="00B43F59" w:rsidRDefault="00302BFE" w:rsidP="00243B15">
            <w:pPr>
              <w:spacing w:after="0"/>
              <w:ind w:right="26"/>
              <w:jc w:val="left"/>
              <w:rPr>
                <w:sz w:val="18"/>
                <w:szCs w:val="18"/>
              </w:rPr>
            </w:pPr>
            <w:r w:rsidRPr="00B43F59">
              <w:rPr>
                <w:sz w:val="18"/>
                <w:szCs w:val="18"/>
              </w:rPr>
              <w:t>Percent of training and public awareness materials and curricula produced that include women’s experiences and information disaggregated by gender</w:t>
            </w:r>
          </w:p>
        </w:tc>
        <w:tc>
          <w:tcPr>
            <w:tcW w:w="605" w:type="pct"/>
            <w:shd w:val="clear" w:color="auto" w:fill="auto"/>
            <w:vAlign w:val="center"/>
          </w:tcPr>
          <w:p w14:paraId="4F18D8C3" w14:textId="77777777" w:rsidR="00302BFE" w:rsidRPr="00B43F59" w:rsidRDefault="00302BFE" w:rsidP="00243B15">
            <w:pPr>
              <w:spacing w:after="0"/>
              <w:ind w:right="26"/>
              <w:jc w:val="left"/>
              <w:rPr>
                <w:sz w:val="18"/>
                <w:szCs w:val="18"/>
              </w:rPr>
            </w:pPr>
            <w:r w:rsidRPr="00B43F59">
              <w:rPr>
                <w:sz w:val="18"/>
                <w:szCs w:val="18"/>
              </w:rPr>
              <w:t xml:space="preserve">A minimum of 80% of all training materials, public awareness materials, and curricula developed in SLM, </w:t>
            </w:r>
            <w:r>
              <w:rPr>
                <w:sz w:val="18"/>
                <w:szCs w:val="18"/>
              </w:rPr>
              <w:t>BD</w:t>
            </w:r>
            <w:r w:rsidRPr="00B43F59">
              <w:rPr>
                <w:sz w:val="18"/>
                <w:szCs w:val="18"/>
              </w:rPr>
              <w:t xml:space="preserve"> conservation, and CSA include women experiences </w:t>
            </w:r>
            <w:r>
              <w:rPr>
                <w:sz w:val="18"/>
                <w:szCs w:val="18"/>
              </w:rPr>
              <w:t xml:space="preserve">and gender sensitive </w:t>
            </w:r>
            <w:r w:rsidRPr="00B43F59">
              <w:rPr>
                <w:sz w:val="18"/>
                <w:szCs w:val="18"/>
              </w:rPr>
              <w:t>information</w:t>
            </w:r>
          </w:p>
        </w:tc>
        <w:tc>
          <w:tcPr>
            <w:tcW w:w="606" w:type="pct"/>
            <w:shd w:val="clear" w:color="auto" w:fill="auto"/>
            <w:vAlign w:val="center"/>
          </w:tcPr>
          <w:p w14:paraId="0740886F" w14:textId="77777777" w:rsidR="00302BFE" w:rsidRPr="00B43F59" w:rsidRDefault="00302BFE" w:rsidP="00243B15">
            <w:pPr>
              <w:spacing w:after="0"/>
              <w:jc w:val="left"/>
              <w:rPr>
                <w:sz w:val="18"/>
                <w:szCs w:val="18"/>
              </w:rPr>
            </w:pPr>
            <w:r w:rsidRPr="00B43F59">
              <w:rPr>
                <w:sz w:val="18"/>
                <w:szCs w:val="18"/>
              </w:rPr>
              <w:t>Training materials not yet developed</w:t>
            </w:r>
          </w:p>
        </w:tc>
        <w:tc>
          <w:tcPr>
            <w:tcW w:w="314" w:type="pct"/>
            <w:gridSpan w:val="2"/>
            <w:shd w:val="clear" w:color="auto" w:fill="auto"/>
            <w:vAlign w:val="center"/>
          </w:tcPr>
          <w:p w14:paraId="51BECAC3" w14:textId="77777777" w:rsidR="00302BFE" w:rsidRPr="00B43F59" w:rsidRDefault="00302BFE" w:rsidP="00243B15">
            <w:pPr>
              <w:spacing w:after="0"/>
              <w:jc w:val="left"/>
              <w:rPr>
                <w:sz w:val="18"/>
                <w:szCs w:val="18"/>
              </w:rPr>
            </w:pPr>
            <w:r w:rsidRPr="00B43F59">
              <w:rPr>
                <w:sz w:val="18"/>
                <w:szCs w:val="18"/>
              </w:rPr>
              <w:t>Year 1</w:t>
            </w:r>
          </w:p>
        </w:tc>
        <w:tc>
          <w:tcPr>
            <w:tcW w:w="1047" w:type="pct"/>
            <w:shd w:val="clear" w:color="auto" w:fill="auto"/>
            <w:vAlign w:val="center"/>
          </w:tcPr>
          <w:p w14:paraId="1F757CC6" w14:textId="77777777" w:rsidR="00302BFE" w:rsidRPr="00B43F59" w:rsidRDefault="00302BFE" w:rsidP="00243B15">
            <w:pPr>
              <w:spacing w:after="0"/>
              <w:jc w:val="left"/>
              <w:rPr>
                <w:sz w:val="18"/>
                <w:szCs w:val="18"/>
              </w:rPr>
            </w:pPr>
            <w:r w:rsidRPr="00B43F59">
              <w:rPr>
                <w:sz w:val="18"/>
                <w:szCs w:val="18"/>
              </w:rPr>
              <w:t>Communication and Knowledge Management Expert</w:t>
            </w:r>
          </w:p>
          <w:p w14:paraId="79407AEA" w14:textId="77777777" w:rsidR="00302BFE" w:rsidRPr="00B43F59" w:rsidRDefault="00302BFE" w:rsidP="00243B15">
            <w:pPr>
              <w:spacing w:after="0"/>
              <w:jc w:val="left"/>
              <w:rPr>
                <w:sz w:val="18"/>
                <w:szCs w:val="18"/>
              </w:rPr>
            </w:pPr>
            <w:r w:rsidRPr="00B43F59">
              <w:rPr>
                <w:sz w:val="18"/>
                <w:szCs w:val="18"/>
              </w:rPr>
              <w:t>Gender Expert</w:t>
            </w:r>
          </w:p>
        </w:tc>
      </w:tr>
      <w:tr w:rsidR="00302BFE" w:rsidRPr="00B43F59" w14:paraId="3F45E78A" w14:textId="77777777" w:rsidTr="00243B15">
        <w:trPr>
          <w:gridAfter w:val="1"/>
          <w:wAfter w:w="6" w:type="pct"/>
          <w:jc w:val="center"/>
        </w:trPr>
        <w:tc>
          <w:tcPr>
            <w:tcW w:w="1229" w:type="pct"/>
            <w:shd w:val="clear" w:color="auto" w:fill="auto"/>
            <w:vAlign w:val="center"/>
          </w:tcPr>
          <w:p w14:paraId="6E3C48F8" w14:textId="77777777" w:rsidR="00302BFE" w:rsidRPr="00B43F59" w:rsidRDefault="00302BFE" w:rsidP="00243B15">
            <w:pPr>
              <w:spacing w:after="0"/>
              <w:contextualSpacing/>
              <w:jc w:val="left"/>
              <w:rPr>
                <w:sz w:val="18"/>
                <w:szCs w:val="18"/>
              </w:rPr>
            </w:pPr>
            <w:r w:rsidRPr="00B43F59">
              <w:rPr>
                <w:sz w:val="18"/>
                <w:szCs w:val="18"/>
              </w:rPr>
              <w:t>Provide Gender equality sensitization training to major project stakeholders including regional and commune-levels authorities and and local level stakeholders for gender mainstreaming in the project (output 4.1).</w:t>
            </w:r>
          </w:p>
        </w:tc>
        <w:tc>
          <w:tcPr>
            <w:tcW w:w="1193" w:type="pct"/>
            <w:shd w:val="clear" w:color="auto" w:fill="auto"/>
            <w:vAlign w:val="center"/>
          </w:tcPr>
          <w:p w14:paraId="19C84E7A" w14:textId="77777777" w:rsidR="00302BFE" w:rsidRPr="00B43F59" w:rsidRDefault="00302BFE" w:rsidP="00243B15">
            <w:pPr>
              <w:spacing w:after="0"/>
              <w:jc w:val="left"/>
              <w:rPr>
                <w:sz w:val="18"/>
                <w:szCs w:val="18"/>
              </w:rPr>
            </w:pPr>
            <w:r w:rsidRPr="00B43F59">
              <w:rPr>
                <w:sz w:val="18"/>
                <w:szCs w:val="18"/>
              </w:rPr>
              <w:t xml:space="preserve">Level of understanding among regional and commune-levels authorities and local level stakeholders of gender issues </w:t>
            </w:r>
          </w:p>
          <w:p w14:paraId="347765E1" w14:textId="77777777" w:rsidR="00302BFE" w:rsidRPr="00B43F59" w:rsidRDefault="00302BFE" w:rsidP="00243B15">
            <w:pPr>
              <w:spacing w:after="0"/>
              <w:jc w:val="left"/>
              <w:rPr>
                <w:sz w:val="18"/>
                <w:szCs w:val="18"/>
              </w:rPr>
            </w:pPr>
          </w:p>
        </w:tc>
        <w:tc>
          <w:tcPr>
            <w:tcW w:w="605" w:type="pct"/>
            <w:shd w:val="clear" w:color="auto" w:fill="auto"/>
            <w:vAlign w:val="center"/>
          </w:tcPr>
          <w:p w14:paraId="638C2E1F" w14:textId="77777777" w:rsidR="00302BFE" w:rsidRPr="00B43F59" w:rsidRDefault="00302BFE" w:rsidP="00243B15">
            <w:pPr>
              <w:spacing w:after="0"/>
              <w:jc w:val="left"/>
              <w:rPr>
                <w:sz w:val="18"/>
                <w:szCs w:val="18"/>
              </w:rPr>
            </w:pPr>
            <w:r w:rsidRPr="00B43F59">
              <w:rPr>
                <w:sz w:val="18"/>
                <w:szCs w:val="18"/>
              </w:rPr>
              <w:t xml:space="preserve">100% of participants achieve a 75% score in the post training test as a demonstration of their understanding of gender aspects of land and </w:t>
            </w:r>
            <w:r>
              <w:rPr>
                <w:sz w:val="18"/>
                <w:szCs w:val="18"/>
              </w:rPr>
              <w:t>NRM</w:t>
            </w:r>
            <w:r w:rsidRPr="00B43F59">
              <w:rPr>
                <w:sz w:val="18"/>
                <w:szCs w:val="18"/>
              </w:rPr>
              <w:t xml:space="preserve"> and </w:t>
            </w:r>
            <w:r w:rsidRPr="00B43F59">
              <w:rPr>
                <w:sz w:val="18"/>
                <w:szCs w:val="18"/>
              </w:rPr>
              <w:lastRenderedPageBreak/>
              <w:t xml:space="preserve">conservation of </w:t>
            </w:r>
            <w:r>
              <w:rPr>
                <w:sz w:val="18"/>
                <w:szCs w:val="18"/>
              </w:rPr>
              <w:t>BD</w:t>
            </w:r>
            <w:r w:rsidRPr="00B43F59">
              <w:rPr>
                <w:sz w:val="18"/>
                <w:szCs w:val="18"/>
              </w:rPr>
              <w:t xml:space="preserve"> and </w:t>
            </w:r>
            <w:r>
              <w:rPr>
                <w:sz w:val="18"/>
                <w:szCs w:val="18"/>
              </w:rPr>
              <w:t>ES</w:t>
            </w:r>
          </w:p>
        </w:tc>
        <w:tc>
          <w:tcPr>
            <w:tcW w:w="606" w:type="pct"/>
            <w:shd w:val="clear" w:color="auto" w:fill="auto"/>
            <w:vAlign w:val="center"/>
          </w:tcPr>
          <w:p w14:paraId="13D23CBF" w14:textId="77777777" w:rsidR="00302BFE" w:rsidRPr="00B43F59" w:rsidRDefault="00302BFE" w:rsidP="00243B15">
            <w:pPr>
              <w:spacing w:after="0"/>
              <w:jc w:val="left"/>
              <w:rPr>
                <w:sz w:val="18"/>
                <w:szCs w:val="18"/>
              </w:rPr>
            </w:pPr>
            <w:r w:rsidRPr="00B43F59">
              <w:rPr>
                <w:sz w:val="18"/>
                <w:szCs w:val="18"/>
              </w:rPr>
              <w:lastRenderedPageBreak/>
              <w:t>0%</w:t>
            </w:r>
          </w:p>
        </w:tc>
        <w:tc>
          <w:tcPr>
            <w:tcW w:w="314" w:type="pct"/>
            <w:gridSpan w:val="2"/>
            <w:shd w:val="clear" w:color="auto" w:fill="auto"/>
            <w:vAlign w:val="center"/>
          </w:tcPr>
          <w:p w14:paraId="03712AEE" w14:textId="77777777" w:rsidR="00302BFE" w:rsidRPr="00B43F59" w:rsidRDefault="00302BFE" w:rsidP="00243B15">
            <w:pPr>
              <w:spacing w:after="0"/>
              <w:jc w:val="left"/>
              <w:rPr>
                <w:sz w:val="18"/>
                <w:szCs w:val="18"/>
              </w:rPr>
            </w:pPr>
            <w:r w:rsidRPr="00B43F59">
              <w:rPr>
                <w:sz w:val="18"/>
                <w:szCs w:val="18"/>
              </w:rPr>
              <w:t>Year 1</w:t>
            </w:r>
          </w:p>
        </w:tc>
        <w:tc>
          <w:tcPr>
            <w:tcW w:w="1047" w:type="pct"/>
            <w:shd w:val="clear" w:color="auto" w:fill="auto"/>
            <w:vAlign w:val="center"/>
          </w:tcPr>
          <w:p w14:paraId="2788A123" w14:textId="77777777" w:rsidR="00302BFE" w:rsidRPr="00B43F59" w:rsidRDefault="00302BFE" w:rsidP="00243B15">
            <w:pPr>
              <w:contextualSpacing/>
              <w:jc w:val="left"/>
              <w:rPr>
                <w:sz w:val="18"/>
                <w:szCs w:val="18"/>
                <w:lang w:eastAsia="fr-CA"/>
              </w:rPr>
            </w:pPr>
            <w:r w:rsidRPr="00B43F59">
              <w:rPr>
                <w:sz w:val="18"/>
                <w:szCs w:val="18"/>
                <w:lang w:eastAsia="fr-CA"/>
              </w:rPr>
              <w:t>Project Gender Expert</w:t>
            </w:r>
          </w:p>
          <w:p w14:paraId="3F9A89CA" w14:textId="77777777" w:rsidR="00302BFE" w:rsidRPr="00B43F59" w:rsidRDefault="00302BFE" w:rsidP="00243B15">
            <w:pPr>
              <w:contextualSpacing/>
              <w:jc w:val="left"/>
              <w:rPr>
                <w:sz w:val="18"/>
                <w:szCs w:val="18"/>
                <w:lang w:val="en-CA" w:eastAsia="fr-CA"/>
              </w:rPr>
            </w:pPr>
            <w:r w:rsidRPr="00484E9D">
              <w:rPr>
                <w:sz w:val="18"/>
                <w:szCs w:val="18"/>
                <w:lang w:eastAsia="fr-CA"/>
              </w:rPr>
              <w:fldChar w:fldCharType="begin"/>
            </w:r>
            <w:r w:rsidRPr="00B43F59">
              <w:rPr>
                <w:sz w:val="18"/>
                <w:szCs w:val="18"/>
                <w:lang w:val="en-CA" w:eastAsia="fr-CA"/>
              </w:rPr>
              <w:instrText xml:space="preserve"> HYPERLINK "http://lefaso.net/spip.php?article87367" </w:instrText>
            </w:r>
            <w:r w:rsidRPr="00484E9D">
              <w:rPr>
                <w:sz w:val="18"/>
                <w:szCs w:val="18"/>
                <w:lang w:eastAsia="fr-CA"/>
              </w:rPr>
              <w:fldChar w:fldCharType="separate"/>
            </w:r>
            <w:r w:rsidRPr="00B43F59">
              <w:rPr>
                <w:sz w:val="18"/>
                <w:szCs w:val="18"/>
                <w:lang w:val="en-CA"/>
              </w:rPr>
              <w:t>Ministry of Women, National Solidarity and Family</w:t>
            </w:r>
          </w:p>
          <w:p w14:paraId="26A4EE90" w14:textId="77777777" w:rsidR="00302BFE" w:rsidRPr="00B43F59" w:rsidRDefault="00302BFE" w:rsidP="00243B15">
            <w:pPr>
              <w:spacing w:after="0"/>
              <w:jc w:val="left"/>
              <w:rPr>
                <w:sz w:val="18"/>
                <w:szCs w:val="18"/>
              </w:rPr>
            </w:pPr>
            <w:r w:rsidRPr="00484E9D">
              <w:fldChar w:fldCharType="end"/>
            </w:r>
            <w:r w:rsidRPr="00B43F59">
              <w:rPr>
                <w:sz w:val="18"/>
                <w:szCs w:val="18"/>
              </w:rPr>
              <w:t>Permanent Secretariat of the National Council for the Promotion of Gender (SP/CONEP gender)</w:t>
            </w:r>
          </w:p>
          <w:p w14:paraId="2060DE89" w14:textId="77777777" w:rsidR="00302BFE" w:rsidRPr="00B43F59" w:rsidRDefault="00302BFE" w:rsidP="00243B15">
            <w:pPr>
              <w:contextualSpacing/>
              <w:jc w:val="left"/>
              <w:rPr>
                <w:sz w:val="18"/>
                <w:szCs w:val="18"/>
                <w:lang w:eastAsia="fr-CA"/>
              </w:rPr>
            </w:pPr>
            <w:r w:rsidRPr="00381E15">
              <w:rPr>
                <w:sz w:val="18"/>
                <w:szCs w:val="18"/>
                <w:lang w:eastAsia="fr-CA"/>
              </w:rPr>
              <w:t>Housing, and Community Development</w:t>
            </w:r>
          </w:p>
        </w:tc>
      </w:tr>
      <w:tr w:rsidR="00302BFE" w:rsidRPr="00B43F59" w14:paraId="1319A928" w14:textId="77777777" w:rsidTr="00243B15">
        <w:trPr>
          <w:gridAfter w:val="1"/>
          <w:wAfter w:w="6" w:type="pct"/>
          <w:jc w:val="center"/>
        </w:trPr>
        <w:tc>
          <w:tcPr>
            <w:tcW w:w="4994" w:type="pct"/>
            <w:gridSpan w:val="7"/>
            <w:shd w:val="clear" w:color="auto" w:fill="auto"/>
            <w:vAlign w:val="center"/>
          </w:tcPr>
          <w:p w14:paraId="77D074B1" w14:textId="77777777" w:rsidR="00302BFE" w:rsidRPr="00B43F59" w:rsidRDefault="00302BFE" w:rsidP="00243B15">
            <w:pPr>
              <w:spacing w:after="0"/>
              <w:jc w:val="left"/>
              <w:rPr>
                <w:b/>
                <w:sz w:val="18"/>
                <w:szCs w:val="18"/>
                <w:lang w:val="en-CA"/>
              </w:rPr>
            </w:pPr>
            <w:r w:rsidRPr="00B43F59">
              <w:rPr>
                <w:b/>
                <w:sz w:val="18"/>
                <w:szCs w:val="18"/>
                <w:lang w:val="en-CA"/>
              </w:rPr>
              <w:t>Output 4.2: Technical knowledge and lessons learned from the project's experiences are compiled, assessed and translated into knowledge products</w:t>
            </w:r>
          </w:p>
        </w:tc>
      </w:tr>
      <w:tr w:rsidR="00302BFE" w:rsidRPr="00B43F59" w14:paraId="136C5C1E" w14:textId="77777777" w:rsidTr="00243B15">
        <w:trPr>
          <w:gridAfter w:val="1"/>
          <w:wAfter w:w="6" w:type="pct"/>
          <w:jc w:val="center"/>
        </w:trPr>
        <w:tc>
          <w:tcPr>
            <w:tcW w:w="1229" w:type="pct"/>
            <w:shd w:val="clear" w:color="auto" w:fill="auto"/>
            <w:vAlign w:val="center"/>
          </w:tcPr>
          <w:p w14:paraId="5A7B2AF0" w14:textId="77777777" w:rsidR="00302BFE" w:rsidRPr="00B43F59" w:rsidRDefault="00302BFE" w:rsidP="00243B15">
            <w:pPr>
              <w:spacing w:after="0"/>
              <w:jc w:val="left"/>
              <w:rPr>
                <w:sz w:val="18"/>
                <w:szCs w:val="18"/>
              </w:rPr>
            </w:pPr>
            <w:r w:rsidRPr="00B43F59">
              <w:rPr>
                <w:sz w:val="18"/>
                <w:szCs w:val="18"/>
              </w:rPr>
              <w:t>Monitor indicators in the project results framework, including gender related indicators data disaggregated for men and women (output 4.2)</w:t>
            </w:r>
          </w:p>
        </w:tc>
        <w:tc>
          <w:tcPr>
            <w:tcW w:w="1193" w:type="pct"/>
            <w:shd w:val="clear" w:color="auto" w:fill="auto"/>
            <w:vAlign w:val="center"/>
          </w:tcPr>
          <w:p w14:paraId="422B16FF" w14:textId="77777777" w:rsidR="00302BFE" w:rsidRPr="00B43F59" w:rsidRDefault="00302BFE" w:rsidP="00243B15">
            <w:pPr>
              <w:spacing w:after="0"/>
              <w:jc w:val="left"/>
              <w:rPr>
                <w:sz w:val="18"/>
                <w:szCs w:val="18"/>
              </w:rPr>
            </w:pPr>
            <w:r w:rsidRPr="00B43F59">
              <w:rPr>
                <w:sz w:val="18"/>
                <w:szCs w:val="18"/>
              </w:rPr>
              <w:t>Level of women participation in monitoring and evaluation activities</w:t>
            </w:r>
          </w:p>
        </w:tc>
        <w:tc>
          <w:tcPr>
            <w:tcW w:w="605" w:type="pct"/>
            <w:shd w:val="clear" w:color="auto" w:fill="auto"/>
            <w:vAlign w:val="center"/>
          </w:tcPr>
          <w:p w14:paraId="0A1E1E5D" w14:textId="77777777" w:rsidR="00302BFE" w:rsidRPr="00B43F59" w:rsidRDefault="00302BFE" w:rsidP="00243B15">
            <w:pPr>
              <w:spacing w:after="0"/>
              <w:jc w:val="left"/>
              <w:rPr>
                <w:sz w:val="18"/>
                <w:szCs w:val="18"/>
              </w:rPr>
            </w:pPr>
            <w:r w:rsidRPr="00B43F59">
              <w:rPr>
                <w:sz w:val="18"/>
                <w:szCs w:val="18"/>
              </w:rPr>
              <w:t>100 % of project M&amp; E activities with women participation</w:t>
            </w:r>
          </w:p>
        </w:tc>
        <w:tc>
          <w:tcPr>
            <w:tcW w:w="606" w:type="pct"/>
            <w:shd w:val="clear" w:color="auto" w:fill="auto"/>
            <w:vAlign w:val="center"/>
          </w:tcPr>
          <w:p w14:paraId="407F9493" w14:textId="77777777" w:rsidR="00302BFE" w:rsidRPr="00B43F59" w:rsidRDefault="00302BFE" w:rsidP="00243B15">
            <w:pPr>
              <w:spacing w:after="0"/>
              <w:jc w:val="left"/>
              <w:rPr>
                <w:sz w:val="18"/>
                <w:szCs w:val="18"/>
              </w:rPr>
            </w:pPr>
            <w:r w:rsidRPr="00B43F59">
              <w:rPr>
                <w:sz w:val="18"/>
                <w:szCs w:val="18"/>
              </w:rPr>
              <w:t>None, project M&amp;E activities have not started</w:t>
            </w:r>
          </w:p>
        </w:tc>
        <w:tc>
          <w:tcPr>
            <w:tcW w:w="314" w:type="pct"/>
            <w:gridSpan w:val="2"/>
            <w:shd w:val="clear" w:color="auto" w:fill="auto"/>
            <w:vAlign w:val="center"/>
          </w:tcPr>
          <w:p w14:paraId="7973AD7B" w14:textId="77777777" w:rsidR="00302BFE" w:rsidRPr="00B43F59" w:rsidRDefault="00302BFE" w:rsidP="00243B15">
            <w:pPr>
              <w:spacing w:after="0"/>
              <w:jc w:val="left"/>
              <w:rPr>
                <w:sz w:val="18"/>
                <w:szCs w:val="18"/>
              </w:rPr>
            </w:pPr>
            <w:r w:rsidRPr="00B43F59">
              <w:rPr>
                <w:sz w:val="18"/>
                <w:szCs w:val="18"/>
              </w:rPr>
              <w:t>Years 1 to 6</w:t>
            </w:r>
          </w:p>
        </w:tc>
        <w:tc>
          <w:tcPr>
            <w:tcW w:w="1047" w:type="pct"/>
            <w:shd w:val="clear" w:color="auto" w:fill="auto"/>
            <w:vAlign w:val="center"/>
          </w:tcPr>
          <w:p w14:paraId="65D33EF8" w14:textId="77777777" w:rsidR="00302BFE" w:rsidRPr="00B43F59" w:rsidRDefault="00302BFE" w:rsidP="00243B15">
            <w:pPr>
              <w:spacing w:after="0"/>
              <w:jc w:val="left"/>
              <w:rPr>
                <w:sz w:val="18"/>
                <w:szCs w:val="18"/>
              </w:rPr>
            </w:pPr>
            <w:r w:rsidRPr="00B43F59">
              <w:rPr>
                <w:sz w:val="18"/>
                <w:szCs w:val="18"/>
              </w:rPr>
              <w:t>Gender Expert</w:t>
            </w:r>
          </w:p>
          <w:p w14:paraId="74239086" w14:textId="77777777" w:rsidR="00302BFE" w:rsidRPr="00B43F59" w:rsidRDefault="00302BFE" w:rsidP="00243B15">
            <w:pPr>
              <w:spacing w:after="0"/>
              <w:jc w:val="left"/>
              <w:rPr>
                <w:sz w:val="18"/>
                <w:szCs w:val="18"/>
              </w:rPr>
            </w:pPr>
            <w:r w:rsidRPr="00B43F59">
              <w:rPr>
                <w:sz w:val="18"/>
                <w:szCs w:val="18"/>
              </w:rPr>
              <w:t>M&amp;E Expert</w:t>
            </w:r>
          </w:p>
        </w:tc>
      </w:tr>
      <w:tr w:rsidR="00302BFE" w:rsidRPr="00B43F59" w14:paraId="7E913A21" w14:textId="77777777" w:rsidTr="00243B15">
        <w:trPr>
          <w:gridAfter w:val="1"/>
          <w:wAfter w:w="6" w:type="pct"/>
          <w:jc w:val="center"/>
        </w:trPr>
        <w:tc>
          <w:tcPr>
            <w:tcW w:w="1229" w:type="pct"/>
            <w:shd w:val="clear" w:color="auto" w:fill="auto"/>
            <w:vAlign w:val="center"/>
          </w:tcPr>
          <w:p w14:paraId="3F16B30E" w14:textId="77777777" w:rsidR="00302BFE" w:rsidRPr="00B43F59" w:rsidRDefault="00302BFE" w:rsidP="00243B15">
            <w:pPr>
              <w:spacing w:after="0"/>
              <w:jc w:val="left"/>
              <w:rPr>
                <w:sz w:val="18"/>
                <w:szCs w:val="18"/>
              </w:rPr>
            </w:pPr>
            <w:r w:rsidRPr="00B43F59">
              <w:rPr>
                <w:sz w:val="18"/>
                <w:szCs w:val="18"/>
              </w:rPr>
              <w:t>Ensure a proportionate representation of women among respondents are included in the project surveys and baseline data collected (output 4.2)</w:t>
            </w:r>
          </w:p>
        </w:tc>
        <w:tc>
          <w:tcPr>
            <w:tcW w:w="1193" w:type="pct"/>
            <w:shd w:val="clear" w:color="auto" w:fill="auto"/>
            <w:vAlign w:val="center"/>
          </w:tcPr>
          <w:p w14:paraId="64DFF6DA" w14:textId="77777777" w:rsidR="00302BFE" w:rsidRPr="00B43F59" w:rsidRDefault="00302BFE" w:rsidP="00243B15">
            <w:pPr>
              <w:spacing w:after="0"/>
              <w:jc w:val="left"/>
              <w:rPr>
                <w:sz w:val="18"/>
                <w:szCs w:val="18"/>
              </w:rPr>
            </w:pPr>
            <w:r w:rsidRPr="00B43F59">
              <w:rPr>
                <w:sz w:val="18"/>
                <w:szCs w:val="18"/>
              </w:rPr>
              <w:t>Level of women participation in monitoring and evaluation activities</w:t>
            </w:r>
          </w:p>
        </w:tc>
        <w:tc>
          <w:tcPr>
            <w:tcW w:w="605" w:type="pct"/>
            <w:shd w:val="clear" w:color="auto" w:fill="auto"/>
            <w:vAlign w:val="center"/>
          </w:tcPr>
          <w:p w14:paraId="7F0DF011" w14:textId="77777777" w:rsidR="00302BFE" w:rsidRPr="00B43F59" w:rsidRDefault="00302BFE" w:rsidP="00243B15">
            <w:pPr>
              <w:spacing w:after="0"/>
              <w:jc w:val="left"/>
              <w:rPr>
                <w:sz w:val="18"/>
                <w:szCs w:val="18"/>
              </w:rPr>
            </w:pPr>
            <w:r w:rsidRPr="00B43F59">
              <w:rPr>
                <w:sz w:val="18"/>
                <w:szCs w:val="18"/>
              </w:rPr>
              <w:t>100 % of project M&amp; E activities with women participation</w:t>
            </w:r>
          </w:p>
        </w:tc>
        <w:tc>
          <w:tcPr>
            <w:tcW w:w="606" w:type="pct"/>
            <w:shd w:val="clear" w:color="auto" w:fill="auto"/>
            <w:vAlign w:val="center"/>
          </w:tcPr>
          <w:p w14:paraId="54BFCB70" w14:textId="77777777" w:rsidR="00302BFE" w:rsidRPr="00B43F59" w:rsidRDefault="00302BFE" w:rsidP="00243B15">
            <w:pPr>
              <w:spacing w:after="0"/>
              <w:jc w:val="left"/>
              <w:rPr>
                <w:sz w:val="18"/>
                <w:szCs w:val="18"/>
              </w:rPr>
            </w:pPr>
            <w:r w:rsidRPr="00B43F59">
              <w:rPr>
                <w:sz w:val="18"/>
                <w:szCs w:val="18"/>
              </w:rPr>
              <w:t>None, project M&amp;E activities have not started</w:t>
            </w:r>
          </w:p>
        </w:tc>
        <w:tc>
          <w:tcPr>
            <w:tcW w:w="314" w:type="pct"/>
            <w:gridSpan w:val="2"/>
            <w:shd w:val="clear" w:color="auto" w:fill="auto"/>
            <w:vAlign w:val="center"/>
          </w:tcPr>
          <w:p w14:paraId="5CEC6CEA" w14:textId="77777777" w:rsidR="00302BFE" w:rsidRPr="00B43F59" w:rsidRDefault="00302BFE" w:rsidP="00243B15">
            <w:pPr>
              <w:spacing w:after="0"/>
              <w:jc w:val="left"/>
              <w:rPr>
                <w:sz w:val="18"/>
                <w:szCs w:val="18"/>
              </w:rPr>
            </w:pPr>
            <w:r w:rsidRPr="00B43F59">
              <w:rPr>
                <w:sz w:val="18"/>
                <w:szCs w:val="18"/>
              </w:rPr>
              <w:t>Years 1 to 6</w:t>
            </w:r>
          </w:p>
        </w:tc>
        <w:tc>
          <w:tcPr>
            <w:tcW w:w="1047" w:type="pct"/>
            <w:shd w:val="clear" w:color="auto" w:fill="auto"/>
            <w:vAlign w:val="center"/>
          </w:tcPr>
          <w:p w14:paraId="751B360E" w14:textId="77777777" w:rsidR="00302BFE" w:rsidRPr="00B43F59" w:rsidRDefault="00302BFE" w:rsidP="00243B15">
            <w:pPr>
              <w:spacing w:after="0"/>
              <w:jc w:val="left"/>
              <w:rPr>
                <w:sz w:val="18"/>
                <w:szCs w:val="18"/>
              </w:rPr>
            </w:pPr>
            <w:r w:rsidRPr="00B43F59">
              <w:rPr>
                <w:sz w:val="18"/>
                <w:szCs w:val="18"/>
              </w:rPr>
              <w:t>Gender Expert</w:t>
            </w:r>
          </w:p>
          <w:p w14:paraId="2FF5AA41" w14:textId="77777777" w:rsidR="00302BFE" w:rsidRPr="00B43F59" w:rsidRDefault="00302BFE" w:rsidP="00243B15">
            <w:pPr>
              <w:spacing w:after="0"/>
              <w:jc w:val="left"/>
              <w:rPr>
                <w:sz w:val="18"/>
                <w:szCs w:val="18"/>
              </w:rPr>
            </w:pPr>
            <w:r w:rsidRPr="00B43F59">
              <w:rPr>
                <w:sz w:val="18"/>
                <w:szCs w:val="18"/>
              </w:rPr>
              <w:t>M&amp;E Expert</w:t>
            </w:r>
          </w:p>
        </w:tc>
      </w:tr>
      <w:tr w:rsidR="00302BFE" w:rsidRPr="00B43F59" w14:paraId="0F188969" w14:textId="77777777" w:rsidTr="00243B15">
        <w:trPr>
          <w:gridAfter w:val="1"/>
          <w:wAfter w:w="6" w:type="pct"/>
          <w:jc w:val="center"/>
        </w:trPr>
        <w:tc>
          <w:tcPr>
            <w:tcW w:w="1229" w:type="pct"/>
            <w:shd w:val="clear" w:color="auto" w:fill="auto"/>
            <w:vAlign w:val="center"/>
          </w:tcPr>
          <w:p w14:paraId="246FFEDF" w14:textId="77777777" w:rsidR="00302BFE" w:rsidRPr="00B43F59" w:rsidRDefault="00302BFE" w:rsidP="00243B15">
            <w:pPr>
              <w:spacing w:after="0"/>
              <w:jc w:val="left"/>
              <w:rPr>
                <w:sz w:val="18"/>
                <w:szCs w:val="18"/>
              </w:rPr>
            </w:pPr>
            <w:r w:rsidRPr="00B43F59">
              <w:rPr>
                <w:sz w:val="18"/>
                <w:szCs w:val="18"/>
              </w:rPr>
              <w:t>Establish during the mid-term and final evaluations and other M&amp;E activities, differentiated spaces for consultation and dialogue, only with female referents on the one hand and male referents on the other (output 4.2)</w:t>
            </w:r>
          </w:p>
        </w:tc>
        <w:tc>
          <w:tcPr>
            <w:tcW w:w="1193" w:type="pct"/>
            <w:shd w:val="clear" w:color="auto" w:fill="auto"/>
            <w:vAlign w:val="center"/>
          </w:tcPr>
          <w:p w14:paraId="779186A7" w14:textId="77777777" w:rsidR="00302BFE" w:rsidRPr="00B43F59" w:rsidRDefault="00302BFE" w:rsidP="00243B15">
            <w:pPr>
              <w:spacing w:after="0"/>
              <w:jc w:val="left"/>
              <w:rPr>
                <w:sz w:val="18"/>
                <w:szCs w:val="18"/>
              </w:rPr>
            </w:pPr>
            <w:r w:rsidRPr="00B43F59">
              <w:rPr>
                <w:sz w:val="18"/>
                <w:szCs w:val="18"/>
              </w:rPr>
              <w:t>Level of women participation in monitoring and evaluation activities</w:t>
            </w:r>
          </w:p>
        </w:tc>
        <w:tc>
          <w:tcPr>
            <w:tcW w:w="605" w:type="pct"/>
            <w:shd w:val="clear" w:color="auto" w:fill="auto"/>
            <w:vAlign w:val="center"/>
          </w:tcPr>
          <w:p w14:paraId="24E7A61D" w14:textId="77777777" w:rsidR="00302BFE" w:rsidRPr="00B43F59" w:rsidRDefault="00302BFE" w:rsidP="00243B15">
            <w:pPr>
              <w:spacing w:after="0"/>
              <w:jc w:val="left"/>
              <w:rPr>
                <w:sz w:val="18"/>
                <w:szCs w:val="18"/>
              </w:rPr>
            </w:pPr>
            <w:r w:rsidRPr="00B43F59">
              <w:rPr>
                <w:sz w:val="18"/>
                <w:szCs w:val="18"/>
              </w:rPr>
              <w:t>100 % of project M&amp; E activities with women participation</w:t>
            </w:r>
          </w:p>
        </w:tc>
        <w:tc>
          <w:tcPr>
            <w:tcW w:w="606" w:type="pct"/>
            <w:shd w:val="clear" w:color="auto" w:fill="auto"/>
            <w:vAlign w:val="center"/>
          </w:tcPr>
          <w:p w14:paraId="65DC5A4F" w14:textId="77777777" w:rsidR="00302BFE" w:rsidRPr="00B43F59" w:rsidRDefault="00302BFE" w:rsidP="00243B15">
            <w:pPr>
              <w:spacing w:after="0"/>
              <w:jc w:val="left"/>
              <w:rPr>
                <w:sz w:val="18"/>
                <w:szCs w:val="18"/>
              </w:rPr>
            </w:pPr>
            <w:r w:rsidRPr="00B43F59">
              <w:rPr>
                <w:sz w:val="18"/>
                <w:szCs w:val="18"/>
              </w:rPr>
              <w:t>None, project M&amp;E activities have not started</w:t>
            </w:r>
          </w:p>
        </w:tc>
        <w:tc>
          <w:tcPr>
            <w:tcW w:w="314" w:type="pct"/>
            <w:gridSpan w:val="2"/>
            <w:shd w:val="clear" w:color="auto" w:fill="auto"/>
            <w:vAlign w:val="center"/>
          </w:tcPr>
          <w:p w14:paraId="5181763E" w14:textId="77777777" w:rsidR="00302BFE" w:rsidRPr="00B43F59" w:rsidRDefault="00302BFE" w:rsidP="00243B15">
            <w:pPr>
              <w:spacing w:after="0"/>
              <w:jc w:val="left"/>
              <w:rPr>
                <w:sz w:val="18"/>
                <w:szCs w:val="18"/>
              </w:rPr>
            </w:pPr>
            <w:r w:rsidRPr="00B43F59">
              <w:rPr>
                <w:sz w:val="18"/>
                <w:szCs w:val="18"/>
              </w:rPr>
              <w:t>Years 1 to 6</w:t>
            </w:r>
          </w:p>
        </w:tc>
        <w:tc>
          <w:tcPr>
            <w:tcW w:w="1047" w:type="pct"/>
            <w:shd w:val="clear" w:color="auto" w:fill="auto"/>
            <w:vAlign w:val="center"/>
          </w:tcPr>
          <w:p w14:paraId="6EA217CA" w14:textId="77777777" w:rsidR="00302BFE" w:rsidRPr="00B43F59" w:rsidRDefault="00302BFE" w:rsidP="00243B15">
            <w:pPr>
              <w:spacing w:after="0"/>
              <w:jc w:val="left"/>
              <w:rPr>
                <w:sz w:val="18"/>
                <w:szCs w:val="18"/>
              </w:rPr>
            </w:pPr>
            <w:r w:rsidRPr="00B43F59">
              <w:rPr>
                <w:sz w:val="18"/>
                <w:szCs w:val="18"/>
              </w:rPr>
              <w:t>Gender Expert</w:t>
            </w:r>
          </w:p>
          <w:p w14:paraId="5B779678" w14:textId="77777777" w:rsidR="00302BFE" w:rsidRDefault="00302BFE" w:rsidP="00243B15">
            <w:pPr>
              <w:spacing w:after="0"/>
              <w:jc w:val="left"/>
              <w:rPr>
                <w:sz w:val="18"/>
                <w:szCs w:val="18"/>
              </w:rPr>
            </w:pPr>
            <w:r w:rsidRPr="00B43F59">
              <w:rPr>
                <w:sz w:val="18"/>
                <w:szCs w:val="18"/>
              </w:rPr>
              <w:t>M&amp;E Expert</w:t>
            </w:r>
          </w:p>
          <w:p w14:paraId="15D45DA0" w14:textId="77777777" w:rsidR="00302BFE" w:rsidRPr="00B43F59" w:rsidRDefault="00302BFE" w:rsidP="00243B15">
            <w:pPr>
              <w:spacing w:after="0"/>
              <w:jc w:val="left"/>
              <w:rPr>
                <w:sz w:val="18"/>
                <w:szCs w:val="18"/>
              </w:rPr>
            </w:pPr>
            <w:r w:rsidRPr="00B43F59">
              <w:rPr>
                <w:sz w:val="18"/>
                <w:szCs w:val="18"/>
              </w:rPr>
              <w:t>Independent Evaluators</w:t>
            </w:r>
          </w:p>
        </w:tc>
      </w:tr>
      <w:tr w:rsidR="00302BFE" w:rsidRPr="00B43F59" w14:paraId="5D893058" w14:textId="77777777" w:rsidTr="00243B15">
        <w:trPr>
          <w:jc w:val="center"/>
        </w:trPr>
        <w:tc>
          <w:tcPr>
            <w:tcW w:w="5000" w:type="pct"/>
            <w:gridSpan w:val="8"/>
            <w:shd w:val="clear" w:color="auto" w:fill="auto"/>
          </w:tcPr>
          <w:p w14:paraId="3B5C4328" w14:textId="77777777" w:rsidR="00302BFE" w:rsidRPr="00B43F59" w:rsidRDefault="00302BFE" w:rsidP="00243B15">
            <w:pPr>
              <w:spacing w:after="0"/>
              <w:jc w:val="left"/>
              <w:rPr>
                <w:b/>
                <w:sz w:val="18"/>
                <w:szCs w:val="18"/>
                <w:lang w:val="en-CA"/>
              </w:rPr>
            </w:pPr>
            <w:r w:rsidRPr="00B43F59">
              <w:rPr>
                <w:rFonts w:eastAsia="Calibri"/>
                <w:b/>
                <w:sz w:val="18"/>
                <w:szCs w:val="18"/>
                <w:lang w:val="en-CA"/>
              </w:rPr>
              <w:t>Output 4.3. Learnings are disseminated through the project communication plan to enable their widespread adoption</w:t>
            </w:r>
          </w:p>
        </w:tc>
      </w:tr>
      <w:tr w:rsidR="00302BFE" w:rsidRPr="00B43F59" w14:paraId="670D669B" w14:textId="77777777" w:rsidTr="00243B15">
        <w:trPr>
          <w:gridAfter w:val="1"/>
          <w:wAfter w:w="6" w:type="pct"/>
          <w:trHeight w:val="964"/>
          <w:jc w:val="center"/>
        </w:trPr>
        <w:tc>
          <w:tcPr>
            <w:tcW w:w="1229" w:type="pct"/>
            <w:shd w:val="clear" w:color="auto" w:fill="auto"/>
            <w:vAlign w:val="center"/>
          </w:tcPr>
          <w:p w14:paraId="73107F80" w14:textId="77777777" w:rsidR="00302BFE" w:rsidRPr="00B43F59" w:rsidRDefault="00302BFE" w:rsidP="00243B15">
            <w:pPr>
              <w:spacing w:after="0"/>
              <w:jc w:val="left"/>
              <w:rPr>
                <w:sz w:val="18"/>
                <w:szCs w:val="18"/>
              </w:rPr>
            </w:pPr>
            <w:r w:rsidRPr="00B43F59">
              <w:rPr>
                <w:sz w:val="18"/>
                <w:szCs w:val="18"/>
              </w:rPr>
              <w:t>Ensure that the materials produced encourage the use of inclusive gender-neutral language and that women are depicted (output 4.3)</w:t>
            </w:r>
          </w:p>
        </w:tc>
        <w:tc>
          <w:tcPr>
            <w:tcW w:w="1193" w:type="pct"/>
            <w:tcBorders>
              <w:bottom w:val="single" w:sz="4" w:space="0" w:color="auto"/>
            </w:tcBorders>
            <w:shd w:val="clear" w:color="auto" w:fill="auto"/>
            <w:vAlign w:val="center"/>
          </w:tcPr>
          <w:p w14:paraId="5AF8420A" w14:textId="77777777" w:rsidR="00302BFE" w:rsidRPr="00B43F59" w:rsidRDefault="00302BFE" w:rsidP="00243B15">
            <w:pPr>
              <w:spacing w:after="0"/>
              <w:jc w:val="left"/>
              <w:rPr>
                <w:sz w:val="18"/>
                <w:szCs w:val="18"/>
              </w:rPr>
            </w:pPr>
            <w:r w:rsidRPr="00B43F59">
              <w:rPr>
                <w:sz w:val="18"/>
                <w:szCs w:val="18"/>
              </w:rPr>
              <w:t>Percent of materials produced use inclusive language with depictions of women</w:t>
            </w:r>
          </w:p>
        </w:tc>
        <w:tc>
          <w:tcPr>
            <w:tcW w:w="605" w:type="pct"/>
            <w:tcBorders>
              <w:bottom w:val="single" w:sz="4" w:space="0" w:color="auto"/>
            </w:tcBorders>
            <w:shd w:val="clear" w:color="auto" w:fill="auto"/>
            <w:vAlign w:val="center"/>
          </w:tcPr>
          <w:p w14:paraId="010A733F" w14:textId="77777777" w:rsidR="00302BFE" w:rsidRPr="00B43F59" w:rsidRDefault="00302BFE" w:rsidP="00243B15">
            <w:pPr>
              <w:spacing w:after="0"/>
              <w:jc w:val="left"/>
              <w:rPr>
                <w:sz w:val="18"/>
                <w:szCs w:val="18"/>
              </w:rPr>
            </w:pPr>
            <w:r w:rsidRPr="00B43F59">
              <w:rPr>
                <w:sz w:val="18"/>
                <w:szCs w:val="18"/>
              </w:rPr>
              <w:t xml:space="preserve">100% </w:t>
            </w:r>
          </w:p>
        </w:tc>
        <w:tc>
          <w:tcPr>
            <w:tcW w:w="606" w:type="pct"/>
            <w:tcBorders>
              <w:bottom w:val="single" w:sz="4" w:space="0" w:color="auto"/>
            </w:tcBorders>
            <w:shd w:val="clear" w:color="auto" w:fill="auto"/>
            <w:vAlign w:val="center"/>
          </w:tcPr>
          <w:p w14:paraId="08F3E3CC" w14:textId="77777777" w:rsidR="00302BFE" w:rsidRPr="00B43F59" w:rsidRDefault="00302BFE" w:rsidP="00243B15">
            <w:pPr>
              <w:spacing w:after="0"/>
              <w:jc w:val="left"/>
              <w:rPr>
                <w:sz w:val="18"/>
                <w:szCs w:val="18"/>
              </w:rPr>
            </w:pPr>
            <w:r w:rsidRPr="00B43F59">
              <w:rPr>
                <w:sz w:val="18"/>
                <w:szCs w:val="18"/>
              </w:rPr>
              <w:t>Media products not produced</w:t>
            </w:r>
          </w:p>
        </w:tc>
        <w:tc>
          <w:tcPr>
            <w:tcW w:w="314" w:type="pct"/>
            <w:gridSpan w:val="2"/>
            <w:shd w:val="clear" w:color="auto" w:fill="auto"/>
            <w:vAlign w:val="center"/>
          </w:tcPr>
          <w:p w14:paraId="0F76CD86" w14:textId="77777777" w:rsidR="00302BFE" w:rsidRPr="00B43F59" w:rsidRDefault="00302BFE" w:rsidP="00243B15">
            <w:pPr>
              <w:spacing w:after="0"/>
              <w:jc w:val="left"/>
              <w:rPr>
                <w:sz w:val="18"/>
                <w:szCs w:val="18"/>
              </w:rPr>
            </w:pPr>
            <w:r w:rsidRPr="00B43F59">
              <w:rPr>
                <w:sz w:val="18"/>
                <w:szCs w:val="18"/>
              </w:rPr>
              <w:t>Years 1 to 4</w:t>
            </w:r>
          </w:p>
        </w:tc>
        <w:tc>
          <w:tcPr>
            <w:tcW w:w="1047" w:type="pct"/>
            <w:shd w:val="clear" w:color="auto" w:fill="auto"/>
            <w:vAlign w:val="center"/>
          </w:tcPr>
          <w:p w14:paraId="5BB74670" w14:textId="77777777" w:rsidR="00302BFE" w:rsidRPr="00B43F59" w:rsidRDefault="00302BFE" w:rsidP="00243B15">
            <w:pPr>
              <w:spacing w:after="0"/>
              <w:jc w:val="left"/>
              <w:rPr>
                <w:sz w:val="18"/>
                <w:szCs w:val="18"/>
              </w:rPr>
            </w:pPr>
            <w:r w:rsidRPr="00B43F59">
              <w:rPr>
                <w:sz w:val="18"/>
                <w:szCs w:val="18"/>
              </w:rPr>
              <w:t>Communication and Knowledge Management Expert</w:t>
            </w:r>
          </w:p>
          <w:p w14:paraId="21161416" w14:textId="77777777" w:rsidR="00302BFE" w:rsidRPr="00B43F59" w:rsidRDefault="00302BFE" w:rsidP="00243B15">
            <w:pPr>
              <w:spacing w:after="0"/>
              <w:jc w:val="left"/>
              <w:rPr>
                <w:sz w:val="18"/>
                <w:szCs w:val="18"/>
              </w:rPr>
            </w:pPr>
            <w:r w:rsidRPr="00B43F59">
              <w:rPr>
                <w:sz w:val="18"/>
                <w:szCs w:val="18"/>
              </w:rPr>
              <w:t>Gender Expert</w:t>
            </w:r>
          </w:p>
        </w:tc>
      </w:tr>
      <w:bookmarkEnd w:id="76"/>
    </w:tbl>
    <w:p w14:paraId="0826479E" w14:textId="77777777" w:rsidR="00302BFE" w:rsidRDefault="00302BFE" w:rsidP="00302BFE"/>
    <w:p w14:paraId="3F961CD0" w14:textId="77777777" w:rsidR="00302BFE" w:rsidRPr="00B16682" w:rsidRDefault="00302BFE" w:rsidP="00302BFE">
      <w:pPr>
        <w:pStyle w:val="Titre2"/>
        <w:spacing w:after="120"/>
        <w:ind w:left="0"/>
        <w:rPr>
          <w:rFonts w:ascii="Calibri" w:hAnsi="Calibri"/>
          <w:szCs w:val="22"/>
        </w:rPr>
      </w:pPr>
      <w:r>
        <w:br w:type="page"/>
      </w:r>
      <w:bookmarkStart w:id="77" w:name="_Toc9961807"/>
      <w:r w:rsidRPr="00B16682">
        <w:rPr>
          <w:rFonts w:ascii="Calibri" w:hAnsi="Calibri"/>
          <w:szCs w:val="22"/>
        </w:rPr>
        <w:lastRenderedPageBreak/>
        <w:t xml:space="preserve">Annex </w:t>
      </w:r>
      <w:r>
        <w:rPr>
          <w:rFonts w:ascii="Calibri" w:hAnsi="Calibri"/>
          <w:szCs w:val="22"/>
        </w:rPr>
        <w:t>G</w:t>
      </w:r>
      <w:r w:rsidRPr="00B16682">
        <w:rPr>
          <w:rFonts w:ascii="Calibri" w:hAnsi="Calibri"/>
          <w:szCs w:val="22"/>
        </w:rPr>
        <w:t>:  UNDP Risk Log</w:t>
      </w:r>
      <w:bookmarkEnd w:id="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
        <w:gridCol w:w="3448"/>
        <w:gridCol w:w="833"/>
        <w:gridCol w:w="861"/>
        <w:gridCol w:w="1035"/>
        <w:gridCol w:w="4465"/>
        <w:gridCol w:w="852"/>
        <w:gridCol w:w="1044"/>
        <w:gridCol w:w="769"/>
        <w:gridCol w:w="684"/>
      </w:tblGrid>
      <w:tr w:rsidR="00302BFE" w:rsidRPr="00893DD1" w14:paraId="1C8BE0F4" w14:textId="77777777" w:rsidTr="00243B15">
        <w:trPr>
          <w:cantSplit/>
          <w:tblHeader/>
        </w:trPr>
        <w:tc>
          <w:tcPr>
            <w:tcW w:w="0" w:type="auto"/>
            <w:shd w:val="clear" w:color="auto" w:fill="FFCC00"/>
          </w:tcPr>
          <w:p w14:paraId="7CDC3C0A" w14:textId="77777777" w:rsidR="00302BFE" w:rsidRPr="00893DD1" w:rsidRDefault="00302BFE" w:rsidP="00243B15">
            <w:pPr>
              <w:spacing w:before="40" w:after="40"/>
              <w:jc w:val="left"/>
              <w:rPr>
                <w:rFonts w:eastAsia="Times New Roman" w:cs="Arial"/>
                <w:b/>
                <w:sz w:val="18"/>
                <w:szCs w:val="18"/>
                <w:lang w:val="en-GB"/>
              </w:rPr>
            </w:pPr>
            <w:r w:rsidRPr="00893DD1">
              <w:rPr>
                <w:rFonts w:eastAsia="Times New Roman" w:cs="Arial"/>
                <w:b/>
                <w:sz w:val="18"/>
                <w:szCs w:val="18"/>
                <w:lang w:val="en-GB"/>
              </w:rPr>
              <w:t>#</w:t>
            </w:r>
          </w:p>
        </w:tc>
        <w:tc>
          <w:tcPr>
            <w:tcW w:w="3537" w:type="dxa"/>
            <w:shd w:val="clear" w:color="auto" w:fill="FFCC00"/>
          </w:tcPr>
          <w:p w14:paraId="27F83BBA" w14:textId="77777777" w:rsidR="00302BFE" w:rsidRPr="00893DD1" w:rsidRDefault="00302BFE" w:rsidP="00243B15">
            <w:pPr>
              <w:spacing w:before="40" w:after="40"/>
              <w:jc w:val="left"/>
              <w:rPr>
                <w:rFonts w:eastAsia="Times New Roman" w:cs="Arial"/>
                <w:b/>
                <w:sz w:val="18"/>
                <w:szCs w:val="18"/>
                <w:lang w:val="en-GB"/>
              </w:rPr>
            </w:pPr>
            <w:r w:rsidRPr="00893DD1">
              <w:rPr>
                <w:rFonts w:eastAsia="Times New Roman" w:cs="Arial"/>
                <w:b/>
                <w:sz w:val="18"/>
                <w:szCs w:val="18"/>
                <w:lang w:val="en-GB"/>
              </w:rPr>
              <w:t>Description</w:t>
            </w:r>
          </w:p>
        </w:tc>
        <w:tc>
          <w:tcPr>
            <w:tcW w:w="838" w:type="dxa"/>
            <w:shd w:val="clear" w:color="auto" w:fill="FFCC00"/>
          </w:tcPr>
          <w:p w14:paraId="79181E37" w14:textId="77777777" w:rsidR="00302BFE" w:rsidRPr="00893DD1" w:rsidRDefault="00302BFE" w:rsidP="00243B15">
            <w:pPr>
              <w:spacing w:before="40" w:after="40"/>
              <w:jc w:val="left"/>
              <w:rPr>
                <w:rFonts w:eastAsia="Times New Roman" w:cs="Arial"/>
                <w:b/>
                <w:sz w:val="18"/>
                <w:szCs w:val="18"/>
                <w:lang w:val="en-GB"/>
              </w:rPr>
            </w:pPr>
            <w:r w:rsidRPr="00893DD1">
              <w:rPr>
                <w:rFonts w:eastAsia="Times New Roman" w:cs="Arial"/>
                <w:b/>
                <w:sz w:val="18"/>
                <w:szCs w:val="18"/>
                <w:lang w:val="en-GB"/>
              </w:rPr>
              <w:t>Date Identif</w:t>
            </w:r>
          </w:p>
        </w:tc>
        <w:tc>
          <w:tcPr>
            <w:tcW w:w="861" w:type="dxa"/>
            <w:shd w:val="clear" w:color="auto" w:fill="FFCC00"/>
          </w:tcPr>
          <w:p w14:paraId="2D4C2768" w14:textId="77777777" w:rsidR="00302BFE" w:rsidRPr="00893DD1" w:rsidRDefault="00302BFE" w:rsidP="00243B15">
            <w:pPr>
              <w:spacing w:before="40" w:after="40"/>
              <w:jc w:val="left"/>
              <w:rPr>
                <w:rFonts w:eastAsia="Times New Roman" w:cs="Arial"/>
                <w:b/>
                <w:sz w:val="18"/>
                <w:szCs w:val="18"/>
                <w:lang w:val="en-GB"/>
              </w:rPr>
            </w:pPr>
            <w:r w:rsidRPr="00893DD1">
              <w:rPr>
                <w:rFonts w:eastAsia="Times New Roman" w:cs="Arial"/>
                <w:b/>
                <w:sz w:val="18"/>
                <w:szCs w:val="18"/>
                <w:lang w:val="en-GB"/>
              </w:rPr>
              <w:t>Type</w:t>
            </w:r>
          </w:p>
        </w:tc>
        <w:tc>
          <w:tcPr>
            <w:tcW w:w="1035" w:type="dxa"/>
            <w:shd w:val="clear" w:color="auto" w:fill="FFCC00"/>
          </w:tcPr>
          <w:p w14:paraId="5D908B55" w14:textId="77777777" w:rsidR="00302BFE" w:rsidRPr="00893DD1" w:rsidRDefault="00302BFE" w:rsidP="00243B15">
            <w:pPr>
              <w:spacing w:before="40" w:after="40"/>
              <w:jc w:val="left"/>
              <w:rPr>
                <w:rFonts w:eastAsia="Times New Roman" w:cs="Arial"/>
                <w:b/>
                <w:sz w:val="18"/>
                <w:szCs w:val="18"/>
                <w:lang w:val="en-GB"/>
              </w:rPr>
            </w:pPr>
            <w:r w:rsidRPr="00893DD1">
              <w:rPr>
                <w:rFonts w:eastAsia="Times New Roman" w:cs="Arial"/>
                <w:b/>
                <w:sz w:val="18"/>
                <w:szCs w:val="18"/>
                <w:lang w:val="en-GB"/>
              </w:rPr>
              <w:t>Impact &amp;</w:t>
            </w:r>
          </w:p>
          <w:p w14:paraId="0D3E31D2" w14:textId="77777777" w:rsidR="00302BFE" w:rsidRPr="00893DD1" w:rsidRDefault="00302BFE" w:rsidP="00243B15">
            <w:pPr>
              <w:spacing w:before="40" w:after="40"/>
              <w:jc w:val="left"/>
              <w:rPr>
                <w:rFonts w:eastAsia="Times New Roman" w:cs="Arial"/>
                <w:b/>
                <w:sz w:val="18"/>
                <w:szCs w:val="18"/>
                <w:lang w:val="en-GB"/>
              </w:rPr>
            </w:pPr>
            <w:r w:rsidRPr="00893DD1">
              <w:rPr>
                <w:rFonts w:eastAsia="Times New Roman" w:cs="Arial"/>
                <w:b/>
                <w:sz w:val="18"/>
                <w:szCs w:val="18"/>
                <w:lang w:val="en-GB"/>
              </w:rPr>
              <w:t>Probability</w:t>
            </w:r>
          </w:p>
        </w:tc>
        <w:tc>
          <w:tcPr>
            <w:tcW w:w="4597" w:type="dxa"/>
            <w:shd w:val="clear" w:color="auto" w:fill="FFCC00"/>
          </w:tcPr>
          <w:p w14:paraId="2609F505" w14:textId="77777777" w:rsidR="00302BFE" w:rsidRPr="00893DD1" w:rsidRDefault="00302BFE" w:rsidP="00243B15">
            <w:pPr>
              <w:spacing w:before="40" w:after="40"/>
              <w:jc w:val="left"/>
              <w:rPr>
                <w:rFonts w:eastAsia="Times New Roman" w:cs="Arial"/>
                <w:b/>
                <w:sz w:val="18"/>
                <w:szCs w:val="18"/>
                <w:lang w:val="en-GB"/>
              </w:rPr>
            </w:pPr>
            <w:r w:rsidRPr="00893DD1">
              <w:rPr>
                <w:rFonts w:eastAsia="Times New Roman" w:cs="Arial"/>
                <w:b/>
                <w:sz w:val="18"/>
                <w:szCs w:val="18"/>
                <w:lang w:val="en-GB"/>
              </w:rPr>
              <w:t>Management response</w:t>
            </w:r>
          </w:p>
        </w:tc>
        <w:tc>
          <w:tcPr>
            <w:tcW w:w="852" w:type="dxa"/>
            <w:shd w:val="clear" w:color="auto" w:fill="FFCC00"/>
          </w:tcPr>
          <w:p w14:paraId="67098F57" w14:textId="77777777" w:rsidR="00302BFE" w:rsidRPr="00893DD1" w:rsidRDefault="00302BFE" w:rsidP="00243B15">
            <w:pPr>
              <w:spacing w:before="40" w:after="40"/>
              <w:jc w:val="left"/>
              <w:rPr>
                <w:rFonts w:eastAsia="Times New Roman" w:cs="Arial"/>
                <w:b/>
                <w:sz w:val="18"/>
                <w:szCs w:val="18"/>
                <w:lang w:val="en-GB"/>
              </w:rPr>
            </w:pPr>
            <w:r w:rsidRPr="00893DD1">
              <w:rPr>
                <w:rFonts w:eastAsia="Times New Roman" w:cs="Arial"/>
                <w:b/>
                <w:sz w:val="18"/>
                <w:szCs w:val="18"/>
                <w:lang w:val="en-GB"/>
              </w:rPr>
              <w:t>Owner</w:t>
            </w:r>
          </w:p>
        </w:tc>
        <w:tc>
          <w:tcPr>
            <w:tcW w:w="1044" w:type="dxa"/>
            <w:shd w:val="clear" w:color="auto" w:fill="FFCC00"/>
          </w:tcPr>
          <w:p w14:paraId="74CCE43A" w14:textId="77777777" w:rsidR="00302BFE" w:rsidRPr="00893DD1" w:rsidRDefault="00302BFE" w:rsidP="00243B15">
            <w:pPr>
              <w:spacing w:before="40" w:after="40"/>
              <w:jc w:val="left"/>
              <w:rPr>
                <w:rFonts w:eastAsia="Times New Roman" w:cs="Arial"/>
                <w:b/>
                <w:sz w:val="18"/>
                <w:szCs w:val="18"/>
                <w:lang w:val="en-GB"/>
              </w:rPr>
            </w:pPr>
            <w:r w:rsidRPr="00893DD1">
              <w:rPr>
                <w:rFonts w:eastAsia="Times New Roman" w:cs="Arial"/>
                <w:b/>
                <w:sz w:val="18"/>
                <w:szCs w:val="18"/>
                <w:lang w:val="en-GB"/>
              </w:rPr>
              <w:t>Submitted, updated by</w:t>
            </w:r>
          </w:p>
        </w:tc>
        <w:tc>
          <w:tcPr>
            <w:tcW w:w="769" w:type="dxa"/>
            <w:shd w:val="clear" w:color="auto" w:fill="FFCC00"/>
          </w:tcPr>
          <w:p w14:paraId="735C8D4A" w14:textId="77777777" w:rsidR="00302BFE" w:rsidRPr="00893DD1" w:rsidRDefault="00302BFE" w:rsidP="00243B15">
            <w:pPr>
              <w:spacing w:before="40" w:after="40"/>
              <w:jc w:val="left"/>
              <w:rPr>
                <w:rFonts w:eastAsia="Times New Roman" w:cs="Arial"/>
                <w:b/>
                <w:sz w:val="18"/>
                <w:szCs w:val="18"/>
                <w:lang w:val="en-GB"/>
              </w:rPr>
            </w:pPr>
            <w:r w:rsidRPr="00893DD1">
              <w:rPr>
                <w:rFonts w:eastAsia="Times New Roman" w:cs="Arial"/>
                <w:b/>
                <w:sz w:val="18"/>
                <w:szCs w:val="18"/>
                <w:lang w:val="en-GB"/>
              </w:rPr>
              <w:t>Last Update</w:t>
            </w:r>
          </w:p>
        </w:tc>
        <w:tc>
          <w:tcPr>
            <w:tcW w:w="684" w:type="dxa"/>
            <w:shd w:val="clear" w:color="auto" w:fill="FFCC00"/>
          </w:tcPr>
          <w:p w14:paraId="40A5326A" w14:textId="77777777" w:rsidR="00302BFE" w:rsidRPr="00893DD1" w:rsidRDefault="00302BFE" w:rsidP="00243B15">
            <w:pPr>
              <w:spacing w:before="40" w:after="40"/>
              <w:jc w:val="left"/>
              <w:rPr>
                <w:rFonts w:eastAsia="Times New Roman" w:cs="Arial"/>
                <w:b/>
                <w:sz w:val="18"/>
                <w:szCs w:val="18"/>
                <w:lang w:val="en-GB"/>
              </w:rPr>
            </w:pPr>
            <w:r w:rsidRPr="00893DD1">
              <w:rPr>
                <w:rFonts w:eastAsia="Times New Roman" w:cs="Arial"/>
                <w:b/>
                <w:sz w:val="18"/>
                <w:szCs w:val="18"/>
                <w:lang w:val="en-GB"/>
              </w:rPr>
              <w:t>Status</w:t>
            </w:r>
          </w:p>
        </w:tc>
      </w:tr>
      <w:tr w:rsidR="00302BFE" w:rsidRPr="00893DD1" w14:paraId="37712C37" w14:textId="77777777" w:rsidTr="00243B15">
        <w:tc>
          <w:tcPr>
            <w:tcW w:w="0" w:type="auto"/>
          </w:tcPr>
          <w:p w14:paraId="3D41BF51" w14:textId="77777777" w:rsidR="00302BFE" w:rsidRPr="00893DD1" w:rsidRDefault="00302BFE" w:rsidP="00243B15">
            <w:pPr>
              <w:spacing w:before="40" w:after="40"/>
              <w:jc w:val="left"/>
              <w:rPr>
                <w:rFonts w:eastAsia="Times New Roman" w:cs="Arial"/>
                <w:sz w:val="18"/>
                <w:szCs w:val="18"/>
                <w:lang w:val="en-GB"/>
              </w:rPr>
            </w:pPr>
            <w:r w:rsidRPr="00893DD1">
              <w:rPr>
                <w:rFonts w:eastAsia="Times New Roman" w:cs="Arial"/>
                <w:sz w:val="18"/>
                <w:szCs w:val="18"/>
                <w:lang w:val="en-GB"/>
              </w:rPr>
              <w:t>1</w:t>
            </w:r>
          </w:p>
        </w:tc>
        <w:tc>
          <w:tcPr>
            <w:tcW w:w="3537" w:type="dxa"/>
          </w:tcPr>
          <w:p w14:paraId="1E5555A1" w14:textId="77777777" w:rsidR="00302BFE" w:rsidRPr="00893DD1" w:rsidRDefault="00302BFE" w:rsidP="00243B15">
            <w:pPr>
              <w:spacing w:before="40" w:after="40"/>
              <w:jc w:val="left"/>
              <w:rPr>
                <w:rFonts w:eastAsia="Times New Roman" w:cs="Arial"/>
                <w:sz w:val="18"/>
                <w:szCs w:val="18"/>
              </w:rPr>
            </w:pPr>
            <w:r w:rsidRPr="00893DD1">
              <w:rPr>
                <w:rFonts w:eastAsia="Times New Roman" w:cs="Arial"/>
                <w:sz w:val="18"/>
                <w:szCs w:val="18"/>
              </w:rPr>
              <w:t>Possibility of occurrence of terrorist attacks in the project implementing area. These terrorist attacks would lead fear and anxiety which will hinder the project effective implementation and the achievement of results.</w:t>
            </w:r>
            <w:r>
              <w:rPr>
                <w:rFonts w:eastAsia="Times New Roman" w:cs="Arial"/>
                <w:sz w:val="18"/>
                <w:szCs w:val="18"/>
              </w:rPr>
              <w:t xml:space="preserve"> </w:t>
            </w:r>
          </w:p>
        </w:tc>
        <w:tc>
          <w:tcPr>
            <w:tcW w:w="838" w:type="dxa"/>
          </w:tcPr>
          <w:p w14:paraId="4AC2B4BD" w14:textId="77777777" w:rsidR="00302BFE" w:rsidRPr="00893DD1" w:rsidRDefault="00302BFE" w:rsidP="00243B15">
            <w:pPr>
              <w:spacing w:before="40" w:after="40"/>
              <w:jc w:val="left"/>
              <w:rPr>
                <w:rFonts w:eastAsia="Times New Roman" w:cs="Arial"/>
                <w:i/>
                <w:sz w:val="18"/>
                <w:szCs w:val="18"/>
                <w:lang w:val="en-GB"/>
              </w:rPr>
            </w:pPr>
            <w:r w:rsidRPr="00893DD1">
              <w:rPr>
                <w:rFonts w:eastAsia="Times New Roman" w:cs="Arial"/>
                <w:sz w:val="18"/>
                <w:szCs w:val="18"/>
                <w:lang w:val="en-GB"/>
              </w:rPr>
              <w:t>May 23, 2019</w:t>
            </w:r>
          </w:p>
        </w:tc>
        <w:tc>
          <w:tcPr>
            <w:tcW w:w="861" w:type="dxa"/>
          </w:tcPr>
          <w:p w14:paraId="2A9C99CB" w14:textId="77777777" w:rsidR="00302BFE" w:rsidRPr="00893DD1" w:rsidRDefault="00302BFE" w:rsidP="00243B15">
            <w:pPr>
              <w:spacing w:before="40" w:after="40"/>
              <w:jc w:val="left"/>
              <w:rPr>
                <w:rFonts w:eastAsia="Times New Roman" w:cs="Arial"/>
                <w:i/>
                <w:sz w:val="18"/>
                <w:szCs w:val="18"/>
              </w:rPr>
            </w:pPr>
            <w:r w:rsidRPr="00893DD1">
              <w:rPr>
                <w:rFonts w:eastAsia="Times New Roman" w:cs="Arial"/>
                <w:sz w:val="18"/>
                <w:szCs w:val="18"/>
              </w:rPr>
              <w:t>Political</w:t>
            </w:r>
          </w:p>
        </w:tc>
        <w:tc>
          <w:tcPr>
            <w:tcW w:w="1035" w:type="dxa"/>
          </w:tcPr>
          <w:p w14:paraId="54C4C022" w14:textId="77777777" w:rsidR="00302BFE" w:rsidRPr="00893DD1" w:rsidRDefault="00302BFE" w:rsidP="00243B15">
            <w:pPr>
              <w:spacing w:before="40" w:after="40"/>
              <w:jc w:val="left"/>
              <w:rPr>
                <w:rFonts w:eastAsia="Times New Roman" w:cs="Arial"/>
                <w:sz w:val="18"/>
                <w:szCs w:val="18"/>
                <w:lang w:val="en-GB"/>
              </w:rPr>
            </w:pPr>
            <w:r w:rsidRPr="00893DD1">
              <w:rPr>
                <w:rFonts w:eastAsia="Times New Roman" w:cs="Arial"/>
                <w:sz w:val="18"/>
                <w:szCs w:val="18"/>
                <w:lang w:val="en-GB"/>
              </w:rPr>
              <w:t>P = 2</w:t>
            </w:r>
          </w:p>
          <w:p w14:paraId="1B0BCBD2" w14:textId="77777777" w:rsidR="00302BFE" w:rsidRPr="00893DD1" w:rsidRDefault="00302BFE" w:rsidP="00243B15">
            <w:pPr>
              <w:spacing w:before="40" w:after="40"/>
              <w:jc w:val="left"/>
              <w:rPr>
                <w:rFonts w:eastAsia="Times New Roman" w:cs="Arial"/>
                <w:sz w:val="18"/>
                <w:szCs w:val="18"/>
                <w:lang w:val="en-GB"/>
              </w:rPr>
            </w:pPr>
            <w:r w:rsidRPr="00893DD1">
              <w:rPr>
                <w:rFonts w:eastAsia="Times New Roman" w:cs="Arial"/>
                <w:sz w:val="18"/>
                <w:szCs w:val="18"/>
                <w:lang w:val="en-GB"/>
              </w:rPr>
              <w:t>I = 4</w:t>
            </w:r>
          </w:p>
          <w:p w14:paraId="2E96E73F" w14:textId="77777777" w:rsidR="00302BFE" w:rsidRPr="00893DD1" w:rsidRDefault="00302BFE" w:rsidP="00243B15">
            <w:pPr>
              <w:spacing w:before="40" w:after="40"/>
              <w:jc w:val="left"/>
              <w:rPr>
                <w:rFonts w:eastAsia="Times New Roman" w:cs="Arial"/>
                <w:sz w:val="18"/>
                <w:szCs w:val="18"/>
                <w:lang w:val="en-GB"/>
              </w:rPr>
            </w:pPr>
          </w:p>
          <w:p w14:paraId="6E3218F3" w14:textId="77777777" w:rsidR="00302BFE" w:rsidRPr="00893DD1" w:rsidRDefault="00302BFE" w:rsidP="00243B15">
            <w:pPr>
              <w:spacing w:before="40" w:after="40"/>
              <w:jc w:val="left"/>
              <w:rPr>
                <w:rFonts w:eastAsia="Times New Roman" w:cs="Arial"/>
                <w:sz w:val="18"/>
                <w:szCs w:val="18"/>
                <w:lang w:val="en-GB"/>
              </w:rPr>
            </w:pPr>
            <w:r w:rsidRPr="00893DD1">
              <w:rPr>
                <w:rFonts w:eastAsia="Times New Roman" w:cs="Arial"/>
                <w:sz w:val="18"/>
                <w:szCs w:val="18"/>
                <w:lang w:val="en-GB"/>
              </w:rPr>
              <w:t>Moderate</w:t>
            </w:r>
          </w:p>
        </w:tc>
        <w:tc>
          <w:tcPr>
            <w:tcW w:w="4597" w:type="dxa"/>
          </w:tcPr>
          <w:p w14:paraId="12F423E8" w14:textId="77777777" w:rsidR="00302BFE" w:rsidRPr="00363257" w:rsidRDefault="00302BFE" w:rsidP="00243B15">
            <w:pPr>
              <w:spacing w:before="40" w:after="40"/>
              <w:jc w:val="left"/>
              <w:rPr>
                <w:rFonts w:eastAsia="Times New Roman" w:cs="Arial"/>
                <w:sz w:val="18"/>
                <w:szCs w:val="18"/>
              </w:rPr>
            </w:pPr>
            <w:r w:rsidRPr="00363257">
              <w:rPr>
                <w:rFonts w:eastAsia="Times New Roman" w:cs="Arial"/>
                <w:sz w:val="18"/>
                <w:szCs w:val="18"/>
              </w:rPr>
              <w:t>- Train the project's key stakeholders on safety measures and the ways to operate in difficult security environments</w:t>
            </w:r>
          </w:p>
          <w:p w14:paraId="3B12380C" w14:textId="77777777" w:rsidR="00302BFE" w:rsidRPr="00363257" w:rsidRDefault="00302BFE" w:rsidP="00243B15">
            <w:pPr>
              <w:pStyle w:val="Commentaire"/>
              <w:rPr>
                <w:sz w:val="18"/>
                <w:szCs w:val="18"/>
                <w:lang w:val="en-CA"/>
              </w:rPr>
            </w:pPr>
            <w:r w:rsidRPr="00363257">
              <w:rPr>
                <w:sz w:val="18"/>
                <w:szCs w:val="18"/>
                <w:lang w:val="en-CA"/>
              </w:rPr>
              <w:t>- Because of security issues in some parts of the country which may deter international tourists, the project will initially look at domestic travel, including from expatriates, and business travelers from Ouagadougou and existing visitors (e.g. hunters and their entourage; people staying for elephant viewing). The project provides for the identification and assessment of local safety and security issues in the PONASI landscape as well as the need for additional support.</w:t>
            </w:r>
          </w:p>
          <w:p w14:paraId="44FD0A1D" w14:textId="77777777" w:rsidR="00302BFE" w:rsidRPr="00363257" w:rsidRDefault="00302BFE" w:rsidP="00243B15">
            <w:pPr>
              <w:spacing w:before="40" w:after="40"/>
              <w:jc w:val="left"/>
              <w:rPr>
                <w:rFonts w:eastAsia="Times New Roman" w:cs="Arial"/>
                <w:sz w:val="18"/>
                <w:szCs w:val="18"/>
              </w:rPr>
            </w:pPr>
            <w:r w:rsidRPr="00363257">
              <w:rPr>
                <w:rFonts w:eastAsia="Times New Roman" w:cs="Calibri"/>
                <w:sz w:val="18"/>
                <w:szCs w:val="18"/>
                <w:lang w:val="en-CA"/>
              </w:rPr>
              <w:t xml:space="preserve">- While the PONASI area has not seen any incident and is considered as being safe, the security situation in some areas of the country and in the region is a cause for concern and is likely to deter foreign tourists to travel to Burkina Faso. A new livelihood output is included and validated by the PRF validation workshop. This output aims at developing three promising value chains based on the sustainable use of NTFP, targeting mainly women as beneficiaries, and putting in place the conditions for sustainability: Output 3.3 </w:t>
            </w:r>
            <w:r w:rsidRPr="00363257">
              <w:rPr>
                <w:rFonts w:eastAsia="Times New Roman"/>
                <w:sz w:val="18"/>
                <w:szCs w:val="18"/>
                <w:lang w:val="en-GB"/>
              </w:rPr>
              <w:t xml:space="preserve">Sustainable local forest products processing enterprises are established, providing livelihoods and generating sustained income, especially for women and vulnerable people. </w:t>
            </w:r>
            <w:r w:rsidRPr="00363257">
              <w:rPr>
                <w:rFonts w:eastAsia="Times New Roman" w:cs="Calibri"/>
                <w:sz w:val="18"/>
                <w:szCs w:val="18"/>
                <w:lang w:val="en-CA"/>
              </w:rPr>
              <w:t>This addition allows to have a more diversified strategy for the development of sustainable livelihoods linked to PAs and to the sustainable use of forest products.</w:t>
            </w:r>
          </w:p>
        </w:tc>
        <w:tc>
          <w:tcPr>
            <w:tcW w:w="852" w:type="dxa"/>
          </w:tcPr>
          <w:p w14:paraId="3A79C7A3" w14:textId="77777777" w:rsidR="00302BFE" w:rsidRPr="00893DD1" w:rsidRDefault="00302BFE" w:rsidP="00243B15">
            <w:pPr>
              <w:spacing w:before="40" w:after="40"/>
              <w:jc w:val="left"/>
              <w:rPr>
                <w:rFonts w:eastAsia="Times New Roman" w:cs="Arial"/>
                <w:sz w:val="18"/>
                <w:szCs w:val="18"/>
                <w:lang w:val="en-GB"/>
              </w:rPr>
            </w:pPr>
            <w:r w:rsidRPr="00893DD1">
              <w:rPr>
                <w:rFonts w:eastAsia="Times New Roman" w:cs="Arial"/>
                <w:sz w:val="18"/>
                <w:szCs w:val="18"/>
                <w:lang w:val="en-GB"/>
              </w:rPr>
              <w:t>MEGECC</w:t>
            </w:r>
          </w:p>
        </w:tc>
        <w:tc>
          <w:tcPr>
            <w:tcW w:w="1044" w:type="dxa"/>
          </w:tcPr>
          <w:p w14:paraId="6CEC8E88" w14:textId="77777777" w:rsidR="00302BFE" w:rsidRPr="00893DD1" w:rsidRDefault="00302BFE" w:rsidP="00243B15">
            <w:pPr>
              <w:spacing w:before="40" w:after="40"/>
              <w:jc w:val="left"/>
              <w:rPr>
                <w:rFonts w:eastAsia="Times New Roman" w:cs="Arial"/>
                <w:i/>
                <w:sz w:val="18"/>
                <w:szCs w:val="18"/>
                <w:lang w:val="en-GB"/>
              </w:rPr>
            </w:pPr>
          </w:p>
        </w:tc>
        <w:tc>
          <w:tcPr>
            <w:tcW w:w="769" w:type="dxa"/>
          </w:tcPr>
          <w:p w14:paraId="4A24DAD6" w14:textId="77777777" w:rsidR="00302BFE" w:rsidRPr="00893DD1" w:rsidRDefault="00302BFE" w:rsidP="00243B15">
            <w:pPr>
              <w:spacing w:before="40" w:after="40"/>
              <w:rPr>
                <w:sz w:val="18"/>
                <w:szCs w:val="18"/>
              </w:rPr>
            </w:pPr>
          </w:p>
        </w:tc>
        <w:tc>
          <w:tcPr>
            <w:tcW w:w="684" w:type="dxa"/>
          </w:tcPr>
          <w:p w14:paraId="02EC1F15" w14:textId="77777777" w:rsidR="00302BFE" w:rsidRPr="00893DD1" w:rsidRDefault="00302BFE" w:rsidP="00243B15">
            <w:pPr>
              <w:spacing w:before="40" w:after="40"/>
              <w:jc w:val="left"/>
              <w:rPr>
                <w:rFonts w:eastAsia="Times New Roman" w:cs="Arial"/>
                <w:sz w:val="18"/>
                <w:szCs w:val="18"/>
                <w:lang w:val="en-GB"/>
              </w:rPr>
            </w:pPr>
            <w:r w:rsidRPr="00893DD1">
              <w:rPr>
                <w:rFonts w:eastAsia="Times New Roman" w:cs="Arial"/>
                <w:sz w:val="18"/>
                <w:szCs w:val="18"/>
                <w:lang w:val="en-GB"/>
              </w:rPr>
              <w:t>-</w:t>
            </w:r>
          </w:p>
        </w:tc>
      </w:tr>
      <w:tr w:rsidR="00302BFE" w:rsidRPr="00893DD1" w14:paraId="37A7EA9B" w14:textId="77777777" w:rsidTr="00243B15">
        <w:tc>
          <w:tcPr>
            <w:tcW w:w="0" w:type="auto"/>
          </w:tcPr>
          <w:p w14:paraId="0BBA0DAE" w14:textId="77777777" w:rsidR="00302BFE" w:rsidRPr="00893DD1" w:rsidRDefault="00302BFE" w:rsidP="00243B15">
            <w:pPr>
              <w:spacing w:before="40" w:after="40"/>
              <w:jc w:val="left"/>
              <w:rPr>
                <w:rFonts w:eastAsia="Times New Roman" w:cs="Arial"/>
                <w:sz w:val="18"/>
                <w:szCs w:val="18"/>
                <w:lang w:val="en-GB"/>
              </w:rPr>
            </w:pPr>
            <w:r w:rsidRPr="00893DD1">
              <w:rPr>
                <w:rFonts w:eastAsia="Times New Roman" w:cs="Arial"/>
                <w:sz w:val="18"/>
                <w:szCs w:val="18"/>
                <w:lang w:val="en-GB"/>
              </w:rPr>
              <w:t>2</w:t>
            </w:r>
          </w:p>
        </w:tc>
        <w:tc>
          <w:tcPr>
            <w:tcW w:w="3537" w:type="dxa"/>
          </w:tcPr>
          <w:p w14:paraId="7BAB9291" w14:textId="77777777" w:rsidR="00302BFE" w:rsidRPr="00893DD1" w:rsidRDefault="00302BFE" w:rsidP="00243B15">
            <w:pPr>
              <w:spacing w:before="40" w:after="40"/>
              <w:jc w:val="left"/>
              <w:rPr>
                <w:rFonts w:eastAsia="Times New Roman" w:cs="Arial"/>
                <w:sz w:val="18"/>
                <w:szCs w:val="18"/>
              </w:rPr>
            </w:pPr>
            <w:r w:rsidRPr="00893DD1">
              <w:rPr>
                <w:rFonts w:eastAsia="Times New Roman" w:cs="Arial"/>
                <w:sz w:val="18"/>
                <w:szCs w:val="18"/>
              </w:rPr>
              <w:t>Recurrence of social movements such as strikes. These social movements would reduce the availability of staff of the public administration (Environment and Finance) who are involved in some parts of the project implementation.</w:t>
            </w:r>
          </w:p>
        </w:tc>
        <w:tc>
          <w:tcPr>
            <w:tcW w:w="838" w:type="dxa"/>
          </w:tcPr>
          <w:p w14:paraId="0022B406" w14:textId="77777777" w:rsidR="00302BFE" w:rsidRPr="00893DD1" w:rsidRDefault="00302BFE" w:rsidP="00243B15">
            <w:pPr>
              <w:spacing w:before="40" w:after="40"/>
              <w:jc w:val="left"/>
              <w:rPr>
                <w:rFonts w:eastAsia="Times New Roman" w:cs="Arial"/>
                <w:sz w:val="18"/>
                <w:szCs w:val="18"/>
                <w:lang w:val="fr-FR"/>
              </w:rPr>
            </w:pPr>
            <w:r w:rsidRPr="00893DD1">
              <w:rPr>
                <w:rFonts w:eastAsia="Times New Roman" w:cs="Arial"/>
                <w:sz w:val="18"/>
                <w:szCs w:val="18"/>
                <w:lang w:val="fr-FR"/>
              </w:rPr>
              <w:t>May 23, 2019</w:t>
            </w:r>
          </w:p>
        </w:tc>
        <w:tc>
          <w:tcPr>
            <w:tcW w:w="861" w:type="dxa"/>
          </w:tcPr>
          <w:p w14:paraId="4E60FAA8" w14:textId="77777777" w:rsidR="00302BFE" w:rsidRPr="00893DD1" w:rsidRDefault="00302BFE" w:rsidP="00243B15">
            <w:pPr>
              <w:spacing w:before="40" w:after="40"/>
              <w:jc w:val="left"/>
              <w:rPr>
                <w:rFonts w:eastAsia="Times New Roman" w:cs="Arial"/>
                <w:sz w:val="18"/>
                <w:szCs w:val="18"/>
              </w:rPr>
            </w:pPr>
            <w:r w:rsidRPr="00893DD1">
              <w:rPr>
                <w:rFonts w:eastAsia="Times New Roman" w:cs="Arial"/>
                <w:sz w:val="18"/>
                <w:szCs w:val="18"/>
              </w:rPr>
              <w:t>Political</w:t>
            </w:r>
          </w:p>
        </w:tc>
        <w:tc>
          <w:tcPr>
            <w:tcW w:w="1035" w:type="dxa"/>
          </w:tcPr>
          <w:p w14:paraId="797CECE0" w14:textId="77777777" w:rsidR="00302BFE" w:rsidRPr="00893DD1" w:rsidRDefault="00302BFE" w:rsidP="00243B15">
            <w:pPr>
              <w:spacing w:before="40" w:after="40"/>
              <w:jc w:val="left"/>
              <w:rPr>
                <w:rFonts w:eastAsia="Times New Roman" w:cs="Arial"/>
                <w:sz w:val="18"/>
                <w:szCs w:val="18"/>
                <w:lang w:val="en-GB"/>
              </w:rPr>
            </w:pPr>
            <w:r w:rsidRPr="00893DD1">
              <w:rPr>
                <w:rFonts w:eastAsia="Times New Roman" w:cs="Arial"/>
                <w:sz w:val="18"/>
                <w:szCs w:val="18"/>
                <w:lang w:val="en-GB"/>
              </w:rPr>
              <w:t>P = 3</w:t>
            </w:r>
          </w:p>
          <w:p w14:paraId="4898408A" w14:textId="77777777" w:rsidR="00302BFE" w:rsidRPr="00893DD1" w:rsidRDefault="00302BFE" w:rsidP="00243B15">
            <w:pPr>
              <w:spacing w:before="40" w:after="40"/>
              <w:jc w:val="left"/>
              <w:rPr>
                <w:rFonts w:eastAsia="Times New Roman" w:cs="Arial"/>
                <w:sz w:val="18"/>
                <w:szCs w:val="18"/>
                <w:lang w:val="en-GB"/>
              </w:rPr>
            </w:pPr>
            <w:r w:rsidRPr="00893DD1">
              <w:rPr>
                <w:rFonts w:eastAsia="Times New Roman" w:cs="Arial"/>
                <w:sz w:val="18"/>
                <w:szCs w:val="18"/>
                <w:lang w:val="en-GB"/>
              </w:rPr>
              <w:t>I = 2</w:t>
            </w:r>
          </w:p>
          <w:p w14:paraId="13F0CF05" w14:textId="77777777" w:rsidR="00302BFE" w:rsidRPr="00893DD1" w:rsidRDefault="00302BFE" w:rsidP="00243B15">
            <w:pPr>
              <w:spacing w:before="40" w:after="40"/>
              <w:jc w:val="left"/>
              <w:rPr>
                <w:rFonts w:eastAsia="Times New Roman" w:cs="Arial"/>
                <w:sz w:val="18"/>
                <w:szCs w:val="18"/>
                <w:lang w:val="en-GB"/>
              </w:rPr>
            </w:pPr>
          </w:p>
          <w:p w14:paraId="1842A0FA" w14:textId="77777777" w:rsidR="00302BFE" w:rsidRPr="00893DD1" w:rsidRDefault="00302BFE" w:rsidP="00243B15">
            <w:pPr>
              <w:spacing w:before="40" w:after="40"/>
              <w:jc w:val="left"/>
              <w:rPr>
                <w:rFonts w:eastAsia="Times New Roman" w:cs="Arial"/>
                <w:sz w:val="18"/>
                <w:szCs w:val="18"/>
                <w:lang w:val="en-GB"/>
              </w:rPr>
            </w:pPr>
            <w:r w:rsidRPr="00893DD1">
              <w:rPr>
                <w:rFonts w:eastAsia="Times New Roman" w:cs="Arial"/>
                <w:sz w:val="18"/>
                <w:szCs w:val="18"/>
                <w:lang w:val="en-GB"/>
              </w:rPr>
              <w:t>Moderate</w:t>
            </w:r>
          </w:p>
        </w:tc>
        <w:tc>
          <w:tcPr>
            <w:tcW w:w="4597" w:type="dxa"/>
          </w:tcPr>
          <w:p w14:paraId="4F264619" w14:textId="77777777" w:rsidR="00302BFE" w:rsidRPr="00893DD1" w:rsidRDefault="00302BFE" w:rsidP="00243B15">
            <w:pPr>
              <w:spacing w:before="40" w:after="40"/>
              <w:jc w:val="left"/>
              <w:rPr>
                <w:rFonts w:eastAsia="Times New Roman" w:cs="Arial"/>
                <w:sz w:val="18"/>
                <w:szCs w:val="18"/>
              </w:rPr>
            </w:pPr>
            <w:r w:rsidRPr="00893DD1">
              <w:rPr>
                <w:rFonts w:eastAsia="Times New Roman" w:cs="Arial"/>
                <w:sz w:val="18"/>
                <w:szCs w:val="18"/>
              </w:rPr>
              <w:t>Open an account for the project in a commercial bank to facilitate the deblocking of project resources in case of blockage at the level of the Treasury</w:t>
            </w:r>
          </w:p>
        </w:tc>
        <w:tc>
          <w:tcPr>
            <w:tcW w:w="852" w:type="dxa"/>
          </w:tcPr>
          <w:p w14:paraId="0A5C1E87" w14:textId="77777777" w:rsidR="00302BFE" w:rsidRPr="00893DD1" w:rsidRDefault="00302BFE" w:rsidP="00243B15">
            <w:pPr>
              <w:spacing w:before="40" w:after="40"/>
              <w:jc w:val="left"/>
              <w:rPr>
                <w:rFonts w:eastAsia="Times New Roman" w:cs="Arial"/>
                <w:sz w:val="18"/>
                <w:szCs w:val="18"/>
                <w:lang w:val="en-GB"/>
              </w:rPr>
            </w:pPr>
            <w:r w:rsidRPr="00893DD1">
              <w:rPr>
                <w:rFonts w:eastAsia="Times New Roman" w:cs="Arial"/>
                <w:sz w:val="18"/>
                <w:szCs w:val="18"/>
                <w:lang w:val="en-GB"/>
              </w:rPr>
              <w:t>MEGECC</w:t>
            </w:r>
          </w:p>
        </w:tc>
        <w:tc>
          <w:tcPr>
            <w:tcW w:w="1044" w:type="dxa"/>
          </w:tcPr>
          <w:p w14:paraId="0B0BD4AC" w14:textId="77777777" w:rsidR="00302BFE" w:rsidRPr="00893DD1" w:rsidRDefault="00302BFE" w:rsidP="00243B15">
            <w:pPr>
              <w:spacing w:before="40" w:after="40"/>
              <w:jc w:val="left"/>
              <w:rPr>
                <w:rFonts w:eastAsia="Times New Roman" w:cs="Arial"/>
                <w:i/>
                <w:sz w:val="18"/>
                <w:szCs w:val="18"/>
                <w:lang w:val="en-GB"/>
              </w:rPr>
            </w:pPr>
          </w:p>
        </w:tc>
        <w:tc>
          <w:tcPr>
            <w:tcW w:w="769" w:type="dxa"/>
          </w:tcPr>
          <w:p w14:paraId="5FEA83BA" w14:textId="77777777" w:rsidR="00302BFE" w:rsidRPr="00893DD1" w:rsidRDefault="00302BFE" w:rsidP="00243B15">
            <w:pPr>
              <w:spacing w:before="40" w:after="40"/>
              <w:rPr>
                <w:sz w:val="18"/>
                <w:szCs w:val="18"/>
              </w:rPr>
            </w:pPr>
          </w:p>
        </w:tc>
        <w:tc>
          <w:tcPr>
            <w:tcW w:w="684" w:type="dxa"/>
          </w:tcPr>
          <w:p w14:paraId="42CC6E15" w14:textId="77777777" w:rsidR="00302BFE" w:rsidRPr="00893DD1" w:rsidRDefault="00302BFE" w:rsidP="00243B15">
            <w:pPr>
              <w:spacing w:before="40" w:after="40"/>
              <w:jc w:val="left"/>
              <w:rPr>
                <w:rFonts w:eastAsia="Times New Roman" w:cs="Arial"/>
                <w:sz w:val="18"/>
                <w:szCs w:val="18"/>
                <w:lang w:val="en-GB"/>
              </w:rPr>
            </w:pPr>
            <w:r w:rsidRPr="00893DD1">
              <w:rPr>
                <w:rFonts w:eastAsia="Times New Roman" w:cs="Arial"/>
                <w:sz w:val="18"/>
                <w:szCs w:val="18"/>
                <w:lang w:val="en-GB"/>
              </w:rPr>
              <w:t>-</w:t>
            </w:r>
          </w:p>
        </w:tc>
      </w:tr>
      <w:tr w:rsidR="00302BFE" w:rsidRPr="00893DD1" w14:paraId="642245FD" w14:textId="77777777" w:rsidTr="00243B15">
        <w:tc>
          <w:tcPr>
            <w:tcW w:w="0" w:type="auto"/>
          </w:tcPr>
          <w:p w14:paraId="3FE00105" w14:textId="77777777" w:rsidR="00302BFE" w:rsidRPr="00893DD1" w:rsidRDefault="00302BFE" w:rsidP="00243B15">
            <w:pPr>
              <w:spacing w:before="40" w:after="40"/>
              <w:jc w:val="left"/>
              <w:rPr>
                <w:rFonts w:eastAsia="Times New Roman" w:cs="Arial"/>
                <w:sz w:val="18"/>
                <w:szCs w:val="18"/>
                <w:lang w:val="en-GB"/>
              </w:rPr>
            </w:pPr>
            <w:r w:rsidRPr="00893DD1">
              <w:rPr>
                <w:rFonts w:eastAsia="Times New Roman" w:cs="Arial"/>
                <w:sz w:val="18"/>
                <w:szCs w:val="18"/>
                <w:lang w:val="en-GB"/>
              </w:rPr>
              <w:t>3</w:t>
            </w:r>
          </w:p>
        </w:tc>
        <w:tc>
          <w:tcPr>
            <w:tcW w:w="3537" w:type="dxa"/>
          </w:tcPr>
          <w:p w14:paraId="0F93E5F3" w14:textId="77777777" w:rsidR="00302BFE" w:rsidRPr="00893DD1" w:rsidRDefault="00302BFE" w:rsidP="00243B15">
            <w:pPr>
              <w:spacing w:before="40" w:after="40"/>
              <w:jc w:val="left"/>
              <w:rPr>
                <w:rFonts w:eastAsia="Times New Roman" w:cs="Arial"/>
                <w:sz w:val="18"/>
                <w:szCs w:val="18"/>
              </w:rPr>
            </w:pPr>
            <w:r w:rsidRPr="00893DD1">
              <w:rPr>
                <w:rFonts w:eastAsia="Times New Roman" w:cs="Arial"/>
                <w:sz w:val="18"/>
                <w:szCs w:val="18"/>
              </w:rPr>
              <w:t>Non-availability of the government contribution in funding this project might delay the implementation of project activities supported by the government resources</w:t>
            </w:r>
          </w:p>
        </w:tc>
        <w:tc>
          <w:tcPr>
            <w:tcW w:w="838" w:type="dxa"/>
          </w:tcPr>
          <w:p w14:paraId="37E9598B" w14:textId="77777777" w:rsidR="00302BFE" w:rsidRPr="00893DD1" w:rsidRDefault="00302BFE" w:rsidP="00243B15">
            <w:pPr>
              <w:spacing w:before="40" w:after="40"/>
              <w:jc w:val="left"/>
              <w:rPr>
                <w:rFonts w:eastAsia="Times New Roman" w:cs="Arial"/>
                <w:sz w:val="18"/>
                <w:szCs w:val="18"/>
                <w:lang w:val="fr-FR"/>
              </w:rPr>
            </w:pPr>
            <w:r w:rsidRPr="00893DD1">
              <w:rPr>
                <w:rFonts w:eastAsia="Times New Roman" w:cs="Arial"/>
                <w:sz w:val="18"/>
                <w:szCs w:val="18"/>
                <w:lang w:val="fr-FR"/>
              </w:rPr>
              <w:t>May 23, 2019</w:t>
            </w:r>
          </w:p>
        </w:tc>
        <w:tc>
          <w:tcPr>
            <w:tcW w:w="861" w:type="dxa"/>
          </w:tcPr>
          <w:p w14:paraId="0E1D012A" w14:textId="77777777" w:rsidR="00302BFE" w:rsidRPr="00893DD1" w:rsidRDefault="00302BFE" w:rsidP="00243B15">
            <w:pPr>
              <w:spacing w:before="40" w:after="40"/>
              <w:jc w:val="left"/>
              <w:rPr>
                <w:rFonts w:eastAsia="Times New Roman" w:cs="Arial"/>
                <w:sz w:val="18"/>
                <w:szCs w:val="18"/>
              </w:rPr>
            </w:pPr>
            <w:r w:rsidRPr="00893DD1">
              <w:rPr>
                <w:rFonts w:eastAsia="Times New Roman" w:cs="Arial"/>
                <w:sz w:val="18"/>
                <w:szCs w:val="18"/>
              </w:rPr>
              <w:t>Financial</w:t>
            </w:r>
          </w:p>
        </w:tc>
        <w:tc>
          <w:tcPr>
            <w:tcW w:w="1035" w:type="dxa"/>
          </w:tcPr>
          <w:p w14:paraId="09C26FAB" w14:textId="77777777" w:rsidR="00302BFE" w:rsidRPr="00893DD1" w:rsidRDefault="00302BFE" w:rsidP="00243B15">
            <w:pPr>
              <w:spacing w:before="40" w:after="40"/>
              <w:jc w:val="left"/>
              <w:rPr>
                <w:rFonts w:eastAsia="Times New Roman" w:cs="Arial"/>
                <w:sz w:val="18"/>
                <w:szCs w:val="18"/>
                <w:lang w:val="en-GB"/>
              </w:rPr>
            </w:pPr>
            <w:r w:rsidRPr="00893DD1">
              <w:rPr>
                <w:rFonts w:eastAsia="Times New Roman" w:cs="Arial"/>
                <w:sz w:val="18"/>
                <w:szCs w:val="18"/>
                <w:lang w:val="en-GB"/>
              </w:rPr>
              <w:t>P = 2</w:t>
            </w:r>
          </w:p>
          <w:p w14:paraId="0342AA92" w14:textId="77777777" w:rsidR="00302BFE" w:rsidRPr="00893DD1" w:rsidRDefault="00302BFE" w:rsidP="00243B15">
            <w:pPr>
              <w:spacing w:before="40" w:after="40"/>
              <w:jc w:val="left"/>
              <w:rPr>
                <w:rFonts w:eastAsia="Times New Roman" w:cs="Arial"/>
                <w:sz w:val="18"/>
                <w:szCs w:val="18"/>
                <w:lang w:val="en-GB"/>
              </w:rPr>
            </w:pPr>
            <w:r w:rsidRPr="00893DD1">
              <w:rPr>
                <w:rFonts w:eastAsia="Times New Roman" w:cs="Arial"/>
                <w:sz w:val="18"/>
                <w:szCs w:val="18"/>
                <w:lang w:val="en-GB"/>
              </w:rPr>
              <w:t>I = 1</w:t>
            </w:r>
          </w:p>
          <w:p w14:paraId="2F966667" w14:textId="77777777" w:rsidR="00302BFE" w:rsidRPr="00893DD1" w:rsidRDefault="00302BFE" w:rsidP="00243B15">
            <w:pPr>
              <w:spacing w:before="40" w:after="40"/>
              <w:jc w:val="left"/>
              <w:rPr>
                <w:rFonts w:eastAsia="Times New Roman" w:cs="Arial"/>
                <w:sz w:val="18"/>
                <w:szCs w:val="18"/>
                <w:lang w:val="en-GB"/>
              </w:rPr>
            </w:pPr>
          </w:p>
          <w:p w14:paraId="37E33C36" w14:textId="77777777" w:rsidR="00302BFE" w:rsidRPr="00893DD1" w:rsidRDefault="00302BFE" w:rsidP="00243B15">
            <w:pPr>
              <w:spacing w:before="40" w:after="40"/>
              <w:jc w:val="left"/>
              <w:rPr>
                <w:rFonts w:eastAsia="Times New Roman" w:cs="Arial"/>
                <w:sz w:val="18"/>
                <w:szCs w:val="18"/>
                <w:lang w:val="en-GB"/>
              </w:rPr>
            </w:pPr>
            <w:r w:rsidRPr="00893DD1">
              <w:rPr>
                <w:rFonts w:eastAsia="Times New Roman" w:cs="Arial"/>
                <w:sz w:val="18"/>
                <w:szCs w:val="18"/>
                <w:lang w:val="en-GB"/>
              </w:rPr>
              <w:t>Low</w:t>
            </w:r>
          </w:p>
        </w:tc>
        <w:tc>
          <w:tcPr>
            <w:tcW w:w="4597" w:type="dxa"/>
          </w:tcPr>
          <w:p w14:paraId="2389B657" w14:textId="77777777" w:rsidR="00302BFE" w:rsidRPr="00893DD1" w:rsidRDefault="00302BFE" w:rsidP="00243B15">
            <w:pPr>
              <w:spacing w:before="40" w:after="40"/>
              <w:jc w:val="left"/>
              <w:rPr>
                <w:rFonts w:eastAsia="Times New Roman" w:cs="Arial"/>
                <w:sz w:val="18"/>
                <w:szCs w:val="18"/>
                <w:lang w:eastAsia="ja-JP"/>
              </w:rPr>
            </w:pPr>
            <w:r w:rsidRPr="00893DD1">
              <w:rPr>
                <w:rFonts w:eastAsia="Times New Roman" w:cs="Arial"/>
                <w:sz w:val="18"/>
                <w:szCs w:val="18"/>
              </w:rPr>
              <w:t xml:space="preserve">Plan provisional resources on UNDP funds to pre-finance these activities. </w:t>
            </w:r>
          </w:p>
        </w:tc>
        <w:tc>
          <w:tcPr>
            <w:tcW w:w="852" w:type="dxa"/>
          </w:tcPr>
          <w:p w14:paraId="7524EF75" w14:textId="77777777" w:rsidR="00302BFE" w:rsidRPr="00893DD1" w:rsidRDefault="00302BFE" w:rsidP="00243B15">
            <w:pPr>
              <w:spacing w:before="40" w:after="40"/>
              <w:jc w:val="left"/>
              <w:rPr>
                <w:rFonts w:eastAsia="Times New Roman" w:cs="Arial"/>
                <w:sz w:val="18"/>
                <w:szCs w:val="18"/>
                <w:lang w:val="en-GB"/>
              </w:rPr>
            </w:pPr>
            <w:r w:rsidRPr="00893DD1">
              <w:rPr>
                <w:rFonts w:eastAsia="Times New Roman" w:cs="Arial"/>
                <w:sz w:val="18"/>
                <w:szCs w:val="18"/>
                <w:lang w:val="en-GB"/>
              </w:rPr>
              <w:t>UNDP CO</w:t>
            </w:r>
          </w:p>
        </w:tc>
        <w:tc>
          <w:tcPr>
            <w:tcW w:w="1044" w:type="dxa"/>
          </w:tcPr>
          <w:p w14:paraId="25036320" w14:textId="77777777" w:rsidR="00302BFE" w:rsidRPr="00893DD1" w:rsidRDefault="00302BFE" w:rsidP="00243B15">
            <w:pPr>
              <w:spacing w:before="40" w:after="40"/>
              <w:jc w:val="left"/>
              <w:rPr>
                <w:rFonts w:eastAsia="Times New Roman" w:cs="Arial"/>
                <w:i/>
                <w:sz w:val="18"/>
                <w:szCs w:val="18"/>
                <w:lang w:val="en-GB"/>
              </w:rPr>
            </w:pPr>
          </w:p>
        </w:tc>
        <w:tc>
          <w:tcPr>
            <w:tcW w:w="769" w:type="dxa"/>
          </w:tcPr>
          <w:p w14:paraId="0DFE93C7" w14:textId="77777777" w:rsidR="00302BFE" w:rsidRPr="00893DD1" w:rsidRDefault="00302BFE" w:rsidP="00243B15">
            <w:pPr>
              <w:spacing w:before="40" w:after="40"/>
              <w:jc w:val="left"/>
              <w:rPr>
                <w:rFonts w:eastAsia="Times New Roman" w:cs="Arial"/>
                <w:i/>
                <w:sz w:val="18"/>
                <w:szCs w:val="18"/>
                <w:lang w:val="en-GB"/>
              </w:rPr>
            </w:pPr>
          </w:p>
        </w:tc>
        <w:tc>
          <w:tcPr>
            <w:tcW w:w="684" w:type="dxa"/>
          </w:tcPr>
          <w:p w14:paraId="7A77E1E7" w14:textId="77777777" w:rsidR="00302BFE" w:rsidRPr="00893DD1" w:rsidRDefault="00302BFE" w:rsidP="00243B15">
            <w:pPr>
              <w:spacing w:before="40" w:after="40"/>
              <w:jc w:val="left"/>
              <w:rPr>
                <w:rFonts w:eastAsia="Times New Roman" w:cs="Arial"/>
                <w:sz w:val="18"/>
                <w:szCs w:val="18"/>
                <w:lang w:val="en-GB"/>
              </w:rPr>
            </w:pPr>
            <w:r w:rsidRPr="00893DD1">
              <w:rPr>
                <w:rFonts w:eastAsia="Times New Roman" w:cs="Arial"/>
                <w:sz w:val="18"/>
                <w:szCs w:val="18"/>
                <w:lang w:val="en-GB"/>
              </w:rPr>
              <w:t>-</w:t>
            </w:r>
          </w:p>
        </w:tc>
      </w:tr>
      <w:tr w:rsidR="00302BFE" w:rsidRPr="00893DD1" w14:paraId="644B2A04" w14:textId="77777777" w:rsidTr="00243B15">
        <w:tc>
          <w:tcPr>
            <w:tcW w:w="0" w:type="auto"/>
          </w:tcPr>
          <w:p w14:paraId="11E3EA7B" w14:textId="77777777" w:rsidR="00302BFE" w:rsidRPr="00893DD1" w:rsidRDefault="00302BFE" w:rsidP="00243B15">
            <w:pPr>
              <w:spacing w:before="40" w:after="40"/>
              <w:jc w:val="left"/>
              <w:rPr>
                <w:rFonts w:eastAsia="Times New Roman" w:cs="Arial"/>
                <w:sz w:val="18"/>
                <w:szCs w:val="18"/>
                <w:lang w:val="en-GB"/>
              </w:rPr>
            </w:pPr>
            <w:r w:rsidRPr="00893DD1">
              <w:rPr>
                <w:rFonts w:eastAsia="Times New Roman" w:cs="Arial"/>
                <w:sz w:val="18"/>
                <w:szCs w:val="18"/>
                <w:lang w:val="en-GB"/>
              </w:rPr>
              <w:lastRenderedPageBreak/>
              <w:t>4</w:t>
            </w:r>
          </w:p>
        </w:tc>
        <w:tc>
          <w:tcPr>
            <w:tcW w:w="3537" w:type="dxa"/>
          </w:tcPr>
          <w:p w14:paraId="6FA735EA" w14:textId="77777777" w:rsidR="00302BFE" w:rsidRPr="00893DD1" w:rsidRDefault="00302BFE" w:rsidP="00243B15">
            <w:pPr>
              <w:spacing w:before="40" w:after="40"/>
              <w:jc w:val="left"/>
              <w:rPr>
                <w:rFonts w:eastAsia="Times New Roman" w:cs="Arial"/>
                <w:sz w:val="18"/>
                <w:szCs w:val="18"/>
              </w:rPr>
            </w:pPr>
            <w:r w:rsidRPr="00893DD1">
              <w:rPr>
                <w:rFonts w:eastAsia="Times New Roman" w:cs="Arial"/>
                <w:sz w:val="18"/>
                <w:szCs w:val="18"/>
              </w:rPr>
              <w:t>Capacity building of ecoguards and rangers as part of the surveillance program for the protected areas of the PONASI complex to strengthen anti-poaching measures could possibly lead to human rights abuses against vulnerable local communities.</w:t>
            </w:r>
          </w:p>
        </w:tc>
        <w:tc>
          <w:tcPr>
            <w:tcW w:w="838" w:type="dxa"/>
          </w:tcPr>
          <w:p w14:paraId="7CCC4BEA" w14:textId="77777777" w:rsidR="00302BFE" w:rsidRPr="00893DD1" w:rsidRDefault="00302BFE" w:rsidP="00243B15">
            <w:pPr>
              <w:spacing w:before="40" w:after="40"/>
              <w:jc w:val="left"/>
              <w:rPr>
                <w:rFonts w:eastAsia="Times New Roman" w:cs="Arial"/>
                <w:sz w:val="18"/>
                <w:szCs w:val="18"/>
                <w:lang w:val="en-CA"/>
              </w:rPr>
            </w:pPr>
            <w:r w:rsidRPr="00893DD1">
              <w:rPr>
                <w:rFonts w:eastAsia="Times New Roman" w:cs="Arial"/>
                <w:sz w:val="18"/>
                <w:szCs w:val="18"/>
                <w:lang w:val="fr-FR"/>
              </w:rPr>
              <w:t>May 23, 2019</w:t>
            </w:r>
          </w:p>
        </w:tc>
        <w:tc>
          <w:tcPr>
            <w:tcW w:w="861" w:type="dxa"/>
          </w:tcPr>
          <w:p w14:paraId="44893E3A" w14:textId="77777777" w:rsidR="00302BFE" w:rsidRPr="00893DD1" w:rsidRDefault="00302BFE" w:rsidP="00243B15">
            <w:pPr>
              <w:spacing w:before="40" w:after="40"/>
              <w:jc w:val="left"/>
              <w:rPr>
                <w:rFonts w:eastAsia="Times New Roman" w:cs="Arial"/>
                <w:sz w:val="18"/>
                <w:szCs w:val="18"/>
              </w:rPr>
            </w:pPr>
            <w:r w:rsidRPr="00893DD1">
              <w:rPr>
                <w:rFonts w:eastAsia="Times New Roman" w:cs="Arial"/>
                <w:sz w:val="18"/>
                <w:szCs w:val="18"/>
              </w:rPr>
              <w:t>Social</w:t>
            </w:r>
          </w:p>
        </w:tc>
        <w:tc>
          <w:tcPr>
            <w:tcW w:w="1035" w:type="dxa"/>
          </w:tcPr>
          <w:p w14:paraId="60251867" w14:textId="77777777" w:rsidR="00302BFE" w:rsidRPr="00893DD1" w:rsidRDefault="00302BFE" w:rsidP="00243B15">
            <w:pPr>
              <w:spacing w:before="40" w:after="40"/>
              <w:rPr>
                <w:rFonts w:cs="Minion Pro"/>
                <w:sz w:val="18"/>
                <w:szCs w:val="18"/>
                <w:lang w:eastAsia="ja-JP"/>
              </w:rPr>
            </w:pPr>
            <w:r w:rsidRPr="00893DD1">
              <w:rPr>
                <w:rFonts w:cs="Minion Pro"/>
                <w:sz w:val="18"/>
                <w:szCs w:val="18"/>
              </w:rPr>
              <w:t>I = 3</w:t>
            </w:r>
          </w:p>
          <w:p w14:paraId="0A25FF63" w14:textId="77777777" w:rsidR="00302BFE" w:rsidRPr="00893DD1" w:rsidRDefault="00302BFE" w:rsidP="00243B15">
            <w:pPr>
              <w:spacing w:before="40" w:after="40"/>
              <w:jc w:val="left"/>
              <w:rPr>
                <w:rFonts w:cs="Minion Pro"/>
                <w:sz w:val="18"/>
                <w:szCs w:val="18"/>
              </w:rPr>
            </w:pPr>
            <w:r w:rsidRPr="00893DD1">
              <w:rPr>
                <w:rFonts w:cs="Minion Pro"/>
                <w:sz w:val="18"/>
                <w:szCs w:val="18"/>
              </w:rPr>
              <w:t>P = 3</w:t>
            </w:r>
          </w:p>
          <w:p w14:paraId="6EC335E1" w14:textId="77777777" w:rsidR="00302BFE" w:rsidRPr="00893DD1" w:rsidRDefault="00302BFE" w:rsidP="00243B15">
            <w:pPr>
              <w:spacing w:before="40" w:after="40"/>
              <w:jc w:val="left"/>
              <w:rPr>
                <w:rFonts w:eastAsia="Times New Roman" w:cs="Arial"/>
                <w:sz w:val="18"/>
                <w:szCs w:val="18"/>
              </w:rPr>
            </w:pPr>
          </w:p>
          <w:p w14:paraId="51F6EC6D" w14:textId="77777777" w:rsidR="00302BFE" w:rsidRPr="00893DD1" w:rsidRDefault="00302BFE" w:rsidP="00243B15">
            <w:pPr>
              <w:spacing w:before="40" w:after="40"/>
              <w:jc w:val="left"/>
              <w:rPr>
                <w:rFonts w:eastAsia="Times New Roman" w:cs="Arial"/>
                <w:sz w:val="18"/>
                <w:szCs w:val="18"/>
              </w:rPr>
            </w:pPr>
            <w:r w:rsidRPr="00893DD1">
              <w:rPr>
                <w:sz w:val="18"/>
                <w:szCs w:val="18"/>
              </w:rPr>
              <w:t>Moderate</w:t>
            </w:r>
          </w:p>
        </w:tc>
        <w:tc>
          <w:tcPr>
            <w:tcW w:w="4597" w:type="dxa"/>
          </w:tcPr>
          <w:p w14:paraId="08D8FCD3" w14:textId="77777777" w:rsidR="00302BFE" w:rsidRPr="00893DD1" w:rsidRDefault="00302BFE" w:rsidP="00243B15">
            <w:pPr>
              <w:spacing w:before="40" w:after="40"/>
              <w:jc w:val="left"/>
              <w:rPr>
                <w:rFonts w:eastAsia="Cambria"/>
                <w:sz w:val="18"/>
                <w:szCs w:val="18"/>
                <w:lang w:val="en-GB"/>
              </w:rPr>
            </w:pPr>
            <w:r w:rsidRPr="00893DD1">
              <w:rPr>
                <w:sz w:val="18"/>
                <w:szCs w:val="18"/>
                <w:lang w:val="en-CA"/>
              </w:rPr>
              <w:t xml:space="preserve">Include rules in the trainings (output 2.1.3) and in the enforcement guidance documents (output 2.2.5) to prevent abusive and unjustified use of force to control poaching. </w:t>
            </w:r>
            <w:r w:rsidRPr="00893DD1">
              <w:rPr>
                <w:rFonts w:eastAsia="Cambria"/>
                <w:sz w:val="18"/>
                <w:szCs w:val="18"/>
                <w:lang w:val="en-GB"/>
              </w:rPr>
              <w:t>Clear guidelines and procedures for enforcing regulations to be identified and communicated to all stakeholders involved in surveillance and enforcement of regulations for all PAs will include stringent rules on the violation of human rights to prevent any community member, eco-guard or ranger directly or indirectly involved in surveillance activities under the project from being implicated in a case of violence against vulnerable local populations.</w:t>
            </w:r>
          </w:p>
          <w:p w14:paraId="0767DB5C" w14:textId="77777777" w:rsidR="00302BFE" w:rsidRPr="00893DD1" w:rsidRDefault="00302BFE" w:rsidP="00243B15">
            <w:pPr>
              <w:spacing w:before="40" w:after="40"/>
              <w:jc w:val="left"/>
              <w:rPr>
                <w:sz w:val="18"/>
                <w:szCs w:val="18"/>
                <w:lang w:val="en-CA" w:eastAsia="fr-CA"/>
              </w:rPr>
            </w:pPr>
            <w:r w:rsidRPr="00893DD1">
              <w:rPr>
                <w:sz w:val="18"/>
                <w:szCs w:val="18"/>
                <w:lang w:val="en-CA"/>
              </w:rPr>
              <w:t xml:space="preserve">As part of establishing a mechanism to monitor compliance and prevent/manage conflicts (output 1.5.4), </w:t>
            </w:r>
            <w:r w:rsidRPr="00893DD1">
              <w:rPr>
                <w:sz w:val="18"/>
                <w:szCs w:val="18"/>
                <w:lang w:val="en-GB"/>
              </w:rPr>
              <w:t xml:space="preserve">establish a project-level Grievance Redress Mechanism (GRM), in line with mandatory Social and Environmental Standards (SES) </w:t>
            </w:r>
            <w:r w:rsidRPr="00893DD1">
              <w:rPr>
                <w:sz w:val="18"/>
                <w:szCs w:val="18"/>
                <w:lang w:val="en-CA"/>
              </w:rPr>
              <w:t xml:space="preserve">for collaborative problem solving, as a “first line” recourse for situations in which some stakeholders have a concern about the project’s potential impacts on them. </w:t>
            </w:r>
          </w:p>
        </w:tc>
        <w:tc>
          <w:tcPr>
            <w:tcW w:w="852" w:type="dxa"/>
          </w:tcPr>
          <w:p w14:paraId="36570E72" w14:textId="77777777" w:rsidR="00302BFE" w:rsidRPr="00893DD1" w:rsidRDefault="00302BFE" w:rsidP="00243B15">
            <w:pPr>
              <w:spacing w:before="40" w:after="40"/>
              <w:jc w:val="left"/>
              <w:rPr>
                <w:rFonts w:eastAsia="Times New Roman" w:cs="Arial"/>
                <w:sz w:val="18"/>
                <w:szCs w:val="18"/>
                <w:lang w:val="en-GB"/>
              </w:rPr>
            </w:pPr>
            <w:r w:rsidRPr="00893DD1">
              <w:rPr>
                <w:rFonts w:eastAsia="Times New Roman" w:cs="Arial"/>
                <w:sz w:val="18"/>
                <w:szCs w:val="18"/>
                <w:lang w:val="en-GB"/>
              </w:rPr>
              <w:t>MEGECC</w:t>
            </w:r>
          </w:p>
        </w:tc>
        <w:tc>
          <w:tcPr>
            <w:tcW w:w="1044" w:type="dxa"/>
          </w:tcPr>
          <w:p w14:paraId="44D203D4" w14:textId="77777777" w:rsidR="00302BFE" w:rsidRPr="00893DD1" w:rsidRDefault="00302BFE" w:rsidP="00243B15">
            <w:pPr>
              <w:spacing w:before="40" w:after="40"/>
              <w:jc w:val="left"/>
              <w:rPr>
                <w:rFonts w:eastAsia="Times New Roman" w:cs="Arial"/>
                <w:sz w:val="18"/>
                <w:szCs w:val="18"/>
                <w:lang w:val="en-GB"/>
              </w:rPr>
            </w:pPr>
          </w:p>
        </w:tc>
        <w:tc>
          <w:tcPr>
            <w:tcW w:w="769" w:type="dxa"/>
          </w:tcPr>
          <w:p w14:paraId="47E9C2BE" w14:textId="77777777" w:rsidR="00302BFE" w:rsidRPr="00893DD1" w:rsidRDefault="00302BFE" w:rsidP="00243B15">
            <w:pPr>
              <w:spacing w:before="40" w:after="40"/>
              <w:jc w:val="left"/>
              <w:rPr>
                <w:rFonts w:eastAsia="Times New Roman" w:cs="Arial"/>
                <w:sz w:val="18"/>
                <w:szCs w:val="18"/>
                <w:lang w:val="en-GB"/>
              </w:rPr>
            </w:pPr>
          </w:p>
        </w:tc>
        <w:tc>
          <w:tcPr>
            <w:tcW w:w="684" w:type="dxa"/>
          </w:tcPr>
          <w:p w14:paraId="6DE0CDFC" w14:textId="77777777" w:rsidR="00302BFE" w:rsidRPr="00893DD1" w:rsidRDefault="00302BFE" w:rsidP="00243B15">
            <w:pPr>
              <w:spacing w:before="40" w:after="40"/>
              <w:jc w:val="left"/>
              <w:rPr>
                <w:rFonts w:eastAsia="Times New Roman" w:cs="Arial"/>
                <w:sz w:val="18"/>
                <w:szCs w:val="18"/>
                <w:lang w:val="en-GB"/>
              </w:rPr>
            </w:pPr>
          </w:p>
        </w:tc>
      </w:tr>
      <w:tr w:rsidR="00302BFE" w:rsidRPr="00893DD1" w14:paraId="5AA0C9AF" w14:textId="77777777" w:rsidTr="00243B15">
        <w:tc>
          <w:tcPr>
            <w:tcW w:w="0" w:type="auto"/>
          </w:tcPr>
          <w:p w14:paraId="3297C3D4" w14:textId="77777777" w:rsidR="00302BFE" w:rsidRPr="00893DD1" w:rsidRDefault="00302BFE" w:rsidP="00243B15">
            <w:pPr>
              <w:spacing w:before="40" w:after="40"/>
              <w:jc w:val="left"/>
              <w:rPr>
                <w:rFonts w:eastAsia="Times New Roman" w:cs="Arial"/>
                <w:sz w:val="18"/>
                <w:szCs w:val="18"/>
                <w:lang w:val="en-GB"/>
              </w:rPr>
            </w:pPr>
            <w:r w:rsidRPr="00893DD1">
              <w:rPr>
                <w:rFonts w:eastAsia="Times New Roman" w:cs="Arial"/>
                <w:sz w:val="18"/>
                <w:szCs w:val="18"/>
                <w:lang w:val="en-GB"/>
              </w:rPr>
              <w:t>5</w:t>
            </w:r>
          </w:p>
        </w:tc>
        <w:tc>
          <w:tcPr>
            <w:tcW w:w="3537" w:type="dxa"/>
          </w:tcPr>
          <w:p w14:paraId="034076D5" w14:textId="77777777" w:rsidR="00302BFE" w:rsidRPr="00893DD1" w:rsidRDefault="00302BFE" w:rsidP="00243B15">
            <w:pPr>
              <w:spacing w:before="40" w:after="40"/>
              <w:jc w:val="left"/>
              <w:rPr>
                <w:sz w:val="18"/>
                <w:szCs w:val="18"/>
                <w:lang w:val="en-CA"/>
              </w:rPr>
            </w:pPr>
            <w:r w:rsidRPr="00893DD1">
              <w:rPr>
                <w:sz w:val="18"/>
                <w:szCs w:val="18"/>
                <w:lang w:val="en-CA"/>
              </w:rPr>
              <w:t>New techniques of agriculture, pastoralism or exploitation of forest products may affect communities in their natural resource use patterns, especially women.</w:t>
            </w:r>
          </w:p>
          <w:p w14:paraId="5B1B828C" w14:textId="77777777" w:rsidR="00302BFE" w:rsidRPr="00893DD1" w:rsidRDefault="00302BFE" w:rsidP="00243B15">
            <w:pPr>
              <w:spacing w:before="40" w:after="40"/>
              <w:jc w:val="left"/>
              <w:rPr>
                <w:rFonts w:eastAsia="Times New Roman" w:cs="Arial"/>
                <w:sz w:val="18"/>
                <w:szCs w:val="18"/>
              </w:rPr>
            </w:pPr>
            <w:r w:rsidRPr="00893DD1">
              <w:rPr>
                <w:sz w:val="18"/>
                <w:szCs w:val="18"/>
                <w:lang w:val="en-CA"/>
              </w:rPr>
              <w:t>Access to resources in the family plot is open for household members, men and women. In general, NWFPs are for women and young people, except for the néré that has social value and whose collection is supervised men. Anything that is outside of the family farm is open access. However, when profitable chains are developed, as planned under output 3.3, men are interested and compete with women. Shea has gained in value over the past 5 years and is now collected by men who bring them directly to the market. In some sites, this competition for collecting leads to the collection of immature fruits.</w:t>
            </w:r>
          </w:p>
        </w:tc>
        <w:tc>
          <w:tcPr>
            <w:tcW w:w="838" w:type="dxa"/>
          </w:tcPr>
          <w:p w14:paraId="496C2567" w14:textId="77777777" w:rsidR="00302BFE" w:rsidRPr="00893DD1" w:rsidRDefault="00302BFE" w:rsidP="00243B15">
            <w:pPr>
              <w:spacing w:before="40" w:after="40"/>
              <w:jc w:val="left"/>
              <w:rPr>
                <w:rFonts w:eastAsia="Times New Roman" w:cs="Arial"/>
                <w:sz w:val="18"/>
                <w:szCs w:val="18"/>
                <w:lang w:val="en-CA"/>
              </w:rPr>
            </w:pPr>
            <w:r w:rsidRPr="00893DD1">
              <w:rPr>
                <w:rFonts w:eastAsia="Times New Roman" w:cs="Arial"/>
                <w:sz w:val="18"/>
                <w:szCs w:val="18"/>
                <w:lang w:val="fr-FR"/>
              </w:rPr>
              <w:t>May 23, 2019</w:t>
            </w:r>
          </w:p>
        </w:tc>
        <w:tc>
          <w:tcPr>
            <w:tcW w:w="861" w:type="dxa"/>
          </w:tcPr>
          <w:p w14:paraId="54E3CA84" w14:textId="77777777" w:rsidR="00302BFE" w:rsidRPr="00893DD1" w:rsidRDefault="00302BFE" w:rsidP="00243B15">
            <w:pPr>
              <w:spacing w:before="40" w:after="40"/>
              <w:jc w:val="left"/>
              <w:rPr>
                <w:rFonts w:eastAsia="Times New Roman" w:cs="Arial"/>
                <w:sz w:val="18"/>
                <w:szCs w:val="18"/>
              </w:rPr>
            </w:pPr>
            <w:r w:rsidRPr="00893DD1">
              <w:rPr>
                <w:rFonts w:eastAsia="Times New Roman" w:cs="Arial"/>
                <w:sz w:val="18"/>
                <w:szCs w:val="18"/>
              </w:rPr>
              <w:t>Social</w:t>
            </w:r>
          </w:p>
        </w:tc>
        <w:tc>
          <w:tcPr>
            <w:tcW w:w="1035" w:type="dxa"/>
          </w:tcPr>
          <w:p w14:paraId="41DD0B96" w14:textId="77777777" w:rsidR="00302BFE" w:rsidRPr="00893DD1" w:rsidRDefault="00302BFE" w:rsidP="00243B15">
            <w:pPr>
              <w:spacing w:before="40" w:after="40"/>
              <w:rPr>
                <w:rFonts w:cs="Minion Pro"/>
                <w:sz w:val="18"/>
                <w:szCs w:val="18"/>
                <w:lang w:eastAsia="ja-JP"/>
              </w:rPr>
            </w:pPr>
            <w:r w:rsidRPr="00893DD1">
              <w:rPr>
                <w:rFonts w:cs="Minion Pro"/>
                <w:sz w:val="18"/>
                <w:szCs w:val="18"/>
              </w:rPr>
              <w:t>I = 3</w:t>
            </w:r>
          </w:p>
          <w:p w14:paraId="581246F8" w14:textId="77777777" w:rsidR="00302BFE" w:rsidRPr="00893DD1" w:rsidRDefault="00302BFE" w:rsidP="00243B15">
            <w:pPr>
              <w:spacing w:before="40" w:after="40"/>
              <w:jc w:val="left"/>
              <w:rPr>
                <w:rFonts w:cs="Minion Pro"/>
                <w:sz w:val="18"/>
                <w:szCs w:val="18"/>
              </w:rPr>
            </w:pPr>
            <w:r w:rsidRPr="00893DD1">
              <w:rPr>
                <w:rFonts w:cs="Minion Pro"/>
                <w:sz w:val="18"/>
                <w:szCs w:val="18"/>
              </w:rPr>
              <w:t>P = 3</w:t>
            </w:r>
          </w:p>
          <w:p w14:paraId="50396AE4" w14:textId="77777777" w:rsidR="00302BFE" w:rsidRPr="00893DD1" w:rsidRDefault="00302BFE" w:rsidP="00243B15">
            <w:pPr>
              <w:spacing w:before="40" w:after="40"/>
              <w:jc w:val="left"/>
              <w:rPr>
                <w:rFonts w:eastAsia="Times New Roman" w:cs="Arial"/>
                <w:sz w:val="18"/>
                <w:szCs w:val="18"/>
              </w:rPr>
            </w:pPr>
          </w:p>
          <w:p w14:paraId="45C67BA7" w14:textId="77777777" w:rsidR="00302BFE" w:rsidRPr="00893DD1" w:rsidRDefault="00302BFE" w:rsidP="00243B15">
            <w:pPr>
              <w:spacing w:before="40" w:after="40"/>
              <w:jc w:val="left"/>
              <w:rPr>
                <w:rFonts w:eastAsia="Times New Roman" w:cs="Arial"/>
                <w:sz w:val="18"/>
                <w:szCs w:val="18"/>
              </w:rPr>
            </w:pPr>
            <w:r w:rsidRPr="00893DD1">
              <w:rPr>
                <w:sz w:val="18"/>
                <w:szCs w:val="18"/>
              </w:rPr>
              <w:t>Moderate</w:t>
            </w:r>
          </w:p>
        </w:tc>
        <w:tc>
          <w:tcPr>
            <w:tcW w:w="4597" w:type="dxa"/>
          </w:tcPr>
          <w:p w14:paraId="6A8292CD" w14:textId="77777777" w:rsidR="00302BFE" w:rsidRPr="00893DD1" w:rsidRDefault="00302BFE" w:rsidP="00243B15">
            <w:pPr>
              <w:pStyle w:val="PIFPara"/>
              <w:numPr>
                <w:ilvl w:val="0"/>
                <w:numId w:val="0"/>
              </w:numPr>
              <w:spacing w:before="40" w:after="40"/>
              <w:jc w:val="left"/>
              <w:rPr>
                <w:rFonts w:ascii="Calibri" w:hAnsi="Calibri"/>
                <w:sz w:val="18"/>
                <w:szCs w:val="18"/>
                <w:lang w:val="en-CA" w:eastAsia="ja-JP"/>
              </w:rPr>
            </w:pPr>
            <w:r w:rsidRPr="00893DD1">
              <w:rPr>
                <w:rFonts w:ascii="Calibri" w:hAnsi="Calibri"/>
                <w:sz w:val="18"/>
                <w:szCs w:val="18"/>
                <w:lang w:val="en-CA" w:eastAsia="ja-JP"/>
              </w:rPr>
              <w:t>With the support of traditional authorities, identify those segments of the population who are negatively affected by project interventions, including the loss or reduction of access to resources through enhanced access rules to corridors and protected areas.</w:t>
            </w:r>
          </w:p>
          <w:p w14:paraId="2E46BA36" w14:textId="77777777" w:rsidR="00302BFE" w:rsidRPr="00893DD1" w:rsidRDefault="00302BFE" w:rsidP="00243B15">
            <w:pPr>
              <w:pStyle w:val="PIFPara"/>
              <w:numPr>
                <w:ilvl w:val="0"/>
                <w:numId w:val="0"/>
              </w:numPr>
              <w:spacing w:before="40" w:after="40"/>
              <w:jc w:val="left"/>
              <w:rPr>
                <w:rFonts w:ascii="Calibri" w:hAnsi="Calibri"/>
                <w:sz w:val="18"/>
                <w:szCs w:val="18"/>
                <w:lang w:val="en-CA" w:eastAsia="ja-JP"/>
              </w:rPr>
            </w:pPr>
            <w:r w:rsidRPr="00893DD1">
              <w:rPr>
                <w:rFonts w:ascii="Calibri" w:hAnsi="Calibri"/>
                <w:sz w:val="18"/>
                <w:szCs w:val="18"/>
                <w:lang w:val="en-CA" w:eastAsia="ja-JP"/>
              </w:rPr>
              <w:t xml:space="preserve">Areas in corridors 1 and 2 will be negotiated with the local authorities (village chief, chief of land), demarcated and certified for the production of organic shea for the benefit of the groups of women involved. These areas will be identified and delimitated as shea production areas and agreements and specifications will be developed to secure access to resources in these production areas for members of the women cooperative and supervise activities and ensure their sustainability. </w:t>
            </w:r>
          </w:p>
          <w:p w14:paraId="6A626722" w14:textId="77777777" w:rsidR="00302BFE" w:rsidRPr="00893DD1" w:rsidRDefault="00302BFE" w:rsidP="00243B15">
            <w:pPr>
              <w:pStyle w:val="PIFPara"/>
              <w:numPr>
                <w:ilvl w:val="0"/>
                <w:numId w:val="0"/>
              </w:numPr>
              <w:spacing w:before="40" w:after="40"/>
              <w:jc w:val="left"/>
              <w:rPr>
                <w:rFonts w:ascii="Calibri" w:hAnsi="Calibri"/>
                <w:sz w:val="18"/>
                <w:szCs w:val="18"/>
                <w:lang w:val="en-CA" w:eastAsia="ja-JP"/>
              </w:rPr>
            </w:pPr>
            <w:r w:rsidRPr="00893DD1">
              <w:rPr>
                <w:rFonts w:ascii="Calibri" w:hAnsi="Calibri"/>
                <w:sz w:val="18"/>
                <w:szCs w:val="18"/>
                <w:lang w:val="en-CA" w:eastAsia="ja-JP"/>
              </w:rPr>
              <w:t>Adopt a gender-sensitive approach to foster women participation in decision-making and planning processes supported by the project and ensure their representation and effective participation in the co-governance platform for the management of the PONASI landscape</w:t>
            </w:r>
          </w:p>
        </w:tc>
        <w:tc>
          <w:tcPr>
            <w:tcW w:w="852" w:type="dxa"/>
          </w:tcPr>
          <w:p w14:paraId="5C1B620F" w14:textId="77777777" w:rsidR="00302BFE" w:rsidRPr="00893DD1" w:rsidRDefault="00302BFE" w:rsidP="00243B15">
            <w:pPr>
              <w:spacing w:before="40" w:after="40"/>
              <w:jc w:val="left"/>
              <w:rPr>
                <w:rFonts w:eastAsia="Times New Roman" w:cs="Arial"/>
                <w:sz w:val="18"/>
                <w:szCs w:val="18"/>
                <w:lang w:val="en-GB"/>
              </w:rPr>
            </w:pPr>
            <w:r w:rsidRPr="00ED27AE">
              <w:rPr>
                <w:rFonts w:eastAsia="Times New Roman" w:cs="Arial"/>
                <w:sz w:val="18"/>
                <w:szCs w:val="18"/>
                <w:lang w:val="en-GB"/>
              </w:rPr>
              <w:t>MEGECC</w:t>
            </w:r>
          </w:p>
        </w:tc>
        <w:tc>
          <w:tcPr>
            <w:tcW w:w="1044" w:type="dxa"/>
          </w:tcPr>
          <w:p w14:paraId="218DCA12" w14:textId="77777777" w:rsidR="00302BFE" w:rsidRPr="00893DD1" w:rsidRDefault="00302BFE" w:rsidP="00243B15">
            <w:pPr>
              <w:spacing w:before="40" w:after="40"/>
              <w:jc w:val="left"/>
              <w:rPr>
                <w:rFonts w:eastAsia="Times New Roman" w:cs="Arial"/>
                <w:sz w:val="18"/>
                <w:szCs w:val="18"/>
                <w:lang w:val="en-GB"/>
              </w:rPr>
            </w:pPr>
          </w:p>
        </w:tc>
        <w:tc>
          <w:tcPr>
            <w:tcW w:w="769" w:type="dxa"/>
          </w:tcPr>
          <w:p w14:paraId="578DC83D" w14:textId="77777777" w:rsidR="00302BFE" w:rsidRPr="00893DD1" w:rsidRDefault="00302BFE" w:rsidP="00243B15">
            <w:pPr>
              <w:spacing w:before="40" w:after="40"/>
              <w:jc w:val="left"/>
              <w:rPr>
                <w:rFonts w:eastAsia="Times New Roman" w:cs="Arial"/>
                <w:sz w:val="18"/>
                <w:szCs w:val="18"/>
                <w:lang w:val="en-GB"/>
              </w:rPr>
            </w:pPr>
          </w:p>
        </w:tc>
        <w:tc>
          <w:tcPr>
            <w:tcW w:w="684" w:type="dxa"/>
          </w:tcPr>
          <w:p w14:paraId="7547B2BC" w14:textId="77777777" w:rsidR="00302BFE" w:rsidRPr="00893DD1" w:rsidRDefault="00302BFE" w:rsidP="00243B15">
            <w:pPr>
              <w:spacing w:before="40" w:after="40"/>
              <w:jc w:val="left"/>
              <w:rPr>
                <w:rFonts w:eastAsia="Times New Roman" w:cs="Arial"/>
                <w:sz w:val="18"/>
                <w:szCs w:val="18"/>
                <w:lang w:val="en-GB"/>
              </w:rPr>
            </w:pPr>
          </w:p>
        </w:tc>
      </w:tr>
      <w:tr w:rsidR="00302BFE" w:rsidRPr="00893DD1" w14:paraId="614DDC7A" w14:textId="77777777" w:rsidTr="00243B15">
        <w:tc>
          <w:tcPr>
            <w:tcW w:w="0" w:type="auto"/>
          </w:tcPr>
          <w:p w14:paraId="65663449" w14:textId="77777777" w:rsidR="00302BFE" w:rsidRPr="00893DD1" w:rsidRDefault="00302BFE" w:rsidP="00243B15">
            <w:pPr>
              <w:spacing w:before="40" w:after="40"/>
              <w:jc w:val="left"/>
              <w:rPr>
                <w:rFonts w:eastAsia="Times New Roman" w:cs="Arial"/>
                <w:sz w:val="18"/>
                <w:szCs w:val="18"/>
                <w:lang w:val="en-GB"/>
              </w:rPr>
            </w:pPr>
            <w:r w:rsidRPr="00893DD1">
              <w:rPr>
                <w:rFonts w:eastAsia="Times New Roman" w:cs="Arial"/>
                <w:sz w:val="18"/>
                <w:szCs w:val="18"/>
                <w:lang w:val="en-GB"/>
              </w:rPr>
              <w:t>6</w:t>
            </w:r>
          </w:p>
        </w:tc>
        <w:tc>
          <w:tcPr>
            <w:tcW w:w="3537" w:type="dxa"/>
          </w:tcPr>
          <w:p w14:paraId="1CF0BC13" w14:textId="77777777" w:rsidR="00302BFE" w:rsidRPr="00893DD1" w:rsidRDefault="00302BFE" w:rsidP="00243B15">
            <w:pPr>
              <w:spacing w:before="40" w:after="40"/>
              <w:jc w:val="left"/>
              <w:rPr>
                <w:sz w:val="18"/>
                <w:szCs w:val="18"/>
                <w:lang w:val="en-CA"/>
              </w:rPr>
            </w:pPr>
            <w:r w:rsidRPr="00893DD1">
              <w:rPr>
                <w:sz w:val="18"/>
                <w:szCs w:val="18"/>
                <w:lang w:val="en-CA"/>
              </w:rPr>
              <w:t xml:space="preserve">Proposed project activities are located in or near critical habitats and / or ecologically </w:t>
            </w:r>
            <w:r w:rsidRPr="00893DD1">
              <w:rPr>
                <w:sz w:val="18"/>
                <w:szCs w:val="18"/>
                <w:lang w:val="en-CA"/>
              </w:rPr>
              <w:lastRenderedPageBreak/>
              <w:t>sensitive areas, such as legally protected areas.</w:t>
            </w:r>
          </w:p>
          <w:p w14:paraId="5A6BD96D" w14:textId="77777777" w:rsidR="00302BFE" w:rsidRPr="00893DD1" w:rsidRDefault="00302BFE" w:rsidP="00243B15">
            <w:pPr>
              <w:spacing w:before="40" w:after="40"/>
              <w:jc w:val="left"/>
              <w:rPr>
                <w:rFonts w:eastAsia="Times New Roman" w:cs="Arial"/>
                <w:sz w:val="18"/>
                <w:szCs w:val="18"/>
              </w:rPr>
            </w:pPr>
            <w:r w:rsidRPr="00893DD1">
              <w:rPr>
                <w:sz w:val="18"/>
                <w:szCs w:val="18"/>
                <w:lang w:val="en-GB"/>
              </w:rPr>
              <w:t xml:space="preserve">A new building will be constructed to provide adequate space for the PNKT management unit offices, common workspaces </w:t>
            </w:r>
            <w:r w:rsidRPr="00893DD1">
              <w:rPr>
                <w:rFonts w:cs="Calibri Light"/>
                <w:sz w:val="18"/>
                <w:szCs w:val="18"/>
              </w:rPr>
              <w:t>and tourist facilities.</w:t>
            </w:r>
          </w:p>
        </w:tc>
        <w:tc>
          <w:tcPr>
            <w:tcW w:w="838" w:type="dxa"/>
          </w:tcPr>
          <w:p w14:paraId="76811119" w14:textId="77777777" w:rsidR="00302BFE" w:rsidRPr="00893DD1" w:rsidRDefault="00302BFE" w:rsidP="00243B15">
            <w:pPr>
              <w:spacing w:before="40" w:after="40"/>
              <w:jc w:val="left"/>
              <w:rPr>
                <w:rFonts w:eastAsia="Times New Roman" w:cs="Arial"/>
                <w:sz w:val="18"/>
                <w:szCs w:val="18"/>
                <w:lang w:val="en-CA"/>
              </w:rPr>
            </w:pPr>
            <w:r w:rsidRPr="00893DD1">
              <w:rPr>
                <w:rFonts w:eastAsia="Times New Roman" w:cs="Arial"/>
                <w:sz w:val="18"/>
                <w:szCs w:val="18"/>
                <w:lang w:val="fr-FR"/>
              </w:rPr>
              <w:lastRenderedPageBreak/>
              <w:t>May 23, 2019</w:t>
            </w:r>
          </w:p>
        </w:tc>
        <w:tc>
          <w:tcPr>
            <w:tcW w:w="861" w:type="dxa"/>
          </w:tcPr>
          <w:p w14:paraId="5079D881" w14:textId="77777777" w:rsidR="00302BFE" w:rsidRPr="00893DD1" w:rsidRDefault="00302BFE" w:rsidP="00243B15">
            <w:pPr>
              <w:spacing w:before="40" w:after="40"/>
              <w:jc w:val="left"/>
              <w:rPr>
                <w:rFonts w:eastAsia="Times New Roman" w:cs="Arial"/>
                <w:sz w:val="18"/>
                <w:szCs w:val="18"/>
              </w:rPr>
            </w:pPr>
            <w:r w:rsidRPr="00893DD1">
              <w:rPr>
                <w:rFonts w:eastAsia="Times New Roman" w:cs="Arial"/>
                <w:sz w:val="18"/>
                <w:szCs w:val="18"/>
              </w:rPr>
              <w:t>Environ-mental</w:t>
            </w:r>
          </w:p>
        </w:tc>
        <w:tc>
          <w:tcPr>
            <w:tcW w:w="1035" w:type="dxa"/>
          </w:tcPr>
          <w:p w14:paraId="6D73A068" w14:textId="77777777" w:rsidR="00302BFE" w:rsidRPr="00893DD1" w:rsidRDefault="00302BFE" w:rsidP="00243B15">
            <w:pPr>
              <w:spacing w:before="40" w:after="40"/>
              <w:rPr>
                <w:rFonts w:cs="Minion Pro"/>
                <w:sz w:val="18"/>
                <w:szCs w:val="18"/>
                <w:lang w:eastAsia="ja-JP"/>
              </w:rPr>
            </w:pPr>
            <w:r w:rsidRPr="00893DD1">
              <w:rPr>
                <w:rFonts w:cs="Minion Pro"/>
                <w:sz w:val="18"/>
                <w:szCs w:val="18"/>
              </w:rPr>
              <w:t>I = 2</w:t>
            </w:r>
          </w:p>
          <w:p w14:paraId="07DDA3EE" w14:textId="77777777" w:rsidR="00302BFE" w:rsidRPr="00893DD1" w:rsidRDefault="00302BFE" w:rsidP="00243B15">
            <w:pPr>
              <w:spacing w:before="40" w:after="40"/>
              <w:jc w:val="left"/>
              <w:rPr>
                <w:rFonts w:cs="Minion Pro"/>
                <w:sz w:val="18"/>
                <w:szCs w:val="18"/>
              </w:rPr>
            </w:pPr>
            <w:r w:rsidRPr="00893DD1">
              <w:rPr>
                <w:rFonts w:cs="Minion Pro"/>
                <w:sz w:val="18"/>
                <w:szCs w:val="18"/>
              </w:rPr>
              <w:lastRenderedPageBreak/>
              <w:t>P = 5</w:t>
            </w:r>
          </w:p>
          <w:p w14:paraId="5CE69589" w14:textId="77777777" w:rsidR="00302BFE" w:rsidRPr="00893DD1" w:rsidRDefault="00302BFE" w:rsidP="00243B15">
            <w:pPr>
              <w:spacing w:before="40" w:after="40"/>
              <w:jc w:val="left"/>
              <w:rPr>
                <w:rFonts w:eastAsia="Times New Roman" w:cs="Arial"/>
                <w:sz w:val="18"/>
                <w:szCs w:val="18"/>
              </w:rPr>
            </w:pPr>
          </w:p>
          <w:p w14:paraId="15038BD4" w14:textId="77777777" w:rsidR="00302BFE" w:rsidRPr="00893DD1" w:rsidRDefault="00302BFE" w:rsidP="00243B15">
            <w:pPr>
              <w:spacing w:before="40" w:after="40"/>
              <w:jc w:val="left"/>
              <w:rPr>
                <w:rFonts w:eastAsia="Times New Roman" w:cs="Arial"/>
                <w:sz w:val="18"/>
                <w:szCs w:val="18"/>
              </w:rPr>
            </w:pPr>
            <w:r w:rsidRPr="00893DD1">
              <w:rPr>
                <w:sz w:val="18"/>
                <w:szCs w:val="18"/>
              </w:rPr>
              <w:t>Moderate</w:t>
            </w:r>
          </w:p>
        </w:tc>
        <w:tc>
          <w:tcPr>
            <w:tcW w:w="4597" w:type="dxa"/>
          </w:tcPr>
          <w:p w14:paraId="4417FC70" w14:textId="77777777" w:rsidR="00302BFE" w:rsidRPr="00893DD1" w:rsidRDefault="00302BFE" w:rsidP="00243B15">
            <w:pPr>
              <w:spacing w:before="40" w:after="40"/>
              <w:jc w:val="left"/>
              <w:rPr>
                <w:rFonts w:eastAsia="Times New Roman" w:cs="Arial"/>
                <w:sz w:val="18"/>
                <w:szCs w:val="18"/>
              </w:rPr>
            </w:pPr>
            <w:r w:rsidRPr="00893DD1">
              <w:rPr>
                <w:sz w:val="18"/>
                <w:szCs w:val="18"/>
                <w:lang w:val="en-CA"/>
              </w:rPr>
              <w:lastRenderedPageBreak/>
              <w:t xml:space="preserve">All activities of component 2 will contribute to improve the effectiveness of their management in compliance </w:t>
            </w:r>
            <w:r w:rsidRPr="00893DD1">
              <w:rPr>
                <w:sz w:val="18"/>
                <w:szCs w:val="18"/>
                <w:lang w:val="en-CA"/>
              </w:rPr>
              <w:lastRenderedPageBreak/>
              <w:t xml:space="preserve">with the limitations prescribed by law, particularly the 2011 Forest Code. The interventions proposed in the project strictly avoid engaging in any activity likely to have adverse effects on the fauna and flora or on the integrity of protected areas. </w:t>
            </w:r>
            <w:r w:rsidRPr="00893DD1">
              <w:rPr>
                <w:sz w:val="18"/>
                <w:szCs w:val="18"/>
                <w:lang w:val="en-GB"/>
              </w:rPr>
              <w:t xml:space="preserve">To avoid negative impacts on the protected area and sensitive resources and </w:t>
            </w:r>
            <w:r w:rsidRPr="00893DD1">
              <w:rPr>
                <w:rFonts w:cs="Calibri Light"/>
                <w:sz w:val="18"/>
                <w:szCs w:val="18"/>
              </w:rPr>
              <w:t>to be consistent with legal constraints,</w:t>
            </w:r>
            <w:r w:rsidRPr="00893DD1">
              <w:rPr>
                <w:sz w:val="18"/>
                <w:szCs w:val="18"/>
                <w:lang w:val="en-GB"/>
              </w:rPr>
              <w:t xml:space="preserve"> the building will be located </w:t>
            </w:r>
            <w:r w:rsidRPr="00893DD1">
              <w:rPr>
                <w:rFonts w:cs="Calibri Light"/>
                <w:sz w:val="18"/>
                <w:szCs w:val="18"/>
              </w:rPr>
              <w:t xml:space="preserve">at the park entrance, </w:t>
            </w:r>
            <w:r w:rsidRPr="00893DD1">
              <w:rPr>
                <w:sz w:val="18"/>
                <w:szCs w:val="18"/>
                <w:lang w:val="en-GB"/>
              </w:rPr>
              <w:t xml:space="preserve">outside </w:t>
            </w:r>
            <w:r w:rsidRPr="00893DD1">
              <w:rPr>
                <w:rFonts w:cs="Calibri Light"/>
                <w:sz w:val="18"/>
                <w:szCs w:val="18"/>
              </w:rPr>
              <w:t>the park boundaries</w:t>
            </w:r>
            <w:r w:rsidRPr="00893DD1">
              <w:rPr>
                <w:sz w:val="18"/>
                <w:szCs w:val="18"/>
                <w:lang w:val="en-GB"/>
              </w:rPr>
              <w:t xml:space="preserve">. </w:t>
            </w:r>
            <w:r w:rsidRPr="00893DD1">
              <w:rPr>
                <w:rFonts w:cs="Calibri Light"/>
                <w:sz w:val="18"/>
                <w:szCs w:val="18"/>
              </w:rPr>
              <w:t>The building architecture and surrounding landscape will be designed following sustainable design principles. This will include electrification with solar panels and natural cooling systems, water provision including through water harvesting and grey-water recycling. The establishment of the visitor complex will be preceded by the elaboration of a feasibility study and a business plan – and if required an environmental impact assessment.</w:t>
            </w:r>
          </w:p>
        </w:tc>
        <w:tc>
          <w:tcPr>
            <w:tcW w:w="852" w:type="dxa"/>
          </w:tcPr>
          <w:p w14:paraId="673C25E8" w14:textId="77777777" w:rsidR="00302BFE" w:rsidRPr="00893DD1" w:rsidRDefault="00302BFE" w:rsidP="00243B15">
            <w:pPr>
              <w:spacing w:before="40" w:after="40"/>
              <w:jc w:val="left"/>
              <w:rPr>
                <w:rFonts w:eastAsia="Times New Roman" w:cs="Arial"/>
                <w:sz w:val="18"/>
                <w:szCs w:val="18"/>
                <w:lang w:val="en-GB"/>
              </w:rPr>
            </w:pPr>
            <w:r w:rsidRPr="00ED27AE">
              <w:rPr>
                <w:rFonts w:eastAsia="Times New Roman" w:cs="Arial"/>
                <w:sz w:val="18"/>
                <w:szCs w:val="18"/>
                <w:lang w:val="en-GB"/>
              </w:rPr>
              <w:lastRenderedPageBreak/>
              <w:t>MEGECC</w:t>
            </w:r>
          </w:p>
        </w:tc>
        <w:tc>
          <w:tcPr>
            <w:tcW w:w="1044" w:type="dxa"/>
          </w:tcPr>
          <w:p w14:paraId="09873197" w14:textId="77777777" w:rsidR="00302BFE" w:rsidRPr="00893DD1" w:rsidRDefault="00302BFE" w:rsidP="00243B15">
            <w:pPr>
              <w:spacing w:before="40" w:after="40"/>
              <w:jc w:val="left"/>
              <w:rPr>
                <w:rFonts w:eastAsia="Times New Roman" w:cs="Arial"/>
                <w:sz w:val="18"/>
                <w:szCs w:val="18"/>
                <w:lang w:val="en-GB"/>
              </w:rPr>
            </w:pPr>
          </w:p>
        </w:tc>
        <w:tc>
          <w:tcPr>
            <w:tcW w:w="769" w:type="dxa"/>
          </w:tcPr>
          <w:p w14:paraId="22862E72" w14:textId="77777777" w:rsidR="00302BFE" w:rsidRPr="00893DD1" w:rsidRDefault="00302BFE" w:rsidP="00243B15">
            <w:pPr>
              <w:spacing w:before="40" w:after="40"/>
              <w:jc w:val="left"/>
              <w:rPr>
                <w:rFonts w:eastAsia="Times New Roman" w:cs="Arial"/>
                <w:sz w:val="18"/>
                <w:szCs w:val="18"/>
                <w:lang w:val="en-GB"/>
              </w:rPr>
            </w:pPr>
          </w:p>
        </w:tc>
        <w:tc>
          <w:tcPr>
            <w:tcW w:w="684" w:type="dxa"/>
          </w:tcPr>
          <w:p w14:paraId="10B094EC" w14:textId="77777777" w:rsidR="00302BFE" w:rsidRPr="00893DD1" w:rsidRDefault="00302BFE" w:rsidP="00243B15">
            <w:pPr>
              <w:spacing w:before="40" w:after="40"/>
              <w:jc w:val="left"/>
              <w:rPr>
                <w:rFonts w:eastAsia="Times New Roman" w:cs="Arial"/>
                <w:sz w:val="18"/>
                <w:szCs w:val="18"/>
                <w:lang w:val="en-GB"/>
              </w:rPr>
            </w:pPr>
          </w:p>
        </w:tc>
      </w:tr>
      <w:tr w:rsidR="00302BFE" w:rsidRPr="00893DD1" w14:paraId="7110428C" w14:textId="77777777" w:rsidTr="00243B15">
        <w:tc>
          <w:tcPr>
            <w:tcW w:w="0" w:type="auto"/>
          </w:tcPr>
          <w:p w14:paraId="03101DC0" w14:textId="77777777" w:rsidR="00302BFE" w:rsidRPr="00893DD1" w:rsidRDefault="00302BFE" w:rsidP="00243B15">
            <w:pPr>
              <w:spacing w:before="40" w:after="40"/>
              <w:jc w:val="left"/>
              <w:rPr>
                <w:rFonts w:eastAsia="Times New Roman" w:cs="Arial"/>
                <w:sz w:val="18"/>
                <w:szCs w:val="18"/>
                <w:lang w:val="en-GB"/>
              </w:rPr>
            </w:pPr>
            <w:r w:rsidRPr="00893DD1">
              <w:rPr>
                <w:rFonts w:eastAsia="Times New Roman" w:cs="Arial"/>
                <w:sz w:val="18"/>
                <w:szCs w:val="18"/>
                <w:lang w:val="en-GB"/>
              </w:rPr>
              <w:t>7</w:t>
            </w:r>
          </w:p>
        </w:tc>
        <w:tc>
          <w:tcPr>
            <w:tcW w:w="3537" w:type="dxa"/>
          </w:tcPr>
          <w:p w14:paraId="1C51F1AB" w14:textId="77777777" w:rsidR="00302BFE" w:rsidRPr="00741FCF" w:rsidRDefault="00302BFE" w:rsidP="00243B15">
            <w:pPr>
              <w:spacing w:before="40" w:after="40"/>
              <w:jc w:val="left"/>
              <w:rPr>
                <w:sz w:val="18"/>
                <w:szCs w:val="18"/>
                <w:lang w:val="en-CA"/>
              </w:rPr>
            </w:pPr>
            <w:r w:rsidRPr="00741FCF">
              <w:rPr>
                <w:sz w:val="18"/>
                <w:szCs w:val="18"/>
                <w:lang w:val="en-CA"/>
              </w:rPr>
              <w:t xml:space="preserve">The project will support changes in land and resource use that can have adverse effects on livelihoods. </w:t>
            </w:r>
          </w:p>
          <w:p w14:paraId="0EB0F954" w14:textId="77777777" w:rsidR="00302BFE" w:rsidRPr="00741FCF" w:rsidRDefault="00302BFE" w:rsidP="00243B15">
            <w:pPr>
              <w:spacing w:before="40" w:after="40"/>
              <w:jc w:val="left"/>
              <w:rPr>
                <w:sz w:val="18"/>
                <w:szCs w:val="18"/>
                <w:lang w:val="en-CA"/>
              </w:rPr>
            </w:pPr>
            <w:r w:rsidRPr="00741FCF">
              <w:rPr>
                <w:sz w:val="18"/>
                <w:szCs w:val="18"/>
                <w:lang w:val="en-CA"/>
              </w:rPr>
              <w:t>In recent years, the Forestry Department has required the departure of farmers and ranchers from a portion of the Sissili classified forest that had undergone a conversion attempt into a pastoral zone. Though not requiring any population displacement, the project intervention will reinforce the Government’s message on the status of the CF and on permitted uses.</w:t>
            </w:r>
          </w:p>
          <w:p w14:paraId="26E59BD0" w14:textId="77777777" w:rsidR="00302BFE" w:rsidRPr="00741FCF" w:rsidRDefault="00302BFE" w:rsidP="00243B15">
            <w:pPr>
              <w:spacing w:before="40" w:after="40"/>
              <w:jc w:val="left"/>
              <w:rPr>
                <w:sz w:val="18"/>
                <w:szCs w:val="18"/>
                <w:lang w:val="en-CA"/>
              </w:rPr>
            </w:pPr>
            <w:r w:rsidRPr="00741FCF">
              <w:rPr>
                <w:rFonts w:eastAsia="Times New Roman" w:cs="Arial"/>
                <w:sz w:val="18"/>
                <w:szCs w:val="18"/>
                <w:lang w:val="en-CA"/>
              </w:rPr>
              <w:t xml:space="preserve">Also, the project will formalize the creation of a wildlife corridor that has been established through a previous project. </w:t>
            </w:r>
            <w:r w:rsidRPr="00741FCF">
              <w:rPr>
                <w:sz w:val="18"/>
                <w:szCs w:val="18"/>
                <w:lang w:val="en-CA"/>
              </w:rPr>
              <w:t>There is a risk that pastoralists have begun to re-invade the periphery of this corridor, in which case the project will have to increase awareness about boundaries and prohibited uses. Strengthening surveillance activities in the PNKT could limit access to herders who illegally encroach on its periphery.</w:t>
            </w:r>
          </w:p>
          <w:p w14:paraId="3659CB95" w14:textId="6C3C96F2" w:rsidR="003572F5" w:rsidRPr="00741FCF" w:rsidRDefault="003572F5" w:rsidP="00243B15">
            <w:pPr>
              <w:spacing w:before="40" w:after="40"/>
              <w:jc w:val="left"/>
              <w:rPr>
                <w:rFonts w:eastAsia="Times New Roman" w:cs="Arial"/>
                <w:sz w:val="18"/>
                <w:szCs w:val="18"/>
                <w:lang w:val="en-CA"/>
              </w:rPr>
            </w:pPr>
            <w:r w:rsidRPr="00741FCF">
              <w:rPr>
                <w:bCs/>
                <w:sz w:val="18"/>
                <w:szCs w:val="18"/>
                <w:lang w:val="en-CA"/>
              </w:rPr>
              <w:lastRenderedPageBreak/>
              <w:t xml:space="preserve">In addition, </w:t>
            </w:r>
            <w:r w:rsidRPr="00741FCF">
              <w:rPr>
                <w:rFonts w:cs="Segoe UI"/>
                <w:color w:val="000000"/>
                <w:sz w:val="18"/>
                <w:szCs w:val="18"/>
                <w:lang w:val="en-CA"/>
              </w:rPr>
              <w:t xml:space="preserve">the possibility of the temporary closure of hunting </w:t>
            </w:r>
            <w:r w:rsidRPr="00741FCF">
              <w:rPr>
                <w:sz w:val="18"/>
                <w:szCs w:val="18"/>
                <w:lang w:val="en-CA"/>
              </w:rPr>
              <w:t xml:space="preserve">in the RGN, Sissili CF and ZOVICs </w:t>
            </w:r>
            <w:r w:rsidRPr="00741FCF">
              <w:rPr>
                <w:rFonts w:cs="Segoe UI"/>
                <w:color w:val="000000"/>
                <w:sz w:val="18"/>
                <w:szCs w:val="18"/>
                <w:lang w:val="en-CA"/>
              </w:rPr>
              <w:t>will result in short-term loss of income for concessionaires and the Government and the temporary loss of a subsistence activity for the communities using ZOVICs for subsistence hunting and source of income for local communities who lease their ZOVIC to concessionaires for commercial small game hunting.</w:t>
            </w:r>
          </w:p>
        </w:tc>
        <w:tc>
          <w:tcPr>
            <w:tcW w:w="838" w:type="dxa"/>
          </w:tcPr>
          <w:p w14:paraId="2DE3D238" w14:textId="77777777" w:rsidR="00302BFE" w:rsidRPr="00741FCF" w:rsidRDefault="00302BFE" w:rsidP="00243B15">
            <w:pPr>
              <w:spacing w:before="40" w:after="40"/>
              <w:jc w:val="left"/>
              <w:rPr>
                <w:rFonts w:eastAsia="Times New Roman" w:cs="Arial"/>
                <w:sz w:val="18"/>
                <w:szCs w:val="18"/>
                <w:lang w:val="en-CA"/>
              </w:rPr>
            </w:pPr>
            <w:r w:rsidRPr="00741FCF">
              <w:rPr>
                <w:rFonts w:eastAsia="Times New Roman" w:cs="Arial"/>
                <w:sz w:val="18"/>
                <w:szCs w:val="18"/>
                <w:lang w:val="fr-FR"/>
              </w:rPr>
              <w:lastRenderedPageBreak/>
              <w:t>May 23, 2019</w:t>
            </w:r>
          </w:p>
        </w:tc>
        <w:tc>
          <w:tcPr>
            <w:tcW w:w="861" w:type="dxa"/>
          </w:tcPr>
          <w:p w14:paraId="180485F0" w14:textId="77777777" w:rsidR="00302BFE" w:rsidRPr="00741FCF" w:rsidRDefault="00302BFE" w:rsidP="00243B15">
            <w:pPr>
              <w:spacing w:before="40" w:after="40"/>
              <w:jc w:val="left"/>
              <w:rPr>
                <w:rFonts w:eastAsia="Times New Roman" w:cs="Arial"/>
                <w:sz w:val="18"/>
                <w:szCs w:val="18"/>
              </w:rPr>
            </w:pPr>
            <w:r w:rsidRPr="00741FCF">
              <w:rPr>
                <w:rFonts w:eastAsia="Times New Roman" w:cs="Arial"/>
                <w:sz w:val="18"/>
                <w:szCs w:val="18"/>
              </w:rPr>
              <w:t>Social</w:t>
            </w:r>
          </w:p>
        </w:tc>
        <w:tc>
          <w:tcPr>
            <w:tcW w:w="1035" w:type="dxa"/>
          </w:tcPr>
          <w:p w14:paraId="009308A1" w14:textId="77777777" w:rsidR="00302BFE" w:rsidRPr="00741FCF" w:rsidRDefault="00302BFE" w:rsidP="00243B15">
            <w:pPr>
              <w:spacing w:before="40" w:after="40"/>
              <w:rPr>
                <w:rFonts w:cs="Minion Pro"/>
                <w:sz w:val="18"/>
                <w:szCs w:val="18"/>
                <w:lang w:eastAsia="ja-JP"/>
              </w:rPr>
            </w:pPr>
            <w:r w:rsidRPr="00741FCF">
              <w:rPr>
                <w:rFonts w:cs="Minion Pro"/>
                <w:sz w:val="18"/>
                <w:szCs w:val="18"/>
              </w:rPr>
              <w:t>I = 2</w:t>
            </w:r>
          </w:p>
          <w:p w14:paraId="23BEC40F" w14:textId="64F85F2E" w:rsidR="00302BFE" w:rsidRPr="00741FCF" w:rsidRDefault="00302BFE" w:rsidP="00243B15">
            <w:pPr>
              <w:spacing w:before="40" w:after="40"/>
              <w:jc w:val="left"/>
              <w:rPr>
                <w:rFonts w:cs="Minion Pro"/>
                <w:sz w:val="18"/>
                <w:szCs w:val="18"/>
              </w:rPr>
            </w:pPr>
            <w:r w:rsidRPr="00741FCF">
              <w:rPr>
                <w:rFonts w:cs="Minion Pro"/>
                <w:sz w:val="18"/>
                <w:szCs w:val="18"/>
              </w:rPr>
              <w:t xml:space="preserve">P = </w:t>
            </w:r>
            <w:r w:rsidR="00F11854" w:rsidRPr="00741FCF">
              <w:rPr>
                <w:rFonts w:cs="Minion Pro"/>
                <w:sz w:val="18"/>
                <w:szCs w:val="18"/>
              </w:rPr>
              <w:t>4</w:t>
            </w:r>
          </w:p>
          <w:p w14:paraId="6874366F" w14:textId="77777777" w:rsidR="00302BFE" w:rsidRPr="00741FCF" w:rsidRDefault="00302BFE" w:rsidP="00243B15">
            <w:pPr>
              <w:spacing w:before="40" w:after="40"/>
              <w:jc w:val="left"/>
              <w:rPr>
                <w:rFonts w:eastAsia="Times New Roman" w:cs="Arial"/>
                <w:sz w:val="18"/>
                <w:szCs w:val="18"/>
              </w:rPr>
            </w:pPr>
          </w:p>
          <w:p w14:paraId="4D593480" w14:textId="77777777" w:rsidR="00302BFE" w:rsidRPr="00741FCF" w:rsidRDefault="00302BFE" w:rsidP="00243B15">
            <w:pPr>
              <w:spacing w:before="40" w:after="40"/>
              <w:jc w:val="left"/>
              <w:rPr>
                <w:rFonts w:eastAsia="Times New Roman" w:cs="Arial"/>
                <w:sz w:val="18"/>
                <w:szCs w:val="18"/>
              </w:rPr>
            </w:pPr>
            <w:r w:rsidRPr="00741FCF">
              <w:rPr>
                <w:sz w:val="18"/>
                <w:szCs w:val="18"/>
              </w:rPr>
              <w:t>Moderate</w:t>
            </w:r>
          </w:p>
        </w:tc>
        <w:tc>
          <w:tcPr>
            <w:tcW w:w="4597" w:type="dxa"/>
          </w:tcPr>
          <w:p w14:paraId="1F26748A" w14:textId="77777777" w:rsidR="00302BFE" w:rsidRPr="00741FCF" w:rsidRDefault="00302BFE" w:rsidP="00243B15">
            <w:pPr>
              <w:spacing w:before="40" w:after="40"/>
              <w:jc w:val="left"/>
              <w:rPr>
                <w:sz w:val="18"/>
                <w:szCs w:val="18"/>
                <w:lang w:val="en-CA"/>
              </w:rPr>
            </w:pPr>
            <w:r w:rsidRPr="00741FCF">
              <w:rPr>
                <w:sz w:val="18"/>
                <w:szCs w:val="18"/>
                <w:lang w:val="en-CA"/>
              </w:rPr>
              <w:t>If necessary, the project will support the Government in taking into account needs -even limited- for the displacement of populations or activities in protected areas and corridors. Given that protected areas and wildlife corridors are currently the subject of several interventions by the Government and its partners, at project inception, it will be necessary to clearly assess the risk of economic displacement of local populations due to limited access to land and resources, even without physical displacement, to provide a clear baseline situation and to devise measures to avoid or mitigate potential negative impacts related to the adoption and implementation of sustainable land and natural resources management. Improving the carrying capacity of grazing areas planned under the project will provide a viable and sustainable alternative that will allow pastoralists to continue their activity without prejudice.</w:t>
            </w:r>
          </w:p>
          <w:p w14:paraId="723FF182" w14:textId="12C3AF9A" w:rsidR="003572F5" w:rsidRPr="00741FCF" w:rsidRDefault="003572F5" w:rsidP="00243B15">
            <w:pPr>
              <w:spacing w:before="40" w:after="40"/>
              <w:jc w:val="left"/>
              <w:rPr>
                <w:rFonts w:eastAsia="Times New Roman" w:cs="Arial"/>
                <w:sz w:val="18"/>
                <w:szCs w:val="18"/>
              </w:rPr>
            </w:pPr>
            <w:r w:rsidRPr="00741FCF">
              <w:rPr>
                <w:sz w:val="18"/>
                <w:szCs w:val="18"/>
                <w:lang w:val="en-CA"/>
              </w:rPr>
              <w:t xml:space="preserve">Regarding the potential closure of hunting activities under Output 2.2.2, a comprehensive review of the management of wild game hunting in the RGN, Sissili CF and ZOVICs since their creation will document the socio-economic impacts and the status of game populations. This study will document the costs and benefits for the various stakeholders, i.e. the Government, the concessionaires and the local populations, and will thus </w:t>
            </w:r>
            <w:r w:rsidRPr="00741FCF">
              <w:rPr>
                <w:sz w:val="18"/>
                <w:szCs w:val="18"/>
                <w:lang w:val="en-CA"/>
              </w:rPr>
              <w:lastRenderedPageBreak/>
              <w:t>allow predicting the socio-economic consequences of a possible closure of hunting in these sites. The decision to close the hunting will be based on the recognition of the unsustainability of hunting as currently managed and the inability of game populations to withstand the pressure of hunting due to a worrying decline in populations. Observations in the last decade indicate that local communities now derive little benefits from hunting activities and would therefore experience little short-term impact from a hunting closure. A decrease in game populations will affect the revenues of the Government and the concessionaires in the medium and long term, so that the impact of the closure of the hunting will only negatively affect them in the short term, while all stakeholders will benefit from a medium-term closure by avoiding a permanent loss of the resources that support this activity. The project will support various projects that will allow a diversification of sources of income for local populations, which will help to alleviate the effects of the closure of hunting in ZOVICs.</w:t>
            </w:r>
          </w:p>
        </w:tc>
        <w:tc>
          <w:tcPr>
            <w:tcW w:w="852" w:type="dxa"/>
          </w:tcPr>
          <w:p w14:paraId="1A20EE5B" w14:textId="77777777" w:rsidR="00302BFE" w:rsidRDefault="00302BFE" w:rsidP="00243B15">
            <w:pPr>
              <w:spacing w:before="40" w:after="40"/>
              <w:jc w:val="left"/>
              <w:rPr>
                <w:rFonts w:eastAsia="Times New Roman" w:cs="Arial"/>
                <w:sz w:val="18"/>
                <w:szCs w:val="18"/>
                <w:lang w:val="en-GB"/>
              </w:rPr>
            </w:pPr>
            <w:r w:rsidRPr="00ED27AE">
              <w:rPr>
                <w:rFonts w:eastAsia="Times New Roman" w:cs="Arial"/>
                <w:sz w:val="18"/>
                <w:szCs w:val="18"/>
                <w:lang w:val="en-GB"/>
              </w:rPr>
              <w:lastRenderedPageBreak/>
              <w:t>MEGECC</w:t>
            </w:r>
          </w:p>
          <w:p w14:paraId="7C64E2B6" w14:textId="77777777" w:rsidR="00302BFE" w:rsidRPr="00893DD1" w:rsidRDefault="00302BFE" w:rsidP="00243B15">
            <w:pPr>
              <w:spacing w:before="40" w:after="40"/>
              <w:jc w:val="left"/>
              <w:rPr>
                <w:rFonts w:eastAsia="Times New Roman" w:cs="Arial"/>
                <w:sz w:val="18"/>
                <w:szCs w:val="18"/>
                <w:lang w:val="en-GB"/>
              </w:rPr>
            </w:pPr>
          </w:p>
        </w:tc>
        <w:tc>
          <w:tcPr>
            <w:tcW w:w="1044" w:type="dxa"/>
          </w:tcPr>
          <w:p w14:paraId="455A4F29" w14:textId="77777777" w:rsidR="00302BFE" w:rsidRPr="00893DD1" w:rsidRDefault="00302BFE" w:rsidP="00243B15">
            <w:pPr>
              <w:spacing w:before="40" w:after="40"/>
              <w:jc w:val="left"/>
              <w:rPr>
                <w:rFonts w:eastAsia="Times New Roman" w:cs="Arial"/>
                <w:sz w:val="18"/>
                <w:szCs w:val="18"/>
                <w:lang w:val="en-GB"/>
              </w:rPr>
            </w:pPr>
          </w:p>
        </w:tc>
        <w:tc>
          <w:tcPr>
            <w:tcW w:w="769" w:type="dxa"/>
          </w:tcPr>
          <w:p w14:paraId="349BB93A" w14:textId="77777777" w:rsidR="00302BFE" w:rsidRPr="00893DD1" w:rsidRDefault="00302BFE" w:rsidP="00243B15">
            <w:pPr>
              <w:spacing w:before="40" w:after="40"/>
              <w:jc w:val="left"/>
              <w:rPr>
                <w:rFonts w:eastAsia="Times New Roman" w:cs="Arial"/>
                <w:sz w:val="18"/>
                <w:szCs w:val="18"/>
                <w:lang w:val="en-GB"/>
              </w:rPr>
            </w:pPr>
          </w:p>
        </w:tc>
        <w:tc>
          <w:tcPr>
            <w:tcW w:w="684" w:type="dxa"/>
          </w:tcPr>
          <w:p w14:paraId="551DBE09" w14:textId="77777777" w:rsidR="00302BFE" w:rsidRPr="00893DD1" w:rsidRDefault="00302BFE" w:rsidP="00243B15">
            <w:pPr>
              <w:spacing w:before="40" w:after="40"/>
              <w:jc w:val="left"/>
              <w:rPr>
                <w:rFonts w:eastAsia="Times New Roman" w:cs="Arial"/>
                <w:sz w:val="18"/>
                <w:szCs w:val="18"/>
                <w:lang w:val="en-GB"/>
              </w:rPr>
            </w:pPr>
          </w:p>
        </w:tc>
      </w:tr>
      <w:tr w:rsidR="00302BFE" w:rsidRPr="00893DD1" w14:paraId="3DB1A487" w14:textId="77777777" w:rsidTr="00243B15">
        <w:tc>
          <w:tcPr>
            <w:tcW w:w="0" w:type="auto"/>
          </w:tcPr>
          <w:p w14:paraId="17D5E88D" w14:textId="77777777" w:rsidR="00302BFE" w:rsidRPr="00893DD1" w:rsidRDefault="00302BFE" w:rsidP="00243B15">
            <w:pPr>
              <w:spacing w:before="40" w:after="40"/>
              <w:jc w:val="left"/>
              <w:rPr>
                <w:rFonts w:eastAsia="Times New Roman" w:cs="Arial"/>
                <w:sz w:val="18"/>
                <w:szCs w:val="18"/>
                <w:lang w:val="en-GB"/>
              </w:rPr>
            </w:pPr>
            <w:r w:rsidRPr="00893DD1">
              <w:rPr>
                <w:rFonts w:eastAsia="Times New Roman" w:cs="Arial"/>
                <w:sz w:val="18"/>
                <w:szCs w:val="18"/>
                <w:lang w:val="en-GB"/>
              </w:rPr>
              <w:t>8</w:t>
            </w:r>
          </w:p>
        </w:tc>
        <w:tc>
          <w:tcPr>
            <w:tcW w:w="3537" w:type="dxa"/>
          </w:tcPr>
          <w:p w14:paraId="04472E16" w14:textId="77777777" w:rsidR="00302BFE" w:rsidRPr="00893DD1" w:rsidRDefault="00302BFE" w:rsidP="00243B15">
            <w:pPr>
              <w:spacing w:before="40" w:after="40"/>
              <w:jc w:val="left"/>
              <w:rPr>
                <w:rFonts w:eastAsia="Times New Roman" w:cs="Arial"/>
                <w:sz w:val="18"/>
                <w:szCs w:val="18"/>
              </w:rPr>
            </w:pPr>
            <w:r w:rsidRPr="00893DD1">
              <w:rPr>
                <w:sz w:val="18"/>
                <w:szCs w:val="18"/>
                <w:lang w:val="en-CA"/>
              </w:rPr>
              <w:t xml:space="preserve">The project may pose the risk of introducing invasive alien species as part of support to agroforestry systems </w:t>
            </w:r>
            <w:r w:rsidRPr="00893DD1">
              <w:rPr>
                <w:sz w:val="18"/>
                <w:szCs w:val="18"/>
                <w:lang w:val="en-GB"/>
              </w:rPr>
              <w:t xml:space="preserve">and introduction of climate adapted seed varieties </w:t>
            </w:r>
            <w:r w:rsidRPr="00893DD1">
              <w:rPr>
                <w:sz w:val="18"/>
                <w:szCs w:val="18"/>
                <w:lang w:val="en-CA"/>
              </w:rPr>
              <w:t xml:space="preserve">to restore </w:t>
            </w:r>
            <w:r w:rsidRPr="00893DD1">
              <w:rPr>
                <w:sz w:val="18"/>
                <w:szCs w:val="18"/>
                <w:lang w:val="en-GB"/>
              </w:rPr>
              <w:t xml:space="preserve">degraded </w:t>
            </w:r>
            <w:r w:rsidRPr="00893DD1">
              <w:rPr>
                <w:sz w:val="18"/>
                <w:szCs w:val="18"/>
                <w:lang w:val="en-CA"/>
              </w:rPr>
              <w:t xml:space="preserve">land resources in the village terroirs of the pilot sites. </w:t>
            </w:r>
          </w:p>
        </w:tc>
        <w:tc>
          <w:tcPr>
            <w:tcW w:w="838" w:type="dxa"/>
          </w:tcPr>
          <w:p w14:paraId="39BFB2B2" w14:textId="77777777" w:rsidR="00302BFE" w:rsidRPr="00893DD1" w:rsidRDefault="00302BFE" w:rsidP="00243B15">
            <w:pPr>
              <w:spacing w:before="40" w:after="40"/>
              <w:jc w:val="left"/>
              <w:rPr>
                <w:rFonts w:eastAsia="Times New Roman" w:cs="Arial"/>
                <w:sz w:val="18"/>
                <w:szCs w:val="18"/>
                <w:lang w:val="en-CA"/>
              </w:rPr>
            </w:pPr>
            <w:r w:rsidRPr="00893DD1">
              <w:rPr>
                <w:rFonts w:eastAsia="Times New Roman" w:cs="Arial"/>
                <w:sz w:val="18"/>
                <w:szCs w:val="18"/>
                <w:lang w:val="fr-FR"/>
              </w:rPr>
              <w:t>May 23, 2019</w:t>
            </w:r>
          </w:p>
        </w:tc>
        <w:tc>
          <w:tcPr>
            <w:tcW w:w="861" w:type="dxa"/>
          </w:tcPr>
          <w:p w14:paraId="0A37330E" w14:textId="77777777" w:rsidR="00302BFE" w:rsidRPr="00893DD1" w:rsidRDefault="00302BFE" w:rsidP="00243B15">
            <w:pPr>
              <w:spacing w:before="40" w:after="40"/>
              <w:jc w:val="left"/>
              <w:rPr>
                <w:rFonts w:eastAsia="Times New Roman" w:cs="Arial"/>
                <w:sz w:val="18"/>
                <w:szCs w:val="18"/>
              </w:rPr>
            </w:pPr>
            <w:r w:rsidRPr="00893DD1">
              <w:rPr>
                <w:rFonts w:eastAsia="Times New Roman" w:cs="Arial"/>
                <w:sz w:val="18"/>
                <w:szCs w:val="18"/>
              </w:rPr>
              <w:t>Environ-mental</w:t>
            </w:r>
          </w:p>
        </w:tc>
        <w:tc>
          <w:tcPr>
            <w:tcW w:w="1035" w:type="dxa"/>
          </w:tcPr>
          <w:p w14:paraId="02AE5224" w14:textId="77777777" w:rsidR="00302BFE" w:rsidRPr="00893DD1" w:rsidRDefault="00302BFE" w:rsidP="00243B15">
            <w:pPr>
              <w:spacing w:before="40" w:after="40"/>
              <w:jc w:val="left"/>
              <w:rPr>
                <w:rFonts w:cs="Minion Pro"/>
                <w:sz w:val="18"/>
                <w:szCs w:val="18"/>
                <w:lang w:eastAsia="ja-JP"/>
              </w:rPr>
            </w:pPr>
            <w:r w:rsidRPr="00893DD1">
              <w:rPr>
                <w:rFonts w:cs="Minion Pro"/>
                <w:sz w:val="18"/>
                <w:szCs w:val="18"/>
              </w:rPr>
              <w:t>I = 2</w:t>
            </w:r>
          </w:p>
          <w:p w14:paraId="7491EF70" w14:textId="77777777" w:rsidR="00302BFE" w:rsidRPr="00893DD1" w:rsidRDefault="00302BFE" w:rsidP="00243B15">
            <w:pPr>
              <w:spacing w:before="40" w:after="40"/>
              <w:jc w:val="left"/>
              <w:rPr>
                <w:rFonts w:cs="Minion Pro"/>
                <w:sz w:val="18"/>
                <w:szCs w:val="18"/>
              </w:rPr>
            </w:pPr>
            <w:r w:rsidRPr="00893DD1">
              <w:rPr>
                <w:rFonts w:cs="Minion Pro"/>
                <w:sz w:val="18"/>
                <w:szCs w:val="18"/>
              </w:rPr>
              <w:t>P = 2</w:t>
            </w:r>
          </w:p>
          <w:p w14:paraId="1D9B9D05" w14:textId="77777777" w:rsidR="00302BFE" w:rsidRPr="00893DD1" w:rsidRDefault="00302BFE" w:rsidP="00243B15">
            <w:pPr>
              <w:spacing w:before="40" w:after="40"/>
              <w:jc w:val="left"/>
              <w:rPr>
                <w:rFonts w:eastAsia="Times New Roman" w:cs="Arial"/>
                <w:sz w:val="18"/>
                <w:szCs w:val="18"/>
              </w:rPr>
            </w:pPr>
          </w:p>
          <w:p w14:paraId="75E380A3" w14:textId="77777777" w:rsidR="00302BFE" w:rsidRPr="00893DD1" w:rsidRDefault="00302BFE" w:rsidP="00243B15">
            <w:pPr>
              <w:spacing w:before="40" w:after="40"/>
              <w:jc w:val="left"/>
              <w:rPr>
                <w:rFonts w:eastAsia="Times New Roman" w:cs="Arial"/>
                <w:sz w:val="18"/>
                <w:szCs w:val="18"/>
              </w:rPr>
            </w:pPr>
            <w:r w:rsidRPr="00893DD1">
              <w:rPr>
                <w:sz w:val="18"/>
                <w:szCs w:val="18"/>
              </w:rPr>
              <w:t>Low</w:t>
            </w:r>
          </w:p>
        </w:tc>
        <w:tc>
          <w:tcPr>
            <w:tcW w:w="4597" w:type="dxa"/>
          </w:tcPr>
          <w:p w14:paraId="33CAD36B" w14:textId="77777777" w:rsidR="00302BFE" w:rsidRPr="00893DD1" w:rsidRDefault="00302BFE" w:rsidP="00243B15">
            <w:pPr>
              <w:spacing w:before="40" w:after="40"/>
              <w:jc w:val="left"/>
              <w:rPr>
                <w:rFonts w:eastAsia="Times New Roman" w:cs="Arial"/>
                <w:sz w:val="18"/>
                <w:szCs w:val="18"/>
              </w:rPr>
            </w:pPr>
            <w:bookmarkStart w:id="78" w:name="_Hlk9369933"/>
            <w:r w:rsidRPr="00893DD1">
              <w:rPr>
                <w:sz w:val="18"/>
                <w:szCs w:val="18"/>
                <w:lang w:val="en-GB"/>
              </w:rPr>
              <w:t>The project will use indigenous species and recruit a Forest Ecology Specialist to provide the required expertise to ensure that none of the selected agroforestry and climate-adapted species is likely to pose a risk as an invasive alien species.</w:t>
            </w:r>
            <w:bookmarkEnd w:id="78"/>
          </w:p>
        </w:tc>
        <w:tc>
          <w:tcPr>
            <w:tcW w:w="852" w:type="dxa"/>
          </w:tcPr>
          <w:p w14:paraId="071D806C" w14:textId="77777777" w:rsidR="00302BFE" w:rsidRPr="00893DD1" w:rsidRDefault="00302BFE" w:rsidP="00243B15">
            <w:pPr>
              <w:spacing w:before="40" w:after="40"/>
              <w:jc w:val="left"/>
              <w:rPr>
                <w:rFonts w:eastAsia="Times New Roman" w:cs="Arial"/>
                <w:sz w:val="18"/>
                <w:szCs w:val="18"/>
                <w:lang w:val="en-GB"/>
              </w:rPr>
            </w:pPr>
            <w:r w:rsidRPr="00ED27AE">
              <w:rPr>
                <w:rFonts w:eastAsia="Times New Roman" w:cs="Arial"/>
                <w:sz w:val="18"/>
                <w:szCs w:val="18"/>
                <w:lang w:val="en-GB"/>
              </w:rPr>
              <w:t>MEGECC</w:t>
            </w:r>
          </w:p>
        </w:tc>
        <w:tc>
          <w:tcPr>
            <w:tcW w:w="1044" w:type="dxa"/>
          </w:tcPr>
          <w:p w14:paraId="11D46CD4" w14:textId="77777777" w:rsidR="00302BFE" w:rsidRPr="00893DD1" w:rsidRDefault="00302BFE" w:rsidP="00243B15">
            <w:pPr>
              <w:spacing w:before="40" w:after="40"/>
              <w:jc w:val="left"/>
              <w:rPr>
                <w:rFonts w:eastAsia="Times New Roman" w:cs="Arial"/>
                <w:sz w:val="18"/>
                <w:szCs w:val="18"/>
                <w:lang w:val="en-GB"/>
              </w:rPr>
            </w:pPr>
          </w:p>
        </w:tc>
        <w:tc>
          <w:tcPr>
            <w:tcW w:w="769" w:type="dxa"/>
          </w:tcPr>
          <w:p w14:paraId="1D5FC055" w14:textId="77777777" w:rsidR="00302BFE" w:rsidRPr="00893DD1" w:rsidRDefault="00302BFE" w:rsidP="00243B15">
            <w:pPr>
              <w:spacing w:before="40" w:after="40"/>
              <w:jc w:val="left"/>
              <w:rPr>
                <w:rFonts w:eastAsia="Times New Roman" w:cs="Arial"/>
                <w:sz w:val="18"/>
                <w:szCs w:val="18"/>
                <w:lang w:val="en-GB"/>
              </w:rPr>
            </w:pPr>
          </w:p>
        </w:tc>
        <w:tc>
          <w:tcPr>
            <w:tcW w:w="684" w:type="dxa"/>
          </w:tcPr>
          <w:p w14:paraId="7D624302" w14:textId="77777777" w:rsidR="00302BFE" w:rsidRPr="00893DD1" w:rsidRDefault="00302BFE" w:rsidP="00243B15">
            <w:pPr>
              <w:spacing w:before="40" w:after="40"/>
              <w:jc w:val="left"/>
              <w:rPr>
                <w:rFonts w:eastAsia="Times New Roman" w:cs="Arial"/>
                <w:sz w:val="18"/>
                <w:szCs w:val="18"/>
                <w:lang w:val="en-GB"/>
              </w:rPr>
            </w:pPr>
          </w:p>
        </w:tc>
      </w:tr>
      <w:tr w:rsidR="00302BFE" w:rsidRPr="00893DD1" w14:paraId="11E96B6A" w14:textId="77777777" w:rsidTr="00243B15">
        <w:tc>
          <w:tcPr>
            <w:tcW w:w="0" w:type="auto"/>
          </w:tcPr>
          <w:p w14:paraId="6301B22C" w14:textId="77777777" w:rsidR="00302BFE" w:rsidRPr="00893DD1" w:rsidRDefault="00302BFE" w:rsidP="00243B15">
            <w:pPr>
              <w:spacing w:before="40" w:after="40"/>
              <w:jc w:val="left"/>
              <w:rPr>
                <w:rFonts w:eastAsia="Times New Roman" w:cs="Arial"/>
                <w:sz w:val="18"/>
                <w:szCs w:val="18"/>
                <w:lang w:val="en-GB"/>
              </w:rPr>
            </w:pPr>
            <w:r w:rsidRPr="00893DD1">
              <w:rPr>
                <w:rFonts w:eastAsia="Times New Roman" w:cs="Arial"/>
                <w:sz w:val="18"/>
                <w:szCs w:val="18"/>
                <w:lang w:val="en-GB"/>
              </w:rPr>
              <w:t>9</w:t>
            </w:r>
          </w:p>
        </w:tc>
        <w:tc>
          <w:tcPr>
            <w:tcW w:w="3537" w:type="dxa"/>
          </w:tcPr>
          <w:p w14:paraId="531D27BC" w14:textId="77777777" w:rsidR="00302BFE" w:rsidRPr="00893DD1" w:rsidRDefault="00302BFE" w:rsidP="00243B15">
            <w:pPr>
              <w:spacing w:before="40" w:after="40"/>
              <w:jc w:val="left"/>
              <w:rPr>
                <w:sz w:val="18"/>
                <w:szCs w:val="18"/>
                <w:lang w:val="en-CA"/>
              </w:rPr>
            </w:pPr>
            <w:r w:rsidRPr="00893DD1">
              <w:rPr>
                <w:sz w:val="18"/>
                <w:szCs w:val="18"/>
                <w:lang w:val="en-CA"/>
              </w:rPr>
              <w:t>The collection of non-timber products in natural forests to support the development of non-timber forest products value chains may pose a risk to the sustainability of those resources</w:t>
            </w:r>
          </w:p>
        </w:tc>
        <w:tc>
          <w:tcPr>
            <w:tcW w:w="838" w:type="dxa"/>
          </w:tcPr>
          <w:p w14:paraId="208A4AC3" w14:textId="77777777" w:rsidR="00302BFE" w:rsidRPr="00893DD1" w:rsidRDefault="00302BFE" w:rsidP="00243B15">
            <w:pPr>
              <w:spacing w:before="40" w:after="40"/>
              <w:jc w:val="left"/>
              <w:rPr>
                <w:rFonts w:eastAsia="Times New Roman" w:cs="Arial"/>
                <w:sz w:val="18"/>
                <w:szCs w:val="18"/>
                <w:lang w:val="en-CA"/>
              </w:rPr>
            </w:pPr>
            <w:r w:rsidRPr="00893DD1">
              <w:rPr>
                <w:rFonts w:eastAsia="Times New Roman" w:cs="Arial"/>
                <w:sz w:val="18"/>
                <w:szCs w:val="18"/>
                <w:lang w:val="fr-FR"/>
              </w:rPr>
              <w:t>May 23, 2019</w:t>
            </w:r>
          </w:p>
        </w:tc>
        <w:tc>
          <w:tcPr>
            <w:tcW w:w="861" w:type="dxa"/>
          </w:tcPr>
          <w:p w14:paraId="7462F128" w14:textId="77777777" w:rsidR="00302BFE" w:rsidRPr="00893DD1" w:rsidRDefault="00302BFE" w:rsidP="00243B15">
            <w:pPr>
              <w:spacing w:before="40" w:after="40"/>
              <w:jc w:val="left"/>
              <w:rPr>
                <w:rFonts w:eastAsia="Times New Roman" w:cs="Arial"/>
                <w:sz w:val="18"/>
                <w:szCs w:val="18"/>
              </w:rPr>
            </w:pPr>
            <w:r w:rsidRPr="00893DD1">
              <w:rPr>
                <w:rFonts w:eastAsia="Times New Roman" w:cs="Arial"/>
                <w:sz w:val="18"/>
                <w:szCs w:val="18"/>
              </w:rPr>
              <w:t>Environ-mental</w:t>
            </w:r>
          </w:p>
        </w:tc>
        <w:tc>
          <w:tcPr>
            <w:tcW w:w="1035" w:type="dxa"/>
          </w:tcPr>
          <w:p w14:paraId="12CA6EF7" w14:textId="77777777" w:rsidR="00302BFE" w:rsidRPr="00893DD1" w:rsidRDefault="00302BFE" w:rsidP="00243B15">
            <w:pPr>
              <w:spacing w:before="40" w:after="40"/>
              <w:rPr>
                <w:rFonts w:cs="Minion Pro"/>
                <w:sz w:val="18"/>
                <w:szCs w:val="18"/>
                <w:lang w:eastAsia="ja-JP"/>
              </w:rPr>
            </w:pPr>
            <w:r w:rsidRPr="00893DD1">
              <w:rPr>
                <w:rFonts w:cs="Minion Pro"/>
                <w:sz w:val="18"/>
                <w:szCs w:val="18"/>
              </w:rPr>
              <w:t>I = 2</w:t>
            </w:r>
          </w:p>
          <w:p w14:paraId="7B0FAEB4" w14:textId="77777777" w:rsidR="00302BFE" w:rsidRPr="00893DD1" w:rsidRDefault="00302BFE" w:rsidP="00243B15">
            <w:pPr>
              <w:spacing w:before="40" w:after="40"/>
              <w:jc w:val="left"/>
              <w:rPr>
                <w:rFonts w:cs="Minion Pro"/>
                <w:sz w:val="18"/>
                <w:szCs w:val="18"/>
              </w:rPr>
            </w:pPr>
            <w:r w:rsidRPr="00893DD1">
              <w:rPr>
                <w:rFonts w:cs="Minion Pro"/>
                <w:sz w:val="18"/>
                <w:szCs w:val="18"/>
              </w:rPr>
              <w:t>P = 5</w:t>
            </w:r>
          </w:p>
          <w:p w14:paraId="23AE1957" w14:textId="77777777" w:rsidR="00302BFE" w:rsidRPr="00893DD1" w:rsidRDefault="00302BFE" w:rsidP="00243B15">
            <w:pPr>
              <w:spacing w:before="40" w:after="40"/>
              <w:jc w:val="left"/>
              <w:rPr>
                <w:rFonts w:eastAsia="Times New Roman" w:cs="Arial"/>
                <w:sz w:val="18"/>
                <w:szCs w:val="18"/>
              </w:rPr>
            </w:pPr>
          </w:p>
          <w:p w14:paraId="690EF273" w14:textId="77777777" w:rsidR="00302BFE" w:rsidRPr="00893DD1" w:rsidRDefault="00302BFE" w:rsidP="00243B15">
            <w:pPr>
              <w:spacing w:before="40" w:after="40"/>
              <w:jc w:val="left"/>
              <w:rPr>
                <w:rFonts w:eastAsia="Times New Roman" w:cs="Arial"/>
                <w:sz w:val="18"/>
                <w:szCs w:val="18"/>
              </w:rPr>
            </w:pPr>
            <w:r w:rsidRPr="00893DD1">
              <w:rPr>
                <w:sz w:val="18"/>
                <w:szCs w:val="18"/>
              </w:rPr>
              <w:t>Moderate</w:t>
            </w:r>
          </w:p>
        </w:tc>
        <w:tc>
          <w:tcPr>
            <w:tcW w:w="4597" w:type="dxa"/>
          </w:tcPr>
          <w:p w14:paraId="7D78096E" w14:textId="77777777" w:rsidR="00302BFE" w:rsidRPr="00893DD1" w:rsidRDefault="00302BFE" w:rsidP="00243B15">
            <w:pPr>
              <w:spacing w:before="40" w:after="40"/>
              <w:jc w:val="left"/>
              <w:rPr>
                <w:rFonts w:eastAsia="Times New Roman" w:cs="Arial"/>
                <w:sz w:val="18"/>
                <w:szCs w:val="18"/>
              </w:rPr>
            </w:pPr>
            <w:r w:rsidRPr="00893DD1">
              <w:rPr>
                <w:rFonts w:cs="Calibri Light"/>
                <w:sz w:val="18"/>
                <w:szCs w:val="18"/>
                <w:lang w:val="en-CA"/>
              </w:rPr>
              <w:t xml:space="preserve">To ensure that the activities supported by the project will not result in the degradation or depletion of the natural resources that communities depend on for their livelihood and well-being, the project (i) provides for the collection of NTFPs in forests to be preceded by an assessment of the sustainable production capacity of the resource used, and (ii) will provide technical training to build the capacity of both male and female beneficiaries to ensure the sustainability of harvested resources. The project will raise awareness of members of local communities on the fact that the sustainability of their benefits will largely depend on the avoidance of potential adverse effects of value chain development on harvested biological resources. The planned trainings will include, among other things, good practices for fruit collection (liane goïne and shea) respectful of the resource and </w:t>
            </w:r>
            <w:r w:rsidRPr="00893DD1">
              <w:rPr>
                <w:rFonts w:cs="Calibri Light"/>
                <w:sz w:val="18"/>
                <w:szCs w:val="18"/>
                <w:lang w:val="en-CA"/>
              </w:rPr>
              <w:lastRenderedPageBreak/>
              <w:t>which does not compromise its regeneration in a natural environment; prevention of adverse environmental impacts; and compliance with laws, regulations and agreements regarding access to protected areas and the use of their resources.</w:t>
            </w:r>
          </w:p>
        </w:tc>
        <w:tc>
          <w:tcPr>
            <w:tcW w:w="852" w:type="dxa"/>
          </w:tcPr>
          <w:p w14:paraId="010EB122" w14:textId="77777777" w:rsidR="00302BFE" w:rsidRPr="00893DD1" w:rsidRDefault="00302BFE" w:rsidP="00243B15">
            <w:pPr>
              <w:spacing w:before="40" w:after="40"/>
              <w:jc w:val="left"/>
              <w:rPr>
                <w:rFonts w:eastAsia="Times New Roman" w:cs="Arial"/>
                <w:sz w:val="18"/>
                <w:szCs w:val="18"/>
                <w:lang w:val="en-GB"/>
              </w:rPr>
            </w:pPr>
            <w:r w:rsidRPr="00ED27AE">
              <w:rPr>
                <w:rFonts w:eastAsia="Times New Roman" w:cs="Arial"/>
                <w:sz w:val="18"/>
                <w:szCs w:val="18"/>
                <w:lang w:val="en-GB"/>
              </w:rPr>
              <w:lastRenderedPageBreak/>
              <w:t>MEGECC</w:t>
            </w:r>
          </w:p>
        </w:tc>
        <w:tc>
          <w:tcPr>
            <w:tcW w:w="1044" w:type="dxa"/>
          </w:tcPr>
          <w:p w14:paraId="2BAE15AF" w14:textId="77777777" w:rsidR="00302BFE" w:rsidRPr="00893DD1" w:rsidRDefault="00302BFE" w:rsidP="00243B15">
            <w:pPr>
              <w:spacing w:before="40" w:after="40"/>
              <w:jc w:val="left"/>
              <w:rPr>
                <w:rFonts w:eastAsia="Times New Roman" w:cs="Arial"/>
                <w:sz w:val="18"/>
                <w:szCs w:val="18"/>
                <w:lang w:val="en-GB"/>
              </w:rPr>
            </w:pPr>
          </w:p>
        </w:tc>
        <w:tc>
          <w:tcPr>
            <w:tcW w:w="769" w:type="dxa"/>
          </w:tcPr>
          <w:p w14:paraId="5082941F" w14:textId="77777777" w:rsidR="00302BFE" w:rsidRPr="00893DD1" w:rsidRDefault="00302BFE" w:rsidP="00243B15">
            <w:pPr>
              <w:spacing w:before="40" w:after="40"/>
              <w:jc w:val="left"/>
              <w:rPr>
                <w:rFonts w:eastAsia="Times New Roman" w:cs="Arial"/>
                <w:sz w:val="18"/>
                <w:szCs w:val="18"/>
                <w:lang w:val="en-GB"/>
              </w:rPr>
            </w:pPr>
          </w:p>
        </w:tc>
        <w:tc>
          <w:tcPr>
            <w:tcW w:w="684" w:type="dxa"/>
          </w:tcPr>
          <w:p w14:paraId="3C793B6C" w14:textId="77777777" w:rsidR="00302BFE" w:rsidRPr="00893DD1" w:rsidRDefault="00302BFE" w:rsidP="00243B15">
            <w:pPr>
              <w:spacing w:before="40" w:after="40"/>
              <w:jc w:val="left"/>
              <w:rPr>
                <w:rFonts w:eastAsia="Times New Roman" w:cs="Arial"/>
                <w:sz w:val="18"/>
                <w:szCs w:val="18"/>
                <w:lang w:val="en-GB"/>
              </w:rPr>
            </w:pPr>
          </w:p>
        </w:tc>
      </w:tr>
      <w:tr w:rsidR="00302BFE" w:rsidRPr="00893DD1" w14:paraId="72BBD880" w14:textId="77777777" w:rsidTr="00243B15">
        <w:tc>
          <w:tcPr>
            <w:tcW w:w="0" w:type="auto"/>
          </w:tcPr>
          <w:p w14:paraId="42CA786E" w14:textId="77777777" w:rsidR="00302BFE" w:rsidRPr="00893DD1" w:rsidRDefault="00302BFE" w:rsidP="00243B15">
            <w:pPr>
              <w:spacing w:before="40" w:after="40"/>
              <w:jc w:val="left"/>
              <w:rPr>
                <w:rFonts w:eastAsia="Times New Roman" w:cs="Arial"/>
                <w:sz w:val="18"/>
                <w:szCs w:val="18"/>
                <w:lang w:val="en-GB"/>
              </w:rPr>
            </w:pPr>
            <w:r w:rsidRPr="00893DD1">
              <w:rPr>
                <w:rFonts w:eastAsia="Times New Roman" w:cs="Arial"/>
                <w:sz w:val="18"/>
                <w:szCs w:val="18"/>
                <w:lang w:val="en-GB"/>
              </w:rPr>
              <w:t>10</w:t>
            </w:r>
          </w:p>
        </w:tc>
        <w:tc>
          <w:tcPr>
            <w:tcW w:w="3537" w:type="dxa"/>
          </w:tcPr>
          <w:p w14:paraId="6C7AF344" w14:textId="77777777" w:rsidR="00302BFE" w:rsidRPr="00893DD1" w:rsidRDefault="00302BFE" w:rsidP="00243B15">
            <w:pPr>
              <w:pStyle w:val="Commentaire"/>
              <w:spacing w:before="40" w:after="40"/>
              <w:jc w:val="left"/>
              <w:rPr>
                <w:sz w:val="18"/>
                <w:szCs w:val="18"/>
                <w:lang w:val="en-CA" w:eastAsia="ja-JP"/>
              </w:rPr>
            </w:pPr>
            <w:r w:rsidRPr="00893DD1">
              <w:rPr>
                <w:sz w:val="18"/>
                <w:szCs w:val="18"/>
                <w:lang w:val="en-CA"/>
              </w:rPr>
              <w:t xml:space="preserve">A few sacred forests are present in the PONASI landscape including the sacred groves in the Sissili classified forest, the sacred hills and sacred waterholes in the Sissili and in the Nahouri. Although no specific intervention is foreseen in sacred forests or any sacred site, there is a possibility that measures to improve the preservation and management of village forests could affect them. </w:t>
            </w:r>
          </w:p>
        </w:tc>
        <w:tc>
          <w:tcPr>
            <w:tcW w:w="838" w:type="dxa"/>
          </w:tcPr>
          <w:p w14:paraId="43D379B4" w14:textId="77777777" w:rsidR="00302BFE" w:rsidRPr="00893DD1" w:rsidRDefault="00302BFE" w:rsidP="00243B15">
            <w:pPr>
              <w:spacing w:before="40" w:after="40"/>
              <w:jc w:val="left"/>
              <w:rPr>
                <w:rFonts w:eastAsia="Times New Roman" w:cs="Arial"/>
                <w:sz w:val="18"/>
                <w:szCs w:val="18"/>
                <w:lang w:val="en-CA"/>
              </w:rPr>
            </w:pPr>
            <w:r w:rsidRPr="00893DD1">
              <w:rPr>
                <w:rFonts w:eastAsia="Times New Roman" w:cs="Arial"/>
                <w:sz w:val="18"/>
                <w:szCs w:val="18"/>
                <w:lang w:val="fr-FR"/>
              </w:rPr>
              <w:t>May 23, 2019</w:t>
            </w:r>
          </w:p>
        </w:tc>
        <w:tc>
          <w:tcPr>
            <w:tcW w:w="861" w:type="dxa"/>
          </w:tcPr>
          <w:p w14:paraId="22F0CDED" w14:textId="77777777" w:rsidR="00302BFE" w:rsidRPr="00893DD1" w:rsidRDefault="00302BFE" w:rsidP="00243B15">
            <w:pPr>
              <w:spacing w:before="40" w:after="40"/>
              <w:jc w:val="left"/>
              <w:rPr>
                <w:rFonts w:eastAsia="Times New Roman" w:cs="Arial"/>
                <w:sz w:val="18"/>
                <w:szCs w:val="18"/>
              </w:rPr>
            </w:pPr>
            <w:r w:rsidRPr="00893DD1">
              <w:rPr>
                <w:rFonts w:eastAsia="Times New Roman" w:cs="Arial"/>
                <w:sz w:val="18"/>
                <w:szCs w:val="18"/>
              </w:rPr>
              <w:t>Environ-mental</w:t>
            </w:r>
          </w:p>
        </w:tc>
        <w:tc>
          <w:tcPr>
            <w:tcW w:w="1035" w:type="dxa"/>
          </w:tcPr>
          <w:p w14:paraId="0B18C748" w14:textId="77777777" w:rsidR="00302BFE" w:rsidRPr="00893DD1" w:rsidRDefault="00302BFE" w:rsidP="00243B15">
            <w:pPr>
              <w:spacing w:before="40" w:after="40"/>
              <w:rPr>
                <w:rFonts w:cs="Minion Pro"/>
                <w:sz w:val="18"/>
                <w:szCs w:val="18"/>
                <w:lang w:val="en-CA" w:eastAsia="ja-JP"/>
              </w:rPr>
            </w:pPr>
            <w:r w:rsidRPr="00893DD1">
              <w:rPr>
                <w:rFonts w:cs="Minion Pro"/>
                <w:sz w:val="18"/>
                <w:szCs w:val="18"/>
                <w:lang w:val="en-CA"/>
              </w:rPr>
              <w:t>I = 2</w:t>
            </w:r>
          </w:p>
          <w:p w14:paraId="50A1C1E3" w14:textId="77777777" w:rsidR="00302BFE" w:rsidRPr="00893DD1" w:rsidRDefault="00302BFE" w:rsidP="00243B15">
            <w:pPr>
              <w:spacing w:before="40" w:after="40"/>
              <w:jc w:val="left"/>
              <w:rPr>
                <w:rFonts w:cs="Minion Pro"/>
                <w:sz w:val="18"/>
                <w:szCs w:val="18"/>
                <w:lang w:val="en-CA"/>
              </w:rPr>
            </w:pPr>
            <w:r w:rsidRPr="00893DD1">
              <w:rPr>
                <w:rFonts w:cs="Minion Pro"/>
                <w:sz w:val="18"/>
                <w:szCs w:val="18"/>
                <w:lang w:val="en-CA"/>
              </w:rPr>
              <w:t>P =5</w:t>
            </w:r>
          </w:p>
          <w:p w14:paraId="68980C29" w14:textId="77777777" w:rsidR="00302BFE" w:rsidRPr="00893DD1" w:rsidRDefault="00302BFE" w:rsidP="00243B15">
            <w:pPr>
              <w:spacing w:before="40" w:after="40"/>
              <w:jc w:val="left"/>
              <w:rPr>
                <w:rFonts w:eastAsia="Times New Roman" w:cs="Arial"/>
                <w:sz w:val="18"/>
                <w:szCs w:val="18"/>
              </w:rPr>
            </w:pPr>
          </w:p>
          <w:p w14:paraId="2C1773E9" w14:textId="77777777" w:rsidR="00302BFE" w:rsidRPr="00893DD1" w:rsidRDefault="00302BFE" w:rsidP="00243B15">
            <w:pPr>
              <w:spacing w:before="40" w:after="40"/>
              <w:jc w:val="left"/>
              <w:rPr>
                <w:rFonts w:eastAsia="Times New Roman" w:cs="Arial"/>
                <w:sz w:val="18"/>
                <w:szCs w:val="18"/>
              </w:rPr>
            </w:pPr>
            <w:r w:rsidRPr="00893DD1">
              <w:rPr>
                <w:sz w:val="18"/>
                <w:szCs w:val="18"/>
                <w:lang w:val="en-CA"/>
              </w:rPr>
              <w:t>Low</w:t>
            </w:r>
          </w:p>
        </w:tc>
        <w:tc>
          <w:tcPr>
            <w:tcW w:w="4597" w:type="dxa"/>
          </w:tcPr>
          <w:p w14:paraId="1AC68485" w14:textId="77777777" w:rsidR="00302BFE" w:rsidRPr="00893DD1" w:rsidRDefault="00302BFE" w:rsidP="00243B15">
            <w:pPr>
              <w:spacing w:before="40" w:after="40"/>
              <w:jc w:val="left"/>
              <w:rPr>
                <w:rFonts w:eastAsia="Times New Roman" w:cs="Arial"/>
                <w:sz w:val="18"/>
                <w:szCs w:val="18"/>
              </w:rPr>
            </w:pPr>
            <w:r w:rsidRPr="00893DD1">
              <w:rPr>
                <w:sz w:val="18"/>
                <w:szCs w:val="18"/>
                <w:lang w:val="en-CA"/>
              </w:rPr>
              <w:t xml:space="preserve">In Burkina Faso, sacred forests are entrusted to the direct management of local communities. Forest management groups, customary and religious authorities, village chiefs and land chiefs develop consensus management rules, mainly prohibitions, to regulate access to resources, including the prohibition of cutting trees in sacred woods. To develop community forests zoning plans, the project will involve all stakeholders to agree on </w:t>
            </w:r>
            <w:r w:rsidRPr="00893DD1">
              <w:rPr>
                <w:sz w:val="18"/>
                <w:szCs w:val="18"/>
                <w:lang w:val="en-GB"/>
              </w:rPr>
              <w:t xml:space="preserve">simple rules for each zone and </w:t>
            </w:r>
            <w:r w:rsidRPr="00893DD1">
              <w:rPr>
                <w:sz w:val="18"/>
                <w:szCs w:val="18"/>
                <w:lang w:val="en-CA"/>
              </w:rPr>
              <w:t>will integrate the existing consensus management rules including those that protect sacred forests.</w:t>
            </w:r>
          </w:p>
        </w:tc>
        <w:tc>
          <w:tcPr>
            <w:tcW w:w="852" w:type="dxa"/>
          </w:tcPr>
          <w:p w14:paraId="4CD691BF" w14:textId="77777777" w:rsidR="00302BFE" w:rsidRPr="00893DD1" w:rsidRDefault="00302BFE" w:rsidP="00243B15">
            <w:pPr>
              <w:spacing w:before="40" w:after="40"/>
              <w:jc w:val="left"/>
              <w:rPr>
                <w:rFonts w:eastAsia="Times New Roman" w:cs="Arial"/>
                <w:sz w:val="18"/>
                <w:szCs w:val="18"/>
                <w:lang w:val="en-GB"/>
              </w:rPr>
            </w:pPr>
            <w:r w:rsidRPr="00ED27AE">
              <w:rPr>
                <w:rFonts w:eastAsia="Times New Roman" w:cs="Arial"/>
                <w:sz w:val="18"/>
                <w:szCs w:val="18"/>
                <w:lang w:val="en-GB"/>
              </w:rPr>
              <w:t>MEGECC</w:t>
            </w:r>
          </w:p>
        </w:tc>
        <w:tc>
          <w:tcPr>
            <w:tcW w:w="1044" w:type="dxa"/>
          </w:tcPr>
          <w:p w14:paraId="5EA22566" w14:textId="77777777" w:rsidR="00302BFE" w:rsidRPr="00893DD1" w:rsidRDefault="00302BFE" w:rsidP="00243B15">
            <w:pPr>
              <w:spacing w:before="40" w:after="40"/>
              <w:jc w:val="left"/>
              <w:rPr>
                <w:rFonts w:eastAsia="Times New Roman" w:cs="Arial"/>
                <w:sz w:val="18"/>
                <w:szCs w:val="18"/>
                <w:lang w:val="en-GB"/>
              </w:rPr>
            </w:pPr>
          </w:p>
        </w:tc>
        <w:tc>
          <w:tcPr>
            <w:tcW w:w="769" w:type="dxa"/>
          </w:tcPr>
          <w:p w14:paraId="0D81B22B" w14:textId="77777777" w:rsidR="00302BFE" w:rsidRPr="00893DD1" w:rsidRDefault="00302BFE" w:rsidP="00243B15">
            <w:pPr>
              <w:spacing w:before="40" w:after="40"/>
              <w:jc w:val="left"/>
              <w:rPr>
                <w:rFonts w:eastAsia="Times New Roman" w:cs="Arial"/>
                <w:sz w:val="18"/>
                <w:szCs w:val="18"/>
                <w:lang w:val="en-GB"/>
              </w:rPr>
            </w:pPr>
          </w:p>
        </w:tc>
        <w:tc>
          <w:tcPr>
            <w:tcW w:w="684" w:type="dxa"/>
          </w:tcPr>
          <w:p w14:paraId="439CD59E" w14:textId="77777777" w:rsidR="00302BFE" w:rsidRPr="00893DD1" w:rsidRDefault="00302BFE" w:rsidP="00243B15">
            <w:pPr>
              <w:spacing w:before="40" w:after="40"/>
              <w:jc w:val="left"/>
              <w:rPr>
                <w:rFonts w:eastAsia="Times New Roman" w:cs="Arial"/>
                <w:sz w:val="18"/>
                <w:szCs w:val="18"/>
                <w:lang w:val="en-GB"/>
              </w:rPr>
            </w:pPr>
          </w:p>
        </w:tc>
      </w:tr>
      <w:tr w:rsidR="00302BFE" w:rsidRPr="00893DD1" w14:paraId="25B920D5" w14:textId="77777777" w:rsidTr="00243B15">
        <w:tc>
          <w:tcPr>
            <w:tcW w:w="0" w:type="auto"/>
          </w:tcPr>
          <w:p w14:paraId="2B6D98FE" w14:textId="77777777" w:rsidR="00302BFE" w:rsidRPr="00893DD1" w:rsidRDefault="00302BFE" w:rsidP="00243B15">
            <w:pPr>
              <w:spacing w:before="40" w:after="40"/>
              <w:jc w:val="left"/>
              <w:rPr>
                <w:rFonts w:eastAsia="Times New Roman" w:cs="Arial"/>
                <w:sz w:val="18"/>
                <w:szCs w:val="18"/>
                <w:lang w:val="en-GB"/>
              </w:rPr>
            </w:pPr>
            <w:r w:rsidRPr="00893DD1">
              <w:rPr>
                <w:rFonts w:eastAsia="Times New Roman" w:cs="Arial"/>
                <w:sz w:val="18"/>
                <w:szCs w:val="18"/>
                <w:lang w:val="en-GB"/>
              </w:rPr>
              <w:t>11</w:t>
            </w:r>
          </w:p>
        </w:tc>
        <w:tc>
          <w:tcPr>
            <w:tcW w:w="3537" w:type="dxa"/>
          </w:tcPr>
          <w:p w14:paraId="269310BB" w14:textId="77777777" w:rsidR="00302BFE" w:rsidRPr="00893DD1" w:rsidRDefault="00302BFE" w:rsidP="00243B15">
            <w:pPr>
              <w:spacing w:before="40" w:after="40"/>
              <w:jc w:val="left"/>
              <w:rPr>
                <w:sz w:val="18"/>
                <w:szCs w:val="18"/>
                <w:lang w:val="en-CA"/>
              </w:rPr>
            </w:pPr>
            <w:r w:rsidRPr="00893DD1">
              <w:rPr>
                <w:sz w:val="18"/>
                <w:szCs w:val="18"/>
                <w:lang w:val="en-CA"/>
              </w:rPr>
              <w:t xml:space="preserve">The project will develop and implement zoning plans, improve pasture management, habitat restoration and enhancement that could affect land agreements and community property rights. </w:t>
            </w:r>
          </w:p>
        </w:tc>
        <w:tc>
          <w:tcPr>
            <w:tcW w:w="838" w:type="dxa"/>
          </w:tcPr>
          <w:p w14:paraId="72F5A235" w14:textId="77777777" w:rsidR="00302BFE" w:rsidRPr="00893DD1" w:rsidRDefault="00302BFE" w:rsidP="00243B15">
            <w:pPr>
              <w:spacing w:before="40" w:after="40"/>
              <w:jc w:val="left"/>
              <w:rPr>
                <w:rFonts w:eastAsia="Times New Roman" w:cs="Arial"/>
                <w:sz w:val="18"/>
                <w:szCs w:val="18"/>
                <w:lang w:val="en-CA"/>
              </w:rPr>
            </w:pPr>
            <w:r w:rsidRPr="00893DD1">
              <w:rPr>
                <w:rFonts w:eastAsia="Times New Roman" w:cs="Arial"/>
                <w:sz w:val="18"/>
                <w:szCs w:val="18"/>
                <w:lang w:val="fr-FR"/>
              </w:rPr>
              <w:t>May 23, 2019</w:t>
            </w:r>
          </w:p>
        </w:tc>
        <w:tc>
          <w:tcPr>
            <w:tcW w:w="861" w:type="dxa"/>
          </w:tcPr>
          <w:p w14:paraId="545CC802" w14:textId="77777777" w:rsidR="00302BFE" w:rsidRPr="00893DD1" w:rsidRDefault="00302BFE" w:rsidP="00243B15">
            <w:pPr>
              <w:spacing w:before="40" w:after="40"/>
              <w:jc w:val="left"/>
              <w:rPr>
                <w:rFonts w:eastAsia="Times New Roman" w:cs="Arial"/>
                <w:sz w:val="18"/>
                <w:szCs w:val="18"/>
              </w:rPr>
            </w:pPr>
            <w:r w:rsidRPr="00893DD1">
              <w:rPr>
                <w:rFonts w:eastAsia="Times New Roman" w:cs="Arial"/>
                <w:sz w:val="18"/>
                <w:szCs w:val="18"/>
              </w:rPr>
              <w:t>Social</w:t>
            </w:r>
          </w:p>
        </w:tc>
        <w:tc>
          <w:tcPr>
            <w:tcW w:w="1035" w:type="dxa"/>
          </w:tcPr>
          <w:p w14:paraId="0671DF34" w14:textId="77777777" w:rsidR="00302BFE" w:rsidRPr="00893DD1" w:rsidRDefault="00302BFE" w:rsidP="00243B15">
            <w:pPr>
              <w:spacing w:before="40" w:after="40"/>
              <w:jc w:val="left"/>
              <w:rPr>
                <w:rFonts w:eastAsia="Times New Roman" w:cs="Arial"/>
                <w:sz w:val="18"/>
                <w:szCs w:val="18"/>
              </w:rPr>
            </w:pPr>
            <w:r w:rsidRPr="00893DD1">
              <w:rPr>
                <w:rFonts w:eastAsia="Times New Roman" w:cs="Arial"/>
                <w:sz w:val="18"/>
                <w:szCs w:val="18"/>
              </w:rPr>
              <w:t>I = 2</w:t>
            </w:r>
          </w:p>
          <w:p w14:paraId="598C85A3" w14:textId="77777777" w:rsidR="00302BFE" w:rsidRPr="00893DD1" w:rsidRDefault="00302BFE" w:rsidP="00243B15">
            <w:pPr>
              <w:spacing w:before="40" w:after="40"/>
              <w:jc w:val="left"/>
              <w:rPr>
                <w:rFonts w:eastAsia="Times New Roman" w:cs="Arial"/>
                <w:sz w:val="18"/>
                <w:szCs w:val="18"/>
              </w:rPr>
            </w:pPr>
            <w:r w:rsidRPr="00893DD1">
              <w:rPr>
                <w:rFonts w:eastAsia="Times New Roman" w:cs="Arial"/>
                <w:sz w:val="18"/>
                <w:szCs w:val="18"/>
              </w:rPr>
              <w:t>P = 2</w:t>
            </w:r>
          </w:p>
          <w:p w14:paraId="7EEF9D72" w14:textId="77777777" w:rsidR="00302BFE" w:rsidRPr="00893DD1" w:rsidRDefault="00302BFE" w:rsidP="00243B15">
            <w:pPr>
              <w:spacing w:before="40" w:after="40"/>
              <w:jc w:val="left"/>
              <w:rPr>
                <w:rFonts w:eastAsia="Times New Roman" w:cs="Arial"/>
                <w:sz w:val="18"/>
                <w:szCs w:val="18"/>
              </w:rPr>
            </w:pPr>
          </w:p>
          <w:p w14:paraId="49781972" w14:textId="77777777" w:rsidR="00302BFE" w:rsidRPr="00893DD1" w:rsidRDefault="00302BFE" w:rsidP="00243B15">
            <w:pPr>
              <w:spacing w:before="40" w:after="40"/>
              <w:jc w:val="left"/>
              <w:rPr>
                <w:rFonts w:eastAsia="Times New Roman" w:cs="Arial"/>
                <w:sz w:val="18"/>
                <w:szCs w:val="18"/>
              </w:rPr>
            </w:pPr>
            <w:r w:rsidRPr="00893DD1">
              <w:rPr>
                <w:sz w:val="18"/>
                <w:szCs w:val="18"/>
              </w:rPr>
              <w:t>Low</w:t>
            </w:r>
          </w:p>
        </w:tc>
        <w:tc>
          <w:tcPr>
            <w:tcW w:w="4597" w:type="dxa"/>
          </w:tcPr>
          <w:p w14:paraId="1F750E25" w14:textId="77777777" w:rsidR="00302BFE" w:rsidRPr="00893DD1" w:rsidRDefault="00302BFE" w:rsidP="00243B15">
            <w:pPr>
              <w:spacing w:before="40" w:after="40"/>
              <w:jc w:val="left"/>
              <w:rPr>
                <w:rFonts w:eastAsia="Times New Roman" w:cs="Arial"/>
                <w:sz w:val="18"/>
                <w:szCs w:val="18"/>
              </w:rPr>
            </w:pPr>
            <w:r w:rsidRPr="00893DD1">
              <w:rPr>
                <w:sz w:val="18"/>
                <w:szCs w:val="18"/>
                <w:lang w:val="en-CA"/>
              </w:rPr>
              <w:t>The zoning plans will respect the community and individual ownership of land and natural resources and will be developed in line with regional planning schemes and communal development plans.</w:t>
            </w:r>
            <w:r w:rsidRPr="00893DD1">
              <w:rPr>
                <w:rFonts w:eastAsia="Calibri"/>
                <w:sz w:val="18"/>
                <w:szCs w:val="18"/>
                <w:lang w:val="en-CA"/>
              </w:rPr>
              <w:t xml:space="preserve"> To achieve the overall goal to improve land use within the PONASI complex, the project will pay particular attention to community engagement and ownership. A participatory approach will be adopted for all decisions. Although the project will avoid displacing any land and resource user, the participatory land use planning process in the PONASI landscape area to be implemented in Component 1, provides for compensation measures for land and resource access restrictions that would result from a new configuration or a new use of a portion of the landscape and will include the establishment of a conflict management mechanism.</w:t>
            </w:r>
          </w:p>
        </w:tc>
        <w:tc>
          <w:tcPr>
            <w:tcW w:w="852" w:type="dxa"/>
          </w:tcPr>
          <w:p w14:paraId="68AC7236" w14:textId="77777777" w:rsidR="00302BFE" w:rsidRPr="00893DD1" w:rsidRDefault="00302BFE" w:rsidP="00243B15">
            <w:pPr>
              <w:spacing w:before="40" w:after="40"/>
              <w:jc w:val="left"/>
              <w:rPr>
                <w:rFonts w:eastAsia="Times New Roman" w:cs="Arial"/>
                <w:sz w:val="18"/>
                <w:szCs w:val="18"/>
                <w:lang w:val="en-GB"/>
              </w:rPr>
            </w:pPr>
            <w:r w:rsidRPr="00ED27AE">
              <w:rPr>
                <w:rFonts w:eastAsia="Times New Roman" w:cs="Arial"/>
                <w:sz w:val="18"/>
                <w:szCs w:val="18"/>
                <w:lang w:val="en-GB"/>
              </w:rPr>
              <w:t>MEGECC</w:t>
            </w:r>
          </w:p>
        </w:tc>
        <w:tc>
          <w:tcPr>
            <w:tcW w:w="1044" w:type="dxa"/>
          </w:tcPr>
          <w:p w14:paraId="3AA67A7A" w14:textId="77777777" w:rsidR="00302BFE" w:rsidRPr="00893DD1" w:rsidRDefault="00302BFE" w:rsidP="00243B15">
            <w:pPr>
              <w:spacing w:before="40" w:after="40"/>
              <w:jc w:val="left"/>
              <w:rPr>
                <w:rFonts w:eastAsia="Times New Roman" w:cs="Arial"/>
                <w:sz w:val="18"/>
                <w:szCs w:val="18"/>
                <w:lang w:val="en-GB"/>
              </w:rPr>
            </w:pPr>
          </w:p>
        </w:tc>
        <w:tc>
          <w:tcPr>
            <w:tcW w:w="769" w:type="dxa"/>
          </w:tcPr>
          <w:p w14:paraId="1FB573A3" w14:textId="77777777" w:rsidR="00302BFE" w:rsidRPr="00893DD1" w:rsidRDefault="00302BFE" w:rsidP="00243B15">
            <w:pPr>
              <w:spacing w:before="40" w:after="40"/>
              <w:jc w:val="left"/>
              <w:rPr>
                <w:rFonts w:eastAsia="Times New Roman" w:cs="Arial"/>
                <w:sz w:val="18"/>
                <w:szCs w:val="18"/>
                <w:lang w:val="en-GB"/>
              </w:rPr>
            </w:pPr>
          </w:p>
        </w:tc>
        <w:tc>
          <w:tcPr>
            <w:tcW w:w="684" w:type="dxa"/>
          </w:tcPr>
          <w:p w14:paraId="0F21FB7A" w14:textId="77777777" w:rsidR="00302BFE" w:rsidRPr="00893DD1" w:rsidRDefault="00302BFE" w:rsidP="00243B15">
            <w:pPr>
              <w:spacing w:before="40" w:after="40"/>
              <w:jc w:val="left"/>
              <w:rPr>
                <w:rFonts w:eastAsia="Times New Roman" w:cs="Arial"/>
                <w:sz w:val="18"/>
                <w:szCs w:val="18"/>
                <w:lang w:val="en-GB"/>
              </w:rPr>
            </w:pPr>
          </w:p>
        </w:tc>
      </w:tr>
      <w:tr w:rsidR="00302BFE" w:rsidRPr="00893DD1" w14:paraId="31438840" w14:textId="77777777" w:rsidTr="00243B15">
        <w:tc>
          <w:tcPr>
            <w:tcW w:w="0" w:type="auto"/>
          </w:tcPr>
          <w:p w14:paraId="4A2D56FB" w14:textId="77777777" w:rsidR="00302BFE" w:rsidRPr="00893DD1" w:rsidRDefault="00302BFE" w:rsidP="00243B15">
            <w:pPr>
              <w:spacing w:before="40" w:after="40"/>
              <w:jc w:val="left"/>
              <w:rPr>
                <w:rFonts w:eastAsia="Times New Roman" w:cs="Arial"/>
                <w:sz w:val="18"/>
                <w:szCs w:val="18"/>
                <w:lang w:val="en-GB"/>
              </w:rPr>
            </w:pPr>
            <w:r w:rsidRPr="00893DD1">
              <w:rPr>
                <w:rFonts w:eastAsia="Times New Roman" w:cs="Arial"/>
                <w:sz w:val="18"/>
                <w:szCs w:val="18"/>
                <w:lang w:val="en-GB"/>
              </w:rPr>
              <w:t>12</w:t>
            </w:r>
          </w:p>
        </w:tc>
        <w:tc>
          <w:tcPr>
            <w:tcW w:w="3537" w:type="dxa"/>
          </w:tcPr>
          <w:p w14:paraId="486EBF96" w14:textId="77777777" w:rsidR="00302BFE" w:rsidRPr="00893DD1" w:rsidRDefault="00302BFE" w:rsidP="00243B15">
            <w:pPr>
              <w:spacing w:before="40" w:after="40"/>
              <w:jc w:val="left"/>
              <w:rPr>
                <w:rFonts w:eastAsia="Times New Roman" w:cs="Arial"/>
                <w:sz w:val="18"/>
                <w:szCs w:val="18"/>
                <w:lang w:val="en-GB"/>
              </w:rPr>
            </w:pPr>
            <w:r w:rsidRPr="00893DD1">
              <w:rPr>
                <w:sz w:val="18"/>
                <w:szCs w:val="18"/>
                <w:lang w:val="en-CA"/>
              </w:rPr>
              <w:t xml:space="preserve">The project could result in release of pollutants into the environment due to </w:t>
            </w:r>
            <w:r>
              <w:rPr>
                <w:sz w:val="18"/>
                <w:szCs w:val="18"/>
                <w:lang w:val="en-CA"/>
              </w:rPr>
              <w:t>support to</w:t>
            </w:r>
            <w:r w:rsidRPr="00231DB0">
              <w:rPr>
                <w:sz w:val="18"/>
                <w:szCs w:val="18"/>
                <w:lang w:val="en-CA"/>
              </w:rPr>
              <w:t xml:space="preserve"> agro-silvo-pastoral practices in terroirs within the PONASI landscape. Agriculture, as commonly practiced, uses herbicides and pesticides excessively</w:t>
            </w:r>
            <w:r>
              <w:rPr>
                <w:sz w:val="18"/>
                <w:szCs w:val="18"/>
                <w:lang w:val="en-CA"/>
              </w:rPr>
              <w:t xml:space="preserve"> to replace tillage and </w:t>
            </w:r>
            <w:r w:rsidRPr="00231DB0">
              <w:rPr>
                <w:sz w:val="18"/>
                <w:szCs w:val="18"/>
                <w:lang w:val="en-CA"/>
              </w:rPr>
              <w:t>weeding</w:t>
            </w:r>
            <w:r>
              <w:rPr>
                <w:sz w:val="18"/>
                <w:szCs w:val="18"/>
                <w:lang w:val="en-CA"/>
              </w:rPr>
              <w:t xml:space="preserve"> labour.</w:t>
            </w:r>
          </w:p>
        </w:tc>
        <w:tc>
          <w:tcPr>
            <w:tcW w:w="838" w:type="dxa"/>
          </w:tcPr>
          <w:p w14:paraId="5BB8C69D" w14:textId="77777777" w:rsidR="00302BFE" w:rsidRPr="00893DD1" w:rsidRDefault="00302BFE" w:rsidP="00243B15">
            <w:pPr>
              <w:spacing w:before="40" w:after="40"/>
              <w:jc w:val="left"/>
              <w:rPr>
                <w:rFonts w:eastAsia="Times New Roman" w:cs="Arial"/>
                <w:sz w:val="18"/>
                <w:szCs w:val="18"/>
                <w:lang w:val="en-CA"/>
              </w:rPr>
            </w:pPr>
            <w:r w:rsidRPr="00893DD1">
              <w:rPr>
                <w:rFonts w:eastAsia="Times New Roman" w:cs="Arial"/>
                <w:sz w:val="18"/>
                <w:szCs w:val="18"/>
                <w:lang w:val="fr-FR"/>
              </w:rPr>
              <w:t>May 23, 2019</w:t>
            </w:r>
          </w:p>
        </w:tc>
        <w:tc>
          <w:tcPr>
            <w:tcW w:w="861" w:type="dxa"/>
          </w:tcPr>
          <w:p w14:paraId="5AA86F2B" w14:textId="77777777" w:rsidR="00302BFE" w:rsidRPr="00893DD1" w:rsidRDefault="00302BFE" w:rsidP="00243B15">
            <w:pPr>
              <w:spacing w:before="40" w:after="40"/>
              <w:jc w:val="left"/>
              <w:rPr>
                <w:rFonts w:eastAsia="Times New Roman" w:cs="Arial"/>
                <w:sz w:val="18"/>
                <w:szCs w:val="18"/>
              </w:rPr>
            </w:pPr>
            <w:r w:rsidRPr="00893DD1">
              <w:rPr>
                <w:rFonts w:eastAsia="Times New Roman" w:cs="Arial"/>
                <w:sz w:val="18"/>
                <w:szCs w:val="18"/>
              </w:rPr>
              <w:t>Environ-mental</w:t>
            </w:r>
          </w:p>
        </w:tc>
        <w:tc>
          <w:tcPr>
            <w:tcW w:w="1035" w:type="dxa"/>
          </w:tcPr>
          <w:p w14:paraId="0ABDA150" w14:textId="77777777" w:rsidR="00302BFE" w:rsidRPr="00893DD1" w:rsidRDefault="00302BFE" w:rsidP="00243B15">
            <w:pPr>
              <w:spacing w:before="40" w:after="40"/>
              <w:rPr>
                <w:rFonts w:cs="Minion Pro"/>
                <w:sz w:val="18"/>
                <w:szCs w:val="18"/>
                <w:lang w:eastAsia="ja-JP"/>
              </w:rPr>
            </w:pPr>
            <w:r w:rsidRPr="00893DD1">
              <w:rPr>
                <w:rFonts w:cs="Minion Pro"/>
                <w:sz w:val="18"/>
                <w:szCs w:val="18"/>
              </w:rPr>
              <w:t>I = 2</w:t>
            </w:r>
          </w:p>
          <w:p w14:paraId="27E221A0" w14:textId="77777777" w:rsidR="00302BFE" w:rsidRPr="00893DD1" w:rsidRDefault="00302BFE" w:rsidP="00243B15">
            <w:pPr>
              <w:spacing w:before="40" w:after="40"/>
              <w:jc w:val="left"/>
              <w:rPr>
                <w:rFonts w:cs="Minion Pro"/>
                <w:sz w:val="18"/>
                <w:szCs w:val="18"/>
              </w:rPr>
            </w:pPr>
            <w:r w:rsidRPr="00893DD1">
              <w:rPr>
                <w:rFonts w:cs="Minion Pro"/>
                <w:sz w:val="18"/>
                <w:szCs w:val="18"/>
              </w:rPr>
              <w:t>P = 2</w:t>
            </w:r>
          </w:p>
          <w:p w14:paraId="2930CD5F" w14:textId="77777777" w:rsidR="00302BFE" w:rsidRPr="00893DD1" w:rsidRDefault="00302BFE" w:rsidP="00243B15">
            <w:pPr>
              <w:spacing w:before="40" w:after="40"/>
              <w:jc w:val="left"/>
              <w:rPr>
                <w:rFonts w:eastAsia="Times New Roman" w:cs="Arial"/>
                <w:sz w:val="18"/>
                <w:szCs w:val="18"/>
              </w:rPr>
            </w:pPr>
          </w:p>
          <w:p w14:paraId="50436B9C" w14:textId="77777777" w:rsidR="00302BFE" w:rsidRPr="00893DD1" w:rsidRDefault="00302BFE" w:rsidP="00243B15">
            <w:pPr>
              <w:spacing w:before="40" w:after="40"/>
              <w:jc w:val="left"/>
              <w:rPr>
                <w:rFonts w:eastAsia="Times New Roman" w:cs="Arial"/>
                <w:sz w:val="18"/>
                <w:szCs w:val="18"/>
              </w:rPr>
            </w:pPr>
            <w:r w:rsidRPr="00893DD1">
              <w:rPr>
                <w:sz w:val="18"/>
                <w:szCs w:val="18"/>
              </w:rPr>
              <w:t>Low</w:t>
            </w:r>
          </w:p>
        </w:tc>
        <w:tc>
          <w:tcPr>
            <w:tcW w:w="4597" w:type="dxa"/>
          </w:tcPr>
          <w:p w14:paraId="45841F0E" w14:textId="77777777" w:rsidR="00302BFE" w:rsidRPr="00893DD1" w:rsidRDefault="00302BFE" w:rsidP="00243B15">
            <w:pPr>
              <w:spacing w:before="40" w:after="40"/>
              <w:jc w:val="left"/>
              <w:rPr>
                <w:rFonts w:eastAsia="Times New Roman" w:cs="Arial"/>
                <w:sz w:val="18"/>
                <w:szCs w:val="18"/>
              </w:rPr>
            </w:pPr>
            <w:r w:rsidRPr="00893DD1">
              <w:rPr>
                <w:sz w:val="18"/>
                <w:szCs w:val="18"/>
                <w:lang w:val="en-CA"/>
              </w:rPr>
              <w:t xml:space="preserve">Project interventions will not increase agricultural activities and will aim to discourage producers from using chemical pesticides and herbicides by promoting organic agriculture, raising awareness of the environmental and human health impacts of herbicide and pesticide use and the impact on bee populations and honey production which is well established in the PONASI landscape. The project will promote models of sustainable agriculture </w:t>
            </w:r>
            <w:r w:rsidRPr="00893DD1">
              <w:rPr>
                <w:sz w:val="18"/>
                <w:szCs w:val="18"/>
                <w:lang w:val="en-CA"/>
              </w:rPr>
              <w:lastRenderedPageBreak/>
              <w:t>and tillage that do not rely on the use of chemical herbicides and pesticides.</w:t>
            </w:r>
          </w:p>
        </w:tc>
        <w:tc>
          <w:tcPr>
            <w:tcW w:w="852" w:type="dxa"/>
          </w:tcPr>
          <w:p w14:paraId="78A83EB0" w14:textId="77777777" w:rsidR="00302BFE" w:rsidRPr="00893DD1" w:rsidRDefault="00302BFE" w:rsidP="00243B15">
            <w:pPr>
              <w:spacing w:before="40" w:after="40"/>
              <w:jc w:val="left"/>
              <w:rPr>
                <w:rFonts w:eastAsia="Times New Roman" w:cs="Arial"/>
                <w:sz w:val="18"/>
                <w:szCs w:val="18"/>
                <w:lang w:val="en-GB"/>
              </w:rPr>
            </w:pPr>
            <w:r w:rsidRPr="00ED27AE">
              <w:rPr>
                <w:rFonts w:eastAsia="Times New Roman" w:cs="Arial"/>
                <w:sz w:val="18"/>
                <w:szCs w:val="18"/>
                <w:lang w:val="en-GB"/>
              </w:rPr>
              <w:lastRenderedPageBreak/>
              <w:t>MEGECC</w:t>
            </w:r>
          </w:p>
        </w:tc>
        <w:tc>
          <w:tcPr>
            <w:tcW w:w="1044" w:type="dxa"/>
          </w:tcPr>
          <w:p w14:paraId="6979E7A3" w14:textId="77777777" w:rsidR="00302BFE" w:rsidRPr="00893DD1" w:rsidRDefault="00302BFE" w:rsidP="00243B15">
            <w:pPr>
              <w:spacing w:before="40" w:after="40"/>
              <w:jc w:val="left"/>
              <w:rPr>
                <w:rFonts w:eastAsia="Times New Roman" w:cs="Arial"/>
                <w:sz w:val="18"/>
                <w:szCs w:val="18"/>
                <w:lang w:val="en-GB"/>
              </w:rPr>
            </w:pPr>
          </w:p>
        </w:tc>
        <w:tc>
          <w:tcPr>
            <w:tcW w:w="769" w:type="dxa"/>
          </w:tcPr>
          <w:p w14:paraId="04B8423E" w14:textId="77777777" w:rsidR="00302BFE" w:rsidRPr="00893DD1" w:rsidRDefault="00302BFE" w:rsidP="00243B15">
            <w:pPr>
              <w:spacing w:before="40" w:after="40"/>
              <w:jc w:val="left"/>
              <w:rPr>
                <w:rFonts w:eastAsia="Times New Roman" w:cs="Arial"/>
                <w:sz w:val="18"/>
                <w:szCs w:val="18"/>
                <w:lang w:val="en-GB"/>
              </w:rPr>
            </w:pPr>
          </w:p>
        </w:tc>
        <w:tc>
          <w:tcPr>
            <w:tcW w:w="684" w:type="dxa"/>
          </w:tcPr>
          <w:p w14:paraId="2BD1F8D3" w14:textId="77777777" w:rsidR="00302BFE" w:rsidRPr="00893DD1" w:rsidRDefault="00302BFE" w:rsidP="00243B15">
            <w:pPr>
              <w:spacing w:before="40" w:after="40"/>
              <w:jc w:val="left"/>
              <w:rPr>
                <w:rFonts w:eastAsia="Times New Roman" w:cs="Arial"/>
                <w:sz w:val="18"/>
                <w:szCs w:val="18"/>
                <w:lang w:val="en-GB"/>
              </w:rPr>
            </w:pPr>
          </w:p>
        </w:tc>
      </w:tr>
      <w:tr w:rsidR="00302BFE" w:rsidRPr="00893DD1" w14:paraId="600B9BD6" w14:textId="77777777" w:rsidTr="00243B15">
        <w:tc>
          <w:tcPr>
            <w:tcW w:w="0" w:type="auto"/>
          </w:tcPr>
          <w:p w14:paraId="06CED1AD" w14:textId="77777777" w:rsidR="00302BFE" w:rsidRPr="00893DD1" w:rsidRDefault="00302BFE" w:rsidP="00243B15">
            <w:pPr>
              <w:spacing w:before="40" w:after="40"/>
              <w:jc w:val="left"/>
              <w:rPr>
                <w:rFonts w:eastAsia="Times New Roman" w:cs="Arial"/>
                <w:sz w:val="18"/>
                <w:szCs w:val="18"/>
                <w:lang w:val="en-GB"/>
              </w:rPr>
            </w:pPr>
            <w:r w:rsidRPr="00893DD1">
              <w:rPr>
                <w:rFonts w:eastAsia="Times New Roman" w:cs="Arial"/>
                <w:sz w:val="18"/>
                <w:szCs w:val="18"/>
                <w:lang w:val="en-GB"/>
              </w:rPr>
              <w:t>13</w:t>
            </w:r>
          </w:p>
        </w:tc>
        <w:tc>
          <w:tcPr>
            <w:tcW w:w="3537" w:type="dxa"/>
          </w:tcPr>
          <w:p w14:paraId="474E85D5" w14:textId="77777777" w:rsidR="00302BFE" w:rsidRPr="00893DD1" w:rsidRDefault="00302BFE" w:rsidP="00243B15">
            <w:pPr>
              <w:spacing w:before="40" w:after="40"/>
              <w:jc w:val="left"/>
              <w:rPr>
                <w:sz w:val="18"/>
                <w:szCs w:val="18"/>
                <w:lang w:val="en-CA"/>
              </w:rPr>
            </w:pPr>
            <w:r w:rsidRPr="00893DD1">
              <w:rPr>
                <w:sz w:val="18"/>
                <w:szCs w:val="18"/>
                <w:lang w:val="en-CA"/>
              </w:rPr>
              <w:t xml:space="preserve">The proposed project would potentially lead to the production of non-hazardous waste by </w:t>
            </w:r>
            <w:r w:rsidRPr="00231DB0">
              <w:rPr>
                <w:sz w:val="18"/>
                <w:szCs w:val="18"/>
                <w:lang w:val="en-CA"/>
              </w:rPr>
              <w:t>support</w:t>
            </w:r>
            <w:r>
              <w:rPr>
                <w:sz w:val="18"/>
                <w:szCs w:val="18"/>
                <w:lang w:val="en-CA"/>
              </w:rPr>
              <w:t>ing</w:t>
            </w:r>
            <w:r w:rsidRPr="00231DB0">
              <w:rPr>
                <w:sz w:val="18"/>
                <w:szCs w:val="18"/>
                <w:lang w:val="en-CA"/>
              </w:rPr>
              <w:t xml:space="preserve"> the shea sector which produces as waste the hulls of shea kernels.</w:t>
            </w:r>
          </w:p>
        </w:tc>
        <w:tc>
          <w:tcPr>
            <w:tcW w:w="838" w:type="dxa"/>
          </w:tcPr>
          <w:p w14:paraId="2A7107C2" w14:textId="77777777" w:rsidR="00302BFE" w:rsidRPr="00893DD1" w:rsidRDefault="00302BFE" w:rsidP="00243B15">
            <w:pPr>
              <w:spacing w:before="40" w:after="40"/>
              <w:jc w:val="left"/>
              <w:rPr>
                <w:rFonts w:eastAsia="Times New Roman" w:cs="Arial"/>
                <w:sz w:val="18"/>
                <w:szCs w:val="18"/>
                <w:lang w:val="en-CA"/>
              </w:rPr>
            </w:pPr>
            <w:r w:rsidRPr="00231DB0">
              <w:rPr>
                <w:rFonts w:eastAsia="Times New Roman" w:cs="Arial"/>
                <w:sz w:val="18"/>
                <w:szCs w:val="18"/>
                <w:lang w:val="fr-FR"/>
              </w:rPr>
              <w:t>May 23, 2019</w:t>
            </w:r>
          </w:p>
        </w:tc>
        <w:tc>
          <w:tcPr>
            <w:tcW w:w="861" w:type="dxa"/>
          </w:tcPr>
          <w:p w14:paraId="4D436CFA" w14:textId="77777777" w:rsidR="00302BFE" w:rsidRPr="00893DD1" w:rsidRDefault="00302BFE" w:rsidP="00243B15">
            <w:pPr>
              <w:spacing w:before="40" w:after="40"/>
              <w:jc w:val="left"/>
              <w:rPr>
                <w:rFonts w:eastAsia="Times New Roman" w:cs="Arial"/>
                <w:sz w:val="18"/>
                <w:szCs w:val="18"/>
              </w:rPr>
            </w:pPr>
            <w:r w:rsidRPr="00ED27AE">
              <w:rPr>
                <w:rFonts w:eastAsia="Times New Roman" w:cs="Arial"/>
                <w:sz w:val="18"/>
                <w:szCs w:val="18"/>
              </w:rPr>
              <w:t>Environ-mental</w:t>
            </w:r>
          </w:p>
        </w:tc>
        <w:tc>
          <w:tcPr>
            <w:tcW w:w="1035" w:type="dxa"/>
          </w:tcPr>
          <w:p w14:paraId="2EB881F2" w14:textId="77777777" w:rsidR="00302BFE" w:rsidRPr="00893DD1" w:rsidRDefault="00302BFE" w:rsidP="00243B15">
            <w:pPr>
              <w:spacing w:before="40" w:after="40"/>
              <w:rPr>
                <w:rFonts w:cs="Minion Pro"/>
                <w:sz w:val="18"/>
                <w:szCs w:val="18"/>
                <w:lang w:eastAsia="ja-JP"/>
              </w:rPr>
            </w:pPr>
            <w:r w:rsidRPr="00893DD1">
              <w:rPr>
                <w:rFonts w:cs="Minion Pro"/>
                <w:sz w:val="18"/>
                <w:szCs w:val="18"/>
              </w:rPr>
              <w:t>I = 1</w:t>
            </w:r>
          </w:p>
          <w:p w14:paraId="775DF38F" w14:textId="77777777" w:rsidR="00302BFE" w:rsidRPr="00893DD1" w:rsidRDefault="00302BFE" w:rsidP="00243B15">
            <w:pPr>
              <w:spacing w:before="40" w:after="40"/>
              <w:rPr>
                <w:rFonts w:cs="Minion Pro"/>
                <w:sz w:val="18"/>
                <w:szCs w:val="18"/>
              </w:rPr>
            </w:pPr>
            <w:r w:rsidRPr="00893DD1">
              <w:rPr>
                <w:rFonts w:cs="Minion Pro"/>
                <w:sz w:val="18"/>
                <w:szCs w:val="18"/>
              </w:rPr>
              <w:t>P = 5</w:t>
            </w:r>
          </w:p>
          <w:p w14:paraId="6A559C33" w14:textId="77777777" w:rsidR="00302BFE" w:rsidRPr="00893DD1" w:rsidRDefault="00302BFE" w:rsidP="00243B15">
            <w:pPr>
              <w:spacing w:before="40" w:after="40"/>
              <w:rPr>
                <w:rFonts w:cs="Minion Pro"/>
                <w:sz w:val="18"/>
                <w:szCs w:val="18"/>
              </w:rPr>
            </w:pPr>
            <w:r w:rsidRPr="00893DD1">
              <w:rPr>
                <w:sz w:val="18"/>
                <w:szCs w:val="18"/>
                <w:lang w:val="fr-CA"/>
              </w:rPr>
              <w:t>Low</w:t>
            </w:r>
          </w:p>
        </w:tc>
        <w:tc>
          <w:tcPr>
            <w:tcW w:w="4597" w:type="dxa"/>
          </w:tcPr>
          <w:p w14:paraId="7156360D" w14:textId="77777777" w:rsidR="00302BFE" w:rsidRPr="00893DD1" w:rsidRDefault="00302BFE" w:rsidP="00243B15">
            <w:pPr>
              <w:spacing w:before="40" w:after="40"/>
              <w:jc w:val="left"/>
              <w:rPr>
                <w:sz w:val="18"/>
                <w:szCs w:val="18"/>
                <w:lang w:val="en-CA"/>
              </w:rPr>
            </w:pPr>
            <w:r w:rsidRPr="00893DD1">
              <w:rPr>
                <w:sz w:val="18"/>
                <w:szCs w:val="18"/>
                <w:lang w:val="en-CA"/>
              </w:rPr>
              <w:t>The project plans to use shea almond shells as biomass energy in pyrolysis furnaces to feed the shea nut processing process.</w:t>
            </w:r>
          </w:p>
        </w:tc>
        <w:tc>
          <w:tcPr>
            <w:tcW w:w="852" w:type="dxa"/>
          </w:tcPr>
          <w:p w14:paraId="136495A6" w14:textId="77777777" w:rsidR="00302BFE" w:rsidRPr="00893DD1" w:rsidRDefault="00302BFE" w:rsidP="00243B15">
            <w:pPr>
              <w:spacing w:before="40" w:after="40"/>
              <w:jc w:val="left"/>
              <w:rPr>
                <w:rFonts w:eastAsia="Times New Roman" w:cs="Arial"/>
                <w:sz w:val="18"/>
                <w:szCs w:val="18"/>
                <w:lang w:val="en-GB"/>
              </w:rPr>
            </w:pPr>
            <w:r w:rsidRPr="00ED27AE">
              <w:rPr>
                <w:rFonts w:eastAsia="Times New Roman" w:cs="Arial"/>
                <w:sz w:val="18"/>
                <w:szCs w:val="18"/>
                <w:lang w:val="en-GB"/>
              </w:rPr>
              <w:t>MEGECC</w:t>
            </w:r>
          </w:p>
        </w:tc>
        <w:tc>
          <w:tcPr>
            <w:tcW w:w="1044" w:type="dxa"/>
          </w:tcPr>
          <w:p w14:paraId="14CDBDC6" w14:textId="77777777" w:rsidR="00302BFE" w:rsidRPr="00893DD1" w:rsidRDefault="00302BFE" w:rsidP="00243B15">
            <w:pPr>
              <w:spacing w:before="40" w:after="40"/>
              <w:jc w:val="left"/>
              <w:rPr>
                <w:rFonts w:eastAsia="Times New Roman" w:cs="Arial"/>
                <w:sz w:val="18"/>
                <w:szCs w:val="18"/>
                <w:lang w:val="en-GB"/>
              </w:rPr>
            </w:pPr>
          </w:p>
        </w:tc>
        <w:tc>
          <w:tcPr>
            <w:tcW w:w="769" w:type="dxa"/>
          </w:tcPr>
          <w:p w14:paraId="33F61ECF" w14:textId="77777777" w:rsidR="00302BFE" w:rsidRPr="00893DD1" w:rsidRDefault="00302BFE" w:rsidP="00243B15">
            <w:pPr>
              <w:spacing w:before="40" w:after="40"/>
              <w:jc w:val="left"/>
              <w:rPr>
                <w:rFonts w:eastAsia="Times New Roman" w:cs="Arial"/>
                <w:sz w:val="18"/>
                <w:szCs w:val="18"/>
                <w:lang w:val="en-GB"/>
              </w:rPr>
            </w:pPr>
          </w:p>
        </w:tc>
        <w:tc>
          <w:tcPr>
            <w:tcW w:w="684" w:type="dxa"/>
          </w:tcPr>
          <w:p w14:paraId="0408C8CA" w14:textId="77777777" w:rsidR="00302BFE" w:rsidRPr="00893DD1" w:rsidRDefault="00302BFE" w:rsidP="00243B15">
            <w:pPr>
              <w:spacing w:before="40" w:after="40"/>
              <w:jc w:val="left"/>
              <w:rPr>
                <w:rFonts w:eastAsia="Times New Roman" w:cs="Arial"/>
                <w:sz w:val="18"/>
                <w:szCs w:val="18"/>
                <w:lang w:val="en-GB"/>
              </w:rPr>
            </w:pPr>
          </w:p>
        </w:tc>
      </w:tr>
    </w:tbl>
    <w:p w14:paraId="38665242" w14:textId="77777777" w:rsidR="00302BFE" w:rsidRPr="00937801" w:rsidRDefault="00302BFE" w:rsidP="00302BFE">
      <w:pPr>
        <w:spacing w:after="0"/>
        <w:rPr>
          <w:szCs w:val="20"/>
        </w:rPr>
      </w:pPr>
    </w:p>
    <w:p w14:paraId="486E8EEF" w14:textId="77777777" w:rsidR="00302BFE" w:rsidRDefault="00302BFE" w:rsidP="00302BFE">
      <w:pPr>
        <w:pStyle w:val="Titre2"/>
        <w:spacing w:after="240"/>
        <w:ind w:left="0"/>
        <w:rPr>
          <w:rFonts w:ascii="Calibri" w:hAnsi="Calibri"/>
        </w:rPr>
        <w:sectPr w:rsidR="00302BFE" w:rsidSect="00243B15">
          <w:pgSz w:w="15840" w:h="12240" w:orient="landscape" w:code="1"/>
          <w:pgMar w:top="720" w:right="720" w:bottom="720" w:left="720" w:header="720" w:footer="720" w:gutter="0"/>
          <w:cols w:space="720"/>
          <w:docGrid w:linePitch="360"/>
        </w:sectPr>
      </w:pPr>
    </w:p>
    <w:p w14:paraId="546E4250" w14:textId="7FC2E849" w:rsidR="00302BFE" w:rsidRPr="00B16682" w:rsidRDefault="00302BFE" w:rsidP="00302BFE">
      <w:pPr>
        <w:pStyle w:val="Titre2"/>
        <w:ind w:left="0"/>
        <w:rPr>
          <w:rFonts w:ascii="Calibri" w:hAnsi="Calibri"/>
          <w:szCs w:val="22"/>
        </w:rPr>
      </w:pPr>
      <w:bookmarkStart w:id="79" w:name="_Toc9961808"/>
      <w:r w:rsidRPr="00B16682">
        <w:rPr>
          <w:rFonts w:ascii="Calibri" w:hAnsi="Calibri"/>
          <w:szCs w:val="22"/>
        </w:rPr>
        <w:lastRenderedPageBreak/>
        <w:t xml:space="preserve">Annex </w:t>
      </w:r>
      <w:r>
        <w:rPr>
          <w:rFonts w:ascii="Calibri" w:hAnsi="Calibri"/>
          <w:szCs w:val="22"/>
        </w:rPr>
        <w:t>H</w:t>
      </w:r>
      <w:r w:rsidRPr="00B16682">
        <w:rPr>
          <w:rFonts w:ascii="Calibri" w:hAnsi="Calibri"/>
          <w:szCs w:val="22"/>
        </w:rPr>
        <w:t>: Additional agreements</w:t>
      </w:r>
      <w:r>
        <w:rPr>
          <w:rFonts w:ascii="Calibri" w:hAnsi="Calibri"/>
          <w:szCs w:val="22"/>
        </w:rPr>
        <w:t>: GEF OFP letter</w:t>
      </w:r>
      <w:bookmarkEnd w:id="79"/>
    </w:p>
    <w:p w14:paraId="24F2C896" w14:textId="77777777" w:rsidR="00302BFE" w:rsidRDefault="00302BFE" w:rsidP="00302BFE"/>
    <w:p w14:paraId="6E96D4B2" w14:textId="70912434" w:rsidR="00302BFE" w:rsidRPr="00D16E29" w:rsidRDefault="00302BFE" w:rsidP="00302BFE">
      <w:pPr>
        <w:rPr>
          <w:rFonts w:ascii="Arial" w:hAnsi="Arial" w:cs="Arial"/>
          <w:sz w:val="2"/>
          <w:szCs w:val="2"/>
          <w:lang w:val="fr-CA" w:eastAsia="fr-CA"/>
        </w:rPr>
      </w:pPr>
      <w:r w:rsidRPr="004C563A">
        <w:rPr>
          <w:noProof/>
        </w:rPr>
        <w:drawing>
          <wp:inline distT="0" distB="0" distL="0" distR="0" wp14:anchorId="02D275EF" wp14:editId="5F02F6B0">
            <wp:extent cx="5676265" cy="8021955"/>
            <wp:effectExtent l="0" t="0" r="63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76265" cy="8021955"/>
                    </a:xfrm>
                    <a:prstGeom prst="rect">
                      <a:avLst/>
                    </a:prstGeom>
                    <a:noFill/>
                    <a:ln>
                      <a:noFill/>
                    </a:ln>
                  </pic:spPr>
                </pic:pic>
              </a:graphicData>
            </a:graphic>
          </wp:inline>
        </w:drawing>
      </w:r>
    </w:p>
    <w:p w14:paraId="2B6AA6E7" w14:textId="3B26B31F" w:rsidR="00302BFE" w:rsidRDefault="00302BFE" w:rsidP="00302BFE">
      <w:r>
        <w:rPr>
          <w:noProof/>
        </w:rPr>
        <w:br w:type="page"/>
      </w:r>
    </w:p>
    <w:p w14:paraId="3591B7AC" w14:textId="0B26CEFD" w:rsidR="00302BFE" w:rsidRPr="008957ED" w:rsidRDefault="00302BFE" w:rsidP="00302BFE">
      <w:pPr>
        <w:pStyle w:val="Titre2"/>
        <w:ind w:left="0"/>
        <w:rPr>
          <w:rFonts w:ascii="Calibri" w:hAnsi="Calibri"/>
          <w:szCs w:val="22"/>
          <w:lang w:val="fr-CA"/>
        </w:rPr>
      </w:pPr>
      <w:bookmarkStart w:id="80" w:name="_Toc9961809"/>
      <w:r w:rsidRPr="008957ED">
        <w:rPr>
          <w:rFonts w:ascii="Calibri" w:hAnsi="Calibri"/>
          <w:szCs w:val="22"/>
          <w:lang w:val="fr-CA"/>
        </w:rPr>
        <w:lastRenderedPageBreak/>
        <w:t>Annex I. Target landscape profile</w:t>
      </w:r>
      <w:bookmarkEnd w:id="80"/>
    </w:p>
    <w:p w14:paraId="32400D76" w14:textId="77777777" w:rsidR="00302BFE" w:rsidRPr="00E96518" w:rsidRDefault="00302BFE" w:rsidP="00302BFE">
      <w:pPr>
        <w:spacing w:before="240" w:after="120"/>
        <w:rPr>
          <w:b/>
          <w:szCs w:val="20"/>
          <w:lang w:val="fr-CA"/>
        </w:rPr>
      </w:pPr>
      <w:r w:rsidRPr="00E96518">
        <w:rPr>
          <w:b/>
          <w:szCs w:val="20"/>
          <w:lang w:val="fr-CA"/>
        </w:rPr>
        <w:t xml:space="preserve">Ranch de </w:t>
      </w:r>
      <w:r>
        <w:rPr>
          <w:b/>
          <w:szCs w:val="20"/>
          <w:lang w:val="fr-CA"/>
        </w:rPr>
        <w:t>G</w:t>
      </w:r>
      <w:r w:rsidRPr="00E96518">
        <w:rPr>
          <w:b/>
          <w:szCs w:val="20"/>
          <w:lang w:val="fr-CA"/>
        </w:rPr>
        <w:t>ibier</w:t>
      </w:r>
      <w:r>
        <w:rPr>
          <w:b/>
          <w:szCs w:val="20"/>
          <w:lang w:val="fr-CA"/>
        </w:rPr>
        <w:t xml:space="preserve"> et Forêt Classée</w:t>
      </w:r>
      <w:r w:rsidRPr="00E96518">
        <w:rPr>
          <w:b/>
          <w:szCs w:val="20"/>
          <w:lang w:val="fr-CA"/>
        </w:rPr>
        <w:t xml:space="preserve"> de Nazinga</w:t>
      </w:r>
    </w:p>
    <w:p w14:paraId="5E5148BF" w14:textId="5859BFA3" w:rsidR="00302BFE" w:rsidRPr="003824FD" w:rsidRDefault="00302BFE" w:rsidP="00302BFE">
      <w:pPr>
        <w:spacing w:before="120" w:after="120"/>
        <w:rPr>
          <w:szCs w:val="20"/>
          <w:lang w:val="fr-CA"/>
        </w:rPr>
      </w:pPr>
      <w:r w:rsidRPr="003824FD">
        <w:rPr>
          <w:szCs w:val="20"/>
          <w:lang w:val="fr-CA"/>
        </w:rPr>
        <w:t>Au Centre Sud du Burkina Faso, dans les provinces du Nahouri (à l’Est) et de la Sissili (à l’Ouest), la forêt de Nazinga a d’abord été classée par l’Arrêté n°8327/SE du 04/12/1953. Une ONG canadienne, l’African Wildlife Husbandry Development Association (AWHDA), a lancé le projet pilote de Ranch de Gibier de Nazinga en 1975 puis l’a cogéré sous les auspices du Ministère de l’Environnement de 1984 à 1990. Au moment de sa création, le projet visait la mise en place d'un ranch de la faune géré par des professionnels, non clôturé et entouré par des zones de chasse villageoises gérées par la communauté afin de créer un système de production autonome où les populations locales étaient des collaborateurs pour la gestion et le partage des bénéfices. Pour ce faire, la direction du ranch a développé de nombreuses activités de production d'animaux sauvages sur le ranch: observation de la faune, chasse safari internationale, chasse au gibier, et pêche traditionnelle et commerciale par la population locale, ainsi que chasse au safari d'oiseaux et de petit gibier dans les zones de chasse des villages périphériques</w:t>
      </w:r>
      <w:r w:rsidRPr="003824FD">
        <w:rPr>
          <w:rStyle w:val="Appelnotedebasdep"/>
          <w:szCs w:val="20"/>
          <w:lang w:val="en-CA"/>
        </w:rPr>
        <w:footnoteReference w:id="87"/>
      </w:r>
      <w:r w:rsidRPr="003824FD">
        <w:rPr>
          <w:szCs w:val="20"/>
          <w:lang w:val="fr-CA"/>
        </w:rPr>
        <w:t>.</w:t>
      </w:r>
    </w:p>
    <w:p w14:paraId="6F60C244" w14:textId="66BBA37D" w:rsidR="00302BFE" w:rsidRPr="00E96518" w:rsidRDefault="00302BFE" w:rsidP="00302BFE">
      <w:pPr>
        <w:spacing w:before="120" w:after="120"/>
        <w:rPr>
          <w:szCs w:val="20"/>
          <w:lang w:val="fr-CA"/>
        </w:rPr>
      </w:pPr>
      <w:r w:rsidRPr="00E96518">
        <w:rPr>
          <w:szCs w:val="20"/>
          <w:lang w:val="fr-CA"/>
        </w:rPr>
        <w:t>La Forêt classée et Ranch de Gibier de Nazinga (FC/</w:t>
      </w:r>
      <w:r w:rsidR="00F03A01">
        <w:rPr>
          <w:szCs w:val="20"/>
          <w:lang w:val="fr-CA"/>
        </w:rPr>
        <w:t>RGN</w:t>
      </w:r>
      <w:r w:rsidRPr="00E96518">
        <w:rPr>
          <w:szCs w:val="20"/>
          <w:lang w:val="fr-CA"/>
        </w:rPr>
        <w:t>) a plus tard été créé par le Décret N°2000-092/PRES/PM/MEE du 17 mars 2000 portant agrandissement de la forêt domaniale classée de Nazinga pour couvrir une superficie de 91 300 ha et par le Décret N°2000-093/PRES/PM/MEE du 17 mars 2000 relatif à sa transformation en Forêt Classée et Ranch de Gibier. Les objectifs spécifiques de cette aire protégée sont la contribution au maintien des équilibres écologiques, à l’optimisation de la diversité biologique et au bien-être des populations riveraines; la promotion de la recherche appliquée en vue d’identifier les formes de gestion durable de la faune sauvage; la production soutenue des ressources en faune sauvage et l‘organisation de toutes les formes d’utilisation durable de la faune.</w:t>
      </w:r>
    </w:p>
    <w:p w14:paraId="6E09A6B5" w14:textId="77777777" w:rsidR="00302BFE" w:rsidRPr="00E96518" w:rsidRDefault="00302BFE" w:rsidP="00302BFE">
      <w:pPr>
        <w:spacing w:before="120" w:after="120"/>
        <w:rPr>
          <w:szCs w:val="20"/>
          <w:lang w:val="fr-CA"/>
        </w:rPr>
      </w:pPr>
      <w:r w:rsidRPr="00E96518">
        <w:rPr>
          <w:szCs w:val="20"/>
          <w:u w:val="single"/>
          <w:lang w:val="fr-CA"/>
        </w:rPr>
        <w:t>Biodiversité</w:t>
      </w:r>
      <w:r w:rsidRPr="00E96518">
        <w:rPr>
          <w:szCs w:val="20"/>
          <w:lang w:val="fr-CA"/>
        </w:rPr>
        <w:t xml:space="preserve">. La zone est traversée par la rivière Sissili, principal affluent du Nazinon. La végétation du ranch fait partie de la zone de forêts claires indifférenciées. Elle est typiquement soudanaise, avec un paysage de savanes aux herbes de grande taille, parsemées d’arbres et arbustes. Les grands types de savanes se rencontrent : îlots de forêts claires à </w:t>
      </w:r>
      <w:r w:rsidRPr="00E96518">
        <w:rPr>
          <w:i/>
          <w:szCs w:val="20"/>
          <w:lang w:val="fr-CA"/>
        </w:rPr>
        <w:t>Isoberlinia doka</w:t>
      </w:r>
      <w:r w:rsidRPr="00E96518">
        <w:rPr>
          <w:szCs w:val="20"/>
          <w:lang w:val="fr-CA"/>
        </w:rPr>
        <w:t xml:space="preserve">, savanes boisées, arborées, arbustives et herbeuses, avec toutefois une nette prédominance des formations arbustives et boisées. Les espèces dominantes sont, pour les arbres, </w:t>
      </w:r>
      <w:r w:rsidRPr="00E96518">
        <w:rPr>
          <w:i/>
          <w:szCs w:val="20"/>
          <w:lang w:val="fr-CA"/>
        </w:rPr>
        <w:t>Vitellaria paradoxa</w:t>
      </w:r>
      <w:r w:rsidRPr="00E96518">
        <w:rPr>
          <w:szCs w:val="20"/>
          <w:lang w:val="fr-CA"/>
        </w:rPr>
        <w:t xml:space="preserve">, </w:t>
      </w:r>
      <w:r w:rsidRPr="00E96518">
        <w:rPr>
          <w:i/>
          <w:szCs w:val="20"/>
          <w:lang w:val="fr-CA"/>
        </w:rPr>
        <w:t>Terminalia</w:t>
      </w:r>
      <w:r w:rsidRPr="00E96518">
        <w:rPr>
          <w:szCs w:val="20"/>
          <w:lang w:val="fr-CA"/>
        </w:rPr>
        <w:t xml:space="preserve"> spp, </w:t>
      </w:r>
      <w:r w:rsidRPr="00E96518">
        <w:rPr>
          <w:i/>
          <w:szCs w:val="20"/>
          <w:lang w:val="fr-CA"/>
        </w:rPr>
        <w:t>Combretum</w:t>
      </w:r>
      <w:r w:rsidRPr="00E96518">
        <w:rPr>
          <w:szCs w:val="20"/>
          <w:lang w:val="fr-CA"/>
        </w:rPr>
        <w:t xml:space="preserve"> </w:t>
      </w:r>
      <w:r w:rsidRPr="00E96518">
        <w:rPr>
          <w:i/>
          <w:szCs w:val="20"/>
          <w:lang w:val="fr-CA"/>
        </w:rPr>
        <w:t>glutinosum</w:t>
      </w:r>
      <w:r w:rsidRPr="00E96518">
        <w:rPr>
          <w:szCs w:val="20"/>
          <w:lang w:val="fr-CA"/>
        </w:rPr>
        <w:t xml:space="preserve">, </w:t>
      </w:r>
      <w:r w:rsidRPr="00E96518">
        <w:rPr>
          <w:i/>
          <w:szCs w:val="20"/>
          <w:lang w:val="fr-CA"/>
        </w:rPr>
        <w:t>Acacia</w:t>
      </w:r>
      <w:r w:rsidRPr="00E96518">
        <w:rPr>
          <w:szCs w:val="20"/>
          <w:lang w:val="fr-CA"/>
        </w:rPr>
        <w:t xml:space="preserve"> spp. et </w:t>
      </w:r>
      <w:r w:rsidRPr="00E96518">
        <w:rPr>
          <w:i/>
          <w:szCs w:val="20"/>
          <w:lang w:val="fr-CA"/>
        </w:rPr>
        <w:t>Detarium</w:t>
      </w:r>
      <w:r w:rsidRPr="00E96518">
        <w:rPr>
          <w:szCs w:val="20"/>
          <w:lang w:val="fr-CA"/>
        </w:rPr>
        <w:t xml:space="preserve"> </w:t>
      </w:r>
      <w:r w:rsidRPr="00E96518">
        <w:rPr>
          <w:i/>
          <w:szCs w:val="20"/>
          <w:lang w:val="fr-CA"/>
        </w:rPr>
        <w:t>microcarpum</w:t>
      </w:r>
      <w:r w:rsidRPr="00E96518">
        <w:rPr>
          <w:szCs w:val="20"/>
          <w:lang w:val="fr-CA"/>
        </w:rPr>
        <w:t xml:space="preserve"> et, pour les graminées, </w:t>
      </w:r>
      <w:r w:rsidRPr="00E96518">
        <w:rPr>
          <w:i/>
          <w:szCs w:val="20"/>
          <w:lang w:val="fr-CA"/>
        </w:rPr>
        <w:t>Schizachyrium</w:t>
      </w:r>
      <w:r w:rsidRPr="00E96518">
        <w:rPr>
          <w:szCs w:val="20"/>
          <w:lang w:val="fr-CA"/>
        </w:rPr>
        <w:t xml:space="preserve"> </w:t>
      </w:r>
      <w:r w:rsidRPr="00E96518">
        <w:rPr>
          <w:i/>
          <w:szCs w:val="20"/>
          <w:lang w:val="fr-CA"/>
        </w:rPr>
        <w:t>sanguineum</w:t>
      </w:r>
      <w:r w:rsidRPr="00E96518">
        <w:rPr>
          <w:szCs w:val="20"/>
          <w:lang w:val="fr-CA"/>
        </w:rPr>
        <w:t xml:space="preserve"> et </w:t>
      </w:r>
      <w:r w:rsidRPr="00E96518">
        <w:rPr>
          <w:i/>
          <w:szCs w:val="20"/>
          <w:lang w:val="fr-CA"/>
        </w:rPr>
        <w:t>Andropogon</w:t>
      </w:r>
      <w:r w:rsidRPr="00E96518">
        <w:rPr>
          <w:szCs w:val="20"/>
          <w:lang w:val="fr-CA"/>
        </w:rPr>
        <w:t xml:space="preserve"> </w:t>
      </w:r>
      <w:r w:rsidRPr="00E96518">
        <w:rPr>
          <w:i/>
          <w:szCs w:val="20"/>
          <w:lang w:val="fr-CA"/>
        </w:rPr>
        <w:t>ascinoides</w:t>
      </w:r>
      <w:r w:rsidRPr="00E96518">
        <w:rPr>
          <w:szCs w:val="20"/>
          <w:lang w:val="fr-CA"/>
        </w:rPr>
        <w:t xml:space="preserve">. </w:t>
      </w:r>
    </w:p>
    <w:p w14:paraId="034D5F46" w14:textId="77777777" w:rsidR="00302BFE" w:rsidRPr="00E96518" w:rsidRDefault="00302BFE" w:rsidP="00302BFE">
      <w:pPr>
        <w:spacing w:before="120" w:after="120"/>
        <w:rPr>
          <w:szCs w:val="20"/>
          <w:lang w:val="fr-CA"/>
        </w:rPr>
      </w:pPr>
      <w:r w:rsidRPr="00E96518">
        <w:rPr>
          <w:szCs w:val="20"/>
          <w:lang w:val="fr-CA"/>
        </w:rPr>
        <w:t>La faune de Nazinga se distingue par une densité relativement forte. On y trouve une douzaine d’espèces d’ongulés : le Buffle, l’Hippotrague, le Bubale, le Cobe defassa, le Cobe de Buffon, le Rédunca, le Guib harnaché, le Céphalophe de Grimm, le Céphalophe à flancs roux, l’Ourébi, le Phacochère. Les effectifs d’éléphants ont sensiblement augmenté. Les prédateurs sont représentés par la hyène tachetée (</w:t>
      </w:r>
      <w:r w:rsidRPr="00E96518">
        <w:rPr>
          <w:i/>
          <w:szCs w:val="20"/>
          <w:lang w:val="fr-CA"/>
        </w:rPr>
        <w:t>Crocuta</w:t>
      </w:r>
      <w:r w:rsidRPr="00E96518">
        <w:rPr>
          <w:szCs w:val="20"/>
          <w:lang w:val="fr-CA"/>
        </w:rPr>
        <w:t xml:space="preserve"> </w:t>
      </w:r>
      <w:r w:rsidRPr="00E96518">
        <w:rPr>
          <w:i/>
          <w:szCs w:val="20"/>
          <w:lang w:val="fr-CA"/>
        </w:rPr>
        <w:t>crocuta</w:t>
      </w:r>
      <w:r w:rsidRPr="00E96518">
        <w:rPr>
          <w:szCs w:val="20"/>
          <w:lang w:val="fr-CA"/>
        </w:rPr>
        <w:t>) et rayée (</w:t>
      </w:r>
      <w:r w:rsidRPr="00E96518">
        <w:rPr>
          <w:i/>
          <w:szCs w:val="20"/>
          <w:lang w:val="fr-CA"/>
        </w:rPr>
        <w:t>Hyaena</w:t>
      </w:r>
      <w:r w:rsidRPr="00E96518">
        <w:rPr>
          <w:szCs w:val="20"/>
          <w:lang w:val="fr-CA"/>
        </w:rPr>
        <w:t xml:space="preserve"> </w:t>
      </w:r>
      <w:r w:rsidRPr="00E96518">
        <w:rPr>
          <w:i/>
          <w:szCs w:val="20"/>
          <w:lang w:val="fr-CA"/>
        </w:rPr>
        <w:t>hyaena</w:t>
      </w:r>
      <w:r w:rsidRPr="00E96518">
        <w:rPr>
          <w:szCs w:val="20"/>
          <w:lang w:val="fr-CA"/>
        </w:rPr>
        <w:t>), le Serval (</w:t>
      </w:r>
      <w:r w:rsidRPr="00E96518">
        <w:rPr>
          <w:i/>
          <w:szCs w:val="20"/>
          <w:lang w:val="fr-CA"/>
        </w:rPr>
        <w:t>Leptailurus</w:t>
      </w:r>
      <w:r w:rsidRPr="00E96518">
        <w:rPr>
          <w:szCs w:val="20"/>
          <w:lang w:val="fr-CA"/>
        </w:rPr>
        <w:t xml:space="preserve"> </w:t>
      </w:r>
      <w:r w:rsidRPr="00E96518">
        <w:rPr>
          <w:i/>
          <w:szCs w:val="20"/>
          <w:lang w:val="fr-CA"/>
        </w:rPr>
        <w:t>serval</w:t>
      </w:r>
      <w:r w:rsidRPr="00E96518">
        <w:rPr>
          <w:szCs w:val="20"/>
          <w:lang w:val="fr-CA"/>
        </w:rPr>
        <w:t>), le Caracal (</w:t>
      </w:r>
      <w:r w:rsidRPr="00E96518">
        <w:rPr>
          <w:i/>
          <w:szCs w:val="20"/>
          <w:lang w:val="fr-CA"/>
        </w:rPr>
        <w:t>Caracal</w:t>
      </w:r>
      <w:r w:rsidRPr="00E96518">
        <w:rPr>
          <w:szCs w:val="20"/>
          <w:lang w:val="fr-CA"/>
        </w:rPr>
        <w:t xml:space="preserve"> </w:t>
      </w:r>
      <w:r w:rsidRPr="00E96518">
        <w:rPr>
          <w:i/>
          <w:szCs w:val="20"/>
          <w:lang w:val="fr-CA"/>
        </w:rPr>
        <w:t>caracal</w:t>
      </w:r>
      <w:r w:rsidRPr="00E96518">
        <w:rPr>
          <w:szCs w:val="20"/>
          <w:lang w:val="fr-CA"/>
        </w:rPr>
        <w:t xml:space="preserve">). Selon Birdlife International (datazone.birdlife.org/site/factsheet/6028), 321 espèces d’oiseaux migrateurs et sédentaires ont été inventoriées jusqu’à maintenant dans le Ranch de Gibier de Nazinga qui est inclus dans la zone d’importance pour les oiseaux du complexe Kaboré Tambi, Nazinga, Sissili. Enfin, il y a plusieurs espèces de reptiles dont le crocodile du Nil, deux espèces de varans, des tortues, des serpents et des lézards, et 32 espèces de poissons. </w:t>
      </w:r>
    </w:p>
    <w:p w14:paraId="4A4CBB19" w14:textId="77777777" w:rsidR="00302BFE" w:rsidRPr="00E96518" w:rsidRDefault="00302BFE" w:rsidP="00302BFE">
      <w:pPr>
        <w:spacing w:before="120" w:after="120"/>
        <w:rPr>
          <w:szCs w:val="20"/>
          <w:lang w:val="fr-CA"/>
        </w:rPr>
      </w:pPr>
      <w:r w:rsidRPr="00E96518">
        <w:rPr>
          <w:szCs w:val="20"/>
          <w:u w:val="single"/>
          <w:lang w:val="fr-CA"/>
        </w:rPr>
        <w:t>Gestion</w:t>
      </w:r>
      <w:r w:rsidRPr="00E96518">
        <w:rPr>
          <w:szCs w:val="20"/>
          <w:lang w:val="fr-CA"/>
        </w:rPr>
        <w:t xml:space="preserve">. Le personnel compte 4 agents forestiers (y compris le chef de l’Unité de gestion du Ranch), six (6) pisteurs saisonniers et quatorze (14) pisteurs permanents. Les pisteurs, qui sont originaires des 11 villages riverains du Ranch, sont surtout rémunérés par la vente des produits du Ranch, dont la venaison qui en fait, devrait revenir aux communautés locales. Les écogardes ne sont pas reconnus par l’État comme des agents subalternes des forestiers. Quatre (4) postes forestiers sont situés autour du Ranch de Gibier de Nazinga : Sia, Walem, Poste Central à l’intérieur du Ranch, et Kounou. Seul le poste de Walem est fonctionnel et occupé en permanence. Le ranch dispose d’environ 11 motos (dont 2 en bon état) et d’un véhicule fonctionnel. </w:t>
      </w:r>
    </w:p>
    <w:p w14:paraId="7CB29089" w14:textId="77777777" w:rsidR="00302BFE" w:rsidRPr="00E96518" w:rsidRDefault="00302BFE" w:rsidP="00302BFE">
      <w:pPr>
        <w:spacing w:before="120" w:after="120"/>
        <w:rPr>
          <w:szCs w:val="20"/>
          <w:lang w:val="fr-CA"/>
        </w:rPr>
      </w:pPr>
      <w:r w:rsidRPr="00E96518">
        <w:rPr>
          <w:szCs w:val="20"/>
          <w:lang w:val="fr-CA"/>
        </w:rPr>
        <w:t xml:space="preserve">Treize zones Villageoises d’Intérêt Cynégétique (ZOVIC) ont été définies autour du Ranch </w:t>
      </w:r>
      <w:r>
        <w:rPr>
          <w:szCs w:val="20"/>
          <w:lang w:val="fr-CA"/>
        </w:rPr>
        <w:t>s</w:t>
      </w:r>
      <w:r w:rsidRPr="00E96518">
        <w:rPr>
          <w:szCs w:val="20"/>
          <w:lang w:val="fr-CA"/>
        </w:rPr>
        <w:t xml:space="preserve">ur une superficie de 54 300 ha, elles sont exploitées sous la surveillance des services techniques suivant un protocole établi entre les populations et un opérateur privé. </w:t>
      </w:r>
    </w:p>
    <w:p w14:paraId="695FE289" w14:textId="77777777" w:rsidR="00302BFE" w:rsidRPr="00E96518" w:rsidRDefault="00302BFE" w:rsidP="00302BFE">
      <w:pPr>
        <w:spacing w:before="120" w:after="120"/>
        <w:rPr>
          <w:szCs w:val="20"/>
          <w:lang w:val="fr-CA"/>
        </w:rPr>
      </w:pPr>
      <w:r w:rsidRPr="00E96518">
        <w:rPr>
          <w:szCs w:val="20"/>
          <w:u w:val="single"/>
          <w:lang w:val="fr-CA"/>
        </w:rPr>
        <w:t>Mise en valeur du RGN</w:t>
      </w:r>
      <w:r w:rsidRPr="00E96518">
        <w:rPr>
          <w:szCs w:val="20"/>
          <w:lang w:val="fr-CA"/>
        </w:rPr>
        <w:t xml:space="preserve">. La gestion du pâturage permet d’obtenir une grande production de biomasse herbacée pour les herbivores. Cependant ces herbes sont aussi convoitées en saison sèche par animaux domestiques en quête de pâturage et de points d’eau. Le risque d’envahissement de l’aire par les animaux domestiques des communautés locales et des transhumants s’accompagne du risque de transmission de maladies. Les pâturages sont menacés par la prolifération du </w:t>
      </w:r>
      <w:r w:rsidRPr="00E96518">
        <w:rPr>
          <w:i/>
          <w:szCs w:val="20"/>
          <w:lang w:val="fr-CA"/>
        </w:rPr>
        <w:t>Triompheta lepidota</w:t>
      </w:r>
      <w:r w:rsidRPr="00E96518">
        <w:rPr>
          <w:szCs w:val="20"/>
          <w:lang w:val="fr-CA"/>
        </w:rPr>
        <w:t>, herbacée pérenne très envahissante, qui empêche les espèces appétées de se propager.</w:t>
      </w:r>
    </w:p>
    <w:p w14:paraId="1E828AE5" w14:textId="7D93F9F3" w:rsidR="00302BFE" w:rsidRPr="00E96518" w:rsidRDefault="00302BFE" w:rsidP="00302BFE">
      <w:pPr>
        <w:spacing w:before="120" w:after="120"/>
        <w:rPr>
          <w:szCs w:val="20"/>
          <w:lang w:val="fr-CA"/>
        </w:rPr>
      </w:pPr>
      <w:r w:rsidRPr="00E96518">
        <w:rPr>
          <w:szCs w:val="20"/>
          <w:lang w:val="fr-CA"/>
        </w:rPr>
        <w:t xml:space="preserve">Les barrages ont été concédés à des mareyeurs qui exploitent les retenues d’eau de Kalanga, de Tanzougou et de Bodjéro. Des guides de pêche sportive sont présents dans les retenues d’eau de Kalédougou, Bodjéro et Barka. Les riverains qui souhaitent s’impliquer dans le mareyage des poissons ne maîtrisent pas les techniques de pêche et ne disposent pas de matériels adéquats pour pêcher, de </w:t>
      </w:r>
      <w:r w:rsidRPr="00E96518">
        <w:rPr>
          <w:szCs w:val="20"/>
          <w:lang w:val="fr-CA"/>
        </w:rPr>
        <w:lastRenderedPageBreak/>
        <w:t>telle sorte que la location des barrages ne leur est pas rentable (3 millions FCFA/an/retenue d’eau</w:t>
      </w:r>
      <w:r w:rsidR="005E13EB">
        <w:rPr>
          <w:szCs w:val="20"/>
          <w:lang w:val="fr-CA"/>
        </w:rPr>
        <w:t xml:space="preserve"> – approx 5 100 US$</w:t>
      </w:r>
      <w:r w:rsidRPr="00E96518">
        <w:rPr>
          <w:szCs w:val="20"/>
          <w:lang w:val="fr-CA"/>
        </w:rPr>
        <w:t>). La plupart des pêcheurs viennent de Ouagadougou ou de Léo. L’effort de pêche n’est pas limité, sauf la taille qui doit atteindre la taille règlementaire dite des « trois doigts ». La pêche n’est pas suivie par le personnel technique de l’Unité de gestion du RGN et les statistiques sont fournies par les mareyeurs. On estime la production à environ 40 tonnes/an mais cette quantité est possiblement sous-estimée.</w:t>
      </w:r>
    </w:p>
    <w:p w14:paraId="111746F7" w14:textId="77777777" w:rsidR="00302BFE" w:rsidRPr="00E96518" w:rsidRDefault="00302BFE" w:rsidP="00302BFE">
      <w:pPr>
        <w:spacing w:before="120" w:after="120"/>
        <w:rPr>
          <w:szCs w:val="20"/>
          <w:lang w:val="fr-CA"/>
        </w:rPr>
      </w:pPr>
      <w:r w:rsidRPr="00E96518">
        <w:rPr>
          <w:szCs w:val="20"/>
          <w:lang w:val="fr-CA"/>
        </w:rPr>
        <w:t>Les recettes de la mise en valeur du Ranch de Gibier de Nazinga sont reversées directement aux coffres de l’État qui les réutilise de manière globale selon ses priorités. Le budget qui est réaffecté au Ranch de Gibier de Nazinga est inférieur à ce qu’il a versé lors de l’année précédente, et ce budget est affecté à l’OFINAP qui a la charge de sept (7) aires protégées qui ne sont pas aussi rentables.</w:t>
      </w:r>
    </w:p>
    <w:p w14:paraId="450A280E" w14:textId="77777777" w:rsidR="00302BFE" w:rsidRPr="00E96518" w:rsidRDefault="00302BFE" w:rsidP="00302BFE">
      <w:pPr>
        <w:spacing w:before="120" w:after="120"/>
        <w:rPr>
          <w:szCs w:val="20"/>
          <w:lang w:val="fr-CA"/>
        </w:rPr>
      </w:pPr>
      <w:r w:rsidRPr="00E96518">
        <w:rPr>
          <w:szCs w:val="20"/>
          <w:u w:val="single"/>
          <w:lang w:val="fr-CA"/>
        </w:rPr>
        <w:t>Aménagements</w:t>
      </w:r>
      <w:r w:rsidRPr="00E96518">
        <w:rPr>
          <w:szCs w:val="20"/>
          <w:lang w:val="fr-CA"/>
        </w:rPr>
        <w:t>. Près de 700 km de pistes ont été réalisés; cependant certaines pistes doivent être entretenues pour améliorer les dessertes touristiques en toute saison.</w:t>
      </w:r>
    </w:p>
    <w:p w14:paraId="31AF6F03" w14:textId="77777777" w:rsidR="00302BFE" w:rsidRPr="00E96518" w:rsidRDefault="00302BFE" w:rsidP="00302BFE">
      <w:pPr>
        <w:spacing w:before="120" w:after="120"/>
        <w:rPr>
          <w:szCs w:val="20"/>
          <w:lang w:val="fr-CA"/>
        </w:rPr>
      </w:pPr>
      <w:r w:rsidRPr="00E96518">
        <w:rPr>
          <w:szCs w:val="20"/>
          <w:lang w:val="fr-CA"/>
        </w:rPr>
        <w:t>Le ranch de Gibier de Nazinga dispose onze barrages, ce qui lui confère un net avantage en saison sèche par rapport aux autres aires protégées. Cependant, la quasi-totalité des barrages sont affectés par de l’ensablement et la pollution par des ordures en provenance des terroirs agricoles adjacents.</w:t>
      </w:r>
    </w:p>
    <w:p w14:paraId="32429C55" w14:textId="77777777" w:rsidR="00302BFE" w:rsidRPr="00E96518" w:rsidRDefault="00302BFE" w:rsidP="00302BFE">
      <w:pPr>
        <w:spacing w:before="120" w:after="120"/>
        <w:rPr>
          <w:szCs w:val="20"/>
          <w:lang w:val="fr-CA"/>
        </w:rPr>
      </w:pPr>
      <w:r w:rsidRPr="00E96518">
        <w:rPr>
          <w:szCs w:val="20"/>
          <w:u w:val="single"/>
          <w:lang w:val="fr-CA"/>
        </w:rPr>
        <w:t>La Lutte anti-braconnage</w:t>
      </w:r>
      <w:r w:rsidRPr="00E96518">
        <w:rPr>
          <w:szCs w:val="20"/>
          <w:lang w:val="fr-CA"/>
        </w:rPr>
        <w:t>. Malgré la couverture du Ranch par les équipes de lutte anti-braconnage (LAB), les prélèvements illicites sont encore importants. En effet, la LAB est confrontée à bon nombre de difficultés : les premiers pisteurs, engagé à la fin des années 1990, sont maintenant trop âgés pour participer aux activités sur le terrain; les pisteurs utilisent des armes à feu, et/ou des armes non légales au regard de leur statut, ou encore sans permis de port d’armes; les tenues des pisteurs ne sont pas règlementaires, parce qu’elles sont des tenues militaires de l’État; les moyens de déplacement des pisteurs (souvent des vélos) ne sont pas adaptés, les braconniers utilisant des motos; certains pisteurs informent régulièrement les braconniers sur le terrain des activités de la LAB et des sorties des équipes LAB.</w:t>
      </w:r>
    </w:p>
    <w:p w14:paraId="40744557" w14:textId="77777777" w:rsidR="00302BFE" w:rsidRPr="00E96518" w:rsidRDefault="00302BFE" w:rsidP="00302BFE">
      <w:pPr>
        <w:spacing w:before="120" w:after="120"/>
        <w:rPr>
          <w:szCs w:val="20"/>
          <w:lang w:val="fr-CA"/>
        </w:rPr>
      </w:pPr>
      <w:r w:rsidRPr="00E96518">
        <w:rPr>
          <w:szCs w:val="20"/>
          <w:u w:val="single"/>
          <w:lang w:val="fr-CA"/>
        </w:rPr>
        <w:t>Appuis</w:t>
      </w:r>
      <w:r w:rsidRPr="00E96518">
        <w:rPr>
          <w:szCs w:val="20"/>
          <w:lang w:val="fr-CA"/>
        </w:rPr>
        <w:t>. Des travaux de recherche portant sur la faune et la végétation ont été réalisés depuis 1979 par des chercheurs burkinabé, américains et européens. Aujourd’hui, la recherche est effectuée par des étudiants d’écoles spécialisées et d’Universités nationales et internationales, mais malheureusement les thèmes de recherches sont élaborés par les enseignants et ne prennent pas nécessairement en compte les besoins du Ranch pour appuyer les décisions sur la gestion durable des ressources. Malgré les nombreuses études conduites dans le Ranch de Gibier de Nazinga, sa bibliothèque est aujourd’hui pauvre, limitant ainsi la capitalisation des données. La recherche des documents, leur numérisation, et leur hébergement sur des sites WEB s’avèrent nécessaires.</w:t>
      </w:r>
    </w:p>
    <w:p w14:paraId="4794F9FD" w14:textId="77777777" w:rsidR="00302BFE" w:rsidRPr="00E96518" w:rsidRDefault="00302BFE" w:rsidP="00302BFE">
      <w:pPr>
        <w:spacing w:before="120" w:after="120"/>
        <w:rPr>
          <w:szCs w:val="20"/>
          <w:lang w:val="fr-CA"/>
        </w:rPr>
      </w:pPr>
      <w:r w:rsidRPr="00E96518">
        <w:rPr>
          <w:szCs w:val="20"/>
          <w:lang w:val="fr-CA"/>
        </w:rPr>
        <w:t xml:space="preserve">Le ranch de gibier de Nazinga a bénéficié de l’appui des bailleurs de fonds depuis plusieurs années : projet FEM/Banque Mondiale de 1992 à 1997 ainsi que de l’appui du PAGEN de 2003 à 2007 – et le PNGT2-3. </w:t>
      </w:r>
    </w:p>
    <w:p w14:paraId="39474184" w14:textId="77777777" w:rsidR="00302BFE" w:rsidRPr="00E96518" w:rsidRDefault="00302BFE" w:rsidP="00302BFE">
      <w:pPr>
        <w:rPr>
          <w:b/>
          <w:lang w:val="fr-CA"/>
        </w:rPr>
      </w:pPr>
      <w:r w:rsidRPr="00E96518">
        <w:rPr>
          <w:b/>
          <w:lang w:val="fr-CA"/>
        </w:rPr>
        <w:t>Concession de chasse de la forêt classée de la Sissili (32 700 ha)</w:t>
      </w:r>
    </w:p>
    <w:p w14:paraId="7DA9404A" w14:textId="77777777" w:rsidR="00302BFE" w:rsidRPr="00E96518" w:rsidRDefault="00302BFE" w:rsidP="00302BFE">
      <w:pPr>
        <w:spacing w:before="120" w:after="120"/>
        <w:rPr>
          <w:szCs w:val="20"/>
          <w:lang w:val="fr-CA"/>
        </w:rPr>
      </w:pPr>
      <w:r w:rsidRPr="00E96518">
        <w:rPr>
          <w:szCs w:val="20"/>
          <w:lang w:val="fr-CA"/>
        </w:rPr>
        <w:t>La forêt classée de la Sissili a été créée par l’Arrêté 1093/FOR du 31/12/55. Elle couvre une superficie de 32 700 ha dans la Commune de Bieha et le fleuve Sissili la divise en deux parties.</w:t>
      </w:r>
    </w:p>
    <w:p w14:paraId="611440D4" w14:textId="77777777" w:rsidR="00302BFE" w:rsidRPr="00E96518" w:rsidRDefault="00302BFE" w:rsidP="00302BFE">
      <w:pPr>
        <w:spacing w:before="120" w:after="120"/>
        <w:rPr>
          <w:szCs w:val="20"/>
          <w:lang w:val="fr-CA"/>
        </w:rPr>
      </w:pPr>
      <w:r w:rsidRPr="00E96518">
        <w:rPr>
          <w:szCs w:val="20"/>
          <w:u w:val="single"/>
          <w:lang w:val="fr-CA"/>
        </w:rPr>
        <w:t>Biodiversité</w:t>
      </w:r>
      <w:r w:rsidRPr="00E96518">
        <w:rPr>
          <w:szCs w:val="20"/>
          <w:lang w:val="fr-CA"/>
        </w:rPr>
        <w:t xml:space="preserve">. La FC de la Sissili est située dans la zone phytogéographique sud soudanienne, avec une végétation constituée de savane arbustive boisée ou arborée au Nord, se transformant progressivement vers le Sud en savane boisée ou forêt claire à </w:t>
      </w:r>
      <w:r w:rsidRPr="00E96518">
        <w:rPr>
          <w:i/>
          <w:szCs w:val="20"/>
          <w:lang w:val="fr-CA"/>
        </w:rPr>
        <w:t>Burkea africana</w:t>
      </w:r>
      <w:r w:rsidRPr="00E96518">
        <w:rPr>
          <w:szCs w:val="20"/>
          <w:lang w:val="fr-CA"/>
        </w:rPr>
        <w:t xml:space="preserve">, </w:t>
      </w:r>
      <w:r w:rsidRPr="00E96518">
        <w:rPr>
          <w:i/>
          <w:szCs w:val="20"/>
          <w:lang w:val="fr-CA"/>
        </w:rPr>
        <w:t>Butyrospermum paradoxum</w:t>
      </w:r>
      <w:r w:rsidRPr="00E96518">
        <w:rPr>
          <w:szCs w:val="20"/>
          <w:lang w:val="fr-CA"/>
        </w:rPr>
        <w:t xml:space="preserve">, </w:t>
      </w:r>
      <w:r w:rsidRPr="00E96518">
        <w:rPr>
          <w:i/>
          <w:szCs w:val="20"/>
          <w:lang w:val="fr-CA"/>
        </w:rPr>
        <w:t>Detarium</w:t>
      </w:r>
      <w:r w:rsidRPr="00E96518">
        <w:rPr>
          <w:szCs w:val="20"/>
          <w:lang w:val="fr-CA"/>
        </w:rPr>
        <w:t xml:space="preserve"> </w:t>
      </w:r>
      <w:r w:rsidRPr="00E96518">
        <w:rPr>
          <w:i/>
          <w:szCs w:val="20"/>
          <w:lang w:val="fr-CA"/>
        </w:rPr>
        <w:t>microcarpum</w:t>
      </w:r>
      <w:r w:rsidRPr="00E96518">
        <w:rPr>
          <w:szCs w:val="20"/>
          <w:lang w:val="fr-CA"/>
        </w:rPr>
        <w:t xml:space="preserve">, </w:t>
      </w:r>
      <w:r w:rsidRPr="00E96518">
        <w:rPr>
          <w:i/>
          <w:szCs w:val="20"/>
          <w:lang w:val="fr-CA"/>
        </w:rPr>
        <w:t>Combretum</w:t>
      </w:r>
      <w:r w:rsidRPr="00E96518">
        <w:rPr>
          <w:szCs w:val="20"/>
          <w:lang w:val="fr-CA"/>
        </w:rPr>
        <w:t xml:space="preserve"> sp, </w:t>
      </w:r>
      <w:r w:rsidRPr="00E96518">
        <w:rPr>
          <w:i/>
          <w:szCs w:val="20"/>
          <w:lang w:val="fr-CA"/>
        </w:rPr>
        <w:t>Terminalia</w:t>
      </w:r>
      <w:r w:rsidRPr="00E96518">
        <w:rPr>
          <w:szCs w:val="20"/>
          <w:lang w:val="fr-CA"/>
        </w:rPr>
        <w:t xml:space="preserve"> sp, </w:t>
      </w:r>
      <w:r w:rsidRPr="00E96518">
        <w:rPr>
          <w:i/>
          <w:szCs w:val="20"/>
          <w:lang w:val="fr-CA"/>
        </w:rPr>
        <w:t>Pterocarpus erinaceus</w:t>
      </w:r>
      <w:r w:rsidRPr="00E96518">
        <w:rPr>
          <w:szCs w:val="20"/>
          <w:lang w:val="fr-CA"/>
        </w:rPr>
        <w:t xml:space="preserve">, </w:t>
      </w:r>
      <w:r w:rsidRPr="00E96518">
        <w:rPr>
          <w:i/>
          <w:szCs w:val="20"/>
          <w:lang w:val="fr-CA"/>
        </w:rPr>
        <w:t>Balanites aegyptiaca</w:t>
      </w:r>
      <w:r w:rsidRPr="00E96518">
        <w:rPr>
          <w:szCs w:val="20"/>
          <w:lang w:val="fr-CA"/>
        </w:rPr>
        <w:t xml:space="preserve">, </w:t>
      </w:r>
      <w:r w:rsidRPr="00E96518">
        <w:rPr>
          <w:i/>
          <w:szCs w:val="20"/>
          <w:lang w:val="fr-CA"/>
        </w:rPr>
        <w:t>Anogeissus leiocarpa</w:t>
      </w:r>
      <w:r w:rsidRPr="00E96518">
        <w:rPr>
          <w:szCs w:val="20"/>
          <w:lang w:val="fr-CA"/>
        </w:rPr>
        <w:t xml:space="preserve">, </w:t>
      </w:r>
      <w:r w:rsidRPr="00E96518">
        <w:rPr>
          <w:i/>
          <w:szCs w:val="20"/>
          <w:lang w:val="fr-CA"/>
        </w:rPr>
        <w:t>Acacia</w:t>
      </w:r>
      <w:r w:rsidRPr="00E96518">
        <w:rPr>
          <w:szCs w:val="20"/>
          <w:lang w:val="fr-CA"/>
        </w:rPr>
        <w:t xml:space="preserve"> sp, </w:t>
      </w:r>
      <w:r w:rsidRPr="00E96518">
        <w:rPr>
          <w:i/>
          <w:szCs w:val="20"/>
          <w:lang w:val="fr-CA"/>
        </w:rPr>
        <w:t>Isoberlinia doka</w:t>
      </w:r>
      <w:r w:rsidRPr="00E96518">
        <w:rPr>
          <w:szCs w:val="20"/>
          <w:lang w:val="fr-CA"/>
        </w:rPr>
        <w:t xml:space="preserve">, </w:t>
      </w:r>
      <w:r w:rsidRPr="00E96518">
        <w:rPr>
          <w:i/>
          <w:szCs w:val="20"/>
          <w:lang w:val="fr-CA"/>
        </w:rPr>
        <w:t>Afzelia africana</w:t>
      </w:r>
      <w:r w:rsidRPr="00E96518">
        <w:rPr>
          <w:szCs w:val="20"/>
          <w:lang w:val="fr-CA"/>
        </w:rPr>
        <w:t xml:space="preserve">, </w:t>
      </w:r>
      <w:r w:rsidRPr="00E96518">
        <w:rPr>
          <w:i/>
          <w:szCs w:val="20"/>
          <w:lang w:val="fr-CA"/>
        </w:rPr>
        <w:t>Daniellia oliveri</w:t>
      </w:r>
      <w:r w:rsidRPr="00E96518">
        <w:rPr>
          <w:szCs w:val="20"/>
          <w:lang w:val="fr-CA"/>
        </w:rPr>
        <w:t xml:space="preserve">. On rencontre aussi des forêts galeries le long des cours d’eau.Les plaines qui bordent la rive droite de la Sissili sont à dominance d’andropogonées : </w:t>
      </w:r>
      <w:r w:rsidRPr="00E96518">
        <w:rPr>
          <w:i/>
          <w:szCs w:val="20"/>
          <w:lang w:val="fr-CA"/>
        </w:rPr>
        <w:t>Andropogon</w:t>
      </w:r>
      <w:r w:rsidRPr="00E96518">
        <w:rPr>
          <w:szCs w:val="20"/>
          <w:lang w:val="fr-CA"/>
        </w:rPr>
        <w:t xml:space="preserve"> </w:t>
      </w:r>
      <w:r w:rsidRPr="00E96518">
        <w:rPr>
          <w:i/>
          <w:szCs w:val="20"/>
          <w:lang w:val="fr-CA"/>
        </w:rPr>
        <w:t>ascinodis</w:t>
      </w:r>
      <w:r w:rsidRPr="00E96518">
        <w:rPr>
          <w:szCs w:val="20"/>
          <w:lang w:val="fr-CA"/>
        </w:rPr>
        <w:t xml:space="preserve">, </w:t>
      </w:r>
      <w:r w:rsidRPr="00E96518">
        <w:rPr>
          <w:i/>
          <w:szCs w:val="20"/>
          <w:lang w:val="fr-CA"/>
        </w:rPr>
        <w:t>Andropogon gayanus</w:t>
      </w:r>
      <w:r w:rsidRPr="00E96518">
        <w:rPr>
          <w:szCs w:val="20"/>
          <w:lang w:val="fr-CA"/>
        </w:rPr>
        <w:t xml:space="preserve">, </w:t>
      </w:r>
      <w:r w:rsidRPr="00E96518">
        <w:rPr>
          <w:i/>
          <w:szCs w:val="20"/>
          <w:lang w:val="fr-CA"/>
        </w:rPr>
        <w:t>Hypparhenea</w:t>
      </w:r>
      <w:r w:rsidRPr="00E96518">
        <w:rPr>
          <w:szCs w:val="20"/>
          <w:lang w:val="fr-CA"/>
        </w:rPr>
        <w:t xml:space="preserve"> </w:t>
      </w:r>
      <w:r w:rsidRPr="00E96518">
        <w:rPr>
          <w:i/>
          <w:szCs w:val="20"/>
          <w:lang w:val="fr-CA"/>
        </w:rPr>
        <w:t>rufa</w:t>
      </w:r>
      <w:r w:rsidRPr="00E96518">
        <w:rPr>
          <w:szCs w:val="20"/>
          <w:lang w:val="fr-CA"/>
        </w:rPr>
        <w:t xml:space="preserve">, </w:t>
      </w:r>
      <w:r w:rsidRPr="00E96518">
        <w:rPr>
          <w:i/>
          <w:szCs w:val="20"/>
          <w:lang w:val="fr-CA"/>
        </w:rPr>
        <w:t>Loudetia</w:t>
      </w:r>
      <w:r w:rsidRPr="00E96518">
        <w:rPr>
          <w:szCs w:val="20"/>
          <w:lang w:val="fr-CA"/>
        </w:rPr>
        <w:t xml:space="preserve"> </w:t>
      </w:r>
      <w:r w:rsidRPr="00E96518">
        <w:rPr>
          <w:i/>
          <w:szCs w:val="20"/>
          <w:lang w:val="fr-CA"/>
        </w:rPr>
        <w:t>togoensis</w:t>
      </w:r>
      <w:r w:rsidRPr="00E96518">
        <w:rPr>
          <w:szCs w:val="20"/>
          <w:lang w:val="fr-CA"/>
        </w:rPr>
        <w:t xml:space="preserve"> et </w:t>
      </w:r>
      <w:r w:rsidRPr="00E96518">
        <w:rPr>
          <w:i/>
          <w:szCs w:val="20"/>
          <w:lang w:val="fr-CA"/>
        </w:rPr>
        <w:t>Vitivera</w:t>
      </w:r>
      <w:r w:rsidRPr="00E96518">
        <w:rPr>
          <w:szCs w:val="20"/>
          <w:lang w:val="fr-CA"/>
        </w:rPr>
        <w:t xml:space="preserve"> </w:t>
      </w:r>
      <w:r w:rsidRPr="00E96518">
        <w:rPr>
          <w:i/>
          <w:szCs w:val="20"/>
          <w:lang w:val="fr-CA"/>
        </w:rPr>
        <w:t>nigritana</w:t>
      </w:r>
      <w:r w:rsidRPr="00E96518">
        <w:rPr>
          <w:szCs w:val="20"/>
          <w:lang w:val="fr-CA"/>
        </w:rPr>
        <w:t xml:space="preserve">. </w:t>
      </w:r>
    </w:p>
    <w:p w14:paraId="6107FF39" w14:textId="77777777" w:rsidR="00302BFE" w:rsidRPr="00E96518" w:rsidRDefault="00302BFE" w:rsidP="00302BFE">
      <w:pPr>
        <w:spacing w:before="120" w:after="120"/>
        <w:rPr>
          <w:szCs w:val="20"/>
          <w:lang w:val="fr-CA"/>
        </w:rPr>
      </w:pPr>
      <w:r w:rsidRPr="00E96518">
        <w:rPr>
          <w:szCs w:val="20"/>
          <w:lang w:val="fr-CA"/>
        </w:rPr>
        <w:t xml:space="preserve">La composition de la faune est similaire à celle du Ranch de gibier de Nazinga dont elle est limitrophe, avec tout de même des densités plus faibles. </w:t>
      </w:r>
    </w:p>
    <w:p w14:paraId="0AD7115D" w14:textId="77777777" w:rsidR="00302BFE" w:rsidRPr="00E96518" w:rsidRDefault="00302BFE" w:rsidP="00302BFE">
      <w:pPr>
        <w:spacing w:before="120" w:after="120"/>
        <w:rPr>
          <w:szCs w:val="20"/>
          <w:lang w:val="fr-CA"/>
        </w:rPr>
      </w:pPr>
      <w:r w:rsidRPr="00E96518">
        <w:rPr>
          <w:szCs w:val="20"/>
          <w:u w:val="single"/>
          <w:lang w:val="fr-CA"/>
        </w:rPr>
        <w:t>Gestion</w:t>
      </w:r>
      <w:r w:rsidRPr="00E96518">
        <w:rPr>
          <w:b/>
          <w:szCs w:val="20"/>
          <w:lang w:val="fr-CA"/>
        </w:rPr>
        <w:t>.</w:t>
      </w:r>
      <w:r w:rsidRPr="00E96518">
        <w:rPr>
          <w:szCs w:val="20"/>
          <w:lang w:val="fr-CA"/>
        </w:rPr>
        <w:t xml:space="preserve"> La forêt classée de la Sissili a été concédée pour la chasse à un opérateur privé en 1996, décédé il y a de cela une vingtaine d’année. Les ayants droits en assurent actuellement la gestion. Cependant, l’aire protégée ne dispose pas d’une unité de gestion, ni de plan d’aménagement et de gestion de la Concession, ni de plan d’actions spécifiques, comme les plans de restauration des ressources ou les plans de prélèvement des animaux. </w:t>
      </w:r>
    </w:p>
    <w:p w14:paraId="77C1E696" w14:textId="77777777" w:rsidR="00302BFE" w:rsidRPr="00E96518" w:rsidRDefault="00302BFE" w:rsidP="00302BFE">
      <w:pPr>
        <w:spacing w:before="120" w:after="120"/>
        <w:rPr>
          <w:szCs w:val="20"/>
          <w:lang w:val="fr-CA"/>
        </w:rPr>
      </w:pPr>
      <w:r w:rsidRPr="00E96518">
        <w:rPr>
          <w:szCs w:val="20"/>
          <w:lang w:val="fr-CA"/>
        </w:rPr>
        <w:t>La Concession compte environ 28 employés, dont 10 permanents et 18 saisonniers. Cependant, en réalité, un seul employé est présent en permanence pendant la saison pluvieuse. Il n’y a que des guides de chasse et pas de guides touristiques dans le campement. Le service forestier de Bieha ne dispose que de deux agents et d’une moto de service en bon état. Au niveau du campement de la Sissili, les pisteurs reçoivent seulement du carburant pour l’utilisation de leurs propres motos pour les activités de LAB.</w:t>
      </w:r>
    </w:p>
    <w:p w14:paraId="64B80578" w14:textId="0619BBD1" w:rsidR="00302BFE" w:rsidRPr="00E96518" w:rsidRDefault="00302BFE" w:rsidP="00302BFE">
      <w:pPr>
        <w:spacing w:before="120" w:after="120"/>
        <w:rPr>
          <w:szCs w:val="20"/>
          <w:lang w:val="fr-CA"/>
        </w:rPr>
      </w:pPr>
      <w:r w:rsidRPr="00E96518">
        <w:rPr>
          <w:szCs w:val="20"/>
          <w:u w:val="single"/>
          <w:lang w:val="fr-CA"/>
        </w:rPr>
        <w:t>Aménagements</w:t>
      </w:r>
      <w:r w:rsidRPr="00E96518">
        <w:rPr>
          <w:b/>
          <w:szCs w:val="20"/>
          <w:lang w:val="fr-CA"/>
        </w:rPr>
        <w:t xml:space="preserve">. </w:t>
      </w:r>
      <w:r w:rsidRPr="00E96518">
        <w:rPr>
          <w:szCs w:val="20"/>
          <w:lang w:val="fr-CA"/>
        </w:rPr>
        <w:t>La Concession la Chasse de la Sissili disposait d’un campement qui a été brulé par des feux sauvages en 2017 mais qui doit être reconstruit.</w:t>
      </w:r>
    </w:p>
    <w:p w14:paraId="02B6CBE7" w14:textId="77777777" w:rsidR="00302BFE" w:rsidRPr="00E96518" w:rsidRDefault="00302BFE" w:rsidP="00302BFE">
      <w:pPr>
        <w:spacing w:before="120" w:after="120"/>
        <w:rPr>
          <w:szCs w:val="20"/>
          <w:lang w:val="fr-CA"/>
        </w:rPr>
      </w:pPr>
      <w:r w:rsidRPr="00E96518">
        <w:rPr>
          <w:szCs w:val="20"/>
          <w:lang w:val="fr-CA"/>
        </w:rPr>
        <w:lastRenderedPageBreak/>
        <w:t>Les aménagements comprennent 223 kilomètres de pistes ouvertes, un forage réalisé dans le campement et 27 salines dont 12 naturelles. Outre la rivière Sissili qui comporte quelques mares pérennes dans la concession, 7 mares et retenues d’eau ou boulis ont été aménagées dans un rayon de 5 km autour du campement, le dernier boulis ayant été construit en 2017, mais certaines digues ont cédé et la plupart des boulis creusés tarissent en saison sèche. Une seule retenue située derrière le campement semble permanente et on y exerce la pêche. La Concession dispose sur toute la périphérie de bornes et de panneaux de signalisation en nombre suffisant. Une piste périmétrale incomplète délimite la concession sur environ 40 km mais n’est pas entretenue. Environ 60 km de pistes périmétrales restent à dégager entre Naboré et Yelbouga. Un mirador en bois installé à côté de la retenue d’eau permanente (environ 2km du campement est maintenant hors d’usage.</w:t>
      </w:r>
    </w:p>
    <w:p w14:paraId="39B90155" w14:textId="77777777" w:rsidR="00302BFE" w:rsidRPr="00E96518" w:rsidRDefault="00302BFE" w:rsidP="00302BFE">
      <w:pPr>
        <w:spacing w:before="120" w:after="120"/>
        <w:rPr>
          <w:szCs w:val="20"/>
          <w:lang w:val="fr-CA"/>
        </w:rPr>
      </w:pPr>
      <w:r w:rsidRPr="00E96518">
        <w:rPr>
          <w:szCs w:val="20"/>
          <w:lang w:val="fr-CA"/>
        </w:rPr>
        <w:t>En raison du manque de formation des pisteurs et du responsable qui en assure la charge, les feux d’aménagement ne sont pas bien planifiés dans le temps et dans l’espace afin d’assurer la protection et l’alimentation continue des espèces. Les feux sont mis lors des patrouilles, et ne tiennent nullement compte des besoins de protection des espèces. Les feux d’aménagement se limitent à la zone de protection intégrale et les 5 km autour du campement alors que le reste est brûlé par les braconniers.</w:t>
      </w:r>
    </w:p>
    <w:p w14:paraId="0974FE5D" w14:textId="77777777" w:rsidR="00302BFE" w:rsidRPr="00E96518" w:rsidRDefault="00302BFE" w:rsidP="00302BFE">
      <w:pPr>
        <w:spacing w:before="120" w:after="120"/>
        <w:rPr>
          <w:szCs w:val="20"/>
          <w:lang w:val="fr-CA"/>
        </w:rPr>
      </w:pPr>
      <w:r w:rsidRPr="00E96518">
        <w:rPr>
          <w:szCs w:val="20"/>
          <w:u w:val="single"/>
          <w:lang w:val="fr-CA"/>
        </w:rPr>
        <w:t>Suivi écologique</w:t>
      </w:r>
      <w:r w:rsidRPr="00E96518">
        <w:rPr>
          <w:szCs w:val="20"/>
          <w:lang w:val="fr-CA"/>
        </w:rPr>
        <w:t>. Au niveau de la capitalisation des données, il n’y a ni bibliothèque ni de systèmes d’archivage des données. Les structures qui y interviennent ne laissent pas de copie de leurs données.</w:t>
      </w:r>
    </w:p>
    <w:p w14:paraId="684EF027" w14:textId="77777777" w:rsidR="00302BFE" w:rsidRPr="00E96518" w:rsidRDefault="00302BFE" w:rsidP="00302BFE">
      <w:pPr>
        <w:spacing w:before="120" w:after="120"/>
        <w:rPr>
          <w:szCs w:val="20"/>
          <w:lang w:val="fr-CA"/>
        </w:rPr>
      </w:pPr>
      <w:r w:rsidRPr="00E96518">
        <w:rPr>
          <w:szCs w:val="20"/>
          <w:u w:val="single"/>
          <w:lang w:val="fr-CA"/>
        </w:rPr>
        <w:t>Valorisation</w:t>
      </w:r>
      <w:r w:rsidRPr="00E96518">
        <w:rPr>
          <w:szCs w:val="20"/>
          <w:lang w:val="fr-CA"/>
        </w:rPr>
        <w:t>. Les principales espèces péchées dans la Concession sont les silures, les carpes, et les tilapias, mais il n’y a ni suivi, ni estimation des quantités prélevées. La concession de chasse de la Sissili continue à remettre les 3/4 de la venaison aux populations riveraines à tour de rôle. Pour la petite chasse dans les ZOVIC, la concession paie aux villages 5 000F/chasseur/jour pour les taxes d’accompagnement de 2 personnes/touristes. Cette somme est reversée à la fin de la campagne aux chefs de villages, qui les remettent aux intéressés.</w:t>
      </w:r>
    </w:p>
    <w:p w14:paraId="375FF51D" w14:textId="77777777" w:rsidR="00302BFE" w:rsidRPr="00E96518" w:rsidRDefault="00302BFE" w:rsidP="00302BFE">
      <w:pPr>
        <w:spacing w:before="120" w:after="120"/>
        <w:rPr>
          <w:szCs w:val="20"/>
          <w:lang w:val="fr-CA"/>
        </w:rPr>
      </w:pPr>
      <w:r w:rsidRPr="00E96518">
        <w:rPr>
          <w:szCs w:val="20"/>
          <w:u w:val="single"/>
          <w:lang w:val="fr-CA"/>
        </w:rPr>
        <w:t>Menaces</w:t>
      </w:r>
      <w:r w:rsidRPr="00E96518">
        <w:rPr>
          <w:b/>
          <w:szCs w:val="20"/>
          <w:lang w:val="fr-CA"/>
        </w:rPr>
        <w:t>.</w:t>
      </w:r>
      <w:r w:rsidRPr="00E96518">
        <w:rPr>
          <w:szCs w:val="20"/>
          <w:lang w:val="fr-CA"/>
        </w:rPr>
        <w:t xml:space="preserve"> Les principales menaces sur la FC de la Sissili comprennent : i) La dégradation de la végétation à cause du braconnage, des feux de brousse tardifs, du défrichement non contrôlé renforcé par la présence de nouveaux acteurs, les agrobusinessmen, et du surpâturage. ii) Le braconnage est intense et sévit sur toute l’étendue de la concession, tout particulièrement dans la zone de Pissai, vers la frontière ghanéenne, conduit par des braconniers locaux ou ghanéens. Les principales espèces braconnées sont essentiellement le cobe de buffon, le guib harnaché, l’ourébi, les céphalophes et l’éléphant. Près de 10 carcasses d’animaux ont été retrouvées après la saison des pluies de 2017 incluant plusieurs cadavres d’éléphants, de cobe de buffon, de kobas, de cobe defassa. Ce sont des animaux abattus par des braconniers et qui sont allés mourir hors de la vue des braconniers. iii) Le non-respect de la zone tampon de 500 m par les éleveurs et les agriculteurs de telle sorte que certaines sections sont envahies. En 2017, le service forestier a procédé à la délocalisation des champs agricoles (à Pissai) mais les éleveurs y sont toujours présents, ce qui engendre des remous sociaux, les agriculteurs estimant qu’ils ont été déguerpis des terres de leurs ancêtres au profit des transhumants peuhls qui eux, y sont tolérés. iv) La coupe abusive du bois pour la carbonisation. Le service forestier effectue 2 à 3 sorties par mois en saison sèche, mais en saison pluvieuse la forêt est inaccessible et les braconniers et les délinquants s’y installent. Il n’y a pas de piste interne au-delà d’un rayon de 5 km autour du campement. </w:t>
      </w:r>
    </w:p>
    <w:p w14:paraId="774B376B" w14:textId="77777777" w:rsidR="00302BFE" w:rsidRPr="00E96518" w:rsidRDefault="00302BFE" w:rsidP="00302BFE">
      <w:pPr>
        <w:rPr>
          <w:b/>
          <w:lang w:val="fr-CA"/>
        </w:rPr>
      </w:pPr>
      <w:r w:rsidRPr="00E96518">
        <w:rPr>
          <w:b/>
          <w:lang w:val="fr-CA"/>
        </w:rPr>
        <w:t>Le Parc National de Pô dit Parc National Kaboré-Tambi (PNKT)</w:t>
      </w:r>
    </w:p>
    <w:p w14:paraId="1B99F491" w14:textId="77777777" w:rsidR="00302BFE" w:rsidRPr="00E96518" w:rsidRDefault="00302BFE" w:rsidP="00302BFE">
      <w:pPr>
        <w:spacing w:before="120" w:after="120"/>
        <w:rPr>
          <w:rFonts w:eastAsia="Times New Roman"/>
          <w:color w:val="003300"/>
          <w:szCs w:val="20"/>
          <w:lang w:val="fr-CA" w:eastAsia="fr-CA"/>
        </w:rPr>
      </w:pPr>
      <w:r w:rsidRPr="00E96518">
        <w:rPr>
          <w:rFonts w:eastAsia="Times New Roman"/>
          <w:color w:val="003300"/>
          <w:szCs w:val="20"/>
          <w:lang w:val="fr-CA" w:eastAsia="fr-CA"/>
        </w:rPr>
        <w:t xml:space="preserve">Situé dans le Centre Sud du Burkina Faso, épousant le cours du Nazinon, </w:t>
      </w:r>
      <w:r w:rsidRPr="00E96518">
        <w:rPr>
          <w:color w:val="000000"/>
          <w:szCs w:val="20"/>
          <w:lang w:val="fr-CA"/>
        </w:rPr>
        <w:t xml:space="preserve">le PNKT </w:t>
      </w:r>
      <w:r w:rsidRPr="00E96518">
        <w:rPr>
          <w:rFonts w:eastAsia="Times New Roman"/>
          <w:color w:val="000000"/>
          <w:szCs w:val="20"/>
          <w:lang w:val="fr-CA" w:eastAsia="fr-CA"/>
        </w:rPr>
        <w:t>est l'un des deux Parcs Nationaux du Burkina Faso.</w:t>
      </w:r>
      <w:r w:rsidRPr="00E96518">
        <w:rPr>
          <w:color w:val="000000"/>
          <w:szCs w:val="20"/>
          <w:lang w:val="fr-CA"/>
        </w:rPr>
        <w:t xml:space="preserve"> </w:t>
      </w:r>
      <w:r w:rsidRPr="00E96518">
        <w:rPr>
          <w:rFonts w:eastAsia="Times New Roman"/>
          <w:color w:val="003300"/>
          <w:szCs w:val="20"/>
          <w:lang w:val="fr-CA" w:eastAsia="fr-CA"/>
        </w:rPr>
        <w:t xml:space="preserve">Ce parc a été créé en 1976 avec la réunion de deux forêts domaniales (forêt de Pô et forêt de la Volta rouge) par l’Ordonnance 76-020/13/PRES/ET du 2 septembre 1976. Il couvre une superficie de 169 000 ha </w:t>
      </w:r>
      <w:r w:rsidRPr="00E96518">
        <w:rPr>
          <w:color w:val="000000"/>
          <w:szCs w:val="20"/>
          <w:lang w:val="fr-CA"/>
        </w:rPr>
        <w:t>sur une longueur de 150 km et est traversé par la route nationale RN5 Ouagadougou-Pô-frontière du Ghana sur une distance de 30 km correspondant à sa largeur maximale.</w:t>
      </w:r>
    </w:p>
    <w:p w14:paraId="7C481957" w14:textId="77777777" w:rsidR="00302BFE" w:rsidRPr="00E96518" w:rsidRDefault="00302BFE" w:rsidP="00302BFE">
      <w:pPr>
        <w:spacing w:before="120" w:after="120"/>
        <w:rPr>
          <w:szCs w:val="20"/>
          <w:lang w:val="fr-CA"/>
        </w:rPr>
      </w:pPr>
      <w:r w:rsidRPr="00E96518">
        <w:rPr>
          <w:szCs w:val="20"/>
          <w:lang w:val="fr-CA"/>
        </w:rPr>
        <w:t>Le PNKT est traversé du Nord au Sud par la rivière Nazinon, qui prend sa source à 330 m d’altitude sur le plateau Mossi à 50 km au nord-ouest d’Ouagadougou, à proximité de Bousé. Il traverse le parc sur toute sa longueur, et parcours 148 kilomètres dans le parc. Son altitude est de 215 m à sa sortie du parc (station limnométrique de Kampala, au pont de la route Pô-Zabre).</w:t>
      </w:r>
    </w:p>
    <w:p w14:paraId="7501276C" w14:textId="77777777" w:rsidR="00302BFE" w:rsidRPr="00E96518" w:rsidRDefault="00302BFE" w:rsidP="00302BFE">
      <w:pPr>
        <w:spacing w:before="120" w:after="120"/>
        <w:rPr>
          <w:rFonts w:eastAsia="Times New Roman"/>
          <w:color w:val="003300"/>
          <w:szCs w:val="20"/>
          <w:lang w:val="fr-CA" w:eastAsia="fr-CA"/>
        </w:rPr>
      </w:pPr>
      <w:r w:rsidRPr="00E96518">
        <w:rPr>
          <w:rFonts w:eastAsia="Times New Roman"/>
          <w:color w:val="003300"/>
          <w:szCs w:val="20"/>
          <w:u w:val="single"/>
          <w:lang w:val="fr-CA" w:eastAsia="fr-CA"/>
        </w:rPr>
        <w:t>Biodiversité</w:t>
      </w:r>
      <w:r w:rsidRPr="00E96518">
        <w:rPr>
          <w:rFonts w:eastAsia="Times New Roman"/>
          <w:color w:val="003300"/>
          <w:szCs w:val="20"/>
          <w:lang w:val="fr-CA" w:eastAsia="fr-CA"/>
        </w:rPr>
        <w:t>. Le parc est, dans sa très grande partie, inclus dans le domaine soudanien. La partie Nord est le domaine de la savane arbustive qui évolue progressivement en direction du Sud, vers des formations plus boisées (savanes arborées et forêts claires) et vers des milieux qui annoncent le domaine soudano-guinéen. 212 espèces de plantes ont été recensées dans les différents types de savane présents.</w:t>
      </w:r>
    </w:p>
    <w:p w14:paraId="48524E26" w14:textId="77777777" w:rsidR="00302BFE" w:rsidRDefault="00302BFE" w:rsidP="00302BFE">
      <w:pPr>
        <w:ind w:right="-262"/>
        <w:rPr>
          <w:i/>
          <w:iCs/>
          <w:szCs w:val="20"/>
          <w:lang w:val="fr-CA"/>
        </w:rPr>
      </w:pPr>
      <w:r w:rsidRPr="008957ED">
        <w:rPr>
          <w:szCs w:val="20"/>
          <w:lang w:val="fr-CA"/>
        </w:rPr>
        <w:t xml:space="preserve">Les inventaires effectués dans le PNKT par le projet PAGEN dans les années 2005-2006 ont permis de répertorier </w:t>
      </w:r>
      <w:r w:rsidRPr="008957ED">
        <w:rPr>
          <w:iCs/>
          <w:szCs w:val="20"/>
          <w:lang w:val="fr-CA"/>
        </w:rPr>
        <w:t>plus de 100 espèces ligneuses,</w:t>
      </w:r>
      <w:r w:rsidRPr="008957ED">
        <w:rPr>
          <w:szCs w:val="20"/>
          <w:lang w:val="fr-CA"/>
        </w:rPr>
        <w:t xml:space="preserve"> 151 espèces d’oiseaux parmi lesquelles des espèces rares au Burkina Faso telles que: le Crécerelle renard (</w:t>
      </w:r>
      <w:r w:rsidRPr="008957ED">
        <w:rPr>
          <w:i/>
          <w:iCs/>
          <w:szCs w:val="20"/>
          <w:lang w:val="fr-CA"/>
        </w:rPr>
        <w:t>Falco alopex),</w:t>
      </w:r>
      <w:r w:rsidRPr="008957ED">
        <w:rPr>
          <w:szCs w:val="20"/>
          <w:lang w:val="fr-CA"/>
        </w:rPr>
        <w:t xml:space="preserve"> le Tchitrec bleu (</w:t>
      </w:r>
      <w:r w:rsidRPr="008957ED">
        <w:rPr>
          <w:i/>
          <w:iCs/>
          <w:szCs w:val="20"/>
          <w:lang w:val="fr-CA"/>
        </w:rPr>
        <w:t xml:space="preserve">Elminia longicauda), </w:t>
      </w:r>
      <w:r w:rsidRPr="008957ED">
        <w:rPr>
          <w:iCs/>
          <w:szCs w:val="20"/>
          <w:lang w:val="fr-CA"/>
        </w:rPr>
        <w:t>le</w:t>
      </w:r>
      <w:r w:rsidRPr="008957ED">
        <w:rPr>
          <w:i/>
          <w:iCs/>
          <w:szCs w:val="20"/>
          <w:lang w:val="fr-CA"/>
        </w:rPr>
        <w:t xml:space="preserve"> </w:t>
      </w:r>
      <w:r w:rsidRPr="008957ED">
        <w:rPr>
          <w:szCs w:val="20"/>
          <w:lang w:val="fr-CA"/>
        </w:rPr>
        <w:t>Grébifoulque d’Afrique (</w:t>
      </w:r>
      <w:r w:rsidRPr="008957ED">
        <w:rPr>
          <w:i/>
          <w:iCs/>
          <w:szCs w:val="20"/>
          <w:lang w:val="fr-CA"/>
        </w:rPr>
        <w:t xml:space="preserve">Podica senegalensis) </w:t>
      </w:r>
      <w:r w:rsidRPr="008957ED">
        <w:rPr>
          <w:iCs/>
          <w:szCs w:val="20"/>
          <w:lang w:val="fr-CA"/>
        </w:rPr>
        <w:t xml:space="preserve">et </w:t>
      </w:r>
      <w:r w:rsidRPr="008957ED">
        <w:rPr>
          <w:szCs w:val="20"/>
          <w:lang w:val="fr-CA"/>
        </w:rPr>
        <w:t>14 espèces de grands mammifères, dont les suivants : Bubale</w:t>
      </w:r>
      <w:r w:rsidRPr="008957ED">
        <w:rPr>
          <w:i/>
          <w:iCs/>
          <w:szCs w:val="20"/>
          <w:lang w:val="fr-CA"/>
        </w:rPr>
        <w:t xml:space="preserve"> (Alcelaphus buselaphus major), </w:t>
      </w:r>
      <w:r w:rsidRPr="008957ED">
        <w:rPr>
          <w:szCs w:val="20"/>
          <w:lang w:val="fr-CA"/>
        </w:rPr>
        <w:t>Hippotrague (</w:t>
      </w:r>
      <w:r w:rsidRPr="008957ED">
        <w:rPr>
          <w:i/>
          <w:iCs/>
          <w:szCs w:val="20"/>
          <w:lang w:val="fr-CA"/>
        </w:rPr>
        <w:t xml:space="preserve">Hippotragus equinus), </w:t>
      </w:r>
      <w:r w:rsidRPr="008957ED">
        <w:rPr>
          <w:szCs w:val="20"/>
          <w:lang w:val="fr-CA"/>
        </w:rPr>
        <w:t>Guib harnaché (</w:t>
      </w:r>
      <w:r w:rsidRPr="008957ED">
        <w:rPr>
          <w:i/>
          <w:iCs/>
          <w:szCs w:val="20"/>
          <w:lang w:val="fr-CA"/>
        </w:rPr>
        <w:t xml:space="preserve">Tragelaphus scriptus), </w:t>
      </w:r>
      <w:r w:rsidRPr="008957ED">
        <w:rPr>
          <w:szCs w:val="20"/>
          <w:lang w:val="fr-CA"/>
        </w:rPr>
        <w:t>Ourébi (</w:t>
      </w:r>
      <w:r w:rsidRPr="008957ED">
        <w:rPr>
          <w:i/>
          <w:iCs/>
          <w:szCs w:val="20"/>
          <w:lang w:val="fr-CA"/>
        </w:rPr>
        <w:t xml:space="preserve">Ourebia ourebi), </w:t>
      </w:r>
      <w:r w:rsidRPr="008957ED">
        <w:rPr>
          <w:szCs w:val="20"/>
          <w:lang w:val="fr-CA"/>
        </w:rPr>
        <w:t>Céphalophe de Grimm (</w:t>
      </w:r>
      <w:r w:rsidRPr="008957ED">
        <w:rPr>
          <w:i/>
          <w:iCs/>
          <w:szCs w:val="20"/>
          <w:lang w:val="fr-CA"/>
        </w:rPr>
        <w:t xml:space="preserve">Sylvicapra grimmia), </w:t>
      </w:r>
      <w:r w:rsidRPr="008957ED">
        <w:rPr>
          <w:szCs w:val="20"/>
          <w:lang w:val="fr-CA"/>
        </w:rPr>
        <w:t>Patas (</w:t>
      </w:r>
      <w:r w:rsidRPr="008957ED">
        <w:rPr>
          <w:i/>
          <w:iCs/>
          <w:szCs w:val="20"/>
          <w:lang w:val="fr-CA"/>
        </w:rPr>
        <w:t xml:space="preserve">Erythrocebus patas), </w:t>
      </w:r>
      <w:r w:rsidRPr="008957ED">
        <w:rPr>
          <w:szCs w:val="20"/>
          <w:lang w:val="fr-CA"/>
        </w:rPr>
        <w:t>Vervet (</w:t>
      </w:r>
      <w:r w:rsidRPr="008957ED">
        <w:rPr>
          <w:i/>
          <w:iCs/>
          <w:szCs w:val="20"/>
          <w:lang w:val="fr-CA"/>
        </w:rPr>
        <w:t xml:space="preserve">Cercopithecus aethiops), </w:t>
      </w:r>
      <w:r w:rsidRPr="008957ED">
        <w:rPr>
          <w:szCs w:val="20"/>
          <w:lang w:val="fr-CA"/>
        </w:rPr>
        <w:t>Cynocéphale (</w:t>
      </w:r>
      <w:r w:rsidRPr="008957ED">
        <w:rPr>
          <w:i/>
          <w:iCs/>
          <w:szCs w:val="20"/>
          <w:lang w:val="fr-CA"/>
        </w:rPr>
        <w:t xml:space="preserve">Papio hamadryas anubis), </w:t>
      </w:r>
      <w:r w:rsidRPr="008957ED">
        <w:rPr>
          <w:szCs w:val="20"/>
          <w:lang w:val="fr-CA"/>
        </w:rPr>
        <w:t>Phacochère (</w:t>
      </w:r>
      <w:r w:rsidRPr="008957ED">
        <w:rPr>
          <w:i/>
          <w:iCs/>
          <w:szCs w:val="20"/>
          <w:lang w:val="fr-CA"/>
        </w:rPr>
        <w:t xml:space="preserve">Phacochoerus africanus), </w:t>
      </w:r>
      <w:r w:rsidRPr="008957ED">
        <w:rPr>
          <w:szCs w:val="20"/>
          <w:lang w:val="fr-CA"/>
        </w:rPr>
        <w:t>Cobe redunca (</w:t>
      </w:r>
      <w:r w:rsidRPr="008957ED">
        <w:rPr>
          <w:i/>
          <w:iCs/>
          <w:szCs w:val="20"/>
          <w:lang w:val="fr-CA"/>
        </w:rPr>
        <w:t xml:space="preserve">Redunca redunca), </w:t>
      </w:r>
      <w:r w:rsidRPr="008957ED">
        <w:rPr>
          <w:szCs w:val="20"/>
          <w:lang w:val="fr-CA"/>
        </w:rPr>
        <w:t>Cobe Defassa (</w:t>
      </w:r>
      <w:r w:rsidRPr="008957ED">
        <w:rPr>
          <w:i/>
          <w:szCs w:val="20"/>
          <w:lang w:val="fr-CA"/>
        </w:rPr>
        <w:t>Kobus ellipsiprymnus ssp. defassa</w:t>
      </w:r>
      <w:r w:rsidRPr="008957ED">
        <w:rPr>
          <w:i/>
          <w:iCs/>
          <w:szCs w:val="20"/>
          <w:lang w:val="fr-CA"/>
        </w:rPr>
        <w:t xml:space="preserve"> - </w:t>
      </w:r>
      <w:r w:rsidRPr="008957ED">
        <w:rPr>
          <w:b/>
          <w:iCs/>
          <w:szCs w:val="20"/>
          <w:lang w:val="fr-CA"/>
        </w:rPr>
        <w:t>NT</w:t>
      </w:r>
      <w:r w:rsidRPr="008957ED">
        <w:rPr>
          <w:i/>
          <w:iCs/>
          <w:szCs w:val="20"/>
          <w:lang w:val="fr-CA"/>
        </w:rPr>
        <w:t xml:space="preserve">), </w:t>
      </w:r>
      <w:r w:rsidRPr="008957ED">
        <w:rPr>
          <w:szCs w:val="20"/>
          <w:lang w:val="fr-CA"/>
        </w:rPr>
        <w:t>Buffle (S</w:t>
      </w:r>
      <w:r w:rsidRPr="008957ED">
        <w:rPr>
          <w:i/>
          <w:iCs/>
          <w:szCs w:val="20"/>
          <w:lang w:val="fr-CA"/>
        </w:rPr>
        <w:t xml:space="preserve">yncerus caffer ssp. </w:t>
      </w:r>
      <w:r w:rsidRPr="008957ED">
        <w:rPr>
          <w:i/>
          <w:szCs w:val="20"/>
          <w:lang w:val="fr-CA"/>
        </w:rPr>
        <w:t xml:space="preserve">brachyceros </w:t>
      </w:r>
      <w:r>
        <w:rPr>
          <w:b/>
          <w:iCs/>
          <w:szCs w:val="20"/>
          <w:lang w:val="fr-CA"/>
        </w:rPr>
        <w:t>–</w:t>
      </w:r>
      <w:r w:rsidRPr="008957ED">
        <w:rPr>
          <w:b/>
          <w:iCs/>
          <w:szCs w:val="20"/>
          <w:lang w:val="fr-CA"/>
        </w:rPr>
        <w:t xml:space="preserve"> NT</w:t>
      </w:r>
      <w:r w:rsidRPr="008957ED">
        <w:rPr>
          <w:iCs/>
          <w:szCs w:val="20"/>
          <w:lang w:val="fr-CA"/>
        </w:rPr>
        <w:t>, rares</w:t>
      </w:r>
      <w:r w:rsidRPr="008957ED">
        <w:rPr>
          <w:i/>
          <w:iCs/>
          <w:szCs w:val="20"/>
          <w:lang w:val="fr-CA"/>
        </w:rPr>
        <w:t xml:space="preserve">), </w:t>
      </w:r>
      <w:r w:rsidRPr="008957ED">
        <w:rPr>
          <w:szCs w:val="20"/>
          <w:lang w:val="fr-CA"/>
        </w:rPr>
        <w:t>Eléphant (</w:t>
      </w:r>
      <w:r w:rsidRPr="008957ED">
        <w:rPr>
          <w:i/>
          <w:iCs/>
          <w:szCs w:val="20"/>
          <w:lang w:val="fr-CA"/>
        </w:rPr>
        <w:t xml:space="preserve">Loxodonta africana - </w:t>
      </w:r>
      <w:r w:rsidRPr="008957ED">
        <w:rPr>
          <w:b/>
          <w:iCs/>
          <w:szCs w:val="20"/>
          <w:lang w:val="fr-CA"/>
        </w:rPr>
        <w:t>VU</w:t>
      </w:r>
      <w:r w:rsidRPr="008957ED">
        <w:rPr>
          <w:i/>
          <w:iCs/>
          <w:szCs w:val="20"/>
          <w:lang w:val="fr-CA"/>
        </w:rPr>
        <w:t xml:space="preserve">), </w:t>
      </w:r>
      <w:r w:rsidRPr="008957ED">
        <w:rPr>
          <w:szCs w:val="20"/>
          <w:lang w:val="fr-CA"/>
        </w:rPr>
        <w:t>Chacal (</w:t>
      </w:r>
      <w:r w:rsidRPr="008957ED">
        <w:rPr>
          <w:i/>
          <w:iCs/>
          <w:szCs w:val="20"/>
          <w:lang w:val="fr-CA"/>
        </w:rPr>
        <w:t xml:space="preserve">Canis adustus), </w:t>
      </w:r>
      <w:r w:rsidRPr="008957ED">
        <w:rPr>
          <w:szCs w:val="20"/>
          <w:lang w:val="fr-CA"/>
        </w:rPr>
        <w:t>Civette (</w:t>
      </w:r>
      <w:r w:rsidRPr="008957ED">
        <w:rPr>
          <w:i/>
          <w:iCs/>
          <w:szCs w:val="20"/>
          <w:lang w:val="fr-CA"/>
        </w:rPr>
        <w:t>Civettictis civetta)</w:t>
      </w:r>
      <w:r>
        <w:rPr>
          <w:i/>
          <w:iCs/>
          <w:szCs w:val="20"/>
          <w:lang w:val="fr-CA"/>
        </w:rPr>
        <w:t xml:space="preserve">. </w:t>
      </w:r>
    </w:p>
    <w:p w14:paraId="188CE1A5" w14:textId="77777777" w:rsidR="00302BFE" w:rsidRPr="00E96518" w:rsidRDefault="00302BFE" w:rsidP="00302BFE">
      <w:pPr>
        <w:ind w:right="-262"/>
        <w:rPr>
          <w:color w:val="000000"/>
          <w:szCs w:val="20"/>
          <w:lang w:val="fr-CA"/>
        </w:rPr>
      </w:pPr>
      <w:r w:rsidRPr="00E96518">
        <w:rPr>
          <w:rFonts w:eastAsia="Times New Roman"/>
          <w:color w:val="003300"/>
          <w:szCs w:val="20"/>
          <w:lang w:val="fr-CA" w:eastAsia="fr-CA"/>
        </w:rPr>
        <w:lastRenderedPageBreak/>
        <w:t xml:space="preserve">Le PNKT est une zone d’importance pour les oiseaux. </w:t>
      </w:r>
      <w:r w:rsidRPr="00E96518">
        <w:rPr>
          <w:color w:val="000000"/>
          <w:szCs w:val="20"/>
          <w:lang w:val="fr-CA"/>
        </w:rPr>
        <w:t xml:space="preserve">Pendant l’hiver européen, il constitue une étape dans le circuit de migration de certains oiseaux migrateurs du paléarctique occidental dont des espèces intégralement protégées telles que les cigognes. </w:t>
      </w:r>
      <w:r w:rsidRPr="00E96518">
        <w:rPr>
          <w:szCs w:val="20"/>
          <w:lang w:val="fr-CA"/>
        </w:rPr>
        <w:t>On y rencontre quelques espèces rares au Burkina Faso comme le serpentaire</w:t>
      </w:r>
      <w:r>
        <w:rPr>
          <w:szCs w:val="20"/>
          <w:lang w:val="fr-CA"/>
        </w:rPr>
        <w:t xml:space="preserve"> (</w:t>
      </w:r>
      <w:r w:rsidRPr="007D3F04">
        <w:rPr>
          <w:i/>
          <w:iCs/>
          <w:szCs w:val="20"/>
          <w:lang w:val="fr-CA"/>
        </w:rPr>
        <w:t xml:space="preserve">Sagittarius serpentarius </w:t>
      </w:r>
      <w:r w:rsidRPr="007D3F04">
        <w:rPr>
          <w:szCs w:val="20"/>
          <w:lang w:val="fr-CA"/>
        </w:rPr>
        <w:t xml:space="preserve">– </w:t>
      </w:r>
      <w:r w:rsidRPr="007D3F04">
        <w:rPr>
          <w:b/>
          <w:szCs w:val="20"/>
          <w:lang w:val="fr-CA"/>
        </w:rPr>
        <w:t>VU</w:t>
      </w:r>
      <w:r w:rsidRPr="007D3F04">
        <w:rPr>
          <w:szCs w:val="20"/>
          <w:lang w:val="fr-CA"/>
        </w:rPr>
        <w:t>)</w:t>
      </w:r>
      <w:r w:rsidRPr="00E96518">
        <w:rPr>
          <w:szCs w:val="20"/>
          <w:lang w:val="fr-CA"/>
        </w:rPr>
        <w:t>, le marabout, le tantale ibis, la cigogne noire (espèce migratrice)</w:t>
      </w:r>
      <w:r>
        <w:rPr>
          <w:szCs w:val="20"/>
          <w:lang w:val="fr-CA"/>
        </w:rPr>
        <w:t xml:space="preserve"> et le touraco violet</w:t>
      </w:r>
      <w:r w:rsidRPr="00E96518">
        <w:rPr>
          <w:szCs w:val="20"/>
          <w:lang w:val="fr-CA"/>
        </w:rPr>
        <w:t>.</w:t>
      </w:r>
    </w:p>
    <w:p w14:paraId="6FB9489C" w14:textId="77777777" w:rsidR="00302BFE" w:rsidRPr="00E96518" w:rsidRDefault="00302BFE" w:rsidP="00302BFE">
      <w:pPr>
        <w:spacing w:before="120" w:after="120"/>
        <w:rPr>
          <w:rFonts w:eastAsia="Times New Roman"/>
          <w:color w:val="003300"/>
          <w:szCs w:val="20"/>
          <w:lang w:val="fr-CA" w:eastAsia="fr-CA"/>
        </w:rPr>
      </w:pPr>
      <w:r w:rsidRPr="00E96518">
        <w:rPr>
          <w:rFonts w:eastAsia="Times New Roman"/>
          <w:color w:val="003300"/>
          <w:szCs w:val="20"/>
          <w:lang w:val="fr-CA" w:eastAsia="fr-CA"/>
        </w:rPr>
        <w:t>L'importance du Parc est principalement liée à sa couverture forestière, notamment les formations végétales le long de la rivière Nazinon (anciennement Volta Rouge); l'influence régulatrice qu’elle exerce sur le climat et qui limite l'expansion de la désertification; la richesse de sa biocénose, notamment végétale encore intacte; la présence de nombreuses espèces de faune qui représentent un atout touristique et un potentiel de bénéfices économiques pour les villages voisins</w:t>
      </w:r>
      <w:r>
        <w:rPr>
          <w:rFonts w:eastAsia="Times New Roman"/>
          <w:color w:val="003300"/>
          <w:szCs w:val="20"/>
          <w:lang w:val="fr-CA" w:eastAsia="fr-CA"/>
        </w:rPr>
        <w:t>,</w:t>
      </w:r>
      <w:r w:rsidRPr="00E96518">
        <w:rPr>
          <w:rFonts w:eastAsia="Times New Roman"/>
          <w:color w:val="003300"/>
          <w:szCs w:val="20"/>
          <w:lang w:val="fr-CA" w:eastAsia="fr-CA"/>
        </w:rPr>
        <w:t xml:space="preserve"> sa richesse en produits forestiers non ligneux importants pour l'alimentation humaine et animale, ainsi que pour la médecine et la pharmacopée traditionnelle; et finalement son potentiel pour y promouvoir l'éducation environnementale.</w:t>
      </w:r>
    </w:p>
    <w:p w14:paraId="3223886D" w14:textId="77777777" w:rsidR="00302BFE" w:rsidRPr="00E96518" w:rsidRDefault="00302BFE" w:rsidP="00302BFE">
      <w:pPr>
        <w:spacing w:before="120" w:after="120"/>
        <w:rPr>
          <w:rFonts w:eastAsia="Times New Roman"/>
          <w:color w:val="003300"/>
          <w:szCs w:val="20"/>
          <w:lang w:val="fr-CA" w:eastAsia="fr-CA"/>
        </w:rPr>
      </w:pPr>
      <w:r w:rsidRPr="00E96518">
        <w:rPr>
          <w:color w:val="000000"/>
          <w:szCs w:val="20"/>
          <w:u w:val="single"/>
          <w:lang w:val="fr-CA"/>
        </w:rPr>
        <w:t>Gestion</w:t>
      </w:r>
      <w:r w:rsidRPr="00E96518">
        <w:rPr>
          <w:color w:val="000000"/>
          <w:szCs w:val="20"/>
          <w:lang w:val="fr-CA"/>
        </w:rPr>
        <w:t>. E</w:t>
      </w:r>
      <w:r w:rsidRPr="00E96518">
        <w:rPr>
          <w:rFonts w:eastAsia="Times New Roman"/>
          <w:color w:val="000000"/>
          <w:szCs w:val="20"/>
          <w:lang w:val="fr-CA" w:eastAsia="fr-CA"/>
        </w:rPr>
        <w:t xml:space="preserve">n </w:t>
      </w:r>
      <w:r w:rsidRPr="00E96518">
        <w:rPr>
          <w:color w:val="000000"/>
          <w:szCs w:val="20"/>
          <w:lang w:val="fr-CA"/>
        </w:rPr>
        <w:t>1997, l</w:t>
      </w:r>
      <w:r w:rsidRPr="00E96518">
        <w:rPr>
          <w:rFonts w:eastAsia="Times New Roman"/>
          <w:color w:val="000000"/>
          <w:szCs w:val="20"/>
          <w:lang w:val="fr-CA" w:eastAsia="fr-CA"/>
        </w:rPr>
        <w:t xml:space="preserve">e Ministère de l'Environnement </w:t>
      </w:r>
      <w:r w:rsidRPr="00E96518">
        <w:rPr>
          <w:color w:val="000000"/>
          <w:szCs w:val="20"/>
          <w:lang w:val="fr-CA"/>
        </w:rPr>
        <w:t xml:space="preserve">a confié sa gestion pour une période renouvelable de dix années à </w:t>
      </w:r>
      <w:r w:rsidRPr="00E96518">
        <w:rPr>
          <w:rFonts w:eastAsia="Times New Roman"/>
          <w:color w:val="000000"/>
          <w:szCs w:val="20"/>
          <w:lang w:val="fr-CA" w:eastAsia="fr-CA"/>
        </w:rPr>
        <w:t xml:space="preserve">la Fondation NATURAMA </w:t>
      </w:r>
      <w:r w:rsidRPr="00E96518">
        <w:rPr>
          <w:color w:val="000000"/>
          <w:szCs w:val="20"/>
          <w:lang w:val="fr-CA"/>
        </w:rPr>
        <w:t xml:space="preserve">(qui y menait des actions de conservation depuis </w:t>
      </w:r>
      <w:r w:rsidRPr="00E96518">
        <w:rPr>
          <w:rFonts w:eastAsia="Times New Roman"/>
          <w:color w:val="000000"/>
          <w:szCs w:val="20"/>
          <w:lang w:val="fr-CA" w:eastAsia="fr-CA"/>
        </w:rPr>
        <w:t>1993</w:t>
      </w:r>
      <w:r w:rsidRPr="00E96518">
        <w:rPr>
          <w:color w:val="000000"/>
          <w:szCs w:val="20"/>
          <w:lang w:val="fr-CA"/>
        </w:rPr>
        <w:t xml:space="preserve">), </w:t>
      </w:r>
      <w:r w:rsidRPr="00E96518">
        <w:rPr>
          <w:rFonts w:eastAsia="Times New Roman"/>
          <w:color w:val="000000"/>
          <w:szCs w:val="20"/>
          <w:lang w:val="fr-CA" w:eastAsia="fr-CA"/>
        </w:rPr>
        <w:t xml:space="preserve">avec la mission d'intéresser les villages environnants </w:t>
      </w:r>
      <w:r w:rsidRPr="00E96518">
        <w:rPr>
          <w:color w:val="000000"/>
          <w:szCs w:val="20"/>
          <w:lang w:val="fr-CA"/>
        </w:rPr>
        <w:t>à la vocation</w:t>
      </w:r>
      <w:r w:rsidRPr="00E96518">
        <w:rPr>
          <w:rFonts w:eastAsia="Times New Roman"/>
          <w:color w:val="000000"/>
          <w:szCs w:val="20"/>
          <w:lang w:val="fr-CA" w:eastAsia="fr-CA"/>
        </w:rPr>
        <w:t xml:space="preserve"> de valorisation scientifique, éducative, récréative et économique de l'aire</w:t>
      </w:r>
      <w:r w:rsidRPr="00E96518">
        <w:rPr>
          <w:color w:val="000000"/>
          <w:szCs w:val="20"/>
          <w:lang w:val="fr-CA"/>
        </w:rPr>
        <w:t xml:space="preserve">, dans l’optique de </w:t>
      </w:r>
      <w:r w:rsidRPr="00E96518">
        <w:rPr>
          <w:rFonts w:eastAsia="Times New Roman"/>
          <w:color w:val="000000"/>
          <w:szCs w:val="20"/>
          <w:lang w:val="fr-CA" w:eastAsia="fr-CA"/>
        </w:rPr>
        <w:t>la responsabilisation des communautés locales.</w:t>
      </w:r>
      <w:r>
        <w:rPr>
          <w:rStyle w:val="Appelnotedebasdep"/>
          <w:color w:val="000000"/>
          <w:szCs w:val="20"/>
        </w:rPr>
        <w:footnoteReference w:id="88"/>
      </w:r>
      <w:r w:rsidRPr="00E96518">
        <w:rPr>
          <w:rFonts w:eastAsia="Times New Roman"/>
          <w:color w:val="003300"/>
          <w:szCs w:val="20"/>
          <w:lang w:val="fr-CA" w:eastAsia="fr-CA"/>
        </w:rPr>
        <w:t xml:space="preserve"> NATURAMA a contribué à l’élaboration et à la mise en œuvre du plan d’aménagement du parc pour les périodes 2003-2007 et 2010-2020. Cet appui a permis la réalisation d’activités de suivi écologique (inventaires de faune et ornithologiques, suivi des habitats); d’activités de lutte contre les feux (réalisation de pare feux, feux précoces); d’activités d’atténuation des pressions sur le parc à travers l’appui aux services forestiers, sous forme de protocoles de collaboration, pour la surveillance du parc; la matérialisation des limites du parc (bornage et signalisation); l’amélioration de la gouvernance du PNKT et de sa zone d’influence à travers la création d’un Forum du parc co-présidé par les gouverneurs du Centre-sud et du Centre-ouest et la réalisation à titre pilote de projets de gouvernance forestière au profit des communes de Pô et de Nobéré; et l’amélioration des conditions de vie des populations locales par la valorisation des produits forestiers non ligneux et la promotion de la Régénération Naturelle Assistée dans les villages riverains du parc.</w:t>
      </w:r>
    </w:p>
    <w:p w14:paraId="18358BE7" w14:textId="77777777" w:rsidR="00302BFE" w:rsidRPr="00E96518" w:rsidRDefault="00302BFE" w:rsidP="00302BFE">
      <w:pPr>
        <w:spacing w:before="120" w:after="120"/>
        <w:rPr>
          <w:szCs w:val="20"/>
          <w:lang w:val="fr-CA"/>
        </w:rPr>
      </w:pPr>
      <w:r w:rsidRPr="00E96518">
        <w:rPr>
          <w:rFonts w:eastAsia="Times New Roman"/>
          <w:color w:val="003300"/>
          <w:szCs w:val="20"/>
          <w:u w:val="single"/>
          <w:lang w:val="fr-CA" w:eastAsia="fr-CA"/>
        </w:rPr>
        <w:t>Aménagements</w:t>
      </w:r>
      <w:r w:rsidRPr="00E96518">
        <w:rPr>
          <w:rFonts w:eastAsia="Times New Roman"/>
          <w:color w:val="003300"/>
          <w:szCs w:val="20"/>
          <w:lang w:val="fr-CA" w:eastAsia="fr-CA"/>
        </w:rPr>
        <w:t xml:space="preserve">. </w:t>
      </w:r>
      <w:r w:rsidRPr="00E96518">
        <w:rPr>
          <w:szCs w:val="20"/>
          <w:lang w:val="fr-CA"/>
        </w:rPr>
        <w:t>La piste périmétrale délimite le PNKT et sert également de référence aux autres aménagements (CAF, Zones Tampon, ZOVIC), de pistes limitrophes. Des panneaux de signalisation ont été installés avec l’appui du PAPSA le long de la piste périmétrale et sur les grandes voies bitumées. Deux pistes centrales Nord-Sud de part et d’autre du cours d’eau, servent à parcourir le PNKT pour les activités de surveillance et d’entretien du parc (feux précoces). Le PNKT est borné avec des balises à chaque kilomètre. Il n’y a pas de pont pour traverser la rivière de telle sorte qu’il faut faire près de 100 km pour atteindre l’autre rive en saison des pluies. Il n’y a pas de retenue d’eau dans le PNKT et toutes les eaux pérennes sont constituées de mares naturelles.</w:t>
      </w:r>
    </w:p>
    <w:p w14:paraId="5944C946" w14:textId="77777777" w:rsidR="00302BFE" w:rsidRPr="00E96518" w:rsidRDefault="00302BFE" w:rsidP="00302BFE">
      <w:pPr>
        <w:spacing w:before="120" w:after="120"/>
        <w:rPr>
          <w:szCs w:val="20"/>
          <w:lang w:val="fr-CA"/>
        </w:rPr>
      </w:pPr>
      <w:r w:rsidRPr="00E96518">
        <w:rPr>
          <w:szCs w:val="20"/>
          <w:u w:val="single"/>
          <w:lang w:val="fr-CA"/>
        </w:rPr>
        <w:t>Suivi écologique</w:t>
      </w:r>
      <w:r w:rsidRPr="00E96518">
        <w:rPr>
          <w:szCs w:val="20"/>
          <w:lang w:val="fr-CA"/>
        </w:rPr>
        <w:t>. Un inventaire faunique a été effectué sur une partie du PNKT en 2014 et le Projet PAPSA a financé un inventaire faunique sur toute la superficie du parc et un inventaire forestier par l’IFN2 en 2016. Des placettes de l’IFN2 y sont matérialisées.</w:t>
      </w:r>
    </w:p>
    <w:p w14:paraId="3EEA70A6" w14:textId="77777777" w:rsidR="00302BFE" w:rsidRPr="00E96518" w:rsidRDefault="00302BFE" w:rsidP="00302BFE">
      <w:pPr>
        <w:spacing w:before="120" w:after="120"/>
        <w:rPr>
          <w:szCs w:val="20"/>
          <w:lang w:val="fr-CA"/>
        </w:rPr>
      </w:pPr>
      <w:r w:rsidRPr="00E96518">
        <w:rPr>
          <w:szCs w:val="20"/>
          <w:u w:val="single"/>
          <w:lang w:val="fr-CA"/>
        </w:rPr>
        <w:t>Lutte anti-braconnage</w:t>
      </w:r>
      <w:r w:rsidRPr="00E96518">
        <w:rPr>
          <w:b/>
          <w:szCs w:val="20"/>
          <w:lang w:val="fr-CA"/>
        </w:rPr>
        <w:t xml:space="preserve">. </w:t>
      </w:r>
      <w:r w:rsidRPr="00E96518">
        <w:rPr>
          <w:szCs w:val="20"/>
          <w:lang w:val="fr-CA"/>
        </w:rPr>
        <w:t>Plus d’une quarantaine d’agents en charge de la LAB participent à la protection du parc, incluant des postes forestiers tout autour du PNKT et dans les Communes riveraines, des brigades de surveillance de 7 agents dotées d’une base-vie à PigYiri (appélé Kiékiéli) et de 5 agents forestiers à Nobéré. Ces postes effectuent au minimum trois (3) sorties par mois.</w:t>
      </w:r>
    </w:p>
    <w:p w14:paraId="42F07190" w14:textId="1219FF53" w:rsidR="00302BFE" w:rsidRPr="00E96518" w:rsidRDefault="00302BFE" w:rsidP="00302BFE">
      <w:pPr>
        <w:spacing w:before="120" w:after="120"/>
        <w:rPr>
          <w:rFonts w:eastAsia="Times New Roman"/>
          <w:color w:val="003300"/>
          <w:szCs w:val="20"/>
          <w:lang w:val="fr-CA" w:eastAsia="fr-CA"/>
        </w:rPr>
      </w:pPr>
      <w:r w:rsidRPr="00E96518">
        <w:rPr>
          <w:rFonts w:eastAsia="Times New Roman"/>
          <w:color w:val="003300"/>
          <w:szCs w:val="20"/>
          <w:u w:val="single"/>
          <w:lang w:val="fr-CA" w:eastAsia="fr-CA"/>
        </w:rPr>
        <w:t>Appuis</w:t>
      </w:r>
      <w:r w:rsidRPr="00E96518">
        <w:rPr>
          <w:rFonts w:eastAsia="Times New Roman"/>
          <w:color w:val="003300"/>
          <w:szCs w:val="20"/>
          <w:lang w:val="fr-CA" w:eastAsia="fr-CA"/>
        </w:rPr>
        <w:t xml:space="preserve">. En 2003, le parc a bénéficié d’un appui du Projet de Partenariat pour l'Amélioration de la Gestion des Ecosystèmes Naturels (PAGEN) qui a permis un changement notable avec l'ouverture des pistes, la conception et la mise en œuvre d'une stratégie de surveillance (budget d’environ 700 millions francs CFA </w:t>
      </w:r>
      <w:r w:rsidR="005E13EB">
        <w:rPr>
          <w:rFonts w:eastAsia="Times New Roman"/>
          <w:color w:val="003300"/>
          <w:szCs w:val="20"/>
          <w:lang w:val="fr-CA" w:eastAsia="fr-CA"/>
        </w:rPr>
        <w:t xml:space="preserve">ou approximativement 1 190 000 $US) </w:t>
      </w:r>
      <w:r w:rsidRPr="00E96518">
        <w:rPr>
          <w:rFonts w:eastAsia="Times New Roman"/>
          <w:color w:val="003300"/>
          <w:szCs w:val="20"/>
          <w:lang w:val="fr-CA" w:eastAsia="fr-CA"/>
        </w:rPr>
        <w:t xml:space="preserve">sur la période 2003-2007. </w:t>
      </w:r>
      <w:r>
        <w:rPr>
          <w:lang w:val="fr-CA"/>
        </w:rPr>
        <w:t>Les p</w:t>
      </w:r>
      <w:r w:rsidRPr="00971523">
        <w:rPr>
          <w:lang w:val="fr-CA"/>
        </w:rPr>
        <w:t>rincipaux aménagements effectués dans le PNKT dans le cadre du PAGEN</w:t>
      </w:r>
      <w:r>
        <w:rPr>
          <w:lang w:val="fr-CA"/>
        </w:rPr>
        <w:t xml:space="preserve"> incluent 120 km d’ouverture de pistes, l’installation de 8 p</w:t>
      </w:r>
      <w:r w:rsidRPr="00971523">
        <w:rPr>
          <w:lang w:val="fr-CA"/>
        </w:rPr>
        <w:t>anneaux</w:t>
      </w:r>
      <w:r>
        <w:rPr>
          <w:lang w:val="fr-CA"/>
        </w:rPr>
        <w:t xml:space="preserve"> et de 57 b</w:t>
      </w:r>
      <w:r w:rsidRPr="00971523">
        <w:rPr>
          <w:lang w:val="fr-CA"/>
        </w:rPr>
        <w:t>ornes</w:t>
      </w:r>
      <w:r>
        <w:rPr>
          <w:lang w:val="fr-CA"/>
        </w:rPr>
        <w:t xml:space="preserve">. </w:t>
      </w:r>
      <w:r w:rsidRPr="00E96518">
        <w:rPr>
          <w:rFonts w:eastAsia="Times New Roman"/>
          <w:color w:val="003300"/>
          <w:szCs w:val="20"/>
          <w:lang w:val="fr-CA" w:eastAsia="fr-CA"/>
        </w:rPr>
        <w:t xml:space="preserve">L’intervention de NATURAMA et du PAGEN a contribué à l’amélioration des revenus mensuels d’environ 500 personnes (augmentation d’environ 30 000 </w:t>
      </w:r>
      <w:r w:rsidR="005E13EB">
        <w:rPr>
          <w:rFonts w:eastAsia="Times New Roman"/>
          <w:color w:val="003300"/>
          <w:szCs w:val="20"/>
          <w:lang w:val="fr-CA" w:eastAsia="fr-CA"/>
        </w:rPr>
        <w:t>F</w:t>
      </w:r>
      <w:r w:rsidRPr="00E96518">
        <w:rPr>
          <w:rFonts w:eastAsia="Times New Roman"/>
          <w:color w:val="003300"/>
          <w:szCs w:val="20"/>
          <w:lang w:val="fr-CA" w:eastAsia="fr-CA"/>
        </w:rPr>
        <w:t>CFA/personne/mois</w:t>
      </w:r>
      <w:r w:rsidR="005E13EB">
        <w:rPr>
          <w:rFonts w:eastAsia="Times New Roman"/>
          <w:color w:val="003300"/>
          <w:szCs w:val="20"/>
          <w:lang w:val="fr-CA" w:eastAsia="fr-CA"/>
        </w:rPr>
        <w:t xml:space="preserve"> – approx. 51 $US</w:t>
      </w:r>
      <w:r w:rsidRPr="00E96518">
        <w:rPr>
          <w:rFonts w:eastAsia="Times New Roman"/>
          <w:color w:val="003300"/>
          <w:szCs w:val="20"/>
          <w:lang w:val="fr-CA" w:eastAsia="fr-CA"/>
        </w:rPr>
        <w:t xml:space="preserve">), réduisant ainsi la pauvreté au niveau rural. </w:t>
      </w:r>
    </w:p>
    <w:p w14:paraId="1D417250" w14:textId="77777777" w:rsidR="00302BFE" w:rsidRPr="00E96518" w:rsidRDefault="00302BFE" w:rsidP="00302BFE">
      <w:pPr>
        <w:spacing w:before="120" w:after="120"/>
        <w:rPr>
          <w:szCs w:val="20"/>
          <w:lang w:val="fr-CA"/>
        </w:rPr>
      </w:pPr>
      <w:r w:rsidRPr="00E96518">
        <w:rPr>
          <w:szCs w:val="20"/>
          <w:u w:val="single"/>
          <w:lang w:val="fr-CA"/>
        </w:rPr>
        <w:t>Menaces</w:t>
      </w:r>
      <w:r w:rsidRPr="00E96518">
        <w:rPr>
          <w:szCs w:val="20"/>
          <w:lang w:val="fr-CA"/>
        </w:rPr>
        <w:t>. Le PNKT est menacé par l’exploitation illégale des ressources naturelles comme la pêche, la collecte de fourrage, de produits forestiers non ligneux, de produits de la pharmacopée traditionnelle, la collecte des colonies de termites pour les poussins, la collecte des balais, le ramassage du sable et des agrégats, et le braconnage de la faune.</w:t>
      </w:r>
    </w:p>
    <w:p w14:paraId="72CB2819" w14:textId="77777777" w:rsidR="00302BFE" w:rsidRPr="00E96518" w:rsidRDefault="00302BFE" w:rsidP="00302BFE">
      <w:pPr>
        <w:spacing w:before="120" w:after="120"/>
        <w:rPr>
          <w:b/>
          <w:szCs w:val="20"/>
          <w:lang w:val="fr-CA"/>
        </w:rPr>
      </w:pPr>
      <w:r w:rsidRPr="00E96518">
        <w:rPr>
          <w:b/>
          <w:szCs w:val="20"/>
          <w:lang w:val="fr-CA"/>
        </w:rPr>
        <w:t>Corridors</w:t>
      </w:r>
    </w:p>
    <w:p w14:paraId="76CE3A65" w14:textId="359A9E52" w:rsidR="00302BFE" w:rsidRDefault="00302BFE" w:rsidP="00302BFE">
      <w:pPr>
        <w:spacing w:before="120" w:after="120"/>
        <w:rPr>
          <w:szCs w:val="20"/>
          <w:lang w:val="fr-CA"/>
        </w:rPr>
      </w:pPr>
      <w:r w:rsidRPr="00714F9A">
        <w:rPr>
          <w:rFonts w:eastAsia="Times New Roman"/>
          <w:color w:val="003300"/>
          <w:szCs w:val="20"/>
          <w:lang w:val="fr-CA" w:eastAsia="fr-CA"/>
        </w:rPr>
        <w:t xml:space="preserve">Dans le cadre du projet PAGEN, des corridors reliant le PNKT au Ranch de Gibier de Nazinga (corridor #1 - 4 500 ha) et le </w:t>
      </w:r>
      <w:r w:rsidRPr="00714F9A">
        <w:rPr>
          <w:szCs w:val="20"/>
          <w:lang w:val="fr-CA"/>
        </w:rPr>
        <w:t xml:space="preserve">sud-est du PNKT au nord du </w:t>
      </w:r>
      <w:r w:rsidRPr="00714F9A">
        <w:rPr>
          <w:rFonts w:eastAsia="Times New Roman"/>
          <w:color w:val="003300"/>
          <w:szCs w:val="20"/>
          <w:lang w:val="fr-CA" w:eastAsia="fr-CA"/>
        </w:rPr>
        <w:t xml:space="preserve">corridor Red Volta Valley du Ghana (corridor #2 - 33 000 ha) ont été créés et </w:t>
      </w:r>
      <w:r w:rsidRPr="00714F9A">
        <w:rPr>
          <w:lang w:val="fr-CA"/>
        </w:rPr>
        <w:t xml:space="preserve">physiquement </w:t>
      </w:r>
      <w:r w:rsidRPr="00714F9A">
        <w:rPr>
          <w:rFonts w:eastAsia="Times New Roman"/>
          <w:color w:val="003300"/>
          <w:szCs w:val="20"/>
          <w:lang w:val="fr-CA" w:eastAsia="fr-CA"/>
        </w:rPr>
        <w:t xml:space="preserve">délimités à travers un processus de négociations impliquant les communautés locales, les responsables administratifs, les maires, et les responsables coutumiers. Les avant-projets de statut avaient été élaborés et soumis à l’autorité compétente. </w:t>
      </w:r>
      <w:r w:rsidRPr="00714F9A">
        <w:rPr>
          <w:szCs w:val="20"/>
          <w:lang w:val="fr-CA"/>
        </w:rPr>
        <w:t>Malheureusement les documents qui devaient formaliser le classement de ces corridors en tant qu’aires protégées de l’État n’ont pas été élaborés et approuvés par les différentes parties (Collectivités Territoriales, État et Société Civile)</w:t>
      </w:r>
      <w:r w:rsidRPr="00714F9A">
        <w:rPr>
          <w:rFonts w:eastAsia="Times New Roman"/>
          <w:color w:val="003300"/>
          <w:szCs w:val="20"/>
          <w:lang w:val="fr-CA" w:eastAsia="fr-CA"/>
        </w:rPr>
        <w:t xml:space="preserve"> de telle sorte que l</w:t>
      </w:r>
      <w:r w:rsidRPr="00714F9A">
        <w:rPr>
          <w:szCs w:val="20"/>
          <w:lang w:val="fr-CA"/>
        </w:rPr>
        <w:t xml:space="preserve">es corridors au sein du complexe d’APs PONASI n’ont pas encore de statut clair. </w:t>
      </w:r>
      <w:bookmarkStart w:id="81" w:name="_Hlk14428645"/>
      <w:r w:rsidRPr="00714F9A">
        <w:rPr>
          <w:szCs w:val="20"/>
          <w:lang w:val="fr-CA"/>
        </w:rPr>
        <w:t xml:space="preserve">L’État burkinabè, à travers le Projet PAGEN avait dédommagé une partie des occupants en leur </w:t>
      </w:r>
      <w:r w:rsidRPr="00714F9A">
        <w:rPr>
          <w:szCs w:val="20"/>
          <w:lang w:val="fr-CA"/>
        </w:rPr>
        <w:lastRenderedPageBreak/>
        <w:t xml:space="preserve">demandant de quitter les corridors 1 et 2. </w:t>
      </w:r>
      <w:r w:rsidRPr="00714F9A">
        <w:rPr>
          <w:lang w:val="fr-CA"/>
        </w:rPr>
        <w:t xml:space="preserve">Le processus de négociation pour la création des corridors a permis d’identifier </w:t>
      </w:r>
      <w:r w:rsidRPr="00714F9A">
        <w:rPr>
          <w:bCs/>
          <w:lang w:val="fr-CA"/>
        </w:rPr>
        <w:t>2 697</w:t>
      </w:r>
      <w:r w:rsidRPr="00714F9A">
        <w:rPr>
          <w:b/>
          <w:bCs/>
          <w:lang w:val="fr-CA"/>
        </w:rPr>
        <w:t xml:space="preserve"> </w:t>
      </w:r>
      <w:r w:rsidRPr="00714F9A">
        <w:rPr>
          <w:lang w:val="fr-CA"/>
        </w:rPr>
        <w:t xml:space="preserve">producteurs qui ont été délocalisés dont </w:t>
      </w:r>
      <w:r w:rsidRPr="00714F9A">
        <w:rPr>
          <w:bCs/>
          <w:lang w:val="fr-CA"/>
        </w:rPr>
        <w:t>1 764</w:t>
      </w:r>
      <w:r w:rsidRPr="00714F9A">
        <w:rPr>
          <w:lang w:val="fr-CA"/>
        </w:rPr>
        <w:t xml:space="preserve"> (65%) ont été appuyés par le PAGEN pour leur réinstallation. À la fin du projet, </w:t>
      </w:r>
      <w:r w:rsidRPr="00714F9A">
        <w:rPr>
          <w:bCs/>
          <w:lang w:val="fr-CA"/>
        </w:rPr>
        <w:t>46 000 000</w:t>
      </w:r>
      <w:r w:rsidRPr="00714F9A">
        <w:rPr>
          <w:lang w:val="fr-CA"/>
        </w:rPr>
        <w:t xml:space="preserve"> FCFA</w:t>
      </w:r>
      <w:r w:rsidRPr="00714F9A">
        <w:rPr>
          <w:rStyle w:val="Appelnotedebasdep"/>
        </w:rPr>
        <w:footnoteReference w:id="89"/>
      </w:r>
      <w:r w:rsidRPr="00714F9A">
        <w:rPr>
          <w:lang w:val="fr-CA"/>
        </w:rPr>
        <w:t xml:space="preserve"> </w:t>
      </w:r>
      <w:r w:rsidR="005E13EB">
        <w:rPr>
          <w:lang w:val="fr-CA"/>
        </w:rPr>
        <w:t xml:space="preserve">(approx 78 200 $US) </w:t>
      </w:r>
      <w:r w:rsidRPr="00714F9A">
        <w:rPr>
          <w:lang w:val="fr-CA"/>
        </w:rPr>
        <w:t xml:space="preserve">avaient été alloués pour cet appui, </w:t>
      </w:r>
      <w:r w:rsidRPr="00714F9A">
        <w:rPr>
          <w:bCs/>
          <w:lang w:val="fr-CA"/>
        </w:rPr>
        <w:t>5 forages</w:t>
      </w:r>
      <w:r w:rsidRPr="00714F9A">
        <w:rPr>
          <w:lang w:val="fr-CA"/>
        </w:rPr>
        <w:t xml:space="preserve"> avaient été effectués dans les zones d’accueil des populations déplacées et de nouvelles terres avaient été affectées aux 770 producteurs qui occupaient illégalement les berges des cours d’eau. </w:t>
      </w:r>
      <w:r w:rsidRPr="00714F9A">
        <w:rPr>
          <w:bCs/>
          <w:lang w:val="fr-CA"/>
        </w:rPr>
        <w:t>Parmi les difficultés majeures qui ont affecté la mise en œuvre du projet PAGEN</w:t>
      </w:r>
      <w:r w:rsidRPr="00714F9A">
        <w:rPr>
          <w:rStyle w:val="Appelnotedebasdep"/>
          <w:bCs/>
          <w:lang w:val="fr-CA"/>
        </w:rPr>
        <w:footnoteReference w:id="90"/>
      </w:r>
      <w:r w:rsidRPr="00714F9A">
        <w:rPr>
          <w:bCs/>
          <w:lang w:val="fr-CA"/>
        </w:rPr>
        <w:t>, le rapport d’évaluation finale souligne que les mesures d’accompagnement des personnes affectées par la création des corridors n’avaient pas été à la hauteur de leurs attentes.</w:t>
      </w:r>
      <w:bookmarkEnd w:id="81"/>
    </w:p>
    <w:p w14:paraId="60A32382" w14:textId="77777777" w:rsidR="00302BFE" w:rsidRPr="00E96518" w:rsidRDefault="00302BFE" w:rsidP="00302BFE">
      <w:pPr>
        <w:spacing w:before="120" w:after="120"/>
        <w:rPr>
          <w:bCs/>
          <w:szCs w:val="20"/>
          <w:lang w:val="fr-CA"/>
        </w:rPr>
      </w:pPr>
      <w:r w:rsidRPr="00E96518">
        <w:rPr>
          <w:bCs/>
          <w:szCs w:val="20"/>
          <w:lang w:val="fr-CA"/>
        </w:rPr>
        <w:t>Il n’y a pas de structure en place pour la gestion des corridors, en dehors de la surveillance faite par les agents des postes forestiers. Ces agents sortent une ou deux fois par semaine pour la surveillance des corridors, mais leurs activités de répression sont limitées par l’absence de textes juridiques statuant sur le classement des corridors</w:t>
      </w:r>
      <w:r>
        <w:rPr>
          <w:bCs/>
          <w:szCs w:val="20"/>
          <w:lang w:val="fr-CA"/>
        </w:rPr>
        <w:t>.</w:t>
      </w:r>
    </w:p>
    <w:p w14:paraId="6D9624F0" w14:textId="77777777" w:rsidR="00302BFE" w:rsidRPr="00E96518" w:rsidRDefault="00302BFE" w:rsidP="00302BFE">
      <w:pPr>
        <w:spacing w:before="120" w:after="120"/>
        <w:rPr>
          <w:bCs/>
          <w:szCs w:val="20"/>
          <w:lang w:val="fr-CA"/>
        </w:rPr>
      </w:pPr>
      <w:r w:rsidRPr="00E96518">
        <w:rPr>
          <w:bCs/>
          <w:szCs w:val="20"/>
          <w:lang w:val="fr-CA"/>
        </w:rPr>
        <w:t>Il n’y a pas d’outils de collecte ou de capitalisation des données ou des observations faites par les surveillants ou les agents forestiers comme les cahiers de brousse, les relevés des mouvements de la faune, ou le suivi des animaux braconnées (carcasses, douilles de fusils, etc), qui peuvent permettre de suivre l’évolution et/ou la tendance des actions illicites dans les corridors</w:t>
      </w:r>
      <w:r>
        <w:rPr>
          <w:bCs/>
          <w:szCs w:val="20"/>
          <w:lang w:val="fr-CA"/>
        </w:rPr>
        <w:t>.</w:t>
      </w:r>
    </w:p>
    <w:p w14:paraId="34140EEA" w14:textId="77777777" w:rsidR="00302BFE" w:rsidRPr="00E96518" w:rsidRDefault="00302BFE" w:rsidP="00302BFE">
      <w:pPr>
        <w:spacing w:before="120" w:after="120"/>
        <w:rPr>
          <w:szCs w:val="20"/>
          <w:lang w:val="fr-CA"/>
        </w:rPr>
      </w:pPr>
      <w:r w:rsidRPr="00445C1E">
        <w:rPr>
          <w:b/>
          <w:szCs w:val="20"/>
          <w:lang w:val="fr-CA"/>
        </w:rPr>
        <w:t xml:space="preserve">Corridor No </w:t>
      </w:r>
      <w:r>
        <w:rPr>
          <w:b/>
          <w:szCs w:val="20"/>
          <w:lang w:val="fr-CA"/>
        </w:rPr>
        <w:t>1</w:t>
      </w:r>
      <w:r w:rsidRPr="00445C1E">
        <w:rPr>
          <w:b/>
          <w:szCs w:val="20"/>
          <w:lang w:val="fr-CA"/>
        </w:rPr>
        <w:t>.</w:t>
      </w:r>
      <w:r>
        <w:rPr>
          <w:b/>
          <w:szCs w:val="20"/>
          <w:lang w:val="fr-CA"/>
        </w:rPr>
        <w:t xml:space="preserve"> </w:t>
      </w:r>
      <w:r w:rsidRPr="00E96518">
        <w:rPr>
          <w:szCs w:val="20"/>
          <w:u w:val="single"/>
          <w:lang w:val="fr-CA"/>
        </w:rPr>
        <w:t>Biodiversité</w:t>
      </w:r>
      <w:r>
        <w:rPr>
          <w:szCs w:val="20"/>
          <w:lang w:val="fr-CA"/>
        </w:rPr>
        <w:t xml:space="preserve">. </w:t>
      </w:r>
      <w:r w:rsidRPr="00E96518">
        <w:rPr>
          <w:szCs w:val="20"/>
          <w:lang w:val="fr-CA"/>
        </w:rPr>
        <w:t>Dans le corridor N°1, la végétation est assez bien conservée</w:t>
      </w:r>
      <w:r>
        <w:rPr>
          <w:szCs w:val="20"/>
          <w:lang w:val="fr-CA"/>
        </w:rPr>
        <w:t>.</w:t>
      </w:r>
      <w:r w:rsidRPr="00E96518">
        <w:rPr>
          <w:szCs w:val="20"/>
          <w:lang w:val="fr-CA"/>
        </w:rPr>
        <w:t xml:space="preserve"> </w:t>
      </w:r>
      <w:r w:rsidRPr="00E96518">
        <w:rPr>
          <w:szCs w:val="20"/>
          <w:u w:val="single"/>
          <w:lang w:val="fr-CA"/>
        </w:rPr>
        <w:t>Menaces</w:t>
      </w:r>
      <w:r>
        <w:rPr>
          <w:szCs w:val="20"/>
          <w:lang w:val="fr-CA"/>
        </w:rPr>
        <w:t>. La végétation est menacée par</w:t>
      </w:r>
      <w:r w:rsidRPr="00E96518">
        <w:rPr>
          <w:szCs w:val="20"/>
          <w:lang w:val="fr-CA"/>
        </w:rPr>
        <w:t xml:space="preserve"> les pratiques d’exploitation des fruits immatures et le pâturage des animaux. </w:t>
      </w:r>
      <w:r w:rsidRPr="00E96518">
        <w:rPr>
          <w:bCs/>
          <w:szCs w:val="20"/>
          <w:lang w:val="fr-CA"/>
        </w:rPr>
        <w:t>Les populations surexploitent les fruits sauvages souvent cueillis à l’état immature dans les corridors, le pâturage à travers la divagation des animaux et la coupe du bois vert. Ces mauvaises pratiquent compromettent la régénération naturelle et même la survie des jeunes pieds fourragers, à travers les élagages.</w:t>
      </w:r>
    </w:p>
    <w:p w14:paraId="008CE713" w14:textId="77777777" w:rsidR="00302BFE" w:rsidRPr="00E96518" w:rsidRDefault="00302BFE" w:rsidP="00302BFE">
      <w:pPr>
        <w:spacing w:before="120" w:after="120"/>
        <w:rPr>
          <w:szCs w:val="20"/>
          <w:lang w:val="fr-CA"/>
        </w:rPr>
      </w:pPr>
      <w:r w:rsidRPr="00445C1E">
        <w:rPr>
          <w:b/>
          <w:szCs w:val="20"/>
          <w:lang w:val="fr-CA"/>
        </w:rPr>
        <w:t>Corridor No 2.</w:t>
      </w:r>
      <w:r>
        <w:rPr>
          <w:b/>
          <w:szCs w:val="20"/>
          <w:lang w:val="fr-CA"/>
        </w:rPr>
        <w:t xml:space="preserve"> </w:t>
      </w:r>
      <w:r w:rsidRPr="00E96518">
        <w:rPr>
          <w:szCs w:val="20"/>
          <w:u w:val="single"/>
          <w:lang w:val="fr-CA"/>
        </w:rPr>
        <w:t>Biodiversité</w:t>
      </w:r>
      <w:r>
        <w:rPr>
          <w:szCs w:val="20"/>
          <w:lang w:val="fr-CA"/>
        </w:rPr>
        <w:t xml:space="preserve">. </w:t>
      </w:r>
      <w:r w:rsidRPr="00E96518">
        <w:rPr>
          <w:szCs w:val="20"/>
          <w:lang w:val="fr-CA"/>
        </w:rPr>
        <w:t>De nombreuses espèces fauniques font l’objet d’un braconnage intensif et on ne retrouve plus que des espèces comme les francolins et les éléphants</w:t>
      </w:r>
      <w:r>
        <w:rPr>
          <w:szCs w:val="20"/>
          <w:lang w:val="fr-CA"/>
        </w:rPr>
        <w:t>.</w:t>
      </w:r>
      <w:r w:rsidRPr="00E96518">
        <w:rPr>
          <w:szCs w:val="20"/>
          <w:lang w:val="fr-CA"/>
        </w:rPr>
        <w:t xml:space="preserve"> Par contre</w:t>
      </w:r>
      <w:r>
        <w:rPr>
          <w:szCs w:val="20"/>
          <w:lang w:val="fr-CA"/>
        </w:rPr>
        <w:t>,</w:t>
      </w:r>
      <w:r w:rsidRPr="00E96518">
        <w:rPr>
          <w:szCs w:val="20"/>
          <w:lang w:val="fr-CA"/>
        </w:rPr>
        <w:t xml:space="preserve"> avec la présence du poste forestier dans le corridor n°1, on rencontre quelques espèces de petites antilopes, des éléphants et des singes.</w:t>
      </w:r>
      <w:r>
        <w:rPr>
          <w:szCs w:val="20"/>
          <w:lang w:val="fr-CA"/>
        </w:rPr>
        <w:t xml:space="preserve"> </w:t>
      </w:r>
      <w:r w:rsidRPr="00E96518">
        <w:rPr>
          <w:szCs w:val="20"/>
          <w:u w:val="single"/>
          <w:lang w:val="fr-CA"/>
        </w:rPr>
        <w:t>Menaces</w:t>
      </w:r>
      <w:r>
        <w:rPr>
          <w:szCs w:val="20"/>
          <w:lang w:val="fr-CA"/>
        </w:rPr>
        <w:t xml:space="preserve">. </w:t>
      </w:r>
      <w:r w:rsidRPr="00E96518">
        <w:rPr>
          <w:szCs w:val="20"/>
          <w:lang w:val="fr-CA"/>
        </w:rPr>
        <w:t xml:space="preserve">Au </w:t>
      </w:r>
      <w:r>
        <w:rPr>
          <w:szCs w:val="20"/>
          <w:lang w:val="fr-CA"/>
        </w:rPr>
        <w:t>sein</w:t>
      </w:r>
      <w:r w:rsidRPr="00E96518">
        <w:rPr>
          <w:szCs w:val="20"/>
          <w:lang w:val="fr-CA"/>
        </w:rPr>
        <w:t xml:space="preserve"> du corridor n°2, la rivière constitue un site écologique important en raison de la permanence d’eau dans le lit du Nazinon. La rivière Nazinon dispose d’une eau de bonne qualité et abondante et ne déborde pas de son lit. Le fonctionnement de l’écosystème est perturbé par la surexploitation du bois vert, et les pratiques d’élagages des espèces fourragères par le bétail et par le surpâturage des animaux domestiques. En outre, cette rivière navigable dans la partie sud du corridor est utilisée par les braconniers pour l’abattage des éléphants. Dans ce corridor n°2, les terres, jadis surexploités par les communautés locales, sont dégradées et la restauration des sols et de la végétation </w:t>
      </w:r>
      <w:r>
        <w:rPr>
          <w:szCs w:val="20"/>
          <w:lang w:val="fr-CA"/>
        </w:rPr>
        <w:t>est</w:t>
      </w:r>
      <w:r w:rsidRPr="00E96518">
        <w:rPr>
          <w:szCs w:val="20"/>
          <w:lang w:val="fr-CA"/>
        </w:rPr>
        <w:t xml:space="preserve"> une priorité. Le Projet PAPSA a permis la récupération d’environ 80</w:t>
      </w:r>
      <w:r>
        <w:rPr>
          <w:szCs w:val="20"/>
          <w:lang w:val="fr-CA"/>
        </w:rPr>
        <w:t> </w:t>
      </w:r>
      <w:r w:rsidRPr="00E96518">
        <w:rPr>
          <w:szCs w:val="20"/>
          <w:lang w:val="fr-CA"/>
        </w:rPr>
        <w:t xml:space="preserve">ha de sols dégradés </w:t>
      </w:r>
      <w:r>
        <w:rPr>
          <w:szCs w:val="20"/>
          <w:lang w:val="fr-CA"/>
        </w:rPr>
        <w:t xml:space="preserve">au sein </w:t>
      </w:r>
      <w:r w:rsidRPr="00E96518">
        <w:rPr>
          <w:szCs w:val="20"/>
          <w:lang w:val="fr-CA"/>
        </w:rPr>
        <w:t>d</w:t>
      </w:r>
      <w:r>
        <w:rPr>
          <w:szCs w:val="20"/>
          <w:lang w:val="fr-CA"/>
        </w:rPr>
        <w:t xml:space="preserve">e ce </w:t>
      </w:r>
      <w:r w:rsidRPr="00E96518">
        <w:rPr>
          <w:szCs w:val="20"/>
          <w:lang w:val="fr-CA"/>
        </w:rPr>
        <w:t>corridor.</w:t>
      </w:r>
      <w:r w:rsidRPr="00445C1E">
        <w:rPr>
          <w:szCs w:val="20"/>
          <w:lang w:val="fr-CA"/>
        </w:rPr>
        <w:t xml:space="preserve"> </w:t>
      </w:r>
      <w:r w:rsidRPr="00E96518">
        <w:rPr>
          <w:szCs w:val="20"/>
          <w:lang w:val="fr-CA"/>
        </w:rPr>
        <w:t>Les conflits hommes-faune sont fréquents dans les villages limitrophes du corridor N°2. Toutefois les conflits sont mieux supportés au Burkina Faso, que dans les villages limitrophes au Ghana où les éléphants sont systématiquement abattus.</w:t>
      </w:r>
      <w:r>
        <w:rPr>
          <w:szCs w:val="20"/>
          <w:lang w:val="fr-CA"/>
        </w:rPr>
        <w:t xml:space="preserve"> </w:t>
      </w:r>
      <w:r w:rsidRPr="00E96518">
        <w:rPr>
          <w:szCs w:val="20"/>
          <w:u w:val="single"/>
          <w:lang w:val="fr-CA"/>
        </w:rPr>
        <w:t>Aménagement</w:t>
      </w:r>
      <w:r>
        <w:rPr>
          <w:szCs w:val="20"/>
          <w:lang w:val="fr-CA"/>
        </w:rPr>
        <w:t xml:space="preserve">. </w:t>
      </w:r>
      <w:r w:rsidRPr="00E96518">
        <w:rPr>
          <w:szCs w:val="20"/>
          <w:lang w:val="fr-CA"/>
        </w:rPr>
        <w:t xml:space="preserve">Le corridor 2 n’est pas balisé, il n’y a pas de piste à l’intérieur et pas d’entretien. Il existe de petites bornes, </w:t>
      </w:r>
      <w:r>
        <w:rPr>
          <w:szCs w:val="20"/>
          <w:lang w:val="fr-CA"/>
        </w:rPr>
        <w:t>peu</w:t>
      </w:r>
      <w:r w:rsidRPr="00E96518">
        <w:rPr>
          <w:szCs w:val="20"/>
          <w:lang w:val="fr-CA"/>
        </w:rPr>
        <w:t xml:space="preserve"> visibles. </w:t>
      </w:r>
    </w:p>
    <w:p w14:paraId="388982FE" w14:textId="77777777" w:rsidR="00302BFE" w:rsidRPr="00D51368" w:rsidRDefault="00302BFE" w:rsidP="00302BFE">
      <w:pPr>
        <w:pStyle w:val="Paragraphedeliste"/>
        <w:tabs>
          <w:tab w:val="left" w:pos="284"/>
        </w:tabs>
        <w:spacing w:before="120" w:after="120"/>
        <w:ind w:left="0"/>
        <w:jc w:val="both"/>
        <w:rPr>
          <w:rFonts w:ascii="Calibri" w:hAnsi="Calibri"/>
          <w:sz w:val="20"/>
          <w:szCs w:val="20"/>
          <w:lang w:val="fr-CA"/>
        </w:rPr>
      </w:pPr>
      <w:r w:rsidRPr="00D51368">
        <w:rPr>
          <w:rFonts w:ascii="Calibri" w:hAnsi="Calibri"/>
          <w:b/>
          <w:sz w:val="20"/>
          <w:szCs w:val="20"/>
          <w:lang w:val="fr-CA"/>
        </w:rPr>
        <w:t>Populations au sein de l’aire paysagère PONASI</w:t>
      </w:r>
    </w:p>
    <w:p w14:paraId="0E7321DE" w14:textId="63599879" w:rsidR="00302BFE" w:rsidRPr="00D51368" w:rsidRDefault="00302BFE" w:rsidP="00302BFE">
      <w:pPr>
        <w:rPr>
          <w:szCs w:val="20"/>
          <w:lang w:val="fr-CA"/>
        </w:rPr>
      </w:pPr>
      <w:r w:rsidRPr="00D51368">
        <w:rPr>
          <w:szCs w:val="20"/>
          <w:lang w:val="fr-CA"/>
        </w:rPr>
        <w:t>Autour du Ranch de gibier de Nazinga</w:t>
      </w:r>
      <w:r>
        <w:rPr>
          <w:szCs w:val="20"/>
          <w:lang w:val="fr-CA"/>
        </w:rPr>
        <w:t>,</w:t>
      </w:r>
      <w:r w:rsidRPr="006E5CB3">
        <w:rPr>
          <w:szCs w:val="20"/>
          <w:lang w:val="fr-CA"/>
        </w:rPr>
        <w:t xml:space="preserve"> </w:t>
      </w:r>
      <w:r>
        <w:rPr>
          <w:szCs w:val="20"/>
          <w:lang w:val="fr-CA"/>
        </w:rPr>
        <w:t xml:space="preserve">les </w:t>
      </w:r>
      <w:r w:rsidRPr="006E5CB3">
        <w:rPr>
          <w:szCs w:val="20"/>
          <w:lang w:val="fr-CA"/>
        </w:rPr>
        <w:t>Gourounsi</w:t>
      </w:r>
      <w:r w:rsidRPr="00D51368">
        <w:rPr>
          <w:szCs w:val="20"/>
          <w:lang w:val="fr-CA"/>
        </w:rPr>
        <w:t xml:space="preserve"> constituent le groupe ethnique majoritaire (93%), en plus des </w:t>
      </w:r>
      <w:r>
        <w:rPr>
          <w:szCs w:val="20"/>
          <w:lang w:val="fr-CA"/>
        </w:rPr>
        <w:t>Mossi</w:t>
      </w:r>
      <w:r w:rsidRPr="00D51368">
        <w:rPr>
          <w:szCs w:val="20"/>
          <w:lang w:val="fr-CA"/>
        </w:rPr>
        <w:t xml:space="preserve"> (4%), Bissa (2%) et Peul (1%)</w:t>
      </w:r>
      <w:r w:rsidRPr="00D51368">
        <w:rPr>
          <w:rStyle w:val="Appelnotedebasdep"/>
          <w:szCs w:val="20"/>
        </w:rPr>
        <w:footnoteReference w:id="91"/>
      </w:r>
      <w:r w:rsidRPr="00D51368">
        <w:rPr>
          <w:szCs w:val="20"/>
          <w:lang w:val="fr-CA"/>
        </w:rPr>
        <w:t>.</w:t>
      </w:r>
      <w:r>
        <w:rPr>
          <w:szCs w:val="20"/>
          <w:lang w:val="fr-CA"/>
        </w:rPr>
        <w:t xml:space="preserve"> Les </w:t>
      </w:r>
      <w:r w:rsidRPr="006E5CB3">
        <w:rPr>
          <w:szCs w:val="20"/>
          <w:lang w:val="fr-CA"/>
        </w:rPr>
        <w:t>Gourounsi</w:t>
      </w:r>
      <w:r>
        <w:rPr>
          <w:rStyle w:val="Appelnotedebasdep"/>
          <w:szCs w:val="20"/>
        </w:rPr>
        <w:footnoteReference w:id="92"/>
      </w:r>
      <w:r w:rsidRPr="006E5CB3">
        <w:rPr>
          <w:szCs w:val="20"/>
          <w:lang w:val="fr-CA"/>
        </w:rPr>
        <w:t xml:space="preserve"> regroup</w:t>
      </w:r>
      <w:r>
        <w:rPr>
          <w:szCs w:val="20"/>
          <w:lang w:val="fr-CA"/>
        </w:rPr>
        <w:t>e</w:t>
      </w:r>
      <w:r w:rsidRPr="006E5CB3">
        <w:rPr>
          <w:szCs w:val="20"/>
          <w:lang w:val="fr-CA"/>
        </w:rPr>
        <w:t>nt notamment les Nuna et les Kasséna qui occupent les provin</w:t>
      </w:r>
      <w:r w:rsidR="0076644E">
        <w:rPr>
          <w:szCs w:val="20"/>
          <w:lang w:val="fr-CA"/>
        </w:rPr>
        <w:t>c</w:t>
      </w:r>
      <w:r w:rsidRPr="006E5CB3">
        <w:rPr>
          <w:szCs w:val="20"/>
          <w:lang w:val="fr-CA"/>
        </w:rPr>
        <w:t xml:space="preserve">es du Nahouri et de la Sissili. Le pays Kasséna s’étend de la rivière Nazinon jusqu’à la rivière Sissili à l’Ouest, dans les communes de Pô, Tiébélé et Guiaro, et se prolonge dans le nord du Ghana. Le RGN se trouve sur des terres appropriées par des villages riverains Nuna et Kasséna qui y revendiquent des droits coutumiers et y exercent différentes maîtrises sur les terres et les ressources. Lors de la création du RGN, ces populations ont délibérément cédé leurs terres dans l’espoir d’un avenir meilleur. D’autres groupes ethniques, les Mossi et les </w:t>
      </w:r>
      <w:r>
        <w:rPr>
          <w:szCs w:val="20"/>
          <w:lang w:val="fr-CA"/>
        </w:rPr>
        <w:t>Peul</w:t>
      </w:r>
      <w:r w:rsidRPr="006E5CB3">
        <w:rPr>
          <w:szCs w:val="20"/>
          <w:lang w:val="fr-CA"/>
        </w:rPr>
        <w:t xml:space="preserve"> </w:t>
      </w:r>
      <w:r>
        <w:rPr>
          <w:szCs w:val="20"/>
          <w:lang w:val="fr-CA"/>
        </w:rPr>
        <w:t>(ou</w:t>
      </w:r>
      <w:r w:rsidRPr="00E72453">
        <w:rPr>
          <w:szCs w:val="20"/>
          <w:lang w:val="fr-CA"/>
        </w:rPr>
        <w:t xml:space="preserve"> </w:t>
      </w:r>
      <w:r w:rsidRPr="006E5CB3">
        <w:rPr>
          <w:szCs w:val="20"/>
          <w:lang w:val="fr-CA"/>
        </w:rPr>
        <w:t>Fulani</w:t>
      </w:r>
      <w:r>
        <w:rPr>
          <w:szCs w:val="20"/>
          <w:lang w:val="fr-CA"/>
        </w:rPr>
        <w:t>)</w:t>
      </w:r>
      <w:r w:rsidRPr="006E5CB3">
        <w:rPr>
          <w:szCs w:val="20"/>
          <w:lang w:val="fr-CA"/>
        </w:rPr>
        <w:t>, partagent le sud du Burkina Faso avec les Gourounsi. Les Mossi, arrivés par vagues successives depuis le plateau du nord du pays, constituent actuellement la majorité de la population</w:t>
      </w:r>
      <w:r w:rsidR="00605CBE">
        <w:rPr>
          <w:szCs w:val="20"/>
          <w:lang w:val="fr-CA"/>
        </w:rPr>
        <w:t xml:space="preserve"> immigrante</w:t>
      </w:r>
      <w:r w:rsidRPr="006E5CB3">
        <w:rPr>
          <w:szCs w:val="20"/>
          <w:lang w:val="fr-CA"/>
        </w:rPr>
        <w:t xml:space="preserve">. Ce sont des agriculteurs et d’importants concurrents dans l’accès à la terre. Les </w:t>
      </w:r>
      <w:r>
        <w:rPr>
          <w:szCs w:val="20"/>
          <w:lang w:val="fr-CA"/>
        </w:rPr>
        <w:t>Peul</w:t>
      </w:r>
      <w:r w:rsidRPr="006E5CB3">
        <w:rPr>
          <w:szCs w:val="20"/>
          <w:lang w:val="fr-CA"/>
        </w:rPr>
        <w:t xml:space="preserve"> sont des agro-pasteurs migrants nomades, à la recherche de pâturages pour leurs troupeaux de bovins.</w:t>
      </w:r>
      <w:r w:rsidRPr="007A6983">
        <w:rPr>
          <w:szCs w:val="20"/>
          <w:lang w:val="fr-CA"/>
        </w:rPr>
        <w:t xml:space="preserve"> </w:t>
      </w:r>
      <w:r w:rsidRPr="00066BE7">
        <w:rPr>
          <w:szCs w:val="20"/>
          <w:lang w:val="fr-CA"/>
        </w:rPr>
        <w:t xml:space="preserve">La population humaine autour du </w:t>
      </w:r>
      <w:r w:rsidR="00F92E82">
        <w:rPr>
          <w:szCs w:val="20"/>
          <w:lang w:val="fr-CA"/>
        </w:rPr>
        <w:t>RGN</w:t>
      </w:r>
      <w:r w:rsidRPr="00066BE7">
        <w:rPr>
          <w:szCs w:val="20"/>
          <w:lang w:val="fr-CA"/>
        </w:rPr>
        <w:t xml:space="preserve"> a été multipliée par 4,5 en 30 ans</w:t>
      </w:r>
      <w:r w:rsidRPr="00066BE7">
        <w:rPr>
          <w:rStyle w:val="Appelnotedebasdep"/>
          <w:lang w:val="en-CA"/>
        </w:rPr>
        <w:footnoteReference w:id="93"/>
      </w:r>
      <w:r w:rsidRPr="001B0E9E">
        <w:rPr>
          <w:lang w:val="fr-CA"/>
        </w:rPr>
        <w:t>.</w:t>
      </w:r>
      <w:r>
        <w:rPr>
          <w:lang w:val="fr-CA"/>
        </w:rPr>
        <w:t xml:space="preserve"> </w:t>
      </w:r>
      <w:r w:rsidRPr="00D51368">
        <w:rPr>
          <w:szCs w:val="20"/>
          <w:lang w:val="fr-CA"/>
        </w:rPr>
        <w:t>La Sissili est aussi caractérisée par un afflux important de migrants attirés par l’importance des ressources naturelles et la relative fertilité des terres</w:t>
      </w:r>
      <w:r w:rsidRPr="00D51368">
        <w:rPr>
          <w:rStyle w:val="Appelnotedebasdep"/>
          <w:szCs w:val="20"/>
        </w:rPr>
        <w:footnoteReference w:id="94"/>
      </w:r>
      <w:r w:rsidRPr="00D51368">
        <w:rPr>
          <w:szCs w:val="20"/>
          <w:lang w:val="fr-CA"/>
        </w:rPr>
        <w:t xml:space="preserve">. On y rencontre surtout les </w:t>
      </w:r>
      <w:r w:rsidRPr="00D51368">
        <w:rPr>
          <w:bCs/>
          <w:szCs w:val="20"/>
          <w:lang w:val="fr-CA"/>
        </w:rPr>
        <w:t>Nuni</w:t>
      </w:r>
      <w:r w:rsidRPr="00D51368">
        <w:rPr>
          <w:szCs w:val="20"/>
          <w:lang w:val="fr-CA"/>
        </w:rPr>
        <w:t xml:space="preserve">, un sous-groupe Gourounsi dont la présence dans la région est ancienne, ainsi que les </w:t>
      </w:r>
      <w:r>
        <w:rPr>
          <w:szCs w:val="20"/>
          <w:lang w:val="fr-CA"/>
        </w:rPr>
        <w:t>Mossi</w:t>
      </w:r>
      <w:r w:rsidRPr="00D51368">
        <w:rPr>
          <w:szCs w:val="20"/>
          <w:lang w:val="fr-CA"/>
        </w:rPr>
        <w:t>, les Ouala et les Peul.</w:t>
      </w:r>
      <w:r>
        <w:rPr>
          <w:szCs w:val="20"/>
          <w:lang w:val="fr-CA"/>
        </w:rPr>
        <w:t xml:space="preserve"> </w:t>
      </w:r>
      <w:r w:rsidRPr="00D51368">
        <w:rPr>
          <w:szCs w:val="20"/>
          <w:lang w:val="fr-CA"/>
        </w:rPr>
        <w:t xml:space="preserve">Les villages riverains du PNKT sont multiethniques et composés de plusieurs groupes installés à différentes époques. Les groupes les plus anciennement installés et les plus nombreux sur les deux rives du Nazinon sont les </w:t>
      </w:r>
      <w:r>
        <w:rPr>
          <w:szCs w:val="20"/>
          <w:lang w:val="fr-CA"/>
        </w:rPr>
        <w:t>Mossi</w:t>
      </w:r>
      <w:r w:rsidRPr="00D51368">
        <w:rPr>
          <w:szCs w:val="20"/>
          <w:lang w:val="fr-CA"/>
        </w:rPr>
        <w:t xml:space="preserve"> et les Gourounsi</w:t>
      </w:r>
      <w:r w:rsidR="00F92E82">
        <w:rPr>
          <w:rStyle w:val="Appelnotedebasdep"/>
          <w:szCs w:val="20"/>
          <w:lang w:val="fr-CA"/>
        </w:rPr>
        <w:footnoteReference w:id="95"/>
      </w:r>
      <w:r w:rsidRPr="00D51368">
        <w:rPr>
          <w:szCs w:val="20"/>
          <w:lang w:val="fr-CA"/>
        </w:rPr>
        <w:t xml:space="preserve">. Autour du corridor N°2, dans la commune de Zabré, la population est surtout composée des Bissa, Koussassi, Moosé, Gourounsi et Peul (PCD de la commune de Zabré, 2015). Les </w:t>
      </w:r>
      <w:r w:rsidRPr="00D51368">
        <w:rPr>
          <w:bCs/>
          <w:szCs w:val="20"/>
          <w:lang w:val="fr-CA"/>
        </w:rPr>
        <w:t xml:space="preserve">Kasséna, </w:t>
      </w:r>
      <w:r w:rsidRPr="00D51368">
        <w:rPr>
          <w:bCs/>
          <w:szCs w:val="20"/>
          <w:lang w:val="fr-CA"/>
        </w:rPr>
        <w:lastRenderedPageBreak/>
        <w:t xml:space="preserve">un sous-groupe </w:t>
      </w:r>
      <w:r w:rsidRPr="00D51368">
        <w:rPr>
          <w:szCs w:val="20"/>
          <w:lang w:val="fr-CA"/>
        </w:rPr>
        <w:t>Gourounsi, représentent plus de 85% de la population dans les communes de Tiébélé, Pô et Guiaro. Dans les communes de Nobéré, Toécé et Doulougou, les Mo</w:t>
      </w:r>
      <w:r w:rsidR="00F92E82">
        <w:rPr>
          <w:szCs w:val="20"/>
          <w:lang w:val="fr-CA"/>
        </w:rPr>
        <w:t>s</w:t>
      </w:r>
      <w:r w:rsidRPr="00D51368">
        <w:rPr>
          <w:szCs w:val="20"/>
          <w:lang w:val="fr-CA"/>
        </w:rPr>
        <w:t>s</w:t>
      </w:r>
      <w:r w:rsidR="00F92E82">
        <w:rPr>
          <w:szCs w:val="20"/>
          <w:lang w:val="fr-CA"/>
        </w:rPr>
        <w:t>i</w:t>
      </w:r>
      <w:r w:rsidRPr="00D51368">
        <w:rPr>
          <w:szCs w:val="20"/>
          <w:lang w:val="fr-CA"/>
        </w:rPr>
        <w:t xml:space="preserve"> sont les plus nombreux, alors que les Kasséna sont plus fortement présents dans le Nahouri. Dans la commune de Zoaga, les groupes ethniques les plus importants en nombre sont les Koussassi (75%), les Bissas (25%), les Peul (3%) et les </w:t>
      </w:r>
      <w:r>
        <w:rPr>
          <w:szCs w:val="20"/>
          <w:lang w:val="fr-CA"/>
        </w:rPr>
        <w:t>Mossi</w:t>
      </w:r>
      <w:r w:rsidRPr="00D51368">
        <w:rPr>
          <w:szCs w:val="20"/>
          <w:lang w:val="fr-CA"/>
        </w:rPr>
        <w:t xml:space="preserve"> (1%) (PCD de la commune de Zoaga, 2013). On y rencontre également des ethnies minoritaires telles que les Fafarsé. Les Koussassi seraient venus de Gambaga (actuel Ghana) et se seraient installés sur la rive droite du fleuve Nakambé. Les Peul venus du nord et présents dans la quasi-totalité des villages sont des migrants provenant des régions sahéliennes à la recherche de pâturages et d’eau pour l’abreuvement de leurs troupeaux. Certains se sont sédentarisés en raison des conditions favorables du milieu pour l’élevage : abondance d’herbe, des mares et de zones pastorales.</w:t>
      </w:r>
    </w:p>
    <w:p w14:paraId="71E70D8C" w14:textId="4A4AECD5" w:rsidR="00302BFE" w:rsidRPr="00F92E82" w:rsidRDefault="00302BFE" w:rsidP="00302BFE">
      <w:pPr>
        <w:pStyle w:val="Paragraphedeliste"/>
        <w:tabs>
          <w:tab w:val="left" w:pos="284"/>
        </w:tabs>
        <w:spacing w:before="120" w:after="120"/>
        <w:ind w:left="0"/>
        <w:jc w:val="both"/>
        <w:rPr>
          <w:rFonts w:asciiTheme="minorHAnsi" w:hAnsiTheme="minorHAnsi"/>
          <w:sz w:val="20"/>
          <w:szCs w:val="20"/>
          <w:lang w:val="fr-CA"/>
        </w:rPr>
      </w:pPr>
      <w:r w:rsidRPr="00F92E82">
        <w:rPr>
          <w:rFonts w:asciiTheme="minorHAnsi" w:hAnsiTheme="minorHAnsi"/>
          <w:sz w:val="20"/>
          <w:szCs w:val="20"/>
          <w:lang w:val="fr-CA"/>
        </w:rPr>
        <w:t xml:space="preserve">De façon générale, l’afflux de migrants dans l’aire paysagère du complexe PONASI, risque de compromettre la pérennité du potentiel productif des terres </w:t>
      </w:r>
      <w:r w:rsidR="00F92E82" w:rsidRPr="00F92E82">
        <w:rPr>
          <w:rFonts w:asciiTheme="minorHAnsi" w:hAnsiTheme="minorHAnsi"/>
          <w:sz w:val="20"/>
          <w:szCs w:val="20"/>
          <w:lang w:val="fr-CA"/>
        </w:rPr>
        <w:t>de la zone</w:t>
      </w:r>
      <w:r w:rsidRPr="00F92E82">
        <w:rPr>
          <w:rStyle w:val="Appelnotedebasdep"/>
          <w:rFonts w:asciiTheme="minorHAnsi" w:hAnsiTheme="minorHAnsi"/>
          <w:sz w:val="20"/>
          <w:szCs w:val="20"/>
        </w:rPr>
        <w:footnoteReference w:id="96"/>
      </w:r>
      <w:r w:rsidRPr="00F92E82">
        <w:rPr>
          <w:rFonts w:asciiTheme="minorHAnsi" w:hAnsiTheme="minorHAnsi"/>
          <w:sz w:val="20"/>
          <w:szCs w:val="20"/>
          <w:lang w:val="fr-CA"/>
        </w:rPr>
        <w:t>. La majeure partie de la population humaine croissante est due à l'immigration d'ethnies d'autres régions du pays ayant des traditions et des pratiques d'utilisation des ressources différentes</w:t>
      </w:r>
      <w:r w:rsidRPr="00F92E82">
        <w:rPr>
          <w:rStyle w:val="Appelnotedebasdep"/>
          <w:rFonts w:asciiTheme="minorHAnsi" w:hAnsiTheme="minorHAnsi"/>
          <w:sz w:val="20"/>
          <w:szCs w:val="20"/>
          <w:lang w:val="en-CA"/>
        </w:rPr>
        <w:footnoteReference w:id="97"/>
      </w:r>
      <w:r w:rsidRPr="00F92E82">
        <w:rPr>
          <w:rFonts w:asciiTheme="minorHAnsi" w:hAnsiTheme="minorHAnsi"/>
          <w:sz w:val="20"/>
          <w:szCs w:val="20"/>
          <w:lang w:val="fr-CA"/>
        </w:rPr>
        <w:t xml:space="preserve">. Le droit foncier coutumier accepte difficilement l’appropriation individuelle de terres par les migrants. Ces derniers ne jouissent ainsi que de droits d’usage temporaires sur les terres qu’ils exploitent. Ils doivent surtout s’abstenir d’actes matérialisant une occupation définitive telle que la plantation d’arbres, la réalisation d’un puits ou l’aménagement de sites antiérosifs. </w:t>
      </w:r>
      <w:r w:rsidR="00F92E82">
        <w:rPr>
          <w:rFonts w:asciiTheme="minorHAnsi" w:hAnsiTheme="minorHAnsi"/>
          <w:sz w:val="20"/>
          <w:szCs w:val="20"/>
          <w:lang w:val="fr-CA"/>
        </w:rPr>
        <w:t>L</w:t>
      </w:r>
      <w:r w:rsidRPr="00F92E82">
        <w:rPr>
          <w:rFonts w:asciiTheme="minorHAnsi" w:hAnsiTheme="minorHAnsi"/>
          <w:sz w:val="20"/>
          <w:szCs w:val="20"/>
          <w:lang w:val="fr-CA"/>
        </w:rPr>
        <w:t>es migrants Mossi ont par ailleurs tendance à défricher des superficies qui excèdent leurs besoins immédiats pour prévenir l’installation d’autres colons dans le voisinage immédiat. La pratique de la culture itinérante est rendue possible par la relative disponibilité des terres dans cette région. Les pratiques culturales destructives et la forte croissance démographique de cette région induisent une pression qui s’accroît de façon exponentielle sur les ressources naturelles et les conséquences risquent d’être sévères dans un proche avenir.</w:t>
      </w:r>
    </w:p>
    <w:p w14:paraId="47FFB423" w14:textId="77777777" w:rsidR="00302BFE" w:rsidRPr="00BE0201" w:rsidRDefault="00302BFE" w:rsidP="00302BFE">
      <w:pPr>
        <w:pStyle w:val="Paragraphedeliste"/>
        <w:tabs>
          <w:tab w:val="left" w:pos="284"/>
        </w:tabs>
        <w:spacing w:before="120" w:after="120"/>
        <w:ind w:left="0"/>
        <w:jc w:val="both"/>
        <w:rPr>
          <w:rFonts w:ascii="Calibri" w:hAnsi="Calibri"/>
          <w:sz w:val="20"/>
          <w:szCs w:val="20"/>
          <w:lang w:val="fr-CA"/>
        </w:rPr>
      </w:pPr>
      <w:r w:rsidRPr="00BE0201">
        <w:rPr>
          <w:rFonts w:ascii="Calibri" w:hAnsi="Calibri"/>
          <w:b/>
          <w:sz w:val="20"/>
          <w:szCs w:val="20"/>
          <w:lang w:val="fr-CA"/>
        </w:rPr>
        <w:t>Démographie.</w:t>
      </w:r>
      <w:r w:rsidRPr="00BE0201">
        <w:rPr>
          <w:rFonts w:ascii="Calibri" w:hAnsi="Calibri"/>
          <w:sz w:val="20"/>
          <w:szCs w:val="20"/>
          <w:lang w:val="fr-CA"/>
        </w:rPr>
        <w:t xml:space="preserve"> Le tableau </w:t>
      </w:r>
      <w:r>
        <w:rPr>
          <w:rFonts w:ascii="Calibri" w:hAnsi="Calibri"/>
          <w:sz w:val="20"/>
          <w:szCs w:val="20"/>
          <w:lang w:val="fr-CA"/>
        </w:rPr>
        <w:t xml:space="preserve">A </w:t>
      </w:r>
      <w:r w:rsidRPr="00BE0201">
        <w:rPr>
          <w:rFonts w:ascii="Calibri" w:hAnsi="Calibri"/>
          <w:sz w:val="20"/>
          <w:szCs w:val="20"/>
          <w:lang w:val="fr-CA"/>
        </w:rPr>
        <w:t>ci-dessous indique la taille des populations recensées dans les communes des sites pilotes de mise en oeuvre du projet.</w:t>
      </w:r>
    </w:p>
    <w:tbl>
      <w:tblPr>
        <w:tblW w:w="4003" w:type="pct"/>
        <w:jc w:val="center"/>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firstRow="1" w:lastRow="0" w:firstColumn="1" w:lastColumn="0" w:noHBand="0" w:noVBand="1"/>
      </w:tblPr>
      <w:tblGrid>
        <w:gridCol w:w="2005"/>
        <w:gridCol w:w="2343"/>
        <w:gridCol w:w="2324"/>
        <w:gridCol w:w="1966"/>
      </w:tblGrid>
      <w:tr w:rsidR="00302BFE" w:rsidRPr="00442C83" w14:paraId="0897AABA" w14:textId="77777777" w:rsidTr="00243B15">
        <w:trPr>
          <w:tblHeader/>
          <w:jc w:val="center"/>
        </w:trPr>
        <w:tc>
          <w:tcPr>
            <w:tcW w:w="1161" w:type="pct"/>
            <w:tcBorders>
              <w:top w:val="single" w:sz="4" w:space="0" w:color="C5E0B3"/>
              <w:left w:val="single" w:sz="4" w:space="0" w:color="C5E0B3"/>
              <w:bottom w:val="single" w:sz="12" w:space="0" w:color="A8D08D"/>
              <w:right w:val="single" w:sz="4" w:space="0" w:color="C5E0B3"/>
            </w:tcBorders>
            <w:shd w:val="clear" w:color="auto" w:fill="auto"/>
            <w:hideMark/>
          </w:tcPr>
          <w:p w14:paraId="37AE7B5B" w14:textId="77777777" w:rsidR="00302BFE" w:rsidRPr="00442C83" w:rsidRDefault="00302BFE" w:rsidP="00243B15">
            <w:pPr>
              <w:spacing w:after="0"/>
              <w:ind w:left="170"/>
              <w:rPr>
                <w:rFonts w:eastAsia="Calibri"/>
                <w:b/>
                <w:bCs/>
                <w:szCs w:val="20"/>
              </w:rPr>
            </w:pPr>
            <w:r w:rsidRPr="00442C83">
              <w:rPr>
                <w:rFonts w:eastAsia="Calibri"/>
                <w:b/>
                <w:bCs/>
                <w:szCs w:val="20"/>
              </w:rPr>
              <w:t>Commune</w:t>
            </w:r>
          </w:p>
        </w:tc>
        <w:tc>
          <w:tcPr>
            <w:tcW w:w="1356" w:type="pct"/>
            <w:tcBorders>
              <w:top w:val="single" w:sz="4" w:space="0" w:color="C5E0B3"/>
              <w:left w:val="single" w:sz="4" w:space="0" w:color="C5E0B3"/>
              <w:bottom w:val="single" w:sz="12" w:space="0" w:color="A8D08D"/>
              <w:right w:val="single" w:sz="4" w:space="0" w:color="C5E0B3"/>
            </w:tcBorders>
            <w:shd w:val="clear" w:color="auto" w:fill="auto"/>
            <w:hideMark/>
          </w:tcPr>
          <w:p w14:paraId="3BBF2754" w14:textId="77777777" w:rsidR="00302BFE" w:rsidRPr="00442C83" w:rsidRDefault="00302BFE" w:rsidP="00243B15">
            <w:pPr>
              <w:spacing w:after="0"/>
              <w:ind w:left="170"/>
              <w:rPr>
                <w:rFonts w:eastAsia="Calibri"/>
                <w:b/>
                <w:bCs/>
                <w:szCs w:val="20"/>
              </w:rPr>
            </w:pPr>
            <w:r>
              <w:rPr>
                <w:rFonts w:eastAsia="Calibri"/>
                <w:b/>
                <w:bCs/>
                <w:szCs w:val="20"/>
              </w:rPr>
              <w:t>Femmes</w:t>
            </w:r>
            <w:r w:rsidRPr="00442C83">
              <w:rPr>
                <w:rFonts w:eastAsia="Calibri"/>
                <w:b/>
                <w:bCs/>
                <w:szCs w:val="20"/>
              </w:rPr>
              <w:t xml:space="preserve"> </w:t>
            </w:r>
          </w:p>
        </w:tc>
        <w:tc>
          <w:tcPr>
            <w:tcW w:w="1341" w:type="pct"/>
            <w:tcBorders>
              <w:top w:val="single" w:sz="4" w:space="0" w:color="C5E0B3"/>
              <w:left w:val="single" w:sz="4" w:space="0" w:color="C5E0B3"/>
              <w:bottom w:val="single" w:sz="12" w:space="0" w:color="A8D08D"/>
              <w:right w:val="single" w:sz="4" w:space="0" w:color="C5E0B3"/>
            </w:tcBorders>
            <w:shd w:val="clear" w:color="auto" w:fill="auto"/>
            <w:hideMark/>
          </w:tcPr>
          <w:p w14:paraId="2F54901E" w14:textId="77777777" w:rsidR="00302BFE" w:rsidRPr="00442C83" w:rsidRDefault="00302BFE" w:rsidP="00243B15">
            <w:pPr>
              <w:spacing w:after="0"/>
              <w:ind w:left="170"/>
              <w:rPr>
                <w:rFonts w:eastAsia="Calibri"/>
                <w:b/>
                <w:bCs/>
                <w:szCs w:val="20"/>
              </w:rPr>
            </w:pPr>
            <w:r>
              <w:rPr>
                <w:rFonts w:eastAsia="Calibri"/>
                <w:b/>
                <w:bCs/>
                <w:szCs w:val="20"/>
              </w:rPr>
              <w:t>Hommes</w:t>
            </w:r>
            <w:r w:rsidRPr="00442C83">
              <w:rPr>
                <w:rFonts w:eastAsia="Calibri"/>
                <w:b/>
                <w:bCs/>
                <w:szCs w:val="20"/>
              </w:rPr>
              <w:t xml:space="preserve"> </w:t>
            </w:r>
          </w:p>
        </w:tc>
        <w:tc>
          <w:tcPr>
            <w:tcW w:w="1138" w:type="pct"/>
            <w:tcBorders>
              <w:top w:val="single" w:sz="4" w:space="0" w:color="C5E0B3"/>
              <w:left w:val="single" w:sz="4" w:space="0" w:color="C5E0B3"/>
              <w:bottom w:val="single" w:sz="12" w:space="0" w:color="A8D08D"/>
              <w:right w:val="single" w:sz="4" w:space="0" w:color="C5E0B3"/>
            </w:tcBorders>
            <w:shd w:val="clear" w:color="auto" w:fill="auto"/>
            <w:hideMark/>
          </w:tcPr>
          <w:p w14:paraId="5A299721" w14:textId="77777777" w:rsidR="00302BFE" w:rsidRPr="00442C83" w:rsidRDefault="00302BFE" w:rsidP="00243B15">
            <w:pPr>
              <w:spacing w:after="0"/>
              <w:ind w:left="170"/>
              <w:rPr>
                <w:rFonts w:eastAsia="Calibri"/>
                <w:b/>
                <w:bCs/>
                <w:szCs w:val="20"/>
              </w:rPr>
            </w:pPr>
            <w:r w:rsidRPr="00442C83">
              <w:rPr>
                <w:rFonts w:eastAsia="Calibri"/>
                <w:b/>
                <w:bCs/>
                <w:szCs w:val="20"/>
              </w:rPr>
              <w:t xml:space="preserve">Total </w:t>
            </w:r>
          </w:p>
        </w:tc>
      </w:tr>
      <w:tr w:rsidR="00302BFE" w:rsidRPr="00442C83" w14:paraId="1D22AE68" w14:textId="77777777" w:rsidTr="00243B15">
        <w:trPr>
          <w:jc w:val="center"/>
        </w:trPr>
        <w:tc>
          <w:tcPr>
            <w:tcW w:w="1161" w:type="pct"/>
            <w:tcBorders>
              <w:top w:val="single" w:sz="4" w:space="0" w:color="C5E0B3"/>
              <w:left w:val="single" w:sz="4" w:space="0" w:color="C5E0B3"/>
              <w:bottom w:val="single" w:sz="4" w:space="0" w:color="C5E0B3"/>
              <w:right w:val="single" w:sz="4" w:space="0" w:color="C5E0B3"/>
            </w:tcBorders>
            <w:shd w:val="clear" w:color="auto" w:fill="auto"/>
            <w:hideMark/>
          </w:tcPr>
          <w:p w14:paraId="3D7D5DF7" w14:textId="77777777" w:rsidR="00302BFE" w:rsidRPr="00442C83" w:rsidRDefault="00302BFE" w:rsidP="00243B15">
            <w:pPr>
              <w:spacing w:after="0"/>
              <w:ind w:left="170"/>
              <w:rPr>
                <w:rFonts w:eastAsia="Calibri"/>
                <w:b/>
                <w:bCs/>
                <w:szCs w:val="20"/>
              </w:rPr>
            </w:pPr>
            <w:r w:rsidRPr="00442C83">
              <w:rPr>
                <w:rFonts w:eastAsia="Calibri"/>
                <w:b/>
                <w:bCs/>
                <w:szCs w:val="20"/>
              </w:rPr>
              <w:t>Zabré</w:t>
            </w:r>
          </w:p>
        </w:tc>
        <w:tc>
          <w:tcPr>
            <w:tcW w:w="1356" w:type="pct"/>
            <w:tcBorders>
              <w:top w:val="single" w:sz="4" w:space="0" w:color="C5E0B3"/>
              <w:left w:val="single" w:sz="4" w:space="0" w:color="C5E0B3"/>
              <w:bottom w:val="single" w:sz="4" w:space="0" w:color="C5E0B3"/>
              <w:right w:val="single" w:sz="4" w:space="0" w:color="C5E0B3"/>
            </w:tcBorders>
            <w:shd w:val="clear" w:color="auto" w:fill="auto"/>
            <w:hideMark/>
          </w:tcPr>
          <w:p w14:paraId="0D8A8FA5" w14:textId="77777777" w:rsidR="00302BFE" w:rsidRPr="00442C83" w:rsidRDefault="00302BFE" w:rsidP="00243B15">
            <w:pPr>
              <w:spacing w:after="0"/>
              <w:ind w:left="170"/>
              <w:rPr>
                <w:rFonts w:eastAsia="Calibri"/>
                <w:szCs w:val="20"/>
              </w:rPr>
            </w:pPr>
            <w:r w:rsidRPr="00442C83">
              <w:rPr>
                <w:rFonts w:eastAsia="Calibri"/>
                <w:szCs w:val="20"/>
              </w:rPr>
              <w:t>60 351</w:t>
            </w:r>
          </w:p>
        </w:tc>
        <w:tc>
          <w:tcPr>
            <w:tcW w:w="1341" w:type="pct"/>
            <w:tcBorders>
              <w:top w:val="single" w:sz="4" w:space="0" w:color="C5E0B3"/>
              <w:left w:val="single" w:sz="4" w:space="0" w:color="C5E0B3"/>
              <w:bottom w:val="single" w:sz="4" w:space="0" w:color="C5E0B3"/>
              <w:right w:val="single" w:sz="4" w:space="0" w:color="C5E0B3"/>
            </w:tcBorders>
            <w:shd w:val="clear" w:color="auto" w:fill="auto"/>
            <w:hideMark/>
          </w:tcPr>
          <w:p w14:paraId="17B5684A" w14:textId="77777777" w:rsidR="00302BFE" w:rsidRPr="00442C83" w:rsidRDefault="00302BFE" w:rsidP="00243B15">
            <w:pPr>
              <w:spacing w:after="0"/>
              <w:ind w:left="170"/>
              <w:rPr>
                <w:rFonts w:eastAsia="Calibri"/>
                <w:szCs w:val="20"/>
              </w:rPr>
            </w:pPr>
            <w:r w:rsidRPr="00442C83">
              <w:rPr>
                <w:rFonts w:eastAsia="Calibri"/>
                <w:szCs w:val="20"/>
              </w:rPr>
              <w:t>52 463</w:t>
            </w:r>
          </w:p>
        </w:tc>
        <w:tc>
          <w:tcPr>
            <w:tcW w:w="1138" w:type="pct"/>
            <w:tcBorders>
              <w:top w:val="single" w:sz="4" w:space="0" w:color="C5E0B3"/>
              <w:left w:val="single" w:sz="4" w:space="0" w:color="C5E0B3"/>
              <w:bottom w:val="single" w:sz="4" w:space="0" w:color="C5E0B3"/>
              <w:right w:val="single" w:sz="4" w:space="0" w:color="C5E0B3"/>
            </w:tcBorders>
            <w:shd w:val="clear" w:color="auto" w:fill="auto"/>
            <w:hideMark/>
          </w:tcPr>
          <w:p w14:paraId="256E8CF7" w14:textId="77777777" w:rsidR="00302BFE" w:rsidRPr="00442C83" w:rsidRDefault="00302BFE" w:rsidP="00243B15">
            <w:pPr>
              <w:spacing w:after="0"/>
              <w:ind w:left="170"/>
              <w:rPr>
                <w:rFonts w:eastAsia="Calibri"/>
                <w:szCs w:val="20"/>
              </w:rPr>
            </w:pPr>
            <w:r w:rsidRPr="00442C83">
              <w:rPr>
                <w:rFonts w:eastAsia="Calibri"/>
                <w:szCs w:val="20"/>
              </w:rPr>
              <w:t>112 814</w:t>
            </w:r>
          </w:p>
        </w:tc>
      </w:tr>
      <w:tr w:rsidR="00302BFE" w:rsidRPr="00442C83" w14:paraId="6682E7FA" w14:textId="77777777" w:rsidTr="00243B15">
        <w:trPr>
          <w:jc w:val="center"/>
        </w:trPr>
        <w:tc>
          <w:tcPr>
            <w:tcW w:w="1161" w:type="pct"/>
            <w:tcBorders>
              <w:top w:val="single" w:sz="4" w:space="0" w:color="C5E0B3"/>
              <w:left w:val="single" w:sz="4" w:space="0" w:color="C5E0B3"/>
              <w:bottom w:val="single" w:sz="4" w:space="0" w:color="C5E0B3"/>
              <w:right w:val="single" w:sz="4" w:space="0" w:color="C5E0B3"/>
            </w:tcBorders>
            <w:shd w:val="clear" w:color="auto" w:fill="auto"/>
            <w:hideMark/>
          </w:tcPr>
          <w:p w14:paraId="56899AFB" w14:textId="77777777" w:rsidR="00302BFE" w:rsidRPr="00442C83" w:rsidRDefault="00302BFE" w:rsidP="00243B15">
            <w:pPr>
              <w:spacing w:after="0"/>
              <w:ind w:left="170"/>
              <w:rPr>
                <w:rFonts w:eastAsia="Calibri"/>
                <w:b/>
                <w:bCs/>
                <w:szCs w:val="20"/>
              </w:rPr>
            </w:pPr>
            <w:r w:rsidRPr="00442C83">
              <w:rPr>
                <w:rFonts w:eastAsia="Calibri"/>
                <w:b/>
                <w:bCs/>
                <w:szCs w:val="20"/>
              </w:rPr>
              <w:t>Zoaga</w:t>
            </w:r>
          </w:p>
        </w:tc>
        <w:tc>
          <w:tcPr>
            <w:tcW w:w="1356" w:type="pct"/>
            <w:tcBorders>
              <w:top w:val="single" w:sz="4" w:space="0" w:color="C5E0B3"/>
              <w:left w:val="single" w:sz="4" w:space="0" w:color="C5E0B3"/>
              <w:bottom w:val="single" w:sz="4" w:space="0" w:color="C5E0B3"/>
              <w:right w:val="single" w:sz="4" w:space="0" w:color="C5E0B3"/>
            </w:tcBorders>
            <w:shd w:val="clear" w:color="auto" w:fill="auto"/>
            <w:hideMark/>
          </w:tcPr>
          <w:p w14:paraId="780B68CB" w14:textId="77777777" w:rsidR="00302BFE" w:rsidRPr="00442C83" w:rsidRDefault="00302BFE" w:rsidP="00243B15">
            <w:pPr>
              <w:spacing w:after="0"/>
              <w:ind w:left="170"/>
              <w:rPr>
                <w:rFonts w:eastAsia="Calibri"/>
                <w:szCs w:val="20"/>
              </w:rPr>
            </w:pPr>
            <w:r w:rsidRPr="00442C83">
              <w:rPr>
                <w:rFonts w:eastAsia="Calibri"/>
                <w:szCs w:val="20"/>
              </w:rPr>
              <w:t>7 544</w:t>
            </w:r>
          </w:p>
        </w:tc>
        <w:tc>
          <w:tcPr>
            <w:tcW w:w="1341" w:type="pct"/>
            <w:tcBorders>
              <w:top w:val="single" w:sz="4" w:space="0" w:color="C5E0B3"/>
              <w:left w:val="single" w:sz="4" w:space="0" w:color="C5E0B3"/>
              <w:bottom w:val="single" w:sz="4" w:space="0" w:color="C5E0B3"/>
              <w:right w:val="single" w:sz="4" w:space="0" w:color="C5E0B3"/>
            </w:tcBorders>
            <w:shd w:val="clear" w:color="auto" w:fill="auto"/>
            <w:hideMark/>
          </w:tcPr>
          <w:p w14:paraId="68C03D3D" w14:textId="77777777" w:rsidR="00302BFE" w:rsidRPr="00442C83" w:rsidRDefault="00302BFE" w:rsidP="00243B15">
            <w:pPr>
              <w:spacing w:after="0"/>
              <w:ind w:left="170"/>
              <w:rPr>
                <w:rFonts w:eastAsia="Calibri"/>
                <w:szCs w:val="20"/>
              </w:rPr>
            </w:pPr>
            <w:r w:rsidRPr="00442C83">
              <w:rPr>
                <w:rFonts w:eastAsia="Calibri"/>
                <w:szCs w:val="20"/>
              </w:rPr>
              <w:t>7 044</w:t>
            </w:r>
          </w:p>
        </w:tc>
        <w:tc>
          <w:tcPr>
            <w:tcW w:w="1138" w:type="pct"/>
            <w:tcBorders>
              <w:top w:val="single" w:sz="4" w:space="0" w:color="C5E0B3"/>
              <w:left w:val="single" w:sz="4" w:space="0" w:color="C5E0B3"/>
              <w:bottom w:val="single" w:sz="4" w:space="0" w:color="C5E0B3"/>
              <w:right w:val="single" w:sz="4" w:space="0" w:color="C5E0B3"/>
            </w:tcBorders>
            <w:shd w:val="clear" w:color="auto" w:fill="auto"/>
            <w:hideMark/>
          </w:tcPr>
          <w:p w14:paraId="31FA32FD" w14:textId="77777777" w:rsidR="00302BFE" w:rsidRPr="00442C83" w:rsidRDefault="00302BFE" w:rsidP="00243B15">
            <w:pPr>
              <w:spacing w:after="0"/>
              <w:ind w:left="170"/>
              <w:rPr>
                <w:rFonts w:eastAsia="Calibri"/>
                <w:szCs w:val="20"/>
              </w:rPr>
            </w:pPr>
            <w:r w:rsidRPr="00442C83">
              <w:rPr>
                <w:rFonts w:eastAsia="Calibri"/>
                <w:szCs w:val="20"/>
              </w:rPr>
              <w:t>14 589</w:t>
            </w:r>
          </w:p>
        </w:tc>
      </w:tr>
      <w:tr w:rsidR="00302BFE" w:rsidRPr="00442C83" w14:paraId="7CEBCFD3" w14:textId="77777777" w:rsidTr="00243B15">
        <w:trPr>
          <w:trHeight w:val="180"/>
          <w:jc w:val="center"/>
        </w:trPr>
        <w:tc>
          <w:tcPr>
            <w:tcW w:w="1161" w:type="pct"/>
            <w:tcBorders>
              <w:top w:val="single" w:sz="4" w:space="0" w:color="C5E0B3"/>
              <w:left w:val="single" w:sz="4" w:space="0" w:color="C5E0B3"/>
              <w:bottom w:val="single" w:sz="4" w:space="0" w:color="C5E0B3"/>
              <w:right w:val="single" w:sz="4" w:space="0" w:color="C5E0B3"/>
            </w:tcBorders>
            <w:shd w:val="clear" w:color="auto" w:fill="auto"/>
            <w:hideMark/>
          </w:tcPr>
          <w:p w14:paraId="470A5A61" w14:textId="77777777" w:rsidR="00302BFE" w:rsidRPr="00442C83" w:rsidRDefault="00302BFE" w:rsidP="00243B15">
            <w:pPr>
              <w:spacing w:after="0"/>
              <w:ind w:left="170"/>
              <w:rPr>
                <w:rFonts w:eastAsia="Calibri"/>
                <w:b/>
                <w:bCs/>
                <w:szCs w:val="20"/>
              </w:rPr>
            </w:pPr>
            <w:r w:rsidRPr="00442C83">
              <w:rPr>
                <w:rFonts w:eastAsia="Calibri"/>
                <w:b/>
                <w:bCs/>
                <w:szCs w:val="20"/>
              </w:rPr>
              <w:t>Guiaro</w:t>
            </w:r>
          </w:p>
        </w:tc>
        <w:tc>
          <w:tcPr>
            <w:tcW w:w="1356" w:type="pct"/>
            <w:tcBorders>
              <w:top w:val="single" w:sz="4" w:space="0" w:color="C5E0B3"/>
              <w:left w:val="single" w:sz="4" w:space="0" w:color="C5E0B3"/>
              <w:bottom w:val="single" w:sz="4" w:space="0" w:color="C5E0B3"/>
              <w:right w:val="single" w:sz="4" w:space="0" w:color="C5E0B3"/>
            </w:tcBorders>
            <w:shd w:val="clear" w:color="auto" w:fill="auto"/>
            <w:hideMark/>
          </w:tcPr>
          <w:p w14:paraId="733A1F0A" w14:textId="77777777" w:rsidR="00302BFE" w:rsidRPr="00442C83" w:rsidRDefault="00302BFE" w:rsidP="00243B15">
            <w:pPr>
              <w:spacing w:after="0"/>
              <w:ind w:left="170"/>
              <w:rPr>
                <w:rFonts w:eastAsia="Calibri"/>
                <w:szCs w:val="20"/>
              </w:rPr>
            </w:pPr>
            <w:r w:rsidRPr="00442C83">
              <w:rPr>
                <w:rFonts w:eastAsia="Calibri"/>
                <w:szCs w:val="20"/>
              </w:rPr>
              <w:t>14 843</w:t>
            </w:r>
          </w:p>
        </w:tc>
        <w:tc>
          <w:tcPr>
            <w:tcW w:w="1341" w:type="pct"/>
            <w:tcBorders>
              <w:top w:val="single" w:sz="4" w:space="0" w:color="C5E0B3"/>
              <w:left w:val="single" w:sz="4" w:space="0" w:color="C5E0B3"/>
              <w:bottom w:val="single" w:sz="4" w:space="0" w:color="C5E0B3"/>
              <w:right w:val="single" w:sz="4" w:space="0" w:color="C5E0B3"/>
            </w:tcBorders>
            <w:shd w:val="clear" w:color="auto" w:fill="auto"/>
            <w:hideMark/>
          </w:tcPr>
          <w:p w14:paraId="17C5C0BD" w14:textId="77777777" w:rsidR="00302BFE" w:rsidRPr="00442C83" w:rsidRDefault="00302BFE" w:rsidP="00243B15">
            <w:pPr>
              <w:spacing w:after="0"/>
              <w:ind w:left="170"/>
              <w:rPr>
                <w:rFonts w:eastAsia="Calibri"/>
                <w:szCs w:val="20"/>
              </w:rPr>
            </w:pPr>
            <w:r w:rsidRPr="00442C83">
              <w:rPr>
                <w:rFonts w:eastAsia="Calibri"/>
                <w:szCs w:val="20"/>
              </w:rPr>
              <w:t>13 285</w:t>
            </w:r>
          </w:p>
        </w:tc>
        <w:tc>
          <w:tcPr>
            <w:tcW w:w="1138" w:type="pct"/>
            <w:tcBorders>
              <w:top w:val="single" w:sz="4" w:space="0" w:color="C5E0B3"/>
              <w:left w:val="single" w:sz="4" w:space="0" w:color="C5E0B3"/>
              <w:bottom w:val="single" w:sz="4" w:space="0" w:color="C5E0B3"/>
              <w:right w:val="single" w:sz="4" w:space="0" w:color="C5E0B3"/>
            </w:tcBorders>
            <w:shd w:val="clear" w:color="auto" w:fill="auto"/>
            <w:hideMark/>
          </w:tcPr>
          <w:p w14:paraId="187FE11D" w14:textId="77777777" w:rsidR="00302BFE" w:rsidRPr="00442C83" w:rsidRDefault="00302BFE" w:rsidP="00243B15">
            <w:pPr>
              <w:spacing w:after="0"/>
              <w:ind w:left="170"/>
              <w:rPr>
                <w:rFonts w:eastAsia="Calibri"/>
                <w:szCs w:val="20"/>
              </w:rPr>
            </w:pPr>
            <w:r w:rsidRPr="00442C83">
              <w:rPr>
                <w:rFonts w:eastAsia="Calibri"/>
                <w:szCs w:val="20"/>
              </w:rPr>
              <w:t>28 129</w:t>
            </w:r>
          </w:p>
        </w:tc>
      </w:tr>
      <w:tr w:rsidR="00302BFE" w:rsidRPr="00442C83" w14:paraId="3C39C35D" w14:textId="77777777" w:rsidTr="00243B15">
        <w:trPr>
          <w:trHeight w:val="184"/>
          <w:jc w:val="center"/>
        </w:trPr>
        <w:tc>
          <w:tcPr>
            <w:tcW w:w="1161" w:type="pct"/>
            <w:tcBorders>
              <w:top w:val="single" w:sz="4" w:space="0" w:color="C5E0B3"/>
              <w:left w:val="single" w:sz="4" w:space="0" w:color="C5E0B3"/>
              <w:bottom w:val="single" w:sz="4" w:space="0" w:color="C5E0B3"/>
              <w:right w:val="single" w:sz="4" w:space="0" w:color="C5E0B3"/>
            </w:tcBorders>
            <w:shd w:val="clear" w:color="auto" w:fill="auto"/>
            <w:hideMark/>
          </w:tcPr>
          <w:p w14:paraId="7D90DDFD" w14:textId="77777777" w:rsidR="00302BFE" w:rsidRPr="00442C83" w:rsidRDefault="00302BFE" w:rsidP="00243B15">
            <w:pPr>
              <w:spacing w:after="0"/>
              <w:ind w:left="170"/>
              <w:rPr>
                <w:rFonts w:eastAsia="Calibri"/>
                <w:b/>
                <w:bCs/>
                <w:szCs w:val="20"/>
              </w:rPr>
            </w:pPr>
            <w:r w:rsidRPr="00442C83">
              <w:rPr>
                <w:rFonts w:eastAsia="Calibri"/>
                <w:b/>
                <w:bCs/>
                <w:szCs w:val="20"/>
              </w:rPr>
              <w:t>Pô</w:t>
            </w:r>
          </w:p>
        </w:tc>
        <w:tc>
          <w:tcPr>
            <w:tcW w:w="1356" w:type="pct"/>
            <w:tcBorders>
              <w:top w:val="single" w:sz="4" w:space="0" w:color="C5E0B3"/>
              <w:left w:val="single" w:sz="4" w:space="0" w:color="C5E0B3"/>
              <w:bottom w:val="single" w:sz="4" w:space="0" w:color="C5E0B3"/>
              <w:right w:val="single" w:sz="4" w:space="0" w:color="C5E0B3"/>
            </w:tcBorders>
            <w:shd w:val="clear" w:color="auto" w:fill="auto"/>
            <w:hideMark/>
          </w:tcPr>
          <w:p w14:paraId="39A13B5B" w14:textId="77777777" w:rsidR="00302BFE" w:rsidRPr="00442C83" w:rsidRDefault="00302BFE" w:rsidP="00243B15">
            <w:pPr>
              <w:spacing w:after="0"/>
              <w:ind w:left="170"/>
              <w:rPr>
                <w:rFonts w:eastAsia="Calibri"/>
                <w:szCs w:val="20"/>
              </w:rPr>
            </w:pPr>
            <w:r w:rsidRPr="00442C83">
              <w:rPr>
                <w:rFonts w:eastAsia="Calibri"/>
                <w:szCs w:val="20"/>
              </w:rPr>
              <w:t>37 667</w:t>
            </w:r>
          </w:p>
        </w:tc>
        <w:tc>
          <w:tcPr>
            <w:tcW w:w="1341" w:type="pct"/>
            <w:tcBorders>
              <w:top w:val="single" w:sz="4" w:space="0" w:color="C5E0B3"/>
              <w:left w:val="single" w:sz="4" w:space="0" w:color="C5E0B3"/>
              <w:bottom w:val="single" w:sz="4" w:space="0" w:color="C5E0B3"/>
              <w:right w:val="single" w:sz="4" w:space="0" w:color="C5E0B3"/>
            </w:tcBorders>
            <w:shd w:val="clear" w:color="auto" w:fill="auto"/>
            <w:hideMark/>
          </w:tcPr>
          <w:p w14:paraId="796EE30E" w14:textId="77777777" w:rsidR="00302BFE" w:rsidRPr="00442C83" w:rsidRDefault="00302BFE" w:rsidP="00243B15">
            <w:pPr>
              <w:spacing w:after="0"/>
              <w:ind w:left="170"/>
              <w:rPr>
                <w:rFonts w:eastAsia="Calibri"/>
                <w:szCs w:val="20"/>
              </w:rPr>
            </w:pPr>
            <w:r w:rsidRPr="00442C83">
              <w:rPr>
                <w:rFonts w:eastAsia="Calibri"/>
                <w:szCs w:val="20"/>
              </w:rPr>
              <w:t>34 895</w:t>
            </w:r>
          </w:p>
        </w:tc>
        <w:tc>
          <w:tcPr>
            <w:tcW w:w="1138" w:type="pct"/>
            <w:tcBorders>
              <w:top w:val="single" w:sz="4" w:space="0" w:color="C5E0B3"/>
              <w:left w:val="single" w:sz="4" w:space="0" w:color="C5E0B3"/>
              <w:bottom w:val="single" w:sz="4" w:space="0" w:color="C5E0B3"/>
              <w:right w:val="single" w:sz="4" w:space="0" w:color="C5E0B3"/>
            </w:tcBorders>
            <w:shd w:val="clear" w:color="auto" w:fill="auto"/>
            <w:hideMark/>
          </w:tcPr>
          <w:p w14:paraId="2E09777D" w14:textId="77777777" w:rsidR="00302BFE" w:rsidRPr="00442C83" w:rsidRDefault="00302BFE" w:rsidP="00243B15">
            <w:pPr>
              <w:spacing w:after="0"/>
              <w:ind w:left="170"/>
              <w:rPr>
                <w:rFonts w:eastAsia="Calibri"/>
                <w:szCs w:val="20"/>
              </w:rPr>
            </w:pPr>
            <w:r w:rsidRPr="00442C83">
              <w:rPr>
                <w:rFonts w:eastAsia="Calibri"/>
                <w:szCs w:val="20"/>
              </w:rPr>
              <w:t>72 562</w:t>
            </w:r>
          </w:p>
        </w:tc>
      </w:tr>
      <w:tr w:rsidR="00302BFE" w:rsidRPr="00442C83" w14:paraId="3A9BCC59" w14:textId="77777777" w:rsidTr="00243B15">
        <w:trPr>
          <w:jc w:val="center"/>
        </w:trPr>
        <w:tc>
          <w:tcPr>
            <w:tcW w:w="1161" w:type="pct"/>
            <w:tcBorders>
              <w:top w:val="single" w:sz="4" w:space="0" w:color="C5E0B3"/>
              <w:left w:val="single" w:sz="4" w:space="0" w:color="C5E0B3"/>
              <w:bottom w:val="single" w:sz="4" w:space="0" w:color="C5E0B3"/>
              <w:right w:val="single" w:sz="4" w:space="0" w:color="C5E0B3"/>
            </w:tcBorders>
            <w:shd w:val="clear" w:color="auto" w:fill="auto"/>
            <w:hideMark/>
          </w:tcPr>
          <w:p w14:paraId="0F088F2B" w14:textId="77777777" w:rsidR="00302BFE" w:rsidRPr="00442C83" w:rsidRDefault="00302BFE" w:rsidP="00243B15">
            <w:pPr>
              <w:spacing w:after="0"/>
              <w:ind w:left="170"/>
              <w:rPr>
                <w:rFonts w:eastAsia="Calibri"/>
                <w:b/>
                <w:bCs/>
                <w:szCs w:val="20"/>
              </w:rPr>
            </w:pPr>
            <w:r w:rsidRPr="00442C83">
              <w:rPr>
                <w:rFonts w:eastAsia="Calibri"/>
                <w:b/>
                <w:bCs/>
                <w:szCs w:val="20"/>
              </w:rPr>
              <w:t>Toecé</w:t>
            </w:r>
          </w:p>
        </w:tc>
        <w:tc>
          <w:tcPr>
            <w:tcW w:w="1356" w:type="pct"/>
            <w:tcBorders>
              <w:top w:val="single" w:sz="4" w:space="0" w:color="C5E0B3"/>
              <w:left w:val="single" w:sz="4" w:space="0" w:color="C5E0B3"/>
              <w:bottom w:val="single" w:sz="4" w:space="0" w:color="C5E0B3"/>
              <w:right w:val="single" w:sz="4" w:space="0" w:color="C5E0B3"/>
            </w:tcBorders>
            <w:shd w:val="clear" w:color="auto" w:fill="auto"/>
            <w:hideMark/>
          </w:tcPr>
          <w:p w14:paraId="566929EE" w14:textId="77777777" w:rsidR="00302BFE" w:rsidRPr="00442C83" w:rsidRDefault="00302BFE" w:rsidP="00243B15">
            <w:pPr>
              <w:spacing w:after="0"/>
              <w:ind w:left="170"/>
              <w:rPr>
                <w:rFonts w:eastAsia="Calibri"/>
                <w:szCs w:val="20"/>
              </w:rPr>
            </w:pPr>
            <w:r w:rsidRPr="00442C83">
              <w:rPr>
                <w:rFonts w:eastAsia="Calibri"/>
                <w:szCs w:val="20"/>
              </w:rPr>
              <w:t>22 325</w:t>
            </w:r>
          </w:p>
        </w:tc>
        <w:tc>
          <w:tcPr>
            <w:tcW w:w="1341" w:type="pct"/>
            <w:tcBorders>
              <w:top w:val="single" w:sz="4" w:space="0" w:color="C5E0B3"/>
              <w:left w:val="single" w:sz="4" w:space="0" w:color="C5E0B3"/>
              <w:bottom w:val="single" w:sz="4" w:space="0" w:color="C5E0B3"/>
              <w:right w:val="single" w:sz="4" w:space="0" w:color="C5E0B3"/>
            </w:tcBorders>
            <w:shd w:val="clear" w:color="auto" w:fill="auto"/>
            <w:hideMark/>
          </w:tcPr>
          <w:p w14:paraId="1B7A69FA" w14:textId="77777777" w:rsidR="00302BFE" w:rsidRPr="00442C83" w:rsidRDefault="00302BFE" w:rsidP="00243B15">
            <w:pPr>
              <w:spacing w:after="0"/>
              <w:ind w:left="170"/>
              <w:rPr>
                <w:rFonts w:eastAsia="Calibri"/>
                <w:szCs w:val="20"/>
              </w:rPr>
            </w:pPr>
            <w:r w:rsidRPr="00442C83">
              <w:rPr>
                <w:rFonts w:eastAsia="Calibri"/>
                <w:szCs w:val="20"/>
              </w:rPr>
              <w:t>19 647</w:t>
            </w:r>
          </w:p>
        </w:tc>
        <w:tc>
          <w:tcPr>
            <w:tcW w:w="1138" w:type="pct"/>
            <w:tcBorders>
              <w:top w:val="single" w:sz="4" w:space="0" w:color="C5E0B3"/>
              <w:left w:val="single" w:sz="4" w:space="0" w:color="C5E0B3"/>
              <w:bottom w:val="single" w:sz="4" w:space="0" w:color="C5E0B3"/>
              <w:right w:val="single" w:sz="4" w:space="0" w:color="C5E0B3"/>
            </w:tcBorders>
            <w:shd w:val="clear" w:color="auto" w:fill="auto"/>
            <w:hideMark/>
          </w:tcPr>
          <w:p w14:paraId="42405F7B" w14:textId="77777777" w:rsidR="00302BFE" w:rsidRPr="00442C83" w:rsidRDefault="00302BFE" w:rsidP="00243B15">
            <w:pPr>
              <w:spacing w:after="0"/>
              <w:ind w:left="170"/>
              <w:rPr>
                <w:rFonts w:eastAsia="Calibri"/>
                <w:szCs w:val="20"/>
              </w:rPr>
            </w:pPr>
            <w:r w:rsidRPr="00442C83">
              <w:rPr>
                <w:rFonts w:eastAsia="Calibri"/>
                <w:szCs w:val="20"/>
              </w:rPr>
              <w:t>41 971</w:t>
            </w:r>
          </w:p>
        </w:tc>
      </w:tr>
      <w:tr w:rsidR="00302BFE" w:rsidRPr="00442C83" w14:paraId="0086A809" w14:textId="77777777" w:rsidTr="00243B15">
        <w:trPr>
          <w:jc w:val="center"/>
        </w:trPr>
        <w:tc>
          <w:tcPr>
            <w:tcW w:w="1161" w:type="pct"/>
            <w:tcBorders>
              <w:top w:val="single" w:sz="4" w:space="0" w:color="C5E0B3"/>
              <w:left w:val="single" w:sz="4" w:space="0" w:color="C5E0B3"/>
              <w:bottom w:val="single" w:sz="4" w:space="0" w:color="C5E0B3"/>
              <w:right w:val="single" w:sz="4" w:space="0" w:color="C5E0B3"/>
            </w:tcBorders>
            <w:shd w:val="clear" w:color="auto" w:fill="auto"/>
            <w:hideMark/>
          </w:tcPr>
          <w:p w14:paraId="05FB43EF" w14:textId="77777777" w:rsidR="00302BFE" w:rsidRPr="00442C83" w:rsidRDefault="00302BFE" w:rsidP="00243B15">
            <w:pPr>
              <w:spacing w:after="0"/>
              <w:ind w:left="170"/>
              <w:rPr>
                <w:rFonts w:eastAsia="Calibri"/>
                <w:b/>
                <w:bCs/>
                <w:szCs w:val="20"/>
              </w:rPr>
            </w:pPr>
            <w:r w:rsidRPr="00442C83">
              <w:rPr>
                <w:rFonts w:eastAsia="Calibri"/>
                <w:b/>
                <w:bCs/>
                <w:szCs w:val="20"/>
              </w:rPr>
              <w:t xml:space="preserve">Doulougou </w:t>
            </w:r>
          </w:p>
        </w:tc>
        <w:tc>
          <w:tcPr>
            <w:tcW w:w="1356" w:type="pct"/>
            <w:tcBorders>
              <w:top w:val="single" w:sz="4" w:space="0" w:color="C5E0B3"/>
              <w:left w:val="single" w:sz="4" w:space="0" w:color="C5E0B3"/>
              <w:bottom w:val="single" w:sz="4" w:space="0" w:color="C5E0B3"/>
              <w:right w:val="single" w:sz="4" w:space="0" w:color="C5E0B3"/>
            </w:tcBorders>
            <w:shd w:val="clear" w:color="auto" w:fill="auto"/>
            <w:hideMark/>
          </w:tcPr>
          <w:p w14:paraId="1369D3E3" w14:textId="77777777" w:rsidR="00302BFE" w:rsidRPr="00442C83" w:rsidRDefault="00302BFE" w:rsidP="00243B15">
            <w:pPr>
              <w:spacing w:after="0"/>
              <w:ind w:left="170"/>
              <w:rPr>
                <w:rFonts w:eastAsia="Calibri"/>
                <w:szCs w:val="20"/>
                <w:lang w:val="fr-FR"/>
              </w:rPr>
            </w:pPr>
            <w:r w:rsidRPr="00442C83">
              <w:rPr>
                <w:rFonts w:eastAsia="Calibri"/>
                <w:szCs w:val="20"/>
              </w:rPr>
              <w:t>17 608</w:t>
            </w:r>
          </w:p>
        </w:tc>
        <w:tc>
          <w:tcPr>
            <w:tcW w:w="1341" w:type="pct"/>
            <w:tcBorders>
              <w:top w:val="single" w:sz="4" w:space="0" w:color="C5E0B3"/>
              <w:left w:val="single" w:sz="4" w:space="0" w:color="C5E0B3"/>
              <w:bottom w:val="single" w:sz="4" w:space="0" w:color="C5E0B3"/>
              <w:right w:val="single" w:sz="4" w:space="0" w:color="C5E0B3"/>
            </w:tcBorders>
            <w:shd w:val="clear" w:color="auto" w:fill="auto"/>
            <w:hideMark/>
          </w:tcPr>
          <w:p w14:paraId="5DF25772" w14:textId="77777777" w:rsidR="00302BFE" w:rsidRPr="00442C83" w:rsidRDefault="00302BFE" w:rsidP="00243B15">
            <w:pPr>
              <w:spacing w:after="0"/>
              <w:ind w:left="170"/>
              <w:rPr>
                <w:rFonts w:eastAsia="Calibri"/>
                <w:szCs w:val="20"/>
              </w:rPr>
            </w:pPr>
            <w:r w:rsidRPr="00442C83">
              <w:rPr>
                <w:rFonts w:eastAsia="Calibri"/>
                <w:szCs w:val="20"/>
              </w:rPr>
              <w:t>15 790</w:t>
            </w:r>
          </w:p>
        </w:tc>
        <w:tc>
          <w:tcPr>
            <w:tcW w:w="1138" w:type="pct"/>
            <w:tcBorders>
              <w:top w:val="single" w:sz="4" w:space="0" w:color="C5E0B3"/>
              <w:left w:val="single" w:sz="4" w:space="0" w:color="C5E0B3"/>
              <w:bottom w:val="single" w:sz="4" w:space="0" w:color="C5E0B3"/>
              <w:right w:val="single" w:sz="4" w:space="0" w:color="C5E0B3"/>
            </w:tcBorders>
            <w:shd w:val="clear" w:color="auto" w:fill="auto"/>
            <w:hideMark/>
          </w:tcPr>
          <w:p w14:paraId="3511A228" w14:textId="77777777" w:rsidR="00302BFE" w:rsidRPr="00442C83" w:rsidRDefault="00302BFE" w:rsidP="00243B15">
            <w:pPr>
              <w:spacing w:after="0"/>
              <w:ind w:left="170"/>
              <w:rPr>
                <w:rFonts w:eastAsia="Calibri"/>
                <w:szCs w:val="20"/>
              </w:rPr>
            </w:pPr>
            <w:r w:rsidRPr="00442C83">
              <w:rPr>
                <w:rFonts w:eastAsia="Calibri"/>
                <w:szCs w:val="20"/>
              </w:rPr>
              <w:t>33 398</w:t>
            </w:r>
          </w:p>
        </w:tc>
      </w:tr>
      <w:tr w:rsidR="00302BFE" w:rsidRPr="00442C83" w14:paraId="01941324" w14:textId="77777777" w:rsidTr="00243B15">
        <w:trPr>
          <w:jc w:val="center"/>
        </w:trPr>
        <w:tc>
          <w:tcPr>
            <w:tcW w:w="1161" w:type="pct"/>
            <w:tcBorders>
              <w:top w:val="single" w:sz="4" w:space="0" w:color="C5E0B3"/>
              <w:left w:val="single" w:sz="4" w:space="0" w:color="C5E0B3"/>
              <w:bottom w:val="single" w:sz="4" w:space="0" w:color="C5E0B3"/>
              <w:right w:val="single" w:sz="4" w:space="0" w:color="C5E0B3"/>
            </w:tcBorders>
            <w:shd w:val="clear" w:color="auto" w:fill="auto"/>
            <w:hideMark/>
          </w:tcPr>
          <w:p w14:paraId="48E90A08" w14:textId="77777777" w:rsidR="00302BFE" w:rsidRPr="00442C83" w:rsidRDefault="00302BFE" w:rsidP="00243B15">
            <w:pPr>
              <w:spacing w:after="0"/>
              <w:ind w:left="170"/>
              <w:rPr>
                <w:rFonts w:eastAsia="Calibri"/>
                <w:b/>
                <w:bCs/>
                <w:szCs w:val="20"/>
              </w:rPr>
            </w:pPr>
            <w:r w:rsidRPr="00442C83">
              <w:rPr>
                <w:rFonts w:eastAsia="Calibri"/>
                <w:b/>
                <w:bCs/>
                <w:szCs w:val="20"/>
              </w:rPr>
              <w:t>Biéha</w:t>
            </w:r>
          </w:p>
        </w:tc>
        <w:tc>
          <w:tcPr>
            <w:tcW w:w="1356" w:type="pct"/>
            <w:tcBorders>
              <w:top w:val="single" w:sz="4" w:space="0" w:color="C5E0B3"/>
              <w:left w:val="single" w:sz="4" w:space="0" w:color="C5E0B3"/>
              <w:bottom w:val="single" w:sz="4" w:space="0" w:color="C5E0B3"/>
              <w:right w:val="single" w:sz="4" w:space="0" w:color="C5E0B3"/>
            </w:tcBorders>
            <w:shd w:val="clear" w:color="auto" w:fill="auto"/>
            <w:hideMark/>
          </w:tcPr>
          <w:p w14:paraId="2F32A78E" w14:textId="77777777" w:rsidR="00302BFE" w:rsidRPr="00442C83" w:rsidRDefault="00302BFE" w:rsidP="00243B15">
            <w:pPr>
              <w:spacing w:after="0"/>
              <w:ind w:left="170"/>
              <w:rPr>
                <w:rFonts w:eastAsia="Calibri"/>
                <w:szCs w:val="20"/>
              </w:rPr>
            </w:pPr>
            <w:r w:rsidRPr="00442C83">
              <w:rPr>
                <w:rFonts w:eastAsia="Calibri"/>
                <w:szCs w:val="20"/>
              </w:rPr>
              <w:t>24 956</w:t>
            </w:r>
          </w:p>
        </w:tc>
        <w:tc>
          <w:tcPr>
            <w:tcW w:w="1341" w:type="pct"/>
            <w:tcBorders>
              <w:top w:val="single" w:sz="4" w:space="0" w:color="C5E0B3"/>
              <w:left w:val="single" w:sz="4" w:space="0" w:color="C5E0B3"/>
              <w:bottom w:val="single" w:sz="4" w:space="0" w:color="C5E0B3"/>
              <w:right w:val="single" w:sz="4" w:space="0" w:color="C5E0B3"/>
            </w:tcBorders>
            <w:shd w:val="clear" w:color="auto" w:fill="auto"/>
            <w:hideMark/>
          </w:tcPr>
          <w:p w14:paraId="4552BEF0" w14:textId="77777777" w:rsidR="00302BFE" w:rsidRPr="00442C83" w:rsidRDefault="00302BFE" w:rsidP="00243B15">
            <w:pPr>
              <w:spacing w:after="0"/>
              <w:ind w:left="170"/>
              <w:rPr>
                <w:rFonts w:eastAsia="Calibri"/>
                <w:szCs w:val="20"/>
              </w:rPr>
            </w:pPr>
            <w:r w:rsidRPr="00442C83">
              <w:rPr>
                <w:rFonts w:eastAsia="Calibri"/>
                <w:szCs w:val="20"/>
              </w:rPr>
              <w:t>22 534</w:t>
            </w:r>
          </w:p>
        </w:tc>
        <w:tc>
          <w:tcPr>
            <w:tcW w:w="1138" w:type="pct"/>
            <w:tcBorders>
              <w:top w:val="single" w:sz="4" w:space="0" w:color="C5E0B3"/>
              <w:left w:val="single" w:sz="4" w:space="0" w:color="C5E0B3"/>
              <w:bottom w:val="single" w:sz="4" w:space="0" w:color="C5E0B3"/>
              <w:right w:val="single" w:sz="4" w:space="0" w:color="C5E0B3"/>
            </w:tcBorders>
            <w:shd w:val="clear" w:color="auto" w:fill="auto"/>
            <w:hideMark/>
          </w:tcPr>
          <w:p w14:paraId="1273DA8D" w14:textId="77777777" w:rsidR="00302BFE" w:rsidRPr="00442C83" w:rsidRDefault="00302BFE" w:rsidP="00243B15">
            <w:pPr>
              <w:spacing w:after="0"/>
              <w:ind w:left="170"/>
              <w:rPr>
                <w:rFonts w:eastAsia="Calibri"/>
                <w:szCs w:val="20"/>
              </w:rPr>
            </w:pPr>
            <w:r w:rsidRPr="00442C83">
              <w:rPr>
                <w:rFonts w:eastAsia="Calibri"/>
                <w:szCs w:val="20"/>
              </w:rPr>
              <w:t>47 490</w:t>
            </w:r>
          </w:p>
        </w:tc>
      </w:tr>
      <w:tr w:rsidR="00302BFE" w:rsidRPr="00442C83" w14:paraId="1A820D79" w14:textId="77777777" w:rsidTr="00243B15">
        <w:trPr>
          <w:jc w:val="center"/>
        </w:trPr>
        <w:tc>
          <w:tcPr>
            <w:tcW w:w="1161" w:type="pct"/>
            <w:tcBorders>
              <w:top w:val="single" w:sz="4" w:space="0" w:color="C5E0B3"/>
              <w:left w:val="single" w:sz="4" w:space="0" w:color="C5E0B3"/>
              <w:bottom w:val="single" w:sz="4" w:space="0" w:color="C5E0B3"/>
              <w:right w:val="single" w:sz="4" w:space="0" w:color="C5E0B3"/>
            </w:tcBorders>
            <w:shd w:val="clear" w:color="auto" w:fill="auto"/>
            <w:hideMark/>
          </w:tcPr>
          <w:p w14:paraId="28AEFD3C" w14:textId="77777777" w:rsidR="00302BFE" w:rsidRPr="00442C83" w:rsidRDefault="00302BFE" w:rsidP="00243B15">
            <w:pPr>
              <w:spacing w:after="0"/>
              <w:ind w:left="170"/>
              <w:rPr>
                <w:rFonts w:eastAsia="Calibri"/>
                <w:b/>
                <w:bCs/>
                <w:szCs w:val="20"/>
              </w:rPr>
            </w:pPr>
            <w:r w:rsidRPr="00442C83">
              <w:rPr>
                <w:rFonts w:eastAsia="Calibri"/>
                <w:b/>
                <w:bCs/>
                <w:szCs w:val="20"/>
              </w:rPr>
              <w:t>Sapouy</w:t>
            </w:r>
          </w:p>
        </w:tc>
        <w:tc>
          <w:tcPr>
            <w:tcW w:w="1356" w:type="pct"/>
            <w:tcBorders>
              <w:top w:val="single" w:sz="4" w:space="0" w:color="C5E0B3"/>
              <w:left w:val="single" w:sz="4" w:space="0" w:color="C5E0B3"/>
              <w:bottom w:val="single" w:sz="4" w:space="0" w:color="C5E0B3"/>
              <w:right w:val="single" w:sz="4" w:space="0" w:color="C5E0B3"/>
            </w:tcBorders>
            <w:shd w:val="clear" w:color="auto" w:fill="auto"/>
            <w:hideMark/>
          </w:tcPr>
          <w:p w14:paraId="5C35A044" w14:textId="77777777" w:rsidR="00302BFE" w:rsidRPr="00442C83" w:rsidRDefault="00302BFE" w:rsidP="00243B15">
            <w:pPr>
              <w:spacing w:after="0"/>
              <w:ind w:left="170"/>
              <w:rPr>
                <w:rFonts w:eastAsia="Calibri"/>
                <w:szCs w:val="20"/>
              </w:rPr>
            </w:pPr>
            <w:r w:rsidRPr="00442C83">
              <w:rPr>
                <w:rFonts w:eastAsia="Calibri"/>
                <w:szCs w:val="20"/>
              </w:rPr>
              <w:t>48 951</w:t>
            </w:r>
          </w:p>
        </w:tc>
        <w:tc>
          <w:tcPr>
            <w:tcW w:w="1341" w:type="pct"/>
            <w:tcBorders>
              <w:top w:val="single" w:sz="4" w:space="0" w:color="C5E0B3"/>
              <w:left w:val="single" w:sz="4" w:space="0" w:color="C5E0B3"/>
              <w:bottom w:val="single" w:sz="4" w:space="0" w:color="C5E0B3"/>
              <w:right w:val="single" w:sz="4" w:space="0" w:color="C5E0B3"/>
            </w:tcBorders>
            <w:shd w:val="clear" w:color="auto" w:fill="auto"/>
            <w:hideMark/>
          </w:tcPr>
          <w:p w14:paraId="10524243" w14:textId="77777777" w:rsidR="00302BFE" w:rsidRPr="00442C83" w:rsidRDefault="00302BFE" w:rsidP="00243B15">
            <w:pPr>
              <w:spacing w:after="0"/>
              <w:ind w:left="170"/>
              <w:rPr>
                <w:rFonts w:eastAsia="Calibri"/>
                <w:szCs w:val="20"/>
              </w:rPr>
            </w:pPr>
            <w:r w:rsidRPr="00442C83">
              <w:rPr>
                <w:rFonts w:eastAsia="Calibri"/>
                <w:szCs w:val="20"/>
              </w:rPr>
              <w:t>44 327</w:t>
            </w:r>
          </w:p>
        </w:tc>
        <w:tc>
          <w:tcPr>
            <w:tcW w:w="1138" w:type="pct"/>
            <w:tcBorders>
              <w:top w:val="single" w:sz="4" w:space="0" w:color="C5E0B3"/>
              <w:left w:val="single" w:sz="4" w:space="0" w:color="C5E0B3"/>
              <w:bottom w:val="single" w:sz="4" w:space="0" w:color="C5E0B3"/>
              <w:right w:val="single" w:sz="4" w:space="0" w:color="C5E0B3"/>
            </w:tcBorders>
            <w:shd w:val="clear" w:color="auto" w:fill="auto"/>
            <w:hideMark/>
          </w:tcPr>
          <w:p w14:paraId="3EC4AF33" w14:textId="77777777" w:rsidR="00302BFE" w:rsidRPr="00442C83" w:rsidRDefault="00302BFE" w:rsidP="00243B15">
            <w:pPr>
              <w:spacing w:after="0"/>
              <w:ind w:left="170"/>
              <w:rPr>
                <w:rFonts w:eastAsia="Calibri"/>
                <w:szCs w:val="20"/>
              </w:rPr>
            </w:pPr>
            <w:r w:rsidRPr="00442C83">
              <w:rPr>
                <w:rFonts w:eastAsia="Calibri"/>
                <w:szCs w:val="20"/>
              </w:rPr>
              <w:t>93 278</w:t>
            </w:r>
          </w:p>
        </w:tc>
      </w:tr>
      <w:tr w:rsidR="00302BFE" w:rsidRPr="00442C83" w14:paraId="63A579E4" w14:textId="77777777" w:rsidTr="00243B15">
        <w:trPr>
          <w:jc w:val="center"/>
        </w:trPr>
        <w:tc>
          <w:tcPr>
            <w:tcW w:w="1161" w:type="pct"/>
            <w:tcBorders>
              <w:top w:val="single" w:sz="4" w:space="0" w:color="C5E0B3"/>
              <w:left w:val="single" w:sz="4" w:space="0" w:color="C5E0B3"/>
              <w:bottom w:val="single" w:sz="4" w:space="0" w:color="C5E0B3"/>
              <w:right w:val="single" w:sz="4" w:space="0" w:color="C5E0B3"/>
            </w:tcBorders>
            <w:shd w:val="clear" w:color="auto" w:fill="auto"/>
            <w:hideMark/>
          </w:tcPr>
          <w:p w14:paraId="0A4B9B8C" w14:textId="77777777" w:rsidR="00302BFE" w:rsidRPr="00442C83" w:rsidRDefault="00302BFE" w:rsidP="00243B15">
            <w:pPr>
              <w:spacing w:after="0"/>
              <w:ind w:left="170"/>
              <w:rPr>
                <w:rFonts w:eastAsia="Calibri"/>
                <w:b/>
                <w:bCs/>
                <w:szCs w:val="20"/>
              </w:rPr>
            </w:pPr>
            <w:r w:rsidRPr="00442C83">
              <w:rPr>
                <w:rFonts w:eastAsia="Calibri"/>
                <w:b/>
                <w:bCs/>
                <w:szCs w:val="20"/>
              </w:rPr>
              <w:t>Nobéré</w:t>
            </w:r>
          </w:p>
        </w:tc>
        <w:tc>
          <w:tcPr>
            <w:tcW w:w="1356" w:type="pct"/>
            <w:tcBorders>
              <w:top w:val="single" w:sz="4" w:space="0" w:color="C5E0B3"/>
              <w:left w:val="single" w:sz="4" w:space="0" w:color="C5E0B3"/>
              <w:bottom w:val="single" w:sz="4" w:space="0" w:color="C5E0B3"/>
              <w:right w:val="single" w:sz="4" w:space="0" w:color="C5E0B3"/>
            </w:tcBorders>
            <w:shd w:val="clear" w:color="auto" w:fill="auto"/>
            <w:hideMark/>
          </w:tcPr>
          <w:p w14:paraId="119B135E" w14:textId="77777777" w:rsidR="00302BFE" w:rsidRPr="00442C83" w:rsidRDefault="00302BFE" w:rsidP="00243B15">
            <w:pPr>
              <w:spacing w:after="0"/>
              <w:ind w:left="170"/>
              <w:rPr>
                <w:rFonts w:eastAsia="Calibri"/>
                <w:szCs w:val="20"/>
              </w:rPr>
            </w:pPr>
            <w:r w:rsidRPr="00442C83">
              <w:rPr>
                <w:rFonts w:eastAsia="Calibri"/>
                <w:szCs w:val="20"/>
              </w:rPr>
              <w:t>23 296</w:t>
            </w:r>
          </w:p>
        </w:tc>
        <w:tc>
          <w:tcPr>
            <w:tcW w:w="1341" w:type="pct"/>
            <w:tcBorders>
              <w:top w:val="single" w:sz="4" w:space="0" w:color="C5E0B3"/>
              <w:left w:val="single" w:sz="4" w:space="0" w:color="C5E0B3"/>
              <w:bottom w:val="single" w:sz="4" w:space="0" w:color="C5E0B3"/>
              <w:right w:val="single" w:sz="4" w:space="0" w:color="C5E0B3"/>
            </w:tcBorders>
            <w:shd w:val="clear" w:color="auto" w:fill="auto"/>
            <w:hideMark/>
          </w:tcPr>
          <w:p w14:paraId="0542B7E5" w14:textId="77777777" w:rsidR="00302BFE" w:rsidRPr="00442C83" w:rsidRDefault="00302BFE" w:rsidP="00243B15">
            <w:pPr>
              <w:spacing w:after="0"/>
              <w:ind w:left="170"/>
              <w:rPr>
                <w:rFonts w:eastAsia="Calibri"/>
                <w:szCs w:val="20"/>
              </w:rPr>
            </w:pPr>
            <w:r w:rsidRPr="00442C83">
              <w:rPr>
                <w:rFonts w:eastAsia="Calibri"/>
                <w:szCs w:val="20"/>
              </w:rPr>
              <w:t>20 434</w:t>
            </w:r>
          </w:p>
        </w:tc>
        <w:tc>
          <w:tcPr>
            <w:tcW w:w="1138" w:type="pct"/>
            <w:tcBorders>
              <w:top w:val="single" w:sz="4" w:space="0" w:color="C5E0B3"/>
              <w:left w:val="single" w:sz="4" w:space="0" w:color="C5E0B3"/>
              <w:bottom w:val="single" w:sz="4" w:space="0" w:color="C5E0B3"/>
              <w:right w:val="single" w:sz="4" w:space="0" w:color="C5E0B3"/>
            </w:tcBorders>
            <w:shd w:val="clear" w:color="auto" w:fill="auto"/>
            <w:hideMark/>
          </w:tcPr>
          <w:p w14:paraId="6B958F40" w14:textId="77777777" w:rsidR="00302BFE" w:rsidRPr="00442C83" w:rsidRDefault="00302BFE" w:rsidP="00243B15">
            <w:pPr>
              <w:spacing w:after="0"/>
              <w:ind w:left="170"/>
              <w:rPr>
                <w:rFonts w:eastAsia="Calibri"/>
                <w:szCs w:val="20"/>
              </w:rPr>
            </w:pPr>
            <w:r w:rsidRPr="00442C83">
              <w:rPr>
                <w:rFonts w:eastAsia="Calibri"/>
                <w:szCs w:val="20"/>
              </w:rPr>
              <w:t>43 730</w:t>
            </w:r>
          </w:p>
        </w:tc>
      </w:tr>
      <w:tr w:rsidR="00302BFE" w:rsidRPr="00442C83" w14:paraId="2DDB26D6" w14:textId="77777777" w:rsidTr="00243B15">
        <w:trPr>
          <w:jc w:val="center"/>
        </w:trPr>
        <w:tc>
          <w:tcPr>
            <w:tcW w:w="3862" w:type="pct"/>
            <w:gridSpan w:val="3"/>
            <w:tcBorders>
              <w:top w:val="single" w:sz="4" w:space="0" w:color="C5E0B3"/>
              <w:left w:val="single" w:sz="4" w:space="0" w:color="C5E0B3"/>
              <w:bottom w:val="single" w:sz="4" w:space="0" w:color="C5E0B3"/>
              <w:right w:val="single" w:sz="4" w:space="0" w:color="C5E0B3"/>
            </w:tcBorders>
            <w:shd w:val="clear" w:color="auto" w:fill="auto"/>
            <w:hideMark/>
          </w:tcPr>
          <w:p w14:paraId="5E42128B" w14:textId="77777777" w:rsidR="00302BFE" w:rsidRPr="00442C83" w:rsidRDefault="00302BFE" w:rsidP="00243B15">
            <w:pPr>
              <w:spacing w:after="0"/>
              <w:ind w:left="170"/>
              <w:rPr>
                <w:rFonts w:eastAsia="Calibri"/>
                <w:b/>
                <w:bCs/>
                <w:szCs w:val="20"/>
              </w:rPr>
            </w:pPr>
            <w:r w:rsidRPr="00442C83">
              <w:rPr>
                <w:rFonts w:eastAsia="Calibri"/>
                <w:b/>
                <w:bCs/>
                <w:szCs w:val="20"/>
              </w:rPr>
              <w:t xml:space="preserve">Total </w:t>
            </w:r>
          </w:p>
        </w:tc>
        <w:tc>
          <w:tcPr>
            <w:tcW w:w="1138" w:type="pct"/>
            <w:tcBorders>
              <w:top w:val="single" w:sz="4" w:space="0" w:color="C5E0B3"/>
              <w:left w:val="single" w:sz="4" w:space="0" w:color="C5E0B3"/>
              <w:bottom w:val="single" w:sz="4" w:space="0" w:color="C5E0B3"/>
              <w:right w:val="single" w:sz="4" w:space="0" w:color="C5E0B3"/>
            </w:tcBorders>
            <w:shd w:val="clear" w:color="auto" w:fill="auto"/>
            <w:hideMark/>
          </w:tcPr>
          <w:p w14:paraId="27CE3BDC" w14:textId="77777777" w:rsidR="00302BFE" w:rsidRPr="00442C83" w:rsidRDefault="00302BFE" w:rsidP="00243B15">
            <w:pPr>
              <w:spacing w:after="0"/>
              <w:ind w:left="170"/>
              <w:rPr>
                <w:rFonts w:eastAsia="Times New Roman"/>
                <w:b/>
                <w:color w:val="000000"/>
                <w:szCs w:val="20"/>
              </w:rPr>
            </w:pPr>
            <w:r w:rsidRPr="00442C83">
              <w:rPr>
                <w:rFonts w:eastAsia="Calibri"/>
                <w:b/>
                <w:color w:val="000000"/>
                <w:szCs w:val="20"/>
              </w:rPr>
              <w:t>487 961</w:t>
            </w:r>
          </w:p>
        </w:tc>
      </w:tr>
    </w:tbl>
    <w:p w14:paraId="4B6DB742" w14:textId="77777777" w:rsidR="00302BFE" w:rsidRPr="006554E1" w:rsidRDefault="00302BFE" w:rsidP="00302BFE">
      <w:pPr>
        <w:pStyle w:val="Paragraphedeliste"/>
        <w:tabs>
          <w:tab w:val="left" w:pos="284"/>
        </w:tabs>
        <w:spacing w:before="120" w:after="120"/>
        <w:ind w:left="0"/>
        <w:jc w:val="both"/>
        <w:rPr>
          <w:rFonts w:ascii="Calibri" w:hAnsi="Calibri"/>
          <w:sz w:val="20"/>
          <w:szCs w:val="20"/>
          <w:lang w:val="fr-CA"/>
        </w:rPr>
      </w:pPr>
      <w:r w:rsidRPr="006554E1">
        <w:rPr>
          <w:rFonts w:ascii="Calibri" w:hAnsi="Calibri"/>
          <w:b/>
          <w:sz w:val="20"/>
          <w:szCs w:val="20"/>
          <w:lang w:val="fr-CA"/>
        </w:rPr>
        <w:t>Niveau de vie des ménages.</w:t>
      </w:r>
      <w:r w:rsidRPr="006554E1">
        <w:rPr>
          <w:rFonts w:ascii="Calibri" w:hAnsi="Calibri"/>
          <w:sz w:val="20"/>
          <w:szCs w:val="20"/>
          <w:lang w:val="fr-CA"/>
        </w:rPr>
        <w:t xml:space="preserve"> </w:t>
      </w:r>
      <w:r w:rsidRPr="006554E1">
        <w:rPr>
          <w:rFonts w:ascii="Calibri" w:hAnsi="Calibri"/>
          <w:sz w:val="20"/>
          <w:szCs w:val="20"/>
          <w:lang w:val="fr-CA" w:eastAsia="en-GB"/>
        </w:rPr>
        <w:t xml:space="preserve">En fonction de la perception des communautés définie lors des entretiens, trois niveaux de vie caractéristiques des ménages ont été identifiés dans la zone de mise en œuvre du projet : pauvre, moyennement pauvre et riche, ainsi que le taux de ménages concernés dans chaque catégorie. Les critères d’appréciation définis sont indiqués dans le tableau </w:t>
      </w:r>
      <w:r w:rsidRPr="00BE0201">
        <w:rPr>
          <w:rFonts w:ascii="Calibri" w:hAnsi="Calibri"/>
          <w:sz w:val="20"/>
          <w:szCs w:val="20"/>
          <w:lang w:val="fr-CA" w:eastAsia="en-GB"/>
        </w:rPr>
        <w:t>B</w:t>
      </w:r>
      <w:r w:rsidRPr="006554E1">
        <w:rPr>
          <w:rFonts w:ascii="Calibri" w:hAnsi="Calibri"/>
          <w:sz w:val="20"/>
          <w:szCs w:val="20"/>
          <w:lang w:val="fr-CA" w:eastAsia="en-GB"/>
        </w:rPr>
        <w:t>.</w:t>
      </w:r>
    </w:p>
    <w:p w14:paraId="4B1C3ECF" w14:textId="77777777" w:rsidR="00302BFE" w:rsidRPr="006554E1" w:rsidRDefault="00302BFE" w:rsidP="00302BFE">
      <w:pPr>
        <w:pStyle w:val="Lgende"/>
        <w:spacing w:before="120" w:after="60"/>
        <w:jc w:val="both"/>
        <w:rPr>
          <w:rFonts w:ascii="Calibri" w:hAnsi="Calibri"/>
          <w:sz w:val="20"/>
          <w:szCs w:val="20"/>
          <w:lang w:val="fr-CA"/>
        </w:rPr>
      </w:pPr>
      <w:bookmarkStart w:id="82" w:name="_Toc2166333"/>
      <w:r w:rsidRPr="006554E1">
        <w:rPr>
          <w:rFonts w:ascii="Calibri" w:hAnsi="Calibri"/>
          <w:sz w:val="20"/>
          <w:szCs w:val="20"/>
          <w:lang w:val="fr-CA"/>
        </w:rPr>
        <w:t xml:space="preserve">Tableau </w:t>
      </w:r>
      <w:r>
        <w:rPr>
          <w:rFonts w:ascii="Calibri" w:hAnsi="Calibri"/>
          <w:sz w:val="20"/>
          <w:szCs w:val="20"/>
          <w:lang w:val="fr-CA"/>
        </w:rPr>
        <w:t>B</w:t>
      </w:r>
      <w:r w:rsidRPr="006554E1">
        <w:rPr>
          <w:rFonts w:ascii="Calibri" w:hAnsi="Calibri"/>
          <w:sz w:val="20"/>
          <w:szCs w:val="20"/>
          <w:lang w:val="fr-CA"/>
        </w:rPr>
        <w:t>: Critères participatifs d’appréciation du niveau de pauvreté</w:t>
      </w:r>
      <w:bookmarkEnd w:id="82"/>
    </w:p>
    <w:tbl>
      <w:tblPr>
        <w:tblW w:w="9776"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Look w:val="04A0" w:firstRow="1" w:lastRow="0" w:firstColumn="1" w:lastColumn="0" w:noHBand="0" w:noVBand="1"/>
      </w:tblPr>
      <w:tblGrid>
        <w:gridCol w:w="1561"/>
        <w:gridCol w:w="8215"/>
      </w:tblGrid>
      <w:tr w:rsidR="00302BFE" w14:paraId="0239AFE8" w14:textId="77777777" w:rsidTr="00243B15">
        <w:tc>
          <w:tcPr>
            <w:tcW w:w="1561" w:type="dxa"/>
            <w:tcBorders>
              <w:top w:val="single" w:sz="4" w:space="0" w:color="F7CAAC"/>
              <w:left w:val="single" w:sz="4" w:space="0" w:color="F7CAAC"/>
              <w:bottom w:val="single" w:sz="12" w:space="0" w:color="F4B083"/>
              <w:right w:val="single" w:sz="4" w:space="0" w:color="F7CAAC"/>
            </w:tcBorders>
            <w:shd w:val="clear" w:color="auto" w:fill="auto"/>
            <w:vAlign w:val="center"/>
            <w:hideMark/>
          </w:tcPr>
          <w:p w14:paraId="15A27141" w14:textId="77777777" w:rsidR="00302BFE" w:rsidRPr="0075595E" w:rsidRDefault="00302BFE" w:rsidP="00243B15">
            <w:pPr>
              <w:rPr>
                <w:rFonts w:eastAsia="Calibri"/>
                <w:b/>
                <w:bCs/>
                <w:sz w:val="18"/>
                <w:szCs w:val="18"/>
              </w:rPr>
            </w:pPr>
            <w:r w:rsidRPr="0075595E">
              <w:rPr>
                <w:rFonts w:eastAsia="Calibri"/>
                <w:b/>
                <w:bCs/>
                <w:sz w:val="18"/>
                <w:szCs w:val="18"/>
              </w:rPr>
              <w:t xml:space="preserve">Niveau de vie </w:t>
            </w:r>
          </w:p>
        </w:tc>
        <w:tc>
          <w:tcPr>
            <w:tcW w:w="8215" w:type="dxa"/>
            <w:tcBorders>
              <w:top w:val="single" w:sz="4" w:space="0" w:color="F7CAAC"/>
              <w:left w:val="single" w:sz="4" w:space="0" w:color="F7CAAC"/>
              <w:bottom w:val="single" w:sz="12" w:space="0" w:color="F4B083"/>
              <w:right w:val="single" w:sz="4" w:space="0" w:color="F7CAAC"/>
            </w:tcBorders>
            <w:shd w:val="clear" w:color="auto" w:fill="auto"/>
            <w:vAlign w:val="center"/>
            <w:hideMark/>
          </w:tcPr>
          <w:p w14:paraId="13DF8D3A" w14:textId="77777777" w:rsidR="00302BFE" w:rsidRPr="0075595E" w:rsidRDefault="00302BFE" w:rsidP="00243B15">
            <w:pPr>
              <w:rPr>
                <w:rFonts w:eastAsia="Calibri"/>
                <w:b/>
                <w:bCs/>
                <w:sz w:val="18"/>
                <w:szCs w:val="18"/>
              </w:rPr>
            </w:pPr>
            <w:r w:rsidRPr="0075595E">
              <w:rPr>
                <w:rFonts w:eastAsia="Calibri"/>
                <w:b/>
                <w:bCs/>
                <w:sz w:val="18"/>
                <w:szCs w:val="18"/>
              </w:rPr>
              <w:t xml:space="preserve">Critères d’appréciation </w:t>
            </w:r>
          </w:p>
        </w:tc>
      </w:tr>
      <w:tr w:rsidR="00302BFE" w:rsidRPr="0099310D" w14:paraId="2C6C0B24" w14:textId="77777777" w:rsidTr="00243B15">
        <w:tc>
          <w:tcPr>
            <w:tcW w:w="1561" w:type="dxa"/>
            <w:tcBorders>
              <w:top w:val="single" w:sz="4" w:space="0" w:color="F7CAAC"/>
              <w:left w:val="single" w:sz="4" w:space="0" w:color="F7CAAC"/>
              <w:bottom w:val="single" w:sz="4" w:space="0" w:color="F7CAAC"/>
              <w:right w:val="single" w:sz="4" w:space="0" w:color="F7CAAC"/>
            </w:tcBorders>
            <w:shd w:val="clear" w:color="auto" w:fill="auto"/>
            <w:vAlign w:val="center"/>
            <w:hideMark/>
          </w:tcPr>
          <w:p w14:paraId="7A1E15D8" w14:textId="77777777" w:rsidR="00302BFE" w:rsidRPr="0075595E" w:rsidRDefault="00302BFE" w:rsidP="00243B15">
            <w:pPr>
              <w:rPr>
                <w:rFonts w:eastAsia="Calibri"/>
                <w:b/>
                <w:bCs/>
                <w:sz w:val="18"/>
                <w:szCs w:val="18"/>
              </w:rPr>
            </w:pPr>
            <w:r w:rsidRPr="0075595E">
              <w:rPr>
                <w:rFonts w:eastAsia="Calibri"/>
                <w:b/>
                <w:bCs/>
                <w:sz w:val="18"/>
                <w:szCs w:val="18"/>
              </w:rPr>
              <w:t>Pauvre</w:t>
            </w:r>
          </w:p>
        </w:tc>
        <w:tc>
          <w:tcPr>
            <w:tcW w:w="8215" w:type="dxa"/>
            <w:tcBorders>
              <w:top w:val="single" w:sz="4" w:space="0" w:color="F7CAAC"/>
              <w:left w:val="single" w:sz="4" w:space="0" w:color="F7CAAC"/>
              <w:bottom w:val="single" w:sz="4" w:space="0" w:color="F7CAAC"/>
              <w:right w:val="single" w:sz="4" w:space="0" w:color="F7CAAC"/>
            </w:tcBorders>
            <w:shd w:val="clear" w:color="auto" w:fill="auto"/>
            <w:vAlign w:val="center"/>
            <w:hideMark/>
          </w:tcPr>
          <w:p w14:paraId="6F38F302" w14:textId="77777777" w:rsidR="00302BFE" w:rsidRPr="0075595E" w:rsidRDefault="00302BFE" w:rsidP="00C46720">
            <w:pPr>
              <w:pStyle w:val="Paragraphedeliste"/>
              <w:widowControl w:val="0"/>
              <w:numPr>
                <w:ilvl w:val="0"/>
                <w:numId w:val="43"/>
              </w:numPr>
              <w:adjustRightInd w:val="0"/>
              <w:ind w:left="16" w:hanging="142"/>
              <w:contextualSpacing/>
              <w:jc w:val="both"/>
              <w:textAlignment w:val="baseline"/>
              <w:rPr>
                <w:rFonts w:ascii="Calibri" w:eastAsia="Calibri" w:hAnsi="Calibri"/>
                <w:sz w:val="18"/>
                <w:szCs w:val="18"/>
                <w:shd w:val="clear" w:color="auto" w:fill="FFFFFF"/>
                <w:lang w:val="fr-CA"/>
              </w:rPr>
            </w:pPr>
            <w:r w:rsidRPr="0075595E">
              <w:rPr>
                <w:rFonts w:ascii="Calibri" w:eastAsia="Calibri" w:hAnsi="Calibri"/>
                <w:sz w:val="18"/>
                <w:szCs w:val="18"/>
                <w:shd w:val="clear" w:color="auto" w:fill="FFFFFF"/>
                <w:lang w:val="fr-CA"/>
              </w:rPr>
              <w:t>Ne dispose d’aucun petit ruminant sinon tout au plus une chèvre comme animal d’élevage</w:t>
            </w:r>
          </w:p>
          <w:p w14:paraId="76CF8816" w14:textId="77777777" w:rsidR="00302BFE" w:rsidRPr="0075595E" w:rsidRDefault="00302BFE" w:rsidP="00C46720">
            <w:pPr>
              <w:pStyle w:val="Paragraphedeliste"/>
              <w:widowControl w:val="0"/>
              <w:numPr>
                <w:ilvl w:val="0"/>
                <w:numId w:val="43"/>
              </w:numPr>
              <w:adjustRightInd w:val="0"/>
              <w:ind w:left="16" w:hanging="142"/>
              <w:contextualSpacing/>
              <w:jc w:val="both"/>
              <w:textAlignment w:val="baseline"/>
              <w:rPr>
                <w:rFonts w:ascii="Calibri" w:eastAsia="Calibri" w:hAnsi="Calibri"/>
                <w:sz w:val="18"/>
                <w:szCs w:val="18"/>
                <w:shd w:val="clear" w:color="auto" w:fill="FFFFFF"/>
                <w:lang w:val="fr-CA"/>
              </w:rPr>
            </w:pPr>
            <w:r w:rsidRPr="0075595E">
              <w:rPr>
                <w:rFonts w:ascii="Calibri" w:eastAsia="Calibri" w:hAnsi="Calibri"/>
                <w:sz w:val="18"/>
                <w:szCs w:val="18"/>
                <w:shd w:val="clear" w:color="auto" w:fill="FFFFFF"/>
                <w:lang w:val="fr-CA"/>
              </w:rPr>
              <w:t>Travaille comme bouvier - dans la communauté Peulh où l’élevage est l’activité principale</w:t>
            </w:r>
          </w:p>
          <w:p w14:paraId="12A4B7A5" w14:textId="77777777" w:rsidR="00302BFE" w:rsidRPr="0075595E" w:rsidRDefault="00302BFE" w:rsidP="00C46720">
            <w:pPr>
              <w:pStyle w:val="Paragraphedeliste"/>
              <w:widowControl w:val="0"/>
              <w:numPr>
                <w:ilvl w:val="0"/>
                <w:numId w:val="43"/>
              </w:numPr>
              <w:adjustRightInd w:val="0"/>
              <w:ind w:left="16" w:hanging="142"/>
              <w:contextualSpacing/>
              <w:jc w:val="both"/>
              <w:textAlignment w:val="baseline"/>
              <w:rPr>
                <w:rFonts w:ascii="Calibri" w:eastAsia="Calibri" w:hAnsi="Calibri"/>
                <w:sz w:val="18"/>
                <w:szCs w:val="18"/>
                <w:shd w:val="clear" w:color="auto" w:fill="FFFFFF"/>
                <w:lang w:val="fr-CA"/>
              </w:rPr>
            </w:pPr>
            <w:r w:rsidRPr="0075595E">
              <w:rPr>
                <w:rFonts w:ascii="Calibri" w:eastAsia="Calibri" w:hAnsi="Calibri"/>
                <w:sz w:val="18"/>
                <w:szCs w:val="18"/>
                <w:shd w:val="clear" w:color="auto" w:fill="FFFFFF"/>
                <w:lang w:val="fr-CA"/>
              </w:rPr>
              <w:t>Ne dispose pas suffisamment de provisions pour une année entière (achète régulièrement des céréales pour se nourrir)</w:t>
            </w:r>
          </w:p>
          <w:p w14:paraId="5425EDF6" w14:textId="77777777" w:rsidR="00302BFE" w:rsidRPr="0075595E" w:rsidRDefault="00302BFE" w:rsidP="00C46720">
            <w:pPr>
              <w:pStyle w:val="Paragraphedeliste"/>
              <w:widowControl w:val="0"/>
              <w:numPr>
                <w:ilvl w:val="0"/>
                <w:numId w:val="43"/>
              </w:numPr>
              <w:adjustRightInd w:val="0"/>
              <w:ind w:left="16" w:hanging="142"/>
              <w:contextualSpacing/>
              <w:jc w:val="both"/>
              <w:textAlignment w:val="baseline"/>
              <w:rPr>
                <w:rFonts w:ascii="Calibri" w:eastAsia="Calibri" w:hAnsi="Calibri"/>
                <w:sz w:val="18"/>
                <w:szCs w:val="18"/>
                <w:shd w:val="clear" w:color="auto" w:fill="FFFFFF"/>
                <w:lang w:val="fr-CA"/>
              </w:rPr>
            </w:pPr>
            <w:r w:rsidRPr="0075595E">
              <w:rPr>
                <w:rFonts w:ascii="Calibri" w:eastAsia="Calibri" w:hAnsi="Calibri"/>
                <w:sz w:val="18"/>
                <w:szCs w:val="18"/>
                <w:shd w:val="clear" w:color="auto" w:fill="FFFFFF"/>
                <w:lang w:val="fr-CA"/>
              </w:rPr>
              <w:t>Ne dispose d’aucun animal de labour</w:t>
            </w:r>
          </w:p>
          <w:p w14:paraId="4E26D8F9" w14:textId="77777777" w:rsidR="00302BFE" w:rsidRPr="0075595E" w:rsidRDefault="00302BFE" w:rsidP="00C46720">
            <w:pPr>
              <w:pStyle w:val="Paragraphedeliste"/>
              <w:widowControl w:val="0"/>
              <w:numPr>
                <w:ilvl w:val="0"/>
                <w:numId w:val="43"/>
              </w:numPr>
              <w:adjustRightInd w:val="0"/>
              <w:ind w:left="16" w:hanging="142"/>
              <w:contextualSpacing/>
              <w:jc w:val="both"/>
              <w:textAlignment w:val="baseline"/>
              <w:rPr>
                <w:rFonts w:ascii="Calibri" w:eastAsia="Calibri" w:hAnsi="Calibri"/>
                <w:sz w:val="18"/>
                <w:szCs w:val="18"/>
                <w:shd w:val="clear" w:color="auto" w:fill="FFFFFF"/>
                <w:lang w:val="fr-CA"/>
              </w:rPr>
            </w:pPr>
            <w:r w:rsidRPr="0075595E">
              <w:rPr>
                <w:rFonts w:ascii="Calibri" w:eastAsia="Calibri" w:hAnsi="Calibri"/>
                <w:sz w:val="18"/>
                <w:szCs w:val="18"/>
                <w:shd w:val="clear" w:color="auto" w:fill="FFFFFF"/>
                <w:lang w:val="fr-CA"/>
              </w:rPr>
              <w:t>Arrive à peine à assurer 2 repas par jour</w:t>
            </w:r>
          </w:p>
          <w:p w14:paraId="435EA3CB" w14:textId="77777777" w:rsidR="00302BFE" w:rsidRPr="00BE0201" w:rsidRDefault="00302BFE" w:rsidP="00C46720">
            <w:pPr>
              <w:pStyle w:val="Paragraphedeliste"/>
              <w:widowControl w:val="0"/>
              <w:numPr>
                <w:ilvl w:val="0"/>
                <w:numId w:val="43"/>
              </w:numPr>
              <w:adjustRightInd w:val="0"/>
              <w:ind w:left="16" w:hanging="142"/>
              <w:contextualSpacing/>
              <w:jc w:val="both"/>
              <w:textAlignment w:val="baseline"/>
              <w:rPr>
                <w:rFonts w:ascii="Calibri" w:eastAsia="Calibri" w:hAnsi="Calibri"/>
                <w:sz w:val="18"/>
                <w:szCs w:val="18"/>
                <w:shd w:val="clear" w:color="auto" w:fill="FFFFFF"/>
                <w:lang w:val="fr-CA"/>
              </w:rPr>
            </w:pPr>
            <w:r w:rsidRPr="00BE0201">
              <w:rPr>
                <w:rFonts w:ascii="Calibri" w:eastAsia="Calibri" w:hAnsi="Calibri"/>
                <w:sz w:val="18"/>
                <w:szCs w:val="18"/>
                <w:shd w:val="clear" w:color="auto" w:fill="FFFFFF"/>
                <w:lang w:val="fr-CA"/>
              </w:rPr>
              <w:t>Ne peut se soigner convenablement</w:t>
            </w:r>
          </w:p>
          <w:p w14:paraId="20BE8CB2" w14:textId="77777777" w:rsidR="00302BFE" w:rsidRPr="0075595E" w:rsidRDefault="00302BFE" w:rsidP="00C46720">
            <w:pPr>
              <w:pStyle w:val="Paragraphedeliste"/>
              <w:widowControl w:val="0"/>
              <w:numPr>
                <w:ilvl w:val="0"/>
                <w:numId w:val="43"/>
              </w:numPr>
              <w:adjustRightInd w:val="0"/>
              <w:ind w:left="16" w:hanging="142"/>
              <w:contextualSpacing/>
              <w:jc w:val="both"/>
              <w:textAlignment w:val="baseline"/>
              <w:rPr>
                <w:rFonts w:ascii="Calibri" w:eastAsia="Calibri" w:hAnsi="Calibri"/>
                <w:sz w:val="18"/>
                <w:szCs w:val="18"/>
                <w:shd w:val="clear" w:color="auto" w:fill="FFFFFF"/>
                <w:lang w:val="fr-CA"/>
              </w:rPr>
            </w:pPr>
            <w:r w:rsidRPr="0075595E">
              <w:rPr>
                <w:rFonts w:ascii="Calibri" w:eastAsia="Calibri" w:hAnsi="Calibri"/>
                <w:sz w:val="18"/>
                <w:szCs w:val="18"/>
                <w:shd w:val="clear" w:color="auto" w:fill="FFFFFF"/>
                <w:lang w:val="fr-CA"/>
              </w:rPr>
              <w:t>Ne peut se construire une maison sans aide extérieure (soutien financier de la famille ou d’amis)</w:t>
            </w:r>
          </w:p>
          <w:p w14:paraId="49285C5C" w14:textId="77777777" w:rsidR="00302BFE" w:rsidRPr="0075595E" w:rsidRDefault="00302BFE" w:rsidP="00C46720">
            <w:pPr>
              <w:pStyle w:val="Paragraphedeliste"/>
              <w:widowControl w:val="0"/>
              <w:numPr>
                <w:ilvl w:val="0"/>
                <w:numId w:val="43"/>
              </w:numPr>
              <w:adjustRightInd w:val="0"/>
              <w:ind w:left="16" w:hanging="142"/>
              <w:contextualSpacing/>
              <w:jc w:val="both"/>
              <w:textAlignment w:val="baseline"/>
              <w:rPr>
                <w:rFonts w:ascii="Calibri" w:eastAsia="Calibri" w:hAnsi="Calibri"/>
                <w:sz w:val="18"/>
                <w:szCs w:val="18"/>
                <w:lang w:val="fr-CA"/>
              </w:rPr>
            </w:pPr>
            <w:r w:rsidRPr="0075595E">
              <w:rPr>
                <w:rFonts w:ascii="Calibri" w:eastAsia="Calibri" w:hAnsi="Calibri"/>
                <w:sz w:val="18"/>
                <w:szCs w:val="18"/>
                <w:shd w:val="clear" w:color="auto" w:fill="FFFFFF"/>
                <w:lang w:val="fr-CA"/>
              </w:rPr>
              <w:t xml:space="preserve">Ne peut accéder aux intrants de production, notamment les engrais </w:t>
            </w:r>
          </w:p>
        </w:tc>
      </w:tr>
      <w:tr w:rsidR="00302BFE" w14:paraId="55524582" w14:textId="77777777" w:rsidTr="00243B15">
        <w:tc>
          <w:tcPr>
            <w:tcW w:w="1561" w:type="dxa"/>
            <w:tcBorders>
              <w:top w:val="single" w:sz="4" w:space="0" w:color="F7CAAC"/>
              <w:left w:val="single" w:sz="4" w:space="0" w:color="F7CAAC"/>
              <w:bottom w:val="single" w:sz="4" w:space="0" w:color="F7CAAC"/>
              <w:right w:val="single" w:sz="4" w:space="0" w:color="F7CAAC"/>
            </w:tcBorders>
            <w:shd w:val="clear" w:color="auto" w:fill="auto"/>
            <w:vAlign w:val="center"/>
            <w:hideMark/>
          </w:tcPr>
          <w:p w14:paraId="47F43620" w14:textId="77777777" w:rsidR="00302BFE" w:rsidRPr="0075595E" w:rsidRDefault="00302BFE" w:rsidP="00243B15">
            <w:pPr>
              <w:rPr>
                <w:rFonts w:eastAsia="Calibri"/>
                <w:b/>
                <w:bCs/>
                <w:sz w:val="18"/>
                <w:szCs w:val="18"/>
              </w:rPr>
            </w:pPr>
            <w:r w:rsidRPr="0075595E">
              <w:rPr>
                <w:rFonts w:eastAsia="Calibri"/>
                <w:b/>
                <w:bCs/>
                <w:sz w:val="18"/>
                <w:szCs w:val="18"/>
                <w:shd w:val="clear" w:color="auto" w:fill="FFFFFF"/>
              </w:rPr>
              <w:t>Moyennement riche</w:t>
            </w:r>
          </w:p>
        </w:tc>
        <w:tc>
          <w:tcPr>
            <w:tcW w:w="8215" w:type="dxa"/>
            <w:tcBorders>
              <w:top w:val="single" w:sz="4" w:space="0" w:color="F7CAAC"/>
              <w:left w:val="single" w:sz="4" w:space="0" w:color="F7CAAC"/>
              <w:bottom w:val="single" w:sz="4" w:space="0" w:color="F7CAAC"/>
              <w:right w:val="single" w:sz="4" w:space="0" w:color="F7CAAC"/>
            </w:tcBorders>
            <w:shd w:val="clear" w:color="auto" w:fill="auto"/>
            <w:vAlign w:val="center"/>
            <w:hideMark/>
          </w:tcPr>
          <w:p w14:paraId="7ECD3F7D" w14:textId="77777777" w:rsidR="00302BFE" w:rsidRPr="0075595E" w:rsidRDefault="00302BFE" w:rsidP="00C46720">
            <w:pPr>
              <w:pStyle w:val="Paragraphedeliste"/>
              <w:widowControl w:val="0"/>
              <w:numPr>
                <w:ilvl w:val="0"/>
                <w:numId w:val="43"/>
              </w:numPr>
              <w:adjustRightInd w:val="0"/>
              <w:ind w:left="16" w:hanging="142"/>
              <w:contextualSpacing/>
              <w:jc w:val="both"/>
              <w:textAlignment w:val="baseline"/>
              <w:rPr>
                <w:rFonts w:ascii="Calibri" w:eastAsia="Calibri" w:hAnsi="Calibri"/>
                <w:sz w:val="18"/>
                <w:szCs w:val="18"/>
                <w:shd w:val="clear" w:color="auto" w:fill="FFFFFF"/>
                <w:lang w:val="fr-CA"/>
              </w:rPr>
            </w:pPr>
            <w:r w:rsidRPr="0075595E">
              <w:rPr>
                <w:rFonts w:ascii="Calibri" w:eastAsia="Calibri" w:hAnsi="Calibri"/>
                <w:sz w:val="18"/>
                <w:szCs w:val="18"/>
                <w:shd w:val="clear" w:color="auto" w:fill="FFFFFF"/>
                <w:lang w:val="fr-CA"/>
              </w:rPr>
              <w:t>Peut être propriétaire terrien (5-10 ha)</w:t>
            </w:r>
          </w:p>
          <w:p w14:paraId="2309A4C2" w14:textId="77777777" w:rsidR="00302BFE" w:rsidRPr="0075595E" w:rsidRDefault="00302BFE" w:rsidP="00C46720">
            <w:pPr>
              <w:pStyle w:val="Paragraphedeliste"/>
              <w:numPr>
                <w:ilvl w:val="0"/>
                <w:numId w:val="43"/>
              </w:numPr>
              <w:ind w:left="16" w:hanging="142"/>
              <w:contextualSpacing/>
              <w:jc w:val="both"/>
              <w:rPr>
                <w:rFonts w:ascii="Calibri" w:eastAsia="Calibri" w:hAnsi="Calibri"/>
                <w:sz w:val="18"/>
                <w:szCs w:val="18"/>
                <w:shd w:val="clear" w:color="auto" w:fill="FFFFFF"/>
                <w:lang w:val="fr-CA"/>
              </w:rPr>
            </w:pPr>
            <w:r w:rsidRPr="0075595E">
              <w:rPr>
                <w:rFonts w:ascii="Calibri" w:eastAsia="Calibri" w:hAnsi="Calibri"/>
                <w:sz w:val="18"/>
                <w:szCs w:val="18"/>
                <w:shd w:val="clear" w:color="auto" w:fill="FFFFFF"/>
                <w:lang w:val="fr-CA"/>
              </w:rPr>
              <w:t xml:space="preserve">Peut assurer au moins 2 repas par jour </w:t>
            </w:r>
          </w:p>
          <w:p w14:paraId="4402742D" w14:textId="77777777" w:rsidR="00302BFE" w:rsidRPr="0075595E" w:rsidRDefault="00302BFE" w:rsidP="00C46720">
            <w:pPr>
              <w:pStyle w:val="Paragraphedeliste"/>
              <w:widowControl w:val="0"/>
              <w:numPr>
                <w:ilvl w:val="0"/>
                <w:numId w:val="43"/>
              </w:numPr>
              <w:adjustRightInd w:val="0"/>
              <w:ind w:left="16" w:hanging="142"/>
              <w:contextualSpacing/>
              <w:jc w:val="both"/>
              <w:textAlignment w:val="baseline"/>
              <w:rPr>
                <w:rFonts w:ascii="Calibri" w:eastAsia="Calibri" w:hAnsi="Calibri"/>
                <w:sz w:val="18"/>
                <w:szCs w:val="18"/>
                <w:shd w:val="clear" w:color="auto" w:fill="FFFFFF"/>
                <w:lang w:val="fr-CA"/>
              </w:rPr>
            </w:pPr>
            <w:r w:rsidRPr="0075595E">
              <w:rPr>
                <w:rFonts w:ascii="Calibri" w:eastAsia="Calibri" w:hAnsi="Calibri"/>
                <w:sz w:val="18"/>
                <w:szCs w:val="18"/>
                <w:shd w:val="clear" w:color="auto" w:fill="FFFFFF"/>
                <w:lang w:val="fr-CA"/>
              </w:rPr>
              <w:t>Dispose de petits ruminants (ovins, caprins)</w:t>
            </w:r>
          </w:p>
          <w:p w14:paraId="2D2FCA0D" w14:textId="77777777" w:rsidR="00302BFE" w:rsidRPr="0075595E" w:rsidRDefault="00302BFE" w:rsidP="00C46720">
            <w:pPr>
              <w:pStyle w:val="Paragraphedeliste"/>
              <w:widowControl w:val="0"/>
              <w:numPr>
                <w:ilvl w:val="0"/>
                <w:numId w:val="43"/>
              </w:numPr>
              <w:adjustRightInd w:val="0"/>
              <w:ind w:left="16" w:hanging="142"/>
              <w:contextualSpacing/>
              <w:jc w:val="both"/>
              <w:textAlignment w:val="baseline"/>
              <w:rPr>
                <w:rFonts w:ascii="Calibri" w:eastAsia="Calibri" w:hAnsi="Calibri"/>
                <w:sz w:val="18"/>
                <w:szCs w:val="18"/>
                <w:shd w:val="clear" w:color="auto" w:fill="FFFFFF"/>
                <w:lang w:val="fr-CA"/>
              </w:rPr>
            </w:pPr>
            <w:r w:rsidRPr="0075595E">
              <w:rPr>
                <w:rFonts w:ascii="Calibri" w:eastAsia="Calibri" w:hAnsi="Calibri"/>
                <w:sz w:val="18"/>
                <w:szCs w:val="18"/>
                <w:shd w:val="clear" w:color="auto" w:fill="FFFFFF"/>
                <w:lang w:val="fr-CA"/>
              </w:rPr>
              <w:t>A moins de 100 têtes d’animaux (communauté Peulh où l’élevage est l’activité principale)</w:t>
            </w:r>
          </w:p>
          <w:p w14:paraId="1D671730" w14:textId="77777777" w:rsidR="00302BFE" w:rsidRPr="0075595E" w:rsidRDefault="00302BFE" w:rsidP="00C46720">
            <w:pPr>
              <w:pStyle w:val="Paragraphedeliste"/>
              <w:numPr>
                <w:ilvl w:val="0"/>
                <w:numId w:val="43"/>
              </w:numPr>
              <w:ind w:left="16" w:hanging="142"/>
              <w:contextualSpacing/>
              <w:jc w:val="both"/>
              <w:rPr>
                <w:rFonts w:ascii="Calibri" w:eastAsia="Calibri" w:hAnsi="Calibri"/>
                <w:sz w:val="18"/>
                <w:szCs w:val="18"/>
                <w:shd w:val="clear" w:color="auto" w:fill="FFFFFF"/>
                <w:lang w:val="fr-CA"/>
              </w:rPr>
            </w:pPr>
            <w:r w:rsidRPr="0075595E">
              <w:rPr>
                <w:rFonts w:ascii="Calibri" w:eastAsia="Calibri" w:hAnsi="Calibri"/>
                <w:sz w:val="18"/>
                <w:szCs w:val="18"/>
                <w:shd w:val="clear" w:color="auto" w:fill="FFFFFF"/>
                <w:lang w:val="fr-CA"/>
              </w:rPr>
              <w:lastRenderedPageBreak/>
              <w:t>Pratique la culture attelée (bovine (maximum 4 bovins) ou asine))</w:t>
            </w:r>
          </w:p>
          <w:p w14:paraId="16F14456" w14:textId="77777777" w:rsidR="00302BFE" w:rsidRPr="0075595E" w:rsidRDefault="00302BFE" w:rsidP="00C46720">
            <w:pPr>
              <w:pStyle w:val="Paragraphedeliste"/>
              <w:widowControl w:val="0"/>
              <w:numPr>
                <w:ilvl w:val="0"/>
                <w:numId w:val="43"/>
              </w:numPr>
              <w:adjustRightInd w:val="0"/>
              <w:ind w:left="16" w:hanging="142"/>
              <w:contextualSpacing/>
              <w:jc w:val="both"/>
              <w:textAlignment w:val="baseline"/>
              <w:rPr>
                <w:rFonts w:ascii="Calibri" w:eastAsia="Calibri" w:hAnsi="Calibri"/>
                <w:sz w:val="18"/>
                <w:szCs w:val="18"/>
                <w:shd w:val="clear" w:color="auto" w:fill="FFFFFF"/>
                <w:lang w:val="fr-CA"/>
              </w:rPr>
            </w:pPr>
            <w:r w:rsidRPr="0075595E">
              <w:rPr>
                <w:rFonts w:ascii="Calibri" w:eastAsia="Calibri" w:hAnsi="Calibri"/>
                <w:sz w:val="18"/>
                <w:szCs w:val="18"/>
                <w:shd w:val="clear" w:color="auto" w:fill="FFFFFF"/>
                <w:lang w:val="fr-CA"/>
              </w:rPr>
              <w:t>Ne peu</w:t>
            </w:r>
            <w:r>
              <w:rPr>
                <w:rFonts w:ascii="Calibri" w:eastAsia="Calibri" w:hAnsi="Calibri"/>
                <w:sz w:val="18"/>
                <w:szCs w:val="18"/>
                <w:shd w:val="clear" w:color="auto" w:fill="FFFFFF"/>
                <w:lang w:val="fr-CA"/>
              </w:rPr>
              <w:t>t</w:t>
            </w:r>
            <w:r w:rsidRPr="0075595E">
              <w:rPr>
                <w:rFonts w:ascii="Calibri" w:eastAsia="Calibri" w:hAnsi="Calibri"/>
                <w:sz w:val="18"/>
                <w:szCs w:val="18"/>
                <w:shd w:val="clear" w:color="auto" w:fill="FFFFFF"/>
                <w:lang w:val="fr-CA"/>
              </w:rPr>
              <w:t xml:space="preserve"> prêter de l’argent à autrui mais peut au moins se prendre en charge</w:t>
            </w:r>
          </w:p>
          <w:p w14:paraId="40D75E0D" w14:textId="77777777" w:rsidR="00302BFE" w:rsidRPr="0075595E" w:rsidRDefault="00302BFE" w:rsidP="00C46720">
            <w:pPr>
              <w:pStyle w:val="Paragraphedeliste"/>
              <w:widowControl w:val="0"/>
              <w:numPr>
                <w:ilvl w:val="0"/>
                <w:numId w:val="43"/>
              </w:numPr>
              <w:adjustRightInd w:val="0"/>
              <w:ind w:left="16" w:hanging="142"/>
              <w:contextualSpacing/>
              <w:jc w:val="both"/>
              <w:textAlignment w:val="baseline"/>
              <w:rPr>
                <w:rFonts w:ascii="Calibri" w:eastAsia="Calibri" w:hAnsi="Calibri"/>
                <w:sz w:val="18"/>
                <w:szCs w:val="18"/>
                <w:shd w:val="clear" w:color="auto" w:fill="FFFFFF"/>
                <w:lang w:val="fr-CA"/>
              </w:rPr>
            </w:pPr>
            <w:r w:rsidRPr="0075595E">
              <w:rPr>
                <w:rFonts w:ascii="Calibri" w:eastAsia="Calibri" w:hAnsi="Calibri"/>
                <w:sz w:val="18"/>
                <w:szCs w:val="18"/>
                <w:shd w:val="clear" w:color="auto" w:fill="FFFFFF"/>
                <w:lang w:val="fr-CA"/>
              </w:rPr>
              <w:t>Les disponibilités en céréales peuvent suffire pour une année entière (mais quelque fois difficile pendant la période de soudure)</w:t>
            </w:r>
          </w:p>
          <w:p w14:paraId="213FE527" w14:textId="77777777" w:rsidR="00302BFE" w:rsidRPr="0075595E" w:rsidRDefault="00302BFE" w:rsidP="00C46720">
            <w:pPr>
              <w:pStyle w:val="Paragraphedeliste"/>
              <w:widowControl w:val="0"/>
              <w:numPr>
                <w:ilvl w:val="0"/>
                <w:numId w:val="43"/>
              </w:numPr>
              <w:adjustRightInd w:val="0"/>
              <w:ind w:left="16" w:hanging="142"/>
              <w:contextualSpacing/>
              <w:jc w:val="both"/>
              <w:textAlignment w:val="baseline"/>
              <w:rPr>
                <w:rFonts w:ascii="Calibri" w:eastAsia="Calibri" w:hAnsi="Calibri"/>
                <w:sz w:val="18"/>
                <w:szCs w:val="18"/>
                <w:shd w:val="clear" w:color="auto" w:fill="FFFFFF"/>
              </w:rPr>
            </w:pPr>
            <w:r w:rsidRPr="0075595E">
              <w:rPr>
                <w:rFonts w:ascii="Calibri" w:eastAsia="Calibri" w:hAnsi="Calibri"/>
                <w:sz w:val="18"/>
                <w:szCs w:val="18"/>
                <w:shd w:val="clear" w:color="auto" w:fill="FFFFFF"/>
              </w:rPr>
              <w:t xml:space="preserve">Dispose d’une charrette </w:t>
            </w:r>
          </w:p>
          <w:p w14:paraId="2B46C723" w14:textId="77777777" w:rsidR="00302BFE" w:rsidRPr="0075595E" w:rsidRDefault="00302BFE" w:rsidP="00C46720">
            <w:pPr>
              <w:pStyle w:val="Paragraphedeliste"/>
              <w:widowControl w:val="0"/>
              <w:numPr>
                <w:ilvl w:val="0"/>
                <w:numId w:val="43"/>
              </w:numPr>
              <w:adjustRightInd w:val="0"/>
              <w:ind w:left="16" w:hanging="142"/>
              <w:contextualSpacing/>
              <w:jc w:val="both"/>
              <w:textAlignment w:val="baseline"/>
              <w:rPr>
                <w:rFonts w:ascii="Calibri" w:eastAsia="Calibri" w:hAnsi="Calibri"/>
                <w:sz w:val="18"/>
                <w:szCs w:val="18"/>
                <w:shd w:val="clear" w:color="auto" w:fill="FFFFFF"/>
              </w:rPr>
            </w:pPr>
            <w:r w:rsidRPr="0075595E">
              <w:rPr>
                <w:rFonts w:ascii="Calibri" w:eastAsia="Calibri" w:hAnsi="Calibri"/>
                <w:sz w:val="18"/>
                <w:szCs w:val="18"/>
                <w:shd w:val="clear" w:color="auto" w:fill="FFFFFF"/>
              </w:rPr>
              <w:t>Peut disposer d’une moto</w:t>
            </w:r>
          </w:p>
        </w:tc>
      </w:tr>
      <w:tr w:rsidR="00302BFE" w:rsidRPr="0099310D" w14:paraId="6C48EDA5" w14:textId="77777777" w:rsidTr="00243B15">
        <w:tc>
          <w:tcPr>
            <w:tcW w:w="1561" w:type="dxa"/>
            <w:tcBorders>
              <w:top w:val="single" w:sz="4" w:space="0" w:color="F7CAAC"/>
              <w:left w:val="single" w:sz="4" w:space="0" w:color="F7CAAC"/>
              <w:bottom w:val="single" w:sz="4" w:space="0" w:color="F7CAAC"/>
              <w:right w:val="single" w:sz="4" w:space="0" w:color="F7CAAC"/>
            </w:tcBorders>
            <w:shd w:val="clear" w:color="auto" w:fill="auto"/>
            <w:vAlign w:val="center"/>
            <w:hideMark/>
          </w:tcPr>
          <w:p w14:paraId="5041641E" w14:textId="77777777" w:rsidR="00302BFE" w:rsidRPr="0075595E" w:rsidRDefault="00302BFE" w:rsidP="00243B15">
            <w:pPr>
              <w:rPr>
                <w:rFonts w:eastAsia="Calibri"/>
                <w:b/>
                <w:bCs/>
                <w:sz w:val="18"/>
                <w:szCs w:val="18"/>
              </w:rPr>
            </w:pPr>
            <w:r w:rsidRPr="0075595E">
              <w:rPr>
                <w:rFonts w:eastAsia="Calibri"/>
                <w:b/>
                <w:bCs/>
                <w:sz w:val="18"/>
                <w:szCs w:val="18"/>
              </w:rPr>
              <w:lastRenderedPageBreak/>
              <w:t>Riche</w:t>
            </w:r>
          </w:p>
        </w:tc>
        <w:tc>
          <w:tcPr>
            <w:tcW w:w="8215" w:type="dxa"/>
            <w:tcBorders>
              <w:top w:val="single" w:sz="4" w:space="0" w:color="F7CAAC"/>
              <w:left w:val="single" w:sz="4" w:space="0" w:color="F7CAAC"/>
              <w:bottom w:val="single" w:sz="4" w:space="0" w:color="F7CAAC"/>
              <w:right w:val="single" w:sz="4" w:space="0" w:color="F7CAAC"/>
            </w:tcBorders>
            <w:shd w:val="clear" w:color="auto" w:fill="auto"/>
            <w:vAlign w:val="center"/>
            <w:hideMark/>
          </w:tcPr>
          <w:p w14:paraId="77AAAF35" w14:textId="77777777" w:rsidR="00302BFE" w:rsidRPr="0075595E" w:rsidRDefault="00302BFE" w:rsidP="00C46720">
            <w:pPr>
              <w:pStyle w:val="Paragraphedeliste"/>
              <w:widowControl w:val="0"/>
              <w:numPr>
                <w:ilvl w:val="0"/>
                <w:numId w:val="43"/>
              </w:numPr>
              <w:adjustRightInd w:val="0"/>
              <w:ind w:left="16" w:hanging="142"/>
              <w:contextualSpacing/>
              <w:jc w:val="both"/>
              <w:textAlignment w:val="baseline"/>
              <w:rPr>
                <w:rFonts w:ascii="Calibri" w:eastAsia="Calibri" w:hAnsi="Calibri"/>
                <w:sz w:val="18"/>
                <w:szCs w:val="18"/>
                <w:shd w:val="clear" w:color="auto" w:fill="FFFFFF"/>
                <w:lang w:val="fr-CA"/>
              </w:rPr>
            </w:pPr>
            <w:r w:rsidRPr="0075595E">
              <w:rPr>
                <w:rFonts w:ascii="Calibri" w:eastAsia="Calibri" w:hAnsi="Calibri"/>
                <w:sz w:val="18"/>
                <w:szCs w:val="18"/>
                <w:shd w:val="clear" w:color="auto" w:fill="FFFFFF"/>
                <w:lang w:val="fr-CA"/>
              </w:rPr>
              <w:t>Peut être propriétaire terrien (plus de 10 ha)</w:t>
            </w:r>
          </w:p>
          <w:p w14:paraId="6A107C10" w14:textId="77777777" w:rsidR="00302BFE" w:rsidRPr="0075595E" w:rsidRDefault="00302BFE" w:rsidP="00C46720">
            <w:pPr>
              <w:pStyle w:val="Paragraphedeliste"/>
              <w:numPr>
                <w:ilvl w:val="0"/>
                <w:numId w:val="43"/>
              </w:numPr>
              <w:ind w:left="16" w:hanging="142"/>
              <w:contextualSpacing/>
              <w:jc w:val="both"/>
              <w:rPr>
                <w:rFonts w:ascii="Calibri" w:eastAsia="Calibri" w:hAnsi="Calibri"/>
                <w:sz w:val="18"/>
                <w:szCs w:val="18"/>
                <w:shd w:val="clear" w:color="auto" w:fill="FFFFFF"/>
              </w:rPr>
            </w:pPr>
            <w:r w:rsidRPr="0075595E">
              <w:rPr>
                <w:rFonts w:ascii="Calibri" w:eastAsia="Calibri" w:hAnsi="Calibri"/>
                <w:sz w:val="18"/>
                <w:szCs w:val="18"/>
                <w:shd w:val="clear" w:color="auto" w:fill="FFFFFF"/>
              </w:rPr>
              <w:t xml:space="preserve">Peut assurer 3 repas par jour </w:t>
            </w:r>
          </w:p>
          <w:p w14:paraId="15745CBD" w14:textId="77777777" w:rsidR="00302BFE" w:rsidRPr="0075595E" w:rsidRDefault="00302BFE" w:rsidP="00C46720">
            <w:pPr>
              <w:pStyle w:val="Paragraphedeliste"/>
              <w:numPr>
                <w:ilvl w:val="0"/>
                <w:numId w:val="43"/>
              </w:numPr>
              <w:ind w:left="16" w:hanging="142"/>
              <w:contextualSpacing/>
              <w:jc w:val="both"/>
              <w:rPr>
                <w:rFonts w:ascii="Calibri" w:eastAsia="Calibri" w:hAnsi="Calibri"/>
                <w:sz w:val="18"/>
                <w:szCs w:val="18"/>
                <w:shd w:val="clear" w:color="auto" w:fill="FFFFFF"/>
                <w:lang w:val="fr-CA"/>
              </w:rPr>
            </w:pPr>
            <w:r w:rsidRPr="0075595E">
              <w:rPr>
                <w:rFonts w:ascii="Calibri" w:eastAsia="Calibri" w:hAnsi="Calibri"/>
                <w:sz w:val="18"/>
                <w:szCs w:val="18"/>
                <w:shd w:val="clear" w:color="auto" w:fill="FFFFFF"/>
                <w:lang w:val="fr-CA"/>
              </w:rPr>
              <w:t>Pratique la culture attelée (bovine ou asine)</w:t>
            </w:r>
          </w:p>
          <w:p w14:paraId="2C1679DB" w14:textId="77777777" w:rsidR="00302BFE" w:rsidRPr="0075595E" w:rsidRDefault="00302BFE" w:rsidP="00C46720">
            <w:pPr>
              <w:pStyle w:val="Paragraphedeliste"/>
              <w:widowControl w:val="0"/>
              <w:numPr>
                <w:ilvl w:val="0"/>
                <w:numId w:val="43"/>
              </w:numPr>
              <w:adjustRightInd w:val="0"/>
              <w:ind w:left="16" w:hanging="142"/>
              <w:contextualSpacing/>
              <w:jc w:val="both"/>
              <w:textAlignment w:val="baseline"/>
              <w:rPr>
                <w:rFonts w:ascii="Calibri" w:eastAsia="Calibri" w:hAnsi="Calibri"/>
                <w:sz w:val="18"/>
                <w:szCs w:val="18"/>
                <w:shd w:val="clear" w:color="auto" w:fill="FFFFFF"/>
                <w:lang w:val="fr-CA"/>
              </w:rPr>
            </w:pPr>
            <w:r w:rsidRPr="0075595E">
              <w:rPr>
                <w:rFonts w:ascii="Calibri" w:eastAsia="Calibri" w:hAnsi="Calibri"/>
                <w:sz w:val="18"/>
                <w:szCs w:val="18"/>
                <w:shd w:val="clear" w:color="auto" w:fill="FFFFFF"/>
                <w:lang w:val="fr-CA"/>
              </w:rPr>
              <w:t>Dispose de petits et de grands ruminants (bovins, ovins, caprins)</w:t>
            </w:r>
          </w:p>
          <w:p w14:paraId="754D8D10" w14:textId="77777777" w:rsidR="00302BFE" w:rsidRPr="0075595E" w:rsidRDefault="00302BFE" w:rsidP="00C46720">
            <w:pPr>
              <w:pStyle w:val="Paragraphedeliste"/>
              <w:widowControl w:val="0"/>
              <w:numPr>
                <w:ilvl w:val="0"/>
                <w:numId w:val="43"/>
              </w:numPr>
              <w:adjustRightInd w:val="0"/>
              <w:ind w:left="16" w:hanging="142"/>
              <w:contextualSpacing/>
              <w:jc w:val="both"/>
              <w:textAlignment w:val="baseline"/>
              <w:rPr>
                <w:rFonts w:ascii="Calibri" w:eastAsia="Calibri" w:hAnsi="Calibri"/>
                <w:sz w:val="18"/>
                <w:szCs w:val="18"/>
                <w:shd w:val="clear" w:color="auto" w:fill="FFFFFF"/>
                <w:lang w:val="fr-CA"/>
              </w:rPr>
            </w:pPr>
            <w:r w:rsidRPr="0075595E">
              <w:rPr>
                <w:rFonts w:ascii="Calibri" w:eastAsia="Calibri" w:hAnsi="Calibri"/>
                <w:sz w:val="18"/>
                <w:szCs w:val="18"/>
                <w:shd w:val="clear" w:color="auto" w:fill="FFFFFF"/>
                <w:lang w:val="fr-CA"/>
              </w:rPr>
              <w:t>Dispose d’une maison construite en parpaing et d’un toit en tôle</w:t>
            </w:r>
          </w:p>
          <w:p w14:paraId="3B299C18" w14:textId="77777777" w:rsidR="00302BFE" w:rsidRPr="0075595E" w:rsidRDefault="00302BFE" w:rsidP="00C46720">
            <w:pPr>
              <w:pStyle w:val="Paragraphedeliste"/>
              <w:widowControl w:val="0"/>
              <w:numPr>
                <w:ilvl w:val="0"/>
                <w:numId w:val="43"/>
              </w:numPr>
              <w:adjustRightInd w:val="0"/>
              <w:ind w:left="16" w:hanging="142"/>
              <w:contextualSpacing/>
              <w:jc w:val="both"/>
              <w:textAlignment w:val="baseline"/>
              <w:rPr>
                <w:rFonts w:ascii="Calibri" w:eastAsia="Calibri" w:hAnsi="Calibri"/>
                <w:sz w:val="18"/>
                <w:szCs w:val="18"/>
                <w:shd w:val="clear" w:color="auto" w:fill="FFFFFF"/>
                <w:lang w:val="fr-CA"/>
              </w:rPr>
            </w:pPr>
            <w:r w:rsidRPr="0075595E">
              <w:rPr>
                <w:rFonts w:ascii="Calibri" w:eastAsia="Calibri" w:hAnsi="Calibri"/>
                <w:sz w:val="18"/>
                <w:szCs w:val="18"/>
                <w:shd w:val="clear" w:color="auto" w:fill="FFFFFF"/>
                <w:lang w:val="fr-CA"/>
              </w:rPr>
              <w:t>Peut disposer d’un tracteur (mais rare)</w:t>
            </w:r>
          </w:p>
          <w:p w14:paraId="4656132B" w14:textId="77777777" w:rsidR="00302BFE" w:rsidRPr="0075595E" w:rsidRDefault="00302BFE" w:rsidP="00C46720">
            <w:pPr>
              <w:pStyle w:val="Paragraphedeliste"/>
              <w:widowControl w:val="0"/>
              <w:numPr>
                <w:ilvl w:val="0"/>
                <w:numId w:val="43"/>
              </w:numPr>
              <w:adjustRightInd w:val="0"/>
              <w:ind w:left="16" w:hanging="142"/>
              <w:contextualSpacing/>
              <w:jc w:val="both"/>
              <w:textAlignment w:val="baseline"/>
              <w:rPr>
                <w:rFonts w:ascii="Calibri" w:eastAsia="Calibri" w:hAnsi="Calibri"/>
                <w:sz w:val="18"/>
                <w:szCs w:val="18"/>
                <w:shd w:val="clear" w:color="auto" w:fill="FFFFFF"/>
              </w:rPr>
            </w:pPr>
            <w:r w:rsidRPr="0075595E">
              <w:rPr>
                <w:rFonts w:ascii="Calibri" w:eastAsia="Calibri" w:hAnsi="Calibri"/>
                <w:sz w:val="18"/>
                <w:szCs w:val="18"/>
                <w:shd w:val="clear" w:color="auto" w:fill="FFFFFF"/>
              </w:rPr>
              <w:t>Peut disposer d’un tricycle</w:t>
            </w:r>
          </w:p>
          <w:p w14:paraId="6F2A3947" w14:textId="77777777" w:rsidR="00302BFE" w:rsidRPr="0075595E" w:rsidRDefault="00302BFE" w:rsidP="00C46720">
            <w:pPr>
              <w:pStyle w:val="Paragraphedeliste"/>
              <w:widowControl w:val="0"/>
              <w:numPr>
                <w:ilvl w:val="0"/>
                <w:numId w:val="43"/>
              </w:numPr>
              <w:adjustRightInd w:val="0"/>
              <w:ind w:left="16" w:hanging="142"/>
              <w:contextualSpacing/>
              <w:jc w:val="both"/>
              <w:textAlignment w:val="baseline"/>
              <w:rPr>
                <w:rFonts w:ascii="Calibri" w:eastAsia="Calibri" w:hAnsi="Calibri"/>
                <w:sz w:val="18"/>
                <w:szCs w:val="18"/>
                <w:shd w:val="clear" w:color="auto" w:fill="FFFFFF"/>
                <w:lang w:val="fr-CA"/>
              </w:rPr>
            </w:pPr>
            <w:r w:rsidRPr="0075595E">
              <w:rPr>
                <w:rFonts w:ascii="Calibri" w:eastAsia="Calibri" w:hAnsi="Calibri"/>
                <w:sz w:val="18"/>
                <w:szCs w:val="18"/>
                <w:shd w:val="clear" w:color="auto" w:fill="FFFFFF"/>
                <w:lang w:val="fr-CA"/>
              </w:rPr>
              <w:t>Peut disposer d’une grosse moto (moto à embrayage)</w:t>
            </w:r>
          </w:p>
          <w:p w14:paraId="41E43EC5" w14:textId="77777777" w:rsidR="00302BFE" w:rsidRPr="0075595E" w:rsidRDefault="00302BFE" w:rsidP="00C46720">
            <w:pPr>
              <w:pStyle w:val="Paragraphedeliste"/>
              <w:widowControl w:val="0"/>
              <w:numPr>
                <w:ilvl w:val="0"/>
                <w:numId w:val="43"/>
              </w:numPr>
              <w:adjustRightInd w:val="0"/>
              <w:ind w:left="16" w:hanging="142"/>
              <w:contextualSpacing/>
              <w:jc w:val="both"/>
              <w:textAlignment w:val="baseline"/>
              <w:rPr>
                <w:rFonts w:ascii="Calibri" w:eastAsia="Calibri" w:hAnsi="Calibri"/>
                <w:sz w:val="18"/>
                <w:szCs w:val="18"/>
                <w:shd w:val="clear" w:color="auto" w:fill="FFFFFF"/>
                <w:lang w:val="fr-CA"/>
              </w:rPr>
            </w:pPr>
            <w:r w:rsidRPr="0075595E">
              <w:rPr>
                <w:rFonts w:ascii="Calibri" w:eastAsia="Calibri" w:hAnsi="Calibri"/>
                <w:sz w:val="18"/>
                <w:szCs w:val="18"/>
                <w:shd w:val="clear" w:color="auto" w:fill="FFFFFF"/>
                <w:lang w:val="fr-CA"/>
              </w:rPr>
              <w:t>Peut accéder facilement aux engrais chimiques</w:t>
            </w:r>
          </w:p>
        </w:tc>
      </w:tr>
    </w:tbl>
    <w:p w14:paraId="44D1CA3A" w14:textId="77777777" w:rsidR="00302BFE" w:rsidRPr="006554E1" w:rsidRDefault="00302BFE" w:rsidP="00302BFE">
      <w:pPr>
        <w:pStyle w:val="Paragraphedeliste"/>
        <w:tabs>
          <w:tab w:val="left" w:pos="284"/>
        </w:tabs>
        <w:spacing w:before="120" w:after="120"/>
        <w:ind w:left="0"/>
        <w:jc w:val="both"/>
        <w:rPr>
          <w:rFonts w:ascii="Calibri" w:hAnsi="Calibri"/>
          <w:sz w:val="20"/>
          <w:szCs w:val="20"/>
          <w:lang w:val="fr-CA"/>
        </w:rPr>
      </w:pPr>
      <w:r w:rsidRPr="006554E1">
        <w:rPr>
          <w:rFonts w:ascii="Calibri" w:hAnsi="Calibri"/>
          <w:sz w:val="20"/>
          <w:szCs w:val="20"/>
          <w:lang w:val="fr-CA"/>
        </w:rPr>
        <w:t>Selon les principaux critères définis par les populations, la possession d’un capital agro-pastoral et la capacité de production sont déterminantes dans l’amélioration du niveau de vie des ménages. La situation des personnes pauvres est d’autant plus critique qu’il est presque impossible pour elles d’obtenir du crédit en raison de leur insolvabilité. Pour pouvoir s’approvisionner en céréales (sur le marché), ces personnes prêtent leur main d’œuvre pour des travaux journaliers (rémunérés), le plus souvent, dans les champs d’autrui.</w:t>
      </w:r>
      <w:r w:rsidRPr="006554E1">
        <w:rPr>
          <w:sz w:val="20"/>
          <w:szCs w:val="20"/>
          <w:shd w:val="clear" w:color="auto" w:fill="FFFFFF"/>
          <w:lang w:val="fr-CA"/>
        </w:rPr>
        <w:t xml:space="preserve"> </w:t>
      </w:r>
      <w:r w:rsidRPr="006554E1">
        <w:rPr>
          <w:rFonts w:ascii="Calibri" w:hAnsi="Calibri"/>
          <w:sz w:val="20"/>
          <w:szCs w:val="20"/>
          <w:shd w:val="clear" w:color="auto" w:fill="FFFFFF"/>
          <w:lang w:val="fr-CA"/>
        </w:rPr>
        <w:t xml:space="preserve">La figure </w:t>
      </w:r>
      <w:r w:rsidRPr="00BE0201">
        <w:rPr>
          <w:rFonts w:ascii="Calibri" w:hAnsi="Calibri"/>
          <w:sz w:val="20"/>
          <w:szCs w:val="20"/>
          <w:shd w:val="clear" w:color="auto" w:fill="FFFFFF"/>
          <w:lang w:val="fr-CA"/>
        </w:rPr>
        <w:t>1</w:t>
      </w:r>
      <w:r w:rsidRPr="006554E1">
        <w:rPr>
          <w:rFonts w:ascii="Calibri" w:hAnsi="Calibri"/>
          <w:sz w:val="20"/>
          <w:szCs w:val="20"/>
          <w:shd w:val="clear" w:color="auto" w:fill="FFFFFF"/>
          <w:lang w:val="fr-CA"/>
        </w:rPr>
        <w:t xml:space="preserve"> illustre la prévalence de la pauvreté dans la zone du projet telle que perçue par les populations sur la base des critères définis.</w:t>
      </w:r>
    </w:p>
    <w:p w14:paraId="3F47F381" w14:textId="77777777" w:rsidR="00302BFE" w:rsidRDefault="00302BFE" w:rsidP="00302BFE">
      <w:pPr>
        <w:spacing w:after="0"/>
        <w:ind w:left="170"/>
        <w:jc w:val="center"/>
      </w:pPr>
      <w:r w:rsidRPr="00945F11">
        <w:rPr>
          <w:noProof/>
        </w:rPr>
        <w:drawing>
          <wp:inline distT="0" distB="0" distL="0" distR="0" wp14:anchorId="5DF3D288" wp14:editId="6DE08DDC">
            <wp:extent cx="3556000" cy="1926590"/>
            <wp:effectExtent l="0" t="0" r="6350" b="16510"/>
            <wp:docPr id="3" name="Graphiqu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6556CF0" w14:textId="77777777" w:rsidR="00302BFE" w:rsidRPr="006554E1" w:rsidRDefault="00302BFE" w:rsidP="00302BFE">
      <w:pPr>
        <w:spacing w:before="60" w:after="120"/>
        <w:rPr>
          <w:lang w:val="fr-CA"/>
        </w:rPr>
      </w:pPr>
      <w:bookmarkStart w:id="83" w:name="_Toc2166344"/>
      <w:r w:rsidRPr="006554E1">
        <w:rPr>
          <w:szCs w:val="20"/>
          <w:lang w:val="fr-CA"/>
        </w:rPr>
        <w:t xml:space="preserve">Figure </w:t>
      </w:r>
      <w:r w:rsidRPr="00BE0201">
        <w:rPr>
          <w:szCs w:val="20"/>
          <w:lang w:val="fr-CA"/>
        </w:rPr>
        <w:t>1</w:t>
      </w:r>
      <w:r w:rsidRPr="006554E1">
        <w:rPr>
          <w:szCs w:val="20"/>
          <w:lang w:val="fr-CA"/>
        </w:rPr>
        <w:t> : Taux de pauvreté perçue par les communautés dans le complexe PONASI</w:t>
      </w:r>
      <w:bookmarkEnd w:id="83"/>
      <w:r w:rsidRPr="006554E1">
        <w:rPr>
          <w:sz w:val="16"/>
          <w:szCs w:val="16"/>
          <w:shd w:val="clear" w:color="auto" w:fill="FFFFFF"/>
          <w:lang w:val="fr-CA"/>
        </w:rPr>
        <w:t xml:space="preserve"> Source : Données d’enquêtes, 2018</w:t>
      </w:r>
    </w:p>
    <w:p w14:paraId="5640FB31" w14:textId="77777777" w:rsidR="00302BFE" w:rsidRPr="008E1693" w:rsidRDefault="00302BFE" w:rsidP="00302BFE">
      <w:pPr>
        <w:spacing w:before="240" w:after="120"/>
        <w:rPr>
          <w:b/>
          <w:lang w:val="fr-CA"/>
        </w:rPr>
      </w:pPr>
      <w:r>
        <w:rPr>
          <w:b/>
          <w:lang w:val="fr-CA"/>
        </w:rPr>
        <w:br w:type="page"/>
      </w:r>
      <w:r w:rsidRPr="008E1693">
        <w:rPr>
          <w:b/>
          <w:lang w:val="fr-CA"/>
        </w:rPr>
        <w:lastRenderedPageBreak/>
        <w:t>Bénéfices socio-économiques</w:t>
      </w:r>
      <w:r>
        <w:rPr>
          <w:b/>
          <w:lang w:val="fr-CA"/>
        </w:rPr>
        <w:t xml:space="preserve"> en lien avec les APs et les terroirs adjacents</w:t>
      </w:r>
    </w:p>
    <w:p w14:paraId="15F175FF" w14:textId="77777777" w:rsidR="00302BFE" w:rsidRPr="008E1693" w:rsidRDefault="00302BFE" w:rsidP="00302BFE">
      <w:pPr>
        <w:spacing w:before="240" w:after="120"/>
        <w:rPr>
          <w:b/>
          <w:lang w:val="fr-CA"/>
        </w:rPr>
      </w:pPr>
      <w:r w:rsidRPr="008E1693">
        <w:rPr>
          <w:szCs w:val="20"/>
          <w:lang w:val="fr-CA"/>
        </w:rPr>
        <w:t>Les bénéfices socio-économiques en lien avec les aires protégées du PONASI et les différentes utilisations des terres et des ressources au sein de l’aire paysagère sont liés aux moyens de subsistance basés sur une utilisation des ressources naturelles, aux emplois directs et indirects créés au niveau des aires protégées, mais aussi à l’amélioration des activités de production et de reproduction conduites par les communautés riveraines.</w:t>
      </w:r>
    </w:p>
    <w:p w14:paraId="6B488064" w14:textId="77777777" w:rsidR="00302BFE" w:rsidRPr="008E1693" w:rsidRDefault="00302BFE" w:rsidP="00302BFE">
      <w:pPr>
        <w:pStyle w:val="Paragraphedeliste"/>
        <w:tabs>
          <w:tab w:val="left" w:pos="284"/>
        </w:tabs>
        <w:spacing w:before="120" w:after="120"/>
        <w:ind w:left="0"/>
        <w:jc w:val="both"/>
        <w:rPr>
          <w:rFonts w:ascii="Calibri" w:hAnsi="Calibri"/>
          <w:b/>
          <w:sz w:val="20"/>
          <w:szCs w:val="20"/>
          <w:lang w:val="fr-CA"/>
        </w:rPr>
      </w:pPr>
      <w:r w:rsidRPr="008E1693">
        <w:rPr>
          <w:rFonts w:ascii="Calibri" w:eastAsia="Times New Roman" w:hAnsi="Calibri"/>
          <w:b/>
          <w:i/>
          <w:iCs/>
          <w:color w:val="2F5496"/>
          <w:sz w:val="22"/>
          <w:szCs w:val="22"/>
          <w:lang w:val="fr-CA"/>
        </w:rPr>
        <w:t>Moyens de subsistance</w:t>
      </w:r>
      <w:r w:rsidRPr="008E1693">
        <w:rPr>
          <w:rFonts w:ascii="Calibri" w:hAnsi="Calibri"/>
          <w:b/>
          <w:sz w:val="20"/>
          <w:szCs w:val="20"/>
          <w:lang w:val="fr-CA"/>
        </w:rPr>
        <w:t xml:space="preserve"> </w:t>
      </w:r>
    </w:p>
    <w:p w14:paraId="5772647A" w14:textId="77777777" w:rsidR="00302BFE" w:rsidRPr="008E1693" w:rsidRDefault="00302BFE" w:rsidP="00302BFE">
      <w:pPr>
        <w:pStyle w:val="Paragraphedeliste"/>
        <w:tabs>
          <w:tab w:val="left" w:pos="284"/>
        </w:tabs>
        <w:spacing w:before="120" w:after="120"/>
        <w:ind w:left="0"/>
        <w:jc w:val="both"/>
        <w:rPr>
          <w:rFonts w:ascii="Calibri" w:hAnsi="Calibri"/>
          <w:sz w:val="20"/>
          <w:szCs w:val="20"/>
          <w:lang w:val="fr-CA"/>
        </w:rPr>
      </w:pPr>
      <w:r w:rsidRPr="008E1693">
        <w:rPr>
          <w:rFonts w:ascii="Calibri" w:hAnsi="Calibri"/>
          <w:sz w:val="20"/>
          <w:szCs w:val="20"/>
          <w:lang w:val="fr-CA"/>
        </w:rPr>
        <w:t>À l’instar de l’ensemble du pays, les principales activités économiques des populations locales dans le complexe de PONASI se résument essentiellement aux activités liées au secteur primaire.</w:t>
      </w:r>
    </w:p>
    <w:p w14:paraId="5A8588BE" w14:textId="77777777" w:rsidR="00302BFE" w:rsidRPr="008E1693" w:rsidRDefault="00302BFE" w:rsidP="00302BFE">
      <w:pPr>
        <w:pStyle w:val="Paragraphedeliste"/>
        <w:tabs>
          <w:tab w:val="left" w:pos="284"/>
        </w:tabs>
        <w:spacing w:before="120" w:after="120"/>
        <w:ind w:left="0"/>
        <w:jc w:val="both"/>
        <w:rPr>
          <w:rFonts w:ascii="Calibri" w:hAnsi="Calibri"/>
          <w:sz w:val="20"/>
          <w:szCs w:val="20"/>
          <w:lang w:val="fr-CA"/>
        </w:rPr>
      </w:pPr>
      <w:r w:rsidRPr="008E1693">
        <w:rPr>
          <w:rFonts w:ascii="Calibri" w:eastAsia="Times New Roman" w:hAnsi="Calibri"/>
          <w:i/>
          <w:iCs/>
          <w:color w:val="2F5496"/>
          <w:sz w:val="20"/>
          <w:szCs w:val="20"/>
          <w:lang w:val="fr-CA"/>
        </w:rPr>
        <w:t xml:space="preserve">L’agriculture. </w:t>
      </w:r>
      <w:r w:rsidRPr="008E1693">
        <w:rPr>
          <w:rFonts w:ascii="Calibri" w:hAnsi="Calibri"/>
          <w:sz w:val="20"/>
          <w:szCs w:val="20"/>
          <w:lang w:val="fr-CA"/>
        </w:rPr>
        <w:t xml:space="preserve">L’agriculture occupe environ 95% de la population active dans l’aire paysagère du </w:t>
      </w:r>
      <w:r w:rsidRPr="008E1693">
        <w:rPr>
          <w:rFonts w:ascii="Calibri" w:hAnsi="Calibri"/>
          <w:sz w:val="20"/>
          <w:szCs w:val="20"/>
          <w:shd w:val="clear" w:color="auto" w:fill="FFFFFF"/>
          <w:lang w:val="fr-CA"/>
        </w:rPr>
        <w:t>complexe de PONASI</w:t>
      </w:r>
      <w:r w:rsidRPr="008E1693">
        <w:rPr>
          <w:rFonts w:ascii="Calibri" w:hAnsi="Calibri"/>
          <w:sz w:val="20"/>
          <w:szCs w:val="20"/>
          <w:lang w:val="fr-CA"/>
        </w:rPr>
        <w:t>. Les principales productions concernent les cultures céréalières, les cultures de rente, les cultures de contre-saison et l’arboriculture. Les cultures céréalières incluent le sorgho rouge, le sorgho blanc, le mil, le riz, le maïs. Les principales cultures de rente sont le coton, le niébé, l’arachide, le soja, le voandzou et le sésame. Ces cultures procurent des revenus financiers aux populations pour subvenir aux besoins du ménage. Les cultures de contre-saison concernent les tubercules (patate douce, manioc, etc.) et les produits maraîchers (tomate, aubergine, chou, oignon, salade, concombre, piment, carotte, etc.). Ces produits apportent également des revenus financiers pour les producteurs. L’arboriculture concerne les arbres fruitiers (manguier, bananier, citronnier, papayer, goyavier, oranger, etc.). La grande partie des produits issus de ces activités sont destinés à la consommation et à la vente sur les marchés locaux. La superficie moyenne cultivée, toute culture confondue est de 5 ha. Elle est au minimum de 02 ha et de 15 ha au maximum. La frange jeune de la population est plus impliquée dans la production du maïs, du sésame, du coton, du soja, le riz, la production maraîchère et l’arboriculture.</w:t>
      </w:r>
    </w:p>
    <w:p w14:paraId="4FDBB47E" w14:textId="77777777" w:rsidR="00302BFE" w:rsidRPr="008E1693" w:rsidRDefault="00302BFE" w:rsidP="00302BFE">
      <w:pPr>
        <w:pStyle w:val="Paragraphedeliste"/>
        <w:tabs>
          <w:tab w:val="left" w:pos="284"/>
        </w:tabs>
        <w:spacing w:before="120" w:after="120"/>
        <w:ind w:left="0"/>
        <w:jc w:val="both"/>
        <w:rPr>
          <w:rFonts w:ascii="Calibri" w:hAnsi="Calibri"/>
          <w:sz w:val="20"/>
          <w:szCs w:val="20"/>
          <w:lang w:val="fr-CA"/>
        </w:rPr>
      </w:pPr>
      <w:r w:rsidRPr="008E1693">
        <w:rPr>
          <w:rFonts w:ascii="Calibri" w:eastAsia="Times New Roman" w:hAnsi="Calibri"/>
          <w:i/>
          <w:iCs/>
          <w:color w:val="2F5496"/>
          <w:sz w:val="20"/>
          <w:szCs w:val="20"/>
          <w:lang w:val="fr-CA"/>
        </w:rPr>
        <w:t xml:space="preserve">L’élevage. </w:t>
      </w:r>
      <w:r w:rsidRPr="008E1693">
        <w:rPr>
          <w:rFonts w:ascii="Calibri" w:hAnsi="Calibri"/>
          <w:sz w:val="20"/>
          <w:szCs w:val="20"/>
          <w:lang w:val="fr-CA"/>
        </w:rPr>
        <w:t>L’élevage, le second secteur de production, est pratiqué par virtuellement tous les ménages comme activité complémentaire à l’agriculture. Les éleveurs sont ainsi pour la plupart des agropasteurs. Cependant, l’élevage constitue l’activité principale des pasteurs Peulh qui sont présents dans toutes les communes, quoiqu’en faible proportion. Le système d’élevage est de type extensif basé sur une exploitation des parcours naturels qui se raréfient dans les communes. Les principaux animaux élevés sont les bovins, les ovins, les caprins, les porcins, les asins et la volaille. L’élevage constitue une source de revenus pour les ménages. En fonction de l’importance du besoin et des disponibilités, la vente commence d’abord par la volaille, le porcin, le caprin et les ovins. Le bovin n’est vendu que lorsque le besoin nécessite une importante somme.</w:t>
      </w:r>
    </w:p>
    <w:p w14:paraId="3AA82CF3" w14:textId="77777777" w:rsidR="00302BFE" w:rsidRPr="008E1693" w:rsidRDefault="00302BFE" w:rsidP="00302BFE">
      <w:pPr>
        <w:pStyle w:val="Paragraphedeliste"/>
        <w:tabs>
          <w:tab w:val="left" w:pos="284"/>
        </w:tabs>
        <w:spacing w:before="120" w:after="120"/>
        <w:ind w:left="0"/>
        <w:jc w:val="both"/>
        <w:rPr>
          <w:rFonts w:ascii="Calibri" w:hAnsi="Calibri"/>
          <w:sz w:val="20"/>
          <w:szCs w:val="20"/>
          <w:lang w:val="fr-CA"/>
        </w:rPr>
      </w:pPr>
      <w:r w:rsidRPr="008E1693">
        <w:rPr>
          <w:rFonts w:ascii="Calibri" w:eastAsia="Times New Roman" w:hAnsi="Calibri"/>
          <w:i/>
          <w:iCs/>
          <w:color w:val="2F5496"/>
          <w:sz w:val="20"/>
          <w:szCs w:val="20"/>
          <w:lang w:val="fr-CA"/>
        </w:rPr>
        <w:t xml:space="preserve">La chasse. </w:t>
      </w:r>
      <w:r w:rsidRPr="008E1693">
        <w:rPr>
          <w:rFonts w:ascii="Calibri" w:hAnsi="Calibri"/>
          <w:sz w:val="20"/>
          <w:szCs w:val="20"/>
          <w:lang w:val="fr-CA"/>
        </w:rPr>
        <w:t>La chasse est pratiquée dans toutes les communes. Elle se pratique dans les ZOVICs, dans les forêts, dans les jachères et dans la brousse. Le braconnage se fait également dans les aires protégées (corridors, PNKT). La chasse n’est pratiquée que par quelques hommes, soit à titre individuel, soit à travers des associations reconnues.</w:t>
      </w:r>
    </w:p>
    <w:p w14:paraId="60D144AF" w14:textId="77777777" w:rsidR="00302BFE" w:rsidRPr="008E1693" w:rsidRDefault="00302BFE" w:rsidP="00302BFE">
      <w:pPr>
        <w:pStyle w:val="Paragraphedeliste"/>
        <w:tabs>
          <w:tab w:val="left" w:pos="284"/>
        </w:tabs>
        <w:spacing w:before="120" w:after="120"/>
        <w:ind w:left="0"/>
        <w:jc w:val="both"/>
        <w:rPr>
          <w:rFonts w:ascii="Calibri" w:hAnsi="Calibri"/>
          <w:sz w:val="20"/>
          <w:szCs w:val="20"/>
          <w:lang w:val="fr-CA"/>
        </w:rPr>
      </w:pPr>
      <w:r w:rsidRPr="008E1693">
        <w:rPr>
          <w:rFonts w:ascii="Calibri" w:eastAsia="Times New Roman" w:hAnsi="Calibri"/>
          <w:i/>
          <w:iCs/>
          <w:color w:val="2F5496"/>
          <w:sz w:val="20"/>
          <w:szCs w:val="20"/>
          <w:lang w:val="fr-CA"/>
        </w:rPr>
        <w:t xml:space="preserve">La pêche. </w:t>
      </w:r>
      <w:r w:rsidRPr="008E1693">
        <w:rPr>
          <w:rFonts w:ascii="Calibri" w:hAnsi="Calibri"/>
          <w:sz w:val="20"/>
          <w:szCs w:val="20"/>
          <w:lang w:val="fr-FR"/>
        </w:rPr>
        <w:t xml:space="preserve">La pêche est artisanale et se pratique dans les cours d’eaux (Nakambé, Nazinon) et dans les barrages. Les produits halieutiques sont vendus principalement au niveau des marchés locaux. Les principales </w:t>
      </w:r>
      <w:r w:rsidRPr="008E1693">
        <w:rPr>
          <w:rFonts w:ascii="Calibri" w:hAnsi="Calibri"/>
          <w:sz w:val="20"/>
          <w:szCs w:val="20"/>
          <w:lang w:val="fr-CA"/>
        </w:rPr>
        <w:t>espèces</w:t>
      </w:r>
      <w:r w:rsidRPr="008E1693">
        <w:rPr>
          <w:rFonts w:ascii="Calibri" w:hAnsi="Calibri"/>
          <w:sz w:val="20"/>
          <w:szCs w:val="20"/>
          <w:lang w:val="fr-FR"/>
        </w:rPr>
        <w:t xml:space="preserve"> trouvées dans les cours d’eau sont les carpes </w:t>
      </w:r>
      <w:r w:rsidRPr="008E1693">
        <w:rPr>
          <w:rFonts w:ascii="Calibri" w:hAnsi="Calibri"/>
          <w:sz w:val="20"/>
          <w:szCs w:val="20"/>
          <w:lang w:val="fr-CA"/>
        </w:rPr>
        <w:t>(</w:t>
      </w:r>
      <w:r w:rsidRPr="008E1693">
        <w:rPr>
          <w:rFonts w:ascii="Calibri" w:hAnsi="Calibri"/>
          <w:i/>
          <w:sz w:val="20"/>
          <w:szCs w:val="20"/>
          <w:lang w:val="fr-FR"/>
        </w:rPr>
        <w:t>Tilapia zilii</w:t>
      </w:r>
      <w:r w:rsidRPr="008E1693">
        <w:rPr>
          <w:rFonts w:ascii="Calibri" w:hAnsi="Calibri"/>
          <w:sz w:val="20"/>
          <w:szCs w:val="20"/>
          <w:lang w:val="fr-FR"/>
        </w:rPr>
        <w:t xml:space="preserve"> et </w:t>
      </w:r>
      <w:r w:rsidRPr="008E1693">
        <w:rPr>
          <w:rFonts w:ascii="Calibri" w:hAnsi="Calibri"/>
          <w:i/>
          <w:sz w:val="20"/>
          <w:szCs w:val="20"/>
          <w:lang w:val="fr-FR"/>
        </w:rPr>
        <w:t>Oreochromis niloticus</w:t>
      </w:r>
      <w:r w:rsidRPr="008E1693">
        <w:rPr>
          <w:rFonts w:ascii="Calibri" w:hAnsi="Calibri"/>
          <w:sz w:val="20"/>
          <w:szCs w:val="20"/>
          <w:lang w:val="fr-CA"/>
        </w:rPr>
        <w:t>),</w:t>
      </w:r>
      <w:r w:rsidRPr="008E1693">
        <w:rPr>
          <w:rFonts w:ascii="Calibri" w:hAnsi="Calibri"/>
          <w:sz w:val="20"/>
          <w:szCs w:val="20"/>
          <w:lang w:val="fr-FR"/>
        </w:rPr>
        <w:t xml:space="preserve"> les silures</w:t>
      </w:r>
      <w:r w:rsidRPr="008E1693">
        <w:rPr>
          <w:rFonts w:ascii="Calibri" w:hAnsi="Calibri"/>
          <w:sz w:val="20"/>
          <w:szCs w:val="20"/>
          <w:lang w:val="fr-CA"/>
        </w:rPr>
        <w:t xml:space="preserve"> (</w:t>
      </w:r>
      <w:r w:rsidRPr="008E1693">
        <w:rPr>
          <w:rFonts w:ascii="Calibri" w:hAnsi="Calibri"/>
          <w:i/>
          <w:sz w:val="20"/>
          <w:szCs w:val="20"/>
          <w:lang w:val="fr-CA"/>
        </w:rPr>
        <w:t>Clarias anguilaris</w:t>
      </w:r>
      <w:r w:rsidRPr="008E1693">
        <w:rPr>
          <w:rFonts w:ascii="Calibri" w:hAnsi="Calibri"/>
          <w:sz w:val="20"/>
          <w:szCs w:val="20"/>
          <w:lang w:val="fr-CA"/>
        </w:rPr>
        <w:t>)</w:t>
      </w:r>
      <w:r w:rsidRPr="008E1693">
        <w:rPr>
          <w:rFonts w:ascii="Calibri" w:hAnsi="Calibri"/>
          <w:sz w:val="20"/>
          <w:szCs w:val="20"/>
          <w:lang w:val="fr-FR"/>
        </w:rPr>
        <w:t xml:space="preserve"> et le poisson chat </w:t>
      </w:r>
      <w:r w:rsidRPr="008E1693">
        <w:rPr>
          <w:rFonts w:ascii="Calibri" w:hAnsi="Calibri"/>
          <w:sz w:val="20"/>
          <w:szCs w:val="20"/>
          <w:lang w:val="fr-CA"/>
        </w:rPr>
        <w:t>(</w:t>
      </w:r>
      <w:r w:rsidRPr="008E1693">
        <w:rPr>
          <w:rFonts w:ascii="Calibri" w:hAnsi="Calibri"/>
          <w:i/>
          <w:sz w:val="20"/>
          <w:szCs w:val="20"/>
          <w:lang w:val="fr-FR"/>
        </w:rPr>
        <w:t>Auchenoglanis occidentalis</w:t>
      </w:r>
      <w:r w:rsidRPr="008E1693">
        <w:rPr>
          <w:rFonts w:ascii="Calibri" w:hAnsi="Calibri"/>
          <w:sz w:val="20"/>
          <w:szCs w:val="20"/>
          <w:lang w:val="fr-CA"/>
        </w:rPr>
        <w:t>)</w:t>
      </w:r>
      <w:r w:rsidRPr="008E1693">
        <w:rPr>
          <w:rFonts w:ascii="Calibri" w:hAnsi="Calibri"/>
          <w:sz w:val="20"/>
          <w:szCs w:val="20"/>
          <w:lang w:val="fr-FR"/>
        </w:rPr>
        <w:t>.</w:t>
      </w:r>
    </w:p>
    <w:p w14:paraId="5744E8AE" w14:textId="77777777" w:rsidR="00302BFE" w:rsidRPr="008E1693" w:rsidRDefault="00302BFE" w:rsidP="00302BFE">
      <w:pPr>
        <w:pStyle w:val="Paragraphedeliste"/>
        <w:tabs>
          <w:tab w:val="left" w:pos="284"/>
        </w:tabs>
        <w:spacing w:before="120" w:after="120"/>
        <w:ind w:left="0"/>
        <w:jc w:val="both"/>
        <w:rPr>
          <w:rFonts w:ascii="Calibri" w:hAnsi="Calibri"/>
          <w:sz w:val="20"/>
          <w:szCs w:val="20"/>
          <w:lang w:val="fr-CA"/>
        </w:rPr>
      </w:pPr>
      <w:bookmarkStart w:id="84" w:name="_Toc2166315"/>
      <w:bookmarkStart w:id="85" w:name="_Toc415732975"/>
      <w:bookmarkStart w:id="86" w:name="_Toc206307976"/>
      <w:bookmarkStart w:id="87" w:name="_Toc201409524"/>
      <w:bookmarkStart w:id="88" w:name="_Toc201402708"/>
      <w:bookmarkStart w:id="89" w:name="_Toc201401841"/>
      <w:r w:rsidRPr="008E1693">
        <w:rPr>
          <w:rFonts w:ascii="Calibri" w:eastAsia="Times New Roman" w:hAnsi="Calibri"/>
          <w:i/>
          <w:iCs/>
          <w:color w:val="2F5496"/>
          <w:sz w:val="20"/>
          <w:szCs w:val="20"/>
          <w:lang w:val="fr-CA"/>
        </w:rPr>
        <w:t>L’artisanat</w:t>
      </w:r>
      <w:bookmarkEnd w:id="84"/>
      <w:bookmarkEnd w:id="85"/>
      <w:bookmarkEnd w:id="86"/>
      <w:bookmarkEnd w:id="87"/>
      <w:bookmarkEnd w:id="88"/>
      <w:bookmarkEnd w:id="89"/>
      <w:r w:rsidRPr="008E1693">
        <w:rPr>
          <w:rFonts w:ascii="Calibri" w:eastAsia="Times New Roman" w:hAnsi="Calibri"/>
          <w:i/>
          <w:iCs/>
          <w:color w:val="2F5496"/>
          <w:sz w:val="20"/>
          <w:szCs w:val="20"/>
          <w:lang w:val="fr-CA"/>
        </w:rPr>
        <w:t xml:space="preserve">. </w:t>
      </w:r>
      <w:r w:rsidRPr="008E1693">
        <w:rPr>
          <w:rFonts w:ascii="Calibri" w:hAnsi="Calibri"/>
          <w:sz w:val="20"/>
          <w:szCs w:val="20"/>
          <w:lang w:val="fr-CA"/>
        </w:rPr>
        <w:t>L’artisanat est une activité menée en dehors et/ou en marge de la période d’intenses activités agricoles. Il comprend la poterie, la vannerie, la forge et très rarement la sculpture. Peu de personnes y sont impliquées. On note également l’émergence de services artisanaux dans les domaines suivants : réparations de pompes, mécanique des engins à deux et trois roues, couture, coiffure, etc. dans les chefs-lieux de communes.</w:t>
      </w:r>
    </w:p>
    <w:p w14:paraId="099F45C3" w14:textId="77777777" w:rsidR="00302BFE" w:rsidRPr="008E1693" w:rsidRDefault="00302BFE" w:rsidP="00302BFE">
      <w:pPr>
        <w:pStyle w:val="Paragraphedeliste"/>
        <w:tabs>
          <w:tab w:val="left" w:pos="284"/>
        </w:tabs>
        <w:spacing w:before="120" w:after="120"/>
        <w:ind w:left="0"/>
        <w:jc w:val="both"/>
        <w:rPr>
          <w:rFonts w:ascii="Calibri" w:hAnsi="Calibri"/>
          <w:sz w:val="20"/>
          <w:szCs w:val="20"/>
          <w:lang w:val="fr-CA"/>
        </w:rPr>
      </w:pPr>
      <w:r w:rsidRPr="008E1693">
        <w:rPr>
          <w:rFonts w:ascii="Calibri" w:eastAsia="Times New Roman" w:hAnsi="Calibri"/>
          <w:i/>
          <w:iCs/>
          <w:color w:val="2F5496"/>
          <w:sz w:val="20"/>
          <w:szCs w:val="20"/>
          <w:lang w:val="fr-CA"/>
        </w:rPr>
        <w:t xml:space="preserve">Le bois de feu et charbon de bois. </w:t>
      </w:r>
      <w:r w:rsidRPr="008E1693">
        <w:rPr>
          <w:rFonts w:ascii="Calibri" w:hAnsi="Calibri"/>
          <w:sz w:val="20"/>
          <w:szCs w:val="20"/>
          <w:lang w:val="fr-CA"/>
        </w:rPr>
        <w:t xml:space="preserve">La collecte de bois de feu constitue une source de revenus pour les ménages. Le bois, ramassé dans les espaces de production, est surtout vendu dans les marchés communaux (des chefs-lieux de communes). </w:t>
      </w:r>
      <w:r w:rsidRPr="008E1693">
        <w:rPr>
          <w:rFonts w:ascii="Calibri" w:hAnsi="Calibri"/>
          <w:sz w:val="20"/>
          <w:szCs w:val="20"/>
          <w:lang w:val="fr-MC"/>
        </w:rPr>
        <w:t xml:space="preserve">La carbonisation est également pratiquée dans l’ensemble des communes, de façon soit officielle, soit frauduleuse. Cette activité occupe surtout les jeunes et les femmes bien que les communautés locales affirment être moins impliquées. </w:t>
      </w:r>
      <w:r w:rsidRPr="008E1693">
        <w:rPr>
          <w:rFonts w:ascii="Calibri" w:hAnsi="Calibri"/>
          <w:sz w:val="20"/>
          <w:szCs w:val="20"/>
          <w:lang w:val="fr-CA"/>
        </w:rPr>
        <w:t>Le circuit le plus organisé du bois de feu et du charbon de bois a lieu dans les CAF.</w:t>
      </w:r>
    </w:p>
    <w:p w14:paraId="3E44088E" w14:textId="77777777" w:rsidR="00302BFE" w:rsidRPr="008E1693" w:rsidRDefault="00302BFE" w:rsidP="00302BFE">
      <w:pPr>
        <w:pStyle w:val="Paragraphedeliste"/>
        <w:tabs>
          <w:tab w:val="left" w:pos="284"/>
        </w:tabs>
        <w:spacing w:before="120" w:after="120"/>
        <w:ind w:left="0"/>
        <w:jc w:val="both"/>
        <w:rPr>
          <w:rFonts w:ascii="Calibri" w:hAnsi="Calibri"/>
          <w:sz w:val="20"/>
          <w:szCs w:val="20"/>
          <w:lang w:val="fr-CA"/>
        </w:rPr>
      </w:pPr>
      <w:bookmarkStart w:id="90" w:name="_Toc2166317"/>
      <w:bookmarkStart w:id="91" w:name="_Toc415411181"/>
      <w:r w:rsidRPr="008E1693">
        <w:rPr>
          <w:rFonts w:ascii="Calibri" w:eastAsia="Times New Roman" w:hAnsi="Calibri"/>
          <w:i/>
          <w:iCs/>
          <w:color w:val="2F5496"/>
          <w:sz w:val="20"/>
          <w:szCs w:val="20"/>
          <w:lang w:val="fr-CA"/>
        </w:rPr>
        <w:t>La cueillette</w:t>
      </w:r>
      <w:bookmarkEnd w:id="90"/>
      <w:bookmarkEnd w:id="91"/>
      <w:r w:rsidRPr="008E1693">
        <w:rPr>
          <w:rFonts w:ascii="Calibri" w:eastAsia="Times New Roman" w:hAnsi="Calibri"/>
          <w:i/>
          <w:iCs/>
          <w:color w:val="2F5496"/>
          <w:sz w:val="20"/>
          <w:szCs w:val="20"/>
          <w:lang w:val="fr-CA"/>
        </w:rPr>
        <w:t xml:space="preserve"> de PFNL et de fourrage. </w:t>
      </w:r>
      <w:r w:rsidRPr="008E1693">
        <w:rPr>
          <w:rFonts w:ascii="Calibri" w:hAnsi="Calibri"/>
          <w:sz w:val="20"/>
          <w:szCs w:val="20"/>
          <w:lang w:val="fr-CA"/>
        </w:rPr>
        <w:t xml:space="preserve">La cueillette concerne les PFNL qui sont exploités pour l’alimentation, la commercialisation, les soins de santé, et le fourrage. </w:t>
      </w:r>
      <w:r w:rsidRPr="008E1693">
        <w:rPr>
          <w:rFonts w:ascii="Calibri" w:hAnsi="Calibri"/>
          <w:sz w:val="20"/>
          <w:szCs w:val="20"/>
          <w:lang w:val="fr-MC"/>
        </w:rPr>
        <w:t xml:space="preserve">Les PFNL les plus commercialisés sont les fruits et amandes de </w:t>
      </w:r>
      <w:r w:rsidRPr="008E1693">
        <w:rPr>
          <w:rFonts w:ascii="Calibri" w:eastAsia="Times New Roman" w:hAnsi="Calibri"/>
          <w:sz w:val="20"/>
          <w:szCs w:val="20"/>
          <w:lang w:val="fr-CA" w:eastAsia="fr-FR"/>
        </w:rPr>
        <w:t xml:space="preserve">karité, les fruits et graines de néré, les fruits et feuilles de tamarin, les fruits du </w:t>
      </w:r>
      <w:r w:rsidRPr="008E1693">
        <w:rPr>
          <w:rFonts w:ascii="Calibri" w:eastAsia="Times New Roman" w:hAnsi="Calibri"/>
          <w:i/>
          <w:sz w:val="20"/>
          <w:szCs w:val="20"/>
          <w:lang w:val="fr-CA" w:eastAsia="fr-FR"/>
        </w:rPr>
        <w:t>Detarium</w:t>
      </w:r>
      <w:r w:rsidRPr="008E1693">
        <w:rPr>
          <w:rFonts w:ascii="Calibri" w:eastAsia="Times New Roman" w:hAnsi="Calibri"/>
          <w:sz w:val="20"/>
          <w:szCs w:val="20"/>
          <w:lang w:val="fr-CA" w:eastAsia="fr-FR"/>
        </w:rPr>
        <w:t xml:space="preserve"> sp., les fruits de la liane goïne, les fruits et feuilles de baobab, et les feuilles du </w:t>
      </w:r>
      <w:r w:rsidRPr="008E1693">
        <w:rPr>
          <w:rFonts w:ascii="Calibri" w:eastAsia="Times New Roman" w:hAnsi="Calibri"/>
          <w:i/>
          <w:sz w:val="20"/>
          <w:szCs w:val="20"/>
          <w:lang w:val="fr-CA" w:eastAsia="fr-FR"/>
        </w:rPr>
        <w:t>Vitex doniana</w:t>
      </w:r>
      <w:r w:rsidRPr="008E1693">
        <w:rPr>
          <w:rFonts w:ascii="Calibri" w:eastAsia="Times New Roman" w:hAnsi="Calibri"/>
          <w:sz w:val="20"/>
          <w:szCs w:val="20"/>
          <w:lang w:val="fr-CA" w:eastAsia="fr-FR"/>
        </w:rPr>
        <w:t xml:space="preserve">. </w:t>
      </w:r>
      <w:r w:rsidRPr="008E1693">
        <w:rPr>
          <w:rFonts w:ascii="Calibri" w:hAnsi="Calibri"/>
          <w:sz w:val="20"/>
          <w:szCs w:val="20"/>
          <w:lang w:val="fr-CA"/>
        </w:rPr>
        <w:t>Tous les ménages cueillent des PFNL. Les femmes représentent 53% des producteurs impliqués dans la commercialisation des PFNL (Sama, 2016).</w:t>
      </w:r>
    </w:p>
    <w:p w14:paraId="53090AB3" w14:textId="77777777" w:rsidR="00302BFE" w:rsidRPr="008E1693" w:rsidRDefault="00302BFE" w:rsidP="00302BFE">
      <w:pPr>
        <w:pStyle w:val="Paragraphedeliste"/>
        <w:tabs>
          <w:tab w:val="left" w:pos="284"/>
        </w:tabs>
        <w:spacing w:before="120" w:after="120"/>
        <w:ind w:left="0"/>
        <w:jc w:val="both"/>
        <w:rPr>
          <w:rFonts w:ascii="Calibri" w:hAnsi="Calibri"/>
          <w:sz w:val="20"/>
          <w:szCs w:val="20"/>
          <w:lang w:val="fr-CA"/>
        </w:rPr>
      </w:pPr>
      <w:r w:rsidRPr="008E1693">
        <w:rPr>
          <w:rFonts w:ascii="Calibri" w:eastAsia="Times New Roman" w:hAnsi="Calibri"/>
          <w:i/>
          <w:iCs/>
          <w:color w:val="2F5496"/>
          <w:sz w:val="20"/>
          <w:szCs w:val="20"/>
          <w:lang w:val="fr-CA"/>
        </w:rPr>
        <w:t xml:space="preserve">Apiculture. </w:t>
      </w:r>
      <w:r w:rsidRPr="008E1693">
        <w:rPr>
          <w:rFonts w:ascii="Calibri" w:hAnsi="Calibri"/>
          <w:sz w:val="20"/>
          <w:szCs w:val="20"/>
          <w:lang w:val="fr-CA"/>
        </w:rPr>
        <w:t>L’apiculture constitue également une source de revenus pour plus de 300 apiculteurs et de leurs ménages respectifs. La filière est organisée avec l’appui des ONGs Tree Aid et Natudev.</w:t>
      </w:r>
    </w:p>
    <w:p w14:paraId="1CEC4A13" w14:textId="700535A1" w:rsidR="00302BFE" w:rsidRPr="008E1693" w:rsidRDefault="00302BFE" w:rsidP="00302BFE">
      <w:pPr>
        <w:pStyle w:val="Paragraphedeliste"/>
        <w:tabs>
          <w:tab w:val="left" w:pos="284"/>
        </w:tabs>
        <w:spacing w:before="120" w:after="120"/>
        <w:ind w:left="0"/>
        <w:jc w:val="both"/>
        <w:rPr>
          <w:rFonts w:ascii="Calibri" w:hAnsi="Calibri"/>
          <w:sz w:val="20"/>
          <w:szCs w:val="20"/>
          <w:lang w:val="fr-CA"/>
        </w:rPr>
      </w:pPr>
      <w:r w:rsidRPr="008E1693">
        <w:rPr>
          <w:rFonts w:ascii="Calibri" w:eastAsia="Times New Roman" w:hAnsi="Calibri"/>
          <w:i/>
          <w:iCs/>
          <w:color w:val="2F5496"/>
          <w:sz w:val="20"/>
          <w:szCs w:val="20"/>
          <w:lang w:val="fr-CA"/>
        </w:rPr>
        <w:t xml:space="preserve">Autres activités de production. </w:t>
      </w:r>
      <w:r w:rsidRPr="008E1693">
        <w:rPr>
          <w:rFonts w:ascii="Calibri" w:hAnsi="Calibri"/>
          <w:sz w:val="20"/>
          <w:szCs w:val="20"/>
          <w:lang w:val="fr-CA"/>
        </w:rPr>
        <w:t>Les autres activités économiques comprennent l’exploitation des agrégats (cailloux sauvages, gravillons, sable) et l’orpaillage. L’exploitation des agrégats se fait dans les aires protégées, notamment dans le PNKT. L’orpaillage, surtout concentré dans la commune de Zerboko est une activité qui mobilise t</w:t>
      </w:r>
      <w:r w:rsidRPr="008E1693">
        <w:rPr>
          <w:rFonts w:ascii="Calibri" w:eastAsia="Times New Roman" w:hAnsi="Calibri"/>
          <w:sz w:val="20"/>
          <w:szCs w:val="20"/>
          <w:lang w:val="fr-CA" w:eastAsia="fr-FR"/>
        </w:rPr>
        <w:t xml:space="preserve">ous les jeunes du village. Une seule « prise » peut valoir 850 $US </w:t>
      </w:r>
      <w:r w:rsidRPr="008E1693">
        <w:rPr>
          <w:rFonts w:ascii="Calibri" w:eastAsia="Times New Roman" w:hAnsi="Calibri"/>
          <w:sz w:val="20"/>
          <w:szCs w:val="20"/>
          <w:lang w:val="fr-CA" w:eastAsia="fr-FR"/>
        </w:rPr>
        <w:lastRenderedPageBreak/>
        <w:t>(500 000 FCFA</w:t>
      </w:r>
      <w:r w:rsidR="005E13EB">
        <w:rPr>
          <w:rFonts w:ascii="Calibri" w:eastAsia="Times New Roman" w:hAnsi="Calibri"/>
          <w:sz w:val="20"/>
          <w:szCs w:val="20"/>
          <w:lang w:val="fr-CA" w:eastAsia="fr-FR"/>
        </w:rPr>
        <w:t xml:space="preserve"> – approx 850 $US</w:t>
      </w:r>
      <w:r w:rsidRPr="008E1693">
        <w:rPr>
          <w:rFonts w:ascii="Calibri" w:eastAsia="Times New Roman" w:hAnsi="Calibri"/>
          <w:sz w:val="20"/>
          <w:szCs w:val="20"/>
          <w:lang w:val="fr-CA" w:eastAsia="fr-FR"/>
        </w:rPr>
        <w:t>) pour un orpailleur et jusqu’au-delà du double. L’argent obtenu est investi dans le prestige plutôt que dans des investissements productifs.</w:t>
      </w:r>
    </w:p>
    <w:p w14:paraId="2FE27499" w14:textId="77777777" w:rsidR="00302BFE" w:rsidRPr="008E1693" w:rsidRDefault="00302BFE" w:rsidP="00302BFE">
      <w:pPr>
        <w:pStyle w:val="Paragraphedeliste"/>
        <w:tabs>
          <w:tab w:val="left" w:pos="284"/>
        </w:tabs>
        <w:spacing w:before="120" w:after="120"/>
        <w:ind w:left="0"/>
        <w:jc w:val="both"/>
        <w:rPr>
          <w:rFonts w:ascii="Calibri" w:eastAsia="Times New Roman" w:hAnsi="Calibri"/>
          <w:b/>
          <w:i/>
          <w:iCs/>
          <w:color w:val="2F5496"/>
          <w:sz w:val="22"/>
          <w:szCs w:val="22"/>
          <w:lang w:val="fr-CA"/>
        </w:rPr>
      </w:pPr>
      <w:r w:rsidRPr="008E1693">
        <w:rPr>
          <w:rFonts w:ascii="Calibri" w:eastAsia="Times New Roman" w:hAnsi="Calibri"/>
          <w:b/>
          <w:i/>
          <w:iCs/>
          <w:color w:val="2F5496"/>
          <w:sz w:val="22"/>
          <w:szCs w:val="22"/>
          <w:lang w:val="fr-CA"/>
        </w:rPr>
        <w:t>Bénéfices en lien avec les aires protégées</w:t>
      </w:r>
    </w:p>
    <w:p w14:paraId="1D9FE62E" w14:textId="77777777" w:rsidR="00302BFE" w:rsidRPr="008E1693" w:rsidRDefault="00302BFE" w:rsidP="00302BFE">
      <w:pPr>
        <w:pStyle w:val="Paragraphedeliste"/>
        <w:tabs>
          <w:tab w:val="left" w:pos="284"/>
        </w:tabs>
        <w:spacing w:before="120" w:after="120"/>
        <w:ind w:left="0"/>
        <w:jc w:val="both"/>
        <w:rPr>
          <w:rFonts w:ascii="Calibri" w:hAnsi="Calibri"/>
          <w:sz w:val="20"/>
          <w:szCs w:val="20"/>
          <w:lang w:val="fr-CA"/>
        </w:rPr>
      </w:pPr>
      <w:r w:rsidRPr="008E1693">
        <w:rPr>
          <w:rFonts w:ascii="Calibri" w:hAnsi="Calibri"/>
          <w:sz w:val="20"/>
          <w:szCs w:val="20"/>
          <w:lang w:val="fr-CA"/>
        </w:rPr>
        <w:t>Les bénéfices socio-économiques des aires protégées du PONASI ne sont pas documentés de manière systématique. Certains bénéfices socio-économiques pour les communautés locales peuvent cependant être envisagés à partir de l’évaluation qui a été menée par le Programme d’Appui aux Parcs de l’Entente (PAPE) et par le Sous-Programme Boucle du Mouhoun du Programme National de Partenariat pour la Gestion des Terres au Burkina Faso (CPP) dont les actions étaient orientées sur la gestion rationnelle des aires protégées et la gestion durable des terres. Les bénéfices sont examinés en termes d’emplois directs et indirects créés au niveau des aires protégées, mais aussi à travers l’amélioration des activités de production et de reproduction conduites par les communautés riveraines.</w:t>
      </w:r>
    </w:p>
    <w:p w14:paraId="1A4E28F6" w14:textId="77777777" w:rsidR="00302BFE" w:rsidRPr="008E1693" w:rsidRDefault="00302BFE" w:rsidP="00302BFE">
      <w:pPr>
        <w:pStyle w:val="Paragraphedeliste"/>
        <w:tabs>
          <w:tab w:val="left" w:pos="284"/>
        </w:tabs>
        <w:spacing w:before="120" w:after="120"/>
        <w:ind w:left="0"/>
        <w:jc w:val="both"/>
        <w:rPr>
          <w:rFonts w:ascii="Calibri" w:hAnsi="Calibri"/>
          <w:sz w:val="20"/>
          <w:szCs w:val="20"/>
          <w:lang w:val="fr-CA"/>
        </w:rPr>
      </w:pPr>
      <w:r w:rsidRPr="008E1693">
        <w:rPr>
          <w:rFonts w:ascii="Calibri" w:hAnsi="Calibri"/>
          <w:sz w:val="20"/>
          <w:szCs w:val="20"/>
          <w:lang w:val="fr-CA"/>
        </w:rPr>
        <w:t>Selon l’étude concernant la contribution des aires protégées au développement socio-économique des populations riveraines conduite par le PAPE en 2013, les acteurs bénéficiant des retombées des aires protégées sont nombreux et diversifiés. Ces acteurs comprennent : (i) les populations dans leur ensemble qui utilisent les forêts pour le prélèvement de certains produits forestiers ligneux et non ligneux ; (ii) les populations constituées en Comités Villageois de Gestion de la Faune ; (iii) les femmes qui exploitent les produits forestiers non ligneux ; (iv) les vendeurs de viande sauvage ; (v) les restauratrices ; (vi) les hôteliers ; (vii) les guides touristiques ; (viii) l’Etat ; (ix) les collectivités décentralisées, et (x) les concessionnaires. L’étude mentionne que les bénéfices apportés par le projet incluent des terroirs villageois moins dégradés offrant des terres fertiles aux producteurs, l’ouverture d’esprit des populations locales au monde grâce aux rencontres avec des touristes étrangers, et les jumelages entre les populations et d’autres localités qui ont appuyé le développement communautaire.</w:t>
      </w:r>
    </w:p>
    <w:p w14:paraId="43862C53" w14:textId="0CC3585F" w:rsidR="00302BFE" w:rsidRPr="008E1693" w:rsidRDefault="00302BFE" w:rsidP="00302BFE">
      <w:pPr>
        <w:pStyle w:val="Paragraphedeliste"/>
        <w:tabs>
          <w:tab w:val="left" w:pos="284"/>
        </w:tabs>
        <w:spacing w:before="120" w:after="120"/>
        <w:ind w:left="0"/>
        <w:jc w:val="both"/>
        <w:rPr>
          <w:rFonts w:ascii="Calibri" w:hAnsi="Calibri"/>
          <w:noProof/>
          <w:sz w:val="20"/>
          <w:szCs w:val="20"/>
          <w:highlight w:val="magenta"/>
          <w:lang w:val="fr-CA"/>
        </w:rPr>
      </w:pPr>
      <w:r w:rsidRPr="008E1693">
        <w:rPr>
          <w:rFonts w:ascii="Calibri" w:hAnsi="Calibri"/>
          <w:sz w:val="20"/>
          <w:szCs w:val="20"/>
          <w:lang w:val="fr-CA"/>
        </w:rPr>
        <w:t xml:space="preserve">Dans le PONASI, les populations locales ont déjà bénéficié de telles retombées. Cependant, du fait de la situation sécuritaire du pays en général, les concessionnaires reçoivent de moins en moins de chasseurs et le tourisme diminue significativement. Les concessionnaires présents dans le PONASI ont souligné l’importance de la sécurisation des aires protégées du complexe pour préserver conserver le potentiel touristique des aires protégées. </w:t>
      </w:r>
      <w:r w:rsidRPr="008E1693">
        <w:rPr>
          <w:rFonts w:ascii="Calibri" w:hAnsi="Calibri"/>
          <w:noProof/>
          <w:sz w:val="20"/>
          <w:szCs w:val="20"/>
          <w:lang w:val="fr-CA"/>
        </w:rPr>
        <w:t>L’amélioration de la conservation des aires protégées permettrait de maintenir les bénéfices socio-économiques pour les populations locales qui ont été estimés à des dizaines de millions de francs CFA (plusieurs diz</w:t>
      </w:r>
      <w:r w:rsidR="005E13EB">
        <w:rPr>
          <w:rFonts w:ascii="Calibri" w:hAnsi="Calibri"/>
          <w:noProof/>
          <w:sz w:val="20"/>
          <w:szCs w:val="20"/>
          <w:lang w:val="fr-CA"/>
        </w:rPr>
        <w:t>a</w:t>
      </w:r>
      <w:r w:rsidRPr="008E1693">
        <w:rPr>
          <w:rFonts w:ascii="Calibri" w:hAnsi="Calibri"/>
          <w:noProof/>
          <w:sz w:val="20"/>
          <w:szCs w:val="20"/>
          <w:lang w:val="fr-CA"/>
        </w:rPr>
        <w:t>ines de milliers de dollars US) par an à travers des emplois directs et indirects.</w:t>
      </w:r>
      <w:r w:rsidRPr="008E1693">
        <w:rPr>
          <w:rFonts w:ascii="Calibri" w:hAnsi="Calibri"/>
          <w:noProof/>
          <w:sz w:val="20"/>
          <w:szCs w:val="20"/>
          <w:highlight w:val="magenta"/>
          <w:lang w:val="fr-CA"/>
        </w:rPr>
        <w:t xml:space="preserve"> </w:t>
      </w:r>
    </w:p>
    <w:p w14:paraId="0D5F4685" w14:textId="77777777" w:rsidR="00302BFE" w:rsidRPr="008E1693" w:rsidRDefault="00302BFE" w:rsidP="00302BFE">
      <w:pPr>
        <w:pStyle w:val="Paragraphedeliste"/>
        <w:tabs>
          <w:tab w:val="left" w:pos="284"/>
        </w:tabs>
        <w:spacing w:before="120" w:after="120"/>
        <w:ind w:left="0"/>
        <w:jc w:val="both"/>
        <w:rPr>
          <w:rFonts w:ascii="Calibri" w:hAnsi="Calibri"/>
          <w:noProof/>
          <w:sz w:val="20"/>
          <w:szCs w:val="20"/>
          <w:lang w:val="fr-CA"/>
        </w:rPr>
      </w:pPr>
      <w:r w:rsidRPr="008E1693">
        <w:rPr>
          <w:rFonts w:ascii="Calibri" w:hAnsi="Calibri"/>
          <w:noProof/>
          <w:sz w:val="20"/>
          <w:szCs w:val="20"/>
          <w:lang w:val="fr-CA"/>
        </w:rPr>
        <w:t>Les emplois créés sont également liés aux travaux d’aménagement dans les aires protégées. En trois ans les travaux d’aménagement exécutés par le PAPSA dans le PONASI a généré environ 76 500 $US (45 millions de francs CFA) pour les populations locales (tableau ci-dessous).</w:t>
      </w:r>
    </w:p>
    <w:p w14:paraId="1B21120B" w14:textId="77777777" w:rsidR="00302BFE" w:rsidRPr="008E1693" w:rsidRDefault="00302BFE" w:rsidP="00302BFE">
      <w:pPr>
        <w:pStyle w:val="Lgende"/>
        <w:spacing w:before="120" w:after="40"/>
        <w:jc w:val="both"/>
        <w:rPr>
          <w:rFonts w:ascii="Calibri" w:hAnsi="Calibri"/>
          <w:b w:val="0"/>
          <w:sz w:val="20"/>
          <w:szCs w:val="20"/>
          <w:lang w:val="fr-CA"/>
        </w:rPr>
      </w:pPr>
      <w:bookmarkStart w:id="92" w:name="_Toc504405156"/>
      <w:bookmarkStart w:id="93" w:name="_Toc2166335"/>
      <w:r w:rsidRPr="008E1693">
        <w:rPr>
          <w:rFonts w:ascii="Calibri" w:hAnsi="Calibri"/>
          <w:sz w:val="20"/>
          <w:szCs w:val="20"/>
          <w:lang w:val="fr-CA"/>
        </w:rPr>
        <w:t xml:space="preserve">Tableau </w:t>
      </w:r>
      <w:r w:rsidRPr="00091F0E">
        <w:rPr>
          <w:rFonts w:ascii="Calibri" w:hAnsi="Calibri"/>
          <w:noProof/>
          <w:sz w:val="20"/>
          <w:szCs w:val="20"/>
          <w:lang w:val="fr-CA"/>
        </w:rPr>
        <w:t>C</w:t>
      </w:r>
      <w:r w:rsidRPr="008E1693">
        <w:rPr>
          <w:rFonts w:ascii="Calibri" w:hAnsi="Calibri"/>
          <w:sz w:val="20"/>
          <w:szCs w:val="20"/>
          <w:lang w:val="fr-CA"/>
        </w:rPr>
        <w:t> </w:t>
      </w:r>
      <w:r w:rsidRPr="008E1693">
        <w:rPr>
          <w:rFonts w:ascii="Calibri" w:hAnsi="Calibri"/>
          <w:b w:val="0"/>
          <w:sz w:val="20"/>
          <w:szCs w:val="20"/>
          <w:lang w:val="fr-CA"/>
        </w:rPr>
        <w:t>: Revenus générés au profit des populations riveraines du complexe PONASI dans le cadre du PAPSA</w:t>
      </w:r>
      <w:bookmarkEnd w:id="92"/>
      <w:bookmarkEnd w:id="93"/>
      <w:r>
        <w:rPr>
          <w:rFonts w:ascii="Calibri" w:hAnsi="Calibri"/>
          <w:b w:val="0"/>
          <w:sz w:val="20"/>
          <w:szCs w:val="20"/>
          <w:lang w:val="fr-CA"/>
        </w:rPr>
        <w:t xml:space="preserve">. </w:t>
      </w:r>
      <w:r w:rsidRPr="00091F0E">
        <w:rPr>
          <w:i/>
          <w:sz w:val="16"/>
          <w:szCs w:val="16"/>
          <w:lang w:val="fr-CA"/>
        </w:rPr>
        <w:t>Source : PAPE, 2013</w:t>
      </w:r>
    </w:p>
    <w:tbl>
      <w:tblPr>
        <w:tblW w:w="3970" w:type="pct"/>
        <w:jc w:val="center"/>
        <w:tblBorders>
          <w:top w:val="single" w:sz="4" w:space="0" w:color="013366"/>
          <w:left w:val="single" w:sz="4" w:space="0" w:color="013366"/>
          <w:bottom w:val="single" w:sz="4" w:space="0" w:color="013366"/>
          <w:right w:val="single" w:sz="4" w:space="0" w:color="013366"/>
          <w:insideH w:val="single" w:sz="4" w:space="0" w:color="013366"/>
          <w:insideV w:val="single" w:sz="4" w:space="0" w:color="013366"/>
        </w:tblBorders>
        <w:tblLayout w:type="fixed"/>
        <w:tblLook w:val="04A0" w:firstRow="1" w:lastRow="0" w:firstColumn="1" w:lastColumn="0" w:noHBand="0" w:noVBand="1"/>
      </w:tblPr>
      <w:tblGrid>
        <w:gridCol w:w="934"/>
        <w:gridCol w:w="4830"/>
        <w:gridCol w:w="1712"/>
        <w:gridCol w:w="1091"/>
      </w:tblGrid>
      <w:tr w:rsidR="00302BFE" w:rsidRPr="00832C0A" w14:paraId="05867F23" w14:textId="77777777" w:rsidTr="002C7A0F">
        <w:trPr>
          <w:trHeight w:val="283"/>
          <w:jc w:val="center"/>
        </w:trPr>
        <w:tc>
          <w:tcPr>
            <w:tcW w:w="545" w:type="pct"/>
            <w:tcBorders>
              <w:top w:val="single" w:sz="4" w:space="0" w:color="013366"/>
              <w:left w:val="single" w:sz="4" w:space="0" w:color="013366"/>
              <w:bottom w:val="single" w:sz="4" w:space="0" w:color="013366"/>
              <w:right w:val="nil"/>
              <w:tl2br w:val="nil"/>
              <w:tr2bl w:val="nil"/>
            </w:tcBorders>
            <w:shd w:val="clear" w:color="auto" w:fill="013366"/>
          </w:tcPr>
          <w:p w14:paraId="5EBDEC89" w14:textId="77777777" w:rsidR="00302BFE" w:rsidRPr="0075595E" w:rsidRDefault="00302BFE" w:rsidP="002C7A0F">
            <w:pPr>
              <w:spacing w:after="0"/>
              <w:rPr>
                <w:rFonts w:eastAsia="Times New Roman"/>
                <w:color w:val="FFFFFF"/>
                <w:sz w:val="18"/>
                <w:szCs w:val="18"/>
              </w:rPr>
            </w:pPr>
            <w:r w:rsidRPr="0075595E">
              <w:rPr>
                <w:rFonts w:eastAsia="Times New Roman"/>
                <w:color w:val="FFFFFF"/>
                <w:sz w:val="18"/>
                <w:szCs w:val="18"/>
              </w:rPr>
              <w:t>Années</w:t>
            </w:r>
          </w:p>
        </w:tc>
        <w:tc>
          <w:tcPr>
            <w:tcW w:w="2819" w:type="pct"/>
            <w:tcBorders>
              <w:top w:val="single" w:sz="4" w:space="0" w:color="013366"/>
              <w:left w:val="nil"/>
              <w:bottom w:val="single" w:sz="4" w:space="0" w:color="013366"/>
              <w:right w:val="nil"/>
              <w:tl2br w:val="nil"/>
              <w:tr2bl w:val="nil"/>
            </w:tcBorders>
            <w:shd w:val="clear" w:color="auto" w:fill="013366"/>
            <w:noWrap/>
            <w:hideMark/>
          </w:tcPr>
          <w:p w14:paraId="37283AFB" w14:textId="77777777" w:rsidR="00302BFE" w:rsidRPr="0075595E" w:rsidRDefault="00302BFE" w:rsidP="002C7A0F">
            <w:pPr>
              <w:spacing w:after="0"/>
              <w:rPr>
                <w:rFonts w:eastAsia="Times New Roman"/>
                <w:color w:val="FFFFFF"/>
                <w:sz w:val="18"/>
                <w:szCs w:val="18"/>
              </w:rPr>
            </w:pPr>
            <w:r w:rsidRPr="0075595E">
              <w:rPr>
                <w:rFonts w:eastAsia="Times New Roman"/>
                <w:color w:val="FFFFFF"/>
                <w:sz w:val="18"/>
                <w:szCs w:val="18"/>
              </w:rPr>
              <w:t>Activités</w:t>
            </w:r>
          </w:p>
        </w:tc>
        <w:tc>
          <w:tcPr>
            <w:tcW w:w="999" w:type="pct"/>
            <w:tcBorders>
              <w:top w:val="single" w:sz="4" w:space="0" w:color="013366"/>
              <w:left w:val="nil"/>
              <w:bottom w:val="single" w:sz="4" w:space="0" w:color="013366"/>
              <w:right w:val="nil"/>
              <w:tl2br w:val="nil"/>
              <w:tr2bl w:val="nil"/>
            </w:tcBorders>
            <w:shd w:val="clear" w:color="auto" w:fill="013366"/>
          </w:tcPr>
          <w:p w14:paraId="1D6B88A7" w14:textId="77777777" w:rsidR="00302BFE" w:rsidRPr="0075595E" w:rsidRDefault="00302BFE" w:rsidP="002C7A0F">
            <w:pPr>
              <w:spacing w:after="0"/>
              <w:rPr>
                <w:rFonts w:eastAsia="Times New Roman"/>
                <w:color w:val="FFFFFF"/>
                <w:sz w:val="18"/>
                <w:szCs w:val="18"/>
                <w:lang w:val="fr-CA"/>
              </w:rPr>
            </w:pPr>
            <w:r w:rsidRPr="0075595E">
              <w:rPr>
                <w:rFonts w:eastAsia="Times New Roman"/>
                <w:color w:val="FFFFFF"/>
                <w:sz w:val="18"/>
                <w:szCs w:val="18"/>
                <w:lang w:val="fr-CA"/>
              </w:rPr>
              <w:t>Revenus distribués (FCFA)</w:t>
            </w:r>
          </w:p>
        </w:tc>
        <w:tc>
          <w:tcPr>
            <w:tcW w:w="637" w:type="pct"/>
            <w:tcBorders>
              <w:top w:val="single" w:sz="4" w:space="0" w:color="013366"/>
              <w:left w:val="nil"/>
              <w:bottom w:val="single" w:sz="4" w:space="0" w:color="013366"/>
              <w:right w:val="single" w:sz="4" w:space="0" w:color="013366"/>
              <w:tl2br w:val="nil"/>
              <w:tr2bl w:val="nil"/>
            </w:tcBorders>
            <w:shd w:val="clear" w:color="auto" w:fill="013366"/>
            <w:noWrap/>
            <w:hideMark/>
          </w:tcPr>
          <w:p w14:paraId="41661D80" w14:textId="77777777" w:rsidR="00302BFE" w:rsidRPr="0075595E" w:rsidRDefault="00302BFE" w:rsidP="002C7A0F">
            <w:pPr>
              <w:spacing w:after="0"/>
              <w:rPr>
                <w:rFonts w:eastAsia="Times New Roman"/>
                <w:color w:val="FFFFFF"/>
                <w:sz w:val="18"/>
                <w:szCs w:val="18"/>
              </w:rPr>
            </w:pPr>
            <w:r w:rsidRPr="0075595E">
              <w:rPr>
                <w:rFonts w:eastAsia="Times New Roman"/>
                <w:color w:val="FFFFFF"/>
                <w:sz w:val="18"/>
                <w:szCs w:val="18"/>
              </w:rPr>
              <w:t>Nb personnes</w:t>
            </w:r>
          </w:p>
        </w:tc>
      </w:tr>
      <w:tr w:rsidR="00302BFE" w:rsidRPr="00832C0A" w14:paraId="74BFC426" w14:textId="77777777" w:rsidTr="002C7A0F">
        <w:trPr>
          <w:trHeight w:val="283"/>
          <w:jc w:val="center"/>
        </w:trPr>
        <w:tc>
          <w:tcPr>
            <w:tcW w:w="545" w:type="pct"/>
            <w:vMerge w:val="restart"/>
            <w:shd w:val="clear" w:color="auto" w:fill="auto"/>
            <w:vAlign w:val="center"/>
          </w:tcPr>
          <w:p w14:paraId="13C807B5" w14:textId="77777777" w:rsidR="00302BFE" w:rsidRPr="0075595E" w:rsidRDefault="00302BFE" w:rsidP="002C7A0F">
            <w:pPr>
              <w:spacing w:after="0"/>
              <w:rPr>
                <w:rFonts w:eastAsia="Times New Roman"/>
                <w:sz w:val="18"/>
                <w:szCs w:val="18"/>
              </w:rPr>
            </w:pPr>
            <w:r w:rsidRPr="0075595E">
              <w:rPr>
                <w:rFonts w:eastAsia="Times New Roman"/>
                <w:sz w:val="18"/>
                <w:szCs w:val="18"/>
              </w:rPr>
              <w:t>2010</w:t>
            </w:r>
          </w:p>
        </w:tc>
        <w:tc>
          <w:tcPr>
            <w:tcW w:w="2819" w:type="pct"/>
            <w:shd w:val="clear" w:color="auto" w:fill="auto"/>
            <w:noWrap/>
            <w:hideMark/>
          </w:tcPr>
          <w:p w14:paraId="7BDC61BF" w14:textId="77777777" w:rsidR="00302BFE" w:rsidRPr="0075595E" w:rsidRDefault="00302BFE" w:rsidP="002C7A0F">
            <w:pPr>
              <w:spacing w:after="0"/>
              <w:rPr>
                <w:rFonts w:eastAsia="Times New Roman"/>
                <w:sz w:val="18"/>
                <w:szCs w:val="18"/>
              </w:rPr>
            </w:pPr>
            <w:r w:rsidRPr="0075595E">
              <w:rPr>
                <w:rFonts w:eastAsia="Times New Roman"/>
                <w:sz w:val="18"/>
                <w:szCs w:val="18"/>
              </w:rPr>
              <w:t>Ouverture manuelle des pistes</w:t>
            </w:r>
          </w:p>
        </w:tc>
        <w:tc>
          <w:tcPr>
            <w:tcW w:w="999" w:type="pct"/>
            <w:shd w:val="clear" w:color="auto" w:fill="auto"/>
          </w:tcPr>
          <w:p w14:paraId="509EE907" w14:textId="77777777" w:rsidR="00302BFE" w:rsidRPr="0075595E" w:rsidRDefault="00302BFE" w:rsidP="002C7A0F">
            <w:pPr>
              <w:spacing w:after="0"/>
              <w:rPr>
                <w:rFonts w:eastAsia="Times New Roman"/>
                <w:sz w:val="18"/>
                <w:szCs w:val="18"/>
              </w:rPr>
            </w:pPr>
            <w:r w:rsidRPr="0075595E">
              <w:rPr>
                <w:rFonts w:eastAsia="Times New Roman"/>
                <w:sz w:val="18"/>
                <w:szCs w:val="18"/>
              </w:rPr>
              <w:t>3 375 000</w:t>
            </w:r>
          </w:p>
        </w:tc>
        <w:tc>
          <w:tcPr>
            <w:tcW w:w="637" w:type="pct"/>
            <w:shd w:val="clear" w:color="auto" w:fill="auto"/>
            <w:noWrap/>
            <w:hideMark/>
          </w:tcPr>
          <w:p w14:paraId="7B5E8921" w14:textId="77777777" w:rsidR="00302BFE" w:rsidRPr="0075595E" w:rsidRDefault="00302BFE" w:rsidP="002C7A0F">
            <w:pPr>
              <w:spacing w:after="0"/>
              <w:rPr>
                <w:rFonts w:eastAsia="Times New Roman"/>
                <w:sz w:val="18"/>
                <w:szCs w:val="18"/>
              </w:rPr>
            </w:pPr>
            <w:r w:rsidRPr="0075595E">
              <w:rPr>
                <w:rFonts w:eastAsia="Times New Roman"/>
                <w:sz w:val="18"/>
                <w:szCs w:val="18"/>
              </w:rPr>
              <w:t>100</w:t>
            </w:r>
          </w:p>
        </w:tc>
      </w:tr>
      <w:tr w:rsidR="00302BFE" w:rsidRPr="00832C0A" w14:paraId="105C7A47" w14:textId="77777777" w:rsidTr="002C7A0F">
        <w:trPr>
          <w:trHeight w:val="283"/>
          <w:jc w:val="center"/>
        </w:trPr>
        <w:tc>
          <w:tcPr>
            <w:tcW w:w="545" w:type="pct"/>
            <w:vMerge/>
            <w:shd w:val="clear" w:color="auto" w:fill="auto"/>
            <w:vAlign w:val="center"/>
          </w:tcPr>
          <w:p w14:paraId="7BD4EE19" w14:textId="77777777" w:rsidR="00302BFE" w:rsidRPr="0075595E" w:rsidRDefault="00302BFE" w:rsidP="002C7A0F">
            <w:pPr>
              <w:spacing w:after="0"/>
              <w:rPr>
                <w:rFonts w:eastAsia="Times New Roman"/>
                <w:sz w:val="18"/>
                <w:szCs w:val="18"/>
              </w:rPr>
            </w:pPr>
          </w:p>
        </w:tc>
        <w:tc>
          <w:tcPr>
            <w:tcW w:w="2819" w:type="pct"/>
            <w:shd w:val="clear" w:color="auto" w:fill="auto"/>
            <w:noWrap/>
            <w:hideMark/>
          </w:tcPr>
          <w:p w14:paraId="32BF1E82" w14:textId="77777777" w:rsidR="00302BFE" w:rsidRPr="0075595E" w:rsidRDefault="00302BFE" w:rsidP="002C7A0F">
            <w:pPr>
              <w:spacing w:after="0"/>
              <w:rPr>
                <w:rFonts w:eastAsia="Times New Roman"/>
                <w:sz w:val="18"/>
                <w:szCs w:val="18"/>
              </w:rPr>
            </w:pPr>
            <w:r w:rsidRPr="0075595E">
              <w:rPr>
                <w:rFonts w:eastAsia="Times New Roman"/>
                <w:sz w:val="18"/>
                <w:szCs w:val="18"/>
              </w:rPr>
              <w:t>Surveillance villageoise</w:t>
            </w:r>
          </w:p>
        </w:tc>
        <w:tc>
          <w:tcPr>
            <w:tcW w:w="999" w:type="pct"/>
            <w:shd w:val="clear" w:color="auto" w:fill="auto"/>
          </w:tcPr>
          <w:p w14:paraId="69022A94" w14:textId="77777777" w:rsidR="00302BFE" w:rsidRPr="0075595E" w:rsidRDefault="00302BFE" w:rsidP="002C7A0F">
            <w:pPr>
              <w:spacing w:after="0"/>
              <w:rPr>
                <w:rFonts w:eastAsia="Times New Roman"/>
                <w:sz w:val="18"/>
                <w:szCs w:val="18"/>
              </w:rPr>
            </w:pPr>
            <w:r w:rsidRPr="0075595E">
              <w:rPr>
                <w:rFonts w:eastAsia="Times New Roman"/>
                <w:sz w:val="18"/>
                <w:szCs w:val="18"/>
              </w:rPr>
              <w:t>2 250 000</w:t>
            </w:r>
          </w:p>
        </w:tc>
        <w:tc>
          <w:tcPr>
            <w:tcW w:w="637" w:type="pct"/>
            <w:shd w:val="clear" w:color="auto" w:fill="auto"/>
            <w:noWrap/>
            <w:hideMark/>
          </w:tcPr>
          <w:p w14:paraId="1328694D" w14:textId="77777777" w:rsidR="00302BFE" w:rsidRPr="0075595E" w:rsidRDefault="00302BFE" w:rsidP="002C7A0F">
            <w:pPr>
              <w:spacing w:after="0"/>
              <w:rPr>
                <w:rFonts w:eastAsia="Times New Roman"/>
                <w:sz w:val="18"/>
                <w:szCs w:val="18"/>
              </w:rPr>
            </w:pPr>
            <w:r w:rsidRPr="0075595E">
              <w:rPr>
                <w:rFonts w:eastAsia="Times New Roman"/>
                <w:sz w:val="18"/>
                <w:szCs w:val="18"/>
              </w:rPr>
              <w:t>75</w:t>
            </w:r>
          </w:p>
        </w:tc>
      </w:tr>
      <w:tr w:rsidR="00302BFE" w:rsidRPr="00832C0A" w14:paraId="6760A9CA" w14:textId="77777777" w:rsidTr="002C7A0F">
        <w:trPr>
          <w:trHeight w:val="283"/>
          <w:jc w:val="center"/>
        </w:trPr>
        <w:tc>
          <w:tcPr>
            <w:tcW w:w="545" w:type="pct"/>
            <w:vMerge/>
            <w:shd w:val="clear" w:color="auto" w:fill="auto"/>
            <w:vAlign w:val="center"/>
          </w:tcPr>
          <w:p w14:paraId="46CBBE53" w14:textId="77777777" w:rsidR="00302BFE" w:rsidRPr="0075595E" w:rsidRDefault="00302BFE" w:rsidP="002C7A0F">
            <w:pPr>
              <w:spacing w:after="0"/>
              <w:rPr>
                <w:rFonts w:eastAsia="Times New Roman"/>
                <w:sz w:val="18"/>
                <w:szCs w:val="18"/>
              </w:rPr>
            </w:pPr>
          </w:p>
        </w:tc>
        <w:tc>
          <w:tcPr>
            <w:tcW w:w="2819" w:type="pct"/>
            <w:shd w:val="clear" w:color="auto" w:fill="auto"/>
            <w:noWrap/>
            <w:hideMark/>
          </w:tcPr>
          <w:p w14:paraId="11514967" w14:textId="77777777" w:rsidR="00302BFE" w:rsidRPr="0075595E" w:rsidRDefault="00302BFE" w:rsidP="002C7A0F">
            <w:pPr>
              <w:spacing w:after="0"/>
              <w:rPr>
                <w:rFonts w:eastAsia="Times New Roman"/>
                <w:sz w:val="18"/>
                <w:szCs w:val="18"/>
              </w:rPr>
            </w:pPr>
            <w:r w:rsidRPr="0075595E">
              <w:rPr>
                <w:rFonts w:eastAsia="Times New Roman"/>
                <w:sz w:val="18"/>
                <w:szCs w:val="18"/>
              </w:rPr>
              <w:t>Application de feux précoces</w:t>
            </w:r>
          </w:p>
        </w:tc>
        <w:tc>
          <w:tcPr>
            <w:tcW w:w="999" w:type="pct"/>
            <w:shd w:val="clear" w:color="auto" w:fill="auto"/>
          </w:tcPr>
          <w:p w14:paraId="7679A053" w14:textId="77777777" w:rsidR="00302BFE" w:rsidRPr="0075595E" w:rsidRDefault="00302BFE" w:rsidP="002C7A0F">
            <w:pPr>
              <w:spacing w:after="0"/>
              <w:rPr>
                <w:rFonts w:eastAsia="Times New Roman"/>
                <w:sz w:val="18"/>
                <w:szCs w:val="18"/>
              </w:rPr>
            </w:pPr>
            <w:r w:rsidRPr="0075595E">
              <w:rPr>
                <w:rFonts w:eastAsia="Times New Roman"/>
                <w:sz w:val="18"/>
                <w:szCs w:val="18"/>
              </w:rPr>
              <w:t>700 000</w:t>
            </w:r>
          </w:p>
        </w:tc>
        <w:tc>
          <w:tcPr>
            <w:tcW w:w="637" w:type="pct"/>
            <w:shd w:val="clear" w:color="auto" w:fill="auto"/>
            <w:noWrap/>
            <w:hideMark/>
          </w:tcPr>
          <w:p w14:paraId="33087AED" w14:textId="77777777" w:rsidR="00302BFE" w:rsidRPr="0075595E" w:rsidRDefault="00302BFE" w:rsidP="002C7A0F">
            <w:pPr>
              <w:spacing w:after="0"/>
              <w:rPr>
                <w:rFonts w:eastAsia="Times New Roman"/>
                <w:sz w:val="18"/>
                <w:szCs w:val="18"/>
              </w:rPr>
            </w:pPr>
            <w:r w:rsidRPr="0075595E">
              <w:rPr>
                <w:rFonts w:eastAsia="Times New Roman"/>
                <w:sz w:val="18"/>
                <w:szCs w:val="18"/>
              </w:rPr>
              <w:t>10</w:t>
            </w:r>
          </w:p>
        </w:tc>
      </w:tr>
      <w:tr w:rsidR="00302BFE" w:rsidRPr="00832C0A" w14:paraId="6AE3C42F" w14:textId="77777777" w:rsidTr="002C7A0F">
        <w:trPr>
          <w:trHeight w:val="283"/>
          <w:jc w:val="center"/>
        </w:trPr>
        <w:tc>
          <w:tcPr>
            <w:tcW w:w="545" w:type="pct"/>
            <w:vMerge/>
            <w:shd w:val="clear" w:color="auto" w:fill="auto"/>
            <w:vAlign w:val="center"/>
          </w:tcPr>
          <w:p w14:paraId="025EA678" w14:textId="77777777" w:rsidR="00302BFE" w:rsidRPr="0075595E" w:rsidRDefault="00302BFE" w:rsidP="002C7A0F">
            <w:pPr>
              <w:spacing w:after="0"/>
              <w:rPr>
                <w:rFonts w:eastAsia="Times New Roman"/>
                <w:sz w:val="18"/>
                <w:szCs w:val="18"/>
              </w:rPr>
            </w:pPr>
          </w:p>
        </w:tc>
        <w:tc>
          <w:tcPr>
            <w:tcW w:w="2819" w:type="pct"/>
            <w:shd w:val="clear" w:color="auto" w:fill="auto"/>
            <w:noWrap/>
            <w:hideMark/>
          </w:tcPr>
          <w:p w14:paraId="0424F548" w14:textId="77777777" w:rsidR="00302BFE" w:rsidRPr="0075595E" w:rsidRDefault="00302BFE" w:rsidP="002C7A0F">
            <w:pPr>
              <w:spacing w:after="0"/>
              <w:rPr>
                <w:rFonts w:eastAsia="Times New Roman"/>
                <w:b/>
                <w:sz w:val="18"/>
                <w:szCs w:val="18"/>
              </w:rPr>
            </w:pPr>
            <w:r w:rsidRPr="0075595E">
              <w:rPr>
                <w:rFonts w:eastAsia="Times New Roman"/>
                <w:b/>
                <w:sz w:val="18"/>
                <w:szCs w:val="18"/>
              </w:rPr>
              <w:t>Total</w:t>
            </w:r>
          </w:p>
        </w:tc>
        <w:tc>
          <w:tcPr>
            <w:tcW w:w="999" w:type="pct"/>
            <w:shd w:val="clear" w:color="auto" w:fill="auto"/>
          </w:tcPr>
          <w:p w14:paraId="18E27AAA" w14:textId="77777777" w:rsidR="00302BFE" w:rsidRPr="0075595E" w:rsidRDefault="00302BFE" w:rsidP="002C7A0F">
            <w:pPr>
              <w:spacing w:after="0"/>
              <w:rPr>
                <w:rFonts w:eastAsia="Times New Roman"/>
                <w:b/>
                <w:sz w:val="18"/>
                <w:szCs w:val="18"/>
              </w:rPr>
            </w:pPr>
            <w:r w:rsidRPr="0075595E">
              <w:rPr>
                <w:rFonts w:eastAsia="Times New Roman"/>
                <w:b/>
                <w:sz w:val="18"/>
                <w:szCs w:val="18"/>
              </w:rPr>
              <w:t>6 325 000</w:t>
            </w:r>
          </w:p>
        </w:tc>
        <w:tc>
          <w:tcPr>
            <w:tcW w:w="637" w:type="pct"/>
            <w:shd w:val="clear" w:color="auto" w:fill="auto"/>
            <w:noWrap/>
            <w:hideMark/>
          </w:tcPr>
          <w:p w14:paraId="43889C5F" w14:textId="77777777" w:rsidR="00302BFE" w:rsidRPr="0075595E" w:rsidRDefault="00302BFE" w:rsidP="002C7A0F">
            <w:pPr>
              <w:spacing w:after="0"/>
              <w:rPr>
                <w:rFonts w:eastAsia="Times New Roman"/>
                <w:b/>
                <w:sz w:val="18"/>
                <w:szCs w:val="18"/>
              </w:rPr>
            </w:pPr>
            <w:r w:rsidRPr="0075595E">
              <w:rPr>
                <w:rFonts w:eastAsia="Times New Roman"/>
                <w:b/>
                <w:sz w:val="18"/>
                <w:szCs w:val="18"/>
              </w:rPr>
              <w:t>185</w:t>
            </w:r>
          </w:p>
        </w:tc>
      </w:tr>
      <w:tr w:rsidR="00302BFE" w:rsidRPr="00832C0A" w14:paraId="7295F5D8" w14:textId="77777777" w:rsidTr="002C7A0F">
        <w:trPr>
          <w:trHeight w:val="283"/>
          <w:jc w:val="center"/>
        </w:trPr>
        <w:tc>
          <w:tcPr>
            <w:tcW w:w="545" w:type="pct"/>
            <w:vMerge w:val="restart"/>
            <w:shd w:val="clear" w:color="auto" w:fill="auto"/>
            <w:vAlign w:val="center"/>
          </w:tcPr>
          <w:p w14:paraId="3EEA3529" w14:textId="77777777" w:rsidR="00302BFE" w:rsidRPr="0075595E" w:rsidRDefault="00302BFE" w:rsidP="002C7A0F">
            <w:pPr>
              <w:spacing w:after="0"/>
              <w:rPr>
                <w:rFonts w:eastAsia="Times New Roman"/>
                <w:sz w:val="18"/>
                <w:szCs w:val="18"/>
              </w:rPr>
            </w:pPr>
            <w:r w:rsidRPr="0075595E">
              <w:rPr>
                <w:rFonts w:eastAsia="Times New Roman"/>
                <w:sz w:val="18"/>
                <w:szCs w:val="18"/>
              </w:rPr>
              <w:t>2011</w:t>
            </w:r>
          </w:p>
        </w:tc>
        <w:tc>
          <w:tcPr>
            <w:tcW w:w="2819" w:type="pct"/>
            <w:shd w:val="clear" w:color="auto" w:fill="auto"/>
            <w:noWrap/>
            <w:hideMark/>
          </w:tcPr>
          <w:p w14:paraId="3A0649ED" w14:textId="77777777" w:rsidR="00302BFE" w:rsidRPr="0075595E" w:rsidRDefault="00302BFE" w:rsidP="002C7A0F">
            <w:pPr>
              <w:spacing w:after="0"/>
              <w:rPr>
                <w:rFonts w:eastAsia="Times New Roman"/>
                <w:sz w:val="18"/>
                <w:szCs w:val="18"/>
              </w:rPr>
            </w:pPr>
            <w:r w:rsidRPr="0075595E">
              <w:rPr>
                <w:rFonts w:eastAsia="Times New Roman"/>
                <w:sz w:val="18"/>
                <w:szCs w:val="18"/>
              </w:rPr>
              <w:t>Ouverture manuelle des pistes</w:t>
            </w:r>
          </w:p>
        </w:tc>
        <w:tc>
          <w:tcPr>
            <w:tcW w:w="999" w:type="pct"/>
            <w:shd w:val="clear" w:color="auto" w:fill="auto"/>
          </w:tcPr>
          <w:p w14:paraId="1E4ECF62" w14:textId="77777777" w:rsidR="00302BFE" w:rsidRPr="0075595E" w:rsidRDefault="00302BFE" w:rsidP="002C7A0F">
            <w:pPr>
              <w:spacing w:after="0"/>
              <w:rPr>
                <w:rFonts w:eastAsia="Times New Roman"/>
                <w:sz w:val="18"/>
                <w:szCs w:val="18"/>
              </w:rPr>
            </w:pPr>
            <w:r w:rsidRPr="0075595E">
              <w:rPr>
                <w:rFonts w:eastAsia="Times New Roman"/>
                <w:sz w:val="18"/>
                <w:szCs w:val="18"/>
              </w:rPr>
              <w:t>5 500 000</w:t>
            </w:r>
          </w:p>
        </w:tc>
        <w:tc>
          <w:tcPr>
            <w:tcW w:w="637" w:type="pct"/>
            <w:shd w:val="clear" w:color="auto" w:fill="auto"/>
            <w:noWrap/>
            <w:hideMark/>
          </w:tcPr>
          <w:p w14:paraId="5076A49D" w14:textId="77777777" w:rsidR="00302BFE" w:rsidRPr="0075595E" w:rsidRDefault="00302BFE" w:rsidP="002C7A0F">
            <w:pPr>
              <w:spacing w:after="0"/>
              <w:rPr>
                <w:rFonts w:eastAsia="Times New Roman"/>
                <w:sz w:val="18"/>
                <w:szCs w:val="18"/>
              </w:rPr>
            </w:pPr>
            <w:r w:rsidRPr="0075595E">
              <w:rPr>
                <w:rFonts w:eastAsia="Times New Roman"/>
                <w:sz w:val="18"/>
                <w:szCs w:val="18"/>
              </w:rPr>
              <w:t>100</w:t>
            </w:r>
          </w:p>
        </w:tc>
      </w:tr>
      <w:tr w:rsidR="00302BFE" w:rsidRPr="00832C0A" w14:paraId="01084843" w14:textId="77777777" w:rsidTr="002C7A0F">
        <w:trPr>
          <w:trHeight w:val="283"/>
          <w:jc w:val="center"/>
        </w:trPr>
        <w:tc>
          <w:tcPr>
            <w:tcW w:w="545" w:type="pct"/>
            <w:vMerge/>
            <w:shd w:val="clear" w:color="auto" w:fill="auto"/>
            <w:vAlign w:val="center"/>
          </w:tcPr>
          <w:p w14:paraId="7E05655D" w14:textId="77777777" w:rsidR="00302BFE" w:rsidRPr="0075595E" w:rsidRDefault="00302BFE" w:rsidP="002C7A0F">
            <w:pPr>
              <w:spacing w:after="0"/>
              <w:rPr>
                <w:rFonts w:eastAsia="Times New Roman"/>
                <w:sz w:val="18"/>
                <w:szCs w:val="18"/>
              </w:rPr>
            </w:pPr>
          </w:p>
        </w:tc>
        <w:tc>
          <w:tcPr>
            <w:tcW w:w="2819" w:type="pct"/>
            <w:shd w:val="clear" w:color="auto" w:fill="auto"/>
            <w:noWrap/>
            <w:hideMark/>
          </w:tcPr>
          <w:p w14:paraId="300E9167" w14:textId="77777777" w:rsidR="00302BFE" w:rsidRPr="0075595E" w:rsidRDefault="00302BFE" w:rsidP="002C7A0F">
            <w:pPr>
              <w:spacing w:after="0"/>
              <w:rPr>
                <w:rFonts w:eastAsia="Times New Roman"/>
                <w:sz w:val="18"/>
                <w:szCs w:val="18"/>
              </w:rPr>
            </w:pPr>
            <w:r w:rsidRPr="0075595E">
              <w:rPr>
                <w:rFonts w:eastAsia="Times New Roman"/>
                <w:sz w:val="18"/>
                <w:szCs w:val="18"/>
              </w:rPr>
              <w:t>Surveillance villageoise</w:t>
            </w:r>
          </w:p>
        </w:tc>
        <w:tc>
          <w:tcPr>
            <w:tcW w:w="999" w:type="pct"/>
            <w:shd w:val="clear" w:color="auto" w:fill="auto"/>
          </w:tcPr>
          <w:p w14:paraId="39ECF68F" w14:textId="77777777" w:rsidR="00302BFE" w:rsidRPr="0075595E" w:rsidRDefault="00302BFE" w:rsidP="002C7A0F">
            <w:pPr>
              <w:spacing w:after="0"/>
              <w:rPr>
                <w:rFonts w:eastAsia="Times New Roman"/>
                <w:sz w:val="18"/>
                <w:szCs w:val="18"/>
              </w:rPr>
            </w:pPr>
            <w:r w:rsidRPr="0075595E">
              <w:rPr>
                <w:rFonts w:eastAsia="Times New Roman"/>
                <w:sz w:val="18"/>
                <w:szCs w:val="18"/>
              </w:rPr>
              <w:t>9 000 000</w:t>
            </w:r>
          </w:p>
        </w:tc>
        <w:tc>
          <w:tcPr>
            <w:tcW w:w="637" w:type="pct"/>
            <w:shd w:val="clear" w:color="auto" w:fill="auto"/>
            <w:noWrap/>
            <w:hideMark/>
          </w:tcPr>
          <w:p w14:paraId="52BB9321" w14:textId="77777777" w:rsidR="00302BFE" w:rsidRPr="0075595E" w:rsidRDefault="00302BFE" w:rsidP="002C7A0F">
            <w:pPr>
              <w:spacing w:after="0"/>
              <w:rPr>
                <w:rFonts w:eastAsia="Times New Roman"/>
                <w:sz w:val="18"/>
                <w:szCs w:val="18"/>
              </w:rPr>
            </w:pPr>
            <w:r w:rsidRPr="0075595E">
              <w:rPr>
                <w:rFonts w:eastAsia="Times New Roman"/>
                <w:sz w:val="18"/>
                <w:szCs w:val="18"/>
              </w:rPr>
              <w:t>300</w:t>
            </w:r>
          </w:p>
        </w:tc>
      </w:tr>
      <w:tr w:rsidR="00302BFE" w:rsidRPr="00832C0A" w14:paraId="01B59BA9" w14:textId="77777777" w:rsidTr="002C7A0F">
        <w:trPr>
          <w:trHeight w:val="283"/>
          <w:jc w:val="center"/>
        </w:trPr>
        <w:tc>
          <w:tcPr>
            <w:tcW w:w="545" w:type="pct"/>
            <w:vMerge/>
            <w:shd w:val="clear" w:color="auto" w:fill="auto"/>
            <w:vAlign w:val="center"/>
          </w:tcPr>
          <w:p w14:paraId="35C8DBB4" w14:textId="77777777" w:rsidR="00302BFE" w:rsidRPr="0075595E" w:rsidRDefault="00302BFE" w:rsidP="002C7A0F">
            <w:pPr>
              <w:spacing w:after="0"/>
              <w:rPr>
                <w:rFonts w:eastAsia="Times New Roman"/>
                <w:sz w:val="18"/>
                <w:szCs w:val="18"/>
              </w:rPr>
            </w:pPr>
          </w:p>
        </w:tc>
        <w:tc>
          <w:tcPr>
            <w:tcW w:w="2819" w:type="pct"/>
            <w:shd w:val="clear" w:color="auto" w:fill="auto"/>
            <w:noWrap/>
            <w:hideMark/>
          </w:tcPr>
          <w:p w14:paraId="75A1460E" w14:textId="77777777" w:rsidR="00302BFE" w:rsidRPr="0075595E" w:rsidRDefault="00302BFE" w:rsidP="002C7A0F">
            <w:pPr>
              <w:spacing w:after="0"/>
              <w:rPr>
                <w:rFonts w:eastAsia="Times New Roman"/>
                <w:sz w:val="18"/>
                <w:szCs w:val="18"/>
              </w:rPr>
            </w:pPr>
            <w:r w:rsidRPr="0075595E">
              <w:rPr>
                <w:rFonts w:eastAsia="Times New Roman"/>
                <w:sz w:val="18"/>
                <w:szCs w:val="18"/>
              </w:rPr>
              <w:t>Application de feux précoces</w:t>
            </w:r>
          </w:p>
        </w:tc>
        <w:tc>
          <w:tcPr>
            <w:tcW w:w="999" w:type="pct"/>
            <w:shd w:val="clear" w:color="auto" w:fill="auto"/>
          </w:tcPr>
          <w:p w14:paraId="47097F32" w14:textId="77777777" w:rsidR="00302BFE" w:rsidRPr="0075595E" w:rsidRDefault="00302BFE" w:rsidP="002C7A0F">
            <w:pPr>
              <w:spacing w:after="0"/>
              <w:rPr>
                <w:rFonts w:eastAsia="Times New Roman"/>
                <w:sz w:val="18"/>
                <w:szCs w:val="18"/>
              </w:rPr>
            </w:pPr>
            <w:r w:rsidRPr="0075595E">
              <w:rPr>
                <w:rFonts w:eastAsia="Times New Roman"/>
                <w:sz w:val="18"/>
                <w:szCs w:val="18"/>
              </w:rPr>
              <w:t>2 100 000</w:t>
            </w:r>
          </w:p>
        </w:tc>
        <w:tc>
          <w:tcPr>
            <w:tcW w:w="637" w:type="pct"/>
            <w:shd w:val="clear" w:color="auto" w:fill="auto"/>
            <w:noWrap/>
            <w:hideMark/>
          </w:tcPr>
          <w:p w14:paraId="52618199" w14:textId="77777777" w:rsidR="00302BFE" w:rsidRPr="0075595E" w:rsidRDefault="00302BFE" w:rsidP="002C7A0F">
            <w:pPr>
              <w:spacing w:after="0"/>
              <w:rPr>
                <w:rFonts w:eastAsia="Times New Roman"/>
                <w:sz w:val="18"/>
                <w:szCs w:val="18"/>
              </w:rPr>
            </w:pPr>
            <w:r w:rsidRPr="0075595E">
              <w:rPr>
                <w:rFonts w:eastAsia="Times New Roman"/>
                <w:sz w:val="18"/>
                <w:szCs w:val="18"/>
              </w:rPr>
              <w:t>50</w:t>
            </w:r>
          </w:p>
        </w:tc>
      </w:tr>
      <w:tr w:rsidR="00302BFE" w:rsidRPr="00832C0A" w14:paraId="2C60E55F" w14:textId="77777777" w:rsidTr="002C7A0F">
        <w:trPr>
          <w:trHeight w:val="283"/>
          <w:jc w:val="center"/>
        </w:trPr>
        <w:tc>
          <w:tcPr>
            <w:tcW w:w="545" w:type="pct"/>
            <w:vMerge/>
            <w:shd w:val="clear" w:color="auto" w:fill="auto"/>
            <w:vAlign w:val="center"/>
          </w:tcPr>
          <w:p w14:paraId="2F21440A" w14:textId="77777777" w:rsidR="00302BFE" w:rsidRPr="0075595E" w:rsidRDefault="00302BFE" w:rsidP="002C7A0F">
            <w:pPr>
              <w:spacing w:after="0"/>
              <w:rPr>
                <w:rFonts w:eastAsia="Times New Roman"/>
                <w:sz w:val="18"/>
                <w:szCs w:val="18"/>
              </w:rPr>
            </w:pPr>
          </w:p>
        </w:tc>
        <w:tc>
          <w:tcPr>
            <w:tcW w:w="2819" w:type="pct"/>
            <w:shd w:val="clear" w:color="auto" w:fill="auto"/>
            <w:noWrap/>
            <w:hideMark/>
          </w:tcPr>
          <w:p w14:paraId="2A3BFC78" w14:textId="77777777" w:rsidR="00302BFE" w:rsidRPr="0075595E" w:rsidRDefault="00302BFE" w:rsidP="002C7A0F">
            <w:pPr>
              <w:spacing w:after="0"/>
              <w:rPr>
                <w:rFonts w:eastAsia="Times New Roman"/>
                <w:b/>
                <w:sz w:val="18"/>
                <w:szCs w:val="18"/>
              </w:rPr>
            </w:pPr>
            <w:r w:rsidRPr="0075595E">
              <w:rPr>
                <w:rFonts w:eastAsia="Times New Roman"/>
                <w:b/>
                <w:sz w:val="18"/>
                <w:szCs w:val="18"/>
              </w:rPr>
              <w:t>Total</w:t>
            </w:r>
          </w:p>
        </w:tc>
        <w:tc>
          <w:tcPr>
            <w:tcW w:w="999" w:type="pct"/>
            <w:shd w:val="clear" w:color="auto" w:fill="auto"/>
          </w:tcPr>
          <w:p w14:paraId="5A5140FD" w14:textId="77777777" w:rsidR="00302BFE" w:rsidRPr="0075595E" w:rsidRDefault="00302BFE" w:rsidP="002C7A0F">
            <w:pPr>
              <w:spacing w:after="0"/>
              <w:rPr>
                <w:rFonts w:eastAsia="Times New Roman"/>
                <w:b/>
                <w:sz w:val="18"/>
                <w:szCs w:val="18"/>
              </w:rPr>
            </w:pPr>
            <w:r w:rsidRPr="0075595E">
              <w:rPr>
                <w:rFonts w:eastAsia="Times New Roman"/>
                <w:b/>
                <w:sz w:val="18"/>
                <w:szCs w:val="18"/>
              </w:rPr>
              <w:t>16 600 000</w:t>
            </w:r>
          </w:p>
        </w:tc>
        <w:tc>
          <w:tcPr>
            <w:tcW w:w="637" w:type="pct"/>
            <w:shd w:val="clear" w:color="auto" w:fill="auto"/>
            <w:noWrap/>
            <w:hideMark/>
          </w:tcPr>
          <w:p w14:paraId="7A3708FE" w14:textId="77777777" w:rsidR="00302BFE" w:rsidRPr="0075595E" w:rsidRDefault="00302BFE" w:rsidP="002C7A0F">
            <w:pPr>
              <w:spacing w:after="0"/>
              <w:rPr>
                <w:rFonts w:eastAsia="Times New Roman"/>
                <w:b/>
                <w:sz w:val="18"/>
                <w:szCs w:val="18"/>
              </w:rPr>
            </w:pPr>
            <w:r w:rsidRPr="0075595E">
              <w:rPr>
                <w:rFonts w:eastAsia="Times New Roman"/>
                <w:b/>
                <w:sz w:val="18"/>
                <w:szCs w:val="18"/>
              </w:rPr>
              <w:t>450</w:t>
            </w:r>
          </w:p>
        </w:tc>
      </w:tr>
      <w:tr w:rsidR="00302BFE" w:rsidRPr="00832C0A" w14:paraId="68AAF0CE" w14:textId="77777777" w:rsidTr="002C7A0F">
        <w:trPr>
          <w:trHeight w:val="283"/>
          <w:jc w:val="center"/>
        </w:trPr>
        <w:tc>
          <w:tcPr>
            <w:tcW w:w="545" w:type="pct"/>
            <w:vMerge w:val="restart"/>
            <w:shd w:val="clear" w:color="auto" w:fill="auto"/>
            <w:vAlign w:val="center"/>
          </w:tcPr>
          <w:p w14:paraId="1C4C32F9" w14:textId="77777777" w:rsidR="00302BFE" w:rsidRPr="0075595E" w:rsidRDefault="00302BFE" w:rsidP="002C7A0F">
            <w:pPr>
              <w:spacing w:after="0"/>
              <w:rPr>
                <w:rFonts w:eastAsia="Times New Roman"/>
                <w:sz w:val="18"/>
                <w:szCs w:val="18"/>
              </w:rPr>
            </w:pPr>
            <w:r w:rsidRPr="0075595E">
              <w:rPr>
                <w:rFonts w:eastAsia="Times New Roman"/>
                <w:sz w:val="18"/>
                <w:szCs w:val="18"/>
              </w:rPr>
              <w:t>2012</w:t>
            </w:r>
          </w:p>
        </w:tc>
        <w:tc>
          <w:tcPr>
            <w:tcW w:w="2819" w:type="pct"/>
            <w:shd w:val="clear" w:color="auto" w:fill="auto"/>
            <w:noWrap/>
            <w:hideMark/>
          </w:tcPr>
          <w:p w14:paraId="324C3C8C" w14:textId="77777777" w:rsidR="00302BFE" w:rsidRPr="0075595E" w:rsidRDefault="00302BFE" w:rsidP="002C7A0F">
            <w:pPr>
              <w:spacing w:after="0"/>
              <w:rPr>
                <w:rFonts w:eastAsia="Times New Roman"/>
                <w:sz w:val="18"/>
                <w:szCs w:val="18"/>
              </w:rPr>
            </w:pPr>
            <w:r w:rsidRPr="0075595E">
              <w:rPr>
                <w:rFonts w:eastAsia="Times New Roman"/>
                <w:sz w:val="18"/>
                <w:szCs w:val="18"/>
              </w:rPr>
              <w:t>Formation en suivi écologique</w:t>
            </w:r>
          </w:p>
        </w:tc>
        <w:tc>
          <w:tcPr>
            <w:tcW w:w="999" w:type="pct"/>
            <w:shd w:val="clear" w:color="auto" w:fill="auto"/>
          </w:tcPr>
          <w:p w14:paraId="31BB8247" w14:textId="77777777" w:rsidR="00302BFE" w:rsidRPr="0075595E" w:rsidRDefault="00302BFE" w:rsidP="002C7A0F">
            <w:pPr>
              <w:spacing w:after="0"/>
              <w:rPr>
                <w:rFonts w:eastAsia="Times New Roman"/>
                <w:sz w:val="18"/>
                <w:szCs w:val="18"/>
              </w:rPr>
            </w:pPr>
            <w:r w:rsidRPr="0075595E">
              <w:rPr>
                <w:rFonts w:eastAsia="Times New Roman"/>
                <w:sz w:val="18"/>
                <w:szCs w:val="18"/>
              </w:rPr>
              <w:t>800 000</w:t>
            </w:r>
          </w:p>
        </w:tc>
        <w:tc>
          <w:tcPr>
            <w:tcW w:w="637" w:type="pct"/>
            <w:shd w:val="clear" w:color="auto" w:fill="auto"/>
            <w:noWrap/>
            <w:hideMark/>
          </w:tcPr>
          <w:p w14:paraId="0181B936" w14:textId="77777777" w:rsidR="00302BFE" w:rsidRPr="0075595E" w:rsidRDefault="00302BFE" w:rsidP="002C7A0F">
            <w:pPr>
              <w:spacing w:after="0"/>
              <w:rPr>
                <w:rFonts w:eastAsia="Times New Roman"/>
                <w:sz w:val="18"/>
                <w:szCs w:val="18"/>
              </w:rPr>
            </w:pPr>
            <w:r w:rsidRPr="0075595E">
              <w:rPr>
                <w:rFonts w:eastAsia="Times New Roman"/>
                <w:sz w:val="18"/>
                <w:szCs w:val="18"/>
              </w:rPr>
              <w:t>20</w:t>
            </w:r>
          </w:p>
        </w:tc>
      </w:tr>
      <w:tr w:rsidR="00302BFE" w:rsidRPr="00832C0A" w14:paraId="48E8D549" w14:textId="77777777" w:rsidTr="002C7A0F">
        <w:trPr>
          <w:trHeight w:val="283"/>
          <w:jc w:val="center"/>
        </w:trPr>
        <w:tc>
          <w:tcPr>
            <w:tcW w:w="545" w:type="pct"/>
            <w:vMerge/>
            <w:shd w:val="clear" w:color="auto" w:fill="auto"/>
          </w:tcPr>
          <w:p w14:paraId="00E504C7" w14:textId="77777777" w:rsidR="00302BFE" w:rsidRPr="0075595E" w:rsidRDefault="00302BFE" w:rsidP="002C7A0F">
            <w:pPr>
              <w:spacing w:after="0"/>
              <w:rPr>
                <w:rFonts w:eastAsia="Times New Roman"/>
                <w:sz w:val="18"/>
                <w:szCs w:val="18"/>
              </w:rPr>
            </w:pPr>
          </w:p>
        </w:tc>
        <w:tc>
          <w:tcPr>
            <w:tcW w:w="2819" w:type="pct"/>
            <w:shd w:val="clear" w:color="auto" w:fill="auto"/>
            <w:noWrap/>
            <w:hideMark/>
          </w:tcPr>
          <w:p w14:paraId="6CF5017C" w14:textId="77777777" w:rsidR="00302BFE" w:rsidRPr="0075595E" w:rsidRDefault="00302BFE" w:rsidP="002C7A0F">
            <w:pPr>
              <w:spacing w:after="0"/>
              <w:rPr>
                <w:rFonts w:eastAsia="Times New Roman"/>
                <w:sz w:val="18"/>
                <w:szCs w:val="18"/>
                <w:lang w:val="fr-CA"/>
              </w:rPr>
            </w:pPr>
            <w:r w:rsidRPr="0075595E">
              <w:rPr>
                <w:rFonts w:eastAsia="Times New Roman"/>
                <w:sz w:val="18"/>
                <w:szCs w:val="18"/>
                <w:lang w:val="fr-CA"/>
              </w:rPr>
              <w:t>Formation en techniques de refoulement des éléphants</w:t>
            </w:r>
          </w:p>
        </w:tc>
        <w:tc>
          <w:tcPr>
            <w:tcW w:w="999" w:type="pct"/>
            <w:shd w:val="clear" w:color="auto" w:fill="auto"/>
          </w:tcPr>
          <w:p w14:paraId="0E46DEEC" w14:textId="77777777" w:rsidR="00302BFE" w:rsidRPr="0075595E" w:rsidRDefault="00302BFE" w:rsidP="002C7A0F">
            <w:pPr>
              <w:spacing w:after="0"/>
              <w:rPr>
                <w:rFonts w:eastAsia="Times New Roman"/>
                <w:sz w:val="18"/>
                <w:szCs w:val="18"/>
              </w:rPr>
            </w:pPr>
            <w:r w:rsidRPr="0075595E">
              <w:rPr>
                <w:rFonts w:eastAsia="Times New Roman"/>
                <w:sz w:val="18"/>
                <w:szCs w:val="18"/>
              </w:rPr>
              <w:t>1 340 000</w:t>
            </w:r>
          </w:p>
        </w:tc>
        <w:tc>
          <w:tcPr>
            <w:tcW w:w="637" w:type="pct"/>
            <w:shd w:val="clear" w:color="auto" w:fill="auto"/>
            <w:noWrap/>
            <w:hideMark/>
          </w:tcPr>
          <w:p w14:paraId="4FE2BFE7" w14:textId="77777777" w:rsidR="00302BFE" w:rsidRPr="0075595E" w:rsidRDefault="00302BFE" w:rsidP="002C7A0F">
            <w:pPr>
              <w:spacing w:after="0"/>
              <w:rPr>
                <w:rFonts w:eastAsia="Times New Roman"/>
                <w:sz w:val="18"/>
                <w:szCs w:val="18"/>
              </w:rPr>
            </w:pPr>
            <w:r w:rsidRPr="0075595E">
              <w:rPr>
                <w:rFonts w:eastAsia="Times New Roman"/>
                <w:sz w:val="18"/>
                <w:szCs w:val="18"/>
              </w:rPr>
              <w:t>40</w:t>
            </w:r>
          </w:p>
        </w:tc>
      </w:tr>
      <w:tr w:rsidR="00302BFE" w:rsidRPr="00832C0A" w14:paraId="2A47DE70" w14:textId="77777777" w:rsidTr="002C7A0F">
        <w:trPr>
          <w:trHeight w:val="283"/>
          <w:jc w:val="center"/>
        </w:trPr>
        <w:tc>
          <w:tcPr>
            <w:tcW w:w="545" w:type="pct"/>
            <w:vMerge/>
            <w:shd w:val="clear" w:color="auto" w:fill="auto"/>
          </w:tcPr>
          <w:p w14:paraId="274B3F97" w14:textId="77777777" w:rsidR="00302BFE" w:rsidRPr="0075595E" w:rsidRDefault="00302BFE" w:rsidP="002C7A0F">
            <w:pPr>
              <w:spacing w:after="0"/>
              <w:rPr>
                <w:rFonts w:eastAsia="Times New Roman"/>
                <w:sz w:val="18"/>
                <w:szCs w:val="18"/>
              </w:rPr>
            </w:pPr>
          </w:p>
        </w:tc>
        <w:tc>
          <w:tcPr>
            <w:tcW w:w="2819" w:type="pct"/>
            <w:shd w:val="clear" w:color="auto" w:fill="auto"/>
            <w:noWrap/>
            <w:hideMark/>
          </w:tcPr>
          <w:p w14:paraId="0CD3572E" w14:textId="77777777" w:rsidR="00302BFE" w:rsidRPr="0075595E" w:rsidRDefault="00302BFE" w:rsidP="002C7A0F">
            <w:pPr>
              <w:spacing w:after="0"/>
              <w:rPr>
                <w:rFonts w:eastAsia="Times New Roman"/>
                <w:sz w:val="18"/>
                <w:szCs w:val="18"/>
                <w:lang w:val="fr-CA"/>
              </w:rPr>
            </w:pPr>
            <w:r w:rsidRPr="0075595E">
              <w:rPr>
                <w:rFonts w:eastAsia="Times New Roman"/>
                <w:sz w:val="18"/>
                <w:szCs w:val="18"/>
                <w:lang w:val="fr-CA"/>
              </w:rPr>
              <w:t>Formation en gestion des feux</w:t>
            </w:r>
          </w:p>
        </w:tc>
        <w:tc>
          <w:tcPr>
            <w:tcW w:w="999" w:type="pct"/>
            <w:shd w:val="clear" w:color="auto" w:fill="auto"/>
          </w:tcPr>
          <w:p w14:paraId="22C43297" w14:textId="77777777" w:rsidR="00302BFE" w:rsidRPr="0075595E" w:rsidRDefault="00302BFE" w:rsidP="002C7A0F">
            <w:pPr>
              <w:spacing w:after="0"/>
              <w:rPr>
                <w:rFonts w:eastAsia="Times New Roman"/>
                <w:sz w:val="18"/>
                <w:szCs w:val="18"/>
              </w:rPr>
            </w:pPr>
            <w:r w:rsidRPr="0075595E">
              <w:rPr>
                <w:rFonts w:eastAsia="Times New Roman"/>
                <w:sz w:val="18"/>
                <w:szCs w:val="18"/>
              </w:rPr>
              <w:t>520 000</w:t>
            </w:r>
          </w:p>
        </w:tc>
        <w:tc>
          <w:tcPr>
            <w:tcW w:w="637" w:type="pct"/>
            <w:shd w:val="clear" w:color="auto" w:fill="auto"/>
            <w:noWrap/>
            <w:hideMark/>
          </w:tcPr>
          <w:p w14:paraId="5BD58B24" w14:textId="77777777" w:rsidR="00302BFE" w:rsidRPr="0075595E" w:rsidRDefault="00302BFE" w:rsidP="002C7A0F">
            <w:pPr>
              <w:spacing w:after="0"/>
              <w:rPr>
                <w:rFonts w:eastAsia="Times New Roman"/>
                <w:sz w:val="18"/>
                <w:szCs w:val="18"/>
              </w:rPr>
            </w:pPr>
            <w:r w:rsidRPr="0075595E">
              <w:rPr>
                <w:rFonts w:eastAsia="Times New Roman"/>
                <w:sz w:val="18"/>
                <w:szCs w:val="18"/>
              </w:rPr>
              <w:t>20</w:t>
            </w:r>
          </w:p>
        </w:tc>
      </w:tr>
      <w:tr w:rsidR="00302BFE" w:rsidRPr="00832C0A" w14:paraId="2F56C8F6" w14:textId="77777777" w:rsidTr="002C7A0F">
        <w:trPr>
          <w:trHeight w:val="283"/>
          <w:jc w:val="center"/>
        </w:trPr>
        <w:tc>
          <w:tcPr>
            <w:tcW w:w="545" w:type="pct"/>
            <w:vMerge/>
            <w:shd w:val="clear" w:color="auto" w:fill="auto"/>
          </w:tcPr>
          <w:p w14:paraId="222D39EB" w14:textId="77777777" w:rsidR="00302BFE" w:rsidRPr="0075595E" w:rsidRDefault="00302BFE" w:rsidP="002C7A0F">
            <w:pPr>
              <w:spacing w:after="0"/>
              <w:rPr>
                <w:rFonts w:eastAsia="Times New Roman"/>
                <w:sz w:val="18"/>
                <w:szCs w:val="18"/>
              </w:rPr>
            </w:pPr>
          </w:p>
        </w:tc>
        <w:tc>
          <w:tcPr>
            <w:tcW w:w="2819" w:type="pct"/>
            <w:shd w:val="clear" w:color="auto" w:fill="auto"/>
            <w:noWrap/>
            <w:hideMark/>
          </w:tcPr>
          <w:p w14:paraId="3C13ADEF" w14:textId="77777777" w:rsidR="00302BFE" w:rsidRPr="0075595E" w:rsidRDefault="00302BFE" w:rsidP="002C7A0F">
            <w:pPr>
              <w:spacing w:after="0"/>
              <w:rPr>
                <w:rFonts w:eastAsia="Times New Roman"/>
                <w:sz w:val="18"/>
                <w:szCs w:val="18"/>
              </w:rPr>
            </w:pPr>
            <w:r w:rsidRPr="0075595E">
              <w:rPr>
                <w:rFonts w:eastAsia="Times New Roman"/>
                <w:sz w:val="18"/>
                <w:szCs w:val="18"/>
              </w:rPr>
              <w:t>Aménagement des salines</w:t>
            </w:r>
          </w:p>
        </w:tc>
        <w:tc>
          <w:tcPr>
            <w:tcW w:w="999" w:type="pct"/>
            <w:shd w:val="clear" w:color="auto" w:fill="auto"/>
          </w:tcPr>
          <w:p w14:paraId="5A048130" w14:textId="77777777" w:rsidR="00302BFE" w:rsidRPr="0075595E" w:rsidRDefault="00302BFE" w:rsidP="002C7A0F">
            <w:pPr>
              <w:spacing w:after="0"/>
              <w:rPr>
                <w:rFonts w:eastAsia="Times New Roman"/>
                <w:sz w:val="18"/>
                <w:szCs w:val="18"/>
              </w:rPr>
            </w:pPr>
            <w:r w:rsidRPr="0075595E">
              <w:rPr>
                <w:rFonts w:eastAsia="Times New Roman"/>
                <w:sz w:val="18"/>
                <w:szCs w:val="18"/>
              </w:rPr>
              <w:t>150 000</w:t>
            </w:r>
          </w:p>
        </w:tc>
        <w:tc>
          <w:tcPr>
            <w:tcW w:w="637" w:type="pct"/>
            <w:shd w:val="clear" w:color="auto" w:fill="auto"/>
            <w:noWrap/>
            <w:hideMark/>
          </w:tcPr>
          <w:p w14:paraId="79DD06B2" w14:textId="77777777" w:rsidR="00302BFE" w:rsidRPr="0075595E" w:rsidRDefault="00302BFE" w:rsidP="002C7A0F">
            <w:pPr>
              <w:spacing w:after="0"/>
              <w:rPr>
                <w:rFonts w:eastAsia="Times New Roman"/>
                <w:sz w:val="18"/>
                <w:szCs w:val="18"/>
              </w:rPr>
            </w:pPr>
            <w:r w:rsidRPr="0075595E">
              <w:rPr>
                <w:rFonts w:eastAsia="Times New Roman"/>
                <w:sz w:val="18"/>
                <w:szCs w:val="18"/>
              </w:rPr>
              <w:t>6</w:t>
            </w:r>
          </w:p>
        </w:tc>
      </w:tr>
      <w:tr w:rsidR="00302BFE" w:rsidRPr="00832C0A" w14:paraId="02EB25E5" w14:textId="77777777" w:rsidTr="002C7A0F">
        <w:trPr>
          <w:trHeight w:val="283"/>
          <w:jc w:val="center"/>
        </w:trPr>
        <w:tc>
          <w:tcPr>
            <w:tcW w:w="545" w:type="pct"/>
            <w:vMerge/>
            <w:shd w:val="clear" w:color="auto" w:fill="auto"/>
          </w:tcPr>
          <w:p w14:paraId="2F68473B" w14:textId="77777777" w:rsidR="00302BFE" w:rsidRPr="0075595E" w:rsidRDefault="00302BFE" w:rsidP="002C7A0F">
            <w:pPr>
              <w:spacing w:after="0"/>
              <w:rPr>
                <w:rFonts w:eastAsia="Times New Roman"/>
                <w:sz w:val="18"/>
                <w:szCs w:val="18"/>
              </w:rPr>
            </w:pPr>
          </w:p>
        </w:tc>
        <w:tc>
          <w:tcPr>
            <w:tcW w:w="2819" w:type="pct"/>
            <w:shd w:val="clear" w:color="auto" w:fill="auto"/>
            <w:noWrap/>
            <w:hideMark/>
          </w:tcPr>
          <w:p w14:paraId="4E816F4F" w14:textId="77777777" w:rsidR="00302BFE" w:rsidRPr="0075595E" w:rsidRDefault="00302BFE" w:rsidP="002C7A0F">
            <w:pPr>
              <w:spacing w:after="0"/>
              <w:rPr>
                <w:rFonts w:eastAsia="Times New Roman"/>
                <w:sz w:val="18"/>
                <w:szCs w:val="18"/>
              </w:rPr>
            </w:pPr>
            <w:r w:rsidRPr="0075595E">
              <w:rPr>
                <w:rFonts w:eastAsia="Times New Roman"/>
                <w:sz w:val="18"/>
                <w:szCs w:val="18"/>
              </w:rPr>
              <w:t>Aménagement des passages difficiles</w:t>
            </w:r>
          </w:p>
        </w:tc>
        <w:tc>
          <w:tcPr>
            <w:tcW w:w="999" w:type="pct"/>
            <w:shd w:val="clear" w:color="auto" w:fill="auto"/>
          </w:tcPr>
          <w:p w14:paraId="56981179" w14:textId="77777777" w:rsidR="00302BFE" w:rsidRPr="0075595E" w:rsidRDefault="00302BFE" w:rsidP="002C7A0F">
            <w:pPr>
              <w:spacing w:after="0"/>
              <w:rPr>
                <w:rFonts w:eastAsia="Times New Roman"/>
                <w:sz w:val="18"/>
                <w:szCs w:val="18"/>
              </w:rPr>
            </w:pPr>
            <w:r w:rsidRPr="0075595E">
              <w:rPr>
                <w:rFonts w:eastAsia="Times New Roman"/>
                <w:sz w:val="18"/>
                <w:szCs w:val="18"/>
              </w:rPr>
              <w:t>3 000 000</w:t>
            </w:r>
          </w:p>
        </w:tc>
        <w:tc>
          <w:tcPr>
            <w:tcW w:w="637" w:type="pct"/>
            <w:shd w:val="clear" w:color="auto" w:fill="auto"/>
            <w:noWrap/>
            <w:hideMark/>
          </w:tcPr>
          <w:p w14:paraId="22E33EC1" w14:textId="77777777" w:rsidR="00302BFE" w:rsidRPr="0075595E" w:rsidRDefault="00302BFE" w:rsidP="002C7A0F">
            <w:pPr>
              <w:spacing w:after="0"/>
              <w:rPr>
                <w:rFonts w:eastAsia="Times New Roman"/>
                <w:sz w:val="18"/>
                <w:szCs w:val="18"/>
              </w:rPr>
            </w:pPr>
            <w:r w:rsidRPr="0075595E">
              <w:rPr>
                <w:rFonts w:eastAsia="Times New Roman"/>
                <w:sz w:val="18"/>
                <w:szCs w:val="18"/>
              </w:rPr>
              <w:t>100</w:t>
            </w:r>
          </w:p>
        </w:tc>
      </w:tr>
      <w:tr w:rsidR="00302BFE" w:rsidRPr="00832C0A" w14:paraId="04578DBB" w14:textId="77777777" w:rsidTr="002C7A0F">
        <w:trPr>
          <w:trHeight w:val="283"/>
          <w:jc w:val="center"/>
        </w:trPr>
        <w:tc>
          <w:tcPr>
            <w:tcW w:w="545" w:type="pct"/>
            <w:vMerge/>
            <w:shd w:val="clear" w:color="auto" w:fill="auto"/>
          </w:tcPr>
          <w:p w14:paraId="12196303" w14:textId="77777777" w:rsidR="00302BFE" w:rsidRPr="0075595E" w:rsidRDefault="00302BFE" w:rsidP="002C7A0F">
            <w:pPr>
              <w:spacing w:after="0"/>
              <w:rPr>
                <w:rFonts w:eastAsia="Times New Roman"/>
                <w:sz w:val="18"/>
                <w:szCs w:val="18"/>
              </w:rPr>
            </w:pPr>
          </w:p>
        </w:tc>
        <w:tc>
          <w:tcPr>
            <w:tcW w:w="2819" w:type="pct"/>
            <w:shd w:val="clear" w:color="auto" w:fill="auto"/>
            <w:noWrap/>
            <w:hideMark/>
          </w:tcPr>
          <w:p w14:paraId="72F832FF" w14:textId="77777777" w:rsidR="00302BFE" w:rsidRPr="0075595E" w:rsidRDefault="00302BFE" w:rsidP="002C7A0F">
            <w:pPr>
              <w:spacing w:after="0"/>
              <w:rPr>
                <w:rFonts w:eastAsia="Times New Roman"/>
                <w:sz w:val="18"/>
                <w:szCs w:val="18"/>
              </w:rPr>
            </w:pPr>
            <w:r w:rsidRPr="0075595E">
              <w:rPr>
                <w:rFonts w:eastAsia="Times New Roman"/>
                <w:sz w:val="18"/>
                <w:szCs w:val="18"/>
              </w:rPr>
              <w:t>Ouverture manuelle des pistes</w:t>
            </w:r>
          </w:p>
        </w:tc>
        <w:tc>
          <w:tcPr>
            <w:tcW w:w="999" w:type="pct"/>
            <w:shd w:val="clear" w:color="auto" w:fill="auto"/>
          </w:tcPr>
          <w:p w14:paraId="36C9475D" w14:textId="77777777" w:rsidR="00302BFE" w:rsidRPr="0075595E" w:rsidRDefault="00302BFE" w:rsidP="002C7A0F">
            <w:pPr>
              <w:spacing w:after="0"/>
              <w:rPr>
                <w:rFonts w:eastAsia="Times New Roman"/>
                <w:sz w:val="18"/>
                <w:szCs w:val="18"/>
              </w:rPr>
            </w:pPr>
            <w:r w:rsidRPr="0075595E">
              <w:rPr>
                <w:rFonts w:eastAsia="Times New Roman"/>
                <w:sz w:val="18"/>
                <w:szCs w:val="18"/>
              </w:rPr>
              <w:t>5 130 000</w:t>
            </w:r>
          </w:p>
        </w:tc>
        <w:tc>
          <w:tcPr>
            <w:tcW w:w="637" w:type="pct"/>
            <w:shd w:val="clear" w:color="auto" w:fill="auto"/>
            <w:noWrap/>
            <w:hideMark/>
          </w:tcPr>
          <w:p w14:paraId="62C395D2" w14:textId="77777777" w:rsidR="00302BFE" w:rsidRPr="0075595E" w:rsidRDefault="00302BFE" w:rsidP="002C7A0F">
            <w:pPr>
              <w:spacing w:after="0"/>
              <w:rPr>
                <w:rFonts w:eastAsia="Times New Roman"/>
                <w:sz w:val="18"/>
                <w:szCs w:val="18"/>
              </w:rPr>
            </w:pPr>
            <w:r w:rsidRPr="0075595E">
              <w:rPr>
                <w:rFonts w:eastAsia="Times New Roman"/>
                <w:sz w:val="18"/>
                <w:szCs w:val="18"/>
              </w:rPr>
              <w:t>100</w:t>
            </w:r>
          </w:p>
        </w:tc>
      </w:tr>
      <w:tr w:rsidR="00302BFE" w:rsidRPr="00832C0A" w14:paraId="221A8E58" w14:textId="77777777" w:rsidTr="002C7A0F">
        <w:trPr>
          <w:trHeight w:val="283"/>
          <w:jc w:val="center"/>
        </w:trPr>
        <w:tc>
          <w:tcPr>
            <w:tcW w:w="545" w:type="pct"/>
            <w:vMerge/>
            <w:shd w:val="clear" w:color="auto" w:fill="auto"/>
          </w:tcPr>
          <w:p w14:paraId="2DE4FCC0" w14:textId="77777777" w:rsidR="00302BFE" w:rsidRPr="0075595E" w:rsidRDefault="00302BFE" w:rsidP="002C7A0F">
            <w:pPr>
              <w:spacing w:after="0"/>
              <w:rPr>
                <w:rFonts w:eastAsia="Times New Roman"/>
                <w:sz w:val="18"/>
                <w:szCs w:val="18"/>
              </w:rPr>
            </w:pPr>
          </w:p>
        </w:tc>
        <w:tc>
          <w:tcPr>
            <w:tcW w:w="2819" w:type="pct"/>
            <w:shd w:val="clear" w:color="auto" w:fill="auto"/>
            <w:noWrap/>
            <w:hideMark/>
          </w:tcPr>
          <w:p w14:paraId="44C125F8" w14:textId="77777777" w:rsidR="00302BFE" w:rsidRPr="0075595E" w:rsidRDefault="00302BFE" w:rsidP="002C7A0F">
            <w:pPr>
              <w:spacing w:after="0"/>
              <w:rPr>
                <w:rFonts w:eastAsia="Times New Roman"/>
                <w:sz w:val="18"/>
                <w:szCs w:val="18"/>
              </w:rPr>
            </w:pPr>
            <w:r w:rsidRPr="0075595E">
              <w:rPr>
                <w:rFonts w:eastAsia="Times New Roman"/>
                <w:sz w:val="18"/>
                <w:szCs w:val="18"/>
              </w:rPr>
              <w:t>Surveillance villageoise</w:t>
            </w:r>
          </w:p>
        </w:tc>
        <w:tc>
          <w:tcPr>
            <w:tcW w:w="999" w:type="pct"/>
            <w:shd w:val="clear" w:color="auto" w:fill="auto"/>
          </w:tcPr>
          <w:p w14:paraId="40DA7B3A" w14:textId="77777777" w:rsidR="00302BFE" w:rsidRPr="0075595E" w:rsidRDefault="00302BFE" w:rsidP="002C7A0F">
            <w:pPr>
              <w:spacing w:after="0"/>
              <w:rPr>
                <w:rFonts w:eastAsia="Times New Roman"/>
                <w:sz w:val="18"/>
                <w:szCs w:val="18"/>
              </w:rPr>
            </w:pPr>
            <w:r w:rsidRPr="0075595E">
              <w:rPr>
                <w:rFonts w:eastAsia="Times New Roman"/>
                <w:sz w:val="18"/>
                <w:szCs w:val="18"/>
              </w:rPr>
              <w:t>9 000 000</w:t>
            </w:r>
          </w:p>
        </w:tc>
        <w:tc>
          <w:tcPr>
            <w:tcW w:w="637" w:type="pct"/>
            <w:shd w:val="clear" w:color="auto" w:fill="auto"/>
            <w:noWrap/>
            <w:hideMark/>
          </w:tcPr>
          <w:p w14:paraId="18B63BA3" w14:textId="77777777" w:rsidR="00302BFE" w:rsidRPr="0075595E" w:rsidRDefault="00302BFE" w:rsidP="002C7A0F">
            <w:pPr>
              <w:spacing w:after="0"/>
              <w:rPr>
                <w:rFonts w:eastAsia="Times New Roman"/>
                <w:sz w:val="18"/>
                <w:szCs w:val="18"/>
              </w:rPr>
            </w:pPr>
            <w:r w:rsidRPr="0075595E">
              <w:rPr>
                <w:rFonts w:eastAsia="Times New Roman"/>
                <w:sz w:val="18"/>
                <w:szCs w:val="18"/>
              </w:rPr>
              <w:t>300</w:t>
            </w:r>
          </w:p>
        </w:tc>
      </w:tr>
      <w:tr w:rsidR="00302BFE" w:rsidRPr="00832C0A" w14:paraId="63DCAD71" w14:textId="77777777" w:rsidTr="002C7A0F">
        <w:trPr>
          <w:trHeight w:val="283"/>
          <w:jc w:val="center"/>
        </w:trPr>
        <w:tc>
          <w:tcPr>
            <w:tcW w:w="545" w:type="pct"/>
            <w:vMerge/>
            <w:shd w:val="clear" w:color="auto" w:fill="auto"/>
          </w:tcPr>
          <w:p w14:paraId="6FD38D4C" w14:textId="77777777" w:rsidR="00302BFE" w:rsidRPr="0075595E" w:rsidRDefault="00302BFE" w:rsidP="002C7A0F">
            <w:pPr>
              <w:spacing w:after="0"/>
              <w:rPr>
                <w:rFonts w:eastAsia="Times New Roman"/>
                <w:sz w:val="18"/>
                <w:szCs w:val="18"/>
              </w:rPr>
            </w:pPr>
          </w:p>
        </w:tc>
        <w:tc>
          <w:tcPr>
            <w:tcW w:w="2819" w:type="pct"/>
            <w:shd w:val="clear" w:color="auto" w:fill="auto"/>
            <w:noWrap/>
            <w:hideMark/>
          </w:tcPr>
          <w:p w14:paraId="21E099D1" w14:textId="77777777" w:rsidR="00302BFE" w:rsidRPr="0075595E" w:rsidRDefault="00302BFE" w:rsidP="002C7A0F">
            <w:pPr>
              <w:spacing w:after="0"/>
              <w:rPr>
                <w:rFonts w:eastAsia="Times New Roman"/>
                <w:sz w:val="18"/>
                <w:szCs w:val="18"/>
              </w:rPr>
            </w:pPr>
            <w:r w:rsidRPr="0075595E">
              <w:rPr>
                <w:rFonts w:eastAsia="Times New Roman"/>
                <w:sz w:val="18"/>
                <w:szCs w:val="18"/>
              </w:rPr>
              <w:t>Application de feux précoces</w:t>
            </w:r>
          </w:p>
        </w:tc>
        <w:tc>
          <w:tcPr>
            <w:tcW w:w="999" w:type="pct"/>
            <w:shd w:val="clear" w:color="auto" w:fill="auto"/>
          </w:tcPr>
          <w:p w14:paraId="4079AE7C" w14:textId="77777777" w:rsidR="00302BFE" w:rsidRPr="0075595E" w:rsidRDefault="00302BFE" w:rsidP="002C7A0F">
            <w:pPr>
              <w:spacing w:after="0"/>
              <w:rPr>
                <w:rFonts w:eastAsia="Times New Roman"/>
                <w:sz w:val="18"/>
                <w:szCs w:val="18"/>
              </w:rPr>
            </w:pPr>
            <w:r w:rsidRPr="0075595E">
              <w:rPr>
                <w:rFonts w:eastAsia="Times New Roman"/>
                <w:sz w:val="18"/>
                <w:szCs w:val="18"/>
              </w:rPr>
              <w:t>2 100 000</w:t>
            </w:r>
          </w:p>
        </w:tc>
        <w:tc>
          <w:tcPr>
            <w:tcW w:w="637" w:type="pct"/>
            <w:shd w:val="clear" w:color="auto" w:fill="auto"/>
            <w:noWrap/>
            <w:hideMark/>
          </w:tcPr>
          <w:p w14:paraId="1727906F" w14:textId="77777777" w:rsidR="00302BFE" w:rsidRPr="0075595E" w:rsidRDefault="00302BFE" w:rsidP="002C7A0F">
            <w:pPr>
              <w:spacing w:after="0"/>
              <w:rPr>
                <w:rFonts w:eastAsia="Times New Roman"/>
                <w:sz w:val="18"/>
                <w:szCs w:val="18"/>
              </w:rPr>
            </w:pPr>
            <w:r w:rsidRPr="0075595E">
              <w:rPr>
                <w:rFonts w:eastAsia="Times New Roman"/>
                <w:sz w:val="18"/>
                <w:szCs w:val="18"/>
              </w:rPr>
              <w:t>50</w:t>
            </w:r>
          </w:p>
        </w:tc>
      </w:tr>
      <w:tr w:rsidR="00302BFE" w:rsidRPr="00832C0A" w14:paraId="7178A83E" w14:textId="77777777" w:rsidTr="002C7A0F">
        <w:trPr>
          <w:trHeight w:val="283"/>
          <w:jc w:val="center"/>
        </w:trPr>
        <w:tc>
          <w:tcPr>
            <w:tcW w:w="545" w:type="pct"/>
            <w:vMerge/>
            <w:shd w:val="clear" w:color="auto" w:fill="auto"/>
          </w:tcPr>
          <w:p w14:paraId="23F6ADF5" w14:textId="77777777" w:rsidR="00302BFE" w:rsidRPr="0075595E" w:rsidRDefault="00302BFE" w:rsidP="002C7A0F">
            <w:pPr>
              <w:spacing w:after="0"/>
              <w:rPr>
                <w:rFonts w:eastAsia="Times New Roman"/>
                <w:sz w:val="18"/>
                <w:szCs w:val="18"/>
              </w:rPr>
            </w:pPr>
          </w:p>
        </w:tc>
        <w:tc>
          <w:tcPr>
            <w:tcW w:w="2819" w:type="pct"/>
            <w:shd w:val="clear" w:color="auto" w:fill="auto"/>
            <w:noWrap/>
            <w:hideMark/>
          </w:tcPr>
          <w:p w14:paraId="497C44AE" w14:textId="77777777" w:rsidR="00302BFE" w:rsidRPr="0075595E" w:rsidRDefault="00302BFE" w:rsidP="002C7A0F">
            <w:pPr>
              <w:spacing w:after="0"/>
              <w:rPr>
                <w:rFonts w:eastAsia="Times New Roman"/>
                <w:b/>
                <w:sz w:val="18"/>
                <w:szCs w:val="18"/>
              </w:rPr>
            </w:pPr>
            <w:r w:rsidRPr="0075595E">
              <w:rPr>
                <w:rFonts w:eastAsia="Times New Roman"/>
                <w:b/>
                <w:sz w:val="18"/>
                <w:szCs w:val="18"/>
              </w:rPr>
              <w:t>Totaux</w:t>
            </w:r>
          </w:p>
        </w:tc>
        <w:tc>
          <w:tcPr>
            <w:tcW w:w="999" w:type="pct"/>
            <w:shd w:val="clear" w:color="auto" w:fill="auto"/>
          </w:tcPr>
          <w:p w14:paraId="3F639549" w14:textId="77777777" w:rsidR="00302BFE" w:rsidRPr="0075595E" w:rsidRDefault="00302BFE" w:rsidP="002C7A0F">
            <w:pPr>
              <w:spacing w:after="0"/>
              <w:rPr>
                <w:rFonts w:eastAsia="Times New Roman"/>
                <w:b/>
                <w:sz w:val="18"/>
                <w:szCs w:val="18"/>
              </w:rPr>
            </w:pPr>
            <w:r w:rsidRPr="0075595E">
              <w:rPr>
                <w:rFonts w:eastAsia="Times New Roman"/>
                <w:b/>
                <w:sz w:val="18"/>
                <w:szCs w:val="18"/>
              </w:rPr>
              <w:t>22 040 000</w:t>
            </w:r>
          </w:p>
        </w:tc>
        <w:tc>
          <w:tcPr>
            <w:tcW w:w="637" w:type="pct"/>
            <w:shd w:val="clear" w:color="auto" w:fill="auto"/>
            <w:noWrap/>
            <w:hideMark/>
          </w:tcPr>
          <w:p w14:paraId="6A62F5B2" w14:textId="77777777" w:rsidR="00302BFE" w:rsidRPr="0075595E" w:rsidRDefault="00302BFE" w:rsidP="002C7A0F">
            <w:pPr>
              <w:spacing w:after="0"/>
              <w:rPr>
                <w:rFonts w:eastAsia="Times New Roman"/>
                <w:b/>
                <w:sz w:val="18"/>
                <w:szCs w:val="18"/>
              </w:rPr>
            </w:pPr>
            <w:r w:rsidRPr="0075595E">
              <w:rPr>
                <w:rFonts w:eastAsia="Times New Roman"/>
                <w:b/>
                <w:sz w:val="18"/>
                <w:szCs w:val="18"/>
              </w:rPr>
              <w:t>636</w:t>
            </w:r>
          </w:p>
        </w:tc>
      </w:tr>
      <w:tr w:rsidR="00302BFE" w:rsidRPr="00832C0A" w14:paraId="49B5E428" w14:textId="77777777" w:rsidTr="002C7A0F">
        <w:trPr>
          <w:trHeight w:val="283"/>
          <w:jc w:val="center"/>
        </w:trPr>
        <w:tc>
          <w:tcPr>
            <w:tcW w:w="3364" w:type="pct"/>
            <w:gridSpan w:val="2"/>
            <w:shd w:val="clear" w:color="auto" w:fill="auto"/>
          </w:tcPr>
          <w:p w14:paraId="3CDB5905" w14:textId="77777777" w:rsidR="00302BFE" w:rsidRPr="0075595E" w:rsidRDefault="00302BFE" w:rsidP="002C7A0F">
            <w:pPr>
              <w:spacing w:after="0"/>
              <w:rPr>
                <w:rFonts w:eastAsia="Times New Roman"/>
                <w:b/>
                <w:sz w:val="18"/>
                <w:szCs w:val="18"/>
              </w:rPr>
            </w:pPr>
            <w:r w:rsidRPr="0075595E">
              <w:rPr>
                <w:rFonts w:eastAsia="Times New Roman"/>
                <w:b/>
                <w:sz w:val="18"/>
                <w:szCs w:val="18"/>
              </w:rPr>
              <w:t>TOTAL GÉNÉRAL</w:t>
            </w:r>
          </w:p>
        </w:tc>
        <w:tc>
          <w:tcPr>
            <w:tcW w:w="999" w:type="pct"/>
            <w:shd w:val="clear" w:color="auto" w:fill="auto"/>
          </w:tcPr>
          <w:p w14:paraId="45F2F074" w14:textId="77777777" w:rsidR="00302BFE" w:rsidRPr="0075595E" w:rsidRDefault="00302BFE" w:rsidP="002C7A0F">
            <w:pPr>
              <w:spacing w:after="0"/>
              <w:rPr>
                <w:rFonts w:eastAsia="Times New Roman"/>
                <w:b/>
                <w:sz w:val="18"/>
                <w:szCs w:val="18"/>
              </w:rPr>
            </w:pPr>
            <w:r w:rsidRPr="0075595E">
              <w:rPr>
                <w:rFonts w:eastAsia="Times New Roman"/>
                <w:b/>
                <w:sz w:val="18"/>
                <w:szCs w:val="18"/>
              </w:rPr>
              <w:t>44 965 000</w:t>
            </w:r>
          </w:p>
        </w:tc>
        <w:tc>
          <w:tcPr>
            <w:tcW w:w="637" w:type="pct"/>
            <w:shd w:val="clear" w:color="auto" w:fill="auto"/>
            <w:noWrap/>
            <w:hideMark/>
          </w:tcPr>
          <w:p w14:paraId="13FF719A" w14:textId="77777777" w:rsidR="00302BFE" w:rsidRPr="0075595E" w:rsidRDefault="00302BFE" w:rsidP="002C7A0F">
            <w:pPr>
              <w:spacing w:after="0"/>
              <w:rPr>
                <w:rFonts w:eastAsia="Times New Roman"/>
                <w:b/>
                <w:sz w:val="18"/>
                <w:szCs w:val="18"/>
              </w:rPr>
            </w:pPr>
            <w:r w:rsidRPr="0075595E">
              <w:rPr>
                <w:rFonts w:eastAsia="Times New Roman"/>
                <w:b/>
                <w:sz w:val="18"/>
                <w:szCs w:val="18"/>
              </w:rPr>
              <w:t>1 271</w:t>
            </w:r>
          </w:p>
        </w:tc>
      </w:tr>
    </w:tbl>
    <w:p w14:paraId="61FEA9BF" w14:textId="77777777" w:rsidR="00302BFE" w:rsidRPr="0022229D" w:rsidRDefault="00302BFE" w:rsidP="00302BFE">
      <w:pPr>
        <w:spacing w:after="0"/>
        <w:rPr>
          <w:i/>
          <w:sz w:val="16"/>
          <w:szCs w:val="16"/>
        </w:rPr>
      </w:pPr>
    </w:p>
    <w:p w14:paraId="01C2EEB7" w14:textId="77777777" w:rsidR="00302BFE" w:rsidRPr="00714F9A" w:rsidRDefault="00302BFE" w:rsidP="00302BFE">
      <w:pPr>
        <w:spacing w:before="120" w:after="120"/>
        <w:rPr>
          <w:rFonts w:asciiTheme="minorHAnsi" w:hAnsiTheme="minorHAnsi"/>
          <w:szCs w:val="20"/>
          <w:lang w:val="fr-CA"/>
        </w:rPr>
      </w:pPr>
      <w:r w:rsidRPr="00714F9A">
        <w:rPr>
          <w:rFonts w:asciiTheme="minorHAnsi" w:hAnsiTheme="minorHAnsi"/>
          <w:noProof/>
          <w:szCs w:val="20"/>
          <w:lang w:val="fr-CA"/>
        </w:rPr>
        <w:t xml:space="preserve">Les bénéfices des aires protégées au profit des populations concernent également les ZOVIC. </w:t>
      </w:r>
      <w:r w:rsidRPr="00714F9A">
        <w:rPr>
          <w:rFonts w:asciiTheme="minorHAnsi" w:hAnsiTheme="minorHAnsi"/>
          <w:szCs w:val="20"/>
          <w:lang w:val="fr-CA"/>
        </w:rPr>
        <w:t>Les activités de lutte anti-braconnage et de surveillance des ZOVIC sont exercées par les agents forestiers avec la participation des populations locales à travers leur comités villageois de gestion de la faune (CVGF) pour protéger les animaux sauvages et leur habitat contre le braconnage et toutes les autres formes d'exploitation illicite. La surveillance participative permet d’impliquer les acteurs villageois dans la protection de la faune et vise à empêcher et dissuader les braconniers, les pasteurs peuhl et les migrants de pénétrer dans la ZOVIC. Le rôle principal des comités villageois de gestion de la faune est la surveillance de la ZOVIC contre toute forme d'agression, la sensibilisation des populations riveraines, l'aménagement du milieu (retenues d'eau, pistes, observatoires, infrastructures d'accueil, création de salines et gestion de feux) et la gestion des retombées socioéconomiques de la chasse et du tourisme. Une étude menée dans deux ZOVICs en périphérie du RG Nazinga de 2005 à 2008</w:t>
      </w:r>
      <w:r w:rsidRPr="00714F9A">
        <w:rPr>
          <w:rStyle w:val="Appelnotedebasdep"/>
          <w:rFonts w:asciiTheme="minorHAnsi" w:hAnsiTheme="minorHAnsi"/>
          <w:sz w:val="20"/>
          <w:szCs w:val="20"/>
        </w:rPr>
        <w:footnoteReference w:id="98"/>
      </w:r>
      <w:r w:rsidRPr="00714F9A">
        <w:rPr>
          <w:rFonts w:asciiTheme="minorHAnsi" w:hAnsiTheme="minorHAnsi"/>
          <w:szCs w:val="20"/>
          <w:lang w:val="fr-CA"/>
        </w:rPr>
        <w:t xml:space="preserve"> a fait ressortir que les revenus générés par la chasse et le tourisme avaient contribué au développement socioéconomique des villages. À défaut d’inventaire faunique, les communautés locales interrogées ont rapporté une augmentation de l'effectif faunique au sein des ZOVICs, la réduction du braconnage, la présence accrue dans leurs champs d’animaux sauvages comme les singes, les lièvres, et les éléphants et une amélioration et une diversification considérable du couvert végétal. Parallèlement, les conflits homme-faune étaient plus importants.</w:t>
      </w:r>
    </w:p>
    <w:p w14:paraId="2E4C8C4B" w14:textId="1507503C" w:rsidR="00302BFE" w:rsidRPr="0056644A" w:rsidRDefault="00302BFE" w:rsidP="00302BFE">
      <w:pPr>
        <w:spacing w:before="120" w:after="120"/>
        <w:rPr>
          <w:noProof/>
          <w:szCs w:val="20"/>
          <w:lang w:val="fr-CA"/>
        </w:rPr>
      </w:pPr>
      <w:r w:rsidRPr="00714F9A">
        <w:rPr>
          <w:szCs w:val="20"/>
          <w:lang w:val="fr-CA"/>
        </w:rPr>
        <w:t xml:space="preserve">Les populations tirent des revenus à travers les activités qu'elles mènent dans les ZOVIC et les emplois générés par la gestion et l’exploitation de la ZOVIC, incluant des emplois temporaires et permanents comme pisteurs et surveillants villageois. Ces revenus sont perçus individuellement ou collectivement par l'intermédiaire des CVGF. Les villages bénéficient individuellement de recettes annuelles de 350,000 FCFA </w:t>
      </w:r>
      <w:r w:rsidR="005E13EB">
        <w:rPr>
          <w:szCs w:val="20"/>
          <w:lang w:val="fr-CA"/>
        </w:rPr>
        <w:t xml:space="preserve">(approx 595 $US) </w:t>
      </w:r>
      <w:r w:rsidRPr="00714F9A">
        <w:rPr>
          <w:szCs w:val="20"/>
          <w:lang w:val="fr-CA"/>
        </w:rPr>
        <w:t>versées par le concessionnaire à la fin de la campagne de chasse, à titre de taxe d'aménagement des zones, en plus d’une taxe de location journalière de 7,500 FCFA</w:t>
      </w:r>
      <w:r w:rsidR="005E13EB">
        <w:rPr>
          <w:szCs w:val="20"/>
          <w:lang w:val="fr-CA"/>
        </w:rPr>
        <w:t xml:space="preserve"> (approx 13 $US)</w:t>
      </w:r>
      <w:r w:rsidRPr="00714F9A">
        <w:rPr>
          <w:szCs w:val="20"/>
          <w:lang w:val="fr-CA"/>
        </w:rPr>
        <w:t xml:space="preserve"> lorsque la ZOVIC est fréquentée par les chasseurs. Ainsi, la location des ZOVICs de la province du Nahouri pour la campagne 2007-2008 avait généré des recettes pour les villages de 1,867,500 FCFA</w:t>
      </w:r>
      <w:r w:rsidR="005E13EB">
        <w:rPr>
          <w:szCs w:val="20"/>
          <w:lang w:val="fr-CA"/>
        </w:rPr>
        <w:t xml:space="preserve"> (approx 3175 $US)</w:t>
      </w:r>
      <w:r w:rsidRPr="00714F9A">
        <w:rPr>
          <w:szCs w:val="20"/>
          <w:lang w:val="fr-CA"/>
        </w:rPr>
        <w:t>. Ces recettes sont généralement utilisées pour financer les activités du comité villageois de gestion de la faune et rémunérer les personnes impliquées, et pour des réalisations d'intérêt commun à tout le village tels les forages. De plus, lors de la chasse au gros gibier, les populations locales recevaient les trois-quarts de la viande et l’autre quart revenait au guide de chasse ou au concessionnaire.</w:t>
      </w:r>
    </w:p>
    <w:p w14:paraId="49AEDA5C" w14:textId="2CDD7AD2" w:rsidR="00302BFE" w:rsidRPr="008E1693" w:rsidRDefault="000C0407" w:rsidP="00302BFE">
      <w:pPr>
        <w:spacing w:before="120" w:after="120"/>
        <w:rPr>
          <w:noProof/>
          <w:szCs w:val="20"/>
          <w:lang w:val="fr-CA"/>
        </w:rPr>
      </w:pPr>
      <w:r>
        <w:rPr>
          <w:noProof/>
          <w:szCs w:val="20"/>
          <w:lang w:val="fr-CA"/>
        </w:rPr>
        <w:t>Depuis quelques années</w:t>
      </w:r>
      <w:r w:rsidR="00302BFE" w:rsidRPr="008E1693">
        <w:rPr>
          <w:noProof/>
          <w:szCs w:val="20"/>
          <w:lang w:val="fr-CA"/>
        </w:rPr>
        <w:t xml:space="preserve">, </w:t>
      </w:r>
      <w:r w:rsidRPr="008E1693">
        <w:rPr>
          <w:szCs w:val="20"/>
          <w:lang w:val="fr-CA"/>
        </w:rPr>
        <w:t xml:space="preserve">Nahouri Safari </w:t>
      </w:r>
      <w:r>
        <w:rPr>
          <w:szCs w:val="20"/>
          <w:lang w:val="fr-CA"/>
        </w:rPr>
        <w:t xml:space="preserve">a cessé de verser </w:t>
      </w:r>
      <w:r w:rsidR="00302BFE" w:rsidRPr="008E1693">
        <w:rPr>
          <w:szCs w:val="20"/>
          <w:lang w:val="fr-CA"/>
        </w:rPr>
        <w:t>les</w:t>
      </w:r>
      <w:r>
        <w:rPr>
          <w:szCs w:val="20"/>
          <w:lang w:val="fr-CA"/>
        </w:rPr>
        <w:t xml:space="preserve"> montants de</w:t>
      </w:r>
      <w:r w:rsidR="00302BFE" w:rsidRPr="008E1693">
        <w:rPr>
          <w:szCs w:val="20"/>
          <w:lang w:val="fr-CA"/>
        </w:rPr>
        <w:t xml:space="preserve"> 350 000 FCFA/an </w:t>
      </w:r>
      <w:r w:rsidR="005E13EB">
        <w:rPr>
          <w:szCs w:val="20"/>
          <w:lang w:val="fr-CA"/>
        </w:rPr>
        <w:t xml:space="preserve">(approx 595 $US) </w:t>
      </w:r>
      <w:r w:rsidR="00302BFE" w:rsidRPr="008E1693">
        <w:rPr>
          <w:szCs w:val="20"/>
          <w:lang w:val="fr-CA"/>
        </w:rPr>
        <w:t>aux communautés pour l</w:t>
      </w:r>
      <w:r>
        <w:rPr>
          <w:szCs w:val="20"/>
          <w:lang w:val="fr-CA"/>
        </w:rPr>
        <w:t>’</w:t>
      </w:r>
      <w:r w:rsidR="00302BFE" w:rsidRPr="008E1693">
        <w:rPr>
          <w:szCs w:val="20"/>
          <w:lang w:val="fr-CA"/>
        </w:rPr>
        <w:t>entretien</w:t>
      </w:r>
      <w:r>
        <w:rPr>
          <w:szCs w:val="20"/>
          <w:lang w:val="fr-CA"/>
        </w:rPr>
        <w:t xml:space="preserve"> des ZOVICs</w:t>
      </w:r>
      <w:r w:rsidR="00302BFE" w:rsidRPr="008E1693">
        <w:rPr>
          <w:szCs w:val="20"/>
          <w:lang w:val="fr-CA"/>
        </w:rPr>
        <w:t xml:space="preserve"> </w:t>
      </w:r>
      <w:r>
        <w:rPr>
          <w:szCs w:val="20"/>
          <w:lang w:val="fr-CA"/>
        </w:rPr>
        <w:t>en raison de</w:t>
      </w:r>
      <w:r w:rsidR="00302BFE" w:rsidRPr="008E1693">
        <w:rPr>
          <w:noProof/>
          <w:szCs w:val="20"/>
          <w:lang w:val="fr-CA"/>
        </w:rPr>
        <w:t xml:space="preserve"> leur </w:t>
      </w:r>
      <w:r>
        <w:rPr>
          <w:noProof/>
          <w:szCs w:val="20"/>
          <w:lang w:val="fr-CA"/>
        </w:rPr>
        <w:t>état</w:t>
      </w:r>
      <w:r w:rsidR="00302BFE" w:rsidRPr="008E1693">
        <w:rPr>
          <w:noProof/>
          <w:szCs w:val="20"/>
          <w:lang w:val="fr-CA"/>
        </w:rPr>
        <w:t xml:space="preserve"> de dégradation. Leur restauration </w:t>
      </w:r>
      <w:r w:rsidR="00302BFE">
        <w:rPr>
          <w:noProof/>
          <w:szCs w:val="20"/>
          <w:lang w:val="fr-CA"/>
        </w:rPr>
        <w:t xml:space="preserve">pourrait </w:t>
      </w:r>
      <w:r w:rsidR="00302BFE" w:rsidRPr="008E1693">
        <w:rPr>
          <w:noProof/>
          <w:szCs w:val="20"/>
          <w:lang w:val="fr-CA"/>
        </w:rPr>
        <w:t>permettr</w:t>
      </w:r>
      <w:r w:rsidR="00302BFE">
        <w:rPr>
          <w:noProof/>
          <w:szCs w:val="20"/>
          <w:lang w:val="fr-CA"/>
        </w:rPr>
        <w:t>e</w:t>
      </w:r>
      <w:r w:rsidR="00302BFE" w:rsidRPr="008E1693">
        <w:rPr>
          <w:noProof/>
          <w:szCs w:val="20"/>
          <w:lang w:val="fr-CA"/>
        </w:rPr>
        <w:t xml:space="preserve"> de </w:t>
      </w:r>
      <w:r>
        <w:rPr>
          <w:noProof/>
          <w:szCs w:val="20"/>
          <w:lang w:val="fr-CA"/>
        </w:rPr>
        <w:t>rétablir</w:t>
      </w:r>
      <w:r w:rsidR="00302BFE" w:rsidRPr="008E1693">
        <w:rPr>
          <w:noProof/>
          <w:szCs w:val="20"/>
          <w:lang w:val="fr-CA"/>
        </w:rPr>
        <w:t xml:space="preserve"> ces frais. D’ailleurs, la chasse qui s’y pratique ne profite plus à ces populations du fait de la </w:t>
      </w:r>
      <w:r>
        <w:rPr>
          <w:noProof/>
          <w:szCs w:val="20"/>
          <w:lang w:val="fr-CA"/>
        </w:rPr>
        <w:t>diminution</w:t>
      </w:r>
      <w:r w:rsidR="00302BFE" w:rsidRPr="008E1693">
        <w:rPr>
          <w:noProof/>
          <w:szCs w:val="20"/>
          <w:lang w:val="fr-CA"/>
        </w:rPr>
        <w:t xml:space="preserve"> du gibier.</w:t>
      </w:r>
    </w:p>
    <w:p w14:paraId="53FBE658" w14:textId="77777777" w:rsidR="00302BFE" w:rsidRPr="008E1693" w:rsidRDefault="00302BFE" w:rsidP="00302BFE">
      <w:pPr>
        <w:pStyle w:val="Paragraphedeliste"/>
        <w:tabs>
          <w:tab w:val="left" w:pos="284"/>
        </w:tabs>
        <w:spacing w:before="120" w:after="120"/>
        <w:ind w:left="0"/>
        <w:jc w:val="both"/>
        <w:rPr>
          <w:rFonts w:ascii="Calibri" w:eastAsia="Times New Roman" w:hAnsi="Calibri"/>
          <w:b/>
          <w:i/>
          <w:iCs/>
          <w:color w:val="2F5496"/>
          <w:sz w:val="22"/>
          <w:szCs w:val="22"/>
          <w:lang w:val="fr-CA"/>
        </w:rPr>
      </w:pPr>
      <w:bookmarkStart w:id="94" w:name="_Toc2166323"/>
      <w:r w:rsidRPr="008E1693">
        <w:rPr>
          <w:rFonts w:ascii="Calibri" w:eastAsia="Times New Roman" w:hAnsi="Calibri"/>
          <w:b/>
          <w:i/>
          <w:iCs/>
          <w:color w:val="2F5496"/>
          <w:sz w:val="22"/>
          <w:szCs w:val="22"/>
          <w:lang w:val="fr-CA"/>
        </w:rPr>
        <w:t>Bénéfices en lien avec l’amélioration de la gestion des terroirs adjacents</w:t>
      </w:r>
      <w:bookmarkEnd w:id="94"/>
      <w:r w:rsidRPr="008E1693">
        <w:rPr>
          <w:rFonts w:ascii="Calibri" w:eastAsia="Times New Roman" w:hAnsi="Calibri"/>
          <w:b/>
          <w:i/>
          <w:iCs/>
          <w:color w:val="2F5496"/>
          <w:sz w:val="22"/>
          <w:szCs w:val="22"/>
          <w:lang w:val="fr-CA"/>
        </w:rPr>
        <w:t xml:space="preserve"> </w:t>
      </w:r>
    </w:p>
    <w:p w14:paraId="01C09F88" w14:textId="77777777" w:rsidR="00302BFE" w:rsidRPr="008E1693" w:rsidRDefault="00302BFE" w:rsidP="00302BFE">
      <w:pPr>
        <w:pStyle w:val="Paragraphedeliste"/>
        <w:tabs>
          <w:tab w:val="left" w:pos="284"/>
        </w:tabs>
        <w:spacing w:before="120" w:after="120"/>
        <w:ind w:left="0"/>
        <w:jc w:val="both"/>
        <w:rPr>
          <w:rFonts w:ascii="Calibri" w:eastAsia="Times New Roman" w:hAnsi="Calibri"/>
          <w:i/>
          <w:iCs/>
          <w:color w:val="2F5496"/>
          <w:sz w:val="20"/>
          <w:szCs w:val="20"/>
          <w:lang w:val="fr-CA"/>
        </w:rPr>
      </w:pPr>
      <w:bookmarkStart w:id="95" w:name="_Toc507456760"/>
      <w:bookmarkStart w:id="96" w:name="_Toc515313603"/>
      <w:bookmarkStart w:id="97" w:name="_Toc2166324"/>
      <w:bookmarkStart w:id="98" w:name="_Toc447963942"/>
      <w:bookmarkStart w:id="99" w:name="_Toc460495676"/>
      <w:bookmarkStart w:id="100" w:name="_Toc463340533"/>
      <w:r w:rsidRPr="008E1693">
        <w:rPr>
          <w:rFonts w:ascii="Calibri" w:eastAsia="Times New Roman" w:hAnsi="Calibri"/>
          <w:i/>
          <w:iCs/>
          <w:color w:val="2F5496"/>
          <w:sz w:val="20"/>
          <w:szCs w:val="20"/>
          <w:lang w:val="fr-CA"/>
        </w:rPr>
        <w:t xml:space="preserve">Productions </w:t>
      </w:r>
      <w:bookmarkEnd w:id="95"/>
      <w:bookmarkEnd w:id="96"/>
      <w:bookmarkEnd w:id="97"/>
      <w:r w:rsidRPr="008E1693">
        <w:rPr>
          <w:rFonts w:ascii="Calibri" w:eastAsia="Times New Roman" w:hAnsi="Calibri"/>
          <w:i/>
          <w:iCs/>
          <w:color w:val="2F5496"/>
          <w:sz w:val="20"/>
          <w:szCs w:val="20"/>
          <w:lang w:val="fr-CA"/>
        </w:rPr>
        <w:t>agricoles</w:t>
      </w:r>
    </w:p>
    <w:p w14:paraId="55B4C48D" w14:textId="77777777" w:rsidR="00302BFE" w:rsidRPr="008E1693" w:rsidRDefault="00302BFE" w:rsidP="00302BFE">
      <w:pPr>
        <w:spacing w:before="120" w:after="120"/>
        <w:contextualSpacing/>
        <w:rPr>
          <w:szCs w:val="20"/>
          <w:lang w:val="fr-CA"/>
        </w:rPr>
      </w:pPr>
      <w:r w:rsidRPr="008E1693">
        <w:rPr>
          <w:szCs w:val="20"/>
          <w:lang w:val="fr-CA"/>
        </w:rPr>
        <w:t xml:space="preserve">Les résultats </w:t>
      </w:r>
      <w:r w:rsidRPr="008E1693">
        <w:rPr>
          <w:bCs/>
          <w:szCs w:val="20"/>
          <w:lang w:val="fr-CA"/>
        </w:rPr>
        <w:t>du sous-programme CPP dans la Boucle du Mouhoun</w:t>
      </w:r>
      <w:r w:rsidRPr="008E1693">
        <w:rPr>
          <w:szCs w:val="20"/>
          <w:lang w:val="fr-CA"/>
        </w:rPr>
        <w:t xml:space="preserve"> illustrent l’énorme contribution des actions de gestion durable des terres à l’augmentation des rendements agricoles. Grâce à des activités de défense et restauration des sols, et de conservation des eaux et des sols (DRS/CES), incluant les zaï, les cordons pierreux, les buttes de terre, et l’utilisation de la fumure organique, les rendements ont été doublés pour la plupart des cultures à l’exception du maïs et l’aménagement des bas-fonds pour la riziculture a permis de tripler les rendements rizicoles de 1,7 T/ha à 5,2 T/ha.</w:t>
      </w:r>
    </w:p>
    <w:p w14:paraId="12E52C25" w14:textId="77777777" w:rsidR="00302BFE" w:rsidRPr="008E1693" w:rsidRDefault="00302BFE" w:rsidP="00302BFE">
      <w:pPr>
        <w:pStyle w:val="Lgende"/>
        <w:spacing w:before="240" w:after="120"/>
        <w:jc w:val="both"/>
        <w:rPr>
          <w:rFonts w:ascii="Calibri" w:hAnsi="Calibri"/>
          <w:sz w:val="20"/>
          <w:szCs w:val="20"/>
          <w:lang w:val="fr-CA"/>
        </w:rPr>
      </w:pPr>
      <w:bookmarkStart w:id="101" w:name="_Toc507456761"/>
      <w:bookmarkStart w:id="102" w:name="_Toc515313604"/>
      <w:bookmarkStart w:id="103" w:name="_Toc2166336"/>
      <w:r w:rsidRPr="008E1693">
        <w:rPr>
          <w:rFonts w:ascii="Calibri" w:hAnsi="Calibri"/>
          <w:sz w:val="20"/>
          <w:szCs w:val="20"/>
          <w:lang w:val="fr-CA"/>
        </w:rPr>
        <w:t xml:space="preserve">Tableau </w:t>
      </w:r>
      <w:r w:rsidRPr="00091F0E">
        <w:rPr>
          <w:rFonts w:ascii="Calibri" w:hAnsi="Calibri"/>
          <w:noProof/>
          <w:sz w:val="20"/>
          <w:szCs w:val="20"/>
          <w:lang w:val="fr-CA"/>
        </w:rPr>
        <w:t>D</w:t>
      </w:r>
      <w:r w:rsidRPr="008E1693">
        <w:rPr>
          <w:rFonts w:ascii="Calibri" w:hAnsi="Calibri"/>
          <w:sz w:val="20"/>
          <w:szCs w:val="20"/>
          <w:lang w:val="fr-CA"/>
        </w:rPr>
        <w:t xml:space="preserve"> : </w:t>
      </w:r>
      <w:r>
        <w:rPr>
          <w:rFonts w:ascii="Calibri" w:hAnsi="Calibri"/>
          <w:sz w:val="20"/>
          <w:szCs w:val="20"/>
          <w:lang w:val="fr-CA"/>
        </w:rPr>
        <w:t>É</w:t>
      </w:r>
      <w:r w:rsidRPr="008E1693">
        <w:rPr>
          <w:rFonts w:ascii="Calibri" w:hAnsi="Calibri"/>
          <w:sz w:val="20"/>
          <w:szCs w:val="20"/>
          <w:lang w:val="fr-CA"/>
        </w:rPr>
        <w:t>volution des rendements avec la GDT</w:t>
      </w:r>
      <w:bookmarkEnd w:id="101"/>
      <w:bookmarkEnd w:id="102"/>
      <w:r w:rsidRPr="008E1693">
        <w:rPr>
          <w:rFonts w:ascii="Calibri" w:hAnsi="Calibri"/>
          <w:sz w:val="20"/>
          <w:szCs w:val="20"/>
          <w:lang w:val="fr-CA"/>
        </w:rPr>
        <w:t xml:space="preserve"> dans la Boucle du Mouhoun</w:t>
      </w:r>
      <w:bookmarkEnd w:id="103"/>
    </w:p>
    <w:tbl>
      <w:tblPr>
        <w:tblW w:w="0" w:type="auto"/>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271"/>
        <w:gridCol w:w="3333"/>
        <w:gridCol w:w="2086"/>
      </w:tblGrid>
      <w:tr w:rsidR="00302BFE" w:rsidRPr="00FB1B99" w14:paraId="1F65697E" w14:textId="77777777" w:rsidTr="00243B15">
        <w:trPr>
          <w:jc w:val="center"/>
        </w:trPr>
        <w:tc>
          <w:tcPr>
            <w:tcW w:w="0" w:type="auto"/>
            <w:tcBorders>
              <w:bottom w:val="single" w:sz="12" w:space="0" w:color="9CC2E5"/>
            </w:tcBorders>
            <w:shd w:val="clear" w:color="auto" w:fill="auto"/>
            <w:vAlign w:val="center"/>
          </w:tcPr>
          <w:p w14:paraId="7CDB4687" w14:textId="77777777" w:rsidR="00302BFE" w:rsidRPr="0075595E" w:rsidRDefault="00302BFE" w:rsidP="00243B15">
            <w:pPr>
              <w:spacing w:after="0"/>
              <w:rPr>
                <w:rFonts w:eastAsia="Calibri"/>
                <w:b/>
                <w:bCs/>
                <w:szCs w:val="20"/>
              </w:rPr>
            </w:pPr>
            <w:r w:rsidRPr="0075595E">
              <w:rPr>
                <w:rFonts w:eastAsia="Calibri"/>
                <w:b/>
                <w:bCs/>
                <w:szCs w:val="20"/>
              </w:rPr>
              <w:t>Spéculations</w:t>
            </w:r>
          </w:p>
        </w:tc>
        <w:tc>
          <w:tcPr>
            <w:tcW w:w="0" w:type="auto"/>
            <w:tcBorders>
              <w:bottom w:val="single" w:sz="12" w:space="0" w:color="9CC2E5"/>
            </w:tcBorders>
            <w:shd w:val="clear" w:color="auto" w:fill="auto"/>
            <w:vAlign w:val="center"/>
          </w:tcPr>
          <w:p w14:paraId="032DA700" w14:textId="77777777" w:rsidR="00302BFE" w:rsidRPr="0075595E" w:rsidRDefault="00302BFE" w:rsidP="00243B15">
            <w:pPr>
              <w:spacing w:after="0"/>
              <w:rPr>
                <w:rFonts w:eastAsia="Calibri"/>
                <w:b/>
                <w:bCs/>
                <w:szCs w:val="20"/>
              </w:rPr>
            </w:pPr>
            <w:r w:rsidRPr="0075595E">
              <w:rPr>
                <w:rFonts w:eastAsia="Calibri"/>
                <w:b/>
                <w:bCs/>
                <w:szCs w:val="20"/>
              </w:rPr>
              <w:t>Rendements en culture traditionnelle</w:t>
            </w:r>
          </w:p>
        </w:tc>
        <w:tc>
          <w:tcPr>
            <w:tcW w:w="0" w:type="auto"/>
            <w:tcBorders>
              <w:bottom w:val="single" w:sz="12" w:space="0" w:color="9CC2E5"/>
            </w:tcBorders>
            <w:shd w:val="clear" w:color="auto" w:fill="auto"/>
            <w:vAlign w:val="center"/>
          </w:tcPr>
          <w:p w14:paraId="096C6B84" w14:textId="77777777" w:rsidR="00302BFE" w:rsidRPr="0075595E" w:rsidRDefault="00302BFE" w:rsidP="00243B15">
            <w:pPr>
              <w:spacing w:after="0"/>
              <w:rPr>
                <w:rFonts w:eastAsia="Calibri"/>
                <w:b/>
                <w:bCs/>
                <w:szCs w:val="20"/>
              </w:rPr>
            </w:pPr>
            <w:r w:rsidRPr="0075595E">
              <w:rPr>
                <w:rFonts w:eastAsia="Calibri"/>
                <w:b/>
                <w:bCs/>
                <w:szCs w:val="20"/>
              </w:rPr>
              <w:t>Rendements avec GDT</w:t>
            </w:r>
          </w:p>
        </w:tc>
      </w:tr>
      <w:tr w:rsidR="00302BFE" w:rsidRPr="00FB1B99" w14:paraId="4461EF22" w14:textId="77777777" w:rsidTr="00243B15">
        <w:trPr>
          <w:jc w:val="center"/>
        </w:trPr>
        <w:tc>
          <w:tcPr>
            <w:tcW w:w="0" w:type="auto"/>
            <w:shd w:val="clear" w:color="auto" w:fill="auto"/>
          </w:tcPr>
          <w:p w14:paraId="108CDCA3" w14:textId="77777777" w:rsidR="00302BFE" w:rsidRPr="0075595E" w:rsidRDefault="00302BFE" w:rsidP="00243B15">
            <w:pPr>
              <w:spacing w:after="0"/>
              <w:rPr>
                <w:rFonts w:eastAsia="Calibri"/>
                <w:b/>
                <w:bCs/>
                <w:szCs w:val="20"/>
              </w:rPr>
            </w:pPr>
            <w:r w:rsidRPr="0075595E">
              <w:rPr>
                <w:rFonts w:eastAsia="Calibri"/>
                <w:b/>
                <w:bCs/>
                <w:szCs w:val="20"/>
              </w:rPr>
              <w:t>Riz</w:t>
            </w:r>
          </w:p>
        </w:tc>
        <w:tc>
          <w:tcPr>
            <w:tcW w:w="0" w:type="auto"/>
            <w:shd w:val="clear" w:color="auto" w:fill="auto"/>
          </w:tcPr>
          <w:p w14:paraId="06F90397" w14:textId="77777777" w:rsidR="00302BFE" w:rsidRPr="0075595E" w:rsidRDefault="00302BFE" w:rsidP="00243B15">
            <w:pPr>
              <w:spacing w:after="0"/>
              <w:rPr>
                <w:rFonts w:eastAsia="Calibri"/>
                <w:szCs w:val="20"/>
              </w:rPr>
            </w:pPr>
            <w:r w:rsidRPr="0075595E">
              <w:rPr>
                <w:rFonts w:eastAsia="Calibri"/>
                <w:szCs w:val="20"/>
              </w:rPr>
              <w:t>1 à 2 T/ha</w:t>
            </w:r>
          </w:p>
        </w:tc>
        <w:tc>
          <w:tcPr>
            <w:tcW w:w="0" w:type="auto"/>
            <w:shd w:val="clear" w:color="auto" w:fill="auto"/>
          </w:tcPr>
          <w:p w14:paraId="1A0B73B0" w14:textId="77777777" w:rsidR="00302BFE" w:rsidRPr="0075595E" w:rsidRDefault="00302BFE" w:rsidP="00243B15">
            <w:pPr>
              <w:spacing w:after="0"/>
              <w:rPr>
                <w:rFonts w:eastAsia="Calibri"/>
                <w:szCs w:val="20"/>
              </w:rPr>
            </w:pPr>
            <w:r w:rsidRPr="0075595E">
              <w:rPr>
                <w:rFonts w:eastAsia="Calibri"/>
                <w:szCs w:val="20"/>
              </w:rPr>
              <w:t>4 à 5 T/ha</w:t>
            </w:r>
          </w:p>
        </w:tc>
      </w:tr>
      <w:tr w:rsidR="00302BFE" w:rsidRPr="00FB1B99" w14:paraId="2539D774" w14:textId="77777777" w:rsidTr="00243B15">
        <w:trPr>
          <w:jc w:val="center"/>
        </w:trPr>
        <w:tc>
          <w:tcPr>
            <w:tcW w:w="0" w:type="auto"/>
            <w:shd w:val="clear" w:color="auto" w:fill="auto"/>
          </w:tcPr>
          <w:p w14:paraId="7C1FB26B" w14:textId="77777777" w:rsidR="00302BFE" w:rsidRPr="0075595E" w:rsidRDefault="00302BFE" w:rsidP="00243B15">
            <w:pPr>
              <w:spacing w:after="0"/>
              <w:rPr>
                <w:rFonts w:eastAsia="Calibri"/>
                <w:b/>
                <w:bCs/>
                <w:szCs w:val="20"/>
              </w:rPr>
            </w:pPr>
            <w:r w:rsidRPr="0075595E">
              <w:rPr>
                <w:rFonts w:eastAsia="Calibri"/>
                <w:b/>
                <w:bCs/>
                <w:szCs w:val="20"/>
              </w:rPr>
              <w:t>Coton</w:t>
            </w:r>
          </w:p>
        </w:tc>
        <w:tc>
          <w:tcPr>
            <w:tcW w:w="0" w:type="auto"/>
            <w:shd w:val="clear" w:color="auto" w:fill="auto"/>
          </w:tcPr>
          <w:p w14:paraId="670CAAE7" w14:textId="77777777" w:rsidR="00302BFE" w:rsidRPr="0075595E" w:rsidRDefault="00302BFE" w:rsidP="00243B15">
            <w:pPr>
              <w:spacing w:after="0"/>
              <w:rPr>
                <w:rFonts w:eastAsia="Calibri"/>
                <w:szCs w:val="20"/>
              </w:rPr>
            </w:pPr>
            <w:r w:rsidRPr="0075595E">
              <w:rPr>
                <w:rFonts w:eastAsia="Calibri"/>
                <w:szCs w:val="20"/>
              </w:rPr>
              <w:t>500 à 600 Kg/ha</w:t>
            </w:r>
          </w:p>
        </w:tc>
        <w:tc>
          <w:tcPr>
            <w:tcW w:w="0" w:type="auto"/>
            <w:shd w:val="clear" w:color="auto" w:fill="auto"/>
          </w:tcPr>
          <w:p w14:paraId="6C055FD1" w14:textId="77777777" w:rsidR="00302BFE" w:rsidRPr="0075595E" w:rsidRDefault="00302BFE" w:rsidP="00243B15">
            <w:pPr>
              <w:spacing w:after="0"/>
              <w:rPr>
                <w:rFonts w:eastAsia="Calibri"/>
                <w:szCs w:val="20"/>
              </w:rPr>
            </w:pPr>
            <w:r w:rsidRPr="0075595E">
              <w:rPr>
                <w:rFonts w:eastAsia="Calibri"/>
                <w:szCs w:val="20"/>
              </w:rPr>
              <w:t>900 à 1000 kg/ha</w:t>
            </w:r>
          </w:p>
        </w:tc>
      </w:tr>
      <w:tr w:rsidR="00302BFE" w:rsidRPr="00FB1B99" w14:paraId="69FE4A7B" w14:textId="77777777" w:rsidTr="00243B15">
        <w:trPr>
          <w:jc w:val="center"/>
        </w:trPr>
        <w:tc>
          <w:tcPr>
            <w:tcW w:w="0" w:type="auto"/>
            <w:shd w:val="clear" w:color="auto" w:fill="auto"/>
          </w:tcPr>
          <w:p w14:paraId="370B40CD" w14:textId="77777777" w:rsidR="00302BFE" w:rsidRPr="0075595E" w:rsidRDefault="00302BFE" w:rsidP="00243B15">
            <w:pPr>
              <w:spacing w:after="0"/>
              <w:rPr>
                <w:rFonts w:eastAsia="Calibri"/>
                <w:b/>
                <w:bCs/>
                <w:szCs w:val="20"/>
              </w:rPr>
            </w:pPr>
            <w:r w:rsidRPr="0075595E">
              <w:rPr>
                <w:rFonts w:eastAsia="Calibri"/>
                <w:b/>
                <w:bCs/>
                <w:szCs w:val="20"/>
              </w:rPr>
              <w:t>Maïs</w:t>
            </w:r>
          </w:p>
        </w:tc>
        <w:tc>
          <w:tcPr>
            <w:tcW w:w="0" w:type="auto"/>
            <w:shd w:val="clear" w:color="auto" w:fill="auto"/>
          </w:tcPr>
          <w:p w14:paraId="45C1D323" w14:textId="77777777" w:rsidR="00302BFE" w:rsidRPr="0075595E" w:rsidRDefault="00302BFE" w:rsidP="00243B15">
            <w:pPr>
              <w:spacing w:after="0"/>
              <w:rPr>
                <w:rFonts w:eastAsia="Calibri"/>
                <w:szCs w:val="20"/>
              </w:rPr>
            </w:pPr>
            <w:r w:rsidRPr="0075595E">
              <w:rPr>
                <w:rFonts w:eastAsia="Calibri"/>
                <w:szCs w:val="20"/>
              </w:rPr>
              <w:t>2,3T/ha</w:t>
            </w:r>
          </w:p>
        </w:tc>
        <w:tc>
          <w:tcPr>
            <w:tcW w:w="0" w:type="auto"/>
            <w:shd w:val="clear" w:color="auto" w:fill="auto"/>
          </w:tcPr>
          <w:p w14:paraId="37CDB750" w14:textId="77777777" w:rsidR="00302BFE" w:rsidRPr="0075595E" w:rsidRDefault="00302BFE" w:rsidP="00243B15">
            <w:pPr>
              <w:spacing w:after="0"/>
              <w:rPr>
                <w:rFonts w:eastAsia="Calibri"/>
                <w:szCs w:val="20"/>
              </w:rPr>
            </w:pPr>
            <w:r w:rsidRPr="0075595E">
              <w:rPr>
                <w:rFonts w:eastAsia="Calibri"/>
                <w:szCs w:val="20"/>
              </w:rPr>
              <w:t>2,5 à 3T/ha</w:t>
            </w:r>
          </w:p>
        </w:tc>
      </w:tr>
      <w:tr w:rsidR="00302BFE" w:rsidRPr="00FB1B99" w14:paraId="4415D3C2" w14:textId="77777777" w:rsidTr="00243B15">
        <w:trPr>
          <w:jc w:val="center"/>
        </w:trPr>
        <w:tc>
          <w:tcPr>
            <w:tcW w:w="0" w:type="auto"/>
            <w:shd w:val="clear" w:color="auto" w:fill="auto"/>
          </w:tcPr>
          <w:p w14:paraId="5B7C4964" w14:textId="77777777" w:rsidR="00302BFE" w:rsidRPr="0075595E" w:rsidRDefault="00302BFE" w:rsidP="00243B15">
            <w:pPr>
              <w:spacing w:after="0"/>
              <w:rPr>
                <w:rFonts w:eastAsia="Calibri"/>
                <w:b/>
                <w:bCs/>
                <w:szCs w:val="20"/>
              </w:rPr>
            </w:pPr>
            <w:r w:rsidRPr="0075595E">
              <w:rPr>
                <w:rFonts w:eastAsia="Calibri"/>
                <w:b/>
                <w:bCs/>
                <w:szCs w:val="20"/>
              </w:rPr>
              <w:t>Sorgho</w:t>
            </w:r>
          </w:p>
        </w:tc>
        <w:tc>
          <w:tcPr>
            <w:tcW w:w="0" w:type="auto"/>
            <w:shd w:val="clear" w:color="auto" w:fill="auto"/>
          </w:tcPr>
          <w:p w14:paraId="4A187312" w14:textId="77777777" w:rsidR="00302BFE" w:rsidRPr="0075595E" w:rsidRDefault="00302BFE" w:rsidP="00243B15">
            <w:pPr>
              <w:spacing w:after="0"/>
              <w:rPr>
                <w:rFonts w:eastAsia="Calibri"/>
                <w:szCs w:val="20"/>
              </w:rPr>
            </w:pPr>
            <w:r w:rsidRPr="0075595E">
              <w:rPr>
                <w:rFonts w:eastAsia="Calibri"/>
                <w:szCs w:val="20"/>
              </w:rPr>
              <w:t>600 à 800 Kg/ha</w:t>
            </w:r>
          </w:p>
        </w:tc>
        <w:tc>
          <w:tcPr>
            <w:tcW w:w="0" w:type="auto"/>
            <w:shd w:val="clear" w:color="auto" w:fill="auto"/>
          </w:tcPr>
          <w:p w14:paraId="2703490A" w14:textId="77777777" w:rsidR="00302BFE" w:rsidRPr="0075595E" w:rsidRDefault="00302BFE" w:rsidP="00243B15">
            <w:pPr>
              <w:spacing w:after="0"/>
              <w:rPr>
                <w:rFonts w:eastAsia="Calibri"/>
                <w:szCs w:val="20"/>
              </w:rPr>
            </w:pPr>
            <w:r w:rsidRPr="0075595E">
              <w:rPr>
                <w:rFonts w:eastAsia="Calibri"/>
                <w:szCs w:val="20"/>
              </w:rPr>
              <w:t>1 à 1,5 T/ha</w:t>
            </w:r>
          </w:p>
        </w:tc>
      </w:tr>
      <w:tr w:rsidR="00302BFE" w:rsidRPr="00FB1B99" w14:paraId="327950B8" w14:textId="77777777" w:rsidTr="00243B15">
        <w:trPr>
          <w:jc w:val="center"/>
        </w:trPr>
        <w:tc>
          <w:tcPr>
            <w:tcW w:w="0" w:type="auto"/>
            <w:shd w:val="clear" w:color="auto" w:fill="auto"/>
          </w:tcPr>
          <w:p w14:paraId="14698C20" w14:textId="77777777" w:rsidR="00302BFE" w:rsidRPr="0075595E" w:rsidRDefault="00302BFE" w:rsidP="00243B15">
            <w:pPr>
              <w:spacing w:after="0"/>
              <w:rPr>
                <w:rFonts w:eastAsia="Calibri"/>
                <w:b/>
                <w:bCs/>
                <w:szCs w:val="20"/>
              </w:rPr>
            </w:pPr>
            <w:r w:rsidRPr="0075595E">
              <w:rPr>
                <w:rFonts w:eastAsia="Calibri"/>
                <w:b/>
                <w:bCs/>
                <w:szCs w:val="20"/>
              </w:rPr>
              <w:t>Niébé</w:t>
            </w:r>
          </w:p>
        </w:tc>
        <w:tc>
          <w:tcPr>
            <w:tcW w:w="0" w:type="auto"/>
            <w:shd w:val="clear" w:color="auto" w:fill="auto"/>
          </w:tcPr>
          <w:p w14:paraId="30316884" w14:textId="77777777" w:rsidR="00302BFE" w:rsidRPr="0075595E" w:rsidRDefault="00302BFE" w:rsidP="00243B15">
            <w:pPr>
              <w:spacing w:after="0"/>
              <w:rPr>
                <w:rFonts w:eastAsia="Calibri"/>
                <w:szCs w:val="20"/>
              </w:rPr>
            </w:pPr>
            <w:r w:rsidRPr="0075595E">
              <w:rPr>
                <w:rFonts w:eastAsia="Calibri"/>
                <w:szCs w:val="20"/>
              </w:rPr>
              <w:t>600 kg/ha</w:t>
            </w:r>
          </w:p>
        </w:tc>
        <w:tc>
          <w:tcPr>
            <w:tcW w:w="0" w:type="auto"/>
            <w:shd w:val="clear" w:color="auto" w:fill="auto"/>
          </w:tcPr>
          <w:p w14:paraId="72834EF7" w14:textId="77777777" w:rsidR="00302BFE" w:rsidRPr="0075595E" w:rsidRDefault="00302BFE" w:rsidP="00243B15">
            <w:pPr>
              <w:spacing w:after="0"/>
              <w:rPr>
                <w:rFonts w:eastAsia="Calibri"/>
                <w:szCs w:val="20"/>
              </w:rPr>
            </w:pPr>
            <w:r w:rsidRPr="0075595E">
              <w:rPr>
                <w:rFonts w:eastAsia="Calibri"/>
                <w:szCs w:val="20"/>
              </w:rPr>
              <w:t>1T/ha</w:t>
            </w:r>
          </w:p>
        </w:tc>
      </w:tr>
    </w:tbl>
    <w:p w14:paraId="731A6766" w14:textId="77777777" w:rsidR="00302BFE" w:rsidRPr="008E1693" w:rsidRDefault="00302BFE" w:rsidP="00302BFE">
      <w:pPr>
        <w:spacing w:after="240"/>
        <w:rPr>
          <w:sz w:val="16"/>
          <w:szCs w:val="16"/>
          <w:lang w:val="fr-CA"/>
        </w:rPr>
      </w:pPr>
      <w:r w:rsidRPr="008E1693">
        <w:rPr>
          <w:sz w:val="16"/>
          <w:szCs w:val="16"/>
          <w:lang w:val="fr-CA"/>
        </w:rPr>
        <w:t>Source : Rapport du sous-programme CPP Boucle du Mouhoun, 2018</w:t>
      </w:r>
    </w:p>
    <w:p w14:paraId="56FDBBF9" w14:textId="77777777" w:rsidR="00302BFE" w:rsidRPr="008E1693" w:rsidRDefault="00302BFE" w:rsidP="00302BFE">
      <w:pPr>
        <w:spacing w:before="120" w:after="120"/>
        <w:contextualSpacing/>
        <w:rPr>
          <w:szCs w:val="20"/>
          <w:lang w:val="fr-CA"/>
        </w:rPr>
      </w:pPr>
      <w:r w:rsidRPr="008E1693">
        <w:rPr>
          <w:szCs w:val="20"/>
          <w:lang w:val="fr-CA"/>
        </w:rPr>
        <w:t>En outre, les interventions du sous-programme CPP dans cette région en matière de maraîchage ont permis :</w:t>
      </w:r>
    </w:p>
    <w:p w14:paraId="5F212C7A" w14:textId="77777777" w:rsidR="00302BFE" w:rsidRPr="008E1693" w:rsidRDefault="00302BFE" w:rsidP="00302BFE">
      <w:pPr>
        <w:pStyle w:val="Rappniebepuce1"/>
        <w:tabs>
          <w:tab w:val="clear" w:pos="360"/>
        </w:tabs>
        <w:spacing w:before="120" w:after="120" w:line="240" w:lineRule="auto"/>
        <w:ind w:left="360" w:hanging="360"/>
        <w:contextualSpacing/>
        <w:rPr>
          <w:rFonts w:ascii="Calibri" w:hAnsi="Calibri"/>
          <w:sz w:val="20"/>
          <w:szCs w:val="20"/>
        </w:rPr>
      </w:pPr>
      <w:r w:rsidRPr="008E1693">
        <w:rPr>
          <w:rFonts w:ascii="Calibri" w:hAnsi="Calibri"/>
          <w:sz w:val="20"/>
          <w:szCs w:val="20"/>
        </w:rPr>
        <w:t xml:space="preserve">une augmentation des rendements des productions maraîchères, ainsi que des revenus monétaires ; </w:t>
      </w:r>
    </w:p>
    <w:p w14:paraId="16B4292D" w14:textId="77777777" w:rsidR="00302BFE" w:rsidRPr="008E1693" w:rsidRDefault="00302BFE" w:rsidP="00302BFE">
      <w:pPr>
        <w:pStyle w:val="Rappniebepuce1"/>
        <w:tabs>
          <w:tab w:val="clear" w:pos="360"/>
        </w:tabs>
        <w:spacing w:before="120" w:after="120" w:line="240" w:lineRule="auto"/>
        <w:ind w:left="360" w:hanging="360"/>
        <w:contextualSpacing/>
        <w:rPr>
          <w:rFonts w:ascii="Calibri" w:hAnsi="Calibri"/>
          <w:sz w:val="20"/>
          <w:szCs w:val="20"/>
        </w:rPr>
      </w:pPr>
      <w:r w:rsidRPr="008E1693">
        <w:rPr>
          <w:rFonts w:ascii="Calibri" w:hAnsi="Calibri"/>
          <w:sz w:val="20"/>
          <w:szCs w:val="20"/>
        </w:rPr>
        <w:t xml:space="preserve">une amélioration de la sécurité alimentaire et nutritionnelle des populations à travers la disponibilité d’une variété de légumes (aubergines, gombo, oignons, carottes, salade, choux, etc.) ; </w:t>
      </w:r>
    </w:p>
    <w:p w14:paraId="189C698F" w14:textId="77777777" w:rsidR="00302BFE" w:rsidRPr="008E1693" w:rsidRDefault="00302BFE" w:rsidP="00302BFE">
      <w:pPr>
        <w:pStyle w:val="Rappniebepuce1"/>
        <w:tabs>
          <w:tab w:val="clear" w:pos="360"/>
        </w:tabs>
        <w:spacing w:before="120" w:after="120" w:line="240" w:lineRule="auto"/>
        <w:ind w:left="360" w:hanging="360"/>
        <w:contextualSpacing/>
        <w:rPr>
          <w:rFonts w:ascii="Calibri" w:hAnsi="Calibri"/>
          <w:sz w:val="20"/>
          <w:szCs w:val="20"/>
        </w:rPr>
      </w:pPr>
      <w:r w:rsidRPr="008E1693">
        <w:rPr>
          <w:rFonts w:ascii="Calibri" w:hAnsi="Calibri"/>
          <w:sz w:val="20"/>
          <w:szCs w:val="20"/>
        </w:rPr>
        <w:lastRenderedPageBreak/>
        <w:t>la création d’emplois pour les femmes, les jeunes et les adultes, pendant la saison sèche, une période au cours de laquelle, généralement, les populations rurales sont sous employées, voire oisives ;</w:t>
      </w:r>
    </w:p>
    <w:p w14:paraId="438A4DFE" w14:textId="77777777" w:rsidR="00302BFE" w:rsidRPr="008E1693" w:rsidRDefault="00302BFE" w:rsidP="00302BFE">
      <w:pPr>
        <w:pStyle w:val="Rappniebepuce1"/>
        <w:tabs>
          <w:tab w:val="clear" w:pos="360"/>
        </w:tabs>
        <w:spacing w:before="120" w:after="120" w:line="240" w:lineRule="auto"/>
        <w:ind w:left="360" w:hanging="360"/>
        <w:contextualSpacing/>
        <w:rPr>
          <w:rFonts w:ascii="Calibri" w:hAnsi="Calibri"/>
          <w:sz w:val="20"/>
          <w:szCs w:val="20"/>
        </w:rPr>
      </w:pPr>
      <w:r w:rsidRPr="008E1693">
        <w:rPr>
          <w:rFonts w:ascii="Calibri" w:hAnsi="Calibri"/>
          <w:sz w:val="20"/>
          <w:szCs w:val="20"/>
        </w:rPr>
        <w:t>une réduction de la pauvreté pendant la période de soudure ;</w:t>
      </w:r>
    </w:p>
    <w:p w14:paraId="2BDEE836" w14:textId="77777777" w:rsidR="00302BFE" w:rsidRPr="008E1693" w:rsidRDefault="00302BFE" w:rsidP="00302BFE">
      <w:pPr>
        <w:pStyle w:val="Rappniebepuce1"/>
        <w:tabs>
          <w:tab w:val="clear" w:pos="360"/>
        </w:tabs>
        <w:spacing w:before="120" w:after="120" w:line="240" w:lineRule="auto"/>
        <w:ind w:left="360" w:hanging="360"/>
        <w:contextualSpacing/>
        <w:rPr>
          <w:rFonts w:ascii="Calibri" w:hAnsi="Calibri"/>
          <w:sz w:val="20"/>
          <w:szCs w:val="20"/>
        </w:rPr>
      </w:pPr>
      <w:r w:rsidRPr="008E1693">
        <w:rPr>
          <w:rFonts w:ascii="Calibri" w:hAnsi="Calibri"/>
          <w:sz w:val="20"/>
          <w:szCs w:val="20"/>
        </w:rPr>
        <w:t>une atténuation de la vulnérabilité des femmes et des jeunes vis-à-vis des effets néfastes des changements climatiques ;</w:t>
      </w:r>
    </w:p>
    <w:p w14:paraId="217F186A" w14:textId="77777777" w:rsidR="00302BFE" w:rsidRPr="008E1693" w:rsidRDefault="00302BFE" w:rsidP="00302BFE">
      <w:pPr>
        <w:pStyle w:val="Rappniebepuce1"/>
        <w:tabs>
          <w:tab w:val="clear" w:pos="360"/>
        </w:tabs>
        <w:spacing w:before="120" w:after="120" w:line="240" w:lineRule="auto"/>
        <w:ind w:left="360" w:hanging="360"/>
        <w:contextualSpacing/>
        <w:rPr>
          <w:rFonts w:ascii="Calibri" w:hAnsi="Calibri"/>
          <w:sz w:val="20"/>
          <w:szCs w:val="20"/>
        </w:rPr>
      </w:pPr>
      <w:r w:rsidRPr="008E1693">
        <w:rPr>
          <w:rFonts w:ascii="Calibri" w:hAnsi="Calibri"/>
          <w:sz w:val="20"/>
          <w:szCs w:val="20"/>
        </w:rPr>
        <w:t>un renforcement des organisations communautaires grâce au regroupement des producteurs et productrices en vie associative et l’entraide dans la mise en œuvre des nouvelles techniques culturales ;</w:t>
      </w:r>
    </w:p>
    <w:p w14:paraId="23D86836" w14:textId="77777777" w:rsidR="00302BFE" w:rsidRPr="008E1693" w:rsidRDefault="00302BFE" w:rsidP="00302BFE">
      <w:pPr>
        <w:pStyle w:val="Rappniebepuce1"/>
        <w:tabs>
          <w:tab w:val="clear" w:pos="360"/>
        </w:tabs>
        <w:spacing w:before="120" w:after="120" w:line="240" w:lineRule="auto"/>
        <w:ind w:left="360" w:hanging="360"/>
        <w:contextualSpacing/>
        <w:rPr>
          <w:rFonts w:ascii="Calibri" w:hAnsi="Calibri"/>
          <w:sz w:val="20"/>
          <w:szCs w:val="20"/>
        </w:rPr>
      </w:pPr>
      <w:r w:rsidRPr="008E1693">
        <w:rPr>
          <w:rFonts w:ascii="Calibri" w:hAnsi="Calibri"/>
          <w:sz w:val="20"/>
          <w:szCs w:val="20"/>
        </w:rPr>
        <w:t>une forte participation des femmes dans la production et la commercialisation des produits maraîchers.</w:t>
      </w:r>
    </w:p>
    <w:p w14:paraId="4022A0F4" w14:textId="77777777" w:rsidR="00302BFE" w:rsidRPr="008E1693" w:rsidRDefault="00302BFE" w:rsidP="00302BFE">
      <w:pPr>
        <w:pStyle w:val="Rappniebepuce1"/>
        <w:numPr>
          <w:ilvl w:val="0"/>
          <w:numId w:val="0"/>
        </w:numPr>
        <w:spacing w:before="120" w:after="120" w:line="240" w:lineRule="auto"/>
        <w:ind w:left="360"/>
        <w:contextualSpacing/>
        <w:rPr>
          <w:rFonts w:ascii="Calibri" w:hAnsi="Calibri"/>
          <w:sz w:val="20"/>
          <w:szCs w:val="20"/>
        </w:rPr>
      </w:pPr>
    </w:p>
    <w:p w14:paraId="0B859978" w14:textId="77777777" w:rsidR="00302BFE" w:rsidRPr="008E1693" w:rsidRDefault="00302BFE" w:rsidP="00302BFE">
      <w:pPr>
        <w:spacing w:before="120" w:after="120"/>
        <w:contextualSpacing/>
        <w:rPr>
          <w:szCs w:val="20"/>
          <w:lang w:val="fr-CA"/>
        </w:rPr>
      </w:pPr>
      <w:r w:rsidRPr="008E1693">
        <w:rPr>
          <w:szCs w:val="20"/>
          <w:lang w:val="fr-CA"/>
        </w:rPr>
        <w:t>Dans le complexe PONASI, on note, en plus la dégradation des sols, la destruction des récoltes par la faune, notamment les éléphants. La gestion des conflits homme-faune sera alors utile pour sauvegarder les récoltes des populations locales, et instaurer un climat de confiance vis-à-vis de l’éléphant.</w:t>
      </w:r>
    </w:p>
    <w:p w14:paraId="1F5D487E" w14:textId="77777777" w:rsidR="00302BFE" w:rsidRPr="008E1693" w:rsidRDefault="00302BFE" w:rsidP="00302BFE">
      <w:pPr>
        <w:pStyle w:val="Paragraphedeliste"/>
        <w:tabs>
          <w:tab w:val="left" w:pos="284"/>
        </w:tabs>
        <w:spacing w:before="120" w:after="120"/>
        <w:ind w:left="0"/>
        <w:jc w:val="both"/>
        <w:rPr>
          <w:rFonts w:ascii="Calibri" w:eastAsia="Times New Roman" w:hAnsi="Calibri"/>
          <w:i/>
          <w:iCs/>
          <w:color w:val="2F5496"/>
          <w:sz w:val="20"/>
          <w:szCs w:val="20"/>
          <w:lang w:val="fr-CA"/>
        </w:rPr>
      </w:pPr>
      <w:bookmarkStart w:id="104" w:name="_Toc507456764"/>
      <w:bookmarkStart w:id="105" w:name="_Toc515313607"/>
      <w:r w:rsidRPr="008E1693">
        <w:rPr>
          <w:rFonts w:ascii="Calibri" w:eastAsia="Times New Roman" w:hAnsi="Calibri"/>
          <w:i/>
          <w:iCs/>
          <w:color w:val="2F5496"/>
          <w:sz w:val="20"/>
          <w:szCs w:val="20"/>
          <w:lang w:val="fr-CA"/>
        </w:rPr>
        <w:t xml:space="preserve">Élevage </w:t>
      </w:r>
    </w:p>
    <w:p w14:paraId="58B2D094" w14:textId="77777777" w:rsidR="00302BFE" w:rsidRPr="008E1693" w:rsidRDefault="00302BFE" w:rsidP="00302BFE">
      <w:pPr>
        <w:spacing w:before="120" w:after="120"/>
        <w:rPr>
          <w:szCs w:val="20"/>
          <w:lang w:val="fr-CA"/>
        </w:rPr>
      </w:pPr>
      <w:r w:rsidRPr="008E1693">
        <w:rPr>
          <w:szCs w:val="20"/>
          <w:lang w:val="fr-CA"/>
        </w:rPr>
        <w:t>De l’exemple du sous-programme CPP dans la Boucle du Mouhoun, on note également que des actions de GDT améliorent considérablement les productions animales</w:t>
      </w:r>
      <w:bookmarkEnd w:id="104"/>
      <w:bookmarkEnd w:id="105"/>
      <w:r w:rsidRPr="008E1693">
        <w:rPr>
          <w:szCs w:val="20"/>
          <w:lang w:val="fr-CA"/>
        </w:rPr>
        <w:t xml:space="preserve">. Les activités réalisées incluent la construction de pistes à bétail, l’aménagement de zones de pâturage, la construction de fenils pour la conservation du fourrage, les cultures fourragères, </w:t>
      </w:r>
      <w:r w:rsidRPr="008E1693">
        <w:rPr>
          <w:bCs/>
          <w:szCs w:val="20"/>
          <w:lang w:val="fr-CA"/>
        </w:rPr>
        <w:t>la fauche et la conservation du fourrage naturel.</w:t>
      </w:r>
    </w:p>
    <w:p w14:paraId="5EF8B08E" w14:textId="77777777" w:rsidR="00302BFE" w:rsidRPr="008E1693" w:rsidRDefault="00302BFE" w:rsidP="00302BFE">
      <w:pPr>
        <w:spacing w:before="120" w:after="120"/>
        <w:rPr>
          <w:szCs w:val="20"/>
          <w:lang w:val="fr-CA"/>
        </w:rPr>
      </w:pPr>
      <w:r w:rsidRPr="008E1693">
        <w:rPr>
          <w:szCs w:val="20"/>
          <w:lang w:val="fr-CA"/>
        </w:rPr>
        <w:t>Les résultats obtenus par ce sous-programme sont les suivants :</w:t>
      </w:r>
    </w:p>
    <w:p w14:paraId="059A1BEB" w14:textId="77777777" w:rsidR="00302BFE" w:rsidRPr="008E1693" w:rsidRDefault="00302BFE" w:rsidP="00C46720">
      <w:pPr>
        <w:pStyle w:val="Paragraphedeliste"/>
        <w:numPr>
          <w:ilvl w:val="0"/>
          <w:numId w:val="41"/>
        </w:numPr>
        <w:spacing w:before="120" w:after="120"/>
        <w:ind w:left="284" w:hanging="147"/>
        <w:contextualSpacing/>
        <w:jc w:val="both"/>
        <w:rPr>
          <w:rFonts w:ascii="Calibri" w:hAnsi="Calibri"/>
          <w:bCs/>
          <w:sz w:val="20"/>
          <w:szCs w:val="20"/>
          <w:lang w:val="fr-CA"/>
        </w:rPr>
      </w:pPr>
      <w:r w:rsidRPr="008E1693">
        <w:rPr>
          <w:rFonts w:ascii="Calibri" w:hAnsi="Calibri"/>
          <w:bCs/>
          <w:sz w:val="20"/>
          <w:szCs w:val="20"/>
          <w:lang w:val="fr-CA"/>
        </w:rPr>
        <w:t>fourrage disponible en quantité suffisante pendant la saison sèche ;</w:t>
      </w:r>
    </w:p>
    <w:p w14:paraId="042DC22B" w14:textId="77777777" w:rsidR="00302BFE" w:rsidRPr="008E1693" w:rsidRDefault="00302BFE" w:rsidP="00C46720">
      <w:pPr>
        <w:pStyle w:val="Paragraphedeliste"/>
        <w:numPr>
          <w:ilvl w:val="0"/>
          <w:numId w:val="41"/>
        </w:numPr>
        <w:spacing w:before="120" w:after="120"/>
        <w:ind w:left="284" w:hanging="147"/>
        <w:contextualSpacing/>
        <w:jc w:val="both"/>
        <w:rPr>
          <w:rFonts w:ascii="Calibri" w:hAnsi="Calibri"/>
          <w:bCs/>
          <w:sz w:val="20"/>
          <w:szCs w:val="20"/>
          <w:lang w:val="fr-CA"/>
        </w:rPr>
      </w:pPr>
      <w:r w:rsidRPr="008E1693">
        <w:rPr>
          <w:rFonts w:ascii="Calibri" w:hAnsi="Calibri"/>
          <w:bCs/>
          <w:sz w:val="20"/>
          <w:szCs w:val="20"/>
          <w:lang w:val="fr-CA"/>
        </w:rPr>
        <w:t xml:space="preserve"> production de lait de vache doublée en saison des pluies, passées de 1,5 à 2 litres/jour/vache à environ 3,5 l/j/vache ; de plus, les animaux ne présentent plus de forme cachectique (d’une maigreur alarmante);</w:t>
      </w:r>
    </w:p>
    <w:p w14:paraId="6A7E9D25" w14:textId="77777777" w:rsidR="00302BFE" w:rsidRPr="008E1693" w:rsidRDefault="00302BFE" w:rsidP="00C46720">
      <w:pPr>
        <w:pStyle w:val="Paragraphedeliste"/>
        <w:numPr>
          <w:ilvl w:val="0"/>
          <w:numId w:val="41"/>
        </w:numPr>
        <w:spacing w:before="120" w:after="120"/>
        <w:ind w:left="284" w:hanging="147"/>
        <w:contextualSpacing/>
        <w:jc w:val="both"/>
        <w:rPr>
          <w:rFonts w:ascii="Calibri" w:hAnsi="Calibri"/>
          <w:bCs/>
          <w:sz w:val="20"/>
          <w:szCs w:val="20"/>
          <w:lang w:val="fr-CA"/>
        </w:rPr>
      </w:pPr>
      <w:r w:rsidRPr="008E1693">
        <w:rPr>
          <w:rFonts w:ascii="Calibri" w:hAnsi="Calibri"/>
          <w:bCs/>
          <w:sz w:val="20"/>
          <w:szCs w:val="20"/>
          <w:lang w:val="fr-CA"/>
        </w:rPr>
        <w:t>conflits entre agriculteurs et éleveurs réduits, passant de 15 à 20 conflits par an à 2 ou 3 conflits par an ;</w:t>
      </w:r>
    </w:p>
    <w:p w14:paraId="165F971F" w14:textId="77777777" w:rsidR="00302BFE" w:rsidRPr="008E1693" w:rsidRDefault="00302BFE" w:rsidP="00C46720">
      <w:pPr>
        <w:pStyle w:val="Paragraphedeliste"/>
        <w:numPr>
          <w:ilvl w:val="0"/>
          <w:numId w:val="41"/>
        </w:numPr>
        <w:spacing w:before="120" w:after="120"/>
        <w:ind w:left="284" w:hanging="147"/>
        <w:contextualSpacing/>
        <w:jc w:val="both"/>
        <w:rPr>
          <w:rFonts w:ascii="Calibri" w:hAnsi="Calibri"/>
          <w:bCs/>
          <w:sz w:val="20"/>
          <w:szCs w:val="20"/>
          <w:lang w:val="fr-CA"/>
        </w:rPr>
      </w:pPr>
      <w:r w:rsidRPr="008E1693">
        <w:rPr>
          <w:rFonts w:ascii="Calibri" w:hAnsi="Calibri"/>
          <w:bCs/>
          <w:sz w:val="20"/>
          <w:szCs w:val="20"/>
          <w:lang w:val="fr-CA"/>
        </w:rPr>
        <w:t>meilleure rentabilité de la pratique de l’embouche grâce à une plus grande disponibilité du fourrage, menant à une meilleure condition des animaux dont le prix de vente pour une vache augmente de 510 $US (300 000 FCFA) à environ 680 $US (400 000 FCFA).</w:t>
      </w:r>
    </w:p>
    <w:p w14:paraId="6C352B58" w14:textId="77777777" w:rsidR="00302BFE" w:rsidRPr="008E1693" w:rsidRDefault="00302BFE" w:rsidP="00302BFE">
      <w:pPr>
        <w:pStyle w:val="Paragraphedeliste"/>
        <w:tabs>
          <w:tab w:val="left" w:pos="284"/>
        </w:tabs>
        <w:spacing w:before="240" w:after="120"/>
        <w:ind w:left="0"/>
        <w:jc w:val="both"/>
        <w:rPr>
          <w:rFonts w:ascii="Calibri" w:eastAsia="Times New Roman" w:hAnsi="Calibri"/>
          <w:i/>
          <w:iCs/>
          <w:color w:val="2F5496"/>
          <w:sz w:val="20"/>
          <w:szCs w:val="20"/>
          <w:lang w:val="fr-CA"/>
        </w:rPr>
      </w:pPr>
      <w:bookmarkStart w:id="106" w:name="_Toc2166326"/>
      <w:bookmarkEnd w:id="98"/>
      <w:bookmarkEnd w:id="99"/>
      <w:bookmarkEnd w:id="100"/>
      <w:r w:rsidRPr="008E1693">
        <w:rPr>
          <w:rFonts w:ascii="Calibri" w:eastAsia="Times New Roman" w:hAnsi="Calibri"/>
          <w:i/>
          <w:iCs/>
          <w:color w:val="2F5496"/>
          <w:sz w:val="20"/>
          <w:szCs w:val="20"/>
          <w:lang w:val="fr-CA"/>
        </w:rPr>
        <w:t>Développement de filières forestières</w:t>
      </w:r>
      <w:bookmarkEnd w:id="106"/>
    </w:p>
    <w:p w14:paraId="4ECCB9D1" w14:textId="77777777" w:rsidR="00302BFE" w:rsidRPr="008E1693" w:rsidRDefault="00302BFE" w:rsidP="00302BFE">
      <w:pPr>
        <w:spacing w:before="120" w:after="120"/>
        <w:ind w:left="-5"/>
        <w:contextualSpacing/>
        <w:rPr>
          <w:szCs w:val="20"/>
          <w:lang w:val="fr-CA"/>
        </w:rPr>
      </w:pPr>
      <w:r w:rsidRPr="008E1693">
        <w:rPr>
          <w:szCs w:val="20"/>
          <w:lang w:val="fr-CA" w:eastAsia="fr-MC"/>
        </w:rPr>
        <w:t xml:space="preserve">L’exploitation des ressources forestières contribue à l’amélioration des conditions de vie des populations locales. </w:t>
      </w:r>
      <w:r w:rsidRPr="008E1693">
        <w:rPr>
          <w:szCs w:val="20"/>
          <w:lang w:val="fr-CA"/>
        </w:rPr>
        <w:t xml:space="preserve">Selon ZAHONOGO (2009) cité par Ouédraogo et al. (2016), le revenu global annuel moyen est de 222$US (130 411 FCFA) pour les ménages participant à l’exploitation des ressources forestières contre 210$US (123 316 FCFA) pour les autres types de ménage. La même étude faisait remarquer, sur la base d’un seuil de pauvreté rurale de 92$US (53 861 FCFA), que l’incidence de la pauvreté de 50% pour les ménages qui participent à l’exploitation forestière est moins prononcée que pour les autres ménages où l’incidence est estimée à 54%. </w:t>
      </w:r>
    </w:p>
    <w:p w14:paraId="1F0161AB" w14:textId="77777777" w:rsidR="00302BFE" w:rsidRPr="008E1693" w:rsidRDefault="00302BFE" w:rsidP="00302BFE">
      <w:pPr>
        <w:pStyle w:val="Paragraphedeliste"/>
        <w:tabs>
          <w:tab w:val="left" w:pos="284"/>
        </w:tabs>
        <w:spacing w:before="120" w:after="120"/>
        <w:ind w:left="0"/>
        <w:jc w:val="both"/>
        <w:rPr>
          <w:rFonts w:ascii="Calibri" w:hAnsi="Calibri"/>
          <w:sz w:val="20"/>
          <w:szCs w:val="20"/>
          <w:lang w:val="fr-CA"/>
        </w:rPr>
      </w:pPr>
      <w:r w:rsidRPr="008E1693">
        <w:rPr>
          <w:rFonts w:ascii="Calibri" w:hAnsi="Calibri"/>
          <w:sz w:val="20"/>
          <w:szCs w:val="20"/>
          <w:lang w:val="fr-CA"/>
        </w:rPr>
        <w:t>Dans l’aire paysagère du complexe de PONASI, le potentiel élevé en ressources forestières favorise le développement de filières porteuses basées sur les produits ligneux (bois combustible et charbon de bois) et non ligneux.</w:t>
      </w:r>
    </w:p>
    <w:p w14:paraId="130C8F53" w14:textId="77777777" w:rsidR="00302BFE" w:rsidRPr="008E1693" w:rsidRDefault="00302BFE" w:rsidP="00C46720">
      <w:pPr>
        <w:pStyle w:val="Paragraphedeliste"/>
        <w:numPr>
          <w:ilvl w:val="0"/>
          <w:numId w:val="42"/>
        </w:numPr>
        <w:spacing w:before="120" w:after="120"/>
        <w:contextualSpacing/>
        <w:jc w:val="both"/>
        <w:rPr>
          <w:rFonts w:ascii="Calibri" w:hAnsi="Calibri"/>
          <w:b/>
          <w:sz w:val="20"/>
          <w:szCs w:val="20"/>
        </w:rPr>
      </w:pPr>
      <w:r w:rsidRPr="008E1693">
        <w:rPr>
          <w:rFonts w:ascii="Calibri" w:hAnsi="Calibri"/>
          <w:b/>
          <w:sz w:val="20"/>
          <w:szCs w:val="20"/>
        </w:rPr>
        <w:t>Le bois-énergie</w:t>
      </w:r>
    </w:p>
    <w:p w14:paraId="63E33173" w14:textId="77777777" w:rsidR="00302BFE" w:rsidRPr="008E1693" w:rsidRDefault="00302BFE" w:rsidP="00302BFE">
      <w:pPr>
        <w:spacing w:before="120" w:after="120"/>
        <w:rPr>
          <w:szCs w:val="20"/>
          <w:lang w:val="fr-CA"/>
        </w:rPr>
      </w:pPr>
      <w:r w:rsidRPr="008E1693">
        <w:rPr>
          <w:szCs w:val="20"/>
          <w:lang w:val="fr-CA"/>
        </w:rPr>
        <w:t>La filière bois-énergie (bois de feu, charbon de bois) est développée dans certaines communes notamment celles disposant de chantier d’aménagement (Nobéré, Doulougou, Toécé, Bieha). Le circuit le plus organisé est celui des chantiers d’aménagement forestier (CAF). À sa mise en place, cette filière contribuait considérablement aux revenus des acteurs impliqués. Cependant, l’exemple du CAF Nakambé montre que les revenus sont en baisse depuis 2011, reflétant une baisse de la production attribuable à une mauvaise gestion des CAF. Le CAF Nakambé est composé de deux massifs forestiers qui couvrent une superficie de 21 424 ha, Nakambé et Nazinon Nord, dans la région du Centre-Sud, à cheval entre les provinces du Zoundwéogo et du Bazèga. Il. L’amélioration de la gestion des CAF permettra leur restauration ce qui rétablirait ou augmenterait les bénéfices au profit des acteurs.</w:t>
      </w:r>
    </w:p>
    <w:p w14:paraId="1DED01DD" w14:textId="716E6199" w:rsidR="00302BFE" w:rsidRPr="0075595E" w:rsidRDefault="00302BFE" w:rsidP="00302BFE">
      <w:pPr>
        <w:spacing w:after="0"/>
        <w:rPr>
          <w:sz w:val="16"/>
          <w:szCs w:val="16"/>
          <w:lang w:val="fr-CA"/>
        </w:rPr>
      </w:pPr>
      <w:bookmarkStart w:id="107" w:name="_Toc2166345"/>
      <w:r w:rsidRPr="008E1693">
        <w:rPr>
          <w:rFonts w:eastAsia="Times New Roman"/>
          <w:b/>
          <w:szCs w:val="20"/>
          <w:lang w:val="fr-CA"/>
        </w:rPr>
        <w:t xml:space="preserve">Figure </w:t>
      </w:r>
      <w:r w:rsidRPr="00091F0E">
        <w:rPr>
          <w:rFonts w:eastAsia="Times New Roman"/>
          <w:b/>
          <w:szCs w:val="20"/>
        </w:rPr>
        <w:fldChar w:fldCharType="begin"/>
      </w:r>
      <w:r w:rsidRPr="00091F0E">
        <w:rPr>
          <w:rFonts w:eastAsia="Times New Roman"/>
          <w:b/>
          <w:szCs w:val="20"/>
          <w:lang w:val="fr-CA"/>
        </w:rPr>
        <w:instrText xml:space="preserve"> SEQ Figure \* ARABIC </w:instrText>
      </w:r>
      <w:r w:rsidRPr="00091F0E">
        <w:rPr>
          <w:rFonts w:eastAsia="Times New Roman"/>
          <w:b/>
          <w:szCs w:val="20"/>
        </w:rPr>
        <w:fldChar w:fldCharType="separate"/>
      </w:r>
      <w:r w:rsidR="00EB5F3C">
        <w:rPr>
          <w:rFonts w:eastAsia="Times New Roman"/>
          <w:b/>
          <w:noProof/>
          <w:szCs w:val="20"/>
          <w:lang w:val="fr-CA"/>
        </w:rPr>
        <w:t>1</w:t>
      </w:r>
      <w:r w:rsidRPr="00091F0E">
        <w:rPr>
          <w:rFonts w:eastAsia="Times New Roman"/>
          <w:b/>
          <w:szCs w:val="20"/>
        </w:rPr>
        <w:fldChar w:fldCharType="end"/>
      </w:r>
      <w:r w:rsidRPr="008E1693">
        <w:rPr>
          <w:rFonts w:eastAsia="Times New Roman"/>
          <w:b/>
          <w:szCs w:val="20"/>
          <w:lang w:val="fr-CA"/>
        </w:rPr>
        <w:t xml:space="preserve"> : Évolution des recettes du CAF Nakambé entre 2010 et 2015</w:t>
      </w:r>
      <w:bookmarkEnd w:id="107"/>
      <w:r w:rsidRPr="008E1693">
        <w:rPr>
          <w:rFonts w:eastAsia="Times New Roman"/>
          <w:b/>
          <w:szCs w:val="20"/>
          <w:lang w:val="fr-CA"/>
        </w:rPr>
        <w:t xml:space="preserve"> </w:t>
      </w:r>
      <w:r>
        <w:rPr>
          <w:rFonts w:eastAsia="Times New Roman"/>
          <w:b/>
          <w:szCs w:val="20"/>
          <w:lang w:val="fr-CA"/>
        </w:rPr>
        <w:t>(</w:t>
      </w:r>
      <w:r w:rsidRPr="0075595E">
        <w:rPr>
          <w:color w:val="595959"/>
          <w:sz w:val="18"/>
          <w:szCs w:val="18"/>
          <w:lang w:val="fr-CA"/>
        </w:rPr>
        <w:t xml:space="preserve">Montant des recettes </w:t>
      </w:r>
      <w:r>
        <w:rPr>
          <w:color w:val="595959"/>
          <w:sz w:val="18"/>
          <w:szCs w:val="18"/>
          <w:lang w:val="fr-CA"/>
        </w:rPr>
        <w:t xml:space="preserve">en </w:t>
      </w:r>
      <w:r w:rsidRPr="0075595E">
        <w:rPr>
          <w:color w:val="595959"/>
          <w:sz w:val="18"/>
          <w:szCs w:val="18"/>
          <w:lang w:val="fr-CA"/>
        </w:rPr>
        <w:t>millions FCFA)</w:t>
      </w:r>
      <w:r>
        <w:rPr>
          <w:color w:val="595959"/>
          <w:sz w:val="18"/>
          <w:szCs w:val="18"/>
          <w:lang w:val="fr-CA"/>
        </w:rPr>
        <w:t xml:space="preserve"> </w:t>
      </w:r>
    </w:p>
    <w:p w14:paraId="286D4325" w14:textId="77777777" w:rsidR="00302BFE" w:rsidRDefault="00302BFE" w:rsidP="00302BFE">
      <w:pPr>
        <w:spacing w:before="120" w:after="120"/>
        <w:contextualSpacing/>
        <w:rPr>
          <w:rFonts w:eastAsia="Times New Roman"/>
          <w:b/>
          <w:szCs w:val="20"/>
        </w:rPr>
      </w:pPr>
      <w:r>
        <w:rPr>
          <w:noProof/>
        </w:rPr>
        <w:lastRenderedPageBreak/>
        <mc:AlternateContent>
          <mc:Choice Requires="wpg">
            <w:drawing>
              <wp:inline distT="0" distB="0" distL="0" distR="0" wp14:anchorId="5AAF24AF" wp14:editId="0C1F3FD8">
                <wp:extent cx="5450840" cy="2373630"/>
                <wp:effectExtent l="0" t="0" r="0" b="0"/>
                <wp:docPr id="15" name="Groupe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0840" cy="2373630"/>
                          <a:chOff x="0" y="-392667"/>
                          <a:chExt cx="4433316" cy="2595745"/>
                        </a:xfrm>
                      </wpg:grpSpPr>
                      <wps:wsp>
                        <wps:cNvPr id="16" name="Rectangle 13068"/>
                        <wps:cNvSpPr>
                          <a:spLocks noChangeArrowheads="1"/>
                        </wps:cNvSpPr>
                        <wps:spPr bwMode="auto">
                          <a:xfrm>
                            <a:off x="4382643" y="1978698"/>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5BBA6" w14:textId="77777777" w:rsidR="00ED1ADA" w:rsidRDefault="00ED1ADA" w:rsidP="00302BFE">
                              <w:r>
                                <w:t xml:space="preserve"> </w:t>
                              </w:r>
                            </w:p>
                          </w:txbxContent>
                        </wps:txbx>
                        <wps:bodyPr rot="0" vert="horz" wrap="square" lIns="0" tIns="0" rIns="0" bIns="0" anchor="t" anchorCtr="0" upright="1">
                          <a:noAutofit/>
                        </wps:bodyPr>
                      </wps:wsp>
                      <wps:wsp>
                        <wps:cNvPr id="17" name="Shape 13098"/>
                        <wps:cNvSpPr>
                          <a:spLocks/>
                        </wps:cNvSpPr>
                        <wps:spPr bwMode="auto">
                          <a:xfrm>
                            <a:off x="670814" y="1353376"/>
                            <a:ext cx="3549396" cy="0"/>
                          </a:xfrm>
                          <a:custGeom>
                            <a:avLst/>
                            <a:gdLst>
                              <a:gd name="T0" fmla="*/ 0 w 3549396"/>
                              <a:gd name="T1" fmla="*/ 3549396 w 3549396"/>
                              <a:gd name="T2" fmla="*/ 0 w 3549396"/>
                              <a:gd name="T3" fmla="*/ 3549396 w 3549396"/>
                            </a:gdLst>
                            <a:ahLst/>
                            <a:cxnLst>
                              <a:cxn ang="0">
                                <a:pos x="T0" y="0"/>
                              </a:cxn>
                              <a:cxn ang="0">
                                <a:pos x="T1" y="0"/>
                              </a:cxn>
                            </a:cxnLst>
                            <a:rect l="T2" t="0" r="T3" b="0"/>
                            <a:pathLst>
                              <a:path w="3549396">
                                <a:moveTo>
                                  <a:pt x="0" y="0"/>
                                </a:moveTo>
                                <a:lnTo>
                                  <a:pt x="3549396" y="0"/>
                                </a:lnTo>
                              </a:path>
                            </a:pathLst>
                          </a:custGeom>
                          <a:noFill/>
                          <a:ln w="3048"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Shape 13099"/>
                        <wps:cNvSpPr>
                          <a:spLocks/>
                        </wps:cNvSpPr>
                        <wps:spPr bwMode="auto">
                          <a:xfrm>
                            <a:off x="670814" y="1152207"/>
                            <a:ext cx="3549396" cy="0"/>
                          </a:xfrm>
                          <a:custGeom>
                            <a:avLst/>
                            <a:gdLst>
                              <a:gd name="T0" fmla="*/ 0 w 3549396"/>
                              <a:gd name="T1" fmla="*/ 3549396 w 3549396"/>
                              <a:gd name="T2" fmla="*/ 0 w 3549396"/>
                              <a:gd name="T3" fmla="*/ 3549396 w 3549396"/>
                            </a:gdLst>
                            <a:ahLst/>
                            <a:cxnLst>
                              <a:cxn ang="0">
                                <a:pos x="T0" y="0"/>
                              </a:cxn>
                              <a:cxn ang="0">
                                <a:pos x="T1" y="0"/>
                              </a:cxn>
                            </a:cxnLst>
                            <a:rect l="T2" t="0" r="T3" b="0"/>
                            <a:pathLst>
                              <a:path w="3549396">
                                <a:moveTo>
                                  <a:pt x="0" y="0"/>
                                </a:moveTo>
                                <a:lnTo>
                                  <a:pt x="3549396" y="0"/>
                                </a:lnTo>
                              </a:path>
                            </a:pathLst>
                          </a:custGeom>
                          <a:noFill/>
                          <a:ln w="3048"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Shape 13100"/>
                        <wps:cNvSpPr>
                          <a:spLocks/>
                        </wps:cNvSpPr>
                        <wps:spPr bwMode="auto">
                          <a:xfrm>
                            <a:off x="670814" y="949516"/>
                            <a:ext cx="3549396" cy="0"/>
                          </a:xfrm>
                          <a:custGeom>
                            <a:avLst/>
                            <a:gdLst>
                              <a:gd name="T0" fmla="*/ 0 w 3549396"/>
                              <a:gd name="T1" fmla="*/ 3549396 w 3549396"/>
                              <a:gd name="T2" fmla="*/ 0 w 3549396"/>
                              <a:gd name="T3" fmla="*/ 3549396 w 3549396"/>
                            </a:gdLst>
                            <a:ahLst/>
                            <a:cxnLst>
                              <a:cxn ang="0">
                                <a:pos x="T0" y="0"/>
                              </a:cxn>
                              <a:cxn ang="0">
                                <a:pos x="T1" y="0"/>
                              </a:cxn>
                            </a:cxnLst>
                            <a:rect l="T2" t="0" r="T3" b="0"/>
                            <a:pathLst>
                              <a:path w="3549396">
                                <a:moveTo>
                                  <a:pt x="0" y="0"/>
                                </a:moveTo>
                                <a:lnTo>
                                  <a:pt x="3549396" y="0"/>
                                </a:lnTo>
                              </a:path>
                            </a:pathLst>
                          </a:custGeom>
                          <a:noFill/>
                          <a:ln w="3048"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Shape 13101"/>
                        <wps:cNvSpPr>
                          <a:spLocks/>
                        </wps:cNvSpPr>
                        <wps:spPr bwMode="auto">
                          <a:xfrm>
                            <a:off x="670814" y="746823"/>
                            <a:ext cx="3549396" cy="0"/>
                          </a:xfrm>
                          <a:custGeom>
                            <a:avLst/>
                            <a:gdLst>
                              <a:gd name="T0" fmla="*/ 0 w 3549396"/>
                              <a:gd name="T1" fmla="*/ 3549396 w 3549396"/>
                              <a:gd name="T2" fmla="*/ 0 w 3549396"/>
                              <a:gd name="T3" fmla="*/ 3549396 w 3549396"/>
                            </a:gdLst>
                            <a:ahLst/>
                            <a:cxnLst>
                              <a:cxn ang="0">
                                <a:pos x="T0" y="0"/>
                              </a:cxn>
                              <a:cxn ang="0">
                                <a:pos x="T1" y="0"/>
                              </a:cxn>
                            </a:cxnLst>
                            <a:rect l="T2" t="0" r="T3" b="0"/>
                            <a:pathLst>
                              <a:path w="3549396">
                                <a:moveTo>
                                  <a:pt x="0" y="0"/>
                                </a:moveTo>
                                <a:lnTo>
                                  <a:pt x="3549396" y="0"/>
                                </a:lnTo>
                              </a:path>
                            </a:pathLst>
                          </a:custGeom>
                          <a:noFill/>
                          <a:ln w="3048"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Shape 13102"/>
                        <wps:cNvSpPr>
                          <a:spLocks/>
                        </wps:cNvSpPr>
                        <wps:spPr bwMode="auto">
                          <a:xfrm>
                            <a:off x="670814" y="544132"/>
                            <a:ext cx="3549396" cy="0"/>
                          </a:xfrm>
                          <a:custGeom>
                            <a:avLst/>
                            <a:gdLst>
                              <a:gd name="T0" fmla="*/ 0 w 3549396"/>
                              <a:gd name="T1" fmla="*/ 3549396 w 3549396"/>
                              <a:gd name="T2" fmla="*/ 0 w 3549396"/>
                              <a:gd name="T3" fmla="*/ 3549396 w 3549396"/>
                            </a:gdLst>
                            <a:ahLst/>
                            <a:cxnLst>
                              <a:cxn ang="0">
                                <a:pos x="T0" y="0"/>
                              </a:cxn>
                              <a:cxn ang="0">
                                <a:pos x="T1" y="0"/>
                              </a:cxn>
                            </a:cxnLst>
                            <a:rect l="T2" t="0" r="T3" b="0"/>
                            <a:pathLst>
                              <a:path w="3549396">
                                <a:moveTo>
                                  <a:pt x="0" y="0"/>
                                </a:moveTo>
                                <a:lnTo>
                                  <a:pt x="3549396" y="0"/>
                                </a:lnTo>
                              </a:path>
                            </a:pathLst>
                          </a:custGeom>
                          <a:noFill/>
                          <a:ln w="3048"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Shape 13103"/>
                        <wps:cNvSpPr>
                          <a:spLocks/>
                        </wps:cNvSpPr>
                        <wps:spPr bwMode="auto">
                          <a:xfrm>
                            <a:off x="670814" y="341440"/>
                            <a:ext cx="3549396" cy="0"/>
                          </a:xfrm>
                          <a:custGeom>
                            <a:avLst/>
                            <a:gdLst>
                              <a:gd name="T0" fmla="*/ 0 w 3549396"/>
                              <a:gd name="T1" fmla="*/ 3549396 w 3549396"/>
                              <a:gd name="T2" fmla="*/ 0 w 3549396"/>
                              <a:gd name="T3" fmla="*/ 3549396 w 3549396"/>
                            </a:gdLst>
                            <a:ahLst/>
                            <a:cxnLst>
                              <a:cxn ang="0">
                                <a:pos x="T0" y="0"/>
                              </a:cxn>
                              <a:cxn ang="0">
                                <a:pos x="T1" y="0"/>
                              </a:cxn>
                            </a:cxnLst>
                            <a:rect l="T2" t="0" r="T3" b="0"/>
                            <a:pathLst>
                              <a:path w="3549396">
                                <a:moveTo>
                                  <a:pt x="0" y="0"/>
                                </a:moveTo>
                                <a:lnTo>
                                  <a:pt x="3549396" y="0"/>
                                </a:lnTo>
                              </a:path>
                            </a:pathLst>
                          </a:custGeom>
                          <a:noFill/>
                          <a:ln w="3048"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Shape 13104"/>
                        <wps:cNvSpPr>
                          <a:spLocks/>
                        </wps:cNvSpPr>
                        <wps:spPr bwMode="auto">
                          <a:xfrm>
                            <a:off x="670814" y="138747"/>
                            <a:ext cx="3549396" cy="0"/>
                          </a:xfrm>
                          <a:custGeom>
                            <a:avLst/>
                            <a:gdLst>
                              <a:gd name="T0" fmla="*/ 0 w 3549396"/>
                              <a:gd name="T1" fmla="*/ 3549396 w 3549396"/>
                              <a:gd name="T2" fmla="*/ 0 w 3549396"/>
                              <a:gd name="T3" fmla="*/ 3549396 w 3549396"/>
                            </a:gdLst>
                            <a:ahLst/>
                            <a:cxnLst>
                              <a:cxn ang="0">
                                <a:pos x="T0" y="0"/>
                              </a:cxn>
                              <a:cxn ang="0">
                                <a:pos x="T1" y="0"/>
                              </a:cxn>
                            </a:cxnLst>
                            <a:rect l="T2" t="0" r="T3" b="0"/>
                            <a:pathLst>
                              <a:path w="3549396">
                                <a:moveTo>
                                  <a:pt x="0" y="0"/>
                                </a:moveTo>
                                <a:lnTo>
                                  <a:pt x="3549396" y="0"/>
                                </a:lnTo>
                              </a:path>
                            </a:pathLst>
                          </a:custGeom>
                          <a:noFill/>
                          <a:ln w="3048"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Shape 13105"/>
                        <wps:cNvSpPr>
                          <a:spLocks/>
                        </wps:cNvSpPr>
                        <wps:spPr bwMode="auto">
                          <a:xfrm>
                            <a:off x="670814" y="138747"/>
                            <a:ext cx="3549396" cy="1417320"/>
                          </a:xfrm>
                          <a:custGeom>
                            <a:avLst/>
                            <a:gdLst>
                              <a:gd name="T0" fmla="*/ 0 w 3549396"/>
                              <a:gd name="T1" fmla="*/ 1417320 h 1417320"/>
                              <a:gd name="T2" fmla="*/ 3549396 w 3549396"/>
                              <a:gd name="T3" fmla="*/ 1417320 h 1417320"/>
                              <a:gd name="T4" fmla="*/ 3549396 w 3549396"/>
                              <a:gd name="T5" fmla="*/ 0 h 1417320"/>
                              <a:gd name="T6" fmla="*/ 0 w 3549396"/>
                              <a:gd name="T7" fmla="*/ 0 h 1417320"/>
                              <a:gd name="T8" fmla="*/ 0 w 3549396"/>
                              <a:gd name="T9" fmla="*/ 1417320 h 1417320"/>
                              <a:gd name="T10" fmla="*/ 0 w 3549396"/>
                              <a:gd name="T11" fmla="*/ 0 h 1417320"/>
                              <a:gd name="T12" fmla="*/ 3549396 w 3549396"/>
                              <a:gd name="T13" fmla="*/ 1417320 h 1417320"/>
                            </a:gdLst>
                            <a:ahLst/>
                            <a:cxnLst>
                              <a:cxn ang="0">
                                <a:pos x="T0" y="T1"/>
                              </a:cxn>
                              <a:cxn ang="0">
                                <a:pos x="T2" y="T3"/>
                              </a:cxn>
                              <a:cxn ang="0">
                                <a:pos x="T4" y="T5"/>
                              </a:cxn>
                              <a:cxn ang="0">
                                <a:pos x="T6" y="T7"/>
                              </a:cxn>
                              <a:cxn ang="0">
                                <a:pos x="T8" y="T9"/>
                              </a:cxn>
                            </a:cxnLst>
                            <a:rect l="T10" t="T11" r="T12" b="T13"/>
                            <a:pathLst>
                              <a:path w="3549396" h="1417320">
                                <a:moveTo>
                                  <a:pt x="0" y="1417320"/>
                                </a:moveTo>
                                <a:lnTo>
                                  <a:pt x="3549396" y="1417320"/>
                                </a:lnTo>
                                <a:lnTo>
                                  <a:pt x="3549396" y="0"/>
                                </a:lnTo>
                                <a:lnTo>
                                  <a:pt x="0" y="0"/>
                                </a:lnTo>
                                <a:lnTo>
                                  <a:pt x="0" y="1417320"/>
                                </a:lnTo>
                                <a:close/>
                              </a:path>
                            </a:pathLst>
                          </a:custGeom>
                          <a:noFill/>
                          <a:ln w="3048"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 name="Picture 17806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869442" y="275908"/>
                            <a:ext cx="3148584" cy="1283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7806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869442" y="275908"/>
                            <a:ext cx="3148584" cy="1283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17806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869442" y="275908"/>
                            <a:ext cx="3148584" cy="1283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7806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869442" y="275908"/>
                            <a:ext cx="3148584" cy="1283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17806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869442" y="275908"/>
                            <a:ext cx="3148584" cy="1283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7807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869442" y="275908"/>
                            <a:ext cx="3148584" cy="1283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Shape 13112"/>
                        <wps:cNvSpPr>
                          <a:spLocks/>
                        </wps:cNvSpPr>
                        <wps:spPr bwMode="auto">
                          <a:xfrm>
                            <a:off x="873506" y="278956"/>
                            <a:ext cx="185928" cy="1277620"/>
                          </a:xfrm>
                          <a:custGeom>
                            <a:avLst/>
                            <a:gdLst>
                              <a:gd name="T0" fmla="*/ 0 w 185928"/>
                              <a:gd name="T1" fmla="*/ 0 h 1277620"/>
                              <a:gd name="T2" fmla="*/ 185928 w 185928"/>
                              <a:gd name="T3" fmla="*/ 0 h 1277620"/>
                              <a:gd name="T4" fmla="*/ 185928 w 185928"/>
                              <a:gd name="T5" fmla="*/ 1277620 h 1277620"/>
                              <a:gd name="T6" fmla="*/ 0 w 185928"/>
                              <a:gd name="T7" fmla="*/ 1277620 h 1277620"/>
                              <a:gd name="T8" fmla="*/ 0 w 185928"/>
                              <a:gd name="T9" fmla="*/ 0 h 1277620"/>
                              <a:gd name="T10" fmla="*/ 0 w 185928"/>
                              <a:gd name="T11" fmla="*/ 0 h 1277620"/>
                              <a:gd name="T12" fmla="*/ 185928 w 185928"/>
                              <a:gd name="T13" fmla="*/ 1277620 h 1277620"/>
                            </a:gdLst>
                            <a:ahLst/>
                            <a:cxnLst>
                              <a:cxn ang="0">
                                <a:pos x="T0" y="T1"/>
                              </a:cxn>
                              <a:cxn ang="0">
                                <a:pos x="T2" y="T3"/>
                              </a:cxn>
                              <a:cxn ang="0">
                                <a:pos x="T4" y="T5"/>
                              </a:cxn>
                              <a:cxn ang="0">
                                <a:pos x="T6" y="T7"/>
                              </a:cxn>
                              <a:cxn ang="0">
                                <a:pos x="T8" y="T9"/>
                              </a:cxn>
                            </a:cxnLst>
                            <a:rect l="T10" t="T11" r="T12" b="T13"/>
                            <a:pathLst>
                              <a:path w="185928" h="1277620">
                                <a:moveTo>
                                  <a:pt x="0" y="0"/>
                                </a:moveTo>
                                <a:lnTo>
                                  <a:pt x="185928" y="0"/>
                                </a:lnTo>
                                <a:lnTo>
                                  <a:pt x="185928" y="1277620"/>
                                </a:lnTo>
                                <a:lnTo>
                                  <a:pt x="0" y="1277620"/>
                                </a:lnTo>
                                <a:lnTo>
                                  <a:pt x="0" y="0"/>
                                </a:ln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Shape 13113"/>
                        <wps:cNvSpPr>
                          <a:spLocks/>
                        </wps:cNvSpPr>
                        <wps:spPr bwMode="auto">
                          <a:xfrm>
                            <a:off x="1464818" y="527368"/>
                            <a:ext cx="185928" cy="1029208"/>
                          </a:xfrm>
                          <a:custGeom>
                            <a:avLst/>
                            <a:gdLst>
                              <a:gd name="T0" fmla="*/ 0 w 185928"/>
                              <a:gd name="T1" fmla="*/ 0 h 1029208"/>
                              <a:gd name="T2" fmla="*/ 185928 w 185928"/>
                              <a:gd name="T3" fmla="*/ 0 h 1029208"/>
                              <a:gd name="T4" fmla="*/ 185928 w 185928"/>
                              <a:gd name="T5" fmla="*/ 1029208 h 1029208"/>
                              <a:gd name="T6" fmla="*/ 0 w 185928"/>
                              <a:gd name="T7" fmla="*/ 1029208 h 1029208"/>
                              <a:gd name="T8" fmla="*/ 0 w 185928"/>
                              <a:gd name="T9" fmla="*/ 0 h 1029208"/>
                              <a:gd name="T10" fmla="*/ 0 w 185928"/>
                              <a:gd name="T11" fmla="*/ 0 h 1029208"/>
                              <a:gd name="T12" fmla="*/ 185928 w 185928"/>
                              <a:gd name="T13" fmla="*/ 1029208 h 1029208"/>
                            </a:gdLst>
                            <a:ahLst/>
                            <a:cxnLst>
                              <a:cxn ang="0">
                                <a:pos x="T0" y="T1"/>
                              </a:cxn>
                              <a:cxn ang="0">
                                <a:pos x="T2" y="T3"/>
                              </a:cxn>
                              <a:cxn ang="0">
                                <a:pos x="T4" y="T5"/>
                              </a:cxn>
                              <a:cxn ang="0">
                                <a:pos x="T6" y="T7"/>
                              </a:cxn>
                              <a:cxn ang="0">
                                <a:pos x="T8" y="T9"/>
                              </a:cxn>
                            </a:cxnLst>
                            <a:rect l="T10" t="T11" r="T12" b="T13"/>
                            <a:pathLst>
                              <a:path w="185928" h="1029208">
                                <a:moveTo>
                                  <a:pt x="0" y="0"/>
                                </a:moveTo>
                                <a:lnTo>
                                  <a:pt x="185928" y="0"/>
                                </a:lnTo>
                                <a:lnTo>
                                  <a:pt x="185928" y="1029208"/>
                                </a:lnTo>
                                <a:lnTo>
                                  <a:pt x="0" y="1029208"/>
                                </a:lnTo>
                                <a:lnTo>
                                  <a:pt x="0" y="0"/>
                                </a:ln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Shape 13114"/>
                        <wps:cNvSpPr>
                          <a:spLocks/>
                        </wps:cNvSpPr>
                        <wps:spPr bwMode="auto">
                          <a:xfrm>
                            <a:off x="2057654" y="679768"/>
                            <a:ext cx="184404" cy="876808"/>
                          </a:xfrm>
                          <a:custGeom>
                            <a:avLst/>
                            <a:gdLst>
                              <a:gd name="T0" fmla="*/ 0 w 184404"/>
                              <a:gd name="T1" fmla="*/ 0 h 876808"/>
                              <a:gd name="T2" fmla="*/ 184404 w 184404"/>
                              <a:gd name="T3" fmla="*/ 0 h 876808"/>
                              <a:gd name="T4" fmla="*/ 184404 w 184404"/>
                              <a:gd name="T5" fmla="*/ 876808 h 876808"/>
                              <a:gd name="T6" fmla="*/ 0 w 184404"/>
                              <a:gd name="T7" fmla="*/ 876808 h 876808"/>
                              <a:gd name="T8" fmla="*/ 0 w 184404"/>
                              <a:gd name="T9" fmla="*/ 0 h 876808"/>
                              <a:gd name="T10" fmla="*/ 0 w 184404"/>
                              <a:gd name="T11" fmla="*/ 0 h 876808"/>
                              <a:gd name="T12" fmla="*/ 184404 w 184404"/>
                              <a:gd name="T13" fmla="*/ 876808 h 876808"/>
                            </a:gdLst>
                            <a:ahLst/>
                            <a:cxnLst>
                              <a:cxn ang="0">
                                <a:pos x="T0" y="T1"/>
                              </a:cxn>
                              <a:cxn ang="0">
                                <a:pos x="T2" y="T3"/>
                              </a:cxn>
                              <a:cxn ang="0">
                                <a:pos x="T4" y="T5"/>
                              </a:cxn>
                              <a:cxn ang="0">
                                <a:pos x="T6" y="T7"/>
                              </a:cxn>
                              <a:cxn ang="0">
                                <a:pos x="T8" y="T9"/>
                              </a:cxn>
                            </a:cxnLst>
                            <a:rect l="T10" t="T11" r="T12" b="T13"/>
                            <a:pathLst>
                              <a:path w="184404" h="876808">
                                <a:moveTo>
                                  <a:pt x="0" y="0"/>
                                </a:moveTo>
                                <a:lnTo>
                                  <a:pt x="184404" y="0"/>
                                </a:lnTo>
                                <a:lnTo>
                                  <a:pt x="184404" y="876808"/>
                                </a:lnTo>
                                <a:lnTo>
                                  <a:pt x="0" y="876808"/>
                                </a:lnTo>
                                <a:lnTo>
                                  <a:pt x="0" y="0"/>
                                </a:ln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Shape 13115"/>
                        <wps:cNvSpPr>
                          <a:spLocks/>
                        </wps:cNvSpPr>
                        <wps:spPr bwMode="auto">
                          <a:xfrm>
                            <a:off x="2648966" y="791020"/>
                            <a:ext cx="184404" cy="765556"/>
                          </a:xfrm>
                          <a:custGeom>
                            <a:avLst/>
                            <a:gdLst>
                              <a:gd name="T0" fmla="*/ 0 w 184404"/>
                              <a:gd name="T1" fmla="*/ 0 h 765556"/>
                              <a:gd name="T2" fmla="*/ 184404 w 184404"/>
                              <a:gd name="T3" fmla="*/ 0 h 765556"/>
                              <a:gd name="T4" fmla="*/ 184404 w 184404"/>
                              <a:gd name="T5" fmla="*/ 765556 h 765556"/>
                              <a:gd name="T6" fmla="*/ 0 w 184404"/>
                              <a:gd name="T7" fmla="*/ 765556 h 765556"/>
                              <a:gd name="T8" fmla="*/ 0 w 184404"/>
                              <a:gd name="T9" fmla="*/ 0 h 765556"/>
                              <a:gd name="T10" fmla="*/ 0 w 184404"/>
                              <a:gd name="T11" fmla="*/ 0 h 765556"/>
                              <a:gd name="T12" fmla="*/ 184404 w 184404"/>
                              <a:gd name="T13" fmla="*/ 765556 h 765556"/>
                            </a:gdLst>
                            <a:ahLst/>
                            <a:cxnLst>
                              <a:cxn ang="0">
                                <a:pos x="T0" y="T1"/>
                              </a:cxn>
                              <a:cxn ang="0">
                                <a:pos x="T2" y="T3"/>
                              </a:cxn>
                              <a:cxn ang="0">
                                <a:pos x="T4" y="T5"/>
                              </a:cxn>
                              <a:cxn ang="0">
                                <a:pos x="T6" y="T7"/>
                              </a:cxn>
                              <a:cxn ang="0">
                                <a:pos x="T8" y="T9"/>
                              </a:cxn>
                            </a:cxnLst>
                            <a:rect l="T10" t="T11" r="T12" b="T13"/>
                            <a:pathLst>
                              <a:path w="184404" h="765556">
                                <a:moveTo>
                                  <a:pt x="0" y="0"/>
                                </a:moveTo>
                                <a:lnTo>
                                  <a:pt x="184404" y="0"/>
                                </a:lnTo>
                                <a:lnTo>
                                  <a:pt x="184404" y="765556"/>
                                </a:lnTo>
                                <a:lnTo>
                                  <a:pt x="0" y="765556"/>
                                </a:lnTo>
                                <a:lnTo>
                                  <a:pt x="0" y="0"/>
                                </a:ln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Shape 13116"/>
                        <wps:cNvSpPr>
                          <a:spLocks/>
                        </wps:cNvSpPr>
                        <wps:spPr bwMode="auto">
                          <a:xfrm>
                            <a:off x="3240278" y="804735"/>
                            <a:ext cx="184404" cy="751840"/>
                          </a:xfrm>
                          <a:custGeom>
                            <a:avLst/>
                            <a:gdLst>
                              <a:gd name="T0" fmla="*/ 0 w 184404"/>
                              <a:gd name="T1" fmla="*/ 0 h 751840"/>
                              <a:gd name="T2" fmla="*/ 184404 w 184404"/>
                              <a:gd name="T3" fmla="*/ 0 h 751840"/>
                              <a:gd name="T4" fmla="*/ 184404 w 184404"/>
                              <a:gd name="T5" fmla="*/ 751840 h 751840"/>
                              <a:gd name="T6" fmla="*/ 0 w 184404"/>
                              <a:gd name="T7" fmla="*/ 751840 h 751840"/>
                              <a:gd name="T8" fmla="*/ 0 w 184404"/>
                              <a:gd name="T9" fmla="*/ 0 h 751840"/>
                              <a:gd name="T10" fmla="*/ 0 w 184404"/>
                              <a:gd name="T11" fmla="*/ 0 h 751840"/>
                              <a:gd name="T12" fmla="*/ 184404 w 184404"/>
                              <a:gd name="T13" fmla="*/ 751840 h 751840"/>
                            </a:gdLst>
                            <a:ahLst/>
                            <a:cxnLst>
                              <a:cxn ang="0">
                                <a:pos x="T0" y="T1"/>
                              </a:cxn>
                              <a:cxn ang="0">
                                <a:pos x="T2" y="T3"/>
                              </a:cxn>
                              <a:cxn ang="0">
                                <a:pos x="T4" y="T5"/>
                              </a:cxn>
                              <a:cxn ang="0">
                                <a:pos x="T6" y="T7"/>
                              </a:cxn>
                              <a:cxn ang="0">
                                <a:pos x="T8" y="T9"/>
                              </a:cxn>
                            </a:cxnLst>
                            <a:rect l="T10" t="T11" r="T12" b="T13"/>
                            <a:pathLst>
                              <a:path w="184404" h="751840">
                                <a:moveTo>
                                  <a:pt x="0" y="0"/>
                                </a:moveTo>
                                <a:lnTo>
                                  <a:pt x="184404" y="0"/>
                                </a:lnTo>
                                <a:lnTo>
                                  <a:pt x="184404" y="751840"/>
                                </a:lnTo>
                                <a:lnTo>
                                  <a:pt x="0" y="751840"/>
                                </a:lnTo>
                                <a:lnTo>
                                  <a:pt x="0" y="0"/>
                                </a:ln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Shape 13117"/>
                        <wps:cNvSpPr>
                          <a:spLocks/>
                        </wps:cNvSpPr>
                        <wps:spPr bwMode="auto">
                          <a:xfrm>
                            <a:off x="3831590" y="807783"/>
                            <a:ext cx="184404" cy="748792"/>
                          </a:xfrm>
                          <a:custGeom>
                            <a:avLst/>
                            <a:gdLst>
                              <a:gd name="T0" fmla="*/ 0 w 184404"/>
                              <a:gd name="T1" fmla="*/ 0 h 748792"/>
                              <a:gd name="T2" fmla="*/ 184404 w 184404"/>
                              <a:gd name="T3" fmla="*/ 0 h 748792"/>
                              <a:gd name="T4" fmla="*/ 184404 w 184404"/>
                              <a:gd name="T5" fmla="*/ 748792 h 748792"/>
                              <a:gd name="T6" fmla="*/ 0 w 184404"/>
                              <a:gd name="T7" fmla="*/ 748792 h 748792"/>
                              <a:gd name="T8" fmla="*/ 0 w 184404"/>
                              <a:gd name="T9" fmla="*/ 0 h 748792"/>
                              <a:gd name="T10" fmla="*/ 0 w 184404"/>
                              <a:gd name="T11" fmla="*/ 0 h 748792"/>
                              <a:gd name="T12" fmla="*/ 184404 w 184404"/>
                              <a:gd name="T13" fmla="*/ 748792 h 748792"/>
                            </a:gdLst>
                            <a:ahLst/>
                            <a:cxnLst>
                              <a:cxn ang="0">
                                <a:pos x="T0" y="T1"/>
                              </a:cxn>
                              <a:cxn ang="0">
                                <a:pos x="T2" y="T3"/>
                              </a:cxn>
                              <a:cxn ang="0">
                                <a:pos x="T4" y="T5"/>
                              </a:cxn>
                              <a:cxn ang="0">
                                <a:pos x="T6" y="T7"/>
                              </a:cxn>
                              <a:cxn ang="0">
                                <a:pos x="T8" y="T9"/>
                              </a:cxn>
                            </a:cxnLst>
                            <a:rect l="T10" t="T11" r="T12" b="T13"/>
                            <a:pathLst>
                              <a:path w="184404" h="748792">
                                <a:moveTo>
                                  <a:pt x="0" y="0"/>
                                </a:moveTo>
                                <a:lnTo>
                                  <a:pt x="184404" y="0"/>
                                </a:lnTo>
                                <a:lnTo>
                                  <a:pt x="184404" y="748792"/>
                                </a:lnTo>
                                <a:lnTo>
                                  <a:pt x="0" y="748792"/>
                                </a:lnTo>
                                <a:lnTo>
                                  <a:pt x="0" y="0"/>
                                </a:ln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Shape 13118"/>
                        <wps:cNvSpPr>
                          <a:spLocks/>
                        </wps:cNvSpPr>
                        <wps:spPr bwMode="auto">
                          <a:xfrm>
                            <a:off x="670814" y="1556067"/>
                            <a:ext cx="3549396" cy="0"/>
                          </a:xfrm>
                          <a:custGeom>
                            <a:avLst/>
                            <a:gdLst>
                              <a:gd name="T0" fmla="*/ 0 w 3549396"/>
                              <a:gd name="T1" fmla="*/ 3549396 w 3549396"/>
                              <a:gd name="T2" fmla="*/ 0 w 3549396"/>
                              <a:gd name="T3" fmla="*/ 3549396 w 3549396"/>
                            </a:gdLst>
                            <a:ahLst/>
                            <a:cxnLst>
                              <a:cxn ang="0">
                                <a:pos x="T0" y="0"/>
                              </a:cxn>
                              <a:cxn ang="0">
                                <a:pos x="T1" y="0"/>
                              </a:cxn>
                            </a:cxnLst>
                            <a:rect l="T2" t="0" r="T3" b="0"/>
                            <a:pathLst>
                              <a:path w="3549396">
                                <a:moveTo>
                                  <a:pt x="0" y="0"/>
                                </a:moveTo>
                                <a:lnTo>
                                  <a:pt x="3549396" y="0"/>
                                </a:lnTo>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13119"/>
                        <wps:cNvSpPr>
                          <a:spLocks noChangeArrowheads="1"/>
                        </wps:cNvSpPr>
                        <wps:spPr bwMode="auto">
                          <a:xfrm>
                            <a:off x="516890" y="1491056"/>
                            <a:ext cx="76010" cy="16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E8B39" w14:textId="77777777" w:rsidR="00ED1ADA" w:rsidRDefault="00ED1ADA" w:rsidP="00302BFE">
                              <w:r>
                                <w:rPr>
                                  <w:color w:val="595959"/>
                                  <w:sz w:val="18"/>
                                </w:rPr>
                                <w:t>0</w:t>
                              </w:r>
                            </w:p>
                          </w:txbxContent>
                        </wps:txbx>
                        <wps:bodyPr rot="0" vert="horz" wrap="square" lIns="0" tIns="0" rIns="0" bIns="0" anchor="t" anchorCtr="0" upright="1">
                          <a:noAutofit/>
                        </wps:bodyPr>
                      </wps:wsp>
                      <wps:wsp>
                        <wps:cNvPr id="39" name="Rectangle 13120"/>
                        <wps:cNvSpPr>
                          <a:spLocks noChangeArrowheads="1"/>
                        </wps:cNvSpPr>
                        <wps:spPr bwMode="auto">
                          <a:xfrm>
                            <a:off x="459867" y="1288365"/>
                            <a:ext cx="153032" cy="168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3E536" w14:textId="77777777" w:rsidR="00ED1ADA" w:rsidRDefault="00ED1ADA" w:rsidP="00302BFE">
                              <w:r>
                                <w:rPr>
                                  <w:color w:val="595959"/>
                                  <w:sz w:val="18"/>
                                </w:rPr>
                                <w:t>10</w:t>
                              </w:r>
                            </w:p>
                          </w:txbxContent>
                        </wps:txbx>
                        <wps:bodyPr rot="0" vert="horz" wrap="square" lIns="0" tIns="0" rIns="0" bIns="0" anchor="t" anchorCtr="0" upright="1">
                          <a:noAutofit/>
                        </wps:bodyPr>
                      </wps:wsp>
                      <wps:wsp>
                        <wps:cNvPr id="40" name="Rectangle 13121"/>
                        <wps:cNvSpPr>
                          <a:spLocks noChangeArrowheads="1"/>
                        </wps:cNvSpPr>
                        <wps:spPr bwMode="auto">
                          <a:xfrm>
                            <a:off x="459867" y="1086054"/>
                            <a:ext cx="153032" cy="168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5FAB2" w14:textId="77777777" w:rsidR="00ED1ADA" w:rsidRDefault="00ED1ADA" w:rsidP="00302BFE">
                              <w:r>
                                <w:rPr>
                                  <w:color w:val="595959"/>
                                  <w:sz w:val="18"/>
                                </w:rPr>
                                <w:t>20</w:t>
                              </w:r>
                            </w:p>
                          </w:txbxContent>
                        </wps:txbx>
                        <wps:bodyPr rot="0" vert="horz" wrap="square" lIns="0" tIns="0" rIns="0" bIns="0" anchor="t" anchorCtr="0" upright="1">
                          <a:noAutofit/>
                        </wps:bodyPr>
                      </wps:wsp>
                      <wps:wsp>
                        <wps:cNvPr id="41" name="Rectangle 13122"/>
                        <wps:cNvSpPr>
                          <a:spLocks noChangeArrowheads="1"/>
                        </wps:cNvSpPr>
                        <wps:spPr bwMode="auto">
                          <a:xfrm>
                            <a:off x="459867" y="883616"/>
                            <a:ext cx="153032" cy="168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307FC" w14:textId="77777777" w:rsidR="00ED1ADA" w:rsidRDefault="00ED1ADA" w:rsidP="00302BFE">
                              <w:r>
                                <w:rPr>
                                  <w:color w:val="595959"/>
                                  <w:sz w:val="18"/>
                                </w:rPr>
                                <w:t>30</w:t>
                              </w:r>
                            </w:p>
                          </w:txbxContent>
                        </wps:txbx>
                        <wps:bodyPr rot="0" vert="horz" wrap="square" lIns="0" tIns="0" rIns="0" bIns="0" anchor="t" anchorCtr="0" upright="1">
                          <a:noAutofit/>
                        </wps:bodyPr>
                      </wps:wsp>
                      <wps:wsp>
                        <wps:cNvPr id="42" name="Rectangle 13123"/>
                        <wps:cNvSpPr>
                          <a:spLocks noChangeArrowheads="1"/>
                        </wps:cNvSpPr>
                        <wps:spPr bwMode="auto">
                          <a:xfrm>
                            <a:off x="459867" y="680924"/>
                            <a:ext cx="153032" cy="168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717AB" w14:textId="77777777" w:rsidR="00ED1ADA" w:rsidRDefault="00ED1ADA" w:rsidP="00302BFE">
                              <w:r>
                                <w:rPr>
                                  <w:color w:val="595959"/>
                                  <w:sz w:val="18"/>
                                </w:rPr>
                                <w:t>40</w:t>
                              </w:r>
                            </w:p>
                          </w:txbxContent>
                        </wps:txbx>
                        <wps:bodyPr rot="0" vert="horz" wrap="square" lIns="0" tIns="0" rIns="0" bIns="0" anchor="t" anchorCtr="0" upright="1">
                          <a:noAutofit/>
                        </wps:bodyPr>
                      </wps:wsp>
                      <wps:wsp>
                        <wps:cNvPr id="43" name="Rectangle 13124"/>
                        <wps:cNvSpPr>
                          <a:spLocks noChangeArrowheads="1"/>
                        </wps:cNvSpPr>
                        <wps:spPr bwMode="auto">
                          <a:xfrm>
                            <a:off x="459867" y="478613"/>
                            <a:ext cx="153032" cy="168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7DC98" w14:textId="77777777" w:rsidR="00ED1ADA" w:rsidRDefault="00ED1ADA" w:rsidP="00302BFE">
                              <w:r>
                                <w:rPr>
                                  <w:color w:val="595959"/>
                                  <w:sz w:val="18"/>
                                </w:rPr>
                                <w:t>50</w:t>
                              </w:r>
                            </w:p>
                          </w:txbxContent>
                        </wps:txbx>
                        <wps:bodyPr rot="0" vert="horz" wrap="square" lIns="0" tIns="0" rIns="0" bIns="0" anchor="t" anchorCtr="0" upright="1">
                          <a:noAutofit/>
                        </wps:bodyPr>
                      </wps:wsp>
                      <wps:wsp>
                        <wps:cNvPr id="44" name="Rectangle 13125"/>
                        <wps:cNvSpPr>
                          <a:spLocks noChangeArrowheads="1"/>
                        </wps:cNvSpPr>
                        <wps:spPr bwMode="auto">
                          <a:xfrm>
                            <a:off x="459867" y="276175"/>
                            <a:ext cx="153032" cy="168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279C5" w14:textId="77777777" w:rsidR="00ED1ADA" w:rsidRDefault="00ED1ADA" w:rsidP="00302BFE">
                              <w:r>
                                <w:rPr>
                                  <w:color w:val="595959"/>
                                  <w:sz w:val="18"/>
                                </w:rPr>
                                <w:t>60</w:t>
                              </w:r>
                            </w:p>
                          </w:txbxContent>
                        </wps:txbx>
                        <wps:bodyPr rot="0" vert="horz" wrap="square" lIns="0" tIns="0" rIns="0" bIns="0" anchor="t" anchorCtr="0" upright="1">
                          <a:noAutofit/>
                        </wps:bodyPr>
                      </wps:wsp>
                      <wps:wsp>
                        <wps:cNvPr id="45" name="Rectangle 13126"/>
                        <wps:cNvSpPr>
                          <a:spLocks noChangeArrowheads="1"/>
                        </wps:cNvSpPr>
                        <wps:spPr bwMode="auto">
                          <a:xfrm>
                            <a:off x="459867" y="73737"/>
                            <a:ext cx="153032" cy="168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CCC5C" w14:textId="77777777" w:rsidR="00ED1ADA" w:rsidRDefault="00ED1ADA" w:rsidP="00302BFE">
                              <w:r>
                                <w:rPr>
                                  <w:color w:val="595959"/>
                                  <w:sz w:val="18"/>
                                </w:rPr>
                                <w:t>70</w:t>
                              </w:r>
                            </w:p>
                          </w:txbxContent>
                        </wps:txbx>
                        <wps:bodyPr rot="0" vert="horz" wrap="square" lIns="0" tIns="0" rIns="0" bIns="0" anchor="t" anchorCtr="0" upright="1">
                          <a:noAutofit/>
                        </wps:bodyPr>
                      </wps:wsp>
                      <wps:wsp>
                        <wps:cNvPr id="46" name="Rectangle 13127"/>
                        <wps:cNvSpPr>
                          <a:spLocks noChangeArrowheads="1"/>
                        </wps:cNvSpPr>
                        <wps:spPr bwMode="auto">
                          <a:xfrm>
                            <a:off x="852805" y="1625168"/>
                            <a:ext cx="304798" cy="16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FF036" w14:textId="77777777" w:rsidR="00ED1ADA" w:rsidRDefault="00ED1ADA" w:rsidP="00302BFE">
                              <w:r>
                                <w:rPr>
                                  <w:color w:val="595959"/>
                                  <w:sz w:val="18"/>
                                </w:rPr>
                                <w:t>2010</w:t>
                              </w:r>
                            </w:p>
                          </w:txbxContent>
                        </wps:txbx>
                        <wps:bodyPr rot="0" vert="horz" wrap="square" lIns="0" tIns="0" rIns="0" bIns="0" anchor="t" anchorCtr="0" upright="1">
                          <a:noAutofit/>
                        </wps:bodyPr>
                      </wps:wsp>
                      <wps:wsp>
                        <wps:cNvPr id="47" name="Rectangle 13128"/>
                        <wps:cNvSpPr>
                          <a:spLocks noChangeArrowheads="1"/>
                        </wps:cNvSpPr>
                        <wps:spPr bwMode="auto">
                          <a:xfrm>
                            <a:off x="1444371" y="1625168"/>
                            <a:ext cx="304798" cy="16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8A4F1" w14:textId="77777777" w:rsidR="00ED1ADA" w:rsidRDefault="00ED1ADA" w:rsidP="00302BFE">
                              <w:r>
                                <w:rPr>
                                  <w:color w:val="595959"/>
                                  <w:sz w:val="18"/>
                                </w:rPr>
                                <w:t>2011</w:t>
                              </w:r>
                            </w:p>
                          </w:txbxContent>
                        </wps:txbx>
                        <wps:bodyPr rot="0" vert="horz" wrap="square" lIns="0" tIns="0" rIns="0" bIns="0" anchor="t" anchorCtr="0" upright="1">
                          <a:noAutofit/>
                        </wps:bodyPr>
                      </wps:wsp>
                      <wps:wsp>
                        <wps:cNvPr id="48" name="Rectangle 13129"/>
                        <wps:cNvSpPr>
                          <a:spLocks noChangeArrowheads="1"/>
                        </wps:cNvSpPr>
                        <wps:spPr bwMode="auto">
                          <a:xfrm>
                            <a:off x="2036064" y="1625168"/>
                            <a:ext cx="304798" cy="16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3777A" w14:textId="77777777" w:rsidR="00ED1ADA" w:rsidRDefault="00ED1ADA" w:rsidP="00302BFE">
                              <w:r>
                                <w:rPr>
                                  <w:color w:val="595959"/>
                                  <w:sz w:val="18"/>
                                </w:rPr>
                                <w:t>2012</w:t>
                              </w:r>
                            </w:p>
                          </w:txbxContent>
                        </wps:txbx>
                        <wps:bodyPr rot="0" vert="horz" wrap="square" lIns="0" tIns="0" rIns="0" bIns="0" anchor="t" anchorCtr="0" upright="1">
                          <a:noAutofit/>
                        </wps:bodyPr>
                      </wps:wsp>
                      <wps:wsp>
                        <wps:cNvPr id="49" name="Rectangle 13130"/>
                        <wps:cNvSpPr>
                          <a:spLocks noChangeArrowheads="1"/>
                        </wps:cNvSpPr>
                        <wps:spPr bwMode="auto">
                          <a:xfrm>
                            <a:off x="2627376" y="1625168"/>
                            <a:ext cx="304798" cy="16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8B420" w14:textId="77777777" w:rsidR="00ED1ADA" w:rsidRDefault="00ED1ADA" w:rsidP="00302BFE">
                              <w:r>
                                <w:rPr>
                                  <w:color w:val="595959"/>
                                  <w:sz w:val="18"/>
                                </w:rPr>
                                <w:t>2013</w:t>
                              </w:r>
                            </w:p>
                          </w:txbxContent>
                        </wps:txbx>
                        <wps:bodyPr rot="0" vert="horz" wrap="square" lIns="0" tIns="0" rIns="0" bIns="0" anchor="t" anchorCtr="0" upright="1">
                          <a:noAutofit/>
                        </wps:bodyPr>
                      </wps:wsp>
                      <wps:wsp>
                        <wps:cNvPr id="50" name="Rectangle 13131"/>
                        <wps:cNvSpPr>
                          <a:spLocks noChangeArrowheads="1"/>
                        </wps:cNvSpPr>
                        <wps:spPr bwMode="auto">
                          <a:xfrm>
                            <a:off x="3218942" y="1625168"/>
                            <a:ext cx="304798" cy="16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3454F" w14:textId="77777777" w:rsidR="00ED1ADA" w:rsidRDefault="00ED1ADA" w:rsidP="00302BFE">
                              <w:r>
                                <w:rPr>
                                  <w:color w:val="595959"/>
                                  <w:sz w:val="18"/>
                                </w:rPr>
                                <w:t>2014</w:t>
                              </w:r>
                            </w:p>
                          </w:txbxContent>
                        </wps:txbx>
                        <wps:bodyPr rot="0" vert="horz" wrap="square" lIns="0" tIns="0" rIns="0" bIns="0" anchor="t" anchorCtr="0" upright="1">
                          <a:noAutofit/>
                        </wps:bodyPr>
                      </wps:wsp>
                      <wps:wsp>
                        <wps:cNvPr id="51" name="Rectangle 13132"/>
                        <wps:cNvSpPr>
                          <a:spLocks noChangeArrowheads="1"/>
                        </wps:cNvSpPr>
                        <wps:spPr bwMode="auto">
                          <a:xfrm>
                            <a:off x="3810508" y="1625168"/>
                            <a:ext cx="304798" cy="16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295C5" w14:textId="77777777" w:rsidR="00ED1ADA" w:rsidRDefault="00ED1ADA" w:rsidP="00302BFE">
                              <w:r>
                                <w:rPr>
                                  <w:color w:val="595959"/>
                                  <w:sz w:val="18"/>
                                </w:rPr>
                                <w:t>2015</w:t>
                              </w:r>
                            </w:p>
                          </w:txbxContent>
                        </wps:txbx>
                        <wps:bodyPr rot="0" vert="horz" wrap="square" lIns="0" tIns="0" rIns="0" bIns="0" anchor="t" anchorCtr="0" upright="1">
                          <a:noAutofit/>
                        </wps:bodyPr>
                      </wps:wsp>
                      <wps:wsp>
                        <wps:cNvPr id="52" name="Rectangle 13133"/>
                        <wps:cNvSpPr>
                          <a:spLocks noChangeArrowheads="1"/>
                        </wps:cNvSpPr>
                        <wps:spPr bwMode="auto">
                          <a:xfrm rot="-5399999">
                            <a:off x="-889430" y="601903"/>
                            <a:ext cx="2165204" cy="176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09485" w14:textId="77777777" w:rsidR="00ED1ADA" w:rsidRPr="0075595E" w:rsidRDefault="00ED1ADA" w:rsidP="00302BFE">
                              <w:pPr>
                                <w:spacing w:after="0"/>
                                <w:rPr>
                                  <w:sz w:val="16"/>
                                  <w:szCs w:val="16"/>
                                  <w:lang w:val="fr-CA"/>
                                </w:rPr>
                              </w:pPr>
                            </w:p>
                          </w:txbxContent>
                        </wps:txbx>
                        <wps:bodyPr rot="0" vert="horz" wrap="square" lIns="0" tIns="0" rIns="0" bIns="0" anchor="t" anchorCtr="0" upright="1">
                          <a:noAutofit/>
                        </wps:bodyPr>
                      </wps:wsp>
                      <wps:wsp>
                        <wps:cNvPr id="53" name="Rectangle 13135"/>
                        <wps:cNvSpPr>
                          <a:spLocks noChangeArrowheads="1"/>
                        </wps:cNvSpPr>
                        <wps:spPr bwMode="auto">
                          <a:xfrm>
                            <a:off x="2256663" y="1795661"/>
                            <a:ext cx="501197" cy="186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55927" w14:textId="77777777" w:rsidR="00ED1ADA" w:rsidRDefault="00ED1ADA" w:rsidP="00302BFE">
                              <w:r>
                                <w:rPr>
                                  <w:color w:val="595959"/>
                                </w:rPr>
                                <w:t>Années</w:t>
                              </w:r>
                            </w:p>
                          </w:txbxContent>
                        </wps:txbx>
                        <wps:bodyPr rot="0" vert="horz" wrap="square" lIns="0" tIns="0" rIns="0" bIns="0" anchor="t" anchorCtr="0" upright="1">
                          <a:noAutofit/>
                        </wps:bodyPr>
                      </wps:wsp>
                      <wps:wsp>
                        <wps:cNvPr id="54" name="Shape 13136"/>
                        <wps:cNvSpPr>
                          <a:spLocks/>
                        </wps:cNvSpPr>
                        <wps:spPr bwMode="auto">
                          <a:xfrm>
                            <a:off x="0" y="0"/>
                            <a:ext cx="4359275" cy="2093913"/>
                          </a:xfrm>
                          <a:custGeom>
                            <a:avLst/>
                            <a:gdLst>
                              <a:gd name="T0" fmla="*/ 4359275 w 4359275"/>
                              <a:gd name="T1" fmla="*/ 0 h 2093913"/>
                              <a:gd name="T2" fmla="*/ 4359275 w 4359275"/>
                              <a:gd name="T3" fmla="*/ 2093913 h 2093913"/>
                              <a:gd name="T4" fmla="*/ 0 w 4359275"/>
                              <a:gd name="T5" fmla="*/ 2093913 h 2093913"/>
                              <a:gd name="T6" fmla="*/ 0 w 4359275"/>
                              <a:gd name="T7" fmla="*/ 0 h 2093913"/>
                              <a:gd name="T8" fmla="*/ 0 w 4359275"/>
                              <a:gd name="T9" fmla="*/ 0 h 2093913"/>
                              <a:gd name="T10" fmla="*/ 4359275 w 4359275"/>
                              <a:gd name="T11" fmla="*/ 2093913 h 2093913"/>
                            </a:gdLst>
                            <a:ahLst/>
                            <a:cxnLst>
                              <a:cxn ang="0">
                                <a:pos x="T0" y="T1"/>
                              </a:cxn>
                              <a:cxn ang="0">
                                <a:pos x="T2" y="T3"/>
                              </a:cxn>
                              <a:cxn ang="0">
                                <a:pos x="T4" y="T5"/>
                              </a:cxn>
                              <a:cxn ang="0">
                                <a:pos x="T6" y="T7"/>
                              </a:cxn>
                            </a:cxnLst>
                            <a:rect l="T8" t="T9" r="T10" b="T11"/>
                            <a:pathLst>
                              <a:path w="4359275" h="2093913">
                                <a:moveTo>
                                  <a:pt x="4359275" y="0"/>
                                </a:moveTo>
                                <a:lnTo>
                                  <a:pt x="4359275" y="2093913"/>
                                </a:lnTo>
                                <a:lnTo>
                                  <a:pt x="0" y="2093913"/>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cap="flat" cmpd="sng" algn="ctr">
                                <a:solidFill>
                                  <a:srgbClr val="000000"/>
                                </a:solidFill>
                                <a:prstDash val="solid"/>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AAF24AF" id="Groupe 15" o:spid="_x0000_s1102" style="width:429.2pt;height:186.9pt;mso-position-horizontal-relative:char;mso-position-vertical-relative:line" coordorigin=",-3926" coordsize="44333,25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">
                <v:rect id="Rectangle 13068" o:spid="_x0000_s1103" style="position:absolute;left:43826;top:1978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035BBA6" w14:textId="77777777" w:rsidR="00ED1ADA" w:rsidRDefault="00ED1ADA" w:rsidP="00302BFE">
                        <w:r>
                          <w:t xml:space="preserve"> </w:t>
                        </w:r>
                      </w:p>
                    </w:txbxContent>
                  </v:textbox>
                </v:rect>
                <v:shape id="Shape 13098" o:spid="_x0000_s1104" style="position:absolute;left:6708;top:13533;width:35494;height:0;visibility:visible;mso-wrap-style:square;v-text-anchor:top" coordsize="3549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" path="m,l3549396,e" filled="f" strokeweight=".24pt">
                  <v:path arrowok="t" o:connecttype="custom" o:connectlocs="0,0;3549396,0" o:connectangles="0,0" textboxrect="0,0,3549396,0"/>
                </v:shape>
                <v:shape id="Shape 13099" o:spid="_x0000_s1105" style="position:absolute;left:6708;top:11522;width:35494;height:0;visibility:visible;mso-wrap-style:square;v-text-anchor:top" coordsize="3549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" path="m,l3549396,e" filled="f" strokeweight=".24pt">
                  <v:path arrowok="t" o:connecttype="custom" o:connectlocs="0,0;3549396,0" o:connectangles="0,0" textboxrect="0,0,3549396,0"/>
                </v:shape>
                <v:shape id="Shape 13100" o:spid="_x0000_s1106" style="position:absolute;left:6708;top:9495;width:35494;height:0;visibility:visible;mso-wrap-style:square;v-text-anchor:top" coordsize="3549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" path="m,l3549396,e" filled="f" strokeweight=".24pt">
                  <v:path arrowok="t" o:connecttype="custom" o:connectlocs="0,0;3549396,0" o:connectangles="0,0" textboxrect="0,0,3549396,0"/>
                </v:shape>
                <v:shape id="Shape 13101" o:spid="_x0000_s1107" style="position:absolute;left:6708;top:7468;width:35494;height:0;visibility:visible;mso-wrap-style:square;v-text-anchor:top" coordsize="3549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" path="m,l3549396,e" filled="f" strokeweight=".24pt">
                  <v:path arrowok="t" o:connecttype="custom" o:connectlocs="0,0;3549396,0" o:connectangles="0,0" textboxrect="0,0,3549396,0"/>
                </v:shape>
                <v:shape id="Shape 13102" o:spid="_x0000_s1108" style="position:absolute;left:6708;top:5441;width:35494;height:0;visibility:visible;mso-wrap-style:square;v-text-anchor:top" coordsize="3549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" path="m,l3549396,e" filled="f" strokeweight=".24pt">
                  <v:path arrowok="t" o:connecttype="custom" o:connectlocs="0,0;3549396,0" o:connectangles="0,0" textboxrect="0,0,3549396,0"/>
                </v:shape>
                <v:shape id="Shape 13103" o:spid="_x0000_s1109" style="position:absolute;left:6708;top:3414;width:35494;height:0;visibility:visible;mso-wrap-style:square;v-text-anchor:top" coordsize="3549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" path="m,l3549396,e" filled="f" strokeweight=".24pt">
                  <v:path arrowok="t" o:connecttype="custom" o:connectlocs="0,0;3549396,0" o:connectangles="0,0" textboxrect="0,0,3549396,0"/>
                </v:shape>
                <v:shape id="Shape 13104" o:spid="_x0000_s1110" style="position:absolute;left:6708;top:1387;width:35494;height:0;visibility:visible;mso-wrap-style:square;v-text-anchor:top" coordsize="3549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" path="m,l3549396,e" filled="f" strokeweight=".24pt">
                  <v:path arrowok="t" o:connecttype="custom" o:connectlocs="0,0;3549396,0" o:connectangles="0,0" textboxrect="0,0,3549396,0"/>
                </v:shape>
                <v:shape id="Shape 13105" o:spid="_x0000_s1111" style="position:absolute;left:6708;top:1387;width:35494;height:14173;visibility:visible;mso-wrap-style:square;v-text-anchor:top" coordsize="3549396,141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" path="m,1417320r3549396,l3549396,,,,,1417320xe" filled="f" strokeweight=".24pt">
                  <v:path arrowok="t" o:connecttype="custom" o:connectlocs="0,1417320;3549396,1417320;3549396,0;0,0;0,1417320" o:connectangles="0,0,0,0,0" textboxrect="0,0,3549396,1417320"/>
                </v:shape>
                <v:shape id="Picture 178065" o:spid="_x0000_s1112" type="#_x0000_t75" style="position:absolute;left:8694;top:2759;width:31486;height:1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">
                  <v:imagedata r:id="rId49" o:title=""/>
                </v:shape>
                <v:shape id="Picture 178066" o:spid="_x0000_s1113" type="#_x0000_t75" style="position:absolute;left:8694;top:2759;width:31486;height:1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">
                  <v:imagedata r:id="rId49" o:title=""/>
                </v:shape>
                <v:shape id="Picture 178067" o:spid="_x0000_s1114" type="#_x0000_t75" style="position:absolute;left:8694;top:2759;width:31486;height:1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">
                  <v:imagedata r:id="rId49" o:title=""/>
                </v:shape>
                <v:shape id="Picture 178068" o:spid="_x0000_s1115" type="#_x0000_t75" style="position:absolute;left:8694;top:2759;width:31486;height:1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">
                  <v:imagedata r:id="rId49" o:title=""/>
                </v:shape>
                <v:shape id="Picture 178069" o:spid="_x0000_s1116" type="#_x0000_t75" style="position:absolute;left:8694;top:2759;width:31486;height:1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">
                  <v:imagedata r:id="rId49" o:title=""/>
                </v:shape>
                <v:shape id="Picture 178070" o:spid="_x0000_s1117" type="#_x0000_t75" style="position:absolute;left:8694;top:2759;width:31486;height:1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">
                  <v:imagedata r:id="rId49" o:title=""/>
                </v:shape>
                <v:shape id="Shape 13112" o:spid="_x0000_s1118" style="position:absolute;left:8735;top:2789;width:1859;height:12776;visibility:visible;mso-wrap-style:square;v-text-anchor:top" coordsize="185928,127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" path="m,l185928,r,1277620l,1277620,,xe" filled="f">
                  <v:path arrowok="t" o:connecttype="custom" o:connectlocs="0,0;185928,0;185928,1277620;0,1277620;0,0" o:connectangles="0,0,0,0,0" textboxrect="0,0,185928,1277620"/>
                </v:shape>
                <v:shape id="Shape 13113" o:spid="_x0000_s1119" style="position:absolute;left:14648;top:5273;width:1859;height:10292;visibility:visible;mso-wrap-style:square;v-text-anchor:top" coordsize="185928,1029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" path="m,l185928,r,1029208l,1029208,,xe" filled="f">
                  <v:path arrowok="t" o:connecttype="custom" o:connectlocs="0,0;185928,0;185928,1029208;0,1029208;0,0" o:connectangles="0,0,0,0,0" textboxrect="0,0,185928,1029208"/>
                </v:shape>
                <v:shape id="Shape 13114" o:spid="_x0000_s1120" style="position:absolute;left:20576;top:6797;width:1844;height:8768;visibility:visible;mso-wrap-style:square;v-text-anchor:top" coordsize="184404,876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" path="m,l184404,r,876808l,876808,,xe" filled="f">
                  <v:path arrowok="t" o:connecttype="custom" o:connectlocs="0,0;184404,0;184404,876808;0,876808;0,0" o:connectangles="0,0,0,0,0" textboxrect="0,0,184404,876808"/>
                </v:shape>
                <v:shape id="Shape 13115" o:spid="_x0000_s1121" style="position:absolute;left:26489;top:7910;width:1844;height:7655;visibility:visible;mso-wrap-style:square;v-text-anchor:top" coordsize="184404,76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" path="m,l184404,r,765556l,765556,,xe" filled="f">
                  <v:path arrowok="t" o:connecttype="custom" o:connectlocs="0,0;184404,0;184404,765556;0,765556;0,0" o:connectangles="0,0,0,0,0" textboxrect="0,0,184404,765556"/>
                </v:shape>
                <v:shape id="Shape 13116" o:spid="_x0000_s1122" style="position:absolute;left:32402;top:8047;width:1844;height:7518;visibility:visible;mso-wrap-style:square;v-text-anchor:top" coordsize="184404,7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" path="m,l184404,r,751840l,751840,,xe" filled="f">
                  <v:path arrowok="t" o:connecttype="custom" o:connectlocs="0,0;184404,0;184404,751840;0,751840;0,0" o:connectangles="0,0,0,0,0" textboxrect="0,0,184404,751840"/>
                </v:shape>
                <v:shape id="Shape 13117" o:spid="_x0000_s1123" style="position:absolute;left:38315;top:8077;width:1844;height:7488;visibility:visible;mso-wrap-style:square;v-text-anchor:top" coordsize="184404,748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" path="m,l184404,r,748792l,748792,,xe" filled="f">
                  <v:path arrowok="t" o:connecttype="custom" o:connectlocs="0,0;184404,0;184404,748792;0,748792;0,0" o:connectangles="0,0,0,0,0" textboxrect="0,0,184404,748792"/>
                </v:shape>
                <v:shape id="Shape 13118" o:spid="_x0000_s1124" style="position:absolute;left:6708;top:15560;width:35494;height:0;visibility:visible;mso-wrap-style:square;v-text-anchor:top" coordsize="3549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" path="m,l3549396,e" filled="f" strokeweight=".72pt">
                  <v:path arrowok="t" o:connecttype="custom" o:connectlocs="0,0;3549396,0" o:connectangles="0,0" textboxrect="0,0,3549396,0"/>
                </v:shape>
                <v:rect id="Rectangle 13119" o:spid="_x0000_s1125" style="position:absolute;left:5168;top:14910;width:76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D9E8B39" w14:textId="77777777" w:rsidR="00ED1ADA" w:rsidRDefault="00ED1ADA" w:rsidP="00302BFE">
                        <w:r>
                          <w:rPr>
                            <w:color w:val="595959"/>
                            <w:sz w:val="18"/>
                          </w:rPr>
                          <w:t>0</w:t>
                        </w:r>
                      </w:p>
                    </w:txbxContent>
                  </v:textbox>
                </v:rect>
                <v:rect id="Rectangle 13120" o:spid="_x0000_s1126" style="position:absolute;left:4598;top:12883;width:153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61B3E536" w14:textId="77777777" w:rsidR="00ED1ADA" w:rsidRDefault="00ED1ADA" w:rsidP="00302BFE">
                        <w:r>
                          <w:rPr>
                            <w:color w:val="595959"/>
                            <w:sz w:val="18"/>
                          </w:rPr>
                          <w:t>10</w:t>
                        </w:r>
                      </w:p>
                    </w:txbxContent>
                  </v:textbox>
                </v:rect>
                <v:rect id="Rectangle 13121" o:spid="_x0000_s1127" style="position:absolute;left:4598;top:10860;width:153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7105FAB2" w14:textId="77777777" w:rsidR="00ED1ADA" w:rsidRDefault="00ED1ADA" w:rsidP="00302BFE">
                        <w:r>
                          <w:rPr>
                            <w:color w:val="595959"/>
                            <w:sz w:val="18"/>
                          </w:rPr>
                          <w:t>20</w:t>
                        </w:r>
                      </w:p>
                    </w:txbxContent>
                  </v:textbox>
                </v:rect>
                <v:rect id="Rectangle 13122" o:spid="_x0000_s1128" style="position:absolute;left:4598;top:8836;width:153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086307FC" w14:textId="77777777" w:rsidR="00ED1ADA" w:rsidRDefault="00ED1ADA" w:rsidP="00302BFE">
                        <w:r>
                          <w:rPr>
                            <w:color w:val="595959"/>
                            <w:sz w:val="18"/>
                          </w:rPr>
                          <w:t>30</w:t>
                        </w:r>
                      </w:p>
                    </w:txbxContent>
                  </v:textbox>
                </v:rect>
                <v:rect id="Rectangle 13123" o:spid="_x0000_s1129" style="position:absolute;left:4598;top:6809;width:153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647717AB" w14:textId="77777777" w:rsidR="00ED1ADA" w:rsidRDefault="00ED1ADA" w:rsidP="00302BFE">
                        <w:r>
                          <w:rPr>
                            <w:color w:val="595959"/>
                            <w:sz w:val="18"/>
                          </w:rPr>
                          <w:t>40</w:t>
                        </w:r>
                      </w:p>
                    </w:txbxContent>
                  </v:textbox>
                </v:rect>
                <v:rect id="Rectangle 13124" o:spid="_x0000_s1130" style="position:absolute;left:4598;top:4786;width:153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957DC98" w14:textId="77777777" w:rsidR="00ED1ADA" w:rsidRDefault="00ED1ADA" w:rsidP="00302BFE">
                        <w:r>
                          <w:rPr>
                            <w:color w:val="595959"/>
                            <w:sz w:val="18"/>
                          </w:rPr>
                          <w:t>50</w:t>
                        </w:r>
                      </w:p>
                    </w:txbxContent>
                  </v:textbox>
                </v:rect>
                <v:rect id="Rectangle 13125" o:spid="_x0000_s1131" style="position:absolute;left:4598;top:2761;width:153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36F279C5" w14:textId="77777777" w:rsidR="00ED1ADA" w:rsidRDefault="00ED1ADA" w:rsidP="00302BFE">
                        <w:r>
                          <w:rPr>
                            <w:color w:val="595959"/>
                            <w:sz w:val="18"/>
                          </w:rPr>
                          <w:t>60</w:t>
                        </w:r>
                      </w:p>
                    </w:txbxContent>
                  </v:textbox>
                </v:rect>
                <v:rect id="Rectangle 13126" o:spid="_x0000_s1132" style="position:absolute;left:4598;top:737;width:153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323CCC5C" w14:textId="77777777" w:rsidR="00ED1ADA" w:rsidRDefault="00ED1ADA" w:rsidP="00302BFE">
                        <w:r>
                          <w:rPr>
                            <w:color w:val="595959"/>
                            <w:sz w:val="18"/>
                          </w:rPr>
                          <w:t>70</w:t>
                        </w:r>
                      </w:p>
                    </w:txbxContent>
                  </v:textbox>
                </v:rect>
                <v:rect id="Rectangle 13127" o:spid="_x0000_s1133" style="position:absolute;left:8528;top:16251;width:304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6ECFF036" w14:textId="77777777" w:rsidR="00ED1ADA" w:rsidRDefault="00ED1ADA" w:rsidP="00302BFE">
                        <w:r>
                          <w:rPr>
                            <w:color w:val="595959"/>
                            <w:sz w:val="18"/>
                          </w:rPr>
                          <w:t>2010</w:t>
                        </w:r>
                      </w:p>
                    </w:txbxContent>
                  </v:textbox>
                </v:rect>
                <v:rect id="Rectangle 13128" o:spid="_x0000_s1134" style="position:absolute;left:14443;top:16251;width:304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2488A4F1" w14:textId="77777777" w:rsidR="00ED1ADA" w:rsidRDefault="00ED1ADA" w:rsidP="00302BFE">
                        <w:r>
                          <w:rPr>
                            <w:color w:val="595959"/>
                            <w:sz w:val="18"/>
                          </w:rPr>
                          <w:t>2011</w:t>
                        </w:r>
                      </w:p>
                    </w:txbxContent>
                  </v:textbox>
                </v:rect>
                <v:rect id="Rectangle 13129" o:spid="_x0000_s1135" style="position:absolute;left:20360;top:16251;width:304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2C03777A" w14:textId="77777777" w:rsidR="00ED1ADA" w:rsidRDefault="00ED1ADA" w:rsidP="00302BFE">
                        <w:r>
                          <w:rPr>
                            <w:color w:val="595959"/>
                            <w:sz w:val="18"/>
                          </w:rPr>
                          <w:t>2012</w:t>
                        </w:r>
                      </w:p>
                    </w:txbxContent>
                  </v:textbox>
                </v:rect>
                <v:rect id="Rectangle 13130" o:spid="_x0000_s1136" style="position:absolute;left:26273;top:16251;width:304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7938B420" w14:textId="77777777" w:rsidR="00ED1ADA" w:rsidRDefault="00ED1ADA" w:rsidP="00302BFE">
                        <w:r>
                          <w:rPr>
                            <w:color w:val="595959"/>
                            <w:sz w:val="18"/>
                          </w:rPr>
                          <w:t>2013</w:t>
                        </w:r>
                      </w:p>
                    </w:txbxContent>
                  </v:textbox>
                </v:rect>
                <v:rect id="Rectangle 13131" o:spid="_x0000_s1137" style="position:absolute;left:32189;top:16251;width:304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6B93454F" w14:textId="77777777" w:rsidR="00ED1ADA" w:rsidRDefault="00ED1ADA" w:rsidP="00302BFE">
                        <w:r>
                          <w:rPr>
                            <w:color w:val="595959"/>
                            <w:sz w:val="18"/>
                          </w:rPr>
                          <w:t>2014</w:t>
                        </w:r>
                      </w:p>
                    </w:txbxContent>
                  </v:textbox>
                </v:rect>
                <v:rect id="Rectangle 13132" o:spid="_x0000_s1138" style="position:absolute;left:38105;top:16251;width:304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4C3295C5" w14:textId="77777777" w:rsidR="00ED1ADA" w:rsidRDefault="00ED1ADA" w:rsidP="00302BFE">
                        <w:r>
                          <w:rPr>
                            <w:color w:val="595959"/>
                            <w:sz w:val="18"/>
                          </w:rPr>
                          <w:t>2015</w:t>
                        </w:r>
                      </w:p>
                    </w:txbxContent>
                  </v:textbox>
                </v:rect>
                <v:rect id="Rectangle 13133" o:spid="_x0000_s1139" style="position:absolute;left:-8894;top:6019;width:21651;height:17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" filled="f" stroked="f">
                  <v:textbox inset="0,0,0,0">
                    <w:txbxContent>
                      <w:p w14:paraId="19309485" w14:textId="77777777" w:rsidR="00ED1ADA" w:rsidRPr="0075595E" w:rsidRDefault="00ED1ADA" w:rsidP="00302BFE">
                        <w:pPr>
                          <w:spacing w:after="0"/>
                          <w:rPr>
                            <w:sz w:val="16"/>
                            <w:szCs w:val="16"/>
                            <w:lang w:val="fr-CA"/>
                          </w:rPr>
                        </w:pPr>
                      </w:p>
                    </w:txbxContent>
                  </v:textbox>
                </v:rect>
                <v:rect id="Rectangle 13135" o:spid="_x0000_s1140" style="position:absolute;left:22566;top:17956;width:501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5D655927" w14:textId="77777777" w:rsidR="00ED1ADA" w:rsidRDefault="00ED1ADA" w:rsidP="00302BFE">
                        <w:r>
                          <w:rPr>
                            <w:color w:val="595959"/>
                          </w:rPr>
                          <w:t>Années</w:t>
                        </w:r>
                      </w:p>
                    </w:txbxContent>
                  </v:textbox>
                </v:rect>
                <v:shape id="Shape 13136" o:spid="_x0000_s1141" style="position:absolute;width:43592;height:20939;visibility:visible;mso-wrap-style:square;v-text-anchor:top" coordsize="4359275,2093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" path="m4359275,r,2093913l,2093913,,e" filled="f" stroked="f" strokeweight=".25pt">
                  <v:path arrowok="t" o:connecttype="custom" o:connectlocs="4359275,0;4359275,2093913;0,2093913;0,0" o:connectangles="0,0,0,0" textboxrect="0,0,4359275,2093913"/>
                </v:shape>
                <w10:anchorlock/>
              </v:group>
            </w:pict>
          </mc:Fallback>
        </mc:AlternateContent>
      </w:r>
    </w:p>
    <w:p w14:paraId="02B59D57" w14:textId="77777777" w:rsidR="00302BFE" w:rsidRPr="001E48AC" w:rsidRDefault="00302BFE" w:rsidP="00302BFE">
      <w:pPr>
        <w:spacing w:before="120" w:after="120"/>
        <w:contextualSpacing/>
        <w:rPr>
          <w:sz w:val="16"/>
          <w:szCs w:val="16"/>
        </w:rPr>
      </w:pPr>
      <w:r w:rsidRPr="001E48AC">
        <w:rPr>
          <w:rFonts w:eastAsia="Times New Roman"/>
          <w:sz w:val="16"/>
          <w:szCs w:val="16"/>
        </w:rPr>
        <w:t>Source :</w:t>
      </w:r>
      <w:r w:rsidRPr="001E48AC">
        <w:rPr>
          <w:sz w:val="16"/>
          <w:szCs w:val="16"/>
        </w:rPr>
        <w:t xml:space="preserve"> Ouédraogo et Zoungrana, 2016 </w:t>
      </w:r>
    </w:p>
    <w:p w14:paraId="0C61BD3E" w14:textId="77777777" w:rsidR="00302BFE" w:rsidRPr="008E1693" w:rsidRDefault="00302BFE" w:rsidP="00C46720">
      <w:pPr>
        <w:pStyle w:val="Paragraphedeliste"/>
        <w:numPr>
          <w:ilvl w:val="0"/>
          <w:numId w:val="42"/>
        </w:numPr>
        <w:spacing w:before="120" w:after="120"/>
        <w:ind w:right="277"/>
        <w:contextualSpacing/>
        <w:jc w:val="both"/>
        <w:rPr>
          <w:rFonts w:ascii="Calibri" w:hAnsi="Calibri"/>
          <w:b/>
          <w:sz w:val="20"/>
          <w:szCs w:val="20"/>
          <w:lang w:val="fr-CA"/>
        </w:rPr>
      </w:pPr>
      <w:r w:rsidRPr="008E1693">
        <w:rPr>
          <w:rFonts w:ascii="Calibri" w:hAnsi="Calibri"/>
          <w:b/>
          <w:sz w:val="20"/>
          <w:szCs w:val="20"/>
          <w:lang w:val="fr-CA"/>
        </w:rPr>
        <w:t>Produits forestiers non ligneux (PFNL)</w:t>
      </w:r>
    </w:p>
    <w:p w14:paraId="1CA5B491" w14:textId="77777777" w:rsidR="00302BFE" w:rsidRPr="008E1693" w:rsidRDefault="00302BFE" w:rsidP="00302BFE">
      <w:pPr>
        <w:spacing w:before="120" w:after="120"/>
        <w:contextualSpacing/>
        <w:rPr>
          <w:szCs w:val="20"/>
          <w:lang w:val="fr-CA"/>
        </w:rPr>
      </w:pPr>
      <w:r w:rsidRPr="008E1693">
        <w:rPr>
          <w:szCs w:val="20"/>
          <w:lang w:val="fr-CA"/>
        </w:rPr>
        <w:t xml:space="preserve">A l’instar de la filière bois-énergie, l’exploitation de la faune et la pêche génèrent également de moins en moins de recettes en raison de leur baisse de production. Cette diminution des recettes enregistrées par la Direction Régionale de l’Environnement, de l’Économie Verte et du Changement Climatique (DREEVCC) dans ces deux secteurs est illustrée dans le tableau </w:t>
      </w:r>
      <w:r w:rsidRPr="00091F0E">
        <w:rPr>
          <w:szCs w:val="20"/>
          <w:lang w:val="fr-CA"/>
        </w:rPr>
        <w:t>E</w:t>
      </w:r>
      <w:r w:rsidRPr="008E1693">
        <w:rPr>
          <w:szCs w:val="20"/>
          <w:lang w:val="fr-CA"/>
        </w:rPr>
        <w:t>.</w:t>
      </w:r>
      <w:r w:rsidRPr="008E1693">
        <w:rPr>
          <w:color w:val="000000"/>
          <w:szCs w:val="20"/>
          <w:lang w:val="fr-CA"/>
        </w:rPr>
        <w:t xml:space="preserve"> Quoique le niveau d’effort ou d’exploitation n’ait pas été considéré pour l’expliquer, la baisse des recettes liées à ces deux secteurs a été attribuée à une baisse de production et entraîne une baisse des bénéfices pour les acteurs locaux. L’amélioration de la gestion de ces activités pour les rendre plus durables contribuerait assurément à rétablir la part de bénéfices pour les communautés locales.</w:t>
      </w:r>
    </w:p>
    <w:p w14:paraId="1C0CDC43" w14:textId="77777777" w:rsidR="00302BFE" w:rsidRPr="008E1693" w:rsidRDefault="00302BFE" w:rsidP="00302BFE">
      <w:pPr>
        <w:pStyle w:val="Lgende"/>
        <w:spacing w:before="120"/>
        <w:jc w:val="both"/>
        <w:rPr>
          <w:rFonts w:ascii="Calibri" w:hAnsi="Calibri"/>
          <w:sz w:val="20"/>
          <w:szCs w:val="20"/>
          <w:lang w:val="fr-CA"/>
        </w:rPr>
      </w:pPr>
      <w:bookmarkStart w:id="108" w:name="_Toc2166337"/>
      <w:r w:rsidRPr="008E1693">
        <w:rPr>
          <w:rFonts w:ascii="Calibri" w:hAnsi="Calibri"/>
          <w:sz w:val="20"/>
          <w:szCs w:val="20"/>
          <w:lang w:val="fr-CA"/>
        </w:rPr>
        <w:t xml:space="preserve">Tableau </w:t>
      </w:r>
      <w:r w:rsidRPr="00091F0E">
        <w:rPr>
          <w:rFonts w:ascii="Calibri" w:hAnsi="Calibri"/>
          <w:noProof/>
          <w:sz w:val="20"/>
          <w:szCs w:val="20"/>
          <w:lang w:val="fr-CA"/>
        </w:rPr>
        <w:t>E</w:t>
      </w:r>
      <w:r w:rsidRPr="008E1693">
        <w:rPr>
          <w:rFonts w:ascii="Calibri" w:hAnsi="Calibri"/>
          <w:sz w:val="20"/>
          <w:szCs w:val="20"/>
          <w:lang w:val="fr-CA"/>
        </w:rPr>
        <w:t>: Situation de recouvrement des recettes dans le secteur forêts, faune et pêche par la DREEVCC du Centre Sud</w:t>
      </w:r>
      <w:bookmarkEnd w:id="108"/>
      <w:r w:rsidRPr="008E1693">
        <w:rPr>
          <w:rFonts w:ascii="Calibri" w:hAnsi="Calibri"/>
          <w:sz w:val="20"/>
          <w:szCs w:val="20"/>
          <w:lang w:val="fr-CA"/>
        </w:rPr>
        <w:t xml:space="preserve"> de 2012 à 2014.</w:t>
      </w:r>
    </w:p>
    <w:tbl>
      <w:tblPr>
        <w:tblW w:w="8165" w:type="dxa"/>
        <w:jc w:val="center"/>
        <w:tblBorders>
          <w:top w:val="single" w:sz="4" w:space="0" w:color="013366"/>
          <w:left w:val="single" w:sz="4" w:space="0" w:color="013366"/>
          <w:bottom w:val="single" w:sz="4" w:space="0" w:color="013366"/>
          <w:right w:val="single" w:sz="4" w:space="0" w:color="013366"/>
          <w:insideH w:val="single" w:sz="4" w:space="0" w:color="013366"/>
          <w:insideV w:val="single" w:sz="4" w:space="0" w:color="013366"/>
        </w:tblBorders>
        <w:tblLayout w:type="fixed"/>
        <w:tblLook w:val="04A0" w:firstRow="1" w:lastRow="0" w:firstColumn="1" w:lastColumn="0" w:noHBand="0" w:noVBand="1"/>
      </w:tblPr>
      <w:tblGrid>
        <w:gridCol w:w="1696"/>
        <w:gridCol w:w="2075"/>
        <w:gridCol w:w="2268"/>
        <w:gridCol w:w="2126"/>
      </w:tblGrid>
      <w:tr w:rsidR="00302BFE" w:rsidRPr="00FB1B99" w14:paraId="62C7320C" w14:textId="77777777" w:rsidTr="00243B15">
        <w:trPr>
          <w:jc w:val="center"/>
        </w:trPr>
        <w:tc>
          <w:tcPr>
            <w:tcW w:w="1696" w:type="dxa"/>
            <w:tcBorders>
              <w:top w:val="single" w:sz="4" w:space="0" w:color="013366"/>
              <w:left w:val="single" w:sz="4" w:space="0" w:color="013366"/>
              <w:bottom w:val="single" w:sz="4" w:space="0" w:color="013366"/>
              <w:right w:val="nil"/>
              <w:tl2br w:val="nil"/>
              <w:tr2bl w:val="nil"/>
            </w:tcBorders>
            <w:shd w:val="clear" w:color="auto" w:fill="013366"/>
          </w:tcPr>
          <w:p w14:paraId="346AA668" w14:textId="77777777" w:rsidR="00302BFE" w:rsidRPr="0075595E" w:rsidRDefault="00302BFE" w:rsidP="00243B15">
            <w:pPr>
              <w:spacing w:after="0"/>
              <w:contextualSpacing/>
              <w:rPr>
                <w:rFonts w:eastAsia="Times New Roman"/>
                <w:b/>
                <w:color w:val="FFFFFF"/>
                <w:szCs w:val="20"/>
              </w:rPr>
            </w:pPr>
            <w:r w:rsidRPr="0075595E">
              <w:rPr>
                <w:rFonts w:eastAsia="Times New Roman"/>
                <w:b/>
                <w:color w:val="FFFFFF"/>
                <w:szCs w:val="20"/>
              </w:rPr>
              <w:t>Sous-secteur</w:t>
            </w:r>
          </w:p>
        </w:tc>
        <w:tc>
          <w:tcPr>
            <w:tcW w:w="2075" w:type="dxa"/>
            <w:tcBorders>
              <w:top w:val="single" w:sz="4" w:space="0" w:color="013366"/>
              <w:left w:val="nil"/>
              <w:bottom w:val="single" w:sz="4" w:space="0" w:color="013366"/>
              <w:right w:val="nil"/>
              <w:tl2br w:val="nil"/>
              <w:tr2bl w:val="nil"/>
            </w:tcBorders>
            <w:shd w:val="clear" w:color="auto" w:fill="013366"/>
          </w:tcPr>
          <w:p w14:paraId="7A7EBE7B" w14:textId="77777777" w:rsidR="00302BFE" w:rsidRPr="0075595E" w:rsidRDefault="00302BFE" w:rsidP="00243B15">
            <w:pPr>
              <w:spacing w:after="0"/>
              <w:contextualSpacing/>
              <w:rPr>
                <w:rFonts w:eastAsia="Times New Roman"/>
                <w:b/>
                <w:color w:val="FFFFFF"/>
                <w:szCs w:val="20"/>
              </w:rPr>
            </w:pPr>
            <w:r w:rsidRPr="0075595E">
              <w:rPr>
                <w:rFonts w:eastAsia="Times New Roman"/>
                <w:b/>
                <w:color w:val="FFFFFF"/>
                <w:szCs w:val="20"/>
              </w:rPr>
              <w:t>Revenus en 2012</w:t>
            </w:r>
          </w:p>
        </w:tc>
        <w:tc>
          <w:tcPr>
            <w:tcW w:w="2268" w:type="dxa"/>
            <w:tcBorders>
              <w:top w:val="single" w:sz="4" w:space="0" w:color="013366"/>
              <w:left w:val="nil"/>
              <w:bottom w:val="single" w:sz="4" w:space="0" w:color="013366"/>
              <w:right w:val="nil"/>
              <w:tl2br w:val="nil"/>
              <w:tr2bl w:val="nil"/>
            </w:tcBorders>
            <w:shd w:val="clear" w:color="auto" w:fill="013366"/>
          </w:tcPr>
          <w:p w14:paraId="6B5E5CF2" w14:textId="77777777" w:rsidR="00302BFE" w:rsidRPr="0075595E" w:rsidRDefault="00302BFE" w:rsidP="00243B15">
            <w:pPr>
              <w:spacing w:after="0"/>
              <w:contextualSpacing/>
              <w:rPr>
                <w:rFonts w:eastAsia="Times New Roman"/>
                <w:b/>
                <w:color w:val="FFFFFF"/>
                <w:szCs w:val="20"/>
              </w:rPr>
            </w:pPr>
            <w:r w:rsidRPr="0075595E">
              <w:rPr>
                <w:rFonts w:eastAsia="Times New Roman"/>
                <w:b/>
                <w:color w:val="FFFFFF"/>
                <w:szCs w:val="20"/>
              </w:rPr>
              <w:t>Revenus en 2013</w:t>
            </w:r>
          </w:p>
        </w:tc>
        <w:tc>
          <w:tcPr>
            <w:tcW w:w="2126" w:type="dxa"/>
            <w:tcBorders>
              <w:top w:val="single" w:sz="4" w:space="0" w:color="013366"/>
              <w:left w:val="nil"/>
              <w:bottom w:val="single" w:sz="4" w:space="0" w:color="013366"/>
              <w:right w:val="single" w:sz="4" w:space="0" w:color="013366"/>
              <w:tl2br w:val="nil"/>
              <w:tr2bl w:val="nil"/>
            </w:tcBorders>
            <w:shd w:val="clear" w:color="auto" w:fill="013366"/>
          </w:tcPr>
          <w:p w14:paraId="1E20937F" w14:textId="77777777" w:rsidR="00302BFE" w:rsidRPr="0075595E" w:rsidRDefault="00302BFE" w:rsidP="00243B15">
            <w:pPr>
              <w:spacing w:after="0"/>
              <w:contextualSpacing/>
              <w:rPr>
                <w:rFonts w:eastAsia="Times New Roman"/>
                <w:b/>
                <w:color w:val="FFFFFF"/>
                <w:szCs w:val="20"/>
              </w:rPr>
            </w:pPr>
            <w:r w:rsidRPr="0075595E">
              <w:rPr>
                <w:rFonts w:eastAsia="Times New Roman"/>
                <w:b/>
                <w:color w:val="FFFFFF"/>
                <w:szCs w:val="20"/>
              </w:rPr>
              <w:t>Revenus en 2014</w:t>
            </w:r>
          </w:p>
        </w:tc>
      </w:tr>
      <w:tr w:rsidR="00302BFE" w:rsidRPr="00FB1B99" w14:paraId="33222315" w14:textId="77777777" w:rsidTr="00243B15">
        <w:trPr>
          <w:jc w:val="center"/>
        </w:trPr>
        <w:tc>
          <w:tcPr>
            <w:tcW w:w="1696" w:type="dxa"/>
            <w:shd w:val="clear" w:color="auto" w:fill="auto"/>
          </w:tcPr>
          <w:p w14:paraId="0ED7D812" w14:textId="77777777" w:rsidR="00302BFE" w:rsidRPr="0075595E" w:rsidRDefault="00302BFE" w:rsidP="00243B15">
            <w:pPr>
              <w:spacing w:after="0"/>
              <w:contextualSpacing/>
              <w:rPr>
                <w:rFonts w:eastAsia="Times New Roman"/>
                <w:szCs w:val="20"/>
              </w:rPr>
            </w:pPr>
            <w:r w:rsidRPr="0075595E">
              <w:rPr>
                <w:rFonts w:eastAsia="Times New Roman"/>
                <w:szCs w:val="20"/>
              </w:rPr>
              <w:t>Faune</w:t>
            </w:r>
          </w:p>
        </w:tc>
        <w:tc>
          <w:tcPr>
            <w:tcW w:w="2075" w:type="dxa"/>
            <w:shd w:val="clear" w:color="auto" w:fill="auto"/>
          </w:tcPr>
          <w:p w14:paraId="0988D8A0" w14:textId="77777777" w:rsidR="00302BFE" w:rsidRPr="0075595E" w:rsidRDefault="00302BFE" w:rsidP="00243B15">
            <w:pPr>
              <w:spacing w:after="0"/>
              <w:contextualSpacing/>
              <w:rPr>
                <w:rFonts w:eastAsia="Times New Roman"/>
                <w:szCs w:val="20"/>
              </w:rPr>
            </w:pPr>
            <w:r w:rsidRPr="0075595E">
              <w:rPr>
                <w:rFonts w:eastAsia="Times New Roman"/>
                <w:szCs w:val="20"/>
              </w:rPr>
              <w:t>5 306 200</w:t>
            </w:r>
          </w:p>
        </w:tc>
        <w:tc>
          <w:tcPr>
            <w:tcW w:w="2268" w:type="dxa"/>
            <w:shd w:val="clear" w:color="auto" w:fill="auto"/>
          </w:tcPr>
          <w:p w14:paraId="61EB1A6F" w14:textId="77777777" w:rsidR="00302BFE" w:rsidRPr="0075595E" w:rsidRDefault="00302BFE" w:rsidP="00243B15">
            <w:pPr>
              <w:spacing w:after="0"/>
              <w:contextualSpacing/>
              <w:rPr>
                <w:rFonts w:eastAsia="Times New Roman"/>
                <w:szCs w:val="20"/>
              </w:rPr>
            </w:pPr>
            <w:r w:rsidRPr="0075595E">
              <w:rPr>
                <w:rFonts w:eastAsia="Times New Roman"/>
                <w:szCs w:val="20"/>
              </w:rPr>
              <w:t>4 501 700</w:t>
            </w:r>
          </w:p>
        </w:tc>
        <w:tc>
          <w:tcPr>
            <w:tcW w:w="2126" w:type="dxa"/>
            <w:shd w:val="clear" w:color="auto" w:fill="auto"/>
          </w:tcPr>
          <w:p w14:paraId="136209E4" w14:textId="77777777" w:rsidR="00302BFE" w:rsidRPr="0075595E" w:rsidRDefault="00302BFE" w:rsidP="00243B15">
            <w:pPr>
              <w:spacing w:after="0"/>
              <w:contextualSpacing/>
              <w:rPr>
                <w:rFonts w:eastAsia="Times New Roman"/>
                <w:szCs w:val="20"/>
              </w:rPr>
            </w:pPr>
            <w:r w:rsidRPr="0075595E">
              <w:rPr>
                <w:rFonts w:eastAsia="Times New Roman"/>
                <w:szCs w:val="20"/>
              </w:rPr>
              <w:t>3 546 500</w:t>
            </w:r>
          </w:p>
        </w:tc>
      </w:tr>
      <w:tr w:rsidR="00302BFE" w:rsidRPr="00FB1B99" w14:paraId="39B5237F" w14:textId="77777777" w:rsidTr="00243B15">
        <w:trPr>
          <w:jc w:val="center"/>
        </w:trPr>
        <w:tc>
          <w:tcPr>
            <w:tcW w:w="1696" w:type="dxa"/>
            <w:shd w:val="clear" w:color="auto" w:fill="auto"/>
          </w:tcPr>
          <w:p w14:paraId="3FA89965" w14:textId="77777777" w:rsidR="00302BFE" w:rsidRPr="0075595E" w:rsidRDefault="00302BFE" w:rsidP="00243B15">
            <w:pPr>
              <w:spacing w:after="0"/>
              <w:contextualSpacing/>
              <w:rPr>
                <w:rFonts w:eastAsia="Times New Roman"/>
                <w:szCs w:val="20"/>
              </w:rPr>
            </w:pPr>
            <w:r w:rsidRPr="0075595E">
              <w:rPr>
                <w:rFonts w:eastAsia="Times New Roman"/>
                <w:szCs w:val="20"/>
              </w:rPr>
              <w:t>Pêche</w:t>
            </w:r>
          </w:p>
        </w:tc>
        <w:tc>
          <w:tcPr>
            <w:tcW w:w="2075" w:type="dxa"/>
            <w:shd w:val="clear" w:color="auto" w:fill="auto"/>
          </w:tcPr>
          <w:p w14:paraId="42119D72" w14:textId="77777777" w:rsidR="00302BFE" w:rsidRPr="0075595E" w:rsidRDefault="00302BFE" w:rsidP="00243B15">
            <w:pPr>
              <w:spacing w:after="0"/>
              <w:contextualSpacing/>
              <w:rPr>
                <w:rFonts w:eastAsia="Times New Roman"/>
                <w:szCs w:val="20"/>
              </w:rPr>
            </w:pPr>
            <w:r w:rsidRPr="0075595E">
              <w:rPr>
                <w:rFonts w:eastAsia="Times New Roman"/>
                <w:szCs w:val="20"/>
              </w:rPr>
              <w:t>340 000</w:t>
            </w:r>
          </w:p>
        </w:tc>
        <w:tc>
          <w:tcPr>
            <w:tcW w:w="2268" w:type="dxa"/>
            <w:shd w:val="clear" w:color="auto" w:fill="auto"/>
          </w:tcPr>
          <w:p w14:paraId="38D1EB84" w14:textId="77777777" w:rsidR="00302BFE" w:rsidRPr="0075595E" w:rsidRDefault="00302BFE" w:rsidP="00243B15">
            <w:pPr>
              <w:spacing w:after="0"/>
              <w:contextualSpacing/>
              <w:rPr>
                <w:rFonts w:eastAsia="Times New Roman"/>
                <w:szCs w:val="20"/>
              </w:rPr>
            </w:pPr>
            <w:r w:rsidRPr="0075595E">
              <w:rPr>
                <w:rFonts w:eastAsia="Times New Roman"/>
                <w:szCs w:val="20"/>
              </w:rPr>
              <w:t>454 500</w:t>
            </w:r>
          </w:p>
        </w:tc>
        <w:tc>
          <w:tcPr>
            <w:tcW w:w="2126" w:type="dxa"/>
            <w:shd w:val="clear" w:color="auto" w:fill="auto"/>
          </w:tcPr>
          <w:p w14:paraId="6844FD45" w14:textId="77777777" w:rsidR="00302BFE" w:rsidRPr="0075595E" w:rsidRDefault="00302BFE" w:rsidP="00243B15">
            <w:pPr>
              <w:spacing w:after="0"/>
              <w:contextualSpacing/>
              <w:rPr>
                <w:rFonts w:eastAsia="Times New Roman"/>
                <w:szCs w:val="20"/>
              </w:rPr>
            </w:pPr>
            <w:r w:rsidRPr="0075595E">
              <w:rPr>
                <w:rFonts w:eastAsia="Times New Roman"/>
                <w:szCs w:val="20"/>
              </w:rPr>
              <w:t>66 000</w:t>
            </w:r>
          </w:p>
        </w:tc>
      </w:tr>
    </w:tbl>
    <w:p w14:paraId="751F9A65" w14:textId="77777777" w:rsidR="00302BFE" w:rsidRPr="008E1693" w:rsidRDefault="00302BFE" w:rsidP="00302BFE">
      <w:pPr>
        <w:pStyle w:val="Corpsdetexte"/>
        <w:rPr>
          <w:rFonts w:ascii="Calibri" w:hAnsi="Calibri"/>
          <w:sz w:val="16"/>
          <w:szCs w:val="16"/>
        </w:rPr>
      </w:pPr>
      <w:r w:rsidRPr="008E1693">
        <w:rPr>
          <w:rFonts w:ascii="Calibri" w:hAnsi="Calibri"/>
          <w:sz w:val="16"/>
          <w:szCs w:val="16"/>
        </w:rPr>
        <w:t>Source : Ouédraogo et Zoungrana, 2016</w:t>
      </w:r>
    </w:p>
    <w:p w14:paraId="58731E09" w14:textId="77777777" w:rsidR="00302BFE" w:rsidRPr="008E1693" w:rsidRDefault="00302BFE" w:rsidP="00302BFE">
      <w:pPr>
        <w:widowControl w:val="0"/>
        <w:autoSpaceDE w:val="0"/>
        <w:autoSpaceDN w:val="0"/>
        <w:adjustRightInd w:val="0"/>
        <w:spacing w:before="120" w:after="120"/>
        <w:textAlignment w:val="baseline"/>
        <w:rPr>
          <w:szCs w:val="20"/>
          <w:lang w:val="fr-CA"/>
        </w:rPr>
      </w:pPr>
      <w:r w:rsidRPr="008E1693">
        <w:rPr>
          <w:szCs w:val="20"/>
          <w:lang w:val="fr-CA"/>
        </w:rPr>
        <w:t xml:space="preserve">Pour les PFNL d’origine végétale, un grand nombre d’acteurs sont mobilisés dans les filières issues du karité (beurre de karité, savon à base de beurre de karité, amandes de karité), et les produits du néré ou </w:t>
      </w:r>
      <w:r w:rsidRPr="008E1693">
        <w:rPr>
          <w:i/>
          <w:szCs w:val="20"/>
          <w:lang w:val="fr-CA"/>
        </w:rPr>
        <w:t>soumbala</w:t>
      </w:r>
      <w:r w:rsidRPr="008E1693">
        <w:rPr>
          <w:szCs w:val="20"/>
          <w:lang w:val="fr-CA"/>
        </w:rPr>
        <w:t xml:space="preserve"> (épices à base des graines du néré, graines de néré). Les produits transformés (beurre de karité, savon à base de beurre de karité, </w:t>
      </w:r>
      <w:r w:rsidRPr="008E1693">
        <w:rPr>
          <w:i/>
          <w:szCs w:val="20"/>
          <w:lang w:val="fr-CA"/>
        </w:rPr>
        <w:t>soumbala</w:t>
      </w:r>
      <w:r w:rsidRPr="008E1693">
        <w:rPr>
          <w:szCs w:val="20"/>
          <w:lang w:val="fr-CA"/>
        </w:rPr>
        <w:t>) sont principalement produits par les femmes.</w:t>
      </w:r>
    </w:p>
    <w:p w14:paraId="53541729" w14:textId="7F0F3414" w:rsidR="00302BFE" w:rsidRPr="008E1693" w:rsidRDefault="00302BFE" w:rsidP="00302BFE">
      <w:pPr>
        <w:pStyle w:val="Lgende"/>
        <w:spacing w:before="120"/>
        <w:jc w:val="both"/>
        <w:rPr>
          <w:rFonts w:ascii="Calibri" w:hAnsi="Calibri"/>
          <w:sz w:val="20"/>
          <w:szCs w:val="20"/>
          <w:lang w:val="fr-CA"/>
        </w:rPr>
      </w:pPr>
      <w:bookmarkStart w:id="109" w:name="_Toc444451019"/>
      <w:bookmarkStart w:id="110" w:name="_Toc534626830"/>
      <w:bookmarkStart w:id="111" w:name="_Toc2166346"/>
      <w:r w:rsidRPr="008E1693">
        <w:rPr>
          <w:rFonts w:ascii="Calibri" w:hAnsi="Calibri"/>
          <w:sz w:val="20"/>
          <w:szCs w:val="20"/>
          <w:lang w:val="fr-CA"/>
        </w:rPr>
        <w:t xml:space="preserve">Figure </w:t>
      </w:r>
      <w:r w:rsidRPr="00091F0E">
        <w:rPr>
          <w:rFonts w:ascii="Calibri" w:hAnsi="Calibri"/>
          <w:sz w:val="20"/>
          <w:szCs w:val="20"/>
        </w:rPr>
        <w:fldChar w:fldCharType="begin"/>
      </w:r>
      <w:r w:rsidRPr="00091F0E">
        <w:rPr>
          <w:rFonts w:ascii="Calibri" w:hAnsi="Calibri"/>
          <w:sz w:val="20"/>
          <w:szCs w:val="20"/>
          <w:lang w:val="fr-CA"/>
        </w:rPr>
        <w:instrText xml:space="preserve"> SEQ Figure \* ARABIC </w:instrText>
      </w:r>
      <w:r w:rsidRPr="00091F0E">
        <w:rPr>
          <w:rFonts w:ascii="Calibri" w:hAnsi="Calibri"/>
          <w:sz w:val="20"/>
          <w:szCs w:val="20"/>
        </w:rPr>
        <w:fldChar w:fldCharType="separate"/>
      </w:r>
      <w:r w:rsidR="00EB5F3C">
        <w:rPr>
          <w:rFonts w:ascii="Calibri" w:hAnsi="Calibri"/>
          <w:noProof/>
          <w:sz w:val="20"/>
          <w:szCs w:val="20"/>
          <w:lang w:val="fr-CA"/>
        </w:rPr>
        <w:t>2</w:t>
      </w:r>
      <w:r w:rsidRPr="00091F0E">
        <w:rPr>
          <w:rFonts w:ascii="Calibri" w:hAnsi="Calibri"/>
          <w:sz w:val="20"/>
          <w:szCs w:val="20"/>
        </w:rPr>
        <w:fldChar w:fldCharType="end"/>
      </w:r>
      <w:r w:rsidRPr="008E1693">
        <w:rPr>
          <w:rFonts w:ascii="Calibri" w:hAnsi="Calibri"/>
          <w:sz w:val="20"/>
          <w:szCs w:val="20"/>
          <w:lang w:val="fr-CA"/>
        </w:rPr>
        <w:t> : Mobilisation relative des acteurs dans les filière</w:t>
      </w:r>
      <w:bookmarkEnd w:id="109"/>
      <w:bookmarkEnd w:id="110"/>
      <w:r w:rsidRPr="008E1693">
        <w:rPr>
          <w:rFonts w:ascii="Calibri" w:hAnsi="Calibri"/>
          <w:sz w:val="20"/>
          <w:szCs w:val="20"/>
          <w:lang w:val="fr-CA"/>
        </w:rPr>
        <w:t>s de PFNL d’origine végétale dans le complexe de PONASI</w:t>
      </w:r>
      <w:bookmarkEnd w:id="111"/>
    </w:p>
    <w:p w14:paraId="5C095C34" w14:textId="77777777" w:rsidR="00302BFE" w:rsidRPr="00FB1B99" w:rsidRDefault="00302BFE" w:rsidP="00302BFE">
      <w:pPr>
        <w:widowControl w:val="0"/>
        <w:autoSpaceDE w:val="0"/>
        <w:autoSpaceDN w:val="0"/>
        <w:adjustRightInd w:val="0"/>
        <w:spacing w:before="120" w:after="120"/>
        <w:ind w:left="170"/>
        <w:contextualSpacing/>
        <w:textAlignment w:val="baseline"/>
        <w:rPr>
          <w:szCs w:val="20"/>
        </w:rPr>
      </w:pPr>
      <w:r w:rsidRPr="008E1693">
        <w:rPr>
          <w:noProof/>
          <w:szCs w:val="20"/>
          <w:lang w:eastAsia="fr-FR"/>
        </w:rPr>
        <w:drawing>
          <wp:inline distT="0" distB="0" distL="0" distR="0" wp14:anchorId="25E0F505" wp14:editId="42249975">
            <wp:extent cx="4017645" cy="2399665"/>
            <wp:effectExtent l="0" t="0" r="1905" b="635"/>
            <wp:docPr id="2" name="Graphiqu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E232EB3" w14:textId="77777777" w:rsidR="00302BFE" w:rsidRPr="00243B15" w:rsidRDefault="00302BFE" w:rsidP="00302BFE">
      <w:pPr>
        <w:widowControl w:val="0"/>
        <w:autoSpaceDE w:val="0"/>
        <w:autoSpaceDN w:val="0"/>
        <w:adjustRightInd w:val="0"/>
        <w:spacing w:before="120" w:after="240"/>
        <w:ind w:left="170"/>
        <w:textAlignment w:val="baseline"/>
        <w:rPr>
          <w:sz w:val="16"/>
          <w:szCs w:val="16"/>
          <w:lang w:val="fr-CA"/>
        </w:rPr>
      </w:pPr>
      <w:r w:rsidRPr="00243B15">
        <w:rPr>
          <w:sz w:val="16"/>
          <w:szCs w:val="16"/>
          <w:lang w:val="fr-CA"/>
        </w:rPr>
        <w:t>Source : Naturama, 2016</w:t>
      </w:r>
    </w:p>
    <w:p w14:paraId="56C373E0" w14:textId="77777777" w:rsidR="00302BFE" w:rsidRPr="008E1693" w:rsidRDefault="00302BFE" w:rsidP="00302BFE">
      <w:pPr>
        <w:spacing w:before="240" w:after="120"/>
        <w:rPr>
          <w:color w:val="000000"/>
          <w:szCs w:val="20"/>
          <w:lang w:val="fr-CA"/>
        </w:rPr>
      </w:pPr>
      <w:r w:rsidRPr="008E1693">
        <w:rPr>
          <w:color w:val="000000"/>
          <w:szCs w:val="20"/>
          <w:lang w:val="fr-CA"/>
        </w:rPr>
        <w:t xml:space="preserve">Les filières mentionnées procurent des revenus aux acteurs impliqués. Cependant, ces revenus pourraient être améliorés si les filières étaient mieux organisées et les acteurs mieux structurés à la base. Des filières telles que le miel et la liane goïne sont potentiellement porteuses mais requièrent un minimum d’accompagnement. Malgré leur potentiel, ces filières ont jusqu’à maintenant été </w:t>
      </w:r>
      <w:r w:rsidRPr="008E1693">
        <w:rPr>
          <w:color w:val="000000"/>
          <w:szCs w:val="20"/>
          <w:lang w:val="fr-CA"/>
        </w:rPr>
        <w:lastRenderedPageBreak/>
        <w:t>insuffisamment explorées. Les fruits de la liane goïne se vendent à l’état brut alors que la production de jus créerait une valeur ajoutée conséquente. Des exemples dans d’autres localités montrent que p</w:t>
      </w:r>
      <w:r w:rsidRPr="008E1693">
        <w:rPr>
          <w:szCs w:val="20"/>
          <w:lang w:val="fr-CA"/>
        </w:rPr>
        <w:t xml:space="preserve">our une unité de transformation transformant 43 kg de fruits en jus, le revenu net est de 37 $US (21 640 FCFA) alors que ces 43 Kg (Sama et al., 2010) de fruits sont vendus à 2,50 $US (1500 FCFA) ! Également, la production de beurre de karité, de savon à base de beurre de karité et de </w:t>
      </w:r>
      <w:r w:rsidRPr="008E1693">
        <w:rPr>
          <w:i/>
          <w:szCs w:val="20"/>
          <w:lang w:val="fr-CA"/>
        </w:rPr>
        <w:t>soumbala</w:t>
      </w:r>
      <w:r w:rsidRPr="008E1693">
        <w:rPr>
          <w:szCs w:val="20"/>
          <w:lang w:val="fr-CA"/>
        </w:rPr>
        <w:t xml:space="preserve"> demeure artisanale et les revenus générés sont relativement bas en comparaison au potentiel disponible. L’expérience d’ONGs telles que Tree Aid a montré qu’avec un minimum d’appui, les organisations de productrices peuvent améliorer significativement leurs revenus. Par exemple, les revenus moyens pour des produits tels que le </w:t>
      </w:r>
      <w:r w:rsidRPr="008E1693">
        <w:rPr>
          <w:i/>
          <w:szCs w:val="20"/>
          <w:lang w:val="fr-CA"/>
        </w:rPr>
        <w:t xml:space="preserve">soumbala </w:t>
      </w:r>
      <w:r w:rsidRPr="008E1693">
        <w:rPr>
          <w:szCs w:val="20"/>
          <w:lang w:val="fr-CA"/>
        </w:rPr>
        <w:t>étaient de 122 $US (</w:t>
      </w:r>
      <w:r w:rsidRPr="008E1693">
        <w:rPr>
          <w:rFonts w:eastAsia="Times New Roman"/>
          <w:color w:val="000000"/>
          <w:szCs w:val="20"/>
          <w:lang w:val="fr-CA" w:eastAsia="fr-FR"/>
        </w:rPr>
        <w:t>72 000 FCFA) en 2016 (Sama, 2016) alors qu’en 2012, des acteurs accompagnés par Tree Aid enregistraient des revenus de 158 </w:t>
      </w:r>
      <w:r w:rsidRPr="008E1693">
        <w:rPr>
          <w:szCs w:val="20"/>
          <w:lang w:val="fr-CA"/>
        </w:rPr>
        <w:t>$US</w:t>
      </w:r>
      <w:r w:rsidRPr="008E1693">
        <w:rPr>
          <w:rFonts w:eastAsia="Times New Roman"/>
          <w:color w:val="000000"/>
          <w:szCs w:val="20"/>
          <w:lang w:val="fr-CA" w:eastAsia="fr-FR"/>
        </w:rPr>
        <w:t xml:space="preserve"> (</w:t>
      </w:r>
      <w:r w:rsidRPr="008E1693">
        <w:rPr>
          <w:rFonts w:eastAsia="Times New Roman"/>
          <w:szCs w:val="20"/>
          <w:lang w:val="fr-CA" w:eastAsia="fr-FR"/>
        </w:rPr>
        <w:t>93 193 FCFA) dans la même zone et pour des produits similaires (Sama, 2012).</w:t>
      </w:r>
    </w:p>
    <w:p w14:paraId="2341331E" w14:textId="77777777" w:rsidR="00302BFE" w:rsidRPr="008E1693" w:rsidRDefault="00302BFE" w:rsidP="00302BFE">
      <w:pPr>
        <w:pStyle w:val="Paragraphedeliste"/>
        <w:tabs>
          <w:tab w:val="left" w:pos="284"/>
        </w:tabs>
        <w:spacing w:before="120" w:after="120"/>
        <w:ind w:left="0"/>
        <w:jc w:val="both"/>
        <w:rPr>
          <w:rFonts w:ascii="Calibri" w:hAnsi="Calibri"/>
          <w:sz w:val="20"/>
          <w:szCs w:val="20"/>
          <w:lang w:val="fr-CA"/>
        </w:rPr>
      </w:pPr>
      <w:bookmarkStart w:id="112" w:name="_Toc2166327"/>
      <w:r w:rsidRPr="008E1693">
        <w:rPr>
          <w:rFonts w:ascii="Calibri" w:eastAsia="Times New Roman" w:hAnsi="Calibri"/>
          <w:i/>
          <w:iCs/>
          <w:color w:val="2F5496"/>
          <w:sz w:val="20"/>
          <w:szCs w:val="20"/>
          <w:lang w:val="fr-CA"/>
        </w:rPr>
        <w:t>Retombées indirectes</w:t>
      </w:r>
      <w:bookmarkEnd w:id="112"/>
      <w:r>
        <w:rPr>
          <w:rFonts w:ascii="Calibri" w:eastAsia="Times New Roman" w:hAnsi="Calibri"/>
          <w:i/>
          <w:iCs/>
          <w:color w:val="2F5496"/>
          <w:sz w:val="20"/>
          <w:szCs w:val="20"/>
          <w:lang w:val="fr-CA"/>
        </w:rPr>
        <w:t xml:space="preserve">. </w:t>
      </w:r>
      <w:r w:rsidRPr="008E1693">
        <w:rPr>
          <w:rFonts w:ascii="Calibri" w:hAnsi="Calibri"/>
          <w:sz w:val="20"/>
          <w:szCs w:val="20"/>
          <w:lang w:val="fr-CA"/>
        </w:rPr>
        <w:t xml:space="preserve">Les retombées indirectes sont consituées de toutes les activités que les populations développent du fait de la présence des aires protégées et du développement du tourisme comme l’artisanat, le petit commerce, le transport, la communication et qui leur rapportent des revenus. On note également les différentes dépenses que les concessionnaires effectuent sur le terrain. Ces dépenses concernent celles du fonctionnement comme le carburant, les achats divers effectués sur place pour les besoins des concessions. </w:t>
      </w:r>
    </w:p>
    <w:p w14:paraId="1752B81A" w14:textId="77777777" w:rsidR="00302BFE" w:rsidRPr="00E5211E" w:rsidRDefault="00302BFE" w:rsidP="00302BFE">
      <w:pPr>
        <w:rPr>
          <w:b/>
          <w:lang w:val="fr-CA"/>
        </w:rPr>
      </w:pPr>
      <w:r w:rsidRPr="00E5211E">
        <w:rPr>
          <w:b/>
          <w:lang w:val="fr-CA"/>
        </w:rPr>
        <w:t>Identification participative des sites d'intervention pilotes dans une perspective de réplicabilité</w:t>
      </w:r>
    </w:p>
    <w:p w14:paraId="5B6D8BBE" w14:textId="77777777" w:rsidR="00302BFE" w:rsidRPr="00B72D64" w:rsidRDefault="00302BFE" w:rsidP="00302BFE">
      <w:pPr>
        <w:spacing w:before="120" w:after="120"/>
        <w:rPr>
          <w:szCs w:val="20"/>
          <w:lang w:val="fr-CA"/>
        </w:rPr>
      </w:pPr>
      <w:r w:rsidRPr="00B72D64">
        <w:rPr>
          <w:szCs w:val="20"/>
          <w:lang w:val="fr-CA"/>
        </w:rPr>
        <w:t xml:space="preserve">Les sites pilotes pour les interventions des composantes 3 et 4 du projet ont été identifiés avec la participation de l’ensemble des acteurs concernés sur la base des critères prédéfinis incluant la zone d’influence des aires protégées (à moins de 10 km des limites de l'aire protégée concernée), du mode d’utilisation des terres et des ressources prédominant du site, et des critères environnementaux, de gouvernance, socio-culturels et économiques. L’identification des sites en fonction de ces critères assurera leur représentativité en vue de la mise à l’échelle des pratiques efficaces développées au sein de ces sites. Une liste provisoire de 15 sites au sein des 9 communes riveraines du complexe d’aires protégées établie sur cette base a été soumise à une validation participative au niveau communal qui s’est déroulée en deux étapes. (i) Dans chacune des 9 communes, les consultants ont présenté l’idée du Projet et son processus de formulation, expliqué les critères appliqués et soumis le résultat de la présélection des sites à une instance consultative locale au niveau communal. Ce groupe consultatif était composé au minimum des personnes et représentants des structures suivantes : le préfet du département, le maire de la commune, deux présidents de commissions permanentes du conseil </w:t>
      </w:r>
      <w:r w:rsidR="009363D6">
        <w:rPr>
          <w:szCs w:val="20"/>
          <w:lang w:val="fr-CA"/>
        </w:rPr>
        <w:t>communal</w:t>
      </w:r>
      <w:r w:rsidRPr="00B72D64">
        <w:rPr>
          <w:szCs w:val="20"/>
          <w:lang w:val="fr-CA"/>
        </w:rPr>
        <w:t xml:space="preserve">, les services techniques déconcentrés au niveau communal en environnement, élevage, et agriculture, les ONG (nationales ou internationales) qui mettent en œuvre des projets pertinents dans la commune, les trois principales associations locales de développement régies par la loi 064-2015/CNT), et les organisations faitières au niveau communal représentant les filières agricoles, pastorales et forestières et régies par le Code OHADA. (ii) La pertinence du choix des sites par rapport aux critères définis a été examinée par le groupe consultatif. Les arguments de l’analyse ont été enregistrés et, le cas échéant, des sites alternatifs ont été proposés, discutés et validés. La collecte de données de base dans le cadre du processus d’élaboration du document de projet a donc été menée dans les sites pilotes identifiés à travers ce processus participatif et présentés dans le Tableau </w:t>
      </w:r>
      <w:r w:rsidRPr="00091F0E">
        <w:rPr>
          <w:szCs w:val="20"/>
          <w:lang w:val="fr-CA"/>
        </w:rPr>
        <w:t>F</w:t>
      </w:r>
      <w:r w:rsidRPr="00B72D64">
        <w:rPr>
          <w:szCs w:val="20"/>
          <w:lang w:val="fr-CA"/>
        </w:rPr>
        <w:t xml:space="preserve"> et la Figure </w:t>
      </w:r>
      <w:r w:rsidRPr="00091F0E">
        <w:rPr>
          <w:szCs w:val="20"/>
          <w:lang w:val="fr-CA"/>
        </w:rPr>
        <w:t>4</w:t>
      </w:r>
      <w:r w:rsidRPr="00B72D64">
        <w:rPr>
          <w:szCs w:val="20"/>
          <w:lang w:val="fr-CA"/>
        </w:rPr>
        <w:t>.</w:t>
      </w:r>
    </w:p>
    <w:p w14:paraId="1496F11C" w14:textId="77777777" w:rsidR="00302BFE" w:rsidRPr="00B72D64" w:rsidRDefault="00302BFE" w:rsidP="00302BFE">
      <w:pPr>
        <w:spacing w:before="120" w:after="120"/>
        <w:rPr>
          <w:lang w:val="fr-CA"/>
        </w:rPr>
      </w:pPr>
      <w:r w:rsidRPr="00B72D64">
        <w:rPr>
          <w:b/>
          <w:lang w:val="fr-CA"/>
        </w:rPr>
        <w:t xml:space="preserve">Tableau </w:t>
      </w:r>
      <w:r w:rsidRPr="00091F0E">
        <w:rPr>
          <w:b/>
          <w:lang w:val="fr-CA"/>
        </w:rPr>
        <w:t>F</w:t>
      </w:r>
      <w:r w:rsidRPr="00B72D64">
        <w:rPr>
          <w:b/>
          <w:lang w:val="fr-CA"/>
        </w:rPr>
        <w:t>. CRITÈRES APPLIQUÉS À LA PRÉSÉLECTION DES SITES PILOTES D’INTERVENTION</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118"/>
        <w:gridCol w:w="3261"/>
        <w:gridCol w:w="2551"/>
      </w:tblGrid>
      <w:tr w:rsidR="00302BFE" w:rsidRPr="00755BF9" w14:paraId="3B705A5F" w14:textId="77777777" w:rsidTr="00243B15">
        <w:trPr>
          <w:jc w:val="center"/>
        </w:trPr>
        <w:tc>
          <w:tcPr>
            <w:tcW w:w="846" w:type="dxa"/>
            <w:shd w:val="clear" w:color="auto" w:fill="auto"/>
            <w:vAlign w:val="center"/>
          </w:tcPr>
          <w:p w14:paraId="7DAC8706" w14:textId="77777777" w:rsidR="00302BFE" w:rsidRPr="0075595E" w:rsidRDefault="00302BFE" w:rsidP="00243B15">
            <w:pPr>
              <w:jc w:val="center"/>
              <w:rPr>
                <w:sz w:val="18"/>
                <w:szCs w:val="18"/>
                <w:lang w:val="fr-CA"/>
              </w:rPr>
            </w:pPr>
          </w:p>
        </w:tc>
        <w:tc>
          <w:tcPr>
            <w:tcW w:w="3118" w:type="dxa"/>
            <w:shd w:val="clear" w:color="auto" w:fill="FFF2CC"/>
            <w:vAlign w:val="center"/>
          </w:tcPr>
          <w:p w14:paraId="5EC4F8CC" w14:textId="77777777" w:rsidR="00302BFE" w:rsidRPr="0075595E" w:rsidRDefault="00302BFE" w:rsidP="00243B15">
            <w:pPr>
              <w:jc w:val="center"/>
              <w:rPr>
                <w:b/>
                <w:sz w:val="18"/>
                <w:szCs w:val="18"/>
                <w:lang w:val="fr-CA"/>
              </w:rPr>
            </w:pPr>
            <w:r w:rsidRPr="0075595E">
              <w:rPr>
                <w:b/>
                <w:sz w:val="18"/>
                <w:szCs w:val="18"/>
                <w:lang w:val="fr-CA"/>
              </w:rPr>
              <w:t>Zones villageoises d’intérêt cynégétique (ZOVIC)</w:t>
            </w:r>
          </w:p>
        </w:tc>
        <w:tc>
          <w:tcPr>
            <w:tcW w:w="3261" w:type="dxa"/>
            <w:shd w:val="clear" w:color="auto" w:fill="FFF2CC"/>
            <w:vAlign w:val="center"/>
          </w:tcPr>
          <w:p w14:paraId="4589A19F" w14:textId="77777777" w:rsidR="00302BFE" w:rsidRPr="0075595E" w:rsidRDefault="00302BFE" w:rsidP="00243B15">
            <w:pPr>
              <w:jc w:val="center"/>
              <w:rPr>
                <w:b/>
                <w:sz w:val="18"/>
                <w:szCs w:val="18"/>
                <w:lang w:val="fr-CA"/>
              </w:rPr>
            </w:pPr>
            <w:r w:rsidRPr="0075595E">
              <w:rPr>
                <w:b/>
                <w:sz w:val="18"/>
                <w:szCs w:val="18"/>
                <w:lang w:val="fr-CA"/>
              </w:rPr>
              <w:t>Massifs forestiers communaux ou communautaires</w:t>
            </w:r>
          </w:p>
        </w:tc>
        <w:tc>
          <w:tcPr>
            <w:tcW w:w="2551" w:type="dxa"/>
            <w:shd w:val="clear" w:color="auto" w:fill="FFF2CC"/>
            <w:vAlign w:val="center"/>
          </w:tcPr>
          <w:p w14:paraId="4C0A1FBC" w14:textId="77777777" w:rsidR="00302BFE" w:rsidRPr="0075595E" w:rsidRDefault="00302BFE" w:rsidP="00243B15">
            <w:pPr>
              <w:jc w:val="center"/>
              <w:rPr>
                <w:b/>
                <w:sz w:val="18"/>
                <w:szCs w:val="18"/>
                <w:lang w:val="fr-CA"/>
              </w:rPr>
            </w:pPr>
            <w:r w:rsidRPr="0075595E">
              <w:rPr>
                <w:b/>
                <w:sz w:val="18"/>
                <w:szCs w:val="18"/>
                <w:lang w:val="fr-CA"/>
              </w:rPr>
              <w:t>Terroirs agro-sylvo-pastoraux (ASP)</w:t>
            </w:r>
          </w:p>
        </w:tc>
      </w:tr>
      <w:tr w:rsidR="00302BFE" w:rsidRPr="00755BF9" w14:paraId="7EAF7AE3" w14:textId="77777777" w:rsidTr="00243B15">
        <w:trPr>
          <w:jc w:val="center"/>
        </w:trPr>
        <w:tc>
          <w:tcPr>
            <w:tcW w:w="846" w:type="dxa"/>
            <w:vMerge w:val="restart"/>
            <w:shd w:val="clear" w:color="auto" w:fill="FFF2CC"/>
            <w:textDirection w:val="btLr"/>
            <w:vAlign w:val="center"/>
          </w:tcPr>
          <w:p w14:paraId="6047B7A4" w14:textId="77777777" w:rsidR="00302BFE" w:rsidRPr="0075595E" w:rsidRDefault="00302BFE" w:rsidP="00243B15">
            <w:pPr>
              <w:jc w:val="center"/>
              <w:rPr>
                <w:sz w:val="18"/>
                <w:szCs w:val="18"/>
                <w:lang w:val="fr-CA"/>
              </w:rPr>
            </w:pPr>
            <w:r w:rsidRPr="0075595E">
              <w:rPr>
                <w:b/>
                <w:sz w:val="18"/>
                <w:szCs w:val="18"/>
                <w:lang w:val="fr-CA"/>
              </w:rPr>
              <w:t>CRITÈRES ENVIRONNEMENTAUX</w:t>
            </w:r>
            <w:r w:rsidRPr="0075595E">
              <w:rPr>
                <w:b/>
                <w:sz w:val="18"/>
                <w:szCs w:val="18"/>
                <w:lang w:val="fr-CA"/>
              </w:rPr>
              <w:br/>
              <w:t>ET DE GOUVERNANCE</w:t>
            </w:r>
          </w:p>
        </w:tc>
        <w:tc>
          <w:tcPr>
            <w:tcW w:w="3118" w:type="dxa"/>
            <w:shd w:val="clear" w:color="auto" w:fill="auto"/>
            <w:vAlign w:val="center"/>
          </w:tcPr>
          <w:p w14:paraId="3A5CF335" w14:textId="77777777" w:rsidR="00302BFE" w:rsidRPr="0075595E" w:rsidRDefault="00302BFE" w:rsidP="00243B15">
            <w:pPr>
              <w:jc w:val="center"/>
              <w:rPr>
                <w:sz w:val="18"/>
                <w:szCs w:val="18"/>
                <w:lang w:val="fr-CA"/>
              </w:rPr>
            </w:pPr>
            <w:r w:rsidRPr="0075595E">
              <w:rPr>
                <w:bCs/>
                <w:sz w:val="18"/>
                <w:szCs w:val="18"/>
                <w:lang w:val="fr-CA"/>
              </w:rPr>
              <w:t>Statut reconnu et accepté par les parties prenantes locales</w:t>
            </w:r>
          </w:p>
        </w:tc>
        <w:tc>
          <w:tcPr>
            <w:tcW w:w="3261" w:type="dxa"/>
            <w:shd w:val="clear" w:color="auto" w:fill="auto"/>
            <w:vAlign w:val="center"/>
          </w:tcPr>
          <w:p w14:paraId="1AEB0FEC" w14:textId="77777777" w:rsidR="00302BFE" w:rsidRPr="0075595E" w:rsidRDefault="00302BFE" w:rsidP="00243B15">
            <w:pPr>
              <w:jc w:val="center"/>
              <w:rPr>
                <w:bCs/>
                <w:sz w:val="18"/>
                <w:szCs w:val="18"/>
                <w:lang w:val="fr-CA"/>
              </w:rPr>
            </w:pPr>
            <w:r w:rsidRPr="0075595E">
              <w:rPr>
                <w:bCs/>
                <w:sz w:val="18"/>
                <w:szCs w:val="18"/>
                <w:lang w:val="fr-CA"/>
              </w:rPr>
              <w:t>Statut sous gestion communautaire ou communale reconnu et accepté par les parties prenantes</w:t>
            </w:r>
          </w:p>
        </w:tc>
        <w:tc>
          <w:tcPr>
            <w:tcW w:w="2551" w:type="dxa"/>
            <w:vMerge w:val="restart"/>
            <w:shd w:val="clear" w:color="auto" w:fill="auto"/>
            <w:vAlign w:val="center"/>
          </w:tcPr>
          <w:p w14:paraId="46CE9824" w14:textId="77777777" w:rsidR="00302BFE" w:rsidRPr="0075595E" w:rsidRDefault="00302BFE" w:rsidP="00243B15">
            <w:pPr>
              <w:jc w:val="center"/>
              <w:rPr>
                <w:bCs/>
                <w:sz w:val="18"/>
                <w:szCs w:val="18"/>
                <w:lang w:val="fr-CA"/>
              </w:rPr>
            </w:pPr>
            <w:r w:rsidRPr="0075595E">
              <w:rPr>
                <w:bCs/>
                <w:sz w:val="18"/>
                <w:szCs w:val="18"/>
                <w:lang w:val="fr-CA"/>
              </w:rPr>
              <w:t>Présence de pressions/menaces significatives : (expansion agricole, exploitation forestière à des fins énergétiques, feux de brousse, charge animale, orpaillage, utilisation importante de pesticides et d’herbicides)</w:t>
            </w:r>
          </w:p>
        </w:tc>
      </w:tr>
      <w:tr w:rsidR="00302BFE" w:rsidRPr="0099310D" w14:paraId="00598A8E" w14:textId="77777777" w:rsidTr="00243B15">
        <w:trPr>
          <w:jc w:val="center"/>
        </w:trPr>
        <w:tc>
          <w:tcPr>
            <w:tcW w:w="846" w:type="dxa"/>
            <w:vMerge/>
            <w:shd w:val="clear" w:color="auto" w:fill="FFF2CC"/>
            <w:vAlign w:val="center"/>
          </w:tcPr>
          <w:p w14:paraId="2D0A4031" w14:textId="77777777" w:rsidR="00302BFE" w:rsidRPr="0075595E" w:rsidRDefault="00302BFE" w:rsidP="00243B15">
            <w:pPr>
              <w:jc w:val="center"/>
              <w:rPr>
                <w:sz w:val="18"/>
                <w:szCs w:val="18"/>
                <w:lang w:val="fr-CA"/>
              </w:rPr>
            </w:pPr>
          </w:p>
        </w:tc>
        <w:tc>
          <w:tcPr>
            <w:tcW w:w="3118" w:type="dxa"/>
            <w:shd w:val="clear" w:color="auto" w:fill="auto"/>
            <w:vAlign w:val="center"/>
          </w:tcPr>
          <w:p w14:paraId="7D4D56AA" w14:textId="77777777" w:rsidR="00302BFE" w:rsidRPr="0075595E" w:rsidRDefault="00302BFE" w:rsidP="00243B15">
            <w:pPr>
              <w:jc w:val="center"/>
              <w:rPr>
                <w:sz w:val="18"/>
                <w:szCs w:val="18"/>
                <w:lang w:val="fr-CA"/>
              </w:rPr>
            </w:pPr>
            <w:r w:rsidRPr="0075595E">
              <w:rPr>
                <w:bCs/>
                <w:sz w:val="18"/>
                <w:szCs w:val="18"/>
                <w:lang w:val="fr-CA"/>
              </w:rPr>
              <w:t>Présence de pressions/menaces significatives : braconnage, activités agricoles, exploitation du bois, etc.</w:t>
            </w:r>
          </w:p>
        </w:tc>
        <w:tc>
          <w:tcPr>
            <w:tcW w:w="3261" w:type="dxa"/>
            <w:shd w:val="clear" w:color="auto" w:fill="auto"/>
            <w:vAlign w:val="center"/>
          </w:tcPr>
          <w:p w14:paraId="1B02A0CF" w14:textId="77777777" w:rsidR="00302BFE" w:rsidRPr="0075595E" w:rsidRDefault="00302BFE" w:rsidP="00243B15">
            <w:pPr>
              <w:jc w:val="center"/>
              <w:rPr>
                <w:bCs/>
                <w:sz w:val="18"/>
                <w:szCs w:val="18"/>
                <w:lang w:val="fr-CA"/>
              </w:rPr>
            </w:pPr>
            <w:r w:rsidRPr="0075595E">
              <w:rPr>
                <w:sz w:val="18"/>
                <w:szCs w:val="18"/>
                <w:lang w:val="fr-CA"/>
              </w:rPr>
              <w:t>Statut intégrant la protection de la diversité faunique, (espèces endémiques, menacées ou vulnérables)</w:t>
            </w:r>
          </w:p>
        </w:tc>
        <w:tc>
          <w:tcPr>
            <w:tcW w:w="2551" w:type="dxa"/>
            <w:vMerge/>
            <w:shd w:val="clear" w:color="auto" w:fill="auto"/>
            <w:vAlign w:val="center"/>
          </w:tcPr>
          <w:p w14:paraId="4EDFF226" w14:textId="77777777" w:rsidR="00302BFE" w:rsidRPr="0075595E" w:rsidRDefault="00302BFE" w:rsidP="00243B15">
            <w:pPr>
              <w:jc w:val="center"/>
              <w:rPr>
                <w:bCs/>
                <w:sz w:val="18"/>
                <w:szCs w:val="18"/>
                <w:lang w:val="fr-CA"/>
              </w:rPr>
            </w:pPr>
          </w:p>
        </w:tc>
      </w:tr>
      <w:tr w:rsidR="00302BFE" w:rsidRPr="00755BF9" w14:paraId="454F6EC0" w14:textId="77777777" w:rsidTr="00243B15">
        <w:trPr>
          <w:jc w:val="center"/>
        </w:trPr>
        <w:tc>
          <w:tcPr>
            <w:tcW w:w="846" w:type="dxa"/>
            <w:vMerge/>
            <w:shd w:val="clear" w:color="auto" w:fill="FFF2CC"/>
            <w:vAlign w:val="center"/>
          </w:tcPr>
          <w:p w14:paraId="06250889" w14:textId="77777777" w:rsidR="00302BFE" w:rsidRPr="0075595E" w:rsidRDefault="00302BFE" w:rsidP="00243B15">
            <w:pPr>
              <w:jc w:val="center"/>
              <w:rPr>
                <w:sz w:val="18"/>
                <w:szCs w:val="18"/>
                <w:lang w:val="fr-CA"/>
              </w:rPr>
            </w:pPr>
          </w:p>
        </w:tc>
        <w:tc>
          <w:tcPr>
            <w:tcW w:w="3118" w:type="dxa"/>
            <w:shd w:val="clear" w:color="auto" w:fill="auto"/>
            <w:vAlign w:val="center"/>
          </w:tcPr>
          <w:p w14:paraId="55C523EC" w14:textId="77777777" w:rsidR="00302BFE" w:rsidRPr="0075595E" w:rsidRDefault="00302BFE" w:rsidP="00243B15">
            <w:pPr>
              <w:jc w:val="center"/>
              <w:rPr>
                <w:sz w:val="18"/>
                <w:szCs w:val="18"/>
                <w:lang w:val="fr-CA"/>
              </w:rPr>
            </w:pPr>
            <w:r w:rsidRPr="0075595E">
              <w:rPr>
                <w:bCs/>
                <w:sz w:val="18"/>
                <w:szCs w:val="18"/>
                <w:lang w:val="fr-CA"/>
              </w:rPr>
              <w:t>Existence d’un Plan d’aménagement, sinon intention manifestée des parties prenantes de doter la ZOVIC d’un plan d’aménagement et de gestion</w:t>
            </w:r>
          </w:p>
        </w:tc>
        <w:tc>
          <w:tcPr>
            <w:tcW w:w="3261" w:type="dxa"/>
            <w:shd w:val="clear" w:color="auto" w:fill="auto"/>
            <w:vAlign w:val="center"/>
          </w:tcPr>
          <w:p w14:paraId="06FFE6C5" w14:textId="77777777" w:rsidR="00302BFE" w:rsidRPr="0075595E" w:rsidRDefault="00302BFE" w:rsidP="00243B15">
            <w:pPr>
              <w:jc w:val="center"/>
              <w:rPr>
                <w:bCs/>
                <w:sz w:val="18"/>
                <w:szCs w:val="18"/>
                <w:lang w:val="fr-CA"/>
              </w:rPr>
            </w:pPr>
            <w:r w:rsidRPr="0075595E">
              <w:rPr>
                <w:bCs/>
                <w:sz w:val="18"/>
                <w:szCs w:val="18"/>
                <w:lang w:val="fr-CA"/>
              </w:rPr>
              <w:t>Présence de pressions/menaces significatives : orpaillage, coupe du bois, braconnage, utilisation importante de pesticides et d’herbicides dans les terroirs riverains</w:t>
            </w:r>
          </w:p>
        </w:tc>
        <w:tc>
          <w:tcPr>
            <w:tcW w:w="2551" w:type="dxa"/>
            <w:vMerge/>
            <w:shd w:val="clear" w:color="auto" w:fill="auto"/>
            <w:vAlign w:val="center"/>
          </w:tcPr>
          <w:p w14:paraId="2244D295" w14:textId="77777777" w:rsidR="00302BFE" w:rsidRPr="0075595E" w:rsidRDefault="00302BFE" w:rsidP="00243B15">
            <w:pPr>
              <w:jc w:val="center"/>
              <w:rPr>
                <w:bCs/>
                <w:sz w:val="18"/>
                <w:szCs w:val="18"/>
                <w:lang w:val="fr-CA"/>
              </w:rPr>
            </w:pPr>
          </w:p>
        </w:tc>
      </w:tr>
      <w:tr w:rsidR="00302BFE" w:rsidRPr="00755BF9" w14:paraId="1D76001C" w14:textId="77777777" w:rsidTr="00243B15">
        <w:trPr>
          <w:jc w:val="center"/>
        </w:trPr>
        <w:tc>
          <w:tcPr>
            <w:tcW w:w="846" w:type="dxa"/>
            <w:vMerge/>
            <w:shd w:val="clear" w:color="auto" w:fill="FFF2CC"/>
            <w:vAlign w:val="center"/>
          </w:tcPr>
          <w:p w14:paraId="1358A6AD" w14:textId="77777777" w:rsidR="00302BFE" w:rsidRPr="0075595E" w:rsidRDefault="00302BFE" w:rsidP="00243B15">
            <w:pPr>
              <w:jc w:val="center"/>
              <w:rPr>
                <w:sz w:val="18"/>
                <w:szCs w:val="18"/>
                <w:lang w:val="fr-CA"/>
              </w:rPr>
            </w:pPr>
          </w:p>
        </w:tc>
        <w:tc>
          <w:tcPr>
            <w:tcW w:w="3118" w:type="dxa"/>
            <w:shd w:val="clear" w:color="auto" w:fill="auto"/>
            <w:vAlign w:val="center"/>
          </w:tcPr>
          <w:p w14:paraId="4AFEF60A" w14:textId="77777777" w:rsidR="00302BFE" w:rsidRPr="0075595E" w:rsidRDefault="00302BFE" w:rsidP="00243B15">
            <w:pPr>
              <w:jc w:val="center"/>
              <w:rPr>
                <w:bCs/>
                <w:sz w:val="18"/>
                <w:szCs w:val="18"/>
                <w:lang w:val="fr-CA"/>
              </w:rPr>
            </w:pPr>
            <w:r w:rsidRPr="0075595E">
              <w:rPr>
                <w:bCs/>
                <w:sz w:val="18"/>
                <w:szCs w:val="18"/>
                <w:lang w:val="fr-CA"/>
              </w:rPr>
              <w:t>Existence d’un organe de gestion (fonctionnel ou non)</w:t>
            </w:r>
          </w:p>
        </w:tc>
        <w:tc>
          <w:tcPr>
            <w:tcW w:w="3261" w:type="dxa"/>
            <w:shd w:val="clear" w:color="auto" w:fill="auto"/>
            <w:vAlign w:val="center"/>
          </w:tcPr>
          <w:p w14:paraId="3231CA81" w14:textId="77777777" w:rsidR="00302BFE" w:rsidRPr="0075595E" w:rsidRDefault="00302BFE" w:rsidP="00243B15">
            <w:pPr>
              <w:jc w:val="center"/>
              <w:rPr>
                <w:bCs/>
                <w:sz w:val="18"/>
                <w:szCs w:val="18"/>
                <w:lang w:val="fr-CA"/>
              </w:rPr>
            </w:pPr>
            <w:r w:rsidRPr="0075595E">
              <w:rPr>
                <w:bCs/>
                <w:sz w:val="18"/>
                <w:szCs w:val="18"/>
                <w:lang w:val="fr-CA"/>
              </w:rPr>
              <w:t>Existence d’un Plan d’aménagement ou en cours d’élaboration intégrant la réhabilitation des terres dégradées</w:t>
            </w:r>
          </w:p>
        </w:tc>
        <w:tc>
          <w:tcPr>
            <w:tcW w:w="2551" w:type="dxa"/>
            <w:vMerge w:val="restart"/>
            <w:shd w:val="clear" w:color="auto" w:fill="auto"/>
            <w:vAlign w:val="center"/>
          </w:tcPr>
          <w:p w14:paraId="3B328DC8" w14:textId="77777777" w:rsidR="00302BFE" w:rsidRPr="0075595E" w:rsidRDefault="00302BFE" w:rsidP="00243B15">
            <w:pPr>
              <w:jc w:val="center"/>
              <w:rPr>
                <w:bCs/>
                <w:sz w:val="18"/>
                <w:szCs w:val="18"/>
                <w:lang w:val="fr-CA"/>
              </w:rPr>
            </w:pPr>
            <w:r w:rsidRPr="0075595E">
              <w:rPr>
                <w:bCs/>
                <w:sz w:val="18"/>
                <w:szCs w:val="18"/>
                <w:lang w:val="fr-CA"/>
              </w:rPr>
              <w:t xml:space="preserve">Les terroirs ASP comportent des signes de dégradation significative des terres : érosion hydrique, dégradation physique, épuisement de la fertilité qui se manifestent notamment par une baisse des </w:t>
            </w:r>
            <w:r w:rsidRPr="0075595E">
              <w:rPr>
                <w:bCs/>
                <w:sz w:val="18"/>
                <w:szCs w:val="18"/>
                <w:lang w:val="fr-CA"/>
              </w:rPr>
              <w:lastRenderedPageBreak/>
              <w:t>rendements des productions agricoles</w:t>
            </w:r>
          </w:p>
        </w:tc>
      </w:tr>
      <w:tr w:rsidR="00302BFE" w:rsidRPr="00755BF9" w14:paraId="66B023CC" w14:textId="77777777" w:rsidTr="00243B15">
        <w:trPr>
          <w:jc w:val="center"/>
        </w:trPr>
        <w:tc>
          <w:tcPr>
            <w:tcW w:w="846" w:type="dxa"/>
            <w:vMerge/>
            <w:shd w:val="clear" w:color="auto" w:fill="FFF2CC"/>
            <w:vAlign w:val="center"/>
          </w:tcPr>
          <w:p w14:paraId="52EEEC77" w14:textId="77777777" w:rsidR="00302BFE" w:rsidRPr="0075595E" w:rsidRDefault="00302BFE" w:rsidP="00243B15">
            <w:pPr>
              <w:jc w:val="center"/>
              <w:rPr>
                <w:sz w:val="18"/>
                <w:szCs w:val="18"/>
                <w:lang w:val="fr-CA"/>
              </w:rPr>
            </w:pPr>
          </w:p>
        </w:tc>
        <w:tc>
          <w:tcPr>
            <w:tcW w:w="3118" w:type="dxa"/>
            <w:vMerge w:val="restart"/>
            <w:shd w:val="clear" w:color="auto" w:fill="auto"/>
            <w:vAlign w:val="center"/>
          </w:tcPr>
          <w:p w14:paraId="32F27736" w14:textId="77777777" w:rsidR="00302BFE" w:rsidRPr="0075595E" w:rsidRDefault="00302BFE" w:rsidP="00243B15">
            <w:pPr>
              <w:jc w:val="center"/>
              <w:rPr>
                <w:bCs/>
                <w:sz w:val="18"/>
                <w:szCs w:val="18"/>
                <w:lang w:val="fr-CA"/>
              </w:rPr>
            </w:pPr>
            <w:r w:rsidRPr="0075595E">
              <w:rPr>
                <w:bCs/>
                <w:sz w:val="18"/>
                <w:szCs w:val="18"/>
                <w:lang w:val="fr-CA"/>
              </w:rPr>
              <w:t>Absence de signes d’envahissement permanents : occupation champêtre ou habitats définitifs à l’intérieur</w:t>
            </w:r>
          </w:p>
        </w:tc>
        <w:tc>
          <w:tcPr>
            <w:tcW w:w="3261" w:type="dxa"/>
            <w:shd w:val="clear" w:color="auto" w:fill="auto"/>
            <w:vAlign w:val="center"/>
          </w:tcPr>
          <w:p w14:paraId="1AD40E43" w14:textId="77777777" w:rsidR="00302BFE" w:rsidRPr="0075595E" w:rsidRDefault="00302BFE" w:rsidP="00243B15">
            <w:pPr>
              <w:jc w:val="center"/>
              <w:rPr>
                <w:bCs/>
                <w:sz w:val="18"/>
                <w:szCs w:val="18"/>
                <w:lang w:val="fr-CA"/>
              </w:rPr>
            </w:pPr>
            <w:r w:rsidRPr="0075595E">
              <w:rPr>
                <w:bCs/>
                <w:sz w:val="18"/>
                <w:szCs w:val="18"/>
                <w:lang w:val="fr-CA"/>
              </w:rPr>
              <w:t>Existence d’un ou de plusieurs organes de surveillance et de gestion de la forêt</w:t>
            </w:r>
          </w:p>
        </w:tc>
        <w:tc>
          <w:tcPr>
            <w:tcW w:w="2551" w:type="dxa"/>
            <w:vMerge/>
            <w:shd w:val="clear" w:color="auto" w:fill="auto"/>
            <w:vAlign w:val="center"/>
          </w:tcPr>
          <w:p w14:paraId="5433EA4B" w14:textId="77777777" w:rsidR="00302BFE" w:rsidRPr="0075595E" w:rsidRDefault="00302BFE" w:rsidP="00243B15">
            <w:pPr>
              <w:jc w:val="center"/>
              <w:rPr>
                <w:bCs/>
                <w:sz w:val="18"/>
                <w:szCs w:val="18"/>
                <w:lang w:val="fr-CA"/>
              </w:rPr>
            </w:pPr>
          </w:p>
        </w:tc>
      </w:tr>
      <w:tr w:rsidR="00302BFE" w:rsidRPr="0099310D" w14:paraId="54E2B624" w14:textId="77777777" w:rsidTr="00243B15">
        <w:trPr>
          <w:jc w:val="center"/>
        </w:trPr>
        <w:tc>
          <w:tcPr>
            <w:tcW w:w="846" w:type="dxa"/>
            <w:vMerge/>
            <w:shd w:val="clear" w:color="auto" w:fill="FFF2CC"/>
            <w:vAlign w:val="center"/>
          </w:tcPr>
          <w:p w14:paraId="0E5A402C" w14:textId="77777777" w:rsidR="00302BFE" w:rsidRPr="0075595E" w:rsidRDefault="00302BFE" w:rsidP="00243B15">
            <w:pPr>
              <w:jc w:val="center"/>
              <w:rPr>
                <w:sz w:val="18"/>
                <w:szCs w:val="18"/>
                <w:lang w:val="fr-CA"/>
              </w:rPr>
            </w:pPr>
          </w:p>
        </w:tc>
        <w:tc>
          <w:tcPr>
            <w:tcW w:w="3118" w:type="dxa"/>
            <w:vMerge/>
            <w:shd w:val="clear" w:color="auto" w:fill="auto"/>
            <w:vAlign w:val="center"/>
          </w:tcPr>
          <w:p w14:paraId="375CA383" w14:textId="77777777" w:rsidR="00302BFE" w:rsidRPr="0075595E" w:rsidRDefault="00302BFE" w:rsidP="00243B15">
            <w:pPr>
              <w:jc w:val="center"/>
              <w:rPr>
                <w:bCs/>
                <w:sz w:val="18"/>
                <w:szCs w:val="18"/>
                <w:lang w:val="fr-CA"/>
              </w:rPr>
            </w:pPr>
          </w:p>
        </w:tc>
        <w:tc>
          <w:tcPr>
            <w:tcW w:w="3261" w:type="dxa"/>
            <w:shd w:val="clear" w:color="auto" w:fill="auto"/>
            <w:vAlign w:val="center"/>
          </w:tcPr>
          <w:p w14:paraId="77F9B606" w14:textId="77777777" w:rsidR="00302BFE" w:rsidRPr="0075595E" w:rsidRDefault="00302BFE" w:rsidP="00243B15">
            <w:pPr>
              <w:jc w:val="center"/>
              <w:rPr>
                <w:bCs/>
                <w:sz w:val="18"/>
                <w:szCs w:val="18"/>
                <w:lang w:val="fr-CA"/>
              </w:rPr>
            </w:pPr>
            <w:r w:rsidRPr="0075595E">
              <w:rPr>
                <w:bCs/>
                <w:sz w:val="18"/>
                <w:szCs w:val="18"/>
                <w:lang w:val="fr-CA"/>
              </w:rPr>
              <w:t>Absence de signes d’envahissement permanents : occupation champêtre ou habitats définitifs à l’intérieur</w:t>
            </w:r>
            <w:r w:rsidRPr="0075595E">
              <w:rPr>
                <w:sz w:val="18"/>
                <w:szCs w:val="18"/>
                <w:lang w:val="fr-CA" w:eastAsia="fr-CA"/>
              </w:rPr>
              <w:t xml:space="preserve"> </w:t>
            </w:r>
          </w:p>
        </w:tc>
        <w:tc>
          <w:tcPr>
            <w:tcW w:w="2551" w:type="dxa"/>
            <w:vMerge/>
            <w:shd w:val="clear" w:color="auto" w:fill="auto"/>
            <w:vAlign w:val="center"/>
          </w:tcPr>
          <w:p w14:paraId="41C8F16D" w14:textId="77777777" w:rsidR="00302BFE" w:rsidRPr="0075595E" w:rsidRDefault="00302BFE" w:rsidP="00243B15">
            <w:pPr>
              <w:jc w:val="center"/>
              <w:rPr>
                <w:bCs/>
                <w:sz w:val="18"/>
                <w:szCs w:val="18"/>
                <w:lang w:val="fr-CA"/>
              </w:rPr>
            </w:pPr>
          </w:p>
        </w:tc>
      </w:tr>
      <w:tr w:rsidR="00302BFE" w:rsidRPr="0099310D" w14:paraId="1D1818C2" w14:textId="77777777" w:rsidTr="00243B15">
        <w:trPr>
          <w:jc w:val="center"/>
        </w:trPr>
        <w:tc>
          <w:tcPr>
            <w:tcW w:w="846" w:type="dxa"/>
            <w:vMerge w:val="restart"/>
            <w:shd w:val="clear" w:color="auto" w:fill="FFF2CC"/>
            <w:textDirection w:val="btLr"/>
            <w:vAlign w:val="center"/>
          </w:tcPr>
          <w:p w14:paraId="1872713A" w14:textId="77777777" w:rsidR="00302BFE" w:rsidRPr="0075595E" w:rsidRDefault="00302BFE" w:rsidP="00243B15">
            <w:pPr>
              <w:jc w:val="center"/>
              <w:rPr>
                <w:sz w:val="18"/>
                <w:szCs w:val="18"/>
              </w:rPr>
            </w:pPr>
            <w:r w:rsidRPr="0075595E">
              <w:rPr>
                <w:b/>
                <w:sz w:val="18"/>
                <w:szCs w:val="18"/>
              </w:rPr>
              <w:t>CRITÈRES SOCIAUX</w:t>
            </w:r>
          </w:p>
        </w:tc>
        <w:tc>
          <w:tcPr>
            <w:tcW w:w="8930" w:type="dxa"/>
            <w:gridSpan w:val="3"/>
            <w:shd w:val="clear" w:color="auto" w:fill="auto"/>
            <w:vAlign w:val="center"/>
          </w:tcPr>
          <w:p w14:paraId="796E71FE" w14:textId="77777777" w:rsidR="00302BFE" w:rsidRPr="0075595E" w:rsidRDefault="00302BFE" w:rsidP="00243B15">
            <w:pPr>
              <w:jc w:val="center"/>
              <w:rPr>
                <w:bCs/>
                <w:sz w:val="18"/>
                <w:szCs w:val="18"/>
                <w:lang w:val="fr-CA"/>
              </w:rPr>
            </w:pPr>
            <w:r w:rsidRPr="0075595E">
              <w:rPr>
                <w:sz w:val="18"/>
                <w:szCs w:val="18"/>
                <w:lang w:val="fr-CA"/>
              </w:rPr>
              <w:t>Le village dépend des ressources forestières ou fauniques des AP pour sa subsistance (PFNL, faune, pêche, terres cultivables, etc.)</w:t>
            </w:r>
          </w:p>
        </w:tc>
      </w:tr>
      <w:tr w:rsidR="00302BFE" w:rsidRPr="0099310D" w14:paraId="72736235" w14:textId="77777777" w:rsidTr="00243B15">
        <w:trPr>
          <w:jc w:val="center"/>
        </w:trPr>
        <w:tc>
          <w:tcPr>
            <w:tcW w:w="846" w:type="dxa"/>
            <w:vMerge/>
            <w:shd w:val="clear" w:color="auto" w:fill="FFF2CC"/>
            <w:vAlign w:val="center"/>
          </w:tcPr>
          <w:p w14:paraId="407A8B24" w14:textId="77777777" w:rsidR="00302BFE" w:rsidRPr="0075595E" w:rsidRDefault="00302BFE" w:rsidP="00243B15">
            <w:pPr>
              <w:jc w:val="center"/>
              <w:rPr>
                <w:sz w:val="18"/>
                <w:szCs w:val="18"/>
                <w:lang w:val="fr-CA"/>
              </w:rPr>
            </w:pPr>
          </w:p>
        </w:tc>
        <w:tc>
          <w:tcPr>
            <w:tcW w:w="8930" w:type="dxa"/>
            <w:gridSpan w:val="3"/>
            <w:shd w:val="clear" w:color="auto" w:fill="auto"/>
            <w:vAlign w:val="center"/>
          </w:tcPr>
          <w:p w14:paraId="3838B48D" w14:textId="77777777" w:rsidR="00302BFE" w:rsidRPr="0075595E" w:rsidRDefault="00302BFE" w:rsidP="00243B15">
            <w:pPr>
              <w:jc w:val="center"/>
              <w:rPr>
                <w:sz w:val="18"/>
                <w:szCs w:val="18"/>
                <w:lang w:val="fr-CA"/>
              </w:rPr>
            </w:pPr>
            <w:r w:rsidRPr="0075595E">
              <w:rPr>
                <w:sz w:val="18"/>
                <w:szCs w:val="18"/>
                <w:lang w:val="fr-CA"/>
              </w:rPr>
              <w:t>Présence de conflits homme-faune</w:t>
            </w:r>
          </w:p>
        </w:tc>
      </w:tr>
      <w:tr w:rsidR="00302BFE" w:rsidRPr="00755BF9" w14:paraId="5967BF6D" w14:textId="77777777" w:rsidTr="00243B15">
        <w:trPr>
          <w:jc w:val="center"/>
        </w:trPr>
        <w:tc>
          <w:tcPr>
            <w:tcW w:w="846" w:type="dxa"/>
            <w:vMerge/>
            <w:shd w:val="clear" w:color="auto" w:fill="FFF2CC"/>
            <w:vAlign w:val="center"/>
          </w:tcPr>
          <w:p w14:paraId="4F8B750D" w14:textId="77777777" w:rsidR="00302BFE" w:rsidRPr="0075595E" w:rsidRDefault="00302BFE" w:rsidP="00243B15">
            <w:pPr>
              <w:jc w:val="center"/>
              <w:rPr>
                <w:sz w:val="18"/>
                <w:szCs w:val="18"/>
                <w:lang w:val="fr-CA"/>
              </w:rPr>
            </w:pPr>
          </w:p>
        </w:tc>
        <w:tc>
          <w:tcPr>
            <w:tcW w:w="8930" w:type="dxa"/>
            <w:gridSpan w:val="3"/>
            <w:shd w:val="clear" w:color="auto" w:fill="auto"/>
            <w:vAlign w:val="center"/>
          </w:tcPr>
          <w:p w14:paraId="34165FD8" w14:textId="77777777" w:rsidR="00302BFE" w:rsidRPr="0075595E" w:rsidRDefault="00302BFE" w:rsidP="00243B15">
            <w:pPr>
              <w:jc w:val="center"/>
              <w:rPr>
                <w:bCs/>
                <w:sz w:val="18"/>
                <w:szCs w:val="18"/>
                <w:lang w:val="fr-CA"/>
              </w:rPr>
            </w:pPr>
            <w:r w:rsidRPr="0075595E">
              <w:rPr>
                <w:sz w:val="18"/>
                <w:szCs w:val="18"/>
                <w:lang w:val="fr-CA"/>
              </w:rPr>
              <w:t>Le taux de vulnérabilité des ménages supérieur à la moyenne locale, incluant l’insécurité alimentaire</w:t>
            </w:r>
          </w:p>
        </w:tc>
      </w:tr>
      <w:tr w:rsidR="00302BFE" w:rsidRPr="0099310D" w14:paraId="3C9CC125" w14:textId="77777777" w:rsidTr="00243B15">
        <w:trPr>
          <w:jc w:val="center"/>
        </w:trPr>
        <w:tc>
          <w:tcPr>
            <w:tcW w:w="846" w:type="dxa"/>
            <w:vMerge w:val="restart"/>
            <w:shd w:val="clear" w:color="auto" w:fill="FFF2CC"/>
            <w:textDirection w:val="btLr"/>
            <w:vAlign w:val="center"/>
          </w:tcPr>
          <w:p w14:paraId="7C27B041" w14:textId="77777777" w:rsidR="00302BFE" w:rsidRPr="0075595E" w:rsidRDefault="00302BFE" w:rsidP="00243B15">
            <w:pPr>
              <w:jc w:val="center"/>
              <w:rPr>
                <w:sz w:val="18"/>
                <w:szCs w:val="18"/>
              </w:rPr>
            </w:pPr>
            <w:r w:rsidRPr="0075595E">
              <w:rPr>
                <w:b/>
                <w:sz w:val="18"/>
                <w:szCs w:val="18"/>
              </w:rPr>
              <w:t>CRITÈRES ÉCONO-MIQUES</w:t>
            </w:r>
          </w:p>
        </w:tc>
        <w:tc>
          <w:tcPr>
            <w:tcW w:w="3118" w:type="dxa"/>
            <w:shd w:val="clear" w:color="auto" w:fill="auto"/>
            <w:vAlign w:val="center"/>
          </w:tcPr>
          <w:p w14:paraId="19A1B0E4" w14:textId="77777777" w:rsidR="00302BFE" w:rsidRPr="0075595E" w:rsidRDefault="00302BFE" w:rsidP="00243B15">
            <w:pPr>
              <w:jc w:val="center"/>
              <w:rPr>
                <w:sz w:val="18"/>
                <w:szCs w:val="18"/>
                <w:lang w:val="fr-CA" w:eastAsia="fr-CA"/>
              </w:rPr>
            </w:pPr>
            <w:r w:rsidRPr="0075595E">
              <w:rPr>
                <w:sz w:val="18"/>
                <w:szCs w:val="18"/>
                <w:lang w:val="fr-CA"/>
              </w:rPr>
              <w:t>Potentiel culturel et/ou artisanal à valoriser par le développement du tourisme, en plus de la chasse et du tourisme de vision</w:t>
            </w:r>
          </w:p>
        </w:tc>
        <w:tc>
          <w:tcPr>
            <w:tcW w:w="3261" w:type="dxa"/>
            <w:shd w:val="clear" w:color="auto" w:fill="auto"/>
            <w:vAlign w:val="center"/>
          </w:tcPr>
          <w:p w14:paraId="6B0BD74B" w14:textId="77777777" w:rsidR="00302BFE" w:rsidRPr="0075595E" w:rsidRDefault="00302BFE" w:rsidP="00243B15">
            <w:pPr>
              <w:jc w:val="center"/>
              <w:rPr>
                <w:bCs/>
                <w:sz w:val="18"/>
                <w:szCs w:val="18"/>
                <w:lang w:val="fr-CA"/>
              </w:rPr>
            </w:pPr>
          </w:p>
        </w:tc>
        <w:tc>
          <w:tcPr>
            <w:tcW w:w="2551" w:type="dxa"/>
            <w:shd w:val="clear" w:color="auto" w:fill="auto"/>
            <w:vAlign w:val="center"/>
          </w:tcPr>
          <w:p w14:paraId="404F487D" w14:textId="77777777" w:rsidR="00302BFE" w:rsidRPr="0075595E" w:rsidRDefault="00302BFE" w:rsidP="00243B15">
            <w:pPr>
              <w:jc w:val="center"/>
              <w:rPr>
                <w:bCs/>
                <w:sz w:val="18"/>
                <w:szCs w:val="18"/>
                <w:lang w:val="fr-CA"/>
              </w:rPr>
            </w:pPr>
            <w:r w:rsidRPr="0075595E">
              <w:rPr>
                <w:sz w:val="18"/>
                <w:szCs w:val="18"/>
                <w:lang w:val="fr-CA"/>
              </w:rPr>
              <w:t>Présence d’organisations paysannes actives dans le secteur agricole, notamment sur des filières reconnues au niveau national</w:t>
            </w:r>
          </w:p>
        </w:tc>
      </w:tr>
      <w:tr w:rsidR="00302BFE" w:rsidRPr="0099310D" w14:paraId="20573865" w14:textId="77777777" w:rsidTr="00243B15">
        <w:trPr>
          <w:jc w:val="center"/>
        </w:trPr>
        <w:tc>
          <w:tcPr>
            <w:tcW w:w="846" w:type="dxa"/>
            <w:vMerge/>
            <w:shd w:val="clear" w:color="auto" w:fill="FFF2CC"/>
            <w:vAlign w:val="center"/>
          </w:tcPr>
          <w:p w14:paraId="64AA8B32" w14:textId="77777777" w:rsidR="00302BFE" w:rsidRPr="0075595E" w:rsidRDefault="00302BFE" w:rsidP="00243B15">
            <w:pPr>
              <w:jc w:val="center"/>
              <w:rPr>
                <w:sz w:val="18"/>
                <w:szCs w:val="18"/>
                <w:lang w:val="fr-CA"/>
              </w:rPr>
            </w:pPr>
          </w:p>
        </w:tc>
        <w:tc>
          <w:tcPr>
            <w:tcW w:w="8930" w:type="dxa"/>
            <w:gridSpan w:val="3"/>
            <w:shd w:val="clear" w:color="auto" w:fill="auto"/>
            <w:vAlign w:val="center"/>
          </w:tcPr>
          <w:p w14:paraId="7DAAE66F" w14:textId="77777777" w:rsidR="00302BFE" w:rsidRPr="0075595E" w:rsidRDefault="00302BFE" w:rsidP="00243B15">
            <w:pPr>
              <w:jc w:val="center"/>
              <w:rPr>
                <w:bCs/>
                <w:sz w:val="18"/>
                <w:szCs w:val="18"/>
                <w:lang w:val="fr-CA"/>
              </w:rPr>
            </w:pPr>
            <w:r w:rsidRPr="0075595E">
              <w:rPr>
                <w:bCs/>
                <w:sz w:val="18"/>
                <w:szCs w:val="18"/>
                <w:lang w:val="fr-CA"/>
              </w:rPr>
              <w:t>La population mène des activités d’exploitation des ressources forestières qui génèrent des revenus monétaires</w:t>
            </w:r>
          </w:p>
        </w:tc>
      </w:tr>
      <w:tr w:rsidR="00302BFE" w:rsidRPr="0099310D" w14:paraId="435C8B87" w14:textId="77777777" w:rsidTr="00243B15">
        <w:trPr>
          <w:jc w:val="center"/>
        </w:trPr>
        <w:tc>
          <w:tcPr>
            <w:tcW w:w="846" w:type="dxa"/>
            <w:vMerge/>
            <w:shd w:val="clear" w:color="auto" w:fill="FFF2CC"/>
            <w:vAlign w:val="center"/>
          </w:tcPr>
          <w:p w14:paraId="4D1B4F23" w14:textId="77777777" w:rsidR="00302BFE" w:rsidRPr="0075595E" w:rsidRDefault="00302BFE" w:rsidP="00243B15">
            <w:pPr>
              <w:jc w:val="center"/>
              <w:rPr>
                <w:sz w:val="18"/>
                <w:szCs w:val="18"/>
                <w:lang w:val="fr-CA"/>
              </w:rPr>
            </w:pPr>
          </w:p>
        </w:tc>
        <w:tc>
          <w:tcPr>
            <w:tcW w:w="8930" w:type="dxa"/>
            <w:gridSpan w:val="3"/>
            <w:shd w:val="clear" w:color="auto" w:fill="auto"/>
            <w:vAlign w:val="center"/>
          </w:tcPr>
          <w:p w14:paraId="2BB7C064" w14:textId="77777777" w:rsidR="00302BFE" w:rsidRPr="0075595E" w:rsidRDefault="00302BFE" w:rsidP="00243B15">
            <w:pPr>
              <w:jc w:val="center"/>
              <w:rPr>
                <w:bCs/>
                <w:sz w:val="18"/>
                <w:szCs w:val="18"/>
                <w:lang w:val="fr-CA"/>
              </w:rPr>
            </w:pPr>
            <w:r w:rsidRPr="0075595E">
              <w:rPr>
                <w:sz w:val="18"/>
                <w:szCs w:val="18"/>
                <w:lang w:val="fr-CA"/>
              </w:rPr>
              <w:t>Présence de structures / organisations de valorisation des ressources forestières ou fauniques (PFNL, artisanat, tourisme, etc.)</w:t>
            </w:r>
          </w:p>
        </w:tc>
      </w:tr>
      <w:tr w:rsidR="00302BFE" w:rsidRPr="00755BF9" w14:paraId="716A45A5" w14:textId="77777777" w:rsidTr="00243B15">
        <w:trPr>
          <w:cantSplit/>
          <w:trHeight w:val="1134"/>
          <w:jc w:val="center"/>
        </w:trPr>
        <w:tc>
          <w:tcPr>
            <w:tcW w:w="846" w:type="dxa"/>
            <w:shd w:val="clear" w:color="auto" w:fill="FFF2CC"/>
            <w:tcMar>
              <w:left w:w="28" w:type="dxa"/>
              <w:right w:w="28" w:type="dxa"/>
            </w:tcMar>
            <w:textDirection w:val="btLr"/>
            <w:vAlign w:val="center"/>
          </w:tcPr>
          <w:p w14:paraId="506193A8" w14:textId="77777777" w:rsidR="00302BFE" w:rsidRPr="0075595E" w:rsidRDefault="00302BFE" w:rsidP="00243B15">
            <w:pPr>
              <w:jc w:val="center"/>
              <w:rPr>
                <w:sz w:val="18"/>
                <w:szCs w:val="18"/>
              </w:rPr>
            </w:pPr>
            <w:r w:rsidRPr="0075595E">
              <w:rPr>
                <w:b/>
                <w:sz w:val="18"/>
                <w:szCs w:val="18"/>
              </w:rPr>
              <w:t>CRITÈRE COFINAN-CEMENT</w:t>
            </w:r>
          </w:p>
        </w:tc>
        <w:tc>
          <w:tcPr>
            <w:tcW w:w="8930" w:type="dxa"/>
            <w:gridSpan w:val="3"/>
            <w:shd w:val="clear" w:color="auto" w:fill="auto"/>
            <w:vAlign w:val="center"/>
          </w:tcPr>
          <w:p w14:paraId="4A6A7729" w14:textId="77777777" w:rsidR="00302BFE" w:rsidRPr="0075595E" w:rsidRDefault="00302BFE" w:rsidP="00243B15">
            <w:pPr>
              <w:jc w:val="center"/>
              <w:rPr>
                <w:sz w:val="18"/>
                <w:szCs w:val="18"/>
                <w:lang w:val="fr-CA"/>
              </w:rPr>
            </w:pPr>
            <w:r w:rsidRPr="0075595E">
              <w:rPr>
                <w:bCs/>
                <w:sz w:val="18"/>
                <w:szCs w:val="18"/>
                <w:lang w:val="fr-CA"/>
              </w:rPr>
              <w:t>Le Gouvernement et/ou ses partenaires (bilatéraux, multilatéraux, ONG ou sociétés privées) investissement ou prévoient investir (au moins au niveau communal) dans des programmes ou plans de développement qui sont pertinents aux interventions du projet PONASI</w:t>
            </w:r>
          </w:p>
        </w:tc>
      </w:tr>
    </w:tbl>
    <w:p w14:paraId="14FEBE69" w14:textId="77777777" w:rsidR="00302BFE" w:rsidRPr="00091F0E" w:rsidRDefault="00302BFE" w:rsidP="00302BFE">
      <w:pPr>
        <w:pStyle w:val="Lgende"/>
        <w:spacing w:before="240" w:after="60"/>
        <w:jc w:val="both"/>
        <w:rPr>
          <w:rFonts w:ascii="Calibri" w:hAnsi="Calibri"/>
          <w:sz w:val="22"/>
          <w:szCs w:val="22"/>
          <w:lang w:val="fr-CA"/>
        </w:rPr>
      </w:pPr>
      <w:bookmarkStart w:id="113" w:name="_Toc534626768"/>
      <w:bookmarkStart w:id="114" w:name="_Toc2166330"/>
      <w:bookmarkStart w:id="115" w:name="_Hlk2760834"/>
      <w:r w:rsidRPr="00091F0E">
        <w:rPr>
          <w:rFonts w:ascii="Calibri" w:hAnsi="Calibri"/>
          <w:sz w:val="22"/>
          <w:szCs w:val="22"/>
          <w:lang w:val="fr-CA"/>
        </w:rPr>
        <w:t xml:space="preserve">Tableau G: </w:t>
      </w:r>
      <w:bookmarkEnd w:id="113"/>
      <w:bookmarkEnd w:id="114"/>
      <w:r w:rsidRPr="00091F0E">
        <w:rPr>
          <w:rFonts w:ascii="Calibri" w:hAnsi="Calibri"/>
          <w:sz w:val="22"/>
          <w:szCs w:val="22"/>
          <w:lang w:val="fr-CA"/>
        </w:rPr>
        <w:t>Sites sélectionnés pour les interventions pilot</w:t>
      </w:r>
      <w:r>
        <w:rPr>
          <w:rFonts w:ascii="Calibri" w:hAnsi="Calibri"/>
          <w:sz w:val="22"/>
          <w:szCs w:val="22"/>
          <w:lang w:val="fr-CA"/>
        </w:rPr>
        <w:t>es</w:t>
      </w:r>
      <w:r w:rsidRPr="00091F0E">
        <w:rPr>
          <w:rFonts w:ascii="Calibri" w:hAnsi="Calibri"/>
          <w:sz w:val="22"/>
          <w:szCs w:val="22"/>
          <w:lang w:val="fr-CA"/>
        </w:rPr>
        <w:t xml:space="preserve"> </w:t>
      </w:r>
    </w:p>
    <w:tbl>
      <w:tblPr>
        <w:tblW w:w="5000" w:type="pct"/>
        <w:jc w:val="center"/>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firstRow="1" w:lastRow="0" w:firstColumn="1" w:lastColumn="0" w:noHBand="0" w:noVBand="1"/>
      </w:tblPr>
      <w:tblGrid>
        <w:gridCol w:w="1209"/>
        <w:gridCol w:w="1316"/>
        <w:gridCol w:w="2477"/>
        <w:gridCol w:w="5788"/>
      </w:tblGrid>
      <w:tr w:rsidR="00302BFE" w:rsidRPr="0075595E" w14:paraId="554E7B67" w14:textId="77777777" w:rsidTr="00243B15">
        <w:trPr>
          <w:cantSplit/>
          <w:tblHeader/>
          <w:jc w:val="center"/>
        </w:trPr>
        <w:tc>
          <w:tcPr>
            <w:tcW w:w="560" w:type="pct"/>
            <w:tcBorders>
              <w:bottom w:val="single" w:sz="12" w:space="0" w:color="A8D08D"/>
            </w:tcBorders>
            <w:shd w:val="clear" w:color="auto" w:fill="FFF2CC"/>
          </w:tcPr>
          <w:p w14:paraId="0BDB722D" w14:textId="77777777" w:rsidR="00302BFE" w:rsidRPr="0075595E" w:rsidRDefault="00302BFE" w:rsidP="00243B15">
            <w:pPr>
              <w:rPr>
                <w:rFonts w:eastAsia="Calibri"/>
                <w:b/>
                <w:bCs/>
                <w:sz w:val="18"/>
                <w:szCs w:val="18"/>
              </w:rPr>
            </w:pPr>
            <w:bookmarkStart w:id="116" w:name="_Hlk534541933"/>
            <w:r w:rsidRPr="0075595E">
              <w:rPr>
                <w:rFonts w:eastAsia="Calibri"/>
                <w:b/>
                <w:bCs/>
                <w:sz w:val="18"/>
                <w:szCs w:val="18"/>
              </w:rPr>
              <w:t>Commune</w:t>
            </w:r>
          </w:p>
        </w:tc>
        <w:tc>
          <w:tcPr>
            <w:tcW w:w="610" w:type="pct"/>
            <w:tcBorders>
              <w:bottom w:val="single" w:sz="12" w:space="0" w:color="A8D08D"/>
            </w:tcBorders>
            <w:shd w:val="clear" w:color="auto" w:fill="FFF2CC"/>
          </w:tcPr>
          <w:p w14:paraId="7CB7EC61" w14:textId="77777777" w:rsidR="00302BFE" w:rsidRPr="0075595E" w:rsidRDefault="00302BFE" w:rsidP="00243B15">
            <w:pPr>
              <w:rPr>
                <w:rFonts w:eastAsia="Calibri"/>
                <w:b/>
                <w:bCs/>
                <w:sz w:val="18"/>
                <w:szCs w:val="18"/>
              </w:rPr>
            </w:pPr>
            <w:r w:rsidRPr="0075595E">
              <w:rPr>
                <w:rFonts w:eastAsia="Calibri"/>
                <w:b/>
                <w:bCs/>
                <w:sz w:val="18"/>
                <w:szCs w:val="18"/>
              </w:rPr>
              <w:t>Sites (villages)</w:t>
            </w:r>
          </w:p>
        </w:tc>
        <w:tc>
          <w:tcPr>
            <w:tcW w:w="1148" w:type="pct"/>
            <w:tcBorders>
              <w:bottom w:val="single" w:sz="12" w:space="0" w:color="A8D08D"/>
            </w:tcBorders>
            <w:shd w:val="clear" w:color="auto" w:fill="FFF2CC"/>
          </w:tcPr>
          <w:p w14:paraId="36F442BE" w14:textId="77777777" w:rsidR="00302BFE" w:rsidRPr="0075595E" w:rsidRDefault="00302BFE" w:rsidP="00243B15">
            <w:pPr>
              <w:rPr>
                <w:rFonts w:eastAsia="Calibri"/>
                <w:b/>
                <w:bCs/>
                <w:sz w:val="18"/>
                <w:szCs w:val="18"/>
              </w:rPr>
            </w:pPr>
            <w:r w:rsidRPr="0075595E">
              <w:rPr>
                <w:rFonts w:eastAsia="Calibri"/>
                <w:b/>
                <w:bCs/>
                <w:sz w:val="18"/>
                <w:szCs w:val="18"/>
              </w:rPr>
              <w:t xml:space="preserve">Identification du site </w:t>
            </w:r>
          </w:p>
        </w:tc>
        <w:tc>
          <w:tcPr>
            <w:tcW w:w="2682" w:type="pct"/>
            <w:tcBorders>
              <w:bottom w:val="single" w:sz="12" w:space="0" w:color="A8D08D"/>
            </w:tcBorders>
            <w:shd w:val="clear" w:color="auto" w:fill="FFF2CC"/>
          </w:tcPr>
          <w:p w14:paraId="53B15674" w14:textId="77777777" w:rsidR="00302BFE" w:rsidRPr="0075595E" w:rsidRDefault="00302BFE" w:rsidP="00243B15">
            <w:pPr>
              <w:rPr>
                <w:rFonts w:eastAsia="Calibri"/>
                <w:b/>
                <w:bCs/>
                <w:sz w:val="18"/>
                <w:szCs w:val="18"/>
              </w:rPr>
            </w:pPr>
            <w:r w:rsidRPr="0075595E">
              <w:rPr>
                <w:rFonts w:eastAsia="Calibri"/>
                <w:b/>
                <w:bCs/>
                <w:sz w:val="18"/>
                <w:szCs w:val="18"/>
              </w:rPr>
              <w:t>Spécificités</w:t>
            </w:r>
          </w:p>
        </w:tc>
      </w:tr>
      <w:tr w:rsidR="00302BFE" w:rsidRPr="00755BF9" w14:paraId="7BC82D98" w14:textId="77777777" w:rsidTr="00243B15">
        <w:trPr>
          <w:jc w:val="center"/>
        </w:trPr>
        <w:tc>
          <w:tcPr>
            <w:tcW w:w="560" w:type="pct"/>
            <w:shd w:val="clear" w:color="auto" w:fill="auto"/>
          </w:tcPr>
          <w:p w14:paraId="3EE10166" w14:textId="77777777" w:rsidR="00302BFE" w:rsidRPr="0075595E" w:rsidRDefault="00302BFE" w:rsidP="00243B15">
            <w:pPr>
              <w:rPr>
                <w:rFonts w:eastAsia="Calibri"/>
                <w:b/>
                <w:bCs/>
                <w:sz w:val="18"/>
                <w:szCs w:val="18"/>
              </w:rPr>
            </w:pPr>
            <w:r w:rsidRPr="0075595E">
              <w:rPr>
                <w:rFonts w:eastAsia="Calibri"/>
                <w:b/>
                <w:bCs/>
                <w:sz w:val="18"/>
                <w:szCs w:val="18"/>
              </w:rPr>
              <w:t>Zabré</w:t>
            </w:r>
          </w:p>
        </w:tc>
        <w:tc>
          <w:tcPr>
            <w:tcW w:w="610" w:type="pct"/>
            <w:shd w:val="clear" w:color="auto" w:fill="auto"/>
          </w:tcPr>
          <w:p w14:paraId="58FF7DDF" w14:textId="77777777" w:rsidR="00302BFE" w:rsidRPr="0075595E" w:rsidRDefault="00302BFE" w:rsidP="00243B15">
            <w:pPr>
              <w:rPr>
                <w:rFonts w:eastAsia="Calibri"/>
                <w:sz w:val="18"/>
                <w:szCs w:val="18"/>
              </w:rPr>
            </w:pPr>
            <w:r w:rsidRPr="0075595E">
              <w:rPr>
                <w:rFonts w:eastAsia="Calibri"/>
                <w:sz w:val="18"/>
                <w:szCs w:val="18"/>
              </w:rPr>
              <w:t>Mangagou</w:t>
            </w:r>
          </w:p>
        </w:tc>
        <w:tc>
          <w:tcPr>
            <w:tcW w:w="1148" w:type="pct"/>
            <w:shd w:val="clear" w:color="auto" w:fill="auto"/>
          </w:tcPr>
          <w:p w14:paraId="5C8CA95B" w14:textId="77777777" w:rsidR="00302BFE" w:rsidRPr="0075595E" w:rsidRDefault="00302BFE" w:rsidP="00243B15">
            <w:pPr>
              <w:rPr>
                <w:rFonts w:eastAsia="Calibri"/>
                <w:sz w:val="18"/>
                <w:szCs w:val="18"/>
                <w:lang w:val="fr-CA"/>
              </w:rPr>
            </w:pPr>
            <w:r w:rsidRPr="0075595E">
              <w:rPr>
                <w:rFonts w:eastAsia="Calibri"/>
                <w:sz w:val="18"/>
                <w:szCs w:val="18"/>
                <w:lang w:val="fr-CA"/>
              </w:rPr>
              <w:t>Terroir Agro-Sylvo-Pastoral (ASP) situé en lisière du corridor Sud-Est du PNKT (#2)</w:t>
            </w:r>
          </w:p>
        </w:tc>
        <w:tc>
          <w:tcPr>
            <w:tcW w:w="2682" w:type="pct"/>
            <w:shd w:val="clear" w:color="auto" w:fill="auto"/>
          </w:tcPr>
          <w:p w14:paraId="1B49DDA1" w14:textId="77777777" w:rsidR="00302BFE" w:rsidRPr="0075595E" w:rsidRDefault="00302BFE" w:rsidP="00243B15">
            <w:pPr>
              <w:rPr>
                <w:rFonts w:eastAsia="Calibri"/>
                <w:sz w:val="18"/>
                <w:szCs w:val="18"/>
                <w:lang w:val="fr-CA"/>
              </w:rPr>
            </w:pPr>
            <w:r w:rsidRPr="0075595E">
              <w:rPr>
                <w:rFonts w:eastAsia="Calibri"/>
                <w:sz w:val="18"/>
                <w:szCs w:val="18"/>
                <w:lang w:val="fr-CA"/>
              </w:rPr>
              <w:t>Village ayant bénéficié de plusieurs actions soutenues par divers partenaires et ouvert à participer</w:t>
            </w:r>
          </w:p>
        </w:tc>
      </w:tr>
      <w:tr w:rsidR="00302BFE" w:rsidRPr="00755BF9" w14:paraId="1A742EE8" w14:textId="77777777" w:rsidTr="00243B15">
        <w:trPr>
          <w:jc w:val="center"/>
        </w:trPr>
        <w:tc>
          <w:tcPr>
            <w:tcW w:w="560" w:type="pct"/>
            <w:shd w:val="clear" w:color="auto" w:fill="auto"/>
          </w:tcPr>
          <w:p w14:paraId="498A24B1" w14:textId="77777777" w:rsidR="00302BFE" w:rsidRPr="0075595E" w:rsidRDefault="00302BFE" w:rsidP="00243B15">
            <w:pPr>
              <w:rPr>
                <w:rFonts w:eastAsia="Calibri"/>
                <w:b/>
                <w:bCs/>
                <w:sz w:val="18"/>
                <w:szCs w:val="18"/>
              </w:rPr>
            </w:pPr>
            <w:r w:rsidRPr="0075595E">
              <w:rPr>
                <w:rFonts w:eastAsia="Calibri"/>
                <w:b/>
                <w:bCs/>
                <w:sz w:val="18"/>
                <w:szCs w:val="18"/>
              </w:rPr>
              <w:t>Zoaga</w:t>
            </w:r>
          </w:p>
        </w:tc>
        <w:tc>
          <w:tcPr>
            <w:tcW w:w="610" w:type="pct"/>
            <w:shd w:val="clear" w:color="auto" w:fill="auto"/>
          </w:tcPr>
          <w:p w14:paraId="53AE7989" w14:textId="77777777" w:rsidR="00302BFE" w:rsidRPr="0075595E" w:rsidRDefault="00302BFE" w:rsidP="00243B15">
            <w:pPr>
              <w:rPr>
                <w:rFonts w:eastAsia="Calibri"/>
                <w:sz w:val="18"/>
                <w:szCs w:val="18"/>
              </w:rPr>
            </w:pPr>
            <w:r w:rsidRPr="0075595E">
              <w:rPr>
                <w:rFonts w:eastAsia="Calibri"/>
                <w:sz w:val="18"/>
                <w:szCs w:val="18"/>
              </w:rPr>
              <w:t>Zerbogo</w:t>
            </w:r>
          </w:p>
        </w:tc>
        <w:tc>
          <w:tcPr>
            <w:tcW w:w="1148" w:type="pct"/>
            <w:shd w:val="clear" w:color="auto" w:fill="auto"/>
          </w:tcPr>
          <w:p w14:paraId="67795170" w14:textId="77777777" w:rsidR="00302BFE" w:rsidRPr="0075595E" w:rsidRDefault="00302BFE" w:rsidP="00243B15">
            <w:pPr>
              <w:rPr>
                <w:rFonts w:eastAsia="Calibri"/>
                <w:sz w:val="18"/>
                <w:szCs w:val="18"/>
                <w:lang w:val="fr-CA"/>
              </w:rPr>
            </w:pPr>
            <w:r w:rsidRPr="0075595E">
              <w:rPr>
                <w:rFonts w:eastAsia="Calibri"/>
                <w:sz w:val="18"/>
                <w:szCs w:val="18"/>
                <w:lang w:val="fr-CA"/>
              </w:rPr>
              <w:t>Terroir ASP situé en lisière du Corridor Sud-Est du PNKT (#2)</w:t>
            </w:r>
          </w:p>
        </w:tc>
        <w:tc>
          <w:tcPr>
            <w:tcW w:w="2682" w:type="pct"/>
            <w:shd w:val="clear" w:color="auto" w:fill="auto"/>
          </w:tcPr>
          <w:p w14:paraId="34361945" w14:textId="77777777" w:rsidR="00302BFE" w:rsidRPr="0075595E" w:rsidRDefault="00302BFE" w:rsidP="00243B15">
            <w:pPr>
              <w:rPr>
                <w:rFonts w:eastAsia="Calibri"/>
                <w:sz w:val="18"/>
                <w:szCs w:val="18"/>
                <w:lang w:val="fr-CA"/>
              </w:rPr>
            </w:pPr>
            <w:r w:rsidRPr="0075595E">
              <w:rPr>
                <w:rFonts w:eastAsia="Calibri"/>
                <w:sz w:val="18"/>
                <w:szCs w:val="18"/>
                <w:lang w:val="fr-CA"/>
              </w:rPr>
              <w:t>Village type représentant les enjeux de gestion des conflits homme-faune dans le corridor #2, liés à une intervention inachevée de sécurisation du corridor, laissant les populations riveraines dans une situation d’incertitude quant à son statut. La situation est aggravée par la forte pression des éléphants, la lenteur excessive des procédures de compensation des dégâts causés par les éléphants (des PV de constat de 2017 ne sont pas réglés) et la pression croissante des orpailleurs, de telle sorte que les populations des villages riverains du corridor dans la Commune de Zoaga (dont Zerbogo) remettent en cause le statut du corridor.</w:t>
            </w:r>
          </w:p>
        </w:tc>
      </w:tr>
      <w:tr w:rsidR="00302BFE" w:rsidRPr="0099310D" w14:paraId="33F1A44A" w14:textId="77777777" w:rsidTr="00243B15">
        <w:trPr>
          <w:trHeight w:val="667"/>
          <w:jc w:val="center"/>
        </w:trPr>
        <w:tc>
          <w:tcPr>
            <w:tcW w:w="560" w:type="pct"/>
            <w:vMerge w:val="restart"/>
            <w:shd w:val="clear" w:color="auto" w:fill="auto"/>
          </w:tcPr>
          <w:p w14:paraId="76382EA7" w14:textId="77777777" w:rsidR="00302BFE" w:rsidRPr="0075595E" w:rsidRDefault="00302BFE" w:rsidP="00243B15">
            <w:pPr>
              <w:rPr>
                <w:rFonts w:eastAsia="Calibri"/>
                <w:b/>
                <w:bCs/>
                <w:sz w:val="18"/>
                <w:szCs w:val="18"/>
              </w:rPr>
            </w:pPr>
            <w:r w:rsidRPr="0075595E">
              <w:rPr>
                <w:rFonts w:eastAsia="Calibri"/>
                <w:b/>
                <w:bCs/>
                <w:sz w:val="18"/>
                <w:szCs w:val="18"/>
              </w:rPr>
              <w:t>Guiaro</w:t>
            </w:r>
          </w:p>
        </w:tc>
        <w:tc>
          <w:tcPr>
            <w:tcW w:w="610" w:type="pct"/>
            <w:shd w:val="clear" w:color="auto" w:fill="auto"/>
          </w:tcPr>
          <w:p w14:paraId="6462BB98" w14:textId="77777777" w:rsidR="00302BFE" w:rsidRPr="0075595E" w:rsidRDefault="00302BFE" w:rsidP="00243B15">
            <w:pPr>
              <w:rPr>
                <w:rFonts w:eastAsia="Calibri"/>
                <w:sz w:val="18"/>
                <w:szCs w:val="18"/>
              </w:rPr>
            </w:pPr>
            <w:r w:rsidRPr="0075595E">
              <w:rPr>
                <w:rFonts w:eastAsia="Calibri"/>
                <w:sz w:val="18"/>
                <w:szCs w:val="18"/>
              </w:rPr>
              <w:t>Saro</w:t>
            </w:r>
          </w:p>
        </w:tc>
        <w:tc>
          <w:tcPr>
            <w:tcW w:w="1148" w:type="pct"/>
            <w:shd w:val="clear" w:color="auto" w:fill="auto"/>
          </w:tcPr>
          <w:p w14:paraId="3AC3AB08" w14:textId="77777777" w:rsidR="00302BFE" w:rsidRPr="0075595E" w:rsidRDefault="00302BFE" w:rsidP="00243B15">
            <w:pPr>
              <w:rPr>
                <w:rFonts w:eastAsia="Calibri"/>
                <w:sz w:val="18"/>
                <w:szCs w:val="18"/>
                <w:lang w:val="fr-CA"/>
              </w:rPr>
            </w:pPr>
            <w:r w:rsidRPr="0075595E">
              <w:rPr>
                <w:rFonts w:eastAsia="Calibri"/>
                <w:sz w:val="18"/>
                <w:szCs w:val="18"/>
                <w:lang w:val="fr-CA"/>
              </w:rPr>
              <w:t>Terroir ASP contigu au corridor #1 reliant le PNKT au Ranch du Gibier de Nazinga</w:t>
            </w:r>
          </w:p>
        </w:tc>
        <w:tc>
          <w:tcPr>
            <w:tcW w:w="2682" w:type="pct"/>
            <w:shd w:val="clear" w:color="auto" w:fill="auto"/>
          </w:tcPr>
          <w:p w14:paraId="7F85328F" w14:textId="77777777" w:rsidR="00302BFE" w:rsidRPr="0075595E" w:rsidRDefault="00302BFE" w:rsidP="00243B15">
            <w:pPr>
              <w:rPr>
                <w:rFonts w:eastAsia="Calibri"/>
                <w:sz w:val="18"/>
                <w:szCs w:val="18"/>
                <w:lang w:val="fr-CA"/>
              </w:rPr>
            </w:pPr>
            <w:r w:rsidRPr="0075595E">
              <w:rPr>
                <w:rFonts w:eastAsia="Calibri"/>
                <w:sz w:val="18"/>
                <w:szCs w:val="18"/>
                <w:lang w:val="fr-CA"/>
              </w:rPr>
              <w:t>Le terroir abrite une ZOVIC et une zone pastorale</w:t>
            </w:r>
          </w:p>
        </w:tc>
      </w:tr>
      <w:tr w:rsidR="00302BFE" w:rsidRPr="0099310D" w14:paraId="089BA354" w14:textId="77777777" w:rsidTr="00243B15">
        <w:trPr>
          <w:trHeight w:val="251"/>
          <w:jc w:val="center"/>
        </w:trPr>
        <w:tc>
          <w:tcPr>
            <w:tcW w:w="560" w:type="pct"/>
            <w:vMerge/>
            <w:shd w:val="clear" w:color="auto" w:fill="auto"/>
          </w:tcPr>
          <w:p w14:paraId="58388CF6" w14:textId="77777777" w:rsidR="00302BFE" w:rsidRPr="0075595E" w:rsidRDefault="00302BFE" w:rsidP="00243B15">
            <w:pPr>
              <w:rPr>
                <w:rFonts w:eastAsia="Calibri"/>
                <w:b/>
                <w:bCs/>
                <w:sz w:val="18"/>
                <w:szCs w:val="18"/>
                <w:lang w:val="fr-CA"/>
              </w:rPr>
            </w:pPr>
          </w:p>
        </w:tc>
        <w:tc>
          <w:tcPr>
            <w:tcW w:w="610" w:type="pct"/>
            <w:shd w:val="clear" w:color="auto" w:fill="auto"/>
          </w:tcPr>
          <w:p w14:paraId="0C84B0A8" w14:textId="77777777" w:rsidR="00302BFE" w:rsidRPr="0075595E" w:rsidRDefault="00302BFE" w:rsidP="00243B15">
            <w:pPr>
              <w:rPr>
                <w:rFonts w:eastAsia="Calibri"/>
                <w:sz w:val="18"/>
                <w:szCs w:val="18"/>
              </w:rPr>
            </w:pPr>
            <w:r w:rsidRPr="0075595E">
              <w:rPr>
                <w:rFonts w:eastAsia="Calibri"/>
                <w:sz w:val="18"/>
                <w:szCs w:val="18"/>
              </w:rPr>
              <w:t>Guiaro</w:t>
            </w:r>
          </w:p>
        </w:tc>
        <w:tc>
          <w:tcPr>
            <w:tcW w:w="1148" w:type="pct"/>
            <w:shd w:val="clear" w:color="auto" w:fill="auto"/>
          </w:tcPr>
          <w:p w14:paraId="5979D719" w14:textId="77777777" w:rsidR="00302BFE" w:rsidRPr="0075595E" w:rsidRDefault="00302BFE" w:rsidP="00243B15">
            <w:pPr>
              <w:rPr>
                <w:rFonts w:eastAsia="Calibri"/>
                <w:sz w:val="18"/>
                <w:szCs w:val="18"/>
                <w:lang w:val="fr-CA"/>
              </w:rPr>
            </w:pPr>
            <w:r w:rsidRPr="0075595E">
              <w:rPr>
                <w:rFonts w:eastAsia="Calibri"/>
                <w:sz w:val="18"/>
                <w:szCs w:val="18"/>
                <w:lang w:val="fr-CA"/>
              </w:rPr>
              <w:t>Terroir ASP situé entre le PNKT et le RGN</w:t>
            </w:r>
          </w:p>
        </w:tc>
        <w:tc>
          <w:tcPr>
            <w:tcW w:w="2682" w:type="pct"/>
            <w:shd w:val="clear" w:color="auto" w:fill="auto"/>
          </w:tcPr>
          <w:p w14:paraId="323DD185" w14:textId="77777777" w:rsidR="00302BFE" w:rsidRPr="0075595E" w:rsidRDefault="00302BFE" w:rsidP="00243B15">
            <w:pPr>
              <w:rPr>
                <w:rFonts w:eastAsia="Calibri"/>
                <w:sz w:val="18"/>
                <w:szCs w:val="18"/>
                <w:lang w:val="fr-CA"/>
              </w:rPr>
            </w:pPr>
            <w:r w:rsidRPr="0075595E">
              <w:rPr>
                <w:rFonts w:eastAsia="Calibri"/>
                <w:sz w:val="18"/>
                <w:szCs w:val="18"/>
                <w:lang w:val="fr-CA"/>
              </w:rPr>
              <w:t>Le terroir comprend une zone pastorale</w:t>
            </w:r>
          </w:p>
        </w:tc>
      </w:tr>
      <w:tr w:rsidR="00302BFE" w:rsidRPr="00755BF9" w14:paraId="28AF970C" w14:textId="77777777" w:rsidTr="00243B15">
        <w:trPr>
          <w:jc w:val="center"/>
        </w:trPr>
        <w:tc>
          <w:tcPr>
            <w:tcW w:w="560" w:type="pct"/>
            <w:vMerge/>
            <w:shd w:val="clear" w:color="auto" w:fill="auto"/>
          </w:tcPr>
          <w:p w14:paraId="55D56FFB" w14:textId="77777777" w:rsidR="00302BFE" w:rsidRPr="0075595E" w:rsidRDefault="00302BFE" w:rsidP="00243B15">
            <w:pPr>
              <w:rPr>
                <w:rFonts w:eastAsia="Calibri"/>
                <w:b/>
                <w:bCs/>
                <w:sz w:val="18"/>
                <w:szCs w:val="18"/>
                <w:lang w:val="fr-CA"/>
              </w:rPr>
            </w:pPr>
          </w:p>
        </w:tc>
        <w:tc>
          <w:tcPr>
            <w:tcW w:w="610" w:type="pct"/>
            <w:shd w:val="clear" w:color="auto" w:fill="auto"/>
          </w:tcPr>
          <w:p w14:paraId="7835DF4D" w14:textId="77777777" w:rsidR="00302BFE" w:rsidRPr="0075595E" w:rsidRDefault="00302BFE" w:rsidP="00243B15">
            <w:pPr>
              <w:rPr>
                <w:rFonts w:eastAsia="Calibri"/>
                <w:sz w:val="18"/>
                <w:szCs w:val="18"/>
              </w:rPr>
            </w:pPr>
            <w:r w:rsidRPr="0075595E">
              <w:rPr>
                <w:rFonts w:eastAsia="Calibri"/>
                <w:sz w:val="18"/>
                <w:szCs w:val="18"/>
              </w:rPr>
              <w:t xml:space="preserve">Bétaré </w:t>
            </w:r>
          </w:p>
        </w:tc>
        <w:tc>
          <w:tcPr>
            <w:tcW w:w="1148" w:type="pct"/>
            <w:shd w:val="clear" w:color="auto" w:fill="auto"/>
          </w:tcPr>
          <w:p w14:paraId="45C4751F" w14:textId="77777777" w:rsidR="00302BFE" w:rsidRPr="0075595E" w:rsidRDefault="00302BFE" w:rsidP="00243B15">
            <w:pPr>
              <w:rPr>
                <w:rFonts w:eastAsia="Calibri"/>
                <w:sz w:val="18"/>
                <w:szCs w:val="18"/>
                <w:lang w:val="fr-CA"/>
              </w:rPr>
            </w:pPr>
            <w:r w:rsidRPr="0075595E">
              <w:rPr>
                <w:rFonts w:eastAsia="Calibri"/>
                <w:sz w:val="18"/>
                <w:szCs w:val="18"/>
                <w:lang w:val="fr-CA"/>
              </w:rPr>
              <w:t>Terroir ASP dont une partie est incluse dans le corridor PNKT-RGN (#1)</w:t>
            </w:r>
          </w:p>
        </w:tc>
        <w:tc>
          <w:tcPr>
            <w:tcW w:w="2682" w:type="pct"/>
            <w:shd w:val="clear" w:color="auto" w:fill="auto"/>
          </w:tcPr>
          <w:p w14:paraId="1CCE12AF" w14:textId="77777777" w:rsidR="00302BFE" w:rsidRPr="0075595E" w:rsidRDefault="00302BFE" w:rsidP="00243B15">
            <w:pPr>
              <w:rPr>
                <w:rFonts w:eastAsia="Calibri"/>
                <w:sz w:val="18"/>
                <w:szCs w:val="18"/>
                <w:lang w:val="fr-CA"/>
              </w:rPr>
            </w:pPr>
            <w:r w:rsidRPr="0075595E">
              <w:rPr>
                <w:rFonts w:eastAsia="Calibri"/>
                <w:sz w:val="18"/>
                <w:szCs w:val="18"/>
                <w:lang w:val="fr-CA"/>
              </w:rPr>
              <w:t xml:space="preserve">Le terroir abrite une ZOVIC. L’emplacement du site de Bétaré au N-O de la commune de Guiaro à la lisière Sud du PNKT et vis-à-vis la localité de Nobéré située de l’autre côté du PNKT dans sa partie étroite, favorise le développement de communications économiques et sociales </w:t>
            </w:r>
            <w:r w:rsidRPr="0075595E">
              <w:rPr>
                <w:rFonts w:eastAsia="Calibri"/>
                <w:i/>
                <w:sz w:val="18"/>
                <w:szCs w:val="18"/>
                <w:lang w:val="fr-CA"/>
              </w:rPr>
              <w:t>naturelles</w:t>
            </w:r>
            <w:r w:rsidRPr="0075595E">
              <w:rPr>
                <w:rFonts w:eastAsia="Calibri"/>
                <w:sz w:val="18"/>
                <w:szCs w:val="18"/>
                <w:lang w:val="fr-CA"/>
              </w:rPr>
              <w:t xml:space="preserve"> (parce que plus courtes) entre les communes de Nobéré et de Guiaro en utilisant des pistes qui traversent le PNKT. Des discussions en cours entre les deux communes concernent l’aménagement d’une piste les reliant à travers le Parc National, ce qui permettrait d’économiser près d’une centaine de km pour relier Guiaro, tout en en respectant les exigences de la conservation</w:t>
            </w:r>
          </w:p>
        </w:tc>
      </w:tr>
      <w:tr w:rsidR="00302BFE" w:rsidRPr="00755BF9" w14:paraId="5DA2513D" w14:textId="77777777" w:rsidTr="00243B15">
        <w:trPr>
          <w:jc w:val="center"/>
        </w:trPr>
        <w:tc>
          <w:tcPr>
            <w:tcW w:w="560" w:type="pct"/>
            <w:vMerge w:val="restart"/>
            <w:shd w:val="clear" w:color="auto" w:fill="auto"/>
          </w:tcPr>
          <w:p w14:paraId="7342682B" w14:textId="77777777" w:rsidR="00302BFE" w:rsidRPr="0075595E" w:rsidRDefault="00302BFE" w:rsidP="00243B15">
            <w:pPr>
              <w:rPr>
                <w:rFonts w:eastAsia="Calibri"/>
                <w:b/>
                <w:bCs/>
                <w:sz w:val="18"/>
                <w:szCs w:val="18"/>
              </w:rPr>
            </w:pPr>
            <w:r w:rsidRPr="0075595E">
              <w:rPr>
                <w:rFonts w:eastAsia="Calibri"/>
                <w:b/>
                <w:bCs/>
                <w:sz w:val="18"/>
                <w:szCs w:val="18"/>
              </w:rPr>
              <w:t>Pô</w:t>
            </w:r>
          </w:p>
        </w:tc>
        <w:tc>
          <w:tcPr>
            <w:tcW w:w="610" w:type="pct"/>
            <w:shd w:val="clear" w:color="auto" w:fill="auto"/>
          </w:tcPr>
          <w:p w14:paraId="55A33E65" w14:textId="77777777" w:rsidR="00302BFE" w:rsidRPr="0075595E" w:rsidRDefault="00302BFE" w:rsidP="00243B15">
            <w:pPr>
              <w:rPr>
                <w:rFonts w:eastAsia="Calibri"/>
                <w:sz w:val="18"/>
                <w:szCs w:val="18"/>
              </w:rPr>
            </w:pPr>
            <w:r w:rsidRPr="0075595E">
              <w:rPr>
                <w:rFonts w:eastAsia="Calibri"/>
                <w:sz w:val="18"/>
                <w:szCs w:val="18"/>
              </w:rPr>
              <w:t>Mautiougo</w:t>
            </w:r>
          </w:p>
        </w:tc>
        <w:tc>
          <w:tcPr>
            <w:tcW w:w="1148" w:type="pct"/>
            <w:shd w:val="clear" w:color="auto" w:fill="auto"/>
          </w:tcPr>
          <w:p w14:paraId="729D7D6F" w14:textId="77777777" w:rsidR="00302BFE" w:rsidRPr="0075595E" w:rsidRDefault="00302BFE" w:rsidP="00243B15">
            <w:pPr>
              <w:rPr>
                <w:rFonts w:eastAsia="Calibri"/>
                <w:sz w:val="18"/>
                <w:szCs w:val="18"/>
                <w:lang w:val="fr-CA"/>
              </w:rPr>
            </w:pPr>
            <w:r w:rsidRPr="0075595E">
              <w:rPr>
                <w:rFonts w:eastAsia="Calibri"/>
                <w:sz w:val="18"/>
                <w:szCs w:val="18"/>
                <w:lang w:val="fr-CA"/>
              </w:rPr>
              <w:t>Terroir situé en lisière du corridor Sud-Est du PNKT (#2)</w:t>
            </w:r>
          </w:p>
        </w:tc>
        <w:tc>
          <w:tcPr>
            <w:tcW w:w="2682" w:type="pct"/>
            <w:shd w:val="clear" w:color="auto" w:fill="auto"/>
          </w:tcPr>
          <w:p w14:paraId="1EE1F5E0" w14:textId="77777777" w:rsidR="00302BFE" w:rsidRPr="0075595E" w:rsidRDefault="00302BFE" w:rsidP="00243B15">
            <w:pPr>
              <w:rPr>
                <w:rFonts w:eastAsia="Calibri"/>
                <w:sz w:val="18"/>
                <w:szCs w:val="18"/>
                <w:lang w:val="fr-CA"/>
              </w:rPr>
            </w:pPr>
            <w:r w:rsidRPr="0075595E">
              <w:rPr>
                <w:rFonts w:eastAsia="Calibri"/>
                <w:sz w:val="18"/>
                <w:szCs w:val="18"/>
                <w:lang w:val="fr-CA"/>
              </w:rPr>
              <w:t xml:space="preserve">Village à la fois riverain du PNKT et du corridor S-E  </w:t>
            </w:r>
          </w:p>
        </w:tc>
      </w:tr>
      <w:tr w:rsidR="00302BFE" w:rsidRPr="00755BF9" w14:paraId="08C67D1C" w14:textId="77777777" w:rsidTr="00243B15">
        <w:trPr>
          <w:jc w:val="center"/>
        </w:trPr>
        <w:tc>
          <w:tcPr>
            <w:tcW w:w="560" w:type="pct"/>
            <w:vMerge/>
            <w:shd w:val="clear" w:color="auto" w:fill="auto"/>
          </w:tcPr>
          <w:p w14:paraId="37137A36" w14:textId="77777777" w:rsidR="00302BFE" w:rsidRPr="0075595E" w:rsidRDefault="00302BFE" w:rsidP="00243B15">
            <w:pPr>
              <w:rPr>
                <w:rFonts w:eastAsia="Calibri"/>
                <w:b/>
                <w:bCs/>
                <w:sz w:val="18"/>
                <w:szCs w:val="18"/>
                <w:lang w:val="fr-CA"/>
              </w:rPr>
            </w:pPr>
          </w:p>
        </w:tc>
        <w:tc>
          <w:tcPr>
            <w:tcW w:w="610" w:type="pct"/>
            <w:shd w:val="clear" w:color="auto" w:fill="auto"/>
          </w:tcPr>
          <w:p w14:paraId="0144366C" w14:textId="77777777" w:rsidR="00302BFE" w:rsidRPr="0075595E" w:rsidRDefault="00302BFE" w:rsidP="00243B15">
            <w:pPr>
              <w:rPr>
                <w:rFonts w:eastAsia="Calibri"/>
                <w:sz w:val="18"/>
                <w:szCs w:val="18"/>
              </w:rPr>
            </w:pPr>
            <w:r w:rsidRPr="0075595E">
              <w:rPr>
                <w:rFonts w:eastAsia="Calibri"/>
                <w:sz w:val="18"/>
                <w:szCs w:val="18"/>
              </w:rPr>
              <w:t>Kapori</w:t>
            </w:r>
          </w:p>
        </w:tc>
        <w:tc>
          <w:tcPr>
            <w:tcW w:w="1148" w:type="pct"/>
            <w:shd w:val="clear" w:color="auto" w:fill="auto"/>
          </w:tcPr>
          <w:p w14:paraId="30E887AE" w14:textId="77777777" w:rsidR="00302BFE" w:rsidRPr="0075595E" w:rsidRDefault="00302BFE" w:rsidP="00243B15">
            <w:pPr>
              <w:rPr>
                <w:rFonts w:eastAsia="Calibri"/>
                <w:sz w:val="18"/>
                <w:szCs w:val="18"/>
                <w:lang w:val="fr-CA"/>
              </w:rPr>
            </w:pPr>
            <w:r w:rsidRPr="0075595E">
              <w:rPr>
                <w:rFonts w:eastAsia="Calibri"/>
                <w:sz w:val="18"/>
                <w:szCs w:val="18"/>
                <w:lang w:val="fr-CA"/>
              </w:rPr>
              <w:t xml:space="preserve">Périphérie directe du PNKT (inclus dans une aire appelée </w:t>
            </w:r>
            <w:r w:rsidRPr="0075595E">
              <w:rPr>
                <w:rFonts w:eastAsia="Calibri"/>
                <w:i/>
                <w:sz w:val="18"/>
                <w:szCs w:val="18"/>
                <w:lang w:val="fr-CA"/>
              </w:rPr>
              <w:t>zone tampon</w:t>
            </w:r>
            <w:r w:rsidRPr="0075595E">
              <w:rPr>
                <w:rStyle w:val="Appelnotedebasdep"/>
                <w:rFonts w:eastAsia="Calibri"/>
                <w:szCs w:val="18"/>
              </w:rPr>
              <w:footnoteReference w:id="99"/>
            </w:r>
            <w:r w:rsidRPr="0075595E">
              <w:rPr>
                <w:rFonts w:eastAsia="Calibri"/>
                <w:sz w:val="18"/>
                <w:szCs w:val="18"/>
                <w:lang w:val="fr-CA"/>
              </w:rPr>
              <w:t xml:space="preserve"> du PNKT)</w:t>
            </w:r>
          </w:p>
        </w:tc>
        <w:tc>
          <w:tcPr>
            <w:tcW w:w="2682" w:type="pct"/>
            <w:shd w:val="clear" w:color="auto" w:fill="auto"/>
          </w:tcPr>
          <w:p w14:paraId="63A9EBC3" w14:textId="77777777" w:rsidR="00302BFE" w:rsidRPr="0075595E" w:rsidRDefault="00302BFE" w:rsidP="00243B15">
            <w:pPr>
              <w:rPr>
                <w:rFonts w:eastAsia="Calibri"/>
                <w:sz w:val="18"/>
                <w:szCs w:val="18"/>
                <w:lang w:val="fr-CA"/>
              </w:rPr>
            </w:pPr>
            <w:r w:rsidRPr="0075595E">
              <w:rPr>
                <w:rFonts w:eastAsia="Calibri"/>
                <w:sz w:val="18"/>
                <w:szCs w:val="18"/>
                <w:lang w:val="fr-CA"/>
              </w:rPr>
              <w:t xml:space="preserve">Kapori est situé dans la partie Ouest de la commune de Pô qui borde le RGN. Une rivière qui traverse le RGN du nord-est au sud isole près du quart de la superficie du ranch et empêche les équipes de surveillance d’y accéder, en particulier pendant la saison des pluies. Kapori est au milieu d’une vaste zone de colonisation qui menace l’intégrité de cette portion du RGN. Ce village </w:t>
            </w:r>
            <w:r w:rsidRPr="0075595E">
              <w:rPr>
                <w:rFonts w:eastAsia="Calibri"/>
                <w:sz w:val="18"/>
                <w:szCs w:val="18"/>
                <w:lang w:val="fr-CA"/>
              </w:rPr>
              <w:lastRenderedPageBreak/>
              <w:t>illustre une des zones les plus vulnérables de la commune de PO en lisière du RGN. Alors que les communautés locales sont ouvertes à participer aux initiatives de conservation, les initiatives menées jusqu’à maintenant n’ont pas réussi à relever le défi.</w:t>
            </w:r>
          </w:p>
        </w:tc>
      </w:tr>
      <w:tr w:rsidR="00302BFE" w:rsidRPr="00755BF9" w14:paraId="486D6AA3" w14:textId="77777777" w:rsidTr="00243B15">
        <w:trPr>
          <w:jc w:val="center"/>
        </w:trPr>
        <w:tc>
          <w:tcPr>
            <w:tcW w:w="560" w:type="pct"/>
            <w:shd w:val="clear" w:color="auto" w:fill="auto"/>
          </w:tcPr>
          <w:p w14:paraId="41BA4E20" w14:textId="77777777" w:rsidR="00302BFE" w:rsidRPr="0075595E" w:rsidRDefault="00302BFE" w:rsidP="00243B15">
            <w:pPr>
              <w:rPr>
                <w:rFonts w:eastAsia="Calibri"/>
                <w:b/>
                <w:bCs/>
                <w:sz w:val="18"/>
                <w:szCs w:val="18"/>
              </w:rPr>
            </w:pPr>
            <w:r w:rsidRPr="0075595E">
              <w:rPr>
                <w:rFonts w:eastAsia="Calibri"/>
                <w:b/>
                <w:bCs/>
                <w:sz w:val="18"/>
                <w:szCs w:val="18"/>
              </w:rPr>
              <w:lastRenderedPageBreak/>
              <w:t>Toécé</w:t>
            </w:r>
          </w:p>
        </w:tc>
        <w:tc>
          <w:tcPr>
            <w:tcW w:w="610" w:type="pct"/>
            <w:shd w:val="clear" w:color="auto" w:fill="auto"/>
          </w:tcPr>
          <w:p w14:paraId="2353E8E2" w14:textId="77777777" w:rsidR="00302BFE" w:rsidRPr="0075595E" w:rsidRDefault="00302BFE" w:rsidP="00243B15">
            <w:pPr>
              <w:rPr>
                <w:rFonts w:eastAsia="Calibri"/>
                <w:sz w:val="18"/>
                <w:szCs w:val="18"/>
              </w:rPr>
            </w:pPr>
            <w:r w:rsidRPr="0075595E">
              <w:rPr>
                <w:rFonts w:eastAsia="Calibri"/>
                <w:sz w:val="18"/>
                <w:szCs w:val="18"/>
              </w:rPr>
              <w:t xml:space="preserve">Yougoudri </w:t>
            </w:r>
          </w:p>
        </w:tc>
        <w:tc>
          <w:tcPr>
            <w:tcW w:w="1148" w:type="pct"/>
            <w:shd w:val="clear" w:color="auto" w:fill="auto"/>
          </w:tcPr>
          <w:p w14:paraId="6519F5F9" w14:textId="77777777" w:rsidR="00302BFE" w:rsidRPr="0075595E" w:rsidRDefault="00302BFE" w:rsidP="00243B15">
            <w:pPr>
              <w:rPr>
                <w:rFonts w:eastAsia="Calibri"/>
                <w:sz w:val="18"/>
                <w:szCs w:val="18"/>
                <w:lang w:val="fr-CA"/>
              </w:rPr>
            </w:pPr>
            <w:r w:rsidRPr="0075595E">
              <w:rPr>
                <w:rFonts w:eastAsia="Calibri"/>
                <w:sz w:val="18"/>
                <w:szCs w:val="18"/>
                <w:lang w:val="fr-CA"/>
              </w:rPr>
              <w:t>Terroir ASP contigu au PNKT</w:t>
            </w:r>
          </w:p>
        </w:tc>
        <w:tc>
          <w:tcPr>
            <w:tcW w:w="2682" w:type="pct"/>
            <w:shd w:val="clear" w:color="auto" w:fill="auto"/>
          </w:tcPr>
          <w:p w14:paraId="2FFE436D" w14:textId="77777777" w:rsidR="00302BFE" w:rsidRPr="0075595E" w:rsidRDefault="00302BFE" w:rsidP="00243B15">
            <w:pPr>
              <w:rPr>
                <w:rFonts w:eastAsia="Calibri"/>
                <w:sz w:val="18"/>
                <w:szCs w:val="18"/>
                <w:lang w:val="fr-CA"/>
              </w:rPr>
            </w:pPr>
            <w:r w:rsidRPr="0075595E">
              <w:rPr>
                <w:rFonts w:eastAsia="Calibri"/>
                <w:sz w:val="18"/>
                <w:szCs w:val="18"/>
                <w:lang w:val="fr-CA"/>
              </w:rPr>
              <w:t>La présence des éléphants à Yougoudri est quasi-permanente en raison d’une mare permanente située dans le PNKT. Les populations ont appris à vivre avec cette situation. L’emplacement de TOECE à 70 km de Ouagadougou et la présence quasi-permanente des éléphants constituent des atouts à valoriser dans le cadre du développement des activités touristiques.</w:t>
            </w:r>
          </w:p>
        </w:tc>
      </w:tr>
      <w:tr w:rsidR="00302BFE" w:rsidRPr="0099310D" w14:paraId="3D68B467" w14:textId="77777777" w:rsidTr="00243B15">
        <w:trPr>
          <w:jc w:val="center"/>
        </w:trPr>
        <w:tc>
          <w:tcPr>
            <w:tcW w:w="560" w:type="pct"/>
            <w:shd w:val="clear" w:color="auto" w:fill="auto"/>
          </w:tcPr>
          <w:p w14:paraId="28A0D857" w14:textId="77777777" w:rsidR="00302BFE" w:rsidRPr="0075595E" w:rsidRDefault="00302BFE" w:rsidP="00243B15">
            <w:pPr>
              <w:rPr>
                <w:rFonts w:eastAsia="Calibri"/>
                <w:b/>
                <w:bCs/>
                <w:sz w:val="18"/>
                <w:szCs w:val="18"/>
              </w:rPr>
            </w:pPr>
            <w:r w:rsidRPr="0075595E">
              <w:rPr>
                <w:rFonts w:eastAsia="Calibri"/>
                <w:b/>
                <w:bCs/>
                <w:sz w:val="18"/>
                <w:szCs w:val="18"/>
              </w:rPr>
              <w:t>Doulougou</w:t>
            </w:r>
          </w:p>
        </w:tc>
        <w:tc>
          <w:tcPr>
            <w:tcW w:w="610" w:type="pct"/>
            <w:shd w:val="clear" w:color="auto" w:fill="auto"/>
          </w:tcPr>
          <w:p w14:paraId="3D985560" w14:textId="77777777" w:rsidR="00302BFE" w:rsidRPr="0075595E" w:rsidRDefault="00302BFE" w:rsidP="00243B15">
            <w:pPr>
              <w:rPr>
                <w:rFonts w:eastAsia="Calibri"/>
                <w:sz w:val="18"/>
                <w:szCs w:val="18"/>
              </w:rPr>
            </w:pPr>
            <w:r w:rsidRPr="0075595E">
              <w:rPr>
                <w:rFonts w:eastAsia="Calibri"/>
                <w:sz w:val="18"/>
                <w:szCs w:val="18"/>
              </w:rPr>
              <w:t xml:space="preserve">Toebanaga </w:t>
            </w:r>
          </w:p>
        </w:tc>
        <w:tc>
          <w:tcPr>
            <w:tcW w:w="1148" w:type="pct"/>
            <w:shd w:val="clear" w:color="auto" w:fill="auto"/>
          </w:tcPr>
          <w:p w14:paraId="18102090" w14:textId="77777777" w:rsidR="00302BFE" w:rsidRPr="0075595E" w:rsidRDefault="00302BFE" w:rsidP="00243B15">
            <w:pPr>
              <w:rPr>
                <w:rFonts w:eastAsia="Calibri"/>
                <w:sz w:val="18"/>
                <w:szCs w:val="18"/>
                <w:lang w:val="fr-CA"/>
              </w:rPr>
            </w:pPr>
            <w:r w:rsidRPr="0075595E">
              <w:rPr>
                <w:rFonts w:eastAsia="Calibri"/>
                <w:sz w:val="18"/>
                <w:szCs w:val="18"/>
                <w:lang w:val="fr-CA"/>
              </w:rPr>
              <w:t>Terroir ASP contigu au PNKT</w:t>
            </w:r>
          </w:p>
        </w:tc>
        <w:tc>
          <w:tcPr>
            <w:tcW w:w="2682" w:type="pct"/>
            <w:shd w:val="clear" w:color="auto" w:fill="auto"/>
          </w:tcPr>
          <w:p w14:paraId="3DBE023D" w14:textId="77777777" w:rsidR="00302BFE" w:rsidRPr="0075595E" w:rsidRDefault="00302BFE" w:rsidP="00243B15">
            <w:pPr>
              <w:rPr>
                <w:rFonts w:eastAsia="Calibri"/>
                <w:sz w:val="18"/>
                <w:szCs w:val="18"/>
                <w:lang w:val="fr-CA" w:eastAsia="fr-CA"/>
              </w:rPr>
            </w:pPr>
            <w:r w:rsidRPr="0075595E">
              <w:rPr>
                <w:rFonts w:eastAsia="Calibri"/>
                <w:sz w:val="18"/>
                <w:szCs w:val="18"/>
                <w:lang w:val="fr-CA"/>
              </w:rPr>
              <w:t>Le terroir comprend une Forêt Villageoise. Toebanaga est situé dans l’axe des déplacements des éléphants qui sont présents à Yougoudri,</w:t>
            </w:r>
            <w:r w:rsidRPr="0075595E">
              <w:rPr>
                <w:rFonts w:eastAsia="Calibri"/>
                <w:b/>
                <w:sz w:val="18"/>
                <w:szCs w:val="18"/>
                <w:lang w:val="fr-CA"/>
              </w:rPr>
              <w:t xml:space="preserve"> </w:t>
            </w:r>
            <w:r w:rsidRPr="0075595E">
              <w:rPr>
                <w:rFonts w:eastAsia="Calibri"/>
                <w:sz w:val="18"/>
                <w:szCs w:val="18"/>
                <w:lang w:val="fr-CA"/>
              </w:rPr>
              <w:t>plus au sud. Un des enjeux environnementaux dans cette localité est l’exploitation d’agrégats (sable notamment) pour le marché de Ouagadougou. La localité de Toebanaga est incluse dans un des chantiers d’aménagement forestier (CAF) du Nakambé qui longe le PNKT</w:t>
            </w:r>
            <w:r w:rsidRPr="0075595E">
              <w:rPr>
                <w:rStyle w:val="Appelnotedebasdep"/>
                <w:rFonts w:eastAsia="Calibri"/>
                <w:szCs w:val="18"/>
              </w:rPr>
              <w:footnoteReference w:id="100"/>
            </w:r>
            <w:r w:rsidRPr="0075595E">
              <w:rPr>
                <w:rFonts w:eastAsia="Calibri"/>
                <w:sz w:val="18"/>
                <w:szCs w:val="18"/>
                <w:lang w:val="fr-CA"/>
              </w:rPr>
              <w:t xml:space="preserve"> et dont le statut n’est pas clair. L’accès actuel au site est relativement difficile en saison des pluies et la Commune est intéressée à contribuer à son désenclavement avec l’appui d’autre partenaires. La décision finale concernant cette localité devra demeurer compatible avec les objectifs de conservation dans le PNKT.</w:t>
            </w:r>
          </w:p>
        </w:tc>
      </w:tr>
      <w:tr w:rsidR="00302BFE" w:rsidRPr="0075595E" w14:paraId="098B0B43" w14:textId="77777777" w:rsidTr="00243B15">
        <w:trPr>
          <w:trHeight w:val="70"/>
          <w:jc w:val="center"/>
        </w:trPr>
        <w:tc>
          <w:tcPr>
            <w:tcW w:w="560" w:type="pct"/>
            <w:vMerge w:val="restart"/>
            <w:shd w:val="clear" w:color="auto" w:fill="auto"/>
          </w:tcPr>
          <w:p w14:paraId="74DDAFE0" w14:textId="77777777" w:rsidR="00302BFE" w:rsidRPr="0075595E" w:rsidRDefault="00302BFE" w:rsidP="00243B15">
            <w:pPr>
              <w:rPr>
                <w:rFonts w:eastAsia="Calibri"/>
                <w:b/>
                <w:bCs/>
                <w:sz w:val="18"/>
                <w:szCs w:val="18"/>
              </w:rPr>
            </w:pPr>
            <w:r w:rsidRPr="0075595E">
              <w:rPr>
                <w:rFonts w:eastAsia="Calibri"/>
                <w:b/>
                <w:bCs/>
                <w:sz w:val="18"/>
                <w:szCs w:val="18"/>
              </w:rPr>
              <w:t>Bieha</w:t>
            </w:r>
          </w:p>
        </w:tc>
        <w:tc>
          <w:tcPr>
            <w:tcW w:w="610" w:type="pct"/>
            <w:shd w:val="clear" w:color="auto" w:fill="auto"/>
          </w:tcPr>
          <w:p w14:paraId="77B12A1E" w14:textId="77777777" w:rsidR="00302BFE" w:rsidRPr="0075595E" w:rsidRDefault="00302BFE" w:rsidP="00243B15">
            <w:pPr>
              <w:rPr>
                <w:rFonts w:eastAsia="Calibri"/>
                <w:sz w:val="18"/>
                <w:szCs w:val="18"/>
              </w:rPr>
            </w:pPr>
            <w:r w:rsidRPr="0075595E">
              <w:rPr>
                <w:rFonts w:eastAsia="Calibri"/>
                <w:sz w:val="18"/>
                <w:szCs w:val="18"/>
              </w:rPr>
              <w:t>Néboun</w:t>
            </w:r>
          </w:p>
        </w:tc>
        <w:tc>
          <w:tcPr>
            <w:tcW w:w="1148" w:type="pct"/>
            <w:shd w:val="clear" w:color="auto" w:fill="auto"/>
          </w:tcPr>
          <w:p w14:paraId="62A9C9F1" w14:textId="77777777" w:rsidR="00302BFE" w:rsidRPr="0075595E" w:rsidRDefault="00302BFE" w:rsidP="00243B15">
            <w:pPr>
              <w:rPr>
                <w:rFonts w:eastAsia="Calibri" w:cs="Calibri"/>
                <w:sz w:val="18"/>
                <w:szCs w:val="18"/>
              </w:rPr>
            </w:pPr>
            <w:r w:rsidRPr="0075595E">
              <w:rPr>
                <w:rFonts w:eastAsia="Calibri" w:cs="Calibri"/>
                <w:sz w:val="18"/>
                <w:szCs w:val="18"/>
              </w:rPr>
              <w:t>Terroir villageois</w:t>
            </w:r>
          </w:p>
        </w:tc>
        <w:tc>
          <w:tcPr>
            <w:tcW w:w="2682" w:type="pct"/>
            <w:vMerge w:val="restart"/>
            <w:shd w:val="clear" w:color="auto" w:fill="auto"/>
          </w:tcPr>
          <w:p w14:paraId="26B504EF" w14:textId="77777777" w:rsidR="00302BFE" w:rsidRPr="0075595E" w:rsidRDefault="00302BFE" w:rsidP="00243B15">
            <w:pPr>
              <w:rPr>
                <w:rFonts w:eastAsia="Calibri"/>
                <w:sz w:val="18"/>
                <w:szCs w:val="18"/>
              </w:rPr>
            </w:pPr>
            <w:r w:rsidRPr="0075595E">
              <w:rPr>
                <w:rFonts w:eastAsia="Calibri"/>
                <w:sz w:val="18"/>
                <w:szCs w:val="18"/>
                <w:lang w:val="fr-CA"/>
              </w:rPr>
              <w:t xml:space="preserve">Le terroir de Néboun comprend une ZOVIC, une forêt villageoise et est impliqué dans un CAF. La ZOVIC de Neboun (plus de 3000 ha) est partagée par les 2 villages voisins de Neboun et Bori, qui ont mis en place un bureau commun pour sa gestion. </w:t>
            </w:r>
            <w:r w:rsidRPr="0075595E">
              <w:rPr>
                <w:rFonts w:eastAsia="Calibri"/>
                <w:sz w:val="18"/>
                <w:szCs w:val="18"/>
              </w:rPr>
              <w:t>Cette ZOVIC fait l’objet d’une concession à un privé</w:t>
            </w:r>
          </w:p>
        </w:tc>
      </w:tr>
      <w:tr w:rsidR="00302BFE" w:rsidRPr="0075595E" w14:paraId="1FC27F9F" w14:textId="77777777" w:rsidTr="00243B15">
        <w:trPr>
          <w:jc w:val="center"/>
        </w:trPr>
        <w:tc>
          <w:tcPr>
            <w:tcW w:w="560" w:type="pct"/>
            <w:vMerge/>
            <w:shd w:val="clear" w:color="auto" w:fill="auto"/>
          </w:tcPr>
          <w:p w14:paraId="363BB2ED" w14:textId="77777777" w:rsidR="00302BFE" w:rsidRPr="0075595E" w:rsidRDefault="00302BFE" w:rsidP="00243B15">
            <w:pPr>
              <w:rPr>
                <w:rFonts w:eastAsia="Calibri"/>
                <w:b/>
                <w:bCs/>
                <w:sz w:val="18"/>
                <w:szCs w:val="18"/>
              </w:rPr>
            </w:pPr>
          </w:p>
        </w:tc>
        <w:tc>
          <w:tcPr>
            <w:tcW w:w="610" w:type="pct"/>
            <w:shd w:val="clear" w:color="auto" w:fill="auto"/>
          </w:tcPr>
          <w:p w14:paraId="2B4C00AC" w14:textId="77777777" w:rsidR="00302BFE" w:rsidRPr="0075595E" w:rsidRDefault="00302BFE" w:rsidP="00243B15">
            <w:pPr>
              <w:rPr>
                <w:rFonts w:eastAsia="Calibri"/>
                <w:sz w:val="18"/>
                <w:szCs w:val="18"/>
              </w:rPr>
            </w:pPr>
            <w:r w:rsidRPr="0075595E">
              <w:rPr>
                <w:rFonts w:eastAsia="Calibri"/>
                <w:sz w:val="18"/>
                <w:szCs w:val="18"/>
              </w:rPr>
              <w:t>Bori</w:t>
            </w:r>
          </w:p>
        </w:tc>
        <w:tc>
          <w:tcPr>
            <w:tcW w:w="1148" w:type="pct"/>
            <w:shd w:val="clear" w:color="auto" w:fill="auto"/>
          </w:tcPr>
          <w:p w14:paraId="1DC28068" w14:textId="77777777" w:rsidR="00302BFE" w:rsidRPr="0075595E" w:rsidRDefault="00302BFE" w:rsidP="00243B15">
            <w:pPr>
              <w:rPr>
                <w:rFonts w:eastAsia="Calibri"/>
                <w:sz w:val="18"/>
                <w:szCs w:val="18"/>
              </w:rPr>
            </w:pPr>
            <w:r w:rsidRPr="0075595E">
              <w:rPr>
                <w:rFonts w:eastAsia="Calibri"/>
                <w:sz w:val="18"/>
                <w:szCs w:val="18"/>
              </w:rPr>
              <w:t>Terroir villageois</w:t>
            </w:r>
          </w:p>
        </w:tc>
        <w:tc>
          <w:tcPr>
            <w:tcW w:w="2682" w:type="pct"/>
            <w:vMerge/>
            <w:shd w:val="clear" w:color="auto" w:fill="auto"/>
          </w:tcPr>
          <w:p w14:paraId="49C4D8EB" w14:textId="77777777" w:rsidR="00302BFE" w:rsidRPr="0075595E" w:rsidRDefault="00302BFE" w:rsidP="00243B15">
            <w:pPr>
              <w:rPr>
                <w:rFonts w:eastAsia="Calibri"/>
                <w:sz w:val="18"/>
                <w:szCs w:val="18"/>
              </w:rPr>
            </w:pPr>
          </w:p>
        </w:tc>
      </w:tr>
      <w:tr w:rsidR="00302BFE" w:rsidRPr="0099310D" w14:paraId="66CB2FF8" w14:textId="77777777" w:rsidTr="00243B15">
        <w:trPr>
          <w:jc w:val="center"/>
        </w:trPr>
        <w:tc>
          <w:tcPr>
            <w:tcW w:w="560" w:type="pct"/>
            <w:vMerge/>
            <w:shd w:val="clear" w:color="auto" w:fill="auto"/>
          </w:tcPr>
          <w:p w14:paraId="03A6BED9" w14:textId="77777777" w:rsidR="00302BFE" w:rsidRPr="0075595E" w:rsidRDefault="00302BFE" w:rsidP="00243B15">
            <w:pPr>
              <w:rPr>
                <w:rFonts w:eastAsia="Calibri"/>
                <w:b/>
                <w:bCs/>
                <w:sz w:val="18"/>
                <w:szCs w:val="18"/>
              </w:rPr>
            </w:pPr>
          </w:p>
        </w:tc>
        <w:tc>
          <w:tcPr>
            <w:tcW w:w="610" w:type="pct"/>
            <w:shd w:val="clear" w:color="auto" w:fill="auto"/>
          </w:tcPr>
          <w:p w14:paraId="2EF43445" w14:textId="77777777" w:rsidR="00302BFE" w:rsidRPr="0075595E" w:rsidRDefault="00302BFE" w:rsidP="00243B15">
            <w:pPr>
              <w:rPr>
                <w:rFonts w:eastAsia="Calibri"/>
                <w:sz w:val="18"/>
                <w:szCs w:val="18"/>
              </w:rPr>
            </w:pPr>
            <w:r w:rsidRPr="0075595E">
              <w:rPr>
                <w:rFonts w:eastAsia="Calibri"/>
                <w:sz w:val="18"/>
                <w:szCs w:val="18"/>
              </w:rPr>
              <w:t>Boala</w:t>
            </w:r>
          </w:p>
        </w:tc>
        <w:tc>
          <w:tcPr>
            <w:tcW w:w="1148" w:type="pct"/>
            <w:shd w:val="clear" w:color="auto" w:fill="auto"/>
          </w:tcPr>
          <w:p w14:paraId="6985FFB3" w14:textId="77777777" w:rsidR="00302BFE" w:rsidRPr="0075595E" w:rsidRDefault="00302BFE" w:rsidP="00243B15">
            <w:pPr>
              <w:rPr>
                <w:rFonts w:eastAsia="Calibri" w:cs="Calibri"/>
                <w:sz w:val="18"/>
                <w:szCs w:val="18"/>
                <w:lang w:val="fr-CA"/>
              </w:rPr>
            </w:pPr>
            <w:r w:rsidRPr="0075595E">
              <w:rPr>
                <w:rFonts w:eastAsia="Calibri" w:cs="Calibri"/>
                <w:sz w:val="18"/>
                <w:szCs w:val="18"/>
                <w:lang w:val="fr-CA"/>
              </w:rPr>
              <w:t>Village situé au sud de la Forêt Classée de la Sissili</w:t>
            </w:r>
          </w:p>
        </w:tc>
        <w:tc>
          <w:tcPr>
            <w:tcW w:w="2682" w:type="pct"/>
            <w:shd w:val="clear" w:color="auto" w:fill="auto"/>
          </w:tcPr>
          <w:p w14:paraId="54AF5E8D" w14:textId="77777777" w:rsidR="00302BFE" w:rsidRPr="0075595E" w:rsidRDefault="00302BFE" w:rsidP="00243B15">
            <w:pPr>
              <w:rPr>
                <w:rFonts w:eastAsia="Calibri"/>
                <w:sz w:val="18"/>
                <w:szCs w:val="18"/>
                <w:lang w:val="fr-CA"/>
              </w:rPr>
            </w:pPr>
            <w:r w:rsidRPr="0075595E">
              <w:rPr>
                <w:rFonts w:eastAsia="Calibri"/>
                <w:sz w:val="18"/>
                <w:szCs w:val="18"/>
                <w:lang w:val="fr-CA"/>
              </w:rPr>
              <w:t>Le terroir comprend une ZOVIC</w:t>
            </w:r>
          </w:p>
        </w:tc>
      </w:tr>
      <w:tr w:rsidR="00302BFE" w:rsidRPr="0099310D" w14:paraId="5AF7A18B" w14:textId="77777777" w:rsidTr="00243B15">
        <w:trPr>
          <w:jc w:val="center"/>
        </w:trPr>
        <w:tc>
          <w:tcPr>
            <w:tcW w:w="560" w:type="pct"/>
            <w:vMerge w:val="restart"/>
            <w:shd w:val="clear" w:color="auto" w:fill="auto"/>
          </w:tcPr>
          <w:p w14:paraId="1BFC3AC0" w14:textId="77777777" w:rsidR="00302BFE" w:rsidRPr="0075595E" w:rsidRDefault="00302BFE" w:rsidP="00243B15">
            <w:pPr>
              <w:rPr>
                <w:rFonts w:eastAsia="Calibri"/>
                <w:b/>
                <w:bCs/>
                <w:sz w:val="18"/>
                <w:szCs w:val="18"/>
              </w:rPr>
            </w:pPr>
            <w:r w:rsidRPr="0075595E">
              <w:rPr>
                <w:rFonts w:eastAsia="Calibri"/>
                <w:b/>
                <w:bCs/>
                <w:sz w:val="18"/>
                <w:szCs w:val="18"/>
              </w:rPr>
              <w:t>Sapouy</w:t>
            </w:r>
          </w:p>
        </w:tc>
        <w:tc>
          <w:tcPr>
            <w:tcW w:w="610" w:type="pct"/>
            <w:shd w:val="clear" w:color="auto" w:fill="auto"/>
          </w:tcPr>
          <w:p w14:paraId="3666A2AE" w14:textId="77777777" w:rsidR="00302BFE" w:rsidRPr="0075595E" w:rsidRDefault="00302BFE" w:rsidP="00243B15">
            <w:pPr>
              <w:rPr>
                <w:rFonts w:eastAsia="Calibri"/>
                <w:sz w:val="18"/>
                <w:szCs w:val="18"/>
              </w:rPr>
            </w:pPr>
            <w:r w:rsidRPr="0075595E">
              <w:rPr>
                <w:rFonts w:eastAsia="Calibri"/>
                <w:sz w:val="18"/>
                <w:szCs w:val="18"/>
              </w:rPr>
              <w:t>Tiaré</w:t>
            </w:r>
          </w:p>
        </w:tc>
        <w:tc>
          <w:tcPr>
            <w:tcW w:w="1148" w:type="pct"/>
            <w:shd w:val="clear" w:color="auto" w:fill="auto"/>
          </w:tcPr>
          <w:p w14:paraId="1A7BB944" w14:textId="77777777" w:rsidR="00302BFE" w:rsidRPr="0075595E" w:rsidRDefault="00302BFE" w:rsidP="00243B15">
            <w:pPr>
              <w:rPr>
                <w:rFonts w:eastAsia="Calibri"/>
                <w:sz w:val="18"/>
                <w:szCs w:val="18"/>
                <w:lang w:val="fr-CA"/>
              </w:rPr>
            </w:pPr>
            <w:r w:rsidRPr="0075595E">
              <w:rPr>
                <w:rFonts w:eastAsia="Calibri"/>
                <w:sz w:val="18"/>
                <w:szCs w:val="18"/>
                <w:lang w:val="fr-CA"/>
              </w:rPr>
              <w:t xml:space="preserve">Village situé au S-E de Sapouy, à la lisière du PNKT et faisant frontière avec la commune de Guiaro dont le terroir ASP est situé en bordure du PNKT (soi-disant </w:t>
            </w:r>
            <w:r w:rsidRPr="0075595E">
              <w:rPr>
                <w:rFonts w:eastAsia="Calibri"/>
                <w:i/>
                <w:sz w:val="18"/>
                <w:szCs w:val="18"/>
                <w:lang w:val="fr-CA"/>
              </w:rPr>
              <w:t>zone tampon</w:t>
            </w:r>
            <w:r w:rsidRPr="0075595E">
              <w:rPr>
                <w:rFonts w:eastAsia="Calibri"/>
                <w:sz w:val="18"/>
                <w:szCs w:val="18"/>
                <w:lang w:val="fr-CA"/>
              </w:rPr>
              <w:t>)</w:t>
            </w:r>
          </w:p>
        </w:tc>
        <w:tc>
          <w:tcPr>
            <w:tcW w:w="2682" w:type="pct"/>
            <w:vMerge w:val="restart"/>
            <w:shd w:val="clear" w:color="auto" w:fill="auto"/>
          </w:tcPr>
          <w:p w14:paraId="177F2731" w14:textId="77777777" w:rsidR="00302BFE" w:rsidRPr="0075595E" w:rsidRDefault="00302BFE" w:rsidP="00243B15">
            <w:pPr>
              <w:rPr>
                <w:rFonts w:eastAsia="Calibri"/>
                <w:sz w:val="18"/>
                <w:szCs w:val="18"/>
                <w:lang w:val="fr-CA"/>
              </w:rPr>
            </w:pPr>
            <w:r w:rsidRPr="0075595E">
              <w:rPr>
                <w:rFonts w:eastAsia="Calibri"/>
                <w:sz w:val="18"/>
                <w:szCs w:val="18"/>
                <w:lang w:val="fr-CA"/>
              </w:rPr>
              <w:t xml:space="preserve">La lisière sud du PNKT dans le Ziro est occupée par ce qui reste de la FC de la Volta Rouge après la création en 1976 du PNKT et qui est identifié comme </w:t>
            </w:r>
            <w:r w:rsidRPr="0075595E">
              <w:rPr>
                <w:rFonts w:eastAsia="Calibri"/>
                <w:i/>
                <w:sz w:val="18"/>
                <w:szCs w:val="18"/>
                <w:lang w:val="fr-CA"/>
              </w:rPr>
              <w:t>zone tampon</w:t>
            </w:r>
            <w:r w:rsidRPr="0075595E">
              <w:rPr>
                <w:rFonts w:eastAsia="Calibri"/>
                <w:sz w:val="18"/>
                <w:szCs w:val="18"/>
                <w:lang w:val="fr-CA"/>
              </w:rPr>
              <w:t xml:space="preserve"> pour cette AP. La création du PNKT en 1976 a annexé 50 000 ha de la FC de la Volta Rouge -aujourd’hui FC de Nazinon-</w:t>
            </w:r>
            <w:r w:rsidRPr="0075595E">
              <w:rPr>
                <w:rFonts w:eastAsia="Calibri"/>
                <w:b/>
                <w:sz w:val="18"/>
                <w:szCs w:val="18"/>
                <w:lang w:val="fr-CA"/>
              </w:rPr>
              <w:t xml:space="preserve"> </w:t>
            </w:r>
            <w:r w:rsidRPr="0075595E">
              <w:rPr>
                <w:rFonts w:eastAsia="Calibri"/>
                <w:sz w:val="18"/>
                <w:szCs w:val="18"/>
                <w:lang w:val="fr-CA"/>
              </w:rPr>
              <w:t>dont la superficie initiale était de 85 000 ha. Les 27 000 ha restants (24 969 ha selon le PAG - 8000 ha ont été occupés par le village de Kinkirsgogo) forment aujourd’hui le CAF de Nazinon, destiné à approvisionner la ville de Ouagadougou en bois combustible. Les 10 villages riverains du CAF dans la commune de Sapouy – dont Tiaré - participent aux activités d’exploitation et de gestion forestière du CAF. Quoique le village de Tiaré soit le seul à être à la périphérie directe du PNKT, 5 des autres villages impliqués dans le CAF sont situés à moins de 5 km et leur population exerce une pression de braconnage sur la faune du parc.</w:t>
            </w:r>
          </w:p>
          <w:p w14:paraId="040F5334" w14:textId="77777777" w:rsidR="00302BFE" w:rsidRPr="0075595E" w:rsidRDefault="00302BFE" w:rsidP="00243B15">
            <w:pPr>
              <w:rPr>
                <w:rFonts w:eastAsia="Calibri"/>
                <w:sz w:val="18"/>
                <w:szCs w:val="18"/>
                <w:lang w:val="fr-CA"/>
              </w:rPr>
            </w:pPr>
            <w:r w:rsidRPr="0075595E">
              <w:rPr>
                <w:rFonts w:eastAsia="Calibri"/>
                <w:sz w:val="18"/>
                <w:szCs w:val="18"/>
                <w:lang w:val="fr-CA"/>
              </w:rPr>
              <w:t>Le village Bouiga connait des conflits homme-faune ayant entraîné mort d’homme.</w:t>
            </w:r>
          </w:p>
        </w:tc>
      </w:tr>
      <w:tr w:rsidR="00302BFE" w:rsidRPr="00755BF9" w14:paraId="4995C0CD" w14:textId="77777777" w:rsidTr="00243B15">
        <w:trPr>
          <w:jc w:val="center"/>
        </w:trPr>
        <w:tc>
          <w:tcPr>
            <w:tcW w:w="560" w:type="pct"/>
            <w:vMerge/>
            <w:shd w:val="clear" w:color="auto" w:fill="auto"/>
          </w:tcPr>
          <w:p w14:paraId="68FD3F6A" w14:textId="77777777" w:rsidR="00302BFE" w:rsidRPr="0075595E" w:rsidRDefault="00302BFE" w:rsidP="00243B15">
            <w:pPr>
              <w:rPr>
                <w:rFonts w:eastAsia="Calibri"/>
                <w:b/>
                <w:bCs/>
                <w:sz w:val="18"/>
                <w:szCs w:val="18"/>
                <w:lang w:val="fr-CA"/>
              </w:rPr>
            </w:pPr>
          </w:p>
        </w:tc>
        <w:tc>
          <w:tcPr>
            <w:tcW w:w="610" w:type="pct"/>
            <w:shd w:val="clear" w:color="auto" w:fill="auto"/>
          </w:tcPr>
          <w:p w14:paraId="5676B141" w14:textId="77777777" w:rsidR="00302BFE" w:rsidRPr="0075595E" w:rsidRDefault="00302BFE" w:rsidP="00243B15">
            <w:pPr>
              <w:rPr>
                <w:rFonts w:eastAsia="Calibri"/>
                <w:sz w:val="18"/>
                <w:szCs w:val="18"/>
              </w:rPr>
            </w:pPr>
            <w:r w:rsidRPr="0075595E">
              <w:rPr>
                <w:rFonts w:eastAsia="Calibri"/>
                <w:sz w:val="18"/>
                <w:szCs w:val="18"/>
              </w:rPr>
              <w:t>Baouiga</w:t>
            </w:r>
          </w:p>
        </w:tc>
        <w:tc>
          <w:tcPr>
            <w:tcW w:w="1148" w:type="pct"/>
            <w:shd w:val="clear" w:color="auto" w:fill="auto"/>
          </w:tcPr>
          <w:p w14:paraId="227AEC19" w14:textId="77777777" w:rsidR="00302BFE" w:rsidRPr="0075595E" w:rsidRDefault="00302BFE" w:rsidP="00243B15">
            <w:pPr>
              <w:rPr>
                <w:rFonts w:eastAsia="Calibri"/>
                <w:sz w:val="18"/>
                <w:szCs w:val="18"/>
                <w:lang w:val="fr-CA"/>
              </w:rPr>
            </w:pPr>
            <w:r w:rsidRPr="0075595E">
              <w:rPr>
                <w:rFonts w:eastAsia="Calibri"/>
                <w:sz w:val="18"/>
                <w:szCs w:val="18"/>
                <w:lang w:val="fr-CA"/>
              </w:rPr>
              <w:t>Terroir ASP situé en zone tampon du PNKT</w:t>
            </w:r>
          </w:p>
        </w:tc>
        <w:tc>
          <w:tcPr>
            <w:tcW w:w="2682" w:type="pct"/>
            <w:vMerge/>
            <w:shd w:val="clear" w:color="auto" w:fill="auto"/>
          </w:tcPr>
          <w:p w14:paraId="60C03A9F" w14:textId="77777777" w:rsidR="00302BFE" w:rsidRPr="0075595E" w:rsidRDefault="00302BFE" w:rsidP="00243B15">
            <w:pPr>
              <w:rPr>
                <w:rFonts w:eastAsia="Calibri"/>
                <w:sz w:val="18"/>
                <w:szCs w:val="18"/>
                <w:lang w:val="fr-CA"/>
              </w:rPr>
            </w:pPr>
          </w:p>
        </w:tc>
      </w:tr>
      <w:tr w:rsidR="00302BFE" w:rsidRPr="0099310D" w14:paraId="50C39D14" w14:textId="77777777" w:rsidTr="00243B15">
        <w:trPr>
          <w:jc w:val="center"/>
        </w:trPr>
        <w:tc>
          <w:tcPr>
            <w:tcW w:w="560" w:type="pct"/>
            <w:shd w:val="clear" w:color="auto" w:fill="auto"/>
          </w:tcPr>
          <w:p w14:paraId="1112468D" w14:textId="77777777" w:rsidR="00302BFE" w:rsidRPr="0075595E" w:rsidRDefault="00302BFE" w:rsidP="00243B15">
            <w:pPr>
              <w:rPr>
                <w:rFonts w:eastAsia="Calibri"/>
                <w:b/>
                <w:bCs/>
                <w:sz w:val="18"/>
                <w:szCs w:val="18"/>
              </w:rPr>
            </w:pPr>
            <w:r w:rsidRPr="0075595E">
              <w:rPr>
                <w:rFonts w:eastAsia="Calibri"/>
                <w:b/>
                <w:bCs/>
                <w:sz w:val="18"/>
                <w:szCs w:val="18"/>
              </w:rPr>
              <w:t>Nobéré</w:t>
            </w:r>
          </w:p>
        </w:tc>
        <w:tc>
          <w:tcPr>
            <w:tcW w:w="610" w:type="pct"/>
            <w:shd w:val="clear" w:color="auto" w:fill="auto"/>
          </w:tcPr>
          <w:p w14:paraId="05294D0B" w14:textId="77777777" w:rsidR="00302BFE" w:rsidRPr="0075595E" w:rsidRDefault="00302BFE" w:rsidP="00243B15">
            <w:pPr>
              <w:rPr>
                <w:rFonts w:eastAsia="Calibri"/>
                <w:sz w:val="18"/>
                <w:szCs w:val="18"/>
              </w:rPr>
            </w:pPr>
            <w:r w:rsidRPr="0075595E">
              <w:rPr>
                <w:rFonts w:eastAsia="Calibri"/>
                <w:sz w:val="18"/>
                <w:szCs w:val="18"/>
              </w:rPr>
              <w:t xml:space="preserve">Kougrissincé </w:t>
            </w:r>
          </w:p>
        </w:tc>
        <w:tc>
          <w:tcPr>
            <w:tcW w:w="1148" w:type="pct"/>
            <w:shd w:val="clear" w:color="auto" w:fill="auto"/>
          </w:tcPr>
          <w:p w14:paraId="1C7D4CDB" w14:textId="77777777" w:rsidR="00302BFE" w:rsidRPr="0075595E" w:rsidRDefault="00302BFE" w:rsidP="00243B15">
            <w:pPr>
              <w:rPr>
                <w:rFonts w:eastAsia="Calibri"/>
                <w:sz w:val="18"/>
                <w:szCs w:val="18"/>
                <w:lang w:val="fr-CA"/>
              </w:rPr>
            </w:pPr>
            <w:r w:rsidRPr="0075595E">
              <w:rPr>
                <w:rFonts w:eastAsia="Calibri"/>
                <w:sz w:val="18"/>
                <w:szCs w:val="18"/>
                <w:lang w:val="fr-CA"/>
              </w:rPr>
              <w:t>Village riverain du PNKT. Terroir ASP</w:t>
            </w:r>
          </w:p>
        </w:tc>
        <w:tc>
          <w:tcPr>
            <w:tcW w:w="2682" w:type="pct"/>
            <w:shd w:val="clear" w:color="auto" w:fill="auto"/>
          </w:tcPr>
          <w:p w14:paraId="0DFA2755" w14:textId="77777777" w:rsidR="00302BFE" w:rsidRPr="0075595E" w:rsidRDefault="00302BFE" w:rsidP="00243B15">
            <w:pPr>
              <w:rPr>
                <w:rFonts w:eastAsia="Calibri"/>
                <w:sz w:val="18"/>
                <w:szCs w:val="18"/>
                <w:lang w:val="fr-CA"/>
              </w:rPr>
            </w:pPr>
            <w:r w:rsidRPr="0075595E">
              <w:rPr>
                <w:rFonts w:eastAsia="Calibri"/>
                <w:sz w:val="18"/>
                <w:szCs w:val="18"/>
                <w:lang w:val="fr-CA"/>
              </w:rPr>
              <w:t>Village impliqué dans un CAF. Kougrissincé jouxte un CAF dont la gestion est opérée depuis la province Sissili située dans la région voisine du Centre-Ouest. Le CAF étant situé dans la commune de Nobéré n’est donc qu’une zone de coupe dont le suivi et la gestion durable ne sont pas assurés.</w:t>
            </w:r>
          </w:p>
        </w:tc>
      </w:tr>
    </w:tbl>
    <w:bookmarkEnd w:id="115"/>
    <w:bookmarkEnd w:id="116"/>
    <w:p w14:paraId="7B6DE0C1" w14:textId="77777777" w:rsidR="00302BFE" w:rsidRDefault="00302BFE" w:rsidP="00302BFE">
      <w:pPr>
        <w:pStyle w:val="Lgende"/>
        <w:spacing w:before="240" w:after="60"/>
        <w:jc w:val="center"/>
        <w:rPr>
          <w:rFonts w:ascii="Calibri" w:hAnsi="Calibri"/>
          <w:sz w:val="22"/>
          <w:szCs w:val="22"/>
          <w:lang w:val="fr-CA"/>
        </w:rPr>
      </w:pPr>
      <w:r>
        <w:rPr>
          <w:rFonts w:ascii="Calibri" w:hAnsi="Calibri"/>
          <w:sz w:val="22"/>
          <w:szCs w:val="22"/>
          <w:lang w:val="fr-CA"/>
        </w:rPr>
        <w:t>Figure</w:t>
      </w:r>
      <w:r w:rsidRPr="00B72D64">
        <w:rPr>
          <w:rFonts w:ascii="Calibri" w:hAnsi="Calibri"/>
          <w:sz w:val="22"/>
          <w:szCs w:val="22"/>
          <w:lang w:val="fr-CA"/>
        </w:rPr>
        <w:t xml:space="preserve"> </w:t>
      </w:r>
      <w:r w:rsidRPr="00091F0E">
        <w:rPr>
          <w:rFonts w:ascii="Calibri" w:hAnsi="Calibri"/>
          <w:sz w:val="22"/>
          <w:szCs w:val="22"/>
          <w:lang w:val="fr-CA"/>
        </w:rPr>
        <w:t>4</w:t>
      </w:r>
      <w:r w:rsidRPr="00B72D64">
        <w:rPr>
          <w:rFonts w:ascii="Calibri" w:hAnsi="Calibri"/>
          <w:sz w:val="22"/>
          <w:szCs w:val="22"/>
          <w:lang w:val="fr-CA"/>
        </w:rPr>
        <w:t xml:space="preserve"> : Sites pilotes identifiés dans le complexe PONASI pour la mise en œuvre des composantes 3 et 4 du projet </w:t>
      </w:r>
    </w:p>
    <w:p w14:paraId="415439CF" w14:textId="77777777" w:rsidR="00302BFE" w:rsidRPr="00C5724B" w:rsidRDefault="00302BFE" w:rsidP="00302BFE">
      <w:pPr>
        <w:rPr>
          <w:lang w:val="fr-CA"/>
        </w:rPr>
      </w:pPr>
      <w:r>
        <w:rPr>
          <w:noProof/>
        </w:rPr>
        <w:lastRenderedPageBreak/>
        <w:drawing>
          <wp:anchor distT="0" distB="0" distL="114300" distR="114300" simplePos="0" relativeHeight="251728896" behindDoc="0" locked="0" layoutInCell="1" allowOverlap="0" wp14:anchorId="111FF2C7" wp14:editId="11B16488">
            <wp:simplePos x="0" y="0"/>
            <wp:positionH relativeFrom="page">
              <wp:posOffset>1086485</wp:posOffset>
            </wp:positionH>
            <wp:positionV relativeFrom="paragraph">
              <wp:posOffset>85090</wp:posOffset>
            </wp:positionV>
            <wp:extent cx="5274310" cy="3729355"/>
            <wp:effectExtent l="0" t="0" r="2540" b="4445"/>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4310" cy="3729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3A910A" w14:textId="77777777" w:rsidR="00302BFE" w:rsidRPr="00B16682" w:rsidRDefault="00302BFE" w:rsidP="00302BFE">
      <w:pPr>
        <w:pStyle w:val="Titre2"/>
        <w:ind w:left="0"/>
        <w:rPr>
          <w:rFonts w:ascii="Calibri" w:hAnsi="Calibri"/>
          <w:szCs w:val="22"/>
        </w:rPr>
      </w:pPr>
      <w:r w:rsidRPr="00755BF9">
        <w:rPr>
          <w:b w:val="0"/>
          <w:lang w:val="en-GB"/>
        </w:rPr>
        <w:br w:type="page"/>
      </w:r>
      <w:bookmarkStart w:id="117" w:name="_Toc9961810"/>
      <w:r w:rsidRPr="00B16682">
        <w:rPr>
          <w:rFonts w:ascii="Calibri" w:hAnsi="Calibri"/>
          <w:szCs w:val="22"/>
        </w:rPr>
        <w:lastRenderedPageBreak/>
        <w:t xml:space="preserve">Annex </w:t>
      </w:r>
      <w:r>
        <w:rPr>
          <w:rFonts w:ascii="Calibri" w:hAnsi="Calibri"/>
          <w:szCs w:val="22"/>
        </w:rPr>
        <w:t>J</w:t>
      </w:r>
      <w:r w:rsidRPr="00B16682">
        <w:rPr>
          <w:rFonts w:ascii="Calibri" w:hAnsi="Calibri"/>
          <w:szCs w:val="22"/>
        </w:rPr>
        <w:t>. Overview of the Protected Area system in Burkina Faso</w:t>
      </w:r>
      <w:bookmarkEnd w:id="117"/>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38"/>
        <w:gridCol w:w="418"/>
        <w:gridCol w:w="1658"/>
        <w:gridCol w:w="1245"/>
        <w:gridCol w:w="2317"/>
        <w:gridCol w:w="939"/>
        <w:gridCol w:w="1858"/>
      </w:tblGrid>
      <w:tr w:rsidR="00302BFE" w:rsidRPr="00412826" w14:paraId="64C78113" w14:textId="77777777" w:rsidTr="00243B15">
        <w:trPr>
          <w:tblHeader/>
          <w:jc w:val="center"/>
        </w:trPr>
        <w:tc>
          <w:tcPr>
            <w:tcW w:w="2117"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7CDB1A79" w14:textId="77777777" w:rsidR="00302BFE" w:rsidRPr="00412826" w:rsidRDefault="00302BFE" w:rsidP="00243B15">
            <w:pPr>
              <w:spacing w:after="0"/>
              <w:ind w:left="30" w:right="30"/>
              <w:jc w:val="center"/>
              <w:rPr>
                <w:b/>
                <w:bCs/>
                <w:sz w:val="18"/>
                <w:szCs w:val="18"/>
                <w:lang w:val="fr-FR"/>
              </w:rPr>
            </w:pPr>
            <w:r>
              <w:rPr>
                <w:b/>
                <w:bCs/>
                <w:sz w:val="18"/>
                <w:szCs w:val="18"/>
                <w:lang w:val="fr-FR"/>
              </w:rPr>
              <w:t>National PA c</w:t>
            </w:r>
            <w:r w:rsidRPr="00DC05C9">
              <w:rPr>
                <w:b/>
                <w:bCs/>
                <w:sz w:val="18"/>
                <w:szCs w:val="18"/>
                <w:lang w:val="fr-FR"/>
              </w:rPr>
              <w:t>ategory</w:t>
            </w:r>
          </w:p>
        </w:tc>
        <w:tc>
          <w:tcPr>
            <w:tcW w:w="378"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7C939F18" w14:textId="77777777" w:rsidR="00302BFE" w:rsidRPr="00412826" w:rsidRDefault="00302BFE" w:rsidP="00243B15">
            <w:pPr>
              <w:spacing w:after="0"/>
              <w:ind w:left="30" w:right="30"/>
              <w:jc w:val="center"/>
              <w:rPr>
                <w:b/>
                <w:bCs/>
                <w:sz w:val="18"/>
                <w:szCs w:val="18"/>
                <w:lang w:val="fr-FR"/>
              </w:rPr>
            </w:pPr>
            <w:r w:rsidRPr="00412826">
              <w:rPr>
                <w:b/>
                <w:bCs/>
                <w:sz w:val="18"/>
                <w:szCs w:val="18"/>
                <w:lang w:val="fr-FR"/>
              </w:rPr>
              <w:t>No</w:t>
            </w:r>
          </w:p>
        </w:tc>
        <w:tc>
          <w:tcPr>
            <w:tcW w:w="1501" w:type="dxa"/>
            <w:tcBorders>
              <w:top w:val="single" w:sz="4" w:space="0" w:color="auto"/>
              <w:left w:val="single" w:sz="4" w:space="0" w:color="auto"/>
              <w:bottom w:val="single" w:sz="4" w:space="0" w:color="auto"/>
              <w:right w:val="single" w:sz="4" w:space="0" w:color="auto"/>
            </w:tcBorders>
            <w:shd w:val="clear" w:color="auto" w:fill="FFF2CC"/>
            <w:vAlign w:val="center"/>
          </w:tcPr>
          <w:p w14:paraId="464B67C2" w14:textId="77777777" w:rsidR="00302BFE" w:rsidRPr="00412826" w:rsidRDefault="00302BFE" w:rsidP="00243B15">
            <w:pPr>
              <w:spacing w:after="0"/>
              <w:ind w:left="30" w:right="30"/>
              <w:jc w:val="center"/>
              <w:rPr>
                <w:b/>
                <w:bCs/>
                <w:sz w:val="18"/>
                <w:szCs w:val="18"/>
                <w:lang w:val="fr-FR"/>
              </w:rPr>
            </w:pPr>
            <w:r>
              <w:rPr>
                <w:b/>
                <w:bCs/>
                <w:sz w:val="18"/>
                <w:szCs w:val="18"/>
                <w:lang w:val="fr-FR"/>
              </w:rPr>
              <w:t>Protected Area</w:t>
            </w:r>
          </w:p>
        </w:tc>
        <w:tc>
          <w:tcPr>
            <w:tcW w:w="1127" w:type="dxa"/>
            <w:tcBorders>
              <w:top w:val="single" w:sz="4" w:space="0" w:color="auto"/>
              <w:left w:val="single" w:sz="4" w:space="0" w:color="auto"/>
              <w:bottom w:val="single" w:sz="4" w:space="0" w:color="auto"/>
              <w:right w:val="single" w:sz="4" w:space="0" w:color="auto"/>
            </w:tcBorders>
            <w:shd w:val="clear" w:color="auto" w:fill="FFF2CC"/>
            <w:vAlign w:val="center"/>
          </w:tcPr>
          <w:p w14:paraId="55D86A0C" w14:textId="77777777" w:rsidR="00302BFE" w:rsidRPr="00412826" w:rsidRDefault="00302BFE" w:rsidP="00243B15">
            <w:pPr>
              <w:spacing w:after="0"/>
              <w:ind w:left="30" w:right="30"/>
              <w:jc w:val="center"/>
              <w:rPr>
                <w:b/>
                <w:bCs/>
                <w:sz w:val="18"/>
                <w:szCs w:val="18"/>
                <w:lang w:val="fr-FR"/>
              </w:rPr>
            </w:pPr>
            <w:r w:rsidRPr="00DC05C9">
              <w:rPr>
                <w:b/>
                <w:bCs/>
                <w:sz w:val="18"/>
                <w:szCs w:val="18"/>
                <w:lang w:val="fr-FR"/>
              </w:rPr>
              <w:t>Creation date</w:t>
            </w:r>
          </w:p>
        </w:tc>
        <w:tc>
          <w:tcPr>
            <w:tcW w:w="2097"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6A692FC4" w14:textId="77777777" w:rsidR="00302BFE" w:rsidRPr="00412826" w:rsidRDefault="00302BFE" w:rsidP="00243B15">
            <w:pPr>
              <w:spacing w:after="0"/>
              <w:ind w:left="30" w:right="30"/>
              <w:jc w:val="center"/>
              <w:rPr>
                <w:b/>
                <w:bCs/>
                <w:sz w:val="18"/>
                <w:szCs w:val="18"/>
                <w:lang w:val="fr-FR"/>
              </w:rPr>
            </w:pPr>
            <w:r>
              <w:rPr>
                <w:b/>
                <w:bCs/>
                <w:sz w:val="18"/>
                <w:szCs w:val="18"/>
                <w:lang w:val="fr-FR"/>
              </w:rPr>
              <w:t>Area</w:t>
            </w:r>
            <w:r w:rsidRPr="00412826">
              <w:rPr>
                <w:b/>
                <w:bCs/>
                <w:sz w:val="18"/>
                <w:szCs w:val="18"/>
                <w:lang w:val="fr-FR"/>
              </w:rPr>
              <w:t xml:space="preserve"> (ha)</w:t>
            </w:r>
          </w:p>
        </w:tc>
        <w:tc>
          <w:tcPr>
            <w:tcW w:w="850"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605A5123" w14:textId="77777777" w:rsidR="00302BFE" w:rsidRPr="00412826" w:rsidRDefault="00302BFE" w:rsidP="00243B15">
            <w:pPr>
              <w:spacing w:after="0"/>
              <w:ind w:left="30" w:right="30"/>
              <w:jc w:val="center"/>
              <w:rPr>
                <w:b/>
                <w:bCs/>
                <w:sz w:val="18"/>
                <w:szCs w:val="18"/>
                <w:lang w:val="fr-FR"/>
              </w:rPr>
            </w:pPr>
            <w:r w:rsidRPr="00412826">
              <w:rPr>
                <w:b/>
                <w:bCs/>
                <w:sz w:val="18"/>
                <w:szCs w:val="18"/>
                <w:lang w:val="fr-FR"/>
              </w:rPr>
              <w:t>I</w:t>
            </w:r>
            <w:r>
              <w:rPr>
                <w:b/>
                <w:bCs/>
                <w:sz w:val="18"/>
                <w:szCs w:val="18"/>
                <w:lang w:val="fr-FR"/>
              </w:rPr>
              <w:t>U</w:t>
            </w:r>
            <w:r w:rsidRPr="00412826">
              <w:rPr>
                <w:b/>
                <w:bCs/>
                <w:sz w:val="18"/>
                <w:szCs w:val="18"/>
                <w:lang w:val="fr-FR"/>
              </w:rPr>
              <w:t>CN Cat.</w:t>
            </w:r>
          </w:p>
        </w:tc>
        <w:tc>
          <w:tcPr>
            <w:tcW w:w="1682"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03E78AE1" w14:textId="77777777" w:rsidR="00302BFE" w:rsidRPr="00412826" w:rsidRDefault="00302BFE" w:rsidP="00243B15">
            <w:pPr>
              <w:spacing w:after="0"/>
              <w:ind w:left="30" w:right="30"/>
              <w:jc w:val="center"/>
              <w:rPr>
                <w:b/>
                <w:bCs/>
                <w:sz w:val="18"/>
                <w:szCs w:val="18"/>
                <w:lang w:val="fr-FR"/>
              </w:rPr>
            </w:pPr>
            <w:r>
              <w:rPr>
                <w:b/>
                <w:bCs/>
                <w:sz w:val="18"/>
                <w:szCs w:val="18"/>
                <w:lang w:val="fr-FR"/>
              </w:rPr>
              <w:t>Management a</w:t>
            </w:r>
            <w:r w:rsidRPr="00412826">
              <w:rPr>
                <w:b/>
                <w:bCs/>
                <w:sz w:val="18"/>
                <w:szCs w:val="18"/>
                <w:lang w:val="fr-FR"/>
              </w:rPr>
              <w:t>ut</w:t>
            </w:r>
            <w:r>
              <w:rPr>
                <w:b/>
                <w:bCs/>
                <w:sz w:val="18"/>
                <w:szCs w:val="18"/>
                <w:lang w:val="fr-FR"/>
              </w:rPr>
              <w:t>h</w:t>
            </w:r>
            <w:r w:rsidRPr="00412826">
              <w:rPr>
                <w:b/>
                <w:bCs/>
                <w:sz w:val="18"/>
                <w:szCs w:val="18"/>
                <w:lang w:val="fr-FR"/>
              </w:rPr>
              <w:t>orit</w:t>
            </w:r>
            <w:r>
              <w:rPr>
                <w:b/>
                <w:bCs/>
                <w:sz w:val="18"/>
                <w:szCs w:val="18"/>
                <w:lang w:val="fr-FR"/>
              </w:rPr>
              <w:t>y</w:t>
            </w:r>
          </w:p>
        </w:tc>
      </w:tr>
      <w:tr w:rsidR="00302BFE" w:rsidRPr="007C1F07" w14:paraId="12483F82" w14:textId="77777777" w:rsidTr="00243B15">
        <w:trPr>
          <w:jc w:val="center"/>
        </w:trPr>
        <w:tc>
          <w:tcPr>
            <w:tcW w:w="2117" w:type="dxa"/>
            <w:vMerge w:val="restart"/>
            <w:tcBorders>
              <w:top w:val="single" w:sz="4" w:space="0" w:color="auto"/>
              <w:left w:val="single" w:sz="4" w:space="0" w:color="auto"/>
              <w:right w:val="single" w:sz="4" w:space="0" w:color="auto"/>
            </w:tcBorders>
            <w:vAlign w:val="center"/>
            <w:hideMark/>
          </w:tcPr>
          <w:p w14:paraId="54AF9D9A" w14:textId="77777777" w:rsidR="00302BFE" w:rsidRPr="00412826" w:rsidRDefault="00302BFE" w:rsidP="00243B15">
            <w:pPr>
              <w:spacing w:after="0"/>
              <w:ind w:left="30" w:right="30"/>
              <w:rPr>
                <w:sz w:val="18"/>
                <w:szCs w:val="18"/>
                <w:lang w:val="fr-FR"/>
              </w:rPr>
            </w:pPr>
            <w:r w:rsidRPr="00DC05C9">
              <w:rPr>
                <w:sz w:val="18"/>
                <w:szCs w:val="18"/>
                <w:lang w:val="fr-FR"/>
              </w:rPr>
              <w:t>National Parks (no hunting)</w:t>
            </w:r>
          </w:p>
        </w:tc>
        <w:tc>
          <w:tcPr>
            <w:tcW w:w="378" w:type="dxa"/>
            <w:vMerge w:val="restart"/>
            <w:tcBorders>
              <w:top w:val="single" w:sz="4" w:space="0" w:color="auto"/>
              <w:left w:val="single" w:sz="4" w:space="0" w:color="auto"/>
              <w:right w:val="single" w:sz="4" w:space="0" w:color="auto"/>
            </w:tcBorders>
            <w:vAlign w:val="center"/>
            <w:hideMark/>
          </w:tcPr>
          <w:p w14:paraId="703E05C4" w14:textId="77777777" w:rsidR="00302BFE" w:rsidRPr="00412826" w:rsidRDefault="00302BFE" w:rsidP="00243B15">
            <w:pPr>
              <w:spacing w:after="0"/>
              <w:ind w:left="30" w:right="30"/>
              <w:jc w:val="center"/>
              <w:rPr>
                <w:sz w:val="18"/>
                <w:szCs w:val="18"/>
                <w:lang w:val="fr-FR"/>
              </w:rPr>
            </w:pPr>
            <w:r w:rsidRPr="00412826">
              <w:rPr>
                <w:sz w:val="18"/>
                <w:szCs w:val="18"/>
                <w:lang w:val="fr-FR"/>
              </w:rPr>
              <w:t>2</w:t>
            </w:r>
          </w:p>
        </w:tc>
        <w:tc>
          <w:tcPr>
            <w:tcW w:w="1501" w:type="dxa"/>
            <w:tcBorders>
              <w:top w:val="single" w:sz="4" w:space="0" w:color="auto"/>
              <w:left w:val="single" w:sz="4" w:space="0" w:color="auto"/>
              <w:bottom w:val="single" w:sz="4" w:space="0" w:color="auto"/>
              <w:right w:val="single" w:sz="4" w:space="0" w:color="auto"/>
            </w:tcBorders>
            <w:vAlign w:val="center"/>
          </w:tcPr>
          <w:p w14:paraId="167034D4" w14:textId="77777777" w:rsidR="00302BFE" w:rsidRPr="00412826" w:rsidRDefault="00302BFE" w:rsidP="00243B15">
            <w:pPr>
              <w:spacing w:after="0"/>
              <w:ind w:left="30" w:right="30"/>
              <w:jc w:val="center"/>
              <w:rPr>
                <w:sz w:val="18"/>
                <w:szCs w:val="18"/>
                <w:lang w:val="fr-FR"/>
              </w:rPr>
            </w:pPr>
            <w:r w:rsidRPr="00412826">
              <w:rPr>
                <w:sz w:val="18"/>
                <w:szCs w:val="18"/>
                <w:lang w:val="fr-FR"/>
              </w:rPr>
              <w:t>W</w:t>
            </w:r>
          </w:p>
        </w:tc>
        <w:tc>
          <w:tcPr>
            <w:tcW w:w="1127" w:type="dxa"/>
            <w:tcBorders>
              <w:top w:val="single" w:sz="4" w:space="0" w:color="auto"/>
              <w:left w:val="single" w:sz="4" w:space="0" w:color="auto"/>
              <w:bottom w:val="single" w:sz="4" w:space="0" w:color="auto"/>
              <w:right w:val="single" w:sz="4" w:space="0" w:color="auto"/>
            </w:tcBorders>
            <w:vAlign w:val="center"/>
          </w:tcPr>
          <w:p w14:paraId="69A76FF8" w14:textId="77777777" w:rsidR="00302BFE" w:rsidRPr="00412826" w:rsidRDefault="00302BFE" w:rsidP="00243B15">
            <w:pPr>
              <w:spacing w:after="0"/>
              <w:ind w:left="30" w:right="30"/>
              <w:jc w:val="center"/>
              <w:rPr>
                <w:sz w:val="18"/>
                <w:szCs w:val="18"/>
                <w:lang w:val="fr-FR"/>
              </w:rPr>
            </w:pPr>
            <w:r w:rsidRPr="00412826">
              <w:rPr>
                <w:sz w:val="18"/>
                <w:szCs w:val="18"/>
                <w:lang w:val="fr-FR"/>
              </w:rPr>
              <w:t>1954</w:t>
            </w:r>
          </w:p>
        </w:tc>
        <w:tc>
          <w:tcPr>
            <w:tcW w:w="2097" w:type="dxa"/>
            <w:tcBorders>
              <w:top w:val="single" w:sz="4" w:space="0" w:color="auto"/>
              <w:left w:val="single" w:sz="4" w:space="0" w:color="auto"/>
              <w:bottom w:val="single" w:sz="4" w:space="0" w:color="auto"/>
              <w:right w:val="single" w:sz="4" w:space="0" w:color="auto"/>
            </w:tcBorders>
            <w:vAlign w:val="center"/>
            <w:hideMark/>
          </w:tcPr>
          <w:p w14:paraId="577F7DD2" w14:textId="77777777" w:rsidR="00302BFE" w:rsidRPr="00412826" w:rsidRDefault="00302BFE" w:rsidP="00243B15">
            <w:pPr>
              <w:spacing w:after="0"/>
              <w:ind w:left="30" w:right="30"/>
              <w:jc w:val="center"/>
              <w:rPr>
                <w:sz w:val="18"/>
                <w:szCs w:val="18"/>
                <w:lang w:val="fr-FR"/>
              </w:rPr>
            </w:pPr>
            <w:r w:rsidRPr="00412826">
              <w:rPr>
                <w:sz w:val="18"/>
                <w:szCs w:val="18"/>
                <w:lang w:val="fr-FR"/>
              </w:rPr>
              <w:t>235</w:t>
            </w:r>
            <w:r>
              <w:rPr>
                <w:sz w:val="18"/>
                <w:szCs w:val="18"/>
                <w:lang w:val="fr-FR"/>
              </w:rPr>
              <w:t>,</w:t>
            </w:r>
            <w:r w:rsidRPr="00412826">
              <w:rPr>
                <w:sz w:val="18"/>
                <w:szCs w:val="18"/>
                <w:lang w:val="fr-FR"/>
              </w:rPr>
              <w:t>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510ABD60" w14:textId="77777777" w:rsidR="00302BFE" w:rsidRPr="00412826" w:rsidRDefault="00302BFE" w:rsidP="00243B15">
            <w:pPr>
              <w:spacing w:after="0"/>
              <w:ind w:left="30" w:right="30"/>
              <w:jc w:val="center"/>
              <w:rPr>
                <w:sz w:val="18"/>
                <w:szCs w:val="18"/>
                <w:lang w:val="fr-FR"/>
              </w:rPr>
            </w:pPr>
            <w:r w:rsidRPr="00412826">
              <w:rPr>
                <w:sz w:val="18"/>
                <w:szCs w:val="18"/>
                <w:lang w:val="fr-FR"/>
              </w:rPr>
              <w:t>II</w:t>
            </w:r>
          </w:p>
        </w:tc>
        <w:tc>
          <w:tcPr>
            <w:tcW w:w="1682" w:type="dxa"/>
            <w:vMerge w:val="restart"/>
            <w:tcBorders>
              <w:top w:val="single" w:sz="4" w:space="0" w:color="auto"/>
              <w:left w:val="single" w:sz="4" w:space="0" w:color="auto"/>
              <w:right w:val="single" w:sz="4" w:space="0" w:color="auto"/>
            </w:tcBorders>
            <w:vAlign w:val="center"/>
            <w:hideMark/>
          </w:tcPr>
          <w:p w14:paraId="240FEEC8" w14:textId="77777777" w:rsidR="00302BFE" w:rsidRPr="007C1F07" w:rsidRDefault="00302BFE" w:rsidP="00243B15">
            <w:pPr>
              <w:spacing w:after="0"/>
              <w:ind w:left="30" w:right="30"/>
              <w:jc w:val="left"/>
              <w:rPr>
                <w:sz w:val="18"/>
                <w:szCs w:val="18"/>
                <w:lang w:val="en-CA"/>
              </w:rPr>
            </w:pPr>
            <w:r w:rsidRPr="007C1F07">
              <w:rPr>
                <w:sz w:val="18"/>
                <w:szCs w:val="18"/>
                <w:lang w:val="en-CA"/>
              </w:rPr>
              <w:t>Ministry of Environment, Green Economy and Climate Change, Directorate General of Water and Forests (DGEF) and National Office of Protected Areas (OFINAP) **</w:t>
            </w:r>
          </w:p>
        </w:tc>
      </w:tr>
      <w:tr w:rsidR="00302BFE" w:rsidRPr="00412826" w14:paraId="634DE6D4" w14:textId="77777777" w:rsidTr="00243B15">
        <w:trPr>
          <w:jc w:val="center"/>
        </w:trPr>
        <w:tc>
          <w:tcPr>
            <w:tcW w:w="2117" w:type="dxa"/>
            <w:vMerge/>
            <w:tcBorders>
              <w:left w:val="single" w:sz="4" w:space="0" w:color="auto"/>
              <w:bottom w:val="single" w:sz="4" w:space="0" w:color="auto"/>
              <w:right w:val="single" w:sz="4" w:space="0" w:color="auto"/>
            </w:tcBorders>
            <w:vAlign w:val="center"/>
          </w:tcPr>
          <w:p w14:paraId="78B91153" w14:textId="77777777" w:rsidR="00302BFE" w:rsidRPr="007C1F07" w:rsidRDefault="00302BFE" w:rsidP="00243B15">
            <w:pPr>
              <w:spacing w:after="0"/>
              <w:ind w:left="30" w:right="30"/>
              <w:rPr>
                <w:sz w:val="18"/>
                <w:szCs w:val="18"/>
                <w:lang w:val="en-CA"/>
              </w:rPr>
            </w:pPr>
          </w:p>
        </w:tc>
        <w:tc>
          <w:tcPr>
            <w:tcW w:w="378" w:type="dxa"/>
            <w:vMerge/>
            <w:tcBorders>
              <w:left w:val="single" w:sz="4" w:space="0" w:color="auto"/>
              <w:bottom w:val="single" w:sz="4" w:space="0" w:color="auto"/>
              <w:right w:val="single" w:sz="4" w:space="0" w:color="auto"/>
            </w:tcBorders>
            <w:vAlign w:val="center"/>
          </w:tcPr>
          <w:p w14:paraId="6EDA98B5" w14:textId="77777777" w:rsidR="00302BFE" w:rsidRPr="007C1F07" w:rsidRDefault="00302BFE" w:rsidP="00243B15">
            <w:pPr>
              <w:spacing w:after="0"/>
              <w:ind w:left="30" w:right="30"/>
              <w:jc w:val="center"/>
              <w:rPr>
                <w:sz w:val="18"/>
                <w:szCs w:val="18"/>
                <w:lang w:val="en-CA"/>
              </w:rPr>
            </w:pPr>
          </w:p>
        </w:tc>
        <w:tc>
          <w:tcPr>
            <w:tcW w:w="1501" w:type="dxa"/>
            <w:tcBorders>
              <w:top w:val="single" w:sz="4" w:space="0" w:color="auto"/>
              <w:left w:val="single" w:sz="4" w:space="0" w:color="auto"/>
              <w:bottom w:val="single" w:sz="4" w:space="0" w:color="auto"/>
              <w:right w:val="single" w:sz="4" w:space="0" w:color="auto"/>
            </w:tcBorders>
            <w:vAlign w:val="center"/>
          </w:tcPr>
          <w:p w14:paraId="532145D3" w14:textId="77777777" w:rsidR="00302BFE" w:rsidRPr="00412826" w:rsidRDefault="00302BFE" w:rsidP="00243B15">
            <w:pPr>
              <w:spacing w:after="0"/>
              <w:ind w:left="30" w:right="30"/>
              <w:jc w:val="center"/>
              <w:rPr>
                <w:sz w:val="18"/>
                <w:szCs w:val="18"/>
                <w:lang w:val="fr-FR"/>
              </w:rPr>
            </w:pPr>
            <w:r w:rsidRPr="00412826">
              <w:rPr>
                <w:sz w:val="18"/>
                <w:szCs w:val="18"/>
                <w:lang w:val="fr-FR"/>
              </w:rPr>
              <w:t>Kaboré-Tambi</w:t>
            </w:r>
          </w:p>
        </w:tc>
        <w:tc>
          <w:tcPr>
            <w:tcW w:w="1127" w:type="dxa"/>
            <w:tcBorders>
              <w:top w:val="single" w:sz="4" w:space="0" w:color="auto"/>
              <w:left w:val="single" w:sz="4" w:space="0" w:color="auto"/>
              <w:bottom w:val="single" w:sz="4" w:space="0" w:color="auto"/>
              <w:right w:val="single" w:sz="4" w:space="0" w:color="auto"/>
            </w:tcBorders>
            <w:vAlign w:val="center"/>
          </w:tcPr>
          <w:p w14:paraId="3E80830C" w14:textId="77777777" w:rsidR="00302BFE" w:rsidRPr="00412826" w:rsidRDefault="00302BFE" w:rsidP="00243B15">
            <w:pPr>
              <w:spacing w:after="0"/>
              <w:ind w:left="30" w:right="30"/>
              <w:jc w:val="center"/>
              <w:rPr>
                <w:sz w:val="18"/>
                <w:szCs w:val="18"/>
                <w:lang w:val="fr-FR"/>
              </w:rPr>
            </w:pPr>
            <w:r w:rsidRPr="00412826">
              <w:rPr>
                <w:sz w:val="18"/>
                <w:szCs w:val="18"/>
                <w:lang w:val="fr-FR"/>
              </w:rPr>
              <w:t>1976</w:t>
            </w:r>
          </w:p>
        </w:tc>
        <w:tc>
          <w:tcPr>
            <w:tcW w:w="2097" w:type="dxa"/>
            <w:tcBorders>
              <w:top w:val="single" w:sz="4" w:space="0" w:color="auto"/>
              <w:left w:val="single" w:sz="4" w:space="0" w:color="auto"/>
              <w:bottom w:val="single" w:sz="4" w:space="0" w:color="auto"/>
              <w:right w:val="single" w:sz="4" w:space="0" w:color="auto"/>
            </w:tcBorders>
            <w:vAlign w:val="center"/>
          </w:tcPr>
          <w:p w14:paraId="63304391" w14:textId="77777777" w:rsidR="00302BFE" w:rsidRPr="00412826" w:rsidRDefault="00302BFE" w:rsidP="00243B15">
            <w:pPr>
              <w:spacing w:after="0"/>
              <w:ind w:left="30" w:right="30"/>
              <w:jc w:val="center"/>
              <w:rPr>
                <w:sz w:val="18"/>
                <w:szCs w:val="18"/>
                <w:lang w:val="fr-FR"/>
              </w:rPr>
            </w:pPr>
            <w:r w:rsidRPr="00412826">
              <w:rPr>
                <w:sz w:val="18"/>
                <w:szCs w:val="18"/>
                <w:lang w:val="fr-FR"/>
              </w:rPr>
              <w:t>169</w:t>
            </w:r>
            <w:r>
              <w:rPr>
                <w:sz w:val="18"/>
                <w:szCs w:val="18"/>
                <w:lang w:val="fr-FR"/>
              </w:rPr>
              <w:t>,</w:t>
            </w:r>
            <w:r w:rsidRPr="00412826">
              <w:rPr>
                <w:sz w:val="18"/>
                <w:szCs w:val="18"/>
                <w:lang w:val="fr-FR"/>
              </w:rPr>
              <w:t>000</w:t>
            </w:r>
          </w:p>
        </w:tc>
        <w:tc>
          <w:tcPr>
            <w:tcW w:w="850" w:type="dxa"/>
            <w:tcBorders>
              <w:top w:val="single" w:sz="4" w:space="0" w:color="auto"/>
              <w:left w:val="single" w:sz="4" w:space="0" w:color="auto"/>
              <w:bottom w:val="single" w:sz="4" w:space="0" w:color="auto"/>
              <w:right w:val="single" w:sz="4" w:space="0" w:color="auto"/>
            </w:tcBorders>
            <w:vAlign w:val="center"/>
          </w:tcPr>
          <w:p w14:paraId="4D9CF435" w14:textId="77777777" w:rsidR="00302BFE" w:rsidRPr="00412826" w:rsidRDefault="00302BFE" w:rsidP="00243B15">
            <w:pPr>
              <w:spacing w:after="0"/>
              <w:ind w:left="30" w:right="30"/>
              <w:jc w:val="center"/>
              <w:rPr>
                <w:sz w:val="18"/>
                <w:szCs w:val="18"/>
                <w:lang w:val="fr-FR"/>
              </w:rPr>
            </w:pPr>
            <w:r w:rsidRPr="00412826">
              <w:rPr>
                <w:sz w:val="18"/>
                <w:szCs w:val="18"/>
                <w:lang w:val="fr-FR"/>
              </w:rPr>
              <w:t>II</w:t>
            </w:r>
          </w:p>
        </w:tc>
        <w:tc>
          <w:tcPr>
            <w:tcW w:w="1682" w:type="dxa"/>
            <w:vMerge/>
            <w:tcBorders>
              <w:left w:val="single" w:sz="4" w:space="0" w:color="auto"/>
              <w:right w:val="single" w:sz="4" w:space="0" w:color="auto"/>
            </w:tcBorders>
            <w:vAlign w:val="center"/>
          </w:tcPr>
          <w:p w14:paraId="195169A0" w14:textId="77777777" w:rsidR="00302BFE" w:rsidRPr="00412826" w:rsidRDefault="00302BFE" w:rsidP="00243B15">
            <w:pPr>
              <w:spacing w:after="0"/>
              <w:ind w:left="30" w:right="30"/>
              <w:rPr>
                <w:sz w:val="18"/>
                <w:szCs w:val="18"/>
                <w:lang w:val="fr-FR"/>
              </w:rPr>
            </w:pPr>
          </w:p>
        </w:tc>
      </w:tr>
      <w:tr w:rsidR="00302BFE" w:rsidRPr="00412826" w14:paraId="1B3284B1" w14:textId="77777777" w:rsidTr="00243B15">
        <w:trPr>
          <w:jc w:val="center"/>
        </w:trPr>
        <w:tc>
          <w:tcPr>
            <w:tcW w:w="2117" w:type="dxa"/>
            <w:vMerge w:val="restart"/>
            <w:tcBorders>
              <w:top w:val="single" w:sz="4" w:space="0" w:color="auto"/>
              <w:left w:val="single" w:sz="4" w:space="0" w:color="auto"/>
              <w:right w:val="single" w:sz="4" w:space="0" w:color="auto"/>
            </w:tcBorders>
            <w:vAlign w:val="center"/>
            <w:hideMark/>
          </w:tcPr>
          <w:p w14:paraId="3E9D4CB3" w14:textId="77777777" w:rsidR="00302BFE" w:rsidRPr="00412826" w:rsidRDefault="00302BFE" w:rsidP="00243B15">
            <w:pPr>
              <w:spacing w:after="0"/>
              <w:ind w:left="30" w:right="30"/>
              <w:rPr>
                <w:sz w:val="18"/>
                <w:szCs w:val="18"/>
                <w:lang w:val="fr-FR"/>
              </w:rPr>
            </w:pPr>
            <w:r w:rsidRPr="00DC05C9">
              <w:rPr>
                <w:sz w:val="18"/>
                <w:szCs w:val="18"/>
                <w:lang w:val="fr-FR"/>
              </w:rPr>
              <w:t>Wildlife Reserves (prohibited hunting)</w:t>
            </w:r>
            <w:r w:rsidRPr="00412826">
              <w:rPr>
                <w:sz w:val="18"/>
                <w:szCs w:val="18"/>
                <w:lang w:val="fr-FR"/>
              </w:rPr>
              <w:t>)</w:t>
            </w:r>
          </w:p>
        </w:tc>
        <w:tc>
          <w:tcPr>
            <w:tcW w:w="378" w:type="dxa"/>
            <w:vMerge w:val="restart"/>
            <w:tcBorders>
              <w:top w:val="single" w:sz="4" w:space="0" w:color="auto"/>
              <w:left w:val="single" w:sz="4" w:space="0" w:color="auto"/>
              <w:right w:val="single" w:sz="4" w:space="0" w:color="auto"/>
            </w:tcBorders>
            <w:vAlign w:val="center"/>
            <w:hideMark/>
          </w:tcPr>
          <w:p w14:paraId="33944845" w14:textId="77777777" w:rsidR="00302BFE" w:rsidRPr="00412826" w:rsidRDefault="00302BFE" w:rsidP="00243B15">
            <w:pPr>
              <w:spacing w:after="0"/>
              <w:ind w:left="30" w:right="30"/>
              <w:jc w:val="center"/>
              <w:rPr>
                <w:sz w:val="18"/>
                <w:szCs w:val="18"/>
                <w:lang w:val="fr-FR"/>
              </w:rPr>
            </w:pPr>
            <w:r w:rsidRPr="00412826">
              <w:rPr>
                <w:sz w:val="18"/>
                <w:szCs w:val="18"/>
                <w:lang w:val="fr-FR"/>
              </w:rPr>
              <w:t>4</w:t>
            </w:r>
          </w:p>
        </w:tc>
        <w:tc>
          <w:tcPr>
            <w:tcW w:w="1501" w:type="dxa"/>
            <w:tcBorders>
              <w:top w:val="single" w:sz="4" w:space="0" w:color="auto"/>
              <w:left w:val="single" w:sz="4" w:space="0" w:color="auto"/>
              <w:bottom w:val="single" w:sz="4" w:space="0" w:color="auto"/>
              <w:right w:val="single" w:sz="4" w:space="0" w:color="auto"/>
            </w:tcBorders>
            <w:vAlign w:val="center"/>
          </w:tcPr>
          <w:p w14:paraId="5AA53F5B" w14:textId="77777777" w:rsidR="00302BFE" w:rsidRPr="00412826" w:rsidRDefault="00302BFE" w:rsidP="00243B15">
            <w:pPr>
              <w:spacing w:after="0"/>
              <w:ind w:left="30" w:right="30"/>
              <w:jc w:val="center"/>
              <w:rPr>
                <w:sz w:val="18"/>
                <w:szCs w:val="18"/>
                <w:lang w:val="fr-FR"/>
              </w:rPr>
            </w:pPr>
            <w:r w:rsidRPr="00412826">
              <w:rPr>
                <w:sz w:val="18"/>
                <w:szCs w:val="18"/>
                <w:lang w:val="fr-FR"/>
              </w:rPr>
              <w:t>Arly</w:t>
            </w:r>
          </w:p>
        </w:tc>
        <w:tc>
          <w:tcPr>
            <w:tcW w:w="1127" w:type="dxa"/>
            <w:tcBorders>
              <w:top w:val="single" w:sz="4" w:space="0" w:color="auto"/>
              <w:left w:val="single" w:sz="4" w:space="0" w:color="auto"/>
              <w:bottom w:val="single" w:sz="4" w:space="0" w:color="auto"/>
              <w:right w:val="single" w:sz="4" w:space="0" w:color="auto"/>
            </w:tcBorders>
            <w:vAlign w:val="center"/>
          </w:tcPr>
          <w:p w14:paraId="107C5A0E" w14:textId="77777777" w:rsidR="00302BFE" w:rsidRPr="00412826" w:rsidRDefault="00302BFE" w:rsidP="00243B15">
            <w:pPr>
              <w:spacing w:after="0"/>
              <w:ind w:left="30" w:right="30"/>
              <w:jc w:val="center"/>
              <w:rPr>
                <w:sz w:val="18"/>
                <w:szCs w:val="18"/>
                <w:lang w:val="fr-FR"/>
              </w:rPr>
            </w:pPr>
            <w:r w:rsidRPr="00412826">
              <w:rPr>
                <w:sz w:val="18"/>
                <w:szCs w:val="18"/>
                <w:lang w:val="fr-FR"/>
              </w:rPr>
              <w:t>1954</w:t>
            </w:r>
          </w:p>
        </w:tc>
        <w:tc>
          <w:tcPr>
            <w:tcW w:w="2097" w:type="dxa"/>
            <w:tcBorders>
              <w:top w:val="single" w:sz="4" w:space="0" w:color="auto"/>
              <w:left w:val="single" w:sz="4" w:space="0" w:color="auto"/>
              <w:bottom w:val="single" w:sz="4" w:space="0" w:color="auto"/>
              <w:right w:val="single" w:sz="4" w:space="0" w:color="auto"/>
            </w:tcBorders>
            <w:vAlign w:val="center"/>
            <w:hideMark/>
          </w:tcPr>
          <w:p w14:paraId="0D979651" w14:textId="77777777" w:rsidR="00302BFE" w:rsidRPr="00412826" w:rsidRDefault="00302BFE" w:rsidP="00243B15">
            <w:pPr>
              <w:spacing w:after="0"/>
              <w:ind w:left="30" w:right="30"/>
              <w:jc w:val="center"/>
              <w:rPr>
                <w:sz w:val="18"/>
                <w:szCs w:val="18"/>
                <w:lang w:val="fr-FR"/>
              </w:rPr>
            </w:pPr>
            <w:r w:rsidRPr="00412826">
              <w:rPr>
                <w:sz w:val="18"/>
                <w:szCs w:val="18"/>
                <w:lang w:val="fr-FR"/>
              </w:rPr>
              <w:t>76</w:t>
            </w:r>
            <w:r>
              <w:rPr>
                <w:sz w:val="18"/>
                <w:szCs w:val="18"/>
                <w:lang w:val="fr-FR"/>
              </w:rPr>
              <w:t>,</w:t>
            </w:r>
            <w:r w:rsidRPr="00412826">
              <w:rPr>
                <w:sz w:val="18"/>
                <w:szCs w:val="18"/>
                <w:lang w:val="fr-FR"/>
              </w:rPr>
              <w:t>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B6E62FE" w14:textId="77777777" w:rsidR="00302BFE" w:rsidRPr="00412826" w:rsidRDefault="00302BFE" w:rsidP="00243B15">
            <w:pPr>
              <w:spacing w:after="0"/>
              <w:ind w:left="30" w:right="30"/>
              <w:jc w:val="center"/>
              <w:rPr>
                <w:sz w:val="18"/>
                <w:szCs w:val="18"/>
                <w:lang w:val="fr-FR"/>
              </w:rPr>
            </w:pPr>
            <w:r w:rsidRPr="00412826">
              <w:rPr>
                <w:sz w:val="18"/>
                <w:szCs w:val="18"/>
                <w:lang w:val="fr-FR"/>
              </w:rPr>
              <w:t>I</w:t>
            </w:r>
          </w:p>
        </w:tc>
        <w:tc>
          <w:tcPr>
            <w:tcW w:w="1682" w:type="dxa"/>
            <w:vMerge/>
            <w:tcBorders>
              <w:left w:val="single" w:sz="4" w:space="0" w:color="auto"/>
              <w:right w:val="single" w:sz="4" w:space="0" w:color="auto"/>
            </w:tcBorders>
            <w:vAlign w:val="center"/>
            <w:hideMark/>
          </w:tcPr>
          <w:p w14:paraId="24D85B47" w14:textId="77777777" w:rsidR="00302BFE" w:rsidRPr="00412826" w:rsidRDefault="00302BFE" w:rsidP="00243B15">
            <w:pPr>
              <w:spacing w:after="0"/>
              <w:rPr>
                <w:rFonts w:eastAsia="Times New Roman"/>
                <w:sz w:val="18"/>
                <w:szCs w:val="18"/>
                <w:lang w:val="fr-FR"/>
              </w:rPr>
            </w:pPr>
          </w:p>
        </w:tc>
      </w:tr>
      <w:tr w:rsidR="00302BFE" w:rsidRPr="00412826" w14:paraId="711EA282" w14:textId="77777777" w:rsidTr="00243B15">
        <w:trPr>
          <w:jc w:val="center"/>
        </w:trPr>
        <w:tc>
          <w:tcPr>
            <w:tcW w:w="2117" w:type="dxa"/>
            <w:vMerge/>
            <w:tcBorders>
              <w:left w:val="single" w:sz="4" w:space="0" w:color="auto"/>
              <w:right w:val="single" w:sz="4" w:space="0" w:color="auto"/>
            </w:tcBorders>
            <w:vAlign w:val="center"/>
          </w:tcPr>
          <w:p w14:paraId="7C19423B" w14:textId="77777777" w:rsidR="00302BFE" w:rsidRPr="00412826" w:rsidRDefault="00302BFE" w:rsidP="00243B15">
            <w:pPr>
              <w:spacing w:after="0"/>
              <w:ind w:left="30" w:right="30"/>
              <w:rPr>
                <w:sz w:val="18"/>
                <w:szCs w:val="18"/>
                <w:lang w:val="fr-FR"/>
              </w:rPr>
            </w:pPr>
          </w:p>
        </w:tc>
        <w:tc>
          <w:tcPr>
            <w:tcW w:w="378" w:type="dxa"/>
            <w:vMerge/>
            <w:tcBorders>
              <w:left w:val="single" w:sz="4" w:space="0" w:color="auto"/>
              <w:right w:val="single" w:sz="4" w:space="0" w:color="auto"/>
            </w:tcBorders>
            <w:vAlign w:val="center"/>
          </w:tcPr>
          <w:p w14:paraId="700EB9A8" w14:textId="77777777" w:rsidR="00302BFE" w:rsidRPr="00412826" w:rsidRDefault="00302BFE" w:rsidP="00243B15">
            <w:pPr>
              <w:spacing w:after="0"/>
              <w:ind w:left="30" w:right="30"/>
              <w:jc w:val="center"/>
              <w:rPr>
                <w:sz w:val="18"/>
                <w:szCs w:val="18"/>
                <w:lang w:val="fr-FR"/>
              </w:rPr>
            </w:pPr>
          </w:p>
        </w:tc>
        <w:tc>
          <w:tcPr>
            <w:tcW w:w="1501" w:type="dxa"/>
            <w:tcBorders>
              <w:top w:val="single" w:sz="4" w:space="0" w:color="auto"/>
              <w:left w:val="single" w:sz="4" w:space="0" w:color="auto"/>
              <w:bottom w:val="single" w:sz="4" w:space="0" w:color="auto"/>
              <w:right w:val="single" w:sz="4" w:space="0" w:color="auto"/>
            </w:tcBorders>
            <w:vAlign w:val="center"/>
          </w:tcPr>
          <w:p w14:paraId="7FF55558" w14:textId="77777777" w:rsidR="00302BFE" w:rsidRPr="00412826" w:rsidRDefault="00302BFE" w:rsidP="00243B15">
            <w:pPr>
              <w:spacing w:after="0"/>
              <w:ind w:left="30" w:right="30"/>
              <w:jc w:val="center"/>
              <w:rPr>
                <w:sz w:val="18"/>
                <w:szCs w:val="18"/>
                <w:lang w:val="fr-FR"/>
              </w:rPr>
            </w:pPr>
            <w:r w:rsidRPr="00412826">
              <w:rPr>
                <w:sz w:val="18"/>
                <w:szCs w:val="18"/>
                <w:lang w:val="fr-FR"/>
              </w:rPr>
              <w:t>Singou</w:t>
            </w:r>
          </w:p>
        </w:tc>
        <w:tc>
          <w:tcPr>
            <w:tcW w:w="1127" w:type="dxa"/>
            <w:tcBorders>
              <w:top w:val="single" w:sz="4" w:space="0" w:color="auto"/>
              <w:left w:val="single" w:sz="4" w:space="0" w:color="auto"/>
              <w:bottom w:val="single" w:sz="4" w:space="0" w:color="auto"/>
              <w:right w:val="single" w:sz="4" w:space="0" w:color="auto"/>
            </w:tcBorders>
            <w:vAlign w:val="center"/>
          </w:tcPr>
          <w:p w14:paraId="01D7FFCB" w14:textId="77777777" w:rsidR="00302BFE" w:rsidRPr="00412826" w:rsidRDefault="00302BFE" w:rsidP="00243B15">
            <w:pPr>
              <w:spacing w:after="0"/>
              <w:ind w:left="30" w:right="30"/>
              <w:jc w:val="center"/>
              <w:rPr>
                <w:sz w:val="18"/>
                <w:szCs w:val="18"/>
                <w:lang w:val="fr-FR"/>
              </w:rPr>
            </w:pPr>
            <w:r w:rsidRPr="00412826">
              <w:rPr>
                <w:sz w:val="18"/>
                <w:szCs w:val="18"/>
                <w:lang w:val="fr-FR"/>
              </w:rPr>
              <w:t>1955</w:t>
            </w:r>
          </w:p>
        </w:tc>
        <w:tc>
          <w:tcPr>
            <w:tcW w:w="2097" w:type="dxa"/>
            <w:tcBorders>
              <w:top w:val="single" w:sz="4" w:space="0" w:color="auto"/>
              <w:left w:val="single" w:sz="4" w:space="0" w:color="auto"/>
              <w:bottom w:val="single" w:sz="4" w:space="0" w:color="auto"/>
              <w:right w:val="single" w:sz="4" w:space="0" w:color="auto"/>
            </w:tcBorders>
            <w:vAlign w:val="center"/>
          </w:tcPr>
          <w:p w14:paraId="567CB4BC" w14:textId="77777777" w:rsidR="00302BFE" w:rsidRPr="00412826" w:rsidRDefault="00302BFE" w:rsidP="00243B15">
            <w:pPr>
              <w:spacing w:after="0"/>
              <w:ind w:left="30" w:right="30"/>
              <w:jc w:val="center"/>
              <w:rPr>
                <w:sz w:val="18"/>
                <w:szCs w:val="18"/>
                <w:lang w:val="fr-FR"/>
              </w:rPr>
            </w:pPr>
            <w:r w:rsidRPr="00412826">
              <w:rPr>
                <w:sz w:val="18"/>
                <w:szCs w:val="18"/>
                <w:lang w:val="fr-FR"/>
              </w:rPr>
              <w:t>192</w:t>
            </w:r>
            <w:r>
              <w:rPr>
                <w:sz w:val="18"/>
                <w:szCs w:val="18"/>
                <w:lang w:val="fr-FR"/>
              </w:rPr>
              <w:t>,</w:t>
            </w:r>
            <w:r w:rsidRPr="00412826">
              <w:rPr>
                <w:sz w:val="18"/>
                <w:szCs w:val="18"/>
                <w:lang w:val="fr-FR"/>
              </w:rPr>
              <w:t>600</w:t>
            </w:r>
          </w:p>
        </w:tc>
        <w:tc>
          <w:tcPr>
            <w:tcW w:w="850" w:type="dxa"/>
            <w:tcBorders>
              <w:top w:val="single" w:sz="4" w:space="0" w:color="auto"/>
              <w:left w:val="single" w:sz="4" w:space="0" w:color="auto"/>
              <w:bottom w:val="single" w:sz="4" w:space="0" w:color="auto"/>
              <w:right w:val="single" w:sz="4" w:space="0" w:color="auto"/>
            </w:tcBorders>
            <w:vAlign w:val="center"/>
          </w:tcPr>
          <w:p w14:paraId="092E6DAA" w14:textId="77777777" w:rsidR="00302BFE" w:rsidRPr="00412826" w:rsidRDefault="00302BFE" w:rsidP="00243B15">
            <w:pPr>
              <w:spacing w:after="0"/>
              <w:ind w:left="30" w:right="30"/>
              <w:jc w:val="center"/>
              <w:rPr>
                <w:sz w:val="18"/>
                <w:szCs w:val="18"/>
                <w:lang w:val="fr-FR"/>
              </w:rPr>
            </w:pPr>
            <w:r w:rsidRPr="00412826">
              <w:rPr>
                <w:sz w:val="18"/>
                <w:szCs w:val="18"/>
                <w:lang w:val="fr-FR"/>
              </w:rPr>
              <w:t>I</w:t>
            </w:r>
          </w:p>
        </w:tc>
        <w:tc>
          <w:tcPr>
            <w:tcW w:w="1682" w:type="dxa"/>
            <w:vMerge/>
            <w:tcBorders>
              <w:left w:val="single" w:sz="4" w:space="0" w:color="auto"/>
              <w:right w:val="single" w:sz="4" w:space="0" w:color="auto"/>
            </w:tcBorders>
            <w:vAlign w:val="center"/>
          </w:tcPr>
          <w:p w14:paraId="5531C34F" w14:textId="77777777" w:rsidR="00302BFE" w:rsidRPr="00412826" w:rsidRDefault="00302BFE" w:rsidP="00243B15">
            <w:pPr>
              <w:spacing w:after="0"/>
              <w:rPr>
                <w:rFonts w:eastAsia="Times New Roman"/>
                <w:sz w:val="18"/>
                <w:szCs w:val="18"/>
                <w:lang w:val="fr-FR"/>
              </w:rPr>
            </w:pPr>
          </w:p>
        </w:tc>
      </w:tr>
      <w:tr w:rsidR="00302BFE" w:rsidRPr="00412826" w14:paraId="626130BC" w14:textId="77777777" w:rsidTr="00243B15">
        <w:trPr>
          <w:jc w:val="center"/>
        </w:trPr>
        <w:tc>
          <w:tcPr>
            <w:tcW w:w="2117" w:type="dxa"/>
            <w:vMerge/>
            <w:tcBorders>
              <w:left w:val="single" w:sz="4" w:space="0" w:color="auto"/>
              <w:right w:val="single" w:sz="4" w:space="0" w:color="auto"/>
            </w:tcBorders>
            <w:vAlign w:val="center"/>
          </w:tcPr>
          <w:p w14:paraId="3F4D5C3F" w14:textId="77777777" w:rsidR="00302BFE" w:rsidRPr="00412826" w:rsidRDefault="00302BFE" w:rsidP="00243B15">
            <w:pPr>
              <w:spacing w:after="0"/>
              <w:ind w:left="30" w:right="30"/>
              <w:rPr>
                <w:sz w:val="18"/>
                <w:szCs w:val="18"/>
                <w:lang w:val="fr-FR"/>
              </w:rPr>
            </w:pPr>
          </w:p>
        </w:tc>
        <w:tc>
          <w:tcPr>
            <w:tcW w:w="378" w:type="dxa"/>
            <w:vMerge/>
            <w:tcBorders>
              <w:left w:val="single" w:sz="4" w:space="0" w:color="auto"/>
              <w:right w:val="single" w:sz="4" w:space="0" w:color="auto"/>
            </w:tcBorders>
            <w:vAlign w:val="center"/>
          </w:tcPr>
          <w:p w14:paraId="15D8C304" w14:textId="77777777" w:rsidR="00302BFE" w:rsidRPr="00412826" w:rsidRDefault="00302BFE" w:rsidP="00243B15">
            <w:pPr>
              <w:spacing w:after="0"/>
              <w:ind w:left="30" w:right="30"/>
              <w:jc w:val="center"/>
              <w:rPr>
                <w:sz w:val="18"/>
                <w:szCs w:val="18"/>
                <w:lang w:val="fr-FR"/>
              </w:rPr>
            </w:pPr>
          </w:p>
        </w:tc>
        <w:tc>
          <w:tcPr>
            <w:tcW w:w="1501" w:type="dxa"/>
            <w:tcBorders>
              <w:top w:val="single" w:sz="4" w:space="0" w:color="auto"/>
              <w:left w:val="single" w:sz="4" w:space="0" w:color="auto"/>
              <w:bottom w:val="single" w:sz="4" w:space="0" w:color="auto"/>
              <w:right w:val="single" w:sz="4" w:space="0" w:color="auto"/>
            </w:tcBorders>
            <w:vAlign w:val="center"/>
          </w:tcPr>
          <w:p w14:paraId="37BE3A09" w14:textId="77777777" w:rsidR="00302BFE" w:rsidRPr="00412826" w:rsidRDefault="00302BFE" w:rsidP="00243B15">
            <w:pPr>
              <w:spacing w:after="0"/>
              <w:ind w:left="30" w:right="30"/>
              <w:jc w:val="center"/>
              <w:rPr>
                <w:sz w:val="18"/>
                <w:szCs w:val="18"/>
                <w:lang w:val="fr-FR"/>
              </w:rPr>
            </w:pPr>
            <w:r w:rsidRPr="00412826">
              <w:rPr>
                <w:sz w:val="18"/>
                <w:szCs w:val="18"/>
                <w:lang w:val="fr-FR"/>
              </w:rPr>
              <w:t>Bontioli</w:t>
            </w:r>
          </w:p>
        </w:tc>
        <w:tc>
          <w:tcPr>
            <w:tcW w:w="1127" w:type="dxa"/>
            <w:tcBorders>
              <w:top w:val="single" w:sz="4" w:space="0" w:color="auto"/>
              <w:left w:val="single" w:sz="4" w:space="0" w:color="auto"/>
              <w:bottom w:val="single" w:sz="4" w:space="0" w:color="auto"/>
              <w:right w:val="single" w:sz="4" w:space="0" w:color="auto"/>
            </w:tcBorders>
            <w:vAlign w:val="center"/>
          </w:tcPr>
          <w:p w14:paraId="17C52CFC" w14:textId="77777777" w:rsidR="00302BFE" w:rsidRPr="00412826" w:rsidRDefault="00302BFE" w:rsidP="00243B15">
            <w:pPr>
              <w:spacing w:after="0"/>
              <w:ind w:left="30" w:right="30"/>
              <w:jc w:val="center"/>
              <w:rPr>
                <w:sz w:val="18"/>
                <w:szCs w:val="18"/>
                <w:lang w:val="fr-FR"/>
              </w:rPr>
            </w:pPr>
            <w:r w:rsidRPr="00412826">
              <w:rPr>
                <w:sz w:val="18"/>
                <w:szCs w:val="18"/>
                <w:lang w:val="fr-FR"/>
              </w:rPr>
              <w:t>1957</w:t>
            </w:r>
          </w:p>
        </w:tc>
        <w:tc>
          <w:tcPr>
            <w:tcW w:w="2097" w:type="dxa"/>
            <w:tcBorders>
              <w:top w:val="single" w:sz="4" w:space="0" w:color="auto"/>
              <w:left w:val="single" w:sz="4" w:space="0" w:color="auto"/>
              <w:bottom w:val="single" w:sz="4" w:space="0" w:color="auto"/>
              <w:right w:val="single" w:sz="4" w:space="0" w:color="auto"/>
            </w:tcBorders>
            <w:vAlign w:val="center"/>
          </w:tcPr>
          <w:p w14:paraId="025B7E7E" w14:textId="77777777" w:rsidR="00302BFE" w:rsidRPr="00412826" w:rsidRDefault="00302BFE" w:rsidP="00243B15">
            <w:pPr>
              <w:spacing w:after="0"/>
              <w:ind w:left="30" w:right="30"/>
              <w:jc w:val="center"/>
              <w:rPr>
                <w:sz w:val="18"/>
                <w:szCs w:val="18"/>
                <w:lang w:val="fr-FR"/>
              </w:rPr>
            </w:pPr>
            <w:r w:rsidRPr="00412826">
              <w:rPr>
                <w:sz w:val="18"/>
                <w:szCs w:val="18"/>
                <w:lang w:val="fr-FR"/>
              </w:rPr>
              <w:t>12</w:t>
            </w:r>
            <w:r>
              <w:rPr>
                <w:sz w:val="18"/>
                <w:szCs w:val="18"/>
                <w:lang w:val="fr-FR"/>
              </w:rPr>
              <w:t>,</w:t>
            </w:r>
            <w:r w:rsidRPr="00412826">
              <w:rPr>
                <w:sz w:val="18"/>
                <w:szCs w:val="18"/>
                <w:lang w:val="fr-FR"/>
              </w:rPr>
              <w:t>700</w:t>
            </w:r>
          </w:p>
        </w:tc>
        <w:tc>
          <w:tcPr>
            <w:tcW w:w="850" w:type="dxa"/>
            <w:tcBorders>
              <w:top w:val="single" w:sz="4" w:space="0" w:color="auto"/>
              <w:left w:val="single" w:sz="4" w:space="0" w:color="auto"/>
              <w:bottom w:val="single" w:sz="4" w:space="0" w:color="auto"/>
              <w:right w:val="single" w:sz="4" w:space="0" w:color="auto"/>
            </w:tcBorders>
            <w:vAlign w:val="center"/>
          </w:tcPr>
          <w:p w14:paraId="0B104B11" w14:textId="77777777" w:rsidR="00302BFE" w:rsidRPr="00412826" w:rsidRDefault="00302BFE" w:rsidP="00243B15">
            <w:pPr>
              <w:spacing w:after="0"/>
              <w:ind w:left="30" w:right="30"/>
              <w:jc w:val="center"/>
              <w:rPr>
                <w:sz w:val="18"/>
                <w:szCs w:val="18"/>
                <w:lang w:val="fr-FR"/>
              </w:rPr>
            </w:pPr>
            <w:r w:rsidRPr="00412826">
              <w:rPr>
                <w:sz w:val="18"/>
                <w:szCs w:val="18"/>
                <w:lang w:val="fr-FR"/>
              </w:rPr>
              <w:t>I</w:t>
            </w:r>
          </w:p>
        </w:tc>
        <w:tc>
          <w:tcPr>
            <w:tcW w:w="1682" w:type="dxa"/>
            <w:vMerge/>
            <w:tcBorders>
              <w:left w:val="single" w:sz="4" w:space="0" w:color="auto"/>
              <w:right w:val="single" w:sz="4" w:space="0" w:color="auto"/>
            </w:tcBorders>
            <w:vAlign w:val="center"/>
          </w:tcPr>
          <w:p w14:paraId="0B1C93DD" w14:textId="77777777" w:rsidR="00302BFE" w:rsidRPr="00412826" w:rsidRDefault="00302BFE" w:rsidP="00243B15">
            <w:pPr>
              <w:spacing w:after="0"/>
              <w:rPr>
                <w:rFonts w:eastAsia="Times New Roman"/>
                <w:sz w:val="18"/>
                <w:szCs w:val="18"/>
                <w:lang w:val="fr-FR"/>
              </w:rPr>
            </w:pPr>
          </w:p>
        </w:tc>
      </w:tr>
      <w:tr w:rsidR="00302BFE" w:rsidRPr="00412826" w14:paraId="2EAE3E31" w14:textId="77777777" w:rsidTr="00243B15">
        <w:trPr>
          <w:jc w:val="center"/>
        </w:trPr>
        <w:tc>
          <w:tcPr>
            <w:tcW w:w="2117" w:type="dxa"/>
            <w:vMerge/>
            <w:tcBorders>
              <w:left w:val="single" w:sz="4" w:space="0" w:color="auto"/>
              <w:bottom w:val="single" w:sz="4" w:space="0" w:color="auto"/>
              <w:right w:val="single" w:sz="4" w:space="0" w:color="auto"/>
            </w:tcBorders>
            <w:vAlign w:val="center"/>
          </w:tcPr>
          <w:p w14:paraId="4597745E" w14:textId="77777777" w:rsidR="00302BFE" w:rsidRPr="00412826" w:rsidRDefault="00302BFE" w:rsidP="00243B15">
            <w:pPr>
              <w:spacing w:after="0"/>
              <w:ind w:left="30" w:right="30"/>
              <w:rPr>
                <w:sz w:val="18"/>
                <w:szCs w:val="18"/>
                <w:lang w:val="fr-FR"/>
              </w:rPr>
            </w:pPr>
          </w:p>
        </w:tc>
        <w:tc>
          <w:tcPr>
            <w:tcW w:w="378" w:type="dxa"/>
            <w:vMerge/>
            <w:tcBorders>
              <w:left w:val="single" w:sz="4" w:space="0" w:color="auto"/>
              <w:bottom w:val="single" w:sz="4" w:space="0" w:color="auto"/>
              <w:right w:val="single" w:sz="4" w:space="0" w:color="auto"/>
            </w:tcBorders>
            <w:vAlign w:val="center"/>
          </w:tcPr>
          <w:p w14:paraId="5E580573" w14:textId="77777777" w:rsidR="00302BFE" w:rsidRPr="00412826" w:rsidRDefault="00302BFE" w:rsidP="00243B15">
            <w:pPr>
              <w:spacing w:after="0"/>
              <w:ind w:left="30" w:right="30"/>
              <w:jc w:val="center"/>
              <w:rPr>
                <w:sz w:val="18"/>
                <w:szCs w:val="18"/>
                <w:lang w:val="fr-FR"/>
              </w:rPr>
            </w:pPr>
          </w:p>
        </w:tc>
        <w:tc>
          <w:tcPr>
            <w:tcW w:w="1501" w:type="dxa"/>
            <w:tcBorders>
              <w:top w:val="single" w:sz="4" w:space="0" w:color="auto"/>
              <w:left w:val="single" w:sz="4" w:space="0" w:color="auto"/>
              <w:bottom w:val="single" w:sz="4" w:space="0" w:color="auto"/>
              <w:right w:val="single" w:sz="4" w:space="0" w:color="auto"/>
            </w:tcBorders>
            <w:vAlign w:val="center"/>
          </w:tcPr>
          <w:p w14:paraId="71D5FBAB" w14:textId="77777777" w:rsidR="00302BFE" w:rsidRPr="00412826" w:rsidRDefault="00302BFE" w:rsidP="00243B15">
            <w:pPr>
              <w:spacing w:after="0"/>
              <w:ind w:left="30" w:right="30"/>
              <w:jc w:val="center"/>
              <w:rPr>
                <w:sz w:val="18"/>
                <w:szCs w:val="18"/>
                <w:lang w:val="fr-FR"/>
              </w:rPr>
            </w:pPr>
            <w:r w:rsidRPr="00412826">
              <w:rPr>
                <w:sz w:val="18"/>
                <w:szCs w:val="18"/>
                <w:lang w:val="fr-FR"/>
              </w:rPr>
              <w:t>Madjoari</w:t>
            </w:r>
          </w:p>
        </w:tc>
        <w:tc>
          <w:tcPr>
            <w:tcW w:w="1127" w:type="dxa"/>
            <w:tcBorders>
              <w:top w:val="single" w:sz="4" w:space="0" w:color="auto"/>
              <w:left w:val="single" w:sz="4" w:space="0" w:color="auto"/>
              <w:bottom w:val="single" w:sz="4" w:space="0" w:color="auto"/>
              <w:right w:val="single" w:sz="4" w:space="0" w:color="auto"/>
            </w:tcBorders>
            <w:vAlign w:val="center"/>
          </w:tcPr>
          <w:p w14:paraId="3924C8BB" w14:textId="77777777" w:rsidR="00302BFE" w:rsidRPr="00412826" w:rsidRDefault="00302BFE" w:rsidP="00243B15">
            <w:pPr>
              <w:spacing w:after="0"/>
              <w:ind w:left="30" w:right="30"/>
              <w:jc w:val="center"/>
              <w:rPr>
                <w:sz w:val="18"/>
                <w:szCs w:val="18"/>
                <w:lang w:val="fr-FR"/>
              </w:rPr>
            </w:pPr>
            <w:r w:rsidRPr="00412826">
              <w:rPr>
                <w:sz w:val="18"/>
                <w:szCs w:val="18"/>
                <w:lang w:val="fr-FR"/>
              </w:rPr>
              <w:t>1970</w:t>
            </w:r>
          </w:p>
        </w:tc>
        <w:tc>
          <w:tcPr>
            <w:tcW w:w="2097" w:type="dxa"/>
            <w:tcBorders>
              <w:top w:val="single" w:sz="4" w:space="0" w:color="auto"/>
              <w:left w:val="single" w:sz="4" w:space="0" w:color="auto"/>
              <w:bottom w:val="single" w:sz="4" w:space="0" w:color="auto"/>
              <w:right w:val="single" w:sz="4" w:space="0" w:color="auto"/>
            </w:tcBorders>
            <w:vAlign w:val="center"/>
          </w:tcPr>
          <w:p w14:paraId="53358047" w14:textId="77777777" w:rsidR="00302BFE" w:rsidRPr="00412826" w:rsidRDefault="00302BFE" w:rsidP="00243B15">
            <w:pPr>
              <w:spacing w:after="0"/>
              <w:ind w:left="30" w:right="30"/>
              <w:jc w:val="center"/>
              <w:rPr>
                <w:sz w:val="18"/>
                <w:szCs w:val="18"/>
                <w:lang w:val="fr-FR"/>
              </w:rPr>
            </w:pPr>
            <w:r w:rsidRPr="00412826">
              <w:rPr>
                <w:sz w:val="18"/>
                <w:szCs w:val="18"/>
                <w:lang w:val="fr-FR"/>
              </w:rPr>
              <w:t>17</w:t>
            </w:r>
            <w:r>
              <w:rPr>
                <w:sz w:val="18"/>
                <w:szCs w:val="18"/>
                <w:lang w:val="fr-FR"/>
              </w:rPr>
              <w:t>,</w:t>
            </w:r>
            <w:r w:rsidRPr="00412826">
              <w:rPr>
                <w:sz w:val="18"/>
                <w:szCs w:val="18"/>
                <w:lang w:val="fr-FR"/>
              </w:rPr>
              <w:t>000</w:t>
            </w:r>
          </w:p>
        </w:tc>
        <w:tc>
          <w:tcPr>
            <w:tcW w:w="850" w:type="dxa"/>
            <w:tcBorders>
              <w:top w:val="single" w:sz="4" w:space="0" w:color="auto"/>
              <w:left w:val="single" w:sz="4" w:space="0" w:color="auto"/>
              <w:bottom w:val="single" w:sz="4" w:space="0" w:color="auto"/>
              <w:right w:val="single" w:sz="4" w:space="0" w:color="auto"/>
            </w:tcBorders>
            <w:vAlign w:val="center"/>
          </w:tcPr>
          <w:p w14:paraId="46871589" w14:textId="77777777" w:rsidR="00302BFE" w:rsidRPr="00412826" w:rsidRDefault="00302BFE" w:rsidP="00243B15">
            <w:pPr>
              <w:spacing w:after="0"/>
              <w:ind w:left="30" w:right="30"/>
              <w:jc w:val="center"/>
              <w:rPr>
                <w:sz w:val="18"/>
                <w:szCs w:val="18"/>
                <w:lang w:val="fr-FR"/>
              </w:rPr>
            </w:pPr>
            <w:r w:rsidRPr="00412826">
              <w:rPr>
                <w:sz w:val="18"/>
                <w:szCs w:val="18"/>
                <w:lang w:val="fr-FR"/>
              </w:rPr>
              <w:t>I</w:t>
            </w:r>
          </w:p>
        </w:tc>
        <w:tc>
          <w:tcPr>
            <w:tcW w:w="1682" w:type="dxa"/>
            <w:vMerge/>
            <w:tcBorders>
              <w:left w:val="single" w:sz="4" w:space="0" w:color="auto"/>
              <w:right w:val="single" w:sz="4" w:space="0" w:color="auto"/>
            </w:tcBorders>
            <w:vAlign w:val="center"/>
          </w:tcPr>
          <w:p w14:paraId="4751F845" w14:textId="77777777" w:rsidR="00302BFE" w:rsidRPr="00412826" w:rsidRDefault="00302BFE" w:rsidP="00243B15">
            <w:pPr>
              <w:spacing w:after="0"/>
              <w:rPr>
                <w:rFonts w:eastAsia="Times New Roman"/>
                <w:sz w:val="18"/>
                <w:szCs w:val="18"/>
                <w:lang w:val="fr-FR"/>
              </w:rPr>
            </w:pPr>
          </w:p>
        </w:tc>
      </w:tr>
      <w:tr w:rsidR="00302BFE" w:rsidRPr="00412826" w14:paraId="1FEB1214" w14:textId="77777777" w:rsidTr="00243B15">
        <w:trPr>
          <w:jc w:val="center"/>
        </w:trPr>
        <w:tc>
          <w:tcPr>
            <w:tcW w:w="2117" w:type="dxa"/>
            <w:vMerge w:val="restart"/>
            <w:tcBorders>
              <w:top w:val="single" w:sz="4" w:space="0" w:color="auto"/>
              <w:left w:val="single" w:sz="4" w:space="0" w:color="auto"/>
              <w:right w:val="single" w:sz="4" w:space="0" w:color="auto"/>
            </w:tcBorders>
            <w:vAlign w:val="center"/>
            <w:hideMark/>
          </w:tcPr>
          <w:p w14:paraId="6D94B072" w14:textId="77777777" w:rsidR="00302BFE" w:rsidRPr="00DC05C9" w:rsidRDefault="00302BFE" w:rsidP="00243B15">
            <w:pPr>
              <w:spacing w:after="0"/>
              <w:ind w:left="30" w:right="30"/>
              <w:rPr>
                <w:sz w:val="18"/>
                <w:szCs w:val="18"/>
                <w:lang w:val="en-CA"/>
              </w:rPr>
            </w:pPr>
            <w:r w:rsidRPr="00DC05C9">
              <w:rPr>
                <w:sz w:val="18"/>
                <w:szCs w:val="18"/>
                <w:lang w:val="en-CA"/>
              </w:rPr>
              <w:t>Partial wildlife reserves (hunting allowed with permit)</w:t>
            </w:r>
          </w:p>
        </w:tc>
        <w:tc>
          <w:tcPr>
            <w:tcW w:w="378" w:type="dxa"/>
            <w:vMerge w:val="restart"/>
            <w:tcBorders>
              <w:top w:val="single" w:sz="4" w:space="0" w:color="auto"/>
              <w:left w:val="single" w:sz="4" w:space="0" w:color="auto"/>
              <w:right w:val="single" w:sz="4" w:space="0" w:color="auto"/>
            </w:tcBorders>
            <w:vAlign w:val="center"/>
            <w:hideMark/>
          </w:tcPr>
          <w:p w14:paraId="7C41ECA9" w14:textId="77777777" w:rsidR="00302BFE" w:rsidRPr="00412826" w:rsidRDefault="00302BFE" w:rsidP="00243B15">
            <w:pPr>
              <w:spacing w:after="0"/>
              <w:ind w:left="30" w:right="30"/>
              <w:jc w:val="center"/>
              <w:rPr>
                <w:sz w:val="18"/>
                <w:szCs w:val="18"/>
                <w:lang w:val="fr-FR"/>
              </w:rPr>
            </w:pPr>
            <w:r w:rsidRPr="00412826">
              <w:rPr>
                <w:sz w:val="18"/>
                <w:szCs w:val="18"/>
                <w:lang w:val="fr-FR"/>
              </w:rPr>
              <w:t>5</w:t>
            </w:r>
          </w:p>
        </w:tc>
        <w:tc>
          <w:tcPr>
            <w:tcW w:w="1501" w:type="dxa"/>
            <w:tcBorders>
              <w:top w:val="single" w:sz="4" w:space="0" w:color="auto"/>
              <w:left w:val="single" w:sz="4" w:space="0" w:color="auto"/>
              <w:bottom w:val="single" w:sz="4" w:space="0" w:color="auto"/>
              <w:right w:val="single" w:sz="4" w:space="0" w:color="auto"/>
            </w:tcBorders>
            <w:vAlign w:val="center"/>
          </w:tcPr>
          <w:p w14:paraId="08211B4A" w14:textId="77777777" w:rsidR="00302BFE" w:rsidRPr="00412826" w:rsidRDefault="00302BFE" w:rsidP="00243B15">
            <w:pPr>
              <w:spacing w:after="0"/>
              <w:ind w:left="30" w:right="30"/>
              <w:jc w:val="center"/>
              <w:rPr>
                <w:sz w:val="18"/>
                <w:szCs w:val="18"/>
                <w:lang w:val="fr-FR"/>
              </w:rPr>
            </w:pPr>
            <w:r w:rsidRPr="00412826">
              <w:rPr>
                <w:sz w:val="18"/>
                <w:szCs w:val="18"/>
                <w:lang w:val="fr-FR"/>
              </w:rPr>
              <w:t>Arly</w:t>
            </w:r>
          </w:p>
        </w:tc>
        <w:tc>
          <w:tcPr>
            <w:tcW w:w="1127" w:type="dxa"/>
            <w:tcBorders>
              <w:top w:val="single" w:sz="4" w:space="0" w:color="auto"/>
              <w:left w:val="single" w:sz="4" w:space="0" w:color="auto"/>
              <w:bottom w:val="single" w:sz="4" w:space="0" w:color="auto"/>
              <w:right w:val="single" w:sz="4" w:space="0" w:color="auto"/>
            </w:tcBorders>
            <w:vAlign w:val="center"/>
          </w:tcPr>
          <w:p w14:paraId="79209E27" w14:textId="77777777" w:rsidR="00302BFE" w:rsidRPr="00412826" w:rsidRDefault="00302BFE" w:rsidP="00243B15">
            <w:pPr>
              <w:spacing w:after="0"/>
              <w:ind w:left="30" w:right="30"/>
              <w:jc w:val="center"/>
              <w:rPr>
                <w:sz w:val="18"/>
                <w:szCs w:val="18"/>
                <w:lang w:val="fr-FR"/>
              </w:rPr>
            </w:pPr>
            <w:r w:rsidRPr="00412826">
              <w:rPr>
                <w:sz w:val="18"/>
                <w:szCs w:val="18"/>
                <w:lang w:val="fr-FR"/>
              </w:rPr>
              <w:t>1954</w:t>
            </w:r>
          </w:p>
        </w:tc>
        <w:tc>
          <w:tcPr>
            <w:tcW w:w="2097" w:type="dxa"/>
            <w:tcBorders>
              <w:top w:val="single" w:sz="4" w:space="0" w:color="auto"/>
              <w:left w:val="single" w:sz="4" w:space="0" w:color="auto"/>
              <w:bottom w:val="single" w:sz="4" w:space="0" w:color="auto"/>
              <w:right w:val="single" w:sz="4" w:space="0" w:color="auto"/>
            </w:tcBorders>
            <w:vAlign w:val="center"/>
            <w:hideMark/>
          </w:tcPr>
          <w:p w14:paraId="736027D0" w14:textId="77777777" w:rsidR="00302BFE" w:rsidRPr="00412826" w:rsidRDefault="00302BFE" w:rsidP="00243B15">
            <w:pPr>
              <w:spacing w:after="0"/>
              <w:ind w:left="30" w:right="30"/>
              <w:jc w:val="center"/>
              <w:rPr>
                <w:sz w:val="18"/>
                <w:szCs w:val="18"/>
                <w:lang w:val="fr-FR"/>
              </w:rPr>
            </w:pPr>
            <w:r w:rsidRPr="00412826">
              <w:rPr>
                <w:sz w:val="18"/>
                <w:szCs w:val="18"/>
                <w:lang w:val="fr-FR"/>
              </w:rPr>
              <w:t>90</w:t>
            </w:r>
            <w:r>
              <w:rPr>
                <w:sz w:val="18"/>
                <w:szCs w:val="18"/>
                <w:lang w:val="fr-FR"/>
              </w:rPr>
              <w:t>,</w:t>
            </w:r>
            <w:r w:rsidRPr="00412826">
              <w:rPr>
                <w:sz w:val="18"/>
                <w:szCs w:val="18"/>
                <w:lang w:val="fr-FR"/>
              </w:rPr>
              <w:t>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AE45B43" w14:textId="77777777" w:rsidR="00302BFE" w:rsidRPr="00412826" w:rsidRDefault="00302BFE" w:rsidP="00243B15">
            <w:pPr>
              <w:spacing w:after="0"/>
              <w:ind w:left="30" w:right="30"/>
              <w:jc w:val="center"/>
              <w:rPr>
                <w:sz w:val="18"/>
                <w:szCs w:val="18"/>
                <w:lang w:val="fr-FR"/>
              </w:rPr>
            </w:pPr>
            <w:r w:rsidRPr="00412826">
              <w:rPr>
                <w:sz w:val="18"/>
                <w:szCs w:val="18"/>
                <w:lang w:val="fr-FR"/>
              </w:rPr>
              <w:t>VI</w:t>
            </w:r>
          </w:p>
        </w:tc>
        <w:tc>
          <w:tcPr>
            <w:tcW w:w="1682" w:type="dxa"/>
            <w:vMerge/>
            <w:tcBorders>
              <w:left w:val="single" w:sz="4" w:space="0" w:color="auto"/>
              <w:right w:val="single" w:sz="4" w:space="0" w:color="auto"/>
            </w:tcBorders>
            <w:vAlign w:val="center"/>
            <w:hideMark/>
          </w:tcPr>
          <w:p w14:paraId="358DE731" w14:textId="77777777" w:rsidR="00302BFE" w:rsidRPr="00412826" w:rsidRDefault="00302BFE" w:rsidP="00243B15">
            <w:pPr>
              <w:spacing w:after="0"/>
              <w:rPr>
                <w:rFonts w:eastAsia="Times New Roman"/>
                <w:sz w:val="18"/>
                <w:szCs w:val="18"/>
                <w:lang w:val="fr-FR"/>
              </w:rPr>
            </w:pPr>
          </w:p>
        </w:tc>
      </w:tr>
      <w:tr w:rsidR="00302BFE" w:rsidRPr="00412826" w14:paraId="46EB9612" w14:textId="77777777" w:rsidTr="00243B15">
        <w:trPr>
          <w:jc w:val="center"/>
        </w:trPr>
        <w:tc>
          <w:tcPr>
            <w:tcW w:w="2117" w:type="dxa"/>
            <w:vMerge/>
            <w:tcBorders>
              <w:left w:val="single" w:sz="4" w:space="0" w:color="auto"/>
              <w:right w:val="single" w:sz="4" w:space="0" w:color="auto"/>
            </w:tcBorders>
            <w:vAlign w:val="center"/>
          </w:tcPr>
          <w:p w14:paraId="1821437D" w14:textId="77777777" w:rsidR="00302BFE" w:rsidRPr="00412826" w:rsidRDefault="00302BFE" w:rsidP="00243B15">
            <w:pPr>
              <w:spacing w:after="0"/>
              <w:ind w:left="30" w:right="30"/>
              <w:rPr>
                <w:sz w:val="18"/>
                <w:szCs w:val="18"/>
                <w:lang w:val="fr-FR"/>
              </w:rPr>
            </w:pPr>
          </w:p>
        </w:tc>
        <w:tc>
          <w:tcPr>
            <w:tcW w:w="378" w:type="dxa"/>
            <w:vMerge/>
            <w:tcBorders>
              <w:left w:val="single" w:sz="4" w:space="0" w:color="auto"/>
              <w:right w:val="single" w:sz="4" w:space="0" w:color="auto"/>
            </w:tcBorders>
            <w:vAlign w:val="center"/>
          </w:tcPr>
          <w:p w14:paraId="4F26CB0E" w14:textId="77777777" w:rsidR="00302BFE" w:rsidRPr="00412826" w:rsidRDefault="00302BFE" w:rsidP="00243B15">
            <w:pPr>
              <w:spacing w:after="0"/>
              <w:ind w:left="30" w:right="30"/>
              <w:jc w:val="center"/>
              <w:rPr>
                <w:sz w:val="18"/>
                <w:szCs w:val="18"/>
                <w:lang w:val="fr-FR"/>
              </w:rPr>
            </w:pPr>
          </w:p>
        </w:tc>
        <w:tc>
          <w:tcPr>
            <w:tcW w:w="1501" w:type="dxa"/>
            <w:tcBorders>
              <w:top w:val="single" w:sz="4" w:space="0" w:color="auto"/>
              <w:left w:val="single" w:sz="4" w:space="0" w:color="auto"/>
              <w:bottom w:val="single" w:sz="4" w:space="0" w:color="auto"/>
              <w:right w:val="single" w:sz="4" w:space="0" w:color="auto"/>
            </w:tcBorders>
            <w:vAlign w:val="center"/>
          </w:tcPr>
          <w:p w14:paraId="1E48BE37" w14:textId="77777777" w:rsidR="00302BFE" w:rsidRPr="00412826" w:rsidRDefault="00302BFE" w:rsidP="00243B15">
            <w:pPr>
              <w:spacing w:after="0"/>
              <w:ind w:left="30" w:right="30"/>
              <w:jc w:val="center"/>
              <w:rPr>
                <w:sz w:val="18"/>
                <w:szCs w:val="18"/>
                <w:lang w:val="fr-FR"/>
              </w:rPr>
            </w:pPr>
            <w:r w:rsidRPr="00412826">
              <w:rPr>
                <w:sz w:val="18"/>
                <w:szCs w:val="18"/>
                <w:lang w:val="fr-FR"/>
              </w:rPr>
              <w:t>Pama</w:t>
            </w:r>
          </w:p>
        </w:tc>
        <w:tc>
          <w:tcPr>
            <w:tcW w:w="1127" w:type="dxa"/>
            <w:tcBorders>
              <w:top w:val="single" w:sz="4" w:space="0" w:color="auto"/>
              <w:left w:val="single" w:sz="4" w:space="0" w:color="auto"/>
              <w:bottom w:val="single" w:sz="4" w:space="0" w:color="auto"/>
              <w:right w:val="single" w:sz="4" w:space="0" w:color="auto"/>
            </w:tcBorders>
            <w:vAlign w:val="center"/>
          </w:tcPr>
          <w:p w14:paraId="67B60D8F" w14:textId="77777777" w:rsidR="00302BFE" w:rsidRPr="00412826" w:rsidRDefault="00302BFE" w:rsidP="00243B15">
            <w:pPr>
              <w:spacing w:after="0"/>
              <w:ind w:left="30" w:right="30"/>
              <w:jc w:val="center"/>
              <w:rPr>
                <w:sz w:val="18"/>
                <w:szCs w:val="18"/>
                <w:lang w:val="fr-FR"/>
              </w:rPr>
            </w:pPr>
            <w:r w:rsidRPr="00412826">
              <w:rPr>
                <w:sz w:val="18"/>
                <w:szCs w:val="18"/>
                <w:lang w:val="fr-FR"/>
              </w:rPr>
              <w:t>1955</w:t>
            </w:r>
          </w:p>
        </w:tc>
        <w:tc>
          <w:tcPr>
            <w:tcW w:w="2097" w:type="dxa"/>
            <w:tcBorders>
              <w:top w:val="single" w:sz="4" w:space="0" w:color="auto"/>
              <w:left w:val="single" w:sz="4" w:space="0" w:color="auto"/>
              <w:bottom w:val="single" w:sz="4" w:space="0" w:color="auto"/>
              <w:right w:val="single" w:sz="4" w:space="0" w:color="auto"/>
            </w:tcBorders>
            <w:vAlign w:val="center"/>
          </w:tcPr>
          <w:p w14:paraId="4E330F06" w14:textId="77777777" w:rsidR="00302BFE" w:rsidRPr="00412826" w:rsidRDefault="00302BFE" w:rsidP="00243B15">
            <w:pPr>
              <w:spacing w:after="0"/>
              <w:ind w:left="30" w:right="30"/>
              <w:jc w:val="center"/>
              <w:rPr>
                <w:sz w:val="18"/>
                <w:szCs w:val="18"/>
                <w:lang w:val="fr-FR"/>
              </w:rPr>
            </w:pPr>
            <w:r w:rsidRPr="00412826">
              <w:rPr>
                <w:sz w:val="18"/>
                <w:szCs w:val="18"/>
                <w:lang w:val="fr-FR"/>
              </w:rPr>
              <w:t>223</w:t>
            </w:r>
            <w:r>
              <w:rPr>
                <w:sz w:val="18"/>
                <w:szCs w:val="18"/>
                <w:lang w:val="fr-FR"/>
              </w:rPr>
              <w:t>,</w:t>
            </w:r>
            <w:r w:rsidRPr="00412826">
              <w:rPr>
                <w:sz w:val="18"/>
                <w:szCs w:val="18"/>
                <w:lang w:val="fr-FR"/>
              </w:rPr>
              <w:t>700</w:t>
            </w:r>
          </w:p>
        </w:tc>
        <w:tc>
          <w:tcPr>
            <w:tcW w:w="850" w:type="dxa"/>
            <w:tcBorders>
              <w:top w:val="single" w:sz="4" w:space="0" w:color="auto"/>
              <w:left w:val="single" w:sz="4" w:space="0" w:color="auto"/>
              <w:bottom w:val="single" w:sz="4" w:space="0" w:color="auto"/>
              <w:right w:val="single" w:sz="4" w:space="0" w:color="auto"/>
            </w:tcBorders>
            <w:vAlign w:val="center"/>
          </w:tcPr>
          <w:p w14:paraId="17D43E7C" w14:textId="77777777" w:rsidR="00302BFE" w:rsidRPr="00412826" w:rsidRDefault="00302BFE" w:rsidP="00243B15">
            <w:pPr>
              <w:spacing w:after="0"/>
              <w:ind w:left="30" w:right="30"/>
              <w:jc w:val="center"/>
              <w:rPr>
                <w:sz w:val="18"/>
                <w:szCs w:val="18"/>
                <w:lang w:val="fr-FR"/>
              </w:rPr>
            </w:pPr>
            <w:r w:rsidRPr="00412826">
              <w:rPr>
                <w:sz w:val="18"/>
                <w:szCs w:val="18"/>
                <w:lang w:val="fr-FR"/>
              </w:rPr>
              <w:t>IV</w:t>
            </w:r>
          </w:p>
        </w:tc>
        <w:tc>
          <w:tcPr>
            <w:tcW w:w="1682" w:type="dxa"/>
            <w:vMerge/>
            <w:tcBorders>
              <w:left w:val="single" w:sz="4" w:space="0" w:color="auto"/>
              <w:right w:val="single" w:sz="4" w:space="0" w:color="auto"/>
            </w:tcBorders>
            <w:vAlign w:val="center"/>
          </w:tcPr>
          <w:p w14:paraId="446DE4B4" w14:textId="77777777" w:rsidR="00302BFE" w:rsidRPr="00412826" w:rsidRDefault="00302BFE" w:rsidP="00243B15">
            <w:pPr>
              <w:spacing w:after="0"/>
              <w:rPr>
                <w:rFonts w:eastAsia="Times New Roman"/>
                <w:sz w:val="18"/>
                <w:szCs w:val="18"/>
                <w:lang w:val="fr-FR"/>
              </w:rPr>
            </w:pPr>
          </w:p>
        </w:tc>
      </w:tr>
      <w:tr w:rsidR="00302BFE" w:rsidRPr="00412826" w14:paraId="4FA412FE" w14:textId="77777777" w:rsidTr="00243B15">
        <w:trPr>
          <w:jc w:val="center"/>
        </w:trPr>
        <w:tc>
          <w:tcPr>
            <w:tcW w:w="2117" w:type="dxa"/>
            <w:vMerge/>
            <w:tcBorders>
              <w:left w:val="single" w:sz="4" w:space="0" w:color="auto"/>
              <w:right w:val="single" w:sz="4" w:space="0" w:color="auto"/>
            </w:tcBorders>
            <w:vAlign w:val="center"/>
          </w:tcPr>
          <w:p w14:paraId="56E911B8" w14:textId="77777777" w:rsidR="00302BFE" w:rsidRPr="00412826" w:rsidRDefault="00302BFE" w:rsidP="00243B15">
            <w:pPr>
              <w:spacing w:after="0"/>
              <w:ind w:left="30" w:right="30"/>
              <w:rPr>
                <w:sz w:val="18"/>
                <w:szCs w:val="18"/>
                <w:lang w:val="fr-FR"/>
              </w:rPr>
            </w:pPr>
          </w:p>
        </w:tc>
        <w:tc>
          <w:tcPr>
            <w:tcW w:w="378" w:type="dxa"/>
            <w:vMerge/>
            <w:tcBorders>
              <w:left w:val="single" w:sz="4" w:space="0" w:color="auto"/>
              <w:right w:val="single" w:sz="4" w:space="0" w:color="auto"/>
            </w:tcBorders>
            <w:vAlign w:val="center"/>
          </w:tcPr>
          <w:p w14:paraId="4659B03C" w14:textId="77777777" w:rsidR="00302BFE" w:rsidRPr="00412826" w:rsidRDefault="00302BFE" w:rsidP="00243B15">
            <w:pPr>
              <w:spacing w:after="0"/>
              <w:ind w:left="30" w:right="30"/>
              <w:jc w:val="center"/>
              <w:rPr>
                <w:sz w:val="18"/>
                <w:szCs w:val="18"/>
                <w:lang w:val="fr-FR"/>
              </w:rPr>
            </w:pPr>
          </w:p>
        </w:tc>
        <w:tc>
          <w:tcPr>
            <w:tcW w:w="1501" w:type="dxa"/>
            <w:tcBorders>
              <w:top w:val="single" w:sz="4" w:space="0" w:color="auto"/>
              <w:left w:val="single" w:sz="4" w:space="0" w:color="auto"/>
              <w:bottom w:val="single" w:sz="4" w:space="0" w:color="auto"/>
              <w:right w:val="single" w:sz="4" w:space="0" w:color="auto"/>
            </w:tcBorders>
            <w:vAlign w:val="center"/>
          </w:tcPr>
          <w:p w14:paraId="79CAD951" w14:textId="77777777" w:rsidR="00302BFE" w:rsidRPr="00412826" w:rsidRDefault="00302BFE" w:rsidP="00243B15">
            <w:pPr>
              <w:spacing w:after="0"/>
              <w:ind w:left="30" w:right="30"/>
              <w:jc w:val="center"/>
              <w:rPr>
                <w:sz w:val="18"/>
                <w:szCs w:val="18"/>
                <w:lang w:val="fr-FR"/>
              </w:rPr>
            </w:pPr>
            <w:r w:rsidRPr="00412826">
              <w:rPr>
                <w:sz w:val="18"/>
                <w:szCs w:val="18"/>
                <w:lang w:val="fr-FR"/>
              </w:rPr>
              <w:t>Bontioli</w:t>
            </w:r>
          </w:p>
        </w:tc>
        <w:tc>
          <w:tcPr>
            <w:tcW w:w="1127" w:type="dxa"/>
            <w:tcBorders>
              <w:top w:val="single" w:sz="4" w:space="0" w:color="auto"/>
              <w:left w:val="single" w:sz="4" w:space="0" w:color="auto"/>
              <w:bottom w:val="single" w:sz="4" w:space="0" w:color="auto"/>
              <w:right w:val="single" w:sz="4" w:space="0" w:color="auto"/>
            </w:tcBorders>
            <w:vAlign w:val="center"/>
          </w:tcPr>
          <w:p w14:paraId="75FFEB5D" w14:textId="77777777" w:rsidR="00302BFE" w:rsidRPr="00412826" w:rsidRDefault="00302BFE" w:rsidP="00243B15">
            <w:pPr>
              <w:spacing w:after="0"/>
              <w:ind w:left="30" w:right="30"/>
              <w:jc w:val="center"/>
              <w:rPr>
                <w:sz w:val="18"/>
                <w:szCs w:val="18"/>
                <w:lang w:val="fr-FR"/>
              </w:rPr>
            </w:pPr>
            <w:r w:rsidRPr="00412826">
              <w:rPr>
                <w:sz w:val="18"/>
                <w:szCs w:val="18"/>
                <w:lang w:val="fr-FR"/>
              </w:rPr>
              <w:t>1957</w:t>
            </w:r>
          </w:p>
        </w:tc>
        <w:tc>
          <w:tcPr>
            <w:tcW w:w="2097" w:type="dxa"/>
            <w:tcBorders>
              <w:top w:val="single" w:sz="4" w:space="0" w:color="auto"/>
              <w:left w:val="single" w:sz="4" w:space="0" w:color="auto"/>
              <w:bottom w:val="single" w:sz="4" w:space="0" w:color="auto"/>
              <w:right w:val="single" w:sz="4" w:space="0" w:color="auto"/>
            </w:tcBorders>
            <w:vAlign w:val="center"/>
          </w:tcPr>
          <w:p w14:paraId="75F54133" w14:textId="77777777" w:rsidR="00302BFE" w:rsidRPr="00412826" w:rsidRDefault="00302BFE" w:rsidP="00243B15">
            <w:pPr>
              <w:spacing w:after="0"/>
              <w:ind w:left="30" w:right="30"/>
              <w:jc w:val="center"/>
              <w:rPr>
                <w:sz w:val="18"/>
                <w:szCs w:val="18"/>
                <w:lang w:val="fr-FR"/>
              </w:rPr>
            </w:pPr>
            <w:r w:rsidRPr="00412826">
              <w:rPr>
                <w:sz w:val="18"/>
                <w:szCs w:val="18"/>
                <w:lang w:val="fr-FR"/>
              </w:rPr>
              <w:t>29</w:t>
            </w:r>
            <w:r>
              <w:rPr>
                <w:sz w:val="18"/>
                <w:szCs w:val="18"/>
                <w:lang w:val="fr-FR"/>
              </w:rPr>
              <w:t>,</w:t>
            </w:r>
            <w:r w:rsidRPr="00412826">
              <w:rPr>
                <w:sz w:val="18"/>
                <w:szCs w:val="18"/>
                <w:lang w:val="fr-FR"/>
              </w:rPr>
              <w:t>500</w:t>
            </w:r>
          </w:p>
        </w:tc>
        <w:tc>
          <w:tcPr>
            <w:tcW w:w="850" w:type="dxa"/>
            <w:tcBorders>
              <w:top w:val="single" w:sz="4" w:space="0" w:color="auto"/>
              <w:left w:val="single" w:sz="4" w:space="0" w:color="auto"/>
              <w:bottom w:val="single" w:sz="4" w:space="0" w:color="auto"/>
              <w:right w:val="single" w:sz="4" w:space="0" w:color="auto"/>
            </w:tcBorders>
            <w:vAlign w:val="center"/>
          </w:tcPr>
          <w:p w14:paraId="5CD32974" w14:textId="77777777" w:rsidR="00302BFE" w:rsidRPr="00412826" w:rsidRDefault="00302BFE" w:rsidP="00243B15">
            <w:pPr>
              <w:spacing w:after="0"/>
              <w:ind w:left="30" w:right="30"/>
              <w:jc w:val="center"/>
              <w:rPr>
                <w:sz w:val="18"/>
                <w:szCs w:val="18"/>
                <w:lang w:val="fr-FR"/>
              </w:rPr>
            </w:pPr>
            <w:r w:rsidRPr="00412826">
              <w:rPr>
                <w:sz w:val="18"/>
                <w:szCs w:val="18"/>
                <w:lang w:val="fr-FR"/>
              </w:rPr>
              <w:t>IV</w:t>
            </w:r>
          </w:p>
        </w:tc>
        <w:tc>
          <w:tcPr>
            <w:tcW w:w="1682" w:type="dxa"/>
            <w:vMerge/>
            <w:tcBorders>
              <w:left w:val="single" w:sz="4" w:space="0" w:color="auto"/>
              <w:right w:val="single" w:sz="4" w:space="0" w:color="auto"/>
            </w:tcBorders>
            <w:vAlign w:val="center"/>
          </w:tcPr>
          <w:p w14:paraId="2BEA1E95" w14:textId="77777777" w:rsidR="00302BFE" w:rsidRPr="00412826" w:rsidRDefault="00302BFE" w:rsidP="00243B15">
            <w:pPr>
              <w:spacing w:after="0"/>
              <w:rPr>
                <w:rFonts w:eastAsia="Times New Roman"/>
                <w:sz w:val="18"/>
                <w:szCs w:val="18"/>
                <w:lang w:val="fr-FR"/>
              </w:rPr>
            </w:pPr>
          </w:p>
        </w:tc>
      </w:tr>
      <w:tr w:rsidR="00302BFE" w:rsidRPr="00412826" w14:paraId="3833482C" w14:textId="77777777" w:rsidTr="00243B15">
        <w:trPr>
          <w:jc w:val="center"/>
        </w:trPr>
        <w:tc>
          <w:tcPr>
            <w:tcW w:w="2117" w:type="dxa"/>
            <w:vMerge/>
            <w:tcBorders>
              <w:left w:val="single" w:sz="4" w:space="0" w:color="auto"/>
              <w:right w:val="single" w:sz="4" w:space="0" w:color="auto"/>
            </w:tcBorders>
            <w:vAlign w:val="center"/>
          </w:tcPr>
          <w:p w14:paraId="64798472" w14:textId="77777777" w:rsidR="00302BFE" w:rsidRPr="00412826" w:rsidRDefault="00302BFE" w:rsidP="00243B15">
            <w:pPr>
              <w:spacing w:after="0"/>
              <w:ind w:left="30" w:right="30"/>
              <w:rPr>
                <w:sz w:val="18"/>
                <w:szCs w:val="18"/>
                <w:lang w:val="fr-FR"/>
              </w:rPr>
            </w:pPr>
          </w:p>
        </w:tc>
        <w:tc>
          <w:tcPr>
            <w:tcW w:w="378" w:type="dxa"/>
            <w:vMerge/>
            <w:tcBorders>
              <w:left w:val="single" w:sz="4" w:space="0" w:color="auto"/>
              <w:right w:val="single" w:sz="4" w:space="0" w:color="auto"/>
            </w:tcBorders>
            <w:vAlign w:val="center"/>
          </w:tcPr>
          <w:p w14:paraId="24DAF204" w14:textId="77777777" w:rsidR="00302BFE" w:rsidRPr="00412826" w:rsidRDefault="00302BFE" w:rsidP="00243B15">
            <w:pPr>
              <w:spacing w:after="0"/>
              <w:ind w:left="30" w:right="30"/>
              <w:jc w:val="center"/>
              <w:rPr>
                <w:sz w:val="18"/>
                <w:szCs w:val="18"/>
                <w:lang w:val="fr-FR"/>
              </w:rPr>
            </w:pPr>
          </w:p>
        </w:tc>
        <w:tc>
          <w:tcPr>
            <w:tcW w:w="1501" w:type="dxa"/>
            <w:tcBorders>
              <w:top w:val="single" w:sz="4" w:space="0" w:color="auto"/>
              <w:left w:val="single" w:sz="4" w:space="0" w:color="auto"/>
              <w:bottom w:val="single" w:sz="4" w:space="0" w:color="auto"/>
              <w:right w:val="single" w:sz="4" w:space="0" w:color="auto"/>
            </w:tcBorders>
            <w:vAlign w:val="center"/>
          </w:tcPr>
          <w:p w14:paraId="7E834CCE" w14:textId="77777777" w:rsidR="00302BFE" w:rsidRPr="00412826" w:rsidRDefault="00302BFE" w:rsidP="00243B15">
            <w:pPr>
              <w:spacing w:after="0"/>
              <w:ind w:left="30" w:right="30"/>
              <w:jc w:val="center"/>
              <w:rPr>
                <w:sz w:val="18"/>
                <w:szCs w:val="18"/>
                <w:lang w:val="fr-FR"/>
              </w:rPr>
            </w:pPr>
            <w:r w:rsidRPr="00412826">
              <w:rPr>
                <w:sz w:val="18"/>
                <w:szCs w:val="18"/>
                <w:lang w:val="fr-FR"/>
              </w:rPr>
              <w:t>Nabéré</w:t>
            </w:r>
          </w:p>
        </w:tc>
        <w:tc>
          <w:tcPr>
            <w:tcW w:w="1127" w:type="dxa"/>
            <w:tcBorders>
              <w:top w:val="single" w:sz="4" w:space="0" w:color="auto"/>
              <w:left w:val="single" w:sz="4" w:space="0" w:color="auto"/>
              <w:bottom w:val="single" w:sz="4" w:space="0" w:color="auto"/>
              <w:right w:val="single" w:sz="4" w:space="0" w:color="auto"/>
            </w:tcBorders>
            <w:vAlign w:val="center"/>
          </w:tcPr>
          <w:p w14:paraId="0E26745F" w14:textId="77777777" w:rsidR="00302BFE" w:rsidRPr="00412826" w:rsidRDefault="00302BFE" w:rsidP="00243B15">
            <w:pPr>
              <w:spacing w:after="0"/>
              <w:ind w:left="30" w:right="30"/>
              <w:jc w:val="center"/>
              <w:rPr>
                <w:sz w:val="18"/>
                <w:szCs w:val="18"/>
                <w:lang w:val="fr-FR"/>
              </w:rPr>
            </w:pPr>
            <w:r w:rsidRPr="00412826">
              <w:rPr>
                <w:sz w:val="18"/>
                <w:szCs w:val="18"/>
                <w:lang w:val="fr-FR"/>
              </w:rPr>
              <w:t>1957</w:t>
            </w:r>
          </w:p>
        </w:tc>
        <w:tc>
          <w:tcPr>
            <w:tcW w:w="2097" w:type="dxa"/>
            <w:tcBorders>
              <w:top w:val="single" w:sz="4" w:space="0" w:color="auto"/>
              <w:left w:val="single" w:sz="4" w:space="0" w:color="auto"/>
              <w:bottom w:val="single" w:sz="4" w:space="0" w:color="auto"/>
              <w:right w:val="single" w:sz="4" w:space="0" w:color="auto"/>
            </w:tcBorders>
            <w:vAlign w:val="center"/>
          </w:tcPr>
          <w:p w14:paraId="744B2BF6" w14:textId="77777777" w:rsidR="00302BFE" w:rsidRPr="00412826" w:rsidRDefault="00302BFE" w:rsidP="00243B15">
            <w:pPr>
              <w:spacing w:after="0"/>
              <w:ind w:left="30" w:right="30"/>
              <w:jc w:val="center"/>
              <w:rPr>
                <w:sz w:val="18"/>
                <w:szCs w:val="18"/>
                <w:lang w:val="fr-FR"/>
              </w:rPr>
            </w:pPr>
            <w:r w:rsidRPr="00412826">
              <w:rPr>
                <w:sz w:val="18"/>
                <w:szCs w:val="18"/>
                <w:lang w:val="fr-FR"/>
              </w:rPr>
              <w:t>36</w:t>
            </w:r>
            <w:r>
              <w:rPr>
                <w:sz w:val="18"/>
                <w:szCs w:val="18"/>
                <w:lang w:val="fr-FR"/>
              </w:rPr>
              <w:t>,</w:t>
            </w:r>
            <w:r w:rsidRPr="00412826">
              <w:rPr>
                <w:sz w:val="18"/>
                <w:szCs w:val="18"/>
                <w:lang w:val="fr-FR"/>
              </w:rPr>
              <w:t>500</w:t>
            </w:r>
          </w:p>
        </w:tc>
        <w:tc>
          <w:tcPr>
            <w:tcW w:w="850" w:type="dxa"/>
            <w:tcBorders>
              <w:top w:val="single" w:sz="4" w:space="0" w:color="auto"/>
              <w:left w:val="single" w:sz="4" w:space="0" w:color="auto"/>
              <w:bottom w:val="single" w:sz="4" w:space="0" w:color="auto"/>
              <w:right w:val="single" w:sz="4" w:space="0" w:color="auto"/>
            </w:tcBorders>
            <w:vAlign w:val="center"/>
          </w:tcPr>
          <w:p w14:paraId="02E27934" w14:textId="77777777" w:rsidR="00302BFE" w:rsidRPr="00412826" w:rsidRDefault="00302BFE" w:rsidP="00243B15">
            <w:pPr>
              <w:spacing w:after="0"/>
              <w:ind w:left="30" w:right="30"/>
              <w:jc w:val="center"/>
              <w:rPr>
                <w:sz w:val="18"/>
                <w:szCs w:val="18"/>
                <w:lang w:val="fr-FR"/>
              </w:rPr>
            </w:pPr>
            <w:r w:rsidRPr="00412826">
              <w:rPr>
                <w:sz w:val="18"/>
                <w:szCs w:val="18"/>
                <w:lang w:val="fr-FR"/>
              </w:rPr>
              <w:t>IV</w:t>
            </w:r>
          </w:p>
        </w:tc>
        <w:tc>
          <w:tcPr>
            <w:tcW w:w="1682" w:type="dxa"/>
            <w:vMerge/>
            <w:tcBorders>
              <w:left w:val="single" w:sz="4" w:space="0" w:color="auto"/>
              <w:right w:val="single" w:sz="4" w:space="0" w:color="auto"/>
            </w:tcBorders>
            <w:vAlign w:val="center"/>
          </w:tcPr>
          <w:p w14:paraId="455064AE" w14:textId="77777777" w:rsidR="00302BFE" w:rsidRPr="00412826" w:rsidRDefault="00302BFE" w:rsidP="00243B15">
            <w:pPr>
              <w:spacing w:after="0"/>
              <w:rPr>
                <w:rFonts w:eastAsia="Times New Roman"/>
                <w:sz w:val="18"/>
                <w:szCs w:val="18"/>
                <w:lang w:val="fr-FR"/>
              </w:rPr>
            </w:pPr>
          </w:p>
        </w:tc>
      </w:tr>
      <w:tr w:rsidR="00302BFE" w:rsidRPr="00412826" w14:paraId="43F44BF0" w14:textId="77777777" w:rsidTr="00243B15">
        <w:trPr>
          <w:jc w:val="center"/>
        </w:trPr>
        <w:tc>
          <w:tcPr>
            <w:tcW w:w="2117" w:type="dxa"/>
            <w:vMerge/>
            <w:tcBorders>
              <w:left w:val="single" w:sz="4" w:space="0" w:color="auto"/>
              <w:right w:val="single" w:sz="4" w:space="0" w:color="auto"/>
            </w:tcBorders>
            <w:vAlign w:val="center"/>
          </w:tcPr>
          <w:p w14:paraId="22648C1D" w14:textId="77777777" w:rsidR="00302BFE" w:rsidRPr="00412826" w:rsidRDefault="00302BFE" w:rsidP="00243B15">
            <w:pPr>
              <w:spacing w:after="0"/>
              <w:ind w:left="30" w:right="30"/>
              <w:rPr>
                <w:sz w:val="18"/>
                <w:szCs w:val="18"/>
                <w:lang w:val="fr-FR"/>
              </w:rPr>
            </w:pPr>
          </w:p>
        </w:tc>
        <w:tc>
          <w:tcPr>
            <w:tcW w:w="378" w:type="dxa"/>
            <w:vMerge/>
            <w:tcBorders>
              <w:left w:val="single" w:sz="4" w:space="0" w:color="auto"/>
              <w:bottom w:val="single" w:sz="4" w:space="0" w:color="auto"/>
              <w:right w:val="single" w:sz="4" w:space="0" w:color="auto"/>
            </w:tcBorders>
            <w:vAlign w:val="center"/>
          </w:tcPr>
          <w:p w14:paraId="065FFCFF" w14:textId="77777777" w:rsidR="00302BFE" w:rsidRPr="00412826" w:rsidRDefault="00302BFE" w:rsidP="00243B15">
            <w:pPr>
              <w:spacing w:after="0"/>
              <w:ind w:left="30" w:right="30"/>
              <w:jc w:val="center"/>
              <w:rPr>
                <w:sz w:val="18"/>
                <w:szCs w:val="18"/>
                <w:lang w:val="fr-FR"/>
              </w:rPr>
            </w:pPr>
          </w:p>
        </w:tc>
        <w:tc>
          <w:tcPr>
            <w:tcW w:w="1501" w:type="dxa"/>
            <w:tcBorders>
              <w:top w:val="single" w:sz="4" w:space="0" w:color="auto"/>
              <w:left w:val="single" w:sz="4" w:space="0" w:color="auto"/>
              <w:bottom w:val="single" w:sz="4" w:space="0" w:color="auto"/>
              <w:right w:val="single" w:sz="4" w:space="0" w:color="auto"/>
            </w:tcBorders>
            <w:vAlign w:val="center"/>
          </w:tcPr>
          <w:p w14:paraId="2B79688D" w14:textId="77777777" w:rsidR="00302BFE" w:rsidRPr="00412826" w:rsidRDefault="00302BFE" w:rsidP="00243B15">
            <w:pPr>
              <w:spacing w:after="0"/>
              <w:ind w:left="30" w:right="30"/>
              <w:jc w:val="center"/>
              <w:rPr>
                <w:sz w:val="18"/>
                <w:szCs w:val="18"/>
                <w:lang w:val="fr-FR"/>
              </w:rPr>
            </w:pPr>
            <w:r w:rsidRPr="00412826">
              <w:rPr>
                <w:sz w:val="18"/>
                <w:szCs w:val="18"/>
                <w:lang w:val="fr-FR"/>
              </w:rPr>
              <w:t>Kourtiagou</w:t>
            </w:r>
          </w:p>
        </w:tc>
        <w:tc>
          <w:tcPr>
            <w:tcW w:w="1127" w:type="dxa"/>
            <w:tcBorders>
              <w:top w:val="single" w:sz="4" w:space="0" w:color="auto"/>
              <w:left w:val="single" w:sz="4" w:space="0" w:color="auto"/>
              <w:bottom w:val="single" w:sz="4" w:space="0" w:color="auto"/>
              <w:right w:val="single" w:sz="4" w:space="0" w:color="auto"/>
            </w:tcBorders>
            <w:vAlign w:val="center"/>
          </w:tcPr>
          <w:p w14:paraId="6BACBF9D" w14:textId="77777777" w:rsidR="00302BFE" w:rsidRPr="00412826" w:rsidRDefault="00302BFE" w:rsidP="00243B15">
            <w:pPr>
              <w:spacing w:after="0"/>
              <w:ind w:left="30" w:right="30"/>
              <w:jc w:val="center"/>
              <w:rPr>
                <w:sz w:val="18"/>
                <w:szCs w:val="18"/>
                <w:lang w:val="fr-FR"/>
              </w:rPr>
            </w:pPr>
            <w:r w:rsidRPr="00412826">
              <w:rPr>
                <w:sz w:val="18"/>
                <w:szCs w:val="18"/>
                <w:lang w:val="fr-FR"/>
              </w:rPr>
              <w:t>1957</w:t>
            </w:r>
          </w:p>
        </w:tc>
        <w:tc>
          <w:tcPr>
            <w:tcW w:w="2097" w:type="dxa"/>
            <w:tcBorders>
              <w:top w:val="single" w:sz="4" w:space="0" w:color="auto"/>
              <w:left w:val="single" w:sz="4" w:space="0" w:color="auto"/>
              <w:bottom w:val="single" w:sz="4" w:space="0" w:color="auto"/>
              <w:right w:val="single" w:sz="4" w:space="0" w:color="auto"/>
            </w:tcBorders>
            <w:vAlign w:val="center"/>
          </w:tcPr>
          <w:p w14:paraId="5D3FD46F" w14:textId="77777777" w:rsidR="00302BFE" w:rsidRPr="00412826" w:rsidRDefault="00302BFE" w:rsidP="00243B15">
            <w:pPr>
              <w:spacing w:after="0"/>
              <w:ind w:left="30" w:right="30"/>
              <w:jc w:val="center"/>
              <w:rPr>
                <w:sz w:val="18"/>
                <w:szCs w:val="18"/>
                <w:lang w:val="fr-FR"/>
              </w:rPr>
            </w:pPr>
            <w:r w:rsidRPr="00412826">
              <w:rPr>
                <w:sz w:val="18"/>
                <w:szCs w:val="18"/>
                <w:lang w:val="fr-FR"/>
              </w:rPr>
              <w:t>51</w:t>
            </w:r>
            <w:r>
              <w:rPr>
                <w:sz w:val="18"/>
                <w:szCs w:val="18"/>
                <w:lang w:val="fr-FR"/>
              </w:rPr>
              <w:t>,</w:t>
            </w:r>
            <w:r w:rsidRPr="00412826">
              <w:rPr>
                <w:sz w:val="18"/>
                <w:szCs w:val="18"/>
                <w:lang w:val="fr-FR"/>
              </w:rPr>
              <w:t>000</w:t>
            </w:r>
          </w:p>
        </w:tc>
        <w:tc>
          <w:tcPr>
            <w:tcW w:w="850" w:type="dxa"/>
            <w:tcBorders>
              <w:top w:val="single" w:sz="4" w:space="0" w:color="auto"/>
              <w:left w:val="single" w:sz="4" w:space="0" w:color="auto"/>
              <w:bottom w:val="single" w:sz="4" w:space="0" w:color="auto"/>
              <w:right w:val="single" w:sz="4" w:space="0" w:color="auto"/>
            </w:tcBorders>
            <w:vAlign w:val="center"/>
          </w:tcPr>
          <w:p w14:paraId="74C57D77" w14:textId="77777777" w:rsidR="00302BFE" w:rsidRPr="00412826" w:rsidRDefault="00302BFE" w:rsidP="00243B15">
            <w:pPr>
              <w:spacing w:after="0"/>
              <w:ind w:left="30" w:right="30"/>
              <w:jc w:val="center"/>
              <w:rPr>
                <w:sz w:val="18"/>
                <w:szCs w:val="18"/>
                <w:lang w:val="fr-FR"/>
              </w:rPr>
            </w:pPr>
            <w:r w:rsidRPr="00412826">
              <w:rPr>
                <w:sz w:val="18"/>
                <w:szCs w:val="18"/>
                <w:lang w:val="fr-FR"/>
              </w:rPr>
              <w:t>IV</w:t>
            </w:r>
          </w:p>
        </w:tc>
        <w:tc>
          <w:tcPr>
            <w:tcW w:w="1682" w:type="dxa"/>
            <w:vMerge/>
            <w:tcBorders>
              <w:left w:val="single" w:sz="4" w:space="0" w:color="auto"/>
              <w:right w:val="single" w:sz="4" w:space="0" w:color="auto"/>
            </w:tcBorders>
            <w:vAlign w:val="center"/>
          </w:tcPr>
          <w:p w14:paraId="576B2196" w14:textId="77777777" w:rsidR="00302BFE" w:rsidRPr="00412826" w:rsidRDefault="00302BFE" w:rsidP="00243B15">
            <w:pPr>
              <w:spacing w:after="0"/>
              <w:rPr>
                <w:rFonts w:eastAsia="Times New Roman"/>
                <w:sz w:val="18"/>
                <w:szCs w:val="18"/>
                <w:lang w:val="fr-FR"/>
              </w:rPr>
            </w:pPr>
          </w:p>
        </w:tc>
      </w:tr>
      <w:tr w:rsidR="00302BFE" w:rsidRPr="00412826" w14:paraId="06BE0171" w14:textId="77777777" w:rsidTr="00243B15">
        <w:trPr>
          <w:jc w:val="center"/>
        </w:trPr>
        <w:tc>
          <w:tcPr>
            <w:tcW w:w="2117" w:type="dxa"/>
            <w:tcBorders>
              <w:top w:val="single" w:sz="4" w:space="0" w:color="auto"/>
              <w:left w:val="single" w:sz="4" w:space="0" w:color="auto"/>
              <w:bottom w:val="single" w:sz="4" w:space="0" w:color="auto"/>
              <w:right w:val="single" w:sz="4" w:space="0" w:color="auto"/>
            </w:tcBorders>
            <w:vAlign w:val="center"/>
          </w:tcPr>
          <w:p w14:paraId="0E1204DE" w14:textId="77777777" w:rsidR="00302BFE" w:rsidRPr="00DC05C9" w:rsidRDefault="00302BFE" w:rsidP="00243B15">
            <w:pPr>
              <w:spacing w:after="0"/>
              <w:ind w:left="30" w:right="30"/>
              <w:rPr>
                <w:sz w:val="18"/>
                <w:szCs w:val="18"/>
                <w:lang w:val="en-CA"/>
              </w:rPr>
            </w:pPr>
            <w:r w:rsidRPr="00DC05C9">
              <w:rPr>
                <w:sz w:val="18"/>
                <w:szCs w:val="18"/>
                <w:lang w:val="en-CA"/>
              </w:rPr>
              <w:t>Silvopastoral and partial wildlife reserve</w:t>
            </w:r>
          </w:p>
        </w:tc>
        <w:tc>
          <w:tcPr>
            <w:tcW w:w="378" w:type="dxa"/>
            <w:tcBorders>
              <w:top w:val="single" w:sz="4" w:space="0" w:color="auto"/>
              <w:left w:val="single" w:sz="4" w:space="0" w:color="auto"/>
              <w:bottom w:val="single" w:sz="4" w:space="0" w:color="auto"/>
              <w:right w:val="single" w:sz="4" w:space="0" w:color="auto"/>
            </w:tcBorders>
            <w:vAlign w:val="center"/>
          </w:tcPr>
          <w:p w14:paraId="6451617C" w14:textId="77777777" w:rsidR="00302BFE" w:rsidRPr="00412826" w:rsidRDefault="00302BFE" w:rsidP="00243B15">
            <w:pPr>
              <w:spacing w:after="0"/>
              <w:ind w:left="30" w:right="30"/>
              <w:jc w:val="center"/>
              <w:rPr>
                <w:sz w:val="18"/>
                <w:szCs w:val="18"/>
                <w:lang w:val="fr-FR"/>
              </w:rPr>
            </w:pPr>
            <w:r w:rsidRPr="00412826">
              <w:rPr>
                <w:sz w:val="18"/>
                <w:szCs w:val="18"/>
                <w:lang w:val="fr-FR"/>
              </w:rPr>
              <w:t>1</w:t>
            </w:r>
          </w:p>
        </w:tc>
        <w:tc>
          <w:tcPr>
            <w:tcW w:w="1501" w:type="dxa"/>
            <w:tcBorders>
              <w:top w:val="single" w:sz="4" w:space="0" w:color="auto"/>
              <w:left w:val="single" w:sz="4" w:space="0" w:color="auto"/>
              <w:bottom w:val="single" w:sz="4" w:space="0" w:color="auto"/>
              <w:right w:val="single" w:sz="4" w:space="0" w:color="auto"/>
            </w:tcBorders>
            <w:vAlign w:val="center"/>
          </w:tcPr>
          <w:p w14:paraId="2115ABAA" w14:textId="77777777" w:rsidR="00302BFE" w:rsidRPr="00412826" w:rsidRDefault="00302BFE" w:rsidP="00243B15">
            <w:pPr>
              <w:spacing w:after="0"/>
              <w:ind w:left="30" w:right="30"/>
              <w:jc w:val="center"/>
              <w:rPr>
                <w:sz w:val="18"/>
                <w:szCs w:val="18"/>
                <w:lang w:val="fr-FR"/>
              </w:rPr>
            </w:pPr>
            <w:r w:rsidRPr="00412826">
              <w:rPr>
                <w:sz w:val="18"/>
                <w:szCs w:val="18"/>
                <w:lang w:val="fr-FR"/>
              </w:rPr>
              <w:t>Sahel</w:t>
            </w:r>
          </w:p>
        </w:tc>
        <w:tc>
          <w:tcPr>
            <w:tcW w:w="1127" w:type="dxa"/>
            <w:tcBorders>
              <w:top w:val="single" w:sz="4" w:space="0" w:color="auto"/>
              <w:left w:val="single" w:sz="4" w:space="0" w:color="auto"/>
              <w:bottom w:val="single" w:sz="4" w:space="0" w:color="auto"/>
              <w:right w:val="single" w:sz="4" w:space="0" w:color="auto"/>
            </w:tcBorders>
            <w:vAlign w:val="center"/>
          </w:tcPr>
          <w:p w14:paraId="57675586" w14:textId="77777777" w:rsidR="00302BFE" w:rsidRPr="00412826" w:rsidRDefault="00302BFE" w:rsidP="00243B15">
            <w:pPr>
              <w:spacing w:after="0"/>
              <w:ind w:left="30" w:right="30"/>
              <w:jc w:val="center"/>
              <w:rPr>
                <w:sz w:val="18"/>
                <w:szCs w:val="18"/>
                <w:lang w:val="fr-FR"/>
              </w:rPr>
            </w:pPr>
            <w:r w:rsidRPr="00412826">
              <w:rPr>
                <w:sz w:val="18"/>
                <w:szCs w:val="18"/>
                <w:lang w:val="fr-FR"/>
              </w:rPr>
              <w:t>1970</w:t>
            </w:r>
          </w:p>
        </w:tc>
        <w:tc>
          <w:tcPr>
            <w:tcW w:w="2097" w:type="dxa"/>
            <w:tcBorders>
              <w:top w:val="single" w:sz="4" w:space="0" w:color="auto"/>
              <w:left w:val="single" w:sz="4" w:space="0" w:color="auto"/>
              <w:bottom w:val="single" w:sz="4" w:space="0" w:color="auto"/>
              <w:right w:val="single" w:sz="4" w:space="0" w:color="auto"/>
            </w:tcBorders>
            <w:vAlign w:val="center"/>
          </w:tcPr>
          <w:p w14:paraId="3248DB6F" w14:textId="77777777" w:rsidR="00302BFE" w:rsidRPr="00412826" w:rsidRDefault="00302BFE" w:rsidP="00243B15">
            <w:pPr>
              <w:spacing w:after="0"/>
              <w:ind w:left="30" w:right="30"/>
              <w:jc w:val="center"/>
              <w:rPr>
                <w:sz w:val="18"/>
                <w:szCs w:val="18"/>
                <w:lang w:val="fr-FR"/>
              </w:rPr>
            </w:pPr>
            <w:r w:rsidRPr="00412826">
              <w:rPr>
                <w:sz w:val="18"/>
                <w:szCs w:val="18"/>
                <w:lang w:val="fr-FR"/>
              </w:rPr>
              <w:t>1</w:t>
            </w:r>
            <w:r>
              <w:rPr>
                <w:sz w:val="18"/>
                <w:szCs w:val="18"/>
                <w:lang w:val="fr-FR"/>
              </w:rPr>
              <w:t>,</w:t>
            </w:r>
            <w:r w:rsidRPr="00412826">
              <w:rPr>
                <w:sz w:val="18"/>
                <w:szCs w:val="18"/>
                <w:lang w:val="fr-FR"/>
              </w:rPr>
              <w:t>600</w:t>
            </w:r>
            <w:r>
              <w:rPr>
                <w:sz w:val="18"/>
                <w:szCs w:val="18"/>
                <w:lang w:val="fr-FR"/>
              </w:rPr>
              <w:t>,</w:t>
            </w:r>
            <w:r w:rsidRPr="00412826">
              <w:rPr>
                <w:sz w:val="18"/>
                <w:szCs w:val="18"/>
                <w:lang w:val="fr-FR"/>
              </w:rPr>
              <w:t>000</w:t>
            </w:r>
          </w:p>
        </w:tc>
        <w:tc>
          <w:tcPr>
            <w:tcW w:w="850" w:type="dxa"/>
            <w:tcBorders>
              <w:top w:val="single" w:sz="4" w:space="0" w:color="auto"/>
              <w:left w:val="single" w:sz="4" w:space="0" w:color="auto"/>
              <w:bottom w:val="single" w:sz="4" w:space="0" w:color="auto"/>
              <w:right w:val="single" w:sz="4" w:space="0" w:color="auto"/>
            </w:tcBorders>
            <w:vAlign w:val="center"/>
          </w:tcPr>
          <w:p w14:paraId="3016FE6D" w14:textId="77777777" w:rsidR="00302BFE" w:rsidRPr="00412826" w:rsidRDefault="00302BFE" w:rsidP="00243B15">
            <w:pPr>
              <w:spacing w:after="0"/>
              <w:ind w:left="30" w:right="30"/>
              <w:jc w:val="center"/>
              <w:rPr>
                <w:sz w:val="18"/>
                <w:szCs w:val="18"/>
                <w:lang w:val="fr-FR"/>
              </w:rPr>
            </w:pPr>
            <w:r w:rsidRPr="00412826">
              <w:rPr>
                <w:sz w:val="18"/>
                <w:szCs w:val="18"/>
                <w:lang w:val="fr-FR"/>
              </w:rPr>
              <w:t>VI</w:t>
            </w:r>
          </w:p>
        </w:tc>
        <w:tc>
          <w:tcPr>
            <w:tcW w:w="1682" w:type="dxa"/>
            <w:vMerge/>
            <w:tcBorders>
              <w:left w:val="single" w:sz="4" w:space="0" w:color="auto"/>
              <w:right w:val="single" w:sz="4" w:space="0" w:color="auto"/>
            </w:tcBorders>
            <w:vAlign w:val="center"/>
          </w:tcPr>
          <w:p w14:paraId="7D2B71E9" w14:textId="77777777" w:rsidR="00302BFE" w:rsidRPr="00412826" w:rsidRDefault="00302BFE" w:rsidP="00243B15">
            <w:pPr>
              <w:spacing w:after="0"/>
              <w:rPr>
                <w:rFonts w:eastAsia="Times New Roman"/>
                <w:sz w:val="18"/>
                <w:szCs w:val="18"/>
                <w:lang w:val="fr-FR"/>
              </w:rPr>
            </w:pPr>
          </w:p>
        </w:tc>
      </w:tr>
      <w:tr w:rsidR="00302BFE" w:rsidRPr="00412826" w14:paraId="5F964EF1" w14:textId="77777777" w:rsidTr="00243B15">
        <w:trPr>
          <w:jc w:val="center"/>
        </w:trPr>
        <w:tc>
          <w:tcPr>
            <w:tcW w:w="2117" w:type="dxa"/>
            <w:tcBorders>
              <w:top w:val="single" w:sz="4" w:space="0" w:color="auto"/>
              <w:left w:val="single" w:sz="4" w:space="0" w:color="auto"/>
              <w:bottom w:val="single" w:sz="4" w:space="0" w:color="auto"/>
              <w:right w:val="single" w:sz="4" w:space="0" w:color="auto"/>
            </w:tcBorders>
            <w:vAlign w:val="center"/>
          </w:tcPr>
          <w:p w14:paraId="424A0106" w14:textId="77777777" w:rsidR="00302BFE" w:rsidRPr="00DC05C9" w:rsidRDefault="00302BFE" w:rsidP="00243B15">
            <w:pPr>
              <w:spacing w:after="0"/>
              <w:ind w:left="30" w:right="30"/>
              <w:rPr>
                <w:sz w:val="18"/>
                <w:szCs w:val="18"/>
                <w:lang w:val="en-CA"/>
              </w:rPr>
            </w:pPr>
            <w:r w:rsidRPr="00DC05C9">
              <w:rPr>
                <w:sz w:val="18"/>
                <w:szCs w:val="18"/>
                <w:lang w:val="en-CA"/>
              </w:rPr>
              <w:t>Classified Forest and Partial Wildlife Reserve</w:t>
            </w:r>
          </w:p>
        </w:tc>
        <w:tc>
          <w:tcPr>
            <w:tcW w:w="378" w:type="dxa"/>
            <w:tcBorders>
              <w:top w:val="single" w:sz="4" w:space="0" w:color="auto"/>
              <w:left w:val="single" w:sz="4" w:space="0" w:color="auto"/>
              <w:bottom w:val="single" w:sz="4" w:space="0" w:color="auto"/>
              <w:right w:val="single" w:sz="4" w:space="0" w:color="auto"/>
            </w:tcBorders>
            <w:vAlign w:val="center"/>
          </w:tcPr>
          <w:p w14:paraId="2C162D21" w14:textId="77777777" w:rsidR="00302BFE" w:rsidRPr="00412826" w:rsidRDefault="00302BFE" w:rsidP="00243B15">
            <w:pPr>
              <w:spacing w:after="0"/>
              <w:ind w:left="30" w:right="30"/>
              <w:jc w:val="center"/>
              <w:rPr>
                <w:sz w:val="18"/>
                <w:szCs w:val="18"/>
                <w:lang w:val="fr-FR"/>
              </w:rPr>
            </w:pPr>
            <w:r w:rsidRPr="00412826">
              <w:rPr>
                <w:sz w:val="18"/>
                <w:szCs w:val="18"/>
                <w:lang w:val="fr-FR"/>
              </w:rPr>
              <w:t>1</w:t>
            </w:r>
          </w:p>
        </w:tc>
        <w:tc>
          <w:tcPr>
            <w:tcW w:w="1501" w:type="dxa"/>
            <w:tcBorders>
              <w:top w:val="single" w:sz="4" w:space="0" w:color="auto"/>
              <w:left w:val="single" w:sz="4" w:space="0" w:color="auto"/>
              <w:bottom w:val="single" w:sz="4" w:space="0" w:color="auto"/>
              <w:right w:val="single" w:sz="4" w:space="0" w:color="auto"/>
            </w:tcBorders>
            <w:vAlign w:val="center"/>
          </w:tcPr>
          <w:p w14:paraId="69CE1EAE" w14:textId="77777777" w:rsidR="00302BFE" w:rsidRPr="00412826" w:rsidRDefault="00302BFE" w:rsidP="00243B15">
            <w:pPr>
              <w:spacing w:after="0"/>
              <w:ind w:left="30" w:right="30"/>
              <w:jc w:val="center"/>
              <w:rPr>
                <w:sz w:val="18"/>
                <w:szCs w:val="18"/>
                <w:lang w:val="fr-FR"/>
              </w:rPr>
            </w:pPr>
            <w:r w:rsidRPr="00412826">
              <w:rPr>
                <w:sz w:val="18"/>
                <w:szCs w:val="18"/>
                <w:lang w:val="fr-FR"/>
              </w:rPr>
              <w:t>Comoé-Léraba</w:t>
            </w:r>
          </w:p>
        </w:tc>
        <w:tc>
          <w:tcPr>
            <w:tcW w:w="1127" w:type="dxa"/>
            <w:tcBorders>
              <w:top w:val="single" w:sz="4" w:space="0" w:color="auto"/>
              <w:left w:val="single" w:sz="4" w:space="0" w:color="auto"/>
              <w:bottom w:val="single" w:sz="4" w:space="0" w:color="auto"/>
              <w:right w:val="single" w:sz="4" w:space="0" w:color="auto"/>
            </w:tcBorders>
            <w:vAlign w:val="center"/>
          </w:tcPr>
          <w:p w14:paraId="237BF54B" w14:textId="77777777" w:rsidR="00302BFE" w:rsidRPr="00412826" w:rsidRDefault="00302BFE" w:rsidP="00243B15">
            <w:pPr>
              <w:spacing w:after="0"/>
              <w:ind w:left="30" w:right="30"/>
              <w:jc w:val="center"/>
              <w:rPr>
                <w:sz w:val="18"/>
                <w:szCs w:val="18"/>
                <w:lang w:val="fr-FR"/>
              </w:rPr>
            </w:pPr>
            <w:r w:rsidRPr="00412826">
              <w:rPr>
                <w:sz w:val="18"/>
                <w:szCs w:val="18"/>
                <w:lang w:val="fr-FR"/>
              </w:rPr>
              <w:t>2001</w:t>
            </w:r>
          </w:p>
        </w:tc>
        <w:tc>
          <w:tcPr>
            <w:tcW w:w="2097" w:type="dxa"/>
            <w:tcBorders>
              <w:top w:val="single" w:sz="4" w:space="0" w:color="auto"/>
              <w:left w:val="single" w:sz="4" w:space="0" w:color="auto"/>
              <w:bottom w:val="single" w:sz="4" w:space="0" w:color="auto"/>
              <w:right w:val="single" w:sz="4" w:space="0" w:color="auto"/>
            </w:tcBorders>
            <w:vAlign w:val="center"/>
          </w:tcPr>
          <w:p w14:paraId="657E104A" w14:textId="77777777" w:rsidR="00302BFE" w:rsidRPr="00412826" w:rsidRDefault="00302BFE" w:rsidP="00243B15">
            <w:pPr>
              <w:spacing w:after="0"/>
              <w:ind w:left="30" w:right="30"/>
              <w:jc w:val="center"/>
              <w:rPr>
                <w:sz w:val="18"/>
                <w:szCs w:val="18"/>
                <w:lang w:val="fr-FR"/>
              </w:rPr>
            </w:pPr>
            <w:r w:rsidRPr="00412826">
              <w:rPr>
                <w:sz w:val="18"/>
                <w:szCs w:val="18"/>
                <w:lang w:val="fr-FR"/>
              </w:rPr>
              <w:t>124</w:t>
            </w:r>
            <w:r>
              <w:rPr>
                <w:sz w:val="18"/>
                <w:szCs w:val="18"/>
                <w:lang w:val="fr-FR"/>
              </w:rPr>
              <w:t>,</w:t>
            </w:r>
            <w:r w:rsidRPr="00412826">
              <w:rPr>
                <w:sz w:val="18"/>
                <w:szCs w:val="18"/>
                <w:lang w:val="fr-FR"/>
              </w:rPr>
              <w:t>500</w:t>
            </w:r>
          </w:p>
        </w:tc>
        <w:tc>
          <w:tcPr>
            <w:tcW w:w="850" w:type="dxa"/>
            <w:tcBorders>
              <w:top w:val="single" w:sz="4" w:space="0" w:color="auto"/>
              <w:left w:val="single" w:sz="4" w:space="0" w:color="auto"/>
              <w:bottom w:val="single" w:sz="4" w:space="0" w:color="auto"/>
              <w:right w:val="single" w:sz="4" w:space="0" w:color="auto"/>
            </w:tcBorders>
            <w:vAlign w:val="center"/>
          </w:tcPr>
          <w:p w14:paraId="3043E31D" w14:textId="77777777" w:rsidR="00302BFE" w:rsidRPr="00412826" w:rsidRDefault="00302BFE" w:rsidP="00243B15">
            <w:pPr>
              <w:spacing w:after="0"/>
              <w:ind w:left="30" w:right="30"/>
              <w:jc w:val="center"/>
              <w:rPr>
                <w:sz w:val="18"/>
                <w:szCs w:val="18"/>
                <w:lang w:val="fr-FR"/>
              </w:rPr>
            </w:pPr>
            <w:r w:rsidRPr="00412826">
              <w:rPr>
                <w:sz w:val="18"/>
                <w:szCs w:val="18"/>
                <w:lang w:val="fr-FR"/>
              </w:rPr>
              <w:t>IV</w:t>
            </w:r>
          </w:p>
        </w:tc>
        <w:tc>
          <w:tcPr>
            <w:tcW w:w="1682" w:type="dxa"/>
            <w:vMerge/>
            <w:tcBorders>
              <w:left w:val="single" w:sz="4" w:space="0" w:color="auto"/>
              <w:right w:val="single" w:sz="4" w:space="0" w:color="auto"/>
            </w:tcBorders>
            <w:vAlign w:val="center"/>
          </w:tcPr>
          <w:p w14:paraId="376CAF85" w14:textId="77777777" w:rsidR="00302BFE" w:rsidRPr="00412826" w:rsidRDefault="00302BFE" w:rsidP="00243B15">
            <w:pPr>
              <w:spacing w:after="0"/>
              <w:rPr>
                <w:rFonts w:eastAsia="Times New Roman"/>
                <w:sz w:val="18"/>
                <w:szCs w:val="18"/>
                <w:lang w:val="fr-FR"/>
              </w:rPr>
            </w:pPr>
          </w:p>
        </w:tc>
      </w:tr>
      <w:tr w:rsidR="00302BFE" w:rsidRPr="00412826" w14:paraId="74E65F0D" w14:textId="77777777" w:rsidTr="00243B15">
        <w:trPr>
          <w:jc w:val="center"/>
        </w:trPr>
        <w:tc>
          <w:tcPr>
            <w:tcW w:w="2117" w:type="dxa"/>
            <w:tcBorders>
              <w:top w:val="single" w:sz="4" w:space="0" w:color="auto"/>
              <w:left w:val="single" w:sz="4" w:space="0" w:color="auto"/>
              <w:bottom w:val="single" w:sz="4" w:space="0" w:color="auto"/>
              <w:right w:val="single" w:sz="4" w:space="0" w:color="auto"/>
            </w:tcBorders>
            <w:vAlign w:val="center"/>
            <w:hideMark/>
          </w:tcPr>
          <w:p w14:paraId="245F5449" w14:textId="77777777" w:rsidR="00302BFE" w:rsidRPr="00D47BC5" w:rsidRDefault="00302BFE" w:rsidP="00243B15">
            <w:pPr>
              <w:spacing w:after="0"/>
              <w:ind w:left="30" w:right="30"/>
              <w:rPr>
                <w:sz w:val="18"/>
                <w:szCs w:val="18"/>
                <w:lang w:val="en-CA"/>
              </w:rPr>
            </w:pPr>
            <w:r w:rsidRPr="00D47BC5">
              <w:rPr>
                <w:sz w:val="18"/>
                <w:szCs w:val="18"/>
                <w:lang w:val="en-CA"/>
              </w:rPr>
              <w:t>Classified Forest and Game Ranch</w:t>
            </w:r>
          </w:p>
        </w:tc>
        <w:tc>
          <w:tcPr>
            <w:tcW w:w="378" w:type="dxa"/>
            <w:tcBorders>
              <w:top w:val="single" w:sz="4" w:space="0" w:color="auto"/>
              <w:left w:val="single" w:sz="4" w:space="0" w:color="auto"/>
              <w:bottom w:val="single" w:sz="4" w:space="0" w:color="auto"/>
              <w:right w:val="single" w:sz="4" w:space="0" w:color="auto"/>
            </w:tcBorders>
            <w:vAlign w:val="center"/>
            <w:hideMark/>
          </w:tcPr>
          <w:p w14:paraId="78313B19" w14:textId="77777777" w:rsidR="00302BFE" w:rsidRPr="00412826" w:rsidRDefault="00302BFE" w:rsidP="00243B15">
            <w:pPr>
              <w:spacing w:after="0"/>
              <w:ind w:left="30" w:right="30"/>
              <w:jc w:val="center"/>
              <w:rPr>
                <w:sz w:val="18"/>
                <w:szCs w:val="18"/>
                <w:lang w:val="fr-FR"/>
              </w:rPr>
            </w:pPr>
            <w:r w:rsidRPr="00412826">
              <w:rPr>
                <w:sz w:val="18"/>
                <w:szCs w:val="18"/>
                <w:lang w:val="fr-FR"/>
              </w:rPr>
              <w:t>1</w:t>
            </w:r>
          </w:p>
        </w:tc>
        <w:tc>
          <w:tcPr>
            <w:tcW w:w="1501" w:type="dxa"/>
            <w:tcBorders>
              <w:top w:val="single" w:sz="4" w:space="0" w:color="auto"/>
              <w:left w:val="single" w:sz="4" w:space="0" w:color="auto"/>
              <w:bottom w:val="single" w:sz="4" w:space="0" w:color="auto"/>
              <w:right w:val="single" w:sz="4" w:space="0" w:color="auto"/>
            </w:tcBorders>
            <w:vAlign w:val="center"/>
          </w:tcPr>
          <w:p w14:paraId="13B53255" w14:textId="77777777" w:rsidR="00302BFE" w:rsidRPr="00412826" w:rsidRDefault="00302BFE" w:rsidP="00243B15">
            <w:pPr>
              <w:spacing w:after="0"/>
              <w:ind w:left="30" w:right="30"/>
              <w:jc w:val="center"/>
              <w:rPr>
                <w:sz w:val="18"/>
                <w:szCs w:val="18"/>
                <w:lang w:val="fr-FR"/>
              </w:rPr>
            </w:pPr>
            <w:r w:rsidRPr="00412826">
              <w:rPr>
                <w:sz w:val="18"/>
                <w:szCs w:val="18"/>
                <w:lang w:val="fr-FR"/>
              </w:rPr>
              <w:t>Nazinga</w:t>
            </w:r>
          </w:p>
        </w:tc>
        <w:tc>
          <w:tcPr>
            <w:tcW w:w="1127" w:type="dxa"/>
            <w:tcBorders>
              <w:top w:val="single" w:sz="4" w:space="0" w:color="auto"/>
              <w:left w:val="single" w:sz="4" w:space="0" w:color="auto"/>
              <w:bottom w:val="single" w:sz="4" w:space="0" w:color="auto"/>
              <w:right w:val="single" w:sz="4" w:space="0" w:color="auto"/>
            </w:tcBorders>
            <w:vAlign w:val="center"/>
          </w:tcPr>
          <w:p w14:paraId="2958B149" w14:textId="77777777" w:rsidR="00302BFE" w:rsidRPr="00412826" w:rsidRDefault="00302BFE" w:rsidP="00243B15">
            <w:pPr>
              <w:spacing w:after="0"/>
              <w:ind w:left="30" w:right="30"/>
              <w:jc w:val="center"/>
              <w:rPr>
                <w:sz w:val="18"/>
                <w:szCs w:val="18"/>
                <w:lang w:val="fr-FR"/>
              </w:rPr>
            </w:pPr>
            <w:r w:rsidRPr="00412826">
              <w:rPr>
                <w:sz w:val="18"/>
                <w:szCs w:val="18"/>
                <w:lang w:val="fr-FR"/>
              </w:rPr>
              <w:t>2000</w:t>
            </w:r>
          </w:p>
        </w:tc>
        <w:tc>
          <w:tcPr>
            <w:tcW w:w="2097" w:type="dxa"/>
            <w:tcBorders>
              <w:top w:val="single" w:sz="4" w:space="0" w:color="auto"/>
              <w:left w:val="single" w:sz="4" w:space="0" w:color="auto"/>
              <w:bottom w:val="single" w:sz="4" w:space="0" w:color="auto"/>
              <w:right w:val="single" w:sz="4" w:space="0" w:color="auto"/>
            </w:tcBorders>
            <w:vAlign w:val="center"/>
            <w:hideMark/>
          </w:tcPr>
          <w:p w14:paraId="4A95FF28" w14:textId="77777777" w:rsidR="00302BFE" w:rsidRPr="00412826" w:rsidRDefault="00302BFE" w:rsidP="00243B15">
            <w:pPr>
              <w:spacing w:after="0"/>
              <w:ind w:left="30" w:right="30"/>
              <w:jc w:val="center"/>
              <w:rPr>
                <w:sz w:val="18"/>
                <w:szCs w:val="18"/>
                <w:lang w:val="fr-FR"/>
              </w:rPr>
            </w:pPr>
            <w:r w:rsidRPr="00412826">
              <w:rPr>
                <w:sz w:val="18"/>
                <w:szCs w:val="18"/>
                <w:lang w:val="fr-FR"/>
              </w:rPr>
              <w:t>91</w:t>
            </w:r>
            <w:r>
              <w:rPr>
                <w:sz w:val="18"/>
                <w:szCs w:val="18"/>
                <w:lang w:val="fr-FR"/>
              </w:rPr>
              <w:t>,</w:t>
            </w:r>
            <w:r w:rsidRPr="00412826">
              <w:rPr>
                <w:sz w:val="18"/>
                <w:szCs w:val="18"/>
                <w:lang w:val="fr-FR"/>
              </w:rPr>
              <w:t>300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76A7FDD" w14:textId="77777777" w:rsidR="00302BFE" w:rsidRPr="00412826" w:rsidRDefault="00302BFE" w:rsidP="00243B15">
            <w:pPr>
              <w:spacing w:after="0"/>
              <w:ind w:left="30" w:right="30"/>
              <w:jc w:val="center"/>
              <w:rPr>
                <w:sz w:val="18"/>
                <w:szCs w:val="18"/>
                <w:lang w:val="fr-FR"/>
              </w:rPr>
            </w:pPr>
            <w:r w:rsidRPr="00412826">
              <w:rPr>
                <w:sz w:val="18"/>
                <w:szCs w:val="18"/>
                <w:lang w:val="fr-FR"/>
              </w:rPr>
              <w:t>VI</w:t>
            </w:r>
          </w:p>
        </w:tc>
        <w:tc>
          <w:tcPr>
            <w:tcW w:w="1682" w:type="dxa"/>
            <w:vMerge/>
            <w:tcBorders>
              <w:left w:val="single" w:sz="4" w:space="0" w:color="auto"/>
              <w:right w:val="single" w:sz="4" w:space="0" w:color="auto"/>
            </w:tcBorders>
            <w:vAlign w:val="center"/>
            <w:hideMark/>
          </w:tcPr>
          <w:p w14:paraId="4BB8356C" w14:textId="77777777" w:rsidR="00302BFE" w:rsidRPr="00412826" w:rsidRDefault="00302BFE" w:rsidP="00243B15">
            <w:pPr>
              <w:spacing w:after="0"/>
              <w:rPr>
                <w:rFonts w:eastAsia="Times New Roman"/>
                <w:sz w:val="18"/>
                <w:szCs w:val="18"/>
                <w:lang w:val="fr-FR"/>
              </w:rPr>
            </w:pPr>
          </w:p>
        </w:tc>
      </w:tr>
      <w:tr w:rsidR="00302BFE" w:rsidRPr="00412826" w14:paraId="6ABF3A39" w14:textId="77777777" w:rsidTr="00243B15">
        <w:trPr>
          <w:trHeight w:val="50"/>
          <w:jc w:val="center"/>
        </w:trPr>
        <w:tc>
          <w:tcPr>
            <w:tcW w:w="2117" w:type="dxa"/>
            <w:tcBorders>
              <w:top w:val="single" w:sz="4" w:space="0" w:color="auto"/>
              <w:left w:val="single" w:sz="4" w:space="0" w:color="auto"/>
              <w:bottom w:val="single" w:sz="4" w:space="0" w:color="auto"/>
              <w:right w:val="single" w:sz="4" w:space="0" w:color="auto"/>
            </w:tcBorders>
            <w:vAlign w:val="center"/>
            <w:hideMark/>
          </w:tcPr>
          <w:p w14:paraId="44D9685D" w14:textId="77777777" w:rsidR="00302BFE" w:rsidRPr="00D47BC5" w:rsidRDefault="00302BFE" w:rsidP="00243B15">
            <w:pPr>
              <w:spacing w:after="0"/>
              <w:ind w:left="30" w:right="30"/>
              <w:jc w:val="left"/>
              <w:rPr>
                <w:sz w:val="18"/>
                <w:szCs w:val="18"/>
                <w:lang w:val="en-CA"/>
              </w:rPr>
            </w:pPr>
            <w:r w:rsidRPr="00D47BC5">
              <w:rPr>
                <w:sz w:val="18"/>
                <w:szCs w:val="18"/>
                <w:lang w:val="en-CA"/>
              </w:rPr>
              <w:t>Classified Forests* (traditional use of resources allowed)</w:t>
            </w:r>
          </w:p>
        </w:tc>
        <w:tc>
          <w:tcPr>
            <w:tcW w:w="378" w:type="dxa"/>
            <w:tcBorders>
              <w:top w:val="single" w:sz="4" w:space="0" w:color="auto"/>
              <w:left w:val="single" w:sz="4" w:space="0" w:color="auto"/>
              <w:bottom w:val="single" w:sz="4" w:space="0" w:color="auto"/>
              <w:right w:val="single" w:sz="4" w:space="0" w:color="auto"/>
            </w:tcBorders>
            <w:vAlign w:val="center"/>
            <w:hideMark/>
          </w:tcPr>
          <w:p w14:paraId="63858E53" w14:textId="77777777" w:rsidR="00302BFE" w:rsidRPr="00412826" w:rsidRDefault="00302BFE" w:rsidP="00243B15">
            <w:pPr>
              <w:spacing w:after="0"/>
              <w:ind w:left="30" w:right="30"/>
              <w:jc w:val="center"/>
              <w:rPr>
                <w:sz w:val="18"/>
                <w:szCs w:val="18"/>
                <w:lang w:val="fr-FR"/>
              </w:rPr>
            </w:pPr>
            <w:r w:rsidRPr="00412826">
              <w:rPr>
                <w:sz w:val="18"/>
                <w:szCs w:val="18"/>
                <w:lang w:val="fr-FR"/>
              </w:rPr>
              <w:t>72</w:t>
            </w:r>
          </w:p>
        </w:tc>
        <w:tc>
          <w:tcPr>
            <w:tcW w:w="1501" w:type="dxa"/>
            <w:tcBorders>
              <w:top w:val="single" w:sz="4" w:space="0" w:color="auto"/>
              <w:left w:val="single" w:sz="4" w:space="0" w:color="auto"/>
              <w:bottom w:val="single" w:sz="4" w:space="0" w:color="auto"/>
              <w:right w:val="single" w:sz="4" w:space="0" w:color="auto"/>
            </w:tcBorders>
            <w:vAlign w:val="center"/>
          </w:tcPr>
          <w:p w14:paraId="15B1FE7D" w14:textId="77777777" w:rsidR="00302BFE" w:rsidRPr="00412826" w:rsidRDefault="00302BFE" w:rsidP="00243B15">
            <w:pPr>
              <w:spacing w:after="0"/>
              <w:ind w:left="30" w:right="30"/>
              <w:jc w:val="center"/>
              <w:rPr>
                <w:sz w:val="18"/>
                <w:szCs w:val="18"/>
                <w:lang w:val="fr-FR"/>
              </w:rPr>
            </w:pPr>
          </w:p>
        </w:tc>
        <w:tc>
          <w:tcPr>
            <w:tcW w:w="1127" w:type="dxa"/>
            <w:tcBorders>
              <w:top w:val="single" w:sz="4" w:space="0" w:color="auto"/>
              <w:left w:val="single" w:sz="4" w:space="0" w:color="auto"/>
              <w:bottom w:val="single" w:sz="4" w:space="0" w:color="auto"/>
              <w:right w:val="single" w:sz="4" w:space="0" w:color="auto"/>
            </w:tcBorders>
            <w:vAlign w:val="center"/>
          </w:tcPr>
          <w:p w14:paraId="687CD04F" w14:textId="77777777" w:rsidR="00302BFE" w:rsidRPr="00412826" w:rsidRDefault="00302BFE" w:rsidP="00243B15">
            <w:pPr>
              <w:spacing w:after="0"/>
              <w:ind w:left="30" w:right="30"/>
              <w:jc w:val="center"/>
              <w:rPr>
                <w:sz w:val="18"/>
                <w:szCs w:val="18"/>
                <w:lang w:val="fr-FR"/>
              </w:rPr>
            </w:pPr>
          </w:p>
        </w:tc>
        <w:tc>
          <w:tcPr>
            <w:tcW w:w="2097" w:type="dxa"/>
            <w:tcBorders>
              <w:top w:val="single" w:sz="4" w:space="0" w:color="auto"/>
              <w:left w:val="single" w:sz="4" w:space="0" w:color="auto"/>
              <w:bottom w:val="single" w:sz="4" w:space="0" w:color="auto"/>
              <w:right w:val="single" w:sz="4" w:space="0" w:color="auto"/>
            </w:tcBorders>
            <w:vAlign w:val="center"/>
            <w:hideMark/>
          </w:tcPr>
          <w:p w14:paraId="17504ACE" w14:textId="77777777" w:rsidR="00302BFE" w:rsidRPr="00412826" w:rsidRDefault="00302BFE" w:rsidP="00243B15">
            <w:pPr>
              <w:spacing w:after="0"/>
              <w:ind w:left="30" w:right="30"/>
              <w:jc w:val="center"/>
              <w:rPr>
                <w:sz w:val="18"/>
                <w:szCs w:val="18"/>
                <w:lang w:val="fr-FR"/>
              </w:rPr>
            </w:pPr>
            <w:r w:rsidRPr="00412826">
              <w:rPr>
                <w:sz w:val="18"/>
                <w:szCs w:val="18"/>
                <w:lang w:val="fr-FR"/>
              </w:rPr>
              <w:t>880</w:t>
            </w:r>
            <w:r>
              <w:rPr>
                <w:sz w:val="18"/>
                <w:szCs w:val="18"/>
                <w:lang w:val="fr-FR"/>
              </w:rPr>
              <w:t>,</w:t>
            </w:r>
            <w:r w:rsidRPr="00412826">
              <w:rPr>
                <w:sz w:val="18"/>
                <w:szCs w:val="18"/>
                <w:lang w:val="fr-FR"/>
              </w:rPr>
              <w:t>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E528E15" w14:textId="77777777" w:rsidR="00302BFE" w:rsidRPr="00412826" w:rsidRDefault="00302BFE" w:rsidP="00243B15">
            <w:pPr>
              <w:spacing w:after="0"/>
              <w:ind w:left="30" w:right="30"/>
              <w:jc w:val="center"/>
              <w:rPr>
                <w:sz w:val="18"/>
                <w:szCs w:val="18"/>
                <w:lang w:val="fr-FR"/>
              </w:rPr>
            </w:pPr>
            <w:r w:rsidRPr="00412826">
              <w:rPr>
                <w:sz w:val="18"/>
                <w:szCs w:val="18"/>
                <w:lang w:val="fr-FR"/>
              </w:rPr>
              <w:t>VI</w:t>
            </w:r>
          </w:p>
        </w:tc>
        <w:tc>
          <w:tcPr>
            <w:tcW w:w="1682" w:type="dxa"/>
            <w:vMerge/>
            <w:tcBorders>
              <w:left w:val="single" w:sz="4" w:space="0" w:color="auto"/>
              <w:right w:val="single" w:sz="4" w:space="0" w:color="auto"/>
            </w:tcBorders>
            <w:vAlign w:val="center"/>
            <w:hideMark/>
          </w:tcPr>
          <w:p w14:paraId="4021C63F" w14:textId="77777777" w:rsidR="00302BFE" w:rsidRPr="00412826" w:rsidRDefault="00302BFE" w:rsidP="00243B15">
            <w:pPr>
              <w:spacing w:after="0"/>
              <w:rPr>
                <w:rFonts w:eastAsia="Times New Roman"/>
                <w:sz w:val="18"/>
                <w:szCs w:val="18"/>
                <w:lang w:val="fr-FR"/>
              </w:rPr>
            </w:pPr>
          </w:p>
        </w:tc>
      </w:tr>
      <w:tr w:rsidR="00302BFE" w:rsidRPr="00412826" w14:paraId="0E16555C" w14:textId="77777777" w:rsidTr="00243B15">
        <w:trPr>
          <w:trHeight w:val="50"/>
          <w:jc w:val="center"/>
        </w:trPr>
        <w:tc>
          <w:tcPr>
            <w:tcW w:w="2117" w:type="dxa"/>
            <w:vMerge w:val="restart"/>
            <w:tcBorders>
              <w:top w:val="single" w:sz="4" w:space="0" w:color="auto"/>
              <w:left w:val="single" w:sz="4" w:space="0" w:color="auto"/>
              <w:right w:val="single" w:sz="4" w:space="0" w:color="auto"/>
            </w:tcBorders>
            <w:vAlign w:val="center"/>
          </w:tcPr>
          <w:p w14:paraId="452986A8" w14:textId="77777777" w:rsidR="00302BFE" w:rsidRPr="00412826" w:rsidRDefault="00302BFE" w:rsidP="00243B15">
            <w:pPr>
              <w:spacing w:after="0"/>
              <w:ind w:left="30" w:right="30"/>
              <w:rPr>
                <w:sz w:val="18"/>
                <w:szCs w:val="18"/>
                <w:lang w:val="fr-FR"/>
              </w:rPr>
            </w:pPr>
            <w:r w:rsidRPr="00D47BC5">
              <w:rPr>
                <w:sz w:val="18"/>
                <w:szCs w:val="18"/>
                <w:lang w:val="fr-FR"/>
              </w:rPr>
              <w:t>Wildlife corridors</w:t>
            </w:r>
          </w:p>
        </w:tc>
        <w:tc>
          <w:tcPr>
            <w:tcW w:w="378" w:type="dxa"/>
            <w:vMerge w:val="restart"/>
            <w:tcBorders>
              <w:top w:val="single" w:sz="4" w:space="0" w:color="auto"/>
              <w:left w:val="single" w:sz="4" w:space="0" w:color="auto"/>
              <w:right w:val="single" w:sz="4" w:space="0" w:color="auto"/>
            </w:tcBorders>
            <w:vAlign w:val="center"/>
          </w:tcPr>
          <w:p w14:paraId="651FAEB9" w14:textId="77777777" w:rsidR="00302BFE" w:rsidRPr="00412826" w:rsidRDefault="00302BFE" w:rsidP="00243B15">
            <w:pPr>
              <w:spacing w:after="0"/>
              <w:ind w:left="30" w:right="30"/>
              <w:jc w:val="center"/>
              <w:rPr>
                <w:sz w:val="18"/>
                <w:szCs w:val="18"/>
                <w:lang w:val="fr-FR"/>
              </w:rPr>
            </w:pPr>
            <w:r w:rsidRPr="00412826">
              <w:rPr>
                <w:sz w:val="18"/>
                <w:szCs w:val="18"/>
                <w:lang w:val="fr-FR"/>
              </w:rPr>
              <w:t>2</w:t>
            </w:r>
          </w:p>
        </w:tc>
        <w:tc>
          <w:tcPr>
            <w:tcW w:w="1501" w:type="dxa"/>
            <w:tcBorders>
              <w:top w:val="single" w:sz="4" w:space="0" w:color="auto"/>
              <w:left w:val="single" w:sz="4" w:space="0" w:color="auto"/>
              <w:bottom w:val="single" w:sz="4" w:space="0" w:color="auto"/>
              <w:right w:val="single" w:sz="4" w:space="0" w:color="auto"/>
            </w:tcBorders>
            <w:vAlign w:val="center"/>
          </w:tcPr>
          <w:p w14:paraId="0B7EEB4B" w14:textId="77777777" w:rsidR="00302BFE" w:rsidRPr="00412826" w:rsidRDefault="00302BFE" w:rsidP="00243B15">
            <w:pPr>
              <w:spacing w:after="0"/>
              <w:ind w:left="30" w:right="30"/>
              <w:jc w:val="center"/>
              <w:rPr>
                <w:sz w:val="18"/>
                <w:szCs w:val="18"/>
                <w:lang w:val="fr-FR"/>
              </w:rPr>
            </w:pPr>
            <w:r w:rsidRPr="00412826">
              <w:rPr>
                <w:sz w:val="18"/>
                <w:szCs w:val="18"/>
                <w:lang w:val="fr-FR"/>
              </w:rPr>
              <w:t>1</w:t>
            </w:r>
          </w:p>
        </w:tc>
        <w:tc>
          <w:tcPr>
            <w:tcW w:w="1127" w:type="dxa"/>
            <w:tcBorders>
              <w:top w:val="single" w:sz="4" w:space="0" w:color="auto"/>
              <w:left w:val="single" w:sz="4" w:space="0" w:color="auto"/>
              <w:bottom w:val="single" w:sz="4" w:space="0" w:color="auto"/>
              <w:right w:val="single" w:sz="4" w:space="0" w:color="auto"/>
            </w:tcBorders>
            <w:vAlign w:val="center"/>
          </w:tcPr>
          <w:p w14:paraId="1F1547EE" w14:textId="77777777" w:rsidR="00302BFE" w:rsidRPr="00412826" w:rsidRDefault="00302BFE" w:rsidP="00243B15">
            <w:pPr>
              <w:spacing w:after="0"/>
              <w:ind w:left="30" w:right="30"/>
              <w:jc w:val="center"/>
              <w:rPr>
                <w:sz w:val="18"/>
                <w:szCs w:val="18"/>
                <w:lang w:val="fr-FR"/>
              </w:rPr>
            </w:pPr>
            <w:r w:rsidRPr="00412826">
              <w:rPr>
                <w:sz w:val="18"/>
                <w:szCs w:val="18"/>
                <w:lang w:val="fr-FR"/>
              </w:rPr>
              <w:t>(</w:t>
            </w:r>
            <w:r>
              <w:rPr>
                <w:sz w:val="18"/>
                <w:szCs w:val="18"/>
                <w:lang w:val="fr-FR"/>
              </w:rPr>
              <w:t>not legally created</w:t>
            </w:r>
            <w:r w:rsidRPr="00412826">
              <w:rPr>
                <w:sz w:val="18"/>
                <w:szCs w:val="18"/>
                <w:lang w:val="fr-FR"/>
              </w:rPr>
              <w:t>)</w:t>
            </w:r>
          </w:p>
        </w:tc>
        <w:tc>
          <w:tcPr>
            <w:tcW w:w="2097" w:type="dxa"/>
            <w:tcBorders>
              <w:top w:val="single" w:sz="4" w:space="0" w:color="auto"/>
              <w:left w:val="single" w:sz="4" w:space="0" w:color="auto"/>
              <w:bottom w:val="single" w:sz="4" w:space="0" w:color="auto"/>
              <w:right w:val="single" w:sz="4" w:space="0" w:color="auto"/>
            </w:tcBorders>
            <w:vAlign w:val="center"/>
          </w:tcPr>
          <w:p w14:paraId="0E754B55" w14:textId="77777777" w:rsidR="00302BFE" w:rsidRPr="00412826" w:rsidRDefault="00302BFE" w:rsidP="00243B15">
            <w:pPr>
              <w:spacing w:after="0"/>
              <w:ind w:left="30" w:right="30"/>
              <w:jc w:val="center"/>
              <w:rPr>
                <w:sz w:val="18"/>
                <w:szCs w:val="18"/>
                <w:lang w:val="fr-FR"/>
              </w:rPr>
            </w:pPr>
            <w:r w:rsidRPr="00412826">
              <w:rPr>
                <w:sz w:val="18"/>
                <w:szCs w:val="18"/>
                <w:lang w:val="fr-FR"/>
              </w:rPr>
              <w:t>4</w:t>
            </w:r>
            <w:r>
              <w:rPr>
                <w:sz w:val="18"/>
                <w:szCs w:val="18"/>
                <w:lang w:val="fr-FR"/>
              </w:rPr>
              <w:t>,</w:t>
            </w:r>
            <w:r w:rsidRPr="00412826">
              <w:rPr>
                <w:sz w:val="18"/>
                <w:szCs w:val="18"/>
                <w:lang w:val="fr-FR"/>
              </w:rPr>
              <w:t>500</w:t>
            </w:r>
          </w:p>
        </w:tc>
        <w:tc>
          <w:tcPr>
            <w:tcW w:w="850" w:type="dxa"/>
            <w:tcBorders>
              <w:top w:val="single" w:sz="4" w:space="0" w:color="auto"/>
              <w:left w:val="single" w:sz="4" w:space="0" w:color="auto"/>
              <w:bottom w:val="single" w:sz="4" w:space="0" w:color="auto"/>
              <w:right w:val="single" w:sz="4" w:space="0" w:color="auto"/>
            </w:tcBorders>
            <w:vAlign w:val="center"/>
          </w:tcPr>
          <w:p w14:paraId="44D7B580" w14:textId="77777777" w:rsidR="00302BFE" w:rsidRPr="00412826" w:rsidRDefault="00302BFE" w:rsidP="00243B15">
            <w:pPr>
              <w:spacing w:after="0"/>
              <w:ind w:left="30" w:right="30"/>
              <w:jc w:val="center"/>
              <w:rPr>
                <w:sz w:val="18"/>
                <w:szCs w:val="18"/>
                <w:lang w:val="fr-FR"/>
              </w:rPr>
            </w:pPr>
            <w:r w:rsidRPr="00412826">
              <w:rPr>
                <w:sz w:val="18"/>
                <w:szCs w:val="18"/>
                <w:lang w:val="fr-FR"/>
              </w:rPr>
              <w:t>IV</w:t>
            </w:r>
          </w:p>
        </w:tc>
        <w:tc>
          <w:tcPr>
            <w:tcW w:w="1682" w:type="dxa"/>
            <w:vMerge/>
            <w:tcBorders>
              <w:left w:val="single" w:sz="4" w:space="0" w:color="auto"/>
              <w:right w:val="single" w:sz="4" w:space="0" w:color="auto"/>
            </w:tcBorders>
            <w:vAlign w:val="center"/>
          </w:tcPr>
          <w:p w14:paraId="225ABD21" w14:textId="77777777" w:rsidR="00302BFE" w:rsidRPr="00412826" w:rsidRDefault="00302BFE" w:rsidP="00243B15">
            <w:pPr>
              <w:spacing w:after="0"/>
              <w:rPr>
                <w:rFonts w:eastAsia="Times New Roman"/>
                <w:sz w:val="18"/>
                <w:szCs w:val="18"/>
                <w:lang w:val="fr-FR"/>
              </w:rPr>
            </w:pPr>
          </w:p>
        </w:tc>
      </w:tr>
      <w:tr w:rsidR="00302BFE" w:rsidRPr="00412826" w14:paraId="11546AF2" w14:textId="77777777" w:rsidTr="00243B15">
        <w:trPr>
          <w:trHeight w:val="50"/>
          <w:jc w:val="center"/>
        </w:trPr>
        <w:tc>
          <w:tcPr>
            <w:tcW w:w="2117" w:type="dxa"/>
            <w:vMerge/>
            <w:tcBorders>
              <w:left w:val="single" w:sz="4" w:space="0" w:color="auto"/>
              <w:bottom w:val="single" w:sz="4" w:space="0" w:color="auto"/>
              <w:right w:val="single" w:sz="4" w:space="0" w:color="auto"/>
            </w:tcBorders>
            <w:vAlign w:val="center"/>
          </w:tcPr>
          <w:p w14:paraId="09D57102" w14:textId="77777777" w:rsidR="00302BFE" w:rsidRPr="00412826" w:rsidRDefault="00302BFE" w:rsidP="00243B15">
            <w:pPr>
              <w:spacing w:after="0"/>
              <w:ind w:left="30" w:right="30"/>
              <w:rPr>
                <w:sz w:val="18"/>
                <w:szCs w:val="18"/>
                <w:lang w:val="fr-FR"/>
              </w:rPr>
            </w:pPr>
          </w:p>
        </w:tc>
        <w:tc>
          <w:tcPr>
            <w:tcW w:w="378" w:type="dxa"/>
            <w:vMerge/>
            <w:tcBorders>
              <w:left w:val="single" w:sz="4" w:space="0" w:color="auto"/>
              <w:bottom w:val="single" w:sz="4" w:space="0" w:color="auto"/>
              <w:right w:val="single" w:sz="4" w:space="0" w:color="auto"/>
            </w:tcBorders>
            <w:vAlign w:val="center"/>
          </w:tcPr>
          <w:p w14:paraId="5C5D113F" w14:textId="77777777" w:rsidR="00302BFE" w:rsidRPr="00412826" w:rsidRDefault="00302BFE" w:rsidP="00243B15">
            <w:pPr>
              <w:spacing w:after="0"/>
              <w:ind w:left="30" w:right="30"/>
              <w:jc w:val="center"/>
              <w:rPr>
                <w:sz w:val="18"/>
                <w:szCs w:val="18"/>
                <w:lang w:val="fr-FR"/>
              </w:rPr>
            </w:pPr>
          </w:p>
        </w:tc>
        <w:tc>
          <w:tcPr>
            <w:tcW w:w="1501" w:type="dxa"/>
            <w:tcBorders>
              <w:top w:val="single" w:sz="4" w:space="0" w:color="auto"/>
              <w:left w:val="single" w:sz="4" w:space="0" w:color="auto"/>
              <w:bottom w:val="single" w:sz="4" w:space="0" w:color="auto"/>
              <w:right w:val="single" w:sz="4" w:space="0" w:color="auto"/>
            </w:tcBorders>
            <w:vAlign w:val="center"/>
          </w:tcPr>
          <w:p w14:paraId="796B8E93" w14:textId="77777777" w:rsidR="00302BFE" w:rsidRPr="00412826" w:rsidRDefault="00302BFE" w:rsidP="00243B15">
            <w:pPr>
              <w:spacing w:after="0"/>
              <w:ind w:left="30" w:right="30"/>
              <w:jc w:val="center"/>
              <w:rPr>
                <w:sz w:val="18"/>
                <w:szCs w:val="18"/>
                <w:lang w:val="fr-FR"/>
              </w:rPr>
            </w:pPr>
            <w:r w:rsidRPr="00412826">
              <w:rPr>
                <w:sz w:val="18"/>
                <w:szCs w:val="18"/>
                <w:lang w:val="fr-FR"/>
              </w:rPr>
              <w:t>2</w:t>
            </w:r>
          </w:p>
        </w:tc>
        <w:tc>
          <w:tcPr>
            <w:tcW w:w="1127" w:type="dxa"/>
            <w:tcBorders>
              <w:top w:val="single" w:sz="4" w:space="0" w:color="auto"/>
              <w:left w:val="single" w:sz="4" w:space="0" w:color="auto"/>
              <w:bottom w:val="single" w:sz="4" w:space="0" w:color="auto"/>
              <w:right w:val="single" w:sz="4" w:space="0" w:color="auto"/>
            </w:tcBorders>
            <w:vAlign w:val="center"/>
          </w:tcPr>
          <w:p w14:paraId="2E49A4CD" w14:textId="77777777" w:rsidR="00302BFE" w:rsidRPr="00412826" w:rsidRDefault="00302BFE" w:rsidP="00243B15">
            <w:pPr>
              <w:spacing w:after="0"/>
              <w:ind w:left="30" w:right="30"/>
              <w:jc w:val="center"/>
              <w:rPr>
                <w:sz w:val="18"/>
                <w:szCs w:val="18"/>
                <w:lang w:val="fr-FR"/>
              </w:rPr>
            </w:pPr>
            <w:r w:rsidRPr="00412826">
              <w:rPr>
                <w:sz w:val="18"/>
                <w:szCs w:val="18"/>
                <w:lang w:val="fr-FR"/>
              </w:rPr>
              <w:t>(</w:t>
            </w:r>
            <w:r>
              <w:rPr>
                <w:sz w:val="18"/>
                <w:szCs w:val="18"/>
                <w:lang w:val="fr-FR"/>
              </w:rPr>
              <w:t>not legally created</w:t>
            </w:r>
            <w:r w:rsidRPr="00412826">
              <w:rPr>
                <w:sz w:val="18"/>
                <w:szCs w:val="18"/>
                <w:lang w:val="fr-FR"/>
              </w:rPr>
              <w:t>)</w:t>
            </w:r>
          </w:p>
        </w:tc>
        <w:tc>
          <w:tcPr>
            <w:tcW w:w="2097" w:type="dxa"/>
            <w:tcBorders>
              <w:top w:val="single" w:sz="4" w:space="0" w:color="auto"/>
              <w:left w:val="single" w:sz="4" w:space="0" w:color="auto"/>
              <w:bottom w:val="single" w:sz="4" w:space="0" w:color="auto"/>
              <w:right w:val="single" w:sz="4" w:space="0" w:color="auto"/>
            </w:tcBorders>
            <w:vAlign w:val="center"/>
          </w:tcPr>
          <w:p w14:paraId="5A4408A4" w14:textId="77777777" w:rsidR="00302BFE" w:rsidRPr="00412826" w:rsidRDefault="00302BFE" w:rsidP="00243B15">
            <w:pPr>
              <w:spacing w:after="0"/>
              <w:ind w:left="30" w:right="30"/>
              <w:jc w:val="center"/>
              <w:rPr>
                <w:sz w:val="18"/>
                <w:szCs w:val="18"/>
                <w:lang w:val="fr-FR"/>
              </w:rPr>
            </w:pPr>
            <w:r w:rsidRPr="00412826">
              <w:rPr>
                <w:sz w:val="18"/>
                <w:szCs w:val="18"/>
                <w:lang w:val="fr-FR"/>
              </w:rPr>
              <w:t>33</w:t>
            </w:r>
            <w:r>
              <w:rPr>
                <w:sz w:val="18"/>
                <w:szCs w:val="18"/>
                <w:lang w:val="fr-FR"/>
              </w:rPr>
              <w:t>,</w:t>
            </w:r>
            <w:r w:rsidRPr="00412826">
              <w:rPr>
                <w:sz w:val="18"/>
                <w:szCs w:val="18"/>
                <w:lang w:val="fr-FR"/>
              </w:rPr>
              <w:t>000</w:t>
            </w:r>
          </w:p>
        </w:tc>
        <w:tc>
          <w:tcPr>
            <w:tcW w:w="850" w:type="dxa"/>
            <w:tcBorders>
              <w:top w:val="single" w:sz="4" w:space="0" w:color="auto"/>
              <w:left w:val="single" w:sz="4" w:space="0" w:color="auto"/>
              <w:bottom w:val="single" w:sz="4" w:space="0" w:color="auto"/>
              <w:right w:val="single" w:sz="4" w:space="0" w:color="auto"/>
            </w:tcBorders>
            <w:vAlign w:val="center"/>
          </w:tcPr>
          <w:p w14:paraId="7F0C4FF2" w14:textId="77777777" w:rsidR="00302BFE" w:rsidRPr="00412826" w:rsidRDefault="00302BFE" w:rsidP="00243B15">
            <w:pPr>
              <w:spacing w:after="0"/>
              <w:ind w:left="30" w:right="30"/>
              <w:jc w:val="center"/>
              <w:rPr>
                <w:sz w:val="18"/>
                <w:szCs w:val="18"/>
                <w:lang w:val="fr-FR"/>
              </w:rPr>
            </w:pPr>
            <w:r w:rsidRPr="00412826">
              <w:rPr>
                <w:sz w:val="18"/>
                <w:szCs w:val="18"/>
                <w:lang w:val="fr-FR"/>
              </w:rPr>
              <w:t>IV</w:t>
            </w:r>
          </w:p>
        </w:tc>
        <w:tc>
          <w:tcPr>
            <w:tcW w:w="1682" w:type="dxa"/>
            <w:vMerge/>
            <w:tcBorders>
              <w:left w:val="single" w:sz="4" w:space="0" w:color="auto"/>
              <w:bottom w:val="single" w:sz="4" w:space="0" w:color="auto"/>
              <w:right w:val="single" w:sz="4" w:space="0" w:color="auto"/>
            </w:tcBorders>
            <w:vAlign w:val="center"/>
          </w:tcPr>
          <w:p w14:paraId="1663E4FD" w14:textId="77777777" w:rsidR="00302BFE" w:rsidRPr="00412826" w:rsidRDefault="00302BFE" w:rsidP="00243B15">
            <w:pPr>
              <w:spacing w:after="0"/>
              <w:rPr>
                <w:rFonts w:eastAsia="Times New Roman"/>
                <w:sz w:val="18"/>
                <w:szCs w:val="18"/>
                <w:lang w:val="fr-FR"/>
              </w:rPr>
            </w:pPr>
          </w:p>
        </w:tc>
      </w:tr>
      <w:tr w:rsidR="00302BFE" w:rsidRPr="007C1F07" w14:paraId="156DAC0F" w14:textId="77777777" w:rsidTr="00243B15">
        <w:trPr>
          <w:jc w:val="center"/>
        </w:trPr>
        <w:tc>
          <w:tcPr>
            <w:tcW w:w="2117" w:type="dxa"/>
            <w:tcBorders>
              <w:top w:val="single" w:sz="4" w:space="0" w:color="auto"/>
              <w:left w:val="single" w:sz="4" w:space="0" w:color="auto"/>
              <w:bottom w:val="single" w:sz="4" w:space="0" w:color="auto"/>
              <w:right w:val="single" w:sz="4" w:space="0" w:color="auto"/>
            </w:tcBorders>
            <w:vAlign w:val="center"/>
            <w:hideMark/>
          </w:tcPr>
          <w:p w14:paraId="6E977FC2" w14:textId="77777777" w:rsidR="00302BFE" w:rsidRPr="00412826" w:rsidRDefault="00302BFE" w:rsidP="00243B15">
            <w:pPr>
              <w:spacing w:after="0"/>
              <w:ind w:left="30" w:right="30"/>
              <w:rPr>
                <w:sz w:val="18"/>
                <w:szCs w:val="18"/>
                <w:lang w:val="fr-FR"/>
              </w:rPr>
            </w:pPr>
            <w:r w:rsidRPr="00D47BC5">
              <w:rPr>
                <w:sz w:val="18"/>
                <w:szCs w:val="18"/>
                <w:lang w:val="fr-FR"/>
              </w:rPr>
              <w:t xml:space="preserve">Village hunting areas </w:t>
            </w:r>
            <w:r w:rsidRPr="00412826">
              <w:rPr>
                <w:sz w:val="18"/>
                <w:szCs w:val="18"/>
                <w:lang w:val="fr-FR"/>
              </w:rPr>
              <w:t>(ZOVIC)</w:t>
            </w:r>
          </w:p>
        </w:tc>
        <w:tc>
          <w:tcPr>
            <w:tcW w:w="378" w:type="dxa"/>
            <w:tcBorders>
              <w:top w:val="single" w:sz="4" w:space="0" w:color="auto"/>
              <w:left w:val="single" w:sz="4" w:space="0" w:color="auto"/>
              <w:bottom w:val="single" w:sz="4" w:space="0" w:color="auto"/>
              <w:right w:val="single" w:sz="4" w:space="0" w:color="auto"/>
            </w:tcBorders>
            <w:vAlign w:val="center"/>
            <w:hideMark/>
          </w:tcPr>
          <w:p w14:paraId="450D1802" w14:textId="77777777" w:rsidR="00302BFE" w:rsidRPr="00412826" w:rsidRDefault="00302BFE" w:rsidP="00243B15">
            <w:pPr>
              <w:spacing w:after="0"/>
              <w:ind w:left="30" w:right="30"/>
              <w:jc w:val="center"/>
              <w:rPr>
                <w:sz w:val="18"/>
                <w:szCs w:val="18"/>
                <w:lang w:val="fr-FR"/>
              </w:rPr>
            </w:pPr>
            <w:r w:rsidRPr="00412826">
              <w:rPr>
                <w:sz w:val="18"/>
                <w:szCs w:val="18"/>
                <w:lang w:val="fr-FR"/>
              </w:rPr>
              <w:t>60</w:t>
            </w:r>
          </w:p>
        </w:tc>
        <w:tc>
          <w:tcPr>
            <w:tcW w:w="1501" w:type="dxa"/>
            <w:tcBorders>
              <w:top w:val="single" w:sz="4" w:space="0" w:color="auto"/>
              <w:left w:val="single" w:sz="4" w:space="0" w:color="auto"/>
              <w:bottom w:val="single" w:sz="4" w:space="0" w:color="auto"/>
              <w:right w:val="single" w:sz="4" w:space="0" w:color="auto"/>
            </w:tcBorders>
            <w:vAlign w:val="center"/>
          </w:tcPr>
          <w:p w14:paraId="225ED92C" w14:textId="77777777" w:rsidR="00302BFE" w:rsidRPr="00412826" w:rsidRDefault="00302BFE" w:rsidP="00243B15">
            <w:pPr>
              <w:spacing w:after="0"/>
              <w:ind w:left="30" w:right="30"/>
              <w:jc w:val="center"/>
              <w:rPr>
                <w:sz w:val="18"/>
                <w:szCs w:val="18"/>
                <w:lang w:val="fr-FR"/>
              </w:rPr>
            </w:pPr>
          </w:p>
        </w:tc>
        <w:tc>
          <w:tcPr>
            <w:tcW w:w="1127" w:type="dxa"/>
            <w:tcBorders>
              <w:top w:val="single" w:sz="4" w:space="0" w:color="auto"/>
              <w:left w:val="single" w:sz="4" w:space="0" w:color="auto"/>
              <w:bottom w:val="single" w:sz="4" w:space="0" w:color="auto"/>
              <w:right w:val="single" w:sz="4" w:space="0" w:color="auto"/>
            </w:tcBorders>
            <w:vAlign w:val="center"/>
          </w:tcPr>
          <w:p w14:paraId="2BBE3BA9" w14:textId="77777777" w:rsidR="00302BFE" w:rsidRPr="00412826" w:rsidRDefault="00302BFE" w:rsidP="00243B15">
            <w:pPr>
              <w:spacing w:after="0"/>
              <w:ind w:left="30" w:right="30"/>
              <w:jc w:val="center"/>
              <w:rPr>
                <w:sz w:val="18"/>
                <w:szCs w:val="18"/>
                <w:lang w:val="fr-FR"/>
              </w:rPr>
            </w:pPr>
            <w:r w:rsidRPr="00412826">
              <w:rPr>
                <w:sz w:val="18"/>
                <w:szCs w:val="18"/>
                <w:lang w:val="fr-FR"/>
              </w:rPr>
              <w:t>1989 (</w:t>
            </w:r>
            <w:r>
              <w:rPr>
                <w:sz w:val="18"/>
                <w:szCs w:val="18"/>
                <w:lang w:val="fr-FR"/>
              </w:rPr>
              <w:t>for the most part</w:t>
            </w:r>
            <w:r w:rsidRPr="00412826">
              <w:rPr>
                <w:sz w:val="18"/>
                <w:szCs w:val="18"/>
                <w:lang w:val="fr-FR"/>
              </w:rPr>
              <w:t>)</w:t>
            </w:r>
          </w:p>
        </w:tc>
        <w:tc>
          <w:tcPr>
            <w:tcW w:w="2097" w:type="dxa"/>
            <w:tcBorders>
              <w:top w:val="single" w:sz="4" w:space="0" w:color="auto"/>
              <w:left w:val="single" w:sz="4" w:space="0" w:color="auto"/>
              <w:bottom w:val="single" w:sz="4" w:space="0" w:color="auto"/>
              <w:right w:val="single" w:sz="4" w:space="0" w:color="auto"/>
            </w:tcBorders>
            <w:vAlign w:val="center"/>
            <w:hideMark/>
          </w:tcPr>
          <w:p w14:paraId="3C039198" w14:textId="77777777" w:rsidR="00302BFE" w:rsidRPr="00412826" w:rsidRDefault="00302BFE" w:rsidP="00243B15">
            <w:pPr>
              <w:spacing w:after="0"/>
              <w:ind w:left="30" w:right="30"/>
              <w:jc w:val="center"/>
              <w:rPr>
                <w:sz w:val="18"/>
                <w:szCs w:val="18"/>
                <w:lang w:val="fr-FR"/>
              </w:rPr>
            </w:pPr>
            <w:r w:rsidRPr="00412826">
              <w:rPr>
                <w:sz w:val="18"/>
                <w:szCs w:val="18"/>
                <w:lang w:val="fr-FR"/>
              </w:rPr>
              <w:t>12</w:t>
            </w:r>
            <w:r>
              <w:rPr>
                <w:sz w:val="18"/>
                <w:szCs w:val="18"/>
                <w:lang w:val="fr-FR"/>
              </w:rPr>
              <w:t>,</w:t>
            </w:r>
            <w:r w:rsidRPr="00412826">
              <w:rPr>
                <w:sz w:val="18"/>
                <w:szCs w:val="18"/>
                <w:lang w:val="fr-FR"/>
              </w:rPr>
              <w:t>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FF54DD5" w14:textId="77777777" w:rsidR="00302BFE" w:rsidRPr="00412826" w:rsidRDefault="00302BFE" w:rsidP="00243B15">
            <w:pPr>
              <w:spacing w:after="0"/>
              <w:ind w:left="30" w:right="30"/>
              <w:jc w:val="center"/>
              <w:rPr>
                <w:sz w:val="18"/>
                <w:szCs w:val="18"/>
                <w:lang w:val="fr-FR"/>
              </w:rPr>
            </w:pPr>
            <w:r w:rsidRPr="00412826">
              <w:rPr>
                <w:sz w:val="18"/>
                <w:szCs w:val="18"/>
                <w:lang w:val="fr-FR"/>
              </w:rPr>
              <w:t>VI</w:t>
            </w:r>
          </w:p>
        </w:tc>
        <w:tc>
          <w:tcPr>
            <w:tcW w:w="1682" w:type="dxa"/>
            <w:tcBorders>
              <w:top w:val="single" w:sz="4" w:space="0" w:color="auto"/>
              <w:left w:val="single" w:sz="4" w:space="0" w:color="auto"/>
              <w:bottom w:val="single" w:sz="4" w:space="0" w:color="auto"/>
              <w:right w:val="single" w:sz="4" w:space="0" w:color="auto"/>
            </w:tcBorders>
            <w:vAlign w:val="center"/>
            <w:hideMark/>
          </w:tcPr>
          <w:p w14:paraId="30B7C783" w14:textId="77777777" w:rsidR="00302BFE" w:rsidRPr="007C1F07" w:rsidRDefault="00302BFE" w:rsidP="00243B15">
            <w:pPr>
              <w:spacing w:after="0"/>
              <w:ind w:left="30" w:right="30"/>
              <w:jc w:val="left"/>
              <w:rPr>
                <w:sz w:val="18"/>
                <w:szCs w:val="18"/>
                <w:lang w:val="en-CA"/>
              </w:rPr>
            </w:pPr>
            <w:r w:rsidRPr="007C1F07">
              <w:rPr>
                <w:sz w:val="18"/>
                <w:szCs w:val="18"/>
                <w:lang w:val="en-CA"/>
              </w:rPr>
              <w:t>Local authorities and communities under various arrangements</w:t>
            </w:r>
          </w:p>
        </w:tc>
      </w:tr>
      <w:tr w:rsidR="00302BFE" w:rsidRPr="00412826" w14:paraId="01616E9F" w14:textId="77777777" w:rsidTr="00243B15">
        <w:trPr>
          <w:jc w:val="center"/>
        </w:trPr>
        <w:tc>
          <w:tcPr>
            <w:tcW w:w="7220" w:type="dxa"/>
            <w:gridSpan w:val="5"/>
            <w:tcBorders>
              <w:top w:val="single" w:sz="4" w:space="0" w:color="auto"/>
              <w:left w:val="single" w:sz="4" w:space="0" w:color="auto"/>
              <w:bottom w:val="single" w:sz="4" w:space="0" w:color="auto"/>
              <w:right w:val="single" w:sz="4" w:space="0" w:color="auto"/>
            </w:tcBorders>
            <w:shd w:val="clear" w:color="auto" w:fill="E7E6E6"/>
            <w:vAlign w:val="center"/>
          </w:tcPr>
          <w:p w14:paraId="2B6E6928" w14:textId="77777777" w:rsidR="00302BFE" w:rsidRPr="00412826" w:rsidRDefault="00302BFE" w:rsidP="00243B15">
            <w:pPr>
              <w:spacing w:after="0"/>
              <w:ind w:left="30" w:right="30"/>
              <w:jc w:val="center"/>
              <w:rPr>
                <w:sz w:val="18"/>
                <w:szCs w:val="18"/>
                <w:lang w:val="fr-FR"/>
              </w:rPr>
            </w:pPr>
            <w:r w:rsidRPr="007C1F07">
              <w:rPr>
                <w:sz w:val="18"/>
                <w:szCs w:val="18"/>
                <w:lang w:val="fr-FR"/>
              </w:rPr>
              <w:t>International Designations</w:t>
            </w:r>
          </w:p>
        </w:tc>
        <w:tc>
          <w:tcPr>
            <w:tcW w:w="850" w:type="dxa"/>
            <w:tcBorders>
              <w:top w:val="single" w:sz="4" w:space="0" w:color="auto"/>
              <w:left w:val="single" w:sz="4" w:space="0" w:color="auto"/>
              <w:bottom w:val="nil"/>
              <w:right w:val="nil"/>
            </w:tcBorders>
            <w:vAlign w:val="center"/>
          </w:tcPr>
          <w:p w14:paraId="45C4F5BA" w14:textId="77777777" w:rsidR="00302BFE" w:rsidRPr="00412826" w:rsidRDefault="00302BFE" w:rsidP="00243B15">
            <w:pPr>
              <w:spacing w:after="0"/>
              <w:ind w:left="30" w:right="30"/>
              <w:jc w:val="center"/>
              <w:rPr>
                <w:sz w:val="18"/>
                <w:szCs w:val="18"/>
                <w:lang w:val="fr-FR"/>
              </w:rPr>
            </w:pPr>
          </w:p>
        </w:tc>
        <w:tc>
          <w:tcPr>
            <w:tcW w:w="1682" w:type="dxa"/>
            <w:tcBorders>
              <w:top w:val="single" w:sz="4" w:space="0" w:color="auto"/>
              <w:left w:val="nil"/>
              <w:bottom w:val="nil"/>
              <w:right w:val="nil"/>
            </w:tcBorders>
            <w:vAlign w:val="center"/>
          </w:tcPr>
          <w:p w14:paraId="3013C460" w14:textId="77777777" w:rsidR="00302BFE" w:rsidRPr="00412826" w:rsidRDefault="00302BFE" w:rsidP="00243B15">
            <w:pPr>
              <w:spacing w:after="0"/>
              <w:ind w:left="30" w:right="30"/>
              <w:rPr>
                <w:sz w:val="18"/>
                <w:szCs w:val="18"/>
                <w:lang w:val="fr-FR"/>
              </w:rPr>
            </w:pPr>
          </w:p>
        </w:tc>
      </w:tr>
      <w:tr w:rsidR="00302BFE" w:rsidRPr="00412826" w14:paraId="1E8756DF" w14:textId="77777777" w:rsidTr="00243B15">
        <w:trPr>
          <w:jc w:val="center"/>
        </w:trPr>
        <w:tc>
          <w:tcPr>
            <w:tcW w:w="2117" w:type="dxa"/>
            <w:vMerge w:val="restart"/>
            <w:tcBorders>
              <w:top w:val="single" w:sz="4" w:space="0" w:color="auto"/>
              <w:left w:val="single" w:sz="4" w:space="0" w:color="auto"/>
              <w:right w:val="single" w:sz="4" w:space="0" w:color="auto"/>
            </w:tcBorders>
            <w:vAlign w:val="center"/>
          </w:tcPr>
          <w:p w14:paraId="11DD71C7" w14:textId="77777777" w:rsidR="00302BFE" w:rsidRPr="00412826" w:rsidRDefault="00302BFE" w:rsidP="00243B15">
            <w:pPr>
              <w:spacing w:after="0"/>
              <w:ind w:left="30" w:right="30"/>
              <w:rPr>
                <w:sz w:val="18"/>
                <w:szCs w:val="18"/>
                <w:lang w:val="fr-FR"/>
              </w:rPr>
            </w:pPr>
            <w:r w:rsidRPr="00D47BC5">
              <w:rPr>
                <w:sz w:val="18"/>
                <w:szCs w:val="18"/>
                <w:lang w:val="fr-FR"/>
              </w:rPr>
              <w:t>Biosphere Reserves</w:t>
            </w:r>
          </w:p>
        </w:tc>
        <w:tc>
          <w:tcPr>
            <w:tcW w:w="378" w:type="dxa"/>
            <w:vMerge w:val="restart"/>
            <w:tcBorders>
              <w:top w:val="single" w:sz="4" w:space="0" w:color="auto"/>
              <w:left w:val="single" w:sz="4" w:space="0" w:color="auto"/>
              <w:right w:val="single" w:sz="4" w:space="0" w:color="auto"/>
            </w:tcBorders>
            <w:vAlign w:val="center"/>
          </w:tcPr>
          <w:p w14:paraId="7762929E" w14:textId="77777777" w:rsidR="00302BFE" w:rsidRPr="00412826" w:rsidRDefault="00302BFE" w:rsidP="00243B15">
            <w:pPr>
              <w:spacing w:after="0"/>
              <w:ind w:left="30" w:right="30"/>
              <w:jc w:val="center"/>
              <w:rPr>
                <w:sz w:val="18"/>
                <w:szCs w:val="18"/>
                <w:lang w:val="fr-FR"/>
              </w:rPr>
            </w:pPr>
            <w:r w:rsidRPr="00412826">
              <w:rPr>
                <w:sz w:val="18"/>
                <w:szCs w:val="18"/>
                <w:lang w:val="fr-FR"/>
              </w:rPr>
              <w:t>2</w:t>
            </w:r>
          </w:p>
        </w:tc>
        <w:tc>
          <w:tcPr>
            <w:tcW w:w="1501" w:type="dxa"/>
            <w:tcBorders>
              <w:top w:val="single" w:sz="4" w:space="0" w:color="auto"/>
              <w:left w:val="single" w:sz="4" w:space="0" w:color="auto"/>
              <w:bottom w:val="single" w:sz="4" w:space="0" w:color="auto"/>
              <w:right w:val="single" w:sz="4" w:space="0" w:color="auto"/>
            </w:tcBorders>
            <w:vAlign w:val="center"/>
          </w:tcPr>
          <w:p w14:paraId="1B9FAD00" w14:textId="77777777" w:rsidR="00302BFE" w:rsidRPr="00412826" w:rsidRDefault="00302BFE" w:rsidP="00243B15">
            <w:pPr>
              <w:spacing w:after="0"/>
              <w:ind w:left="30" w:right="30"/>
              <w:jc w:val="center"/>
              <w:rPr>
                <w:sz w:val="18"/>
                <w:szCs w:val="18"/>
                <w:lang w:val="fr-FR"/>
              </w:rPr>
            </w:pPr>
            <w:r w:rsidRPr="00412826">
              <w:rPr>
                <w:sz w:val="18"/>
                <w:szCs w:val="18"/>
                <w:lang w:val="fr-FR"/>
              </w:rPr>
              <w:t>Mare aux Hippopotames</w:t>
            </w:r>
          </w:p>
        </w:tc>
        <w:tc>
          <w:tcPr>
            <w:tcW w:w="1127" w:type="dxa"/>
            <w:tcBorders>
              <w:top w:val="single" w:sz="4" w:space="0" w:color="auto"/>
              <w:left w:val="single" w:sz="4" w:space="0" w:color="auto"/>
              <w:bottom w:val="single" w:sz="4" w:space="0" w:color="auto"/>
              <w:right w:val="single" w:sz="4" w:space="0" w:color="auto"/>
            </w:tcBorders>
            <w:vAlign w:val="center"/>
          </w:tcPr>
          <w:p w14:paraId="57BCA2F4" w14:textId="77777777" w:rsidR="00302BFE" w:rsidRPr="00412826" w:rsidRDefault="00302BFE" w:rsidP="00243B15">
            <w:pPr>
              <w:spacing w:after="0"/>
              <w:ind w:left="30" w:right="30"/>
              <w:jc w:val="center"/>
              <w:rPr>
                <w:sz w:val="18"/>
                <w:szCs w:val="18"/>
                <w:lang w:val="fr-FR"/>
              </w:rPr>
            </w:pPr>
            <w:r w:rsidRPr="00412826">
              <w:rPr>
                <w:sz w:val="18"/>
                <w:szCs w:val="18"/>
                <w:lang w:val="fr-FR"/>
              </w:rPr>
              <w:t>1986</w:t>
            </w:r>
          </w:p>
        </w:tc>
        <w:tc>
          <w:tcPr>
            <w:tcW w:w="2097" w:type="dxa"/>
            <w:tcBorders>
              <w:top w:val="single" w:sz="4" w:space="0" w:color="auto"/>
              <w:left w:val="single" w:sz="4" w:space="0" w:color="auto"/>
              <w:bottom w:val="single" w:sz="4" w:space="0" w:color="auto"/>
              <w:right w:val="single" w:sz="4" w:space="0" w:color="auto"/>
            </w:tcBorders>
            <w:vAlign w:val="center"/>
          </w:tcPr>
          <w:p w14:paraId="7AC44F31" w14:textId="77777777" w:rsidR="00302BFE" w:rsidRPr="00412826" w:rsidRDefault="00302BFE" w:rsidP="00243B15">
            <w:pPr>
              <w:spacing w:after="0"/>
              <w:ind w:left="30" w:right="30"/>
              <w:jc w:val="center"/>
              <w:rPr>
                <w:sz w:val="18"/>
                <w:szCs w:val="18"/>
                <w:lang w:val="fr-FR"/>
              </w:rPr>
            </w:pPr>
            <w:r w:rsidRPr="00412826">
              <w:rPr>
                <w:sz w:val="18"/>
                <w:szCs w:val="18"/>
                <w:lang w:val="fr-FR"/>
              </w:rPr>
              <w:t>19</w:t>
            </w:r>
            <w:r>
              <w:rPr>
                <w:sz w:val="18"/>
                <w:szCs w:val="18"/>
                <w:lang w:val="fr-FR"/>
              </w:rPr>
              <w:t>,</w:t>
            </w:r>
            <w:r w:rsidRPr="00412826">
              <w:rPr>
                <w:sz w:val="18"/>
                <w:szCs w:val="18"/>
                <w:lang w:val="fr-FR"/>
              </w:rPr>
              <w:t>200</w:t>
            </w:r>
          </w:p>
        </w:tc>
        <w:tc>
          <w:tcPr>
            <w:tcW w:w="850" w:type="dxa"/>
            <w:tcBorders>
              <w:top w:val="nil"/>
              <w:left w:val="single" w:sz="4" w:space="0" w:color="auto"/>
              <w:bottom w:val="nil"/>
              <w:right w:val="nil"/>
            </w:tcBorders>
            <w:vAlign w:val="center"/>
          </w:tcPr>
          <w:p w14:paraId="581F01DC" w14:textId="77777777" w:rsidR="00302BFE" w:rsidRPr="00412826" w:rsidRDefault="00302BFE" w:rsidP="00243B15">
            <w:pPr>
              <w:spacing w:after="0"/>
              <w:ind w:left="30" w:right="30"/>
              <w:jc w:val="center"/>
              <w:rPr>
                <w:sz w:val="18"/>
                <w:szCs w:val="18"/>
                <w:lang w:val="fr-FR"/>
              </w:rPr>
            </w:pPr>
          </w:p>
        </w:tc>
        <w:tc>
          <w:tcPr>
            <w:tcW w:w="1682" w:type="dxa"/>
            <w:tcBorders>
              <w:top w:val="nil"/>
              <w:left w:val="nil"/>
              <w:bottom w:val="nil"/>
              <w:right w:val="nil"/>
            </w:tcBorders>
            <w:vAlign w:val="center"/>
          </w:tcPr>
          <w:p w14:paraId="389746E3" w14:textId="77777777" w:rsidR="00302BFE" w:rsidRPr="00412826" w:rsidRDefault="00302BFE" w:rsidP="00243B15">
            <w:pPr>
              <w:spacing w:after="0"/>
              <w:ind w:left="30" w:right="30"/>
              <w:rPr>
                <w:sz w:val="18"/>
                <w:szCs w:val="18"/>
                <w:lang w:val="fr-FR"/>
              </w:rPr>
            </w:pPr>
          </w:p>
        </w:tc>
      </w:tr>
      <w:tr w:rsidR="00302BFE" w:rsidRPr="00412826" w14:paraId="2DCC22F9" w14:textId="77777777" w:rsidTr="00243B15">
        <w:trPr>
          <w:jc w:val="center"/>
        </w:trPr>
        <w:tc>
          <w:tcPr>
            <w:tcW w:w="2117" w:type="dxa"/>
            <w:vMerge/>
            <w:tcBorders>
              <w:left w:val="single" w:sz="4" w:space="0" w:color="auto"/>
              <w:bottom w:val="single" w:sz="4" w:space="0" w:color="auto"/>
              <w:right w:val="single" w:sz="4" w:space="0" w:color="auto"/>
            </w:tcBorders>
            <w:vAlign w:val="center"/>
          </w:tcPr>
          <w:p w14:paraId="491C6BC6" w14:textId="77777777" w:rsidR="00302BFE" w:rsidRPr="00412826" w:rsidRDefault="00302BFE" w:rsidP="00243B15">
            <w:pPr>
              <w:spacing w:after="0"/>
              <w:ind w:left="30" w:right="30"/>
              <w:rPr>
                <w:sz w:val="18"/>
                <w:szCs w:val="18"/>
                <w:lang w:val="fr-FR"/>
              </w:rPr>
            </w:pPr>
          </w:p>
        </w:tc>
        <w:tc>
          <w:tcPr>
            <w:tcW w:w="378" w:type="dxa"/>
            <w:vMerge/>
            <w:tcBorders>
              <w:left w:val="single" w:sz="4" w:space="0" w:color="auto"/>
              <w:bottom w:val="single" w:sz="4" w:space="0" w:color="auto"/>
              <w:right w:val="single" w:sz="4" w:space="0" w:color="auto"/>
            </w:tcBorders>
            <w:vAlign w:val="center"/>
          </w:tcPr>
          <w:p w14:paraId="625F5EB3" w14:textId="77777777" w:rsidR="00302BFE" w:rsidRPr="00412826" w:rsidRDefault="00302BFE" w:rsidP="00243B15">
            <w:pPr>
              <w:spacing w:after="0"/>
              <w:ind w:left="30" w:right="30"/>
              <w:jc w:val="center"/>
              <w:rPr>
                <w:sz w:val="18"/>
                <w:szCs w:val="18"/>
                <w:lang w:val="fr-FR"/>
              </w:rPr>
            </w:pPr>
          </w:p>
        </w:tc>
        <w:tc>
          <w:tcPr>
            <w:tcW w:w="1501" w:type="dxa"/>
            <w:tcBorders>
              <w:top w:val="single" w:sz="4" w:space="0" w:color="auto"/>
              <w:left w:val="single" w:sz="4" w:space="0" w:color="auto"/>
              <w:bottom w:val="single" w:sz="4" w:space="0" w:color="auto"/>
              <w:right w:val="single" w:sz="4" w:space="0" w:color="auto"/>
            </w:tcBorders>
            <w:vAlign w:val="center"/>
          </w:tcPr>
          <w:p w14:paraId="7FC0D5B6" w14:textId="77777777" w:rsidR="00302BFE" w:rsidRPr="00412826" w:rsidRDefault="00302BFE" w:rsidP="00243B15">
            <w:pPr>
              <w:spacing w:after="0"/>
              <w:ind w:left="30" w:right="30"/>
              <w:jc w:val="center"/>
              <w:rPr>
                <w:sz w:val="18"/>
                <w:szCs w:val="18"/>
                <w:lang w:val="fr-FR"/>
              </w:rPr>
            </w:pPr>
            <w:r w:rsidRPr="00412826">
              <w:rPr>
                <w:sz w:val="18"/>
                <w:szCs w:val="18"/>
                <w:lang w:val="fr-FR"/>
              </w:rPr>
              <w:t>W (transfrontalière)</w:t>
            </w:r>
          </w:p>
        </w:tc>
        <w:tc>
          <w:tcPr>
            <w:tcW w:w="1127" w:type="dxa"/>
            <w:tcBorders>
              <w:top w:val="single" w:sz="4" w:space="0" w:color="auto"/>
              <w:left w:val="single" w:sz="4" w:space="0" w:color="auto"/>
              <w:bottom w:val="single" w:sz="4" w:space="0" w:color="auto"/>
              <w:right w:val="single" w:sz="4" w:space="0" w:color="auto"/>
            </w:tcBorders>
            <w:vAlign w:val="center"/>
          </w:tcPr>
          <w:p w14:paraId="23D39B68" w14:textId="77777777" w:rsidR="00302BFE" w:rsidRPr="00412826" w:rsidRDefault="00302BFE" w:rsidP="00243B15">
            <w:pPr>
              <w:spacing w:after="0"/>
              <w:ind w:left="30" w:right="30"/>
              <w:jc w:val="center"/>
              <w:rPr>
                <w:sz w:val="18"/>
                <w:szCs w:val="18"/>
                <w:lang w:val="fr-FR"/>
              </w:rPr>
            </w:pPr>
            <w:r w:rsidRPr="00412826">
              <w:rPr>
                <w:sz w:val="18"/>
                <w:szCs w:val="18"/>
                <w:lang w:val="fr-FR"/>
              </w:rPr>
              <w:t>2002</w:t>
            </w:r>
          </w:p>
        </w:tc>
        <w:tc>
          <w:tcPr>
            <w:tcW w:w="2097" w:type="dxa"/>
            <w:tcBorders>
              <w:top w:val="single" w:sz="4" w:space="0" w:color="auto"/>
              <w:left w:val="single" w:sz="4" w:space="0" w:color="auto"/>
              <w:bottom w:val="single" w:sz="4" w:space="0" w:color="auto"/>
              <w:right w:val="single" w:sz="4" w:space="0" w:color="auto"/>
            </w:tcBorders>
            <w:vAlign w:val="center"/>
          </w:tcPr>
          <w:p w14:paraId="07FDBB07" w14:textId="77777777" w:rsidR="00302BFE" w:rsidRPr="00412826" w:rsidRDefault="00302BFE" w:rsidP="00243B15">
            <w:pPr>
              <w:spacing w:after="0"/>
              <w:ind w:left="30" w:right="30"/>
              <w:jc w:val="center"/>
              <w:rPr>
                <w:sz w:val="18"/>
                <w:szCs w:val="18"/>
                <w:lang w:val="fr-FR"/>
              </w:rPr>
            </w:pPr>
            <w:r w:rsidRPr="00412826">
              <w:rPr>
                <w:sz w:val="18"/>
                <w:szCs w:val="18"/>
                <w:lang w:val="fr-FR"/>
              </w:rPr>
              <w:t>235</w:t>
            </w:r>
            <w:r>
              <w:rPr>
                <w:sz w:val="18"/>
                <w:szCs w:val="18"/>
                <w:lang w:val="fr-FR"/>
              </w:rPr>
              <w:t>,</w:t>
            </w:r>
            <w:r w:rsidRPr="00412826">
              <w:rPr>
                <w:sz w:val="18"/>
                <w:szCs w:val="18"/>
                <w:lang w:val="fr-FR"/>
              </w:rPr>
              <w:t>000</w:t>
            </w:r>
          </w:p>
        </w:tc>
        <w:tc>
          <w:tcPr>
            <w:tcW w:w="850" w:type="dxa"/>
            <w:tcBorders>
              <w:top w:val="nil"/>
              <w:left w:val="single" w:sz="4" w:space="0" w:color="auto"/>
              <w:bottom w:val="nil"/>
              <w:right w:val="nil"/>
            </w:tcBorders>
            <w:vAlign w:val="center"/>
          </w:tcPr>
          <w:p w14:paraId="2BFCB1A5" w14:textId="77777777" w:rsidR="00302BFE" w:rsidRPr="00412826" w:rsidRDefault="00302BFE" w:rsidP="00243B15">
            <w:pPr>
              <w:spacing w:after="0"/>
              <w:ind w:left="30" w:right="30"/>
              <w:jc w:val="center"/>
              <w:rPr>
                <w:sz w:val="18"/>
                <w:szCs w:val="18"/>
                <w:highlight w:val="yellow"/>
                <w:lang w:val="fr-FR"/>
              </w:rPr>
            </w:pPr>
          </w:p>
        </w:tc>
        <w:tc>
          <w:tcPr>
            <w:tcW w:w="1682" w:type="dxa"/>
            <w:tcBorders>
              <w:top w:val="nil"/>
              <w:left w:val="nil"/>
              <w:bottom w:val="nil"/>
              <w:right w:val="nil"/>
            </w:tcBorders>
            <w:vAlign w:val="center"/>
          </w:tcPr>
          <w:p w14:paraId="1837BFF7" w14:textId="77777777" w:rsidR="00302BFE" w:rsidRPr="00412826" w:rsidRDefault="00302BFE" w:rsidP="00243B15">
            <w:pPr>
              <w:spacing w:after="0"/>
              <w:ind w:left="30" w:right="30"/>
              <w:rPr>
                <w:sz w:val="18"/>
                <w:szCs w:val="18"/>
                <w:lang w:val="fr-FR"/>
              </w:rPr>
            </w:pPr>
          </w:p>
        </w:tc>
      </w:tr>
      <w:tr w:rsidR="00302BFE" w:rsidRPr="00412826" w14:paraId="25791FC8" w14:textId="77777777" w:rsidTr="00243B15">
        <w:trPr>
          <w:jc w:val="center"/>
        </w:trPr>
        <w:tc>
          <w:tcPr>
            <w:tcW w:w="2117" w:type="dxa"/>
            <w:vMerge w:val="restart"/>
            <w:tcBorders>
              <w:top w:val="single" w:sz="4" w:space="0" w:color="auto"/>
              <w:left w:val="single" w:sz="4" w:space="0" w:color="auto"/>
              <w:right w:val="single" w:sz="4" w:space="0" w:color="auto"/>
            </w:tcBorders>
            <w:vAlign w:val="center"/>
          </w:tcPr>
          <w:p w14:paraId="0B6685CC" w14:textId="77777777" w:rsidR="00302BFE" w:rsidRPr="00412826" w:rsidRDefault="00302BFE" w:rsidP="00243B15">
            <w:pPr>
              <w:spacing w:after="0"/>
              <w:ind w:left="30" w:right="30"/>
              <w:rPr>
                <w:sz w:val="18"/>
                <w:szCs w:val="18"/>
                <w:lang w:val="fr-FR"/>
              </w:rPr>
            </w:pPr>
            <w:r w:rsidRPr="00412826">
              <w:rPr>
                <w:sz w:val="18"/>
                <w:szCs w:val="18"/>
                <w:lang w:val="fr-FR"/>
              </w:rPr>
              <w:t>Ramsar Sites</w:t>
            </w:r>
          </w:p>
        </w:tc>
        <w:tc>
          <w:tcPr>
            <w:tcW w:w="378" w:type="dxa"/>
            <w:vMerge w:val="restart"/>
            <w:tcBorders>
              <w:top w:val="single" w:sz="4" w:space="0" w:color="auto"/>
              <w:left w:val="single" w:sz="4" w:space="0" w:color="auto"/>
              <w:right w:val="single" w:sz="4" w:space="0" w:color="auto"/>
            </w:tcBorders>
            <w:vAlign w:val="center"/>
          </w:tcPr>
          <w:p w14:paraId="7727A6B1" w14:textId="77777777" w:rsidR="00302BFE" w:rsidRPr="00412826" w:rsidRDefault="00302BFE" w:rsidP="00243B15">
            <w:pPr>
              <w:spacing w:after="0"/>
              <w:ind w:left="30" w:right="30"/>
              <w:jc w:val="center"/>
              <w:rPr>
                <w:sz w:val="18"/>
                <w:szCs w:val="18"/>
                <w:lang w:val="fr-FR"/>
              </w:rPr>
            </w:pPr>
            <w:r w:rsidRPr="00412826">
              <w:rPr>
                <w:sz w:val="18"/>
                <w:szCs w:val="18"/>
                <w:lang w:val="fr-FR"/>
              </w:rPr>
              <w:t>22</w:t>
            </w:r>
          </w:p>
        </w:tc>
        <w:tc>
          <w:tcPr>
            <w:tcW w:w="1501" w:type="dxa"/>
            <w:tcBorders>
              <w:top w:val="single" w:sz="4" w:space="0" w:color="auto"/>
              <w:left w:val="single" w:sz="4" w:space="0" w:color="auto"/>
              <w:bottom w:val="single" w:sz="4" w:space="0" w:color="auto"/>
              <w:right w:val="single" w:sz="4" w:space="0" w:color="auto"/>
            </w:tcBorders>
            <w:vAlign w:val="center"/>
          </w:tcPr>
          <w:p w14:paraId="4732CE5C" w14:textId="77777777" w:rsidR="00302BFE" w:rsidRPr="00412826" w:rsidRDefault="00302BFE" w:rsidP="00243B15">
            <w:pPr>
              <w:spacing w:after="0"/>
              <w:ind w:left="30" w:right="30"/>
              <w:jc w:val="center"/>
              <w:rPr>
                <w:sz w:val="18"/>
                <w:szCs w:val="18"/>
                <w:lang w:val="fr-FR"/>
              </w:rPr>
            </w:pPr>
            <w:r w:rsidRPr="00412826">
              <w:rPr>
                <w:sz w:val="18"/>
                <w:szCs w:val="18"/>
                <w:lang w:val="fr-FR"/>
              </w:rPr>
              <w:t>Mare d’Oursi</w:t>
            </w:r>
          </w:p>
        </w:tc>
        <w:tc>
          <w:tcPr>
            <w:tcW w:w="1127" w:type="dxa"/>
            <w:tcBorders>
              <w:top w:val="single" w:sz="4" w:space="0" w:color="auto"/>
              <w:left w:val="single" w:sz="4" w:space="0" w:color="auto"/>
              <w:bottom w:val="single" w:sz="4" w:space="0" w:color="auto"/>
              <w:right w:val="single" w:sz="4" w:space="0" w:color="auto"/>
            </w:tcBorders>
            <w:vAlign w:val="center"/>
          </w:tcPr>
          <w:p w14:paraId="03237538" w14:textId="77777777" w:rsidR="00302BFE" w:rsidRPr="00412826" w:rsidRDefault="00302BFE" w:rsidP="00243B15">
            <w:pPr>
              <w:spacing w:after="0"/>
              <w:ind w:left="30" w:right="30"/>
              <w:jc w:val="center"/>
              <w:rPr>
                <w:sz w:val="18"/>
                <w:szCs w:val="18"/>
                <w:lang w:val="fr-FR"/>
              </w:rPr>
            </w:pPr>
            <w:r w:rsidRPr="00412826">
              <w:rPr>
                <w:sz w:val="18"/>
                <w:szCs w:val="18"/>
                <w:lang w:val="fr-FR"/>
              </w:rPr>
              <w:t>1990</w:t>
            </w:r>
          </w:p>
        </w:tc>
        <w:tc>
          <w:tcPr>
            <w:tcW w:w="2097" w:type="dxa"/>
            <w:tcBorders>
              <w:top w:val="single" w:sz="4" w:space="0" w:color="auto"/>
              <w:left w:val="single" w:sz="4" w:space="0" w:color="auto"/>
              <w:bottom w:val="single" w:sz="4" w:space="0" w:color="auto"/>
              <w:right w:val="single" w:sz="4" w:space="0" w:color="auto"/>
            </w:tcBorders>
            <w:vAlign w:val="center"/>
          </w:tcPr>
          <w:p w14:paraId="02549800" w14:textId="77777777" w:rsidR="00302BFE" w:rsidRPr="00412826" w:rsidRDefault="00302BFE" w:rsidP="00243B15">
            <w:pPr>
              <w:spacing w:after="0"/>
              <w:ind w:left="30" w:right="30"/>
              <w:jc w:val="center"/>
              <w:rPr>
                <w:sz w:val="18"/>
                <w:szCs w:val="18"/>
                <w:lang w:val="fr-FR"/>
              </w:rPr>
            </w:pPr>
            <w:r w:rsidRPr="00412826">
              <w:rPr>
                <w:sz w:val="18"/>
                <w:szCs w:val="18"/>
                <w:lang w:val="fr-FR"/>
              </w:rPr>
              <w:t>35</w:t>
            </w:r>
            <w:r>
              <w:rPr>
                <w:sz w:val="18"/>
                <w:szCs w:val="18"/>
                <w:lang w:val="fr-FR"/>
              </w:rPr>
              <w:t>,</w:t>
            </w:r>
            <w:r w:rsidRPr="00412826">
              <w:rPr>
                <w:sz w:val="18"/>
                <w:szCs w:val="18"/>
                <w:lang w:val="fr-FR"/>
              </w:rPr>
              <w:t>000</w:t>
            </w:r>
          </w:p>
        </w:tc>
        <w:tc>
          <w:tcPr>
            <w:tcW w:w="850" w:type="dxa"/>
            <w:tcBorders>
              <w:top w:val="nil"/>
              <w:left w:val="single" w:sz="4" w:space="0" w:color="auto"/>
              <w:bottom w:val="nil"/>
              <w:right w:val="nil"/>
            </w:tcBorders>
            <w:vAlign w:val="center"/>
          </w:tcPr>
          <w:p w14:paraId="0257E364" w14:textId="77777777" w:rsidR="00302BFE" w:rsidRPr="00412826" w:rsidRDefault="00302BFE" w:rsidP="00243B15">
            <w:pPr>
              <w:spacing w:after="0"/>
              <w:ind w:left="30" w:right="30"/>
              <w:jc w:val="center"/>
              <w:rPr>
                <w:sz w:val="18"/>
                <w:szCs w:val="18"/>
                <w:highlight w:val="yellow"/>
                <w:lang w:val="fr-FR"/>
              </w:rPr>
            </w:pPr>
          </w:p>
        </w:tc>
        <w:tc>
          <w:tcPr>
            <w:tcW w:w="1682" w:type="dxa"/>
            <w:tcBorders>
              <w:top w:val="nil"/>
              <w:left w:val="nil"/>
              <w:bottom w:val="nil"/>
              <w:right w:val="nil"/>
            </w:tcBorders>
            <w:vAlign w:val="center"/>
          </w:tcPr>
          <w:p w14:paraId="00BB1DF6" w14:textId="77777777" w:rsidR="00302BFE" w:rsidRPr="00412826" w:rsidRDefault="00302BFE" w:rsidP="00243B15">
            <w:pPr>
              <w:spacing w:after="0"/>
              <w:ind w:left="30" w:right="30"/>
              <w:rPr>
                <w:sz w:val="18"/>
                <w:szCs w:val="18"/>
                <w:lang w:val="fr-FR"/>
              </w:rPr>
            </w:pPr>
          </w:p>
        </w:tc>
      </w:tr>
      <w:tr w:rsidR="00302BFE" w:rsidRPr="00412826" w14:paraId="057A34DC" w14:textId="77777777" w:rsidTr="00243B15">
        <w:trPr>
          <w:jc w:val="center"/>
        </w:trPr>
        <w:tc>
          <w:tcPr>
            <w:tcW w:w="2117" w:type="dxa"/>
            <w:vMerge/>
            <w:tcBorders>
              <w:left w:val="single" w:sz="4" w:space="0" w:color="auto"/>
              <w:right w:val="single" w:sz="4" w:space="0" w:color="auto"/>
            </w:tcBorders>
            <w:vAlign w:val="center"/>
          </w:tcPr>
          <w:p w14:paraId="32C4FBE6" w14:textId="77777777" w:rsidR="00302BFE" w:rsidRPr="00412826" w:rsidRDefault="00302BFE" w:rsidP="00243B15">
            <w:pPr>
              <w:spacing w:after="0"/>
              <w:ind w:left="30" w:right="30"/>
              <w:rPr>
                <w:sz w:val="18"/>
                <w:szCs w:val="18"/>
                <w:lang w:val="fr-FR"/>
              </w:rPr>
            </w:pPr>
          </w:p>
        </w:tc>
        <w:tc>
          <w:tcPr>
            <w:tcW w:w="378" w:type="dxa"/>
            <w:vMerge/>
            <w:tcBorders>
              <w:left w:val="single" w:sz="4" w:space="0" w:color="auto"/>
              <w:right w:val="single" w:sz="4" w:space="0" w:color="auto"/>
            </w:tcBorders>
            <w:vAlign w:val="center"/>
          </w:tcPr>
          <w:p w14:paraId="4A006F7F" w14:textId="77777777" w:rsidR="00302BFE" w:rsidRPr="00412826" w:rsidRDefault="00302BFE" w:rsidP="00243B15">
            <w:pPr>
              <w:spacing w:after="0"/>
              <w:ind w:left="30" w:right="30"/>
              <w:jc w:val="center"/>
              <w:rPr>
                <w:sz w:val="18"/>
                <w:szCs w:val="18"/>
                <w:lang w:val="fr-FR"/>
              </w:rPr>
            </w:pPr>
          </w:p>
        </w:tc>
        <w:tc>
          <w:tcPr>
            <w:tcW w:w="1501" w:type="dxa"/>
            <w:tcBorders>
              <w:top w:val="single" w:sz="4" w:space="0" w:color="auto"/>
              <w:left w:val="single" w:sz="4" w:space="0" w:color="auto"/>
              <w:bottom w:val="single" w:sz="4" w:space="0" w:color="auto"/>
              <w:right w:val="single" w:sz="4" w:space="0" w:color="auto"/>
            </w:tcBorders>
            <w:vAlign w:val="center"/>
          </w:tcPr>
          <w:p w14:paraId="0DC24188" w14:textId="77777777" w:rsidR="00302BFE" w:rsidRPr="00412826" w:rsidRDefault="00302BFE" w:rsidP="00243B15">
            <w:pPr>
              <w:spacing w:after="0"/>
              <w:ind w:left="30" w:right="30"/>
              <w:jc w:val="center"/>
              <w:rPr>
                <w:sz w:val="18"/>
                <w:szCs w:val="18"/>
                <w:lang w:val="fr-FR"/>
              </w:rPr>
            </w:pPr>
            <w:r w:rsidRPr="00412826">
              <w:rPr>
                <w:sz w:val="18"/>
                <w:szCs w:val="18"/>
                <w:lang w:val="fr-FR"/>
              </w:rPr>
              <w:t>W</w:t>
            </w:r>
          </w:p>
        </w:tc>
        <w:tc>
          <w:tcPr>
            <w:tcW w:w="1127" w:type="dxa"/>
            <w:tcBorders>
              <w:top w:val="single" w:sz="4" w:space="0" w:color="auto"/>
              <w:left w:val="single" w:sz="4" w:space="0" w:color="auto"/>
              <w:bottom w:val="single" w:sz="4" w:space="0" w:color="auto"/>
              <w:right w:val="single" w:sz="4" w:space="0" w:color="auto"/>
            </w:tcBorders>
            <w:vAlign w:val="center"/>
          </w:tcPr>
          <w:p w14:paraId="7058A6DD" w14:textId="77777777" w:rsidR="00302BFE" w:rsidRPr="00412826" w:rsidRDefault="00302BFE" w:rsidP="00243B15">
            <w:pPr>
              <w:spacing w:after="0"/>
              <w:ind w:left="30" w:right="30"/>
              <w:jc w:val="center"/>
              <w:rPr>
                <w:sz w:val="18"/>
                <w:szCs w:val="18"/>
                <w:lang w:val="fr-FR"/>
              </w:rPr>
            </w:pPr>
            <w:r w:rsidRPr="00412826">
              <w:rPr>
                <w:sz w:val="18"/>
                <w:szCs w:val="18"/>
                <w:lang w:val="fr-FR"/>
              </w:rPr>
              <w:t>1990</w:t>
            </w:r>
          </w:p>
        </w:tc>
        <w:tc>
          <w:tcPr>
            <w:tcW w:w="2097" w:type="dxa"/>
            <w:tcBorders>
              <w:top w:val="single" w:sz="4" w:space="0" w:color="auto"/>
              <w:left w:val="single" w:sz="4" w:space="0" w:color="auto"/>
              <w:bottom w:val="single" w:sz="4" w:space="0" w:color="auto"/>
              <w:right w:val="single" w:sz="4" w:space="0" w:color="auto"/>
            </w:tcBorders>
            <w:vAlign w:val="center"/>
          </w:tcPr>
          <w:p w14:paraId="14066FCA" w14:textId="77777777" w:rsidR="00302BFE" w:rsidRPr="00412826" w:rsidRDefault="00302BFE" w:rsidP="00243B15">
            <w:pPr>
              <w:spacing w:after="0"/>
              <w:ind w:left="30" w:right="30"/>
              <w:jc w:val="center"/>
              <w:rPr>
                <w:sz w:val="18"/>
                <w:szCs w:val="18"/>
                <w:lang w:val="fr-FR"/>
              </w:rPr>
            </w:pPr>
            <w:r w:rsidRPr="00412826">
              <w:rPr>
                <w:sz w:val="18"/>
                <w:szCs w:val="18"/>
                <w:lang w:val="fr-FR"/>
              </w:rPr>
              <w:t>311</w:t>
            </w:r>
            <w:r>
              <w:rPr>
                <w:sz w:val="18"/>
                <w:szCs w:val="18"/>
                <w:lang w:val="fr-FR"/>
              </w:rPr>
              <w:t>,</w:t>
            </w:r>
            <w:r w:rsidRPr="00412826">
              <w:rPr>
                <w:sz w:val="18"/>
                <w:szCs w:val="18"/>
                <w:lang w:val="fr-FR"/>
              </w:rPr>
              <w:t>471</w:t>
            </w:r>
          </w:p>
        </w:tc>
        <w:tc>
          <w:tcPr>
            <w:tcW w:w="850" w:type="dxa"/>
            <w:tcBorders>
              <w:top w:val="nil"/>
              <w:left w:val="single" w:sz="4" w:space="0" w:color="auto"/>
              <w:bottom w:val="nil"/>
              <w:right w:val="nil"/>
            </w:tcBorders>
            <w:vAlign w:val="center"/>
          </w:tcPr>
          <w:p w14:paraId="55FB4377" w14:textId="77777777" w:rsidR="00302BFE" w:rsidRPr="00412826" w:rsidRDefault="00302BFE" w:rsidP="00243B15">
            <w:pPr>
              <w:spacing w:after="0"/>
              <w:ind w:left="30" w:right="30"/>
              <w:jc w:val="center"/>
              <w:rPr>
                <w:sz w:val="18"/>
                <w:szCs w:val="18"/>
                <w:highlight w:val="yellow"/>
                <w:lang w:val="fr-FR"/>
              </w:rPr>
            </w:pPr>
          </w:p>
        </w:tc>
        <w:tc>
          <w:tcPr>
            <w:tcW w:w="1682" w:type="dxa"/>
            <w:tcBorders>
              <w:top w:val="nil"/>
              <w:left w:val="nil"/>
              <w:bottom w:val="nil"/>
              <w:right w:val="nil"/>
            </w:tcBorders>
            <w:vAlign w:val="center"/>
          </w:tcPr>
          <w:p w14:paraId="23581715" w14:textId="77777777" w:rsidR="00302BFE" w:rsidRPr="00412826" w:rsidRDefault="00302BFE" w:rsidP="00243B15">
            <w:pPr>
              <w:spacing w:after="0"/>
              <w:ind w:left="30" w:right="30"/>
              <w:rPr>
                <w:sz w:val="18"/>
                <w:szCs w:val="18"/>
                <w:lang w:val="fr-FR"/>
              </w:rPr>
            </w:pPr>
          </w:p>
        </w:tc>
      </w:tr>
      <w:tr w:rsidR="00302BFE" w:rsidRPr="00412826" w14:paraId="51E04B62" w14:textId="77777777" w:rsidTr="00243B15">
        <w:trPr>
          <w:jc w:val="center"/>
        </w:trPr>
        <w:tc>
          <w:tcPr>
            <w:tcW w:w="2117" w:type="dxa"/>
            <w:vMerge/>
            <w:tcBorders>
              <w:left w:val="single" w:sz="4" w:space="0" w:color="auto"/>
              <w:right w:val="single" w:sz="4" w:space="0" w:color="auto"/>
            </w:tcBorders>
            <w:vAlign w:val="center"/>
          </w:tcPr>
          <w:p w14:paraId="3C4A8030" w14:textId="77777777" w:rsidR="00302BFE" w:rsidRPr="00412826" w:rsidRDefault="00302BFE" w:rsidP="00243B15">
            <w:pPr>
              <w:spacing w:after="0"/>
              <w:ind w:left="30" w:right="30"/>
              <w:rPr>
                <w:sz w:val="18"/>
                <w:szCs w:val="18"/>
                <w:lang w:val="fr-FR"/>
              </w:rPr>
            </w:pPr>
          </w:p>
        </w:tc>
        <w:tc>
          <w:tcPr>
            <w:tcW w:w="378" w:type="dxa"/>
            <w:vMerge/>
            <w:tcBorders>
              <w:left w:val="single" w:sz="4" w:space="0" w:color="auto"/>
              <w:right w:val="single" w:sz="4" w:space="0" w:color="auto"/>
            </w:tcBorders>
            <w:vAlign w:val="center"/>
          </w:tcPr>
          <w:p w14:paraId="112487FC" w14:textId="77777777" w:rsidR="00302BFE" w:rsidRPr="00412826" w:rsidRDefault="00302BFE" w:rsidP="00243B15">
            <w:pPr>
              <w:spacing w:after="0"/>
              <w:ind w:left="30" w:right="30"/>
              <w:jc w:val="center"/>
              <w:rPr>
                <w:sz w:val="18"/>
                <w:szCs w:val="18"/>
                <w:lang w:val="fr-FR"/>
              </w:rPr>
            </w:pPr>
          </w:p>
        </w:tc>
        <w:tc>
          <w:tcPr>
            <w:tcW w:w="1501" w:type="dxa"/>
            <w:tcBorders>
              <w:top w:val="single" w:sz="4" w:space="0" w:color="auto"/>
              <w:left w:val="single" w:sz="4" w:space="0" w:color="auto"/>
              <w:bottom w:val="single" w:sz="4" w:space="0" w:color="auto"/>
              <w:right w:val="single" w:sz="4" w:space="0" w:color="auto"/>
            </w:tcBorders>
            <w:vAlign w:val="center"/>
          </w:tcPr>
          <w:p w14:paraId="41817A28" w14:textId="77777777" w:rsidR="00302BFE" w:rsidRPr="00412826" w:rsidRDefault="00302BFE" w:rsidP="00243B15">
            <w:pPr>
              <w:spacing w:after="0"/>
              <w:ind w:left="30" w:right="30"/>
              <w:jc w:val="center"/>
              <w:rPr>
                <w:sz w:val="18"/>
                <w:szCs w:val="18"/>
                <w:lang w:val="fr-FR"/>
              </w:rPr>
            </w:pPr>
            <w:r w:rsidRPr="00412826">
              <w:rPr>
                <w:sz w:val="18"/>
                <w:szCs w:val="18"/>
                <w:lang w:val="fr-FR"/>
              </w:rPr>
              <w:t>Mare aux Hippopotames</w:t>
            </w:r>
          </w:p>
        </w:tc>
        <w:tc>
          <w:tcPr>
            <w:tcW w:w="1127" w:type="dxa"/>
            <w:tcBorders>
              <w:top w:val="single" w:sz="4" w:space="0" w:color="auto"/>
              <w:left w:val="single" w:sz="4" w:space="0" w:color="auto"/>
              <w:bottom w:val="single" w:sz="4" w:space="0" w:color="auto"/>
              <w:right w:val="single" w:sz="4" w:space="0" w:color="auto"/>
            </w:tcBorders>
            <w:vAlign w:val="center"/>
          </w:tcPr>
          <w:p w14:paraId="1F381F6F" w14:textId="77777777" w:rsidR="00302BFE" w:rsidRPr="00412826" w:rsidRDefault="00302BFE" w:rsidP="00243B15">
            <w:pPr>
              <w:spacing w:after="0"/>
              <w:ind w:left="30" w:right="30"/>
              <w:jc w:val="center"/>
              <w:rPr>
                <w:sz w:val="18"/>
                <w:szCs w:val="18"/>
                <w:lang w:val="fr-FR"/>
              </w:rPr>
            </w:pPr>
            <w:r w:rsidRPr="00412826">
              <w:rPr>
                <w:sz w:val="18"/>
                <w:szCs w:val="18"/>
                <w:lang w:val="fr-FR"/>
              </w:rPr>
              <w:t>1990</w:t>
            </w:r>
          </w:p>
        </w:tc>
        <w:tc>
          <w:tcPr>
            <w:tcW w:w="2097" w:type="dxa"/>
            <w:tcBorders>
              <w:top w:val="single" w:sz="4" w:space="0" w:color="auto"/>
              <w:left w:val="single" w:sz="4" w:space="0" w:color="auto"/>
              <w:bottom w:val="single" w:sz="4" w:space="0" w:color="auto"/>
              <w:right w:val="single" w:sz="4" w:space="0" w:color="auto"/>
            </w:tcBorders>
            <w:vAlign w:val="center"/>
          </w:tcPr>
          <w:p w14:paraId="471AA311" w14:textId="77777777" w:rsidR="00302BFE" w:rsidRPr="00412826" w:rsidRDefault="00302BFE" w:rsidP="00243B15">
            <w:pPr>
              <w:spacing w:after="0"/>
              <w:ind w:left="30" w:right="30"/>
              <w:jc w:val="center"/>
              <w:rPr>
                <w:sz w:val="18"/>
                <w:szCs w:val="18"/>
                <w:lang w:val="fr-FR"/>
              </w:rPr>
            </w:pPr>
            <w:r w:rsidRPr="00412826">
              <w:rPr>
                <w:sz w:val="18"/>
                <w:szCs w:val="18"/>
                <w:lang w:val="fr-FR"/>
              </w:rPr>
              <w:t>19</w:t>
            </w:r>
            <w:r>
              <w:rPr>
                <w:sz w:val="18"/>
                <w:szCs w:val="18"/>
                <w:lang w:val="fr-FR"/>
              </w:rPr>
              <w:t>,</w:t>
            </w:r>
            <w:r w:rsidRPr="00412826">
              <w:rPr>
                <w:sz w:val="18"/>
                <w:szCs w:val="18"/>
                <w:lang w:val="fr-FR"/>
              </w:rPr>
              <w:t>200</w:t>
            </w:r>
          </w:p>
        </w:tc>
        <w:tc>
          <w:tcPr>
            <w:tcW w:w="850" w:type="dxa"/>
            <w:tcBorders>
              <w:top w:val="nil"/>
              <w:left w:val="single" w:sz="4" w:space="0" w:color="auto"/>
              <w:bottom w:val="nil"/>
              <w:right w:val="nil"/>
            </w:tcBorders>
            <w:vAlign w:val="center"/>
          </w:tcPr>
          <w:p w14:paraId="63EE906D" w14:textId="77777777" w:rsidR="00302BFE" w:rsidRPr="00412826" w:rsidRDefault="00302BFE" w:rsidP="00243B15">
            <w:pPr>
              <w:spacing w:after="0"/>
              <w:ind w:left="30" w:right="30"/>
              <w:jc w:val="center"/>
              <w:rPr>
                <w:sz w:val="18"/>
                <w:szCs w:val="18"/>
                <w:highlight w:val="yellow"/>
                <w:lang w:val="fr-FR"/>
              </w:rPr>
            </w:pPr>
          </w:p>
        </w:tc>
        <w:tc>
          <w:tcPr>
            <w:tcW w:w="1682" w:type="dxa"/>
            <w:tcBorders>
              <w:top w:val="nil"/>
              <w:left w:val="nil"/>
              <w:bottom w:val="nil"/>
              <w:right w:val="nil"/>
            </w:tcBorders>
            <w:vAlign w:val="center"/>
          </w:tcPr>
          <w:p w14:paraId="522789DA" w14:textId="77777777" w:rsidR="00302BFE" w:rsidRPr="00412826" w:rsidRDefault="00302BFE" w:rsidP="00243B15">
            <w:pPr>
              <w:spacing w:after="0"/>
              <w:ind w:left="30" w:right="30"/>
              <w:rPr>
                <w:sz w:val="18"/>
                <w:szCs w:val="18"/>
                <w:lang w:val="fr-FR"/>
              </w:rPr>
            </w:pPr>
          </w:p>
        </w:tc>
      </w:tr>
      <w:tr w:rsidR="00302BFE" w:rsidRPr="00412826" w14:paraId="353A1472" w14:textId="77777777" w:rsidTr="00243B15">
        <w:trPr>
          <w:jc w:val="center"/>
        </w:trPr>
        <w:tc>
          <w:tcPr>
            <w:tcW w:w="2117" w:type="dxa"/>
            <w:vMerge/>
            <w:tcBorders>
              <w:left w:val="single" w:sz="4" w:space="0" w:color="auto"/>
              <w:right w:val="single" w:sz="4" w:space="0" w:color="auto"/>
            </w:tcBorders>
            <w:vAlign w:val="center"/>
          </w:tcPr>
          <w:p w14:paraId="24B8CA9E" w14:textId="77777777" w:rsidR="00302BFE" w:rsidRPr="00412826" w:rsidRDefault="00302BFE" w:rsidP="00243B15">
            <w:pPr>
              <w:spacing w:after="0"/>
              <w:ind w:left="30" w:right="30"/>
              <w:rPr>
                <w:sz w:val="18"/>
                <w:szCs w:val="18"/>
                <w:lang w:val="fr-FR"/>
              </w:rPr>
            </w:pPr>
          </w:p>
        </w:tc>
        <w:tc>
          <w:tcPr>
            <w:tcW w:w="378" w:type="dxa"/>
            <w:vMerge/>
            <w:tcBorders>
              <w:left w:val="single" w:sz="4" w:space="0" w:color="auto"/>
              <w:right w:val="single" w:sz="4" w:space="0" w:color="auto"/>
            </w:tcBorders>
            <w:vAlign w:val="center"/>
          </w:tcPr>
          <w:p w14:paraId="6041C4F8" w14:textId="77777777" w:rsidR="00302BFE" w:rsidRPr="00412826" w:rsidRDefault="00302BFE" w:rsidP="00243B15">
            <w:pPr>
              <w:spacing w:after="0"/>
              <w:ind w:left="30" w:right="30"/>
              <w:jc w:val="center"/>
              <w:rPr>
                <w:sz w:val="18"/>
                <w:szCs w:val="18"/>
                <w:lang w:val="fr-FR"/>
              </w:rPr>
            </w:pPr>
          </w:p>
        </w:tc>
        <w:tc>
          <w:tcPr>
            <w:tcW w:w="1501" w:type="dxa"/>
            <w:tcBorders>
              <w:top w:val="single" w:sz="4" w:space="0" w:color="auto"/>
              <w:left w:val="single" w:sz="4" w:space="0" w:color="auto"/>
              <w:bottom w:val="single" w:sz="4" w:space="0" w:color="auto"/>
              <w:right w:val="single" w:sz="4" w:space="0" w:color="auto"/>
            </w:tcBorders>
            <w:vAlign w:val="center"/>
          </w:tcPr>
          <w:p w14:paraId="562E596D" w14:textId="77777777" w:rsidR="00302BFE" w:rsidRPr="00412826" w:rsidRDefault="00302BFE" w:rsidP="00243B15">
            <w:pPr>
              <w:spacing w:after="0"/>
              <w:ind w:left="30" w:right="30"/>
              <w:jc w:val="center"/>
              <w:rPr>
                <w:sz w:val="18"/>
                <w:szCs w:val="18"/>
                <w:lang w:val="fr-FR"/>
              </w:rPr>
            </w:pPr>
            <w:r w:rsidRPr="00412826">
              <w:rPr>
                <w:sz w:val="18"/>
                <w:szCs w:val="18"/>
                <w:lang w:val="fr-FR"/>
              </w:rPr>
              <w:t>Barrage de Bagré</w:t>
            </w:r>
          </w:p>
        </w:tc>
        <w:tc>
          <w:tcPr>
            <w:tcW w:w="1127" w:type="dxa"/>
            <w:tcBorders>
              <w:top w:val="single" w:sz="4" w:space="0" w:color="auto"/>
              <w:left w:val="single" w:sz="4" w:space="0" w:color="auto"/>
              <w:bottom w:val="single" w:sz="4" w:space="0" w:color="auto"/>
              <w:right w:val="single" w:sz="4" w:space="0" w:color="auto"/>
            </w:tcBorders>
            <w:vAlign w:val="center"/>
          </w:tcPr>
          <w:p w14:paraId="4B2983B0" w14:textId="77777777" w:rsidR="00302BFE" w:rsidRPr="00412826" w:rsidRDefault="00302BFE" w:rsidP="00243B15">
            <w:pPr>
              <w:spacing w:after="0"/>
              <w:ind w:left="30" w:right="30"/>
              <w:jc w:val="center"/>
              <w:rPr>
                <w:sz w:val="18"/>
                <w:szCs w:val="18"/>
                <w:lang w:val="fr-FR"/>
              </w:rPr>
            </w:pPr>
            <w:r w:rsidRPr="00412826">
              <w:rPr>
                <w:sz w:val="18"/>
                <w:szCs w:val="18"/>
                <w:lang w:val="fr-FR"/>
              </w:rPr>
              <w:t>2009</w:t>
            </w:r>
          </w:p>
        </w:tc>
        <w:tc>
          <w:tcPr>
            <w:tcW w:w="2097" w:type="dxa"/>
            <w:tcBorders>
              <w:top w:val="single" w:sz="4" w:space="0" w:color="auto"/>
              <w:left w:val="single" w:sz="4" w:space="0" w:color="auto"/>
              <w:bottom w:val="single" w:sz="4" w:space="0" w:color="auto"/>
              <w:right w:val="single" w:sz="4" w:space="0" w:color="auto"/>
            </w:tcBorders>
            <w:vAlign w:val="center"/>
          </w:tcPr>
          <w:p w14:paraId="12ADCFA8" w14:textId="77777777" w:rsidR="00302BFE" w:rsidRPr="00412826" w:rsidRDefault="00302BFE" w:rsidP="00243B15">
            <w:pPr>
              <w:spacing w:after="0"/>
              <w:ind w:left="30" w:right="30"/>
              <w:jc w:val="center"/>
              <w:rPr>
                <w:sz w:val="18"/>
                <w:szCs w:val="18"/>
                <w:lang w:val="fr-FR"/>
              </w:rPr>
            </w:pPr>
            <w:r w:rsidRPr="00412826">
              <w:rPr>
                <w:sz w:val="18"/>
                <w:szCs w:val="18"/>
                <w:lang w:val="fr-FR"/>
              </w:rPr>
              <w:t>36</w:t>
            </w:r>
            <w:r>
              <w:rPr>
                <w:sz w:val="18"/>
                <w:szCs w:val="18"/>
                <w:lang w:val="fr-FR"/>
              </w:rPr>
              <w:t>,</w:t>
            </w:r>
            <w:r w:rsidRPr="00412826">
              <w:rPr>
                <w:sz w:val="18"/>
                <w:szCs w:val="18"/>
                <w:lang w:val="fr-FR"/>
              </w:rPr>
              <w:t>793</w:t>
            </w:r>
          </w:p>
        </w:tc>
        <w:tc>
          <w:tcPr>
            <w:tcW w:w="850" w:type="dxa"/>
            <w:tcBorders>
              <w:top w:val="nil"/>
              <w:left w:val="single" w:sz="4" w:space="0" w:color="auto"/>
              <w:bottom w:val="nil"/>
              <w:right w:val="nil"/>
            </w:tcBorders>
            <w:vAlign w:val="center"/>
          </w:tcPr>
          <w:p w14:paraId="310415E8" w14:textId="77777777" w:rsidR="00302BFE" w:rsidRPr="00412826" w:rsidRDefault="00302BFE" w:rsidP="00243B15">
            <w:pPr>
              <w:spacing w:after="0"/>
              <w:ind w:left="30" w:right="30"/>
              <w:jc w:val="center"/>
              <w:rPr>
                <w:sz w:val="18"/>
                <w:szCs w:val="18"/>
                <w:highlight w:val="yellow"/>
                <w:lang w:val="fr-FR"/>
              </w:rPr>
            </w:pPr>
          </w:p>
        </w:tc>
        <w:tc>
          <w:tcPr>
            <w:tcW w:w="1682" w:type="dxa"/>
            <w:tcBorders>
              <w:top w:val="nil"/>
              <w:left w:val="nil"/>
              <w:bottom w:val="nil"/>
              <w:right w:val="nil"/>
            </w:tcBorders>
            <w:vAlign w:val="center"/>
          </w:tcPr>
          <w:p w14:paraId="04C92FC4" w14:textId="77777777" w:rsidR="00302BFE" w:rsidRPr="00412826" w:rsidRDefault="00302BFE" w:rsidP="00243B15">
            <w:pPr>
              <w:spacing w:after="0"/>
              <w:ind w:left="30" w:right="30"/>
              <w:rPr>
                <w:sz w:val="18"/>
                <w:szCs w:val="18"/>
                <w:lang w:val="fr-FR"/>
              </w:rPr>
            </w:pPr>
          </w:p>
        </w:tc>
      </w:tr>
      <w:tr w:rsidR="00302BFE" w:rsidRPr="00412826" w14:paraId="4CB08017" w14:textId="77777777" w:rsidTr="00243B15">
        <w:trPr>
          <w:jc w:val="center"/>
        </w:trPr>
        <w:tc>
          <w:tcPr>
            <w:tcW w:w="2117" w:type="dxa"/>
            <w:vMerge/>
            <w:tcBorders>
              <w:left w:val="single" w:sz="4" w:space="0" w:color="auto"/>
              <w:right w:val="single" w:sz="4" w:space="0" w:color="auto"/>
            </w:tcBorders>
            <w:vAlign w:val="center"/>
          </w:tcPr>
          <w:p w14:paraId="102F33A2" w14:textId="77777777" w:rsidR="00302BFE" w:rsidRPr="00412826" w:rsidRDefault="00302BFE" w:rsidP="00243B15">
            <w:pPr>
              <w:spacing w:after="0"/>
              <w:ind w:left="30" w:right="30"/>
              <w:rPr>
                <w:sz w:val="18"/>
                <w:szCs w:val="18"/>
                <w:lang w:val="fr-FR"/>
              </w:rPr>
            </w:pPr>
          </w:p>
        </w:tc>
        <w:tc>
          <w:tcPr>
            <w:tcW w:w="378" w:type="dxa"/>
            <w:vMerge/>
            <w:tcBorders>
              <w:left w:val="single" w:sz="4" w:space="0" w:color="auto"/>
              <w:right w:val="single" w:sz="4" w:space="0" w:color="auto"/>
            </w:tcBorders>
            <w:vAlign w:val="center"/>
          </w:tcPr>
          <w:p w14:paraId="7DDC75A3" w14:textId="77777777" w:rsidR="00302BFE" w:rsidRPr="00412826" w:rsidRDefault="00302BFE" w:rsidP="00243B15">
            <w:pPr>
              <w:spacing w:after="0"/>
              <w:ind w:left="30" w:right="30"/>
              <w:jc w:val="center"/>
              <w:rPr>
                <w:sz w:val="18"/>
                <w:szCs w:val="18"/>
                <w:lang w:val="fr-FR"/>
              </w:rPr>
            </w:pPr>
          </w:p>
        </w:tc>
        <w:tc>
          <w:tcPr>
            <w:tcW w:w="1501" w:type="dxa"/>
            <w:tcBorders>
              <w:top w:val="single" w:sz="4" w:space="0" w:color="auto"/>
              <w:left w:val="single" w:sz="4" w:space="0" w:color="auto"/>
              <w:bottom w:val="single" w:sz="4" w:space="0" w:color="auto"/>
              <w:right w:val="single" w:sz="4" w:space="0" w:color="auto"/>
            </w:tcBorders>
            <w:vAlign w:val="center"/>
          </w:tcPr>
          <w:p w14:paraId="0D99D95E" w14:textId="77777777" w:rsidR="00302BFE" w:rsidRPr="00412826" w:rsidRDefault="00302BFE" w:rsidP="00243B15">
            <w:pPr>
              <w:spacing w:after="0"/>
              <w:ind w:left="30" w:right="30"/>
              <w:jc w:val="center"/>
              <w:rPr>
                <w:sz w:val="18"/>
                <w:szCs w:val="18"/>
                <w:lang w:val="fr-FR"/>
              </w:rPr>
            </w:pPr>
            <w:r w:rsidRPr="00412826">
              <w:rPr>
                <w:sz w:val="18"/>
                <w:szCs w:val="18"/>
                <w:lang w:val="fr-FR"/>
              </w:rPr>
              <w:t>Barrage de Kompienga</w:t>
            </w:r>
          </w:p>
        </w:tc>
        <w:tc>
          <w:tcPr>
            <w:tcW w:w="1127" w:type="dxa"/>
            <w:tcBorders>
              <w:top w:val="single" w:sz="4" w:space="0" w:color="auto"/>
              <w:left w:val="single" w:sz="4" w:space="0" w:color="auto"/>
              <w:bottom w:val="single" w:sz="4" w:space="0" w:color="auto"/>
              <w:right w:val="single" w:sz="4" w:space="0" w:color="auto"/>
            </w:tcBorders>
            <w:vAlign w:val="center"/>
          </w:tcPr>
          <w:p w14:paraId="62349508" w14:textId="77777777" w:rsidR="00302BFE" w:rsidRPr="00412826" w:rsidRDefault="00302BFE" w:rsidP="00243B15">
            <w:pPr>
              <w:spacing w:after="0"/>
              <w:ind w:left="30" w:right="30"/>
              <w:jc w:val="center"/>
              <w:rPr>
                <w:sz w:val="18"/>
                <w:szCs w:val="18"/>
                <w:lang w:val="fr-FR"/>
              </w:rPr>
            </w:pPr>
            <w:r w:rsidRPr="00412826">
              <w:rPr>
                <w:sz w:val="18"/>
                <w:szCs w:val="18"/>
                <w:lang w:val="fr-FR"/>
              </w:rPr>
              <w:t>2009</w:t>
            </w:r>
          </w:p>
        </w:tc>
        <w:tc>
          <w:tcPr>
            <w:tcW w:w="2097" w:type="dxa"/>
            <w:tcBorders>
              <w:top w:val="single" w:sz="4" w:space="0" w:color="auto"/>
              <w:left w:val="single" w:sz="4" w:space="0" w:color="auto"/>
              <w:bottom w:val="single" w:sz="4" w:space="0" w:color="auto"/>
              <w:right w:val="single" w:sz="4" w:space="0" w:color="auto"/>
            </w:tcBorders>
            <w:vAlign w:val="center"/>
          </w:tcPr>
          <w:p w14:paraId="1646425A" w14:textId="77777777" w:rsidR="00302BFE" w:rsidRPr="00412826" w:rsidRDefault="00302BFE" w:rsidP="00243B15">
            <w:pPr>
              <w:spacing w:after="0"/>
              <w:ind w:left="30" w:right="30"/>
              <w:jc w:val="center"/>
              <w:rPr>
                <w:sz w:val="18"/>
                <w:szCs w:val="18"/>
                <w:lang w:val="fr-FR"/>
              </w:rPr>
            </w:pPr>
            <w:r w:rsidRPr="00412826">
              <w:rPr>
                <w:sz w:val="18"/>
                <w:szCs w:val="18"/>
                <w:lang w:val="fr-FR"/>
              </w:rPr>
              <w:t>17</w:t>
            </w:r>
            <w:r>
              <w:rPr>
                <w:sz w:val="18"/>
                <w:szCs w:val="18"/>
                <w:lang w:val="fr-FR"/>
              </w:rPr>
              <w:t>,</w:t>
            </w:r>
            <w:r w:rsidRPr="00412826">
              <w:rPr>
                <w:sz w:val="18"/>
                <w:szCs w:val="18"/>
                <w:lang w:val="fr-FR"/>
              </w:rPr>
              <w:t>545</w:t>
            </w:r>
          </w:p>
        </w:tc>
        <w:tc>
          <w:tcPr>
            <w:tcW w:w="850" w:type="dxa"/>
            <w:tcBorders>
              <w:top w:val="nil"/>
              <w:left w:val="single" w:sz="4" w:space="0" w:color="auto"/>
              <w:bottom w:val="nil"/>
              <w:right w:val="nil"/>
            </w:tcBorders>
            <w:vAlign w:val="center"/>
          </w:tcPr>
          <w:p w14:paraId="206C467F" w14:textId="77777777" w:rsidR="00302BFE" w:rsidRPr="00412826" w:rsidRDefault="00302BFE" w:rsidP="00243B15">
            <w:pPr>
              <w:spacing w:after="0"/>
              <w:ind w:left="30" w:right="30"/>
              <w:jc w:val="center"/>
              <w:rPr>
                <w:sz w:val="18"/>
                <w:szCs w:val="18"/>
                <w:highlight w:val="yellow"/>
                <w:lang w:val="fr-FR"/>
              </w:rPr>
            </w:pPr>
          </w:p>
        </w:tc>
        <w:tc>
          <w:tcPr>
            <w:tcW w:w="1682" w:type="dxa"/>
            <w:tcBorders>
              <w:top w:val="nil"/>
              <w:left w:val="nil"/>
              <w:bottom w:val="nil"/>
              <w:right w:val="nil"/>
            </w:tcBorders>
            <w:vAlign w:val="center"/>
          </w:tcPr>
          <w:p w14:paraId="74D93AC5" w14:textId="77777777" w:rsidR="00302BFE" w:rsidRPr="00412826" w:rsidRDefault="00302BFE" w:rsidP="00243B15">
            <w:pPr>
              <w:spacing w:after="0"/>
              <w:ind w:left="30" w:right="30"/>
              <w:rPr>
                <w:sz w:val="18"/>
                <w:szCs w:val="18"/>
                <w:lang w:val="fr-FR"/>
              </w:rPr>
            </w:pPr>
          </w:p>
        </w:tc>
      </w:tr>
      <w:tr w:rsidR="00302BFE" w:rsidRPr="00412826" w14:paraId="6E4FDE04" w14:textId="77777777" w:rsidTr="00243B15">
        <w:trPr>
          <w:jc w:val="center"/>
        </w:trPr>
        <w:tc>
          <w:tcPr>
            <w:tcW w:w="2117" w:type="dxa"/>
            <w:vMerge/>
            <w:tcBorders>
              <w:left w:val="single" w:sz="4" w:space="0" w:color="auto"/>
              <w:right w:val="single" w:sz="4" w:space="0" w:color="auto"/>
            </w:tcBorders>
            <w:vAlign w:val="center"/>
          </w:tcPr>
          <w:p w14:paraId="2A2EDB2F" w14:textId="77777777" w:rsidR="00302BFE" w:rsidRPr="00412826" w:rsidRDefault="00302BFE" w:rsidP="00243B15">
            <w:pPr>
              <w:spacing w:after="0"/>
              <w:ind w:left="30" w:right="30"/>
              <w:rPr>
                <w:sz w:val="18"/>
                <w:szCs w:val="18"/>
                <w:lang w:val="fr-FR"/>
              </w:rPr>
            </w:pPr>
          </w:p>
        </w:tc>
        <w:tc>
          <w:tcPr>
            <w:tcW w:w="378" w:type="dxa"/>
            <w:vMerge/>
            <w:tcBorders>
              <w:left w:val="single" w:sz="4" w:space="0" w:color="auto"/>
              <w:right w:val="single" w:sz="4" w:space="0" w:color="auto"/>
            </w:tcBorders>
            <w:vAlign w:val="center"/>
          </w:tcPr>
          <w:p w14:paraId="629B51F8" w14:textId="77777777" w:rsidR="00302BFE" w:rsidRPr="00412826" w:rsidRDefault="00302BFE" w:rsidP="00243B15">
            <w:pPr>
              <w:spacing w:after="0"/>
              <w:ind w:left="30" w:right="30"/>
              <w:jc w:val="center"/>
              <w:rPr>
                <w:sz w:val="18"/>
                <w:szCs w:val="18"/>
                <w:lang w:val="fr-FR"/>
              </w:rPr>
            </w:pPr>
          </w:p>
        </w:tc>
        <w:tc>
          <w:tcPr>
            <w:tcW w:w="1501" w:type="dxa"/>
            <w:tcBorders>
              <w:top w:val="single" w:sz="4" w:space="0" w:color="auto"/>
              <w:left w:val="single" w:sz="4" w:space="0" w:color="auto"/>
              <w:bottom w:val="single" w:sz="4" w:space="0" w:color="auto"/>
              <w:right w:val="single" w:sz="4" w:space="0" w:color="auto"/>
            </w:tcBorders>
            <w:vAlign w:val="center"/>
          </w:tcPr>
          <w:p w14:paraId="7BA48443" w14:textId="77777777" w:rsidR="00302BFE" w:rsidRPr="00412826" w:rsidRDefault="00302BFE" w:rsidP="00243B15">
            <w:pPr>
              <w:spacing w:after="0"/>
              <w:ind w:left="30" w:right="30"/>
              <w:jc w:val="center"/>
              <w:rPr>
                <w:sz w:val="18"/>
                <w:szCs w:val="18"/>
                <w:lang w:val="fr-FR"/>
              </w:rPr>
            </w:pPr>
            <w:r w:rsidRPr="00412826">
              <w:rPr>
                <w:sz w:val="18"/>
                <w:szCs w:val="18"/>
                <w:lang w:val="fr-FR"/>
              </w:rPr>
              <w:t>Barrage de Tapoa</w:t>
            </w:r>
          </w:p>
        </w:tc>
        <w:tc>
          <w:tcPr>
            <w:tcW w:w="1127" w:type="dxa"/>
            <w:tcBorders>
              <w:top w:val="single" w:sz="4" w:space="0" w:color="auto"/>
              <w:left w:val="single" w:sz="4" w:space="0" w:color="auto"/>
              <w:bottom w:val="single" w:sz="4" w:space="0" w:color="auto"/>
              <w:right w:val="single" w:sz="4" w:space="0" w:color="auto"/>
            </w:tcBorders>
            <w:vAlign w:val="center"/>
          </w:tcPr>
          <w:p w14:paraId="7172F121" w14:textId="77777777" w:rsidR="00302BFE" w:rsidRPr="00412826" w:rsidRDefault="00302BFE" w:rsidP="00243B15">
            <w:pPr>
              <w:spacing w:after="0"/>
              <w:ind w:left="30" w:right="30"/>
              <w:jc w:val="center"/>
              <w:rPr>
                <w:sz w:val="18"/>
                <w:szCs w:val="18"/>
                <w:lang w:val="fr-FR"/>
              </w:rPr>
            </w:pPr>
            <w:r w:rsidRPr="00412826">
              <w:rPr>
                <w:sz w:val="18"/>
                <w:szCs w:val="18"/>
                <w:lang w:val="fr-FR"/>
              </w:rPr>
              <w:t>2009</w:t>
            </w:r>
          </w:p>
        </w:tc>
        <w:tc>
          <w:tcPr>
            <w:tcW w:w="2097" w:type="dxa"/>
            <w:tcBorders>
              <w:top w:val="single" w:sz="4" w:space="0" w:color="auto"/>
              <w:left w:val="single" w:sz="4" w:space="0" w:color="auto"/>
              <w:bottom w:val="single" w:sz="4" w:space="0" w:color="auto"/>
              <w:right w:val="single" w:sz="4" w:space="0" w:color="auto"/>
            </w:tcBorders>
            <w:vAlign w:val="center"/>
          </w:tcPr>
          <w:p w14:paraId="61996351" w14:textId="77777777" w:rsidR="00302BFE" w:rsidRPr="00412826" w:rsidRDefault="00302BFE" w:rsidP="00243B15">
            <w:pPr>
              <w:spacing w:after="0"/>
              <w:ind w:left="30" w:right="30"/>
              <w:jc w:val="center"/>
              <w:rPr>
                <w:sz w:val="18"/>
                <w:szCs w:val="18"/>
                <w:lang w:val="fr-FR"/>
              </w:rPr>
            </w:pPr>
            <w:r w:rsidRPr="00412826">
              <w:rPr>
                <w:sz w:val="18"/>
                <w:szCs w:val="18"/>
                <w:lang w:val="fr-FR"/>
              </w:rPr>
              <w:t>3</w:t>
            </w:r>
            <w:r>
              <w:rPr>
                <w:sz w:val="18"/>
                <w:szCs w:val="18"/>
                <w:lang w:val="fr-FR"/>
              </w:rPr>
              <w:t>,</w:t>
            </w:r>
            <w:r w:rsidRPr="00412826">
              <w:rPr>
                <w:sz w:val="18"/>
                <w:szCs w:val="18"/>
                <w:lang w:val="fr-FR"/>
              </w:rPr>
              <w:t>479</w:t>
            </w:r>
          </w:p>
        </w:tc>
        <w:tc>
          <w:tcPr>
            <w:tcW w:w="850" w:type="dxa"/>
            <w:tcBorders>
              <w:top w:val="nil"/>
              <w:left w:val="single" w:sz="4" w:space="0" w:color="auto"/>
              <w:bottom w:val="nil"/>
              <w:right w:val="nil"/>
            </w:tcBorders>
            <w:vAlign w:val="center"/>
          </w:tcPr>
          <w:p w14:paraId="5483FCA8" w14:textId="77777777" w:rsidR="00302BFE" w:rsidRPr="00412826" w:rsidRDefault="00302BFE" w:rsidP="00243B15">
            <w:pPr>
              <w:spacing w:after="0"/>
              <w:ind w:left="30" w:right="30"/>
              <w:jc w:val="center"/>
              <w:rPr>
                <w:sz w:val="18"/>
                <w:szCs w:val="18"/>
                <w:highlight w:val="yellow"/>
                <w:lang w:val="fr-FR"/>
              </w:rPr>
            </w:pPr>
          </w:p>
        </w:tc>
        <w:tc>
          <w:tcPr>
            <w:tcW w:w="1682" w:type="dxa"/>
            <w:tcBorders>
              <w:top w:val="nil"/>
              <w:left w:val="nil"/>
              <w:bottom w:val="nil"/>
              <w:right w:val="nil"/>
            </w:tcBorders>
            <w:vAlign w:val="center"/>
          </w:tcPr>
          <w:p w14:paraId="668097E3" w14:textId="77777777" w:rsidR="00302BFE" w:rsidRPr="00412826" w:rsidRDefault="00302BFE" w:rsidP="00243B15">
            <w:pPr>
              <w:spacing w:after="0"/>
              <w:ind w:left="30" w:right="30"/>
              <w:rPr>
                <w:sz w:val="18"/>
                <w:szCs w:val="18"/>
                <w:lang w:val="fr-FR"/>
              </w:rPr>
            </w:pPr>
          </w:p>
        </w:tc>
      </w:tr>
      <w:tr w:rsidR="00302BFE" w:rsidRPr="00412826" w14:paraId="15C2479F" w14:textId="77777777" w:rsidTr="00243B15">
        <w:trPr>
          <w:jc w:val="center"/>
        </w:trPr>
        <w:tc>
          <w:tcPr>
            <w:tcW w:w="2117" w:type="dxa"/>
            <w:vMerge/>
            <w:tcBorders>
              <w:left w:val="single" w:sz="4" w:space="0" w:color="auto"/>
              <w:right w:val="single" w:sz="4" w:space="0" w:color="auto"/>
            </w:tcBorders>
            <w:vAlign w:val="center"/>
          </w:tcPr>
          <w:p w14:paraId="090537A4" w14:textId="77777777" w:rsidR="00302BFE" w:rsidRPr="00412826" w:rsidRDefault="00302BFE" w:rsidP="00243B15">
            <w:pPr>
              <w:spacing w:after="0"/>
              <w:ind w:left="30" w:right="30"/>
              <w:rPr>
                <w:sz w:val="18"/>
                <w:szCs w:val="18"/>
                <w:lang w:val="fr-FR"/>
              </w:rPr>
            </w:pPr>
          </w:p>
        </w:tc>
        <w:tc>
          <w:tcPr>
            <w:tcW w:w="378" w:type="dxa"/>
            <w:vMerge/>
            <w:tcBorders>
              <w:left w:val="single" w:sz="4" w:space="0" w:color="auto"/>
              <w:right w:val="single" w:sz="4" w:space="0" w:color="auto"/>
            </w:tcBorders>
            <w:vAlign w:val="center"/>
          </w:tcPr>
          <w:p w14:paraId="28344F8B" w14:textId="77777777" w:rsidR="00302BFE" w:rsidRPr="00412826" w:rsidRDefault="00302BFE" w:rsidP="00243B15">
            <w:pPr>
              <w:spacing w:after="0"/>
              <w:ind w:left="30" w:right="30"/>
              <w:jc w:val="center"/>
              <w:rPr>
                <w:sz w:val="18"/>
                <w:szCs w:val="18"/>
                <w:lang w:val="fr-FR"/>
              </w:rPr>
            </w:pPr>
          </w:p>
        </w:tc>
        <w:tc>
          <w:tcPr>
            <w:tcW w:w="1501" w:type="dxa"/>
            <w:tcBorders>
              <w:top w:val="single" w:sz="4" w:space="0" w:color="auto"/>
              <w:left w:val="single" w:sz="4" w:space="0" w:color="auto"/>
              <w:bottom w:val="single" w:sz="4" w:space="0" w:color="auto"/>
              <w:right w:val="single" w:sz="4" w:space="0" w:color="auto"/>
            </w:tcBorders>
            <w:vAlign w:val="center"/>
          </w:tcPr>
          <w:p w14:paraId="79DC4D7A" w14:textId="77777777" w:rsidR="00302BFE" w:rsidRPr="00412826" w:rsidRDefault="00302BFE" w:rsidP="00243B15">
            <w:pPr>
              <w:spacing w:after="0"/>
              <w:ind w:left="30" w:right="30"/>
              <w:jc w:val="center"/>
              <w:rPr>
                <w:sz w:val="18"/>
                <w:szCs w:val="18"/>
                <w:lang w:val="fr-FR"/>
              </w:rPr>
            </w:pPr>
            <w:r w:rsidRPr="00412826">
              <w:rPr>
                <w:sz w:val="18"/>
                <w:szCs w:val="18"/>
                <w:lang w:val="fr-FR"/>
              </w:rPr>
              <w:t>Barrage de Tougouri</w:t>
            </w:r>
          </w:p>
        </w:tc>
        <w:tc>
          <w:tcPr>
            <w:tcW w:w="1127" w:type="dxa"/>
            <w:tcBorders>
              <w:top w:val="single" w:sz="4" w:space="0" w:color="auto"/>
              <w:left w:val="single" w:sz="4" w:space="0" w:color="auto"/>
              <w:bottom w:val="single" w:sz="4" w:space="0" w:color="auto"/>
              <w:right w:val="single" w:sz="4" w:space="0" w:color="auto"/>
            </w:tcBorders>
            <w:vAlign w:val="center"/>
          </w:tcPr>
          <w:p w14:paraId="13953430" w14:textId="77777777" w:rsidR="00302BFE" w:rsidRPr="00412826" w:rsidRDefault="00302BFE" w:rsidP="00243B15">
            <w:pPr>
              <w:spacing w:after="0"/>
              <w:ind w:left="30" w:right="30"/>
              <w:jc w:val="center"/>
              <w:rPr>
                <w:sz w:val="18"/>
                <w:szCs w:val="18"/>
                <w:lang w:val="fr-FR"/>
              </w:rPr>
            </w:pPr>
            <w:r w:rsidRPr="00412826">
              <w:rPr>
                <w:sz w:val="18"/>
                <w:szCs w:val="18"/>
                <w:lang w:val="fr-FR"/>
              </w:rPr>
              <w:t>2009</w:t>
            </w:r>
          </w:p>
        </w:tc>
        <w:tc>
          <w:tcPr>
            <w:tcW w:w="2097" w:type="dxa"/>
            <w:tcBorders>
              <w:top w:val="single" w:sz="4" w:space="0" w:color="auto"/>
              <w:left w:val="single" w:sz="4" w:space="0" w:color="auto"/>
              <w:bottom w:val="single" w:sz="4" w:space="0" w:color="auto"/>
              <w:right w:val="single" w:sz="4" w:space="0" w:color="auto"/>
            </w:tcBorders>
            <w:vAlign w:val="center"/>
          </w:tcPr>
          <w:p w14:paraId="5DFFDA72" w14:textId="77777777" w:rsidR="00302BFE" w:rsidRPr="00412826" w:rsidRDefault="00302BFE" w:rsidP="00243B15">
            <w:pPr>
              <w:spacing w:after="0"/>
              <w:ind w:left="30" w:right="30"/>
              <w:jc w:val="center"/>
              <w:rPr>
                <w:sz w:val="18"/>
                <w:szCs w:val="18"/>
                <w:lang w:val="fr-FR"/>
              </w:rPr>
            </w:pPr>
            <w:r w:rsidRPr="00412826">
              <w:rPr>
                <w:sz w:val="18"/>
                <w:szCs w:val="18"/>
                <w:lang w:val="fr-FR"/>
              </w:rPr>
              <w:t>1</w:t>
            </w:r>
            <w:r>
              <w:rPr>
                <w:sz w:val="18"/>
                <w:szCs w:val="18"/>
                <w:lang w:val="fr-FR"/>
              </w:rPr>
              <w:t>,</w:t>
            </w:r>
            <w:r w:rsidRPr="00412826">
              <w:rPr>
                <w:sz w:val="18"/>
                <w:szCs w:val="18"/>
                <w:lang w:val="fr-FR"/>
              </w:rPr>
              <w:t>221</w:t>
            </w:r>
          </w:p>
        </w:tc>
        <w:tc>
          <w:tcPr>
            <w:tcW w:w="850" w:type="dxa"/>
            <w:tcBorders>
              <w:top w:val="nil"/>
              <w:left w:val="single" w:sz="4" w:space="0" w:color="auto"/>
              <w:bottom w:val="nil"/>
              <w:right w:val="nil"/>
            </w:tcBorders>
            <w:vAlign w:val="center"/>
          </w:tcPr>
          <w:p w14:paraId="3B6C2C6B" w14:textId="77777777" w:rsidR="00302BFE" w:rsidRPr="00412826" w:rsidRDefault="00302BFE" w:rsidP="00243B15">
            <w:pPr>
              <w:spacing w:after="0"/>
              <w:ind w:left="30" w:right="30"/>
              <w:jc w:val="center"/>
              <w:rPr>
                <w:sz w:val="18"/>
                <w:szCs w:val="18"/>
                <w:highlight w:val="yellow"/>
                <w:lang w:val="fr-FR"/>
              </w:rPr>
            </w:pPr>
          </w:p>
        </w:tc>
        <w:tc>
          <w:tcPr>
            <w:tcW w:w="1682" w:type="dxa"/>
            <w:tcBorders>
              <w:top w:val="nil"/>
              <w:left w:val="nil"/>
              <w:bottom w:val="nil"/>
              <w:right w:val="nil"/>
            </w:tcBorders>
            <w:vAlign w:val="center"/>
          </w:tcPr>
          <w:p w14:paraId="3FF0D904" w14:textId="77777777" w:rsidR="00302BFE" w:rsidRPr="00412826" w:rsidRDefault="00302BFE" w:rsidP="00243B15">
            <w:pPr>
              <w:spacing w:after="0"/>
              <w:ind w:left="30" w:right="30"/>
              <w:rPr>
                <w:sz w:val="18"/>
                <w:szCs w:val="18"/>
                <w:lang w:val="fr-FR"/>
              </w:rPr>
            </w:pPr>
          </w:p>
        </w:tc>
      </w:tr>
      <w:tr w:rsidR="00302BFE" w:rsidRPr="00412826" w14:paraId="66086F69" w14:textId="77777777" w:rsidTr="00243B15">
        <w:trPr>
          <w:jc w:val="center"/>
        </w:trPr>
        <w:tc>
          <w:tcPr>
            <w:tcW w:w="2117" w:type="dxa"/>
            <w:vMerge/>
            <w:tcBorders>
              <w:left w:val="single" w:sz="4" w:space="0" w:color="auto"/>
              <w:right w:val="single" w:sz="4" w:space="0" w:color="auto"/>
            </w:tcBorders>
            <w:vAlign w:val="center"/>
          </w:tcPr>
          <w:p w14:paraId="59425815" w14:textId="77777777" w:rsidR="00302BFE" w:rsidRPr="00412826" w:rsidRDefault="00302BFE" w:rsidP="00243B15">
            <w:pPr>
              <w:spacing w:after="0"/>
              <w:ind w:left="30" w:right="30"/>
              <w:rPr>
                <w:sz w:val="18"/>
                <w:szCs w:val="18"/>
                <w:lang w:val="fr-FR"/>
              </w:rPr>
            </w:pPr>
          </w:p>
        </w:tc>
        <w:tc>
          <w:tcPr>
            <w:tcW w:w="378" w:type="dxa"/>
            <w:vMerge/>
            <w:tcBorders>
              <w:left w:val="single" w:sz="4" w:space="0" w:color="auto"/>
              <w:right w:val="single" w:sz="4" w:space="0" w:color="auto"/>
            </w:tcBorders>
            <w:vAlign w:val="center"/>
          </w:tcPr>
          <w:p w14:paraId="6139F5BE" w14:textId="77777777" w:rsidR="00302BFE" w:rsidRPr="00412826" w:rsidRDefault="00302BFE" w:rsidP="00243B15">
            <w:pPr>
              <w:spacing w:after="0"/>
              <w:ind w:left="30" w:right="30"/>
              <w:jc w:val="center"/>
              <w:rPr>
                <w:sz w:val="18"/>
                <w:szCs w:val="18"/>
                <w:lang w:val="fr-FR"/>
              </w:rPr>
            </w:pPr>
          </w:p>
        </w:tc>
        <w:tc>
          <w:tcPr>
            <w:tcW w:w="1501" w:type="dxa"/>
            <w:tcBorders>
              <w:top w:val="single" w:sz="4" w:space="0" w:color="auto"/>
              <w:left w:val="single" w:sz="4" w:space="0" w:color="auto"/>
              <w:bottom w:val="single" w:sz="4" w:space="0" w:color="auto"/>
              <w:right w:val="single" w:sz="4" w:space="0" w:color="auto"/>
            </w:tcBorders>
            <w:vAlign w:val="center"/>
          </w:tcPr>
          <w:p w14:paraId="07956B3E" w14:textId="77777777" w:rsidR="00302BFE" w:rsidRPr="00412826" w:rsidRDefault="00302BFE" w:rsidP="00243B15">
            <w:pPr>
              <w:spacing w:after="0"/>
              <w:ind w:left="30" w:right="30"/>
              <w:jc w:val="center"/>
              <w:rPr>
                <w:sz w:val="18"/>
                <w:szCs w:val="18"/>
                <w:lang w:val="fr-FR"/>
              </w:rPr>
            </w:pPr>
            <w:r w:rsidRPr="00412826">
              <w:rPr>
                <w:sz w:val="18"/>
                <w:szCs w:val="18"/>
                <w:lang w:val="fr-FR"/>
              </w:rPr>
              <w:t>Barrage de Yalgo</w:t>
            </w:r>
          </w:p>
        </w:tc>
        <w:tc>
          <w:tcPr>
            <w:tcW w:w="1127" w:type="dxa"/>
            <w:tcBorders>
              <w:top w:val="single" w:sz="4" w:space="0" w:color="auto"/>
              <w:left w:val="single" w:sz="4" w:space="0" w:color="auto"/>
              <w:bottom w:val="single" w:sz="4" w:space="0" w:color="auto"/>
              <w:right w:val="single" w:sz="4" w:space="0" w:color="auto"/>
            </w:tcBorders>
            <w:vAlign w:val="center"/>
          </w:tcPr>
          <w:p w14:paraId="0A3FEE9C" w14:textId="77777777" w:rsidR="00302BFE" w:rsidRPr="00412826" w:rsidRDefault="00302BFE" w:rsidP="00243B15">
            <w:pPr>
              <w:spacing w:after="0"/>
              <w:ind w:left="30" w:right="30"/>
              <w:jc w:val="center"/>
              <w:rPr>
                <w:sz w:val="18"/>
                <w:szCs w:val="18"/>
                <w:lang w:val="fr-FR"/>
              </w:rPr>
            </w:pPr>
            <w:r w:rsidRPr="00412826">
              <w:rPr>
                <w:sz w:val="18"/>
                <w:szCs w:val="18"/>
                <w:lang w:val="fr-FR"/>
              </w:rPr>
              <w:t>2016</w:t>
            </w:r>
          </w:p>
        </w:tc>
        <w:tc>
          <w:tcPr>
            <w:tcW w:w="2097" w:type="dxa"/>
            <w:tcBorders>
              <w:top w:val="single" w:sz="4" w:space="0" w:color="auto"/>
              <w:left w:val="single" w:sz="4" w:space="0" w:color="auto"/>
              <w:bottom w:val="single" w:sz="4" w:space="0" w:color="auto"/>
              <w:right w:val="single" w:sz="4" w:space="0" w:color="auto"/>
            </w:tcBorders>
            <w:vAlign w:val="center"/>
          </w:tcPr>
          <w:p w14:paraId="51B19C48" w14:textId="77777777" w:rsidR="00302BFE" w:rsidRPr="00412826" w:rsidRDefault="00302BFE" w:rsidP="00243B15">
            <w:pPr>
              <w:spacing w:after="0"/>
              <w:ind w:left="30" w:right="30"/>
              <w:jc w:val="center"/>
              <w:rPr>
                <w:sz w:val="18"/>
                <w:szCs w:val="18"/>
                <w:lang w:val="fr-FR"/>
              </w:rPr>
            </w:pPr>
            <w:r w:rsidRPr="00412826">
              <w:rPr>
                <w:sz w:val="18"/>
                <w:szCs w:val="18"/>
                <w:lang w:val="fr-FR"/>
              </w:rPr>
              <w:t>4</w:t>
            </w:r>
            <w:r>
              <w:rPr>
                <w:sz w:val="18"/>
                <w:szCs w:val="18"/>
                <w:lang w:val="fr-FR"/>
              </w:rPr>
              <w:t>,</w:t>
            </w:r>
            <w:r w:rsidRPr="00412826">
              <w:rPr>
                <w:sz w:val="18"/>
                <w:szCs w:val="18"/>
                <w:lang w:val="fr-FR"/>
              </w:rPr>
              <w:t>522</w:t>
            </w:r>
          </w:p>
        </w:tc>
        <w:tc>
          <w:tcPr>
            <w:tcW w:w="850" w:type="dxa"/>
            <w:tcBorders>
              <w:top w:val="nil"/>
              <w:left w:val="single" w:sz="4" w:space="0" w:color="auto"/>
              <w:bottom w:val="nil"/>
              <w:right w:val="nil"/>
            </w:tcBorders>
            <w:vAlign w:val="center"/>
          </w:tcPr>
          <w:p w14:paraId="25C5462E" w14:textId="77777777" w:rsidR="00302BFE" w:rsidRPr="00412826" w:rsidRDefault="00302BFE" w:rsidP="00243B15">
            <w:pPr>
              <w:spacing w:after="0"/>
              <w:ind w:left="30" w:right="30"/>
              <w:jc w:val="center"/>
              <w:rPr>
                <w:sz w:val="18"/>
                <w:szCs w:val="18"/>
                <w:highlight w:val="yellow"/>
                <w:lang w:val="fr-FR"/>
              </w:rPr>
            </w:pPr>
          </w:p>
        </w:tc>
        <w:tc>
          <w:tcPr>
            <w:tcW w:w="1682" w:type="dxa"/>
            <w:tcBorders>
              <w:top w:val="nil"/>
              <w:left w:val="nil"/>
              <w:bottom w:val="nil"/>
              <w:right w:val="nil"/>
            </w:tcBorders>
            <w:vAlign w:val="center"/>
          </w:tcPr>
          <w:p w14:paraId="1C222C41" w14:textId="77777777" w:rsidR="00302BFE" w:rsidRPr="00412826" w:rsidRDefault="00302BFE" w:rsidP="00243B15">
            <w:pPr>
              <w:spacing w:after="0"/>
              <w:ind w:left="30" w:right="30"/>
              <w:rPr>
                <w:sz w:val="18"/>
                <w:szCs w:val="18"/>
                <w:lang w:val="fr-FR"/>
              </w:rPr>
            </w:pPr>
          </w:p>
        </w:tc>
      </w:tr>
      <w:tr w:rsidR="00302BFE" w:rsidRPr="00412826" w14:paraId="4CE80583" w14:textId="77777777" w:rsidTr="00243B15">
        <w:trPr>
          <w:jc w:val="center"/>
        </w:trPr>
        <w:tc>
          <w:tcPr>
            <w:tcW w:w="2117" w:type="dxa"/>
            <w:vMerge/>
            <w:tcBorders>
              <w:left w:val="single" w:sz="4" w:space="0" w:color="auto"/>
              <w:right w:val="single" w:sz="4" w:space="0" w:color="auto"/>
            </w:tcBorders>
            <w:vAlign w:val="center"/>
          </w:tcPr>
          <w:p w14:paraId="6CA6F904" w14:textId="77777777" w:rsidR="00302BFE" w:rsidRPr="00412826" w:rsidRDefault="00302BFE" w:rsidP="00243B15">
            <w:pPr>
              <w:spacing w:after="0"/>
              <w:ind w:left="30" w:right="30"/>
              <w:rPr>
                <w:sz w:val="18"/>
                <w:szCs w:val="18"/>
                <w:lang w:val="fr-FR"/>
              </w:rPr>
            </w:pPr>
          </w:p>
        </w:tc>
        <w:tc>
          <w:tcPr>
            <w:tcW w:w="378" w:type="dxa"/>
            <w:vMerge/>
            <w:tcBorders>
              <w:left w:val="single" w:sz="4" w:space="0" w:color="auto"/>
              <w:right w:val="single" w:sz="4" w:space="0" w:color="auto"/>
            </w:tcBorders>
            <w:vAlign w:val="center"/>
          </w:tcPr>
          <w:p w14:paraId="5CAC018B" w14:textId="77777777" w:rsidR="00302BFE" w:rsidRPr="00412826" w:rsidRDefault="00302BFE" w:rsidP="00243B15">
            <w:pPr>
              <w:spacing w:after="0"/>
              <w:ind w:left="30" w:right="30"/>
              <w:jc w:val="center"/>
              <w:rPr>
                <w:sz w:val="18"/>
                <w:szCs w:val="18"/>
                <w:lang w:val="fr-FR"/>
              </w:rPr>
            </w:pPr>
          </w:p>
        </w:tc>
        <w:tc>
          <w:tcPr>
            <w:tcW w:w="1501" w:type="dxa"/>
            <w:tcBorders>
              <w:top w:val="single" w:sz="4" w:space="0" w:color="auto"/>
              <w:left w:val="single" w:sz="4" w:space="0" w:color="auto"/>
              <w:bottom w:val="single" w:sz="4" w:space="0" w:color="auto"/>
              <w:right w:val="single" w:sz="4" w:space="0" w:color="auto"/>
            </w:tcBorders>
            <w:vAlign w:val="center"/>
          </w:tcPr>
          <w:p w14:paraId="4DC40B56" w14:textId="77777777" w:rsidR="00302BFE" w:rsidRPr="00412826" w:rsidRDefault="00302BFE" w:rsidP="00243B15">
            <w:pPr>
              <w:spacing w:after="0"/>
              <w:ind w:left="30" w:right="30"/>
              <w:jc w:val="center"/>
              <w:rPr>
                <w:sz w:val="18"/>
                <w:szCs w:val="18"/>
                <w:lang w:val="fr-FR"/>
              </w:rPr>
            </w:pPr>
            <w:r w:rsidRPr="00412826">
              <w:rPr>
                <w:sz w:val="18"/>
                <w:szCs w:val="18"/>
                <w:lang w:val="fr-FR"/>
              </w:rPr>
              <w:t>Bassin du Nakambé-Mané</w:t>
            </w:r>
          </w:p>
        </w:tc>
        <w:tc>
          <w:tcPr>
            <w:tcW w:w="1127" w:type="dxa"/>
            <w:tcBorders>
              <w:top w:val="single" w:sz="4" w:space="0" w:color="auto"/>
              <w:left w:val="single" w:sz="4" w:space="0" w:color="auto"/>
              <w:bottom w:val="single" w:sz="4" w:space="0" w:color="auto"/>
              <w:right w:val="single" w:sz="4" w:space="0" w:color="auto"/>
            </w:tcBorders>
            <w:vAlign w:val="center"/>
          </w:tcPr>
          <w:p w14:paraId="74F3B3E9" w14:textId="77777777" w:rsidR="00302BFE" w:rsidRPr="00412826" w:rsidRDefault="00302BFE" w:rsidP="00243B15">
            <w:pPr>
              <w:spacing w:after="0"/>
              <w:ind w:left="30" w:right="30"/>
              <w:jc w:val="center"/>
              <w:rPr>
                <w:sz w:val="18"/>
                <w:szCs w:val="18"/>
                <w:lang w:val="fr-FR"/>
              </w:rPr>
            </w:pPr>
            <w:r w:rsidRPr="00412826">
              <w:rPr>
                <w:sz w:val="18"/>
                <w:szCs w:val="18"/>
                <w:lang w:val="fr-FR"/>
              </w:rPr>
              <w:t>2016</w:t>
            </w:r>
          </w:p>
        </w:tc>
        <w:tc>
          <w:tcPr>
            <w:tcW w:w="2097" w:type="dxa"/>
            <w:tcBorders>
              <w:top w:val="single" w:sz="4" w:space="0" w:color="auto"/>
              <w:left w:val="single" w:sz="4" w:space="0" w:color="auto"/>
              <w:bottom w:val="single" w:sz="4" w:space="0" w:color="auto"/>
              <w:right w:val="single" w:sz="4" w:space="0" w:color="auto"/>
            </w:tcBorders>
            <w:vAlign w:val="center"/>
          </w:tcPr>
          <w:p w14:paraId="4449F166" w14:textId="77777777" w:rsidR="00302BFE" w:rsidRPr="00412826" w:rsidRDefault="00302BFE" w:rsidP="00243B15">
            <w:pPr>
              <w:spacing w:after="0"/>
              <w:ind w:left="30" w:right="30"/>
              <w:jc w:val="center"/>
              <w:rPr>
                <w:sz w:val="18"/>
                <w:szCs w:val="18"/>
                <w:lang w:val="fr-FR"/>
              </w:rPr>
            </w:pPr>
            <w:r w:rsidRPr="00412826">
              <w:rPr>
                <w:sz w:val="18"/>
                <w:szCs w:val="18"/>
                <w:lang w:val="fr-FR"/>
              </w:rPr>
              <w:t>2</w:t>
            </w:r>
            <w:r>
              <w:rPr>
                <w:sz w:val="18"/>
                <w:szCs w:val="18"/>
                <w:lang w:val="fr-FR"/>
              </w:rPr>
              <w:t>,</w:t>
            </w:r>
            <w:r w:rsidRPr="00412826">
              <w:rPr>
                <w:sz w:val="18"/>
                <w:szCs w:val="18"/>
                <w:lang w:val="fr-FR"/>
              </w:rPr>
              <w:t>254</w:t>
            </w:r>
          </w:p>
        </w:tc>
        <w:tc>
          <w:tcPr>
            <w:tcW w:w="850" w:type="dxa"/>
            <w:tcBorders>
              <w:top w:val="nil"/>
              <w:left w:val="single" w:sz="4" w:space="0" w:color="auto"/>
              <w:bottom w:val="nil"/>
              <w:right w:val="nil"/>
            </w:tcBorders>
            <w:vAlign w:val="center"/>
          </w:tcPr>
          <w:p w14:paraId="63BEA45A" w14:textId="77777777" w:rsidR="00302BFE" w:rsidRPr="00412826" w:rsidRDefault="00302BFE" w:rsidP="00243B15">
            <w:pPr>
              <w:spacing w:after="0"/>
              <w:ind w:left="30" w:right="30"/>
              <w:jc w:val="center"/>
              <w:rPr>
                <w:sz w:val="18"/>
                <w:szCs w:val="18"/>
                <w:highlight w:val="yellow"/>
                <w:lang w:val="fr-FR"/>
              </w:rPr>
            </w:pPr>
          </w:p>
        </w:tc>
        <w:tc>
          <w:tcPr>
            <w:tcW w:w="1682" w:type="dxa"/>
            <w:tcBorders>
              <w:top w:val="nil"/>
              <w:left w:val="nil"/>
              <w:bottom w:val="nil"/>
              <w:right w:val="nil"/>
            </w:tcBorders>
            <w:vAlign w:val="center"/>
          </w:tcPr>
          <w:p w14:paraId="23B409C8" w14:textId="77777777" w:rsidR="00302BFE" w:rsidRPr="00412826" w:rsidRDefault="00302BFE" w:rsidP="00243B15">
            <w:pPr>
              <w:spacing w:after="0"/>
              <w:ind w:left="30" w:right="30"/>
              <w:rPr>
                <w:sz w:val="18"/>
                <w:szCs w:val="18"/>
                <w:lang w:val="fr-FR"/>
              </w:rPr>
            </w:pPr>
          </w:p>
        </w:tc>
      </w:tr>
      <w:tr w:rsidR="00302BFE" w:rsidRPr="00412826" w14:paraId="1D4A86BA" w14:textId="77777777" w:rsidTr="00243B15">
        <w:trPr>
          <w:jc w:val="center"/>
        </w:trPr>
        <w:tc>
          <w:tcPr>
            <w:tcW w:w="2117" w:type="dxa"/>
            <w:vMerge/>
            <w:tcBorders>
              <w:left w:val="single" w:sz="4" w:space="0" w:color="auto"/>
              <w:right w:val="single" w:sz="4" w:space="0" w:color="auto"/>
            </w:tcBorders>
            <w:vAlign w:val="center"/>
          </w:tcPr>
          <w:p w14:paraId="7C2853D8" w14:textId="77777777" w:rsidR="00302BFE" w:rsidRPr="00412826" w:rsidRDefault="00302BFE" w:rsidP="00243B15">
            <w:pPr>
              <w:spacing w:after="0"/>
              <w:ind w:left="30" w:right="30"/>
              <w:rPr>
                <w:sz w:val="18"/>
                <w:szCs w:val="18"/>
                <w:lang w:val="fr-FR"/>
              </w:rPr>
            </w:pPr>
          </w:p>
        </w:tc>
        <w:tc>
          <w:tcPr>
            <w:tcW w:w="378" w:type="dxa"/>
            <w:vMerge/>
            <w:tcBorders>
              <w:left w:val="single" w:sz="4" w:space="0" w:color="auto"/>
              <w:right w:val="single" w:sz="4" w:space="0" w:color="auto"/>
            </w:tcBorders>
            <w:vAlign w:val="center"/>
          </w:tcPr>
          <w:p w14:paraId="32257CD5" w14:textId="77777777" w:rsidR="00302BFE" w:rsidRPr="00412826" w:rsidRDefault="00302BFE" w:rsidP="00243B15">
            <w:pPr>
              <w:spacing w:after="0"/>
              <w:ind w:left="30" w:right="30"/>
              <w:jc w:val="center"/>
              <w:rPr>
                <w:sz w:val="18"/>
                <w:szCs w:val="18"/>
                <w:lang w:val="fr-FR"/>
              </w:rPr>
            </w:pPr>
          </w:p>
        </w:tc>
        <w:tc>
          <w:tcPr>
            <w:tcW w:w="1501" w:type="dxa"/>
            <w:tcBorders>
              <w:top w:val="single" w:sz="4" w:space="0" w:color="auto"/>
              <w:left w:val="single" w:sz="4" w:space="0" w:color="auto"/>
              <w:bottom w:val="single" w:sz="4" w:space="0" w:color="auto"/>
              <w:right w:val="single" w:sz="4" w:space="0" w:color="auto"/>
            </w:tcBorders>
            <w:vAlign w:val="center"/>
          </w:tcPr>
          <w:p w14:paraId="6332B87D" w14:textId="77777777" w:rsidR="00302BFE" w:rsidRPr="00412826" w:rsidRDefault="00302BFE" w:rsidP="00243B15">
            <w:pPr>
              <w:spacing w:after="0"/>
              <w:ind w:left="30" w:right="30"/>
              <w:jc w:val="center"/>
              <w:rPr>
                <w:sz w:val="18"/>
                <w:szCs w:val="18"/>
                <w:lang w:val="fr-FR"/>
              </w:rPr>
            </w:pPr>
            <w:r w:rsidRPr="00412826">
              <w:rPr>
                <w:sz w:val="18"/>
                <w:szCs w:val="18"/>
                <w:lang w:val="fr-FR"/>
              </w:rPr>
              <w:t>Complexe d’aires protégées Pô-Nazinga-Sissili</w:t>
            </w:r>
          </w:p>
        </w:tc>
        <w:tc>
          <w:tcPr>
            <w:tcW w:w="1127" w:type="dxa"/>
            <w:tcBorders>
              <w:top w:val="single" w:sz="4" w:space="0" w:color="auto"/>
              <w:left w:val="single" w:sz="4" w:space="0" w:color="auto"/>
              <w:bottom w:val="single" w:sz="4" w:space="0" w:color="auto"/>
              <w:right w:val="single" w:sz="4" w:space="0" w:color="auto"/>
            </w:tcBorders>
            <w:vAlign w:val="center"/>
          </w:tcPr>
          <w:p w14:paraId="2BDC8DB2" w14:textId="77777777" w:rsidR="00302BFE" w:rsidRPr="00412826" w:rsidRDefault="00302BFE" w:rsidP="00243B15">
            <w:pPr>
              <w:spacing w:after="0"/>
              <w:ind w:left="30" w:right="30"/>
              <w:jc w:val="center"/>
              <w:rPr>
                <w:sz w:val="18"/>
                <w:szCs w:val="18"/>
                <w:lang w:val="fr-FR"/>
              </w:rPr>
            </w:pPr>
            <w:r w:rsidRPr="00412826">
              <w:rPr>
                <w:sz w:val="18"/>
                <w:szCs w:val="18"/>
                <w:lang w:val="fr-FR"/>
              </w:rPr>
              <w:t>2018</w:t>
            </w:r>
          </w:p>
        </w:tc>
        <w:tc>
          <w:tcPr>
            <w:tcW w:w="2097" w:type="dxa"/>
            <w:tcBorders>
              <w:top w:val="single" w:sz="4" w:space="0" w:color="auto"/>
              <w:left w:val="single" w:sz="4" w:space="0" w:color="auto"/>
              <w:bottom w:val="single" w:sz="4" w:space="0" w:color="auto"/>
              <w:right w:val="single" w:sz="4" w:space="0" w:color="auto"/>
            </w:tcBorders>
            <w:vAlign w:val="center"/>
          </w:tcPr>
          <w:p w14:paraId="4734A9EC" w14:textId="77777777" w:rsidR="00302BFE" w:rsidRPr="00412826" w:rsidRDefault="00302BFE" w:rsidP="00243B15">
            <w:pPr>
              <w:spacing w:after="0"/>
              <w:ind w:left="30" w:right="30"/>
              <w:jc w:val="center"/>
              <w:rPr>
                <w:sz w:val="18"/>
                <w:szCs w:val="18"/>
                <w:lang w:val="fr-FR"/>
              </w:rPr>
            </w:pPr>
            <w:r w:rsidRPr="00412826">
              <w:rPr>
                <w:sz w:val="18"/>
                <w:szCs w:val="18"/>
                <w:lang w:val="fr-FR"/>
              </w:rPr>
              <w:t>301</w:t>
            </w:r>
            <w:r>
              <w:rPr>
                <w:sz w:val="18"/>
                <w:szCs w:val="18"/>
                <w:lang w:val="fr-FR"/>
              </w:rPr>
              <w:t>,</w:t>
            </w:r>
            <w:r w:rsidRPr="00412826">
              <w:rPr>
                <w:sz w:val="18"/>
                <w:szCs w:val="18"/>
                <w:lang w:val="fr-FR"/>
              </w:rPr>
              <w:t>972</w:t>
            </w:r>
          </w:p>
        </w:tc>
        <w:tc>
          <w:tcPr>
            <w:tcW w:w="850" w:type="dxa"/>
            <w:tcBorders>
              <w:top w:val="nil"/>
              <w:left w:val="single" w:sz="4" w:space="0" w:color="auto"/>
              <w:bottom w:val="nil"/>
              <w:right w:val="nil"/>
            </w:tcBorders>
            <w:vAlign w:val="center"/>
          </w:tcPr>
          <w:p w14:paraId="4A67AEC8" w14:textId="77777777" w:rsidR="00302BFE" w:rsidRPr="00412826" w:rsidRDefault="00302BFE" w:rsidP="00243B15">
            <w:pPr>
              <w:spacing w:after="0"/>
              <w:ind w:left="30" w:right="30"/>
              <w:jc w:val="center"/>
              <w:rPr>
                <w:sz w:val="18"/>
                <w:szCs w:val="18"/>
                <w:highlight w:val="yellow"/>
                <w:lang w:val="fr-FR"/>
              </w:rPr>
            </w:pPr>
          </w:p>
        </w:tc>
        <w:tc>
          <w:tcPr>
            <w:tcW w:w="1682" w:type="dxa"/>
            <w:tcBorders>
              <w:top w:val="nil"/>
              <w:left w:val="nil"/>
              <w:bottom w:val="nil"/>
              <w:right w:val="nil"/>
            </w:tcBorders>
            <w:vAlign w:val="center"/>
          </w:tcPr>
          <w:p w14:paraId="06A905A7" w14:textId="77777777" w:rsidR="00302BFE" w:rsidRPr="00412826" w:rsidRDefault="00302BFE" w:rsidP="00243B15">
            <w:pPr>
              <w:spacing w:after="0"/>
              <w:ind w:left="30" w:right="30"/>
              <w:rPr>
                <w:sz w:val="18"/>
                <w:szCs w:val="18"/>
                <w:lang w:val="fr-FR"/>
              </w:rPr>
            </w:pPr>
          </w:p>
        </w:tc>
      </w:tr>
      <w:tr w:rsidR="00302BFE" w:rsidRPr="00412826" w14:paraId="03687713" w14:textId="77777777" w:rsidTr="00243B15">
        <w:trPr>
          <w:jc w:val="center"/>
        </w:trPr>
        <w:tc>
          <w:tcPr>
            <w:tcW w:w="2117" w:type="dxa"/>
            <w:vMerge/>
            <w:tcBorders>
              <w:left w:val="single" w:sz="4" w:space="0" w:color="auto"/>
              <w:right w:val="single" w:sz="4" w:space="0" w:color="auto"/>
            </w:tcBorders>
            <w:vAlign w:val="center"/>
          </w:tcPr>
          <w:p w14:paraId="4F1F43BE" w14:textId="77777777" w:rsidR="00302BFE" w:rsidRPr="00412826" w:rsidRDefault="00302BFE" w:rsidP="00243B15">
            <w:pPr>
              <w:spacing w:after="0"/>
              <w:ind w:left="30" w:right="30"/>
              <w:rPr>
                <w:sz w:val="18"/>
                <w:szCs w:val="18"/>
                <w:lang w:val="fr-FR"/>
              </w:rPr>
            </w:pPr>
          </w:p>
        </w:tc>
        <w:tc>
          <w:tcPr>
            <w:tcW w:w="378" w:type="dxa"/>
            <w:vMerge/>
            <w:tcBorders>
              <w:left w:val="single" w:sz="4" w:space="0" w:color="auto"/>
              <w:right w:val="single" w:sz="4" w:space="0" w:color="auto"/>
            </w:tcBorders>
            <w:vAlign w:val="center"/>
          </w:tcPr>
          <w:p w14:paraId="7D76B65F" w14:textId="77777777" w:rsidR="00302BFE" w:rsidRPr="00412826" w:rsidRDefault="00302BFE" w:rsidP="00243B15">
            <w:pPr>
              <w:spacing w:after="0"/>
              <w:ind w:left="30" w:right="30"/>
              <w:jc w:val="center"/>
              <w:rPr>
                <w:sz w:val="18"/>
                <w:szCs w:val="18"/>
                <w:lang w:val="fr-FR"/>
              </w:rPr>
            </w:pPr>
          </w:p>
        </w:tc>
        <w:tc>
          <w:tcPr>
            <w:tcW w:w="1501" w:type="dxa"/>
            <w:tcBorders>
              <w:top w:val="single" w:sz="4" w:space="0" w:color="auto"/>
              <w:left w:val="single" w:sz="4" w:space="0" w:color="auto"/>
              <w:bottom w:val="single" w:sz="4" w:space="0" w:color="auto"/>
              <w:right w:val="single" w:sz="4" w:space="0" w:color="auto"/>
            </w:tcBorders>
            <w:vAlign w:val="center"/>
          </w:tcPr>
          <w:p w14:paraId="4E3F5F5C" w14:textId="77777777" w:rsidR="00302BFE" w:rsidRPr="00412826" w:rsidRDefault="00302BFE" w:rsidP="00243B15">
            <w:pPr>
              <w:spacing w:after="0"/>
              <w:ind w:left="30" w:right="30"/>
              <w:jc w:val="center"/>
              <w:rPr>
                <w:sz w:val="18"/>
                <w:szCs w:val="18"/>
                <w:lang w:val="fr-FR"/>
              </w:rPr>
            </w:pPr>
            <w:r w:rsidRPr="00412826">
              <w:rPr>
                <w:sz w:val="18"/>
                <w:szCs w:val="18"/>
                <w:lang w:val="fr-FR"/>
              </w:rPr>
              <w:t>Complexe du Parc urbain Bangr-Weoogo et du Lac des Trois Barrages</w:t>
            </w:r>
          </w:p>
        </w:tc>
        <w:tc>
          <w:tcPr>
            <w:tcW w:w="1127" w:type="dxa"/>
            <w:tcBorders>
              <w:top w:val="single" w:sz="4" w:space="0" w:color="auto"/>
              <w:left w:val="single" w:sz="4" w:space="0" w:color="auto"/>
              <w:bottom w:val="single" w:sz="4" w:space="0" w:color="auto"/>
              <w:right w:val="single" w:sz="4" w:space="0" w:color="auto"/>
            </w:tcBorders>
            <w:vAlign w:val="center"/>
          </w:tcPr>
          <w:p w14:paraId="703A2835" w14:textId="77777777" w:rsidR="00302BFE" w:rsidRPr="00412826" w:rsidRDefault="00302BFE" w:rsidP="00243B15">
            <w:pPr>
              <w:spacing w:after="0"/>
              <w:ind w:left="30" w:right="30"/>
              <w:jc w:val="center"/>
              <w:rPr>
                <w:sz w:val="18"/>
                <w:szCs w:val="18"/>
                <w:lang w:val="fr-FR"/>
              </w:rPr>
            </w:pPr>
            <w:r w:rsidRPr="00412826">
              <w:rPr>
                <w:sz w:val="18"/>
                <w:szCs w:val="18"/>
                <w:lang w:val="fr-FR"/>
              </w:rPr>
              <w:t>2019</w:t>
            </w:r>
          </w:p>
        </w:tc>
        <w:tc>
          <w:tcPr>
            <w:tcW w:w="2097" w:type="dxa"/>
            <w:tcBorders>
              <w:top w:val="single" w:sz="4" w:space="0" w:color="auto"/>
              <w:left w:val="single" w:sz="4" w:space="0" w:color="auto"/>
              <w:bottom w:val="single" w:sz="4" w:space="0" w:color="auto"/>
              <w:right w:val="single" w:sz="4" w:space="0" w:color="auto"/>
            </w:tcBorders>
            <w:vAlign w:val="center"/>
          </w:tcPr>
          <w:p w14:paraId="022566A7" w14:textId="77777777" w:rsidR="00302BFE" w:rsidRPr="00412826" w:rsidRDefault="00302BFE" w:rsidP="00243B15">
            <w:pPr>
              <w:spacing w:after="0"/>
              <w:ind w:left="30" w:right="30"/>
              <w:jc w:val="center"/>
              <w:rPr>
                <w:sz w:val="18"/>
                <w:szCs w:val="18"/>
                <w:lang w:val="fr-FR"/>
              </w:rPr>
            </w:pPr>
            <w:r w:rsidRPr="00412826">
              <w:rPr>
                <w:sz w:val="18"/>
                <w:szCs w:val="18"/>
                <w:lang w:val="fr-FR"/>
              </w:rPr>
              <w:t>945</w:t>
            </w:r>
          </w:p>
        </w:tc>
        <w:tc>
          <w:tcPr>
            <w:tcW w:w="850" w:type="dxa"/>
            <w:tcBorders>
              <w:top w:val="nil"/>
              <w:left w:val="single" w:sz="4" w:space="0" w:color="auto"/>
              <w:bottom w:val="nil"/>
              <w:right w:val="nil"/>
            </w:tcBorders>
            <w:vAlign w:val="center"/>
          </w:tcPr>
          <w:p w14:paraId="6FDFCFA2" w14:textId="77777777" w:rsidR="00302BFE" w:rsidRPr="00412826" w:rsidRDefault="00302BFE" w:rsidP="00243B15">
            <w:pPr>
              <w:spacing w:after="0"/>
              <w:ind w:left="30" w:right="30"/>
              <w:jc w:val="center"/>
              <w:rPr>
                <w:sz w:val="18"/>
                <w:szCs w:val="18"/>
                <w:highlight w:val="yellow"/>
                <w:lang w:val="fr-FR"/>
              </w:rPr>
            </w:pPr>
          </w:p>
        </w:tc>
        <w:tc>
          <w:tcPr>
            <w:tcW w:w="1682" w:type="dxa"/>
            <w:tcBorders>
              <w:top w:val="nil"/>
              <w:left w:val="nil"/>
              <w:bottom w:val="nil"/>
              <w:right w:val="nil"/>
            </w:tcBorders>
            <w:vAlign w:val="center"/>
          </w:tcPr>
          <w:p w14:paraId="782D782E" w14:textId="77777777" w:rsidR="00302BFE" w:rsidRPr="00412826" w:rsidRDefault="00302BFE" w:rsidP="00243B15">
            <w:pPr>
              <w:spacing w:after="0"/>
              <w:ind w:left="30" w:right="30"/>
              <w:rPr>
                <w:sz w:val="18"/>
                <w:szCs w:val="18"/>
                <w:lang w:val="fr-FR"/>
              </w:rPr>
            </w:pPr>
          </w:p>
        </w:tc>
      </w:tr>
      <w:tr w:rsidR="00302BFE" w:rsidRPr="00412826" w14:paraId="4C88D62C" w14:textId="77777777" w:rsidTr="00243B15">
        <w:trPr>
          <w:jc w:val="center"/>
        </w:trPr>
        <w:tc>
          <w:tcPr>
            <w:tcW w:w="2117" w:type="dxa"/>
            <w:vMerge/>
            <w:tcBorders>
              <w:left w:val="single" w:sz="4" w:space="0" w:color="auto"/>
              <w:right w:val="single" w:sz="4" w:space="0" w:color="auto"/>
            </w:tcBorders>
            <w:vAlign w:val="center"/>
          </w:tcPr>
          <w:p w14:paraId="59ACB8D7" w14:textId="77777777" w:rsidR="00302BFE" w:rsidRPr="00412826" w:rsidRDefault="00302BFE" w:rsidP="00243B15">
            <w:pPr>
              <w:spacing w:after="0"/>
              <w:ind w:left="30" w:right="30"/>
              <w:rPr>
                <w:sz w:val="18"/>
                <w:szCs w:val="18"/>
                <w:lang w:val="fr-FR"/>
              </w:rPr>
            </w:pPr>
          </w:p>
        </w:tc>
        <w:tc>
          <w:tcPr>
            <w:tcW w:w="378" w:type="dxa"/>
            <w:vMerge/>
            <w:tcBorders>
              <w:left w:val="single" w:sz="4" w:space="0" w:color="auto"/>
              <w:right w:val="single" w:sz="4" w:space="0" w:color="auto"/>
            </w:tcBorders>
            <w:vAlign w:val="center"/>
          </w:tcPr>
          <w:p w14:paraId="523BFF00" w14:textId="77777777" w:rsidR="00302BFE" w:rsidRPr="00412826" w:rsidRDefault="00302BFE" w:rsidP="00243B15">
            <w:pPr>
              <w:spacing w:after="0"/>
              <w:ind w:left="30" w:right="30"/>
              <w:jc w:val="center"/>
              <w:rPr>
                <w:sz w:val="18"/>
                <w:szCs w:val="18"/>
                <w:lang w:val="fr-FR"/>
              </w:rPr>
            </w:pPr>
          </w:p>
        </w:tc>
        <w:tc>
          <w:tcPr>
            <w:tcW w:w="1501" w:type="dxa"/>
            <w:tcBorders>
              <w:top w:val="single" w:sz="4" w:space="0" w:color="auto"/>
              <w:left w:val="single" w:sz="4" w:space="0" w:color="auto"/>
              <w:bottom w:val="single" w:sz="4" w:space="0" w:color="auto"/>
              <w:right w:val="single" w:sz="4" w:space="0" w:color="auto"/>
            </w:tcBorders>
            <w:vAlign w:val="center"/>
          </w:tcPr>
          <w:p w14:paraId="62B2763E" w14:textId="77777777" w:rsidR="00302BFE" w:rsidRPr="00412826" w:rsidRDefault="00302BFE" w:rsidP="00243B15">
            <w:pPr>
              <w:spacing w:after="0"/>
              <w:ind w:left="30" w:right="30"/>
              <w:jc w:val="center"/>
              <w:rPr>
                <w:sz w:val="18"/>
                <w:szCs w:val="18"/>
                <w:lang w:val="fr-FR"/>
              </w:rPr>
            </w:pPr>
            <w:r w:rsidRPr="00412826">
              <w:rPr>
                <w:sz w:val="18"/>
                <w:szCs w:val="18"/>
                <w:lang w:val="fr-FR"/>
              </w:rPr>
              <w:t>Cône d’épandage de Banh</w:t>
            </w:r>
          </w:p>
        </w:tc>
        <w:tc>
          <w:tcPr>
            <w:tcW w:w="1127" w:type="dxa"/>
            <w:tcBorders>
              <w:top w:val="single" w:sz="4" w:space="0" w:color="auto"/>
              <w:left w:val="single" w:sz="4" w:space="0" w:color="auto"/>
              <w:bottom w:val="single" w:sz="4" w:space="0" w:color="auto"/>
              <w:right w:val="single" w:sz="4" w:space="0" w:color="auto"/>
            </w:tcBorders>
            <w:vAlign w:val="center"/>
          </w:tcPr>
          <w:p w14:paraId="736F2128" w14:textId="77777777" w:rsidR="00302BFE" w:rsidRPr="00412826" w:rsidRDefault="00302BFE" w:rsidP="00243B15">
            <w:pPr>
              <w:spacing w:after="0"/>
              <w:ind w:left="30" w:right="30"/>
              <w:jc w:val="center"/>
              <w:rPr>
                <w:sz w:val="18"/>
                <w:szCs w:val="18"/>
                <w:lang w:val="fr-FR"/>
              </w:rPr>
            </w:pPr>
            <w:r w:rsidRPr="00412826">
              <w:rPr>
                <w:sz w:val="18"/>
                <w:szCs w:val="18"/>
                <w:lang w:val="fr-FR"/>
              </w:rPr>
              <w:t>2009</w:t>
            </w:r>
          </w:p>
        </w:tc>
        <w:tc>
          <w:tcPr>
            <w:tcW w:w="2097" w:type="dxa"/>
            <w:tcBorders>
              <w:top w:val="single" w:sz="4" w:space="0" w:color="auto"/>
              <w:left w:val="single" w:sz="4" w:space="0" w:color="auto"/>
              <w:bottom w:val="single" w:sz="4" w:space="0" w:color="auto"/>
              <w:right w:val="single" w:sz="4" w:space="0" w:color="auto"/>
            </w:tcBorders>
            <w:vAlign w:val="center"/>
          </w:tcPr>
          <w:p w14:paraId="0957E64F" w14:textId="77777777" w:rsidR="00302BFE" w:rsidRPr="00412826" w:rsidRDefault="00302BFE" w:rsidP="00243B15">
            <w:pPr>
              <w:spacing w:after="0"/>
              <w:ind w:left="30" w:right="30"/>
              <w:jc w:val="center"/>
              <w:rPr>
                <w:sz w:val="18"/>
                <w:szCs w:val="18"/>
                <w:lang w:val="fr-FR"/>
              </w:rPr>
            </w:pPr>
            <w:r w:rsidRPr="00412826">
              <w:rPr>
                <w:sz w:val="18"/>
                <w:szCs w:val="18"/>
                <w:lang w:val="fr-FR"/>
              </w:rPr>
              <w:t>10</w:t>
            </w:r>
            <w:r>
              <w:rPr>
                <w:sz w:val="18"/>
                <w:szCs w:val="18"/>
                <w:lang w:val="fr-FR"/>
              </w:rPr>
              <w:t>,</w:t>
            </w:r>
            <w:r w:rsidRPr="00412826">
              <w:rPr>
                <w:sz w:val="18"/>
                <w:szCs w:val="18"/>
                <w:lang w:val="fr-FR"/>
              </w:rPr>
              <w:t>003</w:t>
            </w:r>
          </w:p>
        </w:tc>
        <w:tc>
          <w:tcPr>
            <w:tcW w:w="850" w:type="dxa"/>
            <w:tcBorders>
              <w:top w:val="nil"/>
              <w:left w:val="single" w:sz="4" w:space="0" w:color="auto"/>
              <w:bottom w:val="nil"/>
              <w:right w:val="nil"/>
            </w:tcBorders>
            <w:vAlign w:val="center"/>
          </w:tcPr>
          <w:p w14:paraId="0C2B1209" w14:textId="77777777" w:rsidR="00302BFE" w:rsidRPr="00412826" w:rsidRDefault="00302BFE" w:rsidP="00243B15">
            <w:pPr>
              <w:spacing w:after="0"/>
              <w:ind w:left="30" w:right="30"/>
              <w:jc w:val="center"/>
              <w:rPr>
                <w:sz w:val="18"/>
                <w:szCs w:val="18"/>
                <w:highlight w:val="yellow"/>
                <w:lang w:val="fr-FR"/>
              </w:rPr>
            </w:pPr>
          </w:p>
        </w:tc>
        <w:tc>
          <w:tcPr>
            <w:tcW w:w="1682" w:type="dxa"/>
            <w:tcBorders>
              <w:top w:val="nil"/>
              <w:left w:val="nil"/>
              <w:bottom w:val="nil"/>
              <w:right w:val="nil"/>
            </w:tcBorders>
            <w:vAlign w:val="center"/>
          </w:tcPr>
          <w:p w14:paraId="6B5F929F" w14:textId="77777777" w:rsidR="00302BFE" w:rsidRPr="00412826" w:rsidRDefault="00302BFE" w:rsidP="00243B15">
            <w:pPr>
              <w:spacing w:after="0"/>
              <w:ind w:left="30" w:right="30"/>
              <w:rPr>
                <w:sz w:val="18"/>
                <w:szCs w:val="18"/>
                <w:lang w:val="fr-FR"/>
              </w:rPr>
            </w:pPr>
          </w:p>
        </w:tc>
      </w:tr>
      <w:tr w:rsidR="00302BFE" w:rsidRPr="00412826" w14:paraId="049DD675" w14:textId="77777777" w:rsidTr="00243B15">
        <w:trPr>
          <w:jc w:val="center"/>
        </w:trPr>
        <w:tc>
          <w:tcPr>
            <w:tcW w:w="2117" w:type="dxa"/>
            <w:vMerge/>
            <w:tcBorders>
              <w:left w:val="single" w:sz="4" w:space="0" w:color="auto"/>
              <w:right w:val="single" w:sz="4" w:space="0" w:color="auto"/>
            </w:tcBorders>
            <w:vAlign w:val="center"/>
          </w:tcPr>
          <w:p w14:paraId="388D2BEE" w14:textId="77777777" w:rsidR="00302BFE" w:rsidRPr="00412826" w:rsidRDefault="00302BFE" w:rsidP="00243B15">
            <w:pPr>
              <w:spacing w:after="0"/>
              <w:ind w:left="30" w:right="30"/>
              <w:rPr>
                <w:sz w:val="18"/>
                <w:szCs w:val="18"/>
                <w:lang w:val="fr-FR"/>
              </w:rPr>
            </w:pPr>
          </w:p>
        </w:tc>
        <w:tc>
          <w:tcPr>
            <w:tcW w:w="378" w:type="dxa"/>
            <w:vMerge/>
            <w:tcBorders>
              <w:left w:val="single" w:sz="4" w:space="0" w:color="auto"/>
              <w:right w:val="single" w:sz="4" w:space="0" w:color="auto"/>
            </w:tcBorders>
            <w:vAlign w:val="center"/>
          </w:tcPr>
          <w:p w14:paraId="1ADB0A0D" w14:textId="77777777" w:rsidR="00302BFE" w:rsidRPr="00412826" w:rsidRDefault="00302BFE" w:rsidP="00243B15">
            <w:pPr>
              <w:spacing w:after="0"/>
              <w:ind w:left="30" w:right="30"/>
              <w:jc w:val="center"/>
              <w:rPr>
                <w:sz w:val="18"/>
                <w:szCs w:val="18"/>
                <w:lang w:val="fr-FR"/>
              </w:rPr>
            </w:pPr>
          </w:p>
        </w:tc>
        <w:tc>
          <w:tcPr>
            <w:tcW w:w="1501" w:type="dxa"/>
            <w:tcBorders>
              <w:top w:val="single" w:sz="4" w:space="0" w:color="auto"/>
              <w:left w:val="single" w:sz="4" w:space="0" w:color="auto"/>
              <w:bottom w:val="single" w:sz="4" w:space="0" w:color="auto"/>
              <w:right w:val="single" w:sz="4" w:space="0" w:color="auto"/>
            </w:tcBorders>
            <w:vAlign w:val="center"/>
          </w:tcPr>
          <w:p w14:paraId="601D5E3A" w14:textId="77777777" w:rsidR="00302BFE" w:rsidRPr="00412826" w:rsidRDefault="00302BFE" w:rsidP="00243B15">
            <w:pPr>
              <w:spacing w:after="0"/>
              <w:ind w:left="30" w:right="30"/>
              <w:jc w:val="center"/>
              <w:rPr>
                <w:sz w:val="18"/>
                <w:szCs w:val="18"/>
                <w:lang w:val="fr-FR"/>
              </w:rPr>
            </w:pPr>
            <w:r w:rsidRPr="00412826">
              <w:rPr>
                <w:sz w:val="18"/>
                <w:szCs w:val="18"/>
                <w:lang w:val="fr-FR"/>
              </w:rPr>
              <w:t>Corridor forestier de la Boucle du Mouhoun</w:t>
            </w:r>
          </w:p>
        </w:tc>
        <w:tc>
          <w:tcPr>
            <w:tcW w:w="1127" w:type="dxa"/>
            <w:tcBorders>
              <w:top w:val="single" w:sz="4" w:space="0" w:color="auto"/>
              <w:left w:val="single" w:sz="4" w:space="0" w:color="auto"/>
              <w:bottom w:val="single" w:sz="4" w:space="0" w:color="auto"/>
              <w:right w:val="single" w:sz="4" w:space="0" w:color="auto"/>
            </w:tcBorders>
            <w:vAlign w:val="center"/>
          </w:tcPr>
          <w:p w14:paraId="61B4B82D" w14:textId="77777777" w:rsidR="00302BFE" w:rsidRPr="00412826" w:rsidRDefault="00302BFE" w:rsidP="00243B15">
            <w:pPr>
              <w:spacing w:after="0"/>
              <w:ind w:left="30" w:right="30"/>
              <w:jc w:val="center"/>
              <w:rPr>
                <w:sz w:val="18"/>
                <w:szCs w:val="18"/>
                <w:lang w:val="fr-FR"/>
              </w:rPr>
            </w:pPr>
            <w:r w:rsidRPr="00412826">
              <w:rPr>
                <w:sz w:val="18"/>
                <w:szCs w:val="18"/>
                <w:lang w:val="fr-FR"/>
              </w:rPr>
              <w:t>2017</w:t>
            </w:r>
          </w:p>
        </w:tc>
        <w:tc>
          <w:tcPr>
            <w:tcW w:w="2097" w:type="dxa"/>
            <w:tcBorders>
              <w:top w:val="single" w:sz="4" w:space="0" w:color="auto"/>
              <w:left w:val="single" w:sz="4" w:space="0" w:color="auto"/>
              <w:bottom w:val="single" w:sz="4" w:space="0" w:color="auto"/>
              <w:right w:val="single" w:sz="4" w:space="0" w:color="auto"/>
            </w:tcBorders>
            <w:vAlign w:val="center"/>
          </w:tcPr>
          <w:p w14:paraId="6D0A7FC5" w14:textId="77777777" w:rsidR="00302BFE" w:rsidRPr="00412826" w:rsidRDefault="00302BFE" w:rsidP="00243B15">
            <w:pPr>
              <w:spacing w:after="0"/>
              <w:ind w:left="30" w:right="30"/>
              <w:jc w:val="center"/>
              <w:rPr>
                <w:sz w:val="18"/>
                <w:szCs w:val="18"/>
                <w:lang w:val="fr-FR"/>
              </w:rPr>
            </w:pPr>
            <w:r w:rsidRPr="00412826">
              <w:rPr>
                <w:sz w:val="18"/>
                <w:szCs w:val="18"/>
                <w:lang w:val="fr-FR"/>
              </w:rPr>
              <w:t>134</w:t>
            </w:r>
            <w:r>
              <w:rPr>
                <w:sz w:val="18"/>
                <w:szCs w:val="18"/>
                <w:lang w:val="fr-FR"/>
              </w:rPr>
              <w:t>,</w:t>
            </w:r>
            <w:r w:rsidRPr="00412826">
              <w:rPr>
                <w:sz w:val="18"/>
                <w:szCs w:val="18"/>
                <w:lang w:val="fr-FR"/>
              </w:rPr>
              <w:t>553</w:t>
            </w:r>
          </w:p>
        </w:tc>
        <w:tc>
          <w:tcPr>
            <w:tcW w:w="850" w:type="dxa"/>
            <w:tcBorders>
              <w:top w:val="nil"/>
              <w:left w:val="single" w:sz="4" w:space="0" w:color="auto"/>
              <w:bottom w:val="nil"/>
              <w:right w:val="nil"/>
            </w:tcBorders>
            <w:vAlign w:val="center"/>
          </w:tcPr>
          <w:p w14:paraId="46D49836" w14:textId="77777777" w:rsidR="00302BFE" w:rsidRPr="00412826" w:rsidRDefault="00302BFE" w:rsidP="00243B15">
            <w:pPr>
              <w:spacing w:after="0"/>
              <w:ind w:left="30" w:right="30"/>
              <w:jc w:val="center"/>
              <w:rPr>
                <w:sz w:val="18"/>
                <w:szCs w:val="18"/>
                <w:highlight w:val="yellow"/>
                <w:lang w:val="fr-FR"/>
              </w:rPr>
            </w:pPr>
          </w:p>
        </w:tc>
        <w:tc>
          <w:tcPr>
            <w:tcW w:w="1682" w:type="dxa"/>
            <w:tcBorders>
              <w:top w:val="nil"/>
              <w:left w:val="nil"/>
              <w:bottom w:val="nil"/>
              <w:right w:val="nil"/>
            </w:tcBorders>
            <w:vAlign w:val="center"/>
          </w:tcPr>
          <w:p w14:paraId="64E01BF8" w14:textId="77777777" w:rsidR="00302BFE" w:rsidRPr="00412826" w:rsidRDefault="00302BFE" w:rsidP="00243B15">
            <w:pPr>
              <w:spacing w:after="0"/>
              <w:ind w:left="30" w:right="30"/>
              <w:rPr>
                <w:sz w:val="18"/>
                <w:szCs w:val="18"/>
                <w:lang w:val="fr-FR"/>
              </w:rPr>
            </w:pPr>
          </w:p>
        </w:tc>
      </w:tr>
      <w:tr w:rsidR="00302BFE" w:rsidRPr="00412826" w14:paraId="3E6B454E" w14:textId="77777777" w:rsidTr="00243B15">
        <w:trPr>
          <w:jc w:val="center"/>
        </w:trPr>
        <w:tc>
          <w:tcPr>
            <w:tcW w:w="2117" w:type="dxa"/>
            <w:vMerge/>
            <w:tcBorders>
              <w:left w:val="single" w:sz="4" w:space="0" w:color="auto"/>
              <w:right w:val="single" w:sz="4" w:space="0" w:color="auto"/>
            </w:tcBorders>
            <w:vAlign w:val="center"/>
          </w:tcPr>
          <w:p w14:paraId="3639066B" w14:textId="77777777" w:rsidR="00302BFE" w:rsidRPr="00412826" w:rsidRDefault="00302BFE" w:rsidP="00243B15">
            <w:pPr>
              <w:spacing w:after="0"/>
              <w:ind w:left="30" w:right="30"/>
              <w:rPr>
                <w:sz w:val="18"/>
                <w:szCs w:val="18"/>
                <w:lang w:val="fr-FR"/>
              </w:rPr>
            </w:pPr>
          </w:p>
        </w:tc>
        <w:tc>
          <w:tcPr>
            <w:tcW w:w="378" w:type="dxa"/>
            <w:vMerge/>
            <w:tcBorders>
              <w:left w:val="single" w:sz="4" w:space="0" w:color="auto"/>
              <w:right w:val="single" w:sz="4" w:space="0" w:color="auto"/>
            </w:tcBorders>
            <w:vAlign w:val="center"/>
          </w:tcPr>
          <w:p w14:paraId="44B80E63" w14:textId="77777777" w:rsidR="00302BFE" w:rsidRPr="00412826" w:rsidRDefault="00302BFE" w:rsidP="00243B15">
            <w:pPr>
              <w:spacing w:after="0"/>
              <w:ind w:left="30" w:right="30"/>
              <w:jc w:val="center"/>
              <w:rPr>
                <w:sz w:val="18"/>
                <w:szCs w:val="18"/>
                <w:lang w:val="fr-FR"/>
              </w:rPr>
            </w:pPr>
          </w:p>
        </w:tc>
        <w:tc>
          <w:tcPr>
            <w:tcW w:w="1501" w:type="dxa"/>
            <w:tcBorders>
              <w:top w:val="single" w:sz="4" w:space="0" w:color="auto"/>
              <w:left w:val="single" w:sz="4" w:space="0" w:color="auto"/>
              <w:bottom w:val="single" w:sz="4" w:space="0" w:color="auto"/>
              <w:right w:val="single" w:sz="4" w:space="0" w:color="auto"/>
            </w:tcBorders>
            <w:vAlign w:val="center"/>
          </w:tcPr>
          <w:p w14:paraId="640CCBCC" w14:textId="77777777" w:rsidR="00302BFE" w:rsidRPr="00412826" w:rsidRDefault="00302BFE" w:rsidP="00243B15">
            <w:pPr>
              <w:spacing w:after="0"/>
              <w:ind w:left="30" w:right="30"/>
              <w:jc w:val="center"/>
              <w:rPr>
                <w:sz w:val="18"/>
                <w:szCs w:val="18"/>
                <w:lang w:val="fr-FR"/>
              </w:rPr>
            </w:pPr>
            <w:r w:rsidRPr="00412826">
              <w:rPr>
                <w:sz w:val="18"/>
                <w:szCs w:val="18"/>
                <w:lang w:val="fr-FR"/>
              </w:rPr>
              <w:t>Forêt Galerie de Léra</w:t>
            </w:r>
          </w:p>
        </w:tc>
        <w:tc>
          <w:tcPr>
            <w:tcW w:w="1127" w:type="dxa"/>
            <w:tcBorders>
              <w:top w:val="single" w:sz="4" w:space="0" w:color="auto"/>
              <w:left w:val="single" w:sz="4" w:space="0" w:color="auto"/>
              <w:bottom w:val="single" w:sz="4" w:space="0" w:color="auto"/>
              <w:right w:val="single" w:sz="4" w:space="0" w:color="auto"/>
            </w:tcBorders>
            <w:vAlign w:val="center"/>
          </w:tcPr>
          <w:p w14:paraId="59F33729" w14:textId="77777777" w:rsidR="00302BFE" w:rsidRPr="00412826" w:rsidRDefault="00302BFE" w:rsidP="00243B15">
            <w:pPr>
              <w:spacing w:after="0"/>
              <w:ind w:left="30" w:right="30"/>
              <w:jc w:val="center"/>
              <w:rPr>
                <w:sz w:val="18"/>
                <w:szCs w:val="18"/>
                <w:lang w:val="fr-FR"/>
              </w:rPr>
            </w:pPr>
            <w:r w:rsidRPr="00412826">
              <w:rPr>
                <w:sz w:val="18"/>
                <w:szCs w:val="18"/>
                <w:lang w:val="fr-FR"/>
              </w:rPr>
              <w:t>2009</w:t>
            </w:r>
          </w:p>
        </w:tc>
        <w:tc>
          <w:tcPr>
            <w:tcW w:w="2097" w:type="dxa"/>
            <w:tcBorders>
              <w:top w:val="single" w:sz="4" w:space="0" w:color="auto"/>
              <w:left w:val="single" w:sz="4" w:space="0" w:color="auto"/>
              <w:bottom w:val="single" w:sz="4" w:space="0" w:color="auto"/>
              <w:right w:val="single" w:sz="4" w:space="0" w:color="auto"/>
            </w:tcBorders>
            <w:vAlign w:val="center"/>
          </w:tcPr>
          <w:p w14:paraId="629808DE" w14:textId="77777777" w:rsidR="00302BFE" w:rsidRPr="00412826" w:rsidRDefault="00302BFE" w:rsidP="00243B15">
            <w:pPr>
              <w:spacing w:after="0"/>
              <w:ind w:left="30" w:right="30"/>
              <w:jc w:val="center"/>
              <w:rPr>
                <w:sz w:val="18"/>
                <w:szCs w:val="18"/>
                <w:lang w:val="fr-FR"/>
              </w:rPr>
            </w:pPr>
            <w:r w:rsidRPr="00412826">
              <w:rPr>
                <w:sz w:val="18"/>
                <w:szCs w:val="18"/>
                <w:lang w:val="fr-FR"/>
              </w:rPr>
              <w:t>542</w:t>
            </w:r>
          </w:p>
        </w:tc>
        <w:tc>
          <w:tcPr>
            <w:tcW w:w="850" w:type="dxa"/>
            <w:tcBorders>
              <w:top w:val="nil"/>
              <w:left w:val="single" w:sz="4" w:space="0" w:color="auto"/>
              <w:bottom w:val="nil"/>
              <w:right w:val="nil"/>
            </w:tcBorders>
            <w:vAlign w:val="center"/>
          </w:tcPr>
          <w:p w14:paraId="7D9918D7" w14:textId="77777777" w:rsidR="00302BFE" w:rsidRPr="00412826" w:rsidRDefault="00302BFE" w:rsidP="00243B15">
            <w:pPr>
              <w:spacing w:after="0"/>
              <w:ind w:left="30" w:right="30"/>
              <w:jc w:val="center"/>
              <w:rPr>
                <w:sz w:val="18"/>
                <w:szCs w:val="18"/>
                <w:highlight w:val="yellow"/>
                <w:lang w:val="fr-FR"/>
              </w:rPr>
            </w:pPr>
          </w:p>
        </w:tc>
        <w:tc>
          <w:tcPr>
            <w:tcW w:w="1682" w:type="dxa"/>
            <w:tcBorders>
              <w:top w:val="nil"/>
              <w:left w:val="nil"/>
              <w:bottom w:val="nil"/>
              <w:right w:val="nil"/>
            </w:tcBorders>
            <w:vAlign w:val="center"/>
          </w:tcPr>
          <w:p w14:paraId="755AFB65" w14:textId="77777777" w:rsidR="00302BFE" w:rsidRPr="00412826" w:rsidRDefault="00302BFE" w:rsidP="00243B15">
            <w:pPr>
              <w:spacing w:after="0"/>
              <w:ind w:left="30" w:right="30"/>
              <w:rPr>
                <w:sz w:val="18"/>
                <w:szCs w:val="18"/>
                <w:lang w:val="fr-FR"/>
              </w:rPr>
            </w:pPr>
          </w:p>
        </w:tc>
      </w:tr>
      <w:tr w:rsidR="00302BFE" w:rsidRPr="00412826" w14:paraId="3E585C55" w14:textId="77777777" w:rsidTr="00243B15">
        <w:trPr>
          <w:jc w:val="center"/>
        </w:trPr>
        <w:tc>
          <w:tcPr>
            <w:tcW w:w="2117" w:type="dxa"/>
            <w:vMerge/>
            <w:tcBorders>
              <w:left w:val="single" w:sz="4" w:space="0" w:color="auto"/>
              <w:right w:val="single" w:sz="4" w:space="0" w:color="auto"/>
            </w:tcBorders>
            <w:vAlign w:val="center"/>
          </w:tcPr>
          <w:p w14:paraId="344EA5AA" w14:textId="77777777" w:rsidR="00302BFE" w:rsidRPr="00412826" w:rsidRDefault="00302BFE" w:rsidP="00243B15">
            <w:pPr>
              <w:spacing w:after="0"/>
              <w:ind w:left="30" w:right="30"/>
              <w:rPr>
                <w:sz w:val="18"/>
                <w:szCs w:val="18"/>
                <w:lang w:val="fr-FR"/>
              </w:rPr>
            </w:pPr>
          </w:p>
        </w:tc>
        <w:tc>
          <w:tcPr>
            <w:tcW w:w="378" w:type="dxa"/>
            <w:vMerge/>
            <w:tcBorders>
              <w:left w:val="single" w:sz="4" w:space="0" w:color="auto"/>
              <w:right w:val="single" w:sz="4" w:space="0" w:color="auto"/>
            </w:tcBorders>
            <w:vAlign w:val="center"/>
          </w:tcPr>
          <w:p w14:paraId="48364CEA" w14:textId="77777777" w:rsidR="00302BFE" w:rsidRPr="00412826" w:rsidRDefault="00302BFE" w:rsidP="00243B15">
            <w:pPr>
              <w:spacing w:after="0"/>
              <w:ind w:left="30" w:right="30"/>
              <w:jc w:val="center"/>
              <w:rPr>
                <w:sz w:val="18"/>
                <w:szCs w:val="18"/>
                <w:lang w:val="fr-FR"/>
              </w:rPr>
            </w:pPr>
          </w:p>
        </w:tc>
        <w:tc>
          <w:tcPr>
            <w:tcW w:w="1501" w:type="dxa"/>
            <w:tcBorders>
              <w:top w:val="single" w:sz="4" w:space="0" w:color="auto"/>
              <w:left w:val="single" w:sz="4" w:space="0" w:color="auto"/>
              <w:bottom w:val="single" w:sz="4" w:space="0" w:color="auto"/>
              <w:right w:val="single" w:sz="4" w:space="0" w:color="auto"/>
            </w:tcBorders>
            <w:vAlign w:val="center"/>
          </w:tcPr>
          <w:p w14:paraId="663184E6" w14:textId="77777777" w:rsidR="00302BFE" w:rsidRPr="00412826" w:rsidRDefault="00302BFE" w:rsidP="00243B15">
            <w:pPr>
              <w:spacing w:after="0"/>
              <w:ind w:left="30" w:right="30"/>
              <w:jc w:val="center"/>
              <w:rPr>
                <w:sz w:val="18"/>
                <w:szCs w:val="18"/>
                <w:lang w:val="fr-FR"/>
              </w:rPr>
            </w:pPr>
            <w:r w:rsidRPr="00412826">
              <w:rPr>
                <w:sz w:val="18"/>
                <w:szCs w:val="18"/>
                <w:lang w:val="fr-FR"/>
              </w:rPr>
              <w:t>Lac Bam</w:t>
            </w:r>
          </w:p>
        </w:tc>
        <w:tc>
          <w:tcPr>
            <w:tcW w:w="1127" w:type="dxa"/>
            <w:tcBorders>
              <w:top w:val="single" w:sz="4" w:space="0" w:color="auto"/>
              <w:left w:val="single" w:sz="4" w:space="0" w:color="auto"/>
              <w:bottom w:val="single" w:sz="4" w:space="0" w:color="auto"/>
              <w:right w:val="single" w:sz="4" w:space="0" w:color="auto"/>
            </w:tcBorders>
            <w:vAlign w:val="center"/>
          </w:tcPr>
          <w:p w14:paraId="14C447DF" w14:textId="77777777" w:rsidR="00302BFE" w:rsidRPr="00412826" w:rsidRDefault="00302BFE" w:rsidP="00243B15">
            <w:pPr>
              <w:spacing w:after="0"/>
              <w:ind w:left="30" w:right="30"/>
              <w:jc w:val="center"/>
              <w:rPr>
                <w:sz w:val="18"/>
                <w:szCs w:val="18"/>
                <w:lang w:val="fr-FR"/>
              </w:rPr>
            </w:pPr>
            <w:r w:rsidRPr="00412826">
              <w:rPr>
                <w:sz w:val="18"/>
                <w:szCs w:val="18"/>
                <w:lang w:val="fr-FR"/>
              </w:rPr>
              <w:t>2009</w:t>
            </w:r>
          </w:p>
        </w:tc>
        <w:tc>
          <w:tcPr>
            <w:tcW w:w="2097" w:type="dxa"/>
            <w:tcBorders>
              <w:top w:val="single" w:sz="4" w:space="0" w:color="auto"/>
              <w:left w:val="single" w:sz="4" w:space="0" w:color="auto"/>
              <w:bottom w:val="single" w:sz="4" w:space="0" w:color="auto"/>
              <w:right w:val="single" w:sz="4" w:space="0" w:color="auto"/>
            </w:tcBorders>
            <w:vAlign w:val="center"/>
          </w:tcPr>
          <w:p w14:paraId="4905E118" w14:textId="77777777" w:rsidR="00302BFE" w:rsidRPr="00412826" w:rsidRDefault="00302BFE" w:rsidP="00243B15">
            <w:pPr>
              <w:spacing w:after="0"/>
              <w:ind w:left="30" w:right="30"/>
              <w:jc w:val="center"/>
              <w:rPr>
                <w:sz w:val="18"/>
                <w:szCs w:val="18"/>
                <w:lang w:val="fr-FR"/>
              </w:rPr>
            </w:pPr>
            <w:r w:rsidRPr="00412826">
              <w:rPr>
                <w:sz w:val="18"/>
                <w:szCs w:val="18"/>
                <w:lang w:val="fr-FR"/>
              </w:rPr>
              <w:t>5</w:t>
            </w:r>
            <w:r>
              <w:rPr>
                <w:sz w:val="18"/>
                <w:szCs w:val="18"/>
                <w:lang w:val="fr-FR"/>
              </w:rPr>
              <w:t>,</w:t>
            </w:r>
            <w:r w:rsidRPr="00412826">
              <w:rPr>
                <w:sz w:val="18"/>
                <w:szCs w:val="18"/>
                <w:lang w:val="fr-FR"/>
              </w:rPr>
              <w:t>300</w:t>
            </w:r>
          </w:p>
        </w:tc>
        <w:tc>
          <w:tcPr>
            <w:tcW w:w="850" w:type="dxa"/>
            <w:tcBorders>
              <w:top w:val="nil"/>
              <w:left w:val="single" w:sz="4" w:space="0" w:color="auto"/>
              <w:bottom w:val="nil"/>
              <w:right w:val="nil"/>
            </w:tcBorders>
            <w:vAlign w:val="center"/>
          </w:tcPr>
          <w:p w14:paraId="01994092" w14:textId="77777777" w:rsidR="00302BFE" w:rsidRPr="00412826" w:rsidRDefault="00302BFE" w:rsidP="00243B15">
            <w:pPr>
              <w:spacing w:after="0"/>
              <w:ind w:left="30" w:right="30"/>
              <w:jc w:val="center"/>
              <w:rPr>
                <w:sz w:val="18"/>
                <w:szCs w:val="18"/>
                <w:highlight w:val="yellow"/>
                <w:lang w:val="fr-FR"/>
              </w:rPr>
            </w:pPr>
          </w:p>
        </w:tc>
        <w:tc>
          <w:tcPr>
            <w:tcW w:w="1682" w:type="dxa"/>
            <w:tcBorders>
              <w:top w:val="nil"/>
              <w:left w:val="nil"/>
              <w:bottom w:val="nil"/>
              <w:right w:val="nil"/>
            </w:tcBorders>
            <w:vAlign w:val="center"/>
          </w:tcPr>
          <w:p w14:paraId="6F4ED543" w14:textId="77777777" w:rsidR="00302BFE" w:rsidRPr="00412826" w:rsidRDefault="00302BFE" w:rsidP="00243B15">
            <w:pPr>
              <w:spacing w:after="0"/>
              <w:ind w:left="30" w:right="30"/>
              <w:rPr>
                <w:sz w:val="18"/>
                <w:szCs w:val="18"/>
                <w:lang w:val="fr-FR"/>
              </w:rPr>
            </w:pPr>
          </w:p>
        </w:tc>
      </w:tr>
      <w:tr w:rsidR="00302BFE" w:rsidRPr="00412826" w14:paraId="0AEE5859" w14:textId="77777777" w:rsidTr="00243B15">
        <w:trPr>
          <w:jc w:val="center"/>
        </w:trPr>
        <w:tc>
          <w:tcPr>
            <w:tcW w:w="2117" w:type="dxa"/>
            <w:vMerge/>
            <w:tcBorders>
              <w:left w:val="single" w:sz="4" w:space="0" w:color="auto"/>
              <w:right w:val="single" w:sz="4" w:space="0" w:color="auto"/>
            </w:tcBorders>
            <w:vAlign w:val="center"/>
          </w:tcPr>
          <w:p w14:paraId="5EDB0AF5" w14:textId="77777777" w:rsidR="00302BFE" w:rsidRPr="00412826" w:rsidRDefault="00302BFE" w:rsidP="00243B15">
            <w:pPr>
              <w:spacing w:after="0"/>
              <w:ind w:left="30" w:right="30"/>
              <w:rPr>
                <w:sz w:val="18"/>
                <w:szCs w:val="18"/>
                <w:lang w:val="fr-FR"/>
              </w:rPr>
            </w:pPr>
          </w:p>
        </w:tc>
        <w:tc>
          <w:tcPr>
            <w:tcW w:w="378" w:type="dxa"/>
            <w:vMerge/>
            <w:tcBorders>
              <w:left w:val="single" w:sz="4" w:space="0" w:color="auto"/>
              <w:right w:val="single" w:sz="4" w:space="0" w:color="auto"/>
            </w:tcBorders>
            <w:vAlign w:val="center"/>
          </w:tcPr>
          <w:p w14:paraId="1440504B" w14:textId="77777777" w:rsidR="00302BFE" w:rsidRPr="00412826" w:rsidRDefault="00302BFE" w:rsidP="00243B15">
            <w:pPr>
              <w:spacing w:after="0"/>
              <w:ind w:left="30" w:right="30"/>
              <w:jc w:val="center"/>
              <w:rPr>
                <w:sz w:val="18"/>
                <w:szCs w:val="18"/>
                <w:lang w:val="fr-FR"/>
              </w:rPr>
            </w:pPr>
          </w:p>
        </w:tc>
        <w:tc>
          <w:tcPr>
            <w:tcW w:w="1501" w:type="dxa"/>
            <w:tcBorders>
              <w:top w:val="single" w:sz="4" w:space="0" w:color="auto"/>
              <w:left w:val="single" w:sz="4" w:space="0" w:color="auto"/>
              <w:bottom w:val="single" w:sz="4" w:space="0" w:color="auto"/>
              <w:right w:val="single" w:sz="4" w:space="0" w:color="auto"/>
            </w:tcBorders>
            <w:vAlign w:val="center"/>
          </w:tcPr>
          <w:p w14:paraId="02550752" w14:textId="77777777" w:rsidR="00302BFE" w:rsidRPr="00412826" w:rsidRDefault="00302BFE" w:rsidP="00243B15">
            <w:pPr>
              <w:spacing w:after="0"/>
              <w:ind w:left="30" w:right="30"/>
              <w:jc w:val="center"/>
              <w:rPr>
                <w:sz w:val="18"/>
                <w:szCs w:val="18"/>
                <w:lang w:val="fr-FR"/>
              </w:rPr>
            </w:pPr>
            <w:r w:rsidRPr="00412826">
              <w:rPr>
                <w:sz w:val="18"/>
                <w:szCs w:val="18"/>
                <w:lang w:val="fr-FR"/>
              </w:rPr>
              <w:t>Lac Dem</w:t>
            </w:r>
          </w:p>
        </w:tc>
        <w:tc>
          <w:tcPr>
            <w:tcW w:w="1127" w:type="dxa"/>
            <w:tcBorders>
              <w:top w:val="single" w:sz="4" w:space="0" w:color="auto"/>
              <w:left w:val="single" w:sz="4" w:space="0" w:color="auto"/>
              <w:bottom w:val="single" w:sz="4" w:space="0" w:color="auto"/>
              <w:right w:val="single" w:sz="4" w:space="0" w:color="auto"/>
            </w:tcBorders>
            <w:vAlign w:val="center"/>
          </w:tcPr>
          <w:p w14:paraId="13067F80" w14:textId="77777777" w:rsidR="00302BFE" w:rsidRPr="00412826" w:rsidRDefault="00302BFE" w:rsidP="00243B15">
            <w:pPr>
              <w:spacing w:after="0"/>
              <w:ind w:left="30" w:right="30"/>
              <w:jc w:val="center"/>
              <w:rPr>
                <w:sz w:val="18"/>
                <w:szCs w:val="18"/>
                <w:lang w:val="fr-FR"/>
              </w:rPr>
            </w:pPr>
            <w:r w:rsidRPr="00412826">
              <w:rPr>
                <w:sz w:val="18"/>
                <w:szCs w:val="18"/>
                <w:lang w:val="fr-FR"/>
              </w:rPr>
              <w:t>2009</w:t>
            </w:r>
          </w:p>
        </w:tc>
        <w:tc>
          <w:tcPr>
            <w:tcW w:w="2097" w:type="dxa"/>
            <w:tcBorders>
              <w:top w:val="single" w:sz="4" w:space="0" w:color="auto"/>
              <w:left w:val="single" w:sz="4" w:space="0" w:color="auto"/>
              <w:bottom w:val="single" w:sz="4" w:space="0" w:color="auto"/>
              <w:right w:val="single" w:sz="4" w:space="0" w:color="auto"/>
            </w:tcBorders>
            <w:vAlign w:val="center"/>
          </w:tcPr>
          <w:p w14:paraId="7B561981" w14:textId="77777777" w:rsidR="00302BFE" w:rsidRPr="00412826" w:rsidRDefault="00302BFE" w:rsidP="00243B15">
            <w:pPr>
              <w:spacing w:after="0"/>
              <w:ind w:left="30" w:right="30"/>
              <w:jc w:val="center"/>
              <w:rPr>
                <w:sz w:val="18"/>
                <w:szCs w:val="18"/>
                <w:lang w:val="fr-FR"/>
              </w:rPr>
            </w:pPr>
            <w:r w:rsidRPr="00412826">
              <w:rPr>
                <w:sz w:val="18"/>
                <w:szCs w:val="18"/>
                <w:lang w:val="fr-FR"/>
              </w:rPr>
              <w:t>1</w:t>
            </w:r>
            <w:r>
              <w:rPr>
                <w:sz w:val="18"/>
                <w:szCs w:val="18"/>
                <w:lang w:val="fr-FR"/>
              </w:rPr>
              <w:t>,</w:t>
            </w:r>
            <w:r w:rsidRPr="00412826">
              <w:rPr>
                <w:sz w:val="18"/>
                <w:szCs w:val="18"/>
                <w:lang w:val="fr-FR"/>
              </w:rPr>
              <w:t>354</w:t>
            </w:r>
          </w:p>
        </w:tc>
        <w:tc>
          <w:tcPr>
            <w:tcW w:w="850" w:type="dxa"/>
            <w:tcBorders>
              <w:top w:val="nil"/>
              <w:left w:val="single" w:sz="4" w:space="0" w:color="auto"/>
              <w:bottom w:val="nil"/>
              <w:right w:val="nil"/>
            </w:tcBorders>
            <w:vAlign w:val="center"/>
          </w:tcPr>
          <w:p w14:paraId="311D7010" w14:textId="77777777" w:rsidR="00302BFE" w:rsidRPr="00412826" w:rsidRDefault="00302BFE" w:rsidP="00243B15">
            <w:pPr>
              <w:spacing w:after="0"/>
              <w:ind w:left="30" w:right="30"/>
              <w:jc w:val="center"/>
              <w:rPr>
                <w:sz w:val="18"/>
                <w:szCs w:val="18"/>
                <w:highlight w:val="yellow"/>
                <w:lang w:val="fr-FR"/>
              </w:rPr>
            </w:pPr>
          </w:p>
        </w:tc>
        <w:tc>
          <w:tcPr>
            <w:tcW w:w="1682" w:type="dxa"/>
            <w:tcBorders>
              <w:top w:val="nil"/>
              <w:left w:val="nil"/>
              <w:bottom w:val="nil"/>
              <w:right w:val="nil"/>
            </w:tcBorders>
            <w:vAlign w:val="center"/>
          </w:tcPr>
          <w:p w14:paraId="5160D593" w14:textId="77777777" w:rsidR="00302BFE" w:rsidRPr="00412826" w:rsidRDefault="00302BFE" w:rsidP="00243B15">
            <w:pPr>
              <w:spacing w:after="0"/>
              <w:ind w:left="30" w:right="30"/>
              <w:rPr>
                <w:sz w:val="18"/>
                <w:szCs w:val="18"/>
                <w:lang w:val="fr-FR"/>
              </w:rPr>
            </w:pPr>
          </w:p>
        </w:tc>
      </w:tr>
      <w:tr w:rsidR="00302BFE" w:rsidRPr="00412826" w14:paraId="78FA2C41" w14:textId="77777777" w:rsidTr="00243B15">
        <w:trPr>
          <w:jc w:val="center"/>
        </w:trPr>
        <w:tc>
          <w:tcPr>
            <w:tcW w:w="2117" w:type="dxa"/>
            <w:vMerge/>
            <w:tcBorders>
              <w:left w:val="single" w:sz="4" w:space="0" w:color="auto"/>
              <w:right w:val="single" w:sz="4" w:space="0" w:color="auto"/>
            </w:tcBorders>
            <w:vAlign w:val="center"/>
          </w:tcPr>
          <w:p w14:paraId="74C0100B" w14:textId="77777777" w:rsidR="00302BFE" w:rsidRPr="00412826" w:rsidRDefault="00302BFE" w:rsidP="00243B15">
            <w:pPr>
              <w:spacing w:after="0"/>
              <w:ind w:left="30" w:right="30"/>
              <w:rPr>
                <w:sz w:val="18"/>
                <w:szCs w:val="18"/>
                <w:lang w:val="fr-FR"/>
              </w:rPr>
            </w:pPr>
          </w:p>
        </w:tc>
        <w:tc>
          <w:tcPr>
            <w:tcW w:w="378" w:type="dxa"/>
            <w:vMerge/>
            <w:tcBorders>
              <w:left w:val="single" w:sz="4" w:space="0" w:color="auto"/>
              <w:right w:val="single" w:sz="4" w:space="0" w:color="auto"/>
            </w:tcBorders>
            <w:vAlign w:val="center"/>
          </w:tcPr>
          <w:p w14:paraId="07345B4E" w14:textId="77777777" w:rsidR="00302BFE" w:rsidRPr="00412826" w:rsidRDefault="00302BFE" w:rsidP="00243B15">
            <w:pPr>
              <w:spacing w:after="0"/>
              <w:ind w:left="30" w:right="30"/>
              <w:jc w:val="center"/>
              <w:rPr>
                <w:sz w:val="18"/>
                <w:szCs w:val="18"/>
                <w:lang w:val="fr-FR"/>
              </w:rPr>
            </w:pPr>
          </w:p>
        </w:tc>
        <w:tc>
          <w:tcPr>
            <w:tcW w:w="1501" w:type="dxa"/>
            <w:tcBorders>
              <w:top w:val="single" w:sz="4" w:space="0" w:color="auto"/>
              <w:left w:val="single" w:sz="4" w:space="0" w:color="auto"/>
              <w:bottom w:val="single" w:sz="4" w:space="0" w:color="auto"/>
              <w:right w:val="single" w:sz="4" w:space="0" w:color="auto"/>
            </w:tcBorders>
            <w:vAlign w:val="center"/>
          </w:tcPr>
          <w:p w14:paraId="7E9F62A0" w14:textId="77777777" w:rsidR="00302BFE" w:rsidRPr="00412826" w:rsidRDefault="00302BFE" w:rsidP="00243B15">
            <w:pPr>
              <w:spacing w:after="0"/>
              <w:ind w:left="30" w:right="30"/>
              <w:jc w:val="center"/>
              <w:rPr>
                <w:sz w:val="18"/>
                <w:szCs w:val="18"/>
                <w:lang w:val="fr-FR"/>
              </w:rPr>
            </w:pPr>
            <w:r w:rsidRPr="00412826">
              <w:rPr>
                <w:sz w:val="18"/>
                <w:szCs w:val="18"/>
                <w:lang w:val="fr-FR"/>
              </w:rPr>
              <w:t>Lac de Tingrela</w:t>
            </w:r>
          </w:p>
        </w:tc>
        <w:tc>
          <w:tcPr>
            <w:tcW w:w="1127" w:type="dxa"/>
            <w:tcBorders>
              <w:top w:val="single" w:sz="4" w:space="0" w:color="auto"/>
              <w:left w:val="single" w:sz="4" w:space="0" w:color="auto"/>
              <w:bottom w:val="single" w:sz="4" w:space="0" w:color="auto"/>
              <w:right w:val="single" w:sz="4" w:space="0" w:color="auto"/>
            </w:tcBorders>
            <w:vAlign w:val="center"/>
          </w:tcPr>
          <w:p w14:paraId="4397832B" w14:textId="77777777" w:rsidR="00302BFE" w:rsidRPr="00412826" w:rsidRDefault="00302BFE" w:rsidP="00243B15">
            <w:pPr>
              <w:spacing w:after="0"/>
              <w:ind w:left="30" w:right="30"/>
              <w:jc w:val="center"/>
              <w:rPr>
                <w:sz w:val="18"/>
                <w:szCs w:val="18"/>
                <w:lang w:val="fr-FR"/>
              </w:rPr>
            </w:pPr>
            <w:r w:rsidRPr="00412826">
              <w:rPr>
                <w:sz w:val="18"/>
                <w:szCs w:val="18"/>
                <w:lang w:val="fr-FR"/>
              </w:rPr>
              <w:t>2009</w:t>
            </w:r>
          </w:p>
        </w:tc>
        <w:tc>
          <w:tcPr>
            <w:tcW w:w="2097" w:type="dxa"/>
            <w:tcBorders>
              <w:top w:val="single" w:sz="4" w:space="0" w:color="auto"/>
              <w:left w:val="single" w:sz="4" w:space="0" w:color="auto"/>
              <w:bottom w:val="single" w:sz="4" w:space="0" w:color="auto"/>
              <w:right w:val="single" w:sz="4" w:space="0" w:color="auto"/>
            </w:tcBorders>
            <w:vAlign w:val="center"/>
          </w:tcPr>
          <w:p w14:paraId="268FE9F4" w14:textId="77777777" w:rsidR="00302BFE" w:rsidRPr="00412826" w:rsidRDefault="00302BFE" w:rsidP="00243B15">
            <w:pPr>
              <w:spacing w:after="0"/>
              <w:ind w:left="30" w:right="30"/>
              <w:jc w:val="center"/>
              <w:rPr>
                <w:sz w:val="18"/>
                <w:szCs w:val="18"/>
                <w:lang w:val="fr-FR"/>
              </w:rPr>
            </w:pPr>
            <w:r w:rsidRPr="00412826">
              <w:rPr>
                <w:sz w:val="18"/>
                <w:szCs w:val="18"/>
                <w:lang w:val="fr-FR"/>
              </w:rPr>
              <w:t>580</w:t>
            </w:r>
          </w:p>
        </w:tc>
        <w:tc>
          <w:tcPr>
            <w:tcW w:w="850" w:type="dxa"/>
            <w:tcBorders>
              <w:top w:val="nil"/>
              <w:left w:val="single" w:sz="4" w:space="0" w:color="auto"/>
              <w:bottom w:val="nil"/>
              <w:right w:val="nil"/>
            </w:tcBorders>
            <w:vAlign w:val="center"/>
          </w:tcPr>
          <w:p w14:paraId="7A0F0D9A" w14:textId="77777777" w:rsidR="00302BFE" w:rsidRPr="00412826" w:rsidRDefault="00302BFE" w:rsidP="00243B15">
            <w:pPr>
              <w:spacing w:after="0"/>
              <w:ind w:left="30" w:right="30"/>
              <w:jc w:val="center"/>
              <w:rPr>
                <w:sz w:val="18"/>
                <w:szCs w:val="18"/>
                <w:highlight w:val="yellow"/>
                <w:lang w:val="fr-FR"/>
              </w:rPr>
            </w:pPr>
          </w:p>
        </w:tc>
        <w:tc>
          <w:tcPr>
            <w:tcW w:w="1682" w:type="dxa"/>
            <w:tcBorders>
              <w:top w:val="nil"/>
              <w:left w:val="nil"/>
              <w:bottom w:val="nil"/>
              <w:right w:val="nil"/>
            </w:tcBorders>
            <w:vAlign w:val="center"/>
          </w:tcPr>
          <w:p w14:paraId="2E89D697" w14:textId="77777777" w:rsidR="00302BFE" w:rsidRPr="00412826" w:rsidRDefault="00302BFE" w:rsidP="00243B15">
            <w:pPr>
              <w:spacing w:after="0"/>
              <w:ind w:left="30" w:right="30"/>
              <w:rPr>
                <w:sz w:val="18"/>
                <w:szCs w:val="18"/>
                <w:lang w:val="fr-FR"/>
              </w:rPr>
            </w:pPr>
          </w:p>
        </w:tc>
      </w:tr>
      <w:tr w:rsidR="00302BFE" w:rsidRPr="00412826" w14:paraId="1AE399EF" w14:textId="77777777" w:rsidTr="00243B15">
        <w:trPr>
          <w:jc w:val="center"/>
        </w:trPr>
        <w:tc>
          <w:tcPr>
            <w:tcW w:w="2117" w:type="dxa"/>
            <w:vMerge/>
            <w:tcBorders>
              <w:left w:val="single" w:sz="4" w:space="0" w:color="auto"/>
              <w:right w:val="single" w:sz="4" w:space="0" w:color="auto"/>
            </w:tcBorders>
            <w:vAlign w:val="center"/>
          </w:tcPr>
          <w:p w14:paraId="3080ABCE" w14:textId="77777777" w:rsidR="00302BFE" w:rsidRPr="00412826" w:rsidRDefault="00302BFE" w:rsidP="00243B15">
            <w:pPr>
              <w:spacing w:after="0"/>
              <w:ind w:left="30" w:right="30"/>
              <w:rPr>
                <w:sz w:val="18"/>
                <w:szCs w:val="18"/>
                <w:lang w:val="fr-FR"/>
              </w:rPr>
            </w:pPr>
          </w:p>
        </w:tc>
        <w:tc>
          <w:tcPr>
            <w:tcW w:w="378" w:type="dxa"/>
            <w:vMerge/>
            <w:tcBorders>
              <w:left w:val="single" w:sz="4" w:space="0" w:color="auto"/>
              <w:right w:val="single" w:sz="4" w:space="0" w:color="auto"/>
            </w:tcBorders>
            <w:vAlign w:val="center"/>
          </w:tcPr>
          <w:p w14:paraId="534BD0C8" w14:textId="77777777" w:rsidR="00302BFE" w:rsidRPr="00412826" w:rsidRDefault="00302BFE" w:rsidP="00243B15">
            <w:pPr>
              <w:spacing w:after="0"/>
              <w:ind w:left="30" w:right="30"/>
              <w:jc w:val="center"/>
              <w:rPr>
                <w:sz w:val="18"/>
                <w:szCs w:val="18"/>
                <w:lang w:val="fr-FR"/>
              </w:rPr>
            </w:pPr>
          </w:p>
        </w:tc>
        <w:tc>
          <w:tcPr>
            <w:tcW w:w="1501" w:type="dxa"/>
            <w:tcBorders>
              <w:top w:val="single" w:sz="4" w:space="0" w:color="auto"/>
              <w:left w:val="single" w:sz="4" w:space="0" w:color="auto"/>
              <w:bottom w:val="single" w:sz="4" w:space="0" w:color="auto"/>
              <w:right w:val="single" w:sz="4" w:space="0" w:color="auto"/>
            </w:tcBorders>
            <w:vAlign w:val="center"/>
          </w:tcPr>
          <w:p w14:paraId="1E95656B" w14:textId="77777777" w:rsidR="00302BFE" w:rsidRPr="00412826" w:rsidRDefault="00302BFE" w:rsidP="00243B15">
            <w:pPr>
              <w:spacing w:after="0"/>
              <w:ind w:left="30" w:right="30"/>
              <w:jc w:val="center"/>
              <w:rPr>
                <w:sz w:val="18"/>
                <w:szCs w:val="18"/>
                <w:lang w:val="fr-FR"/>
              </w:rPr>
            </w:pPr>
            <w:r w:rsidRPr="00412826">
              <w:rPr>
                <w:sz w:val="18"/>
                <w:szCs w:val="18"/>
                <w:lang w:val="fr-FR"/>
              </w:rPr>
              <w:t>Lac Higa</w:t>
            </w:r>
          </w:p>
        </w:tc>
        <w:tc>
          <w:tcPr>
            <w:tcW w:w="1127" w:type="dxa"/>
            <w:tcBorders>
              <w:top w:val="single" w:sz="4" w:space="0" w:color="auto"/>
              <w:left w:val="single" w:sz="4" w:space="0" w:color="auto"/>
              <w:bottom w:val="single" w:sz="4" w:space="0" w:color="auto"/>
              <w:right w:val="single" w:sz="4" w:space="0" w:color="auto"/>
            </w:tcBorders>
            <w:vAlign w:val="center"/>
          </w:tcPr>
          <w:p w14:paraId="64608EC3" w14:textId="77777777" w:rsidR="00302BFE" w:rsidRPr="00412826" w:rsidRDefault="00302BFE" w:rsidP="00243B15">
            <w:pPr>
              <w:spacing w:after="0"/>
              <w:ind w:left="30" w:right="30"/>
              <w:jc w:val="center"/>
              <w:rPr>
                <w:sz w:val="18"/>
                <w:szCs w:val="18"/>
                <w:lang w:val="fr-FR"/>
              </w:rPr>
            </w:pPr>
            <w:r w:rsidRPr="00412826">
              <w:rPr>
                <w:sz w:val="18"/>
                <w:szCs w:val="18"/>
                <w:lang w:val="fr-FR"/>
              </w:rPr>
              <w:t>2009</w:t>
            </w:r>
          </w:p>
        </w:tc>
        <w:tc>
          <w:tcPr>
            <w:tcW w:w="2097" w:type="dxa"/>
            <w:tcBorders>
              <w:top w:val="single" w:sz="4" w:space="0" w:color="auto"/>
              <w:left w:val="single" w:sz="4" w:space="0" w:color="auto"/>
              <w:bottom w:val="single" w:sz="4" w:space="0" w:color="auto"/>
              <w:right w:val="single" w:sz="4" w:space="0" w:color="auto"/>
            </w:tcBorders>
            <w:vAlign w:val="center"/>
          </w:tcPr>
          <w:p w14:paraId="6751C753" w14:textId="77777777" w:rsidR="00302BFE" w:rsidRPr="00412826" w:rsidRDefault="00302BFE" w:rsidP="00243B15">
            <w:pPr>
              <w:spacing w:after="0"/>
              <w:ind w:left="30" w:right="30"/>
              <w:jc w:val="center"/>
              <w:rPr>
                <w:sz w:val="18"/>
                <w:szCs w:val="18"/>
                <w:lang w:val="fr-FR"/>
              </w:rPr>
            </w:pPr>
            <w:r w:rsidRPr="00412826">
              <w:rPr>
                <w:sz w:val="18"/>
                <w:szCs w:val="18"/>
                <w:lang w:val="fr-FR"/>
              </w:rPr>
              <w:t>1</w:t>
            </w:r>
            <w:r>
              <w:rPr>
                <w:sz w:val="18"/>
                <w:szCs w:val="18"/>
                <w:lang w:val="fr-FR"/>
              </w:rPr>
              <w:t>,</w:t>
            </w:r>
            <w:r w:rsidRPr="00412826">
              <w:rPr>
                <w:sz w:val="18"/>
                <w:szCs w:val="18"/>
                <w:lang w:val="fr-FR"/>
              </w:rPr>
              <w:t>514</w:t>
            </w:r>
          </w:p>
        </w:tc>
        <w:tc>
          <w:tcPr>
            <w:tcW w:w="850" w:type="dxa"/>
            <w:tcBorders>
              <w:top w:val="nil"/>
              <w:left w:val="single" w:sz="4" w:space="0" w:color="auto"/>
              <w:bottom w:val="nil"/>
              <w:right w:val="nil"/>
            </w:tcBorders>
            <w:vAlign w:val="center"/>
          </w:tcPr>
          <w:p w14:paraId="475897FD" w14:textId="77777777" w:rsidR="00302BFE" w:rsidRPr="00412826" w:rsidRDefault="00302BFE" w:rsidP="00243B15">
            <w:pPr>
              <w:spacing w:after="0"/>
              <w:ind w:left="30" w:right="30"/>
              <w:jc w:val="center"/>
              <w:rPr>
                <w:sz w:val="18"/>
                <w:szCs w:val="18"/>
                <w:highlight w:val="yellow"/>
                <w:lang w:val="fr-FR"/>
              </w:rPr>
            </w:pPr>
          </w:p>
        </w:tc>
        <w:tc>
          <w:tcPr>
            <w:tcW w:w="1682" w:type="dxa"/>
            <w:tcBorders>
              <w:top w:val="nil"/>
              <w:left w:val="nil"/>
              <w:bottom w:val="nil"/>
              <w:right w:val="nil"/>
            </w:tcBorders>
            <w:vAlign w:val="center"/>
          </w:tcPr>
          <w:p w14:paraId="2CCBA0C6" w14:textId="77777777" w:rsidR="00302BFE" w:rsidRPr="00412826" w:rsidRDefault="00302BFE" w:rsidP="00243B15">
            <w:pPr>
              <w:spacing w:after="0"/>
              <w:ind w:left="30" w:right="30"/>
              <w:rPr>
                <w:sz w:val="18"/>
                <w:szCs w:val="18"/>
                <w:lang w:val="fr-FR"/>
              </w:rPr>
            </w:pPr>
          </w:p>
        </w:tc>
      </w:tr>
      <w:tr w:rsidR="00302BFE" w:rsidRPr="00412826" w14:paraId="6B7FF7DE" w14:textId="77777777" w:rsidTr="00243B15">
        <w:trPr>
          <w:jc w:val="center"/>
        </w:trPr>
        <w:tc>
          <w:tcPr>
            <w:tcW w:w="2117" w:type="dxa"/>
            <w:vMerge/>
            <w:tcBorders>
              <w:left w:val="single" w:sz="4" w:space="0" w:color="auto"/>
              <w:right w:val="single" w:sz="4" w:space="0" w:color="auto"/>
            </w:tcBorders>
            <w:vAlign w:val="center"/>
          </w:tcPr>
          <w:p w14:paraId="28951CAC" w14:textId="77777777" w:rsidR="00302BFE" w:rsidRPr="00412826" w:rsidRDefault="00302BFE" w:rsidP="00243B15">
            <w:pPr>
              <w:spacing w:after="0"/>
              <w:ind w:left="30" w:right="30"/>
              <w:rPr>
                <w:sz w:val="18"/>
                <w:szCs w:val="18"/>
                <w:lang w:val="fr-FR"/>
              </w:rPr>
            </w:pPr>
          </w:p>
        </w:tc>
        <w:tc>
          <w:tcPr>
            <w:tcW w:w="378" w:type="dxa"/>
            <w:vMerge/>
            <w:tcBorders>
              <w:left w:val="single" w:sz="4" w:space="0" w:color="auto"/>
              <w:right w:val="single" w:sz="4" w:space="0" w:color="auto"/>
            </w:tcBorders>
            <w:vAlign w:val="center"/>
          </w:tcPr>
          <w:p w14:paraId="7B79CAD2" w14:textId="77777777" w:rsidR="00302BFE" w:rsidRPr="00412826" w:rsidRDefault="00302BFE" w:rsidP="00243B15">
            <w:pPr>
              <w:spacing w:after="0"/>
              <w:ind w:left="30" w:right="30"/>
              <w:jc w:val="center"/>
              <w:rPr>
                <w:sz w:val="18"/>
                <w:szCs w:val="18"/>
                <w:lang w:val="fr-FR"/>
              </w:rPr>
            </w:pPr>
          </w:p>
        </w:tc>
        <w:tc>
          <w:tcPr>
            <w:tcW w:w="1501" w:type="dxa"/>
            <w:tcBorders>
              <w:top w:val="single" w:sz="4" w:space="0" w:color="auto"/>
              <w:left w:val="single" w:sz="4" w:space="0" w:color="auto"/>
              <w:bottom w:val="single" w:sz="4" w:space="0" w:color="auto"/>
              <w:right w:val="single" w:sz="4" w:space="0" w:color="auto"/>
            </w:tcBorders>
            <w:vAlign w:val="center"/>
          </w:tcPr>
          <w:p w14:paraId="0A66E06A" w14:textId="77777777" w:rsidR="00302BFE" w:rsidRPr="00412826" w:rsidRDefault="00302BFE" w:rsidP="00243B15">
            <w:pPr>
              <w:spacing w:after="0"/>
              <w:ind w:left="30" w:right="30"/>
              <w:jc w:val="center"/>
              <w:rPr>
                <w:sz w:val="18"/>
                <w:szCs w:val="18"/>
                <w:lang w:val="fr-FR"/>
              </w:rPr>
            </w:pPr>
            <w:r w:rsidRPr="00412826">
              <w:rPr>
                <w:sz w:val="18"/>
                <w:szCs w:val="18"/>
                <w:lang w:val="fr-FR"/>
              </w:rPr>
              <w:t>Forêt Classée et Rés. Part. Faune Comoé-Léraba</w:t>
            </w:r>
          </w:p>
        </w:tc>
        <w:tc>
          <w:tcPr>
            <w:tcW w:w="1127" w:type="dxa"/>
            <w:tcBorders>
              <w:top w:val="single" w:sz="4" w:space="0" w:color="auto"/>
              <w:left w:val="single" w:sz="4" w:space="0" w:color="auto"/>
              <w:bottom w:val="single" w:sz="4" w:space="0" w:color="auto"/>
              <w:right w:val="single" w:sz="4" w:space="0" w:color="auto"/>
            </w:tcBorders>
            <w:vAlign w:val="center"/>
          </w:tcPr>
          <w:p w14:paraId="27BBFB61" w14:textId="77777777" w:rsidR="00302BFE" w:rsidRPr="00412826" w:rsidRDefault="00302BFE" w:rsidP="00243B15">
            <w:pPr>
              <w:spacing w:after="0"/>
              <w:ind w:left="30" w:right="30"/>
              <w:jc w:val="center"/>
              <w:rPr>
                <w:sz w:val="18"/>
                <w:szCs w:val="18"/>
                <w:lang w:val="fr-FR"/>
              </w:rPr>
            </w:pPr>
            <w:r w:rsidRPr="00412826">
              <w:rPr>
                <w:sz w:val="18"/>
                <w:szCs w:val="18"/>
                <w:lang w:val="fr-FR"/>
              </w:rPr>
              <w:t>2009</w:t>
            </w:r>
          </w:p>
        </w:tc>
        <w:tc>
          <w:tcPr>
            <w:tcW w:w="2097" w:type="dxa"/>
            <w:tcBorders>
              <w:top w:val="single" w:sz="4" w:space="0" w:color="auto"/>
              <w:left w:val="single" w:sz="4" w:space="0" w:color="auto"/>
              <w:bottom w:val="single" w:sz="4" w:space="0" w:color="auto"/>
              <w:right w:val="single" w:sz="4" w:space="0" w:color="auto"/>
            </w:tcBorders>
            <w:vAlign w:val="center"/>
          </w:tcPr>
          <w:p w14:paraId="71A78CE8" w14:textId="77777777" w:rsidR="00302BFE" w:rsidRPr="00412826" w:rsidRDefault="00302BFE" w:rsidP="00243B15">
            <w:pPr>
              <w:spacing w:after="0"/>
              <w:ind w:left="30" w:right="30"/>
              <w:jc w:val="center"/>
              <w:rPr>
                <w:sz w:val="18"/>
                <w:szCs w:val="18"/>
                <w:lang w:val="fr-FR"/>
              </w:rPr>
            </w:pPr>
            <w:r w:rsidRPr="00412826">
              <w:rPr>
                <w:sz w:val="18"/>
                <w:szCs w:val="18"/>
                <w:lang w:val="fr-FR"/>
              </w:rPr>
              <w:t>124</w:t>
            </w:r>
            <w:r>
              <w:rPr>
                <w:sz w:val="18"/>
                <w:szCs w:val="18"/>
                <w:lang w:val="fr-FR"/>
              </w:rPr>
              <w:t>,</w:t>
            </w:r>
            <w:r w:rsidRPr="00412826">
              <w:rPr>
                <w:sz w:val="18"/>
                <w:szCs w:val="18"/>
                <w:lang w:val="fr-FR"/>
              </w:rPr>
              <w:t>510</w:t>
            </w:r>
          </w:p>
        </w:tc>
        <w:tc>
          <w:tcPr>
            <w:tcW w:w="850" w:type="dxa"/>
            <w:tcBorders>
              <w:top w:val="nil"/>
              <w:left w:val="single" w:sz="4" w:space="0" w:color="auto"/>
              <w:bottom w:val="nil"/>
              <w:right w:val="nil"/>
            </w:tcBorders>
            <w:vAlign w:val="center"/>
          </w:tcPr>
          <w:p w14:paraId="43D583DC" w14:textId="77777777" w:rsidR="00302BFE" w:rsidRPr="00412826" w:rsidRDefault="00302BFE" w:rsidP="00243B15">
            <w:pPr>
              <w:spacing w:after="0"/>
              <w:ind w:left="30" w:right="30"/>
              <w:jc w:val="center"/>
              <w:rPr>
                <w:sz w:val="18"/>
                <w:szCs w:val="18"/>
                <w:highlight w:val="yellow"/>
                <w:lang w:val="fr-FR"/>
              </w:rPr>
            </w:pPr>
          </w:p>
        </w:tc>
        <w:tc>
          <w:tcPr>
            <w:tcW w:w="1682" w:type="dxa"/>
            <w:tcBorders>
              <w:top w:val="nil"/>
              <w:left w:val="nil"/>
              <w:bottom w:val="nil"/>
              <w:right w:val="nil"/>
            </w:tcBorders>
            <w:vAlign w:val="center"/>
          </w:tcPr>
          <w:p w14:paraId="71307832" w14:textId="77777777" w:rsidR="00302BFE" w:rsidRPr="00412826" w:rsidRDefault="00302BFE" w:rsidP="00243B15">
            <w:pPr>
              <w:spacing w:after="0"/>
              <w:ind w:left="30" w:right="30"/>
              <w:rPr>
                <w:sz w:val="18"/>
                <w:szCs w:val="18"/>
                <w:lang w:val="fr-FR"/>
              </w:rPr>
            </w:pPr>
          </w:p>
        </w:tc>
      </w:tr>
      <w:tr w:rsidR="00302BFE" w:rsidRPr="00412826" w14:paraId="79137BF8" w14:textId="77777777" w:rsidTr="00243B15">
        <w:trPr>
          <w:jc w:val="center"/>
        </w:trPr>
        <w:tc>
          <w:tcPr>
            <w:tcW w:w="2117" w:type="dxa"/>
            <w:vMerge/>
            <w:tcBorders>
              <w:left w:val="single" w:sz="4" w:space="0" w:color="auto"/>
              <w:right w:val="single" w:sz="4" w:space="0" w:color="auto"/>
            </w:tcBorders>
            <w:vAlign w:val="center"/>
          </w:tcPr>
          <w:p w14:paraId="2754FA75" w14:textId="77777777" w:rsidR="00302BFE" w:rsidRPr="00412826" w:rsidRDefault="00302BFE" w:rsidP="00243B15">
            <w:pPr>
              <w:spacing w:after="0"/>
              <w:ind w:left="30" w:right="30"/>
              <w:rPr>
                <w:sz w:val="18"/>
                <w:szCs w:val="18"/>
                <w:lang w:val="fr-FR"/>
              </w:rPr>
            </w:pPr>
          </w:p>
        </w:tc>
        <w:tc>
          <w:tcPr>
            <w:tcW w:w="378" w:type="dxa"/>
            <w:vMerge/>
            <w:tcBorders>
              <w:left w:val="single" w:sz="4" w:space="0" w:color="auto"/>
              <w:right w:val="single" w:sz="4" w:space="0" w:color="auto"/>
            </w:tcBorders>
            <w:vAlign w:val="center"/>
          </w:tcPr>
          <w:p w14:paraId="02192942" w14:textId="77777777" w:rsidR="00302BFE" w:rsidRPr="00412826" w:rsidRDefault="00302BFE" w:rsidP="00243B15">
            <w:pPr>
              <w:spacing w:after="0"/>
              <w:ind w:left="30" w:right="30"/>
              <w:jc w:val="center"/>
              <w:rPr>
                <w:sz w:val="18"/>
                <w:szCs w:val="18"/>
                <w:lang w:val="fr-FR"/>
              </w:rPr>
            </w:pPr>
          </w:p>
        </w:tc>
        <w:tc>
          <w:tcPr>
            <w:tcW w:w="1501" w:type="dxa"/>
            <w:tcBorders>
              <w:top w:val="single" w:sz="4" w:space="0" w:color="auto"/>
              <w:left w:val="single" w:sz="4" w:space="0" w:color="auto"/>
              <w:bottom w:val="single" w:sz="4" w:space="0" w:color="auto"/>
              <w:right w:val="single" w:sz="4" w:space="0" w:color="auto"/>
            </w:tcBorders>
            <w:vAlign w:val="center"/>
          </w:tcPr>
          <w:p w14:paraId="1A5078C9" w14:textId="77777777" w:rsidR="00302BFE" w:rsidRPr="00412826" w:rsidRDefault="00302BFE" w:rsidP="00243B15">
            <w:pPr>
              <w:spacing w:after="0"/>
              <w:ind w:left="30" w:right="30"/>
              <w:jc w:val="center"/>
              <w:rPr>
                <w:sz w:val="18"/>
                <w:szCs w:val="18"/>
                <w:lang w:val="fr-FR"/>
              </w:rPr>
            </w:pPr>
            <w:r w:rsidRPr="00412826">
              <w:rPr>
                <w:sz w:val="18"/>
                <w:szCs w:val="18"/>
                <w:lang w:val="fr-FR"/>
              </w:rPr>
              <w:t>Vallée du Sourou</w:t>
            </w:r>
          </w:p>
        </w:tc>
        <w:tc>
          <w:tcPr>
            <w:tcW w:w="1127" w:type="dxa"/>
            <w:tcBorders>
              <w:top w:val="single" w:sz="4" w:space="0" w:color="auto"/>
              <w:left w:val="single" w:sz="4" w:space="0" w:color="auto"/>
              <w:bottom w:val="single" w:sz="4" w:space="0" w:color="auto"/>
              <w:right w:val="single" w:sz="4" w:space="0" w:color="auto"/>
            </w:tcBorders>
            <w:vAlign w:val="center"/>
          </w:tcPr>
          <w:p w14:paraId="1C366627" w14:textId="77777777" w:rsidR="00302BFE" w:rsidRPr="00412826" w:rsidRDefault="00302BFE" w:rsidP="00243B15">
            <w:pPr>
              <w:spacing w:after="0"/>
              <w:ind w:left="30" w:right="30"/>
              <w:jc w:val="center"/>
              <w:rPr>
                <w:sz w:val="18"/>
                <w:szCs w:val="18"/>
                <w:lang w:val="fr-FR"/>
              </w:rPr>
            </w:pPr>
            <w:r w:rsidRPr="00412826">
              <w:rPr>
                <w:sz w:val="18"/>
                <w:szCs w:val="18"/>
                <w:lang w:val="fr-FR"/>
              </w:rPr>
              <w:t>2009</w:t>
            </w:r>
          </w:p>
        </w:tc>
        <w:tc>
          <w:tcPr>
            <w:tcW w:w="2097" w:type="dxa"/>
            <w:tcBorders>
              <w:top w:val="single" w:sz="4" w:space="0" w:color="auto"/>
              <w:left w:val="single" w:sz="4" w:space="0" w:color="auto"/>
              <w:bottom w:val="single" w:sz="4" w:space="0" w:color="auto"/>
              <w:right w:val="single" w:sz="4" w:space="0" w:color="auto"/>
            </w:tcBorders>
            <w:vAlign w:val="center"/>
          </w:tcPr>
          <w:p w14:paraId="6DF9BA4F" w14:textId="77777777" w:rsidR="00302BFE" w:rsidRPr="00412826" w:rsidRDefault="00302BFE" w:rsidP="00243B15">
            <w:pPr>
              <w:spacing w:after="0"/>
              <w:ind w:left="30" w:right="30"/>
              <w:jc w:val="center"/>
              <w:rPr>
                <w:sz w:val="18"/>
                <w:szCs w:val="18"/>
                <w:lang w:val="fr-FR"/>
              </w:rPr>
            </w:pPr>
            <w:r w:rsidRPr="00412826">
              <w:rPr>
                <w:sz w:val="18"/>
                <w:szCs w:val="18"/>
                <w:lang w:val="fr-FR"/>
              </w:rPr>
              <w:t>21</w:t>
            </w:r>
            <w:r>
              <w:rPr>
                <w:sz w:val="18"/>
                <w:szCs w:val="18"/>
                <w:lang w:val="fr-FR"/>
              </w:rPr>
              <w:t>,</w:t>
            </w:r>
            <w:r w:rsidRPr="00412826">
              <w:rPr>
                <w:sz w:val="18"/>
                <w:szCs w:val="18"/>
                <w:lang w:val="fr-FR"/>
              </w:rPr>
              <w:t>157</w:t>
            </w:r>
          </w:p>
        </w:tc>
        <w:tc>
          <w:tcPr>
            <w:tcW w:w="850" w:type="dxa"/>
            <w:tcBorders>
              <w:top w:val="nil"/>
              <w:left w:val="single" w:sz="4" w:space="0" w:color="auto"/>
              <w:bottom w:val="nil"/>
              <w:right w:val="nil"/>
            </w:tcBorders>
            <w:vAlign w:val="center"/>
          </w:tcPr>
          <w:p w14:paraId="206D683B" w14:textId="77777777" w:rsidR="00302BFE" w:rsidRPr="00412826" w:rsidRDefault="00302BFE" w:rsidP="00243B15">
            <w:pPr>
              <w:spacing w:after="0"/>
              <w:ind w:left="30" w:right="30"/>
              <w:jc w:val="center"/>
              <w:rPr>
                <w:sz w:val="18"/>
                <w:szCs w:val="18"/>
                <w:highlight w:val="yellow"/>
                <w:lang w:val="fr-FR"/>
              </w:rPr>
            </w:pPr>
          </w:p>
        </w:tc>
        <w:tc>
          <w:tcPr>
            <w:tcW w:w="1682" w:type="dxa"/>
            <w:tcBorders>
              <w:top w:val="nil"/>
              <w:left w:val="nil"/>
              <w:bottom w:val="nil"/>
              <w:right w:val="nil"/>
            </w:tcBorders>
            <w:vAlign w:val="center"/>
          </w:tcPr>
          <w:p w14:paraId="204458E8" w14:textId="77777777" w:rsidR="00302BFE" w:rsidRPr="00412826" w:rsidRDefault="00302BFE" w:rsidP="00243B15">
            <w:pPr>
              <w:spacing w:after="0"/>
              <w:ind w:left="30" w:right="30"/>
              <w:rPr>
                <w:sz w:val="18"/>
                <w:szCs w:val="18"/>
                <w:lang w:val="fr-FR"/>
              </w:rPr>
            </w:pPr>
          </w:p>
        </w:tc>
      </w:tr>
      <w:tr w:rsidR="00302BFE" w:rsidRPr="00412826" w14:paraId="06EC5B4E" w14:textId="77777777" w:rsidTr="00243B15">
        <w:trPr>
          <w:jc w:val="center"/>
        </w:trPr>
        <w:tc>
          <w:tcPr>
            <w:tcW w:w="2117" w:type="dxa"/>
            <w:vMerge/>
            <w:tcBorders>
              <w:left w:val="single" w:sz="4" w:space="0" w:color="auto"/>
              <w:right w:val="single" w:sz="4" w:space="0" w:color="auto"/>
            </w:tcBorders>
            <w:vAlign w:val="center"/>
          </w:tcPr>
          <w:p w14:paraId="7B87C211" w14:textId="77777777" w:rsidR="00302BFE" w:rsidRPr="00412826" w:rsidRDefault="00302BFE" w:rsidP="00243B15">
            <w:pPr>
              <w:spacing w:after="0"/>
              <w:ind w:left="30" w:right="30"/>
              <w:rPr>
                <w:sz w:val="18"/>
                <w:szCs w:val="18"/>
                <w:lang w:val="fr-FR"/>
              </w:rPr>
            </w:pPr>
          </w:p>
        </w:tc>
        <w:tc>
          <w:tcPr>
            <w:tcW w:w="378" w:type="dxa"/>
            <w:vMerge/>
            <w:tcBorders>
              <w:left w:val="single" w:sz="4" w:space="0" w:color="auto"/>
              <w:right w:val="single" w:sz="4" w:space="0" w:color="auto"/>
            </w:tcBorders>
            <w:vAlign w:val="center"/>
          </w:tcPr>
          <w:p w14:paraId="222CF273" w14:textId="77777777" w:rsidR="00302BFE" w:rsidRPr="00412826" w:rsidRDefault="00302BFE" w:rsidP="00243B15">
            <w:pPr>
              <w:spacing w:after="0"/>
              <w:ind w:left="30" w:right="30"/>
              <w:jc w:val="center"/>
              <w:rPr>
                <w:sz w:val="18"/>
                <w:szCs w:val="18"/>
                <w:lang w:val="fr-FR"/>
              </w:rPr>
            </w:pPr>
          </w:p>
        </w:tc>
        <w:tc>
          <w:tcPr>
            <w:tcW w:w="1501" w:type="dxa"/>
            <w:tcBorders>
              <w:top w:val="single" w:sz="4" w:space="0" w:color="auto"/>
              <w:left w:val="single" w:sz="4" w:space="0" w:color="auto"/>
              <w:bottom w:val="single" w:sz="4" w:space="0" w:color="auto"/>
              <w:right w:val="single" w:sz="4" w:space="0" w:color="auto"/>
            </w:tcBorders>
            <w:vAlign w:val="center"/>
          </w:tcPr>
          <w:p w14:paraId="315DEB63" w14:textId="77777777" w:rsidR="00302BFE" w:rsidRPr="00412826" w:rsidRDefault="00302BFE" w:rsidP="00243B15">
            <w:pPr>
              <w:spacing w:after="0"/>
              <w:ind w:left="30" w:right="30"/>
              <w:jc w:val="center"/>
              <w:rPr>
                <w:sz w:val="18"/>
                <w:szCs w:val="18"/>
                <w:lang w:val="fr-FR"/>
              </w:rPr>
            </w:pPr>
            <w:r w:rsidRPr="00412826">
              <w:rPr>
                <w:sz w:val="18"/>
                <w:szCs w:val="18"/>
                <w:lang w:val="fr-FR"/>
              </w:rPr>
              <w:t>Parc National d’Arly</w:t>
            </w:r>
          </w:p>
        </w:tc>
        <w:tc>
          <w:tcPr>
            <w:tcW w:w="1127" w:type="dxa"/>
            <w:tcBorders>
              <w:top w:val="single" w:sz="4" w:space="0" w:color="auto"/>
              <w:left w:val="single" w:sz="4" w:space="0" w:color="auto"/>
              <w:bottom w:val="single" w:sz="4" w:space="0" w:color="auto"/>
              <w:right w:val="single" w:sz="4" w:space="0" w:color="auto"/>
            </w:tcBorders>
            <w:vAlign w:val="center"/>
          </w:tcPr>
          <w:p w14:paraId="7B1C04FC" w14:textId="77777777" w:rsidR="00302BFE" w:rsidRPr="00412826" w:rsidRDefault="00302BFE" w:rsidP="00243B15">
            <w:pPr>
              <w:spacing w:after="0"/>
              <w:ind w:left="30" w:right="30"/>
              <w:jc w:val="center"/>
              <w:rPr>
                <w:sz w:val="18"/>
                <w:szCs w:val="18"/>
                <w:lang w:val="fr-FR"/>
              </w:rPr>
            </w:pPr>
            <w:r w:rsidRPr="00412826">
              <w:rPr>
                <w:sz w:val="18"/>
                <w:szCs w:val="18"/>
                <w:lang w:val="fr-FR"/>
              </w:rPr>
              <w:t>2009</w:t>
            </w:r>
          </w:p>
        </w:tc>
        <w:tc>
          <w:tcPr>
            <w:tcW w:w="2097" w:type="dxa"/>
            <w:tcBorders>
              <w:top w:val="single" w:sz="4" w:space="0" w:color="auto"/>
              <w:left w:val="single" w:sz="4" w:space="0" w:color="auto"/>
              <w:bottom w:val="single" w:sz="4" w:space="0" w:color="auto"/>
              <w:right w:val="single" w:sz="4" w:space="0" w:color="auto"/>
            </w:tcBorders>
            <w:vAlign w:val="center"/>
          </w:tcPr>
          <w:p w14:paraId="7CF83772" w14:textId="77777777" w:rsidR="00302BFE" w:rsidRPr="00412826" w:rsidRDefault="00302BFE" w:rsidP="00243B15">
            <w:pPr>
              <w:spacing w:after="0"/>
              <w:ind w:left="30" w:right="30"/>
              <w:jc w:val="center"/>
              <w:rPr>
                <w:sz w:val="18"/>
                <w:szCs w:val="18"/>
                <w:lang w:val="fr-FR"/>
              </w:rPr>
            </w:pPr>
            <w:r w:rsidRPr="00412826">
              <w:rPr>
                <w:sz w:val="18"/>
                <w:szCs w:val="18"/>
                <w:lang w:val="fr-FR"/>
              </w:rPr>
              <w:t>795</w:t>
            </w:r>
            <w:r>
              <w:rPr>
                <w:sz w:val="18"/>
                <w:szCs w:val="18"/>
                <w:lang w:val="fr-FR"/>
              </w:rPr>
              <w:t>,</w:t>
            </w:r>
            <w:r w:rsidRPr="00412826">
              <w:rPr>
                <w:sz w:val="18"/>
                <w:szCs w:val="18"/>
                <w:lang w:val="fr-FR"/>
              </w:rPr>
              <w:t>289</w:t>
            </w:r>
          </w:p>
        </w:tc>
        <w:tc>
          <w:tcPr>
            <w:tcW w:w="850" w:type="dxa"/>
            <w:tcBorders>
              <w:top w:val="nil"/>
              <w:left w:val="single" w:sz="4" w:space="0" w:color="auto"/>
              <w:bottom w:val="nil"/>
              <w:right w:val="nil"/>
            </w:tcBorders>
            <w:vAlign w:val="center"/>
          </w:tcPr>
          <w:p w14:paraId="59741303" w14:textId="77777777" w:rsidR="00302BFE" w:rsidRPr="00412826" w:rsidRDefault="00302BFE" w:rsidP="00243B15">
            <w:pPr>
              <w:spacing w:after="0"/>
              <w:ind w:left="30" w:right="30"/>
              <w:jc w:val="center"/>
              <w:rPr>
                <w:sz w:val="18"/>
                <w:szCs w:val="18"/>
                <w:highlight w:val="yellow"/>
                <w:lang w:val="fr-FR"/>
              </w:rPr>
            </w:pPr>
          </w:p>
        </w:tc>
        <w:tc>
          <w:tcPr>
            <w:tcW w:w="1682" w:type="dxa"/>
            <w:tcBorders>
              <w:top w:val="nil"/>
              <w:left w:val="nil"/>
              <w:bottom w:val="nil"/>
              <w:right w:val="nil"/>
            </w:tcBorders>
            <w:vAlign w:val="center"/>
          </w:tcPr>
          <w:p w14:paraId="550A4B01" w14:textId="77777777" w:rsidR="00302BFE" w:rsidRPr="00412826" w:rsidRDefault="00302BFE" w:rsidP="00243B15">
            <w:pPr>
              <w:spacing w:after="0"/>
              <w:ind w:left="30" w:right="30"/>
              <w:rPr>
                <w:sz w:val="18"/>
                <w:szCs w:val="18"/>
                <w:lang w:val="fr-FR"/>
              </w:rPr>
            </w:pPr>
          </w:p>
        </w:tc>
      </w:tr>
      <w:tr w:rsidR="00302BFE" w:rsidRPr="00412826" w14:paraId="131B0251" w14:textId="77777777" w:rsidTr="00243B15">
        <w:trPr>
          <w:jc w:val="center"/>
        </w:trPr>
        <w:tc>
          <w:tcPr>
            <w:tcW w:w="2117" w:type="dxa"/>
            <w:vMerge/>
            <w:tcBorders>
              <w:left w:val="single" w:sz="4" w:space="0" w:color="auto"/>
              <w:right w:val="single" w:sz="4" w:space="0" w:color="auto"/>
            </w:tcBorders>
            <w:vAlign w:val="center"/>
          </w:tcPr>
          <w:p w14:paraId="34776F11" w14:textId="77777777" w:rsidR="00302BFE" w:rsidRPr="00412826" w:rsidRDefault="00302BFE" w:rsidP="00243B15">
            <w:pPr>
              <w:spacing w:after="0"/>
              <w:ind w:left="30" w:right="30"/>
              <w:rPr>
                <w:sz w:val="18"/>
                <w:szCs w:val="18"/>
                <w:lang w:val="fr-FR"/>
              </w:rPr>
            </w:pPr>
          </w:p>
        </w:tc>
        <w:tc>
          <w:tcPr>
            <w:tcW w:w="378" w:type="dxa"/>
            <w:vMerge/>
            <w:tcBorders>
              <w:left w:val="single" w:sz="4" w:space="0" w:color="auto"/>
              <w:right w:val="single" w:sz="4" w:space="0" w:color="auto"/>
            </w:tcBorders>
            <w:vAlign w:val="center"/>
          </w:tcPr>
          <w:p w14:paraId="64ECADB3" w14:textId="77777777" w:rsidR="00302BFE" w:rsidRPr="00412826" w:rsidRDefault="00302BFE" w:rsidP="00243B15">
            <w:pPr>
              <w:spacing w:after="0"/>
              <w:ind w:left="30" w:right="30"/>
              <w:jc w:val="center"/>
              <w:rPr>
                <w:sz w:val="18"/>
                <w:szCs w:val="18"/>
                <w:lang w:val="fr-FR"/>
              </w:rPr>
            </w:pPr>
          </w:p>
        </w:tc>
        <w:tc>
          <w:tcPr>
            <w:tcW w:w="1501" w:type="dxa"/>
            <w:tcBorders>
              <w:top w:val="single" w:sz="4" w:space="0" w:color="auto"/>
              <w:left w:val="single" w:sz="4" w:space="0" w:color="auto"/>
              <w:bottom w:val="single" w:sz="4" w:space="0" w:color="auto"/>
              <w:right w:val="single" w:sz="4" w:space="0" w:color="auto"/>
            </w:tcBorders>
            <w:vAlign w:val="center"/>
          </w:tcPr>
          <w:p w14:paraId="66D093A7" w14:textId="77777777" w:rsidR="00302BFE" w:rsidRPr="00412826" w:rsidRDefault="00302BFE" w:rsidP="00243B15">
            <w:pPr>
              <w:spacing w:after="0"/>
              <w:ind w:left="30" w:right="30"/>
              <w:jc w:val="center"/>
              <w:rPr>
                <w:sz w:val="18"/>
                <w:szCs w:val="18"/>
                <w:lang w:val="fr-FR"/>
              </w:rPr>
            </w:pPr>
            <w:r w:rsidRPr="00412826">
              <w:rPr>
                <w:sz w:val="18"/>
                <w:szCs w:val="18"/>
                <w:lang w:val="fr-FR"/>
              </w:rPr>
              <w:t>Zone Confluence Mouhoun - Sourou</w:t>
            </w:r>
          </w:p>
        </w:tc>
        <w:tc>
          <w:tcPr>
            <w:tcW w:w="1127" w:type="dxa"/>
            <w:tcBorders>
              <w:top w:val="single" w:sz="4" w:space="0" w:color="auto"/>
              <w:left w:val="single" w:sz="4" w:space="0" w:color="auto"/>
              <w:bottom w:val="single" w:sz="4" w:space="0" w:color="auto"/>
              <w:right w:val="single" w:sz="4" w:space="0" w:color="auto"/>
            </w:tcBorders>
            <w:vAlign w:val="center"/>
          </w:tcPr>
          <w:p w14:paraId="6ABD4F86" w14:textId="77777777" w:rsidR="00302BFE" w:rsidRPr="00412826" w:rsidRDefault="00302BFE" w:rsidP="00243B15">
            <w:pPr>
              <w:spacing w:after="0"/>
              <w:ind w:left="30" w:right="30"/>
              <w:jc w:val="center"/>
              <w:rPr>
                <w:sz w:val="18"/>
                <w:szCs w:val="18"/>
                <w:lang w:val="fr-FR"/>
              </w:rPr>
            </w:pPr>
            <w:r w:rsidRPr="00412826">
              <w:rPr>
                <w:sz w:val="18"/>
                <w:szCs w:val="18"/>
                <w:lang w:val="fr-FR"/>
              </w:rPr>
              <w:t>2017</w:t>
            </w:r>
          </w:p>
        </w:tc>
        <w:tc>
          <w:tcPr>
            <w:tcW w:w="2097" w:type="dxa"/>
            <w:tcBorders>
              <w:top w:val="single" w:sz="4" w:space="0" w:color="auto"/>
              <w:left w:val="single" w:sz="4" w:space="0" w:color="auto"/>
              <w:bottom w:val="single" w:sz="4" w:space="0" w:color="auto"/>
              <w:right w:val="single" w:sz="4" w:space="0" w:color="auto"/>
            </w:tcBorders>
            <w:vAlign w:val="center"/>
          </w:tcPr>
          <w:p w14:paraId="7BA0AA0F" w14:textId="77777777" w:rsidR="00302BFE" w:rsidRPr="00412826" w:rsidRDefault="00302BFE" w:rsidP="00243B15">
            <w:pPr>
              <w:spacing w:after="0"/>
              <w:ind w:left="30" w:right="30"/>
              <w:jc w:val="center"/>
              <w:rPr>
                <w:sz w:val="18"/>
                <w:szCs w:val="18"/>
                <w:lang w:val="fr-FR"/>
              </w:rPr>
            </w:pPr>
            <w:r w:rsidRPr="00412826">
              <w:rPr>
                <w:sz w:val="18"/>
                <w:szCs w:val="18"/>
                <w:lang w:val="fr-FR"/>
              </w:rPr>
              <w:t>23</w:t>
            </w:r>
            <w:r>
              <w:rPr>
                <w:sz w:val="18"/>
                <w:szCs w:val="18"/>
                <w:lang w:val="fr-FR"/>
              </w:rPr>
              <w:t>,</w:t>
            </w:r>
            <w:r w:rsidRPr="00412826">
              <w:rPr>
                <w:sz w:val="18"/>
                <w:szCs w:val="18"/>
                <w:lang w:val="fr-FR"/>
              </w:rPr>
              <w:t>300</w:t>
            </w:r>
          </w:p>
        </w:tc>
        <w:tc>
          <w:tcPr>
            <w:tcW w:w="850" w:type="dxa"/>
            <w:tcBorders>
              <w:top w:val="nil"/>
              <w:left w:val="single" w:sz="4" w:space="0" w:color="auto"/>
              <w:bottom w:val="nil"/>
              <w:right w:val="nil"/>
            </w:tcBorders>
            <w:vAlign w:val="center"/>
          </w:tcPr>
          <w:p w14:paraId="5DA8EE3E" w14:textId="77777777" w:rsidR="00302BFE" w:rsidRPr="00412826" w:rsidRDefault="00302BFE" w:rsidP="00243B15">
            <w:pPr>
              <w:spacing w:after="0"/>
              <w:ind w:left="30" w:right="30"/>
              <w:jc w:val="center"/>
              <w:rPr>
                <w:sz w:val="18"/>
                <w:szCs w:val="18"/>
                <w:highlight w:val="yellow"/>
                <w:lang w:val="fr-FR"/>
              </w:rPr>
            </w:pPr>
          </w:p>
        </w:tc>
        <w:tc>
          <w:tcPr>
            <w:tcW w:w="1682" w:type="dxa"/>
            <w:tcBorders>
              <w:top w:val="nil"/>
              <w:left w:val="nil"/>
              <w:bottom w:val="nil"/>
              <w:right w:val="nil"/>
            </w:tcBorders>
            <w:vAlign w:val="center"/>
          </w:tcPr>
          <w:p w14:paraId="34C8B6D6" w14:textId="77777777" w:rsidR="00302BFE" w:rsidRPr="00412826" w:rsidRDefault="00302BFE" w:rsidP="00243B15">
            <w:pPr>
              <w:spacing w:after="0"/>
              <w:ind w:left="30" w:right="30"/>
              <w:rPr>
                <w:sz w:val="18"/>
                <w:szCs w:val="18"/>
                <w:lang w:val="fr-FR"/>
              </w:rPr>
            </w:pPr>
          </w:p>
        </w:tc>
      </w:tr>
      <w:tr w:rsidR="00302BFE" w:rsidRPr="00412826" w14:paraId="6D541125" w14:textId="77777777" w:rsidTr="00243B15">
        <w:trPr>
          <w:jc w:val="center"/>
        </w:trPr>
        <w:tc>
          <w:tcPr>
            <w:tcW w:w="2117" w:type="dxa"/>
            <w:vMerge w:val="restart"/>
            <w:tcBorders>
              <w:left w:val="single" w:sz="4" w:space="0" w:color="auto"/>
              <w:right w:val="single" w:sz="4" w:space="0" w:color="auto"/>
            </w:tcBorders>
            <w:vAlign w:val="center"/>
          </w:tcPr>
          <w:p w14:paraId="0E349759" w14:textId="77777777" w:rsidR="00302BFE" w:rsidRPr="00412826" w:rsidRDefault="00302BFE" w:rsidP="00243B15">
            <w:pPr>
              <w:spacing w:after="0"/>
              <w:ind w:left="30" w:right="30"/>
              <w:rPr>
                <w:sz w:val="18"/>
                <w:szCs w:val="18"/>
                <w:lang w:val="fr-FR"/>
              </w:rPr>
            </w:pPr>
            <w:r>
              <w:rPr>
                <w:sz w:val="18"/>
                <w:szCs w:val="18"/>
                <w:lang w:val="fr-FR"/>
              </w:rPr>
              <w:t>Important Bird Areas</w:t>
            </w:r>
          </w:p>
        </w:tc>
        <w:tc>
          <w:tcPr>
            <w:tcW w:w="378" w:type="dxa"/>
            <w:vMerge w:val="restart"/>
            <w:tcBorders>
              <w:left w:val="single" w:sz="4" w:space="0" w:color="auto"/>
              <w:right w:val="single" w:sz="4" w:space="0" w:color="auto"/>
            </w:tcBorders>
            <w:vAlign w:val="center"/>
          </w:tcPr>
          <w:p w14:paraId="129EF479" w14:textId="77777777" w:rsidR="00302BFE" w:rsidRPr="00412826" w:rsidRDefault="00302BFE" w:rsidP="00243B15">
            <w:pPr>
              <w:spacing w:after="0"/>
              <w:ind w:left="30" w:right="30"/>
              <w:jc w:val="center"/>
              <w:rPr>
                <w:sz w:val="18"/>
                <w:szCs w:val="18"/>
                <w:lang w:val="fr-FR"/>
              </w:rPr>
            </w:pPr>
            <w:r w:rsidRPr="00412826">
              <w:rPr>
                <w:sz w:val="18"/>
                <w:szCs w:val="18"/>
                <w:lang w:val="fr-FR"/>
              </w:rPr>
              <w:t>10</w:t>
            </w:r>
          </w:p>
        </w:tc>
        <w:tc>
          <w:tcPr>
            <w:tcW w:w="1501" w:type="dxa"/>
            <w:tcBorders>
              <w:top w:val="single" w:sz="4" w:space="0" w:color="auto"/>
              <w:left w:val="single" w:sz="4" w:space="0" w:color="auto"/>
              <w:bottom w:val="single" w:sz="4" w:space="0" w:color="auto"/>
              <w:right w:val="single" w:sz="4" w:space="0" w:color="auto"/>
            </w:tcBorders>
            <w:vAlign w:val="center"/>
          </w:tcPr>
          <w:p w14:paraId="77156FD7" w14:textId="77777777" w:rsidR="00302BFE" w:rsidRPr="00412826" w:rsidRDefault="00302BFE" w:rsidP="00243B15">
            <w:pPr>
              <w:spacing w:after="0"/>
              <w:ind w:left="30" w:right="30"/>
              <w:jc w:val="center"/>
              <w:rPr>
                <w:sz w:val="18"/>
                <w:szCs w:val="18"/>
                <w:lang w:val="fr-FR"/>
              </w:rPr>
            </w:pPr>
            <w:r w:rsidRPr="00412826">
              <w:rPr>
                <w:sz w:val="18"/>
                <w:szCs w:val="18"/>
                <w:lang w:val="fr-FR"/>
              </w:rPr>
              <w:t>Complexe Kaboré Tambi, Nazinga, Sissili - BF006</w:t>
            </w:r>
          </w:p>
        </w:tc>
        <w:tc>
          <w:tcPr>
            <w:tcW w:w="1127" w:type="dxa"/>
            <w:tcBorders>
              <w:top w:val="single" w:sz="4" w:space="0" w:color="auto"/>
              <w:left w:val="single" w:sz="4" w:space="0" w:color="auto"/>
              <w:bottom w:val="single" w:sz="4" w:space="0" w:color="auto"/>
              <w:right w:val="single" w:sz="4" w:space="0" w:color="auto"/>
            </w:tcBorders>
            <w:vAlign w:val="center"/>
          </w:tcPr>
          <w:p w14:paraId="0C70798E" w14:textId="77777777" w:rsidR="00302BFE" w:rsidRPr="00412826" w:rsidRDefault="00302BFE" w:rsidP="00243B15">
            <w:pPr>
              <w:spacing w:after="0"/>
              <w:ind w:left="30" w:right="30"/>
              <w:jc w:val="center"/>
              <w:rPr>
                <w:sz w:val="18"/>
                <w:szCs w:val="18"/>
                <w:lang w:val="fr-FR"/>
              </w:rPr>
            </w:pPr>
            <w:r w:rsidRPr="00412826">
              <w:rPr>
                <w:sz w:val="18"/>
                <w:szCs w:val="18"/>
                <w:lang w:val="fr-FR"/>
              </w:rPr>
              <w:t>2001</w:t>
            </w:r>
          </w:p>
        </w:tc>
        <w:tc>
          <w:tcPr>
            <w:tcW w:w="2097" w:type="dxa"/>
            <w:tcBorders>
              <w:top w:val="single" w:sz="4" w:space="0" w:color="auto"/>
              <w:left w:val="single" w:sz="4" w:space="0" w:color="auto"/>
              <w:bottom w:val="single" w:sz="4" w:space="0" w:color="auto"/>
              <w:right w:val="single" w:sz="4" w:space="0" w:color="auto"/>
            </w:tcBorders>
            <w:vAlign w:val="center"/>
          </w:tcPr>
          <w:p w14:paraId="51F3E62C" w14:textId="77777777" w:rsidR="00302BFE" w:rsidRPr="00412826" w:rsidRDefault="00302BFE" w:rsidP="00243B15">
            <w:pPr>
              <w:spacing w:after="0"/>
              <w:ind w:left="30" w:right="30"/>
              <w:jc w:val="center"/>
              <w:rPr>
                <w:sz w:val="18"/>
                <w:szCs w:val="18"/>
                <w:lang w:val="fr-FR"/>
              </w:rPr>
            </w:pPr>
            <w:r w:rsidRPr="00412826">
              <w:rPr>
                <w:sz w:val="18"/>
                <w:szCs w:val="18"/>
                <w:lang w:val="fr-FR"/>
              </w:rPr>
              <w:t>336</w:t>
            </w:r>
            <w:r>
              <w:rPr>
                <w:sz w:val="18"/>
                <w:szCs w:val="18"/>
                <w:lang w:val="fr-FR"/>
              </w:rPr>
              <w:t>,</w:t>
            </w:r>
            <w:r w:rsidRPr="00412826">
              <w:rPr>
                <w:sz w:val="18"/>
                <w:szCs w:val="18"/>
                <w:lang w:val="fr-FR"/>
              </w:rPr>
              <w:t>500</w:t>
            </w:r>
          </w:p>
        </w:tc>
        <w:tc>
          <w:tcPr>
            <w:tcW w:w="850" w:type="dxa"/>
            <w:tcBorders>
              <w:top w:val="nil"/>
              <w:left w:val="single" w:sz="4" w:space="0" w:color="auto"/>
              <w:bottom w:val="nil"/>
              <w:right w:val="nil"/>
            </w:tcBorders>
            <w:vAlign w:val="center"/>
          </w:tcPr>
          <w:p w14:paraId="14D1F88F" w14:textId="77777777" w:rsidR="00302BFE" w:rsidRPr="00412826" w:rsidRDefault="00302BFE" w:rsidP="00243B15">
            <w:pPr>
              <w:spacing w:after="0"/>
              <w:ind w:left="30" w:right="30"/>
              <w:jc w:val="center"/>
              <w:rPr>
                <w:sz w:val="18"/>
                <w:szCs w:val="18"/>
                <w:highlight w:val="yellow"/>
                <w:lang w:val="fr-FR"/>
              </w:rPr>
            </w:pPr>
          </w:p>
        </w:tc>
        <w:tc>
          <w:tcPr>
            <w:tcW w:w="1682" w:type="dxa"/>
            <w:tcBorders>
              <w:top w:val="nil"/>
              <w:left w:val="nil"/>
              <w:bottom w:val="nil"/>
              <w:right w:val="nil"/>
            </w:tcBorders>
            <w:vAlign w:val="center"/>
          </w:tcPr>
          <w:p w14:paraId="56393FDE" w14:textId="77777777" w:rsidR="00302BFE" w:rsidRPr="00412826" w:rsidRDefault="00302BFE" w:rsidP="00243B15">
            <w:pPr>
              <w:spacing w:after="0"/>
              <w:ind w:left="30" w:right="30"/>
              <w:rPr>
                <w:sz w:val="18"/>
                <w:szCs w:val="18"/>
                <w:lang w:val="fr-FR"/>
              </w:rPr>
            </w:pPr>
          </w:p>
        </w:tc>
      </w:tr>
      <w:tr w:rsidR="00302BFE" w:rsidRPr="00412826" w14:paraId="17828817" w14:textId="77777777" w:rsidTr="00243B15">
        <w:trPr>
          <w:jc w:val="center"/>
        </w:trPr>
        <w:tc>
          <w:tcPr>
            <w:tcW w:w="2117" w:type="dxa"/>
            <w:vMerge/>
            <w:tcBorders>
              <w:left w:val="single" w:sz="4" w:space="0" w:color="auto"/>
              <w:right w:val="single" w:sz="4" w:space="0" w:color="auto"/>
            </w:tcBorders>
            <w:vAlign w:val="center"/>
          </w:tcPr>
          <w:p w14:paraId="4D22AF0D" w14:textId="77777777" w:rsidR="00302BFE" w:rsidRPr="00412826" w:rsidRDefault="00302BFE" w:rsidP="00243B15">
            <w:pPr>
              <w:spacing w:after="0"/>
              <w:ind w:left="30" w:right="30"/>
              <w:rPr>
                <w:sz w:val="18"/>
                <w:szCs w:val="18"/>
                <w:lang w:val="fr-FR"/>
              </w:rPr>
            </w:pPr>
          </w:p>
        </w:tc>
        <w:tc>
          <w:tcPr>
            <w:tcW w:w="378" w:type="dxa"/>
            <w:vMerge/>
            <w:tcBorders>
              <w:left w:val="single" w:sz="4" w:space="0" w:color="auto"/>
              <w:right w:val="single" w:sz="4" w:space="0" w:color="auto"/>
            </w:tcBorders>
            <w:vAlign w:val="center"/>
          </w:tcPr>
          <w:p w14:paraId="46A2743E" w14:textId="77777777" w:rsidR="00302BFE" w:rsidRPr="00412826" w:rsidRDefault="00302BFE" w:rsidP="00243B15">
            <w:pPr>
              <w:spacing w:after="0"/>
              <w:ind w:left="30" w:right="30"/>
              <w:jc w:val="center"/>
              <w:rPr>
                <w:sz w:val="18"/>
                <w:szCs w:val="18"/>
                <w:lang w:val="fr-FR"/>
              </w:rPr>
            </w:pPr>
          </w:p>
        </w:tc>
        <w:tc>
          <w:tcPr>
            <w:tcW w:w="1501" w:type="dxa"/>
            <w:tcBorders>
              <w:top w:val="single" w:sz="4" w:space="0" w:color="auto"/>
              <w:left w:val="single" w:sz="4" w:space="0" w:color="auto"/>
              <w:bottom w:val="single" w:sz="4" w:space="0" w:color="auto"/>
              <w:right w:val="single" w:sz="4" w:space="0" w:color="auto"/>
            </w:tcBorders>
            <w:vAlign w:val="center"/>
          </w:tcPr>
          <w:p w14:paraId="6152454A" w14:textId="77777777" w:rsidR="00302BFE" w:rsidRPr="00412826" w:rsidRDefault="00302BFE" w:rsidP="00243B15">
            <w:pPr>
              <w:spacing w:after="0"/>
              <w:ind w:left="30" w:right="30"/>
              <w:jc w:val="center"/>
              <w:rPr>
                <w:sz w:val="18"/>
                <w:szCs w:val="18"/>
                <w:lang w:val="fr-FR"/>
              </w:rPr>
            </w:pPr>
            <w:r w:rsidRPr="00412826">
              <w:rPr>
                <w:sz w:val="18"/>
                <w:szCs w:val="18"/>
                <w:lang w:val="fr-FR"/>
              </w:rPr>
              <w:t>Complexe Artli-W-Singou – BF008</w:t>
            </w:r>
          </w:p>
        </w:tc>
        <w:tc>
          <w:tcPr>
            <w:tcW w:w="1127" w:type="dxa"/>
            <w:tcBorders>
              <w:top w:val="single" w:sz="4" w:space="0" w:color="auto"/>
              <w:left w:val="single" w:sz="4" w:space="0" w:color="auto"/>
              <w:bottom w:val="single" w:sz="4" w:space="0" w:color="auto"/>
              <w:right w:val="single" w:sz="4" w:space="0" w:color="auto"/>
            </w:tcBorders>
            <w:vAlign w:val="center"/>
          </w:tcPr>
          <w:p w14:paraId="2C390EC3" w14:textId="77777777" w:rsidR="00302BFE" w:rsidRPr="00412826" w:rsidRDefault="00302BFE" w:rsidP="00243B15">
            <w:pPr>
              <w:spacing w:after="0"/>
              <w:ind w:left="30" w:right="30"/>
              <w:jc w:val="center"/>
              <w:rPr>
                <w:sz w:val="18"/>
                <w:szCs w:val="18"/>
                <w:lang w:val="fr-FR"/>
              </w:rPr>
            </w:pPr>
            <w:r w:rsidRPr="00412826">
              <w:rPr>
                <w:sz w:val="18"/>
                <w:szCs w:val="18"/>
                <w:lang w:val="fr-FR"/>
              </w:rPr>
              <w:t>2001</w:t>
            </w:r>
          </w:p>
        </w:tc>
        <w:tc>
          <w:tcPr>
            <w:tcW w:w="2097" w:type="dxa"/>
            <w:tcBorders>
              <w:top w:val="single" w:sz="4" w:space="0" w:color="auto"/>
              <w:left w:val="single" w:sz="4" w:space="0" w:color="auto"/>
              <w:bottom w:val="single" w:sz="4" w:space="0" w:color="auto"/>
              <w:right w:val="single" w:sz="4" w:space="0" w:color="auto"/>
            </w:tcBorders>
            <w:vAlign w:val="center"/>
          </w:tcPr>
          <w:p w14:paraId="23F81161" w14:textId="77777777" w:rsidR="00302BFE" w:rsidRPr="00412826" w:rsidRDefault="00302BFE" w:rsidP="00243B15">
            <w:pPr>
              <w:spacing w:after="0"/>
              <w:ind w:left="30" w:right="30"/>
              <w:jc w:val="center"/>
              <w:rPr>
                <w:sz w:val="18"/>
                <w:szCs w:val="18"/>
                <w:lang w:val="fr-FR"/>
              </w:rPr>
            </w:pPr>
            <w:r w:rsidRPr="00412826">
              <w:rPr>
                <w:sz w:val="18"/>
                <w:szCs w:val="18"/>
                <w:lang w:val="fr-FR"/>
              </w:rPr>
              <w:t>923</w:t>
            </w:r>
            <w:r>
              <w:rPr>
                <w:sz w:val="18"/>
                <w:szCs w:val="18"/>
                <w:lang w:val="fr-FR"/>
              </w:rPr>
              <w:t>,</w:t>
            </w:r>
            <w:r w:rsidRPr="00412826">
              <w:rPr>
                <w:sz w:val="18"/>
                <w:szCs w:val="18"/>
                <w:lang w:val="fr-FR"/>
              </w:rPr>
              <w:t>000</w:t>
            </w:r>
          </w:p>
        </w:tc>
        <w:tc>
          <w:tcPr>
            <w:tcW w:w="850" w:type="dxa"/>
            <w:tcBorders>
              <w:top w:val="nil"/>
              <w:left w:val="single" w:sz="4" w:space="0" w:color="auto"/>
              <w:bottom w:val="nil"/>
              <w:right w:val="nil"/>
            </w:tcBorders>
            <w:vAlign w:val="center"/>
          </w:tcPr>
          <w:p w14:paraId="7EBF751A" w14:textId="77777777" w:rsidR="00302BFE" w:rsidRPr="00412826" w:rsidRDefault="00302BFE" w:rsidP="00243B15">
            <w:pPr>
              <w:spacing w:after="0"/>
              <w:ind w:left="30" w:right="30"/>
              <w:jc w:val="center"/>
              <w:rPr>
                <w:sz w:val="18"/>
                <w:szCs w:val="18"/>
                <w:highlight w:val="yellow"/>
                <w:lang w:val="fr-FR"/>
              </w:rPr>
            </w:pPr>
          </w:p>
        </w:tc>
        <w:tc>
          <w:tcPr>
            <w:tcW w:w="1682" w:type="dxa"/>
            <w:tcBorders>
              <w:top w:val="nil"/>
              <w:left w:val="nil"/>
              <w:bottom w:val="nil"/>
              <w:right w:val="nil"/>
            </w:tcBorders>
            <w:vAlign w:val="center"/>
          </w:tcPr>
          <w:p w14:paraId="11FC4F7F" w14:textId="77777777" w:rsidR="00302BFE" w:rsidRPr="00412826" w:rsidRDefault="00302BFE" w:rsidP="00243B15">
            <w:pPr>
              <w:spacing w:after="0"/>
              <w:ind w:left="30" w:right="30"/>
              <w:rPr>
                <w:sz w:val="18"/>
                <w:szCs w:val="18"/>
                <w:lang w:val="fr-FR"/>
              </w:rPr>
            </w:pPr>
          </w:p>
        </w:tc>
      </w:tr>
      <w:tr w:rsidR="00302BFE" w:rsidRPr="00412826" w14:paraId="73E9D45A" w14:textId="77777777" w:rsidTr="00243B15">
        <w:trPr>
          <w:jc w:val="center"/>
        </w:trPr>
        <w:tc>
          <w:tcPr>
            <w:tcW w:w="2117" w:type="dxa"/>
            <w:vMerge/>
            <w:tcBorders>
              <w:left w:val="single" w:sz="4" w:space="0" w:color="auto"/>
              <w:right w:val="single" w:sz="4" w:space="0" w:color="auto"/>
            </w:tcBorders>
            <w:vAlign w:val="center"/>
          </w:tcPr>
          <w:p w14:paraId="05ABA2BD" w14:textId="77777777" w:rsidR="00302BFE" w:rsidRPr="00412826" w:rsidRDefault="00302BFE" w:rsidP="00243B15">
            <w:pPr>
              <w:spacing w:after="0"/>
              <w:ind w:left="30" w:right="30"/>
              <w:rPr>
                <w:sz w:val="18"/>
                <w:szCs w:val="18"/>
                <w:lang w:val="fr-FR"/>
              </w:rPr>
            </w:pPr>
          </w:p>
        </w:tc>
        <w:tc>
          <w:tcPr>
            <w:tcW w:w="378" w:type="dxa"/>
            <w:vMerge/>
            <w:tcBorders>
              <w:left w:val="single" w:sz="4" w:space="0" w:color="auto"/>
              <w:right w:val="single" w:sz="4" w:space="0" w:color="auto"/>
            </w:tcBorders>
            <w:vAlign w:val="center"/>
          </w:tcPr>
          <w:p w14:paraId="248EF1F9" w14:textId="77777777" w:rsidR="00302BFE" w:rsidRPr="00412826" w:rsidRDefault="00302BFE" w:rsidP="00243B15">
            <w:pPr>
              <w:spacing w:after="0"/>
              <w:ind w:left="30" w:right="30"/>
              <w:jc w:val="center"/>
              <w:rPr>
                <w:sz w:val="18"/>
                <w:szCs w:val="18"/>
                <w:lang w:val="fr-FR"/>
              </w:rPr>
            </w:pPr>
          </w:p>
        </w:tc>
        <w:tc>
          <w:tcPr>
            <w:tcW w:w="1501" w:type="dxa"/>
            <w:tcBorders>
              <w:top w:val="single" w:sz="4" w:space="0" w:color="auto"/>
              <w:left w:val="single" w:sz="4" w:space="0" w:color="auto"/>
              <w:bottom w:val="single" w:sz="4" w:space="0" w:color="auto"/>
              <w:right w:val="single" w:sz="4" w:space="0" w:color="auto"/>
            </w:tcBorders>
            <w:vAlign w:val="center"/>
          </w:tcPr>
          <w:p w14:paraId="1AE5919C" w14:textId="77777777" w:rsidR="00302BFE" w:rsidRPr="00412826" w:rsidRDefault="00302BFE" w:rsidP="00243B15">
            <w:pPr>
              <w:spacing w:after="0"/>
              <w:ind w:left="30" w:right="30"/>
              <w:jc w:val="center"/>
              <w:rPr>
                <w:sz w:val="18"/>
                <w:szCs w:val="18"/>
                <w:lang w:val="fr-FR"/>
              </w:rPr>
            </w:pPr>
            <w:r w:rsidRPr="00412826">
              <w:rPr>
                <w:sz w:val="18"/>
                <w:szCs w:val="18"/>
                <w:lang w:val="fr-FR"/>
              </w:rPr>
              <w:t>Rivière Béli – BF001</w:t>
            </w:r>
          </w:p>
        </w:tc>
        <w:tc>
          <w:tcPr>
            <w:tcW w:w="1127" w:type="dxa"/>
            <w:tcBorders>
              <w:top w:val="single" w:sz="4" w:space="0" w:color="auto"/>
              <w:left w:val="single" w:sz="4" w:space="0" w:color="auto"/>
              <w:bottom w:val="single" w:sz="4" w:space="0" w:color="auto"/>
              <w:right w:val="single" w:sz="4" w:space="0" w:color="auto"/>
            </w:tcBorders>
            <w:vAlign w:val="center"/>
          </w:tcPr>
          <w:p w14:paraId="740FD154" w14:textId="77777777" w:rsidR="00302BFE" w:rsidRPr="00412826" w:rsidRDefault="00302BFE" w:rsidP="00243B15">
            <w:pPr>
              <w:spacing w:after="0"/>
              <w:ind w:left="30" w:right="30"/>
              <w:jc w:val="center"/>
              <w:rPr>
                <w:sz w:val="18"/>
                <w:szCs w:val="18"/>
                <w:lang w:val="fr-FR"/>
              </w:rPr>
            </w:pPr>
            <w:r w:rsidRPr="00412826">
              <w:rPr>
                <w:sz w:val="18"/>
                <w:szCs w:val="18"/>
                <w:lang w:val="fr-FR"/>
              </w:rPr>
              <w:t>2001</w:t>
            </w:r>
          </w:p>
        </w:tc>
        <w:tc>
          <w:tcPr>
            <w:tcW w:w="2097" w:type="dxa"/>
            <w:tcBorders>
              <w:top w:val="single" w:sz="4" w:space="0" w:color="auto"/>
              <w:left w:val="single" w:sz="4" w:space="0" w:color="auto"/>
              <w:bottom w:val="single" w:sz="4" w:space="0" w:color="auto"/>
              <w:right w:val="single" w:sz="4" w:space="0" w:color="auto"/>
            </w:tcBorders>
            <w:vAlign w:val="center"/>
          </w:tcPr>
          <w:p w14:paraId="1DDE848B" w14:textId="77777777" w:rsidR="00302BFE" w:rsidRPr="00412826" w:rsidRDefault="00302BFE" w:rsidP="00243B15">
            <w:pPr>
              <w:spacing w:after="0"/>
              <w:ind w:left="30" w:right="30"/>
              <w:jc w:val="center"/>
              <w:rPr>
                <w:sz w:val="18"/>
                <w:szCs w:val="18"/>
                <w:lang w:val="fr-FR"/>
              </w:rPr>
            </w:pPr>
            <w:r w:rsidRPr="00412826">
              <w:rPr>
                <w:sz w:val="18"/>
                <w:szCs w:val="18"/>
                <w:lang w:val="fr-FR"/>
              </w:rPr>
              <w:t>105</w:t>
            </w:r>
            <w:r>
              <w:rPr>
                <w:sz w:val="18"/>
                <w:szCs w:val="18"/>
                <w:lang w:val="fr-FR"/>
              </w:rPr>
              <w:t>,</w:t>
            </w:r>
            <w:r w:rsidRPr="00412826">
              <w:rPr>
                <w:sz w:val="18"/>
                <w:szCs w:val="18"/>
                <w:lang w:val="fr-FR"/>
              </w:rPr>
              <w:t>000</w:t>
            </w:r>
          </w:p>
        </w:tc>
        <w:tc>
          <w:tcPr>
            <w:tcW w:w="850" w:type="dxa"/>
            <w:tcBorders>
              <w:top w:val="nil"/>
              <w:left w:val="single" w:sz="4" w:space="0" w:color="auto"/>
              <w:bottom w:val="nil"/>
              <w:right w:val="nil"/>
            </w:tcBorders>
            <w:vAlign w:val="center"/>
          </w:tcPr>
          <w:p w14:paraId="7C8F9A3D" w14:textId="77777777" w:rsidR="00302BFE" w:rsidRPr="00412826" w:rsidRDefault="00302BFE" w:rsidP="00243B15">
            <w:pPr>
              <w:spacing w:after="0"/>
              <w:ind w:left="30" w:right="30"/>
              <w:jc w:val="center"/>
              <w:rPr>
                <w:sz w:val="18"/>
                <w:szCs w:val="18"/>
                <w:highlight w:val="yellow"/>
                <w:lang w:val="fr-FR"/>
              </w:rPr>
            </w:pPr>
          </w:p>
        </w:tc>
        <w:tc>
          <w:tcPr>
            <w:tcW w:w="1682" w:type="dxa"/>
            <w:tcBorders>
              <w:top w:val="nil"/>
              <w:left w:val="nil"/>
              <w:bottom w:val="nil"/>
              <w:right w:val="nil"/>
            </w:tcBorders>
            <w:vAlign w:val="center"/>
          </w:tcPr>
          <w:p w14:paraId="2C1D1CE2" w14:textId="77777777" w:rsidR="00302BFE" w:rsidRPr="00412826" w:rsidRDefault="00302BFE" w:rsidP="00243B15">
            <w:pPr>
              <w:spacing w:after="0"/>
              <w:ind w:left="30" w:right="30"/>
              <w:rPr>
                <w:sz w:val="18"/>
                <w:szCs w:val="18"/>
                <w:lang w:val="fr-FR"/>
              </w:rPr>
            </w:pPr>
          </w:p>
        </w:tc>
      </w:tr>
      <w:tr w:rsidR="00302BFE" w:rsidRPr="00412826" w14:paraId="0D548443" w14:textId="77777777" w:rsidTr="00243B15">
        <w:trPr>
          <w:jc w:val="center"/>
        </w:trPr>
        <w:tc>
          <w:tcPr>
            <w:tcW w:w="2117" w:type="dxa"/>
            <w:vMerge/>
            <w:tcBorders>
              <w:left w:val="single" w:sz="4" w:space="0" w:color="auto"/>
              <w:right w:val="single" w:sz="4" w:space="0" w:color="auto"/>
            </w:tcBorders>
            <w:vAlign w:val="center"/>
          </w:tcPr>
          <w:p w14:paraId="6C84811F" w14:textId="77777777" w:rsidR="00302BFE" w:rsidRPr="00412826" w:rsidRDefault="00302BFE" w:rsidP="00243B15">
            <w:pPr>
              <w:spacing w:after="0"/>
              <w:ind w:left="30" w:right="30"/>
              <w:rPr>
                <w:sz w:val="18"/>
                <w:szCs w:val="18"/>
                <w:lang w:val="fr-FR"/>
              </w:rPr>
            </w:pPr>
          </w:p>
        </w:tc>
        <w:tc>
          <w:tcPr>
            <w:tcW w:w="378" w:type="dxa"/>
            <w:vMerge/>
            <w:tcBorders>
              <w:left w:val="single" w:sz="4" w:space="0" w:color="auto"/>
              <w:right w:val="single" w:sz="4" w:space="0" w:color="auto"/>
            </w:tcBorders>
            <w:vAlign w:val="center"/>
          </w:tcPr>
          <w:p w14:paraId="325A68FD" w14:textId="77777777" w:rsidR="00302BFE" w:rsidRPr="00412826" w:rsidRDefault="00302BFE" w:rsidP="00243B15">
            <w:pPr>
              <w:spacing w:after="0"/>
              <w:ind w:left="30" w:right="30"/>
              <w:jc w:val="center"/>
              <w:rPr>
                <w:sz w:val="18"/>
                <w:szCs w:val="18"/>
                <w:lang w:val="fr-FR"/>
              </w:rPr>
            </w:pPr>
          </w:p>
        </w:tc>
        <w:tc>
          <w:tcPr>
            <w:tcW w:w="1501" w:type="dxa"/>
            <w:tcBorders>
              <w:top w:val="single" w:sz="4" w:space="0" w:color="auto"/>
              <w:left w:val="single" w:sz="4" w:space="0" w:color="auto"/>
              <w:bottom w:val="single" w:sz="4" w:space="0" w:color="auto"/>
              <w:right w:val="single" w:sz="4" w:space="0" w:color="auto"/>
            </w:tcBorders>
            <w:vAlign w:val="center"/>
          </w:tcPr>
          <w:p w14:paraId="517A8CF3" w14:textId="77777777" w:rsidR="00302BFE" w:rsidRPr="00412826" w:rsidRDefault="00302BFE" w:rsidP="00243B15">
            <w:pPr>
              <w:spacing w:after="0"/>
              <w:ind w:left="30" w:right="30"/>
              <w:jc w:val="center"/>
              <w:rPr>
                <w:sz w:val="18"/>
                <w:szCs w:val="18"/>
                <w:lang w:val="fr-FR"/>
              </w:rPr>
            </w:pPr>
            <w:r w:rsidRPr="00412826">
              <w:rPr>
                <w:sz w:val="18"/>
                <w:szCs w:val="18"/>
                <w:lang w:val="fr-FR"/>
              </w:rPr>
              <w:t>Colline Bérégadougou – BF009</w:t>
            </w:r>
          </w:p>
        </w:tc>
        <w:tc>
          <w:tcPr>
            <w:tcW w:w="1127" w:type="dxa"/>
            <w:tcBorders>
              <w:top w:val="single" w:sz="4" w:space="0" w:color="auto"/>
              <w:left w:val="single" w:sz="4" w:space="0" w:color="auto"/>
              <w:bottom w:val="single" w:sz="4" w:space="0" w:color="auto"/>
              <w:right w:val="single" w:sz="4" w:space="0" w:color="auto"/>
            </w:tcBorders>
            <w:vAlign w:val="center"/>
          </w:tcPr>
          <w:p w14:paraId="657E145A" w14:textId="77777777" w:rsidR="00302BFE" w:rsidRPr="00412826" w:rsidRDefault="00302BFE" w:rsidP="00243B15">
            <w:pPr>
              <w:spacing w:after="0"/>
              <w:ind w:left="30" w:right="30"/>
              <w:jc w:val="center"/>
              <w:rPr>
                <w:sz w:val="18"/>
                <w:szCs w:val="18"/>
                <w:lang w:val="fr-FR"/>
              </w:rPr>
            </w:pPr>
            <w:r w:rsidRPr="00412826">
              <w:rPr>
                <w:sz w:val="18"/>
                <w:szCs w:val="18"/>
                <w:lang w:val="fr-FR"/>
              </w:rPr>
              <w:t>2001</w:t>
            </w:r>
          </w:p>
        </w:tc>
        <w:tc>
          <w:tcPr>
            <w:tcW w:w="2097" w:type="dxa"/>
            <w:tcBorders>
              <w:top w:val="single" w:sz="4" w:space="0" w:color="auto"/>
              <w:left w:val="single" w:sz="4" w:space="0" w:color="auto"/>
              <w:bottom w:val="single" w:sz="4" w:space="0" w:color="auto"/>
              <w:right w:val="single" w:sz="4" w:space="0" w:color="auto"/>
            </w:tcBorders>
            <w:vAlign w:val="center"/>
          </w:tcPr>
          <w:p w14:paraId="30DFA4E0" w14:textId="77777777" w:rsidR="00302BFE" w:rsidRPr="00412826" w:rsidRDefault="00302BFE" w:rsidP="00243B15">
            <w:pPr>
              <w:spacing w:after="0"/>
              <w:ind w:left="30" w:right="30"/>
              <w:jc w:val="center"/>
              <w:rPr>
                <w:sz w:val="18"/>
                <w:szCs w:val="18"/>
                <w:lang w:val="fr-FR"/>
              </w:rPr>
            </w:pPr>
            <w:r w:rsidRPr="00412826">
              <w:rPr>
                <w:sz w:val="18"/>
                <w:szCs w:val="18"/>
                <w:lang w:val="fr-FR"/>
              </w:rPr>
              <w:t>15</w:t>
            </w:r>
            <w:r>
              <w:rPr>
                <w:sz w:val="18"/>
                <w:szCs w:val="18"/>
                <w:lang w:val="fr-FR"/>
              </w:rPr>
              <w:t>,</w:t>
            </w:r>
            <w:r w:rsidRPr="00412826">
              <w:rPr>
                <w:sz w:val="18"/>
                <w:szCs w:val="18"/>
                <w:lang w:val="fr-FR"/>
              </w:rPr>
              <w:t>000</w:t>
            </w:r>
          </w:p>
        </w:tc>
        <w:tc>
          <w:tcPr>
            <w:tcW w:w="850" w:type="dxa"/>
            <w:tcBorders>
              <w:top w:val="nil"/>
              <w:left w:val="single" w:sz="4" w:space="0" w:color="auto"/>
              <w:bottom w:val="nil"/>
              <w:right w:val="nil"/>
            </w:tcBorders>
            <w:vAlign w:val="center"/>
          </w:tcPr>
          <w:p w14:paraId="0EC4F999" w14:textId="77777777" w:rsidR="00302BFE" w:rsidRPr="00412826" w:rsidRDefault="00302BFE" w:rsidP="00243B15">
            <w:pPr>
              <w:spacing w:after="0"/>
              <w:ind w:left="30" w:right="30"/>
              <w:jc w:val="center"/>
              <w:rPr>
                <w:sz w:val="18"/>
                <w:szCs w:val="18"/>
                <w:highlight w:val="yellow"/>
                <w:lang w:val="fr-FR"/>
              </w:rPr>
            </w:pPr>
          </w:p>
        </w:tc>
        <w:tc>
          <w:tcPr>
            <w:tcW w:w="1682" w:type="dxa"/>
            <w:tcBorders>
              <w:top w:val="nil"/>
              <w:left w:val="nil"/>
              <w:bottom w:val="nil"/>
              <w:right w:val="nil"/>
            </w:tcBorders>
            <w:vAlign w:val="center"/>
          </w:tcPr>
          <w:p w14:paraId="35A81C5A" w14:textId="77777777" w:rsidR="00302BFE" w:rsidRPr="00412826" w:rsidRDefault="00302BFE" w:rsidP="00243B15">
            <w:pPr>
              <w:spacing w:after="0"/>
              <w:ind w:left="30" w:right="30"/>
              <w:rPr>
                <w:sz w:val="18"/>
                <w:szCs w:val="18"/>
                <w:lang w:val="fr-FR"/>
              </w:rPr>
            </w:pPr>
          </w:p>
        </w:tc>
      </w:tr>
      <w:tr w:rsidR="00302BFE" w:rsidRPr="00412826" w14:paraId="4DE6BA57" w14:textId="77777777" w:rsidTr="00243B15">
        <w:trPr>
          <w:jc w:val="center"/>
        </w:trPr>
        <w:tc>
          <w:tcPr>
            <w:tcW w:w="2117" w:type="dxa"/>
            <w:vMerge/>
            <w:tcBorders>
              <w:left w:val="single" w:sz="4" w:space="0" w:color="auto"/>
              <w:right w:val="single" w:sz="4" w:space="0" w:color="auto"/>
            </w:tcBorders>
            <w:vAlign w:val="center"/>
          </w:tcPr>
          <w:p w14:paraId="7E62B077" w14:textId="77777777" w:rsidR="00302BFE" w:rsidRPr="00412826" w:rsidRDefault="00302BFE" w:rsidP="00243B15">
            <w:pPr>
              <w:spacing w:after="0"/>
              <w:ind w:left="30" w:right="30"/>
              <w:rPr>
                <w:sz w:val="18"/>
                <w:szCs w:val="18"/>
                <w:lang w:val="fr-FR"/>
              </w:rPr>
            </w:pPr>
          </w:p>
        </w:tc>
        <w:tc>
          <w:tcPr>
            <w:tcW w:w="378" w:type="dxa"/>
            <w:vMerge/>
            <w:tcBorders>
              <w:left w:val="single" w:sz="4" w:space="0" w:color="auto"/>
              <w:right w:val="single" w:sz="4" w:space="0" w:color="auto"/>
            </w:tcBorders>
            <w:vAlign w:val="center"/>
          </w:tcPr>
          <w:p w14:paraId="2B18B2ED" w14:textId="77777777" w:rsidR="00302BFE" w:rsidRPr="00412826" w:rsidRDefault="00302BFE" w:rsidP="00243B15">
            <w:pPr>
              <w:spacing w:after="0"/>
              <w:ind w:left="30" w:right="30"/>
              <w:jc w:val="center"/>
              <w:rPr>
                <w:sz w:val="18"/>
                <w:szCs w:val="18"/>
                <w:lang w:val="fr-FR"/>
              </w:rPr>
            </w:pPr>
          </w:p>
        </w:tc>
        <w:tc>
          <w:tcPr>
            <w:tcW w:w="1501" w:type="dxa"/>
            <w:tcBorders>
              <w:top w:val="single" w:sz="4" w:space="0" w:color="auto"/>
              <w:left w:val="single" w:sz="4" w:space="0" w:color="auto"/>
              <w:bottom w:val="single" w:sz="4" w:space="0" w:color="auto"/>
              <w:right w:val="single" w:sz="4" w:space="0" w:color="auto"/>
            </w:tcBorders>
            <w:vAlign w:val="center"/>
          </w:tcPr>
          <w:p w14:paraId="6D9504F0" w14:textId="77777777" w:rsidR="00302BFE" w:rsidRPr="00412826" w:rsidRDefault="00302BFE" w:rsidP="00243B15">
            <w:pPr>
              <w:spacing w:after="0"/>
              <w:ind w:left="30" w:right="30"/>
              <w:jc w:val="center"/>
              <w:rPr>
                <w:sz w:val="18"/>
                <w:szCs w:val="18"/>
                <w:lang w:val="fr-FR"/>
              </w:rPr>
            </w:pPr>
            <w:r w:rsidRPr="00412826">
              <w:rPr>
                <w:sz w:val="18"/>
                <w:szCs w:val="18"/>
                <w:lang w:val="fr-FR"/>
              </w:rPr>
              <w:t>Forêt Diéfoula – Logoniégué – BF010</w:t>
            </w:r>
          </w:p>
        </w:tc>
        <w:tc>
          <w:tcPr>
            <w:tcW w:w="1127" w:type="dxa"/>
            <w:tcBorders>
              <w:top w:val="single" w:sz="4" w:space="0" w:color="auto"/>
              <w:left w:val="single" w:sz="4" w:space="0" w:color="auto"/>
              <w:bottom w:val="single" w:sz="4" w:space="0" w:color="auto"/>
              <w:right w:val="single" w:sz="4" w:space="0" w:color="auto"/>
            </w:tcBorders>
            <w:vAlign w:val="center"/>
          </w:tcPr>
          <w:p w14:paraId="08EB5909" w14:textId="77777777" w:rsidR="00302BFE" w:rsidRPr="00412826" w:rsidRDefault="00302BFE" w:rsidP="00243B15">
            <w:pPr>
              <w:spacing w:after="0"/>
              <w:ind w:left="30" w:right="30"/>
              <w:jc w:val="center"/>
              <w:rPr>
                <w:sz w:val="18"/>
                <w:szCs w:val="18"/>
                <w:lang w:val="fr-FR"/>
              </w:rPr>
            </w:pPr>
            <w:r w:rsidRPr="00412826">
              <w:rPr>
                <w:sz w:val="18"/>
                <w:szCs w:val="18"/>
                <w:lang w:val="fr-FR"/>
              </w:rPr>
              <w:t>2001</w:t>
            </w:r>
          </w:p>
        </w:tc>
        <w:tc>
          <w:tcPr>
            <w:tcW w:w="2097" w:type="dxa"/>
            <w:tcBorders>
              <w:top w:val="single" w:sz="4" w:space="0" w:color="auto"/>
              <w:left w:val="single" w:sz="4" w:space="0" w:color="auto"/>
              <w:bottom w:val="single" w:sz="4" w:space="0" w:color="auto"/>
              <w:right w:val="single" w:sz="4" w:space="0" w:color="auto"/>
            </w:tcBorders>
            <w:vAlign w:val="center"/>
          </w:tcPr>
          <w:p w14:paraId="47C36CD6" w14:textId="77777777" w:rsidR="00302BFE" w:rsidRPr="00412826" w:rsidRDefault="00302BFE" w:rsidP="00243B15">
            <w:pPr>
              <w:spacing w:after="0"/>
              <w:ind w:left="30" w:right="30"/>
              <w:jc w:val="center"/>
              <w:rPr>
                <w:sz w:val="18"/>
                <w:szCs w:val="18"/>
                <w:lang w:val="fr-FR"/>
              </w:rPr>
            </w:pPr>
            <w:r w:rsidRPr="00412826">
              <w:rPr>
                <w:sz w:val="18"/>
                <w:szCs w:val="18"/>
                <w:lang w:val="fr-FR"/>
              </w:rPr>
              <w:t>114</w:t>
            </w:r>
            <w:r>
              <w:rPr>
                <w:sz w:val="18"/>
                <w:szCs w:val="18"/>
                <w:lang w:val="fr-FR"/>
              </w:rPr>
              <w:t>,</w:t>
            </w:r>
            <w:r w:rsidRPr="00412826">
              <w:rPr>
                <w:sz w:val="18"/>
                <w:szCs w:val="18"/>
                <w:lang w:val="fr-FR"/>
              </w:rPr>
              <w:t>000</w:t>
            </w:r>
          </w:p>
        </w:tc>
        <w:tc>
          <w:tcPr>
            <w:tcW w:w="850" w:type="dxa"/>
            <w:tcBorders>
              <w:top w:val="nil"/>
              <w:left w:val="single" w:sz="4" w:space="0" w:color="auto"/>
              <w:bottom w:val="nil"/>
              <w:right w:val="nil"/>
            </w:tcBorders>
            <w:vAlign w:val="center"/>
          </w:tcPr>
          <w:p w14:paraId="2F331AEB" w14:textId="77777777" w:rsidR="00302BFE" w:rsidRPr="00412826" w:rsidRDefault="00302BFE" w:rsidP="00243B15">
            <w:pPr>
              <w:spacing w:after="0"/>
              <w:ind w:left="30" w:right="30"/>
              <w:jc w:val="center"/>
              <w:rPr>
                <w:sz w:val="18"/>
                <w:szCs w:val="18"/>
                <w:highlight w:val="yellow"/>
                <w:lang w:val="fr-FR"/>
              </w:rPr>
            </w:pPr>
          </w:p>
        </w:tc>
        <w:tc>
          <w:tcPr>
            <w:tcW w:w="1682" w:type="dxa"/>
            <w:tcBorders>
              <w:top w:val="nil"/>
              <w:left w:val="nil"/>
              <w:bottom w:val="nil"/>
              <w:right w:val="nil"/>
            </w:tcBorders>
            <w:vAlign w:val="center"/>
          </w:tcPr>
          <w:p w14:paraId="569C86A8" w14:textId="77777777" w:rsidR="00302BFE" w:rsidRPr="00412826" w:rsidRDefault="00302BFE" w:rsidP="00243B15">
            <w:pPr>
              <w:spacing w:after="0"/>
              <w:ind w:left="30" w:right="30"/>
              <w:rPr>
                <w:sz w:val="18"/>
                <w:szCs w:val="18"/>
                <w:lang w:val="fr-FR"/>
              </w:rPr>
            </w:pPr>
          </w:p>
        </w:tc>
      </w:tr>
      <w:tr w:rsidR="00302BFE" w:rsidRPr="00412826" w14:paraId="69C333FC" w14:textId="77777777" w:rsidTr="00243B15">
        <w:trPr>
          <w:jc w:val="center"/>
        </w:trPr>
        <w:tc>
          <w:tcPr>
            <w:tcW w:w="2117" w:type="dxa"/>
            <w:vMerge/>
            <w:tcBorders>
              <w:left w:val="single" w:sz="4" w:space="0" w:color="auto"/>
              <w:right w:val="single" w:sz="4" w:space="0" w:color="auto"/>
            </w:tcBorders>
            <w:vAlign w:val="center"/>
          </w:tcPr>
          <w:p w14:paraId="2787773F" w14:textId="77777777" w:rsidR="00302BFE" w:rsidRPr="00412826" w:rsidRDefault="00302BFE" w:rsidP="00243B15">
            <w:pPr>
              <w:spacing w:after="0"/>
              <w:ind w:left="30" w:right="30"/>
              <w:rPr>
                <w:sz w:val="18"/>
                <w:szCs w:val="18"/>
                <w:lang w:val="fr-FR"/>
              </w:rPr>
            </w:pPr>
          </w:p>
        </w:tc>
        <w:tc>
          <w:tcPr>
            <w:tcW w:w="378" w:type="dxa"/>
            <w:vMerge/>
            <w:tcBorders>
              <w:left w:val="single" w:sz="4" w:space="0" w:color="auto"/>
              <w:right w:val="single" w:sz="4" w:space="0" w:color="auto"/>
            </w:tcBorders>
            <w:vAlign w:val="center"/>
          </w:tcPr>
          <w:p w14:paraId="12F664FC" w14:textId="77777777" w:rsidR="00302BFE" w:rsidRPr="00412826" w:rsidRDefault="00302BFE" w:rsidP="00243B15">
            <w:pPr>
              <w:spacing w:after="0"/>
              <w:ind w:left="30" w:right="30"/>
              <w:jc w:val="center"/>
              <w:rPr>
                <w:sz w:val="18"/>
                <w:szCs w:val="18"/>
                <w:lang w:val="fr-FR"/>
              </w:rPr>
            </w:pPr>
          </w:p>
        </w:tc>
        <w:tc>
          <w:tcPr>
            <w:tcW w:w="1501" w:type="dxa"/>
            <w:tcBorders>
              <w:top w:val="single" w:sz="4" w:space="0" w:color="auto"/>
              <w:left w:val="single" w:sz="4" w:space="0" w:color="auto"/>
              <w:bottom w:val="single" w:sz="4" w:space="0" w:color="auto"/>
              <w:right w:val="single" w:sz="4" w:space="0" w:color="auto"/>
            </w:tcBorders>
            <w:vAlign w:val="center"/>
          </w:tcPr>
          <w:p w14:paraId="118CDAC3" w14:textId="77777777" w:rsidR="00302BFE" w:rsidRPr="00412826" w:rsidRDefault="00302BFE" w:rsidP="00243B15">
            <w:pPr>
              <w:spacing w:after="0"/>
              <w:ind w:left="30" w:right="30"/>
              <w:jc w:val="center"/>
              <w:rPr>
                <w:sz w:val="18"/>
                <w:szCs w:val="18"/>
                <w:lang w:val="fr-FR"/>
              </w:rPr>
            </w:pPr>
            <w:r w:rsidRPr="00412826">
              <w:rPr>
                <w:sz w:val="18"/>
                <w:szCs w:val="18"/>
                <w:lang w:val="fr-FR"/>
              </w:rPr>
              <w:t>Lac Kompienga – BF007</w:t>
            </w:r>
          </w:p>
        </w:tc>
        <w:tc>
          <w:tcPr>
            <w:tcW w:w="1127" w:type="dxa"/>
            <w:tcBorders>
              <w:top w:val="single" w:sz="4" w:space="0" w:color="auto"/>
              <w:left w:val="single" w:sz="4" w:space="0" w:color="auto"/>
              <w:bottom w:val="single" w:sz="4" w:space="0" w:color="auto"/>
              <w:right w:val="single" w:sz="4" w:space="0" w:color="auto"/>
            </w:tcBorders>
            <w:vAlign w:val="center"/>
          </w:tcPr>
          <w:p w14:paraId="63B11BB1" w14:textId="77777777" w:rsidR="00302BFE" w:rsidRPr="00412826" w:rsidRDefault="00302BFE" w:rsidP="00243B15">
            <w:pPr>
              <w:spacing w:after="0"/>
              <w:ind w:left="30" w:right="30"/>
              <w:jc w:val="center"/>
              <w:rPr>
                <w:sz w:val="18"/>
                <w:szCs w:val="18"/>
                <w:lang w:val="fr-FR"/>
              </w:rPr>
            </w:pPr>
            <w:r w:rsidRPr="00412826">
              <w:rPr>
                <w:sz w:val="18"/>
                <w:szCs w:val="18"/>
                <w:lang w:val="fr-FR"/>
              </w:rPr>
              <w:t>2001</w:t>
            </w:r>
          </w:p>
        </w:tc>
        <w:tc>
          <w:tcPr>
            <w:tcW w:w="2097" w:type="dxa"/>
            <w:tcBorders>
              <w:top w:val="single" w:sz="4" w:space="0" w:color="auto"/>
              <w:left w:val="single" w:sz="4" w:space="0" w:color="auto"/>
              <w:bottom w:val="single" w:sz="4" w:space="0" w:color="auto"/>
              <w:right w:val="single" w:sz="4" w:space="0" w:color="auto"/>
            </w:tcBorders>
            <w:vAlign w:val="center"/>
          </w:tcPr>
          <w:p w14:paraId="1C803FA0" w14:textId="77777777" w:rsidR="00302BFE" w:rsidRPr="00412826" w:rsidRDefault="00302BFE" w:rsidP="00243B15">
            <w:pPr>
              <w:spacing w:after="0"/>
              <w:ind w:left="30" w:right="30"/>
              <w:jc w:val="center"/>
              <w:rPr>
                <w:sz w:val="18"/>
                <w:szCs w:val="18"/>
                <w:lang w:val="fr-FR"/>
              </w:rPr>
            </w:pPr>
            <w:r w:rsidRPr="00412826">
              <w:rPr>
                <w:sz w:val="18"/>
                <w:szCs w:val="18"/>
                <w:lang w:val="fr-FR"/>
              </w:rPr>
              <w:t>48</w:t>
            </w:r>
            <w:r>
              <w:rPr>
                <w:sz w:val="18"/>
                <w:szCs w:val="18"/>
                <w:lang w:val="fr-FR"/>
              </w:rPr>
              <w:t>,</w:t>
            </w:r>
            <w:r w:rsidRPr="00412826">
              <w:rPr>
                <w:sz w:val="18"/>
                <w:szCs w:val="18"/>
                <w:lang w:val="fr-FR"/>
              </w:rPr>
              <w:t>000</w:t>
            </w:r>
          </w:p>
        </w:tc>
        <w:tc>
          <w:tcPr>
            <w:tcW w:w="850" w:type="dxa"/>
            <w:tcBorders>
              <w:top w:val="nil"/>
              <w:left w:val="single" w:sz="4" w:space="0" w:color="auto"/>
              <w:bottom w:val="nil"/>
              <w:right w:val="nil"/>
            </w:tcBorders>
            <w:vAlign w:val="center"/>
          </w:tcPr>
          <w:p w14:paraId="7F15AD4B" w14:textId="77777777" w:rsidR="00302BFE" w:rsidRPr="00412826" w:rsidRDefault="00302BFE" w:rsidP="00243B15">
            <w:pPr>
              <w:spacing w:after="0"/>
              <w:ind w:left="30" w:right="30"/>
              <w:jc w:val="center"/>
              <w:rPr>
                <w:sz w:val="18"/>
                <w:szCs w:val="18"/>
                <w:highlight w:val="yellow"/>
                <w:lang w:val="fr-FR"/>
              </w:rPr>
            </w:pPr>
          </w:p>
        </w:tc>
        <w:tc>
          <w:tcPr>
            <w:tcW w:w="1682" w:type="dxa"/>
            <w:tcBorders>
              <w:top w:val="nil"/>
              <w:left w:val="nil"/>
              <w:bottom w:val="nil"/>
              <w:right w:val="nil"/>
            </w:tcBorders>
            <w:vAlign w:val="center"/>
          </w:tcPr>
          <w:p w14:paraId="7DA62415" w14:textId="77777777" w:rsidR="00302BFE" w:rsidRPr="00412826" w:rsidRDefault="00302BFE" w:rsidP="00243B15">
            <w:pPr>
              <w:spacing w:after="0"/>
              <w:ind w:left="30" w:right="30"/>
              <w:rPr>
                <w:sz w:val="18"/>
                <w:szCs w:val="18"/>
                <w:lang w:val="fr-FR"/>
              </w:rPr>
            </w:pPr>
          </w:p>
        </w:tc>
      </w:tr>
      <w:tr w:rsidR="00302BFE" w:rsidRPr="00412826" w14:paraId="68D9A2BC" w14:textId="77777777" w:rsidTr="00243B15">
        <w:trPr>
          <w:jc w:val="center"/>
        </w:trPr>
        <w:tc>
          <w:tcPr>
            <w:tcW w:w="2117" w:type="dxa"/>
            <w:vMerge/>
            <w:tcBorders>
              <w:left w:val="single" w:sz="4" w:space="0" w:color="auto"/>
              <w:right w:val="single" w:sz="4" w:space="0" w:color="auto"/>
            </w:tcBorders>
            <w:vAlign w:val="center"/>
          </w:tcPr>
          <w:p w14:paraId="00AE3C38" w14:textId="77777777" w:rsidR="00302BFE" w:rsidRPr="00412826" w:rsidRDefault="00302BFE" w:rsidP="00243B15">
            <w:pPr>
              <w:spacing w:after="0"/>
              <w:ind w:left="30" w:right="30"/>
              <w:rPr>
                <w:sz w:val="18"/>
                <w:szCs w:val="18"/>
                <w:lang w:val="fr-FR"/>
              </w:rPr>
            </w:pPr>
          </w:p>
        </w:tc>
        <w:tc>
          <w:tcPr>
            <w:tcW w:w="378" w:type="dxa"/>
            <w:vMerge/>
            <w:tcBorders>
              <w:left w:val="single" w:sz="4" w:space="0" w:color="auto"/>
              <w:right w:val="single" w:sz="4" w:space="0" w:color="auto"/>
            </w:tcBorders>
            <w:vAlign w:val="center"/>
          </w:tcPr>
          <w:p w14:paraId="3748D283" w14:textId="77777777" w:rsidR="00302BFE" w:rsidRPr="00412826" w:rsidRDefault="00302BFE" w:rsidP="00243B15">
            <w:pPr>
              <w:spacing w:after="0"/>
              <w:ind w:left="30" w:right="30"/>
              <w:jc w:val="center"/>
              <w:rPr>
                <w:sz w:val="18"/>
                <w:szCs w:val="18"/>
                <w:lang w:val="fr-FR"/>
              </w:rPr>
            </w:pPr>
          </w:p>
        </w:tc>
        <w:tc>
          <w:tcPr>
            <w:tcW w:w="1501" w:type="dxa"/>
            <w:tcBorders>
              <w:top w:val="single" w:sz="4" w:space="0" w:color="auto"/>
              <w:left w:val="single" w:sz="4" w:space="0" w:color="auto"/>
              <w:bottom w:val="single" w:sz="4" w:space="0" w:color="auto"/>
              <w:right w:val="single" w:sz="4" w:space="0" w:color="auto"/>
            </w:tcBorders>
            <w:vAlign w:val="center"/>
          </w:tcPr>
          <w:p w14:paraId="7FC0BED5" w14:textId="77777777" w:rsidR="00302BFE" w:rsidRPr="00412826" w:rsidRDefault="00302BFE" w:rsidP="00243B15">
            <w:pPr>
              <w:spacing w:after="0"/>
              <w:ind w:left="30" w:right="30"/>
              <w:jc w:val="center"/>
              <w:rPr>
                <w:sz w:val="18"/>
                <w:szCs w:val="18"/>
                <w:lang w:val="fr-FR"/>
              </w:rPr>
            </w:pPr>
            <w:r w:rsidRPr="00412826">
              <w:rPr>
                <w:sz w:val="18"/>
                <w:szCs w:val="18"/>
                <w:lang w:val="fr-FR"/>
              </w:rPr>
              <w:t>Lac Oursi – Lac Darkoye – BF002</w:t>
            </w:r>
          </w:p>
        </w:tc>
        <w:tc>
          <w:tcPr>
            <w:tcW w:w="1127" w:type="dxa"/>
            <w:tcBorders>
              <w:top w:val="single" w:sz="4" w:space="0" w:color="auto"/>
              <w:left w:val="single" w:sz="4" w:space="0" w:color="auto"/>
              <w:bottom w:val="single" w:sz="4" w:space="0" w:color="auto"/>
              <w:right w:val="single" w:sz="4" w:space="0" w:color="auto"/>
            </w:tcBorders>
            <w:vAlign w:val="center"/>
          </w:tcPr>
          <w:p w14:paraId="2065F57B" w14:textId="77777777" w:rsidR="00302BFE" w:rsidRPr="00412826" w:rsidRDefault="00302BFE" w:rsidP="00243B15">
            <w:pPr>
              <w:spacing w:after="0"/>
              <w:ind w:left="30" w:right="30"/>
              <w:jc w:val="center"/>
              <w:rPr>
                <w:sz w:val="18"/>
                <w:szCs w:val="18"/>
                <w:lang w:val="fr-FR"/>
              </w:rPr>
            </w:pPr>
            <w:r w:rsidRPr="00412826">
              <w:rPr>
                <w:sz w:val="18"/>
                <w:szCs w:val="18"/>
                <w:lang w:val="fr-FR"/>
              </w:rPr>
              <w:t>2001</w:t>
            </w:r>
          </w:p>
        </w:tc>
        <w:tc>
          <w:tcPr>
            <w:tcW w:w="2097" w:type="dxa"/>
            <w:tcBorders>
              <w:top w:val="single" w:sz="4" w:space="0" w:color="auto"/>
              <w:left w:val="single" w:sz="4" w:space="0" w:color="auto"/>
              <w:bottom w:val="single" w:sz="4" w:space="0" w:color="auto"/>
              <w:right w:val="single" w:sz="4" w:space="0" w:color="auto"/>
            </w:tcBorders>
            <w:vAlign w:val="center"/>
          </w:tcPr>
          <w:p w14:paraId="02872C28" w14:textId="77777777" w:rsidR="00302BFE" w:rsidRPr="00412826" w:rsidRDefault="00302BFE" w:rsidP="00243B15">
            <w:pPr>
              <w:spacing w:after="0"/>
              <w:ind w:left="30" w:right="30"/>
              <w:jc w:val="center"/>
              <w:rPr>
                <w:sz w:val="18"/>
                <w:szCs w:val="18"/>
                <w:lang w:val="fr-FR"/>
              </w:rPr>
            </w:pPr>
            <w:r w:rsidRPr="00412826">
              <w:rPr>
                <w:sz w:val="18"/>
                <w:szCs w:val="18"/>
                <w:lang w:val="fr-FR"/>
              </w:rPr>
              <w:t>45</w:t>
            </w:r>
            <w:r>
              <w:rPr>
                <w:sz w:val="18"/>
                <w:szCs w:val="18"/>
                <w:lang w:val="fr-FR"/>
              </w:rPr>
              <w:t>,</w:t>
            </w:r>
            <w:r w:rsidRPr="00412826">
              <w:rPr>
                <w:sz w:val="18"/>
                <w:szCs w:val="18"/>
                <w:lang w:val="fr-FR"/>
              </w:rPr>
              <w:t>000</w:t>
            </w:r>
          </w:p>
        </w:tc>
        <w:tc>
          <w:tcPr>
            <w:tcW w:w="850" w:type="dxa"/>
            <w:tcBorders>
              <w:top w:val="nil"/>
              <w:left w:val="single" w:sz="4" w:space="0" w:color="auto"/>
              <w:bottom w:val="nil"/>
              <w:right w:val="nil"/>
            </w:tcBorders>
            <w:vAlign w:val="center"/>
          </w:tcPr>
          <w:p w14:paraId="16B59E0D" w14:textId="77777777" w:rsidR="00302BFE" w:rsidRPr="00412826" w:rsidRDefault="00302BFE" w:rsidP="00243B15">
            <w:pPr>
              <w:spacing w:after="0"/>
              <w:ind w:left="30" w:right="30"/>
              <w:jc w:val="center"/>
              <w:rPr>
                <w:sz w:val="18"/>
                <w:szCs w:val="18"/>
                <w:highlight w:val="yellow"/>
                <w:lang w:val="fr-FR"/>
              </w:rPr>
            </w:pPr>
          </w:p>
        </w:tc>
        <w:tc>
          <w:tcPr>
            <w:tcW w:w="1682" w:type="dxa"/>
            <w:tcBorders>
              <w:top w:val="nil"/>
              <w:left w:val="nil"/>
              <w:bottom w:val="nil"/>
              <w:right w:val="nil"/>
            </w:tcBorders>
            <w:vAlign w:val="center"/>
          </w:tcPr>
          <w:p w14:paraId="507D0FF2" w14:textId="77777777" w:rsidR="00302BFE" w:rsidRPr="00412826" w:rsidRDefault="00302BFE" w:rsidP="00243B15">
            <w:pPr>
              <w:spacing w:after="0"/>
              <w:ind w:left="30" w:right="30"/>
              <w:rPr>
                <w:sz w:val="18"/>
                <w:szCs w:val="18"/>
                <w:lang w:val="fr-FR"/>
              </w:rPr>
            </w:pPr>
          </w:p>
        </w:tc>
      </w:tr>
      <w:tr w:rsidR="00302BFE" w:rsidRPr="00412826" w14:paraId="72D67BFF" w14:textId="77777777" w:rsidTr="00243B15">
        <w:trPr>
          <w:jc w:val="center"/>
        </w:trPr>
        <w:tc>
          <w:tcPr>
            <w:tcW w:w="2117" w:type="dxa"/>
            <w:vMerge/>
            <w:tcBorders>
              <w:left w:val="single" w:sz="4" w:space="0" w:color="auto"/>
              <w:right w:val="single" w:sz="4" w:space="0" w:color="auto"/>
            </w:tcBorders>
            <w:vAlign w:val="center"/>
          </w:tcPr>
          <w:p w14:paraId="0044EEC0" w14:textId="77777777" w:rsidR="00302BFE" w:rsidRPr="00412826" w:rsidRDefault="00302BFE" w:rsidP="00243B15">
            <w:pPr>
              <w:spacing w:after="0"/>
              <w:ind w:left="30" w:right="30"/>
              <w:rPr>
                <w:sz w:val="18"/>
                <w:szCs w:val="18"/>
                <w:lang w:val="fr-FR"/>
              </w:rPr>
            </w:pPr>
          </w:p>
        </w:tc>
        <w:tc>
          <w:tcPr>
            <w:tcW w:w="378" w:type="dxa"/>
            <w:vMerge/>
            <w:tcBorders>
              <w:left w:val="single" w:sz="4" w:space="0" w:color="auto"/>
              <w:right w:val="single" w:sz="4" w:space="0" w:color="auto"/>
            </w:tcBorders>
            <w:vAlign w:val="center"/>
          </w:tcPr>
          <w:p w14:paraId="6F87F72A" w14:textId="77777777" w:rsidR="00302BFE" w:rsidRPr="00412826" w:rsidRDefault="00302BFE" w:rsidP="00243B15">
            <w:pPr>
              <w:spacing w:after="0"/>
              <w:ind w:left="30" w:right="30"/>
              <w:jc w:val="center"/>
              <w:rPr>
                <w:sz w:val="18"/>
                <w:szCs w:val="18"/>
                <w:lang w:val="fr-FR"/>
              </w:rPr>
            </w:pPr>
          </w:p>
        </w:tc>
        <w:tc>
          <w:tcPr>
            <w:tcW w:w="1501" w:type="dxa"/>
            <w:tcBorders>
              <w:top w:val="single" w:sz="4" w:space="0" w:color="auto"/>
              <w:left w:val="single" w:sz="4" w:space="0" w:color="auto"/>
              <w:bottom w:val="single" w:sz="4" w:space="0" w:color="auto"/>
              <w:right w:val="single" w:sz="4" w:space="0" w:color="auto"/>
            </w:tcBorders>
            <w:vAlign w:val="center"/>
          </w:tcPr>
          <w:p w14:paraId="4E220809" w14:textId="77777777" w:rsidR="00302BFE" w:rsidRPr="00412826" w:rsidRDefault="00302BFE" w:rsidP="00243B15">
            <w:pPr>
              <w:spacing w:after="0"/>
              <w:ind w:left="30" w:right="30"/>
              <w:jc w:val="center"/>
              <w:rPr>
                <w:sz w:val="18"/>
                <w:szCs w:val="18"/>
                <w:lang w:val="fr-FR"/>
              </w:rPr>
            </w:pPr>
            <w:r w:rsidRPr="00412826">
              <w:rPr>
                <w:sz w:val="18"/>
                <w:szCs w:val="18"/>
                <w:lang w:val="fr-FR"/>
              </w:rPr>
              <w:t>Lac Sourou – BF003</w:t>
            </w:r>
          </w:p>
        </w:tc>
        <w:tc>
          <w:tcPr>
            <w:tcW w:w="1127" w:type="dxa"/>
            <w:tcBorders>
              <w:top w:val="single" w:sz="4" w:space="0" w:color="auto"/>
              <w:left w:val="single" w:sz="4" w:space="0" w:color="auto"/>
              <w:bottom w:val="single" w:sz="4" w:space="0" w:color="auto"/>
              <w:right w:val="single" w:sz="4" w:space="0" w:color="auto"/>
            </w:tcBorders>
            <w:vAlign w:val="center"/>
          </w:tcPr>
          <w:p w14:paraId="0A9B1A37" w14:textId="77777777" w:rsidR="00302BFE" w:rsidRPr="00412826" w:rsidRDefault="00302BFE" w:rsidP="00243B15">
            <w:pPr>
              <w:spacing w:after="0"/>
              <w:ind w:left="30" w:right="30"/>
              <w:jc w:val="center"/>
              <w:rPr>
                <w:sz w:val="18"/>
                <w:szCs w:val="18"/>
                <w:lang w:val="fr-FR"/>
              </w:rPr>
            </w:pPr>
            <w:r w:rsidRPr="00412826">
              <w:rPr>
                <w:sz w:val="18"/>
                <w:szCs w:val="18"/>
                <w:lang w:val="fr-FR"/>
              </w:rPr>
              <w:t>2001</w:t>
            </w:r>
          </w:p>
        </w:tc>
        <w:tc>
          <w:tcPr>
            <w:tcW w:w="2097" w:type="dxa"/>
            <w:tcBorders>
              <w:top w:val="single" w:sz="4" w:space="0" w:color="auto"/>
              <w:left w:val="single" w:sz="4" w:space="0" w:color="auto"/>
              <w:bottom w:val="single" w:sz="4" w:space="0" w:color="auto"/>
              <w:right w:val="single" w:sz="4" w:space="0" w:color="auto"/>
            </w:tcBorders>
            <w:vAlign w:val="center"/>
          </w:tcPr>
          <w:p w14:paraId="7B495464" w14:textId="77777777" w:rsidR="00302BFE" w:rsidRPr="00412826" w:rsidRDefault="00302BFE" w:rsidP="00243B15">
            <w:pPr>
              <w:spacing w:after="0"/>
              <w:ind w:left="30" w:right="30"/>
              <w:jc w:val="center"/>
              <w:rPr>
                <w:sz w:val="18"/>
                <w:szCs w:val="18"/>
              </w:rPr>
            </w:pPr>
            <w:r w:rsidRPr="00412826">
              <w:rPr>
                <w:sz w:val="18"/>
                <w:szCs w:val="18"/>
                <w:lang w:val="fr-FR"/>
              </w:rPr>
              <w:t>22</w:t>
            </w:r>
            <w:r>
              <w:rPr>
                <w:sz w:val="18"/>
                <w:szCs w:val="18"/>
              </w:rPr>
              <w:t>,</w:t>
            </w:r>
            <w:r w:rsidRPr="00412826">
              <w:rPr>
                <w:sz w:val="18"/>
                <w:szCs w:val="18"/>
              </w:rPr>
              <w:t>000</w:t>
            </w:r>
          </w:p>
        </w:tc>
        <w:tc>
          <w:tcPr>
            <w:tcW w:w="850" w:type="dxa"/>
            <w:tcBorders>
              <w:top w:val="nil"/>
              <w:left w:val="single" w:sz="4" w:space="0" w:color="auto"/>
              <w:bottom w:val="nil"/>
              <w:right w:val="nil"/>
            </w:tcBorders>
            <w:vAlign w:val="center"/>
          </w:tcPr>
          <w:p w14:paraId="47378B2C" w14:textId="77777777" w:rsidR="00302BFE" w:rsidRPr="00412826" w:rsidRDefault="00302BFE" w:rsidP="00243B15">
            <w:pPr>
              <w:spacing w:after="0"/>
              <w:ind w:left="30" w:right="30"/>
              <w:jc w:val="center"/>
              <w:rPr>
                <w:sz w:val="18"/>
                <w:szCs w:val="18"/>
                <w:highlight w:val="yellow"/>
                <w:lang w:val="fr-FR"/>
              </w:rPr>
            </w:pPr>
          </w:p>
        </w:tc>
        <w:tc>
          <w:tcPr>
            <w:tcW w:w="1682" w:type="dxa"/>
            <w:tcBorders>
              <w:top w:val="nil"/>
              <w:left w:val="nil"/>
              <w:bottom w:val="nil"/>
              <w:right w:val="nil"/>
            </w:tcBorders>
            <w:vAlign w:val="center"/>
          </w:tcPr>
          <w:p w14:paraId="38E2E0CA" w14:textId="77777777" w:rsidR="00302BFE" w:rsidRPr="00412826" w:rsidRDefault="00302BFE" w:rsidP="00243B15">
            <w:pPr>
              <w:spacing w:after="0"/>
              <w:ind w:left="30" w:right="30"/>
              <w:rPr>
                <w:sz w:val="18"/>
                <w:szCs w:val="18"/>
                <w:lang w:val="fr-FR"/>
              </w:rPr>
            </w:pPr>
          </w:p>
        </w:tc>
      </w:tr>
      <w:tr w:rsidR="00302BFE" w:rsidRPr="00412826" w14:paraId="2796E5FE" w14:textId="77777777" w:rsidTr="00243B15">
        <w:trPr>
          <w:jc w:val="center"/>
        </w:trPr>
        <w:tc>
          <w:tcPr>
            <w:tcW w:w="2117" w:type="dxa"/>
            <w:vMerge/>
            <w:tcBorders>
              <w:left w:val="single" w:sz="4" w:space="0" w:color="auto"/>
              <w:right w:val="single" w:sz="4" w:space="0" w:color="auto"/>
            </w:tcBorders>
            <w:vAlign w:val="center"/>
          </w:tcPr>
          <w:p w14:paraId="295FE4F1" w14:textId="77777777" w:rsidR="00302BFE" w:rsidRPr="00412826" w:rsidRDefault="00302BFE" w:rsidP="00243B15">
            <w:pPr>
              <w:spacing w:after="0"/>
              <w:ind w:left="30" w:right="30"/>
              <w:rPr>
                <w:sz w:val="18"/>
                <w:szCs w:val="18"/>
                <w:lang w:val="fr-FR"/>
              </w:rPr>
            </w:pPr>
          </w:p>
        </w:tc>
        <w:tc>
          <w:tcPr>
            <w:tcW w:w="378" w:type="dxa"/>
            <w:vMerge/>
            <w:tcBorders>
              <w:left w:val="single" w:sz="4" w:space="0" w:color="auto"/>
              <w:right w:val="single" w:sz="4" w:space="0" w:color="auto"/>
            </w:tcBorders>
            <w:vAlign w:val="center"/>
          </w:tcPr>
          <w:p w14:paraId="5EDEBC67" w14:textId="77777777" w:rsidR="00302BFE" w:rsidRPr="00412826" w:rsidRDefault="00302BFE" w:rsidP="00243B15">
            <w:pPr>
              <w:spacing w:after="0"/>
              <w:ind w:left="30" w:right="30"/>
              <w:jc w:val="center"/>
              <w:rPr>
                <w:sz w:val="18"/>
                <w:szCs w:val="18"/>
                <w:lang w:val="fr-FR"/>
              </w:rPr>
            </w:pPr>
          </w:p>
        </w:tc>
        <w:tc>
          <w:tcPr>
            <w:tcW w:w="1501" w:type="dxa"/>
            <w:tcBorders>
              <w:top w:val="single" w:sz="4" w:space="0" w:color="auto"/>
              <w:left w:val="single" w:sz="4" w:space="0" w:color="auto"/>
              <w:bottom w:val="single" w:sz="4" w:space="0" w:color="auto"/>
              <w:right w:val="single" w:sz="4" w:space="0" w:color="auto"/>
            </w:tcBorders>
            <w:vAlign w:val="center"/>
          </w:tcPr>
          <w:p w14:paraId="21EEA6DE" w14:textId="77777777" w:rsidR="00302BFE" w:rsidRPr="00412826" w:rsidRDefault="00302BFE" w:rsidP="00243B15">
            <w:pPr>
              <w:spacing w:after="0"/>
              <w:ind w:left="30" w:right="30"/>
              <w:jc w:val="center"/>
              <w:rPr>
                <w:sz w:val="18"/>
                <w:szCs w:val="18"/>
                <w:lang w:val="fr-FR"/>
              </w:rPr>
            </w:pPr>
            <w:r w:rsidRPr="00412826">
              <w:rPr>
                <w:sz w:val="18"/>
                <w:szCs w:val="18"/>
                <w:lang w:val="fr-FR"/>
              </w:rPr>
              <w:t>Mare aux Hippopotames – BF005</w:t>
            </w:r>
          </w:p>
        </w:tc>
        <w:tc>
          <w:tcPr>
            <w:tcW w:w="1127" w:type="dxa"/>
            <w:tcBorders>
              <w:top w:val="single" w:sz="4" w:space="0" w:color="auto"/>
              <w:left w:val="single" w:sz="4" w:space="0" w:color="auto"/>
              <w:bottom w:val="single" w:sz="4" w:space="0" w:color="auto"/>
              <w:right w:val="single" w:sz="4" w:space="0" w:color="auto"/>
            </w:tcBorders>
            <w:vAlign w:val="center"/>
          </w:tcPr>
          <w:p w14:paraId="5B845841" w14:textId="77777777" w:rsidR="00302BFE" w:rsidRPr="00412826" w:rsidRDefault="00302BFE" w:rsidP="00243B15">
            <w:pPr>
              <w:spacing w:after="0"/>
              <w:ind w:left="30" w:right="30"/>
              <w:jc w:val="center"/>
              <w:rPr>
                <w:sz w:val="18"/>
                <w:szCs w:val="18"/>
                <w:lang w:val="fr-FR"/>
              </w:rPr>
            </w:pPr>
            <w:r w:rsidRPr="00412826">
              <w:rPr>
                <w:sz w:val="18"/>
                <w:szCs w:val="18"/>
                <w:lang w:val="fr-FR"/>
              </w:rPr>
              <w:t>2001</w:t>
            </w:r>
          </w:p>
        </w:tc>
        <w:tc>
          <w:tcPr>
            <w:tcW w:w="2097" w:type="dxa"/>
            <w:tcBorders>
              <w:top w:val="single" w:sz="4" w:space="0" w:color="auto"/>
              <w:left w:val="single" w:sz="4" w:space="0" w:color="auto"/>
              <w:bottom w:val="single" w:sz="4" w:space="0" w:color="auto"/>
              <w:right w:val="single" w:sz="4" w:space="0" w:color="auto"/>
            </w:tcBorders>
            <w:vAlign w:val="center"/>
          </w:tcPr>
          <w:p w14:paraId="7F3AABFF" w14:textId="77777777" w:rsidR="00302BFE" w:rsidRPr="00412826" w:rsidRDefault="00302BFE" w:rsidP="00243B15">
            <w:pPr>
              <w:spacing w:after="0"/>
              <w:ind w:left="30" w:right="30"/>
              <w:jc w:val="center"/>
              <w:rPr>
                <w:sz w:val="18"/>
                <w:szCs w:val="18"/>
                <w:lang w:val="fr-FR"/>
              </w:rPr>
            </w:pPr>
            <w:r w:rsidRPr="00412826">
              <w:rPr>
                <w:sz w:val="18"/>
                <w:szCs w:val="18"/>
                <w:lang w:val="fr-FR"/>
              </w:rPr>
              <w:t>19</w:t>
            </w:r>
            <w:r>
              <w:rPr>
                <w:sz w:val="18"/>
                <w:szCs w:val="18"/>
                <w:lang w:val="fr-FR"/>
              </w:rPr>
              <w:t>,</w:t>
            </w:r>
            <w:r w:rsidRPr="00412826">
              <w:rPr>
                <w:sz w:val="18"/>
                <w:szCs w:val="18"/>
                <w:lang w:val="fr-FR"/>
              </w:rPr>
              <w:t>200</w:t>
            </w:r>
          </w:p>
        </w:tc>
        <w:tc>
          <w:tcPr>
            <w:tcW w:w="850" w:type="dxa"/>
            <w:tcBorders>
              <w:top w:val="nil"/>
              <w:left w:val="single" w:sz="4" w:space="0" w:color="auto"/>
              <w:bottom w:val="nil"/>
              <w:right w:val="nil"/>
            </w:tcBorders>
            <w:vAlign w:val="center"/>
          </w:tcPr>
          <w:p w14:paraId="08E5558B" w14:textId="77777777" w:rsidR="00302BFE" w:rsidRPr="00412826" w:rsidRDefault="00302BFE" w:rsidP="00243B15">
            <w:pPr>
              <w:spacing w:after="0"/>
              <w:ind w:left="30" w:right="30"/>
              <w:jc w:val="center"/>
              <w:rPr>
                <w:sz w:val="18"/>
                <w:szCs w:val="18"/>
                <w:highlight w:val="yellow"/>
                <w:lang w:val="fr-FR"/>
              </w:rPr>
            </w:pPr>
          </w:p>
        </w:tc>
        <w:tc>
          <w:tcPr>
            <w:tcW w:w="1682" w:type="dxa"/>
            <w:tcBorders>
              <w:top w:val="nil"/>
              <w:left w:val="nil"/>
              <w:bottom w:val="nil"/>
              <w:right w:val="nil"/>
            </w:tcBorders>
            <w:vAlign w:val="center"/>
          </w:tcPr>
          <w:p w14:paraId="610F6B5E" w14:textId="77777777" w:rsidR="00302BFE" w:rsidRPr="00412826" w:rsidRDefault="00302BFE" w:rsidP="00243B15">
            <w:pPr>
              <w:spacing w:after="0"/>
              <w:ind w:left="30" w:right="30"/>
              <w:rPr>
                <w:sz w:val="18"/>
                <w:szCs w:val="18"/>
                <w:lang w:val="fr-FR"/>
              </w:rPr>
            </w:pPr>
          </w:p>
        </w:tc>
      </w:tr>
      <w:tr w:rsidR="00302BFE" w:rsidRPr="00412826" w14:paraId="62E4FD78" w14:textId="77777777" w:rsidTr="00243B15">
        <w:trPr>
          <w:jc w:val="center"/>
        </w:trPr>
        <w:tc>
          <w:tcPr>
            <w:tcW w:w="2117" w:type="dxa"/>
            <w:vMerge/>
            <w:tcBorders>
              <w:left w:val="single" w:sz="4" w:space="0" w:color="auto"/>
              <w:bottom w:val="single" w:sz="4" w:space="0" w:color="auto"/>
              <w:right w:val="single" w:sz="4" w:space="0" w:color="auto"/>
            </w:tcBorders>
            <w:vAlign w:val="center"/>
          </w:tcPr>
          <w:p w14:paraId="630209E1" w14:textId="77777777" w:rsidR="00302BFE" w:rsidRPr="00412826" w:rsidRDefault="00302BFE" w:rsidP="00243B15">
            <w:pPr>
              <w:spacing w:after="0"/>
              <w:ind w:left="30" w:right="30"/>
              <w:rPr>
                <w:sz w:val="18"/>
                <w:szCs w:val="18"/>
                <w:lang w:val="fr-FR"/>
              </w:rPr>
            </w:pPr>
          </w:p>
        </w:tc>
        <w:tc>
          <w:tcPr>
            <w:tcW w:w="378" w:type="dxa"/>
            <w:vMerge/>
            <w:tcBorders>
              <w:left w:val="single" w:sz="4" w:space="0" w:color="auto"/>
              <w:bottom w:val="single" w:sz="4" w:space="0" w:color="auto"/>
              <w:right w:val="single" w:sz="4" w:space="0" w:color="auto"/>
            </w:tcBorders>
            <w:vAlign w:val="center"/>
          </w:tcPr>
          <w:p w14:paraId="6041D6F3" w14:textId="77777777" w:rsidR="00302BFE" w:rsidRPr="00412826" w:rsidRDefault="00302BFE" w:rsidP="00243B15">
            <w:pPr>
              <w:spacing w:after="0"/>
              <w:ind w:left="30" w:right="30"/>
              <w:jc w:val="center"/>
              <w:rPr>
                <w:sz w:val="18"/>
                <w:szCs w:val="18"/>
                <w:lang w:val="fr-FR"/>
              </w:rPr>
            </w:pPr>
          </w:p>
        </w:tc>
        <w:tc>
          <w:tcPr>
            <w:tcW w:w="1501" w:type="dxa"/>
            <w:tcBorders>
              <w:top w:val="single" w:sz="4" w:space="0" w:color="auto"/>
              <w:left w:val="single" w:sz="4" w:space="0" w:color="auto"/>
              <w:bottom w:val="single" w:sz="4" w:space="0" w:color="auto"/>
              <w:right w:val="single" w:sz="4" w:space="0" w:color="auto"/>
            </w:tcBorders>
            <w:vAlign w:val="center"/>
          </w:tcPr>
          <w:p w14:paraId="58E01CCA" w14:textId="77777777" w:rsidR="00302BFE" w:rsidRPr="00412826" w:rsidRDefault="00302BFE" w:rsidP="00243B15">
            <w:pPr>
              <w:spacing w:after="0"/>
              <w:ind w:left="30" w:right="30"/>
              <w:jc w:val="center"/>
              <w:rPr>
                <w:sz w:val="18"/>
                <w:szCs w:val="18"/>
                <w:lang w:val="fr-FR"/>
              </w:rPr>
            </w:pPr>
            <w:r w:rsidRPr="00412826">
              <w:rPr>
                <w:sz w:val="18"/>
                <w:szCs w:val="18"/>
                <w:lang w:val="fr-FR"/>
              </w:rPr>
              <w:t>Forêt Ouagadougou - BF004</w:t>
            </w:r>
          </w:p>
        </w:tc>
        <w:tc>
          <w:tcPr>
            <w:tcW w:w="1127" w:type="dxa"/>
            <w:tcBorders>
              <w:top w:val="single" w:sz="4" w:space="0" w:color="auto"/>
              <w:left w:val="single" w:sz="4" w:space="0" w:color="auto"/>
              <w:bottom w:val="single" w:sz="4" w:space="0" w:color="auto"/>
              <w:right w:val="single" w:sz="4" w:space="0" w:color="auto"/>
            </w:tcBorders>
            <w:vAlign w:val="center"/>
          </w:tcPr>
          <w:p w14:paraId="28BD5C88" w14:textId="77777777" w:rsidR="00302BFE" w:rsidRPr="00412826" w:rsidRDefault="00302BFE" w:rsidP="00243B15">
            <w:pPr>
              <w:spacing w:after="0"/>
              <w:ind w:left="30" w:right="30"/>
              <w:jc w:val="center"/>
              <w:rPr>
                <w:sz w:val="18"/>
                <w:szCs w:val="18"/>
                <w:lang w:val="fr-FR"/>
              </w:rPr>
            </w:pPr>
            <w:r w:rsidRPr="00412826">
              <w:rPr>
                <w:sz w:val="18"/>
                <w:szCs w:val="18"/>
                <w:lang w:val="fr-FR"/>
              </w:rPr>
              <w:t>2001 (éval)</w:t>
            </w:r>
          </w:p>
        </w:tc>
        <w:tc>
          <w:tcPr>
            <w:tcW w:w="2097" w:type="dxa"/>
            <w:tcBorders>
              <w:top w:val="single" w:sz="4" w:space="0" w:color="auto"/>
              <w:left w:val="single" w:sz="4" w:space="0" w:color="auto"/>
              <w:bottom w:val="single" w:sz="4" w:space="0" w:color="auto"/>
              <w:right w:val="single" w:sz="4" w:space="0" w:color="auto"/>
            </w:tcBorders>
            <w:vAlign w:val="center"/>
          </w:tcPr>
          <w:p w14:paraId="03939D82" w14:textId="77777777" w:rsidR="00302BFE" w:rsidRPr="00412826" w:rsidRDefault="00302BFE" w:rsidP="00243B15">
            <w:pPr>
              <w:spacing w:after="0"/>
              <w:ind w:left="30" w:right="30"/>
              <w:jc w:val="center"/>
              <w:rPr>
                <w:sz w:val="18"/>
                <w:szCs w:val="18"/>
                <w:lang w:val="fr-FR"/>
              </w:rPr>
            </w:pPr>
            <w:r w:rsidRPr="00412826">
              <w:rPr>
                <w:sz w:val="18"/>
                <w:szCs w:val="18"/>
                <w:lang w:val="fr-FR"/>
              </w:rPr>
              <w:t>230</w:t>
            </w:r>
          </w:p>
        </w:tc>
        <w:tc>
          <w:tcPr>
            <w:tcW w:w="850" w:type="dxa"/>
            <w:tcBorders>
              <w:top w:val="nil"/>
              <w:left w:val="single" w:sz="4" w:space="0" w:color="auto"/>
              <w:bottom w:val="nil"/>
              <w:right w:val="nil"/>
            </w:tcBorders>
            <w:vAlign w:val="center"/>
          </w:tcPr>
          <w:p w14:paraId="510E3E5F" w14:textId="77777777" w:rsidR="00302BFE" w:rsidRPr="00412826" w:rsidRDefault="00302BFE" w:rsidP="00243B15">
            <w:pPr>
              <w:spacing w:after="0"/>
              <w:ind w:left="30" w:right="30"/>
              <w:jc w:val="center"/>
              <w:rPr>
                <w:sz w:val="18"/>
                <w:szCs w:val="18"/>
                <w:highlight w:val="yellow"/>
                <w:lang w:val="fr-FR"/>
              </w:rPr>
            </w:pPr>
          </w:p>
        </w:tc>
        <w:tc>
          <w:tcPr>
            <w:tcW w:w="1682" w:type="dxa"/>
            <w:tcBorders>
              <w:top w:val="nil"/>
              <w:left w:val="nil"/>
              <w:bottom w:val="nil"/>
              <w:right w:val="nil"/>
            </w:tcBorders>
            <w:vAlign w:val="center"/>
          </w:tcPr>
          <w:p w14:paraId="2A7B9A8E" w14:textId="77777777" w:rsidR="00302BFE" w:rsidRPr="00412826" w:rsidRDefault="00302BFE" w:rsidP="00243B15">
            <w:pPr>
              <w:spacing w:after="0"/>
              <w:ind w:left="30" w:right="30"/>
              <w:rPr>
                <w:sz w:val="18"/>
                <w:szCs w:val="18"/>
                <w:lang w:val="fr-FR"/>
              </w:rPr>
            </w:pPr>
          </w:p>
        </w:tc>
      </w:tr>
    </w:tbl>
    <w:p w14:paraId="05DCD42A" w14:textId="77777777" w:rsidR="00302BFE" w:rsidRPr="00D47BC5" w:rsidRDefault="00302BFE" w:rsidP="00302BFE">
      <w:pPr>
        <w:spacing w:after="0"/>
        <w:rPr>
          <w:sz w:val="18"/>
          <w:szCs w:val="18"/>
          <w:lang w:val="en-CA"/>
        </w:rPr>
      </w:pPr>
      <w:r w:rsidRPr="00D47BC5">
        <w:rPr>
          <w:sz w:val="18"/>
          <w:szCs w:val="18"/>
          <w:lang w:val="en-CA"/>
        </w:rPr>
        <w:t>*  In the case of a small number of classified forests, local arrangements are made for their management by the communities.</w:t>
      </w:r>
    </w:p>
    <w:p w14:paraId="03C4147F" w14:textId="77777777" w:rsidR="00302BFE" w:rsidRPr="00D47BC5" w:rsidRDefault="00302BFE" w:rsidP="00302BFE">
      <w:pPr>
        <w:spacing w:after="0"/>
        <w:rPr>
          <w:sz w:val="18"/>
          <w:szCs w:val="18"/>
          <w:lang w:val="en-CA"/>
        </w:rPr>
      </w:pPr>
      <w:r w:rsidRPr="00D47BC5">
        <w:rPr>
          <w:sz w:val="18"/>
          <w:szCs w:val="18"/>
          <w:lang w:val="en-CA"/>
        </w:rPr>
        <w:t>** OFINAP was created in 2008 and relies on a limited number of professionals who took charge of the management of a small number of important areas in Burkina Faso: the national parks of Deux Balés and Po, and the Nazinga, Mare aux Hippopotames and Arly PAs.</w:t>
      </w:r>
    </w:p>
    <w:p w14:paraId="1452F952" w14:textId="77777777" w:rsidR="00302BFE" w:rsidRPr="00D47BC5" w:rsidRDefault="00302BFE" w:rsidP="00302BFE">
      <w:pPr>
        <w:spacing w:after="0"/>
        <w:rPr>
          <w:sz w:val="16"/>
          <w:szCs w:val="16"/>
          <w:lang w:val="en-CA"/>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302BFE" w:rsidRPr="008767D9" w14:paraId="29BE6954" w14:textId="77777777" w:rsidTr="00243B15">
        <w:trPr>
          <w:jc w:val="center"/>
        </w:trPr>
        <w:tc>
          <w:tcPr>
            <w:tcW w:w="9923" w:type="dxa"/>
            <w:shd w:val="clear" w:color="auto" w:fill="auto"/>
          </w:tcPr>
          <w:p w14:paraId="4E338692" w14:textId="77777777" w:rsidR="00302BFE" w:rsidRPr="00E61001" w:rsidRDefault="00302BFE" w:rsidP="00243B15">
            <w:pPr>
              <w:rPr>
                <w:rFonts w:cs="Garamond"/>
                <w:sz w:val="16"/>
                <w:szCs w:val="16"/>
                <w:lang w:val="en-CA"/>
              </w:rPr>
            </w:pPr>
            <w:r w:rsidRPr="00E61001">
              <w:rPr>
                <w:rFonts w:cs="Garamond"/>
                <w:b/>
                <w:bCs/>
                <w:sz w:val="18"/>
                <w:szCs w:val="18"/>
                <w:lang w:val="en-CA"/>
              </w:rPr>
              <w:t>Protected Area</w:t>
            </w:r>
            <w:r w:rsidRPr="00E61001">
              <w:rPr>
                <w:rFonts w:cs="Garamond"/>
                <w:sz w:val="18"/>
                <w:szCs w:val="18"/>
                <w:lang w:val="en-CA"/>
              </w:rPr>
              <w:t>: A protected area is usually defined as a space in which human occupation, or at least the exploitation of resources, is limited. This definition has been generally accepted in regional and global frameworks and has been proposed by the International Union for the Conservation of Nature (IUCN) in its categorization of protected areas. A protected area is defined as: "</w:t>
            </w:r>
            <w:r w:rsidRPr="00E61001">
              <w:rPr>
                <w:rFonts w:cs="Garamond"/>
                <w:i/>
                <w:sz w:val="18"/>
                <w:szCs w:val="18"/>
                <w:lang w:val="en-CA"/>
              </w:rPr>
              <w:t>A clearly defined geographical area recognized, consigned and managed by any effective means, legal or otherwise, to ensure the long-term conservation of nature, and ecosystem services and values associated to it</w:t>
            </w:r>
            <w:r w:rsidRPr="00E61001">
              <w:rPr>
                <w:rFonts w:cs="Garamond"/>
                <w:sz w:val="18"/>
                <w:szCs w:val="18"/>
                <w:lang w:val="en-CA"/>
              </w:rPr>
              <w:t>."</w:t>
            </w:r>
            <w:r w:rsidRPr="00E61001">
              <w:rPr>
                <w:rFonts w:cs="Garamond"/>
                <w:i/>
                <w:iCs/>
                <w:sz w:val="18"/>
                <w:szCs w:val="18"/>
                <w:lang w:val="en-CA"/>
              </w:rPr>
              <w:t xml:space="preserve">» </w:t>
            </w:r>
            <w:r w:rsidRPr="00E61001">
              <w:rPr>
                <w:rFonts w:cs="Garamond"/>
                <w:sz w:val="16"/>
                <w:szCs w:val="16"/>
                <w:u w:val="single"/>
                <w:lang w:val="en-CA"/>
              </w:rPr>
              <w:t>Sources</w:t>
            </w:r>
            <w:r w:rsidRPr="00E61001">
              <w:rPr>
                <w:rFonts w:cs="Garamond"/>
                <w:sz w:val="16"/>
                <w:szCs w:val="16"/>
                <w:lang w:val="en-CA"/>
              </w:rPr>
              <w:t xml:space="preserve">: UNEP-WCMC </w:t>
            </w:r>
            <w:r w:rsidRPr="00E61001">
              <w:rPr>
                <w:rFonts w:cs="Garamond"/>
                <w:i/>
                <w:iCs/>
                <w:sz w:val="16"/>
                <w:szCs w:val="16"/>
                <w:lang w:val="en-CA"/>
              </w:rPr>
              <w:t>About Protected Areas</w:t>
            </w:r>
            <w:r w:rsidRPr="00E61001">
              <w:rPr>
                <w:rFonts w:cs="Garamond"/>
                <w:sz w:val="16"/>
                <w:szCs w:val="16"/>
                <w:lang w:val="en-CA"/>
              </w:rPr>
              <w:t xml:space="preserve">, Dudley, N. (ed.) </w:t>
            </w:r>
            <w:r w:rsidRPr="00E61001">
              <w:rPr>
                <w:rFonts w:cs="Garamond"/>
                <w:i/>
                <w:iCs/>
                <w:sz w:val="16"/>
                <w:szCs w:val="16"/>
                <w:lang w:val="en-CA"/>
              </w:rPr>
              <w:t>Guidelines for Appling Protected Areas Management Categories</w:t>
            </w:r>
            <w:r w:rsidRPr="00E61001">
              <w:rPr>
                <w:rFonts w:cs="Garamond"/>
                <w:sz w:val="16"/>
                <w:szCs w:val="16"/>
                <w:lang w:val="en-CA"/>
              </w:rPr>
              <w:t xml:space="preserve"> (IUCN: Switzerland, 2008)</w:t>
            </w:r>
          </w:p>
        </w:tc>
      </w:tr>
    </w:tbl>
    <w:p w14:paraId="08DB90A3" w14:textId="77777777" w:rsidR="00302BFE" w:rsidRPr="00C05313" w:rsidRDefault="00302BFE" w:rsidP="00302BFE">
      <w:pPr>
        <w:spacing w:after="0"/>
        <w:rPr>
          <w:rFonts w:ascii="Garamond" w:hAnsi="Garamond" w:cs="Garamond"/>
          <w:sz w:val="16"/>
          <w:szCs w:val="16"/>
          <w:lang w:val="en-CA"/>
        </w:rPr>
      </w:pPr>
    </w:p>
    <w:p w14:paraId="6A487DE0" w14:textId="77777777" w:rsidR="00302BFE" w:rsidRPr="00B16682" w:rsidRDefault="00302BFE" w:rsidP="00302BFE">
      <w:pPr>
        <w:pStyle w:val="Titre2"/>
        <w:ind w:left="0"/>
        <w:rPr>
          <w:rFonts w:ascii="Calibri" w:hAnsi="Calibri"/>
          <w:szCs w:val="22"/>
        </w:rPr>
      </w:pPr>
      <w:r>
        <w:rPr>
          <w:b w:val="0"/>
          <w:lang w:val="en-CA"/>
        </w:rPr>
        <w:br w:type="page"/>
      </w:r>
      <w:bookmarkStart w:id="118" w:name="_Toc9961811"/>
      <w:r w:rsidRPr="00B16682">
        <w:rPr>
          <w:rFonts w:ascii="Calibri" w:hAnsi="Calibri"/>
          <w:szCs w:val="22"/>
        </w:rPr>
        <w:lastRenderedPageBreak/>
        <w:t xml:space="preserve">Annex </w:t>
      </w:r>
      <w:r>
        <w:rPr>
          <w:rFonts w:ascii="Calibri" w:hAnsi="Calibri"/>
          <w:szCs w:val="22"/>
        </w:rPr>
        <w:t>K</w:t>
      </w:r>
      <w:r w:rsidRPr="00B16682">
        <w:rPr>
          <w:rFonts w:ascii="Calibri" w:hAnsi="Calibri"/>
          <w:szCs w:val="22"/>
        </w:rPr>
        <w:t>. State and community protected areas (Table a) and Community management zones for natural resources (Table b) in the PONASI landscape</w:t>
      </w:r>
      <w:bookmarkEnd w:id="118"/>
    </w:p>
    <w:p w14:paraId="7A11F135" w14:textId="77777777" w:rsidR="00302BFE" w:rsidRPr="00C91FE1" w:rsidRDefault="00302BFE" w:rsidP="00302BFE">
      <w:pPr>
        <w:spacing w:before="240"/>
        <w:rPr>
          <w:b/>
          <w:sz w:val="22"/>
          <w:szCs w:val="22"/>
          <w:lang w:val="en-CA"/>
        </w:rPr>
      </w:pPr>
      <w:r w:rsidRPr="00794A76">
        <w:rPr>
          <w:b/>
          <w:lang w:val="en-CA"/>
        </w:rPr>
        <w:t xml:space="preserve">Table </w:t>
      </w:r>
      <w:r>
        <w:rPr>
          <w:b/>
          <w:lang w:val="en-CA"/>
        </w:rPr>
        <w:t>a</w:t>
      </w:r>
      <w:r w:rsidRPr="00794A76">
        <w:rPr>
          <w:b/>
          <w:lang w:val="en-CA"/>
        </w:rPr>
        <w:t xml:space="preserve">. </w:t>
      </w:r>
      <w:r w:rsidRPr="00C91FE1">
        <w:rPr>
          <w:b/>
          <w:lang w:val="en-CA"/>
        </w:rPr>
        <w:t xml:space="preserve">State and community protected areas in the PONASI </w:t>
      </w:r>
      <w:r>
        <w:rPr>
          <w:b/>
          <w:lang w:val="en-CA"/>
        </w:rPr>
        <w:t>landscape</w:t>
      </w:r>
      <w:r w:rsidRPr="00C91FE1">
        <w:rPr>
          <w:b/>
          <w:lang w:val="en-CA"/>
        </w:rPr>
        <w:t xml:space="preserve"> </w:t>
      </w: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1213"/>
        <w:gridCol w:w="1662"/>
        <w:gridCol w:w="949"/>
        <w:gridCol w:w="1438"/>
        <w:gridCol w:w="1438"/>
        <w:gridCol w:w="1135"/>
        <w:gridCol w:w="1438"/>
      </w:tblGrid>
      <w:tr w:rsidR="00302BFE" w14:paraId="65C66470" w14:textId="77777777" w:rsidTr="00243B15">
        <w:trPr>
          <w:tblHeader/>
          <w:jc w:val="center"/>
        </w:trPr>
        <w:tc>
          <w:tcPr>
            <w:tcW w:w="1271" w:type="dxa"/>
            <w:tcBorders>
              <w:top w:val="single" w:sz="4" w:space="0" w:color="auto"/>
              <w:left w:val="single" w:sz="4" w:space="0" w:color="auto"/>
              <w:bottom w:val="single" w:sz="4" w:space="0" w:color="auto"/>
              <w:right w:val="single" w:sz="4" w:space="0" w:color="auto"/>
            </w:tcBorders>
            <w:shd w:val="clear" w:color="auto" w:fill="FFF2CC"/>
            <w:hideMark/>
          </w:tcPr>
          <w:p w14:paraId="1D5F819B" w14:textId="77777777" w:rsidR="00302BFE" w:rsidRDefault="00302BFE" w:rsidP="00243B15">
            <w:pPr>
              <w:spacing w:after="0"/>
              <w:rPr>
                <w:b/>
                <w:sz w:val="18"/>
                <w:szCs w:val="18"/>
              </w:rPr>
            </w:pPr>
            <w:r>
              <w:rPr>
                <w:b/>
                <w:sz w:val="18"/>
                <w:szCs w:val="18"/>
              </w:rPr>
              <w:t>Name</w:t>
            </w:r>
          </w:p>
        </w:tc>
        <w:tc>
          <w:tcPr>
            <w:tcW w:w="1028" w:type="dxa"/>
            <w:tcBorders>
              <w:top w:val="single" w:sz="4" w:space="0" w:color="auto"/>
              <w:left w:val="single" w:sz="4" w:space="0" w:color="auto"/>
              <w:bottom w:val="single" w:sz="4" w:space="0" w:color="auto"/>
              <w:right w:val="single" w:sz="4" w:space="0" w:color="auto"/>
            </w:tcBorders>
            <w:shd w:val="clear" w:color="auto" w:fill="FFF2CC"/>
            <w:hideMark/>
          </w:tcPr>
          <w:p w14:paraId="73FBDAD1" w14:textId="77777777" w:rsidR="00302BFE" w:rsidRDefault="00302BFE" w:rsidP="00243B15">
            <w:pPr>
              <w:spacing w:after="0"/>
              <w:rPr>
                <w:b/>
                <w:sz w:val="18"/>
                <w:szCs w:val="18"/>
              </w:rPr>
            </w:pPr>
            <w:r>
              <w:rPr>
                <w:b/>
                <w:sz w:val="18"/>
                <w:szCs w:val="18"/>
              </w:rPr>
              <w:t>Area (ha)</w:t>
            </w:r>
          </w:p>
        </w:tc>
        <w:tc>
          <w:tcPr>
            <w:tcW w:w="1410" w:type="dxa"/>
            <w:tcBorders>
              <w:top w:val="single" w:sz="4" w:space="0" w:color="auto"/>
              <w:left w:val="single" w:sz="4" w:space="0" w:color="auto"/>
              <w:bottom w:val="single" w:sz="4" w:space="0" w:color="auto"/>
              <w:right w:val="single" w:sz="4" w:space="0" w:color="auto"/>
            </w:tcBorders>
            <w:shd w:val="clear" w:color="auto" w:fill="FFF2CC"/>
            <w:hideMark/>
          </w:tcPr>
          <w:p w14:paraId="20067705" w14:textId="77777777" w:rsidR="00302BFE" w:rsidRDefault="00302BFE" w:rsidP="00243B15">
            <w:pPr>
              <w:spacing w:after="0"/>
              <w:rPr>
                <w:b/>
                <w:sz w:val="18"/>
                <w:szCs w:val="18"/>
              </w:rPr>
            </w:pPr>
            <w:r>
              <w:rPr>
                <w:b/>
                <w:sz w:val="18"/>
                <w:szCs w:val="18"/>
              </w:rPr>
              <w:t xml:space="preserve">National classification </w:t>
            </w:r>
          </w:p>
        </w:tc>
        <w:tc>
          <w:tcPr>
            <w:tcW w:w="805" w:type="dxa"/>
            <w:tcBorders>
              <w:top w:val="single" w:sz="4" w:space="0" w:color="auto"/>
              <w:left w:val="single" w:sz="4" w:space="0" w:color="auto"/>
              <w:bottom w:val="single" w:sz="4" w:space="0" w:color="auto"/>
              <w:right w:val="single" w:sz="4" w:space="0" w:color="auto"/>
            </w:tcBorders>
            <w:shd w:val="clear" w:color="auto" w:fill="FFF2CC"/>
            <w:hideMark/>
          </w:tcPr>
          <w:p w14:paraId="3310AE4B" w14:textId="77777777" w:rsidR="00302BFE" w:rsidRDefault="00302BFE" w:rsidP="00243B15">
            <w:pPr>
              <w:spacing w:after="0"/>
              <w:rPr>
                <w:b/>
                <w:sz w:val="18"/>
                <w:szCs w:val="18"/>
              </w:rPr>
            </w:pPr>
            <w:r>
              <w:rPr>
                <w:b/>
                <w:sz w:val="18"/>
                <w:szCs w:val="18"/>
              </w:rPr>
              <w:t>Cat. IUCN</w:t>
            </w:r>
          </w:p>
        </w:tc>
        <w:tc>
          <w:tcPr>
            <w:tcW w:w="1019" w:type="dxa"/>
            <w:tcBorders>
              <w:top w:val="single" w:sz="4" w:space="0" w:color="auto"/>
              <w:left w:val="single" w:sz="4" w:space="0" w:color="auto"/>
              <w:bottom w:val="single" w:sz="4" w:space="0" w:color="auto"/>
              <w:right w:val="single" w:sz="4" w:space="0" w:color="auto"/>
            </w:tcBorders>
            <w:shd w:val="clear" w:color="auto" w:fill="FFF2CC"/>
            <w:hideMark/>
          </w:tcPr>
          <w:p w14:paraId="21FB44EC" w14:textId="77777777" w:rsidR="00302BFE" w:rsidRDefault="00302BFE" w:rsidP="00243B15">
            <w:pPr>
              <w:spacing w:after="0"/>
              <w:rPr>
                <w:b/>
                <w:sz w:val="18"/>
                <w:szCs w:val="18"/>
              </w:rPr>
            </w:pPr>
            <w:r>
              <w:rPr>
                <w:b/>
                <w:sz w:val="18"/>
                <w:szCs w:val="18"/>
              </w:rPr>
              <w:t>Management Unit</w:t>
            </w:r>
          </w:p>
        </w:tc>
        <w:tc>
          <w:tcPr>
            <w:tcW w:w="1075" w:type="dxa"/>
            <w:tcBorders>
              <w:top w:val="single" w:sz="4" w:space="0" w:color="auto"/>
              <w:left w:val="single" w:sz="4" w:space="0" w:color="auto"/>
              <w:bottom w:val="single" w:sz="4" w:space="0" w:color="auto"/>
              <w:right w:val="single" w:sz="4" w:space="0" w:color="auto"/>
            </w:tcBorders>
            <w:shd w:val="clear" w:color="auto" w:fill="FFF2CC"/>
            <w:hideMark/>
          </w:tcPr>
          <w:p w14:paraId="3F8FC4C3" w14:textId="77777777" w:rsidR="00302BFE" w:rsidRDefault="00302BFE" w:rsidP="00243B15">
            <w:pPr>
              <w:spacing w:after="0"/>
              <w:rPr>
                <w:b/>
                <w:sz w:val="18"/>
                <w:szCs w:val="18"/>
              </w:rPr>
            </w:pPr>
            <w:r>
              <w:rPr>
                <w:b/>
                <w:sz w:val="18"/>
                <w:szCs w:val="18"/>
              </w:rPr>
              <w:t>Management plan</w:t>
            </w:r>
          </w:p>
        </w:tc>
        <w:tc>
          <w:tcPr>
            <w:tcW w:w="963" w:type="dxa"/>
            <w:tcBorders>
              <w:top w:val="single" w:sz="4" w:space="0" w:color="auto"/>
              <w:left w:val="single" w:sz="4" w:space="0" w:color="auto"/>
              <w:bottom w:val="single" w:sz="4" w:space="0" w:color="auto"/>
              <w:right w:val="single" w:sz="4" w:space="0" w:color="auto"/>
            </w:tcBorders>
            <w:shd w:val="clear" w:color="auto" w:fill="FFF2CC"/>
            <w:hideMark/>
          </w:tcPr>
          <w:p w14:paraId="097C3B12" w14:textId="77777777" w:rsidR="00302BFE" w:rsidRDefault="00302BFE" w:rsidP="00243B15">
            <w:pPr>
              <w:spacing w:after="0"/>
              <w:rPr>
                <w:b/>
                <w:sz w:val="18"/>
                <w:szCs w:val="18"/>
              </w:rPr>
            </w:pPr>
            <w:r>
              <w:rPr>
                <w:b/>
                <w:sz w:val="18"/>
                <w:szCs w:val="18"/>
              </w:rPr>
              <w:t>Status</w:t>
            </w:r>
          </w:p>
        </w:tc>
        <w:tc>
          <w:tcPr>
            <w:tcW w:w="1059" w:type="dxa"/>
            <w:tcBorders>
              <w:top w:val="single" w:sz="4" w:space="0" w:color="auto"/>
              <w:left w:val="single" w:sz="4" w:space="0" w:color="auto"/>
              <w:bottom w:val="single" w:sz="4" w:space="0" w:color="auto"/>
              <w:right w:val="single" w:sz="4" w:space="0" w:color="auto"/>
            </w:tcBorders>
            <w:shd w:val="clear" w:color="auto" w:fill="FFF2CC"/>
            <w:hideMark/>
          </w:tcPr>
          <w:p w14:paraId="7DF2C6ED" w14:textId="77777777" w:rsidR="00302BFE" w:rsidRDefault="00302BFE" w:rsidP="00243B15">
            <w:pPr>
              <w:spacing w:after="0"/>
              <w:rPr>
                <w:b/>
                <w:sz w:val="18"/>
                <w:szCs w:val="18"/>
              </w:rPr>
            </w:pPr>
            <w:r>
              <w:rPr>
                <w:b/>
                <w:sz w:val="18"/>
                <w:szCs w:val="18"/>
              </w:rPr>
              <w:t>Management Authority</w:t>
            </w:r>
          </w:p>
        </w:tc>
      </w:tr>
      <w:tr w:rsidR="00302BFE" w14:paraId="4620341F" w14:textId="77777777" w:rsidTr="00243B15">
        <w:trPr>
          <w:jc w:val="center"/>
        </w:trPr>
        <w:tc>
          <w:tcPr>
            <w:tcW w:w="1271" w:type="dxa"/>
            <w:tcBorders>
              <w:top w:val="single" w:sz="4" w:space="0" w:color="auto"/>
              <w:left w:val="single" w:sz="4" w:space="0" w:color="auto"/>
              <w:bottom w:val="single" w:sz="4" w:space="0" w:color="auto"/>
              <w:right w:val="single" w:sz="4" w:space="0" w:color="auto"/>
            </w:tcBorders>
            <w:hideMark/>
          </w:tcPr>
          <w:p w14:paraId="0707FDB9" w14:textId="77777777" w:rsidR="00302BFE" w:rsidRDefault="00302BFE" w:rsidP="00243B15">
            <w:pPr>
              <w:spacing w:after="0"/>
              <w:rPr>
                <w:sz w:val="18"/>
                <w:szCs w:val="18"/>
              </w:rPr>
            </w:pPr>
            <w:r>
              <w:rPr>
                <w:sz w:val="18"/>
                <w:szCs w:val="18"/>
              </w:rPr>
              <w:t>Kaboré-Tambi</w:t>
            </w:r>
          </w:p>
        </w:tc>
        <w:tc>
          <w:tcPr>
            <w:tcW w:w="1028" w:type="dxa"/>
            <w:tcBorders>
              <w:top w:val="single" w:sz="4" w:space="0" w:color="auto"/>
              <w:left w:val="single" w:sz="4" w:space="0" w:color="auto"/>
              <w:bottom w:val="single" w:sz="4" w:space="0" w:color="auto"/>
              <w:right w:val="single" w:sz="4" w:space="0" w:color="auto"/>
            </w:tcBorders>
            <w:hideMark/>
          </w:tcPr>
          <w:p w14:paraId="589D5E4C" w14:textId="77777777" w:rsidR="00302BFE" w:rsidRDefault="00302BFE" w:rsidP="00243B15">
            <w:pPr>
              <w:spacing w:after="0"/>
              <w:rPr>
                <w:sz w:val="18"/>
                <w:szCs w:val="18"/>
              </w:rPr>
            </w:pPr>
            <w:r>
              <w:rPr>
                <w:sz w:val="18"/>
                <w:szCs w:val="18"/>
              </w:rPr>
              <w:t>169,000</w:t>
            </w:r>
          </w:p>
        </w:tc>
        <w:tc>
          <w:tcPr>
            <w:tcW w:w="1410" w:type="dxa"/>
            <w:tcBorders>
              <w:top w:val="single" w:sz="4" w:space="0" w:color="auto"/>
              <w:left w:val="single" w:sz="4" w:space="0" w:color="auto"/>
              <w:bottom w:val="single" w:sz="4" w:space="0" w:color="auto"/>
              <w:right w:val="single" w:sz="4" w:space="0" w:color="auto"/>
            </w:tcBorders>
            <w:hideMark/>
          </w:tcPr>
          <w:p w14:paraId="28377D60" w14:textId="77777777" w:rsidR="00302BFE" w:rsidRDefault="00302BFE" w:rsidP="00243B15">
            <w:pPr>
              <w:spacing w:after="0"/>
              <w:rPr>
                <w:sz w:val="18"/>
                <w:szCs w:val="18"/>
              </w:rPr>
            </w:pPr>
            <w:r>
              <w:rPr>
                <w:sz w:val="18"/>
                <w:szCs w:val="18"/>
              </w:rPr>
              <w:t>National Park</w:t>
            </w:r>
          </w:p>
        </w:tc>
        <w:tc>
          <w:tcPr>
            <w:tcW w:w="805" w:type="dxa"/>
            <w:tcBorders>
              <w:top w:val="single" w:sz="4" w:space="0" w:color="auto"/>
              <w:left w:val="single" w:sz="4" w:space="0" w:color="auto"/>
              <w:bottom w:val="single" w:sz="4" w:space="0" w:color="auto"/>
              <w:right w:val="single" w:sz="4" w:space="0" w:color="auto"/>
            </w:tcBorders>
            <w:hideMark/>
          </w:tcPr>
          <w:p w14:paraId="73D197B3" w14:textId="77777777" w:rsidR="00302BFE" w:rsidRDefault="00302BFE" w:rsidP="00243B15">
            <w:pPr>
              <w:spacing w:after="0"/>
              <w:rPr>
                <w:sz w:val="18"/>
                <w:szCs w:val="18"/>
              </w:rPr>
            </w:pPr>
            <w:r>
              <w:rPr>
                <w:sz w:val="18"/>
                <w:szCs w:val="18"/>
              </w:rPr>
              <w:t>II</w:t>
            </w:r>
          </w:p>
        </w:tc>
        <w:tc>
          <w:tcPr>
            <w:tcW w:w="1019" w:type="dxa"/>
            <w:tcBorders>
              <w:top w:val="single" w:sz="4" w:space="0" w:color="auto"/>
              <w:left w:val="single" w:sz="4" w:space="0" w:color="auto"/>
              <w:bottom w:val="single" w:sz="4" w:space="0" w:color="auto"/>
              <w:right w:val="single" w:sz="4" w:space="0" w:color="auto"/>
            </w:tcBorders>
            <w:hideMark/>
          </w:tcPr>
          <w:p w14:paraId="4AB5A756" w14:textId="77777777" w:rsidR="00302BFE" w:rsidRDefault="00302BFE" w:rsidP="00243B15">
            <w:pPr>
              <w:spacing w:after="0"/>
              <w:rPr>
                <w:sz w:val="16"/>
                <w:szCs w:val="16"/>
              </w:rPr>
            </w:pPr>
            <w:r>
              <w:rPr>
                <w:sz w:val="16"/>
                <w:szCs w:val="16"/>
              </w:rPr>
              <w:t>No</w:t>
            </w:r>
          </w:p>
        </w:tc>
        <w:tc>
          <w:tcPr>
            <w:tcW w:w="1075" w:type="dxa"/>
            <w:tcBorders>
              <w:top w:val="single" w:sz="4" w:space="0" w:color="auto"/>
              <w:left w:val="single" w:sz="4" w:space="0" w:color="auto"/>
              <w:bottom w:val="single" w:sz="4" w:space="0" w:color="auto"/>
              <w:right w:val="single" w:sz="4" w:space="0" w:color="auto"/>
            </w:tcBorders>
            <w:hideMark/>
          </w:tcPr>
          <w:p w14:paraId="35E16B14" w14:textId="77777777" w:rsidR="00302BFE" w:rsidRDefault="00302BFE" w:rsidP="00243B15">
            <w:pPr>
              <w:spacing w:after="0"/>
              <w:rPr>
                <w:sz w:val="16"/>
                <w:szCs w:val="16"/>
              </w:rPr>
            </w:pPr>
            <w:r>
              <w:rPr>
                <w:sz w:val="16"/>
                <w:szCs w:val="16"/>
              </w:rPr>
              <w:t>2003 -2007 and 2010 -2020</w:t>
            </w:r>
          </w:p>
        </w:tc>
        <w:tc>
          <w:tcPr>
            <w:tcW w:w="963" w:type="dxa"/>
            <w:tcBorders>
              <w:top w:val="single" w:sz="4" w:space="0" w:color="auto"/>
              <w:left w:val="single" w:sz="4" w:space="0" w:color="auto"/>
              <w:bottom w:val="single" w:sz="4" w:space="0" w:color="auto"/>
              <w:right w:val="single" w:sz="4" w:space="0" w:color="auto"/>
            </w:tcBorders>
            <w:hideMark/>
          </w:tcPr>
          <w:p w14:paraId="23D5BA21" w14:textId="77777777" w:rsidR="00302BFE" w:rsidRDefault="00302BFE" w:rsidP="00243B15">
            <w:pPr>
              <w:spacing w:after="0"/>
              <w:rPr>
                <w:sz w:val="16"/>
                <w:szCs w:val="16"/>
              </w:rPr>
            </w:pPr>
            <w:r>
              <w:rPr>
                <w:sz w:val="16"/>
                <w:szCs w:val="16"/>
              </w:rPr>
              <w:t>Created 1976</w:t>
            </w:r>
          </w:p>
        </w:tc>
        <w:tc>
          <w:tcPr>
            <w:tcW w:w="1059"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95251FD" w14:textId="77777777" w:rsidR="00302BFE" w:rsidRDefault="00302BFE" w:rsidP="00243B15">
            <w:pPr>
              <w:spacing w:after="0"/>
              <w:rPr>
                <w:sz w:val="16"/>
                <w:szCs w:val="16"/>
              </w:rPr>
            </w:pPr>
            <w:r>
              <w:rPr>
                <w:sz w:val="16"/>
                <w:szCs w:val="16"/>
              </w:rPr>
              <w:t>MEGECC/ DGEF, OFINAP</w:t>
            </w:r>
          </w:p>
        </w:tc>
      </w:tr>
      <w:tr w:rsidR="00302BFE" w14:paraId="41F76406" w14:textId="77777777" w:rsidTr="00243B15">
        <w:trPr>
          <w:jc w:val="center"/>
        </w:trPr>
        <w:tc>
          <w:tcPr>
            <w:tcW w:w="1271" w:type="dxa"/>
            <w:tcBorders>
              <w:top w:val="single" w:sz="4" w:space="0" w:color="auto"/>
              <w:left w:val="single" w:sz="4" w:space="0" w:color="auto"/>
              <w:bottom w:val="single" w:sz="4" w:space="0" w:color="auto"/>
              <w:right w:val="single" w:sz="4" w:space="0" w:color="auto"/>
            </w:tcBorders>
            <w:hideMark/>
          </w:tcPr>
          <w:p w14:paraId="5C7C619A" w14:textId="77777777" w:rsidR="00302BFE" w:rsidRDefault="00302BFE" w:rsidP="00243B15">
            <w:pPr>
              <w:spacing w:after="0"/>
              <w:rPr>
                <w:sz w:val="18"/>
                <w:szCs w:val="18"/>
              </w:rPr>
            </w:pPr>
            <w:r>
              <w:rPr>
                <w:sz w:val="18"/>
                <w:szCs w:val="18"/>
              </w:rPr>
              <w:t>Nazinga</w:t>
            </w:r>
          </w:p>
        </w:tc>
        <w:tc>
          <w:tcPr>
            <w:tcW w:w="1028" w:type="dxa"/>
            <w:tcBorders>
              <w:top w:val="single" w:sz="4" w:space="0" w:color="auto"/>
              <w:left w:val="single" w:sz="4" w:space="0" w:color="auto"/>
              <w:bottom w:val="single" w:sz="4" w:space="0" w:color="auto"/>
              <w:right w:val="single" w:sz="4" w:space="0" w:color="auto"/>
            </w:tcBorders>
            <w:hideMark/>
          </w:tcPr>
          <w:p w14:paraId="2AB930B5" w14:textId="77777777" w:rsidR="00302BFE" w:rsidRDefault="00302BFE" w:rsidP="00243B15">
            <w:pPr>
              <w:spacing w:after="0"/>
              <w:rPr>
                <w:sz w:val="18"/>
                <w:szCs w:val="18"/>
              </w:rPr>
            </w:pPr>
            <w:r>
              <w:rPr>
                <w:sz w:val="18"/>
                <w:szCs w:val="18"/>
              </w:rPr>
              <w:t>91,300</w:t>
            </w:r>
          </w:p>
        </w:tc>
        <w:tc>
          <w:tcPr>
            <w:tcW w:w="1410" w:type="dxa"/>
            <w:tcBorders>
              <w:top w:val="single" w:sz="4" w:space="0" w:color="auto"/>
              <w:left w:val="single" w:sz="4" w:space="0" w:color="auto"/>
              <w:bottom w:val="single" w:sz="4" w:space="0" w:color="auto"/>
              <w:right w:val="single" w:sz="4" w:space="0" w:color="auto"/>
            </w:tcBorders>
            <w:hideMark/>
          </w:tcPr>
          <w:p w14:paraId="1D8E487A" w14:textId="77777777" w:rsidR="00302BFE" w:rsidRDefault="00302BFE" w:rsidP="00243B15">
            <w:pPr>
              <w:spacing w:after="0"/>
              <w:rPr>
                <w:sz w:val="18"/>
                <w:szCs w:val="18"/>
                <w:lang w:val="fr-CA"/>
              </w:rPr>
            </w:pPr>
            <w:r>
              <w:rPr>
                <w:sz w:val="18"/>
                <w:szCs w:val="18"/>
                <w:lang w:val="fr-CA"/>
              </w:rPr>
              <w:t>Game Ranch/ Classified Forest</w:t>
            </w:r>
          </w:p>
        </w:tc>
        <w:tc>
          <w:tcPr>
            <w:tcW w:w="805" w:type="dxa"/>
            <w:tcBorders>
              <w:top w:val="single" w:sz="4" w:space="0" w:color="auto"/>
              <w:left w:val="single" w:sz="4" w:space="0" w:color="auto"/>
              <w:bottom w:val="single" w:sz="4" w:space="0" w:color="auto"/>
              <w:right w:val="single" w:sz="4" w:space="0" w:color="auto"/>
            </w:tcBorders>
            <w:hideMark/>
          </w:tcPr>
          <w:p w14:paraId="767F370D" w14:textId="77777777" w:rsidR="00302BFE" w:rsidRDefault="00302BFE" w:rsidP="00243B15">
            <w:pPr>
              <w:spacing w:after="0"/>
              <w:rPr>
                <w:sz w:val="18"/>
                <w:szCs w:val="18"/>
              </w:rPr>
            </w:pPr>
            <w:r>
              <w:rPr>
                <w:sz w:val="18"/>
                <w:szCs w:val="18"/>
              </w:rPr>
              <w:t>IV</w:t>
            </w:r>
          </w:p>
        </w:tc>
        <w:tc>
          <w:tcPr>
            <w:tcW w:w="1019" w:type="dxa"/>
            <w:tcBorders>
              <w:top w:val="single" w:sz="4" w:space="0" w:color="auto"/>
              <w:left w:val="single" w:sz="4" w:space="0" w:color="auto"/>
              <w:bottom w:val="single" w:sz="4" w:space="0" w:color="auto"/>
              <w:right w:val="single" w:sz="4" w:space="0" w:color="auto"/>
            </w:tcBorders>
            <w:hideMark/>
          </w:tcPr>
          <w:p w14:paraId="096FD98C" w14:textId="77777777" w:rsidR="00302BFE" w:rsidRDefault="00302BFE" w:rsidP="00243B15">
            <w:pPr>
              <w:spacing w:after="0"/>
              <w:rPr>
                <w:sz w:val="16"/>
                <w:szCs w:val="16"/>
              </w:rPr>
            </w:pPr>
            <w:r>
              <w:rPr>
                <w:sz w:val="16"/>
                <w:szCs w:val="16"/>
              </w:rPr>
              <w:t xml:space="preserve">OFINAP and private concession </w:t>
            </w:r>
          </w:p>
        </w:tc>
        <w:tc>
          <w:tcPr>
            <w:tcW w:w="1075" w:type="dxa"/>
            <w:tcBorders>
              <w:top w:val="single" w:sz="4" w:space="0" w:color="auto"/>
              <w:left w:val="single" w:sz="4" w:space="0" w:color="auto"/>
              <w:bottom w:val="single" w:sz="4" w:space="0" w:color="auto"/>
              <w:right w:val="single" w:sz="4" w:space="0" w:color="auto"/>
            </w:tcBorders>
            <w:hideMark/>
          </w:tcPr>
          <w:p w14:paraId="22F99206" w14:textId="77777777" w:rsidR="00302BFE" w:rsidRDefault="00302BFE" w:rsidP="00243B15">
            <w:pPr>
              <w:spacing w:after="0"/>
              <w:rPr>
                <w:sz w:val="16"/>
                <w:szCs w:val="16"/>
              </w:rPr>
            </w:pPr>
            <w:r>
              <w:rPr>
                <w:sz w:val="16"/>
                <w:szCs w:val="16"/>
              </w:rPr>
              <w:t>2014-2018</w:t>
            </w:r>
          </w:p>
        </w:tc>
        <w:tc>
          <w:tcPr>
            <w:tcW w:w="963" w:type="dxa"/>
            <w:tcBorders>
              <w:top w:val="single" w:sz="4" w:space="0" w:color="auto"/>
              <w:left w:val="single" w:sz="4" w:space="0" w:color="auto"/>
              <w:bottom w:val="single" w:sz="4" w:space="0" w:color="auto"/>
              <w:right w:val="single" w:sz="4" w:space="0" w:color="auto"/>
            </w:tcBorders>
            <w:hideMark/>
          </w:tcPr>
          <w:p w14:paraId="5B63B291" w14:textId="77777777" w:rsidR="00302BFE" w:rsidRDefault="00302BFE" w:rsidP="00243B15">
            <w:pPr>
              <w:spacing w:after="0"/>
              <w:rPr>
                <w:sz w:val="16"/>
                <w:szCs w:val="16"/>
              </w:rPr>
            </w:pPr>
            <w:r>
              <w:rPr>
                <w:sz w:val="16"/>
                <w:szCs w:val="16"/>
              </w:rPr>
              <w:t>Created 2000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C63BF8" w14:textId="77777777" w:rsidR="00302BFE" w:rsidRDefault="00302BFE" w:rsidP="00243B15">
            <w:pPr>
              <w:spacing w:after="0"/>
              <w:jc w:val="left"/>
              <w:rPr>
                <w:sz w:val="16"/>
                <w:szCs w:val="16"/>
              </w:rPr>
            </w:pPr>
          </w:p>
        </w:tc>
      </w:tr>
      <w:tr w:rsidR="00302BFE" w14:paraId="4AD868C5" w14:textId="77777777" w:rsidTr="00243B15">
        <w:trPr>
          <w:jc w:val="center"/>
        </w:trPr>
        <w:tc>
          <w:tcPr>
            <w:tcW w:w="1271" w:type="dxa"/>
            <w:tcBorders>
              <w:top w:val="single" w:sz="4" w:space="0" w:color="auto"/>
              <w:left w:val="single" w:sz="4" w:space="0" w:color="auto"/>
              <w:bottom w:val="single" w:sz="4" w:space="0" w:color="auto"/>
              <w:right w:val="single" w:sz="4" w:space="0" w:color="auto"/>
            </w:tcBorders>
            <w:hideMark/>
          </w:tcPr>
          <w:p w14:paraId="4AC5063B" w14:textId="77777777" w:rsidR="00302BFE" w:rsidRDefault="00302BFE" w:rsidP="00243B15">
            <w:pPr>
              <w:spacing w:after="0"/>
              <w:rPr>
                <w:sz w:val="18"/>
                <w:szCs w:val="18"/>
              </w:rPr>
            </w:pPr>
            <w:r>
              <w:rPr>
                <w:sz w:val="18"/>
                <w:szCs w:val="18"/>
              </w:rPr>
              <w:t>Sissili</w:t>
            </w:r>
          </w:p>
        </w:tc>
        <w:tc>
          <w:tcPr>
            <w:tcW w:w="1028" w:type="dxa"/>
            <w:tcBorders>
              <w:top w:val="single" w:sz="4" w:space="0" w:color="auto"/>
              <w:left w:val="single" w:sz="4" w:space="0" w:color="auto"/>
              <w:bottom w:val="single" w:sz="4" w:space="0" w:color="auto"/>
              <w:right w:val="single" w:sz="4" w:space="0" w:color="auto"/>
            </w:tcBorders>
            <w:hideMark/>
          </w:tcPr>
          <w:p w14:paraId="038CED4A" w14:textId="77777777" w:rsidR="00302BFE" w:rsidRDefault="00302BFE" w:rsidP="00243B15">
            <w:pPr>
              <w:spacing w:after="0"/>
              <w:rPr>
                <w:sz w:val="18"/>
                <w:szCs w:val="18"/>
              </w:rPr>
            </w:pPr>
            <w:r>
              <w:rPr>
                <w:sz w:val="18"/>
                <w:szCs w:val="18"/>
              </w:rPr>
              <w:t>32,700</w:t>
            </w:r>
          </w:p>
        </w:tc>
        <w:tc>
          <w:tcPr>
            <w:tcW w:w="1410" w:type="dxa"/>
            <w:tcBorders>
              <w:top w:val="single" w:sz="4" w:space="0" w:color="auto"/>
              <w:left w:val="single" w:sz="4" w:space="0" w:color="auto"/>
              <w:bottom w:val="single" w:sz="4" w:space="0" w:color="auto"/>
              <w:right w:val="single" w:sz="4" w:space="0" w:color="auto"/>
            </w:tcBorders>
            <w:hideMark/>
          </w:tcPr>
          <w:p w14:paraId="5077D9EB" w14:textId="77777777" w:rsidR="00302BFE" w:rsidRDefault="00302BFE" w:rsidP="00243B15">
            <w:pPr>
              <w:spacing w:after="0"/>
              <w:rPr>
                <w:sz w:val="18"/>
                <w:szCs w:val="18"/>
                <w:lang w:val="fr-CA"/>
              </w:rPr>
            </w:pPr>
            <w:r>
              <w:rPr>
                <w:sz w:val="18"/>
                <w:szCs w:val="18"/>
                <w:lang w:val="fr-CA"/>
              </w:rPr>
              <w:t>Hunting zone/ Classified Forest</w:t>
            </w:r>
          </w:p>
        </w:tc>
        <w:tc>
          <w:tcPr>
            <w:tcW w:w="805" w:type="dxa"/>
            <w:tcBorders>
              <w:top w:val="single" w:sz="4" w:space="0" w:color="auto"/>
              <w:left w:val="single" w:sz="4" w:space="0" w:color="auto"/>
              <w:bottom w:val="single" w:sz="4" w:space="0" w:color="auto"/>
              <w:right w:val="single" w:sz="4" w:space="0" w:color="auto"/>
            </w:tcBorders>
            <w:hideMark/>
          </w:tcPr>
          <w:p w14:paraId="20EFE264" w14:textId="77777777" w:rsidR="00302BFE" w:rsidRDefault="00302BFE" w:rsidP="00243B15">
            <w:pPr>
              <w:spacing w:after="0"/>
              <w:rPr>
                <w:sz w:val="18"/>
                <w:szCs w:val="18"/>
              </w:rPr>
            </w:pPr>
            <w:r>
              <w:rPr>
                <w:sz w:val="18"/>
                <w:szCs w:val="18"/>
              </w:rPr>
              <w:t>IV</w:t>
            </w:r>
          </w:p>
        </w:tc>
        <w:tc>
          <w:tcPr>
            <w:tcW w:w="1019" w:type="dxa"/>
            <w:tcBorders>
              <w:top w:val="single" w:sz="4" w:space="0" w:color="auto"/>
              <w:left w:val="single" w:sz="4" w:space="0" w:color="auto"/>
              <w:bottom w:val="single" w:sz="4" w:space="0" w:color="auto"/>
              <w:right w:val="single" w:sz="4" w:space="0" w:color="auto"/>
            </w:tcBorders>
            <w:hideMark/>
          </w:tcPr>
          <w:p w14:paraId="2DCCDDE3" w14:textId="77777777" w:rsidR="00302BFE" w:rsidRDefault="00302BFE" w:rsidP="00243B15">
            <w:pPr>
              <w:spacing w:after="0"/>
              <w:rPr>
                <w:sz w:val="16"/>
                <w:szCs w:val="16"/>
              </w:rPr>
            </w:pPr>
            <w:r>
              <w:rPr>
                <w:sz w:val="16"/>
                <w:szCs w:val="16"/>
              </w:rPr>
              <w:t>Private concession</w:t>
            </w:r>
          </w:p>
        </w:tc>
        <w:tc>
          <w:tcPr>
            <w:tcW w:w="1075" w:type="dxa"/>
            <w:tcBorders>
              <w:top w:val="single" w:sz="4" w:space="0" w:color="auto"/>
              <w:left w:val="single" w:sz="4" w:space="0" w:color="auto"/>
              <w:bottom w:val="single" w:sz="4" w:space="0" w:color="auto"/>
              <w:right w:val="single" w:sz="4" w:space="0" w:color="auto"/>
            </w:tcBorders>
            <w:hideMark/>
          </w:tcPr>
          <w:p w14:paraId="276912DA" w14:textId="77777777" w:rsidR="00302BFE" w:rsidRDefault="00302BFE" w:rsidP="00243B15">
            <w:pPr>
              <w:spacing w:after="0"/>
              <w:rPr>
                <w:sz w:val="18"/>
                <w:szCs w:val="18"/>
              </w:rPr>
            </w:pPr>
            <w:r>
              <w:rPr>
                <w:sz w:val="18"/>
                <w:szCs w:val="18"/>
              </w:rPr>
              <w:t>-</w:t>
            </w:r>
          </w:p>
        </w:tc>
        <w:tc>
          <w:tcPr>
            <w:tcW w:w="963" w:type="dxa"/>
            <w:tcBorders>
              <w:top w:val="single" w:sz="4" w:space="0" w:color="auto"/>
              <w:left w:val="single" w:sz="4" w:space="0" w:color="auto"/>
              <w:bottom w:val="single" w:sz="4" w:space="0" w:color="auto"/>
              <w:right w:val="single" w:sz="4" w:space="0" w:color="auto"/>
            </w:tcBorders>
            <w:hideMark/>
          </w:tcPr>
          <w:p w14:paraId="0504F051" w14:textId="77777777" w:rsidR="00302BFE" w:rsidRDefault="00302BFE" w:rsidP="00243B15">
            <w:pPr>
              <w:spacing w:after="0"/>
              <w:rPr>
                <w:sz w:val="16"/>
                <w:szCs w:val="16"/>
              </w:rPr>
            </w:pPr>
            <w:r>
              <w:rPr>
                <w:sz w:val="16"/>
                <w:szCs w:val="16"/>
              </w:rPr>
              <w:t>Created 1954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8412F7" w14:textId="77777777" w:rsidR="00302BFE" w:rsidRDefault="00302BFE" w:rsidP="00243B15">
            <w:pPr>
              <w:spacing w:after="0"/>
              <w:jc w:val="left"/>
              <w:rPr>
                <w:sz w:val="16"/>
                <w:szCs w:val="16"/>
              </w:rPr>
            </w:pPr>
          </w:p>
        </w:tc>
      </w:tr>
      <w:tr w:rsidR="00302BFE" w14:paraId="6F6BF281" w14:textId="77777777" w:rsidTr="00243B15">
        <w:trPr>
          <w:jc w:val="center"/>
        </w:trPr>
        <w:tc>
          <w:tcPr>
            <w:tcW w:w="1271" w:type="dxa"/>
            <w:tcBorders>
              <w:top w:val="single" w:sz="4" w:space="0" w:color="auto"/>
              <w:left w:val="single" w:sz="4" w:space="0" w:color="auto"/>
              <w:bottom w:val="single" w:sz="4" w:space="0" w:color="auto"/>
              <w:right w:val="single" w:sz="4" w:space="0" w:color="auto"/>
            </w:tcBorders>
            <w:hideMark/>
          </w:tcPr>
          <w:p w14:paraId="6B381BA4" w14:textId="77777777" w:rsidR="00302BFE" w:rsidRDefault="00302BFE" w:rsidP="00243B15">
            <w:pPr>
              <w:spacing w:after="0"/>
              <w:rPr>
                <w:sz w:val="18"/>
                <w:szCs w:val="18"/>
              </w:rPr>
            </w:pPr>
            <w:r>
              <w:rPr>
                <w:sz w:val="18"/>
                <w:szCs w:val="18"/>
              </w:rPr>
              <w:t>Corridor #1</w:t>
            </w:r>
          </w:p>
        </w:tc>
        <w:tc>
          <w:tcPr>
            <w:tcW w:w="1028" w:type="dxa"/>
            <w:tcBorders>
              <w:top w:val="single" w:sz="4" w:space="0" w:color="auto"/>
              <w:left w:val="single" w:sz="4" w:space="0" w:color="auto"/>
              <w:bottom w:val="single" w:sz="4" w:space="0" w:color="auto"/>
              <w:right w:val="single" w:sz="4" w:space="0" w:color="auto"/>
            </w:tcBorders>
            <w:hideMark/>
          </w:tcPr>
          <w:p w14:paraId="628946C1" w14:textId="77777777" w:rsidR="00302BFE" w:rsidRDefault="00302BFE" w:rsidP="00243B15">
            <w:pPr>
              <w:spacing w:after="0"/>
              <w:rPr>
                <w:sz w:val="18"/>
                <w:szCs w:val="18"/>
              </w:rPr>
            </w:pPr>
            <w:r>
              <w:rPr>
                <w:sz w:val="18"/>
                <w:szCs w:val="18"/>
              </w:rPr>
              <w:t>4,500</w:t>
            </w:r>
          </w:p>
        </w:tc>
        <w:tc>
          <w:tcPr>
            <w:tcW w:w="1410" w:type="dxa"/>
            <w:tcBorders>
              <w:top w:val="single" w:sz="4" w:space="0" w:color="auto"/>
              <w:left w:val="single" w:sz="4" w:space="0" w:color="auto"/>
              <w:bottom w:val="single" w:sz="4" w:space="0" w:color="auto"/>
              <w:right w:val="single" w:sz="4" w:space="0" w:color="auto"/>
            </w:tcBorders>
            <w:hideMark/>
          </w:tcPr>
          <w:p w14:paraId="476C54C5" w14:textId="77777777" w:rsidR="00302BFE" w:rsidRDefault="00302BFE" w:rsidP="00243B15">
            <w:pPr>
              <w:spacing w:after="0"/>
              <w:rPr>
                <w:sz w:val="18"/>
                <w:szCs w:val="18"/>
              </w:rPr>
            </w:pPr>
            <w:r>
              <w:rPr>
                <w:sz w:val="18"/>
                <w:szCs w:val="18"/>
              </w:rPr>
              <w:t>Corridor</w:t>
            </w:r>
          </w:p>
        </w:tc>
        <w:tc>
          <w:tcPr>
            <w:tcW w:w="805" w:type="dxa"/>
            <w:tcBorders>
              <w:top w:val="single" w:sz="4" w:space="0" w:color="auto"/>
              <w:left w:val="single" w:sz="4" w:space="0" w:color="auto"/>
              <w:bottom w:val="single" w:sz="4" w:space="0" w:color="auto"/>
              <w:right w:val="single" w:sz="4" w:space="0" w:color="auto"/>
            </w:tcBorders>
            <w:hideMark/>
          </w:tcPr>
          <w:p w14:paraId="21FCF0AB" w14:textId="77777777" w:rsidR="00302BFE" w:rsidRDefault="00302BFE" w:rsidP="00243B15">
            <w:pPr>
              <w:spacing w:after="0"/>
              <w:rPr>
                <w:sz w:val="18"/>
                <w:szCs w:val="18"/>
              </w:rPr>
            </w:pPr>
            <w:r>
              <w:rPr>
                <w:sz w:val="18"/>
                <w:szCs w:val="18"/>
              </w:rPr>
              <w:t>II</w:t>
            </w:r>
          </w:p>
        </w:tc>
        <w:tc>
          <w:tcPr>
            <w:tcW w:w="1019" w:type="dxa"/>
            <w:tcBorders>
              <w:top w:val="single" w:sz="4" w:space="0" w:color="auto"/>
              <w:left w:val="single" w:sz="4" w:space="0" w:color="auto"/>
              <w:bottom w:val="single" w:sz="4" w:space="0" w:color="auto"/>
              <w:right w:val="single" w:sz="4" w:space="0" w:color="auto"/>
            </w:tcBorders>
            <w:hideMark/>
          </w:tcPr>
          <w:p w14:paraId="7FA9A78F" w14:textId="77777777" w:rsidR="00302BFE" w:rsidRDefault="00302BFE" w:rsidP="00243B15">
            <w:pPr>
              <w:spacing w:after="0"/>
              <w:rPr>
                <w:sz w:val="16"/>
                <w:szCs w:val="16"/>
              </w:rPr>
            </w:pPr>
            <w:r>
              <w:rPr>
                <w:sz w:val="16"/>
                <w:szCs w:val="16"/>
              </w:rPr>
              <w:t>No</w:t>
            </w:r>
          </w:p>
        </w:tc>
        <w:tc>
          <w:tcPr>
            <w:tcW w:w="1075" w:type="dxa"/>
            <w:tcBorders>
              <w:top w:val="single" w:sz="4" w:space="0" w:color="auto"/>
              <w:left w:val="single" w:sz="4" w:space="0" w:color="auto"/>
              <w:bottom w:val="single" w:sz="4" w:space="0" w:color="auto"/>
              <w:right w:val="single" w:sz="4" w:space="0" w:color="auto"/>
            </w:tcBorders>
            <w:hideMark/>
          </w:tcPr>
          <w:p w14:paraId="2A8E182E" w14:textId="77777777" w:rsidR="00302BFE" w:rsidRDefault="00302BFE" w:rsidP="00243B15">
            <w:pPr>
              <w:spacing w:after="0"/>
              <w:rPr>
                <w:sz w:val="18"/>
                <w:szCs w:val="18"/>
              </w:rPr>
            </w:pPr>
            <w:r>
              <w:rPr>
                <w:sz w:val="18"/>
                <w:szCs w:val="18"/>
              </w:rPr>
              <w:t>-</w:t>
            </w:r>
          </w:p>
        </w:tc>
        <w:tc>
          <w:tcPr>
            <w:tcW w:w="963" w:type="dxa"/>
            <w:tcBorders>
              <w:top w:val="single" w:sz="4" w:space="0" w:color="auto"/>
              <w:left w:val="single" w:sz="4" w:space="0" w:color="auto"/>
              <w:bottom w:val="single" w:sz="4" w:space="0" w:color="auto"/>
              <w:right w:val="single" w:sz="4" w:space="0" w:color="auto"/>
            </w:tcBorders>
            <w:hideMark/>
          </w:tcPr>
          <w:p w14:paraId="284260AC" w14:textId="77777777" w:rsidR="00302BFE" w:rsidRDefault="00302BFE" w:rsidP="00243B15">
            <w:pPr>
              <w:spacing w:after="0"/>
              <w:rPr>
                <w:sz w:val="16"/>
                <w:szCs w:val="16"/>
              </w:rPr>
            </w:pPr>
            <w:r>
              <w:rPr>
                <w:sz w:val="16"/>
                <w:szCs w:val="16"/>
              </w:rPr>
              <w:t>Not gazetted</w:t>
            </w:r>
            <w:r>
              <w:rPr>
                <w:rStyle w:val="Appelnotedebasdep"/>
                <w:sz w:val="16"/>
                <w:szCs w:val="16"/>
              </w:rPr>
              <w:t xml:space="preserve"> </w:t>
            </w:r>
            <w:r>
              <w:rPr>
                <w:rStyle w:val="Appelnotedebasdep"/>
                <w:sz w:val="16"/>
                <w:szCs w:val="16"/>
              </w:rPr>
              <w:footnoteReference w:id="101"/>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8376A9" w14:textId="77777777" w:rsidR="00302BFE" w:rsidRDefault="00302BFE" w:rsidP="00243B15">
            <w:pPr>
              <w:spacing w:after="0"/>
              <w:jc w:val="left"/>
              <w:rPr>
                <w:sz w:val="16"/>
                <w:szCs w:val="16"/>
              </w:rPr>
            </w:pPr>
          </w:p>
        </w:tc>
      </w:tr>
      <w:tr w:rsidR="00302BFE" w14:paraId="589661E6" w14:textId="77777777" w:rsidTr="00243B15">
        <w:trPr>
          <w:jc w:val="center"/>
        </w:trPr>
        <w:tc>
          <w:tcPr>
            <w:tcW w:w="1271" w:type="dxa"/>
            <w:tcBorders>
              <w:top w:val="single" w:sz="4" w:space="0" w:color="auto"/>
              <w:left w:val="single" w:sz="4" w:space="0" w:color="auto"/>
              <w:bottom w:val="single" w:sz="4" w:space="0" w:color="auto"/>
              <w:right w:val="single" w:sz="4" w:space="0" w:color="auto"/>
            </w:tcBorders>
            <w:hideMark/>
          </w:tcPr>
          <w:p w14:paraId="1B433926" w14:textId="77777777" w:rsidR="00302BFE" w:rsidRDefault="00302BFE" w:rsidP="00243B15">
            <w:pPr>
              <w:spacing w:after="0"/>
              <w:rPr>
                <w:sz w:val="18"/>
                <w:szCs w:val="18"/>
              </w:rPr>
            </w:pPr>
            <w:r>
              <w:rPr>
                <w:sz w:val="18"/>
                <w:szCs w:val="18"/>
              </w:rPr>
              <w:t>Corridor #2</w:t>
            </w:r>
          </w:p>
        </w:tc>
        <w:tc>
          <w:tcPr>
            <w:tcW w:w="1028" w:type="dxa"/>
            <w:tcBorders>
              <w:top w:val="single" w:sz="4" w:space="0" w:color="auto"/>
              <w:left w:val="single" w:sz="4" w:space="0" w:color="auto"/>
              <w:bottom w:val="single" w:sz="4" w:space="0" w:color="auto"/>
              <w:right w:val="single" w:sz="4" w:space="0" w:color="auto"/>
            </w:tcBorders>
            <w:hideMark/>
          </w:tcPr>
          <w:p w14:paraId="7CF42B10" w14:textId="77777777" w:rsidR="00302BFE" w:rsidRDefault="00302BFE" w:rsidP="00243B15">
            <w:pPr>
              <w:spacing w:after="0"/>
              <w:rPr>
                <w:sz w:val="18"/>
                <w:szCs w:val="18"/>
              </w:rPr>
            </w:pPr>
            <w:r>
              <w:rPr>
                <w:sz w:val="18"/>
                <w:szCs w:val="18"/>
              </w:rPr>
              <w:t>33,000</w:t>
            </w:r>
          </w:p>
        </w:tc>
        <w:tc>
          <w:tcPr>
            <w:tcW w:w="1410" w:type="dxa"/>
            <w:tcBorders>
              <w:top w:val="single" w:sz="4" w:space="0" w:color="auto"/>
              <w:left w:val="single" w:sz="4" w:space="0" w:color="auto"/>
              <w:bottom w:val="single" w:sz="4" w:space="0" w:color="auto"/>
              <w:right w:val="single" w:sz="4" w:space="0" w:color="auto"/>
            </w:tcBorders>
            <w:hideMark/>
          </w:tcPr>
          <w:p w14:paraId="3E24F0DC" w14:textId="77777777" w:rsidR="00302BFE" w:rsidRDefault="00302BFE" w:rsidP="00243B15">
            <w:pPr>
              <w:spacing w:after="0"/>
              <w:rPr>
                <w:sz w:val="18"/>
                <w:szCs w:val="18"/>
              </w:rPr>
            </w:pPr>
            <w:r>
              <w:rPr>
                <w:sz w:val="18"/>
                <w:szCs w:val="18"/>
              </w:rPr>
              <w:t>Corridor</w:t>
            </w:r>
          </w:p>
        </w:tc>
        <w:tc>
          <w:tcPr>
            <w:tcW w:w="805" w:type="dxa"/>
            <w:tcBorders>
              <w:top w:val="single" w:sz="4" w:space="0" w:color="auto"/>
              <w:left w:val="single" w:sz="4" w:space="0" w:color="auto"/>
              <w:bottom w:val="single" w:sz="4" w:space="0" w:color="auto"/>
              <w:right w:val="single" w:sz="4" w:space="0" w:color="auto"/>
            </w:tcBorders>
            <w:hideMark/>
          </w:tcPr>
          <w:p w14:paraId="2A38FF11" w14:textId="77777777" w:rsidR="00302BFE" w:rsidRDefault="00302BFE" w:rsidP="00243B15">
            <w:pPr>
              <w:spacing w:after="0"/>
              <w:rPr>
                <w:sz w:val="18"/>
                <w:szCs w:val="18"/>
              </w:rPr>
            </w:pPr>
            <w:r>
              <w:rPr>
                <w:sz w:val="18"/>
                <w:szCs w:val="18"/>
              </w:rPr>
              <w:t>II</w:t>
            </w:r>
          </w:p>
        </w:tc>
        <w:tc>
          <w:tcPr>
            <w:tcW w:w="1019" w:type="dxa"/>
            <w:tcBorders>
              <w:top w:val="single" w:sz="4" w:space="0" w:color="auto"/>
              <w:left w:val="single" w:sz="4" w:space="0" w:color="auto"/>
              <w:bottom w:val="single" w:sz="4" w:space="0" w:color="auto"/>
              <w:right w:val="single" w:sz="4" w:space="0" w:color="auto"/>
            </w:tcBorders>
            <w:hideMark/>
          </w:tcPr>
          <w:p w14:paraId="679DEC2A" w14:textId="77777777" w:rsidR="00302BFE" w:rsidRDefault="00302BFE" w:rsidP="00243B15">
            <w:pPr>
              <w:spacing w:after="0"/>
              <w:rPr>
                <w:sz w:val="16"/>
                <w:szCs w:val="16"/>
              </w:rPr>
            </w:pPr>
            <w:r>
              <w:rPr>
                <w:sz w:val="16"/>
                <w:szCs w:val="16"/>
              </w:rPr>
              <w:t>No</w:t>
            </w:r>
          </w:p>
        </w:tc>
        <w:tc>
          <w:tcPr>
            <w:tcW w:w="1075" w:type="dxa"/>
            <w:tcBorders>
              <w:top w:val="single" w:sz="4" w:space="0" w:color="auto"/>
              <w:left w:val="single" w:sz="4" w:space="0" w:color="auto"/>
              <w:bottom w:val="single" w:sz="4" w:space="0" w:color="auto"/>
              <w:right w:val="single" w:sz="4" w:space="0" w:color="auto"/>
            </w:tcBorders>
            <w:hideMark/>
          </w:tcPr>
          <w:p w14:paraId="307A01EB" w14:textId="77777777" w:rsidR="00302BFE" w:rsidRDefault="00302BFE" w:rsidP="00243B15">
            <w:pPr>
              <w:spacing w:after="0"/>
              <w:rPr>
                <w:sz w:val="18"/>
                <w:szCs w:val="18"/>
              </w:rPr>
            </w:pPr>
            <w:r>
              <w:rPr>
                <w:sz w:val="18"/>
                <w:szCs w:val="18"/>
              </w:rPr>
              <w:t>-</w:t>
            </w:r>
          </w:p>
        </w:tc>
        <w:tc>
          <w:tcPr>
            <w:tcW w:w="963" w:type="dxa"/>
            <w:tcBorders>
              <w:top w:val="single" w:sz="4" w:space="0" w:color="auto"/>
              <w:left w:val="single" w:sz="4" w:space="0" w:color="auto"/>
              <w:bottom w:val="single" w:sz="4" w:space="0" w:color="auto"/>
              <w:right w:val="single" w:sz="4" w:space="0" w:color="auto"/>
            </w:tcBorders>
            <w:hideMark/>
          </w:tcPr>
          <w:p w14:paraId="53A8551C" w14:textId="77777777" w:rsidR="00302BFE" w:rsidRDefault="00302BFE" w:rsidP="00243B15">
            <w:pPr>
              <w:spacing w:after="0"/>
              <w:rPr>
                <w:sz w:val="16"/>
                <w:szCs w:val="16"/>
              </w:rPr>
            </w:pPr>
            <w:r>
              <w:rPr>
                <w:sz w:val="16"/>
                <w:szCs w:val="16"/>
              </w:rPr>
              <w:t>Not gazetted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D5EA9C" w14:textId="77777777" w:rsidR="00302BFE" w:rsidRDefault="00302BFE" w:rsidP="00243B15">
            <w:pPr>
              <w:spacing w:after="0"/>
              <w:jc w:val="left"/>
              <w:rPr>
                <w:sz w:val="16"/>
                <w:szCs w:val="16"/>
              </w:rPr>
            </w:pPr>
          </w:p>
        </w:tc>
      </w:tr>
      <w:tr w:rsidR="00302BFE" w:rsidRPr="001A2403" w14:paraId="3EA8EB1F" w14:textId="77777777" w:rsidTr="00243B15">
        <w:trPr>
          <w:jc w:val="center"/>
        </w:trPr>
        <w:tc>
          <w:tcPr>
            <w:tcW w:w="7571" w:type="dxa"/>
            <w:gridSpan w:val="7"/>
            <w:tcBorders>
              <w:top w:val="single" w:sz="4" w:space="0" w:color="auto"/>
              <w:left w:val="single" w:sz="4" w:space="0" w:color="auto"/>
              <w:bottom w:val="single" w:sz="4" w:space="0" w:color="auto"/>
              <w:right w:val="single" w:sz="4" w:space="0" w:color="auto"/>
            </w:tcBorders>
            <w:hideMark/>
          </w:tcPr>
          <w:p w14:paraId="1C369EE1" w14:textId="77777777" w:rsidR="00302BFE" w:rsidRDefault="00302BFE" w:rsidP="00243B15">
            <w:pPr>
              <w:spacing w:after="0"/>
              <w:rPr>
                <w:b/>
                <w:sz w:val="18"/>
                <w:szCs w:val="18"/>
                <w:lang w:val="fr-CA"/>
              </w:rPr>
            </w:pPr>
            <w:r>
              <w:rPr>
                <w:b/>
                <w:sz w:val="18"/>
                <w:szCs w:val="18"/>
                <w:lang w:val="fr-CA"/>
              </w:rPr>
              <w:t>Village Hunting Areas (ZOVIC)</w:t>
            </w:r>
          </w:p>
        </w:tc>
        <w:tc>
          <w:tcPr>
            <w:tcW w:w="1059" w:type="dxa"/>
            <w:tcBorders>
              <w:top w:val="single" w:sz="4" w:space="0" w:color="auto"/>
              <w:left w:val="single" w:sz="4" w:space="0" w:color="auto"/>
              <w:bottom w:val="single" w:sz="4" w:space="0" w:color="auto"/>
              <w:right w:val="single" w:sz="4" w:space="0" w:color="auto"/>
            </w:tcBorders>
          </w:tcPr>
          <w:p w14:paraId="7679EDE9" w14:textId="77777777" w:rsidR="00302BFE" w:rsidRDefault="00302BFE" w:rsidP="00243B15">
            <w:pPr>
              <w:spacing w:after="0"/>
              <w:rPr>
                <w:sz w:val="18"/>
                <w:szCs w:val="18"/>
                <w:lang w:val="fr-CA"/>
              </w:rPr>
            </w:pPr>
          </w:p>
        </w:tc>
      </w:tr>
      <w:tr w:rsidR="00302BFE" w:rsidRPr="00794A76" w14:paraId="461DA7D1" w14:textId="77777777" w:rsidTr="00243B15">
        <w:trPr>
          <w:jc w:val="center"/>
        </w:trPr>
        <w:tc>
          <w:tcPr>
            <w:tcW w:w="1271" w:type="dxa"/>
            <w:tcBorders>
              <w:top w:val="single" w:sz="4" w:space="0" w:color="auto"/>
              <w:left w:val="single" w:sz="4" w:space="0" w:color="auto"/>
              <w:bottom w:val="single" w:sz="4" w:space="0" w:color="auto"/>
              <w:right w:val="single" w:sz="4" w:space="0" w:color="auto"/>
            </w:tcBorders>
            <w:hideMark/>
          </w:tcPr>
          <w:p w14:paraId="7150D841" w14:textId="77777777" w:rsidR="00302BFE" w:rsidRDefault="00302BFE" w:rsidP="00243B15">
            <w:pPr>
              <w:spacing w:after="0"/>
              <w:rPr>
                <w:sz w:val="18"/>
                <w:szCs w:val="18"/>
              </w:rPr>
            </w:pPr>
            <w:r>
              <w:rPr>
                <w:sz w:val="18"/>
                <w:szCs w:val="18"/>
              </w:rPr>
              <w:t>Boala</w:t>
            </w:r>
          </w:p>
        </w:tc>
        <w:tc>
          <w:tcPr>
            <w:tcW w:w="1028" w:type="dxa"/>
            <w:tcBorders>
              <w:top w:val="single" w:sz="4" w:space="0" w:color="auto"/>
              <w:left w:val="single" w:sz="4" w:space="0" w:color="auto"/>
              <w:bottom w:val="single" w:sz="4" w:space="0" w:color="auto"/>
              <w:right w:val="single" w:sz="4" w:space="0" w:color="auto"/>
            </w:tcBorders>
            <w:hideMark/>
          </w:tcPr>
          <w:p w14:paraId="45852734" w14:textId="77777777" w:rsidR="00302BFE" w:rsidRDefault="00302BFE" w:rsidP="00243B15">
            <w:pPr>
              <w:spacing w:after="0"/>
              <w:rPr>
                <w:sz w:val="18"/>
                <w:szCs w:val="18"/>
              </w:rPr>
            </w:pPr>
            <w:r>
              <w:rPr>
                <w:sz w:val="18"/>
                <w:szCs w:val="18"/>
              </w:rPr>
              <w:t>1,007</w:t>
            </w:r>
          </w:p>
        </w:tc>
        <w:tc>
          <w:tcPr>
            <w:tcW w:w="1410" w:type="dxa"/>
            <w:tcBorders>
              <w:top w:val="single" w:sz="4" w:space="0" w:color="auto"/>
              <w:left w:val="single" w:sz="4" w:space="0" w:color="auto"/>
              <w:bottom w:val="single" w:sz="4" w:space="0" w:color="auto"/>
              <w:right w:val="single" w:sz="4" w:space="0" w:color="auto"/>
            </w:tcBorders>
            <w:hideMark/>
          </w:tcPr>
          <w:p w14:paraId="203DDDD2" w14:textId="77777777" w:rsidR="00302BFE" w:rsidRDefault="00302BFE" w:rsidP="00243B15">
            <w:pPr>
              <w:spacing w:after="0"/>
              <w:rPr>
                <w:sz w:val="18"/>
                <w:szCs w:val="18"/>
              </w:rPr>
            </w:pPr>
            <w:r>
              <w:rPr>
                <w:sz w:val="18"/>
                <w:szCs w:val="18"/>
              </w:rPr>
              <w:t>ZOVIC</w:t>
            </w:r>
          </w:p>
        </w:tc>
        <w:tc>
          <w:tcPr>
            <w:tcW w:w="805" w:type="dxa"/>
            <w:tcBorders>
              <w:top w:val="single" w:sz="4" w:space="0" w:color="auto"/>
              <w:left w:val="single" w:sz="4" w:space="0" w:color="auto"/>
              <w:bottom w:val="single" w:sz="4" w:space="0" w:color="auto"/>
              <w:right w:val="single" w:sz="4" w:space="0" w:color="auto"/>
            </w:tcBorders>
            <w:hideMark/>
          </w:tcPr>
          <w:p w14:paraId="0073724C" w14:textId="77777777" w:rsidR="00302BFE" w:rsidRDefault="00302BFE" w:rsidP="00243B15">
            <w:pPr>
              <w:spacing w:after="0"/>
              <w:rPr>
                <w:sz w:val="18"/>
                <w:szCs w:val="18"/>
              </w:rPr>
            </w:pPr>
            <w:r>
              <w:rPr>
                <w:sz w:val="18"/>
                <w:szCs w:val="18"/>
              </w:rPr>
              <w:t>VI</w:t>
            </w:r>
          </w:p>
        </w:tc>
        <w:tc>
          <w:tcPr>
            <w:tcW w:w="1019" w:type="dxa"/>
            <w:tcBorders>
              <w:top w:val="single" w:sz="4" w:space="0" w:color="auto"/>
              <w:left w:val="single" w:sz="4" w:space="0" w:color="auto"/>
              <w:bottom w:val="single" w:sz="4" w:space="0" w:color="auto"/>
              <w:right w:val="single" w:sz="4" w:space="0" w:color="auto"/>
            </w:tcBorders>
            <w:hideMark/>
          </w:tcPr>
          <w:p w14:paraId="67F47924" w14:textId="77777777" w:rsidR="00302BFE" w:rsidRDefault="00302BFE" w:rsidP="00243B15">
            <w:pPr>
              <w:spacing w:after="0"/>
              <w:rPr>
                <w:sz w:val="16"/>
                <w:szCs w:val="16"/>
              </w:rPr>
            </w:pPr>
            <w:r>
              <w:rPr>
                <w:sz w:val="16"/>
                <w:szCs w:val="16"/>
              </w:rPr>
              <w:t>CVGF</w:t>
            </w:r>
            <w:r>
              <w:rPr>
                <w:rStyle w:val="Appelnotedebasdep"/>
                <w:sz w:val="16"/>
                <w:szCs w:val="16"/>
              </w:rPr>
              <w:footnoteReference w:id="102"/>
            </w:r>
          </w:p>
        </w:tc>
        <w:tc>
          <w:tcPr>
            <w:tcW w:w="1075" w:type="dxa"/>
            <w:vMerge w:val="restart"/>
            <w:tcBorders>
              <w:top w:val="single" w:sz="4" w:space="0" w:color="auto"/>
              <w:left w:val="single" w:sz="4" w:space="0" w:color="auto"/>
              <w:bottom w:val="single" w:sz="4" w:space="0" w:color="auto"/>
              <w:right w:val="single" w:sz="4" w:space="0" w:color="auto"/>
            </w:tcBorders>
            <w:vAlign w:val="center"/>
            <w:hideMark/>
          </w:tcPr>
          <w:p w14:paraId="28D84860" w14:textId="77777777" w:rsidR="00302BFE" w:rsidRPr="00794A76" w:rsidRDefault="00302BFE" w:rsidP="00243B15">
            <w:pPr>
              <w:spacing w:after="0"/>
              <w:rPr>
                <w:sz w:val="18"/>
                <w:szCs w:val="18"/>
                <w:lang w:val="en-CA"/>
              </w:rPr>
            </w:pPr>
            <w:r w:rsidRPr="00794A76">
              <w:rPr>
                <w:sz w:val="16"/>
                <w:szCs w:val="16"/>
                <w:lang w:val="en-CA"/>
              </w:rPr>
              <w:t xml:space="preserve">Management plans and specifications </w:t>
            </w:r>
            <w:r>
              <w:rPr>
                <w:sz w:val="16"/>
                <w:szCs w:val="16"/>
                <w:lang w:val="en-CA"/>
              </w:rPr>
              <w:t>outdated</w:t>
            </w:r>
          </w:p>
        </w:tc>
        <w:tc>
          <w:tcPr>
            <w:tcW w:w="963" w:type="dxa"/>
            <w:tcBorders>
              <w:top w:val="single" w:sz="4" w:space="0" w:color="auto"/>
              <w:left w:val="single" w:sz="4" w:space="0" w:color="auto"/>
              <w:bottom w:val="single" w:sz="4" w:space="0" w:color="auto"/>
              <w:right w:val="single" w:sz="4" w:space="0" w:color="auto"/>
            </w:tcBorders>
            <w:hideMark/>
          </w:tcPr>
          <w:p w14:paraId="0C5D5834" w14:textId="77777777" w:rsidR="00302BFE" w:rsidRDefault="00302BFE" w:rsidP="00243B15">
            <w:pPr>
              <w:spacing w:after="0"/>
              <w:rPr>
                <w:sz w:val="16"/>
                <w:szCs w:val="16"/>
              </w:rPr>
            </w:pPr>
            <w:r>
              <w:rPr>
                <w:sz w:val="16"/>
                <w:szCs w:val="16"/>
              </w:rPr>
              <w:t>Created 1989</w:t>
            </w:r>
          </w:p>
        </w:tc>
        <w:tc>
          <w:tcPr>
            <w:tcW w:w="1059"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40D87BF" w14:textId="77777777" w:rsidR="00302BFE" w:rsidRPr="00794A76" w:rsidRDefault="00302BFE" w:rsidP="00243B15">
            <w:pPr>
              <w:spacing w:after="0"/>
              <w:rPr>
                <w:sz w:val="16"/>
                <w:szCs w:val="16"/>
                <w:lang w:val="en-CA"/>
              </w:rPr>
            </w:pPr>
            <w:r w:rsidRPr="00794A76">
              <w:rPr>
                <w:sz w:val="16"/>
                <w:szCs w:val="16"/>
                <w:lang w:val="en-CA"/>
              </w:rPr>
              <w:t>Local authorities and communities under various arrangements</w:t>
            </w:r>
          </w:p>
        </w:tc>
      </w:tr>
      <w:tr w:rsidR="00302BFE" w14:paraId="7201B575" w14:textId="77777777" w:rsidTr="00243B15">
        <w:trPr>
          <w:jc w:val="center"/>
        </w:trPr>
        <w:tc>
          <w:tcPr>
            <w:tcW w:w="1271" w:type="dxa"/>
            <w:tcBorders>
              <w:top w:val="single" w:sz="4" w:space="0" w:color="auto"/>
              <w:left w:val="single" w:sz="4" w:space="0" w:color="auto"/>
              <w:bottom w:val="single" w:sz="4" w:space="0" w:color="auto"/>
              <w:right w:val="single" w:sz="4" w:space="0" w:color="auto"/>
            </w:tcBorders>
            <w:hideMark/>
          </w:tcPr>
          <w:p w14:paraId="7ABBD975" w14:textId="77777777" w:rsidR="00302BFE" w:rsidRDefault="00302BFE" w:rsidP="00243B15">
            <w:pPr>
              <w:spacing w:after="0"/>
              <w:rPr>
                <w:sz w:val="18"/>
                <w:szCs w:val="18"/>
              </w:rPr>
            </w:pPr>
            <w:r>
              <w:rPr>
                <w:sz w:val="18"/>
                <w:szCs w:val="18"/>
              </w:rPr>
              <w:t>Kounou</w:t>
            </w:r>
          </w:p>
        </w:tc>
        <w:tc>
          <w:tcPr>
            <w:tcW w:w="1028" w:type="dxa"/>
            <w:tcBorders>
              <w:top w:val="single" w:sz="4" w:space="0" w:color="auto"/>
              <w:left w:val="single" w:sz="4" w:space="0" w:color="auto"/>
              <w:bottom w:val="single" w:sz="4" w:space="0" w:color="auto"/>
              <w:right w:val="single" w:sz="4" w:space="0" w:color="auto"/>
            </w:tcBorders>
            <w:hideMark/>
          </w:tcPr>
          <w:p w14:paraId="13926A39" w14:textId="77777777" w:rsidR="00302BFE" w:rsidRDefault="00302BFE" w:rsidP="00243B15">
            <w:pPr>
              <w:spacing w:after="0"/>
              <w:rPr>
                <w:sz w:val="18"/>
                <w:szCs w:val="18"/>
              </w:rPr>
            </w:pPr>
            <w:r>
              <w:rPr>
                <w:sz w:val="18"/>
                <w:szCs w:val="18"/>
              </w:rPr>
              <w:t>2,650</w:t>
            </w:r>
          </w:p>
        </w:tc>
        <w:tc>
          <w:tcPr>
            <w:tcW w:w="1410" w:type="dxa"/>
            <w:tcBorders>
              <w:top w:val="single" w:sz="4" w:space="0" w:color="auto"/>
              <w:left w:val="single" w:sz="4" w:space="0" w:color="auto"/>
              <w:bottom w:val="single" w:sz="4" w:space="0" w:color="auto"/>
              <w:right w:val="single" w:sz="4" w:space="0" w:color="auto"/>
            </w:tcBorders>
            <w:hideMark/>
          </w:tcPr>
          <w:p w14:paraId="7301C4FA" w14:textId="77777777" w:rsidR="00302BFE" w:rsidRDefault="00302BFE" w:rsidP="00243B15">
            <w:pPr>
              <w:spacing w:after="0"/>
              <w:rPr>
                <w:sz w:val="18"/>
                <w:szCs w:val="18"/>
              </w:rPr>
            </w:pPr>
            <w:r>
              <w:rPr>
                <w:sz w:val="18"/>
                <w:szCs w:val="18"/>
              </w:rPr>
              <w:t>ZOVIC</w:t>
            </w:r>
          </w:p>
        </w:tc>
        <w:tc>
          <w:tcPr>
            <w:tcW w:w="805" w:type="dxa"/>
            <w:tcBorders>
              <w:top w:val="single" w:sz="4" w:space="0" w:color="auto"/>
              <w:left w:val="single" w:sz="4" w:space="0" w:color="auto"/>
              <w:bottom w:val="single" w:sz="4" w:space="0" w:color="auto"/>
              <w:right w:val="single" w:sz="4" w:space="0" w:color="auto"/>
            </w:tcBorders>
            <w:hideMark/>
          </w:tcPr>
          <w:p w14:paraId="25EE9479" w14:textId="77777777" w:rsidR="00302BFE" w:rsidRDefault="00302BFE" w:rsidP="00243B15">
            <w:pPr>
              <w:spacing w:after="0"/>
              <w:rPr>
                <w:sz w:val="18"/>
                <w:szCs w:val="18"/>
              </w:rPr>
            </w:pPr>
            <w:r>
              <w:rPr>
                <w:sz w:val="18"/>
                <w:szCs w:val="18"/>
              </w:rPr>
              <w:t>VI</w:t>
            </w:r>
          </w:p>
        </w:tc>
        <w:tc>
          <w:tcPr>
            <w:tcW w:w="1019" w:type="dxa"/>
            <w:tcBorders>
              <w:top w:val="single" w:sz="4" w:space="0" w:color="auto"/>
              <w:left w:val="single" w:sz="4" w:space="0" w:color="auto"/>
              <w:bottom w:val="single" w:sz="4" w:space="0" w:color="auto"/>
              <w:right w:val="single" w:sz="4" w:space="0" w:color="auto"/>
            </w:tcBorders>
            <w:hideMark/>
          </w:tcPr>
          <w:p w14:paraId="4CC29DEE" w14:textId="77777777" w:rsidR="00302BFE" w:rsidRDefault="00302BFE" w:rsidP="00243B15">
            <w:pPr>
              <w:spacing w:after="0"/>
              <w:rPr>
                <w:sz w:val="16"/>
                <w:szCs w:val="16"/>
              </w:rPr>
            </w:pPr>
            <w:r>
              <w:rPr>
                <w:sz w:val="16"/>
                <w:szCs w:val="16"/>
              </w:rPr>
              <w:t>CVGF</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31813C" w14:textId="77777777" w:rsidR="00302BFE" w:rsidRDefault="00302BFE" w:rsidP="00243B15">
            <w:pPr>
              <w:spacing w:after="0"/>
              <w:jc w:val="left"/>
              <w:rPr>
                <w:sz w:val="18"/>
                <w:szCs w:val="18"/>
                <w:lang w:val="fr-CA"/>
              </w:rPr>
            </w:pPr>
          </w:p>
        </w:tc>
        <w:tc>
          <w:tcPr>
            <w:tcW w:w="963" w:type="dxa"/>
            <w:tcBorders>
              <w:top w:val="single" w:sz="4" w:space="0" w:color="auto"/>
              <w:left w:val="single" w:sz="4" w:space="0" w:color="auto"/>
              <w:bottom w:val="single" w:sz="4" w:space="0" w:color="auto"/>
              <w:right w:val="single" w:sz="4" w:space="0" w:color="auto"/>
            </w:tcBorders>
            <w:hideMark/>
          </w:tcPr>
          <w:p w14:paraId="4337C977" w14:textId="77777777" w:rsidR="00302BFE" w:rsidRDefault="00302BFE" w:rsidP="00243B15">
            <w:pPr>
              <w:spacing w:after="0"/>
              <w:rPr>
                <w:sz w:val="16"/>
                <w:szCs w:val="16"/>
              </w:rPr>
            </w:pPr>
            <w:r>
              <w:rPr>
                <w:sz w:val="16"/>
                <w:szCs w:val="16"/>
              </w:rPr>
              <w:t>Created 1989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38BEEF" w14:textId="77777777" w:rsidR="00302BFE" w:rsidRDefault="00302BFE" w:rsidP="00243B15">
            <w:pPr>
              <w:spacing w:after="0"/>
              <w:jc w:val="left"/>
              <w:rPr>
                <w:sz w:val="16"/>
                <w:szCs w:val="16"/>
                <w:lang w:val="fr-CA"/>
              </w:rPr>
            </w:pPr>
          </w:p>
        </w:tc>
      </w:tr>
      <w:tr w:rsidR="00302BFE" w14:paraId="57B6FFF4" w14:textId="77777777" w:rsidTr="00243B15">
        <w:trPr>
          <w:jc w:val="center"/>
        </w:trPr>
        <w:tc>
          <w:tcPr>
            <w:tcW w:w="1271" w:type="dxa"/>
            <w:tcBorders>
              <w:top w:val="single" w:sz="4" w:space="0" w:color="auto"/>
              <w:left w:val="single" w:sz="4" w:space="0" w:color="auto"/>
              <w:bottom w:val="single" w:sz="4" w:space="0" w:color="auto"/>
              <w:right w:val="single" w:sz="4" w:space="0" w:color="auto"/>
            </w:tcBorders>
            <w:hideMark/>
          </w:tcPr>
          <w:p w14:paraId="469B3327" w14:textId="77777777" w:rsidR="00302BFE" w:rsidRDefault="00302BFE" w:rsidP="00243B15">
            <w:pPr>
              <w:spacing w:after="0"/>
              <w:rPr>
                <w:sz w:val="18"/>
                <w:szCs w:val="18"/>
              </w:rPr>
            </w:pPr>
            <w:r>
              <w:rPr>
                <w:sz w:val="18"/>
                <w:szCs w:val="18"/>
              </w:rPr>
              <w:t>Tassian</w:t>
            </w:r>
          </w:p>
        </w:tc>
        <w:tc>
          <w:tcPr>
            <w:tcW w:w="1028" w:type="dxa"/>
            <w:tcBorders>
              <w:top w:val="single" w:sz="4" w:space="0" w:color="auto"/>
              <w:left w:val="single" w:sz="4" w:space="0" w:color="auto"/>
              <w:bottom w:val="single" w:sz="4" w:space="0" w:color="auto"/>
              <w:right w:val="single" w:sz="4" w:space="0" w:color="auto"/>
            </w:tcBorders>
            <w:hideMark/>
          </w:tcPr>
          <w:p w14:paraId="4B063D81" w14:textId="77777777" w:rsidR="00302BFE" w:rsidRDefault="00302BFE" w:rsidP="00243B15">
            <w:pPr>
              <w:spacing w:after="0"/>
              <w:rPr>
                <w:sz w:val="18"/>
                <w:szCs w:val="18"/>
              </w:rPr>
            </w:pPr>
            <w:r>
              <w:rPr>
                <w:sz w:val="18"/>
                <w:szCs w:val="18"/>
              </w:rPr>
              <w:t>3,345</w:t>
            </w:r>
          </w:p>
        </w:tc>
        <w:tc>
          <w:tcPr>
            <w:tcW w:w="1410" w:type="dxa"/>
            <w:tcBorders>
              <w:top w:val="single" w:sz="4" w:space="0" w:color="auto"/>
              <w:left w:val="single" w:sz="4" w:space="0" w:color="auto"/>
              <w:bottom w:val="single" w:sz="4" w:space="0" w:color="auto"/>
              <w:right w:val="single" w:sz="4" w:space="0" w:color="auto"/>
            </w:tcBorders>
            <w:hideMark/>
          </w:tcPr>
          <w:p w14:paraId="49724BA3" w14:textId="77777777" w:rsidR="00302BFE" w:rsidRDefault="00302BFE" w:rsidP="00243B15">
            <w:pPr>
              <w:spacing w:after="0"/>
              <w:rPr>
                <w:sz w:val="18"/>
                <w:szCs w:val="18"/>
              </w:rPr>
            </w:pPr>
            <w:r>
              <w:rPr>
                <w:sz w:val="18"/>
                <w:szCs w:val="18"/>
              </w:rPr>
              <w:t>ZOVIC</w:t>
            </w:r>
          </w:p>
        </w:tc>
        <w:tc>
          <w:tcPr>
            <w:tcW w:w="805" w:type="dxa"/>
            <w:tcBorders>
              <w:top w:val="single" w:sz="4" w:space="0" w:color="auto"/>
              <w:left w:val="single" w:sz="4" w:space="0" w:color="auto"/>
              <w:bottom w:val="single" w:sz="4" w:space="0" w:color="auto"/>
              <w:right w:val="single" w:sz="4" w:space="0" w:color="auto"/>
            </w:tcBorders>
            <w:hideMark/>
          </w:tcPr>
          <w:p w14:paraId="40CC9AE2" w14:textId="77777777" w:rsidR="00302BFE" w:rsidRDefault="00302BFE" w:rsidP="00243B15">
            <w:pPr>
              <w:spacing w:after="0"/>
              <w:rPr>
                <w:sz w:val="18"/>
                <w:szCs w:val="18"/>
              </w:rPr>
            </w:pPr>
            <w:r>
              <w:rPr>
                <w:sz w:val="18"/>
                <w:szCs w:val="18"/>
              </w:rPr>
              <w:t>VI</w:t>
            </w:r>
          </w:p>
        </w:tc>
        <w:tc>
          <w:tcPr>
            <w:tcW w:w="1019" w:type="dxa"/>
            <w:tcBorders>
              <w:top w:val="single" w:sz="4" w:space="0" w:color="auto"/>
              <w:left w:val="single" w:sz="4" w:space="0" w:color="auto"/>
              <w:bottom w:val="single" w:sz="4" w:space="0" w:color="auto"/>
              <w:right w:val="single" w:sz="4" w:space="0" w:color="auto"/>
            </w:tcBorders>
            <w:hideMark/>
          </w:tcPr>
          <w:p w14:paraId="045EB4CF" w14:textId="77777777" w:rsidR="00302BFE" w:rsidRDefault="00302BFE" w:rsidP="00243B15">
            <w:pPr>
              <w:spacing w:after="0"/>
              <w:rPr>
                <w:sz w:val="16"/>
                <w:szCs w:val="16"/>
              </w:rPr>
            </w:pPr>
            <w:r>
              <w:rPr>
                <w:sz w:val="16"/>
                <w:szCs w:val="16"/>
              </w:rPr>
              <w:t>CVGF</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4B2178" w14:textId="77777777" w:rsidR="00302BFE" w:rsidRDefault="00302BFE" w:rsidP="00243B15">
            <w:pPr>
              <w:spacing w:after="0"/>
              <w:jc w:val="left"/>
              <w:rPr>
                <w:sz w:val="18"/>
                <w:szCs w:val="18"/>
                <w:lang w:val="fr-CA"/>
              </w:rPr>
            </w:pPr>
          </w:p>
        </w:tc>
        <w:tc>
          <w:tcPr>
            <w:tcW w:w="963" w:type="dxa"/>
            <w:tcBorders>
              <w:top w:val="single" w:sz="4" w:space="0" w:color="auto"/>
              <w:left w:val="single" w:sz="4" w:space="0" w:color="auto"/>
              <w:bottom w:val="single" w:sz="4" w:space="0" w:color="auto"/>
              <w:right w:val="single" w:sz="4" w:space="0" w:color="auto"/>
            </w:tcBorders>
            <w:hideMark/>
          </w:tcPr>
          <w:p w14:paraId="1D4FE23F" w14:textId="77777777" w:rsidR="00302BFE" w:rsidRDefault="00302BFE" w:rsidP="00243B15">
            <w:pPr>
              <w:spacing w:after="0"/>
              <w:rPr>
                <w:sz w:val="16"/>
                <w:szCs w:val="16"/>
              </w:rPr>
            </w:pPr>
            <w:r>
              <w:rPr>
                <w:sz w:val="16"/>
                <w:szCs w:val="16"/>
              </w:rPr>
              <w:t>Created 1989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A742B6" w14:textId="77777777" w:rsidR="00302BFE" w:rsidRDefault="00302BFE" w:rsidP="00243B15">
            <w:pPr>
              <w:spacing w:after="0"/>
              <w:jc w:val="left"/>
              <w:rPr>
                <w:sz w:val="16"/>
                <w:szCs w:val="16"/>
                <w:lang w:val="fr-CA"/>
              </w:rPr>
            </w:pPr>
          </w:p>
        </w:tc>
      </w:tr>
      <w:tr w:rsidR="00302BFE" w14:paraId="44673284" w14:textId="77777777" w:rsidTr="00243B15">
        <w:trPr>
          <w:jc w:val="center"/>
        </w:trPr>
        <w:tc>
          <w:tcPr>
            <w:tcW w:w="1271" w:type="dxa"/>
            <w:tcBorders>
              <w:top w:val="single" w:sz="4" w:space="0" w:color="auto"/>
              <w:left w:val="single" w:sz="4" w:space="0" w:color="auto"/>
              <w:bottom w:val="single" w:sz="4" w:space="0" w:color="auto"/>
              <w:right w:val="single" w:sz="4" w:space="0" w:color="auto"/>
            </w:tcBorders>
            <w:hideMark/>
          </w:tcPr>
          <w:p w14:paraId="22862A8E" w14:textId="77777777" w:rsidR="00302BFE" w:rsidRDefault="00302BFE" w:rsidP="00243B15">
            <w:pPr>
              <w:spacing w:after="0"/>
              <w:rPr>
                <w:sz w:val="18"/>
                <w:szCs w:val="18"/>
              </w:rPr>
            </w:pPr>
            <w:r>
              <w:rPr>
                <w:sz w:val="18"/>
                <w:szCs w:val="18"/>
              </w:rPr>
              <w:t>Neboun-Bori</w:t>
            </w:r>
          </w:p>
        </w:tc>
        <w:tc>
          <w:tcPr>
            <w:tcW w:w="1028" w:type="dxa"/>
            <w:tcBorders>
              <w:top w:val="single" w:sz="4" w:space="0" w:color="auto"/>
              <w:left w:val="single" w:sz="4" w:space="0" w:color="auto"/>
              <w:bottom w:val="single" w:sz="4" w:space="0" w:color="auto"/>
              <w:right w:val="single" w:sz="4" w:space="0" w:color="auto"/>
            </w:tcBorders>
            <w:hideMark/>
          </w:tcPr>
          <w:p w14:paraId="101B472E" w14:textId="77777777" w:rsidR="00302BFE" w:rsidRDefault="00302BFE" w:rsidP="00243B15">
            <w:pPr>
              <w:spacing w:after="0"/>
              <w:rPr>
                <w:sz w:val="18"/>
                <w:szCs w:val="18"/>
              </w:rPr>
            </w:pPr>
            <w:r>
              <w:rPr>
                <w:sz w:val="18"/>
                <w:szCs w:val="18"/>
              </w:rPr>
              <w:t>3,000</w:t>
            </w:r>
          </w:p>
        </w:tc>
        <w:tc>
          <w:tcPr>
            <w:tcW w:w="1410" w:type="dxa"/>
            <w:tcBorders>
              <w:top w:val="single" w:sz="4" w:space="0" w:color="auto"/>
              <w:left w:val="single" w:sz="4" w:space="0" w:color="auto"/>
              <w:bottom w:val="single" w:sz="4" w:space="0" w:color="auto"/>
              <w:right w:val="single" w:sz="4" w:space="0" w:color="auto"/>
            </w:tcBorders>
            <w:hideMark/>
          </w:tcPr>
          <w:p w14:paraId="01866F08" w14:textId="77777777" w:rsidR="00302BFE" w:rsidRDefault="00302BFE" w:rsidP="00243B15">
            <w:pPr>
              <w:spacing w:after="0"/>
              <w:rPr>
                <w:sz w:val="18"/>
                <w:szCs w:val="18"/>
              </w:rPr>
            </w:pPr>
            <w:r>
              <w:rPr>
                <w:sz w:val="18"/>
                <w:szCs w:val="18"/>
              </w:rPr>
              <w:t>ZOVIC</w:t>
            </w:r>
          </w:p>
        </w:tc>
        <w:tc>
          <w:tcPr>
            <w:tcW w:w="805" w:type="dxa"/>
            <w:tcBorders>
              <w:top w:val="single" w:sz="4" w:space="0" w:color="auto"/>
              <w:left w:val="single" w:sz="4" w:space="0" w:color="auto"/>
              <w:bottom w:val="single" w:sz="4" w:space="0" w:color="auto"/>
              <w:right w:val="single" w:sz="4" w:space="0" w:color="auto"/>
            </w:tcBorders>
            <w:hideMark/>
          </w:tcPr>
          <w:p w14:paraId="1D5E25AE" w14:textId="77777777" w:rsidR="00302BFE" w:rsidRDefault="00302BFE" w:rsidP="00243B15">
            <w:pPr>
              <w:spacing w:after="0"/>
              <w:rPr>
                <w:sz w:val="18"/>
                <w:szCs w:val="18"/>
              </w:rPr>
            </w:pPr>
            <w:r>
              <w:rPr>
                <w:sz w:val="18"/>
                <w:szCs w:val="18"/>
              </w:rPr>
              <w:t>VI</w:t>
            </w:r>
          </w:p>
        </w:tc>
        <w:tc>
          <w:tcPr>
            <w:tcW w:w="1019" w:type="dxa"/>
            <w:tcBorders>
              <w:top w:val="single" w:sz="4" w:space="0" w:color="auto"/>
              <w:left w:val="single" w:sz="4" w:space="0" w:color="auto"/>
              <w:bottom w:val="single" w:sz="4" w:space="0" w:color="auto"/>
              <w:right w:val="single" w:sz="4" w:space="0" w:color="auto"/>
            </w:tcBorders>
            <w:hideMark/>
          </w:tcPr>
          <w:p w14:paraId="3FD8384A" w14:textId="77777777" w:rsidR="00302BFE" w:rsidRDefault="00302BFE" w:rsidP="00243B15">
            <w:pPr>
              <w:spacing w:after="0"/>
              <w:rPr>
                <w:sz w:val="16"/>
                <w:szCs w:val="16"/>
              </w:rPr>
            </w:pPr>
            <w:r>
              <w:rPr>
                <w:sz w:val="16"/>
                <w:szCs w:val="16"/>
              </w:rPr>
              <w:t>CVGF</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F43713" w14:textId="77777777" w:rsidR="00302BFE" w:rsidRDefault="00302BFE" w:rsidP="00243B15">
            <w:pPr>
              <w:spacing w:after="0"/>
              <w:jc w:val="left"/>
              <w:rPr>
                <w:sz w:val="18"/>
                <w:szCs w:val="18"/>
                <w:lang w:val="fr-CA"/>
              </w:rPr>
            </w:pPr>
          </w:p>
        </w:tc>
        <w:tc>
          <w:tcPr>
            <w:tcW w:w="963" w:type="dxa"/>
            <w:tcBorders>
              <w:top w:val="single" w:sz="4" w:space="0" w:color="auto"/>
              <w:left w:val="single" w:sz="4" w:space="0" w:color="auto"/>
              <w:bottom w:val="single" w:sz="4" w:space="0" w:color="auto"/>
              <w:right w:val="single" w:sz="4" w:space="0" w:color="auto"/>
            </w:tcBorders>
            <w:hideMark/>
          </w:tcPr>
          <w:p w14:paraId="07F1C14D" w14:textId="77777777" w:rsidR="00302BFE" w:rsidRDefault="00302BFE" w:rsidP="00243B15">
            <w:pPr>
              <w:spacing w:after="0"/>
              <w:rPr>
                <w:sz w:val="16"/>
                <w:szCs w:val="16"/>
              </w:rPr>
            </w:pPr>
            <w:r>
              <w:rPr>
                <w:sz w:val="16"/>
                <w:szCs w:val="16"/>
              </w:rPr>
              <w:t>Created 1989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9161F1" w14:textId="77777777" w:rsidR="00302BFE" w:rsidRDefault="00302BFE" w:rsidP="00243B15">
            <w:pPr>
              <w:spacing w:after="0"/>
              <w:jc w:val="left"/>
              <w:rPr>
                <w:sz w:val="16"/>
                <w:szCs w:val="16"/>
                <w:lang w:val="fr-CA"/>
              </w:rPr>
            </w:pPr>
          </w:p>
        </w:tc>
      </w:tr>
      <w:tr w:rsidR="00302BFE" w14:paraId="1D5597FA" w14:textId="77777777" w:rsidTr="00243B15">
        <w:trPr>
          <w:jc w:val="center"/>
        </w:trPr>
        <w:tc>
          <w:tcPr>
            <w:tcW w:w="1271" w:type="dxa"/>
            <w:tcBorders>
              <w:top w:val="single" w:sz="4" w:space="0" w:color="auto"/>
              <w:left w:val="single" w:sz="4" w:space="0" w:color="auto"/>
              <w:bottom w:val="single" w:sz="4" w:space="0" w:color="auto"/>
              <w:right w:val="single" w:sz="4" w:space="0" w:color="auto"/>
            </w:tcBorders>
            <w:hideMark/>
          </w:tcPr>
          <w:p w14:paraId="4609D53C" w14:textId="77777777" w:rsidR="00302BFE" w:rsidRDefault="00302BFE" w:rsidP="00243B15">
            <w:pPr>
              <w:spacing w:after="0"/>
              <w:rPr>
                <w:sz w:val="18"/>
                <w:szCs w:val="18"/>
              </w:rPr>
            </w:pPr>
            <w:r>
              <w:rPr>
                <w:sz w:val="18"/>
                <w:szCs w:val="18"/>
              </w:rPr>
              <w:t>Boassan</w:t>
            </w:r>
          </w:p>
        </w:tc>
        <w:tc>
          <w:tcPr>
            <w:tcW w:w="1028" w:type="dxa"/>
            <w:tcBorders>
              <w:top w:val="single" w:sz="4" w:space="0" w:color="auto"/>
              <w:left w:val="single" w:sz="4" w:space="0" w:color="auto"/>
              <w:bottom w:val="single" w:sz="4" w:space="0" w:color="auto"/>
              <w:right w:val="single" w:sz="4" w:space="0" w:color="auto"/>
            </w:tcBorders>
            <w:hideMark/>
          </w:tcPr>
          <w:p w14:paraId="02462C21" w14:textId="77777777" w:rsidR="00302BFE" w:rsidRDefault="00302BFE" w:rsidP="00243B15">
            <w:pPr>
              <w:spacing w:after="0"/>
              <w:rPr>
                <w:sz w:val="18"/>
                <w:szCs w:val="18"/>
              </w:rPr>
            </w:pPr>
            <w:r>
              <w:rPr>
                <w:sz w:val="18"/>
                <w:szCs w:val="18"/>
              </w:rPr>
              <w:t>345</w:t>
            </w:r>
          </w:p>
        </w:tc>
        <w:tc>
          <w:tcPr>
            <w:tcW w:w="1410" w:type="dxa"/>
            <w:tcBorders>
              <w:top w:val="single" w:sz="4" w:space="0" w:color="auto"/>
              <w:left w:val="single" w:sz="4" w:space="0" w:color="auto"/>
              <w:bottom w:val="single" w:sz="4" w:space="0" w:color="auto"/>
              <w:right w:val="single" w:sz="4" w:space="0" w:color="auto"/>
            </w:tcBorders>
            <w:hideMark/>
          </w:tcPr>
          <w:p w14:paraId="59178C7C" w14:textId="77777777" w:rsidR="00302BFE" w:rsidRDefault="00302BFE" w:rsidP="00243B15">
            <w:pPr>
              <w:spacing w:after="0"/>
              <w:rPr>
                <w:sz w:val="18"/>
                <w:szCs w:val="18"/>
              </w:rPr>
            </w:pPr>
            <w:r>
              <w:rPr>
                <w:sz w:val="18"/>
                <w:szCs w:val="18"/>
              </w:rPr>
              <w:t>ZOVIC</w:t>
            </w:r>
          </w:p>
        </w:tc>
        <w:tc>
          <w:tcPr>
            <w:tcW w:w="805" w:type="dxa"/>
            <w:tcBorders>
              <w:top w:val="single" w:sz="4" w:space="0" w:color="auto"/>
              <w:left w:val="single" w:sz="4" w:space="0" w:color="auto"/>
              <w:bottom w:val="single" w:sz="4" w:space="0" w:color="auto"/>
              <w:right w:val="single" w:sz="4" w:space="0" w:color="auto"/>
            </w:tcBorders>
            <w:hideMark/>
          </w:tcPr>
          <w:p w14:paraId="7775481D" w14:textId="77777777" w:rsidR="00302BFE" w:rsidRDefault="00302BFE" w:rsidP="00243B15">
            <w:pPr>
              <w:spacing w:after="0"/>
              <w:rPr>
                <w:sz w:val="18"/>
                <w:szCs w:val="18"/>
              </w:rPr>
            </w:pPr>
            <w:r>
              <w:rPr>
                <w:sz w:val="18"/>
                <w:szCs w:val="18"/>
              </w:rPr>
              <w:t>VI</w:t>
            </w:r>
          </w:p>
        </w:tc>
        <w:tc>
          <w:tcPr>
            <w:tcW w:w="1019" w:type="dxa"/>
            <w:tcBorders>
              <w:top w:val="single" w:sz="4" w:space="0" w:color="auto"/>
              <w:left w:val="single" w:sz="4" w:space="0" w:color="auto"/>
              <w:bottom w:val="single" w:sz="4" w:space="0" w:color="auto"/>
              <w:right w:val="single" w:sz="4" w:space="0" w:color="auto"/>
            </w:tcBorders>
            <w:hideMark/>
          </w:tcPr>
          <w:p w14:paraId="695C73EC" w14:textId="77777777" w:rsidR="00302BFE" w:rsidRDefault="00302BFE" w:rsidP="00243B15">
            <w:pPr>
              <w:spacing w:after="0"/>
              <w:rPr>
                <w:sz w:val="16"/>
                <w:szCs w:val="16"/>
              </w:rPr>
            </w:pPr>
            <w:r>
              <w:rPr>
                <w:sz w:val="16"/>
                <w:szCs w:val="16"/>
              </w:rPr>
              <w:t>CVGF</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D81A73" w14:textId="77777777" w:rsidR="00302BFE" w:rsidRDefault="00302BFE" w:rsidP="00243B15">
            <w:pPr>
              <w:spacing w:after="0"/>
              <w:jc w:val="left"/>
              <w:rPr>
                <w:sz w:val="18"/>
                <w:szCs w:val="18"/>
                <w:lang w:val="fr-CA"/>
              </w:rPr>
            </w:pPr>
          </w:p>
        </w:tc>
        <w:tc>
          <w:tcPr>
            <w:tcW w:w="963" w:type="dxa"/>
            <w:tcBorders>
              <w:top w:val="single" w:sz="4" w:space="0" w:color="auto"/>
              <w:left w:val="single" w:sz="4" w:space="0" w:color="auto"/>
              <w:bottom w:val="single" w:sz="4" w:space="0" w:color="auto"/>
              <w:right w:val="single" w:sz="4" w:space="0" w:color="auto"/>
            </w:tcBorders>
            <w:hideMark/>
          </w:tcPr>
          <w:p w14:paraId="6F7B6EF6" w14:textId="77777777" w:rsidR="00302BFE" w:rsidRDefault="00302BFE" w:rsidP="00243B15">
            <w:pPr>
              <w:spacing w:after="0"/>
              <w:rPr>
                <w:sz w:val="16"/>
                <w:szCs w:val="16"/>
              </w:rPr>
            </w:pPr>
            <w:r>
              <w:rPr>
                <w:sz w:val="16"/>
                <w:szCs w:val="16"/>
              </w:rPr>
              <w:t>Created 1989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5CD49E" w14:textId="77777777" w:rsidR="00302BFE" w:rsidRDefault="00302BFE" w:rsidP="00243B15">
            <w:pPr>
              <w:spacing w:after="0"/>
              <w:jc w:val="left"/>
              <w:rPr>
                <w:sz w:val="16"/>
                <w:szCs w:val="16"/>
                <w:lang w:val="fr-CA"/>
              </w:rPr>
            </w:pPr>
          </w:p>
        </w:tc>
      </w:tr>
      <w:tr w:rsidR="00302BFE" w14:paraId="3F82F248" w14:textId="77777777" w:rsidTr="00243B15">
        <w:trPr>
          <w:jc w:val="center"/>
        </w:trPr>
        <w:tc>
          <w:tcPr>
            <w:tcW w:w="1271" w:type="dxa"/>
            <w:tcBorders>
              <w:top w:val="single" w:sz="4" w:space="0" w:color="auto"/>
              <w:left w:val="single" w:sz="4" w:space="0" w:color="auto"/>
              <w:bottom w:val="single" w:sz="4" w:space="0" w:color="auto"/>
              <w:right w:val="single" w:sz="4" w:space="0" w:color="auto"/>
            </w:tcBorders>
            <w:hideMark/>
          </w:tcPr>
          <w:p w14:paraId="77B41EEB" w14:textId="77777777" w:rsidR="00302BFE" w:rsidRDefault="00302BFE" w:rsidP="00243B15">
            <w:pPr>
              <w:spacing w:after="0"/>
              <w:rPr>
                <w:sz w:val="18"/>
                <w:szCs w:val="18"/>
              </w:rPr>
            </w:pPr>
            <w:r>
              <w:rPr>
                <w:sz w:val="18"/>
                <w:szCs w:val="18"/>
              </w:rPr>
              <w:t>Koumbili</w:t>
            </w:r>
          </w:p>
        </w:tc>
        <w:tc>
          <w:tcPr>
            <w:tcW w:w="1028" w:type="dxa"/>
            <w:tcBorders>
              <w:top w:val="single" w:sz="4" w:space="0" w:color="auto"/>
              <w:left w:val="single" w:sz="4" w:space="0" w:color="auto"/>
              <w:bottom w:val="single" w:sz="4" w:space="0" w:color="auto"/>
              <w:right w:val="single" w:sz="4" w:space="0" w:color="auto"/>
            </w:tcBorders>
            <w:hideMark/>
          </w:tcPr>
          <w:p w14:paraId="54131A0D" w14:textId="77777777" w:rsidR="00302BFE" w:rsidRDefault="00302BFE" w:rsidP="00243B15">
            <w:pPr>
              <w:spacing w:after="0"/>
              <w:rPr>
                <w:sz w:val="18"/>
                <w:szCs w:val="18"/>
              </w:rPr>
            </w:pPr>
            <w:r>
              <w:rPr>
                <w:sz w:val="18"/>
                <w:szCs w:val="18"/>
              </w:rPr>
              <w:t>5,820</w:t>
            </w:r>
          </w:p>
        </w:tc>
        <w:tc>
          <w:tcPr>
            <w:tcW w:w="1410" w:type="dxa"/>
            <w:tcBorders>
              <w:top w:val="single" w:sz="4" w:space="0" w:color="auto"/>
              <w:left w:val="single" w:sz="4" w:space="0" w:color="auto"/>
              <w:bottom w:val="single" w:sz="4" w:space="0" w:color="auto"/>
              <w:right w:val="single" w:sz="4" w:space="0" w:color="auto"/>
            </w:tcBorders>
            <w:hideMark/>
          </w:tcPr>
          <w:p w14:paraId="7BDB4826" w14:textId="77777777" w:rsidR="00302BFE" w:rsidRDefault="00302BFE" w:rsidP="00243B15">
            <w:pPr>
              <w:spacing w:after="0"/>
              <w:rPr>
                <w:sz w:val="18"/>
                <w:szCs w:val="18"/>
              </w:rPr>
            </w:pPr>
            <w:r>
              <w:rPr>
                <w:sz w:val="18"/>
                <w:szCs w:val="18"/>
              </w:rPr>
              <w:t>ZOVIC</w:t>
            </w:r>
          </w:p>
        </w:tc>
        <w:tc>
          <w:tcPr>
            <w:tcW w:w="805" w:type="dxa"/>
            <w:tcBorders>
              <w:top w:val="single" w:sz="4" w:space="0" w:color="auto"/>
              <w:left w:val="single" w:sz="4" w:space="0" w:color="auto"/>
              <w:bottom w:val="single" w:sz="4" w:space="0" w:color="auto"/>
              <w:right w:val="single" w:sz="4" w:space="0" w:color="auto"/>
            </w:tcBorders>
            <w:hideMark/>
          </w:tcPr>
          <w:p w14:paraId="266BDB6F" w14:textId="77777777" w:rsidR="00302BFE" w:rsidRDefault="00302BFE" w:rsidP="00243B15">
            <w:pPr>
              <w:spacing w:after="0"/>
              <w:rPr>
                <w:sz w:val="18"/>
                <w:szCs w:val="18"/>
              </w:rPr>
            </w:pPr>
            <w:r>
              <w:rPr>
                <w:sz w:val="18"/>
                <w:szCs w:val="18"/>
              </w:rPr>
              <w:t>VI</w:t>
            </w:r>
          </w:p>
        </w:tc>
        <w:tc>
          <w:tcPr>
            <w:tcW w:w="1019" w:type="dxa"/>
            <w:tcBorders>
              <w:top w:val="single" w:sz="4" w:space="0" w:color="auto"/>
              <w:left w:val="single" w:sz="4" w:space="0" w:color="auto"/>
              <w:bottom w:val="single" w:sz="4" w:space="0" w:color="auto"/>
              <w:right w:val="single" w:sz="4" w:space="0" w:color="auto"/>
            </w:tcBorders>
            <w:hideMark/>
          </w:tcPr>
          <w:p w14:paraId="12CDEE18" w14:textId="77777777" w:rsidR="00302BFE" w:rsidRDefault="00302BFE" w:rsidP="00243B15">
            <w:pPr>
              <w:spacing w:after="0"/>
              <w:rPr>
                <w:sz w:val="16"/>
                <w:szCs w:val="16"/>
              </w:rPr>
            </w:pPr>
            <w:r>
              <w:rPr>
                <w:sz w:val="16"/>
                <w:szCs w:val="16"/>
              </w:rPr>
              <w:t>CVGF</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33CE1D" w14:textId="77777777" w:rsidR="00302BFE" w:rsidRDefault="00302BFE" w:rsidP="00243B15">
            <w:pPr>
              <w:spacing w:after="0"/>
              <w:jc w:val="left"/>
              <w:rPr>
                <w:sz w:val="18"/>
                <w:szCs w:val="18"/>
                <w:lang w:val="fr-CA"/>
              </w:rPr>
            </w:pPr>
          </w:p>
        </w:tc>
        <w:tc>
          <w:tcPr>
            <w:tcW w:w="963" w:type="dxa"/>
            <w:tcBorders>
              <w:top w:val="single" w:sz="4" w:space="0" w:color="auto"/>
              <w:left w:val="single" w:sz="4" w:space="0" w:color="auto"/>
              <w:bottom w:val="single" w:sz="4" w:space="0" w:color="auto"/>
              <w:right w:val="single" w:sz="4" w:space="0" w:color="auto"/>
            </w:tcBorders>
            <w:hideMark/>
          </w:tcPr>
          <w:p w14:paraId="3B76D546" w14:textId="77777777" w:rsidR="00302BFE" w:rsidRDefault="00302BFE" w:rsidP="00243B15">
            <w:pPr>
              <w:spacing w:after="0"/>
              <w:rPr>
                <w:sz w:val="16"/>
                <w:szCs w:val="16"/>
              </w:rPr>
            </w:pPr>
            <w:r>
              <w:rPr>
                <w:sz w:val="16"/>
                <w:szCs w:val="16"/>
              </w:rPr>
              <w:t>Created 1989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E0B4BF" w14:textId="77777777" w:rsidR="00302BFE" w:rsidRDefault="00302BFE" w:rsidP="00243B15">
            <w:pPr>
              <w:spacing w:after="0"/>
              <w:jc w:val="left"/>
              <w:rPr>
                <w:sz w:val="16"/>
                <w:szCs w:val="16"/>
                <w:lang w:val="fr-CA"/>
              </w:rPr>
            </w:pPr>
          </w:p>
        </w:tc>
      </w:tr>
      <w:tr w:rsidR="00302BFE" w14:paraId="17A31B76" w14:textId="77777777" w:rsidTr="00243B15">
        <w:trPr>
          <w:jc w:val="center"/>
        </w:trPr>
        <w:tc>
          <w:tcPr>
            <w:tcW w:w="1271" w:type="dxa"/>
            <w:tcBorders>
              <w:top w:val="single" w:sz="4" w:space="0" w:color="auto"/>
              <w:left w:val="single" w:sz="4" w:space="0" w:color="auto"/>
              <w:bottom w:val="single" w:sz="4" w:space="0" w:color="auto"/>
              <w:right w:val="single" w:sz="4" w:space="0" w:color="auto"/>
            </w:tcBorders>
            <w:hideMark/>
          </w:tcPr>
          <w:p w14:paraId="1D958767" w14:textId="77777777" w:rsidR="00302BFE" w:rsidRDefault="00302BFE" w:rsidP="00243B15">
            <w:pPr>
              <w:spacing w:after="0"/>
              <w:rPr>
                <w:sz w:val="18"/>
                <w:szCs w:val="18"/>
              </w:rPr>
            </w:pPr>
            <w:r>
              <w:rPr>
                <w:sz w:val="18"/>
                <w:szCs w:val="18"/>
              </w:rPr>
              <w:t>Kountioro</w:t>
            </w:r>
          </w:p>
        </w:tc>
        <w:tc>
          <w:tcPr>
            <w:tcW w:w="1028" w:type="dxa"/>
            <w:tcBorders>
              <w:top w:val="single" w:sz="4" w:space="0" w:color="auto"/>
              <w:left w:val="single" w:sz="4" w:space="0" w:color="auto"/>
              <w:bottom w:val="single" w:sz="4" w:space="0" w:color="auto"/>
              <w:right w:val="single" w:sz="4" w:space="0" w:color="auto"/>
            </w:tcBorders>
            <w:hideMark/>
          </w:tcPr>
          <w:p w14:paraId="0C784CB1" w14:textId="77777777" w:rsidR="00302BFE" w:rsidRDefault="00302BFE" w:rsidP="00243B15">
            <w:pPr>
              <w:spacing w:after="0"/>
              <w:rPr>
                <w:sz w:val="18"/>
                <w:szCs w:val="18"/>
              </w:rPr>
            </w:pPr>
            <w:r>
              <w:rPr>
                <w:sz w:val="18"/>
                <w:szCs w:val="18"/>
              </w:rPr>
              <w:t>2,257</w:t>
            </w:r>
          </w:p>
        </w:tc>
        <w:tc>
          <w:tcPr>
            <w:tcW w:w="1410" w:type="dxa"/>
            <w:tcBorders>
              <w:top w:val="single" w:sz="4" w:space="0" w:color="auto"/>
              <w:left w:val="single" w:sz="4" w:space="0" w:color="auto"/>
              <w:bottom w:val="single" w:sz="4" w:space="0" w:color="auto"/>
              <w:right w:val="single" w:sz="4" w:space="0" w:color="auto"/>
            </w:tcBorders>
            <w:hideMark/>
          </w:tcPr>
          <w:p w14:paraId="7E22E6B5" w14:textId="77777777" w:rsidR="00302BFE" w:rsidRDefault="00302BFE" w:rsidP="00243B15">
            <w:pPr>
              <w:spacing w:after="0"/>
              <w:rPr>
                <w:sz w:val="18"/>
                <w:szCs w:val="18"/>
              </w:rPr>
            </w:pPr>
            <w:r>
              <w:rPr>
                <w:sz w:val="18"/>
                <w:szCs w:val="18"/>
              </w:rPr>
              <w:t>ZOVIC</w:t>
            </w:r>
          </w:p>
        </w:tc>
        <w:tc>
          <w:tcPr>
            <w:tcW w:w="805" w:type="dxa"/>
            <w:tcBorders>
              <w:top w:val="single" w:sz="4" w:space="0" w:color="auto"/>
              <w:left w:val="single" w:sz="4" w:space="0" w:color="auto"/>
              <w:bottom w:val="single" w:sz="4" w:space="0" w:color="auto"/>
              <w:right w:val="single" w:sz="4" w:space="0" w:color="auto"/>
            </w:tcBorders>
            <w:hideMark/>
          </w:tcPr>
          <w:p w14:paraId="1BF9A7BD" w14:textId="77777777" w:rsidR="00302BFE" w:rsidRDefault="00302BFE" w:rsidP="00243B15">
            <w:pPr>
              <w:spacing w:after="0"/>
              <w:rPr>
                <w:sz w:val="18"/>
                <w:szCs w:val="18"/>
              </w:rPr>
            </w:pPr>
            <w:r>
              <w:rPr>
                <w:sz w:val="18"/>
                <w:szCs w:val="18"/>
              </w:rPr>
              <w:t>VI</w:t>
            </w:r>
          </w:p>
        </w:tc>
        <w:tc>
          <w:tcPr>
            <w:tcW w:w="1019" w:type="dxa"/>
            <w:tcBorders>
              <w:top w:val="single" w:sz="4" w:space="0" w:color="auto"/>
              <w:left w:val="single" w:sz="4" w:space="0" w:color="auto"/>
              <w:bottom w:val="single" w:sz="4" w:space="0" w:color="auto"/>
              <w:right w:val="single" w:sz="4" w:space="0" w:color="auto"/>
            </w:tcBorders>
            <w:hideMark/>
          </w:tcPr>
          <w:p w14:paraId="53A4CC69" w14:textId="77777777" w:rsidR="00302BFE" w:rsidRDefault="00302BFE" w:rsidP="00243B15">
            <w:pPr>
              <w:spacing w:after="0"/>
              <w:rPr>
                <w:sz w:val="16"/>
                <w:szCs w:val="16"/>
              </w:rPr>
            </w:pPr>
            <w:r>
              <w:rPr>
                <w:sz w:val="16"/>
                <w:szCs w:val="16"/>
              </w:rPr>
              <w:t>CVGF</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42AE4F" w14:textId="77777777" w:rsidR="00302BFE" w:rsidRDefault="00302BFE" w:rsidP="00243B15">
            <w:pPr>
              <w:spacing w:after="0"/>
              <w:jc w:val="left"/>
              <w:rPr>
                <w:sz w:val="18"/>
                <w:szCs w:val="18"/>
                <w:lang w:val="fr-CA"/>
              </w:rPr>
            </w:pPr>
          </w:p>
        </w:tc>
        <w:tc>
          <w:tcPr>
            <w:tcW w:w="963" w:type="dxa"/>
            <w:tcBorders>
              <w:top w:val="single" w:sz="4" w:space="0" w:color="auto"/>
              <w:left w:val="single" w:sz="4" w:space="0" w:color="auto"/>
              <w:bottom w:val="single" w:sz="4" w:space="0" w:color="auto"/>
              <w:right w:val="single" w:sz="4" w:space="0" w:color="auto"/>
            </w:tcBorders>
            <w:hideMark/>
          </w:tcPr>
          <w:p w14:paraId="3D26088E" w14:textId="77777777" w:rsidR="00302BFE" w:rsidRDefault="00302BFE" w:rsidP="00243B15">
            <w:pPr>
              <w:spacing w:after="0"/>
              <w:rPr>
                <w:sz w:val="16"/>
                <w:szCs w:val="16"/>
              </w:rPr>
            </w:pPr>
            <w:r>
              <w:rPr>
                <w:sz w:val="16"/>
                <w:szCs w:val="16"/>
              </w:rPr>
              <w:t>Created 1989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23132A" w14:textId="77777777" w:rsidR="00302BFE" w:rsidRDefault="00302BFE" w:rsidP="00243B15">
            <w:pPr>
              <w:spacing w:after="0"/>
              <w:jc w:val="left"/>
              <w:rPr>
                <w:sz w:val="16"/>
                <w:szCs w:val="16"/>
                <w:lang w:val="fr-CA"/>
              </w:rPr>
            </w:pPr>
          </w:p>
        </w:tc>
      </w:tr>
      <w:tr w:rsidR="00302BFE" w14:paraId="67BFD257" w14:textId="77777777" w:rsidTr="00243B15">
        <w:trPr>
          <w:jc w:val="center"/>
        </w:trPr>
        <w:tc>
          <w:tcPr>
            <w:tcW w:w="1271" w:type="dxa"/>
            <w:tcBorders>
              <w:top w:val="single" w:sz="4" w:space="0" w:color="auto"/>
              <w:left w:val="single" w:sz="4" w:space="0" w:color="auto"/>
              <w:bottom w:val="single" w:sz="4" w:space="0" w:color="auto"/>
              <w:right w:val="single" w:sz="4" w:space="0" w:color="auto"/>
            </w:tcBorders>
            <w:hideMark/>
          </w:tcPr>
          <w:p w14:paraId="6761323D" w14:textId="77777777" w:rsidR="00302BFE" w:rsidRDefault="00302BFE" w:rsidP="00243B15">
            <w:pPr>
              <w:spacing w:after="0"/>
              <w:rPr>
                <w:sz w:val="18"/>
                <w:szCs w:val="18"/>
              </w:rPr>
            </w:pPr>
            <w:r>
              <w:rPr>
                <w:sz w:val="18"/>
                <w:szCs w:val="18"/>
              </w:rPr>
              <w:t>Natiédougou</w:t>
            </w:r>
          </w:p>
        </w:tc>
        <w:tc>
          <w:tcPr>
            <w:tcW w:w="1028" w:type="dxa"/>
            <w:tcBorders>
              <w:top w:val="single" w:sz="4" w:space="0" w:color="auto"/>
              <w:left w:val="single" w:sz="4" w:space="0" w:color="auto"/>
              <w:bottom w:val="single" w:sz="4" w:space="0" w:color="auto"/>
              <w:right w:val="single" w:sz="4" w:space="0" w:color="auto"/>
            </w:tcBorders>
            <w:hideMark/>
          </w:tcPr>
          <w:p w14:paraId="16D14D17" w14:textId="77777777" w:rsidR="00302BFE" w:rsidRDefault="00302BFE" w:rsidP="00243B15">
            <w:pPr>
              <w:spacing w:after="0"/>
              <w:rPr>
                <w:sz w:val="18"/>
                <w:szCs w:val="18"/>
              </w:rPr>
            </w:pPr>
            <w:r>
              <w:rPr>
                <w:sz w:val="18"/>
                <w:szCs w:val="18"/>
              </w:rPr>
              <w:t>544</w:t>
            </w:r>
          </w:p>
        </w:tc>
        <w:tc>
          <w:tcPr>
            <w:tcW w:w="1410" w:type="dxa"/>
            <w:tcBorders>
              <w:top w:val="single" w:sz="4" w:space="0" w:color="auto"/>
              <w:left w:val="single" w:sz="4" w:space="0" w:color="auto"/>
              <w:bottom w:val="single" w:sz="4" w:space="0" w:color="auto"/>
              <w:right w:val="single" w:sz="4" w:space="0" w:color="auto"/>
            </w:tcBorders>
            <w:hideMark/>
          </w:tcPr>
          <w:p w14:paraId="768739A7" w14:textId="77777777" w:rsidR="00302BFE" w:rsidRDefault="00302BFE" w:rsidP="00243B15">
            <w:pPr>
              <w:spacing w:after="0"/>
              <w:rPr>
                <w:sz w:val="18"/>
                <w:szCs w:val="18"/>
              </w:rPr>
            </w:pPr>
            <w:r>
              <w:rPr>
                <w:sz w:val="18"/>
                <w:szCs w:val="18"/>
              </w:rPr>
              <w:t>ZOVIC</w:t>
            </w:r>
          </w:p>
        </w:tc>
        <w:tc>
          <w:tcPr>
            <w:tcW w:w="805" w:type="dxa"/>
            <w:tcBorders>
              <w:top w:val="single" w:sz="4" w:space="0" w:color="auto"/>
              <w:left w:val="single" w:sz="4" w:space="0" w:color="auto"/>
              <w:bottom w:val="single" w:sz="4" w:space="0" w:color="auto"/>
              <w:right w:val="single" w:sz="4" w:space="0" w:color="auto"/>
            </w:tcBorders>
            <w:hideMark/>
          </w:tcPr>
          <w:p w14:paraId="3CBBB4C1" w14:textId="77777777" w:rsidR="00302BFE" w:rsidRDefault="00302BFE" w:rsidP="00243B15">
            <w:pPr>
              <w:spacing w:after="0"/>
              <w:rPr>
                <w:sz w:val="18"/>
                <w:szCs w:val="18"/>
              </w:rPr>
            </w:pPr>
            <w:r>
              <w:rPr>
                <w:sz w:val="18"/>
                <w:szCs w:val="18"/>
              </w:rPr>
              <w:t>VI</w:t>
            </w:r>
          </w:p>
        </w:tc>
        <w:tc>
          <w:tcPr>
            <w:tcW w:w="1019" w:type="dxa"/>
            <w:tcBorders>
              <w:top w:val="single" w:sz="4" w:space="0" w:color="auto"/>
              <w:left w:val="single" w:sz="4" w:space="0" w:color="auto"/>
              <w:bottom w:val="single" w:sz="4" w:space="0" w:color="auto"/>
              <w:right w:val="single" w:sz="4" w:space="0" w:color="auto"/>
            </w:tcBorders>
            <w:hideMark/>
          </w:tcPr>
          <w:p w14:paraId="081217F9" w14:textId="77777777" w:rsidR="00302BFE" w:rsidRDefault="00302BFE" w:rsidP="00243B15">
            <w:pPr>
              <w:spacing w:after="0"/>
              <w:rPr>
                <w:sz w:val="16"/>
                <w:szCs w:val="16"/>
              </w:rPr>
            </w:pPr>
            <w:r>
              <w:rPr>
                <w:sz w:val="16"/>
                <w:szCs w:val="16"/>
              </w:rPr>
              <w:t>CVGF</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2E665A" w14:textId="77777777" w:rsidR="00302BFE" w:rsidRDefault="00302BFE" w:rsidP="00243B15">
            <w:pPr>
              <w:spacing w:after="0"/>
              <w:jc w:val="left"/>
              <w:rPr>
                <w:sz w:val="18"/>
                <w:szCs w:val="18"/>
                <w:lang w:val="fr-CA"/>
              </w:rPr>
            </w:pPr>
          </w:p>
        </w:tc>
        <w:tc>
          <w:tcPr>
            <w:tcW w:w="963" w:type="dxa"/>
            <w:tcBorders>
              <w:top w:val="single" w:sz="4" w:space="0" w:color="auto"/>
              <w:left w:val="single" w:sz="4" w:space="0" w:color="auto"/>
              <w:bottom w:val="single" w:sz="4" w:space="0" w:color="auto"/>
              <w:right w:val="single" w:sz="4" w:space="0" w:color="auto"/>
            </w:tcBorders>
            <w:hideMark/>
          </w:tcPr>
          <w:p w14:paraId="44195BB1" w14:textId="77777777" w:rsidR="00302BFE" w:rsidRDefault="00302BFE" w:rsidP="00243B15">
            <w:pPr>
              <w:spacing w:after="0"/>
              <w:rPr>
                <w:sz w:val="16"/>
                <w:szCs w:val="16"/>
              </w:rPr>
            </w:pPr>
            <w:r>
              <w:rPr>
                <w:sz w:val="16"/>
                <w:szCs w:val="16"/>
              </w:rPr>
              <w:t>Created 1989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DF7CB4" w14:textId="77777777" w:rsidR="00302BFE" w:rsidRDefault="00302BFE" w:rsidP="00243B15">
            <w:pPr>
              <w:spacing w:after="0"/>
              <w:jc w:val="left"/>
              <w:rPr>
                <w:sz w:val="16"/>
                <w:szCs w:val="16"/>
                <w:lang w:val="fr-CA"/>
              </w:rPr>
            </w:pPr>
          </w:p>
        </w:tc>
      </w:tr>
      <w:tr w:rsidR="00302BFE" w14:paraId="5274FAB7" w14:textId="77777777" w:rsidTr="00243B15">
        <w:trPr>
          <w:jc w:val="center"/>
        </w:trPr>
        <w:tc>
          <w:tcPr>
            <w:tcW w:w="1271" w:type="dxa"/>
            <w:tcBorders>
              <w:top w:val="single" w:sz="4" w:space="0" w:color="auto"/>
              <w:left w:val="single" w:sz="4" w:space="0" w:color="auto"/>
              <w:bottom w:val="single" w:sz="4" w:space="0" w:color="auto"/>
              <w:right w:val="single" w:sz="4" w:space="0" w:color="auto"/>
            </w:tcBorders>
            <w:hideMark/>
          </w:tcPr>
          <w:p w14:paraId="44F54259" w14:textId="77777777" w:rsidR="00302BFE" w:rsidRDefault="00302BFE" w:rsidP="00243B15">
            <w:pPr>
              <w:spacing w:after="0"/>
              <w:rPr>
                <w:sz w:val="18"/>
                <w:szCs w:val="18"/>
              </w:rPr>
            </w:pPr>
            <w:r>
              <w:rPr>
                <w:sz w:val="18"/>
                <w:szCs w:val="18"/>
              </w:rPr>
              <w:t>Walem-Tiakané</w:t>
            </w:r>
          </w:p>
        </w:tc>
        <w:tc>
          <w:tcPr>
            <w:tcW w:w="1028" w:type="dxa"/>
            <w:tcBorders>
              <w:top w:val="single" w:sz="4" w:space="0" w:color="auto"/>
              <w:left w:val="single" w:sz="4" w:space="0" w:color="auto"/>
              <w:bottom w:val="single" w:sz="4" w:space="0" w:color="auto"/>
              <w:right w:val="single" w:sz="4" w:space="0" w:color="auto"/>
            </w:tcBorders>
            <w:hideMark/>
          </w:tcPr>
          <w:p w14:paraId="0FFF3C02" w14:textId="77777777" w:rsidR="00302BFE" w:rsidRDefault="00302BFE" w:rsidP="00243B15">
            <w:pPr>
              <w:spacing w:after="0"/>
              <w:rPr>
                <w:sz w:val="18"/>
                <w:szCs w:val="18"/>
              </w:rPr>
            </w:pPr>
            <w:r>
              <w:rPr>
                <w:sz w:val="18"/>
                <w:szCs w:val="18"/>
              </w:rPr>
              <w:t>3195</w:t>
            </w:r>
          </w:p>
        </w:tc>
        <w:tc>
          <w:tcPr>
            <w:tcW w:w="1410" w:type="dxa"/>
            <w:tcBorders>
              <w:top w:val="single" w:sz="4" w:space="0" w:color="auto"/>
              <w:left w:val="single" w:sz="4" w:space="0" w:color="auto"/>
              <w:bottom w:val="single" w:sz="4" w:space="0" w:color="auto"/>
              <w:right w:val="single" w:sz="4" w:space="0" w:color="auto"/>
            </w:tcBorders>
            <w:hideMark/>
          </w:tcPr>
          <w:p w14:paraId="4DADCCE0" w14:textId="77777777" w:rsidR="00302BFE" w:rsidRDefault="00302BFE" w:rsidP="00243B15">
            <w:pPr>
              <w:spacing w:after="0"/>
              <w:rPr>
                <w:sz w:val="18"/>
                <w:szCs w:val="18"/>
              </w:rPr>
            </w:pPr>
            <w:r>
              <w:rPr>
                <w:sz w:val="18"/>
                <w:szCs w:val="18"/>
              </w:rPr>
              <w:t>ZOVIC</w:t>
            </w:r>
          </w:p>
        </w:tc>
        <w:tc>
          <w:tcPr>
            <w:tcW w:w="805" w:type="dxa"/>
            <w:tcBorders>
              <w:top w:val="single" w:sz="4" w:space="0" w:color="auto"/>
              <w:left w:val="single" w:sz="4" w:space="0" w:color="auto"/>
              <w:bottom w:val="single" w:sz="4" w:space="0" w:color="auto"/>
              <w:right w:val="single" w:sz="4" w:space="0" w:color="auto"/>
            </w:tcBorders>
            <w:hideMark/>
          </w:tcPr>
          <w:p w14:paraId="1F999767" w14:textId="77777777" w:rsidR="00302BFE" w:rsidRDefault="00302BFE" w:rsidP="00243B15">
            <w:pPr>
              <w:spacing w:after="0"/>
              <w:rPr>
                <w:sz w:val="18"/>
                <w:szCs w:val="18"/>
              </w:rPr>
            </w:pPr>
            <w:r>
              <w:rPr>
                <w:sz w:val="18"/>
                <w:szCs w:val="18"/>
              </w:rPr>
              <w:t>VI</w:t>
            </w:r>
          </w:p>
        </w:tc>
        <w:tc>
          <w:tcPr>
            <w:tcW w:w="1019" w:type="dxa"/>
            <w:tcBorders>
              <w:top w:val="single" w:sz="4" w:space="0" w:color="auto"/>
              <w:left w:val="single" w:sz="4" w:space="0" w:color="auto"/>
              <w:bottom w:val="single" w:sz="4" w:space="0" w:color="auto"/>
              <w:right w:val="single" w:sz="4" w:space="0" w:color="auto"/>
            </w:tcBorders>
            <w:hideMark/>
          </w:tcPr>
          <w:p w14:paraId="6251FEB7" w14:textId="77777777" w:rsidR="00302BFE" w:rsidRDefault="00302BFE" w:rsidP="00243B15">
            <w:pPr>
              <w:spacing w:after="0"/>
              <w:rPr>
                <w:sz w:val="16"/>
                <w:szCs w:val="16"/>
              </w:rPr>
            </w:pPr>
            <w:r>
              <w:rPr>
                <w:sz w:val="16"/>
                <w:szCs w:val="16"/>
              </w:rPr>
              <w:t>CVGF</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A5AA70" w14:textId="77777777" w:rsidR="00302BFE" w:rsidRDefault="00302BFE" w:rsidP="00243B15">
            <w:pPr>
              <w:spacing w:after="0"/>
              <w:jc w:val="left"/>
              <w:rPr>
                <w:sz w:val="18"/>
                <w:szCs w:val="18"/>
                <w:lang w:val="fr-CA"/>
              </w:rPr>
            </w:pPr>
          </w:p>
        </w:tc>
        <w:tc>
          <w:tcPr>
            <w:tcW w:w="963" w:type="dxa"/>
            <w:tcBorders>
              <w:top w:val="single" w:sz="4" w:space="0" w:color="auto"/>
              <w:left w:val="single" w:sz="4" w:space="0" w:color="auto"/>
              <w:bottom w:val="single" w:sz="4" w:space="0" w:color="auto"/>
              <w:right w:val="single" w:sz="4" w:space="0" w:color="auto"/>
            </w:tcBorders>
            <w:hideMark/>
          </w:tcPr>
          <w:p w14:paraId="34888379" w14:textId="77777777" w:rsidR="00302BFE" w:rsidRDefault="00302BFE" w:rsidP="00243B15">
            <w:pPr>
              <w:spacing w:after="0"/>
              <w:rPr>
                <w:sz w:val="16"/>
                <w:szCs w:val="16"/>
              </w:rPr>
            </w:pPr>
            <w:r>
              <w:rPr>
                <w:sz w:val="16"/>
                <w:szCs w:val="16"/>
              </w:rPr>
              <w:t>Created 1989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288B4D" w14:textId="77777777" w:rsidR="00302BFE" w:rsidRDefault="00302BFE" w:rsidP="00243B15">
            <w:pPr>
              <w:spacing w:after="0"/>
              <w:jc w:val="left"/>
              <w:rPr>
                <w:sz w:val="16"/>
                <w:szCs w:val="16"/>
                <w:lang w:val="fr-CA"/>
              </w:rPr>
            </w:pPr>
          </w:p>
        </w:tc>
      </w:tr>
      <w:tr w:rsidR="00302BFE" w14:paraId="65D55A89" w14:textId="77777777" w:rsidTr="00243B15">
        <w:trPr>
          <w:jc w:val="center"/>
        </w:trPr>
        <w:tc>
          <w:tcPr>
            <w:tcW w:w="1271" w:type="dxa"/>
            <w:tcBorders>
              <w:top w:val="single" w:sz="4" w:space="0" w:color="auto"/>
              <w:left w:val="single" w:sz="4" w:space="0" w:color="auto"/>
              <w:bottom w:val="single" w:sz="4" w:space="0" w:color="auto"/>
              <w:right w:val="single" w:sz="4" w:space="0" w:color="auto"/>
            </w:tcBorders>
            <w:hideMark/>
          </w:tcPr>
          <w:p w14:paraId="6CC30E20" w14:textId="77777777" w:rsidR="00302BFE" w:rsidRDefault="00302BFE" w:rsidP="00243B15">
            <w:pPr>
              <w:spacing w:after="0"/>
              <w:rPr>
                <w:sz w:val="18"/>
                <w:szCs w:val="18"/>
              </w:rPr>
            </w:pPr>
            <w:r>
              <w:rPr>
                <w:sz w:val="18"/>
                <w:szCs w:val="18"/>
              </w:rPr>
              <w:t>Saro</w:t>
            </w:r>
          </w:p>
        </w:tc>
        <w:tc>
          <w:tcPr>
            <w:tcW w:w="1028" w:type="dxa"/>
            <w:tcBorders>
              <w:top w:val="single" w:sz="4" w:space="0" w:color="auto"/>
              <w:left w:val="single" w:sz="4" w:space="0" w:color="auto"/>
              <w:bottom w:val="single" w:sz="4" w:space="0" w:color="auto"/>
              <w:right w:val="single" w:sz="4" w:space="0" w:color="auto"/>
            </w:tcBorders>
            <w:hideMark/>
          </w:tcPr>
          <w:p w14:paraId="1201E50D" w14:textId="77777777" w:rsidR="00302BFE" w:rsidRDefault="00302BFE" w:rsidP="00243B15">
            <w:pPr>
              <w:spacing w:after="0"/>
              <w:rPr>
                <w:sz w:val="18"/>
                <w:szCs w:val="18"/>
              </w:rPr>
            </w:pPr>
            <w:r>
              <w:rPr>
                <w:sz w:val="18"/>
                <w:szCs w:val="18"/>
              </w:rPr>
              <w:t>853</w:t>
            </w:r>
          </w:p>
        </w:tc>
        <w:tc>
          <w:tcPr>
            <w:tcW w:w="1410" w:type="dxa"/>
            <w:tcBorders>
              <w:top w:val="single" w:sz="4" w:space="0" w:color="auto"/>
              <w:left w:val="single" w:sz="4" w:space="0" w:color="auto"/>
              <w:bottom w:val="single" w:sz="4" w:space="0" w:color="auto"/>
              <w:right w:val="single" w:sz="4" w:space="0" w:color="auto"/>
            </w:tcBorders>
            <w:hideMark/>
          </w:tcPr>
          <w:p w14:paraId="6DBCEE46" w14:textId="77777777" w:rsidR="00302BFE" w:rsidRDefault="00302BFE" w:rsidP="00243B15">
            <w:pPr>
              <w:spacing w:after="0"/>
              <w:rPr>
                <w:sz w:val="18"/>
                <w:szCs w:val="18"/>
              </w:rPr>
            </w:pPr>
            <w:r>
              <w:rPr>
                <w:sz w:val="18"/>
                <w:szCs w:val="18"/>
              </w:rPr>
              <w:t>ZOVIC</w:t>
            </w:r>
          </w:p>
        </w:tc>
        <w:tc>
          <w:tcPr>
            <w:tcW w:w="805" w:type="dxa"/>
            <w:tcBorders>
              <w:top w:val="single" w:sz="4" w:space="0" w:color="auto"/>
              <w:left w:val="single" w:sz="4" w:space="0" w:color="auto"/>
              <w:bottom w:val="single" w:sz="4" w:space="0" w:color="auto"/>
              <w:right w:val="single" w:sz="4" w:space="0" w:color="auto"/>
            </w:tcBorders>
            <w:hideMark/>
          </w:tcPr>
          <w:p w14:paraId="040DE95F" w14:textId="77777777" w:rsidR="00302BFE" w:rsidRDefault="00302BFE" w:rsidP="00243B15">
            <w:pPr>
              <w:spacing w:after="0"/>
              <w:rPr>
                <w:sz w:val="18"/>
                <w:szCs w:val="18"/>
              </w:rPr>
            </w:pPr>
            <w:r>
              <w:rPr>
                <w:sz w:val="18"/>
                <w:szCs w:val="18"/>
              </w:rPr>
              <w:t>VI</w:t>
            </w:r>
          </w:p>
        </w:tc>
        <w:tc>
          <w:tcPr>
            <w:tcW w:w="1019" w:type="dxa"/>
            <w:tcBorders>
              <w:top w:val="single" w:sz="4" w:space="0" w:color="auto"/>
              <w:left w:val="single" w:sz="4" w:space="0" w:color="auto"/>
              <w:bottom w:val="single" w:sz="4" w:space="0" w:color="auto"/>
              <w:right w:val="single" w:sz="4" w:space="0" w:color="auto"/>
            </w:tcBorders>
            <w:hideMark/>
          </w:tcPr>
          <w:p w14:paraId="24BE9165" w14:textId="77777777" w:rsidR="00302BFE" w:rsidRDefault="00302BFE" w:rsidP="00243B15">
            <w:pPr>
              <w:spacing w:after="0"/>
              <w:rPr>
                <w:sz w:val="16"/>
                <w:szCs w:val="16"/>
              </w:rPr>
            </w:pPr>
            <w:r>
              <w:rPr>
                <w:sz w:val="16"/>
                <w:szCs w:val="16"/>
              </w:rPr>
              <w:t>CVGF</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DC85CA" w14:textId="77777777" w:rsidR="00302BFE" w:rsidRDefault="00302BFE" w:rsidP="00243B15">
            <w:pPr>
              <w:spacing w:after="0"/>
              <w:jc w:val="left"/>
              <w:rPr>
                <w:sz w:val="18"/>
                <w:szCs w:val="18"/>
                <w:lang w:val="fr-CA"/>
              </w:rPr>
            </w:pPr>
          </w:p>
        </w:tc>
        <w:tc>
          <w:tcPr>
            <w:tcW w:w="963" w:type="dxa"/>
            <w:tcBorders>
              <w:top w:val="single" w:sz="4" w:space="0" w:color="auto"/>
              <w:left w:val="single" w:sz="4" w:space="0" w:color="auto"/>
              <w:bottom w:val="single" w:sz="4" w:space="0" w:color="auto"/>
              <w:right w:val="single" w:sz="4" w:space="0" w:color="auto"/>
            </w:tcBorders>
            <w:hideMark/>
          </w:tcPr>
          <w:p w14:paraId="500575C4" w14:textId="77777777" w:rsidR="00302BFE" w:rsidRDefault="00302BFE" w:rsidP="00243B15">
            <w:pPr>
              <w:spacing w:after="0"/>
              <w:rPr>
                <w:sz w:val="16"/>
                <w:szCs w:val="16"/>
              </w:rPr>
            </w:pPr>
            <w:r>
              <w:rPr>
                <w:sz w:val="16"/>
                <w:szCs w:val="16"/>
              </w:rPr>
              <w:t>Created 1989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83C2CE" w14:textId="77777777" w:rsidR="00302BFE" w:rsidRDefault="00302BFE" w:rsidP="00243B15">
            <w:pPr>
              <w:spacing w:after="0"/>
              <w:jc w:val="left"/>
              <w:rPr>
                <w:sz w:val="16"/>
                <w:szCs w:val="16"/>
                <w:lang w:val="fr-CA"/>
              </w:rPr>
            </w:pPr>
          </w:p>
        </w:tc>
      </w:tr>
      <w:tr w:rsidR="00302BFE" w14:paraId="4E9F9DDE" w14:textId="77777777" w:rsidTr="00243B15">
        <w:trPr>
          <w:jc w:val="center"/>
        </w:trPr>
        <w:tc>
          <w:tcPr>
            <w:tcW w:w="1271" w:type="dxa"/>
            <w:tcBorders>
              <w:top w:val="single" w:sz="4" w:space="0" w:color="auto"/>
              <w:left w:val="single" w:sz="4" w:space="0" w:color="auto"/>
              <w:bottom w:val="single" w:sz="4" w:space="0" w:color="auto"/>
              <w:right w:val="single" w:sz="4" w:space="0" w:color="auto"/>
            </w:tcBorders>
            <w:hideMark/>
          </w:tcPr>
          <w:p w14:paraId="44FF23CB" w14:textId="77777777" w:rsidR="00302BFE" w:rsidRDefault="00302BFE" w:rsidP="00243B15">
            <w:pPr>
              <w:spacing w:after="0"/>
              <w:rPr>
                <w:sz w:val="18"/>
                <w:szCs w:val="18"/>
              </w:rPr>
            </w:pPr>
            <w:r>
              <w:rPr>
                <w:sz w:val="18"/>
                <w:szCs w:val="18"/>
              </w:rPr>
              <w:t>Sya</w:t>
            </w:r>
          </w:p>
        </w:tc>
        <w:tc>
          <w:tcPr>
            <w:tcW w:w="1028" w:type="dxa"/>
            <w:tcBorders>
              <w:top w:val="single" w:sz="4" w:space="0" w:color="auto"/>
              <w:left w:val="single" w:sz="4" w:space="0" w:color="auto"/>
              <w:bottom w:val="single" w:sz="4" w:space="0" w:color="auto"/>
              <w:right w:val="single" w:sz="4" w:space="0" w:color="auto"/>
            </w:tcBorders>
            <w:hideMark/>
          </w:tcPr>
          <w:p w14:paraId="0B0CFD6A" w14:textId="77777777" w:rsidR="00302BFE" w:rsidRDefault="00302BFE" w:rsidP="00243B15">
            <w:pPr>
              <w:spacing w:after="0"/>
              <w:rPr>
                <w:sz w:val="18"/>
                <w:szCs w:val="18"/>
              </w:rPr>
            </w:pPr>
            <w:r>
              <w:rPr>
                <w:sz w:val="18"/>
                <w:szCs w:val="18"/>
              </w:rPr>
              <w:t>1,265</w:t>
            </w:r>
          </w:p>
        </w:tc>
        <w:tc>
          <w:tcPr>
            <w:tcW w:w="1410" w:type="dxa"/>
            <w:tcBorders>
              <w:top w:val="single" w:sz="4" w:space="0" w:color="auto"/>
              <w:left w:val="single" w:sz="4" w:space="0" w:color="auto"/>
              <w:bottom w:val="single" w:sz="4" w:space="0" w:color="auto"/>
              <w:right w:val="single" w:sz="4" w:space="0" w:color="auto"/>
            </w:tcBorders>
            <w:hideMark/>
          </w:tcPr>
          <w:p w14:paraId="0C6276BF" w14:textId="77777777" w:rsidR="00302BFE" w:rsidRDefault="00302BFE" w:rsidP="00243B15">
            <w:pPr>
              <w:spacing w:after="0"/>
              <w:rPr>
                <w:sz w:val="18"/>
                <w:szCs w:val="18"/>
              </w:rPr>
            </w:pPr>
            <w:r>
              <w:rPr>
                <w:sz w:val="18"/>
                <w:szCs w:val="18"/>
              </w:rPr>
              <w:t>ZOVIC</w:t>
            </w:r>
          </w:p>
        </w:tc>
        <w:tc>
          <w:tcPr>
            <w:tcW w:w="805" w:type="dxa"/>
            <w:tcBorders>
              <w:top w:val="single" w:sz="4" w:space="0" w:color="auto"/>
              <w:left w:val="single" w:sz="4" w:space="0" w:color="auto"/>
              <w:bottom w:val="single" w:sz="4" w:space="0" w:color="auto"/>
              <w:right w:val="single" w:sz="4" w:space="0" w:color="auto"/>
            </w:tcBorders>
            <w:hideMark/>
          </w:tcPr>
          <w:p w14:paraId="38722972" w14:textId="77777777" w:rsidR="00302BFE" w:rsidRDefault="00302BFE" w:rsidP="00243B15">
            <w:pPr>
              <w:spacing w:after="0"/>
              <w:rPr>
                <w:sz w:val="18"/>
                <w:szCs w:val="18"/>
              </w:rPr>
            </w:pPr>
            <w:r>
              <w:rPr>
                <w:sz w:val="18"/>
                <w:szCs w:val="18"/>
              </w:rPr>
              <w:t>VI</w:t>
            </w:r>
          </w:p>
        </w:tc>
        <w:tc>
          <w:tcPr>
            <w:tcW w:w="1019" w:type="dxa"/>
            <w:tcBorders>
              <w:top w:val="single" w:sz="4" w:space="0" w:color="auto"/>
              <w:left w:val="single" w:sz="4" w:space="0" w:color="auto"/>
              <w:bottom w:val="single" w:sz="4" w:space="0" w:color="auto"/>
              <w:right w:val="single" w:sz="4" w:space="0" w:color="auto"/>
            </w:tcBorders>
            <w:hideMark/>
          </w:tcPr>
          <w:p w14:paraId="0EACCCC3" w14:textId="77777777" w:rsidR="00302BFE" w:rsidRDefault="00302BFE" w:rsidP="00243B15">
            <w:pPr>
              <w:spacing w:after="0"/>
              <w:rPr>
                <w:sz w:val="16"/>
                <w:szCs w:val="16"/>
              </w:rPr>
            </w:pPr>
            <w:r>
              <w:rPr>
                <w:sz w:val="16"/>
                <w:szCs w:val="16"/>
              </w:rPr>
              <w:t>CVGF</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382038" w14:textId="77777777" w:rsidR="00302BFE" w:rsidRDefault="00302BFE" w:rsidP="00243B15">
            <w:pPr>
              <w:spacing w:after="0"/>
              <w:jc w:val="left"/>
              <w:rPr>
                <w:sz w:val="18"/>
                <w:szCs w:val="18"/>
                <w:lang w:val="fr-CA"/>
              </w:rPr>
            </w:pPr>
          </w:p>
        </w:tc>
        <w:tc>
          <w:tcPr>
            <w:tcW w:w="963" w:type="dxa"/>
            <w:tcBorders>
              <w:top w:val="single" w:sz="4" w:space="0" w:color="auto"/>
              <w:left w:val="single" w:sz="4" w:space="0" w:color="auto"/>
              <w:bottom w:val="single" w:sz="4" w:space="0" w:color="auto"/>
              <w:right w:val="single" w:sz="4" w:space="0" w:color="auto"/>
            </w:tcBorders>
            <w:hideMark/>
          </w:tcPr>
          <w:p w14:paraId="0238D3D9" w14:textId="77777777" w:rsidR="00302BFE" w:rsidRDefault="00302BFE" w:rsidP="00243B15">
            <w:pPr>
              <w:spacing w:after="0"/>
              <w:rPr>
                <w:sz w:val="16"/>
                <w:szCs w:val="16"/>
              </w:rPr>
            </w:pPr>
            <w:r>
              <w:rPr>
                <w:sz w:val="16"/>
                <w:szCs w:val="16"/>
              </w:rPr>
              <w:t>Created 1989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23D498" w14:textId="77777777" w:rsidR="00302BFE" w:rsidRDefault="00302BFE" w:rsidP="00243B15">
            <w:pPr>
              <w:spacing w:after="0"/>
              <w:jc w:val="left"/>
              <w:rPr>
                <w:sz w:val="16"/>
                <w:szCs w:val="16"/>
                <w:lang w:val="fr-CA"/>
              </w:rPr>
            </w:pPr>
          </w:p>
        </w:tc>
      </w:tr>
      <w:tr w:rsidR="00302BFE" w14:paraId="15A683C6" w14:textId="77777777" w:rsidTr="00243B15">
        <w:trPr>
          <w:jc w:val="center"/>
        </w:trPr>
        <w:tc>
          <w:tcPr>
            <w:tcW w:w="1271" w:type="dxa"/>
            <w:tcBorders>
              <w:top w:val="single" w:sz="4" w:space="0" w:color="auto"/>
              <w:left w:val="single" w:sz="4" w:space="0" w:color="auto"/>
              <w:bottom w:val="single" w:sz="4" w:space="0" w:color="auto"/>
              <w:right w:val="single" w:sz="4" w:space="0" w:color="auto"/>
            </w:tcBorders>
            <w:shd w:val="clear" w:color="auto" w:fill="D0CECE"/>
            <w:hideMark/>
          </w:tcPr>
          <w:p w14:paraId="5C78258A" w14:textId="77777777" w:rsidR="00302BFE" w:rsidRPr="007F697D" w:rsidRDefault="00302BFE" w:rsidP="00243B15">
            <w:pPr>
              <w:spacing w:after="0"/>
              <w:rPr>
                <w:b/>
                <w:sz w:val="17"/>
                <w:szCs w:val="17"/>
              </w:rPr>
            </w:pPr>
            <w:r w:rsidRPr="007F697D">
              <w:rPr>
                <w:b/>
                <w:sz w:val="17"/>
                <w:szCs w:val="17"/>
              </w:rPr>
              <w:t>Total area ZOVICs</w:t>
            </w:r>
          </w:p>
        </w:tc>
        <w:tc>
          <w:tcPr>
            <w:tcW w:w="1028" w:type="dxa"/>
            <w:tcBorders>
              <w:top w:val="single" w:sz="4" w:space="0" w:color="auto"/>
              <w:left w:val="single" w:sz="4" w:space="0" w:color="auto"/>
              <w:bottom w:val="single" w:sz="4" w:space="0" w:color="auto"/>
              <w:right w:val="single" w:sz="4" w:space="0" w:color="auto"/>
            </w:tcBorders>
            <w:shd w:val="clear" w:color="auto" w:fill="D0CECE"/>
            <w:hideMark/>
          </w:tcPr>
          <w:p w14:paraId="0844FB73" w14:textId="77777777" w:rsidR="00302BFE" w:rsidRDefault="00302BFE" w:rsidP="00243B15">
            <w:pPr>
              <w:spacing w:after="0"/>
              <w:rPr>
                <w:b/>
                <w:sz w:val="18"/>
                <w:szCs w:val="18"/>
              </w:rPr>
            </w:pPr>
            <w:r>
              <w:rPr>
                <w:b/>
                <w:sz w:val="18"/>
                <w:szCs w:val="18"/>
              </w:rPr>
              <w:t>24,281</w:t>
            </w:r>
          </w:p>
        </w:tc>
        <w:tc>
          <w:tcPr>
            <w:tcW w:w="6331" w:type="dxa"/>
            <w:gridSpan w:val="6"/>
            <w:tcBorders>
              <w:top w:val="single" w:sz="4" w:space="0" w:color="auto"/>
              <w:left w:val="single" w:sz="4" w:space="0" w:color="auto"/>
              <w:bottom w:val="single" w:sz="4" w:space="0" w:color="auto"/>
              <w:right w:val="single" w:sz="4" w:space="0" w:color="auto"/>
            </w:tcBorders>
          </w:tcPr>
          <w:p w14:paraId="596F15DC" w14:textId="77777777" w:rsidR="00302BFE" w:rsidRDefault="00302BFE" w:rsidP="00243B15">
            <w:pPr>
              <w:spacing w:after="0"/>
              <w:rPr>
                <w:sz w:val="18"/>
                <w:szCs w:val="18"/>
              </w:rPr>
            </w:pPr>
          </w:p>
        </w:tc>
      </w:tr>
      <w:tr w:rsidR="00302BFE" w14:paraId="1B169016" w14:textId="77777777" w:rsidTr="00243B15">
        <w:trPr>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hideMark/>
          </w:tcPr>
          <w:p w14:paraId="3019F728" w14:textId="77777777" w:rsidR="00302BFE" w:rsidRDefault="00302BFE" w:rsidP="00243B15">
            <w:pPr>
              <w:spacing w:after="0"/>
              <w:rPr>
                <w:b/>
                <w:sz w:val="18"/>
                <w:szCs w:val="18"/>
              </w:rPr>
            </w:pPr>
            <w:r>
              <w:rPr>
                <w:b/>
                <w:sz w:val="18"/>
                <w:szCs w:val="18"/>
              </w:rPr>
              <w:t>Total area PAs</w:t>
            </w:r>
          </w:p>
        </w:tc>
        <w:tc>
          <w:tcPr>
            <w:tcW w:w="1028" w:type="dxa"/>
            <w:tcBorders>
              <w:top w:val="single" w:sz="4" w:space="0" w:color="auto"/>
              <w:left w:val="single" w:sz="4" w:space="0" w:color="auto"/>
              <w:bottom w:val="single" w:sz="4" w:space="0" w:color="auto"/>
              <w:right w:val="single" w:sz="4" w:space="0" w:color="auto"/>
            </w:tcBorders>
            <w:shd w:val="clear" w:color="auto" w:fill="D9D9D9"/>
            <w:hideMark/>
          </w:tcPr>
          <w:p w14:paraId="6F2B8428" w14:textId="77777777" w:rsidR="00302BFE" w:rsidRDefault="00302BFE" w:rsidP="00243B15">
            <w:pPr>
              <w:spacing w:after="0"/>
              <w:rPr>
                <w:b/>
                <w:sz w:val="18"/>
                <w:szCs w:val="18"/>
              </w:rPr>
            </w:pPr>
            <w:r>
              <w:rPr>
                <w:b/>
                <w:sz w:val="18"/>
                <w:szCs w:val="18"/>
              </w:rPr>
              <w:t>354,781</w:t>
            </w:r>
          </w:p>
        </w:tc>
        <w:tc>
          <w:tcPr>
            <w:tcW w:w="1410" w:type="dxa"/>
            <w:tcBorders>
              <w:top w:val="single" w:sz="4" w:space="0" w:color="auto"/>
              <w:left w:val="single" w:sz="4" w:space="0" w:color="auto"/>
              <w:bottom w:val="single" w:sz="4" w:space="0" w:color="auto"/>
              <w:right w:val="single" w:sz="4" w:space="0" w:color="auto"/>
            </w:tcBorders>
          </w:tcPr>
          <w:p w14:paraId="7379EF6F" w14:textId="77777777" w:rsidR="00302BFE" w:rsidRDefault="00302BFE" w:rsidP="00243B15">
            <w:pPr>
              <w:spacing w:after="0"/>
              <w:rPr>
                <w:sz w:val="18"/>
                <w:szCs w:val="18"/>
              </w:rPr>
            </w:pPr>
          </w:p>
        </w:tc>
        <w:tc>
          <w:tcPr>
            <w:tcW w:w="805" w:type="dxa"/>
            <w:tcBorders>
              <w:top w:val="single" w:sz="4" w:space="0" w:color="auto"/>
              <w:left w:val="single" w:sz="4" w:space="0" w:color="auto"/>
              <w:bottom w:val="single" w:sz="4" w:space="0" w:color="auto"/>
              <w:right w:val="single" w:sz="4" w:space="0" w:color="auto"/>
            </w:tcBorders>
          </w:tcPr>
          <w:p w14:paraId="27E36DBC" w14:textId="77777777" w:rsidR="00302BFE" w:rsidRDefault="00302BFE" w:rsidP="00243B15">
            <w:pPr>
              <w:spacing w:after="0"/>
              <w:rPr>
                <w:sz w:val="18"/>
                <w:szCs w:val="18"/>
              </w:rPr>
            </w:pPr>
          </w:p>
        </w:tc>
        <w:tc>
          <w:tcPr>
            <w:tcW w:w="1019" w:type="dxa"/>
            <w:tcBorders>
              <w:top w:val="single" w:sz="4" w:space="0" w:color="auto"/>
              <w:left w:val="single" w:sz="4" w:space="0" w:color="auto"/>
              <w:bottom w:val="single" w:sz="4" w:space="0" w:color="auto"/>
              <w:right w:val="single" w:sz="4" w:space="0" w:color="auto"/>
            </w:tcBorders>
          </w:tcPr>
          <w:p w14:paraId="5AF59B3D" w14:textId="77777777" w:rsidR="00302BFE" w:rsidRDefault="00302BFE" w:rsidP="00243B15">
            <w:pPr>
              <w:spacing w:after="0"/>
              <w:rPr>
                <w:sz w:val="18"/>
                <w:szCs w:val="18"/>
                <w:lang w:val="en-CA"/>
              </w:rPr>
            </w:pPr>
          </w:p>
        </w:tc>
        <w:tc>
          <w:tcPr>
            <w:tcW w:w="1075" w:type="dxa"/>
            <w:tcBorders>
              <w:top w:val="single" w:sz="4" w:space="0" w:color="auto"/>
              <w:left w:val="single" w:sz="4" w:space="0" w:color="auto"/>
              <w:bottom w:val="single" w:sz="4" w:space="0" w:color="auto"/>
              <w:right w:val="single" w:sz="4" w:space="0" w:color="auto"/>
            </w:tcBorders>
          </w:tcPr>
          <w:p w14:paraId="1B515A1D" w14:textId="77777777" w:rsidR="00302BFE" w:rsidRDefault="00302BFE" w:rsidP="00243B15">
            <w:pPr>
              <w:spacing w:after="0"/>
              <w:rPr>
                <w:sz w:val="18"/>
                <w:szCs w:val="18"/>
                <w:lang w:val="en-CA"/>
              </w:rPr>
            </w:pPr>
          </w:p>
        </w:tc>
        <w:tc>
          <w:tcPr>
            <w:tcW w:w="963" w:type="dxa"/>
            <w:tcBorders>
              <w:top w:val="single" w:sz="4" w:space="0" w:color="auto"/>
              <w:left w:val="single" w:sz="4" w:space="0" w:color="auto"/>
              <w:bottom w:val="single" w:sz="4" w:space="0" w:color="auto"/>
              <w:right w:val="single" w:sz="4" w:space="0" w:color="auto"/>
            </w:tcBorders>
          </w:tcPr>
          <w:p w14:paraId="1AFAD40B" w14:textId="77777777" w:rsidR="00302BFE" w:rsidRDefault="00302BFE" w:rsidP="00243B15">
            <w:pPr>
              <w:spacing w:after="0"/>
              <w:rPr>
                <w:sz w:val="18"/>
                <w:szCs w:val="18"/>
                <w:lang w:val="en-CA"/>
              </w:rPr>
            </w:pPr>
          </w:p>
        </w:tc>
        <w:tc>
          <w:tcPr>
            <w:tcW w:w="1059" w:type="dxa"/>
            <w:tcBorders>
              <w:top w:val="single" w:sz="4" w:space="0" w:color="auto"/>
              <w:left w:val="single" w:sz="4" w:space="0" w:color="auto"/>
              <w:bottom w:val="single" w:sz="4" w:space="0" w:color="auto"/>
              <w:right w:val="single" w:sz="4" w:space="0" w:color="auto"/>
            </w:tcBorders>
          </w:tcPr>
          <w:p w14:paraId="23A564BE" w14:textId="77777777" w:rsidR="00302BFE" w:rsidRDefault="00302BFE" w:rsidP="00243B15">
            <w:pPr>
              <w:spacing w:after="0"/>
              <w:rPr>
                <w:sz w:val="18"/>
                <w:szCs w:val="18"/>
                <w:lang w:val="en-CA"/>
              </w:rPr>
            </w:pPr>
          </w:p>
        </w:tc>
      </w:tr>
    </w:tbl>
    <w:p w14:paraId="4BA26546" w14:textId="77777777" w:rsidR="00302BFE" w:rsidRDefault="00302BFE" w:rsidP="00302BFE">
      <w:pPr>
        <w:rPr>
          <w:lang w:val="en-CA"/>
        </w:rPr>
      </w:pPr>
    </w:p>
    <w:p w14:paraId="3013FAA2" w14:textId="77777777" w:rsidR="00302BFE" w:rsidRDefault="00302BFE" w:rsidP="00302BFE">
      <w:pPr>
        <w:spacing w:before="240" w:after="120"/>
        <w:rPr>
          <w:sz w:val="22"/>
          <w:szCs w:val="22"/>
          <w:lang w:val="fr-CA"/>
        </w:rPr>
      </w:pPr>
      <w:r>
        <w:rPr>
          <w:b/>
          <w:lang w:val="fr-CA"/>
        </w:rPr>
        <w:t xml:space="preserve">Table b. </w:t>
      </w:r>
      <w:r w:rsidRPr="00432006">
        <w:rPr>
          <w:b/>
          <w:lang w:val="fr-CA"/>
        </w:rPr>
        <w:t>Community management zones for natural resources</w:t>
      </w: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9"/>
        <w:gridCol w:w="1391"/>
        <w:gridCol w:w="1739"/>
        <w:gridCol w:w="1564"/>
        <w:gridCol w:w="1565"/>
        <w:gridCol w:w="1565"/>
      </w:tblGrid>
      <w:tr w:rsidR="00302BFE" w14:paraId="5315D677" w14:textId="77777777" w:rsidTr="00243B15">
        <w:trPr>
          <w:tblHeader/>
          <w:jc w:val="center"/>
        </w:trPr>
        <w:tc>
          <w:tcPr>
            <w:tcW w:w="2405" w:type="dxa"/>
            <w:tcBorders>
              <w:top w:val="single" w:sz="4" w:space="0" w:color="auto"/>
              <w:left w:val="single" w:sz="4" w:space="0" w:color="auto"/>
              <w:bottom w:val="single" w:sz="4" w:space="0" w:color="auto"/>
              <w:right w:val="single" w:sz="4" w:space="0" w:color="auto"/>
            </w:tcBorders>
            <w:shd w:val="clear" w:color="auto" w:fill="FFF2CC"/>
            <w:hideMark/>
          </w:tcPr>
          <w:p w14:paraId="0982E847" w14:textId="77777777" w:rsidR="00302BFE" w:rsidRDefault="00302BFE" w:rsidP="00243B15">
            <w:pPr>
              <w:spacing w:after="0"/>
              <w:rPr>
                <w:b/>
                <w:sz w:val="18"/>
                <w:szCs w:val="18"/>
              </w:rPr>
            </w:pPr>
            <w:r>
              <w:rPr>
                <w:b/>
                <w:sz w:val="18"/>
                <w:szCs w:val="18"/>
              </w:rPr>
              <w:t>Name</w:t>
            </w:r>
          </w:p>
        </w:tc>
        <w:tc>
          <w:tcPr>
            <w:tcW w:w="1134" w:type="dxa"/>
            <w:tcBorders>
              <w:top w:val="single" w:sz="4" w:space="0" w:color="auto"/>
              <w:left w:val="single" w:sz="4" w:space="0" w:color="auto"/>
              <w:bottom w:val="single" w:sz="4" w:space="0" w:color="auto"/>
              <w:right w:val="single" w:sz="4" w:space="0" w:color="auto"/>
            </w:tcBorders>
            <w:shd w:val="clear" w:color="auto" w:fill="FFF2CC"/>
            <w:hideMark/>
          </w:tcPr>
          <w:p w14:paraId="7E15B3F2" w14:textId="77777777" w:rsidR="00302BFE" w:rsidRDefault="00302BFE" w:rsidP="00243B15">
            <w:pPr>
              <w:spacing w:after="0"/>
              <w:rPr>
                <w:b/>
                <w:sz w:val="18"/>
                <w:szCs w:val="18"/>
              </w:rPr>
            </w:pPr>
            <w:r>
              <w:rPr>
                <w:b/>
                <w:sz w:val="18"/>
                <w:szCs w:val="18"/>
              </w:rPr>
              <w:t>Area (ha)</w:t>
            </w:r>
          </w:p>
        </w:tc>
        <w:tc>
          <w:tcPr>
            <w:tcW w:w="1418" w:type="dxa"/>
            <w:tcBorders>
              <w:top w:val="single" w:sz="4" w:space="0" w:color="auto"/>
              <w:left w:val="single" w:sz="4" w:space="0" w:color="auto"/>
              <w:bottom w:val="single" w:sz="4" w:space="0" w:color="auto"/>
              <w:right w:val="single" w:sz="4" w:space="0" w:color="auto"/>
            </w:tcBorders>
            <w:shd w:val="clear" w:color="auto" w:fill="FFF2CC"/>
            <w:hideMark/>
          </w:tcPr>
          <w:p w14:paraId="21A5480C" w14:textId="77777777" w:rsidR="00302BFE" w:rsidRDefault="00302BFE" w:rsidP="00243B15">
            <w:pPr>
              <w:spacing w:after="0"/>
              <w:rPr>
                <w:b/>
                <w:sz w:val="18"/>
                <w:szCs w:val="18"/>
              </w:rPr>
            </w:pPr>
            <w:r>
              <w:rPr>
                <w:b/>
                <w:sz w:val="18"/>
                <w:szCs w:val="18"/>
              </w:rPr>
              <w:t xml:space="preserve">National classification </w:t>
            </w:r>
          </w:p>
        </w:tc>
        <w:tc>
          <w:tcPr>
            <w:tcW w:w="1275" w:type="dxa"/>
            <w:tcBorders>
              <w:top w:val="single" w:sz="4" w:space="0" w:color="auto"/>
              <w:left w:val="single" w:sz="4" w:space="0" w:color="auto"/>
              <w:bottom w:val="single" w:sz="4" w:space="0" w:color="auto"/>
              <w:right w:val="single" w:sz="4" w:space="0" w:color="auto"/>
            </w:tcBorders>
            <w:shd w:val="clear" w:color="auto" w:fill="FFF2CC"/>
            <w:hideMark/>
          </w:tcPr>
          <w:p w14:paraId="5CC9B505" w14:textId="77777777" w:rsidR="00302BFE" w:rsidRDefault="00302BFE" w:rsidP="00243B15">
            <w:pPr>
              <w:spacing w:after="0"/>
              <w:rPr>
                <w:b/>
                <w:sz w:val="18"/>
                <w:szCs w:val="18"/>
              </w:rPr>
            </w:pPr>
            <w:r>
              <w:rPr>
                <w:b/>
                <w:sz w:val="18"/>
                <w:szCs w:val="18"/>
              </w:rPr>
              <w:t>M</w:t>
            </w:r>
            <w:r w:rsidRPr="00432006">
              <w:rPr>
                <w:b/>
                <w:sz w:val="18"/>
                <w:szCs w:val="18"/>
              </w:rPr>
              <w:t xml:space="preserve">anagement </w:t>
            </w:r>
            <w:r>
              <w:rPr>
                <w:b/>
                <w:sz w:val="18"/>
                <w:szCs w:val="18"/>
              </w:rPr>
              <w:t>unit</w:t>
            </w:r>
          </w:p>
        </w:tc>
        <w:tc>
          <w:tcPr>
            <w:tcW w:w="1276" w:type="dxa"/>
            <w:tcBorders>
              <w:top w:val="single" w:sz="4" w:space="0" w:color="auto"/>
              <w:left w:val="single" w:sz="4" w:space="0" w:color="auto"/>
              <w:bottom w:val="single" w:sz="4" w:space="0" w:color="auto"/>
              <w:right w:val="single" w:sz="4" w:space="0" w:color="auto"/>
            </w:tcBorders>
            <w:shd w:val="clear" w:color="auto" w:fill="FFF2CC"/>
            <w:hideMark/>
          </w:tcPr>
          <w:p w14:paraId="413277A7" w14:textId="77777777" w:rsidR="00302BFE" w:rsidRDefault="00302BFE" w:rsidP="00243B15">
            <w:pPr>
              <w:spacing w:after="0"/>
              <w:rPr>
                <w:b/>
                <w:sz w:val="18"/>
                <w:szCs w:val="18"/>
              </w:rPr>
            </w:pPr>
            <w:r>
              <w:rPr>
                <w:b/>
                <w:sz w:val="18"/>
                <w:szCs w:val="18"/>
              </w:rPr>
              <w:t>M</w:t>
            </w:r>
            <w:r w:rsidRPr="00432006">
              <w:rPr>
                <w:b/>
                <w:sz w:val="18"/>
                <w:szCs w:val="18"/>
              </w:rPr>
              <w:t xml:space="preserve">anagement </w:t>
            </w:r>
            <w:r>
              <w:rPr>
                <w:b/>
                <w:sz w:val="18"/>
                <w:szCs w:val="18"/>
              </w:rPr>
              <w:t>plan</w:t>
            </w:r>
          </w:p>
        </w:tc>
        <w:tc>
          <w:tcPr>
            <w:tcW w:w="1276" w:type="dxa"/>
            <w:tcBorders>
              <w:top w:val="single" w:sz="4" w:space="0" w:color="auto"/>
              <w:left w:val="single" w:sz="4" w:space="0" w:color="auto"/>
              <w:bottom w:val="single" w:sz="4" w:space="0" w:color="auto"/>
              <w:right w:val="single" w:sz="4" w:space="0" w:color="auto"/>
            </w:tcBorders>
            <w:shd w:val="clear" w:color="auto" w:fill="FFF2CC"/>
            <w:hideMark/>
          </w:tcPr>
          <w:p w14:paraId="48251EA7" w14:textId="77777777" w:rsidR="00302BFE" w:rsidRDefault="00302BFE" w:rsidP="00243B15">
            <w:pPr>
              <w:spacing w:after="0"/>
              <w:rPr>
                <w:b/>
                <w:sz w:val="18"/>
                <w:szCs w:val="18"/>
              </w:rPr>
            </w:pPr>
            <w:r>
              <w:rPr>
                <w:b/>
                <w:sz w:val="18"/>
                <w:szCs w:val="18"/>
              </w:rPr>
              <w:t>Status</w:t>
            </w:r>
          </w:p>
        </w:tc>
      </w:tr>
      <w:tr w:rsidR="00302BFE" w14:paraId="0B0F7DA9" w14:textId="77777777" w:rsidTr="00243B15">
        <w:trPr>
          <w:jc w:val="center"/>
        </w:trPr>
        <w:tc>
          <w:tcPr>
            <w:tcW w:w="8784" w:type="dxa"/>
            <w:gridSpan w:val="6"/>
            <w:tcBorders>
              <w:top w:val="single" w:sz="4" w:space="0" w:color="auto"/>
              <w:left w:val="single" w:sz="4" w:space="0" w:color="auto"/>
              <w:bottom w:val="single" w:sz="4" w:space="0" w:color="auto"/>
              <w:right w:val="single" w:sz="4" w:space="0" w:color="auto"/>
            </w:tcBorders>
            <w:hideMark/>
          </w:tcPr>
          <w:p w14:paraId="07D17F5B" w14:textId="77777777" w:rsidR="00302BFE" w:rsidRDefault="00302BFE" w:rsidP="00243B15">
            <w:pPr>
              <w:spacing w:after="0"/>
              <w:rPr>
                <w:b/>
                <w:sz w:val="18"/>
                <w:szCs w:val="18"/>
              </w:rPr>
            </w:pPr>
            <w:r>
              <w:rPr>
                <w:b/>
                <w:sz w:val="18"/>
                <w:szCs w:val="18"/>
              </w:rPr>
              <w:t>Forest Management Worksites (CAF)</w:t>
            </w:r>
          </w:p>
        </w:tc>
      </w:tr>
      <w:tr w:rsidR="00302BFE" w14:paraId="50274D82" w14:textId="77777777" w:rsidTr="00243B15">
        <w:trPr>
          <w:jc w:val="center"/>
        </w:trPr>
        <w:tc>
          <w:tcPr>
            <w:tcW w:w="2405" w:type="dxa"/>
            <w:tcBorders>
              <w:top w:val="single" w:sz="4" w:space="0" w:color="auto"/>
              <w:left w:val="single" w:sz="4" w:space="0" w:color="auto"/>
              <w:bottom w:val="single" w:sz="4" w:space="0" w:color="auto"/>
              <w:right w:val="single" w:sz="4" w:space="0" w:color="auto"/>
            </w:tcBorders>
            <w:hideMark/>
          </w:tcPr>
          <w:p w14:paraId="6C546753" w14:textId="77777777" w:rsidR="00302BFE" w:rsidRDefault="00302BFE" w:rsidP="00243B15">
            <w:pPr>
              <w:spacing w:after="0"/>
              <w:rPr>
                <w:sz w:val="18"/>
                <w:szCs w:val="18"/>
              </w:rPr>
            </w:pPr>
            <w:r>
              <w:rPr>
                <w:sz w:val="18"/>
                <w:szCs w:val="18"/>
              </w:rPr>
              <w:t>Nazinon</w:t>
            </w:r>
          </w:p>
        </w:tc>
        <w:tc>
          <w:tcPr>
            <w:tcW w:w="1134" w:type="dxa"/>
            <w:tcBorders>
              <w:top w:val="single" w:sz="4" w:space="0" w:color="auto"/>
              <w:left w:val="single" w:sz="4" w:space="0" w:color="auto"/>
              <w:bottom w:val="single" w:sz="4" w:space="0" w:color="auto"/>
              <w:right w:val="single" w:sz="4" w:space="0" w:color="auto"/>
            </w:tcBorders>
            <w:hideMark/>
          </w:tcPr>
          <w:p w14:paraId="7D0CDE6C" w14:textId="77777777" w:rsidR="00302BFE" w:rsidRDefault="00302BFE" w:rsidP="00243B15">
            <w:pPr>
              <w:spacing w:after="0"/>
              <w:rPr>
                <w:sz w:val="18"/>
                <w:szCs w:val="18"/>
              </w:rPr>
            </w:pPr>
            <w:r>
              <w:rPr>
                <w:sz w:val="18"/>
                <w:szCs w:val="18"/>
              </w:rPr>
              <w:t>27,899</w:t>
            </w:r>
          </w:p>
        </w:tc>
        <w:tc>
          <w:tcPr>
            <w:tcW w:w="1418" w:type="dxa"/>
            <w:tcBorders>
              <w:top w:val="single" w:sz="4" w:space="0" w:color="auto"/>
              <w:left w:val="single" w:sz="4" w:space="0" w:color="auto"/>
              <w:bottom w:val="single" w:sz="4" w:space="0" w:color="auto"/>
              <w:right w:val="single" w:sz="4" w:space="0" w:color="auto"/>
            </w:tcBorders>
            <w:hideMark/>
          </w:tcPr>
          <w:p w14:paraId="71BDDE6D" w14:textId="77777777" w:rsidR="00302BFE" w:rsidRDefault="00302BFE" w:rsidP="00243B15">
            <w:pPr>
              <w:spacing w:after="0"/>
              <w:rPr>
                <w:sz w:val="18"/>
                <w:szCs w:val="18"/>
              </w:rPr>
            </w:pPr>
            <w:r>
              <w:rPr>
                <w:sz w:val="18"/>
                <w:szCs w:val="18"/>
              </w:rPr>
              <w:t>CAF</w:t>
            </w:r>
          </w:p>
        </w:tc>
        <w:tc>
          <w:tcPr>
            <w:tcW w:w="1275" w:type="dxa"/>
            <w:vMerge w:val="restart"/>
            <w:tcBorders>
              <w:top w:val="single" w:sz="4" w:space="0" w:color="auto"/>
              <w:left w:val="single" w:sz="4" w:space="0" w:color="auto"/>
              <w:bottom w:val="single" w:sz="4" w:space="0" w:color="auto"/>
              <w:right w:val="single" w:sz="4" w:space="0" w:color="auto"/>
            </w:tcBorders>
            <w:hideMark/>
          </w:tcPr>
          <w:p w14:paraId="1C0AEBEB" w14:textId="77777777" w:rsidR="00302BFE" w:rsidRPr="00256FDE" w:rsidRDefault="00302BFE" w:rsidP="00243B15">
            <w:pPr>
              <w:spacing w:after="0"/>
              <w:rPr>
                <w:sz w:val="16"/>
                <w:szCs w:val="16"/>
                <w:lang w:val="en-CA"/>
              </w:rPr>
            </w:pPr>
            <w:r w:rsidRPr="00256FDE">
              <w:rPr>
                <w:sz w:val="16"/>
                <w:szCs w:val="16"/>
                <w:lang w:val="en-CA"/>
              </w:rPr>
              <w:t>Forest management groups (GGF) and GGF Union</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6A0954A2" w14:textId="77777777" w:rsidR="00302BFE" w:rsidRPr="00432006" w:rsidRDefault="00302BFE" w:rsidP="00243B15">
            <w:pPr>
              <w:spacing w:after="0"/>
              <w:rPr>
                <w:sz w:val="16"/>
                <w:szCs w:val="16"/>
                <w:lang w:val="en-CA"/>
              </w:rPr>
            </w:pPr>
            <w:r w:rsidRPr="00794A76">
              <w:rPr>
                <w:sz w:val="16"/>
                <w:szCs w:val="16"/>
                <w:lang w:val="en-CA"/>
              </w:rPr>
              <w:t xml:space="preserve">Management plans and specifications </w:t>
            </w:r>
            <w:r>
              <w:rPr>
                <w:sz w:val="16"/>
                <w:szCs w:val="16"/>
                <w:lang w:val="en-CA"/>
              </w:rPr>
              <w:t>outdated</w:t>
            </w:r>
          </w:p>
        </w:tc>
        <w:tc>
          <w:tcPr>
            <w:tcW w:w="1276" w:type="dxa"/>
            <w:tcBorders>
              <w:top w:val="single" w:sz="4" w:space="0" w:color="auto"/>
              <w:left w:val="single" w:sz="4" w:space="0" w:color="auto"/>
              <w:bottom w:val="single" w:sz="4" w:space="0" w:color="auto"/>
              <w:right w:val="single" w:sz="4" w:space="0" w:color="auto"/>
            </w:tcBorders>
            <w:hideMark/>
          </w:tcPr>
          <w:p w14:paraId="0300C8E3" w14:textId="77777777" w:rsidR="00302BFE" w:rsidRDefault="00302BFE" w:rsidP="00243B15">
            <w:pPr>
              <w:spacing w:after="0"/>
              <w:rPr>
                <w:sz w:val="16"/>
                <w:szCs w:val="16"/>
              </w:rPr>
            </w:pPr>
            <w:r>
              <w:rPr>
                <w:sz w:val="16"/>
                <w:szCs w:val="16"/>
              </w:rPr>
              <w:t xml:space="preserve">Created </w:t>
            </w:r>
          </w:p>
        </w:tc>
      </w:tr>
      <w:tr w:rsidR="00302BFE" w14:paraId="56D87C5E" w14:textId="77777777" w:rsidTr="00243B15">
        <w:trPr>
          <w:jc w:val="center"/>
        </w:trPr>
        <w:tc>
          <w:tcPr>
            <w:tcW w:w="2405" w:type="dxa"/>
            <w:tcBorders>
              <w:top w:val="single" w:sz="4" w:space="0" w:color="auto"/>
              <w:left w:val="single" w:sz="4" w:space="0" w:color="auto"/>
              <w:bottom w:val="single" w:sz="4" w:space="0" w:color="auto"/>
              <w:right w:val="single" w:sz="4" w:space="0" w:color="auto"/>
            </w:tcBorders>
            <w:hideMark/>
          </w:tcPr>
          <w:p w14:paraId="0ED5520B" w14:textId="77777777" w:rsidR="00302BFE" w:rsidRDefault="00302BFE" w:rsidP="00243B15">
            <w:pPr>
              <w:spacing w:after="0"/>
              <w:rPr>
                <w:sz w:val="18"/>
                <w:szCs w:val="18"/>
              </w:rPr>
            </w:pPr>
            <w:r>
              <w:rPr>
                <w:sz w:val="18"/>
                <w:szCs w:val="18"/>
              </w:rPr>
              <w:t>Gaongo</w:t>
            </w:r>
          </w:p>
        </w:tc>
        <w:tc>
          <w:tcPr>
            <w:tcW w:w="1134" w:type="dxa"/>
            <w:tcBorders>
              <w:top w:val="single" w:sz="4" w:space="0" w:color="auto"/>
              <w:left w:val="single" w:sz="4" w:space="0" w:color="auto"/>
              <w:bottom w:val="single" w:sz="4" w:space="0" w:color="auto"/>
              <w:right w:val="single" w:sz="4" w:space="0" w:color="auto"/>
            </w:tcBorders>
            <w:hideMark/>
          </w:tcPr>
          <w:p w14:paraId="28B92400" w14:textId="77777777" w:rsidR="00302BFE" w:rsidRDefault="00302BFE" w:rsidP="00243B15">
            <w:pPr>
              <w:spacing w:after="0"/>
              <w:rPr>
                <w:sz w:val="18"/>
                <w:szCs w:val="18"/>
              </w:rPr>
            </w:pPr>
            <w:r>
              <w:rPr>
                <w:sz w:val="18"/>
                <w:szCs w:val="18"/>
              </w:rPr>
              <w:t>21,000</w:t>
            </w:r>
          </w:p>
        </w:tc>
        <w:tc>
          <w:tcPr>
            <w:tcW w:w="1418" w:type="dxa"/>
            <w:tcBorders>
              <w:top w:val="single" w:sz="4" w:space="0" w:color="auto"/>
              <w:left w:val="single" w:sz="4" w:space="0" w:color="auto"/>
              <w:bottom w:val="single" w:sz="4" w:space="0" w:color="auto"/>
              <w:right w:val="single" w:sz="4" w:space="0" w:color="auto"/>
            </w:tcBorders>
            <w:hideMark/>
          </w:tcPr>
          <w:p w14:paraId="61A6C9B9" w14:textId="77777777" w:rsidR="00302BFE" w:rsidRDefault="00302BFE" w:rsidP="00243B15">
            <w:pPr>
              <w:spacing w:after="0"/>
              <w:rPr>
                <w:sz w:val="18"/>
                <w:szCs w:val="18"/>
              </w:rPr>
            </w:pPr>
            <w:r>
              <w:rPr>
                <w:sz w:val="18"/>
                <w:szCs w:val="18"/>
              </w:rPr>
              <w:t>CAF</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95A11C" w14:textId="77777777" w:rsidR="00302BFE" w:rsidRDefault="00302BFE" w:rsidP="00243B15">
            <w:pPr>
              <w:spacing w:after="0"/>
              <w:jc w:val="left"/>
              <w:rPr>
                <w:sz w:val="16"/>
                <w:szCs w:val="16"/>
                <w:lang w:val="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52A662" w14:textId="77777777" w:rsidR="00302BFE" w:rsidRDefault="00302BFE" w:rsidP="00243B15">
            <w:pPr>
              <w:spacing w:after="0"/>
              <w:jc w:val="left"/>
              <w:rPr>
                <w:sz w:val="16"/>
                <w:szCs w:val="16"/>
                <w:lang w:val="fr-CA"/>
              </w:rPr>
            </w:pPr>
          </w:p>
        </w:tc>
        <w:tc>
          <w:tcPr>
            <w:tcW w:w="1276" w:type="dxa"/>
            <w:tcBorders>
              <w:top w:val="single" w:sz="4" w:space="0" w:color="auto"/>
              <w:left w:val="single" w:sz="4" w:space="0" w:color="auto"/>
              <w:bottom w:val="single" w:sz="4" w:space="0" w:color="auto"/>
              <w:right w:val="single" w:sz="4" w:space="0" w:color="auto"/>
            </w:tcBorders>
            <w:hideMark/>
          </w:tcPr>
          <w:p w14:paraId="0EC5D712" w14:textId="77777777" w:rsidR="00302BFE" w:rsidRDefault="00302BFE" w:rsidP="00243B15">
            <w:pPr>
              <w:spacing w:after="0"/>
              <w:rPr>
                <w:sz w:val="18"/>
                <w:szCs w:val="18"/>
              </w:rPr>
            </w:pPr>
            <w:r>
              <w:rPr>
                <w:sz w:val="16"/>
                <w:szCs w:val="16"/>
              </w:rPr>
              <w:t xml:space="preserve">Created </w:t>
            </w:r>
          </w:p>
        </w:tc>
      </w:tr>
      <w:tr w:rsidR="00302BFE" w14:paraId="484FBDFB" w14:textId="77777777" w:rsidTr="00243B15">
        <w:trPr>
          <w:jc w:val="center"/>
        </w:trPr>
        <w:tc>
          <w:tcPr>
            <w:tcW w:w="2405" w:type="dxa"/>
            <w:tcBorders>
              <w:top w:val="single" w:sz="4" w:space="0" w:color="auto"/>
              <w:left w:val="single" w:sz="4" w:space="0" w:color="auto"/>
              <w:bottom w:val="single" w:sz="4" w:space="0" w:color="auto"/>
              <w:right w:val="single" w:sz="4" w:space="0" w:color="auto"/>
            </w:tcBorders>
            <w:hideMark/>
          </w:tcPr>
          <w:p w14:paraId="4A281025" w14:textId="77777777" w:rsidR="00302BFE" w:rsidRDefault="00302BFE" w:rsidP="00243B15">
            <w:pPr>
              <w:spacing w:after="0"/>
              <w:rPr>
                <w:sz w:val="18"/>
                <w:szCs w:val="18"/>
              </w:rPr>
            </w:pPr>
            <w:r>
              <w:rPr>
                <w:sz w:val="18"/>
                <w:szCs w:val="18"/>
              </w:rPr>
              <w:t>Zoundweogo</w:t>
            </w:r>
          </w:p>
        </w:tc>
        <w:tc>
          <w:tcPr>
            <w:tcW w:w="1134" w:type="dxa"/>
            <w:tcBorders>
              <w:top w:val="single" w:sz="4" w:space="0" w:color="auto"/>
              <w:left w:val="single" w:sz="4" w:space="0" w:color="auto"/>
              <w:bottom w:val="single" w:sz="4" w:space="0" w:color="auto"/>
              <w:right w:val="single" w:sz="4" w:space="0" w:color="auto"/>
            </w:tcBorders>
            <w:hideMark/>
          </w:tcPr>
          <w:p w14:paraId="7E0027CA" w14:textId="77777777" w:rsidR="00302BFE" w:rsidRDefault="00302BFE" w:rsidP="00243B15">
            <w:pPr>
              <w:spacing w:after="0"/>
              <w:rPr>
                <w:sz w:val="18"/>
                <w:szCs w:val="18"/>
              </w:rPr>
            </w:pPr>
            <w:r>
              <w:rPr>
                <w:sz w:val="18"/>
                <w:szCs w:val="18"/>
              </w:rPr>
              <w:t>28,000</w:t>
            </w:r>
          </w:p>
        </w:tc>
        <w:tc>
          <w:tcPr>
            <w:tcW w:w="1418" w:type="dxa"/>
            <w:tcBorders>
              <w:top w:val="single" w:sz="4" w:space="0" w:color="auto"/>
              <w:left w:val="single" w:sz="4" w:space="0" w:color="auto"/>
              <w:bottom w:val="single" w:sz="4" w:space="0" w:color="auto"/>
              <w:right w:val="single" w:sz="4" w:space="0" w:color="auto"/>
            </w:tcBorders>
            <w:hideMark/>
          </w:tcPr>
          <w:p w14:paraId="6703741B" w14:textId="77777777" w:rsidR="00302BFE" w:rsidRDefault="00302BFE" w:rsidP="00243B15">
            <w:pPr>
              <w:spacing w:after="0"/>
              <w:rPr>
                <w:sz w:val="18"/>
                <w:szCs w:val="18"/>
              </w:rPr>
            </w:pPr>
            <w:r>
              <w:rPr>
                <w:sz w:val="18"/>
                <w:szCs w:val="18"/>
              </w:rPr>
              <w:t>CAF</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8A163D" w14:textId="77777777" w:rsidR="00302BFE" w:rsidRDefault="00302BFE" w:rsidP="00243B15">
            <w:pPr>
              <w:spacing w:after="0"/>
              <w:jc w:val="left"/>
              <w:rPr>
                <w:sz w:val="16"/>
                <w:szCs w:val="16"/>
                <w:lang w:val="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83E13F" w14:textId="77777777" w:rsidR="00302BFE" w:rsidRDefault="00302BFE" w:rsidP="00243B15">
            <w:pPr>
              <w:spacing w:after="0"/>
              <w:jc w:val="left"/>
              <w:rPr>
                <w:sz w:val="16"/>
                <w:szCs w:val="16"/>
                <w:lang w:val="fr-CA"/>
              </w:rPr>
            </w:pPr>
          </w:p>
        </w:tc>
        <w:tc>
          <w:tcPr>
            <w:tcW w:w="1276" w:type="dxa"/>
            <w:tcBorders>
              <w:top w:val="single" w:sz="4" w:space="0" w:color="auto"/>
              <w:left w:val="single" w:sz="4" w:space="0" w:color="auto"/>
              <w:bottom w:val="single" w:sz="4" w:space="0" w:color="auto"/>
              <w:right w:val="single" w:sz="4" w:space="0" w:color="auto"/>
            </w:tcBorders>
            <w:hideMark/>
          </w:tcPr>
          <w:p w14:paraId="54652BD7" w14:textId="77777777" w:rsidR="00302BFE" w:rsidRDefault="00302BFE" w:rsidP="00243B15">
            <w:pPr>
              <w:spacing w:after="0"/>
              <w:rPr>
                <w:sz w:val="16"/>
                <w:szCs w:val="16"/>
              </w:rPr>
            </w:pPr>
            <w:r>
              <w:rPr>
                <w:sz w:val="16"/>
                <w:szCs w:val="16"/>
              </w:rPr>
              <w:t>Under creation</w:t>
            </w:r>
          </w:p>
        </w:tc>
      </w:tr>
      <w:tr w:rsidR="00302BFE" w14:paraId="0227847A" w14:textId="77777777" w:rsidTr="00243B15">
        <w:trPr>
          <w:jc w:val="center"/>
        </w:trPr>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36382F16" w14:textId="77777777" w:rsidR="00302BFE" w:rsidRDefault="00302BFE" w:rsidP="00243B15">
            <w:pPr>
              <w:spacing w:after="0"/>
              <w:rPr>
                <w:b/>
                <w:sz w:val="18"/>
                <w:szCs w:val="18"/>
              </w:rPr>
            </w:pPr>
            <w:r>
              <w:rPr>
                <w:b/>
                <w:sz w:val="18"/>
                <w:szCs w:val="18"/>
              </w:rPr>
              <w:t>Total area of CAFs</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4731DDC" w14:textId="77777777" w:rsidR="00302BFE" w:rsidRDefault="00302BFE" w:rsidP="00243B15">
            <w:pPr>
              <w:spacing w:after="0"/>
              <w:rPr>
                <w:b/>
                <w:sz w:val="18"/>
                <w:szCs w:val="18"/>
              </w:rPr>
            </w:pPr>
            <w:r>
              <w:rPr>
                <w:b/>
                <w:sz w:val="18"/>
                <w:szCs w:val="18"/>
              </w:rPr>
              <w:t>73,969</w:t>
            </w:r>
          </w:p>
        </w:tc>
        <w:tc>
          <w:tcPr>
            <w:tcW w:w="5245" w:type="dxa"/>
            <w:gridSpan w:val="4"/>
            <w:tcBorders>
              <w:top w:val="single" w:sz="4" w:space="0" w:color="auto"/>
              <w:left w:val="single" w:sz="4" w:space="0" w:color="auto"/>
              <w:bottom w:val="single" w:sz="4" w:space="0" w:color="auto"/>
              <w:right w:val="single" w:sz="4" w:space="0" w:color="auto"/>
            </w:tcBorders>
          </w:tcPr>
          <w:p w14:paraId="6F4D439B" w14:textId="77777777" w:rsidR="00302BFE" w:rsidRDefault="00302BFE" w:rsidP="00243B15">
            <w:pPr>
              <w:spacing w:after="0"/>
              <w:rPr>
                <w:sz w:val="18"/>
                <w:szCs w:val="18"/>
              </w:rPr>
            </w:pPr>
          </w:p>
        </w:tc>
      </w:tr>
      <w:tr w:rsidR="00302BFE" w:rsidRPr="00256FDE" w14:paraId="69376AA0" w14:textId="77777777" w:rsidTr="00243B15">
        <w:trPr>
          <w:jc w:val="center"/>
        </w:trPr>
        <w:tc>
          <w:tcPr>
            <w:tcW w:w="8784" w:type="dxa"/>
            <w:gridSpan w:val="6"/>
            <w:tcBorders>
              <w:top w:val="single" w:sz="4" w:space="0" w:color="auto"/>
              <w:left w:val="single" w:sz="4" w:space="0" w:color="auto"/>
              <w:bottom w:val="single" w:sz="4" w:space="0" w:color="auto"/>
              <w:right w:val="single" w:sz="4" w:space="0" w:color="auto"/>
            </w:tcBorders>
            <w:hideMark/>
          </w:tcPr>
          <w:p w14:paraId="4111F6D7" w14:textId="77777777" w:rsidR="00302BFE" w:rsidRPr="00256FDE" w:rsidRDefault="00302BFE" w:rsidP="00243B15">
            <w:pPr>
              <w:spacing w:after="0"/>
              <w:rPr>
                <w:b/>
                <w:sz w:val="18"/>
                <w:szCs w:val="18"/>
                <w:lang w:val="en-CA"/>
              </w:rPr>
            </w:pPr>
            <w:r w:rsidRPr="00256FDE">
              <w:rPr>
                <w:b/>
                <w:sz w:val="18"/>
                <w:szCs w:val="18"/>
                <w:lang w:val="en-CA"/>
              </w:rPr>
              <w:t xml:space="preserve">Large forests outside CAF </w:t>
            </w:r>
            <w:r>
              <w:rPr>
                <w:b/>
                <w:sz w:val="18"/>
                <w:szCs w:val="18"/>
                <w:lang w:val="en-CA"/>
              </w:rPr>
              <w:t>and</w:t>
            </w:r>
            <w:r w:rsidRPr="00256FDE">
              <w:rPr>
                <w:b/>
                <w:sz w:val="18"/>
                <w:szCs w:val="18"/>
                <w:lang w:val="en-CA"/>
              </w:rPr>
              <w:t xml:space="preserve"> P</w:t>
            </w:r>
            <w:r>
              <w:rPr>
                <w:b/>
                <w:sz w:val="18"/>
                <w:szCs w:val="18"/>
                <w:lang w:val="en-CA"/>
              </w:rPr>
              <w:t>A</w:t>
            </w:r>
            <w:r w:rsidRPr="00256FDE">
              <w:rPr>
                <w:b/>
                <w:sz w:val="18"/>
                <w:szCs w:val="18"/>
                <w:lang w:val="en-CA"/>
              </w:rPr>
              <w:t>s</w:t>
            </w:r>
          </w:p>
        </w:tc>
      </w:tr>
      <w:tr w:rsidR="00302BFE" w14:paraId="1A918423" w14:textId="77777777" w:rsidTr="00243B15">
        <w:trPr>
          <w:jc w:val="center"/>
        </w:trPr>
        <w:tc>
          <w:tcPr>
            <w:tcW w:w="2405" w:type="dxa"/>
            <w:tcBorders>
              <w:top w:val="single" w:sz="4" w:space="0" w:color="auto"/>
              <w:left w:val="single" w:sz="4" w:space="0" w:color="auto"/>
              <w:bottom w:val="single" w:sz="4" w:space="0" w:color="auto"/>
              <w:right w:val="single" w:sz="4" w:space="0" w:color="auto"/>
            </w:tcBorders>
            <w:hideMark/>
          </w:tcPr>
          <w:p w14:paraId="0E0268C6" w14:textId="77777777" w:rsidR="00302BFE" w:rsidRPr="001A2403" w:rsidRDefault="00302BFE" w:rsidP="00243B15">
            <w:pPr>
              <w:spacing w:after="0"/>
              <w:rPr>
                <w:sz w:val="18"/>
                <w:szCs w:val="18"/>
                <w:lang w:val="en-CA"/>
              </w:rPr>
            </w:pPr>
            <w:r w:rsidRPr="001A2403">
              <w:rPr>
                <w:sz w:val="18"/>
                <w:szCs w:val="18"/>
                <w:lang w:val="en-CA"/>
              </w:rPr>
              <w:t xml:space="preserve">Zoundweogo South-West </w:t>
            </w:r>
            <w:r>
              <w:rPr>
                <w:sz w:val="18"/>
                <w:szCs w:val="18"/>
                <w:lang w:val="en-CA"/>
              </w:rPr>
              <w:t>Area</w:t>
            </w:r>
            <w:r w:rsidRPr="001A2403">
              <w:rPr>
                <w:sz w:val="18"/>
                <w:szCs w:val="18"/>
                <w:lang w:val="en-CA"/>
              </w:rPr>
              <w:t xml:space="preserve"> (intercommunal)</w:t>
            </w:r>
          </w:p>
        </w:tc>
        <w:tc>
          <w:tcPr>
            <w:tcW w:w="1134" w:type="dxa"/>
            <w:tcBorders>
              <w:top w:val="single" w:sz="4" w:space="0" w:color="auto"/>
              <w:left w:val="single" w:sz="4" w:space="0" w:color="auto"/>
              <w:bottom w:val="single" w:sz="4" w:space="0" w:color="auto"/>
              <w:right w:val="single" w:sz="4" w:space="0" w:color="auto"/>
            </w:tcBorders>
            <w:hideMark/>
          </w:tcPr>
          <w:p w14:paraId="0D7A35F2" w14:textId="77777777" w:rsidR="00302BFE" w:rsidRDefault="00302BFE" w:rsidP="00243B15">
            <w:pPr>
              <w:spacing w:after="0"/>
              <w:rPr>
                <w:sz w:val="18"/>
                <w:szCs w:val="18"/>
              </w:rPr>
            </w:pPr>
            <w:r>
              <w:rPr>
                <w:sz w:val="18"/>
                <w:szCs w:val="18"/>
              </w:rPr>
              <w:t>28,600</w:t>
            </w:r>
          </w:p>
        </w:tc>
        <w:tc>
          <w:tcPr>
            <w:tcW w:w="1418" w:type="dxa"/>
            <w:tcBorders>
              <w:top w:val="single" w:sz="4" w:space="0" w:color="auto"/>
              <w:left w:val="single" w:sz="4" w:space="0" w:color="auto"/>
              <w:bottom w:val="single" w:sz="4" w:space="0" w:color="auto"/>
              <w:right w:val="single" w:sz="4" w:space="0" w:color="auto"/>
            </w:tcBorders>
          </w:tcPr>
          <w:p w14:paraId="2474395E" w14:textId="77777777" w:rsidR="00302BFE" w:rsidRDefault="00302BFE" w:rsidP="00243B15">
            <w:pPr>
              <w:spacing w:after="0"/>
              <w:rPr>
                <w:sz w:val="18"/>
                <w:szCs w:val="18"/>
              </w:rPr>
            </w:pPr>
          </w:p>
        </w:tc>
        <w:tc>
          <w:tcPr>
            <w:tcW w:w="1275" w:type="dxa"/>
            <w:tcBorders>
              <w:top w:val="single" w:sz="4" w:space="0" w:color="auto"/>
              <w:left w:val="single" w:sz="4" w:space="0" w:color="auto"/>
              <w:bottom w:val="single" w:sz="4" w:space="0" w:color="auto"/>
              <w:right w:val="single" w:sz="4" w:space="0" w:color="auto"/>
            </w:tcBorders>
          </w:tcPr>
          <w:p w14:paraId="19C98452" w14:textId="77777777" w:rsidR="00302BFE" w:rsidRDefault="00302BFE" w:rsidP="00243B15">
            <w:pPr>
              <w:spacing w:after="0"/>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62E607F7" w14:textId="77777777" w:rsidR="00302BFE" w:rsidRDefault="00302BFE" w:rsidP="00243B15">
            <w:pPr>
              <w:spacing w:after="0"/>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2DCC8831" w14:textId="77777777" w:rsidR="00302BFE" w:rsidRDefault="00302BFE" w:rsidP="00243B15">
            <w:pPr>
              <w:spacing w:after="0"/>
              <w:rPr>
                <w:sz w:val="18"/>
                <w:szCs w:val="18"/>
              </w:rPr>
            </w:pPr>
          </w:p>
        </w:tc>
      </w:tr>
      <w:tr w:rsidR="00302BFE" w14:paraId="65B886ED" w14:textId="77777777" w:rsidTr="00243B15">
        <w:trPr>
          <w:jc w:val="center"/>
        </w:trPr>
        <w:tc>
          <w:tcPr>
            <w:tcW w:w="2405" w:type="dxa"/>
            <w:tcBorders>
              <w:top w:val="single" w:sz="4" w:space="0" w:color="auto"/>
              <w:left w:val="single" w:sz="4" w:space="0" w:color="auto"/>
              <w:bottom w:val="single" w:sz="4" w:space="0" w:color="auto"/>
              <w:right w:val="single" w:sz="4" w:space="0" w:color="auto"/>
            </w:tcBorders>
            <w:hideMark/>
          </w:tcPr>
          <w:p w14:paraId="5B86FF5D" w14:textId="77777777" w:rsidR="00302BFE" w:rsidRPr="001A2403" w:rsidRDefault="00302BFE" w:rsidP="00243B15">
            <w:pPr>
              <w:spacing w:after="0"/>
              <w:rPr>
                <w:sz w:val="18"/>
                <w:szCs w:val="18"/>
                <w:lang w:val="en-CA"/>
              </w:rPr>
            </w:pPr>
            <w:r w:rsidRPr="001A2403">
              <w:rPr>
                <w:sz w:val="18"/>
                <w:szCs w:val="18"/>
                <w:lang w:val="en-CA"/>
              </w:rPr>
              <w:t>Buffer Zone South of PNKT</w:t>
            </w:r>
          </w:p>
        </w:tc>
        <w:tc>
          <w:tcPr>
            <w:tcW w:w="1134" w:type="dxa"/>
            <w:tcBorders>
              <w:top w:val="single" w:sz="4" w:space="0" w:color="auto"/>
              <w:left w:val="single" w:sz="4" w:space="0" w:color="auto"/>
              <w:bottom w:val="single" w:sz="4" w:space="0" w:color="auto"/>
              <w:right w:val="single" w:sz="4" w:space="0" w:color="auto"/>
            </w:tcBorders>
            <w:hideMark/>
          </w:tcPr>
          <w:p w14:paraId="64FF8C04" w14:textId="77777777" w:rsidR="00302BFE" w:rsidRDefault="00302BFE" w:rsidP="00243B15">
            <w:pPr>
              <w:spacing w:after="0"/>
              <w:rPr>
                <w:sz w:val="18"/>
                <w:szCs w:val="18"/>
              </w:rPr>
            </w:pPr>
            <w:r>
              <w:rPr>
                <w:sz w:val="18"/>
                <w:szCs w:val="18"/>
              </w:rPr>
              <w:t>4,188</w:t>
            </w:r>
          </w:p>
        </w:tc>
        <w:tc>
          <w:tcPr>
            <w:tcW w:w="1418" w:type="dxa"/>
            <w:tcBorders>
              <w:top w:val="single" w:sz="4" w:space="0" w:color="auto"/>
              <w:left w:val="single" w:sz="4" w:space="0" w:color="auto"/>
              <w:bottom w:val="single" w:sz="4" w:space="0" w:color="auto"/>
              <w:right w:val="single" w:sz="4" w:space="0" w:color="auto"/>
            </w:tcBorders>
            <w:hideMark/>
          </w:tcPr>
          <w:p w14:paraId="3AAB719C" w14:textId="77777777" w:rsidR="00302BFE" w:rsidRPr="001A2403" w:rsidRDefault="00302BFE" w:rsidP="00243B15">
            <w:pPr>
              <w:spacing w:after="0"/>
              <w:rPr>
                <w:sz w:val="14"/>
                <w:szCs w:val="14"/>
              </w:rPr>
            </w:pPr>
            <w:r w:rsidRPr="001A2403">
              <w:rPr>
                <w:sz w:val="14"/>
                <w:szCs w:val="14"/>
              </w:rPr>
              <w:t xml:space="preserve">Non-compliant with Forest Code definition </w:t>
            </w:r>
            <w:r>
              <w:rPr>
                <w:sz w:val="14"/>
                <w:szCs w:val="14"/>
              </w:rPr>
              <w:t xml:space="preserve">of </w:t>
            </w:r>
            <w:r w:rsidRPr="001A2403">
              <w:rPr>
                <w:sz w:val="14"/>
                <w:szCs w:val="14"/>
              </w:rPr>
              <w:t xml:space="preserve">buffer zone </w:t>
            </w:r>
          </w:p>
        </w:tc>
        <w:tc>
          <w:tcPr>
            <w:tcW w:w="1275" w:type="dxa"/>
            <w:tcBorders>
              <w:top w:val="single" w:sz="4" w:space="0" w:color="auto"/>
              <w:left w:val="single" w:sz="4" w:space="0" w:color="auto"/>
              <w:bottom w:val="single" w:sz="4" w:space="0" w:color="auto"/>
              <w:right w:val="single" w:sz="4" w:space="0" w:color="auto"/>
            </w:tcBorders>
          </w:tcPr>
          <w:p w14:paraId="5E3246AF" w14:textId="77777777" w:rsidR="00302BFE" w:rsidRDefault="00302BFE" w:rsidP="00243B15">
            <w:pPr>
              <w:spacing w:after="0"/>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49CE9FAF" w14:textId="77777777" w:rsidR="00302BFE" w:rsidRDefault="00302BFE" w:rsidP="00243B15">
            <w:pPr>
              <w:spacing w:after="0"/>
              <w:rPr>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6D0DCEF" w14:textId="77777777" w:rsidR="00302BFE" w:rsidRDefault="00302BFE" w:rsidP="00243B15">
            <w:pPr>
              <w:spacing w:after="0"/>
              <w:rPr>
                <w:sz w:val="18"/>
                <w:szCs w:val="18"/>
              </w:rPr>
            </w:pPr>
          </w:p>
        </w:tc>
      </w:tr>
      <w:tr w:rsidR="00302BFE" w14:paraId="07E4D0A7" w14:textId="77777777" w:rsidTr="00243B15">
        <w:trPr>
          <w:jc w:val="center"/>
        </w:trPr>
        <w:tc>
          <w:tcPr>
            <w:tcW w:w="2405" w:type="dxa"/>
            <w:tcBorders>
              <w:top w:val="single" w:sz="4" w:space="0" w:color="auto"/>
              <w:left w:val="single" w:sz="4" w:space="0" w:color="auto"/>
              <w:bottom w:val="single" w:sz="4" w:space="0" w:color="auto"/>
              <w:right w:val="single" w:sz="4" w:space="0" w:color="auto"/>
            </w:tcBorders>
            <w:hideMark/>
          </w:tcPr>
          <w:p w14:paraId="731D2496" w14:textId="77777777" w:rsidR="00302BFE" w:rsidRDefault="00302BFE" w:rsidP="00243B15">
            <w:pPr>
              <w:spacing w:after="0"/>
              <w:rPr>
                <w:sz w:val="18"/>
                <w:szCs w:val="18"/>
              </w:rPr>
            </w:pPr>
            <w:r>
              <w:rPr>
                <w:sz w:val="18"/>
                <w:szCs w:val="18"/>
              </w:rPr>
              <w:t>Vohoko Forest Area (Nobéré)</w:t>
            </w:r>
          </w:p>
        </w:tc>
        <w:tc>
          <w:tcPr>
            <w:tcW w:w="1134" w:type="dxa"/>
            <w:tcBorders>
              <w:top w:val="single" w:sz="4" w:space="0" w:color="auto"/>
              <w:left w:val="single" w:sz="4" w:space="0" w:color="auto"/>
              <w:bottom w:val="single" w:sz="4" w:space="0" w:color="auto"/>
              <w:right w:val="single" w:sz="4" w:space="0" w:color="auto"/>
            </w:tcBorders>
            <w:hideMark/>
          </w:tcPr>
          <w:p w14:paraId="40117D50" w14:textId="77777777" w:rsidR="00302BFE" w:rsidRDefault="00302BFE" w:rsidP="00243B15">
            <w:pPr>
              <w:spacing w:after="0"/>
              <w:rPr>
                <w:sz w:val="18"/>
                <w:szCs w:val="18"/>
              </w:rPr>
            </w:pPr>
            <w:r>
              <w:rPr>
                <w:sz w:val="18"/>
                <w:szCs w:val="18"/>
              </w:rPr>
              <w:t>6,103</w:t>
            </w:r>
          </w:p>
        </w:tc>
        <w:tc>
          <w:tcPr>
            <w:tcW w:w="1418" w:type="dxa"/>
            <w:tcBorders>
              <w:top w:val="single" w:sz="4" w:space="0" w:color="auto"/>
              <w:left w:val="single" w:sz="4" w:space="0" w:color="auto"/>
              <w:bottom w:val="single" w:sz="4" w:space="0" w:color="auto"/>
              <w:right w:val="single" w:sz="4" w:space="0" w:color="auto"/>
            </w:tcBorders>
          </w:tcPr>
          <w:p w14:paraId="7A013269" w14:textId="77777777" w:rsidR="00302BFE" w:rsidRDefault="00302BFE" w:rsidP="00243B15">
            <w:pPr>
              <w:spacing w:after="0"/>
              <w:rPr>
                <w:sz w:val="18"/>
                <w:szCs w:val="18"/>
              </w:rPr>
            </w:pPr>
          </w:p>
        </w:tc>
        <w:tc>
          <w:tcPr>
            <w:tcW w:w="1275" w:type="dxa"/>
            <w:tcBorders>
              <w:top w:val="single" w:sz="4" w:space="0" w:color="auto"/>
              <w:left w:val="single" w:sz="4" w:space="0" w:color="auto"/>
              <w:bottom w:val="single" w:sz="4" w:space="0" w:color="auto"/>
              <w:right w:val="single" w:sz="4" w:space="0" w:color="auto"/>
            </w:tcBorders>
          </w:tcPr>
          <w:p w14:paraId="1AF7E9DF" w14:textId="77777777" w:rsidR="00302BFE" w:rsidRDefault="00302BFE" w:rsidP="00243B15">
            <w:pPr>
              <w:spacing w:after="0"/>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33D3D014" w14:textId="77777777" w:rsidR="00302BFE" w:rsidRDefault="00302BFE" w:rsidP="00243B15">
            <w:pPr>
              <w:spacing w:after="0"/>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5FE24E5B" w14:textId="77777777" w:rsidR="00302BFE" w:rsidRDefault="00302BFE" w:rsidP="00243B15">
            <w:pPr>
              <w:spacing w:after="0"/>
              <w:rPr>
                <w:sz w:val="18"/>
                <w:szCs w:val="18"/>
              </w:rPr>
            </w:pPr>
          </w:p>
        </w:tc>
      </w:tr>
      <w:tr w:rsidR="00302BFE" w14:paraId="3BE8A946" w14:textId="77777777" w:rsidTr="00243B15">
        <w:trPr>
          <w:jc w:val="center"/>
        </w:trPr>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7025571B" w14:textId="77777777" w:rsidR="00302BFE" w:rsidRDefault="00302BFE" w:rsidP="00243B15">
            <w:pPr>
              <w:spacing w:after="0"/>
              <w:rPr>
                <w:b/>
                <w:sz w:val="18"/>
                <w:szCs w:val="18"/>
              </w:rPr>
            </w:pPr>
            <w:r>
              <w:rPr>
                <w:b/>
                <w:sz w:val="18"/>
                <w:szCs w:val="18"/>
              </w:rPr>
              <w:t>Total area of large forests</w:t>
            </w:r>
          </w:p>
        </w:tc>
        <w:tc>
          <w:tcPr>
            <w:tcW w:w="1134" w:type="dxa"/>
            <w:tcBorders>
              <w:top w:val="single" w:sz="4" w:space="0" w:color="auto"/>
              <w:left w:val="single" w:sz="4" w:space="0" w:color="auto"/>
              <w:bottom w:val="single" w:sz="4" w:space="0" w:color="auto"/>
              <w:right w:val="single" w:sz="4" w:space="0" w:color="auto"/>
            </w:tcBorders>
            <w:shd w:val="clear" w:color="auto" w:fill="D0CECE"/>
            <w:hideMark/>
          </w:tcPr>
          <w:p w14:paraId="638B88BD" w14:textId="77777777" w:rsidR="00302BFE" w:rsidRDefault="00302BFE" w:rsidP="00243B15">
            <w:pPr>
              <w:spacing w:after="0"/>
              <w:rPr>
                <w:b/>
                <w:sz w:val="18"/>
                <w:szCs w:val="18"/>
              </w:rPr>
            </w:pPr>
            <w:r>
              <w:rPr>
                <w:b/>
                <w:sz w:val="18"/>
                <w:szCs w:val="18"/>
              </w:rPr>
              <w:t>38,891</w:t>
            </w:r>
          </w:p>
        </w:tc>
        <w:tc>
          <w:tcPr>
            <w:tcW w:w="5245" w:type="dxa"/>
            <w:gridSpan w:val="4"/>
            <w:tcBorders>
              <w:top w:val="single" w:sz="4" w:space="0" w:color="auto"/>
              <w:left w:val="single" w:sz="4" w:space="0" w:color="auto"/>
              <w:bottom w:val="single" w:sz="4" w:space="0" w:color="auto"/>
              <w:right w:val="single" w:sz="4" w:space="0" w:color="auto"/>
            </w:tcBorders>
          </w:tcPr>
          <w:p w14:paraId="7B09A415" w14:textId="77777777" w:rsidR="00302BFE" w:rsidRDefault="00302BFE" w:rsidP="00243B15">
            <w:pPr>
              <w:spacing w:after="0"/>
              <w:rPr>
                <w:sz w:val="18"/>
                <w:szCs w:val="18"/>
              </w:rPr>
            </w:pPr>
          </w:p>
        </w:tc>
      </w:tr>
      <w:tr w:rsidR="00302BFE" w14:paraId="4CE80C04" w14:textId="77777777" w:rsidTr="00243B15">
        <w:trPr>
          <w:jc w:val="center"/>
        </w:trPr>
        <w:tc>
          <w:tcPr>
            <w:tcW w:w="8784" w:type="dxa"/>
            <w:gridSpan w:val="6"/>
            <w:tcBorders>
              <w:top w:val="single" w:sz="4" w:space="0" w:color="auto"/>
              <w:left w:val="single" w:sz="4" w:space="0" w:color="auto"/>
              <w:bottom w:val="single" w:sz="4" w:space="0" w:color="auto"/>
              <w:right w:val="single" w:sz="4" w:space="0" w:color="auto"/>
            </w:tcBorders>
            <w:hideMark/>
          </w:tcPr>
          <w:p w14:paraId="67B2AEC8" w14:textId="77777777" w:rsidR="00302BFE" w:rsidRDefault="00302BFE" w:rsidP="00243B15">
            <w:pPr>
              <w:spacing w:after="0"/>
              <w:rPr>
                <w:sz w:val="18"/>
                <w:szCs w:val="18"/>
              </w:rPr>
            </w:pPr>
            <w:r>
              <w:rPr>
                <w:b/>
                <w:sz w:val="18"/>
                <w:szCs w:val="18"/>
              </w:rPr>
              <w:t xml:space="preserve">Commune Forests </w:t>
            </w:r>
          </w:p>
        </w:tc>
      </w:tr>
      <w:tr w:rsidR="00302BFE" w14:paraId="21F8D036" w14:textId="77777777" w:rsidTr="00243B15">
        <w:trPr>
          <w:jc w:val="center"/>
        </w:trPr>
        <w:tc>
          <w:tcPr>
            <w:tcW w:w="2405" w:type="dxa"/>
            <w:tcBorders>
              <w:top w:val="single" w:sz="4" w:space="0" w:color="auto"/>
              <w:left w:val="single" w:sz="4" w:space="0" w:color="auto"/>
              <w:bottom w:val="single" w:sz="4" w:space="0" w:color="auto"/>
              <w:right w:val="single" w:sz="4" w:space="0" w:color="auto"/>
            </w:tcBorders>
            <w:hideMark/>
          </w:tcPr>
          <w:p w14:paraId="7D21DBBA" w14:textId="77777777" w:rsidR="00302BFE" w:rsidRDefault="00302BFE" w:rsidP="00243B15">
            <w:pPr>
              <w:spacing w:after="0"/>
              <w:rPr>
                <w:sz w:val="18"/>
                <w:szCs w:val="18"/>
              </w:rPr>
            </w:pPr>
            <w:r>
              <w:rPr>
                <w:sz w:val="18"/>
                <w:szCs w:val="18"/>
              </w:rPr>
              <w:t>Gogo</w:t>
            </w:r>
          </w:p>
        </w:tc>
        <w:tc>
          <w:tcPr>
            <w:tcW w:w="1134" w:type="dxa"/>
            <w:tcBorders>
              <w:top w:val="single" w:sz="4" w:space="0" w:color="auto"/>
              <w:left w:val="single" w:sz="4" w:space="0" w:color="auto"/>
              <w:bottom w:val="single" w:sz="4" w:space="0" w:color="auto"/>
              <w:right w:val="single" w:sz="4" w:space="0" w:color="auto"/>
            </w:tcBorders>
            <w:hideMark/>
          </w:tcPr>
          <w:p w14:paraId="16F76C74" w14:textId="77777777" w:rsidR="00302BFE" w:rsidRDefault="00302BFE" w:rsidP="00243B15">
            <w:pPr>
              <w:spacing w:after="0"/>
              <w:rPr>
                <w:sz w:val="18"/>
                <w:szCs w:val="18"/>
              </w:rPr>
            </w:pPr>
            <w:r>
              <w:rPr>
                <w:sz w:val="18"/>
                <w:szCs w:val="18"/>
              </w:rPr>
              <w:t>90</w:t>
            </w:r>
          </w:p>
        </w:tc>
        <w:tc>
          <w:tcPr>
            <w:tcW w:w="1418" w:type="dxa"/>
            <w:tcBorders>
              <w:top w:val="single" w:sz="4" w:space="0" w:color="auto"/>
              <w:left w:val="single" w:sz="4" w:space="0" w:color="auto"/>
              <w:bottom w:val="single" w:sz="4" w:space="0" w:color="auto"/>
              <w:right w:val="single" w:sz="4" w:space="0" w:color="auto"/>
            </w:tcBorders>
            <w:hideMark/>
          </w:tcPr>
          <w:p w14:paraId="2D08579D" w14:textId="77777777" w:rsidR="00302BFE" w:rsidRDefault="00302BFE" w:rsidP="00243B15">
            <w:pPr>
              <w:spacing w:after="0"/>
              <w:rPr>
                <w:sz w:val="18"/>
                <w:szCs w:val="18"/>
              </w:rPr>
            </w:pPr>
            <w:r>
              <w:rPr>
                <w:sz w:val="18"/>
                <w:szCs w:val="18"/>
              </w:rPr>
              <w:t>na</w:t>
            </w:r>
          </w:p>
        </w:tc>
        <w:tc>
          <w:tcPr>
            <w:tcW w:w="1275" w:type="dxa"/>
            <w:tcBorders>
              <w:top w:val="single" w:sz="4" w:space="0" w:color="auto"/>
              <w:left w:val="single" w:sz="4" w:space="0" w:color="auto"/>
              <w:bottom w:val="single" w:sz="4" w:space="0" w:color="auto"/>
              <w:right w:val="single" w:sz="4" w:space="0" w:color="auto"/>
            </w:tcBorders>
            <w:hideMark/>
          </w:tcPr>
          <w:p w14:paraId="3415E1BA" w14:textId="77777777" w:rsidR="00302BFE" w:rsidRDefault="00302BFE" w:rsidP="00243B15">
            <w:pPr>
              <w:spacing w:after="0"/>
              <w:rPr>
                <w:sz w:val="16"/>
                <w:szCs w:val="16"/>
              </w:rPr>
            </w:pPr>
            <w:r>
              <w:rPr>
                <w:sz w:val="16"/>
                <w:szCs w:val="16"/>
              </w:rPr>
              <w:t>Management committee</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46815F2E" w14:textId="77777777" w:rsidR="00302BFE" w:rsidRPr="00432006" w:rsidRDefault="00302BFE" w:rsidP="00243B15">
            <w:pPr>
              <w:spacing w:after="0"/>
              <w:rPr>
                <w:sz w:val="16"/>
                <w:szCs w:val="16"/>
                <w:lang w:val="en-CA"/>
              </w:rPr>
            </w:pPr>
            <w:r>
              <w:rPr>
                <w:sz w:val="16"/>
                <w:szCs w:val="16"/>
                <w:lang w:val="en-CA"/>
              </w:rPr>
              <w:t>No m</w:t>
            </w:r>
            <w:r w:rsidRPr="00794A76">
              <w:rPr>
                <w:sz w:val="16"/>
                <w:szCs w:val="16"/>
                <w:lang w:val="en-CA"/>
              </w:rPr>
              <w:t xml:space="preserve">anagement plan </w:t>
            </w:r>
            <w:r>
              <w:rPr>
                <w:sz w:val="16"/>
                <w:szCs w:val="16"/>
                <w:lang w:val="en-CA"/>
              </w:rPr>
              <w:t>or</w:t>
            </w:r>
            <w:r w:rsidRPr="00794A76">
              <w:rPr>
                <w:sz w:val="16"/>
                <w:szCs w:val="16"/>
                <w:lang w:val="en-CA"/>
              </w:rPr>
              <w:t xml:space="preserve"> specifications</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6C2D53E8" w14:textId="77777777" w:rsidR="00302BFE" w:rsidRDefault="00302BFE" w:rsidP="00243B15">
            <w:pPr>
              <w:spacing w:after="0"/>
              <w:rPr>
                <w:sz w:val="18"/>
                <w:szCs w:val="18"/>
                <w:lang w:val="fr-CA"/>
              </w:rPr>
            </w:pPr>
            <w:r w:rsidRPr="00432006">
              <w:rPr>
                <w:sz w:val="16"/>
                <w:szCs w:val="16"/>
                <w:lang w:val="fr-CA"/>
              </w:rPr>
              <w:t>No reference of creation</w:t>
            </w:r>
          </w:p>
        </w:tc>
      </w:tr>
      <w:tr w:rsidR="00302BFE" w14:paraId="4ED1A2B9" w14:textId="77777777" w:rsidTr="00243B15">
        <w:trPr>
          <w:jc w:val="center"/>
        </w:trPr>
        <w:tc>
          <w:tcPr>
            <w:tcW w:w="2405" w:type="dxa"/>
            <w:tcBorders>
              <w:top w:val="single" w:sz="4" w:space="0" w:color="auto"/>
              <w:left w:val="single" w:sz="4" w:space="0" w:color="auto"/>
              <w:bottom w:val="single" w:sz="4" w:space="0" w:color="auto"/>
              <w:right w:val="single" w:sz="4" w:space="0" w:color="auto"/>
            </w:tcBorders>
            <w:hideMark/>
          </w:tcPr>
          <w:p w14:paraId="615874DE" w14:textId="77777777" w:rsidR="00302BFE" w:rsidRDefault="00302BFE" w:rsidP="00243B15">
            <w:pPr>
              <w:spacing w:after="0"/>
              <w:rPr>
                <w:sz w:val="18"/>
                <w:szCs w:val="18"/>
              </w:rPr>
            </w:pPr>
            <w:r>
              <w:rPr>
                <w:sz w:val="18"/>
                <w:szCs w:val="18"/>
              </w:rPr>
              <w:t>Toécé</w:t>
            </w:r>
          </w:p>
        </w:tc>
        <w:tc>
          <w:tcPr>
            <w:tcW w:w="1134" w:type="dxa"/>
            <w:tcBorders>
              <w:top w:val="single" w:sz="4" w:space="0" w:color="auto"/>
              <w:left w:val="single" w:sz="4" w:space="0" w:color="auto"/>
              <w:bottom w:val="single" w:sz="4" w:space="0" w:color="auto"/>
              <w:right w:val="single" w:sz="4" w:space="0" w:color="auto"/>
            </w:tcBorders>
            <w:hideMark/>
          </w:tcPr>
          <w:p w14:paraId="19884CE8" w14:textId="77777777" w:rsidR="00302BFE" w:rsidRDefault="00302BFE" w:rsidP="00243B15">
            <w:pPr>
              <w:spacing w:after="0"/>
              <w:rPr>
                <w:sz w:val="18"/>
                <w:szCs w:val="18"/>
              </w:rPr>
            </w:pPr>
            <w:r>
              <w:rPr>
                <w:sz w:val="18"/>
                <w:szCs w:val="18"/>
              </w:rPr>
              <w:t>27</w:t>
            </w:r>
          </w:p>
        </w:tc>
        <w:tc>
          <w:tcPr>
            <w:tcW w:w="1418" w:type="dxa"/>
            <w:tcBorders>
              <w:top w:val="single" w:sz="4" w:space="0" w:color="auto"/>
              <w:left w:val="single" w:sz="4" w:space="0" w:color="auto"/>
              <w:bottom w:val="single" w:sz="4" w:space="0" w:color="auto"/>
              <w:right w:val="single" w:sz="4" w:space="0" w:color="auto"/>
            </w:tcBorders>
            <w:hideMark/>
          </w:tcPr>
          <w:p w14:paraId="1CFB151C" w14:textId="77777777" w:rsidR="00302BFE" w:rsidRDefault="00302BFE" w:rsidP="00243B15">
            <w:pPr>
              <w:spacing w:after="0"/>
              <w:rPr>
                <w:sz w:val="18"/>
                <w:szCs w:val="18"/>
              </w:rPr>
            </w:pPr>
            <w:r>
              <w:rPr>
                <w:sz w:val="18"/>
                <w:szCs w:val="18"/>
              </w:rPr>
              <w:t>na</w:t>
            </w:r>
          </w:p>
        </w:tc>
        <w:tc>
          <w:tcPr>
            <w:tcW w:w="1275" w:type="dxa"/>
            <w:tcBorders>
              <w:top w:val="single" w:sz="4" w:space="0" w:color="auto"/>
              <w:left w:val="single" w:sz="4" w:space="0" w:color="auto"/>
              <w:bottom w:val="single" w:sz="4" w:space="0" w:color="auto"/>
              <w:right w:val="single" w:sz="4" w:space="0" w:color="auto"/>
            </w:tcBorders>
            <w:hideMark/>
          </w:tcPr>
          <w:p w14:paraId="676588D2" w14:textId="77777777" w:rsidR="00302BFE" w:rsidRDefault="00302BFE" w:rsidP="00243B15">
            <w:pPr>
              <w:spacing w:after="0"/>
              <w:rPr>
                <w:sz w:val="18"/>
                <w:szCs w:val="18"/>
              </w:rPr>
            </w:pPr>
            <w:r>
              <w:rPr>
                <w:sz w:val="16"/>
                <w:szCs w:val="16"/>
              </w:rPr>
              <w:t>Management committee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3EBC3A" w14:textId="77777777" w:rsidR="00302BFE" w:rsidRDefault="00302BFE" w:rsidP="00243B15">
            <w:pPr>
              <w:spacing w:after="0"/>
              <w:jc w:val="left"/>
              <w:rPr>
                <w:sz w:val="16"/>
                <w:szCs w:val="16"/>
                <w:lang w:val="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C7D20A" w14:textId="77777777" w:rsidR="00302BFE" w:rsidRDefault="00302BFE" w:rsidP="00243B15">
            <w:pPr>
              <w:spacing w:after="0"/>
              <w:jc w:val="left"/>
              <w:rPr>
                <w:sz w:val="18"/>
                <w:szCs w:val="18"/>
                <w:lang w:val="fr-CA"/>
              </w:rPr>
            </w:pPr>
          </w:p>
        </w:tc>
      </w:tr>
      <w:tr w:rsidR="00302BFE" w14:paraId="1FBE95FE" w14:textId="77777777" w:rsidTr="00243B15">
        <w:trPr>
          <w:jc w:val="center"/>
        </w:trPr>
        <w:tc>
          <w:tcPr>
            <w:tcW w:w="2405" w:type="dxa"/>
            <w:tcBorders>
              <w:top w:val="single" w:sz="4" w:space="0" w:color="auto"/>
              <w:left w:val="single" w:sz="4" w:space="0" w:color="auto"/>
              <w:bottom w:val="single" w:sz="4" w:space="0" w:color="auto"/>
              <w:right w:val="single" w:sz="4" w:space="0" w:color="auto"/>
            </w:tcBorders>
            <w:hideMark/>
          </w:tcPr>
          <w:p w14:paraId="5B5C6BEC" w14:textId="77777777" w:rsidR="00302BFE" w:rsidRDefault="00302BFE" w:rsidP="00243B15">
            <w:pPr>
              <w:spacing w:after="0"/>
              <w:rPr>
                <w:sz w:val="18"/>
                <w:szCs w:val="18"/>
              </w:rPr>
            </w:pPr>
            <w:r>
              <w:rPr>
                <w:sz w:val="18"/>
                <w:szCs w:val="18"/>
              </w:rPr>
              <w:t>Sapouy</w:t>
            </w:r>
          </w:p>
        </w:tc>
        <w:tc>
          <w:tcPr>
            <w:tcW w:w="1134" w:type="dxa"/>
            <w:tcBorders>
              <w:top w:val="single" w:sz="4" w:space="0" w:color="auto"/>
              <w:left w:val="single" w:sz="4" w:space="0" w:color="auto"/>
              <w:bottom w:val="single" w:sz="4" w:space="0" w:color="auto"/>
              <w:right w:val="single" w:sz="4" w:space="0" w:color="auto"/>
            </w:tcBorders>
            <w:hideMark/>
          </w:tcPr>
          <w:p w14:paraId="03A518FA" w14:textId="77777777" w:rsidR="00302BFE" w:rsidRDefault="00302BFE" w:rsidP="00243B15">
            <w:pPr>
              <w:spacing w:after="0"/>
              <w:rPr>
                <w:sz w:val="18"/>
                <w:szCs w:val="18"/>
              </w:rPr>
            </w:pPr>
            <w:r>
              <w:rPr>
                <w:sz w:val="18"/>
                <w:szCs w:val="18"/>
              </w:rPr>
              <w:t>10</w:t>
            </w:r>
          </w:p>
        </w:tc>
        <w:tc>
          <w:tcPr>
            <w:tcW w:w="1418" w:type="dxa"/>
            <w:tcBorders>
              <w:top w:val="single" w:sz="4" w:space="0" w:color="auto"/>
              <w:left w:val="single" w:sz="4" w:space="0" w:color="auto"/>
              <w:bottom w:val="single" w:sz="4" w:space="0" w:color="auto"/>
              <w:right w:val="single" w:sz="4" w:space="0" w:color="auto"/>
            </w:tcBorders>
            <w:hideMark/>
          </w:tcPr>
          <w:p w14:paraId="6FBBD2EF" w14:textId="77777777" w:rsidR="00302BFE" w:rsidRDefault="00302BFE" w:rsidP="00243B15">
            <w:pPr>
              <w:spacing w:after="0"/>
              <w:rPr>
                <w:sz w:val="18"/>
                <w:szCs w:val="18"/>
              </w:rPr>
            </w:pPr>
            <w:r>
              <w:rPr>
                <w:sz w:val="18"/>
                <w:szCs w:val="18"/>
              </w:rPr>
              <w:t>na</w:t>
            </w:r>
          </w:p>
        </w:tc>
        <w:tc>
          <w:tcPr>
            <w:tcW w:w="1275" w:type="dxa"/>
            <w:tcBorders>
              <w:top w:val="single" w:sz="4" w:space="0" w:color="auto"/>
              <w:left w:val="single" w:sz="4" w:space="0" w:color="auto"/>
              <w:bottom w:val="single" w:sz="4" w:space="0" w:color="auto"/>
              <w:right w:val="single" w:sz="4" w:space="0" w:color="auto"/>
            </w:tcBorders>
            <w:hideMark/>
          </w:tcPr>
          <w:p w14:paraId="139809CC" w14:textId="77777777" w:rsidR="00302BFE" w:rsidRDefault="00302BFE" w:rsidP="00243B15">
            <w:pPr>
              <w:spacing w:after="0"/>
              <w:rPr>
                <w:sz w:val="18"/>
                <w:szCs w:val="18"/>
              </w:rPr>
            </w:pPr>
            <w:r>
              <w:rPr>
                <w:sz w:val="16"/>
                <w:szCs w:val="16"/>
              </w:rPr>
              <w:t>Management committee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BC8B09" w14:textId="77777777" w:rsidR="00302BFE" w:rsidRDefault="00302BFE" w:rsidP="00243B15">
            <w:pPr>
              <w:spacing w:after="0"/>
              <w:jc w:val="left"/>
              <w:rPr>
                <w:sz w:val="16"/>
                <w:szCs w:val="16"/>
                <w:lang w:val="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2EAD63" w14:textId="77777777" w:rsidR="00302BFE" w:rsidRDefault="00302BFE" w:rsidP="00243B15">
            <w:pPr>
              <w:spacing w:after="0"/>
              <w:jc w:val="left"/>
              <w:rPr>
                <w:sz w:val="18"/>
                <w:szCs w:val="18"/>
                <w:lang w:val="fr-CA"/>
              </w:rPr>
            </w:pPr>
          </w:p>
        </w:tc>
      </w:tr>
      <w:tr w:rsidR="00302BFE" w14:paraId="1343D1B2" w14:textId="77777777" w:rsidTr="00243B15">
        <w:trPr>
          <w:jc w:val="center"/>
        </w:trPr>
        <w:tc>
          <w:tcPr>
            <w:tcW w:w="2405" w:type="dxa"/>
            <w:tcBorders>
              <w:top w:val="single" w:sz="4" w:space="0" w:color="auto"/>
              <w:left w:val="single" w:sz="4" w:space="0" w:color="auto"/>
              <w:bottom w:val="single" w:sz="4" w:space="0" w:color="auto"/>
              <w:right w:val="single" w:sz="4" w:space="0" w:color="auto"/>
            </w:tcBorders>
            <w:shd w:val="clear" w:color="auto" w:fill="D0CECE"/>
            <w:hideMark/>
          </w:tcPr>
          <w:p w14:paraId="6D8D01BE" w14:textId="77777777" w:rsidR="00302BFE" w:rsidRDefault="00302BFE" w:rsidP="00243B15">
            <w:pPr>
              <w:spacing w:after="0"/>
              <w:rPr>
                <w:b/>
                <w:sz w:val="18"/>
                <w:szCs w:val="18"/>
              </w:rPr>
            </w:pPr>
            <w:r>
              <w:rPr>
                <w:b/>
                <w:sz w:val="18"/>
                <w:szCs w:val="18"/>
              </w:rPr>
              <w:t xml:space="preserve">Total area of commune forests </w:t>
            </w:r>
          </w:p>
        </w:tc>
        <w:tc>
          <w:tcPr>
            <w:tcW w:w="1134" w:type="dxa"/>
            <w:tcBorders>
              <w:top w:val="single" w:sz="4" w:space="0" w:color="auto"/>
              <w:left w:val="single" w:sz="4" w:space="0" w:color="auto"/>
              <w:bottom w:val="single" w:sz="4" w:space="0" w:color="auto"/>
              <w:right w:val="single" w:sz="4" w:space="0" w:color="auto"/>
            </w:tcBorders>
            <w:shd w:val="clear" w:color="auto" w:fill="D0CECE"/>
            <w:hideMark/>
          </w:tcPr>
          <w:p w14:paraId="5588D95F" w14:textId="77777777" w:rsidR="00302BFE" w:rsidRDefault="00302BFE" w:rsidP="00243B15">
            <w:pPr>
              <w:spacing w:after="0"/>
              <w:rPr>
                <w:b/>
                <w:sz w:val="18"/>
                <w:szCs w:val="18"/>
              </w:rPr>
            </w:pPr>
            <w:r>
              <w:rPr>
                <w:b/>
                <w:sz w:val="18"/>
                <w:szCs w:val="18"/>
              </w:rPr>
              <w:t>127</w:t>
            </w:r>
          </w:p>
        </w:tc>
        <w:tc>
          <w:tcPr>
            <w:tcW w:w="5245" w:type="dxa"/>
            <w:gridSpan w:val="4"/>
            <w:tcBorders>
              <w:top w:val="single" w:sz="4" w:space="0" w:color="auto"/>
              <w:left w:val="single" w:sz="4" w:space="0" w:color="auto"/>
              <w:bottom w:val="single" w:sz="4" w:space="0" w:color="auto"/>
              <w:right w:val="single" w:sz="4" w:space="0" w:color="auto"/>
            </w:tcBorders>
          </w:tcPr>
          <w:p w14:paraId="7E07FB62" w14:textId="77777777" w:rsidR="00302BFE" w:rsidRDefault="00302BFE" w:rsidP="00243B15">
            <w:pPr>
              <w:spacing w:after="0"/>
              <w:rPr>
                <w:sz w:val="18"/>
                <w:szCs w:val="18"/>
              </w:rPr>
            </w:pPr>
          </w:p>
        </w:tc>
      </w:tr>
      <w:tr w:rsidR="00302BFE" w14:paraId="712C2FBF" w14:textId="77777777" w:rsidTr="00243B15">
        <w:trPr>
          <w:jc w:val="center"/>
        </w:trPr>
        <w:tc>
          <w:tcPr>
            <w:tcW w:w="8784" w:type="dxa"/>
            <w:gridSpan w:val="6"/>
            <w:tcBorders>
              <w:top w:val="single" w:sz="4" w:space="0" w:color="auto"/>
              <w:left w:val="single" w:sz="4" w:space="0" w:color="auto"/>
              <w:bottom w:val="single" w:sz="4" w:space="0" w:color="auto"/>
              <w:right w:val="single" w:sz="4" w:space="0" w:color="auto"/>
            </w:tcBorders>
            <w:hideMark/>
          </w:tcPr>
          <w:p w14:paraId="2BD04D24" w14:textId="77777777" w:rsidR="00302BFE" w:rsidRDefault="00302BFE" w:rsidP="00243B15">
            <w:pPr>
              <w:spacing w:after="0"/>
              <w:rPr>
                <w:sz w:val="18"/>
                <w:szCs w:val="18"/>
              </w:rPr>
            </w:pPr>
            <w:r>
              <w:rPr>
                <w:b/>
                <w:sz w:val="18"/>
                <w:szCs w:val="18"/>
              </w:rPr>
              <w:t>Village Forests</w:t>
            </w:r>
          </w:p>
        </w:tc>
      </w:tr>
      <w:tr w:rsidR="00302BFE" w14:paraId="330BEB0C" w14:textId="77777777" w:rsidTr="00243B15">
        <w:trPr>
          <w:jc w:val="center"/>
        </w:trPr>
        <w:tc>
          <w:tcPr>
            <w:tcW w:w="2405" w:type="dxa"/>
            <w:tcBorders>
              <w:top w:val="single" w:sz="4" w:space="0" w:color="auto"/>
              <w:left w:val="single" w:sz="4" w:space="0" w:color="auto"/>
              <w:bottom w:val="single" w:sz="4" w:space="0" w:color="auto"/>
              <w:right w:val="single" w:sz="4" w:space="0" w:color="auto"/>
            </w:tcBorders>
            <w:hideMark/>
          </w:tcPr>
          <w:p w14:paraId="4730B224" w14:textId="77777777" w:rsidR="00302BFE" w:rsidRDefault="00302BFE" w:rsidP="00243B15">
            <w:pPr>
              <w:spacing w:after="0"/>
              <w:rPr>
                <w:sz w:val="18"/>
                <w:szCs w:val="18"/>
              </w:rPr>
            </w:pPr>
            <w:r>
              <w:rPr>
                <w:sz w:val="18"/>
                <w:szCs w:val="18"/>
              </w:rPr>
              <w:t>Yelbouga</w:t>
            </w:r>
          </w:p>
        </w:tc>
        <w:tc>
          <w:tcPr>
            <w:tcW w:w="1134" w:type="dxa"/>
            <w:tcBorders>
              <w:top w:val="single" w:sz="4" w:space="0" w:color="auto"/>
              <w:left w:val="single" w:sz="4" w:space="0" w:color="auto"/>
              <w:bottom w:val="single" w:sz="4" w:space="0" w:color="auto"/>
              <w:right w:val="single" w:sz="4" w:space="0" w:color="auto"/>
            </w:tcBorders>
            <w:hideMark/>
          </w:tcPr>
          <w:p w14:paraId="322EDD61" w14:textId="77777777" w:rsidR="00302BFE" w:rsidRDefault="00302BFE" w:rsidP="00243B15">
            <w:pPr>
              <w:spacing w:after="0"/>
              <w:rPr>
                <w:sz w:val="18"/>
                <w:szCs w:val="18"/>
              </w:rPr>
            </w:pPr>
            <w:r>
              <w:rPr>
                <w:sz w:val="18"/>
                <w:szCs w:val="18"/>
              </w:rPr>
              <w:t>1</w:t>
            </w:r>
          </w:p>
        </w:tc>
        <w:tc>
          <w:tcPr>
            <w:tcW w:w="1418" w:type="dxa"/>
            <w:tcBorders>
              <w:top w:val="single" w:sz="4" w:space="0" w:color="auto"/>
              <w:left w:val="single" w:sz="4" w:space="0" w:color="auto"/>
              <w:bottom w:val="single" w:sz="4" w:space="0" w:color="auto"/>
              <w:right w:val="single" w:sz="4" w:space="0" w:color="auto"/>
            </w:tcBorders>
            <w:hideMark/>
          </w:tcPr>
          <w:p w14:paraId="4AEFA4F5" w14:textId="77777777" w:rsidR="00302BFE" w:rsidRDefault="00302BFE" w:rsidP="00243B15">
            <w:pPr>
              <w:spacing w:after="0"/>
              <w:rPr>
                <w:sz w:val="18"/>
                <w:szCs w:val="18"/>
              </w:rPr>
            </w:pPr>
            <w:r>
              <w:rPr>
                <w:sz w:val="18"/>
                <w:szCs w:val="18"/>
              </w:rPr>
              <w:t>na</w:t>
            </w:r>
          </w:p>
        </w:tc>
        <w:tc>
          <w:tcPr>
            <w:tcW w:w="1275" w:type="dxa"/>
            <w:tcBorders>
              <w:top w:val="single" w:sz="4" w:space="0" w:color="auto"/>
              <w:left w:val="single" w:sz="4" w:space="0" w:color="auto"/>
              <w:bottom w:val="single" w:sz="4" w:space="0" w:color="auto"/>
              <w:right w:val="single" w:sz="4" w:space="0" w:color="auto"/>
            </w:tcBorders>
          </w:tcPr>
          <w:p w14:paraId="66983939" w14:textId="77777777" w:rsidR="00302BFE" w:rsidRDefault="00302BFE" w:rsidP="00243B15">
            <w:pPr>
              <w:spacing w:after="0"/>
              <w:rPr>
                <w:sz w:val="18"/>
                <w:szCs w:val="18"/>
              </w:rPr>
            </w:pP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78D820F6" w14:textId="77777777" w:rsidR="00302BFE" w:rsidRPr="00432006" w:rsidRDefault="00302BFE" w:rsidP="00243B15">
            <w:pPr>
              <w:spacing w:after="0"/>
              <w:rPr>
                <w:sz w:val="18"/>
                <w:szCs w:val="18"/>
                <w:lang w:val="en-CA"/>
              </w:rPr>
            </w:pPr>
            <w:r>
              <w:rPr>
                <w:sz w:val="16"/>
                <w:szCs w:val="16"/>
                <w:lang w:val="en-CA"/>
              </w:rPr>
              <w:t>No m</w:t>
            </w:r>
            <w:r w:rsidRPr="00794A76">
              <w:rPr>
                <w:sz w:val="16"/>
                <w:szCs w:val="16"/>
                <w:lang w:val="en-CA"/>
              </w:rPr>
              <w:t xml:space="preserve">anagement plan </w:t>
            </w:r>
            <w:r>
              <w:rPr>
                <w:sz w:val="16"/>
                <w:szCs w:val="16"/>
                <w:lang w:val="en-CA"/>
              </w:rPr>
              <w:t>or</w:t>
            </w:r>
            <w:r w:rsidRPr="00794A76">
              <w:rPr>
                <w:sz w:val="16"/>
                <w:szCs w:val="16"/>
                <w:lang w:val="en-CA"/>
              </w:rPr>
              <w:t xml:space="preserve"> specifications</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167574BB" w14:textId="77777777" w:rsidR="00302BFE" w:rsidRDefault="00302BFE" w:rsidP="00243B15">
            <w:pPr>
              <w:spacing w:after="0"/>
              <w:rPr>
                <w:sz w:val="18"/>
                <w:szCs w:val="18"/>
                <w:lang w:val="fr-CA"/>
              </w:rPr>
            </w:pPr>
            <w:r w:rsidRPr="00432006">
              <w:rPr>
                <w:sz w:val="16"/>
                <w:szCs w:val="16"/>
                <w:lang w:val="fr-CA"/>
              </w:rPr>
              <w:t>No reference of creation</w:t>
            </w:r>
          </w:p>
        </w:tc>
      </w:tr>
      <w:tr w:rsidR="00302BFE" w14:paraId="1C829C66" w14:textId="77777777" w:rsidTr="00243B15">
        <w:trPr>
          <w:jc w:val="center"/>
        </w:trPr>
        <w:tc>
          <w:tcPr>
            <w:tcW w:w="2405" w:type="dxa"/>
            <w:tcBorders>
              <w:top w:val="single" w:sz="4" w:space="0" w:color="auto"/>
              <w:left w:val="single" w:sz="4" w:space="0" w:color="auto"/>
              <w:bottom w:val="single" w:sz="4" w:space="0" w:color="auto"/>
              <w:right w:val="single" w:sz="4" w:space="0" w:color="auto"/>
            </w:tcBorders>
            <w:hideMark/>
          </w:tcPr>
          <w:p w14:paraId="6B44FF47" w14:textId="77777777" w:rsidR="00302BFE" w:rsidRDefault="00302BFE" w:rsidP="00243B15">
            <w:pPr>
              <w:spacing w:after="0"/>
              <w:rPr>
                <w:sz w:val="18"/>
                <w:szCs w:val="18"/>
              </w:rPr>
            </w:pPr>
            <w:r>
              <w:rPr>
                <w:sz w:val="18"/>
                <w:szCs w:val="18"/>
              </w:rPr>
              <w:lastRenderedPageBreak/>
              <w:t>Kaga</w:t>
            </w:r>
          </w:p>
        </w:tc>
        <w:tc>
          <w:tcPr>
            <w:tcW w:w="1134" w:type="dxa"/>
            <w:tcBorders>
              <w:top w:val="single" w:sz="4" w:space="0" w:color="auto"/>
              <w:left w:val="single" w:sz="4" w:space="0" w:color="auto"/>
              <w:bottom w:val="single" w:sz="4" w:space="0" w:color="auto"/>
              <w:right w:val="single" w:sz="4" w:space="0" w:color="auto"/>
            </w:tcBorders>
            <w:hideMark/>
          </w:tcPr>
          <w:p w14:paraId="5102316A" w14:textId="77777777" w:rsidR="00302BFE" w:rsidRDefault="00302BFE" w:rsidP="00243B15">
            <w:pPr>
              <w:spacing w:after="0"/>
              <w:rPr>
                <w:sz w:val="18"/>
                <w:szCs w:val="18"/>
              </w:rPr>
            </w:pPr>
            <w:r>
              <w:rPr>
                <w:sz w:val="18"/>
                <w:szCs w:val="18"/>
              </w:rPr>
              <w:t>100</w:t>
            </w:r>
          </w:p>
        </w:tc>
        <w:tc>
          <w:tcPr>
            <w:tcW w:w="1418" w:type="dxa"/>
            <w:tcBorders>
              <w:top w:val="single" w:sz="4" w:space="0" w:color="auto"/>
              <w:left w:val="single" w:sz="4" w:space="0" w:color="auto"/>
              <w:bottom w:val="single" w:sz="4" w:space="0" w:color="auto"/>
              <w:right w:val="single" w:sz="4" w:space="0" w:color="auto"/>
            </w:tcBorders>
            <w:hideMark/>
          </w:tcPr>
          <w:p w14:paraId="5C2E9BA1" w14:textId="77777777" w:rsidR="00302BFE" w:rsidRDefault="00302BFE" w:rsidP="00243B15">
            <w:pPr>
              <w:spacing w:after="0"/>
              <w:rPr>
                <w:sz w:val="18"/>
                <w:szCs w:val="18"/>
              </w:rPr>
            </w:pPr>
            <w:r>
              <w:rPr>
                <w:sz w:val="18"/>
                <w:szCs w:val="18"/>
              </w:rPr>
              <w:t>na</w:t>
            </w:r>
          </w:p>
        </w:tc>
        <w:tc>
          <w:tcPr>
            <w:tcW w:w="1275" w:type="dxa"/>
            <w:tcBorders>
              <w:top w:val="single" w:sz="4" w:space="0" w:color="auto"/>
              <w:left w:val="single" w:sz="4" w:space="0" w:color="auto"/>
              <w:bottom w:val="single" w:sz="4" w:space="0" w:color="auto"/>
              <w:right w:val="single" w:sz="4" w:space="0" w:color="auto"/>
            </w:tcBorders>
          </w:tcPr>
          <w:p w14:paraId="03154D74" w14:textId="77777777" w:rsidR="00302BFE" w:rsidRDefault="00302BFE" w:rsidP="00243B15">
            <w:pPr>
              <w:spacing w:after="0"/>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490613" w14:textId="77777777" w:rsidR="00302BFE" w:rsidRDefault="00302BFE" w:rsidP="00243B15">
            <w:pPr>
              <w:spacing w:after="0"/>
              <w:jc w:val="left"/>
              <w:rPr>
                <w:sz w:val="18"/>
                <w:szCs w:val="18"/>
                <w:lang w:val="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7AE3D2" w14:textId="77777777" w:rsidR="00302BFE" w:rsidRDefault="00302BFE" w:rsidP="00243B15">
            <w:pPr>
              <w:spacing w:after="0"/>
              <w:jc w:val="left"/>
              <w:rPr>
                <w:sz w:val="18"/>
                <w:szCs w:val="18"/>
                <w:lang w:val="fr-CA"/>
              </w:rPr>
            </w:pPr>
          </w:p>
        </w:tc>
      </w:tr>
      <w:tr w:rsidR="00302BFE" w14:paraId="5AAD9905" w14:textId="77777777" w:rsidTr="00243B15">
        <w:trPr>
          <w:jc w:val="center"/>
        </w:trPr>
        <w:tc>
          <w:tcPr>
            <w:tcW w:w="2405" w:type="dxa"/>
            <w:tcBorders>
              <w:top w:val="single" w:sz="4" w:space="0" w:color="auto"/>
              <w:left w:val="single" w:sz="4" w:space="0" w:color="auto"/>
              <w:bottom w:val="single" w:sz="4" w:space="0" w:color="auto"/>
              <w:right w:val="single" w:sz="4" w:space="0" w:color="auto"/>
            </w:tcBorders>
            <w:hideMark/>
          </w:tcPr>
          <w:p w14:paraId="59B6B5DE" w14:textId="77777777" w:rsidR="00302BFE" w:rsidRDefault="00302BFE" w:rsidP="00243B15">
            <w:pPr>
              <w:spacing w:after="0"/>
              <w:rPr>
                <w:sz w:val="18"/>
                <w:szCs w:val="18"/>
              </w:rPr>
            </w:pPr>
            <w:r>
              <w:rPr>
                <w:sz w:val="18"/>
                <w:szCs w:val="18"/>
              </w:rPr>
              <w:t>Dongo</w:t>
            </w:r>
          </w:p>
        </w:tc>
        <w:tc>
          <w:tcPr>
            <w:tcW w:w="1134" w:type="dxa"/>
            <w:tcBorders>
              <w:top w:val="single" w:sz="4" w:space="0" w:color="auto"/>
              <w:left w:val="single" w:sz="4" w:space="0" w:color="auto"/>
              <w:bottom w:val="single" w:sz="4" w:space="0" w:color="auto"/>
              <w:right w:val="single" w:sz="4" w:space="0" w:color="auto"/>
            </w:tcBorders>
            <w:hideMark/>
          </w:tcPr>
          <w:p w14:paraId="516BE40F" w14:textId="77777777" w:rsidR="00302BFE" w:rsidRDefault="00302BFE" w:rsidP="00243B15">
            <w:pPr>
              <w:spacing w:after="0"/>
              <w:rPr>
                <w:sz w:val="18"/>
                <w:szCs w:val="18"/>
              </w:rPr>
            </w:pPr>
            <w:r>
              <w:rPr>
                <w:sz w:val="18"/>
                <w:szCs w:val="18"/>
              </w:rPr>
              <w:t>30</w:t>
            </w:r>
          </w:p>
        </w:tc>
        <w:tc>
          <w:tcPr>
            <w:tcW w:w="1418" w:type="dxa"/>
            <w:tcBorders>
              <w:top w:val="single" w:sz="4" w:space="0" w:color="auto"/>
              <w:left w:val="single" w:sz="4" w:space="0" w:color="auto"/>
              <w:bottom w:val="single" w:sz="4" w:space="0" w:color="auto"/>
              <w:right w:val="single" w:sz="4" w:space="0" w:color="auto"/>
            </w:tcBorders>
            <w:hideMark/>
          </w:tcPr>
          <w:p w14:paraId="3318E832" w14:textId="77777777" w:rsidR="00302BFE" w:rsidRDefault="00302BFE" w:rsidP="00243B15">
            <w:pPr>
              <w:spacing w:after="0"/>
              <w:rPr>
                <w:sz w:val="18"/>
                <w:szCs w:val="18"/>
              </w:rPr>
            </w:pPr>
            <w:r>
              <w:rPr>
                <w:sz w:val="18"/>
                <w:szCs w:val="18"/>
              </w:rPr>
              <w:t>na</w:t>
            </w:r>
          </w:p>
        </w:tc>
        <w:tc>
          <w:tcPr>
            <w:tcW w:w="1275" w:type="dxa"/>
            <w:tcBorders>
              <w:top w:val="single" w:sz="4" w:space="0" w:color="auto"/>
              <w:left w:val="single" w:sz="4" w:space="0" w:color="auto"/>
              <w:bottom w:val="single" w:sz="4" w:space="0" w:color="auto"/>
              <w:right w:val="single" w:sz="4" w:space="0" w:color="auto"/>
            </w:tcBorders>
          </w:tcPr>
          <w:p w14:paraId="5D908A59" w14:textId="77777777" w:rsidR="00302BFE" w:rsidRDefault="00302BFE" w:rsidP="00243B15">
            <w:pPr>
              <w:spacing w:after="0"/>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185D6A" w14:textId="77777777" w:rsidR="00302BFE" w:rsidRDefault="00302BFE" w:rsidP="00243B15">
            <w:pPr>
              <w:spacing w:after="0"/>
              <w:jc w:val="left"/>
              <w:rPr>
                <w:sz w:val="18"/>
                <w:szCs w:val="18"/>
                <w:lang w:val="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C46041" w14:textId="77777777" w:rsidR="00302BFE" w:rsidRDefault="00302BFE" w:rsidP="00243B15">
            <w:pPr>
              <w:spacing w:after="0"/>
              <w:jc w:val="left"/>
              <w:rPr>
                <w:sz w:val="18"/>
                <w:szCs w:val="18"/>
                <w:lang w:val="fr-CA"/>
              </w:rPr>
            </w:pPr>
          </w:p>
        </w:tc>
      </w:tr>
      <w:tr w:rsidR="00302BFE" w14:paraId="79D773D3" w14:textId="77777777" w:rsidTr="00243B15">
        <w:trPr>
          <w:jc w:val="center"/>
        </w:trPr>
        <w:tc>
          <w:tcPr>
            <w:tcW w:w="2405" w:type="dxa"/>
            <w:tcBorders>
              <w:top w:val="single" w:sz="4" w:space="0" w:color="auto"/>
              <w:left w:val="single" w:sz="4" w:space="0" w:color="auto"/>
              <w:bottom w:val="single" w:sz="4" w:space="0" w:color="auto"/>
              <w:right w:val="single" w:sz="4" w:space="0" w:color="auto"/>
            </w:tcBorders>
            <w:hideMark/>
          </w:tcPr>
          <w:p w14:paraId="50D434F3" w14:textId="77777777" w:rsidR="00302BFE" w:rsidRDefault="00302BFE" w:rsidP="00243B15">
            <w:pPr>
              <w:spacing w:after="0"/>
              <w:rPr>
                <w:sz w:val="18"/>
                <w:szCs w:val="18"/>
              </w:rPr>
            </w:pPr>
            <w:r>
              <w:rPr>
                <w:sz w:val="18"/>
                <w:szCs w:val="18"/>
              </w:rPr>
              <w:t>Silimba</w:t>
            </w:r>
          </w:p>
        </w:tc>
        <w:tc>
          <w:tcPr>
            <w:tcW w:w="1134" w:type="dxa"/>
            <w:tcBorders>
              <w:top w:val="single" w:sz="4" w:space="0" w:color="auto"/>
              <w:left w:val="single" w:sz="4" w:space="0" w:color="auto"/>
              <w:bottom w:val="single" w:sz="4" w:space="0" w:color="auto"/>
              <w:right w:val="single" w:sz="4" w:space="0" w:color="auto"/>
            </w:tcBorders>
            <w:hideMark/>
          </w:tcPr>
          <w:p w14:paraId="780029D6" w14:textId="77777777" w:rsidR="00302BFE" w:rsidRDefault="00302BFE" w:rsidP="00243B15">
            <w:pPr>
              <w:spacing w:after="0"/>
              <w:rPr>
                <w:sz w:val="18"/>
                <w:szCs w:val="18"/>
              </w:rPr>
            </w:pPr>
            <w:r>
              <w:rPr>
                <w:sz w:val="18"/>
                <w:szCs w:val="18"/>
              </w:rPr>
              <w:t>10</w:t>
            </w:r>
          </w:p>
        </w:tc>
        <w:tc>
          <w:tcPr>
            <w:tcW w:w="1418" w:type="dxa"/>
            <w:tcBorders>
              <w:top w:val="single" w:sz="4" w:space="0" w:color="auto"/>
              <w:left w:val="single" w:sz="4" w:space="0" w:color="auto"/>
              <w:bottom w:val="single" w:sz="4" w:space="0" w:color="auto"/>
              <w:right w:val="single" w:sz="4" w:space="0" w:color="auto"/>
            </w:tcBorders>
            <w:hideMark/>
          </w:tcPr>
          <w:p w14:paraId="3951F599" w14:textId="77777777" w:rsidR="00302BFE" w:rsidRDefault="00302BFE" w:rsidP="00243B15">
            <w:pPr>
              <w:spacing w:after="0"/>
              <w:rPr>
                <w:sz w:val="18"/>
                <w:szCs w:val="18"/>
              </w:rPr>
            </w:pPr>
            <w:r>
              <w:rPr>
                <w:sz w:val="18"/>
                <w:szCs w:val="18"/>
              </w:rPr>
              <w:t>na</w:t>
            </w:r>
          </w:p>
        </w:tc>
        <w:tc>
          <w:tcPr>
            <w:tcW w:w="1275" w:type="dxa"/>
            <w:tcBorders>
              <w:top w:val="single" w:sz="4" w:space="0" w:color="auto"/>
              <w:left w:val="single" w:sz="4" w:space="0" w:color="auto"/>
              <w:bottom w:val="single" w:sz="4" w:space="0" w:color="auto"/>
              <w:right w:val="single" w:sz="4" w:space="0" w:color="auto"/>
            </w:tcBorders>
          </w:tcPr>
          <w:p w14:paraId="1847B5FE" w14:textId="77777777" w:rsidR="00302BFE" w:rsidRDefault="00302BFE" w:rsidP="00243B15">
            <w:pPr>
              <w:spacing w:after="0"/>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1D88B9" w14:textId="77777777" w:rsidR="00302BFE" w:rsidRDefault="00302BFE" w:rsidP="00243B15">
            <w:pPr>
              <w:spacing w:after="0"/>
              <w:jc w:val="left"/>
              <w:rPr>
                <w:sz w:val="18"/>
                <w:szCs w:val="18"/>
                <w:lang w:val="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12E492" w14:textId="77777777" w:rsidR="00302BFE" w:rsidRDefault="00302BFE" w:rsidP="00243B15">
            <w:pPr>
              <w:spacing w:after="0"/>
              <w:jc w:val="left"/>
              <w:rPr>
                <w:sz w:val="18"/>
                <w:szCs w:val="18"/>
                <w:lang w:val="fr-CA"/>
              </w:rPr>
            </w:pPr>
          </w:p>
        </w:tc>
      </w:tr>
      <w:tr w:rsidR="00302BFE" w14:paraId="4681BE87" w14:textId="77777777" w:rsidTr="00243B15">
        <w:trPr>
          <w:jc w:val="center"/>
        </w:trPr>
        <w:tc>
          <w:tcPr>
            <w:tcW w:w="2405" w:type="dxa"/>
            <w:tcBorders>
              <w:top w:val="single" w:sz="4" w:space="0" w:color="auto"/>
              <w:left w:val="single" w:sz="4" w:space="0" w:color="auto"/>
              <w:bottom w:val="single" w:sz="4" w:space="0" w:color="auto"/>
              <w:right w:val="single" w:sz="4" w:space="0" w:color="auto"/>
            </w:tcBorders>
            <w:hideMark/>
          </w:tcPr>
          <w:p w14:paraId="59836E18" w14:textId="77777777" w:rsidR="00302BFE" w:rsidRDefault="00302BFE" w:rsidP="00243B15">
            <w:pPr>
              <w:spacing w:after="0"/>
              <w:rPr>
                <w:sz w:val="18"/>
                <w:szCs w:val="18"/>
              </w:rPr>
            </w:pPr>
            <w:r>
              <w:rPr>
                <w:sz w:val="18"/>
                <w:szCs w:val="18"/>
              </w:rPr>
              <w:t>Rakaye Mossi</w:t>
            </w:r>
          </w:p>
        </w:tc>
        <w:tc>
          <w:tcPr>
            <w:tcW w:w="1134" w:type="dxa"/>
            <w:tcBorders>
              <w:top w:val="single" w:sz="4" w:space="0" w:color="auto"/>
              <w:left w:val="single" w:sz="4" w:space="0" w:color="auto"/>
              <w:bottom w:val="single" w:sz="4" w:space="0" w:color="auto"/>
              <w:right w:val="single" w:sz="4" w:space="0" w:color="auto"/>
            </w:tcBorders>
            <w:hideMark/>
          </w:tcPr>
          <w:p w14:paraId="22238615" w14:textId="77777777" w:rsidR="00302BFE" w:rsidRDefault="00302BFE" w:rsidP="00243B15">
            <w:pPr>
              <w:spacing w:after="0"/>
              <w:rPr>
                <w:sz w:val="18"/>
                <w:szCs w:val="18"/>
              </w:rPr>
            </w:pPr>
            <w:r>
              <w:rPr>
                <w:sz w:val="18"/>
                <w:szCs w:val="18"/>
              </w:rPr>
              <w:t>10</w:t>
            </w:r>
          </w:p>
        </w:tc>
        <w:tc>
          <w:tcPr>
            <w:tcW w:w="1418" w:type="dxa"/>
            <w:tcBorders>
              <w:top w:val="single" w:sz="4" w:space="0" w:color="auto"/>
              <w:left w:val="single" w:sz="4" w:space="0" w:color="auto"/>
              <w:bottom w:val="single" w:sz="4" w:space="0" w:color="auto"/>
              <w:right w:val="single" w:sz="4" w:space="0" w:color="auto"/>
            </w:tcBorders>
            <w:hideMark/>
          </w:tcPr>
          <w:p w14:paraId="47DB94AB" w14:textId="77777777" w:rsidR="00302BFE" w:rsidRDefault="00302BFE" w:rsidP="00243B15">
            <w:pPr>
              <w:spacing w:after="0"/>
              <w:rPr>
                <w:sz w:val="18"/>
                <w:szCs w:val="18"/>
              </w:rPr>
            </w:pPr>
            <w:r>
              <w:rPr>
                <w:sz w:val="18"/>
                <w:szCs w:val="18"/>
              </w:rPr>
              <w:t>na</w:t>
            </w:r>
          </w:p>
        </w:tc>
        <w:tc>
          <w:tcPr>
            <w:tcW w:w="1275" w:type="dxa"/>
            <w:tcBorders>
              <w:top w:val="single" w:sz="4" w:space="0" w:color="auto"/>
              <w:left w:val="single" w:sz="4" w:space="0" w:color="auto"/>
              <w:bottom w:val="single" w:sz="4" w:space="0" w:color="auto"/>
              <w:right w:val="single" w:sz="4" w:space="0" w:color="auto"/>
            </w:tcBorders>
          </w:tcPr>
          <w:p w14:paraId="4DE33112" w14:textId="77777777" w:rsidR="00302BFE" w:rsidRDefault="00302BFE" w:rsidP="00243B15">
            <w:pPr>
              <w:spacing w:after="0"/>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DE6E49" w14:textId="77777777" w:rsidR="00302BFE" w:rsidRDefault="00302BFE" w:rsidP="00243B15">
            <w:pPr>
              <w:spacing w:after="0"/>
              <w:jc w:val="left"/>
              <w:rPr>
                <w:sz w:val="18"/>
                <w:szCs w:val="18"/>
                <w:lang w:val="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39ABD4" w14:textId="77777777" w:rsidR="00302BFE" w:rsidRDefault="00302BFE" w:rsidP="00243B15">
            <w:pPr>
              <w:spacing w:after="0"/>
              <w:jc w:val="left"/>
              <w:rPr>
                <w:sz w:val="18"/>
                <w:szCs w:val="18"/>
                <w:lang w:val="fr-CA"/>
              </w:rPr>
            </w:pPr>
          </w:p>
        </w:tc>
      </w:tr>
      <w:tr w:rsidR="00302BFE" w14:paraId="3A06EC59" w14:textId="77777777" w:rsidTr="00243B15">
        <w:trPr>
          <w:jc w:val="center"/>
        </w:trPr>
        <w:tc>
          <w:tcPr>
            <w:tcW w:w="2405" w:type="dxa"/>
            <w:tcBorders>
              <w:top w:val="single" w:sz="4" w:space="0" w:color="auto"/>
              <w:left w:val="single" w:sz="4" w:space="0" w:color="auto"/>
              <w:bottom w:val="single" w:sz="4" w:space="0" w:color="auto"/>
              <w:right w:val="single" w:sz="4" w:space="0" w:color="auto"/>
            </w:tcBorders>
            <w:hideMark/>
          </w:tcPr>
          <w:p w14:paraId="7A772B10" w14:textId="77777777" w:rsidR="00302BFE" w:rsidRDefault="00302BFE" w:rsidP="00243B15">
            <w:pPr>
              <w:spacing w:after="0"/>
              <w:rPr>
                <w:sz w:val="18"/>
                <w:szCs w:val="18"/>
              </w:rPr>
            </w:pPr>
            <w:r>
              <w:rPr>
                <w:sz w:val="18"/>
                <w:szCs w:val="18"/>
              </w:rPr>
              <w:t>Rakaye Yarcé</w:t>
            </w:r>
          </w:p>
        </w:tc>
        <w:tc>
          <w:tcPr>
            <w:tcW w:w="1134" w:type="dxa"/>
            <w:tcBorders>
              <w:top w:val="single" w:sz="4" w:space="0" w:color="auto"/>
              <w:left w:val="single" w:sz="4" w:space="0" w:color="auto"/>
              <w:bottom w:val="single" w:sz="4" w:space="0" w:color="auto"/>
              <w:right w:val="single" w:sz="4" w:space="0" w:color="auto"/>
            </w:tcBorders>
            <w:hideMark/>
          </w:tcPr>
          <w:p w14:paraId="48BC05D7" w14:textId="77777777" w:rsidR="00302BFE" w:rsidRDefault="00302BFE" w:rsidP="00243B15">
            <w:pPr>
              <w:spacing w:after="0"/>
              <w:rPr>
                <w:sz w:val="18"/>
                <w:szCs w:val="18"/>
              </w:rPr>
            </w:pPr>
            <w:r>
              <w:rPr>
                <w:sz w:val="18"/>
                <w:szCs w:val="18"/>
              </w:rPr>
              <w:t>10</w:t>
            </w:r>
          </w:p>
        </w:tc>
        <w:tc>
          <w:tcPr>
            <w:tcW w:w="1418" w:type="dxa"/>
            <w:tcBorders>
              <w:top w:val="single" w:sz="4" w:space="0" w:color="auto"/>
              <w:left w:val="single" w:sz="4" w:space="0" w:color="auto"/>
              <w:bottom w:val="single" w:sz="4" w:space="0" w:color="auto"/>
              <w:right w:val="single" w:sz="4" w:space="0" w:color="auto"/>
            </w:tcBorders>
            <w:hideMark/>
          </w:tcPr>
          <w:p w14:paraId="7038DADA" w14:textId="77777777" w:rsidR="00302BFE" w:rsidRDefault="00302BFE" w:rsidP="00243B15">
            <w:pPr>
              <w:spacing w:after="0"/>
              <w:rPr>
                <w:sz w:val="18"/>
                <w:szCs w:val="18"/>
              </w:rPr>
            </w:pPr>
            <w:r>
              <w:rPr>
                <w:sz w:val="18"/>
                <w:szCs w:val="18"/>
              </w:rPr>
              <w:t>na</w:t>
            </w:r>
          </w:p>
        </w:tc>
        <w:tc>
          <w:tcPr>
            <w:tcW w:w="1275" w:type="dxa"/>
            <w:tcBorders>
              <w:top w:val="single" w:sz="4" w:space="0" w:color="auto"/>
              <w:left w:val="single" w:sz="4" w:space="0" w:color="auto"/>
              <w:bottom w:val="single" w:sz="4" w:space="0" w:color="auto"/>
              <w:right w:val="single" w:sz="4" w:space="0" w:color="auto"/>
            </w:tcBorders>
          </w:tcPr>
          <w:p w14:paraId="5030BD8D" w14:textId="77777777" w:rsidR="00302BFE" w:rsidRDefault="00302BFE" w:rsidP="00243B15">
            <w:pPr>
              <w:spacing w:after="0"/>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E4BAD6" w14:textId="77777777" w:rsidR="00302BFE" w:rsidRDefault="00302BFE" w:rsidP="00243B15">
            <w:pPr>
              <w:spacing w:after="0"/>
              <w:jc w:val="left"/>
              <w:rPr>
                <w:sz w:val="18"/>
                <w:szCs w:val="18"/>
                <w:lang w:val="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E0A42B" w14:textId="77777777" w:rsidR="00302BFE" w:rsidRDefault="00302BFE" w:rsidP="00243B15">
            <w:pPr>
              <w:spacing w:after="0"/>
              <w:jc w:val="left"/>
              <w:rPr>
                <w:sz w:val="18"/>
                <w:szCs w:val="18"/>
                <w:lang w:val="fr-CA"/>
              </w:rPr>
            </w:pPr>
          </w:p>
        </w:tc>
      </w:tr>
      <w:tr w:rsidR="00302BFE" w14:paraId="4615BAE2" w14:textId="77777777" w:rsidTr="00243B15">
        <w:trPr>
          <w:jc w:val="center"/>
        </w:trPr>
        <w:tc>
          <w:tcPr>
            <w:tcW w:w="2405" w:type="dxa"/>
            <w:tcBorders>
              <w:top w:val="single" w:sz="4" w:space="0" w:color="auto"/>
              <w:left w:val="single" w:sz="4" w:space="0" w:color="auto"/>
              <w:bottom w:val="single" w:sz="4" w:space="0" w:color="auto"/>
              <w:right w:val="single" w:sz="4" w:space="0" w:color="auto"/>
            </w:tcBorders>
            <w:hideMark/>
          </w:tcPr>
          <w:p w14:paraId="36A5ED5F" w14:textId="77777777" w:rsidR="00302BFE" w:rsidRDefault="00302BFE" w:rsidP="00243B15">
            <w:pPr>
              <w:spacing w:after="0"/>
              <w:rPr>
                <w:sz w:val="18"/>
                <w:szCs w:val="18"/>
              </w:rPr>
            </w:pPr>
            <w:r>
              <w:rPr>
                <w:sz w:val="18"/>
                <w:szCs w:val="18"/>
              </w:rPr>
              <w:t>Souli</w:t>
            </w:r>
          </w:p>
        </w:tc>
        <w:tc>
          <w:tcPr>
            <w:tcW w:w="1134" w:type="dxa"/>
            <w:tcBorders>
              <w:top w:val="single" w:sz="4" w:space="0" w:color="auto"/>
              <w:left w:val="single" w:sz="4" w:space="0" w:color="auto"/>
              <w:bottom w:val="single" w:sz="4" w:space="0" w:color="auto"/>
              <w:right w:val="single" w:sz="4" w:space="0" w:color="auto"/>
            </w:tcBorders>
            <w:hideMark/>
          </w:tcPr>
          <w:p w14:paraId="16902397" w14:textId="77777777" w:rsidR="00302BFE" w:rsidRDefault="00302BFE" w:rsidP="00243B15">
            <w:pPr>
              <w:spacing w:after="0"/>
              <w:rPr>
                <w:sz w:val="18"/>
                <w:szCs w:val="18"/>
              </w:rPr>
            </w:pPr>
            <w:r>
              <w:rPr>
                <w:sz w:val="18"/>
                <w:szCs w:val="18"/>
              </w:rPr>
              <w:t>10</w:t>
            </w:r>
          </w:p>
        </w:tc>
        <w:tc>
          <w:tcPr>
            <w:tcW w:w="1418" w:type="dxa"/>
            <w:tcBorders>
              <w:top w:val="single" w:sz="4" w:space="0" w:color="auto"/>
              <w:left w:val="single" w:sz="4" w:space="0" w:color="auto"/>
              <w:bottom w:val="single" w:sz="4" w:space="0" w:color="auto"/>
              <w:right w:val="single" w:sz="4" w:space="0" w:color="auto"/>
            </w:tcBorders>
            <w:hideMark/>
          </w:tcPr>
          <w:p w14:paraId="32B215AC" w14:textId="77777777" w:rsidR="00302BFE" w:rsidRDefault="00302BFE" w:rsidP="00243B15">
            <w:pPr>
              <w:spacing w:after="0"/>
              <w:rPr>
                <w:sz w:val="18"/>
                <w:szCs w:val="18"/>
              </w:rPr>
            </w:pPr>
            <w:r>
              <w:rPr>
                <w:sz w:val="18"/>
                <w:szCs w:val="18"/>
              </w:rPr>
              <w:t>na</w:t>
            </w:r>
          </w:p>
        </w:tc>
        <w:tc>
          <w:tcPr>
            <w:tcW w:w="1275" w:type="dxa"/>
            <w:tcBorders>
              <w:top w:val="single" w:sz="4" w:space="0" w:color="auto"/>
              <w:left w:val="single" w:sz="4" w:space="0" w:color="auto"/>
              <w:bottom w:val="single" w:sz="4" w:space="0" w:color="auto"/>
              <w:right w:val="single" w:sz="4" w:space="0" w:color="auto"/>
            </w:tcBorders>
          </w:tcPr>
          <w:p w14:paraId="74F63BB3" w14:textId="77777777" w:rsidR="00302BFE" w:rsidRDefault="00302BFE" w:rsidP="00243B15">
            <w:pPr>
              <w:spacing w:after="0"/>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5D4887" w14:textId="77777777" w:rsidR="00302BFE" w:rsidRDefault="00302BFE" w:rsidP="00243B15">
            <w:pPr>
              <w:spacing w:after="0"/>
              <w:jc w:val="left"/>
              <w:rPr>
                <w:sz w:val="18"/>
                <w:szCs w:val="18"/>
                <w:lang w:val="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B41852" w14:textId="77777777" w:rsidR="00302BFE" w:rsidRDefault="00302BFE" w:rsidP="00243B15">
            <w:pPr>
              <w:spacing w:after="0"/>
              <w:jc w:val="left"/>
              <w:rPr>
                <w:sz w:val="18"/>
                <w:szCs w:val="18"/>
                <w:lang w:val="fr-CA"/>
              </w:rPr>
            </w:pPr>
          </w:p>
        </w:tc>
      </w:tr>
      <w:tr w:rsidR="00302BFE" w14:paraId="503FB137" w14:textId="77777777" w:rsidTr="00243B15">
        <w:trPr>
          <w:jc w:val="center"/>
        </w:trPr>
        <w:tc>
          <w:tcPr>
            <w:tcW w:w="2405" w:type="dxa"/>
            <w:tcBorders>
              <w:top w:val="single" w:sz="4" w:space="0" w:color="auto"/>
              <w:left w:val="single" w:sz="4" w:space="0" w:color="auto"/>
              <w:bottom w:val="single" w:sz="4" w:space="0" w:color="auto"/>
              <w:right w:val="single" w:sz="4" w:space="0" w:color="auto"/>
            </w:tcBorders>
            <w:hideMark/>
          </w:tcPr>
          <w:p w14:paraId="4AAF59AD" w14:textId="77777777" w:rsidR="00302BFE" w:rsidRDefault="00302BFE" w:rsidP="00243B15">
            <w:pPr>
              <w:spacing w:after="0"/>
              <w:rPr>
                <w:sz w:val="18"/>
                <w:szCs w:val="18"/>
              </w:rPr>
            </w:pPr>
            <w:r>
              <w:rPr>
                <w:sz w:val="18"/>
                <w:szCs w:val="18"/>
              </w:rPr>
              <w:t>Guidissi</w:t>
            </w:r>
          </w:p>
        </w:tc>
        <w:tc>
          <w:tcPr>
            <w:tcW w:w="1134" w:type="dxa"/>
            <w:tcBorders>
              <w:top w:val="single" w:sz="4" w:space="0" w:color="auto"/>
              <w:left w:val="single" w:sz="4" w:space="0" w:color="auto"/>
              <w:bottom w:val="single" w:sz="4" w:space="0" w:color="auto"/>
              <w:right w:val="single" w:sz="4" w:space="0" w:color="auto"/>
            </w:tcBorders>
            <w:hideMark/>
          </w:tcPr>
          <w:p w14:paraId="44101910" w14:textId="77777777" w:rsidR="00302BFE" w:rsidRDefault="00302BFE" w:rsidP="00243B15">
            <w:pPr>
              <w:spacing w:after="0"/>
              <w:rPr>
                <w:sz w:val="18"/>
                <w:szCs w:val="18"/>
              </w:rPr>
            </w:pPr>
            <w:r>
              <w:rPr>
                <w:sz w:val="18"/>
                <w:szCs w:val="18"/>
              </w:rPr>
              <w:t>10</w:t>
            </w:r>
          </w:p>
        </w:tc>
        <w:tc>
          <w:tcPr>
            <w:tcW w:w="1418" w:type="dxa"/>
            <w:tcBorders>
              <w:top w:val="single" w:sz="4" w:space="0" w:color="auto"/>
              <w:left w:val="single" w:sz="4" w:space="0" w:color="auto"/>
              <w:bottom w:val="single" w:sz="4" w:space="0" w:color="auto"/>
              <w:right w:val="single" w:sz="4" w:space="0" w:color="auto"/>
            </w:tcBorders>
            <w:hideMark/>
          </w:tcPr>
          <w:p w14:paraId="389E6523" w14:textId="77777777" w:rsidR="00302BFE" w:rsidRDefault="00302BFE" w:rsidP="00243B15">
            <w:pPr>
              <w:spacing w:after="0"/>
              <w:rPr>
                <w:sz w:val="18"/>
                <w:szCs w:val="18"/>
              </w:rPr>
            </w:pPr>
            <w:r>
              <w:rPr>
                <w:sz w:val="18"/>
                <w:szCs w:val="18"/>
              </w:rPr>
              <w:t>na</w:t>
            </w:r>
          </w:p>
        </w:tc>
        <w:tc>
          <w:tcPr>
            <w:tcW w:w="1275" w:type="dxa"/>
            <w:tcBorders>
              <w:top w:val="single" w:sz="4" w:space="0" w:color="auto"/>
              <w:left w:val="single" w:sz="4" w:space="0" w:color="auto"/>
              <w:bottom w:val="single" w:sz="4" w:space="0" w:color="auto"/>
              <w:right w:val="single" w:sz="4" w:space="0" w:color="auto"/>
            </w:tcBorders>
          </w:tcPr>
          <w:p w14:paraId="2F9ABFE4" w14:textId="77777777" w:rsidR="00302BFE" w:rsidRDefault="00302BFE" w:rsidP="00243B15">
            <w:pPr>
              <w:spacing w:after="0"/>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C04EF0" w14:textId="77777777" w:rsidR="00302BFE" w:rsidRDefault="00302BFE" w:rsidP="00243B15">
            <w:pPr>
              <w:spacing w:after="0"/>
              <w:jc w:val="left"/>
              <w:rPr>
                <w:sz w:val="18"/>
                <w:szCs w:val="18"/>
                <w:lang w:val="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A14779" w14:textId="77777777" w:rsidR="00302BFE" w:rsidRDefault="00302BFE" w:rsidP="00243B15">
            <w:pPr>
              <w:spacing w:after="0"/>
              <w:jc w:val="left"/>
              <w:rPr>
                <w:sz w:val="18"/>
                <w:szCs w:val="18"/>
                <w:lang w:val="fr-CA"/>
              </w:rPr>
            </w:pPr>
          </w:p>
        </w:tc>
      </w:tr>
      <w:tr w:rsidR="00302BFE" w14:paraId="2C285054" w14:textId="77777777" w:rsidTr="00243B15">
        <w:trPr>
          <w:jc w:val="center"/>
        </w:trPr>
        <w:tc>
          <w:tcPr>
            <w:tcW w:w="2405" w:type="dxa"/>
            <w:tcBorders>
              <w:top w:val="single" w:sz="4" w:space="0" w:color="auto"/>
              <w:left w:val="single" w:sz="4" w:space="0" w:color="auto"/>
              <w:bottom w:val="single" w:sz="4" w:space="0" w:color="auto"/>
              <w:right w:val="single" w:sz="4" w:space="0" w:color="auto"/>
            </w:tcBorders>
            <w:hideMark/>
          </w:tcPr>
          <w:p w14:paraId="367E7707" w14:textId="77777777" w:rsidR="00302BFE" w:rsidRDefault="00302BFE" w:rsidP="00243B15">
            <w:pPr>
              <w:spacing w:after="0"/>
              <w:rPr>
                <w:sz w:val="18"/>
                <w:szCs w:val="18"/>
              </w:rPr>
            </w:pPr>
            <w:r>
              <w:rPr>
                <w:sz w:val="18"/>
                <w:szCs w:val="18"/>
              </w:rPr>
              <w:t>Toebanega</w:t>
            </w:r>
          </w:p>
        </w:tc>
        <w:tc>
          <w:tcPr>
            <w:tcW w:w="1134" w:type="dxa"/>
            <w:tcBorders>
              <w:top w:val="single" w:sz="4" w:space="0" w:color="auto"/>
              <w:left w:val="single" w:sz="4" w:space="0" w:color="auto"/>
              <w:bottom w:val="single" w:sz="4" w:space="0" w:color="auto"/>
              <w:right w:val="single" w:sz="4" w:space="0" w:color="auto"/>
            </w:tcBorders>
            <w:hideMark/>
          </w:tcPr>
          <w:p w14:paraId="2CA91E89" w14:textId="77777777" w:rsidR="00302BFE" w:rsidRDefault="00302BFE" w:rsidP="00243B15">
            <w:pPr>
              <w:spacing w:after="0"/>
              <w:rPr>
                <w:sz w:val="18"/>
                <w:szCs w:val="18"/>
              </w:rPr>
            </w:pPr>
            <w:r>
              <w:rPr>
                <w:sz w:val="18"/>
                <w:szCs w:val="18"/>
              </w:rPr>
              <w:t>6</w:t>
            </w:r>
          </w:p>
        </w:tc>
        <w:tc>
          <w:tcPr>
            <w:tcW w:w="1418" w:type="dxa"/>
            <w:tcBorders>
              <w:top w:val="single" w:sz="4" w:space="0" w:color="auto"/>
              <w:left w:val="single" w:sz="4" w:space="0" w:color="auto"/>
              <w:bottom w:val="single" w:sz="4" w:space="0" w:color="auto"/>
              <w:right w:val="single" w:sz="4" w:space="0" w:color="auto"/>
            </w:tcBorders>
            <w:hideMark/>
          </w:tcPr>
          <w:p w14:paraId="6F05432F" w14:textId="77777777" w:rsidR="00302BFE" w:rsidRDefault="00302BFE" w:rsidP="00243B15">
            <w:pPr>
              <w:spacing w:after="0"/>
              <w:rPr>
                <w:sz w:val="18"/>
                <w:szCs w:val="18"/>
              </w:rPr>
            </w:pPr>
            <w:r>
              <w:rPr>
                <w:sz w:val="18"/>
                <w:szCs w:val="18"/>
              </w:rPr>
              <w:t>na</w:t>
            </w:r>
          </w:p>
        </w:tc>
        <w:tc>
          <w:tcPr>
            <w:tcW w:w="1275" w:type="dxa"/>
            <w:tcBorders>
              <w:top w:val="single" w:sz="4" w:space="0" w:color="auto"/>
              <w:left w:val="single" w:sz="4" w:space="0" w:color="auto"/>
              <w:bottom w:val="single" w:sz="4" w:space="0" w:color="auto"/>
              <w:right w:val="single" w:sz="4" w:space="0" w:color="auto"/>
            </w:tcBorders>
          </w:tcPr>
          <w:p w14:paraId="37EF64FA" w14:textId="77777777" w:rsidR="00302BFE" w:rsidRDefault="00302BFE" w:rsidP="00243B15">
            <w:pPr>
              <w:spacing w:after="0"/>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018AE2" w14:textId="77777777" w:rsidR="00302BFE" w:rsidRDefault="00302BFE" w:rsidP="00243B15">
            <w:pPr>
              <w:spacing w:after="0"/>
              <w:jc w:val="left"/>
              <w:rPr>
                <w:sz w:val="18"/>
                <w:szCs w:val="18"/>
                <w:lang w:val="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39E58E" w14:textId="77777777" w:rsidR="00302BFE" w:rsidRDefault="00302BFE" w:rsidP="00243B15">
            <w:pPr>
              <w:spacing w:after="0"/>
              <w:jc w:val="left"/>
              <w:rPr>
                <w:sz w:val="18"/>
                <w:szCs w:val="18"/>
                <w:lang w:val="fr-CA"/>
              </w:rPr>
            </w:pPr>
          </w:p>
        </w:tc>
      </w:tr>
      <w:tr w:rsidR="00302BFE" w14:paraId="6077A980" w14:textId="77777777" w:rsidTr="00243B15">
        <w:trPr>
          <w:jc w:val="center"/>
        </w:trPr>
        <w:tc>
          <w:tcPr>
            <w:tcW w:w="2405" w:type="dxa"/>
            <w:tcBorders>
              <w:top w:val="single" w:sz="4" w:space="0" w:color="auto"/>
              <w:left w:val="single" w:sz="4" w:space="0" w:color="auto"/>
              <w:bottom w:val="single" w:sz="4" w:space="0" w:color="auto"/>
              <w:right w:val="single" w:sz="4" w:space="0" w:color="auto"/>
            </w:tcBorders>
            <w:hideMark/>
          </w:tcPr>
          <w:p w14:paraId="219E74E5" w14:textId="77777777" w:rsidR="00302BFE" w:rsidRDefault="00302BFE" w:rsidP="00243B15">
            <w:pPr>
              <w:spacing w:after="0"/>
              <w:rPr>
                <w:sz w:val="18"/>
                <w:szCs w:val="18"/>
              </w:rPr>
            </w:pPr>
            <w:r>
              <w:rPr>
                <w:sz w:val="18"/>
                <w:szCs w:val="18"/>
              </w:rPr>
              <w:t>Nabdogo</w:t>
            </w:r>
          </w:p>
        </w:tc>
        <w:tc>
          <w:tcPr>
            <w:tcW w:w="1134" w:type="dxa"/>
            <w:tcBorders>
              <w:top w:val="single" w:sz="4" w:space="0" w:color="auto"/>
              <w:left w:val="single" w:sz="4" w:space="0" w:color="auto"/>
              <w:bottom w:val="single" w:sz="4" w:space="0" w:color="auto"/>
              <w:right w:val="single" w:sz="4" w:space="0" w:color="auto"/>
            </w:tcBorders>
            <w:hideMark/>
          </w:tcPr>
          <w:p w14:paraId="56F72884" w14:textId="77777777" w:rsidR="00302BFE" w:rsidRDefault="00302BFE" w:rsidP="00243B15">
            <w:pPr>
              <w:spacing w:after="0"/>
              <w:rPr>
                <w:sz w:val="18"/>
                <w:szCs w:val="18"/>
              </w:rPr>
            </w:pPr>
            <w:r>
              <w:rPr>
                <w:sz w:val="18"/>
                <w:szCs w:val="18"/>
              </w:rPr>
              <w:t>10</w:t>
            </w:r>
          </w:p>
        </w:tc>
        <w:tc>
          <w:tcPr>
            <w:tcW w:w="1418" w:type="dxa"/>
            <w:tcBorders>
              <w:top w:val="single" w:sz="4" w:space="0" w:color="auto"/>
              <w:left w:val="single" w:sz="4" w:space="0" w:color="auto"/>
              <w:bottom w:val="single" w:sz="4" w:space="0" w:color="auto"/>
              <w:right w:val="single" w:sz="4" w:space="0" w:color="auto"/>
            </w:tcBorders>
            <w:hideMark/>
          </w:tcPr>
          <w:p w14:paraId="62DA3A0D" w14:textId="77777777" w:rsidR="00302BFE" w:rsidRDefault="00302BFE" w:rsidP="00243B15">
            <w:pPr>
              <w:spacing w:after="0"/>
              <w:rPr>
                <w:sz w:val="18"/>
                <w:szCs w:val="18"/>
              </w:rPr>
            </w:pPr>
            <w:r>
              <w:rPr>
                <w:sz w:val="18"/>
                <w:szCs w:val="18"/>
              </w:rPr>
              <w:t>na</w:t>
            </w:r>
          </w:p>
        </w:tc>
        <w:tc>
          <w:tcPr>
            <w:tcW w:w="1275" w:type="dxa"/>
            <w:tcBorders>
              <w:top w:val="single" w:sz="4" w:space="0" w:color="auto"/>
              <w:left w:val="single" w:sz="4" w:space="0" w:color="auto"/>
              <w:bottom w:val="single" w:sz="4" w:space="0" w:color="auto"/>
              <w:right w:val="single" w:sz="4" w:space="0" w:color="auto"/>
            </w:tcBorders>
          </w:tcPr>
          <w:p w14:paraId="68F1E65A" w14:textId="77777777" w:rsidR="00302BFE" w:rsidRDefault="00302BFE" w:rsidP="00243B15">
            <w:pPr>
              <w:spacing w:after="0"/>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1EFE89" w14:textId="77777777" w:rsidR="00302BFE" w:rsidRDefault="00302BFE" w:rsidP="00243B15">
            <w:pPr>
              <w:spacing w:after="0"/>
              <w:jc w:val="left"/>
              <w:rPr>
                <w:sz w:val="18"/>
                <w:szCs w:val="18"/>
                <w:lang w:val="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17A090" w14:textId="77777777" w:rsidR="00302BFE" w:rsidRDefault="00302BFE" w:rsidP="00243B15">
            <w:pPr>
              <w:spacing w:after="0"/>
              <w:jc w:val="left"/>
              <w:rPr>
                <w:sz w:val="18"/>
                <w:szCs w:val="18"/>
                <w:lang w:val="fr-CA"/>
              </w:rPr>
            </w:pPr>
          </w:p>
        </w:tc>
      </w:tr>
      <w:tr w:rsidR="00302BFE" w14:paraId="00794C6A" w14:textId="77777777" w:rsidTr="00243B15">
        <w:trPr>
          <w:jc w:val="center"/>
        </w:trPr>
        <w:tc>
          <w:tcPr>
            <w:tcW w:w="2405" w:type="dxa"/>
            <w:tcBorders>
              <w:top w:val="single" w:sz="4" w:space="0" w:color="auto"/>
              <w:left w:val="single" w:sz="4" w:space="0" w:color="auto"/>
              <w:bottom w:val="single" w:sz="4" w:space="0" w:color="auto"/>
              <w:right w:val="single" w:sz="4" w:space="0" w:color="auto"/>
            </w:tcBorders>
            <w:hideMark/>
          </w:tcPr>
          <w:p w14:paraId="69AE70A2" w14:textId="77777777" w:rsidR="00302BFE" w:rsidRDefault="00302BFE" w:rsidP="00243B15">
            <w:pPr>
              <w:spacing w:after="0"/>
              <w:rPr>
                <w:sz w:val="18"/>
                <w:szCs w:val="18"/>
              </w:rPr>
            </w:pPr>
            <w:r>
              <w:rPr>
                <w:sz w:val="18"/>
                <w:szCs w:val="18"/>
              </w:rPr>
              <w:t>Toghin</w:t>
            </w:r>
          </w:p>
        </w:tc>
        <w:tc>
          <w:tcPr>
            <w:tcW w:w="1134" w:type="dxa"/>
            <w:tcBorders>
              <w:top w:val="single" w:sz="4" w:space="0" w:color="auto"/>
              <w:left w:val="single" w:sz="4" w:space="0" w:color="auto"/>
              <w:bottom w:val="single" w:sz="4" w:space="0" w:color="auto"/>
              <w:right w:val="single" w:sz="4" w:space="0" w:color="auto"/>
            </w:tcBorders>
            <w:hideMark/>
          </w:tcPr>
          <w:p w14:paraId="6423EE96" w14:textId="77777777" w:rsidR="00302BFE" w:rsidRDefault="00302BFE" w:rsidP="00243B15">
            <w:pPr>
              <w:spacing w:after="0"/>
              <w:rPr>
                <w:sz w:val="18"/>
                <w:szCs w:val="18"/>
              </w:rPr>
            </w:pPr>
            <w:r>
              <w:rPr>
                <w:sz w:val="18"/>
                <w:szCs w:val="18"/>
              </w:rPr>
              <w:t>20</w:t>
            </w:r>
          </w:p>
        </w:tc>
        <w:tc>
          <w:tcPr>
            <w:tcW w:w="1418" w:type="dxa"/>
            <w:tcBorders>
              <w:top w:val="single" w:sz="4" w:space="0" w:color="auto"/>
              <w:left w:val="single" w:sz="4" w:space="0" w:color="auto"/>
              <w:bottom w:val="single" w:sz="4" w:space="0" w:color="auto"/>
              <w:right w:val="single" w:sz="4" w:space="0" w:color="auto"/>
            </w:tcBorders>
            <w:hideMark/>
          </w:tcPr>
          <w:p w14:paraId="5184D45F" w14:textId="77777777" w:rsidR="00302BFE" w:rsidRDefault="00302BFE" w:rsidP="00243B15">
            <w:pPr>
              <w:spacing w:after="0"/>
              <w:rPr>
                <w:sz w:val="18"/>
                <w:szCs w:val="18"/>
              </w:rPr>
            </w:pPr>
            <w:r>
              <w:rPr>
                <w:sz w:val="18"/>
                <w:szCs w:val="18"/>
              </w:rPr>
              <w:t>na</w:t>
            </w:r>
          </w:p>
        </w:tc>
        <w:tc>
          <w:tcPr>
            <w:tcW w:w="1275" w:type="dxa"/>
            <w:tcBorders>
              <w:top w:val="single" w:sz="4" w:space="0" w:color="auto"/>
              <w:left w:val="single" w:sz="4" w:space="0" w:color="auto"/>
              <w:bottom w:val="single" w:sz="4" w:space="0" w:color="auto"/>
              <w:right w:val="single" w:sz="4" w:space="0" w:color="auto"/>
            </w:tcBorders>
          </w:tcPr>
          <w:p w14:paraId="6FD41F38" w14:textId="77777777" w:rsidR="00302BFE" w:rsidRDefault="00302BFE" w:rsidP="00243B15">
            <w:pPr>
              <w:spacing w:after="0"/>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BE97F6" w14:textId="77777777" w:rsidR="00302BFE" w:rsidRDefault="00302BFE" w:rsidP="00243B15">
            <w:pPr>
              <w:spacing w:after="0"/>
              <w:jc w:val="left"/>
              <w:rPr>
                <w:sz w:val="18"/>
                <w:szCs w:val="18"/>
                <w:lang w:val="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D89282" w14:textId="77777777" w:rsidR="00302BFE" w:rsidRDefault="00302BFE" w:rsidP="00243B15">
            <w:pPr>
              <w:spacing w:after="0"/>
              <w:jc w:val="left"/>
              <w:rPr>
                <w:sz w:val="18"/>
                <w:szCs w:val="18"/>
                <w:lang w:val="fr-CA"/>
              </w:rPr>
            </w:pPr>
          </w:p>
        </w:tc>
      </w:tr>
      <w:tr w:rsidR="00302BFE" w14:paraId="0D9CBE68" w14:textId="77777777" w:rsidTr="00243B15">
        <w:trPr>
          <w:jc w:val="center"/>
        </w:trPr>
        <w:tc>
          <w:tcPr>
            <w:tcW w:w="2405" w:type="dxa"/>
            <w:tcBorders>
              <w:top w:val="single" w:sz="4" w:space="0" w:color="auto"/>
              <w:left w:val="single" w:sz="4" w:space="0" w:color="auto"/>
              <w:bottom w:val="single" w:sz="4" w:space="0" w:color="auto"/>
              <w:right w:val="single" w:sz="4" w:space="0" w:color="auto"/>
            </w:tcBorders>
            <w:hideMark/>
          </w:tcPr>
          <w:p w14:paraId="4875210D" w14:textId="77777777" w:rsidR="00302BFE" w:rsidRDefault="00302BFE" w:rsidP="00243B15">
            <w:pPr>
              <w:spacing w:after="0"/>
              <w:rPr>
                <w:sz w:val="18"/>
                <w:szCs w:val="18"/>
              </w:rPr>
            </w:pPr>
            <w:r>
              <w:rPr>
                <w:sz w:val="18"/>
                <w:szCs w:val="18"/>
              </w:rPr>
              <w:t>Godin</w:t>
            </w:r>
          </w:p>
        </w:tc>
        <w:tc>
          <w:tcPr>
            <w:tcW w:w="1134" w:type="dxa"/>
            <w:tcBorders>
              <w:top w:val="single" w:sz="4" w:space="0" w:color="auto"/>
              <w:left w:val="single" w:sz="4" w:space="0" w:color="auto"/>
              <w:bottom w:val="single" w:sz="4" w:space="0" w:color="auto"/>
              <w:right w:val="single" w:sz="4" w:space="0" w:color="auto"/>
            </w:tcBorders>
            <w:hideMark/>
          </w:tcPr>
          <w:p w14:paraId="5081BF72" w14:textId="77777777" w:rsidR="00302BFE" w:rsidRDefault="00302BFE" w:rsidP="00243B15">
            <w:pPr>
              <w:spacing w:after="0"/>
              <w:rPr>
                <w:sz w:val="18"/>
                <w:szCs w:val="18"/>
              </w:rPr>
            </w:pPr>
            <w:r>
              <w:rPr>
                <w:sz w:val="18"/>
                <w:szCs w:val="18"/>
              </w:rPr>
              <w:t>10</w:t>
            </w:r>
          </w:p>
        </w:tc>
        <w:tc>
          <w:tcPr>
            <w:tcW w:w="1418" w:type="dxa"/>
            <w:tcBorders>
              <w:top w:val="single" w:sz="4" w:space="0" w:color="auto"/>
              <w:left w:val="single" w:sz="4" w:space="0" w:color="auto"/>
              <w:bottom w:val="single" w:sz="4" w:space="0" w:color="auto"/>
              <w:right w:val="single" w:sz="4" w:space="0" w:color="auto"/>
            </w:tcBorders>
            <w:hideMark/>
          </w:tcPr>
          <w:p w14:paraId="1C9A67E9" w14:textId="77777777" w:rsidR="00302BFE" w:rsidRDefault="00302BFE" w:rsidP="00243B15">
            <w:pPr>
              <w:spacing w:after="0"/>
              <w:rPr>
                <w:sz w:val="18"/>
                <w:szCs w:val="18"/>
              </w:rPr>
            </w:pPr>
            <w:r>
              <w:rPr>
                <w:sz w:val="18"/>
                <w:szCs w:val="18"/>
              </w:rPr>
              <w:t>na</w:t>
            </w:r>
          </w:p>
        </w:tc>
        <w:tc>
          <w:tcPr>
            <w:tcW w:w="1275" w:type="dxa"/>
            <w:tcBorders>
              <w:top w:val="single" w:sz="4" w:space="0" w:color="auto"/>
              <w:left w:val="single" w:sz="4" w:space="0" w:color="auto"/>
              <w:bottom w:val="single" w:sz="4" w:space="0" w:color="auto"/>
              <w:right w:val="single" w:sz="4" w:space="0" w:color="auto"/>
            </w:tcBorders>
          </w:tcPr>
          <w:p w14:paraId="6A9113E8" w14:textId="77777777" w:rsidR="00302BFE" w:rsidRDefault="00302BFE" w:rsidP="00243B15">
            <w:pPr>
              <w:spacing w:after="0"/>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B5A94F" w14:textId="77777777" w:rsidR="00302BFE" w:rsidRDefault="00302BFE" w:rsidP="00243B15">
            <w:pPr>
              <w:spacing w:after="0"/>
              <w:jc w:val="left"/>
              <w:rPr>
                <w:sz w:val="18"/>
                <w:szCs w:val="18"/>
                <w:lang w:val="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2D2979" w14:textId="77777777" w:rsidR="00302BFE" w:rsidRDefault="00302BFE" w:rsidP="00243B15">
            <w:pPr>
              <w:spacing w:after="0"/>
              <w:jc w:val="left"/>
              <w:rPr>
                <w:sz w:val="18"/>
                <w:szCs w:val="18"/>
                <w:lang w:val="fr-CA"/>
              </w:rPr>
            </w:pPr>
          </w:p>
        </w:tc>
      </w:tr>
      <w:tr w:rsidR="00302BFE" w14:paraId="5E128696" w14:textId="77777777" w:rsidTr="00243B15">
        <w:trPr>
          <w:jc w:val="center"/>
        </w:trPr>
        <w:tc>
          <w:tcPr>
            <w:tcW w:w="2405" w:type="dxa"/>
            <w:tcBorders>
              <w:top w:val="single" w:sz="4" w:space="0" w:color="auto"/>
              <w:left w:val="single" w:sz="4" w:space="0" w:color="auto"/>
              <w:bottom w:val="single" w:sz="4" w:space="0" w:color="auto"/>
              <w:right w:val="single" w:sz="4" w:space="0" w:color="auto"/>
            </w:tcBorders>
            <w:hideMark/>
          </w:tcPr>
          <w:p w14:paraId="51415F24" w14:textId="77777777" w:rsidR="00302BFE" w:rsidRDefault="00302BFE" w:rsidP="00243B15">
            <w:pPr>
              <w:spacing w:after="0"/>
              <w:rPr>
                <w:sz w:val="18"/>
                <w:szCs w:val="18"/>
              </w:rPr>
            </w:pPr>
            <w:r>
              <w:rPr>
                <w:sz w:val="18"/>
                <w:szCs w:val="18"/>
              </w:rPr>
              <w:t>Seloguin</w:t>
            </w:r>
          </w:p>
        </w:tc>
        <w:tc>
          <w:tcPr>
            <w:tcW w:w="1134" w:type="dxa"/>
            <w:tcBorders>
              <w:top w:val="single" w:sz="4" w:space="0" w:color="auto"/>
              <w:left w:val="single" w:sz="4" w:space="0" w:color="auto"/>
              <w:bottom w:val="single" w:sz="4" w:space="0" w:color="auto"/>
              <w:right w:val="single" w:sz="4" w:space="0" w:color="auto"/>
            </w:tcBorders>
            <w:hideMark/>
          </w:tcPr>
          <w:p w14:paraId="53EBCD3B" w14:textId="77777777" w:rsidR="00302BFE" w:rsidRDefault="00302BFE" w:rsidP="00243B15">
            <w:pPr>
              <w:spacing w:after="0"/>
              <w:rPr>
                <w:sz w:val="18"/>
                <w:szCs w:val="18"/>
              </w:rPr>
            </w:pPr>
            <w:r>
              <w:rPr>
                <w:sz w:val="18"/>
                <w:szCs w:val="18"/>
              </w:rPr>
              <w:t>10</w:t>
            </w:r>
          </w:p>
        </w:tc>
        <w:tc>
          <w:tcPr>
            <w:tcW w:w="1418" w:type="dxa"/>
            <w:tcBorders>
              <w:top w:val="single" w:sz="4" w:space="0" w:color="auto"/>
              <w:left w:val="single" w:sz="4" w:space="0" w:color="auto"/>
              <w:bottom w:val="single" w:sz="4" w:space="0" w:color="auto"/>
              <w:right w:val="single" w:sz="4" w:space="0" w:color="auto"/>
            </w:tcBorders>
            <w:hideMark/>
          </w:tcPr>
          <w:p w14:paraId="182D3284" w14:textId="77777777" w:rsidR="00302BFE" w:rsidRDefault="00302BFE" w:rsidP="00243B15">
            <w:pPr>
              <w:spacing w:after="0"/>
              <w:rPr>
                <w:sz w:val="18"/>
                <w:szCs w:val="18"/>
              </w:rPr>
            </w:pPr>
            <w:r>
              <w:rPr>
                <w:sz w:val="18"/>
                <w:szCs w:val="18"/>
              </w:rPr>
              <w:t>na</w:t>
            </w:r>
          </w:p>
        </w:tc>
        <w:tc>
          <w:tcPr>
            <w:tcW w:w="1275" w:type="dxa"/>
            <w:tcBorders>
              <w:top w:val="single" w:sz="4" w:space="0" w:color="auto"/>
              <w:left w:val="single" w:sz="4" w:space="0" w:color="auto"/>
              <w:bottom w:val="single" w:sz="4" w:space="0" w:color="auto"/>
              <w:right w:val="single" w:sz="4" w:space="0" w:color="auto"/>
            </w:tcBorders>
          </w:tcPr>
          <w:p w14:paraId="18F7C2E1" w14:textId="77777777" w:rsidR="00302BFE" w:rsidRDefault="00302BFE" w:rsidP="00243B15">
            <w:pPr>
              <w:spacing w:after="0"/>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FBEBCE" w14:textId="77777777" w:rsidR="00302BFE" w:rsidRDefault="00302BFE" w:rsidP="00243B15">
            <w:pPr>
              <w:spacing w:after="0"/>
              <w:jc w:val="left"/>
              <w:rPr>
                <w:sz w:val="18"/>
                <w:szCs w:val="18"/>
                <w:lang w:val="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923546" w14:textId="77777777" w:rsidR="00302BFE" w:rsidRDefault="00302BFE" w:rsidP="00243B15">
            <w:pPr>
              <w:spacing w:after="0"/>
              <w:jc w:val="left"/>
              <w:rPr>
                <w:sz w:val="18"/>
                <w:szCs w:val="18"/>
                <w:lang w:val="fr-CA"/>
              </w:rPr>
            </w:pPr>
          </w:p>
        </w:tc>
      </w:tr>
      <w:tr w:rsidR="00302BFE" w14:paraId="4B864BF4" w14:textId="77777777" w:rsidTr="00243B15">
        <w:trPr>
          <w:jc w:val="center"/>
        </w:trPr>
        <w:tc>
          <w:tcPr>
            <w:tcW w:w="2405" w:type="dxa"/>
            <w:tcBorders>
              <w:top w:val="single" w:sz="4" w:space="0" w:color="auto"/>
              <w:left w:val="single" w:sz="4" w:space="0" w:color="auto"/>
              <w:bottom w:val="single" w:sz="4" w:space="0" w:color="auto"/>
              <w:right w:val="single" w:sz="4" w:space="0" w:color="auto"/>
            </w:tcBorders>
            <w:hideMark/>
          </w:tcPr>
          <w:p w14:paraId="07C1FF43" w14:textId="77777777" w:rsidR="00302BFE" w:rsidRDefault="00302BFE" w:rsidP="00243B15">
            <w:pPr>
              <w:spacing w:after="0"/>
              <w:rPr>
                <w:sz w:val="18"/>
                <w:szCs w:val="18"/>
              </w:rPr>
            </w:pPr>
            <w:r>
              <w:rPr>
                <w:sz w:val="18"/>
                <w:szCs w:val="18"/>
              </w:rPr>
              <w:t>Yanga</w:t>
            </w:r>
          </w:p>
        </w:tc>
        <w:tc>
          <w:tcPr>
            <w:tcW w:w="1134" w:type="dxa"/>
            <w:tcBorders>
              <w:top w:val="single" w:sz="4" w:space="0" w:color="auto"/>
              <w:left w:val="single" w:sz="4" w:space="0" w:color="auto"/>
              <w:bottom w:val="single" w:sz="4" w:space="0" w:color="auto"/>
              <w:right w:val="single" w:sz="4" w:space="0" w:color="auto"/>
            </w:tcBorders>
            <w:hideMark/>
          </w:tcPr>
          <w:p w14:paraId="386A6DDB" w14:textId="77777777" w:rsidR="00302BFE" w:rsidRDefault="00302BFE" w:rsidP="00243B15">
            <w:pPr>
              <w:spacing w:after="0"/>
              <w:rPr>
                <w:sz w:val="18"/>
                <w:szCs w:val="18"/>
              </w:rPr>
            </w:pPr>
            <w:r>
              <w:rPr>
                <w:sz w:val="18"/>
                <w:szCs w:val="18"/>
              </w:rPr>
              <w:t>30</w:t>
            </w:r>
          </w:p>
        </w:tc>
        <w:tc>
          <w:tcPr>
            <w:tcW w:w="1418" w:type="dxa"/>
            <w:tcBorders>
              <w:top w:val="single" w:sz="4" w:space="0" w:color="auto"/>
              <w:left w:val="single" w:sz="4" w:space="0" w:color="auto"/>
              <w:bottom w:val="single" w:sz="4" w:space="0" w:color="auto"/>
              <w:right w:val="single" w:sz="4" w:space="0" w:color="auto"/>
            </w:tcBorders>
            <w:hideMark/>
          </w:tcPr>
          <w:p w14:paraId="66052D18" w14:textId="77777777" w:rsidR="00302BFE" w:rsidRDefault="00302BFE" w:rsidP="00243B15">
            <w:pPr>
              <w:spacing w:after="0"/>
              <w:rPr>
                <w:sz w:val="18"/>
                <w:szCs w:val="18"/>
              </w:rPr>
            </w:pPr>
            <w:r>
              <w:rPr>
                <w:sz w:val="18"/>
                <w:szCs w:val="18"/>
              </w:rPr>
              <w:t>na</w:t>
            </w:r>
          </w:p>
        </w:tc>
        <w:tc>
          <w:tcPr>
            <w:tcW w:w="1275" w:type="dxa"/>
            <w:tcBorders>
              <w:top w:val="single" w:sz="4" w:space="0" w:color="auto"/>
              <w:left w:val="single" w:sz="4" w:space="0" w:color="auto"/>
              <w:bottom w:val="single" w:sz="4" w:space="0" w:color="auto"/>
              <w:right w:val="single" w:sz="4" w:space="0" w:color="auto"/>
            </w:tcBorders>
          </w:tcPr>
          <w:p w14:paraId="6F9FD6F2" w14:textId="77777777" w:rsidR="00302BFE" w:rsidRDefault="00302BFE" w:rsidP="00243B15">
            <w:pPr>
              <w:spacing w:after="0"/>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05EAF6" w14:textId="77777777" w:rsidR="00302BFE" w:rsidRDefault="00302BFE" w:rsidP="00243B15">
            <w:pPr>
              <w:spacing w:after="0"/>
              <w:jc w:val="left"/>
              <w:rPr>
                <w:sz w:val="18"/>
                <w:szCs w:val="18"/>
                <w:lang w:val="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13D2AF" w14:textId="77777777" w:rsidR="00302BFE" w:rsidRDefault="00302BFE" w:rsidP="00243B15">
            <w:pPr>
              <w:spacing w:after="0"/>
              <w:jc w:val="left"/>
              <w:rPr>
                <w:sz w:val="18"/>
                <w:szCs w:val="18"/>
                <w:lang w:val="fr-CA"/>
              </w:rPr>
            </w:pPr>
          </w:p>
        </w:tc>
      </w:tr>
      <w:tr w:rsidR="00302BFE" w14:paraId="60852A04" w14:textId="77777777" w:rsidTr="00243B15">
        <w:trPr>
          <w:jc w:val="center"/>
        </w:trPr>
        <w:tc>
          <w:tcPr>
            <w:tcW w:w="2405" w:type="dxa"/>
            <w:tcBorders>
              <w:top w:val="single" w:sz="4" w:space="0" w:color="auto"/>
              <w:left w:val="single" w:sz="4" w:space="0" w:color="auto"/>
              <w:bottom w:val="single" w:sz="4" w:space="0" w:color="auto"/>
              <w:right w:val="single" w:sz="4" w:space="0" w:color="auto"/>
            </w:tcBorders>
            <w:hideMark/>
          </w:tcPr>
          <w:p w14:paraId="7A1CBB4F" w14:textId="77777777" w:rsidR="00302BFE" w:rsidRDefault="00302BFE" w:rsidP="00243B15">
            <w:pPr>
              <w:spacing w:after="0"/>
              <w:rPr>
                <w:sz w:val="18"/>
                <w:szCs w:val="18"/>
              </w:rPr>
            </w:pPr>
            <w:r>
              <w:rPr>
                <w:sz w:val="18"/>
                <w:szCs w:val="18"/>
              </w:rPr>
              <w:t>Thiougou</w:t>
            </w:r>
          </w:p>
        </w:tc>
        <w:tc>
          <w:tcPr>
            <w:tcW w:w="1134" w:type="dxa"/>
            <w:tcBorders>
              <w:top w:val="single" w:sz="4" w:space="0" w:color="auto"/>
              <w:left w:val="single" w:sz="4" w:space="0" w:color="auto"/>
              <w:bottom w:val="single" w:sz="4" w:space="0" w:color="auto"/>
              <w:right w:val="single" w:sz="4" w:space="0" w:color="auto"/>
            </w:tcBorders>
            <w:hideMark/>
          </w:tcPr>
          <w:p w14:paraId="3B4AC694" w14:textId="77777777" w:rsidR="00302BFE" w:rsidRDefault="00302BFE" w:rsidP="00243B15">
            <w:pPr>
              <w:spacing w:after="0"/>
              <w:rPr>
                <w:sz w:val="18"/>
                <w:szCs w:val="18"/>
              </w:rPr>
            </w:pPr>
            <w:r>
              <w:rPr>
                <w:sz w:val="18"/>
                <w:szCs w:val="18"/>
              </w:rPr>
              <w:t>nd</w:t>
            </w:r>
          </w:p>
        </w:tc>
        <w:tc>
          <w:tcPr>
            <w:tcW w:w="1418" w:type="dxa"/>
            <w:tcBorders>
              <w:top w:val="single" w:sz="4" w:space="0" w:color="auto"/>
              <w:left w:val="single" w:sz="4" w:space="0" w:color="auto"/>
              <w:bottom w:val="single" w:sz="4" w:space="0" w:color="auto"/>
              <w:right w:val="single" w:sz="4" w:space="0" w:color="auto"/>
            </w:tcBorders>
            <w:hideMark/>
          </w:tcPr>
          <w:p w14:paraId="3EB0DF6D" w14:textId="77777777" w:rsidR="00302BFE" w:rsidRDefault="00302BFE" w:rsidP="00243B15">
            <w:pPr>
              <w:spacing w:after="0"/>
              <w:rPr>
                <w:sz w:val="18"/>
                <w:szCs w:val="18"/>
              </w:rPr>
            </w:pPr>
            <w:r>
              <w:rPr>
                <w:sz w:val="18"/>
                <w:szCs w:val="18"/>
              </w:rPr>
              <w:t>na</w:t>
            </w:r>
          </w:p>
        </w:tc>
        <w:tc>
          <w:tcPr>
            <w:tcW w:w="1275" w:type="dxa"/>
            <w:tcBorders>
              <w:top w:val="single" w:sz="4" w:space="0" w:color="auto"/>
              <w:left w:val="single" w:sz="4" w:space="0" w:color="auto"/>
              <w:bottom w:val="single" w:sz="4" w:space="0" w:color="auto"/>
              <w:right w:val="single" w:sz="4" w:space="0" w:color="auto"/>
            </w:tcBorders>
          </w:tcPr>
          <w:p w14:paraId="22783343" w14:textId="77777777" w:rsidR="00302BFE" w:rsidRDefault="00302BFE" w:rsidP="00243B15">
            <w:pPr>
              <w:spacing w:after="0"/>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5362EF" w14:textId="77777777" w:rsidR="00302BFE" w:rsidRDefault="00302BFE" w:rsidP="00243B15">
            <w:pPr>
              <w:spacing w:after="0"/>
              <w:jc w:val="left"/>
              <w:rPr>
                <w:sz w:val="18"/>
                <w:szCs w:val="18"/>
                <w:lang w:val="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07639C" w14:textId="77777777" w:rsidR="00302BFE" w:rsidRDefault="00302BFE" w:rsidP="00243B15">
            <w:pPr>
              <w:spacing w:after="0"/>
              <w:jc w:val="left"/>
              <w:rPr>
                <w:sz w:val="18"/>
                <w:szCs w:val="18"/>
                <w:lang w:val="fr-CA"/>
              </w:rPr>
            </w:pPr>
          </w:p>
        </w:tc>
      </w:tr>
      <w:tr w:rsidR="00302BFE" w14:paraId="5025F536" w14:textId="77777777" w:rsidTr="00243B15">
        <w:trPr>
          <w:jc w:val="center"/>
        </w:trPr>
        <w:tc>
          <w:tcPr>
            <w:tcW w:w="2405" w:type="dxa"/>
            <w:tcBorders>
              <w:top w:val="single" w:sz="4" w:space="0" w:color="auto"/>
              <w:left w:val="single" w:sz="4" w:space="0" w:color="auto"/>
              <w:bottom w:val="single" w:sz="4" w:space="0" w:color="auto"/>
              <w:right w:val="single" w:sz="4" w:space="0" w:color="auto"/>
            </w:tcBorders>
            <w:hideMark/>
          </w:tcPr>
          <w:p w14:paraId="6FA9CD31" w14:textId="77777777" w:rsidR="00302BFE" w:rsidRDefault="00302BFE" w:rsidP="00243B15">
            <w:pPr>
              <w:spacing w:after="0"/>
              <w:rPr>
                <w:sz w:val="18"/>
                <w:szCs w:val="18"/>
              </w:rPr>
            </w:pPr>
            <w:r>
              <w:rPr>
                <w:sz w:val="18"/>
                <w:szCs w:val="18"/>
              </w:rPr>
              <w:t>Basbédo</w:t>
            </w:r>
          </w:p>
        </w:tc>
        <w:tc>
          <w:tcPr>
            <w:tcW w:w="1134" w:type="dxa"/>
            <w:tcBorders>
              <w:top w:val="single" w:sz="4" w:space="0" w:color="auto"/>
              <w:left w:val="single" w:sz="4" w:space="0" w:color="auto"/>
              <w:bottom w:val="single" w:sz="4" w:space="0" w:color="auto"/>
              <w:right w:val="single" w:sz="4" w:space="0" w:color="auto"/>
            </w:tcBorders>
            <w:hideMark/>
          </w:tcPr>
          <w:p w14:paraId="6031C6A9" w14:textId="77777777" w:rsidR="00302BFE" w:rsidRDefault="00302BFE" w:rsidP="00243B15">
            <w:pPr>
              <w:spacing w:after="0"/>
              <w:rPr>
                <w:sz w:val="18"/>
                <w:szCs w:val="18"/>
              </w:rPr>
            </w:pPr>
            <w:r>
              <w:rPr>
                <w:sz w:val="18"/>
                <w:szCs w:val="18"/>
              </w:rPr>
              <w:t>nd</w:t>
            </w:r>
          </w:p>
        </w:tc>
        <w:tc>
          <w:tcPr>
            <w:tcW w:w="1418" w:type="dxa"/>
            <w:tcBorders>
              <w:top w:val="single" w:sz="4" w:space="0" w:color="auto"/>
              <w:left w:val="single" w:sz="4" w:space="0" w:color="auto"/>
              <w:bottom w:val="single" w:sz="4" w:space="0" w:color="auto"/>
              <w:right w:val="single" w:sz="4" w:space="0" w:color="auto"/>
            </w:tcBorders>
            <w:hideMark/>
          </w:tcPr>
          <w:p w14:paraId="709F36F4" w14:textId="77777777" w:rsidR="00302BFE" w:rsidRDefault="00302BFE" w:rsidP="00243B15">
            <w:pPr>
              <w:spacing w:after="0"/>
              <w:rPr>
                <w:sz w:val="18"/>
                <w:szCs w:val="18"/>
              </w:rPr>
            </w:pPr>
            <w:r>
              <w:rPr>
                <w:sz w:val="18"/>
                <w:szCs w:val="18"/>
              </w:rPr>
              <w:t>na</w:t>
            </w:r>
          </w:p>
        </w:tc>
        <w:tc>
          <w:tcPr>
            <w:tcW w:w="1275" w:type="dxa"/>
            <w:tcBorders>
              <w:top w:val="single" w:sz="4" w:space="0" w:color="auto"/>
              <w:left w:val="single" w:sz="4" w:space="0" w:color="auto"/>
              <w:bottom w:val="single" w:sz="4" w:space="0" w:color="auto"/>
              <w:right w:val="single" w:sz="4" w:space="0" w:color="auto"/>
            </w:tcBorders>
          </w:tcPr>
          <w:p w14:paraId="270C2E9F" w14:textId="77777777" w:rsidR="00302BFE" w:rsidRDefault="00302BFE" w:rsidP="00243B15">
            <w:pPr>
              <w:spacing w:after="0"/>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654688" w14:textId="77777777" w:rsidR="00302BFE" w:rsidRDefault="00302BFE" w:rsidP="00243B15">
            <w:pPr>
              <w:spacing w:after="0"/>
              <w:jc w:val="left"/>
              <w:rPr>
                <w:sz w:val="18"/>
                <w:szCs w:val="18"/>
                <w:lang w:val="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4F8ECB" w14:textId="77777777" w:rsidR="00302BFE" w:rsidRDefault="00302BFE" w:rsidP="00243B15">
            <w:pPr>
              <w:spacing w:after="0"/>
              <w:jc w:val="left"/>
              <w:rPr>
                <w:sz w:val="18"/>
                <w:szCs w:val="18"/>
                <w:lang w:val="fr-CA"/>
              </w:rPr>
            </w:pPr>
          </w:p>
        </w:tc>
      </w:tr>
      <w:tr w:rsidR="00302BFE" w14:paraId="33BF7E7D" w14:textId="77777777" w:rsidTr="00243B15">
        <w:trPr>
          <w:jc w:val="center"/>
        </w:trPr>
        <w:tc>
          <w:tcPr>
            <w:tcW w:w="2405" w:type="dxa"/>
            <w:tcBorders>
              <w:top w:val="single" w:sz="4" w:space="0" w:color="auto"/>
              <w:left w:val="single" w:sz="4" w:space="0" w:color="auto"/>
              <w:bottom w:val="single" w:sz="4" w:space="0" w:color="auto"/>
              <w:right w:val="single" w:sz="4" w:space="0" w:color="auto"/>
            </w:tcBorders>
            <w:hideMark/>
          </w:tcPr>
          <w:p w14:paraId="5B3CEEEF" w14:textId="77777777" w:rsidR="00302BFE" w:rsidRDefault="00302BFE" w:rsidP="00243B15">
            <w:pPr>
              <w:spacing w:after="0"/>
              <w:rPr>
                <w:sz w:val="18"/>
                <w:szCs w:val="18"/>
              </w:rPr>
            </w:pPr>
            <w:r>
              <w:rPr>
                <w:sz w:val="18"/>
                <w:szCs w:val="18"/>
              </w:rPr>
              <w:t>Nagrigré</w:t>
            </w:r>
          </w:p>
        </w:tc>
        <w:tc>
          <w:tcPr>
            <w:tcW w:w="1134" w:type="dxa"/>
            <w:tcBorders>
              <w:top w:val="single" w:sz="4" w:space="0" w:color="auto"/>
              <w:left w:val="single" w:sz="4" w:space="0" w:color="auto"/>
              <w:bottom w:val="single" w:sz="4" w:space="0" w:color="auto"/>
              <w:right w:val="single" w:sz="4" w:space="0" w:color="auto"/>
            </w:tcBorders>
            <w:hideMark/>
          </w:tcPr>
          <w:p w14:paraId="4BA72A41" w14:textId="77777777" w:rsidR="00302BFE" w:rsidRDefault="00302BFE" w:rsidP="00243B15">
            <w:pPr>
              <w:spacing w:after="0"/>
              <w:rPr>
                <w:sz w:val="18"/>
                <w:szCs w:val="18"/>
              </w:rPr>
            </w:pPr>
            <w:r>
              <w:rPr>
                <w:sz w:val="18"/>
                <w:szCs w:val="18"/>
              </w:rPr>
              <w:t>nd</w:t>
            </w:r>
          </w:p>
        </w:tc>
        <w:tc>
          <w:tcPr>
            <w:tcW w:w="1418" w:type="dxa"/>
            <w:tcBorders>
              <w:top w:val="single" w:sz="4" w:space="0" w:color="auto"/>
              <w:left w:val="single" w:sz="4" w:space="0" w:color="auto"/>
              <w:bottom w:val="single" w:sz="4" w:space="0" w:color="auto"/>
              <w:right w:val="single" w:sz="4" w:space="0" w:color="auto"/>
            </w:tcBorders>
            <w:hideMark/>
          </w:tcPr>
          <w:p w14:paraId="670CDAE0" w14:textId="77777777" w:rsidR="00302BFE" w:rsidRDefault="00302BFE" w:rsidP="00243B15">
            <w:pPr>
              <w:spacing w:after="0"/>
              <w:rPr>
                <w:sz w:val="18"/>
                <w:szCs w:val="18"/>
              </w:rPr>
            </w:pPr>
            <w:r>
              <w:rPr>
                <w:sz w:val="18"/>
                <w:szCs w:val="18"/>
              </w:rPr>
              <w:t>na</w:t>
            </w:r>
          </w:p>
        </w:tc>
        <w:tc>
          <w:tcPr>
            <w:tcW w:w="1275" w:type="dxa"/>
            <w:tcBorders>
              <w:top w:val="single" w:sz="4" w:space="0" w:color="auto"/>
              <w:left w:val="single" w:sz="4" w:space="0" w:color="auto"/>
              <w:bottom w:val="single" w:sz="4" w:space="0" w:color="auto"/>
              <w:right w:val="single" w:sz="4" w:space="0" w:color="auto"/>
            </w:tcBorders>
          </w:tcPr>
          <w:p w14:paraId="7335A65A" w14:textId="77777777" w:rsidR="00302BFE" w:rsidRDefault="00302BFE" w:rsidP="00243B15">
            <w:pPr>
              <w:spacing w:after="0"/>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3BC8DF" w14:textId="77777777" w:rsidR="00302BFE" w:rsidRDefault="00302BFE" w:rsidP="00243B15">
            <w:pPr>
              <w:spacing w:after="0"/>
              <w:jc w:val="left"/>
              <w:rPr>
                <w:sz w:val="18"/>
                <w:szCs w:val="18"/>
                <w:lang w:val="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960EB8" w14:textId="77777777" w:rsidR="00302BFE" w:rsidRDefault="00302BFE" w:rsidP="00243B15">
            <w:pPr>
              <w:spacing w:after="0"/>
              <w:jc w:val="left"/>
              <w:rPr>
                <w:sz w:val="18"/>
                <w:szCs w:val="18"/>
                <w:lang w:val="fr-CA"/>
              </w:rPr>
            </w:pPr>
          </w:p>
        </w:tc>
      </w:tr>
      <w:tr w:rsidR="00302BFE" w14:paraId="250C1312" w14:textId="77777777" w:rsidTr="00243B15">
        <w:trPr>
          <w:jc w:val="center"/>
        </w:trPr>
        <w:tc>
          <w:tcPr>
            <w:tcW w:w="2405" w:type="dxa"/>
            <w:tcBorders>
              <w:top w:val="single" w:sz="4" w:space="0" w:color="auto"/>
              <w:left w:val="single" w:sz="4" w:space="0" w:color="auto"/>
              <w:bottom w:val="single" w:sz="4" w:space="0" w:color="auto"/>
              <w:right w:val="single" w:sz="4" w:space="0" w:color="auto"/>
            </w:tcBorders>
            <w:hideMark/>
          </w:tcPr>
          <w:p w14:paraId="54644C7D" w14:textId="77777777" w:rsidR="00302BFE" w:rsidRDefault="00302BFE" w:rsidP="00243B15">
            <w:pPr>
              <w:spacing w:after="0"/>
              <w:rPr>
                <w:sz w:val="18"/>
                <w:szCs w:val="18"/>
              </w:rPr>
            </w:pPr>
            <w:r>
              <w:rPr>
                <w:sz w:val="18"/>
                <w:szCs w:val="18"/>
              </w:rPr>
              <w:t>Mouzi</w:t>
            </w:r>
          </w:p>
        </w:tc>
        <w:tc>
          <w:tcPr>
            <w:tcW w:w="1134" w:type="dxa"/>
            <w:tcBorders>
              <w:top w:val="single" w:sz="4" w:space="0" w:color="auto"/>
              <w:left w:val="single" w:sz="4" w:space="0" w:color="auto"/>
              <w:bottom w:val="single" w:sz="4" w:space="0" w:color="auto"/>
              <w:right w:val="single" w:sz="4" w:space="0" w:color="auto"/>
            </w:tcBorders>
            <w:hideMark/>
          </w:tcPr>
          <w:p w14:paraId="26D73167" w14:textId="77777777" w:rsidR="00302BFE" w:rsidRDefault="00302BFE" w:rsidP="00243B15">
            <w:pPr>
              <w:spacing w:after="0"/>
              <w:rPr>
                <w:sz w:val="18"/>
                <w:szCs w:val="18"/>
              </w:rPr>
            </w:pPr>
            <w:r>
              <w:rPr>
                <w:sz w:val="18"/>
                <w:szCs w:val="18"/>
              </w:rPr>
              <w:t>nd</w:t>
            </w:r>
          </w:p>
        </w:tc>
        <w:tc>
          <w:tcPr>
            <w:tcW w:w="1418" w:type="dxa"/>
            <w:tcBorders>
              <w:top w:val="single" w:sz="4" w:space="0" w:color="auto"/>
              <w:left w:val="single" w:sz="4" w:space="0" w:color="auto"/>
              <w:bottom w:val="single" w:sz="4" w:space="0" w:color="auto"/>
              <w:right w:val="single" w:sz="4" w:space="0" w:color="auto"/>
            </w:tcBorders>
            <w:hideMark/>
          </w:tcPr>
          <w:p w14:paraId="288EF5AA" w14:textId="77777777" w:rsidR="00302BFE" w:rsidRDefault="00302BFE" w:rsidP="00243B15">
            <w:pPr>
              <w:spacing w:after="0"/>
              <w:rPr>
                <w:sz w:val="18"/>
                <w:szCs w:val="18"/>
              </w:rPr>
            </w:pPr>
            <w:r>
              <w:rPr>
                <w:sz w:val="18"/>
                <w:szCs w:val="18"/>
              </w:rPr>
              <w:t>na</w:t>
            </w:r>
          </w:p>
        </w:tc>
        <w:tc>
          <w:tcPr>
            <w:tcW w:w="1275" w:type="dxa"/>
            <w:tcBorders>
              <w:top w:val="single" w:sz="4" w:space="0" w:color="auto"/>
              <w:left w:val="single" w:sz="4" w:space="0" w:color="auto"/>
              <w:bottom w:val="single" w:sz="4" w:space="0" w:color="auto"/>
              <w:right w:val="single" w:sz="4" w:space="0" w:color="auto"/>
            </w:tcBorders>
          </w:tcPr>
          <w:p w14:paraId="0F734BE9" w14:textId="77777777" w:rsidR="00302BFE" w:rsidRDefault="00302BFE" w:rsidP="00243B15">
            <w:pPr>
              <w:spacing w:after="0"/>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33D241" w14:textId="77777777" w:rsidR="00302BFE" w:rsidRDefault="00302BFE" w:rsidP="00243B15">
            <w:pPr>
              <w:spacing w:after="0"/>
              <w:jc w:val="left"/>
              <w:rPr>
                <w:sz w:val="18"/>
                <w:szCs w:val="18"/>
                <w:lang w:val="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15F2B0" w14:textId="77777777" w:rsidR="00302BFE" w:rsidRDefault="00302BFE" w:rsidP="00243B15">
            <w:pPr>
              <w:spacing w:after="0"/>
              <w:jc w:val="left"/>
              <w:rPr>
                <w:sz w:val="18"/>
                <w:szCs w:val="18"/>
                <w:lang w:val="fr-CA"/>
              </w:rPr>
            </w:pPr>
          </w:p>
        </w:tc>
      </w:tr>
      <w:tr w:rsidR="00302BFE" w14:paraId="02D4C3C1" w14:textId="77777777" w:rsidTr="00243B15">
        <w:trPr>
          <w:jc w:val="center"/>
        </w:trPr>
        <w:tc>
          <w:tcPr>
            <w:tcW w:w="2405" w:type="dxa"/>
            <w:tcBorders>
              <w:top w:val="single" w:sz="4" w:space="0" w:color="auto"/>
              <w:left w:val="single" w:sz="4" w:space="0" w:color="auto"/>
              <w:bottom w:val="single" w:sz="4" w:space="0" w:color="auto"/>
              <w:right w:val="single" w:sz="4" w:space="0" w:color="auto"/>
            </w:tcBorders>
            <w:hideMark/>
          </w:tcPr>
          <w:p w14:paraId="5B4457CE" w14:textId="77777777" w:rsidR="00302BFE" w:rsidRDefault="00302BFE" w:rsidP="00243B15">
            <w:pPr>
              <w:spacing w:after="0"/>
              <w:rPr>
                <w:sz w:val="18"/>
                <w:szCs w:val="18"/>
              </w:rPr>
            </w:pPr>
            <w:r>
              <w:rPr>
                <w:sz w:val="18"/>
                <w:szCs w:val="18"/>
              </w:rPr>
              <w:t>Boala</w:t>
            </w:r>
          </w:p>
        </w:tc>
        <w:tc>
          <w:tcPr>
            <w:tcW w:w="1134" w:type="dxa"/>
            <w:tcBorders>
              <w:top w:val="single" w:sz="4" w:space="0" w:color="auto"/>
              <w:left w:val="single" w:sz="4" w:space="0" w:color="auto"/>
              <w:bottom w:val="single" w:sz="4" w:space="0" w:color="auto"/>
              <w:right w:val="single" w:sz="4" w:space="0" w:color="auto"/>
            </w:tcBorders>
            <w:hideMark/>
          </w:tcPr>
          <w:p w14:paraId="67E95180" w14:textId="77777777" w:rsidR="00302BFE" w:rsidRDefault="00302BFE" w:rsidP="00243B15">
            <w:pPr>
              <w:spacing w:after="0"/>
              <w:rPr>
                <w:sz w:val="18"/>
                <w:szCs w:val="18"/>
              </w:rPr>
            </w:pPr>
            <w:r>
              <w:rPr>
                <w:sz w:val="18"/>
                <w:szCs w:val="18"/>
              </w:rPr>
              <w:t>290</w:t>
            </w:r>
          </w:p>
        </w:tc>
        <w:tc>
          <w:tcPr>
            <w:tcW w:w="1418" w:type="dxa"/>
            <w:tcBorders>
              <w:top w:val="single" w:sz="4" w:space="0" w:color="auto"/>
              <w:left w:val="single" w:sz="4" w:space="0" w:color="auto"/>
              <w:bottom w:val="single" w:sz="4" w:space="0" w:color="auto"/>
              <w:right w:val="single" w:sz="4" w:space="0" w:color="auto"/>
            </w:tcBorders>
            <w:hideMark/>
          </w:tcPr>
          <w:p w14:paraId="7CE88944" w14:textId="77777777" w:rsidR="00302BFE" w:rsidRDefault="00302BFE" w:rsidP="00243B15">
            <w:pPr>
              <w:spacing w:after="0"/>
              <w:rPr>
                <w:sz w:val="18"/>
                <w:szCs w:val="18"/>
              </w:rPr>
            </w:pPr>
            <w:r>
              <w:rPr>
                <w:sz w:val="18"/>
                <w:szCs w:val="18"/>
              </w:rPr>
              <w:t>na</w:t>
            </w:r>
          </w:p>
        </w:tc>
        <w:tc>
          <w:tcPr>
            <w:tcW w:w="1275" w:type="dxa"/>
            <w:tcBorders>
              <w:top w:val="single" w:sz="4" w:space="0" w:color="auto"/>
              <w:left w:val="single" w:sz="4" w:space="0" w:color="auto"/>
              <w:bottom w:val="single" w:sz="4" w:space="0" w:color="auto"/>
              <w:right w:val="single" w:sz="4" w:space="0" w:color="auto"/>
            </w:tcBorders>
          </w:tcPr>
          <w:p w14:paraId="7FE6F9E0" w14:textId="77777777" w:rsidR="00302BFE" w:rsidRDefault="00302BFE" w:rsidP="00243B15">
            <w:pPr>
              <w:spacing w:after="0"/>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0CF019" w14:textId="77777777" w:rsidR="00302BFE" w:rsidRDefault="00302BFE" w:rsidP="00243B15">
            <w:pPr>
              <w:spacing w:after="0"/>
              <w:jc w:val="left"/>
              <w:rPr>
                <w:sz w:val="18"/>
                <w:szCs w:val="18"/>
                <w:lang w:val="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63D450" w14:textId="77777777" w:rsidR="00302BFE" w:rsidRDefault="00302BFE" w:rsidP="00243B15">
            <w:pPr>
              <w:spacing w:after="0"/>
              <w:jc w:val="left"/>
              <w:rPr>
                <w:sz w:val="18"/>
                <w:szCs w:val="18"/>
                <w:lang w:val="fr-CA"/>
              </w:rPr>
            </w:pPr>
          </w:p>
        </w:tc>
      </w:tr>
      <w:tr w:rsidR="00302BFE" w14:paraId="054902B3" w14:textId="77777777" w:rsidTr="00243B15">
        <w:trPr>
          <w:jc w:val="center"/>
        </w:trPr>
        <w:tc>
          <w:tcPr>
            <w:tcW w:w="2405" w:type="dxa"/>
            <w:tcBorders>
              <w:top w:val="single" w:sz="4" w:space="0" w:color="auto"/>
              <w:left w:val="single" w:sz="4" w:space="0" w:color="auto"/>
              <w:bottom w:val="single" w:sz="4" w:space="0" w:color="auto"/>
              <w:right w:val="single" w:sz="4" w:space="0" w:color="auto"/>
            </w:tcBorders>
            <w:hideMark/>
          </w:tcPr>
          <w:p w14:paraId="3766698D" w14:textId="77777777" w:rsidR="00302BFE" w:rsidRDefault="00302BFE" w:rsidP="00243B15">
            <w:pPr>
              <w:spacing w:after="0"/>
              <w:rPr>
                <w:sz w:val="18"/>
                <w:szCs w:val="18"/>
              </w:rPr>
            </w:pPr>
            <w:r>
              <w:rPr>
                <w:sz w:val="18"/>
                <w:szCs w:val="18"/>
              </w:rPr>
              <w:t>Boutougou</w:t>
            </w:r>
          </w:p>
        </w:tc>
        <w:tc>
          <w:tcPr>
            <w:tcW w:w="1134" w:type="dxa"/>
            <w:tcBorders>
              <w:top w:val="single" w:sz="4" w:space="0" w:color="auto"/>
              <w:left w:val="single" w:sz="4" w:space="0" w:color="auto"/>
              <w:bottom w:val="single" w:sz="4" w:space="0" w:color="auto"/>
              <w:right w:val="single" w:sz="4" w:space="0" w:color="auto"/>
            </w:tcBorders>
            <w:hideMark/>
          </w:tcPr>
          <w:p w14:paraId="6EEC2708" w14:textId="77777777" w:rsidR="00302BFE" w:rsidRDefault="00302BFE" w:rsidP="00243B15">
            <w:pPr>
              <w:spacing w:after="0"/>
              <w:rPr>
                <w:sz w:val="18"/>
                <w:szCs w:val="18"/>
              </w:rPr>
            </w:pPr>
            <w:r>
              <w:rPr>
                <w:sz w:val="18"/>
                <w:szCs w:val="18"/>
              </w:rPr>
              <w:t>40</w:t>
            </w:r>
          </w:p>
        </w:tc>
        <w:tc>
          <w:tcPr>
            <w:tcW w:w="1418" w:type="dxa"/>
            <w:tcBorders>
              <w:top w:val="single" w:sz="4" w:space="0" w:color="auto"/>
              <w:left w:val="single" w:sz="4" w:space="0" w:color="auto"/>
              <w:bottom w:val="single" w:sz="4" w:space="0" w:color="auto"/>
              <w:right w:val="single" w:sz="4" w:space="0" w:color="auto"/>
            </w:tcBorders>
            <w:hideMark/>
          </w:tcPr>
          <w:p w14:paraId="74A24275" w14:textId="77777777" w:rsidR="00302BFE" w:rsidRDefault="00302BFE" w:rsidP="00243B15">
            <w:pPr>
              <w:spacing w:after="0"/>
              <w:rPr>
                <w:sz w:val="18"/>
                <w:szCs w:val="18"/>
              </w:rPr>
            </w:pPr>
            <w:r>
              <w:rPr>
                <w:sz w:val="18"/>
                <w:szCs w:val="18"/>
              </w:rPr>
              <w:t>na</w:t>
            </w:r>
          </w:p>
        </w:tc>
        <w:tc>
          <w:tcPr>
            <w:tcW w:w="1275" w:type="dxa"/>
            <w:tcBorders>
              <w:top w:val="single" w:sz="4" w:space="0" w:color="auto"/>
              <w:left w:val="single" w:sz="4" w:space="0" w:color="auto"/>
              <w:bottom w:val="single" w:sz="4" w:space="0" w:color="auto"/>
              <w:right w:val="single" w:sz="4" w:space="0" w:color="auto"/>
            </w:tcBorders>
          </w:tcPr>
          <w:p w14:paraId="0FDC79B8" w14:textId="77777777" w:rsidR="00302BFE" w:rsidRDefault="00302BFE" w:rsidP="00243B15">
            <w:pPr>
              <w:spacing w:after="0"/>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363B06" w14:textId="77777777" w:rsidR="00302BFE" w:rsidRDefault="00302BFE" w:rsidP="00243B15">
            <w:pPr>
              <w:spacing w:after="0"/>
              <w:jc w:val="left"/>
              <w:rPr>
                <w:sz w:val="18"/>
                <w:szCs w:val="18"/>
                <w:lang w:val="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830AFA" w14:textId="77777777" w:rsidR="00302BFE" w:rsidRDefault="00302BFE" w:rsidP="00243B15">
            <w:pPr>
              <w:spacing w:after="0"/>
              <w:jc w:val="left"/>
              <w:rPr>
                <w:sz w:val="18"/>
                <w:szCs w:val="18"/>
                <w:lang w:val="fr-CA"/>
              </w:rPr>
            </w:pPr>
          </w:p>
        </w:tc>
      </w:tr>
      <w:tr w:rsidR="00302BFE" w14:paraId="6B7D89F7" w14:textId="77777777" w:rsidTr="00243B15">
        <w:trPr>
          <w:jc w:val="center"/>
        </w:trPr>
        <w:tc>
          <w:tcPr>
            <w:tcW w:w="2405" w:type="dxa"/>
            <w:tcBorders>
              <w:top w:val="single" w:sz="4" w:space="0" w:color="auto"/>
              <w:left w:val="single" w:sz="4" w:space="0" w:color="auto"/>
              <w:bottom w:val="single" w:sz="4" w:space="0" w:color="auto"/>
              <w:right w:val="single" w:sz="4" w:space="0" w:color="auto"/>
            </w:tcBorders>
            <w:hideMark/>
          </w:tcPr>
          <w:p w14:paraId="5CF93377" w14:textId="77777777" w:rsidR="00302BFE" w:rsidRDefault="00302BFE" w:rsidP="00243B15">
            <w:pPr>
              <w:spacing w:after="0"/>
              <w:rPr>
                <w:sz w:val="18"/>
                <w:szCs w:val="18"/>
              </w:rPr>
            </w:pPr>
            <w:r>
              <w:rPr>
                <w:sz w:val="18"/>
                <w:szCs w:val="18"/>
              </w:rPr>
              <w:t>Widi</w:t>
            </w:r>
          </w:p>
        </w:tc>
        <w:tc>
          <w:tcPr>
            <w:tcW w:w="1134" w:type="dxa"/>
            <w:tcBorders>
              <w:top w:val="single" w:sz="4" w:space="0" w:color="auto"/>
              <w:left w:val="single" w:sz="4" w:space="0" w:color="auto"/>
              <w:bottom w:val="single" w:sz="4" w:space="0" w:color="auto"/>
              <w:right w:val="single" w:sz="4" w:space="0" w:color="auto"/>
            </w:tcBorders>
            <w:hideMark/>
          </w:tcPr>
          <w:p w14:paraId="5F383D09" w14:textId="77777777" w:rsidR="00302BFE" w:rsidRDefault="00302BFE" w:rsidP="00243B15">
            <w:pPr>
              <w:spacing w:after="0"/>
              <w:rPr>
                <w:sz w:val="18"/>
                <w:szCs w:val="18"/>
              </w:rPr>
            </w:pPr>
            <w:r>
              <w:rPr>
                <w:sz w:val="18"/>
                <w:szCs w:val="18"/>
              </w:rPr>
              <w:t>20</w:t>
            </w:r>
          </w:p>
        </w:tc>
        <w:tc>
          <w:tcPr>
            <w:tcW w:w="1418" w:type="dxa"/>
            <w:tcBorders>
              <w:top w:val="single" w:sz="4" w:space="0" w:color="auto"/>
              <w:left w:val="single" w:sz="4" w:space="0" w:color="auto"/>
              <w:bottom w:val="single" w:sz="4" w:space="0" w:color="auto"/>
              <w:right w:val="single" w:sz="4" w:space="0" w:color="auto"/>
            </w:tcBorders>
            <w:hideMark/>
          </w:tcPr>
          <w:p w14:paraId="0B8A7630" w14:textId="77777777" w:rsidR="00302BFE" w:rsidRDefault="00302BFE" w:rsidP="00243B15">
            <w:pPr>
              <w:spacing w:after="0"/>
              <w:rPr>
                <w:sz w:val="18"/>
                <w:szCs w:val="18"/>
              </w:rPr>
            </w:pPr>
            <w:r>
              <w:rPr>
                <w:sz w:val="18"/>
                <w:szCs w:val="18"/>
              </w:rPr>
              <w:t>na</w:t>
            </w:r>
          </w:p>
        </w:tc>
        <w:tc>
          <w:tcPr>
            <w:tcW w:w="1275" w:type="dxa"/>
            <w:tcBorders>
              <w:top w:val="single" w:sz="4" w:space="0" w:color="auto"/>
              <w:left w:val="single" w:sz="4" w:space="0" w:color="auto"/>
              <w:bottom w:val="single" w:sz="4" w:space="0" w:color="auto"/>
              <w:right w:val="single" w:sz="4" w:space="0" w:color="auto"/>
            </w:tcBorders>
          </w:tcPr>
          <w:p w14:paraId="59E4C2D6" w14:textId="77777777" w:rsidR="00302BFE" w:rsidRDefault="00302BFE" w:rsidP="00243B15">
            <w:pPr>
              <w:spacing w:after="0"/>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137CCF" w14:textId="77777777" w:rsidR="00302BFE" w:rsidRDefault="00302BFE" w:rsidP="00243B15">
            <w:pPr>
              <w:spacing w:after="0"/>
              <w:jc w:val="left"/>
              <w:rPr>
                <w:sz w:val="18"/>
                <w:szCs w:val="18"/>
                <w:lang w:val="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A7EEB5" w14:textId="77777777" w:rsidR="00302BFE" w:rsidRDefault="00302BFE" w:rsidP="00243B15">
            <w:pPr>
              <w:spacing w:after="0"/>
              <w:jc w:val="left"/>
              <w:rPr>
                <w:sz w:val="18"/>
                <w:szCs w:val="18"/>
                <w:lang w:val="fr-CA"/>
              </w:rPr>
            </w:pPr>
          </w:p>
        </w:tc>
      </w:tr>
      <w:tr w:rsidR="00302BFE" w14:paraId="4B04879F" w14:textId="77777777" w:rsidTr="00243B15">
        <w:trPr>
          <w:jc w:val="center"/>
        </w:trPr>
        <w:tc>
          <w:tcPr>
            <w:tcW w:w="2405" w:type="dxa"/>
            <w:tcBorders>
              <w:top w:val="single" w:sz="4" w:space="0" w:color="auto"/>
              <w:left w:val="single" w:sz="4" w:space="0" w:color="auto"/>
              <w:bottom w:val="single" w:sz="4" w:space="0" w:color="auto"/>
              <w:right w:val="single" w:sz="4" w:space="0" w:color="auto"/>
            </w:tcBorders>
            <w:hideMark/>
          </w:tcPr>
          <w:p w14:paraId="4A22BE5E" w14:textId="77777777" w:rsidR="00302BFE" w:rsidRDefault="00302BFE" w:rsidP="00243B15">
            <w:pPr>
              <w:spacing w:after="0"/>
              <w:rPr>
                <w:sz w:val="18"/>
                <w:szCs w:val="18"/>
              </w:rPr>
            </w:pPr>
            <w:r>
              <w:rPr>
                <w:sz w:val="18"/>
                <w:szCs w:val="18"/>
              </w:rPr>
              <w:t>Guisma</w:t>
            </w:r>
          </w:p>
        </w:tc>
        <w:tc>
          <w:tcPr>
            <w:tcW w:w="1134" w:type="dxa"/>
            <w:tcBorders>
              <w:top w:val="single" w:sz="4" w:space="0" w:color="auto"/>
              <w:left w:val="single" w:sz="4" w:space="0" w:color="auto"/>
              <w:bottom w:val="single" w:sz="4" w:space="0" w:color="auto"/>
              <w:right w:val="single" w:sz="4" w:space="0" w:color="auto"/>
            </w:tcBorders>
            <w:hideMark/>
          </w:tcPr>
          <w:p w14:paraId="31EDFCE2" w14:textId="77777777" w:rsidR="00302BFE" w:rsidRDefault="00302BFE" w:rsidP="00243B15">
            <w:pPr>
              <w:spacing w:after="0"/>
              <w:rPr>
                <w:sz w:val="18"/>
                <w:szCs w:val="18"/>
              </w:rPr>
            </w:pPr>
            <w:r>
              <w:rPr>
                <w:sz w:val="18"/>
                <w:szCs w:val="18"/>
              </w:rPr>
              <w:t>104</w:t>
            </w:r>
          </w:p>
        </w:tc>
        <w:tc>
          <w:tcPr>
            <w:tcW w:w="1418" w:type="dxa"/>
            <w:tcBorders>
              <w:top w:val="single" w:sz="4" w:space="0" w:color="auto"/>
              <w:left w:val="single" w:sz="4" w:space="0" w:color="auto"/>
              <w:bottom w:val="single" w:sz="4" w:space="0" w:color="auto"/>
              <w:right w:val="single" w:sz="4" w:space="0" w:color="auto"/>
            </w:tcBorders>
            <w:hideMark/>
          </w:tcPr>
          <w:p w14:paraId="120B30B0" w14:textId="77777777" w:rsidR="00302BFE" w:rsidRDefault="00302BFE" w:rsidP="00243B15">
            <w:pPr>
              <w:spacing w:after="0"/>
              <w:rPr>
                <w:sz w:val="18"/>
                <w:szCs w:val="18"/>
              </w:rPr>
            </w:pPr>
            <w:r>
              <w:rPr>
                <w:sz w:val="18"/>
                <w:szCs w:val="18"/>
              </w:rPr>
              <w:t>na</w:t>
            </w:r>
          </w:p>
        </w:tc>
        <w:tc>
          <w:tcPr>
            <w:tcW w:w="1275" w:type="dxa"/>
            <w:tcBorders>
              <w:top w:val="single" w:sz="4" w:space="0" w:color="auto"/>
              <w:left w:val="single" w:sz="4" w:space="0" w:color="auto"/>
              <w:bottom w:val="single" w:sz="4" w:space="0" w:color="auto"/>
              <w:right w:val="single" w:sz="4" w:space="0" w:color="auto"/>
            </w:tcBorders>
          </w:tcPr>
          <w:p w14:paraId="52578775" w14:textId="77777777" w:rsidR="00302BFE" w:rsidRDefault="00302BFE" w:rsidP="00243B15">
            <w:pPr>
              <w:spacing w:after="0"/>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F48433" w14:textId="77777777" w:rsidR="00302BFE" w:rsidRDefault="00302BFE" w:rsidP="00243B15">
            <w:pPr>
              <w:spacing w:after="0"/>
              <w:jc w:val="left"/>
              <w:rPr>
                <w:sz w:val="18"/>
                <w:szCs w:val="18"/>
                <w:lang w:val="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805331" w14:textId="77777777" w:rsidR="00302BFE" w:rsidRDefault="00302BFE" w:rsidP="00243B15">
            <w:pPr>
              <w:spacing w:after="0"/>
              <w:jc w:val="left"/>
              <w:rPr>
                <w:sz w:val="18"/>
                <w:szCs w:val="18"/>
                <w:lang w:val="fr-CA"/>
              </w:rPr>
            </w:pPr>
          </w:p>
        </w:tc>
      </w:tr>
      <w:tr w:rsidR="00302BFE" w14:paraId="5B01C537" w14:textId="77777777" w:rsidTr="00243B15">
        <w:trPr>
          <w:jc w:val="center"/>
        </w:trPr>
        <w:tc>
          <w:tcPr>
            <w:tcW w:w="2405" w:type="dxa"/>
            <w:tcBorders>
              <w:top w:val="single" w:sz="4" w:space="0" w:color="auto"/>
              <w:left w:val="single" w:sz="4" w:space="0" w:color="auto"/>
              <w:bottom w:val="single" w:sz="4" w:space="0" w:color="auto"/>
              <w:right w:val="single" w:sz="4" w:space="0" w:color="auto"/>
            </w:tcBorders>
            <w:hideMark/>
          </w:tcPr>
          <w:p w14:paraId="07D3C33F" w14:textId="77777777" w:rsidR="00302BFE" w:rsidRDefault="00302BFE" w:rsidP="00243B15">
            <w:pPr>
              <w:spacing w:after="0"/>
              <w:rPr>
                <w:sz w:val="18"/>
                <w:szCs w:val="18"/>
              </w:rPr>
            </w:pPr>
            <w:r>
              <w:rPr>
                <w:sz w:val="18"/>
                <w:szCs w:val="18"/>
              </w:rPr>
              <w:t>Badbo</w:t>
            </w:r>
          </w:p>
        </w:tc>
        <w:tc>
          <w:tcPr>
            <w:tcW w:w="1134" w:type="dxa"/>
            <w:tcBorders>
              <w:top w:val="single" w:sz="4" w:space="0" w:color="auto"/>
              <w:left w:val="single" w:sz="4" w:space="0" w:color="auto"/>
              <w:bottom w:val="single" w:sz="4" w:space="0" w:color="auto"/>
              <w:right w:val="single" w:sz="4" w:space="0" w:color="auto"/>
            </w:tcBorders>
            <w:hideMark/>
          </w:tcPr>
          <w:p w14:paraId="61F5EB40" w14:textId="77777777" w:rsidR="00302BFE" w:rsidRDefault="00302BFE" w:rsidP="00243B15">
            <w:pPr>
              <w:spacing w:after="0"/>
              <w:rPr>
                <w:sz w:val="18"/>
                <w:szCs w:val="18"/>
              </w:rPr>
            </w:pPr>
            <w:r>
              <w:rPr>
                <w:sz w:val="18"/>
                <w:szCs w:val="18"/>
              </w:rPr>
              <w:t>11</w:t>
            </w:r>
          </w:p>
        </w:tc>
        <w:tc>
          <w:tcPr>
            <w:tcW w:w="1418" w:type="dxa"/>
            <w:tcBorders>
              <w:top w:val="single" w:sz="4" w:space="0" w:color="auto"/>
              <w:left w:val="single" w:sz="4" w:space="0" w:color="auto"/>
              <w:bottom w:val="single" w:sz="4" w:space="0" w:color="auto"/>
              <w:right w:val="single" w:sz="4" w:space="0" w:color="auto"/>
            </w:tcBorders>
            <w:hideMark/>
          </w:tcPr>
          <w:p w14:paraId="324EEC43" w14:textId="77777777" w:rsidR="00302BFE" w:rsidRDefault="00302BFE" w:rsidP="00243B15">
            <w:pPr>
              <w:spacing w:after="0"/>
              <w:rPr>
                <w:sz w:val="18"/>
                <w:szCs w:val="18"/>
              </w:rPr>
            </w:pPr>
            <w:r>
              <w:rPr>
                <w:sz w:val="18"/>
                <w:szCs w:val="18"/>
              </w:rPr>
              <w:t>na</w:t>
            </w:r>
          </w:p>
        </w:tc>
        <w:tc>
          <w:tcPr>
            <w:tcW w:w="1275" w:type="dxa"/>
            <w:tcBorders>
              <w:top w:val="single" w:sz="4" w:space="0" w:color="auto"/>
              <w:left w:val="single" w:sz="4" w:space="0" w:color="auto"/>
              <w:bottom w:val="single" w:sz="4" w:space="0" w:color="auto"/>
              <w:right w:val="single" w:sz="4" w:space="0" w:color="auto"/>
            </w:tcBorders>
          </w:tcPr>
          <w:p w14:paraId="18CAA367" w14:textId="77777777" w:rsidR="00302BFE" w:rsidRDefault="00302BFE" w:rsidP="00243B15">
            <w:pPr>
              <w:spacing w:after="0"/>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EB70D3" w14:textId="77777777" w:rsidR="00302BFE" w:rsidRDefault="00302BFE" w:rsidP="00243B15">
            <w:pPr>
              <w:spacing w:after="0"/>
              <w:jc w:val="left"/>
              <w:rPr>
                <w:sz w:val="18"/>
                <w:szCs w:val="18"/>
                <w:lang w:val="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54104A" w14:textId="77777777" w:rsidR="00302BFE" w:rsidRDefault="00302BFE" w:rsidP="00243B15">
            <w:pPr>
              <w:spacing w:after="0"/>
              <w:jc w:val="left"/>
              <w:rPr>
                <w:sz w:val="18"/>
                <w:szCs w:val="18"/>
                <w:lang w:val="fr-CA"/>
              </w:rPr>
            </w:pPr>
          </w:p>
        </w:tc>
      </w:tr>
      <w:tr w:rsidR="00302BFE" w14:paraId="775E5234" w14:textId="77777777" w:rsidTr="00243B15">
        <w:trPr>
          <w:jc w:val="center"/>
        </w:trPr>
        <w:tc>
          <w:tcPr>
            <w:tcW w:w="2405" w:type="dxa"/>
            <w:tcBorders>
              <w:top w:val="single" w:sz="4" w:space="0" w:color="auto"/>
              <w:left w:val="single" w:sz="4" w:space="0" w:color="auto"/>
              <w:bottom w:val="single" w:sz="4" w:space="0" w:color="auto"/>
              <w:right w:val="single" w:sz="4" w:space="0" w:color="auto"/>
            </w:tcBorders>
            <w:hideMark/>
          </w:tcPr>
          <w:p w14:paraId="6DF7C31E" w14:textId="77777777" w:rsidR="00302BFE" w:rsidRDefault="00302BFE" w:rsidP="00243B15">
            <w:pPr>
              <w:spacing w:after="0"/>
              <w:rPr>
                <w:sz w:val="18"/>
                <w:szCs w:val="18"/>
              </w:rPr>
            </w:pPr>
            <w:r>
              <w:rPr>
                <w:sz w:val="18"/>
                <w:szCs w:val="18"/>
              </w:rPr>
              <w:t>Bagpelgo</w:t>
            </w:r>
          </w:p>
        </w:tc>
        <w:tc>
          <w:tcPr>
            <w:tcW w:w="1134" w:type="dxa"/>
            <w:tcBorders>
              <w:top w:val="single" w:sz="4" w:space="0" w:color="auto"/>
              <w:left w:val="single" w:sz="4" w:space="0" w:color="auto"/>
              <w:bottom w:val="single" w:sz="4" w:space="0" w:color="auto"/>
              <w:right w:val="single" w:sz="4" w:space="0" w:color="auto"/>
            </w:tcBorders>
            <w:hideMark/>
          </w:tcPr>
          <w:p w14:paraId="55054491" w14:textId="77777777" w:rsidR="00302BFE" w:rsidRDefault="00302BFE" w:rsidP="00243B15">
            <w:pPr>
              <w:spacing w:after="0"/>
              <w:rPr>
                <w:sz w:val="18"/>
                <w:szCs w:val="18"/>
              </w:rPr>
            </w:pPr>
            <w:r>
              <w:rPr>
                <w:sz w:val="18"/>
                <w:szCs w:val="18"/>
              </w:rPr>
              <w:t>nd</w:t>
            </w:r>
          </w:p>
        </w:tc>
        <w:tc>
          <w:tcPr>
            <w:tcW w:w="1418" w:type="dxa"/>
            <w:tcBorders>
              <w:top w:val="single" w:sz="4" w:space="0" w:color="auto"/>
              <w:left w:val="single" w:sz="4" w:space="0" w:color="auto"/>
              <w:bottom w:val="single" w:sz="4" w:space="0" w:color="auto"/>
              <w:right w:val="single" w:sz="4" w:space="0" w:color="auto"/>
            </w:tcBorders>
            <w:hideMark/>
          </w:tcPr>
          <w:p w14:paraId="46245374" w14:textId="77777777" w:rsidR="00302BFE" w:rsidRDefault="00302BFE" w:rsidP="00243B15">
            <w:pPr>
              <w:spacing w:after="0"/>
              <w:rPr>
                <w:sz w:val="18"/>
                <w:szCs w:val="18"/>
              </w:rPr>
            </w:pPr>
            <w:r>
              <w:rPr>
                <w:sz w:val="18"/>
                <w:szCs w:val="18"/>
              </w:rPr>
              <w:t>na</w:t>
            </w:r>
          </w:p>
        </w:tc>
        <w:tc>
          <w:tcPr>
            <w:tcW w:w="1275" w:type="dxa"/>
            <w:tcBorders>
              <w:top w:val="single" w:sz="4" w:space="0" w:color="auto"/>
              <w:left w:val="single" w:sz="4" w:space="0" w:color="auto"/>
              <w:bottom w:val="single" w:sz="4" w:space="0" w:color="auto"/>
              <w:right w:val="single" w:sz="4" w:space="0" w:color="auto"/>
            </w:tcBorders>
          </w:tcPr>
          <w:p w14:paraId="7AA26EBD" w14:textId="77777777" w:rsidR="00302BFE" w:rsidRDefault="00302BFE" w:rsidP="00243B15">
            <w:pPr>
              <w:spacing w:after="0"/>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7F548D" w14:textId="77777777" w:rsidR="00302BFE" w:rsidRDefault="00302BFE" w:rsidP="00243B15">
            <w:pPr>
              <w:spacing w:after="0"/>
              <w:jc w:val="left"/>
              <w:rPr>
                <w:sz w:val="18"/>
                <w:szCs w:val="18"/>
                <w:lang w:val="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DB83DB" w14:textId="77777777" w:rsidR="00302BFE" w:rsidRDefault="00302BFE" w:rsidP="00243B15">
            <w:pPr>
              <w:spacing w:after="0"/>
              <w:jc w:val="left"/>
              <w:rPr>
                <w:sz w:val="18"/>
                <w:szCs w:val="18"/>
                <w:lang w:val="fr-CA"/>
              </w:rPr>
            </w:pPr>
          </w:p>
        </w:tc>
      </w:tr>
      <w:tr w:rsidR="00302BFE" w14:paraId="711E9AB1" w14:textId="77777777" w:rsidTr="00243B15">
        <w:trPr>
          <w:jc w:val="center"/>
        </w:trPr>
        <w:tc>
          <w:tcPr>
            <w:tcW w:w="2405" w:type="dxa"/>
            <w:tcBorders>
              <w:top w:val="single" w:sz="4" w:space="0" w:color="auto"/>
              <w:left w:val="single" w:sz="4" w:space="0" w:color="auto"/>
              <w:bottom w:val="single" w:sz="4" w:space="0" w:color="auto"/>
              <w:right w:val="single" w:sz="4" w:space="0" w:color="auto"/>
            </w:tcBorders>
            <w:hideMark/>
          </w:tcPr>
          <w:p w14:paraId="78849970" w14:textId="77777777" w:rsidR="00302BFE" w:rsidRDefault="00302BFE" w:rsidP="00243B15">
            <w:pPr>
              <w:spacing w:after="0"/>
              <w:rPr>
                <w:sz w:val="18"/>
                <w:szCs w:val="18"/>
              </w:rPr>
            </w:pPr>
            <w:r>
              <w:rPr>
                <w:sz w:val="18"/>
                <w:szCs w:val="18"/>
              </w:rPr>
              <w:t>Nobili</w:t>
            </w:r>
          </w:p>
        </w:tc>
        <w:tc>
          <w:tcPr>
            <w:tcW w:w="1134" w:type="dxa"/>
            <w:tcBorders>
              <w:top w:val="single" w:sz="4" w:space="0" w:color="auto"/>
              <w:left w:val="single" w:sz="4" w:space="0" w:color="auto"/>
              <w:bottom w:val="single" w:sz="4" w:space="0" w:color="auto"/>
              <w:right w:val="single" w:sz="4" w:space="0" w:color="auto"/>
            </w:tcBorders>
            <w:hideMark/>
          </w:tcPr>
          <w:p w14:paraId="11FF43F8" w14:textId="77777777" w:rsidR="00302BFE" w:rsidRDefault="00302BFE" w:rsidP="00243B15">
            <w:pPr>
              <w:spacing w:after="0"/>
              <w:rPr>
                <w:sz w:val="18"/>
                <w:szCs w:val="18"/>
              </w:rPr>
            </w:pPr>
            <w:r>
              <w:rPr>
                <w:sz w:val="18"/>
                <w:szCs w:val="18"/>
              </w:rPr>
              <w:t>nd</w:t>
            </w:r>
          </w:p>
        </w:tc>
        <w:tc>
          <w:tcPr>
            <w:tcW w:w="1418" w:type="dxa"/>
            <w:tcBorders>
              <w:top w:val="single" w:sz="4" w:space="0" w:color="auto"/>
              <w:left w:val="single" w:sz="4" w:space="0" w:color="auto"/>
              <w:bottom w:val="single" w:sz="4" w:space="0" w:color="auto"/>
              <w:right w:val="single" w:sz="4" w:space="0" w:color="auto"/>
            </w:tcBorders>
            <w:hideMark/>
          </w:tcPr>
          <w:p w14:paraId="08DF3253" w14:textId="77777777" w:rsidR="00302BFE" w:rsidRDefault="00302BFE" w:rsidP="00243B15">
            <w:pPr>
              <w:spacing w:after="0"/>
              <w:rPr>
                <w:sz w:val="18"/>
                <w:szCs w:val="18"/>
              </w:rPr>
            </w:pPr>
            <w:r>
              <w:rPr>
                <w:sz w:val="18"/>
                <w:szCs w:val="18"/>
              </w:rPr>
              <w:t>na</w:t>
            </w:r>
          </w:p>
        </w:tc>
        <w:tc>
          <w:tcPr>
            <w:tcW w:w="1275" w:type="dxa"/>
            <w:tcBorders>
              <w:top w:val="single" w:sz="4" w:space="0" w:color="auto"/>
              <w:left w:val="single" w:sz="4" w:space="0" w:color="auto"/>
              <w:bottom w:val="single" w:sz="4" w:space="0" w:color="auto"/>
              <w:right w:val="single" w:sz="4" w:space="0" w:color="auto"/>
            </w:tcBorders>
          </w:tcPr>
          <w:p w14:paraId="759A5A96" w14:textId="77777777" w:rsidR="00302BFE" w:rsidRDefault="00302BFE" w:rsidP="00243B15">
            <w:pPr>
              <w:spacing w:after="0"/>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9234CA" w14:textId="77777777" w:rsidR="00302BFE" w:rsidRDefault="00302BFE" w:rsidP="00243B15">
            <w:pPr>
              <w:spacing w:after="0"/>
              <w:jc w:val="left"/>
              <w:rPr>
                <w:sz w:val="18"/>
                <w:szCs w:val="18"/>
                <w:lang w:val="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FFEC72" w14:textId="77777777" w:rsidR="00302BFE" w:rsidRDefault="00302BFE" w:rsidP="00243B15">
            <w:pPr>
              <w:spacing w:after="0"/>
              <w:jc w:val="left"/>
              <w:rPr>
                <w:sz w:val="18"/>
                <w:szCs w:val="18"/>
                <w:lang w:val="fr-CA"/>
              </w:rPr>
            </w:pPr>
          </w:p>
        </w:tc>
      </w:tr>
      <w:tr w:rsidR="00302BFE" w14:paraId="1DAB43A4" w14:textId="77777777" w:rsidTr="00243B15">
        <w:trPr>
          <w:jc w:val="center"/>
        </w:trPr>
        <w:tc>
          <w:tcPr>
            <w:tcW w:w="2405" w:type="dxa"/>
            <w:tcBorders>
              <w:top w:val="single" w:sz="4" w:space="0" w:color="auto"/>
              <w:left w:val="single" w:sz="4" w:space="0" w:color="auto"/>
              <w:bottom w:val="single" w:sz="4" w:space="0" w:color="auto"/>
              <w:right w:val="single" w:sz="4" w:space="0" w:color="auto"/>
            </w:tcBorders>
            <w:hideMark/>
          </w:tcPr>
          <w:p w14:paraId="3E216ADE" w14:textId="77777777" w:rsidR="00302BFE" w:rsidRDefault="00302BFE" w:rsidP="00243B15">
            <w:pPr>
              <w:spacing w:after="0"/>
              <w:rPr>
                <w:sz w:val="18"/>
                <w:szCs w:val="18"/>
              </w:rPr>
            </w:pPr>
            <w:r>
              <w:rPr>
                <w:sz w:val="18"/>
                <w:szCs w:val="18"/>
              </w:rPr>
              <w:t>Sarogo</w:t>
            </w:r>
          </w:p>
        </w:tc>
        <w:tc>
          <w:tcPr>
            <w:tcW w:w="1134" w:type="dxa"/>
            <w:tcBorders>
              <w:top w:val="single" w:sz="4" w:space="0" w:color="auto"/>
              <w:left w:val="single" w:sz="4" w:space="0" w:color="auto"/>
              <w:bottom w:val="single" w:sz="4" w:space="0" w:color="auto"/>
              <w:right w:val="single" w:sz="4" w:space="0" w:color="auto"/>
            </w:tcBorders>
            <w:hideMark/>
          </w:tcPr>
          <w:p w14:paraId="230D9626" w14:textId="77777777" w:rsidR="00302BFE" w:rsidRDefault="00302BFE" w:rsidP="00243B15">
            <w:pPr>
              <w:spacing w:after="0"/>
              <w:rPr>
                <w:sz w:val="18"/>
                <w:szCs w:val="18"/>
              </w:rPr>
            </w:pPr>
            <w:r>
              <w:rPr>
                <w:sz w:val="18"/>
                <w:szCs w:val="18"/>
              </w:rPr>
              <w:t>13</w:t>
            </w:r>
          </w:p>
        </w:tc>
        <w:tc>
          <w:tcPr>
            <w:tcW w:w="1418" w:type="dxa"/>
            <w:tcBorders>
              <w:top w:val="single" w:sz="4" w:space="0" w:color="auto"/>
              <w:left w:val="single" w:sz="4" w:space="0" w:color="auto"/>
              <w:bottom w:val="single" w:sz="4" w:space="0" w:color="auto"/>
              <w:right w:val="single" w:sz="4" w:space="0" w:color="auto"/>
            </w:tcBorders>
            <w:hideMark/>
          </w:tcPr>
          <w:p w14:paraId="5B45FEED" w14:textId="77777777" w:rsidR="00302BFE" w:rsidRDefault="00302BFE" w:rsidP="00243B15">
            <w:pPr>
              <w:spacing w:after="0"/>
              <w:rPr>
                <w:sz w:val="18"/>
                <w:szCs w:val="18"/>
              </w:rPr>
            </w:pPr>
            <w:r>
              <w:rPr>
                <w:sz w:val="18"/>
                <w:szCs w:val="18"/>
              </w:rPr>
              <w:t>na</w:t>
            </w:r>
          </w:p>
        </w:tc>
        <w:tc>
          <w:tcPr>
            <w:tcW w:w="1275" w:type="dxa"/>
            <w:tcBorders>
              <w:top w:val="single" w:sz="4" w:space="0" w:color="auto"/>
              <w:left w:val="single" w:sz="4" w:space="0" w:color="auto"/>
              <w:bottom w:val="single" w:sz="4" w:space="0" w:color="auto"/>
              <w:right w:val="single" w:sz="4" w:space="0" w:color="auto"/>
            </w:tcBorders>
          </w:tcPr>
          <w:p w14:paraId="2751C31C" w14:textId="77777777" w:rsidR="00302BFE" w:rsidRDefault="00302BFE" w:rsidP="00243B15">
            <w:pPr>
              <w:spacing w:after="0"/>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B6CA10" w14:textId="77777777" w:rsidR="00302BFE" w:rsidRDefault="00302BFE" w:rsidP="00243B15">
            <w:pPr>
              <w:spacing w:after="0"/>
              <w:jc w:val="left"/>
              <w:rPr>
                <w:sz w:val="18"/>
                <w:szCs w:val="18"/>
                <w:lang w:val="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7286D4" w14:textId="77777777" w:rsidR="00302BFE" w:rsidRDefault="00302BFE" w:rsidP="00243B15">
            <w:pPr>
              <w:spacing w:after="0"/>
              <w:jc w:val="left"/>
              <w:rPr>
                <w:sz w:val="18"/>
                <w:szCs w:val="18"/>
                <w:lang w:val="fr-CA"/>
              </w:rPr>
            </w:pPr>
          </w:p>
        </w:tc>
      </w:tr>
      <w:tr w:rsidR="00302BFE" w14:paraId="15ACFAD5" w14:textId="77777777" w:rsidTr="00243B15">
        <w:trPr>
          <w:jc w:val="center"/>
        </w:trPr>
        <w:tc>
          <w:tcPr>
            <w:tcW w:w="2405" w:type="dxa"/>
            <w:tcBorders>
              <w:top w:val="single" w:sz="4" w:space="0" w:color="auto"/>
              <w:left w:val="single" w:sz="4" w:space="0" w:color="auto"/>
              <w:bottom w:val="single" w:sz="4" w:space="0" w:color="auto"/>
              <w:right w:val="single" w:sz="4" w:space="0" w:color="auto"/>
            </w:tcBorders>
            <w:hideMark/>
          </w:tcPr>
          <w:p w14:paraId="4E4EAF23" w14:textId="77777777" w:rsidR="00302BFE" w:rsidRDefault="00302BFE" w:rsidP="00243B15">
            <w:pPr>
              <w:spacing w:after="0"/>
              <w:rPr>
                <w:sz w:val="18"/>
                <w:szCs w:val="18"/>
              </w:rPr>
            </w:pPr>
            <w:r>
              <w:rPr>
                <w:sz w:val="18"/>
                <w:szCs w:val="18"/>
              </w:rPr>
              <w:t>Dariga</w:t>
            </w:r>
          </w:p>
        </w:tc>
        <w:tc>
          <w:tcPr>
            <w:tcW w:w="1134" w:type="dxa"/>
            <w:tcBorders>
              <w:top w:val="single" w:sz="4" w:space="0" w:color="auto"/>
              <w:left w:val="single" w:sz="4" w:space="0" w:color="auto"/>
              <w:bottom w:val="single" w:sz="4" w:space="0" w:color="auto"/>
              <w:right w:val="single" w:sz="4" w:space="0" w:color="auto"/>
            </w:tcBorders>
            <w:hideMark/>
          </w:tcPr>
          <w:p w14:paraId="3BA1B346" w14:textId="77777777" w:rsidR="00302BFE" w:rsidRDefault="00302BFE" w:rsidP="00243B15">
            <w:pPr>
              <w:spacing w:after="0"/>
              <w:rPr>
                <w:sz w:val="18"/>
                <w:szCs w:val="18"/>
              </w:rPr>
            </w:pPr>
            <w:r>
              <w:rPr>
                <w:sz w:val="18"/>
                <w:szCs w:val="18"/>
              </w:rPr>
              <w:t>nd</w:t>
            </w:r>
          </w:p>
        </w:tc>
        <w:tc>
          <w:tcPr>
            <w:tcW w:w="1418" w:type="dxa"/>
            <w:tcBorders>
              <w:top w:val="single" w:sz="4" w:space="0" w:color="auto"/>
              <w:left w:val="single" w:sz="4" w:space="0" w:color="auto"/>
              <w:bottom w:val="single" w:sz="4" w:space="0" w:color="auto"/>
              <w:right w:val="single" w:sz="4" w:space="0" w:color="auto"/>
            </w:tcBorders>
            <w:hideMark/>
          </w:tcPr>
          <w:p w14:paraId="45674AF0" w14:textId="77777777" w:rsidR="00302BFE" w:rsidRDefault="00302BFE" w:rsidP="00243B15">
            <w:pPr>
              <w:spacing w:after="0"/>
              <w:rPr>
                <w:sz w:val="18"/>
                <w:szCs w:val="18"/>
              </w:rPr>
            </w:pPr>
            <w:r>
              <w:rPr>
                <w:sz w:val="18"/>
                <w:szCs w:val="18"/>
              </w:rPr>
              <w:t>na</w:t>
            </w:r>
          </w:p>
        </w:tc>
        <w:tc>
          <w:tcPr>
            <w:tcW w:w="1275" w:type="dxa"/>
            <w:tcBorders>
              <w:top w:val="single" w:sz="4" w:space="0" w:color="auto"/>
              <w:left w:val="single" w:sz="4" w:space="0" w:color="auto"/>
              <w:bottom w:val="single" w:sz="4" w:space="0" w:color="auto"/>
              <w:right w:val="single" w:sz="4" w:space="0" w:color="auto"/>
            </w:tcBorders>
          </w:tcPr>
          <w:p w14:paraId="26B2B01B" w14:textId="77777777" w:rsidR="00302BFE" w:rsidRDefault="00302BFE" w:rsidP="00243B15">
            <w:pPr>
              <w:spacing w:after="0"/>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1ACA43" w14:textId="77777777" w:rsidR="00302BFE" w:rsidRDefault="00302BFE" w:rsidP="00243B15">
            <w:pPr>
              <w:spacing w:after="0"/>
              <w:jc w:val="left"/>
              <w:rPr>
                <w:sz w:val="18"/>
                <w:szCs w:val="18"/>
                <w:lang w:val="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CE26A3" w14:textId="77777777" w:rsidR="00302BFE" w:rsidRDefault="00302BFE" w:rsidP="00243B15">
            <w:pPr>
              <w:spacing w:after="0"/>
              <w:jc w:val="left"/>
              <w:rPr>
                <w:sz w:val="18"/>
                <w:szCs w:val="18"/>
                <w:lang w:val="fr-CA"/>
              </w:rPr>
            </w:pPr>
          </w:p>
        </w:tc>
      </w:tr>
      <w:tr w:rsidR="00302BFE" w14:paraId="1E7A385C" w14:textId="77777777" w:rsidTr="00243B15">
        <w:trPr>
          <w:jc w:val="center"/>
        </w:trPr>
        <w:tc>
          <w:tcPr>
            <w:tcW w:w="2405" w:type="dxa"/>
            <w:tcBorders>
              <w:top w:val="single" w:sz="4" w:space="0" w:color="auto"/>
              <w:left w:val="single" w:sz="4" w:space="0" w:color="auto"/>
              <w:bottom w:val="single" w:sz="4" w:space="0" w:color="auto"/>
              <w:right w:val="single" w:sz="4" w:space="0" w:color="auto"/>
            </w:tcBorders>
            <w:hideMark/>
          </w:tcPr>
          <w:p w14:paraId="281F7906" w14:textId="77777777" w:rsidR="00302BFE" w:rsidRDefault="00302BFE" w:rsidP="00243B15">
            <w:pPr>
              <w:spacing w:after="0"/>
              <w:rPr>
                <w:sz w:val="18"/>
                <w:szCs w:val="18"/>
              </w:rPr>
            </w:pPr>
            <w:r>
              <w:rPr>
                <w:sz w:val="18"/>
                <w:szCs w:val="18"/>
              </w:rPr>
              <w:t>Goundou</w:t>
            </w:r>
          </w:p>
        </w:tc>
        <w:tc>
          <w:tcPr>
            <w:tcW w:w="1134" w:type="dxa"/>
            <w:tcBorders>
              <w:top w:val="single" w:sz="4" w:space="0" w:color="auto"/>
              <w:left w:val="single" w:sz="4" w:space="0" w:color="auto"/>
              <w:bottom w:val="single" w:sz="4" w:space="0" w:color="auto"/>
              <w:right w:val="single" w:sz="4" w:space="0" w:color="auto"/>
            </w:tcBorders>
            <w:hideMark/>
          </w:tcPr>
          <w:p w14:paraId="5A72A522" w14:textId="77777777" w:rsidR="00302BFE" w:rsidRDefault="00302BFE" w:rsidP="00243B15">
            <w:pPr>
              <w:spacing w:after="0"/>
              <w:rPr>
                <w:sz w:val="18"/>
                <w:szCs w:val="18"/>
              </w:rPr>
            </w:pPr>
            <w:r>
              <w:rPr>
                <w:sz w:val="18"/>
                <w:szCs w:val="18"/>
              </w:rPr>
              <w:t>20</w:t>
            </w:r>
          </w:p>
        </w:tc>
        <w:tc>
          <w:tcPr>
            <w:tcW w:w="1418" w:type="dxa"/>
            <w:tcBorders>
              <w:top w:val="single" w:sz="4" w:space="0" w:color="auto"/>
              <w:left w:val="single" w:sz="4" w:space="0" w:color="auto"/>
              <w:bottom w:val="single" w:sz="4" w:space="0" w:color="auto"/>
              <w:right w:val="single" w:sz="4" w:space="0" w:color="auto"/>
            </w:tcBorders>
            <w:hideMark/>
          </w:tcPr>
          <w:p w14:paraId="7B35EDE7" w14:textId="77777777" w:rsidR="00302BFE" w:rsidRDefault="00302BFE" w:rsidP="00243B15">
            <w:pPr>
              <w:spacing w:after="0"/>
              <w:rPr>
                <w:sz w:val="18"/>
                <w:szCs w:val="18"/>
              </w:rPr>
            </w:pPr>
            <w:r>
              <w:rPr>
                <w:sz w:val="18"/>
                <w:szCs w:val="18"/>
              </w:rPr>
              <w:t>na</w:t>
            </w:r>
          </w:p>
        </w:tc>
        <w:tc>
          <w:tcPr>
            <w:tcW w:w="1275" w:type="dxa"/>
            <w:tcBorders>
              <w:top w:val="single" w:sz="4" w:space="0" w:color="auto"/>
              <w:left w:val="single" w:sz="4" w:space="0" w:color="auto"/>
              <w:bottom w:val="single" w:sz="4" w:space="0" w:color="auto"/>
              <w:right w:val="single" w:sz="4" w:space="0" w:color="auto"/>
            </w:tcBorders>
          </w:tcPr>
          <w:p w14:paraId="5EF4ADFA" w14:textId="77777777" w:rsidR="00302BFE" w:rsidRDefault="00302BFE" w:rsidP="00243B15">
            <w:pPr>
              <w:spacing w:after="0"/>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C341C9" w14:textId="77777777" w:rsidR="00302BFE" w:rsidRDefault="00302BFE" w:rsidP="00243B15">
            <w:pPr>
              <w:spacing w:after="0"/>
              <w:jc w:val="left"/>
              <w:rPr>
                <w:sz w:val="18"/>
                <w:szCs w:val="18"/>
                <w:lang w:val="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BFA06D" w14:textId="77777777" w:rsidR="00302BFE" w:rsidRDefault="00302BFE" w:rsidP="00243B15">
            <w:pPr>
              <w:spacing w:after="0"/>
              <w:jc w:val="left"/>
              <w:rPr>
                <w:sz w:val="18"/>
                <w:szCs w:val="18"/>
                <w:lang w:val="fr-CA"/>
              </w:rPr>
            </w:pPr>
          </w:p>
        </w:tc>
      </w:tr>
      <w:tr w:rsidR="00302BFE" w14:paraId="64A21B7C" w14:textId="77777777" w:rsidTr="00243B15">
        <w:trPr>
          <w:jc w:val="center"/>
        </w:trPr>
        <w:tc>
          <w:tcPr>
            <w:tcW w:w="2405" w:type="dxa"/>
            <w:tcBorders>
              <w:top w:val="single" w:sz="4" w:space="0" w:color="auto"/>
              <w:left w:val="single" w:sz="4" w:space="0" w:color="auto"/>
              <w:bottom w:val="single" w:sz="4" w:space="0" w:color="auto"/>
              <w:right w:val="single" w:sz="4" w:space="0" w:color="auto"/>
            </w:tcBorders>
            <w:shd w:val="clear" w:color="auto" w:fill="D0CECE"/>
            <w:hideMark/>
          </w:tcPr>
          <w:p w14:paraId="51D0F531" w14:textId="77777777" w:rsidR="00302BFE" w:rsidRDefault="00302BFE" w:rsidP="00243B15">
            <w:pPr>
              <w:spacing w:after="0"/>
              <w:rPr>
                <w:b/>
                <w:sz w:val="18"/>
                <w:szCs w:val="18"/>
              </w:rPr>
            </w:pPr>
            <w:r>
              <w:rPr>
                <w:b/>
                <w:sz w:val="18"/>
                <w:szCs w:val="18"/>
              </w:rPr>
              <w:t>Total area of Village Forests</w:t>
            </w:r>
          </w:p>
        </w:tc>
        <w:tc>
          <w:tcPr>
            <w:tcW w:w="1134" w:type="dxa"/>
            <w:tcBorders>
              <w:top w:val="single" w:sz="4" w:space="0" w:color="auto"/>
              <w:left w:val="single" w:sz="4" w:space="0" w:color="auto"/>
              <w:bottom w:val="single" w:sz="4" w:space="0" w:color="auto"/>
              <w:right w:val="single" w:sz="4" w:space="0" w:color="auto"/>
            </w:tcBorders>
            <w:shd w:val="clear" w:color="auto" w:fill="D0CECE"/>
            <w:hideMark/>
          </w:tcPr>
          <w:p w14:paraId="585B357C" w14:textId="77777777" w:rsidR="00302BFE" w:rsidRDefault="00302BFE" w:rsidP="00243B15">
            <w:pPr>
              <w:spacing w:after="0"/>
              <w:rPr>
                <w:b/>
                <w:sz w:val="18"/>
                <w:szCs w:val="18"/>
              </w:rPr>
            </w:pPr>
            <w:r>
              <w:rPr>
                <w:b/>
                <w:sz w:val="18"/>
                <w:szCs w:val="18"/>
              </w:rPr>
              <w:t>&gt; 765</w:t>
            </w:r>
          </w:p>
        </w:tc>
        <w:tc>
          <w:tcPr>
            <w:tcW w:w="5245" w:type="dxa"/>
            <w:gridSpan w:val="4"/>
            <w:tcBorders>
              <w:top w:val="single" w:sz="4" w:space="0" w:color="auto"/>
              <w:left w:val="single" w:sz="4" w:space="0" w:color="auto"/>
              <w:bottom w:val="single" w:sz="4" w:space="0" w:color="auto"/>
              <w:right w:val="single" w:sz="4" w:space="0" w:color="auto"/>
            </w:tcBorders>
          </w:tcPr>
          <w:p w14:paraId="3E1FCA56" w14:textId="77777777" w:rsidR="00302BFE" w:rsidRDefault="00302BFE" w:rsidP="00243B15">
            <w:pPr>
              <w:spacing w:after="0"/>
              <w:rPr>
                <w:sz w:val="18"/>
                <w:szCs w:val="18"/>
              </w:rPr>
            </w:pPr>
          </w:p>
        </w:tc>
      </w:tr>
      <w:tr w:rsidR="00302BFE" w14:paraId="76889A9B" w14:textId="77777777" w:rsidTr="00243B15">
        <w:trPr>
          <w:jc w:val="center"/>
        </w:trPr>
        <w:tc>
          <w:tcPr>
            <w:tcW w:w="8784" w:type="dxa"/>
            <w:gridSpan w:val="6"/>
            <w:tcBorders>
              <w:top w:val="single" w:sz="4" w:space="0" w:color="auto"/>
              <w:left w:val="single" w:sz="4" w:space="0" w:color="auto"/>
              <w:bottom w:val="single" w:sz="4" w:space="0" w:color="auto"/>
              <w:right w:val="single" w:sz="4" w:space="0" w:color="auto"/>
            </w:tcBorders>
            <w:hideMark/>
          </w:tcPr>
          <w:p w14:paraId="3A054082" w14:textId="77777777" w:rsidR="00302BFE" w:rsidRDefault="00302BFE" w:rsidP="00243B15">
            <w:pPr>
              <w:spacing w:after="0"/>
              <w:rPr>
                <w:sz w:val="18"/>
                <w:szCs w:val="18"/>
              </w:rPr>
            </w:pPr>
            <w:r>
              <w:rPr>
                <w:b/>
                <w:sz w:val="18"/>
                <w:szCs w:val="18"/>
              </w:rPr>
              <w:t xml:space="preserve">Pastoral Areas </w:t>
            </w:r>
          </w:p>
        </w:tc>
      </w:tr>
      <w:tr w:rsidR="00302BFE" w:rsidRPr="00432006" w14:paraId="105A4E43" w14:textId="77777777" w:rsidTr="00243B15">
        <w:trPr>
          <w:jc w:val="center"/>
        </w:trPr>
        <w:tc>
          <w:tcPr>
            <w:tcW w:w="2405" w:type="dxa"/>
            <w:tcBorders>
              <w:top w:val="single" w:sz="4" w:space="0" w:color="auto"/>
              <w:left w:val="single" w:sz="4" w:space="0" w:color="auto"/>
              <w:bottom w:val="single" w:sz="4" w:space="0" w:color="auto"/>
              <w:right w:val="single" w:sz="4" w:space="0" w:color="auto"/>
            </w:tcBorders>
            <w:hideMark/>
          </w:tcPr>
          <w:p w14:paraId="71A03546" w14:textId="77777777" w:rsidR="00302BFE" w:rsidRDefault="00302BFE" w:rsidP="00243B15">
            <w:pPr>
              <w:spacing w:after="0"/>
              <w:rPr>
                <w:sz w:val="18"/>
                <w:szCs w:val="18"/>
              </w:rPr>
            </w:pPr>
            <w:r>
              <w:rPr>
                <w:sz w:val="18"/>
                <w:szCs w:val="18"/>
              </w:rPr>
              <w:t>Guirao</w:t>
            </w:r>
          </w:p>
        </w:tc>
        <w:tc>
          <w:tcPr>
            <w:tcW w:w="1134" w:type="dxa"/>
            <w:tcBorders>
              <w:top w:val="single" w:sz="4" w:space="0" w:color="auto"/>
              <w:left w:val="single" w:sz="4" w:space="0" w:color="auto"/>
              <w:bottom w:val="single" w:sz="4" w:space="0" w:color="auto"/>
              <w:right w:val="single" w:sz="4" w:space="0" w:color="auto"/>
            </w:tcBorders>
            <w:hideMark/>
          </w:tcPr>
          <w:p w14:paraId="2A28C022" w14:textId="77777777" w:rsidR="00302BFE" w:rsidRDefault="00302BFE" w:rsidP="00243B15">
            <w:pPr>
              <w:spacing w:after="0"/>
              <w:rPr>
                <w:sz w:val="18"/>
                <w:szCs w:val="18"/>
              </w:rPr>
            </w:pPr>
            <w:r>
              <w:rPr>
                <w:sz w:val="18"/>
                <w:szCs w:val="18"/>
              </w:rPr>
              <w:t>6,500</w:t>
            </w:r>
          </w:p>
        </w:tc>
        <w:tc>
          <w:tcPr>
            <w:tcW w:w="1418" w:type="dxa"/>
            <w:tcBorders>
              <w:top w:val="single" w:sz="4" w:space="0" w:color="auto"/>
              <w:left w:val="single" w:sz="4" w:space="0" w:color="auto"/>
              <w:bottom w:val="single" w:sz="4" w:space="0" w:color="auto"/>
              <w:right w:val="single" w:sz="4" w:space="0" w:color="auto"/>
            </w:tcBorders>
          </w:tcPr>
          <w:p w14:paraId="785F9C02" w14:textId="77777777" w:rsidR="00302BFE" w:rsidRDefault="00302BFE" w:rsidP="00243B15">
            <w:pPr>
              <w:spacing w:after="0"/>
              <w:rPr>
                <w:sz w:val="18"/>
                <w:szCs w:val="18"/>
              </w:rPr>
            </w:pPr>
          </w:p>
        </w:tc>
        <w:tc>
          <w:tcPr>
            <w:tcW w:w="1275" w:type="dxa"/>
            <w:tcBorders>
              <w:top w:val="single" w:sz="4" w:space="0" w:color="auto"/>
              <w:left w:val="single" w:sz="4" w:space="0" w:color="auto"/>
              <w:bottom w:val="single" w:sz="4" w:space="0" w:color="auto"/>
              <w:right w:val="single" w:sz="4" w:space="0" w:color="auto"/>
            </w:tcBorders>
          </w:tcPr>
          <w:p w14:paraId="06F0F9C2" w14:textId="77777777" w:rsidR="00302BFE" w:rsidRDefault="00302BFE" w:rsidP="00243B15">
            <w:pPr>
              <w:spacing w:after="0"/>
              <w:rPr>
                <w:sz w:val="18"/>
                <w:szCs w:val="18"/>
              </w:rPr>
            </w:pPr>
          </w:p>
        </w:tc>
        <w:tc>
          <w:tcPr>
            <w:tcW w:w="1276" w:type="dxa"/>
            <w:vMerge w:val="restart"/>
            <w:tcBorders>
              <w:top w:val="single" w:sz="4" w:space="0" w:color="auto"/>
              <w:left w:val="single" w:sz="4" w:space="0" w:color="auto"/>
              <w:bottom w:val="single" w:sz="4" w:space="0" w:color="auto"/>
              <w:right w:val="single" w:sz="4" w:space="0" w:color="auto"/>
            </w:tcBorders>
            <w:hideMark/>
          </w:tcPr>
          <w:p w14:paraId="65AA32DC" w14:textId="77777777" w:rsidR="00302BFE" w:rsidRPr="00432006" w:rsidRDefault="00302BFE" w:rsidP="00243B15">
            <w:pPr>
              <w:spacing w:after="0"/>
              <w:rPr>
                <w:sz w:val="18"/>
                <w:szCs w:val="18"/>
                <w:lang w:val="en-CA"/>
              </w:rPr>
            </w:pPr>
            <w:r>
              <w:rPr>
                <w:sz w:val="16"/>
                <w:szCs w:val="16"/>
                <w:lang w:val="en-CA"/>
              </w:rPr>
              <w:t>Management plans and specifications expired</w:t>
            </w:r>
          </w:p>
        </w:tc>
        <w:tc>
          <w:tcPr>
            <w:tcW w:w="1276" w:type="dxa"/>
            <w:tcBorders>
              <w:top w:val="single" w:sz="4" w:space="0" w:color="auto"/>
              <w:left w:val="single" w:sz="4" w:space="0" w:color="auto"/>
              <w:bottom w:val="single" w:sz="4" w:space="0" w:color="auto"/>
              <w:right w:val="single" w:sz="4" w:space="0" w:color="auto"/>
            </w:tcBorders>
          </w:tcPr>
          <w:p w14:paraId="4D6E0247" w14:textId="77777777" w:rsidR="00302BFE" w:rsidRPr="00432006" w:rsidRDefault="00302BFE" w:rsidP="00243B15">
            <w:pPr>
              <w:spacing w:after="0"/>
              <w:rPr>
                <w:sz w:val="16"/>
                <w:szCs w:val="16"/>
                <w:lang w:val="en-CA"/>
              </w:rPr>
            </w:pPr>
          </w:p>
        </w:tc>
      </w:tr>
      <w:tr w:rsidR="00302BFE" w14:paraId="3B2D659F" w14:textId="77777777" w:rsidTr="00243B15">
        <w:trPr>
          <w:jc w:val="center"/>
        </w:trPr>
        <w:tc>
          <w:tcPr>
            <w:tcW w:w="2405" w:type="dxa"/>
            <w:tcBorders>
              <w:top w:val="single" w:sz="4" w:space="0" w:color="auto"/>
              <w:left w:val="single" w:sz="4" w:space="0" w:color="auto"/>
              <w:bottom w:val="single" w:sz="4" w:space="0" w:color="auto"/>
              <w:right w:val="single" w:sz="4" w:space="0" w:color="auto"/>
            </w:tcBorders>
            <w:hideMark/>
          </w:tcPr>
          <w:p w14:paraId="73792C77" w14:textId="77777777" w:rsidR="00302BFE" w:rsidRDefault="00302BFE" w:rsidP="00243B15">
            <w:pPr>
              <w:spacing w:after="0"/>
              <w:rPr>
                <w:sz w:val="18"/>
                <w:szCs w:val="18"/>
              </w:rPr>
            </w:pPr>
            <w:r>
              <w:rPr>
                <w:sz w:val="18"/>
                <w:szCs w:val="18"/>
              </w:rPr>
              <w:t>Yalé (Biéha)</w:t>
            </w:r>
          </w:p>
        </w:tc>
        <w:tc>
          <w:tcPr>
            <w:tcW w:w="1134" w:type="dxa"/>
            <w:tcBorders>
              <w:top w:val="single" w:sz="4" w:space="0" w:color="auto"/>
              <w:left w:val="single" w:sz="4" w:space="0" w:color="auto"/>
              <w:bottom w:val="single" w:sz="4" w:space="0" w:color="auto"/>
              <w:right w:val="single" w:sz="4" w:space="0" w:color="auto"/>
            </w:tcBorders>
            <w:hideMark/>
          </w:tcPr>
          <w:p w14:paraId="0AABC00E" w14:textId="77777777" w:rsidR="00302BFE" w:rsidRDefault="00302BFE" w:rsidP="00243B15">
            <w:pPr>
              <w:spacing w:after="0"/>
              <w:rPr>
                <w:sz w:val="18"/>
                <w:szCs w:val="18"/>
              </w:rPr>
            </w:pPr>
            <w:r>
              <w:rPr>
                <w:sz w:val="18"/>
                <w:szCs w:val="18"/>
              </w:rPr>
              <w:t>40,000</w:t>
            </w:r>
          </w:p>
        </w:tc>
        <w:tc>
          <w:tcPr>
            <w:tcW w:w="1418" w:type="dxa"/>
            <w:tcBorders>
              <w:top w:val="single" w:sz="4" w:space="0" w:color="auto"/>
              <w:left w:val="single" w:sz="4" w:space="0" w:color="auto"/>
              <w:bottom w:val="single" w:sz="4" w:space="0" w:color="auto"/>
              <w:right w:val="single" w:sz="4" w:space="0" w:color="auto"/>
            </w:tcBorders>
          </w:tcPr>
          <w:p w14:paraId="79F37F12" w14:textId="77777777" w:rsidR="00302BFE" w:rsidRDefault="00302BFE" w:rsidP="00243B15">
            <w:pPr>
              <w:spacing w:after="0"/>
              <w:rPr>
                <w:sz w:val="18"/>
                <w:szCs w:val="18"/>
              </w:rPr>
            </w:pPr>
          </w:p>
        </w:tc>
        <w:tc>
          <w:tcPr>
            <w:tcW w:w="1275" w:type="dxa"/>
            <w:tcBorders>
              <w:top w:val="single" w:sz="4" w:space="0" w:color="auto"/>
              <w:left w:val="single" w:sz="4" w:space="0" w:color="auto"/>
              <w:bottom w:val="single" w:sz="4" w:space="0" w:color="auto"/>
              <w:right w:val="single" w:sz="4" w:space="0" w:color="auto"/>
            </w:tcBorders>
          </w:tcPr>
          <w:p w14:paraId="0D5ED944" w14:textId="77777777" w:rsidR="00302BFE" w:rsidRDefault="00302BFE" w:rsidP="00243B15">
            <w:pPr>
              <w:spacing w:after="0"/>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C1C5C5" w14:textId="77777777" w:rsidR="00302BFE" w:rsidRDefault="00302BFE" w:rsidP="00243B15">
            <w:pPr>
              <w:spacing w:after="0"/>
              <w:jc w:val="left"/>
              <w:rPr>
                <w:sz w:val="18"/>
                <w:szCs w:val="18"/>
                <w:lang w:val="fr-CA"/>
              </w:rPr>
            </w:pPr>
          </w:p>
        </w:tc>
        <w:tc>
          <w:tcPr>
            <w:tcW w:w="1276" w:type="dxa"/>
            <w:tcBorders>
              <w:top w:val="single" w:sz="4" w:space="0" w:color="auto"/>
              <w:left w:val="single" w:sz="4" w:space="0" w:color="auto"/>
              <w:bottom w:val="single" w:sz="4" w:space="0" w:color="auto"/>
              <w:right w:val="single" w:sz="4" w:space="0" w:color="auto"/>
            </w:tcBorders>
          </w:tcPr>
          <w:p w14:paraId="46CCD5A8" w14:textId="77777777" w:rsidR="00302BFE" w:rsidRDefault="00302BFE" w:rsidP="00243B15">
            <w:pPr>
              <w:spacing w:after="0"/>
              <w:rPr>
                <w:sz w:val="18"/>
                <w:szCs w:val="18"/>
              </w:rPr>
            </w:pPr>
          </w:p>
        </w:tc>
      </w:tr>
      <w:tr w:rsidR="00302BFE" w14:paraId="12614002" w14:textId="77777777" w:rsidTr="00243B15">
        <w:trPr>
          <w:jc w:val="center"/>
        </w:trPr>
        <w:tc>
          <w:tcPr>
            <w:tcW w:w="2405" w:type="dxa"/>
            <w:tcBorders>
              <w:top w:val="single" w:sz="4" w:space="0" w:color="auto"/>
              <w:left w:val="single" w:sz="4" w:space="0" w:color="auto"/>
              <w:bottom w:val="single" w:sz="4" w:space="0" w:color="auto"/>
              <w:right w:val="single" w:sz="4" w:space="0" w:color="auto"/>
            </w:tcBorders>
            <w:hideMark/>
          </w:tcPr>
          <w:p w14:paraId="57A06B90" w14:textId="77777777" w:rsidR="00302BFE" w:rsidRDefault="00302BFE" w:rsidP="00243B15">
            <w:pPr>
              <w:spacing w:after="0"/>
              <w:rPr>
                <w:sz w:val="18"/>
                <w:szCs w:val="18"/>
              </w:rPr>
            </w:pPr>
            <w:r>
              <w:rPr>
                <w:sz w:val="18"/>
                <w:szCs w:val="18"/>
              </w:rPr>
              <w:t>Niassa (Gogo)</w:t>
            </w:r>
          </w:p>
        </w:tc>
        <w:tc>
          <w:tcPr>
            <w:tcW w:w="1134" w:type="dxa"/>
            <w:tcBorders>
              <w:top w:val="single" w:sz="4" w:space="0" w:color="auto"/>
              <w:left w:val="single" w:sz="4" w:space="0" w:color="auto"/>
              <w:bottom w:val="single" w:sz="4" w:space="0" w:color="auto"/>
              <w:right w:val="single" w:sz="4" w:space="0" w:color="auto"/>
            </w:tcBorders>
            <w:hideMark/>
          </w:tcPr>
          <w:p w14:paraId="404B553E" w14:textId="77777777" w:rsidR="00302BFE" w:rsidRDefault="00302BFE" w:rsidP="00243B15">
            <w:pPr>
              <w:spacing w:after="0"/>
              <w:rPr>
                <w:sz w:val="18"/>
                <w:szCs w:val="18"/>
              </w:rPr>
            </w:pPr>
            <w:r>
              <w:rPr>
                <w:sz w:val="18"/>
                <w:szCs w:val="18"/>
              </w:rPr>
              <w:t>6,386</w:t>
            </w:r>
          </w:p>
        </w:tc>
        <w:tc>
          <w:tcPr>
            <w:tcW w:w="1418" w:type="dxa"/>
            <w:tcBorders>
              <w:top w:val="single" w:sz="4" w:space="0" w:color="auto"/>
              <w:left w:val="single" w:sz="4" w:space="0" w:color="auto"/>
              <w:bottom w:val="single" w:sz="4" w:space="0" w:color="auto"/>
              <w:right w:val="single" w:sz="4" w:space="0" w:color="auto"/>
            </w:tcBorders>
          </w:tcPr>
          <w:p w14:paraId="251214E0" w14:textId="77777777" w:rsidR="00302BFE" w:rsidRDefault="00302BFE" w:rsidP="00243B15">
            <w:pPr>
              <w:spacing w:after="0"/>
              <w:rPr>
                <w:sz w:val="18"/>
                <w:szCs w:val="18"/>
              </w:rPr>
            </w:pPr>
          </w:p>
        </w:tc>
        <w:tc>
          <w:tcPr>
            <w:tcW w:w="1275" w:type="dxa"/>
            <w:tcBorders>
              <w:top w:val="single" w:sz="4" w:space="0" w:color="auto"/>
              <w:left w:val="single" w:sz="4" w:space="0" w:color="auto"/>
              <w:bottom w:val="single" w:sz="4" w:space="0" w:color="auto"/>
              <w:right w:val="single" w:sz="4" w:space="0" w:color="auto"/>
            </w:tcBorders>
          </w:tcPr>
          <w:p w14:paraId="41B797B0" w14:textId="77777777" w:rsidR="00302BFE" w:rsidRDefault="00302BFE" w:rsidP="00243B15">
            <w:pPr>
              <w:spacing w:after="0"/>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430B43" w14:textId="77777777" w:rsidR="00302BFE" w:rsidRDefault="00302BFE" w:rsidP="00243B15">
            <w:pPr>
              <w:spacing w:after="0"/>
              <w:jc w:val="left"/>
              <w:rPr>
                <w:sz w:val="18"/>
                <w:szCs w:val="18"/>
                <w:lang w:val="fr-CA"/>
              </w:rPr>
            </w:pPr>
          </w:p>
        </w:tc>
        <w:tc>
          <w:tcPr>
            <w:tcW w:w="1276" w:type="dxa"/>
            <w:tcBorders>
              <w:top w:val="single" w:sz="4" w:space="0" w:color="auto"/>
              <w:left w:val="single" w:sz="4" w:space="0" w:color="auto"/>
              <w:bottom w:val="single" w:sz="4" w:space="0" w:color="auto"/>
              <w:right w:val="single" w:sz="4" w:space="0" w:color="auto"/>
            </w:tcBorders>
          </w:tcPr>
          <w:p w14:paraId="1613D864" w14:textId="77777777" w:rsidR="00302BFE" w:rsidRDefault="00302BFE" w:rsidP="00243B15">
            <w:pPr>
              <w:spacing w:after="0"/>
              <w:rPr>
                <w:sz w:val="18"/>
                <w:szCs w:val="18"/>
              </w:rPr>
            </w:pPr>
          </w:p>
        </w:tc>
      </w:tr>
      <w:tr w:rsidR="00302BFE" w14:paraId="46596C10" w14:textId="77777777" w:rsidTr="00243B15">
        <w:trPr>
          <w:jc w:val="center"/>
        </w:trPr>
        <w:tc>
          <w:tcPr>
            <w:tcW w:w="2405" w:type="dxa"/>
            <w:tcBorders>
              <w:top w:val="single" w:sz="4" w:space="0" w:color="auto"/>
              <w:left w:val="single" w:sz="4" w:space="0" w:color="auto"/>
              <w:bottom w:val="single" w:sz="4" w:space="0" w:color="auto"/>
              <w:right w:val="single" w:sz="4" w:space="0" w:color="auto"/>
            </w:tcBorders>
            <w:shd w:val="clear" w:color="auto" w:fill="D0CECE"/>
            <w:hideMark/>
          </w:tcPr>
          <w:p w14:paraId="37E151BD" w14:textId="77777777" w:rsidR="00302BFE" w:rsidRDefault="00302BFE" w:rsidP="00243B15">
            <w:pPr>
              <w:spacing w:after="0"/>
              <w:rPr>
                <w:b/>
                <w:sz w:val="18"/>
                <w:szCs w:val="18"/>
              </w:rPr>
            </w:pPr>
            <w:r>
              <w:rPr>
                <w:b/>
                <w:sz w:val="18"/>
                <w:szCs w:val="18"/>
              </w:rPr>
              <w:t>Total Pastoral areas</w:t>
            </w:r>
          </w:p>
        </w:tc>
        <w:tc>
          <w:tcPr>
            <w:tcW w:w="1134" w:type="dxa"/>
            <w:tcBorders>
              <w:top w:val="single" w:sz="4" w:space="0" w:color="auto"/>
              <w:left w:val="single" w:sz="4" w:space="0" w:color="auto"/>
              <w:bottom w:val="single" w:sz="4" w:space="0" w:color="auto"/>
              <w:right w:val="single" w:sz="4" w:space="0" w:color="auto"/>
            </w:tcBorders>
            <w:shd w:val="clear" w:color="auto" w:fill="D0CECE"/>
            <w:hideMark/>
          </w:tcPr>
          <w:p w14:paraId="5A097E4D" w14:textId="77777777" w:rsidR="00302BFE" w:rsidRDefault="00302BFE" w:rsidP="00243B15">
            <w:pPr>
              <w:spacing w:after="0"/>
              <w:rPr>
                <w:b/>
                <w:sz w:val="18"/>
                <w:szCs w:val="18"/>
              </w:rPr>
            </w:pPr>
            <w:r>
              <w:rPr>
                <w:b/>
                <w:sz w:val="18"/>
                <w:szCs w:val="18"/>
              </w:rPr>
              <w:t>52,886</w:t>
            </w:r>
          </w:p>
        </w:tc>
        <w:tc>
          <w:tcPr>
            <w:tcW w:w="5245" w:type="dxa"/>
            <w:gridSpan w:val="4"/>
            <w:tcBorders>
              <w:top w:val="single" w:sz="4" w:space="0" w:color="auto"/>
              <w:left w:val="single" w:sz="4" w:space="0" w:color="auto"/>
              <w:bottom w:val="single" w:sz="4" w:space="0" w:color="auto"/>
              <w:right w:val="single" w:sz="4" w:space="0" w:color="auto"/>
            </w:tcBorders>
          </w:tcPr>
          <w:p w14:paraId="393F241E" w14:textId="77777777" w:rsidR="00302BFE" w:rsidRDefault="00302BFE" w:rsidP="00243B15">
            <w:pPr>
              <w:spacing w:after="0"/>
              <w:rPr>
                <w:sz w:val="18"/>
                <w:szCs w:val="18"/>
              </w:rPr>
            </w:pPr>
          </w:p>
        </w:tc>
      </w:tr>
      <w:tr w:rsidR="00302BFE" w14:paraId="7C8E8DAD" w14:textId="77777777" w:rsidTr="00243B15">
        <w:trPr>
          <w:jc w:val="center"/>
        </w:trPr>
        <w:tc>
          <w:tcPr>
            <w:tcW w:w="2405" w:type="dxa"/>
            <w:tcBorders>
              <w:top w:val="single" w:sz="4" w:space="0" w:color="auto"/>
              <w:left w:val="single" w:sz="4" w:space="0" w:color="auto"/>
              <w:bottom w:val="single" w:sz="4" w:space="0" w:color="auto"/>
              <w:right w:val="single" w:sz="4" w:space="0" w:color="auto"/>
            </w:tcBorders>
            <w:shd w:val="clear" w:color="auto" w:fill="D0CECE"/>
            <w:hideMark/>
          </w:tcPr>
          <w:p w14:paraId="6F93817E" w14:textId="77777777" w:rsidR="00302BFE" w:rsidRDefault="00302BFE" w:rsidP="00243B15">
            <w:pPr>
              <w:spacing w:after="0"/>
              <w:rPr>
                <w:b/>
                <w:sz w:val="18"/>
                <w:szCs w:val="18"/>
                <w:lang w:val="fr-CA"/>
              </w:rPr>
            </w:pPr>
            <w:r>
              <w:rPr>
                <w:b/>
                <w:sz w:val="18"/>
                <w:szCs w:val="18"/>
                <w:lang w:val="fr-CA"/>
              </w:rPr>
              <w:t>Total Community-managed areas</w:t>
            </w:r>
          </w:p>
        </w:tc>
        <w:tc>
          <w:tcPr>
            <w:tcW w:w="1134" w:type="dxa"/>
            <w:tcBorders>
              <w:top w:val="single" w:sz="4" w:space="0" w:color="auto"/>
              <w:left w:val="single" w:sz="4" w:space="0" w:color="auto"/>
              <w:bottom w:val="single" w:sz="4" w:space="0" w:color="auto"/>
              <w:right w:val="single" w:sz="4" w:space="0" w:color="auto"/>
            </w:tcBorders>
            <w:shd w:val="clear" w:color="auto" w:fill="D0CECE"/>
            <w:hideMark/>
          </w:tcPr>
          <w:p w14:paraId="08DBBD42" w14:textId="77777777" w:rsidR="00302BFE" w:rsidRDefault="00302BFE" w:rsidP="00243B15">
            <w:pPr>
              <w:spacing w:after="0"/>
              <w:rPr>
                <w:b/>
                <w:sz w:val="18"/>
                <w:szCs w:val="18"/>
              </w:rPr>
            </w:pPr>
            <w:r>
              <w:rPr>
                <w:b/>
                <w:sz w:val="18"/>
                <w:szCs w:val="18"/>
              </w:rPr>
              <w:t>&gt; 166,638</w:t>
            </w:r>
          </w:p>
        </w:tc>
        <w:tc>
          <w:tcPr>
            <w:tcW w:w="5245" w:type="dxa"/>
            <w:gridSpan w:val="4"/>
            <w:tcBorders>
              <w:top w:val="single" w:sz="4" w:space="0" w:color="auto"/>
              <w:left w:val="single" w:sz="4" w:space="0" w:color="auto"/>
              <w:bottom w:val="single" w:sz="4" w:space="0" w:color="auto"/>
              <w:right w:val="single" w:sz="4" w:space="0" w:color="auto"/>
            </w:tcBorders>
          </w:tcPr>
          <w:p w14:paraId="70F83177" w14:textId="77777777" w:rsidR="00302BFE" w:rsidRDefault="00302BFE" w:rsidP="00243B15">
            <w:pPr>
              <w:spacing w:after="0"/>
              <w:rPr>
                <w:sz w:val="18"/>
                <w:szCs w:val="18"/>
              </w:rPr>
            </w:pPr>
          </w:p>
        </w:tc>
      </w:tr>
    </w:tbl>
    <w:p w14:paraId="03DE11F9" w14:textId="77777777" w:rsidR="00302BFE" w:rsidRPr="00B16682" w:rsidRDefault="00302BFE" w:rsidP="00302BFE">
      <w:pPr>
        <w:pStyle w:val="Titre2"/>
        <w:ind w:left="0"/>
        <w:rPr>
          <w:rFonts w:ascii="Calibri" w:hAnsi="Calibri"/>
          <w:szCs w:val="22"/>
        </w:rPr>
      </w:pPr>
      <w:r>
        <w:rPr>
          <w:b w:val="0"/>
          <w:lang w:val="en-CA"/>
        </w:rPr>
        <w:br w:type="page"/>
      </w:r>
      <w:bookmarkStart w:id="119" w:name="_Toc9961812"/>
      <w:r w:rsidRPr="00B16682">
        <w:rPr>
          <w:rFonts w:ascii="Calibri" w:hAnsi="Calibri"/>
          <w:szCs w:val="22"/>
        </w:rPr>
        <w:lastRenderedPageBreak/>
        <w:t xml:space="preserve">Annex </w:t>
      </w:r>
      <w:r>
        <w:rPr>
          <w:rFonts w:ascii="Calibri" w:hAnsi="Calibri"/>
          <w:szCs w:val="22"/>
        </w:rPr>
        <w:t>L</w:t>
      </w:r>
      <w:r w:rsidRPr="00B16682">
        <w:rPr>
          <w:rFonts w:ascii="Calibri" w:hAnsi="Calibri"/>
          <w:szCs w:val="22"/>
        </w:rPr>
        <w:t>. Human-Wildlife Conflicts in the PONASI landscape and the SAFE Systems approach.</w:t>
      </w:r>
      <w:bookmarkEnd w:id="119"/>
    </w:p>
    <w:p w14:paraId="79643520" w14:textId="77777777" w:rsidR="00302BFE" w:rsidRPr="000E52FB" w:rsidRDefault="00302BFE" w:rsidP="00302BFE">
      <w:pPr>
        <w:pStyle w:val="Paragraphedeliste"/>
        <w:tabs>
          <w:tab w:val="left" w:pos="284"/>
        </w:tabs>
        <w:spacing w:before="120" w:after="120"/>
        <w:ind w:left="0"/>
        <w:jc w:val="both"/>
        <w:rPr>
          <w:rFonts w:ascii="Calibri" w:eastAsia="Times New Roman" w:hAnsi="Calibri"/>
          <w:iCs/>
          <w:sz w:val="20"/>
          <w:szCs w:val="20"/>
          <w:lang w:val="fr-CA"/>
        </w:rPr>
      </w:pPr>
      <w:r w:rsidRPr="000E52FB">
        <w:rPr>
          <w:rFonts w:ascii="Calibri" w:hAnsi="Calibri"/>
          <w:sz w:val="20"/>
          <w:szCs w:val="20"/>
          <w:lang w:val="fr-CA"/>
        </w:rPr>
        <w:t>Les conflits Hommes-Faune concernent plusieurs espèces présentes dans le paysage et sont plus fréquents et plus intenses dans les champs situés en bordure des zones protégées abritant des éléphants. Les hyènes (</w:t>
      </w:r>
      <w:r w:rsidRPr="000E52FB">
        <w:rPr>
          <w:rFonts w:ascii="Calibri" w:hAnsi="Calibri"/>
          <w:i/>
          <w:sz w:val="20"/>
          <w:szCs w:val="20"/>
          <w:lang w:val="fr-CA"/>
        </w:rPr>
        <w:t>Hyaena hyaena</w:t>
      </w:r>
      <w:r w:rsidRPr="000E52FB">
        <w:rPr>
          <w:rFonts w:ascii="Calibri" w:hAnsi="Calibri"/>
          <w:sz w:val="20"/>
          <w:szCs w:val="20"/>
          <w:lang w:val="fr-CA"/>
        </w:rPr>
        <w:t xml:space="preserve"> - NT) s’attaquent aux chèvres et aux moutons, surtout en saison pluvieuse, lorsque les proies sauvages sont plus difficiles à capturer à cause des inondations et de la végétation. Les phacochères (</w:t>
      </w:r>
      <w:r w:rsidRPr="000E52FB">
        <w:rPr>
          <w:rFonts w:ascii="Calibri" w:hAnsi="Calibri"/>
          <w:i/>
          <w:sz w:val="20"/>
          <w:szCs w:val="20"/>
          <w:lang w:val="fr-CA"/>
        </w:rPr>
        <w:t>Phacochoerus africanus africanus</w:t>
      </w:r>
      <w:r w:rsidRPr="000E52FB">
        <w:rPr>
          <w:rFonts w:ascii="Calibri" w:hAnsi="Calibri"/>
          <w:sz w:val="20"/>
          <w:szCs w:val="20"/>
          <w:lang w:val="fr-CA"/>
        </w:rPr>
        <w:t xml:space="preserve"> – LC) font des dégâts en fin d’hivernage surtout dans les champs de tubercules comme les ignames et le manioc. Les babouins (</w:t>
      </w:r>
      <w:r w:rsidRPr="000E52FB">
        <w:rPr>
          <w:rFonts w:ascii="Calibri" w:hAnsi="Calibri"/>
          <w:i/>
          <w:sz w:val="20"/>
          <w:szCs w:val="20"/>
          <w:lang w:val="fr-CA"/>
        </w:rPr>
        <w:t>Papio anubis</w:t>
      </w:r>
      <w:r w:rsidRPr="000E52FB">
        <w:rPr>
          <w:rFonts w:ascii="Calibri" w:hAnsi="Calibri"/>
          <w:sz w:val="20"/>
          <w:szCs w:val="20"/>
          <w:lang w:val="fr-CA"/>
        </w:rPr>
        <w:t xml:space="preserve"> – LC) qui sont omnivores s’attaquent aux récoltes, aux poulets et aux petites chèvres, surtout en saison pluvieuse. Il est possible qu’ils fassent des incursions dans les ZOVIC et les corridors. Les singes rouges aussi appelés patas (</w:t>
      </w:r>
      <w:r w:rsidRPr="000E52FB">
        <w:rPr>
          <w:rFonts w:ascii="Calibri" w:hAnsi="Calibri"/>
          <w:i/>
          <w:sz w:val="20"/>
          <w:szCs w:val="20"/>
          <w:lang w:val="fr-CA"/>
        </w:rPr>
        <w:t>Erythrocebus patas</w:t>
      </w:r>
      <w:r w:rsidRPr="000E52FB">
        <w:rPr>
          <w:rFonts w:ascii="Calibri" w:hAnsi="Calibri"/>
          <w:sz w:val="20"/>
          <w:szCs w:val="20"/>
          <w:lang w:val="fr-CA"/>
        </w:rPr>
        <w:t xml:space="preserve"> - LC) font des dégâts dans les champs de maïs juste avant que les épis ne s’assèchent et ce, dans la quasi-totalité du complexe. Les oiseaux granivores s’attaquent à toutes les cultures céréalières incluant le maïs par les perroquets (</w:t>
      </w:r>
      <w:r w:rsidRPr="000E52FB">
        <w:rPr>
          <w:rFonts w:ascii="Calibri" w:hAnsi="Calibri"/>
          <w:i/>
          <w:sz w:val="20"/>
          <w:szCs w:val="20"/>
          <w:lang w:val="fr-CA"/>
        </w:rPr>
        <w:t>Poicephalus senegalus</w:t>
      </w:r>
      <w:r w:rsidRPr="000E52FB">
        <w:rPr>
          <w:rFonts w:ascii="Calibri" w:hAnsi="Calibri"/>
          <w:sz w:val="20"/>
          <w:szCs w:val="20"/>
          <w:lang w:val="fr-CA"/>
        </w:rPr>
        <w:t xml:space="preserve"> - LC), le petit mil par les mange-mil, le riz par d’autres petits oiseaux. Cette prédation est sévère au point d’accroître l’insécurité alimentaire.</w:t>
      </w:r>
    </w:p>
    <w:p w14:paraId="14570B42" w14:textId="77777777" w:rsidR="00302BFE" w:rsidRPr="000E52FB" w:rsidRDefault="00302BFE" w:rsidP="00302BFE">
      <w:pPr>
        <w:pStyle w:val="Paragraphedeliste"/>
        <w:tabs>
          <w:tab w:val="left" w:pos="284"/>
        </w:tabs>
        <w:spacing w:before="120" w:after="120"/>
        <w:ind w:left="0"/>
        <w:jc w:val="both"/>
        <w:rPr>
          <w:rFonts w:ascii="Calibri" w:eastAsia="Times New Roman" w:hAnsi="Calibri"/>
          <w:iCs/>
          <w:sz w:val="20"/>
          <w:szCs w:val="20"/>
          <w:lang w:val="fr-CA"/>
        </w:rPr>
      </w:pPr>
      <w:r w:rsidRPr="000E52FB">
        <w:rPr>
          <w:rFonts w:ascii="Calibri" w:hAnsi="Calibri"/>
          <w:sz w:val="20"/>
          <w:szCs w:val="20"/>
          <w:lang w:val="fr-CA"/>
        </w:rPr>
        <w:t>Le braconnage des éléphants a lieu surtout en début et en fin d’hivernage (saison pluvieuse), dans les sites moins surveillés par les services forestiers (à cause de l’accès difficile) et les communautés riveraines. En début d’hivernage, les éléphants (</w:t>
      </w:r>
      <w:r w:rsidRPr="000E52FB">
        <w:rPr>
          <w:rFonts w:ascii="Calibri" w:hAnsi="Calibri"/>
          <w:i/>
          <w:sz w:val="20"/>
          <w:szCs w:val="20"/>
          <w:lang w:val="fr-CA"/>
        </w:rPr>
        <w:t>Loxodonta africana</w:t>
      </w:r>
      <w:r w:rsidRPr="000E52FB">
        <w:rPr>
          <w:rFonts w:ascii="Calibri" w:hAnsi="Calibri"/>
          <w:sz w:val="20"/>
          <w:szCs w:val="20"/>
          <w:lang w:val="fr-CA"/>
        </w:rPr>
        <w:t xml:space="preserve"> – VU) migrent dans le Nord du Complexe PONASI, où il y a de l’eau, de l’herbe, des salines naturelles, et un vaste espace pour les déplacements, et retournent en fin de saison des pluies, lorsque le niveau d’eau baisse. À chaque déplacement, ils font des dégâts sur les terres (vergers, champs de maïs, etc.) des villages limitrophes.</w:t>
      </w:r>
      <w:r>
        <w:rPr>
          <w:rFonts w:ascii="Calibri" w:hAnsi="Calibri"/>
          <w:sz w:val="20"/>
          <w:szCs w:val="20"/>
          <w:lang w:val="fr-CA"/>
        </w:rPr>
        <w:t xml:space="preserve"> </w:t>
      </w:r>
      <w:r w:rsidRPr="000E52FB">
        <w:rPr>
          <w:rFonts w:ascii="Calibri" w:hAnsi="Calibri"/>
          <w:sz w:val="20"/>
          <w:szCs w:val="20"/>
          <w:lang w:val="fr-CA"/>
        </w:rPr>
        <w:t>Pour l’ensemble du complexe, au moins une dizaine de carcasses sont retrouvées chaque année, mais le nombre d’éléphants braconnés est difficile à estimer, certains étant cédés ou vendus aux populations dans les villages limitrophes du complexe. Les éléphants sont bien protégés par les lois coutumières locales; pour abattre un éléphant, il faut justifier de sa férocité. Les communautés riveraines des aires protégées au Burkina Faso, dans leur ensemble, ne mènent pas de représailles contre les éléphants, lorsque ceux-ci occasionnent des dégâts dans leurs champs. Le tableau A présente les sites où ont été rapportés des conflits Hommes-Éléphants dans le complexe PONASI ainsi que dans le corridor Nazinga- Parc National des 2 Balés.</w:t>
      </w:r>
    </w:p>
    <w:p w14:paraId="6A57958D" w14:textId="77777777" w:rsidR="00302BFE" w:rsidRPr="000E52FB" w:rsidRDefault="00302BFE" w:rsidP="00302BFE">
      <w:pPr>
        <w:pStyle w:val="Paragraphedeliste"/>
        <w:tabs>
          <w:tab w:val="left" w:pos="284"/>
        </w:tabs>
        <w:spacing w:before="120" w:after="120"/>
        <w:ind w:left="0"/>
        <w:jc w:val="both"/>
        <w:rPr>
          <w:rFonts w:ascii="Calibri" w:hAnsi="Calibri"/>
          <w:sz w:val="20"/>
          <w:szCs w:val="20"/>
          <w:lang w:val="fr-CA"/>
        </w:rPr>
      </w:pPr>
      <w:r w:rsidRPr="000E52FB">
        <w:rPr>
          <w:rFonts w:ascii="Calibri" w:hAnsi="Calibri"/>
          <w:sz w:val="20"/>
          <w:szCs w:val="20"/>
          <w:lang w:val="fr-CA"/>
        </w:rPr>
        <w:t>Les communautés ont été sensibilisées par les services forestiers sur la nécessité de protéger les éléphants, particulièrement lors de la création des corridors. Au Burkina Faso, dans certaines aires protégées comme le Parc National des 2 Balés, on a enseigné aux producteurs la technique des "barrières à piment". En dehors de ces zones, et dans le complexe PONASI, on utilise les techniques "traditionnelles" de modération des conflits (refoulement et évitement), comme les manifestations sonores avec les récipients avec plus ou moins de succès. Les autres techniques comme l’installation de fil de fer, de branchages ou de cordes autour des parcelles, allumage de feu à l'approche des éléphants, présence aux champs pendant les nuits précédant la récolte et manifestations sonores (cris, sifflements, tambours et instruments de cuisine, boîtes de conserve ou clochettes...) ne sont pas bien connues dans l’aire paysagère PONASI.</w:t>
      </w:r>
    </w:p>
    <w:p w14:paraId="3D11335D" w14:textId="77777777" w:rsidR="00302BFE" w:rsidRPr="000E52FB" w:rsidRDefault="00302BFE" w:rsidP="00302BFE">
      <w:pPr>
        <w:pStyle w:val="Paragraphedeliste"/>
        <w:tabs>
          <w:tab w:val="left" w:pos="284"/>
        </w:tabs>
        <w:spacing w:before="120" w:after="120"/>
        <w:ind w:left="0"/>
        <w:jc w:val="both"/>
        <w:rPr>
          <w:rFonts w:ascii="Calibri" w:eastAsia="Times New Roman" w:hAnsi="Calibri"/>
          <w:iCs/>
          <w:sz w:val="20"/>
          <w:szCs w:val="20"/>
          <w:lang w:val="fr-CA"/>
        </w:rPr>
      </w:pPr>
      <w:r w:rsidRPr="000E52FB">
        <w:rPr>
          <w:rFonts w:ascii="Calibri" w:hAnsi="Calibri"/>
          <w:sz w:val="20"/>
          <w:szCs w:val="20"/>
          <w:lang w:val="fr-CA"/>
        </w:rPr>
        <w:t>La conservation et la gestion de la faune sont confiées à la Direction de l’eau et des forêts du Ministère de l’environnement. Bien que la loi prévoie une indemnisation pour les dommages matériels, les dommages corporels ou le décès, le processus de contrôle et d’approbation des réclamations est centralisé au sein d’un comité national qui se réunit seulement deux fois par an. Une fois qu'un membre de la communauté a signalé le HWC, il doit être vérifié par les autorités locales, les rangers et les agents de l'agriculture, et les rapports doivent être envoyés au Comité national pour vérification. Ainsi, le processus est long et bureaucratique, le versement des indemnités est retardé pendant des années et le montant versé est très faible, voire inexistant. Les aires protégées et chaque district ont formé des équipes paramilitaires qui répondent aux incidents signalés de conflits homme-faune. Les gardes forestiers ou éco-gardes ont suivi une formation paramilitaire et une formation spécialisée en foresterie et en faune sauvage. Cependant, la rapidité de réaction aux conflits signalés est entravée par le manque de ressources, telles qu'un véhicule pour transporter les gardes forestiers. Les gardes forestiers mènent également des activités d'éducation et de sensibilisation à la conservation pour les communautés qui sont susceptibles de changer - avec le temps - la perception négative des populations à l'égard de la faune et de la flore dérivée de HWC. Parmi les autres mesures d'atténuation des conflits figurent les lois traditionnelles ou coutumières protégeant certaines espèces telles que les éléphants. De telles lois réduisent les meurtres d'éléphants par représailles à la suite des conflits homme-éléphant.</w:t>
      </w:r>
    </w:p>
    <w:p w14:paraId="57EC5B43" w14:textId="77777777" w:rsidR="00302BFE" w:rsidRPr="000E52FB" w:rsidRDefault="00302BFE" w:rsidP="00302BFE">
      <w:pPr>
        <w:pStyle w:val="Paragraphedeliste"/>
        <w:tabs>
          <w:tab w:val="left" w:pos="284"/>
        </w:tabs>
        <w:spacing w:before="120" w:after="120"/>
        <w:ind w:left="0"/>
        <w:jc w:val="both"/>
        <w:rPr>
          <w:rFonts w:ascii="Calibri" w:eastAsia="Times New Roman" w:hAnsi="Calibri"/>
          <w:iCs/>
          <w:sz w:val="20"/>
          <w:szCs w:val="20"/>
          <w:lang w:val="fr-CA"/>
        </w:rPr>
      </w:pPr>
      <w:r w:rsidRPr="000E52FB">
        <w:rPr>
          <w:rFonts w:ascii="Calibri" w:hAnsi="Calibri"/>
          <w:sz w:val="20"/>
          <w:szCs w:val="20"/>
          <w:lang w:val="fr-CA"/>
        </w:rPr>
        <w:t>Les victimes protestent surtout auprès des autorités locales et des services forestiers, qui s’organisent pour les repousser. Depuis 2017, les victimes sont dédommagées pour peu que les dégâts ne soient pas dans une aire protégée. Il n’y a pas d’assurances pour dédommager les victimes des conflits hommes-faune au Burkina, mais un processus impliquant une succession d’étapes. Le Procureur auprès du Tribunal de Grande Instance gère les cas où il y a mort humaine, après que la Gendarmerie Nationale ait établi les constats. Les dégâts occasionnés par la faune sont dédommagés à partir d’un fonds prévu à cette fin au niveau du Ministère en charge de l’Environnement. L’intéressé informe le Préfet, qui mobilise les agents publics pour établir les constats, et dresse ensuite un procès-verbal après présentation des estimations financières au Tribunal Départemental. Une fiche est alors remplie et envoyée à Ouagadougou pour paiement. Le Fonds peut décider de venir vérifier l’exactitude des estimations.</w:t>
      </w:r>
    </w:p>
    <w:p w14:paraId="2176096F" w14:textId="77777777" w:rsidR="00302BFE" w:rsidRPr="000E52FB" w:rsidRDefault="00302BFE" w:rsidP="00302BFE">
      <w:pPr>
        <w:spacing w:before="240"/>
        <w:rPr>
          <w:b/>
          <w:lang w:val="fr-CA"/>
        </w:rPr>
      </w:pPr>
      <w:r>
        <w:rPr>
          <w:b/>
          <w:szCs w:val="20"/>
          <w:lang w:val="fr-CA"/>
        </w:rPr>
        <w:br w:type="page"/>
      </w:r>
      <w:r w:rsidRPr="000E52FB">
        <w:rPr>
          <w:b/>
          <w:szCs w:val="20"/>
          <w:lang w:val="fr-CA"/>
        </w:rPr>
        <w:lastRenderedPageBreak/>
        <w:t>Tableau A. Sites des conflits Hommes-Éléphants dans le complexe PONASI ainsi que dans le corridor Nazinga-PN Deux-Balés</w:t>
      </w: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4602"/>
        <w:gridCol w:w="2710"/>
        <w:gridCol w:w="2340"/>
      </w:tblGrid>
      <w:tr w:rsidR="00302BFE" w:rsidRPr="00CF512D" w14:paraId="6C0E5DAC" w14:textId="77777777" w:rsidTr="00243B15">
        <w:trPr>
          <w:tblHeader/>
          <w:jc w:val="center"/>
        </w:trPr>
        <w:tc>
          <w:tcPr>
            <w:tcW w:w="1121" w:type="dxa"/>
            <w:shd w:val="clear" w:color="auto" w:fill="FFF2CC"/>
          </w:tcPr>
          <w:p w14:paraId="4854B6F9" w14:textId="77777777" w:rsidR="00302BFE" w:rsidRPr="00CF512D" w:rsidRDefault="00302BFE" w:rsidP="00243B15">
            <w:pPr>
              <w:spacing w:after="0"/>
              <w:rPr>
                <w:sz w:val="18"/>
                <w:szCs w:val="18"/>
              </w:rPr>
            </w:pPr>
            <w:r w:rsidRPr="00CF512D">
              <w:rPr>
                <w:sz w:val="18"/>
                <w:szCs w:val="18"/>
              </w:rPr>
              <w:t>Communes</w:t>
            </w:r>
          </w:p>
        </w:tc>
        <w:tc>
          <w:tcPr>
            <w:tcW w:w="4602" w:type="dxa"/>
            <w:shd w:val="clear" w:color="auto" w:fill="FFF2CC"/>
          </w:tcPr>
          <w:p w14:paraId="74FC4B84" w14:textId="77777777" w:rsidR="00302BFE" w:rsidRPr="00CF512D" w:rsidRDefault="00302BFE" w:rsidP="00243B15">
            <w:pPr>
              <w:spacing w:after="0"/>
              <w:rPr>
                <w:sz w:val="18"/>
                <w:szCs w:val="18"/>
              </w:rPr>
            </w:pPr>
            <w:r w:rsidRPr="00CF512D">
              <w:rPr>
                <w:sz w:val="18"/>
                <w:szCs w:val="18"/>
              </w:rPr>
              <w:t>Sites ou villages</w:t>
            </w:r>
          </w:p>
        </w:tc>
        <w:tc>
          <w:tcPr>
            <w:tcW w:w="2710" w:type="dxa"/>
            <w:shd w:val="clear" w:color="auto" w:fill="FFF2CC"/>
          </w:tcPr>
          <w:p w14:paraId="0DE9F7B9" w14:textId="77777777" w:rsidR="00302BFE" w:rsidRPr="00CF512D" w:rsidRDefault="00302BFE" w:rsidP="00243B15">
            <w:pPr>
              <w:spacing w:after="0"/>
              <w:rPr>
                <w:sz w:val="18"/>
                <w:szCs w:val="18"/>
              </w:rPr>
            </w:pPr>
            <w:r w:rsidRPr="00CF512D">
              <w:rPr>
                <w:sz w:val="18"/>
                <w:szCs w:val="18"/>
              </w:rPr>
              <w:t>Nature des conflits</w:t>
            </w:r>
          </w:p>
        </w:tc>
        <w:tc>
          <w:tcPr>
            <w:tcW w:w="2340" w:type="dxa"/>
            <w:shd w:val="clear" w:color="auto" w:fill="FFF2CC"/>
          </w:tcPr>
          <w:p w14:paraId="63D135EB" w14:textId="77777777" w:rsidR="00302BFE" w:rsidRPr="00CF512D" w:rsidRDefault="00302BFE" w:rsidP="00243B15">
            <w:pPr>
              <w:spacing w:after="0"/>
              <w:rPr>
                <w:sz w:val="18"/>
                <w:szCs w:val="18"/>
              </w:rPr>
            </w:pPr>
            <w:r w:rsidRPr="00CF512D">
              <w:rPr>
                <w:sz w:val="18"/>
                <w:szCs w:val="18"/>
              </w:rPr>
              <w:t>Impact</w:t>
            </w:r>
          </w:p>
        </w:tc>
      </w:tr>
      <w:tr w:rsidR="00302BFE" w:rsidRPr="00CF512D" w14:paraId="38626FC7" w14:textId="77777777" w:rsidTr="00243B15">
        <w:trPr>
          <w:jc w:val="center"/>
        </w:trPr>
        <w:tc>
          <w:tcPr>
            <w:tcW w:w="1121" w:type="dxa"/>
            <w:vMerge w:val="restart"/>
            <w:shd w:val="clear" w:color="auto" w:fill="auto"/>
          </w:tcPr>
          <w:p w14:paraId="7E2C7F80" w14:textId="77777777" w:rsidR="00302BFE" w:rsidRPr="00CF512D" w:rsidRDefault="00302BFE" w:rsidP="00243B15">
            <w:pPr>
              <w:spacing w:after="0"/>
              <w:rPr>
                <w:sz w:val="18"/>
                <w:szCs w:val="18"/>
              </w:rPr>
            </w:pPr>
            <w:r w:rsidRPr="00CF512D">
              <w:rPr>
                <w:sz w:val="18"/>
                <w:szCs w:val="18"/>
              </w:rPr>
              <w:t>Sapouy</w:t>
            </w:r>
          </w:p>
        </w:tc>
        <w:tc>
          <w:tcPr>
            <w:tcW w:w="4602" w:type="dxa"/>
            <w:shd w:val="clear" w:color="auto" w:fill="auto"/>
          </w:tcPr>
          <w:p w14:paraId="0C24409F" w14:textId="77777777" w:rsidR="00302BFE" w:rsidRPr="00CF512D" w:rsidRDefault="00302BFE" w:rsidP="00243B15">
            <w:pPr>
              <w:spacing w:after="0"/>
              <w:rPr>
                <w:sz w:val="18"/>
                <w:szCs w:val="18"/>
              </w:rPr>
            </w:pPr>
            <w:r w:rsidRPr="00CF512D">
              <w:rPr>
                <w:sz w:val="18"/>
                <w:szCs w:val="18"/>
              </w:rPr>
              <w:t>Baouiga</w:t>
            </w:r>
          </w:p>
        </w:tc>
        <w:tc>
          <w:tcPr>
            <w:tcW w:w="2710" w:type="dxa"/>
            <w:shd w:val="clear" w:color="auto" w:fill="auto"/>
          </w:tcPr>
          <w:p w14:paraId="65CFD59F" w14:textId="77777777" w:rsidR="00302BFE" w:rsidRPr="00CF512D" w:rsidRDefault="00302BFE" w:rsidP="00243B15">
            <w:pPr>
              <w:spacing w:after="0"/>
              <w:rPr>
                <w:sz w:val="18"/>
                <w:szCs w:val="18"/>
              </w:rPr>
            </w:pPr>
            <w:r w:rsidRPr="00CF512D">
              <w:rPr>
                <w:sz w:val="18"/>
                <w:szCs w:val="18"/>
              </w:rPr>
              <w:t>Hommes-Eléphants</w:t>
            </w:r>
          </w:p>
        </w:tc>
        <w:tc>
          <w:tcPr>
            <w:tcW w:w="2340" w:type="dxa"/>
            <w:shd w:val="clear" w:color="auto" w:fill="auto"/>
          </w:tcPr>
          <w:p w14:paraId="71432800" w14:textId="77777777" w:rsidR="00302BFE" w:rsidRPr="00CF512D" w:rsidRDefault="00302BFE" w:rsidP="00243B15">
            <w:pPr>
              <w:spacing w:after="0"/>
              <w:rPr>
                <w:sz w:val="18"/>
                <w:szCs w:val="18"/>
              </w:rPr>
            </w:pPr>
            <w:r w:rsidRPr="00CF512D">
              <w:rPr>
                <w:sz w:val="18"/>
                <w:szCs w:val="18"/>
              </w:rPr>
              <w:t>Mort d’homme</w:t>
            </w:r>
          </w:p>
        </w:tc>
      </w:tr>
      <w:tr w:rsidR="00302BFE" w:rsidRPr="00CF512D" w14:paraId="0859E105" w14:textId="77777777" w:rsidTr="00243B15">
        <w:trPr>
          <w:jc w:val="center"/>
        </w:trPr>
        <w:tc>
          <w:tcPr>
            <w:tcW w:w="1121" w:type="dxa"/>
            <w:vMerge/>
            <w:shd w:val="clear" w:color="auto" w:fill="auto"/>
          </w:tcPr>
          <w:p w14:paraId="3366EECC" w14:textId="77777777" w:rsidR="00302BFE" w:rsidRPr="00CF512D" w:rsidRDefault="00302BFE" w:rsidP="00243B15">
            <w:pPr>
              <w:spacing w:after="0"/>
              <w:rPr>
                <w:sz w:val="18"/>
                <w:szCs w:val="18"/>
              </w:rPr>
            </w:pPr>
          </w:p>
        </w:tc>
        <w:tc>
          <w:tcPr>
            <w:tcW w:w="4602" w:type="dxa"/>
            <w:shd w:val="clear" w:color="auto" w:fill="auto"/>
          </w:tcPr>
          <w:p w14:paraId="0EE3E938" w14:textId="77777777" w:rsidR="00302BFE" w:rsidRPr="00CF512D" w:rsidRDefault="00302BFE" w:rsidP="00243B15">
            <w:pPr>
              <w:spacing w:after="0"/>
              <w:rPr>
                <w:sz w:val="18"/>
                <w:szCs w:val="18"/>
              </w:rPr>
            </w:pPr>
            <w:r w:rsidRPr="00CF512D">
              <w:rPr>
                <w:sz w:val="18"/>
                <w:szCs w:val="18"/>
              </w:rPr>
              <w:t>Nadono, Tiaré</w:t>
            </w:r>
          </w:p>
        </w:tc>
        <w:tc>
          <w:tcPr>
            <w:tcW w:w="2710" w:type="dxa"/>
            <w:shd w:val="clear" w:color="auto" w:fill="auto"/>
          </w:tcPr>
          <w:p w14:paraId="5876CC67" w14:textId="77777777" w:rsidR="00302BFE" w:rsidRPr="00CF512D" w:rsidRDefault="00302BFE" w:rsidP="00243B15">
            <w:pPr>
              <w:spacing w:after="0"/>
              <w:rPr>
                <w:sz w:val="18"/>
                <w:szCs w:val="18"/>
              </w:rPr>
            </w:pPr>
            <w:r w:rsidRPr="00CF512D">
              <w:rPr>
                <w:sz w:val="18"/>
                <w:szCs w:val="18"/>
              </w:rPr>
              <w:t>Hommes-Eléphants</w:t>
            </w:r>
          </w:p>
        </w:tc>
        <w:tc>
          <w:tcPr>
            <w:tcW w:w="2340" w:type="dxa"/>
            <w:shd w:val="clear" w:color="auto" w:fill="auto"/>
          </w:tcPr>
          <w:p w14:paraId="608C7B0F" w14:textId="77777777" w:rsidR="00302BFE" w:rsidRPr="00CF512D" w:rsidRDefault="00302BFE" w:rsidP="00243B15">
            <w:pPr>
              <w:spacing w:after="0"/>
              <w:rPr>
                <w:sz w:val="18"/>
                <w:szCs w:val="18"/>
              </w:rPr>
            </w:pPr>
            <w:r w:rsidRPr="00CF512D">
              <w:rPr>
                <w:sz w:val="18"/>
                <w:szCs w:val="18"/>
              </w:rPr>
              <w:t>Présence seulement</w:t>
            </w:r>
          </w:p>
        </w:tc>
      </w:tr>
      <w:tr w:rsidR="00302BFE" w:rsidRPr="00CF512D" w14:paraId="35F562AE" w14:textId="77777777" w:rsidTr="00243B15">
        <w:trPr>
          <w:jc w:val="center"/>
        </w:trPr>
        <w:tc>
          <w:tcPr>
            <w:tcW w:w="1121" w:type="dxa"/>
            <w:vMerge/>
            <w:shd w:val="clear" w:color="auto" w:fill="auto"/>
          </w:tcPr>
          <w:p w14:paraId="7B1A25E0" w14:textId="77777777" w:rsidR="00302BFE" w:rsidRPr="00CF512D" w:rsidRDefault="00302BFE" w:rsidP="00243B15">
            <w:pPr>
              <w:spacing w:after="0"/>
              <w:rPr>
                <w:sz w:val="18"/>
                <w:szCs w:val="18"/>
              </w:rPr>
            </w:pPr>
          </w:p>
        </w:tc>
        <w:tc>
          <w:tcPr>
            <w:tcW w:w="4602" w:type="dxa"/>
            <w:shd w:val="clear" w:color="auto" w:fill="auto"/>
          </w:tcPr>
          <w:p w14:paraId="352BF0E5" w14:textId="77777777" w:rsidR="00302BFE" w:rsidRPr="00CF512D" w:rsidRDefault="00302BFE" w:rsidP="00243B15">
            <w:pPr>
              <w:spacing w:after="0"/>
              <w:rPr>
                <w:sz w:val="18"/>
                <w:szCs w:val="18"/>
              </w:rPr>
            </w:pPr>
            <w:r w:rsidRPr="00CF512D">
              <w:rPr>
                <w:sz w:val="18"/>
                <w:szCs w:val="18"/>
              </w:rPr>
              <w:t>Galo</w:t>
            </w:r>
          </w:p>
        </w:tc>
        <w:tc>
          <w:tcPr>
            <w:tcW w:w="2710" w:type="dxa"/>
            <w:shd w:val="clear" w:color="auto" w:fill="auto"/>
          </w:tcPr>
          <w:p w14:paraId="71C55808" w14:textId="77777777" w:rsidR="00302BFE" w:rsidRPr="00CF512D" w:rsidRDefault="00302BFE" w:rsidP="00243B15">
            <w:pPr>
              <w:spacing w:after="0"/>
              <w:rPr>
                <w:sz w:val="18"/>
                <w:szCs w:val="18"/>
              </w:rPr>
            </w:pPr>
            <w:r w:rsidRPr="00CF512D">
              <w:rPr>
                <w:sz w:val="18"/>
                <w:szCs w:val="18"/>
              </w:rPr>
              <w:t>Hommes-Eléphants</w:t>
            </w:r>
          </w:p>
        </w:tc>
        <w:tc>
          <w:tcPr>
            <w:tcW w:w="2340" w:type="dxa"/>
            <w:shd w:val="clear" w:color="auto" w:fill="auto"/>
          </w:tcPr>
          <w:p w14:paraId="3ACF18C0" w14:textId="77777777" w:rsidR="00302BFE" w:rsidRPr="00CF512D" w:rsidRDefault="00302BFE" w:rsidP="00243B15">
            <w:pPr>
              <w:spacing w:after="0"/>
              <w:rPr>
                <w:sz w:val="18"/>
                <w:szCs w:val="18"/>
              </w:rPr>
            </w:pPr>
            <w:r w:rsidRPr="00CF512D">
              <w:rPr>
                <w:sz w:val="18"/>
                <w:szCs w:val="18"/>
              </w:rPr>
              <w:t>Dégâts agricoles</w:t>
            </w:r>
          </w:p>
        </w:tc>
      </w:tr>
      <w:tr w:rsidR="00302BFE" w:rsidRPr="00CF512D" w14:paraId="38919DF4" w14:textId="77777777" w:rsidTr="00243B15">
        <w:trPr>
          <w:jc w:val="center"/>
        </w:trPr>
        <w:tc>
          <w:tcPr>
            <w:tcW w:w="1121" w:type="dxa"/>
            <w:vMerge w:val="restart"/>
            <w:shd w:val="clear" w:color="auto" w:fill="auto"/>
          </w:tcPr>
          <w:p w14:paraId="21D77A64" w14:textId="77777777" w:rsidR="00302BFE" w:rsidRPr="00CF512D" w:rsidRDefault="00302BFE" w:rsidP="00243B15">
            <w:pPr>
              <w:spacing w:after="0"/>
              <w:rPr>
                <w:sz w:val="18"/>
                <w:szCs w:val="18"/>
                <w:lang w:val="en-CA"/>
              </w:rPr>
            </w:pPr>
            <w:r w:rsidRPr="00CF512D">
              <w:rPr>
                <w:sz w:val="18"/>
                <w:szCs w:val="18"/>
                <w:lang w:val="en-CA"/>
              </w:rPr>
              <w:t>Guiaro</w:t>
            </w:r>
          </w:p>
        </w:tc>
        <w:tc>
          <w:tcPr>
            <w:tcW w:w="4602" w:type="dxa"/>
            <w:shd w:val="clear" w:color="auto" w:fill="auto"/>
          </w:tcPr>
          <w:p w14:paraId="627F0540" w14:textId="77777777" w:rsidR="00302BFE" w:rsidRPr="00CF512D" w:rsidRDefault="00302BFE" w:rsidP="00243B15">
            <w:pPr>
              <w:spacing w:after="0"/>
              <w:rPr>
                <w:sz w:val="18"/>
                <w:szCs w:val="18"/>
              </w:rPr>
            </w:pPr>
            <w:r w:rsidRPr="00CF512D">
              <w:rPr>
                <w:sz w:val="18"/>
                <w:szCs w:val="18"/>
              </w:rPr>
              <w:t>Saro, Boassa, Natiédougou, Koussaro,</w:t>
            </w:r>
          </w:p>
        </w:tc>
        <w:tc>
          <w:tcPr>
            <w:tcW w:w="2710" w:type="dxa"/>
            <w:shd w:val="clear" w:color="auto" w:fill="auto"/>
          </w:tcPr>
          <w:p w14:paraId="3DF9478F" w14:textId="77777777" w:rsidR="00302BFE" w:rsidRPr="00CF512D" w:rsidRDefault="00302BFE" w:rsidP="00243B15">
            <w:pPr>
              <w:spacing w:after="0"/>
              <w:rPr>
                <w:sz w:val="18"/>
                <w:szCs w:val="18"/>
              </w:rPr>
            </w:pPr>
            <w:r w:rsidRPr="00CF512D">
              <w:rPr>
                <w:sz w:val="18"/>
                <w:szCs w:val="18"/>
              </w:rPr>
              <w:t>Hommes-Eléphants</w:t>
            </w:r>
          </w:p>
        </w:tc>
        <w:tc>
          <w:tcPr>
            <w:tcW w:w="2340" w:type="dxa"/>
            <w:shd w:val="clear" w:color="auto" w:fill="auto"/>
          </w:tcPr>
          <w:p w14:paraId="1F3B1497" w14:textId="77777777" w:rsidR="00302BFE" w:rsidRPr="00CF512D" w:rsidRDefault="00302BFE" w:rsidP="00243B15">
            <w:pPr>
              <w:spacing w:after="0"/>
              <w:rPr>
                <w:sz w:val="18"/>
                <w:szCs w:val="18"/>
              </w:rPr>
            </w:pPr>
            <w:r w:rsidRPr="00CF512D">
              <w:rPr>
                <w:sz w:val="18"/>
                <w:szCs w:val="18"/>
              </w:rPr>
              <w:t>Dégâts agricoles</w:t>
            </w:r>
          </w:p>
        </w:tc>
      </w:tr>
      <w:tr w:rsidR="00302BFE" w:rsidRPr="00CF512D" w14:paraId="7CC001AD" w14:textId="77777777" w:rsidTr="00243B15">
        <w:trPr>
          <w:jc w:val="center"/>
        </w:trPr>
        <w:tc>
          <w:tcPr>
            <w:tcW w:w="1121" w:type="dxa"/>
            <w:vMerge/>
            <w:shd w:val="clear" w:color="auto" w:fill="auto"/>
          </w:tcPr>
          <w:p w14:paraId="45655CDA" w14:textId="77777777" w:rsidR="00302BFE" w:rsidRPr="00CF512D" w:rsidRDefault="00302BFE" w:rsidP="00243B15">
            <w:pPr>
              <w:spacing w:after="0"/>
              <w:rPr>
                <w:sz w:val="18"/>
                <w:szCs w:val="18"/>
              </w:rPr>
            </w:pPr>
          </w:p>
        </w:tc>
        <w:tc>
          <w:tcPr>
            <w:tcW w:w="4602" w:type="dxa"/>
            <w:shd w:val="clear" w:color="auto" w:fill="auto"/>
          </w:tcPr>
          <w:p w14:paraId="5CA7EE69" w14:textId="77777777" w:rsidR="00302BFE" w:rsidRPr="00CF512D" w:rsidRDefault="00302BFE" w:rsidP="00243B15">
            <w:pPr>
              <w:spacing w:after="0"/>
              <w:rPr>
                <w:sz w:val="18"/>
                <w:szCs w:val="18"/>
              </w:rPr>
            </w:pPr>
            <w:r w:rsidRPr="00CF512D">
              <w:rPr>
                <w:sz w:val="18"/>
                <w:szCs w:val="18"/>
              </w:rPr>
              <w:t>Kollo,</w:t>
            </w:r>
          </w:p>
        </w:tc>
        <w:tc>
          <w:tcPr>
            <w:tcW w:w="2710" w:type="dxa"/>
            <w:shd w:val="clear" w:color="auto" w:fill="auto"/>
          </w:tcPr>
          <w:p w14:paraId="31721C78" w14:textId="77777777" w:rsidR="00302BFE" w:rsidRPr="00CF512D" w:rsidRDefault="00302BFE" w:rsidP="00243B15">
            <w:pPr>
              <w:spacing w:after="0"/>
              <w:rPr>
                <w:sz w:val="18"/>
                <w:szCs w:val="18"/>
              </w:rPr>
            </w:pPr>
            <w:r w:rsidRPr="00CF512D">
              <w:rPr>
                <w:sz w:val="18"/>
                <w:szCs w:val="18"/>
              </w:rPr>
              <w:t>Hommes-Eléphants</w:t>
            </w:r>
          </w:p>
        </w:tc>
        <w:tc>
          <w:tcPr>
            <w:tcW w:w="2340" w:type="dxa"/>
            <w:shd w:val="clear" w:color="auto" w:fill="auto"/>
          </w:tcPr>
          <w:p w14:paraId="01BAF7C5" w14:textId="77777777" w:rsidR="00302BFE" w:rsidRPr="00CF512D" w:rsidRDefault="00302BFE" w:rsidP="00243B15">
            <w:pPr>
              <w:spacing w:after="0"/>
              <w:rPr>
                <w:sz w:val="18"/>
                <w:szCs w:val="18"/>
              </w:rPr>
            </w:pPr>
            <w:r w:rsidRPr="00CF512D">
              <w:rPr>
                <w:sz w:val="18"/>
                <w:szCs w:val="18"/>
              </w:rPr>
              <w:t>Un homme blessé</w:t>
            </w:r>
          </w:p>
        </w:tc>
      </w:tr>
      <w:tr w:rsidR="00302BFE" w:rsidRPr="00CF512D" w14:paraId="5B8D7080" w14:textId="77777777" w:rsidTr="00243B15">
        <w:trPr>
          <w:jc w:val="center"/>
        </w:trPr>
        <w:tc>
          <w:tcPr>
            <w:tcW w:w="1121" w:type="dxa"/>
            <w:vMerge/>
            <w:shd w:val="clear" w:color="auto" w:fill="auto"/>
          </w:tcPr>
          <w:p w14:paraId="6D0D4421" w14:textId="77777777" w:rsidR="00302BFE" w:rsidRPr="00CF512D" w:rsidRDefault="00302BFE" w:rsidP="00243B15">
            <w:pPr>
              <w:spacing w:after="0"/>
              <w:rPr>
                <w:sz w:val="18"/>
                <w:szCs w:val="18"/>
              </w:rPr>
            </w:pPr>
          </w:p>
        </w:tc>
        <w:tc>
          <w:tcPr>
            <w:tcW w:w="4602" w:type="dxa"/>
            <w:shd w:val="clear" w:color="auto" w:fill="auto"/>
          </w:tcPr>
          <w:p w14:paraId="30FBA7B1" w14:textId="77777777" w:rsidR="00302BFE" w:rsidRPr="00CF512D" w:rsidRDefault="00302BFE" w:rsidP="00243B15">
            <w:pPr>
              <w:spacing w:after="0"/>
              <w:rPr>
                <w:sz w:val="18"/>
                <w:szCs w:val="18"/>
              </w:rPr>
            </w:pPr>
            <w:r w:rsidRPr="00CF512D">
              <w:rPr>
                <w:sz w:val="18"/>
                <w:szCs w:val="18"/>
              </w:rPr>
              <w:t xml:space="preserve">Kollo </w:t>
            </w:r>
          </w:p>
        </w:tc>
        <w:tc>
          <w:tcPr>
            <w:tcW w:w="2710" w:type="dxa"/>
            <w:shd w:val="clear" w:color="auto" w:fill="auto"/>
          </w:tcPr>
          <w:p w14:paraId="415CF4F6" w14:textId="77777777" w:rsidR="00302BFE" w:rsidRPr="00CF512D" w:rsidRDefault="00302BFE" w:rsidP="00243B15">
            <w:pPr>
              <w:spacing w:after="0"/>
              <w:rPr>
                <w:sz w:val="18"/>
                <w:szCs w:val="18"/>
              </w:rPr>
            </w:pPr>
            <w:r w:rsidRPr="00CF512D">
              <w:rPr>
                <w:sz w:val="18"/>
                <w:szCs w:val="18"/>
              </w:rPr>
              <w:t>Hommes -Babouin</w:t>
            </w:r>
          </w:p>
        </w:tc>
        <w:tc>
          <w:tcPr>
            <w:tcW w:w="2340" w:type="dxa"/>
            <w:shd w:val="clear" w:color="auto" w:fill="auto"/>
          </w:tcPr>
          <w:p w14:paraId="262E5C08" w14:textId="77777777" w:rsidR="00302BFE" w:rsidRPr="00CF512D" w:rsidRDefault="00302BFE" w:rsidP="00243B15">
            <w:pPr>
              <w:spacing w:after="0"/>
              <w:rPr>
                <w:sz w:val="18"/>
                <w:szCs w:val="18"/>
              </w:rPr>
            </w:pPr>
            <w:r w:rsidRPr="00CF512D">
              <w:rPr>
                <w:sz w:val="18"/>
                <w:szCs w:val="18"/>
              </w:rPr>
              <w:t xml:space="preserve">Un homme mordu </w:t>
            </w:r>
          </w:p>
        </w:tc>
      </w:tr>
      <w:tr w:rsidR="00302BFE" w:rsidRPr="00CF512D" w14:paraId="78E2421E" w14:textId="77777777" w:rsidTr="00243B15">
        <w:trPr>
          <w:jc w:val="center"/>
        </w:trPr>
        <w:tc>
          <w:tcPr>
            <w:tcW w:w="1121" w:type="dxa"/>
            <w:vMerge/>
            <w:shd w:val="clear" w:color="auto" w:fill="auto"/>
          </w:tcPr>
          <w:p w14:paraId="5C21D748" w14:textId="77777777" w:rsidR="00302BFE" w:rsidRPr="00CF512D" w:rsidRDefault="00302BFE" w:rsidP="00243B15">
            <w:pPr>
              <w:spacing w:after="0"/>
              <w:rPr>
                <w:sz w:val="18"/>
                <w:szCs w:val="18"/>
              </w:rPr>
            </w:pPr>
          </w:p>
        </w:tc>
        <w:tc>
          <w:tcPr>
            <w:tcW w:w="4602" w:type="dxa"/>
            <w:shd w:val="clear" w:color="auto" w:fill="auto"/>
          </w:tcPr>
          <w:p w14:paraId="194CDDDE" w14:textId="77777777" w:rsidR="00302BFE" w:rsidRPr="00CF512D" w:rsidRDefault="00302BFE" w:rsidP="00243B15">
            <w:pPr>
              <w:spacing w:after="0"/>
              <w:rPr>
                <w:sz w:val="18"/>
                <w:szCs w:val="18"/>
              </w:rPr>
            </w:pPr>
            <w:r w:rsidRPr="00CF512D">
              <w:rPr>
                <w:sz w:val="18"/>
                <w:szCs w:val="18"/>
              </w:rPr>
              <w:t>Sia</w:t>
            </w:r>
          </w:p>
        </w:tc>
        <w:tc>
          <w:tcPr>
            <w:tcW w:w="2710" w:type="dxa"/>
            <w:shd w:val="clear" w:color="auto" w:fill="auto"/>
          </w:tcPr>
          <w:p w14:paraId="34E85907" w14:textId="77777777" w:rsidR="00302BFE" w:rsidRPr="00CF512D" w:rsidRDefault="00302BFE" w:rsidP="00243B15">
            <w:pPr>
              <w:spacing w:after="0"/>
              <w:rPr>
                <w:sz w:val="18"/>
                <w:szCs w:val="18"/>
              </w:rPr>
            </w:pPr>
            <w:r w:rsidRPr="00CF512D">
              <w:rPr>
                <w:sz w:val="18"/>
                <w:szCs w:val="18"/>
              </w:rPr>
              <w:t>Babouin-Animaux domestiques</w:t>
            </w:r>
          </w:p>
        </w:tc>
        <w:tc>
          <w:tcPr>
            <w:tcW w:w="2340" w:type="dxa"/>
            <w:shd w:val="clear" w:color="auto" w:fill="auto"/>
          </w:tcPr>
          <w:p w14:paraId="50AC310B" w14:textId="77777777" w:rsidR="00302BFE" w:rsidRPr="00CF512D" w:rsidRDefault="00302BFE" w:rsidP="00243B15">
            <w:pPr>
              <w:spacing w:after="0"/>
              <w:rPr>
                <w:sz w:val="18"/>
                <w:szCs w:val="18"/>
              </w:rPr>
            </w:pPr>
            <w:r w:rsidRPr="00CF512D">
              <w:rPr>
                <w:sz w:val="18"/>
                <w:szCs w:val="18"/>
              </w:rPr>
              <w:t xml:space="preserve">Poulets et chèvres dévorés </w:t>
            </w:r>
          </w:p>
        </w:tc>
      </w:tr>
      <w:tr w:rsidR="00302BFE" w:rsidRPr="00CF512D" w14:paraId="18EB2FB5" w14:textId="77777777" w:rsidTr="00243B15">
        <w:trPr>
          <w:jc w:val="center"/>
        </w:trPr>
        <w:tc>
          <w:tcPr>
            <w:tcW w:w="1121" w:type="dxa"/>
            <w:vMerge/>
            <w:shd w:val="clear" w:color="auto" w:fill="auto"/>
          </w:tcPr>
          <w:p w14:paraId="1B0F71E9" w14:textId="77777777" w:rsidR="00302BFE" w:rsidRPr="00CF512D" w:rsidRDefault="00302BFE" w:rsidP="00243B15">
            <w:pPr>
              <w:spacing w:after="0"/>
              <w:rPr>
                <w:sz w:val="18"/>
                <w:szCs w:val="18"/>
              </w:rPr>
            </w:pPr>
          </w:p>
        </w:tc>
        <w:tc>
          <w:tcPr>
            <w:tcW w:w="4602" w:type="dxa"/>
            <w:shd w:val="clear" w:color="auto" w:fill="auto"/>
          </w:tcPr>
          <w:p w14:paraId="3A91B89C" w14:textId="77777777" w:rsidR="00302BFE" w:rsidRPr="004E072E" w:rsidRDefault="00302BFE" w:rsidP="00243B15">
            <w:pPr>
              <w:spacing w:after="0"/>
              <w:rPr>
                <w:sz w:val="18"/>
                <w:szCs w:val="18"/>
                <w:lang w:val="pt-PT"/>
              </w:rPr>
            </w:pPr>
            <w:r w:rsidRPr="004E072E">
              <w:rPr>
                <w:sz w:val="18"/>
                <w:szCs w:val="18"/>
                <w:lang w:val="pt-PT"/>
              </w:rPr>
              <w:t>Saro, Koumbili, Sia, Natiédougou, Boassa, Kountioro, Walem, Tiakané, Nessaré, Kadro, Bétaré,</w:t>
            </w:r>
          </w:p>
        </w:tc>
        <w:tc>
          <w:tcPr>
            <w:tcW w:w="2710" w:type="dxa"/>
            <w:shd w:val="clear" w:color="auto" w:fill="auto"/>
          </w:tcPr>
          <w:p w14:paraId="0363FEA9" w14:textId="77777777" w:rsidR="00302BFE" w:rsidRPr="00CF512D" w:rsidRDefault="00302BFE" w:rsidP="00243B15">
            <w:pPr>
              <w:spacing w:after="0"/>
              <w:rPr>
                <w:sz w:val="18"/>
                <w:szCs w:val="18"/>
              </w:rPr>
            </w:pPr>
            <w:r w:rsidRPr="00CF512D">
              <w:rPr>
                <w:sz w:val="18"/>
                <w:szCs w:val="18"/>
              </w:rPr>
              <w:t>Hommes-Eléphants</w:t>
            </w:r>
          </w:p>
        </w:tc>
        <w:tc>
          <w:tcPr>
            <w:tcW w:w="2340" w:type="dxa"/>
            <w:shd w:val="clear" w:color="auto" w:fill="auto"/>
          </w:tcPr>
          <w:p w14:paraId="2E2D3F89" w14:textId="77777777" w:rsidR="00302BFE" w:rsidRPr="00CF512D" w:rsidRDefault="00302BFE" w:rsidP="00243B15">
            <w:pPr>
              <w:spacing w:after="0"/>
              <w:rPr>
                <w:sz w:val="18"/>
                <w:szCs w:val="18"/>
              </w:rPr>
            </w:pPr>
            <w:r w:rsidRPr="00CF512D">
              <w:rPr>
                <w:sz w:val="18"/>
                <w:szCs w:val="18"/>
              </w:rPr>
              <w:t>Dégâts agricoles</w:t>
            </w:r>
          </w:p>
        </w:tc>
      </w:tr>
      <w:tr w:rsidR="00302BFE" w:rsidRPr="00CF512D" w14:paraId="0C221E88" w14:textId="77777777" w:rsidTr="00243B15">
        <w:trPr>
          <w:jc w:val="center"/>
        </w:trPr>
        <w:tc>
          <w:tcPr>
            <w:tcW w:w="1121" w:type="dxa"/>
            <w:vMerge/>
            <w:shd w:val="clear" w:color="auto" w:fill="auto"/>
          </w:tcPr>
          <w:p w14:paraId="1191EA6E" w14:textId="77777777" w:rsidR="00302BFE" w:rsidRPr="00CF512D" w:rsidRDefault="00302BFE" w:rsidP="00243B15">
            <w:pPr>
              <w:spacing w:after="0"/>
              <w:rPr>
                <w:sz w:val="18"/>
                <w:szCs w:val="18"/>
              </w:rPr>
            </w:pPr>
          </w:p>
        </w:tc>
        <w:tc>
          <w:tcPr>
            <w:tcW w:w="4602" w:type="dxa"/>
            <w:shd w:val="clear" w:color="auto" w:fill="auto"/>
          </w:tcPr>
          <w:p w14:paraId="25DB2FDD" w14:textId="77777777" w:rsidR="00302BFE" w:rsidRPr="00CF512D" w:rsidRDefault="00302BFE" w:rsidP="00243B15">
            <w:pPr>
              <w:spacing w:after="0"/>
              <w:rPr>
                <w:sz w:val="18"/>
                <w:szCs w:val="18"/>
                <w:lang w:val="fr-CA"/>
              </w:rPr>
            </w:pPr>
            <w:r w:rsidRPr="00CF512D">
              <w:rPr>
                <w:sz w:val="18"/>
                <w:szCs w:val="18"/>
                <w:lang w:val="fr-CA"/>
              </w:rPr>
              <w:t>Natiédougou et tous les villages riverains</w:t>
            </w:r>
          </w:p>
        </w:tc>
        <w:tc>
          <w:tcPr>
            <w:tcW w:w="2710" w:type="dxa"/>
            <w:shd w:val="clear" w:color="auto" w:fill="auto"/>
          </w:tcPr>
          <w:p w14:paraId="64C80A13" w14:textId="77777777" w:rsidR="00302BFE" w:rsidRPr="00CF512D" w:rsidRDefault="00302BFE" w:rsidP="00243B15">
            <w:pPr>
              <w:spacing w:after="0"/>
              <w:rPr>
                <w:sz w:val="18"/>
                <w:szCs w:val="18"/>
              </w:rPr>
            </w:pPr>
            <w:r w:rsidRPr="00CF512D">
              <w:rPr>
                <w:sz w:val="18"/>
                <w:szCs w:val="18"/>
              </w:rPr>
              <w:t>Hommes-Patas</w:t>
            </w:r>
          </w:p>
        </w:tc>
        <w:tc>
          <w:tcPr>
            <w:tcW w:w="2340" w:type="dxa"/>
            <w:shd w:val="clear" w:color="auto" w:fill="auto"/>
          </w:tcPr>
          <w:p w14:paraId="69375E1B" w14:textId="77777777" w:rsidR="00302BFE" w:rsidRPr="00CF512D" w:rsidRDefault="00302BFE" w:rsidP="00243B15">
            <w:pPr>
              <w:spacing w:after="0"/>
              <w:rPr>
                <w:sz w:val="18"/>
                <w:szCs w:val="18"/>
              </w:rPr>
            </w:pPr>
            <w:r w:rsidRPr="00CF512D">
              <w:rPr>
                <w:sz w:val="18"/>
                <w:szCs w:val="18"/>
              </w:rPr>
              <w:t>Dégâts agricoles</w:t>
            </w:r>
          </w:p>
        </w:tc>
      </w:tr>
      <w:tr w:rsidR="00302BFE" w:rsidRPr="00CF512D" w14:paraId="6EEC821B" w14:textId="77777777" w:rsidTr="00243B15">
        <w:trPr>
          <w:jc w:val="center"/>
        </w:trPr>
        <w:tc>
          <w:tcPr>
            <w:tcW w:w="1121" w:type="dxa"/>
            <w:vMerge/>
            <w:shd w:val="clear" w:color="auto" w:fill="auto"/>
          </w:tcPr>
          <w:p w14:paraId="13FA1064" w14:textId="77777777" w:rsidR="00302BFE" w:rsidRPr="00CF512D" w:rsidRDefault="00302BFE" w:rsidP="00243B15">
            <w:pPr>
              <w:spacing w:after="0"/>
              <w:rPr>
                <w:sz w:val="18"/>
                <w:szCs w:val="18"/>
              </w:rPr>
            </w:pPr>
          </w:p>
        </w:tc>
        <w:tc>
          <w:tcPr>
            <w:tcW w:w="4602" w:type="dxa"/>
            <w:shd w:val="clear" w:color="auto" w:fill="auto"/>
          </w:tcPr>
          <w:p w14:paraId="7B537CA7" w14:textId="77777777" w:rsidR="00302BFE" w:rsidRPr="00CF512D" w:rsidRDefault="00302BFE" w:rsidP="00243B15">
            <w:pPr>
              <w:spacing w:after="0"/>
              <w:rPr>
                <w:sz w:val="18"/>
                <w:szCs w:val="18"/>
              </w:rPr>
            </w:pPr>
            <w:r w:rsidRPr="00CF512D">
              <w:rPr>
                <w:sz w:val="18"/>
                <w:szCs w:val="18"/>
              </w:rPr>
              <w:t>Bétaré</w:t>
            </w:r>
          </w:p>
        </w:tc>
        <w:tc>
          <w:tcPr>
            <w:tcW w:w="2710" w:type="dxa"/>
            <w:shd w:val="clear" w:color="auto" w:fill="auto"/>
          </w:tcPr>
          <w:p w14:paraId="4CE218F0" w14:textId="77777777" w:rsidR="00302BFE" w:rsidRPr="00CF512D" w:rsidRDefault="00302BFE" w:rsidP="00243B15">
            <w:pPr>
              <w:spacing w:after="0"/>
              <w:rPr>
                <w:sz w:val="18"/>
                <w:szCs w:val="18"/>
              </w:rPr>
            </w:pPr>
            <w:r w:rsidRPr="00CF512D">
              <w:rPr>
                <w:sz w:val="18"/>
                <w:szCs w:val="18"/>
              </w:rPr>
              <w:t>Hommes-Oiseaux</w:t>
            </w:r>
          </w:p>
        </w:tc>
        <w:tc>
          <w:tcPr>
            <w:tcW w:w="2340" w:type="dxa"/>
            <w:shd w:val="clear" w:color="auto" w:fill="auto"/>
          </w:tcPr>
          <w:p w14:paraId="18E39C36" w14:textId="77777777" w:rsidR="00302BFE" w:rsidRPr="00CF512D" w:rsidRDefault="00302BFE" w:rsidP="00243B15">
            <w:pPr>
              <w:spacing w:after="0"/>
              <w:rPr>
                <w:sz w:val="18"/>
                <w:szCs w:val="18"/>
              </w:rPr>
            </w:pPr>
            <w:r w:rsidRPr="00CF512D">
              <w:rPr>
                <w:sz w:val="18"/>
                <w:szCs w:val="18"/>
              </w:rPr>
              <w:t>Dégâts agricoles</w:t>
            </w:r>
          </w:p>
        </w:tc>
      </w:tr>
      <w:tr w:rsidR="00302BFE" w:rsidRPr="00CF512D" w14:paraId="59830A1E" w14:textId="77777777" w:rsidTr="00243B15">
        <w:trPr>
          <w:jc w:val="center"/>
        </w:trPr>
        <w:tc>
          <w:tcPr>
            <w:tcW w:w="1121" w:type="dxa"/>
            <w:vMerge w:val="restart"/>
            <w:shd w:val="clear" w:color="auto" w:fill="auto"/>
          </w:tcPr>
          <w:p w14:paraId="02483262" w14:textId="77777777" w:rsidR="00302BFE" w:rsidRPr="00CF512D" w:rsidRDefault="00302BFE" w:rsidP="00243B15">
            <w:pPr>
              <w:spacing w:after="0"/>
              <w:rPr>
                <w:sz w:val="18"/>
                <w:szCs w:val="18"/>
              </w:rPr>
            </w:pPr>
            <w:r w:rsidRPr="00CF512D">
              <w:rPr>
                <w:sz w:val="18"/>
                <w:szCs w:val="18"/>
              </w:rPr>
              <w:t>Ziou</w:t>
            </w:r>
          </w:p>
        </w:tc>
        <w:tc>
          <w:tcPr>
            <w:tcW w:w="4602" w:type="dxa"/>
            <w:shd w:val="clear" w:color="auto" w:fill="auto"/>
          </w:tcPr>
          <w:p w14:paraId="26C194B9" w14:textId="77777777" w:rsidR="00302BFE" w:rsidRPr="00CF512D" w:rsidRDefault="00302BFE" w:rsidP="00243B15">
            <w:pPr>
              <w:spacing w:after="0"/>
              <w:rPr>
                <w:sz w:val="18"/>
                <w:szCs w:val="18"/>
                <w:lang w:val="fr-CA"/>
              </w:rPr>
            </w:pPr>
            <w:r w:rsidRPr="00CF512D">
              <w:rPr>
                <w:sz w:val="18"/>
                <w:szCs w:val="18"/>
                <w:lang w:val="fr-CA"/>
              </w:rPr>
              <w:t>Mantiongo, Pingou, Tanpelga, Mouna et Yelbici</w:t>
            </w:r>
          </w:p>
        </w:tc>
        <w:tc>
          <w:tcPr>
            <w:tcW w:w="2710" w:type="dxa"/>
            <w:shd w:val="clear" w:color="auto" w:fill="auto"/>
          </w:tcPr>
          <w:p w14:paraId="6B733CBF" w14:textId="77777777" w:rsidR="00302BFE" w:rsidRPr="00CF512D" w:rsidRDefault="00302BFE" w:rsidP="00243B15">
            <w:pPr>
              <w:spacing w:after="0"/>
              <w:rPr>
                <w:sz w:val="18"/>
                <w:szCs w:val="18"/>
              </w:rPr>
            </w:pPr>
            <w:r w:rsidRPr="00CF512D">
              <w:rPr>
                <w:sz w:val="18"/>
                <w:szCs w:val="18"/>
              </w:rPr>
              <w:t>Hommes-Eléphants</w:t>
            </w:r>
          </w:p>
        </w:tc>
        <w:tc>
          <w:tcPr>
            <w:tcW w:w="2340" w:type="dxa"/>
            <w:shd w:val="clear" w:color="auto" w:fill="auto"/>
          </w:tcPr>
          <w:p w14:paraId="3EEE5D6E" w14:textId="77777777" w:rsidR="00302BFE" w:rsidRPr="00CF512D" w:rsidRDefault="00302BFE" w:rsidP="00243B15">
            <w:pPr>
              <w:spacing w:after="0"/>
              <w:rPr>
                <w:sz w:val="18"/>
                <w:szCs w:val="18"/>
              </w:rPr>
            </w:pPr>
            <w:r w:rsidRPr="00CF512D">
              <w:rPr>
                <w:sz w:val="18"/>
                <w:szCs w:val="18"/>
              </w:rPr>
              <w:t>Dégâts agricoles</w:t>
            </w:r>
          </w:p>
        </w:tc>
      </w:tr>
      <w:tr w:rsidR="00302BFE" w:rsidRPr="00CF512D" w14:paraId="7473E2AF" w14:textId="77777777" w:rsidTr="00243B15">
        <w:trPr>
          <w:jc w:val="center"/>
        </w:trPr>
        <w:tc>
          <w:tcPr>
            <w:tcW w:w="1121" w:type="dxa"/>
            <w:vMerge/>
            <w:shd w:val="clear" w:color="auto" w:fill="auto"/>
          </w:tcPr>
          <w:p w14:paraId="132813D7" w14:textId="77777777" w:rsidR="00302BFE" w:rsidRPr="00CF512D" w:rsidRDefault="00302BFE" w:rsidP="00243B15">
            <w:pPr>
              <w:spacing w:after="0"/>
              <w:rPr>
                <w:sz w:val="18"/>
                <w:szCs w:val="18"/>
              </w:rPr>
            </w:pPr>
          </w:p>
        </w:tc>
        <w:tc>
          <w:tcPr>
            <w:tcW w:w="4602" w:type="dxa"/>
            <w:shd w:val="clear" w:color="auto" w:fill="auto"/>
          </w:tcPr>
          <w:p w14:paraId="038DEB03" w14:textId="77777777" w:rsidR="00302BFE" w:rsidRPr="00CF512D" w:rsidRDefault="00302BFE" w:rsidP="00243B15">
            <w:pPr>
              <w:spacing w:after="0"/>
              <w:rPr>
                <w:sz w:val="18"/>
                <w:szCs w:val="18"/>
              </w:rPr>
            </w:pPr>
            <w:r w:rsidRPr="00CF512D">
              <w:rPr>
                <w:sz w:val="18"/>
                <w:szCs w:val="18"/>
              </w:rPr>
              <w:t>corridor n°2</w:t>
            </w:r>
          </w:p>
        </w:tc>
        <w:tc>
          <w:tcPr>
            <w:tcW w:w="2710" w:type="dxa"/>
            <w:shd w:val="clear" w:color="auto" w:fill="auto"/>
          </w:tcPr>
          <w:p w14:paraId="767D85A3" w14:textId="77777777" w:rsidR="00302BFE" w:rsidRPr="00CF512D" w:rsidRDefault="00302BFE" w:rsidP="00243B15">
            <w:pPr>
              <w:spacing w:after="0"/>
              <w:rPr>
                <w:sz w:val="18"/>
                <w:szCs w:val="18"/>
              </w:rPr>
            </w:pPr>
            <w:r w:rsidRPr="00CF512D">
              <w:rPr>
                <w:sz w:val="18"/>
                <w:szCs w:val="18"/>
              </w:rPr>
              <w:t>Homme-Eléphants</w:t>
            </w:r>
          </w:p>
        </w:tc>
        <w:tc>
          <w:tcPr>
            <w:tcW w:w="2340" w:type="dxa"/>
            <w:shd w:val="clear" w:color="auto" w:fill="auto"/>
          </w:tcPr>
          <w:p w14:paraId="487CBD38" w14:textId="77777777" w:rsidR="00302BFE" w:rsidRPr="00CF512D" w:rsidRDefault="00302BFE" w:rsidP="00243B15">
            <w:pPr>
              <w:spacing w:after="0"/>
              <w:rPr>
                <w:sz w:val="18"/>
                <w:szCs w:val="18"/>
              </w:rPr>
            </w:pPr>
            <w:r w:rsidRPr="00CF512D">
              <w:rPr>
                <w:sz w:val="18"/>
                <w:szCs w:val="18"/>
              </w:rPr>
              <w:t>Mort d’homme</w:t>
            </w:r>
          </w:p>
        </w:tc>
      </w:tr>
      <w:tr w:rsidR="00302BFE" w:rsidRPr="00CF512D" w14:paraId="6A027188" w14:textId="77777777" w:rsidTr="00243B15">
        <w:trPr>
          <w:jc w:val="center"/>
        </w:trPr>
        <w:tc>
          <w:tcPr>
            <w:tcW w:w="1121" w:type="dxa"/>
            <w:vMerge w:val="restart"/>
            <w:shd w:val="clear" w:color="auto" w:fill="auto"/>
          </w:tcPr>
          <w:p w14:paraId="1CCC4F82" w14:textId="77777777" w:rsidR="00302BFE" w:rsidRPr="00CF512D" w:rsidRDefault="00302BFE" w:rsidP="00243B15">
            <w:pPr>
              <w:spacing w:after="0"/>
              <w:rPr>
                <w:sz w:val="18"/>
                <w:szCs w:val="18"/>
              </w:rPr>
            </w:pPr>
            <w:r w:rsidRPr="00CF512D">
              <w:rPr>
                <w:sz w:val="18"/>
                <w:szCs w:val="18"/>
              </w:rPr>
              <w:t>Nobéré</w:t>
            </w:r>
          </w:p>
        </w:tc>
        <w:tc>
          <w:tcPr>
            <w:tcW w:w="4602" w:type="dxa"/>
            <w:shd w:val="clear" w:color="auto" w:fill="auto"/>
          </w:tcPr>
          <w:p w14:paraId="6512F27C" w14:textId="77777777" w:rsidR="00302BFE" w:rsidRPr="00CF512D" w:rsidRDefault="00302BFE" w:rsidP="00243B15">
            <w:pPr>
              <w:spacing w:after="0"/>
              <w:rPr>
                <w:sz w:val="18"/>
                <w:szCs w:val="18"/>
              </w:rPr>
            </w:pPr>
            <w:r w:rsidRPr="00CF512D">
              <w:rPr>
                <w:sz w:val="18"/>
                <w:szCs w:val="18"/>
              </w:rPr>
              <w:t>Nobéré (PNKT)</w:t>
            </w:r>
          </w:p>
        </w:tc>
        <w:tc>
          <w:tcPr>
            <w:tcW w:w="2710" w:type="dxa"/>
            <w:shd w:val="clear" w:color="auto" w:fill="auto"/>
          </w:tcPr>
          <w:p w14:paraId="22ED6B18" w14:textId="77777777" w:rsidR="00302BFE" w:rsidRPr="00CF512D" w:rsidRDefault="00302BFE" w:rsidP="00243B15">
            <w:pPr>
              <w:spacing w:after="0"/>
              <w:rPr>
                <w:sz w:val="18"/>
                <w:szCs w:val="18"/>
              </w:rPr>
            </w:pPr>
            <w:r w:rsidRPr="00CF512D">
              <w:rPr>
                <w:sz w:val="18"/>
                <w:szCs w:val="18"/>
              </w:rPr>
              <w:t>Hommes-Eléphants</w:t>
            </w:r>
          </w:p>
        </w:tc>
        <w:tc>
          <w:tcPr>
            <w:tcW w:w="2340" w:type="dxa"/>
            <w:shd w:val="clear" w:color="auto" w:fill="auto"/>
          </w:tcPr>
          <w:p w14:paraId="09324EB7" w14:textId="77777777" w:rsidR="00302BFE" w:rsidRPr="00CF512D" w:rsidRDefault="00302BFE" w:rsidP="00243B15">
            <w:pPr>
              <w:spacing w:after="0"/>
              <w:rPr>
                <w:sz w:val="18"/>
                <w:szCs w:val="18"/>
              </w:rPr>
            </w:pPr>
            <w:r w:rsidRPr="00CF512D">
              <w:rPr>
                <w:sz w:val="18"/>
                <w:szCs w:val="18"/>
              </w:rPr>
              <w:t xml:space="preserve">4 morts d’hommes </w:t>
            </w:r>
            <w:r w:rsidRPr="00091F0E">
              <w:rPr>
                <w:sz w:val="16"/>
                <w:szCs w:val="16"/>
              </w:rPr>
              <w:t>2016-2017</w:t>
            </w:r>
          </w:p>
        </w:tc>
      </w:tr>
      <w:tr w:rsidR="00302BFE" w:rsidRPr="00CF512D" w14:paraId="5EC47D1F" w14:textId="77777777" w:rsidTr="00243B15">
        <w:trPr>
          <w:jc w:val="center"/>
        </w:trPr>
        <w:tc>
          <w:tcPr>
            <w:tcW w:w="1121" w:type="dxa"/>
            <w:vMerge/>
            <w:shd w:val="clear" w:color="auto" w:fill="auto"/>
          </w:tcPr>
          <w:p w14:paraId="7ACA714D" w14:textId="77777777" w:rsidR="00302BFE" w:rsidRPr="00CF512D" w:rsidRDefault="00302BFE" w:rsidP="00243B15">
            <w:pPr>
              <w:spacing w:after="0"/>
              <w:rPr>
                <w:sz w:val="18"/>
                <w:szCs w:val="18"/>
              </w:rPr>
            </w:pPr>
          </w:p>
        </w:tc>
        <w:tc>
          <w:tcPr>
            <w:tcW w:w="4602" w:type="dxa"/>
            <w:shd w:val="clear" w:color="auto" w:fill="auto"/>
          </w:tcPr>
          <w:p w14:paraId="4369A3B0" w14:textId="77777777" w:rsidR="00302BFE" w:rsidRPr="00CF512D" w:rsidRDefault="00302BFE" w:rsidP="00243B15">
            <w:pPr>
              <w:spacing w:after="0"/>
              <w:rPr>
                <w:sz w:val="18"/>
                <w:szCs w:val="18"/>
              </w:rPr>
            </w:pPr>
            <w:r w:rsidRPr="00CF512D">
              <w:rPr>
                <w:sz w:val="18"/>
                <w:szCs w:val="18"/>
              </w:rPr>
              <w:t>Yougouri, Baskoudré</w:t>
            </w:r>
          </w:p>
        </w:tc>
        <w:tc>
          <w:tcPr>
            <w:tcW w:w="2710" w:type="dxa"/>
            <w:shd w:val="clear" w:color="auto" w:fill="auto"/>
          </w:tcPr>
          <w:p w14:paraId="46B97592" w14:textId="77777777" w:rsidR="00302BFE" w:rsidRPr="00CF512D" w:rsidRDefault="00302BFE" w:rsidP="00243B15">
            <w:pPr>
              <w:spacing w:after="0"/>
              <w:rPr>
                <w:sz w:val="18"/>
                <w:szCs w:val="18"/>
              </w:rPr>
            </w:pPr>
            <w:r w:rsidRPr="00CF512D">
              <w:rPr>
                <w:sz w:val="18"/>
                <w:szCs w:val="18"/>
              </w:rPr>
              <w:t>Hommes-Eléphants</w:t>
            </w:r>
          </w:p>
        </w:tc>
        <w:tc>
          <w:tcPr>
            <w:tcW w:w="2340" w:type="dxa"/>
            <w:shd w:val="clear" w:color="auto" w:fill="auto"/>
          </w:tcPr>
          <w:p w14:paraId="53E04BB0" w14:textId="77777777" w:rsidR="00302BFE" w:rsidRPr="00CF512D" w:rsidRDefault="00302BFE" w:rsidP="00243B15">
            <w:pPr>
              <w:spacing w:after="0"/>
              <w:rPr>
                <w:sz w:val="18"/>
                <w:szCs w:val="18"/>
              </w:rPr>
            </w:pPr>
            <w:r w:rsidRPr="00CF512D">
              <w:rPr>
                <w:sz w:val="18"/>
                <w:szCs w:val="18"/>
              </w:rPr>
              <w:t>Dégâts agricoles</w:t>
            </w:r>
          </w:p>
        </w:tc>
      </w:tr>
      <w:tr w:rsidR="00302BFE" w:rsidRPr="00CF512D" w14:paraId="675F11CE" w14:textId="77777777" w:rsidTr="00243B15">
        <w:trPr>
          <w:jc w:val="center"/>
        </w:trPr>
        <w:tc>
          <w:tcPr>
            <w:tcW w:w="1121" w:type="dxa"/>
            <w:shd w:val="clear" w:color="auto" w:fill="auto"/>
          </w:tcPr>
          <w:p w14:paraId="3300F477" w14:textId="77777777" w:rsidR="00302BFE" w:rsidRPr="00CF512D" w:rsidRDefault="00302BFE" w:rsidP="00243B15">
            <w:pPr>
              <w:spacing w:after="0"/>
              <w:rPr>
                <w:sz w:val="18"/>
                <w:szCs w:val="18"/>
              </w:rPr>
            </w:pPr>
            <w:r w:rsidRPr="00CF512D">
              <w:rPr>
                <w:sz w:val="18"/>
                <w:szCs w:val="18"/>
              </w:rPr>
              <w:t>Tiébélé</w:t>
            </w:r>
          </w:p>
        </w:tc>
        <w:tc>
          <w:tcPr>
            <w:tcW w:w="4602" w:type="dxa"/>
            <w:shd w:val="clear" w:color="auto" w:fill="auto"/>
          </w:tcPr>
          <w:p w14:paraId="46AF49C7" w14:textId="77777777" w:rsidR="00302BFE" w:rsidRPr="004E072E" w:rsidRDefault="00302BFE" w:rsidP="00243B15">
            <w:pPr>
              <w:spacing w:after="0"/>
              <w:rPr>
                <w:sz w:val="18"/>
                <w:szCs w:val="18"/>
                <w:lang w:val="pt-PT"/>
              </w:rPr>
            </w:pPr>
            <w:r w:rsidRPr="004E072E">
              <w:rPr>
                <w:sz w:val="18"/>
                <w:szCs w:val="18"/>
                <w:lang w:val="pt-PT"/>
              </w:rPr>
              <w:t>Kiéba, Kabricobogo, Idenia/kora, villages AVV, Go, Dango, Dankoum</w:t>
            </w:r>
          </w:p>
        </w:tc>
        <w:tc>
          <w:tcPr>
            <w:tcW w:w="2710" w:type="dxa"/>
            <w:shd w:val="clear" w:color="auto" w:fill="auto"/>
          </w:tcPr>
          <w:p w14:paraId="4DAE3B3F" w14:textId="77777777" w:rsidR="00302BFE" w:rsidRPr="00CF512D" w:rsidRDefault="00302BFE" w:rsidP="00243B15">
            <w:pPr>
              <w:spacing w:after="0"/>
              <w:rPr>
                <w:sz w:val="18"/>
                <w:szCs w:val="18"/>
              </w:rPr>
            </w:pPr>
            <w:r w:rsidRPr="00CF512D">
              <w:rPr>
                <w:sz w:val="18"/>
                <w:szCs w:val="18"/>
              </w:rPr>
              <w:t>Hommes-Eléphants</w:t>
            </w:r>
          </w:p>
        </w:tc>
        <w:tc>
          <w:tcPr>
            <w:tcW w:w="2340" w:type="dxa"/>
            <w:shd w:val="clear" w:color="auto" w:fill="auto"/>
          </w:tcPr>
          <w:p w14:paraId="3023C591" w14:textId="77777777" w:rsidR="00302BFE" w:rsidRPr="00CF512D" w:rsidRDefault="00302BFE" w:rsidP="00243B15">
            <w:pPr>
              <w:spacing w:after="0"/>
              <w:rPr>
                <w:sz w:val="18"/>
                <w:szCs w:val="18"/>
              </w:rPr>
            </w:pPr>
            <w:r w:rsidRPr="00CF512D">
              <w:rPr>
                <w:sz w:val="18"/>
                <w:szCs w:val="18"/>
              </w:rPr>
              <w:t>Dégâts agricoles</w:t>
            </w:r>
          </w:p>
        </w:tc>
      </w:tr>
      <w:tr w:rsidR="00302BFE" w:rsidRPr="00CF512D" w14:paraId="12A7E3D1" w14:textId="77777777" w:rsidTr="00243B15">
        <w:trPr>
          <w:jc w:val="center"/>
        </w:trPr>
        <w:tc>
          <w:tcPr>
            <w:tcW w:w="1121" w:type="dxa"/>
            <w:shd w:val="clear" w:color="auto" w:fill="auto"/>
          </w:tcPr>
          <w:p w14:paraId="453B0CA3" w14:textId="77777777" w:rsidR="00302BFE" w:rsidRPr="00CF512D" w:rsidRDefault="00302BFE" w:rsidP="00243B15">
            <w:pPr>
              <w:spacing w:after="0"/>
              <w:rPr>
                <w:sz w:val="18"/>
                <w:szCs w:val="18"/>
              </w:rPr>
            </w:pPr>
            <w:r w:rsidRPr="00CF512D">
              <w:rPr>
                <w:sz w:val="18"/>
                <w:szCs w:val="18"/>
              </w:rPr>
              <w:t>Ipélcé</w:t>
            </w:r>
          </w:p>
        </w:tc>
        <w:tc>
          <w:tcPr>
            <w:tcW w:w="4602" w:type="dxa"/>
            <w:shd w:val="clear" w:color="auto" w:fill="auto"/>
          </w:tcPr>
          <w:p w14:paraId="0560AC46" w14:textId="77777777" w:rsidR="00302BFE" w:rsidRPr="004E072E" w:rsidRDefault="00302BFE" w:rsidP="00243B15">
            <w:pPr>
              <w:spacing w:after="0"/>
              <w:rPr>
                <w:sz w:val="18"/>
                <w:szCs w:val="18"/>
                <w:lang w:val="pt-PT"/>
              </w:rPr>
            </w:pPr>
            <w:r w:rsidRPr="004E072E">
              <w:rPr>
                <w:sz w:val="18"/>
                <w:szCs w:val="18"/>
                <w:lang w:val="pt-PT"/>
              </w:rPr>
              <w:t>Sabin, Siltougdo, Sambiri, Bandeba, Gibsi, Nayinsma</w:t>
            </w:r>
          </w:p>
        </w:tc>
        <w:tc>
          <w:tcPr>
            <w:tcW w:w="2710" w:type="dxa"/>
            <w:shd w:val="clear" w:color="auto" w:fill="auto"/>
          </w:tcPr>
          <w:p w14:paraId="68BDB1D9" w14:textId="77777777" w:rsidR="00302BFE" w:rsidRPr="00CF512D" w:rsidRDefault="00302BFE" w:rsidP="00243B15">
            <w:pPr>
              <w:spacing w:after="0"/>
              <w:rPr>
                <w:sz w:val="18"/>
                <w:szCs w:val="18"/>
              </w:rPr>
            </w:pPr>
            <w:r w:rsidRPr="00CF512D">
              <w:rPr>
                <w:sz w:val="18"/>
                <w:szCs w:val="18"/>
              </w:rPr>
              <w:t>Hommes-Eléphants</w:t>
            </w:r>
          </w:p>
        </w:tc>
        <w:tc>
          <w:tcPr>
            <w:tcW w:w="2340" w:type="dxa"/>
            <w:shd w:val="clear" w:color="auto" w:fill="auto"/>
          </w:tcPr>
          <w:p w14:paraId="505CC96B" w14:textId="77777777" w:rsidR="00302BFE" w:rsidRPr="00CF512D" w:rsidRDefault="00302BFE" w:rsidP="00243B15">
            <w:pPr>
              <w:spacing w:after="0"/>
              <w:rPr>
                <w:sz w:val="18"/>
                <w:szCs w:val="18"/>
              </w:rPr>
            </w:pPr>
            <w:r w:rsidRPr="00CF512D">
              <w:rPr>
                <w:sz w:val="18"/>
                <w:szCs w:val="18"/>
              </w:rPr>
              <w:t>Dégâts agricoles</w:t>
            </w:r>
          </w:p>
        </w:tc>
      </w:tr>
      <w:tr w:rsidR="00302BFE" w:rsidRPr="00CF512D" w14:paraId="6FE5895C" w14:textId="77777777" w:rsidTr="00243B15">
        <w:trPr>
          <w:jc w:val="center"/>
        </w:trPr>
        <w:tc>
          <w:tcPr>
            <w:tcW w:w="1121" w:type="dxa"/>
            <w:vMerge w:val="restart"/>
            <w:shd w:val="clear" w:color="auto" w:fill="auto"/>
          </w:tcPr>
          <w:p w14:paraId="4DDB8983" w14:textId="77777777" w:rsidR="00302BFE" w:rsidRPr="00CF512D" w:rsidRDefault="00302BFE" w:rsidP="00243B15">
            <w:pPr>
              <w:spacing w:after="0"/>
              <w:rPr>
                <w:sz w:val="18"/>
                <w:szCs w:val="18"/>
              </w:rPr>
            </w:pPr>
            <w:r w:rsidRPr="00CF512D">
              <w:rPr>
                <w:sz w:val="18"/>
                <w:szCs w:val="18"/>
              </w:rPr>
              <w:t>Bieha</w:t>
            </w:r>
          </w:p>
        </w:tc>
        <w:tc>
          <w:tcPr>
            <w:tcW w:w="4602" w:type="dxa"/>
            <w:shd w:val="clear" w:color="auto" w:fill="auto"/>
          </w:tcPr>
          <w:p w14:paraId="7A375674" w14:textId="77777777" w:rsidR="00302BFE" w:rsidRPr="00CF512D" w:rsidRDefault="00302BFE" w:rsidP="00243B15">
            <w:pPr>
              <w:spacing w:after="0"/>
              <w:rPr>
                <w:sz w:val="18"/>
                <w:szCs w:val="18"/>
                <w:lang w:val="fr-CA"/>
              </w:rPr>
            </w:pPr>
            <w:r w:rsidRPr="00CF512D">
              <w:rPr>
                <w:sz w:val="18"/>
                <w:szCs w:val="18"/>
                <w:lang w:val="fr-CA"/>
              </w:rPr>
              <w:t>Sya, Boala, Bouré, Nassaré, Yelbouga, Tassiens, Kounou</w:t>
            </w:r>
          </w:p>
        </w:tc>
        <w:tc>
          <w:tcPr>
            <w:tcW w:w="2710" w:type="dxa"/>
            <w:shd w:val="clear" w:color="auto" w:fill="auto"/>
          </w:tcPr>
          <w:p w14:paraId="37FCA79D" w14:textId="77777777" w:rsidR="00302BFE" w:rsidRPr="00CF512D" w:rsidRDefault="00302BFE" w:rsidP="00243B15">
            <w:pPr>
              <w:spacing w:after="0"/>
              <w:rPr>
                <w:sz w:val="18"/>
                <w:szCs w:val="18"/>
              </w:rPr>
            </w:pPr>
            <w:r w:rsidRPr="00CF512D">
              <w:rPr>
                <w:sz w:val="18"/>
                <w:szCs w:val="18"/>
              </w:rPr>
              <w:t>Hommes-Eléphants</w:t>
            </w:r>
          </w:p>
        </w:tc>
        <w:tc>
          <w:tcPr>
            <w:tcW w:w="2340" w:type="dxa"/>
            <w:shd w:val="clear" w:color="auto" w:fill="auto"/>
          </w:tcPr>
          <w:p w14:paraId="72B6F518" w14:textId="77777777" w:rsidR="00302BFE" w:rsidRPr="00CF512D" w:rsidRDefault="00302BFE" w:rsidP="00243B15">
            <w:pPr>
              <w:spacing w:after="0"/>
              <w:rPr>
                <w:sz w:val="18"/>
                <w:szCs w:val="18"/>
              </w:rPr>
            </w:pPr>
            <w:r w:rsidRPr="00CF512D">
              <w:rPr>
                <w:sz w:val="18"/>
                <w:szCs w:val="18"/>
              </w:rPr>
              <w:t>Dégâts agricoles</w:t>
            </w:r>
          </w:p>
        </w:tc>
      </w:tr>
      <w:tr w:rsidR="00302BFE" w:rsidRPr="00CF512D" w14:paraId="2CA8C0D9" w14:textId="77777777" w:rsidTr="00243B15">
        <w:trPr>
          <w:jc w:val="center"/>
        </w:trPr>
        <w:tc>
          <w:tcPr>
            <w:tcW w:w="1121" w:type="dxa"/>
            <w:vMerge/>
            <w:shd w:val="clear" w:color="auto" w:fill="auto"/>
          </w:tcPr>
          <w:p w14:paraId="53D38123" w14:textId="77777777" w:rsidR="00302BFE" w:rsidRPr="00CF512D" w:rsidRDefault="00302BFE" w:rsidP="00243B15">
            <w:pPr>
              <w:spacing w:after="0"/>
              <w:rPr>
                <w:sz w:val="18"/>
                <w:szCs w:val="18"/>
              </w:rPr>
            </w:pPr>
          </w:p>
        </w:tc>
        <w:tc>
          <w:tcPr>
            <w:tcW w:w="4602" w:type="dxa"/>
            <w:shd w:val="clear" w:color="auto" w:fill="auto"/>
          </w:tcPr>
          <w:p w14:paraId="740DF926" w14:textId="77777777" w:rsidR="00302BFE" w:rsidRPr="00CF512D" w:rsidRDefault="00302BFE" w:rsidP="00243B15">
            <w:pPr>
              <w:spacing w:after="0"/>
              <w:rPr>
                <w:sz w:val="18"/>
                <w:szCs w:val="18"/>
              </w:rPr>
            </w:pPr>
            <w:r w:rsidRPr="00CF512D">
              <w:rPr>
                <w:sz w:val="18"/>
                <w:szCs w:val="18"/>
              </w:rPr>
              <w:t>Boala</w:t>
            </w:r>
          </w:p>
        </w:tc>
        <w:tc>
          <w:tcPr>
            <w:tcW w:w="2710" w:type="dxa"/>
            <w:shd w:val="clear" w:color="auto" w:fill="auto"/>
          </w:tcPr>
          <w:p w14:paraId="571C140D" w14:textId="77777777" w:rsidR="00302BFE" w:rsidRPr="00CF512D" w:rsidRDefault="00302BFE" w:rsidP="00243B15">
            <w:pPr>
              <w:spacing w:after="0"/>
              <w:rPr>
                <w:sz w:val="18"/>
                <w:szCs w:val="18"/>
              </w:rPr>
            </w:pPr>
            <w:r w:rsidRPr="00CF512D">
              <w:rPr>
                <w:sz w:val="18"/>
                <w:szCs w:val="18"/>
              </w:rPr>
              <w:t xml:space="preserve">Hyènes-Animaux domestiques </w:t>
            </w:r>
          </w:p>
        </w:tc>
        <w:tc>
          <w:tcPr>
            <w:tcW w:w="2340" w:type="dxa"/>
            <w:shd w:val="clear" w:color="auto" w:fill="auto"/>
          </w:tcPr>
          <w:p w14:paraId="6B3A0A44" w14:textId="77777777" w:rsidR="00302BFE" w:rsidRPr="00CF512D" w:rsidRDefault="00302BFE" w:rsidP="00243B15">
            <w:pPr>
              <w:spacing w:after="0"/>
              <w:rPr>
                <w:sz w:val="18"/>
                <w:szCs w:val="18"/>
              </w:rPr>
            </w:pPr>
            <w:r w:rsidRPr="00CF512D">
              <w:rPr>
                <w:sz w:val="18"/>
                <w:szCs w:val="18"/>
              </w:rPr>
              <w:t>Chèvres dévorées</w:t>
            </w:r>
          </w:p>
        </w:tc>
      </w:tr>
      <w:tr w:rsidR="00302BFE" w:rsidRPr="00CF512D" w14:paraId="57364812" w14:textId="77777777" w:rsidTr="00243B15">
        <w:trPr>
          <w:jc w:val="center"/>
        </w:trPr>
        <w:tc>
          <w:tcPr>
            <w:tcW w:w="1121" w:type="dxa"/>
            <w:vMerge/>
            <w:shd w:val="clear" w:color="auto" w:fill="auto"/>
          </w:tcPr>
          <w:p w14:paraId="60FB1F45" w14:textId="77777777" w:rsidR="00302BFE" w:rsidRPr="00CF512D" w:rsidRDefault="00302BFE" w:rsidP="00243B15">
            <w:pPr>
              <w:spacing w:after="0"/>
              <w:rPr>
                <w:sz w:val="18"/>
                <w:szCs w:val="18"/>
              </w:rPr>
            </w:pPr>
          </w:p>
        </w:tc>
        <w:tc>
          <w:tcPr>
            <w:tcW w:w="4602" w:type="dxa"/>
            <w:shd w:val="clear" w:color="auto" w:fill="auto"/>
          </w:tcPr>
          <w:p w14:paraId="1CEB7D20" w14:textId="77777777" w:rsidR="00302BFE" w:rsidRPr="00CF512D" w:rsidRDefault="00302BFE" w:rsidP="00243B15">
            <w:pPr>
              <w:spacing w:after="0"/>
              <w:rPr>
                <w:sz w:val="18"/>
                <w:szCs w:val="18"/>
              </w:rPr>
            </w:pPr>
            <w:r w:rsidRPr="00CF512D">
              <w:rPr>
                <w:sz w:val="18"/>
                <w:szCs w:val="18"/>
              </w:rPr>
              <w:t>Pissai</w:t>
            </w:r>
          </w:p>
        </w:tc>
        <w:tc>
          <w:tcPr>
            <w:tcW w:w="2710" w:type="dxa"/>
            <w:shd w:val="clear" w:color="auto" w:fill="auto"/>
          </w:tcPr>
          <w:p w14:paraId="112BED0D" w14:textId="77777777" w:rsidR="00302BFE" w:rsidRPr="00CF512D" w:rsidRDefault="00302BFE" w:rsidP="00243B15">
            <w:pPr>
              <w:spacing w:after="0"/>
              <w:rPr>
                <w:sz w:val="18"/>
                <w:szCs w:val="18"/>
              </w:rPr>
            </w:pPr>
            <w:r w:rsidRPr="00CF512D">
              <w:rPr>
                <w:sz w:val="18"/>
                <w:szCs w:val="18"/>
              </w:rPr>
              <w:t>Homme-Phacochère</w:t>
            </w:r>
          </w:p>
        </w:tc>
        <w:tc>
          <w:tcPr>
            <w:tcW w:w="2340" w:type="dxa"/>
            <w:shd w:val="clear" w:color="auto" w:fill="auto"/>
          </w:tcPr>
          <w:p w14:paraId="5D31B695" w14:textId="77777777" w:rsidR="00302BFE" w:rsidRPr="00CF512D" w:rsidRDefault="00302BFE" w:rsidP="00243B15">
            <w:pPr>
              <w:spacing w:after="0"/>
              <w:rPr>
                <w:sz w:val="18"/>
                <w:szCs w:val="18"/>
              </w:rPr>
            </w:pPr>
            <w:r w:rsidRPr="00CF512D">
              <w:rPr>
                <w:sz w:val="18"/>
                <w:szCs w:val="18"/>
              </w:rPr>
              <w:t>Dégâts agricoles</w:t>
            </w:r>
          </w:p>
        </w:tc>
      </w:tr>
      <w:tr w:rsidR="00302BFE" w:rsidRPr="00CF512D" w14:paraId="6034D276" w14:textId="77777777" w:rsidTr="00243B15">
        <w:trPr>
          <w:jc w:val="center"/>
        </w:trPr>
        <w:tc>
          <w:tcPr>
            <w:tcW w:w="1121" w:type="dxa"/>
            <w:shd w:val="clear" w:color="auto" w:fill="auto"/>
          </w:tcPr>
          <w:p w14:paraId="5877C17D" w14:textId="77777777" w:rsidR="00302BFE" w:rsidRPr="00CF512D" w:rsidRDefault="00302BFE" w:rsidP="00243B15">
            <w:pPr>
              <w:spacing w:after="0"/>
              <w:rPr>
                <w:sz w:val="18"/>
                <w:szCs w:val="18"/>
              </w:rPr>
            </w:pPr>
            <w:r w:rsidRPr="00CF512D">
              <w:rPr>
                <w:sz w:val="18"/>
                <w:szCs w:val="18"/>
              </w:rPr>
              <w:t>Zoaga</w:t>
            </w:r>
          </w:p>
        </w:tc>
        <w:tc>
          <w:tcPr>
            <w:tcW w:w="4602" w:type="dxa"/>
            <w:shd w:val="clear" w:color="auto" w:fill="auto"/>
          </w:tcPr>
          <w:p w14:paraId="0546C848" w14:textId="77777777" w:rsidR="00302BFE" w:rsidRPr="00CF512D" w:rsidRDefault="00302BFE" w:rsidP="00243B15">
            <w:pPr>
              <w:spacing w:after="0"/>
              <w:rPr>
                <w:sz w:val="18"/>
                <w:szCs w:val="18"/>
              </w:rPr>
            </w:pPr>
            <w:r w:rsidRPr="00CF512D">
              <w:rPr>
                <w:sz w:val="18"/>
                <w:szCs w:val="18"/>
              </w:rPr>
              <w:t>Mangagou, Sioun, Zabré, Gon, Wangala, Kipera, BenyaPeul, Medga, Yaspiga, Yarga, Yembasso, Kina, Petit Zabré</w:t>
            </w:r>
          </w:p>
        </w:tc>
        <w:tc>
          <w:tcPr>
            <w:tcW w:w="2710" w:type="dxa"/>
            <w:shd w:val="clear" w:color="auto" w:fill="auto"/>
          </w:tcPr>
          <w:p w14:paraId="077E2CE7" w14:textId="77777777" w:rsidR="00302BFE" w:rsidRPr="00CF512D" w:rsidRDefault="00302BFE" w:rsidP="00243B15">
            <w:pPr>
              <w:spacing w:after="0"/>
              <w:rPr>
                <w:sz w:val="18"/>
                <w:szCs w:val="18"/>
              </w:rPr>
            </w:pPr>
            <w:r w:rsidRPr="00CF512D">
              <w:rPr>
                <w:sz w:val="18"/>
                <w:szCs w:val="18"/>
              </w:rPr>
              <w:t>Hommes-Eléphants</w:t>
            </w:r>
          </w:p>
        </w:tc>
        <w:tc>
          <w:tcPr>
            <w:tcW w:w="2340" w:type="dxa"/>
            <w:shd w:val="clear" w:color="auto" w:fill="auto"/>
          </w:tcPr>
          <w:p w14:paraId="0E8D5CFB" w14:textId="77777777" w:rsidR="00302BFE" w:rsidRPr="00CF512D" w:rsidRDefault="00302BFE" w:rsidP="00243B15">
            <w:pPr>
              <w:spacing w:after="0"/>
              <w:rPr>
                <w:sz w:val="18"/>
                <w:szCs w:val="18"/>
              </w:rPr>
            </w:pPr>
            <w:r w:rsidRPr="00CF512D">
              <w:rPr>
                <w:sz w:val="18"/>
                <w:szCs w:val="18"/>
              </w:rPr>
              <w:t>Dégâts agricoles</w:t>
            </w:r>
          </w:p>
        </w:tc>
      </w:tr>
      <w:tr w:rsidR="00302BFE" w:rsidRPr="00CF512D" w14:paraId="18D6C73D" w14:textId="77777777" w:rsidTr="00243B15">
        <w:trPr>
          <w:jc w:val="center"/>
        </w:trPr>
        <w:tc>
          <w:tcPr>
            <w:tcW w:w="1121" w:type="dxa"/>
            <w:vMerge w:val="restart"/>
            <w:shd w:val="clear" w:color="auto" w:fill="auto"/>
          </w:tcPr>
          <w:p w14:paraId="657AEB6E" w14:textId="77777777" w:rsidR="00302BFE" w:rsidRPr="00CF512D" w:rsidRDefault="00302BFE" w:rsidP="00243B15">
            <w:pPr>
              <w:spacing w:after="0"/>
              <w:rPr>
                <w:sz w:val="18"/>
                <w:szCs w:val="18"/>
              </w:rPr>
            </w:pPr>
            <w:r w:rsidRPr="00CF512D">
              <w:rPr>
                <w:sz w:val="18"/>
                <w:szCs w:val="18"/>
              </w:rPr>
              <w:t>Léo</w:t>
            </w:r>
          </w:p>
        </w:tc>
        <w:tc>
          <w:tcPr>
            <w:tcW w:w="4602" w:type="dxa"/>
            <w:shd w:val="clear" w:color="auto" w:fill="auto"/>
          </w:tcPr>
          <w:p w14:paraId="37A6D0C0" w14:textId="77777777" w:rsidR="00302BFE" w:rsidRPr="00CF512D" w:rsidRDefault="00302BFE" w:rsidP="00243B15">
            <w:pPr>
              <w:spacing w:after="0"/>
              <w:rPr>
                <w:sz w:val="18"/>
                <w:szCs w:val="18"/>
                <w:lang w:val="fr-CA"/>
              </w:rPr>
            </w:pPr>
            <w:r w:rsidRPr="00CF512D">
              <w:rPr>
                <w:sz w:val="18"/>
                <w:szCs w:val="18"/>
                <w:lang w:val="fr-CA"/>
              </w:rPr>
              <w:t>Outoulou, corridor Nazinga-PN Deux-Balés</w:t>
            </w:r>
          </w:p>
        </w:tc>
        <w:tc>
          <w:tcPr>
            <w:tcW w:w="2710" w:type="dxa"/>
            <w:shd w:val="clear" w:color="auto" w:fill="auto"/>
          </w:tcPr>
          <w:p w14:paraId="15A31DE9" w14:textId="77777777" w:rsidR="00302BFE" w:rsidRPr="00CF512D" w:rsidRDefault="00302BFE" w:rsidP="00243B15">
            <w:pPr>
              <w:spacing w:after="0"/>
              <w:rPr>
                <w:sz w:val="18"/>
                <w:szCs w:val="18"/>
              </w:rPr>
            </w:pPr>
            <w:r w:rsidRPr="00CF512D">
              <w:rPr>
                <w:sz w:val="18"/>
                <w:szCs w:val="18"/>
              </w:rPr>
              <w:t>Hommes-Eléphants</w:t>
            </w:r>
          </w:p>
        </w:tc>
        <w:tc>
          <w:tcPr>
            <w:tcW w:w="2340" w:type="dxa"/>
            <w:shd w:val="clear" w:color="auto" w:fill="auto"/>
          </w:tcPr>
          <w:p w14:paraId="2DBF240D" w14:textId="77777777" w:rsidR="00302BFE" w:rsidRPr="00CF512D" w:rsidRDefault="00302BFE" w:rsidP="00243B15">
            <w:pPr>
              <w:spacing w:after="0"/>
              <w:rPr>
                <w:sz w:val="18"/>
                <w:szCs w:val="18"/>
              </w:rPr>
            </w:pPr>
            <w:r w:rsidRPr="00CF512D">
              <w:rPr>
                <w:sz w:val="18"/>
                <w:szCs w:val="18"/>
              </w:rPr>
              <w:t>Dégâts agricoles</w:t>
            </w:r>
          </w:p>
        </w:tc>
      </w:tr>
      <w:tr w:rsidR="00302BFE" w:rsidRPr="00CF512D" w14:paraId="4781BC3D" w14:textId="77777777" w:rsidTr="00243B15">
        <w:trPr>
          <w:jc w:val="center"/>
        </w:trPr>
        <w:tc>
          <w:tcPr>
            <w:tcW w:w="1121" w:type="dxa"/>
            <w:vMerge/>
            <w:shd w:val="clear" w:color="auto" w:fill="auto"/>
          </w:tcPr>
          <w:p w14:paraId="02A631B3" w14:textId="77777777" w:rsidR="00302BFE" w:rsidRPr="00CF512D" w:rsidRDefault="00302BFE" w:rsidP="00243B15">
            <w:pPr>
              <w:spacing w:after="0"/>
              <w:rPr>
                <w:sz w:val="18"/>
                <w:szCs w:val="18"/>
              </w:rPr>
            </w:pPr>
          </w:p>
        </w:tc>
        <w:tc>
          <w:tcPr>
            <w:tcW w:w="4602" w:type="dxa"/>
            <w:shd w:val="clear" w:color="auto" w:fill="auto"/>
          </w:tcPr>
          <w:p w14:paraId="3CCD5EE5" w14:textId="77777777" w:rsidR="00302BFE" w:rsidRPr="00CF512D" w:rsidRDefault="00302BFE" w:rsidP="00243B15">
            <w:pPr>
              <w:spacing w:after="0"/>
              <w:rPr>
                <w:sz w:val="18"/>
                <w:szCs w:val="18"/>
                <w:lang w:val="fr-CA"/>
              </w:rPr>
            </w:pPr>
            <w:r w:rsidRPr="00CF512D">
              <w:rPr>
                <w:sz w:val="18"/>
                <w:szCs w:val="18"/>
                <w:lang w:val="fr-CA"/>
              </w:rPr>
              <w:t>Oliansé (</w:t>
            </w:r>
            <w:r>
              <w:rPr>
                <w:sz w:val="18"/>
                <w:szCs w:val="18"/>
                <w:lang w:val="fr-CA"/>
              </w:rPr>
              <w:t>près</w:t>
            </w:r>
            <w:r w:rsidRPr="00CF512D">
              <w:rPr>
                <w:sz w:val="18"/>
                <w:szCs w:val="18"/>
                <w:lang w:val="fr-CA"/>
              </w:rPr>
              <w:t xml:space="preserve"> de Outoulou), corridor Nazinga-PN Deux-Balés</w:t>
            </w:r>
          </w:p>
        </w:tc>
        <w:tc>
          <w:tcPr>
            <w:tcW w:w="2710" w:type="dxa"/>
            <w:shd w:val="clear" w:color="auto" w:fill="auto"/>
          </w:tcPr>
          <w:p w14:paraId="2DBE39E2" w14:textId="77777777" w:rsidR="00302BFE" w:rsidRPr="00CF512D" w:rsidRDefault="00302BFE" w:rsidP="00243B15">
            <w:pPr>
              <w:spacing w:after="0"/>
              <w:rPr>
                <w:sz w:val="18"/>
                <w:szCs w:val="18"/>
              </w:rPr>
            </w:pPr>
            <w:r w:rsidRPr="00CF512D">
              <w:rPr>
                <w:sz w:val="18"/>
                <w:szCs w:val="18"/>
              </w:rPr>
              <w:t>Hommes-Eléphants</w:t>
            </w:r>
          </w:p>
        </w:tc>
        <w:tc>
          <w:tcPr>
            <w:tcW w:w="2340" w:type="dxa"/>
            <w:shd w:val="clear" w:color="auto" w:fill="auto"/>
          </w:tcPr>
          <w:p w14:paraId="75BF508A" w14:textId="77777777" w:rsidR="00302BFE" w:rsidRPr="00CF512D" w:rsidRDefault="00302BFE" w:rsidP="00243B15">
            <w:pPr>
              <w:spacing w:after="0"/>
              <w:rPr>
                <w:sz w:val="18"/>
                <w:szCs w:val="18"/>
              </w:rPr>
            </w:pPr>
            <w:r w:rsidRPr="00CF512D">
              <w:rPr>
                <w:sz w:val="18"/>
                <w:szCs w:val="18"/>
              </w:rPr>
              <w:t>Mort d’homme</w:t>
            </w:r>
          </w:p>
        </w:tc>
      </w:tr>
      <w:tr w:rsidR="00302BFE" w:rsidRPr="00CF512D" w14:paraId="2825D89D" w14:textId="77777777" w:rsidTr="00243B15">
        <w:trPr>
          <w:jc w:val="center"/>
        </w:trPr>
        <w:tc>
          <w:tcPr>
            <w:tcW w:w="1121" w:type="dxa"/>
            <w:shd w:val="clear" w:color="auto" w:fill="auto"/>
          </w:tcPr>
          <w:p w14:paraId="571F3E9C" w14:textId="77777777" w:rsidR="00302BFE" w:rsidRPr="00CF512D" w:rsidRDefault="00302BFE" w:rsidP="00243B15">
            <w:pPr>
              <w:spacing w:after="0"/>
              <w:rPr>
                <w:sz w:val="18"/>
                <w:szCs w:val="18"/>
              </w:rPr>
            </w:pPr>
            <w:r w:rsidRPr="00CF512D">
              <w:rPr>
                <w:sz w:val="18"/>
                <w:szCs w:val="18"/>
              </w:rPr>
              <w:t>Bourra</w:t>
            </w:r>
          </w:p>
        </w:tc>
        <w:tc>
          <w:tcPr>
            <w:tcW w:w="4602" w:type="dxa"/>
            <w:shd w:val="clear" w:color="auto" w:fill="auto"/>
          </w:tcPr>
          <w:p w14:paraId="64B1C754" w14:textId="77777777" w:rsidR="00302BFE" w:rsidRPr="00CF512D" w:rsidRDefault="00302BFE" w:rsidP="00243B15">
            <w:pPr>
              <w:spacing w:after="0"/>
              <w:rPr>
                <w:sz w:val="18"/>
                <w:szCs w:val="18"/>
                <w:lang w:val="fr-CA"/>
              </w:rPr>
            </w:pPr>
            <w:r w:rsidRPr="00CF512D">
              <w:rPr>
                <w:sz w:val="18"/>
                <w:szCs w:val="18"/>
                <w:lang w:val="fr-CA"/>
              </w:rPr>
              <w:t>Bourra, corridor Nazinga-PN Deux-Balés</w:t>
            </w:r>
          </w:p>
        </w:tc>
        <w:tc>
          <w:tcPr>
            <w:tcW w:w="2710" w:type="dxa"/>
            <w:shd w:val="clear" w:color="auto" w:fill="auto"/>
          </w:tcPr>
          <w:p w14:paraId="1338C77F" w14:textId="77777777" w:rsidR="00302BFE" w:rsidRPr="00CF512D" w:rsidRDefault="00302BFE" w:rsidP="00243B15">
            <w:pPr>
              <w:spacing w:after="0"/>
              <w:rPr>
                <w:sz w:val="18"/>
                <w:szCs w:val="18"/>
              </w:rPr>
            </w:pPr>
            <w:r w:rsidRPr="00CF512D">
              <w:rPr>
                <w:sz w:val="18"/>
                <w:szCs w:val="18"/>
              </w:rPr>
              <w:t>Hommes-Eléphants</w:t>
            </w:r>
          </w:p>
        </w:tc>
        <w:tc>
          <w:tcPr>
            <w:tcW w:w="2340" w:type="dxa"/>
            <w:shd w:val="clear" w:color="auto" w:fill="auto"/>
          </w:tcPr>
          <w:p w14:paraId="044A0EC9" w14:textId="77777777" w:rsidR="00302BFE" w:rsidRPr="00CF512D" w:rsidRDefault="00302BFE" w:rsidP="00243B15">
            <w:pPr>
              <w:spacing w:after="0"/>
              <w:rPr>
                <w:sz w:val="18"/>
                <w:szCs w:val="18"/>
              </w:rPr>
            </w:pPr>
            <w:r w:rsidRPr="00CF512D">
              <w:rPr>
                <w:sz w:val="18"/>
                <w:szCs w:val="18"/>
              </w:rPr>
              <w:t>Dégâts agricoles</w:t>
            </w:r>
          </w:p>
        </w:tc>
      </w:tr>
      <w:tr w:rsidR="00302BFE" w:rsidRPr="00CF512D" w14:paraId="2FD40E6A" w14:textId="77777777" w:rsidTr="00243B15">
        <w:trPr>
          <w:jc w:val="center"/>
        </w:trPr>
        <w:tc>
          <w:tcPr>
            <w:tcW w:w="1121" w:type="dxa"/>
            <w:shd w:val="clear" w:color="auto" w:fill="auto"/>
          </w:tcPr>
          <w:p w14:paraId="4EF3BD3A" w14:textId="77777777" w:rsidR="00302BFE" w:rsidRPr="00CF512D" w:rsidRDefault="00302BFE" w:rsidP="00243B15">
            <w:pPr>
              <w:spacing w:after="0"/>
              <w:rPr>
                <w:sz w:val="18"/>
                <w:szCs w:val="18"/>
              </w:rPr>
            </w:pPr>
            <w:r w:rsidRPr="00CF512D">
              <w:rPr>
                <w:sz w:val="18"/>
                <w:szCs w:val="18"/>
              </w:rPr>
              <w:t>Tô</w:t>
            </w:r>
          </w:p>
        </w:tc>
        <w:tc>
          <w:tcPr>
            <w:tcW w:w="4602" w:type="dxa"/>
            <w:shd w:val="clear" w:color="auto" w:fill="auto"/>
          </w:tcPr>
          <w:p w14:paraId="77AF2AC4" w14:textId="77777777" w:rsidR="00302BFE" w:rsidRPr="00CF512D" w:rsidRDefault="00302BFE" w:rsidP="00243B15">
            <w:pPr>
              <w:spacing w:after="0"/>
              <w:rPr>
                <w:sz w:val="18"/>
                <w:szCs w:val="18"/>
                <w:lang w:val="fr-CA"/>
              </w:rPr>
            </w:pPr>
            <w:r w:rsidRPr="00CF512D">
              <w:rPr>
                <w:sz w:val="18"/>
                <w:szCs w:val="18"/>
                <w:lang w:val="fr-CA"/>
              </w:rPr>
              <w:t>Tô, corridor Nazinga-PN Deux-Balés</w:t>
            </w:r>
          </w:p>
        </w:tc>
        <w:tc>
          <w:tcPr>
            <w:tcW w:w="2710" w:type="dxa"/>
            <w:shd w:val="clear" w:color="auto" w:fill="auto"/>
          </w:tcPr>
          <w:p w14:paraId="16089319" w14:textId="77777777" w:rsidR="00302BFE" w:rsidRPr="00CF512D" w:rsidRDefault="00302BFE" w:rsidP="00243B15">
            <w:pPr>
              <w:spacing w:after="0"/>
              <w:rPr>
                <w:sz w:val="18"/>
                <w:szCs w:val="18"/>
              </w:rPr>
            </w:pPr>
            <w:r w:rsidRPr="00CF512D">
              <w:rPr>
                <w:sz w:val="18"/>
                <w:szCs w:val="18"/>
              </w:rPr>
              <w:t>Hommes-Eléphants</w:t>
            </w:r>
          </w:p>
        </w:tc>
        <w:tc>
          <w:tcPr>
            <w:tcW w:w="2340" w:type="dxa"/>
            <w:shd w:val="clear" w:color="auto" w:fill="auto"/>
          </w:tcPr>
          <w:p w14:paraId="61FFDD27" w14:textId="77777777" w:rsidR="00302BFE" w:rsidRPr="00CF512D" w:rsidRDefault="00302BFE" w:rsidP="00243B15">
            <w:pPr>
              <w:spacing w:after="0"/>
              <w:rPr>
                <w:sz w:val="18"/>
                <w:szCs w:val="18"/>
              </w:rPr>
            </w:pPr>
            <w:r w:rsidRPr="00CF512D">
              <w:rPr>
                <w:sz w:val="18"/>
                <w:szCs w:val="18"/>
              </w:rPr>
              <w:t>Dégâts agricoles</w:t>
            </w:r>
          </w:p>
        </w:tc>
      </w:tr>
      <w:tr w:rsidR="00302BFE" w:rsidRPr="00CF512D" w14:paraId="2DC27EA0" w14:textId="77777777" w:rsidTr="00243B15">
        <w:trPr>
          <w:jc w:val="center"/>
        </w:trPr>
        <w:tc>
          <w:tcPr>
            <w:tcW w:w="1121" w:type="dxa"/>
            <w:shd w:val="clear" w:color="auto" w:fill="auto"/>
          </w:tcPr>
          <w:p w14:paraId="7539CBE6" w14:textId="77777777" w:rsidR="00302BFE" w:rsidRPr="00CF512D" w:rsidRDefault="00302BFE" w:rsidP="00243B15">
            <w:pPr>
              <w:spacing w:after="0"/>
              <w:rPr>
                <w:sz w:val="18"/>
                <w:szCs w:val="18"/>
              </w:rPr>
            </w:pPr>
            <w:r w:rsidRPr="00CF512D">
              <w:rPr>
                <w:sz w:val="18"/>
                <w:szCs w:val="18"/>
              </w:rPr>
              <w:t>Silly</w:t>
            </w:r>
          </w:p>
        </w:tc>
        <w:tc>
          <w:tcPr>
            <w:tcW w:w="4602" w:type="dxa"/>
            <w:shd w:val="clear" w:color="auto" w:fill="auto"/>
          </w:tcPr>
          <w:p w14:paraId="45503D20" w14:textId="77777777" w:rsidR="00302BFE" w:rsidRPr="00CF512D" w:rsidRDefault="00302BFE" w:rsidP="00243B15">
            <w:pPr>
              <w:spacing w:after="0"/>
              <w:rPr>
                <w:sz w:val="18"/>
                <w:szCs w:val="18"/>
                <w:lang w:val="fr-CA"/>
              </w:rPr>
            </w:pPr>
            <w:r w:rsidRPr="00CF512D">
              <w:rPr>
                <w:sz w:val="18"/>
                <w:szCs w:val="18"/>
                <w:lang w:val="fr-CA"/>
              </w:rPr>
              <w:t xml:space="preserve">Ya, corridor Nazinga-PN Deux-Balés </w:t>
            </w:r>
          </w:p>
        </w:tc>
        <w:tc>
          <w:tcPr>
            <w:tcW w:w="2710" w:type="dxa"/>
            <w:shd w:val="clear" w:color="auto" w:fill="auto"/>
          </w:tcPr>
          <w:p w14:paraId="3245D728" w14:textId="77777777" w:rsidR="00302BFE" w:rsidRPr="00CF512D" w:rsidRDefault="00302BFE" w:rsidP="00243B15">
            <w:pPr>
              <w:spacing w:after="0"/>
              <w:rPr>
                <w:sz w:val="18"/>
                <w:szCs w:val="18"/>
              </w:rPr>
            </w:pPr>
            <w:r w:rsidRPr="00CF512D">
              <w:rPr>
                <w:sz w:val="18"/>
                <w:szCs w:val="18"/>
              </w:rPr>
              <w:t>Hommes-Eléphants</w:t>
            </w:r>
          </w:p>
        </w:tc>
        <w:tc>
          <w:tcPr>
            <w:tcW w:w="2340" w:type="dxa"/>
            <w:shd w:val="clear" w:color="auto" w:fill="auto"/>
          </w:tcPr>
          <w:p w14:paraId="3C5BEDE7" w14:textId="77777777" w:rsidR="00302BFE" w:rsidRPr="00CF512D" w:rsidRDefault="00302BFE" w:rsidP="00243B15">
            <w:pPr>
              <w:spacing w:after="0"/>
              <w:rPr>
                <w:sz w:val="18"/>
                <w:szCs w:val="18"/>
              </w:rPr>
            </w:pPr>
            <w:r w:rsidRPr="00CF512D">
              <w:rPr>
                <w:sz w:val="18"/>
                <w:szCs w:val="18"/>
              </w:rPr>
              <w:t>Dégâts agricoles</w:t>
            </w:r>
          </w:p>
        </w:tc>
      </w:tr>
      <w:tr w:rsidR="00302BFE" w:rsidRPr="00CF512D" w14:paraId="5200F0FD" w14:textId="77777777" w:rsidTr="00243B15">
        <w:trPr>
          <w:jc w:val="center"/>
        </w:trPr>
        <w:tc>
          <w:tcPr>
            <w:tcW w:w="1121" w:type="dxa"/>
            <w:shd w:val="clear" w:color="auto" w:fill="auto"/>
          </w:tcPr>
          <w:p w14:paraId="19809373" w14:textId="77777777" w:rsidR="00302BFE" w:rsidRPr="00CF512D" w:rsidRDefault="00302BFE" w:rsidP="00243B15">
            <w:pPr>
              <w:spacing w:after="0"/>
              <w:rPr>
                <w:sz w:val="18"/>
                <w:szCs w:val="18"/>
              </w:rPr>
            </w:pPr>
            <w:r w:rsidRPr="00CF512D">
              <w:rPr>
                <w:sz w:val="18"/>
                <w:szCs w:val="18"/>
              </w:rPr>
              <w:t>Toécé</w:t>
            </w:r>
          </w:p>
        </w:tc>
        <w:tc>
          <w:tcPr>
            <w:tcW w:w="4602" w:type="dxa"/>
            <w:shd w:val="clear" w:color="auto" w:fill="auto"/>
          </w:tcPr>
          <w:p w14:paraId="74A555A7" w14:textId="77777777" w:rsidR="00302BFE" w:rsidRPr="004E072E" w:rsidRDefault="00302BFE" w:rsidP="00243B15">
            <w:pPr>
              <w:spacing w:after="0"/>
              <w:rPr>
                <w:sz w:val="18"/>
                <w:szCs w:val="18"/>
                <w:lang w:val="pt-PT"/>
              </w:rPr>
            </w:pPr>
            <w:r w:rsidRPr="004E072E">
              <w:rPr>
                <w:sz w:val="18"/>
                <w:szCs w:val="18"/>
                <w:lang w:val="pt-PT"/>
              </w:rPr>
              <w:t>Yougoudri, Koumassogo, Tamsé, Zorgo, Lilbouré, corridor Nazinga-PN Deux-Balés</w:t>
            </w:r>
          </w:p>
        </w:tc>
        <w:tc>
          <w:tcPr>
            <w:tcW w:w="2710" w:type="dxa"/>
            <w:shd w:val="clear" w:color="auto" w:fill="auto"/>
          </w:tcPr>
          <w:p w14:paraId="05D3CE53" w14:textId="77777777" w:rsidR="00302BFE" w:rsidRPr="00CF512D" w:rsidRDefault="00302BFE" w:rsidP="00243B15">
            <w:pPr>
              <w:spacing w:after="0"/>
              <w:rPr>
                <w:sz w:val="18"/>
                <w:szCs w:val="18"/>
              </w:rPr>
            </w:pPr>
            <w:r w:rsidRPr="00CF512D">
              <w:rPr>
                <w:sz w:val="18"/>
                <w:szCs w:val="18"/>
              </w:rPr>
              <w:t>Hommes-Eléphants</w:t>
            </w:r>
          </w:p>
        </w:tc>
        <w:tc>
          <w:tcPr>
            <w:tcW w:w="2340" w:type="dxa"/>
            <w:shd w:val="clear" w:color="auto" w:fill="auto"/>
          </w:tcPr>
          <w:p w14:paraId="299EF3EF" w14:textId="77777777" w:rsidR="00302BFE" w:rsidRPr="00CF512D" w:rsidRDefault="00302BFE" w:rsidP="00243B15">
            <w:pPr>
              <w:spacing w:after="0"/>
              <w:rPr>
                <w:sz w:val="18"/>
                <w:szCs w:val="18"/>
              </w:rPr>
            </w:pPr>
            <w:r w:rsidRPr="00CF512D">
              <w:rPr>
                <w:sz w:val="18"/>
                <w:szCs w:val="18"/>
              </w:rPr>
              <w:t>Dégâts agricoles</w:t>
            </w:r>
          </w:p>
        </w:tc>
      </w:tr>
    </w:tbl>
    <w:p w14:paraId="0929F999" w14:textId="77777777" w:rsidR="00302BFE" w:rsidRPr="00E5211E" w:rsidRDefault="00302BFE" w:rsidP="00302BFE">
      <w:pPr>
        <w:spacing w:before="120" w:after="120"/>
        <w:rPr>
          <w:b/>
          <w:sz w:val="22"/>
          <w:szCs w:val="22"/>
          <w:lang w:val="fr-CA"/>
        </w:rPr>
      </w:pPr>
      <w:r w:rsidRPr="00E5211E">
        <w:rPr>
          <w:b/>
          <w:sz w:val="22"/>
          <w:szCs w:val="22"/>
          <w:lang w:val="fr-CA"/>
        </w:rPr>
        <w:t>Questions pour l’évaluation du contexte des conflits homme-faune préalable aux évaluations rapides sur le terrain</w:t>
      </w:r>
    </w:p>
    <w:p w14:paraId="2A591456" w14:textId="77777777" w:rsidR="00302BFE" w:rsidRPr="00CF512D" w:rsidRDefault="00302BFE" w:rsidP="00302BFE">
      <w:pPr>
        <w:spacing w:before="120" w:after="120"/>
        <w:rPr>
          <w:rFonts w:eastAsia="Times New Roman"/>
          <w:szCs w:val="20"/>
          <w:lang w:val="fr-CA"/>
        </w:rPr>
      </w:pPr>
      <w:r w:rsidRPr="00CF512D">
        <w:rPr>
          <w:rFonts w:eastAsia="Times New Roman"/>
          <w:szCs w:val="20"/>
          <w:lang w:val="fr-CA"/>
        </w:rPr>
        <w:t>Le contexte des conflits homme-faune au Burkina Faso et dans le paysage PONASI sera évalué à travers les six éléments suivants pour élaborer une stratégie visant à résoudre ce problème.</w:t>
      </w:r>
    </w:p>
    <w:p w14:paraId="366DF219" w14:textId="77777777" w:rsidR="00302BFE" w:rsidRPr="00CF512D" w:rsidRDefault="00302BFE" w:rsidP="00302BFE">
      <w:pPr>
        <w:spacing w:before="120" w:after="120"/>
        <w:rPr>
          <w:rFonts w:eastAsia="Times New Roman"/>
          <w:b/>
          <w:bCs/>
          <w:color w:val="4472C4"/>
          <w:szCs w:val="20"/>
          <w:lang w:val="fr-CA"/>
        </w:rPr>
      </w:pPr>
      <w:r w:rsidRPr="00CF512D">
        <w:rPr>
          <w:rFonts w:eastAsia="Times New Roman"/>
          <w:b/>
          <w:bCs/>
          <w:color w:val="4472C4"/>
          <w:szCs w:val="20"/>
          <w:lang w:val="fr-CA"/>
        </w:rPr>
        <w:t>Identification et cartographie des points chauds</w:t>
      </w:r>
    </w:p>
    <w:p w14:paraId="32ED6E2B" w14:textId="77777777" w:rsidR="00302BFE" w:rsidRPr="00CF512D" w:rsidRDefault="00302BFE" w:rsidP="00302BFE">
      <w:pPr>
        <w:spacing w:before="120" w:after="120"/>
        <w:rPr>
          <w:i/>
          <w:szCs w:val="20"/>
          <w:lang w:val="fr-CA"/>
        </w:rPr>
      </w:pPr>
      <w:r w:rsidRPr="00CF512D">
        <w:rPr>
          <w:rFonts w:eastAsia="Times New Roman"/>
          <w:b/>
          <w:bCs/>
          <w:color w:val="4472C4"/>
          <w:szCs w:val="20"/>
          <w:lang w:val="fr-CA"/>
        </w:rPr>
        <w:t>Question</w:t>
      </w:r>
      <w:r w:rsidRPr="00CF512D">
        <w:rPr>
          <w:szCs w:val="20"/>
          <w:lang w:val="fr-CA"/>
        </w:rPr>
        <w:t xml:space="preserve">: </w:t>
      </w:r>
      <w:r w:rsidRPr="00CF512D">
        <w:rPr>
          <w:i/>
          <w:szCs w:val="20"/>
          <w:lang w:val="fr-CA"/>
        </w:rPr>
        <w:t>Les points chauds de conflit sont-ils connus, cartographiés et mis à jour régulièrement?</w:t>
      </w:r>
    </w:p>
    <w:p w14:paraId="59A82D3A" w14:textId="77777777" w:rsidR="00302BFE" w:rsidRPr="00CF512D" w:rsidRDefault="00302BFE" w:rsidP="00302BFE">
      <w:pPr>
        <w:spacing w:before="120" w:after="0"/>
        <w:rPr>
          <w:szCs w:val="20"/>
        </w:rPr>
      </w:pPr>
      <w:r w:rsidRPr="00CF512D">
        <w:rPr>
          <w:szCs w:val="20"/>
        </w:rPr>
        <w:t>Statistiques clés nécessaires:</w:t>
      </w:r>
    </w:p>
    <w:p w14:paraId="23DC0076" w14:textId="77777777" w:rsidR="00302BFE" w:rsidRPr="00CF512D" w:rsidRDefault="00302BFE" w:rsidP="00C46720">
      <w:pPr>
        <w:pStyle w:val="Paragraphedeliste"/>
        <w:numPr>
          <w:ilvl w:val="0"/>
          <w:numId w:val="37"/>
        </w:numPr>
        <w:spacing w:after="120"/>
        <w:ind w:left="714" w:hanging="357"/>
        <w:contextualSpacing/>
        <w:rPr>
          <w:rFonts w:ascii="Calibri" w:hAnsi="Calibri"/>
          <w:sz w:val="20"/>
          <w:szCs w:val="20"/>
          <w:lang w:val="fr-CA"/>
        </w:rPr>
      </w:pPr>
      <w:r w:rsidRPr="00CF512D">
        <w:rPr>
          <w:rFonts w:ascii="Calibri" w:hAnsi="Calibri"/>
          <w:sz w:val="20"/>
          <w:szCs w:val="20"/>
          <w:lang w:val="fr-CA"/>
        </w:rPr>
        <w:t>Nombre et emplacement des animaux sauvages tués en représailles à un conflit</w:t>
      </w:r>
    </w:p>
    <w:p w14:paraId="4A0A620B" w14:textId="77777777" w:rsidR="00302BFE" w:rsidRPr="00CF512D" w:rsidRDefault="00302BFE" w:rsidP="00C46720">
      <w:pPr>
        <w:pStyle w:val="Paragraphedeliste"/>
        <w:numPr>
          <w:ilvl w:val="0"/>
          <w:numId w:val="37"/>
        </w:numPr>
        <w:spacing w:before="120" w:after="120"/>
        <w:contextualSpacing/>
        <w:rPr>
          <w:rFonts w:ascii="Calibri" w:hAnsi="Calibri"/>
          <w:sz w:val="20"/>
          <w:szCs w:val="20"/>
          <w:lang w:val="fr-CA"/>
        </w:rPr>
      </w:pPr>
      <w:r w:rsidRPr="00CF512D">
        <w:rPr>
          <w:rFonts w:ascii="Calibri" w:hAnsi="Calibri"/>
          <w:sz w:val="20"/>
          <w:szCs w:val="20"/>
          <w:lang w:val="fr-CA"/>
        </w:rPr>
        <w:t>Nombre et emplacement des animaux sauvages tués (par exemple, empoisonnés) avant la survenue des conflits</w:t>
      </w:r>
    </w:p>
    <w:p w14:paraId="0B601C29" w14:textId="77777777" w:rsidR="00302BFE" w:rsidRPr="00CF512D" w:rsidRDefault="00302BFE" w:rsidP="00C46720">
      <w:pPr>
        <w:pStyle w:val="Paragraphedeliste"/>
        <w:numPr>
          <w:ilvl w:val="0"/>
          <w:numId w:val="37"/>
        </w:numPr>
        <w:spacing w:before="120" w:after="120"/>
        <w:contextualSpacing/>
        <w:rPr>
          <w:rFonts w:ascii="Calibri" w:hAnsi="Calibri"/>
          <w:sz w:val="20"/>
          <w:szCs w:val="20"/>
          <w:lang w:val="fr-CA"/>
        </w:rPr>
      </w:pPr>
      <w:r w:rsidRPr="00CF512D">
        <w:rPr>
          <w:rFonts w:ascii="Calibri" w:hAnsi="Calibri"/>
          <w:sz w:val="20"/>
          <w:szCs w:val="20"/>
          <w:lang w:val="fr-CA"/>
        </w:rPr>
        <w:t>Nombre et localisation des cas de criminalité de la faune enregistrées (impliquant la prise au collet, le piégeage, l'empoisonnement, l'électrocution, la chasse, etc.)</w:t>
      </w:r>
    </w:p>
    <w:p w14:paraId="01251469" w14:textId="77777777" w:rsidR="00302BFE" w:rsidRPr="00CF512D" w:rsidRDefault="00302BFE" w:rsidP="00C46720">
      <w:pPr>
        <w:pStyle w:val="Paragraphedeliste"/>
        <w:numPr>
          <w:ilvl w:val="0"/>
          <w:numId w:val="37"/>
        </w:numPr>
        <w:spacing w:before="120" w:after="120"/>
        <w:contextualSpacing/>
        <w:rPr>
          <w:rFonts w:ascii="Calibri" w:hAnsi="Calibri"/>
          <w:sz w:val="20"/>
          <w:szCs w:val="20"/>
          <w:lang w:val="fr-CA"/>
        </w:rPr>
      </w:pPr>
      <w:r w:rsidRPr="00CF512D">
        <w:rPr>
          <w:rFonts w:ascii="Calibri" w:hAnsi="Calibri"/>
          <w:sz w:val="20"/>
          <w:szCs w:val="20"/>
          <w:lang w:val="fr-CA"/>
        </w:rPr>
        <w:t>Population humaine et lieux d'implantation (des établissements humains)</w:t>
      </w:r>
    </w:p>
    <w:p w14:paraId="068CA683" w14:textId="77777777" w:rsidR="00302BFE" w:rsidRPr="00CF512D" w:rsidRDefault="00302BFE" w:rsidP="00C46720">
      <w:pPr>
        <w:pStyle w:val="Paragraphedeliste"/>
        <w:numPr>
          <w:ilvl w:val="0"/>
          <w:numId w:val="37"/>
        </w:numPr>
        <w:spacing w:before="120" w:after="120"/>
        <w:contextualSpacing/>
        <w:rPr>
          <w:rFonts w:ascii="Calibri" w:hAnsi="Calibri"/>
          <w:sz w:val="20"/>
          <w:szCs w:val="20"/>
        </w:rPr>
      </w:pPr>
      <w:r w:rsidRPr="00CF512D">
        <w:rPr>
          <w:rFonts w:ascii="Calibri" w:hAnsi="Calibri"/>
          <w:sz w:val="20"/>
          <w:szCs w:val="20"/>
        </w:rPr>
        <w:t>Densité de population humaine</w:t>
      </w:r>
    </w:p>
    <w:p w14:paraId="5CDCA311" w14:textId="77777777" w:rsidR="00302BFE" w:rsidRPr="00CF512D" w:rsidRDefault="00302BFE" w:rsidP="00C46720">
      <w:pPr>
        <w:pStyle w:val="Paragraphedeliste"/>
        <w:numPr>
          <w:ilvl w:val="0"/>
          <w:numId w:val="37"/>
        </w:numPr>
        <w:spacing w:before="120" w:after="120"/>
        <w:contextualSpacing/>
        <w:rPr>
          <w:rFonts w:ascii="Calibri" w:hAnsi="Calibri"/>
          <w:sz w:val="20"/>
          <w:szCs w:val="20"/>
        </w:rPr>
      </w:pPr>
      <w:r w:rsidRPr="00CF512D">
        <w:rPr>
          <w:rFonts w:ascii="Calibri" w:hAnsi="Calibri"/>
          <w:sz w:val="20"/>
          <w:szCs w:val="20"/>
        </w:rPr>
        <w:t>Nombre d'incidents signalés</w:t>
      </w:r>
    </w:p>
    <w:p w14:paraId="1768A059" w14:textId="77777777" w:rsidR="00302BFE" w:rsidRPr="00CF512D" w:rsidRDefault="00302BFE" w:rsidP="00C46720">
      <w:pPr>
        <w:pStyle w:val="Paragraphedeliste"/>
        <w:numPr>
          <w:ilvl w:val="0"/>
          <w:numId w:val="37"/>
        </w:numPr>
        <w:spacing w:before="120" w:after="120"/>
        <w:contextualSpacing/>
        <w:rPr>
          <w:rFonts w:ascii="Calibri" w:hAnsi="Calibri"/>
          <w:sz w:val="20"/>
          <w:szCs w:val="20"/>
          <w:lang w:val="fr-CA"/>
        </w:rPr>
      </w:pPr>
      <w:r w:rsidRPr="00CF512D">
        <w:rPr>
          <w:rFonts w:ascii="Calibri" w:hAnsi="Calibri"/>
          <w:sz w:val="20"/>
          <w:szCs w:val="20"/>
          <w:lang w:val="fr-CA"/>
        </w:rPr>
        <w:t>Nombre d'incidents de conflit vérifiés</w:t>
      </w:r>
    </w:p>
    <w:p w14:paraId="23DC3067" w14:textId="77777777" w:rsidR="00302BFE" w:rsidRPr="00CF512D" w:rsidRDefault="00302BFE" w:rsidP="00C46720">
      <w:pPr>
        <w:pStyle w:val="Paragraphedeliste"/>
        <w:numPr>
          <w:ilvl w:val="0"/>
          <w:numId w:val="37"/>
        </w:numPr>
        <w:spacing w:before="120" w:after="120"/>
        <w:contextualSpacing/>
        <w:rPr>
          <w:rFonts w:ascii="Calibri" w:hAnsi="Calibri"/>
          <w:sz w:val="20"/>
          <w:szCs w:val="20"/>
          <w:lang w:val="fr-CA"/>
        </w:rPr>
      </w:pPr>
      <w:r w:rsidRPr="00CF512D">
        <w:rPr>
          <w:rFonts w:ascii="Calibri" w:hAnsi="Calibri"/>
          <w:sz w:val="20"/>
          <w:szCs w:val="20"/>
          <w:lang w:val="fr-CA"/>
        </w:rPr>
        <w:t>Temps moyen pour répondre à un événement</w:t>
      </w:r>
    </w:p>
    <w:p w14:paraId="5139B07D" w14:textId="77777777" w:rsidR="00302BFE" w:rsidRPr="00CF512D" w:rsidRDefault="00302BFE" w:rsidP="00C46720">
      <w:pPr>
        <w:pStyle w:val="Paragraphedeliste"/>
        <w:numPr>
          <w:ilvl w:val="0"/>
          <w:numId w:val="37"/>
        </w:numPr>
        <w:spacing w:before="120" w:after="120"/>
        <w:contextualSpacing/>
        <w:rPr>
          <w:rFonts w:ascii="Calibri" w:hAnsi="Calibri"/>
          <w:sz w:val="20"/>
          <w:szCs w:val="20"/>
          <w:lang w:val="fr-CA"/>
        </w:rPr>
      </w:pPr>
      <w:r w:rsidRPr="00CF512D">
        <w:rPr>
          <w:rFonts w:ascii="Calibri" w:hAnsi="Calibri"/>
          <w:sz w:val="20"/>
          <w:szCs w:val="20"/>
          <w:lang w:val="fr-CA"/>
        </w:rPr>
        <w:t>Nombre de réclamations d'assurance faites</w:t>
      </w:r>
    </w:p>
    <w:p w14:paraId="2D3499C8" w14:textId="77777777" w:rsidR="00302BFE" w:rsidRPr="00CF512D" w:rsidRDefault="00302BFE" w:rsidP="00C46720">
      <w:pPr>
        <w:pStyle w:val="Paragraphedeliste"/>
        <w:numPr>
          <w:ilvl w:val="0"/>
          <w:numId w:val="37"/>
        </w:numPr>
        <w:spacing w:before="120" w:after="120"/>
        <w:contextualSpacing/>
        <w:rPr>
          <w:rFonts w:ascii="Calibri" w:hAnsi="Calibri"/>
          <w:sz w:val="20"/>
          <w:szCs w:val="20"/>
          <w:lang w:val="fr-CA"/>
        </w:rPr>
      </w:pPr>
      <w:r w:rsidRPr="00CF512D">
        <w:rPr>
          <w:rFonts w:ascii="Calibri" w:hAnsi="Calibri"/>
          <w:sz w:val="20"/>
          <w:szCs w:val="20"/>
          <w:lang w:val="fr-CA"/>
        </w:rPr>
        <w:t>Longueur des barrières préventives installées</w:t>
      </w:r>
    </w:p>
    <w:p w14:paraId="55FC567C" w14:textId="77777777" w:rsidR="00302BFE" w:rsidRPr="00CF512D" w:rsidRDefault="00302BFE" w:rsidP="00C46720">
      <w:pPr>
        <w:pStyle w:val="Paragraphedeliste"/>
        <w:numPr>
          <w:ilvl w:val="0"/>
          <w:numId w:val="37"/>
        </w:numPr>
        <w:spacing w:before="120" w:after="120"/>
        <w:contextualSpacing/>
        <w:rPr>
          <w:rFonts w:ascii="Calibri" w:hAnsi="Calibri"/>
          <w:sz w:val="20"/>
          <w:szCs w:val="20"/>
          <w:lang w:val="fr-CA"/>
        </w:rPr>
      </w:pPr>
      <w:r w:rsidRPr="00CF512D">
        <w:rPr>
          <w:rFonts w:ascii="Calibri" w:hAnsi="Calibri"/>
          <w:sz w:val="20"/>
          <w:szCs w:val="20"/>
          <w:lang w:val="fr-CA"/>
        </w:rPr>
        <w:t>Nombre d'espèces rares ou en voie de disparition, par exemple éléphant, lion, etc.</w:t>
      </w:r>
    </w:p>
    <w:p w14:paraId="4C8EC22A" w14:textId="77777777" w:rsidR="00302BFE" w:rsidRPr="00CF512D" w:rsidRDefault="00302BFE" w:rsidP="00C46720">
      <w:pPr>
        <w:pStyle w:val="Paragraphedeliste"/>
        <w:numPr>
          <w:ilvl w:val="0"/>
          <w:numId w:val="37"/>
        </w:numPr>
        <w:spacing w:before="120" w:after="120"/>
        <w:contextualSpacing/>
        <w:rPr>
          <w:rFonts w:ascii="Calibri" w:hAnsi="Calibri"/>
          <w:sz w:val="20"/>
          <w:szCs w:val="20"/>
          <w:lang w:val="fr-CA"/>
        </w:rPr>
      </w:pPr>
      <w:r w:rsidRPr="00CF512D">
        <w:rPr>
          <w:rFonts w:ascii="Calibri" w:hAnsi="Calibri"/>
          <w:sz w:val="20"/>
          <w:szCs w:val="20"/>
          <w:lang w:val="fr-CA"/>
        </w:rPr>
        <w:t>Densité des espèces en voie de disparition / rares</w:t>
      </w:r>
    </w:p>
    <w:p w14:paraId="1BBBAD69" w14:textId="77777777" w:rsidR="00302BFE" w:rsidRPr="00CF512D" w:rsidRDefault="00302BFE" w:rsidP="00C46720">
      <w:pPr>
        <w:pStyle w:val="Paragraphedeliste"/>
        <w:numPr>
          <w:ilvl w:val="0"/>
          <w:numId w:val="37"/>
        </w:numPr>
        <w:spacing w:before="120" w:after="120"/>
        <w:contextualSpacing/>
        <w:rPr>
          <w:rFonts w:ascii="Calibri" w:hAnsi="Calibri"/>
          <w:sz w:val="20"/>
          <w:szCs w:val="20"/>
          <w:lang w:val="fr-CA"/>
        </w:rPr>
      </w:pPr>
      <w:r w:rsidRPr="00CF512D">
        <w:rPr>
          <w:rFonts w:ascii="Calibri" w:hAnsi="Calibri"/>
          <w:sz w:val="20"/>
          <w:szCs w:val="20"/>
          <w:lang w:val="fr-CA"/>
        </w:rPr>
        <w:t>Densité des proies pour les prédateurs</w:t>
      </w:r>
    </w:p>
    <w:p w14:paraId="09F85B0E" w14:textId="77777777" w:rsidR="00302BFE" w:rsidRPr="00CF512D" w:rsidRDefault="00302BFE" w:rsidP="00C46720">
      <w:pPr>
        <w:pStyle w:val="Paragraphedeliste"/>
        <w:numPr>
          <w:ilvl w:val="0"/>
          <w:numId w:val="37"/>
        </w:numPr>
        <w:spacing w:before="120" w:after="120"/>
        <w:contextualSpacing/>
        <w:rPr>
          <w:rFonts w:ascii="Calibri" w:hAnsi="Calibri"/>
          <w:sz w:val="20"/>
          <w:szCs w:val="20"/>
          <w:lang w:val="fr-CA"/>
        </w:rPr>
      </w:pPr>
      <w:r w:rsidRPr="00CF512D">
        <w:rPr>
          <w:rFonts w:ascii="Calibri" w:hAnsi="Calibri"/>
          <w:sz w:val="20"/>
          <w:szCs w:val="20"/>
          <w:lang w:val="fr-CA"/>
        </w:rPr>
        <w:t>Nombre d'espèces sauvages tuées par braconnage</w:t>
      </w:r>
    </w:p>
    <w:p w14:paraId="17C9ED9F" w14:textId="77777777" w:rsidR="00302BFE" w:rsidRPr="00CF512D" w:rsidRDefault="00302BFE" w:rsidP="00C46720">
      <w:pPr>
        <w:pStyle w:val="Paragraphedeliste"/>
        <w:numPr>
          <w:ilvl w:val="0"/>
          <w:numId w:val="37"/>
        </w:numPr>
        <w:spacing w:before="120" w:after="120"/>
        <w:contextualSpacing/>
        <w:rPr>
          <w:rFonts w:ascii="Calibri" w:hAnsi="Calibri"/>
          <w:sz w:val="20"/>
          <w:szCs w:val="20"/>
          <w:lang w:val="fr-CA"/>
        </w:rPr>
      </w:pPr>
      <w:r w:rsidRPr="00CF512D">
        <w:rPr>
          <w:rFonts w:ascii="Calibri" w:hAnsi="Calibri"/>
          <w:sz w:val="20"/>
          <w:szCs w:val="20"/>
          <w:lang w:val="fr-CA"/>
        </w:rPr>
        <w:t>Nombre d'espèces sauvages blessées lors de tentatives de braconnage</w:t>
      </w:r>
    </w:p>
    <w:p w14:paraId="38ADB5D1" w14:textId="77777777" w:rsidR="00302BFE" w:rsidRPr="00CF512D" w:rsidRDefault="00302BFE" w:rsidP="00C46720">
      <w:pPr>
        <w:pStyle w:val="Paragraphedeliste"/>
        <w:numPr>
          <w:ilvl w:val="0"/>
          <w:numId w:val="37"/>
        </w:numPr>
        <w:spacing w:before="120" w:after="120"/>
        <w:contextualSpacing/>
        <w:rPr>
          <w:rFonts w:ascii="Calibri" w:hAnsi="Calibri"/>
          <w:sz w:val="20"/>
          <w:szCs w:val="20"/>
          <w:lang w:val="fr-CA"/>
        </w:rPr>
      </w:pPr>
      <w:r w:rsidRPr="00CF512D">
        <w:rPr>
          <w:rFonts w:ascii="Calibri" w:hAnsi="Calibri"/>
          <w:sz w:val="20"/>
          <w:szCs w:val="20"/>
          <w:lang w:val="fr-CA"/>
        </w:rPr>
        <w:lastRenderedPageBreak/>
        <w:t>Nombre d'espèces sauvages supprimées / euthanasiées</w:t>
      </w:r>
    </w:p>
    <w:p w14:paraId="7B24F095" w14:textId="77777777" w:rsidR="00302BFE" w:rsidRPr="00CF512D" w:rsidRDefault="00302BFE" w:rsidP="00C46720">
      <w:pPr>
        <w:pStyle w:val="Paragraphedeliste"/>
        <w:numPr>
          <w:ilvl w:val="0"/>
          <w:numId w:val="37"/>
        </w:numPr>
        <w:spacing w:before="120" w:after="120"/>
        <w:contextualSpacing/>
        <w:rPr>
          <w:rFonts w:ascii="Calibri" w:hAnsi="Calibri"/>
          <w:sz w:val="20"/>
          <w:szCs w:val="20"/>
          <w:lang w:val="fr-CA"/>
        </w:rPr>
      </w:pPr>
      <w:r w:rsidRPr="00CF512D">
        <w:rPr>
          <w:rFonts w:ascii="Calibri" w:hAnsi="Calibri"/>
          <w:sz w:val="20"/>
          <w:szCs w:val="20"/>
          <w:lang w:val="fr-CA"/>
        </w:rPr>
        <w:t>Nombre de cas de criminalité liée aux espèces sauvages enregistrés (impliquant prise au collet, piégeage, empoisonnement, électrocution, chasse, etc.)</w:t>
      </w:r>
    </w:p>
    <w:p w14:paraId="532E8647" w14:textId="77777777" w:rsidR="00302BFE" w:rsidRPr="00CF512D" w:rsidRDefault="00302BFE" w:rsidP="00C46720">
      <w:pPr>
        <w:pStyle w:val="Paragraphedeliste"/>
        <w:numPr>
          <w:ilvl w:val="0"/>
          <w:numId w:val="37"/>
        </w:numPr>
        <w:spacing w:before="120" w:after="120"/>
        <w:contextualSpacing/>
        <w:rPr>
          <w:rFonts w:ascii="Calibri" w:hAnsi="Calibri"/>
          <w:sz w:val="20"/>
          <w:szCs w:val="20"/>
          <w:lang w:val="fr-CA"/>
        </w:rPr>
      </w:pPr>
      <w:r w:rsidRPr="00CF512D">
        <w:rPr>
          <w:rFonts w:ascii="Calibri" w:hAnsi="Calibri"/>
          <w:sz w:val="20"/>
          <w:szCs w:val="20"/>
          <w:lang w:val="fr-CA"/>
        </w:rPr>
        <w:t>Nombre d'espèces fauniques en divagation en dehors des zones protégées</w:t>
      </w:r>
    </w:p>
    <w:p w14:paraId="3AE23F44" w14:textId="77777777" w:rsidR="00302BFE" w:rsidRPr="00CF512D" w:rsidRDefault="00302BFE" w:rsidP="00C46720">
      <w:pPr>
        <w:pStyle w:val="Paragraphedeliste"/>
        <w:numPr>
          <w:ilvl w:val="0"/>
          <w:numId w:val="37"/>
        </w:numPr>
        <w:spacing w:before="120" w:after="120"/>
        <w:contextualSpacing/>
        <w:rPr>
          <w:rFonts w:ascii="Calibri" w:hAnsi="Calibri"/>
          <w:sz w:val="20"/>
          <w:szCs w:val="20"/>
          <w:lang w:val="fr-CA"/>
        </w:rPr>
      </w:pPr>
      <w:r w:rsidRPr="00CF512D">
        <w:rPr>
          <w:rFonts w:ascii="Calibri" w:hAnsi="Calibri"/>
          <w:sz w:val="20"/>
          <w:szCs w:val="20"/>
          <w:lang w:val="fr-CA"/>
        </w:rPr>
        <w:t>Nombre de plans spatiaux en place sur les sites de conflit élevé (c.-à-zones tampons de PA / NP)</w:t>
      </w:r>
    </w:p>
    <w:p w14:paraId="14A1D5A5" w14:textId="77777777" w:rsidR="00302BFE" w:rsidRPr="00CF512D" w:rsidRDefault="00302BFE" w:rsidP="00C46720">
      <w:pPr>
        <w:pStyle w:val="Paragraphedeliste"/>
        <w:numPr>
          <w:ilvl w:val="0"/>
          <w:numId w:val="37"/>
        </w:numPr>
        <w:spacing w:before="120" w:after="120"/>
        <w:contextualSpacing/>
        <w:rPr>
          <w:rFonts w:ascii="Calibri" w:hAnsi="Calibri"/>
          <w:sz w:val="20"/>
          <w:szCs w:val="20"/>
          <w:lang w:val="fr-CA"/>
        </w:rPr>
      </w:pPr>
      <w:r w:rsidRPr="00CF512D">
        <w:rPr>
          <w:rFonts w:ascii="Calibri" w:hAnsi="Calibri"/>
          <w:sz w:val="20"/>
          <w:szCs w:val="20"/>
          <w:lang w:val="fr-CA"/>
        </w:rPr>
        <w:t>Hectares d'habitat perdus</w:t>
      </w:r>
    </w:p>
    <w:p w14:paraId="1F8DC86D" w14:textId="77777777" w:rsidR="00302BFE" w:rsidRPr="00CF512D" w:rsidRDefault="00302BFE" w:rsidP="00C46720">
      <w:pPr>
        <w:pStyle w:val="Paragraphedeliste"/>
        <w:numPr>
          <w:ilvl w:val="0"/>
          <w:numId w:val="37"/>
        </w:numPr>
        <w:spacing w:before="120" w:after="120"/>
        <w:contextualSpacing/>
        <w:rPr>
          <w:rFonts w:ascii="Calibri" w:hAnsi="Calibri"/>
          <w:sz w:val="20"/>
          <w:szCs w:val="20"/>
          <w:lang w:val="fr-CA"/>
        </w:rPr>
      </w:pPr>
      <w:r w:rsidRPr="00CF512D">
        <w:rPr>
          <w:rFonts w:ascii="Calibri" w:hAnsi="Calibri"/>
          <w:sz w:val="20"/>
          <w:szCs w:val="20"/>
          <w:lang w:val="fr-CA"/>
        </w:rPr>
        <w:t xml:space="preserve">Hectares d’habitat gagnés </w:t>
      </w:r>
    </w:p>
    <w:p w14:paraId="1D4EBAE4" w14:textId="77777777" w:rsidR="00302BFE" w:rsidRPr="00CF512D" w:rsidRDefault="00302BFE" w:rsidP="00C46720">
      <w:pPr>
        <w:pStyle w:val="Paragraphedeliste"/>
        <w:numPr>
          <w:ilvl w:val="0"/>
          <w:numId w:val="37"/>
        </w:numPr>
        <w:spacing w:before="120" w:after="120"/>
        <w:contextualSpacing/>
        <w:rPr>
          <w:rFonts w:ascii="Calibri" w:hAnsi="Calibri"/>
          <w:sz w:val="20"/>
          <w:szCs w:val="20"/>
          <w:lang w:val="fr-CA"/>
        </w:rPr>
      </w:pPr>
      <w:r w:rsidRPr="00CF512D">
        <w:rPr>
          <w:rFonts w:ascii="Calibri" w:hAnsi="Calibri"/>
          <w:sz w:val="20"/>
          <w:szCs w:val="20"/>
          <w:lang w:val="fr-CA"/>
        </w:rPr>
        <w:t xml:space="preserve">Taux de perte d'habitat Ha / an </w:t>
      </w:r>
    </w:p>
    <w:p w14:paraId="706486A1" w14:textId="77777777" w:rsidR="00302BFE" w:rsidRPr="00CF512D" w:rsidRDefault="00302BFE" w:rsidP="00C46720">
      <w:pPr>
        <w:pStyle w:val="Paragraphedeliste"/>
        <w:numPr>
          <w:ilvl w:val="0"/>
          <w:numId w:val="37"/>
        </w:numPr>
        <w:spacing w:before="120" w:after="120"/>
        <w:contextualSpacing/>
        <w:rPr>
          <w:rFonts w:ascii="Calibri" w:hAnsi="Calibri"/>
          <w:sz w:val="20"/>
          <w:szCs w:val="20"/>
          <w:lang w:val="fr-CA"/>
        </w:rPr>
      </w:pPr>
      <w:r w:rsidRPr="00CF512D">
        <w:rPr>
          <w:rFonts w:ascii="Calibri" w:hAnsi="Calibri"/>
          <w:sz w:val="20"/>
          <w:szCs w:val="20"/>
          <w:lang w:val="fr-CA"/>
        </w:rPr>
        <w:t xml:space="preserve">Taux d’occupation des espèces prioritaires </w:t>
      </w:r>
    </w:p>
    <w:p w14:paraId="5B8DCB78" w14:textId="77777777" w:rsidR="00302BFE" w:rsidRPr="00CF512D" w:rsidRDefault="00302BFE" w:rsidP="00C46720">
      <w:pPr>
        <w:pStyle w:val="Paragraphedeliste"/>
        <w:numPr>
          <w:ilvl w:val="0"/>
          <w:numId w:val="37"/>
        </w:numPr>
        <w:spacing w:before="120" w:after="120"/>
        <w:contextualSpacing/>
        <w:rPr>
          <w:rFonts w:ascii="Calibri" w:hAnsi="Calibri"/>
          <w:sz w:val="20"/>
          <w:szCs w:val="20"/>
          <w:lang w:val="fr-CA"/>
        </w:rPr>
      </w:pPr>
      <w:r w:rsidRPr="00CF512D">
        <w:rPr>
          <w:rFonts w:ascii="Calibri" w:hAnsi="Calibri"/>
          <w:sz w:val="20"/>
          <w:szCs w:val="20"/>
          <w:lang w:val="fr-CA"/>
        </w:rPr>
        <w:t xml:space="preserve">Hectares d’aires protégées sous régime de gestion reconnu </w:t>
      </w:r>
    </w:p>
    <w:p w14:paraId="69C39388" w14:textId="77777777" w:rsidR="00302BFE" w:rsidRPr="00CF512D" w:rsidRDefault="00302BFE" w:rsidP="00C46720">
      <w:pPr>
        <w:pStyle w:val="Paragraphedeliste"/>
        <w:numPr>
          <w:ilvl w:val="0"/>
          <w:numId w:val="37"/>
        </w:numPr>
        <w:spacing w:before="120" w:after="120"/>
        <w:contextualSpacing/>
        <w:rPr>
          <w:rFonts w:ascii="Calibri" w:hAnsi="Calibri"/>
          <w:sz w:val="20"/>
          <w:szCs w:val="20"/>
          <w:lang w:val="fr-CA"/>
        </w:rPr>
      </w:pPr>
      <w:r w:rsidRPr="00CF512D">
        <w:rPr>
          <w:rFonts w:ascii="Calibri" w:hAnsi="Calibri"/>
          <w:sz w:val="20"/>
          <w:szCs w:val="20"/>
          <w:lang w:val="fr-CA"/>
        </w:rPr>
        <w:t xml:space="preserve">Durée de vie des corridors écologiques </w:t>
      </w:r>
    </w:p>
    <w:p w14:paraId="0EFFB98D" w14:textId="77777777" w:rsidR="00302BFE" w:rsidRPr="00CF512D" w:rsidRDefault="00302BFE" w:rsidP="00C46720">
      <w:pPr>
        <w:pStyle w:val="Paragraphedeliste"/>
        <w:numPr>
          <w:ilvl w:val="0"/>
          <w:numId w:val="37"/>
        </w:numPr>
        <w:spacing w:before="120" w:after="120"/>
        <w:contextualSpacing/>
        <w:rPr>
          <w:rFonts w:ascii="Calibri" w:hAnsi="Calibri"/>
          <w:sz w:val="20"/>
          <w:szCs w:val="20"/>
          <w:lang w:val="fr-CA"/>
        </w:rPr>
      </w:pPr>
      <w:r w:rsidRPr="00CF512D">
        <w:rPr>
          <w:rFonts w:ascii="Calibri" w:hAnsi="Calibri"/>
          <w:sz w:val="20"/>
          <w:szCs w:val="20"/>
          <w:lang w:val="fr-CA"/>
        </w:rPr>
        <w:t>Proportion des liens critiques avec les plans et les directives d'utilisation des terres qui sont opérationnels</w:t>
      </w:r>
    </w:p>
    <w:p w14:paraId="037E1458" w14:textId="77777777" w:rsidR="00302BFE" w:rsidRPr="00CF512D" w:rsidRDefault="00302BFE" w:rsidP="00302BFE">
      <w:pPr>
        <w:spacing w:before="120" w:after="120"/>
        <w:rPr>
          <w:rFonts w:eastAsia="Times New Roman"/>
          <w:b/>
          <w:bCs/>
          <w:color w:val="4472C4"/>
          <w:szCs w:val="20"/>
          <w:lang w:val="fr-CA"/>
        </w:rPr>
      </w:pPr>
      <w:r w:rsidRPr="00CF512D">
        <w:rPr>
          <w:rFonts w:eastAsia="Times New Roman"/>
          <w:b/>
          <w:bCs/>
          <w:color w:val="4472C4"/>
          <w:szCs w:val="20"/>
          <w:lang w:val="fr-CA"/>
        </w:rPr>
        <w:t>Suivi de l'impact et de la gravité</w:t>
      </w:r>
    </w:p>
    <w:p w14:paraId="16DF1756" w14:textId="77777777" w:rsidR="00302BFE" w:rsidRPr="00CF512D" w:rsidRDefault="00302BFE" w:rsidP="00302BFE">
      <w:pPr>
        <w:spacing w:before="120" w:after="120"/>
        <w:rPr>
          <w:i/>
          <w:szCs w:val="20"/>
          <w:lang w:val="fr-CA"/>
        </w:rPr>
      </w:pPr>
      <w:r w:rsidRPr="00CF512D">
        <w:rPr>
          <w:rFonts w:eastAsia="Times New Roman"/>
          <w:b/>
          <w:bCs/>
          <w:color w:val="4472C4"/>
          <w:szCs w:val="20"/>
          <w:lang w:val="fr-CA"/>
        </w:rPr>
        <w:t xml:space="preserve">Question: </w:t>
      </w:r>
      <w:r w:rsidRPr="00CF512D">
        <w:rPr>
          <w:i/>
          <w:szCs w:val="20"/>
          <w:lang w:val="fr-CA"/>
        </w:rPr>
        <w:t>Existe-t-il une compréhension claire du coût humain et financier local du conflit ?</w:t>
      </w:r>
    </w:p>
    <w:p w14:paraId="078F0DE5" w14:textId="77777777" w:rsidR="00302BFE" w:rsidRPr="00CF512D" w:rsidRDefault="00302BFE" w:rsidP="00302BFE">
      <w:pPr>
        <w:spacing w:before="120" w:after="120"/>
        <w:rPr>
          <w:szCs w:val="20"/>
          <w:lang w:val="fr-CA"/>
        </w:rPr>
      </w:pPr>
      <w:r w:rsidRPr="00CF512D">
        <w:rPr>
          <w:szCs w:val="20"/>
          <w:lang w:val="fr-CA"/>
        </w:rPr>
        <w:t>Le coût financier et humain du conflit est connu et suivi. Cela peut inclure: fréquence, intensité, durée, coût monétaire, coûts d'opportunité, coûts indirects et impacts des conflits à court et à long terme.</w:t>
      </w:r>
    </w:p>
    <w:p w14:paraId="1614C0E4" w14:textId="77777777" w:rsidR="00302BFE" w:rsidRPr="00CF512D" w:rsidRDefault="00302BFE" w:rsidP="00302BFE">
      <w:pPr>
        <w:spacing w:before="120" w:after="0"/>
        <w:rPr>
          <w:szCs w:val="20"/>
        </w:rPr>
      </w:pPr>
      <w:r w:rsidRPr="00CF512D">
        <w:rPr>
          <w:szCs w:val="20"/>
        </w:rPr>
        <w:t>Statistiques clés nécessaires:</w:t>
      </w:r>
    </w:p>
    <w:p w14:paraId="3538B53C" w14:textId="77777777" w:rsidR="00302BFE" w:rsidRPr="00CF512D" w:rsidRDefault="00302BFE" w:rsidP="00C46720">
      <w:pPr>
        <w:pStyle w:val="Paragraphedeliste"/>
        <w:numPr>
          <w:ilvl w:val="0"/>
          <w:numId w:val="37"/>
        </w:numPr>
        <w:spacing w:after="120"/>
        <w:ind w:left="714" w:hanging="357"/>
        <w:contextualSpacing/>
        <w:rPr>
          <w:rFonts w:ascii="Calibri" w:hAnsi="Calibri"/>
          <w:sz w:val="20"/>
          <w:szCs w:val="20"/>
          <w:lang w:val="fr-CA"/>
        </w:rPr>
      </w:pPr>
      <w:r w:rsidRPr="00CF512D">
        <w:rPr>
          <w:rFonts w:ascii="Calibri" w:hAnsi="Calibri"/>
          <w:sz w:val="20"/>
          <w:szCs w:val="20"/>
          <w:lang w:val="fr-CA"/>
        </w:rPr>
        <w:t>Nombre, emplacement et coût du bétail tué ou blessé p / mois; p / an</w:t>
      </w:r>
    </w:p>
    <w:p w14:paraId="5B8D806F" w14:textId="77777777" w:rsidR="00302BFE" w:rsidRPr="00CF512D" w:rsidRDefault="00302BFE" w:rsidP="00C46720">
      <w:pPr>
        <w:pStyle w:val="Paragraphedeliste"/>
        <w:numPr>
          <w:ilvl w:val="0"/>
          <w:numId w:val="37"/>
        </w:numPr>
        <w:spacing w:before="120" w:after="120"/>
        <w:contextualSpacing/>
        <w:rPr>
          <w:rFonts w:ascii="Calibri" w:hAnsi="Calibri"/>
          <w:sz w:val="20"/>
          <w:szCs w:val="20"/>
          <w:lang w:val="fr-CA"/>
        </w:rPr>
      </w:pPr>
      <w:r w:rsidRPr="00CF512D">
        <w:rPr>
          <w:rFonts w:ascii="Calibri" w:hAnsi="Calibri"/>
          <w:sz w:val="20"/>
          <w:szCs w:val="20"/>
          <w:lang w:val="fr-CA"/>
        </w:rPr>
        <w:t>Nombre, emplacement et le coût des incidents de pillage des récoltes p / mois; p / an</w:t>
      </w:r>
    </w:p>
    <w:p w14:paraId="5E8500A8" w14:textId="77777777" w:rsidR="00302BFE" w:rsidRPr="00CF512D" w:rsidRDefault="00302BFE" w:rsidP="00C46720">
      <w:pPr>
        <w:pStyle w:val="Paragraphedeliste"/>
        <w:numPr>
          <w:ilvl w:val="0"/>
          <w:numId w:val="37"/>
        </w:numPr>
        <w:spacing w:before="120" w:after="120"/>
        <w:contextualSpacing/>
        <w:rPr>
          <w:rFonts w:ascii="Calibri" w:hAnsi="Calibri"/>
          <w:sz w:val="20"/>
          <w:szCs w:val="20"/>
          <w:lang w:val="fr-CA"/>
        </w:rPr>
      </w:pPr>
      <w:r w:rsidRPr="00CF512D">
        <w:rPr>
          <w:rFonts w:ascii="Calibri" w:hAnsi="Calibri"/>
          <w:sz w:val="20"/>
          <w:szCs w:val="20"/>
          <w:lang w:val="fr-CA"/>
        </w:rPr>
        <w:t>Nombre et emplacement des personnes tuées ou blessées p / mois; p / an</w:t>
      </w:r>
    </w:p>
    <w:p w14:paraId="2F77212C" w14:textId="77777777" w:rsidR="00302BFE" w:rsidRPr="00CF512D" w:rsidRDefault="00302BFE" w:rsidP="00C46720">
      <w:pPr>
        <w:pStyle w:val="Paragraphedeliste"/>
        <w:numPr>
          <w:ilvl w:val="0"/>
          <w:numId w:val="37"/>
        </w:numPr>
        <w:spacing w:before="120" w:after="120"/>
        <w:contextualSpacing/>
        <w:rPr>
          <w:rFonts w:ascii="Calibri" w:hAnsi="Calibri"/>
          <w:sz w:val="20"/>
          <w:szCs w:val="20"/>
          <w:lang w:val="fr-CA"/>
        </w:rPr>
      </w:pPr>
      <w:r w:rsidRPr="00CF512D">
        <w:rPr>
          <w:rFonts w:ascii="Calibri" w:hAnsi="Calibri"/>
          <w:sz w:val="20"/>
          <w:szCs w:val="20"/>
          <w:lang w:val="fr-CA"/>
        </w:rPr>
        <w:t>Statistiques de perte de récolte</w:t>
      </w:r>
    </w:p>
    <w:p w14:paraId="08405D4B" w14:textId="77777777" w:rsidR="00302BFE" w:rsidRPr="00CF512D" w:rsidRDefault="00302BFE" w:rsidP="00C46720">
      <w:pPr>
        <w:pStyle w:val="Paragraphedeliste"/>
        <w:numPr>
          <w:ilvl w:val="0"/>
          <w:numId w:val="37"/>
        </w:numPr>
        <w:spacing w:before="120" w:after="120"/>
        <w:contextualSpacing/>
        <w:rPr>
          <w:rFonts w:ascii="Calibri" w:hAnsi="Calibri"/>
          <w:sz w:val="20"/>
          <w:szCs w:val="20"/>
          <w:lang w:val="fr-CA"/>
        </w:rPr>
      </w:pPr>
      <w:r w:rsidRPr="00CF512D">
        <w:rPr>
          <w:rFonts w:ascii="Calibri" w:hAnsi="Calibri"/>
          <w:sz w:val="20"/>
          <w:szCs w:val="20"/>
          <w:lang w:val="fr-CA"/>
        </w:rPr>
        <w:t>Fréquence des raids sur les cultures; fois / mois</w:t>
      </w:r>
    </w:p>
    <w:p w14:paraId="2847C497" w14:textId="77777777" w:rsidR="00302BFE" w:rsidRPr="00CF512D" w:rsidRDefault="00302BFE" w:rsidP="00C46720">
      <w:pPr>
        <w:pStyle w:val="Paragraphedeliste"/>
        <w:numPr>
          <w:ilvl w:val="0"/>
          <w:numId w:val="37"/>
        </w:numPr>
        <w:spacing w:before="120" w:after="120"/>
        <w:contextualSpacing/>
        <w:rPr>
          <w:rFonts w:ascii="Calibri" w:hAnsi="Calibri"/>
          <w:sz w:val="20"/>
          <w:szCs w:val="20"/>
          <w:lang w:val="fr-CA"/>
        </w:rPr>
      </w:pPr>
      <w:r w:rsidRPr="00CF512D">
        <w:rPr>
          <w:rFonts w:ascii="Calibri" w:hAnsi="Calibri"/>
          <w:sz w:val="20"/>
          <w:szCs w:val="20"/>
          <w:lang w:val="fr-CA"/>
        </w:rPr>
        <w:t>Gravité des coûts de destruction des cultures $ / mois</w:t>
      </w:r>
    </w:p>
    <w:p w14:paraId="644D8D20" w14:textId="77777777" w:rsidR="00302BFE" w:rsidRPr="00CF512D" w:rsidRDefault="00302BFE" w:rsidP="00C46720">
      <w:pPr>
        <w:pStyle w:val="Paragraphedeliste"/>
        <w:numPr>
          <w:ilvl w:val="0"/>
          <w:numId w:val="37"/>
        </w:numPr>
        <w:spacing w:before="120" w:after="120"/>
        <w:contextualSpacing/>
        <w:rPr>
          <w:rFonts w:ascii="Calibri" w:hAnsi="Calibri"/>
          <w:sz w:val="20"/>
          <w:szCs w:val="20"/>
          <w:lang w:val="fr-CA"/>
        </w:rPr>
      </w:pPr>
      <w:r w:rsidRPr="00CF512D">
        <w:rPr>
          <w:rFonts w:ascii="Calibri" w:hAnsi="Calibri"/>
          <w:sz w:val="20"/>
          <w:szCs w:val="20"/>
          <w:lang w:val="fr-CA"/>
        </w:rPr>
        <w:t>Calendrier des mois et des moments de la journée pour les raids sur les cultures</w:t>
      </w:r>
    </w:p>
    <w:p w14:paraId="0E2BEE47" w14:textId="77777777" w:rsidR="00302BFE" w:rsidRPr="00CF512D" w:rsidRDefault="00302BFE" w:rsidP="00C46720">
      <w:pPr>
        <w:pStyle w:val="Paragraphedeliste"/>
        <w:numPr>
          <w:ilvl w:val="0"/>
          <w:numId w:val="37"/>
        </w:numPr>
        <w:spacing w:before="120" w:after="120"/>
        <w:contextualSpacing/>
        <w:rPr>
          <w:rFonts w:ascii="Calibri" w:hAnsi="Calibri"/>
          <w:sz w:val="20"/>
          <w:szCs w:val="20"/>
          <w:lang w:val="fr-CA"/>
        </w:rPr>
      </w:pPr>
      <w:r w:rsidRPr="00CF512D">
        <w:rPr>
          <w:rFonts w:ascii="Calibri" w:hAnsi="Calibri"/>
          <w:sz w:val="20"/>
          <w:szCs w:val="20"/>
          <w:lang w:val="fr-CA"/>
        </w:rPr>
        <w:t>Localisation des cultures perdues à côté de l'AP / à l'intérieur de l'AP / au village</w:t>
      </w:r>
    </w:p>
    <w:p w14:paraId="4660D19D" w14:textId="77777777" w:rsidR="00302BFE" w:rsidRPr="00CF512D" w:rsidRDefault="00302BFE" w:rsidP="00C46720">
      <w:pPr>
        <w:pStyle w:val="Paragraphedeliste"/>
        <w:numPr>
          <w:ilvl w:val="0"/>
          <w:numId w:val="37"/>
        </w:numPr>
        <w:spacing w:before="120" w:after="120"/>
        <w:contextualSpacing/>
        <w:rPr>
          <w:rFonts w:ascii="Calibri" w:hAnsi="Calibri"/>
          <w:sz w:val="20"/>
          <w:szCs w:val="20"/>
          <w:lang w:val="fr-CA"/>
        </w:rPr>
      </w:pPr>
      <w:r w:rsidRPr="00CF512D">
        <w:rPr>
          <w:rFonts w:ascii="Calibri" w:hAnsi="Calibri"/>
          <w:sz w:val="20"/>
          <w:szCs w:val="20"/>
          <w:lang w:val="fr-CA"/>
        </w:rPr>
        <w:t>Compensation $ décaissée / mois / année</w:t>
      </w:r>
    </w:p>
    <w:p w14:paraId="0B565A3E" w14:textId="77777777" w:rsidR="00302BFE" w:rsidRPr="00CF512D" w:rsidRDefault="00302BFE" w:rsidP="00C46720">
      <w:pPr>
        <w:pStyle w:val="Paragraphedeliste"/>
        <w:numPr>
          <w:ilvl w:val="0"/>
          <w:numId w:val="37"/>
        </w:numPr>
        <w:spacing w:before="120" w:after="120"/>
        <w:contextualSpacing/>
        <w:rPr>
          <w:rFonts w:ascii="Calibri" w:hAnsi="Calibri"/>
          <w:sz w:val="20"/>
          <w:szCs w:val="20"/>
          <w:lang w:val="fr-CA"/>
        </w:rPr>
      </w:pPr>
      <w:r w:rsidRPr="00CF512D">
        <w:rPr>
          <w:rFonts w:ascii="Calibri" w:hAnsi="Calibri"/>
          <w:sz w:val="20"/>
          <w:szCs w:val="20"/>
          <w:lang w:val="fr-CA"/>
        </w:rPr>
        <w:t>Adhésion à un programme d'assurance; nombre de membres</w:t>
      </w:r>
    </w:p>
    <w:p w14:paraId="0AD0A6B6" w14:textId="77777777" w:rsidR="00302BFE" w:rsidRPr="00CF512D" w:rsidRDefault="00302BFE" w:rsidP="00C46720">
      <w:pPr>
        <w:pStyle w:val="Paragraphedeliste"/>
        <w:numPr>
          <w:ilvl w:val="0"/>
          <w:numId w:val="37"/>
        </w:numPr>
        <w:spacing w:before="120" w:after="120"/>
        <w:contextualSpacing/>
        <w:rPr>
          <w:rFonts w:ascii="Calibri" w:hAnsi="Calibri"/>
          <w:sz w:val="20"/>
          <w:szCs w:val="20"/>
          <w:lang w:val="fr-CA"/>
        </w:rPr>
      </w:pPr>
      <w:r w:rsidRPr="00CF512D">
        <w:rPr>
          <w:rFonts w:ascii="Calibri" w:hAnsi="Calibri"/>
          <w:sz w:val="20"/>
          <w:szCs w:val="20"/>
          <w:lang w:val="fr-CA"/>
        </w:rPr>
        <w:t xml:space="preserve">Nombre </w:t>
      </w:r>
      <w:r>
        <w:rPr>
          <w:rFonts w:ascii="Calibri" w:hAnsi="Calibri"/>
          <w:sz w:val="20"/>
          <w:szCs w:val="20"/>
          <w:lang w:val="fr-CA"/>
        </w:rPr>
        <w:t xml:space="preserve">et densité </w:t>
      </w:r>
      <w:r w:rsidRPr="00CF512D">
        <w:rPr>
          <w:rFonts w:ascii="Calibri" w:hAnsi="Calibri"/>
          <w:sz w:val="20"/>
          <w:szCs w:val="20"/>
          <w:lang w:val="fr-CA"/>
        </w:rPr>
        <w:t>d</w:t>
      </w:r>
      <w:r>
        <w:rPr>
          <w:rFonts w:ascii="Calibri" w:hAnsi="Calibri"/>
          <w:sz w:val="20"/>
          <w:szCs w:val="20"/>
          <w:lang w:val="fr-CA"/>
        </w:rPr>
        <w:t>u</w:t>
      </w:r>
      <w:r w:rsidRPr="00CF512D">
        <w:rPr>
          <w:rFonts w:ascii="Calibri" w:hAnsi="Calibri"/>
          <w:sz w:val="20"/>
          <w:szCs w:val="20"/>
          <w:lang w:val="fr-CA"/>
        </w:rPr>
        <w:t xml:space="preserve"> bétail</w:t>
      </w:r>
    </w:p>
    <w:p w14:paraId="019851B6" w14:textId="77777777" w:rsidR="00302BFE" w:rsidRPr="00CF512D" w:rsidRDefault="00302BFE" w:rsidP="00C46720">
      <w:pPr>
        <w:pStyle w:val="Paragraphedeliste"/>
        <w:numPr>
          <w:ilvl w:val="0"/>
          <w:numId w:val="37"/>
        </w:numPr>
        <w:spacing w:before="120" w:after="120"/>
        <w:contextualSpacing/>
        <w:rPr>
          <w:rFonts w:ascii="Calibri" w:hAnsi="Calibri"/>
          <w:sz w:val="20"/>
          <w:szCs w:val="20"/>
          <w:lang w:val="fr-CA"/>
        </w:rPr>
      </w:pPr>
      <w:r w:rsidRPr="00CF512D">
        <w:rPr>
          <w:rFonts w:ascii="Calibri" w:hAnsi="Calibri"/>
          <w:sz w:val="20"/>
          <w:szCs w:val="20"/>
          <w:lang w:val="fr-CA"/>
        </w:rPr>
        <w:t>Bétail tué dans une aire protégée</w:t>
      </w:r>
    </w:p>
    <w:p w14:paraId="4B83726E" w14:textId="77777777" w:rsidR="00302BFE" w:rsidRPr="00CF512D" w:rsidRDefault="00302BFE" w:rsidP="00C46720">
      <w:pPr>
        <w:pStyle w:val="Paragraphedeliste"/>
        <w:numPr>
          <w:ilvl w:val="0"/>
          <w:numId w:val="37"/>
        </w:numPr>
        <w:spacing w:before="120" w:after="120"/>
        <w:contextualSpacing/>
        <w:rPr>
          <w:rFonts w:ascii="Calibri" w:hAnsi="Calibri"/>
          <w:sz w:val="20"/>
          <w:szCs w:val="20"/>
          <w:lang w:val="fr-CA"/>
        </w:rPr>
      </w:pPr>
      <w:r w:rsidRPr="00CF512D">
        <w:rPr>
          <w:rFonts w:ascii="Calibri" w:hAnsi="Calibri"/>
          <w:sz w:val="20"/>
          <w:szCs w:val="20"/>
          <w:lang w:val="fr-CA"/>
        </w:rPr>
        <w:t>Bétail tué en dehors des aires protégées</w:t>
      </w:r>
    </w:p>
    <w:p w14:paraId="0CC9D276" w14:textId="77777777" w:rsidR="00302BFE" w:rsidRPr="00CF512D" w:rsidRDefault="00302BFE" w:rsidP="00C46720">
      <w:pPr>
        <w:pStyle w:val="Paragraphedeliste"/>
        <w:numPr>
          <w:ilvl w:val="0"/>
          <w:numId w:val="37"/>
        </w:numPr>
        <w:spacing w:before="120" w:after="120"/>
        <w:contextualSpacing/>
        <w:rPr>
          <w:rFonts w:ascii="Calibri" w:hAnsi="Calibri"/>
          <w:sz w:val="20"/>
          <w:szCs w:val="20"/>
          <w:lang w:val="fr-CA"/>
        </w:rPr>
      </w:pPr>
      <w:r w:rsidRPr="00CF512D">
        <w:rPr>
          <w:rFonts w:ascii="Calibri" w:hAnsi="Calibri"/>
          <w:sz w:val="20"/>
          <w:szCs w:val="20"/>
          <w:lang w:val="fr-CA"/>
        </w:rPr>
        <w:t>Bétail tué la nuit</w:t>
      </w:r>
    </w:p>
    <w:p w14:paraId="359BB868" w14:textId="77777777" w:rsidR="00302BFE" w:rsidRPr="00CF512D" w:rsidRDefault="00302BFE" w:rsidP="00C46720">
      <w:pPr>
        <w:pStyle w:val="Paragraphedeliste"/>
        <w:numPr>
          <w:ilvl w:val="0"/>
          <w:numId w:val="37"/>
        </w:numPr>
        <w:spacing w:before="120" w:after="120"/>
        <w:contextualSpacing/>
        <w:rPr>
          <w:rFonts w:ascii="Calibri" w:hAnsi="Calibri"/>
          <w:sz w:val="20"/>
          <w:szCs w:val="20"/>
          <w:lang w:val="fr-CA"/>
        </w:rPr>
      </w:pPr>
      <w:r w:rsidRPr="00CF512D">
        <w:rPr>
          <w:rFonts w:ascii="Calibri" w:hAnsi="Calibri"/>
          <w:sz w:val="20"/>
          <w:szCs w:val="20"/>
          <w:lang w:val="fr-CA"/>
        </w:rPr>
        <w:t>Bétail tué pendant la journée</w:t>
      </w:r>
    </w:p>
    <w:p w14:paraId="31FE48D2" w14:textId="77777777" w:rsidR="00302BFE" w:rsidRPr="00CF512D" w:rsidRDefault="00302BFE" w:rsidP="00C46720">
      <w:pPr>
        <w:pStyle w:val="Paragraphedeliste"/>
        <w:numPr>
          <w:ilvl w:val="0"/>
          <w:numId w:val="37"/>
        </w:numPr>
        <w:spacing w:before="120" w:after="120"/>
        <w:contextualSpacing/>
        <w:rPr>
          <w:rFonts w:ascii="Calibri" w:hAnsi="Calibri"/>
          <w:sz w:val="20"/>
          <w:szCs w:val="20"/>
          <w:lang w:val="fr-CA"/>
        </w:rPr>
      </w:pPr>
      <w:r w:rsidRPr="00CF512D">
        <w:rPr>
          <w:rFonts w:ascii="Calibri" w:hAnsi="Calibri"/>
          <w:sz w:val="20"/>
          <w:szCs w:val="20"/>
          <w:lang w:val="fr-CA"/>
        </w:rPr>
        <w:t>Bétail tué tout en étant parqué / surveillé</w:t>
      </w:r>
    </w:p>
    <w:p w14:paraId="033C6E5E" w14:textId="77777777" w:rsidR="00302BFE" w:rsidRPr="00CF512D" w:rsidRDefault="00302BFE" w:rsidP="00C46720">
      <w:pPr>
        <w:pStyle w:val="Paragraphedeliste"/>
        <w:numPr>
          <w:ilvl w:val="0"/>
          <w:numId w:val="37"/>
        </w:numPr>
        <w:spacing w:before="120" w:after="120"/>
        <w:contextualSpacing/>
        <w:rPr>
          <w:rFonts w:ascii="Calibri" w:hAnsi="Calibri"/>
          <w:sz w:val="20"/>
          <w:szCs w:val="20"/>
          <w:lang w:val="fr-CA"/>
        </w:rPr>
      </w:pPr>
      <w:r w:rsidRPr="00CF512D">
        <w:rPr>
          <w:rFonts w:ascii="Calibri" w:hAnsi="Calibri"/>
          <w:sz w:val="20"/>
          <w:szCs w:val="20"/>
          <w:lang w:val="fr-CA"/>
        </w:rPr>
        <w:t>Taux de prédation du bétail; nombre / année / mois</w:t>
      </w:r>
    </w:p>
    <w:p w14:paraId="4062C9F7" w14:textId="77777777" w:rsidR="00302BFE" w:rsidRPr="00CF512D" w:rsidRDefault="00302BFE" w:rsidP="00C46720">
      <w:pPr>
        <w:pStyle w:val="Paragraphedeliste"/>
        <w:numPr>
          <w:ilvl w:val="0"/>
          <w:numId w:val="37"/>
        </w:numPr>
        <w:spacing w:before="120" w:after="120"/>
        <w:contextualSpacing/>
        <w:rPr>
          <w:rFonts w:ascii="Calibri" w:hAnsi="Calibri"/>
          <w:sz w:val="20"/>
          <w:szCs w:val="20"/>
          <w:lang w:val="fr-CA"/>
        </w:rPr>
      </w:pPr>
      <w:r w:rsidRPr="00CF512D">
        <w:rPr>
          <w:rFonts w:ascii="Calibri" w:hAnsi="Calibri"/>
          <w:sz w:val="20"/>
          <w:szCs w:val="20"/>
          <w:lang w:val="fr-CA"/>
        </w:rPr>
        <w:t>Recettes provenant de la gestion sur site par le biais d'un mécanisme économique local vert</w:t>
      </w:r>
    </w:p>
    <w:p w14:paraId="28EADCF4" w14:textId="77777777" w:rsidR="00302BFE" w:rsidRPr="00CF512D" w:rsidRDefault="00302BFE" w:rsidP="00302BFE">
      <w:pPr>
        <w:spacing w:before="120" w:after="120"/>
        <w:rPr>
          <w:rFonts w:eastAsia="Times New Roman"/>
          <w:b/>
          <w:bCs/>
          <w:color w:val="4472C4"/>
          <w:szCs w:val="20"/>
          <w:lang w:val="fr-CA"/>
        </w:rPr>
      </w:pPr>
      <w:r w:rsidRPr="00CF512D">
        <w:rPr>
          <w:rFonts w:eastAsia="Times New Roman"/>
          <w:b/>
          <w:bCs/>
          <w:color w:val="4472C4"/>
          <w:szCs w:val="20"/>
          <w:lang w:val="fr-CA"/>
        </w:rPr>
        <w:t>Suivi de l'attitude de la communauté</w:t>
      </w:r>
    </w:p>
    <w:p w14:paraId="552B4D6A" w14:textId="77777777" w:rsidR="00302BFE" w:rsidRPr="00CF512D" w:rsidRDefault="00302BFE" w:rsidP="00302BFE">
      <w:pPr>
        <w:spacing w:before="120" w:after="120"/>
        <w:rPr>
          <w:i/>
          <w:szCs w:val="20"/>
          <w:lang w:val="fr-CA"/>
        </w:rPr>
      </w:pPr>
      <w:r w:rsidRPr="00CF512D">
        <w:rPr>
          <w:rFonts w:eastAsia="Times New Roman"/>
          <w:b/>
          <w:bCs/>
          <w:color w:val="4472C4"/>
          <w:szCs w:val="20"/>
          <w:lang w:val="fr-CA"/>
        </w:rPr>
        <w:t xml:space="preserve">Question: </w:t>
      </w:r>
      <w:r w:rsidRPr="00CF512D">
        <w:rPr>
          <w:i/>
          <w:szCs w:val="20"/>
          <w:lang w:val="fr-CA"/>
        </w:rPr>
        <w:t>Les attitudes de la communauté et la tolérance envers la faune sont-elles connues?</w:t>
      </w:r>
    </w:p>
    <w:p w14:paraId="7945AE00" w14:textId="77777777" w:rsidR="00302BFE" w:rsidRPr="00CF512D" w:rsidRDefault="00302BFE" w:rsidP="00302BFE">
      <w:pPr>
        <w:spacing w:before="120" w:after="120"/>
        <w:rPr>
          <w:szCs w:val="20"/>
          <w:lang w:val="fr-CA"/>
        </w:rPr>
      </w:pPr>
      <w:r w:rsidRPr="00CF512D">
        <w:rPr>
          <w:szCs w:val="20"/>
          <w:lang w:val="fr-CA"/>
        </w:rPr>
        <w:t>Une approche d'enquête reproductible doit être en place pour permettre de suivre les attitudes de la communauté au fil du temps.</w:t>
      </w:r>
    </w:p>
    <w:p w14:paraId="013135AF" w14:textId="77777777" w:rsidR="00302BFE" w:rsidRPr="00CF512D" w:rsidRDefault="00302BFE" w:rsidP="00302BFE">
      <w:pPr>
        <w:spacing w:before="120" w:after="0"/>
        <w:rPr>
          <w:szCs w:val="20"/>
        </w:rPr>
      </w:pPr>
      <w:r w:rsidRPr="00CF512D">
        <w:rPr>
          <w:szCs w:val="20"/>
        </w:rPr>
        <w:t>Statistiques clés nécessaires:</w:t>
      </w:r>
    </w:p>
    <w:p w14:paraId="57E51B77" w14:textId="77777777" w:rsidR="00302BFE" w:rsidRPr="00CF512D" w:rsidRDefault="00302BFE" w:rsidP="00C46720">
      <w:pPr>
        <w:pStyle w:val="Paragraphedeliste"/>
        <w:numPr>
          <w:ilvl w:val="0"/>
          <w:numId w:val="37"/>
        </w:numPr>
        <w:spacing w:after="120"/>
        <w:ind w:left="714" w:hanging="357"/>
        <w:contextualSpacing/>
        <w:rPr>
          <w:rFonts w:ascii="Calibri" w:hAnsi="Calibri"/>
          <w:sz w:val="20"/>
          <w:szCs w:val="20"/>
          <w:lang w:val="fr-CA"/>
        </w:rPr>
      </w:pPr>
      <w:r w:rsidRPr="00CF512D">
        <w:rPr>
          <w:rFonts w:ascii="Calibri" w:hAnsi="Calibri"/>
          <w:sz w:val="20"/>
          <w:szCs w:val="20"/>
          <w:lang w:val="fr-CA"/>
        </w:rPr>
        <w:t>Attitudes de la communauté envers la faune et les espèces prioritaires</w:t>
      </w:r>
    </w:p>
    <w:p w14:paraId="0B5B9A79" w14:textId="77777777" w:rsidR="00302BFE" w:rsidRPr="00CF512D" w:rsidRDefault="00302BFE" w:rsidP="00C46720">
      <w:pPr>
        <w:pStyle w:val="Paragraphedeliste"/>
        <w:numPr>
          <w:ilvl w:val="0"/>
          <w:numId w:val="37"/>
        </w:numPr>
        <w:spacing w:before="120" w:after="120"/>
        <w:contextualSpacing/>
        <w:rPr>
          <w:rFonts w:ascii="Calibri" w:hAnsi="Calibri"/>
          <w:sz w:val="20"/>
          <w:szCs w:val="20"/>
          <w:lang w:val="fr-CA"/>
        </w:rPr>
      </w:pPr>
      <w:r w:rsidRPr="00CF512D">
        <w:rPr>
          <w:rFonts w:ascii="Calibri" w:hAnsi="Calibri"/>
          <w:sz w:val="20"/>
          <w:szCs w:val="20"/>
          <w:lang w:val="fr-CA"/>
        </w:rPr>
        <w:t>Aiment-ils avoir de la faune dans leur région?</w:t>
      </w:r>
    </w:p>
    <w:p w14:paraId="5441C4A9" w14:textId="77777777" w:rsidR="00302BFE" w:rsidRPr="00CF512D" w:rsidRDefault="00302BFE" w:rsidP="00C46720">
      <w:pPr>
        <w:pStyle w:val="Paragraphedeliste"/>
        <w:numPr>
          <w:ilvl w:val="0"/>
          <w:numId w:val="37"/>
        </w:numPr>
        <w:spacing w:before="120" w:after="120"/>
        <w:contextualSpacing/>
        <w:rPr>
          <w:rFonts w:ascii="Calibri" w:hAnsi="Calibri"/>
          <w:sz w:val="20"/>
          <w:szCs w:val="20"/>
          <w:lang w:val="fr-CA"/>
        </w:rPr>
      </w:pPr>
      <w:r w:rsidRPr="00CF512D">
        <w:rPr>
          <w:rFonts w:ascii="Calibri" w:hAnsi="Calibri"/>
          <w:sz w:val="20"/>
          <w:szCs w:val="20"/>
          <w:lang w:val="fr-CA"/>
        </w:rPr>
        <w:t>Seraient-ils heureux s'il n'y avait pas d'animaux sauvages dans leur région?</w:t>
      </w:r>
    </w:p>
    <w:p w14:paraId="7A2263C7" w14:textId="77777777" w:rsidR="00302BFE" w:rsidRPr="00CF512D" w:rsidRDefault="00302BFE" w:rsidP="00C46720">
      <w:pPr>
        <w:pStyle w:val="Paragraphedeliste"/>
        <w:numPr>
          <w:ilvl w:val="0"/>
          <w:numId w:val="37"/>
        </w:numPr>
        <w:spacing w:before="120" w:after="120"/>
        <w:contextualSpacing/>
        <w:rPr>
          <w:rFonts w:ascii="Calibri" w:hAnsi="Calibri"/>
          <w:sz w:val="20"/>
          <w:szCs w:val="20"/>
          <w:lang w:val="fr-CA"/>
        </w:rPr>
      </w:pPr>
      <w:r w:rsidRPr="00CF512D">
        <w:rPr>
          <w:rFonts w:ascii="Calibri" w:hAnsi="Calibri"/>
          <w:sz w:val="20"/>
          <w:szCs w:val="20"/>
          <w:lang w:val="fr-CA"/>
        </w:rPr>
        <w:t>Quelle quantité d’espèces sauvages préféreraient-ils voir fréquenter leur région dans 10 ans? /espèce</w:t>
      </w:r>
    </w:p>
    <w:p w14:paraId="145AC813" w14:textId="77777777" w:rsidR="00302BFE" w:rsidRPr="00CF512D" w:rsidRDefault="00302BFE" w:rsidP="00C46720">
      <w:pPr>
        <w:pStyle w:val="Paragraphedeliste"/>
        <w:numPr>
          <w:ilvl w:val="0"/>
          <w:numId w:val="37"/>
        </w:numPr>
        <w:spacing w:before="120" w:after="120"/>
        <w:contextualSpacing/>
        <w:rPr>
          <w:rFonts w:ascii="Calibri" w:hAnsi="Calibri"/>
          <w:sz w:val="20"/>
          <w:szCs w:val="20"/>
          <w:lang w:val="fr-CA"/>
        </w:rPr>
      </w:pPr>
      <w:r w:rsidRPr="00CF512D">
        <w:rPr>
          <w:rFonts w:ascii="Calibri" w:hAnsi="Calibri"/>
          <w:sz w:val="20"/>
          <w:szCs w:val="20"/>
          <w:lang w:val="fr-CA"/>
        </w:rPr>
        <w:t>Vulnérabilité sociale: âge, sexe, appartenance ethnique, éducation, profession, provenance des revenus du ménage</w:t>
      </w:r>
    </w:p>
    <w:p w14:paraId="79BA4143" w14:textId="77777777" w:rsidR="00302BFE" w:rsidRPr="00CF512D" w:rsidRDefault="00302BFE" w:rsidP="00C46720">
      <w:pPr>
        <w:pStyle w:val="Paragraphedeliste"/>
        <w:numPr>
          <w:ilvl w:val="0"/>
          <w:numId w:val="37"/>
        </w:numPr>
        <w:spacing w:before="120" w:after="120"/>
        <w:contextualSpacing/>
        <w:rPr>
          <w:rFonts w:ascii="Calibri" w:hAnsi="Calibri"/>
          <w:sz w:val="20"/>
          <w:szCs w:val="20"/>
          <w:lang w:val="fr-CA"/>
        </w:rPr>
      </w:pPr>
      <w:r w:rsidRPr="00CF512D">
        <w:rPr>
          <w:rFonts w:ascii="Calibri" w:hAnsi="Calibri"/>
          <w:sz w:val="20"/>
          <w:szCs w:val="20"/>
          <w:lang w:val="fr-CA"/>
        </w:rPr>
        <w:t>Jours en forêt par an</w:t>
      </w:r>
    </w:p>
    <w:p w14:paraId="7966A8AA" w14:textId="77777777" w:rsidR="00302BFE" w:rsidRPr="00CF512D" w:rsidRDefault="00302BFE" w:rsidP="00C46720">
      <w:pPr>
        <w:pStyle w:val="Paragraphedeliste"/>
        <w:numPr>
          <w:ilvl w:val="0"/>
          <w:numId w:val="37"/>
        </w:numPr>
        <w:spacing w:before="120" w:after="120"/>
        <w:contextualSpacing/>
        <w:rPr>
          <w:rFonts w:ascii="Calibri" w:hAnsi="Calibri"/>
          <w:sz w:val="20"/>
          <w:szCs w:val="20"/>
          <w:lang w:val="fr-CA"/>
        </w:rPr>
      </w:pPr>
      <w:r w:rsidRPr="00CF512D">
        <w:rPr>
          <w:rFonts w:ascii="Calibri" w:hAnsi="Calibri"/>
          <w:sz w:val="20"/>
          <w:szCs w:val="20"/>
          <w:lang w:val="fr-CA"/>
        </w:rPr>
        <w:t>Années vécues dans la région</w:t>
      </w:r>
    </w:p>
    <w:p w14:paraId="72616F60" w14:textId="77777777" w:rsidR="00302BFE" w:rsidRPr="00CF512D" w:rsidRDefault="00302BFE" w:rsidP="00C46720">
      <w:pPr>
        <w:pStyle w:val="Paragraphedeliste"/>
        <w:numPr>
          <w:ilvl w:val="0"/>
          <w:numId w:val="37"/>
        </w:numPr>
        <w:spacing w:before="120" w:after="120"/>
        <w:contextualSpacing/>
        <w:rPr>
          <w:rFonts w:ascii="Calibri" w:hAnsi="Calibri"/>
          <w:sz w:val="20"/>
          <w:szCs w:val="20"/>
          <w:lang w:val="fr-CA"/>
        </w:rPr>
      </w:pPr>
      <w:r w:rsidRPr="00CF512D">
        <w:rPr>
          <w:rFonts w:ascii="Calibri" w:hAnsi="Calibri"/>
          <w:sz w:val="20"/>
          <w:szCs w:val="20"/>
          <w:lang w:val="fr-CA"/>
        </w:rPr>
        <w:t>Ont-ils subi une attaque des cultures / du bétail?</w:t>
      </w:r>
    </w:p>
    <w:p w14:paraId="1EFAAC30" w14:textId="77777777" w:rsidR="00302BFE" w:rsidRPr="00CF512D" w:rsidRDefault="00302BFE" w:rsidP="00C46720">
      <w:pPr>
        <w:pStyle w:val="Paragraphedeliste"/>
        <w:numPr>
          <w:ilvl w:val="0"/>
          <w:numId w:val="37"/>
        </w:numPr>
        <w:spacing w:before="120" w:after="120"/>
        <w:contextualSpacing/>
        <w:rPr>
          <w:rFonts w:ascii="Calibri" w:hAnsi="Calibri"/>
          <w:sz w:val="20"/>
          <w:szCs w:val="20"/>
          <w:lang w:val="fr-CA"/>
        </w:rPr>
      </w:pPr>
      <w:r w:rsidRPr="00CF512D">
        <w:rPr>
          <w:rFonts w:ascii="Calibri" w:hAnsi="Calibri"/>
          <w:sz w:val="20"/>
          <w:szCs w:val="20"/>
          <w:lang w:val="fr-CA"/>
        </w:rPr>
        <w:t xml:space="preserve">Leurs amis / voisins ont-ils subi une attaque des cultures / du bétail </w:t>
      </w:r>
    </w:p>
    <w:p w14:paraId="11AC8016" w14:textId="77777777" w:rsidR="00302BFE" w:rsidRPr="00CF512D" w:rsidRDefault="00302BFE" w:rsidP="00C46720">
      <w:pPr>
        <w:pStyle w:val="Paragraphedeliste"/>
        <w:numPr>
          <w:ilvl w:val="0"/>
          <w:numId w:val="37"/>
        </w:numPr>
        <w:spacing w:before="120" w:after="120"/>
        <w:contextualSpacing/>
        <w:rPr>
          <w:rFonts w:ascii="Calibri" w:hAnsi="Calibri"/>
          <w:sz w:val="20"/>
          <w:szCs w:val="20"/>
          <w:lang w:val="fr-CA"/>
        </w:rPr>
      </w:pPr>
      <w:r w:rsidRPr="00CF512D">
        <w:rPr>
          <w:rFonts w:ascii="Calibri" w:hAnsi="Calibri"/>
          <w:sz w:val="20"/>
          <w:szCs w:val="20"/>
          <w:lang w:val="fr-CA"/>
        </w:rPr>
        <w:t>Avez-vous entendu parler d'une attaque des cultures / du bétail survenue à d'autres personnes?</w:t>
      </w:r>
    </w:p>
    <w:p w14:paraId="21BA8CE2" w14:textId="77777777" w:rsidR="00302BFE" w:rsidRPr="007627B4" w:rsidRDefault="00302BFE" w:rsidP="00302BFE">
      <w:pPr>
        <w:spacing w:before="120" w:after="120"/>
        <w:rPr>
          <w:b/>
          <w:lang w:val="fr-CA"/>
        </w:rPr>
      </w:pPr>
    </w:p>
    <w:p w14:paraId="0CBB791F" w14:textId="77777777" w:rsidR="00302BFE" w:rsidRPr="007627B4" w:rsidRDefault="00302BFE" w:rsidP="00302BFE">
      <w:pPr>
        <w:spacing w:after="240"/>
        <w:rPr>
          <w:b/>
          <w:lang w:val="fr-CA"/>
        </w:rPr>
        <w:sectPr w:rsidR="00302BFE" w:rsidRPr="007627B4" w:rsidSect="00243B15">
          <w:pgSz w:w="12240" w:h="15840" w:code="1"/>
          <w:pgMar w:top="720" w:right="720" w:bottom="720" w:left="720" w:header="720" w:footer="720" w:gutter="0"/>
          <w:cols w:space="720"/>
          <w:docGrid w:linePitch="360"/>
        </w:sectPr>
      </w:pPr>
    </w:p>
    <w:p w14:paraId="0F224486" w14:textId="77777777" w:rsidR="00302BFE" w:rsidRPr="0075595E" w:rsidRDefault="00302BFE" w:rsidP="00302BFE">
      <w:pPr>
        <w:pStyle w:val="Titre2"/>
        <w:ind w:left="0"/>
        <w:rPr>
          <w:rFonts w:ascii="Calibri" w:hAnsi="Calibri"/>
          <w:lang w:val="en-CA"/>
        </w:rPr>
      </w:pPr>
      <w:bookmarkStart w:id="120" w:name="_Toc9961813"/>
      <w:r w:rsidRPr="0075595E">
        <w:rPr>
          <w:rFonts w:ascii="Calibri" w:hAnsi="Calibri"/>
          <w:lang w:val="en-CA"/>
        </w:rPr>
        <w:lastRenderedPageBreak/>
        <w:t xml:space="preserve">Annex </w:t>
      </w:r>
      <w:r>
        <w:rPr>
          <w:rFonts w:ascii="Calibri" w:hAnsi="Calibri"/>
          <w:lang w:val="en-CA"/>
        </w:rPr>
        <w:t>M</w:t>
      </w:r>
      <w:r w:rsidRPr="0075595E">
        <w:rPr>
          <w:rFonts w:ascii="Calibri" w:hAnsi="Calibri"/>
          <w:lang w:val="en-CA"/>
        </w:rPr>
        <w:t>. People consulted during project development</w:t>
      </w:r>
      <w:bookmarkEnd w:id="120"/>
    </w:p>
    <w:p w14:paraId="30AB8D3E" w14:textId="77777777" w:rsidR="00302BFE" w:rsidRPr="00F06854" w:rsidRDefault="00302BFE" w:rsidP="00302BFE">
      <w:pPr>
        <w:spacing w:before="120" w:after="120"/>
        <w:rPr>
          <w:lang w:val="en-CA"/>
        </w:rPr>
      </w:pPr>
      <w:r w:rsidRPr="00F06854">
        <w:rPr>
          <w:lang w:val="en-CA"/>
        </w:rPr>
        <w:t>PARTICIPAT</w:t>
      </w:r>
      <w:bookmarkStart w:id="121" w:name="_Toc2166304"/>
      <w:r>
        <w:rPr>
          <w:lang w:val="en-CA"/>
        </w:rPr>
        <w:t>ORY</w:t>
      </w:r>
      <w:r w:rsidRPr="00F06854">
        <w:rPr>
          <w:lang w:val="en-CA"/>
        </w:rPr>
        <w:t xml:space="preserve"> APPRO</w:t>
      </w:r>
      <w:r>
        <w:rPr>
          <w:lang w:val="en-CA"/>
        </w:rPr>
        <w:t>A</w:t>
      </w:r>
      <w:r w:rsidRPr="00F06854">
        <w:rPr>
          <w:lang w:val="en-CA"/>
        </w:rPr>
        <w:t>CH</w:t>
      </w:r>
      <w:bookmarkEnd w:id="121"/>
    </w:p>
    <w:p w14:paraId="40563EB8" w14:textId="77777777" w:rsidR="00302BFE" w:rsidRPr="00F06854" w:rsidRDefault="00302BFE" w:rsidP="00302BFE">
      <w:pPr>
        <w:spacing w:before="120" w:after="120"/>
        <w:rPr>
          <w:lang w:val="en-CA"/>
        </w:rPr>
      </w:pPr>
      <w:r w:rsidRPr="00F06854">
        <w:rPr>
          <w:lang w:val="en-CA"/>
        </w:rPr>
        <w:t xml:space="preserve">The approach taken for gathering and analyzing information about the environment, resources and their use, the problems encountered, and the proposal of solutions was highly participatory throughout the process and was primarily based on the Participatory Action Research Method. </w:t>
      </w:r>
    </w:p>
    <w:p w14:paraId="47B0DF5A" w14:textId="77777777" w:rsidR="00302BFE" w:rsidRPr="00F06854" w:rsidRDefault="00302BFE" w:rsidP="00302BFE">
      <w:pPr>
        <w:spacing w:before="120" w:after="120"/>
        <w:rPr>
          <w:lang w:val="en-CA"/>
        </w:rPr>
      </w:pPr>
      <w:r w:rsidRPr="00F06854">
        <w:rPr>
          <w:lang w:val="en-CA"/>
        </w:rPr>
        <w:t xml:space="preserve">The pilot sites for the interventions of components 3 and 4 of the project were identified with the participation of all stakeholders on the basis of predefined criteria including the area of influence of protected areas, predominant land and resource use patterns of the site, and environmental, governance, socio-economic and representativeness criteria for the scaling up of effective practices developed within these sites. A provisional list of 15 sites within the 9 riparian communes of the protected area complex based on the criteria was subjected to a participatory validation at the commune level that took place in two stages: i) In each of the 9 communes, the consultants presented the outline of the project and its formulation process, explained the criteria applied and submitted the results of the site pre-selection to a local consultative body at the commune level. This advisory group consisted at least of the prefect of the department, the mayor of the commune, two chairpersons of permanent commissions of the </w:t>
      </w:r>
      <w:r w:rsidR="009363D6">
        <w:rPr>
          <w:lang w:val="en-CA"/>
        </w:rPr>
        <w:t>communal</w:t>
      </w:r>
      <w:r w:rsidRPr="00F06854">
        <w:rPr>
          <w:lang w:val="en-CA"/>
        </w:rPr>
        <w:t xml:space="preserve"> council, decentralized technical services at the commune level in environment, livestock, and agriculture, NGOs (national or international) that implement relevant projects in the commune, three main local development associations governed by the law 064-2015 / CNT), and organizations at the commune level representing the agricultural, pastoral and forestry sectors and governed by the OHADA Code . ii) The relevance of the choice of sites in relation to the defined criteria was examined and analyzed by the advisory group and, where appropriate, alternative sites were proposed, discussed and validated. The collection of baseline data as part of the project document development process was then conducted in the pilot sites validated through this participatory process.</w:t>
      </w:r>
    </w:p>
    <w:p w14:paraId="6775569C" w14:textId="77777777" w:rsidR="00302BFE" w:rsidRPr="00F06854" w:rsidRDefault="00302BFE" w:rsidP="00302BFE">
      <w:pPr>
        <w:spacing w:before="120" w:after="120"/>
        <w:rPr>
          <w:lang w:val="en-CA"/>
        </w:rPr>
      </w:pPr>
      <w:r w:rsidRPr="00F06854">
        <w:rPr>
          <w:lang w:val="en-CA"/>
        </w:rPr>
        <w:t>The collection of data in the 15 selected villages was carried out during meetings in the form of focus groups and individual interviews.</w:t>
      </w:r>
    </w:p>
    <w:p w14:paraId="1B88937D" w14:textId="77777777" w:rsidR="00302BFE" w:rsidRPr="00F06854" w:rsidRDefault="00302BFE" w:rsidP="00302BFE">
      <w:pPr>
        <w:spacing w:before="120" w:after="120"/>
        <w:rPr>
          <w:b/>
          <w:lang w:val="en-CA"/>
        </w:rPr>
      </w:pPr>
      <w:bookmarkStart w:id="122" w:name="_Toc2166331"/>
      <w:bookmarkStart w:id="123" w:name="_Toc534626769"/>
      <w:r w:rsidRPr="00F06854">
        <w:rPr>
          <w:b/>
          <w:lang w:val="en-CA"/>
        </w:rPr>
        <w:t xml:space="preserve">Table A : </w:t>
      </w:r>
      <w:bookmarkEnd w:id="122"/>
      <w:bookmarkEnd w:id="123"/>
      <w:r w:rsidRPr="00F06854">
        <w:rPr>
          <w:b/>
          <w:lang w:val="en-CA"/>
        </w:rPr>
        <w:t>Units surveyed</w:t>
      </w:r>
    </w:p>
    <w:tbl>
      <w:tblPr>
        <w:tblW w:w="11412" w:type="dxa"/>
        <w:jc w:val="center"/>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firstRow="1" w:lastRow="0" w:firstColumn="1" w:lastColumn="0" w:noHBand="0" w:noVBand="1"/>
      </w:tblPr>
      <w:tblGrid>
        <w:gridCol w:w="7717"/>
        <w:gridCol w:w="2250"/>
        <w:gridCol w:w="1445"/>
      </w:tblGrid>
      <w:tr w:rsidR="00302BFE" w:rsidRPr="0075595E" w14:paraId="6F4A437C" w14:textId="77777777" w:rsidTr="00243B15">
        <w:trPr>
          <w:jc w:val="center"/>
        </w:trPr>
        <w:tc>
          <w:tcPr>
            <w:tcW w:w="7717" w:type="dxa"/>
            <w:tcBorders>
              <w:top w:val="single" w:sz="4" w:space="0" w:color="C5E0B3"/>
              <w:left w:val="single" w:sz="4" w:space="0" w:color="C5E0B3"/>
              <w:bottom w:val="single" w:sz="12" w:space="0" w:color="A8D08D"/>
              <w:right w:val="single" w:sz="4" w:space="0" w:color="C5E0B3"/>
            </w:tcBorders>
            <w:shd w:val="clear" w:color="auto" w:fill="auto"/>
            <w:hideMark/>
          </w:tcPr>
          <w:p w14:paraId="618EDCB4" w14:textId="77777777" w:rsidR="00302BFE" w:rsidRPr="0075595E" w:rsidRDefault="00302BFE" w:rsidP="00243B15">
            <w:pPr>
              <w:autoSpaceDE w:val="0"/>
              <w:autoSpaceDN w:val="0"/>
              <w:adjustRightInd w:val="0"/>
              <w:spacing w:after="0"/>
              <w:rPr>
                <w:rFonts w:eastAsia="Times New Roman"/>
                <w:b/>
                <w:bCs/>
                <w:sz w:val="18"/>
                <w:szCs w:val="18"/>
                <w:lang w:eastAsia="fr-FR"/>
              </w:rPr>
            </w:pPr>
            <w:r w:rsidRPr="0075595E">
              <w:rPr>
                <w:rFonts w:eastAsia="Times New Roman"/>
                <w:b/>
                <w:bCs/>
                <w:sz w:val="18"/>
                <w:szCs w:val="18"/>
                <w:lang w:eastAsia="fr-FR"/>
              </w:rPr>
              <w:t>Survey units</w:t>
            </w:r>
          </w:p>
        </w:tc>
        <w:tc>
          <w:tcPr>
            <w:tcW w:w="2250" w:type="dxa"/>
            <w:tcBorders>
              <w:top w:val="single" w:sz="4" w:space="0" w:color="C5E0B3"/>
              <w:left w:val="single" w:sz="4" w:space="0" w:color="C5E0B3"/>
              <w:bottom w:val="single" w:sz="12" w:space="0" w:color="A8D08D"/>
              <w:right w:val="single" w:sz="4" w:space="0" w:color="C5E0B3"/>
            </w:tcBorders>
            <w:shd w:val="clear" w:color="auto" w:fill="auto"/>
            <w:hideMark/>
          </w:tcPr>
          <w:p w14:paraId="40B5CB5E" w14:textId="77777777" w:rsidR="00302BFE" w:rsidRPr="0075595E" w:rsidRDefault="00302BFE" w:rsidP="00243B15">
            <w:pPr>
              <w:autoSpaceDE w:val="0"/>
              <w:autoSpaceDN w:val="0"/>
              <w:adjustRightInd w:val="0"/>
              <w:spacing w:after="0"/>
              <w:rPr>
                <w:rFonts w:eastAsia="Times New Roman"/>
                <w:b/>
                <w:bCs/>
                <w:sz w:val="18"/>
                <w:szCs w:val="18"/>
                <w:lang w:eastAsia="fr-FR"/>
              </w:rPr>
            </w:pPr>
            <w:r w:rsidRPr="0075595E">
              <w:rPr>
                <w:rFonts w:eastAsia="Times New Roman"/>
                <w:b/>
                <w:bCs/>
                <w:sz w:val="18"/>
                <w:szCs w:val="18"/>
                <w:lang w:eastAsia="fr-FR"/>
              </w:rPr>
              <w:t>Survey technique</w:t>
            </w:r>
          </w:p>
        </w:tc>
        <w:tc>
          <w:tcPr>
            <w:tcW w:w="1445" w:type="dxa"/>
            <w:tcBorders>
              <w:top w:val="single" w:sz="4" w:space="0" w:color="C5E0B3"/>
              <w:left w:val="single" w:sz="4" w:space="0" w:color="C5E0B3"/>
              <w:bottom w:val="single" w:sz="12" w:space="0" w:color="A8D08D"/>
              <w:right w:val="single" w:sz="4" w:space="0" w:color="C5E0B3"/>
            </w:tcBorders>
            <w:shd w:val="clear" w:color="auto" w:fill="auto"/>
            <w:hideMark/>
          </w:tcPr>
          <w:p w14:paraId="1947B728" w14:textId="77777777" w:rsidR="00302BFE" w:rsidRPr="0075595E" w:rsidRDefault="00302BFE" w:rsidP="00243B15">
            <w:pPr>
              <w:autoSpaceDE w:val="0"/>
              <w:autoSpaceDN w:val="0"/>
              <w:adjustRightInd w:val="0"/>
              <w:spacing w:after="0"/>
              <w:rPr>
                <w:rFonts w:eastAsia="Times New Roman"/>
                <w:b/>
                <w:bCs/>
                <w:sz w:val="18"/>
                <w:szCs w:val="18"/>
                <w:lang w:eastAsia="fr-FR"/>
              </w:rPr>
            </w:pPr>
            <w:r w:rsidRPr="0075595E">
              <w:rPr>
                <w:rFonts w:eastAsia="Times New Roman"/>
                <w:b/>
                <w:bCs/>
                <w:sz w:val="18"/>
                <w:szCs w:val="18"/>
                <w:lang w:eastAsia="fr-FR"/>
              </w:rPr>
              <w:t>No people surveyed</w:t>
            </w:r>
          </w:p>
        </w:tc>
      </w:tr>
      <w:tr w:rsidR="00302BFE" w:rsidRPr="0075595E" w14:paraId="464811D0" w14:textId="77777777" w:rsidTr="00243B15">
        <w:trPr>
          <w:jc w:val="center"/>
        </w:trPr>
        <w:tc>
          <w:tcPr>
            <w:tcW w:w="7717" w:type="dxa"/>
            <w:tcBorders>
              <w:top w:val="single" w:sz="4" w:space="0" w:color="C5E0B3"/>
              <w:left w:val="single" w:sz="4" w:space="0" w:color="C5E0B3"/>
              <w:bottom w:val="single" w:sz="4" w:space="0" w:color="C5E0B3"/>
              <w:right w:val="single" w:sz="4" w:space="0" w:color="C5E0B3"/>
            </w:tcBorders>
            <w:shd w:val="clear" w:color="auto" w:fill="auto"/>
            <w:hideMark/>
          </w:tcPr>
          <w:p w14:paraId="0F0BD09B" w14:textId="77777777" w:rsidR="00302BFE" w:rsidRPr="0075595E" w:rsidRDefault="00302BFE" w:rsidP="00243B15">
            <w:pPr>
              <w:spacing w:after="0"/>
              <w:rPr>
                <w:rFonts w:eastAsia="Calibri"/>
                <w:b/>
                <w:bCs/>
                <w:sz w:val="18"/>
                <w:szCs w:val="18"/>
                <w:lang w:val="en-CA"/>
              </w:rPr>
            </w:pPr>
            <w:r w:rsidRPr="0075595E">
              <w:rPr>
                <w:rFonts w:eastAsia="Times New Roman"/>
                <w:b/>
                <w:bCs/>
                <w:sz w:val="18"/>
                <w:szCs w:val="18"/>
                <w:lang w:val="en-CA" w:eastAsia="fr-FR"/>
              </w:rPr>
              <w:t>Devolved technical services (environment, agriculture, livestock, farming)</w:t>
            </w:r>
          </w:p>
        </w:tc>
        <w:tc>
          <w:tcPr>
            <w:tcW w:w="2250" w:type="dxa"/>
            <w:tcBorders>
              <w:top w:val="single" w:sz="4" w:space="0" w:color="C5E0B3"/>
              <w:left w:val="single" w:sz="4" w:space="0" w:color="C5E0B3"/>
              <w:bottom w:val="single" w:sz="4" w:space="0" w:color="C5E0B3"/>
              <w:right w:val="single" w:sz="4" w:space="0" w:color="C5E0B3"/>
            </w:tcBorders>
            <w:shd w:val="clear" w:color="auto" w:fill="auto"/>
            <w:hideMark/>
          </w:tcPr>
          <w:p w14:paraId="534E74CB" w14:textId="77777777" w:rsidR="00302BFE" w:rsidRPr="0075595E" w:rsidRDefault="00302BFE" w:rsidP="00243B15">
            <w:pPr>
              <w:autoSpaceDE w:val="0"/>
              <w:autoSpaceDN w:val="0"/>
              <w:adjustRightInd w:val="0"/>
              <w:spacing w:after="0"/>
              <w:rPr>
                <w:rFonts w:eastAsia="Times New Roman"/>
                <w:sz w:val="18"/>
                <w:szCs w:val="18"/>
                <w:lang w:val="fr-FR" w:eastAsia="fr-FR"/>
              </w:rPr>
            </w:pPr>
            <w:r w:rsidRPr="0075595E">
              <w:rPr>
                <w:rFonts w:eastAsia="Times New Roman"/>
                <w:sz w:val="18"/>
                <w:szCs w:val="18"/>
                <w:lang w:eastAsia="fr-FR"/>
              </w:rPr>
              <w:t>Individual interviews</w:t>
            </w:r>
          </w:p>
        </w:tc>
        <w:tc>
          <w:tcPr>
            <w:tcW w:w="1445" w:type="dxa"/>
            <w:tcBorders>
              <w:top w:val="single" w:sz="4" w:space="0" w:color="C5E0B3"/>
              <w:left w:val="single" w:sz="4" w:space="0" w:color="C5E0B3"/>
              <w:bottom w:val="single" w:sz="4" w:space="0" w:color="C5E0B3"/>
              <w:right w:val="single" w:sz="4" w:space="0" w:color="C5E0B3"/>
            </w:tcBorders>
            <w:shd w:val="clear" w:color="auto" w:fill="auto"/>
            <w:hideMark/>
          </w:tcPr>
          <w:p w14:paraId="03E36937" w14:textId="77777777" w:rsidR="00302BFE" w:rsidRPr="0075595E" w:rsidRDefault="00302BFE" w:rsidP="00243B15">
            <w:pPr>
              <w:autoSpaceDE w:val="0"/>
              <w:autoSpaceDN w:val="0"/>
              <w:adjustRightInd w:val="0"/>
              <w:spacing w:after="0"/>
              <w:rPr>
                <w:rFonts w:eastAsia="Times New Roman"/>
                <w:sz w:val="18"/>
                <w:szCs w:val="18"/>
                <w:lang w:eastAsia="fr-FR"/>
              </w:rPr>
            </w:pPr>
            <w:r w:rsidRPr="0075595E">
              <w:rPr>
                <w:rFonts w:eastAsia="Times New Roman"/>
                <w:sz w:val="18"/>
                <w:szCs w:val="18"/>
                <w:lang w:eastAsia="fr-FR"/>
              </w:rPr>
              <w:t>27</w:t>
            </w:r>
          </w:p>
        </w:tc>
      </w:tr>
      <w:tr w:rsidR="00302BFE" w:rsidRPr="0075595E" w14:paraId="4E58771F" w14:textId="77777777" w:rsidTr="00243B15">
        <w:trPr>
          <w:trHeight w:val="707"/>
          <w:jc w:val="center"/>
        </w:trPr>
        <w:tc>
          <w:tcPr>
            <w:tcW w:w="7717" w:type="dxa"/>
            <w:tcBorders>
              <w:top w:val="single" w:sz="4" w:space="0" w:color="C5E0B3"/>
              <w:left w:val="single" w:sz="4" w:space="0" w:color="C5E0B3"/>
              <w:bottom w:val="single" w:sz="4" w:space="0" w:color="C5E0B3"/>
              <w:right w:val="single" w:sz="4" w:space="0" w:color="C5E0B3"/>
            </w:tcBorders>
            <w:shd w:val="clear" w:color="auto" w:fill="auto"/>
            <w:hideMark/>
          </w:tcPr>
          <w:p w14:paraId="55E02031" w14:textId="77777777" w:rsidR="00302BFE" w:rsidRPr="0075595E" w:rsidRDefault="00302BFE" w:rsidP="00243B15">
            <w:pPr>
              <w:spacing w:after="0"/>
              <w:rPr>
                <w:rFonts w:eastAsia="Times New Roman"/>
                <w:b/>
                <w:bCs/>
                <w:sz w:val="18"/>
                <w:szCs w:val="18"/>
                <w:lang w:val="en-CA" w:eastAsia="fr-FR"/>
              </w:rPr>
            </w:pPr>
            <w:r w:rsidRPr="0075595E">
              <w:rPr>
                <w:rFonts w:eastAsia="Calibri"/>
                <w:b/>
                <w:bCs/>
                <w:sz w:val="18"/>
                <w:szCs w:val="18"/>
                <w:lang w:val="en-CA"/>
              </w:rPr>
              <w:t>Communities including women's group, customary and religious authorities (village chiefs, land chiefs), farmers, pastoralists, civil society organizations, forest management groups, village development councils and councillors</w:t>
            </w:r>
          </w:p>
        </w:tc>
        <w:tc>
          <w:tcPr>
            <w:tcW w:w="2250" w:type="dxa"/>
            <w:tcBorders>
              <w:top w:val="single" w:sz="4" w:space="0" w:color="C5E0B3"/>
              <w:left w:val="single" w:sz="4" w:space="0" w:color="C5E0B3"/>
              <w:bottom w:val="single" w:sz="4" w:space="0" w:color="C5E0B3"/>
              <w:right w:val="single" w:sz="4" w:space="0" w:color="C5E0B3"/>
            </w:tcBorders>
            <w:shd w:val="clear" w:color="auto" w:fill="auto"/>
            <w:hideMark/>
          </w:tcPr>
          <w:p w14:paraId="123FEA85" w14:textId="77777777" w:rsidR="00302BFE" w:rsidRPr="0075595E" w:rsidRDefault="00302BFE" w:rsidP="00243B15">
            <w:pPr>
              <w:autoSpaceDE w:val="0"/>
              <w:autoSpaceDN w:val="0"/>
              <w:adjustRightInd w:val="0"/>
              <w:spacing w:after="0"/>
              <w:rPr>
                <w:rFonts w:eastAsia="Times New Roman"/>
                <w:sz w:val="18"/>
                <w:szCs w:val="18"/>
                <w:lang w:val="fr-FR" w:eastAsia="fr-FR"/>
              </w:rPr>
            </w:pPr>
            <w:r w:rsidRPr="0075595E">
              <w:rPr>
                <w:rFonts w:eastAsia="Times New Roman"/>
                <w:sz w:val="18"/>
                <w:szCs w:val="18"/>
                <w:lang w:eastAsia="fr-FR"/>
              </w:rPr>
              <w:t>Village assembly</w:t>
            </w:r>
          </w:p>
        </w:tc>
        <w:tc>
          <w:tcPr>
            <w:tcW w:w="1445" w:type="dxa"/>
            <w:tcBorders>
              <w:top w:val="single" w:sz="4" w:space="0" w:color="C5E0B3"/>
              <w:left w:val="single" w:sz="4" w:space="0" w:color="C5E0B3"/>
              <w:bottom w:val="single" w:sz="4" w:space="0" w:color="C5E0B3"/>
              <w:right w:val="single" w:sz="4" w:space="0" w:color="C5E0B3"/>
            </w:tcBorders>
            <w:shd w:val="clear" w:color="auto" w:fill="auto"/>
            <w:hideMark/>
          </w:tcPr>
          <w:p w14:paraId="3914A751" w14:textId="77777777" w:rsidR="00302BFE" w:rsidRPr="0075595E" w:rsidRDefault="00302BFE" w:rsidP="00243B15">
            <w:pPr>
              <w:pStyle w:val="Paragraphedeliste"/>
              <w:autoSpaceDE w:val="0"/>
              <w:autoSpaceDN w:val="0"/>
              <w:adjustRightInd w:val="0"/>
              <w:ind w:left="0"/>
              <w:jc w:val="both"/>
              <w:rPr>
                <w:rFonts w:ascii="Calibri" w:eastAsia="Times New Roman" w:hAnsi="Calibri"/>
                <w:sz w:val="18"/>
                <w:szCs w:val="18"/>
                <w:lang w:eastAsia="fr-FR"/>
              </w:rPr>
            </w:pPr>
            <w:r w:rsidRPr="0075595E">
              <w:rPr>
                <w:rFonts w:ascii="Calibri" w:eastAsia="Times New Roman" w:hAnsi="Calibri"/>
                <w:sz w:val="18"/>
                <w:szCs w:val="18"/>
                <w:lang w:eastAsia="fr-FR"/>
              </w:rPr>
              <w:t>272 men</w:t>
            </w:r>
          </w:p>
          <w:p w14:paraId="68638E56" w14:textId="77777777" w:rsidR="00302BFE" w:rsidRPr="0075595E" w:rsidRDefault="00302BFE" w:rsidP="00243B15">
            <w:pPr>
              <w:pStyle w:val="Paragraphedeliste"/>
              <w:autoSpaceDE w:val="0"/>
              <w:autoSpaceDN w:val="0"/>
              <w:adjustRightInd w:val="0"/>
              <w:ind w:left="0"/>
              <w:jc w:val="both"/>
              <w:rPr>
                <w:rFonts w:ascii="Calibri" w:eastAsia="Times New Roman" w:hAnsi="Calibri"/>
                <w:sz w:val="18"/>
                <w:szCs w:val="18"/>
                <w:lang w:eastAsia="fr-FR"/>
              </w:rPr>
            </w:pPr>
            <w:r w:rsidRPr="0075595E">
              <w:rPr>
                <w:rFonts w:ascii="Calibri" w:eastAsia="Times New Roman" w:hAnsi="Calibri"/>
                <w:sz w:val="18"/>
                <w:szCs w:val="18"/>
                <w:lang w:eastAsia="fr-FR"/>
              </w:rPr>
              <w:t>119 women</w:t>
            </w:r>
          </w:p>
        </w:tc>
      </w:tr>
      <w:tr w:rsidR="00302BFE" w:rsidRPr="0075595E" w14:paraId="178E0172" w14:textId="77777777" w:rsidTr="00243B15">
        <w:trPr>
          <w:jc w:val="center"/>
        </w:trPr>
        <w:tc>
          <w:tcPr>
            <w:tcW w:w="7717" w:type="dxa"/>
            <w:tcBorders>
              <w:top w:val="single" w:sz="4" w:space="0" w:color="C5E0B3"/>
              <w:left w:val="single" w:sz="4" w:space="0" w:color="C5E0B3"/>
              <w:bottom w:val="single" w:sz="4" w:space="0" w:color="C5E0B3"/>
              <w:right w:val="single" w:sz="4" w:space="0" w:color="C5E0B3"/>
            </w:tcBorders>
            <w:shd w:val="clear" w:color="auto" w:fill="auto"/>
            <w:hideMark/>
          </w:tcPr>
          <w:p w14:paraId="32DEC019" w14:textId="77777777" w:rsidR="00302BFE" w:rsidRPr="0075595E" w:rsidRDefault="00302BFE" w:rsidP="00243B15">
            <w:pPr>
              <w:spacing w:after="0"/>
              <w:rPr>
                <w:rFonts w:eastAsia="Times New Roman"/>
                <w:b/>
                <w:bCs/>
                <w:sz w:val="18"/>
                <w:szCs w:val="18"/>
                <w:lang w:val="en-CA" w:eastAsia="fr-FR"/>
              </w:rPr>
            </w:pPr>
            <w:r w:rsidRPr="0075595E">
              <w:rPr>
                <w:rFonts w:eastAsia="Times New Roman"/>
                <w:b/>
                <w:bCs/>
                <w:sz w:val="18"/>
                <w:szCs w:val="18"/>
                <w:lang w:val="en-CA" w:eastAsia="fr-FR"/>
              </w:rPr>
              <w:t>Women's groups for non-timber forest products</w:t>
            </w:r>
          </w:p>
        </w:tc>
        <w:tc>
          <w:tcPr>
            <w:tcW w:w="2250" w:type="dxa"/>
            <w:tcBorders>
              <w:top w:val="single" w:sz="4" w:space="0" w:color="C5E0B3"/>
              <w:left w:val="single" w:sz="4" w:space="0" w:color="C5E0B3"/>
              <w:bottom w:val="single" w:sz="4" w:space="0" w:color="C5E0B3"/>
              <w:right w:val="single" w:sz="4" w:space="0" w:color="C5E0B3"/>
            </w:tcBorders>
            <w:shd w:val="clear" w:color="auto" w:fill="auto"/>
            <w:hideMark/>
          </w:tcPr>
          <w:p w14:paraId="267C3EC6" w14:textId="77777777" w:rsidR="00302BFE" w:rsidRPr="0075595E" w:rsidRDefault="00302BFE" w:rsidP="00243B15">
            <w:pPr>
              <w:autoSpaceDE w:val="0"/>
              <w:autoSpaceDN w:val="0"/>
              <w:adjustRightInd w:val="0"/>
              <w:spacing w:after="0"/>
              <w:rPr>
                <w:rFonts w:eastAsia="Times New Roman"/>
                <w:sz w:val="18"/>
                <w:szCs w:val="18"/>
                <w:lang w:val="en-CA" w:eastAsia="fr-FR"/>
              </w:rPr>
            </w:pPr>
            <w:r w:rsidRPr="0075595E">
              <w:rPr>
                <w:rFonts w:eastAsia="Times New Roman"/>
                <w:sz w:val="18"/>
                <w:szCs w:val="18"/>
                <w:lang w:val="en-CA" w:eastAsia="fr-FR"/>
              </w:rPr>
              <w:t>Individual interviews</w:t>
            </w:r>
          </w:p>
          <w:p w14:paraId="0780F48B" w14:textId="77777777" w:rsidR="00302BFE" w:rsidRPr="0075595E" w:rsidRDefault="00302BFE" w:rsidP="00243B15">
            <w:pPr>
              <w:autoSpaceDE w:val="0"/>
              <w:autoSpaceDN w:val="0"/>
              <w:adjustRightInd w:val="0"/>
              <w:spacing w:after="0"/>
              <w:rPr>
                <w:rFonts w:eastAsia="Times New Roman"/>
                <w:sz w:val="18"/>
                <w:szCs w:val="18"/>
                <w:lang w:val="en-CA" w:eastAsia="fr-FR"/>
              </w:rPr>
            </w:pPr>
            <w:r w:rsidRPr="0075595E">
              <w:rPr>
                <w:rFonts w:eastAsia="Times New Roman"/>
                <w:sz w:val="18"/>
                <w:szCs w:val="18"/>
                <w:lang w:val="en-CA" w:eastAsia="fr-FR"/>
              </w:rPr>
              <w:t>Visit of units</w:t>
            </w:r>
          </w:p>
        </w:tc>
        <w:tc>
          <w:tcPr>
            <w:tcW w:w="1445" w:type="dxa"/>
            <w:tcBorders>
              <w:top w:val="single" w:sz="4" w:space="0" w:color="C5E0B3"/>
              <w:left w:val="single" w:sz="4" w:space="0" w:color="C5E0B3"/>
              <w:bottom w:val="single" w:sz="4" w:space="0" w:color="C5E0B3"/>
              <w:right w:val="single" w:sz="4" w:space="0" w:color="C5E0B3"/>
            </w:tcBorders>
            <w:shd w:val="clear" w:color="auto" w:fill="auto"/>
            <w:hideMark/>
          </w:tcPr>
          <w:p w14:paraId="79323E53" w14:textId="77777777" w:rsidR="00302BFE" w:rsidRPr="0075595E" w:rsidRDefault="00302BFE" w:rsidP="00243B15">
            <w:pPr>
              <w:autoSpaceDE w:val="0"/>
              <w:autoSpaceDN w:val="0"/>
              <w:adjustRightInd w:val="0"/>
              <w:spacing w:after="0"/>
              <w:rPr>
                <w:rFonts w:eastAsia="Times New Roman"/>
                <w:sz w:val="18"/>
                <w:szCs w:val="18"/>
                <w:lang w:val="fr-FR" w:eastAsia="fr-FR"/>
              </w:rPr>
            </w:pPr>
            <w:r w:rsidRPr="0075595E">
              <w:rPr>
                <w:rFonts w:eastAsia="Times New Roman"/>
                <w:sz w:val="18"/>
                <w:szCs w:val="18"/>
                <w:lang w:eastAsia="fr-FR"/>
              </w:rPr>
              <w:t>15</w:t>
            </w:r>
          </w:p>
        </w:tc>
      </w:tr>
      <w:tr w:rsidR="00302BFE" w:rsidRPr="0075595E" w14:paraId="5281DEE1" w14:textId="77777777" w:rsidTr="00243B15">
        <w:trPr>
          <w:trHeight w:val="207"/>
          <w:jc w:val="center"/>
        </w:trPr>
        <w:tc>
          <w:tcPr>
            <w:tcW w:w="7717" w:type="dxa"/>
            <w:tcBorders>
              <w:top w:val="single" w:sz="4" w:space="0" w:color="C5E0B3"/>
              <w:left w:val="single" w:sz="4" w:space="0" w:color="C5E0B3"/>
              <w:bottom w:val="single" w:sz="4" w:space="0" w:color="C5E0B3"/>
              <w:right w:val="single" w:sz="4" w:space="0" w:color="C5E0B3"/>
            </w:tcBorders>
            <w:shd w:val="clear" w:color="auto" w:fill="auto"/>
            <w:hideMark/>
          </w:tcPr>
          <w:p w14:paraId="3DDA3FAA" w14:textId="77777777" w:rsidR="00302BFE" w:rsidRPr="0075595E" w:rsidRDefault="00302BFE" w:rsidP="00243B15">
            <w:pPr>
              <w:spacing w:after="0"/>
              <w:rPr>
                <w:rFonts w:eastAsia="Times New Roman"/>
                <w:b/>
                <w:bCs/>
                <w:sz w:val="18"/>
                <w:szCs w:val="18"/>
                <w:lang w:eastAsia="fr-FR"/>
              </w:rPr>
            </w:pPr>
            <w:r w:rsidRPr="0075595E">
              <w:rPr>
                <w:rFonts w:eastAsia="Times New Roman"/>
                <w:b/>
                <w:bCs/>
                <w:sz w:val="18"/>
                <w:szCs w:val="18"/>
                <w:lang w:eastAsia="fr-FR"/>
              </w:rPr>
              <w:t>Local development NGOs</w:t>
            </w:r>
          </w:p>
        </w:tc>
        <w:tc>
          <w:tcPr>
            <w:tcW w:w="2250" w:type="dxa"/>
            <w:tcBorders>
              <w:top w:val="single" w:sz="4" w:space="0" w:color="C5E0B3"/>
              <w:left w:val="single" w:sz="4" w:space="0" w:color="C5E0B3"/>
              <w:bottom w:val="single" w:sz="4" w:space="0" w:color="C5E0B3"/>
              <w:right w:val="single" w:sz="4" w:space="0" w:color="C5E0B3"/>
            </w:tcBorders>
            <w:shd w:val="clear" w:color="auto" w:fill="auto"/>
            <w:hideMark/>
          </w:tcPr>
          <w:p w14:paraId="78C94102" w14:textId="77777777" w:rsidR="00302BFE" w:rsidRPr="0075595E" w:rsidRDefault="00302BFE" w:rsidP="00243B15">
            <w:pPr>
              <w:autoSpaceDE w:val="0"/>
              <w:autoSpaceDN w:val="0"/>
              <w:adjustRightInd w:val="0"/>
              <w:spacing w:after="0"/>
              <w:rPr>
                <w:rFonts w:eastAsia="Times New Roman"/>
                <w:sz w:val="18"/>
                <w:szCs w:val="18"/>
                <w:lang w:eastAsia="fr-FR"/>
              </w:rPr>
            </w:pPr>
            <w:r w:rsidRPr="0075595E">
              <w:rPr>
                <w:rFonts w:eastAsia="Times New Roman"/>
                <w:sz w:val="18"/>
                <w:szCs w:val="18"/>
                <w:lang w:eastAsia="fr-FR"/>
              </w:rPr>
              <w:t>Individual interviews</w:t>
            </w:r>
          </w:p>
        </w:tc>
        <w:tc>
          <w:tcPr>
            <w:tcW w:w="1445" w:type="dxa"/>
            <w:tcBorders>
              <w:top w:val="single" w:sz="4" w:space="0" w:color="C5E0B3"/>
              <w:left w:val="single" w:sz="4" w:space="0" w:color="C5E0B3"/>
              <w:bottom w:val="single" w:sz="4" w:space="0" w:color="C5E0B3"/>
              <w:right w:val="single" w:sz="4" w:space="0" w:color="C5E0B3"/>
            </w:tcBorders>
            <w:shd w:val="clear" w:color="auto" w:fill="auto"/>
            <w:hideMark/>
          </w:tcPr>
          <w:p w14:paraId="5BCFEB47" w14:textId="77777777" w:rsidR="00302BFE" w:rsidRPr="0075595E" w:rsidRDefault="00302BFE" w:rsidP="00243B15">
            <w:pPr>
              <w:autoSpaceDE w:val="0"/>
              <w:autoSpaceDN w:val="0"/>
              <w:adjustRightInd w:val="0"/>
              <w:spacing w:after="0"/>
              <w:rPr>
                <w:rFonts w:eastAsia="Times New Roman"/>
                <w:sz w:val="18"/>
                <w:szCs w:val="18"/>
                <w:lang w:eastAsia="fr-FR"/>
              </w:rPr>
            </w:pPr>
            <w:r w:rsidRPr="0075595E">
              <w:rPr>
                <w:rFonts w:eastAsia="Times New Roman"/>
                <w:sz w:val="18"/>
                <w:szCs w:val="18"/>
                <w:lang w:eastAsia="fr-FR"/>
              </w:rPr>
              <w:t>07</w:t>
            </w:r>
          </w:p>
        </w:tc>
      </w:tr>
      <w:tr w:rsidR="00302BFE" w:rsidRPr="0075595E" w14:paraId="1837DA07" w14:textId="77777777" w:rsidTr="00243B15">
        <w:trPr>
          <w:jc w:val="center"/>
        </w:trPr>
        <w:tc>
          <w:tcPr>
            <w:tcW w:w="7717" w:type="dxa"/>
            <w:tcBorders>
              <w:top w:val="single" w:sz="4" w:space="0" w:color="C5E0B3"/>
              <w:left w:val="single" w:sz="4" w:space="0" w:color="C5E0B3"/>
              <w:bottom w:val="single" w:sz="4" w:space="0" w:color="C5E0B3"/>
              <w:right w:val="single" w:sz="4" w:space="0" w:color="C5E0B3"/>
            </w:tcBorders>
            <w:shd w:val="clear" w:color="auto" w:fill="auto"/>
            <w:hideMark/>
          </w:tcPr>
          <w:p w14:paraId="5B5040A4" w14:textId="77777777" w:rsidR="00302BFE" w:rsidRPr="0075595E" w:rsidRDefault="00302BFE" w:rsidP="00243B15">
            <w:pPr>
              <w:autoSpaceDE w:val="0"/>
              <w:autoSpaceDN w:val="0"/>
              <w:adjustRightInd w:val="0"/>
              <w:spacing w:after="0"/>
              <w:rPr>
                <w:rFonts w:eastAsia="Times New Roman"/>
                <w:b/>
                <w:bCs/>
                <w:sz w:val="18"/>
                <w:szCs w:val="18"/>
                <w:lang w:eastAsia="fr-FR"/>
              </w:rPr>
            </w:pPr>
            <w:r w:rsidRPr="0075595E">
              <w:rPr>
                <w:rFonts w:eastAsia="Times New Roman"/>
                <w:b/>
                <w:bCs/>
                <w:sz w:val="18"/>
                <w:szCs w:val="18"/>
                <w:lang w:eastAsia="fr-FR"/>
              </w:rPr>
              <w:t>City councils</w:t>
            </w:r>
          </w:p>
        </w:tc>
        <w:tc>
          <w:tcPr>
            <w:tcW w:w="2250" w:type="dxa"/>
            <w:tcBorders>
              <w:top w:val="single" w:sz="4" w:space="0" w:color="C5E0B3"/>
              <w:left w:val="single" w:sz="4" w:space="0" w:color="C5E0B3"/>
              <w:bottom w:val="single" w:sz="4" w:space="0" w:color="C5E0B3"/>
              <w:right w:val="single" w:sz="4" w:space="0" w:color="C5E0B3"/>
            </w:tcBorders>
            <w:shd w:val="clear" w:color="auto" w:fill="auto"/>
            <w:hideMark/>
          </w:tcPr>
          <w:p w14:paraId="30CCCACA" w14:textId="77777777" w:rsidR="00302BFE" w:rsidRPr="0075595E" w:rsidRDefault="00302BFE" w:rsidP="00243B15">
            <w:pPr>
              <w:autoSpaceDE w:val="0"/>
              <w:autoSpaceDN w:val="0"/>
              <w:adjustRightInd w:val="0"/>
              <w:spacing w:after="0"/>
              <w:rPr>
                <w:rFonts w:eastAsia="Times New Roman"/>
                <w:sz w:val="18"/>
                <w:szCs w:val="18"/>
                <w:lang w:eastAsia="fr-FR"/>
              </w:rPr>
            </w:pPr>
            <w:r w:rsidRPr="0075595E">
              <w:rPr>
                <w:rFonts w:eastAsia="Times New Roman"/>
                <w:sz w:val="18"/>
                <w:szCs w:val="18"/>
                <w:lang w:eastAsia="fr-FR"/>
              </w:rPr>
              <w:t>Individual interviews</w:t>
            </w:r>
          </w:p>
        </w:tc>
        <w:tc>
          <w:tcPr>
            <w:tcW w:w="1445" w:type="dxa"/>
            <w:tcBorders>
              <w:top w:val="single" w:sz="4" w:space="0" w:color="C5E0B3"/>
              <w:left w:val="single" w:sz="4" w:space="0" w:color="C5E0B3"/>
              <w:bottom w:val="single" w:sz="4" w:space="0" w:color="C5E0B3"/>
              <w:right w:val="single" w:sz="4" w:space="0" w:color="C5E0B3"/>
            </w:tcBorders>
            <w:shd w:val="clear" w:color="auto" w:fill="auto"/>
            <w:hideMark/>
          </w:tcPr>
          <w:p w14:paraId="3B8C80D9" w14:textId="77777777" w:rsidR="00302BFE" w:rsidRPr="0075595E" w:rsidRDefault="00302BFE" w:rsidP="00243B15">
            <w:pPr>
              <w:autoSpaceDE w:val="0"/>
              <w:autoSpaceDN w:val="0"/>
              <w:adjustRightInd w:val="0"/>
              <w:spacing w:after="0"/>
              <w:rPr>
                <w:rFonts w:eastAsia="Times New Roman"/>
                <w:sz w:val="18"/>
                <w:szCs w:val="18"/>
                <w:lang w:eastAsia="fr-FR"/>
              </w:rPr>
            </w:pPr>
            <w:r w:rsidRPr="0075595E">
              <w:rPr>
                <w:rFonts w:eastAsia="Times New Roman"/>
                <w:sz w:val="18"/>
                <w:szCs w:val="18"/>
                <w:lang w:eastAsia="fr-FR"/>
              </w:rPr>
              <w:t>09</w:t>
            </w:r>
          </w:p>
        </w:tc>
      </w:tr>
      <w:tr w:rsidR="00302BFE" w:rsidRPr="0075595E" w14:paraId="1114243F" w14:textId="77777777" w:rsidTr="00243B15">
        <w:trPr>
          <w:jc w:val="center"/>
        </w:trPr>
        <w:tc>
          <w:tcPr>
            <w:tcW w:w="7717" w:type="dxa"/>
            <w:tcBorders>
              <w:top w:val="single" w:sz="4" w:space="0" w:color="C5E0B3"/>
              <w:left w:val="single" w:sz="4" w:space="0" w:color="C5E0B3"/>
              <w:bottom w:val="single" w:sz="4" w:space="0" w:color="C5E0B3"/>
              <w:right w:val="single" w:sz="4" w:space="0" w:color="C5E0B3"/>
            </w:tcBorders>
            <w:shd w:val="clear" w:color="auto" w:fill="auto"/>
            <w:hideMark/>
          </w:tcPr>
          <w:p w14:paraId="31B4062D" w14:textId="77777777" w:rsidR="00302BFE" w:rsidRPr="0075595E" w:rsidRDefault="00302BFE" w:rsidP="00243B15">
            <w:pPr>
              <w:autoSpaceDE w:val="0"/>
              <w:autoSpaceDN w:val="0"/>
              <w:adjustRightInd w:val="0"/>
              <w:spacing w:after="0"/>
              <w:rPr>
                <w:rFonts w:eastAsia="Times New Roman"/>
                <w:b/>
                <w:bCs/>
                <w:sz w:val="18"/>
                <w:szCs w:val="18"/>
                <w:lang w:eastAsia="fr-FR"/>
              </w:rPr>
            </w:pPr>
            <w:r w:rsidRPr="0075595E">
              <w:rPr>
                <w:rFonts w:eastAsia="Times New Roman"/>
                <w:b/>
                <w:bCs/>
                <w:sz w:val="18"/>
                <w:szCs w:val="18"/>
                <w:lang w:eastAsia="fr-FR"/>
              </w:rPr>
              <w:t>Prefectures</w:t>
            </w:r>
          </w:p>
        </w:tc>
        <w:tc>
          <w:tcPr>
            <w:tcW w:w="2250" w:type="dxa"/>
            <w:tcBorders>
              <w:top w:val="single" w:sz="4" w:space="0" w:color="C5E0B3"/>
              <w:left w:val="single" w:sz="4" w:space="0" w:color="C5E0B3"/>
              <w:bottom w:val="single" w:sz="4" w:space="0" w:color="C5E0B3"/>
              <w:right w:val="single" w:sz="4" w:space="0" w:color="C5E0B3"/>
            </w:tcBorders>
            <w:shd w:val="clear" w:color="auto" w:fill="auto"/>
            <w:hideMark/>
          </w:tcPr>
          <w:p w14:paraId="625DB8B3" w14:textId="77777777" w:rsidR="00302BFE" w:rsidRPr="0075595E" w:rsidRDefault="00302BFE" w:rsidP="00243B15">
            <w:pPr>
              <w:autoSpaceDE w:val="0"/>
              <w:autoSpaceDN w:val="0"/>
              <w:adjustRightInd w:val="0"/>
              <w:spacing w:after="0"/>
              <w:rPr>
                <w:rFonts w:eastAsia="Times New Roman"/>
                <w:sz w:val="18"/>
                <w:szCs w:val="18"/>
                <w:lang w:eastAsia="fr-FR"/>
              </w:rPr>
            </w:pPr>
            <w:r w:rsidRPr="0075595E">
              <w:rPr>
                <w:rFonts w:eastAsia="Times New Roman"/>
                <w:sz w:val="18"/>
                <w:szCs w:val="18"/>
                <w:lang w:eastAsia="fr-FR"/>
              </w:rPr>
              <w:t>Individual interviews</w:t>
            </w:r>
          </w:p>
        </w:tc>
        <w:tc>
          <w:tcPr>
            <w:tcW w:w="1445" w:type="dxa"/>
            <w:tcBorders>
              <w:top w:val="single" w:sz="4" w:space="0" w:color="C5E0B3"/>
              <w:left w:val="single" w:sz="4" w:space="0" w:color="C5E0B3"/>
              <w:bottom w:val="single" w:sz="4" w:space="0" w:color="C5E0B3"/>
              <w:right w:val="single" w:sz="4" w:space="0" w:color="C5E0B3"/>
            </w:tcBorders>
            <w:shd w:val="clear" w:color="auto" w:fill="auto"/>
            <w:hideMark/>
          </w:tcPr>
          <w:p w14:paraId="40838863" w14:textId="77777777" w:rsidR="00302BFE" w:rsidRPr="0075595E" w:rsidRDefault="00302BFE" w:rsidP="00243B15">
            <w:pPr>
              <w:autoSpaceDE w:val="0"/>
              <w:autoSpaceDN w:val="0"/>
              <w:adjustRightInd w:val="0"/>
              <w:spacing w:after="0"/>
              <w:rPr>
                <w:rFonts w:eastAsia="Times New Roman"/>
                <w:sz w:val="18"/>
                <w:szCs w:val="18"/>
                <w:lang w:eastAsia="fr-FR"/>
              </w:rPr>
            </w:pPr>
            <w:r w:rsidRPr="0075595E">
              <w:rPr>
                <w:rFonts w:eastAsia="Times New Roman"/>
                <w:sz w:val="18"/>
                <w:szCs w:val="18"/>
                <w:lang w:eastAsia="fr-FR"/>
              </w:rPr>
              <w:t>04</w:t>
            </w:r>
          </w:p>
        </w:tc>
      </w:tr>
      <w:tr w:rsidR="00302BFE" w:rsidRPr="0075595E" w14:paraId="4870A448" w14:textId="77777777" w:rsidTr="00243B15">
        <w:trPr>
          <w:jc w:val="center"/>
        </w:trPr>
        <w:tc>
          <w:tcPr>
            <w:tcW w:w="9967" w:type="dxa"/>
            <w:gridSpan w:val="2"/>
            <w:tcBorders>
              <w:top w:val="single" w:sz="4" w:space="0" w:color="C5E0B3"/>
              <w:left w:val="single" w:sz="4" w:space="0" w:color="C5E0B3"/>
              <w:bottom w:val="single" w:sz="4" w:space="0" w:color="C5E0B3"/>
              <w:right w:val="single" w:sz="4" w:space="0" w:color="C5E0B3"/>
            </w:tcBorders>
            <w:shd w:val="clear" w:color="auto" w:fill="auto"/>
            <w:hideMark/>
          </w:tcPr>
          <w:p w14:paraId="4CBF360A" w14:textId="77777777" w:rsidR="00302BFE" w:rsidRPr="0075595E" w:rsidRDefault="00302BFE" w:rsidP="00243B15">
            <w:pPr>
              <w:pStyle w:val="Paragraphedeliste"/>
              <w:autoSpaceDE w:val="0"/>
              <w:autoSpaceDN w:val="0"/>
              <w:adjustRightInd w:val="0"/>
              <w:ind w:left="0"/>
              <w:jc w:val="both"/>
              <w:rPr>
                <w:rFonts w:ascii="Calibri" w:eastAsia="Times New Roman" w:hAnsi="Calibri"/>
                <w:b/>
                <w:bCs/>
                <w:sz w:val="18"/>
                <w:szCs w:val="18"/>
                <w:lang w:eastAsia="fr-FR"/>
              </w:rPr>
            </w:pPr>
            <w:r w:rsidRPr="0075595E">
              <w:rPr>
                <w:rFonts w:ascii="Calibri" w:eastAsia="Times New Roman" w:hAnsi="Calibri"/>
                <w:b/>
                <w:bCs/>
                <w:sz w:val="18"/>
                <w:szCs w:val="18"/>
                <w:lang w:eastAsia="fr-FR"/>
              </w:rPr>
              <w:t xml:space="preserve">Total </w:t>
            </w:r>
          </w:p>
        </w:tc>
        <w:tc>
          <w:tcPr>
            <w:tcW w:w="1445" w:type="dxa"/>
            <w:tcBorders>
              <w:top w:val="single" w:sz="4" w:space="0" w:color="C5E0B3"/>
              <w:left w:val="single" w:sz="4" w:space="0" w:color="C5E0B3"/>
              <w:bottom w:val="single" w:sz="4" w:space="0" w:color="C5E0B3"/>
              <w:right w:val="single" w:sz="4" w:space="0" w:color="C5E0B3"/>
            </w:tcBorders>
            <w:shd w:val="clear" w:color="auto" w:fill="auto"/>
            <w:hideMark/>
          </w:tcPr>
          <w:p w14:paraId="5E88FD77" w14:textId="77777777" w:rsidR="00302BFE" w:rsidRPr="0075595E" w:rsidRDefault="00302BFE" w:rsidP="00243B15">
            <w:pPr>
              <w:autoSpaceDE w:val="0"/>
              <w:autoSpaceDN w:val="0"/>
              <w:adjustRightInd w:val="0"/>
              <w:spacing w:after="0"/>
              <w:rPr>
                <w:rFonts w:eastAsia="Times New Roman"/>
                <w:b/>
                <w:sz w:val="18"/>
                <w:szCs w:val="18"/>
                <w:lang w:eastAsia="fr-FR"/>
              </w:rPr>
            </w:pPr>
            <w:r w:rsidRPr="0075595E">
              <w:rPr>
                <w:rFonts w:eastAsia="Times New Roman"/>
                <w:b/>
                <w:sz w:val="18"/>
                <w:szCs w:val="18"/>
                <w:lang w:eastAsia="fr-FR"/>
              </w:rPr>
              <w:t>453</w:t>
            </w:r>
          </w:p>
        </w:tc>
      </w:tr>
    </w:tbl>
    <w:p w14:paraId="245B4722" w14:textId="77777777" w:rsidR="00302BFE" w:rsidRDefault="00302BFE" w:rsidP="00302BFE">
      <w:pPr>
        <w:spacing w:after="240"/>
        <w:rPr>
          <w:b/>
          <w:lang w:val="en-CA"/>
        </w:rPr>
      </w:pPr>
    </w:p>
    <w:p w14:paraId="5CC4A92F" w14:textId="77777777" w:rsidR="00302BFE" w:rsidRDefault="00302BFE" w:rsidP="00302BFE">
      <w:pPr>
        <w:spacing w:after="240"/>
        <w:rPr>
          <w:b/>
          <w:lang w:val="en-CA"/>
        </w:rPr>
      </w:pPr>
      <w:r>
        <w:rPr>
          <w:b/>
          <w:lang w:val="en-CA"/>
        </w:rPr>
        <w:br w:type="page"/>
      </w:r>
      <w:r>
        <w:rPr>
          <w:b/>
          <w:lang w:val="en-CA"/>
        </w:rPr>
        <w:lastRenderedPageBreak/>
        <w:t>List of people consulted during project development</w:t>
      </w:r>
    </w:p>
    <w:tbl>
      <w:tblPr>
        <w:tblW w:w="1374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CellMar>
          <w:left w:w="0" w:type="dxa"/>
          <w:right w:w="0" w:type="dxa"/>
        </w:tblCellMar>
        <w:tblLook w:val="04A0" w:firstRow="1" w:lastRow="0" w:firstColumn="1" w:lastColumn="0" w:noHBand="0" w:noVBand="1"/>
      </w:tblPr>
      <w:tblGrid>
        <w:gridCol w:w="1880"/>
        <w:gridCol w:w="2653"/>
        <w:gridCol w:w="1492"/>
        <w:gridCol w:w="1310"/>
        <w:gridCol w:w="2849"/>
        <w:gridCol w:w="712"/>
        <w:gridCol w:w="712"/>
        <w:gridCol w:w="712"/>
        <w:gridCol w:w="712"/>
        <w:gridCol w:w="712"/>
      </w:tblGrid>
      <w:tr w:rsidR="00302BFE" w:rsidRPr="0075595E" w14:paraId="61E10590" w14:textId="77777777" w:rsidTr="00243B15">
        <w:trPr>
          <w:tblHeader/>
          <w:jc w:val="center"/>
        </w:trPr>
        <w:tc>
          <w:tcPr>
            <w:tcW w:w="1880" w:type="dxa"/>
            <w:vMerge w:val="restart"/>
            <w:tcBorders>
              <w:top w:val="single" w:sz="2" w:space="0" w:color="000000"/>
              <w:left w:val="single" w:sz="2" w:space="0" w:color="000000"/>
              <w:right w:val="single" w:sz="2" w:space="0" w:color="000000"/>
            </w:tcBorders>
            <w:shd w:val="clear" w:color="auto" w:fill="auto"/>
            <w:tcMar>
              <w:top w:w="80" w:type="dxa"/>
              <w:left w:w="80" w:type="dxa"/>
              <w:bottom w:w="80" w:type="dxa"/>
              <w:right w:w="80" w:type="dxa"/>
            </w:tcMar>
            <w:vAlign w:val="center"/>
          </w:tcPr>
          <w:p w14:paraId="7F9B5500" w14:textId="77777777" w:rsidR="00302BFE" w:rsidRPr="0075595E" w:rsidRDefault="00302BFE" w:rsidP="00243B15">
            <w:pPr>
              <w:pStyle w:val="TableStyle2A"/>
              <w:jc w:val="center"/>
              <w:rPr>
                <w:rStyle w:val="NoneA"/>
                <w:rFonts w:ascii="Calibri" w:hAnsi="Calibri"/>
                <w:b/>
                <w:sz w:val="18"/>
                <w:szCs w:val="18"/>
              </w:rPr>
            </w:pPr>
            <w:r w:rsidRPr="0075595E">
              <w:rPr>
                <w:rStyle w:val="NoneA"/>
                <w:rFonts w:ascii="Calibri" w:hAnsi="Calibri"/>
                <w:b/>
                <w:sz w:val="18"/>
                <w:szCs w:val="18"/>
              </w:rPr>
              <w:t>Name</w:t>
            </w:r>
          </w:p>
        </w:tc>
        <w:tc>
          <w:tcPr>
            <w:tcW w:w="2653" w:type="dxa"/>
            <w:vMerge w:val="restart"/>
            <w:tcBorders>
              <w:top w:val="single" w:sz="2" w:space="0" w:color="000000"/>
              <w:left w:val="single" w:sz="2" w:space="0" w:color="000000"/>
              <w:right w:val="single" w:sz="2" w:space="0" w:color="000000"/>
            </w:tcBorders>
            <w:vAlign w:val="center"/>
          </w:tcPr>
          <w:p w14:paraId="0518D48B" w14:textId="77777777" w:rsidR="00302BFE" w:rsidRPr="0075595E" w:rsidRDefault="00302BFE" w:rsidP="00243B15">
            <w:pPr>
              <w:pStyle w:val="TableStyle2A"/>
              <w:jc w:val="center"/>
              <w:rPr>
                <w:rStyle w:val="NoneA"/>
                <w:rFonts w:ascii="Calibri" w:hAnsi="Calibri"/>
                <w:b/>
                <w:sz w:val="18"/>
                <w:szCs w:val="18"/>
              </w:rPr>
            </w:pPr>
            <w:r w:rsidRPr="0075595E">
              <w:rPr>
                <w:rStyle w:val="NoneA"/>
                <w:rFonts w:ascii="Calibri" w:hAnsi="Calibri"/>
                <w:b/>
                <w:sz w:val="18"/>
                <w:szCs w:val="18"/>
              </w:rPr>
              <w:t>Position</w:t>
            </w:r>
          </w:p>
        </w:tc>
        <w:tc>
          <w:tcPr>
            <w:tcW w:w="1492" w:type="dxa"/>
            <w:vMerge w:val="restart"/>
            <w:tcBorders>
              <w:top w:val="single" w:sz="2" w:space="0" w:color="000000"/>
              <w:left w:val="single" w:sz="2" w:space="0" w:color="000000"/>
              <w:right w:val="single" w:sz="2" w:space="0" w:color="000000"/>
            </w:tcBorders>
            <w:shd w:val="clear" w:color="auto" w:fill="auto"/>
            <w:tcMar>
              <w:top w:w="80" w:type="dxa"/>
              <w:left w:w="80" w:type="dxa"/>
              <w:bottom w:w="80" w:type="dxa"/>
              <w:right w:w="80" w:type="dxa"/>
            </w:tcMar>
            <w:vAlign w:val="center"/>
          </w:tcPr>
          <w:p w14:paraId="249E8F92" w14:textId="77777777" w:rsidR="00302BFE" w:rsidRPr="0075595E" w:rsidRDefault="00302BFE" w:rsidP="00243B15">
            <w:pPr>
              <w:pStyle w:val="TableStyle2A"/>
              <w:jc w:val="center"/>
              <w:rPr>
                <w:rStyle w:val="NoneA"/>
                <w:rFonts w:ascii="Calibri" w:hAnsi="Calibri"/>
                <w:b/>
                <w:sz w:val="18"/>
                <w:szCs w:val="18"/>
              </w:rPr>
            </w:pPr>
            <w:r w:rsidRPr="0075595E">
              <w:rPr>
                <w:rStyle w:val="NoneA"/>
                <w:rFonts w:ascii="Calibri" w:hAnsi="Calibri"/>
                <w:b/>
                <w:sz w:val="18"/>
                <w:szCs w:val="18"/>
              </w:rPr>
              <w:t>Institution</w:t>
            </w:r>
          </w:p>
        </w:tc>
        <w:tc>
          <w:tcPr>
            <w:tcW w:w="1310" w:type="dxa"/>
            <w:vMerge w:val="restart"/>
            <w:tcBorders>
              <w:top w:val="single" w:sz="2" w:space="0" w:color="000000"/>
              <w:left w:val="single" w:sz="2" w:space="0" w:color="000000"/>
              <w:right w:val="single" w:sz="2" w:space="0" w:color="000000"/>
            </w:tcBorders>
            <w:shd w:val="clear" w:color="auto" w:fill="auto"/>
            <w:tcMar>
              <w:top w:w="80" w:type="dxa"/>
              <w:left w:w="80" w:type="dxa"/>
              <w:bottom w:w="80" w:type="dxa"/>
              <w:right w:w="80" w:type="dxa"/>
            </w:tcMar>
            <w:vAlign w:val="center"/>
          </w:tcPr>
          <w:p w14:paraId="71F69AEB" w14:textId="77777777" w:rsidR="00302BFE" w:rsidRPr="0075595E" w:rsidRDefault="00302BFE" w:rsidP="00243B15">
            <w:pPr>
              <w:pStyle w:val="TableStyle2A"/>
              <w:jc w:val="center"/>
              <w:rPr>
                <w:rStyle w:val="NoneA"/>
                <w:rFonts w:ascii="Calibri" w:hAnsi="Calibri"/>
                <w:b/>
                <w:sz w:val="18"/>
                <w:szCs w:val="18"/>
              </w:rPr>
            </w:pPr>
            <w:r w:rsidRPr="0075595E">
              <w:rPr>
                <w:rStyle w:val="NoneA"/>
                <w:rFonts w:ascii="Calibri" w:hAnsi="Calibri"/>
                <w:b/>
                <w:sz w:val="18"/>
                <w:szCs w:val="18"/>
              </w:rPr>
              <w:t>Tel.</w:t>
            </w:r>
          </w:p>
        </w:tc>
        <w:tc>
          <w:tcPr>
            <w:tcW w:w="2849" w:type="dxa"/>
            <w:vMerge w:val="restart"/>
            <w:tcBorders>
              <w:top w:val="single" w:sz="2" w:space="0" w:color="000000"/>
              <w:left w:val="single" w:sz="2" w:space="0" w:color="000000"/>
              <w:right w:val="single" w:sz="2" w:space="0" w:color="000000"/>
            </w:tcBorders>
            <w:shd w:val="clear" w:color="auto" w:fill="auto"/>
            <w:tcMar>
              <w:top w:w="80" w:type="dxa"/>
              <w:left w:w="80" w:type="dxa"/>
              <w:bottom w:w="80" w:type="dxa"/>
              <w:right w:w="80" w:type="dxa"/>
            </w:tcMar>
            <w:vAlign w:val="center"/>
          </w:tcPr>
          <w:p w14:paraId="1CA22322" w14:textId="77777777" w:rsidR="00302BFE" w:rsidRPr="002854BE" w:rsidRDefault="00302BFE" w:rsidP="00243B15">
            <w:pPr>
              <w:pStyle w:val="TableStyle2A"/>
              <w:jc w:val="center"/>
              <w:rPr>
                <w:rStyle w:val="Hyperlink0"/>
                <w:rFonts w:ascii="Calibri" w:hAnsi="Calibri"/>
                <w:b/>
                <w:sz w:val="18"/>
                <w:szCs w:val="18"/>
                <w:u w:val="none"/>
              </w:rPr>
            </w:pPr>
            <w:r w:rsidRPr="002854BE">
              <w:rPr>
                <w:rStyle w:val="Hyperlink0"/>
                <w:rFonts w:ascii="Calibri" w:hAnsi="Calibri"/>
                <w:b/>
                <w:sz w:val="18"/>
                <w:szCs w:val="18"/>
                <w:u w:val="none"/>
              </w:rPr>
              <w:t>Email</w:t>
            </w:r>
          </w:p>
        </w:tc>
        <w:tc>
          <w:tcPr>
            <w:tcW w:w="3560" w:type="dxa"/>
            <w:gridSpan w:val="5"/>
            <w:tcBorders>
              <w:top w:val="single" w:sz="2" w:space="0" w:color="000000"/>
              <w:left w:val="single" w:sz="2" w:space="0" w:color="000000"/>
              <w:bottom w:val="single" w:sz="2" w:space="0" w:color="000000"/>
              <w:right w:val="single" w:sz="2" w:space="0" w:color="000000"/>
            </w:tcBorders>
            <w:vAlign w:val="center"/>
          </w:tcPr>
          <w:p w14:paraId="132A8946" w14:textId="77777777" w:rsidR="00302BFE" w:rsidRPr="0075595E" w:rsidRDefault="00302BFE" w:rsidP="00243B15">
            <w:pPr>
              <w:pStyle w:val="TableStyle2A"/>
              <w:jc w:val="center"/>
              <w:rPr>
                <w:rStyle w:val="Hyperlink0"/>
                <w:rFonts w:ascii="Calibri" w:hAnsi="Calibri"/>
                <w:b/>
                <w:sz w:val="18"/>
                <w:szCs w:val="18"/>
                <w:u w:val="none"/>
              </w:rPr>
            </w:pPr>
            <w:r w:rsidRPr="0075595E">
              <w:rPr>
                <w:rStyle w:val="Hyperlink0"/>
                <w:rFonts w:ascii="Calibri" w:hAnsi="Calibri"/>
                <w:b/>
                <w:sz w:val="18"/>
                <w:szCs w:val="18"/>
                <w:u w:val="none"/>
              </w:rPr>
              <w:t>Participation/Consultation</w:t>
            </w:r>
          </w:p>
        </w:tc>
      </w:tr>
      <w:tr w:rsidR="00302BFE" w:rsidRPr="0075595E" w14:paraId="0413B958" w14:textId="77777777" w:rsidTr="00243B15">
        <w:trPr>
          <w:tblHeader/>
          <w:jc w:val="center"/>
        </w:trPr>
        <w:tc>
          <w:tcPr>
            <w:tcW w:w="1880" w:type="dxa"/>
            <w:vMerge/>
            <w:tcBorders>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09F5BED" w14:textId="77777777" w:rsidR="00302BFE" w:rsidRPr="0075595E" w:rsidRDefault="00302BFE" w:rsidP="00243B15">
            <w:pPr>
              <w:pStyle w:val="TableStyle2A"/>
              <w:jc w:val="center"/>
              <w:rPr>
                <w:rStyle w:val="NoneA"/>
                <w:rFonts w:ascii="Calibri" w:hAnsi="Calibri"/>
                <w:b/>
                <w:sz w:val="18"/>
                <w:szCs w:val="18"/>
              </w:rPr>
            </w:pPr>
          </w:p>
        </w:tc>
        <w:tc>
          <w:tcPr>
            <w:tcW w:w="2653" w:type="dxa"/>
            <w:vMerge/>
            <w:tcBorders>
              <w:left w:val="single" w:sz="2" w:space="0" w:color="000000"/>
              <w:bottom w:val="single" w:sz="2" w:space="0" w:color="000000"/>
              <w:right w:val="single" w:sz="2" w:space="0" w:color="000000"/>
            </w:tcBorders>
            <w:vAlign w:val="center"/>
          </w:tcPr>
          <w:p w14:paraId="4C965B2E" w14:textId="77777777" w:rsidR="00302BFE" w:rsidRPr="0075595E" w:rsidRDefault="00302BFE" w:rsidP="00243B15">
            <w:pPr>
              <w:pStyle w:val="TableStyle2A"/>
              <w:jc w:val="center"/>
              <w:rPr>
                <w:rStyle w:val="NoneA"/>
                <w:rFonts w:ascii="Calibri" w:hAnsi="Calibri"/>
                <w:b/>
                <w:sz w:val="18"/>
                <w:szCs w:val="18"/>
              </w:rPr>
            </w:pPr>
          </w:p>
        </w:tc>
        <w:tc>
          <w:tcPr>
            <w:tcW w:w="1492" w:type="dxa"/>
            <w:vMerge/>
            <w:tcBorders>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F34C383" w14:textId="77777777" w:rsidR="00302BFE" w:rsidRPr="0075595E" w:rsidRDefault="00302BFE" w:rsidP="00243B15">
            <w:pPr>
              <w:pStyle w:val="TableStyle2A"/>
              <w:jc w:val="center"/>
              <w:rPr>
                <w:rStyle w:val="NoneA"/>
                <w:rFonts w:ascii="Calibri" w:hAnsi="Calibri"/>
                <w:b/>
                <w:sz w:val="18"/>
                <w:szCs w:val="18"/>
              </w:rPr>
            </w:pPr>
          </w:p>
        </w:tc>
        <w:tc>
          <w:tcPr>
            <w:tcW w:w="1310" w:type="dxa"/>
            <w:vMerge/>
            <w:tcBorders>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63D3D39" w14:textId="77777777" w:rsidR="00302BFE" w:rsidRPr="0075595E" w:rsidRDefault="00302BFE" w:rsidP="00243B15">
            <w:pPr>
              <w:pStyle w:val="TableStyle2A"/>
              <w:jc w:val="center"/>
              <w:rPr>
                <w:rStyle w:val="NoneA"/>
                <w:rFonts w:ascii="Calibri" w:hAnsi="Calibri"/>
                <w:b/>
                <w:sz w:val="18"/>
                <w:szCs w:val="18"/>
              </w:rPr>
            </w:pPr>
          </w:p>
        </w:tc>
        <w:tc>
          <w:tcPr>
            <w:tcW w:w="2849" w:type="dxa"/>
            <w:vMerge/>
            <w:tcBorders>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6629C3B" w14:textId="77777777" w:rsidR="00302BFE" w:rsidRPr="002854BE" w:rsidRDefault="00302BFE" w:rsidP="00243B15">
            <w:pPr>
              <w:pStyle w:val="TableStyle2A"/>
              <w:jc w:val="center"/>
              <w:rPr>
                <w:rStyle w:val="Hyperlink0"/>
                <w:rFonts w:ascii="Calibri" w:hAnsi="Calibri"/>
                <w:b/>
                <w:sz w:val="18"/>
                <w:szCs w:val="18"/>
                <w:u w:val="none"/>
              </w:rPr>
            </w:pPr>
          </w:p>
        </w:tc>
        <w:tc>
          <w:tcPr>
            <w:tcW w:w="712" w:type="dxa"/>
            <w:tcBorders>
              <w:top w:val="single" w:sz="2" w:space="0" w:color="000000"/>
              <w:left w:val="single" w:sz="2" w:space="0" w:color="000000"/>
              <w:bottom w:val="single" w:sz="2" w:space="0" w:color="000000"/>
              <w:right w:val="single" w:sz="2" w:space="0" w:color="000000"/>
            </w:tcBorders>
            <w:noWrap/>
            <w:tcMar>
              <w:left w:w="0" w:type="dxa"/>
              <w:right w:w="0" w:type="dxa"/>
            </w:tcMar>
            <w:vAlign w:val="center"/>
          </w:tcPr>
          <w:p w14:paraId="20106C30"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t>Incept</w:t>
            </w:r>
          </w:p>
        </w:tc>
        <w:tc>
          <w:tcPr>
            <w:tcW w:w="712" w:type="dxa"/>
            <w:tcBorders>
              <w:top w:val="single" w:sz="2" w:space="0" w:color="000000"/>
              <w:left w:val="single" w:sz="2" w:space="0" w:color="000000"/>
              <w:bottom w:val="single" w:sz="2" w:space="0" w:color="000000"/>
              <w:right w:val="single" w:sz="2" w:space="0" w:color="000000"/>
            </w:tcBorders>
            <w:noWrap/>
            <w:tcMar>
              <w:left w:w="0" w:type="dxa"/>
              <w:right w:w="0" w:type="dxa"/>
            </w:tcMar>
            <w:vAlign w:val="center"/>
          </w:tcPr>
          <w:p w14:paraId="31131E5E"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t>Consult</w:t>
            </w:r>
          </w:p>
        </w:tc>
        <w:tc>
          <w:tcPr>
            <w:tcW w:w="712" w:type="dxa"/>
            <w:tcBorders>
              <w:top w:val="single" w:sz="2" w:space="0" w:color="000000"/>
              <w:left w:val="single" w:sz="2" w:space="0" w:color="000000"/>
              <w:bottom w:val="single" w:sz="2" w:space="0" w:color="000000"/>
              <w:right w:val="single" w:sz="2" w:space="0" w:color="000000"/>
            </w:tcBorders>
            <w:noWrap/>
            <w:tcMar>
              <w:left w:w="0" w:type="dxa"/>
              <w:right w:w="0" w:type="dxa"/>
            </w:tcMar>
            <w:vAlign w:val="center"/>
          </w:tcPr>
          <w:p w14:paraId="4580C714"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t>SRF wrk</w:t>
            </w:r>
          </w:p>
        </w:tc>
        <w:tc>
          <w:tcPr>
            <w:tcW w:w="712" w:type="dxa"/>
            <w:tcBorders>
              <w:top w:val="single" w:sz="2" w:space="0" w:color="000000"/>
              <w:left w:val="single" w:sz="2" w:space="0" w:color="000000"/>
              <w:bottom w:val="single" w:sz="2" w:space="0" w:color="000000"/>
              <w:right w:val="single" w:sz="2" w:space="0" w:color="000000"/>
            </w:tcBorders>
            <w:noWrap/>
            <w:tcMar>
              <w:left w:w="0" w:type="dxa"/>
              <w:right w:w="0" w:type="dxa"/>
            </w:tcMar>
            <w:vAlign w:val="center"/>
          </w:tcPr>
          <w:p w14:paraId="78621651"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t>Cap assmt</w:t>
            </w:r>
          </w:p>
        </w:tc>
        <w:tc>
          <w:tcPr>
            <w:tcW w:w="712" w:type="dxa"/>
            <w:tcBorders>
              <w:top w:val="single" w:sz="2" w:space="0" w:color="000000"/>
              <w:left w:val="single" w:sz="2" w:space="0" w:color="000000"/>
              <w:bottom w:val="single" w:sz="2" w:space="0" w:color="000000"/>
              <w:right w:val="single" w:sz="2" w:space="0" w:color="000000"/>
            </w:tcBorders>
            <w:noWrap/>
            <w:tcMar>
              <w:left w:w="0" w:type="dxa"/>
              <w:right w:w="0" w:type="dxa"/>
            </w:tcMar>
            <w:vAlign w:val="center"/>
          </w:tcPr>
          <w:p w14:paraId="65FF0946" w14:textId="77777777" w:rsidR="00302BFE" w:rsidRPr="0075595E" w:rsidRDefault="00302BFE" w:rsidP="00243B15">
            <w:pPr>
              <w:pStyle w:val="TableStyle2A"/>
              <w:rPr>
                <w:rStyle w:val="Hyperlink0"/>
                <w:rFonts w:ascii="Calibri" w:hAnsi="Calibri"/>
                <w:sz w:val="18"/>
                <w:szCs w:val="18"/>
                <w:u w:val="none"/>
              </w:rPr>
            </w:pPr>
            <w:r w:rsidRPr="0075595E">
              <w:rPr>
                <w:rStyle w:val="Hyperlink0"/>
                <w:rFonts w:ascii="Calibri" w:hAnsi="Calibri"/>
                <w:sz w:val="18"/>
                <w:szCs w:val="18"/>
                <w:u w:val="none"/>
              </w:rPr>
              <w:t>Valid wrk</w:t>
            </w:r>
          </w:p>
        </w:tc>
      </w:tr>
      <w:tr w:rsidR="00302BFE" w:rsidRPr="0075595E" w14:paraId="16CCADA1" w14:textId="77777777" w:rsidTr="00243B15">
        <w:trPr>
          <w:jc w:val="center"/>
        </w:trPr>
        <w:tc>
          <w:tcPr>
            <w:tcW w:w="13744" w:type="dxa"/>
            <w:gridSpan w:val="10"/>
            <w:tcBorders>
              <w:top w:val="single" w:sz="2" w:space="0" w:color="000000"/>
              <w:left w:val="single" w:sz="2" w:space="0" w:color="000000"/>
              <w:bottom w:val="single" w:sz="2" w:space="0" w:color="000000"/>
              <w:right w:val="single" w:sz="2" w:space="0" w:color="000000"/>
            </w:tcBorders>
            <w:shd w:val="clear" w:color="auto" w:fill="FFF2CC"/>
            <w:tcMar>
              <w:top w:w="80" w:type="dxa"/>
              <w:left w:w="80" w:type="dxa"/>
              <w:bottom w:w="80" w:type="dxa"/>
              <w:right w:w="80" w:type="dxa"/>
            </w:tcMar>
          </w:tcPr>
          <w:p w14:paraId="03BA2290" w14:textId="77777777" w:rsidR="00302BFE" w:rsidRPr="002854BE" w:rsidRDefault="00302BFE" w:rsidP="00243B15">
            <w:pPr>
              <w:pStyle w:val="TableStyle2A"/>
              <w:rPr>
                <w:rStyle w:val="Hyperlink0"/>
                <w:rFonts w:ascii="Calibri" w:hAnsi="Calibri"/>
                <w:sz w:val="18"/>
                <w:szCs w:val="18"/>
                <w:u w:val="none"/>
                <w:lang w:val="en-CA"/>
              </w:rPr>
            </w:pPr>
            <w:r w:rsidRPr="002854BE">
              <w:rPr>
                <w:rFonts w:ascii="Calibri" w:hAnsi="Calibri"/>
                <w:b/>
                <w:sz w:val="18"/>
                <w:szCs w:val="18"/>
                <w:lang w:val="en-CA"/>
              </w:rPr>
              <w:t>TIÉBÉLÉ/ GUIARO, 22 and 23 December 2018 –HWC / SAFE Systems Rapid Assessment</w:t>
            </w:r>
          </w:p>
        </w:tc>
      </w:tr>
      <w:tr w:rsidR="00302BFE" w:rsidRPr="0075595E" w14:paraId="1DD21425"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52DBF9F"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GOUBA Kassoum</w:t>
            </w:r>
          </w:p>
        </w:tc>
        <w:tc>
          <w:tcPr>
            <w:tcW w:w="2653" w:type="dxa"/>
            <w:tcBorders>
              <w:top w:val="single" w:sz="2" w:space="0" w:color="000000"/>
              <w:left w:val="single" w:sz="2" w:space="0" w:color="000000"/>
              <w:bottom w:val="single" w:sz="2" w:space="0" w:color="000000"/>
              <w:right w:val="single" w:sz="2" w:space="0" w:color="000000"/>
            </w:tcBorders>
          </w:tcPr>
          <w:p w14:paraId="071D1134"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Préfet Tiébelé</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129B496" w14:textId="77777777" w:rsidR="00302BFE" w:rsidRPr="0075595E" w:rsidRDefault="00302BFE" w:rsidP="00243B15">
            <w:pPr>
              <w:pStyle w:val="TableStyle2A"/>
              <w:rPr>
                <w:rFonts w:ascii="Calibri" w:hAnsi="Calibri"/>
                <w:sz w:val="18"/>
                <w:szCs w:val="18"/>
                <w:lang w:val="fr-FR"/>
              </w:rPr>
            </w:pPr>
            <w:r w:rsidRPr="0075595E">
              <w:rPr>
                <w:rFonts w:ascii="Calibri" w:hAnsi="Calibri"/>
                <w:sz w:val="18"/>
                <w:szCs w:val="18"/>
                <w:lang w:val="fr-FR"/>
              </w:rPr>
              <w:t>Préfecture</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80196EA"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71129778</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007603C" w14:textId="77777777" w:rsidR="00302BFE" w:rsidRPr="002854BE" w:rsidRDefault="00302BFE" w:rsidP="00243B15">
            <w:pPr>
              <w:pStyle w:val="TableStyle2A"/>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260398D8"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730B4F09"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vAlign w:val="center"/>
          </w:tcPr>
          <w:p w14:paraId="13E411CB"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2F8B6699"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11EBCADC"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24EE0856"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F5B8817"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ABASSAGUE Fidèle</w:t>
            </w:r>
          </w:p>
        </w:tc>
        <w:tc>
          <w:tcPr>
            <w:tcW w:w="2653" w:type="dxa"/>
            <w:tcBorders>
              <w:top w:val="single" w:sz="2" w:space="0" w:color="000000"/>
              <w:left w:val="single" w:sz="2" w:space="0" w:color="000000"/>
              <w:bottom w:val="single" w:sz="2" w:space="0" w:color="000000"/>
              <w:right w:val="single" w:sz="2" w:space="0" w:color="000000"/>
            </w:tcBorders>
          </w:tcPr>
          <w:p w14:paraId="15809A1F"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2</w:t>
            </w:r>
            <w:r>
              <w:rPr>
                <w:rStyle w:val="NoneA"/>
                <w:rFonts w:ascii="Calibri" w:hAnsi="Calibri"/>
                <w:sz w:val="18"/>
                <w:szCs w:val="18"/>
                <w:lang w:val="fr-FR"/>
              </w:rPr>
              <w:t>e</w:t>
            </w:r>
            <w:r w:rsidRPr="0075595E">
              <w:rPr>
                <w:rStyle w:val="NoneA"/>
                <w:rFonts w:ascii="Calibri" w:hAnsi="Calibri"/>
                <w:sz w:val="18"/>
                <w:szCs w:val="18"/>
                <w:lang w:val="fr-FR"/>
              </w:rPr>
              <w:t xml:space="preserve"> adjoint Maire</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1A560D8" w14:textId="77777777" w:rsidR="00302BFE" w:rsidRPr="0075595E" w:rsidRDefault="00302BFE" w:rsidP="00243B15">
            <w:pPr>
              <w:pStyle w:val="TableStyle2A"/>
              <w:rPr>
                <w:rFonts w:ascii="Calibri" w:hAnsi="Calibri"/>
                <w:sz w:val="18"/>
                <w:szCs w:val="18"/>
                <w:lang w:val="fr-FR"/>
              </w:rPr>
            </w:pPr>
            <w:r w:rsidRPr="0075595E">
              <w:rPr>
                <w:rFonts w:ascii="Calibri" w:hAnsi="Calibri"/>
                <w:sz w:val="18"/>
                <w:szCs w:val="18"/>
                <w:lang w:val="fr-FR"/>
              </w:rPr>
              <w:t>Mairie</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081002E"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76635445</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FF0CA04" w14:textId="77777777" w:rsidR="00302BFE" w:rsidRPr="002854BE" w:rsidRDefault="00302BFE" w:rsidP="00243B15">
            <w:pPr>
              <w:pStyle w:val="TableStyle2A"/>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4382D092"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0C885812"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vAlign w:val="center"/>
          </w:tcPr>
          <w:p w14:paraId="65A754A6"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5F67414A"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17409DAF"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54407588"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AC282D6"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SAWADOGO Rassido</w:t>
            </w:r>
          </w:p>
        </w:tc>
        <w:tc>
          <w:tcPr>
            <w:tcW w:w="2653" w:type="dxa"/>
            <w:tcBorders>
              <w:top w:val="single" w:sz="2" w:space="0" w:color="000000"/>
              <w:left w:val="single" w:sz="2" w:space="0" w:color="000000"/>
              <w:bottom w:val="single" w:sz="2" w:space="0" w:color="000000"/>
              <w:right w:val="single" w:sz="2" w:space="0" w:color="000000"/>
            </w:tcBorders>
          </w:tcPr>
          <w:p w14:paraId="73224366"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Chef/ZAT IP</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480A355" w14:textId="77777777" w:rsidR="00302BFE" w:rsidRPr="0075595E" w:rsidRDefault="00302BFE" w:rsidP="00243B15">
            <w:pPr>
              <w:pStyle w:val="TableStyle2A"/>
              <w:rPr>
                <w:rFonts w:ascii="Calibri" w:hAnsi="Calibri"/>
                <w:sz w:val="18"/>
                <w:szCs w:val="18"/>
                <w:lang w:val="fr-FR"/>
              </w:rPr>
            </w:pPr>
            <w:r w:rsidRPr="0075595E">
              <w:rPr>
                <w:rFonts w:ascii="Calibri" w:hAnsi="Calibri"/>
                <w:sz w:val="18"/>
                <w:szCs w:val="18"/>
                <w:lang w:val="fr-FR"/>
              </w:rPr>
              <w:t>ZAT/Tiébélé</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606B058"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75293150</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9A81036" w14:textId="77777777" w:rsidR="00302BFE" w:rsidRPr="002854BE" w:rsidRDefault="00302BFE" w:rsidP="00243B15">
            <w:pPr>
              <w:pStyle w:val="TableStyle2A"/>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1F82C534"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76D430B5"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vAlign w:val="center"/>
          </w:tcPr>
          <w:p w14:paraId="455D8145"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2F35151A"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2277428A"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61EE6655"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7E9D499"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OUEDRAOGO Seydou</w:t>
            </w:r>
          </w:p>
        </w:tc>
        <w:tc>
          <w:tcPr>
            <w:tcW w:w="2653" w:type="dxa"/>
            <w:tcBorders>
              <w:top w:val="single" w:sz="2" w:space="0" w:color="000000"/>
              <w:left w:val="single" w:sz="2" w:space="0" w:color="000000"/>
              <w:bottom w:val="single" w:sz="2" w:space="0" w:color="000000"/>
              <w:right w:val="single" w:sz="2" w:space="0" w:color="000000"/>
            </w:tcBorders>
          </w:tcPr>
          <w:p w14:paraId="708DC486"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Adjoint</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9B94BCF" w14:textId="77777777" w:rsidR="00302BFE" w:rsidRPr="0075595E" w:rsidRDefault="00302BFE" w:rsidP="00243B15">
            <w:pPr>
              <w:pStyle w:val="TableStyle2A"/>
              <w:rPr>
                <w:rFonts w:ascii="Calibri" w:hAnsi="Calibri"/>
                <w:sz w:val="18"/>
                <w:szCs w:val="18"/>
                <w:lang w:val="fr-FR"/>
              </w:rPr>
            </w:pPr>
            <w:r w:rsidRPr="0075595E">
              <w:rPr>
                <w:rFonts w:ascii="Calibri" w:hAnsi="Calibri"/>
                <w:sz w:val="18"/>
                <w:szCs w:val="18"/>
                <w:lang w:val="fr-FR"/>
              </w:rPr>
              <w:t>SDEEVCC/Tiébélé</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49DF2E2"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71672211</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A7B81CC" w14:textId="77777777" w:rsidR="00302BFE" w:rsidRPr="002854BE" w:rsidRDefault="00302BFE" w:rsidP="00243B15">
            <w:pPr>
              <w:pStyle w:val="TableStyle2A"/>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4F2F43B4"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63452D00"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vAlign w:val="center"/>
          </w:tcPr>
          <w:p w14:paraId="6FDC4651"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70829226"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5C2DBE67"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029A2D60"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1D8C0D2"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HIEN Ludovic</w:t>
            </w:r>
          </w:p>
        </w:tc>
        <w:tc>
          <w:tcPr>
            <w:tcW w:w="2653" w:type="dxa"/>
            <w:tcBorders>
              <w:top w:val="single" w:sz="2" w:space="0" w:color="000000"/>
              <w:left w:val="single" w:sz="2" w:space="0" w:color="000000"/>
              <w:bottom w:val="single" w:sz="2" w:space="0" w:color="000000"/>
              <w:right w:val="single" w:sz="2" w:space="0" w:color="000000"/>
            </w:tcBorders>
          </w:tcPr>
          <w:p w14:paraId="4369E805"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Chef WAT de Gowmpia</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0F6D657" w14:textId="77777777" w:rsidR="00302BFE" w:rsidRPr="0075595E" w:rsidRDefault="00302BFE" w:rsidP="00243B15">
            <w:pPr>
              <w:pStyle w:val="TableStyle2A"/>
              <w:rPr>
                <w:rFonts w:ascii="Calibri" w:hAnsi="Calibri"/>
                <w:sz w:val="18"/>
                <w:szCs w:val="18"/>
                <w:lang w:val="fr-FR"/>
              </w:rPr>
            </w:pPr>
            <w:r w:rsidRPr="0075595E">
              <w:rPr>
                <w:rFonts w:ascii="Calibri" w:hAnsi="Calibri"/>
                <w:sz w:val="18"/>
                <w:szCs w:val="18"/>
                <w:lang w:val="fr-FR"/>
              </w:rPr>
              <w:t>ZAT/Tiébélé</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889AF3C"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78943286</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5144C4A" w14:textId="77777777" w:rsidR="00302BFE" w:rsidRPr="002854BE" w:rsidRDefault="00302BFE" w:rsidP="00243B15">
            <w:pPr>
              <w:pStyle w:val="TableStyle2A"/>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36BF9544"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6ECE1822"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vAlign w:val="center"/>
          </w:tcPr>
          <w:p w14:paraId="7380C6A9"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2E523A68"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239768BF"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4CBCCBE6"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FCB6203" w14:textId="77777777" w:rsidR="00302BFE" w:rsidRPr="0075595E" w:rsidRDefault="00302BFE" w:rsidP="00243B15">
            <w:pPr>
              <w:pStyle w:val="TableStyle2A"/>
              <w:rPr>
                <w:rFonts w:ascii="Calibri" w:hAnsi="Calibri"/>
                <w:sz w:val="18"/>
                <w:szCs w:val="18"/>
                <w:lang w:val="fr-FR"/>
              </w:rPr>
            </w:pPr>
            <w:r w:rsidRPr="0075595E">
              <w:rPr>
                <w:rFonts w:ascii="Calibri" w:hAnsi="Calibri"/>
                <w:sz w:val="18"/>
                <w:szCs w:val="18"/>
                <w:lang w:val="fr-FR"/>
              </w:rPr>
              <w:t>ZIBARE G.Abouga</w:t>
            </w:r>
          </w:p>
        </w:tc>
        <w:tc>
          <w:tcPr>
            <w:tcW w:w="2653" w:type="dxa"/>
            <w:tcBorders>
              <w:top w:val="single" w:sz="2" w:space="0" w:color="000000"/>
              <w:left w:val="single" w:sz="2" w:space="0" w:color="000000"/>
              <w:bottom w:val="single" w:sz="2" w:space="0" w:color="000000"/>
              <w:right w:val="single" w:sz="2" w:space="0" w:color="000000"/>
            </w:tcBorders>
          </w:tcPr>
          <w:p w14:paraId="687BF863"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1er adjoint au maire</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6F4E313" w14:textId="77777777" w:rsidR="00302BFE" w:rsidRPr="0075595E" w:rsidRDefault="00302BFE" w:rsidP="00243B15">
            <w:pPr>
              <w:pStyle w:val="TableStyle2A"/>
              <w:rPr>
                <w:rFonts w:ascii="Calibri" w:hAnsi="Calibri"/>
                <w:sz w:val="18"/>
                <w:szCs w:val="18"/>
                <w:lang w:val="fr-FR"/>
              </w:rPr>
            </w:pPr>
            <w:r w:rsidRPr="0075595E">
              <w:rPr>
                <w:rFonts w:ascii="Calibri" w:hAnsi="Calibri"/>
                <w:sz w:val="18"/>
                <w:szCs w:val="18"/>
                <w:lang w:val="fr-FR"/>
              </w:rPr>
              <w:t>Mairie</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BB84C6F" w14:textId="77777777" w:rsidR="00302BFE" w:rsidRPr="0075595E" w:rsidRDefault="00302BFE" w:rsidP="00243B15">
            <w:pPr>
              <w:pStyle w:val="TableStyle2A"/>
              <w:rPr>
                <w:rFonts w:ascii="Calibri" w:hAnsi="Calibri"/>
                <w:sz w:val="18"/>
                <w:szCs w:val="18"/>
                <w:lang w:val="fr-FR"/>
              </w:rPr>
            </w:pPr>
            <w:r w:rsidRPr="0075595E">
              <w:rPr>
                <w:rFonts w:ascii="Calibri" w:hAnsi="Calibri"/>
                <w:sz w:val="18"/>
                <w:szCs w:val="18"/>
                <w:lang w:val="fr-FR"/>
              </w:rPr>
              <w:t>66858452</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85913F7" w14:textId="77777777" w:rsidR="00302BFE" w:rsidRPr="002854BE" w:rsidRDefault="00302BFE" w:rsidP="00243B15">
            <w:pPr>
              <w:pStyle w:val="TableStyle2A"/>
              <w:rPr>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6C5FDC2B"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348E5DF9" w14:textId="77777777" w:rsidR="00302BFE" w:rsidRPr="0075595E" w:rsidRDefault="00302BFE" w:rsidP="00243B15">
            <w:pPr>
              <w:pStyle w:val="TableStyle2A"/>
              <w:jc w:val="center"/>
              <w:rPr>
                <w:rStyle w:val="Hyperlink0"/>
                <w:rFonts w:ascii="Calibri" w:hAnsi="Calibri"/>
                <w:sz w:val="18"/>
                <w:szCs w:val="18"/>
                <w:u w:val="none"/>
                <w:lang w:val="fr-FR"/>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vAlign w:val="center"/>
          </w:tcPr>
          <w:p w14:paraId="54B7F924"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30DDB232"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4409F304"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7A476623"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1E72288" w14:textId="77777777" w:rsidR="00302BFE" w:rsidRPr="0075595E" w:rsidRDefault="00302BFE" w:rsidP="00243B15">
            <w:pPr>
              <w:pStyle w:val="TableStyle2A"/>
              <w:rPr>
                <w:rFonts w:ascii="Calibri" w:hAnsi="Calibri"/>
                <w:sz w:val="18"/>
                <w:szCs w:val="18"/>
                <w:lang w:val="fr-FR"/>
              </w:rPr>
            </w:pPr>
            <w:r w:rsidRPr="0075595E">
              <w:rPr>
                <w:rFonts w:ascii="Calibri" w:hAnsi="Calibri"/>
                <w:sz w:val="18"/>
                <w:szCs w:val="18"/>
                <w:lang w:val="fr-FR"/>
              </w:rPr>
              <w:t>KOURAOGO Achille</w:t>
            </w:r>
          </w:p>
        </w:tc>
        <w:tc>
          <w:tcPr>
            <w:tcW w:w="2653" w:type="dxa"/>
            <w:tcBorders>
              <w:top w:val="single" w:sz="2" w:space="0" w:color="000000"/>
              <w:left w:val="single" w:sz="2" w:space="0" w:color="000000"/>
              <w:bottom w:val="single" w:sz="2" w:space="0" w:color="000000"/>
              <w:right w:val="single" w:sz="2" w:space="0" w:color="000000"/>
            </w:tcBorders>
          </w:tcPr>
          <w:p w14:paraId="1B246512"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CBT Guiaro</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E4616B7" w14:textId="77777777" w:rsidR="00302BFE" w:rsidRPr="0075595E" w:rsidRDefault="00302BFE" w:rsidP="00243B15">
            <w:pPr>
              <w:pStyle w:val="TableStyle2A"/>
              <w:rPr>
                <w:rFonts w:ascii="Calibri" w:hAnsi="Calibri"/>
                <w:sz w:val="18"/>
                <w:szCs w:val="18"/>
                <w:lang w:val="fr-FR"/>
              </w:rPr>
            </w:pPr>
            <w:r w:rsidRPr="0075595E">
              <w:rPr>
                <w:rFonts w:ascii="Calibri" w:hAnsi="Calibri"/>
                <w:sz w:val="18"/>
                <w:szCs w:val="18"/>
                <w:lang w:val="fr-FR"/>
              </w:rPr>
              <w:t>Gendarmerie</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1E25DA5" w14:textId="77777777" w:rsidR="00302BFE" w:rsidRPr="0075595E" w:rsidRDefault="00302BFE" w:rsidP="00243B15">
            <w:pPr>
              <w:pStyle w:val="TableStyle2A"/>
              <w:rPr>
                <w:rFonts w:ascii="Calibri" w:hAnsi="Calibri"/>
                <w:sz w:val="18"/>
                <w:szCs w:val="18"/>
                <w:lang w:val="fr-FR"/>
              </w:rPr>
            </w:pPr>
            <w:r w:rsidRPr="0075595E">
              <w:rPr>
                <w:rFonts w:ascii="Calibri" w:hAnsi="Calibri"/>
                <w:sz w:val="18"/>
                <w:szCs w:val="18"/>
                <w:lang w:val="fr-FR"/>
              </w:rPr>
              <w:t>76737575</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42F63C0" w14:textId="77777777" w:rsidR="00302BFE" w:rsidRPr="002854BE" w:rsidRDefault="00302BFE" w:rsidP="00243B15">
            <w:pPr>
              <w:pStyle w:val="TableStyle2A"/>
              <w:rPr>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49128A4D"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675085BC" w14:textId="77777777" w:rsidR="00302BFE" w:rsidRPr="0075595E" w:rsidRDefault="00302BFE" w:rsidP="00243B15">
            <w:pPr>
              <w:pStyle w:val="TableStyle2A"/>
              <w:jc w:val="center"/>
              <w:rPr>
                <w:rStyle w:val="Hyperlink0"/>
                <w:rFonts w:ascii="Calibri" w:hAnsi="Calibri"/>
                <w:sz w:val="18"/>
                <w:szCs w:val="18"/>
                <w:u w:val="none"/>
                <w:lang w:val="fr-FR"/>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vAlign w:val="center"/>
          </w:tcPr>
          <w:p w14:paraId="17276E5E"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5EC1C34B"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4A6E0876"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7BCCFF40"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02653AA" w14:textId="77777777" w:rsidR="00302BFE" w:rsidRPr="0075595E" w:rsidRDefault="00302BFE" w:rsidP="00243B15">
            <w:pPr>
              <w:pStyle w:val="TableStyle2A"/>
              <w:rPr>
                <w:rFonts w:ascii="Calibri" w:hAnsi="Calibri"/>
                <w:sz w:val="18"/>
                <w:szCs w:val="18"/>
                <w:lang w:val="fr-FR"/>
              </w:rPr>
            </w:pPr>
            <w:r w:rsidRPr="0075595E">
              <w:rPr>
                <w:rFonts w:ascii="Calibri" w:hAnsi="Calibri"/>
                <w:sz w:val="18"/>
                <w:szCs w:val="18"/>
                <w:lang w:val="fr-FR"/>
              </w:rPr>
              <w:t>IDIGO Salifou</w:t>
            </w:r>
          </w:p>
        </w:tc>
        <w:tc>
          <w:tcPr>
            <w:tcW w:w="2653" w:type="dxa"/>
            <w:tcBorders>
              <w:top w:val="single" w:sz="2" w:space="0" w:color="000000"/>
              <w:left w:val="single" w:sz="2" w:space="0" w:color="000000"/>
              <w:bottom w:val="single" w:sz="2" w:space="0" w:color="000000"/>
              <w:right w:val="single" w:sz="2" w:space="0" w:color="000000"/>
            </w:tcBorders>
          </w:tcPr>
          <w:p w14:paraId="7964597A"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Président CVD Guiaro</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9C98A6B" w14:textId="77777777" w:rsidR="00302BFE" w:rsidRPr="0075595E" w:rsidRDefault="00302BFE" w:rsidP="00243B15">
            <w:pPr>
              <w:pStyle w:val="TableStyle2A"/>
              <w:rPr>
                <w:rFonts w:ascii="Calibri" w:hAnsi="Calibri"/>
                <w:sz w:val="18"/>
                <w:szCs w:val="18"/>
                <w:lang w:val="fr-FR"/>
              </w:rPr>
            </w:pPr>
            <w:r w:rsidRPr="0075595E">
              <w:rPr>
                <w:rFonts w:ascii="Calibri" w:hAnsi="Calibri"/>
                <w:sz w:val="18"/>
                <w:szCs w:val="18"/>
                <w:lang w:val="fr-FR"/>
              </w:rPr>
              <w:t>CVD</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3CFF054" w14:textId="77777777" w:rsidR="00302BFE" w:rsidRPr="0075595E" w:rsidRDefault="00302BFE" w:rsidP="00243B15">
            <w:pPr>
              <w:pStyle w:val="TableStyle2A"/>
              <w:rPr>
                <w:rFonts w:ascii="Calibri" w:hAnsi="Calibri"/>
                <w:sz w:val="18"/>
                <w:szCs w:val="18"/>
                <w:lang w:val="fr-FR"/>
              </w:rPr>
            </w:pPr>
            <w:r w:rsidRPr="0075595E">
              <w:rPr>
                <w:rFonts w:ascii="Calibri" w:hAnsi="Calibri"/>
                <w:sz w:val="18"/>
                <w:szCs w:val="18"/>
                <w:lang w:val="fr-FR"/>
              </w:rPr>
              <w:t>71438868</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B43AEF7" w14:textId="77777777" w:rsidR="00302BFE" w:rsidRPr="002854BE" w:rsidRDefault="00302BFE" w:rsidP="00243B15">
            <w:pPr>
              <w:pStyle w:val="TableStyle2A"/>
              <w:rPr>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2E9C1B83"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35D84C01" w14:textId="77777777" w:rsidR="00302BFE" w:rsidRPr="0075595E" w:rsidRDefault="00302BFE" w:rsidP="00243B15">
            <w:pPr>
              <w:pStyle w:val="TableStyle2A"/>
              <w:jc w:val="center"/>
              <w:rPr>
                <w:rStyle w:val="Hyperlink0"/>
                <w:rFonts w:ascii="Calibri" w:hAnsi="Calibri"/>
                <w:sz w:val="18"/>
                <w:szCs w:val="18"/>
                <w:u w:val="none"/>
                <w:lang w:val="fr-FR"/>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vAlign w:val="center"/>
          </w:tcPr>
          <w:p w14:paraId="45E88CEB"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0572E2F3"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23793402"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10247F08"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26921E1" w14:textId="77777777" w:rsidR="00302BFE" w:rsidRPr="0075595E" w:rsidRDefault="00302BFE" w:rsidP="00243B15">
            <w:pPr>
              <w:pStyle w:val="TableStyle2A"/>
              <w:rPr>
                <w:rFonts w:ascii="Calibri" w:hAnsi="Calibri"/>
                <w:sz w:val="18"/>
                <w:szCs w:val="18"/>
                <w:lang w:val="fr-FR"/>
              </w:rPr>
            </w:pPr>
            <w:r w:rsidRPr="0075595E">
              <w:rPr>
                <w:rFonts w:ascii="Calibri" w:hAnsi="Calibri"/>
                <w:sz w:val="18"/>
                <w:szCs w:val="18"/>
                <w:lang w:val="fr-FR"/>
              </w:rPr>
              <w:t>OUEDRAOGO Halidou</w:t>
            </w:r>
          </w:p>
        </w:tc>
        <w:tc>
          <w:tcPr>
            <w:tcW w:w="2653" w:type="dxa"/>
            <w:tcBorders>
              <w:top w:val="single" w:sz="2" w:space="0" w:color="000000"/>
              <w:left w:val="single" w:sz="2" w:space="0" w:color="000000"/>
              <w:bottom w:val="single" w:sz="2" w:space="0" w:color="000000"/>
              <w:right w:val="single" w:sz="2" w:space="0" w:color="000000"/>
            </w:tcBorders>
          </w:tcPr>
          <w:p w14:paraId="1645704F"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Agent de la préfecture</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0F249B1" w14:textId="77777777" w:rsidR="00302BFE" w:rsidRPr="0075595E" w:rsidRDefault="00302BFE" w:rsidP="00243B15">
            <w:pPr>
              <w:pStyle w:val="TableStyle2A"/>
              <w:rPr>
                <w:rFonts w:ascii="Calibri" w:hAnsi="Calibri"/>
                <w:sz w:val="18"/>
                <w:szCs w:val="18"/>
                <w:lang w:val="fr-FR"/>
              </w:rPr>
            </w:pPr>
            <w:r w:rsidRPr="0075595E">
              <w:rPr>
                <w:rFonts w:ascii="Calibri" w:hAnsi="Calibri"/>
                <w:sz w:val="18"/>
                <w:szCs w:val="18"/>
                <w:lang w:val="fr-FR"/>
              </w:rPr>
              <w:t>Préfecture</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A01BE40" w14:textId="77777777" w:rsidR="00302BFE" w:rsidRPr="0075595E" w:rsidRDefault="00302BFE" w:rsidP="00243B15">
            <w:pPr>
              <w:pStyle w:val="TableStyle2A"/>
              <w:rPr>
                <w:rFonts w:ascii="Calibri" w:hAnsi="Calibri"/>
                <w:sz w:val="18"/>
                <w:szCs w:val="18"/>
                <w:lang w:val="fr-FR"/>
              </w:rPr>
            </w:pPr>
            <w:r w:rsidRPr="0075595E">
              <w:rPr>
                <w:rFonts w:ascii="Calibri" w:hAnsi="Calibri"/>
                <w:sz w:val="18"/>
                <w:szCs w:val="18"/>
                <w:lang w:val="fr-FR"/>
              </w:rPr>
              <w:t>-</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FEC8ADF" w14:textId="77777777" w:rsidR="00302BFE" w:rsidRPr="002854BE" w:rsidRDefault="00302BFE" w:rsidP="00243B15">
            <w:pPr>
              <w:pStyle w:val="TableStyle2A"/>
              <w:rPr>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1098685A"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41E80848" w14:textId="77777777" w:rsidR="00302BFE" w:rsidRPr="0075595E" w:rsidRDefault="00302BFE" w:rsidP="00243B15">
            <w:pPr>
              <w:pStyle w:val="TableStyle2A"/>
              <w:jc w:val="center"/>
              <w:rPr>
                <w:rStyle w:val="Hyperlink0"/>
                <w:rFonts w:ascii="Calibri" w:hAnsi="Calibri"/>
                <w:sz w:val="18"/>
                <w:szCs w:val="18"/>
                <w:u w:val="none"/>
                <w:lang w:val="fr-FR"/>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vAlign w:val="center"/>
          </w:tcPr>
          <w:p w14:paraId="7D9285D9"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7925D1E9"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3AF2D00E"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5C13021B"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32A167E" w14:textId="77777777" w:rsidR="00302BFE" w:rsidRPr="0075595E" w:rsidRDefault="00302BFE" w:rsidP="00243B15">
            <w:pPr>
              <w:pStyle w:val="TableStyle2A"/>
              <w:rPr>
                <w:rFonts w:ascii="Calibri" w:hAnsi="Calibri"/>
                <w:sz w:val="18"/>
                <w:szCs w:val="18"/>
                <w:lang w:val="fr-FR"/>
              </w:rPr>
            </w:pPr>
            <w:r w:rsidRPr="0075595E">
              <w:rPr>
                <w:rFonts w:ascii="Calibri" w:hAnsi="Calibri"/>
                <w:sz w:val="18"/>
                <w:szCs w:val="18"/>
                <w:lang w:val="fr-FR"/>
              </w:rPr>
              <w:t>ZONGO Lucien</w:t>
            </w:r>
          </w:p>
        </w:tc>
        <w:tc>
          <w:tcPr>
            <w:tcW w:w="2653" w:type="dxa"/>
            <w:tcBorders>
              <w:top w:val="single" w:sz="2" w:space="0" w:color="000000"/>
              <w:left w:val="single" w:sz="2" w:space="0" w:color="000000"/>
              <w:bottom w:val="single" w:sz="2" w:space="0" w:color="000000"/>
              <w:right w:val="single" w:sz="2" w:space="0" w:color="000000"/>
            </w:tcBorders>
          </w:tcPr>
          <w:p w14:paraId="60ADCFA4"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Chef adjoint SDEEVCC de Guiaro</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703A7B0" w14:textId="77777777" w:rsidR="00302BFE" w:rsidRPr="0075595E" w:rsidRDefault="00302BFE" w:rsidP="00243B15">
            <w:pPr>
              <w:pStyle w:val="TableStyle2A"/>
              <w:rPr>
                <w:rFonts w:ascii="Calibri" w:hAnsi="Calibri"/>
                <w:sz w:val="18"/>
                <w:szCs w:val="18"/>
                <w:lang w:val="fr-FR"/>
              </w:rPr>
            </w:pPr>
            <w:r w:rsidRPr="0075595E">
              <w:rPr>
                <w:rFonts w:ascii="Calibri" w:hAnsi="Calibri"/>
                <w:sz w:val="18"/>
                <w:szCs w:val="18"/>
                <w:lang w:val="fr-FR"/>
              </w:rPr>
              <w:t>Environnement</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244CE00" w14:textId="77777777" w:rsidR="00302BFE" w:rsidRPr="0075595E" w:rsidRDefault="00302BFE" w:rsidP="00243B15">
            <w:pPr>
              <w:pStyle w:val="TableStyle2A"/>
              <w:rPr>
                <w:rFonts w:ascii="Calibri" w:hAnsi="Calibri"/>
                <w:sz w:val="18"/>
                <w:szCs w:val="18"/>
                <w:lang w:val="fr-FR"/>
              </w:rPr>
            </w:pPr>
            <w:r w:rsidRPr="0075595E">
              <w:rPr>
                <w:rFonts w:ascii="Calibri" w:hAnsi="Calibri"/>
                <w:sz w:val="18"/>
                <w:szCs w:val="18"/>
                <w:lang w:val="fr-FR"/>
              </w:rPr>
              <w:t>76278900</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49F9F48" w14:textId="77777777" w:rsidR="00302BFE" w:rsidRPr="002854BE" w:rsidRDefault="00302BFE" w:rsidP="00243B15">
            <w:pPr>
              <w:pStyle w:val="TableStyle2A"/>
              <w:rPr>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4AAE595C"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1DA6EDD9" w14:textId="77777777" w:rsidR="00302BFE" w:rsidRPr="0075595E" w:rsidRDefault="00302BFE" w:rsidP="00243B15">
            <w:pPr>
              <w:pStyle w:val="TableStyle2A"/>
              <w:jc w:val="center"/>
              <w:rPr>
                <w:rStyle w:val="Hyperlink0"/>
                <w:rFonts w:ascii="Calibri" w:hAnsi="Calibri"/>
                <w:sz w:val="18"/>
                <w:szCs w:val="18"/>
                <w:u w:val="none"/>
                <w:lang w:val="fr-FR"/>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vAlign w:val="center"/>
          </w:tcPr>
          <w:p w14:paraId="27FF65FD"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0BF871AE"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552DE0B9"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37603102"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044AB09" w14:textId="77777777" w:rsidR="00302BFE" w:rsidRPr="0075595E" w:rsidRDefault="00302BFE" w:rsidP="00243B15">
            <w:pPr>
              <w:pStyle w:val="TableStyle2A"/>
              <w:rPr>
                <w:rFonts w:ascii="Calibri" w:hAnsi="Calibri"/>
                <w:sz w:val="18"/>
                <w:szCs w:val="18"/>
                <w:lang w:val="fr-FR"/>
              </w:rPr>
            </w:pPr>
            <w:r w:rsidRPr="0075595E">
              <w:rPr>
                <w:rFonts w:ascii="Calibri" w:hAnsi="Calibri"/>
                <w:sz w:val="18"/>
                <w:szCs w:val="18"/>
                <w:lang w:val="fr-FR"/>
              </w:rPr>
              <w:t>IDIOGO.S.Abel</w:t>
            </w:r>
          </w:p>
        </w:tc>
        <w:tc>
          <w:tcPr>
            <w:tcW w:w="2653" w:type="dxa"/>
            <w:tcBorders>
              <w:top w:val="single" w:sz="2" w:space="0" w:color="000000"/>
              <w:left w:val="single" w:sz="2" w:space="0" w:color="000000"/>
              <w:bottom w:val="single" w:sz="2" w:space="0" w:color="000000"/>
              <w:right w:val="single" w:sz="2" w:space="0" w:color="000000"/>
            </w:tcBorders>
          </w:tcPr>
          <w:p w14:paraId="45626152"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Agent SFR</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A3C5397" w14:textId="77777777" w:rsidR="00302BFE" w:rsidRPr="0075595E" w:rsidRDefault="00302BFE" w:rsidP="00243B15">
            <w:pPr>
              <w:pStyle w:val="TableStyle2A"/>
              <w:rPr>
                <w:rFonts w:ascii="Calibri" w:hAnsi="Calibri"/>
                <w:sz w:val="18"/>
                <w:szCs w:val="18"/>
                <w:lang w:val="fr-FR"/>
              </w:rPr>
            </w:pPr>
            <w:r w:rsidRPr="0075595E">
              <w:rPr>
                <w:rFonts w:ascii="Calibri" w:hAnsi="Calibri"/>
                <w:sz w:val="18"/>
                <w:szCs w:val="18"/>
                <w:lang w:val="fr-FR"/>
              </w:rPr>
              <w:t>Mairie</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75FA8AA" w14:textId="77777777" w:rsidR="00302BFE" w:rsidRPr="0075595E" w:rsidRDefault="00302BFE" w:rsidP="00243B15">
            <w:pPr>
              <w:pStyle w:val="TableStyle2A"/>
              <w:rPr>
                <w:rFonts w:ascii="Calibri" w:hAnsi="Calibri"/>
                <w:sz w:val="18"/>
                <w:szCs w:val="18"/>
                <w:lang w:val="fr-FR"/>
              </w:rPr>
            </w:pPr>
            <w:r w:rsidRPr="0075595E">
              <w:rPr>
                <w:rFonts w:ascii="Calibri" w:hAnsi="Calibri"/>
                <w:sz w:val="18"/>
                <w:szCs w:val="18"/>
                <w:lang w:val="fr-FR"/>
              </w:rPr>
              <w:t>71043880</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BD64F50" w14:textId="77777777" w:rsidR="00302BFE" w:rsidRPr="002854BE" w:rsidRDefault="00302BFE" w:rsidP="00243B15">
            <w:pPr>
              <w:pStyle w:val="TableStyle2A"/>
              <w:rPr>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07AD6378"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21CD96F0" w14:textId="77777777" w:rsidR="00302BFE" w:rsidRPr="0075595E" w:rsidRDefault="00302BFE" w:rsidP="00243B15">
            <w:pPr>
              <w:pStyle w:val="TableStyle2A"/>
              <w:jc w:val="center"/>
              <w:rPr>
                <w:rStyle w:val="Hyperlink0"/>
                <w:rFonts w:ascii="Calibri" w:hAnsi="Calibri"/>
                <w:sz w:val="18"/>
                <w:szCs w:val="18"/>
                <w:u w:val="none"/>
                <w:lang w:val="fr-FR"/>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vAlign w:val="center"/>
          </w:tcPr>
          <w:p w14:paraId="67242C55"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71C5AD17"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478E40FE"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3337B0C8"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044E050" w14:textId="77777777" w:rsidR="00302BFE" w:rsidRPr="0075595E" w:rsidRDefault="00302BFE" w:rsidP="00243B15">
            <w:pPr>
              <w:pStyle w:val="TableStyle2A"/>
              <w:rPr>
                <w:rFonts w:ascii="Calibri" w:hAnsi="Calibri"/>
                <w:sz w:val="18"/>
                <w:szCs w:val="18"/>
                <w:lang w:val="fr-FR"/>
              </w:rPr>
            </w:pPr>
            <w:r w:rsidRPr="0075595E">
              <w:rPr>
                <w:rFonts w:ascii="Calibri" w:hAnsi="Calibri"/>
                <w:sz w:val="18"/>
                <w:szCs w:val="18"/>
                <w:lang w:val="fr-FR"/>
              </w:rPr>
              <w:t>ZIBARE Boumon</w:t>
            </w:r>
          </w:p>
        </w:tc>
        <w:tc>
          <w:tcPr>
            <w:tcW w:w="2653" w:type="dxa"/>
            <w:tcBorders>
              <w:top w:val="single" w:sz="2" w:space="0" w:color="000000"/>
              <w:left w:val="single" w:sz="2" w:space="0" w:color="000000"/>
              <w:bottom w:val="single" w:sz="2" w:space="0" w:color="000000"/>
              <w:right w:val="single" w:sz="2" w:space="0" w:color="000000"/>
            </w:tcBorders>
          </w:tcPr>
          <w:p w14:paraId="6D5E1495"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Agriculteur</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D4888D2" w14:textId="77777777" w:rsidR="00302BFE" w:rsidRPr="0075595E" w:rsidRDefault="00302BFE" w:rsidP="00243B15">
            <w:pPr>
              <w:pStyle w:val="TableStyle2A"/>
              <w:rPr>
                <w:rFonts w:ascii="Calibri" w:hAnsi="Calibri"/>
                <w:sz w:val="18"/>
                <w:szCs w:val="18"/>
                <w:lang w:val="fr-FR"/>
              </w:rPr>
            </w:pPr>
            <w:r w:rsidRPr="0075595E">
              <w:rPr>
                <w:rFonts w:ascii="Calibri" w:hAnsi="Calibri"/>
                <w:sz w:val="18"/>
                <w:szCs w:val="18"/>
                <w:lang w:val="fr-FR"/>
              </w:rPr>
              <w:t>CVD</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2B5CFB4" w14:textId="77777777" w:rsidR="00302BFE" w:rsidRPr="0075595E" w:rsidRDefault="00302BFE" w:rsidP="00243B15">
            <w:pPr>
              <w:pStyle w:val="TableStyle2A"/>
              <w:rPr>
                <w:rFonts w:ascii="Calibri" w:hAnsi="Calibri"/>
                <w:sz w:val="18"/>
                <w:szCs w:val="18"/>
                <w:lang w:val="fr-FR"/>
              </w:rPr>
            </w:pPr>
            <w:r w:rsidRPr="0075595E">
              <w:rPr>
                <w:rFonts w:ascii="Calibri" w:hAnsi="Calibri"/>
                <w:sz w:val="18"/>
                <w:szCs w:val="18"/>
                <w:lang w:val="fr-FR"/>
              </w:rPr>
              <w:t>71513435</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3EE306A" w14:textId="77777777" w:rsidR="00302BFE" w:rsidRPr="002854BE" w:rsidRDefault="00302BFE" w:rsidP="00243B15">
            <w:pPr>
              <w:pStyle w:val="TableStyle2A"/>
              <w:rPr>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23C42E72"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3836A062" w14:textId="77777777" w:rsidR="00302BFE" w:rsidRPr="0075595E" w:rsidRDefault="00302BFE" w:rsidP="00243B15">
            <w:pPr>
              <w:pStyle w:val="TableStyle2A"/>
              <w:jc w:val="center"/>
              <w:rPr>
                <w:rStyle w:val="Hyperlink0"/>
                <w:rFonts w:ascii="Calibri" w:hAnsi="Calibri"/>
                <w:sz w:val="18"/>
                <w:szCs w:val="18"/>
                <w:u w:val="none"/>
                <w:lang w:val="fr-FR"/>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vAlign w:val="center"/>
          </w:tcPr>
          <w:p w14:paraId="22B3A8B2"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615B6704"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0A8BE0B2"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73152ACE"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A85B142" w14:textId="77777777" w:rsidR="00302BFE" w:rsidRPr="0075595E" w:rsidRDefault="00302BFE" w:rsidP="00243B15">
            <w:pPr>
              <w:pStyle w:val="TableStyle2A"/>
              <w:rPr>
                <w:rFonts w:ascii="Calibri" w:hAnsi="Calibri"/>
                <w:sz w:val="18"/>
                <w:szCs w:val="18"/>
                <w:lang w:val="fr-FR"/>
              </w:rPr>
            </w:pPr>
            <w:r w:rsidRPr="0075595E">
              <w:rPr>
                <w:rFonts w:ascii="Calibri" w:hAnsi="Calibri"/>
                <w:sz w:val="18"/>
                <w:szCs w:val="18"/>
                <w:lang w:val="fr-FR"/>
              </w:rPr>
              <w:t>DA Cro Atimon</w:t>
            </w:r>
          </w:p>
        </w:tc>
        <w:tc>
          <w:tcPr>
            <w:tcW w:w="2653" w:type="dxa"/>
            <w:tcBorders>
              <w:top w:val="single" w:sz="2" w:space="0" w:color="000000"/>
              <w:left w:val="single" w:sz="2" w:space="0" w:color="000000"/>
              <w:bottom w:val="single" w:sz="2" w:space="0" w:color="000000"/>
              <w:right w:val="single" w:sz="2" w:space="0" w:color="000000"/>
            </w:tcBorders>
          </w:tcPr>
          <w:p w14:paraId="75EE318D"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Agriculteur</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DEFE2BC" w14:textId="77777777" w:rsidR="00302BFE" w:rsidRPr="0075595E" w:rsidRDefault="00302BFE" w:rsidP="00243B15">
            <w:pPr>
              <w:pStyle w:val="TableStyle2A"/>
              <w:rPr>
                <w:rFonts w:ascii="Calibri" w:hAnsi="Calibri"/>
                <w:sz w:val="18"/>
                <w:szCs w:val="18"/>
                <w:lang w:val="fr-FR"/>
              </w:rPr>
            </w:pPr>
            <w:r w:rsidRPr="0075595E">
              <w:rPr>
                <w:rFonts w:ascii="Calibri" w:hAnsi="Calibri"/>
                <w:sz w:val="18"/>
                <w:szCs w:val="18"/>
                <w:lang w:val="fr-FR"/>
              </w:rPr>
              <w:t>CVD</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6DA3186" w14:textId="77777777" w:rsidR="00302BFE" w:rsidRPr="0075595E" w:rsidRDefault="00302BFE" w:rsidP="00243B15">
            <w:pPr>
              <w:pStyle w:val="TableStyle2A"/>
              <w:rPr>
                <w:rFonts w:ascii="Calibri" w:hAnsi="Calibri"/>
                <w:sz w:val="18"/>
                <w:szCs w:val="18"/>
                <w:lang w:val="fr-FR"/>
              </w:rPr>
            </w:pPr>
            <w:r w:rsidRPr="0075595E">
              <w:rPr>
                <w:rFonts w:ascii="Calibri" w:hAnsi="Calibri"/>
                <w:sz w:val="18"/>
                <w:szCs w:val="18"/>
                <w:lang w:val="fr-FR"/>
              </w:rPr>
              <w:t>67870095</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BAA9261" w14:textId="77777777" w:rsidR="00302BFE" w:rsidRPr="002854BE" w:rsidRDefault="00302BFE" w:rsidP="00243B15">
            <w:pPr>
              <w:pStyle w:val="TableStyle2A"/>
              <w:rPr>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59BE95FD"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7F8CE366" w14:textId="77777777" w:rsidR="00302BFE" w:rsidRPr="0075595E" w:rsidRDefault="00302BFE" w:rsidP="00243B15">
            <w:pPr>
              <w:pStyle w:val="TableStyle2A"/>
              <w:jc w:val="center"/>
              <w:rPr>
                <w:rStyle w:val="Hyperlink0"/>
                <w:rFonts w:ascii="Calibri" w:hAnsi="Calibri"/>
                <w:sz w:val="18"/>
                <w:szCs w:val="18"/>
                <w:u w:val="none"/>
                <w:lang w:val="fr-FR"/>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vAlign w:val="center"/>
          </w:tcPr>
          <w:p w14:paraId="5AFCADC0"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2AA27598"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35860FB4"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73A0E8C1"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E180671" w14:textId="77777777" w:rsidR="00302BFE" w:rsidRPr="0075595E" w:rsidRDefault="00302BFE" w:rsidP="00243B15">
            <w:pPr>
              <w:pStyle w:val="TableStyle2A"/>
              <w:rPr>
                <w:rFonts w:ascii="Calibri" w:hAnsi="Calibri"/>
                <w:sz w:val="18"/>
                <w:szCs w:val="18"/>
                <w:lang w:val="fr-FR"/>
              </w:rPr>
            </w:pPr>
            <w:r w:rsidRPr="0075595E">
              <w:rPr>
                <w:rFonts w:ascii="Calibri" w:hAnsi="Calibri"/>
                <w:sz w:val="18"/>
                <w:szCs w:val="18"/>
                <w:lang w:val="fr-FR"/>
              </w:rPr>
              <w:t>ADANA Yiribidjié</w:t>
            </w:r>
          </w:p>
        </w:tc>
        <w:tc>
          <w:tcPr>
            <w:tcW w:w="2653" w:type="dxa"/>
            <w:tcBorders>
              <w:top w:val="single" w:sz="2" w:space="0" w:color="000000"/>
              <w:left w:val="single" w:sz="2" w:space="0" w:color="000000"/>
              <w:bottom w:val="single" w:sz="2" w:space="0" w:color="000000"/>
              <w:right w:val="single" w:sz="2" w:space="0" w:color="000000"/>
            </w:tcBorders>
          </w:tcPr>
          <w:p w14:paraId="4ABBDC37"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Secrétaire</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3FC088B" w14:textId="77777777" w:rsidR="00302BFE" w:rsidRPr="0075595E" w:rsidRDefault="00302BFE" w:rsidP="00243B15">
            <w:pPr>
              <w:pStyle w:val="TableStyle2A"/>
              <w:rPr>
                <w:rFonts w:ascii="Calibri" w:hAnsi="Calibri"/>
                <w:sz w:val="18"/>
                <w:szCs w:val="18"/>
                <w:lang w:val="fr-FR"/>
              </w:rPr>
            </w:pPr>
            <w:r w:rsidRPr="0075595E">
              <w:rPr>
                <w:rFonts w:ascii="Calibri" w:hAnsi="Calibri"/>
                <w:sz w:val="18"/>
                <w:szCs w:val="18"/>
                <w:lang w:val="fr-FR"/>
              </w:rPr>
              <w:t>Mairie</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6E078D1" w14:textId="77777777" w:rsidR="00302BFE" w:rsidRPr="0075595E" w:rsidRDefault="00302BFE" w:rsidP="00243B15">
            <w:pPr>
              <w:pStyle w:val="TableStyle2A"/>
              <w:rPr>
                <w:rFonts w:ascii="Calibri" w:hAnsi="Calibri"/>
                <w:sz w:val="18"/>
                <w:szCs w:val="18"/>
                <w:lang w:val="fr-FR"/>
              </w:rPr>
            </w:pPr>
            <w:r w:rsidRPr="0075595E">
              <w:rPr>
                <w:rFonts w:ascii="Calibri" w:hAnsi="Calibri"/>
                <w:sz w:val="18"/>
                <w:szCs w:val="18"/>
                <w:lang w:val="fr-FR"/>
              </w:rPr>
              <w:t>70531357</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C87A5DE" w14:textId="77777777" w:rsidR="00302BFE" w:rsidRPr="002854BE" w:rsidRDefault="00302BFE" w:rsidP="00243B15">
            <w:pPr>
              <w:pStyle w:val="TableStyle2A"/>
              <w:rPr>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3AF31B7A"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1B71EB64" w14:textId="77777777" w:rsidR="00302BFE" w:rsidRPr="0075595E" w:rsidRDefault="00302BFE" w:rsidP="00243B15">
            <w:pPr>
              <w:pStyle w:val="TableStyle2A"/>
              <w:jc w:val="center"/>
              <w:rPr>
                <w:rStyle w:val="Hyperlink0"/>
                <w:rFonts w:ascii="Calibri" w:hAnsi="Calibri"/>
                <w:sz w:val="18"/>
                <w:szCs w:val="18"/>
                <w:u w:val="none"/>
                <w:lang w:val="fr-FR"/>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vAlign w:val="center"/>
          </w:tcPr>
          <w:p w14:paraId="7C602D85"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10BF517D"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vAlign w:val="center"/>
          </w:tcPr>
          <w:p w14:paraId="16A5D9CA"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5EF4196E" w14:textId="77777777" w:rsidTr="00243B15">
        <w:trPr>
          <w:jc w:val="center"/>
        </w:trPr>
        <w:tc>
          <w:tcPr>
            <w:tcW w:w="13744" w:type="dxa"/>
            <w:gridSpan w:val="10"/>
            <w:tcBorders>
              <w:top w:val="single" w:sz="2" w:space="0" w:color="000000"/>
              <w:left w:val="single" w:sz="2" w:space="0" w:color="000000"/>
              <w:bottom w:val="single" w:sz="2" w:space="0" w:color="000000"/>
              <w:right w:val="single" w:sz="2" w:space="0" w:color="000000"/>
            </w:tcBorders>
            <w:shd w:val="clear" w:color="auto" w:fill="FFF2CC"/>
            <w:tcMar>
              <w:top w:w="80" w:type="dxa"/>
              <w:left w:w="80" w:type="dxa"/>
              <w:bottom w:w="80" w:type="dxa"/>
              <w:right w:w="80" w:type="dxa"/>
            </w:tcMar>
            <w:hideMark/>
          </w:tcPr>
          <w:p w14:paraId="7F0E342A" w14:textId="77777777" w:rsidR="00302BFE" w:rsidRPr="002854BE" w:rsidRDefault="00302BFE" w:rsidP="00243B15">
            <w:pPr>
              <w:pStyle w:val="TableStyle2A"/>
              <w:rPr>
                <w:rStyle w:val="Hyperlink0"/>
                <w:rFonts w:ascii="Calibri" w:hAnsi="Calibri"/>
                <w:sz w:val="18"/>
                <w:szCs w:val="18"/>
                <w:u w:val="none"/>
              </w:rPr>
            </w:pPr>
            <w:r w:rsidRPr="002854BE">
              <w:rPr>
                <w:rFonts w:ascii="Calibri" w:hAnsi="Calibri"/>
                <w:b/>
                <w:sz w:val="18"/>
                <w:szCs w:val="18"/>
              </w:rPr>
              <w:t>Commune of DOULOUGOU, 09/27/2018</w:t>
            </w:r>
          </w:p>
        </w:tc>
      </w:tr>
      <w:tr w:rsidR="00302BFE" w:rsidRPr="0075595E" w14:paraId="1D6AD757"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58079A3"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TIEMTORE Guillaume</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3CC7328A"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Agent d’agriculture</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0EAA72F"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51C81C1"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71652131</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1AA8E20" w14:textId="77777777" w:rsidR="00302BFE" w:rsidRPr="002854BE" w:rsidRDefault="00302BFE" w:rsidP="00243B15">
            <w:pPr>
              <w:pStyle w:val="TableStyle2A"/>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71B2043"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6B1A4D8"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80DF212"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A0C8331"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D11C2CC"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62A199FF"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6D3E62B"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TRAORE Alassane</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2A31D6FD"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Chef ZATE</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51179CE"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A7AC222"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70602170</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2765436" w14:textId="77777777" w:rsidR="00302BFE" w:rsidRPr="002854BE" w:rsidRDefault="0053008A" w:rsidP="00243B15">
            <w:pPr>
              <w:pStyle w:val="TableStyle2A"/>
              <w:rPr>
                <w:rFonts w:ascii="Calibri" w:hAnsi="Calibri"/>
                <w:sz w:val="18"/>
                <w:szCs w:val="18"/>
              </w:rPr>
            </w:pPr>
            <w:hyperlink r:id="rId52" w:history="1">
              <w:r w:rsidR="00302BFE" w:rsidRPr="002854BE">
                <w:rPr>
                  <w:rStyle w:val="Lienhypertexte"/>
                  <w:rFonts w:ascii="Calibri" w:hAnsi="Calibri"/>
                  <w:sz w:val="18"/>
                  <w:szCs w:val="18"/>
                </w:rPr>
                <w:t>monalastraore@yahoo.fr</w:t>
              </w:r>
            </w:hyperlink>
            <w:r w:rsidR="00302BFE" w:rsidRPr="002854BE">
              <w:rPr>
                <w:rFonts w:ascii="Calibri" w:hAnsi="Calibri"/>
                <w:sz w:val="18"/>
                <w:szCs w:val="18"/>
              </w:rPr>
              <w:t xml:space="preserve"> </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0898EDB"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83A4F7B"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0081F69"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2A9F78F"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D8AD887"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08157C26"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C9DAC24"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YODA Issouf</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77E1DF7B"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Environnement</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F475C02"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FA188F9"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70451263</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310A6E7" w14:textId="77777777" w:rsidR="00302BFE" w:rsidRPr="002854BE" w:rsidRDefault="0053008A" w:rsidP="00243B15">
            <w:pPr>
              <w:pStyle w:val="TableStyle2A"/>
              <w:rPr>
                <w:rFonts w:ascii="Calibri" w:hAnsi="Calibri"/>
                <w:sz w:val="18"/>
                <w:szCs w:val="18"/>
              </w:rPr>
            </w:pPr>
            <w:hyperlink r:id="rId53" w:history="1">
              <w:r w:rsidR="00302BFE" w:rsidRPr="002854BE">
                <w:rPr>
                  <w:rStyle w:val="Lienhypertexte"/>
                  <w:rFonts w:ascii="Calibri" w:hAnsi="Calibri"/>
                  <w:sz w:val="18"/>
                  <w:szCs w:val="18"/>
                </w:rPr>
                <w:t>yssoufyodah@gmail.com</w:t>
              </w:r>
            </w:hyperlink>
            <w:r w:rsidR="00302BFE" w:rsidRPr="002854BE">
              <w:rPr>
                <w:rFonts w:ascii="Calibri" w:hAnsi="Calibri"/>
                <w:sz w:val="18"/>
                <w:szCs w:val="18"/>
              </w:rPr>
              <w:t xml:space="preserve"> </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0DFBBB8"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231467A"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7699ED9"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9FFAD38"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0A514A2"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4DC03A83"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B48637F"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TIENDREBEOGO Tibo</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631DC09F"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Commission environnement</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7738A87"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6960CB2"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73701855</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571F695" w14:textId="77777777" w:rsidR="00302BFE" w:rsidRPr="002854BE" w:rsidRDefault="00302BFE" w:rsidP="00243B15">
            <w:pPr>
              <w:pStyle w:val="TableStyle2A"/>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00D9DF4"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5715BCE"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8DBB039"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F0451FF"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3CA94EE"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3167BB1A"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2919B70"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lastRenderedPageBreak/>
              <w:t>COMPAORE Z. Laurent</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07050E74" w14:textId="77777777" w:rsidR="00302BFE" w:rsidRPr="0075595E" w:rsidRDefault="00302BFE" w:rsidP="00243B15">
            <w:pPr>
              <w:pStyle w:val="TableStyle2A"/>
              <w:rPr>
                <w:rStyle w:val="NoneA"/>
                <w:rFonts w:ascii="Calibri" w:hAnsi="Calibri"/>
                <w:sz w:val="18"/>
                <w:szCs w:val="18"/>
                <w:lang w:val="fr-FR"/>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80827CB" w14:textId="77777777" w:rsidR="00302BFE" w:rsidRPr="0075595E" w:rsidRDefault="00302BFE" w:rsidP="00243B15">
            <w:pPr>
              <w:pStyle w:val="TableStyle2A"/>
              <w:rPr>
                <w:rFonts w:ascii="Calibri" w:hAnsi="Calibri"/>
                <w:sz w:val="18"/>
                <w:szCs w:val="18"/>
              </w:rPr>
            </w:pPr>
            <w:r w:rsidRPr="0075595E">
              <w:rPr>
                <w:rFonts w:ascii="Calibri" w:hAnsi="Calibri"/>
                <w:sz w:val="18"/>
                <w:szCs w:val="18"/>
                <w:lang w:val="fr-FR"/>
              </w:rPr>
              <w:t>Assoc. Bas-yando</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BEB84AB"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78063573</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54D5981" w14:textId="77777777" w:rsidR="00302BFE" w:rsidRPr="002854BE" w:rsidRDefault="00302BFE" w:rsidP="00243B15">
            <w:pPr>
              <w:pStyle w:val="TableStyle2A"/>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36F8B58"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94194E0"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3F90A0E"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40362CD"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0F2104B"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69BAE5AB"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381B493"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NIKIEMA MAHAMA</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51F96D54"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Commission aménagement</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8E40827"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F19BBCE"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76111019</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9467612" w14:textId="77777777" w:rsidR="00302BFE" w:rsidRPr="002854BE" w:rsidRDefault="00302BFE" w:rsidP="00243B15">
            <w:pPr>
              <w:pStyle w:val="TableStyle2A"/>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F2C7F22"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9161915"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FCD43BF"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0ACDFCF"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312F7D7"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12FEC1F6"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209C6E9"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ILBOUDO Hamidou</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0C20A0CE" w14:textId="77777777" w:rsidR="00302BFE" w:rsidRPr="0075595E" w:rsidRDefault="00302BFE" w:rsidP="00243B15">
            <w:pPr>
              <w:pStyle w:val="TableStyle2A"/>
              <w:rPr>
                <w:rStyle w:val="NoneA"/>
                <w:rFonts w:ascii="Calibri" w:hAnsi="Calibri"/>
                <w:sz w:val="18"/>
                <w:szCs w:val="18"/>
                <w:lang w:val="fr-FR"/>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AC5AF3D" w14:textId="77777777" w:rsidR="00302BFE" w:rsidRPr="0075595E" w:rsidRDefault="00302BFE" w:rsidP="00243B15">
            <w:pPr>
              <w:pStyle w:val="TableStyle2A"/>
              <w:rPr>
                <w:rFonts w:ascii="Calibri" w:hAnsi="Calibri"/>
                <w:sz w:val="18"/>
                <w:szCs w:val="18"/>
              </w:rPr>
            </w:pPr>
            <w:r w:rsidRPr="0075595E">
              <w:rPr>
                <w:rFonts w:ascii="Calibri" w:hAnsi="Calibri"/>
                <w:sz w:val="18"/>
                <w:szCs w:val="18"/>
                <w:lang w:val="fr-FR"/>
              </w:rPr>
              <w:t>Assoc. Watinoma</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CE09E09"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76971281</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01BA82C" w14:textId="77777777" w:rsidR="00302BFE" w:rsidRPr="002854BE" w:rsidRDefault="00302BFE" w:rsidP="00243B15">
            <w:pPr>
              <w:pStyle w:val="TableStyle2A"/>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00F5ED9"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8B693E2"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F542049"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96792E5"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57B3720"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2C2ED862"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263AD3E"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GUIGMA Eulalie</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54FA0A2D"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Président CRA</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7653458"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095DF33"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69931938</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0A06917" w14:textId="77777777" w:rsidR="00302BFE" w:rsidRPr="002854BE" w:rsidRDefault="00302BFE" w:rsidP="00243B15">
            <w:pPr>
              <w:pStyle w:val="TableStyle2A"/>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4EC6EBA"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D60811A"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A45B0BE"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E9A2AE3"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B6C1357"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776670A8"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C2FF11C"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COMPAORE Leonard</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764179EA"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1</w:t>
            </w:r>
            <w:r w:rsidRPr="0075595E">
              <w:rPr>
                <w:rStyle w:val="NoneA"/>
                <w:rFonts w:ascii="Calibri" w:hAnsi="Calibri"/>
                <w:sz w:val="18"/>
                <w:szCs w:val="18"/>
                <w:vertAlign w:val="superscript"/>
                <w:lang w:val="fr-FR"/>
              </w:rPr>
              <w:t>er</w:t>
            </w:r>
            <w:r w:rsidRPr="0075595E">
              <w:rPr>
                <w:rStyle w:val="NoneA"/>
                <w:rFonts w:ascii="Calibri" w:hAnsi="Calibri"/>
                <w:sz w:val="18"/>
                <w:szCs w:val="18"/>
                <w:lang w:val="fr-FR"/>
              </w:rPr>
              <w:t xml:space="preserve"> adjoint du Maire</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8EEEF6F"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1643EAF"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78040620</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DC56C61" w14:textId="77777777" w:rsidR="00302BFE" w:rsidRPr="002854BE" w:rsidRDefault="00302BFE" w:rsidP="00243B15">
            <w:pPr>
              <w:pStyle w:val="TableStyle2A"/>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9DBB6E8"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D04AACF"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719C0CE"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206978B"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1F0A13D"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6B4B4491"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FFCD285"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OUATTARA Cathérine</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11250AF7"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Préfet</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522669E"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3C7A0C7"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70226296</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C6FC2EB" w14:textId="77777777" w:rsidR="00302BFE" w:rsidRPr="002854BE" w:rsidRDefault="00302BFE" w:rsidP="00243B15">
            <w:pPr>
              <w:pStyle w:val="TableStyle2A"/>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69575EF"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EDA0D04"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E323F54"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8B42A13"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2BEC2FE"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5814C517"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19254A8"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ZOUNGRANA Amadou</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25C683AE" w14:textId="77777777" w:rsidR="00302BFE" w:rsidRPr="0075595E" w:rsidRDefault="00302BFE" w:rsidP="00243B15">
            <w:pPr>
              <w:pStyle w:val="TableStyle2A"/>
              <w:rPr>
                <w:rStyle w:val="NoneA"/>
                <w:rFonts w:ascii="Calibri" w:hAnsi="Calibri"/>
                <w:sz w:val="18"/>
                <w:szCs w:val="18"/>
                <w:lang w:val="fr-FR"/>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BB66B19" w14:textId="77777777" w:rsidR="00302BFE" w:rsidRPr="0075595E" w:rsidRDefault="00302BFE" w:rsidP="00243B15">
            <w:pPr>
              <w:pStyle w:val="TableStyle2A"/>
              <w:rPr>
                <w:rFonts w:ascii="Calibri" w:hAnsi="Calibri"/>
                <w:sz w:val="18"/>
                <w:szCs w:val="18"/>
              </w:rPr>
            </w:pPr>
            <w:r w:rsidRPr="0075595E">
              <w:rPr>
                <w:rFonts w:ascii="Calibri" w:hAnsi="Calibri"/>
                <w:sz w:val="18"/>
                <w:szCs w:val="18"/>
                <w:lang w:val="fr-FR"/>
              </w:rPr>
              <w:t>SP/CNDD/MEEVCC</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0378376"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70715967</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CBB167D" w14:textId="77777777" w:rsidR="00302BFE" w:rsidRPr="002854BE" w:rsidRDefault="0053008A" w:rsidP="00243B15">
            <w:pPr>
              <w:pStyle w:val="TableStyle2A"/>
              <w:rPr>
                <w:rStyle w:val="Hyperlink0"/>
                <w:rFonts w:ascii="Calibri" w:hAnsi="Calibri"/>
                <w:sz w:val="18"/>
                <w:szCs w:val="18"/>
                <w:u w:val="none"/>
                <w:lang w:val="fr-FR"/>
              </w:rPr>
            </w:pPr>
            <w:hyperlink r:id="rId54" w:history="1">
              <w:r w:rsidR="00302BFE" w:rsidRPr="002854BE">
                <w:rPr>
                  <w:rStyle w:val="Lienhypertexte"/>
                  <w:rFonts w:ascii="Calibri" w:hAnsi="Calibri"/>
                  <w:sz w:val="18"/>
                  <w:szCs w:val="18"/>
                  <w:lang w:val="fr-FR"/>
                </w:rPr>
                <w:t>zoungramadou@gmail.com</w:t>
              </w:r>
            </w:hyperlink>
            <w:r w:rsidR="00302BFE" w:rsidRPr="002854BE">
              <w:rPr>
                <w:rStyle w:val="Hyperlink0"/>
                <w:rFonts w:ascii="Calibri" w:hAnsi="Calibri"/>
                <w:sz w:val="18"/>
                <w:szCs w:val="18"/>
                <w:u w:val="none"/>
                <w:lang w:val="fr-FR"/>
              </w:rPr>
              <w:t xml:space="preserve"> </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05AA456"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5F3271"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F1EB932"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8B38A15"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AC52477"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58012B0E" w14:textId="77777777" w:rsidTr="00243B15">
        <w:trPr>
          <w:jc w:val="center"/>
        </w:trPr>
        <w:tc>
          <w:tcPr>
            <w:tcW w:w="13744" w:type="dxa"/>
            <w:gridSpan w:val="10"/>
            <w:tcBorders>
              <w:top w:val="single" w:sz="2" w:space="0" w:color="000000"/>
              <w:left w:val="single" w:sz="2" w:space="0" w:color="000000"/>
              <w:bottom w:val="single" w:sz="2" w:space="0" w:color="000000"/>
              <w:right w:val="single" w:sz="2" w:space="0" w:color="000000"/>
            </w:tcBorders>
            <w:shd w:val="clear" w:color="auto" w:fill="FFF2CC"/>
            <w:tcMar>
              <w:top w:w="80" w:type="dxa"/>
              <w:left w:w="80" w:type="dxa"/>
              <w:bottom w:w="80" w:type="dxa"/>
              <w:right w:w="80" w:type="dxa"/>
            </w:tcMar>
            <w:hideMark/>
          </w:tcPr>
          <w:p w14:paraId="2FD9F7B8" w14:textId="77777777" w:rsidR="00302BFE" w:rsidRPr="002854BE" w:rsidRDefault="00302BFE" w:rsidP="00243B15">
            <w:pPr>
              <w:pStyle w:val="TableStyle2A"/>
              <w:rPr>
                <w:rStyle w:val="Hyperlink0"/>
                <w:rFonts w:ascii="Calibri" w:hAnsi="Calibri"/>
                <w:sz w:val="18"/>
                <w:szCs w:val="18"/>
                <w:u w:val="none"/>
              </w:rPr>
            </w:pPr>
            <w:r w:rsidRPr="002854BE">
              <w:rPr>
                <w:rFonts w:ascii="Calibri" w:hAnsi="Calibri"/>
                <w:b/>
                <w:sz w:val="18"/>
                <w:szCs w:val="18"/>
              </w:rPr>
              <w:t>Commune of BEHIA, 09/28/2018</w:t>
            </w:r>
          </w:p>
        </w:tc>
      </w:tr>
      <w:tr w:rsidR="00302BFE" w:rsidRPr="0075595E" w14:paraId="5FBD27EB"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FDD906D"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NACRO Bassirou</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31FA855B"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Maire</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2DAD324"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FE2F92C"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71502021</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17DF8CE" w14:textId="77777777" w:rsidR="00302BFE" w:rsidRPr="002854BE" w:rsidRDefault="0053008A" w:rsidP="00243B15">
            <w:pPr>
              <w:pStyle w:val="TableStyle2A"/>
              <w:rPr>
                <w:rStyle w:val="Hyperlink0"/>
                <w:rFonts w:ascii="Calibri" w:hAnsi="Calibri"/>
                <w:sz w:val="18"/>
                <w:szCs w:val="18"/>
                <w:u w:val="none"/>
                <w:lang w:val="fr-FR"/>
              </w:rPr>
            </w:pPr>
            <w:hyperlink r:id="rId55" w:history="1">
              <w:r w:rsidR="00302BFE" w:rsidRPr="002854BE">
                <w:rPr>
                  <w:rStyle w:val="Lienhypertexte"/>
                  <w:rFonts w:ascii="Calibri" w:hAnsi="Calibri"/>
                  <w:sz w:val="18"/>
                  <w:szCs w:val="18"/>
                  <w:lang w:val="fr-FR"/>
                </w:rPr>
                <w:t>nacro-bassirou@yahoo.fr</w:t>
              </w:r>
            </w:hyperlink>
            <w:r w:rsidR="00302BFE" w:rsidRPr="002854BE">
              <w:rPr>
                <w:rStyle w:val="Hyperlink0"/>
                <w:rFonts w:ascii="Calibri" w:hAnsi="Calibri"/>
                <w:sz w:val="18"/>
                <w:szCs w:val="18"/>
                <w:u w:val="none"/>
                <w:lang w:val="fr-FR"/>
              </w:rPr>
              <w:t xml:space="preserve"> </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8BEDF49"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D88D54C"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56BC664"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2A68E86"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AB653E5"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49B7EAFB"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6B15742"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NIGNAN O. Désiré</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0C6D669B" w14:textId="77777777" w:rsidR="00302BFE" w:rsidRPr="0075595E" w:rsidRDefault="00302BFE" w:rsidP="00243B15">
            <w:pPr>
              <w:pStyle w:val="TableStyle2A"/>
              <w:rPr>
                <w:rStyle w:val="NoneA"/>
                <w:rFonts w:ascii="Calibri" w:hAnsi="Calibri"/>
                <w:sz w:val="18"/>
                <w:szCs w:val="18"/>
                <w:lang w:val="fr-CA"/>
              </w:rPr>
            </w:pPr>
            <w:r w:rsidRPr="0075595E">
              <w:rPr>
                <w:rFonts w:ascii="Calibri" w:hAnsi="Calibri"/>
                <w:sz w:val="18"/>
                <w:szCs w:val="18"/>
                <w:lang w:val="fr-CA"/>
              </w:rPr>
              <w:t>Président Neboun</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C0603E0" w14:textId="77777777" w:rsidR="00302BFE" w:rsidRPr="0075595E" w:rsidRDefault="00302BFE" w:rsidP="00243B15">
            <w:pPr>
              <w:pStyle w:val="TableStyle2A"/>
              <w:rPr>
                <w:rFonts w:ascii="Calibri" w:hAnsi="Calibri"/>
                <w:sz w:val="18"/>
                <w:szCs w:val="18"/>
                <w:lang w:val="fr-FR"/>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DCF91B9" w14:textId="77777777" w:rsidR="00302BFE" w:rsidRPr="0075595E" w:rsidRDefault="00302BFE" w:rsidP="00243B15">
            <w:pPr>
              <w:pStyle w:val="TableStyle2A"/>
              <w:rPr>
                <w:rStyle w:val="NoneA"/>
                <w:rFonts w:ascii="Calibri" w:hAnsi="Calibri"/>
                <w:sz w:val="18"/>
                <w:szCs w:val="18"/>
                <w:lang w:val="fr-CA"/>
              </w:rPr>
            </w:pPr>
            <w:r w:rsidRPr="0075595E">
              <w:rPr>
                <w:rFonts w:ascii="Calibri" w:hAnsi="Calibri"/>
                <w:sz w:val="18"/>
                <w:szCs w:val="18"/>
                <w:lang w:val="fr-CA"/>
              </w:rPr>
              <w:t>75193737</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F164EE2" w14:textId="77777777" w:rsidR="00302BFE" w:rsidRPr="002854BE" w:rsidRDefault="00302BFE" w:rsidP="00243B15">
            <w:pPr>
              <w:pStyle w:val="TableStyle2A"/>
              <w:rPr>
                <w:rStyle w:val="Hyperlink0"/>
                <w:rFonts w:ascii="Calibri" w:hAnsi="Calibri"/>
                <w:sz w:val="18"/>
                <w:szCs w:val="18"/>
                <w:u w:val="none"/>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5DD0480"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B027885"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8D64DE0"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0764FC2"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5DEA6F6"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07F5AC1F"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FBE8131"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SAWADOGO Mamoudou</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3A6EFEC1" w14:textId="77777777" w:rsidR="00302BFE" w:rsidRPr="0075595E" w:rsidRDefault="00302BFE" w:rsidP="00243B15">
            <w:pPr>
              <w:pStyle w:val="TableStyle2A"/>
              <w:rPr>
                <w:rStyle w:val="NoneA"/>
                <w:rFonts w:ascii="Calibri" w:hAnsi="Calibri"/>
                <w:sz w:val="18"/>
                <w:szCs w:val="18"/>
                <w:lang w:val="fr-CA"/>
              </w:rPr>
            </w:pPr>
            <w:r w:rsidRPr="0075595E">
              <w:rPr>
                <w:rFonts w:ascii="Calibri" w:hAnsi="Calibri"/>
                <w:sz w:val="18"/>
                <w:szCs w:val="18"/>
                <w:lang w:val="fr-CA"/>
              </w:rPr>
              <w:t>ZAT Agriculture</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F3016AB" w14:textId="77777777" w:rsidR="00302BFE" w:rsidRPr="0075595E" w:rsidRDefault="00302BFE" w:rsidP="00243B15">
            <w:pPr>
              <w:pStyle w:val="TableStyle2A"/>
              <w:rPr>
                <w:rFonts w:ascii="Calibri" w:hAnsi="Calibri"/>
                <w:sz w:val="18"/>
                <w:szCs w:val="18"/>
                <w:lang w:val="fr-FR"/>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2E26ED3" w14:textId="77777777" w:rsidR="00302BFE" w:rsidRPr="0075595E" w:rsidRDefault="00302BFE" w:rsidP="00243B15">
            <w:pPr>
              <w:pStyle w:val="TableStyle2A"/>
              <w:rPr>
                <w:rStyle w:val="NoneA"/>
                <w:rFonts w:ascii="Calibri" w:hAnsi="Calibri"/>
                <w:sz w:val="18"/>
                <w:szCs w:val="18"/>
                <w:lang w:val="fr-CA"/>
              </w:rPr>
            </w:pPr>
            <w:r w:rsidRPr="0075595E">
              <w:rPr>
                <w:rFonts w:ascii="Calibri" w:hAnsi="Calibri"/>
                <w:sz w:val="18"/>
                <w:szCs w:val="18"/>
                <w:lang w:val="fr-CA"/>
              </w:rPr>
              <w:t>77882275</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3C239D1" w14:textId="77777777" w:rsidR="00302BFE" w:rsidRPr="002854BE" w:rsidRDefault="0053008A" w:rsidP="00243B15">
            <w:pPr>
              <w:pStyle w:val="TableStyle2A"/>
              <w:rPr>
                <w:rStyle w:val="Hyperlink0"/>
                <w:rFonts w:ascii="Calibri" w:hAnsi="Calibri"/>
                <w:sz w:val="18"/>
                <w:szCs w:val="18"/>
                <w:u w:val="none"/>
                <w:lang w:val="fr-CA"/>
              </w:rPr>
            </w:pPr>
            <w:hyperlink r:id="rId56" w:history="1">
              <w:r w:rsidR="00302BFE" w:rsidRPr="002854BE">
                <w:rPr>
                  <w:rStyle w:val="Lienhypertexte"/>
                  <w:rFonts w:ascii="Calibri" w:hAnsi="Calibri"/>
                  <w:sz w:val="18"/>
                  <w:szCs w:val="18"/>
                </w:rPr>
                <w:t>samamoud1@yahoo.fr</w:t>
              </w:r>
            </w:hyperlink>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D30E45E"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7B5A1AC"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E080DCF"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606C599"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CD73AC0"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7A52905E"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6D8E8F7"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NEBIE Boukary</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7A6E4569"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President CATG Foncière</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369CCBF"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CE0A21D"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74303169</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0B80D94" w14:textId="77777777" w:rsidR="00302BFE" w:rsidRPr="002854BE" w:rsidRDefault="0053008A" w:rsidP="00243B15">
            <w:pPr>
              <w:pStyle w:val="TableStyle2A"/>
              <w:rPr>
                <w:rStyle w:val="Hyperlink0"/>
                <w:rFonts w:ascii="Calibri" w:hAnsi="Calibri"/>
                <w:sz w:val="18"/>
                <w:szCs w:val="18"/>
                <w:u w:val="none"/>
                <w:lang w:val="fr-FR"/>
              </w:rPr>
            </w:pPr>
            <w:hyperlink r:id="rId57" w:history="1">
              <w:r w:rsidR="00302BFE" w:rsidRPr="002854BE">
                <w:rPr>
                  <w:rStyle w:val="Lienhypertexte"/>
                  <w:rFonts w:ascii="Calibri" w:hAnsi="Calibri"/>
                  <w:sz w:val="18"/>
                  <w:szCs w:val="18"/>
                  <w:lang w:val="fr-FR"/>
                </w:rPr>
                <w:t>nebieboukary@gmail.com</w:t>
              </w:r>
            </w:hyperlink>
            <w:r w:rsidR="00302BFE" w:rsidRPr="002854BE">
              <w:rPr>
                <w:rStyle w:val="Hyperlink0"/>
                <w:rFonts w:ascii="Calibri" w:hAnsi="Calibri"/>
                <w:sz w:val="18"/>
                <w:szCs w:val="18"/>
                <w:u w:val="none"/>
                <w:lang w:val="fr-FR"/>
              </w:rPr>
              <w:t xml:space="preserve"> </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FED8E79"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77FC280"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B557CCB"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9A15ED8"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EC08246"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19050AE0"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C79574A"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OUEDRAOGO Yemdaogo</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66169682"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Chef SDEEVCC</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B98F742"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6526663"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70415354</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22E9B6A" w14:textId="77777777" w:rsidR="00302BFE" w:rsidRPr="002854BE" w:rsidRDefault="00302BFE" w:rsidP="00243B15">
            <w:pPr>
              <w:pStyle w:val="TableStyle2A"/>
              <w:rPr>
                <w:rStyle w:val="Hyperlink0"/>
                <w:rFonts w:ascii="Calibri" w:hAnsi="Calibri"/>
                <w:sz w:val="18"/>
                <w:szCs w:val="18"/>
                <w:u w:val="none"/>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10CF4DE"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91ACDCE"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45613B4"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53EBF3F"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33BD271"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422CAB32"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17EF456"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GANSAONRE O. Simon</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2E707397"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Chef ZAT</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B0F3482"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15E321A"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71043815</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5B4BEE1" w14:textId="77777777" w:rsidR="00302BFE" w:rsidRPr="002854BE" w:rsidRDefault="0053008A" w:rsidP="00243B15">
            <w:pPr>
              <w:pStyle w:val="TableStyle2A"/>
              <w:rPr>
                <w:rStyle w:val="Hyperlink0"/>
                <w:rFonts w:ascii="Calibri" w:hAnsi="Calibri"/>
                <w:sz w:val="18"/>
                <w:szCs w:val="18"/>
                <w:u w:val="none"/>
                <w:lang w:val="fr-FR"/>
              </w:rPr>
            </w:pPr>
            <w:hyperlink r:id="rId58" w:history="1">
              <w:r w:rsidR="00302BFE" w:rsidRPr="002854BE">
                <w:rPr>
                  <w:rStyle w:val="Lienhypertexte"/>
                  <w:rFonts w:ascii="Calibri" w:hAnsi="Calibri"/>
                  <w:sz w:val="18"/>
                  <w:szCs w:val="18"/>
                  <w:lang w:val="fr-FR"/>
                </w:rPr>
                <w:t>gansimobf91@gmail.com</w:t>
              </w:r>
            </w:hyperlink>
            <w:r w:rsidR="00302BFE" w:rsidRPr="002854BE">
              <w:rPr>
                <w:rStyle w:val="Hyperlink0"/>
                <w:rFonts w:ascii="Calibri" w:hAnsi="Calibri"/>
                <w:sz w:val="18"/>
                <w:szCs w:val="18"/>
                <w:u w:val="none"/>
                <w:lang w:val="fr-FR"/>
              </w:rPr>
              <w:t xml:space="preserve"> </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20B7064"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BE38994"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321BB73"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020E599"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914E89D"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5139B1BE"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6B0870A"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ZOUNGRANA Amadou</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7D39575B" w14:textId="77777777" w:rsidR="00302BFE" w:rsidRPr="0075595E" w:rsidRDefault="00302BFE" w:rsidP="00243B15">
            <w:pPr>
              <w:pStyle w:val="TableStyle2A"/>
              <w:rPr>
                <w:rStyle w:val="NoneA"/>
                <w:rFonts w:ascii="Calibri" w:hAnsi="Calibri"/>
                <w:sz w:val="18"/>
                <w:szCs w:val="18"/>
                <w:lang w:val="fr-FR"/>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BD93E43" w14:textId="77777777" w:rsidR="00302BFE" w:rsidRPr="0075595E" w:rsidRDefault="00302BFE" w:rsidP="00243B15">
            <w:pPr>
              <w:pStyle w:val="TableStyle2A"/>
              <w:rPr>
                <w:rFonts w:ascii="Calibri" w:hAnsi="Calibri"/>
                <w:sz w:val="16"/>
                <w:szCs w:val="16"/>
              </w:rPr>
            </w:pPr>
            <w:r w:rsidRPr="0075595E">
              <w:rPr>
                <w:rFonts w:ascii="Calibri" w:hAnsi="Calibri"/>
                <w:sz w:val="16"/>
                <w:szCs w:val="16"/>
                <w:lang w:val="fr-FR"/>
              </w:rPr>
              <w:t>SP/CNDD/MEEVCC</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8366215"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70715967</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95DC659" w14:textId="77777777" w:rsidR="00302BFE" w:rsidRPr="002854BE" w:rsidRDefault="0053008A" w:rsidP="00243B15">
            <w:pPr>
              <w:pStyle w:val="TableStyle2A"/>
              <w:rPr>
                <w:rStyle w:val="Hyperlink0"/>
                <w:rFonts w:ascii="Calibri" w:hAnsi="Calibri"/>
                <w:sz w:val="18"/>
                <w:szCs w:val="18"/>
                <w:u w:val="none"/>
                <w:lang w:val="fr-FR"/>
              </w:rPr>
            </w:pPr>
            <w:hyperlink r:id="rId59" w:history="1">
              <w:r w:rsidR="00302BFE" w:rsidRPr="002854BE">
                <w:rPr>
                  <w:rStyle w:val="Lienhypertexte"/>
                  <w:rFonts w:ascii="Calibri" w:hAnsi="Calibri"/>
                  <w:sz w:val="18"/>
                  <w:szCs w:val="18"/>
                  <w:lang w:val="fr-FR"/>
                </w:rPr>
                <w:t>zoungramadou@gmail.com</w:t>
              </w:r>
            </w:hyperlink>
            <w:r w:rsidR="00302BFE" w:rsidRPr="002854BE">
              <w:rPr>
                <w:rStyle w:val="Hyperlink0"/>
                <w:rFonts w:ascii="Calibri" w:hAnsi="Calibri"/>
                <w:sz w:val="18"/>
                <w:szCs w:val="18"/>
                <w:u w:val="none"/>
                <w:lang w:val="fr-FR"/>
              </w:rPr>
              <w:t xml:space="preserve"> </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D8F34F2"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9EF2857"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6EB7855"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2742FEA"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E5F1872"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0B56942C"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D64A842"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TAGNAN Bapouri</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0997A47A"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Président CRA Biéha</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98D8E26"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69319A0"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76727042</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44AF674" w14:textId="77777777" w:rsidR="00302BFE" w:rsidRPr="002854BE" w:rsidRDefault="00302BFE" w:rsidP="00243B15">
            <w:pPr>
              <w:pStyle w:val="TableStyle2A"/>
              <w:rPr>
                <w:rStyle w:val="Hyperlink0"/>
                <w:rFonts w:ascii="Calibri" w:hAnsi="Calibri"/>
                <w:sz w:val="18"/>
                <w:szCs w:val="18"/>
                <w:u w:val="none"/>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ADD8620"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F6F4620"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AE224EC"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0AF4FC5"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09410D5"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11D963D8"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37F18D4"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NACRO Nouhoun</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0DE84360"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Membre tribunal</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26D82DB"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E41E240"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75644672</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0919129" w14:textId="77777777" w:rsidR="00302BFE" w:rsidRPr="002854BE" w:rsidRDefault="00302BFE" w:rsidP="00243B15">
            <w:pPr>
              <w:pStyle w:val="TableStyle2A"/>
              <w:rPr>
                <w:rStyle w:val="Hyperlink0"/>
                <w:rFonts w:ascii="Calibri" w:hAnsi="Calibri"/>
                <w:sz w:val="18"/>
                <w:szCs w:val="18"/>
                <w:u w:val="none"/>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B7A988E"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93B3E13"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0C94B79"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5614270"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F3EA8AB"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1BD4B642"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BD80007"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BANDE Salou</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0885ECFB"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Éleveur</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4E103E5"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75F3033"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74648824</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9C8DD5C" w14:textId="77777777" w:rsidR="00302BFE" w:rsidRPr="002854BE" w:rsidRDefault="00302BFE" w:rsidP="00243B15">
            <w:pPr>
              <w:pStyle w:val="TableStyle2A"/>
              <w:rPr>
                <w:rStyle w:val="Hyperlink0"/>
                <w:rFonts w:ascii="Calibri" w:hAnsi="Calibri"/>
                <w:sz w:val="18"/>
                <w:szCs w:val="18"/>
                <w:u w:val="none"/>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9E0DB2D"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245357F"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4223568"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F67C2C2"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AA73624"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12A29A9C"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A60B7C6"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NACRO Aminatou</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7B7710CD"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Présidente/ Femme</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1CC7B91"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CAD1D27"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56520574</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84432D7" w14:textId="77777777" w:rsidR="00302BFE" w:rsidRPr="002854BE" w:rsidRDefault="00302BFE" w:rsidP="00243B15">
            <w:pPr>
              <w:pStyle w:val="TableStyle2A"/>
              <w:rPr>
                <w:rStyle w:val="Hyperlink0"/>
                <w:rFonts w:ascii="Calibri" w:hAnsi="Calibri"/>
                <w:sz w:val="18"/>
                <w:szCs w:val="18"/>
                <w:u w:val="none"/>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B5F3B7F"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F7A455D"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0C3CC8A"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28A961C"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9AD910D"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7BFEC978"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31201F5"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lastRenderedPageBreak/>
              <w:t>NACRO Aziz</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64E1B8B8"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Président des jeunes</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27844D6"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AF595FE"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75610701</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A87F95A" w14:textId="77777777" w:rsidR="00302BFE" w:rsidRPr="002854BE" w:rsidRDefault="00302BFE" w:rsidP="00243B15">
            <w:pPr>
              <w:pStyle w:val="TableStyle2A"/>
              <w:rPr>
                <w:rStyle w:val="Hyperlink0"/>
                <w:rFonts w:ascii="Calibri" w:hAnsi="Calibri"/>
                <w:sz w:val="18"/>
                <w:szCs w:val="18"/>
                <w:u w:val="none"/>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D75E7DC"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F4CA78F"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AC4DB1C"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D16A9EC"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9819A06"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45AA7FF2"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883F302"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NACRO Temozin</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790E7BA6"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Femmes</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BAA8D1C"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8F4441D"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75631474</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DE5D750" w14:textId="77777777" w:rsidR="00302BFE" w:rsidRPr="002854BE" w:rsidRDefault="00302BFE" w:rsidP="00243B15">
            <w:pPr>
              <w:pStyle w:val="TableStyle2A"/>
              <w:rPr>
                <w:rStyle w:val="Hyperlink0"/>
                <w:rFonts w:ascii="Calibri" w:hAnsi="Calibri"/>
                <w:sz w:val="18"/>
                <w:szCs w:val="18"/>
                <w:u w:val="none"/>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581FC8B"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6C22A4E"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1DDA297"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EB353CC"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0A283E4"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1785F998" w14:textId="77777777" w:rsidTr="00243B15">
        <w:trPr>
          <w:jc w:val="center"/>
        </w:trPr>
        <w:tc>
          <w:tcPr>
            <w:tcW w:w="13744" w:type="dxa"/>
            <w:gridSpan w:val="10"/>
            <w:tcBorders>
              <w:top w:val="single" w:sz="2" w:space="0" w:color="000000"/>
              <w:left w:val="single" w:sz="2" w:space="0" w:color="000000"/>
              <w:bottom w:val="single" w:sz="2" w:space="0" w:color="000000"/>
              <w:right w:val="single" w:sz="2" w:space="0" w:color="000000"/>
            </w:tcBorders>
            <w:shd w:val="clear" w:color="auto" w:fill="FFF2CC"/>
            <w:tcMar>
              <w:top w:w="80" w:type="dxa"/>
              <w:left w:w="80" w:type="dxa"/>
              <w:bottom w:w="80" w:type="dxa"/>
              <w:right w:w="80" w:type="dxa"/>
            </w:tcMar>
            <w:hideMark/>
          </w:tcPr>
          <w:p w14:paraId="38FB30A5" w14:textId="77777777" w:rsidR="00302BFE" w:rsidRPr="002854BE" w:rsidRDefault="00302BFE" w:rsidP="00243B15">
            <w:pPr>
              <w:pStyle w:val="TableStyle2A"/>
              <w:rPr>
                <w:rStyle w:val="Hyperlink0"/>
                <w:rFonts w:ascii="Calibri" w:hAnsi="Calibri"/>
                <w:sz w:val="18"/>
                <w:szCs w:val="18"/>
                <w:u w:val="none"/>
              </w:rPr>
            </w:pPr>
            <w:r w:rsidRPr="002854BE">
              <w:rPr>
                <w:rFonts w:ascii="Calibri" w:hAnsi="Calibri"/>
                <w:b/>
                <w:sz w:val="18"/>
                <w:szCs w:val="18"/>
              </w:rPr>
              <w:t>Commune of ZABRE, 09/24/2018</w:t>
            </w:r>
          </w:p>
        </w:tc>
      </w:tr>
      <w:tr w:rsidR="00302BFE" w:rsidRPr="0075595E" w14:paraId="79E05B79"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9C4F2EC"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YABRE Doudoma</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63A7EBC6"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 xml:space="preserve">Président </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C0CF2EE" w14:textId="77777777" w:rsidR="00302BFE" w:rsidRPr="0075595E" w:rsidRDefault="00302BFE" w:rsidP="00243B15">
            <w:pPr>
              <w:pStyle w:val="TableStyle2A"/>
              <w:rPr>
                <w:rFonts w:ascii="Calibri" w:hAnsi="Calibri"/>
                <w:sz w:val="18"/>
                <w:szCs w:val="18"/>
                <w:lang w:val="fr-CA"/>
              </w:rPr>
            </w:pPr>
            <w:r w:rsidRPr="0075595E">
              <w:rPr>
                <w:rStyle w:val="NoneA"/>
                <w:rFonts w:ascii="Calibri" w:hAnsi="Calibri"/>
                <w:sz w:val="18"/>
                <w:szCs w:val="18"/>
                <w:lang w:val="fr-FR"/>
              </w:rPr>
              <w:t>Comm. affaires générale sociale</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7D072CB" w14:textId="77777777" w:rsidR="00302BFE" w:rsidRPr="0075595E" w:rsidRDefault="00302BFE" w:rsidP="00243B15">
            <w:pPr>
              <w:pStyle w:val="TableStyle2A"/>
              <w:rPr>
                <w:rFonts w:ascii="Calibri" w:hAnsi="Calibri"/>
                <w:sz w:val="18"/>
                <w:szCs w:val="18"/>
              </w:rPr>
            </w:pPr>
            <w:r w:rsidRPr="0075595E">
              <w:rPr>
                <w:rStyle w:val="NoneA"/>
                <w:rFonts w:ascii="Calibri" w:hAnsi="Calibri"/>
                <w:sz w:val="18"/>
                <w:szCs w:val="18"/>
              </w:rPr>
              <w:t>76703808</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2D0C9E2" w14:textId="77777777" w:rsidR="00302BFE" w:rsidRPr="002854BE" w:rsidRDefault="00302BFE" w:rsidP="00243B15">
            <w:pPr>
              <w:pStyle w:val="TableStyle2A"/>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EDDD1C5"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EC55759"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3B4B092"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5E6B692"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EF6B73D"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7355A958"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F2239A1"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KONATE Aboubacar</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4F0994F4"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Agent agriculture</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DA428B6"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DBAA050"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70758698</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BA500DE" w14:textId="77777777" w:rsidR="00302BFE" w:rsidRPr="002854BE" w:rsidRDefault="00302BFE" w:rsidP="00243B15">
            <w:pPr>
              <w:pStyle w:val="TableStyle2A"/>
              <w:rPr>
                <w:rStyle w:val="Hyperlink0"/>
                <w:rFonts w:ascii="Calibri" w:hAnsi="Calibri"/>
                <w:sz w:val="18"/>
                <w:szCs w:val="18"/>
                <w:u w:val="none"/>
              </w:rPr>
            </w:pPr>
            <w:r w:rsidRPr="002854BE">
              <w:rPr>
                <w:rStyle w:val="Hyperlink0"/>
                <w:rFonts w:ascii="Calibri" w:hAnsi="Calibri"/>
                <w:sz w:val="18"/>
                <w:szCs w:val="18"/>
                <w:u w:val="none"/>
              </w:rPr>
              <w:t>sidikonat79@gmail.com</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41F1C63"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890F6B5"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C553115"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B48B65D"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F88EF6A"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1FFF0DCC"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84E8E47"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OUEDRAOGO Yacouba</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38B516A1"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Agent d’élevage</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631FA5A"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65E1CB3"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70604063</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37FB5E0" w14:textId="77777777" w:rsidR="00302BFE" w:rsidRPr="002854BE" w:rsidRDefault="00302BFE" w:rsidP="00243B15">
            <w:pPr>
              <w:pStyle w:val="TableStyle2A"/>
              <w:rPr>
                <w:rStyle w:val="Hyperlink0"/>
                <w:rFonts w:ascii="Calibri" w:hAnsi="Calibri"/>
                <w:sz w:val="18"/>
                <w:szCs w:val="18"/>
                <w:u w:val="none"/>
              </w:rPr>
            </w:pPr>
            <w:r w:rsidRPr="002854BE">
              <w:rPr>
                <w:rStyle w:val="Hyperlink0"/>
                <w:rFonts w:ascii="Calibri" w:hAnsi="Calibri"/>
                <w:sz w:val="18"/>
                <w:szCs w:val="18"/>
                <w:u w:val="none"/>
              </w:rPr>
              <w:t>ouedraogoyacouba78@yahoo.fr</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5712AB7"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1808E3E"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BDD993E"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F4CCC9E"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52B539"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5E53C6CA"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6C10688"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SANGO Hassane</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06244476"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Pastoralisme</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863070F"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A129A06"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75035193</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6ABAE46" w14:textId="77777777" w:rsidR="00302BFE" w:rsidRPr="002854BE" w:rsidRDefault="00302BFE" w:rsidP="00243B15">
            <w:pPr>
              <w:pStyle w:val="TableStyle2A"/>
              <w:rPr>
                <w:rStyle w:val="Hyperlink0"/>
                <w:rFonts w:ascii="Calibri" w:hAnsi="Calibri"/>
                <w:sz w:val="18"/>
                <w:szCs w:val="18"/>
                <w:u w:val="none"/>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34981F4"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60B5543"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BD2F390"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6D6977B"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17E1E0F"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7B014ADE"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EFE2D11"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MARE Yves H.I</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0813C9E2"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 xml:space="preserve">President </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A349B5F" w14:textId="77777777" w:rsidR="00302BFE" w:rsidRPr="0075595E" w:rsidRDefault="00302BFE" w:rsidP="00243B15">
            <w:pPr>
              <w:pStyle w:val="TableStyle2A"/>
              <w:rPr>
                <w:rFonts w:ascii="Calibri" w:hAnsi="Calibri"/>
                <w:sz w:val="18"/>
                <w:szCs w:val="18"/>
              </w:rPr>
            </w:pPr>
            <w:r w:rsidRPr="0075595E">
              <w:rPr>
                <w:rStyle w:val="NoneA"/>
                <w:rFonts w:ascii="Calibri" w:hAnsi="Calibri"/>
                <w:sz w:val="18"/>
                <w:szCs w:val="18"/>
              </w:rPr>
              <w:t>Association AFNA</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F397529"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70984618</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A50843A" w14:textId="77777777" w:rsidR="00302BFE" w:rsidRPr="002854BE" w:rsidRDefault="00302BFE" w:rsidP="00243B15">
            <w:pPr>
              <w:pStyle w:val="TableStyle2A"/>
              <w:rPr>
                <w:rStyle w:val="Hyperlink0"/>
                <w:rFonts w:ascii="Calibri" w:hAnsi="Calibri"/>
                <w:sz w:val="18"/>
                <w:szCs w:val="18"/>
                <w:u w:val="none"/>
              </w:rPr>
            </w:pPr>
            <w:r w:rsidRPr="002854BE">
              <w:rPr>
                <w:rStyle w:val="Hyperlink0"/>
                <w:rFonts w:ascii="Calibri" w:hAnsi="Calibri"/>
                <w:sz w:val="18"/>
                <w:szCs w:val="18"/>
                <w:u w:val="none"/>
              </w:rPr>
              <w:t>mareherman77@gmail.com</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DED9936"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F1B74ED"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B616671"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2A3B552"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D6FF46F"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0BFA91B2"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BA23349"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GOUBA Windmi</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1896757A"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 xml:space="preserve">Pdt CEDL </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F2589D5" w14:textId="77777777" w:rsidR="00302BFE" w:rsidRPr="0075595E" w:rsidRDefault="00302BFE" w:rsidP="00243B15">
            <w:pPr>
              <w:pStyle w:val="TableStyle2A"/>
              <w:rPr>
                <w:rFonts w:ascii="Calibri" w:hAnsi="Calibri"/>
                <w:sz w:val="18"/>
                <w:szCs w:val="18"/>
              </w:rPr>
            </w:pPr>
            <w:r w:rsidRPr="0075595E">
              <w:rPr>
                <w:rStyle w:val="NoneA"/>
                <w:rFonts w:ascii="Calibri" w:hAnsi="Calibri"/>
                <w:sz w:val="18"/>
                <w:szCs w:val="18"/>
              </w:rPr>
              <w:t>Mairie/Zabré</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E259947"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70111814</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3761E05" w14:textId="77777777" w:rsidR="00302BFE" w:rsidRPr="002854BE" w:rsidRDefault="00302BFE" w:rsidP="00243B15">
            <w:pPr>
              <w:pStyle w:val="TableStyle2A"/>
              <w:rPr>
                <w:rStyle w:val="Hyperlink0"/>
                <w:rFonts w:ascii="Calibri" w:hAnsi="Calibri"/>
                <w:sz w:val="18"/>
                <w:szCs w:val="18"/>
                <w:u w:val="none"/>
              </w:rPr>
            </w:pPr>
            <w:r w:rsidRPr="002854BE">
              <w:rPr>
                <w:rStyle w:val="Hyperlink0"/>
                <w:rFonts w:ascii="Calibri" w:hAnsi="Calibri"/>
                <w:sz w:val="18"/>
                <w:szCs w:val="18"/>
                <w:u w:val="none"/>
              </w:rPr>
              <w:t>goubawindmi1@gmail.com</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56A8EDE"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3F7A774"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EDFC796"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9F8930A"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02DE6C2"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2A788F1F"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6B41EC0"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WARE Y. Justin</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670C715B" w14:textId="77777777" w:rsidR="00302BFE" w:rsidRPr="0075595E" w:rsidRDefault="00302BFE" w:rsidP="00243B15">
            <w:pPr>
              <w:pStyle w:val="TableStyle2A"/>
              <w:rPr>
                <w:rStyle w:val="NoneA"/>
                <w:rFonts w:ascii="Calibri" w:hAnsi="Calibri"/>
                <w:sz w:val="18"/>
                <w:szCs w:val="18"/>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365A672"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Assoc. Pag-la-yiri</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DAF3CF4"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76092708</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6C238CD" w14:textId="77777777" w:rsidR="00302BFE" w:rsidRPr="002854BE" w:rsidRDefault="00302BFE" w:rsidP="00243B15">
            <w:pPr>
              <w:pStyle w:val="TableStyle2A"/>
              <w:rPr>
                <w:rStyle w:val="Hyperlink0"/>
                <w:rFonts w:ascii="Calibri" w:hAnsi="Calibri"/>
                <w:sz w:val="18"/>
                <w:szCs w:val="18"/>
                <w:u w:val="none"/>
              </w:rPr>
            </w:pPr>
            <w:r w:rsidRPr="002854BE">
              <w:rPr>
                <w:rStyle w:val="Hyperlink0"/>
                <w:rFonts w:ascii="Calibri" w:hAnsi="Calibri"/>
                <w:sz w:val="18"/>
                <w:szCs w:val="18"/>
                <w:u w:val="none"/>
              </w:rPr>
              <w:t>warjust@gmail.com</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409FA58"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DD5F50F"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4271A4A"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B285A8D"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626D2F9"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274EA3B8"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E176AFB"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BANDE Issa</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13700D68" w14:textId="77777777" w:rsidR="00302BFE" w:rsidRPr="0075595E" w:rsidRDefault="00302BFE" w:rsidP="00243B15">
            <w:pPr>
              <w:pStyle w:val="TableStyle2A"/>
              <w:rPr>
                <w:rStyle w:val="NoneA"/>
                <w:rFonts w:ascii="Calibri" w:hAnsi="Calibri"/>
                <w:sz w:val="18"/>
                <w:szCs w:val="18"/>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CBF09C0"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7E5E2B7"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76996663</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93769C3" w14:textId="77777777" w:rsidR="00302BFE" w:rsidRPr="002854BE" w:rsidRDefault="00302BFE" w:rsidP="00243B15">
            <w:pPr>
              <w:pStyle w:val="TableStyle2A"/>
              <w:rPr>
                <w:rStyle w:val="Hyperlink0"/>
                <w:rFonts w:ascii="Calibri" w:hAnsi="Calibri"/>
                <w:sz w:val="18"/>
                <w:szCs w:val="18"/>
                <w:u w:val="none"/>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DE12B2A"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241D57B"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2A7A6C0"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4B4F023"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C6D4722"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1FFC98FE"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EEB7E72"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DIAGNAM Abdou</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7B5EA285"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Sécretaire</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88DB09D"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Assoc. LEGAKOU</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EBD713E"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76620542</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4AE3B40" w14:textId="77777777" w:rsidR="00302BFE" w:rsidRPr="002854BE" w:rsidRDefault="00302BFE" w:rsidP="00243B15">
            <w:pPr>
              <w:pStyle w:val="TableStyle2A"/>
              <w:rPr>
                <w:rStyle w:val="Hyperlink0"/>
                <w:rFonts w:ascii="Calibri" w:hAnsi="Calibri"/>
                <w:sz w:val="18"/>
                <w:szCs w:val="18"/>
                <w:u w:val="none"/>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B23FD76"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EBF7169"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16E7EF1"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708CD6C"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7BD9B53"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335111A2"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88619F2"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GOUBA S. Gatien</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0B9E324F"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 xml:space="preserve">President </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EFCA88F"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Assoc. des Jeunes</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DDB6811"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64110599</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5342026" w14:textId="77777777" w:rsidR="00302BFE" w:rsidRPr="002854BE" w:rsidRDefault="00302BFE" w:rsidP="00243B15">
            <w:pPr>
              <w:pStyle w:val="TableStyle2A"/>
              <w:rPr>
                <w:rStyle w:val="Hyperlink0"/>
                <w:rFonts w:ascii="Calibri" w:hAnsi="Calibri"/>
                <w:sz w:val="18"/>
                <w:szCs w:val="18"/>
                <w:u w:val="none"/>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BC2590C"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9DF1C52"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F4E2C1D"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4FF2277"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AD9DF1D"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31BFFCE5"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81E533C"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GOUBA Z. Mare</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4E6C0767"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President</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164D5C2"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UDGPM</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4693710"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76989703</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3723482" w14:textId="77777777" w:rsidR="00302BFE" w:rsidRPr="002854BE" w:rsidRDefault="00302BFE" w:rsidP="00243B15">
            <w:pPr>
              <w:pStyle w:val="TableStyle2A"/>
              <w:rPr>
                <w:rStyle w:val="Hyperlink0"/>
                <w:rFonts w:ascii="Calibri" w:hAnsi="Calibri"/>
                <w:sz w:val="18"/>
                <w:szCs w:val="18"/>
                <w:u w:val="none"/>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F5534F3"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2DCF9F6"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26E283D"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70A65C7"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4EF7749"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31063C73"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D559AB6"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KOUMA Sambo</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481CF077"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Sécretaire</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941CF7D"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UDGPM</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CC1A21D"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70104412</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B74F2BF" w14:textId="77777777" w:rsidR="00302BFE" w:rsidRPr="002854BE" w:rsidRDefault="00302BFE" w:rsidP="00243B15">
            <w:pPr>
              <w:pStyle w:val="TableStyle2A"/>
              <w:rPr>
                <w:rStyle w:val="Hyperlink0"/>
                <w:rFonts w:ascii="Calibri" w:hAnsi="Calibri"/>
                <w:sz w:val="18"/>
                <w:szCs w:val="18"/>
                <w:u w:val="none"/>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0917CC7"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86CADA4"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C4E5420"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3FE5106"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E7747B2"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133CDEC1"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749D7E0"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TARNADGA Mamini</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46EB8CE2"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Coordonnateur</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5889224"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AYAA</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35B5953"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70776026</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27EB4B9" w14:textId="77777777" w:rsidR="00302BFE" w:rsidRPr="002854BE" w:rsidRDefault="00302BFE" w:rsidP="00243B15">
            <w:pPr>
              <w:pStyle w:val="TableStyle2A"/>
              <w:rPr>
                <w:rStyle w:val="Hyperlink0"/>
                <w:rFonts w:ascii="Calibri" w:hAnsi="Calibri"/>
                <w:sz w:val="18"/>
                <w:szCs w:val="18"/>
                <w:u w:val="none"/>
              </w:rPr>
            </w:pPr>
            <w:r w:rsidRPr="002854BE">
              <w:rPr>
                <w:rStyle w:val="Hyperlink0"/>
                <w:rFonts w:ascii="Calibri" w:hAnsi="Calibri"/>
                <w:sz w:val="18"/>
                <w:szCs w:val="18"/>
                <w:u w:val="none"/>
              </w:rPr>
              <w:t>tarnagda_mamini@yahoo.fr</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1E7E285"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7E9BC77"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CF00B41"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FEC9746"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2745065"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4031664E"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13A3E19"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ZUSORRI Maria</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526D1076"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Coordonnateur</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D1D4E5E"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8543B46"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73011158</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272BF13" w14:textId="77777777" w:rsidR="00302BFE" w:rsidRPr="002854BE" w:rsidRDefault="00302BFE" w:rsidP="00243B15">
            <w:pPr>
              <w:pStyle w:val="TableStyle2A"/>
              <w:rPr>
                <w:rStyle w:val="Hyperlink0"/>
                <w:rFonts w:ascii="Calibri" w:hAnsi="Calibri"/>
                <w:sz w:val="18"/>
                <w:szCs w:val="18"/>
                <w:u w:val="none"/>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7192327"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A66748C"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791EF7C"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49D2C9A"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CC517DD"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07E18B43"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22EA331"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ZOUNGRANA Amadou</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12375503" w14:textId="77777777" w:rsidR="00302BFE" w:rsidRPr="0075595E" w:rsidRDefault="00302BFE" w:rsidP="00243B15">
            <w:pPr>
              <w:pStyle w:val="TableStyle2A"/>
              <w:rPr>
                <w:rStyle w:val="NoneA"/>
                <w:rFonts w:ascii="Calibri" w:hAnsi="Calibri"/>
                <w:sz w:val="18"/>
                <w:szCs w:val="18"/>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FC50F21" w14:textId="77777777" w:rsidR="00302BFE" w:rsidRPr="0075595E" w:rsidRDefault="00302BFE" w:rsidP="00243B15">
            <w:pPr>
              <w:pStyle w:val="TableStyle2A"/>
              <w:rPr>
                <w:rFonts w:ascii="Calibri" w:hAnsi="Calibri"/>
                <w:sz w:val="16"/>
                <w:szCs w:val="16"/>
              </w:rPr>
            </w:pPr>
            <w:r w:rsidRPr="0075595E">
              <w:rPr>
                <w:rFonts w:ascii="Calibri" w:hAnsi="Calibri"/>
                <w:sz w:val="16"/>
                <w:szCs w:val="16"/>
              </w:rPr>
              <w:t>SP/CNDD/MEEVCC</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5E26A48"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70715967</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A1451C2" w14:textId="77777777" w:rsidR="00302BFE" w:rsidRPr="002854BE" w:rsidRDefault="00302BFE" w:rsidP="00243B15">
            <w:pPr>
              <w:pStyle w:val="TableStyle2A"/>
              <w:rPr>
                <w:rStyle w:val="Hyperlink0"/>
                <w:rFonts w:ascii="Calibri" w:hAnsi="Calibri"/>
                <w:sz w:val="18"/>
                <w:szCs w:val="18"/>
                <w:u w:val="none"/>
              </w:rPr>
            </w:pPr>
            <w:r w:rsidRPr="002854BE">
              <w:rPr>
                <w:rStyle w:val="Hyperlink0"/>
                <w:rFonts w:ascii="Calibri" w:hAnsi="Calibri"/>
                <w:sz w:val="18"/>
                <w:szCs w:val="18"/>
                <w:u w:val="none"/>
              </w:rPr>
              <w:t>zoungramadou@gmail.com</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8912DDB"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499151C"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FCB91E2"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FA88C94"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025DECF"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606C4921"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2A83791" w14:textId="77777777" w:rsidR="00302BFE" w:rsidRPr="0075595E" w:rsidRDefault="00302BFE" w:rsidP="00243B15">
            <w:pPr>
              <w:pStyle w:val="TableStyle2A"/>
              <w:rPr>
                <w:rFonts w:ascii="Calibri" w:hAnsi="Calibri"/>
                <w:sz w:val="18"/>
                <w:szCs w:val="18"/>
              </w:rPr>
            </w:pPr>
            <w:r w:rsidRPr="0075595E">
              <w:rPr>
                <w:rFonts w:ascii="Calibri" w:hAnsi="Calibri"/>
                <w:sz w:val="18"/>
                <w:szCs w:val="18"/>
                <w:lang w:val="fr-FR"/>
              </w:rPr>
              <w:t>KOUMBEM Issaka</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3A68B8A7"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Agent environnement</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E80A5A0"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85EC57E"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71829989</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6CB287F" w14:textId="77777777" w:rsidR="00302BFE" w:rsidRPr="002854BE" w:rsidRDefault="00302BFE" w:rsidP="00243B15">
            <w:pPr>
              <w:pStyle w:val="TableStyle2A"/>
              <w:rPr>
                <w:rStyle w:val="Hyperlink0"/>
                <w:rFonts w:ascii="Calibri" w:hAnsi="Calibri"/>
                <w:sz w:val="18"/>
                <w:szCs w:val="18"/>
                <w:u w:val="none"/>
                <w:lang w:val="fr-FR"/>
              </w:rPr>
            </w:pPr>
            <w:r w:rsidRPr="002854BE">
              <w:rPr>
                <w:rStyle w:val="Hyperlink0"/>
                <w:rFonts w:ascii="Calibri" w:hAnsi="Calibri"/>
                <w:sz w:val="18"/>
                <w:szCs w:val="18"/>
                <w:u w:val="none"/>
                <w:lang w:val="fr-FR"/>
              </w:rPr>
              <w:t>issakakoumbem@gmail.com</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ADD730B"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C933DD9"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7B860F0"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76B8604"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3013574"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5F357DEF"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53E545A" w14:textId="77777777" w:rsidR="00302BFE" w:rsidRPr="0075595E" w:rsidRDefault="00302BFE" w:rsidP="00243B15">
            <w:pPr>
              <w:pStyle w:val="TableStyle2A"/>
              <w:rPr>
                <w:rFonts w:ascii="Calibri" w:hAnsi="Calibri"/>
                <w:sz w:val="18"/>
                <w:szCs w:val="18"/>
              </w:rPr>
            </w:pPr>
            <w:r w:rsidRPr="0075595E">
              <w:rPr>
                <w:rFonts w:ascii="Calibri" w:hAnsi="Calibri"/>
                <w:sz w:val="18"/>
                <w:szCs w:val="18"/>
                <w:lang w:val="fr-FR"/>
              </w:rPr>
              <w:t>YAO S. Jean Pierre</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3336D79D"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Représentant/ Préfet</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9FA707C"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7BA25B4"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74427372</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B45505E" w14:textId="77777777" w:rsidR="00302BFE" w:rsidRPr="002854BE" w:rsidRDefault="00302BFE" w:rsidP="00243B15">
            <w:pPr>
              <w:pStyle w:val="TableStyle2A"/>
              <w:rPr>
                <w:rStyle w:val="Hyperlink0"/>
                <w:rFonts w:ascii="Calibri" w:hAnsi="Calibri"/>
                <w:sz w:val="18"/>
                <w:szCs w:val="18"/>
                <w:u w:val="none"/>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D29083A"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A2D905B"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107D37E"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44959D9"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D08A1D6"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5DFDC782"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22D28F2" w14:textId="77777777" w:rsidR="00302BFE" w:rsidRPr="0075595E" w:rsidRDefault="00302BFE" w:rsidP="00243B15">
            <w:pPr>
              <w:pStyle w:val="TableStyle2A"/>
              <w:rPr>
                <w:rFonts w:ascii="Calibri" w:hAnsi="Calibri"/>
                <w:sz w:val="18"/>
                <w:szCs w:val="18"/>
              </w:rPr>
            </w:pPr>
            <w:r w:rsidRPr="0075595E">
              <w:rPr>
                <w:rFonts w:ascii="Calibri" w:hAnsi="Calibri"/>
                <w:sz w:val="18"/>
                <w:szCs w:val="18"/>
                <w:lang w:val="fr-FR"/>
              </w:rPr>
              <w:t>SOUGA Yembiga</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39888DB4"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1</w:t>
            </w:r>
            <w:r w:rsidRPr="0075595E">
              <w:rPr>
                <w:rStyle w:val="NoneA"/>
                <w:rFonts w:ascii="Calibri" w:hAnsi="Calibri"/>
                <w:sz w:val="18"/>
                <w:szCs w:val="18"/>
                <w:vertAlign w:val="superscript"/>
                <w:lang w:val="fr-FR"/>
              </w:rPr>
              <w:t>er</w:t>
            </w:r>
            <w:r w:rsidRPr="0075595E">
              <w:rPr>
                <w:rStyle w:val="NoneA"/>
                <w:rFonts w:ascii="Calibri" w:hAnsi="Calibri"/>
                <w:sz w:val="18"/>
                <w:szCs w:val="18"/>
                <w:lang w:val="fr-FR"/>
              </w:rPr>
              <w:t xml:space="preserve"> adjoint au Maire</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6B0F84C"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E326782"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70672326</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EB9AF48" w14:textId="77777777" w:rsidR="00302BFE" w:rsidRPr="002854BE" w:rsidRDefault="00302BFE" w:rsidP="00243B15">
            <w:pPr>
              <w:pStyle w:val="TableStyle2A"/>
              <w:rPr>
                <w:rStyle w:val="Hyperlink0"/>
                <w:rFonts w:ascii="Calibri" w:hAnsi="Calibri"/>
                <w:sz w:val="18"/>
                <w:szCs w:val="18"/>
                <w:u w:val="none"/>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4863AD0"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C8B3FB6"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5181696"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82760CA"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9B91F97"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66F1174E" w14:textId="77777777" w:rsidTr="00243B15">
        <w:trPr>
          <w:jc w:val="center"/>
        </w:trPr>
        <w:tc>
          <w:tcPr>
            <w:tcW w:w="13744" w:type="dxa"/>
            <w:gridSpan w:val="10"/>
            <w:tcBorders>
              <w:top w:val="single" w:sz="2" w:space="0" w:color="000000"/>
              <w:left w:val="single" w:sz="2" w:space="0" w:color="000000"/>
              <w:bottom w:val="single" w:sz="2" w:space="0" w:color="000000"/>
              <w:right w:val="single" w:sz="2" w:space="0" w:color="000000"/>
            </w:tcBorders>
            <w:shd w:val="clear" w:color="auto" w:fill="FFF2CC"/>
            <w:tcMar>
              <w:top w:w="80" w:type="dxa"/>
              <w:left w:w="80" w:type="dxa"/>
              <w:bottom w:w="80" w:type="dxa"/>
              <w:right w:w="80" w:type="dxa"/>
            </w:tcMar>
            <w:hideMark/>
          </w:tcPr>
          <w:p w14:paraId="6BDBB664" w14:textId="77777777" w:rsidR="00302BFE" w:rsidRPr="002854BE" w:rsidRDefault="00302BFE" w:rsidP="00243B15">
            <w:pPr>
              <w:pStyle w:val="TableStyle2A"/>
              <w:rPr>
                <w:rStyle w:val="Hyperlink0"/>
                <w:rFonts w:ascii="Calibri" w:hAnsi="Calibri"/>
                <w:sz w:val="18"/>
                <w:szCs w:val="18"/>
                <w:u w:val="none"/>
              </w:rPr>
            </w:pPr>
            <w:r w:rsidRPr="002854BE">
              <w:rPr>
                <w:rFonts w:ascii="Calibri" w:hAnsi="Calibri"/>
                <w:b/>
                <w:sz w:val="18"/>
                <w:szCs w:val="18"/>
              </w:rPr>
              <w:lastRenderedPageBreak/>
              <w:t>Commune of ZOAGA, 09/24/2018</w:t>
            </w:r>
          </w:p>
        </w:tc>
      </w:tr>
      <w:tr w:rsidR="00302BFE" w:rsidRPr="0075595E" w14:paraId="3CFBD85D"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A180AA4"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SAHOUNA Zoua</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175D005C"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Maire</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5E38789"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4D382DC" w14:textId="77777777" w:rsidR="00302BFE" w:rsidRPr="0075595E" w:rsidRDefault="00302BFE" w:rsidP="00243B15">
            <w:pPr>
              <w:pStyle w:val="TableStyle2A"/>
              <w:rPr>
                <w:rFonts w:ascii="Calibri" w:hAnsi="Calibri"/>
                <w:sz w:val="18"/>
                <w:szCs w:val="18"/>
              </w:rPr>
            </w:pPr>
            <w:r w:rsidRPr="0075595E">
              <w:rPr>
                <w:rStyle w:val="NoneA"/>
                <w:rFonts w:ascii="Calibri" w:hAnsi="Calibri"/>
                <w:sz w:val="18"/>
                <w:szCs w:val="18"/>
              </w:rPr>
              <w:t>70746042</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15027F0" w14:textId="77777777" w:rsidR="00302BFE" w:rsidRPr="002854BE" w:rsidRDefault="00302BFE" w:rsidP="00243B15">
            <w:pPr>
              <w:pStyle w:val="TableStyle2A"/>
              <w:rPr>
                <w:rFonts w:ascii="Calibri" w:hAnsi="Calibri"/>
                <w:sz w:val="18"/>
                <w:szCs w:val="18"/>
              </w:rPr>
            </w:pPr>
            <w:r w:rsidRPr="002854BE">
              <w:rPr>
                <w:rStyle w:val="Hyperlink0"/>
                <w:rFonts w:ascii="Calibri" w:hAnsi="Calibri"/>
                <w:sz w:val="18"/>
                <w:szCs w:val="18"/>
                <w:u w:val="none"/>
              </w:rPr>
              <w:t>zsamsou77@yahoo.fr</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B18D8E3"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34546DF"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3BC9AA6"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585B0A3"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4D6515A"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27067F6E"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4A84C7E"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TAPSOBA Mahamadi</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678B360B"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Prefet/Zoaga</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2A52DA5" w14:textId="77777777" w:rsidR="00302BFE" w:rsidRPr="0075595E" w:rsidRDefault="00302BFE" w:rsidP="00243B15">
            <w:pPr>
              <w:pStyle w:val="TableStyle2A"/>
              <w:rPr>
                <w:rStyle w:val="NoneA"/>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5D4F120"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70958179</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5333ED5" w14:textId="77777777" w:rsidR="00302BFE" w:rsidRPr="002854BE" w:rsidRDefault="00302BFE" w:rsidP="00243B15">
            <w:pPr>
              <w:pStyle w:val="TableStyle2A"/>
              <w:rPr>
                <w:rStyle w:val="Hyperlink0"/>
                <w:rFonts w:ascii="Calibri" w:hAnsi="Calibri"/>
                <w:sz w:val="18"/>
                <w:szCs w:val="18"/>
                <w:u w:val="none"/>
              </w:rPr>
            </w:pPr>
            <w:r w:rsidRPr="002854BE">
              <w:rPr>
                <w:rStyle w:val="Hyperlink0"/>
                <w:rFonts w:ascii="Calibri" w:hAnsi="Calibri"/>
                <w:sz w:val="18"/>
                <w:szCs w:val="18"/>
                <w:u w:val="none"/>
              </w:rPr>
              <w:t>maditapsoba88@yahoo.fr</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9FE1B91"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4744744"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BDEE162"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07932BB"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49C30BC"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3AB7B8AE"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F535E6D" w14:textId="77777777" w:rsidR="00302BFE" w:rsidRPr="0075595E" w:rsidRDefault="00302BFE" w:rsidP="00243B15">
            <w:pPr>
              <w:pStyle w:val="TableStyle2A"/>
              <w:rPr>
                <w:rFonts w:ascii="Calibri" w:hAnsi="Calibri"/>
                <w:sz w:val="18"/>
                <w:szCs w:val="18"/>
              </w:rPr>
            </w:pPr>
            <w:r w:rsidRPr="0075595E">
              <w:rPr>
                <w:rFonts w:ascii="Calibri" w:hAnsi="Calibri"/>
                <w:sz w:val="18"/>
                <w:szCs w:val="18"/>
                <w:lang w:val="fr-FR"/>
              </w:rPr>
              <w:t>ZOUNGRANA Amadou</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7C5A4FAA" w14:textId="77777777" w:rsidR="00302BFE" w:rsidRPr="0075595E" w:rsidRDefault="00302BFE" w:rsidP="00243B15">
            <w:pPr>
              <w:pStyle w:val="TableStyle2A"/>
              <w:rPr>
                <w:rStyle w:val="NoneA"/>
                <w:rFonts w:ascii="Calibri" w:hAnsi="Calibri"/>
                <w:sz w:val="18"/>
                <w:szCs w:val="18"/>
                <w:lang w:val="fr-FR"/>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FAF2552" w14:textId="77777777" w:rsidR="00302BFE" w:rsidRPr="0075595E" w:rsidRDefault="00302BFE" w:rsidP="00243B15">
            <w:pPr>
              <w:pStyle w:val="TableStyle2A"/>
              <w:rPr>
                <w:rStyle w:val="NoneA"/>
                <w:rFonts w:ascii="Calibri" w:hAnsi="Calibri"/>
                <w:sz w:val="16"/>
                <w:szCs w:val="16"/>
                <w:lang w:val="fr-FR"/>
              </w:rPr>
            </w:pPr>
            <w:r w:rsidRPr="0075595E">
              <w:rPr>
                <w:rStyle w:val="NoneA"/>
                <w:rFonts w:ascii="Calibri" w:hAnsi="Calibri"/>
                <w:sz w:val="16"/>
                <w:szCs w:val="16"/>
                <w:lang w:val="fr-FR"/>
              </w:rPr>
              <w:t>SP/CNDD/MEEVCC</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D37784E"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70715957</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40F270D" w14:textId="77777777" w:rsidR="00302BFE" w:rsidRPr="002854BE" w:rsidRDefault="00302BFE" w:rsidP="00243B15">
            <w:pPr>
              <w:pStyle w:val="TableStyle2A"/>
              <w:rPr>
                <w:rStyle w:val="Hyperlink0"/>
                <w:rFonts w:ascii="Calibri" w:hAnsi="Calibri"/>
                <w:sz w:val="18"/>
                <w:szCs w:val="18"/>
                <w:u w:val="none"/>
                <w:lang w:val="fr-FR"/>
              </w:rPr>
            </w:pPr>
            <w:r w:rsidRPr="002854BE">
              <w:rPr>
                <w:rStyle w:val="Hyperlink0"/>
                <w:rFonts w:ascii="Calibri" w:hAnsi="Calibri"/>
                <w:sz w:val="18"/>
                <w:szCs w:val="18"/>
                <w:u w:val="none"/>
                <w:lang w:val="fr-FR"/>
              </w:rPr>
              <w:t>zoungramadou@gmail.com</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459C19D"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2657E1A"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AA36BA8"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A65FF6C"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604A195"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35DA5241"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534C61A" w14:textId="77777777" w:rsidR="00302BFE" w:rsidRPr="0075595E" w:rsidRDefault="00302BFE" w:rsidP="00243B15">
            <w:pPr>
              <w:pStyle w:val="TableStyle2A"/>
              <w:rPr>
                <w:rFonts w:ascii="Calibri" w:hAnsi="Calibri"/>
                <w:sz w:val="18"/>
                <w:szCs w:val="18"/>
              </w:rPr>
            </w:pPr>
            <w:r w:rsidRPr="0075595E">
              <w:rPr>
                <w:rFonts w:ascii="Calibri" w:hAnsi="Calibri"/>
                <w:sz w:val="18"/>
                <w:szCs w:val="18"/>
                <w:lang w:val="fr-FR"/>
              </w:rPr>
              <w:t>SANGO Bernard</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44A09395"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SG-Mairie</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F4AA78C" w14:textId="77777777" w:rsidR="00302BFE" w:rsidRPr="0075595E" w:rsidRDefault="00302BFE" w:rsidP="00243B15">
            <w:pPr>
              <w:pStyle w:val="TableStyle2A"/>
              <w:rPr>
                <w:rStyle w:val="NoneA"/>
                <w:rFonts w:ascii="Calibri" w:hAnsi="Calibri"/>
                <w:sz w:val="18"/>
                <w:szCs w:val="18"/>
                <w:lang w:val="fr-FR"/>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E0A9FB1"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71715420</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89D307B" w14:textId="77777777" w:rsidR="00302BFE" w:rsidRPr="002854BE" w:rsidRDefault="00302BFE" w:rsidP="00243B15">
            <w:pPr>
              <w:pStyle w:val="TableStyle2A"/>
              <w:rPr>
                <w:rStyle w:val="Hyperlink0"/>
                <w:rFonts w:ascii="Calibri" w:hAnsi="Calibri"/>
                <w:sz w:val="18"/>
                <w:szCs w:val="18"/>
                <w:u w:val="none"/>
                <w:lang w:val="fr-FR"/>
              </w:rPr>
            </w:pPr>
            <w:r w:rsidRPr="002854BE">
              <w:rPr>
                <w:rStyle w:val="Hyperlink0"/>
                <w:rFonts w:ascii="Calibri" w:hAnsi="Calibri"/>
                <w:sz w:val="18"/>
                <w:szCs w:val="18"/>
                <w:u w:val="none"/>
                <w:lang w:val="fr-FR"/>
              </w:rPr>
              <w:t>bernard.sango@yahoo.fr</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15996BC"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4F858AE"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66ECF66"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4173AC5"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A3672AF"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3095770C"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39267AD" w14:textId="77777777" w:rsidR="00302BFE" w:rsidRPr="0075595E" w:rsidRDefault="00302BFE" w:rsidP="00243B15">
            <w:pPr>
              <w:pStyle w:val="TableStyle2A"/>
              <w:rPr>
                <w:rFonts w:ascii="Calibri" w:hAnsi="Calibri"/>
                <w:sz w:val="18"/>
                <w:szCs w:val="18"/>
              </w:rPr>
            </w:pPr>
            <w:r w:rsidRPr="0075595E">
              <w:rPr>
                <w:rFonts w:ascii="Calibri" w:hAnsi="Calibri"/>
                <w:sz w:val="18"/>
                <w:szCs w:val="18"/>
                <w:lang w:val="fr-FR"/>
              </w:rPr>
              <w:t>YELEMCOURE Kdogo</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72A00613"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 xml:space="preserve">Pdt. Comm. Environnement </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01609E2" w14:textId="77777777" w:rsidR="00302BFE" w:rsidRPr="0075595E" w:rsidRDefault="00302BFE" w:rsidP="00243B15">
            <w:pPr>
              <w:pStyle w:val="TableStyle2A"/>
              <w:rPr>
                <w:rStyle w:val="NoneA"/>
                <w:rFonts w:ascii="Calibri" w:hAnsi="Calibri"/>
                <w:sz w:val="18"/>
                <w:szCs w:val="18"/>
                <w:lang w:val="fr-FR"/>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885C3B1"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72749397</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EB15E07" w14:textId="77777777" w:rsidR="00302BFE" w:rsidRPr="002854BE" w:rsidRDefault="00302BFE" w:rsidP="00243B15">
            <w:pPr>
              <w:pStyle w:val="TableStyle2A"/>
              <w:rPr>
                <w:rStyle w:val="Hyperlink0"/>
                <w:rFonts w:ascii="Calibri" w:hAnsi="Calibri"/>
                <w:sz w:val="18"/>
                <w:szCs w:val="18"/>
                <w:u w:val="none"/>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5711C45"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F5641ED"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B2C3083"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94DDE8A"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B5F42E1"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46405B97"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104E1DF" w14:textId="77777777" w:rsidR="00302BFE" w:rsidRPr="0075595E" w:rsidRDefault="00302BFE" w:rsidP="00243B15">
            <w:pPr>
              <w:pStyle w:val="TableStyle2A"/>
              <w:rPr>
                <w:rFonts w:ascii="Calibri" w:hAnsi="Calibri"/>
                <w:sz w:val="18"/>
                <w:szCs w:val="18"/>
              </w:rPr>
            </w:pPr>
            <w:r w:rsidRPr="0075595E">
              <w:rPr>
                <w:rFonts w:ascii="Calibri" w:hAnsi="Calibri"/>
                <w:sz w:val="18"/>
                <w:szCs w:val="18"/>
                <w:lang w:val="fr-FR"/>
              </w:rPr>
              <w:t>KOUISUKIRMA Etienne</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635A1209"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Environnement Zoaga</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172BE03" w14:textId="77777777" w:rsidR="00302BFE" w:rsidRPr="0075595E" w:rsidRDefault="00302BFE" w:rsidP="00243B15">
            <w:pPr>
              <w:pStyle w:val="TableStyle2A"/>
              <w:rPr>
                <w:rStyle w:val="NoneA"/>
                <w:rFonts w:ascii="Calibri" w:hAnsi="Calibri"/>
                <w:sz w:val="18"/>
                <w:szCs w:val="18"/>
                <w:lang w:val="fr-FR"/>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9F02B4A"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64717375</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DB9AA8D" w14:textId="77777777" w:rsidR="00302BFE" w:rsidRPr="002854BE" w:rsidRDefault="00302BFE" w:rsidP="00243B15">
            <w:pPr>
              <w:pStyle w:val="TableStyle2A"/>
              <w:rPr>
                <w:rStyle w:val="Hyperlink0"/>
                <w:rFonts w:ascii="Calibri" w:hAnsi="Calibri"/>
                <w:sz w:val="18"/>
                <w:szCs w:val="18"/>
                <w:u w:val="none"/>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6D08FA8"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A23EEDC"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F8F24B2"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17F9209"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6124726"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2D465313"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E068114" w14:textId="77777777" w:rsidR="00302BFE" w:rsidRPr="0075595E" w:rsidRDefault="00302BFE" w:rsidP="00243B15">
            <w:pPr>
              <w:pStyle w:val="TableStyle2A"/>
              <w:rPr>
                <w:rFonts w:ascii="Calibri" w:hAnsi="Calibri"/>
                <w:sz w:val="18"/>
                <w:szCs w:val="18"/>
              </w:rPr>
            </w:pPr>
            <w:r w:rsidRPr="0075595E">
              <w:rPr>
                <w:rFonts w:ascii="Calibri" w:hAnsi="Calibri"/>
                <w:sz w:val="18"/>
                <w:szCs w:val="18"/>
                <w:lang w:val="fr-FR"/>
              </w:rPr>
              <w:t>ZONGO Yacouba</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4A92B235"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ZATE/ Zoaga</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8CB8234" w14:textId="77777777" w:rsidR="00302BFE" w:rsidRPr="0075595E" w:rsidRDefault="00302BFE" w:rsidP="00243B15">
            <w:pPr>
              <w:pStyle w:val="TableStyle2A"/>
              <w:rPr>
                <w:rStyle w:val="NoneA"/>
                <w:rFonts w:ascii="Calibri" w:hAnsi="Calibri"/>
                <w:sz w:val="18"/>
                <w:szCs w:val="18"/>
                <w:lang w:val="fr-FR"/>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24EF4C2"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73633496</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A1097A9" w14:textId="77777777" w:rsidR="00302BFE" w:rsidRPr="002854BE" w:rsidRDefault="00302BFE" w:rsidP="00243B15">
            <w:pPr>
              <w:pStyle w:val="TableStyle2A"/>
              <w:rPr>
                <w:rStyle w:val="Hyperlink0"/>
                <w:rFonts w:ascii="Calibri" w:hAnsi="Calibri"/>
                <w:sz w:val="18"/>
                <w:szCs w:val="18"/>
                <w:u w:val="none"/>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996F86D"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FC532C1"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B39090E"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61D2A23"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7E66892"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0613BAAE"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DEDD5EB" w14:textId="77777777" w:rsidR="00302BFE" w:rsidRPr="0075595E" w:rsidRDefault="00302BFE" w:rsidP="00243B15">
            <w:pPr>
              <w:pStyle w:val="TableStyle2A"/>
              <w:rPr>
                <w:rFonts w:ascii="Calibri" w:hAnsi="Calibri"/>
                <w:sz w:val="18"/>
                <w:szCs w:val="18"/>
              </w:rPr>
            </w:pPr>
            <w:r w:rsidRPr="0075595E">
              <w:rPr>
                <w:rFonts w:ascii="Calibri" w:hAnsi="Calibri"/>
                <w:sz w:val="18"/>
                <w:szCs w:val="18"/>
                <w:lang w:val="fr-FR"/>
              </w:rPr>
              <w:t>GUIGMA A Samadou</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2834864B"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ZATA/ Zoaga</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210B0B5" w14:textId="77777777" w:rsidR="00302BFE" w:rsidRPr="0075595E" w:rsidRDefault="00302BFE" w:rsidP="00243B15">
            <w:pPr>
              <w:pStyle w:val="TableStyle2A"/>
              <w:rPr>
                <w:rStyle w:val="NoneA"/>
                <w:rFonts w:ascii="Calibri" w:hAnsi="Calibri"/>
                <w:sz w:val="18"/>
                <w:szCs w:val="18"/>
                <w:lang w:val="fr-FR"/>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557D1D7"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70023014</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51A06E4" w14:textId="77777777" w:rsidR="00302BFE" w:rsidRPr="002854BE" w:rsidRDefault="00302BFE" w:rsidP="00243B15">
            <w:pPr>
              <w:pStyle w:val="TableStyle2A"/>
              <w:rPr>
                <w:rStyle w:val="Hyperlink0"/>
                <w:rFonts w:ascii="Calibri" w:hAnsi="Calibri"/>
                <w:sz w:val="18"/>
                <w:szCs w:val="18"/>
                <w:u w:val="none"/>
                <w:lang w:val="fr-FR"/>
              </w:rPr>
            </w:pPr>
            <w:r w:rsidRPr="002854BE">
              <w:rPr>
                <w:rStyle w:val="Hyperlink0"/>
                <w:rFonts w:ascii="Calibri" w:hAnsi="Calibri"/>
                <w:sz w:val="18"/>
                <w:szCs w:val="18"/>
                <w:u w:val="none"/>
                <w:lang w:val="fr-FR"/>
              </w:rPr>
              <w:t>abdusamadguigma@gmail.com</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28724E1"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59EB397"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45C7867"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A83EB60"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1E98157"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61B9620C"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DED510B" w14:textId="77777777" w:rsidR="00302BFE" w:rsidRPr="0075595E" w:rsidRDefault="00302BFE" w:rsidP="00243B15">
            <w:pPr>
              <w:pStyle w:val="TableStyle2A"/>
              <w:rPr>
                <w:rFonts w:ascii="Calibri" w:hAnsi="Calibri"/>
                <w:sz w:val="18"/>
                <w:szCs w:val="18"/>
              </w:rPr>
            </w:pPr>
            <w:r w:rsidRPr="0075595E">
              <w:rPr>
                <w:rFonts w:ascii="Calibri" w:hAnsi="Calibri"/>
                <w:sz w:val="18"/>
                <w:szCs w:val="18"/>
                <w:lang w:val="fr-FR"/>
              </w:rPr>
              <w:t>SIDIBE Mahamoudou</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544AF6CD" w14:textId="77777777" w:rsidR="00302BFE" w:rsidRPr="0075595E" w:rsidRDefault="00302BFE" w:rsidP="00243B15">
            <w:pPr>
              <w:pStyle w:val="TableStyle2A"/>
              <w:rPr>
                <w:rStyle w:val="NoneA"/>
                <w:rFonts w:ascii="Calibri" w:hAnsi="Calibri"/>
                <w:sz w:val="18"/>
                <w:szCs w:val="18"/>
                <w:lang w:val="fr-FR"/>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AEAEE36"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Union-éleveurs-Zoaga</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1C1825C"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74341643</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7B2B6BF" w14:textId="77777777" w:rsidR="00302BFE" w:rsidRPr="002854BE" w:rsidRDefault="00302BFE" w:rsidP="00243B15">
            <w:pPr>
              <w:pStyle w:val="TableStyle2A"/>
              <w:rPr>
                <w:rStyle w:val="Hyperlink0"/>
                <w:rFonts w:ascii="Calibri" w:hAnsi="Calibri"/>
                <w:sz w:val="18"/>
                <w:szCs w:val="18"/>
                <w:u w:val="none"/>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E19A77D"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93B38C1"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FFD35DB"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007E20F"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9782894"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2E520C4A"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FF34D9D" w14:textId="77777777" w:rsidR="00302BFE" w:rsidRPr="0075595E" w:rsidRDefault="00302BFE" w:rsidP="00243B15">
            <w:pPr>
              <w:pStyle w:val="TableStyle2A"/>
              <w:rPr>
                <w:rFonts w:ascii="Calibri" w:hAnsi="Calibri"/>
                <w:sz w:val="18"/>
                <w:szCs w:val="18"/>
              </w:rPr>
            </w:pPr>
            <w:r w:rsidRPr="0075595E">
              <w:rPr>
                <w:rFonts w:ascii="Calibri" w:hAnsi="Calibri"/>
                <w:sz w:val="18"/>
                <w:szCs w:val="18"/>
                <w:lang w:val="fr-FR"/>
              </w:rPr>
              <w:t>DABRE Amidou</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53F53F0D" w14:textId="77777777" w:rsidR="00302BFE" w:rsidRPr="0075595E" w:rsidRDefault="00302BFE" w:rsidP="00243B15">
            <w:pPr>
              <w:pStyle w:val="TableStyle2A"/>
              <w:rPr>
                <w:rStyle w:val="NoneA"/>
                <w:rFonts w:ascii="Calibri" w:hAnsi="Calibri"/>
                <w:sz w:val="18"/>
                <w:szCs w:val="18"/>
                <w:lang w:val="fr-FR"/>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280A659"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Association Léerè-Banka</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C7A68E5"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77871134</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F16D464" w14:textId="77777777" w:rsidR="00302BFE" w:rsidRPr="002854BE" w:rsidRDefault="00302BFE" w:rsidP="00243B15">
            <w:pPr>
              <w:pStyle w:val="TableStyle2A"/>
              <w:rPr>
                <w:rStyle w:val="Hyperlink0"/>
                <w:rFonts w:ascii="Calibri" w:hAnsi="Calibri"/>
                <w:sz w:val="18"/>
                <w:szCs w:val="18"/>
                <w:u w:val="none"/>
                <w:lang w:val="fr-FR"/>
              </w:rPr>
            </w:pPr>
            <w:r w:rsidRPr="002854BE">
              <w:rPr>
                <w:rStyle w:val="Hyperlink0"/>
                <w:rFonts w:ascii="Calibri" w:hAnsi="Calibri"/>
                <w:sz w:val="18"/>
                <w:szCs w:val="18"/>
                <w:u w:val="none"/>
                <w:lang w:val="fr-FR"/>
              </w:rPr>
              <w:t>contact@leerebanka.org</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9DEB77A"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31912D"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89B1443"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0650890"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F064355"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695E4965"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CAE48D4" w14:textId="77777777" w:rsidR="00302BFE" w:rsidRPr="0075595E" w:rsidRDefault="00302BFE" w:rsidP="00243B15">
            <w:pPr>
              <w:pStyle w:val="TableStyle2A"/>
              <w:rPr>
                <w:rFonts w:ascii="Calibri" w:hAnsi="Calibri"/>
                <w:sz w:val="18"/>
                <w:szCs w:val="18"/>
              </w:rPr>
            </w:pPr>
            <w:r w:rsidRPr="0075595E">
              <w:rPr>
                <w:rFonts w:ascii="Calibri" w:hAnsi="Calibri"/>
                <w:sz w:val="18"/>
                <w:szCs w:val="18"/>
                <w:lang w:val="fr-FR"/>
              </w:rPr>
              <w:t>GUARE F. Achille</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652CAD9A"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1</w:t>
            </w:r>
            <w:r w:rsidRPr="0075595E">
              <w:rPr>
                <w:rStyle w:val="NoneA"/>
                <w:rFonts w:ascii="Calibri" w:hAnsi="Calibri"/>
                <w:sz w:val="18"/>
                <w:szCs w:val="18"/>
                <w:vertAlign w:val="superscript"/>
                <w:lang w:val="fr-FR"/>
              </w:rPr>
              <w:t>er</w:t>
            </w:r>
            <w:r w:rsidRPr="0075595E">
              <w:rPr>
                <w:rStyle w:val="NoneA"/>
                <w:rFonts w:ascii="Calibri" w:hAnsi="Calibri"/>
                <w:sz w:val="18"/>
                <w:szCs w:val="18"/>
                <w:lang w:val="fr-FR"/>
              </w:rPr>
              <w:t xml:space="preserve"> Adgoint au Maire</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E0CDCCF" w14:textId="77777777" w:rsidR="00302BFE" w:rsidRPr="0075595E" w:rsidRDefault="00302BFE" w:rsidP="00243B15">
            <w:pPr>
              <w:pStyle w:val="TableStyle2A"/>
              <w:rPr>
                <w:rStyle w:val="NoneA"/>
                <w:rFonts w:ascii="Calibri" w:hAnsi="Calibri"/>
                <w:sz w:val="18"/>
                <w:szCs w:val="18"/>
                <w:lang w:val="fr-FR"/>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E7FF8AB"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72050813</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E73A18C" w14:textId="77777777" w:rsidR="00302BFE" w:rsidRPr="002854BE" w:rsidRDefault="00302BFE" w:rsidP="00243B15">
            <w:pPr>
              <w:pStyle w:val="TableStyle2A"/>
              <w:rPr>
                <w:rStyle w:val="Hyperlink0"/>
                <w:rFonts w:ascii="Calibri" w:hAnsi="Calibri"/>
                <w:sz w:val="18"/>
                <w:szCs w:val="18"/>
                <w:u w:val="none"/>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5094123"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F14CE47"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C3A6F95"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8D76F49"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BD51A49"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189620D1"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13290AA" w14:textId="77777777" w:rsidR="00302BFE" w:rsidRPr="0075595E" w:rsidRDefault="00302BFE" w:rsidP="00243B15">
            <w:pPr>
              <w:pStyle w:val="TableStyle2A"/>
              <w:rPr>
                <w:rFonts w:ascii="Calibri" w:hAnsi="Calibri"/>
                <w:sz w:val="18"/>
                <w:szCs w:val="18"/>
              </w:rPr>
            </w:pPr>
            <w:r w:rsidRPr="0075595E">
              <w:rPr>
                <w:rFonts w:ascii="Calibri" w:hAnsi="Calibri"/>
                <w:sz w:val="18"/>
                <w:szCs w:val="18"/>
                <w:lang w:val="fr-FR"/>
              </w:rPr>
              <w:t>BONKOUNGOU Daouda</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6BE4B5F4"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UAT Bougré/Zoaga</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0253692" w14:textId="77777777" w:rsidR="00302BFE" w:rsidRPr="0075595E" w:rsidRDefault="00302BFE" w:rsidP="00243B15">
            <w:pPr>
              <w:pStyle w:val="TableStyle2A"/>
              <w:rPr>
                <w:rStyle w:val="NoneA"/>
                <w:rFonts w:ascii="Calibri" w:hAnsi="Calibri"/>
                <w:sz w:val="18"/>
                <w:szCs w:val="18"/>
                <w:lang w:val="fr-FR"/>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EAB4C4A"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60857145</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C9A9723" w14:textId="77777777" w:rsidR="00302BFE" w:rsidRPr="002854BE" w:rsidRDefault="00302BFE" w:rsidP="00243B15">
            <w:pPr>
              <w:pStyle w:val="TableStyle2A"/>
              <w:rPr>
                <w:rStyle w:val="Hyperlink0"/>
                <w:rFonts w:ascii="Calibri" w:hAnsi="Calibri"/>
                <w:sz w:val="18"/>
                <w:szCs w:val="18"/>
                <w:u w:val="none"/>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1A4F50E"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59DDAD"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299E32F"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4AD316E"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34E295F"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09D809BE" w14:textId="77777777" w:rsidTr="00243B15">
        <w:trPr>
          <w:jc w:val="center"/>
        </w:trPr>
        <w:tc>
          <w:tcPr>
            <w:tcW w:w="13744" w:type="dxa"/>
            <w:gridSpan w:val="10"/>
            <w:tcBorders>
              <w:top w:val="single" w:sz="2" w:space="0" w:color="000000"/>
              <w:left w:val="single" w:sz="2" w:space="0" w:color="000000"/>
              <w:bottom w:val="single" w:sz="2" w:space="0" w:color="000000"/>
              <w:right w:val="single" w:sz="2" w:space="0" w:color="000000"/>
            </w:tcBorders>
            <w:shd w:val="clear" w:color="auto" w:fill="FFF2CC"/>
            <w:tcMar>
              <w:top w:w="80" w:type="dxa"/>
              <w:left w:w="80" w:type="dxa"/>
              <w:bottom w:w="80" w:type="dxa"/>
              <w:right w:w="80" w:type="dxa"/>
            </w:tcMar>
            <w:hideMark/>
          </w:tcPr>
          <w:p w14:paraId="5275BCC7" w14:textId="77777777" w:rsidR="00302BFE" w:rsidRPr="002854BE" w:rsidRDefault="00302BFE" w:rsidP="00243B15">
            <w:pPr>
              <w:pStyle w:val="TableStyle2A"/>
              <w:rPr>
                <w:rStyle w:val="Hyperlink0"/>
                <w:rFonts w:ascii="Calibri" w:hAnsi="Calibri"/>
                <w:sz w:val="18"/>
                <w:szCs w:val="18"/>
                <w:u w:val="none"/>
              </w:rPr>
            </w:pPr>
            <w:r w:rsidRPr="002854BE">
              <w:rPr>
                <w:rFonts w:ascii="Calibri" w:hAnsi="Calibri"/>
                <w:b/>
                <w:sz w:val="18"/>
                <w:szCs w:val="18"/>
              </w:rPr>
              <w:t>Commune of TOECE, 09/26/2018</w:t>
            </w:r>
          </w:p>
        </w:tc>
      </w:tr>
      <w:tr w:rsidR="00302BFE" w:rsidRPr="0075595E" w14:paraId="46A27BD3"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FFA83A2"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ZONGO Clement</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0898ADE1"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Maire</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45343EA"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961442B"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70273522</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3810F7E" w14:textId="77777777" w:rsidR="00302BFE" w:rsidRPr="002854BE" w:rsidRDefault="0053008A" w:rsidP="00243B15">
            <w:pPr>
              <w:pStyle w:val="TableStyle2A"/>
              <w:rPr>
                <w:rStyle w:val="Hyperlink0"/>
                <w:rFonts w:ascii="Calibri" w:hAnsi="Calibri"/>
                <w:sz w:val="18"/>
                <w:szCs w:val="18"/>
                <w:u w:val="none"/>
                <w:lang w:val="fr-FR"/>
              </w:rPr>
            </w:pPr>
            <w:hyperlink r:id="rId60" w:history="1">
              <w:r w:rsidR="00302BFE" w:rsidRPr="002854BE">
                <w:rPr>
                  <w:rStyle w:val="Lienhypertexte"/>
                  <w:rFonts w:ascii="Calibri" w:hAnsi="Calibri"/>
                  <w:sz w:val="18"/>
                  <w:szCs w:val="18"/>
                  <w:lang w:val="fr-FR"/>
                </w:rPr>
                <w:t>zclement@fasonet.bf</w:t>
              </w:r>
            </w:hyperlink>
            <w:r w:rsidR="00302BFE" w:rsidRPr="002854BE">
              <w:rPr>
                <w:rStyle w:val="Hyperlink0"/>
                <w:rFonts w:ascii="Calibri" w:hAnsi="Calibri"/>
                <w:sz w:val="18"/>
                <w:szCs w:val="18"/>
                <w:u w:val="none"/>
                <w:lang w:val="fr-FR"/>
              </w:rPr>
              <w:t xml:space="preserve"> </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93C47DE"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89DC320"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753744D"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7A160FF"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5130B3B"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12282F46"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27519A1"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SONDO Valerie</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4165165F"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SG/Maire</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E180F08"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C057B8C"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78879684</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9619B4D" w14:textId="77777777" w:rsidR="00302BFE" w:rsidRPr="002854BE" w:rsidRDefault="0053008A" w:rsidP="00243B15">
            <w:pPr>
              <w:pStyle w:val="TableStyle2A"/>
              <w:rPr>
                <w:rStyle w:val="Hyperlink0"/>
                <w:rFonts w:ascii="Calibri" w:hAnsi="Calibri"/>
                <w:sz w:val="18"/>
                <w:szCs w:val="18"/>
                <w:u w:val="none"/>
                <w:lang w:val="fr-FR"/>
              </w:rPr>
            </w:pPr>
            <w:hyperlink r:id="rId61" w:history="1">
              <w:r w:rsidR="00302BFE" w:rsidRPr="002854BE">
                <w:rPr>
                  <w:rStyle w:val="Lienhypertexte"/>
                  <w:rFonts w:ascii="Calibri" w:hAnsi="Calibri"/>
                  <w:sz w:val="18"/>
                  <w:szCs w:val="18"/>
                  <w:lang w:val="fr-FR"/>
                </w:rPr>
                <w:t>valeriesondo@yahoo.fr</w:t>
              </w:r>
            </w:hyperlink>
            <w:r w:rsidR="00302BFE" w:rsidRPr="002854BE">
              <w:rPr>
                <w:rStyle w:val="Hyperlink0"/>
                <w:rFonts w:ascii="Calibri" w:hAnsi="Calibri"/>
                <w:sz w:val="18"/>
                <w:szCs w:val="18"/>
                <w:u w:val="none"/>
                <w:lang w:val="fr-FR"/>
              </w:rPr>
              <w:t xml:space="preserve"> </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08FB2F7"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3D166F9"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36855F8"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4B6DA25"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5DB891E"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6A155928"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AAA4F12"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RAMDE Aîssa</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62A839AF"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Préfet</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AB9C7BD"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4307D57"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70301925</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3457117" w14:textId="77777777" w:rsidR="00302BFE" w:rsidRPr="002854BE" w:rsidRDefault="00302BFE" w:rsidP="00243B15">
            <w:pPr>
              <w:pStyle w:val="TableStyle2A"/>
              <w:rPr>
                <w:rStyle w:val="Hyperlink0"/>
                <w:rFonts w:ascii="Calibri" w:hAnsi="Calibri"/>
                <w:sz w:val="18"/>
                <w:szCs w:val="18"/>
                <w:u w:val="none"/>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A1023D9"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83C00EA"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0FC13FC"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1977181"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9EA3C3A"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4131DCC9"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00A3670"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BOUDA Alexandre</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32D73789"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OSC</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57A5C3D"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2313EFE"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78387420</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64A5DE7" w14:textId="77777777" w:rsidR="00302BFE" w:rsidRPr="002854BE" w:rsidRDefault="0053008A" w:rsidP="00243B15">
            <w:pPr>
              <w:pStyle w:val="TableStyle2A"/>
              <w:rPr>
                <w:rStyle w:val="Hyperlink0"/>
                <w:rFonts w:ascii="Calibri" w:hAnsi="Calibri"/>
                <w:sz w:val="18"/>
                <w:szCs w:val="18"/>
                <w:u w:val="none"/>
                <w:lang w:val="fr-FR"/>
              </w:rPr>
            </w:pPr>
            <w:hyperlink r:id="rId62" w:history="1">
              <w:r w:rsidR="00302BFE" w:rsidRPr="002854BE">
                <w:rPr>
                  <w:rStyle w:val="Lienhypertexte"/>
                  <w:rFonts w:ascii="Calibri" w:hAnsi="Calibri"/>
                  <w:sz w:val="18"/>
                  <w:szCs w:val="18"/>
                  <w:lang w:val="fr-FR"/>
                </w:rPr>
                <w:t>boudaalexandre@yahoo.fr</w:t>
              </w:r>
            </w:hyperlink>
            <w:r w:rsidR="00302BFE" w:rsidRPr="002854BE">
              <w:rPr>
                <w:rStyle w:val="Hyperlink0"/>
                <w:rFonts w:ascii="Calibri" w:hAnsi="Calibri"/>
                <w:sz w:val="18"/>
                <w:szCs w:val="18"/>
                <w:u w:val="none"/>
                <w:lang w:val="fr-FR"/>
              </w:rPr>
              <w:t xml:space="preserve"> </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E0159A3"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4D8794A"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FB1D2C3"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3EF7C9A"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58BD9DD"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03F6DF9C"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0EFDB45"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OUEDRAOGO Mahamoudou</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7CBBAE25"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Conseiller</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714B79A"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0D47A06"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78470227</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259DAF2" w14:textId="77777777" w:rsidR="00302BFE" w:rsidRPr="002854BE" w:rsidRDefault="00302BFE" w:rsidP="00243B15">
            <w:pPr>
              <w:pStyle w:val="TableStyle2A"/>
              <w:rPr>
                <w:rStyle w:val="Hyperlink0"/>
                <w:rFonts w:ascii="Calibri" w:hAnsi="Calibri"/>
                <w:sz w:val="18"/>
                <w:szCs w:val="18"/>
                <w:u w:val="none"/>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C315A8A"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C6B69C8"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FC5C4B2"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117AC7E"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44130B7"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16977AE7"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0ED125A"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lastRenderedPageBreak/>
              <w:t>ILBOUDO Inoussa</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11E5E6C2"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Conseiller</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BD24EB5"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E22525E"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78388354</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5BEA71B" w14:textId="77777777" w:rsidR="00302BFE" w:rsidRPr="002854BE" w:rsidRDefault="00302BFE" w:rsidP="00243B15">
            <w:pPr>
              <w:pStyle w:val="TableStyle2A"/>
              <w:rPr>
                <w:rStyle w:val="Hyperlink0"/>
                <w:rFonts w:ascii="Calibri" w:hAnsi="Calibri"/>
                <w:sz w:val="18"/>
                <w:szCs w:val="18"/>
                <w:u w:val="none"/>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E1D912D"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F572113"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C9C9271"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DAAF043"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1D013E1"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1AD1E5C8"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C52B36E"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TIENDREBEOGO Mathias</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1BBA4FB1"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1</w:t>
            </w:r>
            <w:r w:rsidRPr="0075595E">
              <w:rPr>
                <w:rStyle w:val="NoneA"/>
                <w:rFonts w:ascii="Calibri" w:hAnsi="Calibri"/>
                <w:sz w:val="18"/>
                <w:szCs w:val="18"/>
                <w:vertAlign w:val="superscript"/>
                <w:lang w:val="fr-FR"/>
              </w:rPr>
              <w:t>er</w:t>
            </w:r>
            <w:r w:rsidRPr="0075595E">
              <w:rPr>
                <w:rStyle w:val="NoneA"/>
                <w:rFonts w:ascii="Calibri" w:hAnsi="Calibri"/>
                <w:sz w:val="18"/>
                <w:szCs w:val="18"/>
                <w:lang w:val="fr-FR"/>
              </w:rPr>
              <w:t xml:space="preserve"> adjoint au Maire</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58FECC7"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D7B5FF8"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78557215</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11D601F" w14:textId="77777777" w:rsidR="00302BFE" w:rsidRPr="002854BE" w:rsidRDefault="0053008A" w:rsidP="00243B15">
            <w:pPr>
              <w:pStyle w:val="TableStyle2A"/>
              <w:rPr>
                <w:rStyle w:val="Hyperlink0"/>
                <w:rFonts w:ascii="Calibri" w:hAnsi="Calibri"/>
                <w:sz w:val="18"/>
                <w:szCs w:val="18"/>
                <w:u w:val="none"/>
                <w:lang w:val="fr-FR"/>
              </w:rPr>
            </w:pPr>
            <w:hyperlink r:id="rId63" w:history="1">
              <w:r w:rsidR="00302BFE" w:rsidRPr="002854BE">
                <w:rPr>
                  <w:rStyle w:val="Lienhypertexte"/>
                  <w:rFonts w:ascii="Calibri" w:hAnsi="Calibri"/>
                  <w:sz w:val="18"/>
                  <w:szCs w:val="18"/>
                  <w:lang w:val="fr-FR"/>
                </w:rPr>
                <w:t>tmathias.cde@gmail.com</w:t>
              </w:r>
            </w:hyperlink>
            <w:r w:rsidR="00302BFE" w:rsidRPr="002854BE">
              <w:rPr>
                <w:rStyle w:val="Hyperlink0"/>
                <w:rFonts w:ascii="Calibri" w:hAnsi="Calibri"/>
                <w:sz w:val="18"/>
                <w:szCs w:val="18"/>
                <w:u w:val="none"/>
                <w:lang w:val="fr-FR"/>
              </w:rPr>
              <w:t xml:space="preserve"> </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EFD537C"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778AE2B"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BBE4D50"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EA8B78E"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9966C9E"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1DEF0134"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168F138"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SIMPORE Sana</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31FA905E"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2</w:t>
            </w:r>
            <w:r w:rsidRPr="0075595E">
              <w:rPr>
                <w:rStyle w:val="NoneA"/>
                <w:rFonts w:ascii="Calibri" w:hAnsi="Calibri"/>
                <w:sz w:val="18"/>
                <w:szCs w:val="18"/>
                <w:vertAlign w:val="superscript"/>
                <w:lang w:val="fr-FR"/>
              </w:rPr>
              <w:t>e</w:t>
            </w:r>
            <w:r w:rsidRPr="0075595E">
              <w:rPr>
                <w:rStyle w:val="NoneA"/>
                <w:rFonts w:ascii="Calibri" w:hAnsi="Calibri"/>
                <w:sz w:val="18"/>
                <w:szCs w:val="18"/>
                <w:lang w:val="fr-FR"/>
              </w:rPr>
              <w:t xml:space="preserve"> adjoint au Maire</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4812144"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8E61F1C"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78940914</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F443888" w14:textId="77777777" w:rsidR="00302BFE" w:rsidRPr="002854BE" w:rsidRDefault="00302BFE" w:rsidP="00243B15">
            <w:pPr>
              <w:pStyle w:val="TableStyle2A"/>
              <w:rPr>
                <w:rStyle w:val="Hyperlink0"/>
                <w:rFonts w:ascii="Calibri" w:hAnsi="Calibri"/>
                <w:sz w:val="18"/>
                <w:szCs w:val="18"/>
                <w:u w:val="none"/>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7399E90"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884B608"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64821D5"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846A273"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8D2E6DA"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382FCB38"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50DF0B8"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OUEDRAOGO Moussa</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32D8B1F7" w14:textId="77777777" w:rsidR="00302BFE" w:rsidRPr="0075595E" w:rsidRDefault="00302BFE" w:rsidP="00243B15">
            <w:pPr>
              <w:pStyle w:val="TableStyle2A"/>
              <w:rPr>
                <w:rStyle w:val="NoneA"/>
                <w:rFonts w:ascii="Calibri" w:hAnsi="Calibri"/>
                <w:sz w:val="18"/>
                <w:szCs w:val="18"/>
                <w:lang w:val="fr-FR"/>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E301298" w14:textId="77777777" w:rsidR="00302BFE" w:rsidRPr="0075595E" w:rsidRDefault="00302BFE" w:rsidP="00243B15">
            <w:pPr>
              <w:pStyle w:val="TableStyle2A"/>
              <w:rPr>
                <w:rFonts w:ascii="Calibri" w:hAnsi="Calibri"/>
                <w:sz w:val="18"/>
                <w:szCs w:val="18"/>
              </w:rPr>
            </w:pPr>
            <w:r w:rsidRPr="0075595E">
              <w:rPr>
                <w:rFonts w:ascii="Calibri" w:hAnsi="Calibri"/>
                <w:sz w:val="18"/>
                <w:szCs w:val="18"/>
                <w:lang w:val="fr-FR"/>
              </w:rPr>
              <w:t>Assoc. AGEDT</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5461E18"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68026160</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DFD667E" w14:textId="77777777" w:rsidR="00302BFE" w:rsidRPr="002854BE" w:rsidRDefault="00302BFE" w:rsidP="00243B15">
            <w:pPr>
              <w:pStyle w:val="TableStyle2A"/>
              <w:rPr>
                <w:rStyle w:val="Hyperlink0"/>
                <w:rFonts w:ascii="Calibri" w:hAnsi="Calibri"/>
                <w:sz w:val="18"/>
                <w:szCs w:val="18"/>
                <w:u w:val="none"/>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D51DF90"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8FA97D0"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09EF42F"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D0A7EF2"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6B4FBE2"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25971962"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C93ED13"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KIENDREBEOGO Zarata</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71FAC18C" w14:textId="77777777" w:rsidR="00302BFE" w:rsidRPr="0075595E" w:rsidRDefault="00302BFE" w:rsidP="00243B15">
            <w:pPr>
              <w:pStyle w:val="TableStyle2A"/>
              <w:rPr>
                <w:rStyle w:val="NoneA"/>
                <w:rFonts w:ascii="Calibri" w:hAnsi="Calibri"/>
                <w:sz w:val="18"/>
                <w:szCs w:val="18"/>
                <w:lang w:val="fr-FR"/>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BE01B49" w14:textId="77777777" w:rsidR="00302BFE" w:rsidRPr="0075595E" w:rsidRDefault="00302BFE" w:rsidP="00243B15">
            <w:pPr>
              <w:pStyle w:val="TableStyle2A"/>
              <w:rPr>
                <w:rFonts w:ascii="Calibri" w:hAnsi="Calibri"/>
                <w:sz w:val="18"/>
                <w:szCs w:val="18"/>
              </w:rPr>
            </w:pPr>
            <w:r w:rsidRPr="0075595E">
              <w:rPr>
                <w:rFonts w:ascii="Calibri" w:hAnsi="Calibri"/>
                <w:sz w:val="18"/>
                <w:szCs w:val="18"/>
                <w:lang w:val="fr-FR"/>
              </w:rPr>
              <w:t>Assoc. Me-Toéce</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F838A13"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79027742</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454CA7B" w14:textId="77777777" w:rsidR="00302BFE" w:rsidRPr="002854BE" w:rsidRDefault="00302BFE" w:rsidP="00243B15">
            <w:pPr>
              <w:pStyle w:val="TableStyle2A"/>
              <w:rPr>
                <w:rStyle w:val="Hyperlink0"/>
                <w:rFonts w:ascii="Calibri" w:hAnsi="Calibri"/>
                <w:sz w:val="18"/>
                <w:szCs w:val="18"/>
                <w:u w:val="none"/>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3E8806A"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9933108"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ECCE787"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5DB2E44"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48AA2E0"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5233E5C1"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0B58C4F"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GOUBA Firmin</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3FD48605"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Chef ZATE/Toécé</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726470E"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280CABC"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78326278</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1EE88A7" w14:textId="77777777" w:rsidR="00302BFE" w:rsidRPr="002854BE" w:rsidRDefault="0053008A" w:rsidP="00243B15">
            <w:pPr>
              <w:pStyle w:val="TableStyle2A"/>
              <w:rPr>
                <w:rStyle w:val="Hyperlink0"/>
                <w:rFonts w:ascii="Calibri" w:hAnsi="Calibri"/>
                <w:sz w:val="18"/>
                <w:szCs w:val="18"/>
                <w:u w:val="none"/>
                <w:lang w:val="fr-FR"/>
              </w:rPr>
            </w:pPr>
            <w:hyperlink r:id="rId64" w:history="1">
              <w:r w:rsidR="00302BFE" w:rsidRPr="002854BE">
                <w:rPr>
                  <w:rStyle w:val="Lienhypertexte"/>
                  <w:rFonts w:ascii="Calibri" w:hAnsi="Calibri"/>
                  <w:sz w:val="18"/>
                  <w:szCs w:val="18"/>
                  <w:lang w:val="fr-FR"/>
                </w:rPr>
                <w:t>specialfirminho3@gmail.com</w:t>
              </w:r>
            </w:hyperlink>
            <w:r w:rsidR="00302BFE" w:rsidRPr="002854BE">
              <w:rPr>
                <w:rStyle w:val="Hyperlink0"/>
                <w:rFonts w:ascii="Calibri" w:hAnsi="Calibri"/>
                <w:sz w:val="18"/>
                <w:szCs w:val="18"/>
                <w:u w:val="none"/>
                <w:lang w:val="fr-FR"/>
              </w:rPr>
              <w:t xml:space="preserve"> </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6FD6056"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1658BC7"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FAFFE2D"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DB6D6A0"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A5461AC"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6E0C7909"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C01EC3D"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ZONGO G.M. Narcisse</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60D0B2CE"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Chef ZATE/Toécé</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1687016"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EA0E15E"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79639665</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CF2CA22" w14:textId="77777777" w:rsidR="00302BFE" w:rsidRPr="002854BE" w:rsidRDefault="0053008A" w:rsidP="00243B15">
            <w:pPr>
              <w:pStyle w:val="TableStyle2A"/>
              <w:rPr>
                <w:rStyle w:val="Hyperlink0"/>
                <w:rFonts w:ascii="Calibri" w:hAnsi="Calibri"/>
                <w:sz w:val="18"/>
                <w:szCs w:val="18"/>
                <w:u w:val="none"/>
                <w:lang w:val="fr-FR"/>
              </w:rPr>
            </w:pPr>
            <w:hyperlink r:id="rId65" w:history="1">
              <w:r w:rsidR="00302BFE" w:rsidRPr="002854BE">
                <w:rPr>
                  <w:rStyle w:val="Lienhypertexte"/>
                  <w:rFonts w:ascii="Calibri" w:hAnsi="Calibri"/>
                  <w:sz w:val="18"/>
                  <w:szCs w:val="18"/>
                </w:rPr>
                <w:t>n</w:t>
              </w:r>
              <w:r w:rsidR="00302BFE" w:rsidRPr="002854BE">
                <w:rPr>
                  <w:rStyle w:val="Lienhypertexte"/>
                  <w:rFonts w:ascii="Calibri" w:hAnsi="Calibri"/>
                  <w:sz w:val="18"/>
                  <w:szCs w:val="18"/>
                  <w:lang w:val="fr-FR"/>
                </w:rPr>
                <w:t>arcissezongo3@gmail.com</w:t>
              </w:r>
            </w:hyperlink>
            <w:r w:rsidR="00302BFE" w:rsidRPr="002854BE">
              <w:rPr>
                <w:rStyle w:val="Hyperlink0"/>
                <w:rFonts w:ascii="Calibri" w:hAnsi="Calibri"/>
                <w:sz w:val="18"/>
                <w:szCs w:val="18"/>
                <w:u w:val="none"/>
                <w:lang w:val="fr-FR"/>
              </w:rPr>
              <w:t xml:space="preserve"> </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9416546"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CD70FFD"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18D236B"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E9496CB"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56991D4"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41A90D14"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F8C3465"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ZOUNGRANA Amadou</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70C2F6B5" w14:textId="77777777" w:rsidR="00302BFE" w:rsidRPr="0075595E" w:rsidRDefault="00302BFE" w:rsidP="00243B15">
            <w:pPr>
              <w:pStyle w:val="TableStyle2A"/>
              <w:rPr>
                <w:rStyle w:val="NoneA"/>
                <w:rFonts w:ascii="Calibri" w:hAnsi="Calibri"/>
                <w:sz w:val="18"/>
                <w:szCs w:val="18"/>
                <w:lang w:val="fr-FR"/>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27F6CE0" w14:textId="77777777" w:rsidR="00302BFE" w:rsidRPr="0075595E" w:rsidRDefault="00302BFE" w:rsidP="00243B15">
            <w:pPr>
              <w:pStyle w:val="TableStyle2A"/>
              <w:rPr>
                <w:rFonts w:ascii="Calibri" w:hAnsi="Calibri"/>
                <w:sz w:val="16"/>
                <w:szCs w:val="16"/>
              </w:rPr>
            </w:pPr>
            <w:r w:rsidRPr="0075595E">
              <w:rPr>
                <w:rFonts w:ascii="Calibri" w:hAnsi="Calibri"/>
                <w:sz w:val="16"/>
                <w:szCs w:val="16"/>
                <w:lang w:val="fr-FR"/>
              </w:rPr>
              <w:t>SP/CNDD/MEEVCC</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D808F3C"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70715967</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803E409" w14:textId="77777777" w:rsidR="00302BFE" w:rsidRPr="002854BE" w:rsidRDefault="0053008A" w:rsidP="00243B15">
            <w:pPr>
              <w:pStyle w:val="TableStyle2A"/>
              <w:rPr>
                <w:rStyle w:val="Hyperlink0"/>
                <w:rFonts w:ascii="Calibri" w:hAnsi="Calibri"/>
                <w:sz w:val="18"/>
                <w:szCs w:val="18"/>
                <w:u w:val="none"/>
                <w:lang w:val="fr-FR"/>
              </w:rPr>
            </w:pPr>
            <w:hyperlink r:id="rId66" w:history="1">
              <w:r w:rsidR="00302BFE" w:rsidRPr="002854BE">
                <w:rPr>
                  <w:rStyle w:val="Lienhypertexte"/>
                  <w:rFonts w:ascii="Calibri" w:hAnsi="Calibri"/>
                  <w:sz w:val="18"/>
                  <w:szCs w:val="18"/>
                  <w:lang w:val="fr-FR"/>
                </w:rPr>
                <w:t>zoungramadou@gmail.com</w:t>
              </w:r>
            </w:hyperlink>
            <w:r w:rsidR="00302BFE" w:rsidRPr="002854BE">
              <w:rPr>
                <w:rStyle w:val="Hyperlink0"/>
                <w:rFonts w:ascii="Calibri" w:hAnsi="Calibri"/>
                <w:sz w:val="18"/>
                <w:szCs w:val="18"/>
                <w:u w:val="none"/>
                <w:lang w:val="fr-FR"/>
              </w:rPr>
              <w:t xml:space="preserve"> </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8502C1F"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6B98F08"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7B103B7"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CE86D34"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BB2490B"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747BA76E"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D678931"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ALAMPOUA Réné</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5806D6DE" w14:textId="77777777" w:rsidR="00302BFE" w:rsidRPr="0075595E" w:rsidRDefault="00302BFE" w:rsidP="00243B15">
            <w:pPr>
              <w:pStyle w:val="TableStyle2A"/>
              <w:rPr>
                <w:rStyle w:val="NoneA"/>
                <w:rFonts w:ascii="Calibri" w:hAnsi="Calibri"/>
                <w:sz w:val="18"/>
                <w:szCs w:val="18"/>
                <w:lang w:val="fr-FR"/>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96DFA16" w14:textId="77777777" w:rsidR="00302BFE" w:rsidRPr="0075595E" w:rsidRDefault="00302BFE" w:rsidP="00243B15">
            <w:pPr>
              <w:pStyle w:val="TableStyle2A"/>
              <w:rPr>
                <w:rFonts w:ascii="Calibri" w:hAnsi="Calibri"/>
                <w:sz w:val="18"/>
                <w:szCs w:val="18"/>
              </w:rPr>
            </w:pPr>
            <w:r w:rsidRPr="0075595E">
              <w:rPr>
                <w:rFonts w:ascii="Calibri" w:hAnsi="Calibri"/>
                <w:sz w:val="18"/>
                <w:szCs w:val="18"/>
                <w:lang w:val="fr-FR"/>
              </w:rPr>
              <w:t>Environnement/ Toécé</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B1FE600"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78887639</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1C756D6" w14:textId="77777777" w:rsidR="00302BFE" w:rsidRPr="002854BE" w:rsidRDefault="0053008A" w:rsidP="00243B15">
            <w:pPr>
              <w:pStyle w:val="TableStyle2A"/>
              <w:rPr>
                <w:rStyle w:val="Hyperlink0"/>
                <w:rFonts w:ascii="Calibri" w:hAnsi="Calibri"/>
                <w:sz w:val="18"/>
                <w:szCs w:val="18"/>
                <w:u w:val="none"/>
                <w:lang w:val="fr-FR"/>
              </w:rPr>
            </w:pPr>
            <w:hyperlink r:id="rId67" w:history="1">
              <w:r w:rsidR="00302BFE" w:rsidRPr="002854BE">
                <w:rPr>
                  <w:rStyle w:val="Lienhypertexte"/>
                  <w:rFonts w:ascii="Calibri" w:hAnsi="Calibri"/>
                  <w:sz w:val="18"/>
                  <w:szCs w:val="18"/>
                  <w:lang w:val="fr-FR"/>
                </w:rPr>
                <w:t>ReneAlampoua@mal.com</w:t>
              </w:r>
            </w:hyperlink>
            <w:r w:rsidR="00302BFE" w:rsidRPr="002854BE">
              <w:rPr>
                <w:rStyle w:val="Hyperlink0"/>
                <w:rFonts w:ascii="Calibri" w:hAnsi="Calibri"/>
                <w:sz w:val="18"/>
                <w:szCs w:val="18"/>
                <w:u w:val="none"/>
                <w:lang w:val="fr-FR"/>
              </w:rPr>
              <w:t xml:space="preserve"> </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75AF222"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707EA81"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5BC33C6"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1B15C4"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A1EA3B9"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5BBBABB0"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6D30A2A"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BILGO Lassané</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2939D9FB" w14:textId="77777777" w:rsidR="00302BFE" w:rsidRPr="0075595E" w:rsidRDefault="00302BFE" w:rsidP="00243B15">
            <w:pPr>
              <w:pStyle w:val="TableStyle2A"/>
              <w:rPr>
                <w:rStyle w:val="NoneA"/>
                <w:rFonts w:ascii="Calibri" w:hAnsi="Calibri"/>
                <w:sz w:val="18"/>
                <w:szCs w:val="18"/>
                <w:lang w:val="fr-FR"/>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B6C3B2A" w14:textId="77777777" w:rsidR="00302BFE" w:rsidRPr="0075595E" w:rsidRDefault="00302BFE" w:rsidP="00243B15">
            <w:pPr>
              <w:pStyle w:val="TableStyle2A"/>
              <w:rPr>
                <w:rFonts w:ascii="Calibri" w:hAnsi="Calibri"/>
                <w:sz w:val="18"/>
                <w:szCs w:val="18"/>
              </w:rPr>
            </w:pPr>
            <w:r w:rsidRPr="0075595E">
              <w:rPr>
                <w:rFonts w:ascii="Calibri" w:hAnsi="Calibri"/>
                <w:sz w:val="18"/>
                <w:szCs w:val="18"/>
                <w:lang w:val="fr-FR"/>
              </w:rPr>
              <w:t>Association ASAMT</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22690F2"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79303645</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C939A2F" w14:textId="77777777" w:rsidR="00302BFE" w:rsidRPr="002854BE" w:rsidRDefault="00302BFE" w:rsidP="00243B15">
            <w:pPr>
              <w:pStyle w:val="TableStyle2A"/>
              <w:rPr>
                <w:rStyle w:val="Hyperlink0"/>
                <w:rFonts w:ascii="Calibri" w:hAnsi="Calibri"/>
                <w:sz w:val="18"/>
                <w:szCs w:val="18"/>
                <w:u w:val="none"/>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58EEA18"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6B77F92"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8A5F09D"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10C7215"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5814833"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450C7867"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9B6581A"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BILGO Ousmane</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735EBD20" w14:textId="77777777" w:rsidR="00302BFE" w:rsidRPr="0075595E" w:rsidRDefault="00302BFE" w:rsidP="00243B15">
            <w:pPr>
              <w:pStyle w:val="TableStyle2A"/>
              <w:rPr>
                <w:rStyle w:val="NoneA"/>
                <w:rFonts w:ascii="Calibri" w:hAnsi="Calibri"/>
                <w:sz w:val="18"/>
                <w:szCs w:val="18"/>
                <w:lang w:val="fr-FR"/>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48A731B" w14:textId="77777777" w:rsidR="00302BFE" w:rsidRPr="0075595E" w:rsidRDefault="00302BFE" w:rsidP="00243B15">
            <w:pPr>
              <w:pStyle w:val="TableStyle2A"/>
              <w:rPr>
                <w:rFonts w:ascii="Calibri" w:hAnsi="Calibri"/>
                <w:sz w:val="18"/>
                <w:szCs w:val="18"/>
              </w:rPr>
            </w:pPr>
            <w:r w:rsidRPr="0075595E">
              <w:rPr>
                <w:rFonts w:ascii="Calibri" w:hAnsi="Calibri"/>
                <w:sz w:val="18"/>
                <w:szCs w:val="18"/>
                <w:lang w:val="fr-FR"/>
              </w:rPr>
              <w:t>Association ASAMT</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E6E9DAA"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76582504</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4A347D8" w14:textId="77777777" w:rsidR="00302BFE" w:rsidRPr="002854BE" w:rsidRDefault="00302BFE" w:rsidP="00243B15">
            <w:pPr>
              <w:pStyle w:val="TableStyle2A"/>
              <w:rPr>
                <w:rStyle w:val="Hyperlink0"/>
                <w:rFonts w:ascii="Calibri" w:hAnsi="Calibri"/>
                <w:sz w:val="18"/>
                <w:szCs w:val="18"/>
                <w:u w:val="none"/>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707EF13"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66BA249"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A3DCA6C"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F8B6D66"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2F0A590"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1A9572A7" w14:textId="77777777" w:rsidTr="00243B15">
        <w:trPr>
          <w:jc w:val="center"/>
        </w:trPr>
        <w:tc>
          <w:tcPr>
            <w:tcW w:w="13744" w:type="dxa"/>
            <w:gridSpan w:val="10"/>
            <w:tcBorders>
              <w:top w:val="single" w:sz="2" w:space="0" w:color="000000"/>
              <w:left w:val="single" w:sz="2" w:space="0" w:color="000000"/>
              <w:bottom w:val="single" w:sz="2" w:space="0" w:color="000000"/>
              <w:right w:val="single" w:sz="2" w:space="0" w:color="000000"/>
            </w:tcBorders>
            <w:shd w:val="clear" w:color="auto" w:fill="FFF2CC"/>
            <w:tcMar>
              <w:top w:w="80" w:type="dxa"/>
              <w:left w:w="80" w:type="dxa"/>
              <w:bottom w:w="80" w:type="dxa"/>
              <w:right w:w="80" w:type="dxa"/>
            </w:tcMar>
            <w:hideMark/>
          </w:tcPr>
          <w:p w14:paraId="0A73E143" w14:textId="77777777" w:rsidR="00302BFE" w:rsidRPr="002854BE" w:rsidRDefault="00302BFE" w:rsidP="00243B15">
            <w:pPr>
              <w:pStyle w:val="TableStyle2A"/>
              <w:rPr>
                <w:rStyle w:val="Hyperlink0"/>
                <w:rFonts w:ascii="Calibri" w:hAnsi="Calibri"/>
                <w:sz w:val="18"/>
                <w:szCs w:val="18"/>
                <w:u w:val="none"/>
              </w:rPr>
            </w:pPr>
            <w:r w:rsidRPr="002854BE">
              <w:rPr>
                <w:rFonts w:ascii="Calibri" w:hAnsi="Calibri"/>
                <w:b/>
                <w:sz w:val="18"/>
                <w:szCs w:val="18"/>
              </w:rPr>
              <w:t>Commune of GUIARO, 09/25/2018</w:t>
            </w:r>
          </w:p>
        </w:tc>
      </w:tr>
      <w:tr w:rsidR="00302BFE" w:rsidRPr="0075595E" w14:paraId="3542B5CD"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25C23B1"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OUDOUGA B. Francois</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53D231E3"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 xml:space="preserve">Président </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1D0C395" w14:textId="77777777" w:rsidR="00302BFE" w:rsidRPr="0075595E" w:rsidRDefault="00302BFE" w:rsidP="00243B15">
            <w:pPr>
              <w:pStyle w:val="TableStyle2A"/>
              <w:rPr>
                <w:rFonts w:ascii="Calibri" w:hAnsi="Calibri"/>
                <w:sz w:val="18"/>
                <w:szCs w:val="18"/>
              </w:rPr>
            </w:pPr>
            <w:r w:rsidRPr="0075595E">
              <w:rPr>
                <w:rStyle w:val="NoneA"/>
                <w:rFonts w:ascii="Calibri" w:hAnsi="Calibri"/>
                <w:sz w:val="18"/>
                <w:szCs w:val="18"/>
                <w:lang w:val="fr-FR"/>
              </w:rPr>
              <w:t>Commission finance</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0EBF71C" w14:textId="77777777" w:rsidR="00302BFE" w:rsidRPr="0075595E" w:rsidRDefault="00302BFE" w:rsidP="00243B15">
            <w:pPr>
              <w:pStyle w:val="TableStyle2A"/>
              <w:rPr>
                <w:rFonts w:ascii="Calibri" w:hAnsi="Calibri"/>
                <w:sz w:val="18"/>
                <w:szCs w:val="18"/>
              </w:rPr>
            </w:pP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773A7B0" w14:textId="77777777" w:rsidR="00302BFE" w:rsidRPr="002854BE" w:rsidRDefault="00302BFE" w:rsidP="00243B15">
            <w:pPr>
              <w:pStyle w:val="TableStyle2A"/>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AF505D3"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4ED2A79"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9832DFC"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8880811"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5AA671E"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5DBCA9D2"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B455363"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KABEROU Arzouma</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0D9CD59C"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 xml:space="preserve">Président </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4BB7093" w14:textId="77777777" w:rsidR="00302BFE" w:rsidRPr="0075595E" w:rsidRDefault="00302BFE" w:rsidP="00243B15">
            <w:pPr>
              <w:pStyle w:val="TableStyle2A"/>
              <w:rPr>
                <w:rFonts w:ascii="Calibri" w:hAnsi="Calibri"/>
                <w:sz w:val="18"/>
                <w:szCs w:val="18"/>
                <w:lang w:val="fr-CA"/>
              </w:rPr>
            </w:pPr>
            <w:r w:rsidRPr="0075595E">
              <w:rPr>
                <w:rStyle w:val="NoneA"/>
                <w:rFonts w:ascii="Calibri" w:hAnsi="Calibri"/>
                <w:sz w:val="18"/>
                <w:szCs w:val="18"/>
                <w:lang w:val="fr-FR"/>
              </w:rPr>
              <w:t>Comm. affaire générales culturelle sociale</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5DAAC5E" w14:textId="77777777" w:rsidR="00302BFE" w:rsidRPr="0075595E" w:rsidRDefault="00302BFE" w:rsidP="00243B15">
            <w:pPr>
              <w:pStyle w:val="TableStyle2A"/>
              <w:rPr>
                <w:rFonts w:ascii="Calibri" w:hAnsi="Calibri"/>
                <w:sz w:val="18"/>
                <w:szCs w:val="18"/>
                <w:lang w:val="fr-FR"/>
              </w:rPr>
            </w:pPr>
            <w:r w:rsidRPr="0075595E">
              <w:rPr>
                <w:rFonts w:ascii="Calibri" w:hAnsi="Calibri"/>
                <w:sz w:val="18"/>
                <w:szCs w:val="18"/>
                <w:lang w:val="fr-FR"/>
              </w:rPr>
              <w:t>76067641</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1135A62" w14:textId="77777777" w:rsidR="00302BFE" w:rsidRPr="002854BE" w:rsidRDefault="00302BFE" w:rsidP="00243B15">
            <w:pPr>
              <w:pStyle w:val="TableStyle2A"/>
              <w:rPr>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E7F18F8"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CEDEB36"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E65600A"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2224F5B"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94B02F1"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513E9DF6"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9CBC810" w14:textId="77777777" w:rsidR="00302BFE" w:rsidRPr="0075595E" w:rsidRDefault="00302BFE" w:rsidP="00243B15">
            <w:pPr>
              <w:pStyle w:val="TableStyle2A"/>
              <w:rPr>
                <w:rFonts w:ascii="Calibri" w:hAnsi="Calibri"/>
                <w:sz w:val="18"/>
                <w:szCs w:val="18"/>
              </w:rPr>
            </w:pPr>
            <w:r w:rsidRPr="0075595E">
              <w:rPr>
                <w:rFonts w:ascii="Calibri" w:hAnsi="Calibri"/>
                <w:sz w:val="18"/>
                <w:szCs w:val="18"/>
                <w:lang w:val="fr-FR"/>
              </w:rPr>
              <w:t>IDOGO Mariam</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09C6E170"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Coordonnateur de l’association</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DC32E13"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3CB6512" w14:textId="77777777" w:rsidR="00302BFE" w:rsidRPr="0075595E" w:rsidRDefault="00302BFE" w:rsidP="00243B15">
            <w:pPr>
              <w:pStyle w:val="TableStyle2A"/>
              <w:rPr>
                <w:rFonts w:ascii="Calibri" w:hAnsi="Calibri"/>
                <w:sz w:val="18"/>
                <w:szCs w:val="18"/>
                <w:lang w:val="fr-FR"/>
              </w:rPr>
            </w:pPr>
            <w:r w:rsidRPr="0075595E">
              <w:rPr>
                <w:rFonts w:ascii="Calibri" w:hAnsi="Calibri"/>
                <w:sz w:val="18"/>
                <w:szCs w:val="18"/>
                <w:lang w:val="fr-FR"/>
              </w:rPr>
              <w:t>71438880</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CF13909" w14:textId="77777777" w:rsidR="00302BFE" w:rsidRPr="002854BE" w:rsidRDefault="00302BFE" w:rsidP="00243B15">
            <w:pPr>
              <w:pStyle w:val="TableStyle2A"/>
              <w:rPr>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D25CB69"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DF95D60"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2800ACF"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52B865C"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1CE4520"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7266DC30"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A3ECF31" w14:textId="77777777" w:rsidR="00302BFE" w:rsidRPr="0075595E" w:rsidRDefault="00302BFE" w:rsidP="00243B15">
            <w:pPr>
              <w:pStyle w:val="TableStyle2A"/>
              <w:rPr>
                <w:rFonts w:ascii="Calibri" w:hAnsi="Calibri"/>
                <w:sz w:val="18"/>
                <w:szCs w:val="18"/>
              </w:rPr>
            </w:pPr>
            <w:r w:rsidRPr="0075595E">
              <w:rPr>
                <w:rFonts w:ascii="Calibri" w:hAnsi="Calibri"/>
                <w:sz w:val="18"/>
                <w:szCs w:val="18"/>
                <w:lang w:val="fr-FR"/>
              </w:rPr>
              <w:t>OUEDRAOGO Halidou</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069F6910"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Agent/ Représentant Préfet</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C8E519F"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ADE0D30" w14:textId="77777777" w:rsidR="00302BFE" w:rsidRPr="0075595E" w:rsidRDefault="00302BFE" w:rsidP="00243B15">
            <w:pPr>
              <w:pStyle w:val="TableStyle2A"/>
              <w:rPr>
                <w:rFonts w:ascii="Calibri" w:hAnsi="Calibri"/>
                <w:sz w:val="18"/>
                <w:szCs w:val="18"/>
                <w:lang w:val="fr-FR"/>
              </w:rPr>
            </w:pPr>
            <w:r w:rsidRPr="0075595E">
              <w:rPr>
                <w:rFonts w:ascii="Calibri" w:hAnsi="Calibri"/>
                <w:sz w:val="18"/>
                <w:szCs w:val="18"/>
                <w:lang w:val="fr-FR"/>
              </w:rPr>
              <w:t>71033146</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3ACCEC4" w14:textId="77777777" w:rsidR="00302BFE" w:rsidRPr="002854BE" w:rsidRDefault="00302BFE" w:rsidP="00243B15">
            <w:pPr>
              <w:pStyle w:val="TableStyle2A"/>
              <w:rPr>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785176E"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7E0DC2F"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86BCF6B"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B00F543"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ECE10C9"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0860EE49"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F1A104D" w14:textId="77777777" w:rsidR="00302BFE" w:rsidRPr="0075595E" w:rsidRDefault="00302BFE" w:rsidP="00243B15">
            <w:pPr>
              <w:pStyle w:val="TableStyle2A"/>
              <w:rPr>
                <w:rFonts w:ascii="Calibri" w:hAnsi="Calibri"/>
                <w:sz w:val="18"/>
                <w:szCs w:val="18"/>
              </w:rPr>
            </w:pPr>
            <w:r w:rsidRPr="0075595E">
              <w:rPr>
                <w:rFonts w:ascii="Calibri" w:hAnsi="Calibri"/>
                <w:sz w:val="18"/>
                <w:szCs w:val="18"/>
                <w:lang w:val="fr-FR"/>
              </w:rPr>
              <w:t>SORO Zakaria</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55F04558"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Chef ZAT/Guiaro</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DA1260B"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A3D7579" w14:textId="77777777" w:rsidR="00302BFE" w:rsidRPr="0075595E" w:rsidRDefault="00302BFE" w:rsidP="00243B15">
            <w:pPr>
              <w:pStyle w:val="TableStyle2A"/>
              <w:rPr>
                <w:rFonts w:ascii="Calibri" w:hAnsi="Calibri"/>
                <w:sz w:val="18"/>
                <w:szCs w:val="18"/>
                <w:lang w:val="fr-FR"/>
              </w:rPr>
            </w:pPr>
            <w:r w:rsidRPr="0075595E">
              <w:rPr>
                <w:rFonts w:ascii="Calibri" w:hAnsi="Calibri"/>
                <w:sz w:val="18"/>
                <w:szCs w:val="18"/>
                <w:lang w:val="fr-FR"/>
              </w:rPr>
              <w:t>71843676</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2D07801" w14:textId="77777777" w:rsidR="00302BFE" w:rsidRPr="002854BE" w:rsidRDefault="0053008A" w:rsidP="00243B15">
            <w:pPr>
              <w:pStyle w:val="TableStyle2A"/>
              <w:rPr>
                <w:rFonts w:ascii="Calibri" w:hAnsi="Calibri"/>
                <w:sz w:val="18"/>
                <w:szCs w:val="18"/>
                <w:lang w:val="fr-FR"/>
              </w:rPr>
            </w:pPr>
            <w:hyperlink r:id="rId68" w:history="1">
              <w:r w:rsidR="00302BFE" w:rsidRPr="002854BE">
                <w:rPr>
                  <w:rStyle w:val="Lienhypertexte"/>
                  <w:rFonts w:ascii="Calibri" w:hAnsi="Calibri"/>
                  <w:sz w:val="18"/>
                  <w:szCs w:val="18"/>
                </w:rPr>
                <w:t>s</w:t>
              </w:r>
              <w:r w:rsidR="00302BFE" w:rsidRPr="002854BE">
                <w:rPr>
                  <w:rStyle w:val="Lienhypertexte"/>
                  <w:rFonts w:ascii="Calibri" w:hAnsi="Calibri"/>
                  <w:sz w:val="18"/>
                  <w:szCs w:val="18"/>
                  <w:lang w:val="fr-FR"/>
                </w:rPr>
                <w:t>oro.z@yahoo.com</w:t>
              </w:r>
            </w:hyperlink>
            <w:r w:rsidR="00302BFE" w:rsidRPr="002854BE">
              <w:rPr>
                <w:rFonts w:ascii="Calibri" w:hAnsi="Calibri"/>
                <w:sz w:val="18"/>
                <w:szCs w:val="18"/>
                <w:lang w:val="fr-FR"/>
              </w:rPr>
              <w:t xml:space="preserve"> </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298780E"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E42AC0C"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ECEFE9C"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60A6DA1"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91C93DA"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786CFA7B"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9A22311" w14:textId="77777777" w:rsidR="00302BFE" w:rsidRPr="0075595E" w:rsidRDefault="00302BFE" w:rsidP="00243B15">
            <w:pPr>
              <w:pStyle w:val="TableStyle2A"/>
              <w:rPr>
                <w:rFonts w:ascii="Calibri" w:hAnsi="Calibri"/>
                <w:sz w:val="18"/>
                <w:szCs w:val="18"/>
              </w:rPr>
            </w:pPr>
            <w:r w:rsidRPr="0075595E">
              <w:rPr>
                <w:rFonts w:ascii="Calibri" w:hAnsi="Calibri"/>
                <w:sz w:val="18"/>
                <w:szCs w:val="18"/>
                <w:lang w:val="fr-FR"/>
              </w:rPr>
              <w:lastRenderedPageBreak/>
              <w:t>YOGO Aouya</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2C27EDA9"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Répresentant Koumbili</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2D545DD"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AE5DE1E" w14:textId="77777777" w:rsidR="00302BFE" w:rsidRPr="0075595E" w:rsidRDefault="00302BFE" w:rsidP="00243B15">
            <w:pPr>
              <w:pStyle w:val="TableStyle2A"/>
              <w:rPr>
                <w:rFonts w:ascii="Calibri" w:hAnsi="Calibri"/>
                <w:sz w:val="18"/>
                <w:szCs w:val="18"/>
                <w:lang w:val="fr-FR"/>
              </w:rPr>
            </w:pPr>
            <w:r w:rsidRPr="0075595E">
              <w:rPr>
                <w:rFonts w:ascii="Calibri" w:hAnsi="Calibri"/>
                <w:sz w:val="18"/>
                <w:szCs w:val="18"/>
                <w:lang w:val="fr-FR"/>
              </w:rPr>
              <w:t>76139437</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F86EC87" w14:textId="77777777" w:rsidR="00302BFE" w:rsidRPr="002854BE" w:rsidRDefault="0053008A" w:rsidP="00243B15">
            <w:pPr>
              <w:pStyle w:val="TableStyle2A"/>
              <w:rPr>
                <w:rFonts w:ascii="Calibri" w:hAnsi="Calibri"/>
                <w:sz w:val="18"/>
                <w:szCs w:val="18"/>
                <w:lang w:val="fr-FR"/>
              </w:rPr>
            </w:pPr>
            <w:hyperlink r:id="rId69" w:history="1">
              <w:r w:rsidR="00302BFE" w:rsidRPr="002854BE">
                <w:rPr>
                  <w:rStyle w:val="Lienhypertexte"/>
                  <w:rFonts w:ascii="Calibri" w:hAnsi="Calibri"/>
                  <w:sz w:val="18"/>
                  <w:szCs w:val="18"/>
                  <w:lang w:val="fr-FR"/>
                </w:rPr>
                <w:t>yogoaouya@yahoo.fr</w:t>
              </w:r>
            </w:hyperlink>
            <w:r w:rsidR="00302BFE" w:rsidRPr="002854BE">
              <w:rPr>
                <w:rFonts w:ascii="Calibri" w:hAnsi="Calibri"/>
                <w:sz w:val="18"/>
                <w:szCs w:val="18"/>
                <w:lang w:val="fr-FR"/>
              </w:rPr>
              <w:t xml:space="preserve"> </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62CE9C1"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41094EA"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B2D9BF6"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FC52D19"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A5FCDF4"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675ACD5C"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7D22FA8" w14:textId="77777777" w:rsidR="00302BFE" w:rsidRPr="0075595E" w:rsidRDefault="00302BFE" w:rsidP="00243B15">
            <w:pPr>
              <w:pStyle w:val="TableStyle2A"/>
              <w:rPr>
                <w:rFonts w:ascii="Calibri" w:hAnsi="Calibri"/>
                <w:sz w:val="18"/>
                <w:szCs w:val="18"/>
              </w:rPr>
            </w:pPr>
            <w:r w:rsidRPr="0075595E">
              <w:rPr>
                <w:rFonts w:ascii="Calibri" w:hAnsi="Calibri"/>
                <w:sz w:val="18"/>
                <w:szCs w:val="18"/>
                <w:lang w:val="fr-FR"/>
              </w:rPr>
              <w:t>NIKIEMA Adama</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257AF3F5"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 xml:space="preserve">Président </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8EDD31F" w14:textId="77777777" w:rsidR="00302BFE" w:rsidRPr="0075595E" w:rsidRDefault="00302BFE" w:rsidP="00243B15">
            <w:pPr>
              <w:pStyle w:val="TableStyle2A"/>
              <w:rPr>
                <w:rFonts w:ascii="Calibri" w:hAnsi="Calibri"/>
                <w:sz w:val="18"/>
                <w:szCs w:val="18"/>
              </w:rPr>
            </w:pPr>
            <w:r w:rsidRPr="0075595E">
              <w:rPr>
                <w:rStyle w:val="NoneA"/>
                <w:rFonts w:ascii="Calibri" w:hAnsi="Calibri"/>
                <w:sz w:val="18"/>
                <w:szCs w:val="18"/>
                <w:lang w:val="fr-FR"/>
              </w:rPr>
              <w:t>CRA Guiaro</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6C93349" w14:textId="77777777" w:rsidR="00302BFE" w:rsidRPr="0075595E" w:rsidRDefault="00302BFE" w:rsidP="00243B15">
            <w:pPr>
              <w:pStyle w:val="TableStyle2A"/>
              <w:rPr>
                <w:rFonts w:ascii="Calibri" w:hAnsi="Calibri"/>
                <w:sz w:val="18"/>
                <w:szCs w:val="18"/>
                <w:lang w:val="fr-FR"/>
              </w:rPr>
            </w:pPr>
            <w:r w:rsidRPr="0075595E">
              <w:rPr>
                <w:rFonts w:ascii="Calibri" w:hAnsi="Calibri"/>
                <w:sz w:val="18"/>
                <w:szCs w:val="18"/>
                <w:lang w:val="fr-FR"/>
              </w:rPr>
              <w:t>70368114</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FC16E6D" w14:textId="77777777" w:rsidR="00302BFE" w:rsidRPr="002854BE" w:rsidRDefault="00302BFE" w:rsidP="00243B15">
            <w:pPr>
              <w:pStyle w:val="TableStyle2A"/>
              <w:rPr>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AB655EA"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0AD7D7"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B0700D0"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6B6FDC3"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531ECEC"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685E00F1"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1852208" w14:textId="77777777" w:rsidR="00302BFE" w:rsidRPr="0075595E" w:rsidRDefault="00302BFE" w:rsidP="00243B15">
            <w:pPr>
              <w:pStyle w:val="TableStyle2A"/>
              <w:rPr>
                <w:rFonts w:ascii="Calibri" w:hAnsi="Calibri"/>
                <w:sz w:val="18"/>
                <w:szCs w:val="18"/>
              </w:rPr>
            </w:pPr>
            <w:r w:rsidRPr="0075595E">
              <w:rPr>
                <w:rFonts w:ascii="Calibri" w:hAnsi="Calibri"/>
                <w:sz w:val="18"/>
                <w:szCs w:val="18"/>
                <w:lang w:val="fr-FR"/>
              </w:rPr>
              <w:t>ZONGO Lucien</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0B775E0F" w14:textId="77777777" w:rsidR="00302BFE" w:rsidRPr="0075595E" w:rsidRDefault="00302BFE" w:rsidP="00243B15">
            <w:pPr>
              <w:pStyle w:val="TableStyle2A"/>
              <w:rPr>
                <w:rStyle w:val="NoneA"/>
                <w:rFonts w:ascii="Calibri" w:hAnsi="Calibri"/>
                <w:sz w:val="18"/>
                <w:szCs w:val="18"/>
                <w:lang w:val="fr-FR"/>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D600E0F" w14:textId="77777777" w:rsidR="00302BFE" w:rsidRPr="0075595E" w:rsidRDefault="00302BFE" w:rsidP="00243B15">
            <w:pPr>
              <w:pStyle w:val="TableStyle2A"/>
              <w:rPr>
                <w:rFonts w:ascii="Calibri" w:hAnsi="Calibri"/>
                <w:sz w:val="18"/>
                <w:szCs w:val="18"/>
                <w:lang w:val="fr-CA"/>
              </w:rPr>
            </w:pPr>
            <w:r w:rsidRPr="0075595E">
              <w:rPr>
                <w:rStyle w:val="NoneA"/>
                <w:rFonts w:ascii="Calibri" w:hAnsi="Calibri"/>
                <w:sz w:val="18"/>
                <w:szCs w:val="18"/>
                <w:lang w:val="fr-FR"/>
              </w:rPr>
              <w:t>Service départ. environnement</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9084085" w14:textId="77777777" w:rsidR="00302BFE" w:rsidRPr="0075595E" w:rsidRDefault="00302BFE" w:rsidP="00243B15">
            <w:pPr>
              <w:pStyle w:val="TableStyle2A"/>
              <w:rPr>
                <w:rFonts w:ascii="Calibri" w:hAnsi="Calibri"/>
                <w:sz w:val="18"/>
                <w:szCs w:val="18"/>
                <w:lang w:val="fr-FR"/>
              </w:rPr>
            </w:pPr>
            <w:r w:rsidRPr="0075595E">
              <w:rPr>
                <w:rFonts w:ascii="Calibri" w:hAnsi="Calibri"/>
                <w:sz w:val="18"/>
                <w:szCs w:val="18"/>
                <w:lang w:val="fr-FR"/>
              </w:rPr>
              <w:t>73074927</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CA01DE2" w14:textId="77777777" w:rsidR="00302BFE" w:rsidRPr="002854BE" w:rsidRDefault="0053008A" w:rsidP="00243B15">
            <w:pPr>
              <w:pStyle w:val="TableStyle2A"/>
              <w:rPr>
                <w:rFonts w:ascii="Calibri" w:hAnsi="Calibri"/>
                <w:sz w:val="18"/>
                <w:szCs w:val="18"/>
                <w:lang w:val="fr-FR"/>
              </w:rPr>
            </w:pPr>
            <w:hyperlink r:id="rId70" w:history="1">
              <w:r w:rsidR="00302BFE" w:rsidRPr="002854BE">
                <w:rPr>
                  <w:rStyle w:val="Lienhypertexte"/>
                  <w:rFonts w:ascii="Calibri" w:hAnsi="Calibri"/>
                  <w:sz w:val="18"/>
                  <w:szCs w:val="18"/>
                  <w:lang w:val="fr-FR"/>
                </w:rPr>
                <w:t>zongo.lucien@yahoo.fr</w:t>
              </w:r>
            </w:hyperlink>
            <w:r w:rsidR="00302BFE" w:rsidRPr="002854BE">
              <w:rPr>
                <w:rFonts w:ascii="Calibri" w:hAnsi="Calibri"/>
                <w:sz w:val="18"/>
                <w:szCs w:val="18"/>
                <w:lang w:val="fr-FR"/>
              </w:rPr>
              <w:t xml:space="preserve"> </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5A752B3"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F1C7093"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1177F30"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D77085E"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A88ACE7"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1E38E124"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9571475" w14:textId="77777777" w:rsidR="00302BFE" w:rsidRPr="0075595E" w:rsidRDefault="00302BFE" w:rsidP="00243B15">
            <w:pPr>
              <w:pStyle w:val="TableStyle2A"/>
              <w:rPr>
                <w:rFonts w:ascii="Calibri" w:hAnsi="Calibri"/>
                <w:sz w:val="18"/>
                <w:szCs w:val="18"/>
              </w:rPr>
            </w:pPr>
            <w:r w:rsidRPr="0075595E">
              <w:rPr>
                <w:rFonts w:ascii="Calibri" w:hAnsi="Calibri"/>
                <w:sz w:val="18"/>
                <w:szCs w:val="18"/>
                <w:lang w:val="fr-FR"/>
              </w:rPr>
              <w:t>OUADIGABOU Logokoua Arouna</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1CB8D6D3" w14:textId="77777777" w:rsidR="00302BFE" w:rsidRPr="0075595E" w:rsidRDefault="00302BFE" w:rsidP="00243B15">
            <w:pPr>
              <w:pStyle w:val="TableStyle2A"/>
              <w:rPr>
                <w:rStyle w:val="NoneA"/>
                <w:rFonts w:ascii="Calibri" w:hAnsi="Calibri"/>
                <w:sz w:val="18"/>
                <w:szCs w:val="18"/>
                <w:lang w:val="fr-FR"/>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A161C1D" w14:textId="77777777" w:rsidR="00302BFE" w:rsidRPr="0075595E" w:rsidRDefault="00302BFE" w:rsidP="00243B15">
            <w:pPr>
              <w:pStyle w:val="TableStyle2A"/>
              <w:rPr>
                <w:rFonts w:ascii="Calibri" w:hAnsi="Calibri"/>
                <w:sz w:val="18"/>
                <w:szCs w:val="18"/>
              </w:rPr>
            </w:pPr>
            <w:r w:rsidRPr="0075595E">
              <w:rPr>
                <w:rFonts w:ascii="Calibri" w:hAnsi="Calibri"/>
                <w:sz w:val="18"/>
                <w:szCs w:val="18"/>
                <w:lang w:val="fr-FR"/>
              </w:rPr>
              <w:t>GAMIWIAN</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D417EF8" w14:textId="77777777" w:rsidR="00302BFE" w:rsidRPr="0075595E" w:rsidRDefault="00302BFE" w:rsidP="00243B15">
            <w:pPr>
              <w:pStyle w:val="TableStyle2A"/>
              <w:rPr>
                <w:rFonts w:ascii="Calibri" w:hAnsi="Calibri"/>
                <w:sz w:val="18"/>
                <w:szCs w:val="18"/>
                <w:lang w:val="fr-FR"/>
              </w:rPr>
            </w:pPr>
            <w:r w:rsidRPr="0075595E">
              <w:rPr>
                <w:rFonts w:ascii="Calibri" w:hAnsi="Calibri"/>
                <w:sz w:val="18"/>
                <w:szCs w:val="18"/>
                <w:lang w:val="fr-FR"/>
              </w:rPr>
              <w:t>71650522</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4B0C271" w14:textId="77777777" w:rsidR="00302BFE" w:rsidRPr="002854BE" w:rsidRDefault="00302BFE" w:rsidP="00243B15">
            <w:pPr>
              <w:pStyle w:val="TableStyle2A"/>
              <w:rPr>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C20346D"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A882F75"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59190FE"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C7432EC"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D248A0"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21532FFC"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721F2B5" w14:textId="77777777" w:rsidR="00302BFE" w:rsidRPr="0075595E" w:rsidRDefault="00302BFE" w:rsidP="00243B15">
            <w:pPr>
              <w:pStyle w:val="TableStyle2A"/>
              <w:rPr>
                <w:rFonts w:ascii="Calibri" w:hAnsi="Calibri"/>
                <w:sz w:val="18"/>
                <w:szCs w:val="18"/>
              </w:rPr>
            </w:pPr>
            <w:r w:rsidRPr="0075595E">
              <w:rPr>
                <w:rFonts w:ascii="Calibri" w:hAnsi="Calibri"/>
                <w:sz w:val="18"/>
                <w:szCs w:val="18"/>
                <w:lang w:val="fr-FR"/>
              </w:rPr>
              <w:t>SAKANDE Hamado</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3C68B374"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SG/Maire</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7B932FC"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6E5B46E" w14:textId="77777777" w:rsidR="00302BFE" w:rsidRPr="0075595E" w:rsidRDefault="00302BFE" w:rsidP="00243B15">
            <w:pPr>
              <w:pStyle w:val="TableStyle2A"/>
              <w:rPr>
                <w:rFonts w:ascii="Calibri" w:hAnsi="Calibri"/>
                <w:sz w:val="18"/>
                <w:szCs w:val="18"/>
                <w:lang w:val="fr-FR"/>
              </w:rPr>
            </w:pPr>
            <w:r w:rsidRPr="0075595E">
              <w:rPr>
                <w:rFonts w:ascii="Calibri" w:hAnsi="Calibri"/>
                <w:sz w:val="18"/>
                <w:szCs w:val="18"/>
                <w:lang w:val="fr-FR"/>
              </w:rPr>
              <w:t>70044405</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547B35C" w14:textId="77777777" w:rsidR="00302BFE" w:rsidRPr="002854BE" w:rsidRDefault="00302BFE" w:rsidP="00243B15">
            <w:pPr>
              <w:pStyle w:val="TableStyle2A"/>
              <w:rPr>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AB88A44"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49D353C"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E10132B"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9BC2055"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13109D7"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198C933D"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F6496D7" w14:textId="77777777" w:rsidR="00302BFE" w:rsidRPr="0075595E" w:rsidRDefault="00302BFE" w:rsidP="00243B15">
            <w:pPr>
              <w:pStyle w:val="TableStyle2A"/>
              <w:rPr>
                <w:rFonts w:ascii="Calibri" w:hAnsi="Calibri"/>
                <w:sz w:val="18"/>
                <w:szCs w:val="18"/>
              </w:rPr>
            </w:pPr>
            <w:r w:rsidRPr="0075595E">
              <w:rPr>
                <w:rFonts w:ascii="Calibri" w:hAnsi="Calibri"/>
                <w:sz w:val="18"/>
                <w:szCs w:val="18"/>
                <w:lang w:val="fr-FR"/>
              </w:rPr>
              <w:t>ZIBARE Boumon</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20FB63BD"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CVD/Saro</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72E14E3"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DE43063" w14:textId="77777777" w:rsidR="00302BFE" w:rsidRPr="0075595E" w:rsidRDefault="00302BFE" w:rsidP="00243B15">
            <w:pPr>
              <w:pStyle w:val="TableStyle2A"/>
              <w:rPr>
                <w:rFonts w:ascii="Calibri" w:hAnsi="Calibri"/>
                <w:sz w:val="18"/>
                <w:szCs w:val="18"/>
                <w:lang w:val="fr-FR"/>
              </w:rPr>
            </w:pPr>
            <w:r w:rsidRPr="0075595E">
              <w:rPr>
                <w:rFonts w:ascii="Calibri" w:hAnsi="Calibri"/>
                <w:sz w:val="18"/>
                <w:szCs w:val="18"/>
                <w:lang w:val="fr-FR"/>
              </w:rPr>
              <w:t>71514435</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62143B1" w14:textId="77777777" w:rsidR="00302BFE" w:rsidRPr="002854BE" w:rsidRDefault="00302BFE" w:rsidP="00243B15">
            <w:pPr>
              <w:pStyle w:val="TableStyle2A"/>
              <w:rPr>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52ED5B6"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0C97CFD"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CCCAF88"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376C207"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DFE8DA4"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62635668"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0F949A7" w14:textId="77777777" w:rsidR="00302BFE" w:rsidRPr="0075595E" w:rsidRDefault="00302BFE" w:rsidP="00243B15">
            <w:pPr>
              <w:pStyle w:val="TableStyle2A"/>
              <w:rPr>
                <w:rFonts w:ascii="Calibri" w:hAnsi="Calibri"/>
                <w:sz w:val="18"/>
                <w:szCs w:val="18"/>
              </w:rPr>
            </w:pPr>
            <w:r w:rsidRPr="0075595E">
              <w:rPr>
                <w:rFonts w:ascii="Calibri" w:hAnsi="Calibri"/>
                <w:sz w:val="18"/>
                <w:szCs w:val="18"/>
                <w:lang w:val="fr-FR"/>
              </w:rPr>
              <w:t>ADA Ouelamma</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368B51E0"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Coordonnatrice/ Guiaro</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9D0DFC9"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D25DA96" w14:textId="77777777" w:rsidR="00302BFE" w:rsidRPr="0075595E" w:rsidRDefault="00302BFE" w:rsidP="00243B15">
            <w:pPr>
              <w:pStyle w:val="TableStyle2A"/>
              <w:rPr>
                <w:rFonts w:ascii="Calibri" w:hAnsi="Calibri"/>
                <w:sz w:val="18"/>
                <w:szCs w:val="18"/>
                <w:lang w:val="fr-FR"/>
              </w:rPr>
            </w:pPr>
            <w:r w:rsidRPr="0075595E">
              <w:rPr>
                <w:rFonts w:ascii="Calibri" w:hAnsi="Calibri"/>
                <w:sz w:val="18"/>
                <w:szCs w:val="18"/>
                <w:lang w:val="fr-FR"/>
              </w:rPr>
              <w:t>73050318</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03FB204" w14:textId="77777777" w:rsidR="00302BFE" w:rsidRPr="002854BE" w:rsidRDefault="00302BFE" w:rsidP="00243B15">
            <w:pPr>
              <w:pStyle w:val="TableStyle2A"/>
              <w:rPr>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69D114E"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2ADAC9D"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BC3BD40"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F4045A0"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FBBCAE3"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4898DC27"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7F6BC02" w14:textId="77777777" w:rsidR="00302BFE" w:rsidRPr="0075595E" w:rsidRDefault="00302BFE" w:rsidP="00243B15">
            <w:pPr>
              <w:pStyle w:val="TableStyle2A"/>
              <w:rPr>
                <w:rFonts w:ascii="Calibri" w:hAnsi="Calibri"/>
                <w:sz w:val="18"/>
                <w:szCs w:val="18"/>
              </w:rPr>
            </w:pPr>
            <w:r w:rsidRPr="0075595E">
              <w:rPr>
                <w:rFonts w:ascii="Calibri" w:hAnsi="Calibri"/>
                <w:sz w:val="18"/>
                <w:szCs w:val="18"/>
                <w:lang w:val="fr-FR"/>
              </w:rPr>
              <w:t>YIRIBIDJIE Adama</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6F97659A"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Secrétaire Mairie/ Guiaro</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E21ACB9"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CEBFEB7" w14:textId="77777777" w:rsidR="00302BFE" w:rsidRPr="0075595E" w:rsidRDefault="00302BFE" w:rsidP="00243B15">
            <w:pPr>
              <w:pStyle w:val="TableStyle2A"/>
              <w:rPr>
                <w:rFonts w:ascii="Calibri" w:hAnsi="Calibri"/>
                <w:sz w:val="18"/>
                <w:szCs w:val="18"/>
                <w:lang w:val="fr-FR"/>
              </w:rPr>
            </w:pPr>
            <w:r w:rsidRPr="0075595E">
              <w:rPr>
                <w:rFonts w:ascii="Calibri" w:hAnsi="Calibri"/>
                <w:sz w:val="18"/>
                <w:szCs w:val="18"/>
                <w:lang w:val="fr-FR"/>
              </w:rPr>
              <w:t>70531357</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4976D39" w14:textId="77777777" w:rsidR="00302BFE" w:rsidRPr="002854BE" w:rsidRDefault="00302BFE" w:rsidP="00243B15">
            <w:pPr>
              <w:pStyle w:val="TableStyle2A"/>
              <w:rPr>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0460D21"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A729AA2"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9A3050F"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E05B982"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CAA9EBF"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3E54CEEE"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B42AB0C" w14:textId="77777777" w:rsidR="00302BFE" w:rsidRPr="0075595E" w:rsidRDefault="00302BFE" w:rsidP="00243B15">
            <w:pPr>
              <w:pStyle w:val="TableStyle2A"/>
              <w:rPr>
                <w:rFonts w:ascii="Calibri" w:hAnsi="Calibri"/>
                <w:sz w:val="18"/>
                <w:szCs w:val="18"/>
              </w:rPr>
            </w:pPr>
            <w:r w:rsidRPr="0075595E">
              <w:rPr>
                <w:rFonts w:ascii="Calibri" w:hAnsi="Calibri"/>
                <w:sz w:val="18"/>
                <w:szCs w:val="18"/>
                <w:lang w:val="fr-FR"/>
              </w:rPr>
              <w:t>TANKOANO Adjima</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37A8ADE6"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ZATE/Guiaro</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D240F6B"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B7064EC" w14:textId="77777777" w:rsidR="00302BFE" w:rsidRPr="0075595E" w:rsidRDefault="00302BFE" w:rsidP="00243B15">
            <w:pPr>
              <w:pStyle w:val="TableStyle2A"/>
              <w:rPr>
                <w:rFonts w:ascii="Calibri" w:hAnsi="Calibri"/>
                <w:sz w:val="18"/>
                <w:szCs w:val="18"/>
                <w:lang w:val="fr-FR"/>
              </w:rPr>
            </w:pPr>
            <w:r w:rsidRPr="0075595E">
              <w:rPr>
                <w:rFonts w:ascii="Calibri" w:hAnsi="Calibri"/>
                <w:sz w:val="18"/>
                <w:szCs w:val="18"/>
                <w:lang w:val="fr-FR"/>
              </w:rPr>
              <w:t>77666439</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1DC7E89" w14:textId="77777777" w:rsidR="00302BFE" w:rsidRPr="002854BE" w:rsidRDefault="00302BFE" w:rsidP="00243B15">
            <w:pPr>
              <w:pStyle w:val="TableStyle2A"/>
              <w:rPr>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2EF2E93"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CDAB151"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CD14A44"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41AE461"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6B81043"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62F17B57"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6934C36" w14:textId="77777777" w:rsidR="00302BFE" w:rsidRPr="0075595E" w:rsidRDefault="00302BFE" w:rsidP="00243B15">
            <w:pPr>
              <w:pStyle w:val="TableStyle2A"/>
              <w:rPr>
                <w:rFonts w:ascii="Calibri" w:hAnsi="Calibri"/>
                <w:sz w:val="18"/>
                <w:szCs w:val="18"/>
              </w:rPr>
            </w:pPr>
            <w:r w:rsidRPr="0075595E">
              <w:rPr>
                <w:rFonts w:ascii="Calibri" w:hAnsi="Calibri"/>
                <w:sz w:val="18"/>
                <w:szCs w:val="18"/>
                <w:lang w:val="fr-FR"/>
              </w:rPr>
              <w:t>NISSA Ouonyoué</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6BDFA5F5"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Commission foncier</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DEE88E2"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306410F" w14:textId="77777777" w:rsidR="00302BFE" w:rsidRPr="0075595E" w:rsidRDefault="00302BFE" w:rsidP="00243B15">
            <w:pPr>
              <w:pStyle w:val="TableStyle2A"/>
              <w:rPr>
                <w:rFonts w:ascii="Calibri" w:hAnsi="Calibri"/>
                <w:sz w:val="18"/>
                <w:szCs w:val="18"/>
                <w:lang w:val="fr-FR"/>
              </w:rPr>
            </w:pPr>
            <w:r w:rsidRPr="0075595E">
              <w:rPr>
                <w:rFonts w:ascii="Calibri" w:hAnsi="Calibri"/>
                <w:sz w:val="18"/>
                <w:szCs w:val="18"/>
                <w:lang w:val="fr-FR"/>
              </w:rPr>
              <w:t>70699100</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1FAB922" w14:textId="77777777" w:rsidR="00302BFE" w:rsidRPr="002854BE" w:rsidRDefault="00302BFE" w:rsidP="00243B15">
            <w:pPr>
              <w:pStyle w:val="TableStyle2A"/>
              <w:rPr>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A9D41A3"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DEC06D2"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2CE82C0"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77ADF22"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FCEFDF6"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3B1AD7BA"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515A28D" w14:textId="77777777" w:rsidR="00302BFE" w:rsidRPr="0075595E" w:rsidRDefault="00302BFE" w:rsidP="00243B15">
            <w:pPr>
              <w:pStyle w:val="TableStyle2A"/>
              <w:rPr>
                <w:rFonts w:ascii="Calibri" w:hAnsi="Calibri"/>
                <w:sz w:val="18"/>
                <w:szCs w:val="18"/>
              </w:rPr>
            </w:pPr>
            <w:r w:rsidRPr="0075595E">
              <w:rPr>
                <w:rFonts w:ascii="Calibri" w:hAnsi="Calibri"/>
                <w:sz w:val="18"/>
                <w:szCs w:val="18"/>
                <w:lang w:val="fr-FR"/>
              </w:rPr>
              <w:t>NAMA Boubola</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0A09F549"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Commission environnement</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B13A0E0"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B0F836B" w14:textId="77777777" w:rsidR="00302BFE" w:rsidRPr="0075595E" w:rsidRDefault="00302BFE" w:rsidP="00243B15">
            <w:pPr>
              <w:pStyle w:val="TableStyle2A"/>
              <w:rPr>
                <w:rFonts w:ascii="Calibri" w:hAnsi="Calibri"/>
                <w:sz w:val="18"/>
                <w:szCs w:val="18"/>
                <w:lang w:val="fr-FR"/>
              </w:rPr>
            </w:pP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D319C1B" w14:textId="77777777" w:rsidR="00302BFE" w:rsidRPr="002854BE" w:rsidRDefault="00302BFE" w:rsidP="00243B15">
            <w:pPr>
              <w:pStyle w:val="TableStyle2A"/>
              <w:rPr>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33E7195"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D981654"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E9D6D02"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86BAD0E"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5DAEF4C"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025CD7CE"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FD2DF5A"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ZOUNGRANA Amadou</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27CF3EF0" w14:textId="77777777" w:rsidR="00302BFE" w:rsidRPr="0075595E" w:rsidRDefault="00302BFE" w:rsidP="00243B15">
            <w:pPr>
              <w:pStyle w:val="TableStyle2A"/>
              <w:rPr>
                <w:rStyle w:val="NoneA"/>
                <w:rFonts w:ascii="Calibri" w:hAnsi="Calibri"/>
                <w:sz w:val="18"/>
                <w:szCs w:val="18"/>
                <w:lang w:val="fr-FR"/>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4AE3C5A" w14:textId="77777777" w:rsidR="00302BFE" w:rsidRPr="0075595E" w:rsidRDefault="00302BFE" w:rsidP="00243B15">
            <w:pPr>
              <w:pStyle w:val="TableStyle2A"/>
              <w:rPr>
                <w:rFonts w:ascii="Calibri" w:hAnsi="Calibri"/>
                <w:sz w:val="16"/>
                <w:szCs w:val="16"/>
              </w:rPr>
            </w:pPr>
            <w:r w:rsidRPr="0075595E">
              <w:rPr>
                <w:rFonts w:ascii="Calibri" w:hAnsi="Calibri"/>
                <w:sz w:val="16"/>
                <w:szCs w:val="16"/>
                <w:lang w:val="fr-FR"/>
              </w:rPr>
              <w:t>SP/CNDD/MEEVCC</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B4E2741"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70715967</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044CB4B" w14:textId="77777777" w:rsidR="00302BFE" w:rsidRPr="002854BE" w:rsidRDefault="0053008A" w:rsidP="00243B15">
            <w:pPr>
              <w:pStyle w:val="TableStyle2A"/>
              <w:rPr>
                <w:rStyle w:val="Hyperlink0"/>
                <w:rFonts w:ascii="Calibri" w:hAnsi="Calibri"/>
                <w:sz w:val="18"/>
                <w:szCs w:val="18"/>
                <w:u w:val="none"/>
                <w:lang w:val="fr-FR"/>
              </w:rPr>
            </w:pPr>
            <w:hyperlink r:id="rId71" w:history="1">
              <w:r w:rsidR="00302BFE" w:rsidRPr="002854BE">
                <w:rPr>
                  <w:rStyle w:val="Lienhypertexte"/>
                  <w:rFonts w:ascii="Calibri" w:hAnsi="Calibri"/>
                  <w:sz w:val="18"/>
                  <w:szCs w:val="18"/>
                  <w:lang w:val="fr-FR"/>
                </w:rPr>
                <w:t>zoungramadou@gmail.com</w:t>
              </w:r>
            </w:hyperlink>
            <w:r w:rsidR="00302BFE" w:rsidRPr="002854BE">
              <w:rPr>
                <w:rStyle w:val="Hyperlink0"/>
                <w:rFonts w:ascii="Calibri" w:hAnsi="Calibri"/>
                <w:sz w:val="18"/>
                <w:szCs w:val="18"/>
                <w:u w:val="none"/>
                <w:lang w:val="fr-FR"/>
              </w:rPr>
              <w:t xml:space="preserve"> </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A37DE8E"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C61AD0D"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A389FCC"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95700F1"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9CC015B"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611B75DB"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ECFA1D9" w14:textId="77777777" w:rsidR="00302BFE" w:rsidRPr="0075595E" w:rsidRDefault="00302BFE" w:rsidP="00243B15">
            <w:pPr>
              <w:pStyle w:val="TableStyle2A"/>
              <w:rPr>
                <w:rFonts w:ascii="Calibri" w:hAnsi="Calibri"/>
                <w:sz w:val="18"/>
                <w:szCs w:val="18"/>
              </w:rPr>
            </w:pPr>
            <w:r w:rsidRPr="0075595E">
              <w:rPr>
                <w:rFonts w:ascii="Calibri" w:hAnsi="Calibri"/>
                <w:sz w:val="18"/>
                <w:szCs w:val="18"/>
                <w:lang w:val="fr-FR"/>
              </w:rPr>
              <w:t>NEBIE Amina</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3E80DB86"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CVD/Oualem</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0727E6A"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368A76F" w14:textId="77777777" w:rsidR="00302BFE" w:rsidRPr="0075595E" w:rsidRDefault="00302BFE" w:rsidP="00243B15">
            <w:pPr>
              <w:pStyle w:val="TableStyle2A"/>
              <w:rPr>
                <w:rFonts w:ascii="Calibri" w:hAnsi="Calibri"/>
                <w:sz w:val="18"/>
                <w:szCs w:val="18"/>
                <w:lang w:val="fr-FR"/>
              </w:rPr>
            </w:pPr>
            <w:r w:rsidRPr="0075595E">
              <w:rPr>
                <w:rFonts w:ascii="Calibri" w:hAnsi="Calibri"/>
                <w:sz w:val="18"/>
                <w:szCs w:val="18"/>
                <w:lang w:val="fr-FR"/>
              </w:rPr>
              <w:t>71434240</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0EC4224" w14:textId="77777777" w:rsidR="00302BFE" w:rsidRPr="002854BE" w:rsidRDefault="00302BFE" w:rsidP="00243B15">
            <w:pPr>
              <w:pStyle w:val="TableStyle2A"/>
              <w:rPr>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2B21972"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587175D"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A98024E"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49D5B07"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3B9FC94"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34E0BC73"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5854652" w14:textId="77777777" w:rsidR="00302BFE" w:rsidRPr="0075595E" w:rsidRDefault="00302BFE" w:rsidP="00243B15">
            <w:pPr>
              <w:pStyle w:val="TableStyle2A"/>
              <w:rPr>
                <w:rFonts w:ascii="Calibri" w:hAnsi="Calibri"/>
                <w:sz w:val="18"/>
                <w:szCs w:val="18"/>
              </w:rPr>
            </w:pPr>
            <w:r w:rsidRPr="0075595E">
              <w:rPr>
                <w:rFonts w:ascii="Calibri" w:hAnsi="Calibri"/>
                <w:sz w:val="18"/>
                <w:szCs w:val="18"/>
                <w:lang w:val="fr-FR"/>
              </w:rPr>
              <w:t>ZIBARE A. Oueziba</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14E7A9FC"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1</w:t>
            </w:r>
            <w:r w:rsidRPr="0075595E">
              <w:rPr>
                <w:rStyle w:val="NoneA"/>
                <w:rFonts w:ascii="Calibri" w:hAnsi="Calibri"/>
                <w:sz w:val="18"/>
                <w:szCs w:val="18"/>
                <w:vertAlign w:val="superscript"/>
                <w:lang w:val="fr-FR"/>
              </w:rPr>
              <w:t>er</w:t>
            </w:r>
            <w:r w:rsidRPr="0075595E">
              <w:rPr>
                <w:rStyle w:val="NoneA"/>
                <w:rFonts w:ascii="Calibri" w:hAnsi="Calibri"/>
                <w:sz w:val="18"/>
                <w:szCs w:val="18"/>
                <w:lang w:val="fr-FR"/>
              </w:rPr>
              <w:t xml:space="preserve"> adjoint du maire</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670D522"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1AD2FC1" w14:textId="77777777" w:rsidR="00302BFE" w:rsidRPr="0075595E" w:rsidRDefault="00302BFE" w:rsidP="00243B15">
            <w:pPr>
              <w:pStyle w:val="TableStyle2A"/>
              <w:rPr>
                <w:rFonts w:ascii="Calibri" w:hAnsi="Calibri"/>
                <w:sz w:val="18"/>
                <w:szCs w:val="18"/>
                <w:lang w:val="fr-FR"/>
              </w:rPr>
            </w:pPr>
            <w:r w:rsidRPr="0075595E">
              <w:rPr>
                <w:rFonts w:ascii="Calibri" w:hAnsi="Calibri"/>
                <w:sz w:val="18"/>
                <w:szCs w:val="18"/>
                <w:lang w:val="fr-FR"/>
              </w:rPr>
              <w:t>70756077</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C0DADA4" w14:textId="77777777" w:rsidR="00302BFE" w:rsidRPr="002854BE" w:rsidRDefault="0053008A" w:rsidP="00243B15">
            <w:pPr>
              <w:pStyle w:val="TableStyle2A"/>
              <w:rPr>
                <w:rFonts w:ascii="Calibri" w:hAnsi="Calibri"/>
                <w:sz w:val="18"/>
                <w:szCs w:val="18"/>
                <w:lang w:val="fr-FR"/>
              </w:rPr>
            </w:pPr>
            <w:hyperlink r:id="rId72" w:history="1">
              <w:r w:rsidR="00302BFE" w:rsidRPr="002854BE">
                <w:rPr>
                  <w:rStyle w:val="Lienhypertexte"/>
                  <w:rFonts w:ascii="Calibri" w:hAnsi="Calibri"/>
                  <w:sz w:val="18"/>
                  <w:szCs w:val="18"/>
                  <w:lang w:val="fr-FR"/>
                </w:rPr>
                <w:t>wezibaz@gmail.com</w:t>
              </w:r>
            </w:hyperlink>
            <w:r w:rsidR="00302BFE" w:rsidRPr="002854BE">
              <w:rPr>
                <w:rFonts w:ascii="Calibri" w:hAnsi="Calibri"/>
                <w:sz w:val="18"/>
                <w:szCs w:val="18"/>
                <w:lang w:val="fr-FR"/>
              </w:rPr>
              <w:t xml:space="preserve"> </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3CB6510"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CF10ABB"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6355B56"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7FDBCF3"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C466D6C"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1DDD4E2E" w14:textId="77777777" w:rsidTr="00243B15">
        <w:trPr>
          <w:jc w:val="center"/>
        </w:trPr>
        <w:tc>
          <w:tcPr>
            <w:tcW w:w="13744" w:type="dxa"/>
            <w:gridSpan w:val="10"/>
            <w:tcBorders>
              <w:top w:val="single" w:sz="2" w:space="0" w:color="000000"/>
              <w:left w:val="single" w:sz="2" w:space="0" w:color="000000"/>
              <w:bottom w:val="single" w:sz="2" w:space="0" w:color="000000"/>
              <w:right w:val="single" w:sz="2" w:space="0" w:color="000000"/>
            </w:tcBorders>
            <w:shd w:val="clear" w:color="auto" w:fill="FFF2CC"/>
            <w:tcMar>
              <w:top w:w="80" w:type="dxa"/>
              <w:left w:w="80" w:type="dxa"/>
              <w:bottom w:w="80" w:type="dxa"/>
              <w:right w:w="80" w:type="dxa"/>
            </w:tcMar>
            <w:hideMark/>
          </w:tcPr>
          <w:p w14:paraId="2CAA5721" w14:textId="77777777" w:rsidR="00302BFE" w:rsidRPr="002854BE" w:rsidRDefault="00302BFE" w:rsidP="00243B15">
            <w:pPr>
              <w:pStyle w:val="TableStyle2A"/>
              <w:rPr>
                <w:rStyle w:val="Hyperlink0"/>
                <w:rFonts w:ascii="Calibri" w:hAnsi="Calibri"/>
                <w:sz w:val="18"/>
                <w:szCs w:val="18"/>
                <w:u w:val="none"/>
              </w:rPr>
            </w:pPr>
            <w:r w:rsidRPr="002854BE">
              <w:rPr>
                <w:rFonts w:ascii="Calibri" w:hAnsi="Calibri"/>
                <w:b/>
                <w:sz w:val="18"/>
                <w:szCs w:val="18"/>
              </w:rPr>
              <w:t>Commune of PO, 09/26/2018</w:t>
            </w:r>
          </w:p>
        </w:tc>
      </w:tr>
      <w:tr w:rsidR="00302BFE" w:rsidRPr="0075595E" w14:paraId="07576A9D"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E0CEF3C"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GOMGNIMBOU Assane</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6142B74C"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1</w:t>
            </w:r>
            <w:r w:rsidRPr="0075595E">
              <w:rPr>
                <w:rStyle w:val="NoneA"/>
                <w:rFonts w:ascii="Calibri" w:hAnsi="Calibri"/>
                <w:sz w:val="18"/>
                <w:szCs w:val="18"/>
                <w:vertAlign w:val="superscript"/>
                <w:lang w:val="fr-FR"/>
              </w:rPr>
              <w:t>er</w:t>
            </w:r>
            <w:r w:rsidRPr="0075595E">
              <w:rPr>
                <w:rStyle w:val="NoneA"/>
                <w:rFonts w:ascii="Calibri" w:hAnsi="Calibri"/>
                <w:sz w:val="18"/>
                <w:szCs w:val="18"/>
                <w:lang w:val="fr-FR"/>
              </w:rPr>
              <w:t xml:space="preserve"> adjoint au Maire de Pô</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77ECB08" w14:textId="77777777" w:rsidR="00302BFE" w:rsidRPr="0075595E" w:rsidRDefault="00302BFE" w:rsidP="00243B15">
            <w:pPr>
              <w:pStyle w:val="TableStyle2A"/>
              <w:rPr>
                <w:rFonts w:ascii="Calibri" w:hAnsi="Calibri"/>
                <w:sz w:val="18"/>
                <w:szCs w:val="18"/>
                <w:lang w:val="fr-CA"/>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63FC561" w14:textId="77777777" w:rsidR="00302BFE" w:rsidRPr="0075595E" w:rsidRDefault="00302BFE" w:rsidP="00243B15">
            <w:pPr>
              <w:pStyle w:val="TableStyle2A"/>
              <w:rPr>
                <w:rFonts w:ascii="Calibri" w:hAnsi="Calibri"/>
                <w:sz w:val="18"/>
                <w:szCs w:val="18"/>
              </w:rPr>
            </w:pPr>
            <w:r w:rsidRPr="0075595E">
              <w:rPr>
                <w:rStyle w:val="NoneA"/>
                <w:rFonts w:ascii="Calibri" w:hAnsi="Calibri"/>
                <w:sz w:val="18"/>
                <w:szCs w:val="18"/>
              </w:rPr>
              <w:t>70762758</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783DB0D" w14:textId="77777777" w:rsidR="00302BFE" w:rsidRPr="002854BE" w:rsidRDefault="00302BFE" w:rsidP="00243B15">
            <w:pPr>
              <w:pStyle w:val="TableStyle2A"/>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8776022"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6AFCD19"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15BFC45"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0E9A1C8"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DF050C4"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7C3F511D"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FA1C2CE"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PETIRA A. Jacob</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3BBB3466"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2</w:t>
            </w:r>
            <w:r w:rsidRPr="0075595E">
              <w:rPr>
                <w:rStyle w:val="NoneA"/>
                <w:rFonts w:ascii="Calibri" w:hAnsi="Calibri"/>
                <w:sz w:val="18"/>
                <w:szCs w:val="18"/>
                <w:vertAlign w:val="superscript"/>
                <w:lang w:val="fr-FR"/>
              </w:rPr>
              <w:t>e</w:t>
            </w:r>
            <w:r w:rsidRPr="0075595E">
              <w:rPr>
                <w:rStyle w:val="NoneA"/>
                <w:rFonts w:ascii="Calibri" w:hAnsi="Calibri"/>
                <w:sz w:val="18"/>
                <w:szCs w:val="18"/>
                <w:lang w:val="fr-FR"/>
              </w:rPr>
              <w:t xml:space="preserve"> adjoint au Maire de Pô</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7D6058C" w14:textId="77777777" w:rsidR="00302BFE" w:rsidRPr="0075595E" w:rsidRDefault="00302BFE" w:rsidP="00243B15">
            <w:pPr>
              <w:pStyle w:val="TableStyle2A"/>
              <w:rPr>
                <w:rFonts w:ascii="Calibri" w:hAnsi="Calibri"/>
                <w:sz w:val="18"/>
                <w:szCs w:val="18"/>
                <w:lang w:val="fr-CA"/>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89F9332"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70804616</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CDE95A4" w14:textId="77777777" w:rsidR="00302BFE" w:rsidRPr="002854BE" w:rsidRDefault="0053008A" w:rsidP="00243B15">
            <w:pPr>
              <w:pStyle w:val="TableStyle2A"/>
              <w:rPr>
                <w:rFonts w:ascii="Calibri" w:hAnsi="Calibri"/>
                <w:sz w:val="18"/>
                <w:szCs w:val="18"/>
              </w:rPr>
            </w:pPr>
            <w:hyperlink r:id="rId73" w:history="1">
              <w:r w:rsidR="00302BFE" w:rsidRPr="002854BE">
                <w:rPr>
                  <w:rStyle w:val="Lienhypertexte"/>
                  <w:rFonts w:ascii="Calibri" w:hAnsi="Calibri"/>
                  <w:sz w:val="18"/>
                  <w:szCs w:val="18"/>
                  <w:lang w:val="fr-FR"/>
                </w:rPr>
                <w:t>Petiraaouya05@gmail.com</w:t>
              </w:r>
            </w:hyperlink>
            <w:r w:rsidR="00302BFE" w:rsidRPr="002854BE">
              <w:rPr>
                <w:rFonts w:ascii="Calibri" w:hAnsi="Calibri"/>
                <w:sz w:val="18"/>
                <w:szCs w:val="18"/>
                <w:lang w:val="fr-FR"/>
              </w:rPr>
              <w:t xml:space="preserve"> </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21FA26D"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2A6EE2B"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90B8E6F"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B64159D"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99DF7FC"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5782E291"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417CC2F" w14:textId="77777777" w:rsidR="00302BFE" w:rsidRPr="0075595E" w:rsidRDefault="00302BFE" w:rsidP="00243B15">
            <w:pPr>
              <w:pStyle w:val="TableStyle2A"/>
              <w:rPr>
                <w:rFonts w:ascii="Calibri" w:hAnsi="Calibri"/>
                <w:sz w:val="18"/>
                <w:szCs w:val="18"/>
              </w:rPr>
            </w:pPr>
            <w:r w:rsidRPr="0075595E">
              <w:rPr>
                <w:rFonts w:ascii="Calibri" w:hAnsi="Calibri"/>
                <w:sz w:val="18"/>
                <w:szCs w:val="18"/>
                <w:lang w:val="fr-FR"/>
              </w:rPr>
              <w:t>DIALLO Adama</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4000EA49"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Préfet Pô</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E28C9BC"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DD01B9E"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72052048</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3C07303" w14:textId="77777777" w:rsidR="00302BFE" w:rsidRPr="002854BE" w:rsidRDefault="0053008A" w:rsidP="00243B15">
            <w:pPr>
              <w:pStyle w:val="TableStyle2A"/>
              <w:rPr>
                <w:rFonts w:ascii="Calibri" w:hAnsi="Calibri"/>
                <w:sz w:val="18"/>
                <w:szCs w:val="18"/>
              </w:rPr>
            </w:pPr>
            <w:hyperlink r:id="rId74" w:history="1">
              <w:r w:rsidR="00302BFE" w:rsidRPr="002854BE">
                <w:rPr>
                  <w:rStyle w:val="Lienhypertexte"/>
                  <w:rFonts w:ascii="Calibri" w:hAnsi="Calibri"/>
                  <w:sz w:val="18"/>
                  <w:szCs w:val="18"/>
                </w:rPr>
                <w:t>d</w:t>
              </w:r>
              <w:r w:rsidR="00302BFE" w:rsidRPr="002854BE">
                <w:rPr>
                  <w:rStyle w:val="Lienhypertexte"/>
                  <w:rFonts w:ascii="Calibri" w:hAnsi="Calibri"/>
                  <w:sz w:val="18"/>
                  <w:szCs w:val="18"/>
                  <w:lang w:val="fr-FR"/>
                </w:rPr>
                <w:t>iallodam17@gmail.com</w:t>
              </w:r>
            </w:hyperlink>
            <w:r w:rsidR="00302BFE" w:rsidRPr="002854BE">
              <w:rPr>
                <w:rFonts w:ascii="Calibri" w:hAnsi="Calibri"/>
                <w:sz w:val="18"/>
                <w:szCs w:val="18"/>
                <w:lang w:val="fr-FR"/>
              </w:rPr>
              <w:t xml:space="preserve"> </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909023E"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9A801A7"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D544AB1"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5C25F23"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CC89EDA"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053EFE15"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33AB88E" w14:textId="77777777" w:rsidR="00302BFE" w:rsidRPr="0075595E" w:rsidRDefault="00302BFE" w:rsidP="00243B15">
            <w:pPr>
              <w:pStyle w:val="TableStyle2A"/>
              <w:rPr>
                <w:rFonts w:ascii="Calibri" w:hAnsi="Calibri"/>
                <w:sz w:val="18"/>
                <w:szCs w:val="18"/>
              </w:rPr>
            </w:pPr>
            <w:r w:rsidRPr="0075595E">
              <w:rPr>
                <w:rFonts w:ascii="Calibri" w:hAnsi="Calibri"/>
                <w:sz w:val="18"/>
                <w:szCs w:val="18"/>
                <w:lang w:val="fr-FR"/>
              </w:rPr>
              <w:t>SAWADOGO R. Pascal</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0EC6FE4C" w14:textId="77777777" w:rsidR="00302BFE" w:rsidRPr="0075595E" w:rsidRDefault="00302BFE" w:rsidP="00243B15">
            <w:pPr>
              <w:pStyle w:val="TableStyle2A"/>
              <w:rPr>
                <w:rStyle w:val="NoneA"/>
                <w:rFonts w:ascii="Calibri" w:hAnsi="Calibri"/>
                <w:sz w:val="18"/>
                <w:szCs w:val="18"/>
                <w:lang w:val="fr-FR"/>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31673DE" w14:textId="77777777" w:rsidR="00302BFE" w:rsidRPr="0075595E" w:rsidRDefault="00A52B7F" w:rsidP="00243B15">
            <w:pPr>
              <w:pStyle w:val="TableStyle2A"/>
              <w:rPr>
                <w:rFonts w:ascii="Calibri" w:hAnsi="Calibri"/>
                <w:sz w:val="18"/>
                <w:szCs w:val="18"/>
              </w:rPr>
            </w:pPr>
            <w:r w:rsidRPr="0075595E">
              <w:rPr>
                <w:rStyle w:val="NoneA"/>
                <w:rFonts w:ascii="Calibri" w:hAnsi="Calibri"/>
                <w:sz w:val="18"/>
                <w:szCs w:val="18"/>
                <w:lang w:val="fr-FR"/>
              </w:rPr>
              <w:t>C-SDEEVCC/Pô</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F67BF5A"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70125795</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A249FEA" w14:textId="77777777" w:rsidR="00302BFE" w:rsidRPr="002854BE" w:rsidRDefault="00302BFE" w:rsidP="00243B15">
            <w:pPr>
              <w:pStyle w:val="TableStyle2A"/>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A1791AD"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53C6021"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840BA5D"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63A5C9A"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7FF391E"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54571048"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CA6185C" w14:textId="77777777" w:rsidR="00302BFE" w:rsidRPr="0075595E" w:rsidRDefault="00302BFE" w:rsidP="00243B15">
            <w:pPr>
              <w:pStyle w:val="TableStyle2A"/>
              <w:rPr>
                <w:rFonts w:ascii="Calibri" w:hAnsi="Calibri"/>
                <w:sz w:val="18"/>
                <w:szCs w:val="18"/>
              </w:rPr>
            </w:pPr>
            <w:r w:rsidRPr="0075595E">
              <w:rPr>
                <w:rFonts w:ascii="Calibri" w:hAnsi="Calibri"/>
                <w:sz w:val="18"/>
                <w:szCs w:val="18"/>
                <w:lang w:val="fr-FR"/>
              </w:rPr>
              <w:t>BANCE Drissa</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6B016C1E"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Chef</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09DADEA" w14:textId="77777777" w:rsidR="00302BFE" w:rsidRPr="0075595E" w:rsidRDefault="00302BFE" w:rsidP="00243B15">
            <w:pPr>
              <w:pStyle w:val="TableStyle2A"/>
              <w:rPr>
                <w:rFonts w:ascii="Calibri" w:hAnsi="Calibri"/>
                <w:sz w:val="18"/>
                <w:szCs w:val="18"/>
              </w:rPr>
            </w:pPr>
            <w:r w:rsidRPr="0075595E">
              <w:rPr>
                <w:rStyle w:val="NoneA"/>
                <w:rFonts w:ascii="Calibri" w:hAnsi="Calibri"/>
                <w:sz w:val="18"/>
                <w:szCs w:val="18"/>
                <w:lang w:val="fr-FR"/>
              </w:rPr>
              <w:t>UPC Pighiri</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C25BCF4"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76774896</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ECEB967" w14:textId="77777777" w:rsidR="00302BFE" w:rsidRPr="002854BE" w:rsidRDefault="0053008A" w:rsidP="00243B15">
            <w:pPr>
              <w:pStyle w:val="TableStyle2A"/>
              <w:rPr>
                <w:rFonts w:ascii="Calibri" w:hAnsi="Calibri"/>
                <w:sz w:val="18"/>
                <w:szCs w:val="18"/>
              </w:rPr>
            </w:pPr>
            <w:hyperlink r:id="rId75" w:history="1">
              <w:r w:rsidR="00302BFE" w:rsidRPr="002854BE">
                <w:rPr>
                  <w:rStyle w:val="Lienhypertexte"/>
                  <w:rFonts w:ascii="Calibri" w:hAnsi="Calibri"/>
                  <w:sz w:val="18"/>
                  <w:szCs w:val="18"/>
                  <w:lang w:val="fr-FR"/>
                </w:rPr>
                <w:t>kirkarabance@gmail.com</w:t>
              </w:r>
            </w:hyperlink>
            <w:r w:rsidR="00302BFE" w:rsidRPr="002854BE">
              <w:rPr>
                <w:rFonts w:ascii="Calibri" w:hAnsi="Calibri"/>
                <w:sz w:val="18"/>
                <w:szCs w:val="18"/>
                <w:lang w:val="fr-FR"/>
              </w:rPr>
              <w:t xml:space="preserve"> </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BAB7950"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C59C430"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AC81BE9"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9E39582"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AEB6A3B"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582AF774"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B187280" w14:textId="77777777" w:rsidR="00302BFE" w:rsidRPr="0075595E" w:rsidRDefault="00302BFE" w:rsidP="00243B15">
            <w:pPr>
              <w:pStyle w:val="TableStyle2A"/>
              <w:rPr>
                <w:rFonts w:ascii="Calibri" w:hAnsi="Calibri"/>
                <w:sz w:val="18"/>
                <w:szCs w:val="18"/>
              </w:rPr>
            </w:pPr>
            <w:r w:rsidRPr="0075595E">
              <w:rPr>
                <w:rFonts w:ascii="Calibri" w:hAnsi="Calibri"/>
                <w:sz w:val="18"/>
                <w:szCs w:val="18"/>
                <w:lang w:val="fr-FR"/>
              </w:rPr>
              <w:lastRenderedPageBreak/>
              <w:t>ATIGA Joseph</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63ED51E5"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Foncier</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26B9D47"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57D7387"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70120081</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8C5C781" w14:textId="77777777" w:rsidR="00302BFE" w:rsidRPr="002854BE" w:rsidRDefault="00302BFE" w:rsidP="00243B15">
            <w:pPr>
              <w:pStyle w:val="TableStyle2A"/>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68361F4"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9518910"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803DFDC"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7AFEBD6"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2F766AE"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1226C3D2"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363F99B" w14:textId="77777777" w:rsidR="00302BFE" w:rsidRPr="0075595E" w:rsidRDefault="00302BFE" w:rsidP="00243B15">
            <w:pPr>
              <w:pStyle w:val="TableStyle2A"/>
              <w:rPr>
                <w:rFonts w:ascii="Calibri" w:hAnsi="Calibri"/>
                <w:sz w:val="18"/>
                <w:szCs w:val="18"/>
              </w:rPr>
            </w:pPr>
            <w:r w:rsidRPr="0075595E">
              <w:rPr>
                <w:rFonts w:ascii="Calibri" w:hAnsi="Calibri"/>
                <w:sz w:val="18"/>
                <w:szCs w:val="18"/>
                <w:lang w:val="fr-FR"/>
              </w:rPr>
              <w:t>DALLY A. Jonas</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2D6B6855"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Président</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C8E4120" w14:textId="77777777" w:rsidR="00302BFE" w:rsidRPr="0075595E" w:rsidRDefault="00302BFE" w:rsidP="00243B15">
            <w:pPr>
              <w:pStyle w:val="TableStyle2A"/>
              <w:rPr>
                <w:rFonts w:ascii="Calibri" w:hAnsi="Calibri"/>
                <w:sz w:val="18"/>
                <w:szCs w:val="18"/>
              </w:rPr>
            </w:pPr>
            <w:r w:rsidRPr="0075595E">
              <w:rPr>
                <w:rFonts w:ascii="Calibri" w:hAnsi="Calibri"/>
                <w:sz w:val="18"/>
                <w:szCs w:val="18"/>
                <w:lang w:val="fr-FR"/>
              </w:rPr>
              <w:t>CEDL</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8651D99"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70228094</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A2D6087" w14:textId="77777777" w:rsidR="00302BFE" w:rsidRPr="002854BE" w:rsidRDefault="00302BFE" w:rsidP="00243B15">
            <w:pPr>
              <w:pStyle w:val="TableStyle2A"/>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9DD1519"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17F5C29"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DFF894D"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F434B33"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3A8EA06"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53392139"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4330862" w14:textId="77777777" w:rsidR="00302BFE" w:rsidRPr="0075595E" w:rsidRDefault="00302BFE" w:rsidP="00243B15">
            <w:pPr>
              <w:pStyle w:val="TableStyle2A"/>
              <w:rPr>
                <w:rFonts w:ascii="Calibri" w:hAnsi="Calibri"/>
                <w:sz w:val="18"/>
                <w:szCs w:val="18"/>
              </w:rPr>
            </w:pPr>
            <w:r w:rsidRPr="0075595E">
              <w:rPr>
                <w:rFonts w:ascii="Calibri" w:hAnsi="Calibri"/>
                <w:sz w:val="18"/>
                <w:szCs w:val="18"/>
                <w:lang w:val="fr-FR"/>
              </w:rPr>
              <w:t>ZOULABOU Ouékana</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64D5812C"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SG-</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DC972A3" w14:textId="77777777" w:rsidR="00302BFE" w:rsidRPr="0075595E" w:rsidRDefault="00302BFE" w:rsidP="00243B15">
            <w:pPr>
              <w:pStyle w:val="TableStyle2A"/>
              <w:rPr>
                <w:rFonts w:ascii="Calibri" w:hAnsi="Calibri"/>
                <w:sz w:val="18"/>
                <w:szCs w:val="18"/>
              </w:rPr>
            </w:pPr>
            <w:r w:rsidRPr="0075595E">
              <w:rPr>
                <w:rStyle w:val="NoneA"/>
                <w:rFonts w:ascii="Calibri" w:hAnsi="Calibri"/>
                <w:sz w:val="18"/>
                <w:szCs w:val="18"/>
                <w:lang w:val="fr-FR"/>
              </w:rPr>
              <w:t>Association GaMoWigna</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43FC881"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70135254</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DFBEF46" w14:textId="77777777" w:rsidR="00302BFE" w:rsidRPr="002854BE" w:rsidRDefault="0053008A" w:rsidP="00243B15">
            <w:pPr>
              <w:pStyle w:val="TableStyle2A"/>
              <w:rPr>
                <w:rFonts w:ascii="Calibri" w:hAnsi="Calibri"/>
                <w:sz w:val="18"/>
                <w:szCs w:val="18"/>
              </w:rPr>
            </w:pPr>
            <w:hyperlink r:id="rId76" w:history="1">
              <w:r w:rsidR="00302BFE" w:rsidRPr="002854BE">
                <w:rPr>
                  <w:rStyle w:val="Lienhypertexte"/>
                  <w:rFonts w:ascii="Calibri" w:hAnsi="Calibri"/>
                  <w:sz w:val="18"/>
                  <w:szCs w:val="18"/>
                  <w:lang w:val="fr-FR"/>
                </w:rPr>
                <w:t>Ouekane29@gmail.com</w:t>
              </w:r>
            </w:hyperlink>
            <w:r w:rsidR="00302BFE" w:rsidRPr="002854BE">
              <w:rPr>
                <w:rFonts w:ascii="Calibri" w:hAnsi="Calibri"/>
                <w:sz w:val="18"/>
                <w:szCs w:val="18"/>
                <w:lang w:val="fr-FR"/>
              </w:rPr>
              <w:t xml:space="preserve">  </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5175EA5"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C96B07E"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BFD8F5E"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971C877"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D24435D"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4D62888F"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1BC6AC3" w14:textId="77777777" w:rsidR="00302BFE" w:rsidRPr="0075595E" w:rsidRDefault="00302BFE" w:rsidP="00243B15">
            <w:pPr>
              <w:pStyle w:val="TableStyle2A"/>
              <w:rPr>
                <w:rFonts w:ascii="Calibri" w:hAnsi="Calibri"/>
                <w:sz w:val="18"/>
                <w:szCs w:val="18"/>
              </w:rPr>
            </w:pPr>
            <w:r w:rsidRPr="0075595E">
              <w:rPr>
                <w:rFonts w:ascii="Calibri" w:hAnsi="Calibri"/>
                <w:sz w:val="18"/>
                <w:szCs w:val="18"/>
                <w:lang w:val="fr-FR"/>
              </w:rPr>
              <w:t>TAHOURA Bahoupé</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445899A0"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CTC/Pô</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60A605A"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71F0C47"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78205520</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D26C061" w14:textId="77777777" w:rsidR="00302BFE" w:rsidRPr="002854BE" w:rsidRDefault="0053008A" w:rsidP="00243B15">
            <w:pPr>
              <w:pStyle w:val="TableStyle2A"/>
              <w:rPr>
                <w:rFonts w:ascii="Calibri" w:hAnsi="Calibri"/>
                <w:sz w:val="18"/>
                <w:szCs w:val="18"/>
              </w:rPr>
            </w:pPr>
            <w:hyperlink r:id="rId77" w:history="1">
              <w:r w:rsidR="00302BFE" w:rsidRPr="002854BE">
                <w:rPr>
                  <w:rStyle w:val="Lienhypertexte"/>
                  <w:rFonts w:ascii="Calibri" w:hAnsi="Calibri"/>
                  <w:sz w:val="18"/>
                  <w:szCs w:val="18"/>
                  <w:lang w:val="fr-FR"/>
                </w:rPr>
                <w:t>bahoupeta@yahoo.fr</w:t>
              </w:r>
            </w:hyperlink>
            <w:r w:rsidR="00302BFE" w:rsidRPr="002854BE">
              <w:rPr>
                <w:rFonts w:ascii="Calibri" w:hAnsi="Calibri"/>
                <w:sz w:val="18"/>
                <w:szCs w:val="18"/>
                <w:lang w:val="fr-FR"/>
              </w:rPr>
              <w:t xml:space="preserve"> </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2AF391C"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72EA1FE"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309574D"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867277F"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8631D29"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1C8CE404"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81DA78C" w14:textId="77777777" w:rsidR="00302BFE" w:rsidRPr="0075595E" w:rsidRDefault="00302BFE" w:rsidP="00243B15">
            <w:pPr>
              <w:pStyle w:val="TableStyle2A"/>
              <w:rPr>
                <w:rFonts w:ascii="Calibri" w:hAnsi="Calibri"/>
                <w:sz w:val="18"/>
                <w:szCs w:val="18"/>
              </w:rPr>
            </w:pPr>
            <w:r w:rsidRPr="0075595E">
              <w:rPr>
                <w:rFonts w:ascii="Calibri" w:hAnsi="Calibri"/>
                <w:sz w:val="18"/>
                <w:szCs w:val="18"/>
                <w:lang w:val="fr-FR"/>
              </w:rPr>
              <w:t>KAZAGABOU T. Luc</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04B17849" w14:textId="77777777" w:rsidR="00302BFE" w:rsidRPr="0075595E" w:rsidRDefault="00302BFE" w:rsidP="00243B15">
            <w:pPr>
              <w:pStyle w:val="TableStyle2A"/>
              <w:rPr>
                <w:rStyle w:val="NoneA"/>
                <w:rFonts w:ascii="Calibri" w:hAnsi="Calibri"/>
                <w:sz w:val="18"/>
                <w:szCs w:val="18"/>
                <w:lang w:val="fr-FR"/>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7603481" w14:textId="77777777" w:rsidR="00302BFE" w:rsidRPr="0075595E" w:rsidRDefault="00302BFE" w:rsidP="00243B15">
            <w:pPr>
              <w:pStyle w:val="TableStyle2A"/>
              <w:rPr>
                <w:rFonts w:ascii="Calibri" w:hAnsi="Calibri"/>
                <w:sz w:val="18"/>
                <w:szCs w:val="18"/>
              </w:rPr>
            </w:pPr>
            <w:r w:rsidRPr="0075595E">
              <w:rPr>
                <w:rFonts w:ascii="Calibri" w:hAnsi="Calibri"/>
                <w:sz w:val="18"/>
                <w:szCs w:val="18"/>
                <w:lang w:val="fr-FR"/>
              </w:rPr>
              <w:t>Association Tiou-yi-Wignam</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0CB043E"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 xml:space="preserve">68692468 </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76E8E05" w14:textId="77777777" w:rsidR="00302BFE" w:rsidRPr="002854BE" w:rsidRDefault="00302BFE" w:rsidP="00243B15">
            <w:pPr>
              <w:pStyle w:val="TableStyle2A"/>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74B4B4D"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E94C1FB"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BE2A16F"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5804B5"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BB93E03"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66431EA2"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4143708"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ZOUNGRANA Amadou</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769015FB" w14:textId="77777777" w:rsidR="00302BFE" w:rsidRPr="0075595E" w:rsidRDefault="00302BFE" w:rsidP="00243B15">
            <w:pPr>
              <w:pStyle w:val="TableStyle2A"/>
              <w:rPr>
                <w:rStyle w:val="NoneA"/>
                <w:rFonts w:ascii="Calibri" w:hAnsi="Calibri"/>
                <w:sz w:val="18"/>
                <w:szCs w:val="18"/>
                <w:lang w:val="fr-FR"/>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0A8237D" w14:textId="77777777" w:rsidR="00302BFE" w:rsidRPr="0075595E" w:rsidRDefault="00302BFE" w:rsidP="00243B15">
            <w:pPr>
              <w:pStyle w:val="TableStyle2A"/>
              <w:rPr>
                <w:rFonts w:ascii="Calibri" w:hAnsi="Calibri"/>
                <w:sz w:val="16"/>
                <w:szCs w:val="16"/>
              </w:rPr>
            </w:pPr>
            <w:r w:rsidRPr="0075595E">
              <w:rPr>
                <w:rFonts w:ascii="Calibri" w:hAnsi="Calibri"/>
                <w:sz w:val="16"/>
                <w:szCs w:val="16"/>
                <w:lang w:val="fr-FR"/>
              </w:rPr>
              <w:t>SP/CNDD/MEEVCC</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D663C11"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70715967</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61B20DA" w14:textId="77777777" w:rsidR="00302BFE" w:rsidRPr="002854BE" w:rsidRDefault="0053008A" w:rsidP="00243B15">
            <w:pPr>
              <w:pStyle w:val="TableStyle2A"/>
              <w:rPr>
                <w:rStyle w:val="Hyperlink0"/>
                <w:rFonts w:ascii="Calibri" w:hAnsi="Calibri"/>
                <w:sz w:val="18"/>
                <w:szCs w:val="18"/>
                <w:u w:val="none"/>
                <w:lang w:val="fr-FR"/>
              </w:rPr>
            </w:pPr>
            <w:hyperlink r:id="rId78" w:history="1">
              <w:r w:rsidR="00302BFE" w:rsidRPr="002854BE">
                <w:rPr>
                  <w:rStyle w:val="Lienhypertexte"/>
                  <w:rFonts w:ascii="Calibri" w:hAnsi="Calibri"/>
                  <w:sz w:val="18"/>
                  <w:szCs w:val="18"/>
                  <w:lang w:val="fr-FR"/>
                </w:rPr>
                <w:t>zoungramadou@gmail.com</w:t>
              </w:r>
            </w:hyperlink>
            <w:r w:rsidR="00302BFE" w:rsidRPr="002854BE">
              <w:rPr>
                <w:rStyle w:val="Hyperlink0"/>
                <w:rFonts w:ascii="Calibri" w:hAnsi="Calibri"/>
                <w:sz w:val="18"/>
                <w:szCs w:val="18"/>
                <w:u w:val="none"/>
                <w:lang w:val="fr-FR"/>
              </w:rPr>
              <w:t xml:space="preserve"> </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9C852BF"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51B0D20" w14:textId="77777777" w:rsidR="00302BFE" w:rsidRPr="0075595E" w:rsidRDefault="00302BFE" w:rsidP="00243B15">
            <w:pPr>
              <w:pStyle w:val="TableStyle2A"/>
              <w:jc w:val="center"/>
              <w:rPr>
                <w:rStyle w:val="Hyperlink0"/>
                <w:rFonts w:ascii="Calibri" w:hAnsi="Calibri"/>
                <w:sz w:val="18"/>
                <w:szCs w:val="18"/>
                <w:u w:val="none"/>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9D3771D"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8D825B"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FCEA955"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18923BCD"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7FB1753" w14:textId="77777777" w:rsidR="00302BFE" w:rsidRPr="0075595E" w:rsidRDefault="00302BFE" w:rsidP="00243B15">
            <w:pPr>
              <w:pStyle w:val="TableStyle2A"/>
              <w:rPr>
                <w:rFonts w:ascii="Calibri" w:hAnsi="Calibri"/>
                <w:sz w:val="18"/>
                <w:szCs w:val="18"/>
              </w:rPr>
            </w:pPr>
            <w:r w:rsidRPr="0075595E">
              <w:rPr>
                <w:rFonts w:ascii="Calibri" w:hAnsi="Calibri"/>
                <w:sz w:val="18"/>
                <w:szCs w:val="18"/>
                <w:lang w:val="fr-FR"/>
              </w:rPr>
              <w:t>OUEDRAOGO Zoenabo</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36BAA943"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ZAT/Pô</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1FC4E93"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75F3212"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68760100</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A10C01E" w14:textId="77777777" w:rsidR="00302BFE" w:rsidRPr="002854BE" w:rsidRDefault="0053008A" w:rsidP="00243B15">
            <w:pPr>
              <w:pStyle w:val="TableStyle2A"/>
              <w:rPr>
                <w:rStyle w:val="Hyperlink0"/>
                <w:rFonts w:ascii="Calibri" w:hAnsi="Calibri"/>
                <w:sz w:val="18"/>
                <w:szCs w:val="18"/>
                <w:u w:val="none"/>
                <w:lang w:val="fr-FR"/>
              </w:rPr>
            </w:pPr>
            <w:hyperlink r:id="rId79" w:history="1">
              <w:r w:rsidR="00302BFE" w:rsidRPr="002854BE">
                <w:rPr>
                  <w:rStyle w:val="Lienhypertexte"/>
                  <w:rFonts w:ascii="Calibri" w:hAnsi="Calibri"/>
                  <w:sz w:val="18"/>
                  <w:szCs w:val="18"/>
                  <w:lang w:val="fr-FR"/>
                </w:rPr>
                <w:t>Ouedraogozoena03@gmail.com</w:t>
              </w:r>
            </w:hyperlink>
            <w:r w:rsidR="00302BFE" w:rsidRPr="002854BE">
              <w:rPr>
                <w:rStyle w:val="Hyperlink0"/>
                <w:rFonts w:ascii="Calibri" w:hAnsi="Calibri"/>
                <w:sz w:val="18"/>
                <w:szCs w:val="18"/>
                <w:u w:val="none"/>
                <w:lang w:val="fr-FR"/>
              </w:rPr>
              <w:t xml:space="preserve"> </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FA72819"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ABA21D2" w14:textId="77777777" w:rsidR="00302BFE" w:rsidRPr="0075595E" w:rsidRDefault="00302BFE" w:rsidP="00243B15">
            <w:pPr>
              <w:pStyle w:val="TableStyle2A"/>
              <w:jc w:val="center"/>
              <w:rPr>
                <w:rStyle w:val="Hyperlink0"/>
                <w:rFonts w:ascii="Calibri" w:hAnsi="Calibri"/>
                <w:sz w:val="18"/>
                <w:szCs w:val="18"/>
                <w:u w:val="none"/>
                <w:lang w:val="fr-FR"/>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1B04DDB"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3A798DC"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FA002A4"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32550126" w14:textId="77777777" w:rsidTr="00243B15">
        <w:trPr>
          <w:jc w:val="center"/>
        </w:trPr>
        <w:tc>
          <w:tcPr>
            <w:tcW w:w="13744" w:type="dxa"/>
            <w:gridSpan w:val="10"/>
            <w:tcBorders>
              <w:top w:val="single" w:sz="2" w:space="0" w:color="000000"/>
              <w:left w:val="single" w:sz="2" w:space="0" w:color="000000"/>
              <w:bottom w:val="single" w:sz="2" w:space="0" w:color="000000"/>
              <w:right w:val="single" w:sz="2" w:space="0" w:color="000000"/>
            </w:tcBorders>
            <w:shd w:val="clear" w:color="auto" w:fill="FFF2CC"/>
            <w:tcMar>
              <w:top w:w="80" w:type="dxa"/>
              <w:left w:w="80" w:type="dxa"/>
              <w:bottom w:w="80" w:type="dxa"/>
              <w:right w:w="80" w:type="dxa"/>
            </w:tcMar>
            <w:hideMark/>
          </w:tcPr>
          <w:p w14:paraId="3D0CE25E" w14:textId="77777777" w:rsidR="00302BFE" w:rsidRPr="002854BE" w:rsidRDefault="00302BFE" w:rsidP="00243B15">
            <w:pPr>
              <w:pStyle w:val="TableStyle2A"/>
              <w:rPr>
                <w:rStyle w:val="Hyperlink0"/>
                <w:rFonts w:ascii="Calibri" w:hAnsi="Calibri"/>
                <w:sz w:val="18"/>
                <w:szCs w:val="18"/>
                <w:u w:val="none"/>
              </w:rPr>
            </w:pPr>
            <w:r w:rsidRPr="002854BE">
              <w:rPr>
                <w:rFonts w:ascii="Calibri" w:hAnsi="Calibri"/>
                <w:b/>
                <w:sz w:val="18"/>
                <w:szCs w:val="18"/>
              </w:rPr>
              <w:t>Commune of SAPOUY, 09/28/2018</w:t>
            </w:r>
          </w:p>
        </w:tc>
      </w:tr>
      <w:tr w:rsidR="00302BFE" w:rsidRPr="0075595E" w14:paraId="3DC4F013"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219CFD9"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NAMA Sidiki</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33475E6C"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1</w:t>
            </w:r>
            <w:r w:rsidRPr="0075595E">
              <w:rPr>
                <w:rStyle w:val="NoneA"/>
                <w:rFonts w:ascii="Calibri" w:hAnsi="Calibri"/>
                <w:sz w:val="18"/>
                <w:szCs w:val="18"/>
                <w:vertAlign w:val="superscript"/>
                <w:lang w:val="fr-FR"/>
              </w:rPr>
              <w:t>er</w:t>
            </w:r>
            <w:r w:rsidRPr="0075595E">
              <w:rPr>
                <w:rStyle w:val="NoneA"/>
                <w:rFonts w:ascii="Calibri" w:hAnsi="Calibri"/>
                <w:sz w:val="18"/>
                <w:szCs w:val="18"/>
                <w:lang w:val="fr-FR"/>
              </w:rPr>
              <w:t xml:space="preserve"> adjoint au Maire</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3FE1D9E"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6C312B6" w14:textId="77777777" w:rsidR="00302BFE" w:rsidRPr="0075595E" w:rsidRDefault="00302BFE" w:rsidP="00243B15">
            <w:pPr>
              <w:pStyle w:val="TableStyle2A"/>
              <w:rPr>
                <w:rFonts w:ascii="Calibri" w:hAnsi="Calibri"/>
                <w:sz w:val="18"/>
                <w:szCs w:val="18"/>
              </w:rPr>
            </w:pPr>
            <w:r w:rsidRPr="0075595E">
              <w:rPr>
                <w:rStyle w:val="NoneA"/>
                <w:rFonts w:ascii="Calibri" w:hAnsi="Calibri"/>
                <w:sz w:val="18"/>
                <w:szCs w:val="18"/>
              </w:rPr>
              <w:t>70344330</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4B1A191" w14:textId="77777777" w:rsidR="00302BFE" w:rsidRPr="002854BE" w:rsidRDefault="0053008A" w:rsidP="00243B15">
            <w:pPr>
              <w:pStyle w:val="TableStyle2A"/>
              <w:rPr>
                <w:rFonts w:ascii="Calibri" w:hAnsi="Calibri"/>
                <w:sz w:val="18"/>
                <w:szCs w:val="18"/>
              </w:rPr>
            </w:pPr>
            <w:hyperlink r:id="rId80" w:history="1">
              <w:r w:rsidR="00302BFE" w:rsidRPr="002854BE">
                <w:rPr>
                  <w:rStyle w:val="Lienhypertexte"/>
                  <w:rFonts w:ascii="Calibri" w:hAnsi="Calibri"/>
                  <w:sz w:val="18"/>
                  <w:szCs w:val="18"/>
                  <w:lang w:val="fr-FR"/>
                </w:rPr>
                <w:t>sidikinama@yahoo.fr</w:t>
              </w:r>
            </w:hyperlink>
            <w:r w:rsidR="00302BFE" w:rsidRPr="002854BE">
              <w:rPr>
                <w:rStyle w:val="Hyperlink0"/>
                <w:rFonts w:ascii="Calibri" w:hAnsi="Calibri"/>
                <w:sz w:val="18"/>
                <w:szCs w:val="18"/>
                <w:u w:val="none"/>
                <w:lang w:val="fr-FR"/>
              </w:rPr>
              <w:t xml:space="preserve"> </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D8FFC28"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17C98B7C" w14:textId="77777777" w:rsidR="00302BFE" w:rsidRPr="0075595E" w:rsidRDefault="00302BFE" w:rsidP="00243B15">
            <w:pPr>
              <w:spacing w:after="0"/>
              <w:jc w:val="center"/>
              <w:rPr>
                <w:sz w:val="18"/>
                <w:szCs w:val="18"/>
              </w:rPr>
            </w:pPr>
            <w:r w:rsidRPr="0075595E">
              <w:rPr>
                <w:rStyle w:val="Hyperlink0"/>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9F8DEC1"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B864943"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9B55D30"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0594F18A"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73AE9A2"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TIENDREBEOGO Amedée</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3A21D8CC"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Chef ZATE/Sapouy</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F86E7FF"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57EEBF7"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70827425</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12F43C3" w14:textId="77777777" w:rsidR="00302BFE" w:rsidRPr="002854BE" w:rsidRDefault="0053008A" w:rsidP="00243B15">
            <w:pPr>
              <w:pStyle w:val="TableStyle2A"/>
              <w:rPr>
                <w:rStyle w:val="Hyperlink0"/>
                <w:rFonts w:ascii="Calibri" w:hAnsi="Calibri"/>
                <w:sz w:val="18"/>
                <w:szCs w:val="18"/>
                <w:u w:val="none"/>
                <w:lang w:val="fr-FR"/>
              </w:rPr>
            </w:pPr>
            <w:hyperlink r:id="rId81" w:history="1">
              <w:r w:rsidR="00302BFE" w:rsidRPr="002854BE">
                <w:rPr>
                  <w:rStyle w:val="Lienhypertexte"/>
                  <w:rFonts w:ascii="Calibri" w:hAnsi="Calibri"/>
                  <w:sz w:val="18"/>
                  <w:szCs w:val="18"/>
                  <w:lang w:val="fr-FR"/>
                </w:rPr>
                <w:t>Tamedee13@gmail.com</w:t>
              </w:r>
            </w:hyperlink>
            <w:r w:rsidR="00302BFE" w:rsidRPr="002854BE">
              <w:rPr>
                <w:rStyle w:val="Hyperlink0"/>
                <w:rFonts w:ascii="Calibri" w:hAnsi="Calibri"/>
                <w:sz w:val="18"/>
                <w:szCs w:val="18"/>
                <w:u w:val="none"/>
                <w:lang w:val="fr-FR"/>
              </w:rPr>
              <w:t xml:space="preserve"> </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D47724B"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68F89B02" w14:textId="77777777" w:rsidR="00302BFE" w:rsidRPr="0075595E" w:rsidRDefault="00302BFE" w:rsidP="00243B15">
            <w:pPr>
              <w:spacing w:after="0"/>
              <w:jc w:val="center"/>
              <w:rPr>
                <w:sz w:val="18"/>
                <w:szCs w:val="18"/>
              </w:rPr>
            </w:pPr>
            <w:r w:rsidRPr="0075595E">
              <w:rPr>
                <w:rStyle w:val="Hyperlink0"/>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45F8DFF"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D72331" w14:textId="77777777" w:rsidR="00302BFE" w:rsidRPr="0075595E" w:rsidRDefault="00302BFE" w:rsidP="00243B15">
            <w:pPr>
              <w:pStyle w:val="TableStyle2A"/>
              <w:jc w:val="center"/>
              <w:rPr>
                <w:rStyle w:val="Hyperlink0"/>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86DC114" w14:textId="77777777" w:rsidR="00302BFE" w:rsidRPr="0075595E" w:rsidRDefault="00302BFE" w:rsidP="00243B15">
            <w:pPr>
              <w:pStyle w:val="TableStyle2A"/>
              <w:jc w:val="center"/>
              <w:rPr>
                <w:rStyle w:val="Hyperlink0"/>
                <w:rFonts w:ascii="Calibri" w:hAnsi="Calibri"/>
                <w:sz w:val="18"/>
                <w:szCs w:val="18"/>
              </w:rPr>
            </w:pPr>
          </w:p>
        </w:tc>
      </w:tr>
      <w:tr w:rsidR="00302BFE" w:rsidRPr="0075595E" w14:paraId="3A8F5ED5"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E02EED5"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YAMEOGO D. Wilfried</w:t>
            </w:r>
          </w:p>
        </w:tc>
        <w:tc>
          <w:tcPr>
            <w:tcW w:w="2653" w:type="dxa"/>
            <w:tcBorders>
              <w:top w:val="single" w:sz="2" w:space="0" w:color="000000"/>
              <w:left w:val="single" w:sz="2" w:space="0" w:color="000000"/>
              <w:bottom w:val="single" w:sz="2" w:space="0" w:color="000000"/>
              <w:right w:val="single" w:sz="2" w:space="0" w:color="000000"/>
            </w:tcBorders>
            <w:shd w:val="clear" w:color="auto" w:fill="auto"/>
            <w:hideMark/>
          </w:tcPr>
          <w:p w14:paraId="119147F5"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Chet UAT/Latian (ZATA Sapouy)</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D824F09" w14:textId="77777777" w:rsidR="00302BFE" w:rsidRPr="0075595E" w:rsidRDefault="00302BFE" w:rsidP="00243B15">
            <w:pPr>
              <w:pStyle w:val="TableStyle2A"/>
              <w:rPr>
                <w:rFonts w:ascii="Calibri" w:hAnsi="Calibri"/>
                <w:sz w:val="18"/>
                <w:szCs w:val="18"/>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B1EB541"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70617189</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41C662A" w14:textId="77777777" w:rsidR="00302BFE" w:rsidRPr="002854BE" w:rsidRDefault="0053008A" w:rsidP="00243B15">
            <w:pPr>
              <w:pStyle w:val="TableStyle2A"/>
              <w:rPr>
                <w:rStyle w:val="Hyperlink0"/>
                <w:rFonts w:ascii="Calibri" w:hAnsi="Calibri"/>
                <w:sz w:val="18"/>
                <w:szCs w:val="18"/>
                <w:u w:val="none"/>
                <w:lang w:val="fr-FR"/>
              </w:rPr>
            </w:pPr>
            <w:hyperlink r:id="rId82" w:history="1">
              <w:r w:rsidR="00302BFE" w:rsidRPr="002854BE">
                <w:rPr>
                  <w:rStyle w:val="Lienhypertexte"/>
                  <w:rFonts w:ascii="Calibri" w:hAnsi="Calibri"/>
                  <w:sz w:val="18"/>
                  <w:szCs w:val="18"/>
                  <w:lang w:val="fr-FR"/>
                </w:rPr>
                <w:t>Willyamday12@gmail.com</w:t>
              </w:r>
            </w:hyperlink>
            <w:r w:rsidR="00302BFE" w:rsidRPr="002854BE">
              <w:rPr>
                <w:rStyle w:val="Hyperlink0"/>
                <w:rFonts w:ascii="Calibri" w:hAnsi="Calibri"/>
                <w:sz w:val="18"/>
                <w:szCs w:val="18"/>
                <w:u w:val="none"/>
                <w:lang w:val="fr-FR"/>
              </w:rPr>
              <w:t xml:space="preserve"> </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0883426"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544555F1" w14:textId="77777777" w:rsidR="00302BFE" w:rsidRPr="0075595E" w:rsidRDefault="00302BFE" w:rsidP="00243B15">
            <w:pPr>
              <w:spacing w:after="0"/>
              <w:jc w:val="center"/>
              <w:rPr>
                <w:sz w:val="18"/>
                <w:szCs w:val="18"/>
              </w:rPr>
            </w:pPr>
            <w:r w:rsidRPr="0075595E">
              <w:rPr>
                <w:rStyle w:val="Hyperlink0"/>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2FEEAFA"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88925EE"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080DC48"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1E3C92EE"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935F42C" w14:textId="77777777" w:rsidR="00302BFE" w:rsidRPr="0075595E" w:rsidRDefault="00302BFE" w:rsidP="00243B15">
            <w:pPr>
              <w:pStyle w:val="TableStyle2A"/>
              <w:rPr>
                <w:rFonts w:ascii="Calibri" w:hAnsi="Calibri"/>
                <w:sz w:val="18"/>
                <w:szCs w:val="18"/>
              </w:rPr>
            </w:pPr>
            <w:r w:rsidRPr="0075595E">
              <w:rPr>
                <w:rFonts w:ascii="Calibri" w:hAnsi="Calibri"/>
                <w:sz w:val="18"/>
                <w:szCs w:val="18"/>
                <w:lang w:val="fr-FR"/>
              </w:rPr>
              <w:t>WANGARA Aliou</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15E5159A" w14:textId="77777777" w:rsidR="00302BFE" w:rsidRPr="0075595E" w:rsidRDefault="00302BFE" w:rsidP="00243B15">
            <w:pPr>
              <w:pStyle w:val="TableStyle2A"/>
              <w:rPr>
                <w:rStyle w:val="NoneA"/>
                <w:rFonts w:ascii="Calibri" w:hAnsi="Calibri"/>
                <w:sz w:val="18"/>
                <w:szCs w:val="18"/>
                <w:lang w:val="fr-FR"/>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07A71B7" w14:textId="77777777" w:rsidR="00302BFE" w:rsidRPr="0075595E" w:rsidRDefault="00302BFE" w:rsidP="00243B15">
            <w:pPr>
              <w:pStyle w:val="TableStyle2A"/>
              <w:rPr>
                <w:rFonts w:ascii="Calibri" w:hAnsi="Calibri"/>
                <w:sz w:val="16"/>
                <w:szCs w:val="16"/>
              </w:rPr>
            </w:pPr>
            <w:r w:rsidRPr="0075595E">
              <w:rPr>
                <w:rFonts w:ascii="Calibri" w:hAnsi="Calibri"/>
                <w:sz w:val="16"/>
                <w:szCs w:val="16"/>
                <w:lang w:val="fr-FR"/>
              </w:rPr>
              <w:t>S/SDEEVCC (Sapouy)</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46938DF" w14:textId="77777777" w:rsidR="00302BFE" w:rsidRPr="0075595E" w:rsidRDefault="00302BFE" w:rsidP="00243B15">
            <w:pPr>
              <w:pStyle w:val="TableStyle2A"/>
              <w:rPr>
                <w:rStyle w:val="NoneA"/>
                <w:rFonts w:ascii="Calibri" w:hAnsi="Calibri"/>
                <w:sz w:val="18"/>
                <w:szCs w:val="18"/>
                <w:lang w:val="fr-FR"/>
              </w:rPr>
            </w:pPr>
            <w:r w:rsidRPr="0075595E">
              <w:rPr>
                <w:rStyle w:val="NoneA"/>
                <w:rFonts w:ascii="Calibri" w:hAnsi="Calibri"/>
                <w:sz w:val="18"/>
                <w:szCs w:val="18"/>
                <w:lang w:val="fr-FR"/>
              </w:rPr>
              <w:t>70589182</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3B7901E" w14:textId="77777777" w:rsidR="00302BFE" w:rsidRPr="002854BE" w:rsidRDefault="0053008A" w:rsidP="00243B15">
            <w:pPr>
              <w:pStyle w:val="TableStyle2A"/>
              <w:rPr>
                <w:rStyle w:val="Hyperlink0"/>
                <w:rFonts w:ascii="Calibri" w:hAnsi="Calibri"/>
                <w:sz w:val="18"/>
                <w:szCs w:val="18"/>
                <w:u w:val="none"/>
                <w:lang w:val="fr-FR"/>
              </w:rPr>
            </w:pPr>
            <w:hyperlink r:id="rId83" w:history="1">
              <w:r w:rsidR="00302BFE" w:rsidRPr="002854BE">
                <w:rPr>
                  <w:rStyle w:val="Lienhypertexte"/>
                  <w:rFonts w:ascii="Calibri" w:hAnsi="Calibri"/>
                  <w:sz w:val="18"/>
                  <w:szCs w:val="18"/>
                  <w:lang w:val="fr-FR"/>
                </w:rPr>
                <w:t>aliouwangr@gmail.com</w:t>
              </w:r>
            </w:hyperlink>
            <w:r w:rsidR="00302BFE" w:rsidRPr="002854BE">
              <w:rPr>
                <w:rStyle w:val="Hyperlink0"/>
                <w:rFonts w:ascii="Calibri" w:hAnsi="Calibri"/>
                <w:sz w:val="18"/>
                <w:szCs w:val="18"/>
                <w:u w:val="none"/>
                <w:lang w:val="fr-FR"/>
              </w:rPr>
              <w:t xml:space="preserve"> </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4207EDB"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6DAF549F" w14:textId="77777777" w:rsidR="00302BFE" w:rsidRPr="0075595E" w:rsidRDefault="00302BFE" w:rsidP="00243B15">
            <w:pPr>
              <w:spacing w:after="0"/>
              <w:jc w:val="center"/>
              <w:rPr>
                <w:sz w:val="18"/>
                <w:szCs w:val="18"/>
              </w:rPr>
            </w:pPr>
            <w:r w:rsidRPr="0075595E">
              <w:rPr>
                <w:rStyle w:val="Hyperlink0"/>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A4E5962"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AC80E19"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7D1948C"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00653395"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4DD86A9"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ZOUNGRANA Amadou</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1183BED7" w14:textId="77777777" w:rsidR="00302BFE" w:rsidRPr="0075595E" w:rsidRDefault="00302BFE" w:rsidP="00243B15">
            <w:pPr>
              <w:pStyle w:val="TableStyle2A"/>
              <w:rPr>
                <w:rStyle w:val="NoneA"/>
                <w:rFonts w:ascii="Calibri" w:hAnsi="Calibri"/>
                <w:sz w:val="18"/>
                <w:szCs w:val="18"/>
                <w:lang w:val="fr-FR"/>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63CEF7D" w14:textId="77777777" w:rsidR="00302BFE" w:rsidRPr="0075595E" w:rsidRDefault="00302BFE" w:rsidP="00243B15">
            <w:pPr>
              <w:pStyle w:val="TableStyle2A"/>
              <w:rPr>
                <w:rFonts w:ascii="Calibri" w:hAnsi="Calibri"/>
                <w:sz w:val="16"/>
                <w:szCs w:val="16"/>
              </w:rPr>
            </w:pPr>
            <w:r w:rsidRPr="0075595E">
              <w:rPr>
                <w:rFonts w:ascii="Calibri" w:hAnsi="Calibri"/>
                <w:sz w:val="16"/>
                <w:szCs w:val="16"/>
                <w:lang w:val="fr-FR"/>
              </w:rPr>
              <w:t>SP/CNDD/MEEVCC</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ABC366B" w14:textId="77777777" w:rsidR="00302BFE" w:rsidRPr="0075595E" w:rsidRDefault="00302BFE" w:rsidP="00243B15">
            <w:pPr>
              <w:pStyle w:val="TableStyle2A"/>
              <w:rPr>
                <w:rStyle w:val="NoneA"/>
                <w:rFonts w:ascii="Calibri" w:hAnsi="Calibri"/>
                <w:sz w:val="18"/>
                <w:szCs w:val="18"/>
              </w:rPr>
            </w:pPr>
            <w:r w:rsidRPr="0075595E">
              <w:rPr>
                <w:rStyle w:val="NoneA"/>
                <w:rFonts w:ascii="Calibri" w:hAnsi="Calibri"/>
                <w:sz w:val="18"/>
                <w:szCs w:val="18"/>
              </w:rPr>
              <w:t>70715967</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180A6EC" w14:textId="77777777" w:rsidR="00302BFE" w:rsidRPr="002854BE" w:rsidRDefault="0053008A" w:rsidP="00243B15">
            <w:pPr>
              <w:pStyle w:val="TableStyle2A"/>
              <w:rPr>
                <w:rStyle w:val="Hyperlink0"/>
                <w:rFonts w:ascii="Calibri" w:hAnsi="Calibri"/>
                <w:sz w:val="18"/>
                <w:szCs w:val="18"/>
                <w:u w:val="none"/>
                <w:lang w:val="fr-FR"/>
              </w:rPr>
            </w:pPr>
            <w:hyperlink r:id="rId84" w:history="1">
              <w:r w:rsidR="00302BFE" w:rsidRPr="002854BE">
                <w:rPr>
                  <w:rStyle w:val="Lienhypertexte"/>
                  <w:rFonts w:ascii="Calibri" w:hAnsi="Calibri"/>
                  <w:sz w:val="18"/>
                  <w:szCs w:val="18"/>
                  <w:lang w:val="fr-FR"/>
                </w:rPr>
                <w:t>zoungramadou@gmail.com</w:t>
              </w:r>
            </w:hyperlink>
            <w:r w:rsidR="00302BFE" w:rsidRPr="002854BE">
              <w:rPr>
                <w:rStyle w:val="Hyperlink0"/>
                <w:rFonts w:ascii="Calibri" w:hAnsi="Calibri"/>
                <w:sz w:val="18"/>
                <w:szCs w:val="18"/>
                <w:u w:val="none"/>
                <w:lang w:val="fr-FR"/>
              </w:rPr>
              <w:t xml:space="preserve"> </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F9095D5"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78D0EE02" w14:textId="77777777" w:rsidR="00302BFE" w:rsidRPr="0075595E" w:rsidRDefault="00302BFE" w:rsidP="00243B15">
            <w:pPr>
              <w:spacing w:after="0"/>
              <w:jc w:val="center"/>
              <w:rPr>
                <w:sz w:val="18"/>
                <w:szCs w:val="18"/>
              </w:rPr>
            </w:pPr>
            <w:r w:rsidRPr="0075595E">
              <w:rPr>
                <w:rStyle w:val="Hyperlink0"/>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247B692"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433ABA0" w14:textId="77777777" w:rsidR="00302BFE" w:rsidRPr="0075595E" w:rsidRDefault="00302BFE" w:rsidP="00243B15">
            <w:pPr>
              <w:pStyle w:val="TableStyle2A"/>
              <w:jc w:val="center"/>
              <w:rPr>
                <w:rStyle w:val="Hyperlink0"/>
                <w:rFonts w:ascii="Calibri" w:hAnsi="Calibri"/>
                <w:sz w:val="18"/>
                <w:szCs w:val="18"/>
                <w:lang w:val="fr-FR"/>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D4BCF87"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2854BE" w14:paraId="3A7FBEF4" w14:textId="77777777" w:rsidTr="00243B15">
        <w:trPr>
          <w:jc w:val="center"/>
        </w:trPr>
        <w:tc>
          <w:tcPr>
            <w:tcW w:w="13744" w:type="dxa"/>
            <w:gridSpan w:val="10"/>
            <w:tcBorders>
              <w:top w:val="single" w:sz="2" w:space="0" w:color="000000"/>
              <w:left w:val="single" w:sz="2" w:space="0" w:color="000000"/>
              <w:bottom w:val="single" w:sz="2" w:space="0" w:color="000000"/>
              <w:right w:val="single" w:sz="2" w:space="0" w:color="000000"/>
            </w:tcBorders>
            <w:shd w:val="clear" w:color="auto" w:fill="FFF2CC"/>
            <w:tcMar>
              <w:top w:w="80" w:type="dxa"/>
              <w:left w:w="80" w:type="dxa"/>
              <w:bottom w:w="80" w:type="dxa"/>
              <w:right w:w="80" w:type="dxa"/>
            </w:tcMar>
            <w:hideMark/>
          </w:tcPr>
          <w:p w14:paraId="45787DD2" w14:textId="77777777" w:rsidR="00302BFE" w:rsidRPr="002854BE" w:rsidRDefault="00302BFE" w:rsidP="00243B15">
            <w:pPr>
              <w:pStyle w:val="TableStyle2A"/>
              <w:rPr>
                <w:rStyle w:val="Hyperlink0"/>
                <w:rFonts w:ascii="Calibri" w:hAnsi="Calibri"/>
                <w:sz w:val="18"/>
                <w:szCs w:val="18"/>
                <w:u w:val="none"/>
                <w:lang w:val="en-CA"/>
              </w:rPr>
            </w:pPr>
            <w:r w:rsidRPr="002854BE">
              <w:rPr>
                <w:rFonts w:ascii="Calibri" w:hAnsi="Calibri"/>
                <w:b/>
                <w:sz w:val="18"/>
                <w:szCs w:val="18"/>
                <w:lang w:val="en-CA"/>
              </w:rPr>
              <w:t xml:space="preserve">Workshop launching the project document development process </w:t>
            </w:r>
            <w:r w:rsidR="00714F9A">
              <w:rPr>
                <w:rFonts w:ascii="Calibri" w:hAnsi="Calibri"/>
                <w:b/>
                <w:sz w:val="18"/>
                <w:szCs w:val="18"/>
                <w:lang w:val="en-CA"/>
              </w:rPr>
              <w:t xml:space="preserve">(July </w:t>
            </w:r>
            <w:r w:rsidR="009B7849" w:rsidRPr="002854BE">
              <w:rPr>
                <w:rFonts w:ascii="Calibri" w:hAnsi="Calibri"/>
                <w:b/>
                <w:sz w:val="18"/>
                <w:szCs w:val="18"/>
                <w:lang w:val="en-CA"/>
              </w:rPr>
              <w:t>26,</w:t>
            </w:r>
            <w:r w:rsidR="00714F9A">
              <w:rPr>
                <w:rFonts w:ascii="Calibri" w:hAnsi="Calibri"/>
                <w:b/>
                <w:sz w:val="18"/>
                <w:szCs w:val="18"/>
                <w:lang w:val="en-CA"/>
              </w:rPr>
              <w:t xml:space="preserve"> </w:t>
            </w:r>
            <w:r w:rsidRPr="002854BE">
              <w:rPr>
                <w:rFonts w:ascii="Calibri" w:hAnsi="Calibri"/>
                <w:b/>
                <w:sz w:val="18"/>
                <w:szCs w:val="18"/>
                <w:lang w:val="en-CA"/>
              </w:rPr>
              <w:t>2018</w:t>
            </w:r>
            <w:r w:rsidR="00714F9A">
              <w:rPr>
                <w:rFonts w:ascii="Calibri" w:hAnsi="Calibri"/>
                <w:b/>
                <w:sz w:val="18"/>
                <w:szCs w:val="18"/>
                <w:lang w:val="en-CA"/>
              </w:rPr>
              <w:t>)</w:t>
            </w:r>
          </w:p>
        </w:tc>
      </w:tr>
      <w:tr w:rsidR="00302BFE" w:rsidRPr="0075595E" w14:paraId="518A617D"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1CD5A73" w14:textId="77777777" w:rsidR="00302BFE" w:rsidRPr="0075595E" w:rsidRDefault="00302BFE" w:rsidP="00243B15">
            <w:pPr>
              <w:pStyle w:val="TableStyle2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18"/>
                <w:szCs w:val="18"/>
              </w:rPr>
            </w:pPr>
            <w:r w:rsidRPr="0075595E">
              <w:rPr>
                <w:rFonts w:ascii="Calibri" w:hAnsi="Calibri"/>
                <w:sz w:val="18"/>
                <w:szCs w:val="18"/>
              </w:rPr>
              <w:t>Tiendrébeogo Mahamoudou</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4E13D660" w14:textId="77777777" w:rsidR="00302BFE" w:rsidRPr="0075595E" w:rsidRDefault="00302BFE" w:rsidP="00243B15">
            <w:pPr>
              <w:spacing w:after="0"/>
              <w:rPr>
                <w:rFonts w:eastAsia="Arial Unicode MS" w:cs="Arial Unicode MS"/>
                <w:color w:val="314924"/>
                <w:sz w:val="18"/>
                <w:szCs w:val="18"/>
                <w:u w:color="314924"/>
                <w:bdr w:val="nil"/>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A141097"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DCCI/SPCNDD</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ECD6A64"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71063445</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97749A1" w14:textId="77777777" w:rsidR="00302BFE" w:rsidRPr="002854BE" w:rsidRDefault="00302BFE" w:rsidP="00243B15">
            <w:pPr>
              <w:pStyle w:val="TableStyle2A"/>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509463" w14:textId="77777777" w:rsidR="00302BFE" w:rsidRPr="0075595E" w:rsidRDefault="00302BFE" w:rsidP="00243B15">
            <w:pPr>
              <w:pStyle w:val="TableStyle2A"/>
              <w:jc w:val="center"/>
              <w:rPr>
                <w:rFonts w:ascii="Calibri" w:hAnsi="Calibri"/>
                <w:sz w:val="18"/>
                <w:szCs w:val="18"/>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2E5946D9" w14:textId="77777777" w:rsidR="00302BFE" w:rsidRPr="0075595E" w:rsidRDefault="00302BFE" w:rsidP="00243B15">
            <w:pPr>
              <w:spacing w:after="0"/>
              <w:jc w:val="center"/>
              <w:rPr>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1FFC51B"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C396F9B"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27B5C23"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6255134A" w14:textId="77777777" w:rsidTr="00243B15">
        <w:trPr>
          <w:trHeight w:val="298"/>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4CAC9C9"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Bouda Y Valentin</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32ABF88A" w14:textId="77777777" w:rsidR="00302BFE" w:rsidRPr="0075595E" w:rsidRDefault="00302BFE" w:rsidP="00243B15">
            <w:pPr>
              <w:spacing w:after="0"/>
              <w:rPr>
                <w:rFonts w:eastAsia="Arial Unicode MS" w:cs="Arial Unicode MS"/>
                <w:color w:val="314924"/>
                <w:sz w:val="18"/>
                <w:szCs w:val="18"/>
                <w:u w:color="314924"/>
                <w:bdr w:val="nil"/>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A6A9BC8"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DGESS/MINEFID</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6E6EC5F"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70014264</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406D280" w14:textId="77777777" w:rsidR="00302BFE" w:rsidRPr="002854BE" w:rsidRDefault="00302BFE" w:rsidP="00243B15">
            <w:pPr>
              <w:pStyle w:val="TableStyle2A"/>
              <w:rPr>
                <w:rFonts w:ascii="Calibri" w:hAnsi="Calibri"/>
                <w:sz w:val="18"/>
                <w:szCs w:val="18"/>
              </w:rPr>
            </w:pPr>
            <w:r w:rsidRPr="002854BE">
              <w:rPr>
                <w:rFonts w:ascii="Calibri" w:hAnsi="Calibri"/>
                <w:sz w:val="18"/>
                <w:szCs w:val="18"/>
              </w:rPr>
              <w:t>valentinbouda@gmail.com</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4C6581C" w14:textId="77777777" w:rsidR="00302BFE" w:rsidRPr="0075595E" w:rsidRDefault="00302BFE" w:rsidP="00243B15">
            <w:pPr>
              <w:pStyle w:val="TableStyle2A"/>
              <w:jc w:val="center"/>
              <w:rPr>
                <w:rFonts w:ascii="Calibri" w:hAnsi="Calibri"/>
                <w:sz w:val="18"/>
                <w:szCs w:val="18"/>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682EFB51" w14:textId="77777777" w:rsidR="00302BFE" w:rsidRPr="0075595E" w:rsidRDefault="00302BFE" w:rsidP="00243B15">
            <w:pPr>
              <w:spacing w:after="0"/>
              <w:jc w:val="center"/>
              <w:rPr>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D6C47C3"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E09EEE9"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E1F5037"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3AA5E7E1"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4D1D865"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Sana Youssouf</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316784B7" w14:textId="77777777" w:rsidR="00302BFE" w:rsidRPr="0075595E" w:rsidRDefault="00302BFE" w:rsidP="00243B15">
            <w:pPr>
              <w:spacing w:after="0"/>
              <w:rPr>
                <w:rFonts w:eastAsia="Arial Unicode MS" w:cs="Arial Unicode MS"/>
                <w:color w:val="314924"/>
                <w:sz w:val="18"/>
                <w:szCs w:val="18"/>
                <w:u w:color="314924"/>
                <w:bdr w:val="nil"/>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B5B3B37"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DGPE</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5FBABE9"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70748137</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2FED818" w14:textId="77777777" w:rsidR="00302BFE" w:rsidRPr="002854BE" w:rsidRDefault="00302BFE" w:rsidP="00243B15">
            <w:pPr>
              <w:pStyle w:val="TableStyle2A"/>
              <w:rPr>
                <w:rFonts w:ascii="Calibri" w:hAnsi="Calibri"/>
                <w:sz w:val="18"/>
                <w:szCs w:val="18"/>
              </w:rPr>
            </w:pPr>
            <w:r w:rsidRPr="002854BE">
              <w:rPr>
                <w:rFonts w:ascii="Calibri" w:hAnsi="Calibri"/>
                <w:sz w:val="18"/>
                <w:szCs w:val="18"/>
              </w:rPr>
              <w:t>sanayoussouf@yahoo.fr</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5B4F160" w14:textId="77777777" w:rsidR="00302BFE" w:rsidRPr="0075595E" w:rsidRDefault="00302BFE" w:rsidP="00243B15">
            <w:pPr>
              <w:pStyle w:val="TableStyle2A"/>
              <w:jc w:val="center"/>
              <w:rPr>
                <w:rFonts w:ascii="Calibri" w:hAnsi="Calibri"/>
                <w:sz w:val="18"/>
                <w:szCs w:val="18"/>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499CD5DA" w14:textId="77777777" w:rsidR="00302BFE" w:rsidRPr="0075595E" w:rsidRDefault="00302BFE" w:rsidP="00243B15">
            <w:pPr>
              <w:spacing w:after="0"/>
              <w:jc w:val="center"/>
              <w:rPr>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C4EE34"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DF30AD8"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FF3E506"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38413786"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9BD6E45" w14:textId="77777777" w:rsidR="00302BFE" w:rsidRPr="0075595E" w:rsidRDefault="00302BFE" w:rsidP="00243B15">
            <w:pPr>
              <w:spacing w:after="0"/>
              <w:ind w:left="599" w:hanging="599"/>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Sia Koudaga</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433C0424" w14:textId="77777777" w:rsidR="00302BFE" w:rsidRPr="0075595E" w:rsidRDefault="00302BFE" w:rsidP="00243B15">
            <w:pPr>
              <w:spacing w:after="0"/>
              <w:rPr>
                <w:rFonts w:eastAsia="Arial Unicode MS" w:cs="Arial Unicode MS"/>
                <w:color w:val="314924"/>
                <w:sz w:val="18"/>
                <w:szCs w:val="18"/>
                <w:u w:color="314924"/>
                <w:bdr w:val="nil"/>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0779FF5"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BUNEE</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84073C3"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70743993</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BA5E020" w14:textId="77777777" w:rsidR="00302BFE" w:rsidRPr="002854BE" w:rsidRDefault="00302BFE" w:rsidP="00243B15">
            <w:pPr>
              <w:pStyle w:val="TableStyle2A"/>
              <w:rPr>
                <w:rFonts w:ascii="Calibri" w:hAnsi="Calibri"/>
                <w:sz w:val="18"/>
                <w:szCs w:val="18"/>
              </w:rPr>
            </w:pPr>
            <w:r w:rsidRPr="002854BE">
              <w:rPr>
                <w:rFonts w:ascii="Calibri" w:hAnsi="Calibri"/>
                <w:sz w:val="18"/>
                <w:szCs w:val="18"/>
              </w:rPr>
              <w:t>siakoudaga@yahoo.fr</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593EEC3" w14:textId="77777777" w:rsidR="00302BFE" w:rsidRPr="0075595E" w:rsidRDefault="00302BFE" w:rsidP="00243B15">
            <w:pPr>
              <w:pStyle w:val="TableStyle2A"/>
              <w:jc w:val="center"/>
              <w:rPr>
                <w:rFonts w:ascii="Calibri" w:hAnsi="Calibri"/>
                <w:sz w:val="18"/>
                <w:szCs w:val="18"/>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573B7F16" w14:textId="77777777" w:rsidR="00302BFE" w:rsidRPr="0075595E" w:rsidRDefault="00302BFE" w:rsidP="00243B15">
            <w:pPr>
              <w:spacing w:after="0"/>
              <w:jc w:val="center"/>
              <w:rPr>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875D70"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418617D"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660BD0C"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379C0447"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8FBD211"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lastRenderedPageBreak/>
              <w:t>Yaméogo Dieudonné</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2FB6AD78" w14:textId="77777777" w:rsidR="00302BFE" w:rsidRPr="0075595E" w:rsidRDefault="00302BFE" w:rsidP="00243B15">
            <w:pPr>
              <w:spacing w:after="0"/>
              <w:rPr>
                <w:rFonts w:eastAsia="Arial Unicode MS" w:cs="Arial Unicode MS"/>
                <w:color w:val="314924"/>
                <w:sz w:val="18"/>
                <w:szCs w:val="18"/>
                <w:u w:color="314924"/>
                <w:bdr w:val="nil"/>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E299F87" w14:textId="77777777" w:rsidR="00302BFE" w:rsidRPr="0075595E" w:rsidRDefault="00302BFE" w:rsidP="00243B15">
            <w:pPr>
              <w:spacing w:after="0"/>
              <w:rPr>
                <w:rFonts w:eastAsia="Arial Unicode MS" w:cs="Arial Unicode MS"/>
                <w:color w:val="314924"/>
                <w:sz w:val="18"/>
                <w:szCs w:val="18"/>
                <w:u w:color="314924"/>
                <w:bdr w:val="nil"/>
                <w:lang w:val="fr-CA"/>
              </w:rPr>
            </w:pPr>
            <w:r w:rsidRPr="0075595E">
              <w:rPr>
                <w:rFonts w:eastAsia="Arial Unicode MS" w:cs="Arial Unicode MS"/>
                <w:color w:val="314924"/>
                <w:sz w:val="18"/>
                <w:szCs w:val="18"/>
                <w:u w:color="314924"/>
                <w:bdr w:val="nil"/>
                <w:lang w:val="fr-CA"/>
              </w:rPr>
              <w:t>Uinté de Gestion du Nazinga</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DD9A3BB"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70-75-23-39</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16B24C9" w14:textId="77777777" w:rsidR="00302BFE" w:rsidRPr="002854BE" w:rsidRDefault="00302BFE" w:rsidP="00243B15">
            <w:pPr>
              <w:pStyle w:val="TableStyle2A"/>
              <w:rPr>
                <w:rFonts w:ascii="Calibri" w:hAnsi="Calibri"/>
                <w:sz w:val="18"/>
                <w:szCs w:val="18"/>
              </w:rPr>
            </w:pPr>
            <w:r w:rsidRPr="002854BE">
              <w:rPr>
                <w:rFonts w:ascii="Calibri" w:hAnsi="Calibri"/>
                <w:sz w:val="18"/>
                <w:szCs w:val="18"/>
              </w:rPr>
              <w:t>Yam_dieu@yahoo.fr</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66F0392" w14:textId="77777777" w:rsidR="00302BFE" w:rsidRPr="0075595E" w:rsidRDefault="00302BFE" w:rsidP="00243B15">
            <w:pPr>
              <w:pStyle w:val="TableStyle2A"/>
              <w:jc w:val="center"/>
              <w:rPr>
                <w:rFonts w:ascii="Calibri" w:hAnsi="Calibri"/>
                <w:sz w:val="18"/>
                <w:szCs w:val="18"/>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3BE8B5A1" w14:textId="77777777" w:rsidR="00302BFE" w:rsidRPr="0075595E" w:rsidRDefault="00302BFE" w:rsidP="00243B15">
            <w:pPr>
              <w:spacing w:after="0"/>
              <w:jc w:val="center"/>
              <w:rPr>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98CC72A"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8C182C1"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2C2008E"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6C8EFE8E"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75CF693"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Zingdé Kamou</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446C5CFD" w14:textId="77777777" w:rsidR="00302BFE" w:rsidRPr="0075595E" w:rsidRDefault="00302BFE" w:rsidP="00243B15">
            <w:pPr>
              <w:spacing w:after="0"/>
              <w:rPr>
                <w:rFonts w:eastAsia="Arial Unicode MS" w:cs="Arial Unicode MS"/>
                <w:color w:val="314924"/>
                <w:sz w:val="18"/>
                <w:szCs w:val="18"/>
                <w:u w:color="314924"/>
                <w:bdr w:val="nil"/>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C382BDB"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DGEVCC</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1F73125"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70-12-86-57</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325484F" w14:textId="77777777" w:rsidR="00302BFE" w:rsidRPr="002854BE" w:rsidRDefault="00302BFE" w:rsidP="00243B15">
            <w:pPr>
              <w:pStyle w:val="TableStyle2A"/>
              <w:rPr>
                <w:rFonts w:ascii="Calibri" w:hAnsi="Calibri"/>
                <w:sz w:val="18"/>
                <w:szCs w:val="18"/>
              </w:rPr>
            </w:pPr>
            <w:r w:rsidRPr="002854BE">
              <w:rPr>
                <w:rFonts w:ascii="Calibri" w:hAnsi="Calibri"/>
                <w:sz w:val="18"/>
                <w:szCs w:val="18"/>
              </w:rPr>
              <w:t>zbihime@gmail.com</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853DFCF" w14:textId="77777777" w:rsidR="00302BFE" w:rsidRPr="0075595E" w:rsidRDefault="00302BFE" w:rsidP="00243B15">
            <w:pPr>
              <w:pStyle w:val="TableStyle2A"/>
              <w:jc w:val="center"/>
              <w:rPr>
                <w:rFonts w:ascii="Calibri" w:hAnsi="Calibri"/>
                <w:sz w:val="18"/>
                <w:szCs w:val="18"/>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34BDCB43" w14:textId="77777777" w:rsidR="00302BFE" w:rsidRPr="0075595E" w:rsidRDefault="00302BFE" w:rsidP="00243B15">
            <w:pPr>
              <w:spacing w:after="0"/>
              <w:jc w:val="center"/>
              <w:rPr>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02B929E"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2A4A9F7"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219383C"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78069C92"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4C88698"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Belemsebgo Urbain</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5BE05C8B" w14:textId="77777777" w:rsidR="00302BFE" w:rsidRPr="0075595E" w:rsidRDefault="00302BFE" w:rsidP="00243B15">
            <w:pPr>
              <w:spacing w:after="0"/>
              <w:rPr>
                <w:rFonts w:eastAsia="Arial Unicode MS" w:cs="Arial Unicode MS"/>
                <w:color w:val="314924"/>
                <w:sz w:val="18"/>
                <w:szCs w:val="18"/>
                <w:u w:color="314924"/>
                <w:bdr w:val="nil"/>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94B2CD8"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PAPSA</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40426F8"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70-24-78-04</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E57E365" w14:textId="77777777" w:rsidR="00302BFE" w:rsidRPr="002854BE" w:rsidRDefault="00302BFE" w:rsidP="00243B15">
            <w:pPr>
              <w:pStyle w:val="TableStyle2A"/>
              <w:rPr>
                <w:rFonts w:ascii="Calibri" w:hAnsi="Calibri"/>
                <w:sz w:val="18"/>
                <w:szCs w:val="18"/>
              </w:rPr>
            </w:pPr>
            <w:r w:rsidRPr="002854BE">
              <w:rPr>
                <w:rFonts w:ascii="Calibri" w:hAnsi="Calibri"/>
                <w:sz w:val="18"/>
                <w:szCs w:val="18"/>
              </w:rPr>
              <w:t>ubelemsebgo@hotmail.com</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CBB515D" w14:textId="77777777" w:rsidR="00302BFE" w:rsidRPr="0075595E" w:rsidRDefault="00302BFE" w:rsidP="00243B15">
            <w:pPr>
              <w:pStyle w:val="TableStyle2A"/>
              <w:jc w:val="center"/>
              <w:rPr>
                <w:rFonts w:ascii="Calibri" w:hAnsi="Calibri"/>
                <w:sz w:val="18"/>
                <w:szCs w:val="18"/>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192D350E" w14:textId="77777777" w:rsidR="00302BFE" w:rsidRPr="0075595E" w:rsidRDefault="00302BFE" w:rsidP="00243B15">
            <w:pPr>
              <w:spacing w:after="0"/>
              <w:jc w:val="center"/>
              <w:rPr>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6590C82"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141E0CB"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759B877"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42C7457C"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0B18A18"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Compaoré Louis Dimitri</w:t>
            </w:r>
          </w:p>
        </w:tc>
        <w:tc>
          <w:tcPr>
            <w:tcW w:w="265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60B9AB4" w14:textId="77777777" w:rsidR="00302BFE" w:rsidRPr="0075595E" w:rsidRDefault="00302BFE" w:rsidP="00243B15">
            <w:pPr>
              <w:spacing w:after="0"/>
              <w:rPr>
                <w:rFonts w:eastAsia="Arial Unicode MS" w:cs="Arial Unicode MS"/>
                <w:color w:val="314924"/>
                <w:sz w:val="18"/>
                <w:szCs w:val="18"/>
                <w:u w:color="314924"/>
                <w:bdr w:val="nil"/>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63AB905"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DGPE/MINEFID</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5D8AF30"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71-09-70-50</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4C58B05" w14:textId="77777777" w:rsidR="00302BFE" w:rsidRPr="002854BE" w:rsidRDefault="00302BFE" w:rsidP="00243B15">
            <w:pPr>
              <w:pStyle w:val="TableStyle2A"/>
              <w:rPr>
                <w:rFonts w:ascii="Calibri" w:hAnsi="Calibri"/>
                <w:sz w:val="18"/>
                <w:szCs w:val="18"/>
              </w:rPr>
            </w:pPr>
            <w:r w:rsidRPr="002854BE">
              <w:rPr>
                <w:rFonts w:ascii="Calibri" w:hAnsi="Calibri"/>
                <w:sz w:val="18"/>
                <w:szCs w:val="18"/>
              </w:rPr>
              <w:t>Colodi2002@yahoo.fr</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9731CB4" w14:textId="77777777" w:rsidR="00302BFE" w:rsidRPr="0075595E" w:rsidRDefault="00302BFE" w:rsidP="00243B15">
            <w:pPr>
              <w:pStyle w:val="TableStyle2A"/>
              <w:rPr>
                <w:rFonts w:ascii="Calibri" w:hAnsi="Calibri"/>
                <w:sz w:val="18"/>
                <w:szCs w:val="18"/>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020EFB9" w14:textId="77777777" w:rsidR="00302BFE" w:rsidRPr="0075595E" w:rsidRDefault="00302BFE" w:rsidP="00243B15">
            <w:pPr>
              <w:spacing w:after="0"/>
              <w:rPr>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A9946E0" w14:textId="77777777" w:rsidR="00302BFE" w:rsidRPr="0075595E" w:rsidRDefault="00302BFE" w:rsidP="00243B15">
            <w:pPr>
              <w:pStyle w:val="TableStyle2A"/>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540E1D5" w14:textId="77777777" w:rsidR="00302BFE" w:rsidRPr="0075595E" w:rsidRDefault="00302BFE" w:rsidP="00243B15">
            <w:pPr>
              <w:pStyle w:val="TableStyle2A"/>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52475C7" w14:textId="77777777" w:rsidR="00302BFE" w:rsidRPr="0075595E" w:rsidRDefault="00302BFE" w:rsidP="00243B15">
            <w:pPr>
              <w:pStyle w:val="TableStyle2A"/>
              <w:rPr>
                <w:rStyle w:val="Hyperlink0"/>
                <w:rFonts w:ascii="Calibri" w:hAnsi="Calibri"/>
                <w:sz w:val="18"/>
                <w:szCs w:val="18"/>
                <w:lang w:val="fr-FR"/>
              </w:rPr>
            </w:pPr>
          </w:p>
        </w:tc>
      </w:tr>
      <w:tr w:rsidR="00302BFE" w:rsidRPr="0075595E" w14:paraId="7F7306F8"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1C178FD"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Somé Irifaar</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264B8509" w14:textId="77777777" w:rsidR="00302BFE" w:rsidRPr="0075595E" w:rsidRDefault="00302BFE" w:rsidP="00243B15">
            <w:pPr>
              <w:spacing w:after="0"/>
              <w:rPr>
                <w:rFonts w:eastAsia="Arial Unicode MS" w:cs="Arial Unicode MS"/>
                <w:color w:val="314924"/>
                <w:sz w:val="18"/>
                <w:szCs w:val="18"/>
                <w:u w:color="314924"/>
                <w:bdr w:val="nil"/>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A3B7F50"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PASF/MEEVCC</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7900020"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72-71-42-40</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A6179DC" w14:textId="77777777" w:rsidR="00302BFE" w:rsidRPr="002854BE" w:rsidRDefault="00302BFE" w:rsidP="00243B15">
            <w:pPr>
              <w:pStyle w:val="TableStyle2A"/>
              <w:rPr>
                <w:rFonts w:ascii="Calibri" w:hAnsi="Calibri"/>
                <w:sz w:val="18"/>
                <w:szCs w:val="18"/>
              </w:rPr>
            </w:pPr>
            <w:r w:rsidRPr="002854BE">
              <w:rPr>
                <w:rFonts w:ascii="Calibri" w:hAnsi="Calibri"/>
                <w:sz w:val="18"/>
                <w:szCs w:val="18"/>
              </w:rPr>
              <w:t>Irsom74@yahoo.fr</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88CA32B" w14:textId="77777777" w:rsidR="00302BFE" w:rsidRPr="0075595E" w:rsidRDefault="00302BFE" w:rsidP="00243B15">
            <w:pPr>
              <w:pStyle w:val="TableStyle2A"/>
              <w:jc w:val="center"/>
              <w:rPr>
                <w:rFonts w:ascii="Calibri" w:hAnsi="Calibri"/>
                <w:sz w:val="18"/>
                <w:szCs w:val="18"/>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265C95F2" w14:textId="77777777" w:rsidR="00302BFE" w:rsidRPr="0075595E" w:rsidRDefault="00302BFE" w:rsidP="00243B15">
            <w:pPr>
              <w:spacing w:after="0"/>
              <w:jc w:val="center"/>
              <w:rPr>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8F118EA"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455A518"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4AB6CA0"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20454799"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ADF57EB"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Compaoré Prospert</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653CCE13" w14:textId="77777777" w:rsidR="00302BFE" w:rsidRPr="0075595E" w:rsidRDefault="00302BFE" w:rsidP="00243B15">
            <w:pPr>
              <w:spacing w:after="0"/>
              <w:rPr>
                <w:rFonts w:eastAsia="Arial Unicode MS" w:cs="Arial Unicode MS"/>
                <w:color w:val="314924"/>
                <w:sz w:val="18"/>
                <w:szCs w:val="18"/>
                <w:u w:color="314924"/>
                <w:bdr w:val="nil"/>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8BAAAE8"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OFINAF</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C3B77B9"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70-75-56-50</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06CCE31" w14:textId="77777777" w:rsidR="00302BFE" w:rsidRPr="002854BE" w:rsidRDefault="00302BFE" w:rsidP="00243B15">
            <w:pPr>
              <w:pStyle w:val="TableStyle2A"/>
              <w:rPr>
                <w:rFonts w:ascii="Calibri" w:hAnsi="Calibri"/>
                <w:sz w:val="18"/>
                <w:szCs w:val="18"/>
              </w:rPr>
            </w:pPr>
            <w:r w:rsidRPr="002854BE">
              <w:rPr>
                <w:rFonts w:ascii="Calibri" w:hAnsi="Calibri"/>
                <w:sz w:val="18"/>
                <w:szCs w:val="18"/>
              </w:rPr>
              <w:t>compaoreprospert@yahoo.fr</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92F33C6" w14:textId="77777777" w:rsidR="00302BFE" w:rsidRPr="0075595E" w:rsidRDefault="00302BFE" w:rsidP="00243B15">
            <w:pPr>
              <w:pStyle w:val="TableStyle2A"/>
              <w:jc w:val="center"/>
              <w:rPr>
                <w:rFonts w:ascii="Calibri" w:hAnsi="Calibri"/>
                <w:sz w:val="18"/>
                <w:szCs w:val="18"/>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42E20414" w14:textId="77777777" w:rsidR="00302BFE" w:rsidRPr="0075595E" w:rsidRDefault="00302BFE" w:rsidP="00243B15">
            <w:pPr>
              <w:spacing w:after="0"/>
              <w:jc w:val="center"/>
              <w:rPr>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3C3423D"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4D1093C"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25C0C02"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02719607"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CD88C22" w14:textId="77777777" w:rsidR="00302BFE" w:rsidRPr="0075595E" w:rsidRDefault="00302BFE" w:rsidP="00243B15">
            <w:pPr>
              <w:tabs>
                <w:tab w:val="left" w:pos="734"/>
              </w:tabs>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Maïga Boureima</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3A84ACC6" w14:textId="77777777" w:rsidR="00302BFE" w:rsidRPr="0075595E" w:rsidRDefault="00302BFE" w:rsidP="00243B15">
            <w:pPr>
              <w:spacing w:after="0"/>
              <w:rPr>
                <w:rFonts w:eastAsia="Arial Unicode MS" w:cs="Arial Unicode MS"/>
                <w:color w:val="314924"/>
                <w:sz w:val="18"/>
                <w:szCs w:val="18"/>
                <w:u w:color="314924"/>
                <w:bdr w:val="nil"/>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EE4F928"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DREEVCC-C</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137231D" w14:textId="77777777" w:rsidR="00302BFE" w:rsidRPr="0075595E" w:rsidRDefault="00302BFE" w:rsidP="00243B15">
            <w:pPr>
              <w:spacing w:after="0"/>
              <w:rPr>
                <w:rFonts w:eastAsia="Arial Unicode MS" w:cs="Arial Unicode MS"/>
                <w:color w:val="314924"/>
                <w:sz w:val="18"/>
                <w:szCs w:val="18"/>
                <w:u w:color="314924"/>
                <w:bdr w:val="nil"/>
              </w:rPr>
            </w:pP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B4AD020" w14:textId="77777777" w:rsidR="00302BFE" w:rsidRPr="002854BE" w:rsidRDefault="00302BFE" w:rsidP="00243B15">
            <w:pPr>
              <w:pStyle w:val="TableStyle2A"/>
              <w:rPr>
                <w:rFonts w:ascii="Calibri" w:hAnsi="Calibri"/>
                <w:sz w:val="18"/>
                <w:szCs w:val="18"/>
              </w:rPr>
            </w:pPr>
            <w:r w:rsidRPr="002854BE">
              <w:rPr>
                <w:rFonts w:ascii="Calibri" w:hAnsi="Calibri"/>
                <w:sz w:val="18"/>
                <w:szCs w:val="18"/>
              </w:rPr>
              <w:t>brahimmaïga@gmail.com</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01F2522" w14:textId="77777777" w:rsidR="00302BFE" w:rsidRPr="0075595E" w:rsidRDefault="00302BFE" w:rsidP="00243B15">
            <w:pPr>
              <w:pStyle w:val="TableStyle2A"/>
              <w:jc w:val="center"/>
              <w:rPr>
                <w:rFonts w:ascii="Calibri" w:hAnsi="Calibri"/>
                <w:sz w:val="18"/>
                <w:szCs w:val="18"/>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05E04F90" w14:textId="77777777" w:rsidR="00302BFE" w:rsidRPr="0075595E" w:rsidRDefault="00302BFE" w:rsidP="00243B15">
            <w:pPr>
              <w:spacing w:after="0"/>
              <w:jc w:val="center"/>
              <w:rPr>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959025C"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6BC3BFE"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E565E6E"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4666CFF7"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A954BF4"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Ouédraogo Jean Roger</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2C8FBF70" w14:textId="77777777" w:rsidR="00302BFE" w:rsidRPr="0075595E" w:rsidRDefault="00302BFE" w:rsidP="00243B15">
            <w:pPr>
              <w:spacing w:after="0"/>
              <w:rPr>
                <w:rFonts w:eastAsia="Arial Unicode MS" w:cs="Arial Unicode MS"/>
                <w:color w:val="314924"/>
                <w:sz w:val="18"/>
                <w:szCs w:val="18"/>
                <w:u w:color="314924"/>
                <w:bdr w:val="nil"/>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1AFF678"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OFINAP</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68F17B5"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70-29-00-60</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A8D6AD8" w14:textId="77777777" w:rsidR="00302BFE" w:rsidRPr="002854BE" w:rsidRDefault="00302BFE" w:rsidP="00243B15">
            <w:pPr>
              <w:pStyle w:val="TableStyle2A"/>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E48D67B" w14:textId="77777777" w:rsidR="00302BFE" w:rsidRPr="0075595E" w:rsidRDefault="00302BFE" w:rsidP="00243B15">
            <w:pPr>
              <w:pStyle w:val="TableStyle2A"/>
              <w:jc w:val="center"/>
              <w:rPr>
                <w:rFonts w:ascii="Calibri" w:hAnsi="Calibri"/>
                <w:sz w:val="18"/>
                <w:szCs w:val="18"/>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5B5909BE" w14:textId="77777777" w:rsidR="00302BFE" w:rsidRPr="0075595E" w:rsidRDefault="00302BFE" w:rsidP="00243B15">
            <w:pPr>
              <w:spacing w:after="0"/>
              <w:jc w:val="center"/>
              <w:rPr>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1D7AECB"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A596362"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24684F0"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383F085A"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1451C55"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Tapsoba Aïcha</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035CCE69" w14:textId="77777777" w:rsidR="00302BFE" w:rsidRPr="0075595E" w:rsidRDefault="00302BFE" w:rsidP="00243B15">
            <w:pPr>
              <w:spacing w:after="0"/>
              <w:rPr>
                <w:rFonts w:eastAsia="Arial Unicode MS" w:cs="Arial Unicode MS"/>
                <w:color w:val="314924"/>
                <w:sz w:val="18"/>
                <w:szCs w:val="18"/>
                <w:u w:color="314924"/>
                <w:bdr w:val="nil"/>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A674A6B"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DNERA/DEP</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79EAE29" w14:textId="77777777" w:rsidR="00302BFE" w:rsidRPr="0075595E" w:rsidRDefault="00302BFE" w:rsidP="00243B15">
            <w:pPr>
              <w:spacing w:after="0"/>
              <w:rPr>
                <w:rFonts w:eastAsia="Arial Unicode MS" w:cs="Arial Unicode MS"/>
                <w:color w:val="314924"/>
                <w:sz w:val="18"/>
                <w:szCs w:val="18"/>
                <w:u w:color="314924"/>
                <w:bdr w:val="nil"/>
              </w:rPr>
            </w:pP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D8C12B7" w14:textId="77777777" w:rsidR="00302BFE" w:rsidRPr="002854BE" w:rsidRDefault="00302BFE" w:rsidP="00243B15">
            <w:pPr>
              <w:pStyle w:val="TableStyle2A"/>
              <w:rPr>
                <w:rFonts w:ascii="Calibri" w:hAnsi="Calibri"/>
                <w:sz w:val="18"/>
                <w:szCs w:val="18"/>
              </w:rPr>
            </w:pPr>
            <w:r w:rsidRPr="002854BE">
              <w:rPr>
                <w:rFonts w:ascii="Calibri" w:hAnsi="Calibri"/>
                <w:sz w:val="18"/>
                <w:szCs w:val="18"/>
              </w:rPr>
              <w:t>Aïcha_taps@yahoo.fr</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1B6DCAF" w14:textId="77777777" w:rsidR="00302BFE" w:rsidRPr="0075595E" w:rsidRDefault="00302BFE" w:rsidP="00243B15">
            <w:pPr>
              <w:pStyle w:val="TableStyle2A"/>
              <w:jc w:val="center"/>
              <w:rPr>
                <w:rFonts w:ascii="Calibri" w:hAnsi="Calibri"/>
                <w:sz w:val="18"/>
                <w:szCs w:val="18"/>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4F3CF61F" w14:textId="77777777" w:rsidR="00302BFE" w:rsidRPr="0075595E" w:rsidRDefault="00302BFE" w:rsidP="00243B15">
            <w:pPr>
              <w:spacing w:after="0"/>
              <w:jc w:val="center"/>
              <w:rPr>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0BAE737"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D450EA8"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D502F9A"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2610F0A6"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53043A1"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Ouédraogo Valentin</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079F56A7" w14:textId="77777777" w:rsidR="00302BFE" w:rsidRPr="0075595E" w:rsidRDefault="00302BFE" w:rsidP="00243B15">
            <w:pPr>
              <w:spacing w:after="0"/>
              <w:rPr>
                <w:rFonts w:eastAsia="Arial Unicode MS" w:cs="Arial Unicode MS"/>
                <w:color w:val="314924"/>
                <w:sz w:val="18"/>
                <w:szCs w:val="18"/>
                <w:u w:color="314924"/>
                <w:bdr w:val="nil"/>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6CBEC02"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DGPV/MAAH</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829CA10"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73-43-42-30</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639B0A3" w14:textId="77777777" w:rsidR="00302BFE" w:rsidRPr="002854BE" w:rsidRDefault="00302BFE" w:rsidP="00243B15">
            <w:pPr>
              <w:pStyle w:val="TableStyle2A"/>
              <w:rPr>
                <w:rFonts w:ascii="Calibri" w:hAnsi="Calibri"/>
                <w:sz w:val="18"/>
                <w:szCs w:val="18"/>
              </w:rPr>
            </w:pPr>
            <w:r w:rsidRPr="002854BE">
              <w:rPr>
                <w:rFonts w:ascii="Calibri" w:hAnsi="Calibri"/>
                <w:sz w:val="18"/>
                <w:szCs w:val="18"/>
              </w:rPr>
              <w:t>Valentinoued@gmail.com</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E3A3B79" w14:textId="77777777" w:rsidR="00302BFE" w:rsidRPr="0075595E" w:rsidRDefault="00302BFE" w:rsidP="00243B15">
            <w:pPr>
              <w:pStyle w:val="TableStyle2A"/>
              <w:jc w:val="center"/>
              <w:rPr>
                <w:rFonts w:ascii="Calibri" w:hAnsi="Calibri"/>
                <w:sz w:val="18"/>
                <w:szCs w:val="18"/>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1B087E21" w14:textId="77777777" w:rsidR="00302BFE" w:rsidRPr="0075595E" w:rsidRDefault="00302BFE" w:rsidP="00243B15">
            <w:pPr>
              <w:spacing w:after="0"/>
              <w:jc w:val="center"/>
              <w:rPr>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FDB847E"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3769AB6"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819EFCA"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363994ED"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2ECE918"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Congo Moustapha</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05B720ED" w14:textId="77777777" w:rsidR="00302BFE" w:rsidRPr="0075595E" w:rsidRDefault="00302BFE" w:rsidP="00243B15">
            <w:pPr>
              <w:spacing w:after="0"/>
              <w:rPr>
                <w:rFonts w:eastAsia="Arial Unicode MS" w:cs="Arial Unicode MS"/>
                <w:color w:val="314924"/>
                <w:sz w:val="18"/>
                <w:szCs w:val="18"/>
                <w:u w:color="314924"/>
                <w:bdr w:val="nil"/>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D76EA74"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SP/GIRE-MEA</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60D537C"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70-39-70-08</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84892BD" w14:textId="77777777" w:rsidR="00302BFE" w:rsidRPr="002854BE" w:rsidRDefault="00302BFE" w:rsidP="00243B15">
            <w:pPr>
              <w:pStyle w:val="TableStyle2A"/>
              <w:rPr>
                <w:rFonts w:ascii="Calibri" w:hAnsi="Calibri"/>
                <w:sz w:val="18"/>
                <w:szCs w:val="18"/>
              </w:rPr>
            </w:pPr>
            <w:r w:rsidRPr="002854BE">
              <w:rPr>
                <w:rFonts w:ascii="Calibri" w:hAnsi="Calibri"/>
                <w:sz w:val="18"/>
                <w:szCs w:val="18"/>
              </w:rPr>
              <w:t>congombf@yahoo.fr</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3323C91" w14:textId="77777777" w:rsidR="00302BFE" w:rsidRPr="0075595E" w:rsidRDefault="00302BFE" w:rsidP="00243B15">
            <w:pPr>
              <w:pStyle w:val="TableStyle2A"/>
              <w:jc w:val="center"/>
              <w:rPr>
                <w:rFonts w:ascii="Calibri" w:hAnsi="Calibri"/>
                <w:sz w:val="18"/>
                <w:szCs w:val="18"/>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494A73B2" w14:textId="77777777" w:rsidR="00302BFE" w:rsidRPr="0075595E" w:rsidRDefault="00302BFE" w:rsidP="00243B15">
            <w:pPr>
              <w:spacing w:after="0"/>
              <w:jc w:val="center"/>
              <w:rPr>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8455884"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761AC87"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9247216"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0D70B5B7"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A132741"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N’do Antoine</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2BD5DCAE" w14:textId="77777777" w:rsidR="00302BFE" w:rsidRPr="0075595E" w:rsidRDefault="00302BFE" w:rsidP="00243B15">
            <w:pPr>
              <w:spacing w:after="0"/>
              <w:rPr>
                <w:rFonts w:eastAsia="Arial Unicode MS" w:cs="Arial Unicode MS"/>
                <w:color w:val="314924"/>
                <w:sz w:val="18"/>
                <w:szCs w:val="18"/>
                <w:u w:color="314924"/>
                <w:bdr w:val="nil"/>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67FC08C"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SP/GIRE</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E0AA3AF"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70-32-55-01</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9364ED5" w14:textId="77777777" w:rsidR="00302BFE" w:rsidRPr="002854BE" w:rsidRDefault="00302BFE" w:rsidP="00243B15">
            <w:pPr>
              <w:pStyle w:val="TableStyle2A"/>
              <w:rPr>
                <w:rFonts w:ascii="Calibri" w:hAnsi="Calibri"/>
                <w:sz w:val="18"/>
                <w:szCs w:val="18"/>
              </w:rPr>
            </w:pPr>
            <w:r w:rsidRPr="002854BE">
              <w:rPr>
                <w:rFonts w:ascii="Calibri" w:hAnsi="Calibri"/>
                <w:sz w:val="18"/>
                <w:szCs w:val="18"/>
              </w:rPr>
              <w:t>ndoantoine@yahoo.fr</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37B2E8C" w14:textId="77777777" w:rsidR="00302BFE" w:rsidRPr="0075595E" w:rsidRDefault="00302BFE" w:rsidP="00243B15">
            <w:pPr>
              <w:pStyle w:val="TableStyle2A"/>
              <w:jc w:val="center"/>
              <w:rPr>
                <w:rFonts w:ascii="Calibri" w:hAnsi="Calibri"/>
                <w:sz w:val="18"/>
                <w:szCs w:val="18"/>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07B5A3A7" w14:textId="77777777" w:rsidR="00302BFE" w:rsidRPr="0075595E" w:rsidRDefault="00302BFE" w:rsidP="00243B15">
            <w:pPr>
              <w:spacing w:after="0"/>
              <w:jc w:val="center"/>
              <w:rPr>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E53FBA2"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6E95802"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0E21C9E"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29D82DCA"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7F7D891"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Daboné Ali</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3A3BF729" w14:textId="77777777" w:rsidR="00302BFE" w:rsidRPr="0075595E" w:rsidRDefault="00302BFE" w:rsidP="00243B15">
            <w:pPr>
              <w:spacing w:after="0"/>
              <w:rPr>
                <w:rFonts w:eastAsia="Arial Unicode MS" w:cs="Arial Unicode MS"/>
                <w:color w:val="314924"/>
                <w:sz w:val="18"/>
                <w:szCs w:val="18"/>
                <w:u w:color="314924"/>
                <w:bdr w:val="nil"/>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985BA7C"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CNSF</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A4FF1AE" w14:textId="77777777" w:rsidR="00302BFE" w:rsidRPr="0075595E" w:rsidRDefault="00302BFE" w:rsidP="00243B15">
            <w:pPr>
              <w:spacing w:after="0"/>
              <w:rPr>
                <w:rFonts w:eastAsia="Arial Unicode MS" w:cs="Arial Unicode MS"/>
                <w:color w:val="314924"/>
                <w:sz w:val="18"/>
                <w:szCs w:val="18"/>
                <w:u w:color="314924"/>
                <w:bdr w:val="nil"/>
              </w:rPr>
            </w:pP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7F75064" w14:textId="77777777" w:rsidR="00302BFE" w:rsidRPr="002854BE" w:rsidRDefault="00302BFE" w:rsidP="00243B15">
            <w:pPr>
              <w:pStyle w:val="TableStyle2A"/>
              <w:rPr>
                <w:rFonts w:ascii="Calibri" w:hAnsi="Calibri"/>
                <w:sz w:val="18"/>
                <w:szCs w:val="18"/>
              </w:rPr>
            </w:pPr>
            <w:r w:rsidRPr="002854BE">
              <w:rPr>
                <w:rFonts w:ascii="Calibri" w:hAnsi="Calibri"/>
                <w:sz w:val="18"/>
                <w:szCs w:val="18"/>
              </w:rPr>
              <w:t>dabonali@yahoo.fr</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5D3DE4D" w14:textId="77777777" w:rsidR="00302BFE" w:rsidRPr="0075595E" w:rsidRDefault="00302BFE" w:rsidP="00243B15">
            <w:pPr>
              <w:pStyle w:val="TableStyle2A"/>
              <w:jc w:val="center"/>
              <w:rPr>
                <w:rFonts w:ascii="Calibri" w:hAnsi="Calibri"/>
                <w:sz w:val="18"/>
                <w:szCs w:val="18"/>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4C03FEDF" w14:textId="77777777" w:rsidR="00302BFE" w:rsidRPr="0075595E" w:rsidRDefault="00302BFE" w:rsidP="00243B15">
            <w:pPr>
              <w:spacing w:after="0"/>
              <w:jc w:val="center"/>
              <w:rPr>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055951E"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E466D25"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ED62F0E"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51767A22"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561620B"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MEDA/Kaboré Louise Marie</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63FB1AA8" w14:textId="77777777" w:rsidR="00302BFE" w:rsidRPr="0075595E" w:rsidRDefault="00302BFE" w:rsidP="00243B15">
            <w:pPr>
              <w:spacing w:after="0"/>
              <w:rPr>
                <w:rFonts w:eastAsia="Arial Unicode MS" w:cs="Arial Unicode MS"/>
                <w:color w:val="314924"/>
                <w:sz w:val="18"/>
                <w:szCs w:val="18"/>
                <w:u w:color="314924"/>
                <w:bdr w:val="nil"/>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33A96FE"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DPPPC/MEEVCC</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9BF60B1" w14:textId="77777777" w:rsidR="00302BFE" w:rsidRPr="0075595E" w:rsidRDefault="00302BFE" w:rsidP="00243B15">
            <w:pPr>
              <w:spacing w:after="0"/>
              <w:rPr>
                <w:rFonts w:eastAsia="Arial Unicode MS" w:cs="Arial Unicode MS"/>
                <w:color w:val="314924"/>
                <w:sz w:val="18"/>
                <w:szCs w:val="18"/>
                <w:u w:color="314924"/>
                <w:bdr w:val="nil"/>
              </w:rPr>
            </w:pP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DED5F02" w14:textId="77777777" w:rsidR="00302BFE" w:rsidRPr="002854BE" w:rsidRDefault="00302BFE" w:rsidP="00243B15">
            <w:pPr>
              <w:pStyle w:val="TableStyle2A"/>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662C178" w14:textId="77777777" w:rsidR="00302BFE" w:rsidRPr="0075595E" w:rsidRDefault="00302BFE" w:rsidP="00243B15">
            <w:pPr>
              <w:pStyle w:val="TableStyle2A"/>
              <w:jc w:val="center"/>
              <w:rPr>
                <w:rFonts w:ascii="Calibri" w:hAnsi="Calibri"/>
                <w:sz w:val="18"/>
                <w:szCs w:val="18"/>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55A4E83E" w14:textId="77777777" w:rsidR="00302BFE" w:rsidRPr="0075595E" w:rsidRDefault="00302BFE" w:rsidP="00243B15">
            <w:pPr>
              <w:spacing w:after="0"/>
              <w:jc w:val="center"/>
              <w:rPr>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26E6F96"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1BB97E5"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4BF1432"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10F0CF2B"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9385E7D"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Ouédraogo Idrissa</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128DD015" w14:textId="77777777" w:rsidR="00302BFE" w:rsidRPr="0075595E" w:rsidRDefault="00302BFE" w:rsidP="00243B15">
            <w:pPr>
              <w:spacing w:after="0"/>
              <w:rPr>
                <w:rFonts w:eastAsia="Arial Unicode MS" w:cs="Arial Unicode MS"/>
                <w:color w:val="314924"/>
                <w:sz w:val="18"/>
                <w:szCs w:val="18"/>
                <w:u w:color="314924"/>
                <w:bdr w:val="nil"/>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57473F8"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DGEF/DFRC</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F91CFBB"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70140646</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7DAFC38" w14:textId="77777777" w:rsidR="00302BFE" w:rsidRPr="002854BE" w:rsidRDefault="00302BFE" w:rsidP="00243B15">
            <w:pPr>
              <w:pStyle w:val="TableStyle2A"/>
              <w:rPr>
                <w:rFonts w:ascii="Calibri" w:hAnsi="Calibri"/>
                <w:sz w:val="18"/>
                <w:szCs w:val="18"/>
              </w:rPr>
            </w:pPr>
            <w:r w:rsidRPr="002854BE">
              <w:rPr>
                <w:rFonts w:ascii="Calibri" w:hAnsi="Calibri"/>
                <w:sz w:val="18"/>
                <w:szCs w:val="18"/>
              </w:rPr>
              <w:t>Drilami14@gmail.com</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70ACE88" w14:textId="77777777" w:rsidR="00302BFE" w:rsidRPr="0075595E" w:rsidRDefault="00302BFE" w:rsidP="00243B15">
            <w:pPr>
              <w:pStyle w:val="TableStyle2A"/>
              <w:jc w:val="center"/>
              <w:rPr>
                <w:rFonts w:ascii="Calibri" w:hAnsi="Calibri"/>
                <w:sz w:val="18"/>
                <w:szCs w:val="18"/>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44A1F73F" w14:textId="77777777" w:rsidR="00302BFE" w:rsidRPr="0075595E" w:rsidRDefault="00302BFE" w:rsidP="00243B15">
            <w:pPr>
              <w:spacing w:after="0"/>
              <w:jc w:val="center"/>
              <w:rPr>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496FC70"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F5F1246"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D4D1378"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48677DD7"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1485FBE"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Traoré Kalifa</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508DBB90" w14:textId="77777777" w:rsidR="00302BFE" w:rsidRPr="0075595E" w:rsidRDefault="00302BFE" w:rsidP="00243B15">
            <w:pPr>
              <w:spacing w:after="0"/>
              <w:rPr>
                <w:rFonts w:eastAsia="Arial Unicode MS" w:cs="Arial Unicode MS"/>
                <w:color w:val="314924"/>
                <w:sz w:val="18"/>
                <w:szCs w:val="18"/>
                <w:u w:color="314924"/>
                <w:bdr w:val="nil"/>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8615E59"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P.O TREE AID</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A6D7C3B"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70779485</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543E5F5" w14:textId="77777777" w:rsidR="00302BFE" w:rsidRPr="002854BE" w:rsidRDefault="00302BFE" w:rsidP="00243B15">
            <w:pPr>
              <w:pStyle w:val="TableStyle2A"/>
              <w:rPr>
                <w:rFonts w:ascii="Calibri" w:hAnsi="Calibri"/>
                <w:sz w:val="18"/>
                <w:szCs w:val="18"/>
              </w:rPr>
            </w:pPr>
            <w:r w:rsidRPr="002854BE">
              <w:rPr>
                <w:rFonts w:ascii="Calibri" w:hAnsi="Calibri"/>
                <w:sz w:val="18"/>
                <w:szCs w:val="18"/>
              </w:rPr>
              <w:t>Kalifa.traore@treeaide.org</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8D9D207" w14:textId="77777777" w:rsidR="00302BFE" w:rsidRPr="0075595E" w:rsidRDefault="00302BFE" w:rsidP="00243B15">
            <w:pPr>
              <w:pStyle w:val="TableStyle2A"/>
              <w:jc w:val="center"/>
              <w:rPr>
                <w:rFonts w:ascii="Calibri" w:hAnsi="Calibri"/>
                <w:sz w:val="18"/>
                <w:szCs w:val="18"/>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475B3135" w14:textId="77777777" w:rsidR="00302BFE" w:rsidRPr="0075595E" w:rsidRDefault="00302BFE" w:rsidP="00243B15">
            <w:pPr>
              <w:spacing w:after="0"/>
              <w:jc w:val="center"/>
              <w:rPr>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07B8FDB"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F4A709D"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5CF2FBF"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1134CF42"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5537793"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Coulibaly Mamadou</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2E1F0D68" w14:textId="77777777" w:rsidR="00302BFE" w:rsidRPr="0075595E" w:rsidRDefault="00302BFE" w:rsidP="00243B15">
            <w:pPr>
              <w:spacing w:after="0"/>
              <w:rPr>
                <w:rFonts w:eastAsia="Arial Unicode MS" w:cs="Arial Unicode MS"/>
                <w:color w:val="314924"/>
                <w:sz w:val="18"/>
                <w:szCs w:val="18"/>
                <w:u w:color="314924"/>
                <w:bdr w:val="nil"/>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85221CC"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SG/MEEVCC</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1E79935" w14:textId="77777777" w:rsidR="00302BFE" w:rsidRPr="0075595E" w:rsidRDefault="00302BFE" w:rsidP="00243B15">
            <w:pPr>
              <w:spacing w:after="0"/>
              <w:rPr>
                <w:rFonts w:eastAsia="Arial Unicode MS" w:cs="Arial Unicode MS"/>
                <w:color w:val="314924"/>
                <w:sz w:val="18"/>
                <w:szCs w:val="18"/>
                <w:u w:color="314924"/>
                <w:bdr w:val="nil"/>
              </w:rPr>
            </w:pP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CED30BD" w14:textId="77777777" w:rsidR="00302BFE" w:rsidRPr="002854BE" w:rsidRDefault="00302BFE" w:rsidP="00243B15">
            <w:pPr>
              <w:spacing w:after="0"/>
              <w:rPr>
                <w:rFonts w:eastAsia="Arial Unicode MS" w:cs="Arial Unicode MS"/>
                <w:color w:val="314924"/>
                <w:sz w:val="18"/>
                <w:szCs w:val="18"/>
                <w:bdr w:val="nil"/>
              </w:rPr>
            </w:pPr>
            <w:r w:rsidRPr="002854BE">
              <w:rPr>
                <w:rFonts w:eastAsia="Arial Unicode MS" w:cs="Arial Unicode MS"/>
                <w:color w:val="314924"/>
                <w:sz w:val="18"/>
                <w:szCs w:val="18"/>
                <w:bdr w:val="nil"/>
              </w:rPr>
              <w:t>Coulimad7@yahoo.fr</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2739C21" w14:textId="77777777" w:rsidR="00302BFE" w:rsidRPr="0075595E" w:rsidRDefault="00302BFE" w:rsidP="00243B15">
            <w:pPr>
              <w:pStyle w:val="TableStyle2A"/>
              <w:jc w:val="center"/>
              <w:rPr>
                <w:rFonts w:ascii="Calibri" w:hAnsi="Calibri"/>
                <w:sz w:val="18"/>
                <w:szCs w:val="18"/>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483963D2" w14:textId="77777777" w:rsidR="00302BFE" w:rsidRPr="0075595E" w:rsidRDefault="00302BFE" w:rsidP="00243B15">
            <w:pPr>
              <w:spacing w:after="0"/>
              <w:jc w:val="center"/>
              <w:rPr>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CB75437"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26B586"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80E8C9A"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5FEC89BD"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1FFDAA3"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Sawadogo R.</w:t>
            </w:r>
            <w:r w:rsidR="000344D0">
              <w:rPr>
                <w:rFonts w:eastAsia="Arial Unicode MS" w:cs="Arial Unicode MS"/>
                <w:color w:val="314924"/>
                <w:sz w:val="18"/>
                <w:szCs w:val="18"/>
                <w:u w:color="314924"/>
                <w:bdr w:val="nil"/>
              </w:rPr>
              <w:t xml:space="preserve"> </w:t>
            </w:r>
            <w:r w:rsidRPr="0075595E">
              <w:rPr>
                <w:rFonts w:eastAsia="Arial Unicode MS" w:cs="Arial Unicode MS"/>
                <w:color w:val="314924"/>
                <w:sz w:val="18"/>
                <w:szCs w:val="18"/>
                <w:u w:color="314924"/>
                <w:bdr w:val="nil"/>
              </w:rPr>
              <w:t>Bruno</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3F7379E1" w14:textId="77777777" w:rsidR="00302BFE" w:rsidRPr="0075595E" w:rsidRDefault="00302BFE" w:rsidP="00243B15">
            <w:pPr>
              <w:spacing w:after="0"/>
              <w:rPr>
                <w:rFonts w:eastAsia="Arial Unicode MS" w:cs="Arial Unicode MS"/>
                <w:color w:val="314924"/>
                <w:sz w:val="18"/>
                <w:szCs w:val="18"/>
                <w:u w:color="314924"/>
                <w:bdr w:val="nil"/>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C177E56"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DGESS/MESF</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C567BAA"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70464525</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CD2FB1A" w14:textId="77777777" w:rsidR="00302BFE" w:rsidRPr="002854BE" w:rsidRDefault="00302BFE" w:rsidP="00243B15">
            <w:pPr>
              <w:pStyle w:val="TableStyle2A"/>
              <w:rPr>
                <w:rFonts w:ascii="Calibri" w:hAnsi="Calibri"/>
                <w:sz w:val="18"/>
                <w:szCs w:val="18"/>
              </w:rPr>
            </w:pPr>
            <w:r w:rsidRPr="002854BE">
              <w:rPr>
                <w:rFonts w:ascii="Calibri" w:hAnsi="Calibri"/>
                <w:sz w:val="18"/>
                <w:szCs w:val="18"/>
              </w:rPr>
              <w:t>Rakisson1@gmail.com</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4F80630" w14:textId="77777777" w:rsidR="00302BFE" w:rsidRPr="0075595E" w:rsidRDefault="00302BFE" w:rsidP="00243B15">
            <w:pPr>
              <w:pStyle w:val="TableStyle2A"/>
              <w:jc w:val="center"/>
              <w:rPr>
                <w:rFonts w:ascii="Calibri" w:hAnsi="Calibri"/>
                <w:sz w:val="18"/>
                <w:szCs w:val="18"/>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5A122EEF" w14:textId="77777777" w:rsidR="00302BFE" w:rsidRPr="0075595E" w:rsidRDefault="00302BFE" w:rsidP="00243B15">
            <w:pPr>
              <w:spacing w:after="0"/>
              <w:jc w:val="center"/>
              <w:rPr>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69F7C51"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F70DBB6"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7A99602"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779517B9"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06D0EA6"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Pedabga Arzoumbila</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42D7BADD" w14:textId="77777777" w:rsidR="00302BFE" w:rsidRPr="0075595E" w:rsidRDefault="00302BFE" w:rsidP="00243B15">
            <w:pPr>
              <w:spacing w:after="0"/>
              <w:rPr>
                <w:rFonts w:eastAsia="Arial Unicode MS" w:cs="Arial Unicode MS"/>
                <w:color w:val="314924"/>
                <w:sz w:val="18"/>
                <w:szCs w:val="18"/>
                <w:u w:color="314924"/>
                <w:bdr w:val="nil"/>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92891D7" w14:textId="2993892E" w:rsidR="00302BFE" w:rsidRPr="0075595E" w:rsidRDefault="00CF65C6" w:rsidP="00243B15">
            <w:pPr>
              <w:spacing w:after="0"/>
              <w:rPr>
                <w:rFonts w:eastAsia="Arial Unicode MS" w:cs="Arial Unicode MS"/>
                <w:color w:val="314924"/>
                <w:sz w:val="18"/>
                <w:szCs w:val="18"/>
                <w:u w:color="314924"/>
                <w:bdr w:val="nil"/>
              </w:rPr>
            </w:pPr>
            <w:r w:rsidRPr="00342675">
              <w:rPr>
                <w:rFonts w:eastAsia="Arial Unicode MS" w:cs="Arial Unicode MS"/>
                <w:color w:val="314924"/>
                <w:sz w:val="18"/>
                <w:szCs w:val="18"/>
                <w:highlight w:val="green"/>
                <w:u w:color="314924"/>
                <w:bdr w:val="nil"/>
              </w:rPr>
              <w:t xml:space="preserve">SP CONSEIL NATION DEVEL DURABL UNDER </w:t>
            </w:r>
            <w:r w:rsidRPr="00342675">
              <w:rPr>
                <w:rFonts w:eastAsia="Arial Unicode MS" w:cs="Arial Unicode MS"/>
                <w:color w:val="314924"/>
                <w:sz w:val="18"/>
                <w:szCs w:val="18"/>
                <w:highlight w:val="green"/>
                <w:u w:color="314924"/>
                <w:bdr w:val="nil"/>
              </w:rPr>
              <w:lastRenderedPageBreak/>
              <w:t>THE MINISTRY IN CHARGE OF THE ENVIRONMENT</w:t>
            </w:r>
            <w:r w:rsidR="00DF7BF1">
              <w:rPr>
                <w:rFonts w:eastAsia="Arial Unicode MS" w:cs="Arial Unicode MS"/>
                <w:color w:val="314924"/>
                <w:sz w:val="18"/>
                <w:szCs w:val="18"/>
                <w:u w:color="314924"/>
                <w:bdr w:val="nil"/>
              </w:rPr>
              <w:t xml:space="preserve"> </w:t>
            </w:r>
            <w:r w:rsidR="00302BFE" w:rsidRPr="0075595E">
              <w:rPr>
                <w:rFonts w:eastAsia="Arial Unicode MS" w:cs="Arial Unicode MS"/>
                <w:color w:val="314924"/>
                <w:sz w:val="18"/>
                <w:szCs w:val="18"/>
                <w:u w:color="314924"/>
                <w:bdr w:val="nil"/>
              </w:rPr>
              <w:t xml:space="preserve">cellule </w:t>
            </w:r>
            <w:bookmarkStart w:id="124" w:name="_Hlk119327863"/>
            <w:r w:rsidR="00302BFE" w:rsidRPr="0075595E">
              <w:rPr>
                <w:rFonts w:eastAsia="Arial Unicode MS" w:cs="Arial Unicode MS"/>
                <w:color w:val="314924"/>
                <w:sz w:val="18"/>
                <w:szCs w:val="18"/>
                <w:u w:color="314924"/>
                <w:bdr w:val="nil"/>
              </w:rPr>
              <w:t>Ramsar</w:t>
            </w:r>
            <w:bookmarkEnd w:id="124"/>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46FD1FA"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lastRenderedPageBreak/>
              <w:t>70482062</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0D73ABC" w14:textId="77777777" w:rsidR="00302BFE" w:rsidRPr="002854BE" w:rsidRDefault="00302BFE" w:rsidP="00243B15">
            <w:pPr>
              <w:pStyle w:val="TableStyle2A"/>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BF5331C" w14:textId="77777777" w:rsidR="00302BFE" w:rsidRPr="0075595E" w:rsidRDefault="00302BFE" w:rsidP="00243B15">
            <w:pPr>
              <w:pStyle w:val="TableStyle2A"/>
              <w:jc w:val="center"/>
              <w:rPr>
                <w:rFonts w:ascii="Calibri" w:hAnsi="Calibri"/>
                <w:sz w:val="18"/>
                <w:szCs w:val="18"/>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48B699D4" w14:textId="77777777" w:rsidR="00302BFE" w:rsidRPr="0075595E" w:rsidRDefault="00302BFE" w:rsidP="00243B15">
            <w:pPr>
              <w:spacing w:after="0"/>
              <w:jc w:val="center"/>
              <w:rPr>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383FFF"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8FBD548"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031F51C"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48E2B6A1" w14:textId="77777777" w:rsidTr="00243B15">
        <w:trPr>
          <w:trHeight w:val="298"/>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DBC0B45"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Pananditigiri Roch</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220921AC"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CN</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35D8186"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IGMVSS</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53EDACE"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70295291</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75CE49C" w14:textId="77777777" w:rsidR="00302BFE" w:rsidRPr="002854BE" w:rsidRDefault="00302BFE" w:rsidP="00243B15">
            <w:pPr>
              <w:pStyle w:val="TableStyle2A"/>
              <w:rPr>
                <w:rFonts w:ascii="Calibri" w:hAnsi="Calibri"/>
                <w:sz w:val="18"/>
                <w:szCs w:val="18"/>
              </w:rPr>
            </w:pPr>
            <w:r w:rsidRPr="002854BE">
              <w:rPr>
                <w:rFonts w:ascii="Calibri" w:hAnsi="Calibri"/>
                <w:sz w:val="18"/>
                <w:szCs w:val="18"/>
              </w:rPr>
              <w:t>Rochpan3@yahoo.fr</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1BAEAFE" w14:textId="77777777" w:rsidR="00302BFE" w:rsidRPr="0075595E" w:rsidRDefault="00302BFE" w:rsidP="00243B15">
            <w:pPr>
              <w:pStyle w:val="TableStyle2A"/>
              <w:jc w:val="center"/>
              <w:rPr>
                <w:rFonts w:ascii="Calibri" w:hAnsi="Calibri"/>
                <w:sz w:val="18"/>
                <w:szCs w:val="18"/>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5AD60690" w14:textId="77777777" w:rsidR="00302BFE" w:rsidRPr="0075595E" w:rsidRDefault="00302BFE" w:rsidP="00243B15">
            <w:pPr>
              <w:spacing w:after="0"/>
              <w:jc w:val="center"/>
              <w:rPr>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FC6988E"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0D75C0C"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0F317BE"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1334F56A" w14:textId="77777777" w:rsidTr="00243B15">
        <w:trPr>
          <w:trHeight w:val="326"/>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C8519D4"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Ouoba Mambagri</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593C9D9A" w14:textId="77777777" w:rsidR="00302BFE" w:rsidRPr="0075595E" w:rsidRDefault="00302BFE" w:rsidP="00243B15">
            <w:pPr>
              <w:spacing w:after="0"/>
              <w:rPr>
                <w:rFonts w:eastAsia="Arial Unicode MS" w:cs="Arial Unicode MS"/>
                <w:color w:val="314924"/>
                <w:sz w:val="18"/>
                <w:szCs w:val="18"/>
                <w:u w:color="314924"/>
                <w:bdr w:val="nil"/>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576F0A5"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DDIAJ/MEEVCC</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EFA994C"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61163767</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ED7CAA8" w14:textId="77777777" w:rsidR="00302BFE" w:rsidRPr="002854BE" w:rsidRDefault="00302BFE" w:rsidP="00243B15">
            <w:pPr>
              <w:pStyle w:val="TableStyle2A"/>
              <w:rPr>
                <w:rFonts w:ascii="Calibri" w:hAnsi="Calibri"/>
                <w:sz w:val="18"/>
                <w:szCs w:val="18"/>
              </w:rPr>
            </w:pPr>
            <w:r w:rsidRPr="002854BE">
              <w:rPr>
                <w:rFonts w:ascii="Calibri" w:hAnsi="Calibri"/>
                <w:sz w:val="18"/>
                <w:szCs w:val="18"/>
              </w:rPr>
              <w:t>Ouoba_mambagri@yahoo.fr</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78664E7" w14:textId="77777777" w:rsidR="00302BFE" w:rsidRPr="0075595E" w:rsidRDefault="00302BFE" w:rsidP="00243B15">
            <w:pPr>
              <w:pStyle w:val="TableStyle2A"/>
              <w:jc w:val="center"/>
              <w:rPr>
                <w:rFonts w:ascii="Calibri" w:hAnsi="Calibri"/>
                <w:sz w:val="18"/>
                <w:szCs w:val="18"/>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69D9AB89" w14:textId="77777777" w:rsidR="00302BFE" w:rsidRPr="0075595E" w:rsidRDefault="00302BFE" w:rsidP="00243B15">
            <w:pPr>
              <w:spacing w:after="0"/>
              <w:jc w:val="center"/>
              <w:rPr>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E969AC2"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2BBE535"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D550F34"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5B6B5CDE"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1B7ADD5"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Sam O</w:t>
            </w:r>
            <w:r w:rsidR="009B7849">
              <w:rPr>
                <w:rFonts w:eastAsia="Arial Unicode MS" w:cs="Arial Unicode MS"/>
                <w:color w:val="314924"/>
                <w:sz w:val="18"/>
                <w:szCs w:val="18"/>
                <w:u w:color="314924"/>
                <w:bdr w:val="nil"/>
              </w:rPr>
              <w:t>ll</w:t>
            </w:r>
            <w:r w:rsidRPr="0075595E">
              <w:rPr>
                <w:rFonts w:eastAsia="Arial Unicode MS" w:cs="Arial Unicode MS"/>
                <w:color w:val="314924"/>
                <w:sz w:val="18"/>
                <w:szCs w:val="18"/>
                <w:u w:color="314924"/>
                <w:bdr w:val="nil"/>
              </w:rPr>
              <w:t>é Arnaud</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2E94CBC7" w14:textId="77777777" w:rsidR="00302BFE" w:rsidRPr="0075595E" w:rsidRDefault="00302BFE" w:rsidP="00243B15">
            <w:pPr>
              <w:spacing w:after="0"/>
              <w:rPr>
                <w:rFonts w:eastAsia="Arial Unicode MS" w:cs="Arial Unicode MS"/>
                <w:color w:val="314924"/>
                <w:sz w:val="18"/>
                <w:szCs w:val="18"/>
                <w:u w:color="314924"/>
                <w:bdr w:val="nil"/>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D5A4D76"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DGESS/MAAH</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C5A7C3D" w14:textId="77777777" w:rsidR="00302BFE" w:rsidRPr="0075595E" w:rsidRDefault="00302BFE" w:rsidP="00243B15">
            <w:pPr>
              <w:spacing w:after="0"/>
              <w:rPr>
                <w:rFonts w:eastAsia="Arial Unicode MS" w:cs="Arial Unicode MS"/>
                <w:color w:val="314924"/>
                <w:sz w:val="18"/>
                <w:szCs w:val="18"/>
                <w:u w:color="314924"/>
                <w:bdr w:val="nil"/>
              </w:rPr>
            </w:pP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65CF7DE" w14:textId="77777777" w:rsidR="00302BFE" w:rsidRPr="002854BE" w:rsidRDefault="00302BFE" w:rsidP="00243B15">
            <w:pPr>
              <w:pStyle w:val="TableStyle2A"/>
              <w:rPr>
                <w:rFonts w:ascii="Calibri" w:hAnsi="Calibri"/>
                <w:sz w:val="18"/>
                <w:szCs w:val="18"/>
              </w:rPr>
            </w:pPr>
            <w:r w:rsidRPr="002854BE">
              <w:rPr>
                <w:rFonts w:ascii="Calibri" w:hAnsi="Calibri"/>
                <w:sz w:val="18"/>
                <w:szCs w:val="18"/>
              </w:rPr>
              <w:t>arnaudkam@gmail.com</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79DD2F8" w14:textId="77777777" w:rsidR="00302BFE" w:rsidRPr="0075595E" w:rsidRDefault="00302BFE" w:rsidP="00243B15">
            <w:pPr>
              <w:pStyle w:val="TableStyle2A"/>
              <w:jc w:val="center"/>
              <w:rPr>
                <w:rFonts w:ascii="Calibri" w:hAnsi="Calibri"/>
                <w:sz w:val="18"/>
                <w:szCs w:val="18"/>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5CB34D55" w14:textId="77777777" w:rsidR="00302BFE" w:rsidRPr="0075595E" w:rsidRDefault="00302BFE" w:rsidP="00243B15">
            <w:pPr>
              <w:spacing w:after="0"/>
              <w:jc w:val="center"/>
              <w:rPr>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5AA9C87"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D43E166"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02AF7A6"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4DC06C1A"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0D68804"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Yaméogo Léandre</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012CD35B" w14:textId="77777777" w:rsidR="00302BFE" w:rsidRPr="0075595E" w:rsidRDefault="00302BFE" w:rsidP="00243B15">
            <w:pPr>
              <w:spacing w:after="0"/>
              <w:rPr>
                <w:rFonts w:eastAsia="Arial Unicode MS" w:cs="Arial Unicode MS"/>
                <w:color w:val="314924"/>
                <w:sz w:val="18"/>
                <w:szCs w:val="18"/>
                <w:u w:color="314924"/>
                <w:bdr w:val="nil"/>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FB4EBA1"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Banque Mondiale</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AC0415A"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65046463</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C97F213" w14:textId="77777777" w:rsidR="00302BFE" w:rsidRPr="002854BE" w:rsidRDefault="00302BFE" w:rsidP="00243B15">
            <w:pPr>
              <w:pStyle w:val="TableStyle2A"/>
              <w:rPr>
                <w:rFonts w:ascii="Calibri" w:hAnsi="Calibri"/>
                <w:sz w:val="18"/>
                <w:szCs w:val="18"/>
              </w:rPr>
            </w:pPr>
            <w:r w:rsidRPr="002854BE">
              <w:rPr>
                <w:rFonts w:ascii="Calibri" w:hAnsi="Calibri"/>
                <w:sz w:val="18"/>
                <w:szCs w:val="18"/>
              </w:rPr>
              <w:t>lyameogo@worldbank.org</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C2E92EC" w14:textId="77777777" w:rsidR="00302BFE" w:rsidRPr="0075595E" w:rsidRDefault="00302BFE" w:rsidP="00243B15">
            <w:pPr>
              <w:pStyle w:val="TableStyle2A"/>
              <w:jc w:val="center"/>
              <w:rPr>
                <w:rFonts w:ascii="Calibri" w:hAnsi="Calibri"/>
                <w:sz w:val="18"/>
                <w:szCs w:val="18"/>
              </w:rPr>
            </w:pPr>
            <w:r w:rsidRPr="0075595E">
              <w:rPr>
                <w:rStyle w:val="Hyperlink0"/>
                <w:rFonts w:ascii="Calibri" w:hAnsi="Calibri"/>
                <w:sz w:val="18"/>
                <w:szCs w:val="18"/>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21C767A4" w14:textId="77777777" w:rsidR="00302BFE" w:rsidRPr="0075595E" w:rsidRDefault="00302BFE" w:rsidP="00243B15">
            <w:pPr>
              <w:spacing w:after="0"/>
              <w:jc w:val="center"/>
              <w:rPr>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9DFB473"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61A909F"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42AEC85"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63425D55"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A000DB7"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Sawadogo Bobodo dit Blaise</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1F1B1161" w14:textId="77777777" w:rsidR="00302BFE" w:rsidRPr="0075595E" w:rsidRDefault="00302BFE" w:rsidP="00243B15">
            <w:pPr>
              <w:spacing w:after="0"/>
              <w:rPr>
                <w:rFonts w:eastAsia="Arial Unicode MS" w:cs="Arial Unicode MS"/>
                <w:color w:val="314924"/>
                <w:sz w:val="18"/>
                <w:szCs w:val="18"/>
                <w:u w:color="314924"/>
                <w:bdr w:val="nil"/>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C767F4A"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DPDD/SP CNDD</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8FE3DE9"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71845407</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C99C937" w14:textId="77777777" w:rsidR="00302BFE" w:rsidRPr="002854BE" w:rsidRDefault="00302BFE" w:rsidP="00243B15">
            <w:pPr>
              <w:pStyle w:val="TableStyle2A"/>
              <w:rPr>
                <w:rFonts w:ascii="Calibri" w:hAnsi="Calibri"/>
                <w:sz w:val="18"/>
                <w:szCs w:val="18"/>
              </w:rPr>
            </w:pPr>
            <w:r w:rsidRPr="002854BE">
              <w:rPr>
                <w:rFonts w:ascii="Calibri" w:hAnsi="Calibri"/>
                <w:sz w:val="18"/>
                <w:szCs w:val="18"/>
              </w:rPr>
              <w:t>bobodo@yahoo.fr</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2C93E50" w14:textId="77777777" w:rsidR="00302BFE" w:rsidRPr="0075595E" w:rsidRDefault="00302BFE" w:rsidP="00243B15">
            <w:pPr>
              <w:pStyle w:val="TableStyle2A"/>
              <w:jc w:val="center"/>
              <w:rPr>
                <w:rFonts w:ascii="Calibri" w:hAnsi="Calibri"/>
                <w:sz w:val="18"/>
                <w:szCs w:val="18"/>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5D685C4D" w14:textId="77777777" w:rsidR="00302BFE" w:rsidRPr="0075595E" w:rsidRDefault="00302BFE" w:rsidP="00243B15">
            <w:pPr>
              <w:spacing w:after="0"/>
              <w:jc w:val="center"/>
              <w:rPr>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7A9DCA1"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A81BA1F"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DCE027C"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13681842"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40383B0"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Nana Somnanegré</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15DFA971" w14:textId="77777777" w:rsidR="00302BFE" w:rsidRPr="0075595E" w:rsidRDefault="00302BFE" w:rsidP="00243B15">
            <w:pPr>
              <w:spacing w:after="0"/>
              <w:rPr>
                <w:rFonts w:eastAsia="Arial Unicode MS" w:cs="Arial Unicode MS"/>
                <w:color w:val="314924"/>
                <w:sz w:val="18"/>
                <w:szCs w:val="18"/>
                <w:u w:color="314924"/>
                <w:bdr w:val="nil"/>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07417DC"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CT/SP CNDD</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0C43B86"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78142650</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32C4D09" w14:textId="77777777" w:rsidR="00302BFE" w:rsidRPr="002854BE" w:rsidRDefault="00302BFE" w:rsidP="00243B15">
            <w:pPr>
              <w:pStyle w:val="TableStyle2A"/>
              <w:rPr>
                <w:rFonts w:ascii="Calibri" w:hAnsi="Calibri"/>
                <w:sz w:val="18"/>
                <w:szCs w:val="18"/>
              </w:rPr>
            </w:pPr>
            <w:r w:rsidRPr="002854BE">
              <w:rPr>
                <w:rFonts w:ascii="Calibri" w:hAnsi="Calibri"/>
                <w:sz w:val="18"/>
                <w:szCs w:val="18"/>
              </w:rPr>
              <w:t>nanasomnanegre@yahoo.fr</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5942571" w14:textId="77777777" w:rsidR="00302BFE" w:rsidRPr="0075595E" w:rsidRDefault="00302BFE" w:rsidP="00243B15">
            <w:pPr>
              <w:pStyle w:val="TableStyle2A"/>
              <w:jc w:val="center"/>
              <w:rPr>
                <w:rFonts w:ascii="Calibri" w:hAnsi="Calibri"/>
                <w:sz w:val="18"/>
                <w:szCs w:val="18"/>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6F6D2B5A" w14:textId="77777777" w:rsidR="00302BFE" w:rsidRPr="0075595E" w:rsidRDefault="00302BFE" w:rsidP="00243B15">
            <w:pPr>
              <w:spacing w:after="0"/>
              <w:jc w:val="center"/>
              <w:rPr>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A250A97"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A14161B"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FA0B5B8" w14:textId="77777777" w:rsidR="00302BFE" w:rsidRPr="0075595E" w:rsidRDefault="000344D0" w:rsidP="00243B15">
            <w:pPr>
              <w:pStyle w:val="TableStyle2A"/>
              <w:jc w:val="center"/>
              <w:rPr>
                <w:rStyle w:val="Hyperlink0"/>
                <w:rFonts w:ascii="Calibri" w:hAnsi="Calibri"/>
                <w:sz w:val="18"/>
                <w:szCs w:val="18"/>
                <w:lang w:val="fr-FR"/>
              </w:rPr>
            </w:pPr>
            <w:r w:rsidRPr="0075595E">
              <w:rPr>
                <w:rStyle w:val="Hyperlink0"/>
                <w:rFonts w:ascii="Calibri" w:hAnsi="Calibri"/>
                <w:sz w:val="18"/>
                <w:szCs w:val="18"/>
                <w:u w:val="none"/>
              </w:rPr>
              <w:sym w:font="Wingdings" w:char="F0FC"/>
            </w:r>
          </w:p>
        </w:tc>
      </w:tr>
      <w:tr w:rsidR="00302BFE" w:rsidRPr="0075595E" w14:paraId="4AD8F946"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B77493C"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 xml:space="preserve">Goungounga Justin </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4A41518C" w14:textId="77777777" w:rsidR="00302BFE" w:rsidRPr="0075595E" w:rsidRDefault="00302BFE" w:rsidP="00243B15">
            <w:pPr>
              <w:spacing w:after="0"/>
              <w:rPr>
                <w:rFonts w:eastAsia="Arial Unicode MS" w:cs="Arial Unicode MS"/>
                <w:color w:val="314924"/>
                <w:sz w:val="18"/>
                <w:szCs w:val="18"/>
                <w:u w:color="314924"/>
                <w:bdr w:val="nil"/>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6E23E07"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SP/CNDD</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0726809"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70237579</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00E04C6" w14:textId="77777777" w:rsidR="00302BFE" w:rsidRPr="002854BE" w:rsidRDefault="0053008A" w:rsidP="00243B15">
            <w:pPr>
              <w:spacing w:after="0"/>
              <w:rPr>
                <w:rFonts w:eastAsia="Arial Unicode MS" w:cs="Arial Unicode MS"/>
                <w:color w:val="314924"/>
                <w:sz w:val="18"/>
                <w:szCs w:val="18"/>
                <w:bdr w:val="nil"/>
              </w:rPr>
            </w:pPr>
            <w:hyperlink r:id="rId85" w:history="1">
              <w:r w:rsidR="00302BFE" w:rsidRPr="002854BE">
                <w:rPr>
                  <w:rFonts w:eastAsia="Arial Unicode MS" w:cs="Arial Unicode MS"/>
                  <w:color w:val="314924"/>
                  <w:sz w:val="18"/>
                  <w:szCs w:val="18"/>
                  <w:bdr w:val="nil"/>
                </w:rPr>
                <w:t>jgoungounga@yahoo.fr</w:t>
              </w:r>
            </w:hyperlink>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4DA0229" w14:textId="77777777" w:rsidR="00302BFE" w:rsidRPr="0075595E" w:rsidRDefault="00302BFE" w:rsidP="00243B15">
            <w:pPr>
              <w:pStyle w:val="TableStyle2A"/>
              <w:jc w:val="center"/>
              <w:rPr>
                <w:rFonts w:ascii="Calibri" w:hAnsi="Calibri"/>
                <w:sz w:val="18"/>
                <w:szCs w:val="18"/>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1A91BDD5" w14:textId="77777777" w:rsidR="00302BFE" w:rsidRPr="0075595E" w:rsidRDefault="00302BFE" w:rsidP="00243B15">
            <w:pPr>
              <w:spacing w:after="0"/>
              <w:jc w:val="center"/>
              <w:rPr>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42C4D2C"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299850D"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6920510" w14:textId="77777777" w:rsidR="00302BFE" w:rsidRPr="0075595E" w:rsidRDefault="000344D0" w:rsidP="00243B15">
            <w:pPr>
              <w:pStyle w:val="TableStyle2A"/>
              <w:jc w:val="center"/>
              <w:rPr>
                <w:rStyle w:val="Hyperlink0"/>
                <w:rFonts w:ascii="Calibri" w:hAnsi="Calibri"/>
                <w:sz w:val="18"/>
                <w:szCs w:val="18"/>
                <w:lang w:val="fr-FR"/>
              </w:rPr>
            </w:pPr>
            <w:r w:rsidRPr="0075595E">
              <w:rPr>
                <w:rStyle w:val="Hyperlink0"/>
                <w:rFonts w:ascii="Calibri" w:hAnsi="Calibri"/>
                <w:sz w:val="18"/>
                <w:szCs w:val="18"/>
                <w:u w:val="none"/>
              </w:rPr>
              <w:sym w:font="Wingdings" w:char="F0FC"/>
            </w:r>
          </w:p>
        </w:tc>
      </w:tr>
      <w:tr w:rsidR="00302BFE" w:rsidRPr="0075595E" w14:paraId="4F041D92"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0DFD0B2"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Koudougou L Mathias</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2555DD1C" w14:textId="77777777" w:rsidR="00302BFE" w:rsidRPr="0075595E" w:rsidRDefault="00302BFE" w:rsidP="00243B15">
            <w:pPr>
              <w:spacing w:after="0"/>
              <w:rPr>
                <w:rFonts w:eastAsia="Arial Unicode MS" w:cs="Arial Unicode MS"/>
                <w:color w:val="314924"/>
                <w:sz w:val="18"/>
                <w:szCs w:val="18"/>
                <w:u w:color="314924"/>
                <w:bdr w:val="nil"/>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A104799"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SP/CNDD</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D97A86A" w14:textId="77777777" w:rsidR="00302BFE" w:rsidRPr="0075595E" w:rsidRDefault="00302BFE" w:rsidP="00243B15">
            <w:pPr>
              <w:spacing w:after="0"/>
              <w:rPr>
                <w:rFonts w:eastAsia="Arial Unicode MS" w:cs="Arial Unicode MS"/>
                <w:color w:val="314924"/>
                <w:sz w:val="18"/>
                <w:szCs w:val="18"/>
                <w:u w:color="314924"/>
                <w:bdr w:val="nil"/>
              </w:rPr>
            </w:pP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E24B4FD" w14:textId="77777777" w:rsidR="00302BFE" w:rsidRPr="002854BE" w:rsidRDefault="00302BFE" w:rsidP="00243B15">
            <w:pPr>
              <w:pStyle w:val="TableStyle2A"/>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1401684" w14:textId="77777777" w:rsidR="00302BFE" w:rsidRPr="0075595E" w:rsidRDefault="00302BFE" w:rsidP="00243B15">
            <w:pPr>
              <w:pStyle w:val="TableStyle2A"/>
              <w:jc w:val="center"/>
              <w:rPr>
                <w:rFonts w:ascii="Calibri" w:hAnsi="Calibri"/>
                <w:sz w:val="18"/>
                <w:szCs w:val="18"/>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02ACA02C" w14:textId="77777777" w:rsidR="00302BFE" w:rsidRPr="0075595E" w:rsidRDefault="00302BFE" w:rsidP="00243B15">
            <w:pPr>
              <w:spacing w:after="0"/>
              <w:jc w:val="center"/>
              <w:rPr>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3895FC6"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82BF3B8"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9319A96"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7E90F5B5"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BEF42E7"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Tahoura Bahoupè</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54E68217" w14:textId="77777777" w:rsidR="00302BFE" w:rsidRPr="0075595E" w:rsidRDefault="00302BFE" w:rsidP="00243B15">
            <w:pPr>
              <w:spacing w:after="0"/>
              <w:rPr>
                <w:rFonts w:eastAsia="Arial Unicode MS" w:cs="Arial Unicode MS"/>
                <w:color w:val="314924"/>
                <w:sz w:val="18"/>
                <w:szCs w:val="18"/>
                <w:u w:color="314924"/>
                <w:bdr w:val="nil"/>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A199508"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TREE AID</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277243B"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78205520</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FB5BA7C" w14:textId="77777777" w:rsidR="00302BFE" w:rsidRPr="002854BE" w:rsidRDefault="00302BFE" w:rsidP="00243B15">
            <w:pPr>
              <w:pStyle w:val="TableStyle2A"/>
              <w:rPr>
                <w:rFonts w:ascii="Calibri" w:hAnsi="Calibri"/>
                <w:sz w:val="18"/>
                <w:szCs w:val="18"/>
              </w:rPr>
            </w:pPr>
            <w:r w:rsidRPr="002854BE">
              <w:rPr>
                <w:rFonts w:ascii="Calibri" w:hAnsi="Calibri"/>
                <w:sz w:val="18"/>
                <w:szCs w:val="18"/>
              </w:rPr>
              <w:t>bahoupeta@yahoo.fr</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9BFF2BA" w14:textId="77777777" w:rsidR="00302BFE" w:rsidRPr="0075595E" w:rsidRDefault="00302BFE" w:rsidP="00243B15">
            <w:pPr>
              <w:pStyle w:val="TableStyle2A"/>
              <w:jc w:val="center"/>
              <w:rPr>
                <w:rFonts w:ascii="Calibri" w:hAnsi="Calibri"/>
                <w:sz w:val="18"/>
                <w:szCs w:val="18"/>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73CF8E94" w14:textId="77777777" w:rsidR="00302BFE" w:rsidRPr="0075595E" w:rsidRDefault="00302BFE" w:rsidP="00243B15">
            <w:pPr>
              <w:spacing w:after="0"/>
              <w:jc w:val="center"/>
              <w:rPr>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C9DA8C4"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76061B6"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7915C5B"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3803CC7A"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A2F1B1D"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Bambara Jean Charles</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1C2FF2D7" w14:textId="77777777" w:rsidR="00302BFE" w:rsidRPr="0075595E" w:rsidRDefault="00302BFE" w:rsidP="00243B15">
            <w:pPr>
              <w:spacing w:after="0"/>
              <w:rPr>
                <w:rFonts w:eastAsia="Arial Unicode MS" w:cs="Arial Unicode MS"/>
                <w:color w:val="314924"/>
                <w:sz w:val="18"/>
                <w:szCs w:val="18"/>
                <w:u w:color="314924"/>
                <w:bdr w:val="nil"/>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683EAA2"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DGESS/MEA</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DCD4276"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70066224</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67B7B38" w14:textId="77777777" w:rsidR="00302BFE" w:rsidRPr="002854BE" w:rsidRDefault="00302BFE" w:rsidP="00243B15">
            <w:pPr>
              <w:pStyle w:val="TableStyle2A"/>
              <w:rPr>
                <w:rFonts w:ascii="Calibri" w:hAnsi="Calibri"/>
                <w:sz w:val="18"/>
                <w:szCs w:val="18"/>
              </w:rPr>
            </w:pPr>
            <w:r w:rsidRPr="002854BE">
              <w:rPr>
                <w:rFonts w:ascii="Calibri" w:hAnsi="Calibri"/>
                <w:sz w:val="18"/>
                <w:szCs w:val="18"/>
              </w:rPr>
              <w:t>Bam_jeanso@yahoo.fr</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A32B85C" w14:textId="77777777" w:rsidR="00302BFE" w:rsidRPr="0075595E" w:rsidRDefault="00302BFE" w:rsidP="00243B15">
            <w:pPr>
              <w:pStyle w:val="TableStyle2A"/>
              <w:jc w:val="center"/>
              <w:rPr>
                <w:rFonts w:ascii="Calibri" w:hAnsi="Calibri"/>
                <w:sz w:val="18"/>
                <w:szCs w:val="18"/>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16D770EC" w14:textId="77777777" w:rsidR="00302BFE" w:rsidRPr="0075595E" w:rsidRDefault="00302BFE" w:rsidP="00243B15">
            <w:pPr>
              <w:spacing w:after="0"/>
              <w:jc w:val="center"/>
              <w:rPr>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213DCDB"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F0CB692"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5C4BFEE"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4771F0E6"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4C834F2"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Bako E Florence</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0FA3EC7A" w14:textId="77777777" w:rsidR="00302BFE" w:rsidRPr="0075595E" w:rsidRDefault="00302BFE" w:rsidP="00243B15">
            <w:pPr>
              <w:spacing w:after="0"/>
              <w:rPr>
                <w:rFonts w:eastAsia="Arial Unicode MS" w:cs="Arial Unicode MS"/>
                <w:color w:val="314924"/>
                <w:sz w:val="18"/>
                <w:szCs w:val="18"/>
                <w:u w:color="314924"/>
                <w:bdr w:val="nil"/>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EB3BF84"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SP/CNDD</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0C6F175"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70509563</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B2A12C9" w14:textId="77777777" w:rsidR="00302BFE" w:rsidRPr="002854BE" w:rsidRDefault="00302BFE" w:rsidP="00243B15">
            <w:pPr>
              <w:pStyle w:val="TableStyle2A"/>
              <w:rPr>
                <w:rFonts w:ascii="Calibri" w:hAnsi="Calibri"/>
                <w:sz w:val="18"/>
                <w:szCs w:val="18"/>
              </w:rPr>
            </w:pPr>
            <w:r w:rsidRPr="002854BE">
              <w:rPr>
                <w:rFonts w:ascii="Calibri" w:hAnsi="Calibri"/>
                <w:sz w:val="18"/>
                <w:szCs w:val="18"/>
              </w:rPr>
              <w:t>fleurebako@gmail.com</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81F7778" w14:textId="77777777" w:rsidR="00302BFE" w:rsidRPr="0075595E" w:rsidRDefault="00302BFE" w:rsidP="00243B15">
            <w:pPr>
              <w:pStyle w:val="TableStyle2A"/>
              <w:jc w:val="center"/>
              <w:rPr>
                <w:rFonts w:ascii="Calibri" w:hAnsi="Calibri"/>
                <w:sz w:val="18"/>
                <w:szCs w:val="18"/>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2A371741" w14:textId="77777777" w:rsidR="00302BFE" w:rsidRPr="0075595E" w:rsidRDefault="00302BFE" w:rsidP="00243B15">
            <w:pPr>
              <w:spacing w:after="0"/>
              <w:jc w:val="center"/>
              <w:rPr>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E83D83B"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30B0B14"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9B4C839"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55CD50C3"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9337840"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Ouédraogo Abdoul Salam</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46992124" w14:textId="77777777" w:rsidR="00302BFE" w:rsidRPr="0075595E" w:rsidRDefault="00302BFE" w:rsidP="00243B15">
            <w:pPr>
              <w:spacing w:after="0"/>
              <w:rPr>
                <w:rFonts w:eastAsia="Arial Unicode MS" w:cs="Arial Unicode MS"/>
                <w:color w:val="314924"/>
                <w:sz w:val="18"/>
                <w:szCs w:val="18"/>
                <w:u w:color="314924"/>
                <w:bdr w:val="nil"/>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B993F83"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SP/CNDD</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12671D6"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70110835</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AE9F249" w14:textId="77777777" w:rsidR="00302BFE" w:rsidRPr="002854BE" w:rsidRDefault="00302BFE" w:rsidP="00243B15">
            <w:pPr>
              <w:pStyle w:val="TableStyle2A"/>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C00C8A9" w14:textId="77777777" w:rsidR="00302BFE" w:rsidRPr="0075595E" w:rsidRDefault="00302BFE" w:rsidP="00243B15">
            <w:pPr>
              <w:pStyle w:val="TableStyle2A"/>
              <w:jc w:val="center"/>
              <w:rPr>
                <w:rFonts w:ascii="Calibri" w:hAnsi="Calibri"/>
                <w:sz w:val="18"/>
                <w:szCs w:val="18"/>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451EFC32" w14:textId="77777777" w:rsidR="00302BFE" w:rsidRPr="0075595E" w:rsidRDefault="00302BFE" w:rsidP="00243B15">
            <w:pPr>
              <w:spacing w:after="0"/>
              <w:jc w:val="center"/>
              <w:rPr>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0BDED4B"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1453C00"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81B9919"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72392F23" w14:textId="77777777" w:rsidTr="00243B15">
        <w:trPr>
          <w:trHeight w:val="137"/>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0A02C45"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Nonguierma/Tapsoba Pascaline</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5BCF2E54" w14:textId="77777777" w:rsidR="00302BFE" w:rsidRPr="0075595E" w:rsidRDefault="00302BFE" w:rsidP="00243B15">
            <w:pPr>
              <w:spacing w:after="0"/>
              <w:rPr>
                <w:rFonts w:eastAsia="Arial Unicode MS" w:cs="Arial Unicode MS"/>
                <w:color w:val="314924"/>
                <w:sz w:val="18"/>
                <w:szCs w:val="18"/>
                <w:u w:color="314924"/>
                <w:bdr w:val="nil"/>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6312F7F" w14:textId="77777777" w:rsidR="00302BFE" w:rsidRPr="0075595E" w:rsidRDefault="00302BFE" w:rsidP="00243B15">
            <w:pPr>
              <w:spacing w:after="0"/>
              <w:rPr>
                <w:rFonts w:eastAsia="Arial Unicode MS" w:cs="Arial Unicode MS"/>
                <w:color w:val="314924"/>
                <w:sz w:val="18"/>
                <w:szCs w:val="18"/>
                <w:u w:color="314924"/>
                <w:bdr w:val="nil"/>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7F7F2F5"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70-66-70-46</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E304FFD" w14:textId="77777777" w:rsidR="00302BFE" w:rsidRPr="002854BE" w:rsidRDefault="00302BFE" w:rsidP="00243B15">
            <w:pPr>
              <w:pStyle w:val="TableStyle2A"/>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E794C1E" w14:textId="77777777" w:rsidR="00302BFE" w:rsidRPr="0075595E" w:rsidRDefault="00302BFE" w:rsidP="00243B15">
            <w:pPr>
              <w:pStyle w:val="TableStyle2A"/>
              <w:jc w:val="center"/>
              <w:rPr>
                <w:rFonts w:ascii="Calibri" w:hAnsi="Calibri"/>
                <w:sz w:val="18"/>
                <w:szCs w:val="18"/>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4E69DF02" w14:textId="77777777" w:rsidR="00302BFE" w:rsidRPr="0075595E" w:rsidRDefault="00302BFE" w:rsidP="00243B15">
            <w:pPr>
              <w:spacing w:after="0"/>
              <w:jc w:val="center"/>
              <w:rPr>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E9D2DD6"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EF449F9"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CC6D07C"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40FB08F6"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6D248EE"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Sib Ollo Arnaud</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1C4485A4" w14:textId="77777777" w:rsidR="00302BFE" w:rsidRPr="0075595E" w:rsidRDefault="00302BFE" w:rsidP="00243B15">
            <w:pPr>
              <w:spacing w:after="0"/>
              <w:rPr>
                <w:rFonts w:eastAsia="Arial Unicode MS" w:cs="Arial Unicode MS"/>
                <w:color w:val="314924"/>
                <w:sz w:val="18"/>
                <w:szCs w:val="18"/>
                <w:u w:color="314924"/>
                <w:bdr w:val="nil"/>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BC79A61" w14:textId="77777777" w:rsidR="00302BFE" w:rsidRPr="0075595E" w:rsidRDefault="00302BFE" w:rsidP="00243B15">
            <w:pPr>
              <w:spacing w:after="0"/>
              <w:rPr>
                <w:rFonts w:eastAsia="Arial Unicode MS" w:cs="Arial Unicode MS"/>
                <w:color w:val="314924"/>
                <w:sz w:val="18"/>
                <w:szCs w:val="18"/>
                <w:u w:color="314924"/>
                <w:bdr w:val="nil"/>
              </w:rPr>
            </w:pP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37A3EC1"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70-22-83-38</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3C6187B" w14:textId="77777777" w:rsidR="00302BFE" w:rsidRPr="002854BE" w:rsidRDefault="00302BFE" w:rsidP="00243B15">
            <w:pPr>
              <w:pStyle w:val="TableStyle2A"/>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1A5DA28" w14:textId="77777777" w:rsidR="00302BFE" w:rsidRPr="0075595E" w:rsidRDefault="00302BFE" w:rsidP="00243B15">
            <w:pPr>
              <w:pStyle w:val="TableStyle2A"/>
              <w:jc w:val="center"/>
              <w:rPr>
                <w:rFonts w:ascii="Calibri" w:hAnsi="Calibri"/>
                <w:sz w:val="18"/>
                <w:szCs w:val="18"/>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32AF2891" w14:textId="77777777" w:rsidR="00302BFE" w:rsidRPr="0075595E" w:rsidRDefault="00302BFE" w:rsidP="00243B15">
            <w:pPr>
              <w:spacing w:after="0"/>
              <w:jc w:val="center"/>
              <w:rPr>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4B41C12"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CA58668"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521E92C"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720D97CC"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993A63F"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Baziomo Donald</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305DB9C5" w14:textId="77777777" w:rsidR="00302BFE" w:rsidRPr="0075595E" w:rsidRDefault="00302BFE" w:rsidP="00243B15">
            <w:pPr>
              <w:spacing w:after="0"/>
              <w:rPr>
                <w:rFonts w:eastAsia="Arial Unicode MS" w:cs="Arial Unicode MS"/>
                <w:color w:val="314924"/>
                <w:sz w:val="18"/>
                <w:szCs w:val="18"/>
                <w:u w:color="314924"/>
                <w:bdr w:val="nil"/>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6AC9036"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SP-CNDD</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52532B1"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72-41-39-82</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F16B0A8" w14:textId="77777777" w:rsidR="00302BFE" w:rsidRPr="002854BE" w:rsidRDefault="00302BFE" w:rsidP="00243B15">
            <w:pPr>
              <w:pStyle w:val="TableStyle2A"/>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483D65B" w14:textId="77777777" w:rsidR="00302BFE" w:rsidRPr="0075595E" w:rsidRDefault="00302BFE" w:rsidP="00243B15">
            <w:pPr>
              <w:pStyle w:val="TableStyle2A"/>
              <w:jc w:val="center"/>
              <w:rPr>
                <w:rFonts w:ascii="Calibri" w:hAnsi="Calibri"/>
                <w:sz w:val="18"/>
                <w:szCs w:val="18"/>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20C312D0" w14:textId="77777777" w:rsidR="00302BFE" w:rsidRPr="0075595E" w:rsidRDefault="00302BFE" w:rsidP="00243B15">
            <w:pPr>
              <w:spacing w:after="0"/>
              <w:jc w:val="center"/>
              <w:rPr>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6B5806A"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C0C4DF5"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F1775C2"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7B4B5653"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E8564EC"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Ouédraogo W Guy</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2E7D764C" w14:textId="77777777" w:rsidR="00302BFE" w:rsidRPr="0075595E" w:rsidRDefault="00302BFE" w:rsidP="00243B15">
            <w:pPr>
              <w:spacing w:after="0"/>
              <w:rPr>
                <w:rFonts w:eastAsia="Arial Unicode MS" w:cs="Arial Unicode MS"/>
                <w:color w:val="314924"/>
                <w:sz w:val="18"/>
                <w:szCs w:val="18"/>
                <w:u w:color="314924"/>
                <w:bdr w:val="nil"/>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E2FFCCE"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MEEVCC</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2023158" w14:textId="77777777" w:rsidR="00302BFE" w:rsidRPr="0075595E" w:rsidRDefault="00302BFE" w:rsidP="00243B15">
            <w:pPr>
              <w:spacing w:after="0"/>
              <w:rPr>
                <w:rFonts w:eastAsia="Arial Unicode MS" w:cs="Arial Unicode MS"/>
                <w:color w:val="314924"/>
                <w:sz w:val="18"/>
                <w:szCs w:val="18"/>
                <w:u w:color="314924"/>
                <w:bdr w:val="nil"/>
              </w:rPr>
            </w:pP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92BD3E3" w14:textId="77777777" w:rsidR="00302BFE" w:rsidRPr="002854BE" w:rsidRDefault="00302BFE" w:rsidP="00243B15">
            <w:pPr>
              <w:pStyle w:val="TableStyle2A"/>
              <w:rPr>
                <w:rFonts w:ascii="Calibri" w:hAnsi="Calibri"/>
                <w:sz w:val="18"/>
                <w:szCs w:val="18"/>
              </w:rPr>
            </w:pPr>
            <w:r w:rsidRPr="002854BE">
              <w:rPr>
                <w:rFonts w:ascii="Calibri" w:hAnsi="Calibri"/>
                <w:sz w:val="18"/>
                <w:szCs w:val="18"/>
              </w:rPr>
              <w:t>wguyouedraogo@gmail.com</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16C79EA" w14:textId="77777777" w:rsidR="00302BFE" w:rsidRPr="0075595E" w:rsidRDefault="00302BFE" w:rsidP="00243B15">
            <w:pPr>
              <w:pStyle w:val="TableStyle2A"/>
              <w:jc w:val="center"/>
              <w:rPr>
                <w:rFonts w:ascii="Calibri" w:hAnsi="Calibri"/>
                <w:sz w:val="18"/>
                <w:szCs w:val="18"/>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798DE6AA" w14:textId="77777777" w:rsidR="00302BFE" w:rsidRPr="0075595E" w:rsidRDefault="00302BFE" w:rsidP="00243B15">
            <w:pPr>
              <w:spacing w:after="0"/>
              <w:jc w:val="center"/>
              <w:rPr>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3D6EDBC"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76B2760"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4D28529"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41864500" w14:textId="77777777" w:rsidTr="00243B15">
        <w:trPr>
          <w:trHeight w:val="210"/>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43BA597"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lastRenderedPageBreak/>
              <w:t>Diallo Bassirou</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4F4C5A03" w14:textId="77777777" w:rsidR="00302BFE" w:rsidRPr="0075595E" w:rsidRDefault="00302BFE" w:rsidP="00243B15">
            <w:pPr>
              <w:spacing w:after="0"/>
              <w:rPr>
                <w:rFonts w:eastAsia="Arial Unicode MS" w:cs="Arial Unicode MS"/>
                <w:color w:val="314924"/>
                <w:sz w:val="18"/>
                <w:szCs w:val="18"/>
                <w:u w:color="314924"/>
                <w:bdr w:val="nil"/>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F25FBDB"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MEEVCC</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F3BE770" w14:textId="77777777" w:rsidR="00302BFE" w:rsidRPr="0075595E" w:rsidRDefault="00302BFE" w:rsidP="00243B15">
            <w:pPr>
              <w:spacing w:after="0"/>
              <w:rPr>
                <w:rFonts w:eastAsia="Arial Unicode MS" w:cs="Arial Unicode MS"/>
                <w:color w:val="314924"/>
                <w:sz w:val="18"/>
                <w:szCs w:val="18"/>
                <w:u w:color="314924"/>
                <w:bdr w:val="nil"/>
              </w:rPr>
            </w:pP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82A763A" w14:textId="77777777" w:rsidR="00302BFE" w:rsidRPr="002854BE" w:rsidRDefault="00302BFE" w:rsidP="00243B15">
            <w:pPr>
              <w:pStyle w:val="TableStyle2A"/>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064DF0" w14:textId="77777777" w:rsidR="00302BFE" w:rsidRPr="0075595E" w:rsidRDefault="00302BFE" w:rsidP="00243B15">
            <w:pPr>
              <w:pStyle w:val="TableStyle2A"/>
              <w:jc w:val="center"/>
              <w:rPr>
                <w:rFonts w:ascii="Calibri" w:hAnsi="Calibri"/>
                <w:sz w:val="18"/>
                <w:szCs w:val="18"/>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0CE8B2E1" w14:textId="77777777" w:rsidR="00302BFE" w:rsidRPr="0075595E" w:rsidRDefault="00302BFE" w:rsidP="00243B15">
            <w:pPr>
              <w:spacing w:after="0"/>
              <w:jc w:val="center"/>
              <w:rPr>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623082D"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8FD94D0"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342B77E"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48A811C5"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711DDE0"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Sango Lassina</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6379C226" w14:textId="77777777" w:rsidR="00302BFE" w:rsidRPr="0075595E" w:rsidRDefault="00302BFE" w:rsidP="00243B15">
            <w:pPr>
              <w:spacing w:after="0"/>
              <w:rPr>
                <w:rFonts w:eastAsia="Arial Unicode MS" w:cs="Arial Unicode MS"/>
                <w:color w:val="314924"/>
                <w:sz w:val="18"/>
                <w:szCs w:val="18"/>
                <w:u w:color="314924"/>
                <w:bdr w:val="nil"/>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11A1B99"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SP/CNDD</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1A196B8"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72-87-90-64</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F1FFE63" w14:textId="77777777" w:rsidR="00302BFE" w:rsidRPr="002854BE" w:rsidRDefault="00302BFE" w:rsidP="00243B15">
            <w:pPr>
              <w:pStyle w:val="TableStyle2A"/>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96F0B62" w14:textId="77777777" w:rsidR="00302BFE" w:rsidRPr="0075595E" w:rsidRDefault="00302BFE" w:rsidP="00243B15">
            <w:pPr>
              <w:pStyle w:val="TableStyle2A"/>
              <w:jc w:val="center"/>
              <w:rPr>
                <w:rFonts w:ascii="Calibri" w:hAnsi="Calibri"/>
                <w:sz w:val="18"/>
                <w:szCs w:val="18"/>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64148C43" w14:textId="77777777" w:rsidR="00302BFE" w:rsidRPr="0075595E" w:rsidRDefault="00302BFE" w:rsidP="00243B15">
            <w:pPr>
              <w:spacing w:after="0"/>
              <w:jc w:val="center"/>
              <w:rPr>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355C222"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C053306"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E832826"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5063B878"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2BE95D8"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Kedré Idrissa</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14877329" w14:textId="77777777" w:rsidR="00302BFE" w:rsidRPr="0075595E" w:rsidRDefault="00302BFE" w:rsidP="00243B15">
            <w:pPr>
              <w:spacing w:after="0"/>
              <w:rPr>
                <w:rFonts w:eastAsia="Arial Unicode MS" w:cs="Arial Unicode MS"/>
                <w:color w:val="314924"/>
                <w:sz w:val="18"/>
                <w:szCs w:val="18"/>
                <w:u w:color="314924"/>
                <w:bdr w:val="nil"/>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B59B0C1"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SP-CNDD</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ADEB32E" w14:textId="77777777" w:rsidR="00302BFE" w:rsidRPr="0075595E" w:rsidRDefault="00302BFE" w:rsidP="00243B15">
            <w:pPr>
              <w:spacing w:after="0"/>
              <w:rPr>
                <w:rFonts w:eastAsia="Arial Unicode MS" w:cs="Arial Unicode MS"/>
                <w:color w:val="314924"/>
                <w:sz w:val="18"/>
                <w:szCs w:val="18"/>
                <w:u w:color="314924"/>
                <w:bdr w:val="nil"/>
              </w:rPr>
            </w:pPr>
            <w:r w:rsidRPr="0075595E">
              <w:rPr>
                <w:rFonts w:eastAsia="Arial Unicode MS" w:cs="Arial Unicode MS"/>
                <w:color w:val="314924"/>
                <w:sz w:val="18"/>
                <w:szCs w:val="18"/>
                <w:u w:color="314924"/>
                <w:bdr w:val="nil"/>
              </w:rPr>
              <w:t>70-34-14-00</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C8CC819" w14:textId="77777777" w:rsidR="00302BFE" w:rsidRPr="002854BE" w:rsidRDefault="00302BFE" w:rsidP="00243B15">
            <w:pPr>
              <w:pStyle w:val="TableStyle2A"/>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FE53F7E" w14:textId="77777777" w:rsidR="00302BFE" w:rsidRPr="0075595E" w:rsidRDefault="00302BFE" w:rsidP="00243B15">
            <w:pPr>
              <w:pStyle w:val="TableStyle2A"/>
              <w:jc w:val="center"/>
              <w:rPr>
                <w:rFonts w:ascii="Calibri" w:hAnsi="Calibri"/>
                <w:sz w:val="18"/>
                <w:szCs w:val="18"/>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18C1D1DE" w14:textId="77777777" w:rsidR="00302BFE" w:rsidRPr="0075595E" w:rsidRDefault="00302BFE" w:rsidP="00243B15">
            <w:pPr>
              <w:spacing w:after="0"/>
              <w:jc w:val="center"/>
              <w:rPr>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E9CE652"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43CCC3A"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B73B13F" w14:textId="77777777" w:rsidR="00302BFE" w:rsidRPr="0075595E" w:rsidRDefault="00302BFE" w:rsidP="00243B15">
            <w:pPr>
              <w:pStyle w:val="TableStyle2A"/>
              <w:jc w:val="center"/>
              <w:rPr>
                <w:rStyle w:val="Hyperlink0"/>
                <w:rFonts w:ascii="Calibri" w:hAnsi="Calibri"/>
                <w:sz w:val="18"/>
                <w:szCs w:val="18"/>
                <w:lang w:val="fr-FR"/>
              </w:rPr>
            </w:pPr>
          </w:p>
        </w:tc>
      </w:tr>
      <w:tr w:rsidR="00714F9A" w:rsidRPr="0075595E" w14:paraId="6A33FEE1"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CA8B3BB" w14:textId="77777777" w:rsidR="00714F9A" w:rsidRPr="0075595E" w:rsidRDefault="00714F9A" w:rsidP="00243B15">
            <w:pPr>
              <w:spacing w:after="0"/>
              <w:rPr>
                <w:rFonts w:eastAsia="Arial Unicode MS" w:cs="Arial Unicode MS"/>
                <w:color w:val="314924"/>
                <w:sz w:val="18"/>
                <w:szCs w:val="18"/>
                <w:u w:color="314924"/>
                <w:bdr w:val="nil"/>
              </w:rPr>
            </w:pPr>
            <w:r>
              <w:rPr>
                <w:rFonts w:eastAsia="Arial Unicode MS" w:cs="Arial Unicode MS"/>
                <w:color w:val="314924"/>
                <w:sz w:val="18"/>
                <w:szCs w:val="18"/>
                <w:u w:color="314924"/>
                <w:bdr w:val="nil"/>
              </w:rPr>
              <w:t>Sanou Z.H. Rodrig</w:t>
            </w:r>
            <w:r w:rsidR="000344D0">
              <w:rPr>
                <w:rFonts w:eastAsia="Arial Unicode MS" w:cs="Arial Unicode MS"/>
                <w:color w:val="314924"/>
                <w:sz w:val="18"/>
                <w:szCs w:val="18"/>
                <w:u w:color="314924"/>
                <w:bdr w:val="nil"/>
              </w:rPr>
              <w:t>ue</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0F03C223" w14:textId="77777777" w:rsidR="00714F9A" w:rsidRPr="0075595E" w:rsidRDefault="00714F9A" w:rsidP="00243B15">
            <w:pPr>
              <w:spacing w:after="0"/>
              <w:rPr>
                <w:rFonts w:eastAsia="Arial Unicode MS" w:cs="Arial Unicode MS"/>
                <w:color w:val="314924"/>
                <w:sz w:val="18"/>
                <w:szCs w:val="18"/>
                <w:u w:color="314924"/>
                <w:bdr w:val="nil"/>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E3B6AD8" w14:textId="77777777" w:rsidR="00714F9A" w:rsidRPr="0075595E" w:rsidRDefault="000344D0" w:rsidP="00243B15">
            <w:pPr>
              <w:spacing w:after="0"/>
              <w:rPr>
                <w:rFonts w:eastAsia="Arial Unicode MS" w:cs="Arial Unicode MS"/>
                <w:color w:val="314924"/>
                <w:sz w:val="18"/>
                <w:szCs w:val="18"/>
                <w:u w:color="314924"/>
                <w:bdr w:val="nil"/>
              </w:rPr>
            </w:pPr>
            <w:r>
              <w:rPr>
                <w:rFonts w:eastAsia="Arial Unicode MS" w:cs="Arial Unicode MS"/>
                <w:color w:val="314924"/>
                <w:sz w:val="18"/>
                <w:szCs w:val="18"/>
                <w:u w:color="314924"/>
                <w:bdr w:val="nil"/>
              </w:rPr>
              <w:t>DGESS Environnement</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87EA7CC" w14:textId="77777777" w:rsidR="00714F9A" w:rsidRPr="0075595E" w:rsidRDefault="000344D0" w:rsidP="00243B15">
            <w:pPr>
              <w:spacing w:after="0"/>
              <w:rPr>
                <w:rFonts w:eastAsia="Arial Unicode MS" w:cs="Arial Unicode MS"/>
                <w:color w:val="314924"/>
                <w:sz w:val="18"/>
                <w:szCs w:val="18"/>
                <w:u w:color="314924"/>
                <w:bdr w:val="nil"/>
              </w:rPr>
            </w:pPr>
            <w:r>
              <w:rPr>
                <w:rFonts w:eastAsia="Arial Unicode MS" w:cs="Arial Unicode MS"/>
                <w:color w:val="314924"/>
                <w:sz w:val="18"/>
                <w:szCs w:val="18"/>
                <w:u w:color="314924"/>
                <w:bdr w:val="nil"/>
              </w:rPr>
              <w:t>76319109</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DF83A50" w14:textId="77777777" w:rsidR="00714F9A" w:rsidRPr="002854BE" w:rsidRDefault="000344D0" w:rsidP="00243B15">
            <w:pPr>
              <w:pStyle w:val="TableStyle2A"/>
              <w:rPr>
                <w:rFonts w:ascii="Calibri" w:hAnsi="Calibri"/>
                <w:sz w:val="18"/>
                <w:szCs w:val="18"/>
              </w:rPr>
            </w:pPr>
            <w:r>
              <w:rPr>
                <w:rFonts w:ascii="Calibri" w:hAnsi="Calibri"/>
                <w:sz w:val="18"/>
                <w:szCs w:val="18"/>
              </w:rPr>
              <w:t>rodoanhyacinthe@yahoo.fr</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6E1FCE9" w14:textId="77777777" w:rsidR="00714F9A" w:rsidRPr="0075595E" w:rsidRDefault="00714F9A" w:rsidP="00243B15">
            <w:pPr>
              <w:pStyle w:val="TableStyle2A"/>
              <w:jc w:val="center"/>
              <w:rPr>
                <w:rStyle w:val="Hyperlink0"/>
                <w:rFonts w:ascii="Calibri" w:hAnsi="Calibri"/>
                <w:sz w:val="18"/>
                <w:szCs w:val="18"/>
                <w:u w:val="none"/>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76B0350F" w14:textId="77777777" w:rsidR="00714F9A" w:rsidRPr="0075595E" w:rsidRDefault="00714F9A" w:rsidP="00243B15">
            <w:pPr>
              <w:spacing w:after="0"/>
              <w:jc w:val="center"/>
              <w:rPr>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0F0660D" w14:textId="77777777" w:rsidR="00714F9A" w:rsidRPr="0075595E" w:rsidRDefault="00714F9A"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187E641" w14:textId="77777777" w:rsidR="00714F9A" w:rsidRPr="0075595E" w:rsidRDefault="00714F9A"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59903CF" w14:textId="77777777" w:rsidR="00714F9A" w:rsidRPr="0075595E" w:rsidRDefault="000344D0" w:rsidP="00243B15">
            <w:pPr>
              <w:pStyle w:val="TableStyle2A"/>
              <w:jc w:val="center"/>
              <w:rPr>
                <w:rStyle w:val="Hyperlink0"/>
                <w:rFonts w:ascii="Calibri" w:hAnsi="Calibri"/>
                <w:sz w:val="18"/>
                <w:szCs w:val="18"/>
                <w:lang w:val="fr-FR"/>
              </w:rPr>
            </w:pPr>
            <w:r w:rsidRPr="0075595E">
              <w:rPr>
                <w:rStyle w:val="Hyperlink0"/>
                <w:rFonts w:ascii="Calibri" w:hAnsi="Calibri"/>
                <w:sz w:val="18"/>
                <w:szCs w:val="18"/>
                <w:u w:val="none"/>
              </w:rPr>
              <w:sym w:font="Wingdings" w:char="F0FC"/>
            </w:r>
          </w:p>
        </w:tc>
      </w:tr>
      <w:tr w:rsidR="00302BFE" w:rsidRPr="002854BE" w14:paraId="2EE8B80A" w14:textId="77777777" w:rsidTr="00243B15">
        <w:trPr>
          <w:jc w:val="center"/>
        </w:trPr>
        <w:tc>
          <w:tcPr>
            <w:tcW w:w="13744" w:type="dxa"/>
            <w:gridSpan w:val="10"/>
            <w:tcBorders>
              <w:top w:val="single" w:sz="2" w:space="0" w:color="000000"/>
              <w:left w:val="single" w:sz="2" w:space="0" w:color="000000"/>
              <w:bottom w:val="single" w:sz="2" w:space="0" w:color="000000"/>
              <w:right w:val="single" w:sz="2" w:space="0" w:color="000000"/>
            </w:tcBorders>
            <w:shd w:val="clear" w:color="auto" w:fill="FFF2CC"/>
            <w:tcMar>
              <w:top w:w="80" w:type="dxa"/>
              <w:left w:w="80" w:type="dxa"/>
              <w:bottom w:w="80" w:type="dxa"/>
              <w:right w:w="80" w:type="dxa"/>
            </w:tcMar>
          </w:tcPr>
          <w:p w14:paraId="67C5EB82" w14:textId="77777777" w:rsidR="00302BFE" w:rsidRPr="002854BE" w:rsidRDefault="00302BFE" w:rsidP="00243B15">
            <w:pPr>
              <w:pStyle w:val="TableStyle2A"/>
              <w:rPr>
                <w:rStyle w:val="Hyperlink0"/>
                <w:rFonts w:ascii="Calibri" w:hAnsi="Calibri"/>
                <w:b/>
                <w:sz w:val="18"/>
                <w:szCs w:val="18"/>
                <w:u w:val="none"/>
                <w:lang w:val="en-CA"/>
              </w:rPr>
            </w:pPr>
            <w:r w:rsidRPr="002854BE">
              <w:rPr>
                <w:rStyle w:val="Hyperlink0"/>
                <w:rFonts w:ascii="Calibri" w:hAnsi="Calibri"/>
                <w:b/>
                <w:sz w:val="18"/>
                <w:szCs w:val="18"/>
                <w:u w:val="none"/>
                <w:lang w:val="en-CA"/>
              </w:rPr>
              <w:t>Capacity assessment with the General Directorate of Water and Forests and the National Office of Protected Areas, 1</w:t>
            </w:r>
            <w:r>
              <w:rPr>
                <w:rStyle w:val="Hyperlink0"/>
                <w:rFonts w:ascii="Calibri" w:hAnsi="Calibri"/>
                <w:b/>
                <w:sz w:val="18"/>
                <w:szCs w:val="18"/>
                <w:u w:val="none"/>
                <w:lang w:val="en-CA"/>
              </w:rPr>
              <w:t>2</w:t>
            </w:r>
            <w:r w:rsidRPr="002854BE">
              <w:rPr>
                <w:rStyle w:val="Hyperlink0"/>
                <w:rFonts w:ascii="Calibri" w:hAnsi="Calibri"/>
                <w:b/>
                <w:sz w:val="18"/>
                <w:szCs w:val="18"/>
                <w:u w:val="none"/>
                <w:lang w:val="en-CA"/>
              </w:rPr>
              <w:t>/1</w:t>
            </w:r>
            <w:r>
              <w:rPr>
                <w:rStyle w:val="Hyperlink0"/>
                <w:rFonts w:ascii="Calibri" w:hAnsi="Calibri"/>
                <w:b/>
                <w:sz w:val="18"/>
                <w:szCs w:val="18"/>
                <w:u w:val="none"/>
                <w:lang w:val="en-CA"/>
              </w:rPr>
              <w:t>4</w:t>
            </w:r>
            <w:r w:rsidRPr="002854BE">
              <w:rPr>
                <w:rStyle w:val="Hyperlink0"/>
                <w:rFonts w:ascii="Calibri" w:hAnsi="Calibri"/>
                <w:b/>
                <w:sz w:val="18"/>
                <w:szCs w:val="18"/>
                <w:u w:val="none"/>
                <w:lang w:val="en-CA"/>
              </w:rPr>
              <w:t>/2018</w:t>
            </w:r>
          </w:p>
        </w:tc>
      </w:tr>
      <w:tr w:rsidR="00302BFE" w:rsidRPr="0075595E" w14:paraId="7B0E8FB2"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0E91AFF"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Traoré A. Maurille</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79BD676C" w14:textId="77777777" w:rsidR="00302BFE" w:rsidRPr="0075595E" w:rsidRDefault="00302BFE" w:rsidP="00243B15">
            <w:pPr>
              <w:pStyle w:val="TableStyle2A"/>
              <w:rPr>
                <w:rFonts w:ascii="Calibri" w:hAnsi="Calibri"/>
                <w:sz w:val="18"/>
                <w:szCs w:val="18"/>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235A2AD"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OFINAP</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EAEBE36"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70168862</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0C3DEBA" w14:textId="77777777" w:rsidR="00302BFE" w:rsidRPr="002854BE" w:rsidRDefault="00302BFE" w:rsidP="00243B15">
            <w:pPr>
              <w:pStyle w:val="TableStyle2A"/>
              <w:rPr>
                <w:rFonts w:ascii="Calibri" w:hAnsi="Calibri"/>
                <w:sz w:val="18"/>
                <w:szCs w:val="18"/>
              </w:rPr>
            </w:pPr>
            <w:r w:rsidRPr="002854BE">
              <w:rPr>
                <w:rFonts w:ascii="Calibri" w:hAnsi="Calibri"/>
                <w:sz w:val="18"/>
                <w:szCs w:val="18"/>
              </w:rPr>
              <w:t>Traorealain47@yahoo.com</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5447FDA"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3FE9B8D2" w14:textId="77777777" w:rsidR="00302BFE" w:rsidRPr="0075595E" w:rsidRDefault="00302BFE" w:rsidP="00243B15">
            <w:pPr>
              <w:spacing w:after="0"/>
              <w:jc w:val="center"/>
              <w:rPr>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46415FA"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EABC874" w14:textId="77777777" w:rsidR="00302BFE" w:rsidRPr="0075595E" w:rsidRDefault="00302BFE" w:rsidP="00243B15">
            <w:pPr>
              <w:pStyle w:val="TableStyle2A"/>
              <w:jc w:val="center"/>
              <w:rPr>
                <w:rFonts w:ascii="Calibri" w:hAnsi="Calibri"/>
                <w:sz w:val="18"/>
                <w:szCs w:val="18"/>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F35B931"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10D8C903"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8ABAC74"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 xml:space="preserve">Lompo Hamidou </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6D03C3AB" w14:textId="77777777" w:rsidR="00302BFE" w:rsidRPr="0075595E" w:rsidRDefault="00302BFE" w:rsidP="00243B15">
            <w:pPr>
              <w:pStyle w:val="TableStyle2A"/>
              <w:rPr>
                <w:rFonts w:ascii="Calibri" w:hAnsi="Calibri"/>
                <w:sz w:val="18"/>
                <w:szCs w:val="18"/>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47655C1"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OFINAP</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AC4B6D7"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70804819</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7A714E5" w14:textId="77777777" w:rsidR="00302BFE" w:rsidRPr="002854BE" w:rsidRDefault="00302BFE" w:rsidP="00243B15">
            <w:pPr>
              <w:pStyle w:val="TableStyle2A"/>
              <w:rPr>
                <w:rFonts w:ascii="Calibri" w:hAnsi="Calibri"/>
                <w:sz w:val="18"/>
                <w:szCs w:val="18"/>
              </w:rPr>
            </w:pPr>
            <w:r w:rsidRPr="002854BE">
              <w:rPr>
                <w:rFonts w:ascii="Calibri" w:hAnsi="Calibri"/>
                <w:sz w:val="18"/>
                <w:szCs w:val="18"/>
              </w:rPr>
              <w:t>koiladja@yahoo.fr</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FD97746"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74C18959" w14:textId="77777777" w:rsidR="00302BFE" w:rsidRPr="0075595E" w:rsidRDefault="00302BFE" w:rsidP="00243B15">
            <w:pPr>
              <w:spacing w:after="0"/>
              <w:jc w:val="center"/>
              <w:rPr>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FBF2221"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28D1D23" w14:textId="77777777" w:rsidR="00302BFE" w:rsidRPr="0075595E" w:rsidRDefault="00302BFE" w:rsidP="00243B15">
            <w:pPr>
              <w:pStyle w:val="TableStyle2A"/>
              <w:jc w:val="center"/>
              <w:rPr>
                <w:rFonts w:ascii="Calibri" w:hAnsi="Calibri"/>
                <w:sz w:val="18"/>
                <w:szCs w:val="18"/>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AA396B1"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7A634715"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7A44138"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Gnoumou Isaac</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2366E5F9"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DFRC</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D915920"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DGEF</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C14E809"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71227201</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91658B8" w14:textId="77777777" w:rsidR="00302BFE" w:rsidRPr="002854BE" w:rsidRDefault="00302BFE" w:rsidP="00243B15">
            <w:pPr>
              <w:pStyle w:val="TableStyle2A"/>
              <w:rPr>
                <w:rFonts w:ascii="Calibri" w:hAnsi="Calibri"/>
                <w:sz w:val="18"/>
                <w:szCs w:val="18"/>
              </w:rPr>
            </w:pPr>
            <w:r w:rsidRPr="002854BE">
              <w:rPr>
                <w:rFonts w:ascii="Calibri" w:hAnsi="Calibri"/>
                <w:sz w:val="18"/>
                <w:szCs w:val="18"/>
              </w:rPr>
              <w:t>godporipisaac@yahoo.fr</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9564E35"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4F03060B" w14:textId="77777777" w:rsidR="00302BFE" w:rsidRPr="0075595E" w:rsidRDefault="00302BFE" w:rsidP="00243B15">
            <w:pPr>
              <w:spacing w:after="0"/>
              <w:jc w:val="center"/>
              <w:rPr>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20BB614"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654EE30" w14:textId="77777777" w:rsidR="00302BFE" w:rsidRPr="0075595E" w:rsidRDefault="00302BFE" w:rsidP="00243B15">
            <w:pPr>
              <w:pStyle w:val="TableStyle2A"/>
              <w:jc w:val="center"/>
              <w:rPr>
                <w:rFonts w:ascii="Calibri" w:hAnsi="Calibri"/>
                <w:sz w:val="18"/>
                <w:szCs w:val="18"/>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34287E0"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6DF14E36"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DAADEFF"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 xml:space="preserve">Traoré Daouda </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2F39CBE8" w14:textId="77777777" w:rsidR="00302BFE" w:rsidRPr="0075595E" w:rsidRDefault="00302BFE" w:rsidP="00243B15">
            <w:pPr>
              <w:pStyle w:val="TableStyle2A"/>
              <w:rPr>
                <w:rFonts w:ascii="Calibri" w:hAnsi="Calibri"/>
                <w:sz w:val="18"/>
                <w:szCs w:val="18"/>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7505301"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OFINAP</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F8D3165"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70426852</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6ACB5FA" w14:textId="77777777" w:rsidR="00302BFE" w:rsidRPr="002854BE" w:rsidRDefault="00302BFE" w:rsidP="00243B15">
            <w:pPr>
              <w:pStyle w:val="TableStyle2A"/>
              <w:rPr>
                <w:rFonts w:ascii="Calibri" w:hAnsi="Calibri"/>
                <w:sz w:val="18"/>
                <w:szCs w:val="18"/>
              </w:rPr>
            </w:pPr>
            <w:r w:rsidRPr="002854BE">
              <w:rPr>
                <w:rFonts w:ascii="Calibri" w:hAnsi="Calibri"/>
                <w:sz w:val="18"/>
                <w:szCs w:val="18"/>
              </w:rPr>
              <w:t>Traore_daou@yahoo.fr</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ACDF9D5"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5AF63B31" w14:textId="77777777" w:rsidR="00302BFE" w:rsidRPr="0075595E" w:rsidRDefault="00302BFE" w:rsidP="00243B15">
            <w:pPr>
              <w:spacing w:after="0"/>
              <w:jc w:val="center"/>
              <w:rPr>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349A656"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B7EFB6C" w14:textId="77777777" w:rsidR="00302BFE" w:rsidRPr="0075595E" w:rsidRDefault="00302BFE" w:rsidP="00243B15">
            <w:pPr>
              <w:pStyle w:val="TableStyle2A"/>
              <w:jc w:val="center"/>
              <w:rPr>
                <w:rFonts w:ascii="Calibri" w:hAnsi="Calibri"/>
                <w:sz w:val="18"/>
                <w:szCs w:val="18"/>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1803155"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236043CD"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D5260A1"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Yaméogo Dieudonné</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3C51F9CC" w14:textId="77777777" w:rsidR="00302BFE" w:rsidRPr="0075595E" w:rsidRDefault="00302BFE" w:rsidP="00243B15">
            <w:pPr>
              <w:pStyle w:val="TableStyle2A"/>
              <w:rPr>
                <w:rFonts w:ascii="Calibri" w:hAnsi="Calibri"/>
                <w:sz w:val="18"/>
                <w:szCs w:val="18"/>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FE8E3DF" w14:textId="77777777" w:rsidR="00302BFE" w:rsidRPr="0075595E" w:rsidRDefault="00302BFE" w:rsidP="00243B15">
            <w:pPr>
              <w:pStyle w:val="TableStyle2A"/>
              <w:rPr>
                <w:rFonts w:ascii="Calibri" w:hAnsi="Calibri"/>
                <w:sz w:val="18"/>
                <w:szCs w:val="18"/>
                <w:lang w:val="fr-CA"/>
              </w:rPr>
            </w:pPr>
            <w:r w:rsidRPr="0075595E">
              <w:rPr>
                <w:rFonts w:ascii="Calibri" w:hAnsi="Calibri"/>
                <w:sz w:val="18"/>
                <w:szCs w:val="18"/>
                <w:lang w:val="fr-CA"/>
              </w:rPr>
              <w:t xml:space="preserve">Unité de gestion de Nazinga </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47AB6E9"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70752339</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2C7B467" w14:textId="77777777" w:rsidR="00302BFE" w:rsidRPr="002854BE" w:rsidRDefault="00302BFE" w:rsidP="00243B15">
            <w:pPr>
              <w:pStyle w:val="TableStyle2A"/>
              <w:rPr>
                <w:rFonts w:ascii="Calibri" w:hAnsi="Calibri"/>
                <w:sz w:val="18"/>
                <w:szCs w:val="18"/>
              </w:rPr>
            </w:pPr>
            <w:r w:rsidRPr="002854BE">
              <w:rPr>
                <w:rFonts w:ascii="Calibri" w:hAnsi="Calibri"/>
                <w:sz w:val="18"/>
                <w:szCs w:val="18"/>
              </w:rPr>
              <w:t>Yam_dieu@yahoo.fr</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260B042"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52568979" w14:textId="77777777" w:rsidR="00302BFE" w:rsidRPr="0075595E" w:rsidRDefault="00302BFE" w:rsidP="00243B15">
            <w:pPr>
              <w:spacing w:after="0"/>
              <w:jc w:val="center"/>
              <w:rPr>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CE4DB52"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2BECD01" w14:textId="77777777" w:rsidR="00302BFE" w:rsidRPr="0075595E" w:rsidRDefault="00302BFE" w:rsidP="00243B15">
            <w:pPr>
              <w:pStyle w:val="TableStyle2A"/>
              <w:jc w:val="center"/>
              <w:rPr>
                <w:rFonts w:ascii="Calibri" w:hAnsi="Calibri"/>
                <w:sz w:val="18"/>
                <w:szCs w:val="18"/>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CCB6EA2"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11EF3FF0"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F15C832"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Doamba B</w:t>
            </w:r>
            <w:r>
              <w:rPr>
                <w:rFonts w:ascii="Calibri" w:hAnsi="Calibri"/>
                <w:sz w:val="18"/>
                <w:szCs w:val="18"/>
              </w:rPr>
              <w:t>e</w:t>
            </w:r>
            <w:r w:rsidRPr="0075595E">
              <w:rPr>
                <w:rFonts w:ascii="Calibri" w:hAnsi="Calibri"/>
                <w:sz w:val="18"/>
                <w:szCs w:val="18"/>
              </w:rPr>
              <w:t xml:space="preserve">noit </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41ADECE6"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DPRC</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865F903"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DGEF</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B0ED08B"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70097177</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2631FEA" w14:textId="77777777" w:rsidR="00302BFE" w:rsidRPr="002854BE" w:rsidRDefault="00302BFE" w:rsidP="00243B15">
            <w:pPr>
              <w:pStyle w:val="TableStyle2A"/>
              <w:rPr>
                <w:rFonts w:ascii="Calibri" w:hAnsi="Calibri"/>
                <w:sz w:val="18"/>
                <w:szCs w:val="18"/>
              </w:rPr>
            </w:pPr>
            <w:r w:rsidRPr="002854BE">
              <w:rPr>
                <w:rFonts w:ascii="Calibri" w:hAnsi="Calibri"/>
                <w:sz w:val="18"/>
                <w:szCs w:val="18"/>
              </w:rPr>
              <w:t>benoitdoamba@hotmail.com</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FCC2F6C"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tcPr>
          <w:p w14:paraId="17440CCA" w14:textId="77777777" w:rsidR="00302BFE" w:rsidRPr="0075595E" w:rsidRDefault="00302BFE" w:rsidP="00243B15">
            <w:pPr>
              <w:spacing w:after="0"/>
              <w:jc w:val="center"/>
              <w:rPr>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8AB70F5"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4193D18" w14:textId="77777777" w:rsidR="00302BFE" w:rsidRPr="0075595E" w:rsidRDefault="00302BFE" w:rsidP="00243B15">
            <w:pPr>
              <w:pStyle w:val="TableStyle2A"/>
              <w:jc w:val="center"/>
              <w:rPr>
                <w:rFonts w:ascii="Calibri" w:hAnsi="Calibri"/>
                <w:sz w:val="18"/>
                <w:szCs w:val="18"/>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749B69B"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75595E" w14:paraId="264FF74C"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27495AF"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Yaméogo Nongma</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6D9F1697" w14:textId="77777777" w:rsidR="00302BFE" w:rsidRPr="0075595E" w:rsidRDefault="00302BFE" w:rsidP="00243B15">
            <w:pPr>
              <w:pStyle w:val="TableStyle2A"/>
              <w:rPr>
                <w:rFonts w:ascii="Calibri" w:hAnsi="Calibri"/>
                <w:sz w:val="18"/>
                <w:szCs w:val="18"/>
              </w:rPr>
            </w:pP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B328BA8"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OFINAP</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D24559E" w14:textId="77777777" w:rsidR="00302BFE" w:rsidRPr="0075595E" w:rsidRDefault="00302BFE" w:rsidP="00243B15">
            <w:pPr>
              <w:pStyle w:val="TableStyle2A"/>
              <w:rPr>
                <w:rFonts w:ascii="Calibri" w:hAnsi="Calibri"/>
                <w:sz w:val="18"/>
                <w:szCs w:val="18"/>
              </w:rPr>
            </w:pPr>
            <w:r w:rsidRPr="0075595E">
              <w:rPr>
                <w:rFonts w:ascii="Calibri" w:hAnsi="Calibri"/>
                <w:sz w:val="18"/>
                <w:szCs w:val="18"/>
              </w:rPr>
              <w:t>70003326</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5F560F8" w14:textId="77777777" w:rsidR="00302BFE" w:rsidRPr="002854BE" w:rsidRDefault="00302BFE" w:rsidP="00243B15">
            <w:pPr>
              <w:pStyle w:val="TableStyle2A"/>
              <w:rPr>
                <w:rFonts w:ascii="Calibri" w:hAnsi="Calibri"/>
                <w:sz w:val="18"/>
                <w:szCs w:val="18"/>
              </w:rPr>
            </w:pPr>
            <w:r w:rsidRPr="002854BE">
              <w:rPr>
                <w:rFonts w:ascii="Calibri" w:hAnsi="Calibri"/>
                <w:sz w:val="18"/>
                <w:szCs w:val="18"/>
              </w:rPr>
              <w:t>yameogogonjoseph@yahoo.fr</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195EA61"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F4D4E60"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3C48920" w14:textId="77777777" w:rsidR="00302BFE" w:rsidRPr="0075595E" w:rsidRDefault="00302BFE" w:rsidP="00243B15">
            <w:pPr>
              <w:pStyle w:val="TableStyle2A"/>
              <w:jc w:val="center"/>
              <w:rPr>
                <w:rFonts w:ascii="Calibri" w:hAnsi="Calibri"/>
                <w:sz w:val="18"/>
                <w:szCs w:val="18"/>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5CD58B4" w14:textId="77777777" w:rsidR="00302BFE" w:rsidRPr="0075595E" w:rsidRDefault="00302BFE" w:rsidP="00243B15">
            <w:pPr>
              <w:pStyle w:val="TableStyle2A"/>
              <w:jc w:val="center"/>
              <w:rPr>
                <w:rFonts w:ascii="Calibri" w:hAnsi="Calibri"/>
                <w:sz w:val="18"/>
                <w:szCs w:val="18"/>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1D0E78D"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305FF7" w14:paraId="709D2249" w14:textId="77777777" w:rsidTr="00243B15">
        <w:trPr>
          <w:jc w:val="center"/>
        </w:trPr>
        <w:tc>
          <w:tcPr>
            <w:tcW w:w="13744" w:type="dxa"/>
            <w:gridSpan w:val="10"/>
            <w:tcBorders>
              <w:top w:val="single" w:sz="2" w:space="0" w:color="000000"/>
              <w:left w:val="single" w:sz="2" w:space="0" w:color="000000"/>
              <w:bottom w:val="single" w:sz="2" w:space="0" w:color="000000"/>
              <w:right w:val="single" w:sz="2" w:space="0" w:color="000000"/>
            </w:tcBorders>
            <w:shd w:val="clear" w:color="auto" w:fill="FFF2CC"/>
            <w:tcMar>
              <w:top w:w="80" w:type="dxa"/>
              <w:left w:w="80" w:type="dxa"/>
              <w:bottom w:w="80" w:type="dxa"/>
              <w:right w:w="80" w:type="dxa"/>
            </w:tcMar>
          </w:tcPr>
          <w:p w14:paraId="64CEE7BD" w14:textId="77777777" w:rsidR="00302BFE" w:rsidRPr="00A26F12" w:rsidRDefault="00302BFE" w:rsidP="00243B15">
            <w:pPr>
              <w:pStyle w:val="TableStyle2A"/>
              <w:rPr>
                <w:rStyle w:val="Hyperlink0"/>
                <w:rFonts w:ascii="Calibri" w:hAnsi="Calibri"/>
                <w:b/>
                <w:sz w:val="18"/>
                <w:szCs w:val="18"/>
                <w:u w:val="none"/>
                <w:lang w:val="en-CA"/>
              </w:rPr>
            </w:pPr>
            <w:r w:rsidRPr="00A26F12">
              <w:rPr>
                <w:rStyle w:val="Hyperlink0"/>
                <w:rFonts w:ascii="Calibri" w:hAnsi="Calibri"/>
                <w:b/>
                <w:sz w:val="18"/>
                <w:szCs w:val="18"/>
                <w:u w:val="none"/>
                <w:lang w:val="en-CA"/>
              </w:rPr>
              <w:t>Meetings with Ghana's partners to discuss collaboration for the protection of shared resources, held in Bolgatenga and Paga (Ghana) on 29 and 30 October 2018</w:t>
            </w:r>
          </w:p>
        </w:tc>
      </w:tr>
      <w:tr w:rsidR="00302BFE" w:rsidRPr="002C0222" w14:paraId="73E3CFA4"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739488C" w14:textId="77777777" w:rsidR="00302BFE" w:rsidRPr="002C0222" w:rsidRDefault="00302BFE" w:rsidP="00243B15">
            <w:pPr>
              <w:pStyle w:val="TableStyle2A"/>
              <w:rPr>
                <w:rFonts w:ascii="Calibri" w:hAnsi="Calibri"/>
                <w:sz w:val="18"/>
                <w:szCs w:val="18"/>
              </w:rPr>
            </w:pPr>
            <w:r w:rsidRPr="002C0222">
              <w:rPr>
                <w:rFonts w:ascii="Calibri" w:hAnsi="Calibri"/>
                <w:sz w:val="18"/>
                <w:szCs w:val="18"/>
              </w:rPr>
              <w:t>SIMON Segbedzi</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4BA110C7" w14:textId="77777777" w:rsidR="00302BFE" w:rsidRPr="002C0222" w:rsidRDefault="00302BFE" w:rsidP="00243B15">
            <w:pPr>
              <w:pStyle w:val="TableStyle2A"/>
              <w:rPr>
                <w:rFonts w:ascii="Calibri" w:hAnsi="Calibri"/>
                <w:sz w:val="18"/>
                <w:szCs w:val="18"/>
              </w:rPr>
            </w:pPr>
            <w:r w:rsidRPr="006D681F">
              <w:rPr>
                <w:rFonts w:ascii="Calibri" w:hAnsi="Calibri"/>
                <w:sz w:val="18"/>
                <w:szCs w:val="18"/>
              </w:rPr>
              <w:t>Forest</w:t>
            </w:r>
            <w:r>
              <w:rPr>
                <w:rFonts w:ascii="Calibri" w:hAnsi="Calibri"/>
                <w:sz w:val="18"/>
                <w:szCs w:val="18"/>
              </w:rPr>
              <w:t xml:space="preserve"> officer</w:t>
            </w:r>
            <w:r w:rsidRPr="006D681F">
              <w:rPr>
                <w:rFonts w:ascii="Calibri" w:hAnsi="Calibri"/>
                <w:sz w:val="18"/>
                <w:szCs w:val="18"/>
              </w:rPr>
              <w:t>, in charge of corridors</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D0D8E09" w14:textId="77777777" w:rsidR="00302BFE" w:rsidRPr="002C0222" w:rsidRDefault="00302BFE" w:rsidP="00243B15">
            <w:pPr>
              <w:pStyle w:val="TableStyle2A"/>
              <w:rPr>
                <w:rFonts w:ascii="Calibri" w:hAnsi="Calibri"/>
                <w:sz w:val="18"/>
                <w:szCs w:val="18"/>
              </w:rPr>
            </w:pPr>
            <w:r w:rsidRPr="002C0222">
              <w:rPr>
                <w:rFonts w:ascii="Calibri" w:hAnsi="Calibri"/>
                <w:sz w:val="18"/>
                <w:szCs w:val="18"/>
              </w:rPr>
              <w:t>Wildlife Division</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C0EF71E" w14:textId="77777777" w:rsidR="00302BFE" w:rsidRPr="002C0222" w:rsidRDefault="00302BFE" w:rsidP="00243B15">
            <w:pPr>
              <w:pStyle w:val="TableStyle2A"/>
              <w:rPr>
                <w:rFonts w:ascii="Calibri" w:hAnsi="Calibri"/>
                <w:sz w:val="18"/>
                <w:szCs w:val="18"/>
              </w:rPr>
            </w:pPr>
            <w:r w:rsidRPr="002C0222">
              <w:rPr>
                <w:rFonts w:ascii="Calibri" w:hAnsi="Calibri"/>
                <w:sz w:val="18"/>
                <w:szCs w:val="18"/>
              </w:rPr>
              <w:t>0243510995</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52AF983" w14:textId="77777777" w:rsidR="00302BFE" w:rsidRPr="002854BE" w:rsidRDefault="00302BFE" w:rsidP="00243B15">
            <w:pPr>
              <w:pStyle w:val="TableStyle2A"/>
              <w:rPr>
                <w:rFonts w:ascii="Calibri" w:hAnsi="Calibri"/>
                <w:sz w:val="18"/>
                <w:szCs w:val="18"/>
                <w:lang w:val="fr-CA"/>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CB2F898" w14:textId="77777777" w:rsidR="00302BFE" w:rsidRPr="002C0222" w:rsidRDefault="00302BFE" w:rsidP="00243B15">
            <w:pPr>
              <w:pStyle w:val="TableStyle2A"/>
              <w:jc w:val="center"/>
              <w:rPr>
                <w:rFonts w:ascii="Calibri" w:hAnsi="Calibri"/>
                <w:sz w:val="18"/>
                <w:szCs w:val="18"/>
                <w:lang w:val="fr-CA"/>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8F7CF8A" w14:textId="77777777" w:rsidR="00302BFE" w:rsidRPr="002C0222" w:rsidRDefault="00302BFE" w:rsidP="00243B15">
            <w:pPr>
              <w:pStyle w:val="TableStyle2A"/>
              <w:jc w:val="center"/>
              <w:rPr>
                <w:rFonts w:ascii="Calibri" w:hAnsi="Calibri"/>
                <w:sz w:val="18"/>
                <w:szCs w:val="18"/>
                <w:lang w:val="fr-CA"/>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5E19F53" w14:textId="77777777" w:rsidR="00302BFE" w:rsidRPr="002C0222" w:rsidRDefault="00302BFE" w:rsidP="00243B15">
            <w:pPr>
              <w:pStyle w:val="TableStyle2A"/>
              <w:jc w:val="center"/>
              <w:rPr>
                <w:rFonts w:ascii="Calibri" w:hAnsi="Calibri"/>
                <w:sz w:val="18"/>
                <w:szCs w:val="18"/>
                <w:lang w:val="fr-CA"/>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BAA03D9" w14:textId="77777777" w:rsidR="00302BFE" w:rsidRPr="002C0222" w:rsidRDefault="00302BFE" w:rsidP="00243B15">
            <w:pPr>
              <w:pStyle w:val="TableStyle2A"/>
              <w:jc w:val="center"/>
              <w:rPr>
                <w:rStyle w:val="Hyperlink0"/>
                <w:rFonts w:ascii="Calibri" w:hAnsi="Calibri"/>
                <w:sz w:val="18"/>
                <w:szCs w:val="18"/>
                <w:u w:val="none"/>
                <w:lang w:val="fr-CA"/>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4628DBA"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2C0222" w14:paraId="3F7DED4A"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5A1B3D4" w14:textId="77777777" w:rsidR="00302BFE" w:rsidRPr="002C0222" w:rsidRDefault="00302BFE" w:rsidP="00243B15">
            <w:pPr>
              <w:pStyle w:val="TableStyle2A"/>
              <w:rPr>
                <w:rFonts w:ascii="Calibri" w:hAnsi="Calibri"/>
                <w:sz w:val="18"/>
                <w:szCs w:val="18"/>
              </w:rPr>
            </w:pPr>
            <w:r w:rsidRPr="002C0222">
              <w:rPr>
                <w:rFonts w:ascii="Calibri" w:hAnsi="Calibri"/>
                <w:sz w:val="18"/>
                <w:szCs w:val="18"/>
              </w:rPr>
              <w:t>Julius AWAREGGA</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277C7933" w14:textId="77777777" w:rsidR="00302BFE" w:rsidRPr="002C0222" w:rsidRDefault="00302BFE" w:rsidP="00243B15">
            <w:pPr>
              <w:pStyle w:val="TableStyle2A"/>
              <w:rPr>
                <w:rFonts w:ascii="Calibri" w:hAnsi="Calibri"/>
                <w:sz w:val="18"/>
                <w:szCs w:val="18"/>
              </w:rPr>
            </w:pPr>
            <w:r w:rsidRPr="002C0222">
              <w:rPr>
                <w:rFonts w:ascii="Calibri" w:hAnsi="Calibri"/>
                <w:sz w:val="18"/>
                <w:szCs w:val="18"/>
              </w:rPr>
              <w:t>Director</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D42614E" w14:textId="77777777" w:rsidR="00302BFE" w:rsidRPr="00F34497" w:rsidRDefault="00714F9A" w:rsidP="00243B15">
            <w:pPr>
              <w:pStyle w:val="TableStyle2A"/>
              <w:rPr>
                <w:rFonts w:ascii="Arial" w:hAnsi="Arial" w:cs="Arial"/>
                <w:color w:val="545454"/>
                <w:shd w:val="clear" w:color="auto" w:fill="FFFFFF"/>
              </w:rPr>
            </w:pPr>
            <w:r w:rsidRPr="00714F9A">
              <w:rPr>
                <w:rFonts w:ascii="Calibri" w:hAnsi="Calibri" w:cs="Arial"/>
                <w:color w:val="545454"/>
                <w:sz w:val="16"/>
                <w:szCs w:val="16"/>
                <w:shd w:val="clear" w:color="auto" w:fill="FFFFFF"/>
                <w:lang w:val="en-CA"/>
              </w:rPr>
              <w:t>Organization</w:t>
            </w:r>
            <w:r w:rsidR="00302BFE" w:rsidRPr="00714F9A">
              <w:rPr>
                <w:rFonts w:ascii="Calibri" w:hAnsi="Calibri" w:cs="Arial"/>
                <w:color w:val="545454"/>
                <w:sz w:val="16"/>
                <w:szCs w:val="16"/>
                <w:shd w:val="clear" w:color="auto" w:fill="FFFFFF"/>
                <w:lang w:val="en-CA"/>
              </w:rPr>
              <w:t xml:space="preserve"> for Indigenous Initiatives and sustainability (ORGIIS)</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69BEDFD" w14:textId="77777777" w:rsidR="00302BFE" w:rsidRPr="002C0222" w:rsidRDefault="00302BFE" w:rsidP="00243B15">
            <w:pPr>
              <w:pStyle w:val="TableStyle2A"/>
              <w:rPr>
                <w:rFonts w:ascii="Calibri" w:hAnsi="Calibri"/>
                <w:sz w:val="18"/>
                <w:szCs w:val="18"/>
              </w:rPr>
            </w:pP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705D81B" w14:textId="77777777" w:rsidR="00302BFE" w:rsidRPr="00BA18F6" w:rsidRDefault="0053008A" w:rsidP="00243B15">
            <w:pPr>
              <w:pStyle w:val="TableStyle2A"/>
              <w:rPr>
                <w:rFonts w:ascii="Calibri" w:hAnsi="Calibri"/>
                <w:sz w:val="18"/>
                <w:szCs w:val="18"/>
                <w:lang w:val="fr-CA"/>
              </w:rPr>
            </w:pPr>
            <w:hyperlink r:id="rId86" w:history="1">
              <w:r w:rsidR="00302BFE" w:rsidRPr="00BA18F6">
                <w:rPr>
                  <w:rStyle w:val="Lienhypertexte"/>
                  <w:rFonts w:ascii="Calibri" w:hAnsi="Calibri"/>
                  <w:sz w:val="18"/>
                  <w:szCs w:val="18"/>
                </w:rPr>
                <w:t>orgiisghana@yahoo.com</w:t>
              </w:r>
            </w:hyperlink>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6404B71" w14:textId="77777777" w:rsidR="00302BFE" w:rsidRPr="002C0222" w:rsidRDefault="00302BFE" w:rsidP="00243B15">
            <w:pPr>
              <w:pStyle w:val="TableStyle2A"/>
              <w:jc w:val="center"/>
              <w:rPr>
                <w:rFonts w:ascii="Calibri" w:hAnsi="Calibri"/>
                <w:sz w:val="18"/>
                <w:szCs w:val="18"/>
                <w:lang w:val="fr-CA"/>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B9AFA67" w14:textId="77777777" w:rsidR="00302BFE" w:rsidRPr="002C0222" w:rsidRDefault="00302BFE" w:rsidP="00243B15">
            <w:pPr>
              <w:pStyle w:val="TableStyle2A"/>
              <w:jc w:val="center"/>
              <w:rPr>
                <w:rFonts w:ascii="Calibri" w:hAnsi="Calibri"/>
                <w:sz w:val="18"/>
                <w:szCs w:val="18"/>
                <w:lang w:val="fr-CA"/>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3851EC7" w14:textId="77777777" w:rsidR="00302BFE" w:rsidRPr="002C0222" w:rsidRDefault="00302BFE" w:rsidP="00243B15">
            <w:pPr>
              <w:pStyle w:val="TableStyle2A"/>
              <w:jc w:val="center"/>
              <w:rPr>
                <w:rFonts w:ascii="Calibri" w:hAnsi="Calibri"/>
                <w:sz w:val="18"/>
                <w:szCs w:val="18"/>
                <w:lang w:val="fr-CA"/>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4FA9E92" w14:textId="77777777" w:rsidR="00302BFE" w:rsidRPr="002C0222" w:rsidRDefault="00302BFE" w:rsidP="00243B15">
            <w:pPr>
              <w:pStyle w:val="TableStyle2A"/>
              <w:jc w:val="center"/>
              <w:rPr>
                <w:rStyle w:val="Hyperlink0"/>
                <w:rFonts w:ascii="Calibri" w:hAnsi="Calibri"/>
                <w:sz w:val="18"/>
                <w:szCs w:val="18"/>
                <w:u w:val="none"/>
                <w:lang w:val="fr-CA"/>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DA21EA2"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2C0222" w14:paraId="5A706F61"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D0511D0" w14:textId="77777777" w:rsidR="00302BFE" w:rsidRPr="002C0222" w:rsidRDefault="00302BFE" w:rsidP="00243B15">
            <w:pPr>
              <w:pStyle w:val="TableStyle2A"/>
              <w:rPr>
                <w:rFonts w:ascii="Calibri" w:hAnsi="Calibri"/>
                <w:sz w:val="18"/>
                <w:szCs w:val="18"/>
              </w:rPr>
            </w:pPr>
            <w:r w:rsidRPr="002C0222">
              <w:rPr>
                <w:rFonts w:ascii="Calibri" w:hAnsi="Calibri"/>
                <w:sz w:val="18"/>
                <w:szCs w:val="18"/>
              </w:rPr>
              <w:t>John Naada</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268941EA" w14:textId="77777777" w:rsidR="00302BFE" w:rsidRPr="002C0222" w:rsidRDefault="00302BFE" w:rsidP="00243B15">
            <w:pPr>
              <w:pStyle w:val="TableStyle2A"/>
              <w:rPr>
                <w:rFonts w:ascii="Calibri" w:hAnsi="Calibri"/>
                <w:sz w:val="18"/>
                <w:szCs w:val="18"/>
              </w:rPr>
            </w:pPr>
            <w:r w:rsidRPr="002C0222">
              <w:rPr>
                <w:rFonts w:ascii="Calibri" w:hAnsi="Calibri"/>
                <w:sz w:val="18"/>
                <w:szCs w:val="18"/>
              </w:rPr>
              <w:t>Regional Manager</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AB27051" w14:textId="77777777" w:rsidR="00302BFE" w:rsidRPr="002C0222" w:rsidRDefault="00302BFE" w:rsidP="00243B15">
            <w:pPr>
              <w:pStyle w:val="TableStyle2A"/>
              <w:rPr>
                <w:rFonts w:ascii="Calibri" w:hAnsi="Calibri"/>
                <w:sz w:val="18"/>
                <w:szCs w:val="18"/>
              </w:rPr>
            </w:pPr>
            <w:r w:rsidRPr="002C0222">
              <w:rPr>
                <w:rFonts w:ascii="Calibri" w:hAnsi="Calibri"/>
                <w:sz w:val="18"/>
                <w:szCs w:val="18"/>
              </w:rPr>
              <w:t>Wildlife Division</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A8BCA1D" w14:textId="77777777" w:rsidR="00302BFE" w:rsidRPr="002C0222" w:rsidRDefault="00302BFE" w:rsidP="00243B15">
            <w:pPr>
              <w:pStyle w:val="TableStyle2A"/>
              <w:rPr>
                <w:rFonts w:ascii="Calibri" w:hAnsi="Calibri"/>
                <w:sz w:val="18"/>
                <w:szCs w:val="18"/>
              </w:rPr>
            </w:pPr>
            <w:r w:rsidRPr="002C0222">
              <w:rPr>
                <w:rFonts w:ascii="Calibri" w:hAnsi="Calibri"/>
                <w:sz w:val="18"/>
                <w:szCs w:val="18"/>
              </w:rPr>
              <w:t>0244167419</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FD58995" w14:textId="77777777" w:rsidR="00302BFE" w:rsidRPr="002854BE" w:rsidRDefault="00302BFE" w:rsidP="00243B15">
            <w:pPr>
              <w:pStyle w:val="TableStyle2A"/>
              <w:rPr>
                <w:rFonts w:ascii="Calibri" w:hAnsi="Calibri"/>
                <w:sz w:val="18"/>
                <w:szCs w:val="18"/>
                <w:lang w:val="fr-CA"/>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E0C0B2B" w14:textId="77777777" w:rsidR="00302BFE" w:rsidRPr="002C0222" w:rsidRDefault="00302BFE" w:rsidP="00243B15">
            <w:pPr>
              <w:pStyle w:val="TableStyle2A"/>
              <w:jc w:val="center"/>
              <w:rPr>
                <w:rFonts w:ascii="Calibri" w:hAnsi="Calibri"/>
                <w:sz w:val="18"/>
                <w:szCs w:val="18"/>
                <w:lang w:val="fr-CA"/>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F155BFE" w14:textId="77777777" w:rsidR="00302BFE" w:rsidRPr="002C0222" w:rsidRDefault="00302BFE" w:rsidP="00243B15">
            <w:pPr>
              <w:pStyle w:val="TableStyle2A"/>
              <w:jc w:val="center"/>
              <w:rPr>
                <w:rFonts w:ascii="Calibri" w:hAnsi="Calibri"/>
                <w:sz w:val="18"/>
                <w:szCs w:val="18"/>
                <w:lang w:val="fr-CA"/>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1770447" w14:textId="77777777" w:rsidR="00302BFE" w:rsidRPr="002C0222" w:rsidRDefault="00302BFE" w:rsidP="00243B15">
            <w:pPr>
              <w:pStyle w:val="TableStyle2A"/>
              <w:jc w:val="center"/>
              <w:rPr>
                <w:rFonts w:ascii="Calibri" w:hAnsi="Calibri"/>
                <w:sz w:val="18"/>
                <w:szCs w:val="18"/>
                <w:lang w:val="fr-CA"/>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DEBEBF0" w14:textId="77777777" w:rsidR="00302BFE" w:rsidRPr="002C0222" w:rsidRDefault="00302BFE" w:rsidP="00243B15">
            <w:pPr>
              <w:pStyle w:val="TableStyle2A"/>
              <w:jc w:val="center"/>
              <w:rPr>
                <w:rStyle w:val="Hyperlink0"/>
                <w:rFonts w:ascii="Calibri" w:hAnsi="Calibri"/>
                <w:sz w:val="18"/>
                <w:szCs w:val="18"/>
                <w:u w:val="none"/>
                <w:lang w:val="fr-CA"/>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EC72F5B"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2C0222" w14:paraId="189D3C55" w14:textId="77777777" w:rsidTr="00243B15">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66DB45B" w14:textId="77777777" w:rsidR="00302BFE" w:rsidRPr="002C0222" w:rsidRDefault="00302BFE" w:rsidP="00243B15">
            <w:pPr>
              <w:pStyle w:val="TableStyle2A"/>
              <w:rPr>
                <w:rFonts w:ascii="Calibri" w:hAnsi="Calibri"/>
                <w:sz w:val="18"/>
                <w:szCs w:val="18"/>
              </w:rPr>
            </w:pPr>
            <w:r w:rsidRPr="002C0222">
              <w:rPr>
                <w:rFonts w:ascii="Calibri" w:hAnsi="Calibri"/>
                <w:sz w:val="18"/>
                <w:szCs w:val="18"/>
              </w:rPr>
              <w:t>Jacob KANBANDS</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59ACD1E9" w14:textId="77777777" w:rsidR="00302BFE" w:rsidRPr="002C0222" w:rsidRDefault="00302BFE" w:rsidP="00243B15">
            <w:pPr>
              <w:pStyle w:val="TableStyle2A"/>
              <w:rPr>
                <w:rFonts w:ascii="Calibri" w:hAnsi="Calibri"/>
                <w:sz w:val="18"/>
                <w:szCs w:val="18"/>
              </w:rPr>
            </w:pPr>
            <w:r w:rsidRPr="002C0222">
              <w:rPr>
                <w:rFonts w:ascii="Calibri" w:hAnsi="Calibri"/>
                <w:sz w:val="18"/>
                <w:szCs w:val="18"/>
              </w:rPr>
              <w:t>Senior Manager</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5FDC317" w14:textId="77777777" w:rsidR="00302BFE" w:rsidRPr="002C0222" w:rsidRDefault="00302BFE" w:rsidP="00243B15">
            <w:pPr>
              <w:pStyle w:val="TableStyle2A"/>
              <w:rPr>
                <w:rFonts w:ascii="Calibri" w:hAnsi="Calibri"/>
                <w:sz w:val="18"/>
                <w:szCs w:val="18"/>
              </w:rPr>
            </w:pPr>
            <w:r w:rsidRPr="002C0222">
              <w:rPr>
                <w:rFonts w:ascii="Calibri" w:hAnsi="Calibri"/>
                <w:sz w:val="18"/>
                <w:szCs w:val="18"/>
              </w:rPr>
              <w:t>Wildlife Division</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3323555" w14:textId="77777777" w:rsidR="00302BFE" w:rsidRPr="002C0222" w:rsidRDefault="00302BFE" w:rsidP="00243B15">
            <w:pPr>
              <w:pStyle w:val="TableStyle2A"/>
              <w:rPr>
                <w:rFonts w:ascii="Calibri" w:hAnsi="Calibri"/>
                <w:sz w:val="18"/>
                <w:szCs w:val="18"/>
              </w:rPr>
            </w:pPr>
            <w:r w:rsidRPr="002C0222">
              <w:rPr>
                <w:rFonts w:ascii="Calibri" w:hAnsi="Calibri"/>
                <w:sz w:val="18"/>
                <w:szCs w:val="18"/>
              </w:rPr>
              <w:t>0205333533</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834A78A" w14:textId="77777777" w:rsidR="00302BFE" w:rsidRPr="002854BE" w:rsidRDefault="00302BFE" w:rsidP="00243B15">
            <w:pPr>
              <w:pStyle w:val="TableStyle2A"/>
              <w:rPr>
                <w:rFonts w:ascii="Calibri" w:hAnsi="Calibri"/>
                <w:sz w:val="18"/>
                <w:szCs w:val="18"/>
                <w:lang w:val="fr-CA"/>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70C32AC" w14:textId="77777777" w:rsidR="00302BFE" w:rsidRPr="002C0222" w:rsidRDefault="00302BFE" w:rsidP="00243B15">
            <w:pPr>
              <w:pStyle w:val="TableStyle2A"/>
              <w:jc w:val="center"/>
              <w:rPr>
                <w:rFonts w:ascii="Calibri" w:hAnsi="Calibri"/>
                <w:sz w:val="18"/>
                <w:szCs w:val="18"/>
                <w:lang w:val="fr-CA"/>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A00E3A7" w14:textId="77777777" w:rsidR="00302BFE" w:rsidRPr="002C0222" w:rsidRDefault="00302BFE" w:rsidP="00243B15">
            <w:pPr>
              <w:pStyle w:val="TableStyle2A"/>
              <w:jc w:val="center"/>
              <w:rPr>
                <w:rFonts w:ascii="Calibri" w:hAnsi="Calibri"/>
                <w:sz w:val="18"/>
                <w:szCs w:val="18"/>
                <w:lang w:val="fr-CA"/>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F2A381C" w14:textId="77777777" w:rsidR="00302BFE" w:rsidRPr="002C0222" w:rsidRDefault="00302BFE" w:rsidP="00243B15">
            <w:pPr>
              <w:pStyle w:val="TableStyle2A"/>
              <w:jc w:val="center"/>
              <w:rPr>
                <w:rFonts w:ascii="Calibri" w:hAnsi="Calibri"/>
                <w:sz w:val="18"/>
                <w:szCs w:val="18"/>
                <w:lang w:val="fr-CA"/>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1B77E15" w14:textId="77777777" w:rsidR="00302BFE" w:rsidRPr="002C0222" w:rsidRDefault="00302BFE" w:rsidP="00243B15">
            <w:pPr>
              <w:pStyle w:val="TableStyle2A"/>
              <w:jc w:val="center"/>
              <w:rPr>
                <w:rStyle w:val="Hyperlink0"/>
                <w:rFonts w:ascii="Calibri" w:hAnsi="Calibri"/>
                <w:sz w:val="18"/>
                <w:szCs w:val="18"/>
                <w:u w:val="none"/>
                <w:lang w:val="fr-CA"/>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76CEBC2" w14:textId="77777777" w:rsidR="00302BFE" w:rsidRPr="0075595E" w:rsidRDefault="00302BFE" w:rsidP="00243B15">
            <w:pPr>
              <w:pStyle w:val="TableStyle2A"/>
              <w:jc w:val="center"/>
              <w:rPr>
                <w:rStyle w:val="Hyperlink0"/>
                <w:rFonts w:ascii="Calibri" w:hAnsi="Calibri"/>
                <w:sz w:val="18"/>
                <w:szCs w:val="18"/>
                <w:lang w:val="fr-FR"/>
              </w:rPr>
            </w:pPr>
          </w:p>
        </w:tc>
      </w:tr>
      <w:tr w:rsidR="00302BFE" w:rsidRPr="002C0222" w14:paraId="4A034FA4" w14:textId="77777777" w:rsidTr="00714F9A">
        <w:trPr>
          <w:jc w:val="center"/>
        </w:trPr>
        <w:tc>
          <w:tcPr>
            <w:tcW w:w="18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3204DF6" w14:textId="77777777" w:rsidR="00302BFE" w:rsidRPr="00BA18F6" w:rsidRDefault="00302BFE" w:rsidP="00243B15">
            <w:pPr>
              <w:pStyle w:val="TableStyle2A"/>
              <w:rPr>
                <w:rFonts w:ascii="Calibri" w:hAnsi="Calibri"/>
                <w:sz w:val="18"/>
                <w:szCs w:val="18"/>
                <w:lang w:val="fr-CA"/>
              </w:rPr>
            </w:pPr>
            <w:r w:rsidRPr="00BA18F6">
              <w:rPr>
                <w:rFonts w:ascii="Calibri" w:hAnsi="Calibri"/>
                <w:sz w:val="18"/>
                <w:szCs w:val="18"/>
              </w:rPr>
              <w:t>Clark LUNGREN</w:t>
            </w:r>
          </w:p>
        </w:tc>
        <w:tc>
          <w:tcPr>
            <w:tcW w:w="2653" w:type="dxa"/>
            <w:tcBorders>
              <w:top w:val="single" w:sz="2" w:space="0" w:color="000000"/>
              <w:left w:val="single" w:sz="2" w:space="0" w:color="000000"/>
              <w:bottom w:val="single" w:sz="2" w:space="0" w:color="000000"/>
              <w:right w:val="single" w:sz="2" w:space="0" w:color="000000"/>
            </w:tcBorders>
            <w:shd w:val="clear" w:color="auto" w:fill="auto"/>
          </w:tcPr>
          <w:p w14:paraId="695BC256" w14:textId="77777777" w:rsidR="00302BFE" w:rsidRPr="00BA18F6" w:rsidRDefault="00302BFE" w:rsidP="00243B15">
            <w:pPr>
              <w:pStyle w:val="TableStyle2A"/>
              <w:rPr>
                <w:rFonts w:ascii="Calibri" w:hAnsi="Calibri"/>
                <w:sz w:val="18"/>
                <w:szCs w:val="18"/>
                <w:lang w:val="fr-CA"/>
              </w:rPr>
            </w:pPr>
            <w:r w:rsidRPr="00BA18F6">
              <w:rPr>
                <w:rFonts w:ascii="Calibri" w:hAnsi="Calibri"/>
                <w:sz w:val="18"/>
                <w:szCs w:val="18"/>
              </w:rPr>
              <w:t>President</w:t>
            </w:r>
          </w:p>
        </w:tc>
        <w:tc>
          <w:tcPr>
            <w:tcW w:w="1492" w:type="dxa"/>
            <w:tcBorders>
              <w:top w:val="single" w:sz="2" w:space="0" w:color="000000"/>
              <w:left w:val="single" w:sz="2" w:space="0" w:color="000000"/>
              <w:bottom w:val="single" w:sz="2" w:space="0" w:color="000000"/>
              <w:right w:val="single" w:sz="2" w:space="0" w:color="000000"/>
            </w:tcBorders>
            <w:shd w:val="clear" w:color="auto" w:fill="auto"/>
            <w:tcMar>
              <w:top w:w="80" w:type="dxa"/>
              <w:left w:w="0" w:type="dxa"/>
              <w:bottom w:w="80" w:type="dxa"/>
              <w:right w:w="0" w:type="dxa"/>
            </w:tcMar>
          </w:tcPr>
          <w:p w14:paraId="003B53A2" w14:textId="77777777" w:rsidR="00302BFE" w:rsidRPr="00714F9A" w:rsidRDefault="00302BFE" w:rsidP="00243B15">
            <w:pPr>
              <w:pStyle w:val="TableStyle2A"/>
              <w:rPr>
                <w:rFonts w:ascii="Calibri" w:hAnsi="Calibri"/>
                <w:sz w:val="16"/>
                <w:szCs w:val="16"/>
                <w:lang w:val="en-CA"/>
              </w:rPr>
            </w:pPr>
            <w:r w:rsidRPr="00714F9A">
              <w:rPr>
                <w:rFonts w:ascii="Calibri" w:hAnsi="Calibri" w:cs="Arial"/>
                <w:color w:val="545454"/>
                <w:sz w:val="16"/>
                <w:szCs w:val="16"/>
                <w:shd w:val="clear" w:color="auto" w:fill="FFFFFF"/>
                <w:lang w:val="en-CA"/>
              </w:rPr>
              <w:t xml:space="preserve">Center for the Development of </w:t>
            </w:r>
            <w:r w:rsidRPr="00714F9A">
              <w:rPr>
                <w:rFonts w:ascii="Calibri" w:hAnsi="Calibri" w:cs="Arial"/>
                <w:color w:val="545454"/>
                <w:sz w:val="16"/>
                <w:szCs w:val="16"/>
                <w:shd w:val="clear" w:color="auto" w:fill="FFFFFF"/>
                <w:lang w:val="en-CA"/>
              </w:rPr>
              <w:lastRenderedPageBreak/>
              <w:t>Wildlife Production</w:t>
            </w:r>
            <w:r w:rsidRPr="00714F9A">
              <w:rPr>
                <w:rFonts w:ascii="Calibri" w:hAnsi="Calibri"/>
                <w:sz w:val="16"/>
                <w:szCs w:val="16"/>
                <w:lang w:val="en-CA"/>
              </w:rPr>
              <w:t>/ West African Elephant Corridors Coalition</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F042106" w14:textId="77777777" w:rsidR="00302BFE" w:rsidRPr="00BA18F6" w:rsidRDefault="00302BFE" w:rsidP="00243B15">
            <w:pPr>
              <w:pStyle w:val="TableStyle2A"/>
              <w:rPr>
                <w:rFonts w:ascii="Calibri" w:hAnsi="Calibri"/>
                <w:sz w:val="18"/>
                <w:szCs w:val="18"/>
                <w:lang w:val="en-CA"/>
              </w:rPr>
            </w:pPr>
            <w:r w:rsidRPr="00BA18F6">
              <w:rPr>
                <w:rFonts w:ascii="Calibri" w:hAnsi="Calibri"/>
                <w:sz w:val="18"/>
                <w:szCs w:val="18"/>
              </w:rPr>
              <w:lastRenderedPageBreak/>
              <w:t>78836577 (Burkina Faso)</w:t>
            </w:r>
          </w:p>
        </w:tc>
        <w:tc>
          <w:tcPr>
            <w:tcW w:w="2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C73E5B4" w14:textId="77777777" w:rsidR="00302BFE" w:rsidRPr="00BA18F6" w:rsidRDefault="00302BFE" w:rsidP="00243B15">
            <w:pPr>
              <w:pStyle w:val="TableStyle2A"/>
              <w:rPr>
                <w:rFonts w:ascii="Calibri" w:hAnsi="Calibri"/>
                <w:sz w:val="18"/>
                <w:szCs w:val="18"/>
                <w:lang w:val="en-CA"/>
              </w:rPr>
            </w:pPr>
            <w:r w:rsidRPr="00BA18F6">
              <w:rPr>
                <w:rFonts w:ascii="Calibri" w:hAnsi="Calibri"/>
                <w:sz w:val="18"/>
                <w:szCs w:val="18"/>
              </w:rPr>
              <w:t>cdpfwedbila@yahoo.com</w:t>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54022A6" w14:textId="77777777" w:rsidR="00302BFE" w:rsidRPr="006D681F" w:rsidRDefault="00302BFE" w:rsidP="00243B15">
            <w:pPr>
              <w:pStyle w:val="TableStyle2A"/>
              <w:jc w:val="center"/>
              <w:rPr>
                <w:rFonts w:ascii="Calibri" w:hAnsi="Calibri"/>
                <w:sz w:val="18"/>
                <w:szCs w:val="18"/>
                <w:lang w:val="en-CA"/>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87E2899" w14:textId="77777777" w:rsidR="00302BFE" w:rsidRPr="002C0222" w:rsidRDefault="00302BFE" w:rsidP="00243B15">
            <w:pPr>
              <w:pStyle w:val="TableStyle2A"/>
              <w:jc w:val="center"/>
              <w:rPr>
                <w:rFonts w:ascii="Calibri" w:hAnsi="Calibri"/>
                <w:sz w:val="18"/>
                <w:szCs w:val="18"/>
                <w:lang w:val="fr-CA"/>
              </w:rPr>
            </w:pPr>
            <w:r w:rsidRPr="0075595E">
              <w:rPr>
                <w:rStyle w:val="Hyperlink0"/>
                <w:rFonts w:ascii="Calibri" w:hAnsi="Calibri"/>
                <w:sz w:val="18"/>
                <w:szCs w:val="18"/>
                <w:u w:val="none"/>
              </w:rPr>
              <w:sym w:font="Wingdings" w:char="F0FC"/>
            </w: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AE85DCF" w14:textId="77777777" w:rsidR="00302BFE" w:rsidRPr="002C0222" w:rsidRDefault="00302BFE" w:rsidP="00243B15">
            <w:pPr>
              <w:pStyle w:val="TableStyle2A"/>
              <w:jc w:val="center"/>
              <w:rPr>
                <w:rFonts w:ascii="Calibri" w:hAnsi="Calibri"/>
                <w:sz w:val="18"/>
                <w:szCs w:val="18"/>
                <w:lang w:val="fr-CA"/>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F639B13" w14:textId="77777777" w:rsidR="00302BFE" w:rsidRPr="002C0222" w:rsidRDefault="00302BFE" w:rsidP="00243B15">
            <w:pPr>
              <w:pStyle w:val="TableStyle2A"/>
              <w:jc w:val="center"/>
              <w:rPr>
                <w:rStyle w:val="Hyperlink0"/>
                <w:rFonts w:ascii="Calibri" w:hAnsi="Calibri"/>
                <w:sz w:val="18"/>
                <w:szCs w:val="18"/>
                <w:u w:val="none"/>
                <w:lang w:val="fr-CA"/>
              </w:rPr>
            </w:pPr>
          </w:p>
        </w:tc>
        <w:tc>
          <w:tcPr>
            <w:tcW w:w="7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B410FAE" w14:textId="77777777" w:rsidR="00302BFE" w:rsidRPr="0075595E" w:rsidRDefault="00302BFE" w:rsidP="00243B15">
            <w:pPr>
              <w:pStyle w:val="TableStyle2A"/>
              <w:jc w:val="center"/>
              <w:rPr>
                <w:rStyle w:val="Hyperlink0"/>
                <w:rFonts w:ascii="Calibri" w:hAnsi="Calibri"/>
                <w:sz w:val="18"/>
                <w:szCs w:val="18"/>
                <w:lang w:val="fr-FR"/>
              </w:rPr>
            </w:pPr>
          </w:p>
        </w:tc>
      </w:tr>
    </w:tbl>
    <w:p w14:paraId="7C1320B7" w14:textId="77777777" w:rsidR="00302BFE" w:rsidRPr="002C0222" w:rsidRDefault="00302BFE" w:rsidP="00302BFE">
      <w:pPr>
        <w:spacing w:before="120" w:after="120"/>
        <w:rPr>
          <w:b/>
          <w:lang w:val="fr-CA"/>
        </w:rPr>
      </w:pPr>
    </w:p>
    <w:p w14:paraId="04DAFA08" w14:textId="77777777" w:rsidR="00302BFE" w:rsidRPr="002C0222" w:rsidRDefault="00302BFE" w:rsidP="00302BFE">
      <w:pPr>
        <w:spacing w:after="240"/>
        <w:rPr>
          <w:b/>
          <w:lang w:val="fr-CA"/>
        </w:rPr>
        <w:sectPr w:rsidR="00302BFE" w:rsidRPr="002C0222" w:rsidSect="00243B15">
          <w:pgSz w:w="15840" w:h="12240" w:orient="landscape" w:code="1"/>
          <w:pgMar w:top="1440" w:right="1440" w:bottom="1440" w:left="1440" w:header="720" w:footer="720" w:gutter="0"/>
          <w:cols w:space="720"/>
          <w:docGrid w:linePitch="360"/>
        </w:sectPr>
      </w:pPr>
    </w:p>
    <w:p w14:paraId="5FB6A799" w14:textId="77777777" w:rsidR="00302BFE" w:rsidRPr="004D4690" w:rsidRDefault="00302BFE" w:rsidP="00302BFE">
      <w:pPr>
        <w:pStyle w:val="Titre2"/>
        <w:ind w:left="0"/>
        <w:rPr>
          <w:rFonts w:ascii="Calibri" w:hAnsi="Calibri"/>
          <w:lang w:val="fr-CA"/>
        </w:rPr>
      </w:pPr>
      <w:bookmarkStart w:id="125" w:name="_Toc9961814"/>
      <w:r w:rsidRPr="004D4690">
        <w:rPr>
          <w:rFonts w:ascii="Calibri" w:hAnsi="Calibri"/>
          <w:lang w:val="fr-CA"/>
        </w:rPr>
        <w:lastRenderedPageBreak/>
        <w:t>Annex N. Provisional Procurement Plan</w:t>
      </w:r>
      <w:bookmarkEnd w:id="125"/>
    </w:p>
    <w:p w14:paraId="7D48763D" w14:textId="77777777" w:rsidR="00302BFE" w:rsidRPr="004D4690" w:rsidRDefault="00302BFE" w:rsidP="00302BFE">
      <w:pPr>
        <w:rPr>
          <w:lang w:val="fr-CA"/>
        </w:rPr>
      </w:pPr>
    </w:p>
    <w:tbl>
      <w:tblPr>
        <w:tblW w:w="13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5"/>
        <w:gridCol w:w="1134"/>
        <w:gridCol w:w="1134"/>
        <w:gridCol w:w="1418"/>
        <w:gridCol w:w="1154"/>
      </w:tblGrid>
      <w:tr w:rsidR="00302BFE" w:rsidRPr="00CF512D" w14:paraId="52BD1430" w14:textId="77777777" w:rsidTr="00243B15">
        <w:trPr>
          <w:trHeight w:val="228"/>
          <w:jc w:val="center"/>
        </w:trPr>
        <w:tc>
          <w:tcPr>
            <w:tcW w:w="8505" w:type="dxa"/>
            <w:tcBorders>
              <w:bottom w:val="single" w:sz="4" w:space="0" w:color="auto"/>
            </w:tcBorders>
          </w:tcPr>
          <w:p w14:paraId="5FED044F" w14:textId="77777777" w:rsidR="00302BFE" w:rsidRPr="00CF512D" w:rsidRDefault="00302BFE" w:rsidP="00243B15">
            <w:pPr>
              <w:pStyle w:val="Default"/>
              <w:rPr>
                <w:rFonts w:ascii="Calibri" w:hAnsi="Calibri" w:cs="Calibri"/>
                <w:color w:val="auto"/>
                <w:sz w:val="20"/>
                <w:szCs w:val="20"/>
              </w:rPr>
            </w:pPr>
            <w:r w:rsidRPr="00CF512D">
              <w:rPr>
                <w:rFonts w:ascii="Calibri" w:hAnsi="Calibri" w:cs="Calibri"/>
                <w:b/>
                <w:bCs/>
                <w:color w:val="auto"/>
                <w:sz w:val="20"/>
                <w:szCs w:val="20"/>
              </w:rPr>
              <w:t>Description</w:t>
            </w:r>
          </w:p>
        </w:tc>
        <w:tc>
          <w:tcPr>
            <w:tcW w:w="1134" w:type="dxa"/>
            <w:tcBorders>
              <w:bottom w:val="single" w:sz="4" w:space="0" w:color="auto"/>
            </w:tcBorders>
            <w:vAlign w:val="center"/>
          </w:tcPr>
          <w:p w14:paraId="22CB382C" w14:textId="77777777" w:rsidR="00302BFE" w:rsidRPr="00CF512D" w:rsidRDefault="00302BFE" w:rsidP="00243B15">
            <w:pPr>
              <w:pStyle w:val="Default"/>
              <w:jc w:val="center"/>
              <w:rPr>
                <w:rFonts w:ascii="Calibri" w:hAnsi="Calibri" w:cs="Calibri"/>
                <w:color w:val="auto"/>
                <w:sz w:val="18"/>
                <w:szCs w:val="18"/>
              </w:rPr>
            </w:pPr>
            <w:r w:rsidRPr="00CF512D">
              <w:rPr>
                <w:rFonts w:ascii="Calibri" w:hAnsi="Calibri" w:cs="Calibri"/>
                <w:b/>
                <w:bCs/>
                <w:color w:val="auto"/>
                <w:sz w:val="18"/>
                <w:szCs w:val="18"/>
              </w:rPr>
              <w:t>Cost ($US)</w:t>
            </w:r>
          </w:p>
        </w:tc>
        <w:tc>
          <w:tcPr>
            <w:tcW w:w="1134" w:type="dxa"/>
            <w:tcBorders>
              <w:bottom w:val="single" w:sz="4" w:space="0" w:color="auto"/>
            </w:tcBorders>
            <w:vAlign w:val="center"/>
          </w:tcPr>
          <w:p w14:paraId="6936B1EB" w14:textId="77777777" w:rsidR="00302BFE" w:rsidRPr="00CF512D" w:rsidRDefault="00302BFE" w:rsidP="00243B15">
            <w:pPr>
              <w:pStyle w:val="Default"/>
              <w:jc w:val="center"/>
              <w:rPr>
                <w:rFonts w:ascii="Calibri" w:hAnsi="Calibri" w:cs="Calibri"/>
                <w:color w:val="auto"/>
                <w:sz w:val="18"/>
                <w:szCs w:val="18"/>
              </w:rPr>
            </w:pPr>
            <w:r w:rsidRPr="00CF512D">
              <w:rPr>
                <w:rFonts w:ascii="Calibri" w:hAnsi="Calibri" w:cs="Calibri"/>
                <w:b/>
                <w:bCs/>
                <w:color w:val="auto"/>
                <w:sz w:val="18"/>
                <w:szCs w:val="18"/>
              </w:rPr>
              <w:t>Responsible party</w:t>
            </w:r>
          </w:p>
        </w:tc>
        <w:tc>
          <w:tcPr>
            <w:tcW w:w="1418" w:type="dxa"/>
            <w:tcBorders>
              <w:bottom w:val="single" w:sz="4" w:space="0" w:color="auto"/>
            </w:tcBorders>
            <w:vAlign w:val="center"/>
          </w:tcPr>
          <w:p w14:paraId="72547E94" w14:textId="77777777" w:rsidR="00302BFE" w:rsidRPr="00CF512D" w:rsidRDefault="00302BFE" w:rsidP="00243B15">
            <w:pPr>
              <w:pStyle w:val="Default"/>
              <w:jc w:val="center"/>
              <w:rPr>
                <w:rFonts w:ascii="Calibri" w:hAnsi="Calibri" w:cs="Calibri"/>
                <w:color w:val="auto"/>
                <w:sz w:val="18"/>
                <w:szCs w:val="18"/>
              </w:rPr>
            </w:pPr>
            <w:r w:rsidRPr="00CF512D">
              <w:rPr>
                <w:rFonts w:ascii="Calibri" w:hAnsi="Calibri" w:cs="Calibri"/>
                <w:b/>
                <w:bCs/>
                <w:color w:val="auto"/>
                <w:sz w:val="18"/>
                <w:szCs w:val="18"/>
              </w:rPr>
              <w:t>Expected date of purchase</w:t>
            </w:r>
          </w:p>
        </w:tc>
        <w:tc>
          <w:tcPr>
            <w:tcW w:w="1154" w:type="dxa"/>
            <w:tcBorders>
              <w:bottom w:val="single" w:sz="4" w:space="0" w:color="auto"/>
            </w:tcBorders>
            <w:vAlign w:val="center"/>
          </w:tcPr>
          <w:p w14:paraId="2E88D76C" w14:textId="77777777" w:rsidR="00302BFE" w:rsidRPr="00CF512D" w:rsidRDefault="00302BFE" w:rsidP="00243B15">
            <w:pPr>
              <w:pStyle w:val="Default"/>
              <w:jc w:val="center"/>
              <w:rPr>
                <w:rFonts w:ascii="Calibri" w:hAnsi="Calibri" w:cs="Calibri"/>
                <w:color w:val="auto"/>
                <w:sz w:val="18"/>
                <w:szCs w:val="18"/>
              </w:rPr>
            </w:pPr>
            <w:r w:rsidRPr="00CF512D">
              <w:rPr>
                <w:rFonts w:ascii="Calibri" w:hAnsi="Calibri" w:cs="Calibri"/>
                <w:b/>
                <w:bCs/>
                <w:color w:val="auto"/>
                <w:sz w:val="18"/>
                <w:szCs w:val="18"/>
              </w:rPr>
              <w:t>Observation</w:t>
            </w:r>
          </w:p>
        </w:tc>
      </w:tr>
      <w:tr w:rsidR="00302BFE" w:rsidRPr="00CF512D" w14:paraId="66D535F8" w14:textId="77777777" w:rsidTr="00243B15">
        <w:trPr>
          <w:trHeight w:val="222"/>
          <w:jc w:val="center"/>
        </w:trPr>
        <w:tc>
          <w:tcPr>
            <w:tcW w:w="13345" w:type="dxa"/>
            <w:gridSpan w:val="5"/>
            <w:shd w:val="clear" w:color="auto" w:fill="FFF2CC"/>
            <w:vAlign w:val="center"/>
          </w:tcPr>
          <w:p w14:paraId="3ABC59FE" w14:textId="77777777" w:rsidR="00302BFE" w:rsidRPr="00CF512D" w:rsidRDefault="00302BFE" w:rsidP="00243B15">
            <w:pPr>
              <w:pStyle w:val="Default"/>
              <w:rPr>
                <w:rFonts w:ascii="Calibri" w:hAnsi="Calibri"/>
                <w:b/>
                <w:color w:val="auto"/>
                <w:sz w:val="20"/>
                <w:szCs w:val="20"/>
                <w:lang w:val="en-CA"/>
              </w:rPr>
            </w:pPr>
            <w:r w:rsidRPr="00CF512D">
              <w:rPr>
                <w:rFonts w:ascii="Calibri" w:hAnsi="Calibri" w:cs="Lucida Grande"/>
                <w:b/>
                <w:color w:val="auto"/>
                <w:sz w:val="20"/>
                <w:szCs w:val="20"/>
              </w:rPr>
              <w:t>Component 1.</w:t>
            </w:r>
          </w:p>
        </w:tc>
      </w:tr>
      <w:tr w:rsidR="00302BFE" w:rsidRPr="00CF512D" w14:paraId="381B2F3C" w14:textId="77777777" w:rsidTr="00243B15">
        <w:trPr>
          <w:trHeight w:val="222"/>
          <w:jc w:val="center"/>
        </w:trPr>
        <w:tc>
          <w:tcPr>
            <w:tcW w:w="8505" w:type="dxa"/>
          </w:tcPr>
          <w:p w14:paraId="1C845CFD" w14:textId="77777777" w:rsidR="00302BFE" w:rsidRPr="00CF512D" w:rsidRDefault="00302BFE" w:rsidP="00243B15">
            <w:pPr>
              <w:pStyle w:val="Default"/>
              <w:rPr>
                <w:rFonts w:ascii="Calibri" w:hAnsi="Calibri"/>
                <w:color w:val="auto"/>
                <w:sz w:val="20"/>
                <w:szCs w:val="20"/>
                <w:lang w:val="en-CA"/>
              </w:rPr>
            </w:pPr>
            <w:r w:rsidRPr="00CF512D">
              <w:rPr>
                <w:rFonts w:ascii="Calibri" w:eastAsia="Times New Roman" w:hAnsi="Calibri" w:cs="Calibri"/>
                <w:sz w:val="20"/>
                <w:szCs w:val="20"/>
                <w:lang w:val="en-GB"/>
              </w:rPr>
              <w:t>4x4 vehicle for the Project Coordination Unit to support all project activities (cost split between all components and management in the budget)</w:t>
            </w:r>
          </w:p>
        </w:tc>
        <w:tc>
          <w:tcPr>
            <w:tcW w:w="1134" w:type="dxa"/>
            <w:vAlign w:val="center"/>
          </w:tcPr>
          <w:p w14:paraId="1CF00CFC" w14:textId="77777777" w:rsidR="00302BFE" w:rsidRPr="00CF512D" w:rsidRDefault="00302BFE" w:rsidP="00243B15">
            <w:pPr>
              <w:pStyle w:val="Default"/>
              <w:jc w:val="center"/>
              <w:rPr>
                <w:rFonts w:ascii="Calibri" w:hAnsi="Calibri" w:cs="Calibri"/>
                <w:color w:val="auto"/>
                <w:sz w:val="20"/>
                <w:szCs w:val="20"/>
              </w:rPr>
            </w:pPr>
            <w:r w:rsidRPr="00CF512D">
              <w:rPr>
                <w:rFonts w:ascii="Calibri" w:eastAsia="Times New Roman" w:hAnsi="Calibri" w:cs="Calibri"/>
                <w:sz w:val="20"/>
                <w:szCs w:val="20"/>
                <w:lang w:val="en-GB"/>
              </w:rPr>
              <w:t>52,000</w:t>
            </w:r>
          </w:p>
        </w:tc>
        <w:tc>
          <w:tcPr>
            <w:tcW w:w="1134" w:type="dxa"/>
            <w:vAlign w:val="center"/>
          </w:tcPr>
          <w:p w14:paraId="402EE66E" w14:textId="77777777" w:rsidR="00302BFE" w:rsidRPr="00CF512D" w:rsidRDefault="00302BFE" w:rsidP="00243B15">
            <w:pPr>
              <w:pStyle w:val="Default"/>
              <w:jc w:val="center"/>
              <w:rPr>
                <w:rFonts w:ascii="Calibri" w:hAnsi="Calibri" w:cs="Calibri"/>
                <w:color w:val="auto"/>
                <w:sz w:val="20"/>
                <w:szCs w:val="20"/>
              </w:rPr>
            </w:pPr>
            <w:r w:rsidRPr="00CF512D">
              <w:rPr>
                <w:rFonts w:ascii="Calibri" w:hAnsi="Calibri" w:cs="Calibri"/>
                <w:color w:val="auto"/>
                <w:sz w:val="20"/>
                <w:szCs w:val="20"/>
              </w:rPr>
              <w:t>Implementing partner</w:t>
            </w:r>
          </w:p>
        </w:tc>
        <w:tc>
          <w:tcPr>
            <w:tcW w:w="1418" w:type="dxa"/>
            <w:vAlign w:val="center"/>
          </w:tcPr>
          <w:p w14:paraId="624ADD5B" w14:textId="77777777" w:rsidR="00302BFE" w:rsidRPr="00CF512D" w:rsidRDefault="00302BFE" w:rsidP="00243B15">
            <w:pPr>
              <w:pStyle w:val="Default"/>
              <w:jc w:val="center"/>
              <w:rPr>
                <w:rFonts w:ascii="Calibri" w:hAnsi="Calibri" w:cs="Calibri"/>
                <w:color w:val="auto"/>
                <w:sz w:val="20"/>
                <w:szCs w:val="20"/>
              </w:rPr>
            </w:pPr>
            <w:r w:rsidRPr="00CF512D">
              <w:rPr>
                <w:rFonts w:ascii="Calibri" w:eastAsia="Times New Roman" w:hAnsi="Calibri" w:cs="Calibri"/>
                <w:sz w:val="20"/>
                <w:szCs w:val="20"/>
                <w:lang w:val="en-GB"/>
              </w:rPr>
              <w:t>Year 1</w:t>
            </w:r>
          </w:p>
        </w:tc>
        <w:tc>
          <w:tcPr>
            <w:tcW w:w="1154" w:type="dxa"/>
            <w:vAlign w:val="center"/>
          </w:tcPr>
          <w:p w14:paraId="6D1ACC44" w14:textId="77777777" w:rsidR="00302BFE" w:rsidRPr="00CF512D" w:rsidRDefault="00302BFE" w:rsidP="00243B15">
            <w:pPr>
              <w:pStyle w:val="Default"/>
              <w:jc w:val="center"/>
              <w:rPr>
                <w:rFonts w:ascii="Calibri" w:hAnsi="Calibri" w:cs="Calibri"/>
                <w:color w:val="auto"/>
                <w:sz w:val="20"/>
                <w:szCs w:val="20"/>
              </w:rPr>
            </w:pPr>
          </w:p>
        </w:tc>
      </w:tr>
      <w:tr w:rsidR="00302BFE" w:rsidRPr="00CF512D" w14:paraId="0DCF10B9" w14:textId="77777777" w:rsidTr="00243B15">
        <w:trPr>
          <w:trHeight w:val="222"/>
          <w:jc w:val="center"/>
        </w:trPr>
        <w:tc>
          <w:tcPr>
            <w:tcW w:w="8505" w:type="dxa"/>
          </w:tcPr>
          <w:p w14:paraId="05EFE53F" w14:textId="77777777" w:rsidR="00302BFE" w:rsidRPr="00CF512D" w:rsidRDefault="00302BFE" w:rsidP="00243B15">
            <w:pPr>
              <w:pStyle w:val="Default"/>
              <w:rPr>
                <w:rFonts w:ascii="Calibri" w:hAnsi="Calibri"/>
                <w:color w:val="auto"/>
                <w:sz w:val="20"/>
                <w:szCs w:val="20"/>
                <w:lang w:val="en-CA"/>
              </w:rPr>
            </w:pPr>
            <w:r w:rsidRPr="00CF512D">
              <w:rPr>
                <w:rFonts w:ascii="Calibri" w:hAnsi="Calibri" w:cs="Calibri"/>
                <w:sz w:val="20"/>
                <w:szCs w:val="20"/>
                <w:lang w:val="en-GB"/>
              </w:rPr>
              <w:t>Forest equipment for carbon stock assessment under Output 1.3 (including a ProLaser Rangefinder / Hypsometer, Garmin GPS, vernier caliper, compass, tape measure)</w:t>
            </w:r>
          </w:p>
        </w:tc>
        <w:tc>
          <w:tcPr>
            <w:tcW w:w="1134" w:type="dxa"/>
            <w:vAlign w:val="center"/>
          </w:tcPr>
          <w:p w14:paraId="5F3A4A32" w14:textId="77777777" w:rsidR="00302BFE" w:rsidRPr="00CF512D" w:rsidRDefault="00302BFE" w:rsidP="00243B15">
            <w:pPr>
              <w:pStyle w:val="Default"/>
              <w:jc w:val="center"/>
              <w:rPr>
                <w:rFonts w:ascii="Calibri" w:hAnsi="Calibri" w:cs="Calibri"/>
                <w:color w:val="auto"/>
                <w:sz w:val="20"/>
                <w:szCs w:val="20"/>
                <w:lang w:val="en-CA"/>
              </w:rPr>
            </w:pPr>
            <w:r w:rsidRPr="00CF512D">
              <w:rPr>
                <w:rFonts w:ascii="Calibri" w:hAnsi="Calibri" w:cs="Calibri"/>
                <w:sz w:val="20"/>
                <w:szCs w:val="20"/>
                <w:lang w:val="en-GB"/>
              </w:rPr>
              <w:t>1,000</w:t>
            </w:r>
          </w:p>
        </w:tc>
        <w:tc>
          <w:tcPr>
            <w:tcW w:w="1134" w:type="dxa"/>
            <w:vAlign w:val="center"/>
          </w:tcPr>
          <w:p w14:paraId="5A3D55BA" w14:textId="77777777" w:rsidR="00302BFE" w:rsidRPr="00CF512D" w:rsidRDefault="00302BFE" w:rsidP="00243B15">
            <w:pPr>
              <w:pStyle w:val="Default"/>
              <w:jc w:val="center"/>
              <w:rPr>
                <w:rFonts w:ascii="Calibri" w:hAnsi="Calibri" w:cs="Calibri"/>
                <w:color w:val="auto"/>
                <w:sz w:val="20"/>
                <w:szCs w:val="20"/>
                <w:lang w:val="en-CA"/>
              </w:rPr>
            </w:pPr>
          </w:p>
        </w:tc>
        <w:tc>
          <w:tcPr>
            <w:tcW w:w="1418" w:type="dxa"/>
            <w:vAlign w:val="center"/>
          </w:tcPr>
          <w:p w14:paraId="7E0E9A2E" w14:textId="77777777" w:rsidR="00302BFE" w:rsidRPr="00CF512D" w:rsidRDefault="00302BFE" w:rsidP="00243B15">
            <w:pPr>
              <w:pStyle w:val="Default"/>
              <w:jc w:val="center"/>
              <w:rPr>
                <w:rFonts w:ascii="Calibri" w:hAnsi="Calibri" w:cs="Calibri"/>
                <w:color w:val="auto"/>
                <w:sz w:val="20"/>
                <w:szCs w:val="20"/>
              </w:rPr>
            </w:pPr>
            <w:r w:rsidRPr="00CF512D">
              <w:rPr>
                <w:rFonts w:ascii="Calibri" w:eastAsia="Times New Roman" w:hAnsi="Calibri" w:cs="Calibri"/>
                <w:sz w:val="20"/>
                <w:szCs w:val="20"/>
                <w:lang w:val="en-GB"/>
              </w:rPr>
              <w:t>Year 1</w:t>
            </w:r>
          </w:p>
        </w:tc>
        <w:tc>
          <w:tcPr>
            <w:tcW w:w="1154" w:type="dxa"/>
            <w:vAlign w:val="center"/>
          </w:tcPr>
          <w:p w14:paraId="113DE035" w14:textId="77777777" w:rsidR="00302BFE" w:rsidRPr="00CF512D" w:rsidRDefault="00302BFE" w:rsidP="00243B15">
            <w:pPr>
              <w:pStyle w:val="Default"/>
              <w:jc w:val="center"/>
              <w:rPr>
                <w:rFonts w:ascii="Calibri" w:hAnsi="Calibri" w:cs="Calibri"/>
                <w:color w:val="auto"/>
                <w:sz w:val="20"/>
                <w:szCs w:val="20"/>
              </w:rPr>
            </w:pPr>
          </w:p>
        </w:tc>
      </w:tr>
      <w:tr w:rsidR="00302BFE" w:rsidRPr="00CF512D" w14:paraId="1F018739" w14:textId="77777777" w:rsidTr="00243B15">
        <w:trPr>
          <w:trHeight w:val="222"/>
          <w:jc w:val="center"/>
        </w:trPr>
        <w:tc>
          <w:tcPr>
            <w:tcW w:w="8505" w:type="dxa"/>
            <w:tcBorders>
              <w:bottom w:val="single" w:sz="4" w:space="0" w:color="auto"/>
            </w:tcBorders>
          </w:tcPr>
          <w:p w14:paraId="5BC136E9" w14:textId="77777777" w:rsidR="00302BFE" w:rsidRPr="00CF512D" w:rsidRDefault="00302BFE" w:rsidP="00243B15">
            <w:pPr>
              <w:pStyle w:val="Default"/>
              <w:rPr>
                <w:rFonts w:ascii="Calibri" w:hAnsi="Calibri"/>
                <w:color w:val="auto"/>
                <w:sz w:val="20"/>
                <w:szCs w:val="20"/>
                <w:lang w:val="fr-CA"/>
              </w:rPr>
            </w:pPr>
            <w:r w:rsidRPr="00CF512D">
              <w:rPr>
                <w:rFonts w:ascii="Calibri" w:hAnsi="Calibri"/>
                <w:color w:val="auto"/>
                <w:sz w:val="20"/>
                <w:szCs w:val="20"/>
                <w:lang w:val="en-CA"/>
              </w:rPr>
              <w:t xml:space="preserve">Satellite images / aerial photographs to assess changes in land use and vegetation cover in the priority forest areas of the PONASI landscape and to plan field inventories. </w:t>
            </w:r>
            <w:r w:rsidRPr="00CF512D">
              <w:rPr>
                <w:rFonts w:ascii="Calibri" w:hAnsi="Calibri"/>
                <w:color w:val="auto"/>
                <w:sz w:val="20"/>
                <w:szCs w:val="20"/>
                <w:lang w:val="fr-CA"/>
              </w:rPr>
              <w:t>(Output 1.3)</w:t>
            </w:r>
          </w:p>
        </w:tc>
        <w:tc>
          <w:tcPr>
            <w:tcW w:w="1134" w:type="dxa"/>
            <w:tcBorders>
              <w:bottom w:val="single" w:sz="4" w:space="0" w:color="auto"/>
            </w:tcBorders>
            <w:vAlign w:val="center"/>
          </w:tcPr>
          <w:p w14:paraId="1E648135" w14:textId="77777777" w:rsidR="00302BFE" w:rsidRPr="00CF512D" w:rsidRDefault="00302BFE" w:rsidP="00243B15">
            <w:pPr>
              <w:pStyle w:val="Default"/>
              <w:jc w:val="center"/>
              <w:rPr>
                <w:rFonts w:ascii="Calibri" w:hAnsi="Calibri" w:cs="Calibri"/>
                <w:color w:val="auto"/>
                <w:sz w:val="20"/>
                <w:szCs w:val="20"/>
                <w:lang w:val="fr-CA"/>
              </w:rPr>
            </w:pPr>
            <w:r w:rsidRPr="00CF512D">
              <w:rPr>
                <w:rFonts w:ascii="Calibri" w:hAnsi="Calibri"/>
                <w:color w:val="auto"/>
                <w:sz w:val="20"/>
                <w:szCs w:val="20"/>
                <w:lang w:val="fr-CA"/>
              </w:rPr>
              <w:t>20,000</w:t>
            </w:r>
          </w:p>
        </w:tc>
        <w:tc>
          <w:tcPr>
            <w:tcW w:w="1134" w:type="dxa"/>
            <w:tcBorders>
              <w:bottom w:val="single" w:sz="4" w:space="0" w:color="auto"/>
            </w:tcBorders>
            <w:vAlign w:val="center"/>
          </w:tcPr>
          <w:p w14:paraId="10BD8BB3" w14:textId="77777777" w:rsidR="00302BFE" w:rsidRPr="00CF512D" w:rsidRDefault="00302BFE" w:rsidP="00243B15">
            <w:pPr>
              <w:pStyle w:val="Default"/>
              <w:jc w:val="center"/>
              <w:rPr>
                <w:rFonts w:ascii="Calibri" w:hAnsi="Calibri" w:cs="Calibri"/>
                <w:color w:val="auto"/>
                <w:sz w:val="20"/>
                <w:szCs w:val="20"/>
                <w:lang w:val="fr-CA"/>
              </w:rPr>
            </w:pPr>
          </w:p>
        </w:tc>
        <w:tc>
          <w:tcPr>
            <w:tcW w:w="1418" w:type="dxa"/>
            <w:tcBorders>
              <w:bottom w:val="single" w:sz="4" w:space="0" w:color="auto"/>
            </w:tcBorders>
            <w:vAlign w:val="center"/>
          </w:tcPr>
          <w:p w14:paraId="52A50367" w14:textId="77777777" w:rsidR="00302BFE" w:rsidRPr="00CF512D" w:rsidRDefault="00302BFE" w:rsidP="00243B15">
            <w:pPr>
              <w:pStyle w:val="Default"/>
              <w:jc w:val="center"/>
              <w:rPr>
                <w:rFonts w:ascii="Calibri" w:hAnsi="Calibri" w:cs="Calibri"/>
                <w:color w:val="auto"/>
                <w:sz w:val="20"/>
                <w:szCs w:val="20"/>
              </w:rPr>
            </w:pPr>
            <w:r w:rsidRPr="00CF512D">
              <w:rPr>
                <w:rFonts w:ascii="Calibri" w:hAnsi="Calibri" w:cs="Calibri"/>
                <w:color w:val="auto"/>
                <w:sz w:val="20"/>
                <w:szCs w:val="20"/>
              </w:rPr>
              <w:t>Years 1 and 6</w:t>
            </w:r>
          </w:p>
        </w:tc>
        <w:tc>
          <w:tcPr>
            <w:tcW w:w="1154" w:type="dxa"/>
            <w:tcBorders>
              <w:bottom w:val="single" w:sz="4" w:space="0" w:color="auto"/>
            </w:tcBorders>
            <w:vAlign w:val="center"/>
          </w:tcPr>
          <w:p w14:paraId="1F807B29" w14:textId="77777777" w:rsidR="00302BFE" w:rsidRPr="00CF512D" w:rsidRDefault="00302BFE" w:rsidP="00243B15">
            <w:pPr>
              <w:pStyle w:val="Default"/>
              <w:jc w:val="center"/>
              <w:rPr>
                <w:rFonts w:ascii="Calibri" w:hAnsi="Calibri" w:cs="Calibri"/>
                <w:color w:val="auto"/>
                <w:sz w:val="20"/>
                <w:szCs w:val="20"/>
              </w:rPr>
            </w:pPr>
          </w:p>
        </w:tc>
      </w:tr>
      <w:tr w:rsidR="00302BFE" w:rsidRPr="00CF512D" w14:paraId="4D4D25AF" w14:textId="77777777" w:rsidTr="00243B15">
        <w:trPr>
          <w:trHeight w:val="222"/>
          <w:jc w:val="center"/>
        </w:trPr>
        <w:tc>
          <w:tcPr>
            <w:tcW w:w="13345" w:type="dxa"/>
            <w:gridSpan w:val="5"/>
            <w:shd w:val="clear" w:color="auto" w:fill="FFF2CC"/>
          </w:tcPr>
          <w:p w14:paraId="18AD5972" w14:textId="77777777" w:rsidR="00302BFE" w:rsidRPr="00CF512D" w:rsidRDefault="00302BFE" w:rsidP="00243B15">
            <w:pPr>
              <w:pStyle w:val="Default"/>
              <w:rPr>
                <w:rFonts w:ascii="Calibri" w:hAnsi="Calibri" w:cs="Calibri"/>
                <w:color w:val="auto"/>
                <w:sz w:val="20"/>
                <w:szCs w:val="20"/>
              </w:rPr>
            </w:pPr>
            <w:r w:rsidRPr="00CF512D">
              <w:rPr>
                <w:rFonts w:ascii="Calibri" w:hAnsi="Calibri" w:cs="Lucida Grande"/>
                <w:b/>
                <w:color w:val="auto"/>
                <w:sz w:val="20"/>
                <w:szCs w:val="20"/>
              </w:rPr>
              <w:t>Component 2.</w:t>
            </w:r>
          </w:p>
        </w:tc>
      </w:tr>
      <w:tr w:rsidR="00302BFE" w:rsidRPr="00CF512D" w14:paraId="18864394" w14:textId="77777777" w:rsidTr="00243B15">
        <w:trPr>
          <w:trHeight w:val="222"/>
          <w:jc w:val="center"/>
        </w:trPr>
        <w:tc>
          <w:tcPr>
            <w:tcW w:w="8505" w:type="dxa"/>
          </w:tcPr>
          <w:p w14:paraId="23AB780D" w14:textId="77777777" w:rsidR="00302BFE" w:rsidRPr="00CF512D" w:rsidRDefault="00302BFE" w:rsidP="00243B15">
            <w:pPr>
              <w:pStyle w:val="Default"/>
              <w:rPr>
                <w:rFonts w:ascii="Calibri" w:hAnsi="Calibri" w:cs="Calibri"/>
                <w:color w:val="auto"/>
                <w:sz w:val="20"/>
                <w:szCs w:val="20"/>
                <w:lang w:val="en-CA"/>
              </w:rPr>
            </w:pPr>
            <w:r w:rsidRPr="00CF512D">
              <w:rPr>
                <w:rFonts w:ascii="Calibri" w:eastAsia="Times New Roman" w:hAnsi="Calibri" w:cs="Calibri"/>
                <w:sz w:val="20"/>
                <w:szCs w:val="20"/>
                <w:lang w:val="en-GB"/>
              </w:rPr>
              <w:t xml:space="preserve">Purchase of 8 motorcycles for travel related to the field activities of components 2 and 3, especially technical assistants and community mobilization assistants @ $ 2,300 / motorcycle </w:t>
            </w:r>
            <w:r>
              <w:rPr>
                <w:rFonts w:ascii="Calibri" w:eastAsia="Times New Roman" w:hAnsi="Calibri" w:cs="Calibri"/>
                <w:sz w:val="20"/>
                <w:szCs w:val="20"/>
                <w:lang w:val="en-GB"/>
              </w:rPr>
              <w:t>–</w:t>
            </w:r>
            <w:r w:rsidRPr="00CF512D">
              <w:rPr>
                <w:rFonts w:ascii="Calibri" w:eastAsia="Times New Roman" w:hAnsi="Calibri" w:cs="Calibri"/>
                <w:sz w:val="20"/>
                <w:szCs w:val="20"/>
                <w:lang w:val="en-GB"/>
              </w:rPr>
              <w:t xml:space="preserve"> Total </w:t>
            </w:r>
            <w:r>
              <w:rPr>
                <w:rFonts w:ascii="Calibri" w:eastAsia="Times New Roman" w:hAnsi="Calibri" w:cs="Calibri"/>
                <w:sz w:val="20"/>
                <w:szCs w:val="20"/>
                <w:lang w:val="en-GB"/>
              </w:rPr>
              <w:t>cost ($18,400) shared under components 2 and 3 (</w:t>
            </w:r>
            <w:r w:rsidRPr="00CF512D">
              <w:rPr>
                <w:rFonts w:ascii="Calibri" w:eastAsia="Times New Roman" w:hAnsi="Calibri" w:cs="Calibri"/>
                <w:sz w:val="20"/>
                <w:szCs w:val="20"/>
                <w:lang w:val="en-GB"/>
              </w:rPr>
              <w:t>cost per component: $ 9,200</w:t>
            </w:r>
            <w:r>
              <w:rPr>
                <w:rFonts w:ascii="Calibri" w:eastAsia="Times New Roman" w:hAnsi="Calibri" w:cs="Calibri"/>
                <w:sz w:val="20"/>
                <w:szCs w:val="20"/>
                <w:lang w:val="en-GB"/>
              </w:rPr>
              <w:t>)</w:t>
            </w:r>
            <w:r w:rsidRPr="00CF512D">
              <w:rPr>
                <w:rFonts w:ascii="Calibri" w:eastAsia="Times New Roman" w:hAnsi="Calibri" w:cs="Calibri"/>
                <w:sz w:val="20"/>
                <w:szCs w:val="20"/>
                <w:lang w:val="en-GB"/>
              </w:rPr>
              <w:t xml:space="preserve"> year 1</w:t>
            </w:r>
            <w:r>
              <w:rPr>
                <w:rFonts w:ascii="Calibri" w:eastAsia="Times New Roman" w:hAnsi="Calibri" w:cs="Calibri"/>
                <w:sz w:val="20"/>
                <w:szCs w:val="20"/>
                <w:lang w:val="en-GB"/>
              </w:rPr>
              <w:t xml:space="preserve"> (Output 2.1.3</w:t>
            </w:r>
          </w:p>
        </w:tc>
        <w:tc>
          <w:tcPr>
            <w:tcW w:w="1134" w:type="dxa"/>
            <w:vAlign w:val="center"/>
          </w:tcPr>
          <w:p w14:paraId="04295D86" w14:textId="77777777" w:rsidR="00302BFE" w:rsidRPr="00CF512D" w:rsidRDefault="00302BFE" w:rsidP="00243B15">
            <w:pPr>
              <w:pStyle w:val="Default"/>
              <w:jc w:val="center"/>
              <w:rPr>
                <w:rFonts w:ascii="Calibri" w:hAnsi="Calibri" w:cs="Calibri"/>
                <w:color w:val="auto"/>
                <w:sz w:val="20"/>
                <w:szCs w:val="20"/>
              </w:rPr>
            </w:pPr>
            <w:r w:rsidRPr="00CF512D">
              <w:rPr>
                <w:rFonts w:ascii="Calibri" w:hAnsi="Calibri" w:cs="Calibri"/>
                <w:color w:val="auto"/>
                <w:sz w:val="20"/>
                <w:szCs w:val="20"/>
              </w:rPr>
              <w:t>18,400</w:t>
            </w:r>
          </w:p>
        </w:tc>
        <w:tc>
          <w:tcPr>
            <w:tcW w:w="1134" w:type="dxa"/>
            <w:vAlign w:val="center"/>
          </w:tcPr>
          <w:p w14:paraId="41F58624" w14:textId="77777777" w:rsidR="00302BFE" w:rsidRPr="00CF512D" w:rsidRDefault="00302BFE" w:rsidP="00243B15">
            <w:pPr>
              <w:pStyle w:val="Default"/>
              <w:jc w:val="center"/>
              <w:rPr>
                <w:rFonts w:ascii="Calibri" w:hAnsi="Calibri" w:cs="Calibri"/>
                <w:color w:val="auto"/>
                <w:sz w:val="20"/>
                <w:szCs w:val="20"/>
              </w:rPr>
            </w:pPr>
          </w:p>
        </w:tc>
        <w:tc>
          <w:tcPr>
            <w:tcW w:w="1418" w:type="dxa"/>
            <w:vAlign w:val="center"/>
          </w:tcPr>
          <w:p w14:paraId="0327F038" w14:textId="77777777" w:rsidR="00302BFE" w:rsidRPr="00CF512D" w:rsidRDefault="00302BFE" w:rsidP="00243B15">
            <w:pPr>
              <w:pStyle w:val="Default"/>
              <w:jc w:val="center"/>
              <w:rPr>
                <w:rFonts w:ascii="Calibri" w:hAnsi="Calibri" w:cs="Calibri"/>
                <w:color w:val="auto"/>
                <w:sz w:val="20"/>
                <w:szCs w:val="20"/>
              </w:rPr>
            </w:pPr>
            <w:r w:rsidRPr="00CF512D">
              <w:rPr>
                <w:rFonts w:ascii="Calibri" w:hAnsi="Calibri" w:cs="Calibri"/>
                <w:color w:val="auto"/>
                <w:sz w:val="20"/>
                <w:szCs w:val="20"/>
              </w:rPr>
              <w:t>year 1</w:t>
            </w:r>
          </w:p>
        </w:tc>
        <w:tc>
          <w:tcPr>
            <w:tcW w:w="1154" w:type="dxa"/>
            <w:vAlign w:val="center"/>
          </w:tcPr>
          <w:p w14:paraId="2E373F5B" w14:textId="77777777" w:rsidR="00302BFE" w:rsidRPr="00CF512D" w:rsidRDefault="00302BFE" w:rsidP="00243B15">
            <w:pPr>
              <w:pStyle w:val="Default"/>
              <w:jc w:val="center"/>
              <w:rPr>
                <w:rFonts w:ascii="Calibri" w:hAnsi="Calibri" w:cs="Calibri"/>
                <w:color w:val="auto"/>
                <w:sz w:val="20"/>
                <w:szCs w:val="20"/>
              </w:rPr>
            </w:pPr>
          </w:p>
        </w:tc>
      </w:tr>
      <w:tr w:rsidR="00302BFE" w:rsidRPr="00CF512D" w14:paraId="75F827BE" w14:textId="77777777" w:rsidTr="00243B15">
        <w:trPr>
          <w:trHeight w:val="222"/>
          <w:jc w:val="center"/>
        </w:trPr>
        <w:tc>
          <w:tcPr>
            <w:tcW w:w="8505" w:type="dxa"/>
          </w:tcPr>
          <w:p w14:paraId="71DB541D" w14:textId="77777777" w:rsidR="00302BFE" w:rsidRPr="00CF512D" w:rsidRDefault="00302BFE" w:rsidP="00243B15">
            <w:pPr>
              <w:pStyle w:val="Default"/>
              <w:rPr>
                <w:rFonts w:ascii="Calibri" w:eastAsia="Times New Roman" w:hAnsi="Calibri" w:cs="Calibri"/>
                <w:sz w:val="20"/>
                <w:szCs w:val="20"/>
                <w:lang w:val="en-GB"/>
              </w:rPr>
            </w:pPr>
            <w:r w:rsidRPr="00CF512D">
              <w:rPr>
                <w:rFonts w:ascii="Calibri" w:hAnsi="Calibri" w:cs="Calibri"/>
                <w:color w:val="auto"/>
                <w:sz w:val="20"/>
                <w:szCs w:val="20"/>
              </w:rPr>
              <w:t>4x4 vehicle for the Kaboré-Tambi National Park management unit</w:t>
            </w:r>
          </w:p>
        </w:tc>
        <w:tc>
          <w:tcPr>
            <w:tcW w:w="1134" w:type="dxa"/>
            <w:vAlign w:val="center"/>
          </w:tcPr>
          <w:p w14:paraId="0636C417" w14:textId="77777777" w:rsidR="00302BFE" w:rsidRPr="00CF512D" w:rsidRDefault="00302BFE" w:rsidP="00243B15">
            <w:pPr>
              <w:pStyle w:val="Default"/>
              <w:jc w:val="center"/>
              <w:rPr>
                <w:rFonts w:ascii="Calibri" w:hAnsi="Calibri" w:cs="Calibri"/>
                <w:color w:val="auto"/>
                <w:sz w:val="20"/>
                <w:szCs w:val="20"/>
              </w:rPr>
            </w:pPr>
            <w:r w:rsidRPr="00CF512D">
              <w:rPr>
                <w:rFonts w:ascii="Calibri" w:hAnsi="Calibri" w:cs="Calibri"/>
                <w:color w:val="auto"/>
                <w:sz w:val="20"/>
                <w:szCs w:val="20"/>
              </w:rPr>
              <w:t>52,000</w:t>
            </w:r>
          </w:p>
        </w:tc>
        <w:tc>
          <w:tcPr>
            <w:tcW w:w="1134" w:type="dxa"/>
            <w:vAlign w:val="center"/>
          </w:tcPr>
          <w:p w14:paraId="7E0D5B07" w14:textId="77777777" w:rsidR="00302BFE" w:rsidRPr="00CF512D" w:rsidRDefault="00302BFE" w:rsidP="00243B15">
            <w:pPr>
              <w:pStyle w:val="Default"/>
              <w:jc w:val="center"/>
              <w:rPr>
                <w:rFonts w:ascii="Calibri" w:hAnsi="Calibri" w:cs="Calibri"/>
                <w:color w:val="auto"/>
                <w:sz w:val="20"/>
                <w:szCs w:val="20"/>
              </w:rPr>
            </w:pPr>
          </w:p>
        </w:tc>
        <w:tc>
          <w:tcPr>
            <w:tcW w:w="1418" w:type="dxa"/>
            <w:vAlign w:val="center"/>
          </w:tcPr>
          <w:p w14:paraId="616A0FFB" w14:textId="77777777" w:rsidR="00302BFE" w:rsidRPr="00CF512D" w:rsidRDefault="00302BFE" w:rsidP="00243B15">
            <w:pPr>
              <w:pStyle w:val="Default"/>
              <w:jc w:val="center"/>
              <w:rPr>
                <w:rFonts w:ascii="Calibri" w:hAnsi="Calibri" w:cs="Calibri"/>
                <w:color w:val="auto"/>
                <w:sz w:val="20"/>
                <w:szCs w:val="20"/>
              </w:rPr>
            </w:pPr>
            <w:r w:rsidRPr="00CF512D">
              <w:rPr>
                <w:rFonts w:ascii="Calibri" w:hAnsi="Calibri" w:cs="Calibri"/>
                <w:color w:val="auto"/>
                <w:sz w:val="20"/>
                <w:szCs w:val="20"/>
              </w:rPr>
              <w:t>year</w:t>
            </w:r>
          </w:p>
        </w:tc>
        <w:tc>
          <w:tcPr>
            <w:tcW w:w="1154" w:type="dxa"/>
            <w:vAlign w:val="center"/>
          </w:tcPr>
          <w:p w14:paraId="3CF3F483" w14:textId="77777777" w:rsidR="00302BFE" w:rsidRPr="00CF512D" w:rsidRDefault="00302BFE" w:rsidP="00243B15">
            <w:pPr>
              <w:pStyle w:val="Default"/>
              <w:jc w:val="center"/>
              <w:rPr>
                <w:rFonts w:ascii="Calibri" w:hAnsi="Calibri" w:cs="Calibri"/>
                <w:color w:val="auto"/>
                <w:sz w:val="20"/>
                <w:szCs w:val="20"/>
              </w:rPr>
            </w:pPr>
          </w:p>
        </w:tc>
      </w:tr>
      <w:tr w:rsidR="00302BFE" w:rsidRPr="00CF512D" w14:paraId="2B608260" w14:textId="77777777" w:rsidTr="00243B15">
        <w:trPr>
          <w:trHeight w:val="222"/>
          <w:jc w:val="center"/>
        </w:trPr>
        <w:tc>
          <w:tcPr>
            <w:tcW w:w="8505" w:type="dxa"/>
          </w:tcPr>
          <w:p w14:paraId="4C19A247" w14:textId="77777777" w:rsidR="00302BFE" w:rsidRPr="00714F9A" w:rsidRDefault="00302BFE" w:rsidP="00243B15">
            <w:pPr>
              <w:pStyle w:val="Default"/>
              <w:rPr>
                <w:rFonts w:ascii="Calibri" w:hAnsi="Calibri" w:cs="Calibri"/>
                <w:color w:val="auto"/>
                <w:sz w:val="20"/>
                <w:szCs w:val="20"/>
              </w:rPr>
            </w:pPr>
            <w:r w:rsidRPr="00714F9A">
              <w:rPr>
                <w:rFonts w:ascii="Calibri" w:hAnsi="Calibri" w:cs="Calibri"/>
                <w:color w:val="auto"/>
                <w:sz w:val="20"/>
                <w:szCs w:val="20"/>
              </w:rPr>
              <w:t xml:space="preserve">Equipment for monitoring and surveillance activities for 3 PAs (output 2.1.2), including 6 cameras with integrated GPS @ $ 600, 6 Garmin GPS @ $ 250, 12 binoculars @ $ 125, 12 compasses @ $ 40, 12 notebooks @ $ 30, 12 motorcycles @ $ 2,300, 6 tents @ $ 300, 24 personal equipment (uniform, sleeping bag, mattress, backpack, torch, water bottle, lunch box, first aid kit) @ $ 365, 12 long-range VHF-UHF dual band walkie-talkie radios @ 200, 3 first-aid office kits @ $ 50, etc. (Output 2.1.2) </w:t>
            </w:r>
          </w:p>
        </w:tc>
        <w:tc>
          <w:tcPr>
            <w:tcW w:w="1134" w:type="dxa"/>
            <w:vAlign w:val="center"/>
          </w:tcPr>
          <w:p w14:paraId="0E735A2F" w14:textId="77777777" w:rsidR="00302BFE" w:rsidRPr="00714F9A" w:rsidRDefault="00302BFE" w:rsidP="00243B15">
            <w:pPr>
              <w:pStyle w:val="Default"/>
              <w:jc w:val="center"/>
              <w:rPr>
                <w:rFonts w:ascii="Calibri" w:hAnsi="Calibri" w:cs="Calibri"/>
                <w:color w:val="auto"/>
                <w:sz w:val="20"/>
                <w:szCs w:val="20"/>
              </w:rPr>
            </w:pPr>
            <w:r w:rsidRPr="00714F9A">
              <w:rPr>
                <w:rFonts w:ascii="Calibri" w:hAnsi="Calibri" w:cs="Calibri"/>
                <w:color w:val="auto"/>
                <w:sz w:val="20"/>
                <w:szCs w:val="20"/>
              </w:rPr>
              <w:t>100,000</w:t>
            </w:r>
          </w:p>
        </w:tc>
        <w:tc>
          <w:tcPr>
            <w:tcW w:w="1134" w:type="dxa"/>
            <w:vAlign w:val="center"/>
          </w:tcPr>
          <w:p w14:paraId="7A576F20" w14:textId="77777777" w:rsidR="00302BFE" w:rsidRPr="00CF512D" w:rsidRDefault="00302BFE" w:rsidP="00243B15">
            <w:pPr>
              <w:pStyle w:val="Default"/>
              <w:jc w:val="center"/>
              <w:rPr>
                <w:rFonts w:ascii="Calibri" w:hAnsi="Calibri" w:cs="Calibri"/>
                <w:color w:val="auto"/>
                <w:sz w:val="20"/>
                <w:szCs w:val="20"/>
              </w:rPr>
            </w:pPr>
          </w:p>
        </w:tc>
        <w:tc>
          <w:tcPr>
            <w:tcW w:w="1418" w:type="dxa"/>
            <w:vAlign w:val="center"/>
          </w:tcPr>
          <w:p w14:paraId="074F055B" w14:textId="77777777" w:rsidR="00302BFE" w:rsidRPr="00CF512D" w:rsidRDefault="00302BFE" w:rsidP="00243B15">
            <w:pPr>
              <w:pStyle w:val="Default"/>
              <w:jc w:val="center"/>
              <w:rPr>
                <w:rFonts w:ascii="Calibri" w:hAnsi="Calibri" w:cs="Calibri"/>
                <w:color w:val="auto"/>
                <w:sz w:val="20"/>
                <w:szCs w:val="20"/>
              </w:rPr>
            </w:pPr>
            <w:r w:rsidRPr="00CF512D">
              <w:rPr>
                <w:rFonts w:ascii="Calibri" w:hAnsi="Calibri" w:cs="Calibri"/>
                <w:color w:val="auto"/>
                <w:sz w:val="20"/>
                <w:szCs w:val="20"/>
              </w:rPr>
              <w:t>year 1</w:t>
            </w:r>
          </w:p>
        </w:tc>
        <w:tc>
          <w:tcPr>
            <w:tcW w:w="1154" w:type="dxa"/>
            <w:vAlign w:val="center"/>
          </w:tcPr>
          <w:p w14:paraId="7D8D28BB" w14:textId="77777777" w:rsidR="00302BFE" w:rsidRPr="00CF512D" w:rsidRDefault="00302BFE" w:rsidP="00243B15">
            <w:pPr>
              <w:pStyle w:val="Default"/>
              <w:jc w:val="center"/>
              <w:rPr>
                <w:rFonts w:ascii="Calibri" w:hAnsi="Calibri" w:cs="Calibri"/>
                <w:color w:val="auto"/>
                <w:sz w:val="20"/>
                <w:szCs w:val="20"/>
              </w:rPr>
            </w:pPr>
          </w:p>
        </w:tc>
      </w:tr>
      <w:tr w:rsidR="00302BFE" w:rsidRPr="00CF512D" w14:paraId="2CFF074E" w14:textId="77777777" w:rsidTr="00243B15">
        <w:trPr>
          <w:trHeight w:val="184"/>
          <w:jc w:val="center"/>
        </w:trPr>
        <w:tc>
          <w:tcPr>
            <w:tcW w:w="8505" w:type="dxa"/>
          </w:tcPr>
          <w:p w14:paraId="30765AD8" w14:textId="77777777" w:rsidR="00302BFE" w:rsidRPr="00CF512D" w:rsidRDefault="00302BFE" w:rsidP="00243B15">
            <w:pPr>
              <w:pStyle w:val="Default"/>
              <w:rPr>
                <w:rFonts w:ascii="Calibri" w:hAnsi="Calibri" w:cs="Calibri"/>
                <w:color w:val="auto"/>
                <w:sz w:val="20"/>
                <w:szCs w:val="20"/>
              </w:rPr>
            </w:pPr>
            <w:r w:rsidRPr="00CF512D">
              <w:rPr>
                <w:rFonts w:ascii="Calibri" w:hAnsi="Calibri" w:cs="Calibri"/>
                <w:color w:val="auto"/>
                <w:sz w:val="20"/>
                <w:szCs w:val="20"/>
              </w:rPr>
              <w:t xml:space="preserve">Furniture for the Visitors reception Center / PNKT office (Output 2.1.2) including conference room tables @ $ 1,000, 20 chairs @ $ 100, 1 video projector @ $ 1,000, screen, filing cabinets, shelves, showcases, 3 workstations, etc. in </w:t>
            </w:r>
          </w:p>
        </w:tc>
        <w:tc>
          <w:tcPr>
            <w:tcW w:w="1134" w:type="dxa"/>
            <w:vAlign w:val="center"/>
          </w:tcPr>
          <w:p w14:paraId="4787CC43" w14:textId="77777777" w:rsidR="00302BFE" w:rsidRPr="00CF512D" w:rsidRDefault="00302BFE" w:rsidP="00243B15">
            <w:pPr>
              <w:pStyle w:val="Default"/>
              <w:jc w:val="center"/>
              <w:rPr>
                <w:rFonts w:ascii="Calibri" w:hAnsi="Calibri" w:cs="Calibri"/>
                <w:color w:val="auto"/>
                <w:sz w:val="20"/>
                <w:szCs w:val="20"/>
              </w:rPr>
            </w:pPr>
            <w:r w:rsidRPr="00CF512D">
              <w:rPr>
                <w:rFonts w:ascii="Calibri" w:hAnsi="Calibri" w:cs="Calibri"/>
                <w:color w:val="auto"/>
                <w:sz w:val="20"/>
                <w:szCs w:val="20"/>
              </w:rPr>
              <w:t>10,000</w:t>
            </w:r>
          </w:p>
        </w:tc>
        <w:tc>
          <w:tcPr>
            <w:tcW w:w="1134" w:type="dxa"/>
            <w:vAlign w:val="center"/>
          </w:tcPr>
          <w:p w14:paraId="3FB3FE3B" w14:textId="77777777" w:rsidR="00302BFE" w:rsidRPr="00CF512D" w:rsidRDefault="00302BFE" w:rsidP="00243B15">
            <w:pPr>
              <w:pStyle w:val="Default"/>
              <w:jc w:val="center"/>
              <w:rPr>
                <w:rFonts w:ascii="Calibri" w:hAnsi="Calibri" w:cs="Calibri"/>
                <w:color w:val="auto"/>
                <w:sz w:val="20"/>
                <w:szCs w:val="20"/>
              </w:rPr>
            </w:pPr>
          </w:p>
        </w:tc>
        <w:tc>
          <w:tcPr>
            <w:tcW w:w="1418" w:type="dxa"/>
            <w:vAlign w:val="center"/>
          </w:tcPr>
          <w:p w14:paraId="772CF9BE" w14:textId="77777777" w:rsidR="00302BFE" w:rsidRPr="00CF512D" w:rsidRDefault="00302BFE" w:rsidP="00243B15">
            <w:pPr>
              <w:pStyle w:val="Default"/>
              <w:jc w:val="center"/>
              <w:rPr>
                <w:rFonts w:ascii="Calibri" w:hAnsi="Calibri" w:cs="Calibri"/>
                <w:color w:val="auto"/>
                <w:sz w:val="20"/>
                <w:szCs w:val="20"/>
              </w:rPr>
            </w:pPr>
            <w:r w:rsidRPr="00CF512D">
              <w:rPr>
                <w:rFonts w:ascii="Calibri" w:hAnsi="Calibri" w:cs="Calibri"/>
                <w:color w:val="auto"/>
                <w:sz w:val="20"/>
                <w:szCs w:val="20"/>
              </w:rPr>
              <w:t>year 3</w:t>
            </w:r>
          </w:p>
        </w:tc>
        <w:tc>
          <w:tcPr>
            <w:tcW w:w="1154" w:type="dxa"/>
            <w:vAlign w:val="center"/>
          </w:tcPr>
          <w:p w14:paraId="1375E5D6" w14:textId="77777777" w:rsidR="00302BFE" w:rsidRPr="00CF512D" w:rsidRDefault="00302BFE" w:rsidP="00243B15">
            <w:pPr>
              <w:pStyle w:val="Default"/>
              <w:jc w:val="center"/>
              <w:rPr>
                <w:rFonts w:ascii="Calibri" w:hAnsi="Calibri" w:cs="Calibri"/>
                <w:color w:val="auto"/>
                <w:sz w:val="20"/>
                <w:szCs w:val="20"/>
              </w:rPr>
            </w:pPr>
          </w:p>
        </w:tc>
      </w:tr>
      <w:tr w:rsidR="00302BFE" w:rsidRPr="00CF512D" w14:paraId="6259B714" w14:textId="77777777" w:rsidTr="00243B15">
        <w:trPr>
          <w:trHeight w:val="222"/>
          <w:jc w:val="center"/>
        </w:trPr>
        <w:tc>
          <w:tcPr>
            <w:tcW w:w="8505" w:type="dxa"/>
          </w:tcPr>
          <w:p w14:paraId="4EC7F687" w14:textId="77777777" w:rsidR="00302BFE" w:rsidRPr="00CF512D" w:rsidRDefault="00302BFE" w:rsidP="00243B15">
            <w:pPr>
              <w:pStyle w:val="Default"/>
              <w:rPr>
                <w:rFonts w:ascii="Calibri" w:hAnsi="Calibri" w:cs="Calibri"/>
                <w:color w:val="auto"/>
                <w:sz w:val="20"/>
                <w:szCs w:val="20"/>
              </w:rPr>
            </w:pPr>
            <w:r w:rsidRPr="00CF512D">
              <w:rPr>
                <w:rFonts w:ascii="Calibri" w:hAnsi="Calibri" w:cs="Calibri"/>
                <w:color w:val="auto"/>
                <w:sz w:val="20"/>
                <w:szCs w:val="20"/>
              </w:rPr>
              <w:t>Signposts for PAs, ZOVICs and Corridors in Year 3 (Outputs 2.2.1 and 2.3.1)</w:t>
            </w:r>
          </w:p>
        </w:tc>
        <w:tc>
          <w:tcPr>
            <w:tcW w:w="1134" w:type="dxa"/>
            <w:vAlign w:val="center"/>
          </w:tcPr>
          <w:p w14:paraId="684985E9" w14:textId="77777777" w:rsidR="00302BFE" w:rsidRPr="00CF512D" w:rsidRDefault="00302BFE" w:rsidP="00243B15">
            <w:pPr>
              <w:pStyle w:val="Default"/>
              <w:jc w:val="center"/>
              <w:rPr>
                <w:rFonts w:ascii="Calibri" w:hAnsi="Calibri" w:cs="Calibri"/>
                <w:color w:val="auto"/>
                <w:sz w:val="20"/>
                <w:szCs w:val="20"/>
              </w:rPr>
            </w:pPr>
            <w:r w:rsidRPr="00CF512D">
              <w:rPr>
                <w:rFonts w:ascii="Calibri" w:hAnsi="Calibri" w:cs="Calibri"/>
                <w:color w:val="auto"/>
                <w:sz w:val="20"/>
                <w:szCs w:val="20"/>
              </w:rPr>
              <w:t>80,000</w:t>
            </w:r>
          </w:p>
        </w:tc>
        <w:tc>
          <w:tcPr>
            <w:tcW w:w="1134" w:type="dxa"/>
            <w:vAlign w:val="center"/>
          </w:tcPr>
          <w:p w14:paraId="67A338EC" w14:textId="77777777" w:rsidR="00302BFE" w:rsidRPr="00CF512D" w:rsidRDefault="00302BFE" w:rsidP="00243B15">
            <w:pPr>
              <w:pStyle w:val="Default"/>
              <w:jc w:val="center"/>
              <w:rPr>
                <w:rFonts w:ascii="Calibri" w:hAnsi="Calibri" w:cs="Calibri"/>
                <w:color w:val="auto"/>
                <w:sz w:val="20"/>
                <w:szCs w:val="20"/>
              </w:rPr>
            </w:pPr>
          </w:p>
        </w:tc>
        <w:tc>
          <w:tcPr>
            <w:tcW w:w="1418" w:type="dxa"/>
            <w:vAlign w:val="center"/>
          </w:tcPr>
          <w:p w14:paraId="7BCBAA8B" w14:textId="77777777" w:rsidR="00302BFE" w:rsidRPr="00CF512D" w:rsidRDefault="00302BFE" w:rsidP="00243B15">
            <w:pPr>
              <w:pStyle w:val="Default"/>
              <w:jc w:val="center"/>
              <w:rPr>
                <w:rFonts w:ascii="Calibri" w:hAnsi="Calibri" w:cs="Calibri"/>
                <w:color w:val="auto"/>
                <w:sz w:val="20"/>
                <w:szCs w:val="20"/>
              </w:rPr>
            </w:pPr>
            <w:r w:rsidRPr="00CF512D">
              <w:rPr>
                <w:rFonts w:ascii="Calibri" w:hAnsi="Calibri" w:cs="Calibri"/>
                <w:color w:val="auto"/>
                <w:sz w:val="20"/>
                <w:szCs w:val="20"/>
              </w:rPr>
              <w:t>year 3</w:t>
            </w:r>
          </w:p>
        </w:tc>
        <w:tc>
          <w:tcPr>
            <w:tcW w:w="1154" w:type="dxa"/>
            <w:vAlign w:val="center"/>
          </w:tcPr>
          <w:p w14:paraId="4F5A9D84" w14:textId="77777777" w:rsidR="00302BFE" w:rsidRPr="00CF512D" w:rsidRDefault="00302BFE" w:rsidP="00243B15">
            <w:pPr>
              <w:pStyle w:val="Default"/>
              <w:jc w:val="center"/>
              <w:rPr>
                <w:rFonts w:ascii="Calibri" w:hAnsi="Calibri" w:cs="Calibri"/>
                <w:color w:val="auto"/>
                <w:sz w:val="20"/>
                <w:szCs w:val="20"/>
              </w:rPr>
            </w:pPr>
          </w:p>
        </w:tc>
      </w:tr>
      <w:tr w:rsidR="00302BFE" w:rsidRPr="00CF512D" w14:paraId="7A1BBF66" w14:textId="77777777" w:rsidTr="00243B15">
        <w:trPr>
          <w:trHeight w:val="222"/>
          <w:jc w:val="center"/>
        </w:trPr>
        <w:tc>
          <w:tcPr>
            <w:tcW w:w="8505" w:type="dxa"/>
          </w:tcPr>
          <w:p w14:paraId="26D16A36" w14:textId="77777777" w:rsidR="00302BFE" w:rsidRPr="00CF512D" w:rsidRDefault="00302BFE" w:rsidP="00243B15">
            <w:pPr>
              <w:pStyle w:val="Default"/>
              <w:rPr>
                <w:rFonts w:ascii="Calibri" w:hAnsi="Calibri" w:cs="Calibri"/>
                <w:color w:val="auto"/>
                <w:sz w:val="20"/>
                <w:szCs w:val="20"/>
              </w:rPr>
            </w:pPr>
            <w:r w:rsidRPr="00CF512D">
              <w:rPr>
                <w:rFonts w:ascii="Calibri" w:hAnsi="Calibri" w:cs="Calibri"/>
                <w:color w:val="auto"/>
                <w:sz w:val="20"/>
                <w:szCs w:val="20"/>
              </w:rPr>
              <w:t>Trails interpretative signs for self-guided tours, accompanying awareness material (brochures, field guides, printed documents) on flora, fauna, natural and cultural heritage in the PONASI landscape for the PNKT Reception center. and for the Sissili Classified Forest and the RGN</w:t>
            </w:r>
          </w:p>
        </w:tc>
        <w:tc>
          <w:tcPr>
            <w:tcW w:w="1134" w:type="dxa"/>
            <w:vAlign w:val="center"/>
          </w:tcPr>
          <w:p w14:paraId="4AE45B54" w14:textId="77777777" w:rsidR="00302BFE" w:rsidRPr="00CF512D" w:rsidRDefault="00302BFE" w:rsidP="00243B15">
            <w:pPr>
              <w:pStyle w:val="Default"/>
              <w:jc w:val="center"/>
              <w:rPr>
                <w:rFonts w:ascii="Calibri" w:hAnsi="Calibri" w:cs="Calibri"/>
                <w:color w:val="auto"/>
                <w:sz w:val="20"/>
                <w:szCs w:val="20"/>
              </w:rPr>
            </w:pPr>
            <w:r w:rsidRPr="00CF512D">
              <w:rPr>
                <w:rFonts w:ascii="Calibri" w:hAnsi="Calibri" w:cs="Calibri"/>
                <w:color w:val="auto"/>
                <w:sz w:val="20"/>
                <w:szCs w:val="20"/>
              </w:rPr>
              <w:t>100,000</w:t>
            </w:r>
          </w:p>
        </w:tc>
        <w:tc>
          <w:tcPr>
            <w:tcW w:w="1134" w:type="dxa"/>
            <w:vAlign w:val="center"/>
          </w:tcPr>
          <w:p w14:paraId="35908AD2" w14:textId="77777777" w:rsidR="00302BFE" w:rsidRPr="00CF512D" w:rsidRDefault="00302BFE" w:rsidP="00243B15">
            <w:pPr>
              <w:pStyle w:val="Default"/>
              <w:jc w:val="center"/>
              <w:rPr>
                <w:rFonts w:ascii="Calibri" w:hAnsi="Calibri" w:cs="Calibri"/>
                <w:color w:val="auto"/>
                <w:sz w:val="20"/>
                <w:szCs w:val="20"/>
              </w:rPr>
            </w:pPr>
          </w:p>
        </w:tc>
        <w:tc>
          <w:tcPr>
            <w:tcW w:w="1418" w:type="dxa"/>
            <w:vAlign w:val="center"/>
          </w:tcPr>
          <w:p w14:paraId="052A63F3" w14:textId="77777777" w:rsidR="00302BFE" w:rsidRPr="00CF512D" w:rsidRDefault="00302BFE" w:rsidP="00243B15">
            <w:pPr>
              <w:pStyle w:val="Default"/>
              <w:jc w:val="center"/>
              <w:rPr>
                <w:rFonts w:ascii="Calibri" w:hAnsi="Calibri" w:cs="Calibri"/>
                <w:color w:val="auto"/>
                <w:sz w:val="20"/>
                <w:szCs w:val="20"/>
              </w:rPr>
            </w:pPr>
            <w:r w:rsidRPr="00CF512D">
              <w:rPr>
                <w:rFonts w:ascii="Calibri" w:hAnsi="Calibri" w:cs="Calibri"/>
                <w:color w:val="auto"/>
                <w:sz w:val="20"/>
                <w:szCs w:val="20"/>
              </w:rPr>
              <w:t>year 4</w:t>
            </w:r>
          </w:p>
        </w:tc>
        <w:tc>
          <w:tcPr>
            <w:tcW w:w="1154" w:type="dxa"/>
            <w:vAlign w:val="center"/>
          </w:tcPr>
          <w:p w14:paraId="46490398" w14:textId="77777777" w:rsidR="00302BFE" w:rsidRPr="00CF512D" w:rsidRDefault="00302BFE" w:rsidP="00243B15">
            <w:pPr>
              <w:pStyle w:val="Default"/>
              <w:jc w:val="center"/>
              <w:rPr>
                <w:rFonts w:ascii="Calibri" w:hAnsi="Calibri" w:cs="Calibri"/>
                <w:color w:val="auto"/>
                <w:sz w:val="20"/>
                <w:szCs w:val="20"/>
              </w:rPr>
            </w:pPr>
          </w:p>
        </w:tc>
      </w:tr>
      <w:tr w:rsidR="00302BFE" w:rsidRPr="00CF512D" w14:paraId="5189FD08" w14:textId="77777777" w:rsidTr="00243B15">
        <w:trPr>
          <w:trHeight w:val="222"/>
          <w:jc w:val="center"/>
        </w:trPr>
        <w:tc>
          <w:tcPr>
            <w:tcW w:w="8505" w:type="dxa"/>
          </w:tcPr>
          <w:p w14:paraId="158A9C73" w14:textId="77777777" w:rsidR="00302BFE" w:rsidRPr="00CF512D" w:rsidRDefault="00302BFE" w:rsidP="00243B15">
            <w:pPr>
              <w:pStyle w:val="Default"/>
              <w:rPr>
                <w:rFonts w:ascii="Calibri" w:hAnsi="Calibri" w:cs="Calibri"/>
                <w:color w:val="auto"/>
                <w:sz w:val="20"/>
                <w:szCs w:val="20"/>
              </w:rPr>
            </w:pPr>
            <w:r w:rsidRPr="00CF512D">
              <w:rPr>
                <w:rFonts w:ascii="Calibri" w:hAnsi="Calibri" w:cs="Calibri"/>
                <w:sz w:val="20"/>
                <w:szCs w:val="20"/>
                <w:lang w:val="en-GB"/>
              </w:rPr>
              <w:t>Solar equipment for the Protected Area Office / Biodiversity Interpretation Center / Visitors Reception Center for PNKT (Output 2.1.3)</w:t>
            </w:r>
          </w:p>
        </w:tc>
        <w:tc>
          <w:tcPr>
            <w:tcW w:w="1134" w:type="dxa"/>
            <w:vAlign w:val="center"/>
          </w:tcPr>
          <w:p w14:paraId="01A0ACF1" w14:textId="77777777" w:rsidR="00302BFE" w:rsidRPr="00CF512D" w:rsidRDefault="00302BFE" w:rsidP="00243B15">
            <w:pPr>
              <w:pStyle w:val="Default"/>
              <w:jc w:val="center"/>
              <w:rPr>
                <w:rFonts w:ascii="Calibri" w:hAnsi="Calibri" w:cs="Calibri"/>
                <w:color w:val="auto"/>
                <w:sz w:val="20"/>
                <w:szCs w:val="20"/>
              </w:rPr>
            </w:pPr>
            <w:r w:rsidRPr="00CF512D">
              <w:rPr>
                <w:rFonts w:ascii="Calibri" w:hAnsi="Calibri" w:cs="Calibri"/>
                <w:sz w:val="20"/>
                <w:szCs w:val="20"/>
                <w:lang w:val="en-GB"/>
              </w:rPr>
              <w:t>15,000</w:t>
            </w:r>
          </w:p>
        </w:tc>
        <w:tc>
          <w:tcPr>
            <w:tcW w:w="1134" w:type="dxa"/>
            <w:vAlign w:val="center"/>
          </w:tcPr>
          <w:p w14:paraId="0C173FC5" w14:textId="77777777" w:rsidR="00302BFE" w:rsidRPr="00CF512D" w:rsidRDefault="00302BFE" w:rsidP="00243B15">
            <w:pPr>
              <w:pStyle w:val="Default"/>
              <w:jc w:val="center"/>
              <w:rPr>
                <w:rFonts w:ascii="Calibri" w:hAnsi="Calibri" w:cs="Calibri"/>
                <w:color w:val="auto"/>
                <w:sz w:val="20"/>
                <w:szCs w:val="20"/>
              </w:rPr>
            </w:pPr>
          </w:p>
        </w:tc>
        <w:tc>
          <w:tcPr>
            <w:tcW w:w="1418" w:type="dxa"/>
            <w:vAlign w:val="center"/>
          </w:tcPr>
          <w:p w14:paraId="72F60E1B" w14:textId="77777777" w:rsidR="00302BFE" w:rsidRPr="00CF512D" w:rsidRDefault="00302BFE" w:rsidP="00243B15">
            <w:pPr>
              <w:pStyle w:val="Default"/>
              <w:jc w:val="center"/>
              <w:rPr>
                <w:rFonts w:ascii="Calibri" w:hAnsi="Calibri" w:cs="Calibri"/>
                <w:color w:val="auto"/>
                <w:sz w:val="20"/>
                <w:szCs w:val="20"/>
              </w:rPr>
            </w:pPr>
            <w:r w:rsidRPr="00CF512D">
              <w:rPr>
                <w:rFonts w:ascii="Calibri" w:hAnsi="Calibri" w:cs="Calibri"/>
                <w:color w:val="auto"/>
                <w:sz w:val="20"/>
                <w:szCs w:val="20"/>
              </w:rPr>
              <w:t>year 3</w:t>
            </w:r>
          </w:p>
        </w:tc>
        <w:tc>
          <w:tcPr>
            <w:tcW w:w="1154" w:type="dxa"/>
            <w:vAlign w:val="center"/>
          </w:tcPr>
          <w:p w14:paraId="64880739" w14:textId="77777777" w:rsidR="00302BFE" w:rsidRPr="00CF512D" w:rsidRDefault="00302BFE" w:rsidP="00243B15">
            <w:pPr>
              <w:pStyle w:val="Default"/>
              <w:jc w:val="center"/>
              <w:rPr>
                <w:rFonts w:ascii="Calibri" w:hAnsi="Calibri" w:cs="Calibri"/>
                <w:color w:val="auto"/>
                <w:sz w:val="20"/>
                <w:szCs w:val="20"/>
              </w:rPr>
            </w:pPr>
          </w:p>
        </w:tc>
      </w:tr>
      <w:tr w:rsidR="00302BFE" w:rsidRPr="00CF512D" w14:paraId="43405FB9" w14:textId="77777777" w:rsidTr="00243B15">
        <w:trPr>
          <w:trHeight w:val="222"/>
          <w:jc w:val="center"/>
        </w:trPr>
        <w:tc>
          <w:tcPr>
            <w:tcW w:w="8505" w:type="dxa"/>
          </w:tcPr>
          <w:p w14:paraId="35BD0841" w14:textId="77777777" w:rsidR="00302BFE" w:rsidRPr="00CF512D" w:rsidRDefault="00302BFE" w:rsidP="00243B15">
            <w:pPr>
              <w:pStyle w:val="Default"/>
              <w:rPr>
                <w:rFonts w:ascii="Calibri" w:hAnsi="Calibri" w:cs="Calibri"/>
                <w:color w:val="auto"/>
                <w:sz w:val="20"/>
                <w:szCs w:val="20"/>
              </w:rPr>
            </w:pPr>
            <w:r w:rsidRPr="00CF512D">
              <w:rPr>
                <w:rFonts w:ascii="Calibri" w:hAnsi="Calibri" w:cs="Calibri"/>
                <w:sz w:val="20"/>
                <w:szCs w:val="20"/>
                <w:lang w:val="en-GB"/>
              </w:rPr>
              <w:t>Construction of 8 ECOSAN-type public toilets @ $ 800 for visitors to PNKT and Sissili FC, including 2 for the interpretation center / visitors reception center (Output 2.1.3)</w:t>
            </w:r>
          </w:p>
        </w:tc>
        <w:tc>
          <w:tcPr>
            <w:tcW w:w="1134" w:type="dxa"/>
            <w:vAlign w:val="center"/>
          </w:tcPr>
          <w:p w14:paraId="2FF2721E" w14:textId="77777777" w:rsidR="00302BFE" w:rsidRPr="00CF512D" w:rsidRDefault="00302BFE" w:rsidP="00243B15">
            <w:pPr>
              <w:pStyle w:val="Default"/>
              <w:jc w:val="center"/>
              <w:rPr>
                <w:rFonts w:ascii="Calibri" w:hAnsi="Calibri" w:cs="Calibri"/>
                <w:color w:val="auto"/>
                <w:sz w:val="20"/>
                <w:szCs w:val="20"/>
              </w:rPr>
            </w:pPr>
            <w:r w:rsidRPr="00CF512D">
              <w:rPr>
                <w:rFonts w:ascii="Calibri" w:hAnsi="Calibri" w:cs="Calibri"/>
                <w:sz w:val="20"/>
                <w:szCs w:val="20"/>
                <w:lang w:val="en-GB"/>
              </w:rPr>
              <w:t>6,400</w:t>
            </w:r>
          </w:p>
        </w:tc>
        <w:tc>
          <w:tcPr>
            <w:tcW w:w="1134" w:type="dxa"/>
            <w:vAlign w:val="center"/>
          </w:tcPr>
          <w:p w14:paraId="0310ADD6" w14:textId="77777777" w:rsidR="00302BFE" w:rsidRPr="00CF512D" w:rsidRDefault="00302BFE" w:rsidP="00243B15">
            <w:pPr>
              <w:pStyle w:val="Default"/>
              <w:jc w:val="center"/>
              <w:rPr>
                <w:rFonts w:ascii="Calibri" w:hAnsi="Calibri" w:cs="Calibri"/>
                <w:color w:val="auto"/>
                <w:sz w:val="20"/>
                <w:szCs w:val="20"/>
              </w:rPr>
            </w:pPr>
          </w:p>
        </w:tc>
        <w:tc>
          <w:tcPr>
            <w:tcW w:w="1418" w:type="dxa"/>
            <w:vAlign w:val="center"/>
          </w:tcPr>
          <w:p w14:paraId="31E9A26A" w14:textId="77777777" w:rsidR="00302BFE" w:rsidRPr="00CF512D" w:rsidRDefault="00302BFE" w:rsidP="00243B15">
            <w:pPr>
              <w:pStyle w:val="Default"/>
              <w:jc w:val="center"/>
              <w:rPr>
                <w:rFonts w:ascii="Calibri" w:hAnsi="Calibri" w:cs="Calibri"/>
                <w:color w:val="auto"/>
                <w:sz w:val="20"/>
                <w:szCs w:val="20"/>
              </w:rPr>
            </w:pPr>
            <w:r w:rsidRPr="00CF512D">
              <w:rPr>
                <w:rFonts w:ascii="Calibri" w:hAnsi="Calibri" w:cs="Calibri"/>
                <w:color w:val="auto"/>
                <w:sz w:val="20"/>
                <w:szCs w:val="20"/>
              </w:rPr>
              <w:t>year 3</w:t>
            </w:r>
          </w:p>
        </w:tc>
        <w:tc>
          <w:tcPr>
            <w:tcW w:w="1154" w:type="dxa"/>
            <w:vAlign w:val="center"/>
          </w:tcPr>
          <w:p w14:paraId="6B0894C6" w14:textId="77777777" w:rsidR="00302BFE" w:rsidRPr="00CF512D" w:rsidRDefault="00302BFE" w:rsidP="00243B15">
            <w:pPr>
              <w:pStyle w:val="Default"/>
              <w:jc w:val="center"/>
              <w:rPr>
                <w:rFonts w:ascii="Calibri" w:hAnsi="Calibri" w:cs="Calibri"/>
                <w:color w:val="auto"/>
                <w:sz w:val="20"/>
                <w:szCs w:val="20"/>
              </w:rPr>
            </w:pPr>
          </w:p>
        </w:tc>
      </w:tr>
      <w:tr w:rsidR="00302BFE" w:rsidRPr="00CF512D" w14:paraId="272339BE" w14:textId="77777777" w:rsidTr="00243B15">
        <w:trPr>
          <w:trHeight w:val="222"/>
          <w:jc w:val="center"/>
        </w:trPr>
        <w:tc>
          <w:tcPr>
            <w:tcW w:w="8505" w:type="dxa"/>
          </w:tcPr>
          <w:p w14:paraId="17A51659" w14:textId="77777777" w:rsidR="00302BFE" w:rsidRPr="00714F9A" w:rsidRDefault="00302BFE" w:rsidP="00243B15">
            <w:pPr>
              <w:pStyle w:val="Default"/>
              <w:rPr>
                <w:rFonts w:ascii="Calibri" w:hAnsi="Calibri" w:cs="Calibri"/>
                <w:color w:val="auto"/>
                <w:sz w:val="20"/>
                <w:szCs w:val="20"/>
              </w:rPr>
            </w:pPr>
            <w:r w:rsidRPr="00714F9A">
              <w:rPr>
                <w:rFonts w:ascii="Calibri" w:hAnsi="Calibri" w:cs="Calibri"/>
                <w:sz w:val="20"/>
                <w:szCs w:val="20"/>
                <w:lang w:val="en-GB"/>
              </w:rPr>
              <w:t>Office computer equipment for 3 protected areas for GIS data input and analysis (output 2.1.2), including 6 desktops @ $ 1,500, 6 inverters @ $ 200, 3 printers @ $ 250, 3 large capacity hard drives @ $ 250, 6 Microsoft software licenses @ $ 600, 1 ArcGIS Pro license @ $ 8,500, 1 large format printer + ink reserve @ $ 3,500</w:t>
            </w:r>
          </w:p>
        </w:tc>
        <w:tc>
          <w:tcPr>
            <w:tcW w:w="1134" w:type="dxa"/>
            <w:vAlign w:val="center"/>
          </w:tcPr>
          <w:p w14:paraId="33571B84" w14:textId="77777777" w:rsidR="00302BFE" w:rsidRPr="00714F9A" w:rsidRDefault="00302BFE" w:rsidP="00243B15">
            <w:pPr>
              <w:pStyle w:val="Default"/>
              <w:jc w:val="center"/>
              <w:rPr>
                <w:rFonts w:ascii="Calibri" w:hAnsi="Calibri" w:cs="Calibri"/>
                <w:color w:val="auto"/>
                <w:sz w:val="20"/>
                <w:szCs w:val="20"/>
              </w:rPr>
            </w:pPr>
            <w:r w:rsidRPr="00714F9A">
              <w:rPr>
                <w:rFonts w:ascii="Calibri" w:hAnsi="Calibri" w:cs="Calibri"/>
                <w:sz w:val="20"/>
                <w:szCs w:val="20"/>
                <w:lang w:val="en-GB"/>
              </w:rPr>
              <w:t>100,000</w:t>
            </w:r>
          </w:p>
        </w:tc>
        <w:tc>
          <w:tcPr>
            <w:tcW w:w="1134" w:type="dxa"/>
            <w:vAlign w:val="center"/>
          </w:tcPr>
          <w:p w14:paraId="2FC75FDC" w14:textId="77777777" w:rsidR="00302BFE" w:rsidRPr="00CF512D" w:rsidRDefault="00302BFE" w:rsidP="00243B15">
            <w:pPr>
              <w:pStyle w:val="Default"/>
              <w:jc w:val="center"/>
              <w:rPr>
                <w:rFonts w:ascii="Calibri" w:hAnsi="Calibri" w:cs="Calibri"/>
                <w:color w:val="auto"/>
                <w:sz w:val="20"/>
                <w:szCs w:val="20"/>
              </w:rPr>
            </w:pPr>
          </w:p>
        </w:tc>
        <w:tc>
          <w:tcPr>
            <w:tcW w:w="1418" w:type="dxa"/>
            <w:vAlign w:val="center"/>
          </w:tcPr>
          <w:p w14:paraId="0EB54AA6" w14:textId="77777777" w:rsidR="00302BFE" w:rsidRPr="00CF512D" w:rsidRDefault="00302BFE" w:rsidP="00243B15">
            <w:pPr>
              <w:pStyle w:val="Default"/>
              <w:jc w:val="center"/>
              <w:rPr>
                <w:rFonts w:ascii="Calibri" w:hAnsi="Calibri" w:cs="Calibri"/>
                <w:color w:val="auto"/>
                <w:sz w:val="20"/>
                <w:szCs w:val="20"/>
              </w:rPr>
            </w:pPr>
            <w:r w:rsidRPr="00CF512D">
              <w:rPr>
                <w:rFonts w:ascii="Calibri" w:hAnsi="Calibri" w:cs="Calibri"/>
                <w:color w:val="auto"/>
                <w:sz w:val="20"/>
                <w:szCs w:val="20"/>
              </w:rPr>
              <w:t>year 1</w:t>
            </w:r>
          </w:p>
        </w:tc>
        <w:tc>
          <w:tcPr>
            <w:tcW w:w="1154" w:type="dxa"/>
            <w:vAlign w:val="center"/>
          </w:tcPr>
          <w:p w14:paraId="5BFD7FF8" w14:textId="77777777" w:rsidR="00302BFE" w:rsidRPr="00CF512D" w:rsidRDefault="00302BFE" w:rsidP="00243B15">
            <w:pPr>
              <w:pStyle w:val="Default"/>
              <w:jc w:val="center"/>
              <w:rPr>
                <w:rFonts w:ascii="Calibri" w:hAnsi="Calibri" w:cs="Calibri"/>
                <w:color w:val="auto"/>
                <w:sz w:val="20"/>
                <w:szCs w:val="20"/>
              </w:rPr>
            </w:pPr>
          </w:p>
        </w:tc>
      </w:tr>
      <w:tr w:rsidR="00302BFE" w:rsidRPr="00CF512D" w14:paraId="5A876415" w14:textId="77777777" w:rsidTr="00243B15">
        <w:trPr>
          <w:trHeight w:val="222"/>
          <w:jc w:val="center"/>
        </w:trPr>
        <w:tc>
          <w:tcPr>
            <w:tcW w:w="13345" w:type="dxa"/>
            <w:gridSpan w:val="5"/>
            <w:shd w:val="clear" w:color="auto" w:fill="FFF2CC"/>
          </w:tcPr>
          <w:p w14:paraId="0D6AF00A" w14:textId="77777777" w:rsidR="00302BFE" w:rsidRPr="00CF512D" w:rsidRDefault="00302BFE" w:rsidP="00243B15">
            <w:pPr>
              <w:pStyle w:val="Default"/>
              <w:rPr>
                <w:rFonts w:ascii="Calibri" w:hAnsi="Calibri" w:cs="Calibri"/>
                <w:b/>
                <w:color w:val="auto"/>
                <w:sz w:val="20"/>
                <w:szCs w:val="20"/>
              </w:rPr>
            </w:pPr>
            <w:r w:rsidRPr="00CF512D">
              <w:rPr>
                <w:rFonts w:ascii="Calibri" w:hAnsi="Calibri" w:cs="Lucida Grande"/>
                <w:b/>
                <w:color w:val="auto"/>
                <w:sz w:val="20"/>
                <w:szCs w:val="20"/>
              </w:rPr>
              <w:t xml:space="preserve">Component </w:t>
            </w:r>
            <w:r w:rsidRPr="00CF512D">
              <w:rPr>
                <w:rFonts w:ascii="Calibri" w:hAnsi="Calibri" w:cs="Calibri"/>
                <w:b/>
                <w:color w:val="auto"/>
                <w:sz w:val="20"/>
                <w:szCs w:val="20"/>
              </w:rPr>
              <w:t xml:space="preserve">3. </w:t>
            </w:r>
          </w:p>
        </w:tc>
      </w:tr>
      <w:tr w:rsidR="00302BFE" w:rsidRPr="00CF512D" w14:paraId="7F72A1E0" w14:textId="77777777" w:rsidTr="00243B15">
        <w:trPr>
          <w:trHeight w:val="222"/>
          <w:jc w:val="center"/>
        </w:trPr>
        <w:tc>
          <w:tcPr>
            <w:tcW w:w="8505" w:type="dxa"/>
          </w:tcPr>
          <w:p w14:paraId="1717592A" w14:textId="77777777" w:rsidR="00302BFE" w:rsidRPr="00CF512D" w:rsidRDefault="00302BFE" w:rsidP="00243B15">
            <w:pPr>
              <w:pStyle w:val="Default"/>
              <w:rPr>
                <w:rFonts w:ascii="Calibri" w:hAnsi="Calibri" w:cs="Calibri"/>
                <w:color w:val="auto"/>
                <w:sz w:val="20"/>
                <w:szCs w:val="20"/>
              </w:rPr>
            </w:pPr>
            <w:r w:rsidRPr="00CF512D">
              <w:rPr>
                <w:rFonts w:ascii="Calibri" w:hAnsi="Calibri" w:cs="Calibri"/>
                <w:color w:val="auto"/>
                <w:sz w:val="20"/>
                <w:szCs w:val="20"/>
              </w:rPr>
              <w:lastRenderedPageBreak/>
              <w:t xml:space="preserve">Equipment for a honey production unit (40 Kenyan hives, 40 honey presses, 40 ripeners, 40 extractors, 40 stainless steel drums, 80 bee brushes, 80 smokers, 80 hive tools, 400 coveralls, 400 boots, 400 pairs of gloves), </w:t>
            </w:r>
          </w:p>
        </w:tc>
        <w:tc>
          <w:tcPr>
            <w:tcW w:w="1134" w:type="dxa"/>
            <w:vAlign w:val="center"/>
          </w:tcPr>
          <w:p w14:paraId="75C46A6F" w14:textId="77777777" w:rsidR="00302BFE" w:rsidRPr="00CF512D" w:rsidRDefault="00302BFE" w:rsidP="00243B15">
            <w:pPr>
              <w:pStyle w:val="Default"/>
              <w:jc w:val="center"/>
              <w:rPr>
                <w:rFonts w:ascii="Calibri" w:hAnsi="Calibri" w:cs="Calibri"/>
                <w:color w:val="auto"/>
                <w:sz w:val="20"/>
                <w:szCs w:val="20"/>
              </w:rPr>
            </w:pPr>
            <w:r w:rsidRPr="00CF512D">
              <w:rPr>
                <w:rFonts w:ascii="Calibri" w:hAnsi="Calibri" w:cs="Calibri"/>
                <w:color w:val="auto"/>
                <w:sz w:val="20"/>
                <w:szCs w:val="20"/>
              </w:rPr>
              <w:t>75,000</w:t>
            </w:r>
          </w:p>
        </w:tc>
        <w:tc>
          <w:tcPr>
            <w:tcW w:w="1134" w:type="dxa"/>
            <w:vAlign w:val="center"/>
          </w:tcPr>
          <w:p w14:paraId="0B341DC9" w14:textId="77777777" w:rsidR="00302BFE" w:rsidRPr="00CF512D" w:rsidRDefault="00302BFE" w:rsidP="00243B15">
            <w:pPr>
              <w:pStyle w:val="Default"/>
              <w:jc w:val="center"/>
              <w:rPr>
                <w:rFonts w:ascii="Calibri" w:hAnsi="Calibri" w:cs="Calibri"/>
                <w:color w:val="auto"/>
                <w:sz w:val="20"/>
                <w:szCs w:val="20"/>
              </w:rPr>
            </w:pPr>
          </w:p>
        </w:tc>
        <w:tc>
          <w:tcPr>
            <w:tcW w:w="1418" w:type="dxa"/>
            <w:vAlign w:val="center"/>
          </w:tcPr>
          <w:p w14:paraId="69676C6D" w14:textId="77777777" w:rsidR="00302BFE" w:rsidRPr="00CF512D" w:rsidRDefault="00302BFE" w:rsidP="00243B15">
            <w:pPr>
              <w:pStyle w:val="Default"/>
              <w:jc w:val="center"/>
              <w:rPr>
                <w:rFonts w:ascii="Calibri" w:hAnsi="Calibri" w:cs="Calibri"/>
                <w:color w:val="auto"/>
                <w:sz w:val="20"/>
                <w:szCs w:val="20"/>
              </w:rPr>
            </w:pPr>
            <w:r w:rsidRPr="00CF512D">
              <w:rPr>
                <w:rFonts w:ascii="Calibri" w:hAnsi="Calibri" w:cs="Calibri"/>
                <w:color w:val="auto"/>
                <w:sz w:val="20"/>
                <w:szCs w:val="20"/>
              </w:rPr>
              <w:t>year 3</w:t>
            </w:r>
          </w:p>
        </w:tc>
        <w:tc>
          <w:tcPr>
            <w:tcW w:w="1154" w:type="dxa"/>
            <w:vAlign w:val="center"/>
          </w:tcPr>
          <w:p w14:paraId="3FB78B95" w14:textId="77777777" w:rsidR="00302BFE" w:rsidRPr="00CF512D" w:rsidRDefault="00302BFE" w:rsidP="00243B15">
            <w:pPr>
              <w:pStyle w:val="Default"/>
              <w:jc w:val="center"/>
              <w:rPr>
                <w:rFonts w:ascii="Calibri" w:hAnsi="Calibri" w:cs="Calibri"/>
                <w:color w:val="auto"/>
                <w:sz w:val="20"/>
                <w:szCs w:val="20"/>
              </w:rPr>
            </w:pPr>
          </w:p>
        </w:tc>
      </w:tr>
      <w:tr w:rsidR="00302BFE" w:rsidRPr="00CF512D" w14:paraId="2FF6548C" w14:textId="77777777" w:rsidTr="00243B15">
        <w:trPr>
          <w:trHeight w:val="222"/>
          <w:jc w:val="center"/>
        </w:trPr>
        <w:tc>
          <w:tcPr>
            <w:tcW w:w="8505" w:type="dxa"/>
          </w:tcPr>
          <w:p w14:paraId="6BB90AE7" w14:textId="77777777" w:rsidR="00302BFE" w:rsidRPr="00CF512D" w:rsidRDefault="00302BFE" w:rsidP="00243B15">
            <w:pPr>
              <w:pStyle w:val="Default"/>
              <w:rPr>
                <w:rFonts w:ascii="Calibri" w:hAnsi="Calibri" w:cs="Calibri"/>
                <w:color w:val="auto"/>
                <w:sz w:val="20"/>
                <w:szCs w:val="20"/>
              </w:rPr>
            </w:pPr>
            <w:r w:rsidRPr="00CF512D">
              <w:rPr>
                <w:rFonts w:ascii="Calibri" w:hAnsi="Calibri" w:cs="Calibri"/>
                <w:color w:val="auto"/>
                <w:sz w:val="20"/>
                <w:szCs w:val="20"/>
              </w:rPr>
              <w:t>Equipment for two shea butter production units (2 gas fire stoves and gas cylinder, 2 churns, 2 shea butter roasters, 2 stainless steel crushers, 2 stainless steel mills, 2 motors, 2 stainless steel manual packaging filters, 2 boilers, 2 briquetting machines, 2 pyrolysis furnaces, 2 cooling systems, 2 mounting brackets, 2 tricycles, small production equipment (barrels, pots, overalls, basins ...),</w:t>
            </w:r>
          </w:p>
        </w:tc>
        <w:tc>
          <w:tcPr>
            <w:tcW w:w="1134" w:type="dxa"/>
            <w:vAlign w:val="center"/>
          </w:tcPr>
          <w:p w14:paraId="34E43BED" w14:textId="77777777" w:rsidR="00302BFE" w:rsidRPr="00CF512D" w:rsidRDefault="00302BFE" w:rsidP="00243B15">
            <w:pPr>
              <w:pStyle w:val="Default"/>
              <w:jc w:val="center"/>
              <w:rPr>
                <w:rFonts w:ascii="Calibri" w:hAnsi="Calibri" w:cs="Calibri"/>
                <w:color w:val="auto"/>
                <w:sz w:val="20"/>
                <w:szCs w:val="20"/>
              </w:rPr>
            </w:pPr>
            <w:r w:rsidRPr="00CF512D">
              <w:rPr>
                <w:rFonts w:ascii="Calibri" w:hAnsi="Calibri" w:cs="Calibri"/>
                <w:color w:val="auto"/>
                <w:sz w:val="20"/>
                <w:szCs w:val="20"/>
              </w:rPr>
              <w:t>40,000</w:t>
            </w:r>
          </w:p>
        </w:tc>
        <w:tc>
          <w:tcPr>
            <w:tcW w:w="1134" w:type="dxa"/>
            <w:vAlign w:val="center"/>
          </w:tcPr>
          <w:p w14:paraId="32DBBE40" w14:textId="77777777" w:rsidR="00302BFE" w:rsidRPr="00CF512D" w:rsidRDefault="00302BFE" w:rsidP="00243B15">
            <w:pPr>
              <w:pStyle w:val="Default"/>
              <w:jc w:val="center"/>
              <w:rPr>
                <w:rFonts w:ascii="Calibri" w:hAnsi="Calibri" w:cs="Calibri"/>
                <w:color w:val="auto"/>
                <w:sz w:val="20"/>
                <w:szCs w:val="20"/>
              </w:rPr>
            </w:pPr>
          </w:p>
        </w:tc>
        <w:tc>
          <w:tcPr>
            <w:tcW w:w="1418" w:type="dxa"/>
            <w:vAlign w:val="center"/>
          </w:tcPr>
          <w:p w14:paraId="331E7E35" w14:textId="77777777" w:rsidR="00302BFE" w:rsidRPr="00CF512D" w:rsidRDefault="00302BFE" w:rsidP="00243B15">
            <w:pPr>
              <w:pStyle w:val="Default"/>
              <w:jc w:val="center"/>
              <w:rPr>
                <w:rFonts w:ascii="Calibri" w:hAnsi="Calibri" w:cs="Calibri"/>
                <w:color w:val="auto"/>
                <w:sz w:val="20"/>
                <w:szCs w:val="20"/>
              </w:rPr>
            </w:pPr>
            <w:r w:rsidRPr="00CF512D">
              <w:rPr>
                <w:rFonts w:ascii="Calibri" w:hAnsi="Calibri" w:cs="Calibri"/>
                <w:color w:val="auto"/>
                <w:sz w:val="20"/>
                <w:szCs w:val="20"/>
              </w:rPr>
              <w:t>year 3</w:t>
            </w:r>
          </w:p>
        </w:tc>
        <w:tc>
          <w:tcPr>
            <w:tcW w:w="1154" w:type="dxa"/>
            <w:vAlign w:val="center"/>
          </w:tcPr>
          <w:p w14:paraId="33DC92BE" w14:textId="77777777" w:rsidR="00302BFE" w:rsidRPr="00CF512D" w:rsidRDefault="00302BFE" w:rsidP="00243B15">
            <w:pPr>
              <w:pStyle w:val="Default"/>
              <w:jc w:val="center"/>
              <w:rPr>
                <w:rFonts w:ascii="Calibri" w:hAnsi="Calibri" w:cs="Calibri"/>
                <w:color w:val="auto"/>
                <w:sz w:val="20"/>
                <w:szCs w:val="20"/>
              </w:rPr>
            </w:pPr>
          </w:p>
        </w:tc>
      </w:tr>
      <w:tr w:rsidR="00302BFE" w:rsidRPr="00CF512D" w14:paraId="032758B0" w14:textId="77777777" w:rsidTr="00243B15">
        <w:trPr>
          <w:trHeight w:val="222"/>
          <w:jc w:val="center"/>
        </w:trPr>
        <w:tc>
          <w:tcPr>
            <w:tcW w:w="8505" w:type="dxa"/>
          </w:tcPr>
          <w:p w14:paraId="18164A51" w14:textId="77777777" w:rsidR="00302BFE" w:rsidRPr="00CF512D" w:rsidRDefault="00302BFE" w:rsidP="00243B15">
            <w:pPr>
              <w:pStyle w:val="Default"/>
              <w:rPr>
                <w:rFonts w:ascii="Calibri" w:hAnsi="Calibri" w:cs="Calibri"/>
                <w:color w:val="auto"/>
                <w:sz w:val="20"/>
                <w:szCs w:val="20"/>
              </w:rPr>
            </w:pPr>
            <w:r w:rsidRPr="00CF512D">
              <w:rPr>
                <w:rFonts w:ascii="Calibri" w:hAnsi="Calibri" w:cs="Calibri"/>
                <w:color w:val="auto"/>
                <w:sz w:val="20"/>
                <w:szCs w:val="20"/>
              </w:rPr>
              <w:t>Equipment for a production unit of liana juice goïne (1 motorized fruit grinder in stainless steel, 1 stainless steel juice mixer, 1 pasteurizer, 1 stainless steel mold, 1 filter packer, 1 stainless steel table)</w:t>
            </w:r>
          </w:p>
        </w:tc>
        <w:tc>
          <w:tcPr>
            <w:tcW w:w="1134" w:type="dxa"/>
            <w:vAlign w:val="center"/>
          </w:tcPr>
          <w:p w14:paraId="2A2DB588" w14:textId="77777777" w:rsidR="00302BFE" w:rsidRPr="00CF512D" w:rsidRDefault="00302BFE" w:rsidP="00243B15">
            <w:pPr>
              <w:pStyle w:val="Default"/>
              <w:jc w:val="center"/>
              <w:rPr>
                <w:rFonts w:ascii="Calibri" w:hAnsi="Calibri" w:cs="Calibri"/>
                <w:color w:val="auto"/>
                <w:sz w:val="20"/>
                <w:szCs w:val="20"/>
              </w:rPr>
            </w:pPr>
            <w:r w:rsidRPr="00CF512D">
              <w:rPr>
                <w:rFonts w:ascii="Calibri" w:hAnsi="Calibri" w:cs="Calibri"/>
                <w:color w:val="auto"/>
                <w:sz w:val="20"/>
                <w:szCs w:val="20"/>
              </w:rPr>
              <w:t>10,000</w:t>
            </w:r>
          </w:p>
        </w:tc>
        <w:tc>
          <w:tcPr>
            <w:tcW w:w="1134" w:type="dxa"/>
            <w:vAlign w:val="center"/>
          </w:tcPr>
          <w:p w14:paraId="3699ED69" w14:textId="77777777" w:rsidR="00302BFE" w:rsidRPr="00CF512D" w:rsidRDefault="00302BFE" w:rsidP="00243B15">
            <w:pPr>
              <w:pStyle w:val="Default"/>
              <w:jc w:val="center"/>
              <w:rPr>
                <w:rFonts w:ascii="Calibri" w:hAnsi="Calibri" w:cs="Calibri"/>
                <w:color w:val="auto"/>
                <w:sz w:val="20"/>
                <w:szCs w:val="20"/>
              </w:rPr>
            </w:pPr>
          </w:p>
        </w:tc>
        <w:tc>
          <w:tcPr>
            <w:tcW w:w="1418" w:type="dxa"/>
            <w:vAlign w:val="center"/>
          </w:tcPr>
          <w:p w14:paraId="4A35A82A" w14:textId="77777777" w:rsidR="00302BFE" w:rsidRPr="00CF512D" w:rsidRDefault="00302BFE" w:rsidP="00243B15">
            <w:pPr>
              <w:pStyle w:val="Default"/>
              <w:jc w:val="center"/>
              <w:rPr>
                <w:rFonts w:ascii="Calibri" w:hAnsi="Calibri" w:cs="Calibri"/>
                <w:color w:val="auto"/>
                <w:sz w:val="20"/>
                <w:szCs w:val="20"/>
              </w:rPr>
            </w:pPr>
            <w:r w:rsidRPr="00CF512D">
              <w:rPr>
                <w:rFonts w:ascii="Calibri" w:hAnsi="Calibri" w:cs="Calibri"/>
                <w:color w:val="auto"/>
                <w:sz w:val="20"/>
                <w:szCs w:val="20"/>
              </w:rPr>
              <w:t>year 3</w:t>
            </w:r>
          </w:p>
        </w:tc>
        <w:tc>
          <w:tcPr>
            <w:tcW w:w="1154" w:type="dxa"/>
            <w:vAlign w:val="center"/>
          </w:tcPr>
          <w:p w14:paraId="078136FE" w14:textId="77777777" w:rsidR="00302BFE" w:rsidRPr="00CF512D" w:rsidRDefault="00302BFE" w:rsidP="00243B15">
            <w:pPr>
              <w:pStyle w:val="Default"/>
              <w:jc w:val="center"/>
              <w:rPr>
                <w:rFonts w:ascii="Calibri" w:hAnsi="Calibri" w:cs="Calibri"/>
                <w:color w:val="auto"/>
                <w:sz w:val="20"/>
                <w:szCs w:val="20"/>
              </w:rPr>
            </w:pPr>
          </w:p>
        </w:tc>
      </w:tr>
      <w:tr w:rsidR="00302BFE" w:rsidRPr="00CF512D" w14:paraId="6719C356" w14:textId="77777777" w:rsidTr="00243B15">
        <w:trPr>
          <w:trHeight w:val="222"/>
          <w:jc w:val="center"/>
        </w:trPr>
        <w:tc>
          <w:tcPr>
            <w:tcW w:w="8505" w:type="dxa"/>
          </w:tcPr>
          <w:p w14:paraId="17820413" w14:textId="77777777" w:rsidR="00302BFE" w:rsidRPr="00CF512D" w:rsidRDefault="00302BFE" w:rsidP="00243B15">
            <w:pPr>
              <w:pStyle w:val="Default"/>
              <w:rPr>
                <w:rFonts w:ascii="Calibri" w:hAnsi="Calibri" w:cs="Calibri"/>
                <w:color w:val="auto"/>
                <w:sz w:val="20"/>
                <w:szCs w:val="20"/>
              </w:rPr>
            </w:pPr>
            <w:r w:rsidRPr="00CF512D">
              <w:rPr>
                <w:rFonts w:ascii="Calibri" w:hAnsi="Calibri" w:cs="Calibri"/>
                <w:color w:val="auto"/>
                <w:sz w:val="20"/>
                <w:szCs w:val="20"/>
              </w:rPr>
              <w:t>Construction of 6 ECOSAN-type public toilets for tourists in strategic places for tourist activities (Output 3.4.4)</w:t>
            </w:r>
          </w:p>
        </w:tc>
        <w:tc>
          <w:tcPr>
            <w:tcW w:w="1134" w:type="dxa"/>
            <w:vAlign w:val="center"/>
          </w:tcPr>
          <w:p w14:paraId="71E2FFDA" w14:textId="77777777" w:rsidR="00302BFE" w:rsidRPr="00CF512D" w:rsidRDefault="00302BFE" w:rsidP="00243B15">
            <w:pPr>
              <w:pStyle w:val="Default"/>
              <w:jc w:val="center"/>
              <w:rPr>
                <w:rFonts w:ascii="Calibri" w:hAnsi="Calibri" w:cs="Calibri"/>
                <w:color w:val="auto"/>
                <w:sz w:val="20"/>
                <w:szCs w:val="20"/>
              </w:rPr>
            </w:pPr>
            <w:r w:rsidRPr="00CF512D">
              <w:rPr>
                <w:rFonts w:ascii="Calibri" w:hAnsi="Calibri" w:cs="Calibri"/>
                <w:color w:val="auto"/>
                <w:sz w:val="20"/>
                <w:szCs w:val="20"/>
              </w:rPr>
              <w:t>4,800</w:t>
            </w:r>
          </w:p>
        </w:tc>
        <w:tc>
          <w:tcPr>
            <w:tcW w:w="1134" w:type="dxa"/>
            <w:vAlign w:val="center"/>
          </w:tcPr>
          <w:p w14:paraId="2C7E52D2" w14:textId="77777777" w:rsidR="00302BFE" w:rsidRPr="00CF512D" w:rsidRDefault="00302BFE" w:rsidP="00243B15">
            <w:pPr>
              <w:pStyle w:val="Default"/>
              <w:jc w:val="center"/>
              <w:rPr>
                <w:rFonts w:ascii="Calibri" w:hAnsi="Calibri" w:cs="Calibri"/>
                <w:color w:val="auto"/>
                <w:sz w:val="20"/>
                <w:szCs w:val="20"/>
              </w:rPr>
            </w:pPr>
          </w:p>
        </w:tc>
        <w:tc>
          <w:tcPr>
            <w:tcW w:w="1418" w:type="dxa"/>
            <w:vAlign w:val="center"/>
          </w:tcPr>
          <w:p w14:paraId="053C0940" w14:textId="77777777" w:rsidR="00302BFE" w:rsidRPr="00CF512D" w:rsidRDefault="00302BFE" w:rsidP="00243B15">
            <w:pPr>
              <w:pStyle w:val="Default"/>
              <w:jc w:val="center"/>
              <w:rPr>
                <w:rFonts w:ascii="Calibri" w:hAnsi="Calibri" w:cs="Calibri"/>
                <w:color w:val="auto"/>
                <w:sz w:val="20"/>
                <w:szCs w:val="20"/>
              </w:rPr>
            </w:pPr>
            <w:r w:rsidRPr="00CF512D">
              <w:rPr>
                <w:rFonts w:ascii="Calibri" w:hAnsi="Calibri" w:cs="Calibri"/>
                <w:color w:val="auto"/>
                <w:sz w:val="20"/>
                <w:szCs w:val="20"/>
              </w:rPr>
              <w:t>year 3</w:t>
            </w:r>
          </w:p>
        </w:tc>
        <w:tc>
          <w:tcPr>
            <w:tcW w:w="1154" w:type="dxa"/>
            <w:vAlign w:val="center"/>
          </w:tcPr>
          <w:p w14:paraId="6B3B903F" w14:textId="77777777" w:rsidR="00302BFE" w:rsidRPr="00CF512D" w:rsidRDefault="00302BFE" w:rsidP="00243B15">
            <w:pPr>
              <w:pStyle w:val="Default"/>
              <w:jc w:val="center"/>
              <w:rPr>
                <w:rFonts w:ascii="Calibri" w:hAnsi="Calibri" w:cs="Calibri"/>
                <w:color w:val="auto"/>
                <w:sz w:val="20"/>
                <w:szCs w:val="20"/>
              </w:rPr>
            </w:pPr>
          </w:p>
        </w:tc>
      </w:tr>
      <w:tr w:rsidR="00302BFE" w:rsidRPr="00CF512D" w14:paraId="3C076B86" w14:textId="77777777" w:rsidTr="00243B15">
        <w:trPr>
          <w:trHeight w:val="222"/>
          <w:jc w:val="center"/>
        </w:trPr>
        <w:tc>
          <w:tcPr>
            <w:tcW w:w="13345" w:type="dxa"/>
            <w:gridSpan w:val="5"/>
            <w:shd w:val="clear" w:color="auto" w:fill="FFF2CC"/>
          </w:tcPr>
          <w:p w14:paraId="62679D38" w14:textId="77777777" w:rsidR="00302BFE" w:rsidRPr="00CF512D" w:rsidRDefault="00302BFE" w:rsidP="00243B15">
            <w:pPr>
              <w:pStyle w:val="Default"/>
              <w:rPr>
                <w:rFonts w:ascii="Calibri" w:hAnsi="Calibri" w:cs="Calibri"/>
                <w:b/>
                <w:color w:val="auto"/>
                <w:sz w:val="20"/>
                <w:szCs w:val="20"/>
                <w:lang w:val="fr-CA"/>
              </w:rPr>
            </w:pPr>
            <w:r w:rsidRPr="00CF512D">
              <w:rPr>
                <w:rFonts w:ascii="Calibri" w:hAnsi="Calibri"/>
                <w:b/>
                <w:color w:val="auto"/>
                <w:sz w:val="20"/>
                <w:szCs w:val="20"/>
                <w:lang w:val="fr-CA"/>
              </w:rPr>
              <w:t>Project management unit</w:t>
            </w:r>
          </w:p>
        </w:tc>
      </w:tr>
      <w:tr w:rsidR="00302BFE" w:rsidRPr="00CF512D" w14:paraId="101A36C0" w14:textId="77777777" w:rsidTr="00243B15">
        <w:trPr>
          <w:trHeight w:val="265"/>
          <w:jc w:val="center"/>
        </w:trPr>
        <w:tc>
          <w:tcPr>
            <w:tcW w:w="8505" w:type="dxa"/>
          </w:tcPr>
          <w:p w14:paraId="03B4C907" w14:textId="77777777" w:rsidR="00302BFE" w:rsidRPr="00CF512D" w:rsidRDefault="00302BFE" w:rsidP="00243B15">
            <w:pPr>
              <w:pStyle w:val="Default"/>
              <w:rPr>
                <w:rFonts w:ascii="Calibri" w:hAnsi="Calibri"/>
                <w:color w:val="auto"/>
                <w:sz w:val="20"/>
                <w:szCs w:val="20"/>
                <w:lang w:val="en-CA"/>
              </w:rPr>
            </w:pPr>
            <w:r w:rsidRPr="00CF512D">
              <w:rPr>
                <w:rFonts w:ascii="Calibri" w:hAnsi="Calibri"/>
                <w:color w:val="auto"/>
                <w:sz w:val="20"/>
                <w:szCs w:val="20"/>
              </w:rPr>
              <w:t>Laptop for the Project Coordinator, external monitor and docking station</w:t>
            </w:r>
          </w:p>
        </w:tc>
        <w:tc>
          <w:tcPr>
            <w:tcW w:w="1134" w:type="dxa"/>
            <w:vAlign w:val="center"/>
          </w:tcPr>
          <w:p w14:paraId="4990C0BF" w14:textId="77777777" w:rsidR="00302BFE" w:rsidRPr="00CF512D" w:rsidRDefault="00302BFE" w:rsidP="00243B15">
            <w:pPr>
              <w:jc w:val="center"/>
              <w:rPr>
                <w:szCs w:val="20"/>
              </w:rPr>
            </w:pPr>
            <w:r w:rsidRPr="00CF512D">
              <w:rPr>
                <w:szCs w:val="20"/>
              </w:rPr>
              <w:t>2,500</w:t>
            </w:r>
          </w:p>
        </w:tc>
        <w:tc>
          <w:tcPr>
            <w:tcW w:w="1134" w:type="dxa"/>
            <w:vAlign w:val="center"/>
          </w:tcPr>
          <w:p w14:paraId="513F49DC" w14:textId="77777777" w:rsidR="00302BFE" w:rsidRPr="00CF512D" w:rsidRDefault="00302BFE" w:rsidP="00243B15">
            <w:pPr>
              <w:pStyle w:val="Default"/>
              <w:jc w:val="center"/>
              <w:rPr>
                <w:rFonts w:ascii="Calibri" w:hAnsi="Calibri" w:cs="Calibri"/>
                <w:color w:val="auto"/>
                <w:sz w:val="20"/>
                <w:szCs w:val="20"/>
              </w:rPr>
            </w:pPr>
          </w:p>
        </w:tc>
        <w:tc>
          <w:tcPr>
            <w:tcW w:w="1418" w:type="dxa"/>
            <w:vAlign w:val="center"/>
          </w:tcPr>
          <w:p w14:paraId="04015B09" w14:textId="77777777" w:rsidR="00302BFE" w:rsidRPr="00CF512D" w:rsidRDefault="00302BFE" w:rsidP="00243B15">
            <w:pPr>
              <w:pStyle w:val="Default"/>
              <w:jc w:val="center"/>
              <w:rPr>
                <w:rFonts w:ascii="Calibri" w:hAnsi="Calibri" w:cs="Calibri"/>
                <w:color w:val="auto"/>
                <w:sz w:val="20"/>
                <w:szCs w:val="20"/>
              </w:rPr>
            </w:pPr>
            <w:r w:rsidRPr="00CF512D">
              <w:rPr>
                <w:rFonts w:ascii="Calibri" w:hAnsi="Calibri"/>
                <w:color w:val="auto"/>
                <w:sz w:val="20"/>
                <w:szCs w:val="20"/>
              </w:rPr>
              <w:t>Year 1</w:t>
            </w:r>
          </w:p>
        </w:tc>
        <w:tc>
          <w:tcPr>
            <w:tcW w:w="1154" w:type="dxa"/>
            <w:vAlign w:val="center"/>
          </w:tcPr>
          <w:p w14:paraId="430E2124" w14:textId="77777777" w:rsidR="00302BFE" w:rsidRPr="00CF512D" w:rsidRDefault="00302BFE" w:rsidP="00243B15">
            <w:pPr>
              <w:pStyle w:val="Default"/>
              <w:jc w:val="center"/>
              <w:rPr>
                <w:rFonts w:ascii="Calibri" w:hAnsi="Calibri" w:cs="Calibri"/>
                <w:color w:val="auto"/>
                <w:sz w:val="20"/>
                <w:szCs w:val="20"/>
              </w:rPr>
            </w:pPr>
          </w:p>
        </w:tc>
      </w:tr>
      <w:tr w:rsidR="00302BFE" w:rsidRPr="00CF512D" w14:paraId="35D7716E" w14:textId="77777777" w:rsidTr="00243B15">
        <w:trPr>
          <w:trHeight w:val="222"/>
          <w:jc w:val="center"/>
        </w:trPr>
        <w:tc>
          <w:tcPr>
            <w:tcW w:w="8505" w:type="dxa"/>
          </w:tcPr>
          <w:p w14:paraId="58B320F7" w14:textId="77777777" w:rsidR="00302BFE" w:rsidRPr="00CF512D" w:rsidRDefault="00302BFE" w:rsidP="00243B15">
            <w:pPr>
              <w:pStyle w:val="Default"/>
              <w:rPr>
                <w:rFonts w:ascii="Calibri" w:hAnsi="Calibri"/>
                <w:color w:val="auto"/>
                <w:sz w:val="20"/>
                <w:szCs w:val="20"/>
              </w:rPr>
            </w:pPr>
            <w:r w:rsidRPr="00CF512D">
              <w:rPr>
                <w:rFonts w:ascii="Calibri" w:hAnsi="Calibri"/>
                <w:color w:val="auto"/>
                <w:sz w:val="20"/>
                <w:szCs w:val="20"/>
              </w:rPr>
              <w:t xml:space="preserve">Laptop Financial Assistant, external monitor and docking station @ </w:t>
            </w:r>
          </w:p>
        </w:tc>
        <w:tc>
          <w:tcPr>
            <w:tcW w:w="1134" w:type="dxa"/>
            <w:vAlign w:val="center"/>
          </w:tcPr>
          <w:p w14:paraId="6B048CED" w14:textId="77777777" w:rsidR="00302BFE" w:rsidRPr="00CF512D" w:rsidRDefault="00302BFE" w:rsidP="00243B15">
            <w:pPr>
              <w:pStyle w:val="Default"/>
              <w:jc w:val="center"/>
              <w:rPr>
                <w:rFonts w:ascii="Calibri" w:hAnsi="Calibri" w:cs="Calibri"/>
                <w:color w:val="auto"/>
                <w:sz w:val="20"/>
                <w:szCs w:val="20"/>
              </w:rPr>
            </w:pPr>
            <w:r w:rsidRPr="00CF512D">
              <w:rPr>
                <w:rFonts w:ascii="Calibri" w:hAnsi="Calibri"/>
                <w:color w:val="auto"/>
                <w:sz w:val="20"/>
                <w:szCs w:val="20"/>
              </w:rPr>
              <w:t>2,500</w:t>
            </w:r>
          </w:p>
        </w:tc>
        <w:tc>
          <w:tcPr>
            <w:tcW w:w="1134" w:type="dxa"/>
            <w:vAlign w:val="center"/>
          </w:tcPr>
          <w:p w14:paraId="289F6133" w14:textId="77777777" w:rsidR="00302BFE" w:rsidRPr="00CF512D" w:rsidRDefault="00302BFE" w:rsidP="00243B15">
            <w:pPr>
              <w:pStyle w:val="Default"/>
              <w:jc w:val="center"/>
              <w:rPr>
                <w:rFonts w:ascii="Calibri" w:hAnsi="Calibri" w:cs="Calibri"/>
                <w:color w:val="auto"/>
                <w:sz w:val="20"/>
                <w:szCs w:val="20"/>
              </w:rPr>
            </w:pPr>
          </w:p>
        </w:tc>
        <w:tc>
          <w:tcPr>
            <w:tcW w:w="1418" w:type="dxa"/>
            <w:vAlign w:val="center"/>
          </w:tcPr>
          <w:p w14:paraId="0560BA2C" w14:textId="77777777" w:rsidR="00302BFE" w:rsidRPr="00CF512D" w:rsidRDefault="00302BFE" w:rsidP="00243B15">
            <w:pPr>
              <w:pStyle w:val="Default"/>
              <w:jc w:val="center"/>
              <w:rPr>
                <w:rFonts w:ascii="Calibri" w:hAnsi="Calibri" w:cs="Calibri"/>
                <w:color w:val="auto"/>
                <w:sz w:val="20"/>
                <w:szCs w:val="20"/>
              </w:rPr>
            </w:pPr>
            <w:r w:rsidRPr="00CF512D">
              <w:rPr>
                <w:rFonts w:ascii="Calibri" w:hAnsi="Calibri"/>
                <w:color w:val="auto"/>
                <w:sz w:val="20"/>
                <w:szCs w:val="20"/>
              </w:rPr>
              <w:t>Year 1</w:t>
            </w:r>
          </w:p>
        </w:tc>
        <w:tc>
          <w:tcPr>
            <w:tcW w:w="1154" w:type="dxa"/>
            <w:vAlign w:val="center"/>
          </w:tcPr>
          <w:p w14:paraId="6AD2D8E3" w14:textId="77777777" w:rsidR="00302BFE" w:rsidRPr="00CF512D" w:rsidRDefault="00302BFE" w:rsidP="00243B15">
            <w:pPr>
              <w:pStyle w:val="Default"/>
              <w:jc w:val="center"/>
              <w:rPr>
                <w:rFonts w:ascii="Calibri" w:hAnsi="Calibri" w:cs="Calibri"/>
                <w:color w:val="auto"/>
                <w:sz w:val="20"/>
                <w:szCs w:val="20"/>
              </w:rPr>
            </w:pPr>
          </w:p>
        </w:tc>
      </w:tr>
      <w:tr w:rsidR="00302BFE" w:rsidRPr="00CF512D" w14:paraId="2484460A" w14:textId="77777777" w:rsidTr="00243B15">
        <w:trPr>
          <w:trHeight w:val="222"/>
          <w:jc w:val="center"/>
        </w:trPr>
        <w:tc>
          <w:tcPr>
            <w:tcW w:w="8505" w:type="dxa"/>
          </w:tcPr>
          <w:p w14:paraId="25275145" w14:textId="77777777" w:rsidR="00302BFE" w:rsidRPr="00CF512D" w:rsidRDefault="00302BFE" w:rsidP="00243B15">
            <w:pPr>
              <w:pStyle w:val="Default"/>
              <w:rPr>
                <w:rFonts w:ascii="Calibri" w:hAnsi="Calibri"/>
                <w:color w:val="auto"/>
                <w:sz w:val="20"/>
                <w:szCs w:val="20"/>
              </w:rPr>
            </w:pPr>
            <w:r w:rsidRPr="00CF512D">
              <w:rPr>
                <w:rFonts w:ascii="Calibri" w:hAnsi="Calibri"/>
                <w:color w:val="auto"/>
                <w:sz w:val="20"/>
                <w:szCs w:val="20"/>
              </w:rPr>
              <w:t>Video Projector</w:t>
            </w:r>
          </w:p>
        </w:tc>
        <w:tc>
          <w:tcPr>
            <w:tcW w:w="1134" w:type="dxa"/>
            <w:vAlign w:val="center"/>
          </w:tcPr>
          <w:p w14:paraId="70658267" w14:textId="77777777" w:rsidR="00302BFE" w:rsidRPr="00CF512D" w:rsidRDefault="00302BFE" w:rsidP="00243B15">
            <w:pPr>
              <w:pStyle w:val="Default"/>
              <w:jc w:val="center"/>
              <w:rPr>
                <w:rFonts w:ascii="Calibri" w:hAnsi="Calibri"/>
                <w:color w:val="auto"/>
                <w:sz w:val="20"/>
                <w:szCs w:val="20"/>
              </w:rPr>
            </w:pPr>
            <w:r w:rsidRPr="00CF512D">
              <w:rPr>
                <w:rFonts w:ascii="Calibri" w:hAnsi="Calibri"/>
                <w:color w:val="auto"/>
                <w:sz w:val="20"/>
                <w:szCs w:val="20"/>
              </w:rPr>
              <w:t>350</w:t>
            </w:r>
          </w:p>
        </w:tc>
        <w:tc>
          <w:tcPr>
            <w:tcW w:w="1134" w:type="dxa"/>
            <w:vAlign w:val="center"/>
          </w:tcPr>
          <w:p w14:paraId="0148AE6B" w14:textId="77777777" w:rsidR="00302BFE" w:rsidRPr="00CF512D" w:rsidRDefault="00302BFE" w:rsidP="00243B15">
            <w:pPr>
              <w:pStyle w:val="Default"/>
              <w:jc w:val="center"/>
              <w:rPr>
                <w:rFonts w:ascii="Calibri" w:hAnsi="Calibri" w:cs="Calibri"/>
                <w:color w:val="auto"/>
                <w:sz w:val="20"/>
                <w:szCs w:val="20"/>
              </w:rPr>
            </w:pPr>
          </w:p>
        </w:tc>
        <w:tc>
          <w:tcPr>
            <w:tcW w:w="1418" w:type="dxa"/>
            <w:vAlign w:val="center"/>
          </w:tcPr>
          <w:p w14:paraId="5C58023B" w14:textId="77777777" w:rsidR="00302BFE" w:rsidRPr="00CF512D" w:rsidRDefault="00302BFE" w:rsidP="00243B15">
            <w:pPr>
              <w:pStyle w:val="Default"/>
              <w:jc w:val="center"/>
              <w:rPr>
                <w:rFonts w:ascii="Calibri" w:hAnsi="Calibri" w:cs="Calibri"/>
                <w:color w:val="auto"/>
                <w:sz w:val="20"/>
                <w:szCs w:val="20"/>
              </w:rPr>
            </w:pPr>
            <w:r w:rsidRPr="00CF512D">
              <w:rPr>
                <w:rFonts w:ascii="Calibri" w:hAnsi="Calibri"/>
                <w:color w:val="auto"/>
                <w:sz w:val="20"/>
                <w:szCs w:val="20"/>
              </w:rPr>
              <w:t>Year 1</w:t>
            </w:r>
          </w:p>
        </w:tc>
        <w:tc>
          <w:tcPr>
            <w:tcW w:w="1154" w:type="dxa"/>
            <w:vAlign w:val="center"/>
          </w:tcPr>
          <w:p w14:paraId="375A7697" w14:textId="77777777" w:rsidR="00302BFE" w:rsidRPr="00CF512D" w:rsidRDefault="00302BFE" w:rsidP="00243B15">
            <w:pPr>
              <w:pStyle w:val="Default"/>
              <w:jc w:val="center"/>
              <w:rPr>
                <w:rFonts w:ascii="Calibri" w:hAnsi="Calibri" w:cs="Calibri"/>
                <w:color w:val="auto"/>
                <w:sz w:val="20"/>
                <w:szCs w:val="20"/>
              </w:rPr>
            </w:pPr>
          </w:p>
        </w:tc>
      </w:tr>
      <w:tr w:rsidR="00302BFE" w:rsidRPr="00CF512D" w14:paraId="1953E96D" w14:textId="77777777" w:rsidTr="00243B15">
        <w:trPr>
          <w:trHeight w:val="222"/>
          <w:jc w:val="center"/>
        </w:trPr>
        <w:tc>
          <w:tcPr>
            <w:tcW w:w="8505" w:type="dxa"/>
          </w:tcPr>
          <w:p w14:paraId="017FB68B" w14:textId="77777777" w:rsidR="00302BFE" w:rsidRPr="00CF512D" w:rsidRDefault="00302BFE" w:rsidP="00243B15">
            <w:pPr>
              <w:pStyle w:val="Default"/>
              <w:rPr>
                <w:rFonts w:ascii="Calibri" w:hAnsi="Calibri"/>
                <w:color w:val="auto"/>
                <w:sz w:val="20"/>
                <w:szCs w:val="20"/>
              </w:rPr>
            </w:pPr>
            <w:r w:rsidRPr="00CF512D">
              <w:rPr>
                <w:rFonts w:ascii="Calibri" w:hAnsi="Calibri"/>
                <w:color w:val="auto"/>
                <w:sz w:val="20"/>
                <w:szCs w:val="20"/>
              </w:rPr>
              <w:t>Digitizer</w:t>
            </w:r>
          </w:p>
        </w:tc>
        <w:tc>
          <w:tcPr>
            <w:tcW w:w="1134" w:type="dxa"/>
            <w:vAlign w:val="center"/>
          </w:tcPr>
          <w:p w14:paraId="1B8A9BDC" w14:textId="77777777" w:rsidR="00302BFE" w:rsidRPr="00CF512D" w:rsidRDefault="00302BFE" w:rsidP="00243B15">
            <w:pPr>
              <w:pStyle w:val="Default"/>
              <w:jc w:val="center"/>
              <w:rPr>
                <w:rFonts w:ascii="Calibri" w:hAnsi="Calibri"/>
                <w:color w:val="auto"/>
                <w:sz w:val="20"/>
                <w:szCs w:val="20"/>
              </w:rPr>
            </w:pPr>
            <w:r w:rsidRPr="00CF512D">
              <w:rPr>
                <w:rFonts w:ascii="Calibri" w:hAnsi="Calibri"/>
                <w:color w:val="auto"/>
                <w:sz w:val="20"/>
                <w:szCs w:val="20"/>
              </w:rPr>
              <w:t>250</w:t>
            </w:r>
          </w:p>
        </w:tc>
        <w:tc>
          <w:tcPr>
            <w:tcW w:w="1134" w:type="dxa"/>
            <w:vAlign w:val="center"/>
          </w:tcPr>
          <w:p w14:paraId="2F8A0497" w14:textId="77777777" w:rsidR="00302BFE" w:rsidRPr="00CF512D" w:rsidRDefault="00302BFE" w:rsidP="00243B15">
            <w:pPr>
              <w:pStyle w:val="Default"/>
              <w:jc w:val="center"/>
              <w:rPr>
                <w:rFonts w:ascii="Calibri" w:hAnsi="Calibri" w:cs="Calibri"/>
                <w:color w:val="auto"/>
                <w:sz w:val="20"/>
                <w:szCs w:val="20"/>
              </w:rPr>
            </w:pPr>
          </w:p>
        </w:tc>
        <w:tc>
          <w:tcPr>
            <w:tcW w:w="1418" w:type="dxa"/>
            <w:vAlign w:val="center"/>
          </w:tcPr>
          <w:p w14:paraId="5CDEE6A3" w14:textId="77777777" w:rsidR="00302BFE" w:rsidRPr="00CF512D" w:rsidRDefault="00302BFE" w:rsidP="00243B15">
            <w:pPr>
              <w:pStyle w:val="Default"/>
              <w:jc w:val="center"/>
              <w:rPr>
                <w:rFonts w:ascii="Calibri" w:hAnsi="Calibri" w:cs="Calibri"/>
                <w:color w:val="auto"/>
                <w:sz w:val="20"/>
                <w:szCs w:val="20"/>
              </w:rPr>
            </w:pPr>
            <w:r w:rsidRPr="00CF512D">
              <w:rPr>
                <w:rFonts w:ascii="Calibri" w:hAnsi="Calibri"/>
                <w:color w:val="auto"/>
                <w:sz w:val="20"/>
                <w:szCs w:val="20"/>
              </w:rPr>
              <w:t>Year 1</w:t>
            </w:r>
          </w:p>
        </w:tc>
        <w:tc>
          <w:tcPr>
            <w:tcW w:w="1154" w:type="dxa"/>
            <w:vAlign w:val="center"/>
          </w:tcPr>
          <w:p w14:paraId="6E42F23C" w14:textId="77777777" w:rsidR="00302BFE" w:rsidRPr="00CF512D" w:rsidRDefault="00302BFE" w:rsidP="00243B15">
            <w:pPr>
              <w:pStyle w:val="Default"/>
              <w:jc w:val="center"/>
              <w:rPr>
                <w:rFonts w:ascii="Calibri" w:hAnsi="Calibri" w:cs="Calibri"/>
                <w:color w:val="auto"/>
                <w:sz w:val="20"/>
                <w:szCs w:val="20"/>
              </w:rPr>
            </w:pPr>
          </w:p>
        </w:tc>
      </w:tr>
      <w:tr w:rsidR="00302BFE" w:rsidRPr="00CF512D" w14:paraId="7B21E2E1" w14:textId="77777777" w:rsidTr="00243B15">
        <w:trPr>
          <w:trHeight w:val="222"/>
          <w:jc w:val="center"/>
        </w:trPr>
        <w:tc>
          <w:tcPr>
            <w:tcW w:w="8505" w:type="dxa"/>
          </w:tcPr>
          <w:p w14:paraId="432EB75D" w14:textId="77777777" w:rsidR="00302BFE" w:rsidRPr="00CF512D" w:rsidRDefault="00302BFE" w:rsidP="00243B15">
            <w:pPr>
              <w:pStyle w:val="Default"/>
              <w:rPr>
                <w:rFonts w:ascii="Calibri" w:hAnsi="Calibri"/>
                <w:color w:val="auto"/>
                <w:sz w:val="20"/>
                <w:szCs w:val="20"/>
              </w:rPr>
            </w:pPr>
            <w:r w:rsidRPr="00CF512D">
              <w:rPr>
                <w:rFonts w:ascii="Calibri" w:hAnsi="Calibri"/>
                <w:color w:val="auto"/>
                <w:sz w:val="20"/>
                <w:szCs w:val="20"/>
              </w:rPr>
              <w:t>Multifunction Printer</w:t>
            </w:r>
          </w:p>
        </w:tc>
        <w:tc>
          <w:tcPr>
            <w:tcW w:w="1134" w:type="dxa"/>
            <w:vAlign w:val="center"/>
          </w:tcPr>
          <w:p w14:paraId="723D5089" w14:textId="77777777" w:rsidR="00302BFE" w:rsidRPr="00CF512D" w:rsidRDefault="00302BFE" w:rsidP="00243B15">
            <w:pPr>
              <w:pStyle w:val="Default"/>
              <w:jc w:val="center"/>
              <w:rPr>
                <w:rFonts w:ascii="Calibri" w:hAnsi="Calibri"/>
                <w:color w:val="auto"/>
                <w:sz w:val="20"/>
                <w:szCs w:val="20"/>
              </w:rPr>
            </w:pPr>
            <w:r w:rsidRPr="00CF512D">
              <w:rPr>
                <w:rFonts w:ascii="Calibri" w:hAnsi="Calibri"/>
                <w:color w:val="auto"/>
                <w:sz w:val="20"/>
                <w:szCs w:val="20"/>
              </w:rPr>
              <w:t>550</w:t>
            </w:r>
          </w:p>
        </w:tc>
        <w:tc>
          <w:tcPr>
            <w:tcW w:w="1134" w:type="dxa"/>
            <w:vAlign w:val="center"/>
          </w:tcPr>
          <w:p w14:paraId="35478B3C" w14:textId="77777777" w:rsidR="00302BFE" w:rsidRPr="00CF512D" w:rsidRDefault="00302BFE" w:rsidP="00243B15">
            <w:pPr>
              <w:pStyle w:val="Default"/>
              <w:jc w:val="center"/>
              <w:rPr>
                <w:rFonts w:ascii="Calibri" w:hAnsi="Calibri" w:cs="Calibri"/>
                <w:color w:val="auto"/>
                <w:sz w:val="20"/>
                <w:szCs w:val="20"/>
              </w:rPr>
            </w:pPr>
          </w:p>
        </w:tc>
        <w:tc>
          <w:tcPr>
            <w:tcW w:w="1418" w:type="dxa"/>
            <w:vAlign w:val="center"/>
          </w:tcPr>
          <w:p w14:paraId="14B55331" w14:textId="77777777" w:rsidR="00302BFE" w:rsidRPr="00CF512D" w:rsidRDefault="00302BFE" w:rsidP="00243B15">
            <w:pPr>
              <w:pStyle w:val="Default"/>
              <w:jc w:val="center"/>
              <w:rPr>
                <w:rFonts w:ascii="Calibri" w:hAnsi="Calibri" w:cs="Calibri"/>
                <w:color w:val="auto"/>
                <w:sz w:val="20"/>
                <w:szCs w:val="20"/>
              </w:rPr>
            </w:pPr>
            <w:r w:rsidRPr="00CF512D">
              <w:rPr>
                <w:rFonts w:ascii="Calibri" w:hAnsi="Calibri"/>
                <w:color w:val="auto"/>
                <w:sz w:val="20"/>
                <w:szCs w:val="20"/>
              </w:rPr>
              <w:t>Year 1</w:t>
            </w:r>
          </w:p>
        </w:tc>
        <w:tc>
          <w:tcPr>
            <w:tcW w:w="1154" w:type="dxa"/>
            <w:vAlign w:val="center"/>
          </w:tcPr>
          <w:p w14:paraId="0B4542D7" w14:textId="77777777" w:rsidR="00302BFE" w:rsidRPr="00CF512D" w:rsidRDefault="00302BFE" w:rsidP="00243B15">
            <w:pPr>
              <w:pStyle w:val="Default"/>
              <w:jc w:val="center"/>
              <w:rPr>
                <w:rFonts w:ascii="Calibri" w:hAnsi="Calibri" w:cs="Calibri"/>
                <w:color w:val="auto"/>
                <w:sz w:val="20"/>
                <w:szCs w:val="20"/>
              </w:rPr>
            </w:pPr>
          </w:p>
        </w:tc>
      </w:tr>
      <w:tr w:rsidR="00302BFE" w:rsidRPr="00CF512D" w14:paraId="7D6E0CD7" w14:textId="77777777" w:rsidTr="00243B15">
        <w:trPr>
          <w:trHeight w:val="222"/>
          <w:jc w:val="center"/>
        </w:trPr>
        <w:tc>
          <w:tcPr>
            <w:tcW w:w="8505" w:type="dxa"/>
          </w:tcPr>
          <w:p w14:paraId="5E09DB74" w14:textId="77777777" w:rsidR="00302BFE" w:rsidRPr="00CF512D" w:rsidRDefault="00302BFE" w:rsidP="00243B15">
            <w:pPr>
              <w:pStyle w:val="Default"/>
              <w:rPr>
                <w:rFonts w:ascii="Calibri" w:hAnsi="Calibri"/>
                <w:color w:val="auto"/>
                <w:sz w:val="20"/>
                <w:szCs w:val="20"/>
              </w:rPr>
            </w:pPr>
            <w:r w:rsidRPr="00CF512D">
              <w:rPr>
                <w:rFonts w:ascii="Calibri" w:hAnsi="Calibri"/>
                <w:color w:val="auto"/>
                <w:sz w:val="20"/>
                <w:szCs w:val="20"/>
              </w:rPr>
              <w:t>Digital Camera</w:t>
            </w:r>
          </w:p>
        </w:tc>
        <w:tc>
          <w:tcPr>
            <w:tcW w:w="1134" w:type="dxa"/>
            <w:vAlign w:val="center"/>
          </w:tcPr>
          <w:p w14:paraId="3B34EBF3" w14:textId="77777777" w:rsidR="00302BFE" w:rsidRPr="00CF512D" w:rsidRDefault="00302BFE" w:rsidP="00243B15">
            <w:pPr>
              <w:pStyle w:val="Default"/>
              <w:jc w:val="center"/>
              <w:rPr>
                <w:rFonts w:ascii="Calibri" w:hAnsi="Calibri"/>
                <w:color w:val="auto"/>
                <w:sz w:val="20"/>
                <w:szCs w:val="20"/>
              </w:rPr>
            </w:pPr>
            <w:r w:rsidRPr="00CF512D">
              <w:rPr>
                <w:rFonts w:ascii="Calibri" w:hAnsi="Calibri"/>
                <w:color w:val="auto"/>
                <w:sz w:val="20"/>
                <w:szCs w:val="20"/>
              </w:rPr>
              <w:t>250</w:t>
            </w:r>
          </w:p>
        </w:tc>
        <w:tc>
          <w:tcPr>
            <w:tcW w:w="1134" w:type="dxa"/>
            <w:vAlign w:val="center"/>
          </w:tcPr>
          <w:p w14:paraId="784C97F3" w14:textId="77777777" w:rsidR="00302BFE" w:rsidRPr="00CF512D" w:rsidRDefault="00302BFE" w:rsidP="00243B15">
            <w:pPr>
              <w:pStyle w:val="Default"/>
              <w:jc w:val="center"/>
              <w:rPr>
                <w:rFonts w:ascii="Calibri" w:hAnsi="Calibri" w:cs="Calibri"/>
                <w:color w:val="auto"/>
                <w:sz w:val="20"/>
                <w:szCs w:val="20"/>
              </w:rPr>
            </w:pPr>
          </w:p>
        </w:tc>
        <w:tc>
          <w:tcPr>
            <w:tcW w:w="1418" w:type="dxa"/>
            <w:vAlign w:val="center"/>
          </w:tcPr>
          <w:p w14:paraId="2D6E3AD7" w14:textId="77777777" w:rsidR="00302BFE" w:rsidRPr="00CF512D" w:rsidRDefault="00302BFE" w:rsidP="00243B15">
            <w:pPr>
              <w:pStyle w:val="Default"/>
              <w:jc w:val="center"/>
              <w:rPr>
                <w:rFonts w:ascii="Calibri" w:hAnsi="Calibri" w:cs="Calibri"/>
                <w:color w:val="auto"/>
                <w:sz w:val="20"/>
                <w:szCs w:val="20"/>
              </w:rPr>
            </w:pPr>
            <w:r w:rsidRPr="00CF512D">
              <w:rPr>
                <w:rFonts w:ascii="Calibri" w:hAnsi="Calibri"/>
                <w:color w:val="auto"/>
                <w:sz w:val="20"/>
                <w:szCs w:val="20"/>
              </w:rPr>
              <w:t>Year 1</w:t>
            </w:r>
          </w:p>
        </w:tc>
        <w:tc>
          <w:tcPr>
            <w:tcW w:w="1154" w:type="dxa"/>
            <w:vAlign w:val="center"/>
          </w:tcPr>
          <w:p w14:paraId="78D423CB" w14:textId="77777777" w:rsidR="00302BFE" w:rsidRPr="00CF512D" w:rsidRDefault="00302BFE" w:rsidP="00243B15">
            <w:pPr>
              <w:pStyle w:val="Default"/>
              <w:jc w:val="center"/>
              <w:rPr>
                <w:rFonts w:ascii="Calibri" w:hAnsi="Calibri" w:cs="Calibri"/>
                <w:color w:val="auto"/>
                <w:sz w:val="20"/>
                <w:szCs w:val="20"/>
              </w:rPr>
            </w:pPr>
          </w:p>
        </w:tc>
      </w:tr>
      <w:tr w:rsidR="00302BFE" w:rsidRPr="00CF512D" w14:paraId="24614837" w14:textId="77777777" w:rsidTr="00243B15">
        <w:trPr>
          <w:trHeight w:val="222"/>
          <w:jc w:val="center"/>
        </w:trPr>
        <w:tc>
          <w:tcPr>
            <w:tcW w:w="8505" w:type="dxa"/>
          </w:tcPr>
          <w:p w14:paraId="01EF9C1B" w14:textId="77777777" w:rsidR="00302BFE" w:rsidRPr="00CF512D" w:rsidRDefault="00302BFE" w:rsidP="00243B15">
            <w:pPr>
              <w:pStyle w:val="Default"/>
              <w:rPr>
                <w:rFonts w:ascii="Calibri" w:hAnsi="Calibri"/>
                <w:color w:val="auto"/>
                <w:sz w:val="20"/>
                <w:szCs w:val="20"/>
              </w:rPr>
            </w:pPr>
            <w:r w:rsidRPr="00CF512D">
              <w:rPr>
                <w:rFonts w:ascii="Calibri" w:hAnsi="Calibri"/>
                <w:color w:val="auto"/>
                <w:sz w:val="20"/>
                <w:szCs w:val="20"/>
              </w:rPr>
              <w:t>Office furniture including 3 work desks, 3 fixed phones, filing cabinets, shelves, etc.</w:t>
            </w:r>
          </w:p>
        </w:tc>
        <w:tc>
          <w:tcPr>
            <w:tcW w:w="1134" w:type="dxa"/>
            <w:vAlign w:val="center"/>
          </w:tcPr>
          <w:p w14:paraId="60445EFF" w14:textId="77777777" w:rsidR="00302BFE" w:rsidRPr="00CF512D" w:rsidRDefault="00302BFE" w:rsidP="00243B15">
            <w:pPr>
              <w:pStyle w:val="Default"/>
              <w:jc w:val="center"/>
              <w:rPr>
                <w:rFonts w:ascii="Calibri" w:hAnsi="Calibri" w:cs="Calibri"/>
                <w:color w:val="auto"/>
                <w:sz w:val="20"/>
                <w:szCs w:val="20"/>
              </w:rPr>
            </w:pPr>
            <w:r w:rsidRPr="00CF512D">
              <w:rPr>
                <w:rFonts w:ascii="Calibri" w:hAnsi="Calibri"/>
                <w:color w:val="auto"/>
                <w:sz w:val="20"/>
                <w:szCs w:val="20"/>
              </w:rPr>
              <w:t>5,000</w:t>
            </w:r>
          </w:p>
        </w:tc>
        <w:tc>
          <w:tcPr>
            <w:tcW w:w="1134" w:type="dxa"/>
            <w:vAlign w:val="center"/>
          </w:tcPr>
          <w:p w14:paraId="39FD3667" w14:textId="77777777" w:rsidR="00302BFE" w:rsidRPr="00CF512D" w:rsidRDefault="00302BFE" w:rsidP="00243B15">
            <w:pPr>
              <w:pStyle w:val="Default"/>
              <w:jc w:val="center"/>
              <w:rPr>
                <w:rFonts w:ascii="Calibri" w:hAnsi="Calibri" w:cs="Calibri"/>
                <w:color w:val="auto"/>
                <w:sz w:val="20"/>
                <w:szCs w:val="20"/>
              </w:rPr>
            </w:pPr>
          </w:p>
        </w:tc>
        <w:tc>
          <w:tcPr>
            <w:tcW w:w="1418" w:type="dxa"/>
            <w:vAlign w:val="center"/>
          </w:tcPr>
          <w:p w14:paraId="421CEF20" w14:textId="77777777" w:rsidR="00302BFE" w:rsidRPr="00CF512D" w:rsidRDefault="00302BFE" w:rsidP="00243B15">
            <w:pPr>
              <w:pStyle w:val="Default"/>
              <w:jc w:val="center"/>
              <w:rPr>
                <w:rFonts w:ascii="Calibri" w:hAnsi="Calibri" w:cs="Calibri"/>
                <w:color w:val="auto"/>
                <w:sz w:val="20"/>
                <w:szCs w:val="20"/>
              </w:rPr>
            </w:pPr>
            <w:r w:rsidRPr="00CF512D">
              <w:rPr>
                <w:rFonts w:ascii="Calibri" w:hAnsi="Calibri"/>
                <w:color w:val="auto"/>
                <w:sz w:val="20"/>
                <w:szCs w:val="20"/>
              </w:rPr>
              <w:t>Year 1</w:t>
            </w:r>
          </w:p>
        </w:tc>
        <w:tc>
          <w:tcPr>
            <w:tcW w:w="1154" w:type="dxa"/>
            <w:vAlign w:val="center"/>
          </w:tcPr>
          <w:p w14:paraId="6B0E7311" w14:textId="77777777" w:rsidR="00302BFE" w:rsidRPr="00CF512D" w:rsidRDefault="00302BFE" w:rsidP="00243B15">
            <w:pPr>
              <w:pStyle w:val="Default"/>
              <w:jc w:val="center"/>
              <w:rPr>
                <w:rFonts w:ascii="Calibri" w:hAnsi="Calibri" w:cs="Calibri"/>
                <w:color w:val="auto"/>
                <w:sz w:val="20"/>
                <w:szCs w:val="20"/>
              </w:rPr>
            </w:pPr>
          </w:p>
        </w:tc>
      </w:tr>
    </w:tbl>
    <w:p w14:paraId="431C3554" w14:textId="77777777" w:rsidR="00302BFE" w:rsidRDefault="00302BFE" w:rsidP="00302BFE"/>
    <w:p w14:paraId="2C36BF11" w14:textId="77777777" w:rsidR="00302BFE" w:rsidRDefault="00302BFE" w:rsidP="00302BFE">
      <w:pPr>
        <w:spacing w:after="240"/>
        <w:rPr>
          <w:b/>
          <w:lang w:val="en-CA"/>
        </w:rPr>
        <w:sectPr w:rsidR="00302BFE" w:rsidSect="00243B15">
          <w:pgSz w:w="15840" w:h="12240" w:orient="landscape" w:code="1"/>
          <w:pgMar w:top="1440" w:right="1440" w:bottom="1440" w:left="1440" w:header="720" w:footer="720" w:gutter="0"/>
          <w:cols w:space="720"/>
          <w:docGrid w:linePitch="360"/>
        </w:sectPr>
      </w:pPr>
    </w:p>
    <w:p w14:paraId="4B4CCA10" w14:textId="77777777" w:rsidR="00302BFE" w:rsidRPr="0075595E" w:rsidRDefault="00302BFE" w:rsidP="00302BFE">
      <w:pPr>
        <w:pStyle w:val="Titre2"/>
        <w:ind w:left="0"/>
        <w:rPr>
          <w:rFonts w:ascii="Calibri" w:hAnsi="Calibri"/>
          <w:lang w:val="en-CA"/>
        </w:rPr>
      </w:pPr>
      <w:bookmarkStart w:id="126" w:name="_Toc9961815"/>
      <w:r w:rsidRPr="0075595E">
        <w:rPr>
          <w:rFonts w:ascii="Calibri" w:hAnsi="Calibri"/>
          <w:lang w:val="en-CA"/>
        </w:rPr>
        <w:lastRenderedPageBreak/>
        <w:t xml:space="preserve">Annex </w:t>
      </w:r>
      <w:r>
        <w:rPr>
          <w:rFonts w:ascii="Calibri" w:hAnsi="Calibri"/>
          <w:lang w:val="en-CA"/>
        </w:rPr>
        <w:t>O</w:t>
      </w:r>
      <w:r w:rsidRPr="0075595E">
        <w:rPr>
          <w:rFonts w:ascii="Calibri" w:hAnsi="Calibri"/>
          <w:lang w:val="en-CA"/>
        </w:rPr>
        <w:t>. Calculations of Greenhouse Gas Emissions Mitigated</w:t>
      </w:r>
      <w:bookmarkEnd w:id="126"/>
    </w:p>
    <w:p w14:paraId="5BF0AE50" w14:textId="77777777" w:rsidR="00CD025C" w:rsidRDefault="00302BFE" w:rsidP="00302BFE">
      <w:pPr>
        <w:spacing w:before="120" w:after="120"/>
        <w:rPr>
          <w:szCs w:val="20"/>
          <w:lang w:val="en-GB"/>
        </w:rPr>
      </w:pPr>
      <w:r w:rsidRPr="00D61C93">
        <w:rPr>
          <w:szCs w:val="20"/>
          <w:lang w:val="en-GB"/>
        </w:rPr>
        <w:t xml:space="preserve">The carbon sequestration estimates have been computed using the Ex-Ante Carbon-Balance Tool (EX-ACT) Tier Standard Edition, developed by FAO. The forest-type selected for the calculations is Tropical Dry Forest, building on a baseline of degraded land in a Dry Tropical climate. The soil-type generally consists of fertile Low Activity Clay loams derived from a basaltic substrate, albeit highly degraded through prior deforestation activity and subsequent over-grazing/agriculture. </w:t>
      </w:r>
      <w:r w:rsidR="00CD025C" w:rsidRPr="00D61C93">
        <w:rPr>
          <w:szCs w:val="20"/>
          <w:lang w:val="en-GB"/>
        </w:rPr>
        <w:t>The annual deforestation rate used is 1</w:t>
      </w:r>
      <w:r w:rsidR="00980295" w:rsidRPr="00D61C93">
        <w:rPr>
          <w:szCs w:val="20"/>
        </w:rPr>
        <w:t> </w:t>
      </w:r>
      <w:r w:rsidR="00CD025C" w:rsidRPr="00D61C93">
        <w:rPr>
          <w:szCs w:val="20"/>
          <w:lang w:val="en-GB"/>
        </w:rPr>
        <w:t xml:space="preserve">%. The project involves a </w:t>
      </w:r>
      <w:r w:rsidR="005453A0" w:rsidRPr="00D61C93">
        <w:rPr>
          <w:szCs w:val="20"/>
          <w:lang w:val="en-GB"/>
        </w:rPr>
        <w:t xml:space="preserve">conservative </w:t>
      </w:r>
      <w:r w:rsidR="00CD025C" w:rsidRPr="00D61C93">
        <w:rPr>
          <w:szCs w:val="20"/>
          <w:lang w:val="en-GB"/>
        </w:rPr>
        <w:t xml:space="preserve">50% reduction of the deforestation rate over 394,564 ha and the restoration of 11,000 ha of agroforestry ecosystems using indigenous species. Conservatively, </w:t>
      </w:r>
      <w:r w:rsidR="005453A0" w:rsidRPr="00D61C93">
        <w:rPr>
          <w:szCs w:val="20"/>
          <w:lang w:val="en-GB"/>
        </w:rPr>
        <w:t xml:space="preserve">instead of the entire 952,000 ha of the PONASI landscape, </w:t>
      </w:r>
      <w:r w:rsidR="00CD025C" w:rsidRPr="00D61C93">
        <w:rPr>
          <w:szCs w:val="20"/>
          <w:lang w:val="en-GB"/>
        </w:rPr>
        <w:t>394,564 ha were used in the calculation,</w:t>
      </w:r>
      <w:r w:rsidR="005453A0" w:rsidRPr="00D61C93">
        <w:rPr>
          <w:szCs w:val="20"/>
          <w:lang w:val="en-GB"/>
        </w:rPr>
        <w:t xml:space="preserve"> which corresponds to </w:t>
      </w:r>
      <w:r w:rsidR="00980295" w:rsidRPr="00D61C93">
        <w:rPr>
          <w:szCs w:val="20"/>
          <w:lang w:val="en-GB"/>
        </w:rPr>
        <w:t>354,781 ha of State and community protected areas, including corridors</w:t>
      </w:r>
      <w:r w:rsidR="001274DA" w:rsidRPr="00D61C93">
        <w:rPr>
          <w:szCs w:val="20"/>
          <w:lang w:val="en-GB"/>
        </w:rPr>
        <w:t>,</w:t>
      </w:r>
      <w:r w:rsidR="00980295" w:rsidRPr="00D61C93">
        <w:rPr>
          <w:szCs w:val="20"/>
          <w:lang w:val="en-GB"/>
        </w:rPr>
        <w:t xml:space="preserve"> and </w:t>
      </w:r>
      <w:r w:rsidR="001274DA" w:rsidRPr="00D61C93">
        <w:rPr>
          <w:szCs w:val="20"/>
          <w:lang w:val="en-GB"/>
        </w:rPr>
        <w:t>39</w:t>
      </w:r>
      <w:r w:rsidR="00980295" w:rsidRPr="00D61C93">
        <w:rPr>
          <w:szCs w:val="20"/>
          <w:lang w:val="en-GB"/>
        </w:rPr>
        <w:t>,78</w:t>
      </w:r>
      <w:r w:rsidR="001274DA" w:rsidRPr="00D61C93">
        <w:rPr>
          <w:szCs w:val="20"/>
          <w:lang w:val="en-GB"/>
        </w:rPr>
        <w:t>3</w:t>
      </w:r>
      <w:r w:rsidR="00980295" w:rsidRPr="00D61C93">
        <w:rPr>
          <w:szCs w:val="20"/>
          <w:lang w:val="en-GB"/>
        </w:rPr>
        <w:t xml:space="preserve"> ha of forests (38,891 ha of large forests, 127 ha commune forests and 765 ha village forests) where </w:t>
      </w:r>
      <w:r w:rsidR="001274DA" w:rsidRPr="00D61C93">
        <w:rPr>
          <w:szCs w:val="20"/>
          <w:lang w:val="en-GB"/>
        </w:rPr>
        <w:t xml:space="preserve">improved management effectiveness </w:t>
      </w:r>
      <w:r w:rsidR="00980295" w:rsidRPr="00D61C93">
        <w:rPr>
          <w:szCs w:val="20"/>
          <w:lang w:val="en-GB"/>
        </w:rPr>
        <w:t xml:space="preserve">will </w:t>
      </w:r>
      <w:r w:rsidR="001274DA" w:rsidRPr="00D61C93">
        <w:rPr>
          <w:szCs w:val="20"/>
          <w:lang w:val="en-GB"/>
        </w:rPr>
        <w:t>reduce deforestation</w:t>
      </w:r>
      <w:r w:rsidR="00CD025C" w:rsidRPr="00D61C93">
        <w:rPr>
          <w:szCs w:val="20"/>
          <w:lang w:val="en-GB"/>
        </w:rPr>
        <w:t>. Over a period of 20 years, approximately 5.4 million tCO</w:t>
      </w:r>
      <w:r w:rsidR="00CD025C" w:rsidRPr="00D61C93">
        <w:rPr>
          <w:szCs w:val="20"/>
          <w:vertAlign w:val="subscript"/>
          <w:lang w:val="en-GB"/>
        </w:rPr>
        <w:t>2</w:t>
      </w:r>
      <w:r w:rsidR="001274DA" w:rsidRPr="00D61C93">
        <w:rPr>
          <w:szCs w:val="20"/>
          <w:vertAlign w:val="subscript"/>
          <w:lang w:val="en-GB"/>
        </w:rPr>
        <w:t>eq</w:t>
      </w:r>
      <w:r w:rsidR="00CD025C" w:rsidRPr="00D61C93">
        <w:rPr>
          <w:szCs w:val="20"/>
          <w:lang w:val="en-GB"/>
        </w:rPr>
        <w:t xml:space="preserve"> will be sequestered through the project’s intervention.</w:t>
      </w:r>
      <w:r w:rsidR="00CD025C" w:rsidRPr="005453A0">
        <w:rPr>
          <w:szCs w:val="20"/>
          <w:lang w:val="en-GB"/>
        </w:rPr>
        <w:t xml:space="preserve"> </w:t>
      </w:r>
    </w:p>
    <w:p w14:paraId="3B5C1F7C" w14:textId="77777777" w:rsidR="005453A0" w:rsidRDefault="005453A0" w:rsidP="00302BFE">
      <w:pPr>
        <w:spacing w:before="120" w:after="120"/>
        <w:rPr>
          <w:szCs w:val="20"/>
          <w:highlight w:val="yellow"/>
        </w:rPr>
      </w:pPr>
    </w:p>
    <w:p w14:paraId="5830AB84" w14:textId="77777777" w:rsidR="00DD5172" w:rsidRPr="005453A0" w:rsidRDefault="00DD5172" w:rsidP="00302BFE">
      <w:pPr>
        <w:spacing w:before="120" w:after="120"/>
        <w:rPr>
          <w:szCs w:val="20"/>
          <w:highlight w:val="yellow"/>
        </w:rPr>
      </w:pPr>
      <w:r>
        <w:rPr>
          <w:noProof/>
        </w:rPr>
        <w:drawing>
          <wp:inline distT="0" distB="0" distL="0" distR="0" wp14:anchorId="5D6A7DA3" wp14:editId="5962B3F3">
            <wp:extent cx="5943600" cy="331851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3600" cy="3318510"/>
                    </a:xfrm>
                    <a:prstGeom prst="rect">
                      <a:avLst/>
                    </a:prstGeom>
                  </pic:spPr>
                </pic:pic>
              </a:graphicData>
            </a:graphic>
          </wp:inline>
        </w:drawing>
      </w:r>
    </w:p>
    <w:p w14:paraId="5E30CE21" w14:textId="77777777" w:rsidR="00302BFE" w:rsidRPr="0075595E" w:rsidRDefault="00302BFE" w:rsidP="00302BFE">
      <w:pPr>
        <w:pStyle w:val="Titre2"/>
        <w:ind w:left="0"/>
        <w:rPr>
          <w:rFonts w:ascii="Calibri" w:hAnsi="Calibri"/>
          <w:lang w:val="en-CA"/>
        </w:rPr>
      </w:pPr>
      <w:r w:rsidRPr="00CE7992">
        <w:rPr>
          <w:b w:val="0"/>
          <w:lang w:val="en-CA"/>
        </w:rPr>
        <w:br w:type="page"/>
      </w:r>
      <w:bookmarkStart w:id="127" w:name="_Toc9961816"/>
      <w:r w:rsidRPr="0075595E">
        <w:rPr>
          <w:rFonts w:ascii="Calibri" w:hAnsi="Calibri"/>
          <w:lang w:val="en-CA"/>
        </w:rPr>
        <w:lastRenderedPageBreak/>
        <w:t xml:space="preserve">Annex </w:t>
      </w:r>
      <w:r>
        <w:rPr>
          <w:rFonts w:ascii="Calibri" w:hAnsi="Calibri"/>
          <w:lang w:val="en-CA"/>
        </w:rPr>
        <w:t>P</w:t>
      </w:r>
      <w:r w:rsidRPr="0075595E">
        <w:rPr>
          <w:rFonts w:ascii="Calibri" w:hAnsi="Calibri"/>
          <w:lang w:val="en-CA"/>
        </w:rPr>
        <w:t>. Co-financing Letters</w:t>
      </w:r>
      <w:bookmarkEnd w:id="127"/>
    </w:p>
    <w:p w14:paraId="1160A667" w14:textId="77777777" w:rsidR="00302BFE" w:rsidRDefault="00302BFE" w:rsidP="00302BFE">
      <w:r w:rsidRPr="003111CF">
        <w:t>(see separate file)</w:t>
      </w:r>
    </w:p>
    <w:p w14:paraId="43DC6BCC" w14:textId="77777777" w:rsidR="00302BFE" w:rsidRPr="00B43F59" w:rsidRDefault="00302BFE" w:rsidP="00302BFE"/>
    <w:p w14:paraId="7A205BA7" w14:textId="77777777" w:rsidR="00302BFE" w:rsidRPr="00CE7992" w:rsidRDefault="00302BFE" w:rsidP="00302BFE">
      <w:pPr>
        <w:pStyle w:val="Titre2"/>
        <w:spacing w:after="240"/>
        <w:ind w:left="0"/>
        <w:rPr>
          <w:rFonts w:ascii="Calibri" w:hAnsi="Calibri"/>
          <w:lang w:val="en-CA"/>
        </w:rPr>
        <w:sectPr w:rsidR="00302BFE" w:rsidRPr="00CE7992" w:rsidSect="00243B15">
          <w:pgSz w:w="12240" w:h="15840" w:code="1"/>
          <w:pgMar w:top="1440" w:right="1440" w:bottom="1440" w:left="1440" w:header="720" w:footer="720" w:gutter="0"/>
          <w:cols w:space="720"/>
          <w:docGrid w:linePitch="360"/>
        </w:sectPr>
      </w:pPr>
    </w:p>
    <w:p w14:paraId="4669211C" w14:textId="77777777" w:rsidR="00302BFE" w:rsidRPr="00243B15" w:rsidRDefault="00302BFE" w:rsidP="00302BFE">
      <w:pPr>
        <w:pStyle w:val="Titre2"/>
        <w:ind w:left="0"/>
        <w:rPr>
          <w:rFonts w:ascii="Calibri" w:hAnsi="Calibri"/>
          <w:lang w:val="fr-CA"/>
        </w:rPr>
      </w:pPr>
      <w:bookmarkStart w:id="128" w:name="_Toc9961817"/>
      <w:r w:rsidRPr="00243B15">
        <w:rPr>
          <w:rFonts w:ascii="Calibri" w:hAnsi="Calibri"/>
          <w:lang w:val="fr-CA"/>
        </w:rPr>
        <w:lastRenderedPageBreak/>
        <w:t>Annex Q: Capacity Development Scorecard</w:t>
      </w:r>
      <w:bookmarkEnd w:id="128"/>
    </w:p>
    <w:p w14:paraId="4A280A5C" w14:textId="77777777" w:rsidR="00302BFE" w:rsidRPr="000B58BF" w:rsidRDefault="00302BFE" w:rsidP="00302BFE">
      <w:pPr>
        <w:spacing w:before="240"/>
        <w:ind w:left="119" w:right="-68"/>
        <w:rPr>
          <w:b/>
          <w:szCs w:val="20"/>
          <w:lang w:val="fr-CA"/>
        </w:rPr>
      </w:pPr>
      <w:r w:rsidRPr="000B58BF">
        <w:rPr>
          <w:b/>
          <w:szCs w:val="20"/>
          <w:lang w:val="fr-CA"/>
        </w:rPr>
        <w:t xml:space="preserve">Nom du projet: PONASI - </w:t>
      </w:r>
      <w:r w:rsidRPr="000B58BF">
        <w:rPr>
          <w:b/>
          <w:bCs/>
          <w:szCs w:val="20"/>
          <w:lang w:val="fr-CA"/>
        </w:rPr>
        <w:t>Gestion intégrée et durable du paysage d’aires protégées du PONASI</w:t>
      </w:r>
    </w:p>
    <w:p w14:paraId="7D22476E" w14:textId="77777777" w:rsidR="00302BFE" w:rsidRPr="000B58BF" w:rsidRDefault="00302BFE" w:rsidP="00302BFE">
      <w:pPr>
        <w:ind w:left="119" w:right="-68"/>
        <w:rPr>
          <w:b/>
          <w:szCs w:val="20"/>
          <w:lang w:val="fr-CA"/>
        </w:rPr>
      </w:pPr>
      <w:r w:rsidRPr="00930BD3">
        <w:rPr>
          <w:b/>
          <w:szCs w:val="20"/>
          <w:lang w:val="fr-CA"/>
        </w:rPr>
        <w:t xml:space="preserve">Phase du cycle : </w:t>
      </w:r>
      <w:r w:rsidRPr="00930BD3">
        <w:rPr>
          <w:b/>
          <w:i/>
          <w:szCs w:val="20"/>
          <w:lang w:val="fr-CA"/>
        </w:rPr>
        <w:t>Situation de référence (</w:t>
      </w:r>
      <w:r w:rsidRPr="00930BD3">
        <w:rPr>
          <w:b/>
          <w:i/>
          <w:szCs w:val="20"/>
          <w:u w:val="single"/>
          <w:lang w:val="fr-CA"/>
        </w:rPr>
        <w:t>à compléter à mi-parcours et en fin de projet</w:t>
      </w:r>
      <w:r w:rsidRPr="00930BD3">
        <w:rPr>
          <w:b/>
          <w:i/>
          <w:szCs w:val="20"/>
          <w:lang w:val="fr-CA"/>
        </w:rPr>
        <w:t>)</w:t>
      </w:r>
    </w:p>
    <w:p w14:paraId="271B4943" w14:textId="77777777" w:rsidR="00302BFE" w:rsidRPr="000B58BF" w:rsidRDefault="00302BFE" w:rsidP="00302BFE">
      <w:pPr>
        <w:ind w:left="119" w:right="-68"/>
        <w:rPr>
          <w:b/>
          <w:szCs w:val="20"/>
          <w:lang w:val="fr-CA"/>
        </w:rPr>
      </w:pPr>
      <w:r w:rsidRPr="000B58BF">
        <w:rPr>
          <w:b/>
          <w:szCs w:val="20"/>
          <w:lang w:val="fr-CA"/>
        </w:rPr>
        <w:t>Date : 14 décembre 2018</w:t>
      </w:r>
    </w:p>
    <w:p w14:paraId="5CD66462" w14:textId="77777777" w:rsidR="00302BFE" w:rsidRPr="000B58BF" w:rsidRDefault="00302BFE" w:rsidP="00302BFE">
      <w:pPr>
        <w:ind w:left="119" w:right="-68"/>
        <w:rPr>
          <w:b/>
          <w:szCs w:val="20"/>
          <w:lang w:val="fr-CA"/>
        </w:rPr>
      </w:pPr>
      <w:r w:rsidRPr="000B58BF">
        <w:rPr>
          <w:b/>
          <w:szCs w:val="20"/>
          <w:lang w:val="fr-CA"/>
        </w:rPr>
        <w:t>Parties prenantes concernées : OFINAP, DGEF</w:t>
      </w:r>
    </w:p>
    <w:tbl>
      <w:tblPr>
        <w:tblW w:w="14166" w:type="dxa"/>
        <w:jc w:val="center"/>
        <w:tblBorders>
          <w:top w:val="single" w:sz="6" w:space="0" w:color="16459A"/>
          <w:left w:val="single" w:sz="6" w:space="0" w:color="16459A"/>
          <w:bottom w:val="single" w:sz="6" w:space="0" w:color="16459A"/>
          <w:right w:val="single" w:sz="6" w:space="0" w:color="16459A"/>
          <w:insideH w:val="single" w:sz="6" w:space="0" w:color="16459A"/>
          <w:insideV w:val="single" w:sz="6" w:space="0" w:color="16459A"/>
        </w:tblBorders>
        <w:tblLayout w:type="fixed"/>
        <w:tblCellMar>
          <w:left w:w="0" w:type="dxa"/>
          <w:right w:w="0" w:type="dxa"/>
        </w:tblCellMar>
        <w:tblLook w:val="01E0" w:firstRow="1" w:lastRow="1" w:firstColumn="1" w:lastColumn="1" w:noHBand="0" w:noVBand="0"/>
      </w:tblPr>
      <w:tblGrid>
        <w:gridCol w:w="1246"/>
        <w:gridCol w:w="4297"/>
        <w:gridCol w:w="567"/>
        <w:gridCol w:w="567"/>
        <w:gridCol w:w="567"/>
        <w:gridCol w:w="3261"/>
        <w:gridCol w:w="3661"/>
      </w:tblGrid>
      <w:tr w:rsidR="00302BFE" w:rsidRPr="00B43F59" w14:paraId="79EEA3D9" w14:textId="77777777" w:rsidTr="00243B15">
        <w:trPr>
          <w:cantSplit/>
          <w:trHeight w:val="247"/>
          <w:tblHeader/>
          <w:jc w:val="center"/>
        </w:trPr>
        <w:tc>
          <w:tcPr>
            <w:tcW w:w="1246" w:type="dxa"/>
            <w:vMerge w:val="restart"/>
            <w:tcBorders>
              <w:top w:val="single" w:sz="4" w:space="0" w:color="auto"/>
              <w:left w:val="single" w:sz="4" w:space="0" w:color="auto"/>
              <w:bottom w:val="single" w:sz="4" w:space="0" w:color="auto"/>
              <w:right w:val="single" w:sz="4" w:space="0" w:color="auto"/>
            </w:tcBorders>
            <w:shd w:val="clear" w:color="auto" w:fill="16459A"/>
            <w:vAlign w:val="center"/>
            <w:hideMark/>
          </w:tcPr>
          <w:p w14:paraId="27D5E3A9" w14:textId="77777777" w:rsidR="00302BFE" w:rsidRPr="00B43F59" w:rsidRDefault="00302BFE" w:rsidP="00243B15">
            <w:pPr>
              <w:pStyle w:val="TableParagraph"/>
              <w:spacing w:before="20" w:line="220" w:lineRule="atLeast"/>
              <w:ind w:left="84"/>
              <w:jc w:val="center"/>
              <w:rPr>
                <w:rFonts w:ascii="Calibri" w:hAnsi="Calibri"/>
                <w:b/>
                <w:sz w:val="16"/>
                <w:lang w:val="fr-CA"/>
              </w:rPr>
            </w:pPr>
            <w:r w:rsidRPr="00B43F59">
              <w:rPr>
                <w:rFonts w:ascii="Calibri" w:hAnsi="Calibri"/>
                <w:b/>
                <w:color w:val="FFFFFF"/>
                <w:sz w:val="16"/>
                <w:lang w:val="fr-CA"/>
              </w:rPr>
              <w:t xml:space="preserve">Capacité / </w:t>
            </w:r>
            <w:r w:rsidRPr="00B43F59">
              <w:rPr>
                <w:rFonts w:ascii="Calibri" w:hAnsi="Calibri"/>
                <w:b/>
                <w:color w:val="FFFFFF"/>
                <w:sz w:val="16"/>
                <w:lang w:val="fr-CA"/>
              </w:rPr>
              <w:br/>
              <w:t>Indicateur</w:t>
            </w:r>
          </w:p>
        </w:tc>
        <w:tc>
          <w:tcPr>
            <w:tcW w:w="4297" w:type="dxa"/>
            <w:vMerge w:val="restart"/>
            <w:tcBorders>
              <w:top w:val="single" w:sz="4" w:space="0" w:color="auto"/>
              <w:left w:val="single" w:sz="4" w:space="0" w:color="auto"/>
              <w:bottom w:val="single" w:sz="4" w:space="0" w:color="auto"/>
              <w:right w:val="single" w:sz="4" w:space="0" w:color="auto"/>
            </w:tcBorders>
            <w:shd w:val="clear" w:color="auto" w:fill="16459A"/>
            <w:vAlign w:val="center"/>
            <w:hideMark/>
          </w:tcPr>
          <w:p w14:paraId="538B9EFD" w14:textId="77777777" w:rsidR="00302BFE" w:rsidRPr="00B43F59" w:rsidRDefault="00302BFE" w:rsidP="00243B15">
            <w:pPr>
              <w:pStyle w:val="TableParagraph"/>
              <w:tabs>
                <w:tab w:val="left" w:pos="3999"/>
              </w:tabs>
              <w:spacing w:before="44"/>
              <w:ind w:left="84"/>
              <w:jc w:val="center"/>
              <w:rPr>
                <w:rFonts w:ascii="Calibri" w:hAnsi="Calibri"/>
                <w:b/>
                <w:sz w:val="16"/>
                <w:lang w:val="fr-CA"/>
              </w:rPr>
            </w:pPr>
            <w:r w:rsidRPr="00B43F59">
              <w:rPr>
                <w:rFonts w:ascii="Calibri" w:hAnsi="Calibri"/>
                <w:b/>
                <w:color w:val="FFFFFF"/>
                <w:w w:val="105"/>
                <w:sz w:val="16"/>
                <w:lang w:val="fr-CA"/>
              </w:rPr>
              <w:t>Indicateurs par étapes</w:t>
            </w:r>
          </w:p>
        </w:tc>
        <w:tc>
          <w:tcPr>
            <w:tcW w:w="1701" w:type="dxa"/>
            <w:gridSpan w:val="3"/>
            <w:tcBorders>
              <w:top w:val="single" w:sz="4" w:space="0" w:color="auto"/>
              <w:left w:val="single" w:sz="4" w:space="0" w:color="auto"/>
              <w:bottom w:val="single" w:sz="4" w:space="0" w:color="auto"/>
              <w:right w:val="single" w:sz="4" w:space="0" w:color="auto"/>
            </w:tcBorders>
            <w:shd w:val="clear" w:color="auto" w:fill="16459A"/>
            <w:vAlign w:val="center"/>
            <w:hideMark/>
          </w:tcPr>
          <w:p w14:paraId="2E5F2C86" w14:textId="77777777" w:rsidR="00302BFE" w:rsidRPr="00B43F59" w:rsidRDefault="00302BFE" w:rsidP="00243B15">
            <w:pPr>
              <w:pStyle w:val="TableParagraph"/>
              <w:tabs>
                <w:tab w:val="left" w:pos="3999"/>
              </w:tabs>
              <w:spacing w:before="44"/>
              <w:ind w:left="84"/>
              <w:jc w:val="center"/>
              <w:rPr>
                <w:rFonts w:ascii="Calibri" w:hAnsi="Calibri"/>
                <w:b/>
                <w:sz w:val="16"/>
                <w:lang w:val="fr-CA"/>
              </w:rPr>
            </w:pPr>
            <w:r w:rsidRPr="00B43F59">
              <w:rPr>
                <w:rFonts w:ascii="Calibri" w:hAnsi="Calibri"/>
                <w:b/>
                <w:color w:val="FFFFFF"/>
                <w:w w:val="105"/>
                <w:sz w:val="16"/>
                <w:szCs w:val="16"/>
                <w:lang w:val="fr-CA"/>
              </w:rPr>
              <w:t>Score</w:t>
            </w:r>
          </w:p>
        </w:tc>
        <w:tc>
          <w:tcPr>
            <w:tcW w:w="3261" w:type="dxa"/>
            <w:vMerge w:val="restart"/>
            <w:tcBorders>
              <w:top w:val="single" w:sz="4" w:space="0" w:color="auto"/>
              <w:left w:val="single" w:sz="4" w:space="0" w:color="auto"/>
              <w:bottom w:val="single" w:sz="4" w:space="0" w:color="auto"/>
              <w:right w:val="single" w:sz="4" w:space="0" w:color="auto"/>
            </w:tcBorders>
            <w:shd w:val="clear" w:color="auto" w:fill="16459A"/>
            <w:vAlign w:val="center"/>
            <w:hideMark/>
          </w:tcPr>
          <w:p w14:paraId="143BD7A4" w14:textId="77777777" w:rsidR="00302BFE" w:rsidRPr="00B43F59" w:rsidRDefault="00302BFE" w:rsidP="00243B15">
            <w:pPr>
              <w:pStyle w:val="TableParagraph"/>
              <w:spacing w:before="44"/>
              <w:ind w:left="84"/>
              <w:jc w:val="center"/>
              <w:rPr>
                <w:rFonts w:ascii="Calibri" w:hAnsi="Calibri"/>
                <w:b/>
                <w:sz w:val="16"/>
                <w:lang w:val="fr-CA"/>
              </w:rPr>
            </w:pPr>
            <w:r w:rsidRPr="00B43F59">
              <w:rPr>
                <w:rFonts w:ascii="Calibri" w:hAnsi="Calibri"/>
                <w:b/>
                <w:color w:val="FFFFFF"/>
                <w:sz w:val="16"/>
                <w:lang w:val="fr-CA"/>
              </w:rPr>
              <w:t>Commentaires</w:t>
            </w:r>
          </w:p>
        </w:tc>
        <w:tc>
          <w:tcPr>
            <w:tcW w:w="3661" w:type="dxa"/>
            <w:vMerge w:val="restart"/>
            <w:tcBorders>
              <w:top w:val="single" w:sz="4" w:space="0" w:color="auto"/>
              <w:left w:val="single" w:sz="4" w:space="0" w:color="auto"/>
              <w:bottom w:val="single" w:sz="4" w:space="0" w:color="auto"/>
              <w:right w:val="single" w:sz="4" w:space="0" w:color="auto"/>
            </w:tcBorders>
            <w:shd w:val="clear" w:color="auto" w:fill="16459A"/>
            <w:vAlign w:val="center"/>
            <w:hideMark/>
          </w:tcPr>
          <w:p w14:paraId="56CC6294" w14:textId="77777777" w:rsidR="00302BFE" w:rsidRPr="00B43F59" w:rsidRDefault="00302BFE" w:rsidP="00243B15">
            <w:pPr>
              <w:pStyle w:val="TableParagraph"/>
              <w:spacing w:before="44"/>
              <w:ind w:left="84"/>
              <w:jc w:val="center"/>
              <w:rPr>
                <w:rFonts w:ascii="Calibri" w:hAnsi="Calibri"/>
                <w:b/>
                <w:sz w:val="16"/>
                <w:lang w:val="fr-CA"/>
              </w:rPr>
            </w:pPr>
            <w:r w:rsidRPr="00B43F59">
              <w:rPr>
                <w:rFonts w:ascii="Calibri" w:hAnsi="Calibri"/>
                <w:b/>
                <w:color w:val="FFFFFF"/>
                <w:sz w:val="16"/>
                <w:lang w:val="fr-CA"/>
              </w:rPr>
              <w:t>Prochaines étapes</w:t>
            </w:r>
          </w:p>
        </w:tc>
      </w:tr>
      <w:tr w:rsidR="00302BFE" w:rsidRPr="00B43F59" w14:paraId="35D1D6EF" w14:textId="77777777" w:rsidTr="00243B15">
        <w:trPr>
          <w:cantSplit/>
          <w:trHeight w:val="388"/>
          <w:tblHeader/>
          <w:jc w:val="center"/>
        </w:trPr>
        <w:tc>
          <w:tcPr>
            <w:tcW w:w="124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10C51A" w14:textId="77777777" w:rsidR="00302BFE" w:rsidRPr="00B43F59" w:rsidRDefault="00302BFE" w:rsidP="00243B15">
            <w:pPr>
              <w:widowControl w:val="0"/>
              <w:autoSpaceDE w:val="0"/>
              <w:autoSpaceDN w:val="0"/>
              <w:rPr>
                <w:rFonts w:eastAsia="Myriad Pro Light" w:cs="Myriad Pro Light"/>
                <w:b/>
                <w:sz w:val="16"/>
                <w:szCs w:val="22"/>
                <w:lang w:val="fr-CA"/>
              </w:rPr>
            </w:pPr>
          </w:p>
        </w:tc>
        <w:tc>
          <w:tcPr>
            <w:tcW w:w="42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66474B" w14:textId="77777777" w:rsidR="00302BFE" w:rsidRPr="00B43F59" w:rsidRDefault="00302BFE" w:rsidP="00243B15">
            <w:pPr>
              <w:widowControl w:val="0"/>
              <w:autoSpaceDE w:val="0"/>
              <w:autoSpaceDN w:val="0"/>
              <w:rPr>
                <w:rFonts w:eastAsia="Myriad Pro Light" w:cs="Myriad Pro Light"/>
                <w:b/>
                <w:sz w:val="16"/>
                <w:szCs w:val="22"/>
                <w:lang w:val="fr-CA"/>
              </w:rPr>
            </w:pPr>
          </w:p>
        </w:tc>
        <w:tc>
          <w:tcPr>
            <w:tcW w:w="567" w:type="dxa"/>
            <w:tcBorders>
              <w:top w:val="single" w:sz="4" w:space="0" w:color="auto"/>
              <w:left w:val="single" w:sz="4" w:space="0" w:color="auto"/>
              <w:bottom w:val="single" w:sz="4" w:space="0" w:color="auto"/>
              <w:right w:val="single" w:sz="4" w:space="0" w:color="auto"/>
            </w:tcBorders>
            <w:shd w:val="clear" w:color="auto" w:fill="16459A"/>
            <w:hideMark/>
          </w:tcPr>
          <w:p w14:paraId="7FC9E1B5" w14:textId="77777777" w:rsidR="00302BFE" w:rsidRPr="00B43F59" w:rsidRDefault="00302BFE" w:rsidP="00243B15">
            <w:pPr>
              <w:pStyle w:val="TableParagraph"/>
              <w:tabs>
                <w:tab w:val="left" w:pos="3999"/>
              </w:tabs>
              <w:spacing w:before="44"/>
              <w:ind w:left="84"/>
              <w:rPr>
                <w:rFonts w:ascii="Calibri" w:hAnsi="Calibri"/>
                <w:b/>
                <w:color w:val="FFFFFF"/>
                <w:w w:val="105"/>
                <w:sz w:val="14"/>
                <w:szCs w:val="14"/>
                <w:lang w:val="fr-CA"/>
              </w:rPr>
            </w:pPr>
            <w:r w:rsidRPr="00B43F59">
              <w:rPr>
                <w:rFonts w:ascii="Calibri" w:hAnsi="Calibri"/>
                <w:b/>
                <w:color w:val="FFFFFF"/>
                <w:w w:val="105"/>
                <w:sz w:val="14"/>
                <w:szCs w:val="14"/>
                <w:lang w:val="fr-CA"/>
              </w:rPr>
              <w:t>Référence</w:t>
            </w:r>
          </w:p>
        </w:tc>
        <w:tc>
          <w:tcPr>
            <w:tcW w:w="567" w:type="dxa"/>
            <w:tcBorders>
              <w:top w:val="single" w:sz="4" w:space="0" w:color="auto"/>
              <w:left w:val="single" w:sz="4" w:space="0" w:color="auto"/>
              <w:bottom w:val="single" w:sz="4" w:space="0" w:color="auto"/>
              <w:right w:val="single" w:sz="4" w:space="0" w:color="auto"/>
            </w:tcBorders>
            <w:shd w:val="clear" w:color="auto" w:fill="16459A"/>
            <w:hideMark/>
          </w:tcPr>
          <w:p w14:paraId="7EE4D84F" w14:textId="77777777" w:rsidR="00302BFE" w:rsidRPr="00B43F59" w:rsidRDefault="00302BFE" w:rsidP="00243B15">
            <w:pPr>
              <w:pStyle w:val="TableParagraph"/>
              <w:tabs>
                <w:tab w:val="left" w:pos="3999"/>
              </w:tabs>
              <w:spacing w:before="44"/>
              <w:ind w:left="84"/>
              <w:rPr>
                <w:rFonts w:ascii="Calibri" w:hAnsi="Calibri"/>
                <w:b/>
                <w:color w:val="FFFFFF"/>
                <w:w w:val="105"/>
                <w:sz w:val="14"/>
                <w:szCs w:val="14"/>
                <w:lang w:val="fr-CA"/>
              </w:rPr>
            </w:pPr>
            <w:r w:rsidRPr="00B43F59">
              <w:rPr>
                <w:rFonts w:ascii="Calibri" w:hAnsi="Calibri"/>
                <w:b/>
                <w:color w:val="FFFFFF"/>
                <w:w w:val="105"/>
                <w:sz w:val="14"/>
                <w:szCs w:val="14"/>
                <w:lang w:val="fr-CA"/>
              </w:rPr>
              <w:t>Mi-projet</w:t>
            </w:r>
          </w:p>
        </w:tc>
        <w:tc>
          <w:tcPr>
            <w:tcW w:w="567" w:type="dxa"/>
            <w:tcBorders>
              <w:top w:val="single" w:sz="4" w:space="0" w:color="auto"/>
              <w:left w:val="single" w:sz="4" w:space="0" w:color="auto"/>
              <w:bottom w:val="single" w:sz="4" w:space="0" w:color="auto"/>
              <w:right w:val="single" w:sz="4" w:space="0" w:color="auto"/>
            </w:tcBorders>
            <w:shd w:val="clear" w:color="auto" w:fill="16459A"/>
            <w:hideMark/>
          </w:tcPr>
          <w:p w14:paraId="2C4B3CC5" w14:textId="77777777" w:rsidR="00302BFE" w:rsidRPr="00B43F59" w:rsidRDefault="00302BFE" w:rsidP="00243B15">
            <w:pPr>
              <w:pStyle w:val="TableParagraph"/>
              <w:tabs>
                <w:tab w:val="left" w:pos="3999"/>
              </w:tabs>
              <w:spacing w:before="44"/>
              <w:ind w:left="84"/>
              <w:rPr>
                <w:rFonts w:ascii="Calibri" w:hAnsi="Calibri"/>
                <w:b/>
                <w:color w:val="FFFFFF"/>
                <w:w w:val="105"/>
                <w:sz w:val="14"/>
                <w:szCs w:val="14"/>
                <w:lang w:val="fr-CA"/>
              </w:rPr>
            </w:pPr>
            <w:r w:rsidRPr="00B43F59">
              <w:rPr>
                <w:rFonts w:ascii="Calibri" w:hAnsi="Calibri"/>
                <w:b/>
                <w:color w:val="FFFFFF"/>
                <w:w w:val="105"/>
                <w:sz w:val="14"/>
                <w:szCs w:val="14"/>
                <w:lang w:val="fr-CA"/>
              </w:rPr>
              <w:t>Fin de projet</w:t>
            </w:r>
          </w:p>
        </w:tc>
        <w:tc>
          <w:tcPr>
            <w:tcW w:w="32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6724F6" w14:textId="77777777" w:rsidR="00302BFE" w:rsidRPr="00B43F59" w:rsidRDefault="00302BFE" w:rsidP="00243B15">
            <w:pPr>
              <w:widowControl w:val="0"/>
              <w:autoSpaceDE w:val="0"/>
              <w:autoSpaceDN w:val="0"/>
              <w:rPr>
                <w:rFonts w:eastAsia="Myriad Pro Light" w:cs="Myriad Pro Light"/>
                <w:b/>
                <w:sz w:val="16"/>
                <w:szCs w:val="22"/>
                <w:lang w:val="fr-CA"/>
              </w:rPr>
            </w:pPr>
          </w:p>
        </w:tc>
        <w:tc>
          <w:tcPr>
            <w:tcW w:w="36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01D193" w14:textId="77777777" w:rsidR="00302BFE" w:rsidRPr="00B43F59" w:rsidRDefault="00302BFE" w:rsidP="00243B15">
            <w:pPr>
              <w:widowControl w:val="0"/>
              <w:autoSpaceDE w:val="0"/>
              <w:autoSpaceDN w:val="0"/>
              <w:rPr>
                <w:rFonts w:eastAsia="Myriad Pro Light" w:cs="Myriad Pro Light"/>
                <w:b/>
                <w:sz w:val="16"/>
                <w:szCs w:val="22"/>
                <w:lang w:val="fr-CA"/>
              </w:rPr>
            </w:pPr>
          </w:p>
        </w:tc>
      </w:tr>
      <w:tr w:rsidR="00302BFE" w:rsidRPr="00B43F59" w14:paraId="0AFD3CE0" w14:textId="77777777" w:rsidTr="00243B15">
        <w:trPr>
          <w:trHeight w:val="264"/>
          <w:jc w:val="center"/>
        </w:trPr>
        <w:tc>
          <w:tcPr>
            <w:tcW w:w="14166" w:type="dxa"/>
            <w:gridSpan w:val="7"/>
            <w:tcBorders>
              <w:top w:val="single" w:sz="4" w:space="0" w:color="auto"/>
              <w:left w:val="single" w:sz="4" w:space="0" w:color="auto"/>
              <w:bottom w:val="single" w:sz="4" w:space="0" w:color="auto"/>
              <w:right w:val="single" w:sz="4" w:space="0" w:color="auto"/>
            </w:tcBorders>
            <w:shd w:val="clear" w:color="auto" w:fill="9ABAC3"/>
          </w:tcPr>
          <w:p w14:paraId="4E2F6331" w14:textId="77777777" w:rsidR="00302BFE" w:rsidRPr="00B43F59" w:rsidRDefault="00302BFE" w:rsidP="00243B15">
            <w:pPr>
              <w:pStyle w:val="TableParagraph"/>
              <w:spacing w:before="34"/>
              <w:ind w:left="79"/>
              <w:rPr>
                <w:rFonts w:ascii="Calibri" w:hAnsi="Calibri"/>
                <w:b/>
                <w:i/>
                <w:sz w:val="20"/>
                <w:szCs w:val="20"/>
                <w:lang w:val="fr-CA"/>
              </w:rPr>
            </w:pPr>
            <w:r w:rsidRPr="00B43F59">
              <w:rPr>
                <w:rFonts w:ascii="Calibri" w:hAnsi="Calibri"/>
                <w:b/>
                <w:i/>
                <w:sz w:val="20"/>
                <w:szCs w:val="20"/>
              </w:rPr>
              <w:t>1: Capacités de mobilisation</w:t>
            </w:r>
          </w:p>
        </w:tc>
      </w:tr>
      <w:tr w:rsidR="00302BFE" w:rsidRPr="00B43F59" w14:paraId="23D6612F" w14:textId="77777777" w:rsidTr="00243B15">
        <w:trPr>
          <w:trHeight w:val="429"/>
          <w:jc w:val="center"/>
        </w:trPr>
        <w:tc>
          <w:tcPr>
            <w:tcW w:w="1246" w:type="dxa"/>
            <w:vMerge w:val="restart"/>
            <w:tcBorders>
              <w:top w:val="single" w:sz="4" w:space="0" w:color="auto"/>
              <w:left w:val="single" w:sz="6" w:space="0" w:color="16459A"/>
              <w:bottom w:val="single" w:sz="4" w:space="0" w:color="16459A"/>
              <w:right w:val="single" w:sz="4" w:space="0" w:color="16459A"/>
            </w:tcBorders>
            <w:shd w:val="clear" w:color="auto" w:fill="E0E1F1"/>
            <w:hideMark/>
          </w:tcPr>
          <w:p w14:paraId="30150A55" w14:textId="77777777" w:rsidR="00302BFE" w:rsidRPr="00B43F59" w:rsidRDefault="00302BFE" w:rsidP="00243B15">
            <w:pPr>
              <w:pStyle w:val="TableParagraph"/>
              <w:rPr>
                <w:rFonts w:ascii="Calibri" w:hAnsi="Calibri"/>
                <w:b/>
                <w:sz w:val="16"/>
                <w:lang w:val="fr-CA"/>
              </w:rPr>
            </w:pPr>
            <w:r w:rsidRPr="00B43F59">
              <w:rPr>
                <w:rFonts w:ascii="Calibri" w:hAnsi="Calibri"/>
                <w:b/>
                <w:sz w:val="16"/>
                <w:lang w:val="fr-CA"/>
              </w:rPr>
              <w:t>Indicateur 1: Degré de légitimité / mandat des principales organisations environnementales</w:t>
            </w:r>
          </w:p>
        </w:tc>
        <w:tc>
          <w:tcPr>
            <w:tcW w:w="4297" w:type="dxa"/>
            <w:tcBorders>
              <w:top w:val="single" w:sz="4" w:space="0" w:color="auto"/>
              <w:left w:val="single" w:sz="4" w:space="0" w:color="16459A"/>
              <w:bottom w:val="single" w:sz="4" w:space="0" w:color="16459A"/>
              <w:right w:val="single" w:sz="4" w:space="0" w:color="16459A"/>
            </w:tcBorders>
            <w:shd w:val="clear" w:color="auto" w:fill="auto"/>
            <w:hideMark/>
          </w:tcPr>
          <w:p w14:paraId="323A381F" w14:textId="77777777" w:rsidR="00302BFE" w:rsidRPr="00B43F59" w:rsidRDefault="00302BFE" w:rsidP="00243B15">
            <w:pPr>
              <w:pStyle w:val="TableParagraph"/>
              <w:spacing w:before="12" w:line="220" w:lineRule="atLeast"/>
              <w:ind w:left="79" w:right="72"/>
              <w:rPr>
                <w:rFonts w:ascii="Calibri" w:hAnsi="Calibri"/>
                <w:b/>
                <w:sz w:val="16"/>
                <w:lang w:val="fr-CA"/>
              </w:rPr>
            </w:pPr>
            <w:r w:rsidRPr="00B43F59">
              <w:rPr>
                <w:rFonts w:ascii="Calibri" w:hAnsi="Calibri"/>
                <w:b/>
                <w:sz w:val="16"/>
                <w:lang w:val="fr-CA"/>
              </w:rPr>
              <w:t>Les responsabilités organisationnelles en matière de gestion de l'environnement ne sont pas clairement définies</w:t>
            </w:r>
          </w:p>
        </w:tc>
        <w:tc>
          <w:tcPr>
            <w:tcW w:w="567" w:type="dxa"/>
            <w:tcBorders>
              <w:top w:val="single" w:sz="4" w:space="0" w:color="auto"/>
              <w:left w:val="single" w:sz="4" w:space="0" w:color="16459A"/>
              <w:bottom w:val="single" w:sz="4" w:space="0" w:color="16459A"/>
              <w:right w:val="single" w:sz="4" w:space="0" w:color="16459A"/>
            </w:tcBorders>
            <w:shd w:val="clear" w:color="auto" w:fill="auto"/>
            <w:hideMark/>
          </w:tcPr>
          <w:p w14:paraId="7E87BD8C" w14:textId="77777777" w:rsidR="00302BFE" w:rsidRPr="00B43F59" w:rsidRDefault="00302BFE" w:rsidP="00243B15">
            <w:pPr>
              <w:pStyle w:val="TableParagraph"/>
              <w:spacing w:before="37"/>
              <w:ind w:left="79"/>
              <w:rPr>
                <w:rFonts w:ascii="Calibri" w:hAnsi="Calibri"/>
                <w:b/>
                <w:sz w:val="16"/>
              </w:rPr>
            </w:pPr>
            <w:r w:rsidRPr="00B43F59">
              <w:rPr>
                <w:rFonts w:ascii="Calibri" w:hAnsi="Calibri"/>
                <w:b/>
                <w:sz w:val="16"/>
              </w:rPr>
              <w:t>0</w:t>
            </w:r>
          </w:p>
        </w:tc>
        <w:tc>
          <w:tcPr>
            <w:tcW w:w="567" w:type="dxa"/>
            <w:tcBorders>
              <w:top w:val="single" w:sz="4" w:space="0" w:color="auto"/>
              <w:left w:val="single" w:sz="4" w:space="0" w:color="16459A"/>
              <w:bottom w:val="single" w:sz="4" w:space="0" w:color="16459A"/>
              <w:right w:val="single" w:sz="4" w:space="0" w:color="16459A"/>
            </w:tcBorders>
            <w:shd w:val="clear" w:color="auto" w:fill="auto"/>
          </w:tcPr>
          <w:p w14:paraId="387F9E38" w14:textId="77777777" w:rsidR="00302BFE" w:rsidRPr="00B43F59" w:rsidRDefault="00302BFE" w:rsidP="00243B15">
            <w:pPr>
              <w:pStyle w:val="TableParagraph"/>
              <w:rPr>
                <w:rFonts w:ascii="Calibri" w:hAnsi="Calibri"/>
                <w:sz w:val="16"/>
              </w:rPr>
            </w:pPr>
          </w:p>
        </w:tc>
        <w:tc>
          <w:tcPr>
            <w:tcW w:w="567" w:type="dxa"/>
            <w:tcBorders>
              <w:top w:val="single" w:sz="4" w:space="0" w:color="auto"/>
              <w:left w:val="single" w:sz="4" w:space="0" w:color="16459A"/>
              <w:bottom w:val="single" w:sz="4" w:space="0" w:color="16459A"/>
              <w:right w:val="single" w:sz="4" w:space="0" w:color="16459A"/>
            </w:tcBorders>
            <w:shd w:val="clear" w:color="auto" w:fill="auto"/>
          </w:tcPr>
          <w:p w14:paraId="12E595A6" w14:textId="77777777" w:rsidR="00302BFE" w:rsidRPr="00B43F59" w:rsidRDefault="00302BFE" w:rsidP="00243B15">
            <w:pPr>
              <w:pStyle w:val="TableParagraph"/>
              <w:rPr>
                <w:rFonts w:ascii="Calibri" w:hAnsi="Calibri"/>
                <w:sz w:val="16"/>
              </w:rPr>
            </w:pPr>
          </w:p>
        </w:tc>
        <w:tc>
          <w:tcPr>
            <w:tcW w:w="3261" w:type="dxa"/>
            <w:tcBorders>
              <w:top w:val="single" w:sz="4" w:space="0" w:color="auto"/>
              <w:left w:val="single" w:sz="4" w:space="0" w:color="16459A"/>
              <w:bottom w:val="single" w:sz="4" w:space="0" w:color="16459A"/>
              <w:right w:val="single" w:sz="4" w:space="0" w:color="16459A"/>
            </w:tcBorders>
            <w:shd w:val="clear" w:color="auto" w:fill="auto"/>
          </w:tcPr>
          <w:p w14:paraId="0CAAC9D7" w14:textId="77777777" w:rsidR="00302BFE" w:rsidRPr="00B43F59" w:rsidRDefault="00302BFE" w:rsidP="00243B15">
            <w:pPr>
              <w:pStyle w:val="TableParagraph"/>
              <w:rPr>
                <w:rFonts w:ascii="Calibri" w:hAnsi="Calibri"/>
                <w:sz w:val="16"/>
              </w:rPr>
            </w:pPr>
          </w:p>
        </w:tc>
        <w:tc>
          <w:tcPr>
            <w:tcW w:w="3661" w:type="dxa"/>
            <w:tcBorders>
              <w:top w:val="single" w:sz="4" w:space="0" w:color="auto"/>
              <w:left w:val="single" w:sz="4" w:space="0" w:color="16459A"/>
              <w:bottom w:val="single" w:sz="4" w:space="0" w:color="16459A"/>
              <w:right w:val="single" w:sz="4" w:space="0" w:color="16459A"/>
            </w:tcBorders>
            <w:shd w:val="clear" w:color="auto" w:fill="auto"/>
          </w:tcPr>
          <w:p w14:paraId="0F0DE9FE" w14:textId="77777777" w:rsidR="00302BFE" w:rsidRPr="00B43F59" w:rsidRDefault="00302BFE" w:rsidP="00243B15">
            <w:pPr>
              <w:pStyle w:val="TableParagraph"/>
              <w:rPr>
                <w:rFonts w:ascii="Calibri" w:hAnsi="Calibri"/>
                <w:sz w:val="16"/>
              </w:rPr>
            </w:pPr>
          </w:p>
        </w:tc>
      </w:tr>
      <w:tr w:rsidR="00302BFE" w:rsidRPr="00B43F59" w14:paraId="7015C7CE" w14:textId="77777777" w:rsidTr="00243B15">
        <w:trPr>
          <w:trHeight w:val="490"/>
          <w:jc w:val="center"/>
        </w:trPr>
        <w:tc>
          <w:tcPr>
            <w:tcW w:w="1246" w:type="dxa"/>
            <w:vMerge/>
            <w:tcBorders>
              <w:top w:val="single" w:sz="4" w:space="0" w:color="auto"/>
              <w:left w:val="single" w:sz="6" w:space="0" w:color="16459A"/>
              <w:bottom w:val="single" w:sz="4" w:space="0" w:color="16459A"/>
              <w:right w:val="single" w:sz="4" w:space="0" w:color="16459A"/>
            </w:tcBorders>
            <w:shd w:val="clear" w:color="auto" w:fill="auto"/>
            <w:vAlign w:val="center"/>
            <w:hideMark/>
          </w:tcPr>
          <w:p w14:paraId="725B0C7B" w14:textId="77777777" w:rsidR="00302BFE" w:rsidRPr="00B43F59" w:rsidRDefault="00302BFE" w:rsidP="00243B15">
            <w:pPr>
              <w:widowControl w:val="0"/>
              <w:autoSpaceDE w:val="0"/>
              <w:autoSpaceDN w:val="0"/>
              <w:rPr>
                <w:rFonts w:eastAsia="Myriad Pro Light" w:cs="Myriad Pro Light"/>
                <w:b/>
                <w:sz w:val="16"/>
                <w:szCs w:val="22"/>
                <w:lang w:val="fr-CA"/>
              </w:rPr>
            </w:pPr>
          </w:p>
        </w:tc>
        <w:tc>
          <w:tcPr>
            <w:tcW w:w="4297" w:type="dxa"/>
            <w:tcBorders>
              <w:top w:val="single" w:sz="4" w:space="0" w:color="16459A"/>
              <w:left w:val="single" w:sz="4" w:space="0" w:color="16459A"/>
              <w:bottom w:val="single" w:sz="4" w:space="0" w:color="16459A"/>
              <w:right w:val="single" w:sz="4" w:space="0" w:color="16459A"/>
            </w:tcBorders>
            <w:shd w:val="clear" w:color="auto" w:fill="auto"/>
            <w:hideMark/>
          </w:tcPr>
          <w:p w14:paraId="29FAC4AB" w14:textId="77777777" w:rsidR="00302BFE" w:rsidRPr="00B43F59" w:rsidRDefault="00302BFE" w:rsidP="00243B15">
            <w:pPr>
              <w:pStyle w:val="TableParagraph"/>
              <w:spacing w:before="15" w:line="220" w:lineRule="atLeast"/>
              <w:ind w:left="79" w:right="72"/>
              <w:rPr>
                <w:rFonts w:ascii="Calibri" w:hAnsi="Calibri"/>
                <w:b/>
                <w:sz w:val="16"/>
                <w:lang w:val="fr-CA"/>
              </w:rPr>
            </w:pPr>
            <w:r w:rsidRPr="00B43F59">
              <w:rPr>
                <w:rFonts w:ascii="Calibri" w:hAnsi="Calibri"/>
                <w:b/>
                <w:sz w:val="16"/>
                <w:lang w:val="fr-CA"/>
              </w:rPr>
              <w:t>Les responsabilités organisationnelles en matière de gestion de l'environnement sont identifiées</w:t>
            </w:r>
          </w:p>
        </w:tc>
        <w:tc>
          <w:tcPr>
            <w:tcW w:w="567" w:type="dxa"/>
            <w:tcBorders>
              <w:top w:val="single" w:sz="4" w:space="0" w:color="16459A"/>
              <w:left w:val="single" w:sz="4" w:space="0" w:color="16459A"/>
              <w:bottom w:val="single" w:sz="4" w:space="0" w:color="16459A"/>
              <w:right w:val="single" w:sz="4" w:space="0" w:color="16459A"/>
            </w:tcBorders>
            <w:shd w:val="clear" w:color="auto" w:fill="auto"/>
            <w:hideMark/>
          </w:tcPr>
          <w:p w14:paraId="1457A2E0" w14:textId="77777777" w:rsidR="00302BFE" w:rsidRPr="00B43F59" w:rsidRDefault="00302BFE" w:rsidP="00243B15">
            <w:pPr>
              <w:pStyle w:val="TableParagraph"/>
              <w:spacing w:before="39"/>
              <w:ind w:left="79"/>
              <w:rPr>
                <w:rFonts w:ascii="Calibri" w:hAnsi="Calibri"/>
                <w:b/>
                <w:sz w:val="16"/>
              </w:rPr>
            </w:pPr>
            <w:r w:rsidRPr="00B43F59">
              <w:rPr>
                <w:rFonts w:ascii="Calibri" w:hAnsi="Calibri"/>
                <w:b/>
                <w:sz w:val="16"/>
              </w:rPr>
              <w:t>1</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01101B2F"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61EF8934"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tcPr>
          <w:p w14:paraId="3D6F7366" w14:textId="77777777" w:rsidR="00302BFE" w:rsidRPr="00B43F59" w:rsidRDefault="00302BFE" w:rsidP="00243B15">
            <w:pPr>
              <w:pStyle w:val="TableParagraph"/>
              <w:rPr>
                <w:rFonts w:ascii="Calibri" w:hAnsi="Calibri"/>
                <w:sz w:val="16"/>
              </w:rPr>
            </w:pPr>
          </w:p>
        </w:tc>
        <w:tc>
          <w:tcPr>
            <w:tcW w:w="3661" w:type="dxa"/>
            <w:tcBorders>
              <w:top w:val="single" w:sz="4" w:space="0" w:color="16459A"/>
              <w:left w:val="single" w:sz="4" w:space="0" w:color="16459A"/>
              <w:bottom w:val="single" w:sz="4" w:space="0" w:color="16459A"/>
              <w:right w:val="single" w:sz="4" w:space="0" w:color="16459A"/>
            </w:tcBorders>
            <w:shd w:val="clear" w:color="auto" w:fill="auto"/>
          </w:tcPr>
          <w:p w14:paraId="77AAD762" w14:textId="77777777" w:rsidR="00302BFE" w:rsidRPr="00B43F59" w:rsidRDefault="00302BFE" w:rsidP="00243B15">
            <w:pPr>
              <w:pStyle w:val="TableParagraph"/>
              <w:rPr>
                <w:rFonts w:ascii="Calibri" w:hAnsi="Calibri"/>
                <w:sz w:val="16"/>
              </w:rPr>
            </w:pPr>
          </w:p>
        </w:tc>
      </w:tr>
      <w:tr w:rsidR="00302BFE" w:rsidRPr="0099310D" w14:paraId="3A1BBC39" w14:textId="77777777" w:rsidTr="00243B15">
        <w:trPr>
          <w:trHeight w:val="648"/>
          <w:jc w:val="center"/>
        </w:trPr>
        <w:tc>
          <w:tcPr>
            <w:tcW w:w="1246" w:type="dxa"/>
            <w:vMerge/>
            <w:tcBorders>
              <w:top w:val="single" w:sz="4" w:space="0" w:color="auto"/>
              <w:left w:val="single" w:sz="6" w:space="0" w:color="16459A"/>
              <w:bottom w:val="single" w:sz="4" w:space="0" w:color="16459A"/>
              <w:right w:val="single" w:sz="4" w:space="0" w:color="16459A"/>
            </w:tcBorders>
            <w:shd w:val="clear" w:color="auto" w:fill="auto"/>
            <w:vAlign w:val="center"/>
            <w:hideMark/>
          </w:tcPr>
          <w:p w14:paraId="0E9F17C2" w14:textId="77777777" w:rsidR="00302BFE" w:rsidRPr="00B43F59" w:rsidRDefault="00302BFE" w:rsidP="00243B15">
            <w:pPr>
              <w:widowControl w:val="0"/>
              <w:autoSpaceDE w:val="0"/>
              <w:autoSpaceDN w:val="0"/>
              <w:rPr>
                <w:rFonts w:eastAsia="Myriad Pro Light" w:cs="Myriad Pro Light"/>
                <w:b/>
                <w:sz w:val="16"/>
                <w:szCs w:val="22"/>
                <w:lang w:val="fr-CA"/>
              </w:rPr>
            </w:pPr>
          </w:p>
        </w:tc>
        <w:tc>
          <w:tcPr>
            <w:tcW w:w="4297" w:type="dxa"/>
            <w:tcBorders>
              <w:top w:val="single" w:sz="4" w:space="0" w:color="16459A"/>
              <w:left w:val="single" w:sz="4" w:space="0" w:color="16459A"/>
              <w:bottom w:val="single" w:sz="4" w:space="0" w:color="16459A"/>
              <w:right w:val="single" w:sz="4" w:space="0" w:color="16459A"/>
            </w:tcBorders>
            <w:shd w:val="clear" w:color="auto" w:fill="auto"/>
            <w:hideMark/>
          </w:tcPr>
          <w:p w14:paraId="085F32F0" w14:textId="77777777" w:rsidR="00302BFE" w:rsidRPr="00B43F59" w:rsidRDefault="00302BFE" w:rsidP="00243B15">
            <w:pPr>
              <w:pStyle w:val="TableParagraph"/>
              <w:spacing w:before="15" w:line="220" w:lineRule="atLeast"/>
              <w:ind w:left="79" w:right="72"/>
              <w:rPr>
                <w:rFonts w:ascii="Calibri" w:hAnsi="Calibri"/>
                <w:b/>
                <w:sz w:val="16"/>
                <w:lang w:val="fr-CA"/>
              </w:rPr>
            </w:pPr>
            <w:r w:rsidRPr="00B43F59">
              <w:rPr>
                <w:rFonts w:ascii="Calibri" w:hAnsi="Calibri"/>
                <w:b/>
                <w:sz w:val="16"/>
                <w:lang w:val="fr-CA"/>
              </w:rPr>
              <w:t>L’autorité et la légitimité de toutes les organisations responsables de la gestion de l'environnement sont partiellement reconnues par les parties prenantes</w:t>
            </w:r>
          </w:p>
        </w:tc>
        <w:tc>
          <w:tcPr>
            <w:tcW w:w="567" w:type="dxa"/>
            <w:tcBorders>
              <w:top w:val="single" w:sz="4" w:space="0" w:color="16459A"/>
              <w:left w:val="single" w:sz="4" w:space="0" w:color="16459A"/>
              <w:bottom w:val="single" w:sz="4" w:space="0" w:color="16459A"/>
              <w:right w:val="single" w:sz="4" w:space="0" w:color="16459A"/>
            </w:tcBorders>
            <w:shd w:val="clear" w:color="auto" w:fill="FBE4D5"/>
            <w:hideMark/>
          </w:tcPr>
          <w:p w14:paraId="4731E346" w14:textId="77777777" w:rsidR="00302BFE" w:rsidRPr="00B43F59" w:rsidRDefault="00302BFE" w:rsidP="00243B15">
            <w:pPr>
              <w:pStyle w:val="TableParagraph"/>
              <w:spacing w:before="39"/>
              <w:ind w:left="79"/>
              <w:rPr>
                <w:rFonts w:ascii="Calibri" w:hAnsi="Calibri"/>
                <w:b/>
                <w:sz w:val="16"/>
              </w:rPr>
            </w:pPr>
            <w:r w:rsidRPr="00B43F59">
              <w:rPr>
                <w:rFonts w:ascii="Calibri" w:hAnsi="Calibri"/>
                <w:b/>
                <w:sz w:val="16"/>
              </w:rPr>
              <w:t>2</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5FE8D636"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026EB109"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hideMark/>
          </w:tcPr>
          <w:p w14:paraId="6B8A4A75" w14:textId="77777777" w:rsidR="00302BFE" w:rsidRPr="00B43F59" w:rsidRDefault="00302BFE" w:rsidP="00243B15">
            <w:pPr>
              <w:pStyle w:val="TableParagraph"/>
              <w:rPr>
                <w:rFonts w:ascii="Calibri" w:hAnsi="Calibri"/>
                <w:sz w:val="16"/>
                <w:lang w:val="fr-CA"/>
              </w:rPr>
            </w:pPr>
            <w:r w:rsidRPr="00B43F59">
              <w:rPr>
                <w:rFonts w:ascii="Calibri" w:hAnsi="Calibri"/>
                <w:sz w:val="16"/>
                <w:lang w:val="fr-FR"/>
              </w:rPr>
              <w:t>Statuts assez clairs, Conseils d’Administration en place, services centrés et décentrés assez bien organisés, attributions et mandats bien connus. Tous les utilisateurs connaissent les interlocuteurs locaux. Cependant les concessionnaires, les collectivités et les utilisateurs ne connaissent pas bien les structures et leurs rôles</w:t>
            </w:r>
          </w:p>
        </w:tc>
        <w:tc>
          <w:tcPr>
            <w:tcW w:w="3661" w:type="dxa"/>
            <w:tcBorders>
              <w:top w:val="single" w:sz="4" w:space="0" w:color="16459A"/>
              <w:left w:val="single" w:sz="4" w:space="0" w:color="16459A"/>
              <w:bottom w:val="single" w:sz="4" w:space="0" w:color="16459A"/>
              <w:right w:val="single" w:sz="4" w:space="0" w:color="16459A"/>
            </w:tcBorders>
            <w:shd w:val="clear" w:color="auto" w:fill="auto"/>
            <w:hideMark/>
          </w:tcPr>
          <w:p w14:paraId="33576072" w14:textId="77777777" w:rsidR="00302BFE" w:rsidRPr="00B43F59" w:rsidRDefault="00302BFE" w:rsidP="00243B15">
            <w:pPr>
              <w:pStyle w:val="TableParagraph"/>
              <w:rPr>
                <w:rFonts w:ascii="Calibri" w:hAnsi="Calibri"/>
                <w:sz w:val="16"/>
                <w:lang w:val="fr-CA"/>
              </w:rPr>
            </w:pPr>
            <w:r w:rsidRPr="00B43F59">
              <w:rPr>
                <w:rFonts w:ascii="Calibri" w:hAnsi="Calibri"/>
                <w:sz w:val="16"/>
                <w:lang w:val="fr-FR"/>
              </w:rPr>
              <w:t>Communication pour permettre au public de maîtriser les rôles de chaque structure</w:t>
            </w:r>
          </w:p>
        </w:tc>
      </w:tr>
      <w:tr w:rsidR="00302BFE" w:rsidRPr="00B43F59" w14:paraId="3E15A265" w14:textId="77777777" w:rsidTr="00243B15">
        <w:trPr>
          <w:trHeight w:val="710"/>
          <w:jc w:val="center"/>
        </w:trPr>
        <w:tc>
          <w:tcPr>
            <w:tcW w:w="1246" w:type="dxa"/>
            <w:vMerge/>
            <w:tcBorders>
              <w:top w:val="single" w:sz="4" w:space="0" w:color="auto"/>
              <w:left w:val="single" w:sz="6" w:space="0" w:color="16459A"/>
              <w:bottom w:val="single" w:sz="4" w:space="0" w:color="16459A"/>
              <w:right w:val="single" w:sz="4" w:space="0" w:color="16459A"/>
            </w:tcBorders>
            <w:shd w:val="clear" w:color="auto" w:fill="auto"/>
            <w:vAlign w:val="center"/>
            <w:hideMark/>
          </w:tcPr>
          <w:p w14:paraId="5510A322" w14:textId="77777777" w:rsidR="00302BFE" w:rsidRPr="00B43F59" w:rsidRDefault="00302BFE" w:rsidP="00243B15">
            <w:pPr>
              <w:widowControl w:val="0"/>
              <w:autoSpaceDE w:val="0"/>
              <w:autoSpaceDN w:val="0"/>
              <w:rPr>
                <w:rFonts w:eastAsia="Myriad Pro Light" w:cs="Myriad Pro Light"/>
                <w:b/>
                <w:sz w:val="16"/>
                <w:szCs w:val="22"/>
                <w:lang w:val="fr-CA"/>
              </w:rPr>
            </w:pPr>
          </w:p>
        </w:tc>
        <w:tc>
          <w:tcPr>
            <w:tcW w:w="4297" w:type="dxa"/>
            <w:tcBorders>
              <w:top w:val="single" w:sz="4" w:space="0" w:color="16459A"/>
              <w:left w:val="single" w:sz="4" w:space="0" w:color="16459A"/>
              <w:bottom w:val="single" w:sz="4" w:space="0" w:color="16459A"/>
              <w:right w:val="single" w:sz="4" w:space="0" w:color="16459A"/>
            </w:tcBorders>
            <w:shd w:val="clear" w:color="auto" w:fill="auto"/>
            <w:hideMark/>
          </w:tcPr>
          <w:p w14:paraId="7A4F33AD" w14:textId="77777777" w:rsidR="00302BFE" w:rsidRPr="00B43F59" w:rsidRDefault="00302BFE" w:rsidP="00243B15">
            <w:pPr>
              <w:pStyle w:val="TableParagraph"/>
              <w:spacing w:before="15" w:line="220" w:lineRule="atLeast"/>
              <w:ind w:left="79" w:right="72"/>
              <w:rPr>
                <w:rFonts w:ascii="Calibri" w:hAnsi="Calibri"/>
                <w:b/>
                <w:sz w:val="16"/>
                <w:lang w:val="fr-CA"/>
              </w:rPr>
            </w:pPr>
            <w:r w:rsidRPr="00B43F59">
              <w:rPr>
                <w:rFonts w:ascii="Calibri" w:hAnsi="Calibri"/>
                <w:b/>
                <w:sz w:val="16"/>
                <w:lang w:val="fr-CA"/>
              </w:rPr>
              <w:t>L’autorité et la légitimité de toutes les organisations responsables de la gestion de l’environnement sont reconnues par les parties prenantes</w:t>
            </w:r>
          </w:p>
        </w:tc>
        <w:tc>
          <w:tcPr>
            <w:tcW w:w="567" w:type="dxa"/>
            <w:tcBorders>
              <w:top w:val="single" w:sz="4" w:space="0" w:color="16459A"/>
              <w:left w:val="single" w:sz="4" w:space="0" w:color="16459A"/>
              <w:bottom w:val="single" w:sz="4" w:space="0" w:color="16459A"/>
              <w:right w:val="single" w:sz="4" w:space="0" w:color="16459A"/>
            </w:tcBorders>
            <w:shd w:val="clear" w:color="auto" w:fill="auto"/>
            <w:hideMark/>
          </w:tcPr>
          <w:p w14:paraId="4B7E7C5E" w14:textId="77777777" w:rsidR="00302BFE" w:rsidRPr="00B43F59" w:rsidRDefault="00302BFE" w:rsidP="00243B15">
            <w:pPr>
              <w:pStyle w:val="TableParagraph"/>
              <w:spacing w:before="39"/>
              <w:ind w:left="79"/>
              <w:rPr>
                <w:rFonts w:ascii="Calibri" w:hAnsi="Calibri"/>
                <w:b/>
                <w:sz w:val="16"/>
              </w:rPr>
            </w:pPr>
            <w:r w:rsidRPr="00B43F59">
              <w:rPr>
                <w:rFonts w:ascii="Calibri" w:hAnsi="Calibri"/>
                <w:b/>
                <w:sz w:val="16"/>
              </w:rPr>
              <w:t>3</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4E75FA30"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1F0BEDB0"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tcPr>
          <w:p w14:paraId="27AA4225" w14:textId="77777777" w:rsidR="00302BFE" w:rsidRPr="00B43F59" w:rsidRDefault="00302BFE" w:rsidP="00243B15">
            <w:pPr>
              <w:pStyle w:val="TableParagraph"/>
              <w:rPr>
                <w:rFonts w:ascii="Calibri" w:hAnsi="Calibri"/>
                <w:sz w:val="16"/>
              </w:rPr>
            </w:pPr>
          </w:p>
        </w:tc>
        <w:tc>
          <w:tcPr>
            <w:tcW w:w="3661" w:type="dxa"/>
            <w:tcBorders>
              <w:top w:val="single" w:sz="4" w:space="0" w:color="16459A"/>
              <w:left w:val="single" w:sz="4" w:space="0" w:color="16459A"/>
              <w:bottom w:val="single" w:sz="4" w:space="0" w:color="16459A"/>
              <w:right w:val="single" w:sz="4" w:space="0" w:color="16459A"/>
            </w:tcBorders>
            <w:shd w:val="clear" w:color="auto" w:fill="auto"/>
          </w:tcPr>
          <w:p w14:paraId="49B84AAD" w14:textId="77777777" w:rsidR="00302BFE" w:rsidRPr="00B43F59" w:rsidRDefault="00302BFE" w:rsidP="00243B15">
            <w:pPr>
              <w:pStyle w:val="TableParagraph"/>
              <w:rPr>
                <w:rFonts w:ascii="Calibri" w:hAnsi="Calibri"/>
                <w:sz w:val="16"/>
              </w:rPr>
            </w:pPr>
          </w:p>
        </w:tc>
      </w:tr>
      <w:tr w:rsidR="00302BFE" w:rsidRPr="00B43F59" w14:paraId="36B2F418" w14:textId="77777777" w:rsidTr="00243B15">
        <w:trPr>
          <w:trHeight w:val="270"/>
          <w:jc w:val="center"/>
        </w:trPr>
        <w:tc>
          <w:tcPr>
            <w:tcW w:w="1246" w:type="dxa"/>
            <w:vMerge w:val="restart"/>
            <w:tcBorders>
              <w:top w:val="single" w:sz="4" w:space="0" w:color="16459A"/>
              <w:left w:val="single" w:sz="4" w:space="0" w:color="16459A"/>
              <w:bottom w:val="single" w:sz="4" w:space="0" w:color="16459A"/>
              <w:right w:val="single" w:sz="6" w:space="0" w:color="16459A"/>
            </w:tcBorders>
            <w:shd w:val="clear" w:color="auto" w:fill="E0E1F1"/>
            <w:hideMark/>
          </w:tcPr>
          <w:p w14:paraId="5F03C479" w14:textId="77777777" w:rsidR="00302BFE" w:rsidRPr="00B43F59" w:rsidRDefault="00302BFE" w:rsidP="00243B15">
            <w:pPr>
              <w:pStyle w:val="TableParagraph"/>
              <w:rPr>
                <w:rFonts w:ascii="Calibri" w:hAnsi="Calibri"/>
                <w:b/>
                <w:sz w:val="16"/>
                <w:lang w:val="fr-CA"/>
              </w:rPr>
            </w:pPr>
            <w:r w:rsidRPr="00B43F59">
              <w:rPr>
                <w:rFonts w:ascii="Calibri" w:hAnsi="Calibri"/>
                <w:b/>
                <w:sz w:val="16"/>
                <w:lang w:val="fr-CA"/>
              </w:rPr>
              <w:t>Indicateur 2: Existence de mécanismes de cogestion opérationnels</w:t>
            </w:r>
          </w:p>
        </w:tc>
        <w:tc>
          <w:tcPr>
            <w:tcW w:w="4297" w:type="dxa"/>
            <w:tcBorders>
              <w:top w:val="single" w:sz="4" w:space="0" w:color="16459A"/>
              <w:left w:val="single" w:sz="4" w:space="0" w:color="16459A"/>
              <w:bottom w:val="single" w:sz="4" w:space="0" w:color="16459A"/>
              <w:right w:val="single" w:sz="4" w:space="0" w:color="16459A"/>
            </w:tcBorders>
            <w:shd w:val="clear" w:color="auto" w:fill="auto"/>
            <w:hideMark/>
          </w:tcPr>
          <w:p w14:paraId="2E95303F" w14:textId="77777777" w:rsidR="00302BFE" w:rsidRPr="00B43F59" w:rsidRDefault="00302BFE" w:rsidP="00243B15">
            <w:pPr>
              <w:pStyle w:val="TableParagraph"/>
              <w:spacing w:before="39"/>
              <w:ind w:left="79"/>
              <w:rPr>
                <w:rFonts w:ascii="Calibri" w:hAnsi="Calibri"/>
                <w:b/>
                <w:sz w:val="16"/>
                <w:lang w:val="fr-CA"/>
              </w:rPr>
            </w:pPr>
            <w:r w:rsidRPr="00B43F59">
              <w:rPr>
                <w:rFonts w:ascii="Calibri" w:hAnsi="Calibri"/>
                <w:b/>
                <w:sz w:val="16"/>
                <w:lang w:val="fr-CA"/>
              </w:rPr>
              <w:t>Aucun mécanisme de cogestion n'est en place</w:t>
            </w:r>
          </w:p>
        </w:tc>
        <w:tc>
          <w:tcPr>
            <w:tcW w:w="567" w:type="dxa"/>
            <w:tcBorders>
              <w:top w:val="single" w:sz="4" w:space="0" w:color="16459A"/>
              <w:left w:val="single" w:sz="4" w:space="0" w:color="16459A"/>
              <w:bottom w:val="single" w:sz="4" w:space="0" w:color="16459A"/>
              <w:right w:val="single" w:sz="4" w:space="0" w:color="16459A"/>
            </w:tcBorders>
            <w:shd w:val="clear" w:color="auto" w:fill="auto"/>
            <w:hideMark/>
          </w:tcPr>
          <w:p w14:paraId="2C68B602" w14:textId="77777777" w:rsidR="00302BFE" w:rsidRPr="00B43F59" w:rsidRDefault="00302BFE" w:rsidP="00243B15">
            <w:pPr>
              <w:pStyle w:val="TableParagraph"/>
              <w:spacing w:before="39"/>
              <w:ind w:left="79"/>
              <w:rPr>
                <w:rFonts w:ascii="Calibri" w:hAnsi="Calibri"/>
                <w:b/>
                <w:sz w:val="16"/>
              </w:rPr>
            </w:pPr>
            <w:r w:rsidRPr="00B43F59">
              <w:rPr>
                <w:rFonts w:ascii="Calibri" w:hAnsi="Calibri"/>
                <w:b/>
                <w:sz w:val="16"/>
              </w:rPr>
              <w:t>0</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481B2B64"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555C6BCD"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tcPr>
          <w:p w14:paraId="55A07475" w14:textId="77777777" w:rsidR="00302BFE" w:rsidRPr="00B43F59" w:rsidRDefault="00302BFE" w:rsidP="00243B15">
            <w:pPr>
              <w:pStyle w:val="TableParagraph"/>
              <w:rPr>
                <w:rFonts w:ascii="Calibri" w:hAnsi="Calibri"/>
                <w:sz w:val="16"/>
              </w:rPr>
            </w:pPr>
          </w:p>
        </w:tc>
        <w:tc>
          <w:tcPr>
            <w:tcW w:w="3661" w:type="dxa"/>
            <w:tcBorders>
              <w:top w:val="single" w:sz="4" w:space="0" w:color="16459A"/>
              <w:left w:val="single" w:sz="4" w:space="0" w:color="16459A"/>
              <w:bottom w:val="single" w:sz="4" w:space="0" w:color="16459A"/>
              <w:right w:val="single" w:sz="4" w:space="0" w:color="16459A"/>
            </w:tcBorders>
            <w:shd w:val="clear" w:color="auto" w:fill="auto"/>
          </w:tcPr>
          <w:p w14:paraId="07A0964E" w14:textId="77777777" w:rsidR="00302BFE" w:rsidRPr="00B43F59" w:rsidRDefault="00302BFE" w:rsidP="00243B15">
            <w:pPr>
              <w:pStyle w:val="TableParagraph"/>
              <w:rPr>
                <w:rFonts w:ascii="Calibri" w:hAnsi="Calibri"/>
                <w:sz w:val="16"/>
              </w:rPr>
            </w:pPr>
          </w:p>
        </w:tc>
      </w:tr>
      <w:tr w:rsidR="00302BFE" w:rsidRPr="00B43F59" w14:paraId="2CED4EE9" w14:textId="77777777" w:rsidTr="00243B15">
        <w:trPr>
          <w:trHeight w:val="331"/>
          <w:jc w:val="center"/>
        </w:trPr>
        <w:tc>
          <w:tcPr>
            <w:tcW w:w="1246" w:type="dxa"/>
            <w:vMerge/>
            <w:tcBorders>
              <w:top w:val="single" w:sz="4" w:space="0" w:color="16459A"/>
              <w:left w:val="single" w:sz="4" w:space="0" w:color="16459A"/>
              <w:bottom w:val="single" w:sz="4" w:space="0" w:color="16459A"/>
              <w:right w:val="single" w:sz="6" w:space="0" w:color="16459A"/>
            </w:tcBorders>
            <w:shd w:val="clear" w:color="auto" w:fill="auto"/>
            <w:vAlign w:val="center"/>
            <w:hideMark/>
          </w:tcPr>
          <w:p w14:paraId="0A4B1AAF" w14:textId="77777777" w:rsidR="00302BFE" w:rsidRPr="00B43F59" w:rsidRDefault="00302BFE" w:rsidP="00243B15">
            <w:pPr>
              <w:widowControl w:val="0"/>
              <w:autoSpaceDE w:val="0"/>
              <w:autoSpaceDN w:val="0"/>
              <w:rPr>
                <w:rFonts w:eastAsia="Myriad Pro Light" w:cs="Myriad Pro Light"/>
                <w:b/>
                <w:sz w:val="16"/>
                <w:szCs w:val="22"/>
                <w:lang w:val="fr-CA"/>
              </w:rPr>
            </w:pPr>
          </w:p>
        </w:tc>
        <w:tc>
          <w:tcPr>
            <w:tcW w:w="4297" w:type="dxa"/>
            <w:tcBorders>
              <w:top w:val="single" w:sz="4" w:space="0" w:color="16459A"/>
              <w:left w:val="single" w:sz="4" w:space="0" w:color="16459A"/>
              <w:bottom w:val="single" w:sz="4" w:space="0" w:color="16459A"/>
              <w:right w:val="single" w:sz="4" w:space="0" w:color="16459A"/>
            </w:tcBorders>
            <w:shd w:val="clear" w:color="auto" w:fill="auto"/>
            <w:hideMark/>
          </w:tcPr>
          <w:p w14:paraId="7E4B5681" w14:textId="77777777" w:rsidR="00302BFE" w:rsidRPr="00B43F59" w:rsidRDefault="00302BFE" w:rsidP="00243B15">
            <w:pPr>
              <w:pStyle w:val="TableParagraph"/>
              <w:spacing w:before="15" w:line="220" w:lineRule="atLeast"/>
              <w:ind w:left="79" w:right="72"/>
              <w:rPr>
                <w:rFonts w:ascii="Calibri" w:hAnsi="Calibri"/>
                <w:b/>
                <w:sz w:val="16"/>
                <w:lang w:val="fr-CA"/>
              </w:rPr>
            </w:pPr>
            <w:r w:rsidRPr="00B43F59">
              <w:rPr>
                <w:rFonts w:ascii="Calibri" w:hAnsi="Calibri"/>
                <w:b/>
                <w:sz w:val="16"/>
                <w:lang w:val="fr-CA"/>
              </w:rPr>
              <w:t>Certains mécanismes de cogestion sont en place et opérationnels</w:t>
            </w:r>
          </w:p>
        </w:tc>
        <w:tc>
          <w:tcPr>
            <w:tcW w:w="567" w:type="dxa"/>
            <w:tcBorders>
              <w:top w:val="single" w:sz="4" w:space="0" w:color="16459A"/>
              <w:left w:val="single" w:sz="4" w:space="0" w:color="16459A"/>
              <w:bottom w:val="single" w:sz="4" w:space="0" w:color="16459A"/>
              <w:right w:val="single" w:sz="4" w:space="0" w:color="16459A"/>
            </w:tcBorders>
            <w:shd w:val="clear" w:color="auto" w:fill="auto"/>
            <w:hideMark/>
          </w:tcPr>
          <w:p w14:paraId="2B429624" w14:textId="77777777" w:rsidR="00302BFE" w:rsidRPr="00B43F59" w:rsidRDefault="00302BFE" w:rsidP="00243B15">
            <w:pPr>
              <w:pStyle w:val="TableParagraph"/>
              <w:spacing w:before="39"/>
              <w:ind w:left="79"/>
              <w:rPr>
                <w:rFonts w:ascii="Calibri" w:hAnsi="Calibri"/>
                <w:b/>
                <w:sz w:val="16"/>
              </w:rPr>
            </w:pPr>
            <w:r w:rsidRPr="00B43F59">
              <w:rPr>
                <w:rFonts w:ascii="Calibri" w:hAnsi="Calibri"/>
                <w:b/>
                <w:sz w:val="16"/>
              </w:rPr>
              <w:t>1</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34869F8C"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2BA387BE"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tcPr>
          <w:p w14:paraId="3B9B3B3F" w14:textId="77777777" w:rsidR="00302BFE" w:rsidRPr="00B43F59" w:rsidRDefault="00302BFE" w:rsidP="00243B15">
            <w:pPr>
              <w:pStyle w:val="TableParagraph"/>
              <w:rPr>
                <w:rFonts w:ascii="Calibri" w:hAnsi="Calibri"/>
                <w:sz w:val="16"/>
              </w:rPr>
            </w:pPr>
          </w:p>
        </w:tc>
        <w:tc>
          <w:tcPr>
            <w:tcW w:w="3661" w:type="dxa"/>
            <w:tcBorders>
              <w:top w:val="single" w:sz="4" w:space="0" w:color="16459A"/>
              <w:left w:val="single" w:sz="4" w:space="0" w:color="16459A"/>
              <w:bottom w:val="single" w:sz="4" w:space="0" w:color="16459A"/>
              <w:right w:val="single" w:sz="4" w:space="0" w:color="16459A"/>
            </w:tcBorders>
            <w:shd w:val="clear" w:color="auto" w:fill="auto"/>
          </w:tcPr>
          <w:p w14:paraId="4D3CB4B4" w14:textId="77777777" w:rsidR="00302BFE" w:rsidRPr="00B43F59" w:rsidRDefault="00302BFE" w:rsidP="00243B15">
            <w:pPr>
              <w:pStyle w:val="TableParagraph"/>
              <w:rPr>
                <w:rFonts w:ascii="Calibri" w:hAnsi="Calibri"/>
                <w:sz w:val="16"/>
              </w:rPr>
            </w:pPr>
          </w:p>
        </w:tc>
      </w:tr>
      <w:tr w:rsidR="00302BFE" w:rsidRPr="0099310D" w14:paraId="1D8FC494" w14:textId="77777777" w:rsidTr="00243B15">
        <w:trPr>
          <w:trHeight w:val="437"/>
          <w:jc w:val="center"/>
        </w:trPr>
        <w:tc>
          <w:tcPr>
            <w:tcW w:w="1246" w:type="dxa"/>
            <w:vMerge/>
            <w:tcBorders>
              <w:top w:val="single" w:sz="4" w:space="0" w:color="16459A"/>
              <w:left w:val="single" w:sz="4" w:space="0" w:color="16459A"/>
              <w:bottom w:val="single" w:sz="4" w:space="0" w:color="16459A"/>
              <w:right w:val="single" w:sz="6" w:space="0" w:color="16459A"/>
            </w:tcBorders>
            <w:shd w:val="clear" w:color="auto" w:fill="auto"/>
            <w:vAlign w:val="center"/>
            <w:hideMark/>
          </w:tcPr>
          <w:p w14:paraId="26F8FB3E" w14:textId="77777777" w:rsidR="00302BFE" w:rsidRPr="00B43F59" w:rsidRDefault="00302BFE" w:rsidP="00243B15">
            <w:pPr>
              <w:widowControl w:val="0"/>
              <w:autoSpaceDE w:val="0"/>
              <w:autoSpaceDN w:val="0"/>
              <w:rPr>
                <w:rFonts w:eastAsia="Myriad Pro Light" w:cs="Myriad Pro Light"/>
                <w:b/>
                <w:sz w:val="16"/>
                <w:szCs w:val="22"/>
                <w:lang w:val="fr-CA"/>
              </w:rPr>
            </w:pPr>
          </w:p>
        </w:tc>
        <w:tc>
          <w:tcPr>
            <w:tcW w:w="4297" w:type="dxa"/>
            <w:tcBorders>
              <w:top w:val="single" w:sz="4" w:space="0" w:color="16459A"/>
              <w:left w:val="single" w:sz="4" w:space="0" w:color="16459A"/>
              <w:bottom w:val="single" w:sz="4" w:space="0" w:color="16459A"/>
              <w:right w:val="single" w:sz="4" w:space="0" w:color="16459A"/>
            </w:tcBorders>
            <w:shd w:val="clear" w:color="auto" w:fill="auto"/>
            <w:hideMark/>
          </w:tcPr>
          <w:p w14:paraId="38CB2EA6" w14:textId="77777777" w:rsidR="00302BFE" w:rsidRPr="00B43F59" w:rsidRDefault="00302BFE" w:rsidP="00243B15">
            <w:pPr>
              <w:pStyle w:val="TableParagraph"/>
              <w:spacing w:before="15" w:line="220" w:lineRule="atLeast"/>
              <w:ind w:left="79" w:right="170"/>
              <w:rPr>
                <w:rFonts w:ascii="Calibri" w:hAnsi="Calibri"/>
                <w:b/>
                <w:sz w:val="16"/>
                <w:lang w:val="fr-CA"/>
              </w:rPr>
            </w:pPr>
            <w:r w:rsidRPr="00B43F59">
              <w:rPr>
                <w:rFonts w:ascii="Calibri" w:hAnsi="Calibri"/>
                <w:b/>
                <w:sz w:val="16"/>
                <w:lang w:val="fr-CA"/>
              </w:rPr>
              <w:t>Certains mécanismes de cogestion sont formellement établis par des accords, des protocoles d'accord (MoU), etc.</w:t>
            </w:r>
          </w:p>
        </w:tc>
        <w:tc>
          <w:tcPr>
            <w:tcW w:w="567" w:type="dxa"/>
            <w:tcBorders>
              <w:top w:val="single" w:sz="4" w:space="0" w:color="16459A"/>
              <w:left w:val="single" w:sz="4" w:space="0" w:color="16459A"/>
              <w:bottom w:val="single" w:sz="4" w:space="0" w:color="16459A"/>
              <w:right w:val="single" w:sz="4" w:space="0" w:color="16459A"/>
            </w:tcBorders>
            <w:shd w:val="clear" w:color="auto" w:fill="FBE4D5"/>
            <w:hideMark/>
          </w:tcPr>
          <w:p w14:paraId="65C967D3" w14:textId="77777777" w:rsidR="00302BFE" w:rsidRPr="00B43F59" w:rsidRDefault="00302BFE" w:rsidP="00243B15">
            <w:pPr>
              <w:pStyle w:val="TableParagraph"/>
              <w:spacing w:before="39"/>
              <w:ind w:left="79"/>
              <w:rPr>
                <w:rFonts w:ascii="Calibri" w:hAnsi="Calibri"/>
                <w:b/>
                <w:sz w:val="16"/>
              </w:rPr>
            </w:pPr>
            <w:r w:rsidRPr="00B43F59">
              <w:rPr>
                <w:rFonts w:ascii="Calibri" w:hAnsi="Calibri"/>
                <w:b/>
                <w:sz w:val="16"/>
              </w:rPr>
              <w:t>2</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7AA0FB77"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0CDC0111"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hideMark/>
          </w:tcPr>
          <w:p w14:paraId="6F218DF7" w14:textId="77777777" w:rsidR="00302BFE" w:rsidRPr="00B43F59" w:rsidRDefault="00302BFE" w:rsidP="00243B15">
            <w:pPr>
              <w:pStyle w:val="TableParagraph"/>
              <w:rPr>
                <w:rFonts w:ascii="Calibri" w:hAnsi="Calibri"/>
                <w:sz w:val="16"/>
                <w:lang w:val="fr-CA"/>
              </w:rPr>
            </w:pPr>
            <w:r w:rsidRPr="00B43F59">
              <w:rPr>
                <w:rFonts w:ascii="Calibri" w:hAnsi="Calibri"/>
                <w:sz w:val="16"/>
                <w:lang w:val="fr-CA"/>
              </w:rPr>
              <w:t xml:space="preserve">Des protocoles d’accord </w:t>
            </w:r>
            <w:r w:rsidRPr="00B43F59">
              <w:rPr>
                <w:rFonts w:ascii="Calibri" w:hAnsi="Calibri"/>
                <w:sz w:val="16"/>
                <w:lang w:val="fr-FR"/>
              </w:rPr>
              <w:t xml:space="preserve">de partenariat </w:t>
            </w:r>
            <w:r w:rsidRPr="00B43F59">
              <w:rPr>
                <w:rFonts w:ascii="Calibri" w:hAnsi="Calibri"/>
                <w:sz w:val="16"/>
                <w:lang w:val="fr-CA"/>
              </w:rPr>
              <w:t>existent avec les groupements villageois, les concessionnaires</w:t>
            </w:r>
            <w:r w:rsidRPr="00B43F59">
              <w:rPr>
                <w:rFonts w:ascii="Calibri" w:hAnsi="Calibri"/>
                <w:sz w:val="16"/>
                <w:lang w:val="fr-FR"/>
              </w:rPr>
              <w:t xml:space="preserve"> et autres acteurs de la gestion. Cependant, la cogestion n’est pas tout à fait effective, quoique très avancée puisque les associations, des groupements, les CVGF participant à la gestion.</w:t>
            </w:r>
          </w:p>
        </w:tc>
        <w:tc>
          <w:tcPr>
            <w:tcW w:w="3661" w:type="dxa"/>
            <w:tcBorders>
              <w:top w:val="single" w:sz="4" w:space="0" w:color="16459A"/>
              <w:left w:val="single" w:sz="4" w:space="0" w:color="16459A"/>
              <w:bottom w:val="single" w:sz="4" w:space="0" w:color="16459A"/>
              <w:right w:val="single" w:sz="4" w:space="0" w:color="16459A"/>
            </w:tcBorders>
            <w:shd w:val="clear" w:color="auto" w:fill="auto"/>
          </w:tcPr>
          <w:p w14:paraId="75501DAF" w14:textId="77777777" w:rsidR="00302BFE" w:rsidRPr="00B43F59" w:rsidRDefault="00302BFE" w:rsidP="00243B15">
            <w:pPr>
              <w:pStyle w:val="TableParagraph"/>
              <w:rPr>
                <w:rFonts w:ascii="Calibri" w:hAnsi="Calibri"/>
                <w:sz w:val="16"/>
                <w:lang w:val="fr-CA"/>
              </w:rPr>
            </w:pPr>
          </w:p>
        </w:tc>
      </w:tr>
      <w:tr w:rsidR="00302BFE" w:rsidRPr="00B43F59" w14:paraId="35C063B9" w14:textId="77777777" w:rsidTr="00243B15">
        <w:trPr>
          <w:trHeight w:val="400"/>
          <w:jc w:val="center"/>
        </w:trPr>
        <w:tc>
          <w:tcPr>
            <w:tcW w:w="1246" w:type="dxa"/>
            <w:vMerge/>
            <w:tcBorders>
              <w:top w:val="single" w:sz="4" w:space="0" w:color="16459A"/>
              <w:left w:val="single" w:sz="4" w:space="0" w:color="16459A"/>
              <w:bottom w:val="single" w:sz="4" w:space="0" w:color="16459A"/>
              <w:right w:val="single" w:sz="6" w:space="0" w:color="16459A"/>
            </w:tcBorders>
            <w:shd w:val="clear" w:color="auto" w:fill="auto"/>
            <w:vAlign w:val="center"/>
            <w:hideMark/>
          </w:tcPr>
          <w:p w14:paraId="2F751AF0" w14:textId="77777777" w:rsidR="00302BFE" w:rsidRPr="00B43F59" w:rsidRDefault="00302BFE" w:rsidP="00243B15">
            <w:pPr>
              <w:widowControl w:val="0"/>
              <w:autoSpaceDE w:val="0"/>
              <w:autoSpaceDN w:val="0"/>
              <w:rPr>
                <w:rFonts w:eastAsia="Myriad Pro Light" w:cs="Myriad Pro Light"/>
                <w:b/>
                <w:sz w:val="16"/>
                <w:szCs w:val="22"/>
                <w:lang w:val="fr-CA"/>
              </w:rPr>
            </w:pPr>
          </w:p>
        </w:tc>
        <w:tc>
          <w:tcPr>
            <w:tcW w:w="4297" w:type="dxa"/>
            <w:tcBorders>
              <w:top w:val="single" w:sz="4" w:space="0" w:color="16459A"/>
              <w:left w:val="single" w:sz="4" w:space="0" w:color="16459A"/>
              <w:bottom w:val="single" w:sz="4" w:space="0" w:color="16459A"/>
              <w:right w:val="single" w:sz="4" w:space="0" w:color="16459A"/>
            </w:tcBorders>
            <w:shd w:val="clear" w:color="auto" w:fill="auto"/>
            <w:hideMark/>
          </w:tcPr>
          <w:p w14:paraId="3A97335E" w14:textId="77777777" w:rsidR="00302BFE" w:rsidRPr="00B43F59" w:rsidRDefault="00302BFE" w:rsidP="00243B15">
            <w:pPr>
              <w:pStyle w:val="TableParagraph"/>
              <w:spacing w:before="15" w:line="220" w:lineRule="atLeast"/>
              <w:ind w:left="79" w:right="72"/>
              <w:rPr>
                <w:rFonts w:ascii="Calibri" w:hAnsi="Calibri"/>
                <w:b/>
                <w:sz w:val="16"/>
                <w:lang w:val="fr-CA"/>
              </w:rPr>
            </w:pPr>
            <w:r w:rsidRPr="00B43F59">
              <w:rPr>
                <w:rFonts w:ascii="Calibri" w:hAnsi="Calibri"/>
                <w:b/>
                <w:sz w:val="16"/>
                <w:lang w:val="fr-CA"/>
              </w:rPr>
              <w:t>Des mécanismes complets de cogestion sont officiellement mis en place et sont opérationnels / fonctionnels</w:t>
            </w:r>
          </w:p>
        </w:tc>
        <w:tc>
          <w:tcPr>
            <w:tcW w:w="567" w:type="dxa"/>
            <w:tcBorders>
              <w:top w:val="single" w:sz="4" w:space="0" w:color="16459A"/>
              <w:left w:val="single" w:sz="4" w:space="0" w:color="16459A"/>
              <w:bottom w:val="single" w:sz="4" w:space="0" w:color="16459A"/>
              <w:right w:val="single" w:sz="4" w:space="0" w:color="16459A"/>
            </w:tcBorders>
            <w:shd w:val="clear" w:color="auto" w:fill="auto"/>
            <w:hideMark/>
          </w:tcPr>
          <w:p w14:paraId="559A703E" w14:textId="77777777" w:rsidR="00302BFE" w:rsidRPr="00B43F59" w:rsidRDefault="00302BFE" w:rsidP="00243B15">
            <w:pPr>
              <w:pStyle w:val="TableParagraph"/>
              <w:spacing w:before="39"/>
              <w:ind w:left="79"/>
              <w:rPr>
                <w:rFonts w:ascii="Calibri" w:hAnsi="Calibri"/>
                <w:b/>
                <w:sz w:val="16"/>
              </w:rPr>
            </w:pPr>
            <w:r w:rsidRPr="00B43F59">
              <w:rPr>
                <w:rFonts w:ascii="Calibri" w:hAnsi="Calibri"/>
                <w:b/>
                <w:sz w:val="16"/>
              </w:rPr>
              <w:t>3</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20D0E539"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08F6885D"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tcPr>
          <w:p w14:paraId="74DA044A" w14:textId="77777777" w:rsidR="00302BFE" w:rsidRPr="00B43F59" w:rsidRDefault="00302BFE" w:rsidP="00243B15">
            <w:pPr>
              <w:pStyle w:val="TableParagraph"/>
              <w:rPr>
                <w:rFonts w:ascii="Calibri" w:hAnsi="Calibri"/>
                <w:sz w:val="16"/>
              </w:rPr>
            </w:pPr>
          </w:p>
        </w:tc>
        <w:tc>
          <w:tcPr>
            <w:tcW w:w="3661" w:type="dxa"/>
            <w:tcBorders>
              <w:top w:val="single" w:sz="4" w:space="0" w:color="16459A"/>
              <w:left w:val="single" w:sz="4" w:space="0" w:color="16459A"/>
              <w:bottom w:val="single" w:sz="4" w:space="0" w:color="16459A"/>
              <w:right w:val="single" w:sz="4" w:space="0" w:color="16459A"/>
            </w:tcBorders>
            <w:shd w:val="clear" w:color="auto" w:fill="auto"/>
          </w:tcPr>
          <w:p w14:paraId="6AE38709" w14:textId="77777777" w:rsidR="00302BFE" w:rsidRPr="00B43F59" w:rsidRDefault="00302BFE" w:rsidP="00243B15">
            <w:pPr>
              <w:pStyle w:val="TableParagraph"/>
              <w:rPr>
                <w:rFonts w:ascii="Calibri" w:hAnsi="Calibri"/>
                <w:sz w:val="16"/>
              </w:rPr>
            </w:pPr>
          </w:p>
        </w:tc>
      </w:tr>
      <w:tr w:rsidR="00302BFE" w:rsidRPr="00B43F59" w14:paraId="03E85FE0" w14:textId="77777777" w:rsidTr="00243B15">
        <w:trPr>
          <w:trHeight w:val="350"/>
          <w:jc w:val="center"/>
        </w:trPr>
        <w:tc>
          <w:tcPr>
            <w:tcW w:w="1246" w:type="dxa"/>
            <w:vMerge w:val="restart"/>
            <w:tcBorders>
              <w:top w:val="single" w:sz="4" w:space="0" w:color="16459A"/>
              <w:left w:val="single" w:sz="6" w:space="0" w:color="16459A"/>
              <w:bottom w:val="single" w:sz="4" w:space="0" w:color="16459A"/>
              <w:right w:val="single" w:sz="4" w:space="0" w:color="16459A"/>
            </w:tcBorders>
            <w:shd w:val="clear" w:color="auto" w:fill="E0E1F1"/>
            <w:hideMark/>
          </w:tcPr>
          <w:p w14:paraId="30BE8900" w14:textId="77777777" w:rsidR="00302BFE" w:rsidRPr="00B43F59" w:rsidRDefault="00302BFE" w:rsidP="00243B15">
            <w:pPr>
              <w:pStyle w:val="TableParagraph"/>
              <w:rPr>
                <w:rFonts w:ascii="Calibri" w:hAnsi="Calibri"/>
                <w:b/>
                <w:sz w:val="16"/>
                <w:lang w:val="fr-CA"/>
              </w:rPr>
            </w:pPr>
            <w:r w:rsidRPr="00B43F59">
              <w:rPr>
                <w:rFonts w:ascii="Calibri" w:hAnsi="Calibri"/>
                <w:b/>
                <w:sz w:val="16"/>
                <w:lang w:val="fr-CA"/>
              </w:rPr>
              <w:t xml:space="preserve">Indicateur 3: Existence d'une </w:t>
            </w:r>
            <w:r w:rsidRPr="00B43F59">
              <w:rPr>
                <w:rFonts w:ascii="Calibri" w:hAnsi="Calibri"/>
                <w:b/>
                <w:sz w:val="16"/>
                <w:lang w:val="fr-CA"/>
              </w:rPr>
              <w:lastRenderedPageBreak/>
              <w:t>coopération avec les groupes de parties prenantes</w:t>
            </w:r>
          </w:p>
        </w:tc>
        <w:tc>
          <w:tcPr>
            <w:tcW w:w="4297" w:type="dxa"/>
            <w:tcBorders>
              <w:top w:val="single" w:sz="4" w:space="0" w:color="16459A"/>
              <w:left w:val="single" w:sz="4" w:space="0" w:color="16459A"/>
              <w:bottom w:val="single" w:sz="4" w:space="0" w:color="16459A"/>
              <w:right w:val="single" w:sz="4" w:space="0" w:color="16459A"/>
            </w:tcBorders>
            <w:shd w:val="clear" w:color="auto" w:fill="auto"/>
            <w:hideMark/>
          </w:tcPr>
          <w:p w14:paraId="189A81D8" w14:textId="77777777" w:rsidR="00302BFE" w:rsidRPr="00B43F59" w:rsidRDefault="00302BFE" w:rsidP="00243B15">
            <w:pPr>
              <w:pStyle w:val="TableParagraph"/>
              <w:spacing w:before="15" w:line="220" w:lineRule="atLeast"/>
              <w:ind w:left="79" w:right="170"/>
              <w:rPr>
                <w:rFonts w:ascii="Calibri" w:hAnsi="Calibri"/>
                <w:b/>
                <w:sz w:val="16"/>
                <w:lang w:val="fr-CA"/>
              </w:rPr>
            </w:pPr>
            <w:r w:rsidRPr="00B43F59">
              <w:rPr>
                <w:rFonts w:ascii="Calibri" w:hAnsi="Calibri"/>
                <w:b/>
                <w:sz w:val="16"/>
                <w:lang w:val="fr-CA"/>
              </w:rPr>
              <w:lastRenderedPageBreak/>
              <w:t>L'identification des parties prenantes et de leur participation / implication dans la prise de décision est faible</w:t>
            </w:r>
          </w:p>
        </w:tc>
        <w:tc>
          <w:tcPr>
            <w:tcW w:w="567" w:type="dxa"/>
            <w:tcBorders>
              <w:top w:val="single" w:sz="4" w:space="0" w:color="16459A"/>
              <w:left w:val="single" w:sz="4" w:space="0" w:color="16459A"/>
              <w:bottom w:val="single" w:sz="4" w:space="0" w:color="16459A"/>
              <w:right w:val="single" w:sz="4" w:space="0" w:color="16459A"/>
            </w:tcBorders>
            <w:shd w:val="clear" w:color="auto" w:fill="auto"/>
            <w:hideMark/>
          </w:tcPr>
          <w:p w14:paraId="7A7401D3" w14:textId="77777777" w:rsidR="00302BFE" w:rsidRPr="00B43F59" w:rsidRDefault="00302BFE" w:rsidP="00243B15">
            <w:pPr>
              <w:pStyle w:val="TableParagraph"/>
              <w:spacing w:before="39"/>
              <w:ind w:left="79"/>
              <w:rPr>
                <w:rFonts w:ascii="Calibri" w:hAnsi="Calibri"/>
                <w:b/>
                <w:sz w:val="16"/>
              </w:rPr>
            </w:pPr>
            <w:r w:rsidRPr="00B43F59">
              <w:rPr>
                <w:rFonts w:ascii="Calibri" w:hAnsi="Calibri"/>
                <w:b/>
                <w:sz w:val="16"/>
              </w:rPr>
              <w:t>0</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4F76EAFF"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20220F7B"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tcPr>
          <w:p w14:paraId="55B8A92A" w14:textId="77777777" w:rsidR="00302BFE" w:rsidRPr="00B43F59" w:rsidRDefault="00302BFE" w:rsidP="00243B15">
            <w:pPr>
              <w:pStyle w:val="TableParagraph"/>
              <w:rPr>
                <w:rFonts w:ascii="Calibri" w:hAnsi="Calibri"/>
                <w:sz w:val="16"/>
              </w:rPr>
            </w:pPr>
          </w:p>
        </w:tc>
        <w:tc>
          <w:tcPr>
            <w:tcW w:w="3661" w:type="dxa"/>
            <w:tcBorders>
              <w:top w:val="single" w:sz="4" w:space="0" w:color="16459A"/>
              <w:left w:val="single" w:sz="4" w:space="0" w:color="16459A"/>
              <w:bottom w:val="single" w:sz="4" w:space="0" w:color="16459A"/>
              <w:right w:val="single" w:sz="4" w:space="0" w:color="16459A"/>
            </w:tcBorders>
            <w:shd w:val="clear" w:color="auto" w:fill="auto"/>
          </w:tcPr>
          <w:p w14:paraId="283E950A" w14:textId="77777777" w:rsidR="00302BFE" w:rsidRPr="00B43F59" w:rsidRDefault="00302BFE" w:rsidP="00243B15">
            <w:pPr>
              <w:pStyle w:val="TableParagraph"/>
              <w:rPr>
                <w:rFonts w:ascii="Calibri" w:hAnsi="Calibri"/>
                <w:sz w:val="16"/>
              </w:rPr>
            </w:pPr>
          </w:p>
        </w:tc>
      </w:tr>
      <w:tr w:rsidR="00302BFE" w:rsidRPr="00B43F59" w14:paraId="7CD4384A" w14:textId="77777777" w:rsidTr="00243B15">
        <w:trPr>
          <w:trHeight w:val="443"/>
          <w:jc w:val="center"/>
        </w:trPr>
        <w:tc>
          <w:tcPr>
            <w:tcW w:w="1246" w:type="dxa"/>
            <w:vMerge/>
            <w:tcBorders>
              <w:top w:val="single" w:sz="4" w:space="0" w:color="16459A"/>
              <w:left w:val="single" w:sz="6" w:space="0" w:color="16459A"/>
              <w:bottom w:val="single" w:sz="4" w:space="0" w:color="16459A"/>
              <w:right w:val="single" w:sz="4" w:space="0" w:color="16459A"/>
            </w:tcBorders>
            <w:shd w:val="clear" w:color="auto" w:fill="auto"/>
            <w:vAlign w:val="center"/>
            <w:hideMark/>
          </w:tcPr>
          <w:p w14:paraId="04B2D38B" w14:textId="77777777" w:rsidR="00302BFE" w:rsidRPr="00B43F59" w:rsidRDefault="00302BFE" w:rsidP="00243B15">
            <w:pPr>
              <w:widowControl w:val="0"/>
              <w:autoSpaceDE w:val="0"/>
              <w:autoSpaceDN w:val="0"/>
              <w:rPr>
                <w:rFonts w:eastAsia="Myriad Pro Light" w:cs="Myriad Pro Light"/>
                <w:b/>
                <w:sz w:val="16"/>
                <w:szCs w:val="22"/>
                <w:lang w:val="fr-CA"/>
              </w:rPr>
            </w:pPr>
          </w:p>
        </w:tc>
        <w:tc>
          <w:tcPr>
            <w:tcW w:w="4297" w:type="dxa"/>
            <w:tcBorders>
              <w:top w:val="single" w:sz="4" w:space="0" w:color="16459A"/>
              <w:left w:val="single" w:sz="4" w:space="0" w:color="16459A"/>
              <w:bottom w:val="single" w:sz="4" w:space="0" w:color="16459A"/>
              <w:right w:val="single" w:sz="4" w:space="0" w:color="16459A"/>
            </w:tcBorders>
            <w:shd w:val="clear" w:color="auto" w:fill="auto"/>
            <w:hideMark/>
          </w:tcPr>
          <w:p w14:paraId="5B6A33B1" w14:textId="77777777" w:rsidR="00302BFE" w:rsidRPr="00B43F59" w:rsidRDefault="00302BFE" w:rsidP="00243B15">
            <w:pPr>
              <w:pStyle w:val="TableParagraph"/>
              <w:spacing w:before="15" w:line="220" w:lineRule="atLeast"/>
              <w:ind w:left="79" w:right="434"/>
              <w:rPr>
                <w:rFonts w:ascii="Calibri" w:hAnsi="Calibri"/>
                <w:b/>
                <w:sz w:val="16"/>
                <w:lang w:val="fr-CA"/>
              </w:rPr>
            </w:pPr>
            <w:r w:rsidRPr="00B43F59">
              <w:rPr>
                <w:rFonts w:ascii="Calibri" w:hAnsi="Calibri"/>
                <w:b/>
                <w:sz w:val="16"/>
                <w:lang w:val="fr-CA"/>
              </w:rPr>
              <w:t>Les parties prenantes sont identifiées mais leur participation à la prise de décision est limitée</w:t>
            </w:r>
          </w:p>
        </w:tc>
        <w:tc>
          <w:tcPr>
            <w:tcW w:w="567" w:type="dxa"/>
            <w:tcBorders>
              <w:top w:val="single" w:sz="4" w:space="0" w:color="16459A"/>
              <w:left w:val="single" w:sz="4" w:space="0" w:color="16459A"/>
              <w:bottom w:val="single" w:sz="4" w:space="0" w:color="16459A"/>
              <w:right w:val="single" w:sz="4" w:space="0" w:color="16459A"/>
            </w:tcBorders>
            <w:shd w:val="clear" w:color="auto" w:fill="auto"/>
            <w:hideMark/>
          </w:tcPr>
          <w:p w14:paraId="144DEFFC" w14:textId="77777777" w:rsidR="00302BFE" w:rsidRPr="00B43F59" w:rsidRDefault="00302BFE" w:rsidP="00243B15">
            <w:pPr>
              <w:pStyle w:val="TableParagraph"/>
              <w:spacing w:before="39"/>
              <w:ind w:left="79"/>
              <w:rPr>
                <w:rFonts w:ascii="Calibri" w:hAnsi="Calibri"/>
                <w:b/>
                <w:sz w:val="16"/>
              </w:rPr>
            </w:pPr>
            <w:r w:rsidRPr="00B43F59">
              <w:rPr>
                <w:rFonts w:ascii="Calibri" w:hAnsi="Calibri"/>
                <w:b/>
                <w:sz w:val="16"/>
              </w:rPr>
              <w:t>1</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0CFC527E"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46F56B3D"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tcPr>
          <w:p w14:paraId="501FD73B" w14:textId="77777777" w:rsidR="00302BFE" w:rsidRPr="00B43F59" w:rsidRDefault="00302BFE" w:rsidP="00243B15">
            <w:pPr>
              <w:pStyle w:val="TableParagraph"/>
              <w:rPr>
                <w:rFonts w:ascii="Calibri" w:hAnsi="Calibri"/>
                <w:sz w:val="16"/>
                <w:lang w:val="fr-CA"/>
              </w:rPr>
            </w:pPr>
          </w:p>
        </w:tc>
        <w:tc>
          <w:tcPr>
            <w:tcW w:w="3661" w:type="dxa"/>
            <w:tcBorders>
              <w:top w:val="single" w:sz="4" w:space="0" w:color="16459A"/>
              <w:left w:val="single" w:sz="4" w:space="0" w:color="16459A"/>
              <w:bottom w:val="single" w:sz="4" w:space="0" w:color="16459A"/>
              <w:right w:val="single" w:sz="4" w:space="0" w:color="16459A"/>
            </w:tcBorders>
            <w:shd w:val="clear" w:color="auto" w:fill="auto"/>
          </w:tcPr>
          <w:p w14:paraId="7090C4A1" w14:textId="77777777" w:rsidR="00302BFE" w:rsidRPr="00B43F59" w:rsidRDefault="00302BFE" w:rsidP="00243B15">
            <w:pPr>
              <w:pStyle w:val="TableParagraph"/>
              <w:rPr>
                <w:rFonts w:ascii="Calibri" w:hAnsi="Calibri"/>
                <w:sz w:val="16"/>
                <w:lang w:val="fr-CA"/>
              </w:rPr>
            </w:pPr>
          </w:p>
        </w:tc>
      </w:tr>
      <w:tr w:rsidR="00302BFE" w:rsidRPr="0099310D" w14:paraId="302604CB" w14:textId="77777777" w:rsidTr="00243B15">
        <w:trPr>
          <w:trHeight w:val="487"/>
          <w:jc w:val="center"/>
        </w:trPr>
        <w:tc>
          <w:tcPr>
            <w:tcW w:w="1246" w:type="dxa"/>
            <w:vMerge/>
            <w:tcBorders>
              <w:top w:val="single" w:sz="4" w:space="0" w:color="16459A"/>
              <w:left w:val="single" w:sz="6" w:space="0" w:color="16459A"/>
              <w:bottom w:val="single" w:sz="4" w:space="0" w:color="16459A"/>
              <w:right w:val="single" w:sz="4" w:space="0" w:color="16459A"/>
            </w:tcBorders>
            <w:shd w:val="clear" w:color="auto" w:fill="auto"/>
            <w:vAlign w:val="center"/>
            <w:hideMark/>
          </w:tcPr>
          <w:p w14:paraId="74806CFC" w14:textId="77777777" w:rsidR="00302BFE" w:rsidRPr="00B43F59" w:rsidRDefault="00302BFE" w:rsidP="00243B15">
            <w:pPr>
              <w:widowControl w:val="0"/>
              <w:autoSpaceDE w:val="0"/>
              <w:autoSpaceDN w:val="0"/>
              <w:rPr>
                <w:rFonts w:eastAsia="Myriad Pro Light" w:cs="Myriad Pro Light"/>
                <w:b/>
                <w:sz w:val="16"/>
                <w:szCs w:val="22"/>
                <w:lang w:val="fr-CA"/>
              </w:rPr>
            </w:pPr>
          </w:p>
        </w:tc>
        <w:tc>
          <w:tcPr>
            <w:tcW w:w="4297" w:type="dxa"/>
            <w:tcBorders>
              <w:top w:val="single" w:sz="4" w:space="0" w:color="16459A"/>
              <w:left w:val="single" w:sz="4" w:space="0" w:color="16459A"/>
              <w:bottom w:val="single" w:sz="6" w:space="0" w:color="16459A"/>
              <w:right w:val="single" w:sz="4" w:space="0" w:color="16459A"/>
            </w:tcBorders>
            <w:shd w:val="clear" w:color="auto" w:fill="auto"/>
            <w:hideMark/>
          </w:tcPr>
          <w:p w14:paraId="7DE1F45B" w14:textId="77777777" w:rsidR="00302BFE" w:rsidRPr="00B43F59" w:rsidRDefault="00302BFE" w:rsidP="00243B15">
            <w:pPr>
              <w:pStyle w:val="TableParagraph"/>
              <w:spacing w:before="15" w:line="220" w:lineRule="atLeast"/>
              <w:ind w:left="79" w:right="72"/>
              <w:rPr>
                <w:rFonts w:ascii="Calibri" w:hAnsi="Calibri"/>
                <w:b/>
                <w:sz w:val="16"/>
                <w:lang w:val="fr-CA"/>
              </w:rPr>
            </w:pPr>
            <w:r w:rsidRPr="00B43F59">
              <w:rPr>
                <w:rFonts w:ascii="Calibri" w:hAnsi="Calibri"/>
                <w:b/>
                <w:sz w:val="16"/>
                <w:lang w:val="fr-CA"/>
              </w:rPr>
              <w:t>Les parties prenantes sont identifiées et des mécanismes de consultation réguliers sont mis en place</w:t>
            </w:r>
          </w:p>
        </w:tc>
        <w:tc>
          <w:tcPr>
            <w:tcW w:w="567" w:type="dxa"/>
            <w:tcBorders>
              <w:top w:val="single" w:sz="4" w:space="0" w:color="16459A"/>
              <w:left w:val="single" w:sz="4" w:space="0" w:color="16459A"/>
              <w:bottom w:val="single" w:sz="4" w:space="0" w:color="16459A"/>
              <w:right w:val="single" w:sz="4" w:space="0" w:color="16459A"/>
            </w:tcBorders>
            <w:shd w:val="clear" w:color="auto" w:fill="FBE4D5"/>
            <w:hideMark/>
          </w:tcPr>
          <w:p w14:paraId="60684E27" w14:textId="77777777" w:rsidR="00302BFE" w:rsidRPr="00B43F59" w:rsidRDefault="00302BFE" w:rsidP="00243B15">
            <w:pPr>
              <w:pStyle w:val="TableParagraph"/>
              <w:spacing w:before="39"/>
              <w:ind w:left="79"/>
              <w:rPr>
                <w:rFonts w:ascii="Calibri" w:hAnsi="Calibri"/>
                <w:b/>
                <w:sz w:val="16"/>
              </w:rPr>
            </w:pPr>
            <w:r w:rsidRPr="00B43F59">
              <w:rPr>
                <w:rFonts w:ascii="Calibri" w:hAnsi="Calibri"/>
                <w:b/>
                <w:sz w:val="16"/>
              </w:rPr>
              <w:t>2</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1C8B1B31"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1F9EE54B"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hideMark/>
          </w:tcPr>
          <w:p w14:paraId="2DCF3475" w14:textId="77777777" w:rsidR="00302BFE" w:rsidRPr="00B43F59" w:rsidRDefault="00302BFE" w:rsidP="00243B15">
            <w:pPr>
              <w:pStyle w:val="TableParagraph"/>
              <w:rPr>
                <w:rFonts w:ascii="Calibri" w:hAnsi="Calibri"/>
                <w:sz w:val="16"/>
                <w:lang w:val="fr-CA"/>
              </w:rPr>
            </w:pPr>
            <w:r w:rsidRPr="00B43F59">
              <w:rPr>
                <w:rFonts w:ascii="Calibri" w:hAnsi="Calibri"/>
                <w:sz w:val="16"/>
                <w:lang w:val="fr-FR"/>
              </w:rPr>
              <w:t>Planification et décisions finales effectuées avec la participation avec tous les acteurs.</w:t>
            </w:r>
            <w:r w:rsidRPr="00B43F59">
              <w:rPr>
                <w:rFonts w:ascii="Calibri" w:hAnsi="Calibri"/>
                <w:sz w:val="16"/>
                <w:lang w:val="fr-CA"/>
              </w:rPr>
              <w:t xml:space="preserve"> Des ateliers et rencontres ont lieu avec les parties prenantes mais la participation effective demeure limitée en raison du manque de compétences</w:t>
            </w:r>
          </w:p>
        </w:tc>
        <w:tc>
          <w:tcPr>
            <w:tcW w:w="3661" w:type="dxa"/>
            <w:tcBorders>
              <w:top w:val="single" w:sz="4" w:space="0" w:color="16459A"/>
              <w:left w:val="single" w:sz="4" w:space="0" w:color="16459A"/>
              <w:bottom w:val="single" w:sz="4" w:space="0" w:color="16459A"/>
              <w:right w:val="single" w:sz="4" w:space="0" w:color="16459A"/>
            </w:tcBorders>
            <w:shd w:val="clear" w:color="auto" w:fill="auto"/>
            <w:hideMark/>
          </w:tcPr>
          <w:p w14:paraId="011C278D" w14:textId="77777777" w:rsidR="00302BFE" w:rsidRPr="00B43F59" w:rsidRDefault="00302BFE" w:rsidP="00243B15">
            <w:pPr>
              <w:pStyle w:val="TableParagraph"/>
              <w:rPr>
                <w:rFonts w:ascii="Calibri" w:hAnsi="Calibri"/>
                <w:sz w:val="16"/>
                <w:lang w:val="fr-CA"/>
              </w:rPr>
            </w:pPr>
            <w:r w:rsidRPr="00B43F59">
              <w:rPr>
                <w:rFonts w:ascii="Calibri" w:hAnsi="Calibri"/>
                <w:sz w:val="16"/>
                <w:lang w:val="fr-FR"/>
              </w:rPr>
              <w:t>Renforcer les compétences afin que tous les acteurs puissent participer activement</w:t>
            </w:r>
          </w:p>
        </w:tc>
      </w:tr>
      <w:tr w:rsidR="00302BFE" w:rsidRPr="00B43F59" w14:paraId="45084F9E" w14:textId="77777777" w:rsidTr="00243B15">
        <w:trPr>
          <w:trHeight w:val="705"/>
          <w:jc w:val="center"/>
        </w:trPr>
        <w:tc>
          <w:tcPr>
            <w:tcW w:w="1246" w:type="dxa"/>
            <w:vMerge/>
            <w:tcBorders>
              <w:top w:val="single" w:sz="4" w:space="0" w:color="16459A"/>
              <w:left w:val="single" w:sz="6" w:space="0" w:color="16459A"/>
              <w:bottom w:val="single" w:sz="4" w:space="0" w:color="16459A"/>
              <w:right w:val="single" w:sz="4" w:space="0" w:color="16459A"/>
            </w:tcBorders>
            <w:shd w:val="clear" w:color="auto" w:fill="auto"/>
            <w:vAlign w:val="center"/>
            <w:hideMark/>
          </w:tcPr>
          <w:p w14:paraId="3D92BEE8" w14:textId="77777777" w:rsidR="00302BFE" w:rsidRPr="00B43F59" w:rsidRDefault="00302BFE" w:rsidP="00243B15">
            <w:pPr>
              <w:widowControl w:val="0"/>
              <w:autoSpaceDE w:val="0"/>
              <w:autoSpaceDN w:val="0"/>
              <w:rPr>
                <w:rFonts w:eastAsia="Myriad Pro Light" w:cs="Myriad Pro Light"/>
                <w:b/>
                <w:sz w:val="16"/>
                <w:szCs w:val="22"/>
                <w:lang w:val="fr-CA"/>
              </w:rPr>
            </w:pPr>
          </w:p>
        </w:tc>
        <w:tc>
          <w:tcPr>
            <w:tcW w:w="4297" w:type="dxa"/>
            <w:tcBorders>
              <w:top w:val="single" w:sz="6" w:space="0" w:color="16459A"/>
              <w:left w:val="single" w:sz="4" w:space="0" w:color="16459A"/>
              <w:bottom w:val="single" w:sz="6" w:space="0" w:color="16459A"/>
              <w:right w:val="single" w:sz="4" w:space="0" w:color="16459A"/>
            </w:tcBorders>
            <w:shd w:val="clear" w:color="auto" w:fill="auto"/>
            <w:hideMark/>
          </w:tcPr>
          <w:p w14:paraId="41B2A37C" w14:textId="77777777" w:rsidR="00302BFE" w:rsidRPr="00B43F59" w:rsidRDefault="00302BFE" w:rsidP="00243B15">
            <w:pPr>
              <w:pStyle w:val="TableParagraph"/>
              <w:spacing w:before="12" w:line="220" w:lineRule="atLeast"/>
              <w:ind w:left="79" w:right="254"/>
              <w:rPr>
                <w:rFonts w:ascii="Calibri" w:hAnsi="Calibri"/>
                <w:b/>
                <w:sz w:val="20"/>
                <w:szCs w:val="20"/>
                <w:lang w:val="fr-CA"/>
              </w:rPr>
            </w:pPr>
            <w:r w:rsidRPr="00B43F59">
              <w:rPr>
                <w:rFonts w:ascii="Calibri" w:hAnsi="Calibri"/>
                <w:b/>
                <w:sz w:val="16"/>
                <w:lang w:val="fr-CA"/>
              </w:rPr>
              <w:t>Les parties prenantes sont identifiées et contribuent activement aux processus décisionnels participatifs établis</w:t>
            </w:r>
          </w:p>
        </w:tc>
        <w:tc>
          <w:tcPr>
            <w:tcW w:w="567" w:type="dxa"/>
            <w:tcBorders>
              <w:top w:val="single" w:sz="4" w:space="0" w:color="16459A"/>
              <w:left w:val="single" w:sz="4" w:space="0" w:color="16459A"/>
              <w:bottom w:val="single" w:sz="4" w:space="0" w:color="16459A"/>
              <w:right w:val="single" w:sz="4" w:space="0" w:color="16459A"/>
            </w:tcBorders>
            <w:shd w:val="clear" w:color="auto" w:fill="auto"/>
            <w:hideMark/>
          </w:tcPr>
          <w:p w14:paraId="7D369C11" w14:textId="77777777" w:rsidR="00302BFE" w:rsidRPr="00B43F59" w:rsidRDefault="00302BFE" w:rsidP="00243B15">
            <w:pPr>
              <w:pStyle w:val="TableParagraph"/>
              <w:spacing w:before="37"/>
              <w:ind w:left="79"/>
              <w:rPr>
                <w:rFonts w:ascii="Calibri" w:hAnsi="Calibri"/>
                <w:b/>
                <w:sz w:val="16"/>
              </w:rPr>
            </w:pPr>
            <w:r w:rsidRPr="00B43F59">
              <w:rPr>
                <w:rFonts w:ascii="Calibri" w:hAnsi="Calibri"/>
                <w:b/>
                <w:sz w:val="16"/>
              </w:rPr>
              <w:t>3</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330E3814"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438A3381"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tcPr>
          <w:p w14:paraId="27E6A658" w14:textId="77777777" w:rsidR="00302BFE" w:rsidRPr="00B43F59" w:rsidRDefault="00302BFE" w:rsidP="00243B15">
            <w:pPr>
              <w:pStyle w:val="TableParagraph"/>
              <w:rPr>
                <w:rFonts w:ascii="Calibri" w:hAnsi="Calibri"/>
                <w:sz w:val="16"/>
                <w:lang w:val="fr-CA"/>
              </w:rPr>
            </w:pPr>
          </w:p>
        </w:tc>
        <w:tc>
          <w:tcPr>
            <w:tcW w:w="3661" w:type="dxa"/>
            <w:tcBorders>
              <w:top w:val="single" w:sz="4" w:space="0" w:color="16459A"/>
              <w:left w:val="single" w:sz="4" w:space="0" w:color="16459A"/>
              <w:bottom w:val="single" w:sz="4" w:space="0" w:color="16459A"/>
              <w:right w:val="single" w:sz="4" w:space="0" w:color="16459A"/>
            </w:tcBorders>
            <w:shd w:val="clear" w:color="auto" w:fill="auto"/>
          </w:tcPr>
          <w:p w14:paraId="56884693" w14:textId="77777777" w:rsidR="00302BFE" w:rsidRPr="00B43F59" w:rsidRDefault="00302BFE" w:rsidP="00243B15">
            <w:pPr>
              <w:pStyle w:val="TableParagraph"/>
              <w:rPr>
                <w:rFonts w:ascii="Calibri" w:hAnsi="Calibri"/>
                <w:sz w:val="16"/>
                <w:lang w:val="fr-CA"/>
              </w:rPr>
            </w:pPr>
          </w:p>
        </w:tc>
      </w:tr>
      <w:tr w:rsidR="00302BFE" w:rsidRPr="00755BF9" w14:paraId="287D9C02" w14:textId="77777777" w:rsidTr="00243B15">
        <w:trPr>
          <w:trHeight w:val="270"/>
          <w:jc w:val="center"/>
        </w:trPr>
        <w:tc>
          <w:tcPr>
            <w:tcW w:w="14166" w:type="dxa"/>
            <w:gridSpan w:val="7"/>
            <w:tcBorders>
              <w:top w:val="single" w:sz="4" w:space="0" w:color="16459A"/>
              <w:left w:val="single" w:sz="4" w:space="0" w:color="16459A"/>
              <w:bottom w:val="single" w:sz="4" w:space="0" w:color="16459A"/>
              <w:right w:val="single" w:sz="4" w:space="0" w:color="16459A"/>
            </w:tcBorders>
            <w:shd w:val="clear" w:color="auto" w:fill="9ABAC3"/>
          </w:tcPr>
          <w:p w14:paraId="6AE32E8C" w14:textId="77777777" w:rsidR="00302BFE" w:rsidRPr="00B43F59" w:rsidRDefault="00302BFE" w:rsidP="00243B15">
            <w:pPr>
              <w:pStyle w:val="TableParagraph"/>
              <w:spacing w:before="34"/>
              <w:rPr>
                <w:rFonts w:ascii="Calibri" w:hAnsi="Calibri"/>
                <w:b/>
                <w:sz w:val="20"/>
                <w:szCs w:val="20"/>
                <w:lang w:val="fr-CA"/>
              </w:rPr>
            </w:pPr>
            <w:r w:rsidRPr="00B43F59">
              <w:rPr>
                <w:rFonts w:ascii="Calibri" w:hAnsi="Calibri"/>
                <w:b/>
                <w:i/>
                <w:sz w:val="20"/>
                <w:szCs w:val="20"/>
                <w:lang w:val="fr-CA"/>
              </w:rPr>
              <w:t>2: Capacités à Générer, Avoir accès et Utiliser l’Information et les Connaissances</w:t>
            </w:r>
          </w:p>
        </w:tc>
      </w:tr>
      <w:tr w:rsidR="00302BFE" w:rsidRPr="00B43F59" w14:paraId="5A0058F5" w14:textId="77777777" w:rsidTr="00243B15">
        <w:trPr>
          <w:trHeight w:val="710"/>
          <w:jc w:val="center"/>
        </w:trPr>
        <w:tc>
          <w:tcPr>
            <w:tcW w:w="1246" w:type="dxa"/>
            <w:vMerge w:val="restart"/>
            <w:tcBorders>
              <w:top w:val="single" w:sz="4" w:space="0" w:color="16459A"/>
              <w:left w:val="single" w:sz="6" w:space="0" w:color="16459A"/>
              <w:bottom w:val="single" w:sz="4" w:space="0" w:color="16459A"/>
              <w:right w:val="single" w:sz="6" w:space="0" w:color="16459A"/>
            </w:tcBorders>
            <w:shd w:val="clear" w:color="auto" w:fill="E0E1F1"/>
            <w:hideMark/>
          </w:tcPr>
          <w:p w14:paraId="75D6C8F9" w14:textId="77777777" w:rsidR="00302BFE" w:rsidRPr="00B43F59" w:rsidRDefault="00302BFE" w:rsidP="00243B15">
            <w:pPr>
              <w:pStyle w:val="TableParagraph"/>
              <w:rPr>
                <w:rFonts w:ascii="Calibri" w:hAnsi="Calibri"/>
                <w:b/>
                <w:sz w:val="16"/>
                <w:lang w:val="fr-CA"/>
              </w:rPr>
            </w:pPr>
            <w:r w:rsidRPr="00B43F59">
              <w:rPr>
                <w:rFonts w:ascii="Calibri" w:hAnsi="Calibri"/>
                <w:b/>
                <w:sz w:val="16"/>
                <w:lang w:val="fr-CA"/>
              </w:rPr>
              <w:t>Indicateur 4: Degré de sensibilisation environnementale des parties prenantes</w:t>
            </w:r>
          </w:p>
        </w:tc>
        <w:tc>
          <w:tcPr>
            <w:tcW w:w="4297" w:type="dxa"/>
            <w:tcBorders>
              <w:top w:val="single" w:sz="4" w:space="0" w:color="16459A"/>
              <w:left w:val="single" w:sz="4" w:space="0" w:color="16459A"/>
              <w:bottom w:val="single" w:sz="4" w:space="0" w:color="16459A"/>
              <w:right w:val="single" w:sz="4" w:space="0" w:color="16459A"/>
            </w:tcBorders>
            <w:shd w:val="clear" w:color="auto" w:fill="auto"/>
            <w:hideMark/>
          </w:tcPr>
          <w:p w14:paraId="4BE8E6E7" w14:textId="77777777" w:rsidR="00302BFE" w:rsidRPr="00B43F59" w:rsidRDefault="00302BFE" w:rsidP="00243B15">
            <w:pPr>
              <w:pStyle w:val="TableParagraph"/>
              <w:spacing w:before="15" w:line="220" w:lineRule="atLeast"/>
              <w:ind w:left="80" w:right="176"/>
              <w:rPr>
                <w:rFonts w:ascii="Calibri" w:hAnsi="Calibri"/>
                <w:b/>
                <w:sz w:val="16"/>
                <w:lang w:val="fr-CA"/>
              </w:rPr>
            </w:pPr>
            <w:r w:rsidRPr="00B43F59">
              <w:rPr>
                <w:rFonts w:ascii="Calibri" w:hAnsi="Calibri"/>
                <w:b/>
                <w:sz w:val="16"/>
                <w:lang w:val="fr-CA"/>
              </w:rPr>
              <w:t>Les parties prenantes ne sont pas au courant des problèmes environnementaux mondiaux et de leurs solutions possibles pertinentes</w:t>
            </w:r>
          </w:p>
        </w:tc>
        <w:tc>
          <w:tcPr>
            <w:tcW w:w="567" w:type="dxa"/>
            <w:tcBorders>
              <w:top w:val="single" w:sz="4" w:space="0" w:color="16459A"/>
              <w:left w:val="single" w:sz="4" w:space="0" w:color="16459A"/>
              <w:bottom w:val="single" w:sz="4" w:space="0" w:color="16459A"/>
              <w:right w:val="single" w:sz="4" w:space="0" w:color="16459A"/>
            </w:tcBorders>
            <w:shd w:val="clear" w:color="auto" w:fill="auto"/>
            <w:hideMark/>
          </w:tcPr>
          <w:p w14:paraId="40EEFBDE" w14:textId="77777777" w:rsidR="00302BFE" w:rsidRPr="00B43F59" w:rsidRDefault="00302BFE" w:rsidP="00243B15">
            <w:pPr>
              <w:pStyle w:val="TableParagraph"/>
              <w:spacing w:before="39"/>
              <w:ind w:left="80"/>
              <w:rPr>
                <w:rFonts w:ascii="Calibri" w:hAnsi="Calibri"/>
                <w:b/>
                <w:sz w:val="16"/>
              </w:rPr>
            </w:pPr>
            <w:r w:rsidRPr="00B43F59">
              <w:rPr>
                <w:rFonts w:ascii="Calibri" w:hAnsi="Calibri"/>
                <w:b/>
                <w:sz w:val="16"/>
              </w:rPr>
              <w:t>0</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2B414639"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022FB2A1"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tcPr>
          <w:p w14:paraId="7AE48D9F" w14:textId="77777777" w:rsidR="00302BFE" w:rsidRPr="00B43F59" w:rsidRDefault="00302BFE" w:rsidP="00243B15">
            <w:pPr>
              <w:pStyle w:val="TableParagraph"/>
              <w:rPr>
                <w:rFonts w:ascii="Calibri" w:hAnsi="Calibri"/>
                <w:sz w:val="16"/>
              </w:rPr>
            </w:pPr>
          </w:p>
        </w:tc>
        <w:tc>
          <w:tcPr>
            <w:tcW w:w="3661" w:type="dxa"/>
            <w:tcBorders>
              <w:top w:val="single" w:sz="4" w:space="0" w:color="16459A"/>
              <w:left w:val="single" w:sz="4" w:space="0" w:color="16459A"/>
              <w:bottom w:val="single" w:sz="4" w:space="0" w:color="16459A"/>
              <w:right w:val="single" w:sz="4" w:space="0" w:color="16459A"/>
            </w:tcBorders>
            <w:shd w:val="clear" w:color="auto" w:fill="auto"/>
          </w:tcPr>
          <w:p w14:paraId="2D1A0361" w14:textId="77777777" w:rsidR="00302BFE" w:rsidRPr="00B43F59" w:rsidRDefault="00302BFE" w:rsidP="00243B15">
            <w:pPr>
              <w:pStyle w:val="TableParagraph"/>
              <w:rPr>
                <w:rFonts w:ascii="Calibri" w:hAnsi="Calibri"/>
                <w:sz w:val="16"/>
              </w:rPr>
            </w:pPr>
          </w:p>
        </w:tc>
      </w:tr>
      <w:tr w:rsidR="00302BFE" w:rsidRPr="00B43F59" w14:paraId="4929571A" w14:textId="77777777" w:rsidTr="00243B15">
        <w:trPr>
          <w:trHeight w:val="710"/>
          <w:jc w:val="center"/>
        </w:trPr>
        <w:tc>
          <w:tcPr>
            <w:tcW w:w="1246" w:type="dxa"/>
            <w:vMerge/>
            <w:tcBorders>
              <w:top w:val="single" w:sz="4" w:space="0" w:color="16459A"/>
              <w:left w:val="single" w:sz="6" w:space="0" w:color="16459A"/>
              <w:bottom w:val="single" w:sz="4" w:space="0" w:color="16459A"/>
              <w:right w:val="single" w:sz="6" w:space="0" w:color="16459A"/>
            </w:tcBorders>
            <w:shd w:val="clear" w:color="auto" w:fill="auto"/>
            <w:vAlign w:val="center"/>
            <w:hideMark/>
          </w:tcPr>
          <w:p w14:paraId="5A619C19" w14:textId="77777777" w:rsidR="00302BFE" w:rsidRPr="00B43F59" w:rsidRDefault="00302BFE" w:rsidP="00243B15">
            <w:pPr>
              <w:widowControl w:val="0"/>
              <w:autoSpaceDE w:val="0"/>
              <w:autoSpaceDN w:val="0"/>
              <w:rPr>
                <w:rFonts w:eastAsia="Myriad Pro Light" w:cs="Myriad Pro Light"/>
                <w:b/>
                <w:sz w:val="16"/>
                <w:szCs w:val="22"/>
                <w:lang w:val="fr-CA"/>
              </w:rPr>
            </w:pPr>
          </w:p>
        </w:tc>
        <w:tc>
          <w:tcPr>
            <w:tcW w:w="4297" w:type="dxa"/>
            <w:tcBorders>
              <w:top w:val="single" w:sz="4" w:space="0" w:color="16459A"/>
              <w:left w:val="single" w:sz="4" w:space="0" w:color="16459A"/>
              <w:bottom w:val="single" w:sz="4" w:space="0" w:color="16459A"/>
              <w:right w:val="single" w:sz="4" w:space="0" w:color="16459A"/>
            </w:tcBorders>
            <w:shd w:val="clear" w:color="auto" w:fill="auto"/>
            <w:hideMark/>
          </w:tcPr>
          <w:p w14:paraId="6DAE56E7" w14:textId="77777777" w:rsidR="00302BFE" w:rsidRPr="00B43F59" w:rsidRDefault="00302BFE" w:rsidP="00243B15">
            <w:pPr>
              <w:pStyle w:val="TableParagraph"/>
              <w:spacing w:before="15" w:line="220" w:lineRule="atLeast"/>
              <w:ind w:left="80" w:right="176"/>
              <w:rPr>
                <w:rFonts w:ascii="Calibri" w:hAnsi="Calibri"/>
                <w:b/>
                <w:sz w:val="16"/>
                <w:lang w:val="fr-CA"/>
              </w:rPr>
            </w:pPr>
            <w:r w:rsidRPr="00B43F59">
              <w:rPr>
                <w:rFonts w:ascii="Calibri" w:hAnsi="Calibri"/>
                <w:b/>
                <w:sz w:val="16"/>
                <w:lang w:val="fr-CA"/>
              </w:rPr>
              <w:t>Les parties prenantes sont conscientes des problèmes environnementaux mondiaux, mais pas des solutions possibles</w:t>
            </w:r>
          </w:p>
        </w:tc>
        <w:tc>
          <w:tcPr>
            <w:tcW w:w="567" w:type="dxa"/>
            <w:tcBorders>
              <w:top w:val="single" w:sz="4" w:space="0" w:color="16459A"/>
              <w:left w:val="single" w:sz="4" w:space="0" w:color="16459A"/>
              <w:bottom w:val="single" w:sz="4" w:space="0" w:color="16459A"/>
              <w:right w:val="single" w:sz="4" w:space="0" w:color="16459A"/>
            </w:tcBorders>
            <w:shd w:val="clear" w:color="auto" w:fill="auto"/>
            <w:hideMark/>
          </w:tcPr>
          <w:p w14:paraId="5448C45E" w14:textId="77777777" w:rsidR="00302BFE" w:rsidRPr="00B43F59" w:rsidRDefault="00302BFE" w:rsidP="00243B15">
            <w:pPr>
              <w:pStyle w:val="TableParagraph"/>
              <w:spacing w:before="39"/>
              <w:ind w:left="80"/>
              <w:rPr>
                <w:rFonts w:ascii="Calibri" w:hAnsi="Calibri"/>
                <w:b/>
                <w:sz w:val="16"/>
              </w:rPr>
            </w:pPr>
            <w:r w:rsidRPr="00B43F59">
              <w:rPr>
                <w:rFonts w:ascii="Calibri" w:hAnsi="Calibri"/>
                <w:b/>
                <w:sz w:val="16"/>
              </w:rPr>
              <w:t>1</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06A22C15"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1681E49E"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tcPr>
          <w:p w14:paraId="102C43B7" w14:textId="77777777" w:rsidR="00302BFE" w:rsidRPr="00B43F59" w:rsidRDefault="00302BFE" w:rsidP="00243B15">
            <w:pPr>
              <w:pStyle w:val="TableParagraph"/>
              <w:rPr>
                <w:rFonts w:ascii="Calibri" w:hAnsi="Calibri"/>
                <w:sz w:val="16"/>
                <w:lang w:val="fr-CA"/>
              </w:rPr>
            </w:pPr>
          </w:p>
        </w:tc>
        <w:tc>
          <w:tcPr>
            <w:tcW w:w="3661" w:type="dxa"/>
            <w:tcBorders>
              <w:top w:val="single" w:sz="4" w:space="0" w:color="16459A"/>
              <w:left w:val="single" w:sz="4" w:space="0" w:color="16459A"/>
              <w:bottom w:val="single" w:sz="4" w:space="0" w:color="16459A"/>
              <w:right w:val="single" w:sz="4" w:space="0" w:color="16459A"/>
            </w:tcBorders>
            <w:shd w:val="clear" w:color="auto" w:fill="auto"/>
          </w:tcPr>
          <w:p w14:paraId="0D2E6D72" w14:textId="77777777" w:rsidR="00302BFE" w:rsidRPr="00B43F59" w:rsidRDefault="00302BFE" w:rsidP="00243B15">
            <w:pPr>
              <w:pStyle w:val="TableParagraph"/>
              <w:rPr>
                <w:rFonts w:ascii="Calibri" w:hAnsi="Calibri"/>
                <w:sz w:val="16"/>
                <w:lang w:val="fr-CA"/>
              </w:rPr>
            </w:pPr>
          </w:p>
        </w:tc>
      </w:tr>
      <w:tr w:rsidR="00302BFE" w:rsidRPr="0099310D" w14:paraId="3505CC78" w14:textId="77777777" w:rsidTr="00243B15">
        <w:trPr>
          <w:trHeight w:val="710"/>
          <w:jc w:val="center"/>
        </w:trPr>
        <w:tc>
          <w:tcPr>
            <w:tcW w:w="1246" w:type="dxa"/>
            <w:vMerge/>
            <w:tcBorders>
              <w:top w:val="single" w:sz="4" w:space="0" w:color="16459A"/>
              <w:left w:val="single" w:sz="6" w:space="0" w:color="16459A"/>
              <w:bottom w:val="single" w:sz="4" w:space="0" w:color="16459A"/>
              <w:right w:val="single" w:sz="6" w:space="0" w:color="16459A"/>
            </w:tcBorders>
            <w:shd w:val="clear" w:color="auto" w:fill="auto"/>
            <w:vAlign w:val="center"/>
            <w:hideMark/>
          </w:tcPr>
          <w:p w14:paraId="51FF4C1F" w14:textId="77777777" w:rsidR="00302BFE" w:rsidRPr="00B43F59" w:rsidRDefault="00302BFE" w:rsidP="00243B15">
            <w:pPr>
              <w:widowControl w:val="0"/>
              <w:autoSpaceDE w:val="0"/>
              <w:autoSpaceDN w:val="0"/>
              <w:rPr>
                <w:rFonts w:eastAsia="Myriad Pro Light" w:cs="Myriad Pro Light"/>
                <w:b/>
                <w:sz w:val="16"/>
                <w:szCs w:val="22"/>
                <w:lang w:val="fr-CA"/>
              </w:rPr>
            </w:pPr>
          </w:p>
        </w:tc>
        <w:tc>
          <w:tcPr>
            <w:tcW w:w="4297" w:type="dxa"/>
            <w:tcBorders>
              <w:top w:val="single" w:sz="4" w:space="0" w:color="16459A"/>
              <w:left w:val="single" w:sz="4" w:space="0" w:color="16459A"/>
              <w:bottom w:val="single" w:sz="4" w:space="0" w:color="000000"/>
              <w:right w:val="single" w:sz="4" w:space="0" w:color="16459A"/>
            </w:tcBorders>
            <w:shd w:val="clear" w:color="auto" w:fill="auto"/>
            <w:hideMark/>
          </w:tcPr>
          <w:p w14:paraId="4A182CA2" w14:textId="77777777" w:rsidR="00302BFE" w:rsidRPr="00B43F59" w:rsidRDefault="00302BFE" w:rsidP="00243B15">
            <w:pPr>
              <w:pStyle w:val="TableParagraph"/>
              <w:spacing w:before="15" w:line="220" w:lineRule="atLeast"/>
              <w:ind w:left="80" w:right="176"/>
              <w:rPr>
                <w:rFonts w:ascii="Calibri" w:hAnsi="Calibri"/>
                <w:b/>
                <w:sz w:val="16"/>
                <w:lang w:val="fr-CA"/>
              </w:rPr>
            </w:pPr>
            <w:r w:rsidRPr="00B43F59">
              <w:rPr>
                <w:rFonts w:ascii="Calibri" w:hAnsi="Calibri"/>
                <w:b/>
                <w:sz w:val="16"/>
                <w:lang w:val="fr-CA"/>
              </w:rPr>
              <w:t>Les parties prenantes sont conscientes des problèmes environnementaux mondiaux et des solutions possibles, mais ne savent pas comment participer</w:t>
            </w:r>
          </w:p>
        </w:tc>
        <w:tc>
          <w:tcPr>
            <w:tcW w:w="567" w:type="dxa"/>
            <w:tcBorders>
              <w:top w:val="single" w:sz="4" w:space="0" w:color="16459A"/>
              <w:left w:val="single" w:sz="4" w:space="0" w:color="16459A"/>
              <w:bottom w:val="single" w:sz="4" w:space="0" w:color="16459A"/>
              <w:right w:val="single" w:sz="4" w:space="0" w:color="16459A"/>
            </w:tcBorders>
            <w:shd w:val="clear" w:color="auto" w:fill="FBE4D5"/>
            <w:hideMark/>
          </w:tcPr>
          <w:p w14:paraId="1C7527DB" w14:textId="77777777" w:rsidR="00302BFE" w:rsidRPr="00B43F59" w:rsidRDefault="00302BFE" w:rsidP="00243B15">
            <w:pPr>
              <w:pStyle w:val="TableParagraph"/>
              <w:spacing w:before="39"/>
              <w:ind w:left="80"/>
              <w:rPr>
                <w:rFonts w:ascii="Calibri" w:hAnsi="Calibri"/>
                <w:b/>
                <w:sz w:val="16"/>
              </w:rPr>
            </w:pPr>
            <w:r w:rsidRPr="00B43F59">
              <w:rPr>
                <w:rFonts w:ascii="Calibri" w:hAnsi="Calibri"/>
                <w:b/>
                <w:sz w:val="16"/>
              </w:rPr>
              <w:t>2</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5586D0B4"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3001628E"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hideMark/>
          </w:tcPr>
          <w:p w14:paraId="402EC145" w14:textId="77777777" w:rsidR="00302BFE" w:rsidRPr="00B43F59" w:rsidRDefault="00302BFE" w:rsidP="00243B15">
            <w:pPr>
              <w:pStyle w:val="TableParagraph"/>
              <w:rPr>
                <w:rFonts w:ascii="Calibri" w:hAnsi="Calibri"/>
                <w:sz w:val="16"/>
                <w:lang w:val="fr-CA"/>
              </w:rPr>
            </w:pPr>
            <w:r w:rsidRPr="00B43F59">
              <w:rPr>
                <w:rFonts w:ascii="Calibri" w:hAnsi="Calibri"/>
                <w:sz w:val="16"/>
                <w:lang w:val="fr-CA"/>
              </w:rPr>
              <w:t>Certains problèmes ne sont pas à la portée des populations locales</w:t>
            </w:r>
          </w:p>
          <w:p w14:paraId="5CB94C2E" w14:textId="77777777" w:rsidR="00302BFE" w:rsidRPr="00B43F59" w:rsidRDefault="00302BFE" w:rsidP="00243B15">
            <w:pPr>
              <w:pStyle w:val="TableParagraph"/>
              <w:rPr>
                <w:rFonts w:ascii="Calibri" w:hAnsi="Calibri"/>
                <w:sz w:val="16"/>
                <w:lang w:val="fr-FR"/>
              </w:rPr>
            </w:pPr>
            <w:r w:rsidRPr="00B43F59">
              <w:rPr>
                <w:rFonts w:ascii="Calibri" w:hAnsi="Calibri"/>
                <w:sz w:val="16"/>
                <w:lang w:val="fr-FR"/>
              </w:rPr>
              <w:t xml:space="preserve">Les gens sont au courant des problèmes environnementaux mais les solutions ne sont pas </w:t>
            </w:r>
          </w:p>
          <w:p w14:paraId="4BAC71ED" w14:textId="77777777" w:rsidR="00302BFE" w:rsidRPr="00B43F59" w:rsidRDefault="00302BFE" w:rsidP="00243B15">
            <w:pPr>
              <w:pStyle w:val="TableParagraph"/>
              <w:rPr>
                <w:rFonts w:ascii="Calibri" w:hAnsi="Calibri"/>
                <w:sz w:val="16"/>
                <w:lang w:val="fr-CA"/>
              </w:rPr>
            </w:pPr>
            <w:r w:rsidRPr="00B43F59">
              <w:rPr>
                <w:rFonts w:ascii="Calibri" w:hAnsi="Calibri"/>
                <w:sz w:val="16"/>
                <w:lang w:val="fr-FR"/>
              </w:rPr>
              <w:t>Au niveau des partenaires comme les chasseurs et les tourismes maitrisent mieux les solutions. Les gens savent mais ils ne le font pas parce qu’ils vivent de cela. Ils veulent l’évolution mais dans l’immédiat ils veulent en bénéficier tout de suite</w:t>
            </w:r>
          </w:p>
        </w:tc>
        <w:tc>
          <w:tcPr>
            <w:tcW w:w="3661" w:type="dxa"/>
            <w:tcBorders>
              <w:top w:val="single" w:sz="4" w:space="0" w:color="16459A"/>
              <w:left w:val="single" w:sz="4" w:space="0" w:color="16459A"/>
              <w:bottom w:val="single" w:sz="4" w:space="0" w:color="16459A"/>
              <w:right w:val="single" w:sz="4" w:space="0" w:color="16459A"/>
            </w:tcBorders>
            <w:shd w:val="clear" w:color="auto" w:fill="auto"/>
            <w:hideMark/>
          </w:tcPr>
          <w:p w14:paraId="319B7C8C" w14:textId="77777777" w:rsidR="00302BFE" w:rsidRPr="00B43F59" w:rsidRDefault="00302BFE" w:rsidP="00243B15">
            <w:pPr>
              <w:pStyle w:val="TableParagraph"/>
              <w:rPr>
                <w:rFonts w:ascii="Calibri" w:hAnsi="Calibri"/>
                <w:sz w:val="16"/>
                <w:lang w:val="fr-CA"/>
              </w:rPr>
            </w:pPr>
            <w:r w:rsidRPr="00B43F59">
              <w:rPr>
                <w:rFonts w:ascii="Calibri" w:hAnsi="Calibri"/>
                <w:sz w:val="16"/>
                <w:lang w:val="fr-FR"/>
              </w:rPr>
              <w:t>Sensibilisation, éducation, formations surtout au niveau local</w:t>
            </w:r>
          </w:p>
        </w:tc>
      </w:tr>
      <w:tr w:rsidR="00302BFE" w:rsidRPr="00B43F59" w14:paraId="590737E1" w14:textId="77777777" w:rsidTr="00243B15">
        <w:trPr>
          <w:trHeight w:val="658"/>
          <w:jc w:val="center"/>
        </w:trPr>
        <w:tc>
          <w:tcPr>
            <w:tcW w:w="1246" w:type="dxa"/>
            <w:vMerge/>
            <w:tcBorders>
              <w:top w:val="single" w:sz="4" w:space="0" w:color="16459A"/>
              <w:left w:val="single" w:sz="6" w:space="0" w:color="16459A"/>
              <w:bottom w:val="single" w:sz="4" w:space="0" w:color="16459A"/>
              <w:right w:val="single" w:sz="6" w:space="0" w:color="16459A"/>
            </w:tcBorders>
            <w:shd w:val="clear" w:color="auto" w:fill="auto"/>
            <w:vAlign w:val="center"/>
            <w:hideMark/>
          </w:tcPr>
          <w:p w14:paraId="3A81E79E" w14:textId="77777777" w:rsidR="00302BFE" w:rsidRPr="00B43F59" w:rsidRDefault="00302BFE" w:rsidP="00243B15">
            <w:pPr>
              <w:widowControl w:val="0"/>
              <w:autoSpaceDE w:val="0"/>
              <w:autoSpaceDN w:val="0"/>
              <w:rPr>
                <w:rFonts w:eastAsia="Myriad Pro Light" w:cs="Myriad Pro Light"/>
                <w:b/>
                <w:sz w:val="16"/>
                <w:szCs w:val="22"/>
                <w:lang w:val="fr-CA"/>
              </w:rPr>
            </w:pPr>
          </w:p>
        </w:tc>
        <w:tc>
          <w:tcPr>
            <w:tcW w:w="4297" w:type="dxa"/>
            <w:tcBorders>
              <w:top w:val="single" w:sz="4" w:space="0" w:color="000000"/>
              <w:left w:val="single" w:sz="4" w:space="0" w:color="16459A"/>
              <w:bottom w:val="single" w:sz="4" w:space="0" w:color="16459A"/>
              <w:right w:val="single" w:sz="4" w:space="0" w:color="16459A"/>
            </w:tcBorders>
            <w:shd w:val="clear" w:color="auto" w:fill="auto"/>
            <w:hideMark/>
          </w:tcPr>
          <w:p w14:paraId="249F71F1" w14:textId="77777777" w:rsidR="00302BFE" w:rsidRPr="00B43F59" w:rsidRDefault="00302BFE" w:rsidP="00243B15">
            <w:pPr>
              <w:pStyle w:val="TableParagraph"/>
              <w:spacing w:before="15" w:line="220" w:lineRule="atLeast"/>
              <w:ind w:left="80" w:right="79"/>
              <w:rPr>
                <w:rFonts w:ascii="Calibri" w:hAnsi="Calibri"/>
                <w:b/>
                <w:sz w:val="16"/>
                <w:lang w:val="fr-CA"/>
              </w:rPr>
            </w:pPr>
            <w:r w:rsidRPr="00B43F59">
              <w:rPr>
                <w:rFonts w:ascii="Calibri" w:hAnsi="Calibri"/>
                <w:b/>
                <w:sz w:val="16"/>
                <w:lang w:val="fr-CA"/>
              </w:rPr>
              <w:t>Les parties prenantes sont conscientes des problèmes environnementaux mondiaux et participent activement à la mise en œuvre de solutions pertinentes</w:t>
            </w:r>
          </w:p>
        </w:tc>
        <w:tc>
          <w:tcPr>
            <w:tcW w:w="567" w:type="dxa"/>
            <w:tcBorders>
              <w:top w:val="single" w:sz="4" w:space="0" w:color="16459A"/>
              <w:left w:val="single" w:sz="4" w:space="0" w:color="16459A"/>
              <w:bottom w:val="single" w:sz="4" w:space="0" w:color="16459A"/>
              <w:right w:val="single" w:sz="4" w:space="0" w:color="16459A"/>
            </w:tcBorders>
            <w:shd w:val="clear" w:color="auto" w:fill="auto"/>
            <w:hideMark/>
          </w:tcPr>
          <w:p w14:paraId="13E2E05A" w14:textId="77777777" w:rsidR="00302BFE" w:rsidRPr="00B43F59" w:rsidRDefault="00302BFE" w:rsidP="00243B15">
            <w:pPr>
              <w:pStyle w:val="TableParagraph"/>
              <w:spacing w:before="39"/>
              <w:ind w:left="80"/>
              <w:rPr>
                <w:rFonts w:ascii="Calibri" w:hAnsi="Calibri"/>
                <w:b/>
                <w:sz w:val="16"/>
              </w:rPr>
            </w:pPr>
            <w:r w:rsidRPr="00B43F59">
              <w:rPr>
                <w:rFonts w:ascii="Calibri" w:hAnsi="Calibri"/>
                <w:b/>
                <w:sz w:val="16"/>
              </w:rPr>
              <w:t>3</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01C5A036"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159FDDFC"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tcPr>
          <w:p w14:paraId="3113C007" w14:textId="77777777" w:rsidR="00302BFE" w:rsidRPr="00B43F59" w:rsidRDefault="00302BFE" w:rsidP="00243B15">
            <w:pPr>
              <w:pStyle w:val="TableParagraph"/>
              <w:rPr>
                <w:rFonts w:ascii="Calibri" w:hAnsi="Calibri"/>
                <w:sz w:val="16"/>
              </w:rPr>
            </w:pPr>
          </w:p>
        </w:tc>
        <w:tc>
          <w:tcPr>
            <w:tcW w:w="3661" w:type="dxa"/>
            <w:tcBorders>
              <w:top w:val="single" w:sz="4" w:space="0" w:color="16459A"/>
              <w:left w:val="single" w:sz="4" w:space="0" w:color="16459A"/>
              <w:bottom w:val="single" w:sz="4" w:space="0" w:color="16459A"/>
              <w:right w:val="single" w:sz="4" w:space="0" w:color="16459A"/>
            </w:tcBorders>
            <w:shd w:val="clear" w:color="auto" w:fill="auto"/>
          </w:tcPr>
          <w:p w14:paraId="5DBA8EDA" w14:textId="77777777" w:rsidR="00302BFE" w:rsidRPr="00B43F59" w:rsidRDefault="00302BFE" w:rsidP="00243B15">
            <w:pPr>
              <w:pStyle w:val="TableParagraph"/>
              <w:rPr>
                <w:rFonts w:ascii="Calibri" w:hAnsi="Calibri"/>
                <w:sz w:val="16"/>
              </w:rPr>
            </w:pPr>
          </w:p>
        </w:tc>
      </w:tr>
      <w:tr w:rsidR="00302BFE" w:rsidRPr="00B43F59" w14:paraId="3D5842F9" w14:textId="77777777" w:rsidTr="00243B15">
        <w:trPr>
          <w:trHeight w:val="710"/>
          <w:jc w:val="center"/>
        </w:trPr>
        <w:tc>
          <w:tcPr>
            <w:tcW w:w="1246" w:type="dxa"/>
            <w:vMerge w:val="restart"/>
            <w:tcBorders>
              <w:top w:val="single" w:sz="4" w:space="0" w:color="16459A"/>
              <w:left w:val="single" w:sz="6" w:space="0" w:color="16459A"/>
              <w:bottom w:val="single" w:sz="4" w:space="0" w:color="16459A"/>
              <w:right w:val="single" w:sz="6" w:space="0" w:color="16459A"/>
            </w:tcBorders>
            <w:shd w:val="clear" w:color="auto" w:fill="E0E1F1"/>
            <w:hideMark/>
          </w:tcPr>
          <w:p w14:paraId="04F7A828" w14:textId="77777777" w:rsidR="00302BFE" w:rsidRPr="00B43F59" w:rsidRDefault="00302BFE" w:rsidP="00243B15">
            <w:pPr>
              <w:pStyle w:val="TableParagraph"/>
              <w:rPr>
                <w:rFonts w:ascii="Calibri" w:hAnsi="Calibri"/>
                <w:b/>
                <w:sz w:val="16"/>
                <w:lang w:val="fr-CA"/>
              </w:rPr>
            </w:pPr>
            <w:r w:rsidRPr="00B43F59">
              <w:rPr>
                <w:rFonts w:ascii="Calibri" w:hAnsi="Calibri"/>
                <w:b/>
                <w:sz w:val="16"/>
                <w:lang w:val="fr-CA"/>
              </w:rPr>
              <w:t>Indicateur 5:</w:t>
            </w:r>
          </w:p>
          <w:p w14:paraId="2BFAABD9" w14:textId="77777777" w:rsidR="00302BFE" w:rsidRPr="00B43F59" w:rsidRDefault="00302BFE" w:rsidP="00243B15">
            <w:pPr>
              <w:pStyle w:val="TableParagraph"/>
              <w:rPr>
                <w:rFonts w:ascii="Calibri" w:hAnsi="Calibri"/>
                <w:b/>
                <w:sz w:val="16"/>
                <w:lang w:val="fr-CA"/>
              </w:rPr>
            </w:pPr>
            <w:r w:rsidRPr="00B43F59">
              <w:rPr>
                <w:rFonts w:ascii="Calibri" w:hAnsi="Calibri"/>
                <w:b/>
                <w:sz w:val="16"/>
                <w:lang w:val="fr-CA"/>
              </w:rPr>
              <w:t>Accès et partage d'informations environnementales par les parties prenantes</w:t>
            </w:r>
          </w:p>
        </w:tc>
        <w:tc>
          <w:tcPr>
            <w:tcW w:w="4297" w:type="dxa"/>
            <w:tcBorders>
              <w:top w:val="single" w:sz="4" w:space="0" w:color="16459A"/>
              <w:left w:val="single" w:sz="4" w:space="0" w:color="16459A"/>
              <w:bottom w:val="single" w:sz="4" w:space="0" w:color="16459A"/>
              <w:right w:val="single" w:sz="4" w:space="0" w:color="16459A"/>
            </w:tcBorders>
            <w:shd w:val="clear" w:color="auto" w:fill="auto"/>
            <w:hideMark/>
          </w:tcPr>
          <w:p w14:paraId="4A9F68D7" w14:textId="77777777" w:rsidR="00302BFE" w:rsidRPr="00B43F59" w:rsidRDefault="00302BFE" w:rsidP="00243B15">
            <w:pPr>
              <w:pStyle w:val="TableParagraph"/>
              <w:spacing w:before="15" w:line="220" w:lineRule="atLeast"/>
              <w:ind w:left="80" w:right="176"/>
              <w:rPr>
                <w:rFonts w:ascii="Calibri" w:hAnsi="Calibri"/>
                <w:b/>
                <w:sz w:val="16"/>
                <w:lang w:val="fr-CA"/>
              </w:rPr>
            </w:pPr>
            <w:r w:rsidRPr="00B43F59">
              <w:rPr>
                <w:rFonts w:ascii="Calibri" w:hAnsi="Calibri"/>
                <w:b/>
                <w:sz w:val="16"/>
                <w:lang w:val="fr-CA"/>
              </w:rPr>
              <w:t>Les besoins en information environnementale ne sont pas identifiés et l'infrastructure de gestion de l'information est inadéquate</w:t>
            </w:r>
          </w:p>
        </w:tc>
        <w:tc>
          <w:tcPr>
            <w:tcW w:w="567" w:type="dxa"/>
            <w:tcBorders>
              <w:top w:val="single" w:sz="4" w:space="0" w:color="16459A"/>
              <w:left w:val="single" w:sz="4" w:space="0" w:color="16459A"/>
              <w:bottom w:val="single" w:sz="4" w:space="0" w:color="16459A"/>
              <w:right w:val="single" w:sz="4" w:space="0" w:color="16459A"/>
            </w:tcBorders>
            <w:shd w:val="clear" w:color="auto" w:fill="auto"/>
            <w:hideMark/>
          </w:tcPr>
          <w:p w14:paraId="6085E51B" w14:textId="77777777" w:rsidR="00302BFE" w:rsidRPr="00B43F59" w:rsidRDefault="00302BFE" w:rsidP="00243B15">
            <w:pPr>
              <w:pStyle w:val="TableParagraph"/>
              <w:spacing w:before="39"/>
              <w:ind w:left="80"/>
              <w:rPr>
                <w:rFonts w:ascii="Calibri" w:hAnsi="Calibri"/>
                <w:b/>
                <w:sz w:val="16"/>
              </w:rPr>
            </w:pPr>
            <w:r w:rsidRPr="00B43F59">
              <w:rPr>
                <w:rFonts w:ascii="Calibri" w:hAnsi="Calibri"/>
                <w:b/>
                <w:sz w:val="16"/>
              </w:rPr>
              <w:t>0</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0BB33752"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755DF796"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tcPr>
          <w:p w14:paraId="30F03B8A" w14:textId="77777777" w:rsidR="00302BFE" w:rsidRPr="00B43F59" w:rsidRDefault="00302BFE" w:rsidP="00243B15">
            <w:pPr>
              <w:pStyle w:val="TableParagraph"/>
              <w:rPr>
                <w:rFonts w:ascii="Calibri" w:hAnsi="Calibri"/>
                <w:sz w:val="16"/>
              </w:rPr>
            </w:pPr>
          </w:p>
        </w:tc>
        <w:tc>
          <w:tcPr>
            <w:tcW w:w="3661" w:type="dxa"/>
            <w:tcBorders>
              <w:top w:val="single" w:sz="4" w:space="0" w:color="16459A"/>
              <w:left w:val="single" w:sz="4" w:space="0" w:color="16459A"/>
              <w:bottom w:val="single" w:sz="4" w:space="0" w:color="16459A"/>
              <w:right w:val="single" w:sz="4" w:space="0" w:color="16459A"/>
            </w:tcBorders>
            <w:shd w:val="clear" w:color="auto" w:fill="auto"/>
          </w:tcPr>
          <w:p w14:paraId="0B28F554" w14:textId="77777777" w:rsidR="00302BFE" w:rsidRPr="00B43F59" w:rsidRDefault="00302BFE" w:rsidP="00243B15">
            <w:pPr>
              <w:pStyle w:val="TableParagraph"/>
              <w:rPr>
                <w:rFonts w:ascii="Calibri" w:hAnsi="Calibri"/>
                <w:sz w:val="16"/>
              </w:rPr>
            </w:pPr>
          </w:p>
        </w:tc>
      </w:tr>
      <w:tr w:rsidR="00302BFE" w:rsidRPr="00755BF9" w14:paraId="30BAA6A3" w14:textId="77777777" w:rsidTr="00243B15">
        <w:trPr>
          <w:trHeight w:val="710"/>
          <w:jc w:val="center"/>
        </w:trPr>
        <w:tc>
          <w:tcPr>
            <w:tcW w:w="1246" w:type="dxa"/>
            <w:vMerge/>
            <w:tcBorders>
              <w:top w:val="single" w:sz="4" w:space="0" w:color="16459A"/>
              <w:left w:val="single" w:sz="6" w:space="0" w:color="16459A"/>
              <w:bottom w:val="single" w:sz="4" w:space="0" w:color="16459A"/>
              <w:right w:val="single" w:sz="6" w:space="0" w:color="16459A"/>
            </w:tcBorders>
            <w:shd w:val="clear" w:color="auto" w:fill="auto"/>
            <w:vAlign w:val="center"/>
            <w:hideMark/>
          </w:tcPr>
          <w:p w14:paraId="7E0E31C8" w14:textId="77777777" w:rsidR="00302BFE" w:rsidRPr="00B43F59" w:rsidRDefault="00302BFE" w:rsidP="00243B15">
            <w:pPr>
              <w:widowControl w:val="0"/>
              <w:autoSpaceDE w:val="0"/>
              <w:autoSpaceDN w:val="0"/>
              <w:rPr>
                <w:rFonts w:eastAsia="Myriad Pro Light" w:cs="Myriad Pro Light"/>
                <w:b/>
                <w:sz w:val="16"/>
                <w:szCs w:val="22"/>
                <w:lang w:val="fr-CA"/>
              </w:rPr>
            </w:pPr>
          </w:p>
        </w:tc>
        <w:tc>
          <w:tcPr>
            <w:tcW w:w="4297" w:type="dxa"/>
            <w:tcBorders>
              <w:top w:val="single" w:sz="4" w:space="0" w:color="16459A"/>
              <w:left w:val="single" w:sz="4" w:space="0" w:color="16459A"/>
              <w:bottom w:val="single" w:sz="4" w:space="0" w:color="16459A"/>
              <w:right w:val="single" w:sz="4" w:space="0" w:color="16459A"/>
            </w:tcBorders>
            <w:shd w:val="clear" w:color="auto" w:fill="auto"/>
            <w:hideMark/>
          </w:tcPr>
          <w:p w14:paraId="0198B202" w14:textId="77777777" w:rsidR="00302BFE" w:rsidRPr="00B43F59" w:rsidRDefault="00302BFE" w:rsidP="00243B15">
            <w:pPr>
              <w:pStyle w:val="TableParagraph"/>
              <w:spacing w:before="15" w:line="220" w:lineRule="atLeast"/>
              <w:ind w:left="80" w:right="176"/>
              <w:rPr>
                <w:rFonts w:ascii="Calibri" w:hAnsi="Calibri"/>
                <w:b/>
                <w:sz w:val="16"/>
                <w:lang w:val="fr-CA"/>
              </w:rPr>
            </w:pPr>
            <w:r w:rsidRPr="00B43F59">
              <w:rPr>
                <w:rFonts w:ascii="Calibri" w:hAnsi="Calibri"/>
                <w:b/>
                <w:sz w:val="16"/>
                <w:lang w:val="fr-CA"/>
              </w:rPr>
              <w:t>Les besoins en information environnementale sont identifiés, mais l'infrastructure de gestion de l'information est inadéquate</w:t>
            </w:r>
          </w:p>
        </w:tc>
        <w:tc>
          <w:tcPr>
            <w:tcW w:w="567" w:type="dxa"/>
            <w:tcBorders>
              <w:top w:val="single" w:sz="4" w:space="0" w:color="16459A"/>
              <w:left w:val="single" w:sz="4" w:space="0" w:color="16459A"/>
              <w:bottom w:val="single" w:sz="4" w:space="0" w:color="16459A"/>
              <w:right w:val="single" w:sz="4" w:space="0" w:color="16459A"/>
            </w:tcBorders>
            <w:shd w:val="clear" w:color="auto" w:fill="FBE4D5"/>
            <w:hideMark/>
          </w:tcPr>
          <w:p w14:paraId="59F19D03" w14:textId="77777777" w:rsidR="00302BFE" w:rsidRPr="00B43F59" w:rsidRDefault="00302BFE" w:rsidP="00243B15">
            <w:pPr>
              <w:pStyle w:val="TableParagraph"/>
              <w:spacing w:before="39"/>
              <w:ind w:left="80"/>
              <w:rPr>
                <w:rFonts w:ascii="Calibri" w:hAnsi="Calibri"/>
                <w:b/>
                <w:sz w:val="16"/>
              </w:rPr>
            </w:pPr>
            <w:r w:rsidRPr="00B43F59">
              <w:rPr>
                <w:rFonts w:ascii="Calibri" w:hAnsi="Calibri"/>
                <w:b/>
                <w:sz w:val="16"/>
              </w:rPr>
              <w:t>1</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25217554"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0F9ED26A"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hideMark/>
          </w:tcPr>
          <w:p w14:paraId="5AFAD724" w14:textId="77777777" w:rsidR="00302BFE" w:rsidRPr="00B43F59" w:rsidRDefault="00302BFE" w:rsidP="00243B15">
            <w:pPr>
              <w:pStyle w:val="TableParagraph"/>
              <w:rPr>
                <w:rFonts w:ascii="Calibri" w:hAnsi="Calibri"/>
                <w:sz w:val="16"/>
                <w:lang w:val="fr-CA"/>
              </w:rPr>
            </w:pPr>
            <w:r w:rsidRPr="00B43F59">
              <w:rPr>
                <w:rFonts w:ascii="Calibri" w:hAnsi="Calibri"/>
                <w:sz w:val="16"/>
                <w:lang w:val="fr-FR"/>
              </w:rPr>
              <w:t>On a des informations (connaissances des espèces), Il y a des systèmes de suivi-évaluation mais n’est pas parfait (gestion de l’information). Au niveau de la DGEF il ya des données sur l’OFINAP et des autres aires protégées</w:t>
            </w:r>
          </w:p>
        </w:tc>
        <w:tc>
          <w:tcPr>
            <w:tcW w:w="3661" w:type="dxa"/>
            <w:tcBorders>
              <w:top w:val="single" w:sz="4" w:space="0" w:color="16459A"/>
              <w:left w:val="single" w:sz="4" w:space="0" w:color="16459A"/>
              <w:bottom w:val="single" w:sz="4" w:space="0" w:color="16459A"/>
              <w:right w:val="single" w:sz="4" w:space="0" w:color="16459A"/>
            </w:tcBorders>
            <w:shd w:val="clear" w:color="auto" w:fill="auto"/>
          </w:tcPr>
          <w:p w14:paraId="641C677A" w14:textId="77777777" w:rsidR="00302BFE" w:rsidRPr="00B43F59" w:rsidRDefault="00302BFE" w:rsidP="00243B15">
            <w:pPr>
              <w:pStyle w:val="TableParagraph"/>
              <w:rPr>
                <w:rFonts w:ascii="Calibri" w:hAnsi="Calibri"/>
                <w:sz w:val="16"/>
                <w:lang w:val="fr-CA"/>
              </w:rPr>
            </w:pPr>
          </w:p>
        </w:tc>
      </w:tr>
      <w:tr w:rsidR="00302BFE" w:rsidRPr="00B43F59" w14:paraId="601D366A" w14:textId="77777777" w:rsidTr="00243B15">
        <w:trPr>
          <w:trHeight w:val="961"/>
          <w:jc w:val="center"/>
        </w:trPr>
        <w:tc>
          <w:tcPr>
            <w:tcW w:w="1246" w:type="dxa"/>
            <w:vMerge/>
            <w:tcBorders>
              <w:top w:val="single" w:sz="4" w:space="0" w:color="16459A"/>
              <w:left w:val="single" w:sz="6" w:space="0" w:color="16459A"/>
              <w:bottom w:val="single" w:sz="4" w:space="0" w:color="16459A"/>
              <w:right w:val="single" w:sz="6" w:space="0" w:color="16459A"/>
            </w:tcBorders>
            <w:shd w:val="clear" w:color="auto" w:fill="auto"/>
            <w:vAlign w:val="center"/>
            <w:hideMark/>
          </w:tcPr>
          <w:p w14:paraId="03978399" w14:textId="77777777" w:rsidR="00302BFE" w:rsidRPr="00B43F59" w:rsidRDefault="00302BFE" w:rsidP="00243B15">
            <w:pPr>
              <w:widowControl w:val="0"/>
              <w:autoSpaceDE w:val="0"/>
              <w:autoSpaceDN w:val="0"/>
              <w:rPr>
                <w:rFonts w:eastAsia="Myriad Pro Light" w:cs="Myriad Pro Light"/>
                <w:b/>
                <w:sz w:val="16"/>
                <w:szCs w:val="22"/>
                <w:lang w:val="fr-CA"/>
              </w:rPr>
            </w:pPr>
          </w:p>
        </w:tc>
        <w:tc>
          <w:tcPr>
            <w:tcW w:w="4297" w:type="dxa"/>
            <w:tcBorders>
              <w:top w:val="single" w:sz="4" w:space="0" w:color="16459A"/>
              <w:left w:val="single" w:sz="4" w:space="0" w:color="16459A"/>
              <w:bottom w:val="single" w:sz="4" w:space="0" w:color="16459A"/>
              <w:right w:val="single" w:sz="4" w:space="0" w:color="16459A"/>
            </w:tcBorders>
            <w:shd w:val="clear" w:color="auto" w:fill="auto"/>
            <w:hideMark/>
          </w:tcPr>
          <w:p w14:paraId="66A049E3" w14:textId="77777777" w:rsidR="00302BFE" w:rsidRPr="00B43F59" w:rsidRDefault="00302BFE" w:rsidP="00243B15">
            <w:pPr>
              <w:pStyle w:val="TableParagraph"/>
              <w:spacing w:before="15" w:line="220" w:lineRule="atLeast"/>
              <w:ind w:left="80" w:right="79"/>
              <w:rPr>
                <w:rFonts w:ascii="Calibri" w:hAnsi="Calibri"/>
                <w:b/>
                <w:sz w:val="16"/>
                <w:lang w:val="fr-CA"/>
              </w:rPr>
            </w:pPr>
            <w:r w:rsidRPr="00B43F59">
              <w:rPr>
                <w:rFonts w:ascii="Calibri" w:hAnsi="Calibri"/>
                <w:b/>
                <w:sz w:val="16"/>
                <w:lang w:val="fr-CA"/>
              </w:rPr>
              <w:t>L’information environnementale est partiellement disponible et partagée entre les parties prenantes, mais ne couvre pas tous les domaines d'intervention et / ou l'infrastructure de gestion de l'information est limitée</w:t>
            </w:r>
          </w:p>
        </w:tc>
        <w:tc>
          <w:tcPr>
            <w:tcW w:w="567" w:type="dxa"/>
            <w:tcBorders>
              <w:top w:val="single" w:sz="4" w:space="0" w:color="16459A"/>
              <w:left w:val="single" w:sz="4" w:space="0" w:color="16459A"/>
              <w:bottom w:val="single" w:sz="4" w:space="0" w:color="16459A"/>
              <w:right w:val="single" w:sz="4" w:space="0" w:color="16459A"/>
            </w:tcBorders>
            <w:shd w:val="clear" w:color="auto" w:fill="auto"/>
            <w:hideMark/>
          </w:tcPr>
          <w:p w14:paraId="2E3F8A58" w14:textId="77777777" w:rsidR="00302BFE" w:rsidRPr="00B43F59" w:rsidRDefault="00302BFE" w:rsidP="00243B15">
            <w:pPr>
              <w:pStyle w:val="TableParagraph"/>
              <w:spacing w:before="39"/>
              <w:ind w:left="80"/>
              <w:rPr>
                <w:rFonts w:ascii="Calibri" w:hAnsi="Calibri"/>
                <w:b/>
                <w:sz w:val="16"/>
              </w:rPr>
            </w:pPr>
            <w:r w:rsidRPr="00B43F59">
              <w:rPr>
                <w:rFonts w:ascii="Calibri" w:hAnsi="Calibri"/>
                <w:b/>
                <w:sz w:val="16"/>
              </w:rPr>
              <w:t>2</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56AB15A1"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7C699C26"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tcPr>
          <w:p w14:paraId="7A9855C3" w14:textId="77777777" w:rsidR="00302BFE" w:rsidRPr="00B43F59" w:rsidRDefault="00302BFE" w:rsidP="00243B15">
            <w:pPr>
              <w:pStyle w:val="TableParagraph"/>
              <w:rPr>
                <w:rFonts w:ascii="Calibri" w:hAnsi="Calibri"/>
                <w:sz w:val="16"/>
              </w:rPr>
            </w:pPr>
          </w:p>
        </w:tc>
        <w:tc>
          <w:tcPr>
            <w:tcW w:w="3661" w:type="dxa"/>
            <w:tcBorders>
              <w:top w:val="single" w:sz="4" w:space="0" w:color="16459A"/>
              <w:left w:val="single" w:sz="4" w:space="0" w:color="16459A"/>
              <w:bottom w:val="single" w:sz="4" w:space="0" w:color="16459A"/>
              <w:right w:val="single" w:sz="4" w:space="0" w:color="16459A"/>
            </w:tcBorders>
            <w:shd w:val="clear" w:color="auto" w:fill="auto"/>
          </w:tcPr>
          <w:p w14:paraId="411F12B3" w14:textId="77777777" w:rsidR="00302BFE" w:rsidRPr="00B43F59" w:rsidRDefault="00302BFE" w:rsidP="00243B15">
            <w:pPr>
              <w:pStyle w:val="TableParagraph"/>
              <w:rPr>
                <w:rFonts w:ascii="Calibri" w:hAnsi="Calibri"/>
                <w:sz w:val="16"/>
              </w:rPr>
            </w:pPr>
          </w:p>
        </w:tc>
      </w:tr>
      <w:tr w:rsidR="00302BFE" w:rsidRPr="00B43F59" w14:paraId="69B63341" w14:textId="77777777" w:rsidTr="00243B15">
        <w:trPr>
          <w:trHeight w:val="692"/>
          <w:jc w:val="center"/>
        </w:trPr>
        <w:tc>
          <w:tcPr>
            <w:tcW w:w="1246" w:type="dxa"/>
            <w:vMerge/>
            <w:tcBorders>
              <w:top w:val="single" w:sz="4" w:space="0" w:color="16459A"/>
              <w:left w:val="single" w:sz="6" w:space="0" w:color="16459A"/>
              <w:bottom w:val="single" w:sz="4" w:space="0" w:color="16459A"/>
              <w:right w:val="single" w:sz="6" w:space="0" w:color="16459A"/>
            </w:tcBorders>
            <w:shd w:val="clear" w:color="auto" w:fill="auto"/>
            <w:vAlign w:val="center"/>
            <w:hideMark/>
          </w:tcPr>
          <w:p w14:paraId="5BBD7518" w14:textId="77777777" w:rsidR="00302BFE" w:rsidRPr="00B43F59" w:rsidRDefault="00302BFE" w:rsidP="00243B15">
            <w:pPr>
              <w:widowControl w:val="0"/>
              <w:autoSpaceDE w:val="0"/>
              <w:autoSpaceDN w:val="0"/>
              <w:rPr>
                <w:rFonts w:eastAsia="Myriad Pro Light" w:cs="Myriad Pro Light"/>
                <w:b/>
                <w:sz w:val="16"/>
                <w:szCs w:val="22"/>
                <w:lang w:val="fr-CA"/>
              </w:rPr>
            </w:pPr>
          </w:p>
        </w:tc>
        <w:tc>
          <w:tcPr>
            <w:tcW w:w="4297" w:type="dxa"/>
            <w:tcBorders>
              <w:top w:val="single" w:sz="4" w:space="0" w:color="16459A"/>
              <w:left w:val="single" w:sz="4" w:space="0" w:color="16459A"/>
              <w:bottom w:val="single" w:sz="4" w:space="0" w:color="16459A"/>
              <w:right w:val="single" w:sz="4" w:space="0" w:color="16459A"/>
            </w:tcBorders>
            <w:shd w:val="clear" w:color="auto" w:fill="auto"/>
            <w:hideMark/>
          </w:tcPr>
          <w:p w14:paraId="0E420BD7" w14:textId="77777777" w:rsidR="00302BFE" w:rsidRPr="00B43F59" w:rsidRDefault="00302BFE" w:rsidP="00243B15">
            <w:pPr>
              <w:pStyle w:val="TableParagraph"/>
              <w:spacing w:before="15" w:line="220" w:lineRule="atLeast"/>
              <w:ind w:left="80" w:right="79"/>
              <w:rPr>
                <w:rFonts w:ascii="Calibri" w:hAnsi="Calibri"/>
                <w:b/>
                <w:sz w:val="16"/>
                <w:lang w:val="fr-CA"/>
              </w:rPr>
            </w:pPr>
            <w:r w:rsidRPr="00B43F59">
              <w:rPr>
                <w:rFonts w:ascii="Calibri" w:hAnsi="Calibri"/>
                <w:b/>
                <w:sz w:val="16"/>
                <w:lang w:val="fr-CA"/>
              </w:rPr>
              <w:t>Une information environnementale complète est disponible et partagée via une infrastructure de gestion de l'information adéquate</w:t>
            </w:r>
          </w:p>
        </w:tc>
        <w:tc>
          <w:tcPr>
            <w:tcW w:w="567" w:type="dxa"/>
            <w:tcBorders>
              <w:top w:val="single" w:sz="4" w:space="0" w:color="16459A"/>
              <w:left w:val="single" w:sz="4" w:space="0" w:color="16459A"/>
              <w:bottom w:val="single" w:sz="4" w:space="0" w:color="16459A"/>
              <w:right w:val="single" w:sz="4" w:space="0" w:color="16459A"/>
            </w:tcBorders>
            <w:shd w:val="clear" w:color="auto" w:fill="auto"/>
            <w:hideMark/>
          </w:tcPr>
          <w:p w14:paraId="16CCDCB9" w14:textId="77777777" w:rsidR="00302BFE" w:rsidRPr="00B43F59" w:rsidRDefault="00302BFE" w:rsidP="00243B15">
            <w:pPr>
              <w:pStyle w:val="TableParagraph"/>
              <w:spacing w:before="39"/>
              <w:ind w:left="80"/>
              <w:rPr>
                <w:rFonts w:ascii="Calibri" w:hAnsi="Calibri"/>
                <w:b/>
                <w:sz w:val="16"/>
              </w:rPr>
            </w:pPr>
            <w:r w:rsidRPr="00B43F59">
              <w:rPr>
                <w:rFonts w:ascii="Calibri" w:hAnsi="Calibri"/>
                <w:b/>
                <w:sz w:val="16"/>
              </w:rPr>
              <w:t>3</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4C3C5FBA"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43313717"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tcPr>
          <w:p w14:paraId="521B42FF" w14:textId="77777777" w:rsidR="00302BFE" w:rsidRPr="00B43F59" w:rsidRDefault="00302BFE" w:rsidP="00243B15">
            <w:pPr>
              <w:pStyle w:val="TableParagraph"/>
              <w:rPr>
                <w:rFonts w:ascii="Calibri" w:hAnsi="Calibri"/>
                <w:sz w:val="16"/>
              </w:rPr>
            </w:pPr>
          </w:p>
        </w:tc>
        <w:tc>
          <w:tcPr>
            <w:tcW w:w="3661" w:type="dxa"/>
            <w:tcBorders>
              <w:top w:val="single" w:sz="4" w:space="0" w:color="16459A"/>
              <w:left w:val="single" w:sz="4" w:space="0" w:color="16459A"/>
              <w:bottom w:val="single" w:sz="4" w:space="0" w:color="16459A"/>
              <w:right w:val="single" w:sz="4" w:space="0" w:color="16459A"/>
            </w:tcBorders>
            <w:shd w:val="clear" w:color="auto" w:fill="auto"/>
          </w:tcPr>
          <w:p w14:paraId="7AE62213" w14:textId="77777777" w:rsidR="00302BFE" w:rsidRPr="00B43F59" w:rsidRDefault="00302BFE" w:rsidP="00243B15">
            <w:pPr>
              <w:pStyle w:val="TableParagraph"/>
              <w:rPr>
                <w:rFonts w:ascii="Calibri" w:hAnsi="Calibri"/>
                <w:sz w:val="16"/>
              </w:rPr>
            </w:pPr>
          </w:p>
        </w:tc>
      </w:tr>
      <w:tr w:rsidR="00302BFE" w:rsidRPr="00B43F59" w14:paraId="29EC28ED" w14:textId="77777777" w:rsidTr="00243B15">
        <w:trPr>
          <w:trHeight w:val="490"/>
          <w:jc w:val="center"/>
        </w:trPr>
        <w:tc>
          <w:tcPr>
            <w:tcW w:w="1246" w:type="dxa"/>
            <w:vMerge w:val="restart"/>
            <w:tcBorders>
              <w:top w:val="single" w:sz="4" w:space="0" w:color="16459A"/>
              <w:left w:val="single" w:sz="4" w:space="0" w:color="16459A"/>
              <w:bottom w:val="single" w:sz="4" w:space="0" w:color="16459A"/>
              <w:right w:val="single" w:sz="4" w:space="0" w:color="16459A"/>
            </w:tcBorders>
            <w:shd w:val="clear" w:color="auto" w:fill="E0E1F1"/>
            <w:hideMark/>
          </w:tcPr>
          <w:p w14:paraId="0DD9244D" w14:textId="77777777" w:rsidR="00302BFE" w:rsidRPr="00B43F59" w:rsidRDefault="00302BFE" w:rsidP="00243B15">
            <w:pPr>
              <w:pStyle w:val="TableParagraph"/>
              <w:rPr>
                <w:rFonts w:ascii="Calibri" w:hAnsi="Calibri"/>
                <w:b/>
                <w:sz w:val="16"/>
                <w:lang w:val="fr-CA"/>
              </w:rPr>
            </w:pPr>
            <w:r w:rsidRPr="00B43F59">
              <w:rPr>
                <w:rFonts w:ascii="Calibri" w:hAnsi="Calibri"/>
                <w:b/>
                <w:sz w:val="16"/>
                <w:lang w:val="fr-CA"/>
              </w:rPr>
              <w:t>Indicateur 6: Existence de programmes d'éducation environnementale</w:t>
            </w:r>
          </w:p>
        </w:tc>
        <w:tc>
          <w:tcPr>
            <w:tcW w:w="4297" w:type="dxa"/>
            <w:tcBorders>
              <w:top w:val="single" w:sz="4" w:space="0" w:color="16459A"/>
              <w:left w:val="single" w:sz="4" w:space="0" w:color="16459A"/>
              <w:bottom w:val="single" w:sz="4" w:space="0" w:color="16459A"/>
              <w:right w:val="single" w:sz="4" w:space="0" w:color="16459A"/>
            </w:tcBorders>
            <w:shd w:val="clear" w:color="auto" w:fill="auto"/>
            <w:hideMark/>
          </w:tcPr>
          <w:p w14:paraId="5E524FB9" w14:textId="77777777" w:rsidR="00302BFE" w:rsidRPr="00B43F59" w:rsidRDefault="00302BFE" w:rsidP="00243B15">
            <w:pPr>
              <w:pStyle w:val="TableParagraph"/>
              <w:spacing w:before="15" w:line="220" w:lineRule="atLeast"/>
              <w:ind w:left="80" w:right="79"/>
              <w:rPr>
                <w:rFonts w:ascii="Calibri" w:hAnsi="Calibri"/>
                <w:b/>
                <w:sz w:val="16"/>
                <w:lang w:val="fr-CA"/>
              </w:rPr>
            </w:pPr>
            <w:r w:rsidRPr="00B43F59">
              <w:rPr>
                <w:rFonts w:ascii="Calibri" w:hAnsi="Calibri"/>
                <w:b/>
                <w:sz w:val="16"/>
                <w:lang w:val="fr-CA"/>
              </w:rPr>
              <w:t>Aucun programme d'éducation environnementale n'est en place</w:t>
            </w:r>
          </w:p>
        </w:tc>
        <w:tc>
          <w:tcPr>
            <w:tcW w:w="567" w:type="dxa"/>
            <w:tcBorders>
              <w:top w:val="single" w:sz="4" w:space="0" w:color="16459A"/>
              <w:left w:val="single" w:sz="4" w:space="0" w:color="16459A"/>
              <w:bottom w:val="single" w:sz="4" w:space="0" w:color="16459A"/>
              <w:right w:val="single" w:sz="4" w:space="0" w:color="16459A"/>
            </w:tcBorders>
            <w:shd w:val="clear" w:color="auto" w:fill="auto"/>
            <w:hideMark/>
          </w:tcPr>
          <w:p w14:paraId="16C95D6D" w14:textId="77777777" w:rsidR="00302BFE" w:rsidRPr="00B43F59" w:rsidRDefault="00302BFE" w:rsidP="00243B15">
            <w:pPr>
              <w:pStyle w:val="TableParagraph"/>
              <w:spacing w:before="39"/>
              <w:ind w:left="80"/>
              <w:rPr>
                <w:rFonts w:ascii="Calibri" w:hAnsi="Calibri"/>
                <w:b/>
                <w:sz w:val="16"/>
              </w:rPr>
            </w:pPr>
            <w:r w:rsidRPr="00B43F59">
              <w:rPr>
                <w:rFonts w:ascii="Calibri" w:hAnsi="Calibri"/>
                <w:b/>
                <w:sz w:val="16"/>
              </w:rPr>
              <w:t>0</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4611E3AE"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3758762F"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tcPr>
          <w:p w14:paraId="57BAB919" w14:textId="77777777" w:rsidR="00302BFE" w:rsidRPr="00B43F59" w:rsidRDefault="00302BFE" w:rsidP="00243B15">
            <w:pPr>
              <w:pStyle w:val="TableParagraph"/>
              <w:rPr>
                <w:rFonts w:ascii="Calibri" w:hAnsi="Calibri"/>
                <w:sz w:val="16"/>
              </w:rPr>
            </w:pPr>
          </w:p>
        </w:tc>
        <w:tc>
          <w:tcPr>
            <w:tcW w:w="3661" w:type="dxa"/>
            <w:tcBorders>
              <w:top w:val="single" w:sz="4" w:space="0" w:color="16459A"/>
              <w:left w:val="single" w:sz="4" w:space="0" w:color="16459A"/>
              <w:bottom w:val="single" w:sz="4" w:space="0" w:color="16459A"/>
              <w:right w:val="single" w:sz="4" w:space="0" w:color="16459A"/>
            </w:tcBorders>
            <w:shd w:val="clear" w:color="auto" w:fill="auto"/>
          </w:tcPr>
          <w:p w14:paraId="315BCD9F" w14:textId="77777777" w:rsidR="00302BFE" w:rsidRPr="00B43F59" w:rsidRDefault="00302BFE" w:rsidP="00243B15">
            <w:pPr>
              <w:pStyle w:val="TableParagraph"/>
              <w:rPr>
                <w:rFonts w:ascii="Calibri" w:hAnsi="Calibri"/>
                <w:sz w:val="16"/>
              </w:rPr>
            </w:pPr>
          </w:p>
        </w:tc>
      </w:tr>
      <w:tr w:rsidR="00302BFE" w:rsidRPr="0099310D" w14:paraId="1B14609D" w14:textId="77777777" w:rsidTr="00243B15">
        <w:trPr>
          <w:trHeight w:val="490"/>
          <w:jc w:val="center"/>
        </w:trPr>
        <w:tc>
          <w:tcPr>
            <w:tcW w:w="1246" w:type="dxa"/>
            <w:vMerge/>
            <w:tcBorders>
              <w:top w:val="single" w:sz="4" w:space="0" w:color="16459A"/>
              <w:left w:val="single" w:sz="4" w:space="0" w:color="16459A"/>
              <w:bottom w:val="single" w:sz="4" w:space="0" w:color="16459A"/>
              <w:right w:val="single" w:sz="4" w:space="0" w:color="16459A"/>
            </w:tcBorders>
            <w:shd w:val="clear" w:color="auto" w:fill="auto"/>
            <w:vAlign w:val="center"/>
            <w:hideMark/>
          </w:tcPr>
          <w:p w14:paraId="63EACF9B" w14:textId="77777777" w:rsidR="00302BFE" w:rsidRPr="00B43F59" w:rsidRDefault="00302BFE" w:rsidP="00243B15">
            <w:pPr>
              <w:widowControl w:val="0"/>
              <w:autoSpaceDE w:val="0"/>
              <w:autoSpaceDN w:val="0"/>
              <w:rPr>
                <w:rFonts w:eastAsia="Myriad Pro Light" w:cs="Myriad Pro Light"/>
                <w:b/>
                <w:sz w:val="16"/>
                <w:szCs w:val="22"/>
                <w:lang w:val="fr-CA"/>
              </w:rPr>
            </w:pPr>
          </w:p>
        </w:tc>
        <w:tc>
          <w:tcPr>
            <w:tcW w:w="4297" w:type="dxa"/>
            <w:tcBorders>
              <w:top w:val="single" w:sz="4" w:space="0" w:color="16459A"/>
              <w:left w:val="single" w:sz="4" w:space="0" w:color="16459A"/>
              <w:bottom w:val="single" w:sz="4" w:space="0" w:color="16459A"/>
              <w:right w:val="single" w:sz="4" w:space="0" w:color="16459A"/>
            </w:tcBorders>
            <w:shd w:val="clear" w:color="auto" w:fill="auto"/>
            <w:hideMark/>
          </w:tcPr>
          <w:p w14:paraId="422B6066" w14:textId="77777777" w:rsidR="00302BFE" w:rsidRPr="00B43F59" w:rsidRDefault="00302BFE" w:rsidP="00243B15">
            <w:pPr>
              <w:pStyle w:val="TableParagraph"/>
              <w:spacing w:before="15" w:line="220" w:lineRule="atLeast"/>
              <w:ind w:left="80" w:right="392"/>
              <w:rPr>
                <w:rFonts w:ascii="Calibri" w:hAnsi="Calibri"/>
                <w:b/>
                <w:sz w:val="16"/>
                <w:lang w:val="fr-CA"/>
              </w:rPr>
            </w:pPr>
            <w:r w:rsidRPr="00B43F59">
              <w:rPr>
                <w:rFonts w:ascii="Calibri" w:hAnsi="Calibri"/>
                <w:b/>
                <w:sz w:val="16"/>
                <w:lang w:val="fr-CA"/>
              </w:rPr>
              <w:t>Les programmes d'éducation environnementale sont partiellement développés et partiellement dispensés</w:t>
            </w:r>
          </w:p>
        </w:tc>
        <w:tc>
          <w:tcPr>
            <w:tcW w:w="567" w:type="dxa"/>
            <w:tcBorders>
              <w:top w:val="single" w:sz="4" w:space="0" w:color="16459A"/>
              <w:left w:val="single" w:sz="4" w:space="0" w:color="16459A"/>
              <w:bottom w:val="single" w:sz="4" w:space="0" w:color="16459A"/>
              <w:right w:val="single" w:sz="4" w:space="0" w:color="16459A"/>
            </w:tcBorders>
            <w:shd w:val="clear" w:color="auto" w:fill="FBE4D5"/>
            <w:hideMark/>
          </w:tcPr>
          <w:p w14:paraId="151E02E6" w14:textId="77777777" w:rsidR="00302BFE" w:rsidRPr="00B43F59" w:rsidRDefault="00302BFE" w:rsidP="00243B15">
            <w:pPr>
              <w:pStyle w:val="TableParagraph"/>
              <w:spacing w:before="39"/>
              <w:ind w:left="80"/>
              <w:rPr>
                <w:rFonts w:ascii="Calibri" w:hAnsi="Calibri"/>
                <w:b/>
                <w:sz w:val="16"/>
              </w:rPr>
            </w:pPr>
            <w:r w:rsidRPr="00B43F59">
              <w:rPr>
                <w:rFonts w:ascii="Calibri" w:hAnsi="Calibri"/>
                <w:b/>
                <w:sz w:val="16"/>
              </w:rPr>
              <w:t>1</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3B61DCDD"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3462E3AD"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hideMark/>
          </w:tcPr>
          <w:p w14:paraId="50C53212" w14:textId="77777777" w:rsidR="00302BFE" w:rsidRPr="00B43F59" w:rsidRDefault="00302BFE" w:rsidP="00243B15">
            <w:pPr>
              <w:pStyle w:val="TableParagraph"/>
              <w:rPr>
                <w:rFonts w:ascii="Calibri" w:hAnsi="Calibri"/>
                <w:sz w:val="16"/>
                <w:lang w:val="fr-CA"/>
              </w:rPr>
            </w:pPr>
            <w:r w:rsidRPr="00B43F59">
              <w:rPr>
                <w:rFonts w:ascii="Calibri" w:hAnsi="Calibri"/>
                <w:sz w:val="16"/>
                <w:lang w:val="fr-CA"/>
              </w:rPr>
              <w:t>Des visites de groupes scolaires ont lieu au ranch de Nazinga</w:t>
            </w:r>
          </w:p>
          <w:p w14:paraId="381ECEA8" w14:textId="77777777" w:rsidR="00302BFE" w:rsidRPr="00B43F59" w:rsidRDefault="00302BFE" w:rsidP="00243B15">
            <w:pPr>
              <w:pStyle w:val="TableParagraph"/>
              <w:rPr>
                <w:rFonts w:ascii="Calibri" w:hAnsi="Calibri"/>
                <w:sz w:val="16"/>
                <w:lang w:val="fr-CA"/>
              </w:rPr>
            </w:pPr>
            <w:r w:rsidRPr="00B43F59">
              <w:rPr>
                <w:rFonts w:ascii="Calibri" w:hAnsi="Calibri"/>
                <w:sz w:val="16"/>
                <w:lang w:val="fr-FR"/>
              </w:rPr>
              <w:t>Les programmes d’éducation sont partiellement développés (pas tous les thèmes) et partiellement dispensés (pas tous tes couches socio-professionnelles), comme les éleveurs</w:t>
            </w:r>
          </w:p>
        </w:tc>
        <w:tc>
          <w:tcPr>
            <w:tcW w:w="3661" w:type="dxa"/>
            <w:tcBorders>
              <w:top w:val="single" w:sz="4" w:space="0" w:color="16459A"/>
              <w:left w:val="single" w:sz="4" w:space="0" w:color="16459A"/>
              <w:bottom w:val="single" w:sz="4" w:space="0" w:color="16459A"/>
              <w:right w:val="single" w:sz="4" w:space="0" w:color="16459A"/>
            </w:tcBorders>
            <w:shd w:val="clear" w:color="auto" w:fill="auto"/>
          </w:tcPr>
          <w:p w14:paraId="10EACF03" w14:textId="77777777" w:rsidR="00302BFE" w:rsidRPr="00B43F59" w:rsidRDefault="00302BFE" w:rsidP="00243B15">
            <w:pPr>
              <w:pStyle w:val="TableParagraph"/>
              <w:rPr>
                <w:rFonts w:ascii="Calibri" w:hAnsi="Calibri"/>
                <w:sz w:val="16"/>
                <w:lang w:val="fr-CA"/>
              </w:rPr>
            </w:pPr>
          </w:p>
        </w:tc>
      </w:tr>
      <w:tr w:rsidR="00302BFE" w:rsidRPr="00B43F59" w14:paraId="7C9B7E68" w14:textId="77777777" w:rsidTr="00243B15">
        <w:trPr>
          <w:trHeight w:val="490"/>
          <w:jc w:val="center"/>
        </w:trPr>
        <w:tc>
          <w:tcPr>
            <w:tcW w:w="1246" w:type="dxa"/>
            <w:vMerge/>
            <w:tcBorders>
              <w:top w:val="single" w:sz="4" w:space="0" w:color="16459A"/>
              <w:left w:val="single" w:sz="4" w:space="0" w:color="16459A"/>
              <w:bottom w:val="single" w:sz="4" w:space="0" w:color="16459A"/>
              <w:right w:val="single" w:sz="4" w:space="0" w:color="16459A"/>
            </w:tcBorders>
            <w:shd w:val="clear" w:color="auto" w:fill="auto"/>
            <w:vAlign w:val="center"/>
            <w:hideMark/>
          </w:tcPr>
          <w:p w14:paraId="77CB1530" w14:textId="77777777" w:rsidR="00302BFE" w:rsidRPr="00B43F59" w:rsidRDefault="00302BFE" w:rsidP="00243B15">
            <w:pPr>
              <w:widowControl w:val="0"/>
              <w:autoSpaceDE w:val="0"/>
              <w:autoSpaceDN w:val="0"/>
              <w:rPr>
                <w:rFonts w:eastAsia="Myriad Pro Light" w:cs="Myriad Pro Light"/>
                <w:b/>
                <w:sz w:val="16"/>
                <w:szCs w:val="22"/>
                <w:lang w:val="fr-CA"/>
              </w:rPr>
            </w:pPr>
          </w:p>
        </w:tc>
        <w:tc>
          <w:tcPr>
            <w:tcW w:w="4297" w:type="dxa"/>
            <w:tcBorders>
              <w:top w:val="single" w:sz="4" w:space="0" w:color="16459A"/>
              <w:left w:val="single" w:sz="4" w:space="0" w:color="16459A"/>
              <w:bottom w:val="single" w:sz="4" w:space="0" w:color="16459A"/>
              <w:right w:val="single" w:sz="4" w:space="0" w:color="16459A"/>
            </w:tcBorders>
            <w:shd w:val="clear" w:color="auto" w:fill="auto"/>
            <w:hideMark/>
          </w:tcPr>
          <w:p w14:paraId="44F8CE72" w14:textId="77777777" w:rsidR="00302BFE" w:rsidRPr="00B43F59" w:rsidRDefault="00302BFE" w:rsidP="00243B15">
            <w:pPr>
              <w:pStyle w:val="TableParagraph"/>
              <w:spacing w:before="15" w:line="220" w:lineRule="atLeast"/>
              <w:ind w:left="80"/>
              <w:rPr>
                <w:rFonts w:ascii="Calibri" w:hAnsi="Calibri"/>
                <w:b/>
                <w:sz w:val="16"/>
                <w:lang w:val="fr-CA"/>
              </w:rPr>
            </w:pPr>
            <w:r w:rsidRPr="00B43F59">
              <w:rPr>
                <w:rFonts w:ascii="Calibri" w:hAnsi="Calibri"/>
                <w:b/>
                <w:sz w:val="16"/>
                <w:lang w:val="fr-CA"/>
              </w:rPr>
              <w:t>Les programmes d'éducation environnementale sont entièrement développés mais partiellement exécutés</w:t>
            </w:r>
          </w:p>
        </w:tc>
        <w:tc>
          <w:tcPr>
            <w:tcW w:w="567" w:type="dxa"/>
            <w:tcBorders>
              <w:top w:val="single" w:sz="4" w:space="0" w:color="16459A"/>
              <w:left w:val="single" w:sz="4" w:space="0" w:color="16459A"/>
              <w:bottom w:val="single" w:sz="4" w:space="0" w:color="16459A"/>
              <w:right w:val="single" w:sz="4" w:space="0" w:color="16459A"/>
            </w:tcBorders>
            <w:shd w:val="clear" w:color="auto" w:fill="auto"/>
            <w:hideMark/>
          </w:tcPr>
          <w:p w14:paraId="1814B692" w14:textId="77777777" w:rsidR="00302BFE" w:rsidRPr="00B43F59" w:rsidRDefault="00302BFE" w:rsidP="00243B15">
            <w:pPr>
              <w:pStyle w:val="TableParagraph"/>
              <w:spacing w:before="39"/>
              <w:ind w:left="80"/>
              <w:rPr>
                <w:rFonts w:ascii="Calibri" w:hAnsi="Calibri"/>
                <w:b/>
                <w:sz w:val="16"/>
              </w:rPr>
            </w:pPr>
            <w:r w:rsidRPr="00B43F59">
              <w:rPr>
                <w:rFonts w:ascii="Calibri" w:hAnsi="Calibri"/>
                <w:b/>
                <w:sz w:val="16"/>
              </w:rPr>
              <w:t>2</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6DACB9A1"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165A5758"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tcPr>
          <w:p w14:paraId="22D57634" w14:textId="77777777" w:rsidR="00302BFE" w:rsidRPr="00B43F59" w:rsidRDefault="00302BFE" w:rsidP="00243B15">
            <w:pPr>
              <w:pStyle w:val="TableParagraph"/>
              <w:rPr>
                <w:rFonts w:ascii="Calibri" w:hAnsi="Calibri"/>
                <w:sz w:val="16"/>
              </w:rPr>
            </w:pPr>
          </w:p>
        </w:tc>
        <w:tc>
          <w:tcPr>
            <w:tcW w:w="3661" w:type="dxa"/>
            <w:tcBorders>
              <w:top w:val="single" w:sz="4" w:space="0" w:color="16459A"/>
              <w:left w:val="single" w:sz="4" w:space="0" w:color="16459A"/>
              <w:bottom w:val="single" w:sz="4" w:space="0" w:color="16459A"/>
              <w:right w:val="single" w:sz="4" w:space="0" w:color="16459A"/>
            </w:tcBorders>
            <w:shd w:val="clear" w:color="auto" w:fill="auto"/>
          </w:tcPr>
          <w:p w14:paraId="72247B4F" w14:textId="77777777" w:rsidR="00302BFE" w:rsidRPr="00B43F59" w:rsidRDefault="00302BFE" w:rsidP="00243B15">
            <w:pPr>
              <w:pStyle w:val="TableParagraph"/>
              <w:rPr>
                <w:rFonts w:ascii="Calibri" w:hAnsi="Calibri"/>
                <w:sz w:val="16"/>
              </w:rPr>
            </w:pPr>
          </w:p>
        </w:tc>
      </w:tr>
      <w:tr w:rsidR="00302BFE" w:rsidRPr="00B43F59" w14:paraId="1564CEE8" w14:textId="77777777" w:rsidTr="00243B15">
        <w:trPr>
          <w:trHeight w:val="487"/>
          <w:jc w:val="center"/>
        </w:trPr>
        <w:tc>
          <w:tcPr>
            <w:tcW w:w="1246" w:type="dxa"/>
            <w:vMerge/>
            <w:tcBorders>
              <w:top w:val="single" w:sz="4" w:space="0" w:color="16459A"/>
              <w:left w:val="single" w:sz="4" w:space="0" w:color="16459A"/>
              <w:bottom w:val="single" w:sz="4" w:space="0" w:color="16459A"/>
              <w:right w:val="single" w:sz="4" w:space="0" w:color="16459A"/>
            </w:tcBorders>
            <w:shd w:val="clear" w:color="auto" w:fill="auto"/>
            <w:vAlign w:val="center"/>
            <w:hideMark/>
          </w:tcPr>
          <w:p w14:paraId="744D4D98" w14:textId="77777777" w:rsidR="00302BFE" w:rsidRPr="00B43F59" w:rsidRDefault="00302BFE" w:rsidP="00243B15">
            <w:pPr>
              <w:widowControl w:val="0"/>
              <w:autoSpaceDE w:val="0"/>
              <w:autoSpaceDN w:val="0"/>
              <w:rPr>
                <w:rFonts w:eastAsia="Myriad Pro Light" w:cs="Myriad Pro Light"/>
                <w:b/>
                <w:sz w:val="16"/>
                <w:szCs w:val="22"/>
                <w:lang w:val="fr-CA"/>
              </w:rPr>
            </w:pPr>
          </w:p>
        </w:tc>
        <w:tc>
          <w:tcPr>
            <w:tcW w:w="4297" w:type="dxa"/>
            <w:tcBorders>
              <w:top w:val="single" w:sz="4" w:space="0" w:color="16459A"/>
              <w:left w:val="single" w:sz="4" w:space="0" w:color="16459A"/>
              <w:bottom w:val="single" w:sz="6" w:space="0" w:color="16459A"/>
              <w:right w:val="single" w:sz="4" w:space="0" w:color="16459A"/>
            </w:tcBorders>
            <w:shd w:val="clear" w:color="auto" w:fill="auto"/>
            <w:hideMark/>
          </w:tcPr>
          <w:p w14:paraId="54A6BD20" w14:textId="77777777" w:rsidR="00302BFE" w:rsidRPr="00B43F59" w:rsidRDefault="00302BFE" w:rsidP="00243B15">
            <w:pPr>
              <w:pStyle w:val="TableParagraph"/>
              <w:spacing w:before="15" w:line="220" w:lineRule="atLeast"/>
              <w:ind w:left="80" w:right="176"/>
              <w:rPr>
                <w:rFonts w:ascii="Calibri" w:hAnsi="Calibri"/>
                <w:b/>
                <w:sz w:val="16"/>
                <w:lang w:val="fr-CA"/>
              </w:rPr>
            </w:pPr>
            <w:r w:rsidRPr="00B43F59">
              <w:rPr>
                <w:rFonts w:ascii="Calibri" w:hAnsi="Calibri"/>
                <w:b/>
                <w:sz w:val="16"/>
                <w:lang w:val="fr-CA"/>
              </w:rPr>
              <w:t>Des programmes complets d'éducation environnementale existent et sont en cours d'exécution</w:t>
            </w:r>
          </w:p>
        </w:tc>
        <w:tc>
          <w:tcPr>
            <w:tcW w:w="567" w:type="dxa"/>
            <w:tcBorders>
              <w:top w:val="single" w:sz="4" w:space="0" w:color="16459A"/>
              <w:left w:val="single" w:sz="4" w:space="0" w:color="16459A"/>
              <w:bottom w:val="single" w:sz="4" w:space="0" w:color="16459A"/>
              <w:right w:val="single" w:sz="4" w:space="0" w:color="16459A"/>
            </w:tcBorders>
            <w:shd w:val="clear" w:color="auto" w:fill="auto"/>
            <w:hideMark/>
          </w:tcPr>
          <w:p w14:paraId="1BB246AD" w14:textId="77777777" w:rsidR="00302BFE" w:rsidRPr="00B43F59" w:rsidRDefault="00302BFE" w:rsidP="00243B15">
            <w:pPr>
              <w:pStyle w:val="TableParagraph"/>
              <w:spacing w:before="39"/>
              <w:ind w:left="80"/>
              <w:rPr>
                <w:rFonts w:ascii="Calibri" w:hAnsi="Calibri"/>
                <w:b/>
                <w:sz w:val="16"/>
              </w:rPr>
            </w:pPr>
            <w:r w:rsidRPr="00B43F59">
              <w:rPr>
                <w:rFonts w:ascii="Calibri" w:hAnsi="Calibri"/>
                <w:b/>
                <w:sz w:val="16"/>
              </w:rPr>
              <w:t>3</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214E0A5B"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49EFFEAE"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tcPr>
          <w:p w14:paraId="170A26D7" w14:textId="77777777" w:rsidR="00302BFE" w:rsidRPr="00B43F59" w:rsidRDefault="00302BFE" w:rsidP="00243B15">
            <w:pPr>
              <w:pStyle w:val="TableParagraph"/>
              <w:rPr>
                <w:rFonts w:ascii="Calibri" w:hAnsi="Calibri"/>
                <w:sz w:val="16"/>
              </w:rPr>
            </w:pPr>
          </w:p>
        </w:tc>
        <w:tc>
          <w:tcPr>
            <w:tcW w:w="3661" w:type="dxa"/>
            <w:tcBorders>
              <w:top w:val="single" w:sz="4" w:space="0" w:color="16459A"/>
              <w:left w:val="single" w:sz="4" w:space="0" w:color="16459A"/>
              <w:bottom w:val="single" w:sz="4" w:space="0" w:color="16459A"/>
              <w:right w:val="single" w:sz="4" w:space="0" w:color="16459A"/>
            </w:tcBorders>
            <w:shd w:val="clear" w:color="auto" w:fill="auto"/>
          </w:tcPr>
          <w:p w14:paraId="7B80C079" w14:textId="77777777" w:rsidR="00302BFE" w:rsidRPr="00B43F59" w:rsidRDefault="00302BFE" w:rsidP="00243B15">
            <w:pPr>
              <w:pStyle w:val="TableParagraph"/>
              <w:rPr>
                <w:rFonts w:ascii="Calibri" w:hAnsi="Calibri"/>
                <w:sz w:val="16"/>
              </w:rPr>
            </w:pPr>
          </w:p>
        </w:tc>
      </w:tr>
      <w:tr w:rsidR="00302BFE" w:rsidRPr="00B43F59" w14:paraId="2DB4F9D4" w14:textId="77777777" w:rsidTr="00243B15">
        <w:trPr>
          <w:trHeight w:val="710"/>
          <w:jc w:val="center"/>
        </w:trPr>
        <w:tc>
          <w:tcPr>
            <w:tcW w:w="1246" w:type="dxa"/>
            <w:vMerge w:val="restart"/>
            <w:tcBorders>
              <w:top w:val="single" w:sz="4" w:space="0" w:color="16459A"/>
              <w:left w:val="single" w:sz="6" w:space="0" w:color="16459A"/>
              <w:bottom w:val="single" w:sz="4" w:space="0" w:color="16459A"/>
              <w:right w:val="single" w:sz="6" w:space="0" w:color="16459A"/>
            </w:tcBorders>
            <w:shd w:val="clear" w:color="auto" w:fill="E0E1F1"/>
            <w:hideMark/>
          </w:tcPr>
          <w:p w14:paraId="576251F4" w14:textId="77777777" w:rsidR="00302BFE" w:rsidRPr="00B43F59" w:rsidRDefault="00302BFE" w:rsidP="00243B15">
            <w:pPr>
              <w:pStyle w:val="TableParagraph"/>
              <w:rPr>
                <w:rFonts w:ascii="Calibri" w:hAnsi="Calibri"/>
                <w:b/>
                <w:sz w:val="16"/>
                <w:lang w:val="fr-CA"/>
              </w:rPr>
            </w:pPr>
            <w:r w:rsidRPr="00B43F59">
              <w:rPr>
                <w:rFonts w:ascii="Calibri" w:hAnsi="Calibri"/>
                <w:b/>
                <w:sz w:val="16"/>
                <w:lang w:val="fr-CA"/>
              </w:rPr>
              <w:t>Indicateur 7: Portée des liens entre la recherche / sciences de l'environnement et l'élaboration des politiques</w:t>
            </w:r>
          </w:p>
          <w:p w14:paraId="71EED5E7" w14:textId="77777777" w:rsidR="00302BFE" w:rsidRPr="00B43F59" w:rsidRDefault="00302BFE" w:rsidP="00243B15">
            <w:pPr>
              <w:pStyle w:val="TableParagraph"/>
              <w:rPr>
                <w:rFonts w:ascii="Calibri" w:hAnsi="Calibri"/>
                <w:b/>
                <w:sz w:val="16"/>
                <w:lang w:val="fr-CA"/>
              </w:rPr>
            </w:pPr>
            <w:r w:rsidRPr="00B43F59">
              <w:rPr>
                <w:rFonts w:ascii="Calibri" w:hAnsi="Calibri"/>
                <w:b/>
                <w:color w:val="FF0000"/>
                <w:sz w:val="16"/>
                <w:lang w:val="fr-CA"/>
              </w:rPr>
              <w:t>Pour la planification de la gestion</w:t>
            </w:r>
          </w:p>
        </w:tc>
        <w:tc>
          <w:tcPr>
            <w:tcW w:w="4297" w:type="dxa"/>
            <w:tcBorders>
              <w:top w:val="single" w:sz="4" w:space="0" w:color="16459A"/>
              <w:left w:val="single" w:sz="4" w:space="0" w:color="16459A"/>
              <w:bottom w:val="single" w:sz="4" w:space="0" w:color="16459A"/>
              <w:right w:val="single" w:sz="4" w:space="0" w:color="16459A"/>
            </w:tcBorders>
            <w:shd w:val="clear" w:color="auto" w:fill="auto"/>
            <w:hideMark/>
          </w:tcPr>
          <w:p w14:paraId="7290FE12" w14:textId="77777777" w:rsidR="00302BFE" w:rsidRPr="00B43F59" w:rsidRDefault="00302BFE" w:rsidP="00243B15">
            <w:pPr>
              <w:pStyle w:val="TableParagraph"/>
              <w:spacing w:before="15" w:line="220" w:lineRule="atLeast"/>
              <w:ind w:left="80"/>
              <w:rPr>
                <w:rFonts w:ascii="Calibri" w:hAnsi="Calibri"/>
                <w:b/>
                <w:sz w:val="16"/>
                <w:lang w:val="fr-CA"/>
              </w:rPr>
            </w:pPr>
            <w:r w:rsidRPr="00B43F59">
              <w:rPr>
                <w:rFonts w:ascii="Calibri" w:hAnsi="Calibri"/>
                <w:b/>
                <w:sz w:val="16"/>
                <w:lang w:val="fr-CA"/>
              </w:rPr>
              <w:t>Aucun lien n'existe entre l'élaboration de politiques environnementales et les stratégies et programmes scientifiques / de recherche</w:t>
            </w:r>
          </w:p>
          <w:p w14:paraId="3F6FDBD2" w14:textId="77777777" w:rsidR="00302BFE" w:rsidRPr="00B43F59" w:rsidRDefault="00302BFE" w:rsidP="00243B15">
            <w:pPr>
              <w:pStyle w:val="TableParagraph"/>
              <w:spacing w:before="15" w:line="220" w:lineRule="atLeast"/>
              <w:ind w:left="80"/>
              <w:rPr>
                <w:rFonts w:ascii="Calibri" w:hAnsi="Calibri"/>
                <w:b/>
                <w:sz w:val="16"/>
                <w:lang w:val="fr-CA"/>
              </w:rPr>
            </w:pPr>
            <w:r w:rsidRPr="00B43F59">
              <w:rPr>
                <w:rFonts w:ascii="Calibri" w:hAnsi="Calibri"/>
                <w:b/>
                <w:sz w:val="16"/>
                <w:lang w:val="fr-CA"/>
              </w:rPr>
              <w:t xml:space="preserve">Aucun lien n'existe entre l'élaboration de politiques environnementales </w:t>
            </w:r>
            <w:r w:rsidRPr="00B43F59">
              <w:rPr>
                <w:rFonts w:ascii="Calibri" w:hAnsi="Calibri"/>
                <w:b/>
                <w:color w:val="FF0000"/>
                <w:sz w:val="16"/>
                <w:lang w:val="fr-CA"/>
              </w:rPr>
              <w:t xml:space="preserve">(ex. PAG ou planification de la gestion) </w:t>
            </w:r>
            <w:r w:rsidRPr="00B43F59">
              <w:rPr>
                <w:rFonts w:ascii="Calibri" w:hAnsi="Calibri"/>
                <w:b/>
                <w:sz w:val="16"/>
                <w:lang w:val="fr-CA"/>
              </w:rPr>
              <w:t xml:space="preserve">et les stratégies et programmes scientifiques / de recherche </w:t>
            </w:r>
            <w:r w:rsidRPr="00B43F59">
              <w:rPr>
                <w:rFonts w:ascii="Calibri" w:hAnsi="Calibri"/>
                <w:b/>
                <w:color w:val="FF0000"/>
                <w:sz w:val="16"/>
                <w:lang w:val="fr-CA"/>
              </w:rPr>
              <w:t>(questions qui ne peuvent pas être résolues par le suivi)</w:t>
            </w:r>
          </w:p>
        </w:tc>
        <w:tc>
          <w:tcPr>
            <w:tcW w:w="567" w:type="dxa"/>
            <w:tcBorders>
              <w:top w:val="single" w:sz="4" w:space="0" w:color="16459A"/>
              <w:left w:val="single" w:sz="4" w:space="0" w:color="16459A"/>
              <w:bottom w:val="single" w:sz="4" w:space="0" w:color="16459A"/>
              <w:right w:val="single" w:sz="4" w:space="0" w:color="16459A"/>
            </w:tcBorders>
            <w:shd w:val="clear" w:color="auto" w:fill="auto"/>
            <w:hideMark/>
          </w:tcPr>
          <w:p w14:paraId="4150D4B1" w14:textId="77777777" w:rsidR="00302BFE" w:rsidRPr="00B43F59" w:rsidRDefault="00302BFE" w:rsidP="00243B15">
            <w:pPr>
              <w:pStyle w:val="TableParagraph"/>
              <w:spacing w:before="39"/>
              <w:ind w:left="80"/>
              <w:rPr>
                <w:rFonts w:ascii="Calibri" w:hAnsi="Calibri"/>
                <w:b/>
                <w:sz w:val="16"/>
              </w:rPr>
            </w:pPr>
            <w:r w:rsidRPr="00B43F59">
              <w:rPr>
                <w:rFonts w:ascii="Calibri" w:hAnsi="Calibri"/>
                <w:b/>
                <w:sz w:val="16"/>
              </w:rPr>
              <w:t>0</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54FC5621"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6F8102EE"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000000"/>
            </w:tcBorders>
            <w:shd w:val="clear" w:color="auto" w:fill="auto"/>
          </w:tcPr>
          <w:p w14:paraId="435A6796" w14:textId="77777777" w:rsidR="00302BFE" w:rsidRPr="00B43F59" w:rsidRDefault="00302BFE" w:rsidP="00243B15">
            <w:pPr>
              <w:pStyle w:val="TableParagraph"/>
              <w:rPr>
                <w:rFonts w:ascii="Calibri" w:hAnsi="Calibri"/>
                <w:sz w:val="16"/>
              </w:rPr>
            </w:pPr>
          </w:p>
        </w:tc>
        <w:tc>
          <w:tcPr>
            <w:tcW w:w="3661" w:type="dxa"/>
            <w:tcBorders>
              <w:top w:val="single" w:sz="4" w:space="0" w:color="16459A"/>
              <w:left w:val="single" w:sz="4" w:space="0" w:color="000000"/>
              <w:bottom w:val="single" w:sz="4" w:space="0" w:color="16459A"/>
              <w:right w:val="single" w:sz="4" w:space="0" w:color="16459A"/>
            </w:tcBorders>
            <w:shd w:val="clear" w:color="auto" w:fill="auto"/>
          </w:tcPr>
          <w:p w14:paraId="7E44BA88" w14:textId="77777777" w:rsidR="00302BFE" w:rsidRPr="00B43F59" w:rsidRDefault="00302BFE" w:rsidP="00243B15">
            <w:pPr>
              <w:pStyle w:val="TableParagraph"/>
              <w:rPr>
                <w:rFonts w:ascii="Calibri" w:hAnsi="Calibri"/>
                <w:sz w:val="16"/>
              </w:rPr>
            </w:pPr>
          </w:p>
        </w:tc>
      </w:tr>
      <w:tr w:rsidR="00302BFE" w:rsidRPr="00755BF9" w14:paraId="22555F64" w14:textId="77777777" w:rsidTr="00243B15">
        <w:trPr>
          <w:trHeight w:val="930"/>
          <w:jc w:val="center"/>
        </w:trPr>
        <w:tc>
          <w:tcPr>
            <w:tcW w:w="1246" w:type="dxa"/>
            <w:vMerge/>
            <w:tcBorders>
              <w:top w:val="single" w:sz="4" w:space="0" w:color="16459A"/>
              <w:left w:val="single" w:sz="6" w:space="0" w:color="16459A"/>
              <w:bottom w:val="single" w:sz="4" w:space="0" w:color="16459A"/>
              <w:right w:val="single" w:sz="6" w:space="0" w:color="16459A"/>
            </w:tcBorders>
            <w:shd w:val="clear" w:color="auto" w:fill="auto"/>
            <w:vAlign w:val="center"/>
            <w:hideMark/>
          </w:tcPr>
          <w:p w14:paraId="12E10EC3" w14:textId="77777777" w:rsidR="00302BFE" w:rsidRPr="00B43F59" w:rsidRDefault="00302BFE" w:rsidP="00243B15">
            <w:pPr>
              <w:widowControl w:val="0"/>
              <w:autoSpaceDE w:val="0"/>
              <w:autoSpaceDN w:val="0"/>
              <w:rPr>
                <w:rFonts w:eastAsia="Myriad Pro Light" w:cs="Myriad Pro Light"/>
                <w:b/>
                <w:sz w:val="16"/>
                <w:szCs w:val="22"/>
                <w:lang w:val="fr-CA"/>
              </w:rPr>
            </w:pPr>
          </w:p>
        </w:tc>
        <w:tc>
          <w:tcPr>
            <w:tcW w:w="4297" w:type="dxa"/>
            <w:tcBorders>
              <w:top w:val="single" w:sz="4" w:space="0" w:color="16459A"/>
              <w:left w:val="single" w:sz="4" w:space="0" w:color="16459A"/>
              <w:bottom w:val="single" w:sz="4" w:space="0" w:color="16459A"/>
              <w:right w:val="single" w:sz="4" w:space="0" w:color="16459A"/>
            </w:tcBorders>
            <w:shd w:val="clear" w:color="auto" w:fill="auto"/>
            <w:hideMark/>
          </w:tcPr>
          <w:p w14:paraId="5F001306" w14:textId="77777777" w:rsidR="00302BFE" w:rsidRPr="00B43F59" w:rsidRDefault="00302BFE" w:rsidP="00243B15">
            <w:pPr>
              <w:pStyle w:val="TableParagraph"/>
              <w:spacing w:before="15" w:line="220" w:lineRule="atLeast"/>
              <w:ind w:left="80"/>
              <w:rPr>
                <w:rFonts w:ascii="Calibri" w:hAnsi="Calibri"/>
                <w:b/>
                <w:sz w:val="16"/>
                <w:lang w:val="fr-CA"/>
              </w:rPr>
            </w:pPr>
            <w:r w:rsidRPr="00B43F59">
              <w:rPr>
                <w:rFonts w:ascii="Calibri" w:hAnsi="Calibri"/>
                <w:b/>
                <w:sz w:val="16"/>
                <w:lang w:val="fr-CA"/>
              </w:rPr>
              <w:t>Les besoins en recherche pour l'élaboration de politiques environnementales sont identifiés, mais ne sont pas traduits en stratégies et programmes de recherche pertinents</w:t>
            </w:r>
          </w:p>
        </w:tc>
        <w:tc>
          <w:tcPr>
            <w:tcW w:w="567" w:type="dxa"/>
            <w:tcBorders>
              <w:top w:val="single" w:sz="4" w:space="0" w:color="16459A"/>
              <w:left w:val="single" w:sz="4" w:space="0" w:color="16459A"/>
              <w:bottom w:val="single" w:sz="4" w:space="0" w:color="16459A"/>
              <w:right w:val="single" w:sz="4" w:space="0" w:color="16459A"/>
            </w:tcBorders>
            <w:shd w:val="clear" w:color="auto" w:fill="FBE4D5"/>
            <w:hideMark/>
          </w:tcPr>
          <w:p w14:paraId="20E6B243" w14:textId="77777777" w:rsidR="00302BFE" w:rsidRPr="00B43F59" w:rsidRDefault="00302BFE" w:rsidP="00243B15">
            <w:pPr>
              <w:pStyle w:val="TableParagraph"/>
              <w:spacing w:before="39"/>
              <w:ind w:left="80"/>
              <w:rPr>
                <w:rFonts w:ascii="Calibri" w:hAnsi="Calibri"/>
                <w:b/>
                <w:sz w:val="16"/>
              </w:rPr>
            </w:pPr>
            <w:r w:rsidRPr="00B43F59">
              <w:rPr>
                <w:rFonts w:ascii="Calibri" w:hAnsi="Calibri"/>
                <w:b/>
                <w:sz w:val="16"/>
              </w:rPr>
              <w:t>1</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4D516917"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47396C66"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000000"/>
            </w:tcBorders>
            <w:shd w:val="clear" w:color="auto" w:fill="auto"/>
            <w:hideMark/>
          </w:tcPr>
          <w:p w14:paraId="0100651E" w14:textId="77777777" w:rsidR="00302BFE" w:rsidRPr="00B43F59" w:rsidRDefault="00302BFE" w:rsidP="00243B15">
            <w:pPr>
              <w:pStyle w:val="TableParagraph"/>
              <w:rPr>
                <w:rFonts w:ascii="Calibri" w:hAnsi="Calibri"/>
                <w:sz w:val="16"/>
                <w:lang w:val="fr-CA"/>
              </w:rPr>
            </w:pPr>
            <w:r w:rsidRPr="00B43F59">
              <w:rPr>
                <w:rFonts w:ascii="Calibri" w:hAnsi="Calibri"/>
                <w:sz w:val="16"/>
                <w:lang w:val="fr-CA"/>
              </w:rPr>
              <w:t>Des programmes de recherche ont déjà existé pour le ranch de Nazinga mais sont maintenant limités et orientés vers les intérêts des chercheurs plutôt que sur les besoins de la gestion des Aires protégées.</w:t>
            </w:r>
            <w:r w:rsidRPr="00B43F59">
              <w:rPr>
                <w:rFonts w:ascii="Calibri" w:hAnsi="Calibri"/>
                <w:sz w:val="16"/>
                <w:lang w:val="fr-FR"/>
              </w:rPr>
              <w:t xml:space="preserve"> A Nazinga, l’OFINAP formule des thèmes pour les recherches préliminaires.</w:t>
            </w:r>
          </w:p>
          <w:p w14:paraId="0733DE22" w14:textId="77777777" w:rsidR="00302BFE" w:rsidRPr="00B43F59" w:rsidRDefault="00302BFE" w:rsidP="00243B15">
            <w:pPr>
              <w:pStyle w:val="TableParagraph"/>
              <w:rPr>
                <w:rFonts w:ascii="Calibri" w:hAnsi="Calibri"/>
                <w:sz w:val="16"/>
                <w:lang w:val="fr-FR"/>
              </w:rPr>
            </w:pPr>
            <w:r w:rsidRPr="00B43F59">
              <w:rPr>
                <w:rFonts w:ascii="Calibri" w:hAnsi="Calibri"/>
                <w:sz w:val="16"/>
                <w:lang w:val="fr-FR"/>
              </w:rPr>
              <w:t xml:space="preserve">Actuellement il n’y a pas de lien avec les recherches. Les recherches ont besoins des aires pour leurs recherches. Souvent les chercheurs sont sollicités pour des contraintes comme les herbacées. L’université vient vers eux. On sollicite pour apprécier les inventaires et leurs résultats pour approbation. Les résultats aident à </w:t>
            </w:r>
            <w:r w:rsidRPr="00B43F59">
              <w:rPr>
                <w:rFonts w:ascii="Calibri" w:hAnsi="Calibri"/>
                <w:sz w:val="16"/>
                <w:lang w:val="fr-FR"/>
              </w:rPr>
              <w:lastRenderedPageBreak/>
              <w:t>opérationnaliser la gestion des aires</w:t>
            </w:r>
          </w:p>
          <w:p w14:paraId="6BDD7499" w14:textId="77777777" w:rsidR="00302BFE" w:rsidRPr="00B43F59" w:rsidRDefault="00302BFE" w:rsidP="00243B15">
            <w:pPr>
              <w:pStyle w:val="TableParagraph"/>
              <w:rPr>
                <w:rFonts w:ascii="Calibri" w:hAnsi="Calibri"/>
                <w:sz w:val="16"/>
                <w:lang w:val="fr-FR"/>
              </w:rPr>
            </w:pPr>
            <w:r w:rsidRPr="00B43F59">
              <w:rPr>
                <w:rFonts w:ascii="Calibri" w:hAnsi="Calibri"/>
                <w:sz w:val="16"/>
                <w:lang w:val="fr-FR"/>
              </w:rPr>
              <w:t>La recherche faunique demande des moyens, donc il s’agit seulement des inventaires fauniques et sur l’appréciation des biotopes (lors des sorties), sauf si intervention de projets.</w:t>
            </w:r>
          </w:p>
        </w:tc>
        <w:tc>
          <w:tcPr>
            <w:tcW w:w="3661" w:type="dxa"/>
            <w:tcBorders>
              <w:top w:val="single" w:sz="4" w:space="0" w:color="16459A"/>
              <w:left w:val="single" w:sz="4" w:space="0" w:color="000000"/>
              <w:bottom w:val="single" w:sz="4" w:space="0" w:color="16459A"/>
              <w:right w:val="single" w:sz="4" w:space="0" w:color="000000"/>
            </w:tcBorders>
            <w:shd w:val="clear" w:color="auto" w:fill="auto"/>
          </w:tcPr>
          <w:p w14:paraId="29CF0A68" w14:textId="77777777" w:rsidR="00302BFE" w:rsidRPr="00B43F59" w:rsidRDefault="00302BFE" w:rsidP="00243B15">
            <w:pPr>
              <w:pStyle w:val="TableParagraph"/>
              <w:rPr>
                <w:rFonts w:ascii="Calibri" w:hAnsi="Calibri"/>
                <w:sz w:val="16"/>
                <w:lang w:val="fr-FR"/>
              </w:rPr>
            </w:pPr>
          </w:p>
          <w:p w14:paraId="06CEFA8C" w14:textId="77777777" w:rsidR="00302BFE" w:rsidRPr="00B43F59" w:rsidRDefault="00302BFE" w:rsidP="00243B15">
            <w:pPr>
              <w:pStyle w:val="TableParagraph"/>
              <w:rPr>
                <w:rFonts w:ascii="Calibri" w:hAnsi="Calibri"/>
                <w:sz w:val="16"/>
                <w:lang w:val="fr-FR"/>
              </w:rPr>
            </w:pPr>
            <w:r w:rsidRPr="00B43F59">
              <w:rPr>
                <w:rFonts w:ascii="Calibri" w:hAnsi="Calibri"/>
                <w:sz w:val="16"/>
                <w:lang w:val="fr-FR"/>
              </w:rPr>
              <w:t>Mette à la disposition des élèves stagiaires des logistiques.</w:t>
            </w:r>
          </w:p>
          <w:p w14:paraId="4D6E7A44" w14:textId="77777777" w:rsidR="00302BFE" w:rsidRPr="00B43F59" w:rsidRDefault="00302BFE" w:rsidP="00243B15">
            <w:pPr>
              <w:pStyle w:val="TableParagraph"/>
              <w:rPr>
                <w:rFonts w:ascii="Calibri" w:hAnsi="Calibri"/>
                <w:sz w:val="16"/>
                <w:lang w:val="fr-CA"/>
              </w:rPr>
            </w:pPr>
            <w:r w:rsidRPr="00B43F59">
              <w:rPr>
                <w:rFonts w:ascii="Calibri" w:hAnsi="Calibri"/>
                <w:sz w:val="16"/>
                <w:lang w:val="fr-FR"/>
              </w:rPr>
              <w:t>Définir la formulation des thèmes de recherche par les Universitaires sur les besoins</w:t>
            </w:r>
          </w:p>
        </w:tc>
      </w:tr>
      <w:tr w:rsidR="00302BFE" w:rsidRPr="00B43F59" w14:paraId="3B7A5B1A" w14:textId="77777777" w:rsidTr="00243B15">
        <w:trPr>
          <w:trHeight w:val="930"/>
          <w:jc w:val="center"/>
        </w:trPr>
        <w:tc>
          <w:tcPr>
            <w:tcW w:w="1246" w:type="dxa"/>
            <w:vMerge/>
            <w:tcBorders>
              <w:top w:val="single" w:sz="4" w:space="0" w:color="16459A"/>
              <w:left w:val="single" w:sz="6" w:space="0" w:color="16459A"/>
              <w:bottom w:val="single" w:sz="4" w:space="0" w:color="16459A"/>
              <w:right w:val="single" w:sz="6" w:space="0" w:color="16459A"/>
            </w:tcBorders>
            <w:shd w:val="clear" w:color="auto" w:fill="auto"/>
            <w:vAlign w:val="center"/>
            <w:hideMark/>
          </w:tcPr>
          <w:p w14:paraId="40394D41" w14:textId="77777777" w:rsidR="00302BFE" w:rsidRPr="00B43F59" w:rsidRDefault="00302BFE" w:rsidP="00243B15">
            <w:pPr>
              <w:widowControl w:val="0"/>
              <w:autoSpaceDE w:val="0"/>
              <w:autoSpaceDN w:val="0"/>
              <w:rPr>
                <w:rFonts w:eastAsia="Myriad Pro Light" w:cs="Myriad Pro Light"/>
                <w:b/>
                <w:sz w:val="16"/>
                <w:szCs w:val="22"/>
                <w:lang w:val="fr-CA"/>
              </w:rPr>
            </w:pPr>
          </w:p>
        </w:tc>
        <w:tc>
          <w:tcPr>
            <w:tcW w:w="4297" w:type="dxa"/>
            <w:tcBorders>
              <w:top w:val="single" w:sz="4" w:space="0" w:color="16459A"/>
              <w:left w:val="single" w:sz="4" w:space="0" w:color="16459A"/>
              <w:bottom w:val="single" w:sz="4" w:space="0" w:color="16459A"/>
              <w:right w:val="single" w:sz="4" w:space="0" w:color="16459A"/>
            </w:tcBorders>
            <w:shd w:val="clear" w:color="auto" w:fill="auto"/>
            <w:hideMark/>
          </w:tcPr>
          <w:p w14:paraId="71558CDA" w14:textId="77777777" w:rsidR="00302BFE" w:rsidRPr="00B43F59" w:rsidRDefault="00302BFE" w:rsidP="00243B15">
            <w:pPr>
              <w:pStyle w:val="TableParagraph"/>
              <w:spacing w:before="15" w:line="220" w:lineRule="atLeast"/>
              <w:ind w:left="80" w:right="75"/>
              <w:rPr>
                <w:rFonts w:ascii="Calibri" w:hAnsi="Calibri"/>
                <w:b/>
                <w:sz w:val="16"/>
                <w:lang w:val="fr-CA"/>
              </w:rPr>
            </w:pPr>
            <w:r w:rsidRPr="00B43F59">
              <w:rPr>
                <w:rFonts w:ascii="Calibri" w:hAnsi="Calibri"/>
                <w:b/>
                <w:sz w:val="16"/>
                <w:lang w:val="fr-CA"/>
              </w:rPr>
              <w:t>Il existe des stratégies et des programmes de recherche pertinents pour l’élaboration de politiques environnementales, mais les informations sur les recherches ne répondent pas pleinement aux besoins en matière de politiques.</w:t>
            </w:r>
          </w:p>
        </w:tc>
        <w:tc>
          <w:tcPr>
            <w:tcW w:w="567" w:type="dxa"/>
            <w:tcBorders>
              <w:top w:val="single" w:sz="4" w:space="0" w:color="16459A"/>
              <w:left w:val="single" w:sz="4" w:space="0" w:color="16459A"/>
              <w:bottom w:val="single" w:sz="4" w:space="0" w:color="16459A"/>
              <w:right w:val="single" w:sz="4" w:space="0" w:color="16459A"/>
            </w:tcBorders>
            <w:shd w:val="clear" w:color="auto" w:fill="auto"/>
            <w:hideMark/>
          </w:tcPr>
          <w:p w14:paraId="7A098A04" w14:textId="77777777" w:rsidR="00302BFE" w:rsidRPr="00B43F59" w:rsidRDefault="00302BFE" w:rsidP="00243B15">
            <w:pPr>
              <w:pStyle w:val="TableParagraph"/>
              <w:spacing w:before="39"/>
              <w:ind w:left="80"/>
              <w:rPr>
                <w:rFonts w:ascii="Calibri" w:hAnsi="Calibri"/>
                <w:b/>
                <w:sz w:val="16"/>
              </w:rPr>
            </w:pPr>
            <w:r w:rsidRPr="00B43F59">
              <w:rPr>
                <w:rFonts w:ascii="Calibri" w:hAnsi="Calibri"/>
                <w:b/>
                <w:sz w:val="16"/>
              </w:rPr>
              <w:t>2</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5B00C159"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470663F3"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000000"/>
            </w:tcBorders>
            <w:shd w:val="clear" w:color="auto" w:fill="auto"/>
          </w:tcPr>
          <w:p w14:paraId="5B353B57" w14:textId="77777777" w:rsidR="00302BFE" w:rsidRPr="00B43F59" w:rsidRDefault="00302BFE" w:rsidP="00243B15">
            <w:pPr>
              <w:pStyle w:val="TableParagraph"/>
              <w:rPr>
                <w:rFonts w:ascii="Calibri" w:hAnsi="Calibri"/>
                <w:sz w:val="16"/>
              </w:rPr>
            </w:pPr>
          </w:p>
        </w:tc>
        <w:tc>
          <w:tcPr>
            <w:tcW w:w="3661" w:type="dxa"/>
            <w:tcBorders>
              <w:top w:val="single" w:sz="4" w:space="0" w:color="16459A"/>
              <w:left w:val="single" w:sz="4" w:space="0" w:color="000000"/>
              <w:bottom w:val="single" w:sz="4" w:space="0" w:color="16459A"/>
              <w:right w:val="single" w:sz="4" w:space="0" w:color="000000"/>
            </w:tcBorders>
            <w:shd w:val="clear" w:color="auto" w:fill="auto"/>
          </w:tcPr>
          <w:p w14:paraId="24325F2F" w14:textId="77777777" w:rsidR="00302BFE" w:rsidRPr="00B43F59" w:rsidRDefault="00302BFE" w:rsidP="00243B15">
            <w:pPr>
              <w:pStyle w:val="TableParagraph"/>
              <w:rPr>
                <w:rFonts w:ascii="Calibri" w:hAnsi="Calibri"/>
                <w:sz w:val="16"/>
              </w:rPr>
            </w:pPr>
          </w:p>
        </w:tc>
      </w:tr>
      <w:tr w:rsidR="00302BFE" w:rsidRPr="00B43F59" w14:paraId="4E001AA9" w14:textId="77777777" w:rsidTr="00243B15">
        <w:trPr>
          <w:trHeight w:val="490"/>
          <w:jc w:val="center"/>
        </w:trPr>
        <w:tc>
          <w:tcPr>
            <w:tcW w:w="1246" w:type="dxa"/>
            <w:vMerge/>
            <w:tcBorders>
              <w:top w:val="single" w:sz="4" w:space="0" w:color="16459A"/>
              <w:left w:val="single" w:sz="6" w:space="0" w:color="16459A"/>
              <w:bottom w:val="single" w:sz="4" w:space="0" w:color="16459A"/>
              <w:right w:val="single" w:sz="6" w:space="0" w:color="16459A"/>
            </w:tcBorders>
            <w:shd w:val="clear" w:color="auto" w:fill="auto"/>
            <w:vAlign w:val="center"/>
            <w:hideMark/>
          </w:tcPr>
          <w:p w14:paraId="6005C3CB" w14:textId="77777777" w:rsidR="00302BFE" w:rsidRPr="00B43F59" w:rsidRDefault="00302BFE" w:rsidP="00243B15">
            <w:pPr>
              <w:widowControl w:val="0"/>
              <w:autoSpaceDE w:val="0"/>
              <w:autoSpaceDN w:val="0"/>
              <w:rPr>
                <w:rFonts w:eastAsia="Myriad Pro Light" w:cs="Myriad Pro Light"/>
                <w:b/>
                <w:sz w:val="16"/>
                <w:szCs w:val="22"/>
                <w:lang w:val="fr-CA"/>
              </w:rPr>
            </w:pPr>
          </w:p>
        </w:tc>
        <w:tc>
          <w:tcPr>
            <w:tcW w:w="4297" w:type="dxa"/>
            <w:tcBorders>
              <w:top w:val="single" w:sz="4" w:space="0" w:color="16459A"/>
              <w:left w:val="single" w:sz="4" w:space="0" w:color="16459A"/>
              <w:bottom w:val="single" w:sz="4" w:space="0" w:color="16459A"/>
              <w:right w:val="single" w:sz="4" w:space="0" w:color="16459A"/>
            </w:tcBorders>
            <w:shd w:val="clear" w:color="auto" w:fill="auto"/>
            <w:hideMark/>
          </w:tcPr>
          <w:p w14:paraId="58352A4C" w14:textId="77777777" w:rsidR="00302BFE" w:rsidRPr="00B43F59" w:rsidRDefault="00302BFE" w:rsidP="00243B15">
            <w:pPr>
              <w:pStyle w:val="TableParagraph"/>
              <w:spacing w:before="15" w:line="220" w:lineRule="atLeast"/>
              <w:ind w:left="80" w:right="176"/>
              <w:rPr>
                <w:rFonts w:ascii="Calibri" w:hAnsi="Calibri"/>
                <w:b/>
                <w:sz w:val="16"/>
                <w:lang w:val="fr-CA"/>
              </w:rPr>
            </w:pPr>
            <w:r w:rsidRPr="00B43F59">
              <w:rPr>
                <w:rFonts w:ascii="Calibri" w:hAnsi="Calibri"/>
                <w:b/>
                <w:sz w:val="16"/>
                <w:lang w:val="fr-CA"/>
              </w:rPr>
              <w:t>Les résultats de recherche pertinents sont disponibles pour l'élaboration de politiques environnementales</w:t>
            </w:r>
          </w:p>
        </w:tc>
        <w:tc>
          <w:tcPr>
            <w:tcW w:w="567" w:type="dxa"/>
            <w:tcBorders>
              <w:top w:val="single" w:sz="4" w:space="0" w:color="16459A"/>
              <w:left w:val="single" w:sz="4" w:space="0" w:color="16459A"/>
              <w:bottom w:val="single" w:sz="4" w:space="0" w:color="16459A"/>
              <w:right w:val="single" w:sz="4" w:space="0" w:color="16459A"/>
            </w:tcBorders>
            <w:shd w:val="clear" w:color="auto" w:fill="auto"/>
            <w:hideMark/>
          </w:tcPr>
          <w:p w14:paraId="0AA48080" w14:textId="77777777" w:rsidR="00302BFE" w:rsidRPr="00B43F59" w:rsidRDefault="00302BFE" w:rsidP="00243B15">
            <w:pPr>
              <w:pStyle w:val="TableParagraph"/>
              <w:spacing w:before="39"/>
              <w:ind w:left="80"/>
              <w:rPr>
                <w:rFonts w:ascii="Calibri" w:hAnsi="Calibri"/>
                <w:b/>
                <w:sz w:val="16"/>
              </w:rPr>
            </w:pPr>
            <w:r w:rsidRPr="00B43F59">
              <w:rPr>
                <w:rFonts w:ascii="Calibri" w:hAnsi="Calibri"/>
                <w:b/>
                <w:sz w:val="16"/>
              </w:rPr>
              <w:t>3</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63E26EA3"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00BB4FA4"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tcPr>
          <w:p w14:paraId="2CEAF3B0" w14:textId="77777777" w:rsidR="00302BFE" w:rsidRPr="00B43F59" w:rsidRDefault="00302BFE" w:rsidP="00243B15">
            <w:pPr>
              <w:pStyle w:val="TableParagraph"/>
              <w:rPr>
                <w:rFonts w:ascii="Calibri" w:hAnsi="Calibri"/>
                <w:sz w:val="16"/>
              </w:rPr>
            </w:pPr>
          </w:p>
        </w:tc>
        <w:tc>
          <w:tcPr>
            <w:tcW w:w="3661" w:type="dxa"/>
            <w:tcBorders>
              <w:top w:val="single" w:sz="4" w:space="0" w:color="16459A"/>
              <w:left w:val="single" w:sz="4" w:space="0" w:color="16459A"/>
              <w:bottom w:val="single" w:sz="4" w:space="0" w:color="16459A"/>
              <w:right w:val="single" w:sz="4" w:space="0" w:color="16459A"/>
            </w:tcBorders>
            <w:shd w:val="clear" w:color="auto" w:fill="auto"/>
          </w:tcPr>
          <w:p w14:paraId="4C9367C0" w14:textId="77777777" w:rsidR="00302BFE" w:rsidRPr="00B43F59" w:rsidRDefault="00302BFE" w:rsidP="00243B15">
            <w:pPr>
              <w:pStyle w:val="TableParagraph"/>
              <w:rPr>
                <w:rFonts w:ascii="Calibri" w:hAnsi="Calibri"/>
                <w:sz w:val="16"/>
              </w:rPr>
            </w:pPr>
          </w:p>
        </w:tc>
      </w:tr>
      <w:tr w:rsidR="00302BFE" w:rsidRPr="00B43F59" w14:paraId="09BB49A4" w14:textId="77777777" w:rsidTr="00243B15">
        <w:trPr>
          <w:trHeight w:val="512"/>
          <w:jc w:val="center"/>
        </w:trPr>
        <w:tc>
          <w:tcPr>
            <w:tcW w:w="1246" w:type="dxa"/>
            <w:vMerge w:val="restart"/>
            <w:tcBorders>
              <w:top w:val="single" w:sz="4" w:space="0" w:color="16459A"/>
              <w:left w:val="single" w:sz="6" w:space="0" w:color="16459A"/>
              <w:bottom w:val="single" w:sz="4" w:space="0" w:color="16459A"/>
              <w:right w:val="single" w:sz="6" w:space="0" w:color="16459A"/>
            </w:tcBorders>
            <w:shd w:val="clear" w:color="auto" w:fill="E0E1F1"/>
            <w:hideMark/>
          </w:tcPr>
          <w:p w14:paraId="750BA8BF" w14:textId="77777777" w:rsidR="00302BFE" w:rsidRPr="00B43F59" w:rsidRDefault="00302BFE" w:rsidP="00243B15">
            <w:pPr>
              <w:pStyle w:val="TableParagraph"/>
              <w:rPr>
                <w:rFonts w:ascii="Calibri" w:hAnsi="Calibri"/>
                <w:b/>
                <w:sz w:val="16"/>
                <w:lang w:val="fr-CA"/>
              </w:rPr>
            </w:pPr>
            <w:r w:rsidRPr="00B43F59">
              <w:rPr>
                <w:rFonts w:ascii="Calibri" w:hAnsi="Calibri"/>
                <w:b/>
                <w:sz w:val="16"/>
                <w:lang w:val="fr-CA"/>
              </w:rPr>
              <w:t>Indicateur 8:</w:t>
            </w:r>
          </w:p>
          <w:p w14:paraId="5B55A20B" w14:textId="77777777" w:rsidR="00302BFE" w:rsidRPr="00B43F59" w:rsidRDefault="00302BFE" w:rsidP="00243B15">
            <w:pPr>
              <w:pStyle w:val="TableParagraph"/>
              <w:rPr>
                <w:rFonts w:ascii="Calibri" w:hAnsi="Calibri"/>
                <w:b/>
                <w:sz w:val="16"/>
                <w:lang w:val="fr-CA"/>
              </w:rPr>
            </w:pPr>
            <w:r w:rsidRPr="00B43F59">
              <w:rPr>
                <w:rFonts w:ascii="Calibri" w:hAnsi="Calibri"/>
                <w:b/>
                <w:sz w:val="16"/>
                <w:lang w:val="fr-CA"/>
              </w:rPr>
              <w:t>Degré d'inclusion / utilisation des connaissances traditionnelles dans la prise de décisions concernant l'environnement</w:t>
            </w:r>
          </w:p>
        </w:tc>
        <w:tc>
          <w:tcPr>
            <w:tcW w:w="4297" w:type="dxa"/>
            <w:tcBorders>
              <w:top w:val="single" w:sz="4" w:space="0" w:color="16459A"/>
              <w:left w:val="single" w:sz="4" w:space="0" w:color="16459A"/>
              <w:bottom w:val="single" w:sz="4" w:space="0" w:color="16459A"/>
              <w:right w:val="single" w:sz="4" w:space="0" w:color="16459A"/>
            </w:tcBorders>
            <w:shd w:val="clear" w:color="auto" w:fill="auto"/>
            <w:hideMark/>
          </w:tcPr>
          <w:p w14:paraId="7F36672B" w14:textId="77777777" w:rsidR="00302BFE" w:rsidRPr="00B43F59" w:rsidRDefault="00302BFE" w:rsidP="00243B15">
            <w:pPr>
              <w:pStyle w:val="TableParagraph"/>
              <w:spacing w:line="194" w:lineRule="exact"/>
              <w:ind w:left="80"/>
              <w:rPr>
                <w:rFonts w:ascii="Calibri" w:hAnsi="Calibri"/>
                <w:b/>
                <w:sz w:val="16"/>
                <w:lang w:val="fr-CA"/>
              </w:rPr>
            </w:pPr>
            <w:r w:rsidRPr="00B43F59">
              <w:rPr>
                <w:rFonts w:ascii="Calibri" w:hAnsi="Calibri"/>
                <w:b/>
                <w:sz w:val="16"/>
                <w:lang w:val="fr-CA"/>
              </w:rPr>
              <w:t>Les connaissances traditionnelles sont ignorées et ne sont pas prises en compte dans les processus décisionnels participatifs pertinents</w:t>
            </w:r>
          </w:p>
        </w:tc>
        <w:tc>
          <w:tcPr>
            <w:tcW w:w="567" w:type="dxa"/>
            <w:tcBorders>
              <w:top w:val="single" w:sz="4" w:space="0" w:color="16459A"/>
              <w:left w:val="single" w:sz="4" w:space="0" w:color="16459A"/>
              <w:bottom w:val="single" w:sz="4" w:space="0" w:color="16459A"/>
              <w:right w:val="single" w:sz="4" w:space="0" w:color="16459A"/>
            </w:tcBorders>
            <w:shd w:val="clear" w:color="auto" w:fill="auto"/>
            <w:hideMark/>
          </w:tcPr>
          <w:p w14:paraId="6520E164" w14:textId="77777777" w:rsidR="00302BFE" w:rsidRPr="00B43F59" w:rsidRDefault="00302BFE" w:rsidP="00243B15">
            <w:pPr>
              <w:pStyle w:val="TableParagraph"/>
              <w:spacing w:before="39"/>
              <w:ind w:left="80"/>
              <w:rPr>
                <w:rFonts w:ascii="Calibri" w:hAnsi="Calibri"/>
                <w:b/>
                <w:sz w:val="16"/>
              </w:rPr>
            </w:pPr>
            <w:r w:rsidRPr="00B43F59">
              <w:rPr>
                <w:rFonts w:ascii="Calibri" w:hAnsi="Calibri"/>
                <w:b/>
                <w:sz w:val="16"/>
              </w:rPr>
              <w:t>0</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3973B470"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26DDF0E0"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tcPr>
          <w:p w14:paraId="2B6E8017" w14:textId="77777777" w:rsidR="00302BFE" w:rsidRPr="00B43F59" w:rsidRDefault="00302BFE" w:rsidP="00243B15">
            <w:pPr>
              <w:pStyle w:val="TableParagraph"/>
              <w:rPr>
                <w:rFonts w:ascii="Calibri" w:hAnsi="Calibri"/>
                <w:sz w:val="16"/>
              </w:rPr>
            </w:pPr>
          </w:p>
        </w:tc>
        <w:tc>
          <w:tcPr>
            <w:tcW w:w="3661" w:type="dxa"/>
            <w:tcBorders>
              <w:top w:val="single" w:sz="4" w:space="0" w:color="16459A"/>
              <w:left w:val="single" w:sz="4" w:space="0" w:color="16459A"/>
              <w:bottom w:val="single" w:sz="4" w:space="0" w:color="16459A"/>
              <w:right w:val="single" w:sz="4" w:space="0" w:color="16459A"/>
            </w:tcBorders>
            <w:shd w:val="clear" w:color="auto" w:fill="auto"/>
          </w:tcPr>
          <w:p w14:paraId="4934CD78" w14:textId="77777777" w:rsidR="00302BFE" w:rsidRPr="00B43F59" w:rsidRDefault="00302BFE" w:rsidP="00243B15">
            <w:pPr>
              <w:pStyle w:val="TableParagraph"/>
              <w:rPr>
                <w:rFonts w:ascii="Calibri" w:hAnsi="Calibri"/>
                <w:sz w:val="16"/>
              </w:rPr>
            </w:pPr>
          </w:p>
        </w:tc>
      </w:tr>
      <w:tr w:rsidR="00302BFE" w:rsidRPr="0099310D" w14:paraId="7DC89013" w14:textId="77777777" w:rsidTr="00243B15">
        <w:trPr>
          <w:trHeight w:val="930"/>
          <w:jc w:val="center"/>
        </w:trPr>
        <w:tc>
          <w:tcPr>
            <w:tcW w:w="1246" w:type="dxa"/>
            <w:vMerge/>
            <w:tcBorders>
              <w:top w:val="single" w:sz="4" w:space="0" w:color="16459A"/>
              <w:left w:val="single" w:sz="6" w:space="0" w:color="16459A"/>
              <w:bottom w:val="single" w:sz="4" w:space="0" w:color="16459A"/>
              <w:right w:val="single" w:sz="6" w:space="0" w:color="16459A"/>
            </w:tcBorders>
            <w:shd w:val="clear" w:color="auto" w:fill="auto"/>
            <w:vAlign w:val="center"/>
            <w:hideMark/>
          </w:tcPr>
          <w:p w14:paraId="7104D245" w14:textId="77777777" w:rsidR="00302BFE" w:rsidRPr="00B43F59" w:rsidRDefault="00302BFE" w:rsidP="00243B15">
            <w:pPr>
              <w:widowControl w:val="0"/>
              <w:autoSpaceDE w:val="0"/>
              <w:autoSpaceDN w:val="0"/>
              <w:rPr>
                <w:rFonts w:eastAsia="Myriad Pro Light" w:cs="Myriad Pro Light"/>
                <w:b/>
                <w:sz w:val="16"/>
                <w:szCs w:val="22"/>
                <w:lang w:val="fr-CA"/>
              </w:rPr>
            </w:pPr>
          </w:p>
        </w:tc>
        <w:tc>
          <w:tcPr>
            <w:tcW w:w="4297" w:type="dxa"/>
            <w:tcBorders>
              <w:top w:val="single" w:sz="4" w:space="0" w:color="16459A"/>
              <w:left w:val="single" w:sz="4" w:space="0" w:color="16459A"/>
              <w:bottom w:val="single" w:sz="4" w:space="0" w:color="16459A"/>
              <w:right w:val="single" w:sz="4" w:space="0" w:color="16459A"/>
            </w:tcBorders>
            <w:shd w:val="clear" w:color="auto" w:fill="auto"/>
            <w:hideMark/>
          </w:tcPr>
          <w:p w14:paraId="61039C06" w14:textId="77777777" w:rsidR="00302BFE" w:rsidRPr="00B43F59" w:rsidRDefault="00302BFE" w:rsidP="00243B15">
            <w:pPr>
              <w:pStyle w:val="TableParagraph"/>
              <w:spacing w:before="15" w:line="220" w:lineRule="atLeast"/>
              <w:ind w:left="80" w:right="176"/>
              <w:rPr>
                <w:rFonts w:ascii="Calibri" w:hAnsi="Calibri"/>
                <w:b/>
                <w:sz w:val="16"/>
                <w:lang w:val="fr-CA"/>
              </w:rPr>
            </w:pPr>
            <w:r w:rsidRPr="00B43F59">
              <w:rPr>
                <w:rFonts w:ascii="Calibri" w:hAnsi="Calibri"/>
                <w:b/>
                <w:sz w:val="16"/>
                <w:lang w:val="fr-CA"/>
              </w:rPr>
              <w:t>Les connaissances traditionnelles sont identifiées et reconnues comme importantes, mais ne sont pas collectées et utilisées dans les processus décisionnels participatifs pertinents</w:t>
            </w:r>
          </w:p>
        </w:tc>
        <w:tc>
          <w:tcPr>
            <w:tcW w:w="567" w:type="dxa"/>
            <w:tcBorders>
              <w:top w:val="single" w:sz="4" w:space="0" w:color="16459A"/>
              <w:left w:val="single" w:sz="4" w:space="0" w:color="16459A"/>
              <w:bottom w:val="single" w:sz="4" w:space="0" w:color="16459A"/>
              <w:right w:val="single" w:sz="4" w:space="0" w:color="16459A"/>
            </w:tcBorders>
            <w:shd w:val="clear" w:color="auto" w:fill="FBE4D5"/>
            <w:hideMark/>
          </w:tcPr>
          <w:p w14:paraId="62856EDD" w14:textId="77777777" w:rsidR="00302BFE" w:rsidRPr="00B43F59" w:rsidRDefault="00302BFE" w:rsidP="00243B15">
            <w:pPr>
              <w:pStyle w:val="TableParagraph"/>
              <w:spacing w:before="39"/>
              <w:ind w:left="80"/>
              <w:rPr>
                <w:rFonts w:ascii="Calibri" w:hAnsi="Calibri"/>
                <w:b/>
                <w:sz w:val="16"/>
              </w:rPr>
            </w:pPr>
            <w:r w:rsidRPr="00B43F59">
              <w:rPr>
                <w:rFonts w:ascii="Calibri" w:hAnsi="Calibri"/>
                <w:b/>
                <w:sz w:val="16"/>
              </w:rPr>
              <w:t>1</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33FB0893"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4084C5A5"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hideMark/>
          </w:tcPr>
          <w:p w14:paraId="409F2767" w14:textId="77777777" w:rsidR="00302BFE" w:rsidRPr="00B43F59" w:rsidRDefault="00302BFE" w:rsidP="00243B15">
            <w:pPr>
              <w:pStyle w:val="TableParagraph"/>
              <w:rPr>
                <w:rFonts w:ascii="Calibri" w:hAnsi="Calibri"/>
                <w:sz w:val="16"/>
                <w:lang w:val="fr-CA"/>
              </w:rPr>
            </w:pPr>
            <w:r w:rsidRPr="00B43F59">
              <w:rPr>
                <w:rFonts w:ascii="Calibri" w:hAnsi="Calibri"/>
                <w:sz w:val="16"/>
                <w:lang w:val="fr-FR"/>
              </w:rPr>
              <w:t>Connaissances connues mais non répertoriées. De temps à autre sont utilisées mais ne sont pas documentées</w:t>
            </w:r>
          </w:p>
        </w:tc>
        <w:tc>
          <w:tcPr>
            <w:tcW w:w="3661" w:type="dxa"/>
            <w:tcBorders>
              <w:top w:val="single" w:sz="4" w:space="0" w:color="16459A"/>
              <w:left w:val="single" w:sz="4" w:space="0" w:color="16459A"/>
              <w:bottom w:val="single" w:sz="4" w:space="0" w:color="16459A"/>
              <w:right w:val="single" w:sz="4" w:space="0" w:color="16459A"/>
            </w:tcBorders>
            <w:shd w:val="clear" w:color="auto" w:fill="auto"/>
            <w:hideMark/>
          </w:tcPr>
          <w:p w14:paraId="34B779CD" w14:textId="77777777" w:rsidR="00302BFE" w:rsidRPr="00B43F59" w:rsidRDefault="00302BFE" w:rsidP="00243B15">
            <w:pPr>
              <w:pStyle w:val="TableParagraph"/>
              <w:rPr>
                <w:rFonts w:ascii="Calibri" w:hAnsi="Calibri"/>
                <w:sz w:val="16"/>
                <w:lang w:val="fr-CA"/>
              </w:rPr>
            </w:pPr>
            <w:r w:rsidRPr="00B43F59">
              <w:rPr>
                <w:rFonts w:ascii="Calibri" w:hAnsi="Calibri"/>
                <w:sz w:val="16"/>
                <w:lang w:val="fr-FR"/>
              </w:rPr>
              <w:t>Faire la collecte des données sur ce que connaissant les pisteurs, les chasseurs, les villages, etc.</w:t>
            </w:r>
          </w:p>
        </w:tc>
      </w:tr>
      <w:tr w:rsidR="00302BFE" w:rsidRPr="00B43F59" w14:paraId="13B0041C" w14:textId="77777777" w:rsidTr="00243B15">
        <w:trPr>
          <w:trHeight w:val="710"/>
          <w:jc w:val="center"/>
        </w:trPr>
        <w:tc>
          <w:tcPr>
            <w:tcW w:w="1246" w:type="dxa"/>
            <w:vMerge/>
            <w:tcBorders>
              <w:top w:val="single" w:sz="4" w:space="0" w:color="16459A"/>
              <w:left w:val="single" w:sz="6" w:space="0" w:color="16459A"/>
              <w:bottom w:val="single" w:sz="4" w:space="0" w:color="16459A"/>
              <w:right w:val="single" w:sz="6" w:space="0" w:color="16459A"/>
            </w:tcBorders>
            <w:shd w:val="clear" w:color="auto" w:fill="auto"/>
            <w:vAlign w:val="center"/>
            <w:hideMark/>
          </w:tcPr>
          <w:p w14:paraId="124C2A9B" w14:textId="77777777" w:rsidR="00302BFE" w:rsidRPr="00B43F59" w:rsidRDefault="00302BFE" w:rsidP="00243B15">
            <w:pPr>
              <w:widowControl w:val="0"/>
              <w:autoSpaceDE w:val="0"/>
              <w:autoSpaceDN w:val="0"/>
              <w:rPr>
                <w:rFonts w:eastAsia="Myriad Pro Light" w:cs="Myriad Pro Light"/>
                <w:b/>
                <w:sz w:val="16"/>
                <w:szCs w:val="22"/>
                <w:lang w:val="fr-CA"/>
              </w:rPr>
            </w:pPr>
          </w:p>
        </w:tc>
        <w:tc>
          <w:tcPr>
            <w:tcW w:w="4297" w:type="dxa"/>
            <w:tcBorders>
              <w:top w:val="single" w:sz="4" w:space="0" w:color="16459A"/>
              <w:left w:val="single" w:sz="4" w:space="0" w:color="16459A"/>
              <w:bottom w:val="single" w:sz="4" w:space="0" w:color="16459A"/>
              <w:right w:val="single" w:sz="4" w:space="0" w:color="16459A"/>
            </w:tcBorders>
            <w:shd w:val="clear" w:color="auto" w:fill="auto"/>
            <w:hideMark/>
          </w:tcPr>
          <w:p w14:paraId="0F0B3FF9" w14:textId="77777777" w:rsidR="00302BFE" w:rsidRPr="00B43F59" w:rsidRDefault="00302BFE" w:rsidP="00243B15">
            <w:pPr>
              <w:pStyle w:val="TableParagraph"/>
              <w:spacing w:before="15" w:line="220" w:lineRule="atLeast"/>
              <w:ind w:left="80" w:right="134"/>
              <w:rPr>
                <w:rFonts w:ascii="Calibri" w:hAnsi="Calibri"/>
                <w:b/>
                <w:sz w:val="16"/>
                <w:lang w:val="fr-CA"/>
              </w:rPr>
            </w:pPr>
            <w:r w:rsidRPr="00B43F59">
              <w:rPr>
                <w:rFonts w:ascii="Calibri" w:hAnsi="Calibri"/>
                <w:b/>
                <w:sz w:val="16"/>
                <w:lang w:val="fr-CA"/>
              </w:rPr>
              <w:t>Les connaissances traditionnelles sont collectées mais ne sont pas systématiquement utilisées dans les processus décisionnels participatifs pertinents</w:t>
            </w:r>
          </w:p>
        </w:tc>
        <w:tc>
          <w:tcPr>
            <w:tcW w:w="567" w:type="dxa"/>
            <w:tcBorders>
              <w:top w:val="single" w:sz="4" w:space="0" w:color="16459A"/>
              <w:left w:val="single" w:sz="4" w:space="0" w:color="16459A"/>
              <w:bottom w:val="single" w:sz="4" w:space="0" w:color="16459A"/>
              <w:right w:val="single" w:sz="4" w:space="0" w:color="16459A"/>
            </w:tcBorders>
            <w:shd w:val="clear" w:color="auto" w:fill="auto"/>
            <w:hideMark/>
          </w:tcPr>
          <w:p w14:paraId="3DA1E7C2" w14:textId="77777777" w:rsidR="00302BFE" w:rsidRPr="00B43F59" w:rsidRDefault="00302BFE" w:rsidP="00243B15">
            <w:pPr>
              <w:pStyle w:val="TableParagraph"/>
              <w:spacing w:before="39"/>
              <w:ind w:left="80"/>
              <w:rPr>
                <w:rFonts w:ascii="Calibri" w:hAnsi="Calibri"/>
                <w:b/>
                <w:sz w:val="16"/>
              </w:rPr>
            </w:pPr>
            <w:r w:rsidRPr="00B43F59">
              <w:rPr>
                <w:rFonts w:ascii="Calibri" w:hAnsi="Calibri"/>
                <w:b/>
                <w:sz w:val="16"/>
              </w:rPr>
              <w:t>2</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0744CF14"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75C8DE52"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tcPr>
          <w:p w14:paraId="3605E880" w14:textId="77777777" w:rsidR="00302BFE" w:rsidRPr="00B43F59" w:rsidRDefault="00302BFE" w:rsidP="00243B15">
            <w:pPr>
              <w:pStyle w:val="TableParagraph"/>
              <w:rPr>
                <w:rFonts w:ascii="Calibri" w:hAnsi="Calibri"/>
                <w:sz w:val="16"/>
              </w:rPr>
            </w:pPr>
          </w:p>
        </w:tc>
        <w:tc>
          <w:tcPr>
            <w:tcW w:w="3661" w:type="dxa"/>
            <w:tcBorders>
              <w:top w:val="single" w:sz="4" w:space="0" w:color="16459A"/>
              <w:left w:val="single" w:sz="4" w:space="0" w:color="16459A"/>
              <w:bottom w:val="single" w:sz="4" w:space="0" w:color="16459A"/>
              <w:right w:val="single" w:sz="4" w:space="0" w:color="16459A"/>
            </w:tcBorders>
            <w:shd w:val="clear" w:color="auto" w:fill="auto"/>
          </w:tcPr>
          <w:p w14:paraId="1BB541F5" w14:textId="77777777" w:rsidR="00302BFE" w:rsidRPr="00B43F59" w:rsidRDefault="00302BFE" w:rsidP="00243B15">
            <w:pPr>
              <w:pStyle w:val="TableParagraph"/>
              <w:rPr>
                <w:rFonts w:ascii="Calibri" w:hAnsi="Calibri"/>
                <w:sz w:val="16"/>
              </w:rPr>
            </w:pPr>
          </w:p>
        </w:tc>
      </w:tr>
      <w:tr w:rsidR="00302BFE" w:rsidRPr="00B43F59" w14:paraId="0C7DDBE2" w14:textId="77777777" w:rsidTr="00243B15">
        <w:trPr>
          <w:trHeight w:val="710"/>
          <w:jc w:val="center"/>
        </w:trPr>
        <w:tc>
          <w:tcPr>
            <w:tcW w:w="1246" w:type="dxa"/>
            <w:vMerge/>
            <w:tcBorders>
              <w:top w:val="single" w:sz="4" w:space="0" w:color="16459A"/>
              <w:left w:val="single" w:sz="6" w:space="0" w:color="16459A"/>
              <w:bottom w:val="single" w:sz="4" w:space="0" w:color="16459A"/>
              <w:right w:val="single" w:sz="6" w:space="0" w:color="16459A"/>
            </w:tcBorders>
            <w:shd w:val="clear" w:color="auto" w:fill="auto"/>
            <w:vAlign w:val="center"/>
            <w:hideMark/>
          </w:tcPr>
          <w:p w14:paraId="629A712C" w14:textId="77777777" w:rsidR="00302BFE" w:rsidRPr="00B43F59" w:rsidRDefault="00302BFE" w:rsidP="00243B15">
            <w:pPr>
              <w:widowControl w:val="0"/>
              <w:autoSpaceDE w:val="0"/>
              <w:autoSpaceDN w:val="0"/>
              <w:rPr>
                <w:rFonts w:eastAsia="Myriad Pro Light" w:cs="Myriad Pro Light"/>
                <w:b/>
                <w:sz w:val="16"/>
                <w:szCs w:val="22"/>
                <w:lang w:val="fr-CA"/>
              </w:rPr>
            </w:pPr>
          </w:p>
        </w:tc>
        <w:tc>
          <w:tcPr>
            <w:tcW w:w="4297" w:type="dxa"/>
            <w:tcBorders>
              <w:top w:val="single" w:sz="4" w:space="0" w:color="16459A"/>
              <w:left w:val="single" w:sz="4" w:space="0" w:color="16459A"/>
              <w:bottom w:val="single" w:sz="4" w:space="0" w:color="16459A"/>
              <w:right w:val="single" w:sz="4" w:space="0" w:color="16459A"/>
            </w:tcBorders>
            <w:shd w:val="clear" w:color="auto" w:fill="auto"/>
            <w:hideMark/>
          </w:tcPr>
          <w:p w14:paraId="59F49E5E" w14:textId="77777777" w:rsidR="00302BFE" w:rsidRPr="00B43F59" w:rsidRDefault="00302BFE" w:rsidP="00243B15">
            <w:pPr>
              <w:pStyle w:val="TableParagraph"/>
              <w:spacing w:before="15" w:line="220" w:lineRule="atLeast"/>
              <w:ind w:left="80" w:right="247"/>
              <w:rPr>
                <w:rFonts w:ascii="Calibri" w:hAnsi="Calibri"/>
                <w:b/>
                <w:sz w:val="16"/>
                <w:lang w:val="fr-CA"/>
              </w:rPr>
            </w:pPr>
            <w:r w:rsidRPr="00B43F59">
              <w:rPr>
                <w:rFonts w:ascii="Calibri" w:hAnsi="Calibri"/>
                <w:b/>
                <w:sz w:val="16"/>
                <w:lang w:val="fr-CA"/>
              </w:rPr>
              <w:t>Les connaissances traditionnelles sont collectées, utilisées et partagées pour des processus décisionnels participatifs efficaces</w:t>
            </w:r>
          </w:p>
        </w:tc>
        <w:tc>
          <w:tcPr>
            <w:tcW w:w="567" w:type="dxa"/>
            <w:tcBorders>
              <w:top w:val="single" w:sz="4" w:space="0" w:color="16459A"/>
              <w:left w:val="single" w:sz="4" w:space="0" w:color="16459A"/>
              <w:bottom w:val="single" w:sz="4" w:space="0" w:color="16459A"/>
              <w:right w:val="single" w:sz="4" w:space="0" w:color="16459A"/>
            </w:tcBorders>
            <w:shd w:val="clear" w:color="auto" w:fill="auto"/>
            <w:hideMark/>
          </w:tcPr>
          <w:p w14:paraId="186C5FE1" w14:textId="77777777" w:rsidR="00302BFE" w:rsidRPr="00B43F59" w:rsidRDefault="00302BFE" w:rsidP="00243B15">
            <w:pPr>
              <w:pStyle w:val="TableParagraph"/>
              <w:spacing w:before="39"/>
              <w:ind w:left="80"/>
              <w:rPr>
                <w:rFonts w:ascii="Calibri" w:hAnsi="Calibri"/>
                <w:b/>
                <w:sz w:val="16"/>
              </w:rPr>
            </w:pPr>
            <w:r w:rsidRPr="00B43F59">
              <w:rPr>
                <w:rFonts w:ascii="Calibri" w:hAnsi="Calibri"/>
                <w:b/>
                <w:sz w:val="16"/>
              </w:rPr>
              <w:t>3</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10A70B84"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73717315"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tcPr>
          <w:p w14:paraId="6258EC4E" w14:textId="77777777" w:rsidR="00302BFE" w:rsidRPr="00B43F59" w:rsidRDefault="00302BFE" w:rsidP="00243B15">
            <w:pPr>
              <w:pStyle w:val="TableParagraph"/>
              <w:rPr>
                <w:rFonts w:ascii="Calibri" w:hAnsi="Calibri"/>
                <w:sz w:val="16"/>
              </w:rPr>
            </w:pPr>
          </w:p>
        </w:tc>
        <w:tc>
          <w:tcPr>
            <w:tcW w:w="3661" w:type="dxa"/>
            <w:tcBorders>
              <w:top w:val="single" w:sz="4" w:space="0" w:color="16459A"/>
              <w:left w:val="single" w:sz="4" w:space="0" w:color="16459A"/>
              <w:bottom w:val="single" w:sz="4" w:space="0" w:color="16459A"/>
              <w:right w:val="single" w:sz="4" w:space="0" w:color="16459A"/>
            </w:tcBorders>
            <w:shd w:val="clear" w:color="auto" w:fill="auto"/>
          </w:tcPr>
          <w:p w14:paraId="086E59F6" w14:textId="77777777" w:rsidR="00302BFE" w:rsidRPr="00B43F59" w:rsidRDefault="00302BFE" w:rsidP="00243B15">
            <w:pPr>
              <w:pStyle w:val="TableParagraph"/>
              <w:rPr>
                <w:rFonts w:ascii="Calibri" w:hAnsi="Calibri"/>
                <w:sz w:val="16"/>
              </w:rPr>
            </w:pPr>
          </w:p>
        </w:tc>
      </w:tr>
      <w:tr w:rsidR="00302BFE" w:rsidRPr="00755BF9" w14:paraId="00F17803" w14:textId="77777777" w:rsidTr="00243B15">
        <w:trPr>
          <w:trHeight w:val="270"/>
          <w:jc w:val="center"/>
        </w:trPr>
        <w:tc>
          <w:tcPr>
            <w:tcW w:w="14166" w:type="dxa"/>
            <w:gridSpan w:val="7"/>
            <w:tcBorders>
              <w:top w:val="single" w:sz="4" w:space="0" w:color="16459A"/>
              <w:left w:val="single" w:sz="4" w:space="0" w:color="16459A"/>
              <w:bottom w:val="single" w:sz="4" w:space="0" w:color="16459A"/>
              <w:right w:val="single" w:sz="4" w:space="0" w:color="16459A"/>
            </w:tcBorders>
            <w:shd w:val="clear" w:color="auto" w:fill="9ABAC3"/>
          </w:tcPr>
          <w:p w14:paraId="53691257" w14:textId="77777777" w:rsidR="00302BFE" w:rsidRPr="00B43F59" w:rsidRDefault="00302BFE" w:rsidP="00243B15">
            <w:pPr>
              <w:pStyle w:val="TableParagraph"/>
              <w:spacing w:before="34"/>
              <w:ind w:left="79"/>
              <w:rPr>
                <w:rFonts w:ascii="Calibri" w:hAnsi="Calibri"/>
                <w:b/>
                <w:i/>
                <w:sz w:val="20"/>
                <w:szCs w:val="20"/>
                <w:lang w:val="fr-CA"/>
              </w:rPr>
            </w:pPr>
            <w:r w:rsidRPr="00B43F59">
              <w:rPr>
                <w:rFonts w:ascii="Calibri" w:hAnsi="Calibri"/>
                <w:b/>
                <w:i/>
                <w:sz w:val="20"/>
                <w:szCs w:val="20"/>
                <w:lang w:val="fr-CA"/>
              </w:rPr>
              <w:t>3: Capacités à élaborer des Stratégies, Politiques et Lois</w:t>
            </w:r>
          </w:p>
        </w:tc>
      </w:tr>
      <w:tr w:rsidR="00302BFE" w:rsidRPr="00B43F59" w14:paraId="52650609" w14:textId="77777777" w:rsidTr="00243B15">
        <w:trPr>
          <w:trHeight w:val="930"/>
          <w:jc w:val="center"/>
        </w:trPr>
        <w:tc>
          <w:tcPr>
            <w:tcW w:w="1246" w:type="dxa"/>
            <w:vMerge w:val="restart"/>
            <w:tcBorders>
              <w:top w:val="single" w:sz="4" w:space="0" w:color="16459A"/>
              <w:left w:val="single" w:sz="6" w:space="0" w:color="16459A"/>
              <w:bottom w:val="single" w:sz="4" w:space="0" w:color="16459A"/>
              <w:right w:val="single" w:sz="4" w:space="0" w:color="16459A"/>
            </w:tcBorders>
            <w:shd w:val="clear" w:color="auto" w:fill="E0E1F1"/>
            <w:hideMark/>
          </w:tcPr>
          <w:p w14:paraId="4A95CDDA" w14:textId="77777777" w:rsidR="00302BFE" w:rsidRPr="00B43F59" w:rsidRDefault="00302BFE" w:rsidP="00243B15">
            <w:pPr>
              <w:pStyle w:val="TableParagraph"/>
              <w:rPr>
                <w:rFonts w:ascii="Calibri" w:hAnsi="Calibri"/>
                <w:b/>
                <w:sz w:val="16"/>
                <w:lang w:val="fr-CA"/>
              </w:rPr>
            </w:pPr>
            <w:r w:rsidRPr="00B43F59">
              <w:rPr>
                <w:rFonts w:ascii="Calibri" w:hAnsi="Calibri"/>
                <w:b/>
                <w:sz w:val="16"/>
                <w:lang w:val="fr-CA"/>
              </w:rPr>
              <w:t>Indicateur 9: Étendue du processus de planification environnementale et d'élaboration de stratégies</w:t>
            </w:r>
          </w:p>
        </w:tc>
        <w:tc>
          <w:tcPr>
            <w:tcW w:w="4297" w:type="dxa"/>
            <w:tcBorders>
              <w:top w:val="single" w:sz="4" w:space="0" w:color="16459A"/>
              <w:left w:val="single" w:sz="4" w:space="0" w:color="16459A"/>
              <w:bottom w:val="single" w:sz="4" w:space="0" w:color="16459A"/>
              <w:right w:val="single" w:sz="4" w:space="0" w:color="16459A"/>
            </w:tcBorders>
            <w:shd w:val="clear" w:color="auto" w:fill="auto"/>
            <w:hideMark/>
          </w:tcPr>
          <w:p w14:paraId="7006F7F7" w14:textId="77777777" w:rsidR="00302BFE" w:rsidRPr="00B43F59" w:rsidRDefault="00302BFE" w:rsidP="00243B15">
            <w:pPr>
              <w:pStyle w:val="TableParagraph"/>
              <w:spacing w:before="15" w:line="220" w:lineRule="atLeast"/>
              <w:ind w:left="80" w:right="176"/>
              <w:rPr>
                <w:rFonts w:ascii="Calibri" w:hAnsi="Calibri"/>
                <w:b/>
                <w:sz w:val="16"/>
                <w:lang w:val="fr-CA"/>
              </w:rPr>
            </w:pPr>
            <w:r w:rsidRPr="00B43F59">
              <w:rPr>
                <w:rFonts w:ascii="Calibri" w:hAnsi="Calibri"/>
                <w:b/>
                <w:sz w:val="16"/>
                <w:lang w:val="fr-CA"/>
              </w:rPr>
              <w:t>Le processus de planification environnementale et d'élaboration de stratégies n'est pas coordonné et ne produit pas de plans et de stratégies environnementaux adéquats</w:t>
            </w:r>
          </w:p>
        </w:tc>
        <w:tc>
          <w:tcPr>
            <w:tcW w:w="567" w:type="dxa"/>
            <w:tcBorders>
              <w:top w:val="single" w:sz="4" w:space="0" w:color="16459A"/>
              <w:left w:val="single" w:sz="4" w:space="0" w:color="16459A"/>
              <w:bottom w:val="single" w:sz="4" w:space="0" w:color="16459A"/>
              <w:right w:val="single" w:sz="4" w:space="0" w:color="16459A"/>
            </w:tcBorders>
            <w:shd w:val="clear" w:color="auto" w:fill="auto"/>
            <w:hideMark/>
          </w:tcPr>
          <w:p w14:paraId="5663A6E1" w14:textId="77777777" w:rsidR="00302BFE" w:rsidRPr="00B43F59" w:rsidRDefault="00302BFE" w:rsidP="00243B15">
            <w:pPr>
              <w:pStyle w:val="TableParagraph"/>
              <w:spacing w:before="39"/>
              <w:ind w:left="80"/>
              <w:rPr>
                <w:rFonts w:ascii="Calibri" w:hAnsi="Calibri"/>
                <w:b/>
                <w:sz w:val="16"/>
              </w:rPr>
            </w:pPr>
            <w:r w:rsidRPr="00B43F59">
              <w:rPr>
                <w:rFonts w:ascii="Calibri" w:hAnsi="Calibri"/>
                <w:b/>
                <w:sz w:val="16"/>
              </w:rPr>
              <w:t>0</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4805F229"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2727E25E"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tcPr>
          <w:p w14:paraId="4023F0F6" w14:textId="77777777" w:rsidR="00302BFE" w:rsidRPr="00B43F59" w:rsidRDefault="00302BFE" w:rsidP="00243B15">
            <w:pPr>
              <w:pStyle w:val="TableParagraph"/>
              <w:rPr>
                <w:rFonts w:ascii="Calibri" w:hAnsi="Calibri"/>
                <w:sz w:val="16"/>
              </w:rPr>
            </w:pPr>
          </w:p>
        </w:tc>
        <w:tc>
          <w:tcPr>
            <w:tcW w:w="3661" w:type="dxa"/>
            <w:tcBorders>
              <w:top w:val="single" w:sz="4" w:space="0" w:color="16459A"/>
              <w:left w:val="single" w:sz="4" w:space="0" w:color="16459A"/>
              <w:bottom w:val="single" w:sz="4" w:space="0" w:color="16459A"/>
              <w:right w:val="single" w:sz="4" w:space="0" w:color="16459A"/>
            </w:tcBorders>
            <w:shd w:val="clear" w:color="auto" w:fill="auto"/>
          </w:tcPr>
          <w:p w14:paraId="3DDFEBC7" w14:textId="77777777" w:rsidR="00302BFE" w:rsidRPr="00B43F59" w:rsidRDefault="00302BFE" w:rsidP="00243B15">
            <w:pPr>
              <w:pStyle w:val="TableParagraph"/>
              <w:rPr>
                <w:rFonts w:ascii="Calibri" w:hAnsi="Calibri"/>
                <w:sz w:val="16"/>
              </w:rPr>
            </w:pPr>
          </w:p>
        </w:tc>
      </w:tr>
      <w:tr w:rsidR="00302BFE" w:rsidRPr="00B43F59" w14:paraId="61AD3E7C" w14:textId="77777777" w:rsidTr="00243B15">
        <w:trPr>
          <w:trHeight w:val="930"/>
          <w:jc w:val="center"/>
        </w:trPr>
        <w:tc>
          <w:tcPr>
            <w:tcW w:w="1246" w:type="dxa"/>
            <w:vMerge/>
            <w:tcBorders>
              <w:top w:val="single" w:sz="4" w:space="0" w:color="16459A"/>
              <w:left w:val="single" w:sz="6" w:space="0" w:color="16459A"/>
              <w:bottom w:val="single" w:sz="4" w:space="0" w:color="16459A"/>
              <w:right w:val="single" w:sz="4" w:space="0" w:color="16459A"/>
            </w:tcBorders>
            <w:shd w:val="clear" w:color="auto" w:fill="auto"/>
            <w:vAlign w:val="center"/>
            <w:hideMark/>
          </w:tcPr>
          <w:p w14:paraId="08A571D2" w14:textId="77777777" w:rsidR="00302BFE" w:rsidRPr="00B43F59" w:rsidRDefault="00302BFE" w:rsidP="00243B15">
            <w:pPr>
              <w:widowControl w:val="0"/>
              <w:autoSpaceDE w:val="0"/>
              <w:autoSpaceDN w:val="0"/>
              <w:rPr>
                <w:rFonts w:eastAsia="Myriad Pro Light" w:cs="Myriad Pro Light"/>
                <w:b/>
                <w:sz w:val="16"/>
                <w:szCs w:val="22"/>
                <w:lang w:val="fr-CA"/>
              </w:rPr>
            </w:pPr>
          </w:p>
        </w:tc>
        <w:tc>
          <w:tcPr>
            <w:tcW w:w="4297" w:type="dxa"/>
            <w:tcBorders>
              <w:top w:val="single" w:sz="4" w:space="0" w:color="16459A"/>
              <w:left w:val="single" w:sz="4" w:space="0" w:color="16459A"/>
              <w:bottom w:val="single" w:sz="4" w:space="0" w:color="16459A"/>
              <w:right w:val="single" w:sz="4" w:space="0" w:color="16459A"/>
            </w:tcBorders>
            <w:shd w:val="clear" w:color="auto" w:fill="auto"/>
            <w:hideMark/>
          </w:tcPr>
          <w:p w14:paraId="4E0C4401" w14:textId="77777777" w:rsidR="00302BFE" w:rsidRPr="00B43F59" w:rsidRDefault="00302BFE" w:rsidP="00243B15">
            <w:pPr>
              <w:pStyle w:val="TableParagraph"/>
              <w:spacing w:before="15" w:line="220" w:lineRule="atLeast"/>
              <w:ind w:left="80" w:right="79"/>
              <w:rPr>
                <w:rFonts w:ascii="Calibri" w:hAnsi="Calibri"/>
                <w:b/>
                <w:sz w:val="16"/>
                <w:lang w:val="fr-CA"/>
              </w:rPr>
            </w:pPr>
            <w:r w:rsidRPr="00B43F59">
              <w:rPr>
                <w:rFonts w:ascii="Calibri" w:hAnsi="Calibri"/>
                <w:b/>
                <w:sz w:val="16"/>
                <w:lang w:val="fr-CA"/>
              </w:rPr>
              <w:t>Le processus de planification environnementale et d'élaboration de stratégies produit des plans et stratégies environnementaux adéquats, mais ils ne sont ni mis en œuvre ni utilisés</w:t>
            </w:r>
          </w:p>
        </w:tc>
        <w:tc>
          <w:tcPr>
            <w:tcW w:w="567" w:type="dxa"/>
            <w:tcBorders>
              <w:top w:val="single" w:sz="4" w:space="0" w:color="16459A"/>
              <w:left w:val="single" w:sz="4" w:space="0" w:color="16459A"/>
              <w:bottom w:val="single" w:sz="4" w:space="0" w:color="16459A"/>
              <w:right w:val="single" w:sz="4" w:space="0" w:color="16459A"/>
            </w:tcBorders>
            <w:shd w:val="clear" w:color="auto" w:fill="auto"/>
            <w:hideMark/>
          </w:tcPr>
          <w:p w14:paraId="4799B57A" w14:textId="77777777" w:rsidR="00302BFE" w:rsidRPr="00B43F59" w:rsidRDefault="00302BFE" w:rsidP="00243B15">
            <w:pPr>
              <w:pStyle w:val="TableParagraph"/>
              <w:spacing w:before="39"/>
              <w:ind w:left="80"/>
              <w:rPr>
                <w:rFonts w:ascii="Calibri" w:hAnsi="Calibri"/>
                <w:b/>
                <w:sz w:val="16"/>
              </w:rPr>
            </w:pPr>
            <w:r w:rsidRPr="00B43F59">
              <w:rPr>
                <w:rFonts w:ascii="Calibri" w:hAnsi="Calibri"/>
                <w:b/>
                <w:sz w:val="16"/>
              </w:rPr>
              <w:t>1</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6ED3DE5D"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510675D8"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tcPr>
          <w:p w14:paraId="7FE3B436" w14:textId="77777777" w:rsidR="00302BFE" w:rsidRPr="00B43F59" w:rsidRDefault="00302BFE" w:rsidP="00243B15">
            <w:pPr>
              <w:pStyle w:val="TableParagraph"/>
              <w:rPr>
                <w:rFonts w:ascii="Calibri" w:hAnsi="Calibri"/>
                <w:sz w:val="16"/>
              </w:rPr>
            </w:pPr>
          </w:p>
        </w:tc>
        <w:tc>
          <w:tcPr>
            <w:tcW w:w="3661" w:type="dxa"/>
            <w:tcBorders>
              <w:top w:val="single" w:sz="4" w:space="0" w:color="16459A"/>
              <w:left w:val="single" w:sz="4" w:space="0" w:color="16459A"/>
              <w:bottom w:val="single" w:sz="4" w:space="0" w:color="16459A"/>
              <w:right w:val="single" w:sz="4" w:space="0" w:color="16459A"/>
            </w:tcBorders>
            <w:shd w:val="clear" w:color="auto" w:fill="auto"/>
          </w:tcPr>
          <w:p w14:paraId="5D85662A" w14:textId="77777777" w:rsidR="00302BFE" w:rsidRPr="00B43F59" w:rsidRDefault="00302BFE" w:rsidP="00243B15">
            <w:pPr>
              <w:pStyle w:val="TableParagraph"/>
              <w:rPr>
                <w:rFonts w:ascii="Calibri" w:hAnsi="Calibri"/>
                <w:sz w:val="16"/>
              </w:rPr>
            </w:pPr>
          </w:p>
        </w:tc>
      </w:tr>
      <w:tr w:rsidR="00302BFE" w:rsidRPr="0099310D" w14:paraId="5085B3E5" w14:textId="77777777" w:rsidTr="00243B15">
        <w:trPr>
          <w:trHeight w:val="398"/>
          <w:jc w:val="center"/>
        </w:trPr>
        <w:tc>
          <w:tcPr>
            <w:tcW w:w="1246" w:type="dxa"/>
            <w:vMerge/>
            <w:tcBorders>
              <w:top w:val="single" w:sz="4" w:space="0" w:color="16459A"/>
              <w:left w:val="single" w:sz="6" w:space="0" w:color="16459A"/>
              <w:bottom w:val="single" w:sz="4" w:space="0" w:color="16459A"/>
              <w:right w:val="single" w:sz="4" w:space="0" w:color="16459A"/>
            </w:tcBorders>
            <w:shd w:val="clear" w:color="auto" w:fill="auto"/>
            <w:vAlign w:val="center"/>
            <w:hideMark/>
          </w:tcPr>
          <w:p w14:paraId="4E430419" w14:textId="77777777" w:rsidR="00302BFE" w:rsidRPr="00B43F59" w:rsidRDefault="00302BFE" w:rsidP="00243B15">
            <w:pPr>
              <w:widowControl w:val="0"/>
              <w:autoSpaceDE w:val="0"/>
              <w:autoSpaceDN w:val="0"/>
              <w:rPr>
                <w:rFonts w:eastAsia="Myriad Pro Light" w:cs="Myriad Pro Light"/>
                <w:b/>
                <w:sz w:val="16"/>
                <w:szCs w:val="22"/>
                <w:lang w:val="fr-CA"/>
              </w:rPr>
            </w:pPr>
          </w:p>
        </w:tc>
        <w:tc>
          <w:tcPr>
            <w:tcW w:w="4297" w:type="dxa"/>
            <w:tcBorders>
              <w:top w:val="single" w:sz="4" w:space="0" w:color="16459A"/>
              <w:left w:val="single" w:sz="4" w:space="0" w:color="16459A"/>
              <w:bottom w:val="single" w:sz="4" w:space="0" w:color="16459A"/>
              <w:right w:val="single" w:sz="4" w:space="0" w:color="16459A"/>
            </w:tcBorders>
            <w:shd w:val="clear" w:color="auto" w:fill="auto"/>
            <w:hideMark/>
          </w:tcPr>
          <w:p w14:paraId="7C00FFE1" w14:textId="77777777" w:rsidR="00302BFE" w:rsidRPr="00B43F59" w:rsidRDefault="00302BFE" w:rsidP="00243B15">
            <w:pPr>
              <w:pStyle w:val="TableParagraph"/>
              <w:spacing w:before="15" w:line="220" w:lineRule="atLeast"/>
              <w:ind w:left="80" w:right="190"/>
              <w:rPr>
                <w:rFonts w:ascii="Calibri" w:hAnsi="Calibri"/>
                <w:b/>
                <w:sz w:val="16"/>
                <w:lang w:val="fr-CA"/>
              </w:rPr>
            </w:pPr>
            <w:r w:rsidRPr="00B43F59">
              <w:rPr>
                <w:rFonts w:ascii="Calibri" w:hAnsi="Calibri"/>
                <w:b/>
                <w:sz w:val="16"/>
                <w:lang w:val="fr-CA"/>
              </w:rPr>
              <w:t>Des plans et stratégies environnementaux adéquats sont élaborés, mais ne sont que partiellement mis en œuvre en raison de contraintes de financement et / ou d'autres problèmes</w:t>
            </w:r>
          </w:p>
        </w:tc>
        <w:tc>
          <w:tcPr>
            <w:tcW w:w="567" w:type="dxa"/>
            <w:tcBorders>
              <w:top w:val="single" w:sz="4" w:space="0" w:color="16459A"/>
              <w:left w:val="single" w:sz="4" w:space="0" w:color="16459A"/>
              <w:bottom w:val="single" w:sz="4" w:space="0" w:color="16459A"/>
              <w:right w:val="single" w:sz="4" w:space="0" w:color="16459A"/>
            </w:tcBorders>
            <w:shd w:val="clear" w:color="auto" w:fill="FBE4D5"/>
            <w:hideMark/>
          </w:tcPr>
          <w:p w14:paraId="4D6561E9" w14:textId="77777777" w:rsidR="00302BFE" w:rsidRPr="00B43F59" w:rsidRDefault="00302BFE" w:rsidP="00243B15">
            <w:pPr>
              <w:pStyle w:val="TableParagraph"/>
              <w:spacing w:before="39"/>
              <w:ind w:left="80"/>
              <w:rPr>
                <w:rFonts w:ascii="Calibri" w:hAnsi="Calibri"/>
                <w:b/>
                <w:sz w:val="16"/>
              </w:rPr>
            </w:pPr>
            <w:r w:rsidRPr="00B43F59">
              <w:rPr>
                <w:rFonts w:ascii="Calibri" w:hAnsi="Calibri"/>
                <w:b/>
                <w:sz w:val="16"/>
              </w:rPr>
              <w:t>2</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4569F532"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0CF058EE"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hideMark/>
          </w:tcPr>
          <w:p w14:paraId="7B906D29" w14:textId="77777777" w:rsidR="00302BFE" w:rsidRPr="00B43F59" w:rsidRDefault="00302BFE" w:rsidP="00243B15">
            <w:pPr>
              <w:pStyle w:val="TableParagraph"/>
              <w:rPr>
                <w:rFonts w:ascii="Calibri" w:hAnsi="Calibri"/>
                <w:sz w:val="16"/>
                <w:lang w:val="fr-CA"/>
              </w:rPr>
            </w:pPr>
            <w:r w:rsidRPr="00B43F59">
              <w:rPr>
                <w:rFonts w:ascii="Calibri" w:hAnsi="Calibri"/>
                <w:sz w:val="16"/>
                <w:lang w:val="fr-CA"/>
              </w:rPr>
              <w:t>De nombreux plans et stratégies sont développés mais leur mise en œuvre est limitée par le manque d’engagement politique</w:t>
            </w:r>
          </w:p>
          <w:p w14:paraId="6EB8C1C4" w14:textId="77777777" w:rsidR="00302BFE" w:rsidRPr="00B43F59" w:rsidRDefault="00302BFE" w:rsidP="00243B15">
            <w:pPr>
              <w:pStyle w:val="TableParagraph"/>
              <w:rPr>
                <w:rFonts w:ascii="Calibri" w:hAnsi="Calibri"/>
                <w:sz w:val="16"/>
                <w:lang w:val="fr-CA"/>
              </w:rPr>
            </w:pPr>
            <w:r w:rsidRPr="00B43F59">
              <w:rPr>
                <w:rFonts w:ascii="Calibri" w:hAnsi="Calibri"/>
                <w:sz w:val="16"/>
                <w:lang w:val="fr-FR"/>
              </w:rPr>
              <w:t xml:space="preserve">Il y a de bonne planification, de bonnes stratégies </w:t>
            </w:r>
            <w:r w:rsidRPr="00B43F59">
              <w:rPr>
                <w:rFonts w:ascii="Calibri" w:hAnsi="Calibri"/>
                <w:sz w:val="16"/>
                <w:lang w:val="fr-FR"/>
              </w:rPr>
              <w:lastRenderedPageBreak/>
              <w:t>mais il manqué les moyens financiers (beaucoup d’écrit sur les politiques, stratégies, et PAG)</w:t>
            </w:r>
          </w:p>
        </w:tc>
        <w:tc>
          <w:tcPr>
            <w:tcW w:w="3661" w:type="dxa"/>
            <w:tcBorders>
              <w:top w:val="single" w:sz="4" w:space="0" w:color="16459A"/>
              <w:left w:val="single" w:sz="4" w:space="0" w:color="16459A"/>
              <w:bottom w:val="single" w:sz="4" w:space="0" w:color="16459A"/>
              <w:right w:val="single" w:sz="4" w:space="0" w:color="16459A"/>
            </w:tcBorders>
            <w:shd w:val="clear" w:color="auto" w:fill="auto"/>
            <w:hideMark/>
          </w:tcPr>
          <w:p w14:paraId="40EE706B" w14:textId="77777777" w:rsidR="00302BFE" w:rsidRPr="00B43F59" w:rsidRDefault="00302BFE" w:rsidP="00243B15">
            <w:pPr>
              <w:pStyle w:val="TableParagraph"/>
              <w:rPr>
                <w:rFonts w:ascii="Calibri" w:hAnsi="Calibri"/>
                <w:sz w:val="16"/>
                <w:lang w:val="fr-FR"/>
              </w:rPr>
            </w:pPr>
            <w:r w:rsidRPr="00B43F59">
              <w:rPr>
                <w:rFonts w:ascii="Calibri" w:hAnsi="Calibri"/>
                <w:sz w:val="16"/>
                <w:lang w:val="fr-FR"/>
              </w:rPr>
              <w:lastRenderedPageBreak/>
              <w:t>Mise en place de ressources financières pour faire une gestion concertée et participative</w:t>
            </w:r>
          </w:p>
          <w:p w14:paraId="165B8839" w14:textId="77777777" w:rsidR="00302BFE" w:rsidRPr="00B43F59" w:rsidRDefault="00302BFE" w:rsidP="00243B15">
            <w:pPr>
              <w:pStyle w:val="TableParagraph"/>
              <w:rPr>
                <w:rFonts w:ascii="Calibri" w:hAnsi="Calibri"/>
                <w:sz w:val="16"/>
                <w:lang w:val="fr-CA"/>
              </w:rPr>
            </w:pPr>
            <w:r w:rsidRPr="00B43F59">
              <w:rPr>
                <w:rFonts w:ascii="Calibri" w:hAnsi="Calibri"/>
                <w:sz w:val="16"/>
                <w:lang w:val="fr-FR"/>
              </w:rPr>
              <w:t>-Revoir la volonté politique (ou engagement de l’Etat. Donc il faut des plaidoyers</w:t>
            </w:r>
          </w:p>
        </w:tc>
      </w:tr>
      <w:tr w:rsidR="00302BFE" w:rsidRPr="00B43F59" w14:paraId="3EB00C5B" w14:textId="77777777" w:rsidTr="00243B15">
        <w:trPr>
          <w:trHeight w:val="930"/>
          <w:jc w:val="center"/>
        </w:trPr>
        <w:tc>
          <w:tcPr>
            <w:tcW w:w="1246" w:type="dxa"/>
            <w:vMerge/>
            <w:tcBorders>
              <w:top w:val="single" w:sz="4" w:space="0" w:color="16459A"/>
              <w:left w:val="single" w:sz="6" w:space="0" w:color="16459A"/>
              <w:bottom w:val="single" w:sz="4" w:space="0" w:color="16459A"/>
              <w:right w:val="single" w:sz="4" w:space="0" w:color="16459A"/>
            </w:tcBorders>
            <w:shd w:val="clear" w:color="auto" w:fill="auto"/>
            <w:vAlign w:val="center"/>
            <w:hideMark/>
          </w:tcPr>
          <w:p w14:paraId="34533315" w14:textId="77777777" w:rsidR="00302BFE" w:rsidRPr="00B43F59" w:rsidRDefault="00302BFE" w:rsidP="00243B15">
            <w:pPr>
              <w:widowControl w:val="0"/>
              <w:autoSpaceDE w:val="0"/>
              <w:autoSpaceDN w:val="0"/>
              <w:rPr>
                <w:rFonts w:eastAsia="Myriad Pro Light" w:cs="Myriad Pro Light"/>
                <w:b/>
                <w:sz w:val="16"/>
                <w:szCs w:val="22"/>
                <w:lang w:val="fr-CA"/>
              </w:rPr>
            </w:pPr>
          </w:p>
        </w:tc>
        <w:tc>
          <w:tcPr>
            <w:tcW w:w="4297" w:type="dxa"/>
            <w:tcBorders>
              <w:top w:val="single" w:sz="4" w:space="0" w:color="16459A"/>
              <w:left w:val="single" w:sz="4" w:space="0" w:color="16459A"/>
              <w:bottom w:val="single" w:sz="4" w:space="0" w:color="16459A"/>
              <w:right w:val="single" w:sz="4" w:space="0" w:color="16459A"/>
            </w:tcBorders>
            <w:shd w:val="clear" w:color="auto" w:fill="auto"/>
            <w:hideMark/>
          </w:tcPr>
          <w:p w14:paraId="76DB6CC4" w14:textId="77777777" w:rsidR="00302BFE" w:rsidRPr="00B43F59" w:rsidRDefault="00302BFE" w:rsidP="00243B15">
            <w:pPr>
              <w:pStyle w:val="TableParagraph"/>
              <w:spacing w:before="15" w:line="220" w:lineRule="atLeast"/>
              <w:ind w:left="80" w:right="190"/>
              <w:rPr>
                <w:rFonts w:ascii="Calibri" w:hAnsi="Calibri"/>
                <w:b/>
                <w:sz w:val="16"/>
                <w:lang w:val="fr-CA"/>
              </w:rPr>
            </w:pPr>
            <w:r w:rsidRPr="00B43F59">
              <w:rPr>
                <w:rFonts w:ascii="Calibri" w:hAnsi="Calibri"/>
                <w:b/>
                <w:sz w:val="16"/>
                <w:lang w:val="fr-CA"/>
              </w:rPr>
              <w:t>Le processus d'élaboration de la stratégie et de la planification environnementales est bien coordonné par les principales organisations environnementales et produit les plans et stratégies environnementaux requis qui sont mis en œuvre</w:t>
            </w:r>
          </w:p>
        </w:tc>
        <w:tc>
          <w:tcPr>
            <w:tcW w:w="567" w:type="dxa"/>
            <w:tcBorders>
              <w:top w:val="single" w:sz="4" w:space="0" w:color="16459A"/>
              <w:left w:val="single" w:sz="4" w:space="0" w:color="16459A"/>
              <w:bottom w:val="single" w:sz="4" w:space="0" w:color="16459A"/>
              <w:right w:val="single" w:sz="4" w:space="0" w:color="16459A"/>
            </w:tcBorders>
            <w:shd w:val="clear" w:color="auto" w:fill="auto"/>
            <w:hideMark/>
          </w:tcPr>
          <w:p w14:paraId="5AE887A0" w14:textId="77777777" w:rsidR="00302BFE" w:rsidRPr="00B43F59" w:rsidRDefault="00302BFE" w:rsidP="00243B15">
            <w:pPr>
              <w:pStyle w:val="TableParagraph"/>
              <w:spacing w:before="39"/>
              <w:ind w:left="80"/>
              <w:rPr>
                <w:rFonts w:ascii="Calibri" w:hAnsi="Calibri"/>
                <w:b/>
                <w:sz w:val="16"/>
              </w:rPr>
            </w:pPr>
            <w:r w:rsidRPr="00B43F59">
              <w:rPr>
                <w:rFonts w:ascii="Calibri" w:hAnsi="Calibri"/>
                <w:b/>
                <w:sz w:val="16"/>
              </w:rPr>
              <w:t>3</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25A7D8AC"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33300644"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tcPr>
          <w:p w14:paraId="546D38FE" w14:textId="77777777" w:rsidR="00302BFE" w:rsidRPr="00B43F59" w:rsidRDefault="00302BFE" w:rsidP="00243B15">
            <w:pPr>
              <w:pStyle w:val="TableParagraph"/>
              <w:rPr>
                <w:rFonts w:ascii="Calibri" w:hAnsi="Calibri"/>
                <w:sz w:val="16"/>
              </w:rPr>
            </w:pPr>
          </w:p>
        </w:tc>
        <w:tc>
          <w:tcPr>
            <w:tcW w:w="3661" w:type="dxa"/>
            <w:tcBorders>
              <w:top w:val="single" w:sz="4" w:space="0" w:color="16459A"/>
              <w:left w:val="single" w:sz="4" w:space="0" w:color="16459A"/>
              <w:bottom w:val="single" w:sz="4" w:space="0" w:color="16459A"/>
              <w:right w:val="single" w:sz="4" w:space="0" w:color="16459A"/>
            </w:tcBorders>
            <w:shd w:val="clear" w:color="auto" w:fill="auto"/>
          </w:tcPr>
          <w:p w14:paraId="7D303D63" w14:textId="77777777" w:rsidR="00302BFE" w:rsidRPr="00B43F59" w:rsidRDefault="00302BFE" w:rsidP="00243B15">
            <w:pPr>
              <w:pStyle w:val="TableParagraph"/>
              <w:rPr>
                <w:rFonts w:ascii="Calibri" w:hAnsi="Calibri"/>
                <w:sz w:val="16"/>
              </w:rPr>
            </w:pPr>
          </w:p>
        </w:tc>
      </w:tr>
      <w:tr w:rsidR="00302BFE" w:rsidRPr="00B43F59" w14:paraId="325D7543" w14:textId="77777777" w:rsidTr="00243B15">
        <w:trPr>
          <w:trHeight w:val="710"/>
          <w:jc w:val="center"/>
        </w:trPr>
        <w:tc>
          <w:tcPr>
            <w:tcW w:w="1246" w:type="dxa"/>
            <w:vMerge w:val="restart"/>
            <w:tcBorders>
              <w:top w:val="nil"/>
              <w:left w:val="single" w:sz="6" w:space="0" w:color="16459A"/>
              <w:bottom w:val="single" w:sz="4" w:space="0" w:color="16459A"/>
              <w:right w:val="single" w:sz="6" w:space="0" w:color="16459A"/>
            </w:tcBorders>
            <w:shd w:val="clear" w:color="auto" w:fill="E0E1F1"/>
            <w:hideMark/>
          </w:tcPr>
          <w:p w14:paraId="02D6CF9C" w14:textId="77777777" w:rsidR="00302BFE" w:rsidRPr="00B43F59" w:rsidRDefault="00302BFE" w:rsidP="00243B15">
            <w:pPr>
              <w:widowControl w:val="0"/>
              <w:autoSpaceDE w:val="0"/>
              <w:autoSpaceDN w:val="0"/>
              <w:rPr>
                <w:rFonts w:eastAsia="Calibri"/>
                <w:sz w:val="2"/>
                <w:szCs w:val="2"/>
                <w:lang w:val="fr-CA"/>
              </w:rPr>
            </w:pPr>
            <w:r w:rsidRPr="00B43F59">
              <w:rPr>
                <w:rFonts w:eastAsia="Calibri"/>
                <w:b/>
                <w:sz w:val="16"/>
                <w:szCs w:val="22"/>
                <w:lang w:val="fr-CA"/>
              </w:rPr>
              <w:t>Indicateur 10: Existence de politiques environnementales et de cadres réglementaires adéquats</w:t>
            </w:r>
          </w:p>
        </w:tc>
        <w:tc>
          <w:tcPr>
            <w:tcW w:w="4297" w:type="dxa"/>
            <w:tcBorders>
              <w:top w:val="single" w:sz="4" w:space="0" w:color="16459A"/>
              <w:left w:val="single" w:sz="4" w:space="0" w:color="16459A"/>
              <w:bottom w:val="single" w:sz="4" w:space="0" w:color="16459A"/>
              <w:right w:val="single" w:sz="4" w:space="0" w:color="16459A"/>
            </w:tcBorders>
            <w:shd w:val="clear" w:color="auto" w:fill="auto"/>
            <w:hideMark/>
          </w:tcPr>
          <w:p w14:paraId="05E75144" w14:textId="77777777" w:rsidR="00302BFE" w:rsidRPr="00B43F59" w:rsidRDefault="00302BFE" w:rsidP="00243B15">
            <w:pPr>
              <w:pStyle w:val="TableParagraph"/>
              <w:spacing w:before="15" w:line="220" w:lineRule="atLeast"/>
              <w:ind w:left="80" w:right="176"/>
              <w:rPr>
                <w:rFonts w:ascii="Calibri" w:hAnsi="Calibri"/>
                <w:b/>
                <w:sz w:val="16"/>
                <w:lang w:val="fr-CA"/>
              </w:rPr>
            </w:pPr>
            <w:r w:rsidRPr="00B43F59">
              <w:rPr>
                <w:rFonts w:ascii="Calibri" w:hAnsi="Calibri"/>
                <w:b/>
                <w:sz w:val="16"/>
                <w:lang w:val="fr-CA"/>
              </w:rPr>
              <w:t>La politique environnementale et les cadres réglementaires sont insuffisants; ils ne fournissent pas un environnement habilitant</w:t>
            </w:r>
          </w:p>
        </w:tc>
        <w:tc>
          <w:tcPr>
            <w:tcW w:w="567" w:type="dxa"/>
            <w:tcBorders>
              <w:top w:val="single" w:sz="4" w:space="0" w:color="16459A"/>
              <w:left w:val="single" w:sz="4" w:space="0" w:color="16459A"/>
              <w:bottom w:val="single" w:sz="4" w:space="0" w:color="16459A"/>
              <w:right w:val="single" w:sz="4" w:space="0" w:color="16459A"/>
            </w:tcBorders>
            <w:shd w:val="clear" w:color="auto" w:fill="auto"/>
            <w:hideMark/>
          </w:tcPr>
          <w:p w14:paraId="16255D06" w14:textId="77777777" w:rsidR="00302BFE" w:rsidRPr="00B43F59" w:rsidRDefault="00302BFE" w:rsidP="00243B15">
            <w:pPr>
              <w:pStyle w:val="TableParagraph"/>
              <w:spacing w:before="39"/>
              <w:ind w:left="80"/>
              <w:rPr>
                <w:rFonts w:ascii="Calibri" w:hAnsi="Calibri"/>
                <w:b/>
                <w:sz w:val="16"/>
              </w:rPr>
            </w:pPr>
            <w:r w:rsidRPr="00B43F59">
              <w:rPr>
                <w:rFonts w:ascii="Calibri" w:hAnsi="Calibri"/>
                <w:b/>
                <w:sz w:val="16"/>
              </w:rPr>
              <w:t>0</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326E65F2"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5049B70A"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tcPr>
          <w:p w14:paraId="36FFCCB8" w14:textId="77777777" w:rsidR="00302BFE" w:rsidRPr="00B43F59" w:rsidRDefault="00302BFE" w:rsidP="00243B15">
            <w:pPr>
              <w:pStyle w:val="TableParagraph"/>
              <w:rPr>
                <w:rFonts w:ascii="Calibri" w:hAnsi="Calibri"/>
                <w:sz w:val="16"/>
              </w:rPr>
            </w:pPr>
          </w:p>
        </w:tc>
        <w:tc>
          <w:tcPr>
            <w:tcW w:w="3661" w:type="dxa"/>
            <w:tcBorders>
              <w:top w:val="single" w:sz="4" w:space="0" w:color="16459A"/>
              <w:left w:val="single" w:sz="4" w:space="0" w:color="16459A"/>
              <w:bottom w:val="single" w:sz="4" w:space="0" w:color="16459A"/>
              <w:right w:val="single" w:sz="4" w:space="0" w:color="16459A"/>
            </w:tcBorders>
            <w:shd w:val="clear" w:color="auto" w:fill="auto"/>
          </w:tcPr>
          <w:p w14:paraId="0E5D74FB" w14:textId="77777777" w:rsidR="00302BFE" w:rsidRPr="00B43F59" w:rsidRDefault="00302BFE" w:rsidP="00243B15">
            <w:pPr>
              <w:pStyle w:val="TableParagraph"/>
              <w:rPr>
                <w:rFonts w:ascii="Calibri" w:hAnsi="Calibri"/>
                <w:sz w:val="16"/>
              </w:rPr>
            </w:pPr>
          </w:p>
        </w:tc>
      </w:tr>
      <w:tr w:rsidR="00302BFE" w:rsidRPr="0099310D" w14:paraId="796A353F" w14:textId="77777777" w:rsidTr="00243B15">
        <w:trPr>
          <w:trHeight w:val="490"/>
          <w:jc w:val="center"/>
        </w:trPr>
        <w:tc>
          <w:tcPr>
            <w:tcW w:w="1246" w:type="dxa"/>
            <w:vMerge/>
            <w:tcBorders>
              <w:top w:val="nil"/>
              <w:left w:val="single" w:sz="6" w:space="0" w:color="16459A"/>
              <w:bottom w:val="single" w:sz="4" w:space="0" w:color="16459A"/>
              <w:right w:val="single" w:sz="6" w:space="0" w:color="16459A"/>
            </w:tcBorders>
            <w:shd w:val="clear" w:color="auto" w:fill="auto"/>
            <w:vAlign w:val="center"/>
            <w:hideMark/>
          </w:tcPr>
          <w:p w14:paraId="46684808" w14:textId="77777777" w:rsidR="00302BFE" w:rsidRPr="00B43F59" w:rsidRDefault="00302BFE" w:rsidP="00243B15">
            <w:pPr>
              <w:widowControl w:val="0"/>
              <w:autoSpaceDE w:val="0"/>
              <w:autoSpaceDN w:val="0"/>
              <w:rPr>
                <w:rFonts w:eastAsia="Myriad Pro Light" w:cs="Myriad Pro Light"/>
                <w:sz w:val="2"/>
                <w:szCs w:val="2"/>
                <w:lang w:val="fr-CA"/>
              </w:rPr>
            </w:pPr>
          </w:p>
        </w:tc>
        <w:tc>
          <w:tcPr>
            <w:tcW w:w="4297" w:type="dxa"/>
            <w:tcBorders>
              <w:top w:val="single" w:sz="4" w:space="0" w:color="16459A"/>
              <w:left w:val="single" w:sz="4" w:space="0" w:color="16459A"/>
              <w:bottom w:val="single" w:sz="4" w:space="0" w:color="16459A"/>
              <w:right w:val="single" w:sz="4" w:space="0" w:color="16459A"/>
            </w:tcBorders>
            <w:shd w:val="clear" w:color="auto" w:fill="auto"/>
            <w:hideMark/>
          </w:tcPr>
          <w:p w14:paraId="29A039B1" w14:textId="77777777" w:rsidR="00302BFE" w:rsidRPr="00B43F59" w:rsidRDefault="00302BFE" w:rsidP="00243B15">
            <w:pPr>
              <w:pStyle w:val="TableParagraph"/>
              <w:spacing w:before="15" w:line="220" w:lineRule="atLeast"/>
              <w:ind w:left="80" w:right="88"/>
              <w:rPr>
                <w:rFonts w:ascii="Calibri" w:hAnsi="Calibri"/>
                <w:b/>
                <w:sz w:val="16"/>
                <w:lang w:val="fr-CA"/>
              </w:rPr>
            </w:pPr>
            <w:r w:rsidRPr="00B43F59">
              <w:rPr>
                <w:rFonts w:ascii="Calibri" w:hAnsi="Calibri"/>
                <w:b/>
                <w:sz w:val="16"/>
                <w:lang w:val="fr-CA"/>
              </w:rPr>
              <w:t>Certaines politiques et lois environnementales pertinentes existent, mais peu sont mises en œuvre et appliquées</w:t>
            </w:r>
          </w:p>
        </w:tc>
        <w:tc>
          <w:tcPr>
            <w:tcW w:w="567" w:type="dxa"/>
            <w:tcBorders>
              <w:top w:val="single" w:sz="4" w:space="0" w:color="16459A"/>
              <w:left w:val="single" w:sz="4" w:space="0" w:color="16459A"/>
              <w:bottom w:val="single" w:sz="4" w:space="0" w:color="16459A"/>
              <w:right w:val="single" w:sz="4" w:space="0" w:color="16459A"/>
            </w:tcBorders>
            <w:shd w:val="clear" w:color="auto" w:fill="FBE4D5"/>
            <w:hideMark/>
          </w:tcPr>
          <w:p w14:paraId="02D20C87" w14:textId="77777777" w:rsidR="00302BFE" w:rsidRPr="00B43F59" w:rsidRDefault="00302BFE" w:rsidP="00243B15">
            <w:pPr>
              <w:pStyle w:val="TableParagraph"/>
              <w:spacing w:before="39"/>
              <w:ind w:left="80"/>
              <w:rPr>
                <w:rFonts w:ascii="Calibri" w:hAnsi="Calibri"/>
                <w:b/>
                <w:sz w:val="16"/>
              </w:rPr>
            </w:pPr>
            <w:r w:rsidRPr="00B43F59">
              <w:rPr>
                <w:rFonts w:ascii="Calibri" w:hAnsi="Calibri"/>
                <w:b/>
                <w:sz w:val="16"/>
              </w:rPr>
              <w:t>1</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4F37469F"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169D28B8"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hideMark/>
          </w:tcPr>
          <w:p w14:paraId="262FD4FD" w14:textId="77777777" w:rsidR="00302BFE" w:rsidRPr="00B43F59" w:rsidRDefault="00302BFE" w:rsidP="00243B15">
            <w:pPr>
              <w:pStyle w:val="TableParagraph"/>
              <w:rPr>
                <w:rFonts w:ascii="Calibri" w:hAnsi="Calibri"/>
                <w:sz w:val="16"/>
                <w:lang w:val="fr-CA"/>
              </w:rPr>
            </w:pPr>
            <w:r w:rsidRPr="00B43F59">
              <w:rPr>
                <w:rFonts w:ascii="Calibri" w:hAnsi="Calibri"/>
                <w:sz w:val="16"/>
                <w:lang w:val="fr-CA"/>
              </w:rPr>
              <w:t>La mise en œuvre des politiques et lois est limitée parce que de nombreux textes d’application sont manquants, les moyens d’application sont insuffisants, et les textes sont insuffisamment connus au niveau local puisqu’ils ne sont pas accessibles en langue locale</w:t>
            </w:r>
          </w:p>
          <w:p w14:paraId="140AC5F4" w14:textId="77777777" w:rsidR="00302BFE" w:rsidRPr="00B43F59" w:rsidRDefault="00302BFE" w:rsidP="00243B15">
            <w:pPr>
              <w:pStyle w:val="TableParagraph"/>
              <w:rPr>
                <w:rFonts w:ascii="Calibri" w:hAnsi="Calibri"/>
                <w:sz w:val="16"/>
                <w:lang w:val="fr-CA"/>
              </w:rPr>
            </w:pPr>
            <w:r w:rsidRPr="00B43F59">
              <w:rPr>
                <w:rFonts w:ascii="Calibri" w:hAnsi="Calibri"/>
                <w:sz w:val="16"/>
                <w:lang w:val="fr-FR"/>
              </w:rPr>
              <w:t>Pas de textes d’application des textes (code forestier, coopération transfrontalière)</w:t>
            </w:r>
          </w:p>
        </w:tc>
        <w:tc>
          <w:tcPr>
            <w:tcW w:w="3661" w:type="dxa"/>
            <w:tcBorders>
              <w:top w:val="single" w:sz="4" w:space="0" w:color="16459A"/>
              <w:left w:val="single" w:sz="4" w:space="0" w:color="16459A"/>
              <w:bottom w:val="single" w:sz="4" w:space="0" w:color="16459A"/>
              <w:right w:val="single" w:sz="4" w:space="0" w:color="16459A"/>
            </w:tcBorders>
            <w:shd w:val="clear" w:color="auto" w:fill="auto"/>
            <w:hideMark/>
          </w:tcPr>
          <w:p w14:paraId="7C58E586" w14:textId="77777777" w:rsidR="00302BFE" w:rsidRPr="00B43F59" w:rsidRDefault="00302BFE" w:rsidP="00243B15">
            <w:pPr>
              <w:pStyle w:val="TableParagraph"/>
              <w:rPr>
                <w:rFonts w:ascii="Calibri" w:hAnsi="Calibri"/>
                <w:sz w:val="16"/>
                <w:lang w:val="fr-CA"/>
              </w:rPr>
            </w:pPr>
            <w:r w:rsidRPr="00B43F59">
              <w:rPr>
                <w:rFonts w:ascii="Calibri" w:hAnsi="Calibri"/>
                <w:sz w:val="16"/>
                <w:lang w:val="fr-FR"/>
              </w:rPr>
              <w:t>Prise en compte des collectivités (traduction en langues locales)</w:t>
            </w:r>
          </w:p>
        </w:tc>
      </w:tr>
      <w:tr w:rsidR="00302BFE" w:rsidRPr="00B43F59" w14:paraId="0C64D06D" w14:textId="77777777" w:rsidTr="00243B15">
        <w:trPr>
          <w:trHeight w:val="710"/>
          <w:jc w:val="center"/>
        </w:trPr>
        <w:tc>
          <w:tcPr>
            <w:tcW w:w="1246" w:type="dxa"/>
            <w:vMerge/>
            <w:tcBorders>
              <w:top w:val="nil"/>
              <w:left w:val="single" w:sz="6" w:space="0" w:color="16459A"/>
              <w:bottom w:val="single" w:sz="4" w:space="0" w:color="16459A"/>
              <w:right w:val="single" w:sz="6" w:space="0" w:color="16459A"/>
            </w:tcBorders>
            <w:shd w:val="clear" w:color="auto" w:fill="auto"/>
            <w:vAlign w:val="center"/>
            <w:hideMark/>
          </w:tcPr>
          <w:p w14:paraId="7A899D8E" w14:textId="77777777" w:rsidR="00302BFE" w:rsidRPr="00B43F59" w:rsidRDefault="00302BFE" w:rsidP="00243B15">
            <w:pPr>
              <w:widowControl w:val="0"/>
              <w:autoSpaceDE w:val="0"/>
              <w:autoSpaceDN w:val="0"/>
              <w:rPr>
                <w:rFonts w:eastAsia="Myriad Pro Light" w:cs="Myriad Pro Light"/>
                <w:sz w:val="2"/>
                <w:szCs w:val="2"/>
                <w:lang w:val="fr-CA"/>
              </w:rPr>
            </w:pPr>
          </w:p>
        </w:tc>
        <w:tc>
          <w:tcPr>
            <w:tcW w:w="4297" w:type="dxa"/>
            <w:tcBorders>
              <w:top w:val="single" w:sz="4" w:space="0" w:color="16459A"/>
              <w:left w:val="single" w:sz="4" w:space="0" w:color="16459A"/>
              <w:bottom w:val="single" w:sz="4" w:space="0" w:color="16459A"/>
              <w:right w:val="single" w:sz="4" w:space="0" w:color="16459A"/>
            </w:tcBorders>
            <w:shd w:val="clear" w:color="auto" w:fill="auto"/>
            <w:hideMark/>
          </w:tcPr>
          <w:p w14:paraId="0C6E518A" w14:textId="77777777" w:rsidR="00302BFE" w:rsidRPr="00B43F59" w:rsidRDefault="00302BFE" w:rsidP="00243B15">
            <w:pPr>
              <w:pStyle w:val="TableParagraph"/>
              <w:spacing w:before="15" w:line="220" w:lineRule="atLeast"/>
              <w:ind w:left="80" w:right="104"/>
              <w:rPr>
                <w:rFonts w:ascii="Calibri" w:hAnsi="Calibri"/>
                <w:b/>
                <w:sz w:val="16"/>
                <w:lang w:val="fr-CA"/>
              </w:rPr>
            </w:pPr>
            <w:r w:rsidRPr="00B43F59">
              <w:rPr>
                <w:rFonts w:ascii="Calibri" w:hAnsi="Calibri"/>
                <w:b/>
                <w:sz w:val="16"/>
                <w:lang w:val="fr-CA"/>
              </w:rPr>
              <w:t>Il existe une politique environnementale adéquate et des cadres législatifs adéquats, mais leur mise en œuvre et leur application posent des problèmes.</w:t>
            </w:r>
          </w:p>
        </w:tc>
        <w:tc>
          <w:tcPr>
            <w:tcW w:w="567" w:type="dxa"/>
            <w:tcBorders>
              <w:top w:val="single" w:sz="4" w:space="0" w:color="16459A"/>
              <w:left w:val="single" w:sz="4" w:space="0" w:color="16459A"/>
              <w:bottom w:val="single" w:sz="4" w:space="0" w:color="16459A"/>
              <w:right w:val="single" w:sz="4" w:space="0" w:color="16459A"/>
            </w:tcBorders>
            <w:shd w:val="clear" w:color="auto" w:fill="auto"/>
            <w:hideMark/>
          </w:tcPr>
          <w:p w14:paraId="7F3AE5D5" w14:textId="77777777" w:rsidR="00302BFE" w:rsidRPr="00B43F59" w:rsidRDefault="00302BFE" w:rsidP="00243B15">
            <w:pPr>
              <w:pStyle w:val="TableParagraph"/>
              <w:spacing w:before="39"/>
              <w:ind w:left="80"/>
              <w:rPr>
                <w:rFonts w:ascii="Calibri" w:hAnsi="Calibri"/>
                <w:b/>
                <w:sz w:val="16"/>
              </w:rPr>
            </w:pPr>
            <w:r w:rsidRPr="00B43F59">
              <w:rPr>
                <w:rFonts w:ascii="Calibri" w:hAnsi="Calibri"/>
                <w:b/>
                <w:sz w:val="16"/>
              </w:rPr>
              <w:t>2</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11902041"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61322B76"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tcPr>
          <w:p w14:paraId="5CBA4381" w14:textId="77777777" w:rsidR="00302BFE" w:rsidRPr="00B43F59" w:rsidRDefault="00302BFE" w:rsidP="00243B15">
            <w:pPr>
              <w:pStyle w:val="TableParagraph"/>
              <w:rPr>
                <w:rFonts w:ascii="Calibri" w:hAnsi="Calibri"/>
                <w:sz w:val="16"/>
              </w:rPr>
            </w:pPr>
          </w:p>
        </w:tc>
        <w:tc>
          <w:tcPr>
            <w:tcW w:w="3661" w:type="dxa"/>
            <w:tcBorders>
              <w:top w:val="single" w:sz="4" w:space="0" w:color="16459A"/>
              <w:left w:val="single" w:sz="4" w:space="0" w:color="16459A"/>
              <w:bottom w:val="single" w:sz="4" w:space="0" w:color="16459A"/>
              <w:right w:val="single" w:sz="4" w:space="0" w:color="16459A"/>
            </w:tcBorders>
            <w:shd w:val="clear" w:color="auto" w:fill="auto"/>
          </w:tcPr>
          <w:p w14:paraId="70BC8C71" w14:textId="77777777" w:rsidR="00302BFE" w:rsidRPr="00B43F59" w:rsidRDefault="00302BFE" w:rsidP="00243B15">
            <w:pPr>
              <w:pStyle w:val="TableParagraph"/>
              <w:rPr>
                <w:rFonts w:ascii="Calibri" w:hAnsi="Calibri"/>
                <w:sz w:val="16"/>
              </w:rPr>
            </w:pPr>
          </w:p>
        </w:tc>
      </w:tr>
      <w:tr w:rsidR="00302BFE" w:rsidRPr="00B43F59" w14:paraId="5E90605A" w14:textId="77777777" w:rsidTr="00243B15">
        <w:trPr>
          <w:trHeight w:val="892"/>
          <w:jc w:val="center"/>
        </w:trPr>
        <w:tc>
          <w:tcPr>
            <w:tcW w:w="1246" w:type="dxa"/>
            <w:vMerge/>
            <w:tcBorders>
              <w:top w:val="nil"/>
              <w:left w:val="single" w:sz="6" w:space="0" w:color="16459A"/>
              <w:bottom w:val="single" w:sz="4" w:space="0" w:color="16459A"/>
              <w:right w:val="single" w:sz="6" w:space="0" w:color="16459A"/>
            </w:tcBorders>
            <w:shd w:val="clear" w:color="auto" w:fill="auto"/>
            <w:vAlign w:val="center"/>
            <w:hideMark/>
          </w:tcPr>
          <w:p w14:paraId="129CA55D" w14:textId="77777777" w:rsidR="00302BFE" w:rsidRPr="00B43F59" w:rsidRDefault="00302BFE" w:rsidP="00243B15">
            <w:pPr>
              <w:widowControl w:val="0"/>
              <w:autoSpaceDE w:val="0"/>
              <w:autoSpaceDN w:val="0"/>
              <w:rPr>
                <w:rFonts w:eastAsia="Myriad Pro Light" w:cs="Myriad Pro Light"/>
                <w:sz w:val="2"/>
                <w:szCs w:val="2"/>
                <w:lang w:val="fr-CA"/>
              </w:rPr>
            </w:pPr>
          </w:p>
        </w:tc>
        <w:tc>
          <w:tcPr>
            <w:tcW w:w="4297" w:type="dxa"/>
            <w:tcBorders>
              <w:top w:val="single" w:sz="4" w:space="0" w:color="16459A"/>
              <w:left w:val="single" w:sz="4" w:space="0" w:color="16459A"/>
              <w:bottom w:val="single" w:sz="4" w:space="0" w:color="16459A"/>
              <w:right w:val="single" w:sz="4" w:space="0" w:color="16459A"/>
            </w:tcBorders>
            <w:shd w:val="clear" w:color="auto" w:fill="auto"/>
            <w:hideMark/>
          </w:tcPr>
          <w:p w14:paraId="1E80AA5E" w14:textId="77777777" w:rsidR="00302BFE" w:rsidRPr="00B43F59" w:rsidRDefault="00302BFE" w:rsidP="00243B15">
            <w:pPr>
              <w:pStyle w:val="TableParagraph"/>
              <w:spacing w:before="15" w:line="220" w:lineRule="atLeast"/>
              <w:ind w:left="80" w:right="305"/>
              <w:rPr>
                <w:rFonts w:ascii="Calibri" w:hAnsi="Calibri"/>
                <w:b/>
                <w:sz w:val="16"/>
                <w:lang w:val="fr-CA"/>
              </w:rPr>
            </w:pPr>
            <w:r w:rsidRPr="00B43F59">
              <w:rPr>
                <w:rFonts w:ascii="Calibri" w:hAnsi="Calibri"/>
                <w:b/>
                <w:sz w:val="16"/>
                <w:lang w:val="fr-CA"/>
              </w:rPr>
              <w:t>Des cadres politiques et législatifs adéquats sont mis en œuvre et créent un environnement habilitant adéquat; un mécanisme de conformité et d'application est établi et fonctionne</w:t>
            </w:r>
          </w:p>
        </w:tc>
        <w:tc>
          <w:tcPr>
            <w:tcW w:w="567" w:type="dxa"/>
            <w:tcBorders>
              <w:top w:val="single" w:sz="4" w:space="0" w:color="16459A"/>
              <w:left w:val="single" w:sz="4" w:space="0" w:color="16459A"/>
              <w:bottom w:val="single" w:sz="4" w:space="0" w:color="16459A"/>
              <w:right w:val="single" w:sz="4" w:space="0" w:color="16459A"/>
            </w:tcBorders>
            <w:shd w:val="clear" w:color="auto" w:fill="auto"/>
            <w:hideMark/>
          </w:tcPr>
          <w:p w14:paraId="491499DC" w14:textId="77777777" w:rsidR="00302BFE" w:rsidRPr="00B43F59" w:rsidRDefault="00302BFE" w:rsidP="00243B15">
            <w:pPr>
              <w:pStyle w:val="TableParagraph"/>
              <w:spacing w:before="39"/>
              <w:ind w:left="80"/>
              <w:rPr>
                <w:rFonts w:ascii="Calibri" w:hAnsi="Calibri"/>
                <w:b/>
                <w:sz w:val="16"/>
              </w:rPr>
            </w:pPr>
            <w:r w:rsidRPr="00B43F59">
              <w:rPr>
                <w:rFonts w:ascii="Calibri" w:hAnsi="Calibri"/>
                <w:b/>
                <w:sz w:val="16"/>
              </w:rPr>
              <w:t>3</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365F723A"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06ADE4BB"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tcPr>
          <w:p w14:paraId="582C7C40" w14:textId="77777777" w:rsidR="00302BFE" w:rsidRPr="00B43F59" w:rsidRDefault="00302BFE" w:rsidP="00243B15">
            <w:pPr>
              <w:pStyle w:val="TableParagraph"/>
              <w:rPr>
                <w:rFonts w:ascii="Calibri" w:hAnsi="Calibri"/>
                <w:sz w:val="16"/>
              </w:rPr>
            </w:pPr>
          </w:p>
        </w:tc>
        <w:tc>
          <w:tcPr>
            <w:tcW w:w="3661" w:type="dxa"/>
            <w:tcBorders>
              <w:top w:val="single" w:sz="4" w:space="0" w:color="16459A"/>
              <w:left w:val="single" w:sz="4" w:space="0" w:color="16459A"/>
              <w:bottom w:val="single" w:sz="4" w:space="0" w:color="16459A"/>
              <w:right w:val="single" w:sz="4" w:space="0" w:color="16459A"/>
            </w:tcBorders>
            <w:shd w:val="clear" w:color="auto" w:fill="auto"/>
          </w:tcPr>
          <w:p w14:paraId="3DA7846F" w14:textId="77777777" w:rsidR="00302BFE" w:rsidRPr="00B43F59" w:rsidRDefault="00302BFE" w:rsidP="00243B15">
            <w:pPr>
              <w:pStyle w:val="TableParagraph"/>
              <w:rPr>
                <w:rFonts w:ascii="Calibri" w:hAnsi="Calibri"/>
                <w:sz w:val="16"/>
              </w:rPr>
            </w:pPr>
          </w:p>
        </w:tc>
      </w:tr>
      <w:tr w:rsidR="00302BFE" w:rsidRPr="00B43F59" w14:paraId="458D577F" w14:textId="77777777" w:rsidTr="00243B15">
        <w:trPr>
          <w:cantSplit/>
          <w:trHeight w:val="487"/>
          <w:jc w:val="center"/>
        </w:trPr>
        <w:tc>
          <w:tcPr>
            <w:tcW w:w="1246" w:type="dxa"/>
            <w:vMerge w:val="restart"/>
            <w:tcBorders>
              <w:top w:val="single" w:sz="4" w:space="0" w:color="16459A"/>
              <w:left w:val="single" w:sz="6" w:space="0" w:color="16459A"/>
              <w:bottom w:val="single" w:sz="6" w:space="0" w:color="16459A"/>
              <w:right w:val="single" w:sz="4" w:space="0" w:color="16459A"/>
            </w:tcBorders>
            <w:shd w:val="clear" w:color="auto" w:fill="E0E1F1"/>
            <w:hideMark/>
          </w:tcPr>
          <w:p w14:paraId="63CD4837" w14:textId="77777777" w:rsidR="00302BFE" w:rsidRPr="00B43F59" w:rsidRDefault="00302BFE" w:rsidP="00243B15">
            <w:pPr>
              <w:pStyle w:val="TableParagraph"/>
              <w:rPr>
                <w:rFonts w:ascii="Calibri" w:hAnsi="Calibri"/>
                <w:b/>
                <w:sz w:val="16"/>
                <w:lang w:val="fr-CA"/>
              </w:rPr>
            </w:pPr>
            <w:r w:rsidRPr="00B43F59">
              <w:rPr>
                <w:rFonts w:ascii="Calibri" w:hAnsi="Calibri"/>
                <w:b/>
                <w:sz w:val="16"/>
                <w:lang w:val="fr-CA"/>
              </w:rPr>
              <w:t>Indicateur 11: Pertinence des informations disponibles sur l'environnement pour la prise de décision</w:t>
            </w:r>
          </w:p>
        </w:tc>
        <w:tc>
          <w:tcPr>
            <w:tcW w:w="4297" w:type="dxa"/>
            <w:tcBorders>
              <w:top w:val="single" w:sz="4" w:space="0" w:color="16459A"/>
              <w:left w:val="single" w:sz="4" w:space="0" w:color="16459A"/>
              <w:bottom w:val="single" w:sz="4" w:space="0" w:color="16459A"/>
              <w:right w:val="single" w:sz="4" w:space="0" w:color="16459A"/>
            </w:tcBorders>
            <w:shd w:val="clear" w:color="auto" w:fill="auto"/>
            <w:hideMark/>
          </w:tcPr>
          <w:p w14:paraId="555858EB" w14:textId="77777777" w:rsidR="00302BFE" w:rsidRPr="00B43F59" w:rsidRDefault="00302BFE" w:rsidP="00243B15">
            <w:pPr>
              <w:pStyle w:val="TableParagraph"/>
              <w:spacing w:before="15" w:line="220" w:lineRule="atLeast"/>
              <w:ind w:left="80" w:right="176"/>
              <w:rPr>
                <w:rFonts w:ascii="Calibri" w:hAnsi="Calibri"/>
                <w:b/>
                <w:sz w:val="16"/>
                <w:lang w:val="fr-CA"/>
              </w:rPr>
            </w:pPr>
            <w:r w:rsidRPr="00B43F59">
              <w:rPr>
                <w:rFonts w:ascii="Calibri" w:hAnsi="Calibri"/>
                <w:b/>
                <w:sz w:val="16"/>
                <w:lang w:val="fr-CA"/>
              </w:rPr>
              <w:t>La disponibilité d'informations environnementales pour la prise de décision fait défaut</w:t>
            </w:r>
          </w:p>
        </w:tc>
        <w:tc>
          <w:tcPr>
            <w:tcW w:w="567" w:type="dxa"/>
            <w:tcBorders>
              <w:top w:val="single" w:sz="4" w:space="0" w:color="16459A"/>
              <w:left w:val="single" w:sz="4" w:space="0" w:color="16459A"/>
              <w:bottom w:val="single" w:sz="4" w:space="0" w:color="16459A"/>
              <w:right w:val="single" w:sz="4" w:space="0" w:color="16459A"/>
            </w:tcBorders>
            <w:shd w:val="clear" w:color="auto" w:fill="auto"/>
            <w:hideMark/>
          </w:tcPr>
          <w:p w14:paraId="395821A3" w14:textId="77777777" w:rsidR="00302BFE" w:rsidRPr="00B43F59" w:rsidRDefault="00302BFE" w:rsidP="00243B15">
            <w:pPr>
              <w:pStyle w:val="TableParagraph"/>
              <w:spacing w:before="39"/>
              <w:ind w:left="80"/>
              <w:rPr>
                <w:rFonts w:ascii="Calibri" w:hAnsi="Calibri"/>
                <w:b/>
                <w:sz w:val="16"/>
              </w:rPr>
            </w:pPr>
            <w:r w:rsidRPr="00B43F59">
              <w:rPr>
                <w:rFonts w:ascii="Calibri" w:hAnsi="Calibri"/>
                <w:b/>
                <w:sz w:val="16"/>
              </w:rPr>
              <w:t>0</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050F4422"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35B57EA1"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tcPr>
          <w:p w14:paraId="0EC7BBC3" w14:textId="77777777" w:rsidR="00302BFE" w:rsidRPr="00B43F59" w:rsidRDefault="00302BFE" w:rsidP="00243B15">
            <w:pPr>
              <w:pStyle w:val="TableParagraph"/>
              <w:rPr>
                <w:rFonts w:ascii="Calibri" w:hAnsi="Calibri"/>
                <w:sz w:val="16"/>
              </w:rPr>
            </w:pPr>
          </w:p>
        </w:tc>
        <w:tc>
          <w:tcPr>
            <w:tcW w:w="3661" w:type="dxa"/>
            <w:tcBorders>
              <w:top w:val="single" w:sz="4" w:space="0" w:color="16459A"/>
              <w:left w:val="single" w:sz="4" w:space="0" w:color="16459A"/>
              <w:bottom w:val="single" w:sz="4" w:space="0" w:color="16459A"/>
              <w:right w:val="single" w:sz="4" w:space="0" w:color="16459A"/>
            </w:tcBorders>
            <w:shd w:val="clear" w:color="auto" w:fill="auto"/>
          </w:tcPr>
          <w:p w14:paraId="1F7AD014" w14:textId="77777777" w:rsidR="00302BFE" w:rsidRPr="00B43F59" w:rsidRDefault="00302BFE" w:rsidP="00243B15">
            <w:pPr>
              <w:pStyle w:val="TableParagraph"/>
              <w:rPr>
                <w:rFonts w:ascii="Calibri" w:hAnsi="Calibri"/>
                <w:sz w:val="16"/>
              </w:rPr>
            </w:pPr>
          </w:p>
        </w:tc>
      </w:tr>
      <w:tr w:rsidR="00302BFE" w:rsidRPr="00B43F59" w14:paraId="5D0DFDC0" w14:textId="77777777" w:rsidTr="00243B15">
        <w:trPr>
          <w:trHeight w:val="705"/>
          <w:jc w:val="center"/>
        </w:trPr>
        <w:tc>
          <w:tcPr>
            <w:tcW w:w="1246" w:type="dxa"/>
            <w:vMerge/>
            <w:tcBorders>
              <w:top w:val="single" w:sz="4" w:space="0" w:color="16459A"/>
              <w:left w:val="single" w:sz="6" w:space="0" w:color="16459A"/>
              <w:bottom w:val="single" w:sz="6" w:space="0" w:color="16459A"/>
              <w:right w:val="single" w:sz="4" w:space="0" w:color="16459A"/>
            </w:tcBorders>
            <w:shd w:val="clear" w:color="auto" w:fill="auto"/>
            <w:vAlign w:val="center"/>
            <w:hideMark/>
          </w:tcPr>
          <w:p w14:paraId="5A6280DF" w14:textId="77777777" w:rsidR="00302BFE" w:rsidRPr="00B43F59" w:rsidRDefault="00302BFE" w:rsidP="00243B15">
            <w:pPr>
              <w:widowControl w:val="0"/>
              <w:autoSpaceDE w:val="0"/>
              <w:autoSpaceDN w:val="0"/>
              <w:rPr>
                <w:rFonts w:eastAsia="Myriad Pro Light" w:cs="Myriad Pro Light"/>
                <w:b/>
                <w:sz w:val="16"/>
                <w:szCs w:val="22"/>
                <w:lang w:val="fr-CA"/>
              </w:rPr>
            </w:pPr>
          </w:p>
        </w:tc>
        <w:tc>
          <w:tcPr>
            <w:tcW w:w="4297" w:type="dxa"/>
            <w:tcBorders>
              <w:top w:val="single" w:sz="4" w:space="0" w:color="16459A"/>
              <w:left w:val="single" w:sz="4" w:space="0" w:color="16459A"/>
              <w:bottom w:val="single" w:sz="6" w:space="0" w:color="16459A"/>
              <w:right w:val="single" w:sz="4" w:space="0" w:color="16459A"/>
            </w:tcBorders>
            <w:shd w:val="clear" w:color="auto" w:fill="auto"/>
            <w:hideMark/>
          </w:tcPr>
          <w:p w14:paraId="0FF6CDC5" w14:textId="77777777" w:rsidR="00302BFE" w:rsidRPr="00B43F59" w:rsidRDefault="00302BFE" w:rsidP="00243B15">
            <w:pPr>
              <w:pStyle w:val="TableParagraph"/>
              <w:spacing w:before="12" w:line="220" w:lineRule="atLeast"/>
              <w:ind w:left="80" w:right="181"/>
              <w:rPr>
                <w:rFonts w:ascii="Calibri" w:hAnsi="Calibri"/>
                <w:b/>
                <w:sz w:val="16"/>
                <w:lang w:val="fr-CA"/>
              </w:rPr>
            </w:pPr>
            <w:r w:rsidRPr="00B43F59">
              <w:rPr>
                <w:rFonts w:ascii="Calibri" w:hAnsi="Calibri"/>
                <w:b/>
                <w:sz w:val="16"/>
                <w:lang w:val="fr-CA"/>
              </w:rPr>
              <w:t>Certaines informations environnementales existent, mais elles ne sont pas suffisantes pour soutenir les processus de prise de décisions environnementales</w:t>
            </w:r>
          </w:p>
        </w:tc>
        <w:tc>
          <w:tcPr>
            <w:tcW w:w="567" w:type="dxa"/>
            <w:tcBorders>
              <w:top w:val="single" w:sz="4" w:space="0" w:color="16459A"/>
              <w:left w:val="single" w:sz="4" w:space="0" w:color="16459A"/>
              <w:bottom w:val="single" w:sz="4" w:space="0" w:color="16459A"/>
              <w:right w:val="single" w:sz="4" w:space="0" w:color="16459A"/>
            </w:tcBorders>
            <w:shd w:val="clear" w:color="auto" w:fill="auto"/>
            <w:hideMark/>
          </w:tcPr>
          <w:p w14:paraId="0A40C17B" w14:textId="77777777" w:rsidR="00302BFE" w:rsidRPr="00B43F59" w:rsidRDefault="00302BFE" w:rsidP="00243B15">
            <w:pPr>
              <w:pStyle w:val="TableParagraph"/>
              <w:spacing w:before="37"/>
              <w:ind w:left="80"/>
              <w:rPr>
                <w:rFonts w:ascii="Calibri" w:hAnsi="Calibri"/>
                <w:b/>
                <w:sz w:val="16"/>
              </w:rPr>
            </w:pPr>
            <w:r w:rsidRPr="00B43F59">
              <w:rPr>
                <w:rFonts w:ascii="Calibri" w:hAnsi="Calibri"/>
                <w:b/>
                <w:sz w:val="16"/>
              </w:rPr>
              <w:t>1</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714B4706"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6FF0ABFC"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tcPr>
          <w:p w14:paraId="7F02D7A8" w14:textId="77777777" w:rsidR="00302BFE" w:rsidRPr="00B43F59" w:rsidRDefault="00302BFE" w:rsidP="00243B15">
            <w:pPr>
              <w:pStyle w:val="TableParagraph"/>
              <w:rPr>
                <w:rFonts w:ascii="Calibri" w:hAnsi="Calibri"/>
                <w:sz w:val="16"/>
                <w:lang w:val="fr-CA"/>
              </w:rPr>
            </w:pPr>
          </w:p>
        </w:tc>
        <w:tc>
          <w:tcPr>
            <w:tcW w:w="3661" w:type="dxa"/>
            <w:tcBorders>
              <w:top w:val="single" w:sz="4" w:space="0" w:color="16459A"/>
              <w:left w:val="single" w:sz="4" w:space="0" w:color="16459A"/>
              <w:bottom w:val="single" w:sz="4" w:space="0" w:color="16459A"/>
              <w:right w:val="single" w:sz="4" w:space="0" w:color="16459A"/>
            </w:tcBorders>
            <w:shd w:val="clear" w:color="auto" w:fill="auto"/>
          </w:tcPr>
          <w:p w14:paraId="2B1844A3" w14:textId="77777777" w:rsidR="00302BFE" w:rsidRPr="00B43F59" w:rsidRDefault="00302BFE" w:rsidP="00243B15">
            <w:pPr>
              <w:pStyle w:val="TableParagraph"/>
              <w:rPr>
                <w:rFonts w:ascii="Calibri" w:hAnsi="Calibri"/>
                <w:sz w:val="16"/>
                <w:lang w:val="fr-CA"/>
              </w:rPr>
            </w:pPr>
          </w:p>
        </w:tc>
      </w:tr>
      <w:tr w:rsidR="00302BFE" w:rsidRPr="0099310D" w14:paraId="2D45BECD" w14:textId="77777777" w:rsidTr="00243B15">
        <w:trPr>
          <w:trHeight w:val="534"/>
          <w:jc w:val="center"/>
        </w:trPr>
        <w:tc>
          <w:tcPr>
            <w:tcW w:w="1246" w:type="dxa"/>
            <w:vMerge/>
            <w:tcBorders>
              <w:top w:val="single" w:sz="4" w:space="0" w:color="16459A"/>
              <w:left w:val="single" w:sz="6" w:space="0" w:color="16459A"/>
              <w:bottom w:val="single" w:sz="6" w:space="0" w:color="16459A"/>
              <w:right w:val="single" w:sz="4" w:space="0" w:color="16459A"/>
            </w:tcBorders>
            <w:shd w:val="clear" w:color="auto" w:fill="auto"/>
            <w:vAlign w:val="center"/>
            <w:hideMark/>
          </w:tcPr>
          <w:p w14:paraId="7CCC9519" w14:textId="77777777" w:rsidR="00302BFE" w:rsidRPr="00B43F59" w:rsidRDefault="00302BFE" w:rsidP="00243B15">
            <w:pPr>
              <w:widowControl w:val="0"/>
              <w:autoSpaceDE w:val="0"/>
              <w:autoSpaceDN w:val="0"/>
              <w:rPr>
                <w:rFonts w:eastAsia="Myriad Pro Light" w:cs="Myriad Pro Light"/>
                <w:b/>
                <w:sz w:val="16"/>
                <w:szCs w:val="22"/>
                <w:lang w:val="fr-CA"/>
              </w:rPr>
            </w:pPr>
          </w:p>
        </w:tc>
        <w:tc>
          <w:tcPr>
            <w:tcW w:w="4297" w:type="dxa"/>
            <w:tcBorders>
              <w:top w:val="single" w:sz="6" w:space="0" w:color="16459A"/>
              <w:left w:val="single" w:sz="4" w:space="0" w:color="16459A"/>
              <w:bottom w:val="single" w:sz="6" w:space="0" w:color="16459A"/>
              <w:right w:val="single" w:sz="4" w:space="0" w:color="16459A"/>
            </w:tcBorders>
            <w:shd w:val="clear" w:color="auto" w:fill="auto"/>
            <w:hideMark/>
          </w:tcPr>
          <w:p w14:paraId="4F80E4EE" w14:textId="77777777" w:rsidR="00302BFE" w:rsidRPr="00B43F59" w:rsidRDefault="00302BFE" w:rsidP="00243B15">
            <w:pPr>
              <w:pStyle w:val="TableParagraph"/>
              <w:spacing w:before="12" w:line="220" w:lineRule="atLeast"/>
              <w:ind w:left="80" w:right="64"/>
              <w:rPr>
                <w:rFonts w:ascii="Calibri" w:hAnsi="Calibri"/>
                <w:b/>
                <w:sz w:val="16"/>
                <w:lang w:val="fr-CA"/>
              </w:rPr>
            </w:pPr>
            <w:r w:rsidRPr="00B43F59">
              <w:rPr>
                <w:rFonts w:ascii="Calibri" w:hAnsi="Calibri"/>
                <w:b/>
                <w:sz w:val="16"/>
                <w:lang w:val="fr-CA"/>
              </w:rPr>
              <w:t>Les informations environnementales pertinentes sont mises à la disposition des décideurs environnementaux, mais le processus de mise à jour de ces informations ne fonctionne pas correctement</w:t>
            </w:r>
          </w:p>
        </w:tc>
        <w:tc>
          <w:tcPr>
            <w:tcW w:w="567" w:type="dxa"/>
            <w:tcBorders>
              <w:top w:val="single" w:sz="4" w:space="0" w:color="16459A"/>
              <w:left w:val="single" w:sz="4" w:space="0" w:color="16459A"/>
              <w:bottom w:val="single" w:sz="4" w:space="0" w:color="16459A"/>
              <w:right w:val="single" w:sz="4" w:space="0" w:color="16459A"/>
            </w:tcBorders>
            <w:shd w:val="clear" w:color="auto" w:fill="FBE4D5"/>
            <w:hideMark/>
          </w:tcPr>
          <w:p w14:paraId="1EDB5A40" w14:textId="77777777" w:rsidR="00302BFE" w:rsidRPr="00B43F59" w:rsidRDefault="00302BFE" w:rsidP="00243B15">
            <w:pPr>
              <w:pStyle w:val="TableParagraph"/>
              <w:spacing w:before="37"/>
              <w:ind w:left="80"/>
              <w:rPr>
                <w:rFonts w:ascii="Calibri" w:hAnsi="Calibri"/>
                <w:b/>
                <w:sz w:val="16"/>
              </w:rPr>
            </w:pPr>
            <w:r w:rsidRPr="00B43F59">
              <w:rPr>
                <w:rFonts w:ascii="Calibri" w:hAnsi="Calibri"/>
                <w:b/>
                <w:sz w:val="16"/>
              </w:rPr>
              <w:t>2</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60221048"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15D77B7E"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hideMark/>
          </w:tcPr>
          <w:p w14:paraId="06A94261" w14:textId="77777777" w:rsidR="00302BFE" w:rsidRPr="00B43F59" w:rsidRDefault="00302BFE" w:rsidP="00243B15">
            <w:pPr>
              <w:pStyle w:val="TableParagraph"/>
              <w:rPr>
                <w:rFonts w:ascii="Calibri" w:hAnsi="Calibri"/>
                <w:sz w:val="16"/>
                <w:lang w:val="fr-CA"/>
              </w:rPr>
            </w:pPr>
            <w:r w:rsidRPr="00B43F59">
              <w:rPr>
                <w:rFonts w:ascii="Calibri" w:hAnsi="Calibri"/>
                <w:sz w:val="16"/>
                <w:lang w:val="fr-CA"/>
              </w:rPr>
              <w:t>La mise à jour des informations environnementales ne fonctionne pas à cause de changements dans les attributions des institutions et le manque de personnel dédié à ces tâches</w:t>
            </w:r>
          </w:p>
          <w:p w14:paraId="26644028" w14:textId="77777777" w:rsidR="00302BFE" w:rsidRPr="00B43F59" w:rsidRDefault="00302BFE" w:rsidP="00243B15">
            <w:pPr>
              <w:pStyle w:val="TableParagraph"/>
              <w:rPr>
                <w:rFonts w:ascii="Calibri" w:hAnsi="Calibri"/>
                <w:sz w:val="16"/>
                <w:lang w:val="fr-FR"/>
              </w:rPr>
            </w:pPr>
            <w:r w:rsidRPr="00B43F59">
              <w:rPr>
                <w:rFonts w:ascii="Calibri" w:hAnsi="Calibri"/>
                <w:sz w:val="16"/>
                <w:lang w:val="fr-FR"/>
              </w:rPr>
              <w:t>Il y a aussi des problèmes de mise à jour (dernier inventaire des ressources halieutiques date des années 90)</w:t>
            </w:r>
          </w:p>
          <w:p w14:paraId="6EFE0BDB" w14:textId="77777777" w:rsidR="00302BFE" w:rsidRPr="00B43F59" w:rsidRDefault="00302BFE" w:rsidP="00243B15">
            <w:pPr>
              <w:pStyle w:val="TableParagraph"/>
              <w:rPr>
                <w:rFonts w:ascii="Calibri" w:hAnsi="Calibri"/>
                <w:sz w:val="16"/>
                <w:lang w:val="fr-CA"/>
              </w:rPr>
            </w:pPr>
            <w:r w:rsidRPr="00B43F59">
              <w:rPr>
                <w:rFonts w:ascii="Calibri" w:hAnsi="Calibri"/>
                <w:sz w:val="16"/>
                <w:lang w:val="fr-FR"/>
              </w:rPr>
              <w:t>IFN2 a produit des données, mais subsistent des problèmes de décisions</w:t>
            </w:r>
          </w:p>
        </w:tc>
        <w:tc>
          <w:tcPr>
            <w:tcW w:w="3661" w:type="dxa"/>
            <w:tcBorders>
              <w:top w:val="single" w:sz="4" w:space="0" w:color="16459A"/>
              <w:left w:val="single" w:sz="4" w:space="0" w:color="16459A"/>
              <w:bottom w:val="single" w:sz="4" w:space="0" w:color="16459A"/>
              <w:right w:val="single" w:sz="4" w:space="0" w:color="16459A"/>
            </w:tcBorders>
            <w:shd w:val="clear" w:color="auto" w:fill="auto"/>
            <w:hideMark/>
          </w:tcPr>
          <w:p w14:paraId="2319BBC8" w14:textId="77777777" w:rsidR="00302BFE" w:rsidRPr="00B43F59" w:rsidRDefault="00302BFE" w:rsidP="00243B15">
            <w:pPr>
              <w:pStyle w:val="TableParagraph"/>
              <w:rPr>
                <w:rFonts w:ascii="Calibri" w:hAnsi="Calibri"/>
                <w:sz w:val="16"/>
                <w:lang w:val="fr-CA"/>
              </w:rPr>
            </w:pPr>
            <w:r w:rsidRPr="00B43F59">
              <w:rPr>
                <w:rFonts w:ascii="Calibri" w:hAnsi="Calibri"/>
                <w:sz w:val="16"/>
                <w:lang w:val="fr-FR"/>
              </w:rPr>
              <w:t>Mettre à jour les informations pertinentes</w:t>
            </w:r>
          </w:p>
        </w:tc>
      </w:tr>
      <w:tr w:rsidR="00302BFE" w:rsidRPr="00B43F59" w14:paraId="7B434C92" w14:textId="77777777" w:rsidTr="00243B15">
        <w:trPr>
          <w:trHeight w:val="705"/>
          <w:jc w:val="center"/>
        </w:trPr>
        <w:tc>
          <w:tcPr>
            <w:tcW w:w="1246" w:type="dxa"/>
            <w:vMerge/>
            <w:tcBorders>
              <w:top w:val="single" w:sz="4" w:space="0" w:color="16459A"/>
              <w:left w:val="single" w:sz="6" w:space="0" w:color="16459A"/>
              <w:bottom w:val="single" w:sz="6" w:space="0" w:color="16459A"/>
              <w:right w:val="single" w:sz="4" w:space="0" w:color="16459A"/>
            </w:tcBorders>
            <w:shd w:val="clear" w:color="auto" w:fill="auto"/>
            <w:vAlign w:val="center"/>
            <w:hideMark/>
          </w:tcPr>
          <w:p w14:paraId="67B57B76" w14:textId="77777777" w:rsidR="00302BFE" w:rsidRPr="00B43F59" w:rsidRDefault="00302BFE" w:rsidP="00243B15">
            <w:pPr>
              <w:widowControl w:val="0"/>
              <w:autoSpaceDE w:val="0"/>
              <w:autoSpaceDN w:val="0"/>
              <w:rPr>
                <w:rFonts w:eastAsia="Myriad Pro Light" w:cs="Myriad Pro Light"/>
                <w:b/>
                <w:sz w:val="16"/>
                <w:szCs w:val="22"/>
                <w:lang w:val="fr-CA"/>
              </w:rPr>
            </w:pPr>
          </w:p>
        </w:tc>
        <w:tc>
          <w:tcPr>
            <w:tcW w:w="4297" w:type="dxa"/>
            <w:tcBorders>
              <w:top w:val="single" w:sz="6" w:space="0" w:color="16459A"/>
              <w:left w:val="single" w:sz="4" w:space="0" w:color="16459A"/>
              <w:bottom w:val="single" w:sz="6" w:space="0" w:color="16459A"/>
              <w:right w:val="single" w:sz="4" w:space="0" w:color="16459A"/>
            </w:tcBorders>
            <w:shd w:val="clear" w:color="auto" w:fill="auto"/>
            <w:hideMark/>
          </w:tcPr>
          <w:p w14:paraId="384E5887" w14:textId="77777777" w:rsidR="00302BFE" w:rsidRPr="00B43F59" w:rsidRDefault="00302BFE" w:rsidP="00243B15">
            <w:pPr>
              <w:pStyle w:val="TableParagraph"/>
              <w:spacing w:before="12" w:line="220" w:lineRule="atLeast"/>
              <w:ind w:left="80" w:right="79"/>
              <w:rPr>
                <w:rFonts w:ascii="Calibri" w:hAnsi="Calibri"/>
                <w:b/>
                <w:sz w:val="16"/>
                <w:lang w:val="fr-CA"/>
              </w:rPr>
            </w:pPr>
            <w:r w:rsidRPr="00B43F59">
              <w:rPr>
                <w:rFonts w:ascii="Calibri" w:hAnsi="Calibri"/>
                <w:b/>
                <w:sz w:val="16"/>
                <w:lang w:val="fr-CA"/>
              </w:rPr>
              <w:t>Les décideurs politiques et administratifs obtiennent et utilisent des informations environnementales actualisées pour prendre des décisions environnementales.</w:t>
            </w:r>
          </w:p>
        </w:tc>
        <w:tc>
          <w:tcPr>
            <w:tcW w:w="567" w:type="dxa"/>
            <w:tcBorders>
              <w:top w:val="single" w:sz="4" w:space="0" w:color="16459A"/>
              <w:left w:val="single" w:sz="4" w:space="0" w:color="16459A"/>
              <w:bottom w:val="single" w:sz="4" w:space="0" w:color="16459A"/>
              <w:right w:val="single" w:sz="4" w:space="0" w:color="16459A"/>
            </w:tcBorders>
            <w:shd w:val="clear" w:color="auto" w:fill="auto"/>
            <w:hideMark/>
          </w:tcPr>
          <w:p w14:paraId="30A6F3C8" w14:textId="77777777" w:rsidR="00302BFE" w:rsidRPr="00B43F59" w:rsidRDefault="00302BFE" w:rsidP="00243B15">
            <w:pPr>
              <w:pStyle w:val="TableParagraph"/>
              <w:spacing w:before="37"/>
              <w:ind w:left="80"/>
              <w:rPr>
                <w:rFonts w:ascii="Calibri" w:hAnsi="Calibri"/>
                <w:b/>
                <w:sz w:val="16"/>
              </w:rPr>
            </w:pPr>
            <w:r w:rsidRPr="00B43F59">
              <w:rPr>
                <w:rFonts w:ascii="Calibri" w:hAnsi="Calibri"/>
                <w:b/>
                <w:sz w:val="16"/>
              </w:rPr>
              <w:t>3</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0FE3171A"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15F9F2F3"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6" w:space="0" w:color="16459A"/>
              <w:right w:val="single" w:sz="4" w:space="0" w:color="16459A"/>
            </w:tcBorders>
            <w:shd w:val="clear" w:color="auto" w:fill="auto"/>
          </w:tcPr>
          <w:p w14:paraId="30EA1817" w14:textId="77777777" w:rsidR="00302BFE" w:rsidRPr="00B43F59" w:rsidRDefault="00302BFE" w:rsidP="00243B15">
            <w:pPr>
              <w:pStyle w:val="TableParagraph"/>
              <w:rPr>
                <w:rFonts w:ascii="Calibri" w:hAnsi="Calibri"/>
                <w:sz w:val="16"/>
              </w:rPr>
            </w:pPr>
          </w:p>
        </w:tc>
        <w:tc>
          <w:tcPr>
            <w:tcW w:w="3661" w:type="dxa"/>
            <w:tcBorders>
              <w:top w:val="single" w:sz="4" w:space="0" w:color="16459A"/>
              <w:left w:val="single" w:sz="4" w:space="0" w:color="16459A"/>
              <w:bottom w:val="single" w:sz="6" w:space="0" w:color="16459A"/>
              <w:right w:val="single" w:sz="4" w:space="0" w:color="16459A"/>
            </w:tcBorders>
            <w:shd w:val="clear" w:color="auto" w:fill="auto"/>
          </w:tcPr>
          <w:p w14:paraId="1FAAEC98" w14:textId="77777777" w:rsidR="00302BFE" w:rsidRPr="00B43F59" w:rsidRDefault="00302BFE" w:rsidP="00243B15">
            <w:pPr>
              <w:pStyle w:val="TableParagraph"/>
              <w:rPr>
                <w:rFonts w:ascii="Calibri" w:hAnsi="Calibri"/>
                <w:sz w:val="16"/>
              </w:rPr>
            </w:pPr>
          </w:p>
        </w:tc>
      </w:tr>
      <w:tr w:rsidR="00302BFE" w:rsidRPr="0099310D" w14:paraId="4E1AB0DB" w14:textId="77777777" w:rsidTr="00243B15">
        <w:trPr>
          <w:trHeight w:val="270"/>
          <w:jc w:val="center"/>
        </w:trPr>
        <w:tc>
          <w:tcPr>
            <w:tcW w:w="14166" w:type="dxa"/>
            <w:gridSpan w:val="7"/>
            <w:tcBorders>
              <w:top w:val="single" w:sz="4" w:space="0" w:color="16459A"/>
              <w:left w:val="single" w:sz="4" w:space="0" w:color="16459A"/>
              <w:bottom w:val="single" w:sz="4" w:space="0" w:color="16459A"/>
              <w:right w:val="single" w:sz="4" w:space="0" w:color="16459A"/>
            </w:tcBorders>
            <w:shd w:val="clear" w:color="auto" w:fill="9ABAC3"/>
          </w:tcPr>
          <w:p w14:paraId="5FDD7692" w14:textId="77777777" w:rsidR="00302BFE" w:rsidRPr="00B43F59" w:rsidRDefault="00302BFE" w:rsidP="00243B15">
            <w:pPr>
              <w:pStyle w:val="TableParagraph"/>
              <w:spacing w:before="34"/>
              <w:ind w:left="79"/>
              <w:rPr>
                <w:rFonts w:ascii="Calibri" w:hAnsi="Calibri"/>
                <w:b/>
                <w:i/>
                <w:sz w:val="20"/>
                <w:szCs w:val="20"/>
                <w:lang w:val="fr-CA"/>
              </w:rPr>
            </w:pPr>
            <w:r w:rsidRPr="00B43F59">
              <w:rPr>
                <w:rFonts w:ascii="Calibri" w:hAnsi="Calibri"/>
                <w:b/>
                <w:i/>
                <w:sz w:val="20"/>
                <w:szCs w:val="20"/>
                <w:lang w:val="fr-CA"/>
              </w:rPr>
              <w:t>4: Capacités pour la Gestion et la Mise en Oeuvre</w:t>
            </w:r>
          </w:p>
        </w:tc>
      </w:tr>
      <w:tr w:rsidR="00302BFE" w:rsidRPr="00B43F59" w14:paraId="1F814438" w14:textId="77777777" w:rsidTr="00243B15">
        <w:trPr>
          <w:trHeight w:val="722"/>
          <w:jc w:val="center"/>
        </w:trPr>
        <w:tc>
          <w:tcPr>
            <w:tcW w:w="1246" w:type="dxa"/>
            <w:vMerge w:val="restart"/>
            <w:tcBorders>
              <w:top w:val="single" w:sz="4" w:space="0" w:color="16459A"/>
              <w:left w:val="single" w:sz="6" w:space="0" w:color="16459A"/>
              <w:bottom w:val="single" w:sz="4" w:space="0" w:color="16459A"/>
              <w:right w:val="single" w:sz="4" w:space="0" w:color="16459A"/>
            </w:tcBorders>
            <w:shd w:val="clear" w:color="auto" w:fill="E0E1F1"/>
            <w:noWrap/>
            <w:hideMark/>
          </w:tcPr>
          <w:p w14:paraId="70FF9806" w14:textId="77777777" w:rsidR="00302BFE" w:rsidRPr="00B43F59" w:rsidRDefault="00302BFE" w:rsidP="00243B15">
            <w:pPr>
              <w:pStyle w:val="TableParagraph"/>
              <w:rPr>
                <w:rFonts w:ascii="Calibri" w:hAnsi="Calibri"/>
                <w:b/>
                <w:sz w:val="16"/>
                <w:lang w:val="fr-CA"/>
              </w:rPr>
            </w:pPr>
            <w:r w:rsidRPr="00B43F59">
              <w:rPr>
                <w:rFonts w:ascii="Calibri" w:hAnsi="Calibri"/>
                <w:b/>
                <w:sz w:val="16"/>
                <w:lang w:val="fr-CA"/>
              </w:rPr>
              <w:t>Indicateur 12: Existence et mobilisation des ressources pour la gestion et la mise en oeuvre</w:t>
            </w:r>
          </w:p>
        </w:tc>
        <w:tc>
          <w:tcPr>
            <w:tcW w:w="4297" w:type="dxa"/>
            <w:tcBorders>
              <w:top w:val="single" w:sz="4" w:space="0" w:color="16459A"/>
              <w:left w:val="single" w:sz="4" w:space="0" w:color="16459A"/>
              <w:bottom w:val="single" w:sz="4" w:space="0" w:color="16459A"/>
              <w:right w:val="single" w:sz="4" w:space="0" w:color="16459A"/>
            </w:tcBorders>
            <w:shd w:val="clear" w:color="auto" w:fill="auto"/>
            <w:hideMark/>
          </w:tcPr>
          <w:p w14:paraId="18780F8D" w14:textId="77777777" w:rsidR="00302BFE" w:rsidRPr="00B43F59" w:rsidRDefault="00302BFE" w:rsidP="00243B15">
            <w:pPr>
              <w:pStyle w:val="TableParagraph"/>
              <w:spacing w:before="15" w:line="220" w:lineRule="atLeast"/>
              <w:ind w:left="80" w:right="79"/>
              <w:rPr>
                <w:rFonts w:ascii="Calibri" w:hAnsi="Calibri"/>
                <w:b/>
                <w:sz w:val="16"/>
                <w:lang w:val="fr-CA"/>
              </w:rPr>
            </w:pPr>
            <w:r w:rsidRPr="00B43F59">
              <w:rPr>
                <w:rFonts w:ascii="Calibri" w:hAnsi="Calibri"/>
                <w:b/>
                <w:sz w:val="16"/>
                <w:lang w:val="fr-CA"/>
              </w:rPr>
              <w:t>Les organisations environnementales ne disposent pas de ressources suffisantes pour leurs programmes et projets et les besoins n’ont pas été évalués</w:t>
            </w:r>
          </w:p>
        </w:tc>
        <w:tc>
          <w:tcPr>
            <w:tcW w:w="567" w:type="dxa"/>
            <w:tcBorders>
              <w:top w:val="single" w:sz="4" w:space="0" w:color="16459A"/>
              <w:left w:val="single" w:sz="4" w:space="0" w:color="16459A"/>
              <w:bottom w:val="single" w:sz="4" w:space="0" w:color="16459A"/>
              <w:right w:val="single" w:sz="4" w:space="0" w:color="16459A"/>
            </w:tcBorders>
            <w:shd w:val="clear" w:color="auto" w:fill="auto"/>
            <w:hideMark/>
          </w:tcPr>
          <w:p w14:paraId="50F940F4" w14:textId="77777777" w:rsidR="00302BFE" w:rsidRPr="00B43F59" w:rsidRDefault="00302BFE" w:rsidP="00243B15">
            <w:pPr>
              <w:pStyle w:val="TableParagraph"/>
              <w:spacing w:before="39"/>
              <w:ind w:left="80"/>
              <w:rPr>
                <w:rFonts w:ascii="Calibri" w:hAnsi="Calibri"/>
                <w:b/>
                <w:sz w:val="16"/>
              </w:rPr>
            </w:pPr>
            <w:r w:rsidRPr="00B43F59">
              <w:rPr>
                <w:rFonts w:ascii="Calibri" w:hAnsi="Calibri"/>
                <w:b/>
                <w:sz w:val="16"/>
              </w:rPr>
              <w:t>0</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053DBB58"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2C48C542"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tcPr>
          <w:p w14:paraId="7EC447D8" w14:textId="77777777" w:rsidR="00302BFE" w:rsidRPr="00B43F59" w:rsidRDefault="00302BFE" w:rsidP="00243B15">
            <w:pPr>
              <w:pStyle w:val="TableParagraph"/>
              <w:rPr>
                <w:rFonts w:ascii="Calibri" w:hAnsi="Calibri"/>
                <w:sz w:val="16"/>
              </w:rPr>
            </w:pPr>
          </w:p>
        </w:tc>
        <w:tc>
          <w:tcPr>
            <w:tcW w:w="3661" w:type="dxa"/>
            <w:tcBorders>
              <w:top w:val="single" w:sz="4" w:space="0" w:color="16459A"/>
              <w:left w:val="single" w:sz="4" w:space="0" w:color="16459A"/>
              <w:bottom w:val="single" w:sz="4" w:space="0" w:color="16459A"/>
              <w:right w:val="single" w:sz="4" w:space="0" w:color="16459A"/>
            </w:tcBorders>
            <w:shd w:val="clear" w:color="auto" w:fill="auto"/>
          </w:tcPr>
          <w:p w14:paraId="4B0525A0" w14:textId="77777777" w:rsidR="00302BFE" w:rsidRPr="00B43F59" w:rsidRDefault="00302BFE" w:rsidP="00243B15">
            <w:pPr>
              <w:pStyle w:val="TableParagraph"/>
              <w:rPr>
                <w:rFonts w:ascii="Calibri" w:hAnsi="Calibri"/>
                <w:sz w:val="16"/>
              </w:rPr>
            </w:pPr>
          </w:p>
        </w:tc>
      </w:tr>
      <w:tr w:rsidR="00302BFE" w:rsidRPr="00B43F59" w14:paraId="4D074086" w14:textId="77777777" w:rsidTr="00243B15">
        <w:trPr>
          <w:trHeight w:val="490"/>
          <w:jc w:val="center"/>
        </w:trPr>
        <w:tc>
          <w:tcPr>
            <w:tcW w:w="1246" w:type="dxa"/>
            <w:vMerge/>
            <w:tcBorders>
              <w:top w:val="single" w:sz="4" w:space="0" w:color="16459A"/>
              <w:left w:val="single" w:sz="6" w:space="0" w:color="16459A"/>
              <w:bottom w:val="single" w:sz="4" w:space="0" w:color="16459A"/>
              <w:right w:val="single" w:sz="4" w:space="0" w:color="16459A"/>
            </w:tcBorders>
            <w:shd w:val="clear" w:color="auto" w:fill="auto"/>
            <w:vAlign w:val="center"/>
            <w:hideMark/>
          </w:tcPr>
          <w:p w14:paraId="3D22CAB2" w14:textId="77777777" w:rsidR="00302BFE" w:rsidRPr="00B43F59" w:rsidRDefault="00302BFE" w:rsidP="00243B15">
            <w:pPr>
              <w:widowControl w:val="0"/>
              <w:autoSpaceDE w:val="0"/>
              <w:autoSpaceDN w:val="0"/>
              <w:rPr>
                <w:rFonts w:eastAsia="Myriad Pro Light" w:cs="Myriad Pro Light"/>
                <w:b/>
                <w:sz w:val="16"/>
                <w:szCs w:val="22"/>
                <w:lang w:val="fr-CA"/>
              </w:rPr>
            </w:pPr>
          </w:p>
        </w:tc>
        <w:tc>
          <w:tcPr>
            <w:tcW w:w="4297" w:type="dxa"/>
            <w:tcBorders>
              <w:top w:val="single" w:sz="4" w:space="0" w:color="16459A"/>
              <w:left w:val="single" w:sz="4" w:space="0" w:color="16459A"/>
              <w:bottom w:val="single" w:sz="4" w:space="0" w:color="16459A"/>
              <w:right w:val="single" w:sz="4" w:space="0" w:color="16459A"/>
            </w:tcBorders>
            <w:shd w:val="clear" w:color="auto" w:fill="auto"/>
            <w:hideMark/>
          </w:tcPr>
          <w:p w14:paraId="7AC6EAE6" w14:textId="77777777" w:rsidR="00302BFE" w:rsidRPr="00B43F59" w:rsidRDefault="00302BFE" w:rsidP="00243B15">
            <w:pPr>
              <w:pStyle w:val="TableParagraph"/>
              <w:spacing w:before="15" w:line="220" w:lineRule="atLeast"/>
              <w:ind w:left="80" w:right="207"/>
              <w:rPr>
                <w:rFonts w:ascii="Calibri" w:hAnsi="Calibri"/>
                <w:b/>
                <w:sz w:val="16"/>
                <w:lang w:val="fr-CA"/>
              </w:rPr>
            </w:pPr>
            <w:r w:rsidRPr="00B43F59">
              <w:rPr>
                <w:rFonts w:ascii="Calibri" w:hAnsi="Calibri"/>
                <w:b/>
                <w:sz w:val="16"/>
                <w:lang w:val="fr-CA"/>
              </w:rPr>
              <w:t>Les besoins en ressources sont connus mais ne sont pas traités.</w:t>
            </w:r>
          </w:p>
        </w:tc>
        <w:tc>
          <w:tcPr>
            <w:tcW w:w="567" w:type="dxa"/>
            <w:tcBorders>
              <w:top w:val="single" w:sz="4" w:space="0" w:color="16459A"/>
              <w:left w:val="single" w:sz="4" w:space="0" w:color="16459A"/>
              <w:bottom w:val="single" w:sz="4" w:space="0" w:color="16459A"/>
              <w:right w:val="single" w:sz="4" w:space="0" w:color="16459A"/>
            </w:tcBorders>
            <w:shd w:val="clear" w:color="auto" w:fill="auto"/>
            <w:hideMark/>
          </w:tcPr>
          <w:p w14:paraId="3C2E6A66" w14:textId="77777777" w:rsidR="00302BFE" w:rsidRPr="00B43F59" w:rsidRDefault="00302BFE" w:rsidP="00243B15">
            <w:pPr>
              <w:pStyle w:val="TableParagraph"/>
              <w:spacing w:before="39"/>
              <w:ind w:left="80"/>
              <w:rPr>
                <w:rFonts w:ascii="Calibri" w:hAnsi="Calibri"/>
                <w:b/>
                <w:sz w:val="16"/>
              </w:rPr>
            </w:pPr>
            <w:r w:rsidRPr="00B43F59">
              <w:rPr>
                <w:rFonts w:ascii="Calibri" w:hAnsi="Calibri"/>
                <w:b/>
                <w:sz w:val="16"/>
              </w:rPr>
              <w:t>1</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5BB493CF"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3997545A"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tcPr>
          <w:p w14:paraId="7D8BC69A" w14:textId="77777777" w:rsidR="00302BFE" w:rsidRPr="00B43F59" w:rsidRDefault="00302BFE" w:rsidP="00243B15">
            <w:pPr>
              <w:pStyle w:val="TableParagraph"/>
              <w:rPr>
                <w:rFonts w:ascii="Calibri" w:hAnsi="Calibri"/>
                <w:sz w:val="16"/>
              </w:rPr>
            </w:pPr>
          </w:p>
        </w:tc>
        <w:tc>
          <w:tcPr>
            <w:tcW w:w="3661" w:type="dxa"/>
            <w:tcBorders>
              <w:top w:val="single" w:sz="4" w:space="0" w:color="16459A"/>
              <w:left w:val="single" w:sz="4" w:space="0" w:color="16459A"/>
              <w:bottom w:val="single" w:sz="4" w:space="0" w:color="16459A"/>
              <w:right w:val="single" w:sz="4" w:space="0" w:color="16459A"/>
            </w:tcBorders>
            <w:shd w:val="clear" w:color="auto" w:fill="auto"/>
          </w:tcPr>
          <w:p w14:paraId="764EEDD7" w14:textId="77777777" w:rsidR="00302BFE" w:rsidRPr="00B43F59" w:rsidRDefault="00302BFE" w:rsidP="00243B15">
            <w:pPr>
              <w:pStyle w:val="TableParagraph"/>
              <w:rPr>
                <w:rFonts w:ascii="Calibri" w:hAnsi="Calibri"/>
                <w:sz w:val="16"/>
              </w:rPr>
            </w:pPr>
          </w:p>
        </w:tc>
      </w:tr>
      <w:tr w:rsidR="00302BFE" w:rsidRPr="00755BF9" w14:paraId="30948605" w14:textId="77777777" w:rsidTr="00243B15">
        <w:trPr>
          <w:trHeight w:val="710"/>
          <w:jc w:val="center"/>
        </w:trPr>
        <w:tc>
          <w:tcPr>
            <w:tcW w:w="1246" w:type="dxa"/>
            <w:vMerge/>
            <w:tcBorders>
              <w:top w:val="single" w:sz="4" w:space="0" w:color="16459A"/>
              <w:left w:val="single" w:sz="6" w:space="0" w:color="16459A"/>
              <w:bottom w:val="single" w:sz="4" w:space="0" w:color="16459A"/>
              <w:right w:val="single" w:sz="4" w:space="0" w:color="16459A"/>
            </w:tcBorders>
            <w:shd w:val="clear" w:color="auto" w:fill="auto"/>
            <w:vAlign w:val="center"/>
            <w:hideMark/>
          </w:tcPr>
          <w:p w14:paraId="2A43326B" w14:textId="77777777" w:rsidR="00302BFE" w:rsidRPr="00B43F59" w:rsidRDefault="00302BFE" w:rsidP="00243B15">
            <w:pPr>
              <w:widowControl w:val="0"/>
              <w:autoSpaceDE w:val="0"/>
              <w:autoSpaceDN w:val="0"/>
              <w:rPr>
                <w:rFonts w:eastAsia="Myriad Pro Light" w:cs="Myriad Pro Light"/>
                <w:b/>
                <w:sz w:val="16"/>
                <w:szCs w:val="22"/>
                <w:lang w:val="fr-CA"/>
              </w:rPr>
            </w:pPr>
          </w:p>
        </w:tc>
        <w:tc>
          <w:tcPr>
            <w:tcW w:w="4297" w:type="dxa"/>
            <w:tcBorders>
              <w:top w:val="single" w:sz="4" w:space="0" w:color="16459A"/>
              <w:left w:val="single" w:sz="4" w:space="0" w:color="16459A"/>
              <w:bottom w:val="single" w:sz="4" w:space="0" w:color="16459A"/>
              <w:right w:val="single" w:sz="4" w:space="0" w:color="16459A"/>
            </w:tcBorders>
            <w:shd w:val="clear" w:color="auto" w:fill="auto"/>
            <w:hideMark/>
          </w:tcPr>
          <w:p w14:paraId="6EF1EF43" w14:textId="77777777" w:rsidR="00302BFE" w:rsidRPr="00B43F59" w:rsidRDefault="00302BFE" w:rsidP="00243B15">
            <w:pPr>
              <w:pStyle w:val="TableParagraph"/>
              <w:spacing w:before="15" w:line="220" w:lineRule="atLeast"/>
              <w:ind w:left="80" w:right="79"/>
              <w:rPr>
                <w:rFonts w:ascii="Calibri" w:hAnsi="Calibri"/>
                <w:b/>
                <w:sz w:val="16"/>
                <w:lang w:val="fr-CA"/>
              </w:rPr>
            </w:pPr>
            <w:r w:rsidRPr="00B43F59">
              <w:rPr>
                <w:rFonts w:ascii="Calibri" w:hAnsi="Calibri"/>
                <w:b/>
                <w:sz w:val="16"/>
                <w:lang w:val="fr-CA"/>
              </w:rPr>
              <w:t>Les sources de financement pour ces besoins en ressources sont partiellement identifiées et les besoins en ressources sont partiellement pris en compte</w:t>
            </w:r>
          </w:p>
        </w:tc>
        <w:tc>
          <w:tcPr>
            <w:tcW w:w="567" w:type="dxa"/>
            <w:tcBorders>
              <w:top w:val="single" w:sz="4" w:space="0" w:color="16459A"/>
              <w:left w:val="single" w:sz="4" w:space="0" w:color="16459A"/>
              <w:bottom w:val="single" w:sz="4" w:space="0" w:color="16459A"/>
              <w:right w:val="single" w:sz="4" w:space="0" w:color="16459A"/>
            </w:tcBorders>
            <w:shd w:val="clear" w:color="auto" w:fill="FBE4D5"/>
            <w:hideMark/>
          </w:tcPr>
          <w:p w14:paraId="5274C69D" w14:textId="77777777" w:rsidR="00302BFE" w:rsidRPr="00B43F59" w:rsidRDefault="00302BFE" w:rsidP="00243B15">
            <w:pPr>
              <w:pStyle w:val="TableParagraph"/>
              <w:spacing w:before="39"/>
              <w:ind w:left="80"/>
              <w:rPr>
                <w:rFonts w:ascii="Calibri" w:hAnsi="Calibri"/>
                <w:b/>
                <w:sz w:val="16"/>
              </w:rPr>
            </w:pPr>
            <w:r w:rsidRPr="00B43F59">
              <w:rPr>
                <w:rFonts w:ascii="Calibri" w:hAnsi="Calibri"/>
                <w:b/>
                <w:sz w:val="16"/>
              </w:rPr>
              <w:t>2</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64F456D1"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0CB36B57"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tcPr>
          <w:p w14:paraId="5A29B328" w14:textId="77777777" w:rsidR="00302BFE" w:rsidRPr="00B43F59" w:rsidRDefault="00302BFE" w:rsidP="00243B15">
            <w:pPr>
              <w:pStyle w:val="TableParagraph"/>
              <w:rPr>
                <w:rFonts w:ascii="Calibri" w:hAnsi="Calibri"/>
                <w:sz w:val="16"/>
                <w:lang w:val="fr-FR"/>
              </w:rPr>
            </w:pPr>
            <w:r w:rsidRPr="00B43F59">
              <w:rPr>
                <w:rFonts w:ascii="Calibri" w:hAnsi="Calibri"/>
                <w:sz w:val="16"/>
                <w:lang w:val="fr-FR"/>
              </w:rPr>
              <w:t>Quelque chose est fait mais les moyens ne sont pas suffisants</w:t>
            </w:r>
          </w:p>
          <w:p w14:paraId="0CCAFB79" w14:textId="77777777" w:rsidR="00302BFE" w:rsidRPr="00B43F59" w:rsidRDefault="00302BFE" w:rsidP="00243B15">
            <w:pPr>
              <w:pStyle w:val="TableParagraph"/>
              <w:rPr>
                <w:rFonts w:ascii="Calibri" w:hAnsi="Calibri"/>
                <w:sz w:val="16"/>
                <w:lang w:val="fr-FR"/>
              </w:rPr>
            </w:pPr>
            <w:r w:rsidRPr="00B43F59">
              <w:rPr>
                <w:rFonts w:ascii="Calibri" w:hAnsi="Calibri"/>
                <w:sz w:val="16"/>
                <w:lang w:val="fr-FR"/>
              </w:rPr>
              <w:t>-les sources sont essentiellement les r</w:t>
            </w:r>
            <w:r w:rsidRPr="00B43F59">
              <w:rPr>
                <w:rFonts w:ascii="Calibri" w:hAnsi="Calibri"/>
                <w:sz w:val="16"/>
                <w:lang w:val="fr-CA"/>
              </w:rPr>
              <w:t>essources de l’État</w:t>
            </w:r>
          </w:p>
          <w:p w14:paraId="621E00AF" w14:textId="77777777" w:rsidR="00302BFE" w:rsidRPr="00B43F59" w:rsidRDefault="00302BFE" w:rsidP="00243B15">
            <w:pPr>
              <w:pStyle w:val="TableParagraph"/>
              <w:rPr>
                <w:rFonts w:ascii="Calibri" w:hAnsi="Calibri"/>
                <w:sz w:val="16"/>
                <w:lang w:val="fr-FR"/>
              </w:rPr>
            </w:pPr>
            <w:r w:rsidRPr="00B43F59">
              <w:rPr>
                <w:rFonts w:ascii="Calibri" w:hAnsi="Calibri"/>
                <w:sz w:val="16"/>
                <w:lang w:val="fr-FR"/>
              </w:rPr>
              <w:t>Le Plan stratégique de l’OFINAP est déjà dépassé</w:t>
            </w:r>
          </w:p>
          <w:p w14:paraId="340D2E77" w14:textId="77777777" w:rsidR="00302BFE" w:rsidRPr="00B43F59" w:rsidRDefault="00302BFE" w:rsidP="00243B15">
            <w:pPr>
              <w:pStyle w:val="TableParagraph"/>
              <w:rPr>
                <w:rFonts w:ascii="Calibri" w:hAnsi="Calibri"/>
                <w:sz w:val="16"/>
                <w:lang w:val="fr-CA"/>
              </w:rPr>
            </w:pPr>
            <w:r w:rsidRPr="00B43F59">
              <w:rPr>
                <w:rFonts w:ascii="Calibri" w:hAnsi="Calibri"/>
                <w:sz w:val="16"/>
                <w:lang w:val="fr-FR"/>
              </w:rPr>
              <w:t>Pour le PNKT et Sissili aucune évaluation des besoins</w:t>
            </w:r>
          </w:p>
        </w:tc>
        <w:tc>
          <w:tcPr>
            <w:tcW w:w="3661" w:type="dxa"/>
            <w:tcBorders>
              <w:top w:val="single" w:sz="4" w:space="0" w:color="16459A"/>
              <w:left w:val="single" w:sz="4" w:space="0" w:color="16459A"/>
              <w:bottom w:val="single" w:sz="4" w:space="0" w:color="16459A"/>
              <w:right w:val="single" w:sz="4" w:space="0" w:color="16459A"/>
            </w:tcBorders>
            <w:shd w:val="clear" w:color="auto" w:fill="auto"/>
            <w:hideMark/>
          </w:tcPr>
          <w:p w14:paraId="78BC4C7D" w14:textId="77777777" w:rsidR="00302BFE" w:rsidRPr="00B43F59" w:rsidRDefault="00302BFE" w:rsidP="00243B15">
            <w:pPr>
              <w:pStyle w:val="TableParagraph"/>
              <w:rPr>
                <w:rFonts w:ascii="Calibri" w:hAnsi="Calibri"/>
                <w:sz w:val="16"/>
                <w:lang w:val="fr-FR"/>
              </w:rPr>
            </w:pPr>
            <w:r w:rsidRPr="00B43F59">
              <w:rPr>
                <w:rFonts w:ascii="Calibri" w:hAnsi="Calibri"/>
                <w:sz w:val="16"/>
                <w:lang w:val="fr-FR"/>
              </w:rPr>
              <w:t>Faire des PAG</w:t>
            </w:r>
          </w:p>
          <w:p w14:paraId="6ACF5FA1" w14:textId="77777777" w:rsidR="00302BFE" w:rsidRPr="00B43F59" w:rsidRDefault="00302BFE" w:rsidP="00243B15">
            <w:pPr>
              <w:pStyle w:val="TableParagraph"/>
              <w:rPr>
                <w:rFonts w:ascii="Calibri" w:hAnsi="Calibri"/>
                <w:sz w:val="16"/>
                <w:lang w:val="fr-CA"/>
              </w:rPr>
            </w:pPr>
            <w:r w:rsidRPr="00B43F59">
              <w:rPr>
                <w:rFonts w:ascii="Calibri" w:hAnsi="Calibri"/>
                <w:sz w:val="16"/>
                <w:lang w:val="fr-FR"/>
              </w:rPr>
              <w:t>Refaire la Stratégie de l’OFINAP</w:t>
            </w:r>
          </w:p>
        </w:tc>
      </w:tr>
      <w:tr w:rsidR="00302BFE" w:rsidRPr="00B43F59" w14:paraId="588843B9" w14:textId="77777777" w:rsidTr="00243B15">
        <w:trPr>
          <w:trHeight w:val="710"/>
          <w:jc w:val="center"/>
        </w:trPr>
        <w:tc>
          <w:tcPr>
            <w:tcW w:w="1246" w:type="dxa"/>
            <w:vMerge/>
            <w:tcBorders>
              <w:top w:val="single" w:sz="4" w:space="0" w:color="16459A"/>
              <w:left w:val="single" w:sz="6" w:space="0" w:color="16459A"/>
              <w:bottom w:val="single" w:sz="4" w:space="0" w:color="16459A"/>
              <w:right w:val="single" w:sz="4" w:space="0" w:color="16459A"/>
            </w:tcBorders>
            <w:shd w:val="clear" w:color="auto" w:fill="auto"/>
            <w:vAlign w:val="center"/>
            <w:hideMark/>
          </w:tcPr>
          <w:p w14:paraId="4CE64243" w14:textId="77777777" w:rsidR="00302BFE" w:rsidRPr="00B43F59" w:rsidRDefault="00302BFE" w:rsidP="00243B15">
            <w:pPr>
              <w:widowControl w:val="0"/>
              <w:autoSpaceDE w:val="0"/>
              <w:autoSpaceDN w:val="0"/>
              <w:rPr>
                <w:rFonts w:eastAsia="Myriad Pro Light" w:cs="Myriad Pro Light"/>
                <w:b/>
                <w:sz w:val="16"/>
                <w:szCs w:val="22"/>
                <w:lang w:val="fr-CA"/>
              </w:rPr>
            </w:pPr>
          </w:p>
        </w:tc>
        <w:tc>
          <w:tcPr>
            <w:tcW w:w="4297" w:type="dxa"/>
            <w:tcBorders>
              <w:top w:val="single" w:sz="4" w:space="0" w:color="16459A"/>
              <w:left w:val="single" w:sz="4" w:space="0" w:color="16459A"/>
              <w:bottom w:val="single" w:sz="4" w:space="0" w:color="16459A"/>
              <w:right w:val="single" w:sz="4" w:space="0" w:color="16459A"/>
            </w:tcBorders>
            <w:shd w:val="clear" w:color="auto" w:fill="auto"/>
            <w:hideMark/>
          </w:tcPr>
          <w:p w14:paraId="3888D304" w14:textId="77777777" w:rsidR="00302BFE" w:rsidRPr="00B43F59" w:rsidRDefault="00302BFE" w:rsidP="00243B15">
            <w:pPr>
              <w:pStyle w:val="TableParagraph"/>
              <w:spacing w:before="15" w:line="220" w:lineRule="atLeast"/>
              <w:ind w:left="80" w:right="599"/>
              <w:rPr>
                <w:rFonts w:ascii="Calibri" w:hAnsi="Calibri"/>
                <w:b/>
                <w:sz w:val="16"/>
                <w:lang w:val="fr-CA"/>
              </w:rPr>
            </w:pPr>
            <w:r w:rsidRPr="00B43F59">
              <w:rPr>
                <w:rFonts w:ascii="Calibri" w:hAnsi="Calibri"/>
                <w:b/>
                <w:sz w:val="16"/>
                <w:lang w:val="fr-CA"/>
              </w:rPr>
              <w:t>Des ressources adéquates sont mobilisées et disponibles pour le fonctionnement des principales organisations environnementales</w:t>
            </w:r>
          </w:p>
        </w:tc>
        <w:tc>
          <w:tcPr>
            <w:tcW w:w="567" w:type="dxa"/>
            <w:tcBorders>
              <w:top w:val="single" w:sz="4" w:space="0" w:color="16459A"/>
              <w:left w:val="single" w:sz="4" w:space="0" w:color="16459A"/>
              <w:bottom w:val="single" w:sz="4" w:space="0" w:color="16459A"/>
              <w:right w:val="single" w:sz="4" w:space="0" w:color="16459A"/>
            </w:tcBorders>
            <w:shd w:val="clear" w:color="auto" w:fill="auto"/>
            <w:hideMark/>
          </w:tcPr>
          <w:p w14:paraId="74140FA6" w14:textId="77777777" w:rsidR="00302BFE" w:rsidRPr="00B43F59" w:rsidRDefault="00302BFE" w:rsidP="00243B15">
            <w:pPr>
              <w:pStyle w:val="TableParagraph"/>
              <w:spacing w:before="39"/>
              <w:ind w:left="80"/>
              <w:rPr>
                <w:rFonts w:ascii="Calibri" w:hAnsi="Calibri"/>
                <w:b/>
                <w:sz w:val="16"/>
              </w:rPr>
            </w:pPr>
            <w:r w:rsidRPr="00B43F59">
              <w:rPr>
                <w:rFonts w:ascii="Calibri" w:hAnsi="Calibri"/>
                <w:b/>
                <w:sz w:val="16"/>
              </w:rPr>
              <w:t>3</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40A95348"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3AECD449"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tcPr>
          <w:p w14:paraId="2A98DA46" w14:textId="77777777" w:rsidR="00302BFE" w:rsidRPr="00B43F59" w:rsidRDefault="00302BFE" w:rsidP="00243B15">
            <w:pPr>
              <w:pStyle w:val="TableParagraph"/>
              <w:rPr>
                <w:rFonts w:ascii="Calibri" w:hAnsi="Calibri"/>
                <w:sz w:val="16"/>
              </w:rPr>
            </w:pPr>
          </w:p>
        </w:tc>
        <w:tc>
          <w:tcPr>
            <w:tcW w:w="3661" w:type="dxa"/>
            <w:tcBorders>
              <w:top w:val="single" w:sz="4" w:space="0" w:color="16459A"/>
              <w:left w:val="single" w:sz="4" w:space="0" w:color="16459A"/>
              <w:bottom w:val="single" w:sz="4" w:space="0" w:color="16459A"/>
              <w:right w:val="single" w:sz="4" w:space="0" w:color="16459A"/>
            </w:tcBorders>
            <w:shd w:val="clear" w:color="auto" w:fill="auto"/>
          </w:tcPr>
          <w:p w14:paraId="44FA7C88" w14:textId="77777777" w:rsidR="00302BFE" w:rsidRPr="00B43F59" w:rsidRDefault="00302BFE" w:rsidP="00243B15">
            <w:pPr>
              <w:pStyle w:val="TableParagraph"/>
              <w:rPr>
                <w:rFonts w:ascii="Calibri" w:hAnsi="Calibri"/>
                <w:sz w:val="16"/>
              </w:rPr>
            </w:pPr>
          </w:p>
        </w:tc>
      </w:tr>
      <w:tr w:rsidR="00302BFE" w:rsidRPr="00B43F59" w14:paraId="03C87A41" w14:textId="77777777" w:rsidTr="00243B15">
        <w:trPr>
          <w:trHeight w:val="502"/>
          <w:jc w:val="center"/>
        </w:trPr>
        <w:tc>
          <w:tcPr>
            <w:tcW w:w="1246" w:type="dxa"/>
            <w:vMerge w:val="restart"/>
            <w:tcBorders>
              <w:top w:val="single" w:sz="4" w:space="0" w:color="16459A"/>
              <w:left w:val="single" w:sz="6" w:space="0" w:color="16459A"/>
              <w:bottom w:val="single" w:sz="4" w:space="0" w:color="16459A"/>
              <w:right w:val="single" w:sz="6" w:space="0" w:color="16459A"/>
            </w:tcBorders>
            <w:shd w:val="clear" w:color="auto" w:fill="E0E1F1"/>
            <w:hideMark/>
          </w:tcPr>
          <w:p w14:paraId="7E9AF3A2" w14:textId="77777777" w:rsidR="00302BFE" w:rsidRPr="00B43F59" w:rsidRDefault="00302BFE" w:rsidP="00243B15">
            <w:pPr>
              <w:pStyle w:val="TableParagraph"/>
              <w:rPr>
                <w:rFonts w:ascii="Calibri" w:hAnsi="Calibri"/>
                <w:b/>
                <w:sz w:val="16"/>
                <w:lang w:val="fr-CA"/>
              </w:rPr>
            </w:pPr>
            <w:r w:rsidRPr="00B43F59">
              <w:rPr>
                <w:rFonts w:ascii="Calibri" w:hAnsi="Calibri"/>
                <w:b/>
                <w:sz w:val="16"/>
                <w:lang w:val="fr-CA"/>
              </w:rPr>
              <w:t>Indicateur 13: Disponibilité des compétences techniques requises et transfert de technologie</w:t>
            </w:r>
          </w:p>
        </w:tc>
        <w:tc>
          <w:tcPr>
            <w:tcW w:w="4297" w:type="dxa"/>
            <w:tcBorders>
              <w:top w:val="single" w:sz="4" w:space="0" w:color="16459A"/>
              <w:left w:val="single" w:sz="4" w:space="0" w:color="16459A"/>
              <w:bottom w:val="single" w:sz="4" w:space="0" w:color="16459A"/>
              <w:right w:val="single" w:sz="4" w:space="0" w:color="16459A"/>
            </w:tcBorders>
            <w:shd w:val="clear" w:color="auto" w:fill="auto"/>
            <w:hideMark/>
          </w:tcPr>
          <w:p w14:paraId="19818F7B" w14:textId="77777777" w:rsidR="00302BFE" w:rsidRPr="00B43F59" w:rsidRDefault="00302BFE" w:rsidP="00243B15">
            <w:pPr>
              <w:pStyle w:val="TableParagraph"/>
              <w:spacing w:before="15" w:line="220" w:lineRule="atLeast"/>
              <w:ind w:left="80" w:right="176"/>
              <w:rPr>
                <w:rFonts w:ascii="Calibri" w:hAnsi="Calibri"/>
                <w:b/>
                <w:sz w:val="16"/>
                <w:lang w:val="fr-CA"/>
              </w:rPr>
            </w:pPr>
            <w:r w:rsidRPr="00B43F59">
              <w:rPr>
                <w:rFonts w:ascii="Calibri" w:hAnsi="Calibri"/>
                <w:b/>
                <w:sz w:val="16"/>
                <w:lang w:val="fr-CA"/>
              </w:rPr>
              <w:t>Les compétences et la technologie nécessaires ne sont pas disponibles et les besoins ne sont pas identifiés.</w:t>
            </w:r>
          </w:p>
        </w:tc>
        <w:tc>
          <w:tcPr>
            <w:tcW w:w="567" w:type="dxa"/>
            <w:tcBorders>
              <w:top w:val="single" w:sz="4" w:space="0" w:color="16459A"/>
              <w:left w:val="single" w:sz="4" w:space="0" w:color="16459A"/>
              <w:bottom w:val="single" w:sz="4" w:space="0" w:color="16459A"/>
              <w:right w:val="single" w:sz="4" w:space="0" w:color="16459A"/>
            </w:tcBorders>
            <w:shd w:val="clear" w:color="auto" w:fill="auto"/>
            <w:hideMark/>
          </w:tcPr>
          <w:p w14:paraId="1A6A1E74" w14:textId="77777777" w:rsidR="00302BFE" w:rsidRPr="00B43F59" w:rsidRDefault="00302BFE" w:rsidP="00243B15">
            <w:pPr>
              <w:pStyle w:val="TableParagraph"/>
              <w:spacing w:before="39"/>
              <w:ind w:left="80"/>
              <w:rPr>
                <w:rFonts w:ascii="Calibri" w:hAnsi="Calibri"/>
                <w:b/>
                <w:sz w:val="16"/>
              </w:rPr>
            </w:pPr>
            <w:r w:rsidRPr="00B43F59">
              <w:rPr>
                <w:rFonts w:ascii="Calibri" w:hAnsi="Calibri"/>
                <w:b/>
                <w:sz w:val="16"/>
              </w:rPr>
              <w:t>0</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741F0787"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6570B981"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tcPr>
          <w:p w14:paraId="3089869F" w14:textId="77777777" w:rsidR="00302BFE" w:rsidRPr="00B43F59" w:rsidRDefault="00302BFE" w:rsidP="00243B15">
            <w:pPr>
              <w:pStyle w:val="TableParagraph"/>
              <w:rPr>
                <w:rFonts w:ascii="Calibri" w:hAnsi="Calibri"/>
                <w:sz w:val="16"/>
              </w:rPr>
            </w:pPr>
          </w:p>
        </w:tc>
        <w:tc>
          <w:tcPr>
            <w:tcW w:w="3661" w:type="dxa"/>
            <w:tcBorders>
              <w:top w:val="single" w:sz="4" w:space="0" w:color="16459A"/>
              <w:left w:val="single" w:sz="4" w:space="0" w:color="16459A"/>
              <w:bottom w:val="single" w:sz="4" w:space="0" w:color="16459A"/>
              <w:right w:val="single" w:sz="4" w:space="0" w:color="16459A"/>
            </w:tcBorders>
            <w:shd w:val="clear" w:color="auto" w:fill="auto"/>
          </w:tcPr>
          <w:p w14:paraId="26FE45CC" w14:textId="77777777" w:rsidR="00302BFE" w:rsidRPr="00B43F59" w:rsidRDefault="00302BFE" w:rsidP="00243B15">
            <w:pPr>
              <w:pStyle w:val="TableParagraph"/>
              <w:rPr>
                <w:rFonts w:ascii="Calibri" w:hAnsi="Calibri"/>
                <w:sz w:val="16"/>
              </w:rPr>
            </w:pPr>
          </w:p>
        </w:tc>
      </w:tr>
      <w:tr w:rsidR="00302BFE" w:rsidRPr="0099310D" w14:paraId="62EEF243" w14:textId="77777777" w:rsidTr="00243B15">
        <w:trPr>
          <w:trHeight w:val="490"/>
          <w:jc w:val="center"/>
        </w:trPr>
        <w:tc>
          <w:tcPr>
            <w:tcW w:w="1246" w:type="dxa"/>
            <w:vMerge/>
            <w:tcBorders>
              <w:top w:val="single" w:sz="4" w:space="0" w:color="16459A"/>
              <w:left w:val="single" w:sz="6" w:space="0" w:color="16459A"/>
              <w:bottom w:val="single" w:sz="4" w:space="0" w:color="16459A"/>
              <w:right w:val="single" w:sz="6" w:space="0" w:color="16459A"/>
            </w:tcBorders>
            <w:shd w:val="clear" w:color="auto" w:fill="auto"/>
            <w:vAlign w:val="center"/>
            <w:hideMark/>
          </w:tcPr>
          <w:p w14:paraId="3D06CC9B" w14:textId="77777777" w:rsidR="00302BFE" w:rsidRPr="00B43F59" w:rsidRDefault="00302BFE" w:rsidP="00243B15">
            <w:pPr>
              <w:widowControl w:val="0"/>
              <w:autoSpaceDE w:val="0"/>
              <w:autoSpaceDN w:val="0"/>
              <w:rPr>
                <w:rFonts w:eastAsia="Myriad Pro Light" w:cs="Myriad Pro Light"/>
                <w:b/>
                <w:sz w:val="16"/>
                <w:szCs w:val="22"/>
                <w:lang w:val="fr-CA"/>
              </w:rPr>
            </w:pPr>
          </w:p>
        </w:tc>
        <w:tc>
          <w:tcPr>
            <w:tcW w:w="4297" w:type="dxa"/>
            <w:tcBorders>
              <w:top w:val="single" w:sz="4" w:space="0" w:color="16459A"/>
              <w:left w:val="single" w:sz="4" w:space="0" w:color="16459A"/>
              <w:bottom w:val="single" w:sz="4" w:space="0" w:color="16459A"/>
              <w:right w:val="single" w:sz="4" w:space="0" w:color="16459A"/>
            </w:tcBorders>
            <w:shd w:val="clear" w:color="auto" w:fill="auto"/>
            <w:hideMark/>
          </w:tcPr>
          <w:p w14:paraId="48E42A9A" w14:textId="77777777" w:rsidR="00302BFE" w:rsidRPr="00B43F59" w:rsidRDefault="00302BFE" w:rsidP="00243B15">
            <w:pPr>
              <w:pStyle w:val="TableParagraph"/>
              <w:spacing w:before="15" w:line="220" w:lineRule="atLeast"/>
              <w:ind w:left="80" w:right="79"/>
              <w:rPr>
                <w:rFonts w:ascii="Calibri" w:hAnsi="Calibri"/>
                <w:b/>
                <w:sz w:val="16"/>
                <w:lang w:val="fr-CA"/>
              </w:rPr>
            </w:pPr>
            <w:r w:rsidRPr="00B43F59">
              <w:rPr>
                <w:rFonts w:ascii="Calibri" w:hAnsi="Calibri"/>
                <w:b/>
                <w:sz w:val="16"/>
                <w:lang w:val="fr-CA"/>
              </w:rPr>
              <w:t>Les compétences requises et les besoins en technologies sont identifiés, ainsi que leurs sources.</w:t>
            </w:r>
          </w:p>
        </w:tc>
        <w:tc>
          <w:tcPr>
            <w:tcW w:w="567" w:type="dxa"/>
            <w:tcBorders>
              <w:top w:val="single" w:sz="4" w:space="0" w:color="16459A"/>
              <w:left w:val="single" w:sz="4" w:space="0" w:color="16459A"/>
              <w:bottom w:val="single" w:sz="4" w:space="0" w:color="16459A"/>
              <w:right w:val="single" w:sz="4" w:space="0" w:color="16459A"/>
            </w:tcBorders>
            <w:shd w:val="clear" w:color="auto" w:fill="FBE4D5"/>
            <w:hideMark/>
          </w:tcPr>
          <w:p w14:paraId="74433D0B" w14:textId="77777777" w:rsidR="00302BFE" w:rsidRPr="00B43F59" w:rsidRDefault="00302BFE" w:rsidP="00243B15">
            <w:pPr>
              <w:pStyle w:val="TableParagraph"/>
              <w:spacing w:before="39"/>
              <w:ind w:left="80"/>
              <w:rPr>
                <w:rFonts w:ascii="Calibri" w:hAnsi="Calibri"/>
                <w:b/>
                <w:sz w:val="16"/>
              </w:rPr>
            </w:pPr>
            <w:r w:rsidRPr="00B43F59">
              <w:rPr>
                <w:rFonts w:ascii="Calibri" w:hAnsi="Calibri"/>
                <w:b/>
                <w:sz w:val="16"/>
              </w:rPr>
              <w:t>1</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5289CCCD"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0B82AD6B"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hideMark/>
          </w:tcPr>
          <w:p w14:paraId="2F43864A" w14:textId="77777777" w:rsidR="00302BFE" w:rsidRPr="00B43F59" w:rsidRDefault="00302BFE" w:rsidP="00243B15">
            <w:pPr>
              <w:pStyle w:val="TableParagraph"/>
              <w:rPr>
                <w:rFonts w:ascii="Calibri" w:hAnsi="Calibri"/>
                <w:sz w:val="16"/>
                <w:lang w:val="fr-CA"/>
              </w:rPr>
            </w:pPr>
            <w:r w:rsidRPr="00B43F59">
              <w:rPr>
                <w:rFonts w:ascii="Calibri" w:hAnsi="Calibri"/>
                <w:sz w:val="16"/>
                <w:lang w:val="fr-FR"/>
              </w:rPr>
              <w:t>On sait ce dont on a besoin pour optimiser la gestion, mais les moyens manquent.</w:t>
            </w:r>
          </w:p>
        </w:tc>
        <w:tc>
          <w:tcPr>
            <w:tcW w:w="3661" w:type="dxa"/>
            <w:tcBorders>
              <w:top w:val="single" w:sz="4" w:space="0" w:color="16459A"/>
              <w:left w:val="single" w:sz="4" w:space="0" w:color="16459A"/>
              <w:bottom w:val="single" w:sz="4" w:space="0" w:color="16459A"/>
              <w:right w:val="single" w:sz="4" w:space="0" w:color="16459A"/>
            </w:tcBorders>
            <w:shd w:val="clear" w:color="auto" w:fill="auto"/>
            <w:hideMark/>
          </w:tcPr>
          <w:p w14:paraId="4C8382FF" w14:textId="77777777" w:rsidR="00302BFE" w:rsidRPr="00B43F59" w:rsidRDefault="00302BFE" w:rsidP="00243B15">
            <w:pPr>
              <w:pStyle w:val="TableParagraph"/>
              <w:rPr>
                <w:rFonts w:ascii="Calibri" w:hAnsi="Calibri"/>
                <w:sz w:val="16"/>
                <w:lang w:val="fr-FR"/>
              </w:rPr>
            </w:pPr>
            <w:r w:rsidRPr="00B43F59">
              <w:rPr>
                <w:rFonts w:ascii="Calibri" w:hAnsi="Calibri"/>
                <w:sz w:val="16"/>
                <w:lang w:val="fr-FR"/>
              </w:rPr>
              <w:t>Bien apprendre à identifier les compétences et les technologies.</w:t>
            </w:r>
          </w:p>
          <w:p w14:paraId="6C4560BA" w14:textId="77777777" w:rsidR="00302BFE" w:rsidRPr="00B43F59" w:rsidRDefault="00302BFE" w:rsidP="00243B15">
            <w:pPr>
              <w:pStyle w:val="TableParagraph"/>
              <w:rPr>
                <w:rFonts w:ascii="Calibri" w:hAnsi="Calibri"/>
                <w:sz w:val="16"/>
                <w:lang w:val="fr-FR"/>
              </w:rPr>
            </w:pPr>
            <w:r w:rsidRPr="00B43F59">
              <w:rPr>
                <w:rFonts w:ascii="Calibri" w:hAnsi="Calibri"/>
                <w:sz w:val="16"/>
                <w:lang w:val="fr-FR"/>
              </w:rPr>
              <w:t>Définir des profils à rechercher pour un meilleur fonctionnement des institutions (pour faire le choix ou pour les former)</w:t>
            </w:r>
          </w:p>
          <w:p w14:paraId="3C9CB595" w14:textId="77777777" w:rsidR="00302BFE" w:rsidRPr="00B43F59" w:rsidRDefault="00302BFE" w:rsidP="00243B15">
            <w:pPr>
              <w:pStyle w:val="TableParagraph"/>
              <w:rPr>
                <w:rFonts w:ascii="Calibri" w:hAnsi="Calibri"/>
                <w:sz w:val="16"/>
                <w:lang w:val="fr-CA"/>
              </w:rPr>
            </w:pPr>
            <w:r w:rsidRPr="00B43F59">
              <w:rPr>
                <w:rFonts w:ascii="Calibri" w:hAnsi="Calibri"/>
                <w:sz w:val="16"/>
                <w:lang w:val="fr-FR"/>
              </w:rPr>
              <w:t>Il y a des technologies mais pas les meilleurs</w:t>
            </w:r>
          </w:p>
        </w:tc>
      </w:tr>
      <w:tr w:rsidR="00302BFE" w:rsidRPr="00B43F59" w14:paraId="0F3EAFAE" w14:textId="77777777" w:rsidTr="00243B15">
        <w:trPr>
          <w:trHeight w:val="474"/>
          <w:jc w:val="center"/>
        </w:trPr>
        <w:tc>
          <w:tcPr>
            <w:tcW w:w="1246" w:type="dxa"/>
            <w:vMerge/>
            <w:tcBorders>
              <w:top w:val="single" w:sz="4" w:space="0" w:color="16459A"/>
              <w:left w:val="single" w:sz="6" w:space="0" w:color="16459A"/>
              <w:bottom w:val="single" w:sz="4" w:space="0" w:color="16459A"/>
              <w:right w:val="single" w:sz="6" w:space="0" w:color="16459A"/>
            </w:tcBorders>
            <w:shd w:val="clear" w:color="auto" w:fill="auto"/>
            <w:vAlign w:val="center"/>
            <w:hideMark/>
          </w:tcPr>
          <w:p w14:paraId="03D0EC14" w14:textId="77777777" w:rsidR="00302BFE" w:rsidRPr="00B43F59" w:rsidRDefault="00302BFE" w:rsidP="00243B15">
            <w:pPr>
              <w:widowControl w:val="0"/>
              <w:autoSpaceDE w:val="0"/>
              <w:autoSpaceDN w:val="0"/>
              <w:rPr>
                <w:rFonts w:eastAsia="Myriad Pro Light" w:cs="Myriad Pro Light"/>
                <w:b/>
                <w:sz w:val="16"/>
                <w:szCs w:val="22"/>
                <w:lang w:val="fr-CA"/>
              </w:rPr>
            </w:pPr>
          </w:p>
        </w:tc>
        <w:tc>
          <w:tcPr>
            <w:tcW w:w="4297" w:type="dxa"/>
            <w:tcBorders>
              <w:top w:val="single" w:sz="4" w:space="0" w:color="16459A"/>
              <w:left w:val="single" w:sz="4" w:space="0" w:color="16459A"/>
              <w:bottom w:val="single" w:sz="4" w:space="0" w:color="16459A"/>
              <w:right w:val="single" w:sz="4" w:space="0" w:color="16459A"/>
            </w:tcBorders>
            <w:shd w:val="clear" w:color="auto" w:fill="auto"/>
            <w:hideMark/>
          </w:tcPr>
          <w:p w14:paraId="00FD78C9" w14:textId="77777777" w:rsidR="00302BFE" w:rsidRPr="00B43F59" w:rsidRDefault="00302BFE" w:rsidP="00243B15">
            <w:pPr>
              <w:pStyle w:val="TableParagraph"/>
              <w:spacing w:before="15" w:line="220" w:lineRule="atLeast"/>
              <w:ind w:left="80" w:right="79"/>
              <w:rPr>
                <w:rFonts w:ascii="Calibri" w:hAnsi="Calibri"/>
                <w:b/>
                <w:sz w:val="16"/>
                <w:lang w:val="fr-CA"/>
              </w:rPr>
            </w:pPr>
            <w:r w:rsidRPr="00B43F59">
              <w:rPr>
                <w:rFonts w:ascii="Calibri" w:hAnsi="Calibri"/>
                <w:b/>
                <w:sz w:val="16"/>
                <w:lang w:val="fr-CA"/>
              </w:rPr>
              <w:t>Les compétences et les technologies requises sont obtenues, mais leur accès dépend de sources étrangères</w:t>
            </w:r>
          </w:p>
        </w:tc>
        <w:tc>
          <w:tcPr>
            <w:tcW w:w="567" w:type="dxa"/>
            <w:tcBorders>
              <w:top w:val="single" w:sz="4" w:space="0" w:color="16459A"/>
              <w:left w:val="single" w:sz="4" w:space="0" w:color="16459A"/>
              <w:bottom w:val="single" w:sz="4" w:space="0" w:color="16459A"/>
              <w:right w:val="single" w:sz="4" w:space="0" w:color="16459A"/>
            </w:tcBorders>
            <w:shd w:val="clear" w:color="auto" w:fill="auto"/>
            <w:hideMark/>
          </w:tcPr>
          <w:p w14:paraId="170F6F5E" w14:textId="77777777" w:rsidR="00302BFE" w:rsidRPr="00B43F59" w:rsidRDefault="00302BFE" w:rsidP="00243B15">
            <w:pPr>
              <w:pStyle w:val="TableParagraph"/>
              <w:spacing w:before="39"/>
              <w:ind w:left="80"/>
              <w:rPr>
                <w:rFonts w:ascii="Calibri" w:hAnsi="Calibri"/>
                <w:b/>
                <w:sz w:val="16"/>
              </w:rPr>
            </w:pPr>
            <w:r w:rsidRPr="00B43F59">
              <w:rPr>
                <w:rFonts w:ascii="Calibri" w:hAnsi="Calibri"/>
                <w:b/>
                <w:sz w:val="16"/>
              </w:rPr>
              <w:t>2</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46303367"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4230DBFC"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tcPr>
          <w:p w14:paraId="6774215F" w14:textId="77777777" w:rsidR="00302BFE" w:rsidRPr="00B43F59" w:rsidRDefault="00302BFE" w:rsidP="00243B15">
            <w:pPr>
              <w:pStyle w:val="TableParagraph"/>
              <w:rPr>
                <w:rFonts w:ascii="Calibri" w:hAnsi="Calibri"/>
                <w:sz w:val="16"/>
              </w:rPr>
            </w:pPr>
          </w:p>
        </w:tc>
        <w:tc>
          <w:tcPr>
            <w:tcW w:w="3661" w:type="dxa"/>
            <w:tcBorders>
              <w:top w:val="single" w:sz="4" w:space="0" w:color="16459A"/>
              <w:left w:val="single" w:sz="4" w:space="0" w:color="16459A"/>
              <w:bottom w:val="single" w:sz="4" w:space="0" w:color="16459A"/>
              <w:right w:val="single" w:sz="4" w:space="0" w:color="16459A"/>
            </w:tcBorders>
            <w:shd w:val="clear" w:color="auto" w:fill="auto"/>
          </w:tcPr>
          <w:p w14:paraId="6D3116A5" w14:textId="77777777" w:rsidR="00302BFE" w:rsidRPr="00B43F59" w:rsidRDefault="00302BFE" w:rsidP="00243B15">
            <w:pPr>
              <w:pStyle w:val="TableParagraph"/>
              <w:rPr>
                <w:rFonts w:ascii="Calibri" w:hAnsi="Calibri"/>
                <w:sz w:val="16"/>
              </w:rPr>
            </w:pPr>
          </w:p>
        </w:tc>
      </w:tr>
      <w:tr w:rsidR="00302BFE" w:rsidRPr="00B43F59" w14:paraId="43E9A617" w14:textId="77777777" w:rsidTr="00243B15">
        <w:trPr>
          <w:trHeight w:val="654"/>
          <w:jc w:val="center"/>
        </w:trPr>
        <w:tc>
          <w:tcPr>
            <w:tcW w:w="1246" w:type="dxa"/>
            <w:vMerge/>
            <w:tcBorders>
              <w:top w:val="single" w:sz="4" w:space="0" w:color="16459A"/>
              <w:left w:val="single" w:sz="6" w:space="0" w:color="16459A"/>
              <w:bottom w:val="single" w:sz="4" w:space="0" w:color="16459A"/>
              <w:right w:val="single" w:sz="6" w:space="0" w:color="16459A"/>
            </w:tcBorders>
            <w:shd w:val="clear" w:color="auto" w:fill="auto"/>
            <w:vAlign w:val="center"/>
            <w:hideMark/>
          </w:tcPr>
          <w:p w14:paraId="72E663E0" w14:textId="77777777" w:rsidR="00302BFE" w:rsidRPr="00B43F59" w:rsidRDefault="00302BFE" w:rsidP="00243B15">
            <w:pPr>
              <w:widowControl w:val="0"/>
              <w:autoSpaceDE w:val="0"/>
              <w:autoSpaceDN w:val="0"/>
              <w:rPr>
                <w:rFonts w:eastAsia="Myriad Pro Light" w:cs="Myriad Pro Light"/>
                <w:b/>
                <w:sz w:val="16"/>
                <w:szCs w:val="22"/>
                <w:lang w:val="fr-CA"/>
              </w:rPr>
            </w:pPr>
          </w:p>
        </w:tc>
        <w:tc>
          <w:tcPr>
            <w:tcW w:w="4297" w:type="dxa"/>
            <w:tcBorders>
              <w:top w:val="single" w:sz="4" w:space="0" w:color="16459A"/>
              <w:left w:val="single" w:sz="4" w:space="0" w:color="16459A"/>
              <w:bottom w:val="single" w:sz="4" w:space="0" w:color="16459A"/>
              <w:right w:val="single" w:sz="4" w:space="0" w:color="16459A"/>
            </w:tcBorders>
            <w:shd w:val="clear" w:color="auto" w:fill="auto"/>
            <w:hideMark/>
          </w:tcPr>
          <w:p w14:paraId="0B927506" w14:textId="77777777" w:rsidR="00302BFE" w:rsidRPr="00B43F59" w:rsidRDefault="00302BFE" w:rsidP="00243B15">
            <w:pPr>
              <w:pStyle w:val="TableParagraph"/>
              <w:spacing w:before="15" w:line="220" w:lineRule="atLeast"/>
              <w:ind w:left="80"/>
              <w:rPr>
                <w:rFonts w:ascii="Calibri" w:hAnsi="Calibri"/>
                <w:b/>
                <w:sz w:val="16"/>
                <w:lang w:val="fr-CA"/>
              </w:rPr>
            </w:pPr>
            <w:r w:rsidRPr="00B43F59">
              <w:rPr>
                <w:rFonts w:ascii="Calibri" w:hAnsi="Calibri"/>
                <w:b/>
                <w:sz w:val="16"/>
                <w:lang w:val="fr-CA"/>
              </w:rPr>
              <w:t>Les compétences et les technologies requises sont disponibles et il existe un mécanisme national de mise à jour des compétences requises et de mise à niveau des technologies.</w:t>
            </w:r>
          </w:p>
        </w:tc>
        <w:tc>
          <w:tcPr>
            <w:tcW w:w="567" w:type="dxa"/>
            <w:tcBorders>
              <w:top w:val="single" w:sz="4" w:space="0" w:color="16459A"/>
              <w:left w:val="single" w:sz="4" w:space="0" w:color="16459A"/>
              <w:bottom w:val="single" w:sz="4" w:space="0" w:color="16459A"/>
              <w:right w:val="single" w:sz="4" w:space="0" w:color="16459A"/>
            </w:tcBorders>
            <w:shd w:val="clear" w:color="auto" w:fill="auto"/>
            <w:hideMark/>
          </w:tcPr>
          <w:p w14:paraId="0CA02958" w14:textId="77777777" w:rsidR="00302BFE" w:rsidRPr="00B43F59" w:rsidRDefault="00302BFE" w:rsidP="00243B15">
            <w:pPr>
              <w:pStyle w:val="TableParagraph"/>
              <w:spacing w:before="39"/>
              <w:ind w:left="80"/>
              <w:rPr>
                <w:rFonts w:ascii="Calibri" w:hAnsi="Calibri"/>
                <w:b/>
                <w:sz w:val="16"/>
              </w:rPr>
            </w:pPr>
            <w:r w:rsidRPr="00B43F59">
              <w:rPr>
                <w:rFonts w:ascii="Calibri" w:hAnsi="Calibri"/>
                <w:b/>
                <w:sz w:val="16"/>
              </w:rPr>
              <w:t>3</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775ED75A"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0C78955B"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tcPr>
          <w:p w14:paraId="090668B4" w14:textId="77777777" w:rsidR="00302BFE" w:rsidRPr="00B43F59" w:rsidRDefault="00302BFE" w:rsidP="00243B15">
            <w:pPr>
              <w:pStyle w:val="TableParagraph"/>
              <w:rPr>
                <w:rFonts w:ascii="Calibri" w:hAnsi="Calibri"/>
                <w:sz w:val="16"/>
              </w:rPr>
            </w:pPr>
          </w:p>
        </w:tc>
        <w:tc>
          <w:tcPr>
            <w:tcW w:w="3661" w:type="dxa"/>
            <w:tcBorders>
              <w:top w:val="single" w:sz="4" w:space="0" w:color="16459A"/>
              <w:left w:val="single" w:sz="4" w:space="0" w:color="16459A"/>
              <w:bottom w:val="single" w:sz="4" w:space="0" w:color="16459A"/>
              <w:right w:val="single" w:sz="4" w:space="0" w:color="16459A"/>
            </w:tcBorders>
            <w:shd w:val="clear" w:color="auto" w:fill="auto"/>
          </w:tcPr>
          <w:p w14:paraId="55EB6E0C" w14:textId="77777777" w:rsidR="00302BFE" w:rsidRPr="00B43F59" w:rsidRDefault="00302BFE" w:rsidP="00243B15">
            <w:pPr>
              <w:pStyle w:val="TableParagraph"/>
              <w:rPr>
                <w:rFonts w:ascii="Calibri" w:hAnsi="Calibri"/>
                <w:sz w:val="16"/>
              </w:rPr>
            </w:pPr>
          </w:p>
        </w:tc>
      </w:tr>
      <w:tr w:rsidR="00302BFE" w:rsidRPr="00755BF9" w14:paraId="05ED717D" w14:textId="77777777" w:rsidTr="00243B15">
        <w:trPr>
          <w:trHeight w:val="270"/>
          <w:jc w:val="center"/>
        </w:trPr>
        <w:tc>
          <w:tcPr>
            <w:tcW w:w="14166" w:type="dxa"/>
            <w:gridSpan w:val="7"/>
            <w:tcBorders>
              <w:top w:val="single" w:sz="4" w:space="0" w:color="16459A"/>
              <w:left w:val="single" w:sz="4" w:space="0" w:color="16459A"/>
              <w:bottom w:val="single" w:sz="4" w:space="0" w:color="16459A"/>
              <w:right w:val="single" w:sz="4" w:space="0" w:color="16459A"/>
            </w:tcBorders>
            <w:shd w:val="clear" w:color="auto" w:fill="9ABAC3"/>
          </w:tcPr>
          <w:p w14:paraId="75959120" w14:textId="77777777" w:rsidR="00302BFE" w:rsidRPr="00B43F59" w:rsidRDefault="00302BFE" w:rsidP="00243B15">
            <w:pPr>
              <w:pStyle w:val="TableParagraph"/>
              <w:spacing w:before="34"/>
              <w:ind w:left="79"/>
              <w:rPr>
                <w:rFonts w:ascii="Calibri" w:hAnsi="Calibri"/>
                <w:b/>
                <w:i/>
                <w:sz w:val="20"/>
                <w:szCs w:val="20"/>
                <w:lang w:val="fr-CA"/>
              </w:rPr>
            </w:pPr>
            <w:r w:rsidRPr="00B43F59">
              <w:rPr>
                <w:rFonts w:ascii="Calibri" w:hAnsi="Calibri"/>
                <w:b/>
                <w:i/>
                <w:sz w:val="20"/>
                <w:szCs w:val="20"/>
                <w:lang w:val="fr-CA"/>
              </w:rPr>
              <w:t>5: Capacités à effectuer le suivi et à évaluer</w:t>
            </w:r>
          </w:p>
        </w:tc>
      </w:tr>
      <w:tr w:rsidR="00302BFE" w:rsidRPr="00B43F59" w14:paraId="21AB0DF2" w14:textId="77777777" w:rsidTr="00243B15">
        <w:trPr>
          <w:trHeight w:val="930"/>
          <w:jc w:val="center"/>
        </w:trPr>
        <w:tc>
          <w:tcPr>
            <w:tcW w:w="1246" w:type="dxa"/>
            <w:vMerge w:val="restart"/>
            <w:tcBorders>
              <w:top w:val="single" w:sz="4" w:space="0" w:color="16459A"/>
              <w:left w:val="single" w:sz="6" w:space="0" w:color="16459A"/>
              <w:bottom w:val="single" w:sz="4" w:space="0" w:color="16459A"/>
              <w:right w:val="single" w:sz="4" w:space="0" w:color="16459A"/>
            </w:tcBorders>
            <w:shd w:val="clear" w:color="auto" w:fill="E0E1F1"/>
            <w:hideMark/>
          </w:tcPr>
          <w:p w14:paraId="01277B71" w14:textId="77777777" w:rsidR="00302BFE" w:rsidRPr="00B43F59" w:rsidRDefault="00302BFE" w:rsidP="00243B15">
            <w:pPr>
              <w:pStyle w:val="TableParagraph"/>
              <w:spacing w:before="36" w:line="266" w:lineRule="auto"/>
              <w:ind w:left="77" w:right="60"/>
              <w:rPr>
                <w:rFonts w:ascii="Calibri" w:hAnsi="Calibri"/>
                <w:b/>
                <w:sz w:val="16"/>
                <w:lang w:val="fr-CA"/>
              </w:rPr>
            </w:pPr>
            <w:r w:rsidRPr="00B43F59">
              <w:rPr>
                <w:rFonts w:ascii="Calibri" w:hAnsi="Calibri"/>
                <w:b/>
                <w:sz w:val="16"/>
                <w:lang w:val="fr-CA"/>
              </w:rPr>
              <w:t xml:space="preserve">Indicateur 14: Adéquation du processus de suivi projet / </w:t>
            </w:r>
            <w:r w:rsidRPr="00B43F59">
              <w:rPr>
                <w:rFonts w:ascii="Calibri" w:hAnsi="Calibri"/>
                <w:b/>
                <w:sz w:val="16"/>
                <w:lang w:val="fr-CA"/>
              </w:rPr>
              <w:lastRenderedPageBreak/>
              <w:t>programme</w:t>
            </w:r>
          </w:p>
        </w:tc>
        <w:tc>
          <w:tcPr>
            <w:tcW w:w="4297" w:type="dxa"/>
            <w:tcBorders>
              <w:top w:val="single" w:sz="4" w:space="0" w:color="16459A"/>
              <w:left w:val="single" w:sz="4" w:space="0" w:color="16459A"/>
              <w:bottom w:val="single" w:sz="4" w:space="0" w:color="16459A"/>
              <w:right w:val="single" w:sz="4" w:space="0" w:color="16459A"/>
            </w:tcBorders>
            <w:shd w:val="clear" w:color="auto" w:fill="auto"/>
            <w:hideMark/>
          </w:tcPr>
          <w:p w14:paraId="62B745E9" w14:textId="77777777" w:rsidR="00302BFE" w:rsidRPr="00B43F59" w:rsidRDefault="00302BFE" w:rsidP="00243B15">
            <w:pPr>
              <w:pStyle w:val="TableParagraph"/>
              <w:spacing w:before="15" w:line="220" w:lineRule="atLeast"/>
              <w:ind w:left="80" w:right="123"/>
              <w:jc w:val="both"/>
              <w:rPr>
                <w:rFonts w:ascii="Calibri" w:hAnsi="Calibri"/>
                <w:b/>
                <w:sz w:val="16"/>
                <w:lang w:val="fr-CA"/>
              </w:rPr>
            </w:pPr>
            <w:r w:rsidRPr="00B43F59">
              <w:rPr>
                <w:rFonts w:ascii="Calibri" w:hAnsi="Calibri"/>
                <w:b/>
                <w:sz w:val="16"/>
                <w:lang w:val="fr-CA"/>
              </w:rPr>
              <w:lastRenderedPageBreak/>
              <w:t>Une suivi de projet irrégulier est effectué sans un cadre de suivi adéquat pour préciser quoi et comment suivre le projet ou le programme en question.</w:t>
            </w:r>
          </w:p>
        </w:tc>
        <w:tc>
          <w:tcPr>
            <w:tcW w:w="567" w:type="dxa"/>
            <w:tcBorders>
              <w:top w:val="single" w:sz="4" w:space="0" w:color="16459A"/>
              <w:left w:val="single" w:sz="4" w:space="0" w:color="16459A"/>
              <w:bottom w:val="single" w:sz="4" w:space="0" w:color="16459A"/>
              <w:right w:val="single" w:sz="4" w:space="0" w:color="16459A"/>
            </w:tcBorders>
            <w:shd w:val="clear" w:color="auto" w:fill="auto"/>
            <w:hideMark/>
          </w:tcPr>
          <w:p w14:paraId="2C01EDC3" w14:textId="77777777" w:rsidR="00302BFE" w:rsidRPr="00B43F59" w:rsidRDefault="00302BFE" w:rsidP="00243B15">
            <w:pPr>
              <w:pStyle w:val="TableParagraph"/>
              <w:spacing w:before="39"/>
              <w:ind w:left="80"/>
              <w:rPr>
                <w:rFonts w:ascii="Calibri" w:hAnsi="Calibri"/>
                <w:b/>
                <w:sz w:val="16"/>
              </w:rPr>
            </w:pPr>
            <w:r w:rsidRPr="00B43F59">
              <w:rPr>
                <w:rFonts w:ascii="Calibri" w:hAnsi="Calibri"/>
                <w:b/>
                <w:sz w:val="16"/>
              </w:rPr>
              <w:t>0</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610B2948"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043B8806"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tcPr>
          <w:p w14:paraId="7ADE11FD" w14:textId="77777777" w:rsidR="00302BFE" w:rsidRPr="00B43F59" w:rsidRDefault="00302BFE" w:rsidP="00243B15">
            <w:pPr>
              <w:pStyle w:val="TableParagraph"/>
              <w:rPr>
                <w:rFonts w:ascii="Calibri" w:hAnsi="Calibri"/>
                <w:sz w:val="16"/>
              </w:rPr>
            </w:pPr>
          </w:p>
        </w:tc>
        <w:tc>
          <w:tcPr>
            <w:tcW w:w="3661" w:type="dxa"/>
            <w:tcBorders>
              <w:top w:val="single" w:sz="4" w:space="0" w:color="16459A"/>
              <w:left w:val="single" w:sz="4" w:space="0" w:color="16459A"/>
              <w:bottom w:val="single" w:sz="4" w:space="0" w:color="16459A"/>
              <w:right w:val="single" w:sz="4" w:space="0" w:color="16459A"/>
            </w:tcBorders>
            <w:shd w:val="clear" w:color="auto" w:fill="auto"/>
          </w:tcPr>
          <w:p w14:paraId="3464FF83" w14:textId="77777777" w:rsidR="00302BFE" w:rsidRPr="00B43F59" w:rsidRDefault="00302BFE" w:rsidP="00243B15">
            <w:pPr>
              <w:pStyle w:val="TableParagraph"/>
              <w:rPr>
                <w:rFonts w:ascii="Calibri" w:hAnsi="Calibri"/>
                <w:sz w:val="16"/>
              </w:rPr>
            </w:pPr>
          </w:p>
        </w:tc>
      </w:tr>
      <w:tr w:rsidR="00302BFE" w:rsidRPr="0099310D" w14:paraId="0CAA6132" w14:textId="77777777" w:rsidTr="00243B15">
        <w:trPr>
          <w:trHeight w:val="710"/>
          <w:jc w:val="center"/>
        </w:trPr>
        <w:tc>
          <w:tcPr>
            <w:tcW w:w="1246" w:type="dxa"/>
            <w:vMerge/>
            <w:tcBorders>
              <w:top w:val="single" w:sz="4" w:space="0" w:color="16459A"/>
              <w:left w:val="single" w:sz="6" w:space="0" w:color="16459A"/>
              <w:bottom w:val="single" w:sz="4" w:space="0" w:color="16459A"/>
              <w:right w:val="single" w:sz="4" w:space="0" w:color="16459A"/>
            </w:tcBorders>
            <w:shd w:val="clear" w:color="auto" w:fill="auto"/>
            <w:vAlign w:val="center"/>
            <w:hideMark/>
          </w:tcPr>
          <w:p w14:paraId="3A42D016" w14:textId="77777777" w:rsidR="00302BFE" w:rsidRPr="00B43F59" w:rsidRDefault="00302BFE" w:rsidP="00243B15">
            <w:pPr>
              <w:widowControl w:val="0"/>
              <w:autoSpaceDE w:val="0"/>
              <w:autoSpaceDN w:val="0"/>
              <w:rPr>
                <w:rFonts w:eastAsia="Myriad Pro Light" w:cs="Myriad Pro Light"/>
                <w:b/>
                <w:sz w:val="16"/>
                <w:szCs w:val="22"/>
                <w:lang w:val="fr-CA"/>
              </w:rPr>
            </w:pPr>
          </w:p>
        </w:tc>
        <w:tc>
          <w:tcPr>
            <w:tcW w:w="4297" w:type="dxa"/>
            <w:tcBorders>
              <w:top w:val="single" w:sz="4" w:space="0" w:color="16459A"/>
              <w:left w:val="single" w:sz="4" w:space="0" w:color="16459A"/>
              <w:bottom w:val="single" w:sz="4" w:space="0" w:color="16459A"/>
              <w:right w:val="single" w:sz="4" w:space="0" w:color="16459A"/>
            </w:tcBorders>
            <w:shd w:val="clear" w:color="auto" w:fill="auto"/>
            <w:hideMark/>
          </w:tcPr>
          <w:p w14:paraId="3035A74C" w14:textId="77777777" w:rsidR="00302BFE" w:rsidRPr="00B43F59" w:rsidRDefault="00302BFE" w:rsidP="00243B15">
            <w:pPr>
              <w:pStyle w:val="TableParagraph"/>
              <w:spacing w:before="15" w:line="220" w:lineRule="atLeast"/>
              <w:ind w:left="80" w:right="123"/>
              <w:jc w:val="both"/>
              <w:rPr>
                <w:rFonts w:ascii="Calibri" w:hAnsi="Calibri"/>
                <w:b/>
                <w:sz w:val="16"/>
                <w:lang w:val="fr-CA"/>
              </w:rPr>
            </w:pPr>
            <w:r w:rsidRPr="00B43F59">
              <w:rPr>
                <w:rFonts w:ascii="Calibri" w:hAnsi="Calibri"/>
                <w:b/>
                <w:sz w:val="16"/>
                <w:lang w:val="fr-CA"/>
              </w:rPr>
              <w:t>Un cadre de suivi adéquat doté de ressources est en place, mais le suivi du projet est effectué de manière irrégulière.</w:t>
            </w:r>
          </w:p>
        </w:tc>
        <w:tc>
          <w:tcPr>
            <w:tcW w:w="567" w:type="dxa"/>
            <w:tcBorders>
              <w:top w:val="single" w:sz="4" w:space="0" w:color="16459A"/>
              <w:left w:val="single" w:sz="4" w:space="0" w:color="16459A"/>
              <w:bottom w:val="single" w:sz="4" w:space="0" w:color="16459A"/>
              <w:right w:val="single" w:sz="4" w:space="0" w:color="16459A"/>
            </w:tcBorders>
            <w:shd w:val="clear" w:color="auto" w:fill="FBE4D5"/>
            <w:hideMark/>
          </w:tcPr>
          <w:p w14:paraId="155FD725" w14:textId="77777777" w:rsidR="00302BFE" w:rsidRPr="00B43F59" w:rsidRDefault="00302BFE" w:rsidP="00243B15">
            <w:pPr>
              <w:pStyle w:val="TableParagraph"/>
              <w:spacing w:before="39"/>
              <w:ind w:left="80"/>
              <w:rPr>
                <w:rFonts w:ascii="Calibri" w:hAnsi="Calibri"/>
                <w:b/>
                <w:sz w:val="16"/>
              </w:rPr>
            </w:pPr>
            <w:r w:rsidRPr="00B43F59">
              <w:rPr>
                <w:rFonts w:ascii="Calibri" w:hAnsi="Calibri"/>
                <w:b/>
                <w:sz w:val="16"/>
              </w:rPr>
              <w:t>1</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18CD5354"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1802696D"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hideMark/>
          </w:tcPr>
          <w:p w14:paraId="2F933F02" w14:textId="77777777" w:rsidR="00302BFE" w:rsidRPr="00B43F59" w:rsidRDefault="00302BFE" w:rsidP="00243B15">
            <w:pPr>
              <w:pStyle w:val="TableParagraph"/>
              <w:rPr>
                <w:rFonts w:ascii="Calibri" w:hAnsi="Calibri"/>
                <w:sz w:val="16"/>
                <w:lang w:val="fr-FR"/>
              </w:rPr>
            </w:pPr>
            <w:r w:rsidRPr="00B43F59">
              <w:rPr>
                <w:rFonts w:ascii="Calibri" w:hAnsi="Calibri"/>
                <w:sz w:val="16"/>
                <w:lang w:val="fr-FR"/>
              </w:rPr>
              <w:t>L’OFINAP a un minimum de moyens pour le suivi des projets, a aussi des cadres pour le suivi des projets. L’OFINAP a des dispositifs minimaux sur lesquels le Projet peut s’appuyer. L’OFINAP dispose davantage de ressources que la DF</w:t>
            </w:r>
            <w:r>
              <w:rPr>
                <w:rFonts w:ascii="Calibri" w:hAnsi="Calibri"/>
                <w:sz w:val="16"/>
                <w:lang w:val="fr-FR"/>
              </w:rPr>
              <w:t>R</w:t>
            </w:r>
            <w:r w:rsidRPr="00B43F59">
              <w:rPr>
                <w:rFonts w:ascii="Calibri" w:hAnsi="Calibri"/>
                <w:sz w:val="16"/>
                <w:lang w:val="fr-FR"/>
              </w:rPr>
              <w:t>C.</w:t>
            </w:r>
          </w:p>
          <w:p w14:paraId="3EE50359" w14:textId="77777777" w:rsidR="00302BFE" w:rsidRPr="00B43F59" w:rsidRDefault="00302BFE" w:rsidP="00243B15">
            <w:pPr>
              <w:pStyle w:val="TableParagraph"/>
              <w:rPr>
                <w:rFonts w:ascii="Calibri" w:hAnsi="Calibri"/>
                <w:sz w:val="16"/>
                <w:lang w:val="fr-FR"/>
              </w:rPr>
            </w:pPr>
            <w:r w:rsidRPr="00B43F59">
              <w:rPr>
                <w:rFonts w:ascii="Calibri" w:hAnsi="Calibri"/>
                <w:sz w:val="16"/>
                <w:lang w:val="fr-FR"/>
              </w:rPr>
              <w:t>Le suivi des ressources est effectué de manière sporadique par la DF</w:t>
            </w:r>
            <w:r>
              <w:rPr>
                <w:rFonts w:ascii="Calibri" w:hAnsi="Calibri"/>
                <w:sz w:val="16"/>
                <w:lang w:val="fr-FR"/>
              </w:rPr>
              <w:t>R</w:t>
            </w:r>
            <w:r w:rsidRPr="00B43F59">
              <w:rPr>
                <w:rFonts w:ascii="Calibri" w:hAnsi="Calibri"/>
                <w:sz w:val="16"/>
                <w:lang w:val="fr-FR"/>
              </w:rPr>
              <w:t>C. Un service de suivi évaluation existe à la DF</w:t>
            </w:r>
            <w:r>
              <w:rPr>
                <w:rFonts w:ascii="Calibri" w:hAnsi="Calibri"/>
                <w:sz w:val="16"/>
                <w:lang w:val="fr-FR"/>
              </w:rPr>
              <w:t>R</w:t>
            </w:r>
            <w:r w:rsidRPr="00B43F59">
              <w:rPr>
                <w:rFonts w:ascii="Calibri" w:hAnsi="Calibri"/>
                <w:sz w:val="16"/>
                <w:lang w:val="fr-FR"/>
              </w:rPr>
              <w:t>C mais la collecte et la capitalisation des données de base sont insuffisants faute de ressources adéquates pour la DGEF</w:t>
            </w:r>
          </w:p>
        </w:tc>
        <w:tc>
          <w:tcPr>
            <w:tcW w:w="3661" w:type="dxa"/>
            <w:tcBorders>
              <w:top w:val="single" w:sz="4" w:space="0" w:color="16459A"/>
              <w:left w:val="single" w:sz="4" w:space="0" w:color="16459A"/>
              <w:bottom w:val="single" w:sz="4" w:space="0" w:color="16459A"/>
              <w:right w:val="single" w:sz="4" w:space="0" w:color="16459A"/>
            </w:tcBorders>
            <w:shd w:val="clear" w:color="auto" w:fill="auto"/>
          </w:tcPr>
          <w:p w14:paraId="72BE3C14" w14:textId="77777777" w:rsidR="00302BFE" w:rsidRPr="00B43F59" w:rsidRDefault="00302BFE" w:rsidP="00243B15">
            <w:pPr>
              <w:pStyle w:val="TableParagraph"/>
              <w:rPr>
                <w:rFonts w:ascii="Calibri" w:hAnsi="Calibri"/>
                <w:sz w:val="16"/>
                <w:lang w:val="fr-FR"/>
              </w:rPr>
            </w:pPr>
            <w:r w:rsidRPr="00B43F59">
              <w:rPr>
                <w:rFonts w:ascii="Calibri" w:hAnsi="Calibri"/>
                <w:sz w:val="16"/>
                <w:lang w:val="fr-FR"/>
              </w:rPr>
              <w:t xml:space="preserve">Le projet PAPSA a un dispositif de suivi au niveau du projet, et finance le suivi au niveau de l’OFINAP et du Ministère. À terme, l’OFINAP reprendra les acquis du projet pour en assurer la continuité. </w:t>
            </w:r>
          </w:p>
          <w:p w14:paraId="0713C7CD" w14:textId="77777777" w:rsidR="00302BFE" w:rsidRPr="00B43F59" w:rsidRDefault="00302BFE" w:rsidP="00243B15">
            <w:pPr>
              <w:pStyle w:val="TableParagraph"/>
              <w:rPr>
                <w:rFonts w:ascii="Calibri" w:hAnsi="Calibri"/>
                <w:sz w:val="16"/>
                <w:lang w:val="fr-FR"/>
              </w:rPr>
            </w:pPr>
            <w:r w:rsidRPr="00B43F59">
              <w:rPr>
                <w:rFonts w:ascii="Calibri" w:hAnsi="Calibri"/>
                <w:sz w:val="16"/>
                <w:lang w:val="fr-FR"/>
              </w:rPr>
              <w:t>Il faut institutionnaliser le suivi évaluation dans le cadre de ce projet</w:t>
            </w:r>
          </w:p>
          <w:p w14:paraId="1CE4B2C1" w14:textId="77777777" w:rsidR="00302BFE" w:rsidRPr="00B43F59" w:rsidRDefault="00302BFE" w:rsidP="00243B15">
            <w:pPr>
              <w:pStyle w:val="TableParagraph"/>
              <w:rPr>
                <w:rFonts w:ascii="Calibri" w:hAnsi="Calibri"/>
                <w:sz w:val="16"/>
                <w:lang w:val="fr-CA"/>
              </w:rPr>
            </w:pPr>
          </w:p>
        </w:tc>
      </w:tr>
      <w:tr w:rsidR="00302BFE" w:rsidRPr="00B43F59" w14:paraId="6C0836B4" w14:textId="77777777" w:rsidTr="00243B15">
        <w:trPr>
          <w:trHeight w:val="777"/>
          <w:jc w:val="center"/>
        </w:trPr>
        <w:tc>
          <w:tcPr>
            <w:tcW w:w="1246" w:type="dxa"/>
            <w:vMerge/>
            <w:tcBorders>
              <w:top w:val="single" w:sz="4" w:space="0" w:color="16459A"/>
              <w:left w:val="single" w:sz="6" w:space="0" w:color="16459A"/>
              <w:bottom w:val="single" w:sz="4" w:space="0" w:color="16459A"/>
              <w:right w:val="single" w:sz="4" w:space="0" w:color="16459A"/>
            </w:tcBorders>
            <w:shd w:val="clear" w:color="auto" w:fill="auto"/>
            <w:vAlign w:val="center"/>
            <w:hideMark/>
          </w:tcPr>
          <w:p w14:paraId="7F5F6EC9" w14:textId="77777777" w:rsidR="00302BFE" w:rsidRPr="00B43F59" w:rsidRDefault="00302BFE" w:rsidP="00243B15">
            <w:pPr>
              <w:widowControl w:val="0"/>
              <w:autoSpaceDE w:val="0"/>
              <w:autoSpaceDN w:val="0"/>
              <w:rPr>
                <w:rFonts w:eastAsia="Myriad Pro Light" w:cs="Myriad Pro Light"/>
                <w:b/>
                <w:sz w:val="16"/>
                <w:szCs w:val="22"/>
                <w:lang w:val="fr-CA"/>
              </w:rPr>
            </w:pPr>
          </w:p>
        </w:tc>
        <w:tc>
          <w:tcPr>
            <w:tcW w:w="4297" w:type="dxa"/>
            <w:tcBorders>
              <w:top w:val="single" w:sz="4" w:space="0" w:color="16459A"/>
              <w:left w:val="single" w:sz="4" w:space="0" w:color="16459A"/>
              <w:bottom w:val="single" w:sz="4" w:space="0" w:color="16459A"/>
              <w:right w:val="single" w:sz="4" w:space="0" w:color="16459A"/>
            </w:tcBorders>
            <w:shd w:val="clear" w:color="auto" w:fill="auto"/>
            <w:hideMark/>
          </w:tcPr>
          <w:p w14:paraId="0B2A1AFF" w14:textId="77777777" w:rsidR="00302BFE" w:rsidRPr="00B43F59" w:rsidRDefault="00302BFE" w:rsidP="00243B15">
            <w:pPr>
              <w:pStyle w:val="TableParagraph"/>
              <w:spacing w:before="15" w:line="220" w:lineRule="atLeast"/>
              <w:ind w:left="80" w:right="176"/>
              <w:rPr>
                <w:rFonts w:ascii="Calibri" w:hAnsi="Calibri"/>
                <w:b/>
                <w:sz w:val="16"/>
                <w:lang w:val="fr-CA"/>
              </w:rPr>
            </w:pPr>
            <w:r w:rsidRPr="00B43F59">
              <w:rPr>
                <w:rFonts w:ascii="Calibri" w:hAnsi="Calibri"/>
                <w:b/>
                <w:sz w:val="16"/>
                <w:lang w:val="fr-CA"/>
              </w:rPr>
              <w:t>Un suivi participatif régulier des résultats est en cours, mais cette information n’est que partiellement utilisée par l’équipe de mise en œuvre du projet / programme.</w:t>
            </w:r>
          </w:p>
        </w:tc>
        <w:tc>
          <w:tcPr>
            <w:tcW w:w="567" w:type="dxa"/>
            <w:tcBorders>
              <w:top w:val="single" w:sz="4" w:space="0" w:color="16459A"/>
              <w:left w:val="single" w:sz="4" w:space="0" w:color="16459A"/>
              <w:bottom w:val="single" w:sz="4" w:space="0" w:color="16459A"/>
              <w:right w:val="single" w:sz="4" w:space="0" w:color="16459A"/>
            </w:tcBorders>
            <w:shd w:val="clear" w:color="auto" w:fill="auto"/>
            <w:hideMark/>
          </w:tcPr>
          <w:p w14:paraId="695A536B" w14:textId="77777777" w:rsidR="00302BFE" w:rsidRPr="00B43F59" w:rsidRDefault="00302BFE" w:rsidP="00243B15">
            <w:pPr>
              <w:pStyle w:val="TableParagraph"/>
              <w:spacing w:before="39"/>
              <w:ind w:left="80"/>
              <w:rPr>
                <w:rFonts w:ascii="Calibri" w:hAnsi="Calibri"/>
                <w:b/>
                <w:sz w:val="16"/>
              </w:rPr>
            </w:pPr>
            <w:r w:rsidRPr="00B43F59">
              <w:rPr>
                <w:rFonts w:ascii="Calibri" w:hAnsi="Calibri"/>
                <w:b/>
                <w:sz w:val="16"/>
              </w:rPr>
              <w:t>2</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493F2535"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16834D54"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tcPr>
          <w:p w14:paraId="463A58A5" w14:textId="77777777" w:rsidR="00302BFE" w:rsidRPr="00B43F59" w:rsidRDefault="00302BFE" w:rsidP="00243B15">
            <w:pPr>
              <w:pStyle w:val="TableParagraph"/>
              <w:rPr>
                <w:rFonts w:ascii="Calibri" w:hAnsi="Calibri"/>
                <w:sz w:val="16"/>
              </w:rPr>
            </w:pPr>
          </w:p>
        </w:tc>
        <w:tc>
          <w:tcPr>
            <w:tcW w:w="3661" w:type="dxa"/>
            <w:tcBorders>
              <w:top w:val="single" w:sz="4" w:space="0" w:color="16459A"/>
              <w:left w:val="single" w:sz="4" w:space="0" w:color="16459A"/>
              <w:bottom w:val="single" w:sz="4" w:space="0" w:color="16459A"/>
              <w:right w:val="single" w:sz="4" w:space="0" w:color="16459A"/>
            </w:tcBorders>
            <w:shd w:val="clear" w:color="auto" w:fill="auto"/>
          </w:tcPr>
          <w:p w14:paraId="47679692" w14:textId="77777777" w:rsidR="00302BFE" w:rsidRPr="00B43F59" w:rsidRDefault="00302BFE" w:rsidP="00243B15">
            <w:pPr>
              <w:pStyle w:val="TableParagraph"/>
              <w:rPr>
                <w:rFonts w:ascii="Calibri" w:hAnsi="Calibri"/>
                <w:sz w:val="16"/>
              </w:rPr>
            </w:pPr>
          </w:p>
        </w:tc>
      </w:tr>
      <w:tr w:rsidR="00302BFE" w:rsidRPr="00B43F59" w14:paraId="7E8ED409" w14:textId="77777777" w:rsidTr="00243B15">
        <w:trPr>
          <w:trHeight w:val="930"/>
          <w:jc w:val="center"/>
        </w:trPr>
        <w:tc>
          <w:tcPr>
            <w:tcW w:w="1246" w:type="dxa"/>
            <w:vMerge/>
            <w:tcBorders>
              <w:top w:val="single" w:sz="4" w:space="0" w:color="16459A"/>
              <w:left w:val="single" w:sz="6" w:space="0" w:color="16459A"/>
              <w:bottom w:val="single" w:sz="4" w:space="0" w:color="16459A"/>
              <w:right w:val="single" w:sz="4" w:space="0" w:color="16459A"/>
            </w:tcBorders>
            <w:shd w:val="clear" w:color="auto" w:fill="auto"/>
            <w:vAlign w:val="center"/>
            <w:hideMark/>
          </w:tcPr>
          <w:p w14:paraId="1227852A" w14:textId="77777777" w:rsidR="00302BFE" w:rsidRPr="00B43F59" w:rsidRDefault="00302BFE" w:rsidP="00243B15">
            <w:pPr>
              <w:widowControl w:val="0"/>
              <w:autoSpaceDE w:val="0"/>
              <w:autoSpaceDN w:val="0"/>
              <w:rPr>
                <w:rFonts w:eastAsia="Myriad Pro Light" w:cs="Myriad Pro Light"/>
                <w:b/>
                <w:sz w:val="16"/>
                <w:szCs w:val="22"/>
                <w:lang w:val="fr-CA"/>
              </w:rPr>
            </w:pPr>
          </w:p>
        </w:tc>
        <w:tc>
          <w:tcPr>
            <w:tcW w:w="4297" w:type="dxa"/>
            <w:tcBorders>
              <w:top w:val="single" w:sz="4" w:space="0" w:color="16459A"/>
              <w:left w:val="single" w:sz="4" w:space="0" w:color="16459A"/>
              <w:bottom w:val="single" w:sz="4" w:space="0" w:color="16459A"/>
              <w:right w:val="single" w:sz="4" w:space="0" w:color="16459A"/>
            </w:tcBorders>
            <w:shd w:val="clear" w:color="auto" w:fill="auto"/>
            <w:hideMark/>
          </w:tcPr>
          <w:p w14:paraId="112C53C8" w14:textId="77777777" w:rsidR="00302BFE" w:rsidRPr="00B43F59" w:rsidRDefault="00302BFE" w:rsidP="00243B15">
            <w:pPr>
              <w:pStyle w:val="TableParagraph"/>
              <w:spacing w:before="15" w:line="220" w:lineRule="atLeast"/>
              <w:ind w:left="80" w:right="81"/>
              <w:rPr>
                <w:rFonts w:ascii="Calibri" w:hAnsi="Calibri"/>
                <w:b/>
                <w:sz w:val="16"/>
                <w:lang w:val="fr-CA"/>
              </w:rPr>
            </w:pPr>
            <w:r w:rsidRPr="00B43F59">
              <w:rPr>
                <w:rFonts w:ascii="Calibri" w:hAnsi="Calibri"/>
                <w:b/>
                <w:sz w:val="16"/>
                <w:lang w:val="fr-CA"/>
              </w:rPr>
              <w:t>Les informations de suivi sont produites en temps opportun et avec précision, et sont utilisées par l'équipe de mise en œuvre pour apprendre et peut-être changer le cours de l'action.</w:t>
            </w:r>
          </w:p>
        </w:tc>
        <w:tc>
          <w:tcPr>
            <w:tcW w:w="567" w:type="dxa"/>
            <w:tcBorders>
              <w:top w:val="single" w:sz="4" w:space="0" w:color="16459A"/>
              <w:left w:val="single" w:sz="4" w:space="0" w:color="16459A"/>
              <w:bottom w:val="single" w:sz="4" w:space="0" w:color="16459A"/>
              <w:right w:val="single" w:sz="4" w:space="0" w:color="16459A"/>
            </w:tcBorders>
            <w:shd w:val="clear" w:color="auto" w:fill="auto"/>
            <w:hideMark/>
          </w:tcPr>
          <w:p w14:paraId="6C96E9FC" w14:textId="77777777" w:rsidR="00302BFE" w:rsidRPr="00B43F59" w:rsidRDefault="00302BFE" w:rsidP="00243B15">
            <w:pPr>
              <w:pStyle w:val="TableParagraph"/>
              <w:spacing w:before="39"/>
              <w:ind w:left="80"/>
              <w:rPr>
                <w:rFonts w:ascii="Calibri" w:hAnsi="Calibri"/>
                <w:b/>
                <w:sz w:val="16"/>
              </w:rPr>
            </w:pPr>
            <w:r w:rsidRPr="00B43F59">
              <w:rPr>
                <w:rFonts w:ascii="Calibri" w:hAnsi="Calibri"/>
                <w:b/>
                <w:sz w:val="16"/>
              </w:rPr>
              <w:t>3</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749B4993"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0462954D"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tcPr>
          <w:p w14:paraId="5506590D" w14:textId="77777777" w:rsidR="00302BFE" w:rsidRPr="00B43F59" w:rsidRDefault="00302BFE" w:rsidP="00243B15">
            <w:pPr>
              <w:pStyle w:val="TableParagraph"/>
              <w:rPr>
                <w:rFonts w:ascii="Calibri" w:hAnsi="Calibri"/>
                <w:sz w:val="16"/>
              </w:rPr>
            </w:pPr>
          </w:p>
        </w:tc>
        <w:tc>
          <w:tcPr>
            <w:tcW w:w="3661" w:type="dxa"/>
            <w:tcBorders>
              <w:top w:val="single" w:sz="4" w:space="0" w:color="16459A"/>
              <w:left w:val="single" w:sz="4" w:space="0" w:color="16459A"/>
              <w:bottom w:val="single" w:sz="4" w:space="0" w:color="16459A"/>
              <w:right w:val="single" w:sz="4" w:space="0" w:color="16459A"/>
            </w:tcBorders>
            <w:shd w:val="clear" w:color="auto" w:fill="auto"/>
          </w:tcPr>
          <w:p w14:paraId="6F933CC2" w14:textId="77777777" w:rsidR="00302BFE" w:rsidRPr="00B43F59" w:rsidRDefault="00302BFE" w:rsidP="00243B15">
            <w:pPr>
              <w:pStyle w:val="TableParagraph"/>
              <w:rPr>
                <w:rFonts w:ascii="Calibri" w:hAnsi="Calibri"/>
                <w:sz w:val="16"/>
              </w:rPr>
            </w:pPr>
          </w:p>
        </w:tc>
      </w:tr>
      <w:tr w:rsidR="00302BFE" w:rsidRPr="00755BF9" w14:paraId="79A91D9A" w14:textId="77777777" w:rsidTr="00243B15">
        <w:trPr>
          <w:trHeight w:val="710"/>
          <w:jc w:val="center"/>
        </w:trPr>
        <w:tc>
          <w:tcPr>
            <w:tcW w:w="1246" w:type="dxa"/>
            <w:vMerge w:val="restart"/>
            <w:tcBorders>
              <w:top w:val="single" w:sz="4" w:space="0" w:color="16459A"/>
              <w:left w:val="single" w:sz="6" w:space="0" w:color="16459A"/>
              <w:bottom w:val="single" w:sz="4" w:space="0" w:color="16459A"/>
              <w:right w:val="single" w:sz="6" w:space="0" w:color="16459A"/>
            </w:tcBorders>
            <w:shd w:val="clear" w:color="auto" w:fill="E0E1F1"/>
            <w:hideMark/>
          </w:tcPr>
          <w:p w14:paraId="48695D52" w14:textId="77777777" w:rsidR="00302BFE" w:rsidRPr="00B43F59" w:rsidRDefault="00302BFE" w:rsidP="00243B15">
            <w:pPr>
              <w:pStyle w:val="TableParagraph"/>
              <w:spacing w:before="36" w:line="266" w:lineRule="auto"/>
              <w:ind w:left="77" w:right="57"/>
              <w:rPr>
                <w:rFonts w:ascii="Calibri" w:hAnsi="Calibri"/>
                <w:b/>
                <w:sz w:val="16"/>
                <w:lang w:val="fr-CA"/>
              </w:rPr>
            </w:pPr>
            <w:r w:rsidRPr="00B43F59">
              <w:rPr>
                <w:rFonts w:ascii="Calibri" w:hAnsi="Calibri"/>
                <w:b/>
                <w:sz w:val="16"/>
                <w:lang w:val="fr-CA"/>
              </w:rPr>
              <w:t>Indicateur 15: Adéquation du processus d'évaluation projet / programme</w:t>
            </w:r>
          </w:p>
        </w:tc>
        <w:tc>
          <w:tcPr>
            <w:tcW w:w="4297" w:type="dxa"/>
            <w:tcBorders>
              <w:top w:val="single" w:sz="4" w:space="0" w:color="16459A"/>
              <w:left w:val="single" w:sz="4" w:space="0" w:color="16459A"/>
              <w:bottom w:val="single" w:sz="4" w:space="0" w:color="16459A"/>
              <w:right w:val="single" w:sz="4" w:space="0" w:color="16459A"/>
            </w:tcBorders>
            <w:shd w:val="clear" w:color="auto" w:fill="auto"/>
            <w:hideMark/>
          </w:tcPr>
          <w:p w14:paraId="0D2DFCF7" w14:textId="77777777" w:rsidR="00302BFE" w:rsidRPr="00B43F59" w:rsidRDefault="00302BFE" w:rsidP="00243B15">
            <w:pPr>
              <w:pStyle w:val="TableParagraph"/>
              <w:spacing w:before="15" w:line="220" w:lineRule="atLeast"/>
              <w:ind w:left="80" w:right="134"/>
              <w:rPr>
                <w:rFonts w:ascii="Calibri" w:hAnsi="Calibri"/>
                <w:b/>
                <w:sz w:val="16"/>
                <w:lang w:val="fr-CA"/>
              </w:rPr>
            </w:pPr>
            <w:r w:rsidRPr="00B43F59">
              <w:rPr>
                <w:rFonts w:ascii="Calibri" w:hAnsi="Calibri"/>
                <w:b/>
                <w:sz w:val="16"/>
                <w:lang w:val="fr-CA"/>
              </w:rPr>
              <w:t>Aucune évaluation ou des évaluations inefficaces sont en cours, sans plan d'évaluation adéquat ni les ressources nécessaires.</w:t>
            </w:r>
          </w:p>
        </w:tc>
        <w:tc>
          <w:tcPr>
            <w:tcW w:w="567" w:type="dxa"/>
            <w:tcBorders>
              <w:top w:val="single" w:sz="4" w:space="0" w:color="16459A"/>
              <w:left w:val="single" w:sz="4" w:space="0" w:color="16459A"/>
              <w:bottom w:val="single" w:sz="4" w:space="0" w:color="16459A"/>
              <w:right w:val="single" w:sz="4" w:space="0" w:color="16459A"/>
            </w:tcBorders>
            <w:shd w:val="clear" w:color="auto" w:fill="FBE4D5"/>
            <w:hideMark/>
          </w:tcPr>
          <w:p w14:paraId="384E51F8" w14:textId="77777777" w:rsidR="00302BFE" w:rsidRPr="00B43F59" w:rsidRDefault="00302BFE" w:rsidP="00243B15">
            <w:pPr>
              <w:pStyle w:val="TableParagraph"/>
              <w:spacing w:before="39"/>
              <w:ind w:left="80"/>
              <w:rPr>
                <w:rFonts w:ascii="Calibri" w:hAnsi="Calibri"/>
                <w:b/>
                <w:sz w:val="16"/>
              </w:rPr>
            </w:pPr>
            <w:r w:rsidRPr="00B43F59">
              <w:rPr>
                <w:rFonts w:ascii="Calibri" w:hAnsi="Calibri"/>
                <w:b/>
                <w:sz w:val="16"/>
              </w:rPr>
              <w:t>0</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2FAB6073"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5C9FEEF2"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hideMark/>
          </w:tcPr>
          <w:p w14:paraId="7E9EAB94" w14:textId="77777777" w:rsidR="00302BFE" w:rsidRPr="00B43F59" w:rsidRDefault="00302BFE" w:rsidP="00243B15">
            <w:pPr>
              <w:pStyle w:val="TableParagraph"/>
              <w:rPr>
                <w:rFonts w:ascii="Calibri" w:hAnsi="Calibri"/>
                <w:sz w:val="16"/>
                <w:lang w:val="fr-CA"/>
              </w:rPr>
            </w:pPr>
            <w:r w:rsidRPr="00B43F59">
              <w:rPr>
                <w:rFonts w:ascii="Calibri" w:hAnsi="Calibri"/>
                <w:sz w:val="16"/>
                <w:lang w:val="fr-FR"/>
              </w:rPr>
              <w:t>L’OFINAP fait des évaluations annuelles, mais n’a pas de plan ni de ressources annuelles. Existence d’un plan d’investissement et même de PAG de 10 ans qui devait être évalué régulièrement mais ne se fait pas.</w:t>
            </w:r>
          </w:p>
        </w:tc>
        <w:tc>
          <w:tcPr>
            <w:tcW w:w="3661" w:type="dxa"/>
            <w:tcBorders>
              <w:top w:val="single" w:sz="4" w:space="0" w:color="16459A"/>
              <w:left w:val="single" w:sz="4" w:space="0" w:color="16459A"/>
              <w:bottom w:val="single" w:sz="4" w:space="0" w:color="16459A"/>
              <w:right w:val="single" w:sz="4" w:space="0" w:color="16459A"/>
            </w:tcBorders>
            <w:shd w:val="clear" w:color="auto" w:fill="auto"/>
            <w:hideMark/>
          </w:tcPr>
          <w:p w14:paraId="28293BA9" w14:textId="77777777" w:rsidR="00302BFE" w:rsidRPr="00B43F59" w:rsidRDefault="00302BFE" w:rsidP="00243B15">
            <w:pPr>
              <w:pStyle w:val="TableParagraph"/>
              <w:rPr>
                <w:rFonts w:ascii="Calibri" w:hAnsi="Calibri"/>
                <w:sz w:val="16"/>
                <w:lang w:val="fr-FR"/>
              </w:rPr>
            </w:pPr>
            <w:r w:rsidRPr="00B43F59">
              <w:rPr>
                <w:rFonts w:ascii="Calibri" w:hAnsi="Calibri"/>
                <w:sz w:val="16"/>
                <w:lang w:val="fr-FR"/>
              </w:rPr>
              <w:t>Le plan stratégique va impacter sur la vision et sur la planification annuelle. (besoin d’un document de formation, document du bilan de l’année)</w:t>
            </w:r>
          </w:p>
          <w:p w14:paraId="50E295A4" w14:textId="77777777" w:rsidR="00302BFE" w:rsidRPr="00B43F59" w:rsidRDefault="00302BFE" w:rsidP="00243B15">
            <w:pPr>
              <w:pStyle w:val="TableParagraph"/>
              <w:rPr>
                <w:rFonts w:ascii="Calibri" w:hAnsi="Calibri"/>
                <w:sz w:val="16"/>
                <w:lang w:val="fr-FR"/>
              </w:rPr>
            </w:pPr>
            <w:r w:rsidRPr="00B43F59">
              <w:rPr>
                <w:rFonts w:ascii="Calibri" w:hAnsi="Calibri"/>
                <w:sz w:val="16"/>
                <w:lang w:val="fr-FR"/>
              </w:rPr>
              <w:t>NB. La survie des ZOVIC est remise en question. Des groupes allogènes et autochtones sont présents et il devient difficile d’identifier les interlocuteurs pour les formations. Les allogènes sont plus nombreux, plus riches, et musulmans avec plusieurs femmes. Ce qui fait que l’implication des communautés pose problèmes comme les travaux d’aménagement par ce que les autochtones ne veulent pas convier les allogènes. Le CVD dominé par les autochtones refuse d’impliquer les allogènes.</w:t>
            </w:r>
          </w:p>
          <w:p w14:paraId="1F9386DA" w14:textId="77777777" w:rsidR="00302BFE" w:rsidRPr="00B43F59" w:rsidRDefault="00302BFE" w:rsidP="00243B15">
            <w:pPr>
              <w:pStyle w:val="TableParagraph"/>
              <w:rPr>
                <w:rFonts w:ascii="Calibri" w:hAnsi="Calibri"/>
                <w:sz w:val="16"/>
                <w:lang w:val="fr-FR"/>
              </w:rPr>
            </w:pPr>
            <w:r w:rsidRPr="00B43F59">
              <w:rPr>
                <w:rFonts w:ascii="Calibri" w:hAnsi="Calibri"/>
                <w:sz w:val="16"/>
                <w:lang w:val="fr-FR"/>
              </w:rPr>
              <w:t>Il est proposé :</w:t>
            </w:r>
            <w:r w:rsidRPr="00B43F59">
              <w:rPr>
                <w:rFonts w:ascii="Calibri" w:hAnsi="Calibri"/>
                <w:sz w:val="16"/>
                <w:lang w:val="fr-FR"/>
              </w:rPr>
              <w:br/>
              <w:t xml:space="preserve">- d’impliquer les collectivités pour améliorer les relations et la conservation des ressources, </w:t>
            </w:r>
            <w:r w:rsidRPr="00B43F59">
              <w:rPr>
                <w:rFonts w:ascii="Calibri" w:hAnsi="Calibri"/>
                <w:sz w:val="16"/>
                <w:lang w:val="fr-FR"/>
              </w:rPr>
              <w:br/>
              <w:t>- d’élargir le cadre de la relation pour profiter de la facilité des Collectivités,</w:t>
            </w:r>
            <w:r w:rsidRPr="00B43F59">
              <w:rPr>
                <w:rFonts w:ascii="Calibri" w:hAnsi="Calibri"/>
                <w:sz w:val="16"/>
                <w:lang w:val="fr-FR"/>
              </w:rPr>
              <w:br/>
              <w:t>- de réorganiser le partenariat puisque les CVFGF ne sont pas fonctionnels,</w:t>
            </w:r>
            <w:r w:rsidRPr="00B43F59">
              <w:rPr>
                <w:rFonts w:ascii="Calibri" w:hAnsi="Calibri"/>
                <w:sz w:val="16"/>
                <w:lang w:val="fr-FR"/>
              </w:rPr>
              <w:br/>
              <w:t>- et d’adapter le système de partage des bénéfices puisque les profits étaient précédemment versés aux villages alors qu’ils sont maintenant versés aux collectivités.</w:t>
            </w:r>
          </w:p>
        </w:tc>
      </w:tr>
      <w:tr w:rsidR="00302BFE" w:rsidRPr="00B43F59" w14:paraId="51DBBAE8" w14:textId="77777777" w:rsidTr="00243B15">
        <w:trPr>
          <w:trHeight w:val="490"/>
          <w:jc w:val="center"/>
        </w:trPr>
        <w:tc>
          <w:tcPr>
            <w:tcW w:w="1246" w:type="dxa"/>
            <w:vMerge/>
            <w:tcBorders>
              <w:top w:val="single" w:sz="4" w:space="0" w:color="16459A"/>
              <w:left w:val="single" w:sz="6" w:space="0" w:color="16459A"/>
              <w:bottom w:val="single" w:sz="4" w:space="0" w:color="16459A"/>
              <w:right w:val="single" w:sz="6" w:space="0" w:color="16459A"/>
            </w:tcBorders>
            <w:shd w:val="clear" w:color="auto" w:fill="auto"/>
            <w:vAlign w:val="center"/>
            <w:hideMark/>
          </w:tcPr>
          <w:p w14:paraId="67E196ED" w14:textId="77777777" w:rsidR="00302BFE" w:rsidRPr="00B43F59" w:rsidRDefault="00302BFE" w:rsidP="00243B15">
            <w:pPr>
              <w:widowControl w:val="0"/>
              <w:autoSpaceDE w:val="0"/>
              <w:autoSpaceDN w:val="0"/>
              <w:rPr>
                <w:rFonts w:eastAsia="Myriad Pro Light" w:cs="Myriad Pro Light"/>
                <w:b/>
                <w:sz w:val="16"/>
                <w:szCs w:val="22"/>
                <w:lang w:val="fr-CA"/>
              </w:rPr>
            </w:pPr>
          </w:p>
        </w:tc>
        <w:tc>
          <w:tcPr>
            <w:tcW w:w="4297" w:type="dxa"/>
            <w:tcBorders>
              <w:top w:val="single" w:sz="4" w:space="0" w:color="16459A"/>
              <w:left w:val="single" w:sz="4" w:space="0" w:color="16459A"/>
              <w:bottom w:val="single" w:sz="4" w:space="0" w:color="16459A"/>
              <w:right w:val="single" w:sz="4" w:space="0" w:color="16459A"/>
            </w:tcBorders>
            <w:shd w:val="clear" w:color="auto" w:fill="auto"/>
            <w:hideMark/>
          </w:tcPr>
          <w:p w14:paraId="5467F736" w14:textId="77777777" w:rsidR="00302BFE" w:rsidRPr="00B43F59" w:rsidRDefault="00302BFE" w:rsidP="00243B15">
            <w:pPr>
              <w:pStyle w:val="TableParagraph"/>
              <w:spacing w:before="15" w:line="220" w:lineRule="atLeast"/>
              <w:ind w:left="80" w:right="134"/>
              <w:rPr>
                <w:rFonts w:ascii="Calibri" w:hAnsi="Calibri"/>
                <w:b/>
                <w:sz w:val="16"/>
                <w:lang w:val="fr-CA"/>
              </w:rPr>
            </w:pPr>
            <w:r w:rsidRPr="00B43F59">
              <w:rPr>
                <w:rFonts w:ascii="Calibri" w:hAnsi="Calibri"/>
                <w:b/>
                <w:sz w:val="16"/>
                <w:lang w:val="fr-CA"/>
              </w:rPr>
              <w:t>Un plan d'évaluation adéquat est en place, mais les activités d'évaluation sont menées de manière irrégulière.</w:t>
            </w:r>
          </w:p>
        </w:tc>
        <w:tc>
          <w:tcPr>
            <w:tcW w:w="567" w:type="dxa"/>
            <w:tcBorders>
              <w:top w:val="single" w:sz="4" w:space="0" w:color="16459A"/>
              <w:left w:val="single" w:sz="4" w:space="0" w:color="16459A"/>
              <w:bottom w:val="single" w:sz="4" w:space="0" w:color="16459A"/>
              <w:right w:val="single" w:sz="4" w:space="0" w:color="16459A"/>
            </w:tcBorders>
            <w:shd w:val="clear" w:color="auto" w:fill="auto"/>
            <w:hideMark/>
          </w:tcPr>
          <w:p w14:paraId="3383A8C9" w14:textId="77777777" w:rsidR="00302BFE" w:rsidRPr="00B43F59" w:rsidRDefault="00302BFE" w:rsidP="00243B15">
            <w:pPr>
              <w:pStyle w:val="TableParagraph"/>
              <w:spacing w:before="39"/>
              <w:ind w:left="80"/>
              <w:rPr>
                <w:rFonts w:ascii="Calibri" w:hAnsi="Calibri"/>
                <w:b/>
                <w:sz w:val="16"/>
              </w:rPr>
            </w:pPr>
            <w:r w:rsidRPr="00B43F59">
              <w:rPr>
                <w:rFonts w:ascii="Calibri" w:hAnsi="Calibri"/>
                <w:b/>
                <w:sz w:val="16"/>
              </w:rPr>
              <w:t>1</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5CEEFC83"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575A1118"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tcPr>
          <w:p w14:paraId="354EA7F3" w14:textId="77777777" w:rsidR="00302BFE" w:rsidRPr="00B43F59" w:rsidRDefault="00302BFE" w:rsidP="00243B15">
            <w:pPr>
              <w:pStyle w:val="TableParagraph"/>
              <w:rPr>
                <w:rFonts w:ascii="Calibri" w:hAnsi="Calibri"/>
                <w:sz w:val="16"/>
              </w:rPr>
            </w:pPr>
          </w:p>
        </w:tc>
        <w:tc>
          <w:tcPr>
            <w:tcW w:w="3661" w:type="dxa"/>
            <w:tcBorders>
              <w:top w:val="single" w:sz="4" w:space="0" w:color="16459A"/>
              <w:left w:val="single" w:sz="4" w:space="0" w:color="16459A"/>
              <w:bottom w:val="single" w:sz="4" w:space="0" w:color="16459A"/>
              <w:right w:val="single" w:sz="4" w:space="0" w:color="16459A"/>
            </w:tcBorders>
            <w:shd w:val="clear" w:color="auto" w:fill="auto"/>
          </w:tcPr>
          <w:p w14:paraId="258DF423" w14:textId="77777777" w:rsidR="00302BFE" w:rsidRPr="00B43F59" w:rsidRDefault="00302BFE" w:rsidP="00243B15">
            <w:pPr>
              <w:pStyle w:val="TableParagraph"/>
              <w:rPr>
                <w:rFonts w:ascii="Calibri" w:hAnsi="Calibri"/>
                <w:sz w:val="16"/>
              </w:rPr>
            </w:pPr>
          </w:p>
        </w:tc>
      </w:tr>
      <w:tr w:rsidR="00302BFE" w:rsidRPr="00B43F59" w14:paraId="2E65F6D9" w14:textId="77777777" w:rsidTr="00243B15">
        <w:trPr>
          <w:trHeight w:val="930"/>
          <w:jc w:val="center"/>
        </w:trPr>
        <w:tc>
          <w:tcPr>
            <w:tcW w:w="1246" w:type="dxa"/>
            <w:vMerge/>
            <w:tcBorders>
              <w:top w:val="single" w:sz="4" w:space="0" w:color="16459A"/>
              <w:left w:val="single" w:sz="6" w:space="0" w:color="16459A"/>
              <w:bottom w:val="single" w:sz="4" w:space="0" w:color="16459A"/>
              <w:right w:val="single" w:sz="6" w:space="0" w:color="16459A"/>
            </w:tcBorders>
            <w:shd w:val="clear" w:color="auto" w:fill="auto"/>
            <w:vAlign w:val="center"/>
            <w:hideMark/>
          </w:tcPr>
          <w:p w14:paraId="759E281A" w14:textId="77777777" w:rsidR="00302BFE" w:rsidRPr="00B43F59" w:rsidRDefault="00302BFE" w:rsidP="00243B15">
            <w:pPr>
              <w:widowControl w:val="0"/>
              <w:autoSpaceDE w:val="0"/>
              <w:autoSpaceDN w:val="0"/>
              <w:rPr>
                <w:rFonts w:eastAsia="Myriad Pro Light" w:cs="Myriad Pro Light"/>
                <w:b/>
                <w:sz w:val="16"/>
                <w:szCs w:val="22"/>
                <w:lang w:val="fr-CA"/>
              </w:rPr>
            </w:pPr>
          </w:p>
        </w:tc>
        <w:tc>
          <w:tcPr>
            <w:tcW w:w="4297" w:type="dxa"/>
            <w:tcBorders>
              <w:top w:val="single" w:sz="4" w:space="0" w:color="16459A"/>
              <w:left w:val="single" w:sz="4" w:space="0" w:color="16459A"/>
              <w:bottom w:val="single" w:sz="4" w:space="0" w:color="16459A"/>
              <w:right w:val="single" w:sz="4" w:space="0" w:color="16459A"/>
            </w:tcBorders>
            <w:shd w:val="clear" w:color="auto" w:fill="auto"/>
            <w:hideMark/>
          </w:tcPr>
          <w:p w14:paraId="4F7554C5" w14:textId="77777777" w:rsidR="00302BFE" w:rsidRPr="00B43F59" w:rsidRDefault="00302BFE" w:rsidP="00243B15">
            <w:pPr>
              <w:pStyle w:val="TableParagraph"/>
              <w:spacing w:before="15" w:line="220" w:lineRule="atLeast"/>
              <w:ind w:left="80" w:right="134"/>
              <w:rPr>
                <w:rFonts w:ascii="Calibri" w:hAnsi="Calibri"/>
                <w:b/>
                <w:sz w:val="16"/>
                <w:lang w:val="fr-CA"/>
              </w:rPr>
            </w:pPr>
            <w:r w:rsidRPr="00B43F59">
              <w:rPr>
                <w:rFonts w:ascii="Calibri" w:hAnsi="Calibri"/>
                <w:b/>
                <w:sz w:val="16"/>
                <w:lang w:val="fr-CA"/>
              </w:rPr>
              <w:t>Les évaluations sont effectuées conformément à un plan d'évaluation adéquat, mais les résultats de l'évaluation ne sont que partiellement utilisés par l'équipe de mise en œuvre du projet ou du programme.</w:t>
            </w:r>
          </w:p>
        </w:tc>
        <w:tc>
          <w:tcPr>
            <w:tcW w:w="567" w:type="dxa"/>
            <w:tcBorders>
              <w:top w:val="single" w:sz="4" w:space="0" w:color="16459A"/>
              <w:left w:val="single" w:sz="4" w:space="0" w:color="16459A"/>
              <w:bottom w:val="single" w:sz="4" w:space="0" w:color="16459A"/>
              <w:right w:val="single" w:sz="4" w:space="0" w:color="16459A"/>
            </w:tcBorders>
            <w:shd w:val="clear" w:color="auto" w:fill="auto"/>
            <w:hideMark/>
          </w:tcPr>
          <w:p w14:paraId="6341F5FC" w14:textId="77777777" w:rsidR="00302BFE" w:rsidRPr="00B43F59" w:rsidRDefault="00302BFE" w:rsidP="00243B15">
            <w:pPr>
              <w:pStyle w:val="TableParagraph"/>
              <w:spacing w:before="39"/>
              <w:ind w:left="80"/>
              <w:rPr>
                <w:rFonts w:ascii="Calibri" w:hAnsi="Calibri"/>
                <w:b/>
                <w:sz w:val="16"/>
              </w:rPr>
            </w:pPr>
            <w:r w:rsidRPr="00B43F59">
              <w:rPr>
                <w:rFonts w:ascii="Calibri" w:hAnsi="Calibri"/>
                <w:b/>
                <w:sz w:val="16"/>
              </w:rPr>
              <w:t>2</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7486BE61"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70427669"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tcPr>
          <w:p w14:paraId="40C59EFE" w14:textId="77777777" w:rsidR="00302BFE" w:rsidRPr="00B43F59" w:rsidRDefault="00302BFE" w:rsidP="00243B15">
            <w:pPr>
              <w:pStyle w:val="TableParagraph"/>
              <w:rPr>
                <w:rFonts w:ascii="Calibri" w:hAnsi="Calibri"/>
                <w:sz w:val="16"/>
              </w:rPr>
            </w:pPr>
          </w:p>
        </w:tc>
        <w:tc>
          <w:tcPr>
            <w:tcW w:w="3661" w:type="dxa"/>
            <w:tcBorders>
              <w:top w:val="single" w:sz="4" w:space="0" w:color="16459A"/>
              <w:left w:val="single" w:sz="4" w:space="0" w:color="16459A"/>
              <w:bottom w:val="single" w:sz="4" w:space="0" w:color="16459A"/>
              <w:right w:val="single" w:sz="4" w:space="0" w:color="16459A"/>
            </w:tcBorders>
            <w:shd w:val="clear" w:color="auto" w:fill="auto"/>
          </w:tcPr>
          <w:p w14:paraId="7871520F" w14:textId="77777777" w:rsidR="00302BFE" w:rsidRPr="00B43F59" w:rsidRDefault="00302BFE" w:rsidP="00243B15">
            <w:pPr>
              <w:pStyle w:val="TableParagraph"/>
              <w:rPr>
                <w:rFonts w:ascii="Calibri" w:hAnsi="Calibri"/>
                <w:sz w:val="16"/>
              </w:rPr>
            </w:pPr>
          </w:p>
        </w:tc>
      </w:tr>
      <w:tr w:rsidR="00302BFE" w:rsidRPr="00B43F59" w14:paraId="2A674313" w14:textId="77777777" w:rsidTr="00243B15">
        <w:trPr>
          <w:trHeight w:val="1103"/>
          <w:jc w:val="center"/>
        </w:trPr>
        <w:tc>
          <w:tcPr>
            <w:tcW w:w="1246" w:type="dxa"/>
            <w:vMerge/>
            <w:tcBorders>
              <w:top w:val="single" w:sz="4" w:space="0" w:color="16459A"/>
              <w:left w:val="single" w:sz="6" w:space="0" w:color="16459A"/>
              <w:bottom w:val="single" w:sz="4" w:space="0" w:color="16459A"/>
              <w:right w:val="single" w:sz="6" w:space="0" w:color="16459A"/>
            </w:tcBorders>
            <w:shd w:val="clear" w:color="auto" w:fill="auto"/>
            <w:vAlign w:val="center"/>
            <w:hideMark/>
          </w:tcPr>
          <w:p w14:paraId="18BB9DCE" w14:textId="77777777" w:rsidR="00302BFE" w:rsidRPr="00B43F59" w:rsidRDefault="00302BFE" w:rsidP="00243B15">
            <w:pPr>
              <w:widowControl w:val="0"/>
              <w:autoSpaceDE w:val="0"/>
              <w:autoSpaceDN w:val="0"/>
              <w:rPr>
                <w:rFonts w:eastAsia="Myriad Pro Light" w:cs="Myriad Pro Light"/>
                <w:b/>
                <w:sz w:val="16"/>
                <w:szCs w:val="22"/>
                <w:lang w:val="fr-CA"/>
              </w:rPr>
            </w:pPr>
          </w:p>
        </w:tc>
        <w:tc>
          <w:tcPr>
            <w:tcW w:w="4297" w:type="dxa"/>
            <w:tcBorders>
              <w:top w:val="single" w:sz="4" w:space="0" w:color="16459A"/>
              <w:left w:val="single" w:sz="4" w:space="0" w:color="16459A"/>
              <w:bottom w:val="single" w:sz="4" w:space="0" w:color="16459A"/>
              <w:right w:val="single" w:sz="4" w:space="0" w:color="16459A"/>
            </w:tcBorders>
            <w:shd w:val="clear" w:color="auto" w:fill="auto"/>
            <w:hideMark/>
          </w:tcPr>
          <w:p w14:paraId="70A19970" w14:textId="77777777" w:rsidR="00302BFE" w:rsidRPr="00B43F59" w:rsidRDefault="00302BFE" w:rsidP="00243B15">
            <w:pPr>
              <w:pStyle w:val="TableParagraph"/>
              <w:spacing w:before="15" w:line="220" w:lineRule="atLeast"/>
              <w:ind w:left="80" w:right="19"/>
              <w:rPr>
                <w:rFonts w:ascii="Calibri" w:hAnsi="Calibri"/>
                <w:b/>
                <w:sz w:val="16"/>
                <w:lang w:val="fr-CA"/>
              </w:rPr>
            </w:pPr>
            <w:r w:rsidRPr="00B43F59">
              <w:rPr>
                <w:rFonts w:ascii="Calibri" w:hAnsi="Calibri"/>
                <w:b/>
                <w:sz w:val="16"/>
                <w:lang w:val="fr-CA"/>
              </w:rPr>
              <w:t>Des évaluations efficaces sont conduites avec exactitude et précision, et sont utilisées par l’équipe de mise en œuvre et les agences d’exécution et / ou le personnel du FEM pour rectifier le plan d’action, si nécessaire, et pour instruire davantage les activités de planification.</w:t>
            </w:r>
          </w:p>
        </w:tc>
        <w:tc>
          <w:tcPr>
            <w:tcW w:w="567" w:type="dxa"/>
            <w:tcBorders>
              <w:top w:val="single" w:sz="4" w:space="0" w:color="16459A"/>
              <w:left w:val="single" w:sz="4" w:space="0" w:color="16459A"/>
              <w:bottom w:val="single" w:sz="4" w:space="0" w:color="16459A"/>
              <w:right w:val="single" w:sz="4" w:space="0" w:color="16459A"/>
            </w:tcBorders>
            <w:shd w:val="clear" w:color="auto" w:fill="auto"/>
            <w:hideMark/>
          </w:tcPr>
          <w:p w14:paraId="028840F9" w14:textId="77777777" w:rsidR="00302BFE" w:rsidRPr="00B43F59" w:rsidRDefault="00302BFE" w:rsidP="00243B15">
            <w:pPr>
              <w:pStyle w:val="TableParagraph"/>
              <w:spacing w:before="39"/>
              <w:ind w:left="80"/>
              <w:rPr>
                <w:rFonts w:ascii="Calibri" w:hAnsi="Calibri"/>
                <w:b/>
                <w:sz w:val="16"/>
              </w:rPr>
            </w:pPr>
            <w:r w:rsidRPr="00B43F59">
              <w:rPr>
                <w:rFonts w:ascii="Calibri" w:hAnsi="Calibri"/>
                <w:b/>
                <w:sz w:val="16"/>
              </w:rPr>
              <w:t>3</w:t>
            </w: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4031377F" w14:textId="77777777" w:rsidR="00302BFE" w:rsidRPr="00B43F59" w:rsidRDefault="00302BFE" w:rsidP="00243B15">
            <w:pPr>
              <w:pStyle w:val="TableParagraph"/>
              <w:rPr>
                <w:rFonts w:ascii="Calibri" w:hAnsi="Calibri"/>
                <w:sz w:val="16"/>
              </w:rPr>
            </w:pPr>
          </w:p>
        </w:tc>
        <w:tc>
          <w:tcPr>
            <w:tcW w:w="567" w:type="dxa"/>
            <w:tcBorders>
              <w:top w:val="single" w:sz="4" w:space="0" w:color="16459A"/>
              <w:left w:val="single" w:sz="4" w:space="0" w:color="16459A"/>
              <w:bottom w:val="single" w:sz="4" w:space="0" w:color="16459A"/>
              <w:right w:val="single" w:sz="4" w:space="0" w:color="16459A"/>
            </w:tcBorders>
            <w:shd w:val="clear" w:color="auto" w:fill="auto"/>
          </w:tcPr>
          <w:p w14:paraId="3B2ACEF8" w14:textId="77777777" w:rsidR="00302BFE" w:rsidRPr="00B43F59" w:rsidRDefault="00302BFE" w:rsidP="00243B15">
            <w:pPr>
              <w:pStyle w:val="TableParagraph"/>
              <w:rPr>
                <w:rFonts w:ascii="Calibri" w:hAnsi="Calibri"/>
                <w:sz w:val="16"/>
              </w:rPr>
            </w:pPr>
          </w:p>
        </w:tc>
        <w:tc>
          <w:tcPr>
            <w:tcW w:w="3261" w:type="dxa"/>
            <w:tcBorders>
              <w:top w:val="single" w:sz="4" w:space="0" w:color="16459A"/>
              <w:left w:val="single" w:sz="4" w:space="0" w:color="16459A"/>
              <w:bottom w:val="single" w:sz="4" w:space="0" w:color="16459A"/>
              <w:right w:val="single" w:sz="4" w:space="0" w:color="16459A"/>
            </w:tcBorders>
            <w:shd w:val="clear" w:color="auto" w:fill="auto"/>
          </w:tcPr>
          <w:p w14:paraId="7452C3AD" w14:textId="77777777" w:rsidR="00302BFE" w:rsidRPr="00B43F59" w:rsidRDefault="00302BFE" w:rsidP="00243B15">
            <w:pPr>
              <w:pStyle w:val="TableParagraph"/>
              <w:rPr>
                <w:rFonts w:ascii="Calibri" w:hAnsi="Calibri"/>
                <w:sz w:val="16"/>
              </w:rPr>
            </w:pPr>
          </w:p>
        </w:tc>
        <w:tc>
          <w:tcPr>
            <w:tcW w:w="3661" w:type="dxa"/>
            <w:tcBorders>
              <w:top w:val="single" w:sz="4" w:space="0" w:color="16459A"/>
              <w:left w:val="single" w:sz="4" w:space="0" w:color="16459A"/>
              <w:bottom w:val="single" w:sz="4" w:space="0" w:color="16459A"/>
              <w:right w:val="single" w:sz="4" w:space="0" w:color="16459A"/>
            </w:tcBorders>
            <w:shd w:val="clear" w:color="auto" w:fill="auto"/>
          </w:tcPr>
          <w:p w14:paraId="2629BDE8" w14:textId="77777777" w:rsidR="00302BFE" w:rsidRPr="00B43F59" w:rsidRDefault="00302BFE" w:rsidP="00243B15">
            <w:pPr>
              <w:pStyle w:val="TableParagraph"/>
              <w:rPr>
                <w:rFonts w:ascii="Calibri" w:hAnsi="Calibri"/>
                <w:sz w:val="16"/>
              </w:rPr>
            </w:pPr>
          </w:p>
        </w:tc>
      </w:tr>
    </w:tbl>
    <w:p w14:paraId="568508EB" w14:textId="77777777" w:rsidR="00302BFE" w:rsidRDefault="00302BFE" w:rsidP="00302BFE">
      <w:pPr>
        <w:rPr>
          <w:lang w:val="fr-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92"/>
        <w:gridCol w:w="1701"/>
        <w:gridCol w:w="1094"/>
        <w:gridCol w:w="1075"/>
        <w:gridCol w:w="1276"/>
      </w:tblGrid>
      <w:tr w:rsidR="00302BFE" w:rsidRPr="00B43F59" w14:paraId="648D1A19" w14:textId="77777777" w:rsidTr="00243B15">
        <w:trPr>
          <w:trHeight w:val="558"/>
          <w:jc w:val="center"/>
        </w:trPr>
        <w:tc>
          <w:tcPr>
            <w:tcW w:w="3692" w:type="dxa"/>
            <w:tcBorders>
              <w:top w:val="single" w:sz="4" w:space="0" w:color="auto"/>
              <w:left w:val="single" w:sz="4" w:space="0" w:color="auto"/>
              <w:bottom w:val="single" w:sz="4" w:space="0" w:color="auto"/>
              <w:right w:val="single" w:sz="4" w:space="0" w:color="auto"/>
            </w:tcBorders>
            <w:shd w:val="clear" w:color="auto" w:fill="16459A"/>
            <w:hideMark/>
          </w:tcPr>
          <w:p w14:paraId="48B3F11E" w14:textId="77777777" w:rsidR="00302BFE" w:rsidRPr="00B43F59" w:rsidRDefault="00302BFE" w:rsidP="00243B15">
            <w:pPr>
              <w:pStyle w:val="TableParagraph"/>
              <w:spacing w:before="39" w:line="188" w:lineRule="exact"/>
              <w:ind w:left="80"/>
              <w:rPr>
                <w:b/>
                <w:sz w:val="16"/>
              </w:rPr>
            </w:pPr>
            <w:r w:rsidRPr="00B43F59">
              <w:rPr>
                <w:b/>
                <w:color w:val="FFFFFF"/>
                <w:w w:val="105"/>
                <w:sz w:val="16"/>
              </w:rPr>
              <w:t>Domaines d'appui stratégiques</w:t>
            </w:r>
          </w:p>
        </w:tc>
        <w:tc>
          <w:tcPr>
            <w:tcW w:w="1701" w:type="dxa"/>
            <w:tcBorders>
              <w:top w:val="single" w:sz="4" w:space="0" w:color="auto"/>
              <w:left w:val="single" w:sz="4" w:space="0" w:color="auto"/>
              <w:bottom w:val="single" w:sz="4" w:space="0" w:color="auto"/>
              <w:right w:val="single" w:sz="4" w:space="0" w:color="auto"/>
            </w:tcBorders>
            <w:shd w:val="clear" w:color="auto" w:fill="16459A"/>
            <w:hideMark/>
          </w:tcPr>
          <w:p w14:paraId="3A35EC42" w14:textId="77777777" w:rsidR="00302BFE" w:rsidRPr="00B43F59" w:rsidRDefault="00302BFE" w:rsidP="00243B15">
            <w:pPr>
              <w:pStyle w:val="TableParagraph"/>
              <w:spacing w:before="39" w:line="188" w:lineRule="exact"/>
              <w:ind w:left="48"/>
              <w:rPr>
                <w:b/>
                <w:sz w:val="16"/>
                <w:lang w:val="fr-CA"/>
              </w:rPr>
            </w:pPr>
            <w:r w:rsidRPr="00B43F59">
              <w:rPr>
                <w:b/>
                <w:color w:val="FFFFFF"/>
                <w:sz w:val="16"/>
                <w:lang w:val="fr-CA"/>
              </w:rPr>
              <w:t>Contribuant à quels résultats (</w:t>
            </w:r>
            <w:r w:rsidRPr="00B43F59">
              <w:rPr>
                <w:b/>
                <w:i/>
                <w:color w:val="FFFFFF"/>
                <w:sz w:val="16"/>
                <w:lang w:val="fr-CA"/>
              </w:rPr>
              <w:t>Outcomes</w:t>
            </w:r>
            <w:r w:rsidRPr="00B43F59">
              <w:rPr>
                <w:b/>
                <w:color w:val="FFFFFF"/>
                <w:sz w:val="16"/>
                <w:lang w:val="fr-CA"/>
              </w:rPr>
              <w:t>)</w:t>
            </w:r>
          </w:p>
        </w:tc>
        <w:tc>
          <w:tcPr>
            <w:tcW w:w="1094" w:type="dxa"/>
            <w:tcBorders>
              <w:top w:val="single" w:sz="4" w:space="0" w:color="auto"/>
              <w:left w:val="single" w:sz="4" w:space="0" w:color="auto"/>
              <w:bottom w:val="single" w:sz="4" w:space="0" w:color="auto"/>
              <w:right w:val="single" w:sz="4" w:space="0" w:color="auto"/>
            </w:tcBorders>
            <w:shd w:val="clear" w:color="auto" w:fill="16459A"/>
            <w:hideMark/>
          </w:tcPr>
          <w:p w14:paraId="41B56A15" w14:textId="77777777" w:rsidR="00302BFE" w:rsidRPr="00B43F59" w:rsidRDefault="00302BFE" w:rsidP="00243B15">
            <w:pPr>
              <w:pStyle w:val="TableParagraph"/>
              <w:spacing w:before="39" w:line="188" w:lineRule="exact"/>
              <w:ind w:left="80"/>
              <w:rPr>
                <w:b/>
                <w:sz w:val="16"/>
              </w:rPr>
            </w:pPr>
            <w:r w:rsidRPr="00B43F59">
              <w:rPr>
                <w:b/>
                <w:color w:val="FFFFFF"/>
                <w:w w:val="105"/>
                <w:sz w:val="16"/>
              </w:rPr>
              <w:t>Démarrage</w:t>
            </w:r>
          </w:p>
        </w:tc>
        <w:tc>
          <w:tcPr>
            <w:tcW w:w="1075" w:type="dxa"/>
            <w:tcBorders>
              <w:top w:val="single" w:sz="4" w:space="0" w:color="auto"/>
              <w:left w:val="single" w:sz="4" w:space="0" w:color="auto"/>
              <w:bottom w:val="single" w:sz="4" w:space="0" w:color="auto"/>
              <w:right w:val="single" w:sz="4" w:space="0" w:color="auto"/>
            </w:tcBorders>
            <w:shd w:val="clear" w:color="auto" w:fill="16459A"/>
            <w:hideMark/>
          </w:tcPr>
          <w:p w14:paraId="67B373C1" w14:textId="77777777" w:rsidR="00302BFE" w:rsidRPr="00B43F59" w:rsidRDefault="00302BFE" w:rsidP="00243B15">
            <w:pPr>
              <w:pStyle w:val="TableParagraph"/>
              <w:spacing w:before="39" w:line="188" w:lineRule="exact"/>
              <w:ind w:left="81"/>
              <w:rPr>
                <w:b/>
                <w:sz w:val="16"/>
              </w:rPr>
            </w:pPr>
            <w:r w:rsidRPr="00B43F59">
              <w:rPr>
                <w:b/>
                <w:color w:val="FFFFFF"/>
                <w:sz w:val="16"/>
              </w:rPr>
              <w:t>Mi-parcours du projet</w:t>
            </w:r>
          </w:p>
        </w:tc>
        <w:tc>
          <w:tcPr>
            <w:tcW w:w="1276" w:type="dxa"/>
            <w:tcBorders>
              <w:top w:val="single" w:sz="4" w:space="0" w:color="auto"/>
              <w:left w:val="single" w:sz="4" w:space="0" w:color="auto"/>
              <w:bottom w:val="single" w:sz="4" w:space="0" w:color="auto"/>
              <w:right w:val="single" w:sz="4" w:space="0" w:color="auto"/>
            </w:tcBorders>
            <w:shd w:val="clear" w:color="auto" w:fill="16459A"/>
            <w:hideMark/>
          </w:tcPr>
          <w:p w14:paraId="6A6CA1EE" w14:textId="77777777" w:rsidR="00302BFE" w:rsidRPr="00B43F59" w:rsidRDefault="00302BFE" w:rsidP="00243B15">
            <w:pPr>
              <w:pStyle w:val="TableParagraph"/>
              <w:spacing w:before="39" w:line="188" w:lineRule="exact"/>
              <w:ind w:left="81"/>
              <w:rPr>
                <w:b/>
                <w:sz w:val="16"/>
              </w:rPr>
            </w:pPr>
            <w:r w:rsidRPr="00B43F59">
              <w:rPr>
                <w:b/>
                <w:color w:val="FFFFFF"/>
                <w:sz w:val="16"/>
              </w:rPr>
              <w:t>Fin de projet</w:t>
            </w:r>
          </w:p>
        </w:tc>
      </w:tr>
      <w:tr w:rsidR="00302BFE" w:rsidRPr="00B43F59" w14:paraId="29C295C8" w14:textId="77777777" w:rsidTr="00243B15">
        <w:trPr>
          <w:trHeight w:val="490"/>
          <w:jc w:val="center"/>
        </w:trPr>
        <w:tc>
          <w:tcPr>
            <w:tcW w:w="3692" w:type="dxa"/>
            <w:tcBorders>
              <w:top w:val="single" w:sz="4" w:space="0" w:color="auto"/>
              <w:left w:val="single" w:sz="4" w:space="0" w:color="auto"/>
              <w:bottom w:val="single" w:sz="4" w:space="0" w:color="auto"/>
              <w:right w:val="single" w:sz="4" w:space="0" w:color="auto"/>
            </w:tcBorders>
            <w:shd w:val="clear" w:color="auto" w:fill="auto"/>
            <w:hideMark/>
          </w:tcPr>
          <w:p w14:paraId="142F2DD7" w14:textId="77777777" w:rsidR="00302BFE" w:rsidRPr="00B43F59" w:rsidRDefault="00302BFE" w:rsidP="00243B15">
            <w:pPr>
              <w:pStyle w:val="TableParagraph"/>
              <w:spacing w:before="15" w:line="220" w:lineRule="atLeast"/>
              <w:ind w:left="80"/>
              <w:rPr>
                <w:b/>
                <w:sz w:val="16"/>
              </w:rPr>
            </w:pPr>
            <w:r w:rsidRPr="00B43F59">
              <w:rPr>
                <w:rFonts w:ascii="Calibri" w:hAnsi="Calibri"/>
                <w:b/>
                <w:i/>
                <w:sz w:val="20"/>
                <w:szCs w:val="20"/>
              </w:rPr>
              <w:t>1 : Capacités de mobilisation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FE5523" w14:textId="77777777" w:rsidR="00302BFE" w:rsidRPr="00B43F59" w:rsidRDefault="00302BFE" w:rsidP="00243B15">
            <w:pPr>
              <w:pStyle w:val="TableParagraph"/>
              <w:spacing w:before="39"/>
              <w:ind w:left="43"/>
              <w:rPr>
                <w:b/>
                <w:sz w:val="16"/>
              </w:rPr>
            </w:pPr>
            <w:r w:rsidRPr="00B43F59">
              <w:rPr>
                <w:b/>
                <w:sz w:val="16"/>
              </w:rPr>
              <w:t>Résultat 2</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151D38" w14:textId="77777777" w:rsidR="00302BFE" w:rsidRPr="00B43F59" w:rsidRDefault="00302BFE" w:rsidP="00243B15">
            <w:pPr>
              <w:pStyle w:val="TableParagraph"/>
              <w:spacing w:before="39"/>
              <w:ind w:left="75"/>
              <w:jc w:val="center"/>
              <w:rPr>
                <w:b/>
                <w:sz w:val="16"/>
              </w:rPr>
            </w:pPr>
            <w:r w:rsidRPr="00B43F59">
              <w:rPr>
                <w:b/>
                <w:sz w:val="16"/>
              </w:rPr>
              <w:t>6/9 (67%)</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0D0ED0C7" w14:textId="77777777" w:rsidR="00302BFE" w:rsidRPr="00B43F59" w:rsidRDefault="00302BFE" w:rsidP="00243B15">
            <w:pPr>
              <w:pStyle w:val="TableParagraph"/>
              <w:spacing w:before="39"/>
              <w:ind w:left="76"/>
              <w:jc w:val="center"/>
              <w:rPr>
                <w:b/>
                <w:sz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C6C1732" w14:textId="77777777" w:rsidR="00302BFE" w:rsidRPr="00B43F59" w:rsidRDefault="00302BFE" w:rsidP="00243B15">
            <w:pPr>
              <w:pStyle w:val="TableParagraph"/>
              <w:spacing w:before="39"/>
              <w:ind w:left="76"/>
              <w:jc w:val="center"/>
              <w:rPr>
                <w:b/>
                <w:sz w:val="16"/>
              </w:rPr>
            </w:pPr>
          </w:p>
        </w:tc>
      </w:tr>
      <w:tr w:rsidR="00302BFE" w:rsidRPr="00B43F59" w14:paraId="17BC6B0A" w14:textId="77777777" w:rsidTr="00243B15">
        <w:trPr>
          <w:trHeight w:val="474"/>
          <w:jc w:val="center"/>
        </w:trPr>
        <w:tc>
          <w:tcPr>
            <w:tcW w:w="3692" w:type="dxa"/>
            <w:tcBorders>
              <w:top w:val="single" w:sz="4" w:space="0" w:color="auto"/>
              <w:left w:val="single" w:sz="4" w:space="0" w:color="auto"/>
              <w:bottom w:val="single" w:sz="4" w:space="0" w:color="auto"/>
              <w:right w:val="single" w:sz="4" w:space="0" w:color="auto"/>
            </w:tcBorders>
            <w:shd w:val="clear" w:color="auto" w:fill="auto"/>
            <w:hideMark/>
          </w:tcPr>
          <w:p w14:paraId="28F8F179" w14:textId="77777777" w:rsidR="00302BFE" w:rsidRPr="00B43F59" w:rsidRDefault="00302BFE" w:rsidP="00243B15">
            <w:pPr>
              <w:pStyle w:val="TableParagraph"/>
              <w:spacing w:before="15" w:line="220" w:lineRule="atLeast"/>
              <w:ind w:left="79"/>
              <w:rPr>
                <w:b/>
                <w:sz w:val="16"/>
                <w:lang w:val="fr-CA"/>
              </w:rPr>
            </w:pPr>
            <w:r w:rsidRPr="00B43F59">
              <w:rPr>
                <w:rFonts w:ascii="Calibri" w:hAnsi="Calibri"/>
                <w:b/>
                <w:i/>
                <w:sz w:val="20"/>
                <w:szCs w:val="20"/>
                <w:lang w:val="fr-CA"/>
              </w:rPr>
              <w:t>2 : Capacités à Générer, Avoir accès et Utiliser l’Information et les Connaissances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4844C" w14:textId="77777777" w:rsidR="00302BFE" w:rsidRPr="00B43F59" w:rsidRDefault="00302BFE" w:rsidP="00243B15">
            <w:pPr>
              <w:pStyle w:val="TableParagraph"/>
              <w:spacing w:before="39"/>
              <w:ind w:left="43"/>
              <w:rPr>
                <w:b/>
                <w:sz w:val="16"/>
                <w:lang w:val="fr-CA"/>
              </w:rPr>
            </w:pPr>
            <w:r w:rsidRPr="00B43F59">
              <w:rPr>
                <w:b/>
                <w:sz w:val="16"/>
              </w:rPr>
              <w:t>Résultat 2</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4538A" w14:textId="77777777" w:rsidR="00302BFE" w:rsidRPr="00B43F59" w:rsidRDefault="00302BFE" w:rsidP="00243B15">
            <w:pPr>
              <w:pStyle w:val="TableParagraph"/>
              <w:spacing w:before="39"/>
              <w:ind w:left="75"/>
              <w:jc w:val="center"/>
              <w:rPr>
                <w:b/>
                <w:sz w:val="16"/>
                <w:lang w:val="fr-CA"/>
              </w:rPr>
            </w:pPr>
            <w:r w:rsidRPr="00B43F59">
              <w:rPr>
                <w:b/>
                <w:sz w:val="16"/>
                <w:lang w:val="fr-CA"/>
              </w:rPr>
              <w:t>6/15 (40%)</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6DE5BFC1" w14:textId="77777777" w:rsidR="00302BFE" w:rsidRPr="00B43F59" w:rsidRDefault="00302BFE" w:rsidP="00243B15">
            <w:pPr>
              <w:pStyle w:val="TableParagraph"/>
              <w:spacing w:before="39"/>
              <w:ind w:left="75"/>
              <w:jc w:val="center"/>
              <w:rPr>
                <w:b/>
                <w:sz w:val="16"/>
                <w:lang w:val="fr-C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1FA3B29" w14:textId="77777777" w:rsidR="00302BFE" w:rsidRPr="00B43F59" w:rsidRDefault="00302BFE" w:rsidP="00243B15">
            <w:pPr>
              <w:pStyle w:val="TableParagraph"/>
              <w:spacing w:before="39"/>
              <w:ind w:left="76"/>
              <w:jc w:val="center"/>
              <w:rPr>
                <w:b/>
                <w:sz w:val="16"/>
                <w:lang w:val="fr-CA"/>
              </w:rPr>
            </w:pPr>
          </w:p>
        </w:tc>
      </w:tr>
      <w:tr w:rsidR="00302BFE" w:rsidRPr="00B43F59" w14:paraId="1A237A0C" w14:textId="77777777" w:rsidTr="00243B15">
        <w:trPr>
          <w:trHeight w:val="553"/>
          <w:jc w:val="center"/>
        </w:trPr>
        <w:tc>
          <w:tcPr>
            <w:tcW w:w="3692" w:type="dxa"/>
            <w:tcBorders>
              <w:top w:val="single" w:sz="4" w:space="0" w:color="auto"/>
              <w:left w:val="single" w:sz="4" w:space="0" w:color="auto"/>
              <w:bottom w:val="single" w:sz="4" w:space="0" w:color="auto"/>
              <w:right w:val="single" w:sz="4" w:space="0" w:color="auto"/>
            </w:tcBorders>
            <w:shd w:val="clear" w:color="auto" w:fill="auto"/>
            <w:hideMark/>
          </w:tcPr>
          <w:p w14:paraId="32631BA0" w14:textId="77777777" w:rsidR="00302BFE" w:rsidRPr="00B43F59" w:rsidRDefault="00302BFE" w:rsidP="00243B15">
            <w:pPr>
              <w:pStyle w:val="TableParagraph"/>
              <w:spacing w:before="15" w:line="220" w:lineRule="atLeast"/>
              <w:ind w:left="79"/>
              <w:rPr>
                <w:b/>
                <w:sz w:val="16"/>
                <w:lang w:val="fr-CA"/>
              </w:rPr>
            </w:pPr>
            <w:r w:rsidRPr="00B43F59">
              <w:rPr>
                <w:rFonts w:ascii="Calibri" w:hAnsi="Calibri"/>
                <w:b/>
                <w:i/>
                <w:sz w:val="20"/>
                <w:szCs w:val="20"/>
                <w:lang w:val="fr-CA"/>
              </w:rPr>
              <w:t>3 : Capacités à élaborer des Stratégies, Politiques et Lois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79D6C" w14:textId="77777777" w:rsidR="00302BFE" w:rsidRPr="00B43F59" w:rsidRDefault="00302BFE" w:rsidP="00243B15">
            <w:pPr>
              <w:pStyle w:val="TableParagraph"/>
              <w:spacing w:before="39"/>
              <w:ind w:left="43"/>
              <w:rPr>
                <w:b/>
                <w:sz w:val="16"/>
                <w:lang w:val="fr-CA"/>
              </w:rPr>
            </w:pPr>
            <w:r w:rsidRPr="00B43F59">
              <w:rPr>
                <w:b/>
                <w:sz w:val="16"/>
              </w:rPr>
              <w:t>Résultat 2</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EF8F9" w14:textId="77777777" w:rsidR="00302BFE" w:rsidRPr="00B43F59" w:rsidRDefault="00302BFE" w:rsidP="00243B15">
            <w:pPr>
              <w:pStyle w:val="TableParagraph"/>
              <w:spacing w:before="39"/>
              <w:ind w:left="74"/>
              <w:jc w:val="center"/>
              <w:rPr>
                <w:b/>
                <w:sz w:val="16"/>
                <w:lang w:val="fr-CA"/>
              </w:rPr>
            </w:pPr>
            <w:r w:rsidRPr="00B43F59">
              <w:rPr>
                <w:b/>
                <w:sz w:val="16"/>
                <w:lang w:val="fr-CA"/>
              </w:rPr>
              <w:t>5/9 (56%)</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18323FE7" w14:textId="77777777" w:rsidR="00302BFE" w:rsidRPr="00B43F59" w:rsidRDefault="00302BFE" w:rsidP="00243B15">
            <w:pPr>
              <w:pStyle w:val="TableParagraph"/>
              <w:spacing w:before="39"/>
              <w:ind w:left="75"/>
              <w:jc w:val="center"/>
              <w:rPr>
                <w:b/>
                <w:sz w:val="16"/>
                <w:lang w:val="fr-C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ACA336B" w14:textId="77777777" w:rsidR="00302BFE" w:rsidRPr="00B43F59" w:rsidRDefault="00302BFE" w:rsidP="00243B15">
            <w:pPr>
              <w:pStyle w:val="TableParagraph"/>
              <w:spacing w:before="39"/>
              <w:ind w:left="76"/>
              <w:jc w:val="center"/>
              <w:rPr>
                <w:b/>
                <w:sz w:val="16"/>
                <w:lang w:val="fr-CA"/>
              </w:rPr>
            </w:pPr>
          </w:p>
        </w:tc>
      </w:tr>
      <w:tr w:rsidR="00302BFE" w:rsidRPr="00B43F59" w14:paraId="4268BCA3" w14:textId="77777777" w:rsidTr="00243B15">
        <w:trPr>
          <w:trHeight w:val="476"/>
          <w:jc w:val="center"/>
        </w:trPr>
        <w:tc>
          <w:tcPr>
            <w:tcW w:w="3692" w:type="dxa"/>
            <w:tcBorders>
              <w:top w:val="single" w:sz="4" w:space="0" w:color="auto"/>
              <w:left w:val="single" w:sz="4" w:space="0" w:color="auto"/>
              <w:bottom w:val="single" w:sz="4" w:space="0" w:color="auto"/>
              <w:right w:val="single" w:sz="4" w:space="0" w:color="auto"/>
            </w:tcBorders>
            <w:shd w:val="clear" w:color="auto" w:fill="auto"/>
            <w:hideMark/>
          </w:tcPr>
          <w:p w14:paraId="5E0DE098" w14:textId="77777777" w:rsidR="00302BFE" w:rsidRPr="00B43F59" w:rsidRDefault="00302BFE" w:rsidP="00243B15">
            <w:pPr>
              <w:pStyle w:val="TableParagraph"/>
              <w:spacing w:before="15" w:line="220" w:lineRule="atLeast"/>
              <w:ind w:left="79" w:right="366"/>
              <w:rPr>
                <w:b/>
                <w:sz w:val="16"/>
                <w:lang w:val="fr-CA"/>
              </w:rPr>
            </w:pPr>
            <w:r w:rsidRPr="00B43F59">
              <w:rPr>
                <w:rFonts w:ascii="Calibri" w:hAnsi="Calibri"/>
                <w:b/>
                <w:i/>
                <w:sz w:val="20"/>
                <w:szCs w:val="20"/>
                <w:lang w:val="fr-CA"/>
              </w:rPr>
              <w:t>4 : Capacités pour la Gestion et la Mise en Oeuvre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6E16F0" w14:textId="77777777" w:rsidR="00302BFE" w:rsidRPr="00B43F59" w:rsidRDefault="00302BFE" w:rsidP="00243B15">
            <w:pPr>
              <w:pStyle w:val="TableParagraph"/>
              <w:spacing w:before="39"/>
              <w:ind w:left="42"/>
              <w:rPr>
                <w:b/>
                <w:sz w:val="16"/>
                <w:lang w:val="fr-CA"/>
              </w:rPr>
            </w:pPr>
            <w:r w:rsidRPr="00B43F59">
              <w:rPr>
                <w:b/>
                <w:sz w:val="16"/>
              </w:rPr>
              <w:t>Résultat 2</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72C85B" w14:textId="77777777" w:rsidR="00302BFE" w:rsidRPr="00B43F59" w:rsidRDefault="00302BFE" w:rsidP="00243B15">
            <w:pPr>
              <w:pStyle w:val="TableParagraph"/>
              <w:spacing w:before="39"/>
              <w:ind w:left="74"/>
              <w:jc w:val="center"/>
              <w:rPr>
                <w:b/>
                <w:sz w:val="16"/>
                <w:lang w:val="fr-CA"/>
              </w:rPr>
            </w:pPr>
            <w:r w:rsidRPr="00B43F59">
              <w:rPr>
                <w:b/>
                <w:sz w:val="16"/>
                <w:lang w:val="fr-CA"/>
              </w:rPr>
              <w:t>3/6 (50%)</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7D7D3CB9" w14:textId="77777777" w:rsidR="00302BFE" w:rsidRPr="00B43F59" w:rsidRDefault="00302BFE" w:rsidP="00243B15">
            <w:pPr>
              <w:pStyle w:val="TableParagraph"/>
              <w:spacing w:before="39"/>
              <w:ind w:left="75"/>
              <w:jc w:val="center"/>
              <w:rPr>
                <w:b/>
                <w:sz w:val="16"/>
                <w:lang w:val="fr-C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88F742D" w14:textId="77777777" w:rsidR="00302BFE" w:rsidRPr="00B43F59" w:rsidRDefault="00302BFE" w:rsidP="00243B15">
            <w:pPr>
              <w:pStyle w:val="TableParagraph"/>
              <w:spacing w:before="39"/>
              <w:ind w:left="76"/>
              <w:jc w:val="center"/>
              <w:rPr>
                <w:b/>
                <w:sz w:val="16"/>
                <w:lang w:val="fr-CA"/>
              </w:rPr>
            </w:pPr>
          </w:p>
        </w:tc>
      </w:tr>
      <w:tr w:rsidR="00302BFE" w:rsidRPr="00B43F59" w14:paraId="2860E9DD" w14:textId="77777777" w:rsidTr="00243B15">
        <w:trPr>
          <w:trHeight w:val="490"/>
          <w:jc w:val="center"/>
        </w:trPr>
        <w:tc>
          <w:tcPr>
            <w:tcW w:w="3692" w:type="dxa"/>
            <w:tcBorders>
              <w:top w:val="single" w:sz="4" w:space="0" w:color="auto"/>
              <w:left w:val="single" w:sz="4" w:space="0" w:color="auto"/>
              <w:bottom w:val="single" w:sz="4" w:space="0" w:color="auto"/>
              <w:right w:val="single" w:sz="4" w:space="0" w:color="auto"/>
            </w:tcBorders>
            <w:shd w:val="clear" w:color="auto" w:fill="auto"/>
            <w:hideMark/>
          </w:tcPr>
          <w:p w14:paraId="47198E55" w14:textId="77777777" w:rsidR="00302BFE" w:rsidRPr="00B43F59" w:rsidRDefault="00302BFE" w:rsidP="00243B15">
            <w:pPr>
              <w:pStyle w:val="TableParagraph"/>
              <w:spacing w:before="15" w:line="220" w:lineRule="atLeast"/>
              <w:ind w:left="79"/>
              <w:rPr>
                <w:b/>
                <w:sz w:val="16"/>
                <w:lang w:val="fr-CA"/>
              </w:rPr>
            </w:pPr>
            <w:r w:rsidRPr="00B43F59">
              <w:rPr>
                <w:rFonts w:ascii="Calibri" w:hAnsi="Calibri"/>
                <w:b/>
                <w:i/>
                <w:sz w:val="20"/>
                <w:szCs w:val="20"/>
                <w:lang w:val="fr-CA"/>
              </w:rPr>
              <w:t>5 : Capacités à effectuer le suivi et à évaluer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7639E8" w14:textId="77777777" w:rsidR="00302BFE" w:rsidRPr="00B43F59" w:rsidRDefault="00302BFE" w:rsidP="00243B15">
            <w:pPr>
              <w:pStyle w:val="TableParagraph"/>
              <w:spacing w:before="39"/>
              <w:ind w:left="42"/>
              <w:rPr>
                <w:b/>
                <w:sz w:val="16"/>
                <w:lang w:val="fr-CA"/>
              </w:rPr>
            </w:pPr>
            <w:r w:rsidRPr="00B43F59">
              <w:rPr>
                <w:b/>
                <w:sz w:val="16"/>
              </w:rPr>
              <w:t>Résultat 2</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9849C1" w14:textId="77777777" w:rsidR="00302BFE" w:rsidRPr="00B43F59" w:rsidRDefault="00302BFE" w:rsidP="00243B15">
            <w:pPr>
              <w:pStyle w:val="TableParagraph"/>
              <w:spacing w:before="39"/>
              <w:ind w:left="74"/>
              <w:jc w:val="center"/>
              <w:rPr>
                <w:b/>
                <w:sz w:val="16"/>
                <w:lang w:val="fr-CA"/>
              </w:rPr>
            </w:pPr>
            <w:r w:rsidRPr="00B43F59">
              <w:rPr>
                <w:b/>
                <w:sz w:val="16"/>
                <w:lang w:val="fr-CA"/>
              </w:rPr>
              <w:t>1/6 (17%)</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41524E19" w14:textId="77777777" w:rsidR="00302BFE" w:rsidRPr="00B43F59" w:rsidRDefault="00302BFE" w:rsidP="00243B15">
            <w:pPr>
              <w:pStyle w:val="TableParagraph"/>
              <w:spacing w:before="39"/>
              <w:ind w:left="75"/>
              <w:jc w:val="center"/>
              <w:rPr>
                <w:b/>
                <w:sz w:val="16"/>
                <w:lang w:val="fr-C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D8AFEE2" w14:textId="77777777" w:rsidR="00302BFE" w:rsidRPr="00B43F59" w:rsidRDefault="00302BFE" w:rsidP="00243B15">
            <w:pPr>
              <w:pStyle w:val="TableParagraph"/>
              <w:spacing w:before="39"/>
              <w:ind w:left="76"/>
              <w:jc w:val="center"/>
              <w:rPr>
                <w:b/>
                <w:sz w:val="16"/>
                <w:lang w:val="fr-CA"/>
              </w:rPr>
            </w:pPr>
          </w:p>
        </w:tc>
      </w:tr>
    </w:tbl>
    <w:p w14:paraId="28F87AE2" w14:textId="77777777" w:rsidR="00302BFE" w:rsidRDefault="00302BFE" w:rsidP="00302BFE"/>
    <w:p w14:paraId="5F8F0166" w14:textId="7DFBE4B3" w:rsidR="00243B15" w:rsidRDefault="00243B15"/>
    <w:sectPr w:rsidR="00243B15" w:rsidSect="00243B15">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5FD6E" w14:textId="77777777" w:rsidR="0053008A" w:rsidRDefault="0053008A" w:rsidP="00302BFE">
      <w:pPr>
        <w:spacing w:after="0"/>
      </w:pPr>
      <w:r>
        <w:separator/>
      </w:r>
    </w:p>
  </w:endnote>
  <w:endnote w:type="continuationSeparator" w:id="0">
    <w:p w14:paraId="3472D721" w14:textId="77777777" w:rsidR="0053008A" w:rsidRDefault="0053008A" w:rsidP="00302BF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w:altName w:val="Courier New"/>
    <w:panose1 w:val="02070409020205020404"/>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dobe Garamond Pro">
    <w:panose1 w:val="00000000000000000000"/>
    <w:charset w:val="00"/>
    <w:family w:val="roman"/>
    <w:notTrueType/>
    <w:pitch w:val="variable"/>
    <w:sig w:usb0="800000AF" w:usb1="5000205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Open Sans Light">
    <w:charset w:val="00"/>
    <w:family w:val="swiss"/>
    <w:pitch w:val="variable"/>
    <w:sig w:usb0="E00002EF" w:usb1="4000205B" w:usb2="00000028" w:usb3="00000000" w:csb0="0000019F" w:csb1="00000000"/>
  </w:font>
  <w:font w:name="Myriad Pro Light">
    <w:altName w:val="Segoe UI Light"/>
    <w:charset w:val="00"/>
    <w:family w:val="swiss"/>
    <w:pitch w:val="variable"/>
  </w:font>
  <w:font w:name="Baskerville">
    <w:altName w:val="Baskerville Old Face"/>
    <w:charset w:val="00"/>
    <w:family w:val="auto"/>
    <w:pitch w:val="variable"/>
    <w:sig w:usb0="80000067" w:usb1="00000000" w:usb2="00000000" w:usb3="00000000" w:csb0="0000019F" w:csb1="00000000"/>
  </w:font>
  <w:font w:name="Univers Next Pro">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Italic">
    <w:altName w:val="Calibri"/>
    <w:panose1 w:val="00000000000000000000"/>
    <w:charset w:val="00"/>
    <w:family w:val="auto"/>
    <w:notTrueType/>
    <w:pitch w:val="default"/>
    <w:sig w:usb0="00000003" w:usb1="00000000" w:usb2="00000000" w:usb3="00000000" w:csb0="00000001" w:csb1="00000000"/>
  </w:font>
  <w:font w:name="Swiss721BT-Roman">
    <w:altName w:val="Calibri"/>
    <w:panose1 w:val="00000000000000000000"/>
    <w:charset w:val="00"/>
    <w:family w:val="auto"/>
    <w:notTrueType/>
    <w:pitch w:val="default"/>
    <w:sig w:usb0="00000003" w:usb1="00000000" w:usb2="00000000" w:usb3="00000000" w:csb0="00000001" w:csb1="00000000"/>
  </w:font>
  <w:font w:name="AdvTT3713a231">
    <w:altName w:val="Cambria"/>
    <w:panose1 w:val="00000000000000000000"/>
    <w:charset w:val="00"/>
    <w:family w:val="roman"/>
    <w:notTrueType/>
    <w:pitch w:val="default"/>
    <w:sig w:usb0="00000003" w:usb1="00000000" w:usb2="00000000" w:usb3="00000000" w:csb0="00000001" w:csb1="00000000"/>
  </w:font>
  <w:font w:name="Roboto-Light">
    <w:altName w:val="Arial"/>
    <w:panose1 w:val="00000000000000000000"/>
    <w:charset w:val="00"/>
    <w:family w:val="auto"/>
    <w:notTrueType/>
    <w:pitch w:val="default"/>
    <w:sig w:usb0="00000003" w:usb1="00000000" w:usb2="00000000" w:usb3="00000000" w:csb0="00000001" w:csb1="00000000"/>
  </w:font>
  <w:font w:name="Roboto-LightItalic">
    <w:altName w:val="Arial"/>
    <w:panose1 w:val="00000000000000000000"/>
    <w:charset w:val="00"/>
    <w:family w:val="auto"/>
    <w:notTrueType/>
    <w:pitch w:val="default"/>
    <w:sig w:usb0="00000003" w:usb1="00000000" w:usb2="00000000" w:usb3="00000000" w:csb0="00000001" w:csb1="00000000"/>
  </w:font>
  <w:font w:name="LMRoman10-Regular-Identity-H">
    <w:altName w:val="Calibri"/>
    <w:panose1 w:val="00000000000000000000"/>
    <w:charset w:val="00"/>
    <w:family w:val="auto"/>
    <w:notTrueType/>
    <w:pitch w:val="default"/>
    <w:sig w:usb0="00000003" w:usb1="00000000" w:usb2="00000000" w:usb3="00000000" w:csb0="00000001" w:csb1="00000000"/>
  </w:font>
  <w:font w:name="Martel-Regular">
    <w:altName w:val="Calibri"/>
    <w:panose1 w:val="00000000000000000000"/>
    <w:charset w:val="00"/>
    <w:family w:val="auto"/>
    <w:notTrueType/>
    <w:pitch w:val="default"/>
    <w:sig w:usb0="00000003" w:usb1="00000000" w:usb2="00000000" w:usb3="00000000" w:csb0="00000001" w:csb1="00000000"/>
  </w:font>
  <w:font w:name="SourceSansPro-Regular">
    <w:altName w:val="Calibri"/>
    <w:panose1 w:val="00000000000000000000"/>
    <w:charset w:val="00"/>
    <w:family w:val="auto"/>
    <w:notTrueType/>
    <w:pitch w:val="default"/>
    <w:sig w:usb0="00000003" w:usb1="00000000" w:usb2="00000000" w:usb3="00000000" w:csb0="00000001" w:csb1="00000000"/>
  </w:font>
  <w:font w:name="AdvTT50a2f13e.I">
    <w:altName w:val="Calibri"/>
    <w:panose1 w:val="00000000000000000000"/>
    <w:charset w:val="00"/>
    <w:family w:val="swiss"/>
    <w:notTrueType/>
    <w:pitch w:val="default"/>
    <w:sig w:usb0="00000003" w:usb1="00000000" w:usb2="00000000" w:usb3="00000000" w:csb0="00000001" w:csb1="00000000"/>
  </w:font>
  <w:font w:name="AdvTT3713a231+01">
    <w:altName w:val="Calibri"/>
    <w:panose1 w:val="00000000000000000000"/>
    <w:charset w:val="00"/>
    <w:family w:val="swiss"/>
    <w:notTrueType/>
    <w:pitch w:val="default"/>
    <w:sig w:usb0="00000003" w:usb1="00000000" w:usb2="00000000" w:usb3="00000000" w:csb0="00000001" w:csb1="00000000"/>
  </w:font>
  <w:font w:name="AdvTT3713a231+20">
    <w:altName w:val="Calibri"/>
    <w:panose1 w:val="00000000000000000000"/>
    <w:charset w:val="00"/>
    <w:family w:val="swiss"/>
    <w:notTrueType/>
    <w:pitch w:val="default"/>
    <w:sig w:usb0="00000003" w:usb1="00000000" w:usb2="00000000" w:usb3="00000000" w:csb0="00000001" w:csb1="00000000"/>
  </w:font>
  <w:font w:name="HelveticaNeue-Light">
    <w:altName w:val="Yu Gothic"/>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Minion Pro">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ucida Grande">
    <w:altName w:val="Segoe U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4D5F7" w14:textId="77777777" w:rsidR="00ED1ADA" w:rsidRDefault="00ED1ADA" w:rsidP="00243B15">
    <w:pPr>
      <w:pStyle w:val="Pieddepage"/>
      <w:pBdr>
        <w:top w:val="single" w:sz="4" w:space="1" w:color="D9D9D9"/>
      </w:pBdr>
      <w:jc w:val="right"/>
    </w:pPr>
    <w:r>
      <w:fldChar w:fldCharType="begin"/>
    </w:r>
    <w:r>
      <w:instrText xml:space="preserve"> PAGE   \* MERGEFORMAT </w:instrText>
    </w:r>
    <w:r>
      <w:fldChar w:fldCharType="separate"/>
    </w:r>
    <w:r>
      <w:rPr>
        <w:noProof/>
      </w:rPr>
      <w:t>4</w:t>
    </w:r>
    <w:r>
      <w:rPr>
        <w:noProof/>
      </w:rPr>
      <w:fldChar w:fldCharType="end"/>
    </w:r>
    <w:r>
      <w:t xml:space="preserve"> | </w:t>
    </w:r>
    <w:r w:rsidRPr="0003763F">
      <w:rPr>
        <w:color w:val="7F7F7F"/>
        <w:spacing w:val="60"/>
      </w:rPr>
      <w:t>Page</w:t>
    </w:r>
  </w:p>
  <w:p w14:paraId="1D213C19" w14:textId="77777777" w:rsidR="00ED1ADA" w:rsidRDefault="00ED1AD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AD11E" w14:textId="77777777" w:rsidR="00ED1ADA" w:rsidRDefault="00ED1ADA" w:rsidP="00243B15">
    <w:pPr>
      <w:pStyle w:val="Pieddepage"/>
      <w:pBdr>
        <w:top w:val="single" w:sz="4" w:space="1" w:color="D9D9D9"/>
      </w:pBdr>
      <w:tabs>
        <w:tab w:val="left" w:pos="345"/>
        <w:tab w:val="right" w:pos="9360"/>
      </w:tabs>
      <w:jc w:val="left"/>
    </w:pPr>
    <w:r>
      <w:tab/>
    </w:r>
    <w:r>
      <w:tab/>
    </w:r>
    <w:r>
      <w:tab/>
    </w:r>
    <w:r>
      <w:tab/>
    </w:r>
    <w:r>
      <w:fldChar w:fldCharType="begin"/>
    </w:r>
    <w:r>
      <w:instrText xml:space="preserve"> PAGE   \* MERGEFORMAT </w:instrText>
    </w:r>
    <w:r>
      <w:fldChar w:fldCharType="separate"/>
    </w:r>
    <w:r>
      <w:rPr>
        <w:noProof/>
      </w:rPr>
      <w:t>14</w:t>
    </w:r>
    <w:r>
      <w:rPr>
        <w:noProof/>
      </w:rPr>
      <w:fldChar w:fldCharType="end"/>
    </w:r>
    <w:r>
      <w:t xml:space="preserve"> | </w:t>
    </w:r>
    <w:r w:rsidRPr="00DD472A">
      <w:rPr>
        <w:color w:val="7F7F7F"/>
        <w:spacing w:val="60"/>
      </w:rPr>
      <w:t>Page</w:t>
    </w:r>
  </w:p>
  <w:p w14:paraId="5E352DC2" w14:textId="77777777" w:rsidR="00ED1ADA" w:rsidRDefault="00ED1AD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D44FF" w14:textId="77777777" w:rsidR="0071360F" w:rsidRDefault="0071360F" w:rsidP="00FD3A8F">
    <w:pPr>
      <w:pStyle w:val="En-tte"/>
    </w:pPr>
  </w:p>
  <w:p w14:paraId="148CD4BD" w14:textId="77777777" w:rsidR="0071360F" w:rsidRDefault="0071360F" w:rsidP="0003763F">
    <w:pPr>
      <w:pStyle w:val="Pieddepage"/>
      <w:pBdr>
        <w:top w:val="single" w:sz="4" w:space="1" w:color="D9D9D9"/>
      </w:pBdr>
      <w:jc w:val="right"/>
    </w:pPr>
    <w:r>
      <w:fldChar w:fldCharType="begin"/>
    </w:r>
    <w:r>
      <w:instrText xml:space="preserve"> PAGE   \* MERGEFORMAT </w:instrText>
    </w:r>
    <w:r>
      <w:fldChar w:fldCharType="separate"/>
    </w:r>
    <w:r>
      <w:rPr>
        <w:noProof/>
      </w:rPr>
      <w:t>24</w:t>
    </w:r>
    <w:r>
      <w:rPr>
        <w:noProof/>
      </w:rPr>
      <w:fldChar w:fldCharType="end"/>
    </w:r>
    <w:r>
      <w:t xml:space="preserve"> | </w:t>
    </w:r>
    <w:r w:rsidRPr="0003763F">
      <w:rPr>
        <w:color w:val="7F7F7F"/>
        <w:spacing w:val="60"/>
      </w:rPr>
      <w:t>Page</w:t>
    </w:r>
  </w:p>
  <w:p w14:paraId="79CA11ED" w14:textId="77777777" w:rsidR="0071360F" w:rsidRDefault="0071360F" w:rsidP="00FD3A8F">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412EB" w14:textId="77777777" w:rsidR="00ED1ADA" w:rsidRDefault="00ED1ADA" w:rsidP="00243B15">
    <w:pPr>
      <w:pStyle w:val="En-tte"/>
    </w:pPr>
  </w:p>
  <w:p w14:paraId="1786C5EB" w14:textId="77777777" w:rsidR="00ED1ADA" w:rsidRDefault="00ED1ADA" w:rsidP="00243B15">
    <w:pPr>
      <w:pStyle w:val="Pieddepage"/>
      <w:pBdr>
        <w:top w:val="single" w:sz="4" w:space="1" w:color="D9D9D9"/>
      </w:pBdr>
      <w:jc w:val="right"/>
    </w:pPr>
    <w:r>
      <w:fldChar w:fldCharType="begin"/>
    </w:r>
    <w:r>
      <w:instrText xml:space="preserve"> PAGE   \* MERGEFORMAT </w:instrText>
    </w:r>
    <w:r>
      <w:fldChar w:fldCharType="separate"/>
    </w:r>
    <w:r>
      <w:rPr>
        <w:noProof/>
      </w:rPr>
      <w:t>22</w:t>
    </w:r>
    <w:r>
      <w:rPr>
        <w:noProof/>
      </w:rPr>
      <w:fldChar w:fldCharType="end"/>
    </w:r>
    <w:r>
      <w:t xml:space="preserve"> | </w:t>
    </w:r>
    <w:r w:rsidRPr="0003763F">
      <w:rPr>
        <w:color w:val="7F7F7F"/>
        <w:spacing w:val="60"/>
      </w:rPr>
      <w:t>Page</w:t>
    </w:r>
  </w:p>
  <w:p w14:paraId="286380A5" w14:textId="77777777" w:rsidR="00ED1ADA" w:rsidRDefault="00ED1ADA" w:rsidP="00243B15">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17842" w14:textId="77777777" w:rsidR="00ED1ADA" w:rsidRPr="0075595E" w:rsidRDefault="00ED1ADA" w:rsidP="00243B15">
    <w:pPr>
      <w:pStyle w:val="Pieddepage"/>
      <w:jc w:val="right"/>
    </w:pPr>
    <w:r>
      <w:fldChar w:fldCharType="begin"/>
    </w:r>
    <w:r>
      <w:instrText>PAGE   \* MERGEFORMAT</w:instrText>
    </w:r>
    <w:r>
      <w:fldChar w:fldCharType="separate"/>
    </w:r>
    <w:r>
      <w:rPr>
        <w:lang w:val="fr-FR"/>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DF73D" w14:textId="77777777" w:rsidR="0053008A" w:rsidRDefault="0053008A" w:rsidP="00302BFE">
      <w:pPr>
        <w:spacing w:after="0"/>
      </w:pPr>
      <w:r>
        <w:separator/>
      </w:r>
    </w:p>
  </w:footnote>
  <w:footnote w:type="continuationSeparator" w:id="0">
    <w:p w14:paraId="2CF3EAC4" w14:textId="77777777" w:rsidR="0053008A" w:rsidRDefault="0053008A" w:rsidP="00302BFE">
      <w:pPr>
        <w:spacing w:after="0"/>
      </w:pPr>
      <w:r>
        <w:continuationSeparator/>
      </w:r>
    </w:p>
  </w:footnote>
  <w:footnote w:id="1">
    <w:p w14:paraId="3077B2FD" w14:textId="77777777" w:rsidR="00ED1ADA" w:rsidRPr="00442C83" w:rsidRDefault="00ED1ADA" w:rsidP="00302BFE">
      <w:pPr>
        <w:pStyle w:val="Notedebasdepage"/>
        <w:spacing w:after="0"/>
        <w:rPr>
          <w:rFonts w:ascii="Calibri" w:hAnsi="Calibri"/>
          <w:lang w:val="fr-CA"/>
        </w:rPr>
      </w:pPr>
      <w:r w:rsidRPr="00442C83">
        <w:rPr>
          <w:rStyle w:val="Appelnotedebasdep"/>
          <w:rFonts w:ascii="Calibri" w:hAnsi="Calibri"/>
        </w:rPr>
        <w:footnoteRef/>
      </w:r>
      <w:r w:rsidRPr="00442C83">
        <w:rPr>
          <w:rFonts w:ascii="Calibri" w:hAnsi="Calibri"/>
          <w:lang w:val="fr-CA"/>
        </w:rPr>
        <w:t xml:space="preserve"> </w:t>
      </w:r>
      <w:r w:rsidRPr="00442C83">
        <w:rPr>
          <w:rFonts w:ascii="Calibri" w:hAnsi="Calibri" w:cs="Calibri"/>
          <w:color w:val="000000"/>
          <w:sz w:val="16"/>
          <w:szCs w:val="16"/>
          <w:lang w:val="fr-CA"/>
        </w:rPr>
        <w:t xml:space="preserve">Dicko et Sangaré, 1981 </w:t>
      </w:r>
      <w:r w:rsidRPr="00442C83">
        <w:rPr>
          <w:rFonts w:ascii="Calibri" w:hAnsi="Calibri" w:cs="Calibri"/>
          <w:i/>
          <w:color w:val="000000"/>
          <w:sz w:val="16"/>
          <w:szCs w:val="16"/>
          <w:lang w:val="fr-CA"/>
        </w:rPr>
        <w:t>in</w:t>
      </w:r>
      <w:r w:rsidRPr="00442C83">
        <w:rPr>
          <w:rFonts w:ascii="Calibri" w:hAnsi="Calibri" w:cs="Calibri"/>
          <w:color w:val="000000"/>
          <w:sz w:val="16"/>
          <w:szCs w:val="16"/>
          <w:lang w:val="fr-CA"/>
        </w:rPr>
        <w:t xml:space="preserve"> SEONE </w:t>
      </w:r>
      <w:r w:rsidRPr="00442C83">
        <w:rPr>
          <w:rFonts w:ascii="Calibri" w:hAnsi="Calibri" w:cs="Calibri"/>
          <w:i/>
          <w:color w:val="000000"/>
          <w:sz w:val="16"/>
          <w:szCs w:val="16"/>
          <w:lang w:val="fr-CA"/>
        </w:rPr>
        <w:t>et al</w:t>
      </w:r>
      <w:r w:rsidRPr="00442C83">
        <w:rPr>
          <w:rFonts w:ascii="Calibri" w:hAnsi="Calibri" w:cs="Calibri"/>
          <w:color w:val="000000"/>
          <w:sz w:val="16"/>
          <w:szCs w:val="16"/>
          <w:lang w:val="fr-CA"/>
        </w:rPr>
        <w:t>., 2018</w:t>
      </w:r>
    </w:p>
  </w:footnote>
  <w:footnote w:id="2">
    <w:p w14:paraId="3E1BAF4D" w14:textId="77777777" w:rsidR="00ED1ADA" w:rsidRPr="00FF5454" w:rsidRDefault="00ED1ADA" w:rsidP="00D85DCC">
      <w:pPr>
        <w:pStyle w:val="Notedebasdepage"/>
        <w:spacing w:after="0"/>
        <w:rPr>
          <w:rFonts w:asciiTheme="minorHAnsi" w:hAnsiTheme="minorHAnsi"/>
          <w:sz w:val="16"/>
          <w:szCs w:val="16"/>
          <w:lang w:val="en-CA"/>
        </w:rPr>
      </w:pPr>
      <w:r w:rsidRPr="003F190A">
        <w:rPr>
          <w:rStyle w:val="Appelnotedebasdep"/>
          <w:rFonts w:asciiTheme="minorHAnsi" w:hAnsiTheme="minorHAnsi"/>
          <w:sz w:val="16"/>
          <w:szCs w:val="16"/>
        </w:rPr>
        <w:footnoteRef/>
      </w:r>
      <w:r w:rsidRPr="00FF5454">
        <w:rPr>
          <w:rFonts w:asciiTheme="minorHAnsi" w:hAnsiTheme="minorHAnsi"/>
          <w:sz w:val="16"/>
          <w:szCs w:val="16"/>
          <w:lang w:val="en-CA"/>
        </w:rPr>
        <w:t xml:space="preserve"> Forest Code (2011)</w:t>
      </w:r>
    </w:p>
  </w:footnote>
  <w:footnote w:id="3">
    <w:p w14:paraId="7B1A5A31" w14:textId="77777777" w:rsidR="007E5AC8" w:rsidRDefault="007E5AC8" w:rsidP="00302BFE">
      <w:pPr>
        <w:pStyle w:val="Notedebasdepage"/>
        <w:spacing w:after="0"/>
        <w:rPr>
          <w:rFonts w:ascii="Calibri" w:hAnsi="Calibri"/>
          <w:sz w:val="16"/>
          <w:szCs w:val="16"/>
          <w:lang w:val="en-CA"/>
        </w:rPr>
      </w:pPr>
      <w:r>
        <w:rPr>
          <w:rStyle w:val="Appelnotedebasdep"/>
        </w:rPr>
        <w:footnoteRef/>
      </w:r>
      <w:r>
        <w:rPr>
          <w:rFonts w:ascii="Calibri" w:hAnsi="Calibri"/>
          <w:sz w:val="16"/>
          <w:szCs w:val="16"/>
          <w:lang w:val="en-CA"/>
        </w:rPr>
        <w:t xml:space="preserve">Corridors # 1 and # 2 were set up by the PAGEN project in 2008 but could not be gazetted. Funded by FFEM, the NGO NATUDEV is currently (2018-2019) working to formalize the creation of corridor # 1 and develop a participatory management and development plan. </w:t>
      </w:r>
    </w:p>
  </w:footnote>
  <w:footnote w:id="4">
    <w:p w14:paraId="3D02F22D" w14:textId="77777777" w:rsidR="006B3AD8" w:rsidRDefault="006B3AD8" w:rsidP="00302BFE">
      <w:pPr>
        <w:pStyle w:val="Notedebasdepage"/>
        <w:spacing w:after="0"/>
        <w:rPr>
          <w:rFonts w:ascii="Calibri" w:hAnsi="Calibri"/>
          <w:sz w:val="16"/>
          <w:szCs w:val="16"/>
          <w:lang w:val="en-CA"/>
        </w:rPr>
      </w:pPr>
      <w:r>
        <w:rPr>
          <w:rStyle w:val="Appelnotedebasdep"/>
          <w:sz w:val="16"/>
          <w:szCs w:val="16"/>
        </w:rPr>
        <w:footnoteRef/>
      </w:r>
      <w:r>
        <w:rPr>
          <w:rFonts w:ascii="Calibri" w:hAnsi="Calibri"/>
          <w:sz w:val="16"/>
          <w:szCs w:val="16"/>
          <w:lang w:val="en-CA"/>
        </w:rPr>
        <w:t xml:space="preserve"> CVGF: Village Committee for Wildlife Management</w:t>
      </w:r>
    </w:p>
  </w:footnote>
  <w:footnote w:id="5">
    <w:p w14:paraId="3511833D" w14:textId="77777777" w:rsidR="00ED1ADA" w:rsidRPr="00243B15" w:rsidRDefault="00ED1ADA" w:rsidP="00302BFE">
      <w:pPr>
        <w:pStyle w:val="Notedebasdepage"/>
        <w:spacing w:after="0"/>
        <w:rPr>
          <w:rFonts w:ascii="Calibri" w:hAnsi="Calibri"/>
          <w:sz w:val="16"/>
          <w:szCs w:val="16"/>
          <w:lang w:val="en-CA"/>
        </w:rPr>
      </w:pPr>
      <w:r w:rsidRPr="00066BE7">
        <w:rPr>
          <w:rStyle w:val="Appelnotedebasdep"/>
          <w:rFonts w:ascii="Calibri" w:hAnsi="Calibri"/>
          <w:sz w:val="16"/>
          <w:szCs w:val="16"/>
        </w:rPr>
        <w:footnoteRef/>
      </w:r>
      <w:r w:rsidRPr="00066BE7">
        <w:rPr>
          <w:rFonts w:ascii="Calibri" w:hAnsi="Calibri"/>
          <w:sz w:val="16"/>
          <w:szCs w:val="16"/>
          <w:lang w:val="fr-CA"/>
        </w:rPr>
        <w:t xml:space="preserve"> Marchal, A., Lejeune, P., Bouché, P., Ouédraogo, M., Sawadogo, P.(2012). </w:t>
      </w:r>
      <w:r w:rsidRPr="00066BE7">
        <w:rPr>
          <w:rFonts w:ascii="Calibri" w:hAnsi="Calibri"/>
          <w:sz w:val="16"/>
          <w:szCs w:val="16"/>
          <w:lang w:val="en-CA"/>
        </w:rPr>
        <w:t xml:space="preserve">Status of the medium-sized ungulate populations in 2010, Nazinga game ranch, Burkina Faso (western Africa). </w:t>
      </w:r>
      <w:r w:rsidRPr="00243B15">
        <w:rPr>
          <w:rFonts w:ascii="Calibri" w:hAnsi="Calibri"/>
          <w:sz w:val="16"/>
          <w:szCs w:val="16"/>
          <w:lang w:val="en-CA"/>
        </w:rPr>
        <w:t>BASE, 16(3), 307–315</w:t>
      </w:r>
    </w:p>
  </w:footnote>
  <w:footnote w:id="6">
    <w:p w14:paraId="7BE47B4C" w14:textId="77777777" w:rsidR="00ED1ADA" w:rsidRPr="00066BE7" w:rsidRDefault="00ED1ADA" w:rsidP="00302BFE">
      <w:pPr>
        <w:pStyle w:val="Notedebasdepage"/>
        <w:spacing w:after="0"/>
        <w:rPr>
          <w:rFonts w:ascii="Calibri" w:hAnsi="Calibri"/>
          <w:sz w:val="16"/>
          <w:szCs w:val="16"/>
          <w:lang w:val="en-CA"/>
        </w:rPr>
      </w:pPr>
      <w:r w:rsidRPr="00066BE7">
        <w:rPr>
          <w:rStyle w:val="Appelnotedebasdep"/>
          <w:rFonts w:ascii="Calibri" w:hAnsi="Calibri"/>
          <w:sz w:val="16"/>
          <w:szCs w:val="16"/>
        </w:rPr>
        <w:footnoteRef/>
      </w:r>
      <w:r w:rsidRPr="00243B15">
        <w:rPr>
          <w:rFonts w:ascii="Calibri" w:hAnsi="Calibri"/>
          <w:sz w:val="16"/>
          <w:szCs w:val="16"/>
          <w:lang w:val="en-CA"/>
        </w:rPr>
        <w:t xml:space="preserve"> Bouché P., Douglas-Hamilton I., Wittemyer G., Nianogo A.J., Doucet J.L. </w:t>
      </w:r>
      <w:r w:rsidRPr="00066BE7">
        <w:rPr>
          <w:rFonts w:ascii="Calibri" w:hAnsi="Calibri"/>
          <w:sz w:val="16"/>
          <w:szCs w:val="16"/>
          <w:lang w:val="en-CA"/>
        </w:rPr>
        <w:t>(2011). Will elephants soon disappear from west African savannahs? PloS One, 6(6), e20619. doi: 10.1371/journal.pone.0020619.</w:t>
      </w:r>
    </w:p>
  </w:footnote>
  <w:footnote w:id="7">
    <w:p w14:paraId="075AFF09" w14:textId="77777777" w:rsidR="00ED1ADA" w:rsidRPr="00B77F42" w:rsidRDefault="00ED1ADA" w:rsidP="00302BFE">
      <w:pPr>
        <w:pStyle w:val="Notedebasdepage"/>
        <w:spacing w:after="0"/>
        <w:rPr>
          <w:rStyle w:val="Appelnotedebasdep"/>
          <w:rFonts w:ascii="Calibri" w:hAnsi="Calibri"/>
          <w:lang w:val="en-CA"/>
        </w:rPr>
      </w:pPr>
      <w:r w:rsidRPr="007F4D35">
        <w:rPr>
          <w:rStyle w:val="Appelnotedebasdep"/>
          <w:rFonts w:ascii="Calibri" w:hAnsi="Calibri"/>
          <w:sz w:val="16"/>
          <w:szCs w:val="16"/>
        </w:rPr>
        <w:footnoteRef/>
      </w:r>
      <w:r w:rsidRPr="00B77F42">
        <w:rPr>
          <w:rFonts w:ascii="Calibri" w:hAnsi="Calibri"/>
          <w:sz w:val="16"/>
          <w:szCs w:val="16"/>
          <w:lang w:val="en-CA"/>
        </w:rPr>
        <w:t xml:space="preserve"> </w:t>
      </w:r>
      <w:hyperlink r:id="rId1" w:history="1">
        <w:r w:rsidRPr="00B77F42">
          <w:rPr>
            <w:rStyle w:val="Lienhypertexte"/>
            <w:rFonts w:ascii="Calibri" w:hAnsi="Calibri"/>
            <w:sz w:val="16"/>
            <w:szCs w:val="16"/>
            <w:lang w:val="en-CA"/>
          </w:rPr>
          <w:t>http://datazone.birdlife.org/site/factsheet/kaboré-tambi--nazinga--sissili-complex-iba-burkina-faso</w:t>
        </w:r>
      </w:hyperlink>
    </w:p>
  </w:footnote>
  <w:footnote w:id="8">
    <w:p w14:paraId="48F6A973" w14:textId="77777777" w:rsidR="00ED1ADA" w:rsidRPr="00243B15" w:rsidRDefault="00ED1ADA" w:rsidP="00302BFE">
      <w:pPr>
        <w:pStyle w:val="Notedebasdepage"/>
        <w:spacing w:after="0"/>
        <w:rPr>
          <w:lang w:val="en-CA"/>
        </w:rPr>
      </w:pPr>
      <w:r>
        <w:rPr>
          <w:rStyle w:val="Appelnotedebasdep"/>
          <w:rFonts w:ascii="Calibri" w:hAnsi="Calibri"/>
          <w:sz w:val="16"/>
          <w:szCs w:val="16"/>
        </w:rPr>
        <w:footnoteRef/>
      </w:r>
      <w:r w:rsidRPr="00243B15">
        <w:rPr>
          <w:rFonts w:ascii="Calibri" w:hAnsi="Calibri"/>
          <w:sz w:val="16"/>
          <w:szCs w:val="16"/>
          <w:lang w:val="en-CA"/>
        </w:rPr>
        <w:t xml:space="preserve"> https://rsis.ramsar.org/ris/2366</w:t>
      </w:r>
    </w:p>
  </w:footnote>
  <w:footnote w:id="9">
    <w:p w14:paraId="39CF8EEC" w14:textId="77777777" w:rsidR="00ED1ADA" w:rsidRPr="00F9302E" w:rsidRDefault="00ED1ADA" w:rsidP="00302BFE">
      <w:pPr>
        <w:pStyle w:val="Notedebasdepage"/>
        <w:spacing w:after="0"/>
        <w:rPr>
          <w:rFonts w:ascii="Calibri" w:hAnsi="Calibri"/>
          <w:sz w:val="16"/>
          <w:szCs w:val="16"/>
          <w:lang w:val="pt-PT"/>
        </w:rPr>
      </w:pPr>
      <w:r>
        <w:rPr>
          <w:rStyle w:val="Appelnotedebasdep"/>
          <w:rFonts w:ascii="Calibri" w:hAnsi="Calibri"/>
          <w:sz w:val="16"/>
          <w:szCs w:val="16"/>
        </w:rPr>
        <w:footnoteRef/>
      </w:r>
      <w:r w:rsidRPr="00F9302E">
        <w:rPr>
          <w:rFonts w:ascii="Calibri" w:hAnsi="Calibri"/>
          <w:sz w:val="16"/>
          <w:szCs w:val="16"/>
          <w:lang w:val="pt-PT"/>
        </w:rPr>
        <w:t xml:space="preserve"> Ouédraogo, 2005</w:t>
      </w:r>
    </w:p>
  </w:footnote>
  <w:footnote w:id="10">
    <w:p w14:paraId="6AAACE05" w14:textId="77777777" w:rsidR="00ED1ADA" w:rsidRPr="00DC07B4" w:rsidRDefault="00ED1ADA" w:rsidP="00302BFE">
      <w:pPr>
        <w:pStyle w:val="Notedebasdepage"/>
        <w:spacing w:after="0"/>
        <w:rPr>
          <w:rFonts w:ascii="Calibri" w:hAnsi="Calibri"/>
          <w:sz w:val="16"/>
          <w:szCs w:val="16"/>
          <w:lang w:val="en-CA"/>
        </w:rPr>
      </w:pPr>
      <w:r>
        <w:rPr>
          <w:rStyle w:val="Appelnotedebasdep"/>
          <w:rFonts w:ascii="Calibri" w:hAnsi="Calibri"/>
          <w:sz w:val="16"/>
          <w:szCs w:val="16"/>
        </w:rPr>
        <w:footnoteRef/>
      </w:r>
      <w:r w:rsidRPr="00F9302E">
        <w:rPr>
          <w:rFonts w:ascii="Calibri" w:hAnsi="Calibri"/>
          <w:sz w:val="16"/>
          <w:szCs w:val="16"/>
          <w:lang w:val="pt-PT"/>
        </w:rPr>
        <w:t xml:space="preserve"> Doamba. B, Adouabou. B. A, Balma. </w:t>
      </w:r>
      <w:r w:rsidRPr="00DC07B4">
        <w:rPr>
          <w:rFonts w:ascii="Calibri" w:hAnsi="Calibri"/>
          <w:sz w:val="16"/>
          <w:szCs w:val="16"/>
          <w:lang w:val="en-CA"/>
        </w:rPr>
        <w:t>E. N. 2018</w:t>
      </w:r>
    </w:p>
  </w:footnote>
  <w:footnote w:id="11">
    <w:p w14:paraId="35AE914D" w14:textId="77777777" w:rsidR="00ED1ADA" w:rsidRPr="006458C6" w:rsidRDefault="00ED1ADA" w:rsidP="00E6163D">
      <w:pPr>
        <w:pStyle w:val="Notedebasdepage"/>
        <w:spacing w:after="0"/>
        <w:rPr>
          <w:rStyle w:val="Appelnotedebasdep"/>
          <w:rFonts w:asciiTheme="minorHAnsi" w:hAnsiTheme="minorHAnsi"/>
          <w:sz w:val="16"/>
          <w:szCs w:val="16"/>
        </w:rPr>
      </w:pPr>
      <w:r w:rsidRPr="006E490C">
        <w:rPr>
          <w:rStyle w:val="Appelnotedebasdep"/>
          <w:rFonts w:ascii="Calibri" w:hAnsi="Calibri"/>
          <w:sz w:val="16"/>
          <w:szCs w:val="16"/>
        </w:rPr>
        <w:footnoteRef/>
      </w:r>
      <w:r w:rsidRPr="006E490C">
        <w:rPr>
          <w:rFonts w:ascii="Calibri" w:hAnsi="Calibri"/>
          <w:sz w:val="16"/>
          <w:szCs w:val="16"/>
          <w:lang w:val="en-CA"/>
        </w:rPr>
        <w:t xml:space="preserve"> </w:t>
      </w:r>
      <w:r w:rsidRPr="006458C6">
        <w:rPr>
          <w:rStyle w:val="Appelnotedebasdep"/>
          <w:rFonts w:asciiTheme="minorHAnsi" w:hAnsiTheme="minorHAnsi"/>
          <w:sz w:val="16"/>
          <w:szCs w:val="16"/>
          <w:vertAlign w:val="baseline"/>
        </w:rPr>
        <w:t>The number of direct beneficiaries is estimated as follows:</w:t>
      </w:r>
      <w:r w:rsidRPr="006458C6">
        <w:rPr>
          <w:rFonts w:asciiTheme="minorHAnsi" w:hAnsiTheme="minorHAnsi"/>
          <w:sz w:val="16"/>
          <w:szCs w:val="16"/>
        </w:rPr>
        <w:t xml:space="preserve"> </w:t>
      </w:r>
      <w:r w:rsidRPr="006458C6">
        <w:rPr>
          <w:rFonts w:asciiTheme="minorHAnsi" w:hAnsiTheme="minorHAnsi"/>
          <w:bCs/>
          <w:sz w:val="16"/>
          <w:szCs w:val="16"/>
          <w:lang w:val="en-CA"/>
        </w:rPr>
        <w:t xml:space="preserve">30,885 with 60% women overall, including a) 365 men in CAFs, b) 6400 </w:t>
      </w:r>
      <w:r w:rsidRPr="006458C6">
        <w:rPr>
          <w:rFonts w:asciiTheme="minorHAnsi" w:hAnsiTheme="minorHAnsi"/>
          <w:bCs/>
          <w:sz w:val="16"/>
          <w:szCs w:val="16"/>
        </w:rPr>
        <w:t xml:space="preserve">men and women in pastoral activities, </w:t>
      </w:r>
      <w:r w:rsidRPr="006458C6">
        <w:rPr>
          <w:rFonts w:asciiTheme="minorHAnsi" w:hAnsiTheme="minorHAnsi"/>
          <w:bCs/>
          <w:sz w:val="16"/>
          <w:szCs w:val="16"/>
          <w:lang w:val="en-CA"/>
        </w:rPr>
        <w:t xml:space="preserve">c) 1,200 men and women in climate-smart agriculture activities – </w:t>
      </w:r>
      <w:r w:rsidRPr="006458C6">
        <w:rPr>
          <w:rFonts w:asciiTheme="minorHAnsi" w:hAnsiTheme="minorHAnsi"/>
          <w:bCs/>
          <w:i/>
          <w:sz w:val="16"/>
          <w:szCs w:val="16"/>
          <w:lang w:val="en-CA"/>
        </w:rPr>
        <w:t xml:space="preserve">terroirs, </w:t>
      </w:r>
      <w:r w:rsidRPr="006458C6">
        <w:rPr>
          <w:rFonts w:asciiTheme="minorHAnsi" w:hAnsiTheme="minorHAnsi"/>
          <w:bCs/>
          <w:sz w:val="16"/>
          <w:szCs w:val="16"/>
          <w:lang w:val="en-CA"/>
        </w:rPr>
        <w:t xml:space="preserve">d) 20,400 </w:t>
      </w:r>
      <w:r w:rsidRPr="006458C6">
        <w:rPr>
          <w:rFonts w:asciiTheme="minorHAnsi" w:hAnsiTheme="minorHAnsi"/>
          <w:bCs/>
          <w:sz w:val="16"/>
          <w:szCs w:val="16"/>
        </w:rPr>
        <w:t xml:space="preserve">men and women in communal and village forests (other than PAs and CAFs), </w:t>
      </w:r>
      <w:r w:rsidRPr="006458C6">
        <w:rPr>
          <w:rFonts w:asciiTheme="minorHAnsi" w:hAnsiTheme="minorHAnsi"/>
          <w:bCs/>
          <w:sz w:val="16"/>
          <w:szCs w:val="16"/>
          <w:lang w:val="en-CA"/>
        </w:rPr>
        <w:t xml:space="preserve">e) 200 </w:t>
      </w:r>
      <w:r w:rsidRPr="006458C6">
        <w:rPr>
          <w:rFonts w:asciiTheme="minorHAnsi" w:hAnsiTheme="minorHAnsi"/>
          <w:bCs/>
          <w:sz w:val="16"/>
          <w:szCs w:val="16"/>
        </w:rPr>
        <w:t xml:space="preserve">men and </w:t>
      </w:r>
      <w:r w:rsidRPr="006458C6">
        <w:rPr>
          <w:rFonts w:asciiTheme="minorHAnsi" w:hAnsiTheme="minorHAnsi"/>
          <w:bCs/>
          <w:sz w:val="16"/>
          <w:szCs w:val="16"/>
          <w:lang w:val="en-CA"/>
        </w:rPr>
        <w:t xml:space="preserve">620 </w:t>
      </w:r>
      <w:r w:rsidRPr="006458C6">
        <w:rPr>
          <w:rFonts w:asciiTheme="minorHAnsi" w:hAnsiTheme="minorHAnsi"/>
          <w:bCs/>
          <w:sz w:val="16"/>
          <w:szCs w:val="16"/>
        </w:rPr>
        <w:t>women in non-timber forest products value chains (</w:t>
      </w:r>
      <w:r w:rsidRPr="006458C6">
        <w:rPr>
          <w:rFonts w:asciiTheme="minorHAnsi" w:hAnsiTheme="minorHAnsi"/>
          <w:bCs/>
          <w:sz w:val="16"/>
          <w:szCs w:val="16"/>
          <w:lang w:val="en-CA"/>
        </w:rPr>
        <w:t>honey value chain: 200 men, 200 women; shea value chain: 300 women; liane goïne value chain: 120 women); f) 60 men and 140 women in tourism; g) 750 men and 750 women - paid work (opening of trails, opening and maintenance of firebreaks, management of early fires, rehabilitation of corridor # 2, etc.)</w:t>
      </w:r>
    </w:p>
  </w:footnote>
  <w:footnote w:id="12">
    <w:p w14:paraId="0508F7A4" w14:textId="77777777" w:rsidR="00ED1ADA" w:rsidRPr="006458C6" w:rsidRDefault="00ED1ADA" w:rsidP="00E6163D">
      <w:pPr>
        <w:pStyle w:val="Notedebasdepage"/>
        <w:spacing w:after="0"/>
        <w:rPr>
          <w:rFonts w:asciiTheme="minorHAnsi" w:hAnsiTheme="minorHAnsi"/>
          <w:sz w:val="16"/>
          <w:szCs w:val="16"/>
          <w:lang w:val="en-CA"/>
        </w:rPr>
      </w:pPr>
      <w:r w:rsidRPr="006458C6">
        <w:rPr>
          <w:rStyle w:val="Appelnotedebasdep"/>
          <w:rFonts w:asciiTheme="minorHAnsi" w:hAnsiTheme="minorHAnsi"/>
          <w:sz w:val="16"/>
          <w:szCs w:val="16"/>
        </w:rPr>
        <w:footnoteRef/>
      </w:r>
      <w:r w:rsidRPr="006458C6">
        <w:rPr>
          <w:rFonts w:asciiTheme="minorHAnsi" w:hAnsiTheme="minorHAnsi"/>
          <w:sz w:val="16"/>
          <w:szCs w:val="16"/>
        </w:rPr>
        <w:t xml:space="preserve"> </w:t>
      </w:r>
      <w:r w:rsidRPr="006458C6">
        <w:rPr>
          <w:rFonts w:asciiTheme="minorHAnsi" w:hAnsiTheme="minorHAnsi"/>
          <w:sz w:val="16"/>
          <w:szCs w:val="16"/>
          <w:lang w:val="en-GB"/>
        </w:rPr>
        <w:t>The household is defined as the basic socio-economic unit in which the different related or non-related members live in the same house or compound, pool their resources and satisfy most of their food and other vital needs under the authority of one person called head of household.</w:t>
      </w:r>
    </w:p>
  </w:footnote>
  <w:footnote w:id="13">
    <w:p w14:paraId="4410F8B0" w14:textId="03670429" w:rsidR="00ED1ADA" w:rsidRPr="006458C6" w:rsidRDefault="00ED1ADA" w:rsidP="00E6163D">
      <w:pPr>
        <w:pStyle w:val="Notedebasdepage"/>
        <w:spacing w:after="0"/>
        <w:rPr>
          <w:rFonts w:asciiTheme="minorHAnsi" w:hAnsiTheme="minorHAnsi"/>
          <w:sz w:val="16"/>
          <w:szCs w:val="16"/>
          <w:lang w:val="fr-CA"/>
        </w:rPr>
      </w:pPr>
      <w:r w:rsidRPr="006458C6">
        <w:rPr>
          <w:rStyle w:val="Appelnotedebasdep"/>
          <w:rFonts w:asciiTheme="minorHAnsi" w:hAnsiTheme="minorHAnsi"/>
          <w:sz w:val="16"/>
          <w:szCs w:val="16"/>
        </w:rPr>
        <w:footnoteRef/>
      </w:r>
      <w:r w:rsidRPr="00F9302E">
        <w:rPr>
          <w:rFonts w:asciiTheme="minorHAnsi" w:hAnsiTheme="minorHAnsi"/>
          <w:sz w:val="16"/>
          <w:szCs w:val="16"/>
          <w:lang w:val="pt-PT"/>
        </w:rPr>
        <w:t xml:space="preserve"> Hema E.M., Barnes R.F.W., Guenda, W. (2010). </w:t>
      </w:r>
      <w:r w:rsidRPr="006458C6">
        <w:rPr>
          <w:rFonts w:asciiTheme="minorHAnsi" w:hAnsiTheme="minorHAnsi"/>
          <w:sz w:val="16"/>
          <w:szCs w:val="16"/>
          <w:lang w:val="en-CA"/>
        </w:rPr>
        <w:t>Distribution of savannah elephants (</w:t>
      </w:r>
      <w:r w:rsidRPr="0043123D">
        <w:rPr>
          <w:rFonts w:asciiTheme="minorHAnsi" w:hAnsiTheme="minorHAnsi"/>
          <w:i/>
          <w:sz w:val="16"/>
          <w:szCs w:val="16"/>
          <w:lang w:val="en-CA"/>
        </w:rPr>
        <w:t>Loxodonta africana</w:t>
      </w:r>
      <w:r w:rsidRPr="006458C6">
        <w:rPr>
          <w:rFonts w:asciiTheme="minorHAnsi" w:hAnsiTheme="minorHAnsi"/>
          <w:sz w:val="16"/>
          <w:szCs w:val="16"/>
          <w:lang w:val="en-CA"/>
        </w:rPr>
        <w:t xml:space="preserve"> Africana Blumenbach 1797) within Nazinga </w:t>
      </w:r>
      <w:r>
        <w:rPr>
          <w:rFonts w:asciiTheme="minorHAnsi" w:hAnsiTheme="minorHAnsi"/>
          <w:sz w:val="16"/>
          <w:szCs w:val="16"/>
          <w:lang w:val="en-CA"/>
        </w:rPr>
        <w:t>G</w:t>
      </w:r>
      <w:r w:rsidRPr="006458C6">
        <w:rPr>
          <w:rFonts w:asciiTheme="minorHAnsi" w:hAnsiTheme="minorHAnsi"/>
          <w:sz w:val="16"/>
          <w:szCs w:val="16"/>
          <w:lang w:val="en-CA"/>
        </w:rPr>
        <w:t xml:space="preserve">ame </w:t>
      </w:r>
      <w:r>
        <w:rPr>
          <w:rFonts w:asciiTheme="minorHAnsi" w:hAnsiTheme="minorHAnsi"/>
          <w:sz w:val="16"/>
          <w:szCs w:val="16"/>
          <w:lang w:val="en-CA"/>
        </w:rPr>
        <w:t>R</w:t>
      </w:r>
      <w:r w:rsidRPr="006458C6">
        <w:rPr>
          <w:rFonts w:asciiTheme="minorHAnsi" w:hAnsiTheme="minorHAnsi"/>
          <w:sz w:val="16"/>
          <w:szCs w:val="16"/>
          <w:lang w:val="en-CA"/>
        </w:rPr>
        <w:t xml:space="preserve">anch, southern Burkina Faso. </w:t>
      </w:r>
      <w:r w:rsidRPr="006458C6">
        <w:rPr>
          <w:rFonts w:asciiTheme="minorHAnsi" w:hAnsiTheme="minorHAnsi"/>
          <w:sz w:val="16"/>
          <w:szCs w:val="16"/>
          <w:lang w:val="fr-CA"/>
        </w:rPr>
        <w:t>African Journal of Ecology, 49(2), 141–149</w:t>
      </w:r>
    </w:p>
  </w:footnote>
  <w:footnote w:id="14">
    <w:p w14:paraId="5A2154EC" w14:textId="77777777" w:rsidR="00ED1ADA" w:rsidRPr="006458C6" w:rsidRDefault="00ED1ADA" w:rsidP="00E6163D">
      <w:pPr>
        <w:pStyle w:val="Notedebasdepage"/>
        <w:spacing w:after="0"/>
        <w:rPr>
          <w:rFonts w:asciiTheme="minorHAnsi" w:hAnsiTheme="minorHAnsi"/>
          <w:sz w:val="16"/>
          <w:szCs w:val="16"/>
          <w:lang w:val="fr-CA"/>
        </w:rPr>
      </w:pPr>
      <w:r w:rsidRPr="006458C6">
        <w:rPr>
          <w:rStyle w:val="Appelnotedebasdep"/>
          <w:rFonts w:asciiTheme="minorHAnsi" w:hAnsiTheme="minorHAnsi"/>
          <w:sz w:val="16"/>
          <w:szCs w:val="16"/>
        </w:rPr>
        <w:footnoteRef/>
      </w:r>
      <w:r w:rsidRPr="006458C6">
        <w:rPr>
          <w:rFonts w:asciiTheme="minorHAnsi" w:hAnsiTheme="minorHAnsi"/>
          <w:sz w:val="16"/>
          <w:szCs w:val="16"/>
          <w:lang w:val="fr-CA"/>
        </w:rPr>
        <w:t xml:space="preserve"> Vermeulen C, Michaux J.F. (2007). Les populations riveraines du Ranch de Nazinga: anthropologie politique, aménagement des terroirs et zones villageoises de chasse. In: W. Delvingt &amp; C. Vermeulen (Eds.), Nazinga. Région Wallonne, Presse Agronomique de Gembloux, Nature+, APEFE, Ministère de l’Environnement et du Cadre de Vie (Burkina Faso), Gembloux and Ouagadougou.</w:t>
      </w:r>
    </w:p>
  </w:footnote>
  <w:footnote w:id="15">
    <w:p w14:paraId="4BC3CB88" w14:textId="77777777" w:rsidR="00ED1ADA" w:rsidRPr="006458C6" w:rsidRDefault="00ED1ADA" w:rsidP="00E6163D">
      <w:pPr>
        <w:pStyle w:val="Notedebasdepage"/>
        <w:spacing w:after="0"/>
        <w:rPr>
          <w:rFonts w:asciiTheme="minorHAnsi" w:hAnsiTheme="minorHAnsi"/>
          <w:sz w:val="16"/>
          <w:szCs w:val="16"/>
        </w:rPr>
      </w:pPr>
      <w:r w:rsidRPr="006458C6">
        <w:rPr>
          <w:rStyle w:val="Appelnotedebasdep"/>
          <w:rFonts w:asciiTheme="minorHAnsi" w:hAnsiTheme="minorHAnsi"/>
          <w:sz w:val="16"/>
          <w:szCs w:val="16"/>
        </w:rPr>
        <w:footnoteRef/>
      </w:r>
      <w:r w:rsidRPr="006458C6">
        <w:rPr>
          <w:rFonts w:asciiTheme="minorHAnsi" w:hAnsiTheme="minorHAnsi"/>
          <w:sz w:val="16"/>
          <w:szCs w:val="16"/>
        </w:rPr>
        <w:t xml:space="preserve"> MEGECC, 2014</w:t>
      </w:r>
    </w:p>
  </w:footnote>
  <w:footnote w:id="16">
    <w:p w14:paraId="31640C87" w14:textId="77777777" w:rsidR="00ED1ADA" w:rsidRPr="007E21F2" w:rsidRDefault="00ED1ADA" w:rsidP="00302BFE">
      <w:pPr>
        <w:pStyle w:val="Notedebasdepage"/>
        <w:spacing w:after="0"/>
        <w:rPr>
          <w:rFonts w:ascii="Calibri" w:hAnsi="Calibri"/>
          <w:sz w:val="16"/>
          <w:szCs w:val="16"/>
        </w:rPr>
      </w:pPr>
      <w:r>
        <w:rPr>
          <w:rStyle w:val="Appelnotedebasdep"/>
          <w:rFonts w:ascii="Calibri" w:hAnsi="Calibri"/>
          <w:sz w:val="16"/>
          <w:szCs w:val="16"/>
        </w:rPr>
        <w:footnoteRef/>
      </w:r>
      <w:r w:rsidRPr="007E21F2">
        <w:rPr>
          <w:rFonts w:ascii="Calibri" w:hAnsi="Calibri"/>
          <w:sz w:val="16"/>
          <w:szCs w:val="16"/>
        </w:rPr>
        <w:t xml:space="preserve"> Forests and Wildlife Directorate, 2013. Socio-economic study on the contribution of protected areas to the socio-economic development of local populations.</w:t>
      </w:r>
    </w:p>
  </w:footnote>
  <w:footnote w:id="17">
    <w:p w14:paraId="66417500" w14:textId="77777777" w:rsidR="00ED1ADA" w:rsidRPr="00901D84" w:rsidRDefault="00ED1ADA" w:rsidP="00302BFE">
      <w:pPr>
        <w:pStyle w:val="Notedebasdepage"/>
        <w:spacing w:after="0"/>
        <w:rPr>
          <w:rFonts w:asciiTheme="minorHAnsi" w:hAnsiTheme="minorHAnsi"/>
          <w:lang w:val="fr-CA"/>
        </w:rPr>
      </w:pPr>
      <w:r w:rsidRPr="00901D84">
        <w:rPr>
          <w:rStyle w:val="Appelnotedebasdep"/>
          <w:rFonts w:asciiTheme="minorHAnsi" w:hAnsiTheme="minorHAnsi"/>
        </w:rPr>
        <w:footnoteRef/>
      </w:r>
      <w:r w:rsidRPr="00901D84">
        <w:rPr>
          <w:rFonts w:asciiTheme="minorHAnsi" w:hAnsiTheme="minorHAnsi"/>
          <w:lang w:val="fr-CA"/>
        </w:rPr>
        <w:t xml:space="preserve"> </w:t>
      </w:r>
      <w:r w:rsidRPr="00901D84">
        <w:rPr>
          <w:rFonts w:asciiTheme="minorHAnsi" w:hAnsiTheme="minorHAnsi"/>
          <w:sz w:val="16"/>
          <w:szCs w:val="16"/>
          <w:lang w:val="fr-CA"/>
        </w:rPr>
        <w:t>NIKIEMA B. 2008. Gestion participative des ressources naturelles des Zones Villageoises d'Intérêt Cynégétiques (ZOVIC) autour du Ranch de Gibier de Nazinga au BURKINA FASO. Cas des ZOVIC de Koumbili et de Kontioro. MÉMOIRE. Université Polytechnique de Bobo-Dioulasso, Institut du Développement Rural.</w:t>
      </w:r>
    </w:p>
  </w:footnote>
  <w:footnote w:id="18">
    <w:p w14:paraId="0D481DB3" w14:textId="77777777" w:rsidR="00ED1ADA" w:rsidRPr="00D27B19" w:rsidRDefault="00ED1ADA" w:rsidP="00187640">
      <w:pPr>
        <w:pStyle w:val="Notedebasdepage"/>
        <w:spacing w:after="0"/>
        <w:rPr>
          <w:rFonts w:ascii="Calibri" w:hAnsi="Calibri"/>
          <w:sz w:val="16"/>
          <w:szCs w:val="16"/>
          <w:lang w:val="fr-CA"/>
        </w:rPr>
      </w:pPr>
      <w:r>
        <w:rPr>
          <w:rStyle w:val="Appelnotedebasdep"/>
        </w:rPr>
        <w:footnoteRef/>
      </w:r>
      <w:r>
        <w:t xml:space="preserve"> </w:t>
      </w:r>
      <w:r w:rsidRPr="00421F87">
        <w:rPr>
          <w:rFonts w:ascii="Calibri" w:hAnsi="Calibri"/>
          <w:sz w:val="16"/>
          <w:szCs w:val="16"/>
          <w:lang w:val="en-CA"/>
        </w:rPr>
        <w:t xml:space="preserve">Bouché P., Lejeune P., Bailly V., Muyle M., Zinque M.H., Mercier A., Cornélis D., Lungren C., Portier B., Marchal A., Renault F., Yaméogo D., Kafando P., Sawadogo P.and C. Vermeulen (2016) Conserving wildlife amongst the cotton fields. A third of a century of experience at the Nazinga Game Ranch, Burkina Faso. </w:t>
      </w:r>
      <w:r w:rsidRPr="00D27B19">
        <w:rPr>
          <w:rFonts w:ascii="Calibri" w:hAnsi="Calibri"/>
          <w:sz w:val="16"/>
          <w:szCs w:val="16"/>
          <w:lang w:val="fr-CA"/>
        </w:rPr>
        <w:t>Environ. Monit. Assess. DOI 10.1007/s10661-016-5388-y.</w:t>
      </w:r>
    </w:p>
  </w:footnote>
  <w:footnote w:id="19">
    <w:p w14:paraId="378F2C45" w14:textId="77777777" w:rsidR="00ED1ADA" w:rsidRPr="00FF5454" w:rsidRDefault="00ED1ADA" w:rsidP="00E825E9">
      <w:pPr>
        <w:autoSpaceDE w:val="0"/>
        <w:autoSpaceDN w:val="0"/>
        <w:adjustRightInd w:val="0"/>
        <w:spacing w:after="0"/>
        <w:rPr>
          <w:sz w:val="16"/>
          <w:szCs w:val="16"/>
          <w:lang w:val="fr-CA"/>
        </w:rPr>
      </w:pPr>
      <w:r w:rsidRPr="00D61C93">
        <w:rPr>
          <w:rStyle w:val="Appelnotedebasdep"/>
          <w:sz w:val="16"/>
          <w:szCs w:val="16"/>
        </w:rPr>
        <w:footnoteRef/>
      </w:r>
      <w:r w:rsidRPr="00D61C93">
        <w:rPr>
          <w:sz w:val="16"/>
          <w:szCs w:val="16"/>
          <w:lang w:val="fr-CA"/>
        </w:rPr>
        <w:t xml:space="preserve"> Vermeulen and Michaux. 2007. </w:t>
      </w:r>
      <w:r w:rsidRPr="00D61C93">
        <w:rPr>
          <w:rFonts w:cs="AdvTT3713a231"/>
          <w:color w:val="131413"/>
          <w:sz w:val="16"/>
          <w:szCs w:val="16"/>
          <w:lang w:val="fr-CA"/>
        </w:rPr>
        <w:t>Les populations riveraines du Ranch de Nazinga: anthropologie politique, aménagement des terroirs et zones villageoises de chasse. In:W. Delvingt &amp; C. Vermeulen (Eds.), Nazinga.</w:t>
      </w:r>
    </w:p>
  </w:footnote>
  <w:footnote w:id="20">
    <w:p w14:paraId="434BC84E" w14:textId="77777777" w:rsidR="00ED1ADA" w:rsidRPr="00243B15" w:rsidRDefault="00ED1ADA" w:rsidP="00243B15">
      <w:pPr>
        <w:autoSpaceDE w:val="0"/>
        <w:autoSpaceDN w:val="0"/>
        <w:adjustRightInd w:val="0"/>
        <w:spacing w:after="0"/>
        <w:jc w:val="left"/>
        <w:rPr>
          <w:sz w:val="16"/>
          <w:szCs w:val="16"/>
          <w:lang w:val="fr-CA"/>
        </w:rPr>
      </w:pPr>
      <w:r w:rsidRPr="00243B15">
        <w:rPr>
          <w:rStyle w:val="Appelnotedebasdep"/>
          <w:rFonts w:ascii="Calibri" w:hAnsi="Calibri"/>
          <w:sz w:val="16"/>
          <w:szCs w:val="16"/>
        </w:rPr>
        <w:footnoteRef/>
      </w:r>
      <w:r w:rsidRPr="00243B15">
        <w:rPr>
          <w:sz w:val="16"/>
          <w:szCs w:val="16"/>
          <w:lang w:val="fr-CA"/>
        </w:rPr>
        <w:t xml:space="preserve"> </w:t>
      </w:r>
      <w:r w:rsidRPr="00243B15">
        <w:rPr>
          <w:rFonts w:eastAsiaTheme="minorHAnsi" w:cs="Roboto-Light"/>
          <w:sz w:val="16"/>
          <w:szCs w:val="16"/>
          <w:lang w:val="fr-CA"/>
        </w:rPr>
        <w:t xml:space="preserve">Boukary O. 2009. « Aménagement forestier et lutte contre la pauvreté au Burkina Faso » </w:t>
      </w:r>
      <w:r w:rsidRPr="00243B15">
        <w:rPr>
          <w:rFonts w:eastAsiaTheme="minorHAnsi" w:cs="Roboto-LightItalic"/>
          <w:i/>
          <w:iCs/>
          <w:sz w:val="16"/>
          <w:szCs w:val="16"/>
          <w:lang w:val="fr-CA"/>
        </w:rPr>
        <w:t xml:space="preserve">Développement durable et territoires </w:t>
      </w:r>
      <w:r w:rsidRPr="00243B15">
        <w:rPr>
          <w:rFonts w:eastAsiaTheme="minorHAnsi" w:cs="Roboto-Light"/>
          <w:sz w:val="16"/>
          <w:szCs w:val="16"/>
          <w:lang w:val="fr-CA"/>
        </w:rPr>
        <w:t>[, Varia (2004-2010), http://journals.openedition.org/developpementdurable/8215 ; DOI : 10.4000/developpementdurable.8215</w:t>
      </w:r>
    </w:p>
  </w:footnote>
  <w:footnote w:id="21">
    <w:p w14:paraId="4D503B2A" w14:textId="77777777" w:rsidR="00ED1ADA" w:rsidRPr="00243B15" w:rsidRDefault="00ED1ADA" w:rsidP="00243B15">
      <w:pPr>
        <w:autoSpaceDE w:val="0"/>
        <w:autoSpaceDN w:val="0"/>
        <w:adjustRightInd w:val="0"/>
        <w:spacing w:after="0"/>
        <w:jc w:val="left"/>
        <w:rPr>
          <w:rFonts w:asciiTheme="minorHAnsi" w:eastAsiaTheme="minorHAnsi" w:hAnsiTheme="minorHAnsi" w:cs="LMRoman10-Regular-Identity-H"/>
          <w:sz w:val="16"/>
          <w:szCs w:val="16"/>
          <w:lang w:val="fr-CA"/>
        </w:rPr>
      </w:pPr>
      <w:r w:rsidRPr="00243B15">
        <w:rPr>
          <w:rStyle w:val="Appelnotedebasdep"/>
          <w:rFonts w:asciiTheme="minorHAnsi" w:hAnsiTheme="minorHAnsi"/>
          <w:sz w:val="16"/>
          <w:szCs w:val="16"/>
        </w:rPr>
        <w:footnoteRef/>
      </w:r>
      <w:r w:rsidRPr="00243B15">
        <w:rPr>
          <w:rFonts w:asciiTheme="minorHAnsi" w:hAnsiTheme="minorHAnsi"/>
          <w:sz w:val="16"/>
          <w:szCs w:val="16"/>
          <w:lang w:val="fr-CA"/>
        </w:rPr>
        <w:t xml:space="preserve"> </w:t>
      </w:r>
      <w:r w:rsidRPr="00243B15">
        <w:rPr>
          <w:rFonts w:asciiTheme="minorHAnsi" w:eastAsiaTheme="minorHAnsi" w:hAnsiTheme="minorHAnsi" w:cs="LMRoman10-Regular-Identity-H"/>
          <w:sz w:val="16"/>
          <w:szCs w:val="16"/>
          <w:lang w:val="fr-CA"/>
        </w:rPr>
        <w:t>Gautier</w:t>
      </w:r>
      <w:r>
        <w:rPr>
          <w:rFonts w:asciiTheme="minorHAnsi" w:eastAsiaTheme="minorHAnsi" w:hAnsiTheme="minorHAnsi" w:cs="LMRoman10-Regular-Identity-H"/>
          <w:sz w:val="16"/>
          <w:szCs w:val="16"/>
          <w:lang w:val="fr-CA"/>
        </w:rPr>
        <w:t xml:space="preserve"> D.</w:t>
      </w:r>
      <w:r w:rsidRPr="00243B15">
        <w:rPr>
          <w:rFonts w:asciiTheme="minorHAnsi" w:eastAsiaTheme="minorHAnsi" w:hAnsiTheme="minorHAnsi" w:cs="LMRoman10-Regular-Identity-H"/>
          <w:sz w:val="16"/>
          <w:szCs w:val="16"/>
          <w:lang w:val="fr-CA"/>
        </w:rPr>
        <w:t>, A</w:t>
      </w:r>
      <w:r>
        <w:rPr>
          <w:rFonts w:asciiTheme="minorHAnsi" w:eastAsiaTheme="minorHAnsi" w:hAnsiTheme="minorHAnsi" w:cs="LMRoman10-Regular-Identity-H"/>
          <w:sz w:val="16"/>
          <w:szCs w:val="16"/>
          <w:lang w:val="fr-CA"/>
        </w:rPr>
        <w:t>.</w:t>
      </w:r>
      <w:r w:rsidRPr="00243B15">
        <w:rPr>
          <w:rFonts w:asciiTheme="minorHAnsi" w:eastAsiaTheme="minorHAnsi" w:hAnsiTheme="minorHAnsi" w:cs="LMRoman10-Regular-Identity-H"/>
          <w:sz w:val="16"/>
          <w:szCs w:val="16"/>
          <w:lang w:val="fr-CA"/>
        </w:rPr>
        <w:t xml:space="preserve"> Compaoré. </w:t>
      </w:r>
      <w:r>
        <w:rPr>
          <w:rFonts w:asciiTheme="minorHAnsi" w:eastAsiaTheme="minorHAnsi" w:hAnsiTheme="minorHAnsi" w:cs="LMRoman10-Regular-Identity-H"/>
          <w:sz w:val="16"/>
          <w:szCs w:val="16"/>
          <w:lang w:val="fr-CA"/>
        </w:rPr>
        <w:t xml:space="preserve">2006. </w:t>
      </w:r>
      <w:r w:rsidRPr="00243B15">
        <w:rPr>
          <w:rFonts w:asciiTheme="minorHAnsi" w:eastAsiaTheme="minorHAnsi" w:hAnsiTheme="minorHAnsi" w:cs="LMRoman10-Regular-Identity-H"/>
          <w:sz w:val="16"/>
          <w:szCs w:val="16"/>
          <w:lang w:val="fr-CA"/>
        </w:rPr>
        <w:t>Les populations locales face aux normes d’aménagement forestier en Afrique de l’Ouest. Mise en débat à partir du cas du Burkina Faso et du Mali. pp.63.</w:t>
      </w:r>
    </w:p>
  </w:footnote>
  <w:footnote w:id="22">
    <w:p w14:paraId="19FAAA81" w14:textId="77777777" w:rsidR="00ED1ADA" w:rsidRPr="00DD2F24" w:rsidRDefault="00ED1ADA" w:rsidP="00DD2F24">
      <w:pPr>
        <w:pStyle w:val="Notedebasdepage"/>
        <w:spacing w:after="0"/>
        <w:rPr>
          <w:rFonts w:asciiTheme="minorHAnsi" w:hAnsiTheme="minorHAnsi"/>
          <w:sz w:val="16"/>
          <w:szCs w:val="16"/>
          <w:lang w:val="en-CA"/>
        </w:rPr>
      </w:pPr>
      <w:r w:rsidRPr="00DD2F24">
        <w:rPr>
          <w:rStyle w:val="Appelnotedebasdep"/>
          <w:rFonts w:asciiTheme="minorHAnsi" w:hAnsiTheme="minorHAnsi"/>
          <w:sz w:val="16"/>
          <w:szCs w:val="16"/>
        </w:rPr>
        <w:footnoteRef/>
      </w:r>
      <w:r w:rsidRPr="00DD2F24">
        <w:rPr>
          <w:rFonts w:asciiTheme="minorHAnsi" w:hAnsiTheme="minorHAnsi"/>
          <w:sz w:val="16"/>
          <w:szCs w:val="16"/>
        </w:rPr>
        <w:t xml:space="preserve"> </w:t>
      </w:r>
      <w:r w:rsidRPr="00DD2F24">
        <w:rPr>
          <w:rFonts w:asciiTheme="minorHAnsi" w:hAnsiTheme="minorHAnsi"/>
          <w:sz w:val="16"/>
          <w:szCs w:val="16"/>
          <w:lang w:val="en-CA"/>
        </w:rPr>
        <w:t>Côté M. and D. Gauthier, 2018. Fuelwood territorialities: Chantier d’Aménagement Forestier and the reproduction of “political forests” in Burkina Faso. Geogr. Helv., 73, 165–175, https://doi.org/10.5194/gh-73-165-2018</w:t>
      </w:r>
    </w:p>
  </w:footnote>
  <w:footnote w:id="23">
    <w:p w14:paraId="406BCE16" w14:textId="77777777" w:rsidR="00ED1ADA" w:rsidRPr="007E21F2" w:rsidRDefault="00ED1ADA" w:rsidP="00302BFE">
      <w:pPr>
        <w:pStyle w:val="Notedebasdepage"/>
        <w:spacing w:after="0"/>
        <w:rPr>
          <w:rFonts w:ascii="Calibri" w:hAnsi="Calibri"/>
          <w:sz w:val="16"/>
          <w:szCs w:val="16"/>
        </w:rPr>
      </w:pPr>
      <w:r>
        <w:rPr>
          <w:rStyle w:val="Appelnotedebasdep"/>
          <w:rFonts w:ascii="Calibri" w:hAnsi="Calibri"/>
          <w:sz w:val="16"/>
          <w:szCs w:val="16"/>
        </w:rPr>
        <w:footnoteRef/>
      </w:r>
      <w:r w:rsidRPr="007E21F2">
        <w:rPr>
          <w:rFonts w:ascii="Calibri" w:hAnsi="Calibri"/>
          <w:sz w:val="16"/>
          <w:szCs w:val="16"/>
        </w:rPr>
        <w:t xml:space="preserve"> MECV 2007. Status of Classified Forests in Burkina Faso and Rehabilitation Plan</w:t>
      </w:r>
    </w:p>
  </w:footnote>
  <w:footnote w:id="24">
    <w:p w14:paraId="02CDF6D1" w14:textId="77777777" w:rsidR="00ED1ADA" w:rsidRPr="00B77F42" w:rsidRDefault="00ED1ADA" w:rsidP="00302BFE">
      <w:pPr>
        <w:pStyle w:val="Notedebasdepage"/>
        <w:spacing w:after="0"/>
        <w:rPr>
          <w:rFonts w:ascii="Calibri" w:hAnsi="Calibri"/>
          <w:sz w:val="16"/>
          <w:szCs w:val="16"/>
          <w:lang w:val="fr-CA"/>
        </w:rPr>
      </w:pPr>
      <w:r>
        <w:rPr>
          <w:rStyle w:val="Appelnotedebasdep"/>
          <w:rFonts w:ascii="Calibri" w:hAnsi="Calibri"/>
          <w:sz w:val="16"/>
          <w:szCs w:val="16"/>
        </w:rPr>
        <w:footnoteRef/>
      </w:r>
      <w:r w:rsidRPr="00B77F42">
        <w:rPr>
          <w:rFonts w:ascii="Calibri" w:hAnsi="Calibri"/>
          <w:sz w:val="16"/>
          <w:szCs w:val="16"/>
          <w:lang w:val="fr-CA"/>
        </w:rPr>
        <w:t xml:space="preserve"> FAO, 2012</w:t>
      </w:r>
    </w:p>
  </w:footnote>
  <w:footnote w:id="25">
    <w:p w14:paraId="328254B7" w14:textId="77777777" w:rsidR="00ED1ADA" w:rsidRPr="003824FD" w:rsidRDefault="00ED1ADA" w:rsidP="00302BFE">
      <w:pPr>
        <w:pStyle w:val="Notedebasdepage"/>
        <w:spacing w:after="0"/>
        <w:rPr>
          <w:rFonts w:ascii="Calibri" w:hAnsi="Calibri"/>
          <w:sz w:val="16"/>
          <w:szCs w:val="16"/>
          <w:lang w:val="fr-CA"/>
        </w:rPr>
      </w:pPr>
      <w:r w:rsidRPr="003824FD">
        <w:rPr>
          <w:rStyle w:val="Appelnotedebasdep"/>
          <w:rFonts w:ascii="Calibri" w:hAnsi="Calibri"/>
          <w:sz w:val="16"/>
          <w:szCs w:val="16"/>
        </w:rPr>
        <w:footnoteRef/>
      </w:r>
      <w:r w:rsidRPr="003824FD">
        <w:rPr>
          <w:rFonts w:ascii="Calibri" w:hAnsi="Calibri"/>
          <w:sz w:val="16"/>
          <w:szCs w:val="16"/>
          <w:lang w:val="fr-CA"/>
        </w:rPr>
        <w:t xml:space="preserve"> Institut National de la Statistique et de la Démographie (INSD) (2016). Statistiques économiques. Available at: http://www. insd.bf/n/index.php/indicateurs?id=63</w:t>
      </w:r>
    </w:p>
  </w:footnote>
  <w:footnote w:id="26">
    <w:p w14:paraId="3A92FD87" w14:textId="7A33B666" w:rsidR="00ED1ADA" w:rsidRPr="00FF5454" w:rsidRDefault="00ED1ADA" w:rsidP="00C01619">
      <w:pPr>
        <w:pStyle w:val="Notedebasdepage"/>
        <w:spacing w:after="0"/>
        <w:rPr>
          <w:rFonts w:asciiTheme="minorHAnsi" w:hAnsiTheme="minorHAnsi"/>
          <w:sz w:val="16"/>
          <w:szCs w:val="16"/>
          <w:lang w:val="en-CA"/>
        </w:rPr>
      </w:pPr>
      <w:r w:rsidRPr="000444D2">
        <w:rPr>
          <w:rStyle w:val="Appelnotedebasdep"/>
          <w:rFonts w:asciiTheme="minorHAnsi" w:hAnsiTheme="minorHAnsi"/>
          <w:sz w:val="16"/>
          <w:szCs w:val="16"/>
        </w:rPr>
        <w:footnoteRef/>
      </w:r>
      <w:r w:rsidRPr="00FF5454">
        <w:rPr>
          <w:rFonts w:asciiTheme="minorHAnsi" w:hAnsiTheme="minorHAnsi"/>
          <w:sz w:val="16"/>
          <w:szCs w:val="16"/>
          <w:lang w:val="en-CA"/>
        </w:rPr>
        <w:t xml:space="preserve"> SEONE </w:t>
      </w:r>
      <w:r w:rsidRPr="00FF5454">
        <w:rPr>
          <w:rFonts w:asciiTheme="minorHAnsi" w:hAnsiTheme="minorHAnsi"/>
          <w:i/>
          <w:sz w:val="16"/>
          <w:szCs w:val="16"/>
          <w:lang w:val="en-CA"/>
        </w:rPr>
        <w:t>et a</w:t>
      </w:r>
      <w:r w:rsidRPr="00FF5454">
        <w:rPr>
          <w:rFonts w:asciiTheme="minorHAnsi" w:hAnsiTheme="minorHAnsi"/>
          <w:sz w:val="16"/>
          <w:szCs w:val="16"/>
          <w:lang w:val="en-CA"/>
        </w:rPr>
        <w:t>l., 2018</w:t>
      </w:r>
    </w:p>
  </w:footnote>
  <w:footnote w:id="27">
    <w:p w14:paraId="081A67E1" w14:textId="0FA8D6D8" w:rsidR="00ED1ADA" w:rsidRPr="00FF5454" w:rsidRDefault="00ED1ADA" w:rsidP="00C01619">
      <w:pPr>
        <w:pStyle w:val="Notedebasdepage"/>
        <w:spacing w:after="0"/>
        <w:rPr>
          <w:rFonts w:asciiTheme="minorHAnsi" w:hAnsiTheme="minorHAnsi"/>
          <w:sz w:val="16"/>
          <w:szCs w:val="16"/>
          <w:lang w:val="en-CA"/>
        </w:rPr>
      </w:pPr>
      <w:r w:rsidRPr="00C01619">
        <w:rPr>
          <w:rStyle w:val="Appelnotedebasdep"/>
          <w:rFonts w:asciiTheme="minorHAnsi" w:hAnsiTheme="minorHAnsi"/>
          <w:sz w:val="16"/>
          <w:szCs w:val="16"/>
        </w:rPr>
        <w:footnoteRef/>
      </w:r>
      <w:r w:rsidRPr="00FF5454">
        <w:rPr>
          <w:rFonts w:asciiTheme="minorHAnsi" w:hAnsiTheme="minorHAnsi"/>
          <w:sz w:val="16"/>
          <w:szCs w:val="16"/>
          <w:lang w:val="en-CA"/>
        </w:rPr>
        <w:t xml:space="preserve"> </w:t>
      </w:r>
      <w:r w:rsidRPr="00C01619">
        <w:rPr>
          <w:rFonts w:asciiTheme="minorHAnsi" w:hAnsiTheme="minorHAnsi"/>
          <w:sz w:val="16"/>
          <w:szCs w:val="16"/>
          <w:lang w:val="en-GB"/>
        </w:rPr>
        <w:t>DGEAP, 2017, in PIF, 2018</w:t>
      </w:r>
    </w:p>
  </w:footnote>
  <w:footnote w:id="28">
    <w:p w14:paraId="4CF8D171" w14:textId="5C88BA66" w:rsidR="00ED1ADA" w:rsidRPr="00FF5454" w:rsidRDefault="00ED1ADA" w:rsidP="00090D3B">
      <w:pPr>
        <w:pStyle w:val="Notedebasdepage"/>
        <w:spacing w:after="0"/>
        <w:rPr>
          <w:rFonts w:ascii="Calibri" w:hAnsi="Calibri"/>
          <w:sz w:val="16"/>
          <w:szCs w:val="16"/>
          <w:lang w:val="en-CA"/>
        </w:rPr>
      </w:pPr>
      <w:r>
        <w:rPr>
          <w:rStyle w:val="Appelnotedebasdep"/>
          <w:rFonts w:ascii="Calibri" w:hAnsi="Calibri"/>
          <w:sz w:val="16"/>
          <w:szCs w:val="16"/>
        </w:rPr>
        <w:footnoteRef/>
      </w:r>
      <w:r w:rsidRPr="00FF5454">
        <w:rPr>
          <w:rFonts w:ascii="Calibri" w:hAnsi="Calibri"/>
          <w:sz w:val="16"/>
          <w:szCs w:val="16"/>
          <w:lang w:val="en-CA"/>
        </w:rPr>
        <w:t xml:space="preserve"> http://lefaso.net/spip.php?article 17381</w:t>
      </w:r>
    </w:p>
  </w:footnote>
  <w:footnote w:id="29">
    <w:p w14:paraId="0087A82F" w14:textId="77777777" w:rsidR="00ED1ADA" w:rsidRPr="00B43F59" w:rsidRDefault="00ED1ADA" w:rsidP="00090D3B">
      <w:pPr>
        <w:pStyle w:val="Notedebasdepage"/>
        <w:spacing w:after="0"/>
        <w:rPr>
          <w:rFonts w:ascii="Calibri" w:hAnsi="Calibri"/>
          <w:sz w:val="16"/>
          <w:szCs w:val="16"/>
          <w:lang w:val="en-CA"/>
        </w:rPr>
      </w:pPr>
      <w:r w:rsidRPr="00B43F59">
        <w:rPr>
          <w:rStyle w:val="Appelnotedebasdep"/>
          <w:rFonts w:ascii="Calibri" w:hAnsi="Calibri"/>
          <w:sz w:val="16"/>
          <w:szCs w:val="16"/>
        </w:rPr>
        <w:footnoteRef/>
      </w:r>
      <w:r w:rsidRPr="00B43F59">
        <w:rPr>
          <w:rFonts w:ascii="Calibri" w:hAnsi="Calibri"/>
          <w:sz w:val="16"/>
          <w:szCs w:val="16"/>
        </w:rPr>
        <w:t xml:space="preserve"> </w:t>
      </w:r>
      <w:r w:rsidRPr="00B43F59">
        <w:rPr>
          <w:rFonts w:ascii="Calibri" w:hAnsi="Calibri" w:cs="Calibri"/>
          <w:color w:val="000000"/>
          <w:sz w:val="16"/>
          <w:szCs w:val="16"/>
          <w:lang w:val="en-GB"/>
        </w:rPr>
        <w:t>ONDD/ SP CNDD/MEEVCC in PIF., 2018</w:t>
      </w:r>
    </w:p>
  </w:footnote>
  <w:footnote w:id="30">
    <w:p w14:paraId="6F4BB52A" w14:textId="77777777" w:rsidR="00ED1ADA" w:rsidRPr="003508F7" w:rsidRDefault="00ED1ADA" w:rsidP="00090D3B">
      <w:pPr>
        <w:pStyle w:val="Notedebasdepage"/>
        <w:spacing w:after="0"/>
        <w:rPr>
          <w:rFonts w:ascii="Calibri" w:eastAsia="Times New Roman" w:hAnsi="Calibri"/>
          <w:sz w:val="16"/>
          <w:szCs w:val="16"/>
          <w:lang w:val="it-IT" w:eastAsia="it-IT"/>
        </w:rPr>
      </w:pPr>
      <w:r w:rsidRPr="003508F7">
        <w:rPr>
          <w:rStyle w:val="Appelnotedebasdep"/>
          <w:rFonts w:ascii="Calibri" w:hAnsi="Calibri"/>
          <w:sz w:val="16"/>
          <w:szCs w:val="16"/>
        </w:rPr>
        <w:footnoteRef/>
      </w:r>
      <w:r w:rsidRPr="00FF5454">
        <w:rPr>
          <w:rFonts w:ascii="Calibri" w:hAnsi="Calibri"/>
          <w:sz w:val="16"/>
          <w:szCs w:val="16"/>
          <w:lang w:val="fr-CA"/>
        </w:rPr>
        <w:t xml:space="preserve"> </w:t>
      </w:r>
      <w:r w:rsidRPr="00FF5454">
        <w:rPr>
          <w:rFonts w:ascii="Calibri" w:hAnsi="Calibri" w:cs="Calibri"/>
          <w:sz w:val="16"/>
          <w:szCs w:val="16"/>
          <w:lang w:val="fr-CA"/>
        </w:rPr>
        <w:t>ONDD in PIF., 2018</w:t>
      </w:r>
    </w:p>
  </w:footnote>
  <w:footnote w:id="31">
    <w:p w14:paraId="4671FEE6" w14:textId="77777777" w:rsidR="00ED1ADA" w:rsidRPr="00FF5454" w:rsidRDefault="00ED1ADA" w:rsidP="00090D3B">
      <w:pPr>
        <w:pStyle w:val="Notedebasdepage"/>
        <w:spacing w:after="0"/>
        <w:rPr>
          <w:rFonts w:ascii="Calibri" w:hAnsi="Calibri"/>
          <w:sz w:val="16"/>
          <w:szCs w:val="16"/>
          <w:lang w:val="fr-CA"/>
        </w:rPr>
      </w:pPr>
      <w:r w:rsidRPr="003508F7">
        <w:rPr>
          <w:rStyle w:val="Appelnotedebasdep"/>
          <w:rFonts w:ascii="Calibri" w:hAnsi="Calibri"/>
          <w:sz w:val="16"/>
          <w:szCs w:val="16"/>
        </w:rPr>
        <w:footnoteRef/>
      </w:r>
      <w:r w:rsidRPr="00FF5454">
        <w:rPr>
          <w:rFonts w:ascii="Calibri" w:hAnsi="Calibri"/>
          <w:sz w:val="16"/>
          <w:szCs w:val="16"/>
          <w:lang w:val="fr-CA"/>
        </w:rPr>
        <w:t xml:space="preserve"> PNGT 2015</w:t>
      </w:r>
    </w:p>
  </w:footnote>
  <w:footnote w:id="32">
    <w:p w14:paraId="39B524AC" w14:textId="77777777" w:rsidR="00ED1ADA" w:rsidRPr="00BF2E9D" w:rsidRDefault="00ED1ADA" w:rsidP="00090D3B">
      <w:pPr>
        <w:autoSpaceDE w:val="0"/>
        <w:autoSpaceDN w:val="0"/>
        <w:adjustRightInd w:val="0"/>
        <w:spacing w:after="0"/>
        <w:jc w:val="left"/>
        <w:rPr>
          <w:rFonts w:asciiTheme="minorHAnsi" w:hAnsiTheme="minorHAnsi"/>
          <w:sz w:val="16"/>
          <w:szCs w:val="16"/>
          <w:lang w:val="en-CA"/>
        </w:rPr>
      </w:pPr>
      <w:r w:rsidRPr="00BF2E9D">
        <w:rPr>
          <w:rStyle w:val="Appelnotedebasdep"/>
          <w:rFonts w:asciiTheme="minorHAnsi" w:hAnsiTheme="minorHAnsi"/>
          <w:sz w:val="16"/>
          <w:szCs w:val="16"/>
        </w:rPr>
        <w:footnoteRef/>
      </w:r>
      <w:r w:rsidRPr="00FF5454">
        <w:rPr>
          <w:rFonts w:asciiTheme="minorHAnsi" w:hAnsiTheme="minorHAnsi"/>
          <w:sz w:val="16"/>
          <w:szCs w:val="16"/>
          <w:lang w:val="fr-CA"/>
        </w:rPr>
        <w:t xml:space="preserve"> Bouché et al. 2016. </w:t>
      </w:r>
      <w:r w:rsidRPr="00BF2E9D">
        <w:rPr>
          <w:rFonts w:asciiTheme="minorHAnsi" w:eastAsiaTheme="minorHAnsi" w:hAnsiTheme="minorHAnsi" w:cs="Martel-Regular"/>
          <w:sz w:val="16"/>
          <w:szCs w:val="16"/>
          <w:lang w:val="en-CA"/>
        </w:rPr>
        <w:t xml:space="preserve">Conserving wildlife amongst the cotton fields. A third of a century of experience at the Nazinga Game Ranch, Burkina Faso. </w:t>
      </w:r>
      <w:r w:rsidRPr="00FF5454">
        <w:rPr>
          <w:rFonts w:asciiTheme="minorHAnsi" w:eastAsiaTheme="minorHAnsi" w:hAnsiTheme="minorHAnsi" w:cs="SourceSansPro-Regular"/>
          <w:sz w:val="16"/>
          <w:szCs w:val="16"/>
          <w:lang w:val="en-CA"/>
        </w:rPr>
        <w:t>Environmental Monitoring and Assessment. DOI: 10.1007/s10661-016-5388-y.</w:t>
      </w:r>
    </w:p>
  </w:footnote>
  <w:footnote w:id="33">
    <w:p w14:paraId="1E4C9F7D" w14:textId="77777777" w:rsidR="00ED1ADA" w:rsidRDefault="00ED1ADA" w:rsidP="00090D3B">
      <w:pPr>
        <w:pStyle w:val="Notedebasdepage"/>
        <w:spacing w:after="0"/>
        <w:rPr>
          <w:rFonts w:ascii="Calibri" w:eastAsia="Calibri" w:hAnsi="Calibri"/>
          <w:sz w:val="16"/>
          <w:szCs w:val="16"/>
          <w:lang w:val="en-CA"/>
        </w:rPr>
      </w:pPr>
      <w:r>
        <w:rPr>
          <w:rStyle w:val="Appelnotedebasdep"/>
          <w:rFonts w:ascii="Calibri" w:hAnsi="Calibri"/>
          <w:sz w:val="16"/>
          <w:szCs w:val="16"/>
        </w:rPr>
        <w:footnoteRef/>
      </w:r>
      <w:r>
        <w:rPr>
          <w:rFonts w:ascii="Calibri" w:hAnsi="Calibri"/>
          <w:sz w:val="16"/>
          <w:szCs w:val="16"/>
          <w:lang w:val="en-CA"/>
        </w:rPr>
        <w:t xml:space="preserve"> Sama, 2016</w:t>
      </w:r>
    </w:p>
  </w:footnote>
  <w:footnote w:id="34">
    <w:p w14:paraId="034FEAC9" w14:textId="77777777" w:rsidR="00ED1ADA" w:rsidRPr="00FF5454" w:rsidRDefault="00ED1ADA" w:rsidP="00A037BE">
      <w:pPr>
        <w:pStyle w:val="Notedebasdepage"/>
        <w:spacing w:after="0"/>
        <w:rPr>
          <w:rFonts w:asciiTheme="minorHAnsi" w:hAnsiTheme="minorHAnsi"/>
          <w:sz w:val="16"/>
          <w:szCs w:val="16"/>
          <w:lang w:val="en-CA"/>
        </w:rPr>
      </w:pPr>
      <w:r w:rsidRPr="003F190A">
        <w:rPr>
          <w:rStyle w:val="Appelnotedebasdep"/>
          <w:rFonts w:asciiTheme="minorHAnsi" w:hAnsiTheme="minorHAnsi"/>
          <w:sz w:val="16"/>
          <w:szCs w:val="16"/>
        </w:rPr>
        <w:footnoteRef/>
      </w:r>
      <w:r w:rsidRPr="00FF5454">
        <w:rPr>
          <w:rFonts w:asciiTheme="minorHAnsi" w:hAnsiTheme="minorHAnsi"/>
          <w:sz w:val="16"/>
          <w:szCs w:val="16"/>
          <w:lang w:val="en-CA"/>
        </w:rPr>
        <w:t xml:space="preserve"> Forest Code (2011)</w:t>
      </w:r>
    </w:p>
  </w:footnote>
  <w:footnote w:id="35">
    <w:p w14:paraId="389B5CB1" w14:textId="77777777" w:rsidR="00ED1ADA" w:rsidRPr="0005200C" w:rsidRDefault="00ED1ADA" w:rsidP="00B22E63">
      <w:pPr>
        <w:pStyle w:val="Notedebasdepage"/>
        <w:spacing w:after="0"/>
        <w:rPr>
          <w:rFonts w:ascii="Calibri" w:hAnsi="Calibri"/>
          <w:sz w:val="16"/>
          <w:szCs w:val="16"/>
          <w:lang w:val="fr-CA"/>
        </w:rPr>
      </w:pPr>
      <w:r w:rsidRPr="0005200C">
        <w:rPr>
          <w:rStyle w:val="Appelnotedebasdep"/>
          <w:rFonts w:ascii="Calibri" w:hAnsi="Calibri"/>
          <w:sz w:val="16"/>
          <w:szCs w:val="16"/>
        </w:rPr>
        <w:footnoteRef/>
      </w:r>
      <w:r w:rsidRPr="0005200C">
        <w:rPr>
          <w:rFonts w:ascii="Calibri" w:hAnsi="Calibri"/>
          <w:sz w:val="16"/>
          <w:szCs w:val="16"/>
          <w:lang w:val="fr-CA"/>
        </w:rPr>
        <w:t xml:space="preserve"> Portier, B., Lungren, C.G. (2007). La faune et le ranching au Burkina Faso. In: W. Delvingt, C. Vermeulen (Eds.), Nazinga. Région Wallonne, Presse Agronomique de Gembloux, Nature+, APEFE, Ministère de l’Environnement et du Cadre de Vie (Burkina Faso), Gembloux and Ouagadougou. pp</w:t>
      </w:r>
      <w:r>
        <w:rPr>
          <w:rFonts w:ascii="Calibri" w:hAnsi="Calibri"/>
          <w:sz w:val="16"/>
          <w:szCs w:val="16"/>
          <w:lang w:val="fr-CA"/>
        </w:rPr>
        <w:t>.</w:t>
      </w:r>
      <w:r w:rsidRPr="0005200C">
        <w:rPr>
          <w:rFonts w:ascii="Calibri" w:hAnsi="Calibri"/>
          <w:sz w:val="16"/>
          <w:szCs w:val="16"/>
          <w:lang w:val="fr-CA"/>
        </w:rPr>
        <w:t xml:space="preserve"> 33–44.</w:t>
      </w:r>
    </w:p>
  </w:footnote>
  <w:footnote w:id="36">
    <w:p w14:paraId="3BEA7E2E" w14:textId="77777777" w:rsidR="00ED1ADA" w:rsidRPr="00FF5454" w:rsidRDefault="00ED1ADA" w:rsidP="00A037BE">
      <w:pPr>
        <w:pStyle w:val="Notedebasdepage"/>
        <w:spacing w:after="0"/>
        <w:rPr>
          <w:rFonts w:ascii="Calibri" w:hAnsi="Calibri"/>
          <w:sz w:val="16"/>
          <w:szCs w:val="16"/>
          <w:lang w:val="fr-CA"/>
        </w:rPr>
      </w:pPr>
      <w:r w:rsidRPr="003824FD">
        <w:rPr>
          <w:rStyle w:val="Appelnotedebasdep"/>
          <w:rFonts w:ascii="Calibri" w:hAnsi="Calibri"/>
          <w:sz w:val="16"/>
          <w:szCs w:val="16"/>
        </w:rPr>
        <w:footnoteRef/>
      </w:r>
      <w:r w:rsidRPr="003824FD">
        <w:rPr>
          <w:rFonts w:ascii="Calibri" w:hAnsi="Calibri"/>
          <w:sz w:val="16"/>
          <w:szCs w:val="16"/>
          <w:lang w:val="en-CA"/>
        </w:rPr>
        <w:t xml:space="preserve"> Bouché P., Lejeune P., Bailly V., Muyle M., Zinque M.H., Mercier A., Cornélis D., Lungren C., Portier B., Marchal A., Renault F., Yaméogo D., Kafando P., Sawadogo P.and C. Vermeulen (2016) Conserving wildlife amongst the cotton fields. A third of a century of experience at the Nazinga Game Ranch, Burkina Faso. </w:t>
      </w:r>
      <w:r w:rsidRPr="00FF5454">
        <w:rPr>
          <w:rFonts w:ascii="Calibri" w:hAnsi="Calibri"/>
          <w:sz w:val="16"/>
          <w:szCs w:val="16"/>
          <w:lang w:val="fr-CA"/>
        </w:rPr>
        <w:t>Environ. Monit. Assess. DOI 10.1007/s10661-016-5388-y.</w:t>
      </w:r>
    </w:p>
  </w:footnote>
  <w:footnote w:id="37">
    <w:p w14:paraId="02D1E7D6" w14:textId="77777777" w:rsidR="00ED1ADA" w:rsidRPr="000C0407" w:rsidRDefault="00ED1ADA" w:rsidP="007815F6">
      <w:pPr>
        <w:autoSpaceDE w:val="0"/>
        <w:autoSpaceDN w:val="0"/>
        <w:adjustRightInd w:val="0"/>
        <w:spacing w:after="0"/>
        <w:rPr>
          <w:rFonts w:asciiTheme="minorHAnsi" w:hAnsiTheme="minorHAnsi" w:cstheme="minorBidi"/>
          <w:sz w:val="16"/>
          <w:szCs w:val="16"/>
          <w:lang w:val="fr-CA"/>
        </w:rPr>
      </w:pPr>
      <w:r w:rsidRPr="000C0407">
        <w:rPr>
          <w:rStyle w:val="Appelnotedebasdep"/>
          <w:rFonts w:asciiTheme="minorHAnsi" w:hAnsiTheme="minorHAnsi"/>
          <w:sz w:val="16"/>
          <w:szCs w:val="16"/>
        </w:rPr>
        <w:footnoteRef/>
      </w:r>
      <w:r w:rsidRPr="000C0407">
        <w:rPr>
          <w:rFonts w:asciiTheme="minorHAnsi" w:hAnsiTheme="minorHAnsi"/>
          <w:sz w:val="16"/>
          <w:szCs w:val="16"/>
          <w:lang w:val="fr-CA"/>
        </w:rPr>
        <w:t xml:space="preserve"> Ouedraogo, M. 2005. </w:t>
      </w:r>
      <w:r w:rsidRPr="000C0407">
        <w:rPr>
          <w:rFonts w:asciiTheme="minorHAnsi" w:hAnsiTheme="minorHAnsi" w:cs="AdvTT3713a231"/>
          <w:color w:val="131413"/>
          <w:sz w:val="16"/>
          <w:szCs w:val="16"/>
          <w:lang w:val="fr-CA"/>
        </w:rPr>
        <w:t>Régulation de la dynamique des populations de buffles (</w:t>
      </w:r>
      <w:r w:rsidRPr="000C0407">
        <w:rPr>
          <w:rFonts w:asciiTheme="minorHAnsi" w:hAnsiTheme="minorHAnsi" w:cs="AdvTT50a2f13e.I"/>
          <w:i/>
          <w:color w:val="131413"/>
          <w:sz w:val="16"/>
          <w:szCs w:val="16"/>
          <w:lang w:val="fr-CA"/>
        </w:rPr>
        <w:t>Syncerus caffer</w:t>
      </w:r>
      <w:r w:rsidRPr="000C0407">
        <w:rPr>
          <w:rFonts w:asciiTheme="minorHAnsi" w:hAnsiTheme="minorHAnsi" w:cs="AdvTT50a2f13e.I"/>
          <w:color w:val="131413"/>
          <w:sz w:val="16"/>
          <w:szCs w:val="16"/>
          <w:lang w:val="fr-CA"/>
        </w:rPr>
        <w:t xml:space="preserve"> </w:t>
      </w:r>
      <w:r w:rsidRPr="000C0407">
        <w:rPr>
          <w:rFonts w:asciiTheme="minorHAnsi" w:hAnsiTheme="minorHAnsi" w:cs="AdvTT3713a231"/>
          <w:color w:val="131413"/>
          <w:sz w:val="16"/>
          <w:szCs w:val="16"/>
          <w:lang w:val="fr-CA"/>
        </w:rPr>
        <w:t>Sparrman) et de Waterbucks (</w:t>
      </w:r>
      <w:r w:rsidRPr="000C0407">
        <w:rPr>
          <w:rFonts w:asciiTheme="minorHAnsi" w:hAnsiTheme="minorHAnsi" w:cs="AdvTT50a2f13e.I"/>
          <w:i/>
          <w:color w:val="131413"/>
          <w:sz w:val="16"/>
          <w:szCs w:val="16"/>
          <w:lang w:val="fr-CA"/>
        </w:rPr>
        <w:t>Kobus</w:t>
      </w:r>
      <w:r w:rsidRPr="000C0407">
        <w:rPr>
          <w:rFonts w:asciiTheme="minorHAnsi" w:hAnsiTheme="minorHAnsi" w:cs="AdvTT50a2f13e.I"/>
          <w:color w:val="131413"/>
          <w:sz w:val="16"/>
          <w:szCs w:val="16"/>
          <w:lang w:val="fr-CA"/>
        </w:rPr>
        <w:t xml:space="preserve"> </w:t>
      </w:r>
      <w:r w:rsidRPr="000C0407">
        <w:rPr>
          <w:rFonts w:asciiTheme="minorHAnsi" w:hAnsiTheme="minorHAnsi" w:cs="AdvTT50a2f13e.I"/>
          <w:i/>
          <w:color w:val="131413"/>
          <w:sz w:val="16"/>
          <w:szCs w:val="16"/>
          <w:lang w:val="fr-CA"/>
        </w:rPr>
        <w:t>ellipsiprymnus</w:t>
      </w:r>
      <w:r w:rsidRPr="000C0407">
        <w:rPr>
          <w:rFonts w:asciiTheme="minorHAnsi" w:hAnsiTheme="minorHAnsi" w:cs="AdvTT50a2f13e.I"/>
          <w:color w:val="131413"/>
          <w:sz w:val="16"/>
          <w:szCs w:val="16"/>
          <w:lang w:val="fr-CA"/>
        </w:rPr>
        <w:t xml:space="preserve"> </w:t>
      </w:r>
      <w:r w:rsidRPr="000C0407">
        <w:rPr>
          <w:rFonts w:asciiTheme="minorHAnsi" w:hAnsiTheme="minorHAnsi" w:cs="AdvTT3713a231"/>
          <w:color w:val="131413"/>
          <w:sz w:val="16"/>
          <w:szCs w:val="16"/>
          <w:lang w:val="fr-CA"/>
        </w:rPr>
        <w:t xml:space="preserve">Ogilby) et moyens de gestion à mettre en </w:t>
      </w:r>
      <w:r w:rsidRPr="000C0407">
        <w:rPr>
          <w:rFonts w:asciiTheme="minorHAnsi" w:hAnsiTheme="minorHAnsi" w:cs="AdvTT3713a231+01"/>
          <w:color w:val="131413"/>
          <w:sz w:val="16"/>
          <w:szCs w:val="16"/>
          <w:lang w:val="fr-CA"/>
        </w:rPr>
        <w:t>œu</w:t>
      </w:r>
      <w:r w:rsidRPr="000C0407">
        <w:rPr>
          <w:rFonts w:asciiTheme="minorHAnsi" w:hAnsiTheme="minorHAnsi" w:cs="AdvTT3713a231"/>
          <w:color w:val="131413"/>
          <w:sz w:val="16"/>
          <w:szCs w:val="16"/>
          <w:lang w:val="fr-CA"/>
        </w:rPr>
        <w:t>vre pour préserver l</w:t>
      </w:r>
      <w:r w:rsidRPr="000C0407">
        <w:rPr>
          <w:rFonts w:asciiTheme="minorHAnsi" w:hAnsiTheme="minorHAnsi" w:cs="AdvTT3713a231+20"/>
          <w:color w:val="131413"/>
          <w:sz w:val="16"/>
          <w:szCs w:val="16"/>
          <w:lang w:val="fr-CA"/>
        </w:rPr>
        <w:t>’</w:t>
      </w:r>
      <w:r w:rsidRPr="000C0407">
        <w:rPr>
          <w:rFonts w:asciiTheme="minorHAnsi" w:hAnsiTheme="minorHAnsi" w:cs="AdvTT3713a231"/>
          <w:color w:val="131413"/>
          <w:sz w:val="16"/>
          <w:szCs w:val="16"/>
          <w:lang w:val="fr-CA"/>
        </w:rPr>
        <w:t>équilibre des communautés végétales dans le ranch de Nazinga (Burkina Faso). (PhD dissertation).</w:t>
      </w:r>
    </w:p>
  </w:footnote>
  <w:footnote w:id="38">
    <w:p w14:paraId="49B7BD2E" w14:textId="77777777" w:rsidR="00ED1ADA" w:rsidRPr="00A037BE" w:rsidRDefault="00ED1ADA" w:rsidP="007815F6">
      <w:pPr>
        <w:pStyle w:val="Notedebasdepage"/>
        <w:spacing w:after="0"/>
        <w:rPr>
          <w:rFonts w:asciiTheme="minorHAnsi" w:hAnsiTheme="minorHAnsi"/>
          <w:sz w:val="16"/>
          <w:szCs w:val="16"/>
          <w:lang w:val="fr-CA"/>
        </w:rPr>
      </w:pPr>
      <w:r w:rsidRPr="000C0407">
        <w:rPr>
          <w:rStyle w:val="Appelnotedebasdep"/>
          <w:rFonts w:asciiTheme="minorHAnsi" w:hAnsiTheme="minorHAnsi"/>
          <w:sz w:val="16"/>
          <w:szCs w:val="16"/>
        </w:rPr>
        <w:footnoteRef/>
      </w:r>
      <w:r w:rsidRPr="000C0407">
        <w:rPr>
          <w:rFonts w:asciiTheme="minorHAnsi" w:hAnsiTheme="minorHAnsi"/>
          <w:sz w:val="16"/>
          <w:szCs w:val="16"/>
          <w:lang w:val="fr-CA"/>
        </w:rPr>
        <w:t xml:space="preserve"> Bouché Ph. 2011. Inventaire des grands mammifères de la Forêt Classée et Ranch de Gibier de Nazinga. </w:t>
      </w:r>
      <w:r w:rsidRPr="00A037BE">
        <w:rPr>
          <w:rFonts w:asciiTheme="minorHAnsi" w:hAnsiTheme="minorHAnsi"/>
          <w:sz w:val="16"/>
          <w:szCs w:val="16"/>
          <w:lang w:val="fr-CA"/>
        </w:rPr>
        <w:t>Burkina Faso. OFINAP Ranch de Gibier de Nazinga. ULg-Gembloux Agro Bio-Tech.</w:t>
      </w:r>
    </w:p>
  </w:footnote>
  <w:footnote w:id="39">
    <w:p w14:paraId="138A75B0" w14:textId="77777777" w:rsidR="00ED1ADA" w:rsidRPr="00A037BE" w:rsidRDefault="00ED1ADA" w:rsidP="00A037BE">
      <w:pPr>
        <w:pStyle w:val="Notedebasdepage"/>
        <w:spacing w:after="0"/>
        <w:rPr>
          <w:rFonts w:ascii="Calibri" w:hAnsi="Calibri"/>
          <w:sz w:val="16"/>
          <w:szCs w:val="16"/>
          <w:lang w:val="fr-CA"/>
        </w:rPr>
      </w:pPr>
      <w:r w:rsidRPr="003824FD">
        <w:rPr>
          <w:rStyle w:val="Appelnotedebasdep"/>
          <w:rFonts w:ascii="Calibri" w:hAnsi="Calibri"/>
          <w:sz w:val="16"/>
          <w:szCs w:val="16"/>
        </w:rPr>
        <w:footnoteRef/>
      </w:r>
      <w:r w:rsidRPr="00A037BE">
        <w:rPr>
          <w:rFonts w:ascii="Calibri" w:hAnsi="Calibri"/>
          <w:sz w:val="16"/>
          <w:szCs w:val="16"/>
          <w:lang w:val="fr-CA"/>
        </w:rPr>
        <w:t xml:space="preserve"> ibid.</w:t>
      </w:r>
    </w:p>
  </w:footnote>
  <w:footnote w:id="40">
    <w:p w14:paraId="2C63EE8C" w14:textId="77777777" w:rsidR="00ED1ADA" w:rsidRPr="00066BE7" w:rsidRDefault="00ED1ADA" w:rsidP="00302BFE">
      <w:pPr>
        <w:pStyle w:val="Notedebasdepage"/>
        <w:tabs>
          <w:tab w:val="left" w:pos="1560"/>
        </w:tabs>
        <w:spacing w:after="0"/>
        <w:rPr>
          <w:rFonts w:ascii="Calibri" w:hAnsi="Calibri"/>
          <w:sz w:val="16"/>
          <w:szCs w:val="16"/>
        </w:rPr>
      </w:pPr>
      <w:r w:rsidRPr="00066BE7">
        <w:rPr>
          <w:rStyle w:val="Appelnotedebasdep"/>
          <w:rFonts w:ascii="Calibri" w:hAnsi="Calibri"/>
          <w:sz w:val="16"/>
          <w:szCs w:val="16"/>
        </w:rPr>
        <w:footnoteRef/>
      </w:r>
      <w:r w:rsidRPr="00A037BE">
        <w:rPr>
          <w:rFonts w:ascii="Calibri" w:hAnsi="Calibri"/>
          <w:sz w:val="16"/>
          <w:szCs w:val="16"/>
          <w:lang w:val="fr-CA"/>
        </w:rPr>
        <w:t xml:space="preserve"> Bouché P., Lejeune P., Bailly V., Muyle M., Zinque M.H., Mercier A., Cornélis D., Lungren C., Portier B., Marchal A., Renault F., Yaméogo D., Kafando P., Sawadogo P.and C. Vermeulen (2016) Conserving wildlife amongst the cotton fields. </w:t>
      </w:r>
      <w:r w:rsidRPr="00066BE7">
        <w:rPr>
          <w:rFonts w:ascii="Calibri" w:hAnsi="Calibri"/>
          <w:sz w:val="16"/>
          <w:szCs w:val="16"/>
          <w:lang w:val="en-CA"/>
        </w:rPr>
        <w:t xml:space="preserve">A third of a century of experience at the Nazinga Game Ranch, Burkina Faso. Environ. </w:t>
      </w:r>
      <w:r w:rsidRPr="00066BE7">
        <w:rPr>
          <w:rFonts w:ascii="Calibri" w:hAnsi="Calibri"/>
          <w:sz w:val="16"/>
          <w:szCs w:val="16"/>
        </w:rPr>
        <w:t xml:space="preserve">Monit. </w:t>
      </w:r>
      <w:r w:rsidRPr="00066BE7">
        <w:rPr>
          <w:rFonts w:ascii="Calibri" w:hAnsi="Calibri"/>
          <w:sz w:val="16"/>
          <w:szCs w:val="16"/>
          <w:lang w:val="en-CA"/>
        </w:rPr>
        <w:t>Assess. DOI 10.1007/s10661-016-5388-y.</w:t>
      </w:r>
    </w:p>
  </w:footnote>
  <w:footnote w:id="41">
    <w:p w14:paraId="10C346E1" w14:textId="77777777" w:rsidR="00ED1ADA" w:rsidRPr="007F4D35" w:rsidRDefault="00ED1ADA" w:rsidP="001B7D4D">
      <w:pPr>
        <w:pStyle w:val="Notedebasdepage"/>
        <w:spacing w:after="0"/>
        <w:rPr>
          <w:rFonts w:ascii="Calibri" w:hAnsi="Calibri"/>
          <w:sz w:val="16"/>
          <w:szCs w:val="16"/>
          <w:lang w:val="en-CA"/>
        </w:rPr>
      </w:pPr>
      <w:r w:rsidRPr="007F4D35">
        <w:rPr>
          <w:rStyle w:val="Appelnotedebasdep"/>
          <w:rFonts w:ascii="Calibri" w:hAnsi="Calibri"/>
          <w:sz w:val="16"/>
          <w:szCs w:val="16"/>
        </w:rPr>
        <w:footnoteRef/>
      </w:r>
      <w:r w:rsidRPr="007F4D35">
        <w:rPr>
          <w:rFonts w:ascii="Calibri" w:hAnsi="Calibri"/>
          <w:sz w:val="16"/>
          <w:szCs w:val="16"/>
          <w:lang w:val="en-CA"/>
        </w:rPr>
        <w:t xml:space="preserve"> Freeman, O. E., L.A. Duguma and P.A. Minang. 2015. Operationalizing the integrated landscape approach in practice. Ecology and Society 20:24</w:t>
      </w:r>
    </w:p>
  </w:footnote>
  <w:footnote w:id="42">
    <w:p w14:paraId="2E82ED4C" w14:textId="77777777" w:rsidR="00ED1ADA" w:rsidRPr="000D4277" w:rsidRDefault="00ED1ADA" w:rsidP="000D4277">
      <w:pPr>
        <w:autoSpaceDE w:val="0"/>
        <w:autoSpaceDN w:val="0"/>
        <w:adjustRightInd w:val="0"/>
        <w:spacing w:after="0"/>
        <w:rPr>
          <w:rFonts w:asciiTheme="minorHAnsi" w:hAnsiTheme="minorHAnsi"/>
          <w:sz w:val="16"/>
          <w:szCs w:val="16"/>
          <w:lang w:val="en-CA"/>
        </w:rPr>
      </w:pPr>
      <w:r w:rsidRPr="006738ED">
        <w:rPr>
          <w:rStyle w:val="Appelnotedebasdep"/>
          <w:sz w:val="16"/>
          <w:szCs w:val="16"/>
        </w:rPr>
        <w:footnoteRef/>
      </w:r>
      <w:r w:rsidRPr="006738ED">
        <w:rPr>
          <w:sz w:val="16"/>
          <w:szCs w:val="16"/>
        </w:rPr>
        <w:t xml:space="preserve"> </w:t>
      </w:r>
      <w:r w:rsidRPr="000D4277">
        <w:rPr>
          <w:rFonts w:asciiTheme="minorHAnsi" w:eastAsia="HelveticaNeue-Light" w:hAnsiTheme="minorHAnsi"/>
          <w:sz w:val="16"/>
          <w:szCs w:val="16"/>
        </w:rPr>
        <w:t xml:space="preserve">Neugarten, R.A., Langhammer, P.F., Osipova, E., Bagstad, K.J., Bhagabati, N., Butchart, S.H.M., Dudley, N., Elliott, V., Gerber, L.R., Gutierrez Arrellano, C., Ivanić, K.-Z., Kettunen, M., Mandle, L., Merriman, J.C., </w:t>
      </w:r>
      <w:r w:rsidRPr="000D4277">
        <w:rPr>
          <w:rFonts w:asciiTheme="minorHAnsi" w:eastAsia="HelveticaNeue-Light" w:hAnsiTheme="minorHAnsi"/>
          <w:sz w:val="16"/>
          <w:szCs w:val="16"/>
          <w:lang w:val="en-CA"/>
        </w:rPr>
        <w:t xml:space="preserve">Mulligan, M., Peh, K.S.-H., Raudsepp-Hearne, C., Semmens, D.J., Stolton, S., Willcock, S. (2018). </w:t>
      </w:r>
      <w:r w:rsidRPr="000D4277">
        <w:rPr>
          <w:rFonts w:asciiTheme="minorHAnsi" w:eastAsia="HelveticaNeue-Light" w:hAnsiTheme="minorHAnsi"/>
          <w:i/>
          <w:iCs/>
          <w:sz w:val="16"/>
          <w:szCs w:val="16"/>
          <w:lang w:val="en-CA"/>
        </w:rPr>
        <w:t>Tools for measuring, modelling, and valuing ecosystem services: Guidance for Key Biodiversity Areas, natural World Heritage Sites, and protected areas</w:t>
      </w:r>
      <w:r w:rsidRPr="000D4277">
        <w:rPr>
          <w:rFonts w:asciiTheme="minorHAnsi" w:eastAsia="HelveticaNeue-Light" w:hAnsiTheme="minorHAnsi"/>
          <w:sz w:val="16"/>
          <w:szCs w:val="16"/>
          <w:lang w:val="en-CA"/>
        </w:rPr>
        <w:t>. Gland, Switzerland: IUCN. x + 70pp</w:t>
      </w:r>
      <w:r w:rsidRPr="000D4277">
        <w:rPr>
          <w:rFonts w:asciiTheme="minorHAnsi" w:eastAsia="HelveticaNeue-Light" w:hAnsiTheme="minorHAnsi" w:cs="HelveticaNeue-Light"/>
          <w:sz w:val="16"/>
          <w:szCs w:val="16"/>
          <w:lang w:val="en-CA"/>
        </w:rPr>
        <w:t>.</w:t>
      </w:r>
    </w:p>
  </w:footnote>
  <w:footnote w:id="43">
    <w:p w14:paraId="6FD641FE" w14:textId="77777777" w:rsidR="00ED1ADA" w:rsidRPr="000D4277" w:rsidRDefault="00ED1ADA" w:rsidP="000D4277">
      <w:pPr>
        <w:pStyle w:val="Notedebasdepage"/>
        <w:spacing w:after="0"/>
        <w:rPr>
          <w:rFonts w:asciiTheme="minorHAnsi" w:eastAsia="HelveticaNeue-Light" w:hAnsiTheme="minorHAnsi"/>
          <w:sz w:val="16"/>
          <w:szCs w:val="16"/>
        </w:rPr>
      </w:pPr>
      <w:r w:rsidRPr="000D4277">
        <w:rPr>
          <w:rStyle w:val="Appelnotedebasdep"/>
          <w:rFonts w:asciiTheme="minorHAnsi" w:hAnsiTheme="minorHAnsi"/>
          <w:sz w:val="16"/>
          <w:szCs w:val="16"/>
        </w:rPr>
        <w:footnoteRef/>
      </w:r>
      <w:r w:rsidRPr="000D4277">
        <w:rPr>
          <w:rFonts w:asciiTheme="minorHAnsi" w:hAnsiTheme="minorHAnsi"/>
          <w:sz w:val="16"/>
          <w:szCs w:val="16"/>
        </w:rPr>
        <w:t xml:space="preserve"> </w:t>
      </w:r>
      <w:r w:rsidRPr="000D4277">
        <w:rPr>
          <w:rFonts w:asciiTheme="minorHAnsi" w:eastAsia="HelveticaNeue-Light" w:hAnsiTheme="minorHAnsi"/>
          <w:sz w:val="16"/>
          <w:szCs w:val="16"/>
        </w:rPr>
        <w:t>Peh K.S.H., Balmford A.P., Bradbury R.B., Brown C., Butchart S.H.M., Hughes F.M.R., MacDonald M.A, Stattersfield A.J., Thomas D.H.L., Trevelyan R.J., Walpole M. &amp; Merriman J.C. (2017) Toolkit for Ecosystem Service Site-based Assessment (TESSA). Version 2.0 Cambridge, UK. Available at: http://tessa.tools</w:t>
      </w:r>
    </w:p>
  </w:footnote>
  <w:footnote w:id="44">
    <w:p w14:paraId="09AE8EC2" w14:textId="77777777" w:rsidR="00ED1ADA" w:rsidRPr="006040D6" w:rsidRDefault="00ED1ADA" w:rsidP="001B7D4D">
      <w:pPr>
        <w:pStyle w:val="Notedebasdepage"/>
        <w:spacing w:after="0"/>
        <w:rPr>
          <w:rFonts w:ascii="Calibri" w:hAnsi="Calibri"/>
          <w:sz w:val="16"/>
          <w:szCs w:val="16"/>
          <w:lang w:val="en-CA"/>
        </w:rPr>
      </w:pPr>
      <w:r w:rsidRPr="006040D6">
        <w:rPr>
          <w:rStyle w:val="Appelnotedebasdep"/>
          <w:sz w:val="16"/>
          <w:szCs w:val="16"/>
        </w:rPr>
        <w:footnoteRef/>
      </w:r>
      <w:r w:rsidRPr="006040D6">
        <w:rPr>
          <w:rFonts w:ascii="Calibri" w:hAnsi="Calibri"/>
          <w:sz w:val="16"/>
          <w:szCs w:val="16"/>
          <w:lang w:val="en-CA"/>
        </w:rPr>
        <w:t xml:space="preserve"> UNFCCC. 2015. Measurements for Estimation of Carbon Stocks in Afforestation and Reforestation Project Activities under the Clean Development Mechanism: A </w:t>
      </w:r>
      <w:r>
        <w:rPr>
          <w:rFonts w:ascii="Calibri" w:hAnsi="Calibri"/>
          <w:sz w:val="16"/>
          <w:szCs w:val="16"/>
          <w:lang w:val="en-CA"/>
        </w:rPr>
        <w:t>Field</w:t>
      </w:r>
      <w:r w:rsidRPr="006040D6">
        <w:rPr>
          <w:rFonts w:ascii="Calibri" w:hAnsi="Calibri"/>
          <w:sz w:val="16"/>
          <w:szCs w:val="16"/>
          <w:lang w:val="en-CA"/>
        </w:rPr>
        <w:t xml:space="preserve"> Manual.</w:t>
      </w:r>
    </w:p>
  </w:footnote>
  <w:footnote w:id="45">
    <w:p w14:paraId="08A76818" w14:textId="77777777" w:rsidR="00ED1ADA" w:rsidRPr="00C1276E" w:rsidRDefault="00ED1ADA" w:rsidP="00302BFE">
      <w:pPr>
        <w:pStyle w:val="Notedebasdepage"/>
        <w:spacing w:after="0"/>
        <w:rPr>
          <w:rFonts w:ascii="Calibri" w:hAnsi="Calibri"/>
          <w:sz w:val="16"/>
          <w:szCs w:val="16"/>
          <w:lang w:val="en-GB"/>
        </w:rPr>
      </w:pPr>
      <w:r w:rsidRPr="0076740F">
        <w:rPr>
          <w:rStyle w:val="Appelnotedebasdep"/>
          <w:sz w:val="16"/>
          <w:szCs w:val="16"/>
        </w:rPr>
        <w:footnoteRef/>
      </w:r>
      <w:r w:rsidRPr="00DB6203">
        <w:rPr>
          <w:rFonts w:ascii="Calibri" w:hAnsi="Calibri"/>
          <w:sz w:val="16"/>
          <w:szCs w:val="16"/>
          <w:lang w:val="en-CA"/>
        </w:rPr>
        <w:t xml:space="preserve"> </w:t>
      </w:r>
      <w:r w:rsidRPr="00C1276E">
        <w:rPr>
          <w:rFonts w:ascii="Calibri" w:hAnsi="Calibri"/>
          <w:sz w:val="16"/>
          <w:szCs w:val="16"/>
          <w:lang w:val="en-GB"/>
        </w:rPr>
        <w:t>Which are not operational so far</w:t>
      </w:r>
      <w:r>
        <w:rPr>
          <w:rFonts w:ascii="Calibri" w:hAnsi="Calibri"/>
          <w:sz w:val="16"/>
          <w:szCs w:val="16"/>
          <w:lang w:val="en-GB"/>
        </w:rPr>
        <w:t>.</w:t>
      </w:r>
    </w:p>
  </w:footnote>
  <w:footnote w:id="46">
    <w:p w14:paraId="19511C5D" w14:textId="77777777" w:rsidR="00ED1ADA" w:rsidRPr="00C1276E" w:rsidRDefault="00ED1ADA" w:rsidP="00302BFE">
      <w:pPr>
        <w:pStyle w:val="Notedebasdepage"/>
        <w:spacing w:after="0"/>
        <w:rPr>
          <w:rFonts w:ascii="Calibri" w:hAnsi="Calibri"/>
          <w:sz w:val="16"/>
          <w:szCs w:val="16"/>
          <w:lang w:val="en-GB"/>
        </w:rPr>
      </w:pPr>
      <w:r w:rsidRPr="00C1276E">
        <w:rPr>
          <w:rStyle w:val="Appelnotedebasdep"/>
          <w:sz w:val="16"/>
          <w:szCs w:val="16"/>
        </w:rPr>
        <w:footnoteRef/>
      </w:r>
      <w:r w:rsidRPr="00C1276E">
        <w:rPr>
          <w:rFonts w:ascii="Calibri" w:hAnsi="Calibri"/>
          <w:sz w:val="16"/>
          <w:szCs w:val="16"/>
          <w:lang w:val="en-GB"/>
        </w:rPr>
        <w:t xml:space="preserve"> Burkina Faso has </w:t>
      </w:r>
      <w:r>
        <w:rPr>
          <w:rFonts w:ascii="Calibri" w:hAnsi="Calibri"/>
          <w:sz w:val="16"/>
          <w:szCs w:val="16"/>
          <w:lang w:val="en-GB"/>
        </w:rPr>
        <w:t>registered</w:t>
      </w:r>
      <w:r w:rsidRPr="00C1276E">
        <w:rPr>
          <w:rFonts w:ascii="Calibri" w:hAnsi="Calibri"/>
          <w:sz w:val="16"/>
          <w:szCs w:val="16"/>
          <w:lang w:val="en-GB"/>
        </w:rPr>
        <w:t xml:space="preserve"> the PONASI Complex on the list of Wetlands of International Importance (Ramsar Site) under number 2366. The Ramsar site encompasses the 3 Protected Areas of the PONASI landscape as referred to in this project but does not include Corridor Number 2 linking Kaboré Tambi National Park to </w:t>
      </w:r>
      <w:r>
        <w:rPr>
          <w:rFonts w:ascii="Calibri" w:hAnsi="Calibri"/>
          <w:sz w:val="16"/>
          <w:szCs w:val="16"/>
          <w:lang w:val="en-GB"/>
        </w:rPr>
        <w:t xml:space="preserve">the </w:t>
      </w:r>
      <w:r w:rsidRPr="00C1276E">
        <w:rPr>
          <w:rFonts w:ascii="Calibri" w:hAnsi="Calibri"/>
          <w:sz w:val="16"/>
          <w:szCs w:val="16"/>
          <w:lang w:val="en-GB"/>
        </w:rPr>
        <w:t>Ghanaian territory. At this stage, the Ramsar Site does not have a management plan, although it relies on existing visitor facilities such as observation towers and observatories to enrich the tourist experience. It is therefore realistic for this project to integrate wetland management objectives into land use planning and the master plan to be developed for the PONASI landscape.</w:t>
      </w:r>
      <w:r w:rsidRPr="00C1276E">
        <w:rPr>
          <w:rFonts w:ascii="Calibri" w:hAnsi="Calibri"/>
          <w:sz w:val="16"/>
          <w:szCs w:val="16"/>
          <w:lang w:val="en-GB" w:eastAsia="fr-FR"/>
        </w:rPr>
        <w:t xml:space="preserve"> </w:t>
      </w:r>
    </w:p>
  </w:footnote>
  <w:footnote w:id="47">
    <w:p w14:paraId="57B9E5BD" w14:textId="77777777" w:rsidR="00ED1ADA" w:rsidRPr="0070719A" w:rsidRDefault="00ED1ADA" w:rsidP="00302BFE">
      <w:pPr>
        <w:pStyle w:val="Notedebasdepage"/>
        <w:rPr>
          <w:rFonts w:ascii="Calibri" w:hAnsi="Calibri"/>
          <w:sz w:val="16"/>
          <w:szCs w:val="16"/>
        </w:rPr>
      </w:pPr>
      <w:r w:rsidRPr="0070719A">
        <w:rPr>
          <w:rStyle w:val="Appelnotedebasdep"/>
          <w:rFonts w:ascii="Calibri" w:hAnsi="Calibri"/>
          <w:sz w:val="16"/>
          <w:szCs w:val="16"/>
        </w:rPr>
        <w:footnoteRef/>
      </w:r>
      <w:r w:rsidRPr="0070719A">
        <w:rPr>
          <w:rFonts w:ascii="Calibri" w:hAnsi="Calibri"/>
          <w:sz w:val="16"/>
          <w:szCs w:val="16"/>
        </w:rPr>
        <w:t xml:space="preserve"> </w:t>
      </w:r>
      <w:r w:rsidRPr="0070719A">
        <w:rPr>
          <w:rFonts w:ascii="Calibri" w:hAnsi="Calibri"/>
          <w:sz w:val="16"/>
          <w:szCs w:val="16"/>
          <w:lang w:val="en-GB"/>
        </w:rPr>
        <w:t>SRM ensures individuals, peoples, and communities affected by projects have access to appropriate grievance resolution procedures for hearing and addressing project-related complaints and disputes.</w:t>
      </w:r>
    </w:p>
  </w:footnote>
  <w:footnote w:id="48">
    <w:p w14:paraId="11AF6838" w14:textId="77777777" w:rsidR="00ED1ADA" w:rsidRPr="005F3825" w:rsidRDefault="00ED1ADA" w:rsidP="00302BFE">
      <w:pPr>
        <w:pStyle w:val="Notedebasdepage"/>
        <w:spacing w:after="0"/>
        <w:rPr>
          <w:rFonts w:ascii="Calibri" w:hAnsi="Calibri"/>
          <w:sz w:val="16"/>
          <w:szCs w:val="16"/>
          <w:lang w:val="fr-CA"/>
        </w:rPr>
      </w:pPr>
      <w:r w:rsidRPr="005F3825">
        <w:rPr>
          <w:rStyle w:val="Appelnotedebasdep"/>
          <w:rFonts w:ascii="Calibri" w:hAnsi="Calibri"/>
          <w:szCs w:val="16"/>
        </w:rPr>
        <w:footnoteRef/>
      </w:r>
      <w:r w:rsidRPr="005F3825">
        <w:rPr>
          <w:rFonts w:ascii="Calibri" w:hAnsi="Calibri"/>
          <w:szCs w:val="16"/>
          <w:lang w:val="en-GB"/>
        </w:rPr>
        <w:t xml:space="preserve"> </w:t>
      </w:r>
      <w:r w:rsidRPr="005F3825">
        <w:rPr>
          <w:rFonts w:ascii="Calibri" w:eastAsia="Cambria" w:hAnsi="Calibri"/>
          <w:sz w:val="16"/>
          <w:szCs w:val="16"/>
          <w:lang w:val="en-GB"/>
        </w:rPr>
        <w:t xml:space="preserve">Lotter, W.D., Roberts, K., Singh, R., Clark, K., Barlow, C., de Kock, R., Steiner, K., Mander, D., Khadka, M. et Guerrero, J. (2016). </w:t>
      </w:r>
      <w:r w:rsidRPr="005F3825">
        <w:rPr>
          <w:rFonts w:ascii="Calibri" w:eastAsia="Cambria" w:hAnsi="Calibri"/>
          <w:sz w:val="16"/>
          <w:szCs w:val="16"/>
          <w:lang w:val="fr-CA"/>
        </w:rPr>
        <w:t>Lutte anti-braconnage dans et autour des aires protégées. Lignes directrices pour la formation des gardes.</w:t>
      </w:r>
    </w:p>
  </w:footnote>
  <w:footnote w:id="49">
    <w:p w14:paraId="0A6FD4AF" w14:textId="69BA7664" w:rsidR="00ED1ADA" w:rsidRPr="009E6CE7" w:rsidRDefault="00ED1ADA" w:rsidP="009E6CE7">
      <w:pPr>
        <w:pStyle w:val="Notedebasdepage"/>
        <w:spacing w:after="0"/>
        <w:rPr>
          <w:rFonts w:asciiTheme="minorHAnsi" w:hAnsiTheme="minorHAnsi"/>
          <w:sz w:val="16"/>
          <w:szCs w:val="16"/>
          <w:lang w:val="en-CA"/>
        </w:rPr>
      </w:pPr>
      <w:r w:rsidRPr="00D61C93">
        <w:rPr>
          <w:rStyle w:val="Appelnotedebasdep"/>
          <w:rFonts w:asciiTheme="minorHAnsi" w:hAnsiTheme="minorHAnsi"/>
          <w:sz w:val="16"/>
          <w:szCs w:val="16"/>
        </w:rPr>
        <w:footnoteRef/>
      </w:r>
      <w:r w:rsidRPr="00D61C93">
        <w:rPr>
          <w:rFonts w:asciiTheme="minorHAnsi" w:hAnsiTheme="minorHAnsi"/>
          <w:sz w:val="16"/>
          <w:szCs w:val="16"/>
        </w:rPr>
        <w:t xml:space="preserve"> </w:t>
      </w:r>
      <w:r w:rsidRPr="00D61C93">
        <w:rPr>
          <w:rFonts w:asciiTheme="minorHAnsi" w:hAnsiTheme="minorHAnsi"/>
          <w:bCs/>
          <w:sz w:val="16"/>
          <w:szCs w:val="16"/>
          <w:lang w:val="en-CA"/>
        </w:rPr>
        <w:t>This branch is under the responsibility of Mr. Benjamin Bassono, who is the private concessionaire operating the Nahouri Safari camp in the Nazinga Game Ranch. The NGO reports the training of approximately 40 ecoguards for the Nazinga GR with the financial support of the Brigitte Bardot Foundation.</w:t>
      </w:r>
    </w:p>
  </w:footnote>
  <w:footnote w:id="50">
    <w:p w14:paraId="38C43E68" w14:textId="77777777" w:rsidR="00ED1ADA" w:rsidRPr="001762F0" w:rsidRDefault="00ED1ADA" w:rsidP="00F465F9">
      <w:pPr>
        <w:pStyle w:val="Notedebasdepage"/>
        <w:spacing w:after="0"/>
        <w:rPr>
          <w:rFonts w:asciiTheme="minorHAnsi" w:hAnsiTheme="minorHAnsi"/>
          <w:sz w:val="16"/>
          <w:szCs w:val="16"/>
        </w:rPr>
      </w:pPr>
      <w:r w:rsidRPr="001762F0">
        <w:rPr>
          <w:rStyle w:val="Appelnotedebasdep"/>
          <w:rFonts w:asciiTheme="minorHAnsi" w:hAnsiTheme="minorHAnsi"/>
          <w:sz w:val="16"/>
          <w:szCs w:val="16"/>
        </w:rPr>
        <w:footnoteRef/>
      </w:r>
      <w:r w:rsidRPr="001762F0">
        <w:rPr>
          <w:rFonts w:asciiTheme="minorHAnsi" w:hAnsiTheme="minorHAnsi"/>
          <w:sz w:val="16"/>
          <w:szCs w:val="16"/>
        </w:rPr>
        <w:t xml:space="preserve"> Bouché et al. 2016</w:t>
      </w:r>
    </w:p>
  </w:footnote>
  <w:footnote w:id="51">
    <w:p w14:paraId="4266A843" w14:textId="77777777" w:rsidR="00ED1ADA" w:rsidRPr="00462309" w:rsidRDefault="00ED1ADA" w:rsidP="00F465F9">
      <w:pPr>
        <w:spacing w:after="0"/>
        <w:rPr>
          <w:sz w:val="16"/>
          <w:szCs w:val="16"/>
          <w:lang w:val="en-CA"/>
        </w:rPr>
      </w:pPr>
      <w:r w:rsidRPr="00462309">
        <w:rPr>
          <w:rStyle w:val="Appelnotedebasdep"/>
          <w:rFonts w:asciiTheme="minorHAnsi" w:hAnsiTheme="minorHAnsi"/>
          <w:sz w:val="16"/>
          <w:szCs w:val="16"/>
        </w:rPr>
        <w:footnoteRef/>
      </w:r>
      <w:r w:rsidRPr="00462309">
        <w:rPr>
          <w:rFonts w:asciiTheme="minorHAnsi" w:hAnsiTheme="minorHAnsi"/>
          <w:sz w:val="16"/>
          <w:szCs w:val="16"/>
        </w:rPr>
        <w:t xml:space="preserve"> </w:t>
      </w:r>
      <w:r w:rsidRPr="00462309">
        <w:rPr>
          <w:rFonts w:asciiTheme="minorHAnsi" w:hAnsiTheme="minorHAnsi"/>
          <w:sz w:val="16"/>
          <w:szCs w:val="16"/>
          <w:lang w:val="en-CA"/>
        </w:rPr>
        <w:t>As reported by Bouché et al. 2016, monitoring mainly focused on 12 medium and large mammal species in the NGR over approx. 30 years. Monitoring took place every dry season (between January and May) from 1981 to 2011, except between 1991 and 1993 and in 1999.</w:t>
      </w:r>
      <w:r>
        <w:rPr>
          <w:rFonts w:asciiTheme="minorHAnsi" w:hAnsiTheme="minorHAnsi"/>
          <w:sz w:val="16"/>
          <w:szCs w:val="16"/>
          <w:lang w:val="en-CA"/>
        </w:rPr>
        <w:t xml:space="preserve"> </w:t>
      </w:r>
      <w:r w:rsidRPr="00462309">
        <w:rPr>
          <w:sz w:val="16"/>
          <w:szCs w:val="16"/>
          <w:lang w:val="en-CA"/>
        </w:rPr>
        <w:t xml:space="preserve">Data </w:t>
      </w:r>
      <w:r>
        <w:rPr>
          <w:sz w:val="16"/>
          <w:szCs w:val="16"/>
          <w:lang w:val="en-CA"/>
        </w:rPr>
        <w:t>were analysed</w:t>
      </w:r>
      <w:r w:rsidRPr="00462309">
        <w:rPr>
          <w:sz w:val="16"/>
          <w:szCs w:val="16"/>
          <w:lang w:val="en-CA"/>
        </w:rPr>
        <w:t xml:space="preserve"> for the following 9 species: Elephant </w:t>
      </w:r>
      <w:r w:rsidRPr="00462309">
        <w:rPr>
          <w:i/>
          <w:sz w:val="16"/>
          <w:szCs w:val="16"/>
          <w:lang w:val="en-CA"/>
        </w:rPr>
        <w:t>Loxodonta africana</w:t>
      </w:r>
      <w:r w:rsidRPr="00462309">
        <w:rPr>
          <w:sz w:val="16"/>
          <w:szCs w:val="16"/>
          <w:lang w:val="en-CA"/>
        </w:rPr>
        <w:t xml:space="preserve">, Roan antelope </w:t>
      </w:r>
      <w:r w:rsidRPr="00462309">
        <w:rPr>
          <w:i/>
          <w:sz w:val="16"/>
          <w:szCs w:val="16"/>
          <w:lang w:val="en-CA"/>
        </w:rPr>
        <w:t>Hippotragus equinus</w:t>
      </w:r>
      <w:r w:rsidRPr="00462309">
        <w:rPr>
          <w:sz w:val="16"/>
          <w:szCs w:val="16"/>
          <w:lang w:val="en-CA"/>
        </w:rPr>
        <w:t xml:space="preserve">, Waterbuck </w:t>
      </w:r>
      <w:r w:rsidRPr="00462309">
        <w:rPr>
          <w:i/>
          <w:sz w:val="16"/>
          <w:szCs w:val="16"/>
          <w:lang w:val="en-CA"/>
        </w:rPr>
        <w:t>Kobus ellipsiprimnus</w:t>
      </w:r>
      <w:r w:rsidRPr="00462309">
        <w:rPr>
          <w:sz w:val="16"/>
          <w:szCs w:val="16"/>
          <w:lang w:val="en-CA"/>
        </w:rPr>
        <w:t xml:space="preserve">, Hartebeest </w:t>
      </w:r>
      <w:r w:rsidRPr="00462309">
        <w:rPr>
          <w:i/>
          <w:sz w:val="16"/>
          <w:szCs w:val="16"/>
          <w:lang w:val="en-CA"/>
        </w:rPr>
        <w:t>Alcelaphus buselaphus</w:t>
      </w:r>
      <w:r w:rsidRPr="00462309">
        <w:rPr>
          <w:sz w:val="16"/>
          <w:szCs w:val="16"/>
          <w:lang w:val="en-CA"/>
        </w:rPr>
        <w:t xml:space="preserve">, Bushbuck </w:t>
      </w:r>
      <w:r w:rsidRPr="00462309">
        <w:rPr>
          <w:i/>
          <w:sz w:val="16"/>
          <w:szCs w:val="16"/>
          <w:lang w:val="en-CA"/>
        </w:rPr>
        <w:t>Tragelaphus scriptus</w:t>
      </w:r>
      <w:r w:rsidRPr="00462309">
        <w:rPr>
          <w:sz w:val="16"/>
          <w:szCs w:val="16"/>
          <w:lang w:val="en-CA"/>
        </w:rPr>
        <w:t xml:space="preserve">, Warthog </w:t>
      </w:r>
      <w:r w:rsidRPr="00462309">
        <w:rPr>
          <w:i/>
          <w:sz w:val="16"/>
          <w:szCs w:val="16"/>
          <w:lang w:val="en-CA"/>
        </w:rPr>
        <w:t>Phacochoerus africanus</w:t>
      </w:r>
      <w:r w:rsidRPr="00462309">
        <w:rPr>
          <w:sz w:val="16"/>
          <w:szCs w:val="16"/>
          <w:lang w:val="en-CA"/>
        </w:rPr>
        <w:t xml:space="preserve">, Common duiker </w:t>
      </w:r>
      <w:r w:rsidRPr="00462309">
        <w:rPr>
          <w:i/>
          <w:sz w:val="16"/>
          <w:szCs w:val="16"/>
          <w:lang w:val="en-CA"/>
        </w:rPr>
        <w:t>Sylvicapra grimmia</w:t>
      </w:r>
      <w:r w:rsidRPr="00462309">
        <w:rPr>
          <w:sz w:val="16"/>
          <w:szCs w:val="16"/>
          <w:lang w:val="en-CA"/>
        </w:rPr>
        <w:t xml:space="preserve">, Oribi </w:t>
      </w:r>
      <w:r w:rsidRPr="00462309">
        <w:rPr>
          <w:i/>
          <w:sz w:val="16"/>
          <w:szCs w:val="16"/>
          <w:lang w:val="en-CA"/>
        </w:rPr>
        <w:t>Ourebia ourebi</w:t>
      </w:r>
      <w:r w:rsidRPr="00462309">
        <w:rPr>
          <w:sz w:val="16"/>
          <w:szCs w:val="16"/>
          <w:lang w:val="en-CA"/>
        </w:rPr>
        <w:t xml:space="preserve">, and Baboon </w:t>
      </w:r>
      <w:r w:rsidRPr="00462309">
        <w:rPr>
          <w:i/>
          <w:sz w:val="16"/>
          <w:szCs w:val="16"/>
          <w:lang w:val="en-CA"/>
        </w:rPr>
        <w:t>Papio Anubis</w:t>
      </w:r>
      <w:r>
        <w:rPr>
          <w:i/>
          <w:sz w:val="16"/>
          <w:szCs w:val="16"/>
          <w:lang w:val="en-CA"/>
        </w:rPr>
        <w:t>.</w:t>
      </w:r>
    </w:p>
  </w:footnote>
  <w:footnote w:id="52">
    <w:p w14:paraId="5049DB36" w14:textId="77777777" w:rsidR="00ED1ADA" w:rsidRPr="006F0042" w:rsidRDefault="00ED1ADA" w:rsidP="004D2432">
      <w:pPr>
        <w:pStyle w:val="Notedebasdepage"/>
        <w:spacing w:after="0"/>
        <w:rPr>
          <w:rFonts w:asciiTheme="minorHAnsi" w:hAnsiTheme="minorHAnsi"/>
          <w:sz w:val="16"/>
          <w:szCs w:val="16"/>
          <w:lang w:val="fr-CA"/>
        </w:rPr>
      </w:pPr>
      <w:r w:rsidRPr="00C5724B">
        <w:rPr>
          <w:rStyle w:val="Appelnotedebasdep"/>
          <w:rFonts w:ascii="Calibri" w:hAnsi="Calibri"/>
          <w:sz w:val="16"/>
          <w:szCs w:val="16"/>
        </w:rPr>
        <w:footnoteRef/>
      </w:r>
      <w:r w:rsidRPr="006F0042">
        <w:rPr>
          <w:rFonts w:asciiTheme="minorHAnsi" w:hAnsiTheme="minorHAnsi"/>
          <w:sz w:val="16"/>
          <w:szCs w:val="16"/>
          <w:lang w:val="fr-CA"/>
        </w:rPr>
        <w:t>UICN PAPACO. La grande chasse en Afrique de l’Ouest: quelle contribution à la conservation? https:// portals.iucn.org/library/efiles/documents/2009-074.pdf</w:t>
      </w:r>
    </w:p>
  </w:footnote>
  <w:footnote w:id="53">
    <w:p w14:paraId="3C6B8A1F" w14:textId="77777777" w:rsidR="00ED1ADA" w:rsidRPr="006F0042" w:rsidRDefault="00ED1ADA" w:rsidP="004D2432">
      <w:pPr>
        <w:pStyle w:val="Notedebasdepage"/>
        <w:spacing w:after="0"/>
        <w:rPr>
          <w:rFonts w:asciiTheme="minorHAnsi" w:hAnsiTheme="minorHAnsi"/>
          <w:sz w:val="16"/>
          <w:szCs w:val="16"/>
          <w:lang w:val="en-CA"/>
        </w:rPr>
      </w:pPr>
      <w:r w:rsidRPr="006F0042">
        <w:rPr>
          <w:rStyle w:val="Appelnotedebasdep"/>
          <w:rFonts w:asciiTheme="minorHAnsi" w:hAnsiTheme="minorHAnsi"/>
          <w:sz w:val="16"/>
          <w:szCs w:val="16"/>
        </w:rPr>
        <w:footnoteRef/>
      </w:r>
      <w:r w:rsidRPr="006F0042">
        <w:rPr>
          <w:rFonts w:asciiTheme="minorHAnsi" w:hAnsiTheme="minorHAnsi"/>
          <w:sz w:val="16"/>
          <w:szCs w:val="16"/>
          <w:lang w:val="en-CA"/>
        </w:rPr>
        <w:t xml:space="preserve"> Murray, C. K. 2017. The lion’s share? On the economic benefits of trophy hunting. A report for the Humane Society International, prepared by Economists at Large, Melbourne, Australia.</w:t>
      </w:r>
    </w:p>
  </w:footnote>
  <w:footnote w:id="54">
    <w:p w14:paraId="049EA97F" w14:textId="77777777" w:rsidR="00ED1ADA" w:rsidRPr="00F9302E" w:rsidRDefault="00ED1ADA" w:rsidP="004D2432">
      <w:pPr>
        <w:pStyle w:val="Notedebasdepage"/>
        <w:spacing w:after="0"/>
        <w:rPr>
          <w:rFonts w:asciiTheme="minorHAnsi" w:hAnsiTheme="minorHAnsi"/>
          <w:sz w:val="16"/>
          <w:szCs w:val="16"/>
          <w:lang w:val="pt-PT"/>
        </w:rPr>
      </w:pPr>
      <w:r w:rsidRPr="006F0042">
        <w:rPr>
          <w:rStyle w:val="Appelnotedebasdep"/>
          <w:rFonts w:asciiTheme="minorHAnsi" w:hAnsiTheme="minorHAnsi"/>
          <w:sz w:val="16"/>
          <w:szCs w:val="16"/>
        </w:rPr>
        <w:footnoteRef/>
      </w:r>
      <w:r w:rsidRPr="00F9302E">
        <w:rPr>
          <w:rFonts w:asciiTheme="minorHAnsi" w:hAnsiTheme="minorHAnsi"/>
          <w:sz w:val="16"/>
          <w:szCs w:val="16"/>
          <w:lang w:val="pt-PT"/>
        </w:rPr>
        <w:t xml:space="preserve"> </w:t>
      </w:r>
      <w:r w:rsidRPr="00F9302E">
        <w:rPr>
          <w:rFonts w:asciiTheme="minorHAnsi" w:eastAsia="Calibri" w:hAnsiTheme="minorHAnsi"/>
          <w:sz w:val="16"/>
          <w:szCs w:val="16"/>
          <w:lang w:val="pt-PT"/>
        </w:rPr>
        <w:t>Botswana, Ethiopia, Mozambique, Namibia, South Africa, Tanzania, Zambia, Zimbabwe</w:t>
      </w:r>
    </w:p>
  </w:footnote>
  <w:footnote w:id="55">
    <w:p w14:paraId="55D925A2" w14:textId="77777777" w:rsidR="00ED1ADA" w:rsidRPr="006F0042" w:rsidRDefault="00ED1ADA" w:rsidP="004D2432">
      <w:pPr>
        <w:pStyle w:val="Notedebasdepage"/>
        <w:spacing w:after="0"/>
        <w:rPr>
          <w:rStyle w:val="Appelnotedebasdep"/>
          <w:rFonts w:asciiTheme="minorHAnsi" w:hAnsiTheme="minorHAnsi"/>
          <w:sz w:val="16"/>
          <w:szCs w:val="16"/>
          <w:lang w:val="en-CA"/>
        </w:rPr>
      </w:pPr>
      <w:r w:rsidRPr="006F0042">
        <w:rPr>
          <w:rStyle w:val="Appelnotedebasdep"/>
          <w:rFonts w:asciiTheme="minorHAnsi" w:hAnsiTheme="minorHAnsi"/>
          <w:sz w:val="16"/>
          <w:szCs w:val="16"/>
        </w:rPr>
        <w:footnoteRef/>
      </w:r>
      <w:r w:rsidRPr="006F0042">
        <w:rPr>
          <w:rFonts w:asciiTheme="minorHAnsi" w:hAnsiTheme="minorHAnsi"/>
          <w:sz w:val="16"/>
          <w:szCs w:val="16"/>
          <w:lang w:val="en-CA"/>
        </w:rPr>
        <w:t xml:space="preserve"> </w:t>
      </w:r>
      <w:r w:rsidRPr="006F0042">
        <w:rPr>
          <w:rFonts w:asciiTheme="minorHAnsi" w:eastAsia="Calibri" w:hAnsiTheme="minorHAnsi"/>
          <w:sz w:val="16"/>
          <w:szCs w:val="16"/>
        </w:rPr>
        <w:t>Chardonnet, B. 2019. Africa is changing: Should its Protected Areas evolve? Reconfiguring the Protected Areas in Africa.</w:t>
      </w:r>
      <w:r w:rsidRPr="006F0042">
        <w:rPr>
          <w:rFonts w:asciiTheme="minorHAnsi" w:hAnsiTheme="minorHAnsi"/>
          <w:sz w:val="16"/>
          <w:szCs w:val="16"/>
          <w:lang w:val="en-CA"/>
        </w:rPr>
        <w:t xml:space="preserve"> Technical Report. UICN PAPACO</w:t>
      </w:r>
    </w:p>
  </w:footnote>
  <w:footnote w:id="56">
    <w:p w14:paraId="0685900C" w14:textId="77777777" w:rsidR="00ED1ADA" w:rsidRPr="006F0042" w:rsidRDefault="00ED1ADA" w:rsidP="004D2432">
      <w:pPr>
        <w:pStyle w:val="Notedebasdepage"/>
        <w:spacing w:after="0"/>
        <w:rPr>
          <w:rFonts w:asciiTheme="minorHAnsi" w:hAnsiTheme="minorHAnsi"/>
          <w:sz w:val="16"/>
          <w:szCs w:val="16"/>
          <w:lang w:val="en-CA"/>
        </w:rPr>
      </w:pPr>
      <w:r w:rsidRPr="006F0042">
        <w:rPr>
          <w:rStyle w:val="Appelnotedebasdep"/>
          <w:rFonts w:asciiTheme="minorHAnsi" w:hAnsiTheme="minorHAnsi"/>
          <w:sz w:val="16"/>
          <w:szCs w:val="16"/>
        </w:rPr>
        <w:footnoteRef/>
      </w:r>
      <w:r w:rsidRPr="006F0042">
        <w:rPr>
          <w:rFonts w:asciiTheme="minorHAnsi" w:hAnsiTheme="minorHAnsi"/>
          <w:sz w:val="16"/>
          <w:szCs w:val="16"/>
          <w:lang w:val="en-CA"/>
        </w:rPr>
        <w:t xml:space="preserve"> </w:t>
      </w:r>
      <w:r w:rsidRPr="006F0042">
        <w:rPr>
          <w:rFonts w:asciiTheme="minorHAnsi" w:eastAsia="Times New Roman" w:hAnsiTheme="minorHAnsi"/>
          <w:sz w:val="16"/>
          <w:szCs w:val="16"/>
          <w:lang w:val="en-CA" w:eastAsia="fr-CA"/>
        </w:rPr>
        <w:t xml:space="preserve">CRUISE, A. 2016. </w:t>
      </w:r>
      <w:r w:rsidRPr="006F0042">
        <w:rPr>
          <w:rFonts w:asciiTheme="minorHAnsi" w:eastAsia="Times New Roman" w:hAnsiTheme="minorHAnsi" w:cs="Open Sans"/>
          <w:sz w:val="16"/>
          <w:szCs w:val="16"/>
          <w:lang w:val="en-CA" w:eastAsia="fr-CA"/>
        </w:rPr>
        <w:t xml:space="preserve">The effects of trophy hunting on five of Africa’s iconic wild animal populations in six countries – Analysis. </w:t>
      </w:r>
      <w:r w:rsidRPr="006F0042">
        <w:rPr>
          <w:rFonts w:asciiTheme="minorHAnsi" w:eastAsia="Times New Roman" w:hAnsiTheme="minorHAnsi"/>
          <w:sz w:val="16"/>
          <w:szCs w:val="16"/>
          <w:lang w:val="en-CA" w:eastAsia="fr-CA"/>
        </w:rPr>
        <w:t xml:space="preserve">Conservation Action Trust. </w:t>
      </w:r>
      <w:hyperlink r:id="rId2" w:history="1">
        <w:r w:rsidRPr="006F0042">
          <w:rPr>
            <w:rStyle w:val="Lienhypertexte"/>
            <w:rFonts w:asciiTheme="minorHAnsi" w:eastAsia="Times New Roman" w:hAnsiTheme="minorHAnsi" w:cs="Open Sans"/>
            <w:sz w:val="16"/>
            <w:szCs w:val="16"/>
            <w:lang w:val="en-CA" w:eastAsia="fr-CA"/>
          </w:rPr>
          <w:t>https://conservationaction.co.za/resources/reports/effects-trophy-hunting-five-africas-iconic-wild-animal-populations-six-countries-analysis/</w:t>
        </w:r>
      </w:hyperlink>
    </w:p>
  </w:footnote>
  <w:footnote w:id="57">
    <w:p w14:paraId="219CEF04" w14:textId="77777777" w:rsidR="00ED1ADA" w:rsidRPr="003E39BA" w:rsidRDefault="00ED1ADA" w:rsidP="00302BFE">
      <w:pPr>
        <w:pStyle w:val="Notedebasdepage"/>
        <w:spacing w:after="0"/>
        <w:rPr>
          <w:rFonts w:ascii="Calibri" w:hAnsi="Calibri"/>
          <w:sz w:val="16"/>
          <w:szCs w:val="16"/>
          <w:lang w:val="en-CA"/>
        </w:rPr>
      </w:pPr>
      <w:r w:rsidRPr="005F3825">
        <w:rPr>
          <w:rStyle w:val="Appelnotedebasdep"/>
          <w:rFonts w:ascii="Calibri" w:hAnsi="Calibri"/>
          <w:sz w:val="16"/>
          <w:szCs w:val="16"/>
        </w:rPr>
        <w:footnoteRef/>
      </w:r>
      <w:r w:rsidRPr="003E39BA">
        <w:rPr>
          <w:rFonts w:ascii="Calibri" w:hAnsi="Calibri"/>
          <w:sz w:val="16"/>
          <w:szCs w:val="16"/>
          <w:lang w:val="en-CA"/>
        </w:rPr>
        <w:t xml:space="preserve"> </w:t>
      </w:r>
      <w:hyperlink r:id="rId3" w:history="1">
        <w:r w:rsidRPr="003E39BA">
          <w:rPr>
            <w:rStyle w:val="Lienhypertexte"/>
            <w:rFonts w:ascii="Calibri" w:hAnsi="Calibri"/>
            <w:sz w:val="16"/>
            <w:szCs w:val="16"/>
            <w:lang w:val="en-CA"/>
          </w:rPr>
          <w:t>http://nbsapforum.net/knowledge-base/resource/pa-business-plan-catalogue-business-planning-protected-areas</w:t>
        </w:r>
      </w:hyperlink>
    </w:p>
  </w:footnote>
  <w:footnote w:id="58">
    <w:p w14:paraId="1C8A3429" w14:textId="77777777" w:rsidR="00ED1ADA" w:rsidRPr="004708C8" w:rsidRDefault="00ED1ADA" w:rsidP="004708C8">
      <w:pPr>
        <w:pStyle w:val="Notedebasdepage"/>
        <w:spacing w:after="0"/>
        <w:rPr>
          <w:rFonts w:ascii="Calibri" w:hAnsi="Calibri"/>
          <w:i/>
          <w:sz w:val="16"/>
          <w:szCs w:val="16"/>
          <w:lang w:val="fr-CA"/>
        </w:rPr>
      </w:pPr>
      <w:r w:rsidRPr="004708C8">
        <w:rPr>
          <w:rStyle w:val="Appelnotedebasdep"/>
          <w:rFonts w:ascii="Calibri" w:hAnsi="Calibri"/>
          <w:i/>
          <w:sz w:val="16"/>
          <w:szCs w:val="16"/>
        </w:rPr>
        <w:footnoteRef/>
      </w:r>
      <w:r w:rsidRPr="004708C8">
        <w:rPr>
          <w:rFonts w:ascii="Calibri" w:hAnsi="Calibri"/>
          <w:i/>
          <w:sz w:val="16"/>
          <w:szCs w:val="16"/>
          <w:lang w:val="en-CA"/>
        </w:rPr>
        <w:t xml:space="preserve"> </w:t>
      </w:r>
      <w:r w:rsidRPr="004708C8">
        <w:rPr>
          <w:rStyle w:val="A2"/>
          <w:rFonts w:ascii="Calibri" w:hAnsi="Calibri"/>
          <w:i w:val="0"/>
          <w:lang w:val="en-CA"/>
        </w:rPr>
        <w:t xml:space="preserve">Lotter, W.D., Roberts, K., Singh, R., Clark, K., Barlow, C., de Kock, R., Steiner, K., Mander, D., Khadka, M. et Guerrero, J. 2016. </w:t>
      </w:r>
      <w:r w:rsidRPr="004708C8">
        <w:rPr>
          <w:rStyle w:val="A2"/>
          <w:rFonts w:ascii="Calibri" w:hAnsi="Calibri"/>
          <w:i w:val="0"/>
          <w:lang w:val="fr-CA"/>
        </w:rPr>
        <w:t>Lutte anti-braconnage dans et autour des aires protégées. Lignes directrices pour la formation des gardes.</w:t>
      </w:r>
    </w:p>
  </w:footnote>
  <w:footnote w:id="59">
    <w:p w14:paraId="7CFFDC36" w14:textId="77777777" w:rsidR="00ED1ADA" w:rsidRPr="00DE51BD" w:rsidRDefault="00ED1ADA" w:rsidP="00302BFE">
      <w:pPr>
        <w:pStyle w:val="Notedebasdepage"/>
        <w:spacing w:after="0"/>
        <w:rPr>
          <w:rFonts w:ascii="Calibri" w:hAnsi="Calibri"/>
          <w:sz w:val="16"/>
          <w:szCs w:val="16"/>
          <w:lang w:val="fr-CA"/>
        </w:rPr>
      </w:pPr>
      <w:r>
        <w:rPr>
          <w:rStyle w:val="Appelnotedebasdep"/>
        </w:rPr>
        <w:footnoteRef/>
      </w:r>
      <w:r w:rsidRPr="00DE51BD">
        <w:rPr>
          <w:lang w:val="fr-CA"/>
        </w:rPr>
        <w:t xml:space="preserve"> </w:t>
      </w:r>
      <w:r w:rsidRPr="00DE51BD">
        <w:rPr>
          <w:rFonts w:ascii="Calibri" w:hAnsi="Calibri"/>
          <w:sz w:val="16"/>
          <w:szCs w:val="16"/>
          <w:lang w:val="fr-CA"/>
        </w:rPr>
        <w:t>UICN. 2003. Plan d’Action pour la Gestion des Éléphants des Corridors Transfrontaliers d’Afrique de l’Ouest.</w:t>
      </w:r>
    </w:p>
  </w:footnote>
  <w:footnote w:id="60">
    <w:p w14:paraId="7EB00337" w14:textId="77777777" w:rsidR="00ED1ADA" w:rsidRPr="005F3825" w:rsidRDefault="00ED1ADA" w:rsidP="00302BFE">
      <w:pPr>
        <w:pStyle w:val="Notedebasdepage"/>
        <w:spacing w:after="0"/>
        <w:rPr>
          <w:rFonts w:ascii="Calibri" w:hAnsi="Calibri"/>
          <w:sz w:val="16"/>
          <w:szCs w:val="16"/>
          <w:lang w:val="en-CA"/>
        </w:rPr>
      </w:pPr>
      <w:r w:rsidRPr="005F3825">
        <w:rPr>
          <w:rStyle w:val="Appelnotedebasdep"/>
          <w:rFonts w:ascii="Calibri" w:hAnsi="Calibri"/>
          <w:sz w:val="16"/>
          <w:szCs w:val="16"/>
        </w:rPr>
        <w:footnoteRef/>
      </w:r>
      <w:r w:rsidRPr="005F3825">
        <w:rPr>
          <w:rFonts w:ascii="Calibri" w:hAnsi="Calibri"/>
          <w:sz w:val="16"/>
          <w:szCs w:val="16"/>
          <w:lang w:val="en-CA"/>
        </w:rPr>
        <w:t xml:space="preserve"> Thouless, C.R., H.T. Dublin, J.J. Blanc, D.P. Skinner, T.E. Daniel, R.D. Taylor, F. Maisels, H.L. Frederick and P. Bouché. 2016. African Elephant Status Report 2016: an update from the African Elephant Database. Occasional Paper Series of the IUCN Species Survival Commission, No. 60 IUCN1SSC Africa Elephant Specialist Group. IUCN, Gland.</w:t>
      </w:r>
    </w:p>
  </w:footnote>
  <w:footnote w:id="61">
    <w:p w14:paraId="377831B2" w14:textId="77777777" w:rsidR="007E1A3A" w:rsidRPr="00071004" w:rsidRDefault="007E1A3A" w:rsidP="007E1A3A">
      <w:pPr>
        <w:pStyle w:val="Notedebasdepage"/>
        <w:rPr>
          <w:lang w:val="fr-FR"/>
        </w:rPr>
      </w:pPr>
      <w:r>
        <w:rPr>
          <w:rStyle w:val="Appelnotedebasdep"/>
        </w:rPr>
        <w:footnoteRef/>
      </w:r>
      <w:r w:rsidRPr="00025336">
        <w:rPr>
          <w:lang w:val="fr-FR"/>
        </w:rPr>
        <w:t xml:space="preserve"> </w:t>
      </w:r>
      <w:r w:rsidRPr="00071004">
        <w:rPr>
          <w:sz w:val="16"/>
          <w:szCs w:val="16"/>
          <w:lang w:val="fr-FR"/>
        </w:rPr>
        <w:t xml:space="preserve">Une stratégie </w:t>
      </w:r>
      <w:r>
        <w:rPr>
          <w:sz w:val="16"/>
          <w:szCs w:val="16"/>
          <w:lang w:val="fr-FR"/>
        </w:rPr>
        <w:t>nationale sur le</w:t>
      </w:r>
      <w:r w:rsidRPr="00071004">
        <w:rPr>
          <w:sz w:val="16"/>
          <w:szCs w:val="16"/>
          <w:lang w:val="fr-FR"/>
        </w:rPr>
        <w:t xml:space="preserve"> tourisme durable existe déjà au Burkina Faso</w:t>
      </w:r>
    </w:p>
  </w:footnote>
  <w:footnote w:id="62">
    <w:p w14:paraId="41786212" w14:textId="77777777" w:rsidR="00ED1ADA" w:rsidRPr="005F3825" w:rsidRDefault="00ED1ADA" w:rsidP="00302BFE">
      <w:pPr>
        <w:spacing w:after="0"/>
        <w:rPr>
          <w:rFonts w:cs="Arial"/>
          <w:sz w:val="16"/>
          <w:szCs w:val="16"/>
        </w:rPr>
      </w:pPr>
      <w:r w:rsidRPr="005F3825">
        <w:rPr>
          <w:rFonts w:ascii="Calibri Light" w:hAnsi="Calibri Light" w:cs="Arial"/>
          <w:sz w:val="16"/>
          <w:szCs w:val="16"/>
          <w:vertAlign w:val="superscript"/>
        </w:rPr>
        <w:footnoteRef/>
      </w:r>
      <w:r w:rsidRPr="005F3825">
        <w:rPr>
          <w:rFonts w:ascii="Calibri Light" w:hAnsi="Calibri Light" w:cs="Arial"/>
          <w:sz w:val="16"/>
          <w:szCs w:val="16"/>
        </w:rPr>
        <w:t xml:space="preserve"> </w:t>
      </w:r>
      <w:r w:rsidRPr="005F3825">
        <w:rPr>
          <w:rFonts w:cs="Arial"/>
          <w:sz w:val="16"/>
          <w:szCs w:val="16"/>
        </w:rPr>
        <w:t>Spenceley, A., Snyman, S., and Eagles, P. F. J. (2017) Guidelines for tourism partnerships and concessions for protected areas: Generating sustainable revenues for conservation and development, Report to the Secretariat of the Convention on Biological Diversity and IUCN</w:t>
      </w:r>
    </w:p>
  </w:footnote>
  <w:footnote w:id="63">
    <w:p w14:paraId="42572794" w14:textId="77777777" w:rsidR="00ED1ADA" w:rsidRPr="005F3825" w:rsidRDefault="00ED1ADA" w:rsidP="00302BFE">
      <w:pPr>
        <w:pStyle w:val="Notedebasdepage"/>
        <w:spacing w:after="0"/>
        <w:rPr>
          <w:rFonts w:ascii="Calibri" w:hAnsi="Calibri" w:cs="Arial"/>
          <w:sz w:val="16"/>
          <w:szCs w:val="16"/>
        </w:rPr>
      </w:pPr>
      <w:r w:rsidRPr="002A60CC">
        <w:rPr>
          <w:rFonts w:ascii="Calibri" w:hAnsi="Calibri" w:cs="Arial"/>
          <w:sz w:val="16"/>
          <w:szCs w:val="16"/>
          <w:vertAlign w:val="superscript"/>
        </w:rPr>
        <w:footnoteRef/>
      </w:r>
      <w:r w:rsidRPr="005F3825">
        <w:rPr>
          <w:rFonts w:ascii="Calibri" w:hAnsi="Calibri" w:cs="Arial"/>
          <w:sz w:val="16"/>
          <w:szCs w:val="16"/>
        </w:rPr>
        <w:t xml:space="preserve"> Note, these resources are also available in French:  https://www.cbd.int/tourism/</w:t>
      </w:r>
    </w:p>
  </w:footnote>
  <w:footnote w:id="64">
    <w:p w14:paraId="249626D8" w14:textId="77777777" w:rsidR="00ED1ADA" w:rsidRPr="005F3825" w:rsidRDefault="00ED1ADA" w:rsidP="00302BFE">
      <w:pPr>
        <w:spacing w:after="0"/>
        <w:rPr>
          <w:rFonts w:cs="Arial"/>
          <w:sz w:val="16"/>
          <w:szCs w:val="16"/>
        </w:rPr>
      </w:pPr>
      <w:r w:rsidRPr="002A60CC">
        <w:rPr>
          <w:rFonts w:cs="Arial"/>
          <w:sz w:val="16"/>
          <w:szCs w:val="16"/>
          <w:vertAlign w:val="superscript"/>
        </w:rPr>
        <w:footnoteRef/>
      </w:r>
      <w:r w:rsidRPr="005F3825">
        <w:rPr>
          <w:rFonts w:cs="Arial"/>
          <w:sz w:val="16"/>
          <w:szCs w:val="16"/>
        </w:rPr>
        <w:t xml:space="preserve"> Spenceley, A., Snyman, S., and Eagles, P. F. J. (2017) ibid.</w:t>
      </w:r>
    </w:p>
  </w:footnote>
  <w:footnote w:id="65">
    <w:p w14:paraId="2F5CEA49" w14:textId="77777777" w:rsidR="00ED1ADA" w:rsidRPr="00324C72" w:rsidRDefault="00ED1ADA" w:rsidP="00302BFE">
      <w:pPr>
        <w:spacing w:after="0"/>
        <w:rPr>
          <w:rFonts w:cs="Arial"/>
          <w:sz w:val="16"/>
          <w:szCs w:val="16"/>
        </w:rPr>
      </w:pPr>
      <w:r w:rsidRPr="00324C72">
        <w:rPr>
          <w:rStyle w:val="Appelnotedebasdep"/>
          <w:sz w:val="16"/>
          <w:szCs w:val="16"/>
        </w:rPr>
        <w:footnoteRef/>
      </w:r>
      <w:r w:rsidRPr="00324C72">
        <w:rPr>
          <w:sz w:val="16"/>
          <w:szCs w:val="16"/>
        </w:rPr>
        <w:t xml:space="preserve"> </w:t>
      </w:r>
      <w:r w:rsidRPr="00324C72">
        <w:rPr>
          <w:rFonts w:cs="Arial"/>
          <w:sz w:val="16"/>
          <w:szCs w:val="16"/>
        </w:rPr>
        <w:t>Spenceley, A., Snyman, S., and Eagles, P. F. J. (2017) ibid.</w:t>
      </w:r>
    </w:p>
  </w:footnote>
  <w:footnote w:id="66">
    <w:p w14:paraId="1A94C6BE" w14:textId="77777777" w:rsidR="00ED1ADA" w:rsidRPr="00A93827" w:rsidRDefault="00ED1ADA" w:rsidP="00302BFE">
      <w:pPr>
        <w:pStyle w:val="Notedebasdepage"/>
        <w:spacing w:after="0"/>
        <w:rPr>
          <w:rFonts w:ascii="Calibri" w:hAnsi="Calibri"/>
          <w:sz w:val="16"/>
          <w:szCs w:val="16"/>
          <w:lang w:val="en-CA"/>
        </w:rPr>
      </w:pPr>
      <w:r w:rsidRPr="00A93827">
        <w:rPr>
          <w:rStyle w:val="Appelnotedebasdep"/>
        </w:rPr>
        <w:footnoteRef/>
      </w:r>
      <w:r w:rsidRPr="00A93827">
        <w:rPr>
          <w:rFonts w:ascii="Calibri" w:hAnsi="Calibri"/>
          <w:sz w:val="16"/>
          <w:szCs w:val="16"/>
          <w:lang w:val="en-CA"/>
        </w:rPr>
        <w:t xml:space="preserve">This amount was equivalent to about US$ 100,000, amounting to US$ 55 per individual. </w:t>
      </w:r>
    </w:p>
  </w:footnote>
  <w:footnote w:id="67">
    <w:p w14:paraId="589920CB" w14:textId="77777777" w:rsidR="00ED1ADA" w:rsidRPr="003824FD" w:rsidRDefault="00ED1ADA" w:rsidP="00302BFE">
      <w:pPr>
        <w:pStyle w:val="Notedebasdepage"/>
        <w:spacing w:after="0"/>
        <w:rPr>
          <w:rFonts w:ascii="Calibri" w:hAnsi="Calibri"/>
          <w:sz w:val="16"/>
          <w:szCs w:val="16"/>
          <w:lang w:val="en-CA"/>
        </w:rPr>
      </w:pPr>
      <w:r w:rsidRPr="00A93827">
        <w:rPr>
          <w:rStyle w:val="Appelnotedebasdep"/>
          <w:rFonts w:ascii="Calibri" w:hAnsi="Calibri"/>
          <w:sz w:val="16"/>
          <w:szCs w:val="16"/>
        </w:rPr>
        <w:footnoteRef/>
      </w:r>
      <w:r w:rsidRPr="00A93827">
        <w:rPr>
          <w:rFonts w:ascii="Calibri" w:hAnsi="Calibri"/>
          <w:sz w:val="16"/>
          <w:szCs w:val="16"/>
          <w:lang w:val="en-CA"/>
        </w:rPr>
        <w:t>WB. 2008 Implementation Completion and Results Report for the Partnership for Natural Ecosystem Management Project.</w:t>
      </w:r>
    </w:p>
  </w:footnote>
  <w:footnote w:id="68">
    <w:p w14:paraId="058BE750" w14:textId="77777777" w:rsidR="00ED1ADA" w:rsidRPr="00D93105" w:rsidRDefault="00ED1ADA" w:rsidP="00302BFE">
      <w:pPr>
        <w:pStyle w:val="Notedebasdepage"/>
        <w:spacing w:after="0"/>
        <w:rPr>
          <w:rFonts w:ascii="Calibri" w:hAnsi="Calibri"/>
          <w:sz w:val="16"/>
          <w:szCs w:val="16"/>
          <w:lang w:val="fr-CA"/>
        </w:rPr>
      </w:pPr>
      <w:r w:rsidRPr="00A93827">
        <w:rPr>
          <w:rStyle w:val="Appelnotedebasdep"/>
          <w:rFonts w:ascii="Calibri" w:hAnsi="Calibri"/>
          <w:sz w:val="16"/>
          <w:szCs w:val="16"/>
        </w:rPr>
        <w:footnoteRef/>
      </w:r>
      <w:r w:rsidRPr="00A93827">
        <w:rPr>
          <w:rFonts w:ascii="Calibri" w:hAnsi="Calibri"/>
          <w:sz w:val="16"/>
          <w:szCs w:val="16"/>
          <w:lang w:val="fr-CA"/>
        </w:rPr>
        <w:t xml:space="preserve"> MINISTERE DE L’ENVIRONNEMENT ET DU CADRE DE VIE. 2007. Rapport final d’exécution du projet PAGEN - Opinion du Burkinabé.</w:t>
      </w:r>
    </w:p>
  </w:footnote>
  <w:footnote w:id="69">
    <w:p w14:paraId="1A691123" w14:textId="77777777" w:rsidR="00ED1ADA" w:rsidRPr="00AD6A9D" w:rsidRDefault="00ED1ADA" w:rsidP="00302BFE">
      <w:pPr>
        <w:pStyle w:val="Notedebasdepage"/>
        <w:jc w:val="left"/>
        <w:rPr>
          <w:rFonts w:ascii="Calibri" w:hAnsi="Calibri"/>
          <w:sz w:val="18"/>
          <w:szCs w:val="18"/>
        </w:rPr>
      </w:pPr>
      <w:r w:rsidRPr="00AD6A9D">
        <w:rPr>
          <w:rStyle w:val="Appelnotedebasdep"/>
          <w:rFonts w:ascii="Calibri" w:hAnsi="Calibri"/>
          <w:szCs w:val="18"/>
        </w:rPr>
        <w:footnoteRef/>
      </w:r>
      <w:r w:rsidRPr="00AD6A9D">
        <w:rPr>
          <w:rFonts w:ascii="Calibri" w:hAnsi="Calibri"/>
          <w:sz w:val="18"/>
          <w:szCs w:val="18"/>
        </w:rPr>
        <w:t xml:space="preserve"> See </w:t>
      </w:r>
      <w:r w:rsidRPr="00AD6A9D">
        <w:rPr>
          <w:rFonts w:ascii="Calibri" w:hAnsi="Calibri" w:cs="Segoe UI"/>
          <w:color w:val="000000"/>
          <w:sz w:val="18"/>
          <w:szCs w:val="18"/>
        </w:rPr>
        <w:t>http://www.undp.org/content/undp/en/home/operations/transparency/information_disclosurepolicy/</w:t>
      </w:r>
    </w:p>
  </w:footnote>
  <w:footnote w:id="70">
    <w:p w14:paraId="4BC31C31" w14:textId="77777777" w:rsidR="00ED1ADA" w:rsidRPr="00AD6A9D" w:rsidRDefault="00ED1ADA" w:rsidP="00302BFE">
      <w:pPr>
        <w:pStyle w:val="Notedebasdepage"/>
        <w:rPr>
          <w:rFonts w:ascii="Calibri" w:hAnsi="Calibri"/>
          <w:sz w:val="18"/>
          <w:szCs w:val="18"/>
        </w:rPr>
      </w:pPr>
      <w:r w:rsidRPr="00AD6A9D">
        <w:rPr>
          <w:rStyle w:val="Appelnotedebasdep"/>
          <w:rFonts w:ascii="Calibri" w:hAnsi="Calibri"/>
          <w:szCs w:val="18"/>
        </w:rPr>
        <w:footnoteRef/>
      </w:r>
      <w:r w:rsidRPr="00AD6A9D">
        <w:rPr>
          <w:rFonts w:ascii="Calibri" w:hAnsi="Calibri"/>
          <w:sz w:val="18"/>
          <w:szCs w:val="18"/>
        </w:rPr>
        <w:t xml:space="preserve"> See </w:t>
      </w:r>
      <w:r w:rsidRPr="00AD6A9D">
        <w:rPr>
          <w:rFonts w:ascii="Calibri" w:hAnsi="Calibri" w:cs="Segoe UI"/>
          <w:color w:val="000000"/>
          <w:sz w:val="18"/>
          <w:szCs w:val="18"/>
        </w:rPr>
        <w:t>https://www.thegef.org/gef/policies_guidelines</w:t>
      </w:r>
    </w:p>
  </w:footnote>
  <w:footnote w:id="71">
    <w:p w14:paraId="6844F9EC" w14:textId="77777777" w:rsidR="0071360F" w:rsidRPr="0003763F" w:rsidRDefault="0071360F" w:rsidP="0071360F">
      <w:pPr>
        <w:pStyle w:val="fn1"/>
        <w:rPr>
          <w:rFonts w:cs="Segoe UI"/>
          <w:color w:val="000000"/>
          <w:szCs w:val="18"/>
        </w:rPr>
      </w:pPr>
      <w:r w:rsidRPr="0003763F">
        <w:rPr>
          <w:rStyle w:val="Appelnotedebasdep"/>
          <w:szCs w:val="18"/>
        </w:rPr>
        <w:footnoteRef/>
      </w:r>
      <w:r w:rsidRPr="0003763F">
        <w:rPr>
          <w:szCs w:val="18"/>
        </w:rPr>
        <w:t xml:space="preserve"> See </w:t>
      </w:r>
      <w:hyperlink r:id="rId4" w:history="1">
        <w:r w:rsidRPr="0003763F">
          <w:rPr>
            <w:rStyle w:val="Lienhypertexte"/>
            <w:rFonts w:cs="Segoe UI"/>
            <w:szCs w:val="18"/>
          </w:rPr>
          <w:t>https://www.thegef.org/gef/policies_guidelines</w:t>
        </w:r>
      </w:hyperlink>
    </w:p>
  </w:footnote>
  <w:footnote w:id="72">
    <w:p w14:paraId="3934CB4B" w14:textId="77777777" w:rsidR="0071360F" w:rsidRPr="00AD6A9D" w:rsidRDefault="0071360F" w:rsidP="0071360F">
      <w:pPr>
        <w:pStyle w:val="fn1"/>
        <w:jc w:val="left"/>
        <w:rPr>
          <w:szCs w:val="18"/>
        </w:rPr>
      </w:pPr>
      <w:r w:rsidRPr="00AD6A9D">
        <w:rPr>
          <w:rStyle w:val="Appelnotedebasdep"/>
          <w:szCs w:val="18"/>
        </w:rPr>
        <w:footnoteRef/>
      </w:r>
      <w:r w:rsidRPr="00AD6A9D">
        <w:rPr>
          <w:szCs w:val="18"/>
        </w:rPr>
        <w:t xml:space="preserve"> See </w:t>
      </w:r>
      <w:r w:rsidRPr="00AD6A9D">
        <w:rPr>
          <w:rFonts w:cs="Segoe UI"/>
          <w:color w:val="000000"/>
          <w:szCs w:val="18"/>
        </w:rPr>
        <w:t>http://www.undp.org/content/undp/en/home/operations/transparency/information_disclosurepolicy/</w:t>
      </w:r>
    </w:p>
  </w:footnote>
  <w:footnote w:id="73">
    <w:p w14:paraId="3967E00D" w14:textId="77777777" w:rsidR="0071360F" w:rsidRPr="00AD6A9D" w:rsidRDefault="0071360F" w:rsidP="0071360F">
      <w:pPr>
        <w:pStyle w:val="fn1"/>
        <w:rPr>
          <w:szCs w:val="18"/>
        </w:rPr>
      </w:pPr>
      <w:r w:rsidRPr="00AD6A9D">
        <w:rPr>
          <w:rStyle w:val="Appelnotedebasdep"/>
          <w:szCs w:val="18"/>
        </w:rPr>
        <w:footnoteRef/>
      </w:r>
      <w:r w:rsidRPr="00AD6A9D">
        <w:rPr>
          <w:szCs w:val="18"/>
        </w:rPr>
        <w:t xml:space="preserve"> See </w:t>
      </w:r>
      <w:r w:rsidRPr="00AD6A9D">
        <w:rPr>
          <w:rFonts w:cs="Segoe UI"/>
          <w:color w:val="000000"/>
          <w:szCs w:val="18"/>
        </w:rPr>
        <w:t>https://www.thegef.org/gef/policies_guidelines</w:t>
      </w:r>
    </w:p>
  </w:footnote>
  <w:footnote w:id="74">
    <w:p w14:paraId="09ABD5F2" w14:textId="77777777" w:rsidR="00ED1ADA" w:rsidRPr="0046177D" w:rsidRDefault="00ED1ADA" w:rsidP="00302BFE">
      <w:pPr>
        <w:pStyle w:val="Notedebasdepage"/>
        <w:spacing w:after="0"/>
        <w:rPr>
          <w:rFonts w:ascii="Calibri" w:hAnsi="Calibri" w:cs="Calibri"/>
          <w:sz w:val="18"/>
          <w:szCs w:val="18"/>
        </w:rPr>
      </w:pPr>
      <w:r w:rsidRPr="0046177D">
        <w:rPr>
          <w:rStyle w:val="Appelnotedebasdep"/>
          <w:rFonts w:ascii="Calibri" w:hAnsi="Calibri" w:cs="Calibri"/>
          <w:szCs w:val="18"/>
        </w:rPr>
        <w:footnoteRef/>
      </w:r>
      <w:r w:rsidRPr="0046177D">
        <w:rPr>
          <w:rFonts w:ascii="Calibri" w:hAnsi="Calibri" w:cs="Calibri"/>
          <w:sz w:val="18"/>
          <w:szCs w:val="18"/>
        </w:rPr>
        <w:t xml:space="preserve"> Excluding project team staff time and UNDP staff time and travel expenses</w:t>
      </w:r>
      <w:r>
        <w:rPr>
          <w:rFonts w:ascii="Calibri" w:hAnsi="Calibri" w:cs="Calibri"/>
          <w:sz w:val="18"/>
          <w:szCs w:val="18"/>
        </w:rPr>
        <w:t>.</w:t>
      </w:r>
    </w:p>
  </w:footnote>
  <w:footnote w:id="75">
    <w:p w14:paraId="203B5D1D" w14:textId="77777777" w:rsidR="00ED1ADA" w:rsidRPr="00F64994" w:rsidRDefault="00ED1ADA" w:rsidP="00302BFE">
      <w:pPr>
        <w:pStyle w:val="Notedebasdepage"/>
        <w:spacing w:after="0"/>
        <w:rPr>
          <w:rStyle w:val="Appelnotedebasdep"/>
          <w:rFonts w:asciiTheme="minorHAnsi" w:hAnsiTheme="minorHAnsi" w:cs="Calibri"/>
          <w:sz w:val="16"/>
          <w:szCs w:val="16"/>
          <w:lang w:val="en-CA"/>
        </w:rPr>
      </w:pPr>
      <w:r w:rsidRPr="00805CFF">
        <w:rPr>
          <w:rStyle w:val="Appelnotedebasdep"/>
          <w:rFonts w:ascii="Calibri" w:hAnsi="Calibri" w:cs="Calibri"/>
          <w:szCs w:val="18"/>
        </w:rPr>
        <w:footnoteRef/>
      </w:r>
      <w:r w:rsidRPr="00C0671F">
        <w:rPr>
          <w:rStyle w:val="Appelnotedebasdep"/>
          <w:rFonts w:ascii="Calibri" w:hAnsi="Calibri" w:cs="Calibri"/>
          <w:szCs w:val="18"/>
          <w:lang w:val="en-CA"/>
        </w:rPr>
        <w:t xml:space="preserve"> </w:t>
      </w:r>
      <w:r w:rsidRPr="00F64994">
        <w:rPr>
          <w:rFonts w:asciiTheme="minorHAnsi" w:hAnsiTheme="minorHAnsi"/>
          <w:sz w:val="16"/>
          <w:szCs w:val="16"/>
        </w:rPr>
        <w:t>Estimated at 5% of Project Manager total time</w:t>
      </w:r>
      <w:r w:rsidRPr="00F64994">
        <w:rPr>
          <w:rFonts w:asciiTheme="minorHAnsi" w:hAnsiTheme="minorHAnsi" w:cs="Calibri"/>
          <w:sz w:val="16"/>
          <w:szCs w:val="16"/>
          <w:lang w:val="en-CA"/>
        </w:rPr>
        <w:t xml:space="preserve"> </w:t>
      </w:r>
      <w:r w:rsidRPr="00F64994">
        <w:rPr>
          <w:rFonts w:asciiTheme="minorHAnsi" w:hAnsiTheme="minorHAnsi"/>
          <w:sz w:val="16"/>
          <w:szCs w:val="16"/>
        </w:rPr>
        <w:t>and 20% of Monitoring and Evaluation / Safeguards Expert</w:t>
      </w:r>
      <w:r w:rsidRPr="00F64994">
        <w:rPr>
          <w:rFonts w:asciiTheme="minorHAnsi" w:hAnsiTheme="minorHAnsi" w:cs="Calibri"/>
          <w:sz w:val="16"/>
          <w:szCs w:val="16"/>
          <w:lang w:val="en-CA"/>
        </w:rPr>
        <w:t xml:space="preserve"> total time</w:t>
      </w:r>
    </w:p>
  </w:footnote>
  <w:footnote w:id="76">
    <w:p w14:paraId="206FDDDB" w14:textId="77777777" w:rsidR="00ED1ADA" w:rsidRPr="00F64994" w:rsidRDefault="00ED1ADA" w:rsidP="00302BFE">
      <w:pPr>
        <w:pStyle w:val="Notedebasdepage"/>
        <w:spacing w:after="0"/>
        <w:rPr>
          <w:rStyle w:val="Appelnotedebasdep"/>
          <w:rFonts w:asciiTheme="minorHAnsi" w:hAnsiTheme="minorHAnsi" w:cs="Calibri"/>
          <w:sz w:val="16"/>
          <w:szCs w:val="16"/>
          <w:vertAlign w:val="baseline"/>
        </w:rPr>
      </w:pPr>
      <w:r w:rsidRPr="00E208B0">
        <w:rPr>
          <w:rStyle w:val="Appelnotedebasdep"/>
          <w:rFonts w:ascii="Calibri" w:hAnsi="Calibri" w:cs="Calibri"/>
          <w:sz w:val="16"/>
          <w:szCs w:val="16"/>
        </w:rPr>
        <w:footnoteRef/>
      </w:r>
      <w:r w:rsidRPr="00E208B0">
        <w:rPr>
          <w:rStyle w:val="Appelnotedebasdep"/>
          <w:rFonts w:ascii="Calibri" w:hAnsi="Calibri" w:cs="Calibri"/>
          <w:sz w:val="16"/>
          <w:szCs w:val="16"/>
        </w:rPr>
        <w:t xml:space="preserve"> </w:t>
      </w:r>
      <w:r w:rsidRPr="00F64994">
        <w:rPr>
          <w:rStyle w:val="Appelnotedebasdep"/>
          <w:rFonts w:asciiTheme="minorHAnsi" w:hAnsiTheme="minorHAnsi" w:cs="Calibri"/>
          <w:sz w:val="16"/>
          <w:szCs w:val="16"/>
          <w:vertAlign w:val="baseline"/>
        </w:rPr>
        <w:t>The costs of UNDP Country Office and UNDP-GEF Unit’s participation and time are charged to the GEF Agency Fee.</w:t>
      </w:r>
    </w:p>
  </w:footnote>
  <w:footnote w:id="77">
    <w:p w14:paraId="7E9ED67F" w14:textId="77777777" w:rsidR="00ED1ADA" w:rsidRPr="00E208B0" w:rsidRDefault="00ED1ADA" w:rsidP="00302BFE">
      <w:pPr>
        <w:pStyle w:val="Notedebasdepage"/>
        <w:spacing w:after="0"/>
        <w:rPr>
          <w:rFonts w:ascii="Calibri" w:hAnsi="Calibri"/>
          <w:sz w:val="16"/>
          <w:szCs w:val="16"/>
        </w:rPr>
      </w:pPr>
      <w:r w:rsidRPr="00E208B0">
        <w:rPr>
          <w:rStyle w:val="Appelnotedebasdep"/>
          <w:rFonts w:ascii="Calibri" w:hAnsi="Calibri"/>
          <w:sz w:val="16"/>
          <w:szCs w:val="16"/>
        </w:rPr>
        <w:footnoteRef/>
      </w:r>
      <w:r w:rsidRPr="00E208B0">
        <w:rPr>
          <w:rFonts w:ascii="Calibri" w:hAnsi="Calibri"/>
          <w:sz w:val="16"/>
          <w:szCs w:val="16"/>
        </w:rPr>
        <w:t xml:space="preserve"> </w:t>
      </w:r>
      <w:r w:rsidRPr="00F64994">
        <w:rPr>
          <w:rStyle w:val="Appelnotedebasdep"/>
          <w:rFonts w:ascii="Calibri" w:hAnsi="Calibri" w:cs="Calibri"/>
          <w:sz w:val="16"/>
          <w:szCs w:val="16"/>
          <w:vertAlign w:val="baseline"/>
          <w:lang w:val="en-CA"/>
        </w:rPr>
        <w:t>Estimated at 50% of Monitoring and Evaluation / Safeguards Expert</w:t>
      </w:r>
      <w:r w:rsidRPr="00F64994">
        <w:rPr>
          <w:rFonts w:ascii="Calibri" w:hAnsi="Calibri" w:cs="Calibri"/>
          <w:sz w:val="16"/>
          <w:szCs w:val="16"/>
          <w:lang w:val="en-CA"/>
        </w:rPr>
        <w:t xml:space="preserve"> </w:t>
      </w:r>
      <w:r w:rsidRPr="00E208B0">
        <w:rPr>
          <w:rFonts w:ascii="Calibri" w:hAnsi="Calibri" w:cs="Calibri"/>
          <w:sz w:val="16"/>
          <w:szCs w:val="16"/>
          <w:lang w:val="en-CA"/>
        </w:rPr>
        <w:t>total time in the first year of the project, and additional provision of USD 8,000 for the estimation of missing baseline values in components 2 and 3</w:t>
      </w:r>
    </w:p>
  </w:footnote>
  <w:footnote w:id="78">
    <w:p w14:paraId="2E97D254" w14:textId="77777777" w:rsidR="00ED1ADA" w:rsidRPr="00E208B0" w:rsidRDefault="00ED1ADA" w:rsidP="00302BFE">
      <w:pPr>
        <w:pStyle w:val="Notedebasdepage"/>
        <w:spacing w:after="0"/>
        <w:rPr>
          <w:rFonts w:ascii="Calibri" w:hAnsi="Calibri"/>
          <w:sz w:val="16"/>
          <w:szCs w:val="16"/>
        </w:rPr>
      </w:pPr>
      <w:r w:rsidRPr="00E208B0">
        <w:rPr>
          <w:rStyle w:val="Appelnotedebasdep"/>
          <w:rFonts w:ascii="Calibri" w:hAnsi="Calibri"/>
          <w:sz w:val="16"/>
          <w:szCs w:val="16"/>
        </w:rPr>
        <w:footnoteRef/>
      </w:r>
      <w:r w:rsidRPr="00E208B0">
        <w:rPr>
          <w:rFonts w:ascii="Calibri" w:hAnsi="Calibri"/>
          <w:sz w:val="16"/>
          <w:szCs w:val="16"/>
        </w:rPr>
        <w:t xml:space="preserve"> </w:t>
      </w:r>
      <w:r w:rsidRPr="003D33C0">
        <w:rPr>
          <w:rStyle w:val="Appelnotedebasdep"/>
          <w:rFonts w:ascii="Calibri" w:hAnsi="Calibri" w:cs="Calibri"/>
          <w:sz w:val="16"/>
          <w:szCs w:val="16"/>
          <w:vertAlign w:val="baseline"/>
          <w:lang w:val="en-CA"/>
        </w:rPr>
        <w:t>Estimated at 50% of Monitoring and Evaluation / Safeguards Expert</w:t>
      </w:r>
      <w:r w:rsidRPr="00E208B0">
        <w:rPr>
          <w:rFonts w:ascii="Calibri" w:hAnsi="Calibri" w:cs="Calibri"/>
          <w:sz w:val="16"/>
          <w:szCs w:val="16"/>
          <w:lang w:val="en-CA"/>
        </w:rPr>
        <w:t xml:space="preserve"> total time in the first year of the project, and additional provision of USD </w:t>
      </w:r>
      <w:r>
        <w:rPr>
          <w:rFonts w:ascii="Calibri" w:hAnsi="Calibri" w:cs="Calibri"/>
          <w:sz w:val="16"/>
          <w:szCs w:val="16"/>
          <w:lang w:val="en-CA"/>
        </w:rPr>
        <w:t>20</w:t>
      </w:r>
      <w:r w:rsidRPr="00E208B0">
        <w:rPr>
          <w:rFonts w:ascii="Calibri" w:hAnsi="Calibri" w:cs="Calibri"/>
          <w:sz w:val="16"/>
          <w:szCs w:val="16"/>
          <w:lang w:val="en-CA"/>
        </w:rPr>
        <w:t>,000 for the preparation of the project ESM</w:t>
      </w:r>
      <w:r>
        <w:rPr>
          <w:rFonts w:ascii="Calibri" w:hAnsi="Calibri" w:cs="Calibri"/>
          <w:sz w:val="16"/>
          <w:szCs w:val="16"/>
          <w:lang w:val="en-CA"/>
        </w:rPr>
        <w:t>P</w:t>
      </w:r>
    </w:p>
  </w:footnote>
  <w:footnote w:id="79">
    <w:p w14:paraId="7D1284F9" w14:textId="77777777" w:rsidR="00E34E6F" w:rsidRPr="003174B4" w:rsidRDefault="00E34E6F" w:rsidP="00E34E6F">
      <w:pPr>
        <w:pStyle w:val="fn1"/>
        <w:jc w:val="left"/>
      </w:pPr>
      <w:r w:rsidRPr="00966EF0">
        <w:rPr>
          <w:rStyle w:val="Appelnotedebasdep"/>
        </w:rPr>
        <w:footnoteRef/>
      </w:r>
      <w:r w:rsidRPr="003174B4">
        <w:t xml:space="preserve"> See </w:t>
      </w:r>
      <w:hyperlink r:id="rId5" w:history="1">
        <w:r w:rsidRPr="003174B4">
          <w:rPr>
            <w:rStyle w:val="Lienhypertexte"/>
          </w:rPr>
          <w:t>https://popp.undp.org/_layouts/15/WopiFrame.aspx?sourcedoc=/UNDP_POPP_DOCUMENT_LIBRARY/Public/PPM_Project%20Management_Closing.docx&amp;action=default</w:t>
        </w:r>
      </w:hyperlink>
      <w:r w:rsidRPr="003174B4">
        <w:t xml:space="preserve">. </w:t>
      </w:r>
    </w:p>
  </w:footnote>
  <w:footnote w:id="80">
    <w:p w14:paraId="5DC59DA2" w14:textId="77777777" w:rsidR="00ED1ADA" w:rsidRDefault="00ED1ADA" w:rsidP="00302BFE">
      <w:pPr>
        <w:spacing w:after="0"/>
        <w:rPr>
          <w:sz w:val="16"/>
          <w:szCs w:val="16"/>
        </w:rPr>
      </w:pPr>
      <w:r>
        <w:rPr>
          <w:rStyle w:val="Appelnotedebasdep"/>
          <w:sz w:val="16"/>
          <w:szCs w:val="16"/>
        </w:rPr>
        <w:footnoteRef/>
      </w:r>
      <w:r>
        <w:rPr>
          <w:sz w:val="16"/>
          <w:szCs w:val="16"/>
        </w:rPr>
        <w:t xml:space="preserve"> Summary table should include all financing of all kinds: GEF financing, co-financing, cash, in-kind, etc...</w:t>
      </w:r>
    </w:p>
  </w:footnote>
  <w:footnote w:id="81">
    <w:p w14:paraId="013D27F9" w14:textId="77777777" w:rsidR="00ED1ADA" w:rsidRPr="00587146" w:rsidRDefault="00ED1ADA" w:rsidP="00302BFE">
      <w:pPr>
        <w:pStyle w:val="Notedebasdepage"/>
        <w:spacing w:after="0"/>
        <w:rPr>
          <w:rFonts w:ascii="Times New Roman" w:hAnsi="Times New Roman"/>
          <w:sz w:val="16"/>
          <w:szCs w:val="16"/>
          <w:lang w:val="en-CA"/>
        </w:rPr>
      </w:pPr>
      <w:r w:rsidRPr="00D50EF6">
        <w:rPr>
          <w:rStyle w:val="Appelnotedebasdep"/>
        </w:rPr>
        <w:footnoteRef/>
      </w:r>
      <w:r w:rsidRPr="00D50EF6">
        <w:rPr>
          <w:lang w:val="en-CA"/>
        </w:rPr>
        <w:t xml:space="preserve"> </w:t>
      </w:r>
      <w:r w:rsidRPr="00D50EF6">
        <w:rPr>
          <w:rFonts w:ascii="Times New Roman" w:hAnsi="Times New Roman"/>
          <w:sz w:val="16"/>
          <w:szCs w:val="16"/>
          <w:lang w:val="en-CA"/>
        </w:rPr>
        <w:t>Restoration will take place within the corridor #2 which will be gazetted as part the component 2. This area is not counted in the total area under improved management to avoid double-counting.</w:t>
      </w:r>
    </w:p>
  </w:footnote>
  <w:footnote w:id="82">
    <w:p w14:paraId="6896A208" w14:textId="79D4CB58" w:rsidR="00ED1ADA" w:rsidRPr="008C5F92" w:rsidRDefault="00ED1ADA" w:rsidP="008C5F92">
      <w:pPr>
        <w:pStyle w:val="Notedebasdepage"/>
        <w:spacing w:after="0"/>
        <w:rPr>
          <w:rFonts w:asciiTheme="minorHAnsi" w:hAnsiTheme="minorHAnsi"/>
          <w:sz w:val="16"/>
          <w:szCs w:val="16"/>
        </w:rPr>
      </w:pPr>
      <w:r w:rsidRPr="008C5F92">
        <w:rPr>
          <w:rStyle w:val="Appelnotedebasdep"/>
          <w:rFonts w:asciiTheme="minorHAnsi" w:hAnsiTheme="minorHAnsi"/>
          <w:sz w:val="16"/>
          <w:szCs w:val="16"/>
        </w:rPr>
        <w:footnoteRef/>
      </w:r>
      <w:r w:rsidRPr="008C5F92">
        <w:rPr>
          <w:rFonts w:asciiTheme="minorHAnsi" w:hAnsiTheme="minorHAnsi"/>
          <w:sz w:val="16"/>
          <w:szCs w:val="16"/>
        </w:rPr>
        <w:t xml:space="preserve"> Approximately 170 to 510 US$ per </w:t>
      </w:r>
      <w:r>
        <w:rPr>
          <w:rFonts w:asciiTheme="minorHAnsi" w:hAnsiTheme="minorHAnsi"/>
          <w:sz w:val="16"/>
          <w:szCs w:val="16"/>
        </w:rPr>
        <w:t>year</w:t>
      </w:r>
    </w:p>
  </w:footnote>
  <w:footnote w:id="83">
    <w:p w14:paraId="461D8D88" w14:textId="0A475B73" w:rsidR="00ED1ADA" w:rsidRPr="008C5F92" w:rsidRDefault="00ED1ADA" w:rsidP="008C5F92">
      <w:pPr>
        <w:pStyle w:val="Notedebasdepage"/>
        <w:spacing w:after="0"/>
        <w:rPr>
          <w:rStyle w:val="Appelnotedebasdep"/>
          <w:rFonts w:asciiTheme="minorHAnsi" w:hAnsiTheme="minorHAnsi"/>
          <w:sz w:val="16"/>
          <w:szCs w:val="16"/>
          <w:vertAlign w:val="baseline"/>
        </w:rPr>
      </w:pPr>
      <w:r w:rsidRPr="008C5F92">
        <w:rPr>
          <w:rStyle w:val="Appelnotedebasdep"/>
          <w:rFonts w:asciiTheme="minorHAnsi" w:hAnsiTheme="minorHAnsi"/>
          <w:sz w:val="16"/>
          <w:szCs w:val="16"/>
        </w:rPr>
        <w:footnoteRef/>
      </w:r>
      <w:r w:rsidRPr="008C5F92">
        <w:rPr>
          <w:rStyle w:val="Appelnotedebasdep"/>
          <w:rFonts w:asciiTheme="minorHAnsi" w:hAnsiTheme="minorHAnsi"/>
          <w:sz w:val="16"/>
          <w:szCs w:val="16"/>
        </w:rPr>
        <w:t xml:space="preserve"> </w:t>
      </w:r>
      <w:r w:rsidRPr="008C5F92">
        <w:rPr>
          <w:rStyle w:val="Appelnotedebasdep"/>
          <w:rFonts w:asciiTheme="minorHAnsi" w:hAnsiTheme="minorHAnsi"/>
          <w:sz w:val="16"/>
          <w:vertAlign w:val="baseline"/>
        </w:rPr>
        <w:t>Approximately 82 to 145 US$</w:t>
      </w:r>
    </w:p>
  </w:footnote>
  <w:footnote w:id="84">
    <w:p w14:paraId="6506CCF0" w14:textId="7BCB1329" w:rsidR="00ED1ADA" w:rsidRPr="008C5F92" w:rsidRDefault="00ED1ADA" w:rsidP="008C5F92">
      <w:pPr>
        <w:pStyle w:val="Notedebasdepage"/>
        <w:spacing w:after="0"/>
        <w:rPr>
          <w:rFonts w:asciiTheme="minorHAnsi" w:hAnsiTheme="minorHAnsi"/>
          <w:sz w:val="16"/>
          <w:szCs w:val="16"/>
        </w:rPr>
      </w:pPr>
      <w:r w:rsidRPr="008C5F92">
        <w:rPr>
          <w:rStyle w:val="Appelnotedebasdep"/>
          <w:rFonts w:asciiTheme="minorHAnsi" w:hAnsiTheme="minorHAnsi"/>
          <w:sz w:val="16"/>
          <w:szCs w:val="16"/>
        </w:rPr>
        <w:footnoteRef/>
      </w:r>
      <w:r w:rsidRPr="008C5F92">
        <w:rPr>
          <w:rFonts w:asciiTheme="minorHAnsi" w:hAnsiTheme="minorHAnsi"/>
          <w:sz w:val="16"/>
          <w:szCs w:val="16"/>
        </w:rPr>
        <w:t xml:space="preserve"> Approximately 105 US$ </w:t>
      </w:r>
    </w:p>
  </w:footnote>
  <w:footnote w:id="85">
    <w:p w14:paraId="22331FF3" w14:textId="77777777" w:rsidR="00ED1ADA" w:rsidRPr="00BA18F6" w:rsidRDefault="00ED1ADA" w:rsidP="00302BFE">
      <w:pPr>
        <w:pStyle w:val="Notedebasdepage"/>
        <w:spacing w:after="0"/>
        <w:rPr>
          <w:rFonts w:ascii="Calibri" w:hAnsi="Calibri"/>
          <w:sz w:val="16"/>
          <w:szCs w:val="16"/>
          <w:lang w:val="en-CA"/>
        </w:rPr>
      </w:pPr>
      <w:r w:rsidRPr="00BA18F6">
        <w:rPr>
          <w:rStyle w:val="Appelnotedebasdep"/>
          <w:rFonts w:ascii="Calibri" w:hAnsi="Calibri"/>
          <w:sz w:val="16"/>
          <w:szCs w:val="16"/>
        </w:rPr>
        <w:footnoteRef/>
      </w:r>
      <w:r w:rsidRPr="00BA18F6">
        <w:rPr>
          <w:rFonts w:ascii="Calibri" w:hAnsi="Calibri"/>
          <w:sz w:val="16"/>
          <w:szCs w:val="16"/>
          <w:lang w:val="en-CA"/>
        </w:rPr>
        <w:t xml:space="preserve"> </w:t>
      </w:r>
      <w:r w:rsidRPr="00BA18F6">
        <w:rPr>
          <w:rFonts w:ascii="Calibri" w:eastAsia="Times New Roman" w:hAnsi="Calibri"/>
          <w:sz w:val="16"/>
          <w:szCs w:val="16"/>
          <w:lang w:val="en-CA" w:eastAsia="fr-FR"/>
        </w:rPr>
        <w:t>National Action Plan on Market Access for NWFPs, 2019</w:t>
      </w:r>
    </w:p>
  </w:footnote>
  <w:footnote w:id="86">
    <w:p w14:paraId="1E5D725D" w14:textId="77777777" w:rsidR="00ED1ADA" w:rsidRPr="003824FD" w:rsidRDefault="00ED1ADA" w:rsidP="00302BFE">
      <w:pPr>
        <w:pStyle w:val="Notedebasdepage"/>
        <w:spacing w:after="0"/>
        <w:rPr>
          <w:rFonts w:ascii="Calibri" w:hAnsi="Calibri"/>
          <w:sz w:val="16"/>
          <w:szCs w:val="16"/>
          <w:lang w:val="fr-CA"/>
        </w:rPr>
      </w:pPr>
      <w:r w:rsidRPr="003824FD">
        <w:rPr>
          <w:rStyle w:val="Appelnotedebasdep"/>
          <w:rFonts w:ascii="Calibri" w:hAnsi="Calibri"/>
          <w:sz w:val="16"/>
          <w:szCs w:val="16"/>
        </w:rPr>
        <w:footnoteRef/>
      </w:r>
      <w:r w:rsidRPr="00C5724B">
        <w:rPr>
          <w:rFonts w:ascii="Calibri" w:hAnsi="Calibri"/>
          <w:sz w:val="16"/>
          <w:szCs w:val="16"/>
          <w:lang w:val="fr-CA" w:eastAsia="fr-FR"/>
        </w:rPr>
        <w:t>Sama, 2015</w:t>
      </w:r>
    </w:p>
  </w:footnote>
  <w:footnote w:id="87">
    <w:p w14:paraId="01F92AE6" w14:textId="77777777" w:rsidR="00ED1ADA" w:rsidRPr="003824FD" w:rsidRDefault="00ED1ADA" w:rsidP="00302BFE">
      <w:pPr>
        <w:pStyle w:val="Notedebasdepage"/>
        <w:spacing w:after="0"/>
        <w:rPr>
          <w:rFonts w:ascii="Calibri" w:hAnsi="Calibri"/>
          <w:sz w:val="16"/>
          <w:szCs w:val="16"/>
          <w:lang w:val="fr-CA"/>
        </w:rPr>
      </w:pPr>
      <w:r w:rsidRPr="003824FD">
        <w:rPr>
          <w:rStyle w:val="Appelnotedebasdep"/>
          <w:rFonts w:ascii="Calibri" w:hAnsi="Calibri"/>
          <w:sz w:val="16"/>
          <w:szCs w:val="16"/>
        </w:rPr>
        <w:footnoteRef/>
      </w:r>
      <w:r w:rsidRPr="003824FD">
        <w:rPr>
          <w:rFonts w:ascii="Calibri" w:hAnsi="Calibri"/>
          <w:sz w:val="16"/>
          <w:szCs w:val="16"/>
          <w:lang w:val="fr-CA"/>
        </w:rPr>
        <w:t xml:space="preserve"> Portier, B., Lungren, C.G. (2007). La faune et le ranching au Burkina Faso. In: W. Delvingt, C. Vermeulen (Eds.), Nazinga. Région Wallonne, Presse Agronomique de Gembloux, Nature+, APEFE, Ministère de l’Environnement et du Cadre de Vie (Burkina Faso), Gembloux and Ouagadougou. pp 33–44.</w:t>
      </w:r>
    </w:p>
  </w:footnote>
  <w:footnote w:id="88">
    <w:p w14:paraId="4EEF71DD" w14:textId="77777777" w:rsidR="00ED1ADA" w:rsidRPr="00E96518" w:rsidRDefault="00ED1ADA" w:rsidP="00302BFE">
      <w:pPr>
        <w:spacing w:after="0"/>
        <w:rPr>
          <w:rFonts w:eastAsia="Times New Roman"/>
          <w:color w:val="003300"/>
          <w:sz w:val="16"/>
          <w:szCs w:val="16"/>
          <w:lang w:val="fr-CA" w:eastAsia="fr-CA"/>
        </w:rPr>
      </w:pPr>
      <w:r w:rsidRPr="00740B95">
        <w:rPr>
          <w:rStyle w:val="Appelnotedebasdep"/>
          <w:sz w:val="16"/>
          <w:szCs w:val="16"/>
        </w:rPr>
        <w:footnoteRef/>
      </w:r>
      <w:r w:rsidRPr="00E96518">
        <w:rPr>
          <w:sz w:val="16"/>
          <w:szCs w:val="16"/>
          <w:lang w:val="fr-CA"/>
        </w:rPr>
        <w:t xml:space="preserve"> </w:t>
      </w:r>
      <w:hyperlink r:id="rId6" w:history="1">
        <w:r w:rsidRPr="00E96518">
          <w:rPr>
            <w:rStyle w:val="Lienhypertexte"/>
            <w:sz w:val="16"/>
            <w:szCs w:val="16"/>
            <w:lang w:val="fr-CA"/>
          </w:rPr>
          <w:t>http://www.parks.it/world/BF/parco.kabore.tambi/Fpar.html</w:t>
        </w:r>
      </w:hyperlink>
      <w:r w:rsidRPr="00E96518">
        <w:rPr>
          <w:rStyle w:val="Lienhypertexte"/>
          <w:sz w:val="16"/>
          <w:szCs w:val="16"/>
          <w:lang w:val="fr-CA"/>
        </w:rPr>
        <w:t xml:space="preserve">, </w:t>
      </w:r>
      <w:r w:rsidRPr="00E96518">
        <w:rPr>
          <w:rFonts w:eastAsia="Times New Roman"/>
          <w:color w:val="003300"/>
          <w:sz w:val="16"/>
          <w:szCs w:val="16"/>
          <w:lang w:val="fr-CA" w:eastAsia="fr-CA"/>
        </w:rPr>
        <w:t>PAPACO 2009 – Évaluation de l’efficacité de la gestion des Aires protégées au Burkina Faso</w:t>
      </w:r>
    </w:p>
  </w:footnote>
  <w:footnote w:id="89">
    <w:p w14:paraId="52F0053D" w14:textId="77777777" w:rsidR="00ED1ADA" w:rsidRPr="003824FD" w:rsidRDefault="00ED1ADA" w:rsidP="00302BFE">
      <w:pPr>
        <w:pStyle w:val="Notedebasdepage"/>
        <w:spacing w:after="0"/>
        <w:rPr>
          <w:rFonts w:ascii="Calibri" w:hAnsi="Calibri"/>
          <w:sz w:val="16"/>
          <w:szCs w:val="16"/>
          <w:lang w:val="fr-CA"/>
        </w:rPr>
      </w:pPr>
      <w:r w:rsidRPr="00F92E82">
        <w:rPr>
          <w:rStyle w:val="Appelnotedebasdep"/>
          <w:rFonts w:asciiTheme="minorHAnsi" w:hAnsiTheme="minorHAnsi"/>
          <w:sz w:val="16"/>
          <w:szCs w:val="16"/>
        </w:rPr>
        <w:footnoteRef/>
      </w:r>
      <w:r w:rsidRPr="00F92E82">
        <w:rPr>
          <w:rFonts w:asciiTheme="minorHAnsi" w:hAnsiTheme="minorHAnsi"/>
          <w:sz w:val="16"/>
          <w:szCs w:val="16"/>
          <w:lang w:val="fr-CA"/>
        </w:rPr>
        <w:t xml:space="preserve"> </w:t>
      </w:r>
      <w:r w:rsidRPr="003824FD">
        <w:rPr>
          <w:rFonts w:ascii="Calibri" w:hAnsi="Calibri"/>
          <w:sz w:val="16"/>
          <w:szCs w:val="16"/>
          <w:lang w:val="fr-CA"/>
        </w:rPr>
        <w:t>Calculé au taux d’aujourd’hui, ce montant équivaut à $44 US par personne.</w:t>
      </w:r>
    </w:p>
  </w:footnote>
  <w:footnote w:id="90">
    <w:p w14:paraId="5D05D511" w14:textId="77777777" w:rsidR="00ED1ADA" w:rsidRPr="003824FD" w:rsidRDefault="00ED1ADA" w:rsidP="00302BFE">
      <w:pPr>
        <w:pStyle w:val="Notedebasdepage"/>
        <w:spacing w:after="0"/>
        <w:rPr>
          <w:rFonts w:ascii="Calibri" w:hAnsi="Calibri"/>
          <w:sz w:val="16"/>
          <w:szCs w:val="16"/>
          <w:lang w:val="fr-CA"/>
        </w:rPr>
      </w:pPr>
      <w:r w:rsidRPr="003824FD">
        <w:rPr>
          <w:rStyle w:val="Appelnotedebasdep"/>
          <w:rFonts w:ascii="Calibri" w:hAnsi="Calibri"/>
          <w:sz w:val="16"/>
          <w:szCs w:val="16"/>
        </w:rPr>
        <w:footnoteRef/>
      </w:r>
      <w:r w:rsidRPr="003824FD">
        <w:rPr>
          <w:rFonts w:ascii="Calibri" w:hAnsi="Calibri"/>
          <w:sz w:val="16"/>
          <w:szCs w:val="16"/>
          <w:lang w:val="fr-CA"/>
        </w:rPr>
        <w:t xml:space="preserve"> MINISTERE DE L’ENVIRONNEMENT ET DU CADRE DE VIE. 2007. Rapport final d’exécution du projet PAGEN - Opinion du Gouvernement Burkinabé.</w:t>
      </w:r>
    </w:p>
  </w:footnote>
  <w:footnote w:id="91">
    <w:p w14:paraId="43CBDA32" w14:textId="77777777" w:rsidR="00ED1ADA" w:rsidRPr="00F92E82" w:rsidRDefault="00ED1ADA" w:rsidP="00302BFE">
      <w:pPr>
        <w:pStyle w:val="Notedebasdepage"/>
        <w:spacing w:after="0"/>
        <w:rPr>
          <w:rFonts w:asciiTheme="minorHAnsi" w:hAnsiTheme="minorHAnsi"/>
          <w:sz w:val="16"/>
          <w:szCs w:val="16"/>
          <w:lang w:val="fr-CA"/>
        </w:rPr>
      </w:pPr>
      <w:r w:rsidRPr="00F92E82">
        <w:rPr>
          <w:rStyle w:val="Appelnotedebasdep"/>
          <w:rFonts w:asciiTheme="minorHAnsi" w:hAnsiTheme="minorHAnsi"/>
          <w:sz w:val="16"/>
          <w:szCs w:val="16"/>
        </w:rPr>
        <w:footnoteRef/>
      </w:r>
      <w:r w:rsidRPr="00F92E82">
        <w:rPr>
          <w:rFonts w:asciiTheme="minorHAnsi" w:hAnsiTheme="minorHAnsi"/>
          <w:sz w:val="16"/>
          <w:szCs w:val="16"/>
          <w:lang w:val="fr-CA"/>
        </w:rPr>
        <w:t xml:space="preserve"> MEEVCC, 2014</w:t>
      </w:r>
    </w:p>
  </w:footnote>
  <w:footnote w:id="92">
    <w:p w14:paraId="7E7E9504" w14:textId="77777777" w:rsidR="00ED1ADA" w:rsidRPr="00F92E82" w:rsidRDefault="00ED1ADA" w:rsidP="00302BFE">
      <w:pPr>
        <w:pStyle w:val="Notedebasdepage"/>
        <w:spacing w:after="0"/>
        <w:rPr>
          <w:rFonts w:asciiTheme="minorHAnsi" w:hAnsiTheme="minorHAnsi"/>
          <w:sz w:val="16"/>
          <w:szCs w:val="16"/>
          <w:lang w:val="fr-CA"/>
        </w:rPr>
      </w:pPr>
      <w:r w:rsidRPr="00F92E82">
        <w:rPr>
          <w:rStyle w:val="Appelnotedebasdep"/>
          <w:rFonts w:asciiTheme="minorHAnsi" w:hAnsiTheme="minorHAnsi"/>
          <w:sz w:val="16"/>
          <w:szCs w:val="16"/>
        </w:rPr>
        <w:footnoteRef/>
      </w:r>
      <w:r w:rsidRPr="00F92E82">
        <w:rPr>
          <w:rFonts w:asciiTheme="minorHAnsi" w:hAnsiTheme="minorHAnsi"/>
          <w:sz w:val="16"/>
          <w:szCs w:val="16"/>
          <w:lang w:val="fr-CA"/>
        </w:rPr>
        <w:t xml:space="preserve"> </w:t>
      </w:r>
      <w:r w:rsidRPr="00F92E82">
        <w:rPr>
          <w:rFonts w:asciiTheme="minorHAnsi" w:eastAsia="Calibri" w:hAnsiTheme="minorHAnsi"/>
          <w:sz w:val="16"/>
          <w:szCs w:val="16"/>
          <w:lang w:val="fr-CA"/>
        </w:rPr>
        <w:t xml:space="preserve">Vermeulen C. 2007. Le pays Gourounsi. </w:t>
      </w:r>
      <w:r w:rsidRPr="00F92E82">
        <w:rPr>
          <w:rFonts w:asciiTheme="minorHAnsi" w:eastAsia="Calibri" w:hAnsiTheme="minorHAnsi"/>
          <w:i/>
          <w:sz w:val="16"/>
          <w:szCs w:val="16"/>
          <w:lang w:val="fr-CA"/>
        </w:rPr>
        <w:t>in</w:t>
      </w:r>
      <w:r w:rsidRPr="00F92E82">
        <w:rPr>
          <w:rFonts w:asciiTheme="minorHAnsi" w:eastAsia="Calibri" w:hAnsiTheme="minorHAnsi"/>
          <w:sz w:val="16"/>
          <w:szCs w:val="16"/>
          <w:lang w:val="fr-CA"/>
        </w:rPr>
        <w:t xml:space="preserve"> Delvingt W.,</w:t>
      </w:r>
      <w:hyperlink r:id="rId7" w:history="1">
        <w:r w:rsidRPr="00F92E82">
          <w:rPr>
            <w:rFonts w:asciiTheme="minorHAnsi" w:eastAsia="Calibri" w:hAnsiTheme="minorHAnsi"/>
            <w:sz w:val="16"/>
            <w:szCs w:val="16"/>
            <w:lang w:val="fr-CA"/>
          </w:rPr>
          <w:t xml:space="preserve"> C. Vermeulen</w:t>
        </w:r>
      </w:hyperlink>
      <w:r w:rsidRPr="00F92E82">
        <w:rPr>
          <w:rFonts w:asciiTheme="minorHAnsi" w:eastAsia="Calibri" w:hAnsiTheme="minorHAnsi"/>
          <w:sz w:val="16"/>
          <w:szCs w:val="16"/>
          <w:lang w:val="fr-CA"/>
        </w:rPr>
        <w:t xml:space="preserve"> (eds.). Nazinga. Les Presses agronomiques de Gembloux. 312 p.</w:t>
      </w:r>
    </w:p>
  </w:footnote>
  <w:footnote w:id="93">
    <w:p w14:paraId="5927A706" w14:textId="77777777" w:rsidR="00ED1ADA" w:rsidRPr="00F92E82" w:rsidRDefault="00ED1ADA" w:rsidP="00302BFE">
      <w:pPr>
        <w:pStyle w:val="Notedebasdepage"/>
        <w:spacing w:after="0"/>
        <w:rPr>
          <w:rFonts w:asciiTheme="minorHAnsi" w:hAnsiTheme="minorHAnsi"/>
          <w:sz w:val="16"/>
          <w:szCs w:val="16"/>
          <w:lang w:val="fr-CA"/>
        </w:rPr>
      </w:pPr>
      <w:r w:rsidRPr="00F92E82">
        <w:rPr>
          <w:rStyle w:val="Appelnotedebasdep"/>
          <w:rFonts w:asciiTheme="minorHAnsi" w:hAnsiTheme="minorHAnsi"/>
          <w:sz w:val="16"/>
          <w:szCs w:val="16"/>
        </w:rPr>
        <w:footnoteRef/>
      </w:r>
      <w:r w:rsidRPr="00F92E82">
        <w:rPr>
          <w:rFonts w:asciiTheme="minorHAnsi" w:hAnsiTheme="minorHAnsi"/>
          <w:sz w:val="16"/>
          <w:szCs w:val="16"/>
          <w:lang w:val="fr-CA"/>
        </w:rPr>
        <w:t xml:space="preserve"> Hema, E. M., Barnes, R. F. W., &amp; Guenda, W. (2010). </w:t>
      </w:r>
      <w:r w:rsidRPr="00F92E82">
        <w:rPr>
          <w:rFonts w:asciiTheme="minorHAnsi" w:hAnsiTheme="minorHAnsi"/>
          <w:sz w:val="16"/>
          <w:szCs w:val="16"/>
          <w:lang w:val="en-CA"/>
        </w:rPr>
        <w:t xml:space="preserve">Distribution of savannah elephants (Loxodonta africana Africana Blumenbach 1797) within Nazinga game ranch, southern Burkina Faso. </w:t>
      </w:r>
      <w:r w:rsidRPr="00F92E82">
        <w:rPr>
          <w:rFonts w:asciiTheme="minorHAnsi" w:hAnsiTheme="minorHAnsi"/>
          <w:sz w:val="16"/>
          <w:szCs w:val="16"/>
          <w:lang w:val="fr-CA"/>
        </w:rPr>
        <w:t>African Journal of Ecology, 49(2), 141–149</w:t>
      </w:r>
    </w:p>
  </w:footnote>
  <w:footnote w:id="94">
    <w:p w14:paraId="613F72A9" w14:textId="77777777" w:rsidR="00ED1ADA" w:rsidRPr="0075595E" w:rsidRDefault="00ED1ADA" w:rsidP="00302BFE">
      <w:pPr>
        <w:pStyle w:val="Notedebasdepage"/>
        <w:spacing w:after="0"/>
        <w:rPr>
          <w:rFonts w:ascii="Calibri" w:hAnsi="Calibri"/>
          <w:sz w:val="16"/>
          <w:szCs w:val="16"/>
          <w:lang w:val="fr-CA"/>
        </w:rPr>
      </w:pPr>
      <w:r w:rsidRPr="0075595E">
        <w:rPr>
          <w:rStyle w:val="Appelnotedebasdep"/>
          <w:rFonts w:ascii="Calibri" w:hAnsi="Calibri"/>
          <w:sz w:val="16"/>
          <w:szCs w:val="16"/>
        </w:rPr>
        <w:footnoteRef/>
      </w:r>
      <w:r w:rsidRPr="0075595E">
        <w:rPr>
          <w:rFonts w:ascii="Calibri" w:hAnsi="Calibri"/>
          <w:sz w:val="16"/>
          <w:szCs w:val="16"/>
          <w:lang w:val="fr-CA"/>
        </w:rPr>
        <w:t xml:space="preserve"> Commune rurale de Biéha, 2015. Plan communal de développement 2015-2019 de Biéha, 110 p</w:t>
      </w:r>
    </w:p>
  </w:footnote>
  <w:footnote w:id="95">
    <w:p w14:paraId="32876A86" w14:textId="6B778AAC" w:rsidR="00ED1ADA" w:rsidRPr="00F92E82" w:rsidRDefault="00ED1ADA">
      <w:pPr>
        <w:pStyle w:val="Notedebasdepage"/>
        <w:rPr>
          <w:rFonts w:ascii="Calibri" w:hAnsi="Calibri"/>
          <w:sz w:val="16"/>
          <w:szCs w:val="16"/>
          <w:lang w:val="fr-CA"/>
        </w:rPr>
      </w:pPr>
      <w:r w:rsidRPr="00F92E82">
        <w:rPr>
          <w:rStyle w:val="Appelnotedebasdep"/>
          <w:rFonts w:asciiTheme="minorHAnsi" w:hAnsiTheme="minorHAnsi"/>
          <w:sz w:val="16"/>
          <w:szCs w:val="16"/>
        </w:rPr>
        <w:footnoteRef/>
      </w:r>
      <w:r w:rsidRPr="00F92E82">
        <w:rPr>
          <w:rFonts w:ascii="Calibri" w:hAnsi="Calibri"/>
          <w:sz w:val="16"/>
          <w:szCs w:val="16"/>
          <w:lang w:val="fr-CA"/>
        </w:rPr>
        <w:t xml:space="preserve"> Naturama, 2006</w:t>
      </w:r>
    </w:p>
  </w:footnote>
  <w:footnote w:id="96">
    <w:p w14:paraId="5A1EA34C" w14:textId="77777777" w:rsidR="00ED1ADA" w:rsidRPr="0075595E" w:rsidRDefault="00ED1ADA" w:rsidP="00302BFE">
      <w:pPr>
        <w:pStyle w:val="Notedebasdepage"/>
        <w:spacing w:after="0"/>
        <w:rPr>
          <w:rFonts w:ascii="Calibri" w:hAnsi="Calibri"/>
          <w:sz w:val="16"/>
          <w:szCs w:val="16"/>
          <w:lang w:val="fr-CA"/>
        </w:rPr>
      </w:pPr>
      <w:r w:rsidRPr="0075595E">
        <w:rPr>
          <w:rStyle w:val="Appelnotedebasdep"/>
          <w:rFonts w:ascii="Calibri" w:hAnsi="Calibri"/>
          <w:sz w:val="16"/>
          <w:szCs w:val="16"/>
        </w:rPr>
        <w:footnoteRef/>
      </w:r>
      <w:r w:rsidRPr="0075595E">
        <w:rPr>
          <w:rFonts w:ascii="Calibri" w:hAnsi="Calibri"/>
          <w:sz w:val="16"/>
          <w:szCs w:val="16"/>
          <w:lang w:val="fr-CA"/>
        </w:rPr>
        <w:t xml:space="preserve"> MEEVCC, 2014</w:t>
      </w:r>
    </w:p>
  </w:footnote>
  <w:footnote w:id="97">
    <w:p w14:paraId="646B75A5" w14:textId="77777777" w:rsidR="00ED1ADA" w:rsidRPr="00886586" w:rsidRDefault="00ED1ADA" w:rsidP="00302BFE">
      <w:pPr>
        <w:pStyle w:val="Notedebasdepage"/>
        <w:spacing w:after="0"/>
        <w:rPr>
          <w:rFonts w:ascii="Calibri" w:hAnsi="Calibri"/>
          <w:sz w:val="16"/>
          <w:szCs w:val="16"/>
          <w:lang w:val="fr-CA"/>
        </w:rPr>
      </w:pPr>
      <w:r>
        <w:rPr>
          <w:rStyle w:val="Appelnotedebasdep"/>
        </w:rPr>
        <w:footnoteRef/>
      </w:r>
      <w:r w:rsidRPr="004C1E19">
        <w:rPr>
          <w:lang w:val="fr-CA"/>
        </w:rPr>
        <w:t xml:space="preserve"> </w:t>
      </w:r>
      <w:r w:rsidRPr="00886586">
        <w:rPr>
          <w:rFonts w:ascii="Calibri" w:hAnsi="Calibri"/>
          <w:sz w:val="16"/>
          <w:szCs w:val="16"/>
          <w:lang w:val="fr-CA"/>
        </w:rPr>
        <w:t>Vermeulen, C, Michaux, J.-F. (2007). Les populations riveraines du Ranch de Nazinga: anthropologie politique, aménagement des terroirs et zones villageoises de chasse. In: W. Delvingt &amp; C. Vermeulen (Eds.), Nazinga. Région Wallonne, Presse Agronomique de Gembloux, Nature+, APEFE, Ministère de l’Environnement et du Cadre de Vie (Burkina Faso), Gembloux and Ouagadougou.</w:t>
      </w:r>
    </w:p>
  </w:footnote>
  <w:footnote w:id="98">
    <w:p w14:paraId="098D2F62" w14:textId="77777777" w:rsidR="00ED1ADA" w:rsidRPr="00901D84" w:rsidRDefault="00ED1ADA" w:rsidP="00302BFE">
      <w:pPr>
        <w:pStyle w:val="Notedebasdepage"/>
        <w:spacing w:after="0"/>
        <w:rPr>
          <w:rFonts w:asciiTheme="minorHAnsi" w:hAnsiTheme="minorHAnsi"/>
          <w:sz w:val="16"/>
          <w:szCs w:val="16"/>
          <w:lang w:val="fr-CA"/>
        </w:rPr>
      </w:pPr>
      <w:r w:rsidRPr="00901D84">
        <w:rPr>
          <w:rStyle w:val="Appelnotedebasdep"/>
          <w:rFonts w:asciiTheme="minorHAnsi" w:hAnsiTheme="minorHAnsi"/>
          <w:sz w:val="16"/>
          <w:szCs w:val="16"/>
        </w:rPr>
        <w:footnoteRef/>
      </w:r>
      <w:r w:rsidRPr="00901D84">
        <w:rPr>
          <w:rFonts w:asciiTheme="minorHAnsi" w:hAnsiTheme="minorHAnsi"/>
          <w:sz w:val="16"/>
          <w:szCs w:val="16"/>
          <w:lang w:val="fr-CA"/>
        </w:rPr>
        <w:t xml:space="preserve"> NIKIEMA B. 2008. Gestion participative des ressources naturelles des Zones Villageoises d'Intérêt Cynégétiques (ZOVIC) autour du Ranch de Gibier de Nazinga au BURKINA FASO. Cas des ZOVIC de Koumbili et de Kontioro. MÉMOIRE. Université Polytechnique de Bobo-Dioulasso, Institut du Développement Rural.</w:t>
      </w:r>
    </w:p>
  </w:footnote>
  <w:footnote w:id="99">
    <w:p w14:paraId="085F806C" w14:textId="77777777" w:rsidR="00ED1ADA" w:rsidRPr="00B72D64" w:rsidRDefault="00ED1ADA" w:rsidP="00302BFE">
      <w:pPr>
        <w:pStyle w:val="Notedebasdepage"/>
        <w:spacing w:after="0"/>
        <w:rPr>
          <w:rFonts w:ascii="Calibri" w:hAnsi="Calibri"/>
          <w:sz w:val="16"/>
          <w:szCs w:val="16"/>
          <w:lang w:val="fr-CA"/>
        </w:rPr>
      </w:pPr>
      <w:r w:rsidRPr="00B72D64">
        <w:rPr>
          <w:rStyle w:val="Appelnotedebasdep"/>
          <w:rFonts w:ascii="Calibri" w:hAnsi="Calibri"/>
          <w:sz w:val="16"/>
          <w:szCs w:val="16"/>
        </w:rPr>
        <w:footnoteRef/>
      </w:r>
      <w:r w:rsidRPr="00B72D64">
        <w:rPr>
          <w:rFonts w:ascii="Calibri" w:hAnsi="Calibri"/>
          <w:sz w:val="16"/>
          <w:szCs w:val="16"/>
          <w:lang w:val="fr-CA"/>
        </w:rPr>
        <w:t xml:space="preserve"> Cette dénomination est non conforme à la loi qui précise que la zone tampon est incluse dans l’aire protégée et non pas à sa périphérie</w:t>
      </w:r>
    </w:p>
  </w:footnote>
  <w:footnote w:id="100">
    <w:p w14:paraId="52CE5D17" w14:textId="77777777" w:rsidR="00ED1ADA" w:rsidRPr="00B72D64" w:rsidRDefault="00ED1ADA" w:rsidP="00302BFE">
      <w:pPr>
        <w:pStyle w:val="Notedebasdepage"/>
        <w:spacing w:after="0"/>
        <w:rPr>
          <w:rFonts w:ascii="Calibri" w:hAnsi="Calibri"/>
          <w:sz w:val="16"/>
          <w:szCs w:val="16"/>
          <w:lang w:val="fr-FR"/>
        </w:rPr>
      </w:pPr>
      <w:r w:rsidRPr="00B72D64">
        <w:rPr>
          <w:rStyle w:val="Appelnotedebasdep"/>
          <w:rFonts w:ascii="Calibri" w:hAnsi="Calibri"/>
          <w:sz w:val="16"/>
          <w:szCs w:val="16"/>
        </w:rPr>
        <w:footnoteRef/>
      </w:r>
      <w:r w:rsidRPr="00B72D64">
        <w:rPr>
          <w:rFonts w:ascii="Calibri" w:hAnsi="Calibri"/>
          <w:sz w:val="16"/>
          <w:szCs w:val="16"/>
          <w:lang w:val="fr-CA"/>
        </w:rPr>
        <w:t xml:space="preserve"> Le CAF du Nakambé est constitué de 2 massifs forestiers dont les contours ont été remodelés à la faveur de la création en 1976 du PNKT : à l’Ouest l’ex- « zone cynégétique nord » de la FC de Po, d’une superficie de 14 720 ha, détachée du Parc National et concédée à l’Union des GGF du Nakambé ; à l’Est la relique de la FC de la Volta Blanche après que celle-ci ait été partiellement occupée par l</w:t>
      </w:r>
      <w:r>
        <w:rPr>
          <w:rFonts w:ascii="Calibri" w:hAnsi="Calibri"/>
          <w:sz w:val="16"/>
          <w:szCs w:val="16"/>
          <w:lang w:val="fr-CA"/>
        </w:rPr>
        <w:t>’</w:t>
      </w:r>
      <w:r w:rsidRPr="00B72D64">
        <w:rPr>
          <w:rFonts w:ascii="Calibri" w:hAnsi="Calibri"/>
          <w:sz w:val="16"/>
          <w:szCs w:val="16"/>
          <w:lang w:val="fr-CA"/>
        </w:rPr>
        <w:t xml:space="preserve">aménagement des vallées des Voltas. Ce massif forestier dit de Gaongo, d’une superficie de 6 550 ha a été le premier massif aménagé en 1991 par le CAF de Nakambé, bien qu’ayant été érigé par arrêté interministériel en « Zone pastorale », sans que la FC de la Volta Blanche elle-même ait été déclassée. </w:t>
      </w:r>
    </w:p>
  </w:footnote>
  <w:footnote w:id="101">
    <w:p w14:paraId="51D61B7D" w14:textId="77777777" w:rsidR="00ED1ADA" w:rsidRPr="00794A76" w:rsidRDefault="00ED1ADA" w:rsidP="00302BFE">
      <w:pPr>
        <w:pStyle w:val="Notedebasdepage"/>
        <w:spacing w:after="0"/>
        <w:rPr>
          <w:rFonts w:ascii="Calibri" w:hAnsi="Calibri"/>
          <w:sz w:val="16"/>
          <w:szCs w:val="16"/>
          <w:lang w:val="en-CA"/>
        </w:rPr>
      </w:pPr>
      <w:r>
        <w:rPr>
          <w:rStyle w:val="Appelnotedebasdep"/>
        </w:rPr>
        <w:footnoteRef/>
      </w:r>
      <w:r w:rsidRPr="00794A76">
        <w:rPr>
          <w:rFonts w:ascii="Calibri" w:hAnsi="Calibri"/>
          <w:sz w:val="16"/>
          <w:szCs w:val="16"/>
          <w:lang w:val="en-CA"/>
        </w:rPr>
        <w:t xml:space="preserve">Corridors # 1 and # 2 were set up by the PAGEN project in 2008 but could not be gazetted. Funded by FFEM, the NGO NATUDEV is currently (2018-2019) working to formalize the creation of corridor # 1 and develop a participatory management and development plan. </w:t>
      </w:r>
    </w:p>
  </w:footnote>
  <w:footnote w:id="102">
    <w:p w14:paraId="1DE965FA" w14:textId="77777777" w:rsidR="00ED1ADA" w:rsidRPr="00794A76" w:rsidRDefault="00ED1ADA" w:rsidP="00302BFE">
      <w:pPr>
        <w:pStyle w:val="Notedebasdepage"/>
        <w:spacing w:after="0"/>
        <w:rPr>
          <w:rFonts w:ascii="Calibri" w:hAnsi="Calibri"/>
          <w:sz w:val="16"/>
          <w:szCs w:val="16"/>
          <w:lang w:val="en-CA"/>
        </w:rPr>
      </w:pPr>
      <w:r>
        <w:rPr>
          <w:rStyle w:val="Appelnotedebasdep"/>
          <w:rFonts w:ascii="Calibri" w:hAnsi="Calibri"/>
          <w:sz w:val="16"/>
          <w:szCs w:val="16"/>
        </w:rPr>
        <w:footnoteRef/>
      </w:r>
      <w:r w:rsidRPr="00794A76">
        <w:rPr>
          <w:rFonts w:ascii="Calibri" w:hAnsi="Calibri"/>
          <w:sz w:val="16"/>
          <w:szCs w:val="16"/>
          <w:lang w:val="en-CA"/>
        </w:rPr>
        <w:t xml:space="preserve"> CVGF: Village Committee for Wildlife Management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B2A76" w14:textId="77777777" w:rsidR="0071360F" w:rsidRPr="00424365" w:rsidRDefault="0071360F" w:rsidP="00424365">
    <w:pPr>
      <w:pStyle w:val="En-tte"/>
      <w:rPr>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37A43" w14:textId="77777777" w:rsidR="00ED1ADA" w:rsidRPr="00424365" w:rsidRDefault="00ED1ADA" w:rsidP="00243B15">
    <w:pPr>
      <w:pStyle w:val="En-tte"/>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2BA7"/>
    <w:multiLevelType w:val="hybridMultilevel"/>
    <w:tmpl w:val="A9DE57C0"/>
    <w:lvl w:ilvl="0" w:tplc="DF4035B4">
      <w:start w:val="1"/>
      <w:numFmt w:val="bullet"/>
      <w:lvlText w:val=""/>
      <w:lvlJc w:val="left"/>
      <w:pPr>
        <w:tabs>
          <w:tab w:val="num" w:pos="360"/>
        </w:tabs>
        <w:ind w:left="360" w:hanging="360"/>
      </w:pPr>
      <w:rPr>
        <w:rFonts w:ascii="Wingdings" w:hAnsi="Wingdings" w:hint="default"/>
      </w:rPr>
    </w:lvl>
    <w:lvl w:ilvl="1" w:tplc="864CA0B4">
      <w:numFmt w:val="bullet"/>
      <w:lvlText w:val=""/>
      <w:lvlJc w:val="left"/>
      <w:pPr>
        <w:tabs>
          <w:tab w:val="num" w:pos="1080"/>
        </w:tabs>
        <w:ind w:left="1080" w:hanging="360"/>
      </w:pPr>
      <w:rPr>
        <w:rFonts w:ascii="Wingdings" w:hAnsi="Wingdings" w:hint="default"/>
      </w:rPr>
    </w:lvl>
    <w:lvl w:ilvl="2" w:tplc="914E0244" w:tentative="1">
      <w:start w:val="1"/>
      <w:numFmt w:val="bullet"/>
      <w:lvlText w:val=""/>
      <w:lvlJc w:val="left"/>
      <w:pPr>
        <w:tabs>
          <w:tab w:val="num" w:pos="1800"/>
        </w:tabs>
        <w:ind w:left="1800" w:hanging="360"/>
      </w:pPr>
      <w:rPr>
        <w:rFonts w:ascii="Wingdings" w:hAnsi="Wingdings" w:hint="default"/>
      </w:rPr>
    </w:lvl>
    <w:lvl w:ilvl="3" w:tplc="4DB202C6" w:tentative="1">
      <w:start w:val="1"/>
      <w:numFmt w:val="bullet"/>
      <w:lvlText w:val=""/>
      <w:lvlJc w:val="left"/>
      <w:pPr>
        <w:tabs>
          <w:tab w:val="num" w:pos="2520"/>
        </w:tabs>
        <w:ind w:left="2520" w:hanging="360"/>
      </w:pPr>
      <w:rPr>
        <w:rFonts w:ascii="Wingdings" w:hAnsi="Wingdings" w:hint="default"/>
      </w:rPr>
    </w:lvl>
    <w:lvl w:ilvl="4" w:tplc="A8C88B3E" w:tentative="1">
      <w:start w:val="1"/>
      <w:numFmt w:val="bullet"/>
      <w:lvlText w:val=""/>
      <w:lvlJc w:val="left"/>
      <w:pPr>
        <w:tabs>
          <w:tab w:val="num" w:pos="3240"/>
        </w:tabs>
        <w:ind w:left="3240" w:hanging="360"/>
      </w:pPr>
      <w:rPr>
        <w:rFonts w:ascii="Wingdings" w:hAnsi="Wingdings" w:hint="default"/>
      </w:rPr>
    </w:lvl>
    <w:lvl w:ilvl="5" w:tplc="488A35CA" w:tentative="1">
      <w:start w:val="1"/>
      <w:numFmt w:val="bullet"/>
      <w:lvlText w:val=""/>
      <w:lvlJc w:val="left"/>
      <w:pPr>
        <w:tabs>
          <w:tab w:val="num" w:pos="3960"/>
        </w:tabs>
        <w:ind w:left="3960" w:hanging="360"/>
      </w:pPr>
      <w:rPr>
        <w:rFonts w:ascii="Wingdings" w:hAnsi="Wingdings" w:hint="default"/>
      </w:rPr>
    </w:lvl>
    <w:lvl w:ilvl="6" w:tplc="E9A4F710" w:tentative="1">
      <w:start w:val="1"/>
      <w:numFmt w:val="bullet"/>
      <w:lvlText w:val=""/>
      <w:lvlJc w:val="left"/>
      <w:pPr>
        <w:tabs>
          <w:tab w:val="num" w:pos="4680"/>
        </w:tabs>
        <w:ind w:left="4680" w:hanging="360"/>
      </w:pPr>
      <w:rPr>
        <w:rFonts w:ascii="Wingdings" w:hAnsi="Wingdings" w:hint="default"/>
      </w:rPr>
    </w:lvl>
    <w:lvl w:ilvl="7" w:tplc="D6C862A0" w:tentative="1">
      <w:start w:val="1"/>
      <w:numFmt w:val="bullet"/>
      <w:lvlText w:val=""/>
      <w:lvlJc w:val="left"/>
      <w:pPr>
        <w:tabs>
          <w:tab w:val="num" w:pos="5400"/>
        </w:tabs>
        <w:ind w:left="5400" w:hanging="360"/>
      </w:pPr>
      <w:rPr>
        <w:rFonts w:ascii="Wingdings" w:hAnsi="Wingdings" w:hint="default"/>
      </w:rPr>
    </w:lvl>
    <w:lvl w:ilvl="8" w:tplc="F7F8675A"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0E9066D"/>
    <w:multiLevelType w:val="hybridMultilevel"/>
    <w:tmpl w:val="8B629BF2"/>
    <w:lvl w:ilvl="0" w:tplc="095204CC">
      <w:start w:val="1"/>
      <w:numFmt w:val="bullet"/>
      <w:lvlText w:val=""/>
      <w:lvlJc w:val="left"/>
      <w:pPr>
        <w:ind w:left="720" w:hanging="360"/>
      </w:pPr>
      <w:rPr>
        <w:rFonts w:ascii="Wingdings" w:hAnsi="Wingdings" w:hint="default"/>
        <w:sz w:val="1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E23634"/>
    <w:multiLevelType w:val="hybridMultilevel"/>
    <w:tmpl w:val="2CCE68F2"/>
    <w:lvl w:ilvl="0" w:tplc="040C0019">
      <w:start w:val="1"/>
      <w:numFmt w:val="lowerLetter"/>
      <w:lvlText w:val="%1."/>
      <w:lvlJc w:val="left"/>
      <w:pPr>
        <w:ind w:left="1138" w:hanging="360"/>
      </w:pPr>
    </w:lvl>
    <w:lvl w:ilvl="1" w:tplc="040C0019">
      <w:start w:val="1"/>
      <w:numFmt w:val="lowerLetter"/>
      <w:lvlText w:val="%2."/>
      <w:lvlJc w:val="left"/>
      <w:pPr>
        <w:ind w:left="1858" w:hanging="360"/>
      </w:pPr>
    </w:lvl>
    <w:lvl w:ilvl="2" w:tplc="040C001B">
      <w:start w:val="1"/>
      <w:numFmt w:val="lowerRoman"/>
      <w:lvlText w:val="%3."/>
      <w:lvlJc w:val="right"/>
      <w:pPr>
        <w:ind w:left="2578" w:hanging="180"/>
      </w:pPr>
    </w:lvl>
    <w:lvl w:ilvl="3" w:tplc="040C000F">
      <w:start w:val="1"/>
      <w:numFmt w:val="decimal"/>
      <w:lvlText w:val="%4."/>
      <w:lvlJc w:val="left"/>
      <w:pPr>
        <w:ind w:left="3298" w:hanging="360"/>
      </w:pPr>
    </w:lvl>
    <w:lvl w:ilvl="4" w:tplc="040C0019">
      <w:start w:val="1"/>
      <w:numFmt w:val="lowerLetter"/>
      <w:lvlText w:val="%5."/>
      <w:lvlJc w:val="left"/>
      <w:pPr>
        <w:ind w:left="4018" w:hanging="360"/>
      </w:pPr>
    </w:lvl>
    <w:lvl w:ilvl="5" w:tplc="040C001B">
      <w:start w:val="1"/>
      <w:numFmt w:val="lowerRoman"/>
      <w:lvlText w:val="%6."/>
      <w:lvlJc w:val="right"/>
      <w:pPr>
        <w:ind w:left="4738" w:hanging="180"/>
      </w:pPr>
    </w:lvl>
    <w:lvl w:ilvl="6" w:tplc="040C000F">
      <w:start w:val="1"/>
      <w:numFmt w:val="decimal"/>
      <w:lvlText w:val="%7."/>
      <w:lvlJc w:val="left"/>
      <w:pPr>
        <w:ind w:left="5458" w:hanging="360"/>
      </w:pPr>
    </w:lvl>
    <w:lvl w:ilvl="7" w:tplc="040C0019">
      <w:start w:val="1"/>
      <w:numFmt w:val="lowerLetter"/>
      <w:lvlText w:val="%8."/>
      <w:lvlJc w:val="left"/>
      <w:pPr>
        <w:ind w:left="6178" w:hanging="360"/>
      </w:pPr>
    </w:lvl>
    <w:lvl w:ilvl="8" w:tplc="040C001B">
      <w:start w:val="1"/>
      <w:numFmt w:val="lowerRoman"/>
      <w:lvlText w:val="%9."/>
      <w:lvlJc w:val="right"/>
      <w:pPr>
        <w:ind w:left="6898" w:hanging="180"/>
      </w:pPr>
    </w:lvl>
  </w:abstractNum>
  <w:abstractNum w:abstractNumId="3"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885B7A"/>
    <w:multiLevelType w:val="hybridMultilevel"/>
    <w:tmpl w:val="9DECD7FC"/>
    <w:lvl w:ilvl="0" w:tplc="02C80314">
      <w:start w:val="1"/>
      <w:numFmt w:val="decimal"/>
      <w:pStyle w:val="PIFPara"/>
      <w:lvlText w:val="%1."/>
      <w:lvlJc w:val="left"/>
      <w:pPr>
        <w:ind w:left="5580" w:hanging="360"/>
      </w:pPr>
      <w:rPr>
        <w:b w:val="0"/>
        <w:i w:val="0"/>
      </w:rPr>
    </w:lvl>
    <w:lvl w:ilvl="1" w:tplc="569C0438">
      <w:numFmt w:val="bullet"/>
      <w:lvlText w:val="—"/>
      <w:lvlJc w:val="left"/>
      <w:pPr>
        <w:ind w:left="1440" w:hanging="360"/>
      </w:pPr>
      <w:rPr>
        <w:rFonts w:ascii="Times New Roman" w:eastAsia="Calibri" w:hAnsi="Times New Roman" w:cs="Times New Roman"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B781ED9"/>
    <w:multiLevelType w:val="hybridMultilevel"/>
    <w:tmpl w:val="4DA2A100"/>
    <w:lvl w:ilvl="0" w:tplc="04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6" w15:restartNumberingAfterBreak="0">
    <w:nsid w:val="0F9D3940"/>
    <w:multiLevelType w:val="hybridMultilevel"/>
    <w:tmpl w:val="1760042C"/>
    <w:lvl w:ilvl="0" w:tplc="095204CC">
      <w:start w:val="1"/>
      <w:numFmt w:val="bullet"/>
      <w:lvlText w:val=""/>
      <w:lvlJc w:val="left"/>
      <w:pPr>
        <w:ind w:left="720" w:hanging="360"/>
      </w:pPr>
      <w:rPr>
        <w:rFonts w:ascii="Wingdings" w:hAnsi="Wingdings" w:hint="default"/>
        <w:sz w:val="1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1BD2C7D"/>
    <w:multiLevelType w:val="hybridMultilevel"/>
    <w:tmpl w:val="F3522472"/>
    <w:lvl w:ilvl="0" w:tplc="0409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8" w15:restartNumberingAfterBreak="0">
    <w:nsid w:val="12EF7BC1"/>
    <w:multiLevelType w:val="hybridMultilevel"/>
    <w:tmpl w:val="03843EC6"/>
    <w:lvl w:ilvl="0" w:tplc="D3308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9D27E6"/>
    <w:multiLevelType w:val="hybridMultilevel"/>
    <w:tmpl w:val="81C4CEBE"/>
    <w:lvl w:ilvl="0" w:tplc="0C0C0019">
      <w:start w:val="1"/>
      <w:numFmt w:val="lowerLetter"/>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43C79EC"/>
    <w:multiLevelType w:val="hybridMultilevel"/>
    <w:tmpl w:val="41EEB556"/>
    <w:lvl w:ilvl="0" w:tplc="87CAC2C8">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4C8771D"/>
    <w:multiLevelType w:val="hybridMultilevel"/>
    <w:tmpl w:val="D3F4DE46"/>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2" w15:restartNumberingAfterBreak="0">
    <w:nsid w:val="15C43744"/>
    <w:multiLevelType w:val="hybridMultilevel"/>
    <w:tmpl w:val="349A42BC"/>
    <w:lvl w:ilvl="0" w:tplc="0C0C0019">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161277A5"/>
    <w:multiLevelType w:val="hybridMultilevel"/>
    <w:tmpl w:val="A976AB9A"/>
    <w:lvl w:ilvl="0" w:tplc="9DB00120">
      <w:start w:val="1"/>
      <w:numFmt w:val="upperRoman"/>
      <w:pStyle w:val="Titre1"/>
      <w:lvlText w:val="%1."/>
      <w:lvlJc w:val="left"/>
      <w:pPr>
        <w:tabs>
          <w:tab w:val="num" w:pos="720"/>
        </w:tabs>
        <w:ind w:left="720" w:hanging="720"/>
      </w:pPr>
      <w:rPr>
        <w:rFonts w:cs="Times New Roman"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6265FF3"/>
    <w:multiLevelType w:val="hybridMultilevel"/>
    <w:tmpl w:val="53DC8CBE"/>
    <w:lvl w:ilvl="0" w:tplc="84AAE4B8">
      <w:start w:val="14"/>
      <w:numFmt w:val="decimal"/>
      <w:lvlText w:val="%1."/>
      <w:lvlJc w:val="left"/>
      <w:pPr>
        <w:ind w:left="360" w:hanging="360"/>
      </w:pPr>
      <w:rPr>
        <w:rFonts w:ascii="Arial" w:hAnsi="Arial" w:cs="Arial"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72A5A36"/>
    <w:multiLevelType w:val="hybridMultilevel"/>
    <w:tmpl w:val="F3464F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5FD264BC">
      <w:numFmt w:val="bullet"/>
      <w:lvlText w:val="•"/>
      <w:lvlJc w:val="left"/>
      <w:pPr>
        <w:ind w:left="2505" w:hanging="705"/>
      </w:pPr>
      <w:rPr>
        <w:rFonts w:ascii="Calibri" w:eastAsia="SimSun"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E6132F"/>
    <w:multiLevelType w:val="hybridMultilevel"/>
    <w:tmpl w:val="CE1A7B70"/>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C203202"/>
    <w:multiLevelType w:val="hybridMultilevel"/>
    <w:tmpl w:val="457C33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15:restartNumberingAfterBreak="0">
    <w:nsid w:val="20163556"/>
    <w:multiLevelType w:val="hybridMultilevel"/>
    <w:tmpl w:val="C25A7EB8"/>
    <w:lvl w:ilvl="0" w:tplc="095204CC">
      <w:start w:val="1"/>
      <w:numFmt w:val="bullet"/>
      <w:lvlText w:val=""/>
      <w:lvlJc w:val="left"/>
      <w:pPr>
        <w:ind w:left="720" w:hanging="360"/>
      </w:pPr>
      <w:rPr>
        <w:rFonts w:ascii="Wingdings" w:hAnsi="Wingdings" w:hint="default"/>
        <w:sz w:val="1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20EF3305"/>
    <w:multiLevelType w:val="hybridMultilevel"/>
    <w:tmpl w:val="E3945D14"/>
    <w:lvl w:ilvl="0" w:tplc="095204CC">
      <w:start w:val="1"/>
      <w:numFmt w:val="bullet"/>
      <w:lvlText w:val=""/>
      <w:lvlJc w:val="left"/>
      <w:pPr>
        <w:ind w:left="720" w:hanging="360"/>
      </w:pPr>
      <w:rPr>
        <w:rFonts w:ascii="Wingdings" w:hAnsi="Wingdings" w:hint="default"/>
        <w:sz w:val="1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211B494B"/>
    <w:multiLevelType w:val="hybridMultilevel"/>
    <w:tmpl w:val="2CCE68F2"/>
    <w:lvl w:ilvl="0" w:tplc="040C0019">
      <w:start w:val="1"/>
      <w:numFmt w:val="lowerLetter"/>
      <w:lvlText w:val="%1."/>
      <w:lvlJc w:val="left"/>
      <w:pPr>
        <w:ind w:left="1138" w:hanging="360"/>
      </w:pPr>
    </w:lvl>
    <w:lvl w:ilvl="1" w:tplc="040C0019">
      <w:start w:val="1"/>
      <w:numFmt w:val="lowerLetter"/>
      <w:lvlText w:val="%2."/>
      <w:lvlJc w:val="left"/>
      <w:pPr>
        <w:ind w:left="1858" w:hanging="360"/>
      </w:pPr>
    </w:lvl>
    <w:lvl w:ilvl="2" w:tplc="040C001B">
      <w:start w:val="1"/>
      <w:numFmt w:val="lowerRoman"/>
      <w:lvlText w:val="%3."/>
      <w:lvlJc w:val="right"/>
      <w:pPr>
        <w:ind w:left="2578" w:hanging="180"/>
      </w:pPr>
    </w:lvl>
    <w:lvl w:ilvl="3" w:tplc="040C000F">
      <w:start w:val="1"/>
      <w:numFmt w:val="decimal"/>
      <w:lvlText w:val="%4."/>
      <w:lvlJc w:val="left"/>
      <w:pPr>
        <w:ind w:left="3298" w:hanging="360"/>
      </w:pPr>
    </w:lvl>
    <w:lvl w:ilvl="4" w:tplc="040C0019">
      <w:start w:val="1"/>
      <w:numFmt w:val="lowerLetter"/>
      <w:lvlText w:val="%5."/>
      <w:lvlJc w:val="left"/>
      <w:pPr>
        <w:ind w:left="4018" w:hanging="360"/>
      </w:pPr>
    </w:lvl>
    <w:lvl w:ilvl="5" w:tplc="040C001B">
      <w:start w:val="1"/>
      <w:numFmt w:val="lowerRoman"/>
      <w:lvlText w:val="%6."/>
      <w:lvlJc w:val="right"/>
      <w:pPr>
        <w:ind w:left="4738" w:hanging="180"/>
      </w:pPr>
    </w:lvl>
    <w:lvl w:ilvl="6" w:tplc="040C000F">
      <w:start w:val="1"/>
      <w:numFmt w:val="decimal"/>
      <w:lvlText w:val="%7."/>
      <w:lvlJc w:val="left"/>
      <w:pPr>
        <w:ind w:left="5458" w:hanging="360"/>
      </w:pPr>
    </w:lvl>
    <w:lvl w:ilvl="7" w:tplc="040C0019">
      <w:start w:val="1"/>
      <w:numFmt w:val="lowerLetter"/>
      <w:lvlText w:val="%8."/>
      <w:lvlJc w:val="left"/>
      <w:pPr>
        <w:ind w:left="6178" w:hanging="360"/>
      </w:pPr>
    </w:lvl>
    <w:lvl w:ilvl="8" w:tplc="040C001B">
      <w:start w:val="1"/>
      <w:numFmt w:val="lowerRoman"/>
      <w:lvlText w:val="%9."/>
      <w:lvlJc w:val="right"/>
      <w:pPr>
        <w:ind w:left="6898" w:hanging="180"/>
      </w:pPr>
    </w:lvl>
  </w:abstractNum>
  <w:abstractNum w:abstractNumId="21" w15:restartNumberingAfterBreak="0">
    <w:nsid w:val="25B72263"/>
    <w:multiLevelType w:val="hybridMultilevel"/>
    <w:tmpl w:val="C7627A90"/>
    <w:lvl w:ilvl="0" w:tplc="969E9716">
      <w:start w:val="1"/>
      <w:numFmt w:val="bullet"/>
      <w:lvlText w:val=""/>
      <w:lvlJc w:val="left"/>
      <w:pPr>
        <w:tabs>
          <w:tab w:val="num" w:pos="340"/>
        </w:tabs>
        <w:ind w:left="340" w:hanging="170"/>
      </w:pPr>
      <w:rPr>
        <w:rFonts w:ascii="Wingdings" w:hAnsi="Wingdings" w:hint="default"/>
        <w:sz w:val="16"/>
      </w:rPr>
    </w:lvl>
    <w:lvl w:ilvl="1" w:tplc="0C0C0003">
      <w:start w:val="1"/>
      <w:numFmt w:val="decimal"/>
      <w:lvlText w:val="%2."/>
      <w:lvlJc w:val="left"/>
      <w:pPr>
        <w:tabs>
          <w:tab w:val="num" w:pos="1440"/>
        </w:tabs>
        <w:ind w:left="1440" w:hanging="360"/>
      </w:pPr>
    </w:lvl>
    <w:lvl w:ilvl="2" w:tplc="0C0C0005">
      <w:start w:val="1"/>
      <w:numFmt w:val="decimal"/>
      <w:lvlText w:val="%3."/>
      <w:lvlJc w:val="left"/>
      <w:pPr>
        <w:tabs>
          <w:tab w:val="num" w:pos="2160"/>
        </w:tabs>
        <w:ind w:left="2160" w:hanging="360"/>
      </w:pPr>
    </w:lvl>
    <w:lvl w:ilvl="3" w:tplc="0C0C0001">
      <w:start w:val="1"/>
      <w:numFmt w:val="decimal"/>
      <w:lvlText w:val="%4."/>
      <w:lvlJc w:val="left"/>
      <w:pPr>
        <w:tabs>
          <w:tab w:val="num" w:pos="2880"/>
        </w:tabs>
        <w:ind w:left="2880" w:hanging="360"/>
      </w:pPr>
    </w:lvl>
    <w:lvl w:ilvl="4" w:tplc="0C0C0003">
      <w:start w:val="1"/>
      <w:numFmt w:val="decimal"/>
      <w:lvlText w:val="%5."/>
      <w:lvlJc w:val="left"/>
      <w:pPr>
        <w:tabs>
          <w:tab w:val="num" w:pos="3600"/>
        </w:tabs>
        <w:ind w:left="3600" w:hanging="360"/>
      </w:pPr>
    </w:lvl>
    <w:lvl w:ilvl="5" w:tplc="0C0C0005">
      <w:start w:val="1"/>
      <w:numFmt w:val="decimal"/>
      <w:lvlText w:val="%6."/>
      <w:lvlJc w:val="left"/>
      <w:pPr>
        <w:tabs>
          <w:tab w:val="num" w:pos="4320"/>
        </w:tabs>
        <w:ind w:left="4320" w:hanging="360"/>
      </w:pPr>
    </w:lvl>
    <w:lvl w:ilvl="6" w:tplc="0C0C0001">
      <w:start w:val="1"/>
      <w:numFmt w:val="decimal"/>
      <w:lvlText w:val="%7."/>
      <w:lvlJc w:val="left"/>
      <w:pPr>
        <w:tabs>
          <w:tab w:val="num" w:pos="5040"/>
        </w:tabs>
        <w:ind w:left="5040" w:hanging="360"/>
      </w:pPr>
    </w:lvl>
    <w:lvl w:ilvl="7" w:tplc="0C0C0003">
      <w:start w:val="1"/>
      <w:numFmt w:val="decimal"/>
      <w:lvlText w:val="%8."/>
      <w:lvlJc w:val="left"/>
      <w:pPr>
        <w:tabs>
          <w:tab w:val="num" w:pos="5760"/>
        </w:tabs>
        <w:ind w:left="5760" w:hanging="360"/>
      </w:pPr>
    </w:lvl>
    <w:lvl w:ilvl="8" w:tplc="0C0C0005">
      <w:start w:val="1"/>
      <w:numFmt w:val="decimal"/>
      <w:lvlText w:val="%9."/>
      <w:lvlJc w:val="left"/>
      <w:pPr>
        <w:tabs>
          <w:tab w:val="num" w:pos="6480"/>
        </w:tabs>
        <w:ind w:left="6480" w:hanging="360"/>
      </w:pPr>
    </w:lvl>
  </w:abstractNum>
  <w:abstractNum w:abstractNumId="22" w15:restartNumberingAfterBreak="0">
    <w:nsid w:val="25EA347B"/>
    <w:multiLevelType w:val="multilevel"/>
    <w:tmpl w:val="0C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66C2F4D"/>
    <w:multiLevelType w:val="hybridMultilevel"/>
    <w:tmpl w:val="A5FE8EE0"/>
    <w:lvl w:ilvl="0" w:tplc="0C0C001B">
      <w:start w:val="1"/>
      <w:numFmt w:val="lowerRoman"/>
      <w:lvlText w:val="%1."/>
      <w:lvlJc w:val="right"/>
      <w:pPr>
        <w:ind w:left="720" w:hanging="360"/>
      </w:pPr>
      <w:rPr>
        <w:rFont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4" w15:restartNumberingAfterBreak="0">
    <w:nsid w:val="26CC1311"/>
    <w:multiLevelType w:val="hybridMultilevel"/>
    <w:tmpl w:val="5D7E3212"/>
    <w:lvl w:ilvl="0" w:tplc="04090001">
      <w:start w:val="1"/>
      <w:numFmt w:val="bullet"/>
      <w:lvlText w:val=""/>
      <w:lvlJc w:val="left"/>
      <w:pPr>
        <w:ind w:left="2272" w:hanging="360"/>
      </w:pPr>
      <w:rPr>
        <w:rFonts w:ascii="Symbol" w:hAnsi="Symbol" w:hint="default"/>
      </w:rPr>
    </w:lvl>
    <w:lvl w:ilvl="1" w:tplc="04090003">
      <w:start w:val="1"/>
      <w:numFmt w:val="bullet"/>
      <w:lvlText w:val="o"/>
      <w:lvlJc w:val="left"/>
      <w:pPr>
        <w:ind w:left="2992" w:hanging="360"/>
      </w:pPr>
      <w:rPr>
        <w:rFonts w:ascii="Courier New" w:hAnsi="Courier New" w:cs="Courier New" w:hint="default"/>
      </w:rPr>
    </w:lvl>
    <w:lvl w:ilvl="2" w:tplc="04090005">
      <w:start w:val="1"/>
      <w:numFmt w:val="bullet"/>
      <w:lvlText w:val=""/>
      <w:lvlJc w:val="left"/>
      <w:pPr>
        <w:ind w:left="3712" w:hanging="360"/>
      </w:pPr>
      <w:rPr>
        <w:rFonts w:ascii="Wingdings" w:hAnsi="Wingdings" w:hint="default"/>
      </w:rPr>
    </w:lvl>
    <w:lvl w:ilvl="3" w:tplc="04090001">
      <w:start w:val="1"/>
      <w:numFmt w:val="bullet"/>
      <w:lvlText w:val=""/>
      <w:lvlJc w:val="left"/>
      <w:pPr>
        <w:ind w:left="4432" w:hanging="360"/>
      </w:pPr>
      <w:rPr>
        <w:rFonts w:ascii="Symbol" w:hAnsi="Symbol" w:hint="default"/>
      </w:rPr>
    </w:lvl>
    <w:lvl w:ilvl="4" w:tplc="04090003">
      <w:start w:val="1"/>
      <w:numFmt w:val="bullet"/>
      <w:lvlText w:val="o"/>
      <w:lvlJc w:val="left"/>
      <w:pPr>
        <w:ind w:left="5152" w:hanging="360"/>
      </w:pPr>
      <w:rPr>
        <w:rFonts w:ascii="Courier New" w:hAnsi="Courier New" w:cs="Courier New" w:hint="default"/>
      </w:rPr>
    </w:lvl>
    <w:lvl w:ilvl="5" w:tplc="04090005">
      <w:start w:val="1"/>
      <w:numFmt w:val="bullet"/>
      <w:lvlText w:val=""/>
      <w:lvlJc w:val="left"/>
      <w:pPr>
        <w:ind w:left="5872" w:hanging="360"/>
      </w:pPr>
      <w:rPr>
        <w:rFonts w:ascii="Wingdings" w:hAnsi="Wingdings" w:hint="default"/>
      </w:rPr>
    </w:lvl>
    <w:lvl w:ilvl="6" w:tplc="04090001">
      <w:start w:val="1"/>
      <w:numFmt w:val="bullet"/>
      <w:lvlText w:val=""/>
      <w:lvlJc w:val="left"/>
      <w:pPr>
        <w:ind w:left="6592" w:hanging="360"/>
      </w:pPr>
      <w:rPr>
        <w:rFonts w:ascii="Symbol" w:hAnsi="Symbol" w:hint="default"/>
      </w:rPr>
    </w:lvl>
    <w:lvl w:ilvl="7" w:tplc="04090003">
      <w:start w:val="1"/>
      <w:numFmt w:val="bullet"/>
      <w:lvlText w:val="o"/>
      <w:lvlJc w:val="left"/>
      <w:pPr>
        <w:ind w:left="7312" w:hanging="360"/>
      </w:pPr>
      <w:rPr>
        <w:rFonts w:ascii="Courier New" w:hAnsi="Courier New" w:cs="Courier New" w:hint="default"/>
      </w:rPr>
    </w:lvl>
    <w:lvl w:ilvl="8" w:tplc="04090005">
      <w:start w:val="1"/>
      <w:numFmt w:val="bullet"/>
      <w:lvlText w:val=""/>
      <w:lvlJc w:val="left"/>
      <w:pPr>
        <w:ind w:left="8032" w:hanging="360"/>
      </w:pPr>
      <w:rPr>
        <w:rFonts w:ascii="Wingdings" w:hAnsi="Wingdings" w:hint="default"/>
      </w:rPr>
    </w:lvl>
  </w:abstractNum>
  <w:abstractNum w:abstractNumId="25" w15:restartNumberingAfterBreak="0">
    <w:nsid w:val="27D13FD4"/>
    <w:multiLevelType w:val="hybridMultilevel"/>
    <w:tmpl w:val="B792FD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8C4EF2"/>
    <w:multiLevelType w:val="hybridMultilevel"/>
    <w:tmpl w:val="99F2646E"/>
    <w:lvl w:ilvl="0" w:tplc="0C0C0019">
      <w:start w:val="1"/>
      <w:numFmt w:val="lowerLetter"/>
      <w:lvlText w:val="%1."/>
      <w:lvlJc w:val="left"/>
      <w:pPr>
        <w:ind w:left="3060" w:hanging="360"/>
      </w:pPr>
    </w:lvl>
    <w:lvl w:ilvl="1" w:tplc="0C0C0019" w:tentative="1">
      <w:start w:val="1"/>
      <w:numFmt w:val="lowerLetter"/>
      <w:lvlText w:val="%2."/>
      <w:lvlJc w:val="left"/>
      <w:pPr>
        <w:ind w:left="3780" w:hanging="360"/>
      </w:pPr>
    </w:lvl>
    <w:lvl w:ilvl="2" w:tplc="0C0C001B" w:tentative="1">
      <w:start w:val="1"/>
      <w:numFmt w:val="lowerRoman"/>
      <w:lvlText w:val="%3."/>
      <w:lvlJc w:val="right"/>
      <w:pPr>
        <w:ind w:left="4500" w:hanging="180"/>
      </w:pPr>
    </w:lvl>
    <w:lvl w:ilvl="3" w:tplc="0C0C000F" w:tentative="1">
      <w:start w:val="1"/>
      <w:numFmt w:val="decimal"/>
      <w:lvlText w:val="%4."/>
      <w:lvlJc w:val="left"/>
      <w:pPr>
        <w:ind w:left="5220" w:hanging="360"/>
      </w:pPr>
    </w:lvl>
    <w:lvl w:ilvl="4" w:tplc="0C0C0019" w:tentative="1">
      <w:start w:val="1"/>
      <w:numFmt w:val="lowerLetter"/>
      <w:lvlText w:val="%5."/>
      <w:lvlJc w:val="left"/>
      <w:pPr>
        <w:ind w:left="5940" w:hanging="360"/>
      </w:pPr>
    </w:lvl>
    <w:lvl w:ilvl="5" w:tplc="0C0C001B" w:tentative="1">
      <w:start w:val="1"/>
      <w:numFmt w:val="lowerRoman"/>
      <w:lvlText w:val="%6."/>
      <w:lvlJc w:val="right"/>
      <w:pPr>
        <w:ind w:left="6660" w:hanging="180"/>
      </w:pPr>
    </w:lvl>
    <w:lvl w:ilvl="6" w:tplc="0C0C000F" w:tentative="1">
      <w:start w:val="1"/>
      <w:numFmt w:val="decimal"/>
      <w:lvlText w:val="%7."/>
      <w:lvlJc w:val="left"/>
      <w:pPr>
        <w:ind w:left="7380" w:hanging="360"/>
      </w:pPr>
    </w:lvl>
    <w:lvl w:ilvl="7" w:tplc="0C0C0019" w:tentative="1">
      <w:start w:val="1"/>
      <w:numFmt w:val="lowerLetter"/>
      <w:lvlText w:val="%8."/>
      <w:lvlJc w:val="left"/>
      <w:pPr>
        <w:ind w:left="8100" w:hanging="360"/>
      </w:pPr>
    </w:lvl>
    <w:lvl w:ilvl="8" w:tplc="0C0C001B" w:tentative="1">
      <w:start w:val="1"/>
      <w:numFmt w:val="lowerRoman"/>
      <w:lvlText w:val="%9."/>
      <w:lvlJc w:val="right"/>
      <w:pPr>
        <w:ind w:left="8820" w:hanging="180"/>
      </w:pPr>
    </w:lvl>
  </w:abstractNum>
  <w:abstractNum w:abstractNumId="27"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C6B3295"/>
    <w:multiLevelType w:val="hybridMultilevel"/>
    <w:tmpl w:val="5A864044"/>
    <w:lvl w:ilvl="0" w:tplc="095204CC">
      <w:start w:val="1"/>
      <w:numFmt w:val="bullet"/>
      <w:lvlText w:val=""/>
      <w:lvlJc w:val="left"/>
      <w:pPr>
        <w:ind w:left="720" w:hanging="360"/>
      </w:pPr>
      <w:rPr>
        <w:rFonts w:ascii="Wingdings" w:hAnsi="Wingdings" w:hint="default"/>
        <w:sz w:val="1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2D096265"/>
    <w:multiLevelType w:val="hybridMultilevel"/>
    <w:tmpl w:val="EBBE890C"/>
    <w:lvl w:ilvl="0" w:tplc="095204CC">
      <w:start w:val="1"/>
      <w:numFmt w:val="bullet"/>
      <w:lvlText w:val=""/>
      <w:lvlJc w:val="left"/>
      <w:pPr>
        <w:ind w:left="1352" w:hanging="360"/>
      </w:pPr>
      <w:rPr>
        <w:rFonts w:ascii="Wingdings" w:hAnsi="Wingdings" w:hint="default"/>
        <w:sz w:val="16"/>
      </w:rPr>
    </w:lvl>
    <w:lvl w:ilvl="1" w:tplc="040C000D">
      <w:start w:val="1"/>
      <w:numFmt w:val="bullet"/>
      <w:lvlText w:val=""/>
      <w:lvlJc w:val="left"/>
      <w:pPr>
        <w:ind w:left="1788" w:hanging="360"/>
      </w:pPr>
      <w:rPr>
        <w:rFonts w:ascii="Wingdings" w:hAnsi="Wingdings" w:hint="default"/>
      </w:r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30" w15:restartNumberingAfterBreak="0">
    <w:nsid w:val="2D9F67F9"/>
    <w:multiLevelType w:val="multilevel"/>
    <w:tmpl w:val="B518F734"/>
    <w:lvl w:ilvl="0">
      <w:start w:val="4"/>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2DF55E9E"/>
    <w:multiLevelType w:val="hybridMultilevel"/>
    <w:tmpl w:val="4482BD1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2E401877"/>
    <w:multiLevelType w:val="hybridMultilevel"/>
    <w:tmpl w:val="7F0C88CC"/>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32104504"/>
    <w:multiLevelType w:val="hybridMultilevel"/>
    <w:tmpl w:val="D9E6D32A"/>
    <w:lvl w:ilvl="0" w:tplc="095204CC">
      <w:start w:val="1"/>
      <w:numFmt w:val="bullet"/>
      <w:lvlText w:val=""/>
      <w:lvlJc w:val="left"/>
      <w:pPr>
        <w:ind w:left="1145" w:hanging="360"/>
      </w:pPr>
      <w:rPr>
        <w:rFonts w:ascii="Wingdings" w:hAnsi="Wingdings" w:hint="default"/>
        <w:sz w:val="16"/>
      </w:rPr>
    </w:lvl>
    <w:lvl w:ilvl="1" w:tplc="0C0C0003">
      <w:start w:val="1"/>
      <w:numFmt w:val="bullet"/>
      <w:lvlText w:val="o"/>
      <w:lvlJc w:val="left"/>
      <w:pPr>
        <w:ind w:left="1865" w:hanging="360"/>
      </w:pPr>
      <w:rPr>
        <w:rFonts w:ascii="Courier New" w:hAnsi="Courier New" w:cs="Courier New" w:hint="default"/>
      </w:rPr>
    </w:lvl>
    <w:lvl w:ilvl="2" w:tplc="0C0C0005">
      <w:start w:val="1"/>
      <w:numFmt w:val="bullet"/>
      <w:lvlText w:val=""/>
      <w:lvlJc w:val="left"/>
      <w:pPr>
        <w:ind w:left="2585" w:hanging="360"/>
      </w:pPr>
      <w:rPr>
        <w:rFonts w:ascii="Wingdings" w:hAnsi="Wingdings" w:hint="default"/>
      </w:rPr>
    </w:lvl>
    <w:lvl w:ilvl="3" w:tplc="0C0C0001">
      <w:start w:val="1"/>
      <w:numFmt w:val="bullet"/>
      <w:lvlText w:val=""/>
      <w:lvlJc w:val="left"/>
      <w:pPr>
        <w:ind w:left="3305" w:hanging="360"/>
      </w:pPr>
      <w:rPr>
        <w:rFonts w:ascii="Symbol" w:hAnsi="Symbol" w:hint="default"/>
      </w:rPr>
    </w:lvl>
    <w:lvl w:ilvl="4" w:tplc="0C0C0003">
      <w:start w:val="1"/>
      <w:numFmt w:val="bullet"/>
      <w:lvlText w:val="o"/>
      <w:lvlJc w:val="left"/>
      <w:pPr>
        <w:ind w:left="4025" w:hanging="360"/>
      </w:pPr>
      <w:rPr>
        <w:rFonts w:ascii="Courier New" w:hAnsi="Courier New" w:cs="Courier New" w:hint="default"/>
      </w:rPr>
    </w:lvl>
    <w:lvl w:ilvl="5" w:tplc="0C0C0005">
      <w:start w:val="1"/>
      <w:numFmt w:val="bullet"/>
      <w:lvlText w:val=""/>
      <w:lvlJc w:val="left"/>
      <w:pPr>
        <w:ind w:left="4745" w:hanging="360"/>
      </w:pPr>
      <w:rPr>
        <w:rFonts w:ascii="Wingdings" w:hAnsi="Wingdings" w:hint="default"/>
      </w:rPr>
    </w:lvl>
    <w:lvl w:ilvl="6" w:tplc="0C0C0001">
      <w:start w:val="1"/>
      <w:numFmt w:val="bullet"/>
      <w:lvlText w:val=""/>
      <w:lvlJc w:val="left"/>
      <w:pPr>
        <w:ind w:left="5465" w:hanging="360"/>
      </w:pPr>
      <w:rPr>
        <w:rFonts w:ascii="Symbol" w:hAnsi="Symbol" w:hint="default"/>
      </w:rPr>
    </w:lvl>
    <w:lvl w:ilvl="7" w:tplc="0C0C0003">
      <w:start w:val="1"/>
      <w:numFmt w:val="bullet"/>
      <w:lvlText w:val="o"/>
      <w:lvlJc w:val="left"/>
      <w:pPr>
        <w:ind w:left="6185" w:hanging="360"/>
      </w:pPr>
      <w:rPr>
        <w:rFonts w:ascii="Courier New" w:hAnsi="Courier New" w:cs="Courier New" w:hint="default"/>
      </w:rPr>
    </w:lvl>
    <w:lvl w:ilvl="8" w:tplc="0C0C0005">
      <w:start w:val="1"/>
      <w:numFmt w:val="bullet"/>
      <w:lvlText w:val=""/>
      <w:lvlJc w:val="left"/>
      <w:pPr>
        <w:ind w:left="6905" w:hanging="360"/>
      </w:pPr>
      <w:rPr>
        <w:rFonts w:ascii="Wingdings" w:hAnsi="Wingdings" w:hint="default"/>
      </w:rPr>
    </w:lvl>
  </w:abstractNum>
  <w:abstractNum w:abstractNumId="34" w15:restartNumberingAfterBreak="0">
    <w:nsid w:val="34D75644"/>
    <w:multiLevelType w:val="hybridMultilevel"/>
    <w:tmpl w:val="76C01780"/>
    <w:lvl w:ilvl="0" w:tplc="04090001">
      <w:start w:val="1"/>
      <w:numFmt w:val="bullet"/>
      <w:lvlText w:val=""/>
      <w:lvlJc w:val="left"/>
      <w:pPr>
        <w:ind w:left="360" w:hanging="360"/>
      </w:pPr>
      <w:rPr>
        <w:rFonts w:ascii="Symbol" w:hAnsi="Symbol" w:hint="default"/>
      </w:rPr>
    </w:lvl>
    <w:lvl w:ilvl="1" w:tplc="88A46736">
      <w:start w:val="21"/>
      <w:numFmt w:val="bullet"/>
      <w:lvlText w:val="-"/>
      <w:lvlJc w:val="left"/>
      <w:pPr>
        <w:ind w:left="1080" w:hanging="360"/>
      </w:pPr>
      <w:rPr>
        <w:rFonts w:ascii="Calibri" w:eastAsia="Times New Roman" w:hAnsi="Calibri" w:cs="Times New Roman"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6C84D9F"/>
    <w:multiLevelType w:val="hybridMultilevel"/>
    <w:tmpl w:val="99F2646E"/>
    <w:lvl w:ilvl="0" w:tplc="0C0C0019">
      <w:start w:val="1"/>
      <w:numFmt w:val="lowerLetter"/>
      <w:lvlText w:val="%1."/>
      <w:lvlJc w:val="left"/>
      <w:pPr>
        <w:ind w:left="3060" w:hanging="360"/>
      </w:pPr>
    </w:lvl>
    <w:lvl w:ilvl="1" w:tplc="0C0C0019" w:tentative="1">
      <w:start w:val="1"/>
      <w:numFmt w:val="lowerLetter"/>
      <w:lvlText w:val="%2."/>
      <w:lvlJc w:val="left"/>
      <w:pPr>
        <w:ind w:left="3780" w:hanging="360"/>
      </w:pPr>
    </w:lvl>
    <w:lvl w:ilvl="2" w:tplc="0C0C001B" w:tentative="1">
      <w:start w:val="1"/>
      <w:numFmt w:val="lowerRoman"/>
      <w:lvlText w:val="%3."/>
      <w:lvlJc w:val="right"/>
      <w:pPr>
        <w:ind w:left="4500" w:hanging="180"/>
      </w:pPr>
    </w:lvl>
    <w:lvl w:ilvl="3" w:tplc="0C0C000F" w:tentative="1">
      <w:start w:val="1"/>
      <w:numFmt w:val="decimal"/>
      <w:lvlText w:val="%4."/>
      <w:lvlJc w:val="left"/>
      <w:pPr>
        <w:ind w:left="5220" w:hanging="360"/>
      </w:pPr>
    </w:lvl>
    <w:lvl w:ilvl="4" w:tplc="0C0C0019" w:tentative="1">
      <w:start w:val="1"/>
      <w:numFmt w:val="lowerLetter"/>
      <w:lvlText w:val="%5."/>
      <w:lvlJc w:val="left"/>
      <w:pPr>
        <w:ind w:left="5940" w:hanging="360"/>
      </w:pPr>
    </w:lvl>
    <w:lvl w:ilvl="5" w:tplc="0C0C001B" w:tentative="1">
      <w:start w:val="1"/>
      <w:numFmt w:val="lowerRoman"/>
      <w:lvlText w:val="%6."/>
      <w:lvlJc w:val="right"/>
      <w:pPr>
        <w:ind w:left="6660" w:hanging="180"/>
      </w:pPr>
    </w:lvl>
    <w:lvl w:ilvl="6" w:tplc="0C0C000F" w:tentative="1">
      <w:start w:val="1"/>
      <w:numFmt w:val="decimal"/>
      <w:lvlText w:val="%7."/>
      <w:lvlJc w:val="left"/>
      <w:pPr>
        <w:ind w:left="7380" w:hanging="360"/>
      </w:pPr>
    </w:lvl>
    <w:lvl w:ilvl="7" w:tplc="0C0C0019" w:tentative="1">
      <w:start w:val="1"/>
      <w:numFmt w:val="lowerLetter"/>
      <w:lvlText w:val="%8."/>
      <w:lvlJc w:val="left"/>
      <w:pPr>
        <w:ind w:left="8100" w:hanging="360"/>
      </w:pPr>
    </w:lvl>
    <w:lvl w:ilvl="8" w:tplc="0C0C001B" w:tentative="1">
      <w:start w:val="1"/>
      <w:numFmt w:val="lowerRoman"/>
      <w:lvlText w:val="%9."/>
      <w:lvlJc w:val="right"/>
      <w:pPr>
        <w:ind w:left="8820" w:hanging="180"/>
      </w:pPr>
    </w:lvl>
  </w:abstractNum>
  <w:abstractNum w:abstractNumId="36" w15:restartNumberingAfterBreak="0">
    <w:nsid w:val="38315E60"/>
    <w:multiLevelType w:val="hybridMultilevel"/>
    <w:tmpl w:val="85CEC5E2"/>
    <w:lvl w:ilvl="0" w:tplc="0C0C0019">
      <w:start w:val="1"/>
      <w:numFmt w:val="lowerLetter"/>
      <w:lvlText w:val="%1."/>
      <w:lvlJc w:val="left"/>
      <w:pPr>
        <w:ind w:left="1440" w:hanging="360"/>
      </w:pPr>
    </w:lvl>
    <w:lvl w:ilvl="1" w:tplc="0C0C0019" w:tentative="1">
      <w:start w:val="1"/>
      <w:numFmt w:val="lowerLetter"/>
      <w:lvlText w:val="%2."/>
      <w:lvlJc w:val="left"/>
      <w:pPr>
        <w:ind w:left="2160" w:hanging="360"/>
      </w:pPr>
    </w:lvl>
    <w:lvl w:ilvl="2" w:tplc="0C0C0019">
      <w:start w:val="1"/>
      <w:numFmt w:val="lowerLetter"/>
      <w:lvlText w:val="%3."/>
      <w:lvlJc w:val="lef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37" w15:restartNumberingAfterBreak="0">
    <w:nsid w:val="39B62860"/>
    <w:multiLevelType w:val="hybridMultilevel"/>
    <w:tmpl w:val="AC2CCA48"/>
    <w:lvl w:ilvl="0" w:tplc="31A05636">
      <w:start w:val="1"/>
      <w:numFmt w:val="lowerRoman"/>
      <w:lvlText w:val="%1."/>
      <w:lvlJc w:val="right"/>
      <w:pPr>
        <w:ind w:left="1352" w:hanging="360"/>
      </w:pPr>
      <w:rPr>
        <w:rFonts w:ascii="Calibri" w:hAnsi="Calibri" w:hint="default"/>
        <w:b w:val="0"/>
        <w:i w:val="0"/>
        <w:sz w:val="20"/>
      </w:rPr>
    </w:lvl>
    <w:lvl w:ilvl="1" w:tplc="040C000D">
      <w:start w:val="1"/>
      <w:numFmt w:val="bullet"/>
      <w:lvlText w:val=""/>
      <w:lvlJc w:val="left"/>
      <w:pPr>
        <w:ind w:left="1788" w:hanging="360"/>
      </w:pPr>
      <w:rPr>
        <w:rFonts w:ascii="Wingdings" w:hAnsi="Wingdings" w:hint="default"/>
      </w:r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38" w15:restartNumberingAfterBreak="0">
    <w:nsid w:val="429F1640"/>
    <w:multiLevelType w:val="hybridMultilevel"/>
    <w:tmpl w:val="99F2646E"/>
    <w:lvl w:ilvl="0" w:tplc="0C0C0019">
      <w:start w:val="1"/>
      <w:numFmt w:val="lowerLetter"/>
      <w:lvlText w:val="%1."/>
      <w:lvlJc w:val="left"/>
      <w:pPr>
        <w:ind w:left="3060" w:hanging="360"/>
      </w:pPr>
    </w:lvl>
    <w:lvl w:ilvl="1" w:tplc="0C0C0019" w:tentative="1">
      <w:start w:val="1"/>
      <w:numFmt w:val="lowerLetter"/>
      <w:lvlText w:val="%2."/>
      <w:lvlJc w:val="left"/>
      <w:pPr>
        <w:ind w:left="3780" w:hanging="360"/>
      </w:pPr>
    </w:lvl>
    <w:lvl w:ilvl="2" w:tplc="0C0C001B" w:tentative="1">
      <w:start w:val="1"/>
      <w:numFmt w:val="lowerRoman"/>
      <w:lvlText w:val="%3."/>
      <w:lvlJc w:val="right"/>
      <w:pPr>
        <w:ind w:left="4500" w:hanging="180"/>
      </w:pPr>
    </w:lvl>
    <w:lvl w:ilvl="3" w:tplc="0C0C000F" w:tentative="1">
      <w:start w:val="1"/>
      <w:numFmt w:val="decimal"/>
      <w:lvlText w:val="%4."/>
      <w:lvlJc w:val="left"/>
      <w:pPr>
        <w:ind w:left="5220" w:hanging="360"/>
      </w:pPr>
    </w:lvl>
    <w:lvl w:ilvl="4" w:tplc="0C0C0019" w:tentative="1">
      <w:start w:val="1"/>
      <w:numFmt w:val="lowerLetter"/>
      <w:lvlText w:val="%5."/>
      <w:lvlJc w:val="left"/>
      <w:pPr>
        <w:ind w:left="5940" w:hanging="360"/>
      </w:pPr>
    </w:lvl>
    <w:lvl w:ilvl="5" w:tplc="0C0C001B" w:tentative="1">
      <w:start w:val="1"/>
      <w:numFmt w:val="lowerRoman"/>
      <w:lvlText w:val="%6."/>
      <w:lvlJc w:val="right"/>
      <w:pPr>
        <w:ind w:left="6660" w:hanging="180"/>
      </w:pPr>
    </w:lvl>
    <w:lvl w:ilvl="6" w:tplc="0C0C000F" w:tentative="1">
      <w:start w:val="1"/>
      <w:numFmt w:val="decimal"/>
      <w:lvlText w:val="%7."/>
      <w:lvlJc w:val="left"/>
      <w:pPr>
        <w:ind w:left="7380" w:hanging="360"/>
      </w:pPr>
    </w:lvl>
    <w:lvl w:ilvl="7" w:tplc="0C0C0019" w:tentative="1">
      <w:start w:val="1"/>
      <w:numFmt w:val="lowerLetter"/>
      <w:lvlText w:val="%8."/>
      <w:lvlJc w:val="left"/>
      <w:pPr>
        <w:ind w:left="8100" w:hanging="360"/>
      </w:pPr>
    </w:lvl>
    <w:lvl w:ilvl="8" w:tplc="0C0C001B" w:tentative="1">
      <w:start w:val="1"/>
      <w:numFmt w:val="lowerRoman"/>
      <w:lvlText w:val="%9."/>
      <w:lvlJc w:val="right"/>
      <w:pPr>
        <w:ind w:left="8820" w:hanging="180"/>
      </w:pPr>
    </w:lvl>
  </w:abstractNum>
  <w:abstractNum w:abstractNumId="39" w15:restartNumberingAfterBreak="0">
    <w:nsid w:val="42D5316A"/>
    <w:multiLevelType w:val="hybridMultilevel"/>
    <w:tmpl w:val="C8B449E4"/>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42E87E9B"/>
    <w:multiLevelType w:val="hybridMultilevel"/>
    <w:tmpl w:val="59463AA0"/>
    <w:lvl w:ilvl="0" w:tplc="906AD4DE">
      <w:start w:val="1"/>
      <w:numFmt w:val="bullet"/>
      <w:pStyle w:val="body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C34D0A"/>
    <w:multiLevelType w:val="hybridMultilevel"/>
    <w:tmpl w:val="7C42639C"/>
    <w:lvl w:ilvl="0" w:tplc="07E89DDE">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4BB0C95"/>
    <w:multiLevelType w:val="hybridMultilevel"/>
    <w:tmpl w:val="A5FE8EE0"/>
    <w:lvl w:ilvl="0" w:tplc="0C0C001B">
      <w:start w:val="1"/>
      <w:numFmt w:val="lowerRoman"/>
      <w:lvlText w:val="%1."/>
      <w:lvlJc w:val="right"/>
      <w:pPr>
        <w:ind w:left="720" w:hanging="360"/>
      </w:pPr>
      <w:rPr>
        <w:rFont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43" w15:restartNumberingAfterBreak="0">
    <w:nsid w:val="46241FF9"/>
    <w:multiLevelType w:val="hybridMultilevel"/>
    <w:tmpl w:val="7A5C7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88735A1"/>
    <w:multiLevelType w:val="hybridMultilevel"/>
    <w:tmpl w:val="0EC4DC7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5" w15:restartNumberingAfterBreak="0">
    <w:nsid w:val="4BC15F69"/>
    <w:multiLevelType w:val="hybridMultilevel"/>
    <w:tmpl w:val="049E8B98"/>
    <w:lvl w:ilvl="0" w:tplc="D900852A">
      <w:start w:val="1"/>
      <w:numFmt w:val="decimal"/>
      <w:lvlText w:val="%1."/>
      <w:lvlJc w:val="left"/>
      <w:pPr>
        <w:ind w:left="720" w:hanging="360"/>
      </w:pPr>
      <w:rPr>
        <w:rFonts w:ascii="Arial" w:hAnsi="Arial" w:cs="Arial"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CB86CE7"/>
    <w:multiLevelType w:val="hybridMultilevel"/>
    <w:tmpl w:val="63D09BE0"/>
    <w:lvl w:ilvl="0" w:tplc="D400AD02">
      <w:start w:val="1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E7A5335"/>
    <w:multiLevelType w:val="hybridMultilevel"/>
    <w:tmpl w:val="CB18ED46"/>
    <w:lvl w:ilvl="0" w:tplc="6F8237AE">
      <w:start w:val="1"/>
      <w:numFmt w:val="bullet"/>
      <w:lvlText w:val=""/>
      <w:lvlJc w:val="left"/>
      <w:pPr>
        <w:tabs>
          <w:tab w:val="num" w:pos="700"/>
        </w:tabs>
        <w:ind w:left="700" w:hanging="170"/>
      </w:pPr>
      <w:rPr>
        <w:rFonts w:ascii="Wingdings" w:hAnsi="Wingdings" w:hint="default"/>
        <w:b w:val="0"/>
        <w:sz w:val="16"/>
      </w:rPr>
    </w:lvl>
    <w:lvl w:ilvl="1" w:tplc="04090003">
      <w:start w:val="1"/>
      <w:numFmt w:val="lowerLetter"/>
      <w:lvlText w:val="%2."/>
      <w:lvlJc w:val="left"/>
      <w:pPr>
        <w:ind w:left="1610" w:hanging="360"/>
      </w:pPr>
    </w:lvl>
    <w:lvl w:ilvl="2" w:tplc="04090005">
      <w:start w:val="1"/>
      <w:numFmt w:val="lowerRoman"/>
      <w:lvlText w:val="%3."/>
      <w:lvlJc w:val="right"/>
      <w:pPr>
        <w:ind w:left="2330" w:hanging="180"/>
      </w:pPr>
    </w:lvl>
    <w:lvl w:ilvl="3" w:tplc="04090001">
      <w:start w:val="1"/>
      <w:numFmt w:val="decimal"/>
      <w:lvlText w:val="%4."/>
      <w:lvlJc w:val="left"/>
      <w:pPr>
        <w:ind w:left="3050" w:hanging="360"/>
      </w:pPr>
    </w:lvl>
    <w:lvl w:ilvl="4" w:tplc="04090003">
      <w:start w:val="1"/>
      <w:numFmt w:val="lowerLetter"/>
      <w:lvlText w:val="%5."/>
      <w:lvlJc w:val="left"/>
      <w:pPr>
        <w:ind w:left="3770" w:hanging="360"/>
      </w:pPr>
    </w:lvl>
    <w:lvl w:ilvl="5" w:tplc="04090005">
      <w:start w:val="1"/>
      <w:numFmt w:val="lowerRoman"/>
      <w:lvlText w:val="%6."/>
      <w:lvlJc w:val="right"/>
      <w:pPr>
        <w:ind w:left="4490" w:hanging="180"/>
      </w:pPr>
    </w:lvl>
    <w:lvl w:ilvl="6" w:tplc="04090001">
      <w:start w:val="1"/>
      <w:numFmt w:val="decimal"/>
      <w:lvlText w:val="%7."/>
      <w:lvlJc w:val="left"/>
      <w:pPr>
        <w:ind w:left="5210" w:hanging="360"/>
      </w:pPr>
    </w:lvl>
    <w:lvl w:ilvl="7" w:tplc="04090003">
      <w:start w:val="1"/>
      <w:numFmt w:val="lowerLetter"/>
      <w:lvlText w:val="%8."/>
      <w:lvlJc w:val="left"/>
      <w:pPr>
        <w:ind w:left="5930" w:hanging="360"/>
      </w:pPr>
    </w:lvl>
    <w:lvl w:ilvl="8" w:tplc="04090005">
      <w:start w:val="1"/>
      <w:numFmt w:val="lowerRoman"/>
      <w:lvlText w:val="%9."/>
      <w:lvlJc w:val="right"/>
      <w:pPr>
        <w:ind w:left="6650" w:hanging="180"/>
      </w:pPr>
    </w:lvl>
  </w:abstractNum>
  <w:abstractNum w:abstractNumId="48" w15:restartNumberingAfterBreak="0">
    <w:nsid w:val="5075636D"/>
    <w:multiLevelType w:val="hybridMultilevel"/>
    <w:tmpl w:val="AA589086"/>
    <w:lvl w:ilvl="0" w:tplc="8872E906">
      <w:numFmt w:val="bullet"/>
      <w:lvlText w:val="-"/>
      <w:lvlJc w:val="left"/>
      <w:pPr>
        <w:ind w:left="360" w:hanging="360"/>
      </w:pPr>
      <w:rPr>
        <w:rFonts w:ascii="Calibri" w:eastAsia="Calibri"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49" w15:restartNumberingAfterBreak="0">
    <w:nsid w:val="52990B3B"/>
    <w:multiLevelType w:val="hybridMultilevel"/>
    <w:tmpl w:val="14C2ACEC"/>
    <w:lvl w:ilvl="0" w:tplc="88A46736">
      <w:start w:val="21"/>
      <w:numFmt w:val="bullet"/>
      <w:lvlText w:val="-"/>
      <w:lvlJc w:val="left"/>
      <w:pPr>
        <w:ind w:left="720" w:hanging="360"/>
      </w:pPr>
      <w:rPr>
        <w:rFonts w:ascii="Calibri" w:eastAsia="Times New Roman" w:hAnsi="Calibri" w:cs="Times New Roman"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0" w15:restartNumberingAfterBreak="0">
    <w:nsid w:val="53577630"/>
    <w:multiLevelType w:val="hybridMultilevel"/>
    <w:tmpl w:val="81C4CEBE"/>
    <w:lvl w:ilvl="0" w:tplc="0C0C0019">
      <w:start w:val="1"/>
      <w:numFmt w:val="lowerLetter"/>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15:restartNumberingAfterBreak="0">
    <w:nsid w:val="57B039C5"/>
    <w:multiLevelType w:val="hybridMultilevel"/>
    <w:tmpl w:val="A4107AD6"/>
    <w:lvl w:ilvl="0" w:tplc="6F8237AE">
      <w:start w:val="1"/>
      <w:numFmt w:val="bullet"/>
      <w:lvlText w:val=""/>
      <w:lvlJc w:val="left"/>
      <w:pPr>
        <w:tabs>
          <w:tab w:val="num" w:pos="170"/>
        </w:tabs>
        <w:ind w:left="170" w:hanging="170"/>
      </w:pPr>
      <w:rPr>
        <w:rFonts w:ascii="Wingdings" w:hAnsi="Wingdings" w:hint="default"/>
        <w:sz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2" w15:restartNumberingAfterBreak="0">
    <w:nsid w:val="59F723D6"/>
    <w:multiLevelType w:val="hybridMultilevel"/>
    <w:tmpl w:val="FF2E4758"/>
    <w:lvl w:ilvl="0" w:tplc="04090001">
      <w:start w:val="1"/>
      <w:numFmt w:val="bullet"/>
      <w:lvlText w:val=""/>
      <w:lvlJc w:val="left"/>
      <w:pPr>
        <w:ind w:left="360" w:hanging="360"/>
      </w:pPr>
      <w:rPr>
        <w:rFonts w:ascii="Symbol" w:hAnsi="Symbol" w:hint="default"/>
      </w:rPr>
    </w:lvl>
    <w:lvl w:ilvl="1" w:tplc="100C0003">
      <w:start w:val="1"/>
      <w:numFmt w:val="bullet"/>
      <w:lvlText w:val="o"/>
      <w:lvlJc w:val="left"/>
      <w:pPr>
        <w:ind w:left="1080" w:hanging="360"/>
      </w:pPr>
      <w:rPr>
        <w:rFonts w:ascii="Courier New" w:hAnsi="Courier New" w:cs="Courier New" w:hint="default"/>
      </w:rPr>
    </w:lvl>
    <w:lvl w:ilvl="2" w:tplc="100C0005">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53" w15:restartNumberingAfterBreak="0">
    <w:nsid w:val="5A9C49AB"/>
    <w:multiLevelType w:val="hybridMultilevel"/>
    <w:tmpl w:val="CD802D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C777B58"/>
    <w:multiLevelType w:val="multilevel"/>
    <w:tmpl w:val="5122F73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5CB84F04"/>
    <w:multiLevelType w:val="hybridMultilevel"/>
    <w:tmpl w:val="1E10B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1525893"/>
    <w:multiLevelType w:val="hybridMultilevel"/>
    <w:tmpl w:val="501A57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63271722"/>
    <w:multiLevelType w:val="hybridMultilevel"/>
    <w:tmpl w:val="4CD4F0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52C0525"/>
    <w:multiLevelType w:val="hybridMultilevel"/>
    <w:tmpl w:val="0EDA094C"/>
    <w:lvl w:ilvl="0" w:tplc="D900852A">
      <w:start w:val="1"/>
      <w:numFmt w:val="decimal"/>
      <w:lvlText w:val="%1."/>
      <w:lvlJc w:val="left"/>
      <w:pPr>
        <w:ind w:left="720" w:hanging="360"/>
      </w:pPr>
      <w:rPr>
        <w:rFonts w:ascii="Arial" w:hAnsi="Arial" w:cs="Arial" w:hint="default"/>
        <w:b w:val="0"/>
        <w:i w:val="0"/>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699E14A5"/>
    <w:multiLevelType w:val="hybridMultilevel"/>
    <w:tmpl w:val="86C0D57E"/>
    <w:lvl w:ilvl="0" w:tplc="095204CC">
      <w:start w:val="1"/>
      <w:numFmt w:val="bullet"/>
      <w:lvlText w:val=""/>
      <w:lvlJc w:val="left"/>
      <w:pPr>
        <w:ind w:left="720" w:hanging="360"/>
      </w:pPr>
      <w:rPr>
        <w:rFonts w:ascii="Wingdings" w:hAnsi="Wingdings" w:hint="default"/>
        <w:sz w:val="16"/>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61" w15:restartNumberingAfterBreak="0">
    <w:nsid w:val="6A841BE0"/>
    <w:multiLevelType w:val="hybridMultilevel"/>
    <w:tmpl w:val="3DB6DBE2"/>
    <w:lvl w:ilvl="0" w:tplc="0C0C000F">
      <w:start w:val="1"/>
      <w:numFmt w:val="decimal"/>
      <w:lvlText w:val="%1."/>
      <w:lvlJc w:val="left"/>
      <w:pPr>
        <w:ind w:left="644"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62" w15:restartNumberingAfterBreak="0">
    <w:nsid w:val="6EB14DBE"/>
    <w:multiLevelType w:val="hybridMultilevel"/>
    <w:tmpl w:val="DEE492D0"/>
    <w:lvl w:ilvl="0" w:tplc="BA2CDC08">
      <w:start w:val="2"/>
      <w:numFmt w:val="bullet"/>
      <w:pStyle w:val="Rappniebepuce1"/>
      <w:lvlText w:val="-"/>
      <w:lvlJc w:val="left"/>
      <w:pPr>
        <w:ind w:left="360" w:hanging="360"/>
      </w:pPr>
      <w:rPr>
        <w:rFonts w:ascii="Times New Roman" w:eastAsia="Times New Roman" w:hAnsi="Times New Roman" w:cs="Times New Roman" w:hint="default"/>
      </w:rPr>
    </w:lvl>
    <w:lvl w:ilvl="1" w:tplc="8118E60E">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6F2074A6"/>
    <w:multiLevelType w:val="hybridMultilevel"/>
    <w:tmpl w:val="69C8A096"/>
    <w:lvl w:ilvl="0" w:tplc="0C0C0019">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4" w15:restartNumberingAfterBreak="0">
    <w:nsid w:val="6F4630FD"/>
    <w:multiLevelType w:val="hybridMultilevel"/>
    <w:tmpl w:val="08F4EC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1422FAC"/>
    <w:multiLevelType w:val="hybridMultilevel"/>
    <w:tmpl w:val="167040B4"/>
    <w:lvl w:ilvl="0" w:tplc="B316FCF2">
      <w:start w:val="1"/>
      <w:numFmt w:val="bullet"/>
      <w:lvlText w:val=""/>
      <w:lvlJc w:val="left"/>
      <w:pPr>
        <w:tabs>
          <w:tab w:val="num" w:pos="-190"/>
        </w:tabs>
        <w:ind w:left="530" w:hanging="360"/>
      </w:pPr>
      <w:rPr>
        <w:rFonts w:ascii="Wingdings" w:hAnsi="Wingdings" w:hint="default"/>
        <w:sz w:val="16"/>
      </w:rPr>
    </w:lvl>
    <w:lvl w:ilvl="1" w:tplc="0C0C0003" w:tentative="1">
      <w:start w:val="1"/>
      <w:numFmt w:val="bullet"/>
      <w:lvlText w:val="o"/>
      <w:lvlJc w:val="left"/>
      <w:pPr>
        <w:tabs>
          <w:tab w:val="num" w:pos="1610"/>
        </w:tabs>
        <w:ind w:left="1610" w:hanging="360"/>
      </w:pPr>
      <w:rPr>
        <w:rFonts w:ascii="Courier New" w:hAnsi="Courier New" w:cs="Courier New" w:hint="default"/>
      </w:rPr>
    </w:lvl>
    <w:lvl w:ilvl="2" w:tplc="0C0C0005" w:tentative="1">
      <w:start w:val="1"/>
      <w:numFmt w:val="bullet"/>
      <w:lvlText w:val=""/>
      <w:lvlJc w:val="left"/>
      <w:pPr>
        <w:tabs>
          <w:tab w:val="num" w:pos="2330"/>
        </w:tabs>
        <w:ind w:left="2330" w:hanging="360"/>
      </w:pPr>
      <w:rPr>
        <w:rFonts w:ascii="Wingdings" w:hAnsi="Wingdings" w:hint="default"/>
      </w:rPr>
    </w:lvl>
    <w:lvl w:ilvl="3" w:tplc="0C0C0001" w:tentative="1">
      <w:start w:val="1"/>
      <w:numFmt w:val="bullet"/>
      <w:lvlText w:val=""/>
      <w:lvlJc w:val="left"/>
      <w:pPr>
        <w:tabs>
          <w:tab w:val="num" w:pos="3050"/>
        </w:tabs>
        <w:ind w:left="3050" w:hanging="360"/>
      </w:pPr>
      <w:rPr>
        <w:rFonts w:ascii="Symbol" w:hAnsi="Symbol" w:hint="default"/>
      </w:rPr>
    </w:lvl>
    <w:lvl w:ilvl="4" w:tplc="0C0C0003" w:tentative="1">
      <w:start w:val="1"/>
      <w:numFmt w:val="bullet"/>
      <w:lvlText w:val="o"/>
      <w:lvlJc w:val="left"/>
      <w:pPr>
        <w:tabs>
          <w:tab w:val="num" w:pos="3770"/>
        </w:tabs>
        <w:ind w:left="3770" w:hanging="360"/>
      </w:pPr>
      <w:rPr>
        <w:rFonts w:ascii="Courier New" w:hAnsi="Courier New" w:cs="Courier New" w:hint="default"/>
      </w:rPr>
    </w:lvl>
    <w:lvl w:ilvl="5" w:tplc="0C0C0005" w:tentative="1">
      <w:start w:val="1"/>
      <w:numFmt w:val="bullet"/>
      <w:lvlText w:val=""/>
      <w:lvlJc w:val="left"/>
      <w:pPr>
        <w:tabs>
          <w:tab w:val="num" w:pos="4490"/>
        </w:tabs>
        <w:ind w:left="4490" w:hanging="360"/>
      </w:pPr>
      <w:rPr>
        <w:rFonts w:ascii="Wingdings" w:hAnsi="Wingdings" w:hint="default"/>
      </w:rPr>
    </w:lvl>
    <w:lvl w:ilvl="6" w:tplc="0C0C0001" w:tentative="1">
      <w:start w:val="1"/>
      <w:numFmt w:val="bullet"/>
      <w:lvlText w:val=""/>
      <w:lvlJc w:val="left"/>
      <w:pPr>
        <w:tabs>
          <w:tab w:val="num" w:pos="5210"/>
        </w:tabs>
        <w:ind w:left="5210" w:hanging="360"/>
      </w:pPr>
      <w:rPr>
        <w:rFonts w:ascii="Symbol" w:hAnsi="Symbol" w:hint="default"/>
      </w:rPr>
    </w:lvl>
    <w:lvl w:ilvl="7" w:tplc="0C0C0003" w:tentative="1">
      <w:start w:val="1"/>
      <w:numFmt w:val="bullet"/>
      <w:lvlText w:val="o"/>
      <w:lvlJc w:val="left"/>
      <w:pPr>
        <w:tabs>
          <w:tab w:val="num" w:pos="5930"/>
        </w:tabs>
        <w:ind w:left="5930" w:hanging="360"/>
      </w:pPr>
      <w:rPr>
        <w:rFonts w:ascii="Courier New" w:hAnsi="Courier New" w:cs="Courier New" w:hint="default"/>
      </w:rPr>
    </w:lvl>
    <w:lvl w:ilvl="8" w:tplc="0C0C0005" w:tentative="1">
      <w:start w:val="1"/>
      <w:numFmt w:val="bullet"/>
      <w:lvlText w:val=""/>
      <w:lvlJc w:val="left"/>
      <w:pPr>
        <w:tabs>
          <w:tab w:val="num" w:pos="6650"/>
        </w:tabs>
        <w:ind w:left="6650" w:hanging="360"/>
      </w:pPr>
      <w:rPr>
        <w:rFonts w:ascii="Wingdings" w:hAnsi="Wingdings" w:hint="default"/>
      </w:rPr>
    </w:lvl>
  </w:abstractNum>
  <w:abstractNum w:abstractNumId="66" w15:restartNumberingAfterBreak="0">
    <w:nsid w:val="7299285D"/>
    <w:multiLevelType w:val="hybridMultilevel"/>
    <w:tmpl w:val="4628CF8C"/>
    <w:lvl w:ilvl="0" w:tplc="DF4035B4">
      <w:start w:val="1"/>
      <w:numFmt w:val="bullet"/>
      <w:lvlText w:val=""/>
      <w:lvlJc w:val="left"/>
      <w:pPr>
        <w:tabs>
          <w:tab w:val="num" w:pos="360"/>
        </w:tabs>
        <w:ind w:left="360" w:hanging="360"/>
      </w:pPr>
      <w:rPr>
        <w:rFonts w:ascii="Wingdings" w:hAnsi="Wingdings" w:hint="default"/>
      </w:rPr>
    </w:lvl>
    <w:lvl w:ilvl="1" w:tplc="04090017">
      <w:start w:val="1"/>
      <w:numFmt w:val="lowerLetter"/>
      <w:lvlText w:val="%2)"/>
      <w:lvlJc w:val="left"/>
      <w:pPr>
        <w:ind w:left="1080" w:hanging="360"/>
      </w:pPr>
      <w:rPr>
        <w:rFonts w:hint="default"/>
      </w:rPr>
    </w:lvl>
    <w:lvl w:ilvl="2" w:tplc="A73E636A">
      <w:start w:val="1"/>
      <w:numFmt w:val="lowerLetter"/>
      <w:lvlText w:val="(%3)"/>
      <w:lvlJc w:val="left"/>
      <w:pPr>
        <w:ind w:left="1800" w:hanging="360"/>
      </w:pPr>
      <w:rPr>
        <w:rFonts w:hint="default"/>
        <w:b w:val="0"/>
      </w:rPr>
    </w:lvl>
    <w:lvl w:ilvl="3" w:tplc="4DB202C6" w:tentative="1">
      <w:start w:val="1"/>
      <w:numFmt w:val="bullet"/>
      <w:lvlText w:val=""/>
      <w:lvlJc w:val="left"/>
      <w:pPr>
        <w:tabs>
          <w:tab w:val="num" w:pos="2520"/>
        </w:tabs>
        <w:ind w:left="2520" w:hanging="360"/>
      </w:pPr>
      <w:rPr>
        <w:rFonts w:ascii="Wingdings" w:hAnsi="Wingdings" w:hint="default"/>
      </w:rPr>
    </w:lvl>
    <w:lvl w:ilvl="4" w:tplc="A8C88B3E" w:tentative="1">
      <w:start w:val="1"/>
      <w:numFmt w:val="bullet"/>
      <w:lvlText w:val=""/>
      <w:lvlJc w:val="left"/>
      <w:pPr>
        <w:tabs>
          <w:tab w:val="num" w:pos="3240"/>
        </w:tabs>
        <w:ind w:left="3240" w:hanging="360"/>
      </w:pPr>
      <w:rPr>
        <w:rFonts w:ascii="Wingdings" w:hAnsi="Wingdings" w:hint="default"/>
      </w:rPr>
    </w:lvl>
    <w:lvl w:ilvl="5" w:tplc="488A35CA" w:tentative="1">
      <w:start w:val="1"/>
      <w:numFmt w:val="bullet"/>
      <w:lvlText w:val=""/>
      <w:lvlJc w:val="left"/>
      <w:pPr>
        <w:tabs>
          <w:tab w:val="num" w:pos="3960"/>
        </w:tabs>
        <w:ind w:left="3960" w:hanging="360"/>
      </w:pPr>
      <w:rPr>
        <w:rFonts w:ascii="Wingdings" w:hAnsi="Wingdings" w:hint="default"/>
      </w:rPr>
    </w:lvl>
    <w:lvl w:ilvl="6" w:tplc="E9A4F710" w:tentative="1">
      <w:start w:val="1"/>
      <w:numFmt w:val="bullet"/>
      <w:lvlText w:val=""/>
      <w:lvlJc w:val="left"/>
      <w:pPr>
        <w:tabs>
          <w:tab w:val="num" w:pos="4680"/>
        </w:tabs>
        <w:ind w:left="4680" w:hanging="360"/>
      </w:pPr>
      <w:rPr>
        <w:rFonts w:ascii="Wingdings" w:hAnsi="Wingdings" w:hint="default"/>
      </w:rPr>
    </w:lvl>
    <w:lvl w:ilvl="7" w:tplc="D6C862A0" w:tentative="1">
      <w:start w:val="1"/>
      <w:numFmt w:val="bullet"/>
      <w:lvlText w:val=""/>
      <w:lvlJc w:val="left"/>
      <w:pPr>
        <w:tabs>
          <w:tab w:val="num" w:pos="5400"/>
        </w:tabs>
        <w:ind w:left="5400" w:hanging="360"/>
      </w:pPr>
      <w:rPr>
        <w:rFonts w:ascii="Wingdings" w:hAnsi="Wingdings" w:hint="default"/>
      </w:rPr>
    </w:lvl>
    <w:lvl w:ilvl="8" w:tplc="F7F8675A" w:tentative="1">
      <w:start w:val="1"/>
      <w:numFmt w:val="bullet"/>
      <w:lvlText w:val=""/>
      <w:lvlJc w:val="left"/>
      <w:pPr>
        <w:tabs>
          <w:tab w:val="num" w:pos="6120"/>
        </w:tabs>
        <w:ind w:left="6120" w:hanging="360"/>
      </w:pPr>
      <w:rPr>
        <w:rFonts w:ascii="Wingdings" w:hAnsi="Wingdings" w:hint="default"/>
      </w:rPr>
    </w:lvl>
  </w:abstractNum>
  <w:abstractNum w:abstractNumId="67" w15:restartNumberingAfterBreak="0">
    <w:nsid w:val="790C1560"/>
    <w:multiLevelType w:val="hybridMultilevel"/>
    <w:tmpl w:val="44561B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F8E33E1"/>
    <w:multiLevelType w:val="hybridMultilevel"/>
    <w:tmpl w:val="9508CB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7FD847C9"/>
    <w:multiLevelType w:val="hybridMultilevel"/>
    <w:tmpl w:val="78ACD7E0"/>
    <w:lvl w:ilvl="0" w:tplc="095204CC">
      <w:start w:val="1"/>
      <w:numFmt w:val="bullet"/>
      <w:lvlText w:val=""/>
      <w:lvlJc w:val="left"/>
      <w:pPr>
        <w:ind w:left="720" w:hanging="360"/>
      </w:pPr>
      <w:rPr>
        <w:rFonts w:ascii="Wingdings" w:hAnsi="Wingdings" w:hint="default"/>
        <w:sz w:val="16"/>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59"/>
  </w:num>
  <w:num w:numId="4">
    <w:abstractNumId w:val="27"/>
  </w:num>
  <w:num w:numId="5">
    <w:abstractNumId w:val="8"/>
  </w:num>
  <w:num w:numId="6">
    <w:abstractNumId w:val="16"/>
  </w:num>
  <w:num w:numId="7">
    <w:abstractNumId w:val="40"/>
  </w:num>
  <w:num w:numId="8">
    <w:abstractNumId w:val="31"/>
  </w:num>
  <w:num w:numId="9">
    <w:abstractNumId w:val="44"/>
  </w:num>
  <w:num w:numId="10">
    <w:abstractNumId w:val="9"/>
  </w:num>
  <w:num w:numId="11">
    <w:abstractNumId w:val="50"/>
  </w:num>
  <w:num w:numId="12">
    <w:abstractNumId w:val="12"/>
  </w:num>
  <w:num w:numId="13">
    <w:abstractNumId w:val="63"/>
  </w:num>
  <w:num w:numId="14">
    <w:abstractNumId w:val="61"/>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num>
  <w:num w:numId="17">
    <w:abstractNumId w:val="22"/>
  </w:num>
  <w:num w:numId="18">
    <w:abstractNumId w:val="20"/>
  </w:num>
  <w:num w:numId="19">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42"/>
  </w:num>
  <w:num w:numId="23">
    <w:abstractNumId w:val="39"/>
  </w:num>
  <w:num w:numId="24">
    <w:abstractNumId w:val="15"/>
  </w:num>
  <w:num w:numId="25">
    <w:abstractNumId w:val="0"/>
  </w:num>
  <w:num w:numId="26">
    <w:abstractNumId w:val="66"/>
  </w:num>
  <w:num w:numId="27">
    <w:abstractNumId w:val="25"/>
  </w:num>
  <w:num w:numId="28">
    <w:abstractNumId w:val="55"/>
  </w:num>
  <w:num w:numId="29">
    <w:abstractNumId w:val="60"/>
  </w:num>
  <w:num w:numId="30">
    <w:abstractNumId w:val="69"/>
  </w:num>
  <w:num w:numId="31">
    <w:abstractNumId w:val="49"/>
  </w:num>
  <w:num w:numId="3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53"/>
  </w:num>
  <w:num w:numId="35">
    <w:abstractNumId w:val="24"/>
  </w:num>
  <w:num w:numId="36">
    <w:abstractNumId w:val="56"/>
  </w:num>
  <w:num w:numId="37">
    <w:abstractNumId w:val="43"/>
  </w:num>
  <w:num w:numId="38">
    <w:abstractNumId w:val="51"/>
  </w:num>
  <w:num w:numId="39">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2"/>
  </w:num>
  <w:num w:numId="41">
    <w:abstractNumId w:val="41"/>
  </w:num>
  <w:num w:numId="42">
    <w:abstractNumId w:val="68"/>
  </w:num>
  <w:num w:numId="43">
    <w:abstractNumId w:val="48"/>
  </w:num>
  <w:num w:numId="44">
    <w:abstractNumId w:val="6"/>
  </w:num>
  <w:num w:numId="45">
    <w:abstractNumId w:val="28"/>
  </w:num>
  <w:num w:numId="46">
    <w:abstractNumId w:val="17"/>
  </w:num>
  <w:num w:numId="47">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6"/>
  </w:num>
  <w:num w:numId="49">
    <w:abstractNumId w:val="26"/>
  </w:num>
  <w:num w:numId="50">
    <w:abstractNumId w:val="35"/>
  </w:num>
  <w:num w:numId="51">
    <w:abstractNumId w:val="38"/>
  </w:num>
  <w:num w:numId="52">
    <w:abstractNumId w:val="19"/>
  </w:num>
  <w:num w:numId="53">
    <w:abstractNumId w:val="18"/>
  </w:num>
  <w:num w:numId="54">
    <w:abstractNumId w:val="64"/>
  </w:num>
  <w:num w:numId="55">
    <w:abstractNumId w:val="54"/>
  </w:num>
  <w:num w:numId="56">
    <w:abstractNumId w:val="30"/>
  </w:num>
  <w:num w:numId="57">
    <w:abstractNumId w:val="37"/>
  </w:num>
  <w:num w:numId="58">
    <w:abstractNumId w:val="23"/>
  </w:num>
  <w:num w:numId="59">
    <w:abstractNumId w:val="1"/>
  </w:num>
  <w:num w:numId="60">
    <w:abstractNumId w:val="34"/>
  </w:num>
  <w:num w:numId="61">
    <w:abstractNumId w:val="32"/>
  </w:num>
  <w:num w:numId="62">
    <w:abstractNumId w:val="52"/>
  </w:num>
  <w:num w:numId="63">
    <w:abstractNumId w:val="7"/>
  </w:num>
  <w:num w:numId="64">
    <w:abstractNumId w:val="45"/>
  </w:num>
  <w:num w:numId="65">
    <w:abstractNumId w:val="58"/>
  </w:num>
  <w:num w:numId="66">
    <w:abstractNumId w:val="46"/>
  </w:num>
  <w:num w:numId="67">
    <w:abstractNumId w:val="14"/>
  </w:num>
  <w:num w:numId="68">
    <w:abstractNumId w:val="10"/>
  </w:num>
  <w:num w:numId="69">
    <w:abstractNumId w:val="57"/>
  </w:num>
  <w:num w:numId="70">
    <w:abstractNumId w:val="67"/>
  </w:num>
  <w:num w:numId="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BFE"/>
    <w:rsid w:val="00003F71"/>
    <w:rsid w:val="0000686D"/>
    <w:rsid w:val="00011708"/>
    <w:rsid w:val="00011788"/>
    <w:rsid w:val="00013DAF"/>
    <w:rsid w:val="00013E6D"/>
    <w:rsid w:val="00017D56"/>
    <w:rsid w:val="0002365A"/>
    <w:rsid w:val="00025023"/>
    <w:rsid w:val="000344D0"/>
    <w:rsid w:val="0003471D"/>
    <w:rsid w:val="000353EF"/>
    <w:rsid w:val="00035B7E"/>
    <w:rsid w:val="00042A7A"/>
    <w:rsid w:val="000444D2"/>
    <w:rsid w:val="00044A1B"/>
    <w:rsid w:val="000453F3"/>
    <w:rsid w:val="00046D08"/>
    <w:rsid w:val="00047338"/>
    <w:rsid w:val="0005601C"/>
    <w:rsid w:val="00056241"/>
    <w:rsid w:val="00056917"/>
    <w:rsid w:val="00057EAE"/>
    <w:rsid w:val="00066EBD"/>
    <w:rsid w:val="00073926"/>
    <w:rsid w:val="00074AC5"/>
    <w:rsid w:val="00076116"/>
    <w:rsid w:val="00077D48"/>
    <w:rsid w:val="00081E87"/>
    <w:rsid w:val="000876F5"/>
    <w:rsid w:val="00087970"/>
    <w:rsid w:val="00087B9C"/>
    <w:rsid w:val="00090D3B"/>
    <w:rsid w:val="0009166F"/>
    <w:rsid w:val="00091EA0"/>
    <w:rsid w:val="00094C08"/>
    <w:rsid w:val="000A09B6"/>
    <w:rsid w:val="000A1B84"/>
    <w:rsid w:val="000A4251"/>
    <w:rsid w:val="000B0AA1"/>
    <w:rsid w:val="000B16A8"/>
    <w:rsid w:val="000B241D"/>
    <w:rsid w:val="000C0407"/>
    <w:rsid w:val="000C125A"/>
    <w:rsid w:val="000C2449"/>
    <w:rsid w:val="000C7E12"/>
    <w:rsid w:val="000D0AA3"/>
    <w:rsid w:val="000D4265"/>
    <w:rsid w:val="000D4277"/>
    <w:rsid w:val="000E2B54"/>
    <w:rsid w:val="000E3AD9"/>
    <w:rsid w:val="000E4CFB"/>
    <w:rsid w:val="000E4F17"/>
    <w:rsid w:val="000F04A2"/>
    <w:rsid w:val="000F1F6F"/>
    <w:rsid w:val="000F3521"/>
    <w:rsid w:val="000F70A1"/>
    <w:rsid w:val="00101930"/>
    <w:rsid w:val="001070F0"/>
    <w:rsid w:val="001077BB"/>
    <w:rsid w:val="00111CA9"/>
    <w:rsid w:val="0011438A"/>
    <w:rsid w:val="00116DDC"/>
    <w:rsid w:val="001200EA"/>
    <w:rsid w:val="00122E02"/>
    <w:rsid w:val="001246C8"/>
    <w:rsid w:val="00124931"/>
    <w:rsid w:val="001274DA"/>
    <w:rsid w:val="001353B0"/>
    <w:rsid w:val="00136078"/>
    <w:rsid w:val="00136F2E"/>
    <w:rsid w:val="00143184"/>
    <w:rsid w:val="0014607F"/>
    <w:rsid w:val="00146922"/>
    <w:rsid w:val="00147930"/>
    <w:rsid w:val="00147E45"/>
    <w:rsid w:val="00151F90"/>
    <w:rsid w:val="001557D3"/>
    <w:rsid w:val="00157582"/>
    <w:rsid w:val="0016320F"/>
    <w:rsid w:val="00166A4E"/>
    <w:rsid w:val="0017044F"/>
    <w:rsid w:val="00173284"/>
    <w:rsid w:val="00175FC8"/>
    <w:rsid w:val="001762F0"/>
    <w:rsid w:val="001807A8"/>
    <w:rsid w:val="0018302A"/>
    <w:rsid w:val="00187640"/>
    <w:rsid w:val="00187E4A"/>
    <w:rsid w:val="0019268B"/>
    <w:rsid w:val="00193614"/>
    <w:rsid w:val="00194CA4"/>
    <w:rsid w:val="0019602F"/>
    <w:rsid w:val="00197022"/>
    <w:rsid w:val="00197446"/>
    <w:rsid w:val="001A5C7C"/>
    <w:rsid w:val="001A60BA"/>
    <w:rsid w:val="001B1641"/>
    <w:rsid w:val="001B25BB"/>
    <w:rsid w:val="001B5648"/>
    <w:rsid w:val="001B7D1D"/>
    <w:rsid w:val="001B7D4D"/>
    <w:rsid w:val="001C0390"/>
    <w:rsid w:val="001C3883"/>
    <w:rsid w:val="001C6338"/>
    <w:rsid w:val="001D3D46"/>
    <w:rsid w:val="001D68CE"/>
    <w:rsid w:val="001D6F92"/>
    <w:rsid w:val="001E17DD"/>
    <w:rsid w:val="001E5CCF"/>
    <w:rsid w:val="001E6847"/>
    <w:rsid w:val="001F01ED"/>
    <w:rsid w:val="001F05DA"/>
    <w:rsid w:val="001F0AE6"/>
    <w:rsid w:val="001F0CFF"/>
    <w:rsid w:val="001F1386"/>
    <w:rsid w:val="001F1665"/>
    <w:rsid w:val="001F1B59"/>
    <w:rsid w:val="001F239B"/>
    <w:rsid w:val="001F23E3"/>
    <w:rsid w:val="001F45CE"/>
    <w:rsid w:val="001F7A0B"/>
    <w:rsid w:val="001F7EF7"/>
    <w:rsid w:val="0020399E"/>
    <w:rsid w:val="00204930"/>
    <w:rsid w:val="00206FC9"/>
    <w:rsid w:val="00207001"/>
    <w:rsid w:val="0020797F"/>
    <w:rsid w:val="00207C13"/>
    <w:rsid w:val="00212259"/>
    <w:rsid w:val="00212A4C"/>
    <w:rsid w:val="002136D5"/>
    <w:rsid w:val="00213C1A"/>
    <w:rsid w:val="002148F8"/>
    <w:rsid w:val="002168BE"/>
    <w:rsid w:val="0022684C"/>
    <w:rsid w:val="002341E1"/>
    <w:rsid w:val="0024363F"/>
    <w:rsid w:val="00243B15"/>
    <w:rsid w:val="002444C5"/>
    <w:rsid w:val="0024478B"/>
    <w:rsid w:val="0025350F"/>
    <w:rsid w:val="00257B80"/>
    <w:rsid w:val="0026329B"/>
    <w:rsid w:val="002642AF"/>
    <w:rsid w:val="00271A74"/>
    <w:rsid w:val="00272066"/>
    <w:rsid w:val="00272CB2"/>
    <w:rsid w:val="00274460"/>
    <w:rsid w:val="00276497"/>
    <w:rsid w:val="0027791F"/>
    <w:rsid w:val="0028139B"/>
    <w:rsid w:val="00283A84"/>
    <w:rsid w:val="0028438D"/>
    <w:rsid w:val="0028552C"/>
    <w:rsid w:val="002910C6"/>
    <w:rsid w:val="002971F5"/>
    <w:rsid w:val="002A20CF"/>
    <w:rsid w:val="002A78DE"/>
    <w:rsid w:val="002B1FCA"/>
    <w:rsid w:val="002B3545"/>
    <w:rsid w:val="002B4063"/>
    <w:rsid w:val="002C28C3"/>
    <w:rsid w:val="002C2D85"/>
    <w:rsid w:val="002C4038"/>
    <w:rsid w:val="002C6C50"/>
    <w:rsid w:val="002C6F35"/>
    <w:rsid w:val="002C7A0F"/>
    <w:rsid w:val="002D0691"/>
    <w:rsid w:val="002E023F"/>
    <w:rsid w:val="002E12BA"/>
    <w:rsid w:val="002E4EED"/>
    <w:rsid w:val="002F0FA8"/>
    <w:rsid w:val="002F4B8E"/>
    <w:rsid w:val="002F6A2B"/>
    <w:rsid w:val="00300692"/>
    <w:rsid w:val="00302A03"/>
    <w:rsid w:val="00302BFE"/>
    <w:rsid w:val="003041DE"/>
    <w:rsid w:val="00310BCF"/>
    <w:rsid w:val="0031155E"/>
    <w:rsid w:val="003118D5"/>
    <w:rsid w:val="00316148"/>
    <w:rsid w:val="00320AF9"/>
    <w:rsid w:val="00321CBC"/>
    <w:rsid w:val="0032232A"/>
    <w:rsid w:val="003248C8"/>
    <w:rsid w:val="00326346"/>
    <w:rsid w:val="00333F92"/>
    <w:rsid w:val="00335135"/>
    <w:rsid w:val="003373CD"/>
    <w:rsid w:val="00342675"/>
    <w:rsid w:val="00342EBF"/>
    <w:rsid w:val="00343111"/>
    <w:rsid w:val="0035235C"/>
    <w:rsid w:val="003572F5"/>
    <w:rsid w:val="003575FA"/>
    <w:rsid w:val="00361702"/>
    <w:rsid w:val="00363257"/>
    <w:rsid w:val="003740AA"/>
    <w:rsid w:val="00374369"/>
    <w:rsid w:val="00374EF3"/>
    <w:rsid w:val="00375471"/>
    <w:rsid w:val="003759A1"/>
    <w:rsid w:val="00376E3F"/>
    <w:rsid w:val="003819DF"/>
    <w:rsid w:val="00382206"/>
    <w:rsid w:val="00395329"/>
    <w:rsid w:val="00397172"/>
    <w:rsid w:val="003A0ADA"/>
    <w:rsid w:val="003A45AD"/>
    <w:rsid w:val="003A70FD"/>
    <w:rsid w:val="003A74D2"/>
    <w:rsid w:val="003B0A67"/>
    <w:rsid w:val="003B2480"/>
    <w:rsid w:val="003B72ED"/>
    <w:rsid w:val="003C1387"/>
    <w:rsid w:val="003C3F01"/>
    <w:rsid w:val="003D0E6E"/>
    <w:rsid w:val="003D18B6"/>
    <w:rsid w:val="003D2021"/>
    <w:rsid w:val="003D33C0"/>
    <w:rsid w:val="003D561F"/>
    <w:rsid w:val="003D7342"/>
    <w:rsid w:val="003E12E6"/>
    <w:rsid w:val="003E2DD1"/>
    <w:rsid w:val="003E65E6"/>
    <w:rsid w:val="003F190A"/>
    <w:rsid w:val="003F234C"/>
    <w:rsid w:val="003F4704"/>
    <w:rsid w:val="004032F1"/>
    <w:rsid w:val="00404607"/>
    <w:rsid w:val="00405DD9"/>
    <w:rsid w:val="00406F2F"/>
    <w:rsid w:val="00413432"/>
    <w:rsid w:val="00413758"/>
    <w:rsid w:val="0041380C"/>
    <w:rsid w:val="004148C7"/>
    <w:rsid w:val="004159F5"/>
    <w:rsid w:val="00416246"/>
    <w:rsid w:val="00417D39"/>
    <w:rsid w:val="004205FD"/>
    <w:rsid w:val="0042658C"/>
    <w:rsid w:val="00430ADF"/>
    <w:rsid w:val="0043123D"/>
    <w:rsid w:val="004320B0"/>
    <w:rsid w:val="004413A6"/>
    <w:rsid w:val="00446D14"/>
    <w:rsid w:val="00460D01"/>
    <w:rsid w:val="004610C9"/>
    <w:rsid w:val="00461D90"/>
    <w:rsid w:val="00462309"/>
    <w:rsid w:val="004628A2"/>
    <w:rsid w:val="00467A90"/>
    <w:rsid w:val="004708C8"/>
    <w:rsid w:val="00470D4B"/>
    <w:rsid w:val="00470FFF"/>
    <w:rsid w:val="0047331C"/>
    <w:rsid w:val="00474894"/>
    <w:rsid w:val="004755DC"/>
    <w:rsid w:val="0047566F"/>
    <w:rsid w:val="00477C55"/>
    <w:rsid w:val="00482906"/>
    <w:rsid w:val="004847F9"/>
    <w:rsid w:val="0049063A"/>
    <w:rsid w:val="00491E20"/>
    <w:rsid w:val="00492D63"/>
    <w:rsid w:val="00493D97"/>
    <w:rsid w:val="004952B7"/>
    <w:rsid w:val="00496BE8"/>
    <w:rsid w:val="004A10FE"/>
    <w:rsid w:val="004A25B2"/>
    <w:rsid w:val="004A7029"/>
    <w:rsid w:val="004A7704"/>
    <w:rsid w:val="004B06DD"/>
    <w:rsid w:val="004B3763"/>
    <w:rsid w:val="004B587F"/>
    <w:rsid w:val="004C6323"/>
    <w:rsid w:val="004C7570"/>
    <w:rsid w:val="004D14BB"/>
    <w:rsid w:val="004D2432"/>
    <w:rsid w:val="004D3977"/>
    <w:rsid w:val="004E072E"/>
    <w:rsid w:val="004E0C60"/>
    <w:rsid w:val="004E6D7B"/>
    <w:rsid w:val="004F2F0C"/>
    <w:rsid w:val="004F4706"/>
    <w:rsid w:val="004F4A9B"/>
    <w:rsid w:val="004F4EA2"/>
    <w:rsid w:val="004F6F9D"/>
    <w:rsid w:val="004F7A7F"/>
    <w:rsid w:val="0050079F"/>
    <w:rsid w:val="00502220"/>
    <w:rsid w:val="005106FA"/>
    <w:rsid w:val="005124EF"/>
    <w:rsid w:val="0051303A"/>
    <w:rsid w:val="0051525F"/>
    <w:rsid w:val="00522D0E"/>
    <w:rsid w:val="00527C15"/>
    <w:rsid w:val="0053008A"/>
    <w:rsid w:val="005316E7"/>
    <w:rsid w:val="00533530"/>
    <w:rsid w:val="0053434B"/>
    <w:rsid w:val="00535BB9"/>
    <w:rsid w:val="0053733F"/>
    <w:rsid w:val="005376C7"/>
    <w:rsid w:val="00537938"/>
    <w:rsid w:val="00540C69"/>
    <w:rsid w:val="00541855"/>
    <w:rsid w:val="005451A6"/>
    <w:rsid w:val="005453A0"/>
    <w:rsid w:val="00547E31"/>
    <w:rsid w:val="00550EDF"/>
    <w:rsid w:val="00552C05"/>
    <w:rsid w:val="00554E4A"/>
    <w:rsid w:val="00554FA7"/>
    <w:rsid w:val="0055563B"/>
    <w:rsid w:val="00557C64"/>
    <w:rsid w:val="0056396B"/>
    <w:rsid w:val="00564367"/>
    <w:rsid w:val="0057587F"/>
    <w:rsid w:val="00576896"/>
    <w:rsid w:val="005773F6"/>
    <w:rsid w:val="00580309"/>
    <w:rsid w:val="00580E65"/>
    <w:rsid w:val="00581B86"/>
    <w:rsid w:val="00582645"/>
    <w:rsid w:val="00582BDC"/>
    <w:rsid w:val="00582E80"/>
    <w:rsid w:val="00590A4E"/>
    <w:rsid w:val="005928D6"/>
    <w:rsid w:val="00594C4E"/>
    <w:rsid w:val="00595B0E"/>
    <w:rsid w:val="005979FD"/>
    <w:rsid w:val="005A1DF9"/>
    <w:rsid w:val="005A61BC"/>
    <w:rsid w:val="005B1DAA"/>
    <w:rsid w:val="005B2A33"/>
    <w:rsid w:val="005B5F4B"/>
    <w:rsid w:val="005B6700"/>
    <w:rsid w:val="005B7C83"/>
    <w:rsid w:val="005C03EE"/>
    <w:rsid w:val="005C4073"/>
    <w:rsid w:val="005D5101"/>
    <w:rsid w:val="005D78A4"/>
    <w:rsid w:val="005E13EB"/>
    <w:rsid w:val="005E57D8"/>
    <w:rsid w:val="005E6DCD"/>
    <w:rsid w:val="005E7018"/>
    <w:rsid w:val="006014E1"/>
    <w:rsid w:val="006036A7"/>
    <w:rsid w:val="006041E9"/>
    <w:rsid w:val="00605CBE"/>
    <w:rsid w:val="006179D1"/>
    <w:rsid w:val="00617EDB"/>
    <w:rsid w:val="006211CC"/>
    <w:rsid w:val="00621D71"/>
    <w:rsid w:val="0062293F"/>
    <w:rsid w:val="00622C33"/>
    <w:rsid w:val="00624A91"/>
    <w:rsid w:val="00625651"/>
    <w:rsid w:val="00626E02"/>
    <w:rsid w:val="0063211A"/>
    <w:rsid w:val="00633BD2"/>
    <w:rsid w:val="00634F36"/>
    <w:rsid w:val="00635845"/>
    <w:rsid w:val="0063648A"/>
    <w:rsid w:val="006367A4"/>
    <w:rsid w:val="006407FA"/>
    <w:rsid w:val="006458C6"/>
    <w:rsid w:val="00646674"/>
    <w:rsid w:val="006479CE"/>
    <w:rsid w:val="006504D7"/>
    <w:rsid w:val="0065075E"/>
    <w:rsid w:val="00653542"/>
    <w:rsid w:val="0065354D"/>
    <w:rsid w:val="00664EBF"/>
    <w:rsid w:val="0066669D"/>
    <w:rsid w:val="00666A08"/>
    <w:rsid w:val="006679A3"/>
    <w:rsid w:val="00667EBB"/>
    <w:rsid w:val="0067208F"/>
    <w:rsid w:val="00673C27"/>
    <w:rsid w:val="006835AE"/>
    <w:rsid w:val="00686A8D"/>
    <w:rsid w:val="006902FC"/>
    <w:rsid w:val="00690F56"/>
    <w:rsid w:val="00692120"/>
    <w:rsid w:val="00692FF5"/>
    <w:rsid w:val="00694734"/>
    <w:rsid w:val="00696676"/>
    <w:rsid w:val="00697C16"/>
    <w:rsid w:val="006A0F99"/>
    <w:rsid w:val="006B3AD8"/>
    <w:rsid w:val="006B44BD"/>
    <w:rsid w:val="006B576A"/>
    <w:rsid w:val="006B57FA"/>
    <w:rsid w:val="006B58CC"/>
    <w:rsid w:val="006C184F"/>
    <w:rsid w:val="006C2A67"/>
    <w:rsid w:val="006C324E"/>
    <w:rsid w:val="006C3502"/>
    <w:rsid w:val="006D3F62"/>
    <w:rsid w:val="006D6AC4"/>
    <w:rsid w:val="006E4995"/>
    <w:rsid w:val="006E6BBB"/>
    <w:rsid w:val="006F0042"/>
    <w:rsid w:val="006F0184"/>
    <w:rsid w:val="006F161F"/>
    <w:rsid w:val="006F44E8"/>
    <w:rsid w:val="00703FF6"/>
    <w:rsid w:val="00705133"/>
    <w:rsid w:val="0071360F"/>
    <w:rsid w:val="00714F9A"/>
    <w:rsid w:val="007263B4"/>
    <w:rsid w:val="00726871"/>
    <w:rsid w:val="0073037A"/>
    <w:rsid w:val="00731D85"/>
    <w:rsid w:val="007346D9"/>
    <w:rsid w:val="00736B22"/>
    <w:rsid w:val="00736B79"/>
    <w:rsid w:val="0074142F"/>
    <w:rsid w:val="00741FCF"/>
    <w:rsid w:val="00744844"/>
    <w:rsid w:val="00751312"/>
    <w:rsid w:val="00752434"/>
    <w:rsid w:val="00752AF4"/>
    <w:rsid w:val="00752DDB"/>
    <w:rsid w:val="00753B60"/>
    <w:rsid w:val="00755BF9"/>
    <w:rsid w:val="007569D5"/>
    <w:rsid w:val="00756CF0"/>
    <w:rsid w:val="007638D4"/>
    <w:rsid w:val="00764DD0"/>
    <w:rsid w:val="0076644E"/>
    <w:rsid w:val="00772516"/>
    <w:rsid w:val="00772ECA"/>
    <w:rsid w:val="00773DC3"/>
    <w:rsid w:val="00775EBE"/>
    <w:rsid w:val="00781210"/>
    <w:rsid w:val="007815F6"/>
    <w:rsid w:val="00784057"/>
    <w:rsid w:val="0078463F"/>
    <w:rsid w:val="00784CCC"/>
    <w:rsid w:val="00784E2D"/>
    <w:rsid w:val="007854F2"/>
    <w:rsid w:val="00793A6F"/>
    <w:rsid w:val="00793E6A"/>
    <w:rsid w:val="0079668E"/>
    <w:rsid w:val="007977CF"/>
    <w:rsid w:val="007A24C9"/>
    <w:rsid w:val="007A2F81"/>
    <w:rsid w:val="007A4AFA"/>
    <w:rsid w:val="007A6608"/>
    <w:rsid w:val="007B058E"/>
    <w:rsid w:val="007B1BFB"/>
    <w:rsid w:val="007B469A"/>
    <w:rsid w:val="007B486C"/>
    <w:rsid w:val="007B5025"/>
    <w:rsid w:val="007C17EA"/>
    <w:rsid w:val="007C38A7"/>
    <w:rsid w:val="007C3BCE"/>
    <w:rsid w:val="007C3D55"/>
    <w:rsid w:val="007C4475"/>
    <w:rsid w:val="007C70C8"/>
    <w:rsid w:val="007C78AF"/>
    <w:rsid w:val="007C7DC8"/>
    <w:rsid w:val="007D0B29"/>
    <w:rsid w:val="007D5618"/>
    <w:rsid w:val="007E0B2F"/>
    <w:rsid w:val="007E0D06"/>
    <w:rsid w:val="007E1A3A"/>
    <w:rsid w:val="007E40BC"/>
    <w:rsid w:val="007E5AC8"/>
    <w:rsid w:val="007E6AF2"/>
    <w:rsid w:val="007F2384"/>
    <w:rsid w:val="007F2E8A"/>
    <w:rsid w:val="007F39C1"/>
    <w:rsid w:val="007F5723"/>
    <w:rsid w:val="007F76F8"/>
    <w:rsid w:val="00802D9D"/>
    <w:rsid w:val="00815ABF"/>
    <w:rsid w:val="00820B54"/>
    <w:rsid w:val="00822438"/>
    <w:rsid w:val="00830906"/>
    <w:rsid w:val="008317E5"/>
    <w:rsid w:val="008325B1"/>
    <w:rsid w:val="00833D63"/>
    <w:rsid w:val="0083479F"/>
    <w:rsid w:val="008358DF"/>
    <w:rsid w:val="00840F7A"/>
    <w:rsid w:val="0084106F"/>
    <w:rsid w:val="008425D6"/>
    <w:rsid w:val="00845573"/>
    <w:rsid w:val="008477AD"/>
    <w:rsid w:val="00850611"/>
    <w:rsid w:val="008514EF"/>
    <w:rsid w:val="00851DD0"/>
    <w:rsid w:val="008557D8"/>
    <w:rsid w:val="00855B78"/>
    <w:rsid w:val="00856DC8"/>
    <w:rsid w:val="008609CD"/>
    <w:rsid w:val="008623A1"/>
    <w:rsid w:val="008625F5"/>
    <w:rsid w:val="00862DE9"/>
    <w:rsid w:val="008709E8"/>
    <w:rsid w:val="00875BF2"/>
    <w:rsid w:val="00880193"/>
    <w:rsid w:val="00886171"/>
    <w:rsid w:val="00891109"/>
    <w:rsid w:val="0089162F"/>
    <w:rsid w:val="00893A67"/>
    <w:rsid w:val="00894B16"/>
    <w:rsid w:val="00896C42"/>
    <w:rsid w:val="00896FAA"/>
    <w:rsid w:val="0089769D"/>
    <w:rsid w:val="008A2C50"/>
    <w:rsid w:val="008A2E73"/>
    <w:rsid w:val="008A508C"/>
    <w:rsid w:val="008B12AF"/>
    <w:rsid w:val="008B30A8"/>
    <w:rsid w:val="008C45D8"/>
    <w:rsid w:val="008C547D"/>
    <w:rsid w:val="008C5F86"/>
    <w:rsid w:val="008C5F92"/>
    <w:rsid w:val="008D2696"/>
    <w:rsid w:val="008F0CCA"/>
    <w:rsid w:val="008F2091"/>
    <w:rsid w:val="008F3695"/>
    <w:rsid w:val="008F4C7F"/>
    <w:rsid w:val="008F50AB"/>
    <w:rsid w:val="00900000"/>
    <w:rsid w:val="00901D2F"/>
    <w:rsid w:val="00902601"/>
    <w:rsid w:val="00910E2B"/>
    <w:rsid w:val="0091264A"/>
    <w:rsid w:val="00913CCF"/>
    <w:rsid w:val="00913F63"/>
    <w:rsid w:val="00914D69"/>
    <w:rsid w:val="00915953"/>
    <w:rsid w:val="009166FB"/>
    <w:rsid w:val="00916DD5"/>
    <w:rsid w:val="009176E5"/>
    <w:rsid w:val="00920369"/>
    <w:rsid w:val="00921613"/>
    <w:rsid w:val="009218D4"/>
    <w:rsid w:val="00924655"/>
    <w:rsid w:val="009248B9"/>
    <w:rsid w:val="009252DB"/>
    <w:rsid w:val="00926889"/>
    <w:rsid w:val="00927D88"/>
    <w:rsid w:val="0093108D"/>
    <w:rsid w:val="00933FB5"/>
    <w:rsid w:val="00935350"/>
    <w:rsid w:val="009363D6"/>
    <w:rsid w:val="0094664C"/>
    <w:rsid w:val="00951147"/>
    <w:rsid w:val="009514FB"/>
    <w:rsid w:val="009516E1"/>
    <w:rsid w:val="009523FE"/>
    <w:rsid w:val="00954FBD"/>
    <w:rsid w:val="00965EA4"/>
    <w:rsid w:val="0096658E"/>
    <w:rsid w:val="009667E6"/>
    <w:rsid w:val="0097043E"/>
    <w:rsid w:val="00973839"/>
    <w:rsid w:val="00974371"/>
    <w:rsid w:val="00974666"/>
    <w:rsid w:val="009758C4"/>
    <w:rsid w:val="00977223"/>
    <w:rsid w:val="00980295"/>
    <w:rsid w:val="00980599"/>
    <w:rsid w:val="00981932"/>
    <w:rsid w:val="009830CB"/>
    <w:rsid w:val="0099310D"/>
    <w:rsid w:val="00993F66"/>
    <w:rsid w:val="00994E3E"/>
    <w:rsid w:val="00995F4B"/>
    <w:rsid w:val="009A1419"/>
    <w:rsid w:val="009A297C"/>
    <w:rsid w:val="009A6B4C"/>
    <w:rsid w:val="009B1FDD"/>
    <w:rsid w:val="009B364D"/>
    <w:rsid w:val="009B5486"/>
    <w:rsid w:val="009B782F"/>
    <w:rsid w:val="009B7849"/>
    <w:rsid w:val="009B79A7"/>
    <w:rsid w:val="009C3337"/>
    <w:rsid w:val="009C3FD8"/>
    <w:rsid w:val="009C4386"/>
    <w:rsid w:val="009D0DD8"/>
    <w:rsid w:val="009D69F1"/>
    <w:rsid w:val="009E1767"/>
    <w:rsid w:val="009E19E1"/>
    <w:rsid w:val="009E350B"/>
    <w:rsid w:val="009E4DDD"/>
    <w:rsid w:val="009E5E39"/>
    <w:rsid w:val="009E6CE7"/>
    <w:rsid w:val="009F6766"/>
    <w:rsid w:val="009F78FB"/>
    <w:rsid w:val="00A00CB4"/>
    <w:rsid w:val="00A0103B"/>
    <w:rsid w:val="00A037BE"/>
    <w:rsid w:val="00A04190"/>
    <w:rsid w:val="00A06E39"/>
    <w:rsid w:val="00A108D6"/>
    <w:rsid w:val="00A112BE"/>
    <w:rsid w:val="00A11840"/>
    <w:rsid w:val="00A13BB1"/>
    <w:rsid w:val="00A20AAB"/>
    <w:rsid w:val="00A20AF6"/>
    <w:rsid w:val="00A21CE0"/>
    <w:rsid w:val="00A21FCA"/>
    <w:rsid w:val="00A25BF1"/>
    <w:rsid w:val="00A2752F"/>
    <w:rsid w:val="00A2790B"/>
    <w:rsid w:val="00A3005A"/>
    <w:rsid w:val="00A3008F"/>
    <w:rsid w:val="00A300D7"/>
    <w:rsid w:val="00A34895"/>
    <w:rsid w:val="00A50C2D"/>
    <w:rsid w:val="00A518CC"/>
    <w:rsid w:val="00A520CD"/>
    <w:rsid w:val="00A52340"/>
    <w:rsid w:val="00A52B7F"/>
    <w:rsid w:val="00A57463"/>
    <w:rsid w:val="00A63E29"/>
    <w:rsid w:val="00A642FE"/>
    <w:rsid w:val="00A66078"/>
    <w:rsid w:val="00A661DD"/>
    <w:rsid w:val="00A66E2B"/>
    <w:rsid w:val="00A72842"/>
    <w:rsid w:val="00A75D44"/>
    <w:rsid w:val="00A77C5B"/>
    <w:rsid w:val="00A816FA"/>
    <w:rsid w:val="00A8560F"/>
    <w:rsid w:val="00A87936"/>
    <w:rsid w:val="00A9064C"/>
    <w:rsid w:val="00A9086D"/>
    <w:rsid w:val="00A90CD6"/>
    <w:rsid w:val="00A93827"/>
    <w:rsid w:val="00AA0598"/>
    <w:rsid w:val="00AA278E"/>
    <w:rsid w:val="00AA3181"/>
    <w:rsid w:val="00AA5DF5"/>
    <w:rsid w:val="00AB47D0"/>
    <w:rsid w:val="00AB6E37"/>
    <w:rsid w:val="00AC06E7"/>
    <w:rsid w:val="00AC1D49"/>
    <w:rsid w:val="00AC70DB"/>
    <w:rsid w:val="00AC73E7"/>
    <w:rsid w:val="00AD384B"/>
    <w:rsid w:val="00AD6477"/>
    <w:rsid w:val="00AD6FEF"/>
    <w:rsid w:val="00AD796F"/>
    <w:rsid w:val="00AD7C96"/>
    <w:rsid w:val="00AE3B7E"/>
    <w:rsid w:val="00AF1B1C"/>
    <w:rsid w:val="00AF27F8"/>
    <w:rsid w:val="00AF66F2"/>
    <w:rsid w:val="00AF69A2"/>
    <w:rsid w:val="00AF78E8"/>
    <w:rsid w:val="00B01DB9"/>
    <w:rsid w:val="00B0376A"/>
    <w:rsid w:val="00B0796A"/>
    <w:rsid w:val="00B131A6"/>
    <w:rsid w:val="00B1378C"/>
    <w:rsid w:val="00B1386C"/>
    <w:rsid w:val="00B14103"/>
    <w:rsid w:val="00B14253"/>
    <w:rsid w:val="00B22E63"/>
    <w:rsid w:val="00B252EC"/>
    <w:rsid w:val="00B3780C"/>
    <w:rsid w:val="00B378B6"/>
    <w:rsid w:val="00B402E6"/>
    <w:rsid w:val="00B404AC"/>
    <w:rsid w:val="00B44D35"/>
    <w:rsid w:val="00B4762C"/>
    <w:rsid w:val="00B47A72"/>
    <w:rsid w:val="00B501C4"/>
    <w:rsid w:val="00B50655"/>
    <w:rsid w:val="00B52754"/>
    <w:rsid w:val="00B53B50"/>
    <w:rsid w:val="00B57D09"/>
    <w:rsid w:val="00B62386"/>
    <w:rsid w:val="00B64961"/>
    <w:rsid w:val="00B66ED6"/>
    <w:rsid w:val="00B66EE1"/>
    <w:rsid w:val="00B70216"/>
    <w:rsid w:val="00B72072"/>
    <w:rsid w:val="00B74E27"/>
    <w:rsid w:val="00B77270"/>
    <w:rsid w:val="00B77E76"/>
    <w:rsid w:val="00B81EB8"/>
    <w:rsid w:val="00B8266B"/>
    <w:rsid w:val="00B83A4A"/>
    <w:rsid w:val="00B86C2E"/>
    <w:rsid w:val="00B874A1"/>
    <w:rsid w:val="00B90F89"/>
    <w:rsid w:val="00B91A72"/>
    <w:rsid w:val="00BA1863"/>
    <w:rsid w:val="00BA5E51"/>
    <w:rsid w:val="00BA6353"/>
    <w:rsid w:val="00BB1757"/>
    <w:rsid w:val="00BB3BA7"/>
    <w:rsid w:val="00BC088C"/>
    <w:rsid w:val="00BC2B4F"/>
    <w:rsid w:val="00BC4354"/>
    <w:rsid w:val="00BC453B"/>
    <w:rsid w:val="00BC5CDF"/>
    <w:rsid w:val="00BC6003"/>
    <w:rsid w:val="00BD05D6"/>
    <w:rsid w:val="00BD1F82"/>
    <w:rsid w:val="00BD2AC4"/>
    <w:rsid w:val="00BD2CF6"/>
    <w:rsid w:val="00BD55E9"/>
    <w:rsid w:val="00BE0735"/>
    <w:rsid w:val="00BE5135"/>
    <w:rsid w:val="00BE65D5"/>
    <w:rsid w:val="00BE6BAD"/>
    <w:rsid w:val="00BF2E9D"/>
    <w:rsid w:val="00BF7D67"/>
    <w:rsid w:val="00C01619"/>
    <w:rsid w:val="00C03999"/>
    <w:rsid w:val="00C041FE"/>
    <w:rsid w:val="00C074CB"/>
    <w:rsid w:val="00C12980"/>
    <w:rsid w:val="00C21856"/>
    <w:rsid w:val="00C2197C"/>
    <w:rsid w:val="00C23557"/>
    <w:rsid w:val="00C2551B"/>
    <w:rsid w:val="00C30523"/>
    <w:rsid w:val="00C3515F"/>
    <w:rsid w:val="00C3693C"/>
    <w:rsid w:val="00C46720"/>
    <w:rsid w:val="00C51E5B"/>
    <w:rsid w:val="00C5515A"/>
    <w:rsid w:val="00C56C62"/>
    <w:rsid w:val="00C574C9"/>
    <w:rsid w:val="00C6121E"/>
    <w:rsid w:val="00C621E8"/>
    <w:rsid w:val="00C64B8C"/>
    <w:rsid w:val="00C65B85"/>
    <w:rsid w:val="00C715E1"/>
    <w:rsid w:val="00C756F3"/>
    <w:rsid w:val="00C7795E"/>
    <w:rsid w:val="00C8090F"/>
    <w:rsid w:val="00C80F75"/>
    <w:rsid w:val="00C8239C"/>
    <w:rsid w:val="00C834FE"/>
    <w:rsid w:val="00C8671B"/>
    <w:rsid w:val="00C906B8"/>
    <w:rsid w:val="00C90C19"/>
    <w:rsid w:val="00C919AA"/>
    <w:rsid w:val="00C91BDD"/>
    <w:rsid w:val="00C94691"/>
    <w:rsid w:val="00C960AB"/>
    <w:rsid w:val="00C97C6D"/>
    <w:rsid w:val="00CA3DC9"/>
    <w:rsid w:val="00CA6069"/>
    <w:rsid w:val="00CB081A"/>
    <w:rsid w:val="00CB2536"/>
    <w:rsid w:val="00CB516B"/>
    <w:rsid w:val="00CC2EF2"/>
    <w:rsid w:val="00CC2FAC"/>
    <w:rsid w:val="00CC58FD"/>
    <w:rsid w:val="00CC62AB"/>
    <w:rsid w:val="00CD025C"/>
    <w:rsid w:val="00CD48B7"/>
    <w:rsid w:val="00CE07B1"/>
    <w:rsid w:val="00CE212B"/>
    <w:rsid w:val="00CE5F1F"/>
    <w:rsid w:val="00CF30FD"/>
    <w:rsid w:val="00CF65C6"/>
    <w:rsid w:val="00D03BDF"/>
    <w:rsid w:val="00D04158"/>
    <w:rsid w:val="00D04320"/>
    <w:rsid w:val="00D04DF3"/>
    <w:rsid w:val="00D05980"/>
    <w:rsid w:val="00D15887"/>
    <w:rsid w:val="00D16E29"/>
    <w:rsid w:val="00D207D9"/>
    <w:rsid w:val="00D21D2E"/>
    <w:rsid w:val="00D21F62"/>
    <w:rsid w:val="00D266F2"/>
    <w:rsid w:val="00D27B19"/>
    <w:rsid w:val="00D31D36"/>
    <w:rsid w:val="00D44FEF"/>
    <w:rsid w:val="00D517E0"/>
    <w:rsid w:val="00D5205E"/>
    <w:rsid w:val="00D548DC"/>
    <w:rsid w:val="00D57400"/>
    <w:rsid w:val="00D61C93"/>
    <w:rsid w:val="00D61DB9"/>
    <w:rsid w:val="00D64F48"/>
    <w:rsid w:val="00D7166F"/>
    <w:rsid w:val="00D71C6E"/>
    <w:rsid w:val="00D72908"/>
    <w:rsid w:val="00D72C07"/>
    <w:rsid w:val="00D73B44"/>
    <w:rsid w:val="00D75FF6"/>
    <w:rsid w:val="00D7737C"/>
    <w:rsid w:val="00D776BF"/>
    <w:rsid w:val="00D80570"/>
    <w:rsid w:val="00D82480"/>
    <w:rsid w:val="00D842E2"/>
    <w:rsid w:val="00D84CDA"/>
    <w:rsid w:val="00D85DCC"/>
    <w:rsid w:val="00D87C05"/>
    <w:rsid w:val="00D92E82"/>
    <w:rsid w:val="00D94275"/>
    <w:rsid w:val="00D960BB"/>
    <w:rsid w:val="00D9700A"/>
    <w:rsid w:val="00DA3B85"/>
    <w:rsid w:val="00DA42FE"/>
    <w:rsid w:val="00DB00BB"/>
    <w:rsid w:val="00DB1A80"/>
    <w:rsid w:val="00DB7D9B"/>
    <w:rsid w:val="00DC21AC"/>
    <w:rsid w:val="00DC4DA3"/>
    <w:rsid w:val="00DC5636"/>
    <w:rsid w:val="00DC6744"/>
    <w:rsid w:val="00DC791E"/>
    <w:rsid w:val="00DC7D98"/>
    <w:rsid w:val="00DD27B3"/>
    <w:rsid w:val="00DD2F24"/>
    <w:rsid w:val="00DD4E18"/>
    <w:rsid w:val="00DD5172"/>
    <w:rsid w:val="00DD5BA3"/>
    <w:rsid w:val="00DD6012"/>
    <w:rsid w:val="00DE1281"/>
    <w:rsid w:val="00DE3E2F"/>
    <w:rsid w:val="00DE76A9"/>
    <w:rsid w:val="00DF02A0"/>
    <w:rsid w:val="00DF2CE4"/>
    <w:rsid w:val="00DF3306"/>
    <w:rsid w:val="00DF4BFF"/>
    <w:rsid w:val="00DF7BF1"/>
    <w:rsid w:val="00DF7E83"/>
    <w:rsid w:val="00E0050F"/>
    <w:rsid w:val="00E007E6"/>
    <w:rsid w:val="00E028FF"/>
    <w:rsid w:val="00E03056"/>
    <w:rsid w:val="00E06910"/>
    <w:rsid w:val="00E07615"/>
    <w:rsid w:val="00E102D6"/>
    <w:rsid w:val="00E21AE5"/>
    <w:rsid w:val="00E2341B"/>
    <w:rsid w:val="00E23B78"/>
    <w:rsid w:val="00E2404F"/>
    <w:rsid w:val="00E30D67"/>
    <w:rsid w:val="00E32266"/>
    <w:rsid w:val="00E34E6F"/>
    <w:rsid w:val="00E45E6D"/>
    <w:rsid w:val="00E46DAC"/>
    <w:rsid w:val="00E563F7"/>
    <w:rsid w:val="00E56F19"/>
    <w:rsid w:val="00E571A0"/>
    <w:rsid w:val="00E57554"/>
    <w:rsid w:val="00E6163D"/>
    <w:rsid w:val="00E72276"/>
    <w:rsid w:val="00E73212"/>
    <w:rsid w:val="00E7400E"/>
    <w:rsid w:val="00E753E6"/>
    <w:rsid w:val="00E76957"/>
    <w:rsid w:val="00E82387"/>
    <w:rsid w:val="00E82483"/>
    <w:rsid w:val="00E825E9"/>
    <w:rsid w:val="00E82AB4"/>
    <w:rsid w:val="00E848E8"/>
    <w:rsid w:val="00E8523C"/>
    <w:rsid w:val="00E91148"/>
    <w:rsid w:val="00E925C4"/>
    <w:rsid w:val="00E93C9D"/>
    <w:rsid w:val="00EA03B4"/>
    <w:rsid w:val="00EA349F"/>
    <w:rsid w:val="00EB1E6E"/>
    <w:rsid w:val="00EB32F4"/>
    <w:rsid w:val="00EB5F3C"/>
    <w:rsid w:val="00EB6621"/>
    <w:rsid w:val="00EC08CA"/>
    <w:rsid w:val="00EC2466"/>
    <w:rsid w:val="00EC2571"/>
    <w:rsid w:val="00EC409B"/>
    <w:rsid w:val="00EC6FC2"/>
    <w:rsid w:val="00ED1868"/>
    <w:rsid w:val="00ED1ADA"/>
    <w:rsid w:val="00EE02AB"/>
    <w:rsid w:val="00EE0C6E"/>
    <w:rsid w:val="00EE15F9"/>
    <w:rsid w:val="00EF1F9B"/>
    <w:rsid w:val="00EF289E"/>
    <w:rsid w:val="00EF6D8E"/>
    <w:rsid w:val="00EF7062"/>
    <w:rsid w:val="00EF70DB"/>
    <w:rsid w:val="00F024A8"/>
    <w:rsid w:val="00F02978"/>
    <w:rsid w:val="00F03A01"/>
    <w:rsid w:val="00F04657"/>
    <w:rsid w:val="00F04E28"/>
    <w:rsid w:val="00F075EA"/>
    <w:rsid w:val="00F07BA5"/>
    <w:rsid w:val="00F11854"/>
    <w:rsid w:val="00F13138"/>
    <w:rsid w:val="00F16B6B"/>
    <w:rsid w:val="00F16B92"/>
    <w:rsid w:val="00F17DF6"/>
    <w:rsid w:val="00F21DC9"/>
    <w:rsid w:val="00F23DF6"/>
    <w:rsid w:val="00F253A7"/>
    <w:rsid w:val="00F3095F"/>
    <w:rsid w:val="00F37BD6"/>
    <w:rsid w:val="00F37CB8"/>
    <w:rsid w:val="00F40481"/>
    <w:rsid w:val="00F42DF4"/>
    <w:rsid w:val="00F4463C"/>
    <w:rsid w:val="00F44B50"/>
    <w:rsid w:val="00F465F9"/>
    <w:rsid w:val="00F47002"/>
    <w:rsid w:val="00F50FA8"/>
    <w:rsid w:val="00F528D6"/>
    <w:rsid w:val="00F537DA"/>
    <w:rsid w:val="00F545DC"/>
    <w:rsid w:val="00F64994"/>
    <w:rsid w:val="00F65068"/>
    <w:rsid w:val="00F67279"/>
    <w:rsid w:val="00F71C11"/>
    <w:rsid w:val="00F7273D"/>
    <w:rsid w:val="00F82F5B"/>
    <w:rsid w:val="00F83122"/>
    <w:rsid w:val="00F84490"/>
    <w:rsid w:val="00F909C9"/>
    <w:rsid w:val="00F9118A"/>
    <w:rsid w:val="00F92E82"/>
    <w:rsid w:val="00F9302E"/>
    <w:rsid w:val="00F93BF7"/>
    <w:rsid w:val="00F94D60"/>
    <w:rsid w:val="00F94F38"/>
    <w:rsid w:val="00F9543A"/>
    <w:rsid w:val="00FA0A05"/>
    <w:rsid w:val="00FA2ACE"/>
    <w:rsid w:val="00FA5C13"/>
    <w:rsid w:val="00FA5EE5"/>
    <w:rsid w:val="00FB2E0C"/>
    <w:rsid w:val="00FB7FE9"/>
    <w:rsid w:val="00FC151C"/>
    <w:rsid w:val="00FC550C"/>
    <w:rsid w:val="00FD0A18"/>
    <w:rsid w:val="00FD17A6"/>
    <w:rsid w:val="00FD31BB"/>
    <w:rsid w:val="00FD42F0"/>
    <w:rsid w:val="00FD464C"/>
    <w:rsid w:val="00FE1F49"/>
    <w:rsid w:val="00FE2A49"/>
    <w:rsid w:val="00FE55E8"/>
    <w:rsid w:val="00FE60C6"/>
    <w:rsid w:val="00FE6A8B"/>
    <w:rsid w:val="00FE72EF"/>
    <w:rsid w:val="00FF1837"/>
    <w:rsid w:val="00FF33B6"/>
    <w:rsid w:val="00FF3713"/>
    <w:rsid w:val="00FF5454"/>
    <w:rsid w:val="00FF7C6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AC585"/>
  <w15:chartTrackingRefBased/>
  <w15:docId w15:val="{C8F19057-F7FD-4A36-BA28-83FDB9E12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384B"/>
    <w:pPr>
      <w:spacing w:after="60" w:line="240" w:lineRule="auto"/>
      <w:jc w:val="both"/>
    </w:pPr>
    <w:rPr>
      <w:rFonts w:ascii="Calibri" w:eastAsia="SimSun" w:hAnsi="Calibri" w:cs="Times New Roman"/>
      <w:sz w:val="20"/>
      <w:szCs w:val="24"/>
      <w:lang w:val="en-US"/>
    </w:rPr>
  </w:style>
  <w:style w:type="paragraph" w:styleId="Titre1">
    <w:name w:val="heading 1"/>
    <w:basedOn w:val="Normal"/>
    <w:next w:val="Normal"/>
    <w:link w:val="Titre1Car"/>
    <w:qFormat/>
    <w:rsid w:val="00302BFE"/>
    <w:pPr>
      <w:keepNext/>
      <w:numPr>
        <w:numId w:val="1"/>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Titre2">
    <w:name w:val="heading 2"/>
    <w:basedOn w:val="Normal"/>
    <w:next w:val="Normal"/>
    <w:link w:val="Titre2Car"/>
    <w:qFormat/>
    <w:rsid w:val="00302BFE"/>
    <w:pPr>
      <w:keepNext/>
      <w:ind w:left="720"/>
      <w:outlineLvl w:val="1"/>
    </w:pPr>
    <w:rPr>
      <w:rFonts w:ascii="Arial Narrow" w:hAnsi="Arial Narrow"/>
      <w:b/>
      <w:bCs/>
    </w:rPr>
  </w:style>
  <w:style w:type="paragraph" w:styleId="Titre3">
    <w:name w:val="heading 3"/>
    <w:basedOn w:val="Normal"/>
    <w:next w:val="Normal"/>
    <w:link w:val="Titre3Car"/>
    <w:uiPriority w:val="9"/>
    <w:qFormat/>
    <w:rsid w:val="00302BFE"/>
    <w:pPr>
      <w:keepNext/>
      <w:widowControl w:val="0"/>
      <w:tabs>
        <w:tab w:val="left" w:pos="2160"/>
        <w:tab w:val="left" w:pos="9360"/>
      </w:tabs>
      <w:outlineLvl w:val="2"/>
    </w:pPr>
    <w:rPr>
      <w:rFonts w:ascii="Courier" w:hAnsi="Courier"/>
      <w:b/>
      <w:sz w:val="28"/>
      <w:szCs w:val="20"/>
    </w:rPr>
  </w:style>
  <w:style w:type="paragraph" w:styleId="Titre4">
    <w:name w:val="heading 4"/>
    <w:basedOn w:val="Normal"/>
    <w:next w:val="Normal"/>
    <w:link w:val="Titre4Car"/>
    <w:qFormat/>
    <w:rsid w:val="00302BFE"/>
    <w:pPr>
      <w:keepNext/>
      <w:widowControl w:val="0"/>
      <w:spacing w:after="540"/>
      <w:ind w:left="116"/>
      <w:outlineLvl w:val="3"/>
    </w:pPr>
    <w:rPr>
      <w:b/>
      <w:spacing w:val="15"/>
      <w:sz w:val="28"/>
    </w:rPr>
  </w:style>
  <w:style w:type="paragraph" w:styleId="Titre5">
    <w:name w:val="heading 5"/>
    <w:basedOn w:val="Normal"/>
    <w:next w:val="Normal"/>
    <w:link w:val="Titre5Car"/>
    <w:qFormat/>
    <w:rsid w:val="00302BFE"/>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Titre8">
    <w:name w:val="heading 8"/>
    <w:basedOn w:val="Normal"/>
    <w:next w:val="Normal"/>
    <w:link w:val="Titre8Car"/>
    <w:semiHidden/>
    <w:unhideWhenUsed/>
    <w:qFormat/>
    <w:rsid w:val="00302BFE"/>
    <w:pPr>
      <w:spacing w:before="240"/>
      <w:outlineLvl w:val="7"/>
    </w:pPr>
    <w:rPr>
      <w:i/>
      <w:iCs/>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02BFE"/>
    <w:rPr>
      <w:rFonts w:ascii="Century Gothic" w:eastAsia="SimSun" w:hAnsi="Century Gothic" w:cs="Times New Roman"/>
      <w:b/>
      <w:smallCaps/>
      <w:spacing w:val="-2"/>
      <w:sz w:val="28"/>
      <w:szCs w:val="20"/>
      <w:lang w:val="en-US"/>
    </w:rPr>
  </w:style>
  <w:style w:type="character" w:customStyle="1" w:styleId="Titre2Car">
    <w:name w:val="Titre 2 Car"/>
    <w:basedOn w:val="Policepardfaut"/>
    <w:link w:val="Titre2"/>
    <w:rsid w:val="00302BFE"/>
    <w:rPr>
      <w:rFonts w:ascii="Arial Narrow" w:eastAsia="SimSun" w:hAnsi="Arial Narrow" w:cs="Times New Roman"/>
      <w:b/>
      <w:bCs/>
      <w:sz w:val="20"/>
      <w:szCs w:val="24"/>
      <w:lang w:val="en-US"/>
    </w:rPr>
  </w:style>
  <w:style w:type="character" w:customStyle="1" w:styleId="Titre3Car">
    <w:name w:val="Titre 3 Car"/>
    <w:basedOn w:val="Policepardfaut"/>
    <w:link w:val="Titre3"/>
    <w:uiPriority w:val="9"/>
    <w:rsid w:val="00302BFE"/>
    <w:rPr>
      <w:rFonts w:ascii="Courier" w:eastAsia="SimSun" w:hAnsi="Courier" w:cs="Times New Roman"/>
      <w:b/>
      <w:sz w:val="28"/>
      <w:szCs w:val="20"/>
      <w:lang w:val="en-US"/>
    </w:rPr>
  </w:style>
  <w:style w:type="character" w:customStyle="1" w:styleId="Titre4Car">
    <w:name w:val="Titre 4 Car"/>
    <w:basedOn w:val="Policepardfaut"/>
    <w:link w:val="Titre4"/>
    <w:rsid w:val="00302BFE"/>
    <w:rPr>
      <w:rFonts w:ascii="Calibri" w:eastAsia="SimSun" w:hAnsi="Calibri" w:cs="Times New Roman"/>
      <w:b/>
      <w:spacing w:val="15"/>
      <w:sz w:val="28"/>
      <w:szCs w:val="24"/>
      <w:lang w:val="en-US"/>
    </w:rPr>
  </w:style>
  <w:style w:type="character" w:customStyle="1" w:styleId="Titre5Car">
    <w:name w:val="Titre 5 Car"/>
    <w:basedOn w:val="Policepardfaut"/>
    <w:link w:val="Titre5"/>
    <w:rsid w:val="00302BFE"/>
    <w:rPr>
      <w:rFonts w:ascii="Calibri" w:eastAsia="SimSun" w:hAnsi="Calibri" w:cs="Times New Roman"/>
      <w:b/>
      <w:bCs/>
      <w:sz w:val="24"/>
      <w:szCs w:val="24"/>
      <w:lang w:val="en-US"/>
    </w:rPr>
  </w:style>
  <w:style w:type="character" w:customStyle="1" w:styleId="Titre8Car">
    <w:name w:val="Titre 8 Car"/>
    <w:basedOn w:val="Policepardfaut"/>
    <w:link w:val="Titre8"/>
    <w:semiHidden/>
    <w:rsid w:val="00302BFE"/>
    <w:rPr>
      <w:rFonts w:ascii="Calibri" w:eastAsia="SimSun" w:hAnsi="Calibri" w:cs="Times New Roman"/>
      <w:i/>
      <w:iCs/>
      <w:sz w:val="24"/>
      <w:szCs w:val="24"/>
      <w:lang w:val="en-US"/>
    </w:rPr>
  </w:style>
  <w:style w:type="paragraph" w:styleId="Textedebulles">
    <w:name w:val="Balloon Text"/>
    <w:basedOn w:val="Normal"/>
    <w:link w:val="TextedebullesCar"/>
    <w:semiHidden/>
    <w:rsid w:val="00302BFE"/>
    <w:rPr>
      <w:rFonts w:ascii="Tahoma" w:hAnsi="Tahoma" w:cs="Tahoma"/>
      <w:sz w:val="16"/>
      <w:szCs w:val="16"/>
    </w:rPr>
  </w:style>
  <w:style w:type="character" w:customStyle="1" w:styleId="TextedebullesCar">
    <w:name w:val="Texte de bulles Car"/>
    <w:basedOn w:val="Policepardfaut"/>
    <w:link w:val="Textedebulles"/>
    <w:semiHidden/>
    <w:rsid w:val="00302BFE"/>
    <w:rPr>
      <w:rFonts w:ascii="Tahoma" w:eastAsia="SimSun" w:hAnsi="Tahoma" w:cs="Tahoma"/>
      <w:sz w:val="16"/>
      <w:szCs w:val="16"/>
      <w:lang w:val="en-US"/>
    </w:rPr>
  </w:style>
  <w:style w:type="paragraph" w:styleId="En-tte">
    <w:name w:val="header"/>
    <w:basedOn w:val="Normal"/>
    <w:link w:val="En-tteCar"/>
    <w:uiPriority w:val="99"/>
    <w:rsid w:val="00302BFE"/>
    <w:pPr>
      <w:tabs>
        <w:tab w:val="center" w:pos="4153"/>
        <w:tab w:val="right" w:pos="8306"/>
      </w:tabs>
    </w:pPr>
  </w:style>
  <w:style w:type="character" w:customStyle="1" w:styleId="En-tteCar">
    <w:name w:val="En-tête Car"/>
    <w:basedOn w:val="Policepardfaut"/>
    <w:link w:val="En-tte"/>
    <w:uiPriority w:val="99"/>
    <w:rsid w:val="00302BFE"/>
    <w:rPr>
      <w:rFonts w:ascii="Calibri" w:eastAsia="SimSun" w:hAnsi="Calibri" w:cs="Times New Roman"/>
      <w:sz w:val="20"/>
      <w:szCs w:val="24"/>
      <w:lang w:val="en-US"/>
    </w:rPr>
  </w:style>
  <w:style w:type="paragraph" w:styleId="Pieddepage">
    <w:name w:val="footer"/>
    <w:basedOn w:val="Normal"/>
    <w:link w:val="PieddepageCar"/>
    <w:uiPriority w:val="99"/>
    <w:rsid w:val="00302BFE"/>
    <w:pPr>
      <w:tabs>
        <w:tab w:val="center" w:pos="4153"/>
        <w:tab w:val="right" w:pos="8306"/>
      </w:tabs>
    </w:pPr>
  </w:style>
  <w:style w:type="character" w:customStyle="1" w:styleId="PieddepageCar">
    <w:name w:val="Pied de page Car"/>
    <w:basedOn w:val="Policepardfaut"/>
    <w:link w:val="Pieddepage"/>
    <w:uiPriority w:val="99"/>
    <w:rsid w:val="00302BFE"/>
    <w:rPr>
      <w:rFonts w:ascii="Calibri" w:eastAsia="SimSun" w:hAnsi="Calibri" w:cs="Times New Roman"/>
      <w:sz w:val="20"/>
      <w:szCs w:val="24"/>
      <w:lang w:val="en-US"/>
    </w:rPr>
  </w:style>
  <w:style w:type="character" w:styleId="Numrodepage">
    <w:name w:val="page number"/>
    <w:rsid w:val="00302BFE"/>
    <w:rPr>
      <w:rFonts w:cs="Times New Roman"/>
    </w:rPr>
  </w:style>
  <w:style w:type="paragraph" w:styleId="Notedebasdepage">
    <w:name w:val="footnote text"/>
    <w:aliases w:val="Geneva 9,Font: Geneva 9,Boston 10,f,single space,footnote text,Footnote,otnote Text,Footnote Text Char Char Char,Footnote Text Char Char Char Char Char Char Char,Footnote Text Char Char Char Char Char,Footnotes,Footnote Text Char Cha"/>
    <w:basedOn w:val="Normal"/>
    <w:link w:val="NotedebasdepageCar"/>
    <w:uiPriority w:val="99"/>
    <w:qFormat/>
    <w:rsid w:val="00302BFE"/>
    <w:pPr>
      <w:widowControl w:val="0"/>
    </w:pPr>
    <w:rPr>
      <w:rFonts w:ascii="Courier" w:hAnsi="Courier"/>
      <w:szCs w:val="20"/>
    </w:rPr>
  </w:style>
  <w:style w:type="character" w:customStyle="1" w:styleId="NotedebasdepageCar">
    <w:name w:val="Note de bas de page Car"/>
    <w:aliases w:val="Geneva 9 Car,Font: Geneva 9 Car,Boston 10 Car,f Car,single space Car,footnote text Car,Footnote Car,otnote Text Car,Footnote Text Char Char Char Car,Footnote Text Char Char Char Char Char Char Char Car,Footnotes Car"/>
    <w:basedOn w:val="Policepardfaut"/>
    <w:link w:val="Notedebasdepage"/>
    <w:uiPriority w:val="99"/>
    <w:rsid w:val="00302BFE"/>
    <w:rPr>
      <w:rFonts w:ascii="Courier" w:eastAsia="SimSun" w:hAnsi="Courier" w:cs="Times New Roman"/>
      <w:sz w:val="20"/>
      <w:szCs w:val="20"/>
      <w:lang w:val="en-US"/>
    </w:rPr>
  </w:style>
  <w:style w:type="paragraph" w:styleId="Corpsdetexte3">
    <w:name w:val="Body Text 3"/>
    <w:basedOn w:val="Normal"/>
    <w:link w:val="Corpsdetexte3Car"/>
    <w:rsid w:val="00302BFE"/>
    <w:rPr>
      <w:szCs w:val="20"/>
    </w:rPr>
  </w:style>
  <w:style w:type="character" w:customStyle="1" w:styleId="Corpsdetexte3Car">
    <w:name w:val="Corps de texte 3 Car"/>
    <w:basedOn w:val="Policepardfaut"/>
    <w:link w:val="Corpsdetexte3"/>
    <w:rsid w:val="00302BFE"/>
    <w:rPr>
      <w:rFonts w:ascii="Calibri" w:eastAsia="SimSun" w:hAnsi="Calibri" w:cs="Times New Roman"/>
      <w:sz w:val="20"/>
      <w:szCs w:val="20"/>
      <w:lang w:val="en-US"/>
    </w:rPr>
  </w:style>
  <w:style w:type="paragraph" w:styleId="Retraitcorpsdetexte">
    <w:name w:val="Body Text Indent"/>
    <w:basedOn w:val="Normal"/>
    <w:link w:val="RetraitcorpsdetexteCar"/>
    <w:rsid w:val="00302BFE"/>
    <w:pPr>
      <w:tabs>
        <w:tab w:val="left" w:pos="360"/>
      </w:tabs>
    </w:pPr>
    <w:rPr>
      <w:b/>
      <w:i/>
      <w:sz w:val="28"/>
      <w:szCs w:val="20"/>
    </w:rPr>
  </w:style>
  <w:style w:type="character" w:customStyle="1" w:styleId="RetraitcorpsdetexteCar">
    <w:name w:val="Retrait corps de texte Car"/>
    <w:basedOn w:val="Policepardfaut"/>
    <w:link w:val="Retraitcorpsdetexte"/>
    <w:rsid w:val="00302BFE"/>
    <w:rPr>
      <w:rFonts w:ascii="Calibri" w:eastAsia="SimSun" w:hAnsi="Calibri" w:cs="Times New Roman"/>
      <w:b/>
      <w:i/>
      <w:sz w:val="28"/>
      <w:szCs w:val="20"/>
      <w:lang w:val="en-US"/>
    </w:rPr>
  </w:style>
  <w:style w:type="character" w:styleId="Lienhypertexte">
    <w:name w:val="Hyperlink"/>
    <w:uiPriority w:val="99"/>
    <w:rsid w:val="00302BFE"/>
    <w:rPr>
      <w:rFonts w:cs="Times New Roman"/>
      <w:color w:val="0000FF"/>
      <w:u w:val="single"/>
    </w:rPr>
  </w:style>
  <w:style w:type="character" w:styleId="Lienhypertextesuivivisit">
    <w:name w:val="FollowedHyperlink"/>
    <w:uiPriority w:val="99"/>
    <w:rsid w:val="00302BFE"/>
    <w:rPr>
      <w:rFonts w:cs="Times New Roman"/>
      <w:color w:val="800080"/>
      <w:u w:val="single"/>
    </w:rPr>
  </w:style>
  <w:style w:type="paragraph" w:styleId="Corpsdetexte">
    <w:name w:val="Body Text"/>
    <w:basedOn w:val="Normal"/>
    <w:link w:val="CorpsdetexteCar"/>
    <w:rsid w:val="00302BFE"/>
    <w:pPr>
      <w:pBdr>
        <w:bottom w:val="single" w:sz="4" w:space="1" w:color="auto"/>
      </w:pBdr>
    </w:pPr>
    <w:rPr>
      <w:rFonts w:ascii="Arial Narrow" w:hAnsi="Arial Narrow"/>
      <w:i/>
      <w:iCs/>
    </w:rPr>
  </w:style>
  <w:style w:type="character" w:customStyle="1" w:styleId="CorpsdetexteCar">
    <w:name w:val="Corps de texte Car"/>
    <w:basedOn w:val="Policepardfaut"/>
    <w:link w:val="Corpsdetexte"/>
    <w:rsid w:val="00302BFE"/>
    <w:rPr>
      <w:rFonts w:ascii="Arial Narrow" w:eastAsia="SimSun" w:hAnsi="Arial Narrow" w:cs="Times New Roman"/>
      <w:i/>
      <w:iCs/>
      <w:sz w:val="20"/>
      <w:szCs w:val="24"/>
      <w:lang w:val="en-US"/>
    </w:rPr>
  </w:style>
  <w:style w:type="paragraph" w:styleId="Corpsdetexte2">
    <w:name w:val="Body Text 2"/>
    <w:basedOn w:val="Normal"/>
    <w:link w:val="Corpsdetexte2Car"/>
    <w:rsid w:val="00302BFE"/>
    <w:pPr>
      <w:spacing w:before="120" w:after="120"/>
    </w:pPr>
    <w:rPr>
      <w:rFonts w:ascii="Arial Narrow" w:hAnsi="Arial Narrow"/>
    </w:rPr>
  </w:style>
  <w:style w:type="character" w:customStyle="1" w:styleId="Corpsdetexte2Car">
    <w:name w:val="Corps de texte 2 Car"/>
    <w:basedOn w:val="Policepardfaut"/>
    <w:link w:val="Corpsdetexte2"/>
    <w:rsid w:val="00302BFE"/>
    <w:rPr>
      <w:rFonts w:ascii="Arial Narrow" w:eastAsia="SimSun" w:hAnsi="Arial Narrow" w:cs="Times New Roman"/>
      <w:sz w:val="20"/>
      <w:szCs w:val="24"/>
      <w:lang w:val="en-US"/>
    </w:rPr>
  </w:style>
  <w:style w:type="character" w:styleId="Marquedecommentaire">
    <w:name w:val="annotation reference"/>
    <w:uiPriority w:val="99"/>
    <w:semiHidden/>
    <w:rsid w:val="00302BFE"/>
    <w:rPr>
      <w:rFonts w:cs="Times New Roman"/>
      <w:sz w:val="16"/>
      <w:szCs w:val="16"/>
    </w:rPr>
  </w:style>
  <w:style w:type="paragraph" w:styleId="Commentaire">
    <w:name w:val="annotation text"/>
    <w:basedOn w:val="Normal"/>
    <w:link w:val="CommentaireCar"/>
    <w:uiPriority w:val="99"/>
    <w:rsid w:val="00302BFE"/>
    <w:rPr>
      <w:szCs w:val="20"/>
    </w:rPr>
  </w:style>
  <w:style w:type="character" w:customStyle="1" w:styleId="CommentaireCar">
    <w:name w:val="Commentaire Car"/>
    <w:basedOn w:val="Policepardfaut"/>
    <w:link w:val="Commentaire"/>
    <w:uiPriority w:val="99"/>
    <w:rsid w:val="00302BFE"/>
    <w:rPr>
      <w:rFonts w:ascii="Calibri" w:eastAsia="SimSun" w:hAnsi="Calibri" w:cs="Times New Roman"/>
      <w:sz w:val="20"/>
      <w:szCs w:val="20"/>
      <w:lang w:val="en-US"/>
    </w:rPr>
  </w:style>
  <w:style w:type="paragraph" w:styleId="Objetducommentaire">
    <w:name w:val="annotation subject"/>
    <w:basedOn w:val="Commentaire"/>
    <w:next w:val="Commentaire"/>
    <w:link w:val="ObjetducommentaireCar"/>
    <w:semiHidden/>
    <w:rsid w:val="00302BFE"/>
    <w:rPr>
      <w:b/>
      <w:bCs/>
    </w:rPr>
  </w:style>
  <w:style w:type="character" w:customStyle="1" w:styleId="ObjetducommentaireCar">
    <w:name w:val="Objet du commentaire Car"/>
    <w:basedOn w:val="CommentaireCar"/>
    <w:link w:val="Objetducommentaire"/>
    <w:semiHidden/>
    <w:rsid w:val="00302BFE"/>
    <w:rPr>
      <w:rFonts w:ascii="Calibri" w:eastAsia="SimSun" w:hAnsi="Calibri" w:cs="Times New Roman"/>
      <w:b/>
      <w:bCs/>
      <w:sz w:val="20"/>
      <w:szCs w:val="20"/>
      <w:lang w:val="en-US"/>
    </w:rPr>
  </w:style>
  <w:style w:type="table" w:styleId="Grilledutableau">
    <w:name w:val="Table Grid"/>
    <w:basedOn w:val="TableauNormal"/>
    <w:uiPriority w:val="39"/>
    <w:rsid w:val="00302BFE"/>
    <w:pPr>
      <w:spacing w:after="0" w:line="240" w:lineRule="auto"/>
    </w:pPr>
    <w:rPr>
      <w:rFonts w:ascii="Calibri" w:eastAsia="SimSun" w:hAnsi="Calibri" w:cs="Times New Roman"/>
      <w:sz w:val="20"/>
      <w:szCs w:val="20"/>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webb"/>
    <w:basedOn w:val="Normal"/>
    <w:uiPriority w:val="99"/>
    <w:rsid w:val="00302BFE"/>
    <w:pPr>
      <w:spacing w:before="100" w:beforeAutospacing="1" w:after="100" w:afterAutospacing="1"/>
    </w:pPr>
    <w:rPr>
      <w:rFonts w:ascii="Times New Roman" w:hAnsi="Times New Roman"/>
      <w:sz w:val="24"/>
    </w:rPr>
  </w:style>
  <w:style w:type="character" w:styleId="Accentuation">
    <w:name w:val="Emphasis"/>
    <w:uiPriority w:val="20"/>
    <w:qFormat/>
    <w:rsid w:val="00302BFE"/>
    <w:rPr>
      <w:rFonts w:cs="Times New Roman"/>
      <w:i/>
      <w:iCs/>
    </w:rPr>
  </w:style>
  <w:style w:type="character" w:styleId="Appelnotedebasdep">
    <w:name w:val="footnote reference"/>
    <w:aliases w:val="16 Point,Superscript 6 Point,Superscript 6 Point + 11 pt,ftref,Footnote Reference Number,SUPERS,SUPERS1,SUPERS2,SUPERS3,BVI fnr,BVI fnr Car Car,BVI fnr Car,BVI fnr Car Car Car Car,FNRefe Char Char Char,BVI fnr Char Char Char,fr,R"/>
    <w:link w:val="CharCharCharCharCarChar"/>
    <w:uiPriority w:val="99"/>
    <w:qFormat/>
    <w:rsid w:val="00302BFE"/>
    <w:rPr>
      <w:rFonts w:ascii="Arial" w:hAnsi="Arial"/>
      <w:sz w:val="18"/>
      <w:vertAlign w:val="superscript"/>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link w:val="Appelnotedebasdep"/>
    <w:uiPriority w:val="99"/>
    <w:rsid w:val="00302BFE"/>
    <w:pPr>
      <w:spacing w:after="160" w:line="240" w:lineRule="exact"/>
    </w:pPr>
    <w:rPr>
      <w:rFonts w:ascii="Arial" w:eastAsiaTheme="minorHAnsi" w:hAnsi="Arial" w:cstheme="minorBidi"/>
      <w:sz w:val="18"/>
      <w:szCs w:val="22"/>
      <w:vertAlign w:val="superscript"/>
      <w:lang w:val="fr-CA"/>
    </w:rPr>
  </w:style>
  <w:style w:type="paragraph" w:customStyle="1" w:styleId="Char">
    <w:name w:val="Char"/>
    <w:basedOn w:val="Titre2"/>
    <w:rsid w:val="00302BFE"/>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Paragraphedeliste">
    <w:name w:val="List Paragraph"/>
    <w:aliases w:val="List Paragraph1,Project Profile name,Paragraphe de liste1,Numbered paragraph,Medium Grid 1 - Accent 21,List Paragraph (numbered (a)),Numbered List Paragraph,References,ReferencesCxSpLast,Table/Figure Heading,En tête 1,WB Para,L_4,tex"/>
    <w:basedOn w:val="Normal"/>
    <w:link w:val="ParagraphedelisteCar"/>
    <w:uiPriority w:val="34"/>
    <w:qFormat/>
    <w:rsid w:val="00302BFE"/>
    <w:pPr>
      <w:spacing w:after="0"/>
      <w:ind w:left="720"/>
      <w:jc w:val="left"/>
    </w:pPr>
    <w:rPr>
      <w:rFonts w:ascii="Times New Roman" w:hAnsi="Times New Roman"/>
      <w:sz w:val="24"/>
    </w:rPr>
  </w:style>
  <w:style w:type="character" w:customStyle="1" w:styleId="ParagraphedelisteCar">
    <w:name w:val="Paragraphe de liste Car"/>
    <w:aliases w:val="List Paragraph1 Car,Project Profile name Car,Paragraphe de liste1 Car,Numbered paragraph Car,Medium Grid 1 - Accent 21 Car,List Paragraph (numbered (a)) Car,Numbered List Paragraph Car,References Car,ReferencesCxSpLast Car"/>
    <w:link w:val="Paragraphedeliste"/>
    <w:uiPriority w:val="34"/>
    <w:qFormat/>
    <w:rsid w:val="00302BFE"/>
    <w:rPr>
      <w:rFonts w:ascii="Times New Roman" w:eastAsia="SimSun" w:hAnsi="Times New Roman" w:cs="Times New Roman"/>
      <w:sz w:val="24"/>
      <w:szCs w:val="24"/>
      <w:lang w:val="en-US"/>
    </w:rPr>
  </w:style>
  <w:style w:type="paragraph" w:styleId="Titre">
    <w:name w:val="Title"/>
    <w:basedOn w:val="Normal"/>
    <w:link w:val="TitreCar"/>
    <w:qFormat/>
    <w:rsid w:val="00302BFE"/>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reCar">
    <w:name w:val="Titre Car"/>
    <w:basedOn w:val="Policepardfaut"/>
    <w:link w:val="Titre"/>
    <w:rsid w:val="00302BFE"/>
    <w:rPr>
      <w:rFonts w:ascii="Calibri" w:eastAsia="SimSun" w:hAnsi="Calibri" w:cs="Arial"/>
      <w:b/>
      <w:bCs/>
      <w:kern w:val="28"/>
      <w:sz w:val="32"/>
      <w:szCs w:val="32"/>
      <w:lang w:val="en-US"/>
    </w:rPr>
  </w:style>
  <w:style w:type="paragraph" w:customStyle="1" w:styleId="CharCharChar1">
    <w:name w:val="Char Char Char1"/>
    <w:basedOn w:val="Normal"/>
    <w:rsid w:val="00302BFE"/>
    <w:pPr>
      <w:spacing w:after="160" w:line="240" w:lineRule="exact"/>
      <w:jc w:val="left"/>
    </w:pPr>
    <w:rPr>
      <w:rFonts w:cs="Arial"/>
      <w:szCs w:val="20"/>
    </w:rPr>
  </w:style>
  <w:style w:type="paragraph" w:customStyle="1" w:styleId="JFHeading3">
    <w:name w:val="JF Heading 3"/>
    <w:basedOn w:val="Titre3"/>
    <w:rsid w:val="00302BFE"/>
    <w:pPr>
      <w:keepNext w:val="0"/>
      <w:widowControl/>
      <w:pBdr>
        <w:bottom w:val="dotted" w:sz="4" w:space="2" w:color="666666"/>
      </w:pBdr>
      <w:tabs>
        <w:tab w:val="clear" w:pos="2160"/>
        <w:tab w:val="clear" w:pos="9360"/>
      </w:tabs>
      <w:spacing w:after="0"/>
      <w:jc w:val="left"/>
    </w:pPr>
    <w:rPr>
      <w:rFonts w:ascii="Times New Roman" w:eastAsia="MS Mincho" w:hAnsi="Times New Roman"/>
      <w:b w:val="0"/>
      <w:i/>
      <w:sz w:val="22"/>
      <w:szCs w:val="22"/>
      <w:lang w:eastAsia="ja-JP"/>
    </w:rPr>
  </w:style>
  <w:style w:type="character" w:styleId="lev">
    <w:name w:val="Strong"/>
    <w:uiPriority w:val="22"/>
    <w:qFormat/>
    <w:rsid w:val="00302BFE"/>
    <w:rPr>
      <w:rFonts w:cs="Times New Roman"/>
      <w:b/>
      <w:bCs/>
    </w:rPr>
  </w:style>
  <w:style w:type="paragraph" w:customStyle="1" w:styleId="Default">
    <w:name w:val="Default"/>
    <w:uiPriority w:val="99"/>
    <w:rsid w:val="00302BFE"/>
    <w:pPr>
      <w:autoSpaceDE w:val="0"/>
      <w:autoSpaceDN w:val="0"/>
      <w:adjustRightInd w:val="0"/>
      <w:spacing w:after="0" w:line="240" w:lineRule="auto"/>
    </w:pPr>
    <w:rPr>
      <w:rFonts w:ascii="Arial" w:eastAsia="MS Mincho" w:hAnsi="Arial" w:cs="Arial"/>
      <w:color w:val="000000"/>
      <w:sz w:val="24"/>
      <w:szCs w:val="24"/>
      <w:lang w:val="en-US" w:eastAsia="ja-JP"/>
    </w:rPr>
  </w:style>
  <w:style w:type="paragraph" w:customStyle="1" w:styleId="bodyfont">
    <w:name w:val="bodyfont"/>
    <w:basedOn w:val="Normal"/>
    <w:rsid w:val="00302BFE"/>
    <w:pPr>
      <w:spacing w:before="100" w:beforeAutospacing="1" w:after="100" w:afterAutospacing="1"/>
      <w:jc w:val="left"/>
    </w:pPr>
    <w:rPr>
      <w:rFonts w:eastAsia="MS Mincho" w:cs="Arial"/>
      <w:sz w:val="12"/>
      <w:szCs w:val="12"/>
      <w:lang w:eastAsia="ja-JP"/>
    </w:rPr>
  </w:style>
  <w:style w:type="paragraph" w:customStyle="1" w:styleId="JFHeading1">
    <w:name w:val="JF Heading 1"/>
    <w:basedOn w:val="Titre1"/>
    <w:rsid w:val="00302BFE"/>
    <w:pPr>
      <w:pBdr>
        <w:top w:val="none" w:sz="0" w:space="0" w:color="auto"/>
      </w:pBd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rsid w:val="00302BFE"/>
    <w:pPr>
      <w:spacing w:line="191" w:lineRule="atLeast"/>
    </w:pPr>
    <w:rPr>
      <w:rFonts w:ascii="Adobe Garamond Pro" w:hAnsi="Adobe Garamond Pro" w:cs="Times New Roman"/>
      <w:color w:val="auto"/>
    </w:rPr>
  </w:style>
  <w:style w:type="character" w:customStyle="1" w:styleId="bodytag3">
    <w:name w:val="bodytag3"/>
    <w:rsid w:val="00302BFE"/>
    <w:rPr>
      <w:rFonts w:ascii="Trebuchet MS" w:hAnsi="Trebuchet MS" w:cs="Times New Roman"/>
      <w:sz w:val="15"/>
      <w:szCs w:val="15"/>
    </w:rPr>
  </w:style>
  <w:style w:type="paragraph" w:styleId="Notedefin">
    <w:name w:val="endnote text"/>
    <w:aliases w:val=" Char"/>
    <w:basedOn w:val="Normal"/>
    <w:link w:val="NotedefinCar"/>
    <w:semiHidden/>
    <w:rsid w:val="00302BFE"/>
    <w:pPr>
      <w:spacing w:after="0"/>
      <w:jc w:val="left"/>
    </w:pPr>
    <w:rPr>
      <w:rFonts w:eastAsia="MS Mincho"/>
      <w:szCs w:val="20"/>
      <w:lang w:eastAsia="ja-JP"/>
    </w:rPr>
  </w:style>
  <w:style w:type="character" w:customStyle="1" w:styleId="NotedefinCar">
    <w:name w:val="Note de fin Car"/>
    <w:aliases w:val=" Char Car"/>
    <w:basedOn w:val="Policepardfaut"/>
    <w:link w:val="Notedefin"/>
    <w:semiHidden/>
    <w:rsid w:val="00302BFE"/>
    <w:rPr>
      <w:rFonts w:ascii="Calibri" w:eastAsia="MS Mincho" w:hAnsi="Calibri" w:cs="Times New Roman"/>
      <w:sz w:val="20"/>
      <w:szCs w:val="20"/>
      <w:lang w:val="en-US" w:eastAsia="ja-JP"/>
    </w:rPr>
  </w:style>
  <w:style w:type="character" w:styleId="Appeldenotedefin">
    <w:name w:val="endnote reference"/>
    <w:semiHidden/>
    <w:rsid w:val="00302BFE"/>
    <w:rPr>
      <w:rFonts w:cs="Times New Roman"/>
      <w:vertAlign w:val="superscript"/>
    </w:rPr>
  </w:style>
  <w:style w:type="character" w:customStyle="1" w:styleId="mw-headline">
    <w:name w:val="mw-headline"/>
    <w:rsid w:val="00302BFE"/>
    <w:rPr>
      <w:rFonts w:cs="Times New Roman"/>
    </w:rPr>
  </w:style>
  <w:style w:type="paragraph" w:customStyle="1" w:styleId="CharCharCharCharCharCharChar">
    <w:name w:val="Char Char Char Char Char Char Char"/>
    <w:basedOn w:val="Titre2"/>
    <w:rsid w:val="00302BFE"/>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CarCar">
    <w:name w:val="Car Car"/>
    <w:basedOn w:val="Titre2"/>
    <w:rsid w:val="00302BFE"/>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Arial">
    <w:name w:val="Arial"/>
    <w:basedOn w:val="Normal"/>
    <w:rsid w:val="00302BFE"/>
    <w:pPr>
      <w:spacing w:after="0"/>
    </w:pPr>
    <w:rPr>
      <w:rFonts w:ascii="Arial Narrow" w:hAnsi="Arial Narrow" w:cs="Arial"/>
      <w:szCs w:val="20"/>
    </w:rPr>
  </w:style>
  <w:style w:type="paragraph" w:customStyle="1" w:styleId="Paragraph">
    <w:name w:val="Paragraph"/>
    <w:basedOn w:val="Normal"/>
    <w:link w:val="ParagraphChar"/>
    <w:qFormat/>
    <w:rsid w:val="00302BFE"/>
    <w:pPr>
      <w:numPr>
        <w:numId w:val="2"/>
      </w:numPr>
      <w:spacing w:after="240"/>
      <w:jc w:val="left"/>
    </w:pPr>
    <w:rPr>
      <w:rFonts w:ascii="Times New Roman" w:hAnsi="Times New Roman" w:cs="Angsana New"/>
      <w:noProof/>
      <w:szCs w:val="22"/>
    </w:rPr>
  </w:style>
  <w:style w:type="character" w:customStyle="1" w:styleId="ParagraphChar">
    <w:name w:val="Paragraph Char"/>
    <w:link w:val="Paragraph"/>
    <w:rsid w:val="00302BFE"/>
    <w:rPr>
      <w:rFonts w:ascii="Times New Roman" w:eastAsia="SimSun" w:hAnsi="Times New Roman" w:cs="Angsana New"/>
      <w:noProof/>
      <w:sz w:val="20"/>
      <w:lang w:val="en-US"/>
    </w:rPr>
  </w:style>
  <w:style w:type="paragraph" w:customStyle="1" w:styleId="Bullets">
    <w:name w:val="Bullets"/>
    <w:basedOn w:val="Paragraph"/>
    <w:link w:val="BulletsChar"/>
    <w:qFormat/>
    <w:rsid w:val="00302BFE"/>
    <w:pPr>
      <w:numPr>
        <w:numId w:val="3"/>
      </w:numPr>
      <w:spacing w:before="60" w:after="0"/>
    </w:pPr>
  </w:style>
  <w:style w:type="character" w:customStyle="1" w:styleId="BulletsChar">
    <w:name w:val="Bullets Char"/>
    <w:link w:val="Bullets"/>
    <w:rsid w:val="00302BFE"/>
    <w:rPr>
      <w:rFonts w:ascii="Times New Roman" w:eastAsia="SimSun" w:hAnsi="Times New Roman" w:cs="Angsana New"/>
      <w:noProof/>
      <w:sz w:val="20"/>
      <w:lang w:val="en-US"/>
    </w:rPr>
  </w:style>
  <w:style w:type="paragraph" w:styleId="TM2">
    <w:name w:val="toc 2"/>
    <w:basedOn w:val="Normal"/>
    <w:next w:val="Normal"/>
    <w:autoRedefine/>
    <w:uiPriority w:val="39"/>
    <w:rsid w:val="00302BFE"/>
    <w:pPr>
      <w:ind w:left="220"/>
    </w:pPr>
  </w:style>
  <w:style w:type="paragraph" w:styleId="TM1">
    <w:name w:val="toc 1"/>
    <w:basedOn w:val="Normal"/>
    <w:next w:val="Normal"/>
    <w:autoRedefine/>
    <w:uiPriority w:val="39"/>
    <w:rsid w:val="00302BFE"/>
    <w:pPr>
      <w:tabs>
        <w:tab w:val="left" w:pos="540"/>
        <w:tab w:val="right" w:leader="dot" w:pos="9304"/>
      </w:tabs>
    </w:pPr>
  </w:style>
  <w:style w:type="character" w:customStyle="1" w:styleId="Heading2Char">
    <w:name w:val="Heading 2 Char"/>
    <w:semiHidden/>
    <w:locked/>
    <w:rsid w:val="00302BFE"/>
    <w:rPr>
      <w:rFonts w:ascii="Cambria" w:hAnsi="Cambria" w:cs="Times New Roman"/>
      <w:b/>
      <w:bCs/>
      <w:i/>
      <w:iCs/>
      <w:sz w:val="28"/>
      <w:szCs w:val="28"/>
      <w:lang w:val="en-GB"/>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locked/>
    <w:rsid w:val="00302BFE"/>
    <w:rPr>
      <w:rFonts w:ascii="Arial" w:hAnsi="Arial" w:cs="Times New Roman"/>
      <w:lang w:val="en-GB"/>
    </w:rPr>
  </w:style>
  <w:style w:type="paragraph" w:customStyle="1" w:styleId="Normalbullets">
    <w:name w:val="Normal bullets"/>
    <w:basedOn w:val="Normal"/>
    <w:rsid w:val="00302BFE"/>
    <w:pPr>
      <w:numPr>
        <w:numId w:val="4"/>
      </w:numPr>
    </w:pPr>
  </w:style>
  <w:style w:type="paragraph" w:customStyle="1" w:styleId="Text">
    <w:name w:val="Text"/>
    <w:basedOn w:val="Normal"/>
    <w:rsid w:val="00302BFE"/>
    <w:pPr>
      <w:spacing w:before="240" w:after="0" w:line="252" w:lineRule="auto"/>
    </w:pPr>
    <w:rPr>
      <w:rFonts w:ascii="Times New Roman" w:hAnsi="Times New Roman"/>
      <w:szCs w:val="20"/>
    </w:rPr>
  </w:style>
  <w:style w:type="paragraph" w:customStyle="1" w:styleId="CharCharChar11">
    <w:name w:val="Char Char Char11"/>
    <w:basedOn w:val="Normal"/>
    <w:rsid w:val="00302BFE"/>
    <w:pPr>
      <w:spacing w:after="160" w:line="240" w:lineRule="exact"/>
      <w:jc w:val="left"/>
    </w:pPr>
    <w:rPr>
      <w:rFonts w:cs="Arial"/>
      <w:szCs w:val="20"/>
    </w:rPr>
  </w:style>
  <w:style w:type="paragraph" w:customStyle="1" w:styleId="BodyText23">
    <w:name w:val="Body Text 23"/>
    <w:basedOn w:val="Normal"/>
    <w:rsid w:val="00302BFE"/>
    <w:pPr>
      <w:widowControl w:val="0"/>
      <w:tabs>
        <w:tab w:val="left" w:pos="547"/>
      </w:tabs>
      <w:spacing w:after="0"/>
      <w:jc w:val="left"/>
    </w:pPr>
    <w:rPr>
      <w:rFonts w:ascii="Times New Roman" w:hAnsi="Times New Roman"/>
      <w:snapToGrid w:val="0"/>
      <w:szCs w:val="20"/>
    </w:rPr>
  </w:style>
  <w:style w:type="paragraph" w:styleId="Lgende">
    <w:name w:val="caption"/>
    <w:aliases w:val="Légende Car,graphique,Légendetab,Car,Car Car Car,Caption Char1,Caption Char Char,Car1,Car1 Car Car Car,Légende1,Caption Char2,Caption Char Char1,Caption Char1 Char Char,Caption Char Char Char Char,Caption Char1 Char1,таблица Char,Figures, Car1"/>
    <w:basedOn w:val="Normal"/>
    <w:next w:val="Normal"/>
    <w:link w:val="LgendeCar1"/>
    <w:qFormat/>
    <w:rsid w:val="00302BFE"/>
    <w:pPr>
      <w:spacing w:after="0"/>
      <w:jc w:val="left"/>
    </w:pPr>
    <w:rPr>
      <w:rFonts w:ascii="Times New Roman" w:hAnsi="Times New Roman"/>
      <w:b/>
      <w:bCs/>
      <w:sz w:val="28"/>
    </w:rPr>
  </w:style>
  <w:style w:type="character" w:customStyle="1" w:styleId="LgendeCar1">
    <w:name w:val="Légende Car1"/>
    <w:aliases w:val="Légende Car Car,graphique Car,Légendetab Car,Car Car1,Car Car Car Car,Caption Char1 Car,Caption Char Char Car,Car1 Car,Car1 Car Car Car Car,Légende1 Car,Caption Char2 Car,Caption Char Char1 Car,Caption Char1 Char Char Car,таблица Char Car"/>
    <w:link w:val="Lgende"/>
    <w:locked/>
    <w:rsid w:val="00302BFE"/>
    <w:rPr>
      <w:rFonts w:ascii="Times New Roman" w:eastAsia="SimSun" w:hAnsi="Times New Roman" w:cs="Times New Roman"/>
      <w:b/>
      <w:bCs/>
      <w:sz w:val="28"/>
      <w:szCs w:val="24"/>
      <w:lang w:val="en-US"/>
    </w:rPr>
  </w:style>
  <w:style w:type="paragraph" w:customStyle="1" w:styleId="TableT">
    <w:name w:val="TableT"/>
    <w:basedOn w:val="Normal"/>
    <w:autoRedefine/>
    <w:rsid w:val="00302BFE"/>
    <w:pPr>
      <w:jc w:val="left"/>
    </w:pPr>
    <w:rPr>
      <w:rFonts w:ascii="Times New Roman" w:hAnsi="Times New Roman"/>
      <w:noProof/>
      <w:szCs w:val="20"/>
    </w:rPr>
  </w:style>
  <w:style w:type="paragraph" w:customStyle="1" w:styleId="ParaCharChar">
    <w:name w:val="Para Char Char"/>
    <w:basedOn w:val="Normal"/>
    <w:link w:val="ParaCharCharChar"/>
    <w:autoRedefine/>
    <w:rsid w:val="00302BF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eastAsia="Arial Unicode MS" w:cs="Arial"/>
      <w:szCs w:val="20"/>
    </w:rPr>
  </w:style>
  <w:style w:type="character" w:customStyle="1" w:styleId="ParaCharCharChar">
    <w:name w:val="Para Char Char Char"/>
    <w:link w:val="ParaCharChar"/>
    <w:rsid w:val="00302BFE"/>
    <w:rPr>
      <w:rFonts w:ascii="Calibri" w:eastAsia="Arial Unicode MS" w:hAnsi="Calibri" w:cs="Arial"/>
      <w:sz w:val="20"/>
      <w:szCs w:val="20"/>
      <w:lang w:val="en-US"/>
    </w:rPr>
  </w:style>
  <w:style w:type="paragraph" w:customStyle="1" w:styleId="TableHCharCharChar">
    <w:name w:val="TableH Char Char Char"/>
    <w:basedOn w:val="Normal"/>
    <w:link w:val="TableHCharCharCharChar"/>
    <w:autoRedefine/>
    <w:rsid w:val="00302BFE"/>
    <w:pPr>
      <w:spacing w:before="240"/>
      <w:jc w:val="left"/>
    </w:pPr>
    <w:rPr>
      <w:rFonts w:ascii="Times New Roman" w:hAnsi="Times New Roman"/>
      <w:b/>
      <w:sz w:val="21"/>
      <w:szCs w:val="22"/>
    </w:rPr>
  </w:style>
  <w:style w:type="character" w:customStyle="1" w:styleId="TableHCharCharCharChar">
    <w:name w:val="TableH Char Char Char Char"/>
    <w:link w:val="TableHCharCharChar"/>
    <w:rsid w:val="00302BFE"/>
    <w:rPr>
      <w:rFonts w:ascii="Times New Roman" w:eastAsia="SimSun" w:hAnsi="Times New Roman" w:cs="Times New Roman"/>
      <w:b/>
      <w:sz w:val="21"/>
      <w:lang w:val="en-US"/>
    </w:rPr>
  </w:style>
  <w:style w:type="character" w:customStyle="1" w:styleId="highlighttext">
    <w:name w:val="highlighttext"/>
    <w:rsid w:val="00302BFE"/>
    <w:rPr>
      <w:rFonts w:ascii="Times New Roman" w:hAnsi="Times New Roman"/>
      <w:sz w:val="22"/>
      <w:bdr w:val="none" w:sz="0" w:space="0" w:color="auto"/>
      <w:shd w:val="clear" w:color="auto" w:fill="B3B3B3"/>
    </w:rPr>
  </w:style>
  <w:style w:type="paragraph" w:customStyle="1" w:styleId="steptext">
    <w:name w:val="steptext"/>
    <w:basedOn w:val="Normal"/>
    <w:rsid w:val="00302BFE"/>
    <w:pPr>
      <w:spacing w:after="0"/>
      <w:jc w:val="left"/>
    </w:pPr>
    <w:rPr>
      <w:rFonts w:ascii="Times New Roman" w:hAnsi="Times New Roman"/>
    </w:rPr>
  </w:style>
  <w:style w:type="paragraph" w:customStyle="1" w:styleId="NumberedList2">
    <w:name w:val="Numbered List 2"/>
    <w:aliases w:val="nl2"/>
    <w:basedOn w:val="Normal"/>
    <w:rsid w:val="00302BFE"/>
    <w:pPr>
      <w:spacing w:after="0" w:line="240" w:lineRule="atLeast"/>
      <w:ind w:hanging="360"/>
      <w:jc w:val="left"/>
    </w:pPr>
    <w:rPr>
      <w:rFonts w:ascii="Arial Unicode MS" w:hAnsi="Arial Unicode MS"/>
      <w:szCs w:val="22"/>
    </w:rPr>
  </w:style>
  <w:style w:type="paragraph" w:customStyle="1" w:styleId="CharChar">
    <w:name w:val="Char Char Знак Знак"/>
    <w:basedOn w:val="Normal"/>
    <w:rsid w:val="00302BFE"/>
    <w:pPr>
      <w:spacing w:after="160" w:line="240" w:lineRule="exact"/>
      <w:jc w:val="left"/>
    </w:pPr>
    <w:rPr>
      <w:rFonts w:ascii="Times New Roman" w:hAnsi="Times New Roman" w:cs="Arial"/>
      <w:szCs w:val="20"/>
      <w:lang w:val="de-CH" w:eastAsia="de-CH"/>
    </w:rPr>
  </w:style>
  <w:style w:type="paragraph" w:styleId="Textebrut">
    <w:name w:val="Plain Text"/>
    <w:basedOn w:val="Normal"/>
    <w:link w:val="TextebrutCar"/>
    <w:uiPriority w:val="99"/>
    <w:unhideWhenUsed/>
    <w:rsid w:val="00302BFE"/>
    <w:pPr>
      <w:spacing w:after="0"/>
      <w:jc w:val="left"/>
    </w:pPr>
    <w:rPr>
      <w:rFonts w:ascii="Consolas" w:eastAsia="Calibri" w:hAnsi="Consolas"/>
      <w:sz w:val="21"/>
      <w:szCs w:val="21"/>
    </w:rPr>
  </w:style>
  <w:style w:type="character" w:customStyle="1" w:styleId="TextebrutCar">
    <w:name w:val="Texte brut Car"/>
    <w:basedOn w:val="Policepardfaut"/>
    <w:link w:val="Textebrut"/>
    <w:uiPriority w:val="99"/>
    <w:rsid w:val="00302BFE"/>
    <w:rPr>
      <w:rFonts w:ascii="Consolas" w:eastAsia="Calibri" w:hAnsi="Consolas" w:cs="Times New Roman"/>
      <w:sz w:val="21"/>
      <w:szCs w:val="21"/>
      <w:lang w:val="en-US"/>
    </w:rPr>
  </w:style>
  <w:style w:type="paragraph" w:styleId="En-ttedetabledesmatires">
    <w:name w:val="TOC Heading"/>
    <w:basedOn w:val="Titre1"/>
    <w:next w:val="Normal"/>
    <w:uiPriority w:val="39"/>
    <w:unhideWhenUsed/>
    <w:qFormat/>
    <w:rsid w:val="00302BFE"/>
    <w:pPr>
      <w:keepLines/>
      <w:numPr>
        <w:numId w:val="0"/>
      </w:numPr>
      <w:pBdr>
        <w:top w:val="none" w:sz="0" w:space="0" w:color="auto"/>
      </w:pBdr>
      <w:suppressAutoHyphens w:val="0"/>
      <w:spacing w:before="480" w:after="0" w:line="276" w:lineRule="auto"/>
      <w:jc w:val="left"/>
      <w:outlineLvl w:val="9"/>
    </w:pPr>
    <w:rPr>
      <w:rFonts w:ascii="Cambria" w:hAnsi="Cambria"/>
      <w:bCs/>
      <w:smallCaps w:val="0"/>
      <w:color w:val="365F91"/>
      <w:spacing w:val="0"/>
      <w:szCs w:val="28"/>
    </w:rPr>
  </w:style>
  <w:style w:type="paragraph" w:styleId="Sansinterligne">
    <w:name w:val="No Spacing"/>
    <w:link w:val="SansinterligneCar"/>
    <w:uiPriority w:val="1"/>
    <w:qFormat/>
    <w:rsid w:val="00302BFE"/>
    <w:pPr>
      <w:spacing w:after="0" w:line="240" w:lineRule="auto"/>
    </w:pPr>
    <w:rPr>
      <w:rFonts w:ascii="Times" w:eastAsia="Times" w:hAnsi="Times" w:cs="Times New Roman"/>
      <w:sz w:val="24"/>
      <w:szCs w:val="24"/>
      <w:lang w:val="en-US"/>
    </w:rPr>
  </w:style>
  <w:style w:type="character" w:customStyle="1" w:styleId="SansinterligneCar">
    <w:name w:val="Sans interligne Car"/>
    <w:link w:val="Sansinterligne"/>
    <w:uiPriority w:val="1"/>
    <w:rsid w:val="00302BFE"/>
    <w:rPr>
      <w:rFonts w:ascii="Times" w:eastAsia="Times" w:hAnsi="Times" w:cs="Times New Roman"/>
      <w:sz w:val="24"/>
      <w:szCs w:val="24"/>
      <w:lang w:val="en-US"/>
    </w:rPr>
  </w:style>
  <w:style w:type="character" w:customStyle="1" w:styleId="PlainTextChar1">
    <w:name w:val="Plain Text Char1"/>
    <w:uiPriority w:val="99"/>
    <w:locked/>
    <w:rsid w:val="00302BFE"/>
    <w:rPr>
      <w:rFonts w:ascii="Consolas" w:eastAsia="Times New Roman" w:hAnsi="Consolas" w:cs="Times New Roman"/>
      <w:sz w:val="20"/>
      <w:szCs w:val="20"/>
    </w:rPr>
  </w:style>
  <w:style w:type="character" w:styleId="Rfrenceintense">
    <w:name w:val="Intense Reference"/>
    <w:uiPriority w:val="32"/>
    <w:qFormat/>
    <w:rsid w:val="00302BFE"/>
    <w:rPr>
      <w:b/>
      <w:bCs/>
      <w:smallCaps/>
      <w:color w:val="C0504D"/>
      <w:spacing w:val="5"/>
      <w:u w:val="single"/>
    </w:rPr>
  </w:style>
  <w:style w:type="character" w:customStyle="1" w:styleId="StyleHeading2NotBoldChar">
    <w:name w:val="Style Heading 2 + Not Bold Char"/>
    <w:rsid w:val="00302BFE"/>
    <w:rPr>
      <w:rFonts w:ascii="Book Antiqua" w:hAnsi="Book Antiqua" w:cs="Arial"/>
      <w:b/>
      <w:i/>
      <w:sz w:val="22"/>
      <w:szCs w:val="28"/>
      <w:lang w:val="en-US" w:eastAsia="ar-SA"/>
    </w:rPr>
  </w:style>
  <w:style w:type="character" w:customStyle="1" w:styleId="apple-converted-space">
    <w:name w:val="apple-converted-space"/>
    <w:basedOn w:val="Policepardfaut"/>
    <w:rsid w:val="00302BFE"/>
  </w:style>
  <w:style w:type="paragraph" w:customStyle="1" w:styleId="bodybullets">
    <w:name w:val="body bullets"/>
    <w:basedOn w:val="Normal"/>
    <w:next w:val="Normal"/>
    <w:qFormat/>
    <w:rsid w:val="00302BFE"/>
    <w:pPr>
      <w:numPr>
        <w:numId w:val="7"/>
      </w:numPr>
      <w:spacing w:before="60" w:line="260" w:lineRule="exact"/>
      <w:jc w:val="left"/>
    </w:pPr>
    <w:rPr>
      <w:rFonts w:eastAsia="Times New Roman"/>
      <w:lang w:eastAsia="ja-JP"/>
    </w:rPr>
  </w:style>
  <w:style w:type="character" w:customStyle="1" w:styleId="ColorfulList-Accent1Char">
    <w:name w:val="Colorful List - Accent 1 Char"/>
    <w:link w:val="ColorfulList-Accent12"/>
    <w:uiPriority w:val="34"/>
    <w:locked/>
    <w:rsid w:val="00302BFE"/>
  </w:style>
  <w:style w:type="paragraph" w:customStyle="1" w:styleId="ColorfulList-Accent12">
    <w:name w:val="Colorful List - Accent 12"/>
    <w:basedOn w:val="Normal"/>
    <w:link w:val="ColorfulList-Accent1Char"/>
    <w:uiPriority w:val="34"/>
    <w:rsid w:val="00302BFE"/>
    <w:pPr>
      <w:spacing w:after="0"/>
      <w:ind w:left="720"/>
      <w:jc w:val="left"/>
    </w:pPr>
    <w:rPr>
      <w:rFonts w:asciiTheme="minorHAnsi" w:eastAsiaTheme="minorHAnsi" w:hAnsiTheme="minorHAnsi" w:cstheme="minorBidi"/>
      <w:sz w:val="22"/>
      <w:szCs w:val="22"/>
      <w:lang w:val="fr-CA"/>
    </w:rPr>
  </w:style>
  <w:style w:type="paragraph" w:styleId="TM3">
    <w:name w:val="toc 3"/>
    <w:basedOn w:val="Normal"/>
    <w:next w:val="Normal"/>
    <w:autoRedefine/>
    <w:uiPriority w:val="39"/>
    <w:unhideWhenUsed/>
    <w:rsid w:val="00302BFE"/>
    <w:pPr>
      <w:ind w:left="400"/>
    </w:pPr>
  </w:style>
  <w:style w:type="character" w:customStyle="1" w:styleId="A4">
    <w:name w:val="A4"/>
    <w:uiPriority w:val="99"/>
    <w:rsid w:val="00302BFE"/>
    <w:rPr>
      <w:rFonts w:cs="Open Sans Light"/>
      <w:color w:val="000000"/>
      <w:sz w:val="20"/>
      <w:szCs w:val="20"/>
    </w:rPr>
  </w:style>
  <w:style w:type="character" w:customStyle="1" w:styleId="A2">
    <w:name w:val="A2"/>
    <w:uiPriority w:val="99"/>
    <w:rsid w:val="00302BFE"/>
    <w:rPr>
      <w:rFonts w:cs="Open Sans Light"/>
      <w:i/>
      <w:iCs/>
      <w:color w:val="000000"/>
      <w:sz w:val="16"/>
      <w:szCs w:val="16"/>
    </w:rPr>
  </w:style>
  <w:style w:type="paragraph" w:customStyle="1" w:styleId="yiv9464786002msonormal">
    <w:name w:val="yiv9464786002msonormal"/>
    <w:basedOn w:val="Normal"/>
    <w:rsid w:val="00302BFE"/>
    <w:pPr>
      <w:spacing w:before="100" w:beforeAutospacing="1" w:after="100" w:afterAutospacing="1"/>
      <w:jc w:val="left"/>
    </w:pPr>
    <w:rPr>
      <w:rFonts w:ascii="Times New Roman" w:eastAsia="Times New Roman" w:hAnsi="Times New Roman"/>
      <w:sz w:val="24"/>
      <w:lang w:val="fr-FR" w:eastAsia="fr-FR"/>
    </w:rPr>
  </w:style>
  <w:style w:type="paragraph" w:customStyle="1" w:styleId="BVIfnrCharCharCharCharCharCharCharCharCharCharCharCharCharCharChar">
    <w:name w:val="BVI fnr Char Char Char Char Char Char Char Char Char Char Char Char Char Char Char"/>
    <w:aliases w:val="BVI fnr Car Car Char Char Char Char Char Char Char Char Char Char Char Char Char Char Char Char Char"/>
    <w:basedOn w:val="Normal"/>
    <w:uiPriority w:val="99"/>
    <w:rsid w:val="00302BFE"/>
    <w:pPr>
      <w:spacing w:after="160" w:line="240" w:lineRule="exact"/>
      <w:jc w:val="left"/>
    </w:pPr>
    <w:rPr>
      <w:rFonts w:eastAsia="Calibri"/>
      <w:sz w:val="22"/>
      <w:szCs w:val="22"/>
      <w:vertAlign w:val="superscript"/>
      <w:lang w:val="fr-CA"/>
    </w:rPr>
  </w:style>
  <w:style w:type="character" w:customStyle="1" w:styleId="GEFFieldtoFilloutChar">
    <w:name w:val="GEF Field to Fill out Char"/>
    <w:link w:val="GEFFieldtoFillout"/>
    <w:locked/>
    <w:rsid w:val="00302BFE"/>
    <w:rPr>
      <w:color w:val="000000"/>
      <w:lang w:val="x-none"/>
    </w:rPr>
  </w:style>
  <w:style w:type="paragraph" w:customStyle="1" w:styleId="GEFFieldtoFillout">
    <w:name w:val="GEF Field to Fill out"/>
    <w:basedOn w:val="Normal"/>
    <w:link w:val="GEFFieldtoFilloutChar"/>
    <w:qFormat/>
    <w:rsid w:val="00302BFE"/>
    <w:pPr>
      <w:spacing w:after="0"/>
      <w:ind w:left="-720"/>
      <w:jc w:val="left"/>
    </w:pPr>
    <w:rPr>
      <w:rFonts w:asciiTheme="minorHAnsi" w:eastAsiaTheme="minorHAnsi" w:hAnsiTheme="minorHAnsi" w:cstheme="minorBidi"/>
      <w:color w:val="000000"/>
      <w:sz w:val="22"/>
      <w:szCs w:val="22"/>
      <w:lang w:val="x-none"/>
    </w:rPr>
  </w:style>
  <w:style w:type="table" w:customStyle="1" w:styleId="TableGrid1">
    <w:name w:val="Table Grid1"/>
    <w:basedOn w:val="TableauNormal"/>
    <w:next w:val="Grilledutableau"/>
    <w:uiPriority w:val="39"/>
    <w:rsid w:val="00302BFE"/>
    <w:pPr>
      <w:spacing w:after="0"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auNormal"/>
    <w:next w:val="Grilledutableau"/>
    <w:uiPriority w:val="39"/>
    <w:rsid w:val="00302BFE"/>
    <w:pPr>
      <w:spacing w:after="0"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auNormal"/>
    <w:next w:val="Grilledutableau"/>
    <w:uiPriority w:val="39"/>
    <w:rsid w:val="00302BFE"/>
    <w:pPr>
      <w:spacing w:after="0"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auNormal"/>
    <w:next w:val="Grilledutableau"/>
    <w:uiPriority w:val="39"/>
    <w:rsid w:val="00302BFE"/>
    <w:pPr>
      <w:spacing w:after="0" w:line="240" w:lineRule="auto"/>
    </w:pPr>
    <w:rPr>
      <w:rFonts w:ascii="Times New Roman" w:eastAsia="Times New Roman" w:hAnsi="Times New Roman"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auNormal"/>
    <w:next w:val="Grilledutableau"/>
    <w:uiPriority w:val="39"/>
    <w:rsid w:val="00302BFE"/>
    <w:pPr>
      <w:spacing w:after="0" w:line="240" w:lineRule="auto"/>
    </w:pPr>
    <w:rPr>
      <w:rFonts w:ascii="Times New Roman" w:eastAsia="Times New Roman" w:hAnsi="Times New Roman"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beredParasinaPIFChar">
    <w:name w:val="Numbered Paras in a PIF Char"/>
    <w:link w:val="NumberedParasinaPIF"/>
    <w:locked/>
    <w:rsid w:val="00302BFE"/>
    <w:rPr>
      <w:rFonts w:ascii="Times New Roman" w:eastAsia="Calibri" w:hAnsi="Times New Roman"/>
      <w:noProof/>
    </w:rPr>
  </w:style>
  <w:style w:type="paragraph" w:customStyle="1" w:styleId="NumberedParasinaPIF">
    <w:name w:val="Numbered Paras in a PIF"/>
    <w:basedOn w:val="Normal"/>
    <w:link w:val="NumberedParasinaPIFChar"/>
    <w:qFormat/>
    <w:rsid w:val="00302BFE"/>
    <w:pPr>
      <w:spacing w:after="0"/>
    </w:pPr>
    <w:rPr>
      <w:rFonts w:ascii="Times New Roman" w:eastAsia="Calibri" w:hAnsi="Times New Roman" w:cstheme="minorBidi"/>
      <w:noProof/>
      <w:sz w:val="22"/>
      <w:szCs w:val="22"/>
      <w:lang w:val="fr-CA"/>
    </w:rPr>
  </w:style>
  <w:style w:type="character" w:customStyle="1" w:styleId="MediumGrid1-Accent2Char">
    <w:name w:val="Medium Grid 1 - Accent 2 Char"/>
    <w:aliases w:val="List Paragraph1 Char,Project Profile name Char,Paragraphe de liste1 Char,Numbered paragraph Char,Paragraphe de liste Char,Medium Grid 1 - Accent 21 Char,List Paragraph (numbered (a)) Char,Numbered List Paragraph Char"/>
    <w:uiPriority w:val="34"/>
    <w:qFormat/>
    <w:locked/>
    <w:rsid w:val="00302BFE"/>
    <w:rPr>
      <w:rFonts w:ascii="Times New Roman" w:hAnsi="Times New Roman"/>
      <w:sz w:val="24"/>
      <w:szCs w:val="24"/>
      <w:lang w:val="en-US"/>
    </w:rPr>
  </w:style>
  <w:style w:type="paragraph" w:customStyle="1" w:styleId="Sinespaciado1">
    <w:name w:val="Sin espaciado1"/>
    <w:uiPriority w:val="1"/>
    <w:qFormat/>
    <w:rsid w:val="00302BFE"/>
    <w:pPr>
      <w:spacing w:after="0" w:line="240" w:lineRule="auto"/>
    </w:pPr>
    <w:rPr>
      <w:rFonts w:ascii="Calibri" w:eastAsia="Times New Roman" w:hAnsi="Calibri" w:cs="Times New Roman"/>
      <w:lang w:val="en-US"/>
    </w:rPr>
  </w:style>
  <w:style w:type="paragraph" w:styleId="PrformatHTML">
    <w:name w:val="HTML Preformatted"/>
    <w:basedOn w:val="Normal"/>
    <w:link w:val="PrformatHTMLCar"/>
    <w:uiPriority w:val="99"/>
    <w:unhideWhenUsed/>
    <w:rsid w:val="0030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Cs w:val="20"/>
      <w:lang w:val="fr-FR" w:eastAsia="fr-FR"/>
    </w:rPr>
  </w:style>
  <w:style w:type="character" w:customStyle="1" w:styleId="PrformatHTMLCar">
    <w:name w:val="Préformaté HTML Car"/>
    <w:basedOn w:val="Policepardfaut"/>
    <w:link w:val="PrformatHTML"/>
    <w:uiPriority w:val="99"/>
    <w:rsid w:val="00302BFE"/>
    <w:rPr>
      <w:rFonts w:ascii="Courier New" w:eastAsia="Times New Roman" w:hAnsi="Courier New" w:cs="Courier New"/>
      <w:sz w:val="20"/>
      <w:szCs w:val="20"/>
      <w:lang w:val="fr-FR" w:eastAsia="fr-FR"/>
    </w:rPr>
  </w:style>
  <w:style w:type="paragraph" w:customStyle="1" w:styleId="TableParagraph">
    <w:name w:val="Table Paragraph"/>
    <w:basedOn w:val="Normal"/>
    <w:uiPriority w:val="1"/>
    <w:qFormat/>
    <w:rsid w:val="00302BFE"/>
    <w:pPr>
      <w:widowControl w:val="0"/>
      <w:autoSpaceDE w:val="0"/>
      <w:autoSpaceDN w:val="0"/>
      <w:spacing w:after="0"/>
      <w:jc w:val="left"/>
    </w:pPr>
    <w:rPr>
      <w:rFonts w:ascii="Myriad Pro Light" w:eastAsia="Myriad Pro Light" w:hAnsi="Myriad Pro Light" w:cs="Myriad Pro Light"/>
      <w:sz w:val="22"/>
      <w:szCs w:val="22"/>
    </w:rPr>
  </w:style>
  <w:style w:type="table" w:customStyle="1" w:styleId="TableNormal1">
    <w:name w:val="Table Normal1"/>
    <w:uiPriority w:val="2"/>
    <w:semiHidden/>
    <w:qFormat/>
    <w:rsid w:val="00302BFE"/>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NoneA">
    <w:name w:val="None A"/>
    <w:rsid w:val="00302BFE"/>
    <w:rPr>
      <w:lang w:val="en-US"/>
    </w:rPr>
  </w:style>
  <w:style w:type="paragraph" w:customStyle="1" w:styleId="TableStyle2A">
    <w:name w:val="Table Style 2 A"/>
    <w:rsid w:val="00302BFE"/>
    <w:pPr>
      <w:pBdr>
        <w:top w:val="nil"/>
        <w:left w:val="nil"/>
        <w:bottom w:val="nil"/>
        <w:right w:val="nil"/>
        <w:between w:val="nil"/>
        <w:bar w:val="nil"/>
      </w:pBdr>
      <w:spacing w:after="0" w:line="240" w:lineRule="auto"/>
    </w:pPr>
    <w:rPr>
      <w:rFonts w:ascii="Baskerville" w:eastAsia="Arial Unicode MS" w:hAnsi="Baskerville" w:cs="Arial Unicode MS"/>
      <w:color w:val="314924"/>
      <w:sz w:val="20"/>
      <w:szCs w:val="20"/>
      <w:u w:color="314924"/>
      <w:bdr w:val="nil"/>
      <w:lang w:val="en-US"/>
    </w:rPr>
  </w:style>
  <w:style w:type="character" w:customStyle="1" w:styleId="Hyperlink0">
    <w:name w:val="Hyperlink.0"/>
    <w:rsid w:val="00302BFE"/>
    <w:rPr>
      <w:color w:val="000000"/>
      <w:u w:val="single" w:color="000000"/>
      <w:lang w:val="en-US"/>
    </w:rPr>
  </w:style>
  <w:style w:type="character" w:styleId="Mentionnonrsolue">
    <w:name w:val="Unresolved Mention"/>
    <w:uiPriority w:val="99"/>
    <w:semiHidden/>
    <w:unhideWhenUsed/>
    <w:rsid w:val="00302BFE"/>
    <w:rPr>
      <w:color w:val="605E5C"/>
      <w:shd w:val="clear" w:color="auto" w:fill="E1DFDD"/>
    </w:rPr>
  </w:style>
  <w:style w:type="table" w:customStyle="1" w:styleId="TableauGrille1Clair-Accentuation61">
    <w:name w:val="Tableau Grille 1 Clair - Accentuation 61"/>
    <w:basedOn w:val="TableauNormal"/>
    <w:uiPriority w:val="46"/>
    <w:rsid w:val="00302BFE"/>
    <w:pPr>
      <w:spacing w:after="0" w:line="240" w:lineRule="auto"/>
    </w:pPr>
    <w:rPr>
      <w:rFonts w:ascii="Calibri" w:eastAsia="Calibri" w:hAnsi="Calibri" w:cs="Times New Roman"/>
      <w:lang w:val="fr-FR"/>
    </w:rPr>
    <w:tblPr>
      <w:tblStyleRowBandSize w:val="1"/>
      <w:tblStyleColBandSize w:val="1"/>
      <w:tblInd w:w="0" w:type="nil"/>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TableauGrille1Clair-Accentuation5">
    <w:name w:val="Grid Table 1 Light Accent 5"/>
    <w:basedOn w:val="TableauNormal"/>
    <w:uiPriority w:val="46"/>
    <w:rsid w:val="00302BFE"/>
    <w:pPr>
      <w:spacing w:after="0" w:line="240" w:lineRule="auto"/>
    </w:pPr>
    <w:rPr>
      <w:rFonts w:ascii="Calibri" w:eastAsia="Calibri" w:hAnsi="Calibri" w:cs="Times New Roman"/>
      <w:lang w:val="fr-F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hps">
    <w:name w:val="hps"/>
    <w:rsid w:val="00302BFE"/>
  </w:style>
  <w:style w:type="character" w:customStyle="1" w:styleId="hpsalt-edited">
    <w:name w:val="hps alt-edited"/>
    <w:rsid w:val="00302BFE"/>
  </w:style>
  <w:style w:type="table" w:customStyle="1" w:styleId="Grilledutableau1">
    <w:name w:val="Grille du tableau1"/>
    <w:basedOn w:val="TableauNormal"/>
    <w:next w:val="Grilledutableau"/>
    <w:rsid w:val="00302BFE"/>
    <w:pPr>
      <w:spacing w:after="0" w:line="240" w:lineRule="auto"/>
    </w:pPr>
    <w:rPr>
      <w:rFonts w:ascii="Arial" w:eastAsia="Times New Roman" w:hAnsi="Arial" w:cs="Times New Roman"/>
      <w:sz w:val="20"/>
      <w:szCs w:val="24"/>
      <w:lang w:val="en-GB" w:eastAsia="en-GB"/>
    </w:rPr>
    <w:tblPr>
      <w:tblBorders>
        <w:top w:val="single" w:sz="4" w:space="0" w:color="013366"/>
        <w:left w:val="single" w:sz="4" w:space="0" w:color="013366"/>
        <w:bottom w:val="single" w:sz="4" w:space="0" w:color="013366"/>
        <w:right w:val="single" w:sz="4" w:space="0" w:color="013366"/>
        <w:insideH w:val="single" w:sz="4" w:space="0" w:color="013366"/>
        <w:insideV w:val="single" w:sz="4" w:space="0" w:color="013366"/>
      </w:tblBorders>
    </w:tblPr>
    <w:tblStylePr w:type="firstRow">
      <w:rPr>
        <w:rFonts w:ascii="Arial" w:hAnsi="Arial"/>
        <w:b w:val="0"/>
        <w:i w:val="0"/>
        <w:color w:val="FFFFFF"/>
        <w:sz w:val="20"/>
      </w:rPr>
      <w:tblPr/>
      <w:tcPr>
        <w:tcBorders>
          <w:top w:val="single" w:sz="4" w:space="0" w:color="013366"/>
          <w:left w:val="single" w:sz="4" w:space="0" w:color="013366"/>
          <w:bottom w:val="single" w:sz="4" w:space="0" w:color="013366"/>
          <w:right w:val="single" w:sz="4" w:space="0" w:color="013366"/>
          <w:insideH w:val="nil"/>
          <w:insideV w:val="nil"/>
          <w:tl2br w:val="nil"/>
          <w:tr2bl w:val="nil"/>
        </w:tcBorders>
        <w:shd w:val="clear" w:color="auto" w:fill="013366"/>
      </w:tcPr>
    </w:tblStylePr>
  </w:style>
  <w:style w:type="table" w:customStyle="1" w:styleId="TableauGrille1Clair-Accentuation51">
    <w:name w:val="Tableau Grille 1 Clair - Accentuation 51"/>
    <w:basedOn w:val="TableauNormal"/>
    <w:uiPriority w:val="46"/>
    <w:rsid w:val="00302BFE"/>
    <w:pPr>
      <w:spacing w:after="0" w:line="240" w:lineRule="auto"/>
    </w:pPr>
    <w:rPr>
      <w:rFonts w:ascii="Calibri" w:eastAsia="Calibri" w:hAnsi="Calibri" w:cs="Times New Roman"/>
      <w:lang w:val="fr-FR"/>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Rappniebepuce1">
    <w:name w:val="Rappniebepuce1"/>
    <w:basedOn w:val="Sansinterligne"/>
    <w:autoRedefine/>
    <w:qFormat/>
    <w:rsid w:val="00302BFE"/>
    <w:pPr>
      <w:numPr>
        <w:numId w:val="40"/>
      </w:numPr>
      <w:tabs>
        <w:tab w:val="num" w:pos="360"/>
      </w:tabs>
      <w:spacing w:line="276" w:lineRule="auto"/>
      <w:ind w:left="0" w:firstLine="0"/>
      <w:jc w:val="both"/>
    </w:pPr>
    <w:rPr>
      <w:rFonts w:ascii="Times New Roman" w:eastAsia="Calibri" w:hAnsi="Times New Roman"/>
      <w:lang w:val="fr-FR" w:eastAsia="fr-FR"/>
    </w:rPr>
  </w:style>
  <w:style w:type="table" w:styleId="TableauGrille1Clair-Accentuation2">
    <w:name w:val="Grid Table 1 Light Accent 2"/>
    <w:basedOn w:val="TableauNormal"/>
    <w:uiPriority w:val="46"/>
    <w:rsid w:val="00302BFE"/>
    <w:pPr>
      <w:spacing w:after="0" w:line="240" w:lineRule="auto"/>
    </w:pPr>
    <w:rPr>
      <w:rFonts w:ascii="Calibri" w:eastAsia="Calibri" w:hAnsi="Calibri" w:cs="Times New Roman"/>
      <w:lang w:val="fr-FR"/>
    </w:rPr>
    <w:tblPr>
      <w:tblStyleRowBandSize w:val="1"/>
      <w:tblStyleColBandSize w:val="1"/>
      <w:tblInd w:w="0" w:type="nil"/>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02BFE"/>
    <w:pPr>
      <w:spacing w:after="0" w:line="240" w:lineRule="auto"/>
    </w:pPr>
    <w:rPr>
      <w:rFonts w:ascii="Calibri" w:eastAsia="Calibri" w:hAnsi="Calibri" w:cs="Times New Roman"/>
      <w:lang w:val="fr-FR"/>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A0">
    <w:name w:val="A0"/>
    <w:uiPriority w:val="99"/>
    <w:rsid w:val="00302BFE"/>
    <w:rPr>
      <w:rFonts w:ascii="Univers Next Pro" w:hAnsi="Univers Next Pro" w:cs="Univers Next Pro" w:hint="default"/>
      <w:color w:val="000000"/>
      <w:sz w:val="20"/>
      <w:szCs w:val="20"/>
    </w:rPr>
  </w:style>
  <w:style w:type="character" w:customStyle="1" w:styleId="PIFParaChar">
    <w:name w:val="PIF Para Char"/>
    <w:link w:val="PIFPara"/>
    <w:locked/>
    <w:rsid w:val="00302BFE"/>
    <w:rPr>
      <w:rFonts w:ascii="Times New Roman" w:eastAsia="Times New Roman" w:hAnsi="Times New Roman"/>
    </w:rPr>
  </w:style>
  <w:style w:type="paragraph" w:customStyle="1" w:styleId="PIFPara">
    <w:name w:val="PIF Para"/>
    <w:basedOn w:val="Normal"/>
    <w:link w:val="PIFParaChar"/>
    <w:qFormat/>
    <w:rsid w:val="00302BFE"/>
    <w:pPr>
      <w:numPr>
        <w:numId w:val="47"/>
      </w:numPr>
      <w:suppressAutoHyphens/>
      <w:autoSpaceDN w:val="0"/>
      <w:spacing w:after="100"/>
    </w:pPr>
    <w:rPr>
      <w:rFonts w:ascii="Times New Roman" w:eastAsia="Times New Roman" w:hAnsi="Times New Roman" w:cstheme="minorBidi"/>
      <w:sz w:val="22"/>
      <w:szCs w:val="22"/>
      <w:lang w:val="fr-CA"/>
    </w:rPr>
  </w:style>
  <w:style w:type="paragraph" w:styleId="Rvision">
    <w:name w:val="Revision"/>
    <w:hidden/>
    <w:uiPriority w:val="99"/>
    <w:semiHidden/>
    <w:rsid w:val="00A63E29"/>
    <w:pPr>
      <w:spacing w:after="0" w:line="240" w:lineRule="auto"/>
    </w:pPr>
    <w:rPr>
      <w:rFonts w:ascii="Calibri" w:eastAsia="SimSun" w:hAnsi="Calibri" w:cs="Times New Roman"/>
      <w:sz w:val="20"/>
      <w:szCs w:val="24"/>
      <w:lang w:val="en-US"/>
    </w:rPr>
  </w:style>
  <w:style w:type="paragraph" w:customStyle="1" w:styleId="fn1">
    <w:name w:val="fn1"/>
    <w:basedOn w:val="Normal"/>
    <w:next w:val="Notedebasdepage"/>
    <w:uiPriority w:val="99"/>
    <w:qFormat/>
    <w:rsid w:val="0071360F"/>
    <w:pPr>
      <w:widowControl w:val="0"/>
      <w:spacing w:after="0"/>
    </w:pPr>
    <w:rPr>
      <w:rFonts w:eastAsiaTheme="minorHAnsi" w:cstheme="minorBidi"/>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69267">
      <w:bodyDiv w:val="1"/>
      <w:marLeft w:val="0"/>
      <w:marRight w:val="0"/>
      <w:marTop w:val="0"/>
      <w:marBottom w:val="0"/>
      <w:divBdr>
        <w:top w:val="none" w:sz="0" w:space="0" w:color="auto"/>
        <w:left w:val="none" w:sz="0" w:space="0" w:color="auto"/>
        <w:bottom w:val="none" w:sz="0" w:space="0" w:color="auto"/>
        <w:right w:val="none" w:sz="0" w:space="0" w:color="auto"/>
      </w:divBdr>
    </w:div>
    <w:div w:id="236746576">
      <w:bodyDiv w:val="1"/>
      <w:marLeft w:val="0"/>
      <w:marRight w:val="0"/>
      <w:marTop w:val="0"/>
      <w:marBottom w:val="0"/>
      <w:divBdr>
        <w:top w:val="none" w:sz="0" w:space="0" w:color="auto"/>
        <w:left w:val="none" w:sz="0" w:space="0" w:color="auto"/>
        <w:bottom w:val="none" w:sz="0" w:space="0" w:color="auto"/>
        <w:right w:val="none" w:sz="0" w:space="0" w:color="auto"/>
      </w:divBdr>
    </w:div>
    <w:div w:id="522088679">
      <w:bodyDiv w:val="1"/>
      <w:marLeft w:val="0"/>
      <w:marRight w:val="0"/>
      <w:marTop w:val="0"/>
      <w:marBottom w:val="0"/>
      <w:divBdr>
        <w:top w:val="none" w:sz="0" w:space="0" w:color="auto"/>
        <w:left w:val="none" w:sz="0" w:space="0" w:color="auto"/>
        <w:bottom w:val="none" w:sz="0" w:space="0" w:color="auto"/>
        <w:right w:val="none" w:sz="0" w:space="0" w:color="auto"/>
      </w:divBdr>
    </w:div>
    <w:div w:id="554857669">
      <w:bodyDiv w:val="1"/>
      <w:marLeft w:val="0"/>
      <w:marRight w:val="0"/>
      <w:marTop w:val="0"/>
      <w:marBottom w:val="0"/>
      <w:divBdr>
        <w:top w:val="none" w:sz="0" w:space="0" w:color="auto"/>
        <w:left w:val="none" w:sz="0" w:space="0" w:color="auto"/>
        <w:bottom w:val="none" w:sz="0" w:space="0" w:color="auto"/>
        <w:right w:val="none" w:sz="0" w:space="0" w:color="auto"/>
      </w:divBdr>
    </w:div>
    <w:div w:id="695883563">
      <w:bodyDiv w:val="1"/>
      <w:marLeft w:val="0"/>
      <w:marRight w:val="0"/>
      <w:marTop w:val="0"/>
      <w:marBottom w:val="0"/>
      <w:divBdr>
        <w:top w:val="none" w:sz="0" w:space="0" w:color="auto"/>
        <w:left w:val="none" w:sz="0" w:space="0" w:color="auto"/>
        <w:bottom w:val="none" w:sz="0" w:space="0" w:color="auto"/>
        <w:right w:val="none" w:sz="0" w:space="0" w:color="auto"/>
      </w:divBdr>
    </w:div>
    <w:div w:id="872809501">
      <w:bodyDiv w:val="1"/>
      <w:marLeft w:val="0"/>
      <w:marRight w:val="0"/>
      <w:marTop w:val="0"/>
      <w:marBottom w:val="0"/>
      <w:divBdr>
        <w:top w:val="none" w:sz="0" w:space="0" w:color="auto"/>
        <w:left w:val="none" w:sz="0" w:space="0" w:color="auto"/>
        <w:bottom w:val="none" w:sz="0" w:space="0" w:color="auto"/>
        <w:right w:val="none" w:sz="0" w:space="0" w:color="auto"/>
      </w:divBdr>
    </w:div>
    <w:div w:id="1112896388">
      <w:bodyDiv w:val="1"/>
      <w:marLeft w:val="0"/>
      <w:marRight w:val="0"/>
      <w:marTop w:val="0"/>
      <w:marBottom w:val="0"/>
      <w:divBdr>
        <w:top w:val="none" w:sz="0" w:space="0" w:color="auto"/>
        <w:left w:val="none" w:sz="0" w:space="0" w:color="auto"/>
        <w:bottom w:val="none" w:sz="0" w:space="0" w:color="auto"/>
        <w:right w:val="none" w:sz="0" w:space="0" w:color="auto"/>
      </w:divBdr>
    </w:div>
    <w:div w:id="1171143173">
      <w:bodyDiv w:val="1"/>
      <w:marLeft w:val="0"/>
      <w:marRight w:val="0"/>
      <w:marTop w:val="0"/>
      <w:marBottom w:val="0"/>
      <w:divBdr>
        <w:top w:val="none" w:sz="0" w:space="0" w:color="auto"/>
        <w:left w:val="none" w:sz="0" w:space="0" w:color="auto"/>
        <w:bottom w:val="none" w:sz="0" w:space="0" w:color="auto"/>
        <w:right w:val="none" w:sz="0" w:space="0" w:color="auto"/>
      </w:divBdr>
    </w:div>
    <w:div w:id="1423990483">
      <w:bodyDiv w:val="1"/>
      <w:marLeft w:val="0"/>
      <w:marRight w:val="0"/>
      <w:marTop w:val="0"/>
      <w:marBottom w:val="0"/>
      <w:divBdr>
        <w:top w:val="none" w:sz="0" w:space="0" w:color="auto"/>
        <w:left w:val="none" w:sz="0" w:space="0" w:color="auto"/>
        <w:bottom w:val="none" w:sz="0" w:space="0" w:color="auto"/>
        <w:right w:val="none" w:sz="0" w:space="0" w:color="auto"/>
      </w:divBdr>
    </w:div>
    <w:div w:id="1485665425">
      <w:bodyDiv w:val="1"/>
      <w:marLeft w:val="0"/>
      <w:marRight w:val="0"/>
      <w:marTop w:val="0"/>
      <w:marBottom w:val="0"/>
      <w:divBdr>
        <w:top w:val="none" w:sz="0" w:space="0" w:color="auto"/>
        <w:left w:val="none" w:sz="0" w:space="0" w:color="auto"/>
        <w:bottom w:val="none" w:sz="0" w:space="0" w:color="auto"/>
        <w:right w:val="none" w:sz="0" w:space="0" w:color="auto"/>
      </w:divBdr>
    </w:div>
    <w:div w:id="1574897473">
      <w:bodyDiv w:val="1"/>
      <w:marLeft w:val="0"/>
      <w:marRight w:val="0"/>
      <w:marTop w:val="0"/>
      <w:marBottom w:val="0"/>
      <w:divBdr>
        <w:top w:val="none" w:sz="0" w:space="0" w:color="auto"/>
        <w:left w:val="none" w:sz="0" w:space="0" w:color="auto"/>
        <w:bottom w:val="none" w:sz="0" w:space="0" w:color="auto"/>
        <w:right w:val="none" w:sz="0" w:space="0" w:color="auto"/>
      </w:divBdr>
    </w:div>
    <w:div w:id="1585409874">
      <w:bodyDiv w:val="1"/>
      <w:marLeft w:val="0"/>
      <w:marRight w:val="0"/>
      <w:marTop w:val="0"/>
      <w:marBottom w:val="0"/>
      <w:divBdr>
        <w:top w:val="none" w:sz="0" w:space="0" w:color="auto"/>
        <w:left w:val="none" w:sz="0" w:space="0" w:color="auto"/>
        <w:bottom w:val="none" w:sz="0" w:space="0" w:color="auto"/>
        <w:right w:val="none" w:sz="0" w:space="0" w:color="auto"/>
      </w:divBdr>
    </w:div>
    <w:div w:id="1615669168">
      <w:bodyDiv w:val="1"/>
      <w:marLeft w:val="0"/>
      <w:marRight w:val="0"/>
      <w:marTop w:val="0"/>
      <w:marBottom w:val="0"/>
      <w:divBdr>
        <w:top w:val="none" w:sz="0" w:space="0" w:color="auto"/>
        <w:left w:val="none" w:sz="0" w:space="0" w:color="auto"/>
        <w:bottom w:val="none" w:sz="0" w:space="0" w:color="auto"/>
        <w:right w:val="none" w:sz="0" w:space="0" w:color="auto"/>
      </w:divBdr>
    </w:div>
    <w:div w:id="1618831577">
      <w:bodyDiv w:val="1"/>
      <w:marLeft w:val="0"/>
      <w:marRight w:val="0"/>
      <w:marTop w:val="0"/>
      <w:marBottom w:val="0"/>
      <w:divBdr>
        <w:top w:val="none" w:sz="0" w:space="0" w:color="auto"/>
        <w:left w:val="none" w:sz="0" w:space="0" w:color="auto"/>
        <w:bottom w:val="none" w:sz="0" w:space="0" w:color="auto"/>
        <w:right w:val="none" w:sz="0" w:space="0" w:color="auto"/>
      </w:divBdr>
    </w:div>
    <w:div w:id="1633554651">
      <w:bodyDiv w:val="1"/>
      <w:marLeft w:val="0"/>
      <w:marRight w:val="0"/>
      <w:marTop w:val="0"/>
      <w:marBottom w:val="0"/>
      <w:divBdr>
        <w:top w:val="none" w:sz="0" w:space="0" w:color="auto"/>
        <w:left w:val="none" w:sz="0" w:space="0" w:color="auto"/>
        <w:bottom w:val="none" w:sz="0" w:space="0" w:color="auto"/>
        <w:right w:val="none" w:sz="0" w:space="0" w:color="auto"/>
      </w:divBdr>
    </w:div>
    <w:div w:id="1639070420">
      <w:bodyDiv w:val="1"/>
      <w:marLeft w:val="0"/>
      <w:marRight w:val="0"/>
      <w:marTop w:val="0"/>
      <w:marBottom w:val="0"/>
      <w:divBdr>
        <w:top w:val="none" w:sz="0" w:space="0" w:color="auto"/>
        <w:left w:val="none" w:sz="0" w:space="0" w:color="auto"/>
        <w:bottom w:val="none" w:sz="0" w:space="0" w:color="auto"/>
        <w:right w:val="none" w:sz="0" w:space="0" w:color="auto"/>
      </w:divBdr>
    </w:div>
    <w:div w:id="1850752675">
      <w:bodyDiv w:val="1"/>
      <w:marLeft w:val="0"/>
      <w:marRight w:val="0"/>
      <w:marTop w:val="0"/>
      <w:marBottom w:val="0"/>
      <w:divBdr>
        <w:top w:val="none" w:sz="0" w:space="0" w:color="auto"/>
        <w:left w:val="none" w:sz="0" w:space="0" w:color="auto"/>
        <w:bottom w:val="none" w:sz="0" w:space="0" w:color="auto"/>
        <w:right w:val="none" w:sz="0" w:space="0" w:color="auto"/>
      </w:divBdr>
    </w:div>
    <w:div w:id="2020548165">
      <w:bodyDiv w:val="1"/>
      <w:marLeft w:val="0"/>
      <w:marRight w:val="0"/>
      <w:marTop w:val="0"/>
      <w:marBottom w:val="0"/>
      <w:divBdr>
        <w:top w:val="none" w:sz="0" w:space="0" w:color="auto"/>
        <w:left w:val="none" w:sz="0" w:space="0" w:color="auto"/>
        <w:bottom w:val="none" w:sz="0" w:space="0" w:color="auto"/>
        <w:right w:val="none" w:sz="0" w:space="0" w:color="auto"/>
      </w:divBdr>
    </w:div>
    <w:div w:id="2024236430">
      <w:bodyDiv w:val="1"/>
      <w:marLeft w:val="0"/>
      <w:marRight w:val="0"/>
      <w:marTop w:val="0"/>
      <w:marBottom w:val="0"/>
      <w:divBdr>
        <w:top w:val="none" w:sz="0" w:space="0" w:color="auto"/>
        <w:left w:val="none" w:sz="0" w:space="0" w:color="auto"/>
        <w:bottom w:val="none" w:sz="0" w:space="0" w:color="auto"/>
        <w:right w:val="none" w:sz="0" w:space="0" w:color="auto"/>
      </w:divBdr>
    </w:div>
    <w:div w:id="2101759290">
      <w:bodyDiv w:val="1"/>
      <w:marLeft w:val="0"/>
      <w:marRight w:val="0"/>
      <w:marTop w:val="0"/>
      <w:marBottom w:val="0"/>
      <w:divBdr>
        <w:top w:val="none" w:sz="0" w:space="0" w:color="auto"/>
        <w:left w:val="none" w:sz="0" w:space="0" w:color="auto"/>
        <w:bottom w:val="none" w:sz="0" w:space="0" w:color="auto"/>
        <w:right w:val="none" w:sz="0" w:space="0" w:color="auto"/>
      </w:divBdr>
    </w:div>
    <w:div w:id="2146315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ndp.org/content/undp/en/home/operations/accountability/programme_and_operationspoliciesandprocedures.html" TargetMode="External"/><Relationship Id="rId21" Type="http://schemas.openxmlformats.org/officeDocument/2006/relationships/image" Target="media/image6.png"/><Relationship Id="rId42" Type="http://schemas.openxmlformats.org/officeDocument/2006/relationships/hyperlink" Target="https://info.undp.org/sites/bpps/SES_Toolkit/_layouts/15/WopiFrame.aspx?sourcedoc=/sites/bpps/SES_Toolkit/SES%20Document%20Library/Uploaded%20October%202016/Indicative%20Outline%20of%20an%20ESMP.docx&amp;action=default" TargetMode="External"/><Relationship Id="rId47" Type="http://schemas.openxmlformats.org/officeDocument/2006/relationships/chart" Target="charts/chart2.xml"/><Relationship Id="rId63" Type="http://schemas.openxmlformats.org/officeDocument/2006/relationships/hyperlink" Target="mailto:tmathias.cde@gmail.com" TargetMode="External"/><Relationship Id="rId68" Type="http://schemas.openxmlformats.org/officeDocument/2006/relationships/hyperlink" Target="mailto:soro.z@yahoo.com" TargetMode="External"/><Relationship Id="rId84" Type="http://schemas.openxmlformats.org/officeDocument/2006/relationships/hyperlink" Target="mailto:zoungramadou@gmail.com" TargetMode="External"/><Relationship Id="rId89" Type="http://schemas.openxmlformats.org/officeDocument/2006/relationships/theme" Target="theme/theme1.xml"/><Relationship Id="rId16" Type="http://schemas.openxmlformats.org/officeDocument/2006/relationships/hyperlink" Target="https://fr.wikipedia.org/wiki/Zoundw%C3%A9ogo" TargetMode="External"/><Relationship Id="rId11" Type="http://schemas.openxmlformats.org/officeDocument/2006/relationships/image" Target="media/image3.png"/><Relationship Id="rId32" Type="http://schemas.openxmlformats.org/officeDocument/2006/relationships/hyperlink" Target="http://web.undp.org/evaluation/guidance.shtml" TargetMode="External"/><Relationship Id="rId37" Type="http://schemas.openxmlformats.org/officeDocument/2006/relationships/header" Target="header2.xml"/><Relationship Id="rId53" Type="http://schemas.openxmlformats.org/officeDocument/2006/relationships/hyperlink" Target="mailto:yssoufyodah@gmail.com" TargetMode="External"/><Relationship Id="rId58" Type="http://schemas.openxmlformats.org/officeDocument/2006/relationships/hyperlink" Target="mailto:gansimobf91@gmail.com" TargetMode="External"/><Relationship Id="rId74" Type="http://schemas.openxmlformats.org/officeDocument/2006/relationships/hyperlink" Target="mailto:diallodam17@gmail.com" TargetMode="External"/><Relationship Id="rId79" Type="http://schemas.openxmlformats.org/officeDocument/2006/relationships/hyperlink" Target="mailto:Ouedraogozoena03@gmail.com" TargetMode="External"/><Relationship Id="rId5" Type="http://schemas.openxmlformats.org/officeDocument/2006/relationships/webSettings" Target="webSettings.xml"/><Relationship Id="rId90" Type="http://schemas.openxmlformats.org/officeDocument/2006/relationships/customXml" Target="../customXml/item2.xml"/><Relationship Id="rId22" Type="http://schemas.openxmlformats.org/officeDocument/2006/relationships/image" Target="media/image7.png"/><Relationship Id="rId27" Type="http://schemas.openxmlformats.org/officeDocument/2006/relationships/hyperlink" Target="http://www.undp.org/content/undp/en/home/operations/accountability/evaluation/evaluation_policyofundp.html" TargetMode="External"/><Relationship Id="rId43" Type="http://schemas.openxmlformats.org/officeDocument/2006/relationships/chart" Target="charts/chart1.xml"/><Relationship Id="rId48" Type="http://schemas.openxmlformats.org/officeDocument/2006/relationships/image" Target="media/image11.png"/><Relationship Id="rId64" Type="http://schemas.openxmlformats.org/officeDocument/2006/relationships/hyperlink" Target="mailto:specialfirminho3@gmail.com" TargetMode="External"/><Relationship Id="rId69" Type="http://schemas.openxmlformats.org/officeDocument/2006/relationships/hyperlink" Target="mailto:yogoaouya@yahoo.fr" TargetMode="External"/><Relationship Id="rId8" Type="http://schemas.openxmlformats.org/officeDocument/2006/relationships/image" Target="media/image1.jpeg"/><Relationship Id="rId51" Type="http://schemas.openxmlformats.org/officeDocument/2006/relationships/image" Target="media/image12.jpeg"/><Relationship Id="rId72" Type="http://schemas.openxmlformats.org/officeDocument/2006/relationships/hyperlink" Target="mailto:wezibaz@gmail.com" TargetMode="External"/><Relationship Id="rId80" Type="http://schemas.openxmlformats.org/officeDocument/2006/relationships/hyperlink" Target="mailto:sidikinama@yahoo.fr" TargetMode="External"/><Relationship Id="rId85" Type="http://schemas.openxmlformats.org/officeDocument/2006/relationships/hyperlink" Target="mailto:jgoungounga@yahoo.fr" TargetMode="External"/><Relationship Id="rId93" Type="http://schemas.openxmlformats.org/officeDocument/2006/relationships/customXml" Target="../customXml/item5.xml"/><Relationship Id="rId3" Type="http://schemas.openxmlformats.org/officeDocument/2006/relationships/styles" Target="styles.xml"/><Relationship Id="rId12" Type="http://schemas.openxmlformats.org/officeDocument/2006/relationships/hyperlink" Target="http://web.undp.org/evaluation/guidance.shtml" TargetMode="External"/><Relationship Id="rId17" Type="http://schemas.openxmlformats.org/officeDocument/2006/relationships/image" Target="media/image4.jpeg"/><Relationship Id="rId25" Type="http://schemas.openxmlformats.org/officeDocument/2006/relationships/hyperlink" Target="http://www.undp.org/ses" TargetMode="External"/><Relationship Id="rId33" Type="http://schemas.openxmlformats.org/officeDocument/2006/relationships/hyperlink" Target="http://web.undp.org/evaluation/guidance.shtml" TargetMode="External"/><Relationship Id="rId38" Type="http://schemas.openxmlformats.org/officeDocument/2006/relationships/footer" Target="footer4.xml"/><Relationship Id="rId46" Type="http://schemas.openxmlformats.org/officeDocument/2006/relationships/image" Target="media/image10.emf"/><Relationship Id="rId59" Type="http://schemas.openxmlformats.org/officeDocument/2006/relationships/hyperlink" Target="mailto:zoungramadou@gmail.com" TargetMode="External"/><Relationship Id="rId67" Type="http://schemas.openxmlformats.org/officeDocument/2006/relationships/hyperlink" Target="mailto:ReneAlampoua@mal.com" TargetMode="External"/><Relationship Id="rId20" Type="http://schemas.openxmlformats.org/officeDocument/2006/relationships/image" Target="media/image5.png"/><Relationship Id="rId41" Type="http://schemas.openxmlformats.org/officeDocument/2006/relationships/hyperlink" Target="http://www.undp.org/ses" TargetMode="External"/><Relationship Id="rId54" Type="http://schemas.openxmlformats.org/officeDocument/2006/relationships/hyperlink" Target="mailto:zoungramadou@gmail.com" TargetMode="External"/><Relationship Id="rId62" Type="http://schemas.openxmlformats.org/officeDocument/2006/relationships/hyperlink" Target="mailto:boudaalexandre@yahoo.fr" TargetMode="External"/><Relationship Id="rId70" Type="http://schemas.openxmlformats.org/officeDocument/2006/relationships/hyperlink" Target="mailto:zongo.lucien@yahoo.fr" TargetMode="External"/><Relationship Id="rId75" Type="http://schemas.openxmlformats.org/officeDocument/2006/relationships/hyperlink" Target="mailto:kirkarabance@gmail.com" TargetMode="External"/><Relationship Id="rId83" Type="http://schemas.openxmlformats.org/officeDocument/2006/relationships/hyperlink" Target="mailto:aliouwangr@gmail.com" TargetMode="External"/><Relationship Id="rId88" Type="http://schemas.openxmlformats.org/officeDocument/2006/relationships/fontTable" Target="fontTable.xml"/><Relationship Id="rId9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r.wikipedia.org/wiki/Ziro" TargetMode="External"/><Relationship Id="rId23" Type="http://schemas.openxmlformats.org/officeDocument/2006/relationships/hyperlink" Target="https://www.ayeler.com/fr/content/fr/burkina-faso/ouagadougou/cfp-centre-de-formation-professionnel-valba" TargetMode="External"/><Relationship Id="rId28" Type="http://schemas.openxmlformats.org/officeDocument/2006/relationships/hyperlink" Target="https://www.thegef.org/sites/default/files/council-meeting-documents/GEF-C.56-03%2C%20Policy%20on%20Monitoring.pdf" TargetMode="External"/><Relationship Id="rId36" Type="http://schemas.openxmlformats.org/officeDocument/2006/relationships/hyperlink" Target="https://www.thegef.org/sites/default/files/documents/GEF_Guidelines_Project_Program_Cycle_Policy_20200731.pdf" TargetMode="External"/><Relationship Id="rId49" Type="http://schemas.openxmlformats.org/officeDocument/2006/relationships/image" Target="media/image12.png"/><Relationship Id="rId57" Type="http://schemas.openxmlformats.org/officeDocument/2006/relationships/hyperlink" Target="mailto:nebieboukary@gmail.com" TargetMode="External"/><Relationship Id="rId10" Type="http://schemas.openxmlformats.org/officeDocument/2006/relationships/image" Target="https://upload.wikimedia.org/wikipedia/commons/thumb/9/96/Coat_of_arms_of_Burkina_Faso.svg/88px-Coat_of_arms_of_Burkina_Faso.svg.png" TargetMode="External"/><Relationship Id="rId31" Type="http://schemas.openxmlformats.org/officeDocument/2006/relationships/hyperlink" Target="https://www.thegef.org/sites/default/files/documents/Results_Guidelines.pdf" TargetMode="External"/><Relationship Id="rId44" Type="http://schemas.openxmlformats.org/officeDocument/2006/relationships/image" Target="media/image9.emf"/><Relationship Id="rId52" Type="http://schemas.openxmlformats.org/officeDocument/2006/relationships/hyperlink" Target="mailto:monalastraore@yahoo.fr" TargetMode="External"/><Relationship Id="rId60" Type="http://schemas.openxmlformats.org/officeDocument/2006/relationships/hyperlink" Target="mailto:zclement@fasonet.bf" TargetMode="External"/><Relationship Id="rId65" Type="http://schemas.openxmlformats.org/officeDocument/2006/relationships/hyperlink" Target="mailto:narcissezongo3@gmail.com" TargetMode="External"/><Relationship Id="rId73" Type="http://schemas.openxmlformats.org/officeDocument/2006/relationships/hyperlink" Target="mailto:Petiraaouya05@gmail.com" TargetMode="External"/><Relationship Id="rId78" Type="http://schemas.openxmlformats.org/officeDocument/2006/relationships/hyperlink" Target="mailto:zoungramadou@gmail.com" TargetMode="External"/><Relationship Id="rId81" Type="http://schemas.openxmlformats.org/officeDocument/2006/relationships/hyperlink" Target="mailto:Tamedee13@gmail.com" TargetMode="External"/><Relationship Id="rId86" Type="http://schemas.openxmlformats.org/officeDocument/2006/relationships/hyperlink" Target="mailto:orgiisghana@yahoo.com" TargetMode="External"/><Relationship Id="rId94" Type="http://schemas.openxmlformats.org/officeDocument/2006/relationships/customXml" Target="../customXml/item6.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fr.wikipedia.org/wiki/Baz%C3%A8ga" TargetMode="External"/><Relationship Id="rId18" Type="http://schemas.openxmlformats.org/officeDocument/2006/relationships/footer" Target="footer1.xml"/><Relationship Id="rId39" Type="http://schemas.openxmlformats.org/officeDocument/2006/relationships/hyperlink" Target="http://www.un.org/sc/committees/1267/aq_sanctions_list.shtml" TargetMode="External"/><Relationship Id="rId34" Type="http://schemas.openxmlformats.org/officeDocument/2006/relationships/header" Target="header1.xml"/><Relationship Id="rId50" Type="http://schemas.openxmlformats.org/officeDocument/2006/relationships/chart" Target="charts/chart3.xml"/><Relationship Id="rId55" Type="http://schemas.openxmlformats.org/officeDocument/2006/relationships/hyperlink" Target="mailto:nacro-bassirou@yahoo.fr" TargetMode="External"/><Relationship Id="rId76" Type="http://schemas.openxmlformats.org/officeDocument/2006/relationships/hyperlink" Target="mailto:Ouekane29@gmail.com" TargetMode="External"/><Relationship Id="rId7" Type="http://schemas.openxmlformats.org/officeDocument/2006/relationships/endnotes" Target="endnotes.xml"/><Relationship Id="rId71" Type="http://schemas.openxmlformats.org/officeDocument/2006/relationships/hyperlink" Target="mailto:zoungramadou@gmail.com" TargetMode="External"/><Relationship Id="rId92" Type="http://schemas.openxmlformats.org/officeDocument/2006/relationships/customXml" Target="../customXml/item4.xml"/><Relationship Id="rId2" Type="http://schemas.openxmlformats.org/officeDocument/2006/relationships/numbering" Target="numbering.xml"/><Relationship Id="rId29" Type="http://schemas.openxmlformats.org/officeDocument/2006/relationships/hyperlink" Target="https://www.thegef.org/sites/default/files/council-meeting-documents/EN_GEF.ME_C56_02_GEF_Evaluation_Policy_May_2019_0.pdf" TargetMode="External"/><Relationship Id="rId24" Type="http://schemas.openxmlformats.org/officeDocument/2006/relationships/image" Target="media/image8.jpeg"/><Relationship Id="rId40" Type="http://schemas.openxmlformats.org/officeDocument/2006/relationships/footer" Target="footer5.xml"/><Relationship Id="rId45" Type="http://schemas.openxmlformats.org/officeDocument/2006/relationships/package" Target="embeddings/Microsoft_PowerPoint_Slide.sldx"/><Relationship Id="rId66" Type="http://schemas.openxmlformats.org/officeDocument/2006/relationships/hyperlink" Target="mailto:zoungramadou@gmail.com" TargetMode="External"/><Relationship Id="rId87" Type="http://schemas.openxmlformats.org/officeDocument/2006/relationships/image" Target="media/image13.png"/><Relationship Id="rId61" Type="http://schemas.openxmlformats.org/officeDocument/2006/relationships/hyperlink" Target="mailto:valeriesondo@yahoo.fr" TargetMode="External"/><Relationship Id="rId82" Type="http://schemas.openxmlformats.org/officeDocument/2006/relationships/hyperlink" Target="mailto:Willyamday12@gmail.com" TargetMode="External"/><Relationship Id="rId19" Type="http://schemas.openxmlformats.org/officeDocument/2006/relationships/footer" Target="footer2.xml"/><Relationship Id="rId14" Type="http://schemas.openxmlformats.org/officeDocument/2006/relationships/hyperlink" Target="https://fr.wikipedia.org/wiki/Nahouri_(province)" TargetMode="External"/><Relationship Id="rId30" Type="http://schemas.openxmlformats.org/officeDocument/2006/relationships/hyperlink" Target="https://www.thegef.org/documents/policies-guidelines" TargetMode="External"/><Relationship Id="rId35" Type="http://schemas.openxmlformats.org/officeDocument/2006/relationships/footer" Target="footer3.xml"/><Relationship Id="rId56" Type="http://schemas.openxmlformats.org/officeDocument/2006/relationships/hyperlink" Target="mailto:samamoud1@yahoo.fr" TargetMode="External"/><Relationship Id="rId77" Type="http://schemas.openxmlformats.org/officeDocument/2006/relationships/hyperlink" Target="mailto:bahoupeta@yahoo.f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nbsapforum.net/knowledge-base/resource/pa-business-plan-catalogue-business-planning-protected-areas" TargetMode="External"/><Relationship Id="rId7" Type="http://schemas.openxmlformats.org/officeDocument/2006/relationships/hyperlink" Target="mailto:cvermeulen.ac.be" TargetMode="External"/><Relationship Id="rId2" Type="http://schemas.openxmlformats.org/officeDocument/2006/relationships/hyperlink" Target="https://conservationaction.co.za/resources/reports/effects-trophy-hunting-five-africas-iconic-wild-animal-populations-six-countries-analysis/" TargetMode="External"/><Relationship Id="rId1" Type="http://schemas.openxmlformats.org/officeDocument/2006/relationships/hyperlink" Target="http://datazone.birdlife.org/site/factsheet/kabor&#233;-tambi--nazinga--sissili-complex-iba-burkina-faso" TargetMode="External"/><Relationship Id="rId6" Type="http://schemas.openxmlformats.org/officeDocument/2006/relationships/hyperlink" Target="http://www.parks.it/world/BF/parco.kabore.tambi/Fpar.html" TargetMode="External"/><Relationship Id="rId5" Type="http://schemas.openxmlformats.org/officeDocument/2006/relationships/hyperlink" Target="https://popp.undp.org/_layouts/15/WopiFrame.aspx?sourcedoc=/UNDP_POPP_DOCUMENT_LIBRARY/Public/PPM_Project%20Management_Closing.docx&amp;action=default" TargetMode="External"/><Relationship Id="rId4" Type="http://schemas.openxmlformats.org/officeDocument/2006/relationships/hyperlink" Target="https://www.thegef.org/gef/policies_guidelines"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PC-HP\Documents\Documents\BERACIL\2018\PNUD\ANALYSE\niveau%20de%20vie.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PC-HP\Documents\Documents\BERACIL\2018\PNUD\ANALYSE\niveau%20de%20vie.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User\Documents\BERACIL\OFFRES%20TECHNIQUES%20ET%20FINANCIERES\PFNL\NATURAMA\Analyse\acteur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598-4792-B2C2-4B9A39659A9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598-4792-B2C2-4B9A39659A9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2598-4792-B2C2-4B9A39659A9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BF"/>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Feuil1!$J$3:$L$3</c:f>
              <c:strCache>
                <c:ptCount val="3"/>
                <c:pt idx="0">
                  <c:v>Niveau bas</c:v>
                </c:pt>
                <c:pt idx="1">
                  <c:v>Niveau moyen</c:v>
                </c:pt>
                <c:pt idx="2">
                  <c:v>Niveau élevé</c:v>
                </c:pt>
              </c:strCache>
            </c:strRef>
          </c:cat>
          <c:val>
            <c:numRef>
              <c:f>Feuil1!$J$4:$L$4</c:f>
              <c:numCache>
                <c:formatCode>General</c:formatCode>
                <c:ptCount val="3"/>
                <c:pt idx="0">
                  <c:v>61</c:v>
                </c:pt>
                <c:pt idx="1">
                  <c:v>30</c:v>
                </c:pt>
                <c:pt idx="2">
                  <c:v>9</c:v>
                </c:pt>
              </c:numCache>
            </c:numRef>
          </c:val>
          <c:extLst>
            <c:ext xmlns:c16="http://schemas.microsoft.com/office/drawing/2014/chart" uri="{C3380CC4-5D6E-409C-BE32-E72D297353CC}">
              <c16:uniqueId val="{00000006-2598-4792-B2C2-4B9A39659A99}"/>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BF"/>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BF"/>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3DB-4BB9-B57A-3FD2AD382F2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3DB-4BB9-B57A-3FD2AD382F2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3DB-4BB9-B57A-3FD2AD382F2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BF"/>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Feuil1!$J$3:$L$3</c:f>
              <c:strCache>
                <c:ptCount val="3"/>
                <c:pt idx="0">
                  <c:v>Pauvres</c:v>
                </c:pt>
                <c:pt idx="1">
                  <c:v>Moyennement riches</c:v>
                </c:pt>
                <c:pt idx="2">
                  <c:v>Riches</c:v>
                </c:pt>
              </c:strCache>
            </c:strRef>
          </c:cat>
          <c:val>
            <c:numRef>
              <c:f>Feuil1!$J$4:$L$4</c:f>
              <c:numCache>
                <c:formatCode>General</c:formatCode>
                <c:ptCount val="3"/>
                <c:pt idx="0">
                  <c:v>61</c:v>
                </c:pt>
                <c:pt idx="1">
                  <c:v>30</c:v>
                </c:pt>
                <c:pt idx="2">
                  <c:v>9</c:v>
                </c:pt>
              </c:numCache>
            </c:numRef>
          </c:val>
          <c:extLst>
            <c:ext xmlns:c16="http://schemas.microsoft.com/office/drawing/2014/chart" uri="{C3380CC4-5D6E-409C-BE32-E72D297353CC}">
              <c16:uniqueId val="{00000006-E3DB-4BB9-B57A-3FD2AD382F26}"/>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BF"/>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BF"/>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layout>
                <c:manualLayout>
                  <c:x val="-1.5337148321355467E-3"/>
                  <c:y val="-1.9420679605454227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F02-4857-BD79-A3D5CB008A79}"/>
                </c:ext>
              </c:extLst>
            </c:dLbl>
            <c:dLbl>
              <c:idx val="1"/>
              <c:layout>
                <c:manualLayout>
                  <c:x val="-4.6962701768540789E-3"/>
                  <c:y val="-9.710339802727113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F02-4857-BD79-A3D5CB008A79}"/>
                </c:ext>
              </c:extLst>
            </c:dLbl>
            <c:dLbl>
              <c:idx val="2"/>
              <c:layout>
                <c:manualLayout>
                  <c:x val="-1.533714832135604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F02-4857-BD79-A3D5CB008A79}"/>
                </c:ext>
              </c:extLst>
            </c:dLbl>
            <c:dLbl>
              <c:idx val="3"/>
              <c:layout>
                <c:manualLayout>
                  <c:x val="2.3731616090688959E-4"/>
                  <c:y val="-9.710339802727113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F02-4857-BD79-A3D5CB008A79}"/>
                </c:ext>
              </c:extLst>
            </c:dLbl>
            <c:dLbl>
              <c:idx val="4"/>
              <c:layout>
                <c:manualLayout>
                  <c:x val="8.2921205058095818E-3"/>
                  <c:y val="-9.710339802727113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F02-4857-BD79-A3D5CB008A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fr-BF"/>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Feuil1!$G$13:$G$25</c:f>
              <c:strCache>
                <c:ptCount val="13"/>
                <c:pt idx="0">
                  <c:v>beurre de karité</c:v>
                </c:pt>
                <c:pt idx="1">
                  <c:v>savon de beurre de karite</c:v>
                </c:pt>
                <c:pt idx="2">
                  <c:v>soumbala</c:v>
                </c:pt>
                <c:pt idx="3">
                  <c:v>amandes de karité</c:v>
                </c:pt>
                <c:pt idx="4">
                  <c:v>graines de néré</c:v>
                </c:pt>
                <c:pt idx="5">
                  <c:v>liane goïne</c:v>
                </c:pt>
                <c:pt idx="6">
                  <c:v>baobab</c:v>
                </c:pt>
                <c:pt idx="7">
                  <c:v>tamarin</c:v>
                </c:pt>
                <c:pt idx="8">
                  <c:v>detarium</c:v>
                </c:pt>
                <c:pt idx="9">
                  <c:v>calices de bombax </c:v>
                </c:pt>
                <c:pt idx="10">
                  <c:v>zamné</c:v>
                </c:pt>
                <c:pt idx="11">
                  <c:v>raisin</c:v>
                </c:pt>
                <c:pt idx="12">
                  <c:v>miel</c:v>
                </c:pt>
              </c:strCache>
            </c:strRef>
          </c:cat>
          <c:val>
            <c:numRef>
              <c:f>Feuil1!$H$13:$H$25</c:f>
              <c:numCache>
                <c:formatCode>0.00</c:formatCode>
                <c:ptCount val="13"/>
                <c:pt idx="0">
                  <c:v>54.933586337760907</c:v>
                </c:pt>
                <c:pt idx="1">
                  <c:v>13.472485768500949</c:v>
                </c:pt>
                <c:pt idx="2">
                  <c:v>12.23908918406072</c:v>
                </c:pt>
                <c:pt idx="3">
                  <c:v>9.3927893738140416</c:v>
                </c:pt>
                <c:pt idx="4">
                  <c:v>3.9848197343453511</c:v>
                </c:pt>
                <c:pt idx="5">
                  <c:v>1.4231499051233396</c:v>
                </c:pt>
                <c:pt idx="6">
                  <c:v>1.1385199240986716</c:v>
                </c:pt>
                <c:pt idx="7">
                  <c:v>0.94876660341555974</c:v>
                </c:pt>
                <c:pt idx="8">
                  <c:v>0.94876660341555974</c:v>
                </c:pt>
                <c:pt idx="9">
                  <c:v>0.85388994307400379</c:v>
                </c:pt>
                <c:pt idx="10">
                  <c:v>0.28462998102466791</c:v>
                </c:pt>
                <c:pt idx="11">
                  <c:v>0.18975332068311196</c:v>
                </c:pt>
                <c:pt idx="12">
                  <c:v>0.18975332068311196</c:v>
                </c:pt>
              </c:numCache>
            </c:numRef>
          </c:val>
          <c:extLst>
            <c:ext xmlns:c16="http://schemas.microsoft.com/office/drawing/2014/chart" uri="{C3380CC4-5D6E-409C-BE32-E72D297353CC}">
              <c16:uniqueId val="{00000005-DF02-4857-BD79-A3D5CB008A79}"/>
            </c:ext>
          </c:extLst>
        </c:ser>
        <c:dLbls>
          <c:dLblPos val="inEnd"/>
          <c:showLegendKey val="0"/>
          <c:showVal val="1"/>
          <c:showCatName val="0"/>
          <c:showSerName val="0"/>
          <c:showPercent val="0"/>
          <c:showBubbleSize val="0"/>
        </c:dLbls>
        <c:gapWidth val="100"/>
        <c:axId val="1849953072"/>
        <c:axId val="1849949264"/>
      </c:barChart>
      <c:catAx>
        <c:axId val="184995307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BF"/>
          </a:p>
        </c:txPr>
        <c:crossAx val="1849949264"/>
        <c:crosses val="autoZero"/>
        <c:auto val="1"/>
        <c:lblAlgn val="ctr"/>
        <c:lblOffset val="100"/>
        <c:noMultiLvlLbl val="0"/>
      </c:catAx>
      <c:valAx>
        <c:axId val="1849949264"/>
        <c:scaling>
          <c:orientation val="minMax"/>
        </c:scaling>
        <c:delete val="0"/>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BF"/>
          </a:p>
        </c:txPr>
        <c:crossAx val="1849953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fr-BF"/>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POPPFunctionalArea xmlns="f1161f5b-24a3-4c2d-bc81-44cb9325e8ee">Programme and Project</UNDPPOPPFunctionalArea>
    <UndpOUCode xmlns="1ed4137b-41b2-488b-8250-6d369ec27664">BFA</UndpOUCode>
    <UNDPFocusAreasTaxHTField0 xmlns="1ed4137b-41b2-488b-8250-6d369ec27664">
      <Terms xmlns="http://schemas.microsoft.com/office/infopath/2007/PartnerControls">
        <TermInfo xmlns="http://schemas.microsoft.com/office/infopath/2007/PartnerControls">
          <TermName xmlns="http://schemas.microsoft.com/office/infopath/2007/PartnerControls">Environment and Energy</TermName>
          <TermId xmlns="http://schemas.microsoft.com/office/infopath/2007/PartnerControls">507850c5-118d-4c78-99b1-c760df552b10</TermId>
        </TermInfo>
      </Terms>
    </UNDPFocusArea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BFA</TermName>
          <TermId xmlns="http://schemas.microsoft.com/office/infopath/2007/PartnerControls">beb9a117-6427-4115-a382-607a6a2444f2</TermId>
        </TermInfo>
      </Terms>
    </gc6531b704974d528487414686b72f6f>
    <UndpDocID xmlns="1ed4137b-41b2-488b-8250-6d369ec27664" xsi:nil="true"/>
    <b6db62fdefd74bd188b0c1cc54de5bcf xmlns="1ed4137b-41b2-488b-8250-6d369ec27664">
      <Terms xmlns="http://schemas.microsoft.com/office/infopath/2007/PartnerControls"/>
    </b6db62fdefd74bd188b0c1cc54de5bcf>
    <Document_x0020_Coverage_x0020_Period_x0020_Start_x0020_Date xmlns="f1161f5b-24a3-4c2d-bc81-44cb9325e8ee" xsi:nil="true"/>
    <UNDPSummary xmlns="f1161f5b-24a3-4c2d-bc81-44cb9325e8ee" xsi:nil="true"/>
    <Outcome1 xmlns="f1161f5b-24a3-4c2d-bc81-44cb9325e8ee">00096170</Outcome1>
    <UNDPCountryTaxHTField0 xmlns="1ed4137b-41b2-488b-8250-6d369ec27664">
      <Terms xmlns="http://schemas.microsoft.com/office/infopath/2007/PartnerControls">
        <TermInfo xmlns="http://schemas.microsoft.com/office/infopath/2007/PartnerControls">
          <TermName xmlns="http://schemas.microsoft.com/office/infopath/2007/PartnerControls">Countries</TermName>
          <TermId xmlns="http://schemas.microsoft.com/office/infopath/2007/PartnerControls">2f9ec5a1-3eec-45d6-8645-ed5d87180aba</TermId>
        </TermInfo>
      </Terms>
    </UNDPCountryTaxHTField0>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c4e2ab2cc9354bbf9064eeb465a566ea xmlns="1ed4137b-41b2-488b-8250-6d369ec27664">
      <Terms xmlns="http://schemas.microsoft.com/office/infopath/2007/PartnerControls"/>
    </c4e2ab2cc9354bbf9064eeb465a566ea>
    <Project_x0020_Manager xmlns="f1161f5b-24a3-4c2d-bc81-44cb9325e8ee" xsi:nil="true"/>
    <_dlc_DocId xmlns="f1161f5b-24a3-4c2d-bc81-44cb9325e8ee">ATLASPDC-4-168404</_dlc_DocId>
    <TaxCatchAll xmlns="1ed4137b-41b2-488b-8250-6d369ec27664">
      <Value>763</Value>
      <Value>1114</Value>
      <Value>296</Value>
      <Value>1110</Value>
      <Value>1</Value>
      <Value>1207</Value>
    </TaxCatchAll>
    <_Publisher xmlns="http://schemas.microsoft.com/sharepoint/v3/fields" xsi:nil="true"/>
    <UndpDocStatus xmlns="1ed4137b-41b2-488b-8250-6d369ec27664">Draft</UndpDocStatus>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Document_x0020_Coverage_x0020_Period_x0020_End_x0020_Date xmlns="f1161f5b-24a3-4c2d-bc81-44cb9325e8ee">2028-12-31T05:00:00+00:00</Document_x0020_Coverage_x0020_Period_x0020_End_x0020_Date>
    <Project_x0020_Number xmlns="f1161f5b-24a3-4c2d-bc81-44cb9325e8ee" xsi:nil="true"/>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UNDPDocumentCategoryTaxHTField0 xmlns="1ed4137b-41b2-488b-8250-6d369ec27664">
      <Terms xmlns="http://schemas.microsoft.com/office/infopath/2007/PartnerControls"/>
    </UNDPDocumentCategoryTaxHTField0>
    <UndpDocFormat xmlns="1ed4137b-41b2-488b-8250-6d369ec27664" xsi:nil="true"/>
    <UNDPPublishedDate xmlns="f1161f5b-24a3-4c2d-bc81-44cb9325e8ee">2023-01-04T18:00:00+00:00</UNDPPublishedDate>
    <UndpClassificationLevel xmlns="1ed4137b-41b2-488b-8250-6d369ec27664">Public</UndpClassificationLevel>
    <UndpIsTemplate xmlns="1ed4137b-41b2-488b-8250-6d369ec27664">No</UndpIsTemplate>
    <PDC_x0020_Document_x0020_Category xmlns="f1161f5b-24a3-4c2d-bc81-44cb9325e8ee">Project</PDC_x0020_Document_x0020_Category>
    <UndpDocTypeMMTaxHTField0 xmlns="1ed4137b-41b2-488b-8250-6d369ec27664">
      <Terms xmlns="http://schemas.microsoft.com/office/infopath/2007/PartnerControls"/>
    </UndpDocTypeMMTaxHTField0>
    <UndpProjectNo xmlns="1ed4137b-41b2-488b-8250-6d369ec27664">00090370</UndpProjectNo>
    <_dlc_DocIdUrl xmlns="f1161f5b-24a3-4c2d-bc81-44cb9325e8ee">
      <Url>https://info.undp.org/docs/pdc/_layouts/DocIdRedir.aspx?ID=ATLASPDC-4-168404</Url>
      <Description>ATLASPDC-4-168404</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98EB7D40-B649-4A15-BD84-CDA01B8CA1B9}">
  <ds:schemaRefs>
    <ds:schemaRef ds:uri="http://schemas.openxmlformats.org/officeDocument/2006/bibliography"/>
  </ds:schemaRefs>
</ds:datastoreItem>
</file>

<file path=customXml/itemProps2.xml><?xml version="1.0" encoding="utf-8"?>
<ds:datastoreItem xmlns:ds="http://schemas.openxmlformats.org/officeDocument/2006/customXml" ds:itemID="{18D5AA1A-CA50-4DE2-BB01-59B6D4F06F6F}"/>
</file>

<file path=customXml/itemProps3.xml><?xml version="1.0" encoding="utf-8"?>
<ds:datastoreItem xmlns:ds="http://schemas.openxmlformats.org/officeDocument/2006/customXml" ds:itemID="{439BB5CD-F060-44B1-BC8F-E78C3AABCF0C}"/>
</file>

<file path=customXml/itemProps4.xml><?xml version="1.0" encoding="utf-8"?>
<ds:datastoreItem xmlns:ds="http://schemas.openxmlformats.org/officeDocument/2006/customXml" ds:itemID="{72286D3A-EF46-49FB-81F1-7B0630CC0CAB}"/>
</file>

<file path=customXml/itemProps5.xml><?xml version="1.0" encoding="utf-8"?>
<ds:datastoreItem xmlns:ds="http://schemas.openxmlformats.org/officeDocument/2006/customXml" ds:itemID="{57CB7929-6E55-442E-89F1-66F1527B12BD}"/>
</file>

<file path=customXml/itemProps6.xml><?xml version="1.0" encoding="utf-8"?>
<ds:datastoreItem xmlns:ds="http://schemas.openxmlformats.org/officeDocument/2006/customXml" ds:itemID="{1AB8F801-6F82-4076-B1A3-068AB447CEA1}"/>
</file>

<file path=docProps/app.xml><?xml version="1.0" encoding="utf-8"?>
<Properties xmlns="http://schemas.openxmlformats.org/officeDocument/2006/extended-properties" xmlns:vt="http://schemas.openxmlformats.org/officeDocument/2006/docPropsVTypes">
  <Template>Normal</Template>
  <TotalTime>1</TotalTime>
  <Pages>224</Pages>
  <Words>134077</Words>
  <Characters>764244</Characters>
  <Application>Microsoft Office Word</Application>
  <DocSecurity>0</DocSecurity>
  <Lines>6368</Lines>
  <Paragraphs>1793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896528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PRODOC PONASI</dc:title>
  <dc:subject/>
  <dc:creator>PNUD</dc:creator>
  <cp:keywords/>
  <dc:description/>
  <cp:lastModifiedBy>Clarisse Coulibaly</cp:lastModifiedBy>
  <cp:revision>2</cp:revision>
  <cp:lastPrinted>2020-11-24T12:29:00Z</cp:lastPrinted>
  <dcterms:created xsi:type="dcterms:W3CDTF">2022-11-21T15:44:00Z</dcterms:created>
  <dcterms:modified xsi:type="dcterms:W3CDTF">2022-11-21T15:44:00Z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DPCountry">
    <vt:lpwstr>1114;#Countries|2f9ec5a1-3eec-45d6-8645-ed5d87180aba</vt:lpwstr>
  </property>
  <property fmtid="{D5CDD505-2E9C-101B-9397-08002B2CF9AE}" pid="3" name="UndpDocTypeMM">
    <vt:lpwstr/>
  </property>
  <property fmtid="{D5CDD505-2E9C-101B-9397-08002B2CF9AE}" pid="4" name="UNDPDocumentCategory">
    <vt:lpwstr/>
  </property>
  <property fmtid="{D5CDD505-2E9C-101B-9397-08002B2CF9AE}" pid="5" name="ContentTypeId">
    <vt:lpwstr>0x010100F075C04BA242A84ABD3293E3AD35CDA400AB50428DC784B44FAACCAA5FAE40C0590045B5E632B552204ABF0E616DD66BDA0F</vt:lpwstr>
  </property>
  <property fmtid="{D5CDD505-2E9C-101B-9397-08002B2CF9AE}" pid="6" name="UN Languages">
    <vt:lpwstr>1;#English|7f98b732-4b5b-4b70-ba90-a0eff09b5d2d</vt:lpwstr>
  </property>
  <property fmtid="{D5CDD505-2E9C-101B-9397-08002B2CF9AE}" pid="7" name="Operating Unit0">
    <vt:lpwstr>1207;#BFA|beb9a117-6427-4115-a382-607a6a2444f2</vt:lpwstr>
  </property>
  <property fmtid="{D5CDD505-2E9C-101B-9397-08002B2CF9AE}" pid="8" name="Atlas Document Status">
    <vt:lpwstr>763;#Draft|121d40a5-e62e-4d42-82e4-d6d12003de0a</vt:lpwstr>
  </property>
  <property fmtid="{D5CDD505-2E9C-101B-9397-08002B2CF9AE}" pid="9" name="_dlc_DocIdItemGuid">
    <vt:lpwstr>e01efc5f-6495-4d30-8521-3760c25cd858</vt:lpwstr>
  </property>
  <property fmtid="{D5CDD505-2E9C-101B-9397-08002B2CF9AE}" pid="10" name="Atlas Document Type">
    <vt:lpwstr>1110;#Prodoc|099f975e-b4d9-4bba-a499-dbcc387c61ad</vt:lpwstr>
  </property>
  <property fmtid="{D5CDD505-2E9C-101B-9397-08002B2CF9AE}" pid="11" name="UndpUnitMM">
    <vt:lpwstr/>
  </property>
  <property fmtid="{D5CDD505-2E9C-101B-9397-08002B2CF9AE}" pid="12" name="eRegFilingCodeMM">
    <vt:lpwstr/>
  </property>
  <property fmtid="{D5CDD505-2E9C-101B-9397-08002B2CF9AE}" pid="13" name="UNDPFocusAreas">
    <vt:lpwstr>296;#Environment and Energy|507850c5-118d-4c78-99b1-c760df552b10</vt:lpwstr>
  </property>
  <property fmtid="{D5CDD505-2E9C-101B-9397-08002B2CF9AE}" pid="14" name="DocumentSetDescription">
    <vt:lpwstr/>
  </property>
  <property fmtid="{D5CDD505-2E9C-101B-9397-08002B2CF9AE}" pid="15" name="UnitTaxHTField0">
    <vt:lpwstr/>
  </property>
  <property fmtid="{D5CDD505-2E9C-101B-9397-08002B2CF9AE}" pid="16" name="Unit">
    <vt:lpwstr/>
  </property>
  <property fmtid="{D5CDD505-2E9C-101B-9397-08002B2CF9AE}" pid="17" name="URL">
    <vt:lpwstr/>
  </property>
</Properties>
</file>